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5E653FF">
      <w:pPr>
        <w:pageBreakBefore w:val="0"/>
        <w:wordWrap/>
        <w:bidi w:val="0"/>
        <w:adjustRightInd/>
        <w:snapToGrid/>
        <w:spacing w:line="420" w:lineRule="exact"/>
        <w:ind w:firstLine="480"/>
        <w:jc w:val="right"/>
        <w:rPr>
          <w:rFonts w:hint="eastAsia"/>
          <w:color w:val="auto"/>
        </w:rPr>
      </w:pPr>
    </w:p>
    <w:p w14:paraId="61C81191">
      <w:pPr>
        <w:pageBreakBefore w:val="0"/>
        <w:wordWrap/>
        <w:bidi w:val="0"/>
        <w:adjustRightInd/>
        <w:snapToGrid/>
        <w:spacing w:line="420" w:lineRule="exact"/>
        <w:ind w:firstLine="960"/>
        <w:jc w:val="center"/>
        <w:rPr>
          <w:color w:val="auto"/>
          <w:sz w:val="48"/>
        </w:rPr>
      </w:pPr>
    </w:p>
    <w:p w14:paraId="37F90C65">
      <w:pPr>
        <w:pageBreakBefore w:val="0"/>
        <w:wordWrap/>
        <w:bidi w:val="0"/>
        <w:adjustRightInd/>
        <w:snapToGrid/>
        <w:spacing w:line="420" w:lineRule="exact"/>
        <w:ind w:firstLine="960"/>
        <w:jc w:val="center"/>
        <w:rPr>
          <w:color w:val="auto"/>
          <w:sz w:val="48"/>
        </w:rPr>
      </w:pPr>
    </w:p>
    <w:p w14:paraId="5D43CB8B">
      <w:pPr>
        <w:pageBreakBefore w:val="0"/>
        <w:wordWrap/>
        <w:bidi w:val="0"/>
        <w:adjustRightInd/>
        <w:snapToGrid/>
        <w:ind w:firstLine="960"/>
        <w:jc w:val="center"/>
        <w:rPr>
          <w:color w:val="auto"/>
          <w:sz w:val="48"/>
        </w:rPr>
      </w:pPr>
    </w:p>
    <w:p w14:paraId="36C606B5">
      <w:pPr>
        <w:pageBreakBefore w:val="0"/>
        <w:wordWrap/>
        <w:bidi w:val="0"/>
        <w:adjustRightInd/>
        <w:snapToGrid/>
        <w:spacing w:line="312" w:lineRule="auto"/>
        <w:ind w:firstLine="0" w:firstLineChars="0"/>
        <w:jc w:val="center"/>
        <w:rPr>
          <w:rFonts w:hint="eastAsia"/>
          <w:color w:val="auto"/>
          <w:sz w:val="52"/>
          <w:szCs w:val="52"/>
          <w:lang w:eastAsia="zh-CN"/>
        </w:rPr>
      </w:pPr>
      <w:r>
        <w:rPr>
          <w:color w:val="auto"/>
          <w:sz w:val="52"/>
          <w:szCs w:val="52"/>
        </w:rPr>
        <mc:AlternateContent>
          <mc:Choice Requires="wps">
            <w:drawing>
              <wp:anchor distT="0" distB="0" distL="114300" distR="114300" simplePos="0" relativeHeight="251662336" behindDoc="0" locked="0" layoutInCell="1" allowOverlap="1">
                <wp:simplePos x="0" y="0"/>
                <wp:positionH relativeFrom="column">
                  <wp:posOffset>-62865</wp:posOffset>
                </wp:positionH>
                <wp:positionV relativeFrom="paragraph">
                  <wp:posOffset>378460</wp:posOffset>
                </wp:positionV>
                <wp:extent cx="5469255" cy="0"/>
                <wp:effectExtent l="0" t="4445" r="0" b="5080"/>
                <wp:wrapNone/>
                <wp:docPr id="3" name="自选图形 109"/>
                <wp:cNvGraphicFramePr/>
                <a:graphic xmlns:a="http://schemas.openxmlformats.org/drawingml/2006/main">
                  <a:graphicData uri="http://schemas.microsoft.com/office/word/2010/wordprocessingShape">
                    <wps:wsp>
                      <wps:cNvCnPr/>
                      <wps:spPr>
                        <a:xfrm>
                          <a:off x="0" y="0"/>
                          <a:ext cx="5469255" cy="0"/>
                        </a:xfrm>
                        <a:prstGeom prst="straightConnector1">
                          <a:avLst/>
                        </a:prstGeom>
                        <a:ln w="3175" cap="flat" cmpd="sng">
                          <a:solidFill>
                            <a:srgbClr val="000000"/>
                          </a:solidFill>
                          <a:prstDash val="solid"/>
                          <a:headEnd type="none" w="med" len="med"/>
                          <a:tailEnd type="none" w="med" len="med"/>
                        </a:ln>
                      </wps:spPr>
                      <wps:bodyPr/>
                    </wps:wsp>
                  </a:graphicData>
                </a:graphic>
              </wp:anchor>
            </w:drawing>
          </mc:Choice>
          <mc:Fallback>
            <w:pict>
              <v:shape id="自选图形 109" o:spid="_x0000_s1026" o:spt="32" type="#_x0000_t32" style="position:absolute;left:0pt;margin-left:-4.95pt;margin-top:29.8pt;height:0pt;width:430.65pt;z-index:251662336;mso-width-relative:page;mso-height-relative:page;" filled="f" stroked="t" coordsize="21600,21600" o:gfxdata="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UoYR61gAAAAgBAAAPAAAAAAAAAAEAIAAAACIAAABkcnMvZG93bnJldi54bWxQSwEC&#10;FAAUAAAACACHTuJAVpNLnfYBAADlAwAADgAAAAAAAAABACAAAAAlAQAAZHJzL2Uyb0RvYy54bWxQ&#10;SwUGAAAAAAYABgBZAQAAjQUAAAAA&#10;">
                <v:fill on="f" focussize="0,0"/>
                <v:stroke weight="0.25pt" color="#000000" joinstyle="round"/>
                <v:imagedata o:title=""/>
                <o:lock v:ext="edit" aspectratio="f"/>
              </v:shape>
            </w:pict>
          </mc:Fallback>
        </mc:AlternateContent>
      </w:r>
      <w:r>
        <w:rPr>
          <w:color w:val="auto"/>
          <w:sz w:val="52"/>
          <w:szCs w:val="52"/>
        </w:rPr>
        <mc:AlternateContent>
          <mc:Choice Requires="wps">
            <w:drawing>
              <wp:anchor distT="0" distB="0" distL="114300" distR="114300" simplePos="0" relativeHeight="251660288" behindDoc="0" locked="0" layoutInCell="1" allowOverlap="1">
                <wp:simplePos x="0" y="0"/>
                <wp:positionH relativeFrom="column">
                  <wp:posOffset>-62865</wp:posOffset>
                </wp:positionH>
                <wp:positionV relativeFrom="paragraph">
                  <wp:posOffset>421005</wp:posOffset>
                </wp:positionV>
                <wp:extent cx="5469255" cy="0"/>
                <wp:effectExtent l="0" t="19050" r="17145" b="19050"/>
                <wp:wrapNone/>
                <wp:docPr id="1" name="自选图形 108"/>
                <wp:cNvGraphicFramePr/>
                <a:graphic xmlns:a="http://schemas.openxmlformats.org/drawingml/2006/main">
                  <a:graphicData uri="http://schemas.microsoft.com/office/word/2010/wordprocessingShape">
                    <wps:wsp>
                      <wps:cNvCnPr/>
                      <wps:spPr>
                        <a:xfrm>
                          <a:off x="0" y="0"/>
                          <a:ext cx="5469255" cy="0"/>
                        </a:xfrm>
                        <a:prstGeom prst="straightConnector1">
                          <a:avLst/>
                        </a:prstGeom>
                        <a:ln w="38100" cap="flat" cmpd="sng">
                          <a:solidFill>
                            <a:srgbClr val="000000"/>
                          </a:solidFill>
                          <a:prstDash val="solid"/>
                          <a:headEnd type="none" w="med" len="med"/>
                          <a:tailEnd type="none" w="med" len="med"/>
                        </a:ln>
                      </wps:spPr>
                      <wps:bodyPr/>
                    </wps:wsp>
                  </a:graphicData>
                </a:graphic>
              </wp:anchor>
            </w:drawing>
          </mc:Choice>
          <mc:Fallback>
            <w:pict>
              <v:shape id="自选图形 108" o:spid="_x0000_s1026" o:spt="32" type="#_x0000_t32" style="position:absolute;left:0pt;margin-left:-4.95pt;margin-top:33.15pt;height:0pt;width:430.65pt;z-index:251660288;mso-width-relative:page;mso-height-relative:page;" filled="f" stroked="t" coordsize="21600,21600" o:gfxdata="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3khjudUAAAAIAQAADwAAAAAAAAABACAAAAAiAAAAZHJzL2Rvd25yZXYueG1sUEsB&#10;AhQAFAAAAAgAh07iQGuXher4AQAA5gMAAA4AAAAAAAAAAQAgAAAAJAEAAGRycy9lMm9Eb2MueG1s&#10;UEsFBgAAAAAGAAYAWQEAAI4FAAAAAA==&#10;">
                <v:fill on="f" focussize="0,0"/>
                <v:stroke weight="3pt" color="#000000" joinstyle="round"/>
                <v:imagedata o:title=""/>
                <o:lock v:ext="edit" aspectratio="f"/>
              </v:shape>
            </w:pict>
          </mc:Fallback>
        </mc:AlternateContent>
      </w:r>
      <w:r>
        <w:rPr>
          <w:rFonts w:hint="eastAsia"/>
          <w:color w:val="auto"/>
          <w:sz w:val="52"/>
          <w:szCs w:val="52"/>
          <w:lang w:eastAsia="zh-CN"/>
        </w:rPr>
        <w:t>巴中市巴州区曾口片区污水处理厂、</w:t>
      </w:r>
    </w:p>
    <w:p w14:paraId="12D95BA7">
      <w:pPr>
        <w:pageBreakBefore w:val="0"/>
        <w:wordWrap/>
        <w:bidi w:val="0"/>
        <w:adjustRightInd/>
        <w:snapToGrid/>
        <w:spacing w:line="312" w:lineRule="auto"/>
        <w:ind w:firstLine="0" w:firstLineChars="0"/>
        <w:jc w:val="center"/>
        <w:rPr>
          <w:rFonts w:hint="eastAsia" w:eastAsia="宋体"/>
          <w:color w:val="auto"/>
          <w:sz w:val="52"/>
          <w:szCs w:val="52"/>
          <w:lang w:eastAsia="zh-CN"/>
        </w:rPr>
      </w:pPr>
      <w:r>
        <w:rPr>
          <w:color w:val="auto"/>
          <w:sz w:val="52"/>
          <w:szCs w:val="52"/>
        </w:rPr>
        <mc:AlternateContent>
          <mc:Choice Requires="wps">
            <w:drawing>
              <wp:anchor distT="0" distB="0" distL="114300" distR="114300" simplePos="0" relativeHeight="251668480" behindDoc="0" locked="0" layoutInCell="1" allowOverlap="1">
                <wp:simplePos x="0" y="0"/>
                <wp:positionH relativeFrom="column">
                  <wp:posOffset>-77470</wp:posOffset>
                </wp:positionH>
                <wp:positionV relativeFrom="paragraph">
                  <wp:posOffset>447040</wp:posOffset>
                </wp:positionV>
                <wp:extent cx="5469255" cy="0"/>
                <wp:effectExtent l="0" t="19050" r="17145" b="19050"/>
                <wp:wrapNone/>
                <wp:docPr id="77" name="自选图形 108"/>
                <wp:cNvGraphicFramePr/>
                <a:graphic xmlns:a="http://schemas.openxmlformats.org/drawingml/2006/main">
                  <a:graphicData uri="http://schemas.microsoft.com/office/word/2010/wordprocessingShape">
                    <wps:wsp>
                      <wps:cNvCnPr/>
                      <wps:spPr>
                        <a:xfrm>
                          <a:off x="0" y="0"/>
                          <a:ext cx="5469255" cy="0"/>
                        </a:xfrm>
                        <a:prstGeom prst="straightConnector1">
                          <a:avLst/>
                        </a:prstGeom>
                        <a:ln w="38100" cap="flat" cmpd="sng">
                          <a:solidFill>
                            <a:srgbClr val="000000"/>
                          </a:solidFill>
                          <a:prstDash val="solid"/>
                          <a:headEnd type="none" w="med" len="med"/>
                          <a:tailEnd type="none" w="med" len="med"/>
                        </a:ln>
                      </wps:spPr>
                      <wps:bodyPr/>
                    </wps:wsp>
                  </a:graphicData>
                </a:graphic>
              </wp:anchor>
            </w:drawing>
          </mc:Choice>
          <mc:Fallback>
            <w:pict>
              <v:shape id="自选图形 108" o:spid="_x0000_s1026" o:spt="32" type="#_x0000_t32" style="position:absolute;left:0pt;margin-left:-6.1pt;margin-top:35.2pt;height:0pt;width:430.65pt;z-index:251668480;mso-width-relative:page;mso-height-relative:page;" filled="f" stroked="t" coordsize="21600,21600" o:gfxdata="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6K5Fx1QAAAAkBAAAPAAAAAAAAAAEAIAAAACIAAABkcnMvZG93bnJldi54bWxQ&#10;SwECFAAUAAAACACHTuJAAMzN+PoBAADnAwAADgAAAAAAAAABACAAAAAkAQAAZHJzL2Uyb0RvYy54&#10;bWxQSwUGAAAAAAYABgBZAQAAkAUAAAAA&#10;">
                <v:fill on="f" focussize="0,0"/>
                <v:stroke weight="3pt" color="#000000" joinstyle="round"/>
                <v:imagedata o:title=""/>
                <o:lock v:ext="edit" aspectratio="f"/>
              </v:shape>
            </w:pict>
          </mc:Fallback>
        </mc:AlternateContent>
      </w:r>
      <w:r>
        <w:rPr>
          <w:color w:val="auto"/>
          <w:sz w:val="52"/>
          <w:szCs w:val="52"/>
        </w:rPr>
        <mc:AlternateContent>
          <mc:Choice Requires="wps">
            <w:drawing>
              <wp:anchor distT="0" distB="0" distL="114300" distR="114300" simplePos="0" relativeHeight="251669504" behindDoc="0" locked="0" layoutInCell="1" allowOverlap="1">
                <wp:simplePos x="0" y="0"/>
                <wp:positionH relativeFrom="column">
                  <wp:posOffset>-75565</wp:posOffset>
                </wp:positionH>
                <wp:positionV relativeFrom="paragraph">
                  <wp:posOffset>405765</wp:posOffset>
                </wp:positionV>
                <wp:extent cx="5469255" cy="0"/>
                <wp:effectExtent l="0" t="4445" r="0" b="5080"/>
                <wp:wrapNone/>
                <wp:docPr id="78" name="自选图形 109"/>
                <wp:cNvGraphicFramePr/>
                <a:graphic xmlns:a="http://schemas.openxmlformats.org/drawingml/2006/main">
                  <a:graphicData uri="http://schemas.microsoft.com/office/word/2010/wordprocessingShape">
                    <wps:wsp>
                      <wps:cNvCnPr/>
                      <wps:spPr>
                        <a:xfrm>
                          <a:off x="0" y="0"/>
                          <a:ext cx="5469255" cy="0"/>
                        </a:xfrm>
                        <a:prstGeom prst="straightConnector1">
                          <a:avLst/>
                        </a:prstGeom>
                        <a:ln w="3175" cap="flat" cmpd="sng">
                          <a:solidFill>
                            <a:srgbClr val="000000"/>
                          </a:solidFill>
                          <a:prstDash val="solid"/>
                          <a:headEnd type="none" w="med" len="med"/>
                          <a:tailEnd type="none" w="med" len="med"/>
                        </a:ln>
                      </wps:spPr>
                      <wps:bodyPr/>
                    </wps:wsp>
                  </a:graphicData>
                </a:graphic>
              </wp:anchor>
            </w:drawing>
          </mc:Choice>
          <mc:Fallback>
            <w:pict>
              <v:shape id="自选图形 109" o:spid="_x0000_s1026" o:spt="32" type="#_x0000_t32" style="position:absolute;left:0pt;margin-left:-5.95pt;margin-top:31.95pt;height:0pt;width:430.65pt;z-index:251669504;mso-width-relative:page;mso-height-relative:page;" filled="f" stroked="t" coordsize="21600,21600" o:gfxdata="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u7sLs1wAAAAkBAAAPAAAAAAAAAAEAIAAAACIAAABkcnMvZG93bnJldi54bWxQ&#10;SwECFAAUAAAACACHTuJAvxLOIfgBAADmAwAADgAAAAAAAAABACAAAAAmAQAAZHJzL2Uyb0RvYy54&#10;bWxQSwUGAAAAAAYABgBZAQAAkAUAAAAA&#10;">
                <v:fill on="f" focussize="0,0"/>
                <v:stroke weight="0.25pt" color="#000000" joinstyle="round"/>
                <v:imagedata o:title=""/>
                <o:lock v:ext="edit" aspectratio="f"/>
              </v:shape>
            </w:pict>
          </mc:Fallback>
        </mc:AlternateContent>
      </w:r>
      <w:r>
        <w:rPr>
          <w:rFonts w:hint="eastAsia"/>
          <w:color w:val="auto"/>
          <w:sz w:val="52"/>
          <w:szCs w:val="52"/>
          <w:lang w:eastAsia="zh-CN"/>
        </w:rPr>
        <w:t>环境监测站建设项目</w:t>
      </w:r>
    </w:p>
    <w:p w14:paraId="6F37DD3C">
      <w:pPr>
        <w:pStyle w:val="23"/>
        <w:pageBreakBefore w:val="0"/>
        <w:wordWrap/>
        <w:bidi w:val="0"/>
        <w:adjustRightInd/>
        <w:snapToGrid/>
        <w:ind w:firstLine="0" w:firstLineChars="0"/>
        <w:jc w:val="center"/>
        <w:rPr>
          <w:color w:val="auto"/>
          <w:sz w:val="88"/>
          <w:szCs w:val="88"/>
        </w:rPr>
      </w:pPr>
      <w:r>
        <w:rPr>
          <w:color w:val="auto"/>
          <w:sz w:val="88"/>
          <w:szCs w:val="88"/>
        </w:rPr>
        <w:t>环境影响报告书</w:t>
      </w:r>
    </w:p>
    <w:p w14:paraId="43C55C20">
      <w:pPr>
        <w:pageBreakBefore w:val="0"/>
        <w:wordWrap/>
        <w:bidi w:val="0"/>
        <w:adjustRightInd/>
        <w:snapToGrid/>
        <w:ind w:firstLine="0" w:firstLineChars="0"/>
        <w:jc w:val="center"/>
        <w:textAlignment w:val="baseline"/>
        <w:rPr>
          <w:color w:val="auto"/>
          <w:sz w:val="36"/>
          <w:szCs w:val="36"/>
        </w:rPr>
      </w:pPr>
      <w:bookmarkStart w:id="0" w:name="_Toc401566255"/>
      <w:bookmarkStart w:id="1" w:name="_Toc354588247"/>
      <w:bookmarkStart w:id="2" w:name="_Toc354588321"/>
      <w:bookmarkStart w:id="3" w:name="_Toc402347062"/>
      <w:bookmarkStart w:id="4" w:name="_Toc402345163"/>
      <w:bookmarkStart w:id="5" w:name="_Toc365983323"/>
      <w:bookmarkStart w:id="6" w:name="_Toc407348116"/>
      <w:r>
        <w:rPr>
          <w:color w:val="auto"/>
          <w:sz w:val="36"/>
          <w:szCs w:val="36"/>
        </w:rPr>
        <w:t>（</w:t>
      </w:r>
      <w:r>
        <w:rPr>
          <w:rFonts w:hint="eastAsia"/>
          <w:color w:val="auto"/>
          <w:sz w:val="36"/>
          <w:szCs w:val="36"/>
          <w:lang w:val="en-US" w:eastAsia="zh-CN"/>
        </w:rPr>
        <w:t>公示稿</w:t>
      </w:r>
      <w:r>
        <w:rPr>
          <w:color w:val="auto"/>
          <w:sz w:val="36"/>
          <w:szCs w:val="36"/>
        </w:rPr>
        <w:t>）</w:t>
      </w:r>
      <w:bookmarkEnd w:id="0"/>
      <w:bookmarkEnd w:id="1"/>
      <w:bookmarkEnd w:id="2"/>
      <w:bookmarkEnd w:id="3"/>
      <w:bookmarkEnd w:id="4"/>
      <w:bookmarkEnd w:id="5"/>
      <w:bookmarkEnd w:id="6"/>
    </w:p>
    <w:p w14:paraId="4E6B2E22">
      <w:pPr>
        <w:pageBreakBefore w:val="0"/>
        <w:wordWrap/>
        <w:bidi w:val="0"/>
        <w:adjustRightInd/>
        <w:snapToGrid/>
        <w:spacing w:line="420" w:lineRule="exact"/>
        <w:ind w:firstLine="480"/>
        <w:jc w:val="center"/>
        <w:rPr>
          <w:color w:val="auto"/>
        </w:rPr>
      </w:pPr>
    </w:p>
    <w:p w14:paraId="6C515D5F">
      <w:pPr>
        <w:pageBreakBefore w:val="0"/>
        <w:wordWrap/>
        <w:bidi w:val="0"/>
        <w:adjustRightInd/>
        <w:snapToGrid/>
        <w:spacing w:line="480" w:lineRule="auto"/>
        <w:ind w:firstLine="480"/>
        <w:jc w:val="center"/>
        <w:rPr>
          <w:color w:val="auto"/>
        </w:rPr>
      </w:pPr>
    </w:p>
    <w:p w14:paraId="42F32291">
      <w:pPr>
        <w:pageBreakBefore w:val="0"/>
        <w:wordWrap/>
        <w:bidi w:val="0"/>
        <w:adjustRightInd/>
        <w:snapToGrid/>
        <w:spacing w:line="480" w:lineRule="auto"/>
        <w:ind w:firstLine="480"/>
        <w:jc w:val="center"/>
        <w:rPr>
          <w:color w:val="auto"/>
        </w:rPr>
      </w:pPr>
    </w:p>
    <w:p w14:paraId="21AA90E2">
      <w:pPr>
        <w:pageBreakBefore w:val="0"/>
        <w:widowControl/>
        <w:wordWrap/>
        <w:bidi w:val="0"/>
        <w:adjustRightInd/>
        <w:snapToGrid/>
        <w:ind w:firstLine="480"/>
        <w:jc w:val="left"/>
        <w:rPr>
          <w:color w:val="auto"/>
          <w:kern w:val="0"/>
        </w:rPr>
      </w:pPr>
    </w:p>
    <w:p w14:paraId="33F82329">
      <w:pPr>
        <w:pageBreakBefore w:val="0"/>
        <w:wordWrap/>
        <w:bidi w:val="0"/>
        <w:adjustRightInd/>
        <w:snapToGrid/>
        <w:spacing w:line="480" w:lineRule="auto"/>
        <w:ind w:firstLine="480"/>
        <w:jc w:val="center"/>
        <w:rPr>
          <w:color w:val="auto"/>
        </w:rPr>
      </w:pPr>
    </w:p>
    <w:p w14:paraId="7A0D7EB2">
      <w:pPr>
        <w:pageBreakBefore w:val="0"/>
        <w:wordWrap/>
        <w:bidi w:val="0"/>
        <w:adjustRightInd/>
        <w:snapToGrid/>
        <w:spacing w:line="480" w:lineRule="auto"/>
        <w:ind w:firstLine="480"/>
        <w:jc w:val="center"/>
        <w:rPr>
          <w:color w:val="auto"/>
        </w:rPr>
      </w:pPr>
    </w:p>
    <w:p w14:paraId="1032ACA6">
      <w:pPr>
        <w:pageBreakBefore w:val="0"/>
        <w:wordWrap/>
        <w:bidi w:val="0"/>
        <w:adjustRightInd/>
        <w:snapToGrid/>
        <w:spacing w:line="480" w:lineRule="auto"/>
        <w:ind w:firstLine="480"/>
        <w:jc w:val="center"/>
        <w:rPr>
          <w:color w:val="auto"/>
        </w:rPr>
      </w:pPr>
    </w:p>
    <w:p w14:paraId="60F62221">
      <w:pPr>
        <w:pStyle w:val="23"/>
        <w:pageBreakBefore w:val="0"/>
        <w:wordWrap/>
        <w:bidi w:val="0"/>
        <w:adjustRightInd/>
        <w:snapToGrid/>
        <w:spacing w:before="240" w:beforeLines="100"/>
        <w:ind w:firstLine="720"/>
        <w:rPr>
          <w:rFonts w:hint="eastAsia" w:eastAsia="宋体"/>
          <w:color w:val="auto"/>
          <w:sz w:val="36"/>
          <w:szCs w:val="36"/>
          <w:lang w:eastAsia="zh-CN"/>
        </w:rPr>
      </w:pPr>
      <w:r>
        <w:rPr>
          <w:color w:val="auto"/>
          <w:sz w:val="36"/>
          <w:szCs w:val="36"/>
        </w:rPr>
        <w:t>建设单位：</w:t>
      </w:r>
      <w:r>
        <w:rPr>
          <w:rFonts w:hint="eastAsia"/>
          <w:color w:val="auto"/>
          <w:sz w:val="36"/>
          <w:szCs w:val="36"/>
          <w:lang w:eastAsia="zh-CN"/>
        </w:rPr>
        <w:t>巴中汇鑫发展有限公司</w:t>
      </w:r>
    </w:p>
    <w:p w14:paraId="26C92C2D">
      <w:pPr>
        <w:pStyle w:val="23"/>
        <w:pageBreakBefore w:val="0"/>
        <w:wordWrap/>
        <w:bidi w:val="0"/>
        <w:adjustRightInd/>
        <w:snapToGrid/>
        <w:spacing w:before="240" w:beforeLines="100"/>
        <w:ind w:firstLine="720"/>
        <w:rPr>
          <w:rFonts w:hint="eastAsia" w:eastAsia="宋体"/>
          <w:color w:val="auto"/>
          <w:sz w:val="36"/>
          <w:szCs w:val="36"/>
          <w:lang w:eastAsia="zh-CN"/>
        </w:rPr>
      </w:pPr>
      <w:r>
        <w:rPr>
          <w:color w:val="auto"/>
          <w:sz w:val="36"/>
          <w:szCs w:val="36"/>
        </w:rPr>
        <w:t>编制单位：</w:t>
      </w:r>
      <w:r>
        <w:rPr>
          <w:rFonts w:hint="eastAsia"/>
          <w:color w:val="auto"/>
          <w:sz w:val="36"/>
          <w:szCs w:val="36"/>
          <w:lang w:eastAsia="zh-CN"/>
        </w:rPr>
        <w:t>四川全过程安全环保技术服务有限公司</w:t>
      </w:r>
    </w:p>
    <w:p w14:paraId="75FEF655">
      <w:pPr>
        <w:pageBreakBefore w:val="0"/>
        <w:wordWrap/>
        <w:bidi w:val="0"/>
        <w:adjustRightInd/>
        <w:snapToGrid/>
        <w:spacing w:before="240" w:beforeLines="100"/>
        <w:ind w:firstLine="0" w:firstLineChars="0"/>
        <w:jc w:val="center"/>
        <w:rPr>
          <w:color w:val="auto"/>
          <w:sz w:val="36"/>
          <w:szCs w:val="36"/>
        </w:rPr>
      </w:pPr>
    </w:p>
    <w:p w14:paraId="4FBC8713">
      <w:pPr>
        <w:pageBreakBefore w:val="0"/>
        <w:wordWrap/>
        <w:bidi w:val="0"/>
        <w:adjustRightInd/>
        <w:snapToGrid/>
        <w:spacing w:before="240" w:beforeLines="100"/>
        <w:ind w:firstLine="0" w:firstLineChars="0"/>
        <w:jc w:val="center"/>
        <w:rPr>
          <w:color w:val="auto"/>
          <w:sz w:val="32"/>
          <w:szCs w:val="32"/>
        </w:rPr>
      </w:pPr>
      <w:r>
        <w:rPr>
          <w:color w:val="auto"/>
          <w:sz w:val="36"/>
          <w:szCs w:val="36"/>
        </w:rPr>
        <w:t>二〇二</w:t>
      </w:r>
      <w:r>
        <w:rPr>
          <w:rFonts w:hint="eastAsia"/>
          <w:color w:val="auto"/>
          <w:sz w:val="36"/>
          <w:szCs w:val="36"/>
          <w:lang w:val="en-US" w:eastAsia="zh-CN"/>
        </w:rPr>
        <w:t>四</w:t>
      </w:r>
      <w:r>
        <w:rPr>
          <w:color w:val="auto"/>
          <w:sz w:val="36"/>
          <w:szCs w:val="36"/>
        </w:rPr>
        <w:t>年</w:t>
      </w:r>
      <w:r>
        <w:rPr>
          <w:rFonts w:hint="eastAsia"/>
          <w:color w:val="auto"/>
          <w:sz w:val="36"/>
          <w:szCs w:val="36"/>
          <w:lang w:val="en-US" w:eastAsia="zh-CN"/>
        </w:rPr>
        <w:t>九</w:t>
      </w:r>
      <w:r>
        <w:rPr>
          <w:color w:val="auto"/>
          <w:sz w:val="36"/>
          <w:szCs w:val="36"/>
        </w:rPr>
        <w:t>月</w:t>
      </w:r>
    </w:p>
    <w:p w14:paraId="28E83E12">
      <w:pPr>
        <w:pageBreakBefore w:val="0"/>
        <w:wordWrap/>
        <w:bidi w:val="0"/>
        <w:adjustRightInd/>
        <w:snapToGrid/>
        <w:spacing w:before="240" w:beforeLines="100"/>
        <w:ind w:firstLine="600"/>
        <w:rPr>
          <w:color w:val="auto"/>
          <w:sz w:val="30"/>
          <w:szCs w:val="30"/>
        </w:rPr>
        <w:sectPr>
          <w:headerReference r:id="rId7" w:type="first"/>
          <w:footerReference r:id="rId10" w:type="first"/>
          <w:headerReference r:id="rId5" w:type="default"/>
          <w:footerReference r:id="rId8" w:type="default"/>
          <w:headerReference r:id="rId6" w:type="even"/>
          <w:footerReference r:id="rId9" w:type="even"/>
          <w:type w:val="nextColumn"/>
          <w:pgSz w:w="11906" w:h="16838"/>
          <w:pgMar w:top="1440" w:right="1588" w:bottom="1440" w:left="1588" w:header="1020" w:footer="992" w:gutter="0"/>
          <w:pgBorders>
            <w:top w:val="none" w:sz="0" w:space="0"/>
            <w:left w:val="none" w:sz="0" w:space="0"/>
            <w:bottom w:val="none" w:sz="0" w:space="0"/>
            <w:right w:val="none" w:sz="0" w:space="0"/>
          </w:pgBorders>
          <w:pgNumType w:fmt="decimal" w:start="1"/>
          <w:cols w:space="720" w:num="1"/>
          <w:titlePg/>
          <w:docGrid w:linePitch="312" w:charSpace="0"/>
        </w:sectPr>
      </w:pPr>
    </w:p>
    <w:p w14:paraId="7086AEC0">
      <w:pPr>
        <w:pageBreakBefore w:val="0"/>
        <w:wordWrap/>
        <w:bidi w:val="0"/>
        <w:adjustRightInd/>
        <w:snapToGrid/>
        <w:spacing w:before="240" w:beforeLines="100"/>
        <w:ind w:firstLine="600"/>
        <w:rPr>
          <w:color w:val="auto"/>
          <w:sz w:val="30"/>
          <w:szCs w:val="30"/>
        </w:rPr>
        <w:sectPr>
          <w:footerReference r:id="rId12" w:type="first"/>
          <w:footerReference r:id="rId11" w:type="default"/>
          <w:pgSz w:w="11906" w:h="16838"/>
          <w:pgMar w:top="1440" w:right="1588" w:bottom="1440" w:left="1588" w:header="1134" w:footer="992" w:gutter="0"/>
          <w:pgBorders>
            <w:top w:val="none" w:sz="0" w:space="0"/>
            <w:left w:val="none" w:sz="0" w:space="0"/>
            <w:bottom w:val="none" w:sz="0" w:space="0"/>
            <w:right w:val="none" w:sz="0" w:space="0"/>
          </w:pgBorders>
          <w:pgNumType w:fmt="decimal" w:start="1"/>
          <w:cols w:space="720" w:num="1"/>
          <w:titlePg/>
          <w:docGrid w:linePitch="312" w:charSpace="0"/>
        </w:sectPr>
      </w:pPr>
    </w:p>
    <w:p w14:paraId="054666AD">
      <w:pPr>
        <w:pageBreakBefore w:val="0"/>
        <w:wordWrap/>
        <w:bidi w:val="0"/>
        <w:adjustRightInd/>
        <w:snapToGrid/>
        <w:ind w:firstLine="640"/>
        <w:jc w:val="center"/>
        <w:rPr>
          <w:color w:val="auto"/>
          <w:sz w:val="32"/>
          <w:szCs w:val="32"/>
        </w:rPr>
      </w:pPr>
      <w:bookmarkStart w:id="7" w:name="_Toc153852471"/>
      <w:bookmarkStart w:id="8" w:name="_Toc156101818"/>
      <w:bookmarkStart w:id="9" w:name="_Toc153875286"/>
      <w:r>
        <w:rPr>
          <w:color w:val="auto"/>
          <w:sz w:val="32"/>
          <w:szCs w:val="32"/>
        </w:rPr>
        <w:t>目  录</w:t>
      </w:r>
      <w:bookmarkEnd w:id="7"/>
      <w:bookmarkEnd w:id="8"/>
      <w:bookmarkEnd w:id="9"/>
    </w:p>
    <w:p w14:paraId="6393F5CA">
      <w:pPr>
        <w:pStyle w:val="38"/>
        <w:tabs>
          <w:tab w:val="right" w:leader="dot" w:pos="8730"/>
        </w:tabs>
        <w:rPr>
          <w:color w:val="auto"/>
        </w:rPr>
      </w:pPr>
      <w:r>
        <w:rPr>
          <w:color w:val="auto"/>
          <w:szCs w:val="21"/>
        </w:rPr>
        <w:fldChar w:fldCharType="begin"/>
      </w:r>
      <w:r>
        <w:rPr>
          <w:color w:val="auto"/>
          <w:szCs w:val="21"/>
        </w:rPr>
        <w:instrText xml:space="preserve">TOC \o "1-2" \h \u </w:instrText>
      </w:r>
      <w:r>
        <w:rPr>
          <w:color w:val="auto"/>
          <w:szCs w:val="21"/>
        </w:rPr>
        <w:fldChar w:fldCharType="separate"/>
      </w:r>
      <w:r>
        <w:rPr>
          <w:color w:val="auto"/>
          <w:szCs w:val="21"/>
        </w:rPr>
        <w:fldChar w:fldCharType="begin"/>
      </w:r>
      <w:r>
        <w:rPr>
          <w:color w:val="auto"/>
          <w:szCs w:val="21"/>
        </w:rPr>
        <w:instrText xml:space="preserve"> HYPERLINK \l _Toc12340 </w:instrText>
      </w:r>
      <w:r>
        <w:rPr>
          <w:color w:val="auto"/>
          <w:szCs w:val="21"/>
        </w:rPr>
        <w:fldChar w:fldCharType="separate"/>
      </w:r>
      <w:r>
        <w:rPr>
          <w:rFonts w:eastAsia="宋体"/>
          <w:color w:val="auto"/>
        </w:rPr>
        <w:t>概述</w:t>
      </w:r>
      <w:r>
        <w:rPr>
          <w:color w:val="auto"/>
        </w:rPr>
        <w:tab/>
      </w:r>
      <w:r>
        <w:rPr>
          <w:color w:val="auto"/>
        </w:rPr>
        <w:fldChar w:fldCharType="begin"/>
      </w:r>
      <w:r>
        <w:rPr>
          <w:color w:val="auto"/>
        </w:rPr>
        <w:instrText xml:space="preserve"> PAGEREF _Toc12340 \h </w:instrText>
      </w:r>
      <w:r>
        <w:rPr>
          <w:color w:val="auto"/>
        </w:rPr>
        <w:fldChar w:fldCharType="separate"/>
      </w:r>
      <w:r>
        <w:rPr>
          <w:color w:val="auto"/>
        </w:rPr>
        <w:t>1</w:t>
      </w:r>
      <w:r>
        <w:rPr>
          <w:color w:val="auto"/>
        </w:rPr>
        <w:fldChar w:fldCharType="end"/>
      </w:r>
      <w:r>
        <w:rPr>
          <w:color w:val="auto"/>
          <w:szCs w:val="21"/>
        </w:rPr>
        <w:fldChar w:fldCharType="end"/>
      </w:r>
    </w:p>
    <w:p w14:paraId="14811B34">
      <w:pPr>
        <w:pStyle w:val="38"/>
        <w:tabs>
          <w:tab w:val="right" w:leader="dot" w:pos="8730"/>
        </w:tabs>
        <w:rPr>
          <w:color w:val="auto"/>
        </w:rPr>
      </w:pPr>
      <w:r>
        <w:rPr>
          <w:color w:val="auto"/>
        </w:rPr>
        <w:fldChar w:fldCharType="begin"/>
      </w:r>
      <w:r>
        <w:rPr>
          <w:color w:val="auto"/>
        </w:rPr>
        <w:instrText xml:space="preserve"> HYPERLINK \l _Toc25100 </w:instrText>
      </w:r>
      <w:r>
        <w:rPr>
          <w:color w:val="auto"/>
        </w:rPr>
        <w:fldChar w:fldCharType="separate"/>
      </w:r>
      <w:r>
        <w:rPr>
          <w:rFonts w:hint="default" w:ascii="Times New Roman" w:hAnsi="Times New Roman" w:eastAsia="宋体" w:cs="宋体"/>
          <w:i w:val="0"/>
          <w:color w:val="auto"/>
        </w:rPr>
        <w:t xml:space="preserve">1 </w:t>
      </w:r>
      <w:r>
        <w:rPr>
          <w:rFonts w:eastAsia="宋体"/>
          <w:color w:val="auto"/>
        </w:rPr>
        <w:t>总则</w:t>
      </w:r>
      <w:r>
        <w:rPr>
          <w:color w:val="auto"/>
        </w:rPr>
        <w:tab/>
      </w:r>
      <w:r>
        <w:rPr>
          <w:color w:val="auto"/>
        </w:rPr>
        <w:fldChar w:fldCharType="begin"/>
      </w:r>
      <w:r>
        <w:rPr>
          <w:color w:val="auto"/>
        </w:rPr>
        <w:instrText xml:space="preserve"> PAGEREF _Toc25100 \h </w:instrText>
      </w:r>
      <w:r>
        <w:rPr>
          <w:color w:val="auto"/>
        </w:rPr>
        <w:fldChar w:fldCharType="separate"/>
      </w:r>
      <w:r>
        <w:rPr>
          <w:color w:val="auto"/>
        </w:rPr>
        <w:t>7</w:t>
      </w:r>
      <w:r>
        <w:rPr>
          <w:color w:val="auto"/>
        </w:rPr>
        <w:fldChar w:fldCharType="end"/>
      </w:r>
      <w:r>
        <w:rPr>
          <w:color w:val="auto"/>
        </w:rPr>
        <w:fldChar w:fldCharType="end"/>
      </w:r>
    </w:p>
    <w:p w14:paraId="24C9D2D1">
      <w:pPr>
        <w:pStyle w:val="45"/>
        <w:tabs>
          <w:tab w:val="right" w:leader="dot" w:pos="8730"/>
        </w:tabs>
        <w:rPr>
          <w:color w:val="auto"/>
        </w:rPr>
      </w:pPr>
      <w:r>
        <w:rPr>
          <w:color w:val="auto"/>
        </w:rPr>
        <w:fldChar w:fldCharType="begin"/>
      </w:r>
      <w:r>
        <w:rPr>
          <w:color w:val="auto"/>
        </w:rPr>
        <w:instrText xml:space="preserve"> HYPERLINK \l _Toc5122 </w:instrText>
      </w:r>
      <w:r>
        <w:rPr>
          <w:color w:val="auto"/>
        </w:rPr>
        <w:fldChar w:fldCharType="separate"/>
      </w:r>
      <w:r>
        <w:rPr>
          <w:rFonts w:hint="default" w:ascii="Times New Roman" w:hAnsi="Times New Roman" w:eastAsia="宋体" w:cs="宋体"/>
          <w:i w:val="0"/>
          <w:color w:val="auto"/>
        </w:rPr>
        <w:t xml:space="preserve">1.1 </w:t>
      </w:r>
      <w:r>
        <w:rPr>
          <w:rFonts w:ascii="Times New Roman" w:hAnsi="Times New Roman" w:eastAsia="宋体"/>
          <w:color w:val="auto"/>
        </w:rPr>
        <w:t>编制依据</w:t>
      </w:r>
      <w:r>
        <w:rPr>
          <w:color w:val="auto"/>
        </w:rPr>
        <w:tab/>
      </w:r>
      <w:r>
        <w:rPr>
          <w:color w:val="auto"/>
        </w:rPr>
        <w:fldChar w:fldCharType="begin"/>
      </w:r>
      <w:r>
        <w:rPr>
          <w:color w:val="auto"/>
        </w:rPr>
        <w:instrText xml:space="preserve"> PAGEREF _Toc5122 \h </w:instrText>
      </w:r>
      <w:r>
        <w:rPr>
          <w:color w:val="auto"/>
        </w:rPr>
        <w:fldChar w:fldCharType="separate"/>
      </w:r>
      <w:r>
        <w:rPr>
          <w:color w:val="auto"/>
        </w:rPr>
        <w:t>7</w:t>
      </w:r>
      <w:r>
        <w:rPr>
          <w:color w:val="auto"/>
        </w:rPr>
        <w:fldChar w:fldCharType="end"/>
      </w:r>
      <w:r>
        <w:rPr>
          <w:color w:val="auto"/>
        </w:rPr>
        <w:fldChar w:fldCharType="end"/>
      </w:r>
    </w:p>
    <w:p w14:paraId="1E0381B2">
      <w:pPr>
        <w:pStyle w:val="45"/>
        <w:tabs>
          <w:tab w:val="right" w:leader="dot" w:pos="8730"/>
        </w:tabs>
        <w:rPr>
          <w:color w:val="auto"/>
        </w:rPr>
      </w:pPr>
      <w:r>
        <w:rPr>
          <w:color w:val="auto"/>
        </w:rPr>
        <w:fldChar w:fldCharType="begin"/>
      </w:r>
      <w:r>
        <w:rPr>
          <w:color w:val="auto"/>
        </w:rPr>
        <w:instrText xml:space="preserve"> HYPERLINK \l _Toc1426 </w:instrText>
      </w:r>
      <w:r>
        <w:rPr>
          <w:color w:val="auto"/>
        </w:rPr>
        <w:fldChar w:fldCharType="separate"/>
      </w:r>
      <w:r>
        <w:rPr>
          <w:rFonts w:hint="default" w:ascii="Times New Roman" w:hAnsi="Times New Roman" w:eastAsia="宋体" w:cs="宋体"/>
          <w:i w:val="0"/>
          <w:color w:val="auto"/>
        </w:rPr>
        <w:t xml:space="preserve">1.2 </w:t>
      </w:r>
      <w:r>
        <w:rPr>
          <w:rFonts w:hint="eastAsia"/>
          <w:color w:val="auto"/>
          <w:lang w:val="en-US" w:eastAsia="zh-CN"/>
        </w:rPr>
        <w:t>评价因子与评价标准</w:t>
      </w:r>
      <w:r>
        <w:rPr>
          <w:color w:val="auto"/>
        </w:rPr>
        <w:tab/>
      </w:r>
      <w:r>
        <w:rPr>
          <w:color w:val="auto"/>
        </w:rPr>
        <w:fldChar w:fldCharType="begin"/>
      </w:r>
      <w:r>
        <w:rPr>
          <w:color w:val="auto"/>
        </w:rPr>
        <w:instrText xml:space="preserve"> PAGEREF _Toc1426 \h </w:instrText>
      </w:r>
      <w:r>
        <w:rPr>
          <w:color w:val="auto"/>
        </w:rPr>
        <w:fldChar w:fldCharType="separate"/>
      </w:r>
      <w:r>
        <w:rPr>
          <w:color w:val="auto"/>
        </w:rPr>
        <w:t>11</w:t>
      </w:r>
      <w:r>
        <w:rPr>
          <w:color w:val="auto"/>
        </w:rPr>
        <w:fldChar w:fldCharType="end"/>
      </w:r>
      <w:r>
        <w:rPr>
          <w:color w:val="auto"/>
        </w:rPr>
        <w:fldChar w:fldCharType="end"/>
      </w:r>
    </w:p>
    <w:p w14:paraId="579574F7">
      <w:pPr>
        <w:pStyle w:val="45"/>
        <w:tabs>
          <w:tab w:val="right" w:leader="dot" w:pos="8730"/>
        </w:tabs>
        <w:rPr>
          <w:color w:val="auto"/>
        </w:rPr>
      </w:pPr>
      <w:r>
        <w:rPr>
          <w:color w:val="auto"/>
        </w:rPr>
        <w:fldChar w:fldCharType="begin"/>
      </w:r>
      <w:r>
        <w:rPr>
          <w:color w:val="auto"/>
        </w:rPr>
        <w:instrText xml:space="preserve"> HYPERLINK \l _Toc16568 </w:instrText>
      </w:r>
      <w:r>
        <w:rPr>
          <w:color w:val="auto"/>
        </w:rPr>
        <w:fldChar w:fldCharType="separate"/>
      </w:r>
      <w:r>
        <w:rPr>
          <w:rFonts w:hint="default" w:ascii="Times New Roman" w:hAnsi="Times New Roman" w:eastAsia="宋体" w:cs="宋体"/>
          <w:i w:val="0"/>
          <w:color w:val="auto"/>
        </w:rPr>
        <w:t xml:space="preserve">1.3 </w:t>
      </w:r>
      <w:r>
        <w:rPr>
          <w:rFonts w:ascii="Times New Roman" w:hAnsi="Times New Roman" w:eastAsia="宋体"/>
          <w:color w:val="auto"/>
        </w:rPr>
        <w:t>评价工作等级</w:t>
      </w:r>
      <w:r>
        <w:rPr>
          <w:rFonts w:hint="eastAsia"/>
          <w:color w:val="auto"/>
          <w:lang w:val="en-US" w:eastAsia="zh-CN"/>
        </w:rPr>
        <w:t>和评价重点</w:t>
      </w:r>
      <w:r>
        <w:rPr>
          <w:color w:val="auto"/>
        </w:rPr>
        <w:tab/>
      </w:r>
      <w:r>
        <w:rPr>
          <w:color w:val="auto"/>
        </w:rPr>
        <w:fldChar w:fldCharType="begin"/>
      </w:r>
      <w:r>
        <w:rPr>
          <w:color w:val="auto"/>
        </w:rPr>
        <w:instrText xml:space="preserve"> PAGEREF _Toc16568 \h </w:instrText>
      </w:r>
      <w:r>
        <w:rPr>
          <w:color w:val="auto"/>
        </w:rPr>
        <w:fldChar w:fldCharType="separate"/>
      </w:r>
      <w:r>
        <w:rPr>
          <w:color w:val="auto"/>
        </w:rPr>
        <w:t>20</w:t>
      </w:r>
      <w:r>
        <w:rPr>
          <w:color w:val="auto"/>
        </w:rPr>
        <w:fldChar w:fldCharType="end"/>
      </w:r>
      <w:r>
        <w:rPr>
          <w:color w:val="auto"/>
        </w:rPr>
        <w:fldChar w:fldCharType="end"/>
      </w:r>
    </w:p>
    <w:p w14:paraId="41953EE5">
      <w:pPr>
        <w:pStyle w:val="45"/>
        <w:tabs>
          <w:tab w:val="right" w:leader="dot" w:pos="8730"/>
        </w:tabs>
        <w:rPr>
          <w:color w:val="auto"/>
        </w:rPr>
      </w:pPr>
      <w:r>
        <w:rPr>
          <w:color w:val="auto"/>
        </w:rPr>
        <w:fldChar w:fldCharType="begin"/>
      </w:r>
      <w:r>
        <w:rPr>
          <w:color w:val="auto"/>
        </w:rPr>
        <w:instrText xml:space="preserve"> HYPERLINK \l _Toc11575 </w:instrText>
      </w:r>
      <w:r>
        <w:rPr>
          <w:color w:val="auto"/>
        </w:rPr>
        <w:fldChar w:fldCharType="separate"/>
      </w:r>
      <w:r>
        <w:rPr>
          <w:rFonts w:hint="default" w:ascii="Times New Roman" w:hAnsi="Times New Roman" w:eastAsia="宋体" w:cs="宋体"/>
          <w:i w:val="0"/>
          <w:color w:val="auto"/>
        </w:rPr>
        <w:t xml:space="preserve">1.4 </w:t>
      </w:r>
      <w:r>
        <w:rPr>
          <w:rFonts w:ascii="Times New Roman" w:hAnsi="Times New Roman" w:eastAsia="宋体"/>
          <w:color w:val="auto"/>
        </w:rPr>
        <w:t>评价范围</w:t>
      </w:r>
      <w:r>
        <w:rPr>
          <w:rFonts w:hint="eastAsia"/>
          <w:color w:val="auto"/>
          <w:lang w:val="en-US" w:eastAsia="zh-CN"/>
        </w:rPr>
        <w:t>及环境敏感区</w:t>
      </w:r>
      <w:r>
        <w:rPr>
          <w:color w:val="auto"/>
        </w:rPr>
        <w:tab/>
      </w:r>
      <w:r>
        <w:rPr>
          <w:color w:val="auto"/>
        </w:rPr>
        <w:fldChar w:fldCharType="begin"/>
      </w:r>
      <w:r>
        <w:rPr>
          <w:color w:val="auto"/>
        </w:rPr>
        <w:instrText xml:space="preserve"> PAGEREF _Toc11575 \h </w:instrText>
      </w:r>
      <w:r>
        <w:rPr>
          <w:color w:val="auto"/>
        </w:rPr>
        <w:fldChar w:fldCharType="separate"/>
      </w:r>
      <w:r>
        <w:rPr>
          <w:color w:val="auto"/>
        </w:rPr>
        <w:t>28</w:t>
      </w:r>
      <w:r>
        <w:rPr>
          <w:color w:val="auto"/>
        </w:rPr>
        <w:fldChar w:fldCharType="end"/>
      </w:r>
      <w:r>
        <w:rPr>
          <w:color w:val="auto"/>
        </w:rPr>
        <w:fldChar w:fldCharType="end"/>
      </w:r>
    </w:p>
    <w:p w14:paraId="2B1D9FAD">
      <w:pPr>
        <w:pStyle w:val="45"/>
        <w:tabs>
          <w:tab w:val="right" w:leader="dot" w:pos="8730"/>
        </w:tabs>
        <w:rPr>
          <w:color w:val="auto"/>
        </w:rPr>
      </w:pPr>
      <w:r>
        <w:rPr>
          <w:color w:val="auto"/>
        </w:rPr>
        <w:fldChar w:fldCharType="begin"/>
      </w:r>
      <w:r>
        <w:rPr>
          <w:color w:val="auto"/>
        </w:rPr>
        <w:instrText xml:space="preserve"> HYPERLINK \l _Toc26005 </w:instrText>
      </w:r>
      <w:r>
        <w:rPr>
          <w:color w:val="auto"/>
        </w:rPr>
        <w:fldChar w:fldCharType="separate"/>
      </w:r>
      <w:r>
        <w:rPr>
          <w:rFonts w:hint="default" w:ascii="Times New Roman" w:hAnsi="Times New Roman" w:eastAsia="宋体" w:cs="宋体"/>
          <w:i w:val="0"/>
          <w:color w:val="auto"/>
        </w:rPr>
        <w:t xml:space="preserve">1.5 </w:t>
      </w:r>
      <w:r>
        <w:rPr>
          <w:rFonts w:ascii="Times New Roman" w:hAnsi="Times New Roman" w:eastAsia="宋体"/>
          <w:color w:val="auto"/>
        </w:rPr>
        <w:t>相关规划及环境功能区划</w:t>
      </w:r>
      <w:r>
        <w:rPr>
          <w:color w:val="auto"/>
        </w:rPr>
        <w:tab/>
      </w:r>
      <w:r>
        <w:rPr>
          <w:color w:val="auto"/>
        </w:rPr>
        <w:fldChar w:fldCharType="begin"/>
      </w:r>
      <w:r>
        <w:rPr>
          <w:color w:val="auto"/>
        </w:rPr>
        <w:instrText xml:space="preserve"> PAGEREF _Toc26005 \h </w:instrText>
      </w:r>
      <w:r>
        <w:rPr>
          <w:color w:val="auto"/>
        </w:rPr>
        <w:fldChar w:fldCharType="separate"/>
      </w:r>
      <w:r>
        <w:rPr>
          <w:color w:val="auto"/>
        </w:rPr>
        <w:t>31</w:t>
      </w:r>
      <w:r>
        <w:rPr>
          <w:color w:val="auto"/>
        </w:rPr>
        <w:fldChar w:fldCharType="end"/>
      </w:r>
      <w:r>
        <w:rPr>
          <w:color w:val="auto"/>
        </w:rPr>
        <w:fldChar w:fldCharType="end"/>
      </w:r>
    </w:p>
    <w:p w14:paraId="530DF98A">
      <w:pPr>
        <w:pStyle w:val="45"/>
        <w:tabs>
          <w:tab w:val="right" w:leader="dot" w:pos="8730"/>
        </w:tabs>
        <w:rPr>
          <w:color w:val="auto"/>
        </w:rPr>
      </w:pPr>
      <w:r>
        <w:rPr>
          <w:color w:val="auto"/>
        </w:rPr>
        <w:fldChar w:fldCharType="begin"/>
      </w:r>
      <w:r>
        <w:rPr>
          <w:color w:val="auto"/>
        </w:rPr>
        <w:instrText xml:space="preserve"> HYPERLINK \l _Toc31709 </w:instrText>
      </w:r>
      <w:r>
        <w:rPr>
          <w:color w:val="auto"/>
        </w:rPr>
        <w:fldChar w:fldCharType="separate"/>
      </w:r>
      <w:r>
        <w:rPr>
          <w:rFonts w:hint="default" w:ascii="Times New Roman" w:hAnsi="Times New Roman" w:eastAsia="宋体" w:cs="宋体"/>
          <w:i w:val="0"/>
          <w:color w:val="auto"/>
        </w:rPr>
        <w:t xml:space="preserve">1.6 </w:t>
      </w:r>
      <w:r>
        <w:rPr>
          <w:rFonts w:ascii="Times New Roman" w:hAnsi="Times New Roman" w:eastAsia="宋体"/>
          <w:color w:val="auto"/>
        </w:rPr>
        <w:t>项目外环境关系及选址合理性分析</w:t>
      </w:r>
      <w:r>
        <w:rPr>
          <w:color w:val="auto"/>
        </w:rPr>
        <w:tab/>
      </w:r>
      <w:r>
        <w:rPr>
          <w:color w:val="auto"/>
        </w:rPr>
        <w:fldChar w:fldCharType="begin"/>
      </w:r>
      <w:r>
        <w:rPr>
          <w:color w:val="auto"/>
        </w:rPr>
        <w:instrText xml:space="preserve"> PAGEREF _Toc31709 \h </w:instrText>
      </w:r>
      <w:r>
        <w:rPr>
          <w:color w:val="auto"/>
        </w:rPr>
        <w:fldChar w:fldCharType="separate"/>
      </w:r>
      <w:r>
        <w:rPr>
          <w:color w:val="auto"/>
        </w:rPr>
        <w:t>54</w:t>
      </w:r>
      <w:r>
        <w:rPr>
          <w:color w:val="auto"/>
        </w:rPr>
        <w:fldChar w:fldCharType="end"/>
      </w:r>
      <w:r>
        <w:rPr>
          <w:color w:val="auto"/>
        </w:rPr>
        <w:fldChar w:fldCharType="end"/>
      </w:r>
    </w:p>
    <w:p w14:paraId="12C944C4">
      <w:pPr>
        <w:pStyle w:val="45"/>
        <w:tabs>
          <w:tab w:val="right" w:leader="dot" w:pos="8730"/>
        </w:tabs>
        <w:rPr>
          <w:color w:val="auto"/>
        </w:rPr>
      </w:pPr>
      <w:r>
        <w:rPr>
          <w:color w:val="auto"/>
        </w:rPr>
        <w:fldChar w:fldCharType="begin"/>
      </w:r>
      <w:r>
        <w:rPr>
          <w:color w:val="auto"/>
        </w:rPr>
        <w:instrText xml:space="preserve"> HYPERLINK \l _Toc4107 </w:instrText>
      </w:r>
      <w:r>
        <w:rPr>
          <w:color w:val="auto"/>
        </w:rPr>
        <w:fldChar w:fldCharType="separate"/>
      </w:r>
      <w:r>
        <w:rPr>
          <w:rFonts w:hint="default" w:ascii="Times New Roman" w:hAnsi="Times New Roman" w:eastAsia="宋体" w:cs="宋体"/>
          <w:i w:val="0"/>
          <w:color w:val="auto"/>
          <w:lang w:val="en-US"/>
        </w:rPr>
        <w:t xml:space="preserve">1.7 </w:t>
      </w:r>
      <w:r>
        <w:rPr>
          <w:rFonts w:hint="eastAsia" w:ascii="Times New Roman" w:hAnsi="Times New Roman" w:eastAsia="宋体"/>
          <w:color w:val="auto"/>
        </w:rPr>
        <w:t xml:space="preserve"> </w:t>
      </w:r>
      <w:r>
        <w:rPr>
          <w:rFonts w:hint="eastAsia"/>
          <w:color w:val="auto"/>
          <w:lang w:val="en-US" w:eastAsia="zh-CN"/>
        </w:rPr>
        <w:t>园区概况</w:t>
      </w:r>
      <w:r>
        <w:rPr>
          <w:color w:val="auto"/>
        </w:rPr>
        <w:tab/>
      </w:r>
      <w:r>
        <w:rPr>
          <w:color w:val="auto"/>
        </w:rPr>
        <w:fldChar w:fldCharType="begin"/>
      </w:r>
      <w:r>
        <w:rPr>
          <w:color w:val="auto"/>
        </w:rPr>
        <w:instrText xml:space="preserve"> PAGEREF _Toc4107 \h </w:instrText>
      </w:r>
      <w:r>
        <w:rPr>
          <w:color w:val="auto"/>
        </w:rPr>
        <w:fldChar w:fldCharType="separate"/>
      </w:r>
      <w:r>
        <w:rPr>
          <w:color w:val="auto"/>
        </w:rPr>
        <w:t>57</w:t>
      </w:r>
      <w:r>
        <w:rPr>
          <w:color w:val="auto"/>
        </w:rPr>
        <w:fldChar w:fldCharType="end"/>
      </w:r>
      <w:r>
        <w:rPr>
          <w:color w:val="auto"/>
        </w:rPr>
        <w:fldChar w:fldCharType="end"/>
      </w:r>
    </w:p>
    <w:p w14:paraId="15A96436">
      <w:pPr>
        <w:pStyle w:val="38"/>
        <w:tabs>
          <w:tab w:val="right" w:leader="dot" w:pos="8730"/>
        </w:tabs>
        <w:rPr>
          <w:color w:val="auto"/>
        </w:rPr>
      </w:pPr>
      <w:r>
        <w:rPr>
          <w:color w:val="auto"/>
        </w:rPr>
        <w:fldChar w:fldCharType="begin"/>
      </w:r>
      <w:r>
        <w:rPr>
          <w:color w:val="auto"/>
        </w:rPr>
        <w:instrText xml:space="preserve"> HYPERLINK \l _Toc20194 </w:instrText>
      </w:r>
      <w:r>
        <w:rPr>
          <w:color w:val="auto"/>
        </w:rPr>
        <w:fldChar w:fldCharType="separate"/>
      </w:r>
      <w:r>
        <w:rPr>
          <w:rFonts w:hint="default" w:ascii="Times New Roman" w:hAnsi="Times New Roman" w:eastAsia="宋体" w:cs="宋体"/>
          <w:i w:val="0"/>
          <w:color w:val="auto"/>
        </w:rPr>
        <w:t xml:space="preserve">2 </w:t>
      </w:r>
      <w:r>
        <w:rPr>
          <w:rFonts w:eastAsia="宋体"/>
          <w:color w:val="auto"/>
        </w:rPr>
        <w:t>建设项目</w:t>
      </w:r>
      <w:r>
        <w:rPr>
          <w:rFonts w:hint="eastAsia" w:eastAsia="宋体"/>
          <w:color w:val="auto"/>
          <w:lang w:val="en-US" w:eastAsia="zh-CN"/>
        </w:rPr>
        <w:t>概况与</w:t>
      </w:r>
      <w:r>
        <w:rPr>
          <w:rFonts w:eastAsia="宋体"/>
          <w:color w:val="auto"/>
        </w:rPr>
        <w:t>工程分析</w:t>
      </w:r>
      <w:r>
        <w:rPr>
          <w:color w:val="auto"/>
        </w:rPr>
        <w:tab/>
      </w:r>
      <w:r>
        <w:rPr>
          <w:color w:val="auto"/>
        </w:rPr>
        <w:fldChar w:fldCharType="begin"/>
      </w:r>
      <w:r>
        <w:rPr>
          <w:color w:val="auto"/>
        </w:rPr>
        <w:instrText xml:space="preserve"> PAGEREF _Toc20194 \h </w:instrText>
      </w:r>
      <w:r>
        <w:rPr>
          <w:color w:val="auto"/>
        </w:rPr>
        <w:fldChar w:fldCharType="separate"/>
      </w:r>
      <w:r>
        <w:rPr>
          <w:color w:val="auto"/>
        </w:rPr>
        <w:t>63</w:t>
      </w:r>
      <w:r>
        <w:rPr>
          <w:color w:val="auto"/>
        </w:rPr>
        <w:fldChar w:fldCharType="end"/>
      </w:r>
      <w:r>
        <w:rPr>
          <w:color w:val="auto"/>
        </w:rPr>
        <w:fldChar w:fldCharType="end"/>
      </w:r>
    </w:p>
    <w:p w14:paraId="70078DCD">
      <w:pPr>
        <w:pStyle w:val="45"/>
        <w:tabs>
          <w:tab w:val="right" w:leader="dot" w:pos="8730"/>
        </w:tabs>
        <w:rPr>
          <w:color w:val="auto"/>
        </w:rPr>
      </w:pPr>
      <w:r>
        <w:rPr>
          <w:color w:val="auto"/>
        </w:rPr>
        <w:fldChar w:fldCharType="begin"/>
      </w:r>
      <w:r>
        <w:rPr>
          <w:color w:val="auto"/>
        </w:rPr>
        <w:instrText xml:space="preserve"> HYPERLINK \l _Toc24301 </w:instrText>
      </w:r>
      <w:r>
        <w:rPr>
          <w:color w:val="auto"/>
        </w:rPr>
        <w:fldChar w:fldCharType="separate"/>
      </w:r>
      <w:r>
        <w:rPr>
          <w:rFonts w:hint="default" w:ascii="Times New Roman" w:hAnsi="Times New Roman" w:eastAsia="宋体" w:cs="宋体"/>
          <w:i w:val="0"/>
          <w:color w:val="auto"/>
        </w:rPr>
        <w:t xml:space="preserve">2.1 </w:t>
      </w:r>
      <w:r>
        <w:rPr>
          <w:rFonts w:ascii="Times New Roman" w:hAnsi="Times New Roman" w:eastAsia="宋体"/>
          <w:color w:val="auto"/>
        </w:rPr>
        <w:t>项目概况</w:t>
      </w:r>
      <w:r>
        <w:rPr>
          <w:color w:val="auto"/>
        </w:rPr>
        <w:tab/>
      </w:r>
      <w:r>
        <w:rPr>
          <w:color w:val="auto"/>
        </w:rPr>
        <w:fldChar w:fldCharType="begin"/>
      </w:r>
      <w:r>
        <w:rPr>
          <w:color w:val="auto"/>
        </w:rPr>
        <w:instrText xml:space="preserve"> PAGEREF _Toc24301 \h </w:instrText>
      </w:r>
      <w:r>
        <w:rPr>
          <w:color w:val="auto"/>
        </w:rPr>
        <w:fldChar w:fldCharType="separate"/>
      </w:r>
      <w:r>
        <w:rPr>
          <w:color w:val="auto"/>
        </w:rPr>
        <w:t>63</w:t>
      </w:r>
      <w:r>
        <w:rPr>
          <w:color w:val="auto"/>
        </w:rPr>
        <w:fldChar w:fldCharType="end"/>
      </w:r>
      <w:r>
        <w:rPr>
          <w:color w:val="auto"/>
        </w:rPr>
        <w:fldChar w:fldCharType="end"/>
      </w:r>
    </w:p>
    <w:p w14:paraId="4600F4DB">
      <w:pPr>
        <w:pStyle w:val="45"/>
        <w:tabs>
          <w:tab w:val="right" w:leader="dot" w:pos="8730"/>
        </w:tabs>
        <w:rPr>
          <w:color w:val="auto"/>
        </w:rPr>
      </w:pPr>
      <w:r>
        <w:rPr>
          <w:color w:val="auto"/>
        </w:rPr>
        <w:fldChar w:fldCharType="begin"/>
      </w:r>
      <w:r>
        <w:rPr>
          <w:color w:val="auto"/>
        </w:rPr>
        <w:instrText xml:space="preserve"> HYPERLINK \l _Toc19723 </w:instrText>
      </w:r>
      <w:r>
        <w:rPr>
          <w:color w:val="auto"/>
        </w:rPr>
        <w:fldChar w:fldCharType="separate"/>
      </w:r>
      <w:r>
        <w:rPr>
          <w:rFonts w:hint="default" w:ascii="Times New Roman" w:hAnsi="Times New Roman" w:eastAsia="宋体" w:cs="宋体"/>
          <w:i w:val="0"/>
          <w:color w:val="auto"/>
        </w:rPr>
        <w:t xml:space="preserve">2.2 </w:t>
      </w:r>
      <w:r>
        <w:rPr>
          <w:rFonts w:hint="eastAsia"/>
          <w:color w:val="auto"/>
          <w:lang w:val="en-US" w:eastAsia="zh-CN"/>
        </w:rPr>
        <w:t>相关合理性分析</w:t>
      </w:r>
      <w:r>
        <w:rPr>
          <w:color w:val="auto"/>
        </w:rPr>
        <w:tab/>
      </w:r>
      <w:r>
        <w:rPr>
          <w:color w:val="auto"/>
        </w:rPr>
        <w:fldChar w:fldCharType="begin"/>
      </w:r>
      <w:r>
        <w:rPr>
          <w:color w:val="auto"/>
        </w:rPr>
        <w:instrText xml:space="preserve"> PAGEREF _Toc19723 \h </w:instrText>
      </w:r>
      <w:r>
        <w:rPr>
          <w:color w:val="auto"/>
        </w:rPr>
        <w:fldChar w:fldCharType="separate"/>
      </w:r>
      <w:r>
        <w:rPr>
          <w:color w:val="auto"/>
        </w:rPr>
        <w:t>91</w:t>
      </w:r>
      <w:r>
        <w:rPr>
          <w:color w:val="auto"/>
        </w:rPr>
        <w:fldChar w:fldCharType="end"/>
      </w:r>
      <w:r>
        <w:rPr>
          <w:color w:val="auto"/>
        </w:rPr>
        <w:fldChar w:fldCharType="end"/>
      </w:r>
    </w:p>
    <w:p w14:paraId="067A161F">
      <w:pPr>
        <w:pStyle w:val="45"/>
        <w:tabs>
          <w:tab w:val="right" w:leader="dot" w:pos="8730"/>
        </w:tabs>
        <w:rPr>
          <w:color w:val="auto"/>
        </w:rPr>
      </w:pPr>
      <w:r>
        <w:rPr>
          <w:color w:val="auto"/>
        </w:rPr>
        <w:fldChar w:fldCharType="begin"/>
      </w:r>
      <w:r>
        <w:rPr>
          <w:color w:val="auto"/>
        </w:rPr>
        <w:instrText xml:space="preserve"> HYPERLINK \l _Toc23587 </w:instrText>
      </w:r>
      <w:r>
        <w:rPr>
          <w:color w:val="auto"/>
        </w:rPr>
        <w:fldChar w:fldCharType="separate"/>
      </w:r>
      <w:r>
        <w:rPr>
          <w:rFonts w:hint="default" w:ascii="Times New Roman" w:hAnsi="Times New Roman" w:eastAsia="宋体" w:cs="宋体"/>
          <w:i w:val="0"/>
          <w:color w:val="auto"/>
        </w:rPr>
        <w:t xml:space="preserve">2.3 </w:t>
      </w:r>
      <w:r>
        <w:rPr>
          <w:rFonts w:ascii="Times New Roman" w:hAnsi="Times New Roman" w:eastAsia="宋体"/>
          <w:color w:val="auto"/>
        </w:rPr>
        <w:t>项目工程分析</w:t>
      </w:r>
      <w:r>
        <w:rPr>
          <w:color w:val="auto"/>
        </w:rPr>
        <w:tab/>
      </w:r>
      <w:r>
        <w:rPr>
          <w:color w:val="auto"/>
        </w:rPr>
        <w:fldChar w:fldCharType="begin"/>
      </w:r>
      <w:r>
        <w:rPr>
          <w:color w:val="auto"/>
        </w:rPr>
        <w:instrText xml:space="preserve"> PAGEREF _Toc23587 \h </w:instrText>
      </w:r>
      <w:r>
        <w:rPr>
          <w:color w:val="auto"/>
        </w:rPr>
        <w:fldChar w:fldCharType="separate"/>
      </w:r>
      <w:r>
        <w:rPr>
          <w:color w:val="auto"/>
        </w:rPr>
        <w:t>139</w:t>
      </w:r>
      <w:r>
        <w:rPr>
          <w:color w:val="auto"/>
        </w:rPr>
        <w:fldChar w:fldCharType="end"/>
      </w:r>
      <w:r>
        <w:rPr>
          <w:color w:val="auto"/>
        </w:rPr>
        <w:fldChar w:fldCharType="end"/>
      </w:r>
    </w:p>
    <w:p w14:paraId="18F1AF72">
      <w:pPr>
        <w:pStyle w:val="45"/>
        <w:tabs>
          <w:tab w:val="right" w:leader="dot" w:pos="8730"/>
        </w:tabs>
        <w:rPr>
          <w:color w:val="auto"/>
        </w:rPr>
      </w:pPr>
      <w:r>
        <w:rPr>
          <w:color w:val="auto"/>
        </w:rPr>
        <w:fldChar w:fldCharType="begin"/>
      </w:r>
      <w:r>
        <w:rPr>
          <w:color w:val="auto"/>
        </w:rPr>
        <w:instrText xml:space="preserve"> HYPERLINK \l _Toc17909 </w:instrText>
      </w:r>
      <w:r>
        <w:rPr>
          <w:color w:val="auto"/>
        </w:rPr>
        <w:fldChar w:fldCharType="separate"/>
      </w:r>
      <w:r>
        <w:rPr>
          <w:rFonts w:hint="default" w:ascii="Times New Roman" w:hAnsi="Times New Roman" w:eastAsia="宋体" w:cs="宋体"/>
          <w:i w:val="0"/>
          <w:color w:val="auto"/>
        </w:rPr>
        <w:t xml:space="preserve">2.4 </w:t>
      </w:r>
      <w:r>
        <w:rPr>
          <w:rFonts w:ascii="Times New Roman" w:hAnsi="Times New Roman" w:eastAsia="宋体"/>
          <w:color w:val="auto"/>
        </w:rPr>
        <w:t>施工期污染物排放及治理措施</w:t>
      </w:r>
      <w:r>
        <w:rPr>
          <w:color w:val="auto"/>
        </w:rPr>
        <w:tab/>
      </w:r>
      <w:r>
        <w:rPr>
          <w:color w:val="auto"/>
        </w:rPr>
        <w:fldChar w:fldCharType="begin"/>
      </w:r>
      <w:r>
        <w:rPr>
          <w:color w:val="auto"/>
        </w:rPr>
        <w:instrText xml:space="preserve"> PAGEREF _Toc17909 \h </w:instrText>
      </w:r>
      <w:r>
        <w:rPr>
          <w:color w:val="auto"/>
        </w:rPr>
        <w:fldChar w:fldCharType="separate"/>
      </w:r>
      <w:r>
        <w:rPr>
          <w:color w:val="auto"/>
        </w:rPr>
        <w:t>148</w:t>
      </w:r>
      <w:r>
        <w:rPr>
          <w:color w:val="auto"/>
        </w:rPr>
        <w:fldChar w:fldCharType="end"/>
      </w:r>
      <w:r>
        <w:rPr>
          <w:color w:val="auto"/>
        </w:rPr>
        <w:fldChar w:fldCharType="end"/>
      </w:r>
    </w:p>
    <w:p w14:paraId="2336D398">
      <w:pPr>
        <w:pStyle w:val="45"/>
        <w:tabs>
          <w:tab w:val="right" w:leader="dot" w:pos="8730"/>
        </w:tabs>
        <w:rPr>
          <w:color w:val="auto"/>
        </w:rPr>
      </w:pPr>
      <w:r>
        <w:rPr>
          <w:color w:val="auto"/>
        </w:rPr>
        <w:fldChar w:fldCharType="begin"/>
      </w:r>
      <w:r>
        <w:rPr>
          <w:color w:val="auto"/>
        </w:rPr>
        <w:instrText xml:space="preserve"> HYPERLINK \l _Toc11748 </w:instrText>
      </w:r>
      <w:r>
        <w:rPr>
          <w:color w:val="auto"/>
        </w:rPr>
        <w:fldChar w:fldCharType="separate"/>
      </w:r>
      <w:r>
        <w:rPr>
          <w:rFonts w:hint="default" w:ascii="Times New Roman" w:hAnsi="Times New Roman" w:eastAsia="宋体" w:cs="宋体"/>
          <w:i w:val="0"/>
          <w:color w:val="auto"/>
        </w:rPr>
        <w:t xml:space="preserve">2.5 </w:t>
      </w:r>
      <w:r>
        <w:rPr>
          <w:rFonts w:ascii="Times New Roman" w:hAnsi="Times New Roman" w:eastAsia="宋体"/>
          <w:color w:val="auto"/>
        </w:rPr>
        <w:t>营运期污染物产生及治理措施</w:t>
      </w:r>
      <w:r>
        <w:rPr>
          <w:color w:val="auto"/>
        </w:rPr>
        <w:tab/>
      </w:r>
      <w:r>
        <w:rPr>
          <w:color w:val="auto"/>
        </w:rPr>
        <w:fldChar w:fldCharType="begin"/>
      </w:r>
      <w:r>
        <w:rPr>
          <w:color w:val="auto"/>
        </w:rPr>
        <w:instrText xml:space="preserve"> PAGEREF _Toc11748 \h </w:instrText>
      </w:r>
      <w:r>
        <w:rPr>
          <w:color w:val="auto"/>
        </w:rPr>
        <w:fldChar w:fldCharType="separate"/>
      </w:r>
      <w:r>
        <w:rPr>
          <w:color w:val="auto"/>
        </w:rPr>
        <w:t>161</w:t>
      </w:r>
      <w:r>
        <w:rPr>
          <w:color w:val="auto"/>
        </w:rPr>
        <w:fldChar w:fldCharType="end"/>
      </w:r>
      <w:r>
        <w:rPr>
          <w:color w:val="auto"/>
        </w:rPr>
        <w:fldChar w:fldCharType="end"/>
      </w:r>
    </w:p>
    <w:p w14:paraId="0392C9DD">
      <w:pPr>
        <w:pStyle w:val="45"/>
        <w:tabs>
          <w:tab w:val="right" w:leader="dot" w:pos="8730"/>
        </w:tabs>
        <w:rPr>
          <w:color w:val="auto"/>
        </w:rPr>
      </w:pPr>
      <w:r>
        <w:rPr>
          <w:color w:val="auto"/>
        </w:rPr>
        <w:fldChar w:fldCharType="begin"/>
      </w:r>
      <w:r>
        <w:rPr>
          <w:color w:val="auto"/>
        </w:rPr>
        <w:instrText xml:space="preserve"> HYPERLINK \l _Toc18612 </w:instrText>
      </w:r>
      <w:r>
        <w:rPr>
          <w:color w:val="auto"/>
        </w:rPr>
        <w:fldChar w:fldCharType="separate"/>
      </w:r>
      <w:r>
        <w:rPr>
          <w:rFonts w:hint="default" w:ascii="Times New Roman" w:hAnsi="Times New Roman" w:eastAsia="宋体" w:cs="宋体"/>
          <w:i w:val="0"/>
          <w:color w:val="auto"/>
        </w:rPr>
        <w:t xml:space="preserve">2.6 </w:t>
      </w:r>
      <w:r>
        <w:rPr>
          <w:rFonts w:ascii="Times New Roman" w:hAnsi="Times New Roman" w:eastAsia="宋体"/>
          <w:color w:val="auto"/>
        </w:rPr>
        <w:t>污染源源强核算结果及相关参数</w:t>
      </w:r>
      <w:r>
        <w:rPr>
          <w:color w:val="auto"/>
        </w:rPr>
        <w:tab/>
      </w:r>
      <w:r>
        <w:rPr>
          <w:color w:val="auto"/>
        </w:rPr>
        <w:fldChar w:fldCharType="begin"/>
      </w:r>
      <w:r>
        <w:rPr>
          <w:color w:val="auto"/>
        </w:rPr>
        <w:instrText xml:space="preserve"> PAGEREF _Toc18612 \h </w:instrText>
      </w:r>
      <w:r>
        <w:rPr>
          <w:color w:val="auto"/>
        </w:rPr>
        <w:fldChar w:fldCharType="separate"/>
      </w:r>
      <w:r>
        <w:rPr>
          <w:color w:val="auto"/>
        </w:rPr>
        <w:t>180</w:t>
      </w:r>
      <w:r>
        <w:rPr>
          <w:color w:val="auto"/>
        </w:rPr>
        <w:fldChar w:fldCharType="end"/>
      </w:r>
      <w:r>
        <w:rPr>
          <w:color w:val="auto"/>
        </w:rPr>
        <w:fldChar w:fldCharType="end"/>
      </w:r>
    </w:p>
    <w:p w14:paraId="0FC075C5">
      <w:pPr>
        <w:pStyle w:val="45"/>
        <w:tabs>
          <w:tab w:val="right" w:leader="dot" w:pos="8730"/>
        </w:tabs>
        <w:rPr>
          <w:color w:val="auto"/>
        </w:rPr>
      </w:pPr>
      <w:r>
        <w:rPr>
          <w:color w:val="auto"/>
        </w:rPr>
        <w:fldChar w:fldCharType="begin"/>
      </w:r>
      <w:r>
        <w:rPr>
          <w:color w:val="auto"/>
        </w:rPr>
        <w:instrText xml:space="preserve"> HYPERLINK \l _Toc8484 </w:instrText>
      </w:r>
      <w:r>
        <w:rPr>
          <w:color w:val="auto"/>
        </w:rPr>
        <w:fldChar w:fldCharType="separate"/>
      </w:r>
      <w:r>
        <w:rPr>
          <w:rFonts w:hint="default" w:ascii="Times New Roman" w:hAnsi="Times New Roman" w:eastAsia="宋体" w:cs="宋体"/>
          <w:i w:val="0"/>
          <w:color w:val="auto"/>
        </w:rPr>
        <w:t xml:space="preserve">2.7 </w:t>
      </w:r>
      <w:r>
        <w:rPr>
          <w:color w:val="auto"/>
        </w:rPr>
        <w:t>营运期</w:t>
      </w:r>
      <w:r>
        <w:rPr>
          <w:rFonts w:hint="eastAsia"/>
          <w:color w:val="auto"/>
          <w:lang w:eastAsia="zh-CN"/>
        </w:rPr>
        <w:t>“</w:t>
      </w:r>
      <w:r>
        <w:rPr>
          <w:color w:val="auto"/>
        </w:rPr>
        <w:t>三废</w:t>
      </w:r>
      <w:r>
        <w:rPr>
          <w:rFonts w:hint="eastAsia"/>
          <w:color w:val="auto"/>
          <w:lang w:eastAsia="zh-CN"/>
        </w:rPr>
        <w:t>”</w:t>
      </w:r>
      <w:r>
        <w:rPr>
          <w:color w:val="auto"/>
        </w:rPr>
        <w:t>产生及排放情况统计</w:t>
      </w:r>
      <w:r>
        <w:rPr>
          <w:color w:val="auto"/>
        </w:rPr>
        <w:tab/>
      </w:r>
      <w:r>
        <w:rPr>
          <w:color w:val="auto"/>
        </w:rPr>
        <w:fldChar w:fldCharType="begin"/>
      </w:r>
      <w:r>
        <w:rPr>
          <w:color w:val="auto"/>
        </w:rPr>
        <w:instrText xml:space="preserve"> PAGEREF _Toc8484 \h </w:instrText>
      </w:r>
      <w:r>
        <w:rPr>
          <w:color w:val="auto"/>
        </w:rPr>
        <w:fldChar w:fldCharType="separate"/>
      </w:r>
      <w:r>
        <w:rPr>
          <w:color w:val="auto"/>
        </w:rPr>
        <w:t>183</w:t>
      </w:r>
      <w:r>
        <w:rPr>
          <w:color w:val="auto"/>
        </w:rPr>
        <w:fldChar w:fldCharType="end"/>
      </w:r>
      <w:r>
        <w:rPr>
          <w:color w:val="auto"/>
        </w:rPr>
        <w:fldChar w:fldCharType="end"/>
      </w:r>
    </w:p>
    <w:p w14:paraId="2EF8FD0A">
      <w:pPr>
        <w:pStyle w:val="45"/>
        <w:tabs>
          <w:tab w:val="right" w:leader="dot" w:pos="8730"/>
        </w:tabs>
        <w:rPr>
          <w:color w:val="auto"/>
        </w:rPr>
      </w:pPr>
      <w:r>
        <w:rPr>
          <w:color w:val="auto"/>
        </w:rPr>
        <w:fldChar w:fldCharType="begin"/>
      </w:r>
      <w:r>
        <w:rPr>
          <w:color w:val="auto"/>
        </w:rPr>
        <w:instrText xml:space="preserve"> HYPERLINK \l _Toc29528 </w:instrText>
      </w:r>
      <w:r>
        <w:rPr>
          <w:color w:val="auto"/>
        </w:rPr>
        <w:fldChar w:fldCharType="separate"/>
      </w:r>
      <w:r>
        <w:rPr>
          <w:rFonts w:hint="default" w:ascii="Times New Roman" w:hAnsi="Times New Roman" w:eastAsia="宋体" w:cs="宋体"/>
          <w:i w:val="0"/>
          <w:color w:val="auto"/>
        </w:rPr>
        <w:t xml:space="preserve">2.8 </w:t>
      </w:r>
      <w:r>
        <w:rPr>
          <w:rFonts w:ascii="Times New Roman" w:hAnsi="Times New Roman" w:eastAsia="宋体"/>
          <w:color w:val="auto"/>
        </w:rPr>
        <w:t>总量控制指标</w:t>
      </w:r>
      <w:r>
        <w:rPr>
          <w:color w:val="auto"/>
        </w:rPr>
        <w:tab/>
      </w:r>
      <w:r>
        <w:rPr>
          <w:color w:val="auto"/>
        </w:rPr>
        <w:fldChar w:fldCharType="begin"/>
      </w:r>
      <w:r>
        <w:rPr>
          <w:color w:val="auto"/>
        </w:rPr>
        <w:instrText xml:space="preserve"> PAGEREF _Toc29528 \h </w:instrText>
      </w:r>
      <w:r>
        <w:rPr>
          <w:color w:val="auto"/>
        </w:rPr>
        <w:fldChar w:fldCharType="separate"/>
      </w:r>
      <w:r>
        <w:rPr>
          <w:color w:val="auto"/>
        </w:rPr>
        <w:t>186</w:t>
      </w:r>
      <w:r>
        <w:rPr>
          <w:color w:val="auto"/>
        </w:rPr>
        <w:fldChar w:fldCharType="end"/>
      </w:r>
      <w:r>
        <w:rPr>
          <w:color w:val="auto"/>
        </w:rPr>
        <w:fldChar w:fldCharType="end"/>
      </w:r>
    </w:p>
    <w:p w14:paraId="04A503E8">
      <w:pPr>
        <w:pStyle w:val="38"/>
        <w:tabs>
          <w:tab w:val="right" w:leader="dot" w:pos="8730"/>
        </w:tabs>
        <w:rPr>
          <w:color w:val="auto"/>
        </w:rPr>
      </w:pPr>
      <w:r>
        <w:rPr>
          <w:color w:val="auto"/>
        </w:rPr>
        <w:fldChar w:fldCharType="begin"/>
      </w:r>
      <w:r>
        <w:rPr>
          <w:color w:val="auto"/>
        </w:rPr>
        <w:instrText xml:space="preserve"> HYPERLINK \l _Toc15877 </w:instrText>
      </w:r>
      <w:r>
        <w:rPr>
          <w:color w:val="auto"/>
        </w:rPr>
        <w:fldChar w:fldCharType="separate"/>
      </w:r>
      <w:r>
        <w:rPr>
          <w:rFonts w:hint="default" w:ascii="Times New Roman" w:hAnsi="Times New Roman" w:eastAsia="宋体" w:cs="宋体"/>
          <w:i w:val="0"/>
          <w:color w:val="auto"/>
        </w:rPr>
        <w:t xml:space="preserve">3 </w:t>
      </w:r>
      <w:r>
        <w:rPr>
          <w:rFonts w:eastAsia="宋体"/>
          <w:color w:val="auto"/>
        </w:rPr>
        <w:t>环境现状调查与评价</w:t>
      </w:r>
      <w:r>
        <w:rPr>
          <w:color w:val="auto"/>
        </w:rPr>
        <w:tab/>
      </w:r>
      <w:r>
        <w:rPr>
          <w:color w:val="auto"/>
        </w:rPr>
        <w:fldChar w:fldCharType="begin"/>
      </w:r>
      <w:r>
        <w:rPr>
          <w:color w:val="auto"/>
        </w:rPr>
        <w:instrText xml:space="preserve"> PAGEREF _Toc15877 \h </w:instrText>
      </w:r>
      <w:r>
        <w:rPr>
          <w:color w:val="auto"/>
        </w:rPr>
        <w:fldChar w:fldCharType="separate"/>
      </w:r>
      <w:r>
        <w:rPr>
          <w:color w:val="auto"/>
        </w:rPr>
        <w:t>187</w:t>
      </w:r>
      <w:r>
        <w:rPr>
          <w:color w:val="auto"/>
        </w:rPr>
        <w:fldChar w:fldCharType="end"/>
      </w:r>
      <w:r>
        <w:rPr>
          <w:color w:val="auto"/>
        </w:rPr>
        <w:fldChar w:fldCharType="end"/>
      </w:r>
    </w:p>
    <w:p w14:paraId="3628576A">
      <w:pPr>
        <w:pStyle w:val="45"/>
        <w:tabs>
          <w:tab w:val="right" w:leader="dot" w:pos="8730"/>
        </w:tabs>
        <w:rPr>
          <w:color w:val="auto"/>
        </w:rPr>
      </w:pPr>
      <w:r>
        <w:rPr>
          <w:color w:val="auto"/>
        </w:rPr>
        <w:fldChar w:fldCharType="begin"/>
      </w:r>
      <w:r>
        <w:rPr>
          <w:color w:val="auto"/>
        </w:rPr>
        <w:instrText xml:space="preserve"> HYPERLINK \l _Toc12913 </w:instrText>
      </w:r>
      <w:r>
        <w:rPr>
          <w:color w:val="auto"/>
        </w:rPr>
        <w:fldChar w:fldCharType="separate"/>
      </w:r>
      <w:r>
        <w:rPr>
          <w:rFonts w:hint="default" w:ascii="Times New Roman" w:hAnsi="Times New Roman" w:eastAsia="宋体" w:cs="宋体"/>
          <w:i w:val="0"/>
          <w:color w:val="auto"/>
        </w:rPr>
        <w:t xml:space="preserve">3.1 </w:t>
      </w:r>
      <w:r>
        <w:rPr>
          <w:color w:val="auto"/>
        </w:rPr>
        <w:t>自然环境现状调查与评价</w:t>
      </w:r>
      <w:r>
        <w:rPr>
          <w:color w:val="auto"/>
        </w:rPr>
        <w:tab/>
      </w:r>
      <w:r>
        <w:rPr>
          <w:color w:val="auto"/>
        </w:rPr>
        <w:fldChar w:fldCharType="begin"/>
      </w:r>
      <w:r>
        <w:rPr>
          <w:color w:val="auto"/>
        </w:rPr>
        <w:instrText xml:space="preserve"> PAGEREF _Toc12913 \h </w:instrText>
      </w:r>
      <w:r>
        <w:rPr>
          <w:color w:val="auto"/>
        </w:rPr>
        <w:fldChar w:fldCharType="separate"/>
      </w:r>
      <w:r>
        <w:rPr>
          <w:color w:val="auto"/>
        </w:rPr>
        <w:t>187</w:t>
      </w:r>
      <w:r>
        <w:rPr>
          <w:color w:val="auto"/>
        </w:rPr>
        <w:fldChar w:fldCharType="end"/>
      </w:r>
      <w:r>
        <w:rPr>
          <w:color w:val="auto"/>
        </w:rPr>
        <w:fldChar w:fldCharType="end"/>
      </w:r>
    </w:p>
    <w:p w14:paraId="0A16C9FA">
      <w:pPr>
        <w:pStyle w:val="45"/>
        <w:tabs>
          <w:tab w:val="right" w:leader="dot" w:pos="8730"/>
        </w:tabs>
        <w:rPr>
          <w:color w:val="auto"/>
        </w:rPr>
      </w:pPr>
      <w:r>
        <w:rPr>
          <w:color w:val="auto"/>
        </w:rPr>
        <w:fldChar w:fldCharType="begin"/>
      </w:r>
      <w:r>
        <w:rPr>
          <w:color w:val="auto"/>
        </w:rPr>
        <w:instrText xml:space="preserve"> HYPERLINK \l _Toc27528 </w:instrText>
      </w:r>
      <w:r>
        <w:rPr>
          <w:color w:val="auto"/>
        </w:rPr>
        <w:fldChar w:fldCharType="separate"/>
      </w:r>
      <w:r>
        <w:rPr>
          <w:rFonts w:hint="default" w:ascii="Times New Roman" w:hAnsi="Times New Roman" w:eastAsia="宋体" w:cs="宋体"/>
          <w:i w:val="0"/>
          <w:color w:val="auto"/>
        </w:rPr>
        <w:t xml:space="preserve">3.2 </w:t>
      </w:r>
      <w:r>
        <w:rPr>
          <w:color w:val="auto"/>
        </w:rPr>
        <w:t>环境质量现状调查与评价</w:t>
      </w:r>
      <w:r>
        <w:rPr>
          <w:color w:val="auto"/>
        </w:rPr>
        <w:tab/>
      </w:r>
      <w:r>
        <w:rPr>
          <w:color w:val="auto"/>
        </w:rPr>
        <w:fldChar w:fldCharType="begin"/>
      </w:r>
      <w:r>
        <w:rPr>
          <w:color w:val="auto"/>
        </w:rPr>
        <w:instrText xml:space="preserve"> PAGEREF _Toc27528 \h </w:instrText>
      </w:r>
      <w:r>
        <w:rPr>
          <w:color w:val="auto"/>
        </w:rPr>
        <w:fldChar w:fldCharType="separate"/>
      </w:r>
      <w:r>
        <w:rPr>
          <w:color w:val="auto"/>
        </w:rPr>
        <w:t>198</w:t>
      </w:r>
      <w:r>
        <w:rPr>
          <w:color w:val="auto"/>
        </w:rPr>
        <w:fldChar w:fldCharType="end"/>
      </w:r>
      <w:r>
        <w:rPr>
          <w:color w:val="auto"/>
        </w:rPr>
        <w:fldChar w:fldCharType="end"/>
      </w:r>
    </w:p>
    <w:p w14:paraId="36EBAB14">
      <w:pPr>
        <w:pStyle w:val="38"/>
        <w:tabs>
          <w:tab w:val="right" w:leader="dot" w:pos="8730"/>
        </w:tabs>
        <w:rPr>
          <w:color w:val="auto"/>
        </w:rPr>
      </w:pPr>
      <w:r>
        <w:rPr>
          <w:color w:val="auto"/>
        </w:rPr>
        <w:fldChar w:fldCharType="begin"/>
      </w:r>
      <w:r>
        <w:rPr>
          <w:color w:val="auto"/>
        </w:rPr>
        <w:instrText xml:space="preserve"> HYPERLINK \l _Toc542 </w:instrText>
      </w:r>
      <w:r>
        <w:rPr>
          <w:color w:val="auto"/>
        </w:rPr>
        <w:fldChar w:fldCharType="separate"/>
      </w:r>
      <w:r>
        <w:rPr>
          <w:rFonts w:hint="default" w:ascii="Times New Roman" w:hAnsi="Times New Roman" w:eastAsia="宋体" w:cs="宋体"/>
          <w:i w:val="0"/>
          <w:color w:val="auto"/>
        </w:rPr>
        <w:t xml:space="preserve">4 </w:t>
      </w:r>
      <w:r>
        <w:rPr>
          <w:rFonts w:eastAsia="宋体"/>
          <w:color w:val="auto"/>
        </w:rPr>
        <w:t>环境影响预测与评价</w:t>
      </w:r>
      <w:r>
        <w:rPr>
          <w:color w:val="auto"/>
        </w:rPr>
        <w:tab/>
      </w:r>
      <w:r>
        <w:rPr>
          <w:color w:val="auto"/>
        </w:rPr>
        <w:fldChar w:fldCharType="begin"/>
      </w:r>
      <w:r>
        <w:rPr>
          <w:color w:val="auto"/>
        </w:rPr>
        <w:instrText xml:space="preserve"> PAGEREF _Toc542 \h </w:instrText>
      </w:r>
      <w:r>
        <w:rPr>
          <w:color w:val="auto"/>
        </w:rPr>
        <w:fldChar w:fldCharType="separate"/>
      </w:r>
      <w:r>
        <w:rPr>
          <w:color w:val="auto"/>
        </w:rPr>
        <w:t>236</w:t>
      </w:r>
      <w:r>
        <w:rPr>
          <w:color w:val="auto"/>
        </w:rPr>
        <w:fldChar w:fldCharType="end"/>
      </w:r>
      <w:r>
        <w:rPr>
          <w:color w:val="auto"/>
        </w:rPr>
        <w:fldChar w:fldCharType="end"/>
      </w:r>
    </w:p>
    <w:p w14:paraId="05A304EB">
      <w:pPr>
        <w:pStyle w:val="45"/>
        <w:tabs>
          <w:tab w:val="right" w:leader="dot" w:pos="8730"/>
        </w:tabs>
        <w:rPr>
          <w:color w:val="auto"/>
        </w:rPr>
      </w:pPr>
      <w:r>
        <w:rPr>
          <w:color w:val="auto"/>
        </w:rPr>
        <w:fldChar w:fldCharType="begin"/>
      </w:r>
      <w:r>
        <w:rPr>
          <w:color w:val="auto"/>
        </w:rPr>
        <w:instrText xml:space="preserve"> HYPERLINK \l _Toc10748 </w:instrText>
      </w:r>
      <w:r>
        <w:rPr>
          <w:color w:val="auto"/>
        </w:rPr>
        <w:fldChar w:fldCharType="separate"/>
      </w:r>
      <w:r>
        <w:rPr>
          <w:rFonts w:hint="default" w:ascii="Times New Roman" w:hAnsi="Times New Roman" w:eastAsia="宋体" w:cs="宋体"/>
          <w:i w:val="0"/>
          <w:color w:val="auto"/>
        </w:rPr>
        <w:t xml:space="preserve">4.1 </w:t>
      </w:r>
      <w:r>
        <w:rPr>
          <w:rFonts w:ascii="Times New Roman" w:hAnsi="Times New Roman" w:eastAsia="宋体"/>
          <w:color w:val="auto"/>
        </w:rPr>
        <w:t>施工期环境影响预测与评价</w:t>
      </w:r>
      <w:r>
        <w:rPr>
          <w:color w:val="auto"/>
        </w:rPr>
        <w:tab/>
      </w:r>
      <w:r>
        <w:rPr>
          <w:color w:val="auto"/>
        </w:rPr>
        <w:fldChar w:fldCharType="begin"/>
      </w:r>
      <w:r>
        <w:rPr>
          <w:color w:val="auto"/>
        </w:rPr>
        <w:instrText xml:space="preserve"> PAGEREF _Toc10748 \h </w:instrText>
      </w:r>
      <w:r>
        <w:rPr>
          <w:color w:val="auto"/>
        </w:rPr>
        <w:fldChar w:fldCharType="separate"/>
      </w:r>
      <w:r>
        <w:rPr>
          <w:color w:val="auto"/>
        </w:rPr>
        <w:t>236</w:t>
      </w:r>
      <w:r>
        <w:rPr>
          <w:color w:val="auto"/>
        </w:rPr>
        <w:fldChar w:fldCharType="end"/>
      </w:r>
      <w:r>
        <w:rPr>
          <w:color w:val="auto"/>
        </w:rPr>
        <w:fldChar w:fldCharType="end"/>
      </w:r>
    </w:p>
    <w:p w14:paraId="2B6E0CFB">
      <w:pPr>
        <w:pStyle w:val="45"/>
        <w:tabs>
          <w:tab w:val="right" w:leader="dot" w:pos="8730"/>
        </w:tabs>
        <w:rPr>
          <w:color w:val="auto"/>
        </w:rPr>
      </w:pPr>
      <w:r>
        <w:rPr>
          <w:color w:val="auto"/>
        </w:rPr>
        <w:fldChar w:fldCharType="begin"/>
      </w:r>
      <w:r>
        <w:rPr>
          <w:color w:val="auto"/>
        </w:rPr>
        <w:instrText xml:space="preserve"> HYPERLINK \l _Toc7154 </w:instrText>
      </w:r>
      <w:r>
        <w:rPr>
          <w:color w:val="auto"/>
        </w:rPr>
        <w:fldChar w:fldCharType="separate"/>
      </w:r>
      <w:r>
        <w:rPr>
          <w:rFonts w:hint="default" w:ascii="Times New Roman" w:hAnsi="Times New Roman" w:eastAsia="宋体" w:cs="宋体"/>
          <w:i w:val="0"/>
          <w:color w:val="auto"/>
        </w:rPr>
        <w:t xml:space="preserve">4.2 </w:t>
      </w:r>
      <w:r>
        <w:rPr>
          <w:rFonts w:ascii="Times New Roman" w:hAnsi="Times New Roman" w:eastAsia="宋体"/>
          <w:color w:val="auto"/>
        </w:rPr>
        <w:t>营运期环境影响预测与评价</w:t>
      </w:r>
      <w:r>
        <w:rPr>
          <w:color w:val="auto"/>
        </w:rPr>
        <w:tab/>
      </w:r>
      <w:r>
        <w:rPr>
          <w:color w:val="auto"/>
        </w:rPr>
        <w:fldChar w:fldCharType="begin"/>
      </w:r>
      <w:r>
        <w:rPr>
          <w:color w:val="auto"/>
        </w:rPr>
        <w:instrText xml:space="preserve"> PAGEREF _Toc7154 \h </w:instrText>
      </w:r>
      <w:r>
        <w:rPr>
          <w:color w:val="auto"/>
        </w:rPr>
        <w:fldChar w:fldCharType="separate"/>
      </w:r>
      <w:r>
        <w:rPr>
          <w:color w:val="auto"/>
        </w:rPr>
        <w:t>251</w:t>
      </w:r>
      <w:r>
        <w:rPr>
          <w:color w:val="auto"/>
        </w:rPr>
        <w:fldChar w:fldCharType="end"/>
      </w:r>
      <w:r>
        <w:rPr>
          <w:color w:val="auto"/>
        </w:rPr>
        <w:fldChar w:fldCharType="end"/>
      </w:r>
    </w:p>
    <w:p w14:paraId="64F1B0C3">
      <w:pPr>
        <w:pStyle w:val="38"/>
        <w:tabs>
          <w:tab w:val="right" w:leader="dot" w:pos="8730"/>
        </w:tabs>
        <w:rPr>
          <w:color w:val="auto"/>
        </w:rPr>
      </w:pPr>
      <w:r>
        <w:rPr>
          <w:color w:val="auto"/>
        </w:rPr>
        <w:fldChar w:fldCharType="begin"/>
      </w:r>
      <w:r>
        <w:rPr>
          <w:color w:val="auto"/>
        </w:rPr>
        <w:instrText xml:space="preserve"> HYPERLINK \l _Toc17425 </w:instrText>
      </w:r>
      <w:r>
        <w:rPr>
          <w:color w:val="auto"/>
        </w:rPr>
        <w:fldChar w:fldCharType="separate"/>
      </w:r>
      <w:r>
        <w:rPr>
          <w:rFonts w:hint="default" w:ascii="Times New Roman" w:hAnsi="Times New Roman" w:eastAsia="宋体" w:cs="宋体"/>
          <w:i w:val="0"/>
          <w:color w:val="auto"/>
        </w:rPr>
        <w:t xml:space="preserve">5 </w:t>
      </w:r>
      <w:r>
        <w:rPr>
          <w:color w:val="auto"/>
        </w:rPr>
        <w:t>环境风险</w:t>
      </w:r>
      <w:r>
        <w:rPr>
          <w:rFonts w:hint="eastAsia"/>
          <w:color w:val="auto"/>
          <w:lang w:val="en-US" w:eastAsia="zh-CN"/>
        </w:rPr>
        <w:t>评价</w:t>
      </w:r>
      <w:r>
        <w:rPr>
          <w:color w:val="auto"/>
        </w:rPr>
        <w:tab/>
      </w:r>
      <w:r>
        <w:rPr>
          <w:color w:val="auto"/>
        </w:rPr>
        <w:fldChar w:fldCharType="begin"/>
      </w:r>
      <w:r>
        <w:rPr>
          <w:color w:val="auto"/>
        </w:rPr>
        <w:instrText xml:space="preserve"> PAGEREF _Toc17425 \h </w:instrText>
      </w:r>
      <w:r>
        <w:rPr>
          <w:color w:val="auto"/>
        </w:rPr>
        <w:fldChar w:fldCharType="separate"/>
      </w:r>
      <w:r>
        <w:rPr>
          <w:color w:val="auto"/>
        </w:rPr>
        <w:t>345</w:t>
      </w:r>
      <w:r>
        <w:rPr>
          <w:color w:val="auto"/>
        </w:rPr>
        <w:fldChar w:fldCharType="end"/>
      </w:r>
      <w:r>
        <w:rPr>
          <w:color w:val="auto"/>
        </w:rPr>
        <w:fldChar w:fldCharType="end"/>
      </w:r>
    </w:p>
    <w:p w14:paraId="60214618">
      <w:pPr>
        <w:pStyle w:val="45"/>
        <w:tabs>
          <w:tab w:val="right" w:leader="dot" w:pos="8730"/>
        </w:tabs>
        <w:rPr>
          <w:color w:val="auto"/>
        </w:rPr>
      </w:pPr>
      <w:r>
        <w:rPr>
          <w:color w:val="auto"/>
        </w:rPr>
        <w:fldChar w:fldCharType="begin"/>
      </w:r>
      <w:r>
        <w:rPr>
          <w:color w:val="auto"/>
        </w:rPr>
        <w:instrText xml:space="preserve"> HYPERLINK \l _Toc24987 </w:instrText>
      </w:r>
      <w:r>
        <w:rPr>
          <w:color w:val="auto"/>
        </w:rPr>
        <w:fldChar w:fldCharType="separate"/>
      </w:r>
      <w:r>
        <w:rPr>
          <w:rFonts w:hint="default" w:ascii="Times New Roman" w:hAnsi="Times New Roman" w:eastAsia="宋体" w:cs="宋体"/>
          <w:i w:val="0"/>
          <w:color w:val="auto"/>
        </w:rPr>
        <w:t xml:space="preserve">5.1 </w:t>
      </w:r>
      <w:r>
        <w:rPr>
          <w:color w:val="auto"/>
        </w:rPr>
        <w:t>环境风险评价的目的与重点</w:t>
      </w:r>
      <w:r>
        <w:rPr>
          <w:color w:val="auto"/>
        </w:rPr>
        <w:tab/>
      </w:r>
      <w:r>
        <w:rPr>
          <w:color w:val="auto"/>
        </w:rPr>
        <w:fldChar w:fldCharType="begin"/>
      </w:r>
      <w:r>
        <w:rPr>
          <w:color w:val="auto"/>
        </w:rPr>
        <w:instrText xml:space="preserve"> PAGEREF _Toc24987 \h </w:instrText>
      </w:r>
      <w:r>
        <w:rPr>
          <w:color w:val="auto"/>
        </w:rPr>
        <w:fldChar w:fldCharType="separate"/>
      </w:r>
      <w:r>
        <w:rPr>
          <w:color w:val="auto"/>
        </w:rPr>
        <w:t>345</w:t>
      </w:r>
      <w:r>
        <w:rPr>
          <w:color w:val="auto"/>
        </w:rPr>
        <w:fldChar w:fldCharType="end"/>
      </w:r>
      <w:r>
        <w:rPr>
          <w:color w:val="auto"/>
        </w:rPr>
        <w:fldChar w:fldCharType="end"/>
      </w:r>
    </w:p>
    <w:p w14:paraId="31405CC2">
      <w:pPr>
        <w:pStyle w:val="45"/>
        <w:tabs>
          <w:tab w:val="right" w:leader="dot" w:pos="8730"/>
        </w:tabs>
        <w:rPr>
          <w:color w:val="auto"/>
        </w:rPr>
      </w:pPr>
      <w:r>
        <w:rPr>
          <w:color w:val="auto"/>
        </w:rPr>
        <w:fldChar w:fldCharType="begin"/>
      </w:r>
      <w:r>
        <w:rPr>
          <w:color w:val="auto"/>
        </w:rPr>
        <w:instrText xml:space="preserve"> HYPERLINK \l _Toc22394 </w:instrText>
      </w:r>
      <w:r>
        <w:rPr>
          <w:color w:val="auto"/>
        </w:rPr>
        <w:fldChar w:fldCharType="separate"/>
      </w:r>
      <w:r>
        <w:rPr>
          <w:rFonts w:hint="default" w:ascii="Times New Roman" w:hAnsi="Times New Roman" w:eastAsia="宋体" w:cs="宋体"/>
          <w:i w:val="0"/>
          <w:color w:val="auto"/>
        </w:rPr>
        <w:t xml:space="preserve">5.2 </w:t>
      </w:r>
      <w:r>
        <w:rPr>
          <w:color w:val="auto"/>
        </w:rPr>
        <w:t>环境风险识别</w:t>
      </w:r>
      <w:r>
        <w:rPr>
          <w:color w:val="auto"/>
        </w:rPr>
        <w:tab/>
      </w:r>
      <w:r>
        <w:rPr>
          <w:color w:val="auto"/>
        </w:rPr>
        <w:fldChar w:fldCharType="begin"/>
      </w:r>
      <w:r>
        <w:rPr>
          <w:color w:val="auto"/>
        </w:rPr>
        <w:instrText xml:space="preserve"> PAGEREF _Toc22394 \h </w:instrText>
      </w:r>
      <w:r>
        <w:rPr>
          <w:color w:val="auto"/>
        </w:rPr>
        <w:fldChar w:fldCharType="separate"/>
      </w:r>
      <w:r>
        <w:rPr>
          <w:color w:val="auto"/>
        </w:rPr>
        <w:t>345</w:t>
      </w:r>
      <w:r>
        <w:rPr>
          <w:color w:val="auto"/>
        </w:rPr>
        <w:fldChar w:fldCharType="end"/>
      </w:r>
      <w:r>
        <w:rPr>
          <w:color w:val="auto"/>
        </w:rPr>
        <w:fldChar w:fldCharType="end"/>
      </w:r>
    </w:p>
    <w:p w14:paraId="51F06ECA">
      <w:pPr>
        <w:pStyle w:val="45"/>
        <w:tabs>
          <w:tab w:val="right" w:leader="dot" w:pos="8730"/>
        </w:tabs>
        <w:rPr>
          <w:color w:val="auto"/>
        </w:rPr>
      </w:pPr>
      <w:r>
        <w:rPr>
          <w:color w:val="auto"/>
        </w:rPr>
        <w:fldChar w:fldCharType="begin"/>
      </w:r>
      <w:r>
        <w:rPr>
          <w:color w:val="auto"/>
        </w:rPr>
        <w:instrText xml:space="preserve"> HYPERLINK \l _Toc6613 </w:instrText>
      </w:r>
      <w:r>
        <w:rPr>
          <w:color w:val="auto"/>
        </w:rPr>
        <w:fldChar w:fldCharType="separate"/>
      </w:r>
      <w:r>
        <w:rPr>
          <w:rFonts w:hint="default" w:ascii="Times New Roman" w:hAnsi="Times New Roman" w:eastAsia="宋体" w:cs="宋体"/>
          <w:i w:val="0"/>
          <w:color w:val="auto"/>
        </w:rPr>
        <w:t xml:space="preserve">5.3 </w:t>
      </w:r>
      <w:r>
        <w:rPr>
          <w:color w:val="auto"/>
        </w:rPr>
        <w:t>评价依据</w:t>
      </w:r>
      <w:r>
        <w:rPr>
          <w:color w:val="auto"/>
        </w:rPr>
        <w:tab/>
      </w:r>
      <w:r>
        <w:rPr>
          <w:color w:val="auto"/>
        </w:rPr>
        <w:fldChar w:fldCharType="begin"/>
      </w:r>
      <w:r>
        <w:rPr>
          <w:color w:val="auto"/>
        </w:rPr>
        <w:instrText xml:space="preserve"> PAGEREF _Toc6613 \h </w:instrText>
      </w:r>
      <w:r>
        <w:rPr>
          <w:color w:val="auto"/>
        </w:rPr>
        <w:fldChar w:fldCharType="separate"/>
      </w:r>
      <w:r>
        <w:rPr>
          <w:color w:val="auto"/>
        </w:rPr>
        <w:t>347</w:t>
      </w:r>
      <w:r>
        <w:rPr>
          <w:color w:val="auto"/>
        </w:rPr>
        <w:fldChar w:fldCharType="end"/>
      </w:r>
      <w:r>
        <w:rPr>
          <w:color w:val="auto"/>
        </w:rPr>
        <w:fldChar w:fldCharType="end"/>
      </w:r>
    </w:p>
    <w:p w14:paraId="74E09DEF">
      <w:pPr>
        <w:pStyle w:val="45"/>
        <w:tabs>
          <w:tab w:val="right" w:leader="dot" w:pos="8730"/>
        </w:tabs>
        <w:rPr>
          <w:color w:val="auto"/>
        </w:rPr>
      </w:pPr>
      <w:r>
        <w:rPr>
          <w:color w:val="auto"/>
        </w:rPr>
        <w:fldChar w:fldCharType="begin"/>
      </w:r>
      <w:r>
        <w:rPr>
          <w:color w:val="auto"/>
        </w:rPr>
        <w:instrText xml:space="preserve"> HYPERLINK \l _Toc30860 </w:instrText>
      </w:r>
      <w:r>
        <w:rPr>
          <w:color w:val="auto"/>
        </w:rPr>
        <w:fldChar w:fldCharType="separate"/>
      </w:r>
      <w:r>
        <w:rPr>
          <w:rFonts w:hint="default" w:ascii="Times New Roman" w:hAnsi="Times New Roman" w:eastAsia="宋体" w:cs="宋体"/>
          <w:i w:val="0"/>
          <w:color w:val="auto"/>
        </w:rPr>
        <w:t xml:space="preserve">5.4 </w:t>
      </w:r>
      <w:r>
        <w:rPr>
          <w:color w:val="auto"/>
        </w:rPr>
        <w:t>环境风险事故类型</w:t>
      </w:r>
      <w:r>
        <w:rPr>
          <w:color w:val="auto"/>
        </w:rPr>
        <w:tab/>
      </w:r>
      <w:r>
        <w:rPr>
          <w:color w:val="auto"/>
        </w:rPr>
        <w:fldChar w:fldCharType="begin"/>
      </w:r>
      <w:r>
        <w:rPr>
          <w:color w:val="auto"/>
        </w:rPr>
        <w:instrText xml:space="preserve"> PAGEREF _Toc30860 \h </w:instrText>
      </w:r>
      <w:r>
        <w:rPr>
          <w:color w:val="auto"/>
        </w:rPr>
        <w:fldChar w:fldCharType="separate"/>
      </w:r>
      <w:r>
        <w:rPr>
          <w:color w:val="auto"/>
        </w:rPr>
        <w:t>349</w:t>
      </w:r>
      <w:r>
        <w:rPr>
          <w:color w:val="auto"/>
        </w:rPr>
        <w:fldChar w:fldCharType="end"/>
      </w:r>
      <w:r>
        <w:rPr>
          <w:color w:val="auto"/>
        </w:rPr>
        <w:fldChar w:fldCharType="end"/>
      </w:r>
    </w:p>
    <w:p w14:paraId="73881583">
      <w:pPr>
        <w:pStyle w:val="45"/>
        <w:tabs>
          <w:tab w:val="right" w:leader="dot" w:pos="8730"/>
        </w:tabs>
        <w:rPr>
          <w:color w:val="auto"/>
        </w:rPr>
      </w:pPr>
      <w:r>
        <w:rPr>
          <w:color w:val="auto"/>
        </w:rPr>
        <w:fldChar w:fldCharType="begin"/>
      </w:r>
      <w:r>
        <w:rPr>
          <w:color w:val="auto"/>
        </w:rPr>
        <w:instrText xml:space="preserve"> HYPERLINK \l _Toc20463 </w:instrText>
      </w:r>
      <w:r>
        <w:rPr>
          <w:color w:val="auto"/>
        </w:rPr>
        <w:fldChar w:fldCharType="separate"/>
      </w:r>
      <w:r>
        <w:rPr>
          <w:rFonts w:hint="default" w:ascii="Times New Roman" w:hAnsi="Times New Roman" w:eastAsia="宋体" w:cs="宋体"/>
          <w:i w:val="0"/>
          <w:color w:val="auto"/>
        </w:rPr>
        <w:t xml:space="preserve">5.5 </w:t>
      </w:r>
      <w:r>
        <w:rPr>
          <w:color w:val="auto"/>
        </w:rPr>
        <w:t>环境风险源项分析</w:t>
      </w:r>
      <w:r>
        <w:rPr>
          <w:color w:val="auto"/>
        </w:rPr>
        <w:tab/>
      </w:r>
      <w:r>
        <w:rPr>
          <w:color w:val="auto"/>
        </w:rPr>
        <w:fldChar w:fldCharType="begin"/>
      </w:r>
      <w:r>
        <w:rPr>
          <w:color w:val="auto"/>
        </w:rPr>
        <w:instrText xml:space="preserve"> PAGEREF _Toc20463 \h </w:instrText>
      </w:r>
      <w:r>
        <w:rPr>
          <w:color w:val="auto"/>
        </w:rPr>
        <w:fldChar w:fldCharType="separate"/>
      </w:r>
      <w:r>
        <w:rPr>
          <w:color w:val="auto"/>
        </w:rPr>
        <w:t>350</w:t>
      </w:r>
      <w:r>
        <w:rPr>
          <w:color w:val="auto"/>
        </w:rPr>
        <w:fldChar w:fldCharType="end"/>
      </w:r>
      <w:r>
        <w:rPr>
          <w:color w:val="auto"/>
        </w:rPr>
        <w:fldChar w:fldCharType="end"/>
      </w:r>
    </w:p>
    <w:p w14:paraId="343FB7A3">
      <w:pPr>
        <w:pStyle w:val="45"/>
        <w:tabs>
          <w:tab w:val="right" w:leader="dot" w:pos="8730"/>
        </w:tabs>
        <w:rPr>
          <w:color w:val="auto"/>
        </w:rPr>
      </w:pPr>
      <w:r>
        <w:rPr>
          <w:color w:val="auto"/>
        </w:rPr>
        <w:fldChar w:fldCharType="begin"/>
      </w:r>
      <w:r>
        <w:rPr>
          <w:color w:val="auto"/>
        </w:rPr>
        <w:instrText xml:space="preserve"> HYPERLINK \l _Toc11681 </w:instrText>
      </w:r>
      <w:r>
        <w:rPr>
          <w:color w:val="auto"/>
        </w:rPr>
        <w:fldChar w:fldCharType="separate"/>
      </w:r>
      <w:r>
        <w:rPr>
          <w:rFonts w:hint="default" w:ascii="Times New Roman" w:hAnsi="Times New Roman" w:eastAsia="宋体" w:cs="宋体"/>
          <w:i w:val="0"/>
          <w:color w:val="auto"/>
        </w:rPr>
        <w:t xml:space="preserve">5.6 </w:t>
      </w:r>
      <w:r>
        <w:rPr>
          <w:color w:val="auto"/>
        </w:rPr>
        <w:t>环境风险防范措施及应急要求</w:t>
      </w:r>
      <w:r>
        <w:rPr>
          <w:color w:val="auto"/>
        </w:rPr>
        <w:tab/>
      </w:r>
      <w:r>
        <w:rPr>
          <w:color w:val="auto"/>
        </w:rPr>
        <w:fldChar w:fldCharType="begin"/>
      </w:r>
      <w:r>
        <w:rPr>
          <w:color w:val="auto"/>
        </w:rPr>
        <w:instrText xml:space="preserve"> PAGEREF _Toc11681 \h </w:instrText>
      </w:r>
      <w:r>
        <w:rPr>
          <w:color w:val="auto"/>
        </w:rPr>
        <w:fldChar w:fldCharType="separate"/>
      </w:r>
      <w:r>
        <w:rPr>
          <w:color w:val="auto"/>
        </w:rPr>
        <w:t>351</w:t>
      </w:r>
      <w:r>
        <w:rPr>
          <w:color w:val="auto"/>
        </w:rPr>
        <w:fldChar w:fldCharType="end"/>
      </w:r>
      <w:r>
        <w:rPr>
          <w:color w:val="auto"/>
        </w:rPr>
        <w:fldChar w:fldCharType="end"/>
      </w:r>
    </w:p>
    <w:p w14:paraId="765DE995">
      <w:pPr>
        <w:pStyle w:val="45"/>
        <w:tabs>
          <w:tab w:val="right" w:leader="dot" w:pos="8730"/>
        </w:tabs>
        <w:rPr>
          <w:color w:val="auto"/>
        </w:rPr>
      </w:pPr>
      <w:r>
        <w:rPr>
          <w:color w:val="auto"/>
        </w:rPr>
        <w:fldChar w:fldCharType="begin"/>
      </w:r>
      <w:r>
        <w:rPr>
          <w:color w:val="auto"/>
        </w:rPr>
        <w:instrText xml:space="preserve"> HYPERLINK \l _Toc27374 </w:instrText>
      </w:r>
      <w:r>
        <w:rPr>
          <w:color w:val="auto"/>
        </w:rPr>
        <w:fldChar w:fldCharType="separate"/>
      </w:r>
      <w:r>
        <w:rPr>
          <w:rFonts w:hint="default" w:ascii="Times New Roman" w:hAnsi="Times New Roman" w:eastAsia="宋体" w:cs="宋体"/>
          <w:i w:val="0"/>
          <w:color w:val="auto"/>
        </w:rPr>
        <w:t xml:space="preserve">5.7 </w:t>
      </w:r>
      <w:r>
        <w:rPr>
          <w:color w:val="auto"/>
        </w:rPr>
        <w:t>分析结论</w:t>
      </w:r>
      <w:r>
        <w:rPr>
          <w:color w:val="auto"/>
        </w:rPr>
        <w:tab/>
      </w:r>
      <w:r>
        <w:rPr>
          <w:color w:val="auto"/>
        </w:rPr>
        <w:fldChar w:fldCharType="begin"/>
      </w:r>
      <w:r>
        <w:rPr>
          <w:color w:val="auto"/>
        </w:rPr>
        <w:instrText xml:space="preserve"> PAGEREF _Toc27374 \h </w:instrText>
      </w:r>
      <w:r>
        <w:rPr>
          <w:color w:val="auto"/>
        </w:rPr>
        <w:fldChar w:fldCharType="separate"/>
      </w:r>
      <w:r>
        <w:rPr>
          <w:color w:val="auto"/>
        </w:rPr>
        <w:t>361</w:t>
      </w:r>
      <w:r>
        <w:rPr>
          <w:color w:val="auto"/>
        </w:rPr>
        <w:fldChar w:fldCharType="end"/>
      </w:r>
      <w:r>
        <w:rPr>
          <w:color w:val="auto"/>
        </w:rPr>
        <w:fldChar w:fldCharType="end"/>
      </w:r>
    </w:p>
    <w:p w14:paraId="20B3D344">
      <w:pPr>
        <w:pStyle w:val="38"/>
        <w:tabs>
          <w:tab w:val="right" w:leader="dot" w:pos="8730"/>
        </w:tabs>
        <w:rPr>
          <w:color w:val="auto"/>
        </w:rPr>
      </w:pPr>
      <w:r>
        <w:rPr>
          <w:color w:val="auto"/>
        </w:rPr>
        <w:fldChar w:fldCharType="begin"/>
      </w:r>
      <w:r>
        <w:rPr>
          <w:color w:val="auto"/>
        </w:rPr>
        <w:instrText xml:space="preserve"> HYPERLINK \l _Toc31525 </w:instrText>
      </w:r>
      <w:r>
        <w:rPr>
          <w:color w:val="auto"/>
        </w:rPr>
        <w:fldChar w:fldCharType="separate"/>
      </w:r>
      <w:r>
        <w:rPr>
          <w:rFonts w:hint="default" w:ascii="Times New Roman" w:hAnsi="Times New Roman" w:eastAsia="宋体" w:cs="宋体"/>
          <w:i w:val="0"/>
          <w:color w:val="auto"/>
        </w:rPr>
        <w:t xml:space="preserve">6 </w:t>
      </w:r>
      <w:r>
        <w:rPr>
          <w:rFonts w:eastAsia="宋体"/>
          <w:color w:val="auto"/>
        </w:rPr>
        <w:t>环境保护措施及其</w:t>
      </w:r>
      <w:r>
        <w:rPr>
          <w:rFonts w:hint="eastAsia" w:eastAsia="宋体"/>
          <w:color w:val="auto"/>
          <w:lang w:val="en-US" w:eastAsia="zh-CN"/>
        </w:rPr>
        <w:t>经济、技术</w:t>
      </w:r>
      <w:r>
        <w:rPr>
          <w:rFonts w:eastAsia="宋体"/>
          <w:color w:val="auto"/>
        </w:rPr>
        <w:t>论证</w:t>
      </w:r>
      <w:r>
        <w:rPr>
          <w:color w:val="auto"/>
        </w:rPr>
        <w:tab/>
      </w:r>
      <w:r>
        <w:rPr>
          <w:color w:val="auto"/>
        </w:rPr>
        <w:fldChar w:fldCharType="begin"/>
      </w:r>
      <w:r>
        <w:rPr>
          <w:color w:val="auto"/>
        </w:rPr>
        <w:instrText xml:space="preserve"> PAGEREF _Toc31525 \h </w:instrText>
      </w:r>
      <w:r>
        <w:rPr>
          <w:color w:val="auto"/>
        </w:rPr>
        <w:fldChar w:fldCharType="separate"/>
      </w:r>
      <w:r>
        <w:rPr>
          <w:color w:val="auto"/>
        </w:rPr>
        <w:t>362</w:t>
      </w:r>
      <w:r>
        <w:rPr>
          <w:color w:val="auto"/>
        </w:rPr>
        <w:fldChar w:fldCharType="end"/>
      </w:r>
      <w:r>
        <w:rPr>
          <w:color w:val="auto"/>
        </w:rPr>
        <w:fldChar w:fldCharType="end"/>
      </w:r>
    </w:p>
    <w:p w14:paraId="6B964C91">
      <w:pPr>
        <w:pStyle w:val="45"/>
        <w:tabs>
          <w:tab w:val="right" w:leader="dot" w:pos="8730"/>
        </w:tabs>
        <w:rPr>
          <w:color w:val="auto"/>
        </w:rPr>
      </w:pPr>
      <w:r>
        <w:rPr>
          <w:color w:val="auto"/>
        </w:rPr>
        <w:fldChar w:fldCharType="begin"/>
      </w:r>
      <w:r>
        <w:rPr>
          <w:color w:val="auto"/>
        </w:rPr>
        <w:instrText xml:space="preserve"> HYPERLINK \l _Toc3774 </w:instrText>
      </w:r>
      <w:r>
        <w:rPr>
          <w:color w:val="auto"/>
        </w:rPr>
        <w:fldChar w:fldCharType="separate"/>
      </w:r>
      <w:r>
        <w:rPr>
          <w:rFonts w:hint="default" w:ascii="Times New Roman" w:hAnsi="Times New Roman" w:eastAsia="宋体" w:cs="宋体"/>
          <w:i w:val="0"/>
          <w:color w:val="auto"/>
        </w:rPr>
        <w:t xml:space="preserve">6.1 </w:t>
      </w:r>
      <w:r>
        <w:rPr>
          <w:rFonts w:ascii="Times New Roman" w:hAnsi="Times New Roman" w:eastAsia="宋体"/>
          <w:color w:val="auto"/>
        </w:rPr>
        <w:t>施工期环保措施及其可行性论证</w:t>
      </w:r>
      <w:r>
        <w:rPr>
          <w:color w:val="auto"/>
        </w:rPr>
        <w:tab/>
      </w:r>
      <w:r>
        <w:rPr>
          <w:color w:val="auto"/>
        </w:rPr>
        <w:fldChar w:fldCharType="begin"/>
      </w:r>
      <w:r>
        <w:rPr>
          <w:color w:val="auto"/>
        </w:rPr>
        <w:instrText xml:space="preserve"> PAGEREF _Toc3774 \h </w:instrText>
      </w:r>
      <w:r>
        <w:rPr>
          <w:color w:val="auto"/>
        </w:rPr>
        <w:fldChar w:fldCharType="separate"/>
      </w:r>
      <w:r>
        <w:rPr>
          <w:color w:val="auto"/>
        </w:rPr>
        <w:t>362</w:t>
      </w:r>
      <w:r>
        <w:rPr>
          <w:color w:val="auto"/>
        </w:rPr>
        <w:fldChar w:fldCharType="end"/>
      </w:r>
      <w:r>
        <w:rPr>
          <w:color w:val="auto"/>
        </w:rPr>
        <w:fldChar w:fldCharType="end"/>
      </w:r>
    </w:p>
    <w:p w14:paraId="2F79CFD3">
      <w:pPr>
        <w:pStyle w:val="45"/>
        <w:tabs>
          <w:tab w:val="right" w:leader="dot" w:pos="8730"/>
        </w:tabs>
        <w:rPr>
          <w:color w:val="auto"/>
        </w:rPr>
      </w:pPr>
      <w:r>
        <w:rPr>
          <w:color w:val="auto"/>
        </w:rPr>
        <w:fldChar w:fldCharType="begin"/>
      </w:r>
      <w:r>
        <w:rPr>
          <w:color w:val="auto"/>
        </w:rPr>
        <w:instrText xml:space="preserve"> HYPERLINK \l _Toc26770 </w:instrText>
      </w:r>
      <w:r>
        <w:rPr>
          <w:color w:val="auto"/>
        </w:rPr>
        <w:fldChar w:fldCharType="separate"/>
      </w:r>
      <w:r>
        <w:rPr>
          <w:rFonts w:hint="default" w:ascii="Times New Roman" w:hAnsi="Times New Roman" w:eastAsia="宋体" w:cs="宋体"/>
          <w:i w:val="0"/>
          <w:color w:val="auto"/>
        </w:rPr>
        <w:t xml:space="preserve">6.2 </w:t>
      </w:r>
      <w:r>
        <w:rPr>
          <w:rFonts w:ascii="Times New Roman" w:hAnsi="Times New Roman" w:eastAsia="宋体"/>
          <w:color w:val="auto"/>
        </w:rPr>
        <w:t>营运期环保措施及可行性分析</w:t>
      </w:r>
      <w:r>
        <w:rPr>
          <w:color w:val="auto"/>
        </w:rPr>
        <w:tab/>
      </w:r>
      <w:r>
        <w:rPr>
          <w:color w:val="auto"/>
        </w:rPr>
        <w:fldChar w:fldCharType="begin"/>
      </w:r>
      <w:r>
        <w:rPr>
          <w:color w:val="auto"/>
        </w:rPr>
        <w:instrText xml:space="preserve"> PAGEREF _Toc26770 \h </w:instrText>
      </w:r>
      <w:r>
        <w:rPr>
          <w:color w:val="auto"/>
        </w:rPr>
        <w:fldChar w:fldCharType="separate"/>
      </w:r>
      <w:r>
        <w:rPr>
          <w:color w:val="auto"/>
        </w:rPr>
        <w:t>363</w:t>
      </w:r>
      <w:r>
        <w:rPr>
          <w:color w:val="auto"/>
        </w:rPr>
        <w:fldChar w:fldCharType="end"/>
      </w:r>
      <w:r>
        <w:rPr>
          <w:color w:val="auto"/>
        </w:rPr>
        <w:fldChar w:fldCharType="end"/>
      </w:r>
    </w:p>
    <w:p w14:paraId="60411AA7">
      <w:pPr>
        <w:pStyle w:val="45"/>
        <w:tabs>
          <w:tab w:val="right" w:leader="dot" w:pos="8730"/>
        </w:tabs>
        <w:rPr>
          <w:color w:val="auto"/>
        </w:rPr>
      </w:pPr>
      <w:r>
        <w:rPr>
          <w:color w:val="auto"/>
        </w:rPr>
        <w:fldChar w:fldCharType="begin"/>
      </w:r>
      <w:r>
        <w:rPr>
          <w:color w:val="auto"/>
        </w:rPr>
        <w:instrText xml:space="preserve"> HYPERLINK \l _Toc28201 </w:instrText>
      </w:r>
      <w:r>
        <w:rPr>
          <w:color w:val="auto"/>
        </w:rPr>
        <w:fldChar w:fldCharType="separate"/>
      </w:r>
      <w:r>
        <w:rPr>
          <w:rFonts w:hint="default" w:ascii="Times New Roman" w:hAnsi="Times New Roman" w:eastAsia="宋体" w:cs="宋体"/>
          <w:i w:val="0"/>
          <w:color w:val="auto"/>
        </w:rPr>
        <w:t xml:space="preserve">6.3 </w:t>
      </w:r>
      <w:r>
        <w:rPr>
          <w:rFonts w:ascii="Times New Roman" w:hAnsi="Times New Roman" w:eastAsia="宋体"/>
          <w:color w:val="auto"/>
        </w:rPr>
        <w:t>环保治理措施技术、经济评述结论</w:t>
      </w:r>
      <w:r>
        <w:rPr>
          <w:color w:val="auto"/>
        </w:rPr>
        <w:tab/>
      </w:r>
      <w:r>
        <w:rPr>
          <w:color w:val="auto"/>
        </w:rPr>
        <w:fldChar w:fldCharType="begin"/>
      </w:r>
      <w:r>
        <w:rPr>
          <w:color w:val="auto"/>
        </w:rPr>
        <w:instrText xml:space="preserve"> PAGEREF _Toc28201 \h </w:instrText>
      </w:r>
      <w:r>
        <w:rPr>
          <w:color w:val="auto"/>
        </w:rPr>
        <w:fldChar w:fldCharType="separate"/>
      </w:r>
      <w:r>
        <w:rPr>
          <w:color w:val="auto"/>
        </w:rPr>
        <w:t>380</w:t>
      </w:r>
      <w:r>
        <w:rPr>
          <w:color w:val="auto"/>
        </w:rPr>
        <w:fldChar w:fldCharType="end"/>
      </w:r>
      <w:r>
        <w:rPr>
          <w:color w:val="auto"/>
        </w:rPr>
        <w:fldChar w:fldCharType="end"/>
      </w:r>
    </w:p>
    <w:p w14:paraId="28DAFB18">
      <w:pPr>
        <w:pStyle w:val="38"/>
        <w:tabs>
          <w:tab w:val="right" w:leader="dot" w:pos="8730"/>
        </w:tabs>
        <w:rPr>
          <w:color w:val="auto"/>
        </w:rPr>
      </w:pPr>
      <w:r>
        <w:rPr>
          <w:color w:val="auto"/>
        </w:rPr>
        <w:fldChar w:fldCharType="begin"/>
      </w:r>
      <w:r>
        <w:rPr>
          <w:color w:val="auto"/>
        </w:rPr>
        <w:instrText xml:space="preserve"> HYPERLINK \l _Toc29024 </w:instrText>
      </w:r>
      <w:r>
        <w:rPr>
          <w:color w:val="auto"/>
        </w:rPr>
        <w:fldChar w:fldCharType="separate"/>
      </w:r>
      <w:r>
        <w:rPr>
          <w:rFonts w:hint="default" w:ascii="Times New Roman" w:hAnsi="Times New Roman" w:eastAsia="宋体" w:cs="宋体"/>
          <w:i w:val="0"/>
          <w:color w:val="auto"/>
        </w:rPr>
        <w:t xml:space="preserve">7 </w:t>
      </w:r>
      <w:r>
        <w:rPr>
          <w:rFonts w:eastAsia="宋体"/>
          <w:color w:val="auto"/>
        </w:rPr>
        <w:t>环境影响经济损益分析</w:t>
      </w:r>
      <w:r>
        <w:rPr>
          <w:color w:val="auto"/>
        </w:rPr>
        <w:tab/>
      </w:r>
      <w:r>
        <w:rPr>
          <w:color w:val="auto"/>
        </w:rPr>
        <w:fldChar w:fldCharType="begin"/>
      </w:r>
      <w:r>
        <w:rPr>
          <w:color w:val="auto"/>
        </w:rPr>
        <w:instrText xml:space="preserve"> PAGEREF _Toc29024 \h </w:instrText>
      </w:r>
      <w:r>
        <w:rPr>
          <w:color w:val="auto"/>
        </w:rPr>
        <w:fldChar w:fldCharType="separate"/>
      </w:r>
      <w:r>
        <w:rPr>
          <w:color w:val="auto"/>
        </w:rPr>
        <w:t>381</w:t>
      </w:r>
      <w:r>
        <w:rPr>
          <w:color w:val="auto"/>
        </w:rPr>
        <w:fldChar w:fldCharType="end"/>
      </w:r>
      <w:r>
        <w:rPr>
          <w:color w:val="auto"/>
        </w:rPr>
        <w:fldChar w:fldCharType="end"/>
      </w:r>
    </w:p>
    <w:p w14:paraId="506DD59D">
      <w:pPr>
        <w:pStyle w:val="45"/>
        <w:tabs>
          <w:tab w:val="right" w:leader="dot" w:pos="8730"/>
        </w:tabs>
        <w:rPr>
          <w:color w:val="auto"/>
        </w:rPr>
      </w:pPr>
      <w:r>
        <w:rPr>
          <w:color w:val="auto"/>
        </w:rPr>
        <w:fldChar w:fldCharType="begin"/>
      </w:r>
      <w:r>
        <w:rPr>
          <w:color w:val="auto"/>
        </w:rPr>
        <w:instrText xml:space="preserve"> HYPERLINK \l _Toc1080 </w:instrText>
      </w:r>
      <w:r>
        <w:rPr>
          <w:color w:val="auto"/>
        </w:rPr>
        <w:fldChar w:fldCharType="separate"/>
      </w:r>
      <w:r>
        <w:rPr>
          <w:rFonts w:hint="default" w:ascii="Times New Roman" w:hAnsi="Times New Roman" w:eastAsia="宋体" w:cs="宋体"/>
          <w:i w:val="0"/>
          <w:color w:val="auto"/>
        </w:rPr>
        <w:t xml:space="preserve">7.1 </w:t>
      </w:r>
      <w:r>
        <w:rPr>
          <w:rFonts w:ascii="Times New Roman" w:hAnsi="Times New Roman" w:eastAsia="宋体"/>
          <w:color w:val="auto"/>
        </w:rPr>
        <w:t>环境影响经济损益分析方法</w:t>
      </w:r>
      <w:r>
        <w:rPr>
          <w:color w:val="auto"/>
        </w:rPr>
        <w:tab/>
      </w:r>
      <w:r>
        <w:rPr>
          <w:color w:val="auto"/>
        </w:rPr>
        <w:fldChar w:fldCharType="begin"/>
      </w:r>
      <w:r>
        <w:rPr>
          <w:color w:val="auto"/>
        </w:rPr>
        <w:instrText xml:space="preserve"> PAGEREF _Toc1080 \h </w:instrText>
      </w:r>
      <w:r>
        <w:rPr>
          <w:color w:val="auto"/>
        </w:rPr>
        <w:fldChar w:fldCharType="separate"/>
      </w:r>
      <w:r>
        <w:rPr>
          <w:color w:val="auto"/>
        </w:rPr>
        <w:t>381</w:t>
      </w:r>
      <w:r>
        <w:rPr>
          <w:color w:val="auto"/>
        </w:rPr>
        <w:fldChar w:fldCharType="end"/>
      </w:r>
      <w:r>
        <w:rPr>
          <w:color w:val="auto"/>
        </w:rPr>
        <w:fldChar w:fldCharType="end"/>
      </w:r>
    </w:p>
    <w:p w14:paraId="005DA156">
      <w:pPr>
        <w:pStyle w:val="45"/>
        <w:tabs>
          <w:tab w:val="right" w:leader="dot" w:pos="8730"/>
        </w:tabs>
        <w:rPr>
          <w:color w:val="auto"/>
        </w:rPr>
      </w:pPr>
      <w:r>
        <w:rPr>
          <w:color w:val="auto"/>
        </w:rPr>
        <w:fldChar w:fldCharType="begin"/>
      </w:r>
      <w:r>
        <w:rPr>
          <w:color w:val="auto"/>
        </w:rPr>
        <w:instrText xml:space="preserve"> HYPERLINK \l _Toc11494 </w:instrText>
      </w:r>
      <w:r>
        <w:rPr>
          <w:color w:val="auto"/>
        </w:rPr>
        <w:fldChar w:fldCharType="separate"/>
      </w:r>
      <w:r>
        <w:rPr>
          <w:rFonts w:hint="default" w:ascii="Times New Roman" w:hAnsi="Times New Roman" w:eastAsia="宋体" w:cs="宋体"/>
          <w:i w:val="0"/>
          <w:color w:val="auto"/>
        </w:rPr>
        <w:t xml:space="preserve">7.2 </w:t>
      </w:r>
      <w:r>
        <w:rPr>
          <w:rFonts w:ascii="Times New Roman" w:hAnsi="Times New Roman" w:eastAsia="宋体"/>
          <w:color w:val="auto"/>
        </w:rPr>
        <w:t>项目环境效益</w:t>
      </w:r>
      <w:r>
        <w:rPr>
          <w:color w:val="auto"/>
        </w:rPr>
        <w:tab/>
      </w:r>
      <w:r>
        <w:rPr>
          <w:color w:val="auto"/>
        </w:rPr>
        <w:fldChar w:fldCharType="begin"/>
      </w:r>
      <w:r>
        <w:rPr>
          <w:color w:val="auto"/>
        </w:rPr>
        <w:instrText xml:space="preserve"> PAGEREF _Toc11494 \h </w:instrText>
      </w:r>
      <w:r>
        <w:rPr>
          <w:color w:val="auto"/>
        </w:rPr>
        <w:fldChar w:fldCharType="separate"/>
      </w:r>
      <w:r>
        <w:rPr>
          <w:color w:val="auto"/>
        </w:rPr>
        <w:t>381</w:t>
      </w:r>
      <w:r>
        <w:rPr>
          <w:color w:val="auto"/>
        </w:rPr>
        <w:fldChar w:fldCharType="end"/>
      </w:r>
      <w:r>
        <w:rPr>
          <w:color w:val="auto"/>
        </w:rPr>
        <w:fldChar w:fldCharType="end"/>
      </w:r>
    </w:p>
    <w:p w14:paraId="15E8FAE6">
      <w:pPr>
        <w:pStyle w:val="45"/>
        <w:tabs>
          <w:tab w:val="right" w:leader="dot" w:pos="8730"/>
        </w:tabs>
        <w:rPr>
          <w:color w:val="auto"/>
        </w:rPr>
      </w:pPr>
      <w:r>
        <w:rPr>
          <w:color w:val="auto"/>
        </w:rPr>
        <w:fldChar w:fldCharType="begin"/>
      </w:r>
      <w:r>
        <w:rPr>
          <w:color w:val="auto"/>
        </w:rPr>
        <w:instrText xml:space="preserve"> HYPERLINK \l _Toc11049 </w:instrText>
      </w:r>
      <w:r>
        <w:rPr>
          <w:color w:val="auto"/>
        </w:rPr>
        <w:fldChar w:fldCharType="separate"/>
      </w:r>
      <w:r>
        <w:rPr>
          <w:rFonts w:hint="default" w:ascii="Times New Roman" w:hAnsi="Times New Roman" w:eastAsia="宋体" w:cs="宋体"/>
          <w:i w:val="0"/>
          <w:color w:val="auto"/>
        </w:rPr>
        <w:t xml:space="preserve">7.3 </w:t>
      </w:r>
      <w:r>
        <w:rPr>
          <w:rFonts w:ascii="Times New Roman" w:hAnsi="Times New Roman" w:eastAsia="宋体"/>
          <w:color w:val="auto"/>
        </w:rPr>
        <w:t>环境经济损益分析</w:t>
      </w:r>
      <w:r>
        <w:rPr>
          <w:color w:val="auto"/>
        </w:rPr>
        <w:tab/>
      </w:r>
      <w:r>
        <w:rPr>
          <w:color w:val="auto"/>
        </w:rPr>
        <w:fldChar w:fldCharType="begin"/>
      </w:r>
      <w:r>
        <w:rPr>
          <w:color w:val="auto"/>
        </w:rPr>
        <w:instrText xml:space="preserve"> PAGEREF _Toc11049 \h </w:instrText>
      </w:r>
      <w:r>
        <w:rPr>
          <w:color w:val="auto"/>
        </w:rPr>
        <w:fldChar w:fldCharType="separate"/>
      </w:r>
      <w:r>
        <w:rPr>
          <w:color w:val="auto"/>
        </w:rPr>
        <w:t>383</w:t>
      </w:r>
      <w:r>
        <w:rPr>
          <w:color w:val="auto"/>
        </w:rPr>
        <w:fldChar w:fldCharType="end"/>
      </w:r>
      <w:r>
        <w:rPr>
          <w:color w:val="auto"/>
        </w:rPr>
        <w:fldChar w:fldCharType="end"/>
      </w:r>
    </w:p>
    <w:p w14:paraId="7A9C41AD">
      <w:pPr>
        <w:pStyle w:val="45"/>
        <w:tabs>
          <w:tab w:val="right" w:leader="dot" w:pos="8730"/>
        </w:tabs>
        <w:rPr>
          <w:color w:val="auto"/>
        </w:rPr>
      </w:pPr>
      <w:r>
        <w:rPr>
          <w:color w:val="auto"/>
        </w:rPr>
        <w:fldChar w:fldCharType="begin"/>
      </w:r>
      <w:r>
        <w:rPr>
          <w:color w:val="auto"/>
        </w:rPr>
        <w:instrText xml:space="preserve"> HYPERLINK \l _Toc13225 </w:instrText>
      </w:r>
      <w:r>
        <w:rPr>
          <w:color w:val="auto"/>
        </w:rPr>
        <w:fldChar w:fldCharType="separate"/>
      </w:r>
      <w:r>
        <w:rPr>
          <w:rFonts w:hint="default" w:ascii="Times New Roman" w:hAnsi="Times New Roman" w:eastAsia="宋体" w:cs="宋体"/>
          <w:i w:val="0"/>
          <w:color w:val="auto"/>
        </w:rPr>
        <w:t xml:space="preserve">7.4 </w:t>
      </w:r>
      <w:r>
        <w:rPr>
          <w:rFonts w:ascii="Times New Roman" w:hAnsi="Times New Roman" w:eastAsia="宋体"/>
          <w:color w:val="auto"/>
        </w:rPr>
        <w:t>环境经济损益分析结论</w:t>
      </w:r>
      <w:r>
        <w:rPr>
          <w:color w:val="auto"/>
        </w:rPr>
        <w:tab/>
      </w:r>
      <w:r>
        <w:rPr>
          <w:color w:val="auto"/>
        </w:rPr>
        <w:fldChar w:fldCharType="begin"/>
      </w:r>
      <w:r>
        <w:rPr>
          <w:color w:val="auto"/>
        </w:rPr>
        <w:instrText xml:space="preserve"> PAGEREF _Toc13225 \h </w:instrText>
      </w:r>
      <w:r>
        <w:rPr>
          <w:color w:val="auto"/>
        </w:rPr>
        <w:fldChar w:fldCharType="separate"/>
      </w:r>
      <w:r>
        <w:rPr>
          <w:color w:val="auto"/>
        </w:rPr>
        <w:t>383</w:t>
      </w:r>
      <w:r>
        <w:rPr>
          <w:color w:val="auto"/>
        </w:rPr>
        <w:fldChar w:fldCharType="end"/>
      </w:r>
      <w:r>
        <w:rPr>
          <w:color w:val="auto"/>
        </w:rPr>
        <w:fldChar w:fldCharType="end"/>
      </w:r>
    </w:p>
    <w:p w14:paraId="0638A251">
      <w:pPr>
        <w:pStyle w:val="38"/>
        <w:tabs>
          <w:tab w:val="right" w:leader="dot" w:pos="8730"/>
        </w:tabs>
        <w:rPr>
          <w:color w:val="auto"/>
        </w:rPr>
      </w:pPr>
      <w:r>
        <w:rPr>
          <w:color w:val="auto"/>
        </w:rPr>
        <w:fldChar w:fldCharType="begin"/>
      </w:r>
      <w:r>
        <w:rPr>
          <w:color w:val="auto"/>
        </w:rPr>
        <w:instrText xml:space="preserve"> HYPERLINK \l _Toc3008 </w:instrText>
      </w:r>
      <w:r>
        <w:rPr>
          <w:color w:val="auto"/>
        </w:rPr>
        <w:fldChar w:fldCharType="separate"/>
      </w:r>
      <w:r>
        <w:rPr>
          <w:rFonts w:hint="default" w:ascii="Times New Roman" w:hAnsi="Times New Roman" w:eastAsia="宋体" w:cs="宋体"/>
          <w:i w:val="0"/>
          <w:color w:val="auto"/>
        </w:rPr>
        <w:t xml:space="preserve">8 </w:t>
      </w:r>
      <w:r>
        <w:rPr>
          <w:rFonts w:eastAsia="宋体"/>
          <w:color w:val="auto"/>
        </w:rPr>
        <w:t>环境管理与监测计划</w:t>
      </w:r>
      <w:r>
        <w:rPr>
          <w:color w:val="auto"/>
        </w:rPr>
        <w:tab/>
      </w:r>
      <w:r>
        <w:rPr>
          <w:color w:val="auto"/>
        </w:rPr>
        <w:fldChar w:fldCharType="begin"/>
      </w:r>
      <w:r>
        <w:rPr>
          <w:color w:val="auto"/>
        </w:rPr>
        <w:instrText xml:space="preserve"> PAGEREF _Toc3008 \h </w:instrText>
      </w:r>
      <w:r>
        <w:rPr>
          <w:color w:val="auto"/>
        </w:rPr>
        <w:fldChar w:fldCharType="separate"/>
      </w:r>
      <w:r>
        <w:rPr>
          <w:color w:val="auto"/>
        </w:rPr>
        <w:t>384</w:t>
      </w:r>
      <w:r>
        <w:rPr>
          <w:color w:val="auto"/>
        </w:rPr>
        <w:fldChar w:fldCharType="end"/>
      </w:r>
      <w:r>
        <w:rPr>
          <w:color w:val="auto"/>
        </w:rPr>
        <w:fldChar w:fldCharType="end"/>
      </w:r>
    </w:p>
    <w:p w14:paraId="684FE792">
      <w:pPr>
        <w:pStyle w:val="45"/>
        <w:tabs>
          <w:tab w:val="right" w:leader="dot" w:pos="8730"/>
        </w:tabs>
        <w:rPr>
          <w:color w:val="auto"/>
        </w:rPr>
      </w:pPr>
      <w:r>
        <w:rPr>
          <w:color w:val="auto"/>
        </w:rPr>
        <w:fldChar w:fldCharType="begin"/>
      </w:r>
      <w:r>
        <w:rPr>
          <w:color w:val="auto"/>
        </w:rPr>
        <w:instrText xml:space="preserve"> HYPERLINK \l _Toc31845 </w:instrText>
      </w:r>
      <w:r>
        <w:rPr>
          <w:color w:val="auto"/>
        </w:rPr>
        <w:fldChar w:fldCharType="separate"/>
      </w:r>
      <w:r>
        <w:rPr>
          <w:rFonts w:hint="default" w:ascii="Times New Roman" w:hAnsi="Times New Roman" w:eastAsia="宋体" w:cs="宋体"/>
          <w:i w:val="0"/>
          <w:color w:val="auto"/>
        </w:rPr>
        <w:t xml:space="preserve">8.1 </w:t>
      </w:r>
      <w:r>
        <w:rPr>
          <w:rFonts w:ascii="Times New Roman" w:hAnsi="Times New Roman" w:eastAsia="宋体"/>
          <w:color w:val="auto"/>
        </w:rPr>
        <w:t>环境管理的目的</w:t>
      </w:r>
      <w:r>
        <w:rPr>
          <w:color w:val="auto"/>
        </w:rPr>
        <w:tab/>
      </w:r>
      <w:r>
        <w:rPr>
          <w:color w:val="auto"/>
        </w:rPr>
        <w:fldChar w:fldCharType="begin"/>
      </w:r>
      <w:r>
        <w:rPr>
          <w:color w:val="auto"/>
        </w:rPr>
        <w:instrText xml:space="preserve"> PAGEREF _Toc31845 \h </w:instrText>
      </w:r>
      <w:r>
        <w:rPr>
          <w:color w:val="auto"/>
        </w:rPr>
        <w:fldChar w:fldCharType="separate"/>
      </w:r>
      <w:r>
        <w:rPr>
          <w:color w:val="auto"/>
        </w:rPr>
        <w:t>384</w:t>
      </w:r>
      <w:r>
        <w:rPr>
          <w:color w:val="auto"/>
        </w:rPr>
        <w:fldChar w:fldCharType="end"/>
      </w:r>
      <w:r>
        <w:rPr>
          <w:color w:val="auto"/>
        </w:rPr>
        <w:fldChar w:fldCharType="end"/>
      </w:r>
    </w:p>
    <w:p w14:paraId="517A9C2D">
      <w:pPr>
        <w:pStyle w:val="45"/>
        <w:tabs>
          <w:tab w:val="right" w:leader="dot" w:pos="8730"/>
        </w:tabs>
        <w:rPr>
          <w:color w:val="auto"/>
        </w:rPr>
      </w:pPr>
      <w:r>
        <w:rPr>
          <w:color w:val="auto"/>
        </w:rPr>
        <w:fldChar w:fldCharType="begin"/>
      </w:r>
      <w:r>
        <w:rPr>
          <w:color w:val="auto"/>
        </w:rPr>
        <w:instrText xml:space="preserve"> HYPERLINK \l _Toc5804 </w:instrText>
      </w:r>
      <w:r>
        <w:rPr>
          <w:color w:val="auto"/>
        </w:rPr>
        <w:fldChar w:fldCharType="separate"/>
      </w:r>
      <w:r>
        <w:rPr>
          <w:rFonts w:hint="default" w:ascii="Times New Roman" w:hAnsi="Times New Roman" w:eastAsia="宋体" w:cs="宋体"/>
          <w:i w:val="0"/>
          <w:color w:val="auto"/>
        </w:rPr>
        <w:t xml:space="preserve">8.2 </w:t>
      </w:r>
      <w:r>
        <w:rPr>
          <w:rFonts w:ascii="Times New Roman" w:hAnsi="Times New Roman" w:eastAsia="宋体"/>
          <w:color w:val="auto"/>
        </w:rPr>
        <w:t>环境管理机构及职责</w:t>
      </w:r>
      <w:r>
        <w:rPr>
          <w:color w:val="auto"/>
        </w:rPr>
        <w:tab/>
      </w:r>
      <w:r>
        <w:rPr>
          <w:color w:val="auto"/>
        </w:rPr>
        <w:fldChar w:fldCharType="begin"/>
      </w:r>
      <w:r>
        <w:rPr>
          <w:color w:val="auto"/>
        </w:rPr>
        <w:instrText xml:space="preserve"> PAGEREF _Toc5804 \h </w:instrText>
      </w:r>
      <w:r>
        <w:rPr>
          <w:color w:val="auto"/>
        </w:rPr>
        <w:fldChar w:fldCharType="separate"/>
      </w:r>
      <w:r>
        <w:rPr>
          <w:color w:val="auto"/>
        </w:rPr>
        <w:t>384</w:t>
      </w:r>
      <w:r>
        <w:rPr>
          <w:color w:val="auto"/>
        </w:rPr>
        <w:fldChar w:fldCharType="end"/>
      </w:r>
      <w:r>
        <w:rPr>
          <w:color w:val="auto"/>
        </w:rPr>
        <w:fldChar w:fldCharType="end"/>
      </w:r>
    </w:p>
    <w:p w14:paraId="21BED98C">
      <w:pPr>
        <w:pStyle w:val="45"/>
        <w:tabs>
          <w:tab w:val="right" w:leader="dot" w:pos="8730"/>
        </w:tabs>
        <w:rPr>
          <w:color w:val="auto"/>
        </w:rPr>
      </w:pPr>
      <w:r>
        <w:rPr>
          <w:color w:val="auto"/>
        </w:rPr>
        <w:fldChar w:fldCharType="begin"/>
      </w:r>
      <w:r>
        <w:rPr>
          <w:color w:val="auto"/>
        </w:rPr>
        <w:instrText xml:space="preserve"> HYPERLINK \l _Toc15975 </w:instrText>
      </w:r>
      <w:r>
        <w:rPr>
          <w:color w:val="auto"/>
        </w:rPr>
        <w:fldChar w:fldCharType="separate"/>
      </w:r>
      <w:r>
        <w:rPr>
          <w:rFonts w:hint="default" w:ascii="Times New Roman" w:hAnsi="Times New Roman" w:eastAsia="宋体" w:cs="宋体"/>
          <w:i w:val="0"/>
          <w:color w:val="auto"/>
        </w:rPr>
        <w:t xml:space="preserve">8.3 </w:t>
      </w:r>
      <w:r>
        <w:rPr>
          <w:rFonts w:ascii="Times New Roman" w:hAnsi="Times New Roman" w:eastAsia="宋体"/>
          <w:color w:val="auto"/>
        </w:rPr>
        <w:t>环境管理</w:t>
      </w:r>
      <w:r>
        <w:rPr>
          <w:color w:val="auto"/>
        </w:rPr>
        <w:tab/>
      </w:r>
      <w:r>
        <w:rPr>
          <w:color w:val="auto"/>
        </w:rPr>
        <w:fldChar w:fldCharType="begin"/>
      </w:r>
      <w:r>
        <w:rPr>
          <w:color w:val="auto"/>
        </w:rPr>
        <w:instrText xml:space="preserve"> PAGEREF _Toc15975 \h </w:instrText>
      </w:r>
      <w:r>
        <w:rPr>
          <w:color w:val="auto"/>
        </w:rPr>
        <w:fldChar w:fldCharType="separate"/>
      </w:r>
      <w:r>
        <w:rPr>
          <w:color w:val="auto"/>
        </w:rPr>
        <w:t>385</w:t>
      </w:r>
      <w:r>
        <w:rPr>
          <w:color w:val="auto"/>
        </w:rPr>
        <w:fldChar w:fldCharType="end"/>
      </w:r>
      <w:r>
        <w:rPr>
          <w:color w:val="auto"/>
        </w:rPr>
        <w:fldChar w:fldCharType="end"/>
      </w:r>
    </w:p>
    <w:p w14:paraId="23FEDED9">
      <w:pPr>
        <w:pStyle w:val="45"/>
        <w:tabs>
          <w:tab w:val="right" w:leader="dot" w:pos="8730"/>
        </w:tabs>
        <w:rPr>
          <w:color w:val="auto"/>
        </w:rPr>
      </w:pPr>
      <w:r>
        <w:rPr>
          <w:color w:val="auto"/>
        </w:rPr>
        <w:fldChar w:fldCharType="begin"/>
      </w:r>
      <w:r>
        <w:rPr>
          <w:color w:val="auto"/>
        </w:rPr>
        <w:instrText xml:space="preserve"> HYPERLINK \l _Toc29172 </w:instrText>
      </w:r>
      <w:r>
        <w:rPr>
          <w:color w:val="auto"/>
        </w:rPr>
        <w:fldChar w:fldCharType="separate"/>
      </w:r>
      <w:r>
        <w:rPr>
          <w:rFonts w:hint="default" w:ascii="Times New Roman" w:hAnsi="Times New Roman" w:eastAsia="宋体" w:cs="宋体"/>
          <w:i w:val="0"/>
          <w:color w:val="auto"/>
        </w:rPr>
        <w:t xml:space="preserve">8.4 </w:t>
      </w:r>
      <w:r>
        <w:rPr>
          <w:rFonts w:ascii="Times New Roman" w:hAnsi="Times New Roman" w:eastAsia="宋体"/>
          <w:color w:val="auto"/>
        </w:rPr>
        <w:t>环境监测计划</w:t>
      </w:r>
      <w:r>
        <w:rPr>
          <w:color w:val="auto"/>
        </w:rPr>
        <w:tab/>
      </w:r>
      <w:r>
        <w:rPr>
          <w:color w:val="auto"/>
        </w:rPr>
        <w:fldChar w:fldCharType="begin"/>
      </w:r>
      <w:r>
        <w:rPr>
          <w:color w:val="auto"/>
        </w:rPr>
        <w:instrText xml:space="preserve"> PAGEREF _Toc29172 \h </w:instrText>
      </w:r>
      <w:r>
        <w:rPr>
          <w:color w:val="auto"/>
        </w:rPr>
        <w:fldChar w:fldCharType="separate"/>
      </w:r>
      <w:r>
        <w:rPr>
          <w:color w:val="auto"/>
        </w:rPr>
        <w:t>388</w:t>
      </w:r>
      <w:r>
        <w:rPr>
          <w:color w:val="auto"/>
        </w:rPr>
        <w:fldChar w:fldCharType="end"/>
      </w:r>
      <w:r>
        <w:rPr>
          <w:color w:val="auto"/>
        </w:rPr>
        <w:fldChar w:fldCharType="end"/>
      </w:r>
    </w:p>
    <w:p w14:paraId="2A6A79F9">
      <w:pPr>
        <w:pStyle w:val="45"/>
        <w:tabs>
          <w:tab w:val="right" w:leader="dot" w:pos="8730"/>
        </w:tabs>
        <w:rPr>
          <w:color w:val="auto"/>
        </w:rPr>
      </w:pPr>
      <w:r>
        <w:rPr>
          <w:color w:val="auto"/>
        </w:rPr>
        <w:fldChar w:fldCharType="begin"/>
      </w:r>
      <w:r>
        <w:rPr>
          <w:color w:val="auto"/>
        </w:rPr>
        <w:instrText xml:space="preserve"> HYPERLINK \l _Toc27589 </w:instrText>
      </w:r>
      <w:r>
        <w:rPr>
          <w:color w:val="auto"/>
        </w:rPr>
        <w:fldChar w:fldCharType="separate"/>
      </w:r>
      <w:r>
        <w:rPr>
          <w:rFonts w:hint="default" w:ascii="Times New Roman" w:hAnsi="Times New Roman" w:eastAsia="宋体" w:cs="宋体"/>
          <w:i w:val="0"/>
          <w:color w:val="auto"/>
        </w:rPr>
        <w:t xml:space="preserve">8.5 </w:t>
      </w:r>
      <w:r>
        <w:rPr>
          <w:rFonts w:ascii="Times New Roman" w:hAnsi="Times New Roman" w:eastAsia="宋体"/>
          <w:color w:val="auto"/>
        </w:rPr>
        <w:t>工程</w:t>
      </w:r>
      <w:r>
        <w:rPr>
          <w:rFonts w:hint="eastAsia" w:ascii="Times New Roman" w:hAnsi="Times New Roman" w:eastAsia="宋体"/>
          <w:color w:val="auto"/>
          <w:lang w:eastAsia="zh-CN"/>
        </w:rPr>
        <w:t>“</w:t>
      </w:r>
      <w:r>
        <w:rPr>
          <w:rFonts w:ascii="Times New Roman" w:hAnsi="Times New Roman" w:eastAsia="宋体"/>
          <w:color w:val="auto"/>
        </w:rPr>
        <w:t>三同时</w:t>
      </w:r>
      <w:r>
        <w:rPr>
          <w:rFonts w:hint="eastAsia" w:ascii="Times New Roman" w:hAnsi="Times New Roman" w:eastAsia="宋体"/>
          <w:color w:val="auto"/>
          <w:lang w:eastAsia="zh-CN"/>
        </w:rPr>
        <w:t>”</w:t>
      </w:r>
      <w:r>
        <w:rPr>
          <w:rFonts w:ascii="Times New Roman" w:hAnsi="Times New Roman" w:eastAsia="宋体"/>
          <w:color w:val="auto"/>
        </w:rPr>
        <w:t>验收一览表</w:t>
      </w:r>
      <w:r>
        <w:rPr>
          <w:color w:val="auto"/>
        </w:rPr>
        <w:tab/>
      </w:r>
      <w:r>
        <w:rPr>
          <w:color w:val="auto"/>
        </w:rPr>
        <w:fldChar w:fldCharType="begin"/>
      </w:r>
      <w:r>
        <w:rPr>
          <w:color w:val="auto"/>
        </w:rPr>
        <w:instrText xml:space="preserve"> PAGEREF _Toc27589 \h </w:instrText>
      </w:r>
      <w:r>
        <w:rPr>
          <w:color w:val="auto"/>
        </w:rPr>
        <w:fldChar w:fldCharType="separate"/>
      </w:r>
      <w:r>
        <w:rPr>
          <w:color w:val="auto"/>
        </w:rPr>
        <w:t>394</w:t>
      </w:r>
      <w:r>
        <w:rPr>
          <w:color w:val="auto"/>
        </w:rPr>
        <w:fldChar w:fldCharType="end"/>
      </w:r>
      <w:r>
        <w:rPr>
          <w:color w:val="auto"/>
        </w:rPr>
        <w:fldChar w:fldCharType="end"/>
      </w:r>
    </w:p>
    <w:p w14:paraId="66954701">
      <w:pPr>
        <w:pStyle w:val="38"/>
        <w:tabs>
          <w:tab w:val="right" w:leader="dot" w:pos="8730"/>
        </w:tabs>
        <w:rPr>
          <w:color w:val="auto"/>
        </w:rPr>
      </w:pPr>
      <w:r>
        <w:rPr>
          <w:color w:val="auto"/>
        </w:rPr>
        <w:fldChar w:fldCharType="begin"/>
      </w:r>
      <w:r>
        <w:rPr>
          <w:color w:val="auto"/>
        </w:rPr>
        <w:instrText xml:space="preserve"> HYPERLINK \l _Toc17114 </w:instrText>
      </w:r>
      <w:r>
        <w:rPr>
          <w:color w:val="auto"/>
        </w:rPr>
        <w:fldChar w:fldCharType="separate"/>
      </w:r>
      <w:r>
        <w:rPr>
          <w:rFonts w:hint="default" w:ascii="Times New Roman" w:hAnsi="Times New Roman" w:eastAsia="宋体" w:cs="宋体"/>
          <w:i w:val="0"/>
          <w:color w:val="auto"/>
        </w:rPr>
        <w:t xml:space="preserve">9 </w:t>
      </w:r>
      <w:r>
        <w:rPr>
          <w:rFonts w:eastAsia="宋体"/>
          <w:color w:val="auto"/>
        </w:rPr>
        <w:t>环境影响评价结论</w:t>
      </w:r>
      <w:r>
        <w:rPr>
          <w:color w:val="auto"/>
        </w:rPr>
        <w:tab/>
      </w:r>
      <w:r>
        <w:rPr>
          <w:color w:val="auto"/>
        </w:rPr>
        <w:fldChar w:fldCharType="begin"/>
      </w:r>
      <w:r>
        <w:rPr>
          <w:color w:val="auto"/>
        </w:rPr>
        <w:instrText xml:space="preserve"> PAGEREF _Toc17114 \h </w:instrText>
      </w:r>
      <w:r>
        <w:rPr>
          <w:color w:val="auto"/>
        </w:rPr>
        <w:fldChar w:fldCharType="separate"/>
      </w:r>
      <w:r>
        <w:rPr>
          <w:color w:val="auto"/>
        </w:rPr>
        <w:t>396</w:t>
      </w:r>
      <w:r>
        <w:rPr>
          <w:color w:val="auto"/>
        </w:rPr>
        <w:fldChar w:fldCharType="end"/>
      </w:r>
      <w:r>
        <w:rPr>
          <w:color w:val="auto"/>
        </w:rPr>
        <w:fldChar w:fldCharType="end"/>
      </w:r>
    </w:p>
    <w:p w14:paraId="54C15C1E">
      <w:pPr>
        <w:pStyle w:val="45"/>
        <w:tabs>
          <w:tab w:val="right" w:leader="dot" w:pos="8730"/>
        </w:tabs>
        <w:rPr>
          <w:color w:val="auto"/>
        </w:rPr>
      </w:pPr>
      <w:r>
        <w:rPr>
          <w:color w:val="auto"/>
        </w:rPr>
        <w:fldChar w:fldCharType="begin"/>
      </w:r>
      <w:r>
        <w:rPr>
          <w:color w:val="auto"/>
        </w:rPr>
        <w:instrText xml:space="preserve"> HYPERLINK \l _Toc10799 </w:instrText>
      </w:r>
      <w:r>
        <w:rPr>
          <w:color w:val="auto"/>
        </w:rPr>
        <w:fldChar w:fldCharType="separate"/>
      </w:r>
      <w:r>
        <w:rPr>
          <w:rFonts w:hint="default" w:ascii="Times New Roman" w:hAnsi="Times New Roman" w:eastAsia="宋体" w:cs="宋体"/>
          <w:i w:val="0"/>
          <w:color w:val="auto"/>
        </w:rPr>
        <w:t xml:space="preserve">9.1 </w:t>
      </w:r>
      <w:r>
        <w:rPr>
          <w:rFonts w:ascii="Times New Roman" w:hAnsi="Times New Roman" w:eastAsia="宋体"/>
          <w:color w:val="auto"/>
        </w:rPr>
        <w:t>结论</w:t>
      </w:r>
      <w:r>
        <w:rPr>
          <w:color w:val="auto"/>
        </w:rPr>
        <w:tab/>
      </w:r>
      <w:r>
        <w:rPr>
          <w:color w:val="auto"/>
        </w:rPr>
        <w:fldChar w:fldCharType="begin"/>
      </w:r>
      <w:r>
        <w:rPr>
          <w:color w:val="auto"/>
        </w:rPr>
        <w:instrText xml:space="preserve"> PAGEREF _Toc10799 \h </w:instrText>
      </w:r>
      <w:r>
        <w:rPr>
          <w:color w:val="auto"/>
        </w:rPr>
        <w:fldChar w:fldCharType="separate"/>
      </w:r>
      <w:r>
        <w:rPr>
          <w:color w:val="auto"/>
        </w:rPr>
        <w:t>396</w:t>
      </w:r>
      <w:r>
        <w:rPr>
          <w:color w:val="auto"/>
        </w:rPr>
        <w:fldChar w:fldCharType="end"/>
      </w:r>
      <w:r>
        <w:rPr>
          <w:color w:val="auto"/>
        </w:rPr>
        <w:fldChar w:fldCharType="end"/>
      </w:r>
    </w:p>
    <w:p w14:paraId="09415355">
      <w:pPr>
        <w:pStyle w:val="45"/>
        <w:tabs>
          <w:tab w:val="right" w:leader="dot" w:pos="8730"/>
        </w:tabs>
        <w:rPr>
          <w:color w:val="auto"/>
        </w:rPr>
      </w:pPr>
      <w:r>
        <w:rPr>
          <w:color w:val="auto"/>
        </w:rPr>
        <w:fldChar w:fldCharType="begin"/>
      </w:r>
      <w:r>
        <w:rPr>
          <w:color w:val="auto"/>
        </w:rPr>
        <w:instrText xml:space="preserve"> HYPERLINK \l _Toc16352 </w:instrText>
      </w:r>
      <w:r>
        <w:rPr>
          <w:color w:val="auto"/>
        </w:rPr>
        <w:fldChar w:fldCharType="separate"/>
      </w:r>
      <w:r>
        <w:rPr>
          <w:rFonts w:hint="default" w:ascii="Times New Roman" w:hAnsi="Times New Roman" w:eastAsia="宋体" w:cs="宋体"/>
          <w:i w:val="0"/>
          <w:color w:val="auto"/>
        </w:rPr>
        <w:t xml:space="preserve">9.2 </w:t>
      </w:r>
      <w:r>
        <w:rPr>
          <w:rFonts w:ascii="Times New Roman" w:hAnsi="Times New Roman" w:eastAsia="宋体"/>
          <w:color w:val="auto"/>
        </w:rPr>
        <w:t>要求及建议</w:t>
      </w:r>
      <w:r>
        <w:rPr>
          <w:color w:val="auto"/>
        </w:rPr>
        <w:tab/>
      </w:r>
      <w:r>
        <w:rPr>
          <w:color w:val="auto"/>
        </w:rPr>
        <w:fldChar w:fldCharType="begin"/>
      </w:r>
      <w:r>
        <w:rPr>
          <w:color w:val="auto"/>
        </w:rPr>
        <w:instrText xml:space="preserve"> PAGEREF _Toc16352 \h </w:instrText>
      </w:r>
      <w:r>
        <w:rPr>
          <w:color w:val="auto"/>
        </w:rPr>
        <w:fldChar w:fldCharType="separate"/>
      </w:r>
      <w:r>
        <w:rPr>
          <w:color w:val="auto"/>
        </w:rPr>
        <w:t>399</w:t>
      </w:r>
      <w:r>
        <w:rPr>
          <w:color w:val="auto"/>
        </w:rPr>
        <w:fldChar w:fldCharType="end"/>
      </w:r>
      <w:r>
        <w:rPr>
          <w:color w:val="auto"/>
        </w:rPr>
        <w:fldChar w:fldCharType="end"/>
      </w:r>
    </w:p>
    <w:p w14:paraId="4808F92D">
      <w:pPr>
        <w:pageBreakBefore w:val="0"/>
        <w:wordWrap/>
        <w:bidi w:val="0"/>
        <w:adjustRightInd/>
        <w:snapToGrid/>
        <w:ind w:firstLine="480"/>
        <w:rPr>
          <w:color w:val="auto"/>
        </w:rPr>
        <w:sectPr>
          <w:headerReference r:id="rId13" w:type="default"/>
          <w:pgSz w:w="11906" w:h="16838"/>
          <w:pgMar w:top="1440" w:right="1588" w:bottom="1440" w:left="1588" w:header="850" w:footer="992" w:gutter="0"/>
          <w:pgBorders>
            <w:top w:val="none" w:sz="0" w:space="0"/>
            <w:left w:val="none" w:sz="0" w:space="0"/>
            <w:bottom w:val="none" w:sz="0" w:space="0"/>
            <w:right w:val="none" w:sz="0" w:space="0"/>
          </w:pgBorders>
          <w:pgNumType w:fmt="decimal" w:start="1"/>
          <w:cols w:space="720" w:num="1"/>
          <w:docGrid w:linePitch="312" w:charSpace="0"/>
        </w:sectPr>
      </w:pPr>
      <w:r>
        <w:rPr>
          <w:color w:val="auto"/>
        </w:rPr>
        <w:fldChar w:fldCharType="end"/>
      </w:r>
    </w:p>
    <w:p w14:paraId="712D0415">
      <w:pPr>
        <w:pageBreakBefore w:val="0"/>
        <w:wordWrap/>
        <w:bidi w:val="0"/>
        <w:adjustRightInd/>
        <w:snapToGrid/>
        <w:ind w:firstLine="0" w:firstLineChars="0"/>
        <w:rPr>
          <w:b/>
          <w:bCs/>
          <w:color w:val="auto"/>
          <w:sz w:val="28"/>
          <w:szCs w:val="28"/>
        </w:rPr>
      </w:pPr>
      <w:r>
        <w:rPr>
          <w:b/>
          <w:bCs/>
          <w:color w:val="auto"/>
          <w:sz w:val="28"/>
          <w:szCs w:val="28"/>
        </w:rPr>
        <w:t>附图：</w:t>
      </w:r>
    </w:p>
    <w:p w14:paraId="2BCFDC47">
      <w:pPr>
        <w:pageBreakBefore w:val="0"/>
        <w:wordWrap/>
        <w:bidi w:val="0"/>
        <w:adjustRightInd/>
        <w:snapToGrid/>
        <w:ind w:firstLine="480"/>
        <w:rPr>
          <w:color w:val="auto"/>
        </w:rPr>
      </w:pPr>
      <w:bookmarkStart w:id="10" w:name="_Toc374135582"/>
      <w:bookmarkStart w:id="11" w:name="_Toc369616913"/>
      <w:bookmarkStart w:id="12" w:name="_Toc369187753"/>
      <w:bookmarkStart w:id="13" w:name="_Toc372893897"/>
      <w:bookmarkStart w:id="14" w:name="_Toc374627664"/>
      <w:bookmarkStart w:id="15" w:name="_Toc372996937"/>
      <w:r>
        <w:rPr>
          <w:color w:val="auto"/>
        </w:rPr>
        <w:t>附图</w:t>
      </w:r>
      <w:bookmarkEnd w:id="10"/>
      <w:bookmarkEnd w:id="11"/>
      <w:bookmarkEnd w:id="12"/>
      <w:bookmarkEnd w:id="13"/>
      <w:bookmarkEnd w:id="14"/>
      <w:bookmarkEnd w:id="15"/>
      <w:r>
        <w:rPr>
          <w:rFonts w:hint="eastAsia"/>
          <w:color w:val="auto"/>
          <w:lang w:eastAsia="zh-CN"/>
        </w:rPr>
        <w:t>1</w:t>
      </w:r>
      <w:r>
        <w:rPr>
          <w:rFonts w:hint="eastAsia"/>
          <w:color w:val="auto"/>
          <w:lang w:val="en-US" w:eastAsia="zh-CN"/>
        </w:rPr>
        <w:t xml:space="preserve">  </w:t>
      </w:r>
      <w:r>
        <w:rPr>
          <w:color w:val="auto"/>
        </w:rPr>
        <w:t>项目地理位置图；</w:t>
      </w:r>
    </w:p>
    <w:p w14:paraId="575B73C7">
      <w:pPr>
        <w:pageBreakBefore w:val="0"/>
        <w:wordWrap/>
        <w:bidi w:val="0"/>
        <w:adjustRightInd/>
        <w:snapToGrid/>
        <w:ind w:firstLine="480"/>
        <w:rPr>
          <w:color w:val="auto"/>
        </w:rPr>
      </w:pPr>
      <w:bookmarkStart w:id="16" w:name="_Toc372893898"/>
      <w:bookmarkStart w:id="17" w:name="_Toc372996938"/>
      <w:bookmarkStart w:id="18" w:name="_Toc374627665"/>
      <w:bookmarkStart w:id="19" w:name="_Toc374135583"/>
      <w:r>
        <w:rPr>
          <w:color w:val="auto"/>
        </w:rPr>
        <w:t>附图2</w:t>
      </w:r>
      <w:r>
        <w:rPr>
          <w:rFonts w:hint="eastAsia"/>
          <w:color w:val="auto"/>
          <w:lang w:val="en-US" w:eastAsia="zh-CN"/>
        </w:rPr>
        <w:t>-1</w:t>
      </w:r>
      <w:r>
        <w:rPr>
          <w:color w:val="auto"/>
        </w:rPr>
        <w:t xml:space="preserve">  </w:t>
      </w:r>
      <w:bookmarkEnd w:id="16"/>
      <w:bookmarkEnd w:id="17"/>
      <w:bookmarkEnd w:id="18"/>
      <w:bookmarkEnd w:id="19"/>
      <w:r>
        <w:rPr>
          <w:color w:val="auto"/>
        </w:rPr>
        <w:t>项目</w:t>
      </w:r>
      <w:r>
        <w:rPr>
          <w:rFonts w:hint="eastAsia"/>
          <w:color w:val="auto"/>
          <w:lang w:val="en-US" w:eastAsia="zh-CN"/>
        </w:rPr>
        <w:t>厂区</w:t>
      </w:r>
      <w:r>
        <w:rPr>
          <w:color w:val="auto"/>
        </w:rPr>
        <w:t>平面布置图；</w:t>
      </w:r>
    </w:p>
    <w:p w14:paraId="1C57ECE6">
      <w:pPr>
        <w:pageBreakBefore w:val="0"/>
        <w:wordWrap/>
        <w:bidi w:val="0"/>
        <w:adjustRightInd/>
        <w:snapToGrid/>
        <w:ind w:firstLine="480"/>
        <w:rPr>
          <w:rFonts w:hint="default" w:eastAsia="宋体"/>
          <w:color w:val="auto"/>
          <w:lang w:val="en-US" w:eastAsia="zh-CN"/>
        </w:rPr>
      </w:pPr>
      <w:bookmarkStart w:id="20" w:name="_Toc372996939"/>
      <w:bookmarkStart w:id="21" w:name="_Toc374627666"/>
      <w:bookmarkStart w:id="22" w:name="_Toc372893899"/>
      <w:bookmarkStart w:id="23" w:name="_Toc374135584"/>
      <w:r>
        <w:rPr>
          <w:rFonts w:hint="eastAsia"/>
          <w:color w:val="auto"/>
          <w:lang w:val="en-US" w:eastAsia="zh-CN"/>
        </w:rPr>
        <w:t>附图2-2  项目官网平面布置图</w:t>
      </w:r>
    </w:p>
    <w:p w14:paraId="4E06BF1B">
      <w:pPr>
        <w:pageBreakBefore w:val="0"/>
        <w:wordWrap/>
        <w:bidi w:val="0"/>
        <w:adjustRightInd/>
        <w:snapToGrid/>
        <w:ind w:firstLine="480"/>
        <w:rPr>
          <w:rFonts w:hint="eastAsia" w:ascii="方正仿宋_GB2312" w:hAnsi="方正仿宋_GB2312" w:eastAsia="方正仿宋_GB2312" w:cs="方正仿宋_GB2312"/>
          <w:color w:val="auto"/>
        </w:rPr>
      </w:pPr>
      <w:r>
        <w:rPr>
          <w:color w:val="auto"/>
        </w:rPr>
        <w:t>附图3</w:t>
      </w:r>
      <w:bookmarkEnd w:id="20"/>
      <w:bookmarkEnd w:id="21"/>
      <w:bookmarkEnd w:id="22"/>
      <w:bookmarkEnd w:id="23"/>
      <w:r>
        <w:rPr>
          <w:color w:val="auto"/>
        </w:rPr>
        <w:t xml:space="preserve">  项目外环境关系图；</w:t>
      </w:r>
    </w:p>
    <w:p w14:paraId="76861117">
      <w:pPr>
        <w:pageBreakBefore w:val="0"/>
        <w:wordWrap/>
        <w:bidi w:val="0"/>
        <w:adjustRightInd/>
        <w:snapToGrid/>
        <w:ind w:firstLine="480"/>
        <w:rPr>
          <w:color w:val="auto"/>
        </w:rPr>
      </w:pPr>
      <w:r>
        <w:rPr>
          <w:color w:val="auto"/>
        </w:rPr>
        <w:t>附图4  项目监测布点图；</w:t>
      </w:r>
    </w:p>
    <w:p w14:paraId="7AF02F69">
      <w:pPr>
        <w:pageBreakBefore w:val="0"/>
        <w:wordWrap/>
        <w:bidi w:val="0"/>
        <w:adjustRightInd/>
        <w:snapToGrid/>
        <w:ind w:firstLine="480"/>
        <w:rPr>
          <w:color w:val="auto"/>
        </w:rPr>
      </w:pPr>
      <w:r>
        <w:rPr>
          <w:color w:val="auto"/>
        </w:rPr>
        <w:t>附图5  项目卫生防护距离图；</w:t>
      </w:r>
    </w:p>
    <w:p w14:paraId="5184F6EC">
      <w:pPr>
        <w:pageBreakBefore w:val="0"/>
        <w:wordWrap/>
        <w:bidi w:val="0"/>
        <w:adjustRightInd/>
        <w:snapToGrid/>
        <w:ind w:firstLine="480"/>
        <w:rPr>
          <w:rFonts w:hint="default" w:eastAsia="宋体"/>
          <w:color w:val="auto"/>
          <w:lang w:val="en-US" w:eastAsia="zh-CN"/>
        </w:rPr>
      </w:pPr>
      <w:r>
        <w:rPr>
          <w:color w:val="auto"/>
        </w:rPr>
        <w:t xml:space="preserve">附图6  </w:t>
      </w:r>
      <w:r>
        <w:rPr>
          <w:rFonts w:hint="eastAsia"/>
          <w:color w:val="auto"/>
          <w:lang w:val="en-US" w:eastAsia="zh-CN"/>
        </w:rPr>
        <w:t>项目分区防渗图</w:t>
      </w:r>
    </w:p>
    <w:p w14:paraId="278C5A75">
      <w:pPr>
        <w:pageBreakBefore w:val="0"/>
        <w:wordWrap/>
        <w:bidi w:val="0"/>
        <w:adjustRightInd/>
        <w:snapToGrid/>
        <w:ind w:firstLine="480"/>
        <w:rPr>
          <w:rFonts w:hint="default" w:eastAsia="宋体"/>
          <w:color w:val="auto"/>
          <w:lang w:val="en-US" w:eastAsia="zh-CN"/>
        </w:rPr>
      </w:pPr>
      <w:r>
        <w:rPr>
          <w:color w:val="auto"/>
        </w:rPr>
        <w:t xml:space="preserve">附图7  </w:t>
      </w:r>
      <w:r>
        <w:rPr>
          <w:rFonts w:hint="eastAsia"/>
          <w:color w:val="auto"/>
          <w:lang w:val="en-US" w:eastAsia="zh-CN"/>
        </w:rPr>
        <w:t>项目评价范围图</w:t>
      </w:r>
    </w:p>
    <w:p w14:paraId="0D4C8452">
      <w:pPr>
        <w:pageBreakBefore w:val="0"/>
        <w:wordWrap/>
        <w:bidi w:val="0"/>
        <w:adjustRightInd/>
        <w:snapToGrid/>
        <w:ind w:firstLine="480"/>
        <w:rPr>
          <w:rFonts w:hint="default"/>
          <w:color w:val="auto"/>
          <w:lang w:val="en-US" w:eastAsia="zh-CN"/>
        </w:rPr>
      </w:pPr>
      <w:r>
        <w:rPr>
          <w:rFonts w:hint="eastAsia"/>
          <w:color w:val="auto"/>
          <w:lang w:val="en-US" w:eastAsia="zh-CN"/>
        </w:rPr>
        <w:t>附图8  项目尾水关系走向图</w:t>
      </w:r>
    </w:p>
    <w:p w14:paraId="7F040BBE">
      <w:pPr>
        <w:pageBreakBefore w:val="0"/>
        <w:wordWrap/>
        <w:bidi w:val="0"/>
        <w:adjustRightInd/>
        <w:snapToGrid/>
        <w:ind w:firstLine="480"/>
        <w:rPr>
          <w:rFonts w:hint="default" w:eastAsia="宋体"/>
          <w:color w:val="auto"/>
          <w:lang w:val="en-US" w:eastAsia="zh-CN"/>
        </w:rPr>
      </w:pPr>
      <w:r>
        <w:rPr>
          <w:color w:val="auto"/>
        </w:rPr>
        <w:t>附图</w:t>
      </w:r>
      <w:r>
        <w:rPr>
          <w:rFonts w:hint="eastAsia"/>
          <w:color w:val="auto"/>
          <w:lang w:val="en-US" w:eastAsia="zh-CN"/>
        </w:rPr>
        <w:t>9</w:t>
      </w:r>
      <w:r>
        <w:rPr>
          <w:color w:val="auto"/>
        </w:rPr>
        <w:t xml:space="preserve">  </w:t>
      </w:r>
      <w:r>
        <w:rPr>
          <w:rFonts w:hint="eastAsia"/>
          <w:color w:val="auto"/>
          <w:lang w:val="en-US" w:eastAsia="zh-CN"/>
        </w:rPr>
        <w:t>曾口区块污水工程规划图</w:t>
      </w:r>
    </w:p>
    <w:p w14:paraId="62EF98BF">
      <w:pPr>
        <w:pageBreakBefore w:val="0"/>
        <w:wordWrap/>
        <w:bidi w:val="0"/>
        <w:adjustRightInd/>
        <w:snapToGrid/>
        <w:ind w:firstLine="480"/>
        <w:rPr>
          <w:rFonts w:hint="default" w:eastAsia="宋体"/>
          <w:color w:val="auto"/>
          <w:lang w:val="en-US" w:eastAsia="zh-CN"/>
        </w:rPr>
      </w:pPr>
      <w:r>
        <w:rPr>
          <w:color w:val="auto"/>
        </w:rPr>
        <w:t>附图</w:t>
      </w:r>
      <w:r>
        <w:rPr>
          <w:rFonts w:hint="eastAsia"/>
          <w:color w:val="auto"/>
          <w:lang w:val="en-US" w:eastAsia="zh-CN"/>
        </w:rPr>
        <w:t>10</w:t>
      </w:r>
      <w:r>
        <w:rPr>
          <w:color w:val="auto"/>
        </w:rPr>
        <w:t xml:space="preserve">  </w:t>
      </w:r>
      <w:r>
        <w:rPr>
          <w:rFonts w:hint="eastAsia"/>
          <w:color w:val="auto"/>
          <w:lang w:val="en-US" w:eastAsia="zh-CN"/>
        </w:rPr>
        <w:t>曾口区块用地布局规划图；</w:t>
      </w:r>
    </w:p>
    <w:p w14:paraId="1926B061">
      <w:pPr>
        <w:pageBreakBefore w:val="0"/>
        <w:wordWrap/>
        <w:bidi w:val="0"/>
        <w:adjustRightInd/>
        <w:snapToGrid/>
        <w:ind w:firstLine="480"/>
        <w:rPr>
          <w:rFonts w:hint="eastAsia" w:eastAsia="宋体"/>
          <w:color w:val="auto"/>
          <w:lang w:val="en-US" w:eastAsia="zh-CN"/>
        </w:rPr>
      </w:pPr>
      <w:r>
        <w:rPr>
          <w:color w:val="auto"/>
        </w:rPr>
        <w:t>附图1</w:t>
      </w:r>
      <w:r>
        <w:rPr>
          <w:rFonts w:hint="eastAsia"/>
          <w:color w:val="auto"/>
          <w:lang w:val="en-US" w:eastAsia="zh-CN"/>
        </w:rPr>
        <w:t>1</w:t>
      </w:r>
      <w:r>
        <w:rPr>
          <w:color w:val="auto"/>
        </w:rPr>
        <w:t xml:space="preserve"> </w:t>
      </w:r>
      <w:r>
        <w:rPr>
          <w:rFonts w:hint="eastAsia"/>
          <w:color w:val="auto"/>
          <w:lang w:val="en-US" w:eastAsia="zh-CN"/>
        </w:rPr>
        <w:t xml:space="preserve"> 本项目与环境管控单元图</w:t>
      </w:r>
    </w:p>
    <w:p w14:paraId="0C77E0E9">
      <w:pPr>
        <w:pageBreakBefore w:val="0"/>
        <w:wordWrap/>
        <w:bidi w:val="0"/>
        <w:adjustRightInd/>
        <w:snapToGrid/>
        <w:ind w:firstLine="480"/>
        <w:rPr>
          <w:rFonts w:hint="eastAsia"/>
          <w:color w:val="auto"/>
          <w:lang w:val="en-US" w:eastAsia="zh-CN"/>
        </w:rPr>
      </w:pPr>
      <w:r>
        <w:rPr>
          <w:rFonts w:hint="eastAsia"/>
          <w:color w:val="auto"/>
          <w:lang w:val="en-US" w:eastAsia="zh-CN"/>
        </w:rPr>
        <w:t>附图12  本项目与四川省三线一单位置图</w:t>
      </w:r>
    </w:p>
    <w:p w14:paraId="1ED30745">
      <w:pPr>
        <w:pageBreakBefore w:val="0"/>
        <w:wordWrap/>
        <w:bidi w:val="0"/>
        <w:adjustRightInd/>
        <w:snapToGrid/>
        <w:ind w:firstLine="480"/>
        <w:rPr>
          <w:rFonts w:hint="eastAsia"/>
          <w:color w:val="auto"/>
          <w:lang w:val="en-US" w:eastAsia="zh-CN"/>
        </w:rPr>
      </w:pPr>
      <w:r>
        <w:rPr>
          <w:rFonts w:hint="eastAsia"/>
          <w:color w:val="auto"/>
          <w:lang w:val="en-US" w:eastAsia="zh-CN"/>
        </w:rPr>
        <w:t>附图13  巴中市水系图</w:t>
      </w:r>
    </w:p>
    <w:p w14:paraId="0D4DDC3F">
      <w:pPr>
        <w:pageBreakBefore w:val="0"/>
        <w:wordWrap/>
        <w:bidi w:val="0"/>
        <w:adjustRightInd/>
        <w:snapToGrid/>
        <w:ind w:firstLine="480"/>
        <w:rPr>
          <w:rFonts w:hint="default"/>
          <w:color w:val="auto"/>
          <w:lang w:val="en-US" w:eastAsia="zh-CN"/>
        </w:rPr>
      </w:pPr>
      <w:r>
        <w:rPr>
          <w:rFonts w:hint="eastAsia"/>
          <w:color w:val="auto"/>
          <w:lang w:val="en-US" w:eastAsia="zh-CN"/>
        </w:rPr>
        <w:t>附图14  外环境测绘图</w:t>
      </w:r>
    </w:p>
    <w:p w14:paraId="1539A307">
      <w:pPr>
        <w:pageBreakBefore w:val="0"/>
        <w:wordWrap/>
        <w:bidi w:val="0"/>
        <w:adjustRightInd/>
        <w:snapToGrid/>
        <w:ind w:firstLine="0" w:firstLineChars="0"/>
        <w:rPr>
          <w:b/>
          <w:bCs/>
          <w:color w:val="auto"/>
          <w:sz w:val="28"/>
          <w:szCs w:val="28"/>
        </w:rPr>
      </w:pPr>
      <w:r>
        <w:rPr>
          <w:b/>
          <w:bCs/>
          <w:color w:val="auto"/>
          <w:sz w:val="28"/>
          <w:szCs w:val="28"/>
        </w:rPr>
        <w:t>附件：</w:t>
      </w:r>
    </w:p>
    <w:p w14:paraId="1C19CDB4">
      <w:pPr>
        <w:pageBreakBefore w:val="0"/>
        <w:wordWrap/>
        <w:bidi w:val="0"/>
        <w:adjustRightInd/>
        <w:snapToGrid/>
        <w:ind w:firstLine="480"/>
        <w:rPr>
          <w:color w:val="auto"/>
        </w:rPr>
      </w:pPr>
      <w:r>
        <w:rPr>
          <w:color w:val="auto"/>
        </w:rPr>
        <w:t>附件</w:t>
      </w:r>
      <w:r>
        <w:rPr>
          <w:rFonts w:hint="eastAsia"/>
          <w:color w:val="auto"/>
          <w:lang w:eastAsia="zh-CN"/>
        </w:rPr>
        <w:t>1</w:t>
      </w:r>
      <w:r>
        <w:rPr>
          <w:rFonts w:hint="eastAsia"/>
          <w:color w:val="auto"/>
          <w:lang w:val="en-US" w:eastAsia="zh-CN"/>
        </w:rPr>
        <w:t xml:space="preserve">  </w:t>
      </w:r>
      <w:r>
        <w:rPr>
          <w:color w:val="auto"/>
        </w:rPr>
        <w:t>环评委托书；</w:t>
      </w:r>
    </w:p>
    <w:p w14:paraId="50E255FF">
      <w:pPr>
        <w:pageBreakBefore w:val="0"/>
        <w:wordWrap/>
        <w:bidi w:val="0"/>
        <w:adjustRightInd/>
        <w:snapToGrid/>
        <w:ind w:firstLine="480"/>
        <w:rPr>
          <w:color w:val="auto"/>
        </w:rPr>
      </w:pPr>
      <w:r>
        <w:rPr>
          <w:color w:val="auto"/>
        </w:rPr>
        <w:t>附件2  投资项目备案表；</w:t>
      </w:r>
    </w:p>
    <w:p w14:paraId="6EEED884">
      <w:pPr>
        <w:pStyle w:val="23"/>
        <w:pageBreakBefore w:val="0"/>
        <w:wordWrap/>
        <w:bidi w:val="0"/>
        <w:adjustRightInd/>
        <w:snapToGrid/>
        <w:rPr>
          <w:rFonts w:hint="eastAsia" w:eastAsia="宋体"/>
          <w:color w:val="auto"/>
          <w:lang w:eastAsia="zh-CN"/>
        </w:rPr>
      </w:pPr>
      <w:r>
        <w:rPr>
          <w:color w:val="auto"/>
        </w:rPr>
        <w:t xml:space="preserve">附件3  </w:t>
      </w:r>
      <w:r>
        <w:rPr>
          <w:rFonts w:hint="eastAsia"/>
          <w:color w:val="auto"/>
          <w:lang w:val="en-US" w:eastAsia="zh-CN"/>
        </w:rPr>
        <w:t>营业执照</w:t>
      </w:r>
    </w:p>
    <w:p w14:paraId="2B354178">
      <w:pPr>
        <w:pageBreakBefore w:val="0"/>
        <w:wordWrap/>
        <w:bidi w:val="0"/>
        <w:adjustRightInd/>
        <w:snapToGrid/>
        <w:ind w:firstLine="480"/>
        <w:rPr>
          <w:rFonts w:hint="default" w:eastAsia="宋体"/>
          <w:color w:val="auto"/>
          <w:lang w:val="en-US" w:eastAsia="zh-CN"/>
        </w:rPr>
      </w:pPr>
      <w:r>
        <w:rPr>
          <w:color w:val="auto"/>
        </w:rPr>
        <w:t xml:space="preserve">附件4  </w:t>
      </w:r>
      <w:r>
        <w:rPr>
          <w:rFonts w:hint="eastAsia"/>
          <w:color w:val="auto"/>
          <w:lang w:val="en-US" w:eastAsia="zh-CN"/>
        </w:rPr>
        <w:t>用地规划许可证</w:t>
      </w:r>
    </w:p>
    <w:p w14:paraId="01707427">
      <w:pPr>
        <w:keepNext w:val="0"/>
        <w:keepLines w:val="0"/>
        <w:pageBreakBefore w:val="0"/>
        <w:widowControl w:val="0"/>
        <w:kinsoku/>
        <w:wordWrap/>
        <w:overflowPunct/>
        <w:topLinePunct w:val="0"/>
        <w:autoSpaceDE/>
        <w:autoSpaceDN/>
        <w:bidi w:val="0"/>
        <w:adjustRightInd/>
        <w:snapToGrid/>
        <w:ind w:left="0" w:firstLine="480" w:firstLineChars="200"/>
        <w:textAlignment w:val="auto"/>
        <w:rPr>
          <w:rFonts w:hint="eastAsia" w:eastAsia="宋体"/>
          <w:color w:val="auto"/>
          <w:lang w:val="en-US" w:eastAsia="zh-CN"/>
        </w:rPr>
      </w:pPr>
      <w:r>
        <w:rPr>
          <w:rFonts w:hint="eastAsia"/>
          <w:color w:val="auto"/>
        </w:rPr>
        <w:t xml:space="preserve">附件5  </w:t>
      </w:r>
      <w:r>
        <w:rPr>
          <w:rFonts w:hint="eastAsia"/>
          <w:color w:val="auto"/>
          <w:lang w:val="en-US" w:eastAsia="zh-CN"/>
        </w:rPr>
        <w:t>关于印发《四川巴中经济开发区规划修编环境影响报告书》审查意见的函（川环建函〔2023〕29号 ）</w:t>
      </w:r>
    </w:p>
    <w:p w14:paraId="38EFC759">
      <w:pPr>
        <w:pageBreakBefore w:val="0"/>
        <w:wordWrap/>
        <w:bidi w:val="0"/>
        <w:adjustRightInd/>
        <w:snapToGrid/>
        <w:ind w:firstLine="480"/>
        <w:rPr>
          <w:rFonts w:hint="default" w:eastAsia="宋体"/>
          <w:color w:val="auto"/>
          <w:lang w:val="en-US" w:eastAsia="zh-CN"/>
        </w:rPr>
      </w:pPr>
      <w:r>
        <w:rPr>
          <w:color w:val="auto"/>
        </w:rPr>
        <w:t>附件</w:t>
      </w:r>
      <w:r>
        <w:rPr>
          <w:rFonts w:hint="eastAsia"/>
          <w:color w:val="auto"/>
        </w:rPr>
        <w:t>6</w:t>
      </w:r>
      <w:r>
        <w:rPr>
          <w:color w:val="auto"/>
        </w:rPr>
        <w:t xml:space="preserve">  </w:t>
      </w:r>
      <w:r>
        <w:rPr>
          <w:rFonts w:hint="eastAsia"/>
          <w:color w:val="auto"/>
          <w:lang w:val="en-US" w:eastAsia="zh-CN"/>
        </w:rPr>
        <w:t>关于污水处理厂建设项目建设内容的说明</w:t>
      </w:r>
    </w:p>
    <w:p w14:paraId="7281154C">
      <w:pPr>
        <w:pageBreakBefore w:val="0"/>
        <w:wordWrap/>
        <w:bidi w:val="0"/>
        <w:adjustRightInd/>
        <w:snapToGrid/>
        <w:ind w:firstLine="480"/>
        <w:rPr>
          <w:rFonts w:hint="eastAsia"/>
          <w:color w:val="auto"/>
          <w:lang w:val="en-US" w:eastAsia="zh-CN"/>
        </w:rPr>
      </w:pPr>
      <w:r>
        <w:rPr>
          <w:rFonts w:hint="eastAsia"/>
          <w:color w:val="auto"/>
        </w:rPr>
        <w:t xml:space="preserve">附件7  </w:t>
      </w:r>
      <w:r>
        <w:rPr>
          <w:rFonts w:hint="eastAsia"/>
          <w:color w:val="auto"/>
          <w:lang w:val="en-US" w:eastAsia="zh-CN"/>
        </w:rPr>
        <w:t>引用地表水枯水期监测报告</w:t>
      </w:r>
    </w:p>
    <w:p w14:paraId="7BC072D2">
      <w:pPr>
        <w:pageBreakBefore w:val="0"/>
        <w:wordWrap/>
        <w:bidi w:val="0"/>
        <w:adjustRightInd/>
        <w:snapToGrid/>
        <w:ind w:firstLine="480"/>
        <w:rPr>
          <w:rFonts w:hint="eastAsia"/>
          <w:color w:val="auto"/>
          <w:lang w:val="en-US" w:eastAsia="zh-CN"/>
        </w:rPr>
      </w:pPr>
      <w:r>
        <w:rPr>
          <w:rFonts w:hint="eastAsia"/>
          <w:color w:val="auto"/>
          <w:lang w:val="en-US" w:eastAsia="zh-CN"/>
        </w:rPr>
        <w:t>附件8  现状监测报告</w:t>
      </w:r>
    </w:p>
    <w:p w14:paraId="32B2AD77">
      <w:pPr>
        <w:pageBreakBefore w:val="0"/>
        <w:wordWrap/>
        <w:bidi w:val="0"/>
        <w:adjustRightInd/>
        <w:snapToGrid/>
        <w:ind w:firstLine="480"/>
        <w:rPr>
          <w:rFonts w:hint="default"/>
          <w:color w:val="auto"/>
          <w:lang w:val="en-US" w:eastAsia="zh-CN"/>
        </w:rPr>
      </w:pPr>
      <w:r>
        <w:rPr>
          <w:rFonts w:hint="eastAsia"/>
          <w:color w:val="auto"/>
          <w:lang w:val="en-US" w:eastAsia="zh-CN"/>
        </w:rPr>
        <w:t>附件9  巴河手傍岩断面和金碑断面例行监测数据</w:t>
      </w:r>
    </w:p>
    <w:p w14:paraId="76450203">
      <w:pPr>
        <w:pageBreakBefore w:val="0"/>
        <w:wordWrap/>
        <w:bidi w:val="0"/>
        <w:adjustRightInd/>
        <w:snapToGrid/>
        <w:ind w:firstLine="480"/>
        <w:rPr>
          <w:rFonts w:hint="eastAsia"/>
          <w:color w:val="auto"/>
          <w:lang w:val="en-US" w:eastAsia="zh-CN"/>
        </w:rPr>
      </w:pPr>
      <w:r>
        <w:rPr>
          <w:rFonts w:hint="eastAsia"/>
          <w:color w:val="auto"/>
          <w:lang w:val="en-US" w:eastAsia="zh-CN"/>
        </w:rPr>
        <w:t>附件10  关于鱼类“三场”分布的情况说明</w:t>
      </w:r>
    </w:p>
    <w:p w14:paraId="0F008D65">
      <w:pPr>
        <w:pageBreakBefore w:val="0"/>
        <w:wordWrap/>
        <w:bidi w:val="0"/>
        <w:adjustRightInd/>
        <w:snapToGrid/>
        <w:ind w:firstLine="480"/>
        <w:rPr>
          <w:rFonts w:hint="default"/>
          <w:color w:val="auto"/>
          <w:lang w:val="en-US" w:eastAsia="zh-CN"/>
        </w:rPr>
      </w:pPr>
      <w:r>
        <w:rPr>
          <w:rFonts w:hint="default"/>
          <w:color w:val="auto"/>
          <w:lang w:val="en-US" w:eastAsia="zh-CN"/>
        </w:rPr>
        <w:t>附件11 关于巴中市巴州区曾口片区污水处理厂、环境监测站建设项目周边农户搬迁情况说明</w:t>
      </w:r>
    </w:p>
    <w:p w14:paraId="40DD8F19">
      <w:pPr>
        <w:pageBreakBefore w:val="0"/>
        <w:wordWrap/>
        <w:bidi w:val="0"/>
        <w:adjustRightInd/>
        <w:snapToGrid/>
        <w:ind w:firstLine="480"/>
        <w:rPr>
          <w:rFonts w:hint="eastAsia"/>
          <w:color w:val="auto"/>
          <w:lang w:val="en-US" w:eastAsia="zh-CN"/>
        </w:rPr>
        <w:sectPr>
          <w:pgSz w:w="11906" w:h="16838"/>
          <w:pgMar w:top="1440" w:right="1588" w:bottom="1440" w:left="1588" w:header="850" w:footer="992" w:gutter="0"/>
          <w:pgBorders>
            <w:top w:val="none" w:sz="0" w:space="0"/>
            <w:left w:val="none" w:sz="0" w:space="0"/>
            <w:bottom w:val="none" w:sz="0" w:space="0"/>
            <w:right w:val="none" w:sz="0" w:space="0"/>
          </w:pgBorders>
          <w:pgNumType w:fmt="decimal"/>
          <w:cols w:space="720" w:num="1"/>
          <w:docGrid w:linePitch="312" w:charSpace="0"/>
        </w:sectPr>
      </w:pPr>
      <w:r>
        <w:rPr>
          <w:rFonts w:hint="eastAsia"/>
          <w:color w:val="auto"/>
          <w:lang w:val="en-US" w:eastAsia="zh-CN"/>
        </w:rPr>
        <w:t>附件12 关于四川巴中经济开发区规划修编范围森林资源相关情况的说明</w:t>
      </w:r>
    </w:p>
    <w:p w14:paraId="577411EA">
      <w:pPr>
        <w:pStyle w:val="3"/>
        <w:pageBreakBefore w:val="0"/>
        <w:numPr>
          <w:ilvl w:val="0"/>
          <w:numId w:val="0"/>
        </w:numPr>
        <w:wordWrap/>
        <w:bidi w:val="0"/>
        <w:adjustRightInd/>
        <w:snapToGrid/>
        <w:rPr>
          <w:rFonts w:eastAsia="宋体"/>
          <w:color w:val="auto"/>
        </w:rPr>
      </w:pPr>
      <w:bookmarkStart w:id="24" w:name="_Toc505087332"/>
      <w:bookmarkStart w:id="25" w:name="_Toc3860"/>
      <w:bookmarkStart w:id="26" w:name="_Toc12340"/>
      <w:r>
        <w:rPr>
          <w:rFonts w:eastAsia="宋体"/>
          <w:color w:val="auto"/>
        </w:rPr>
        <w:t>概述</w:t>
      </w:r>
      <w:bookmarkEnd w:id="24"/>
      <w:bookmarkEnd w:id="25"/>
      <w:bookmarkEnd w:id="26"/>
    </w:p>
    <w:p w14:paraId="62B8C61F">
      <w:pPr>
        <w:pageBreakBefore w:val="0"/>
        <w:wordWrap/>
        <w:bidi w:val="0"/>
        <w:adjustRightInd/>
        <w:snapToGrid/>
        <w:ind w:firstLine="482"/>
        <w:rPr>
          <w:color w:val="auto"/>
        </w:rPr>
      </w:pPr>
      <w:r>
        <w:rPr>
          <w:b/>
          <w:color w:val="auto"/>
        </w:rPr>
        <w:t>1、项目由来</w:t>
      </w:r>
    </w:p>
    <w:p w14:paraId="6DE4797A">
      <w:pPr>
        <w:bidi w:val="0"/>
        <w:rPr>
          <w:rFonts w:hint="eastAsia"/>
          <w:color w:val="auto"/>
          <w:lang w:val="en-US" w:eastAsia="zh-CN"/>
        </w:rPr>
      </w:pPr>
      <w:r>
        <w:rPr>
          <w:rFonts w:hint="eastAsia"/>
          <w:color w:val="auto"/>
        </w:rPr>
        <w:t>四川巴中经济开发区位于巴中市巴州区，2003年经原四川省发展计划委员会批准成立。2018年经开区被纳入《中国开发区审核公告目录》（2018年版），核准面积为8.796平方公里，主导产业为机械、电子、服装。</w:t>
      </w:r>
    </w:p>
    <w:p w14:paraId="757CA8DE">
      <w:pPr>
        <w:pageBreakBefore w:val="0"/>
        <w:widowControl/>
        <w:wordWrap/>
        <w:bidi w:val="0"/>
        <w:adjustRightInd/>
        <w:snapToGrid/>
        <w:ind w:firstLine="480"/>
        <w:rPr>
          <w:rFonts w:hint="eastAsia"/>
          <w:color w:val="auto"/>
          <w:lang w:val="en-US" w:eastAsia="zh-CN"/>
        </w:rPr>
      </w:pPr>
      <w:r>
        <w:rPr>
          <w:rFonts w:hint="eastAsia"/>
          <w:color w:val="auto"/>
        </w:rPr>
        <w:t>2022年11月巴中经开区管委会组织编制了《四川巴中经济开发区规划修编》，规划</w:t>
      </w:r>
      <w:r>
        <w:rPr>
          <w:rFonts w:hint="eastAsia"/>
          <w:color w:val="auto"/>
          <w:lang w:val="en-US" w:eastAsia="zh-CN"/>
        </w:rPr>
        <w:t>园区</w:t>
      </w:r>
      <w:r>
        <w:rPr>
          <w:rFonts w:hint="eastAsia"/>
          <w:color w:val="auto"/>
        </w:rPr>
        <w:t>面积1677.3513h</w:t>
      </w:r>
      <w:r>
        <w:rPr>
          <w:rFonts w:hint="eastAsia"/>
          <w:color w:val="auto"/>
          <w:lang w:eastAsia="zh-CN"/>
        </w:rPr>
        <w:t>m²，包括位于巴州区的核心区、曾口区块和位于通江县的金堂区块，规划年限近期至2025年，远期至2035年。</w:t>
      </w:r>
      <w:r>
        <w:rPr>
          <w:rFonts w:hint="eastAsia"/>
          <w:color w:val="auto"/>
          <w:lang w:val="en-US" w:eastAsia="zh-CN"/>
        </w:rPr>
        <w:t>其中：</w:t>
      </w:r>
    </w:p>
    <w:p w14:paraId="58A2A080">
      <w:pPr>
        <w:pageBreakBefore w:val="0"/>
        <w:widowControl/>
        <w:wordWrap/>
        <w:bidi w:val="0"/>
        <w:adjustRightInd/>
        <w:snapToGrid/>
        <w:ind w:firstLine="480"/>
        <w:rPr>
          <w:rFonts w:hint="eastAsia" w:eastAsia="宋体"/>
          <w:color w:val="auto"/>
          <w:lang w:val="en-US" w:eastAsia="zh-CN"/>
        </w:rPr>
      </w:pPr>
      <w:r>
        <w:rPr>
          <w:rFonts w:hint="eastAsia"/>
          <w:color w:val="auto"/>
        </w:rPr>
        <w:t>曾口区块</w:t>
      </w:r>
      <w:r>
        <w:rPr>
          <w:rFonts w:hint="eastAsia"/>
          <w:color w:val="auto"/>
          <w:lang w:val="en-US" w:eastAsia="zh-CN"/>
        </w:rPr>
        <w:t>位于巴中市曾口镇，曾口区块</w:t>
      </w:r>
      <w:r>
        <w:rPr>
          <w:rFonts w:hint="eastAsia"/>
          <w:color w:val="auto"/>
        </w:rPr>
        <w:t>规划面积约191.8105h</w:t>
      </w:r>
      <w:r>
        <w:rPr>
          <w:rFonts w:hint="eastAsia"/>
          <w:color w:val="auto"/>
          <w:lang w:eastAsia="zh-CN"/>
        </w:rPr>
        <w:t>m²</w:t>
      </w:r>
      <w:r>
        <w:rPr>
          <w:rFonts w:hint="eastAsia"/>
          <w:color w:val="auto"/>
          <w:vertAlign w:val="baseline"/>
          <w:lang w:val="en-US" w:eastAsia="zh-CN"/>
        </w:rPr>
        <w:t>，四至范围：东至寿星村团包梁，南至寿星村磨盘寨，西至寿星村双堰塘，北至寿星村周家湾，以天然气化工、新能源新材料为主导</w:t>
      </w:r>
      <w:r>
        <w:rPr>
          <w:rFonts w:hint="eastAsia"/>
          <w:color w:val="auto"/>
          <w:lang w:val="en-US" w:eastAsia="zh-CN"/>
        </w:rPr>
        <w:t>。核心区位于时新街道和兴文街道，位于曾口区块西北侧5.04km；金堂区块位于通江县诺江镇，位于曾口区块东北侧32.28km。</w:t>
      </w:r>
    </w:p>
    <w:p w14:paraId="2227EDC9">
      <w:pPr>
        <w:pStyle w:val="6"/>
        <w:pageBreakBefore w:val="0"/>
        <w:wordWrap/>
        <w:bidi w:val="0"/>
        <w:adjustRightInd/>
        <w:snapToGrid/>
        <w:ind w:firstLine="480"/>
        <w:jc w:val="both"/>
        <w:rPr>
          <w:rFonts w:hint="default" w:eastAsia="宋体"/>
          <w:color w:val="auto"/>
          <w:lang w:val="en-US" w:eastAsia="zh-CN"/>
        </w:rPr>
      </w:pPr>
      <w:r>
        <w:rPr>
          <w:rFonts w:hint="eastAsia"/>
          <w:color w:val="auto"/>
          <w:lang w:val="en-US" w:eastAsia="zh-CN"/>
        </w:rPr>
        <w:t>2023年10月，巴中经开区管委会委托信息产业电子第十一设计研究院科技工程股份有限公司编制了</w:t>
      </w:r>
      <w:r>
        <w:rPr>
          <w:rFonts w:hint="eastAsia"/>
          <w:color w:val="auto"/>
        </w:rPr>
        <w:t>《四川巴中经济开发区规划修编</w:t>
      </w:r>
      <w:r>
        <w:rPr>
          <w:rFonts w:hint="eastAsia"/>
          <w:color w:val="auto"/>
          <w:lang w:val="en-US" w:eastAsia="zh-CN"/>
        </w:rPr>
        <w:t>环境影响报告书</w:t>
      </w:r>
      <w:r>
        <w:rPr>
          <w:rFonts w:hint="eastAsia"/>
          <w:color w:val="auto"/>
        </w:rPr>
        <w:t>》</w:t>
      </w:r>
      <w:r>
        <w:rPr>
          <w:rFonts w:hint="eastAsia"/>
          <w:color w:val="auto"/>
          <w:lang w:eastAsia="zh-CN"/>
        </w:rPr>
        <w:t>，</w:t>
      </w:r>
      <w:r>
        <w:rPr>
          <w:rFonts w:hint="eastAsia"/>
          <w:color w:val="auto"/>
        </w:rPr>
        <w:t>根据该修编规划环境影响报告书及审查小组意见：曾口区块应结合开发进度和企业排水实际情况，合理确定污水处理厂近远期建设规模和扩建时序，确保曾口区块已开发区域废水收集率达到 100%，处理率达到 100%，远期建成规模不超过1.6万</w:t>
      </w:r>
      <w:r>
        <w:rPr>
          <w:rFonts w:hint="eastAsia"/>
          <w:color w:val="auto"/>
          <w:lang w:eastAsia="zh-CN"/>
        </w:rPr>
        <w:t>m³</w:t>
      </w:r>
      <w:r>
        <w:rPr>
          <w:rFonts w:hint="eastAsia"/>
          <w:color w:val="auto"/>
        </w:rPr>
        <w:t>/d；</w:t>
      </w:r>
      <w:r>
        <w:rPr>
          <w:rFonts w:hint="eastAsia"/>
          <w:color w:val="auto"/>
          <w:lang w:val="en-US" w:eastAsia="zh-CN"/>
        </w:rPr>
        <w:t>因此规划环境影响报告书中建议：①结合曾口区块开发进度和企业排水情况，合理确定污水处理厂近期建设规模和扩建时序，确保曾口区块已开发区域废水收集率达到100%，处理率达到100%；②曾口区块远期建成规模不超过1.6万m³/d；③共用曾口场镇污水处理厂入河排口。</w:t>
      </w:r>
    </w:p>
    <w:p w14:paraId="7ECE4E95">
      <w:pPr>
        <w:pStyle w:val="6"/>
        <w:pageBreakBefore w:val="0"/>
        <w:wordWrap/>
        <w:bidi w:val="0"/>
        <w:adjustRightInd/>
        <w:snapToGrid/>
        <w:ind w:firstLine="480"/>
        <w:rPr>
          <w:b/>
          <w:bCs/>
          <w:color w:val="auto"/>
          <w:kern w:val="2"/>
          <w:szCs w:val="24"/>
        </w:rPr>
      </w:pPr>
      <w:r>
        <w:rPr>
          <w:rFonts w:hint="eastAsia"/>
          <w:color w:val="auto"/>
        </w:rPr>
        <w:t>曾口区块</w:t>
      </w:r>
      <w:r>
        <w:rPr>
          <w:rFonts w:hint="eastAsia"/>
          <w:color w:val="auto"/>
          <w:lang w:eastAsia="zh-CN"/>
        </w:rPr>
        <w:t>目前</w:t>
      </w:r>
      <w:r>
        <w:rPr>
          <w:rFonts w:hint="eastAsia"/>
          <w:color w:val="auto"/>
          <w:lang w:val="en-US" w:eastAsia="zh-CN"/>
        </w:rPr>
        <w:t>暂无企业入驻，无废水外排，巴中汇鑫发展有限公司</w:t>
      </w:r>
      <w:r>
        <w:rPr>
          <w:rFonts w:hint="eastAsia"/>
          <w:color w:val="auto"/>
        </w:rPr>
        <w:t>拟实施“巴中市巴州区曾口片区污水处理厂、环境监测站建设项目”，</w:t>
      </w:r>
      <w:r>
        <w:rPr>
          <w:rFonts w:hint="eastAsia"/>
          <w:color w:val="auto"/>
          <w:szCs w:val="24"/>
          <w:lang w:bidi="ar"/>
        </w:rPr>
        <w:t>总设计处理规模按</w:t>
      </w:r>
      <w:r>
        <w:rPr>
          <w:rFonts w:hint="eastAsia"/>
          <w:color w:val="auto"/>
          <w:lang w:val="en-US" w:eastAsia="zh-CN"/>
        </w:rPr>
        <w:t>修编</w:t>
      </w:r>
      <w:r>
        <w:rPr>
          <w:rFonts w:hint="eastAsia"/>
          <w:color w:val="auto"/>
        </w:rPr>
        <w:t>规划环评</w:t>
      </w:r>
      <w:r>
        <w:rPr>
          <w:rFonts w:hint="eastAsia"/>
          <w:color w:val="auto"/>
          <w:szCs w:val="24"/>
          <w:lang w:bidi="ar"/>
        </w:rPr>
        <w:t>建议为1.6万m³/d，建设地点曾口区块内S409与经二街交口处</w:t>
      </w:r>
      <w:r>
        <w:rPr>
          <w:color w:val="auto"/>
          <w:szCs w:val="24"/>
          <w:lang w:bidi="ar"/>
        </w:rPr>
        <w:t>，</w:t>
      </w:r>
      <w:r>
        <w:rPr>
          <w:rFonts w:hint="eastAsia"/>
          <w:color w:val="auto"/>
          <w:szCs w:val="24"/>
          <w:lang w:val="en-US" w:eastAsia="zh-CN" w:bidi="ar"/>
        </w:rPr>
        <w:t>根据《关于污水处理厂建设项目建设内容的说明》，本污水处理厂分为三期建设实施，其中一期3000m³/d，二期3000m³/d，三期10000m³/d，</w:t>
      </w:r>
      <w:r>
        <w:rPr>
          <w:rFonts w:hint="eastAsia"/>
          <w:b/>
          <w:bCs/>
          <w:color w:val="auto"/>
          <w:kern w:val="2"/>
          <w:szCs w:val="24"/>
        </w:rPr>
        <w:t>本</w:t>
      </w:r>
      <w:r>
        <w:rPr>
          <w:rFonts w:hint="eastAsia"/>
          <w:b/>
          <w:bCs/>
          <w:color w:val="auto"/>
          <w:kern w:val="2"/>
          <w:szCs w:val="24"/>
          <w:lang w:val="en-US" w:eastAsia="zh-CN"/>
        </w:rPr>
        <w:t>次环评主要涉及污水处理厂一期工程、污水排放管和新建园区环境监测站，不包含二期、三期工程的建设。</w:t>
      </w:r>
    </w:p>
    <w:p w14:paraId="487DF986">
      <w:pPr>
        <w:pageBreakBefore w:val="0"/>
        <w:wordWrap/>
        <w:bidi w:val="0"/>
        <w:adjustRightInd/>
        <w:snapToGrid/>
        <w:rPr>
          <w:rFonts w:hint="default"/>
          <w:color w:val="auto"/>
          <w:lang w:val="en-US" w:eastAsia="zh-CN"/>
        </w:rPr>
      </w:pPr>
      <w:r>
        <w:rPr>
          <w:rFonts w:hint="default"/>
          <w:color w:val="auto"/>
          <w:lang w:val="en-US" w:eastAsia="zh-CN"/>
        </w:rPr>
        <w:t>具体分期规划如下表：</w:t>
      </w:r>
    </w:p>
    <w:p w14:paraId="6A773B8F">
      <w:pPr>
        <w:pStyle w:val="19"/>
        <w:numPr>
          <w:ilvl w:val="0"/>
          <w:numId w:val="0"/>
        </w:numPr>
        <w:tabs>
          <w:tab w:val="clear" w:pos="0"/>
        </w:tabs>
        <w:bidi w:val="0"/>
        <w:ind w:leftChars="0"/>
        <w:jc w:val="center"/>
        <w:rPr>
          <w:rFonts w:hint="eastAsia"/>
          <w:color w:val="auto"/>
          <w:lang w:val="en-US" w:eastAsia="zh-CN"/>
        </w:rPr>
      </w:pPr>
      <w:r>
        <w:rPr>
          <w:rFonts w:hint="eastAsia"/>
          <w:color w:val="auto"/>
          <w:lang w:val="en-US" w:eastAsia="zh-CN"/>
        </w:rPr>
        <w:t>表1 污水处理厂分期建设规划表</w:t>
      </w:r>
    </w:p>
    <w:tbl>
      <w:tblPr>
        <w:tblStyle w:val="706"/>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879"/>
        <w:gridCol w:w="4081"/>
        <w:gridCol w:w="986"/>
        <w:gridCol w:w="1028"/>
        <w:gridCol w:w="858"/>
        <w:gridCol w:w="893"/>
      </w:tblGrid>
      <w:tr w14:paraId="27021A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tcBorders>
              <w:tl2br w:val="nil"/>
              <w:tr2bl w:val="nil"/>
            </w:tcBorders>
            <w:vAlign w:val="center"/>
          </w:tcPr>
          <w:p w14:paraId="4EA35BCC">
            <w:pPr>
              <w:pStyle w:val="16"/>
              <w:pageBreakBefore w:val="0"/>
              <w:wordWrap/>
              <w:bidi w:val="0"/>
              <w:adjustRightInd/>
              <w:snapToGrid/>
              <w:rPr>
                <w:b/>
                <w:bCs w:val="0"/>
                <w:color w:val="auto"/>
              </w:rPr>
            </w:pPr>
            <w:r>
              <w:rPr>
                <w:b/>
                <w:bCs w:val="0"/>
                <w:color w:val="auto"/>
              </w:rPr>
              <w:t>阶段</w:t>
            </w:r>
          </w:p>
        </w:tc>
        <w:tc>
          <w:tcPr>
            <w:tcW w:w="2338" w:type="pct"/>
            <w:tcBorders>
              <w:tl2br w:val="nil"/>
              <w:tr2bl w:val="nil"/>
            </w:tcBorders>
            <w:vAlign w:val="center"/>
          </w:tcPr>
          <w:p w14:paraId="7207CCE4">
            <w:pPr>
              <w:pStyle w:val="16"/>
              <w:pageBreakBefore w:val="0"/>
              <w:wordWrap/>
              <w:bidi w:val="0"/>
              <w:adjustRightInd/>
              <w:snapToGrid/>
              <w:rPr>
                <w:b/>
                <w:bCs w:val="0"/>
                <w:color w:val="auto"/>
              </w:rPr>
            </w:pPr>
            <w:r>
              <w:rPr>
                <w:b/>
                <w:bCs w:val="0"/>
                <w:color w:val="auto"/>
              </w:rPr>
              <w:t>单体名称</w:t>
            </w:r>
          </w:p>
        </w:tc>
        <w:tc>
          <w:tcPr>
            <w:tcW w:w="565" w:type="pct"/>
            <w:tcBorders>
              <w:tl2br w:val="nil"/>
              <w:tr2bl w:val="nil"/>
            </w:tcBorders>
            <w:vAlign w:val="center"/>
          </w:tcPr>
          <w:p w14:paraId="36BEC39C">
            <w:pPr>
              <w:pStyle w:val="16"/>
              <w:pageBreakBefore w:val="0"/>
              <w:wordWrap/>
              <w:bidi w:val="0"/>
              <w:adjustRightInd/>
              <w:snapToGrid/>
              <w:rPr>
                <w:b/>
                <w:bCs w:val="0"/>
                <w:color w:val="auto"/>
              </w:rPr>
            </w:pPr>
            <w:r>
              <w:rPr>
                <w:b/>
                <w:bCs w:val="0"/>
                <w:color w:val="auto"/>
              </w:rPr>
              <w:t>土建</w:t>
            </w:r>
          </w:p>
        </w:tc>
        <w:tc>
          <w:tcPr>
            <w:tcW w:w="589" w:type="pct"/>
            <w:tcBorders>
              <w:tl2br w:val="nil"/>
              <w:tr2bl w:val="nil"/>
            </w:tcBorders>
            <w:vAlign w:val="center"/>
          </w:tcPr>
          <w:p w14:paraId="535A3F9E">
            <w:pPr>
              <w:pStyle w:val="16"/>
              <w:pageBreakBefore w:val="0"/>
              <w:wordWrap/>
              <w:bidi w:val="0"/>
              <w:adjustRightInd/>
              <w:snapToGrid/>
              <w:rPr>
                <w:b/>
                <w:bCs w:val="0"/>
                <w:color w:val="auto"/>
              </w:rPr>
            </w:pPr>
            <w:r>
              <w:rPr>
                <w:b/>
                <w:bCs w:val="0"/>
                <w:color w:val="auto"/>
              </w:rPr>
              <w:t>设备</w:t>
            </w:r>
          </w:p>
        </w:tc>
        <w:tc>
          <w:tcPr>
            <w:tcW w:w="491" w:type="pct"/>
            <w:tcBorders>
              <w:tl2br w:val="nil"/>
              <w:tr2bl w:val="nil"/>
            </w:tcBorders>
            <w:vAlign w:val="center"/>
          </w:tcPr>
          <w:p w14:paraId="0EC27907">
            <w:pPr>
              <w:pStyle w:val="16"/>
              <w:pageBreakBefore w:val="0"/>
              <w:wordWrap/>
              <w:bidi w:val="0"/>
              <w:adjustRightInd/>
              <w:snapToGrid/>
              <w:rPr>
                <w:rFonts w:hint="default" w:eastAsia="宋体"/>
                <w:b/>
                <w:bCs w:val="0"/>
                <w:color w:val="auto"/>
                <w:lang w:val="en-US" w:eastAsia="zh-CN"/>
              </w:rPr>
            </w:pPr>
            <w:r>
              <w:rPr>
                <w:rFonts w:hint="eastAsia"/>
                <w:b/>
                <w:bCs w:val="0"/>
                <w:color w:val="auto"/>
                <w:lang w:val="en-US" w:eastAsia="zh-CN"/>
              </w:rPr>
              <w:t>预计建成时间</w:t>
            </w:r>
          </w:p>
        </w:tc>
        <w:tc>
          <w:tcPr>
            <w:tcW w:w="511" w:type="pct"/>
            <w:tcBorders>
              <w:tl2br w:val="nil"/>
              <w:tr2bl w:val="nil"/>
            </w:tcBorders>
            <w:vAlign w:val="center"/>
          </w:tcPr>
          <w:p w14:paraId="1A8A0188">
            <w:pPr>
              <w:pStyle w:val="16"/>
              <w:pageBreakBefore w:val="0"/>
              <w:wordWrap/>
              <w:bidi w:val="0"/>
              <w:adjustRightInd/>
              <w:snapToGrid/>
              <w:rPr>
                <w:rFonts w:hint="default"/>
                <w:b/>
                <w:bCs w:val="0"/>
                <w:color w:val="auto"/>
                <w:lang w:val="en-US" w:eastAsia="zh-CN"/>
              </w:rPr>
            </w:pPr>
            <w:r>
              <w:rPr>
                <w:rFonts w:hint="eastAsia"/>
                <w:b/>
                <w:bCs w:val="0"/>
                <w:color w:val="auto"/>
                <w:lang w:val="en-US" w:eastAsia="zh-CN"/>
              </w:rPr>
              <w:t>服务范围</w:t>
            </w:r>
          </w:p>
        </w:tc>
      </w:tr>
      <w:tr w14:paraId="427DF5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restart"/>
            <w:tcBorders>
              <w:tl2br w:val="nil"/>
              <w:tr2bl w:val="nil"/>
            </w:tcBorders>
            <w:vAlign w:val="center"/>
          </w:tcPr>
          <w:p w14:paraId="44ED72BA">
            <w:pPr>
              <w:pStyle w:val="16"/>
              <w:pageBreakBefore w:val="0"/>
              <w:wordWrap/>
              <w:bidi w:val="0"/>
              <w:adjustRightInd/>
              <w:snapToGrid/>
              <w:rPr>
                <w:rFonts w:hint="eastAsia" w:eastAsia="宋体"/>
                <w:b w:val="0"/>
                <w:bCs w:val="0"/>
                <w:color w:val="auto"/>
                <w:lang w:eastAsia="zh-CN"/>
              </w:rPr>
            </w:pPr>
            <w:r>
              <w:rPr>
                <w:rFonts w:hint="eastAsia"/>
                <w:b/>
                <w:bCs/>
                <w:color w:val="auto"/>
                <w:lang w:val="en-US" w:eastAsia="zh-CN"/>
              </w:rPr>
              <w:t>一</w:t>
            </w:r>
            <w:r>
              <w:rPr>
                <w:b/>
                <w:bCs/>
                <w:color w:val="auto"/>
              </w:rPr>
              <w:t>期</w:t>
            </w:r>
            <w:r>
              <w:rPr>
                <w:rFonts w:hint="eastAsia"/>
                <w:b/>
                <w:bCs/>
                <w:color w:val="auto"/>
                <w:lang w:eastAsia="zh-CN"/>
              </w:rPr>
              <w:t>（</w:t>
            </w:r>
            <w:r>
              <w:rPr>
                <w:rFonts w:hint="eastAsia"/>
                <w:b/>
                <w:bCs/>
                <w:color w:val="auto"/>
                <w:lang w:val="en-US" w:eastAsia="zh-CN"/>
              </w:rPr>
              <w:t>处理规模3000m³/d，本次新建</w:t>
            </w:r>
            <w:r>
              <w:rPr>
                <w:rFonts w:hint="eastAsia"/>
                <w:b/>
                <w:bCs/>
                <w:color w:val="auto"/>
                <w:lang w:eastAsia="zh-CN"/>
              </w:rPr>
              <w:t>）</w:t>
            </w:r>
          </w:p>
        </w:tc>
        <w:tc>
          <w:tcPr>
            <w:tcW w:w="2338" w:type="pct"/>
            <w:tcBorders>
              <w:tl2br w:val="nil"/>
              <w:tr2bl w:val="nil"/>
            </w:tcBorders>
            <w:vAlign w:val="center"/>
          </w:tcPr>
          <w:p w14:paraId="31EE3ECB">
            <w:pPr>
              <w:pStyle w:val="16"/>
              <w:pageBreakBefore w:val="0"/>
              <w:wordWrap/>
              <w:bidi w:val="0"/>
              <w:adjustRightInd/>
              <w:snapToGrid/>
              <w:rPr>
                <w:color w:val="auto"/>
              </w:rPr>
            </w:pPr>
            <w:r>
              <w:rPr>
                <w:color w:val="auto"/>
              </w:rPr>
              <w:t>超细格栅、污泥池、调节池</w:t>
            </w:r>
          </w:p>
        </w:tc>
        <w:tc>
          <w:tcPr>
            <w:tcW w:w="565" w:type="pct"/>
            <w:tcBorders>
              <w:tl2br w:val="nil"/>
              <w:tr2bl w:val="nil"/>
            </w:tcBorders>
            <w:vAlign w:val="center"/>
          </w:tcPr>
          <w:p w14:paraId="6B8043DF">
            <w:pPr>
              <w:pStyle w:val="16"/>
              <w:pageBreakBefore w:val="0"/>
              <w:wordWrap/>
              <w:bidi w:val="0"/>
              <w:adjustRightInd/>
              <w:snapToGrid/>
              <w:rPr>
                <w:color w:val="auto"/>
              </w:rPr>
            </w:pPr>
            <w:r>
              <w:rPr>
                <w:color w:val="auto"/>
              </w:rPr>
              <w:t>6000m³/d</w:t>
            </w:r>
          </w:p>
        </w:tc>
        <w:tc>
          <w:tcPr>
            <w:tcW w:w="589" w:type="pct"/>
            <w:tcBorders>
              <w:tl2br w:val="nil"/>
              <w:tr2bl w:val="nil"/>
            </w:tcBorders>
            <w:vAlign w:val="center"/>
          </w:tcPr>
          <w:p w14:paraId="342267D5">
            <w:pPr>
              <w:pStyle w:val="16"/>
              <w:pageBreakBefore w:val="0"/>
              <w:wordWrap/>
              <w:bidi w:val="0"/>
              <w:adjustRightInd/>
              <w:snapToGrid/>
              <w:rPr>
                <w:color w:val="auto"/>
              </w:rPr>
            </w:pPr>
            <w:r>
              <w:rPr>
                <w:color w:val="auto"/>
              </w:rPr>
              <w:t>6000m³/d</w:t>
            </w:r>
          </w:p>
        </w:tc>
        <w:tc>
          <w:tcPr>
            <w:tcW w:w="491" w:type="pct"/>
            <w:vMerge w:val="restart"/>
            <w:tcBorders>
              <w:tl2br w:val="nil"/>
              <w:tr2bl w:val="nil"/>
            </w:tcBorders>
            <w:vAlign w:val="center"/>
          </w:tcPr>
          <w:p w14:paraId="2AF82CB5">
            <w:pPr>
              <w:pStyle w:val="16"/>
              <w:pageBreakBefore w:val="0"/>
              <w:wordWrap/>
              <w:bidi w:val="0"/>
              <w:adjustRightInd/>
              <w:snapToGrid/>
              <w:rPr>
                <w:rFonts w:hint="default" w:eastAsia="宋体"/>
                <w:color w:val="auto"/>
                <w:lang w:val="en-US" w:eastAsia="zh-CN"/>
              </w:rPr>
            </w:pPr>
            <w:r>
              <w:rPr>
                <w:rFonts w:hint="eastAsia"/>
                <w:color w:val="auto"/>
                <w:lang w:val="en-US" w:eastAsia="zh-CN"/>
              </w:rPr>
              <w:t>2025年</w:t>
            </w:r>
          </w:p>
        </w:tc>
        <w:tc>
          <w:tcPr>
            <w:tcW w:w="511" w:type="pct"/>
            <w:vMerge w:val="restart"/>
            <w:tcBorders>
              <w:tl2br w:val="nil"/>
              <w:tr2bl w:val="nil"/>
            </w:tcBorders>
            <w:vAlign w:val="center"/>
          </w:tcPr>
          <w:p w14:paraId="36709C93">
            <w:pPr>
              <w:pStyle w:val="16"/>
              <w:pageBreakBefore w:val="0"/>
              <w:wordWrap/>
              <w:bidi w:val="0"/>
              <w:adjustRightInd/>
              <w:snapToGrid/>
              <w:rPr>
                <w:rFonts w:hint="default" w:eastAsia="宋体"/>
                <w:color w:val="auto"/>
                <w:lang w:val="en-US" w:eastAsia="zh-CN"/>
              </w:rPr>
            </w:pPr>
            <w:r>
              <w:rPr>
                <w:rFonts w:hint="eastAsia"/>
                <w:color w:val="auto"/>
                <w:lang w:val="en-US" w:eastAsia="zh-CN"/>
              </w:rPr>
              <w:t>曾口区块全区，按照水量进行分期</w:t>
            </w:r>
          </w:p>
        </w:tc>
      </w:tr>
      <w:tr w14:paraId="34ECBD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continue"/>
            <w:tcBorders>
              <w:tl2br w:val="nil"/>
              <w:tr2bl w:val="nil"/>
            </w:tcBorders>
            <w:vAlign w:val="center"/>
          </w:tcPr>
          <w:p w14:paraId="41CCE9D4">
            <w:pPr>
              <w:pStyle w:val="16"/>
              <w:pageBreakBefore w:val="0"/>
              <w:wordWrap/>
              <w:bidi w:val="0"/>
              <w:adjustRightInd/>
              <w:snapToGrid/>
              <w:rPr>
                <w:b w:val="0"/>
                <w:bCs w:val="0"/>
                <w:color w:val="auto"/>
              </w:rPr>
            </w:pPr>
          </w:p>
        </w:tc>
        <w:tc>
          <w:tcPr>
            <w:tcW w:w="2338" w:type="pct"/>
            <w:tcBorders>
              <w:tl2br w:val="nil"/>
              <w:tr2bl w:val="nil"/>
            </w:tcBorders>
            <w:vAlign w:val="center"/>
          </w:tcPr>
          <w:p w14:paraId="46EF69CB">
            <w:pPr>
              <w:pStyle w:val="16"/>
              <w:pageBreakBefore w:val="0"/>
              <w:wordWrap/>
              <w:bidi w:val="0"/>
              <w:adjustRightInd/>
              <w:snapToGrid/>
              <w:rPr>
                <w:color w:val="auto"/>
              </w:rPr>
            </w:pPr>
            <w:r>
              <w:rPr>
                <w:rFonts w:hint="eastAsia"/>
                <w:color w:val="auto"/>
                <w:lang w:eastAsia="zh-CN"/>
              </w:rPr>
              <w:t>污水处理厂</w:t>
            </w:r>
            <w:r>
              <w:rPr>
                <w:color w:val="auto"/>
              </w:rPr>
              <w:t>应急事故池</w:t>
            </w:r>
          </w:p>
        </w:tc>
        <w:tc>
          <w:tcPr>
            <w:tcW w:w="1154" w:type="pct"/>
            <w:gridSpan w:val="2"/>
            <w:tcBorders>
              <w:tl2br w:val="nil"/>
              <w:tr2bl w:val="nil"/>
            </w:tcBorders>
            <w:vAlign w:val="center"/>
          </w:tcPr>
          <w:p w14:paraId="24D38869">
            <w:pPr>
              <w:pStyle w:val="16"/>
              <w:pageBreakBefore w:val="0"/>
              <w:wordWrap/>
              <w:bidi w:val="0"/>
              <w:adjustRightInd/>
              <w:snapToGrid/>
              <w:rPr>
                <w:color w:val="auto"/>
              </w:rPr>
            </w:pPr>
            <w:r>
              <w:rPr>
                <w:color w:val="auto"/>
              </w:rPr>
              <w:t>有效容积3000m³</w:t>
            </w:r>
          </w:p>
        </w:tc>
        <w:tc>
          <w:tcPr>
            <w:tcW w:w="491" w:type="pct"/>
            <w:vMerge w:val="continue"/>
            <w:tcBorders>
              <w:tl2br w:val="nil"/>
              <w:tr2bl w:val="nil"/>
            </w:tcBorders>
            <w:vAlign w:val="center"/>
          </w:tcPr>
          <w:p w14:paraId="25DDB5AF">
            <w:pPr>
              <w:pStyle w:val="16"/>
              <w:pageBreakBefore w:val="0"/>
              <w:wordWrap/>
              <w:bidi w:val="0"/>
              <w:adjustRightInd/>
              <w:snapToGrid/>
              <w:rPr>
                <w:color w:val="auto"/>
              </w:rPr>
            </w:pPr>
          </w:p>
        </w:tc>
        <w:tc>
          <w:tcPr>
            <w:tcW w:w="511" w:type="pct"/>
            <w:vMerge w:val="continue"/>
            <w:tcBorders>
              <w:tl2br w:val="nil"/>
              <w:tr2bl w:val="nil"/>
            </w:tcBorders>
            <w:vAlign w:val="center"/>
          </w:tcPr>
          <w:p w14:paraId="259DA911">
            <w:pPr>
              <w:pStyle w:val="16"/>
              <w:pageBreakBefore w:val="0"/>
              <w:wordWrap/>
              <w:bidi w:val="0"/>
              <w:adjustRightInd/>
              <w:snapToGrid/>
              <w:rPr>
                <w:color w:val="auto"/>
              </w:rPr>
            </w:pPr>
          </w:p>
        </w:tc>
      </w:tr>
      <w:tr w14:paraId="3B06E7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continue"/>
            <w:tcBorders>
              <w:tl2br w:val="nil"/>
              <w:tr2bl w:val="nil"/>
            </w:tcBorders>
            <w:vAlign w:val="center"/>
          </w:tcPr>
          <w:p w14:paraId="49B15B4D">
            <w:pPr>
              <w:pStyle w:val="16"/>
              <w:pageBreakBefore w:val="0"/>
              <w:wordWrap/>
              <w:bidi w:val="0"/>
              <w:adjustRightInd/>
              <w:snapToGrid/>
              <w:rPr>
                <w:b w:val="0"/>
                <w:bCs w:val="0"/>
                <w:color w:val="auto"/>
              </w:rPr>
            </w:pPr>
          </w:p>
        </w:tc>
        <w:tc>
          <w:tcPr>
            <w:tcW w:w="2338" w:type="pct"/>
            <w:tcBorders>
              <w:tl2br w:val="nil"/>
              <w:tr2bl w:val="nil"/>
            </w:tcBorders>
            <w:vAlign w:val="center"/>
          </w:tcPr>
          <w:p w14:paraId="554638A7">
            <w:pPr>
              <w:pStyle w:val="16"/>
              <w:pageBreakBefore w:val="0"/>
              <w:wordWrap/>
              <w:bidi w:val="0"/>
              <w:adjustRightInd/>
              <w:snapToGrid/>
              <w:rPr>
                <w:color w:val="auto"/>
              </w:rPr>
            </w:pPr>
            <w:r>
              <w:rPr>
                <w:color w:val="auto"/>
              </w:rPr>
              <w:t>园区应急事故池</w:t>
            </w:r>
          </w:p>
        </w:tc>
        <w:tc>
          <w:tcPr>
            <w:tcW w:w="1154" w:type="pct"/>
            <w:gridSpan w:val="2"/>
            <w:tcBorders>
              <w:tl2br w:val="nil"/>
              <w:tr2bl w:val="nil"/>
            </w:tcBorders>
            <w:vAlign w:val="center"/>
          </w:tcPr>
          <w:p w14:paraId="2361FC5F">
            <w:pPr>
              <w:pStyle w:val="16"/>
              <w:pageBreakBefore w:val="0"/>
              <w:wordWrap/>
              <w:bidi w:val="0"/>
              <w:adjustRightInd/>
              <w:snapToGrid/>
              <w:rPr>
                <w:color w:val="auto"/>
              </w:rPr>
            </w:pPr>
            <w:r>
              <w:rPr>
                <w:color w:val="auto"/>
              </w:rPr>
              <w:t>有效容积6000m³</w:t>
            </w:r>
          </w:p>
        </w:tc>
        <w:tc>
          <w:tcPr>
            <w:tcW w:w="491" w:type="pct"/>
            <w:vMerge w:val="continue"/>
            <w:tcBorders>
              <w:tl2br w:val="nil"/>
              <w:tr2bl w:val="nil"/>
            </w:tcBorders>
            <w:vAlign w:val="center"/>
          </w:tcPr>
          <w:p w14:paraId="0181CA88">
            <w:pPr>
              <w:pStyle w:val="16"/>
              <w:pageBreakBefore w:val="0"/>
              <w:wordWrap/>
              <w:bidi w:val="0"/>
              <w:adjustRightInd/>
              <w:snapToGrid/>
              <w:rPr>
                <w:color w:val="auto"/>
              </w:rPr>
            </w:pPr>
          </w:p>
        </w:tc>
        <w:tc>
          <w:tcPr>
            <w:tcW w:w="511" w:type="pct"/>
            <w:vMerge w:val="continue"/>
            <w:tcBorders>
              <w:tl2br w:val="nil"/>
              <w:tr2bl w:val="nil"/>
            </w:tcBorders>
            <w:vAlign w:val="center"/>
          </w:tcPr>
          <w:p w14:paraId="2FCCE632">
            <w:pPr>
              <w:pStyle w:val="16"/>
              <w:pageBreakBefore w:val="0"/>
              <w:wordWrap/>
              <w:bidi w:val="0"/>
              <w:adjustRightInd/>
              <w:snapToGrid/>
              <w:rPr>
                <w:color w:val="auto"/>
              </w:rPr>
            </w:pPr>
          </w:p>
        </w:tc>
      </w:tr>
      <w:tr w14:paraId="7EF01C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continue"/>
            <w:tcBorders>
              <w:tl2br w:val="nil"/>
              <w:tr2bl w:val="nil"/>
            </w:tcBorders>
            <w:vAlign w:val="center"/>
          </w:tcPr>
          <w:p w14:paraId="529A84F4">
            <w:pPr>
              <w:pStyle w:val="16"/>
              <w:pageBreakBefore w:val="0"/>
              <w:wordWrap/>
              <w:bidi w:val="0"/>
              <w:adjustRightInd/>
              <w:snapToGrid/>
              <w:rPr>
                <w:b w:val="0"/>
                <w:bCs w:val="0"/>
                <w:color w:val="auto"/>
              </w:rPr>
            </w:pPr>
          </w:p>
        </w:tc>
        <w:tc>
          <w:tcPr>
            <w:tcW w:w="2338" w:type="pct"/>
            <w:tcBorders>
              <w:tl2br w:val="nil"/>
              <w:tr2bl w:val="nil"/>
            </w:tcBorders>
            <w:vAlign w:val="center"/>
          </w:tcPr>
          <w:p w14:paraId="6485FB1D">
            <w:pPr>
              <w:pStyle w:val="16"/>
              <w:pageBreakBefore w:val="0"/>
              <w:wordWrap/>
              <w:bidi w:val="0"/>
              <w:adjustRightInd/>
              <w:snapToGrid/>
              <w:rPr>
                <w:color w:val="auto"/>
              </w:rPr>
            </w:pPr>
            <w:r>
              <w:rPr>
                <w:rFonts w:hint="eastAsia"/>
                <w:color w:val="auto"/>
                <w:lang w:val="en-US" w:eastAsia="zh-CN"/>
              </w:rPr>
              <w:t>磁混凝</w:t>
            </w:r>
            <w:r>
              <w:rPr>
                <w:color w:val="auto"/>
              </w:rPr>
              <w:t>沉淀池设备</w:t>
            </w:r>
          </w:p>
        </w:tc>
        <w:tc>
          <w:tcPr>
            <w:tcW w:w="565" w:type="pct"/>
            <w:tcBorders>
              <w:tl2br w:val="nil"/>
              <w:tr2bl w:val="nil"/>
            </w:tcBorders>
            <w:vAlign w:val="center"/>
          </w:tcPr>
          <w:p w14:paraId="39E3EBAA">
            <w:pPr>
              <w:pStyle w:val="16"/>
              <w:pageBreakBefore w:val="0"/>
              <w:wordWrap/>
              <w:bidi w:val="0"/>
              <w:adjustRightInd/>
              <w:snapToGrid/>
              <w:rPr>
                <w:color w:val="auto"/>
              </w:rPr>
            </w:pPr>
            <w:r>
              <w:rPr>
                <w:color w:val="auto"/>
              </w:rPr>
              <w:t>3000m³/d</w:t>
            </w:r>
          </w:p>
        </w:tc>
        <w:tc>
          <w:tcPr>
            <w:tcW w:w="589" w:type="pct"/>
            <w:tcBorders>
              <w:tl2br w:val="nil"/>
              <w:tr2bl w:val="nil"/>
            </w:tcBorders>
            <w:vAlign w:val="center"/>
          </w:tcPr>
          <w:p w14:paraId="55F59234">
            <w:pPr>
              <w:pStyle w:val="16"/>
              <w:pageBreakBefore w:val="0"/>
              <w:wordWrap/>
              <w:bidi w:val="0"/>
              <w:adjustRightInd/>
              <w:snapToGrid/>
              <w:rPr>
                <w:color w:val="auto"/>
              </w:rPr>
            </w:pPr>
            <w:r>
              <w:rPr>
                <w:color w:val="auto"/>
              </w:rPr>
              <w:t>3000m³/d</w:t>
            </w:r>
          </w:p>
        </w:tc>
        <w:tc>
          <w:tcPr>
            <w:tcW w:w="491" w:type="pct"/>
            <w:vMerge w:val="continue"/>
            <w:tcBorders>
              <w:tl2br w:val="nil"/>
              <w:tr2bl w:val="nil"/>
            </w:tcBorders>
            <w:vAlign w:val="center"/>
          </w:tcPr>
          <w:p w14:paraId="1023B46A">
            <w:pPr>
              <w:pStyle w:val="16"/>
              <w:pageBreakBefore w:val="0"/>
              <w:wordWrap/>
              <w:bidi w:val="0"/>
              <w:adjustRightInd/>
              <w:snapToGrid/>
              <w:rPr>
                <w:color w:val="auto"/>
              </w:rPr>
            </w:pPr>
          </w:p>
        </w:tc>
        <w:tc>
          <w:tcPr>
            <w:tcW w:w="511" w:type="pct"/>
            <w:vMerge w:val="continue"/>
            <w:tcBorders>
              <w:tl2br w:val="nil"/>
              <w:tr2bl w:val="nil"/>
            </w:tcBorders>
            <w:vAlign w:val="center"/>
          </w:tcPr>
          <w:p w14:paraId="5C5B527B">
            <w:pPr>
              <w:pStyle w:val="16"/>
              <w:pageBreakBefore w:val="0"/>
              <w:wordWrap/>
              <w:bidi w:val="0"/>
              <w:adjustRightInd/>
              <w:snapToGrid/>
              <w:rPr>
                <w:color w:val="auto"/>
              </w:rPr>
            </w:pPr>
          </w:p>
        </w:tc>
      </w:tr>
      <w:tr w14:paraId="251C9E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continue"/>
            <w:tcBorders>
              <w:tl2br w:val="nil"/>
              <w:tr2bl w:val="nil"/>
            </w:tcBorders>
            <w:vAlign w:val="center"/>
          </w:tcPr>
          <w:p w14:paraId="3DAF2DF7">
            <w:pPr>
              <w:pStyle w:val="16"/>
              <w:pageBreakBefore w:val="0"/>
              <w:wordWrap/>
              <w:bidi w:val="0"/>
              <w:adjustRightInd/>
              <w:snapToGrid/>
              <w:rPr>
                <w:b w:val="0"/>
                <w:bCs w:val="0"/>
                <w:color w:val="auto"/>
              </w:rPr>
            </w:pPr>
          </w:p>
        </w:tc>
        <w:tc>
          <w:tcPr>
            <w:tcW w:w="2338" w:type="pct"/>
            <w:tcBorders>
              <w:tl2br w:val="nil"/>
              <w:tr2bl w:val="nil"/>
            </w:tcBorders>
            <w:vAlign w:val="center"/>
          </w:tcPr>
          <w:p w14:paraId="5620A022">
            <w:pPr>
              <w:pStyle w:val="16"/>
              <w:pageBreakBefore w:val="0"/>
              <w:wordWrap/>
              <w:bidi w:val="0"/>
              <w:adjustRightInd/>
              <w:snapToGrid/>
              <w:rPr>
                <w:color w:val="auto"/>
              </w:rPr>
            </w:pPr>
            <w:r>
              <w:rPr>
                <w:color w:val="auto"/>
              </w:rPr>
              <w:t>水解酸化池+生化池、高级氧化深度处理设备</w:t>
            </w:r>
          </w:p>
        </w:tc>
        <w:tc>
          <w:tcPr>
            <w:tcW w:w="565" w:type="pct"/>
            <w:tcBorders>
              <w:tl2br w:val="nil"/>
              <w:tr2bl w:val="nil"/>
            </w:tcBorders>
            <w:vAlign w:val="center"/>
          </w:tcPr>
          <w:p w14:paraId="29D60DBB">
            <w:pPr>
              <w:pStyle w:val="16"/>
              <w:pageBreakBefore w:val="0"/>
              <w:wordWrap/>
              <w:bidi w:val="0"/>
              <w:adjustRightInd/>
              <w:snapToGrid/>
              <w:rPr>
                <w:color w:val="auto"/>
              </w:rPr>
            </w:pPr>
            <w:r>
              <w:rPr>
                <w:color w:val="auto"/>
              </w:rPr>
              <w:t>3000m³/d</w:t>
            </w:r>
          </w:p>
        </w:tc>
        <w:tc>
          <w:tcPr>
            <w:tcW w:w="589" w:type="pct"/>
            <w:tcBorders>
              <w:tl2br w:val="nil"/>
              <w:tr2bl w:val="nil"/>
            </w:tcBorders>
            <w:vAlign w:val="center"/>
          </w:tcPr>
          <w:p w14:paraId="3BFBC6F5">
            <w:pPr>
              <w:pStyle w:val="16"/>
              <w:pageBreakBefore w:val="0"/>
              <w:wordWrap/>
              <w:bidi w:val="0"/>
              <w:adjustRightInd/>
              <w:snapToGrid/>
              <w:rPr>
                <w:color w:val="auto"/>
              </w:rPr>
            </w:pPr>
            <w:r>
              <w:rPr>
                <w:rFonts w:hint="eastAsia"/>
                <w:color w:val="auto"/>
                <w:lang w:val="en-US" w:eastAsia="zh-CN"/>
              </w:rPr>
              <w:t>30</w:t>
            </w:r>
            <w:r>
              <w:rPr>
                <w:color w:val="auto"/>
              </w:rPr>
              <w:t>00m³/d</w:t>
            </w:r>
          </w:p>
        </w:tc>
        <w:tc>
          <w:tcPr>
            <w:tcW w:w="491" w:type="pct"/>
            <w:vMerge w:val="continue"/>
            <w:tcBorders>
              <w:tl2br w:val="nil"/>
              <w:tr2bl w:val="nil"/>
            </w:tcBorders>
            <w:vAlign w:val="center"/>
          </w:tcPr>
          <w:p w14:paraId="65DDF133">
            <w:pPr>
              <w:pStyle w:val="16"/>
              <w:pageBreakBefore w:val="0"/>
              <w:wordWrap/>
              <w:bidi w:val="0"/>
              <w:adjustRightInd/>
              <w:snapToGrid/>
              <w:rPr>
                <w:rFonts w:hint="eastAsia"/>
                <w:color w:val="auto"/>
                <w:lang w:val="en-US" w:eastAsia="zh-CN"/>
              </w:rPr>
            </w:pPr>
          </w:p>
        </w:tc>
        <w:tc>
          <w:tcPr>
            <w:tcW w:w="511" w:type="pct"/>
            <w:vMerge w:val="continue"/>
            <w:tcBorders>
              <w:tl2br w:val="nil"/>
              <w:tr2bl w:val="nil"/>
            </w:tcBorders>
            <w:vAlign w:val="center"/>
          </w:tcPr>
          <w:p w14:paraId="5F6BFF94">
            <w:pPr>
              <w:pStyle w:val="16"/>
              <w:pageBreakBefore w:val="0"/>
              <w:wordWrap/>
              <w:bidi w:val="0"/>
              <w:adjustRightInd/>
              <w:snapToGrid/>
              <w:rPr>
                <w:rFonts w:hint="eastAsia"/>
                <w:color w:val="auto"/>
                <w:lang w:val="en-US" w:eastAsia="zh-CN"/>
              </w:rPr>
            </w:pPr>
          </w:p>
        </w:tc>
      </w:tr>
      <w:tr w14:paraId="3E289D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continue"/>
            <w:tcBorders>
              <w:tl2br w:val="nil"/>
              <w:tr2bl w:val="nil"/>
            </w:tcBorders>
            <w:vAlign w:val="center"/>
          </w:tcPr>
          <w:p w14:paraId="45415AF9">
            <w:pPr>
              <w:pStyle w:val="16"/>
              <w:pageBreakBefore w:val="0"/>
              <w:wordWrap/>
              <w:bidi w:val="0"/>
              <w:adjustRightInd/>
              <w:snapToGrid/>
              <w:rPr>
                <w:b w:val="0"/>
                <w:bCs w:val="0"/>
                <w:color w:val="auto"/>
              </w:rPr>
            </w:pPr>
          </w:p>
        </w:tc>
        <w:tc>
          <w:tcPr>
            <w:tcW w:w="2338" w:type="pct"/>
            <w:tcBorders>
              <w:tl2br w:val="nil"/>
              <w:tr2bl w:val="nil"/>
            </w:tcBorders>
            <w:vAlign w:val="center"/>
          </w:tcPr>
          <w:p w14:paraId="534A85F9">
            <w:pPr>
              <w:pStyle w:val="16"/>
              <w:pageBreakBefore w:val="0"/>
              <w:wordWrap/>
              <w:bidi w:val="0"/>
              <w:adjustRightInd/>
              <w:snapToGrid/>
              <w:rPr>
                <w:color w:val="auto"/>
              </w:rPr>
            </w:pPr>
            <w:r>
              <w:rPr>
                <w:color w:val="auto"/>
              </w:rPr>
              <w:t>反硝化深床滤池、鼓风机房-变配电室、污泥脱水车间</w:t>
            </w:r>
          </w:p>
        </w:tc>
        <w:tc>
          <w:tcPr>
            <w:tcW w:w="565" w:type="pct"/>
            <w:tcBorders>
              <w:tl2br w:val="nil"/>
              <w:tr2bl w:val="nil"/>
            </w:tcBorders>
            <w:vAlign w:val="center"/>
          </w:tcPr>
          <w:p w14:paraId="7689CBD2">
            <w:pPr>
              <w:pStyle w:val="16"/>
              <w:pageBreakBefore w:val="0"/>
              <w:wordWrap/>
              <w:bidi w:val="0"/>
              <w:adjustRightInd/>
              <w:snapToGrid/>
              <w:rPr>
                <w:color w:val="auto"/>
              </w:rPr>
            </w:pPr>
            <w:r>
              <w:rPr>
                <w:color w:val="auto"/>
              </w:rPr>
              <w:t>6000m³/d</w:t>
            </w:r>
          </w:p>
        </w:tc>
        <w:tc>
          <w:tcPr>
            <w:tcW w:w="589" w:type="pct"/>
            <w:tcBorders>
              <w:tl2br w:val="nil"/>
              <w:tr2bl w:val="nil"/>
            </w:tcBorders>
            <w:vAlign w:val="center"/>
          </w:tcPr>
          <w:p w14:paraId="40CED785">
            <w:pPr>
              <w:pStyle w:val="16"/>
              <w:pageBreakBefore w:val="0"/>
              <w:wordWrap/>
              <w:bidi w:val="0"/>
              <w:adjustRightInd/>
              <w:snapToGrid/>
              <w:rPr>
                <w:color w:val="auto"/>
              </w:rPr>
            </w:pPr>
            <w:r>
              <w:rPr>
                <w:color w:val="auto"/>
              </w:rPr>
              <w:t>3000m³/d</w:t>
            </w:r>
          </w:p>
        </w:tc>
        <w:tc>
          <w:tcPr>
            <w:tcW w:w="491" w:type="pct"/>
            <w:vMerge w:val="continue"/>
            <w:tcBorders>
              <w:tl2br w:val="nil"/>
              <w:tr2bl w:val="nil"/>
            </w:tcBorders>
            <w:vAlign w:val="center"/>
          </w:tcPr>
          <w:p w14:paraId="4D1A9D85">
            <w:pPr>
              <w:pStyle w:val="16"/>
              <w:pageBreakBefore w:val="0"/>
              <w:wordWrap/>
              <w:bidi w:val="0"/>
              <w:adjustRightInd/>
              <w:snapToGrid/>
              <w:rPr>
                <w:color w:val="auto"/>
              </w:rPr>
            </w:pPr>
          </w:p>
        </w:tc>
        <w:tc>
          <w:tcPr>
            <w:tcW w:w="511" w:type="pct"/>
            <w:vMerge w:val="continue"/>
            <w:tcBorders>
              <w:tl2br w:val="nil"/>
              <w:tr2bl w:val="nil"/>
            </w:tcBorders>
            <w:vAlign w:val="center"/>
          </w:tcPr>
          <w:p w14:paraId="0056FF3D">
            <w:pPr>
              <w:pStyle w:val="16"/>
              <w:pageBreakBefore w:val="0"/>
              <w:wordWrap/>
              <w:bidi w:val="0"/>
              <w:adjustRightInd/>
              <w:snapToGrid/>
              <w:rPr>
                <w:color w:val="auto"/>
              </w:rPr>
            </w:pPr>
          </w:p>
        </w:tc>
      </w:tr>
      <w:tr w14:paraId="711A6A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continue"/>
            <w:tcBorders>
              <w:tl2br w:val="nil"/>
              <w:tr2bl w:val="nil"/>
            </w:tcBorders>
            <w:vAlign w:val="center"/>
          </w:tcPr>
          <w:p w14:paraId="2B55240E">
            <w:pPr>
              <w:pStyle w:val="16"/>
              <w:pageBreakBefore w:val="0"/>
              <w:wordWrap/>
              <w:bidi w:val="0"/>
              <w:adjustRightInd/>
              <w:snapToGrid/>
              <w:rPr>
                <w:b w:val="0"/>
                <w:bCs w:val="0"/>
                <w:color w:val="auto"/>
              </w:rPr>
            </w:pPr>
          </w:p>
        </w:tc>
        <w:tc>
          <w:tcPr>
            <w:tcW w:w="2338" w:type="pct"/>
            <w:tcBorders>
              <w:tl2br w:val="nil"/>
              <w:tr2bl w:val="nil"/>
            </w:tcBorders>
            <w:vAlign w:val="center"/>
          </w:tcPr>
          <w:p w14:paraId="4B3D7C55">
            <w:pPr>
              <w:pStyle w:val="16"/>
              <w:pageBreakBefore w:val="0"/>
              <w:wordWrap/>
              <w:bidi w:val="0"/>
              <w:adjustRightInd/>
              <w:snapToGrid/>
              <w:rPr>
                <w:color w:val="auto"/>
              </w:rPr>
            </w:pPr>
            <w:r>
              <w:rPr>
                <w:color w:val="auto"/>
              </w:rPr>
              <w:t>紫外线消毒、出水计量及取样观测井；出水监测间</w:t>
            </w:r>
          </w:p>
        </w:tc>
        <w:tc>
          <w:tcPr>
            <w:tcW w:w="565" w:type="pct"/>
            <w:tcBorders>
              <w:tl2br w:val="nil"/>
              <w:tr2bl w:val="nil"/>
            </w:tcBorders>
            <w:vAlign w:val="center"/>
          </w:tcPr>
          <w:p w14:paraId="1F72E7F5">
            <w:pPr>
              <w:pStyle w:val="16"/>
              <w:pageBreakBefore w:val="0"/>
              <w:wordWrap/>
              <w:bidi w:val="0"/>
              <w:adjustRightInd/>
              <w:snapToGrid/>
              <w:rPr>
                <w:color w:val="auto"/>
              </w:rPr>
            </w:pPr>
            <w:r>
              <w:rPr>
                <w:color w:val="auto"/>
              </w:rPr>
              <w:t>16000m³/d</w:t>
            </w:r>
          </w:p>
        </w:tc>
        <w:tc>
          <w:tcPr>
            <w:tcW w:w="589" w:type="pct"/>
            <w:tcBorders>
              <w:tl2br w:val="nil"/>
              <w:tr2bl w:val="nil"/>
            </w:tcBorders>
            <w:vAlign w:val="center"/>
          </w:tcPr>
          <w:p w14:paraId="799FB7D5">
            <w:pPr>
              <w:pStyle w:val="16"/>
              <w:pageBreakBefore w:val="0"/>
              <w:wordWrap/>
              <w:bidi w:val="0"/>
              <w:adjustRightInd/>
              <w:snapToGrid/>
              <w:rPr>
                <w:color w:val="auto"/>
              </w:rPr>
            </w:pPr>
            <w:r>
              <w:rPr>
                <w:color w:val="auto"/>
              </w:rPr>
              <w:t>3000m³/d</w:t>
            </w:r>
          </w:p>
        </w:tc>
        <w:tc>
          <w:tcPr>
            <w:tcW w:w="491" w:type="pct"/>
            <w:vMerge w:val="continue"/>
            <w:tcBorders>
              <w:tl2br w:val="nil"/>
              <w:tr2bl w:val="nil"/>
            </w:tcBorders>
            <w:vAlign w:val="center"/>
          </w:tcPr>
          <w:p w14:paraId="5330834C">
            <w:pPr>
              <w:pStyle w:val="16"/>
              <w:pageBreakBefore w:val="0"/>
              <w:wordWrap/>
              <w:bidi w:val="0"/>
              <w:adjustRightInd/>
              <w:snapToGrid/>
              <w:rPr>
                <w:color w:val="auto"/>
              </w:rPr>
            </w:pPr>
          </w:p>
        </w:tc>
        <w:tc>
          <w:tcPr>
            <w:tcW w:w="511" w:type="pct"/>
            <w:vMerge w:val="continue"/>
            <w:tcBorders>
              <w:tl2br w:val="nil"/>
              <w:tr2bl w:val="nil"/>
            </w:tcBorders>
            <w:vAlign w:val="center"/>
          </w:tcPr>
          <w:p w14:paraId="680E58BC">
            <w:pPr>
              <w:pStyle w:val="16"/>
              <w:pageBreakBefore w:val="0"/>
              <w:wordWrap/>
              <w:bidi w:val="0"/>
              <w:adjustRightInd/>
              <w:snapToGrid/>
              <w:rPr>
                <w:color w:val="auto"/>
              </w:rPr>
            </w:pPr>
          </w:p>
        </w:tc>
      </w:tr>
      <w:tr w14:paraId="5038BC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continue"/>
            <w:tcBorders>
              <w:tl2br w:val="nil"/>
              <w:tr2bl w:val="nil"/>
            </w:tcBorders>
            <w:vAlign w:val="center"/>
          </w:tcPr>
          <w:p w14:paraId="2A300DD7">
            <w:pPr>
              <w:pStyle w:val="16"/>
              <w:pageBreakBefore w:val="0"/>
              <w:wordWrap/>
              <w:bidi w:val="0"/>
              <w:adjustRightInd/>
              <w:snapToGrid/>
              <w:rPr>
                <w:b w:val="0"/>
                <w:bCs w:val="0"/>
                <w:color w:val="auto"/>
              </w:rPr>
            </w:pPr>
          </w:p>
        </w:tc>
        <w:tc>
          <w:tcPr>
            <w:tcW w:w="2338" w:type="pct"/>
            <w:tcBorders>
              <w:tl2br w:val="nil"/>
              <w:tr2bl w:val="nil"/>
            </w:tcBorders>
            <w:vAlign w:val="center"/>
          </w:tcPr>
          <w:p w14:paraId="2FE172AE">
            <w:pPr>
              <w:pStyle w:val="16"/>
              <w:pageBreakBefore w:val="0"/>
              <w:wordWrap/>
              <w:bidi w:val="0"/>
              <w:adjustRightInd/>
              <w:snapToGrid/>
              <w:rPr>
                <w:color w:val="auto"/>
              </w:rPr>
            </w:pPr>
            <w:r>
              <w:rPr>
                <w:color w:val="auto"/>
              </w:rPr>
              <w:t>进出水在线监测间、综合楼、门卫室、值班室、机修危废间、除臭设备</w:t>
            </w:r>
          </w:p>
        </w:tc>
        <w:tc>
          <w:tcPr>
            <w:tcW w:w="565" w:type="pct"/>
            <w:tcBorders>
              <w:tl2br w:val="nil"/>
              <w:tr2bl w:val="nil"/>
            </w:tcBorders>
            <w:vAlign w:val="center"/>
          </w:tcPr>
          <w:p w14:paraId="4761AB4F">
            <w:pPr>
              <w:pStyle w:val="16"/>
              <w:pageBreakBefore w:val="0"/>
              <w:wordWrap/>
              <w:bidi w:val="0"/>
              <w:adjustRightInd/>
              <w:snapToGrid/>
              <w:rPr>
                <w:color w:val="auto"/>
              </w:rPr>
            </w:pPr>
            <w:r>
              <w:rPr>
                <w:color w:val="auto"/>
              </w:rPr>
              <w:t>6000m³/d</w:t>
            </w:r>
          </w:p>
        </w:tc>
        <w:tc>
          <w:tcPr>
            <w:tcW w:w="589" w:type="pct"/>
            <w:tcBorders>
              <w:tl2br w:val="nil"/>
              <w:tr2bl w:val="nil"/>
            </w:tcBorders>
            <w:vAlign w:val="center"/>
          </w:tcPr>
          <w:p w14:paraId="7724B04A">
            <w:pPr>
              <w:pStyle w:val="16"/>
              <w:pageBreakBefore w:val="0"/>
              <w:wordWrap/>
              <w:bidi w:val="0"/>
              <w:adjustRightInd/>
              <w:snapToGrid/>
              <w:rPr>
                <w:color w:val="auto"/>
              </w:rPr>
            </w:pPr>
            <w:r>
              <w:rPr>
                <w:color w:val="auto"/>
              </w:rPr>
              <w:t>6000m³/d</w:t>
            </w:r>
          </w:p>
        </w:tc>
        <w:tc>
          <w:tcPr>
            <w:tcW w:w="491" w:type="pct"/>
            <w:vMerge w:val="continue"/>
            <w:tcBorders>
              <w:tl2br w:val="nil"/>
              <w:tr2bl w:val="nil"/>
            </w:tcBorders>
            <w:vAlign w:val="center"/>
          </w:tcPr>
          <w:p w14:paraId="3EA7BC48">
            <w:pPr>
              <w:pStyle w:val="16"/>
              <w:pageBreakBefore w:val="0"/>
              <w:wordWrap/>
              <w:bidi w:val="0"/>
              <w:adjustRightInd/>
              <w:snapToGrid/>
              <w:rPr>
                <w:color w:val="auto"/>
              </w:rPr>
            </w:pPr>
          </w:p>
        </w:tc>
        <w:tc>
          <w:tcPr>
            <w:tcW w:w="511" w:type="pct"/>
            <w:vMerge w:val="continue"/>
            <w:tcBorders>
              <w:tl2br w:val="nil"/>
              <w:tr2bl w:val="nil"/>
            </w:tcBorders>
            <w:vAlign w:val="center"/>
          </w:tcPr>
          <w:p w14:paraId="09BB98BB">
            <w:pPr>
              <w:pStyle w:val="16"/>
              <w:pageBreakBefore w:val="0"/>
              <w:wordWrap/>
              <w:bidi w:val="0"/>
              <w:adjustRightInd/>
              <w:snapToGrid/>
              <w:rPr>
                <w:color w:val="auto"/>
              </w:rPr>
            </w:pPr>
          </w:p>
        </w:tc>
      </w:tr>
      <w:tr w14:paraId="504B3C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continue"/>
            <w:tcBorders>
              <w:tl2br w:val="nil"/>
              <w:tr2bl w:val="nil"/>
            </w:tcBorders>
            <w:vAlign w:val="center"/>
          </w:tcPr>
          <w:p w14:paraId="47B2B2B7">
            <w:pPr>
              <w:pStyle w:val="16"/>
              <w:pageBreakBefore w:val="0"/>
              <w:wordWrap/>
              <w:bidi w:val="0"/>
              <w:adjustRightInd/>
              <w:snapToGrid/>
              <w:rPr>
                <w:b w:val="0"/>
                <w:bCs w:val="0"/>
                <w:color w:val="auto"/>
              </w:rPr>
            </w:pPr>
          </w:p>
        </w:tc>
        <w:tc>
          <w:tcPr>
            <w:tcW w:w="2338" w:type="pct"/>
            <w:tcBorders>
              <w:tl2br w:val="nil"/>
              <w:tr2bl w:val="nil"/>
            </w:tcBorders>
            <w:vAlign w:val="center"/>
          </w:tcPr>
          <w:p w14:paraId="329C19BE">
            <w:pPr>
              <w:pStyle w:val="16"/>
              <w:pageBreakBefore w:val="0"/>
              <w:wordWrap/>
              <w:bidi w:val="0"/>
              <w:adjustRightInd/>
              <w:snapToGrid/>
              <w:rPr>
                <w:color w:val="auto"/>
              </w:rPr>
            </w:pPr>
            <w:r>
              <w:rPr>
                <w:color w:val="auto"/>
              </w:rPr>
              <w:t>膜车间、回用水池及泵房-浓水池及泵房</w:t>
            </w:r>
            <w:r>
              <w:rPr>
                <w:rFonts w:hint="eastAsia"/>
                <w:color w:val="auto"/>
                <w:lang w:eastAsia="zh-CN"/>
              </w:rPr>
              <w:t>（</w:t>
            </w:r>
            <w:r>
              <w:rPr>
                <w:color w:val="auto"/>
              </w:rPr>
              <w:t>回用水量</w:t>
            </w:r>
            <w:r>
              <w:rPr>
                <w:rFonts w:hint="eastAsia"/>
                <w:color w:val="auto"/>
                <w:lang w:eastAsia="zh-CN"/>
              </w:rPr>
              <w:t>）</w:t>
            </w:r>
            <w:r>
              <w:rPr>
                <w:color w:val="auto"/>
              </w:rPr>
              <w:t>3000m³/d</w:t>
            </w:r>
          </w:p>
        </w:tc>
        <w:tc>
          <w:tcPr>
            <w:tcW w:w="565" w:type="pct"/>
            <w:tcBorders>
              <w:tl2br w:val="nil"/>
              <w:tr2bl w:val="nil"/>
            </w:tcBorders>
            <w:vAlign w:val="center"/>
          </w:tcPr>
          <w:p w14:paraId="2977C5B3">
            <w:pPr>
              <w:pStyle w:val="16"/>
              <w:pageBreakBefore w:val="0"/>
              <w:wordWrap/>
              <w:bidi w:val="0"/>
              <w:adjustRightInd/>
              <w:snapToGrid/>
              <w:rPr>
                <w:color w:val="auto"/>
              </w:rPr>
            </w:pPr>
            <w:r>
              <w:rPr>
                <w:color w:val="auto"/>
              </w:rPr>
              <w:t>预留</w:t>
            </w:r>
          </w:p>
        </w:tc>
        <w:tc>
          <w:tcPr>
            <w:tcW w:w="589" w:type="pct"/>
            <w:tcBorders>
              <w:tl2br w:val="nil"/>
              <w:tr2bl w:val="nil"/>
            </w:tcBorders>
            <w:vAlign w:val="center"/>
          </w:tcPr>
          <w:p w14:paraId="1BEEAE8D">
            <w:pPr>
              <w:pStyle w:val="16"/>
              <w:pageBreakBefore w:val="0"/>
              <w:wordWrap/>
              <w:bidi w:val="0"/>
              <w:adjustRightInd/>
              <w:snapToGrid/>
              <w:rPr>
                <w:color w:val="auto"/>
              </w:rPr>
            </w:pPr>
            <w:r>
              <w:rPr>
                <w:color w:val="auto"/>
              </w:rPr>
              <w:t>预留</w:t>
            </w:r>
          </w:p>
        </w:tc>
        <w:tc>
          <w:tcPr>
            <w:tcW w:w="491" w:type="pct"/>
            <w:vMerge w:val="continue"/>
            <w:tcBorders>
              <w:tl2br w:val="nil"/>
              <w:tr2bl w:val="nil"/>
            </w:tcBorders>
            <w:vAlign w:val="center"/>
          </w:tcPr>
          <w:p w14:paraId="572A4D03">
            <w:pPr>
              <w:pStyle w:val="16"/>
              <w:pageBreakBefore w:val="0"/>
              <w:wordWrap/>
              <w:bidi w:val="0"/>
              <w:adjustRightInd/>
              <w:snapToGrid/>
              <w:rPr>
                <w:color w:val="auto"/>
              </w:rPr>
            </w:pPr>
          </w:p>
        </w:tc>
        <w:tc>
          <w:tcPr>
            <w:tcW w:w="511" w:type="pct"/>
            <w:vMerge w:val="continue"/>
            <w:tcBorders>
              <w:tl2br w:val="nil"/>
              <w:tr2bl w:val="nil"/>
            </w:tcBorders>
            <w:vAlign w:val="center"/>
          </w:tcPr>
          <w:p w14:paraId="1EC9F421">
            <w:pPr>
              <w:pStyle w:val="16"/>
              <w:pageBreakBefore w:val="0"/>
              <w:wordWrap/>
              <w:bidi w:val="0"/>
              <w:adjustRightInd/>
              <w:snapToGrid/>
              <w:rPr>
                <w:color w:val="auto"/>
              </w:rPr>
            </w:pPr>
          </w:p>
        </w:tc>
      </w:tr>
      <w:tr w14:paraId="713EB4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continue"/>
            <w:tcBorders>
              <w:tl2br w:val="nil"/>
              <w:tr2bl w:val="nil"/>
            </w:tcBorders>
            <w:vAlign w:val="center"/>
          </w:tcPr>
          <w:p w14:paraId="58A3F70B">
            <w:pPr>
              <w:pStyle w:val="16"/>
              <w:pageBreakBefore w:val="0"/>
              <w:wordWrap/>
              <w:bidi w:val="0"/>
              <w:adjustRightInd/>
              <w:snapToGrid/>
              <w:rPr>
                <w:b w:val="0"/>
                <w:bCs w:val="0"/>
                <w:color w:val="auto"/>
              </w:rPr>
            </w:pPr>
          </w:p>
        </w:tc>
        <w:tc>
          <w:tcPr>
            <w:tcW w:w="2338" w:type="pct"/>
            <w:tcBorders>
              <w:tl2br w:val="nil"/>
              <w:tr2bl w:val="nil"/>
            </w:tcBorders>
            <w:vAlign w:val="center"/>
          </w:tcPr>
          <w:p w14:paraId="5C8DCF2B">
            <w:pPr>
              <w:pStyle w:val="16"/>
              <w:pageBreakBefore w:val="0"/>
              <w:wordWrap/>
              <w:bidi w:val="0"/>
              <w:adjustRightInd/>
              <w:snapToGrid/>
              <w:rPr>
                <w:color w:val="auto"/>
              </w:rPr>
            </w:pPr>
            <w:r>
              <w:rPr>
                <w:color w:val="auto"/>
              </w:rPr>
              <w:t>MVR系统、冷却塔、结晶盐仓库</w:t>
            </w:r>
          </w:p>
        </w:tc>
        <w:tc>
          <w:tcPr>
            <w:tcW w:w="565" w:type="pct"/>
            <w:tcBorders>
              <w:tl2br w:val="nil"/>
              <w:tr2bl w:val="nil"/>
            </w:tcBorders>
            <w:vAlign w:val="center"/>
          </w:tcPr>
          <w:p w14:paraId="3AA29554">
            <w:pPr>
              <w:pStyle w:val="16"/>
              <w:pageBreakBefore w:val="0"/>
              <w:wordWrap/>
              <w:bidi w:val="0"/>
              <w:adjustRightInd/>
              <w:snapToGrid/>
              <w:rPr>
                <w:color w:val="auto"/>
              </w:rPr>
            </w:pPr>
            <w:r>
              <w:rPr>
                <w:color w:val="auto"/>
              </w:rPr>
              <w:t>预留</w:t>
            </w:r>
          </w:p>
        </w:tc>
        <w:tc>
          <w:tcPr>
            <w:tcW w:w="589" w:type="pct"/>
            <w:tcBorders>
              <w:tl2br w:val="nil"/>
              <w:tr2bl w:val="nil"/>
            </w:tcBorders>
            <w:vAlign w:val="center"/>
          </w:tcPr>
          <w:p w14:paraId="5EEA5DFC">
            <w:pPr>
              <w:pStyle w:val="16"/>
              <w:pageBreakBefore w:val="0"/>
              <w:wordWrap/>
              <w:bidi w:val="0"/>
              <w:adjustRightInd/>
              <w:snapToGrid/>
              <w:rPr>
                <w:color w:val="auto"/>
              </w:rPr>
            </w:pPr>
            <w:r>
              <w:rPr>
                <w:color w:val="auto"/>
              </w:rPr>
              <w:t>预留</w:t>
            </w:r>
          </w:p>
        </w:tc>
        <w:tc>
          <w:tcPr>
            <w:tcW w:w="491" w:type="pct"/>
            <w:vMerge w:val="continue"/>
            <w:tcBorders>
              <w:tl2br w:val="nil"/>
              <w:tr2bl w:val="nil"/>
            </w:tcBorders>
            <w:vAlign w:val="center"/>
          </w:tcPr>
          <w:p w14:paraId="26EC416D">
            <w:pPr>
              <w:pStyle w:val="16"/>
              <w:pageBreakBefore w:val="0"/>
              <w:wordWrap/>
              <w:bidi w:val="0"/>
              <w:adjustRightInd/>
              <w:snapToGrid/>
              <w:rPr>
                <w:color w:val="auto"/>
              </w:rPr>
            </w:pPr>
          </w:p>
        </w:tc>
        <w:tc>
          <w:tcPr>
            <w:tcW w:w="511" w:type="pct"/>
            <w:vMerge w:val="continue"/>
            <w:tcBorders>
              <w:tl2br w:val="nil"/>
              <w:tr2bl w:val="nil"/>
            </w:tcBorders>
            <w:vAlign w:val="center"/>
          </w:tcPr>
          <w:p w14:paraId="6A435BD8">
            <w:pPr>
              <w:pStyle w:val="16"/>
              <w:pageBreakBefore w:val="0"/>
              <w:wordWrap/>
              <w:bidi w:val="0"/>
              <w:adjustRightInd/>
              <w:snapToGrid/>
              <w:rPr>
                <w:color w:val="auto"/>
              </w:rPr>
            </w:pPr>
          </w:p>
        </w:tc>
      </w:tr>
      <w:tr w14:paraId="43F23F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restart"/>
            <w:tcBorders>
              <w:tl2br w:val="nil"/>
              <w:tr2bl w:val="nil"/>
            </w:tcBorders>
            <w:vAlign w:val="center"/>
          </w:tcPr>
          <w:p w14:paraId="2B2E5FFD">
            <w:pPr>
              <w:pStyle w:val="16"/>
              <w:pageBreakBefore w:val="0"/>
              <w:wordWrap/>
              <w:bidi w:val="0"/>
              <w:adjustRightInd/>
              <w:snapToGrid/>
              <w:rPr>
                <w:rFonts w:hint="eastAsia" w:eastAsia="宋体"/>
                <w:b w:val="0"/>
                <w:bCs w:val="0"/>
                <w:color w:val="auto"/>
                <w:lang w:val="en-US" w:eastAsia="zh-CN"/>
              </w:rPr>
            </w:pPr>
            <w:r>
              <w:rPr>
                <w:b w:val="0"/>
                <w:bCs w:val="0"/>
                <w:color w:val="auto"/>
              </w:rPr>
              <w:t>二期</w:t>
            </w:r>
            <w:r>
              <w:rPr>
                <w:rFonts w:hint="eastAsia"/>
                <w:b w:val="0"/>
                <w:bCs w:val="0"/>
                <w:color w:val="auto"/>
                <w:lang w:eastAsia="zh-CN"/>
              </w:rPr>
              <w:t>（</w:t>
            </w:r>
            <w:r>
              <w:rPr>
                <w:rFonts w:hint="eastAsia"/>
                <w:b w:val="0"/>
                <w:bCs w:val="0"/>
                <w:color w:val="auto"/>
                <w:lang w:val="en-US" w:eastAsia="zh-CN"/>
              </w:rPr>
              <w:t>处理规模3000m³/d，本次不涉及</w:t>
            </w:r>
            <w:r>
              <w:rPr>
                <w:rFonts w:hint="eastAsia"/>
                <w:b w:val="0"/>
                <w:bCs w:val="0"/>
                <w:color w:val="auto"/>
                <w:lang w:eastAsia="zh-CN"/>
              </w:rPr>
              <w:t>）</w:t>
            </w:r>
          </w:p>
        </w:tc>
        <w:tc>
          <w:tcPr>
            <w:tcW w:w="2338" w:type="pct"/>
            <w:tcBorders>
              <w:tl2br w:val="nil"/>
              <w:tr2bl w:val="nil"/>
            </w:tcBorders>
            <w:vAlign w:val="center"/>
          </w:tcPr>
          <w:p w14:paraId="69C29A5E">
            <w:pPr>
              <w:pStyle w:val="16"/>
              <w:pageBreakBefore w:val="0"/>
              <w:wordWrap/>
              <w:bidi w:val="0"/>
              <w:adjustRightInd/>
              <w:snapToGrid/>
              <w:rPr>
                <w:rFonts w:hint="eastAsia" w:eastAsia="宋体"/>
                <w:color w:val="auto"/>
                <w:lang w:eastAsia="zh-CN"/>
              </w:rPr>
            </w:pPr>
            <w:r>
              <w:rPr>
                <w:color w:val="auto"/>
              </w:rPr>
              <w:t>水解酸化池+生化池</w:t>
            </w:r>
            <w:r>
              <w:rPr>
                <w:rFonts w:hint="eastAsia"/>
                <w:color w:val="auto"/>
                <w:lang w:eastAsia="zh-CN"/>
              </w:rPr>
              <w:t>（</w:t>
            </w:r>
            <w:r>
              <w:rPr>
                <w:color w:val="auto"/>
              </w:rPr>
              <w:t>3000m³/d</w:t>
            </w:r>
            <w:r>
              <w:rPr>
                <w:rFonts w:hint="eastAsia"/>
                <w:color w:val="auto"/>
                <w:lang w:eastAsia="zh-CN"/>
              </w:rPr>
              <w:t>）</w:t>
            </w:r>
          </w:p>
        </w:tc>
        <w:tc>
          <w:tcPr>
            <w:tcW w:w="565" w:type="pct"/>
            <w:tcBorders>
              <w:tl2br w:val="nil"/>
              <w:tr2bl w:val="nil"/>
            </w:tcBorders>
            <w:vAlign w:val="center"/>
          </w:tcPr>
          <w:p w14:paraId="45C5EC6D">
            <w:pPr>
              <w:pStyle w:val="16"/>
              <w:pageBreakBefore w:val="0"/>
              <w:wordWrap/>
              <w:bidi w:val="0"/>
              <w:adjustRightInd/>
              <w:snapToGrid/>
              <w:rPr>
                <w:color w:val="auto"/>
              </w:rPr>
            </w:pPr>
            <w:r>
              <w:rPr>
                <w:color w:val="auto"/>
              </w:rPr>
              <w:t>3000m³/d</w:t>
            </w:r>
          </w:p>
        </w:tc>
        <w:tc>
          <w:tcPr>
            <w:tcW w:w="589" w:type="pct"/>
            <w:tcBorders>
              <w:tl2br w:val="nil"/>
              <w:tr2bl w:val="nil"/>
            </w:tcBorders>
            <w:vAlign w:val="center"/>
          </w:tcPr>
          <w:p w14:paraId="21386D29">
            <w:pPr>
              <w:pStyle w:val="16"/>
              <w:pageBreakBefore w:val="0"/>
              <w:wordWrap/>
              <w:bidi w:val="0"/>
              <w:adjustRightInd/>
              <w:snapToGrid/>
              <w:rPr>
                <w:color w:val="auto"/>
              </w:rPr>
            </w:pPr>
            <w:r>
              <w:rPr>
                <w:color w:val="auto"/>
              </w:rPr>
              <w:t>3000m³/d</w:t>
            </w:r>
          </w:p>
        </w:tc>
        <w:tc>
          <w:tcPr>
            <w:tcW w:w="491" w:type="pct"/>
            <w:vMerge w:val="restart"/>
            <w:tcBorders>
              <w:tl2br w:val="nil"/>
              <w:tr2bl w:val="nil"/>
            </w:tcBorders>
            <w:vAlign w:val="center"/>
          </w:tcPr>
          <w:p w14:paraId="5A6BCF06">
            <w:pPr>
              <w:pStyle w:val="16"/>
              <w:pageBreakBefore w:val="0"/>
              <w:wordWrap/>
              <w:bidi w:val="0"/>
              <w:adjustRightInd/>
              <w:snapToGrid/>
              <w:rPr>
                <w:rFonts w:hint="default" w:eastAsia="宋体"/>
                <w:color w:val="auto"/>
                <w:lang w:val="en-US" w:eastAsia="zh-CN"/>
              </w:rPr>
            </w:pPr>
            <w:r>
              <w:rPr>
                <w:rFonts w:hint="eastAsia"/>
                <w:color w:val="auto"/>
                <w:lang w:val="en-US" w:eastAsia="zh-CN"/>
              </w:rPr>
              <w:t>根据园区进水水量进行调整</w:t>
            </w:r>
          </w:p>
        </w:tc>
        <w:tc>
          <w:tcPr>
            <w:tcW w:w="511" w:type="pct"/>
            <w:vMerge w:val="restart"/>
            <w:tcBorders>
              <w:tl2br w:val="nil"/>
              <w:tr2bl w:val="nil"/>
            </w:tcBorders>
            <w:vAlign w:val="center"/>
          </w:tcPr>
          <w:p w14:paraId="22729F67">
            <w:pPr>
              <w:pStyle w:val="16"/>
              <w:pageBreakBefore w:val="0"/>
              <w:wordWrap/>
              <w:bidi w:val="0"/>
              <w:adjustRightInd/>
              <w:snapToGrid/>
              <w:rPr>
                <w:color w:val="auto"/>
              </w:rPr>
            </w:pPr>
            <w:r>
              <w:rPr>
                <w:rFonts w:hint="eastAsia"/>
                <w:color w:val="auto"/>
                <w:lang w:val="en-US" w:eastAsia="zh-CN"/>
              </w:rPr>
              <w:t>曾口区块全区，按照水量进行分期</w:t>
            </w:r>
          </w:p>
        </w:tc>
      </w:tr>
      <w:tr w14:paraId="307157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continue"/>
            <w:tcBorders>
              <w:tl2br w:val="nil"/>
              <w:tr2bl w:val="nil"/>
            </w:tcBorders>
            <w:vAlign w:val="center"/>
          </w:tcPr>
          <w:p w14:paraId="592D7635">
            <w:pPr>
              <w:pStyle w:val="16"/>
              <w:pageBreakBefore w:val="0"/>
              <w:wordWrap/>
              <w:bidi w:val="0"/>
              <w:adjustRightInd/>
              <w:snapToGrid/>
              <w:rPr>
                <w:b w:val="0"/>
                <w:bCs w:val="0"/>
                <w:color w:val="auto"/>
              </w:rPr>
            </w:pPr>
          </w:p>
        </w:tc>
        <w:tc>
          <w:tcPr>
            <w:tcW w:w="2338" w:type="pct"/>
            <w:tcBorders>
              <w:tl2br w:val="nil"/>
              <w:tr2bl w:val="nil"/>
            </w:tcBorders>
            <w:vAlign w:val="center"/>
          </w:tcPr>
          <w:p w14:paraId="0B178BC9">
            <w:pPr>
              <w:pStyle w:val="16"/>
              <w:pageBreakBefore w:val="0"/>
              <w:wordWrap/>
              <w:bidi w:val="0"/>
              <w:adjustRightInd/>
              <w:snapToGrid/>
              <w:rPr>
                <w:color w:val="auto"/>
              </w:rPr>
            </w:pPr>
            <w:r>
              <w:rPr>
                <w:color w:val="auto"/>
              </w:rPr>
              <w:t>高级氧化深度处理设备、</w:t>
            </w:r>
            <w:r>
              <w:rPr>
                <w:rFonts w:hint="eastAsia"/>
                <w:color w:val="auto"/>
              </w:rPr>
              <w:t>磁混凝</w:t>
            </w:r>
            <w:r>
              <w:rPr>
                <w:color w:val="auto"/>
              </w:rPr>
              <w:t>沉淀池设备</w:t>
            </w:r>
          </w:p>
        </w:tc>
        <w:tc>
          <w:tcPr>
            <w:tcW w:w="565" w:type="pct"/>
            <w:tcBorders>
              <w:tl2br w:val="nil"/>
              <w:tr2bl w:val="nil"/>
            </w:tcBorders>
            <w:vAlign w:val="center"/>
          </w:tcPr>
          <w:p w14:paraId="52E87D89">
            <w:pPr>
              <w:pStyle w:val="16"/>
              <w:pageBreakBefore w:val="0"/>
              <w:wordWrap/>
              <w:bidi w:val="0"/>
              <w:adjustRightInd/>
              <w:snapToGrid/>
              <w:rPr>
                <w:color w:val="auto"/>
              </w:rPr>
            </w:pPr>
            <w:r>
              <w:rPr>
                <w:color w:val="auto"/>
              </w:rPr>
              <w:t>3000m³/d</w:t>
            </w:r>
          </w:p>
        </w:tc>
        <w:tc>
          <w:tcPr>
            <w:tcW w:w="589" w:type="pct"/>
            <w:tcBorders>
              <w:tl2br w:val="nil"/>
              <w:tr2bl w:val="nil"/>
            </w:tcBorders>
            <w:vAlign w:val="center"/>
          </w:tcPr>
          <w:p w14:paraId="0902A3C2">
            <w:pPr>
              <w:pStyle w:val="16"/>
              <w:pageBreakBefore w:val="0"/>
              <w:wordWrap/>
              <w:bidi w:val="0"/>
              <w:adjustRightInd/>
              <w:snapToGrid/>
              <w:rPr>
                <w:color w:val="auto"/>
              </w:rPr>
            </w:pPr>
            <w:r>
              <w:rPr>
                <w:color w:val="auto"/>
              </w:rPr>
              <w:t>3000m³/d</w:t>
            </w:r>
          </w:p>
        </w:tc>
        <w:tc>
          <w:tcPr>
            <w:tcW w:w="491" w:type="pct"/>
            <w:vMerge w:val="continue"/>
            <w:tcBorders>
              <w:tl2br w:val="nil"/>
              <w:tr2bl w:val="nil"/>
            </w:tcBorders>
            <w:vAlign w:val="center"/>
          </w:tcPr>
          <w:p w14:paraId="7AC8A17C">
            <w:pPr>
              <w:pStyle w:val="16"/>
              <w:pageBreakBefore w:val="0"/>
              <w:wordWrap/>
              <w:bidi w:val="0"/>
              <w:adjustRightInd/>
              <w:snapToGrid/>
              <w:rPr>
                <w:color w:val="auto"/>
              </w:rPr>
            </w:pPr>
          </w:p>
        </w:tc>
        <w:tc>
          <w:tcPr>
            <w:tcW w:w="511" w:type="pct"/>
            <w:vMerge w:val="continue"/>
            <w:tcBorders>
              <w:tl2br w:val="nil"/>
              <w:tr2bl w:val="nil"/>
            </w:tcBorders>
            <w:vAlign w:val="center"/>
          </w:tcPr>
          <w:p w14:paraId="6953EEF9">
            <w:pPr>
              <w:pStyle w:val="16"/>
              <w:pageBreakBefore w:val="0"/>
              <w:wordWrap/>
              <w:bidi w:val="0"/>
              <w:adjustRightInd/>
              <w:snapToGrid/>
              <w:rPr>
                <w:color w:val="auto"/>
              </w:rPr>
            </w:pPr>
          </w:p>
        </w:tc>
      </w:tr>
      <w:tr w14:paraId="15846F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continue"/>
            <w:tcBorders>
              <w:tl2br w:val="nil"/>
              <w:tr2bl w:val="nil"/>
            </w:tcBorders>
            <w:vAlign w:val="center"/>
          </w:tcPr>
          <w:p w14:paraId="0BF88CF9">
            <w:pPr>
              <w:pStyle w:val="16"/>
              <w:pageBreakBefore w:val="0"/>
              <w:wordWrap/>
              <w:bidi w:val="0"/>
              <w:adjustRightInd/>
              <w:snapToGrid/>
              <w:rPr>
                <w:b w:val="0"/>
                <w:bCs w:val="0"/>
                <w:color w:val="auto"/>
              </w:rPr>
            </w:pPr>
          </w:p>
        </w:tc>
        <w:tc>
          <w:tcPr>
            <w:tcW w:w="2338" w:type="pct"/>
            <w:tcBorders>
              <w:tl2br w:val="nil"/>
              <w:tr2bl w:val="nil"/>
            </w:tcBorders>
            <w:vAlign w:val="center"/>
          </w:tcPr>
          <w:p w14:paraId="0ABF2A16">
            <w:pPr>
              <w:pStyle w:val="16"/>
              <w:pageBreakBefore w:val="0"/>
              <w:wordWrap/>
              <w:bidi w:val="0"/>
              <w:adjustRightInd/>
              <w:snapToGrid/>
              <w:ind w:left="0" w:leftChars="0" w:firstLine="0" w:firstLineChars="0"/>
              <w:rPr>
                <w:color w:val="auto"/>
              </w:rPr>
            </w:pPr>
            <w:r>
              <w:rPr>
                <w:color w:val="auto"/>
              </w:rPr>
              <w:t>反硝化深床滤池</w:t>
            </w:r>
          </w:p>
        </w:tc>
        <w:tc>
          <w:tcPr>
            <w:tcW w:w="565" w:type="pct"/>
            <w:tcBorders>
              <w:tl2br w:val="nil"/>
              <w:tr2bl w:val="nil"/>
            </w:tcBorders>
            <w:vAlign w:val="center"/>
          </w:tcPr>
          <w:p w14:paraId="3FF2834F">
            <w:pPr>
              <w:pStyle w:val="16"/>
              <w:pageBreakBefore w:val="0"/>
              <w:wordWrap/>
              <w:bidi w:val="0"/>
              <w:adjustRightInd/>
              <w:snapToGrid/>
              <w:ind w:left="0" w:leftChars="0" w:firstLine="0" w:firstLineChars="0"/>
              <w:rPr>
                <w:color w:val="auto"/>
              </w:rPr>
            </w:pPr>
            <w:r>
              <w:rPr>
                <w:color w:val="auto"/>
              </w:rPr>
              <w:t>/</w:t>
            </w:r>
          </w:p>
        </w:tc>
        <w:tc>
          <w:tcPr>
            <w:tcW w:w="589" w:type="pct"/>
            <w:tcBorders>
              <w:tl2br w:val="nil"/>
              <w:tr2bl w:val="nil"/>
            </w:tcBorders>
            <w:vAlign w:val="center"/>
          </w:tcPr>
          <w:p w14:paraId="727E8853">
            <w:pPr>
              <w:pStyle w:val="16"/>
              <w:pageBreakBefore w:val="0"/>
              <w:wordWrap/>
              <w:bidi w:val="0"/>
              <w:adjustRightInd/>
              <w:snapToGrid/>
              <w:ind w:left="0" w:leftChars="0" w:firstLine="0" w:firstLineChars="0"/>
              <w:rPr>
                <w:color w:val="auto"/>
              </w:rPr>
            </w:pPr>
            <w:r>
              <w:rPr>
                <w:color w:val="auto"/>
              </w:rPr>
              <w:t>3000m³/d</w:t>
            </w:r>
          </w:p>
        </w:tc>
        <w:tc>
          <w:tcPr>
            <w:tcW w:w="491" w:type="pct"/>
            <w:vMerge w:val="continue"/>
            <w:tcBorders>
              <w:tl2br w:val="nil"/>
              <w:tr2bl w:val="nil"/>
            </w:tcBorders>
            <w:vAlign w:val="center"/>
          </w:tcPr>
          <w:p w14:paraId="656814C6">
            <w:pPr>
              <w:pStyle w:val="16"/>
              <w:pageBreakBefore w:val="0"/>
              <w:wordWrap/>
              <w:bidi w:val="0"/>
              <w:adjustRightInd/>
              <w:snapToGrid/>
              <w:ind w:left="0" w:leftChars="0" w:firstLine="0" w:firstLineChars="0"/>
              <w:rPr>
                <w:color w:val="auto"/>
              </w:rPr>
            </w:pPr>
          </w:p>
        </w:tc>
        <w:tc>
          <w:tcPr>
            <w:tcW w:w="511" w:type="pct"/>
            <w:vMerge w:val="continue"/>
            <w:tcBorders>
              <w:tl2br w:val="nil"/>
              <w:tr2bl w:val="nil"/>
            </w:tcBorders>
            <w:vAlign w:val="center"/>
          </w:tcPr>
          <w:p w14:paraId="6B0044CE">
            <w:pPr>
              <w:pStyle w:val="16"/>
              <w:pageBreakBefore w:val="0"/>
              <w:wordWrap/>
              <w:bidi w:val="0"/>
              <w:adjustRightInd/>
              <w:snapToGrid/>
              <w:ind w:left="0" w:leftChars="0" w:firstLine="0" w:firstLineChars="0"/>
              <w:rPr>
                <w:color w:val="auto"/>
              </w:rPr>
            </w:pPr>
          </w:p>
        </w:tc>
      </w:tr>
      <w:tr w14:paraId="59B1B8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continue"/>
            <w:tcBorders>
              <w:tl2br w:val="nil"/>
              <w:tr2bl w:val="nil"/>
            </w:tcBorders>
            <w:vAlign w:val="center"/>
          </w:tcPr>
          <w:p w14:paraId="17BEFB98">
            <w:pPr>
              <w:pStyle w:val="16"/>
              <w:pageBreakBefore w:val="0"/>
              <w:wordWrap/>
              <w:bidi w:val="0"/>
              <w:adjustRightInd/>
              <w:snapToGrid/>
              <w:rPr>
                <w:b w:val="0"/>
                <w:bCs w:val="0"/>
                <w:color w:val="auto"/>
              </w:rPr>
            </w:pPr>
          </w:p>
        </w:tc>
        <w:tc>
          <w:tcPr>
            <w:tcW w:w="2338" w:type="pct"/>
            <w:tcBorders>
              <w:tl2br w:val="nil"/>
              <w:tr2bl w:val="nil"/>
            </w:tcBorders>
            <w:vAlign w:val="center"/>
          </w:tcPr>
          <w:p w14:paraId="4C7A49BA">
            <w:pPr>
              <w:pStyle w:val="16"/>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color w:val="auto"/>
              </w:rPr>
              <w:t>膜车间、回用水池及泵房-浓水池及泵房</w:t>
            </w:r>
          </w:p>
        </w:tc>
        <w:tc>
          <w:tcPr>
            <w:tcW w:w="565" w:type="pct"/>
            <w:tcBorders>
              <w:tl2br w:val="nil"/>
              <w:tr2bl w:val="nil"/>
            </w:tcBorders>
            <w:vAlign w:val="center"/>
          </w:tcPr>
          <w:p w14:paraId="09C16BCA">
            <w:pPr>
              <w:pStyle w:val="16"/>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color w:val="auto"/>
              </w:rPr>
              <w:t>预留</w:t>
            </w:r>
          </w:p>
        </w:tc>
        <w:tc>
          <w:tcPr>
            <w:tcW w:w="589" w:type="pct"/>
            <w:tcBorders>
              <w:tl2br w:val="nil"/>
              <w:tr2bl w:val="nil"/>
            </w:tcBorders>
            <w:vAlign w:val="center"/>
          </w:tcPr>
          <w:p w14:paraId="05C4FA4E">
            <w:pPr>
              <w:pStyle w:val="16"/>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color w:val="auto"/>
              </w:rPr>
              <w:t>预留</w:t>
            </w:r>
          </w:p>
        </w:tc>
        <w:tc>
          <w:tcPr>
            <w:tcW w:w="491" w:type="pct"/>
            <w:vMerge w:val="continue"/>
            <w:tcBorders>
              <w:tl2br w:val="nil"/>
              <w:tr2bl w:val="nil"/>
            </w:tcBorders>
            <w:vAlign w:val="center"/>
          </w:tcPr>
          <w:p w14:paraId="6846D995">
            <w:pPr>
              <w:pStyle w:val="16"/>
              <w:pageBreakBefore w:val="0"/>
              <w:wordWrap/>
              <w:bidi w:val="0"/>
              <w:adjustRightInd/>
              <w:snapToGrid/>
              <w:ind w:left="0" w:leftChars="0" w:firstLine="0" w:firstLineChars="0"/>
              <w:rPr>
                <w:color w:val="auto"/>
              </w:rPr>
            </w:pPr>
          </w:p>
        </w:tc>
        <w:tc>
          <w:tcPr>
            <w:tcW w:w="511" w:type="pct"/>
            <w:vMerge w:val="continue"/>
            <w:tcBorders>
              <w:tl2br w:val="nil"/>
              <w:tr2bl w:val="nil"/>
            </w:tcBorders>
            <w:vAlign w:val="center"/>
          </w:tcPr>
          <w:p w14:paraId="0470F0C9">
            <w:pPr>
              <w:pStyle w:val="16"/>
              <w:pageBreakBefore w:val="0"/>
              <w:wordWrap/>
              <w:bidi w:val="0"/>
              <w:adjustRightInd/>
              <w:snapToGrid/>
              <w:ind w:left="0" w:leftChars="0" w:firstLine="0" w:firstLineChars="0"/>
              <w:rPr>
                <w:color w:val="auto"/>
              </w:rPr>
            </w:pPr>
          </w:p>
        </w:tc>
      </w:tr>
      <w:tr w14:paraId="29ED58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continue"/>
            <w:tcBorders>
              <w:tl2br w:val="nil"/>
              <w:tr2bl w:val="nil"/>
            </w:tcBorders>
            <w:vAlign w:val="center"/>
          </w:tcPr>
          <w:p w14:paraId="15A14C2A">
            <w:pPr>
              <w:pStyle w:val="16"/>
              <w:pageBreakBefore w:val="0"/>
              <w:wordWrap/>
              <w:bidi w:val="0"/>
              <w:adjustRightInd/>
              <w:snapToGrid/>
              <w:rPr>
                <w:b w:val="0"/>
                <w:bCs w:val="0"/>
                <w:color w:val="auto"/>
              </w:rPr>
            </w:pPr>
          </w:p>
        </w:tc>
        <w:tc>
          <w:tcPr>
            <w:tcW w:w="2338" w:type="pct"/>
            <w:tcBorders>
              <w:tl2br w:val="nil"/>
              <w:tr2bl w:val="nil"/>
            </w:tcBorders>
            <w:vAlign w:val="center"/>
          </w:tcPr>
          <w:p w14:paraId="63397221">
            <w:pPr>
              <w:pStyle w:val="16"/>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color w:val="auto"/>
              </w:rPr>
              <w:t>MVR系统、冷却塔、结晶盐仓库</w:t>
            </w:r>
          </w:p>
        </w:tc>
        <w:tc>
          <w:tcPr>
            <w:tcW w:w="565" w:type="pct"/>
            <w:tcBorders>
              <w:tl2br w:val="nil"/>
              <w:tr2bl w:val="nil"/>
            </w:tcBorders>
            <w:vAlign w:val="center"/>
          </w:tcPr>
          <w:p w14:paraId="2FD8951E">
            <w:pPr>
              <w:pStyle w:val="16"/>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color w:val="auto"/>
              </w:rPr>
              <w:t>预留</w:t>
            </w:r>
          </w:p>
        </w:tc>
        <w:tc>
          <w:tcPr>
            <w:tcW w:w="589" w:type="pct"/>
            <w:tcBorders>
              <w:tl2br w:val="nil"/>
              <w:tr2bl w:val="nil"/>
            </w:tcBorders>
            <w:vAlign w:val="center"/>
          </w:tcPr>
          <w:p w14:paraId="737E176B">
            <w:pPr>
              <w:pStyle w:val="16"/>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color w:val="auto"/>
              </w:rPr>
              <w:t>预留</w:t>
            </w:r>
          </w:p>
        </w:tc>
        <w:tc>
          <w:tcPr>
            <w:tcW w:w="491" w:type="pct"/>
            <w:vMerge w:val="continue"/>
            <w:tcBorders>
              <w:tl2br w:val="nil"/>
              <w:tr2bl w:val="nil"/>
            </w:tcBorders>
            <w:vAlign w:val="center"/>
          </w:tcPr>
          <w:p w14:paraId="2A5660A9">
            <w:pPr>
              <w:pStyle w:val="16"/>
              <w:pageBreakBefore w:val="0"/>
              <w:wordWrap/>
              <w:bidi w:val="0"/>
              <w:adjustRightInd/>
              <w:snapToGrid/>
              <w:ind w:left="0" w:leftChars="0" w:firstLine="0" w:firstLineChars="0"/>
              <w:rPr>
                <w:color w:val="auto"/>
              </w:rPr>
            </w:pPr>
          </w:p>
        </w:tc>
        <w:tc>
          <w:tcPr>
            <w:tcW w:w="511" w:type="pct"/>
            <w:vMerge w:val="continue"/>
            <w:tcBorders>
              <w:tl2br w:val="nil"/>
              <w:tr2bl w:val="nil"/>
            </w:tcBorders>
            <w:vAlign w:val="center"/>
          </w:tcPr>
          <w:p w14:paraId="4B81F8AB">
            <w:pPr>
              <w:pStyle w:val="16"/>
              <w:pageBreakBefore w:val="0"/>
              <w:wordWrap/>
              <w:bidi w:val="0"/>
              <w:adjustRightInd/>
              <w:snapToGrid/>
              <w:ind w:left="0" w:leftChars="0" w:firstLine="0" w:firstLineChars="0"/>
              <w:rPr>
                <w:color w:val="auto"/>
              </w:rPr>
            </w:pPr>
          </w:p>
        </w:tc>
      </w:tr>
      <w:tr w14:paraId="22711E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restart"/>
            <w:tcBorders>
              <w:tl2br w:val="nil"/>
              <w:tr2bl w:val="nil"/>
            </w:tcBorders>
            <w:vAlign w:val="center"/>
          </w:tcPr>
          <w:p w14:paraId="528C2AF0">
            <w:pPr>
              <w:pStyle w:val="16"/>
              <w:pageBreakBefore w:val="0"/>
              <w:wordWrap/>
              <w:bidi w:val="0"/>
              <w:adjustRightInd/>
              <w:snapToGrid/>
              <w:rPr>
                <w:rFonts w:hint="eastAsia" w:eastAsia="宋体"/>
                <w:b w:val="0"/>
                <w:bCs w:val="0"/>
                <w:color w:val="auto"/>
                <w:lang w:eastAsia="zh-CN"/>
              </w:rPr>
            </w:pPr>
            <w:r>
              <w:rPr>
                <w:b w:val="0"/>
                <w:bCs w:val="0"/>
                <w:color w:val="auto"/>
              </w:rPr>
              <w:t>三期</w:t>
            </w:r>
            <w:r>
              <w:rPr>
                <w:rFonts w:hint="eastAsia"/>
                <w:b w:val="0"/>
                <w:bCs w:val="0"/>
                <w:color w:val="auto"/>
                <w:lang w:eastAsia="zh-CN"/>
              </w:rPr>
              <w:t>（</w:t>
            </w:r>
            <w:r>
              <w:rPr>
                <w:rFonts w:hint="eastAsia"/>
                <w:b w:val="0"/>
                <w:bCs w:val="0"/>
                <w:color w:val="auto"/>
                <w:lang w:val="en-US" w:eastAsia="zh-CN"/>
              </w:rPr>
              <w:t>处理规模10000m³/d，本次不涉及</w:t>
            </w:r>
            <w:r>
              <w:rPr>
                <w:rFonts w:hint="eastAsia"/>
                <w:b w:val="0"/>
                <w:bCs w:val="0"/>
                <w:color w:val="auto"/>
                <w:lang w:eastAsia="zh-CN"/>
              </w:rPr>
              <w:t>）</w:t>
            </w:r>
          </w:p>
        </w:tc>
        <w:tc>
          <w:tcPr>
            <w:tcW w:w="2338" w:type="pct"/>
            <w:tcBorders>
              <w:tl2br w:val="nil"/>
              <w:tr2bl w:val="nil"/>
            </w:tcBorders>
            <w:vAlign w:val="center"/>
          </w:tcPr>
          <w:p w14:paraId="723F94F3">
            <w:pPr>
              <w:pStyle w:val="16"/>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color w:val="auto"/>
              </w:rPr>
              <w:t>超细格栅、调节池、反硝化深床滤池、除臭设备、水解酸化池+生化池、高级氧化深度处理设备、</w:t>
            </w:r>
            <w:r>
              <w:rPr>
                <w:rFonts w:hint="eastAsia"/>
                <w:color w:val="auto"/>
                <w:lang w:val="en-US" w:eastAsia="zh-CN"/>
              </w:rPr>
              <w:t>磁混凝</w:t>
            </w:r>
            <w:r>
              <w:rPr>
                <w:color w:val="auto"/>
              </w:rPr>
              <w:t>沉淀池及污泥脱水车间、污泥池、调节池、变配电室、鼓风机房</w:t>
            </w:r>
          </w:p>
        </w:tc>
        <w:tc>
          <w:tcPr>
            <w:tcW w:w="565" w:type="pct"/>
            <w:tcBorders>
              <w:tl2br w:val="nil"/>
              <w:tr2bl w:val="nil"/>
            </w:tcBorders>
            <w:vAlign w:val="center"/>
          </w:tcPr>
          <w:p w14:paraId="0B551DE8">
            <w:pPr>
              <w:pStyle w:val="16"/>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color w:val="auto"/>
              </w:rPr>
              <w:t>10000m³/d</w:t>
            </w:r>
          </w:p>
        </w:tc>
        <w:tc>
          <w:tcPr>
            <w:tcW w:w="589" w:type="pct"/>
            <w:tcBorders>
              <w:tl2br w:val="nil"/>
              <w:tr2bl w:val="nil"/>
            </w:tcBorders>
            <w:vAlign w:val="center"/>
          </w:tcPr>
          <w:p w14:paraId="4599A088">
            <w:pPr>
              <w:pStyle w:val="16"/>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color w:val="auto"/>
              </w:rPr>
              <w:t>10000m³/d</w:t>
            </w:r>
          </w:p>
        </w:tc>
        <w:tc>
          <w:tcPr>
            <w:tcW w:w="491" w:type="pct"/>
            <w:vMerge w:val="restart"/>
            <w:tcBorders>
              <w:tl2br w:val="nil"/>
              <w:tr2bl w:val="nil"/>
            </w:tcBorders>
            <w:vAlign w:val="center"/>
          </w:tcPr>
          <w:p w14:paraId="5DCE6D70">
            <w:pPr>
              <w:pStyle w:val="16"/>
              <w:pageBreakBefore w:val="0"/>
              <w:wordWrap/>
              <w:bidi w:val="0"/>
              <w:adjustRightInd/>
              <w:snapToGrid/>
              <w:ind w:left="0" w:leftChars="0" w:firstLine="0" w:firstLineChars="0"/>
              <w:rPr>
                <w:rFonts w:hint="default" w:eastAsia="宋体"/>
                <w:color w:val="auto"/>
                <w:lang w:val="en-US" w:eastAsia="zh-CN"/>
              </w:rPr>
            </w:pPr>
            <w:r>
              <w:rPr>
                <w:rFonts w:hint="eastAsia"/>
                <w:color w:val="auto"/>
                <w:lang w:val="en-US" w:eastAsia="zh-CN"/>
              </w:rPr>
              <w:t>2035年</w:t>
            </w:r>
          </w:p>
        </w:tc>
        <w:tc>
          <w:tcPr>
            <w:tcW w:w="511" w:type="pct"/>
            <w:vMerge w:val="restart"/>
            <w:tcBorders>
              <w:tl2br w:val="nil"/>
              <w:tr2bl w:val="nil"/>
            </w:tcBorders>
            <w:vAlign w:val="center"/>
          </w:tcPr>
          <w:p w14:paraId="35E0F271">
            <w:pPr>
              <w:pStyle w:val="16"/>
              <w:pageBreakBefore w:val="0"/>
              <w:wordWrap/>
              <w:bidi w:val="0"/>
              <w:adjustRightInd/>
              <w:snapToGrid/>
              <w:ind w:left="0" w:leftChars="0" w:firstLine="0" w:firstLineChars="0"/>
              <w:rPr>
                <w:color w:val="auto"/>
              </w:rPr>
            </w:pPr>
            <w:r>
              <w:rPr>
                <w:rFonts w:hint="eastAsia"/>
                <w:color w:val="auto"/>
                <w:lang w:val="en-US" w:eastAsia="zh-CN"/>
              </w:rPr>
              <w:t>曾口区块全区</w:t>
            </w:r>
          </w:p>
        </w:tc>
      </w:tr>
      <w:tr w14:paraId="559B7E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continue"/>
            <w:tcBorders>
              <w:tl2br w:val="nil"/>
              <w:tr2bl w:val="nil"/>
            </w:tcBorders>
            <w:vAlign w:val="center"/>
          </w:tcPr>
          <w:p w14:paraId="78EBAB0A">
            <w:pPr>
              <w:pStyle w:val="16"/>
              <w:pageBreakBefore w:val="0"/>
              <w:wordWrap/>
              <w:bidi w:val="0"/>
              <w:adjustRightInd/>
              <w:snapToGrid/>
              <w:rPr>
                <w:color w:val="auto"/>
              </w:rPr>
            </w:pPr>
          </w:p>
        </w:tc>
        <w:tc>
          <w:tcPr>
            <w:tcW w:w="2338" w:type="pct"/>
            <w:tcBorders>
              <w:tl2br w:val="nil"/>
              <w:tr2bl w:val="nil"/>
            </w:tcBorders>
            <w:vAlign w:val="center"/>
          </w:tcPr>
          <w:p w14:paraId="0D90CAF0">
            <w:pPr>
              <w:pStyle w:val="16"/>
              <w:pageBreakBefore w:val="0"/>
              <w:wordWrap/>
              <w:bidi w:val="0"/>
              <w:adjustRightInd/>
              <w:snapToGrid/>
              <w:rPr>
                <w:rFonts w:hint="eastAsia" w:eastAsia="宋体"/>
                <w:color w:val="auto"/>
                <w:lang w:eastAsia="zh-CN"/>
              </w:rPr>
            </w:pPr>
            <w:r>
              <w:rPr>
                <w:color w:val="auto"/>
              </w:rPr>
              <w:t>高级氧化预处理设备</w:t>
            </w:r>
            <w:r>
              <w:rPr>
                <w:rFonts w:hint="eastAsia"/>
                <w:color w:val="auto"/>
                <w:lang w:eastAsia="zh-CN"/>
              </w:rPr>
              <w:t>（</w:t>
            </w:r>
            <w:r>
              <w:rPr>
                <w:color w:val="auto"/>
              </w:rPr>
              <w:t>视实际来水具体情况进行实施</w:t>
            </w:r>
            <w:r>
              <w:rPr>
                <w:rFonts w:hint="eastAsia"/>
                <w:color w:val="auto"/>
                <w:lang w:eastAsia="zh-CN"/>
              </w:rPr>
              <w:t>）</w:t>
            </w:r>
          </w:p>
        </w:tc>
        <w:tc>
          <w:tcPr>
            <w:tcW w:w="565" w:type="pct"/>
            <w:tcBorders>
              <w:tl2br w:val="nil"/>
              <w:tr2bl w:val="nil"/>
            </w:tcBorders>
            <w:vAlign w:val="center"/>
          </w:tcPr>
          <w:p w14:paraId="72B4431E">
            <w:pPr>
              <w:pStyle w:val="16"/>
              <w:pageBreakBefore w:val="0"/>
              <w:wordWrap/>
              <w:bidi w:val="0"/>
              <w:adjustRightInd/>
              <w:snapToGrid/>
              <w:rPr>
                <w:color w:val="auto"/>
              </w:rPr>
            </w:pPr>
            <w:r>
              <w:rPr>
                <w:color w:val="auto"/>
              </w:rPr>
              <w:t>16000m³/d</w:t>
            </w:r>
          </w:p>
        </w:tc>
        <w:tc>
          <w:tcPr>
            <w:tcW w:w="589" w:type="pct"/>
            <w:tcBorders>
              <w:tl2br w:val="nil"/>
              <w:tr2bl w:val="nil"/>
            </w:tcBorders>
            <w:vAlign w:val="center"/>
          </w:tcPr>
          <w:p w14:paraId="01A290DA">
            <w:pPr>
              <w:pStyle w:val="16"/>
              <w:pageBreakBefore w:val="0"/>
              <w:wordWrap/>
              <w:bidi w:val="0"/>
              <w:adjustRightInd/>
              <w:snapToGrid/>
              <w:rPr>
                <w:color w:val="auto"/>
              </w:rPr>
            </w:pPr>
            <w:r>
              <w:rPr>
                <w:color w:val="auto"/>
              </w:rPr>
              <w:t>16000m³/d</w:t>
            </w:r>
          </w:p>
        </w:tc>
        <w:tc>
          <w:tcPr>
            <w:tcW w:w="491" w:type="pct"/>
            <w:vMerge w:val="continue"/>
            <w:tcBorders>
              <w:tl2br w:val="nil"/>
              <w:tr2bl w:val="nil"/>
            </w:tcBorders>
            <w:vAlign w:val="center"/>
          </w:tcPr>
          <w:p w14:paraId="37137531">
            <w:pPr>
              <w:pStyle w:val="16"/>
              <w:pageBreakBefore w:val="0"/>
              <w:wordWrap/>
              <w:bidi w:val="0"/>
              <w:adjustRightInd/>
              <w:snapToGrid/>
              <w:rPr>
                <w:color w:val="auto"/>
              </w:rPr>
            </w:pPr>
          </w:p>
        </w:tc>
        <w:tc>
          <w:tcPr>
            <w:tcW w:w="511" w:type="pct"/>
            <w:vMerge w:val="continue"/>
            <w:tcBorders>
              <w:tl2br w:val="nil"/>
              <w:tr2bl w:val="nil"/>
            </w:tcBorders>
            <w:vAlign w:val="center"/>
          </w:tcPr>
          <w:p w14:paraId="6BBC7184">
            <w:pPr>
              <w:pStyle w:val="16"/>
              <w:pageBreakBefore w:val="0"/>
              <w:wordWrap/>
              <w:bidi w:val="0"/>
              <w:adjustRightInd/>
              <w:snapToGrid/>
              <w:rPr>
                <w:color w:val="auto"/>
              </w:rPr>
            </w:pPr>
          </w:p>
        </w:tc>
      </w:tr>
      <w:tr w14:paraId="0D9563C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continue"/>
            <w:tcBorders>
              <w:tl2br w:val="nil"/>
              <w:tr2bl w:val="nil"/>
            </w:tcBorders>
            <w:vAlign w:val="center"/>
          </w:tcPr>
          <w:p w14:paraId="15774AC0">
            <w:pPr>
              <w:pStyle w:val="16"/>
              <w:pageBreakBefore w:val="0"/>
              <w:wordWrap/>
              <w:bidi w:val="0"/>
              <w:adjustRightInd/>
              <w:snapToGrid/>
              <w:rPr>
                <w:color w:val="auto"/>
              </w:rPr>
            </w:pPr>
          </w:p>
        </w:tc>
        <w:tc>
          <w:tcPr>
            <w:tcW w:w="2338" w:type="pct"/>
            <w:tcBorders>
              <w:tl2br w:val="nil"/>
              <w:tr2bl w:val="nil"/>
            </w:tcBorders>
            <w:vAlign w:val="center"/>
          </w:tcPr>
          <w:p w14:paraId="5DFC5ED4">
            <w:pPr>
              <w:pStyle w:val="16"/>
              <w:pageBreakBefore w:val="0"/>
              <w:wordWrap/>
              <w:bidi w:val="0"/>
              <w:adjustRightInd/>
              <w:snapToGrid/>
              <w:rPr>
                <w:color w:val="auto"/>
              </w:rPr>
            </w:pPr>
            <w:r>
              <w:rPr>
                <w:rFonts w:hint="eastAsia"/>
                <w:color w:val="auto"/>
                <w:lang w:eastAsia="zh-CN"/>
              </w:rPr>
              <w:t>污水处理厂</w:t>
            </w:r>
            <w:r>
              <w:rPr>
                <w:color w:val="auto"/>
              </w:rPr>
              <w:t>应急事故池</w:t>
            </w:r>
          </w:p>
        </w:tc>
        <w:tc>
          <w:tcPr>
            <w:tcW w:w="1154" w:type="pct"/>
            <w:gridSpan w:val="2"/>
            <w:tcBorders>
              <w:tl2br w:val="nil"/>
              <w:tr2bl w:val="nil"/>
            </w:tcBorders>
            <w:vAlign w:val="center"/>
          </w:tcPr>
          <w:p w14:paraId="07370F96">
            <w:pPr>
              <w:pStyle w:val="16"/>
              <w:pageBreakBefore w:val="0"/>
              <w:wordWrap/>
              <w:bidi w:val="0"/>
              <w:adjustRightInd/>
              <w:snapToGrid/>
              <w:rPr>
                <w:color w:val="auto"/>
              </w:rPr>
            </w:pPr>
            <w:r>
              <w:rPr>
                <w:color w:val="auto"/>
              </w:rPr>
              <w:t>有效容积5000m³</w:t>
            </w:r>
          </w:p>
        </w:tc>
        <w:tc>
          <w:tcPr>
            <w:tcW w:w="491" w:type="pct"/>
            <w:vMerge w:val="continue"/>
            <w:tcBorders>
              <w:tl2br w:val="nil"/>
              <w:tr2bl w:val="nil"/>
            </w:tcBorders>
            <w:vAlign w:val="center"/>
          </w:tcPr>
          <w:p w14:paraId="7693810B">
            <w:pPr>
              <w:pStyle w:val="16"/>
              <w:pageBreakBefore w:val="0"/>
              <w:wordWrap/>
              <w:bidi w:val="0"/>
              <w:adjustRightInd/>
              <w:snapToGrid/>
              <w:rPr>
                <w:color w:val="auto"/>
              </w:rPr>
            </w:pPr>
          </w:p>
        </w:tc>
        <w:tc>
          <w:tcPr>
            <w:tcW w:w="511" w:type="pct"/>
            <w:vMerge w:val="continue"/>
            <w:tcBorders>
              <w:tl2br w:val="nil"/>
              <w:tr2bl w:val="nil"/>
            </w:tcBorders>
            <w:vAlign w:val="center"/>
          </w:tcPr>
          <w:p w14:paraId="09AC14CB">
            <w:pPr>
              <w:pStyle w:val="16"/>
              <w:pageBreakBefore w:val="0"/>
              <w:wordWrap/>
              <w:bidi w:val="0"/>
              <w:adjustRightInd/>
              <w:snapToGrid/>
              <w:rPr>
                <w:color w:val="auto"/>
              </w:rPr>
            </w:pPr>
          </w:p>
        </w:tc>
      </w:tr>
      <w:tr w14:paraId="7D8E56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continue"/>
            <w:tcBorders>
              <w:tl2br w:val="nil"/>
              <w:tr2bl w:val="nil"/>
            </w:tcBorders>
            <w:vAlign w:val="center"/>
          </w:tcPr>
          <w:p w14:paraId="02EEE245">
            <w:pPr>
              <w:pStyle w:val="16"/>
              <w:pageBreakBefore w:val="0"/>
              <w:wordWrap/>
              <w:bidi w:val="0"/>
              <w:adjustRightInd/>
              <w:snapToGrid/>
              <w:rPr>
                <w:color w:val="auto"/>
              </w:rPr>
            </w:pPr>
          </w:p>
        </w:tc>
        <w:tc>
          <w:tcPr>
            <w:tcW w:w="2338" w:type="pct"/>
            <w:tcBorders>
              <w:tl2br w:val="nil"/>
              <w:tr2bl w:val="nil"/>
            </w:tcBorders>
            <w:vAlign w:val="center"/>
          </w:tcPr>
          <w:p w14:paraId="3FA5AD78">
            <w:pPr>
              <w:pStyle w:val="16"/>
              <w:pageBreakBefore w:val="0"/>
              <w:wordWrap/>
              <w:bidi w:val="0"/>
              <w:adjustRightInd/>
              <w:snapToGrid/>
              <w:rPr>
                <w:color w:val="auto"/>
              </w:rPr>
            </w:pPr>
            <w:r>
              <w:rPr>
                <w:color w:val="auto"/>
              </w:rPr>
              <w:t>园区应急事故池</w:t>
            </w:r>
          </w:p>
        </w:tc>
        <w:tc>
          <w:tcPr>
            <w:tcW w:w="1154" w:type="pct"/>
            <w:gridSpan w:val="2"/>
            <w:tcBorders>
              <w:tl2br w:val="nil"/>
              <w:tr2bl w:val="nil"/>
            </w:tcBorders>
            <w:vAlign w:val="center"/>
          </w:tcPr>
          <w:p w14:paraId="24F397BB">
            <w:pPr>
              <w:pStyle w:val="16"/>
              <w:pageBreakBefore w:val="0"/>
              <w:wordWrap/>
              <w:bidi w:val="0"/>
              <w:adjustRightInd/>
              <w:snapToGrid/>
              <w:rPr>
                <w:color w:val="auto"/>
              </w:rPr>
            </w:pPr>
            <w:r>
              <w:rPr>
                <w:color w:val="auto"/>
              </w:rPr>
              <w:t>有效容积6000m³</w:t>
            </w:r>
          </w:p>
        </w:tc>
        <w:tc>
          <w:tcPr>
            <w:tcW w:w="491" w:type="pct"/>
            <w:vMerge w:val="continue"/>
            <w:tcBorders>
              <w:tl2br w:val="nil"/>
              <w:tr2bl w:val="nil"/>
            </w:tcBorders>
            <w:vAlign w:val="center"/>
          </w:tcPr>
          <w:p w14:paraId="6E8E06F5">
            <w:pPr>
              <w:pStyle w:val="16"/>
              <w:pageBreakBefore w:val="0"/>
              <w:wordWrap/>
              <w:bidi w:val="0"/>
              <w:adjustRightInd/>
              <w:snapToGrid/>
              <w:rPr>
                <w:color w:val="auto"/>
              </w:rPr>
            </w:pPr>
          </w:p>
        </w:tc>
        <w:tc>
          <w:tcPr>
            <w:tcW w:w="511" w:type="pct"/>
            <w:vMerge w:val="continue"/>
            <w:tcBorders>
              <w:tl2br w:val="nil"/>
              <w:tr2bl w:val="nil"/>
            </w:tcBorders>
            <w:vAlign w:val="center"/>
          </w:tcPr>
          <w:p w14:paraId="54E9B477">
            <w:pPr>
              <w:pStyle w:val="16"/>
              <w:pageBreakBefore w:val="0"/>
              <w:wordWrap/>
              <w:bidi w:val="0"/>
              <w:adjustRightInd/>
              <w:snapToGrid/>
              <w:rPr>
                <w:color w:val="auto"/>
              </w:rPr>
            </w:pPr>
          </w:p>
        </w:tc>
      </w:tr>
      <w:tr w14:paraId="08EE91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continue"/>
            <w:tcBorders>
              <w:tl2br w:val="nil"/>
              <w:tr2bl w:val="nil"/>
            </w:tcBorders>
            <w:vAlign w:val="center"/>
          </w:tcPr>
          <w:p w14:paraId="6CF0AE81">
            <w:pPr>
              <w:pStyle w:val="16"/>
              <w:pageBreakBefore w:val="0"/>
              <w:wordWrap/>
              <w:bidi w:val="0"/>
              <w:adjustRightInd/>
              <w:snapToGrid/>
              <w:rPr>
                <w:color w:val="auto"/>
              </w:rPr>
            </w:pPr>
          </w:p>
        </w:tc>
        <w:tc>
          <w:tcPr>
            <w:tcW w:w="2338" w:type="pct"/>
            <w:tcBorders>
              <w:tl2br w:val="nil"/>
              <w:tr2bl w:val="nil"/>
            </w:tcBorders>
            <w:vAlign w:val="center"/>
          </w:tcPr>
          <w:p w14:paraId="467CAD88">
            <w:pPr>
              <w:pStyle w:val="16"/>
              <w:pageBreakBefore w:val="0"/>
              <w:wordWrap/>
              <w:bidi w:val="0"/>
              <w:adjustRightInd/>
              <w:snapToGrid/>
              <w:rPr>
                <w:color w:val="auto"/>
              </w:rPr>
            </w:pPr>
            <w:r>
              <w:rPr>
                <w:color w:val="auto"/>
              </w:rPr>
              <w:t>紫外线消毒、出水计量及取样观测井</w:t>
            </w:r>
          </w:p>
        </w:tc>
        <w:tc>
          <w:tcPr>
            <w:tcW w:w="565" w:type="pct"/>
            <w:tcBorders>
              <w:tl2br w:val="nil"/>
              <w:tr2bl w:val="nil"/>
            </w:tcBorders>
            <w:vAlign w:val="center"/>
          </w:tcPr>
          <w:p w14:paraId="53A4CAFF">
            <w:pPr>
              <w:pStyle w:val="16"/>
              <w:pageBreakBefore w:val="0"/>
              <w:wordWrap/>
              <w:bidi w:val="0"/>
              <w:adjustRightInd/>
              <w:snapToGrid/>
              <w:rPr>
                <w:color w:val="auto"/>
              </w:rPr>
            </w:pPr>
            <w:r>
              <w:rPr>
                <w:color w:val="auto"/>
              </w:rPr>
              <w:t>/</w:t>
            </w:r>
          </w:p>
        </w:tc>
        <w:tc>
          <w:tcPr>
            <w:tcW w:w="589" w:type="pct"/>
            <w:tcBorders>
              <w:tl2br w:val="nil"/>
              <w:tr2bl w:val="nil"/>
            </w:tcBorders>
            <w:vAlign w:val="center"/>
          </w:tcPr>
          <w:p w14:paraId="4F8832C2">
            <w:pPr>
              <w:pStyle w:val="16"/>
              <w:pageBreakBefore w:val="0"/>
              <w:wordWrap/>
              <w:bidi w:val="0"/>
              <w:adjustRightInd/>
              <w:snapToGrid/>
              <w:rPr>
                <w:color w:val="auto"/>
              </w:rPr>
            </w:pPr>
            <w:r>
              <w:rPr>
                <w:color w:val="auto"/>
              </w:rPr>
              <w:t>10000m³/d</w:t>
            </w:r>
          </w:p>
        </w:tc>
        <w:tc>
          <w:tcPr>
            <w:tcW w:w="491" w:type="pct"/>
            <w:vMerge w:val="continue"/>
            <w:tcBorders>
              <w:tl2br w:val="nil"/>
              <w:tr2bl w:val="nil"/>
            </w:tcBorders>
            <w:vAlign w:val="center"/>
          </w:tcPr>
          <w:p w14:paraId="54A37107">
            <w:pPr>
              <w:pStyle w:val="16"/>
              <w:pageBreakBefore w:val="0"/>
              <w:wordWrap/>
              <w:bidi w:val="0"/>
              <w:adjustRightInd/>
              <w:snapToGrid/>
              <w:rPr>
                <w:color w:val="auto"/>
              </w:rPr>
            </w:pPr>
          </w:p>
        </w:tc>
        <w:tc>
          <w:tcPr>
            <w:tcW w:w="511" w:type="pct"/>
            <w:vMerge w:val="continue"/>
            <w:tcBorders>
              <w:tl2br w:val="nil"/>
              <w:tr2bl w:val="nil"/>
            </w:tcBorders>
            <w:vAlign w:val="center"/>
          </w:tcPr>
          <w:p w14:paraId="27F1F721">
            <w:pPr>
              <w:pStyle w:val="16"/>
              <w:pageBreakBefore w:val="0"/>
              <w:wordWrap/>
              <w:bidi w:val="0"/>
              <w:adjustRightInd/>
              <w:snapToGrid/>
              <w:rPr>
                <w:color w:val="auto"/>
              </w:rPr>
            </w:pPr>
          </w:p>
        </w:tc>
      </w:tr>
      <w:tr w14:paraId="4B9DC8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3" w:type="pct"/>
            <w:vMerge w:val="continue"/>
            <w:tcBorders>
              <w:tl2br w:val="nil"/>
              <w:tr2bl w:val="nil"/>
            </w:tcBorders>
            <w:vAlign w:val="center"/>
          </w:tcPr>
          <w:p w14:paraId="09BD1FC0">
            <w:pPr>
              <w:pStyle w:val="16"/>
              <w:pageBreakBefore w:val="0"/>
              <w:wordWrap/>
              <w:bidi w:val="0"/>
              <w:adjustRightInd/>
              <w:snapToGrid/>
              <w:rPr>
                <w:color w:val="auto"/>
              </w:rPr>
            </w:pPr>
          </w:p>
        </w:tc>
        <w:tc>
          <w:tcPr>
            <w:tcW w:w="2338" w:type="pct"/>
            <w:tcBorders>
              <w:tl2br w:val="nil"/>
              <w:tr2bl w:val="nil"/>
            </w:tcBorders>
            <w:vAlign w:val="center"/>
          </w:tcPr>
          <w:p w14:paraId="619C41AB">
            <w:pPr>
              <w:pStyle w:val="16"/>
              <w:pageBreakBefore w:val="0"/>
              <w:wordWrap/>
              <w:bidi w:val="0"/>
              <w:adjustRightInd/>
              <w:snapToGrid/>
              <w:rPr>
                <w:color w:val="auto"/>
              </w:rPr>
            </w:pPr>
            <w:r>
              <w:rPr>
                <w:color w:val="auto"/>
              </w:rPr>
              <w:t>膜车间、回用水池及泵房-浓水池及泵房</w:t>
            </w:r>
          </w:p>
        </w:tc>
        <w:tc>
          <w:tcPr>
            <w:tcW w:w="565" w:type="pct"/>
            <w:tcBorders>
              <w:tl2br w:val="nil"/>
              <w:tr2bl w:val="nil"/>
            </w:tcBorders>
            <w:vAlign w:val="center"/>
          </w:tcPr>
          <w:p w14:paraId="126447F2">
            <w:pPr>
              <w:pStyle w:val="16"/>
              <w:pageBreakBefore w:val="0"/>
              <w:wordWrap/>
              <w:bidi w:val="0"/>
              <w:adjustRightInd/>
              <w:snapToGrid/>
              <w:rPr>
                <w:color w:val="auto"/>
              </w:rPr>
            </w:pPr>
            <w:r>
              <w:rPr>
                <w:color w:val="auto"/>
              </w:rPr>
              <w:t>2000m³/d</w:t>
            </w:r>
          </w:p>
        </w:tc>
        <w:tc>
          <w:tcPr>
            <w:tcW w:w="589" w:type="pct"/>
            <w:tcBorders>
              <w:tl2br w:val="nil"/>
              <w:tr2bl w:val="nil"/>
            </w:tcBorders>
            <w:vAlign w:val="center"/>
          </w:tcPr>
          <w:p w14:paraId="2D7B9A31">
            <w:pPr>
              <w:pStyle w:val="16"/>
              <w:pageBreakBefore w:val="0"/>
              <w:wordWrap/>
              <w:bidi w:val="0"/>
              <w:adjustRightInd/>
              <w:snapToGrid/>
              <w:rPr>
                <w:color w:val="auto"/>
              </w:rPr>
            </w:pPr>
            <w:r>
              <w:rPr>
                <w:color w:val="auto"/>
              </w:rPr>
              <w:t>2000m³/d</w:t>
            </w:r>
          </w:p>
        </w:tc>
        <w:tc>
          <w:tcPr>
            <w:tcW w:w="491" w:type="pct"/>
            <w:vMerge w:val="continue"/>
            <w:tcBorders>
              <w:tl2br w:val="nil"/>
              <w:tr2bl w:val="nil"/>
            </w:tcBorders>
            <w:vAlign w:val="center"/>
          </w:tcPr>
          <w:p w14:paraId="1FB10A9F">
            <w:pPr>
              <w:pStyle w:val="16"/>
              <w:pageBreakBefore w:val="0"/>
              <w:wordWrap/>
              <w:bidi w:val="0"/>
              <w:adjustRightInd/>
              <w:snapToGrid/>
              <w:rPr>
                <w:color w:val="auto"/>
              </w:rPr>
            </w:pPr>
          </w:p>
        </w:tc>
        <w:tc>
          <w:tcPr>
            <w:tcW w:w="511" w:type="pct"/>
            <w:vMerge w:val="continue"/>
            <w:tcBorders>
              <w:tl2br w:val="nil"/>
              <w:tr2bl w:val="nil"/>
            </w:tcBorders>
            <w:vAlign w:val="center"/>
          </w:tcPr>
          <w:p w14:paraId="0B792D2B">
            <w:pPr>
              <w:pStyle w:val="16"/>
              <w:pageBreakBefore w:val="0"/>
              <w:wordWrap/>
              <w:bidi w:val="0"/>
              <w:adjustRightInd/>
              <w:snapToGrid/>
              <w:rPr>
                <w:color w:val="auto"/>
              </w:rPr>
            </w:pPr>
          </w:p>
        </w:tc>
      </w:tr>
    </w:tbl>
    <w:p w14:paraId="3E39EE2E">
      <w:pPr>
        <w:pStyle w:val="6"/>
        <w:keepNext w:val="0"/>
        <w:keepLines w:val="0"/>
        <w:pageBreakBefore w:val="0"/>
        <w:widowControl w:val="0"/>
        <w:kinsoku/>
        <w:wordWrap/>
        <w:overflowPunct/>
        <w:topLinePunct w:val="0"/>
        <w:autoSpaceDE w:val="0"/>
        <w:autoSpaceDN w:val="0"/>
        <w:bidi w:val="0"/>
        <w:adjustRightInd/>
        <w:snapToGrid/>
        <w:spacing w:before="0" w:beforeLines="50"/>
        <w:ind w:firstLine="480"/>
        <w:jc w:val="both"/>
        <w:textAlignment w:val="baseline"/>
        <w:rPr>
          <w:color w:val="auto"/>
          <w:kern w:val="2"/>
          <w:szCs w:val="24"/>
        </w:rPr>
      </w:pPr>
      <w:r>
        <w:rPr>
          <w:rFonts w:hint="eastAsia"/>
          <w:color w:val="auto"/>
          <w:lang w:val="en-US" w:eastAsia="zh-CN"/>
        </w:rPr>
        <w:t>本项目新建污水处理厂一期处理规模为3000m³/d，</w:t>
      </w:r>
      <w:r>
        <w:rPr>
          <w:rFonts w:hint="eastAsia"/>
          <w:color w:val="auto"/>
          <w:szCs w:val="24"/>
          <w:lang w:bidi="ar"/>
        </w:rPr>
        <w:t>污水处理主体工艺为</w:t>
      </w:r>
      <w:r>
        <w:rPr>
          <w:rFonts w:hint="eastAsia"/>
          <w:color w:val="auto"/>
          <w:szCs w:val="24"/>
          <w:lang w:eastAsia="zh-CN" w:bidi="ar"/>
        </w:rPr>
        <w:t>“超细格栅+调节池+水解酸化池+生化池（EBIS）+二沉池+磁混凝沉淀池+深床反硝化+高级氧化深度处理+紫外线消毒”，</w:t>
      </w:r>
      <w:r>
        <w:rPr>
          <w:rFonts w:hint="eastAsia"/>
          <w:color w:val="auto"/>
          <w:szCs w:val="24"/>
          <w:lang w:val="en-US" w:eastAsia="zh-CN" w:bidi="ar"/>
        </w:rPr>
        <w:t>出水水质指标执行《城镇污水处理厂污染物排放标准》（GB18918-2002）一级A标准，最终排入巴河</w:t>
      </w:r>
      <w:r>
        <w:rPr>
          <w:color w:val="auto"/>
          <w:kern w:val="2"/>
          <w:szCs w:val="24"/>
        </w:rPr>
        <w:t>。</w:t>
      </w:r>
    </w:p>
    <w:p w14:paraId="590BFCFA">
      <w:pPr>
        <w:pStyle w:val="6"/>
        <w:pageBreakBefore w:val="0"/>
        <w:wordWrap/>
        <w:bidi w:val="0"/>
        <w:adjustRightInd/>
        <w:snapToGrid/>
        <w:ind w:firstLine="480"/>
        <w:jc w:val="both"/>
        <w:rPr>
          <w:rFonts w:hint="eastAsia"/>
          <w:color w:val="auto"/>
          <w:kern w:val="2"/>
          <w:szCs w:val="24"/>
        </w:rPr>
      </w:pPr>
      <w:r>
        <w:rPr>
          <w:rFonts w:hint="eastAsia"/>
          <w:color w:val="auto"/>
        </w:rPr>
        <w:t>根据</w:t>
      </w:r>
      <w:r>
        <w:rPr>
          <w:rFonts w:hint="eastAsia"/>
          <w:color w:val="auto"/>
          <w:lang w:eastAsia="zh-CN"/>
        </w:rPr>
        <w:t>四川巴中经济开发区</w:t>
      </w:r>
      <w:r>
        <w:rPr>
          <w:rFonts w:hint="eastAsia"/>
          <w:color w:val="auto"/>
        </w:rPr>
        <w:t>最新规划</w:t>
      </w:r>
      <w:r>
        <w:rPr>
          <w:rFonts w:hint="eastAsia"/>
          <w:color w:val="auto"/>
          <w:lang w:val="en-US" w:eastAsia="zh-CN"/>
        </w:rPr>
        <w:t>修编</w:t>
      </w:r>
      <w:r>
        <w:rPr>
          <w:rFonts w:hint="eastAsia"/>
          <w:color w:val="auto"/>
        </w:rPr>
        <w:t>，规划园区</w:t>
      </w:r>
      <w:r>
        <w:rPr>
          <w:rFonts w:hint="eastAsia"/>
          <w:color w:val="auto"/>
          <w:lang w:val="en-US" w:eastAsia="zh-CN"/>
        </w:rPr>
        <w:t>远期</w:t>
      </w:r>
      <w:r>
        <w:rPr>
          <w:rFonts w:hint="eastAsia"/>
          <w:color w:val="auto"/>
        </w:rPr>
        <w:t>中水回用率达到20%</w:t>
      </w:r>
      <w:r>
        <w:rPr>
          <w:rFonts w:hint="eastAsia"/>
          <w:color w:val="auto"/>
          <w:lang w:eastAsia="zh-CN"/>
        </w:rPr>
        <w:t>，</w:t>
      </w:r>
      <w:r>
        <w:rPr>
          <w:rFonts w:hint="eastAsia"/>
          <w:color w:val="auto"/>
          <w:lang w:val="en-US" w:eastAsia="zh-CN"/>
        </w:rPr>
        <w:t>本项目污水处理厂设计远期中水回用率20%，</w:t>
      </w:r>
      <w:r>
        <w:rPr>
          <w:rFonts w:hint="eastAsia"/>
          <w:color w:val="auto"/>
        </w:rPr>
        <w:t>污水通过规划区污水处理厂处理达到《城镇污水处理厂污染物排放标准》（GB18918-2002）一级A标准，再输送至中水厂，按照</w:t>
      </w:r>
      <w:r>
        <w:rPr>
          <w:rFonts w:hint="eastAsia"/>
          <w:color w:val="auto"/>
          <w:lang w:eastAsia="zh-CN"/>
        </w:rPr>
        <w:t>“</w:t>
      </w:r>
      <w:r>
        <w:rPr>
          <w:rFonts w:hint="eastAsia"/>
          <w:color w:val="auto"/>
        </w:rPr>
        <w:t>预处理+超滤反渗透+MVR蒸发结晶</w:t>
      </w:r>
      <w:r>
        <w:rPr>
          <w:rFonts w:hint="eastAsia"/>
          <w:color w:val="auto"/>
          <w:lang w:eastAsia="zh-CN"/>
        </w:rPr>
        <w:t>”</w:t>
      </w:r>
      <w:r>
        <w:rPr>
          <w:rFonts w:hint="eastAsia"/>
          <w:color w:val="auto"/>
        </w:rPr>
        <w:t>工艺进行处理</w:t>
      </w:r>
      <w:r>
        <w:rPr>
          <w:rFonts w:hint="eastAsia"/>
          <w:color w:val="auto"/>
          <w:lang w:eastAsia="zh-CN"/>
        </w:rPr>
        <w:t>，</w:t>
      </w:r>
      <w:r>
        <w:rPr>
          <w:rFonts w:hint="eastAsia"/>
          <w:color w:val="auto"/>
        </w:rPr>
        <w:t>出水水质满足《城市污水再生利用城市杂用水水质（GB18920-2002）》，考虑到一期中水回用量较少，且实际使用中水企业不多，</w:t>
      </w:r>
      <w:r>
        <w:rPr>
          <w:rFonts w:hint="eastAsia"/>
          <w:color w:val="auto"/>
          <w:lang w:val="en-US" w:eastAsia="zh-CN"/>
        </w:rPr>
        <w:t>故本项目一期仅建设回用水池，不涉及中水回用工程</w:t>
      </w:r>
      <w:r>
        <w:rPr>
          <w:rFonts w:hint="eastAsia"/>
          <w:color w:val="auto"/>
        </w:rPr>
        <w:t>。</w:t>
      </w:r>
    </w:p>
    <w:p w14:paraId="2417F99F">
      <w:pPr>
        <w:pageBreakBefore w:val="0"/>
        <w:wordWrap/>
        <w:bidi w:val="0"/>
        <w:adjustRightInd/>
        <w:snapToGrid/>
        <w:ind w:firstLine="482"/>
        <w:rPr>
          <w:b/>
          <w:color w:val="auto"/>
        </w:rPr>
      </w:pPr>
      <w:r>
        <w:rPr>
          <w:b/>
          <w:color w:val="auto"/>
        </w:rPr>
        <w:t>2、环境影响评价工作过程</w:t>
      </w:r>
    </w:p>
    <w:p w14:paraId="21676EB3">
      <w:pPr>
        <w:pageBreakBefore w:val="0"/>
        <w:wordWrap/>
        <w:bidi w:val="0"/>
        <w:adjustRightInd/>
        <w:snapToGrid/>
        <w:ind w:firstLine="480"/>
        <w:rPr>
          <w:color w:val="auto"/>
        </w:rPr>
      </w:pPr>
      <w:r>
        <w:rPr>
          <w:color w:val="auto"/>
        </w:rPr>
        <w:t>环评工作共分为三个阶段，包括前期准备、调研和工作方案，分析论证和预测评价，环评文件编制三个阶段。</w:t>
      </w:r>
    </w:p>
    <w:p w14:paraId="4D943401">
      <w:pPr>
        <w:pageBreakBefore w:val="0"/>
        <w:wordWrap/>
        <w:bidi w:val="0"/>
        <w:adjustRightInd/>
        <w:snapToGrid/>
        <w:ind w:firstLine="480"/>
        <w:rPr>
          <w:color w:val="auto"/>
        </w:rPr>
      </w:pPr>
      <w:r>
        <w:rPr>
          <w:color w:val="auto"/>
        </w:rPr>
        <w:t>根据《中华人民共和国环境影响评价法》（2018年12月29日修订）、国务院第682号令《建设项目环境保护管理条例》（根据2017年7月16日《国务院关于修改〈建设项目环境保护管理条例〉的决定》修订））以及中华人民共和国环境保护部《建设项目环境影响评价分类管理名录（2021年版）》（部令第16号）的有关规定，本项目必须进行环境影响评价，且属于第</w:t>
      </w:r>
      <w:r>
        <w:rPr>
          <w:rFonts w:hint="eastAsia"/>
          <w:color w:val="auto"/>
          <w:lang w:eastAsia="zh-CN"/>
        </w:rPr>
        <w:t>“</w:t>
      </w:r>
      <w:r>
        <w:rPr>
          <w:color w:val="auto"/>
        </w:rPr>
        <w:t>四十三、95污水处理及其再生利用</w:t>
      </w:r>
      <w:r>
        <w:rPr>
          <w:rFonts w:hint="eastAsia"/>
          <w:color w:val="auto"/>
          <w:lang w:eastAsia="zh-CN"/>
        </w:rPr>
        <w:t>”</w:t>
      </w:r>
      <w:r>
        <w:rPr>
          <w:color w:val="auto"/>
        </w:rPr>
        <w:t>中</w:t>
      </w:r>
      <w:r>
        <w:rPr>
          <w:rFonts w:hint="eastAsia"/>
          <w:color w:val="auto"/>
          <w:lang w:eastAsia="zh-CN"/>
        </w:rPr>
        <w:t>“</w:t>
      </w:r>
      <w:r>
        <w:rPr>
          <w:color w:val="auto"/>
        </w:rPr>
        <w:t>新建、扩建工业废水集中处理的</w:t>
      </w:r>
      <w:r>
        <w:rPr>
          <w:rFonts w:hint="eastAsia"/>
          <w:color w:val="auto"/>
          <w:lang w:eastAsia="zh-CN"/>
        </w:rPr>
        <w:t>”</w:t>
      </w:r>
      <w:r>
        <w:rPr>
          <w:color w:val="auto"/>
        </w:rPr>
        <w:t>，故本项目应编制环境影响报告书。</w:t>
      </w:r>
      <w:r>
        <w:rPr>
          <w:rFonts w:hint="eastAsia"/>
          <w:color w:val="auto"/>
          <w:lang w:eastAsia="zh-CN"/>
        </w:rPr>
        <w:t>巴中汇鑫发展有限公司</w:t>
      </w:r>
      <w:r>
        <w:rPr>
          <w:color w:val="auto"/>
        </w:rPr>
        <w:t>委托</w:t>
      </w:r>
      <w:r>
        <w:rPr>
          <w:rFonts w:hint="eastAsia"/>
          <w:color w:val="auto"/>
          <w:lang w:eastAsia="zh-CN"/>
        </w:rPr>
        <w:t>四川全过程安全环保技术服务有限公司</w:t>
      </w:r>
      <w:r>
        <w:rPr>
          <w:color w:val="auto"/>
        </w:rPr>
        <w:t>承担本项目环境影响评价工作。接受任务后，我单位及时成立了环境影响评价小组，根据项目情况，环评人员对项目区域初步调研和现场查勘，收集了有关基础资料，依照环境影响评价相关技术导则的要求，编制完成了《</w:t>
      </w:r>
      <w:r>
        <w:rPr>
          <w:rFonts w:hint="eastAsia"/>
          <w:color w:val="auto"/>
          <w:lang w:eastAsia="zh-CN"/>
        </w:rPr>
        <w:t>巴中市巴州区曾口片区污水处理厂、环境监测站建设项目</w:t>
      </w:r>
      <w:r>
        <w:rPr>
          <w:color w:val="auto"/>
        </w:rPr>
        <w:t>环境影响报告书》</w:t>
      </w:r>
      <w:r>
        <w:rPr>
          <w:rFonts w:hint="eastAsia"/>
          <w:color w:val="auto"/>
          <w:lang w:eastAsia="zh-CN"/>
        </w:rPr>
        <w:t>，</w:t>
      </w:r>
      <w:r>
        <w:rPr>
          <w:color w:val="auto"/>
        </w:rPr>
        <w:t>呈报</w:t>
      </w:r>
      <w:r>
        <w:rPr>
          <w:rFonts w:hint="eastAsia"/>
          <w:color w:val="auto"/>
          <w:lang w:eastAsia="zh-CN"/>
        </w:rPr>
        <w:t>巴中</w:t>
      </w:r>
      <w:r>
        <w:rPr>
          <w:rFonts w:hint="eastAsia"/>
          <w:color w:val="auto"/>
          <w:lang w:val="en-US" w:eastAsia="zh-CN"/>
        </w:rPr>
        <w:t>市</w:t>
      </w:r>
      <w:r>
        <w:rPr>
          <w:color w:val="auto"/>
        </w:rPr>
        <w:t>环境保护管理部门审批。环评工作程序图见图1。</w:t>
      </w:r>
    </w:p>
    <w:p w14:paraId="043C6F10">
      <w:pPr>
        <w:pageBreakBefore w:val="0"/>
        <w:wordWrap/>
        <w:bidi w:val="0"/>
        <w:adjustRightInd/>
        <w:snapToGrid/>
        <w:ind w:firstLine="0" w:firstLineChars="0"/>
        <w:jc w:val="center"/>
        <w:rPr>
          <w:rFonts w:hint="eastAsia" w:eastAsia="宋体"/>
          <w:color w:val="auto"/>
          <w:lang w:eastAsia="zh-CN"/>
        </w:rPr>
      </w:pPr>
      <w:r>
        <w:rPr>
          <w:rFonts w:hint="eastAsia" w:eastAsia="宋体"/>
          <w:color w:val="auto"/>
          <w:lang w:eastAsia="zh-CN"/>
        </w:rPr>
        <w:drawing>
          <wp:inline distT="0" distB="0" distL="114300" distR="114300">
            <wp:extent cx="5200650" cy="6210300"/>
            <wp:effectExtent l="0" t="0" r="0" b="0"/>
            <wp:docPr id="83" name="图片 86" descr="9d6bb1ea473150488bbf4b21be5a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6" descr="9d6bb1ea473150488bbf4b21be5a184"/>
                    <pic:cNvPicPr>
                      <a:picLocks noChangeAspect="1"/>
                    </pic:cNvPicPr>
                  </pic:nvPicPr>
                  <pic:blipFill>
                    <a:blip r:embed="rId30"/>
                    <a:stretch>
                      <a:fillRect/>
                    </a:stretch>
                  </pic:blipFill>
                  <pic:spPr>
                    <a:xfrm>
                      <a:off x="0" y="0"/>
                      <a:ext cx="5200650" cy="6210300"/>
                    </a:xfrm>
                    <a:prstGeom prst="rect">
                      <a:avLst/>
                    </a:prstGeom>
                    <a:noFill/>
                    <a:ln>
                      <a:noFill/>
                    </a:ln>
                  </pic:spPr>
                </pic:pic>
              </a:graphicData>
            </a:graphic>
          </wp:inline>
        </w:drawing>
      </w:r>
    </w:p>
    <w:p w14:paraId="142C33E6">
      <w:pPr>
        <w:pageBreakBefore w:val="0"/>
        <w:wordWrap/>
        <w:bidi w:val="0"/>
        <w:adjustRightInd/>
        <w:snapToGrid/>
        <w:ind w:firstLine="422"/>
        <w:jc w:val="center"/>
        <w:rPr>
          <w:b/>
          <w:bCs/>
          <w:color w:val="auto"/>
          <w:sz w:val="21"/>
          <w:szCs w:val="21"/>
        </w:rPr>
      </w:pPr>
      <w:r>
        <w:rPr>
          <w:b/>
          <w:bCs/>
          <w:color w:val="auto"/>
          <w:sz w:val="21"/>
          <w:szCs w:val="21"/>
        </w:rPr>
        <w:t>图</w:t>
      </w:r>
      <w:r>
        <w:rPr>
          <w:rFonts w:hint="eastAsia"/>
          <w:b/>
          <w:bCs/>
          <w:color w:val="auto"/>
          <w:sz w:val="21"/>
          <w:szCs w:val="21"/>
          <w:lang w:eastAsia="zh-CN"/>
        </w:rPr>
        <w:t>1</w:t>
      </w:r>
      <w:r>
        <w:rPr>
          <w:b/>
          <w:bCs/>
          <w:color w:val="auto"/>
          <w:sz w:val="21"/>
          <w:szCs w:val="21"/>
        </w:rPr>
        <w:t>本工程环境影响评价工作程序</w:t>
      </w:r>
    </w:p>
    <w:p w14:paraId="0DC91723">
      <w:pPr>
        <w:pageBreakBefore w:val="0"/>
        <w:wordWrap/>
        <w:bidi w:val="0"/>
        <w:adjustRightInd/>
        <w:snapToGrid/>
        <w:ind w:firstLine="482"/>
        <w:rPr>
          <w:b/>
          <w:color w:val="auto"/>
          <w:szCs w:val="20"/>
        </w:rPr>
      </w:pPr>
      <w:r>
        <w:rPr>
          <w:b/>
          <w:color w:val="auto"/>
          <w:szCs w:val="20"/>
        </w:rPr>
        <w:t>3、分析判定的相关情况</w:t>
      </w:r>
    </w:p>
    <w:p w14:paraId="654C7A10">
      <w:pPr>
        <w:pageBreakBefore w:val="0"/>
        <w:wordWrap/>
        <w:bidi w:val="0"/>
        <w:adjustRightInd/>
        <w:snapToGrid/>
        <w:ind w:firstLine="480"/>
        <w:rPr>
          <w:b/>
          <w:bCs/>
          <w:color w:val="auto"/>
        </w:rPr>
      </w:pPr>
      <w:r>
        <w:rPr>
          <w:b/>
          <w:bCs/>
          <w:color w:val="auto"/>
        </w:rPr>
        <w:fldChar w:fldCharType="begin"/>
      </w:r>
      <w:r>
        <w:rPr>
          <w:b/>
          <w:bCs/>
          <w:color w:val="auto"/>
        </w:rPr>
        <w:instrText xml:space="preserve"> = 1 \* GB3 </w:instrText>
      </w:r>
      <w:r>
        <w:rPr>
          <w:b/>
          <w:bCs/>
          <w:color w:val="auto"/>
        </w:rPr>
        <w:fldChar w:fldCharType="separate"/>
      </w:r>
      <w:r>
        <w:rPr>
          <w:b/>
          <w:bCs/>
          <w:color w:val="auto"/>
        </w:rPr>
        <w:t>①</w:t>
      </w:r>
      <w:r>
        <w:rPr>
          <w:b/>
          <w:bCs/>
          <w:color w:val="auto"/>
        </w:rPr>
        <w:fldChar w:fldCharType="end"/>
      </w:r>
      <w:r>
        <w:rPr>
          <w:b/>
          <w:bCs/>
          <w:color w:val="auto"/>
        </w:rPr>
        <w:t>建设项目与产业政策的符合性判定</w:t>
      </w:r>
    </w:p>
    <w:p w14:paraId="0EFBDEED">
      <w:pPr>
        <w:pageBreakBefore w:val="0"/>
        <w:wordWrap/>
        <w:bidi w:val="0"/>
        <w:adjustRightInd/>
        <w:snapToGrid/>
        <w:ind w:firstLine="480"/>
        <w:rPr>
          <w:color w:val="auto"/>
          <w:shd w:val="clear" w:color="auto" w:fill="FFFFFF"/>
        </w:rPr>
      </w:pPr>
      <w:r>
        <w:rPr>
          <w:color w:val="auto"/>
          <w:shd w:val="clear" w:color="auto" w:fill="FFFFFF"/>
        </w:rPr>
        <w:t>根据</w:t>
      </w:r>
      <w:r>
        <w:rPr>
          <w:color w:val="auto"/>
        </w:rPr>
        <w:t>《国民经济行业分类》（GB/T4754-2017），项目属于</w:t>
      </w:r>
      <w:r>
        <w:rPr>
          <w:rFonts w:hint="eastAsia"/>
          <w:color w:val="auto"/>
          <w:lang w:eastAsia="zh-CN"/>
        </w:rPr>
        <w:t>“</w:t>
      </w:r>
      <w:r>
        <w:rPr>
          <w:color w:val="auto"/>
        </w:rPr>
        <w:t>D4620污水处理及其再生利用</w:t>
      </w:r>
      <w:r>
        <w:rPr>
          <w:rFonts w:hint="eastAsia"/>
          <w:color w:val="auto"/>
          <w:lang w:eastAsia="zh-CN"/>
        </w:rPr>
        <w:t>”</w:t>
      </w:r>
      <w:r>
        <w:rPr>
          <w:color w:val="auto"/>
        </w:rPr>
        <w:t>类项目。项目的建设用地不属于《禁止用地项目目录》（2012年本）中限制用地和禁止用地范围，项目属于《</w:t>
      </w:r>
      <w:r>
        <w:rPr>
          <w:rFonts w:hint="eastAsia"/>
          <w:color w:val="auto"/>
          <w:lang w:eastAsia="zh-CN"/>
        </w:rPr>
        <w:t>产业结构调整指导目录（2024年本）》</w:t>
      </w:r>
      <w:r>
        <w:rPr>
          <w:color w:val="auto"/>
        </w:rPr>
        <w:t>（</w:t>
      </w:r>
      <w:r>
        <w:rPr>
          <w:rFonts w:hint="eastAsia"/>
          <w:color w:val="auto"/>
          <w:lang w:eastAsia="zh-CN"/>
        </w:rPr>
        <w:t>中华人民共和国国家发展和改革委员会令 第7号</w:t>
      </w:r>
      <w:r>
        <w:rPr>
          <w:color w:val="auto"/>
        </w:rPr>
        <w:t>）中</w:t>
      </w:r>
      <w:r>
        <w:rPr>
          <w:rFonts w:hint="eastAsia"/>
          <w:color w:val="auto"/>
          <w:lang w:eastAsia="zh-CN"/>
        </w:rPr>
        <w:t>“</w:t>
      </w:r>
      <w:r>
        <w:rPr>
          <w:color w:val="auto"/>
        </w:rPr>
        <w:t>第一类 鼓励类</w:t>
      </w:r>
      <w:r>
        <w:rPr>
          <w:rFonts w:hint="eastAsia"/>
          <w:color w:val="auto"/>
          <w:lang w:eastAsia="zh-CN"/>
        </w:rPr>
        <w:t>”</w:t>
      </w:r>
      <w:r>
        <w:rPr>
          <w:color w:val="auto"/>
        </w:rPr>
        <w:t>中</w:t>
      </w:r>
      <w:r>
        <w:rPr>
          <w:rFonts w:hint="eastAsia"/>
          <w:color w:val="auto"/>
          <w:lang w:eastAsia="zh-CN"/>
        </w:rPr>
        <w:t>“</w:t>
      </w:r>
      <w:r>
        <w:rPr>
          <w:color w:val="auto"/>
        </w:rPr>
        <w:t>四十</w:t>
      </w:r>
      <w:r>
        <w:rPr>
          <w:rFonts w:hint="eastAsia"/>
          <w:color w:val="auto"/>
          <w:lang w:val="en-US" w:eastAsia="zh-CN"/>
        </w:rPr>
        <w:t>二</w:t>
      </w:r>
      <w:r>
        <w:rPr>
          <w:color w:val="auto"/>
        </w:rPr>
        <w:t>、环境保护与资源节约综合利用</w:t>
      </w:r>
      <w:r>
        <w:rPr>
          <w:rFonts w:hint="eastAsia"/>
          <w:color w:val="auto"/>
          <w:lang w:eastAsia="zh-CN"/>
        </w:rPr>
        <w:t>”</w:t>
      </w:r>
      <w:r>
        <w:rPr>
          <w:color w:val="auto"/>
        </w:rPr>
        <w:t>之</w:t>
      </w:r>
      <w:r>
        <w:rPr>
          <w:rFonts w:hint="eastAsia"/>
          <w:color w:val="auto"/>
          <w:lang w:eastAsia="zh-CN"/>
        </w:rPr>
        <w:t>“</w:t>
      </w:r>
      <w:r>
        <w:rPr>
          <w:rFonts w:hint="eastAsia"/>
          <w:color w:val="auto"/>
          <w:lang w:val="en-US" w:eastAsia="zh-CN"/>
        </w:rPr>
        <w:t>10.工业“三废”循环利用：“三废”综合利用与治理技术、装备和工程</w:t>
      </w:r>
      <w:r>
        <w:rPr>
          <w:rFonts w:hint="eastAsia"/>
          <w:color w:val="auto"/>
          <w:lang w:eastAsia="zh-CN"/>
        </w:rPr>
        <w:t>”</w:t>
      </w:r>
      <w:r>
        <w:rPr>
          <w:color w:val="auto"/>
        </w:rPr>
        <w:t>。</w:t>
      </w:r>
      <w:r>
        <w:rPr>
          <w:color w:val="auto"/>
          <w:shd w:val="clear" w:color="auto" w:fill="FFFFFF"/>
        </w:rPr>
        <w:t>项目由</w:t>
      </w:r>
      <w:r>
        <w:rPr>
          <w:rFonts w:hint="eastAsia"/>
          <w:color w:val="auto"/>
          <w:lang w:eastAsia="zh-CN"/>
        </w:rPr>
        <w:t>巴州区发展和改革局</w:t>
      </w:r>
      <w:r>
        <w:rPr>
          <w:color w:val="auto"/>
          <w:shd w:val="clear" w:color="auto" w:fill="FFFFFF"/>
        </w:rPr>
        <w:t>以</w:t>
      </w:r>
      <w:r>
        <w:rPr>
          <w:rFonts w:hint="eastAsia"/>
          <w:color w:val="auto"/>
          <w:lang w:eastAsia="zh-CN"/>
        </w:rPr>
        <w:t>“川投资备【2402-511902-04-01-440507】FGQB-0055号”</w:t>
      </w:r>
      <w:r>
        <w:rPr>
          <w:color w:val="auto"/>
          <w:shd w:val="clear" w:color="auto" w:fill="FFFFFF"/>
        </w:rPr>
        <w:t>予以备案。</w:t>
      </w:r>
    </w:p>
    <w:p w14:paraId="349BF4A5">
      <w:pPr>
        <w:pageBreakBefore w:val="0"/>
        <w:wordWrap/>
        <w:bidi w:val="0"/>
        <w:adjustRightInd/>
        <w:snapToGrid/>
        <w:ind w:firstLine="480"/>
        <w:rPr>
          <w:color w:val="auto"/>
          <w:shd w:val="clear" w:color="auto" w:fill="FFFFFF"/>
        </w:rPr>
      </w:pPr>
      <w:r>
        <w:rPr>
          <w:color w:val="auto"/>
          <w:u w:val="single"/>
          <w:shd w:val="clear" w:color="auto" w:fill="FFFFFF"/>
        </w:rPr>
        <w:t>综上所述，项目的建设符合国家现行产业政策</w:t>
      </w:r>
      <w:r>
        <w:rPr>
          <w:color w:val="auto"/>
          <w:shd w:val="clear" w:color="auto" w:fill="FFFFFF"/>
        </w:rPr>
        <w:t>。</w:t>
      </w:r>
    </w:p>
    <w:p w14:paraId="267F4797">
      <w:pPr>
        <w:pageBreakBefore w:val="0"/>
        <w:wordWrap/>
        <w:bidi w:val="0"/>
        <w:adjustRightInd/>
        <w:snapToGrid/>
        <w:ind w:firstLine="480"/>
        <w:jc w:val="left"/>
        <w:rPr>
          <w:b/>
          <w:bCs/>
          <w:color w:val="auto"/>
        </w:rPr>
      </w:pPr>
      <w:r>
        <w:rPr>
          <w:b/>
          <w:bCs/>
          <w:color w:val="auto"/>
        </w:rPr>
        <w:fldChar w:fldCharType="begin"/>
      </w:r>
      <w:r>
        <w:rPr>
          <w:b/>
          <w:bCs/>
          <w:color w:val="auto"/>
        </w:rPr>
        <w:instrText xml:space="preserve"> = 2 \* GB3 </w:instrText>
      </w:r>
      <w:r>
        <w:rPr>
          <w:b/>
          <w:bCs/>
          <w:color w:val="auto"/>
        </w:rPr>
        <w:fldChar w:fldCharType="separate"/>
      </w:r>
      <w:r>
        <w:rPr>
          <w:b/>
          <w:bCs/>
          <w:color w:val="auto"/>
        </w:rPr>
        <w:t>②</w:t>
      </w:r>
      <w:r>
        <w:rPr>
          <w:b/>
          <w:bCs/>
          <w:color w:val="auto"/>
        </w:rPr>
        <w:fldChar w:fldCharType="end"/>
      </w:r>
      <w:r>
        <w:rPr>
          <w:b/>
          <w:bCs/>
          <w:color w:val="auto"/>
        </w:rPr>
        <w:t>规划</w:t>
      </w:r>
      <w:r>
        <w:rPr>
          <w:rFonts w:hint="eastAsia"/>
          <w:b/>
          <w:bCs/>
          <w:color w:val="auto"/>
          <w:lang w:val="en-US" w:eastAsia="zh-CN"/>
        </w:rPr>
        <w:t>选址</w:t>
      </w:r>
      <w:r>
        <w:rPr>
          <w:b/>
          <w:bCs/>
          <w:color w:val="auto"/>
        </w:rPr>
        <w:t>符合性分析</w:t>
      </w:r>
    </w:p>
    <w:p w14:paraId="4BFBB956">
      <w:pPr>
        <w:pageBreakBefore w:val="0"/>
        <w:wordWrap/>
        <w:bidi w:val="0"/>
        <w:adjustRightInd/>
        <w:snapToGrid/>
        <w:ind w:firstLine="480"/>
        <w:rPr>
          <w:bCs/>
          <w:color w:val="auto"/>
        </w:rPr>
      </w:pPr>
      <w:r>
        <w:rPr>
          <w:color w:val="auto"/>
        </w:rPr>
        <w:t>项目</w:t>
      </w:r>
      <w:r>
        <w:rPr>
          <w:rFonts w:hint="eastAsia"/>
          <w:color w:val="auto"/>
          <w:lang w:val="en-US" w:eastAsia="zh-CN"/>
        </w:rPr>
        <w:t>规划</w:t>
      </w:r>
      <w:r>
        <w:rPr>
          <w:color w:val="auto"/>
        </w:rPr>
        <w:t>服务范围</w:t>
      </w:r>
      <w:r>
        <w:rPr>
          <w:rFonts w:hint="eastAsia"/>
          <w:color w:val="auto"/>
          <w:lang w:val="en-US" w:eastAsia="zh-CN"/>
        </w:rPr>
        <w:t>为四川巴中经济开发区-曾口区块</w:t>
      </w:r>
      <w:r>
        <w:rPr>
          <w:color w:val="auto"/>
        </w:rPr>
        <w:t>，可有效</w:t>
      </w:r>
      <w:r>
        <w:rPr>
          <w:rFonts w:hint="eastAsia"/>
          <w:color w:val="auto"/>
          <w:lang w:val="en-US" w:eastAsia="zh-CN"/>
        </w:rPr>
        <w:t>解决园区</w:t>
      </w:r>
      <w:r>
        <w:rPr>
          <w:color w:val="auto"/>
        </w:rPr>
        <w:t>污水处理问题，符合《</w:t>
      </w:r>
      <w:r>
        <w:rPr>
          <w:rFonts w:hint="eastAsia"/>
          <w:color w:val="auto"/>
          <w:lang w:eastAsia="zh-CN"/>
        </w:rPr>
        <w:t>巴中曾口-金堂化工园区总体规划（2022-2035年）》《四川巴中经济开发区规划修编</w:t>
      </w:r>
      <w:r>
        <w:rPr>
          <w:rFonts w:hint="eastAsia"/>
          <w:color w:val="auto"/>
        </w:rPr>
        <w:t>》</w:t>
      </w:r>
      <w:r>
        <w:rPr>
          <w:color w:val="auto"/>
        </w:rPr>
        <w:t>及其</w:t>
      </w:r>
      <w:r>
        <w:rPr>
          <w:rFonts w:hint="eastAsia"/>
          <w:color w:val="auto"/>
          <w:lang w:val="en-US" w:eastAsia="zh-CN"/>
        </w:rPr>
        <w:t>修编</w:t>
      </w:r>
      <w:r>
        <w:rPr>
          <w:rFonts w:hint="eastAsia"/>
          <w:color w:val="auto"/>
        </w:rPr>
        <w:t>规划环评</w:t>
      </w:r>
      <w:r>
        <w:rPr>
          <w:color w:val="auto"/>
        </w:rPr>
        <w:t>要求。根据</w:t>
      </w:r>
      <w:r>
        <w:rPr>
          <w:rFonts w:hint="eastAsia"/>
          <w:color w:val="auto"/>
          <w:lang w:val="en-US" w:eastAsia="zh-CN"/>
        </w:rPr>
        <w:t>巴中市自然资源和规划局</w:t>
      </w:r>
      <w:r>
        <w:rPr>
          <w:color w:val="auto"/>
        </w:rPr>
        <w:t>出具的《</w:t>
      </w:r>
      <w:r>
        <w:rPr>
          <w:rFonts w:hint="eastAsia"/>
          <w:color w:val="auto"/>
          <w:lang w:val="en-US" w:eastAsia="zh-CN"/>
        </w:rPr>
        <w:t>建设用地规划许可证</w:t>
      </w:r>
      <w:r>
        <w:rPr>
          <w:color w:val="auto"/>
        </w:rPr>
        <w:t>》</w:t>
      </w:r>
      <w:r>
        <w:rPr>
          <w:rFonts w:hint="eastAsia"/>
          <w:color w:val="auto"/>
          <w:lang w:eastAsia="zh-CN"/>
        </w:rPr>
        <w:t>（</w:t>
      </w:r>
      <w:r>
        <w:rPr>
          <w:rFonts w:hint="eastAsia"/>
          <w:color w:val="auto"/>
          <w:lang w:val="en-US" w:eastAsia="zh-CN"/>
        </w:rPr>
        <w:t>地字第511902202400010号</w:t>
      </w:r>
      <w:r>
        <w:rPr>
          <w:rFonts w:hint="eastAsia"/>
          <w:color w:val="auto"/>
          <w:lang w:eastAsia="zh-CN"/>
        </w:rPr>
        <w:t>），</w:t>
      </w:r>
      <w:r>
        <w:rPr>
          <w:color w:val="auto"/>
        </w:rPr>
        <w:t>项目用地为</w:t>
      </w:r>
      <w:r>
        <w:rPr>
          <w:rFonts w:hint="eastAsia"/>
          <w:color w:val="auto"/>
          <w:lang w:val="en-US" w:eastAsia="zh-CN"/>
        </w:rPr>
        <w:t>环境设施用地</w:t>
      </w:r>
      <w:r>
        <w:rPr>
          <w:color w:val="auto"/>
        </w:rPr>
        <w:t>。综上，项目建设与《</w:t>
      </w:r>
      <w:r>
        <w:rPr>
          <w:rFonts w:hint="eastAsia"/>
          <w:color w:val="auto"/>
          <w:lang w:eastAsia="zh-CN"/>
        </w:rPr>
        <w:t>巴中曾口-金堂化工园区总体规划（2022-2035年）》《四川巴中经济开发区规划修编</w:t>
      </w:r>
      <w:r>
        <w:rPr>
          <w:rFonts w:hint="eastAsia"/>
          <w:color w:val="auto"/>
        </w:rPr>
        <w:t>》</w:t>
      </w:r>
      <w:r>
        <w:rPr>
          <w:color w:val="auto"/>
        </w:rPr>
        <w:t>及其</w:t>
      </w:r>
      <w:r>
        <w:rPr>
          <w:rFonts w:hint="eastAsia"/>
          <w:color w:val="auto"/>
          <w:lang w:val="en-US" w:eastAsia="zh-CN"/>
        </w:rPr>
        <w:t>修编</w:t>
      </w:r>
      <w:r>
        <w:rPr>
          <w:rFonts w:hint="eastAsia"/>
          <w:color w:val="auto"/>
        </w:rPr>
        <w:t>规划环评</w:t>
      </w:r>
      <w:r>
        <w:rPr>
          <w:color w:val="auto"/>
        </w:rPr>
        <w:t>要求相符。</w:t>
      </w:r>
    </w:p>
    <w:p w14:paraId="722B33A3">
      <w:pPr>
        <w:pageBreakBefore w:val="0"/>
        <w:wordWrap/>
        <w:bidi w:val="0"/>
        <w:adjustRightInd/>
        <w:snapToGrid/>
        <w:ind w:firstLine="480"/>
        <w:rPr>
          <w:b/>
          <w:bCs w:val="0"/>
          <w:color w:val="auto"/>
        </w:rPr>
      </w:pPr>
      <w:r>
        <w:rPr>
          <w:b/>
          <w:bCs w:val="0"/>
          <w:color w:val="auto"/>
        </w:rPr>
        <w:t>③</w:t>
      </w:r>
      <w:r>
        <w:rPr>
          <w:rFonts w:hint="eastAsia"/>
          <w:b/>
          <w:bCs w:val="0"/>
          <w:color w:val="auto"/>
          <w:lang w:eastAsia="zh-CN"/>
        </w:rPr>
        <w:t>“</w:t>
      </w:r>
      <w:r>
        <w:rPr>
          <w:b/>
          <w:bCs w:val="0"/>
          <w:color w:val="auto"/>
        </w:rPr>
        <w:t>三线一单</w:t>
      </w:r>
      <w:r>
        <w:rPr>
          <w:rFonts w:hint="eastAsia"/>
          <w:b/>
          <w:bCs w:val="0"/>
          <w:color w:val="auto"/>
          <w:lang w:eastAsia="zh-CN"/>
        </w:rPr>
        <w:t>”</w:t>
      </w:r>
      <w:r>
        <w:rPr>
          <w:rFonts w:hint="eastAsia"/>
          <w:b/>
          <w:bCs w:val="0"/>
          <w:color w:val="auto"/>
        </w:rPr>
        <w:t>及生态环境分区管控要求</w:t>
      </w:r>
    </w:p>
    <w:p w14:paraId="14AE2EB8">
      <w:pPr>
        <w:pageBreakBefore w:val="0"/>
        <w:wordWrap/>
        <w:bidi w:val="0"/>
        <w:adjustRightInd/>
        <w:snapToGrid/>
        <w:ind w:firstLine="480"/>
        <w:rPr>
          <w:bCs/>
          <w:color w:val="auto"/>
        </w:rPr>
      </w:pPr>
      <w:r>
        <w:rPr>
          <w:rFonts w:hint="eastAsia"/>
          <w:bCs/>
          <w:color w:val="auto"/>
          <w:lang w:val="en-US" w:eastAsia="zh-CN"/>
        </w:rPr>
        <w:t>本</w:t>
      </w:r>
      <w:r>
        <w:rPr>
          <w:bCs/>
          <w:color w:val="auto"/>
        </w:rPr>
        <w:t>项目位于</w:t>
      </w:r>
      <w:r>
        <w:rPr>
          <w:rFonts w:hint="eastAsia"/>
          <w:color w:val="auto"/>
          <w:lang w:eastAsia="zh-CN"/>
        </w:rPr>
        <w:t>四川省巴中市巴州区曾口镇寿星村13组</w:t>
      </w:r>
      <w:r>
        <w:rPr>
          <w:bCs/>
          <w:color w:val="auto"/>
        </w:rPr>
        <w:t>，所在区域不在生态保护红线区内，符合《关于印发四川省生态保护红线方案的通知》（川府发[2018]24号）</w:t>
      </w:r>
      <w:r>
        <w:rPr>
          <w:rFonts w:hint="eastAsia"/>
          <w:bCs/>
          <w:color w:val="auto"/>
          <w:lang w:val="en-US" w:eastAsia="zh-CN"/>
        </w:rPr>
        <w:t>以及巴中市人民政府《关于实施“三线一单”生态环境分区管控的通知》（巴府发〔2021〕5号）的要求</w:t>
      </w:r>
      <w:r>
        <w:rPr>
          <w:bCs/>
          <w:color w:val="auto"/>
        </w:rPr>
        <w:t>；</w:t>
      </w:r>
      <w:r>
        <w:rPr>
          <w:rFonts w:hint="eastAsia"/>
          <w:bCs/>
          <w:color w:val="auto"/>
          <w:lang w:val="en-US" w:eastAsia="zh-CN"/>
        </w:rPr>
        <w:t>项目</w:t>
      </w:r>
      <w:r>
        <w:rPr>
          <w:bCs/>
          <w:color w:val="auto"/>
        </w:rPr>
        <w:t>所在区域大气环境、水环境、声环境质量状况良好，未超出环境质量底线，本项目的建设符合严守环境质量底线的要求；本项目用水量未涉及水资源利用上线；本项目未列入环境准入负面清单内。</w:t>
      </w:r>
    </w:p>
    <w:p w14:paraId="1209A7AE">
      <w:pPr>
        <w:pageBreakBefore w:val="0"/>
        <w:wordWrap/>
        <w:bidi w:val="0"/>
        <w:adjustRightInd/>
        <w:snapToGrid/>
        <w:ind w:firstLine="480"/>
        <w:rPr>
          <w:b/>
          <w:bCs w:val="0"/>
          <w:color w:val="auto"/>
        </w:rPr>
      </w:pPr>
      <w:r>
        <w:rPr>
          <w:b/>
          <w:bCs w:val="0"/>
          <w:color w:val="auto"/>
        </w:rPr>
        <w:t>④选址合理性</w:t>
      </w:r>
    </w:p>
    <w:p w14:paraId="493B8355">
      <w:pPr>
        <w:pageBreakBefore w:val="0"/>
        <w:wordWrap/>
        <w:bidi w:val="0"/>
        <w:adjustRightInd/>
        <w:snapToGrid/>
        <w:ind w:firstLine="480"/>
        <w:rPr>
          <w:bCs/>
          <w:color w:val="auto"/>
        </w:rPr>
      </w:pPr>
      <w:r>
        <w:rPr>
          <w:bCs/>
          <w:color w:val="auto"/>
        </w:rPr>
        <w:t>项目产生的废气、废水、噪声及固体废物经采取一定措施后对周边环境影响很小，所在地区交通便利，方便运输，所在区域环境现状良好，不会制约本项目的建设。公众参与结果表明，公众无反馈意见。项目区地表水评价范围内无集中式饮用水源地，无名胜古迹和重点文物保护单位等特殊敏感目标。项目与外环境相容，选址合理。</w:t>
      </w:r>
    </w:p>
    <w:p w14:paraId="4CC8BC82">
      <w:pPr>
        <w:pageBreakBefore w:val="0"/>
        <w:wordWrap/>
        <w:bidi w:val="0"/>
        <w:adjustRightInd/>
        <w:snapToGrid/>
        <w:ind w:firstLine="482"/>
        <w:rPr>
          <w:b/>
          <w:color w:val="auto"/>
        </w:rPr>
      </w:pPr>
      <w:r>
        <w:rPr>
          <w:b/>
          <w:color w:val="auto"/>
        </w:rPr>
        <w:t>4、关注的主要环境问题及环境影响</w:t>
      </w:r>
    </w:p>
    <w:p w14:paraId="47CF3FFA">
      <w:pPr>
        <w:pageBreakBefore w:val="0"/>
        <w:wordWrap/>
        <w:bidi w:val="0"/>
        <w:adjustRightInd/>
        <w:snapToGrid/>
        <w:ind w:firstLine="480"/>
        <w:rPr>
          <w:color w:val="auto"/>
        </w:rPr>
      </w:pPr>
      <w:r>
        <w:rPr>
          <w:color w:val="auto"/>
        </w:rPr>
        <w:t>报告中对项目的实施将对环境产生影响进行了预测与评价，该项目关心的主要环境问题为项目营运期产生的废水对周围环境的影响、项目营运期产生的废气对周围环境的影响、项目营运期产生的</w:t>
      </w:r>
      <w:r>
        <w:rPr>
          <w:rFonts w:hint="eastAsia"/>
          <w:color w:val="auto"/>
          <w:lang w:val="en-US" w:eastAsia="zh-CN"/>
        </w:rPr>
        <w:t>噪声</w:t>
      </w:r>
      <w:r>
        <w:rPr>
          <w:color w:val="auto"/>
        </w:rPr>
        <w:t>对周围环境的影响、项目营运期产生的固体废物处置方法以及项目营运期对地下水的影响，对此提出了环境保护措施和要求。</w:t>
      </w:r>
    </w:p>
    <w:p w14:paraId="180CAB4F">
      <w:pPr>
        <w:pageBreakBefore w:val="0"/>
        <w:wordWrap/>
        <w:bidi w:val="0"/>
        <w:adjustRightInd/>
        <w:snapToGrid/>
        <w:ind w:firstLine="482"/>
        <w:rPr>
          <w:b/>
          <w:color w:val="auto"/>
        </w:rPr>
      </w:pPr>
      <w:r>
        <w:rPr>
          <w:b/>
          <w:color w:val="auto"/>
        </w:rPr>
        <w:t>5、环境影响报告书的主要结论</w:t>
      </w:r>
    </w:p>
    <w:p w14:paraId="2AF20593">
      <w:pPr>
        <w:pageBreakBefore w:val="0"/>
        <w:wordWrap/>
        <w:bidi w:val="0"/>
        <w:adjustRightInd/>
        <w:snapToGrid/>
        <w:ind w:firstLine="480"/>
        <w:rPr>
          <w:color w:val="auto"/>
        </w:rPr>
      </w:pPr>
      <w:r>
        <w:rPr>
          <w:rFonts w:hint="eastAsia"/>
          <w:color w:val="auto"/>
          <w:lang w:eastAsia="zh-CN"/>
        </w:rPr>
        <w:t>巴中市巴州区曾口片区污水处理厂、环境监测站建设项目</w:t>
      </w:r>
      <w:r>
        <w:rPr>
          <w:color w:val="auto"/>
        </w:rPr>
        <w:t>符合国家现行产业政策，选址符合</w:t>
      </w:r>
      <w:r>
        <w:rPr>
          <w:rFonts w:hint="eastAsia"/>
          <w:color w:val="auto"/>
          <w:lang w:eastAsia="zh-CN"/>
        </w:rPr>
        <w:t>四川巴中经济开发区</w:t>
      </w:r>
      <w:r>
        <w:rPr>
          <w:color w:val="auto"/>
        </w:rPr>
        <w:t>的发展规划以及项目所处区域相关环境规范的要求。工程建成后，将</w:t>
      </w:r>
      <w:r>
        <w:rPr>
          <w:rFonts w:hint="eastAsia"/>
          <w:color w:val="auto"/>
          <w:lang w:val="en-US" w:eastAsia="zh-CN"/>
        </w:rPr>
        <w:t>满足</w:t>
      </w:r>
      <w:r>
        <w:rPr>
          <w:rFonts w:hint="eastAsia"/>
          <w:color w:val="auto"/>
          <w:lang w:eastAsia="zh-CN"/>
        </w:rPr>
        <w:t>四川巴中经济开发区</w:t>
      </w:r>
      <w:r>
        <w:rPr>
          <w:rFonts w:hint="eastAsia"/>
          <w:color w:val="auto"/>
          <w:lang w:val="en-US" w:eastAsia="zh-CN"/>
        </w:rPr>
        <w:t>-曾口区块</w:t>
      </w:r>
      <w:r>
        <w:rPr>
          <w:color w:val="auto"/>
        </w:rPr>
        <w:t xml:space="preserve">区域内工业废水的综合治理，改善园区投资环境，获得良好的社会效益和环境效益。拟建工程产生的各类污染物在采取污染防治措施和生态保护措施后，其不利影响能得到有效控制，外排污染物对环境影响小，能为环境所接受。从环境保护的角度分析，本工程在拟选地址上建设可行。 </w:t>
      </w:r>
    </w:p>
    <w:p w14:paraId="11FBCDD2">
      <w:pPr>
        <w:pStyle w:val="7"/>
        <w:pageBreakBefore w:val="0"/>
        <w:wordWrap/>
        <w:bidi w:val="0"/>
        <w:adjustRightInd/>
        <w:snapToGrid/>
        <w:ind w:left="480" w:firstLine="480"/>
        <w:rPr>
          <w:color w:val="auto"/>
          <w:sz w:val="24"/>
        </w:rPr>
        <w:sectPr>
          <w:footerReference r:id="rId14" w:type="default"/>
          <w:type w:val="nextColumn"/>
          <w:pgSz w:w="11906" w:h="16838"/>
          <w:pgMar w:top="1440" w:right="1588" w:bottom="1440" w:left="1588" w:header="850" w:footer="680" w:gutter="0"/>
          <w:pgBorders>
            <w:top w:val="none" w:sz="0" w:space="0"/>
            <w:left w:val="none" w:sz="0" w:space="0"/>
            <w:bottom w:val="none" w:sz="0" w:space="0"/>
            <w:right w:val="none" w:sz="0" w:space="0"/>
          </w:pgBorders>
          <w:pgNumType w:fmt="decimal" w:start="1"/>
          <w:cols w:space="720" w:num="1"/>
        </w:sectPr>
      </w:pPr>
    </w:p>
    <w:p w14:paraId="736C1454">
      <w:pPr>
        <w:pStyle w:val="3"/>
        <w:pageBreakBefore w:val="0"/>
        <w:wordWrap/>
        <w:bidi w:val="0"/>
        <w:adjustRightInd/>
        <w:snapToGrid/>
        <w:rPr>
          <w:rFonts w:eastAsia="宋体"/>
          <w:color w:val="auto"/>
        </w:rPr>
      </w:pPr>
      <w:bookmarkStart w:id="27" w:name="_Toc505087333"/>
      <w:bookmarkStart w:id="28" w:name="_Toc12660"/>
      <w:bookmarkStart w:id="29" w:name="_Toc374627690"/>
      <w:bookmarkStart w:id="30" w:name="_Toc25100"/>
      <w:bookmarkStart w:id="31" w:name="_Toc4630"/>
      <w:bookmarkStart w:id="32" w:name="_Toc374627724"/>
      <w:bookmarkStart w:id="33" w:name="_Toc13651"/>
      <w:bookmarkStart w:id="34" w:name="_Toc362082729"/>
      <w:r>
        <w:rPr>
          <w:rFonts w:eastAsia="宋体"/>
          <w:color w:val="auto"/>
        </w:rPr>
        <w:t>总</w:t>
      </w:r>
      <w:bookmarkEnd w:id="27"/>
      <w:bookmarkEnd w:id="28"/>
      <w:bookmarkEnd w:id="29"/>
      <w:r>
        <w:rPr>
          <w:rFonts w:eastAsia="宋体"/>
          <w:color w:val="auto"/>
        </w:rPr>
        <w:t>则</w:t>
      </w:r>
      <w:bookmarkEnd w:id="30"/>
      <w:bookmarkEnd w:id="31"/>
    </w:p>
    <w:p w14:paraId="4936DBDB">
      <w:pPr>
        <w:pStyle w:val="4"/>
        <w:pageBreakBefore w:val="0"/>
        <w:wordWrap/>
        <w:bidi w:val="0"/>
        <w:adjustRightInd/>
        <w:snapToGrid/>
        <w:rPr>
          <w:rFonts w:ascii="Times New Roman" w:hAnsi="Times New Roman" w:eastAsia="宋体"/>
          <w:color w:val="auto"/>
        </w:rPr>
      </w:pPr>
      <w:bookmarkStart w:id="35" w:name="_Toc6533"/>
      <w:bookmarkStart w:id="36" w:name="_Toc6059"/>
      <w:bookmarkStart w:id="37" w:name="_Toc362082721"/>
      <w:bookmarkStart w:id="38" w:name="_Toc505087334"/>
      <w:bookmarkStart w:id="39" w:name="_Toc374627692"/>
      <w:r>
        <w:rPr>
          <w:rFonts w:hint="eastAsia" w:ascii="Times New Roman" w:hAnsi="Times New Roman" w:eastAsia="宋体"/>
          <w:color w:val="auto"/>
        </w:rPr>
        <w:t xml:space="preserve"> </w:t>
      </w:r>
      <w:bookmarkStart w:id="40" w:name="_Toc5122"/>
      <w:r>
        <w:rPr>
          <w:rFonts w:ascii="Times New Roman" w:hAnsi="Times New Roman" w:eastAsia="宋体"/>
          <w:color w:val="auto"/>
        </w:rPr>
        <w:t>编制依据</w:t>
      </w:r>
      <w:bookmarkEnd w:id="35"/>
      <w:bookmarkEnd w:id="40"/>
    </w:p>
    <w:p w14:paraId="09761867">
      <w:pPr>
        <w:pStyle w:val="5"/>
        <w:pageBreakBefore w:val="0"/>
        <w:wordWrap/>
        <w:bidi w:val="0"/>
        <w:adjustRightInd/>
        <w:snapToGrid/>
        <w:spacing w:before="48" w:after="48"/>
        <w:ind w:left="0"/>
        <w:rPr>
          <w:rFonts w:eastAsia="宋体"/>
          <w:color w:val="auto"/>
        </w:rPr>
      </w:pPr>
      <w:bookmarkStart w:id="41" w:name="_Toc17970"/>
      <w:bookmarkStart w:id="42" w:name="_Toc374627693"/>
      <w:r>
        <w:rPr>
          <w:rFonts w:hint="eastAsia" w:eastAsia="宋体"/>
          <w:color w:val="auto"/>
        </w:rPr>
        <w:t xml:space="preserve"> </w:t>
      </w:r>
      <w:r>
        <w:rPr>
          <w:rFonts w:eastAsia="宋体"/>
          <w:color w:val="auto"/>
        </w:rPr>
        <w:t>环境保护法律法规</w:t>
      </w:r>
      <w:bookmarkEnd w:id="41"/>
      <w:bookmarkEnd w:id="42"/>
    </w:p>
    <w:p w14:paraId="699FAE4D">
      <w:pPr>
        <w:spacing w:line="360" w:lineRule="auto"/>
        <w:ind w:firstLine="480" w:firstLineChars="200"/>
        <w:rPr>
          <w:rFonts w:ascii="Times New Roman" w:hAnsi="Times New Roman"/>
          <w:color w:val="auto"/>
          <w:sz w:val="24"/>
          <w:szCs w:val="24"/>
        </w:rPr>
      </w:pPr>
      <w:r>
        <w:rPr>
          <w:rFonts w:hint="eastAsia" w:ascii="Times New Roman" w:hAnsi="Times New Roman"/>
          <w:color w:val="auto"/>
          <w:sz w:val="24"/>
          <w:szCs w:val="24"/>
        </w:rPr>
        <w:t>（</w:t>
      </w:r>
      <w:r>
        <w:rPr>
          <w:rFonts w:ascii="Times New Roman" w:hAnsi="Times New Roman"/>
          <w:color w:val="auto"/>
          <w:sz w:val="24"/>
          <w:szCs w:val="24"/>
        </w:rPr>
        <w:t>1</w:t>
      </w:r>
      <w:r>
        <w:rPr>
          <w:rFonts w:hint="eastAsia" w:ascii="Times New Roman" w:hAnsi="Times New Roman"/>
          <w:color w:val="auto"/>
          <w:sz w:val="24"/>
          <w:szCs w:val="24"/>
        </w:rPr>
        <w:t>）《中华人民共和国环境保护法》（</w:t>
      </w:r>
      <w:r>
        <w:rPr>
          <w:rFonts w:ascii="Times New Roman" w:hAnsi="Times New Roman"/>
          <w:color w:val="auto"/>
          <w:sz w:val="24"/>
          <w:szCs w:val="24"/>
        </w:rPr>
        <w:t>2015.1.1</w:t>
      </w:r>
      <w:r>
        <w:rPr>
          <w:rFonts w:hint="eastAsia" w:ascii="Times New Roman" w:hAnsi="Times New Roman"/>
          <w:color w:val="auto"/>
          <w:sz w:val="24"/>
          <w:szCs w:val="24"/>
        </w:rPr>
        <w:t>施行）；</w:t>
      </w:r>
    </w:p>
    <w:p w14:paraId="2A7D2796">
      <w:pPr>
        <w:spacing w:line="360" w:lineRule="auto"/>
        <w:ind w:firstLine="480" w:firstLineChars="200"/>
        <w:rPr>
          <w:rFonts w:ascii="Times New Roman" w:hAnsi="Times New Roman"/>
          <w:color w:val="auto"/>
          <w:sz w:val="24"/>
          <w:szCs w:val="24"/>
        </w:rPr>
      </w:pPr>
      <w:r>
        <w:rPr>
          <w:rFonts w:hint="eastAsia" w:ascii="Times New Roman" w:hAnsi="Times New Roman"/>
          <w:color w:val="auto"/>
          <w:sz w:val="24"/>
          <w:szCs w:val="24"/>
        </w:rPr>
        <w:t>（</w:t>
      </w:r>
      <w:r>
        <w:rPr>
          <w:rFonts w:ascii="Times New Roman" w:hAnsi="Times New Roman"/>
          <w:color w:val="auto"/>
          <w:sz w:val="24"/>
          <w:szCs w:val="24"/>
        </w:rPr>
        <w:t>2</w:t>
      </w:r>
      <w:r>
        <w:rPr>
          <w:rFonts w:hint="eastAsia" w:ascii="Times New Roman" w:hAnsi="Times New Roman"/>
          <w:color w:val="auto"/>
          <w:sz w:val="24"/>
          <w:szCs w:val="24"/>
        </w:rPr>
        <w:t>）《中华人民共和国环境影响评价法》（</w:t>
      </w:r>
      <w:r>
        <w:rPr>
          <w:rFonts w:ascii="Times New Roman" w:hAnsi="Times New Roman"/>
          <w:color w:val="auto"/>
          <w:sz w:val="24"/>
          <w:szCs w:val="24"/>
        </w:rPr>
        <w:t>2018.12.29</w:t>
      </w:r>
      <w:r>
        <w:rPr>
          <w:rFonts w:hint="eastAsia" w:ascii="Times New Roman" w:hAnsi="Times New Roman"/>
          <w:color w:val="auto"/>
          <w:sz w:val="24"/>
          <w:szCs w:val="24"/>
        </w:rPr>
        <w:t>施行）；</w:t>
      </w:r>
    </w:p>
    <w:p w14:paraId="7B59FB35">
      <w:pPr>
        <w:spacing w:line="360" w:lineRule="auto"/>
        <w:ind w:firstLine="480" w:firstLineChars="200"/>
        <w:rPr>
          <w:rFonts w:ascii="Times New Roman" w:hAnsi="Times New Roman"/>
          <w:color w:val="auto"/>
          <w:sz w:val="24"/>
          <w:szCs w:val="24"/>
        </w:rPr>
      </w:pPr>
      <w:r>
        <w:rPr>
          <w:rFonts w:hint="eastAsia" w:ascii="Times New Roman" w:hAnsi="Times New Roman"/>
          <w:color w:val="auto"/>
          <w:sz w:val="24"/>
          <w:szCs w:val="24"/>
        </w:rPr>
        <w:t>（</w:t>
      </w:r>
      <w:r>
        <w:rPr>
          <w:rFonts w:ascii="Times New Roman" w:hAnsi="Times New Roman"/>
          <w:color w:val="auto"/>
          <w:sz w:val="24"/>
          <w:szCs w:val="24"/>
        </w:rPr>
        <w:t>3</w:t>
      </w:r>
      <w:r>
        <w:rPr>
          <w:rFonts w:hint="eastAsia" w:ascii="Times New Roman" w:hAnsi="Times New Roman"/>
          <w:color w:val="auto"/>
          <w:sz w:val="24"/>
          <w:szCs w:val="24"/>
        </w:rPr>
        <w:t>）《中华人民共和国大气污染防治法》（</w:t>
      </w:r>
      <w:r>
        <w:rPr>
          <w:rFonts w:ascii="Times New Roman" w:hAnsi="Times New Roman"/>
          <w:color w:val="auto"/>
          <w:sz w:val="24"/>
          <w:szCs w:val="24"/>
        </w:rPr>
        <w:t>2018.10.26</w:t>
      </w:r>
      <w:r>
        <w:rPr>
          <w:rFonts w:hint="eastAsia" w:ascii="Times New Roman" w:hAnsi="Times New Roman"/>
          <w:color w:val="auto"/>
          <w:sz w:val="24"/>
          <w:szCs w:val="24"/>
        </w:rPr>
        <w:t>施行）；</w:t>
      </w:r>
    </w:p>
    <w:p w14:paraId="4A2AF8C3">
      <w:pPr>
        <w:spacing w:line="360" w:lineRule="auto"/>
        <w:ind w:firstLine="480" w:firstLineChars="200"/>
        <w:rPr>
          <w:rFonts w:ascii="Times New Roman" w:hAnsi="Times New Roman"/>
          <w:color w:val="auto"/>
          <w:sz w:val="24"/>
          <w:szCs w:val="24"/>
        </w:rPr>
      </w:pPr>
      <w:r>
        <w:rPr>
          <w:rFonts w:hint="eastAsia" w:ascii="Times New Roman" w:hAnsi="Times New Roman"/>
          <w:color w:val="auto"/>
          <w:sz w:val="24"/>
          <w:szCs w:val="24"/>
        </w:rPr>
        <w:t>（</w:t>
      </w:r>
      <w:r>
        <w:rPr>
          <w:rFonts w:ascii="Times New Roman" w:hAnsi="Times New Roman"/>
          <w:color w:val="auto"/>
          <w:sz w:val="24"/>
          <w:szCs w:val="24"/>
        </w:rPr>
        <w:t>4</w:t>
      </w:r>
      <w:r>
        <w:rPr>
          <w:rFonts w:hint="eastAsia" w:ascii="Times New Roman" w:hAnsi="Times New Roman"/>
          <w:color w:val="auto"/>
          <w:sz w:val="24"/>
          <w:szCs w:val="24"/>
        </w:rPr>
        <w:t>）《中华人民共和国水污染防治法》（</w:t>
      </w:r>
      <w:r>
        <w:rPr>
          <w:rFonts w:ascii="Times New Roman" w:hAnsi="Times New Roman"/>
          <w:color w:val="auto"/>
          <w:sz w:val="24"/>
          <w:szCs w:val="24"/>
        </w:rPr>
        <w:t>2018.1.1</w:t>
      </w:r>
      <w:r>
        <w:rPr>
          <w:rFonts w:hint="eastAsia" w:ascii="Times New Roman" w:hAnsi="Times New Roman"/>
          <w:color w:val="auto"/>
          <w:sz w:val="24"/>
          <w:szCs w:val="24"/>
        </w:rPr>
        <w:t>施行）；</w:t>
      </w:r>
    </w:p>
    <w:p w14:paraId="58E62110">
      <w:pPr>
        <w:spacing w:line="360" w:lineRule="auto"/>
        <w:ind w:firstLine="480" w:firstLineChars="200"/>
        <w:rPr>
          <w:rFonts w:ascii="Times New Roman" w:hAnsi="Times New Roman"/>
          <w:color w:val="auto"/>
          <w:sz w:val="24"/>
          <w:szCs w:val="24"/>
        </w:rPr>
      </w:pPr>
      <w:r>
        <w:rPr>
          <w:rFonts w:hint="eastAsia" w:ascii="Times New Roman" w:hAnsi="Times New Roman"/>
          <w:color w:val="auto"/>
          <w:sz w:val="24"/>
          <w:szCs w:val="24"/>
        </w:rPr>
        <w:t>（</w:t>
      </w:r>
      <w:r>
        <w:rPr>
          <w:rFonts w:ascii="Times New Roman" w:hAnsi="Times New Roman"/>
          <w:color w:val="auto"/>
          <w:sz w:val="24"/>
          <w:szCs w:val="24"/>
        </w:rPr>
        <w:t>5</w:t>
      </w:r>
      <w:r>
        <w:rPr>
          <w:rFonts w:hint="eastAsia" w:ascii="Times New Roman" w:hAnsi="Times New Roman"/>
          <w:color w:val="auto"/>
          <w:sz w:val="24"/>
          <w:szCs w:val="24"/>
        </w:rPr>
        <w:t>）《中华人民共和国环境噪声污染防治法》（</w:t>
      </w:r>
      <w:r>
        <w:rPr>
          <w:rFonts w:ascii="Times New Roman" w:hAnsi="Times New Roman"/>
          <w:color w:val="auto"/>
          <w:sz w:val="24"/>
          <w:szCs w:val="24"/>
        </w:rPr>
        <w:t>2018.12.29</w:t>
      </w:r>
      <w:r>
        <w:rPr>
          <w:rFonts w:hint="eastAsia" w:ascii="Times New Roman" w:hAnsi="Times New Roman"/>
          <w:color w:val="auto"/>
          <w:sz w:val="24"/>
          <w:szCs w:val="24"/>
        </w:rPr>
        <w:t>施行）；</w:t>
      </w:r>
    </w:p>
    <w:p w14:paraId="168CB09B">
      <w:pPr>
        <w:spacing w:line="360" w:lineRule="auto"/>
        <w:ind w:firstLine="480" w:firstLineChars="200"/>
        <w:rPr>
          <w:rFonts w:ascii="Times New Roman" w:hAnsi="Times New Roman"/>
          <w:color w:val="auto"/>
          <w:sz w:val="24"/>
          <w:szCs w:val="24"/>
        </w:rPr>
      </w:pPr>
      <w:r>
        <w:rPr>
          <w:rFonts w:hint="eastAsia" w:ascii="Times New Roman" w:hAnsi="Times New Roman"/>
          <w:color w:val="auto"/>
          <w:sz w:val="24"/>
          <w:szCs w:val="24"/>
        </w:rPr>
        <w:t>（</w:t>
      </w:r>
      <w:r>
        <w:rPr>
          <w:rFonts w:ascii="Times New Roman" w:hAnsi="Times New Roman"/>
          <w:color w:val="auto"/>
          <w:sz w:val="24"/>
          <w:szCs w:val="24"/>
        </w:rPr>
        <w:t>6</w:t>
      </w:r>
      <w:r>
        <w:rPr>
          <w:rFonts w:hint="eastAsia" w:ascii="Times New Roman" w:hAnsi="Times New Roman"/>
          <w:color w:val="auto"/>
          <w:sz w:val="24"/>
          <w:szCs w:val="24"/>
        </w:rPr>
        <w:t>）《中华人民共和国固体废物污染环境防治法》（</w:t>
      </w:r>
      <w:r>
        <w:rPr>
          <w:rFonts w:ascii="Times New Roman" w:hAnsi="Times New Roman"/>
          <w:color w:val="auto"/>
          <w:sz w:val="24"/>
          <w:szCs w:val="24"/>
        </w:rPr>
        <w:t>20</w:t>
      </w:r>
      <w:r>
        <w:rPr>
          <w:rFonts w:hint="eastAsia" w:ascii="Times New Roman" w:hAnsi="Times New Roman"/>
          <w:color w:val="auto"/>
          <w:sz w:val="24"/>
          <w:szCs w:val="24"/>
        </w:rPr>
        <w:t>20</w:t>
      </w:r>
      <w:r>
        <w:rPr>
          <w:rFonts w:ascii="Times New Roman" w:hAnsi="Times New Roman"/>
          <w:color w:val="auto"/>
          <w:sz w:val="24"/>
          <w:szCs w:val="24"/>
        </w:rPr>
        <w:t>.</w:t>
      </w:r>
      <w:r>
        <w:rPr>
          <w:rFonts w:hint="eastAsia" w:ascii="Times New Roman" w:hAnsi="Times New Roman"/>
          <w:color w:val="auto"/>
          <w:sz w:val="24"/>
          <w:szCs w:val="24"/>
        </w:rPr>
        <w:t>9</w:t>
      </w:r>
      <w:r>
        <w:rPr>
          <w:rFonts w:ascii="Times New Roman" w:hAnsi="Times New Roman"/>
          <w:color w:val="auto"/>
          <w:sz w:val="24"/>
          <w:szCs w:val="24"/>
        </w:rPr>
        <w:t>.</w:t>
      </w:r>
      <w:r>
        <w:rPr>
          <w:rFonts w:hint="eastAsia" w:ascii="Times New Roman" w:hAnsi="Times New Roman"/>
          <w:color w:val="auto"/>
          <w:sz w:val="24"/>
          <w:szCs w:val="24"/>
        </w:rPr>
        <w:t>1施行）；</w:t>
      </w:r>
    </w:p>
    <w:p w14:paraId="4F031F30">
      <w:pPr>
        <w:spacing w:line="360" w:lineRule="auto"/>
        <w:ind w:firstLine="480" w:firstLineChars="200"/>
        <w:rPr>
          <w:rFonts w:ascii="Times New Roman" w:hAnsi="Times New Roman"/>
          <w:color w:val="auto"/>
          <w:sz w:val="24"/>
          <w:szCs w:val="24"/>
        </w:rPr>
      </w:pPr>
      <w:r>
        <w:rPr>
          <w:rFonts w:hint="eastAsia" w:ascii="Times New Roman" w:hAnsi="Times New Roman"/>
          <w:color w:val="auto"/>
          <w:sz w:val="24"/>
          <w:szCs w:val="24"/>
        </w:rPr>
        <w:t>（</w:t>
      </w:r>
      <w:r>
        <w:rPr>
          <w:rFonts w:ascii="Times New Roman" w:hAnsi="Times New Roman"/>
          <w:color w:val="auto"/>
          <w:sz w:val="24"/>
          <w:szCs w:val="24"/>
        </w:rPr>
        <w:t>7</w:t>
      </w:r>
      <w:r>
        <w:rPr>
          <w:rFonts w:hint="eastAsia" w:ascii="Times New Roman" w:hAnsi="Times New Roman"/>
          <w:color w:val="auto"/>
          <w:sz w:val="24"/>
          <w:szCs w:val="24"/>
        </w:rPr>
        <w:t>）《中华人民共和国清洁生产促进法》，（</w:t>
      </w:r>
      <w:r>
        <w:rPr>
          <w:rFonts w:ascii="Times New Roman" w:hAnsi="Times New Roman"/>
          <w:color w:val="auto"/>
          <w:sz w:val="24"/>
          <w:szCs w:val="24"/>
        </w:rPr>
        <w:t>2012.7.1</w:t>
      </w:r>
      <w:r>
        <w:rPr>
          <w:rFonts w:hint="eastAsia" w:ascii="Times New Roman" w:hAnsi="Times New Roman"/>
          <w:color w:val="auto"/>
          <w:sz w:val="24"/>
          <w:szCs w:val="24"/>
        </w:rPr>
        <w:t>起施行）；</w:t>
      </w:r>
    </w:p>
    <w:p w14:paraId="30B8DBFF">
      <w:pPr>
        <w:spacing w:line="360" w:lineRule="auto"/>
        <w:ind w:firstLine="480" w:firstLineChars="200"/>
        <w:rPr>
          <w:rFonts w:ascii="Times New Roman" w:hAnsi="Times New Roman"/>
          <w:color w:val="auto"/>
          <w:sz w:val="24"/>
          <w:szCs w:val="24"/>
        </w:rPr>
      </w:pPr>
      <w:r>
        <w:rPr>
          <w:rFonts w:hint="eastAsia" w:ascii="Times New Roman" w:hAnsi="Times New Roman"/>
          <w:color w:val="auto"/>
          <w:sz w:val="24"/>
          <w:szCs w:val="24"/>
        </w:rPr>
        <w:t>（</w:t>
      </w:r>
      <w:r>
        <w:rPr>
          <w:rFonts w:ascii="Times New Roman" w:hAnsi="Times New Roman"/>
          <w:color w:val="auto"/>
          <w:sz w:val="24"/>
          <w:szCs w:val="24"/>
        </w:rPr>
        <w:t>8</w:t>
      </w:r>
      <w:r>
        <w:rPr>
          <w:rFonts w:hint="eastAsia" w:ascii="Times New Roman" w:hAnsi="Times New Roman"/>
          <w:color w:val="auto"/>
          <w:sz w:val="24"/>
          <w:szCs w:val="24"/>
        </w:rPr>
        <w:t>）《中华人民共和国水土保持法》，（</w:t>
      </w:r>
      <w:r>
        <w:rPr>
          <w:rFonts w:ascii="Times New Roman" w:hAnsi="Times New Roman"/>
          <w:color w:val="auto"/>
          <w:sz w:val="24"/>
          <w:szCs w:val="24"/>
        </w:rPr>
        <w:t>2011.3.1</w:t>
      </w:r>
      <w:r>
        <w:rPr>
          <w:rFonts w:hint="eastAsia" w:ascii="Times New Roman" w:hAnsi="Times New Roman"/>
          <w:color w:val="auto"/>
          <w:sz w:val="24"/>
          <w:szCs w:val="24"/>
        </w:rPr>
        <w:t>施行）；</w:t>
      </w:r>
    </w:p>
    <w:p w14:paraId="55B0F389">
      <w:pPr>
        <w:spacing w:line="360" w:lineRule="auto"/>
        <w:ind w:firstLine="480" w:firstLineChars="200"/>
        <w:rPr>
          <w:rFonts w:ascii="Times New Roman" w:hAnsi="Times New Roman"/>
          <w:color w:val="auto"/>
          <w:sz w:val="24"/>
          <w:szCs w:val="24"/>
        </w:rPr>
      </w:pPr>
      <w:r>
        <w:rPr>
          <w:rFonts w:hint="eastAsia" w:ascii="Times New Roman" w:hAnsi="Times New Roman"/>
          <w:color w:val="auto"/>
          <w:sz w:val="24"/>
          <w:szCs w:val="24"/>
        </w:rPr>
        <w:t>（</w:t>
      </w:r>
      <w:r>
        <w:rPr>
          <w:rFonts w:ascii="Times New Roman" w:hAnsi="Times New Roman"/>
          <w:color w:val="auto"/>
          <w:sz w:val="24"/>
          <w:szCs w:val="24"/>
        </w:rPr>
        <w:t>9</w:t>
      </w:r>
      <w:r>
        <w:rPr>
          <w:rFonts w:hint="eastAsia" w:ascii="Times New Roman" w:hAnsi="Times New Roman"/>
          <w:color w:val="auto"/>
          <w:sz w:val="24"/>
          <w:szCs w:val="24"/>
        </w:rPr>
        <w:t>）《中华人民共和国土地管理法》，（</w:t>
      </w:r>
      <w:r>
        <w:rPr>
          <w:rFonts w:ascii="Times New Roman" w:hAnsi="Times New Roman"/>
          <w:color w:val="auto"/>
          <w:sz w:val="24"/>
          <w:szCs w:val="24"/>
        </w:rPr>
        <w:t>2004.8.28</w:t>
      </w:r>
      <w:r>
        <w:rPr>
          <w:rFonts w:hint="eastAsia" w:ascii="Times New Roman" w:hAnsi="Times New Roman"/>
          <w:color w:val="auto"/>
          <w:sz w:val="24"/>
          <w:szCs w:val="24"/>
        </w:rPr>
        <w:t>施行）；</w:t>
      </w:r>
    </w:p>
    <w:p w14:paraId="28CC045A">
      <w:pPr>
        <w:spacing w:line="360" w:lineRule="auto"/>
        <w:ind w:firstLine="480" w:firstLineChars="200"/>
        <w:rPr>
          <w:rFonts w:ascii="Times New Roman" w:hAnsi="Times New Roman"/>
          <w:color w:val="auto"/>
          <w:sz w:val="24"/>
          <w:szCs w:val="24"/>
        </w:rPr>
      </w:pPr>
      <w:r>
        <w:rPr>
          <w:rFonts w:hint="eastAsia" w:ascii="Times New Roman" w:hAnsi="Times New Roman"/>
          <w:color w:val="auto"/>
          <w:sz w:val="24"/>
          <w:szCs w:val="24"/>
        </w:rPr>
        <w:t>（</w:t>
      </w:r>
      <w:r>
        <w:rPr>
          <w:rFonts w:ascii="Times New Roman" w:hAnsi="Times New Roman"/>
          <w:color w:val="auto"/>
          <w:sz w:val="24"/>
          <w:szCs w:val="24"/>
        </w:rPr>
        <w:t>10</w:t>
      </w:r>
      <w:r>
        <w:rPr>
          <w:rFonts w:hint="eastAsia" w:ascii="Times New Roman" w:hAnsi="Times New Roman"/>
          <w:color w:val="auto"/>
          <w:sz w:val="24"/>
          <w:szCs w:val="24"/>
        </w:rPr>
        <w:t>）《中华人民共和国节约能源法》，（</w:t>
      </w:r>
      <w:r>
        <w:rPr>
          <w:rFonts w:ascii="Times New Roman" w:hAnsi="Times New Roman"/>
          <w:color w:val="auto"/>
          <w:sz w:val="24"/>
          <w:szCs w:val="24"/>
        </w:rPr>
        <w:t>2018.10.26</w:t>
      </w:r>
      <w:r>
        <w:rPr>
          <w:rFonts w:hint="eastAsia" w:ascii="Times New Roman" w:hAnsi="Times New Roman"/>
          <w:color w:val="auto"/>
          <w:sz w:val="24"/>
          <w:szCs w:val="24"/>
        </w:rPr>
        <w:t>施行）；</w:t>
      </w:r>
    </w:p>
    <w:p w14:paraId="174B43DD">
      <w:pPr>
        <w:spacing w:line="360" w:lineRule="auto"/>
        <w:ind w:firstLine="480" w:firstLineChars="200"/>
        <w:rPr>
          <w:rFonts w:ascii="Times New Roman" w:hAnsi="Times New Roman"/>
          <w:color w:val="auto"/>
          <w:sz w:val="24"/>
          <w:szCs w:val="24"/>
        </w:rPr>
      </w:pPr>
      <w:r>
        <w:rPr>
          <w:rFonts w:hint="eastAsia" w:ascii="Times New Roman" w:hAnsi="Times New Roman"/>
          <w:color w:val="auto"/>
          <w:sz w:val="24"/>
          <w:szCs w:val="24"/>
        </w:rPr>
        <w:t>（</w:t>
      </w:r>
      <w:r>
        <w:rPr>
          <w:rFonts w:ascii="Times New Roman" w:hAnsi="Times New Roman"/>
          <w:color w:val="auto"/>
          <w:sz w:val="24"/>
          <w:szCs w:val="24"/>
        </w:rPr>
        <w:t>12</w:t>
      </w:r>
      <w:r>
        <w:rPr>
          <w:rFonts w:hint="eastAsia" w:ascii="Times New Roman" w:hAnsi="Times New Roman"/>
          <w:color w:val="auto"/>
          <w:sz w:val="24"/>
          <w:szCs w:val="24"/>
        </w:rPr>
        <w:t>）《中华人民共和国循环经济促进法》，（</w:t>
      </w:r>
      <w:r>
        <w:rPr>
          <w:rFonts w:ascii="Times New Roman" w:hAnsi="Times New Roman"/>
          <w:color w:val="auto"/>
          <w:sz w:val="24"/>
          <w:szCs w:val="24"/>
        </w:rPr>
        <w:t>2018.10.26</w:t>
      </w:r>
      <w:r>
        <w:rPr>
          <w:rFonts w:hint="eastAsia" w:ascii="Times New Roman" w:hAnsi="Times New Roman"/>
          <w:color w:val="auto"/>
          <w:sz w:val="24"/>
          <w:szCs w:val="24"/>
        </w:rPr>
        <w:t>施行）；</w:t>
      </w:r>
    </w:p>
    <w:p w14:paraId="10317255">
      <w:pPr>
        <w:spacing w:line="360" w:lineRule="auto"/>
        <w:ind w:firstLine="480" w:firstLineChars="200"/>
        <w:rPr>
          <w:rFonts w:ascii="Times New Roman" w:hAnsi="Times New Roman"/>
          <w:color w:val="auto"/>
          <w:sz w:val="24"/>
        </w:rPr>
      </w:pPr>
      <w:r>
        <w:rPr>
          <w:rFonts w:ascii="Times New Roman" w:hAnsi="Times New Roman"/>
          <w:color w:val="auto"/>
          <w:sz w:val="24"/>
        </w:rPr>
        <w:t>（13）《中华人民共和国土壤污染防治法》，</w:t>
      </w:r>
      <w:r>
        <w:rPr>
          <w:rFonts w:hint="eastAsia" w:ascii="Times New Roman" w:hAnsi="Times New Roman"/>
          <w:color w:val="auto"/>
          <w:sz w:val="24"/>
          <w:lang w:eastAsia="zh-CN"/>
        </w:rPr>
        <w:t>（</w:t>
      </w:r>
      <w:r>
        <w:rPr>
          <w:rFonts w:hint="eastAsia" w:ascii="Times New Roman" w:hAnsi="Times New Roman"/>
          <w:color w:val="auto"/>
          <w:sz w:val="24"/>
          <w:lang w:val="en-US" w:eastAsia="zh-CN"/>
        </w:rPr>
        <w:t>2019.1.1施行</w:t>
      </w:r>
      <w:r>
        <w:rPr>
          <w:rFonts w:hint="eastAsia" w:ascii="Times New Roman" w:hAnsi="Times New Roman"/>
          <w:color w:val="auto"/>
          <w:sz w:val="24"/>
          <w:lang w:eastAsia="zh-CN"/>
        </w:rPr>
        <w:t>）</w:t>
      </w:r>
      <w:r>
        <w:rPr>
          <w:rFonts w:ascii="Times New Roman" w:hAnsi="Times New Roman"/>
          <w:color w:val="auto"/>
          <w:sz w:val="24"/>
        </w:rPr>
        <w:t>；</w:t>
      </w:r>
    </w:p>
    <w:p w14:paraId="00145AE4">
      <w:pPr>
        <w:spacing w:line="360" w:lineRule="auto"/>
        <w:ind w:firstLine="480" w:firstLineChars="200"/>
        <w:rPr>
          <w:rFonts w:ascii="Times New Roman" w:hAnsi="Times New Roman"/>
          <w:color w:val="auto"/>
        </w:rPr>
      </w:pPr>
      <w:r>
        <w:rPr>
          <w:rFonts w:ascii="Times New Roman" w:hAnsi="Times New Roman"/>
          <w:color w:val="auto"/>
          <w:sz w:val="24"/>
        </w:rPr>
        <w:t>（14）《中华人民共和国城乡规划法》，</w:t>
      </w:r>
      <w:r>
        <w:rPr>
          <w:rFonts w:hint="eastAsia" w:ascii="Times New Roman" w:hAnsi="Times New Roman"/>
          <w:color w:val="auto"/>
          <w:sz w:val="24"/>
          <w:lang w:eastAsia="zh-CN"/>
        </w:rPr>
        <w:t>（</w:t>
      </w:r>
      <w:r>
        <w:rPr>
          <w:rFonts w:hint="eastAsia" w:ascii="Times New Roman" w:hAnsi="Times New Roman"/>
          <w:color w:val="auto"/>
          <w:sz w:val="24"/>
          <w:lang w:val="en-US" w:eastAsia="zh-CN"/>
        </w:rPr>
        <w:t>2018.1.1施行</w:t>
      </w:r>
      <w:r>
        <w:rPr>
          <w:rFonts w:hint="eastAsia" w:ascii="Times New Roman" w:hAnsi="Times New Roman"/>
          <w:color w:val="auto"/>
          <w:sz w:val="24"/>
          <w:lang w:eastAsia="zh-CN"/>
        </w:rPr>
        <w:t>）</w:t>
      </w:r>
      <w:r>
        <w:rPr>
          <w:rFonts w:ascii="Times New Roman" w:hAnsi="Times New Roman"/>
          <w:color w:val="auto"/>
          <w:sz w:val="24"/>
        </w:rPr>
        <w:t>；</w:t>
      </w:r>
    </w:p>
    <w:p w14:paraId="420382E5">
      <w:pPr>
        <w:pageBreakBefore w:val="0"/>
        <w:wordWrap/>
        <w:bidi w:val="0"/>
        <w:adjustRightInd/>
        <w:snapToGrid/>
        <w:ind w:firstLine="480"/>
        <w:rPr>
          <w:rFonts w:hint="eastAsia" w:eastAsia="宋体"/>
          <w:color w:val="auto"/>
          <w:lang w:eastAsia="zh-CN"/>
        </w:rPr>
      </w:pPr>
      <w:r>
        <w:rPr>
          <w:rFonts w:hint="eastAsia"/>
          <w:color w:val="auto"/>
          <w:lang w:eastAsia="zh-CN"/>
        </w:rPr>
        <w:t>（</w:t>
      </w:r>
      <w:r>
        <w:rPr>
          <w:rFonts w:hint="eastAsia"/>
          <w:color w:val="auto"/>
          <w:lang w:val="en-US" w:eastAsia="zh-CN"/>
        </w:rPr>
        <w:t>15</w:t>
      </w:r>
      <w:r>
        <w:rPr>
          <w:rFonts w:hint="eastAsia"/>
          <w:color w:val="auto"/>
          <w:lang w:eastAsia="zh-CN"/>
        </w:rPr>
        <w:t>）《中华人民共和国长江保护法》，（202</w:t>
      </w:r>
      <w:r>
        <w:rPr>
          <w:rFonts w:hint="eastAsia"/>
          <w:color w:val="auto"/>
          <w:lang w:val="en-US" w:eastAsia="zh-CN"/>
        </w:rPr>
        <w:t>1.</w:t>
      </w:r>
      <w:r>
        <w:rPr>
          <w:rFonts w:hint="eastAsia"/>
          <w:color w:val="auto"/>
          <w:lang w:eastAsia="zh-CN"/>
        </w:rPr>
        <w:t>3</w:t>
      </w:r>
      <w:r>
        <w:rPr>
          <w:rFonts w:hint="eastAsia"/>
          <w:color w:val="auto"/>
          <w:lang w:val="en-US" w:eastAsia="zh-CN"/>
        </w:rPr>
        <w:t>.1</w:t>
      </w:r>
      <w:r>
        <w:rPr>
          <w:rFonts w:hint="eastAsia"/>
          <w:color w:val="auto"/>
          <w:lang w:eastAsia="zh-CN"/>
        </w:rPr>
        <w:t>施行）</w:t>
      </w:r>
    </w:p>
    <w:p w14:paraId="0195F002">
      <w:pPr>
        <w:pStyle w:val="5"/>
        <w:pageBreakBefore w:val="0"/>
        <w:wordWrap/>
        <w:bidi w:val="0"/>
        <w:adjustRightInd/>
        <w:snapToGrid/>
        <w:spacing w:before="48" w:after="48"/>
        <w:ind w:left="0"/>
        <w:rPr>
          <w:rFonts w:eastAsia="宋体"/>
          <w:color w:val="auto"/>
        </w:rPr>
      </w:pPr>
      <w:r>
        <w:rPr>
          <w:rFonts w:hint="eastAsia" w:eastAsia="宋体"/>
          <w:color w:val="auto"/>
        </w:rPr>
        <w:t xml:space="preserve"> 相关环境保护规章及规范性文件</w:t>
      </w:r>
    </w:p>
    <w:p w14:paraId="47C0C414">
      <w:pPr>
        <w:bidi w:val="0"/>
        <w:rPr>
          <w:color w:val="auto"/>
        </w:rPr>
      </w:pPr>
      <w:bookmarkStart w:id="43" w:name="_Toc7078"/>
      <w:r>
        <w:rPr>
          <w:rFonts w:hint="eastAsia"/>
          <w:color w:val="auto"/>
        </w:rPr>
        <w:t>（</w:t>
      </w:r>
      <w:r>
        <w:rPr>
          <w:color w:val="auto"/>
        </w:rPr>
        <w:t>1</w:t>
      </w:r>
      <w:r>
        <w:rPr>
          <w:rFonts w:hint="eastAsia"/>
          <w:color w:val="auto"/>
        </w:rPr>
        <w:t>）《建设项目环境保护管理条例》（国务院第</w:t>
      </w:r>
      <w:r>
        <w:rPr>
          <w:color w:val="auto"/>
        </w:rPr>
        <w:t>682</w:t>
      </w:r>
      <w:r>
        <w:rPr>
          <w:rFonts w:hint="eastAsia"/>
          <w:color w:val="auto"/>
        </w:rPr>
        <w:t>号令）；</w:t>
      </w:r>
    </w:p>
    <w:p w14:paraId="53D12132">
      <w:pPr>
        <w:bidi w:val="0"/>
        <w:rPr>
          <w:color w:val="auto"/>
        </w:rPr>
      </w:pPr>
      <w:r>
        <w:rPr>
          <w:rFonts w:hint="eastAsia"/>
          <w:color w:val="auto"/>
        </w:rPr>
        <w:t>（2</w:t>
      </w:r>
      <w:r>
        <w:rPr>
          <w:color w:val="auto"/>
        </w:rPr>
        <w:t>）《建设项目环境影响评价分类管理名录》</w:t>
      </w:r>
      <w:r>
        <w:rPr>
          <w:rFonts w:hint="eastAsia"/>
          <w:color w:val="auto"/>
        </w:rPr>
        <w:t>（2021年版）</w:t>
      </w:r>
      <w:r>
        <w:rPr>
          <w:color w:val="auto"/>
        </w:rPr>
        <w:t>；</w:t>
      </w:r>
    </w:p>
    <w:p w14:paraId="1CA01B2F">
      <w:pPr>
        <w:bidi w:val="0"/>
        <w:rPr>
          <w:color w:val="auto"/>
        </w:rPr>
      </w:pPr>
      <w:r>
        <w:rPr>
          <w:rFonts w:hint="eastAsia"/>
          <w:color w:val="auto"/>
        </w:rPr>
        <w:t>（</w:t>
      </w:r>
      <w:r>
        <w:rPr>
          <w:color w:val="auto"/>
        </w:rPr>
        <w:t>3）《产业结构调整指导目录（2019年本）》（国家发展和改革委员会令第29号）；</w:t>
      </w:r>
    </w:p>
    <w:p w14:paraId="102CF769">
      <w:pPr>
        <w:bidi w:val="0"/>
        <w:rPr>
          <w:color w:val="auto"/>
        </w:rPr>
      </w:pPr>
      <w:r>
        <w:rPr>
          <w:rFonts w:hint="eastAsia"/>
          <w:color w:val="auto"/>
        </w:rPr>
        <w:t>（</w:t>
      </w:r>
      <w:r>
        <w:rPr>
          <w:color w:val="auto"/>
        </w:rPr>
        <w:t>4</w:t>
      </w:r>
      <w:r>
        <w:rPr>
          <w:rFonts w:hint="eastAsia"/>
          <w:color w:val="auto"/>
        </w:rPr>
        <w:t>）《国务院关于加强环境保护重点工作的意见》（国发</w:t>
      </w:r>
      <w:r>
        <w:rPr>
          <w:color w:val="auto"/>
        </w:rPr>
        <w:t>[2011]35</w:t>
      </w:r>
      <w:r>
        <w:rPr>
          <w:rFonts w:hint="eastAsia"/>
          <w:color w:val="auto"/>
        </w:rPr>
        <w:t>号</w:t>
      </w:r>
      <w:r>
        <w:rPr>
          <w:color w:val="auto"/>
        </w:rPr>
        <w:t>2011.10.17</w:t>
      </w:r>
      <w:r>
        <w:rPr>
          <w:rFonts w:hint="eastAsia"/>
          <w:color w:val="auto"/>
        </w:rPr>
        <w:t>）；</w:t>
      </w:r>
    </w:p>
    <w:p w14:paraId="1D97E780">
      <w:pPr>
        <w:bidi w:val="0"/>
        <w:rPr>
          <w:color w:val="auto"/>
        </w:rPr>
      </w:pPr>
      <w:r>
        <w:rPr>
          <w:rFonts w:hint="eastAsia"/>
          <w:color w:val="auto"/>
        </w:rPr>
        <w:t>（</w:t>
      </w:r>
      <w:r>
        <w:rPr>
          <w:color w:val="auto"/>
        </w:rPr>
        <w:t>5</w:t>
      </w:r>
      <w:r>
        <w:rPr>
          <w:rFonts w:hint="eastAsia"/>
          <w:color w:val="auto"/>
        </w:rPr>
        <w:t>）《国务院关于印发水污染防治行动计划的通知》（国发</w:t>
      </w:r>
      <w:r>
        <w:rPr>
          <w:color w:val="auto"/>
        </w:rPr>
        <w:t>[2015]17</w:t>
      </w:r>
      <w:r>
        <w:rPr>
          <w:rFonts w:hint="eastAsia"/>
          <w:color w:val="auto"/>
        </w:rPr>
        <w:t>号，</w:t>
      </w:r>
      <w:r>
        <w:rPr>
          <w:color w:val="auto"/>
        </w:rPr>
        <w:t>2015.4.16</w:t>
      </w:r>
      <w:r>
        <w:rPr>
          <w:rFonts w:hint="eastAsia"/>
          <w:color w:val="auto"/>
        </w:rPr>
        <w:t>）；</w:t>
      </w:r>
    </w:p>
    <w:p w14:paraId="0DCE4C80">
      <w:pPr>
        <w:bidi w:val="0"/>
        <w:rPr>
          <w:color w:val="auto"/>
        </w:rPr>
      </w:pPr>
      <w:r>
        <w:rPr>
          <w:rFonts w:hint="eastAsia"/>
          <w:color w:val="auto"/>
        </w:rPr>
        <w:t>（</w:t>
      </w:r>
      <w:r>
        <w:rPr>
          <w:color w:val="auto"/>
        </w:rPr>
        <w:t>6</w:t>
      </w:r>
      <w:r>
        <w:rPr>
          <w:rFonts w:hint="eastAsia"/>
          <w:color w:val="auto"/>
        </w:rPr>
        <w:t>）《国务院关于印发大气污染防治行动计划的通知》（国发</w:t>
      </w:r>
      <w:r>
        <w:rPr>
          <w:color w:val="auto"/>
        </w:rPr>
        <w:t>[2013]37</w:t>
      </w:r>
      <w:r>
        <w:rPr>
          <w:rFonts w:hint="eastAsia"/>
          <w:color w:val="auto"/>
        </w:rPr>
        <w:t>号，</w:t>
      </w:r>
      <w:r>
        <w:rPr>
          <w:color w:val="auto"/>
        </w:rPr>
        <w:t>2013.9.10</w:t>
      </w:r>
      <w:r>
        <w:rPr>
          <w:rFonts w:hint="eastAsia"/>
          <w:color w:val="auto"/>
        </w:rPr>
        <w:t>）；</w:t>
      </w:r>
    </w:p>
    <w:p w14:paraId="4B7D5662">
      <w:pPr>
        <w:bidi w:val="0"/>
        <w:rPr>
          <w:color w:val="auto"/>
        </w:rPr>
      </w:pPr>
      <w:r>
        <w:rPr>
          <w:rFonts w:hint="eastAsia"/>
          <w:color w:val="auto"/>
        </w:rPr>
        <w:t>（</w:t>
      </w:r>
      <w:r>
        <w:rPr>
          <w:color w:val="auto"/>
        </w:rPr>
        <w:t>7</w:t>
      </w:r>
      <w:r>
        <w:rPr>
          <w:rFonts w:hint="eastAsia"/>
          <w:color w:val="auto"/>
        </w:rPr>
        <w:t>）《国务院关于印发土壤污染防治行动计划的通知》（国发</w:t>
      </w:r>
      <w:r>
        <w:rPr>
          <w:color w:val="auto"/>
        </w:rPr>
        <w:t>[2016]31</w:t>
      </w:r>
      <w:r>
        <w:rPr>
          <w:rFonts w:hint="eastAsia"/>
          <w:color w:val="auto"/>
        </w:rPr>
        <w:t>号，</w:t>
      </w:r>
      <w:r>
        <w:rPr>
          <w:color w:val="auto"/>
        </w:rPr>
        <w:t>2016.5.31</w:t>
      </w:r>
      <w:r>
        <w:rPr>
          <w:rFonts w:hint="eastAsia"/>
          <w:color w:val="auto"/>
        </w:rPr>
        <w:t>）；</w:t>
      </w:r>
    </w:p>
    <w:p w14:paraId="22C7EFE5">
      <w:pPr>
        <w:bidi w:val="0"/>
        <w:rPr>
          <w:color w:val="auto"/>
        </w:rPr>
      </w:pPr>
      <w:r>
        <w:rPr>
          <w:rFonts w:hint="eastAsia"/>
          <w:color w:val="auto"/>
        </w:rPr>
        <w:t>（</w:t>
      </w:r>
      <w:r>
        <w:rPr>
          <w:color w:val="auto"/>
        </w:rPr>
        <w:t>8</w:t>
      </w:r>
      <w:r>
        <w:rPr>
          <w:rFonts w:hint="eastAsia"/>
          <w:color w:val="auto"/>
        </w:rPr>
        <w:t>）《国家危险废物名录（</w:t>
      </w:r>
      <w:r>
        <w:rPr>
          <w:color w:val="auto"/>
        </w:rPr>
        <w:t>20</w:t>
      </w:r>
      <w:r>
        <w:rPr>
          <w:rFonts w:hint="eastAsia"/>
          <w:color w:val="auto"/>
        </w:rPr>
        <w:t>21版）》（</w:t>
      </w:r>
      <w:r>
        <w:rPr>
          <w:color w:val="auto"/>
        </w:rPr>
        <w:t>20</w:t>
      </w:r>
      <w:r>
        <w:rPr>
          <w:rFonts w:hint="eastAsia"/>
          <w:color w:val="auto"/>
        </w:rPr>
        <w:t>21</w:t>
      </w:r>
      <w:r>
        <w:rPr>
          <w:color w:val="auto"/>
        </w:rPr>
        <w:t>.</w:t>
      </w:r>
      <w:r>
        <w:rPr>
          <w:rFonts w:hint="eastAsia"/>
          <w:color w:val="auto"/>
        </w:rPr>
        <w:t>1</w:t>
      </w:r>
      <w:r>
        <w:rPr>
          <w:color w:val="auto"/>
        </w:rPr>
        <w:t>.</w:t>
      </w:r>
      <w:r>
        <w:rPr>
          <w:rFonts w:hint="eastAsia"/>
          <w:color w:val="auto"/>
        </w:rPr>
        <w:t>1施行）；</w:t>
      </w:r>
    </w:p>
    <w:p w14:paraId="66D5EE14">
      <w:pPr>
        <w:bidi w:val="0"/>
        <w:rPr>
          <w:color w:val="auto"/>
        </w:rPr>
      </w:pPr>
      <w:r>
        <w:rPr>
          <w:rFonts w:hint="eastAsia"/>
          <w:color w:val="auto"/>
        </w:rPr>
        <w:t>（</w:t>
      </w:r>
      <w:r>
        <w:rPr>
          <w:color w:val="auto"/>
        </w:rPr>
        <w:t>9</w:t>
      </w:r>
      <w:r>
        <w:rPr>
          <w:rFonts w:hint="eastAsia"/>
          <w:color w:val="auto"/>
        </w:rPr>
        <w:t>）《突发环境事件应急管理办法》（环境保护部令第</w:t>
      </w:r>
      <w:r>
        <w:rPr>
          <w:color w:val="auto"/>
        </w:rPr>
        <w:t>34</w:t>
      </w:r>
      <w:r>
        <w:rPr>
          <w:rFonts w:hint="eastAsia"/>
          <w:color w:val="auto"/>
        </w:rPr>
        <w:t>号，</w:t>
      </w:r>
      <w:r>
        <w:rPr>
          <w:color w:val="auto"/>
        </w:rPr>
        <w:t>2015</w:t>
      </w:r>
      <w:r>
        <w:rPr>
          <w:rFonts w:hint="eastAsia"/>
          <w:color w:val="auto"/>
        </w:rPr>
        <w:t>）；</w:t>
      </w:r>
    </w:p>
    <w:p w14:paraId="39178AAE">
      <w:pPr>
        <w:bidi w:val="0"/>
        <w:rPr>
          <w:color w:val="auto"/>
        </w:rPr>
      </w:pPr>
      <w:r>
        <w:rPr>
          <w:rFonts w:hint="eastAsia"/>
          <w:color w:val="auto"/>
        </w:rPr>
        <w:t>（</w:t>
      </w:r>
      <w:r>
        <w:rPr>
          <w:color w:val="auto"/>
        </w:rPr>
        <w:t>10</w:t>
      </w:r>
      <w:r>
        <w:rPr>
          <w:rFonts w:hint="eastAsia"/>
          <w:color w:val="auto"/>
        </w:rPr>
        <w:t>）《危险废物转移联单管理办法》（国家环境保护总局令第</w:t>
      </w:r>
      <w:r>
        <w:rPr>
          <w:color w:val="auto"/>
        </w:rPr>
        <w:t>5</w:t>
      </w:r>
      <w:r>
        <w:rPr>
          <w:rFonts w:hint="eastAsia"/>
          <w:color w:val="auto"/>
        </w:rPr>
        <w:t>号）；</w:t>
      </w:r>
    </w:p>
    <w:p w14:paraId="3A9B4428">
      <w:pPr>
        <w:bidi w:val="0"/>
        <w:rPr>
          <w:color w:val="auto"/>
        </w:rPr>
      </w:pPr>
      <w:r>
        <w:rPr>
          <w:rFonts w:hint="eastAsia"/>
          <w:color w:val="auto"/>
        </w:rPr>
        <w:t>（</w:t>
      </w:r>
      <w:r>
        <w:rPr>
          <w:color w:val="auto"/>
        </w:rPr>
        <w:t>11</w:t>
      </w:r>
      <w:r>
        <w:rPr>
          <w:rFonts w:hint="eastAsia"/>
          <w:color w:val="auto"/>
        </w:rPr>
        <w:t>）《危险废物经营许可证管理办法》（</w:t>
      </w:r>
      <w:r>
        <w:rPr>
          <w:color w:val="auto"/>
        </w:rPr>
        <w:t>2016</w:t>
      </w:r>
      <w:r>
        <w:rPr>
          <w:rFonts w:hint="eastAsia"/>
          <w:color w:val="auto"/>
        </w:rPr>
        <w:t>年修订）；</w:t>
      </w:r>
    </w:p>
    <w:p w14:paraId="73E4CCE8">
      <w:pPr>
        <w:bidi w:val="0"/>
        <w:rPr>
          <w:color w:val="auto"/>
        </w:rPr>
      </w:pPr>
      <w:r>
        <w:rPr>
          <w:rFonts w:hint="eastAsia"/>
          <w:color w:val="auto"/>
        </w:rPr>
        <w:t>（</w:t>
      </w:r>
      <w:r>
        <w:rPr>
          <w:color w:val="auto"/>
        </w:rPr>
        <w:t>12</w:t>
      </w:r>
      <w:r>
        <w:rPr>
          <w:rFonts w:hint="eastAsia"/>
          <w:color w:val="auto"/>
        </w:rPr>
        <w:t>）《关于做好环境影响评价制度与排污许可制衔接相关工作的通知》（环办环评〔</w:t>
      </w:r>
      <w:r>
        <w:rPr>
          <w:color w:val="auto"/>
        </w:rPr>
        <w:t>2017</w:t>
      </w:r>
      <w:r>
        <w:rPr>
          <w:rFonts w:hint="eastAsia"/>
          <w:color w:val="auto"/>
        </w:rPr>
        <w:t>〕</w:t>
      </w:r>
      <w:r>
        <w:rPr>
          <w:color w:val="auto"/>
        </w:rPr>
        <w:t>84</w:t>
      </w:r>
      <w:r>
        <w:rPr>
          <w:rFonts w:hint="eastAsia"/>
          <w:color w:val="auto"/>
        </w:rPr>
        <w:t>号）；</w:t>
      </w:r>
    </w:p>
    <w:p w14:paraId="62C24295">
      <w:pPr>
        <w:bidi w:val="0"/>
        <w:rPr>
          <w:color w:val="auto"/>
        </w:rPr>
      </w:pPr>
      <w:r>
        <w:rPr>
          <w:rFonts w:hint="eastAsia"/>
          <w:color w:val="auto"/>
        </w:rPr>
        <w:t>（</w:t>
      </w:r>
      <w:r>
        <w:rPr>
          <w:color w:val="auto"/>
        </w:rPr>
        <w:t>13</w:t>
      </w:r>
      <w:r>
        <w:rPr>
          <w:rFonts w:hint="eastAsia"/>
          <w:color w:val="auto"/>
        </w:rPr>
        <w:t>）《国务院办公厅关于印发控制污染物排放许可制实施方案的通知》（国办发〔</w:t>
      </w:r>
      <w:r>
        <w:rPr>
          <w:color w:val="auto"/>
        </w:rPr>
        <w:t>2016</w:t>
      </w:r>
      <w:r>
        <w:rPr>
          <w:rFonts w:hint="eastAsia"/>
          <w:color w:val="auto"/>
        </w:rPr>
        <w:t>〕</w:t>
      </w:r>
      <w:r>
        <w:rPr>
          <w:color w:val="auto"/>
        </w:rPr>
        <w:t>81</w:t>
      </w:r>
      <w:r>
        <w:rPr>
          <w:rFonts w:hint="eastAsia"/>
          <w:color w:val="auto"/>
        </w:rPr>
        <w:t>号）；</w:t>
      </w:r>
    </w:p>
    <w:p w14:paraId="2504FC5E">
      <w:pPr>
        <w:bidi w:val="0"/>
        <w:rPr>
          <w:color w:val="auto"/>
        </w:rPr>
      </w:pPr>
      <w:r>
        <w:rPr>
          <w:rFonts w:hint="eastAsia"/>
          <w:color w:val="auto"/>
        </w:rPr>
        <w:t>（1</w:t>
      </w:r>
      <w:r>
        <w:rPr>
          <w:color w:val="auto"/>
        </w:rPr>
        <w:t>4</w:t>
      </w:r>
      <w:r>
        <w:rPr>
          <w:rFonts w:hint="eastAsia"/>
          <w:color w:val="auto"/>
        </w:rPr>
        <w:t>）《关于加强资源环境生态红线管控的指导意见》（发改环资〔</w:t>
      </w:r>
      <w:r>
        <w:rPr>
          <w:color w:val="auto"/>
        </w:rPr>
        <w:t>2016</w:t>
      </w:r>
      <w:r>
        <w:rPr>
          <w:rFonts w:hint="eastAsia"/>
          <w:color w:val="auto"/>
        </w:rPr>
        <w:t>〕</w:t>
      </w:r>
      <w:r>
        <w:rPr>
          <w:color w:val="auto"/>
        </w:rPr>
        <w:t>1162</w:t>
      </w:r>
      <w:r>
        <w:rPr>
          <w:rFonts w:hint="eastAsia"/>
          <w:color w:val="auto"/>
        </w:rPr>
        <w:t>号）；</w:t>
      </w:r>
    </w:p>
    <w:p w14:paraId="4C5DCA05">
      <w:pPr>
        <w:bidi w:val="0"/>
        <w:rPr>
          <w:color w:val="auto"/>
        </w:rPr>
      </w:pPr>
      <w:r>
        <w:rPr>
          <w:rFonts w:hint="eastAsia"/>
          <w:color w:val="auto"/>
        </w:rPr>
        <w:t>（</w:t>
      </w:r>
      <w:r>
        <w:rPr>
          <w:color w:val="auto"/>
        </w:rPr>
        <w:t>15</w:t>
      </w:r>
      <w:r>
        <w:rPr>
          <w:rFonts w:hint="eastAsia"/>
          <w:color w:val="auto"/>
        </w:rPr>
        <w:t>）《关于发布</w:t>
      </w:r>
      <w:r>
        <w:rPr>
          <w:color w:val="auto"/>
        </w:rPr>
        <w:t>&lt;</w:t>
      </w:r>
      <w:r>
        <w:rPr>
          <w:rFonts w:hint="eastAsia"/>
          <w:color w:val="auto"/>
        </w:rPr>
        <w:t>建设项目危险废物环境影响评价指南</w:t>
      </w:r>
      <w:r>
        <w:rPr>
          <w:color w:val="auto"/>
        </w:rPr>
        <w:t>&gt;</w:t>
      </w:r>
      <w:r>
        <w:rPr>
          <w:rFonts w:hint="eastAsia"/>
          <w:color w:val="auto"/>
        </w:rPr>
        <w:t>的公告》（环境保护部公告</w:t>
      </w:r>
      <w:r>
        <w:rPr>
          <w:color w:val="auto"/>
        </w:rPr>
        <w:t xml:space="preserve"> </w:t>
      </w:r>
      <w:r>
        <w:rPr>
          <w:rFonts w:hint="eastAsia"/>
          <w:color w:val="auto"/>
        </w:rPr>
        <w:t>公告</w:t>
      </w:r>
      <w:r>
        <w:rPr>
          <w:color w:val="auto"/>
        </w:rPr>
        <w:t>2017</w:t>
      </w:r>
      <w:r>
        <w:rPr>
          <w:rFonts w:hint="eastAsia"/>
          <w:color w:val="auto"/>
        </w:rPr>
        <w:t>年第</w:t>
      </w:r>
      <w:r>
        <w:rPr>
          <w:color w:val="auto"/>
        </w:rPr>
        <w:t>43</w:t>
      </w:r>
      <w:r>
        <w:rPr>
          <w:rFonts w:hint="eastAsia"/>
          <w:color w:val="auto"/>
        </w:rPr>
        <w:t>号）；</w:t>
      </w:r>
    </w:p>
    <w:p w14:paraId="42521747">
      <w:pPr>
        <w:bidi w:val="0"/>
        <w:rPr>
          <w:color w:val="auto"/>
        </w:rPr>
      </w:pPr>
      <w:r>
        <w:rPr>
          <w:rFonts w:hint="eastAsia"/>
          <w:color w:val="auto"/>
        </w:rPr>
        <w:t>（</w:t>
      </w:r>
      <w:r>
        <w:rPr>
          <w:color w:val="auto"/>
        </w:rPr>
        <w:t>16</w:t>
      </w:r>
      <w:r>
        <w:rPr>
          <w:rFonts w:hint="eastAsia"/>
          <w:color w:val="auto"/>
        </w:rPr>
        <w:t>）《关于发布</w:t>
      </w:r>
      <w:r>
        <w:rPr>
          <w:color w:val="auto"/>
        </w:rPr>
        <w:t>&lt;</w:t>
      </w:r>
      <w:r>
        <w:rPr>
          <w:rFonts w:hint="eastAsia"/>
          <w:color w:val="auto"/>
        </w:rPr>
        <w:t>建设项目竣工环境保护验收暂行办法</w:t>
      </w:r>
      <w:r>
        <w:rPr>
          <w:color w:val="auto"/>
        </w:rPr>
        <w:t>&gt;</w:t>
      </w:r>
      <w:r>
        <w:rPr>
          <w:rFonts w:hint="eastAsia"/>
          <w:color w:val="auto"/>
        </w:rPr>
        <w:t>的公告》（国环规环评〔</w:t>
      </w:r>
      <w:r>
        <w:rPr>
          <w:color w:val="auto"/>
        </w:rPr>
        <w:t>2017</w:t>
      </w:r>
      <w:r>
        <w:rPr>
          <w:rFonts w:hint="eastAsia"/>
          <w:color w:val="auto"/>
        </w:rPr>
        <w:t>〕</w:t>
      </w:r>
      <w:r>
        <w:rPr>
          <w:color w:val="auto"/>
        </w:rPr>
        <w:t>4</w:t>
      </w:r>
      <w:r>
        <w:rPr>
          <w:rFonts w:hint="eastAsia"/>
          <w:color w:val="auto"/>
        </w:rPr>
        <w:t>号）；</w:t>
      </w:r>
    </w:p>
    <w:p w14:paraId="6FFAE4BC">
      <w:pPr>
        <w:bidi w:val="0"/>
        <w:rPr>
          <w:color w:val="auto"/>
        </w:rPr>
      </w:pPr>
      <w:r>
        <w:rPr>
          <w:rFonts w:hint="eastAsia"/>
          <w:color w:val="auto"/>
        </w:rPr>
        <w:t>（</w:t>
      </w:r>
      <w:r>
        <w:rPr>
          <w:color w:val="auto"/>
        </w:rPr>
        <w:t>17</w:t>
      </w:r>
      <w:r>
        <w:rPr>
          <w:rFonts w:hint="eastAsia"/>
          <w:color w:val="auto"/>
        </w:rPr>
        <w:t>）《排污许可管理办法（试行）》（环境保护部令</w:t>
      </w:r>
      <w:r>
        <w:rPr>
          <w:color w:val="auto"/>
        </w:rPr>
        <w:t xml:space="preserve"> </w:t>
      </w:r>
      <w:r>
        <w:rPr>
          <w:rFonts w:hint="eastAsia"/>
          <w:color w:val="auto"/>
        </w:rPr>
        <w:t>第</w:t>
      </w:r>
      <w:r>
        <w:rPr>
          <w:color w:val="auto"/>
        </w:rPr>
        <w:t>48</w:t>
      </w:r>
      <w:r>
        <w:rPr>
          <w:rFonts w:hint="eastAsia"/>
          <w:color w:val="auto"/>
        </w:rPr>
        <w:t>号）；</w:t>
      </w:r>
    </w:p>
    <w:p w14:paraId="036DCD3C">
      <w:pPr>
        <w:bidi w:val="0"/>
        <w:rPr>
          <w:rFonts w:hint="eastAsia" w:eastAsia="宋体"/>
          <w:color w:val="auto"/>
          <w:lang w:eastAsia="zh-CN"/>
        </w:rPr>
      </w:pPr>
      <w:r>
        <w:rPr>
          <w:rFonts w:hint="eastAsia"/>
          <w:color w:val="auto"/>
        </w:rPr>
        <w:t>（1</w:t>
      </w:r>
      <w:r>
        <w:rPr>
          <w:color w:val="auto"/>
        </w:rPr>
        <w:t>8</w:t>
      </w:r>
      <w:r>
        <w:rPr>
          <w:rFonts w:hint="eastAsia"/>
          <w:color w:val="auto"/>
        </w:rPr>
        <w:t>）《国务院关于印发打赢蓝天保卫战三年行动计划的通知》（国发〔</w:t>
      </w:r>
      <w:r>
        <w:rPr>
          <w:color w:val="auto"/>
        </w:rPr>
        <w:t>2018</w:t>
      </w:r>
      <w:r>
        <w:rPr>
          <w:rFonts w:hint="eastAsia"/>
          <w:color w:val="auto"/>
        </w:rPr>
        <w:t>〕</w:t>
      </w:r>
      <w:r>
        <w:rPr>
          <w:color w:val="auto"/>
        </w:rPr>
        <w:t>22</w:t>
      </w:r>
      <w:r>
        <w:rPr>
          <w:rFonts w:hint="eastAsia"/>
          <w:color w:val="auto"/>
        </w:rPr>
        <w:t>号）</w:t>
      </w:r>
      <w:r>
        <w:rPr>
          <w:rFonts w:hint="eastAsia"/>
          <w:color w:val="auto"/>
          <w:lang w:eastAsia="zh-CN"/>
        </w:rPr>
        <w:t>；</w:t>
      </w:r>
    </w:p>
    <w:p w14:paraId="737793EE">
      <w:pPr>
        <w:bidi w:val="0"/>
        <w:rPr>
          <w:color w:val="auto"/>
        </w:rPr>
      </w:pPr>
      <w:r>
        <w:rPr>
          <w:rFonts w:hint="eastAsia"/>
          <w:color w:val="auto"/>
        </w:rPr>
        <w:t>（</w:t>
      </w:r>
      <w:r>
        <w:rPr>
          <w:color w:val="auto"/>
        </w:rPr>
        <w:t>19</w:t>
      </w:r>
      <w:r>
        <w:rPr>
          <w:rFonts w:hint="eastAsia"/>
          <w:color w:val="auto"/>
        </w:rPr>
        <w:t>）《关于印发地下水污染防治实施方案的通知》（生态环境部、自然资源部、住房和城乡建设部、水利部、农业农村部，环土壤〔</w:t>
      </w:r>
      <w:r>
        <w:rPr>
          <w:color w:val="auto"/>
        </w:rPr>
        <w:t>2019</w:t>
      </w:r>
      <w:r>
        <w:rPr>
          <w:rFonts w:hint="eastAsia"/>
          <w:color w:val="auto"/>
        </w:rPr>
        <w:t>〕</w:t>
      </w:r>
      <w:r>
        <w:rPr>
          <w:color w:val="auto"/>
        </w:rPr>
        <w:t>25</w:t>
      </w:r>
      <w:r>
        <w:rPr>
          <w:rFonts w:hint="eastAsia"/>
          <w:color w:val="auto"/>
        </w:rPr>
        <w:t>号）；</w:t>
      </w:r>
    </w:p>
    <w:p w14:paraId="68731AA0">
      <w:pPr>
        <w:bidi w:val="0"/>
        <w:rPr>
          <w:color w:val="auto"/>
        </w:rPr>
      </w:pPr>
      <w:r>
        <w:rPr>
          <w:rFonts w:hint="eastAsia"/>
          <w:color w:val="auto"/>
        </w:rPr>
        <w:t>（</w:t>
      </w:r>
      <w:r>
        <w:rPr>
          <w:color w:val="auto"/>
        </w:rPr>
        <w:t>20</w:t>
      </w:r>
      <w:r>
        <w:rPr>
          <w:rFonts w:hint="eastAsia"/>
          <w:color w:val="auto"/>
        </w:rPr>
        <w:t>）《四川省固体废物污染环境防治条例》（2018年7月26日修订实施）；</w:t>
      </w:r>
    </w:p>
    <w:p w14:paraId="0E30B393">
      <w:pPr>
        <w:bidi w:val="0"/>
        <w:rPr>
          <w:color w:val="auto"/>
        </w:rPr>
      </w:pPr>
      <w:r>
        <w:rPr>
          <w:rFonts w:hint="eastAsia"/>
          <w:color w:val="auto"/>
        </w:rPr>
        <w:t>（</w:t>
      </w:r>
      <w:r>
        <w:rPr>
          <w:color w:val="auto"/>
        </w:rPr>
        <w:t>21</w:t>
      </w:r>
      <w:r>
        <w:rPr>
          <w:rFonts w:hint="eastAsia"/>
          <w:color w:val="auto"/>
        </w:rPr>
        <w:t>）</w:t>
      </w:r>
      <w:r>
        <w:rPr>
          <w:color w:val="auto"/>
        </w:rPr>
        <w:t>《四川省人民政府关于印发&lt;水污染防治行动计划四川省工作方案&gt;的通知》（川府发〔2015〕59号）；</w:t>
      </w:r>
    </w:p>
    <w:p w14:paraId="6D5F263E">
      <w:pPr>
        <w:bidi w:val="0"/>
        <w:rPr>
          <w:rFonts w:hint="eastAsia"/>
          <w:color w:val="auto"/>
        </w:rPr>
      </w:pPr>
      <w:r>
        <w:rPr>
          <w:rFonts w:hint="eastAsia"/>
          <w:color w:val="auto"/>
        </w:rPr>
        <w:t>（2</w:t>
      </w:r>
      <w:r>
        <w:rPr>
          <w:color w:val="auto"/>
        </w:rPr>
        <w:t>2</w:t>
      </w:r>
      <w:r>
        <w:rPr>
          <w:rFonts w:hint="eastAsia"/>
          <w:color w:val="auto"/>
        </w:rPr>
        <w:t>）</w:t>
      </w:r>
      <w:r>
        <w:rPr>
          <w:color w:val="auto"/>
        </w:rPr>
        <w:t>《四川省人民政府关于印发&lt;土壤污染防治行动计划四川省工作方案&gt;的通知》（川府发〔2016〕63号）；</w:t>
      </w:r>
    </w:p>
    <w:p w14:paraId="0F000397">
      <w:pPr>
        <w:bidi w:val="0"/>
        <w:rPr>
          <w:color w:val="auto"/>
        </w:rPr>
      </w:pPr>
      <w:r>
        <w:rPr>
          <w:rFonts w:hint="eastAsia"/>
          <w:color w:val="auto"/>
        </w:rPr>
        <w:t>（</w:t>
      </w:r>
      <w:r>
        <w:rPr>
          <w:color w:val="auto"/>
        </w:rPr>
        <w:t>23</w:t>
      </w:r>
      <w:r>
        <w:rPr>
          <w:rFonts w:hint="eastAsia"/>
          <w:color w:val="auto"/>
        </w:rPr>
        <w:t>）</w:t>
      </w:r>
      <w:r>
        <w:rPr>
          <w:color w:val="auto"/>
        </w:rPr>
        <w:t>《四川省人民政府关于印发&lt;四川省大气污染防治行动计划实施细则&gt;的通知》（川府发〔2014〕4号）；</w:t>
      </w:r>
    </w:p>
    <w:p w14:paraId="6671A224">
      <w:pPr>
        <w:bidi w:val="0"/>
        <w:rPr>
          <w:color w:val="auto"/>
        </w:rPr>
      </w:pPr>
      <w:r>
        <w:rPr>
          <w:rFonts w:hint="eastAsia"/>
          <w:color w:val="auto"/>
        </w:rPr>
        <w:t>（</w:t>
      </w:r>
      <w:r>
        <w:rPr>
          <w:color w:val="auto"/>
        </w:rPr>
        <w:t>24</w:t>
      </w:r>
      <w:r>
        <w:rPr>
          <w:rFonts w:hint="eastAsia"/>
          <w:color w:val="auto"/>
        </w:rPr>
        <w:t>）</w:t>
      </w:r>
      <w:r>
        <w:rPr>
          <w:color w:val="auto"/>
        </w:rPr>
        <w:t>《关于印发四川省生态保护红线方案的通知》（川府发〔2018〕24号）；</w:t>
      </w:r>
    </w:p>
    <w:p w14:paraId="60B42BFE">
      <w:pPr>
        <w:bidi w:val="0"/>
        <w:rPr>
          <w:color w:val="auto"/>
        </w:rPr>
      </w:pPr>
      <w:r>
        <w:rPr>
          <w:rFonts w:hint="eastAsia"/>
          <w:color w:val="auto"/>
        </w:rPr>
        <w:t>（</w:t>
      </w:r>
      <w:r>
        <w:rPr>
          <w:color w:val="auto"/>
        </w:rPr>
        <w:t>25</w:t>
      </w:r>
      <w:r>
        <w:rPr>
          <w:rFonts w:hint="eastAsia"/>
          <w:color w:val="auto"/>
        </w:rPr>
        <w:t>）</w:t>
      </w:r>
      <w:r>
        <w:rPr>
          <w:color w:val="auto"/>
        </w:rPr>
        <w:t>《四川省建筑工程扬尘污染防治技术导则（试行）》（川建发[2019]16号）；</w:t>
      </w:r>
    </w:p>
    <w:p w14:paraId="2811ACC8">
      <w:pPr>
        <w:bidi w:val="0"/>
        <w:rPr>
          <w:color w:val="auto"/>
        </w:rPr>
      </w:pPr>
      <w:r>
        <w:rPr>
          <w:rFonts w:hint="eastAsia"/>
          <w:color w:val="auto"/>
        </w:rPr>
        <w:t>（2</w:t>
      </w:r>
      <w:r>
        <w:rPr>
          <w:color w:val="auto"/>
        </w:rPr>
        <w:t>6</w:t>
      </w:r>
      <w:r>
        <w:rPr>
          <w:rFonts w:hint="eastAsia"/>
          <w:color w:val="auto"/>
        </w:rPr>
        <w:t>）</w:t>
      </w:r>
      <w:r>
        <w:rPr>
          <w:color w:val="auto"/>
        </w:rPr>
        <w:t>《四川省人民政府关于印发四川省</w:t>
      </w:r>
      <w:r>
        <w:rPr>
          <w:rFonts w:hint="eastAsia"/>
          <w:color w:val="auto"/>
          <w:lang w:eastAsia="zh-CN"/>
        </w:rPr>
        <w:t>打赢</w:t>
      </w:r>
      <w:r>
        <w:rPr>
          <w:color w:val="auto"/>
        </w:rPr>
        <w:t>蓝天保卫战等九个实施方案的通知》（川府发[2019]4号）；</w:t>
      </w:r>
    </w:p>
    <w:p w14:paraId="0EA8B558">
      <w:pPr>
        <w:bidi w:val="0"/>
        <w:rPr>
          <w:rFonts w:hint="eastAsia"/>
          <w:color w:val="auto"/>
        </w:rPr>
      </w:pPr>
      <w:r>
        <w:rPr>
          <w:rFonts w:hint="eastAsia"/>
          <w:color w:val="auto"/>
        </w:rPr>
        <w:t>（</w:t>
      </w:r>
      <w:r>
        <w:rPr>
          <w:color w:val="auto"/>
        </w:rPr>
        <w:t>27</w:t>
      </w:r>
      <w:r>
        <w:rPr>
          <w:rFonts w:hint="eastAsia"/>
          <w:color w:val="auto"/>
        </w:rPr>
        <w:t>）《四川省“十四五”生态环境保护规划》；</w:t>
      </w:r>
    </w:p>
    <w:p w14:paraId="57352460">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环评技术导则规范</w:t>
      </w:r>
      <w:bookmarkEnd w:id="43"/>
    </w:p>
    <w:p w14:paraId="383E54DE">
      <w:pPr>
        <w:pageBreakBefore w:val="0"/>
        <w:wordWrap/>
        <w:bidi w:val="0"/>
        <w:adjustRightInd/>
        <w:snapToGrid/>
        <w:ind w:firstLine="480"/>
        <w:rPr>
          <w:color w:val="auto"/>
        </w:rPr>
      </w:pPr>
      <w:r>
        <w:rPr>
          <w:color w:val="auto"/>
        </w:rPr>
        <w:t>（1）《建设项目环境影响评价技术导则   总纲》（HJ2.1-2016）；</w:t>
      </w:r>
    </w:p>
    <w:p w14:paraId="52BE2FB4">
      <w:pPr>
        <w:pageBreakBefore w:val="0"/>
        <w:wordWrap/>
        <w:bidi w:val="0"/>
        <w:adjustRightInd/>
        <w:snapToGrid/>
        <w:ind w:firstLine="480"/>
        <w:rPr>
          <w:color w:val="auto"/>
        </w:rPr>
      </w:pPr>
      <w:r>
        <w:rPr>
          <w:color w:val="auto"/>
        </w:rPr>
        <w:t>（2）《环境影响评价技术导则   大气环境》（HJ2.2-2018）；</w:t>
      </w:r>
    </w:p>
    <w:p w14:paraId="1D69B701">
      <w:pPr>
        <w:pageBreakBefore w:val="0"/>
        <w:wordWrap/>
        <w:bidi w:val="0"/>
        <w:adjustRightInd/>
        <w:snapToGrid/>
        <w:ind w:firstLine="480"/>
        <w:rPr>
          <w:color w:val="auto"/>
        </w:rPr>
      </w:pPr>
      <w:r>
        <w:rPr>
          <w:color w:val="auto"/>
        </w:rPr>
        <w:t>（3）《环境影响评价技术导则   地表水环境》（HJ2.3-2018）；</w:t>
      </w:r>
    </w:p>
    <w:p w14:paraId="6E2149E8">
      <w:pPr>
        <w:pageBreakBefore w:val="0"/>
        <w:wordWrap/>
        <w:bidi w:val="0"/>
        <w:adjustRightInd/>
        <w:snapToGrid/>
        <w:ind w:firstLine="480"/>
        <w:rPr>
          <w:color w:val="auto"/>
        </w:rPr>
      </w:pPr>
      <w:r>
        <w:rPr>
          <w:color w:val="auto"/>
        </w:rPr>
        <w:t>（4）《环境影响评价技术导则   地下水环境》（HJ610-2016）；</w:t>
      </w:r>
    </w:p>
    <w:p w14:paraId="34A063D2">
      <w:pPr>
        <w:pageBreakBefore w:val="0"/>
        <w:wordWrap/>
        <w:bidi w:val="0"/>
        <w:adjustRightInd/>
        <w:snapToGrid/>
        <w:ind w:firstLine="480"/>
        <w:rPr>
          <w:color w:val="auto"/>
        </w:rPr>
      </w:pPr>
      <w:r>
        <w:rPr>
          <w:color w:val="auto"/>
        </w:rPr>
        <w:t>（5）《环境影响评价技术导则   声环境》（</w:t>
      </w:r>
      <w:r>
        <w:rPr>
          <w:rFonts w:hint="eastAsia"/>
          <w:color w:val="auto"/>
          <w:lang w:eastAsia="zh-CN"/>
        </w:rPr>
        <w:t>HJ 2.4-2021</w:t>
      </w:r>
      <w:r>
        <w:rPr>
          <w:color w:val="auto"/>
        </w:rPr>
        <w:t>）；</w:t>
      </w:r>
    </w:p>
    <w:p w14:paraId="3AFBB3CD">
      <w:pPr>
        <w:pageBreakBefore w:val="0"/>
        <w:wordWrap/>
        <w:bidi w:val="0"/>
        <w:adjustRightInd/>
        <w:snapToGrid/>
        <w:ind w:firstLine="480"/>
        <w:rPr>
          <w:color w:val="auto"/>
        </w:rPr>
      </w:pPr>
      <w:r>
        <w:rPr>
          <w:color w:val="auto"/>
        </w:rPr>
        <w:t>（6）《环境影响评价技术导则   生态影响》（</w:t>
      </w:r>
      <w:r>
        <w:rPr>
          <w:rFonts w:hint="eastAsia"/>
          <w:color w:val="auto"/>
          <w:lang w:eastAsia="zh-CN"/>
        </w:rPr>
        <w:t>HJ19-2022</w:t>
      </w:r>
      <w:r>
        <w:rPr>
          <w:color w:val="auto"/>
        </w:rPr>
        <w:t>）；</w:t>
      </w:r>
    </w:p>
    <w:p w14:paraId="621C2C74">
      <w:pPr>
        <w:pageBreakBefore w:val="0"/>
        <w:wordWrap/>
        <w:bidi w:val="0"/>
        <w:adjustRightInd/>
        <w:snapToGrid/>
        <w:ind w:firstLine="480"/>
        <w:rPr>
          <w:color w:val="auto"/>
        </w:rPr>
      </w:pPr>
      <w:r>
        <w:rPr>
          <w:color w:val="auto"/>
        </w:rPr>
        <w:t>（7）《环境影响评价技术导则   土壤环境（试行）》（HJ964-2018）；</w:t>
      </w:r>
    </w:p>
    <w:p w14:paraId="733A9062">
      <w:pPr>
        <w:pageBreakBefore w:val="0"/>
        <w:wordWrap/>
        <w:bidi w:val="0"/>
        <w:adjustRightInd/>
        <w:snapToGrid/>
        <w:ind w:firstLine="480"/>
        <w:rPr>
          <w:color w:val="auto"/>
        </w:rPr>
      </w:pPr>
      <w:r>
        <w:rPr>
          <w:color w:val="auto"/>
        </w:rPr>
        <w:t>（8）《建设项目环境风险评价技术导则》（HJ169-2018）；</w:t>
      </w:r>
    </w:p>
    <w:p w14:paraId="01D1B581">
      <w:pPr>
        <w:pageBreakBefore w:val="0"/>
        <w:wordWrap/>
        <w:bidi w:val="0"/>
        <w:adjustRightInd/>
        <w:snapToGrid/>
        <w:ind w:firstLine="480"/>
        <w:rPr>
          <w:color w:val="auto"/>
        </w:rPr>
      </w:pPr>
      <w:r>
        <w:rPr>
          <w:color w:val="auto"/>
        </w:rPr>
        <w:t>（9）《生态环境状况评价技术规范》（HJ192-2015）；</w:t>
      </w:r>
    </w:p>
    <w:p w14:paraId="37689F94">
      <w:pPr>
        <w:pageBreakBefore w:val="0"/>
        <w:wordWrap/>
        <w:bidi w:val="0"/>
        <w:adjustRightInd/>
        <w:snapToGrid/>
        <w:ind w:firstLine="480"/>
        <w:rPr>
          <w:color w:val="auto"/>
        </w:rPr>
      </w:pPr>
      <w:r>
        <w:rPr>
          <w:color w:val="auto"/>
        </w:rPr>
        <w:t>（10）《</w:t>
      </w:r>
      <w:r>
        <w:rPr>
          <w:rFonts w:hint="eastAsia"/>
          <w:color w:val="auto"/>
          <w:lang w:eastAsia="zh-CN"/>
        </w:rPr>
        <w:t>生产建设项目水土保持技术标准</w:t>
      </w:r>
      <w:r>
        <w:rPr>
          <w:color w:val="auto"/>
        </w:rPr>
        <w:t>》（</w:t>
      </w:r>
      <w:r>
        <w:rPr>
          <w:rFonts w:hint="eastAsia"/>
          <w:color w:val="auto"/>
          <w:lang w:eastAsia="zh-CN"/>
        </w:rPr>
        <w:t>GB 50433-2018</w:t>
      </w:r>
      <w:r>
        <w:rPr>
          <w:color w:val="auto"/>
        </w:rPr>
        <w:t>）；</w:t>
      </w:r>
    </w:p>
    <w:p w14:paraId="4031FE8F">
      <w:pPr>
        <w:pageBreakBefore w:val="0"/>
        <w:wordWrap/>
        <w:bidi w:val="0"/>
        <w:adjustRightInd/>
        <w:snapToGrid/>
        <w:ind w:firstLine="480"/>
        <w:rPr>
          <w:color w:val="auto"/>
        </w:rPr>
      </w:pPr>
      <w:r>
        <w:rPr>
          <w:color w:val="auto"/>
        </w:rPr>
        <w:t>（11）《地表水环境质量标准》（GB3838-2002）；</w:t>
      </w:r>
    </w:p>
    <w:p w14:paraId="6FB8DDC1">
      <w:pPr>
        <w:pageBreakBefore w:val="0"/>
        <w:wordWrap/>
        <w:bidi w:val="0"/>
        <w:adjustRightInd/>
        <w:snapToGrid/>
        <w:ind w:firstLine="480"/>
        <w:rPr>
          <w:color w:val="auto"/>
        </w:rPr>
      </w:pPr>
      <w:r>
        <w:rPr>
          <w:color w:val="auto"/>
        </w:rPr>
        <w:t>（12）《环境空气质量标准》（GB3095-2012）；</w:t>
      </w:r>
    </w:p>
    <w:p w14:paraId="7BE7820D">
      <w:pPr>
        <w:pageBreakBefore w:val="0"/>
        <w:wordWrap/>
        <w:bidi w:val="0"/>
        <w:adjustRightInd/>
        <w:snapToGrid/>
        <w:ind w:firstLine="480"/>
        <w:rPr>
          <w:color w:val="auto"/>
        </w:rPr>
      </w:pPr>
      <w:r>
        <w:rPr>
          <w:color w:val="auto"/>
        </w:rPr>
        <w:t>（13）《声环境质量标准》（GB3096-2008）；</w:t>
      </w:r>
    </w:p>
    <w:p w14:paraId="0C40A017">
      <w:pPr>
        <w:pageBreakBefore w:val="0"/>
        <w:wordWrap/>
        <w:bidi w:val="0"/>
        <w:adjustRightInd/>
        <w:snapToGrid/>
        <w:ind w:firstLine="480"/>
        <w:rPr>
          <w:color w:val="auto"/>
        </w:rPr>
      </w:pPr>
      <w:r>
        <w:rPr>
          <w:color w:val="auto"/>
        </w:rPr>
        <w:t>（14）《地下水质量标准》（GB/T14848-2017）；</w:t>
      </w:r>
    </w:p>
    <w:p w14:paraId="1F822328">
      <w:pPr>
        <w:pageBreakBefore w:val="0"/>
        <w:wordWrap/>
        <w:bidi w:val="0"/>
        <w:adjustRightInd/>
        <w:snapToGrid/>
        <w:ind w:firstLine="480"/>
        <w:rPr>
          <w:color w:val="auto"/>
        </w:rPr>
      </w:pPr>
      <w:r>
        <w:rPr>
          <w:color w:val="auto"/>
        </w:rPr>
        <w:t>（15）《土壤环境质量 建设用地土壤污染风险管控标准（试行）》（GB36600-2018）；</w:t>
      </w:r>
    </w:p>
    <w:p w14:paraId="48F3899A">
      <w:pPr>
        <w:pageBreakBefore w:val="0"/>
        <w:wordWrap/>
        <w:bidi w:val="0"/>
        <w:adjustRightInd/>
        <w:snapToGrid/>
        <w:ind w:firstLine="480"/>
        <w:rPr>
          <w:color w:val="auto"/>
        </w:rPr>
      </w:pPr>
      <w:r>
        <w:rPr>
          <w:color w:val="auto"/>
        </w:rPr>
        <w:t>（16）《</w:t>
      </w:r>
      <w:r>
        <w:rPr>
          <w:rFonts w:hint="eastAsia"/>
          <w:color w:val="auto"/>
          <w:lang w:eastAsia="zh-CN"/>
        </w:rPr>
        <w:t>生产建设项目水土流失防治标准</w:t>
      </w:r>
      <w:r>
        <w:rPr>
          <w:color w:val="auto"/>
        </w:rPr>
        <w:t>》（</w:t>
      </w:r>
      <w:r>
        <w:rPr>
          <w:rFonts w:hint="eastAsia"/>
          <w:color w:val="auto"/>
          <w:lang w:eastAsia="zh-CN"/>
        </w:rPr>
        <w:t>GB/T 50434-2018</w:t>
      </w:r>
      <w:r>
        <w:rPr>
          <w:color w:val="auto"/>
        </w:rPr>
        <w:t>）；</w:t>
      </w:r>
    </w:p>
    <w:p w14:paraId="257CB3E6">
      <w:pPr>
        <w:pageBreakBefore w:val="0"/>
        <w:wordWrap/>
        <w:bidi w:val="0"/>
        <w:adjustRightInd/>
        <w:snapToGrid/>
        <w:ind w:firstLine="480"/>
        <w:rPr>
          <w:color w:val="auto"/>
        </w:rPr>
      </w:pPr>
      <w:r>
        <w:rPr>
          <w:color w:val="auto"/>
        </w:rPr>
        <w:t>（17）《污染源源强核算技术指南 准则》（HJ884-2018）。</w:t>
      </w:r>
    </w:p>
    <w:p w14:paraId="1F9363EA">
      <w:pPr>
        <w:pStyle w:val="5"/>
        <w:pageBreakBefore w:val="0"/>
        <w:wordWrap/>
        <w:bidi w:val="0"/>
        <w:adjustRightInd/>
        <w:snapToGrid/>
        <w:spacing w:before="48" w:after="48"/>
        <w:ind w:left="0"/>
        <w:rPr>
          <w:rFonts w:eastAsia="宋体"/>
          <w:color w:val="auto"/>
        </w:rPr>
      </w:pPr>
      <w:bookmarkStart w:id="44" w:name="_Toc18212"/>
      <w:bookmarkStart w:id="45" w:name="_Toc374627696"/>
      <w:r>
        <w:rPr>
          <w:rFonts w:hint="eastAsia" w:eastAsia="宋体"/>
          <w:color w:val="auto"/>
        </w:rPr>
        <w:t xml:space="preserve"> </w:t>
      </w:r>
      <w:r>
        <w:rPr>
          <w:rFonts w:eastAsia="宋体"/>
          <w:color w:val="auto"/>
        </w:rPr>
        <w:t>建设项目有关资料</w:t>
      </w:r>
      <w:bookmarkEnd w:id="44"/>
      <w:bookmarkEnd w:id="45"/>
    </w:p>
    <w:p w14:paraId="396D9759">
      <w:pPr>
        <w:pageBreakBefore w:val="0"/>
        <w:wordWrap/>
        <w:bidi w:val="0"/>
        <w:adjustRightInd/>
        <w:snapToGrid/>
        <w:ind w:firstLine="470" w:firstLineChars="196"/>
        <w:rPr>
          <w:color w:val="auto"/>
        </w:rPr>
      </w:pPr>
      <w:r>
        <w:rPr>
          <w:color w:val="auto"/>
        </w:rPr>
        <w:t>（1）《</w:t>
      </w:r>
      <w:r>
        <w:rPr>
          <w:rFonts w:hint="eastAsia"/>
          <w:color w:val="auto"/>
          <w:lang w:eastAsia="zh-CN"/>
        </w:rPr>
        <w:t>巴中市巴州区曾口片区污水处理厂、环境监测站建设项目</w:t>
      </w:r>
      <w:r>
        <w:rPr>
          <w:color w:val="auto"/>
        </w:rPr>
        <w:t>可行性研究报告》</w:t>
      </w:r>
      <w:r>
        <w:rPr>
          <w:rFonts w:hint="eastAsia"/>
          <w:color w:val="auto"/>
          <w:lang w:eastAsia="zh-CN"/>
        </w:rPr>
        <w:t>（四川易细达工程咨询有限责任公司，</w:t>
      </w:r>
      <w:r>
        <w:rPr>
          <w:rFonts w:hint="eastAsia"/>
          <w:color w:val="auto"/>
          <w:lang w:val="en-US" w:eastAsia="zh-CN"/>
        </w:rPr>
        <w:t>2024年2月</w:t>
      </w:r>
      <w:r>
        <w:rPr>
          <w:rFonts w:hint="eastAsia"/>
          <w:color w:val="auto"/>
          <w:lang w:eastAsia="zh-CN"/>
        </w:rPr>
        <w:t>）</w:t>
      </w:r>
      <w:r>
        <w:rPr>
          <w:rFonts w:hint="eastAsia"/>
          <w:color w:val="auto"/>
        </w:rPr>
        <w:t>；</w:t>
      </w:r>
    </w:p>
    <w:p w14:paraId="5C173709">
      <w:pPr>
        <w:pageBreakBefore w:val="0"/>
        <w:wordWrap/>
        <w:bidi w:val="0"/>
        <w:adjustRightInd/>
        <w:snapToGrid/>
        <w:ind w:firstLine="470" w:firstLineChars="196"/>
        <w:rPr>
          <w:rFonts w:hint="eastAsia" w:eastAsia="宋体"/>
          <w:color w:val="auto"/>
          <w:lang w:eastAsia="zh-CN"/>
        </w:rPr>
      </w:pPr>
      <w:r>
        <w:rPr>
          <w:color w:val="auto"/>
        </w:rPr>
        <w:t>（2）</w:t>
      </w:r>
      <w:r>
        <w:rPr>
          <w:rFonts w:hint="eastAsia"/>
          <w:color w:val="auto"/>
          <w:lang w:eastAsia="zh-CN"/>
        </w:rPr>
        <w:t>《巴中市巴州区曾口片区污水处理厂、环境监测站建设项目</w:t>
      </w:r>
      <w:r>
        <w:rPr>
          <w:rFonts w:hint="eastAsia"/>
          <w:color w:val="auto"/>
        </w:rPr>
        <w:t>初步设计</w:t>
      </w:r>
      <w:r>
        <w:rPr>
          <w:rFonts w:hint="eastAsia"/>
          <w:color w:val="auto"/>
          <w:lang w:eastAsia="zh-CN"/>
        </w:rPr>
        <w:t>》（信息产业电子第十一设计研究院科技工程股份有限公司，</w:t>
      </w:r>
      <w:r>
        <w:rPr>
          <w:rFonts w:hint="eastAsia"/>
          <w:color w:val="auto"/>
          <w:lang w:val="en-US" w:eastAsia="zh-CN"/>
        </w:rPr>
        <w:t>2024年7月</w:t>
      </w:r>
      <w:r>
        <w:rPr>
          <w:rFonts w:hint="eastAsia"/>
          <w:color w:val="auto"/>
          <w:lang w:eastAsia="zh-CN"/>
        </w:rPr>
        <w:t>）；</w:t>
      </w:r>
    </w:p>
    <w:p w14:paraId="1C835595">
      <w:pPr>
        <w:pageBreakBefore w:val="0"/>
        <w:wordWrap/>
        <w:bidi w:val="0"/>
        <w:adjustRightInd/>
        <w:snapToGrid/>
        <w:ind w:firstLine="470" w:firstLineChars="196"/>
        <w:rPr>
          <w:color w:val="auto"/>
        </w:rPr>
      </w:pPr>
      <w:r>
        <w:rPr>
          <w:color w:val="auto"/>
        </w:rPr>
        <w:t>（3）</w:t>
      </w:r>
      <w:r>
        <w:rPr>
          <w:rFonts w:hint="eastAsia"/>
          <w:color w:val="auto"/>
          <w:lang w:eastAsia="zh-CN"/>
        </w:rPr>
        <w:t>《巴中市巴州区曾口片区污水处理厂、环境监测站建设项目  岩土工程勘察报告（详勘）》（</w:t>
      </w:r>
      <w:r>
        <w:rPr>
          <w:rFonts w:hint="eastAsia"/>
          <w:color w:val="auto"/>
          <w:lang w:val="en-US" w:eastAsia="zh-CN"/>
        </w:rPr>
        <w:t>四川九零九工程勘察设计有限公司，2024年3月</w:t>
      </w:r>
      <w:r>
        <w:rPr>
          <w:rFonts w:hint="eastAsia"/>
          <w:color w:val="auto"/>
          <w:lang w:eastAsia="zh-CN"/>
        </w:rPr>
        <w:t>）；</w:t>
      </w:r>
    </w:p>
    <w:p w14:paraId="0D90B2B4">
      <w:pPr>
        <w:pageBreakBefore w:val="0"/>
        <w:wordWrap/>
        <w:bidi w:val="0"/>
        <w:adjustRightInd/>
        <w:snapToGrid/>
        <w:ind w:firstLine="470" w:firstLineChars="196"/>
        <w:rPr>
          <w:rFonts w:hint="eastAsia" w:eastAsia="宋体"/>
          <w:color w:val="auto"/>
          <w:lang w:eastAsia="zh-CN"/>
        </w:rPr>
      </w:pPr>
      <w:r>
        <w:rPr>
          <w:color w:val="auto"/>
        </w:rPr>
        <w:t>（</w:t>
      </w:r>
      <w:r>
        <w:rPr>
          <w:rFonts w:hint="eastAsia"/>
          <w:color w:val="auto"/>
        </w:rPr>
        <w:t>4</w:t>
      </w:r>
      <w:r>
        <w:rPr>
          <w:color w:val="auto"/>
        </w:rPr>
        <w:t>）</w:t>
      </w:r>
      <w:r>
        <w:rPr>
          <w:rFonts w:hint="eastAsia"/>
          <w:color w:val="auto"/>
          <w:lang w:eastAsia="zh-CN"/>
        </w:rPr>
        <w:t>《巴中曾口-金堂化工园区总体规划（</w:t>
      </w:r>
      <w:r>
        <w:rPr>
          <w:rFonts w:hint="eastAsia"/>
          <w:color w:val="auto"/>
          <w:lang w:val="en-US" w:eastAsia="zh-CN"/>
        </w:rPr>
        <w:t>2022-2035年</w:t>
      </w:r>
      <w:r>
        <w:rPr>
          <w:rFonts w:hint="eastAsia"/>
          <w:color w:val="auto"/>
          <w:lang w:eastAsia="zh-CN"/>
        </w:rPr>
        <w:t>）》（</w:t>
      </w:r>
      <w:r>
        <w:rPr>
          <w:rFonts w:hint="eastAsia"/>
          <w:color w:val="auto"/>
          <w:lang w:val="en-US" w:eastAsia="zh-CN"/>
        </w:rPr>
        <w:t>北京世纪千府国际工程设计有限公司联合西南化工研究设计院有限公司，2023年10月</w:t>
      </w:r>
      <w:r>
        <w:rPr>
          <w:rFonts w:hint="eastAsia"/>
          <w:color w:val="auto"/>
          <w:lang w:eastAsia="zh-CN"/>
        </w:rPr>
        <w:t>）；</w:t>
      </w:r>
    </w:p>
    <w:p w14:paraId="14BF19F3">
      <w:pPr>
        <w:pageBreakBefore w:val="0"/>
        <w:wordWrap/>
        <w:bidi w:val="0"/>
        <w:adjustRightInd/>
        <w:snapToGrid/>
        <w:ind w:firstLine="470" w:firstLineChars="196"/>
        <w:rPr>
          <w:rFonts w:hint="eastAsia"/>
          <w:color w:val="auto"/>
          <w:lang w:eastAsia="zh-CN"/>
        </w:rPr>
      </w:pPr>
      <w:r>
        <w:rPr>
          <w:rFonts w:hint="eastAsia"/>
          <w:color w:val="auto"/>
        </w:rPr>
        <w:t>（5）</w:t>
      </w:r>
      <w:r>
        <w:rPr>
          <w:rFonts w:hint="eastAsia"/>
          <w:color w:val="auto"/>
          <w:lang w:eastAsia="zh-CN"/>
        </w:rPr>
        <w:t>《四川巴中经济开发区规划修编</w:t>
      </w:r>
      <w:r>
        <w:rPr>
          <w:rFonts w:hint="eastAsia"/>
          <w:color w:val="auto"/>
          <w:lang w:val="en-US" w:eastAsia="zh-CN"/>
        </w:rPr>
        <w:t>环境影响报告书</w:t>
      </w:r>
      <w:r>
        <w:rPr>
          <w:rFonts w:hint="eastAsia"/>
          <w:color w:val="auto"/>
          <w:lang w:eastAsia="zh-CN"/>
        </w:rPr>
        <w:t>》（信息产业电子第十一设计研究院科技工程股份有限公司，</w:t>
      </w:r>
      <w:r>
        <w:rPr>
          <w:rFonts w:hint="eastAsia"/>
          <w:color w:val="auto"/>
          <w:lang w:val="en-US" w:eastAsia="zh-CN"/>
        </w:rPr>
        <w:t>2023年10月</w:t>
      </w:r>
      <w:r>
        <w:rPr>
          <w:rFonts w:hint="eastAsia"/>
          <w:color w:val="auto"/>
          <w:lang w:eastAsia="zh-CN"/>
        </w:rPr>
        <w:t>）；</w:t>
      </w:r>
    </w:p>
    <w:p w14:paraId="25B5D589">
      <w:pPr>
        <w:bidi w:val="0"/>
        <w:rPr>
          <w:rFonts w:hint="eastAsia"/>
          <w:color w:val="auto"/>
          <w:lang w:val="en-US" w:eastAsia="zh-CN"/>
        </w:rPr>
      </w:pPr>
      <w:r>
        <w:rPr>
          <w:rFonts w:hint="eastAsia"/>
          <w:color w:val="auto"/>
          <w:lang w:eastAsia="zh-CN"/>
        </w:rPr>
        <w:t>（</w:t>
      </w:r>
      <w:r>
        <w:rPr>
          <w:rFonts w:hint="eastAsia"/>
          <w:color w:val="auto"/>
          <w:lang w:val="en-US" w:eastAsia="zh-CN"/>
        </w:rPr>
        <w:t>6</w:t>
      </w:r>
      <w:r>
        <w:rPr>
          <w:rFonts w:hint="eastAsia"/>
          <w:color w:val="auto"/>
          <w:lang w:eastAsia="zh-CN"/>
        </w:rPr>
        <w:t>）</w:t>
      </w:r>
      <w:r>
        <w:rPr>
          <w:rFonts w:hint="eastAsia"/>
          <w:color w:val="auto"/>
          <w:lang w:val="en-US" w:eastAsia="zh-CN"/>
        </w:rPr>
        <w:t>四川省生态环境厅关于印发《四川巴中经济开发区规划修编环境影响报告书》审查意见的函（川环建函[2023]29号）；</w:t>
      </w:r>
    </w:p>
    <w:p w14:paraId="263240E0">
      <w:pPr>
        <w:bidi w:val="0"/>
        <w:rPr>
          <w:rFonts w:hint="default"/>
          <w:color w:val="auto"/>
          <w:lang w:val="en-US" w:eastAsia="zh-CN"/>
        </w:rPr>
      </w:pPr>
      <w:r>
        <w:rPr>
          <w:rFonts w:hint="eastAsia"/>
          <w:color w:val="auto"/>
          <w:lang w:val="en-US" w:eastAsia="zh-CN"/>
        </w:rPr>
        <w:t>（7）与本项目有关的其他资料。</w:t>
      </w:r>
    </w:p>
    <w:p w14:paraId="5D34204D">
      <w:pPr>
        <w:pStyle w:val="5"/>
        <w:bidi w:val="0"/>
        <w:rPr>
          <w:color w:val="auto"/>
        </w:rPr>
      </w:pPr>
      <w:bookmarkStart w:id="46" w:name="_Toc16712"/>
      <w:r>
        <w:rPr>
          <w:rFonts w:hint="eastAsia"/>
          <w:color w:val="auto"/>
        </w:rPr>
        <w:t xml:space="preserve"> </w:t>
      </w:r>
      <w:r>
        <w:rPr>
          <w:color w:val="auto"/>
        </w:rPr>
        <w:t>评价目的及原则</w:t>
      </w:r>
      <w:bookmarkEnd w:id="46"/>
    </w:p>
    <w:p w14:paraId="2E55EEFD">
      <w:pPr>
        <w:pStyle w:val="10"/>
        <w:bidi w:val="0"/>
        <w:rPr>
          <w:color w:val="auto"/>
        </w:rPr>
      </w:pPr>
      <w:r>
        <w:rPr>
          <w:rFonts w:hint="eastAsia"/>
          <w:color w:val="auto"/>
        </w:rPr>
        <w:t xml:space="preserve"> </w:t>
      </w:r>
      <w:r>
        <w:rPr>
          <w:color w:val="auto"/>
        </w:rPr>
        <w:t>评价目的</w:t>
      </w:r>
    </w:p>
    <w:p w14:paraId="248B6C1E">
      <w:pPr>
        <w:pageBreakBefore w:val="0"/>
        <w:wordWrap/>
        <w:bidi w:val="0"/>
        <w:adjustRightInd/>
        <w:snapToGrid/>
        <w:ind w:firstLine="480"/>
        <w:rPr>
          <w:color w:val="auto"/>
        </w:rPr>
      </w:pPr>
      <w:r>
        <w:rPr>
          <w:color w:val="auto"/>
        </w:rPr>
        <w:t>环境影响评价作为建设项目环境保护管理的一项制度，根本目的是贯彻</w:t>
      </w:r>
      <w:r>
        <w:rPr>
          <w:rFonts w:hint="eastAsia"/>
          <w:color w:val="auto"/>
          <w:lang w:eastAsia="zh-CN"/>
        </w:rPr>
        <w:t>“</w:t>
      </w:r>
      <w:r>
        <w:rPr>
          <w:color w:val="auto"/>
        </w:rPr>
        <w:t>保护环境</w:t>
      </w:r>
      <w:r>
        <w:rPr>
          <w:rFonts w:hint="eastAsia"/>
          <w:color w:val="auto"/>
          <w:lang w:eastAsia="zh-CN"/>
        </w:rPr>
        <w:t>”</w:t>
      </w:r>
      <w:r>
        <w:rPr>
          <w:color w:val="auto"/>
        </w:rPr>
        <w:t>的基本国策，认真执行</w:t>
      </w:r>
      <w:r>
        <w:rPr>
          <w:rFonts w:hint="eastAsia"/>
          <w:color w:val="auto"/>
          <w:lang w:eastAsia="zh-CN"/>
        </w:rPr>
        <w:t>“</w:t>
      </w:r>
      <w:r>
        <w:rPr>
          <w:color w:val="auto"/>
        </w:rPr>
        <w:t>以防为主，防治结合</w:t>
      </w:r>
      <w:r>
        <w:rPr>
          <w:rFonts w:hint="eastAsia"/>
          <w:color w:val="auto"/>
          <w:lang w:eastAsia="zh-CN"/>
        </w:rPr>
        <w:t>”</w:t>
      </w:r>
      <w:r>
        <w:rPr>
          <w:color w:val="auto"/>
        </w:rPr>
        <w:t>的环境管理方针。根据我国环境保护法及环境影响评价法的规定，为加强建设项目环境保护管理，严格控制新污染，保护和改善环境，一切新建、扩建和技改工程必须编制环境影响报告文件。</w:t>
      </w:r>
    </w:p>
    <w:p w14:paraId="5EFE1827">
      <w:pPr>
        <w:pageBreakBefore w:val="0"/>
        <w:wordWrap/>
        <w:bidi w:val="0"/>
        <w:adjustRightInd/>
        <w:snapToGrid/>
        <w:ind w:firstLine="480"/>
        <w:rPr>
          <w:color w:val="auto"/>
        </w:rPr>
      </w:pPr>
      <w:r>
        <w:rPr>
          <w:color w:val="auto"/>
        </w:rPr>
        <w:t>本项目属于新建项目，本报告通过对该项目所在区域现状调查、监测和分析，查清当地环境质量现状，在此基础上评价本项目在施工期和运营期对项目所在区域环境可能造成的不良影响，并提出有效的污染防治措施。通过对本项目环境影响评价，以期达到以下目的：</w:t>
      </w:r>
    </w:p>
    <w:p w14:paraId="19DFA9D2">
      <w:pPr>
        <w:pageBreakBefore w:val="0"/>
        <w:wordWrap/>
        <w:bidi w:val="0"/>
        <w:adjustRightInd/>
        <w:snapToGrid/>
        <w:ind w:firstLine="480"/>
        <w:rPr>
          <w:color w:val="auto"/>
        </w:rPr>
      </w:pPr>
      <w:r>
        <w:rPr>
          <w:color w:val="auto"/>
        </w:rPr>
        <w:t>（1）贯彻</w:t>
      </w:r>
      <w:r>
        <w:rPr>
          <w:rFonts w:hint="eastAsia"/>
          <w:color w:val="auto"/>
          <w:lang w:eastAsia="zh-CN"/>
        </w:rPr>
        <w:t>“</w:t>
      </w:r>
      <w:r>
        <w:rPr>
          <w:color w:val="auto"/>
        </w:rPr>
        <w:t>污染防治与生态环境保护并重，生态环境保护与生态环境建设并举以及预防为主、防治结合、过程控制、综合治理的指导方针</w:t>
      </w:r>
      <w:r>
        <w:rPr>
          <w:rFonts w:hint="eastAsia"/>
          <w:color w:val="auto"/>
          <w:lang w:eastAsia="zh-CN"/>
        </w:rPr>
        <w:t>”</w:t>
      </w:r>
      <w:r>
        <w:rPr>
          <w:color w:val="auto"/>
        </w:rPr>
        <w:t>；推行循环经济的</w:t>
      </w:r>
      <w:r>
        <w:rPr>
          <w:rFonts w:hint="eastAsia"/>
          <w:color w:val="auto"/>
          <w:lang w:eastAsia="zh-CN"/>
        </w:rPr>
        <w:t>“</w:t>
      </w:r>
      <w:r>
        <w:rPr>
          <w:color w:val="auto"/>
        </w:rPr>
        <w:t>污染物减量、资源再利用和循环利用</w:t>
      </w:r>
      <w:r>
        <w:rPr>
          <w:rFonts w:hint="eastAsia"/>
          <w:color w:val="auto"/>
          <w:lang w:eastAsia="zh-CN"/>
        </w:rPr>
        <w:t>”</w:t>
      </w:r>
      <w:r>
        <w:rPr>
          <w:color w:val="auto"/>
        </w:rPr>
        <w:t>的技术原则。</w:t>
      </w:r>
    </w:p>
    <w:p w14:paraId="5AF5300C">
      <w:pPr>
        <w:pageBreakBefore w:val="0"/>
        <w:wordWrap/>
        <w:bidi w:val="0"/>
        <w:adjustRightInd/>
        <w:snapToGrid/>
        <w:ind w:firstLine="480"/>
        <w:rPr>
          <w:color w:val="auto"/>
        </w:rPr>
      </w:pPr>
      <w:r>
        <w:rPr>
          <w:color w:val="auto"/>
        </w:rPr>
        <w:t>（2）通过现场调查与监测分析，了解项目所在区域的生态、地表水、地下水、环境空气及声环境现状。针对建设内容和环境特征各有侧重地进行评价，确保对环境的影响控制在标准和有关规定允许的范围内。</w:t>
      </w:r>
    </w:p>
    <w:p w14:paraId="675DBEDA">
      <w:pPr>
        <w:pageBreakBefore w:val="0"/>
        <w:wordWrap/>
        <w:bidi w:val="0"/>
        <w:adjustRightInd/>
        <w:snapToGrid/>
        <w:ind w:firstLine="480"/>
        <w:rPr>
          <w:color w:val="auto"/>
        </w:rPr>
      </w:pPr>
      <w:r>
        <w:rPr>
          <w:color w:val="auto"/>
        </w:rPr>
        <w:t>（3）根据项目的给排水情况，</w:t>
      </w:r>
      <w:r>
        <w:rPr>
          <w:rFonts w:hint="eastAsia"/>
          <w:color w:val="auto"/>
          <w:lang w:eastAsia="zh-CN"/>
        </w:rPr>
        <w:t>按照</w:t>
      </w:r>
      <w:r>
        <w:rPr>
          <w:color w:val="auto"/>
        </w:rPr>
        <w:t>国家有关节约用水、保护水资源的要求，提出相应的措施，指导项目按可持续发展战略进行建设。</w:t>
      </w:r>
    </w:p>
    <w:p w14:paraId="5B349CE3">
      <w:pPr>
        <w:pageBreakBefore w:val="0"/>
        <w:wordWrap/>
        <w:bidi w:val="0"/>
        <w:adjustRightInd/>
        <w:snapToGrid/>
        <w:ind w:firstLine="480"/>
        <w:rPr>
          <w:color w:val="auto"/>
        </w:rPr>
      </w:pPr>
      <w:r>
        <w:rPr>
          <w:color w:val="auto"/>
        </w:rPr>
        <w:t>（4）评价本项目建成投产后，对周围环境的影响程度和范围。通过对项目拟采取的污染治理措施进行论证，评价环境保护措施的可行性，并提出合理化建议。</w:t>
      </w:r>
    </w:p>
    <w:p w14:paraId="1F73646B">
      <w:pPr>
        <w:pageBreakBefore w:val="0"/>
        <w:wordWrap/>
        <w:bidi w:val="0"/>
        <w:adjustRightInd/>
        <w:snapToGrid/>
        <w:ind w:firstLine="480"/>
        <w:rPr>
          <w:color w:val="auto"/>
        </w:rPr>
      </w:pPr>
      <w:r>
        <w:rPr>
          <w:color w:val="auto"/>
        </w:rPr>
        <w:t>（5）通过对项目的环境经济分析，论述项目的社会、经济和环境效益。</w:t>
      </w:r>
    </w:p>
    <w:p w14:paraId="2D03040C">
      <w:pPr>
        <w:pageBreakBefore w:val="0"/>
        <w:wordWrap/>
        <w:bidi w:val="0"/>
        <w:adjustRightInd/>
        <w:snapToGrid/>
        <w:ind w:firstLine="480"/>
        <w:rPr>
          <w:color w:val="auto"/>
        </w:rPr>
      </w:pPr>
      <w:r>
        <w:rPr>
          <w:color w:val="auto"/>
        </w:rPr>
        <w:t>（6）通过以上分析论述，并结合区域规划，从环境保护角度论述项目规模、选址、平面布置及污染防治措施等的可行性，并对其可能存在的问题提出合理化建议，为环境管理和项目建设提供依据。</w:t>
      </w:r>
    </w:p>
    <w:p w14:paraId="5AED852F">
      <w:pPr>
        <w:pStyle w:val="10"/>
        <w:bidi w:val="0"/>
        <w:rPr>
          <w:color w:val="auto"/>
        </w:rPr>
      </w:pPr>
      <w:r>
        <w:rPr>
          <w:rFonts w:hint="eastAsia"/>
          <w:color w:val="auto"/>
        </w:rPr>
        <w:t xml:space="preserve"> </w:t>
      </w:r>
      <w:r>
        <w:rPr>
          <w:color w:val="auto"/>
        </w:rPr>
        <w:t>评价原则</w:t>
      </w:r>
    </w:p>
    <w:p w14:paraId="762D6423">
      <w:pPr>
        <w:pageBreakBefore w:val="0"/>
        <w:tabs>
          <w:tab w:val="left" w:pos="1143"/>
        </w:tabs>
        <w:wordWrap/>
        <w:bidi w:val="0"/>
        <w:adjustRightInd/>
        <w:snapToGrid/>
        <w:ind w:firstLine="480"/>
        <w:rPr>
          <w:color w:val="auto"/>
        </w:rPr>
      </w:pPr>
      <w:r>
        <w:rPr>
          <w:color w:val="auto"/>
        </w:rPr>
        <w:t>突出环境影响评价的源头预防作用，坚持保护和改善环境质量。</w:t>
      </w:r>
    </w:p>
    <w:p w14:paraId="5B87131E">
      <w:pPr>
        <w:pageBreakBefore w:val="0"/>
        <w:tabs>
          <w:tab w:val="left" w:pos="1143"/>
        </w:tabs>
        <w:wordWrap/>
        <w:bidi w:val="0"/>
        <w:adjustRightInd/>
        <w:snapToGrid/>
        <w:ind w:firstLine="480"/>
        <w:rPr>
          <w:color w:val="auto"/>
        </w:rPr>
      </w:pPr>
      <w:r>
        <w:rPr>
          <w:color w:val="auto"/>
        </w:rPr>
        <w:t>（1）依法评价</w:t>
      </w:r>
    </w:p>
    <w:p w14:paraId="542BC27B">
      <w:pPr>
        <w:pageBreakBefore w:val="0"/>
        <w:tabs>
          <w:tab w:val="left" w:pos="1143"/>
        </w:tabs>
        <w:wordWrap/>
        <w:bidi w:val="0"/>
        <w:adjustRightInd/>
        <w:snapToGrid/>
        <w:ind w:firstLine="480"/>
        <w:rPr>
          <w:color w:val="auto"/>
        </w:rPr>
      </w:pPr>
      <w:r>
        <w:rPr>
          <w:color w:val="auto"/>
        </w:rPr>
        <w:t>贯彻执行我国环境保护相关法律法规、标准、政策和规划等，优化项目建设，服务环境管理。</w:t>
      </w:r>
    </w:p>
    <w:p w14:paraId="634313DB">
      <w:pPr>
        <w:pageBreakBefore w:val="0"/>
        <w:tabs>
          <w:tab w:val="left" w:pos="1143"/>
        </w:tabs>
        <w:wordWrap/>
        <w:bidi w:val="0"/>
        <w:adjustRightInd/>
        <w:snapToGrid/>
        <w:ind w:firstLine="480"/>
        <w:rPr>
          <w:color w:val="auto"/>
        </w:rPr>
      </w:pPr>
      <w:r>
        <w:rPr>
          <w:color w:val="auto"/>
        </w:rPr>
        <w:t>（2）科学评价</w:t>
      </w:r>
    </w:p>
    <w:p w14:paraId="06C8A399">
      <w:pPr>
        <w:pageBreakBefore w:val="0"/>
        <w:tabs>
          <w:tab w:val="left" w:pos="1143"/>
        </w:tabs>
        <w:wordWrap/>
        <w:bidi w:val="0"/>
        <w:adjustRightInd/>
        <w:snapToGrid/>
        <w:ind w:firstLine="480"/>
        <w:rPr>
          <w:color w:val="auto"/>
        </w:rPr>
      </w:pPr>
      <w:r>
        <w:rPr>
          <w:color w:val="auto"/>
        </w:rPr>
        <w:t>规范环境影响评价方法，科学分析项目建设对环境质量的影响。</w:t>
      </w:r>
    </w:p>
    <w:p w14:paraId="22CC3865">
      <w:pPr>
        <w:pageBreakBefore w:val="0"/>
        <w:numPr>
          <w:ilvl w:val="0"/>
          <w:numId w:val="6"/>
        </w:numPr>
        <w:tabs>
          <w:tab w:val="left" w:pos="1143"/>
        </w:tabs>
        <w:wordWrap/>
        <w:bidi w:val="0"/>
        <w:adjustRightInd/>
        <w:snapToGrid/>
        <w:ind w:firstLine="480"/>
        <w:rPr>
          <w:color w:val="auto"/>
        </w:rPr>
      </w:pPr>
      <w:r>
        <w:rPr>
          <w:color w:val="auto"/>
        </w:rPr>
        <w:t>突出重点</w:t>
      </w:r>
    </w:p>
    <w:p w14:paraId="4154C105">
      <w:pPr>
        <w:pageBreakBefore w:val="0"/>
        <w:tabs>
          <w:tab w:val="left" w:pos="1143"/>
        </w:tabs>
        <w:wordWrap/>
        <w:bidi w:val="0"/>
        <w:adjustRightInd/>
        <w:snapToGrid/>
        <w:ind w:firstLine="480"/>
        <w:rPr>
          <w:color w:val="auto"/>
        </w:rPr>
      </w:pPr>
      <w:r>
        <w:rPr>
          <w:color w:val="auto"/>
        </w:rPr>
        <w:t>根据建设项目的工程内容及其特点，明确与环境要素间的作用效应关系，根据规划环境影响评价结论和审查意见，充分利用符合时效的数据资料及成果，对建设项目主要环境影响予以重点分析和评价。</w:t>
      </w:r>
    </w:p>
    <w:p w14:paraId="5BA86A36">
      <w:pPr>
        <w:pStyle w:val="4"/>
        <w:pageBreakBefore w:val="0"/>
        <w:wordWrap/>
        <w:bidi w:val="0"/>
        <w:adjustRightInd/>
        <w:snapToGrid/>
        <w:rPr>
          <w:rFonts w:ascii="Times New Roman" w:hAnsi="Times New Roman" w:eastAsia="宋体"/>
          <w:color w:val="auto"/>
        </w:rPr>
      </w:pPr>
      <w:bookmarkStart w:id="47" w:name="_Toc380"/>
      <w:r>
        <w:rPr>
          <w:rFonts w:hint="eastAsia" w:ascii="Times New Roman" w:hAnsi="Times New Roman" w:eastAsia="宋体"/>
          <w:color w:val="auto"/>
        </w:rPr>
        <w:t xml:space="preserve"> </w:t>
      </w:r>
      <w:bookmarkEnd w:id="47"/>
      <w:bookmarkStart w:id="48" w:name="_Toc1426"/>
      <w:r>
        <w:rPr>
          <w:rFonts w:hint="eastAsia"/>
          <w:color w:val="auto"/>
          <w:lang w:val="en-US" w:eastAsia="zh-CN"/>
        </w:rPr>
        <w:t>评价因子与评价标准</w:t>
      </w:r>
      <w:bookmarkEnd w:id="48"/>
    </w:p>
    <w:p w14:paraId="7F83D3FF">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环境影响因素识别</w:t>
      </w:r>
    </w:p>
    <w:p w14:paraId="1EEF7999">
      <w:pPr>
        <w:pageBreakBefore w:val="0"/>
        <w:wordWrap/>
        <w:bidi w:val="0"/>
        <w:adjustRightInd/>
        <w:snapToGrid/>
        <w:ind w:firstLine="480"/>
        <w:rPr>
          <w:color w:val="auto"/>
          <w:kern w:val="0"/>
        </w:rPr>
      </w:pPr>
      <w:r>
        <w:rPr>
          <w:color w:val="auto"/>
          <w:kern w:val="0"/>
        </w:rPr>
        <w:t>本项目对环境造成的影响主要分为施工期和运营期两个阶段，各阶段主要环境影响因素识别如下表：</w:t>
      </w:r>
    </w:p>
    <w:p w14:paraId="0F4D72F4">
      <w:pPr>
        <w:pStyle w:val="19"/>
        <w:numPr>
          <w:ilvl w:val="0"/>
          <w:numId w:val="7"/>
        </w:numPr>
        <w:bidi w:val="0"/>
        <w:ind w:left="0" w:leftChars="0" w:firstLine="0" w:firstLineChars="0"/>
        <w:rPr>
          <w:color w:val="auto"/>
        </w:rPr>
      </w:pPr>
      <w:r>
        <w:rPr>
          <w:color w:val="auto"/>
        </w:rPr>
        <w:t>环境影响因素识别表</w:t>
      </w:r>
    </w:p>
    <w:tbl>
      <w:tblPr>
        <w:tblStyle w:val="5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846"/>
        <w:gridCol w:w="1106"/>
        <w:gridCol w:w="983"/>
        <w:gridCol w:w="996"/>
        <w:gridCol w:w="983"/>
        <w:gridCol w:w="982"/>
        <w:gridCol w:w="983"/>
        <w:gridCol w:w="982"/>
        <w:gridCol w:w="983"/>
      </w:tblGrid>
      <w:tr w14:paraId="5F624A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952" w:type="dxa"/>
            <w:gridSpan w:val="2"/>
            <w:vMerge w:val="restart"/>
            <w:tcBorders>
              <w:tl2br w:val="nil"/>
              <w:tr2bl w:val="nil"/>
            </w:tcBorders>
            <w:noWrap w:val="0"/>
            <w:vAlign w:val="center"/>
          </w:tcPr>
          <w:p w14:paraId="6BF00B70">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项目</w:t>
            </w:r>
          </w:p>
        </w:tc>
        <w:tc>
          <w:tcPr>
            <w:tcW w:w="1979" w:type="dxa"/>
            <w:gridSpan w:val="2"/>
            <w:tcBorders>
              <w:tl2br w:val="nil"/>
              <w:tr2bl w:val="nil"/>
            </w:tcBorders>
            <w:noWrap w:val="0"/>
            <w:vAlign w:val="center"/>
          </w:tcPr>
          <w:p w14:paraId="0719CADF">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建设期</w:t>
            </w:r>
          </w:p>
        </w:tc>
        <w:tc>
          <w:tcPr>
            <w:tcW w:w="4913" w:type="dxa"/>
            <w:gridSpan w:val="5"/>
            <w:tcBorders>
              <w:tl2br w:val="nil"/>
              <w:tr2bl w:val="nil"/>
            </w:tcBorders>
            <w:noWrap w:val="0"/>
            <w:vAlign w:val="center"/>
          </w:tcPr>
          <w:p w14:paraId="65B0C28E">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运营期</w:t>
            </w:r>
          </w:p>
        </w:tc>
      </w:tr>
      <w:tr w14:paraId="7882A0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952" w:type="dxa"/>
            <w:gridSpan w:val="2"/>
            <w:vMerge w:val="continue"/>
            <w:tcBorders>
              <w:tl2br w:val="nil"/>
              <w:tr2bl w:val="nil"/>
            </w:tcBorders>
            <w:noWrap w:val="0"/>
            <w:vAlign w:val="center"/>
          </w:tcPr>
          <w:p w14:paraId="25329C03">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p>
        </w:tc>
        <w:tc>
          <w:tcPr>
            <w:tcW w:w="983" w:type="dxa"/>
            <w:tcBorders>
              <w:tl2br w:val="nil"/>
              <w:tr2bl w:val="nil"/>
            </w:tcBorders>
            <w:noWrap w:val="0"/>
            <w:vAlign w:val="center"/>
          </w:tcPr>
          <w:p w14:paraId="39252DBA">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施工</w:t>
            </w:r>
          </w:p>
        </w:tc>
        <w:tc>
          <w:tcPr>
            <w:tcW w:w="996" w:type="dxa"/>
            <w:tcBorders>
              <w:tl2br w:val="nil"/>
              <w:tr2bl w:val="nil"/>
            </w:tcBorders>
            <w:noWrap w:val="0"/>
            <w:vAlign w:val="center"/>
          </w:tcPr>
          <w:p w14:paraId="3DF042BF">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运输</w:t>
            </w:r>
          </w:p>
        </w:tc>
        <w:tc>
          <w:tcPr>
            <w:tcW w:w="983" w:type="dxa"/>
            <w:tcBorders>
              <w:tl2br w:val="nil"/>
              <w:tr2bl w:val="nil"/>
            </w:tcBorders>
            <w:noWrap w:val="0"/>
            <w:vAlign w:val="center"/>
          </w:tcPr>
          <w:p w14:paraId="03903126">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废水</w:t>
            </w:r>
          </w:p>
        </w:tc>
        <w:tc>
          <w:tcPr>
            <w:tcW w:w="982" w:type="dxa"/>
            <w:tcBorders>
              <w:tl2br w:val="nil"/>
              <w:tr2bl w:val="nil"/>
            </w:tcBorders>
            <w:noWrap w:val="0"/>
            <w:vAlign w:val="center"/>
          </w:tcPr>
          <w:p w14:paraId="19DE885B">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废气</w:t>
            </w:r>
          </w:p>
        </w:tc>
        <w:tc>
          <w:tcPr>
            <w:tcW w:w="983" w:type="dxa"/>
            <w:tcBorders>
              <w:tl2br w:val="nil"/>
              <w:tr2bl w:val="nil"/>
            </w:tcBorders>
            <w:noWrap w:val="0"/>
            <w:vAlign w:val="center"/>
          </w:tcPr>
          <w:p w14:paraId="6C5E797A">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固废</w:t>
            </w:r>
          </w:p>
        </w:tc>
        <w:tc>
          <w:tcPr>
            <w:tcW w:w="982" w:type="dxa"/>
            <w:tcBorders>
              <w:tl2br w:val="nil"/>
              <w:tr2bl w:val="nil"/>
            </w:tcBorders>
            <w:noWrap w:val="0"/>
            <w:vAlign w:val="center"/>
          </w:tcPr>
          <w:p w14:paraId="7DB30BE6">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噪声</w:t>
            </w:r>
          </w:p>
        </w:tc>
        <w:tc>
          <w:tcPr>
            <w:tcW w:w="983" w:type="dxa"/>
            <w:tcBorders>
              <w:tl2br w:val="nil"/>
              <w:tr2bl w:val="nil"/>
            </w:tcBorders>
            <w:noWrap w:val="0"/>
            <w:vAlign w:val="center"/>
          </w:tcPr>
          <w:p w14:paraId="75C471D7">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环境风险</w:t>
            </w:r>
          </w:p>
        </w:tc>
      </w:tr>
      <w:tr w14:paraId="6C5905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restart"/>
            <w:tcBorders>
              <w:tl2br w:val="nil"/>
              <w:tr2bl w:val="nil"/>
            </w:tcBorders>
            <w:noWrap w:val="0"/>
            <w:vAlign w:val="center"/>
          </w:tcPr>
          <w:p w14:paraId="2B03CEAD">
            <w:pPr>
              <w:pageBreakBefore w:val="0"/>
              <w:wordWrap/>
              <w:bidi w:val="0"/>
              <w:adjustRightInd/>
              <w:snapToGrid/>
              <w:spacing w:line="240" w:lineRule="auto"/>
              <w:ind w:firstLine="0" w:firstLineChars="0"/>
              <w:jc w:val="center"/>
              <w:rPr>
                <w:color w:val="auto"/>
                <w:sz w:val="21"/>
                <w:szCs w:val="21"/>
              </w:rPr>
            </w:pPr>
            <w:r>
              <w:rPr>
                <w:color w:val="auto"/>
                <w:sz w:val="21"/>
                <w:szCs w:val="21"/>
              </w:rPr>
              <w:t>自然环境</w:t>
            </w:r>
          </w:p>
        </w:tc>
        <w:tc>
          <w:tcPr>
            <w:tcW w:w="1106" w:type="dxa"/>
            <w:tcBorders>
              <w:tl2br w:val="nil"/>
              <w:tr2bl w:val="nil"/>
            </w:tcBorders>
            <w:noWrap w:val="0"/>
            <w:vAlign w:val="center"/>
          </w:tcPr>
          <w:p w14:paraId="7D475FD9">
            <w:pPr>
              <w:pageBreakBefore w:val="0"/>
              <w:wordWrap/>
              <w:bidi w:val="0"/>
              <w:adjustRightInd/>
              <w:snapToGrid/>
              <w:spacing w:line="240" w:lineRule="auto"/>
              <w:ind w:firstLine="0" w:firstLineChars="0"/>
              <w:jc w:val="center"/>
              <w:rPr>
                <w:color w:val="auto"/>
                <w:sz w:val="21"/>
                <w:szCs w:val="21"/>
              </w:rPr>
            </w:pPr>
            <w:r>
              <w:rPr>
                <w:color w:val="auto"/>
                <w:sz w:val="21"/>
                <w:szCs w:val="21"/>
              </w:rPr>
              <w:t>大气</w:t>
            </w:r>
          </w:p>
        </w:tc>
        <w:tc>
          <w:tcPr>
            <w:tcW w:w="983" w:type="dxa"/>
            <w:tcBorders>
              <w:tl2br w:val="nil"/>
              <w:tr2bl w:val="nil"/>
            </w:tcBorders>
            <w:noWrap w:val="0"/>
            <w:vAlign w:val="center"/>
          </w:tcPr>
          <w:p w14:paraId="7A6686FB">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-1SP</w:t>
            </w:r>
          </w:p>
        </w:tc>
        <w:tc>
          <w:tcPr>
            <w:tcW w:w="996" w:type="dxa"/>
            <w:tcBorders>
              <w:tl2br w:val="nil"/>
              <w:tr2bl w:val="nil"/>
            </w:tcBorders>
            <w:noWrap w:val="0"/>
            <w:vAlign w:val="center"/>
          </w:tcPr>
          <w:p w14:paraId="6FA5A745">
            <w:pPr>
              <w:pageBreakBefore w:val="0"/>
              <w:wordWrap/>
              <w:bidi w:val="0"/>
              <w:adjustRightInd/>
              <w:snapToGrid/>
              <w:spacing w:line="240" w:lineRule="auto"/>
              <w:ind w:firstLine="0" w:firstLineChars="0"/>
              <w:jc w:val="center"/>
              <w:rPr>
                <w:color w:val="auto"/>
                <w:sz w:val="21"/>
                <w:szCs w:val="21"/>
              </w:rPr>
            </w:pPr>
            <w:r>
              <w:rPr>
                <w:color w:val="auto"/>
                <w:spacing w:val="-2"/>
                <w:kern w:val="28"/>
                <w:sz w:val="21"/>
                <w:szCs w:val="21"/>
              </w:rPr>
              <w:t>-1SP</w:t>
            </w:r>
          </w:p>
        </w:tc>
        <w:tc>
          <w:tcPr>
            <w:tcW w:w="983" w:type="dxa"/>
            <w:tcBorders>
              <w:tl2br w:val="nil"/>
              <w:tr2bl w:val="nil"/>
            </w:tcBorders>
            <w:noWrap w:val="0"/>
            <w:vAlign w:val="center"/>
          </w:tcPr>
          <w:p w14:paraId="73A5E771">
            <w:pPr>
              <w:pageBreakBefore w:val="0"/>
              <w:wordWrap/>
              <w:bidi w:val="0"/>
              <w:adjustRightInd/>
              <w:snapToGrid/>
              <w:spacing w:line="240" w:lineRule="auto"/>
              <w:ind w:firstLine="0" w:firstLineChars="0"/>
              <w:jc w:val="center"/>
              <w:rPr>
                <w:color w:val="auto"/>
                <w:kern w:val="0"/>
                <w:sz w:val="21"/>
                <w:szCs w:val="21"/>
              </w:rPr>
            </w:pPr>
          </w:p>
        </w:tc>
        <w:tc>
          <w:tcPr>
            <w:tcW w:w="982" w:type="dxa"/>
            <w:tcBorders>
              <w:tl2br w:val="nil"/>
              <w:tr2bl w:val="nil"/>
            </w:tcBorders>
            <w:noWrap w:val="0"/>
            <w:vAlign w:val="center"/>
          </w:tcPr>
          <w:p w14:paraId="32493E2B">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-1LP</w:t>
            </w:r>
          </w:p>
        </w:tc>
        <w:tc>
          <w:tcPr>
            <w:tcW w:w="983" w:type="dxa"/>
            <w:tcBorders>
              <w:tl2br w:val="nil"/>
              <w:tr2bl w:val="nil"/>
            </w:tcBorders>
            <w:noWrap w:val="0"/>
            <w:vAlign w:val="center"/>
          </w:tcPr>
          <w:p w14:paraId="52163D75">
            <w:pPr>
              <w:pageBreakBefore w:val="0"/>
              <w:wordWrap/>
              <w:bidi w:val="0"/>
              <w:adjustRightInd/>
              <w:snapToGrid/>
              <w:spacing w:line="240" w:lineRule="auto"/>
              <w:ind w:firstLine="0" w:firstLineChars="0"/>
              <w:jc w:val="center"/>
              <w:rPr>
                <w:color w:val="auto"/>
                <w:kern w:val="0"/>
                <w:sz w:val="21"/>
                <w:szCs w:val="21"/>
              </w:rPr>
            </w:pPr>
          </w:p>
        </w:tc>
        <w:tc>
          <w:tcPr>
            <w:tcW w:w="982" w:type="dxa"/>
            <w:tcBorders>
              <w:tl2br w:val="nil"/>
              <w:tr2bl w:val="nil"/>
            </w:tcBorders>
            <w:noWrap w:val="0"/>
            <w:vAlign w:val="center"/>
          </w:tcPr>
          <w:p w14:paraId="1A6928AE">
            <w:pPr>
              <w:pageBreakBefore w:val="0"/>
              <w:wordWrap/>
              <w:bidi w:val="0"/>
              <w:adjustRightInd/>
              <w:snapToGrid/>
              <w:spacing w:line="240" w:lineRule="auto"/>
              <w:ind w:firstLine="0" w:firstLineChars="0"/>
              <w:jc w:val="center"/>
              <w:rPr>
                <w:color w:val="auto"/>
                <w:kern w:val="0"/>
                <w:sz w:val="21"/>
                <w:szCs w:val="21"/>
              </w:rPr>
            </w:pPr>
          </w:p>
        </w:tc>
        <w:tc>
          <w:tcPr>
            <w:tcW w:w="983" w:type="dxa"/>
            <w:tcBorders>
              <w:tl2br w:val="nil"/>
              <w:tr2bl w:val="nil"/>
            </w:tcBorders>
            <w:noWrap w:val="0"/>
            <w:vAlign w:val="center"/>
          </w:tcPr>
          <w:p w14:paraId="148337B6">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-1SP</w:t>
            </w:r>
          </w:p>
        </w:tc>
      </w:tr>
      <w:tr w14:paraId="168175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continue"/>
            <w:tcBorders>
              <w:tl2br w:val="nil"/>
              <w:tr2bl w:val="nil"/>
            </w:tcBorders>
            <w:noWrap w:val="0"/>
            <w:vAlign w:val="center"/>
          </w:tcPr>
          <w:p w14:paraId="49ACA682">
            <w:pPr>
              <w:pageBreakBefore w:val="0"/>
              <w:wordWrap/>
              <w:bidi w:val="0"/>
              <w:adjustRightInd/>
              <w:snapToGrid/>
              <w:spacing w:line="240" w:lineRule="auto"/>
              <w:ind w:firstLine="0" w:firstLineChars="0"/>
              <w:jc w:val="center"/>
              <w:rPr>
                <w:color w:val="auto"/>
                <w:sz w:val="21"/>
                <w:szCs w:val="21"/>
              </w:rPr>
            </w:pPr>
          </w:p>
        </w:tc>
        <w:tc>
          <w:tcPr>
            <w:tcW w:w="1106" w:type="dxa"/>
            <w:tcBorders>
              <w:tl2br w:val="nil"/>
              <w:tr2bl w:val="nil"/>
            </w:tcBorders>
            <w:noWrap w:val="0"/>
            <w:vAlign w:val="center"/>
          </w:tcPr>
          <w:p w14:paraId="6E698D1F">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地表水</w:t>
            </w:r>
          </w:p>
        </w:tc>
        <w:tc>
          <w:tcPr>
            <w:tcW w:w="983" w:type="dxa"/>
            <w:tcBorders>
              <w:tl2br w:val="nil"/>
              <w:tr2bl w:val="nil"/>
            </w:tcBorders>
            <w:noWrap w:val="0"/>
            <w:vAlign w:val="center"/>
          </w:tcPr>
          <w:p w14:paraId="40397947">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-1SP</w:t>
            </w:r>
          </w:p>
        </w:tc>
        <w:tc>
          <w:tcPr>
            <w:tcW w:w="996" w:type="dxa"/>
            <w:tcBorders>
              <w:tl2br w:val="nil"/>
              <w:tr2bl w:val="nil"/>
            </w:tcBorders>
            <w:noWrap w:val="0"/>
            <w:vAlign w:val="center"/>
          </w:tcPr>
          <w:p w14:paraId="270602AA">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526187F5">
            <w:pPr>
              <w:pageBreakBefore w:val="0"/>
              <w:wordWrap/>
              <w:bidi w:val="0"/>
              <w:adjustRightInd/>
              <w:snapToGrid/>
              <w:spacing w:line="240" w:lineRule="auto"/>
              <w:ind w:firstLine="0" w:firstLineChars="0"/>
              <w:jc w:val="center"/>
              <w:rPr>
                <w:color w:val="auto"/>
                <w:sz w:val="21"/>
                <w:szCs w:val="21"/>
              </w:rPr>
            </w:pPr>
            <w:r>
              <w:rPr>
                <w:color w:val="auto"/>
                <w:kern w:val="0"/>
                <w:sz w:val="21"/>
                <w:szCs w:val="21"/>
              </w:rPr>
              <w:t>-1LP</w:t>
            </w:r>
          </w:p>
        </w:tc>
        <w:tc>
          <w:tcPr>
            <w:tcW w:w="982" w:type="dxa"/>
            <w:tcBorders>
              <w:tl2br w:val="nil"/>
              <w:tr2bl w:val="nil"/>
            </w:tcBorders>
            <w:noWrap w:val="0"/>
            <w:vAlign w:val="center"/>
          </w:tcPr>
          <w:p w14:paraId="3253CB6E">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121203D5">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29BC9899">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162DF81E">
            <w:pPr>
              <w:pageBreakBefore w:val="0"/>
              <w:wordWrap/>
              <w:bidi w:val="0"/>
              <w:adjustRightInd/>
              <w:snapToGrid/>
              <w:spacing w:line="240" w:lineRule="auto"/>
              <w:ind w:firstLine="0" w:firstLineChars="0"/>
              <w:jc w:val="center"/>
              <w:rPr>
                <w:color w:val="auto"/>
                <w:sz w:val="21"/>
                <w:szCs w:val="21"/>
              </w:rPr>
            </w:pPr>
            <w:r>
              <w:rPr>
                <w:color w:val="auto"/>
                <w:kern w:val="0"/>
                <w:sz w:val="21"/>
                <w:szCs w:val="21"/>
              </w:rPr>
              <w:t>-1SP</w:t>
            </w:r>
          </w:p>
        </w:tc>
      </w:tr>
      <w:tr w14:paraId="194708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continue"/>
            <w:tcBorders>
              <w:tl2br w:val="nil"/>
              <w:tr2bl w:val="nil"/>
            </w:tcBorders>
            <w:noWrap w:val="0"/>
            <w:vAlign w:val="center"/>
          </w:tcPr>
          <w:p w14:paraId="7810D2F2">
            <w:pPr>
              <w:pageBreakBefore w:val="0"/>
              <w:wordWrap/>
              <w:bidi w:val="0"/>
              <w:adjustRightInd/>
              <w:snapToGrid/>
              <w:spacing w:line="240" w:lineRule="auto"/>
              <w:ind w:firstLine="0" w:firstLineChars="0"/>
              <w:jc w:val="center"/>
              <w:rPr>
                <w:color w:val="auto"/>
                <w:sz w:val="21"/>
                <w:szCs w:val="21"/>
                <w:vertAlign w:val="subscript"/>
              </w:rPr>
            </w:pPr>
          </w:p>
        </w:tc>
        <w:tc>
          <w:tcPr>
            <w:tcW w:w="1106" w:type="dxa"/>
            <w:tcBorders>
              <w:tl2br w:val="nil"/>
              <w:tr2bl w:val="nil"/>
            </w:tcBorders>
            <w:noWrap w:val="0"/>
            <w:vAlign w:val="center"/>
          </w:tcPr>
          <w:p w14:paraId="5515DE92">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地下水</w:t>
            </w:r>
          </w:p>
        </w:tc>
        <w:tc>
          <w:tcPr>
            <w:tcW w:w="983" w:type="dxa"/>
            <w:tcBorders>
              <w:tl2br w:val="nil"/>
              <w:tr2bl w:val="nil"/>
            </w:tcBorders>
            <w:noWrap w:val="0"/>
            <w:vAlign w:val="center"/>
          </w:tcPr>
          <w:p w14:paraId="7627B61F">
            <w:pPr>
              <w:pageBreakBefore w:val="0"/>
              <w:wordWrap/>
              <w:bidi w:val="0"/>
              <w:adjustRightInd/>
              <w:snapToGrid/>
              <w:spacing w:line="240" w:lineRule="auto"/>
              <w:ind w:firstLine="0" w:firstLineChars="0"/>
              <w:jc w:val="center"/>
              <w:textAlignment w:val="baseline"/>
              <w:rPr>
                <w:color w:val="auto"/>
                <w:spacing w:val="-2"/>
                <w:kern w:val="28"/>
                <w:sz w:val="21"/>
                <w:szCs w:val="21"/>
              </w:rPr>
            </w:pPr>
          </w:p>
        </w:tc>
        <w:tc>
          <w:tcPr>
            <w:tcW w:w="996" w:type="dxa"/>
            <w:tcBorders>
              <w:tl2br w:val="nil"/>
              <w:tr2bl w:val="nil"/>
            </w:tcBorders>
            <w:noWrap w:val="0"/>
            <w:vAlign w:val="center"/>
          </w:tcPr>
          <w:p w14:paraId="59E262FF">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1837BD0E">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1D4A2B22">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7024752B">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09188194">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00436BE6">
            <w:pPr>
              <w:pageBreakBefore w:val="0"/>
              <w:wordWrap/>
              <w:bidi w:val="0"/>
              <w:adjustRightInd/>
              <w:snapToGrid/>
              <w:spacing w:line="240" w:lineRule="auto"/>
              <w:ind w:firstLine="0" w:firstLineChars="0"/>
              <w:jc w:val="center"/>
              <w:rPr>
                <w:color w:val="auto"/>
                <w:sz w:val="21"/>
                <w:szCs w:val="21"/>
              </w:rPr>
            </w:pPr>
            <w:r>
              <w:rPr>
                <w:color w:val="auto"/>
                <w:kern w:val="0"/>
                <w:sz w:val="21"/>
                <w:szCs w:val="21"/>
              </w:rPr>
              <w:t>-1SP</w:t>
            </w:r>
          </w:p>
        </w:tc>
      </w:tr>
      <w:tr w14:paraId="3050A7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continue"/>
            <w:tcBorders>
              <w:tl2br w:val="nil"/>
              <w:tr2bl w:val="nil"/>
            </w:tcBorders>
            <w:noWrap w:val="0"/>
            <w:vAlign w:val="center"/>
          </w:tcPr>
          <w:p w14:paraId="5A4DA0C8">
            <w:pPr>
              <w:pageBreakBefore w:val="0"/>
              <w:wordWrap/>
              <w:bidi w:val="0"/>
              <w:adjustRightInd/>
              <w:snapToGrid/>
              <w:spacing w:line="240" w:lineRule="auto"/>
              <w:ind w:firstLine="0" w:firstLineChars="0"/>
              <w:jc w:val="center"/>
              <w:rPr>
                <w:color w:val="auto"/>
                <w:sz w:val="21"/>
                <w:szCs w:val="21"/>
              </w:rPr>
            </w:pPr>
          </w:p>
        </w:tc>
        <w:tc>
          <w:tcPr>
            <w:tcW w:w="1106" w:type="dxa"/>
            <w:tcBorders>
              <w:tl2br w:val="nil"/>
              <w:tr2bl w:val="nil"/>
            </w:tcBorders>
            <w:noWrap w:val="0"/>
            <w:vAlign w:val="center"/>
          </w:tcPr>
          <w:p w14:paraId="2F867F8A">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声环境</w:t>
            </w:r>
          </w:p>
        </w:tc>
        <w:tc>
          <w:tcPr>
            <w:tcW w:w="983" w:type="dxa"/>
            <w:tcBorders>
              <w:tl2br w:val="nil"/>
              <w:tr2bl w:val="nil"/>
            </w:tcBorders>
            <w:noWrap w:val="0"/>
            <w:vAlign w:val="center"/>
          </w:tcPr>
          <w:p w14:paraId="258C94F5">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-1SP</w:t>
            </w:r>
          </w:p>
        </w:tc>
        <w:tc>
          <w:tcPr>
            <w:tcW w:w="996" w:type="dxa"/>
            <w:tcBorders>
              <w:tl2br w:val="nil"/>
              <w:tr2bl w:val="nil"/>
            </w:tcBorders>
            <w:noWrap w:val="0"/>
            <w:vAlign w:val="center"/>
          </w:tcPr>
          <w:p w14:paraId="64272053">
            <w:pPr>
              <w:pageBreakBefore w:val="0"/>
              <w:wordWrap/>
              <w:bidi w:val="0"/>
              <w:adjustRightInd/>
              <w:snapToGrid/>
              <w:spacing w:line="240" w:lineRule="auto"/>
              <w:ind w:firstLine="0" w:firstLineChars="0"/>
              <w:jc w:val="center"/>
              <w:rPr>
                <w:color w:val="auto"/>
                <w:sz w:val="21"/>
                <w:szCs w:val="21"/>
              </w:rPr>
            </w:pPr>
            <w:r>
              <w:rPr>
                <w:color w:val="auto"/>
                <w:spacing w:val="-2"/>
                <w:kern w:val="28"/>
                <w:sz w:val="21"/>
                <w:szCs w:val="21"/>
              </w:rPr>
              <w:t>-1SP</w:t>
            </w:r>
          </w:p>
        </w:tc>
        <w:tc>
          <w:tcPr>
            <w:tcW w:w="983" w:type="dxa"/>
            <w:tcBorders>
              <w:tl2br w:val="nil"/>
              <w:tr2bl w:val="nil"/>
            </w:tcBorders>
            <w:noWrap w:val="0"/>
            <w:vAlign w:val="center"/>
          </w:tcPr>
          <w:p w14:paraId="0FC52948">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125BBCA3">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100EAB22">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52690488">
            <w:pPr>
              <w:pageBreakBefore w:val="0"/>
              <w:wordWrap/>
              <w:bidi w:val="0"/>
              <w:adjustRightInd/>
              <w:snapToGrid/>
              <w:spacing w:line="240" w:lineRule="auto"/>
              <w:ind w:firstLine="0" w:firstLineChars="0"/>
              <w:jc w:val="center"/>
              <w:rPr>
                <w:color w:val="auto"/>
                <w:sz w:val="21"/>
                <w:szCs w:val="21"/>
              </w:rPr>
            </w:pPr>
            <w:r>
              <w:rPr>
                <w:color w:val="auto"/>
                <w:sz w:val="21"/>
                <w:szCs w:val="21"/>
              </w:rPr>
              <w:t>-1LP</w:t>
            </w:r>
          </w:p>
        </w:tc>
        <w:tc>
          <w:tcPr>
            <w:tcW w:w="983" w:type="dxa"/>
            <w:tcBorders>
              <w:tl2br w:val="nil"/>
              <w:tr2bl w:val="nil"/>
            </w:tcBorders>
            <w:noWrap w:val="0"/>
            <w:vAlign w:val="center"/>
          </w:tcPr>
          <w:p w14:paraId="361DE559">
            <w:pPr>
              <w:pageBreakBefore w:val="0"/>
              <w:wordWrap/>
              <w:bidi w:val="0"/>
              <w:adjustRightInd/>
              <w:snapToGrid/>
              <w:spacing w:line="240" w:lineRule="auto"/>
              <w:ind w:firstLine="0" w:firstLineChars="0"/>
              <w:jc w:val="center"/>
              <w:rPr>
                <w:color w:val="auto"/>
                <w:sz w:val="21"/>
                <w:szCs w:val="21"/>
              </w:rPr>
            </w:pPr>
          </w:p>
        </w:tc>
      </w:tr>
      <w:tr w14:paraId="673CE8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restart"/>
            <w:tcBorders>
              <w:tl2br w:val="nil"/>
              <w:tr2bl w:val="nil"/>
            </w:tcBorders>
            <w:noWrap w:val="0"/>
            <w:vAlign w:val="center"/>
          </w:tcPr>
          <w:p w14:paraId="0E44EB91">
            <w:pPr>
              <w:pageBreakBefore w:val="0"/>
              <w:wordWrap/>
              <w:bidi w:val="0"/>
              <w:adjustRightInd/>
              <w:snapToGrid/>
              <w:spacing w:line="240" w:lineRule="auto"/>
              <w:ind w:firstLine="0" w:firstLineChars="0"/>
              <w:jc w:val="center"/>
              <w:rPr>
                <w:color w:val="auto"/>
                <w:sz w:val="21"/>
                <w:szCs w:val="21"/>
              </w:rPr>
            </w:pPr>
            <w:r>
              <w:rPr>
                <w:color w:val="auto"/>
                <w:sz w:val="21"/>
                <w:szCs w:val="21"/>
              </w:rPr>
              <w:t>生态环境</w:t>
            </w:r>
          </w:p>
        </w:tc>
        <w:tc>
          <w:tcPr>
            <w:tcW w:w="1106" w:type="dxa"/>
            <w:tcBorders>
              <w:tl2br w:val="nil"/>
              <w:tr2bl w:val="nil"/>
            </w:tcBorders>
            <w:noWrap w:val="0"/>
            <w:vAlign w:val="center"/>
          </w:tcPr>
          <w:p w14:paraId="68B51FFB">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植被</w:t>
            </w:r>
          </w:p>
        </w:tc>
        <w:tc>
          <w:tcPr>
            <w:tcW w:w="983" w:type="dxa"/>
            <w:tcBorders>
              <w:tl2br w:val="nil"/>
              <w:tr2bl w:val="nil"/>
            </w:tcBorders>
            <w:noWrap w:val="0"/>
            <w:vAlign w:val="center"/>
          </w:tcPr>
          <w:p w14:paraId="4A42C170">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-1SP</w:t>
            </w:r>
          </w:p>
        </w:tc>
        <w:tc>
          <w:tcPr>
            <w:tcW w:w="996" w:type="dxa"/>
            <w:tcBorders>
              <w:tl2br w:val="nil"/>
              <w:tr2bl w:val="nil"/>
            </w:tcBorders>
            <w:noWrap w:val="0"/>
            <w:vAlign w:val="center"/>
          </w:tcPr>
          <w:p w14:paraId="1762152D">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7BAD5B05">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6EB65C6F">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4B60296F">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4BD97384">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060820E3">
            <w:pPr>
              <w:pageBreakBefore w:val="0"/>
              <w:wordWrap/>
              <w:bidi w:val="0"/>
              <w:adjustRightInd/>
              <w:snapToGrid/>
              <w:spacing w:line="240" w:lineRule="auto"/>
              <w:ind w:firstLine="0" w:firstLineChars="0"/>
              <w:jc w:val="center"/>
              <w:rPr>
                <w:color w:val="auto"/>
                <w:sz w:val="21"/>
                <w:szCs w:val="21"/>
              </w:rPr>
            </w:pPr>
          </w:p>
        </w:tc>
      </w:tr>
      <w:tr w14:paraId="1DD668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continue"/>
            <w:tcBorders>
              <w:tl2br w:val="nil"/>
              <w:tr2bl w:val="nil"/>
            </w:tcBorders>
            <w:noWrap w:val="0"/>
            <w:vAlign w:val="center"/>
          </w:tcPr>
          <w:p w14:paraId="75E89F33">
            <w:pPr>
              <w:pageBreakBefore w:val="0"/>
              <w:wordWrap/>
              <w:bidi w:val="0"/>
              <w:adjustRightInd/>
              <w:snapToGrid/>
              <w:spacing w:line="240" w:lineRule="auto"/>
              <w:ind w:firstLine="0" w:firstLineChars="0"/>
              <w:jc w:val="center"/>
              <w:rPr>
                <w:color w:val="auto"/>
                <w:sz w:val="21"/>
                <w:szCs w:val="21"/>
              </w:rPr>
            </w:pPr>
          </w:p>
        </w:tc>
        <w:tc>
          <w:tcPr>
            <w:tcW w:w="1106" w:type="dxa"/>
            <w:tcBorders>
              <w:tl2br w:val="nil"/>
              <w:tr2bl w:val="nil"/>
            </w:tcBorders>
            <w:noWrap w:val="0"/>
            <w:vAlign w:val="center"/>
          </w:tcPr>
          <w:p w14:paraId="7804AB03">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土壤</w:t>
            </w:r>
          </w:p>
        </w:tc>
        <w:tc>
          <w:tcPr>
            <w:tcW w:w="983" w:type="dxa"/>
            <w:tcBorders>
              <w:tl2br w:val="nil"/>
              <w:tr2bl w:val="nil"/>
            </w:tcBorders>
            <w:noWrap w:val="0"/>
            <w:vAlign w:val="center"/>
          </w:tcPr>
          <w:p w14:paraId="7CB5C09B">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-1SP</w:t>
            </w:r>
          </w:p>
        </w:tc>
        <w:tc>
          <w:tcPr>
            <w:tcW w:w="996" w:type="dxa"/>
            <w:tcBorders>
              <w:tl2br w:val="nil"/>
              <w:tr2bl w:val="nil"/>
            </w:tcBorders>
            <w:noWrap w:val="0"/>
            <w:vAlign w:val="center"/>
          </w:tcPr>
          <w:p w14:paraId="4979752B">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6F8425A0">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57D22EEE">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5F571C3B">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20C8636B">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3CEC7876">
            <w:pPr>
              <w:pageBreakBefore w:val="0"/>
              <w:wordWrap/>
              <w:bidi w:val="0"/>
              <w:adjustRightInd/>
              <w:snapToGrid/>
              <w:spacing w:line="240" w:lineRule="auto"/>
              <w:ind w:firstLine="0" w:firstLineChars="0"/>
              <w:jc w:val="center"/>
              <w:rPr>
                <w:color w:val="auto"/>
                <w:sz w:val="21"/>
                <w:szCs w:val="21"/>
              </w:rPr>
            </w:pPr>
          </w:p>
        </w:tc>
      </w:tr>
      <w:tr w14:paraId="097759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continue"/>
            <w:tcBorders>
              <w:tl2br w:val="nil"/>
              <w:tr2bl w:val="nil"/>
            </w:tcBorders>
            <w:noWrap w:val="0"/>
            <w:vAlign w:val="center"/>
          </w:tcPr>
          <w:p w14:paraId="5775480C">
            <w:pPr>
              <w:pageBreakBefore w:val="0"/>
              <w:wordWrap/>
              <w:bidi w:val="0"/>
              <w:adjustRightInd/>
              <w:snapToGrid/>
              <w:spacing w:line="240" w:lineRule="auto"/>
              <w:ind w:firstLine="0" w:firstLineChars="0"/>
              <w:jc w:val="center"/>
              <w:rPr>
                <w:color w:val="auto"/>
                <w:sz w:val="21"/>
                <w:szCs w:val="21"/>
              </w:rPr>
            </w:pPr>
          </w:p>
        </w:tc>
        <w:tc>
          <w:tcPr>
            <w:tcW w:w="1106" w:type="dxa"/>
            <w:tcBorders>
              <w:tl2br w:val="nil"/>
              <w:tr2bl w:val="nil"/>
            </w:tcBorders>
            <w:noWrap w:val="0"/>
            <w:vAlign w:val="center"/>
          </w:tcPr>
          <w:p w14:paraId="558116EF">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水土流失</w:t>
            </w:r>
          </w:p>
        </w:tc>
        <w:tc>
          <w:tcPr>
            <w:tcW w:w="983" w:type="dxa"/>
            <w:tcBorders>
              <w:tl2br w:val="nil"/>
              <w:tr2bl w:val="nil"/>
            </w:tcBorders>
            <w:noWrap w:val="0"/>
            <w:vAlign w:val="center"/>
          </w:tcPr>
          <w:p w14:paraId="11BE627C">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-1SP</w:t>
            </w:r>
          </w:p>
        </w:tc>
        <w:tc>
          <w:tcPr>
            <w:tcW w:w="996" w:type="dxa"/>
            <w:tcBorders>
              <w:tl2br w:val="nil"/>
              <w:tr2bl w:val="nil"/>
            </w:tcBorders>
            <w:noWrap w:val="0"/>
            <w:vAlign w:val="center"/>
          </w:tcPr>
          <w:p w14:paraId="395BBECD">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3B9915DA">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474555AF">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6563F4D4">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6DDA3F9D">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2E651CB6">
            <w:pPr>
              <w:pageBreakBefore w:val="0"/>
              <w:wordWrap/>
              <w:bidi w:val="0"/>
              <w:adjustRightInd/>
              <w:snapToGrid/>
              <w:spacing w:line="240" w:lineRule="auto"/>
              <w:ind w:firstLine="0" w:firstLineChars="0"/>
              <w:jc w:val="center"/>
              <w:rPr>
                <w:color w:val="auto"/>
                <w:sz w:val="21"/>
                <w:szCs w:val="21"/>
              </w:rPr>
            </w:pPr>
          </w:p>
        </w:tc>
      </w:tr>
      <w:tr w14:paraId="1FA0DB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restart"/>
            <w:tcBorders>
              <w:tl2br w:val="nil"/>
              <w:tr2bl w:val="nil"/>
            </w:tcBorders>
            <w:noWrap w:val="0"/>
            <w:vAlign w:val="center"/>
          </w:tcPr>
          <w:p w14:paraId="14109C6D">
            <w:pPr>
              <w:pageBreakBefore w:val="0"/>
              <w:wordWrap/>
              <w:bidi w:val="0"/>
              <w:adjustRightInd/>
              <w:snapToGrid/>
              <w:spacing w:line="240" w:lineRule="auto"/>
              <w:ind w:firstLine="0" w:firstLineChars="0"/>
              <w:jc w:val="center"/>
              <w:rPr>
                <w:color w:val="auto"/>
                <w:sz w:val="21"/>
                <w:szCs w:val="21"/>
              </w:rPr>
            </w:pPr>
            <w:r>
              <w:rPr>
                <w:color w:val="auto"/>
                <w:sz w:val="21"/>
                <w:szCs w:val="21"/>
              </w:rPr>
              <w:t>社会环境</w:t>
            </w:r>
          </w:p>
        </w:tc>
        <w:tc>
          <w:tcPr>
            <w:tcW w:w="1106" w:type="dxa"/>
            <w:tcBorders>
              <w:tl2br w:val="nil"/>
              <w:tr2bl w:val="nil"/>
            </w:tcBorders>
            <w:noWrap w:val="0"/>
            <w:vAlign w:val="center"/>
          </w:tcPr>
          <w:p w14:paraId="1DDFEB80">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工业生产</w:t>
            </w:r>
          </w:p>
        </w:tc>
        <w:tc>
          <w:tcPr>
            <w:tcW w:w="983" w:type="dxa"/>
            <w:tcBorders>
              <w:tl2br w:val="nil"/>
              <w:tr2bl w:val="nil"/>
            </w:tcBorders>
            <w:noWrap w:val="0"/>
            <w:vAlign w:val="center"/>
          </w:tcPr>
          <w:p w14:paraId="640BACCE">
            <w:pPr>
              <w:pageBreakBefore w:val="0"/>
              <w:wordWrap/>
              <w:bidi w:val="0"/>
              <w:adjustRightInd/>
              <w:snapToGrid/>
              <w:spacing w:line="240" w:lineRule="auto"/>
              <w:ind w:firstLine="0" w:firstLineChars="0"/>
              <w:jc w:val="center"/>
              <w:textAlignment w:val="baseline"/>
              <w:rPr>
                <w:color w:val="auto"/>
                <w:spacing w:val="-2"/>
                <w:kern w:val="28"/>
                <w:sz w:val="21"/>
                <w:szCs w:val="21"/>
              </w:rPr>
            </w:pPr>
          </w:p>
        </w:tc>
        <w:tc>
          <w:tcPr>
            <w:tcW w:w="996" w:type="dxa"/>
            <w:tcBorders>
              <w:tl2br w:val="nil"/>
              <w:tr2bl w:val="nil"/>
            </w:tcBorders>
            <w:noWrap w:val="0"/>
            <w:vAlign w:val="center"/>
          </w:tcPr>
          <w:p w14:paraId="5A086480">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12FB4D30">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26A1C9DA">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5223D473">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1D1EE0AA">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3A63AEB7">
            <w:pPr>
              <w:pageBreakBefore w:val="0"/>
              <w:wordWrap/>
              <w:bidi w:val="0"/>
              <w:adjustRightInd/>
              <w:snapToGrid/>
              <w:spacing w:line="240" w:lineRule="auto"/>
              <w:ind w:firstLine="0" w:firstLineChars="0"/>
              <w:jc w:val="center"/>
              <w:rPr>
                <w:color w:val="auto"/>
                <w:sz w:val="21"/>
                <w:szCs w:val="21"/>
              </w:rPr>
            </w:pPr>
            <w:r>
              <w:rPr>
                <w:color w:val="auto"/>
                <w:sz w:val="21"/>
                <w:szCs w:val="21"/>
              </w:rPr>
              <w:t>-1SP</w:t>
            </w:r>
          </w:p>
        </w:tc>
      </w:tr>
      <w:tr w14:paraId="68166A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continue"/>
            <w:tcBorders>
              <w:tl2br w:val="nil"/>
              <w:tr2bl w:val="nil"/>
            </w:tcBorders>
            <w:noWrap w:val="0"/>
            <w:vAlign w:val="center"/>
          </w:tcPr>
          <w:p w14:paraId="5E8EFED2">
            <w:pPr>
              <w:pageBreakBefore w:val="0"/>
              <w:wordWrap/>
              <w:bidi w:val="0"/>
              <w:adjustRightInd/>
              <w:snapToGrid/>
              <w:spacing w:line="240" w:lineRule="auto"/>
              <w:ind w:firstLine="0" w:firstLineChars="0"/>
              <w:jc w:val="center"/>
              <w:rPr>
                <w:color w:val="auto"/>
                <w:sz w:val="21"/>
                <w:szCs w:val="21"/>
              </w:rPr>
            </w:pPr>
          </w:p>
        </w:tc>
        <w:tc>
          <w:tcPr>
            <w:tcW w:w="1106" w:type="dxa"/>
            <w:tcBorders>
              <w:tl2br w:val="nil"/>
              <w:tr2bl w:val="nil"/>
            </w:tcBorders>
            <w:noWrap w:val="0"/>
            <w:vAlign w:val="center"/>
          </w:tcPr>
          <w:p w14:paraId="22771529">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农业生产</w:t>
            </w:r>
          </w:p>
        </w:tc>
        <w:tc>
          <w:tcPr>
            <w:tcW w:w="983" w:type="dxa"/>
            <w:tcBorders>
              <w:tl2br w:val="nil"/>
              <w:tr2bl w:val="nil"/>
            </w:tcBorders>
            <w:noWrap w:val="0"/>
            <w:vAlign w:val="center"/>
          </w:tcPr>
          <w:p w14:paraId="07B21094">
            <w:pPr>
              <w:pageBreakBefore w:val="0"/>
              <w:wordWrap/>
              <w:bidi w:val="0"/>
              <w:adjustRightInd/>
              <w:snapToGrid/>
              <w:spacing w:line="240" w:lineRule="auto"/>
              <w:ind w:firstLine="0" w:firstLineChars="0"/>
              <w:jc w:val="center"/>
              <w:textAlignment w:val="baseline"/>
              <w:rPr>
                <w:color w:val="auto"/>
                <w:spacing w:val="-2"/>
                <w:kern w:val="28"/>
                <w:sz w:val="21"/>
                <w:szCs w:val="21"/>
              </w:rPr>
            </w:pPr>
          </w:p>
        </w:tc>
        <w:tc>
          <w:tcPr>
            <w:tcW w:w="996" w:type="dxa"/>
            <w:tcBorders>
              <w:tl2br w:val="nil"/>
              <w:tr2bl w:val="nil"/>
            </w:tcBorders>
            <w:noWrap w:val="0"/>
            <w:vAlign w:val="center"/>
          </w:tcPr>
          <w:p w14:paraId="1A8D7472">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51A6B1EF">
            <w:pPr>
              <w:pageBreakBefore w:val="0"/>
              <w:wordWrap/>
              <w:bidi w:val="0"/>
              <w:adjustRightInd/>
              <w:snapToGrid/>
              <w:spacing w:line="240" w:lineRule="auto"/>
              <w:ind w:firstLine="0" w:firstLineChars="0"/>
              <w:jc w:val="center"/>
              <w:rPr>
                <w:color w:val="auto"/>
                <w:sz w:val="21"/>
                <w:szCs w:val="21"/>
              </w:rPr>
            </w:pPr>
            <w:r>
              <w:rPr>
                <w:color w:val="auto"/>
                <w:sz w:val="21"/>
                <w:szCs w:val="21"/>
              </w:rPr>
              <w:t>-1LP</w:t>
            </w:r>
          </w:p>
        </w:tc>
        <w:tc>
          <w:tcPr>
            <w:tcW w:w="982" w:type="dxa"/>
            <w:tcBorders>
              <w:tl2br w:val="nil"/>
              <w:tr2bl w:val="nil"/>
            </w:tcBorders>
            <w:noWrap w:val="0"/>
            <w:vAlign w:val="center"/>
          </w:tcPr>
          <w:p w14:paraId="16313672">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64A1E1E7">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6429A2C9">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666E2211">
            <w:pPr>
              <w:pageBreakBefore w:val="0"/>
              <w:tabs>
                <w:tab w:val="left" w:pos="377"/>
              </w:tabs>
              <w:wordWrap/>
              <w:bidi w:val="0"/>
              <w:adjustRightInd/>
              <w:snapToGrid/>
              <w:spacing w:line="240" w:lineRule="auto"/>
              <w:ind w:firstLine="0" w:firstLineChars="0"/>
              <w:jc w:val="center"/>
              <w:rPr>
                <w:color w:val="auto"/>
                <w:sz w:val="21"/>
                <w:szCs w:val="21"/>
              </w:rPr>
            </w:pPr>
            <w:r>
              <w:rPr>
                <w:color w:val="auto"/>
                <w:sz w:val="21"/>
                <w:szCs w:val="21"/>
              </w:rPr>
              <w:t>-1SP</w:t>
            </w:r>
          </w:p>
        </w:tc>
      </w:tr>
      <w:tr w14:paraId="401574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continue"/>
            <w:tcBorders>
              <w:tl2br w:val="nil"/>
              <w:tr2bl w:val="nil"/>
            </w:tcBorders>
            <w:noWrap w:val="0"/>
            <w:vAlign w:val="center"/>
          </w:tcPr>
          <w:p w14:paraId="6933BB6C">
            <w:pPr>
              <w:pageBreakBefore w:val="0"/>
              <w:wordWrap/>
              <w:bidi w:val="0"/>
              <w:adjustRightInd/>
              <w:snapToGrid/>
              <w:spacing w:line="240" w:lineRule="auto"/>
              <w:ind w:firstLine="0" w:firstLineChars="0"/>
              <w:jc w:val="center"/>
              <w:rPr>
                <w:color w:val="auto"/>
                <w:sz w:val="21"/>
                <w:szCs w:val="21"/>
              </w:rPr>
            </w:pPr>
          </w:p>
        </w:tc>
        <w:tc>
          <w:tcPr>
            <w:tcW w:w="1106" w:type="dxa"/>
            <w:tcBorders>
              <w:tl2br w:val="nil"/>
              <w:tr2bl w:val="nil"/>
            </w:tcBorders>
            <w:noWrap w:val="0"/>
            <w:vAlign w:val="center"/>
          </w:tcPr>
          <w:p w14:paraId="5AC1CD75">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交通运输</w:t>
            </w:r>
          </w:p>
        </w:tc>
        <w:tc>
          <w:tcPr>
            <w:tcW w:w="983" w:type="dxa"/>
            <w:tcBorders>
              <w:tl2br w:val="nil"/>
              <w:tr2bl w:val="nil"/>
            </w:tcBorders>
            <w:noWrap w:val="0"/>
            <w:vAlign w:val="center"/>
          </w:tcPr>
          <w:p w14:paraId="709EAA70">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-1SP</w:t>
            </w:r>
          </w:p>
        </w:tc>
        <w:tc>
          <w:tcPr>
            <w:tcW w:w="996" w:type="dxa"/>
            <w:tcBorders>
              <w:tl2br w:val="nil"/>
              <w:tr2bl w:val="nil"/>
            </w:tcBorders>
            <w:noWrap w:val="0"/>
            <w:vAlign w:val="center"/>
          </w:tcPr>
          <w:p w14:paraId="1278BEA5">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26721B83">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3966DF43">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5B90D331">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08BA8EB8">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3D597D5C">
            <w:pPr>
              <w:pageBreakBefore w:val="0"/>
              <w:wordWrap/>
              <w:bidi w:val="0"/>
              <w:adjustRightInd/>
              <w:snapToGrid/>
              <w:spacing w:line="240" w:lineRule="auto"/>
              <w:ind w:firstLine="0" w:firstLineChars="0"/>
              <w:jc w:val="center"/>
              <w:rPr>
                <w:color w:val="auto"/>
                <w:sz w:val="21"/>
                <w:szCs w:val="21"/>
              </w:rPr>
            </w:pPr>
          </w:p>
        </w:tc>
      </w:tr>
      <w:tr w14:paraId="300CA7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continue"/>
            <w:tcBorders>
              <w:tl2br w:val="nil"/>
              <w:tr2bl w:val="nil"/>
            </w:tcBorders>
            <w:noWrap w:val="0"/>
            <w:vAlign w:val="center"/>
          </w:tcPr>
          <w:p w14:paraId="6CE734B3">
            <w:pPr>
              <w:pageBreakBefore w:val="0"/>
              <w:wordWrap/>
              <w:bidi w:val="0"/>
              <w:adjustRightInd/>
              <w:snapToGrid/>
              <w:spacing w:line="240" w:lineRule="auto"/>
              <w:ind w:firstLine="0" w:firstLineChars="0"/>
              <w:jc w:val="center"/>
              <w:rPr>
                <w:color w:val="auto"/>
                <w:sz w:val="21"/>
                <w:szCs w:val="21"/>
              </w:rPr>
            </w:pPr>
          </w:p>
        </w:tc>
        <w:tc>
          <w:tcPr>
            <w:tcW w:w="1106" w:type="dxa"/>
            <w:tcBorders>
              <w:tl2br w:val="nil"/>
              <w:tr2bl w:val="nil"/>
            </w:tcBorders>
            <w:noWrap w:val="0"/>
            <w:vAlign w:val="center"/>
          </w:tcPr>
          <w:p w14:paraId="6544C11D">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就业</w:t>
            </w:r>
          </w:p>
        </w:tc>
        <w:tc>
          <w:tcPr>
            <w:tcW w:w="983" w:type="dxa"/>
            <w:tcBorders>
              <w:tl2br w:val="nil"/>
              <w:tr2bl w:val="nil"/>
            </w:tcBorders>
            <w:noWrap w:val="0"/>
            <w:vAlign w:val="center"/>
          </w:tcPr>
          <w:p w14:paraId="7C1A0C8C">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+1SP</w:t>
            </w:r>
          </w:p>
        </w:tc>
        <w:tc>
          <w:tcPr>
            <w:tcW w:w="996" w:type="dxa"/>
            <w:tcBorders>
              <w:tl2br w:val="nil"/>
              <w:tr2bl w:val="nil"/>
            </w:tcBorders>
            <w:noWrap w:val="0"/>
            <w:vAlign w:val="center"/>
          </w:tcPr>
          <w:p w14:paraId="00249C31">
            <w:pPr>
              <w:pageBreakBefore w:val="0"/>
              <w:wordWrap/>
              <w:bidi w:val="0"/>
              <w:adjustRightInd/>
              <w:snapToGrid/>
              <w:spacing w:line="240" w:lineRule="auto"/>
              <w:ind w:firstLine="0" w:firstLineChars="0"/>
              <w:jc w:val="center"/>
              <w:rPr>
                <w:color w:val="auto"/>
                <w:sz w:val="21"/>
                <w:szCs w:val="21"/>
              </w:rPr>
            </w:pPr>
            <w:r>
              <w:rPr>
                <w:color w:val="auto"/>
                <w:spacing w:val="-2"/>
                <w:kern w:val="28"/>
                <w:sz w:val="21"/>
                <w:szCs w:val="21"/>
              </w:rPr>
              <w:t>+1SP</w:t>
            </w:r>
          </w:p>
        </w:tc>
        <w:tc>
          <w:tcPr>
            <w:tcW w:w="983" w:type="dxa"/>
            <w:tcBorders>
              <w:tl2br w:val="nil"/>
              <w:tr2bl w:val="nil"/>
            </w:tcBorders>
            <w:noWrap w:val="0"/>
            <w:vAlign w:val="center"/>
          </w:tcPr>
          <w:p w14:paraId="161F11D3">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181EFBAA">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1D62B738">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43C1F2AF">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5FF7254C">
            <w:pPr>
              <w:pageBreakBefore w:val="0"/>
              <w:wordWrap/>
              <w:bidi w:val="0"/>
              <w:adjustRightInd/>
              <w:snapToGrid/>
              <w:spacing w:line="240" w:lineRule="auto"/>
              <w:ind w:firstLine="0" w:firstLineChars="0"/>
              <w:jc w:val="center"/>
              <w:rPr>
                <w:color w:val="auto"/>
                <w:sz w:val="21"/>
                <w:szCs w:val="21"/>
              </w:rPr>
            </w:pPr>
          </w:p>
        </w:tc>
      </w:tr>
      <w:tr w14:paraId="280D9F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restart"/>
            <w:tcBorders>
              <w:tl2br w:val="nil"/>
              <w:tr2bl w:val="nil"/>
            </w:tcBorders>
            <w:noWrap w:val="0"/>
            <w:vAlign w:val="center"/>
          </w:tcPr>
          <w:p w14:paraId="2D32D124">
            <w:pPr>
              <w:pageBreakBefore w:val="0"/>
              <w:wordWrap/>
              <w:bidi w:val="0"/>
              <w:adjustRightInd/>
              <w:snapToGrid/>
              <w:spacing w:line="240" w:lineRule="auto"/>
              <w:ind w:firstLine="0" w:firstLineChars="0"/>
              <w:jc w:val="center"/>
              <w:rPr>
                <w:color w:val="auto"/>
                <w:sz w:val="21"/>
                <w:szCs w:val="21"/>
              </w:rPr>
            </w:pPr>
            <w:r>
              <w:rPr>
                <w:color w:val="auto"/>
                <w:sz w:val="21"/>
                <w:szCs w:val="21"/>
              </w:rPr>
              <w:t>生活质量</w:t>
            </w:r>
          </w:p>
        </w:tc>
        <w:tc>
          <w:tcPr>
            <w:tcW w:w="1106" w:type="dxa"/>
            <w:tcBorders>
              <w:tl2br w:val="nil"/>
              <w:tr2bl w:val="nil"/>
            </w:tcBorders>
            <w:noWrap w:val="0"/>
            <w:vAlign w:val="center"/>
          </w:tcPr>
          <w:p w14:paraId="24ABCD69">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生活水平</w:t>
            </w:r>
          </w:p>
        </w:tc>
        <w:tc>
          <w:tcPr>
            <w:tcW w:w="983" w:type="dxa"/>
            <w:tcBorders>
              <w:tl2br w:val="nil"/>
              <w:tr2bl w:val="nil"/>
            </w:tcBorders>
            <w:noWrap w:val="0"/>
            <w:vAlign w:val="center"/>
          </w:tcPr>
          <w:p w14:paraId="0A9164B9">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+1SP</w:t>
            </w:r>
          </w:p>
        </w:tc>
        <w:tc>
          <w:tcPr>
            <w:tcW w:w="996" w:type="dxa"/>
            <w:tcBorders>
              <w:tl2br w:val="nil"/>
              <w:tr2bl w:val="nil"/>
            </w:tcBorders>
            <w:noWrap w:val="0"/>
            <w:vAlign w:val="center"/>
          </w:tcPr>
          <w:p w14:paraId="0BC4102B">
            <w:pPr>
              <w:pageBreakBefore w:val="0"/>
              <w:wordWrap/>
              <w:bidi w:val="0"/>
              <w:adjustRightInd/>
              <w:snapToGrid/>
              <w:spacing w:line="240" w:lineRule="auto"/>
              <w:ind w:firstLine="0" w:firstLineChars="0"/>
              <w:jc w:val="center"/>
              <w:rPr>
                <w:color w:val="auto"/>
                <w:sz w:val="21"/>
                <w:szCs w:val="21"/>
              </w:rPr>
            </w:pPr>
            <w:r>
              <w:rPr>
                <w:color w:val="auto"/>
                <w:spacing w:val="-2"/>
                <w:kern w:val="28"/>
                <w:sz w:val="21"/>
                <w:szCs w:val="21"/>
              </w:rPr>
              <w:t>+1SP</w:t>
            </w:r>
          </w:p>
        </w:tc>
        <w:tc>
          <w:tcPr>
            <w:tcW w:w="983" w:type="dxa"/>
            <w:tcBorders>
              <w:tl2br w:val="nil"/>
              <w:tr2bl w:val="nil"/>
            </w:tcBorders>
            <w:noWrap w:val="0"/>
            <w:vAlign w:val="center"/>
          </w:tcPr>
          <w:p w14:paraId="6EF92C96">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3D313BF6">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26925924">
            <w:pPr>
              <w:pageBreakBefore w:val="0"/>
              <w:wordWrap/>
              <w:bidi w:val="0"/>
              <w:adjustRightInd/>
              <w:snapToGrid/>
              <w:spacing w:line="240" w:lineRule="auto"/>
              <w:ind w:firstLine="0" w:firstLineChars="0"/>
              <w:jc w:val="center"/>
              <w:rPr>
                <w:color w:val="auto"/>
                <w:sz w:val="21"/>
                <w:szCs w:val="21"/>
              </w:rPr>
            </w:pPr>
          </w:p>
        </w:tc>
        <w:tc>
          <w:tcPr>
            <w:tcW w:w="982" w:type="dxa"/>
            <w:tcBorders>
              <w:tl2br w:val="nil"/>
              <w:tr2bl w:val="nil"/>
            </w:tcBorders>
            <w:noWrap w:val="0"/>
            <w:vAlign w:val="center"/>
          </w:tcPr>
          <w:p w14:paraId="7373AA43">
            <w:pPr>
              <w:pageBreakBefore w:val="0"/>
              <w:wordWrap/>
              <w:bidi w:val="0"/>
              <w:adjustRightInd/>
              <w:snapToGrid/>
              <w:spacing w:line="240" w:lineRule="auto"/>
              <w:ind w:firstLine="0" w:firstLineChars="0"/>
              <w:jc w:val="center"/>
              <w:rPr>
                <w:color w:val="auto"/>
                <w:sz w:val="21"/>
                <w:szCs w:val="21"/>
              </w:rPr>
            </w:pPr>
          </w:p>
        </w:tc>
        <w:tc>
          <w:tcPr>
            <w:tcW w:w="983" w:type="dxa"/>
            <w:tcBorders>
              <w:tl2br w:val="nil"/>
              <w:tr2bl w:val="nil"/>
            </w:tcBorders>
            <w:noWrap w:val="0"/>
            <w:vAlign w:val="center"/>
          </w:tcPr>
          <w:p w14:paraId="31AACEBD">
            <w:pPr>
              <w:pageBreakBefore w:val="0"/>
              <w:wordWrap/>
              <w:bidi w:val="0"/>
              <w:adjustRightInd/>
              <w:snapToGrid/>
              <w:spacing w:line="240" w:lineRule="auto"/>
              <w:ind w:firstLine="0" w:firstLineChars="0"/>
              <w:jc w:val="center"/>
              <w:rPr>
                <w:color w:val="auto"/>
                <w:sz w:val="21"/>
                <w:szCs w:val="21"/>
              </w:rPr>
            </w:pPr>
          </w:p>
        </w:tc>
      </w:tr>
      <w:tr w14:paraId="537C54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846" w:type="dxa"/>
            <w:vMerge w:val="continue"/>
            <w:tcBorders>
              <w:tl2br w:val="nil"/>
              <w:tr2bl w:val="nil"/>
            </w:tcBorders>
            <w:noWrap w:val="0"/>
            <w:vAlign w:val="center"/>
          </w:tcPr>
          <w:p w14:paraId="4A4F8883">
            <w:pPr>
              <w:pageBreakBefore w:val="0"/>
              <w:wordWrap/>
              <w:bidi w:val="0"/>
              <w:adjustRightInd/>
              <w:snapToGrid/>
              <w:spacing w:line="240" w:lineRule="auto"/>
              <w:ind w:firstLine="0" w:firstLineChars="0"/>
              <w:jc w:val="center"/>
              <w:rPr>
                <w:color w:val="auto"/>
                <w:sz w:val="21"/>
                <w:szCs w:val="21"/>
              </w:rPr>
            </w:pPr>
          </w:p>
        </w:tc>
        <w:tc>
          <w:tcPr>
            <w:tcW w:w="1106" w:type="dxa"/>
            <w:tcBorders>
              <w:tl2br w:val="nil"/>
              <w:tr2bl w:val="nil"/>
            </w:tcBorders>
            <w:noWrap w:val="0"/>
            <w:vAlign w:val="center"/>
          </w:tcPr>
          <w:p w14:paraId="501CE3A1">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人群健康</w:t>
            </w:r>
          </w:p>
        </w:tc>
        <w:tc>
          <w:tcPr>
            <w:tcW w:w="983" w:type="dxa"/>
            <w:tcBorders>
              <w:tl2br w:val="nil"/>
              <w:tr2bl w:val="nil"/>
            </w:tcBorders>
            <w:noWrap w:val="0"/>
            <w:vAlign w:val="center"/>
          </w:tcPr>
          <w:p w14:paraId="1FFD31E4">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-1SP</w:t>
            </w:r>
          </w:p>
        </w:tc>
        <w:tc>
          <w:tcPr>
            <w:tcW w:w="996" w:type="dxa"/>
            <w:tcBorders>
              <w:tl2br w:val="nil"/>
              <w:tr2bl w:val="nil"/>
            </w:tcBorders>
            <w:noWrap w:val="0"/>
            <w:vAlign w:val="center"/>
          </w:tcPr>
          <w:p w14:paraId="319B9EC7">
            <w:pPr>
              <w:pageBreakBefore w:val="0"/>
              <w:wordWrap/>
              <w:bidi w:val="0"/>
              <w:adjustRightInd/>
              <w:snapToGrid/>
              <w:spacing w:line="240" w:lineRule="auto"/>
              <w:ind w:firstLine="0" w:firstLineChars="0"/>
              <w:jc w:val="center"/>
              <w:rPr>
                <w:color w:val="auto"/>
                <w:sz w:val="21"/>
                <w:szCs w:val="21"/>
              </w:rPr>
            </w:pPr>
            <w:r>
              <w:rPr>
                <w:color w:val="auto"/>
                <w:spacing w:val="-2"/>
                <w:kern w:val="28"/>
                <w:sz w:val="21"/>
                <w:szCs w:val="21"/>
              </w:rPr>
              <w:t>-1SP</w:t>
            </w:r>
          </w:p>
        </w:tc>
        <w:tc>
          <w:tcPr>
            <w:tcW w:w="983" w:type="dxa"/>
            <w:tcBorders>
              <w:tl2br w:val="nil"/>
              <w:tr2bl w:val="nil"/>
            </w:tcBorders>
            <w:noWrap w:val="0"/>
            <w:vAlign w:val="center"/>
          </w:tcPr>
          <w:p w14:paraId="060BD24C">
            <w:pPr>
              <w:pageBreakBefore w:val="0"/>
              <w:wordWrap/>
              <w:bidi w:val="0"/>
              <w:adjustRightInd/>
              <w:snapToGrid/>
              <w:spacing w:line="240" w:lineRule="auto"/>
              <w:ind w:firstLine="0" w:firstLineChars="0"/>
              <w:jc w:val="center"/>
              <w:rPr>
                <w:color w:val="auto"/>
                <w:sz w:val="21"/>
                <w:szCs w:val="21"/>
              </w:rPr>
            </w:pPr>
            <w:r>
              <w:rPr>
                <w:color w:val="auto"/>
                <w:sz w:val="21"/>
                <w:szCs w:val="21"/>
              </w:rPr>
              <w:t>-1LP</w:t>
            </w:r>
          </w:p>
        </w:tc>
        <w:tc>
          <w:tcPr>
            <w:tcW w:w="982" w:type="dxa"/>
            <w:tcBorders>
              <w:tl2br w:val="nil"/>
              <w:tr2bl w:val="nil"/>
            </w:tcBorders>
            <w:noWrap w:val="0"/>
            <w:vAlign w:val="center"/>
          </w:tcPr>
          <w:p w14:paraId="491DD941">
            <w:pPr>
              <w:pageBreakBefore w:val="0"/>
              <w:wordWrap/>
              <w:bidi w:val="0"/>
              <w:adjustRightInd/>
              <w:snapToGrid/>
              <w:spacing w:line="240" w:lineRule="auto"/>
              <w:ind w:firstLine="0" w:firstLineChars="0"/>
              <w:jc w:val="center"/>
              <w:rPr>
                <w:color w:val="auto"/>
                <w:sz w:val="21"/>
                <w:szCs w:val="21"/>
              </w:rPr>
            </w:pPr>
            <w:r>
              <w:rPr>
                <w:color w:val="auto"/>
                <w:sz w:val="21"/>
                <w:szCs w:val="21"/>
              </w:rPr>
              <w:t>-1LP</w:t>
            </w:r>
          </w:p>
        </w:tc>
        <w:tc>
          <w:tcPr>
            <w:tcW w:w="983" w:type="dxa"/>
            <w:tcBorders>
              <w:tl2br w:val="nil"/>
              <w:tr2bl w:val="nil"/>
            </w:tcBorders>
            <w:noWrap w:val="0"/>
            <w:vAlign w:val="center"/>
          </w:tcPr>
          <w:p w14:paraId="0258A8CC">
            <w:pPr>
              <w:pageBreakBefore w:val="0"/>
              <w:wordWrap/>
              <w:bidi w:val="0"/>
              <w:adjustRightInd/>
              <w:snapToGrid/>
              <w:spacing w:line="240" w:lineRule="auto"/>
              <w:ind w:firstLine="0" w:firstLineChars="0"/>
              <w:jc w:val="center"/>
              <w:rPr>
                <w:color w:val="auto"/>
                <w:sz w:val="21"/>
                <w:szCs w:val="21"/>
              </w:rPr>
            </w:pPr>
            <w:r>
              <w:rPr>
                <w:color w:val="auto"/>
                <w:sz w:val="21"/>
                <w:szCs w:val="21"/>
              </w:rPr>
              <w:t>-1LP</w:t>
            </w:r>
          </w:p>
        </w:tc>
        <w:tc>
          <w:tcPr>
            <w:tcW w:w="982" w:type="dxa"/>
            <w:tcBorders>
              <w:tl2br w:val="nil"/>
              <w:tr2bl w:val="nil"/>
            </w:tcBorders>
            <w:noWrap w:val="0"/>
            <w:vAlign w:val="center"/>
          </w:tcPr>
          <w:p w14:paraId="5DBDF16E">
            <w:pPr>
              <w:pageBreakBefore w:val="0"/>
              <w:wordWrap/>
              <w:bidi w:val="0"/>
              <w:adjustRightInd/>
              <w:snapToGrid/>
              <w:spacing w:line="240" w:lineRule="auto"/>
              <w:ind w:firstLine="0" w:firstLineChars="0"/>
              <w:jc w:val="center"/>
              <w:rPr>
                <w:color w:val="auto"/>
                <w:sz w:val="21"/>
                <w:szCs w:val="21"/>
              </w:rPr>
            </w:pPr>
            <w:r>
              <w:rPr>
                <w:color w:val="auto"/>
                <w:sz w:val="21"/>
                <w:szCs w:val="21"/>
              </w:rPr>
              <w:t>-1LP</w:t>
            </w:r>
          </w:p>
        </w:tc>
        <w:tc>
          <w:tcPr>
            <w:tcW w:w="983" w:type="dxa"/>
            <w:tcBorders>
              <w:tl2br w:val="nil"/>
              <w:tr2bl w:val="nil"/>
            </w:tcBorders>
            <w:noWrap w:val="0"/>
            <w:vAlign w:val="center"/>
          </w:tcPr>
          <w:p w14:paraId="16604EF1">
            <w:pPr>
              <w:pageBreakBefore w:val="0"/>
              <w:wordWrap/>
              <w:bidi w:val="0"/>
              <w:adjustRightInd/>
              <w:snapToGrid/>
              <w:spacing w:line="240" w:lineRule="auto"/>
              <w:ind w:firstLine="0" w:firstLineChars="0"/>
              <w:jc w:val="center"/>
              <w:rPr>
                <w:color w:val="auto"/>
                <w:sz w:val="21"/>
                <w:szCs w:val="21"/>
              </w:rPr>
            </w:pPr>
            <w:r>
              <w:rPr>
                <w:color w:val="auto"/>
                <w:spacing w:val="-2"/>
                <w:kern w:val="28"/>
                <w:sz w:val="21"/>
                <w:szCs w:val="21"/>
              </w:rPr>
              <w:t>-1SP</w:t>
            </w:r>
          </w:p>
        </w:tc>
      </w:tr>
    </w:tbl>
    <w:p w14:paraId="498620BB">
      <w:pPr>
        <w:pageBreakBefore w:val="0"/>
        <w:wordWrap/>
        <w:bidi w:val="0"/>
        <w:adjustRightInd/>
        <w:snapToGrid/>
        <w:spacing w:line="240" w:lineRule="auto"/>
        <w:ind w:firstLine="0" w:firstLineChars="0"/>
        <w:rPr>
          <w:color w:val="auto"/>
          <w:sz w:val="21"/>
          <w:szCs w:val="21"/>
        </w:rPr>
      </w:pPr>
      <w:r>
        <w:rPr>
          <w:color w:val="auto"/>
          <w:sz w:val="21"/>
          <w:szCs w:val="21"/>
        </w:rPr>
        <w:t>注：+、-分别表示工程的正负效益：S—短期，L—长期，P—局部，1—影响较小，2—影响中等，3—显著影响。</w:t>
      </w:r>
    </w:p>
    <w:p w14:paraId="20231289">
      <w:pPr>
        <w:bidi w:val="0"/>
        <w:rPr>
          <w:color w:val="auto"/>
        </w:rPr>
      </w:pPr>
      <w:r>
        <w:rPr>
          <w:color w:val="auto"/>
        </w:rPr>
        <w:t>根据项目特点，同时考虑区域环境状况，可以得出：项目在施工期对周围自然环境、生态环境和社会环境的影响是轻微、短暂和局部的；运营期产生的废气、废水、固废、噪声对周围环境将造成一定的不利影响。</w:t>
      </w:r>
    </w:p>
    <w:p w14:paraId="02FADA3E">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评价因子</w:t>
      </w:r>
    </w:p>
    <w:p w14:paraId="5EC8CC49">
      <w:pPr>
        <w:bidi w:val="0"/>
        <w:rPr>
          <w:color w:val="auto"/>
        </w:rPr>
      </w:pPr>
      <w:r>
        <w:rPr>
          <w:color w:val="auto"/>
        </w:rPr>
        <w:t>依据环境影响因素识别结果，并结合区域环境功能要求或所确定的环境保护目标，筛选确定评价因子，应重点关注环境制约因素。</w:t>
      </w:r>
    </w:p>
    <w:p w14:paraId="739F5E69">
      <w:pPr>
        <w:pageBreakBefore w:val="0"/>
        <w:widowControl/>
        <w:wordWrap/>
        <w:bidi w:val="0"/>
        <w:adjustRightInd/>
        <w:snapToGrid/>
        <w:ind w:firstLine="480"/>
        <w:rPr>
          <w:color w:val="auto"/>
          <w:kern w:val="0"/>
        </w:rPr>
      </w:pPr>
      <w:r>
        <w:rPr>
          <w:color w:val="auto"/>
          <w:kern w:val="0"/>
        </w:rPr>
        <w:t>评价因子须能够反映环境影响的主要特征、区域环境的基本状况及建设项目的特点和排污特征。</w:t>
      </w:r>
    </w:p>
    <w:p w14:paraId="2F94C1A8">
      <w:pPr>
        <w:pStyle w:val="144"/>
        <w:pageBreakBefore w:val="0"/>
        <w:wordWrap/>
        <w:bidi w:val="0"/>
        <w:adjustRightInd/>
        <w:snapToGrid/>
        <w:spacing w:line="360" w:lineRule="auto"/>
        <w:rPr>
          <w:b/>
          <w:bCs/>
          <w:color w:val="auto"/>
        </w:rPr>
      </w:pPr>
      <w:r>
        <w:rPr>
          <w:b/>
          <w:bCs/>
          <w:color w:val="auto"/>
        </w:rPr>
        <w:t>1、环境现状评价因子</w:t>
      </w:r>
    </w:p>
    <w:p w14:paraId="0C1584FB">
      <w:pPr>
        <w:pageBreakBefore w:val="0"/>
        <w:wordWrap/>
        <w:bidi w:val="0"/>
        <w:adjustRightInd/>
        <w:snapToGrid/>
        <w:ind w:firstLine="480"/>
        <w:rPr>
          <w:rFonts w:hint="eastAsia" w:eastAsia="宋体"/>
          <w:color w:val="auto"/>
          <w:lang w:eastAsia="zh-CN"/>
        </w:rPr>
      </w:pPr>
      <w:r>
        <w:rPr>
          <w:color w:val="auto"/>
          <w:kern w:val="0"/>
        </w:rPr>
        <w:t>地表水环境：</w:t>
      </w:r>
      <w:r>
        <w:rPr>
          <w:rFonts w:hint="eastAsia"/>
          <w:color w:val="auto"/>
          <w:kern w:val="0"/>
          <w:lang w:val="en-US" w:eastAsia="zh-CN"/>
        </w:rPr>
        <w:t>水温、</w:t>
      </w:r>
      <w:r>
        <w:rPr>
          <w:rFonts w:hint="eastAsia"/>
          <w:color w:val="auto"/>
        </w:rPr>
        <w:t>pH、溶解氧、COD</w:t>
      </w:r>
      <w:r>
        <w:rPr>
          <w:rFonts w:hint="eastAsia"/>
          <w:color w:val="auto"/>
          <w:vertAlign w:val="subscript"/>
        </w:rPr>
        <w:t>Cr</w:t>
      </w:r>
      <w:r>
        <w:rPr>
          <w:rFonts w:hint="eastAsia"/>
          <w:color w:val="auto"/>
        </w:rPr>
        <w:t>、BOD</w:t>
      </w:r>
      <w:r>
        <w:rPr>
          <w:rFonts w:hint="eastAsia"/>
          <w:color w:val="auto"/>
          <w:vertAlign w:val="subscript"/>
        </w:rPr>
        <w:t>5</w:t>
      </w:r>
      <w:r>
        <w:rPr>
          <w:rFonts w:hint="eastAsia"/>
          <w:color w:val="auto"/>
        </w:rPr>
        <w:t>、NH</w:t>
      </w:r>
      <w:r>
        <w:rPr>
          <w:rFonts w:hint="eastAsia"/>
          <w:color w:val="auto"/>
          <w:vertAlign w:val="subscript"/>
        </w:rPr>
        <w:t>3</w:t>
      </w:r>
      <w:r>
        <w:rPr>
          <w:rFonts w:hint="eastAsia"/>
          <w:color w:val="auto"/>
        </w:rPr>
        <w:t>-N、总氮、总磷、悬浮物、硫化物、氰化物、氟化物、氯化物、挥发酚、硫酸盐、铁、铜、铅、锌、镉、镍、锰、砷、汞、六价铬、阴离子表面活性剂、粪大肠菌群数（个/L）、石油类、甲醛</w:t>
      </w:r>
      <w:r>
        <w:rPr>
          <w:rFonts w:hint="eastAsia"/>
          <w:color w:val="auto"/>
          <w:lang w:eastAsia="zh-CN"/>
        </w:rPr>
        <w:t>；</w:t>
      </w:r>
    </w:p>
    <w:p w14:paraId="33D27749">
      <w:pPr>
        <w:pageBreakBefore w:val="0"/>
        <w:wordWrap/>
        <w:bidi w:val="0"/>
        <w:adjustRightInd/>
        <w:snapToGrid/>
        <w:ind w:firstLine="480"/>
        <w:rPr>
          <w:color w:val="auto"/>
          <w:kern w:val="0"/>
        </w:rPr>
      </w:pPr>
      <w:r>
        <w:rPr>
          <w:color w:val="auto"/>
          <w:kern w:val="0"/>
        </w:rPr>
        <w:t>地下水环境：K</w:t>
      </w:r>
      <w:r>
        <w:rPr>
          <w:color w:val="auto"/>
          <w:kern w:val="0"/>
          <w:vertAlign w:val="superscript"/>
        </w:rPr>
        <w:t>+</w:t>
      </w:r>
      <w:r>
        <w:rPr>
          <w:color w:val="auto"/>
          <w:kern w:val="0"/>
        </w:rPr>
        <w:t>，Na</w:t>
      </w:r>
      <w:r>
        <w:rPr>
          <w:color w:val="auto"/>
          <w:kern w:val="0"/>
          <w:vertAlign w:val="superscript"/>
        </w:rPr>
        <w:t>+</w:t>
      </w:r>
      <w:r>
        <w:rPr>
          <w:color w:val="auto"/>
          <w:kern w:val="0"/>
        </w:rPr>
        <w:t>，Ca</w:t>
      </w:r>
      <w:r>
        <w:rPr>
          <w:color w:val="auto"/>
          <w:kern w:val="0"/>
          <w:vertAlign w:val="superscript"/>
        </w:rPr>
        <w:t>2+</w:t>
      </w:r>
      <w:r>
        <w:rPr>
          <w:color w:val="auto"/>
          <w:kern w:val="0"/>
        </w:rPr>
        <w:t>，Mg</w:t>
      </w:r>
      <w:r>
        <w:rPr>
          <w:color w:val="auto"/>
          <w:kern w:val="0"/>
          <w:vertAlign w:val="superscript"/>
        </w:rPr>
        <w:t>2+</w:t>
      </w:r>
      <w:r>
        <w:rPr>
          <w:color w:val="auto"/>
          <w:kern w:val="0"/>
        </w:rPr>
        <w:t>，CO</w:t>
      </w:r>
      <w:r>
        <w:rPr>
          <w:color w:val="auto"/>
          <w:kern w:val="0"/>
          <w:vertAlign w:val="subscript"/>
        </w:rPr>
        <w:t>3</w:t>
      </w:r>
      <w:r>
        <w:rPr>
          <w:color w:val="auto"/>
          <w:kern w:val="0"/>
          <w:vertAlign w:val="superscript"/>
        </w:rPr>
        <w:t>2-</w:t>
      </w:r>
      <w:r>
        <w:rPr>
          <w:color w:val="auto"/>
          <w:kern w:val="0"/>
        </w:rPr>
        <w:t>，HCO</w:t>
      </w:r>
      <w:r>
        <w:rPr>
          <w:color w:val="auto"/>
          <w:kern w:val="0"/>
          <w:vertAlign w:val="subscript"/>
        </w:rPr>
        <w:t>3</w:t>
      </w:r>
      <w:r>
        <w:rPr>
          <w:color w:val="auto"/>
          <w:kern w:val="0"/>
          <w:vertAlign w:val="superscript"/>
        </w:rPr>
        <w:t>-</w:t>
      </w:r>
      <w:r>
        <w:rPr>
          <w:color w:val="auto"/>
          <w:kern w:val="0"/>
        </w:rPr>
        <w:t>，Cl</w:t>
      </w:r>
      <w:r>
        <w:rPr>
          <w:color w:val="auto"/>
          <w:kern w:val="0"/>
          <w:vertAlign w:val="superscript"/>
        </w:rPr>
        <w:t>-</w:t>
      </w:r>
      <w:r>
        <w:rPr>
          <w:color w:val="auto"/>
          <w:kern w:val="0"/>
        </w:rPr>
        <w:t>，SO</w:t>
      </w:r>
      <w:r>
        <w:rPr>
          <w:color w:val="auto"/>
          <w:kern w:val="0"/>
          <w:vertAlign w:val="subscript"/>
        </w:rPr>
        <w:t>4</w:t>
      </w:r>
      <w:r>
        <w:rPr>
          <w:color w:val="auto"/>
          <w:kern w:val="0"/>
          <w:vertAlign w:val="superscript"/>
        </w:rPr>
        <w:t>2-</w:t>
      </w:r>
      <w:r>
        <w:rPr>
          <w:color w:val="auto"/>
        </w:rPr>
        <w:t>、</w:t>
      </w:r>
      <w:r>
        <w:rPr>
          <w:rFonts w:hint="eastAsia"/>
          <w:color w:val="auto"/>
          <w:kern w:val="0"/>
        </w:rPr>
        <w:t>pH、氨氮、硝酸盐、亚硝酸盐、挥发性酚类、氰化物、砷、汞、铬</w:t>
      </w:r>
      <w:r>
        <w:rPr>
          <w:rFonts w:hint="eastAsia"/>
          <w:color w:val="auto"/>
          <w:kern w:val="0"/>
          <w:lang w:eastAsia="zh-CN"/>
        </w:rPr>
        <w:t>（</w:t>
      </w:r>
      <w:r>
        <w:rPr>
          <w:rFonts w:hint="eastAsia"/>
          <w:color w:val="auto"/>
          <w:kern w:val="0"/>
        </w:rPr>
        <w:t>六价</w:t>
      </w:r>
      <w:r>
        <w:rPr>
          <w:rFonts w:hint="eastAsia"/>
          <w:color w:val="auto"/>
          <w:kern w:val="0"/>
          <w:lang w:eastAsia="zh-CN"/>
        </w:rPr>
        <w:t>）</w:t>
      </w:r>
      <w:r>
        <w:rPr>
          <w:rFonts w:hint="eastAsia"/>
          <w:color w:val="auto"/>
          <w:kern w:val="0"/>
        </w:rPr>
        <w:t>、总硬度、铅、氟、镉、铁、锰、溶解性总固体、高锰酸盐指数、硫酸盐、氯化物、总大肠菌群、细菌总数</w:t>
      </w:r>
      <w:r>
        <w:rPr>
          <w:color w:val="auto"/>
        </w:rPr>
        <w:t>；</w:t>
      </w:r>
    </w:p>
    <w:p w14:paraId="6A4164BB">
      <w:pPr>
        <w:pageBreakBefore w:val="0"/>
        <w:wordWrap/>
        <w:bidi w:val="0"/>
        <w:adjustRightInd/>
        <w:snapToGrid/>
        <w:ind w:firstLine="480"/>
        <w:rPr>
          <w:color w:val="auto"/>
        </w:rPr>
      </w:pPr>
      <w:r>
        <w:rPr>
          <w:color w:val="auto"/>
          <w:kern w:val="0"/>
        </w:rPr>
        <w:t>空气环境：</w:t>
      </w:r>
      <w:r>
        <w:rPr>
          <w:color w:val="auto"/>
        </w:rPr>
        <w:t>SO</w:t>
      </w:r>
      <w:r>
        <w:rPr>
          <w:color w:val="auto"/>
          <w:vertAlign w:val="subscript"/>
        </w:rPr>
        <w:t>2</w:t>
      </w:r>
      <w:r>
        <w:rPr>
          <w:color w:val="auto"/>
        </w:rPr>
        <w:t>、NO</w:t>
      </w:r>
      <w:r>
        <w:rPr>
          <w:color w:val="auto"/>
          <w:vertAlign w:val="subscript"/>
        </w:rPr>
        <w:t>2</w:t>
      </w:r>
      <w:r>
        <w:rPr>
          <w:color w:val="auto"/>
        </w:rPr>
        <w:t>、PM</w:t>
      </w:r>
      <w:r>
        <w:rPr>
          <w:color w:val="auto"/>
          <w:vertAlign w:val="subscript"/>
        </w:rPr>
        <w:t>10</w:t>
      </w:r>
      <w:r>
        <w:rPr>
          <w:color w:val="auto"/>
        </w:rPr>
        <w:t>、</w:t>
      </w:r>
      <w:r>
        <w:rPr>
          <w:rFonts w:hint="eastAsia"/>
          <w:color w:val="auto"/>
          <w:lang w:eastAsia="zh-CN"/>
        </w:rPr>
        <w:t>PM2.5</w:t>
      </w:r>
      <w:r>
        <w:rPr>
          <w:color w:val="auto"/>
        </w:rPr>
        <w:t>、O</w:t>
      </w:r>
      <w:r>
        <w:rPr>
          <w:color w:val="auto"/>
          <w:vertAlign w:val="subscript"/>
        </w:rPr>
        <w:t>3</w:t>
      </w:r>
      <w:r>
        <w:rPr>
          <w:color w:val="auto"/>
        </w:rPr>
        <w:t>、CO、NH</w:t>
      </w:r>
      <w:r>
        <w:rPr>
          <w:color w:val="auto"/>
          <w:vertAlign w:val="subscript"/>
        </w:rPr>
        <w:t>3</w:t>
      </w:r>
      <w:r>
        <w:rPr>
          <w:color w:val="auto"/>
        </w:rPr>
        <w:t>、H</w:t>
      </w:r>
      <w:r>
        <w:rPr>
          <w:color w:val="auto"/>
          <w:vertAlign w:val="subscript"/>
        </w:rPr>
        <w:t>2</w:t>
      </w:r>
      <w:r>
        <w:rPr>
          <w:color w:val="auto"/>
        </w:rPr>
        <w:t>S</w:t>
      </w:r>
      <w:r>
        <w:rPr>
          <w:rFonts w:hint="eastAsia"/>
          <w:color w:val="auto"/>
          <w:lang w:eastAsia="zh-CN"/>
        </w:rPr>
        <w:t>、</w:t>
      </w:r>
      <w:r>
        <w:rPr>
          <w:rFonts w:hint="eastAsia"/>
          <w:color w:val="auto"/>
          <w:lang w:val="en-US" w:eastAsia="zh-CN"/>
        </w:rPr>
        <w:t>臭气浓度</w:t>
      </w:r>
      <w:r>
        <w:rPr>
          <w:color w:val="auto"/>
        </w:rPr>
        <w:t>；</w:t>
      </w:r>
    </w:p>
    <w:p w14:paraId="5ACEDA28">
      <w:pPr>
        <w:pageBreakBefore w:val="0"/>
        <w:wordWrap/>
        <w:bidi w:val="0"/>
        <w:adjustRightInd/>
        <w:snapToGrid/>
        <w:ind w:firstLine="480"/>
        <w:rPr>
          <w:color w:val="auto"/>
        </w:rPr>
      </w:pPr>
      <w:r>
        <w:rPr>
          <w:color w:val="auto"/>
          <w:kern w:val="0"/>
        </w:rPr>
        <w:t>声环境：环境</w:t>
      </w:r>
      <w:r>
        <w:rPr>
          <w:color w:val="auto"/>
        </w:rPr>
        <w:t>噪声；</w:t>
      </w:r>
    </w:p>
    <w:p w14:paraId="17CD0F81">
      <w:pPr>
        <w:pageBreakBefore w:val="0"/>
        <w:wordWrap/>
        <w:bidi w:val="0"/>
        <w:adjustRightInd/>
        <w:snapToGrid/>
        <w:rPr>
          <w:color w:val="auto"/>
        </w:rPr>
      </w:pPr>
      <w:r>
        <w:rPr>
          <w:color w:val="auto"/>
        </w:rPr>
        <w:t>土壤：pH、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α]蒽、苯并[α]芘、苯并[b]荧蒽、苯并[k]荧蒽、䓛、二苯并[a</w:t>
      </w:r>
      <w:r>
        <w:rPr>
          <w:rFonts w:hint="eastAsia"/>
          <w:color w:val="auto"/>
          <w:lang w:eastAsia="zh-CN"/>
        </w:rPr>
        <w:t>，</w:t>
      </w:r>
      <w:r>
        <w:rPr>
          <w:color w:val="auto"/>
        </w:rPr>
        <w:t>h]蒽、茚并[1.2.3-cd]芘、萘），共46项</w:t>
      </w:r>
      <w:r>
        <w:rPr>
          <w:rFonts w:hint="eastAsia"/>
          <w:color w:val="auto"/>
          <w:lang w:eastAsia="zh-CN"/>
        </w:rPr>
        <w:t>；</w:t>
      </w:r>
      <w:r>
        <w:rPr>
          <w:rFonts w:hint="eastAsia"/>
          <w:color w:val="auto"/>
          <w:lang w:val="en-US" w:eastAsia="zh-CN"/>
        </w:rPr>
        <w:t>5#、6#监测点，镉、汞、砷、铅、铬、铜、镍、锌、六六六总量、滴滴涕总量、苯并[a]芘</w:t>
      </w:r>
      <w:r>
        <w:rPr>
          <w:color w:val="auto"/>
        </w:rPr>
        <w:t>。</w:t>
      </w:r>
    </w:p>
    <w:p w14:paraId="7C66AEE5">
      <w:pPr>
        <w:pageBreakBefore w:val="0"/>
        <w:wordWrap/>
        <w:bidi w:val="0"/>
        <w:adjustRightInd/>
        <w:snapToGrid/>
        <w:rPr>
          <w:b/>
          <w:bCs/>
          <w:color w:val="auto"/>
        </w:rPr>
      </w:pPr>
      <w:r>
        <w:rPr>
          <w:b/>
          <w:bCs/>
          <w:color w:val="auto"/>
        </w:rPr>
        <w:t>2、环境影响评价因子</w:t>
      </w:r>
    </w:p>
    <w:p w14:paraId="0E82B5E2">
      <w:pPr>
        <w:pageBreakBefore w:val="0"/>
        <w:wordWrap/>
        <w:bidi w:val="0"/>
        <w:adjustRightInd/>
        <w:snapToGrid/>
        <w:ind w:firstLine="480"/>
        <w:rPr>
          <w:color w:val="auto"/>
        </w:rPr>
      </w:pPr>
      <w:r>
        <w:rPr>
          <w:color w:val="auto"/>
        </w:rPr>
        <w:t>（1）施工期</w:t>
      </w:r>
    </w:p>
    <w:p w14:paraId="248FDDA9">
      <w:pPr>
        <w:pageBreakBefore w:val="0"/>
        <w:wordWrap/>
        <w:bidi w:val="0"/>
        <w:adjustRightInd/>
        <w:snapToGrid/>
        <w:ind w:firstLine="480"/>
        <w:rPr>
          <w:color w:val="auto"/>
        </w:rPr>
      </w:pPr>
      <w:r>
        <w:rPr>
          <w:color w:val="auto"/>
        </w:rPr>
        <w:t>地表水环境：pH、COD</w:t>
      </w:r>
      <w:r>
        <w:rPr>
          <w:color w:val="auto"/>
          <w:vertAlign w:val="subscript"/>
        </w:rPr>
        <w:t>Cr</w:t>
      </w:r>
      <w:r>
        <w:rPr>
          <w:color w:val="auto"/>
        </w:rPr>
        <w:t>、BOD</w:t>
      </w:r>
      <w:r>
        <w:rPr>
          <w:color w:val="auto"/>
          <w:vertAlign w:val="subscript"/>
        </w:rPr>
        <w:t>5</w:t>
      </w:r>
      <w:r>
        <w:rPr>
          <w:color w:val="auto"/>
        </w:rPr>
        <w:t>、氨氮、石油类、SS共6项。</w:t>
      </w:r>
    </w:p>
    <w:p w14:paraId="79A7A444">
      <w:pPr>
        <w:pageBreakBefore w:val="0"/>
        <w:wordWrap/>
        <w:bidi w:val="0"/>
        <w:adjustRightInd/>
        <w:snapToGrid/>
        <w:ind w:firstLine="480"/>
        <w:rPr>
          <w:color w:val="auto"/>
        </w:rPr>
      </w:pPr>
      <w:r>
        <w:rPr>
          <w:color w:val="auto"/>
        </w:rPr>
        <w:t>空气环境：TSP、SO</w:t>
      </w:r>
      <w:r>
        <w:rPr>
          <w:color w:val="auto"/>
          <w:vertAlign w:val="subscript"/>
        </w:rPr>
        <w:t>2</w:t>
      </w:r>
      <w:r>
        <w:rPr>
          <w:color w:val="auto"/>
        </w:rPr>
        <w:t>、NO</w:t>
      </w:r>
      <w:r>
        <w:rPr>
          <w:color w:val="auto"/>
          <w:vertAlign w:val="subscript"/>
        </w:rPr>
        <w:t>2</w:t>
      </w:r>
      <w:r>
        <w:rPr>
          <w:color w:val="auto"/>
        </w:rPr>
        <w:t>。</w:t>
      </w:r>
    </w:p>
    <w:p w14:paraId="054C615B">
      <w:pPr>
        <w:pageBreakBefore w:val="0"/>
        <w:wordWrap/>
        <w:bidi w:val="0"/>
        <w:adjustRightInd/>
        <w:snapToGrid/>
        <w:ind w:firstLine="480"/>
        <w:rPr>
          <w:color w:val="auto"/>
        </w:rPr>
      </w:pPr>
      <w:r>
        <w:rPr>
          <w:color w:val="auto"/>
        </w:rPr>
        <w:t>声环境：施工噪声、运输车辆产生的交通噪声。</w:t>
      </w:r>
    </w:p>
    <w:p w14:paraId="1F7D2989">
      <w:pPr>
        <w:pageBreakBefore w:val="0"/>
        <w:wordWrap/>
        <w:bidi w:val="0"/>
        <w:adjustRightInd/>
        <w:snapToGrid/>
        <w:ind w:firstLine="480"/>
        <w:rPr>
          <w:color w:val="auto"/>
        </w:rPr>
      </w:pPr>
      <w:r>
        <w:rPr>
          <w:color w:val="auto"/>
        </w:rPr>
        <w:t>固体废物：建筑、装修、生活垃圾等。</w:t>
      </w:r>
    </w:p>
    <w:p w14:paraId="3041BEDE">
      <w:pPr>
        <w:pageBreakBefore w:val="0"/>
        <w:wordWrap/>
        <w:bidi w:val="0"/>
        <w:adjustRightInd/>
        <w:snapToGrid/>
        <w:ind w:firstLine="480"/>
        <w:rPr>
          <w:color w:val="auto"/>
        </w:rPr>
      </w:pPr>
      <w:r>
        <w:rPr>
          <w:color w:val="auto"/>
        </w:rPr>
        <w:t>生态环境：水土流失。</w:t>
      </w:r>
    </w:p>
    <w:p w14:paraId="3831A6EF">
      <w:pPr>
        <w:pageBreakBefore w:val="0"/>
        <w:wordWrap/>
        <w:autoSpaceDE w:val="0"/>
        <w:autoSpaceDN w:val="0"/>
        <w:bidi w:val="0"/>
        <w:adjustRightInd/>
        <w:snapToGrid/>
        <w:ind w:firstLine="480"/>
        <w:jc w:val="left"/>
        <w:rPr>
          <w:color w:val="auto"/>
          <w:kern w:val="0"/>
        </w:rPr>
      </w:pPr>
      <w:r>
        <w:rPr>
          <w:color w:val="auto"/>
          <w:kern w:val="0"/>
        </w:rPr>
        <w:t>（2）运营期</w:t>
      </w:r>
    </w:p>
    <w:p w14:paraId="011FB54D">
      <w:pPr>
        <w:pageBreakBefore w:val="0"/>
        <w:wordWrap/>
        <w:bidi w:val="0"/>
        <w:adjustRightInd/>
        <w:snapToGrid/>
        <w:ind w:firstLine="480"/>
        <w:rPr>
          <w:color w:val="auto"/>
        </w:rPr>
      </w:pPr>
      <w:r>
        <w:rPr>
          <w:color w:val="auto"/>
        </w:rPr>
        <w:t>环境空气：NH</w:t>
      </w:r>
      <w:r>
        <w:rPr>
          <w:color w:val="auto"/>
          <w:vertAlign w:val="subscript"/>
        </w:rPr>
        <w:t>3</w:t>
      </w:r>
      <w:r>
        <w:rPr>
          <w:color w:val="auto"/>
        </w:rPr>
        <w:t>、H</w:t>
      </w:r>
      <w:r>
        <w:rPr>
          <w:color w:val="auto"/>
          <w:vertAlign w:val="subscript"/>
        </w:rPr>
        <w:t>2</w:t>
      </w:r>
      <w:r>
        <w:rPr>
          <w:color w:val="auto"/>
        </w:rPr>
        <w:t>S</w:t>
      </w:r>
      <w:r>
        <w:rPr>
          <w:rFonts w:hint="eastAsia"/>
          <w:color w:val="auto"/>
          <w:lang w:eastAsia="zh-CN"/>
        </w:rPr>
        <w:t>、</w:t>
      </w:r>
      <w:r>
        <w:rPr>
          <w:rFonts w:hint="eastAsia"/>
          <w:color w:val="auto"/>
          <w:lang w:val="en-US" w:eastAsia="zh-CN"/>
        </w:rPr>
        <w:t>臭气浓度</w:t>
      </w:r>
      <w:r>
        <w:rPr>
          <w:color w:val="auto"/>
        </w:rPr>
        <w:t>；</w:t>
      </w:r>
    </w:p>
    <w:p w14:paraId="54AE8590">
      <w:pPr>
        <w:pageBreakBefore w:val="0"/>
        <w:wordWrap/>
        <w:bidi w:val="0"/>
        <w:adjustRightInd/>
        <w:snapToGrid/>
        <w:ind w:firstLine="480"/>
        <w:rPr>
          <w:b w:val="0"/>
          <w:bCs w:val="0"/>
          <w:color w:val="auto"/>
        </w:rPr>
      </w:pPr>
      <w:r>
        <w:rPr>
          <w:b w:val="0"/>
          <w:bCs w:val="0"/>
          <w:color w:val="auto"/>
        </w:rPr>
        <w:t>地表水：COD</w:t>
      </w:r>
      <w:r>
        <w:rPr>
          <w:b w:val="0"/>
          <w:bCs w:val="0"/>
          <w:color w:val="auto"/>
          <w:vertAlign w:val="subscript"/>
        </w:rPr>
        <w:t>Cr</w:t>
      </w:r>
      <w:r>
        <w:rPr>
          <w:b w:val="0"/>
          <w:bCs w:val="0"/>
          <w:color w:val="auto"/>
        </w:rPr>
        <w:t>、NH</w:t>
      </w:r>
      <w:r>
        <w:rPr>
          <w:b w:val="0"/>
          <w:bCs w:val="0"/>
          <w:color w:val="auto"/>
          <w:vertAlign w:val="subscript"/>
        </w:rPr>
        <w:t>3</w:t>
      </w:r>
      <w:r>
        <w:rPr>
          <w:b w:val="0"/>
          <w:bCs w:val="0"/>
          <w:color w:val="auto"/>
        </w:rPr>
        <w:t>-N、TP、</w:t>
      </w:r>
      <w:r>
        <w:rPr>
          <w:rFonts w:hint="eastAsia"/>
          <w:b w:val="0"/>
          <w:bCs w:val="0"/>
          <w:color w:val="auto"/>
          <w:lang w:val="en-US" w:eastAsia="zh-CN"/>
        </w:rPr>
        <w:t>石油类、甲醛</w:t>
      </w:r>
      <w:r>
        <w:rPr>
          <w:b w:val="0"/>
          <w:bCs w:val="0"/>
          <w:color w:val="auto"/>
        </w:rPr>
        <w:t>；</w:t>
      </w:r>
    </w:p>
    <w:p w14:paraId="554702E8">
      <w:pPr>
        <w:pageBreakBefore w:val="0"/>
        <w:wordWrap/>
        <w:bidi w:val="0"/>
        <w:adjustRightInd/>
        <w:snapToGrid/>
        <w:ind w:firstLine="480"/>
        <w:rPr>
          <w:color w:val="auto"/>
        </w:rPr>
      </w:pPr>
      <w:r>
        <w:rPr>
          <w:color w:val="auto"/>
        </w:rPr>
        <w:t>声环境：昼间、夜间等效声级，L</w:t>
      </w:r>
      <w:r>
        <w:rPr>
          <w:color w:val="auto"/>
          <w:vertAlign w:val="subscript"/>
        </w:rPr>
        <w:t>Aeq</w:t>
      </w:r>
      <w:r>
        <w:rPr>
          <w:color w:val="auto"/>
        </w:rPr>
        <w:t>；</w:t>
      </w:r>
    </w:p>
    <w:p w14:paraId="2CAED55A">
      <w:pPr>
        <w:pageBreakBefore w:val="0"/>
        <w:wordWrap/>
        <w:bidi w:val="0"/>
        <w:adjustRightInd/>
        <w:snapToGrid/>
        <w:ind w:firstLine="480"/>
        <w:rPr>
          <w:color w:val="auto"/>
        </w:rPr>
      </w:pPr>
      <w:r>
        <w:rPr>
          <w:color w:val="auto"/>
        </w:rPr>
        <w:t>固体废弃物：一般固废、危险废物。</w:t>
      </w:r>
    </w:p>
    <w:p w14:paraId="7208526F">
      <w:pPr>
        <w:pStyle w:val="144"/>
        <w:pageBreakBefore w:val="0"/>
        <w:wordWrap/>
        <w:bidi w:val="0"/>
        <w:adjustRightInd/>
        <w:snapToGrid/>
        <w:spacing w:line="360" w:lineRule="auto"/>
        <w:rPr>
          <w:color w:val="auto"/>
        </w:rPr>
      </w:pPr>
      <w:r>
        <w:rPr>
          <w:color w:val="auto"/>
        </w:rPr>
        <w:t>3、总量控制因子</w:t>
      </w:r>
    </w:p>
    <w:p w14:paraId="4E958A68">
      <w:pPr>
        <w:pageBreakBefore w:val="0"/>
        <w:wordWrap/>
        <w:bidi w:val="0"/>
        <w:adjustRightInd/>
        <w:snapToGrid/>
        <w:rPr>
          <w:color w:val="auto"/>
        </w:rPr>
      </w:pPr>
      <w:r>
        <w:rPr>
          <w:color w:val="auto"/>
        </w:rPr>
        <w:t>水污染物：COD、NH</w:t>
      </w:r>
      <w:r>
        <w:rPr>
          <w:color w:val="auto"/>
          <w:vertAlign w:val="subscript"/>
        </w:rPr>
        <w:t>3</w:t>
      </w:r>
      <w:r>
        <w:rPr>
          <w:color w:val="auto"/>
        </w:rPr>
        <w:t>-N、TP。</w:t>
      </w:r>
    </w:p>
    <w:p w14:paraId="49CEA8B1">
      <w:pPr>
        <w:pStyle w:val="5"/>
        <w:bidi w:val="0"/>
        <w:rPr>
          <w:color w:val="auto"/>
        </w:rPr>
      </w:pPr>
      <w:bookmarkStart w:id="49" w:name="_Toc1367"/>
      <w:r>
        <w:rPr>
          <w:rFonts w:hint="eastAsia"/>
          <w:color w:val="auto"/>
        </w:rPr>
        <w:t xml:space="preserve"> </w:t>
      </w:r>
      <w:r>
        <w:rPr>
          <w:color w:val="auto"/>
        </w:rPr>
        <w:t>评价标准</w:t>
      </w:r>
    </w:p>
    <w:p w14:paraId="6C069615">
      <w:pPr>
        <w:pageBreakBefore w:val="0"/>
        <w:wordWrap/>
        <w:bidi w:val="0"/>
        <w:adjustRightInd/>
        <w:snapToGrid/>
        <w:ind w:firstLine="480"/>
        <w:rPr>
          <w:color w:val="auto"/>
        </w:rPr>
      </w:pPr>
      <w:r>
        <w:rPr>
          <w:color w:val="auto"/>
        </w:rPr>
        <w:t>根据项目所在区域环境功能区划及相关排放要求，本次评价执行标准如下。</w:t>
      </w:r>
    </w:p>
    <w:p w14:paraId="72ABF8A6">
      <w:pPr>
        <w:pStyle w:val="10"/>
        <w:bidi w:val="0"/>
        <w:rPr>
          <w:color w:val="auto"/>
        </w:rPr>
      </w:pPr>
      <w:r>
        <w:rPr>
          <w:rFonts w:hint="eastAsia"/>
          <w:color w:val="auto"/>
        </w:rPr>
        <w:t xml:space="preserve"> </w:t>
      </w:r>
      <w:r>
        <w:rPr>
          <w:color w:val="auto"/>
        </w:rPr>
        <w:t>环境质量标准</w:t>
      </w:r>
    </w:p>
    <w:p w14:paraId="239ECB2A">
      <w:pPr>
        <w:pageBreakBefore w:val="0"/>
        <w:wordWrap/>
        <w:bidi w:val="0"/>
        <w:adjustRightInd/>
        <w:snapToGrid/>
        <w:ind w:firstLine="480"/>
        <w:rPr>
          <w:b/>
          <w:bCs/>
          <w:color w:val="auto"/>
        </w:rPr>
      </w:pPr>
      <w:bookmarkStart w:id="50" w:name="_Toc374627704"/>
      <w:r>
        <w:rPr>
          <w:b/>
          <w:bCs/>
          <w:color w:val="auto"/>
        </w:rPr>
        <w:t>（1）大气环境</w:t>
      </w:r>
    </w:p>
    <w:p w14:paraId="7AAC3414">
      <w:pPr>
        <w:pageBreakBefore w:val="0"/>
        <w:wordWrap/>
        <w:bidi w:val="0"/>
        <w:adjustRightInd/>
        <w:snapToGrid/>
        <w:ind w:firstLine="480"/>
        <w:rPr>
          <w:color w:val="auto"/>
        </w:rPr>
      </w:pPr>
      <w:r>
        <w:rPr>
          <w:color w:val="auto"/>
        </w:rPr>
        <w:t>环境空气基本污染物SO</w:t>
      </w:r>
      <w:r>
        <w:rPr>
          <w:color w:val="auto"/>
          <w:vertAlign w:val="subscript"/>
        </w:rPr>
        <w:t>2</w:t>
      </w:r>
      <w:r>
        <w:rPr>
          <w:color w:val="auto"/>
        </w:rPr>
        <w:t>、NO</w:t>
      </w:r>
      <w:r>
        <w:rPr>
          <w:color w:val="auto"/>
          <w:vertAlign w:val="subscript"/>
        </w:rPr>
        <w:t>2</w:t>
      </w:r>
      <w:r>
        <w:rPr>
          <w:color w:val="auto"/>
        </w:rPr>
        <w:t>、PM</w:t>
      </w:r>
      <w:r>
        <w:rPr>
          <w:color w:val="auto"/>
          <w:vertAlign w:val="subscript"/>
        </w:rPr>
        <w:t>10</w:t>
      </w:r>
      <w:r>
        <w:rPr>
          <w:color w:val="auto"/>
        </w:rPr>
        <w:t>、</w:t>
      </w:r>
      <w:r>
        <w:rPr>
          <w:rFonts w:hint="eastAsia"/>
          <w:color w:val="auto"/>
          <w:lang w:eastAsia="zh-CN"/>
        </w:rPr>
        <w:t>PM2.5</w:t>
      </w:r>
      <w:r>
        <w:rPr>
          <w:color w:val="auto"/>
        </w:rPr>
        <w:t>、CO、O</w:t>
      </w:r>
      <w:r>
        <w:rPr>
          <w:color w:val="auto"/>
          <w:vertAlign w:val="subscript"/>
        </w:rPr>
        <w:t>3</w:t>
      </w:r>
      <w:r>
        <w:rPr>
          <w:color w:val="auto"/>
        </w:rPr>
        <w:t>执行《环境空气质量标准》（GB3095-2012）及其修改单中的二级标准；硫化氢、氨参照《环境影响评价技术导则 大气环境》（HJ 2.2-2018）中附录D中表D.1</w:t>
      </w:r>
      <w:r>
        <w:rPr>
          <w:rFonts w:hint="eastAsia"/>
          <w:color w:val="auto"/>
          <w:lang w:eastAsia="zh-CN"/>
        </w:rPr>
        <w:t>“</w:t>
      </w:r>
      <w:r>
        <w:rPr>
          <w:color w:val="auto"/>
        </w:rPr>
        <w:t>其他污染物空气质量浓度参考限值</w:t>
      </w:r>
      <w:r>
        <w:rPr>
          <w:rFonts w:hint="eastAsia"/>
          <w:color w:val="auto"/>
          <w:lang w:eastAsia="zh-CN"/>
        </w:rPr>
        <w:t>”</w:t>
      </w:r>
      <w:r>
        <w:rPr>
          <w:color w:val="auto"/>
        </w:rPr>
        <w:t>，标准限值见</w:t>
      </w:r>
      <w:r>
        <w:rPr>
          <w:rFonts w:hint="eastAsia"/>
          <w:color w:val="auto"/>
          <w:lang w:val="en-US" w:eastAsia="zh-CN"/>
        </w:rPr>
        <w:t>下表</w:t>
      </w:r>
      <w:r>
        <w:rPr>
          <w:color w:val="auto"/>
        </w:rPr>
        <w:t>。</w:t>
      </w:r>
    </w:p>
    <w:p w14:paraId="357B608D">
      <w:pPr>
        <w:pStyle w:val="19"/>
        <w:numPr>
          <w:ilvl w:val="0"/>
          <w:numId w:val="7"/>
        </w:numPr>
        <w:bidi w:val="0"/>
        <w:ind w:left="0" w:leftChars="0" w:firstLine="0" w:firstLineChars="0"/>
        <w:rPr>
          <w:rFonts w:hint="eastAsia"/>
          <w:color w:val="auto"/>
          <w:lang w:eastAsia="zh-CN"/>
        </w:rPr>
      </w:pPr>
      <w:r>
        <w:rPr>
          <w:color w:val="auto"/>
        </w:rPr>
        <w:t>各类污染物浓度限值</w:t>
      </w:r>
      <w:r>
        <w:rPr>
          <w:rFonts w:hint="eastAsia"/>
          <w:color w:val="auto"/>
          <w:lang w:val="en-US" w:eastAsia="zh-CN"/>
        </w:rPr>
        <w:t xml:space="preserve"> </w:t>
      </w:r>
      <w:r>
        <w:rPr>
          <w:color w:val="auto"/>
        </w:rPr>
        <w:t xml:space="preserve"> 单位：μg/</w:t>
      </w:r>
      <w:r>
        <w:rPr>
          <w:rFonts w:hint="eastAsia"/>
          <w:color w:val="auto"/>
          <w:lang w:eastAsia="zh-CN"/>
        </w:rPr>
        <w:t>m³</w:t>
      </w:r>
    </w:p>
    <w:tbl>
      <w:tblPr>
        <w:tblStyle w:val="52"/>
        <w:tblW w:w="88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270"/>
        <w:gridCol w:w="1270"/>
        <w:gridCol w:w="1822"/>
        <w:gridCol w:w="1475"/>
        <w:gridCol w:w="3050"/>
      </w:tblGrid>
      <w:tr w14:paraId="072FF5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2540" w:type="dxa"/>
            <w:gridSpan w:val="2"/>
            <w:tcBorders>
              <w:tl2br w:val="nil"/>
              <w:tr2bl w:val="nil"/>
            </w:tcBorders>
            <w:noWrap w:val="0"/>
            <w:vAlign w:val="center"/>
          </w:tcPr>
          <w:p w14:paraId="137D191B">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污染物项目</w:t>
            </w:r>
          </w:p>
        </w:tc>
        <w:tc>
          <w:tcPr>
            <w:tcW w:w="1822" w:type="dxa"/>
            <w:tcBorders>
              <w:tl2br w:val="nil"/>
              <w:tr2bl w:val="nil"/>
            </w:tcBorders>
            <w:noWrap w:val="0"/>
            <w:vAlign w:val="center"/>
          </w:tcPr>
          <w:p w14:paraId="0E98121B">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取值时间</w:t>
            </w:r>
          </w:p>
        </w:tc>
        <w:tc>
          <w:tcPr>
            <w:tcW w:w="1475" w:type="dxa"/>
            <w:tcBorders>
              <w:tl2br w:val="nil"/>
              <w:tr2bl w:val="nil"/>
            </w:tcBorders>
            <w:noWrap w:val="0"/>
            <w:vAlign w:val="center"/>
          </w:tcPr>
          <w:p w14:paraId="48EF963A">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浓度限值</w:t>
            </w:r>
          </w:p>
        </w:tc>
        <w:tc>
          <w:tcPr>
            <w:tcW w:w="3050" w:type="dxa"/>
            <w:tcBorders>
              <w:tl2br w:val="nil"/>
              <w:tr2bl w:val="nil"/>
            </w:tcBorders>
            <w:noWrap w:val="0"/>
            <w:vAlign w:val="center"/>
          </w:tcPr>
          <w:p w14:paraId="6EB63F64">
            <w:pPr>
              <w:pageBreakBefore w:val="0"/>
              <w:wordWrap/>
              <w:bidi w:val="0"/>
              <w:adjustRightInd/>
              <w:snapToGrid/>
              <w:spacing w:line="240" w:lineRule="auto"/>
              <w:ind w:firstLine="0" w:firstLineChars="0"/>
              <w:jc w:val="center"/>
              <w:textAlignment w:val="baseline"/>
              <w:rPr>
                <w:b/>
                <w:bCs/>
                <w:color w:val="auto"/>
                <w:spacing w:val="-2"/>
                <w:kern w:val="28"/>
                <w:sz w:val="21"/>
                <w:szCs w:val="21"/>
              </w:rPr>
            </w:pPr>
            <w:r>
              <w:rPr>
                <w:b/>
                <w:bCs/>
                <w:color w:val="auto"/>
                <w:spacing w:val="-2"/>
                <w:kern w:val="28"/>
                <w:sz w:val="21"/>
                <w:szCs w:val="21"/>
              </w:rPr>
              <w:t>标准来源</w:t>
            </w:r>
          </w:p>
        </w:tc>
      </w:tr>
      <w:tr w14:paraId="7DC435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restart"/>
            <w:tcBorders>
              <w:tl2br w:val="nil"/>
              <w:tr2bl w:val="nil"/>
            </w:tcBorders>
            <w:noWrap w:val="0"/>
            <w:vAlign w:val="center"/>
          </w:tcPr>
          <w:p w14:paraId="35299DA3">
            <w:pPr>
              <w:pageBreakBefore w:val="0"/>
              <w:wordWrap/>
              <w:bidi w:val="0"/>
              <w:adjustRightInd/>
              <w:snapToGrid/>
              <w:spacing w:line="240" w:lineRule="auto"/>
              <w:ind w:firstLine="0" w:firstLineChars="0"/>
              <w:jc w:val="center"/>
              <w:rPr>
                <w:color w:val="auto"/>
                <w:sz w:val="21"/>
                <w:szCs w:val="21"/>
              </w:rPr>
            </w:pPr>
            <w:r>
              <w:rPr>
                <w:color w:val="auto"/>
                <w:sz w:val="21"/>
                <w:szCs w:val="21"/>
              </w:rPr>
              <w:t>基本污染物</w:t>
            </w:r>
          </w:p>
        </w:tc>
        <w:tc>
          <w:tcPr>
            <w:tcW w:w="1270" w:type="dxa"/>
            <w:vMerge w:val="restart"/>
            <w:tcBorders>
              <w:tl2br w:val="nil"/>
              <w:tr2bl w:val="nil"/>
            </w:tcBorders>
            <w:noWrap w:val="0"/>
            <w:vAlign w:val="center"/>
          </w:tcPr>
          <w:p w14:paraId="6411EE17">
            <w:pPr>
              <w:pageBreakBefore w:val="0"/>
              <w:wordWrap/>
              <w:bidi w:val="0"/>
              <w:adjustRightInd/>
              <w:snapToGrid/>
              <w:spacing w:line="240" w:lineRule="auto"/>
              <w:ind w:firstLine="0" w:firstLineChars="0"/>
              <w:jc w:val="center"/>
              <w:rPr>
                <w:color w:val="auto"/>
                <w:sz w:val="21"/>
                <w:szCs w:val="21"/>
              </w:rPr>
            </w:pPr>
            <w:r>
              <w:rPr>
                <w:color w:val="auto"/>
                <w:sz w:val="21"/>
                <w:szCs w:val="21"/>
              </w:rPr>
              <w:t>SO</w:t>
            </w:r>
            <w:r>
              <w:rPr>
                <w:color w:val="auto"/>
                <w:sz w:val="21"/>
                <w:szCs w:val="21"/>
                <w:vertAlign w:val="subscript"/>
              </w:rPr>
              <w:t>2</w:t>
            </w:r>
          </w:p>
        </w:tc>
        <w:tc>
          <w:tcPr>
            <w:tcW w:w="1822" w:type="dxa"/>
            <w:tcBorders>
              <w:tl2br w:val="nil"/>
              <w:tr2bl w:val="nil"/>
            </w:tcBorders>
            <w:noWrap w:val="0"/>
            <w:vAlign w:val="center"/>
          </w:tcPr>
          <w:p w14:paraId="39579125">
            <w:pPr>
              <w:pageBreakBefore w:val="0"/>
              <w:wordWrap/>
              <w:bidi w:val="0"/>
              <w:adjustRightInd/>
              <w:snapToGrid/>
              <w:spacing w:line="240" w:lineRule="auto"/>
              <w:ind w:firstLine="0" w:firstLineChars="0"/>
              <w:jc w:val="center"/>
              <w:rPr>
                <w:color w:val="auto"/>
                <w:sz w:val="21"/>
                <w:szCs w:val="21"/>
              </w:rPr>
            </w:pPr>
            <w:r>
              <w:rPr>
                <w:color w:val="auto"/>
                <w:sz w:val="21"/>
                <w:szCs w:val="21"/>
              </w:rPr>
              <w:t>日平均</w:t>
            </w:r>
          </w:p>
        </w:tc>
        <w:tc>
          <w:tcPr>
            <w:tcW w:w="1475" w:type="dxa"/>
            <w:tcBorders>
              <w:tl2br w:val="nil"/>
              <w:tr2bl w:val="nil"/>
            </w:tcBorders>
            <w:noWrap w:val="0"/>
            <w:vAlign w:val="center"/>
          </w:tcPr>
          <w:p w14:paraId="5F894D5E">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150</w:t>
            </w:r>
          </w:p>
        </w:tc>
        <w:tc>
          <w:tcPr>
            <w:tcW w:w="3050" w:type="dxa"/>
            <w:vMerge w:val="restart"/>
            <w:tcBorders>
              <w:tl2br w:val="nil"/>
              <w:tr2bl w:val="nil"/>
            </w:tcBorders>
            <w:noWrap w:val="0"/>
            <w:vAlign w:val="center"/>
          </w:tcPr>
          <w:p w14:paraId="57AC144E">
            <w:pPr>
              <w:pageBreakBefore w:val="0"/>
              <w:wordWrap/>
              <w:bidi w:val="0"/>
              <w:adjustRightInd/>
              <w:snapToGrid/>
              <w:spacing w:line="240" w:lineRule="auto"/>
              <w:ind w:firstLine="0" w:firstLineChars="0"/>
              <w:jc w:val="center"/>
              <w:rPr>
                <w:color w:val="auto"/>
                <w:sz w:val="21"/>
                <w:szCs w:val="21"/>
              </w:rPr>
            </w:pPr>
            <w:r>
              <w:rPr>
                <w:color w:val="auto"/>
                <w:kern w:val="0"/>
                <w:sz w:val="21"/>
                <w:szCs w:val="21"/>
              </w:rPr>
              <w:t>《环境空气质量标准》（GB3095-2012）</w:t>
            </w:r>
            <w:r>
              <w:rPr>
                <w:color w:val="auto"/>
                <w:sz w:val="21"/>
                <w:szCs w:val="21"/>
              </w:rPr>
              <w:t>中二级标准</w:t>
            </w:r>
          </w:p>
        </w:tc>
      </w:tr>
      <w:tr w14:paraId="2021D6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6130AE49">
            <w:pPr>
              <w:pageBreakBefore w:val="0"/>
              <w:wordWrap/>
              <w:bidi w:val="0"/>
              <w:adjustRightInd/>
              <w:snapToGrid/>
              <w:spacing w:line="240" w:lineRule="auto"/>
              <w:ind w:firstLine="0" w:firstLineChars="0"/>
              <w:jc w:val="center"/>
              <w:rPr>
                <w:color w:val="auto"/>
                <w:sz w:val="21"/>
                <w:szCs w:val="21"/>
              </w:rPr>
            </w:pPr>
          </w:p>
        </w:tc>
        <w:tc>
          <w:tcPr>
            <w:tcW w:w="1270" w:type="dxa"/>
            <w:vMerge w:val="continue"/>
            <w:tcBorders>
              <w:tl2br w:val="nil"/>
              <w:tr2bl w:val="nil"/>
            </w:tcBorders>
            <w:noWrap w:val="0"/>
            <w:vAlign w:val="center"/>
          </w:tcPr>
          <w:p w14:paraId="45EF0A97">
            <w:pPr>
              <w:pageBreakBefore w:val="0"/>
              <w:wordWrap/>
              <w:bidi w:val="0"/>
              <w:adjustRightInd/>
              <w:snapToGrid/>
              <w:spacing w:line="240" w:lineRule="auto"/>
              <w:ind w:firstLine="0" w:firstLineChars="0"/>
              <w:jc w:val="center"/>
              <w:rPr>
                <w:color w:val="auto"/>
                <w:sz w:val="21"/>
                <w:szCs w:val="21"/>
              </w:rPr>
            </w:pPr>
          </w:p>
        </w:tc>
        <w:tc>
          <w:tcPr>
            <w:tcW w:w="1822" w:type="dxa"/>
            <w:tcBorders>
              <w:tl2br w:val="nil"/>
              <w:tr2bl w:val="nil"/>
            </w:tcBorders>
            <w:noWrap w:val="0"/>
            <w:vAlign w:val="center"/>
          </w:tcPr>
          <w:p w14:paraId="341C9D88">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1小时平均</w:t>
            </w:r>
          </w:p>
        </w:tc>
        <w:tc>
          <w:tcPr>
            <w:tcW w:w="1475" w:type="dxa"/>
            <w:tcBorders>
              <w:tl2br w:val="nil"/>
              <w:tr2bl w:val="nil"/>
            </w:tcBorders>
            <w:noWrap w:val="0"/>
            <w:vAlign w:val="center"/>
          </w:tcPr>
          <w:p w14:paraId="54FFE480">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500</w:t>
            </w:r>
          </w:p>
        </w:tc>
        <w:tc>
          <w:tcPr>
            <w:tcW w:w="3050" w:type="dxa"/>
            <w:vMerge w:val="continue"/>
            <w:tcBorders>
              <w:tl2br w:val="nil"/>
              <w:tr2bl w:val="nil"/>
            </w:tcBorders>
            <w:noWrap w:val="0"/>
            <w:vAlign w:val="center"/>
          </w:tcPr>
          <w:p w14:paraId="292FC3C7">
            <w:pPr>
              <w:pageBreakBefore w:val="0"/>
              <w:wordWrap/>
              <w:bidi w:val="0"/>
              <w:adjustRightInd/>
              <w:snapToGrid/>
              <w:spacing w:line="240" w:lineRule="auto"/>
              <w:ind w:firstLine="0" w:firstLineChars="0"/>
              <w:jc w:val="center"/>
              <w:rPr>
                <w:color w:val="auto"/>
                <w:sz w:val="21"/>
                <w:szCs w:val="21"/>
              </w:rPr>
            </w:pPr>
          </w:p>
        </w:tc>
      </w:tr>
      <w:tr w14:paraId="0A7009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1ABDBDCB">
            <w:pPr>
              <w:pageBreakBefore w:val="0"/>
              <w:wordWrap/>
              <w:bidi w:val="0"/>
              <w:adjustRightInd/>
              <w:snapToGrid/>
              <w:spacing w:line="240" w:lineRule="auto"/>
              <w:ind w:firstLine="0" w:firstLineChars="0"/>
              <w:jc w:val="center"/>
              <w:rPr>
                <w:color w:val="auto"/>
                <w:sz w:val="21"/>
                <w:szCs w:val="21"/>
              </w:rPr>
            </w:pPr>
          </w:p>
        </w:tc>
        <w:tc>
          <w:tcPr>
            <w:tcW w:w="1270" w:type="dxa"/>
            <w:vMerge w:val="restart"/>
            <w:tcBorders>
              <w:tl2br w:val="nil"/>
              <w:tr2bl w:val="nil"/>
            </w:tcBorders>
            <w:noWrap w:val="0"/>
            <w:vAlign w:val="center"/>
          </w:tcPr>
          <w:p w14:paraId="56315343">
            <w:pPr>
              <w:pageBreakBefore w:val="0"/>
              <w:wordWrap/>
              <w:bidi w:val="0"/>
              <w:adjustRightInd/>
              <w:snapToGrid/>
              <w:spacing w:line="240" w:lineRule="auto"/>
              <w:ind w:firstLine="0" w:firstLineChars="0"/>
              <w:jc w:val="center"/>
              <w:rPr>
                <w:color w:val="auto"/>
                <w:sz w:val="21"/>
                <w:szCs w:val="21"/>
                <w:vertAlign w:val="subscript"/>
              </w:rPr>
            </w:pPr>
            <w:r>
              <w:rPr>
                <w:color w:val="auto"/>
                <w:sz w:val="21"/>
                <w:szCs w:val="21"/>
              </w:rPr>
              <w:t>NO</w:t>
            </w:r>
            <w:r>
              <w:rPr>
                <w:color w:val="auto"/>
                <w:sz w:val="21"/>
                <w:szCs w:val="21"/>
                <w:vertAlign w:val="subscript"/>
              </w:rPr>
              <w:t>2</w:t>
            </w:r>
          </w:p>
        </w:tc>
        <w:tc>
          <w:tcPr>
            <w:tcW w:w="1822" w:type="dxa"/>
            <w:tcBorders>
              <w:tl2br w:val="nil"/>
              <w:tr2bl w:val="nil"/>
            </w:tcBorders>
            <w:noWrap w:val="0"/>
            <w:vAlign w:val="center"/>
          </w:tcPr>
          <w:p w14:paraId="1FA7E311">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日平均</w:t>
            </w:r>
          </w:p>
        </w:tc>
        <w:tc>
          <w:tcPr>
            <w:tcW w:w="1475" w:type="dxa"/>
            <w:tcBorders>
              <w:tl2br w:val="nil"/>
              <w:tr2bl w:val="nil"/>
            </w:tcBorders>
            <w:noWrap w:val="0"/>
            <w:vAlign w:val="center"/>
          </w:tcPr>
          <w:p w14:paraId="6C05C65D">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80</w:t>
            </w:r>
          </w:p>
        </w:tc>
        <w:tc>
          <w:tcPr>
            <w:tcW w:w="3050" w:type="dxa"/>
            <w:vMerge w:val="continue"/>
            <w:tcBorders>
              <w:tl2br w:val="nil"/>
              <w:tr2bl w:val="nil"/>
            </w:tcBorders>
            <w:noWrap w:val="0"/>
            <w:vAlign w:val="center"/>
          </w:tcPr>
          <w:p w14:paraId="24A0FECB">
            <w:pPr>
              <w:pageBreakBefore w:val="0"/>
              <w:wordWrap/>
              <w:bidi w:val="0"/>
              <w:adjustRightInd/>
              <w:snapToGrid/>
              <w:spacing w:line="240" w:lineRule="auto"/>
              <w:ind w:firstLine="0" w:firstLineChars="0"/>
              <w:jc w:val="center"/>
              <w:rPr>
                <w:color w:val="auto"/>
                <w:sz w:val="21"/>
                <w:szCs w:val="21"/>
              </w:rPr>
            </w:pPr>
          </w:p>
        </w:tc>
      </w:tr>
      <w:tr w14:paraId="63A11C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39CD51B7">
            <w:pPr>
              <w:pageBreakBefore w:val="0"/>
              <w:wordWrap/>
              <w:bidi w:val="0"/>
              <w:adjustRightInd/>
              <w:snapToGrid/>
              <w:spacing w:line="240" w:lineRule="auto"/>
              <w:ind w:firstLine="0" w:firstLineChars="0"/>
              <w:jc w:val="center"/>
              <w:rPr>
                <w:color w:val="auto"/>
                <w:sz w:val="21"/>
                <w:szCs w:val="21"/>
              </w:rPr>
            </w:pPr>
          </w:p>
        </w:tc>
        <w:tc>
          <w:tcPr>
            <w:tcW w:w="1270" w:type="dxa"/>
            <w:vMerge w:val="continue"/>
            <w:tcBorders>
              <w:tl2br w:val="nil"/>
              <w:tr2bl w:val="nil"/>
            </w:tcBorders>
            <w:noWrap w:val="0"/>
            <w:vAlign w:val="center"/>
          </w:tcPr>
          <w:p w14:paraId="18854244">
            <w:pPr>
              <w:pageBreakBefore w:val="0"/>
              <w:wordWrap/>
              <w:bidi w:val="0"/>
              <w:adjustRightInd/>
              <w:snapToGrid/>
              <w:spacing w:line="240" w:lineRule="auto"/>
              <w:ind w:firstLine="0" w:firstLineChars="0"/>
              <w:jc w:val="center"/>
              <w:rPr>
                <w:color w:val="auto"/>
                <w:sz w:val="21"/>
                <w:szCs w:val="21"/>
              </w:rPr>
            </w:pPr>
          </w:p>
        </w:tc>
        <w:tc>
          <w:tcPr>
            <w:tcW w:w="1822" w:type="dxa"/>
            <w:tcBorders>
              <w:tl2br w:val="nil"/>
              <w:tr2bl w:val="nil"/>
            </w:tcBorders>
            <w:noWrap w:val="0"/>
            <w:vAlign w:val="center"/>
          </w:tcPr>
          <w:p w14:paraId="7C4F64D8">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1小时平均</w:t>
            </w:r>
          </w:p>
        </w:tc>
        <w:tc>
          <w:tcPr>
            <w:tcW w:w="1475" w:type="dxa"/>
            <w:tcBorders>
              <w:tl2br w:val="nil"/>
              <w:tr2bl w:val="nil"/>
            </w:tcBorders>
            <w:noWrap w:val="0"/>
            <w:vAlign w:val="center"/>
          </w:tcPr>
          <w:p w14:paraId="2FC8AD2B">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200</w:t>
            </w:r>
          </w:p>
        </w:tc>
        <w:tc>
          <w:tcPr>
            <w:tcW w:w="3050" w:type="dxa"/>
            <w:vMerge w:val="continue"/>
            <w:tcBorders>
              <w:tl2br w:val="nil"/>
              <w:tr2bl w:val="nil"/>
            </w:tcBorders>
            <w:noWrap w:val="0"/>
            <w:vAlign w:val="center"/>
          </w:tcPr>
          <w:p w14:paraId="429602C8">
            <w:pPr>
              <w:pageBreakBefore w:val="0"/>
              <w:wordWrap/>
              <w:bidi w:val="0"/>
              <w:adjustRightInd/>
              <w:snapToGrid/>
              <w:spacing w:line="240" w:lineRule="auto"/>
              <w:ind w:firstLine="0" w:firstLineChars="0"/>
              <w:jc w:val="center"/>
              <w:rPr>
                <w:color w:val="auto"/>
                <w:sz w:val="21"/>
                <w:szCs w:val="21"/>
              </w:rPr>
            </w:pPr>
          </w:p>
        </w:tc>
      </w:tr>
      <w:tr w14:paraId="391235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41C94CD9">
            <w:pPr>
              <w:pageBreakBefore w:val="0"/>
              <w:wordWrap/>
              <w:bidi w:val="0"/>
              <w:adjustRightInd/>
              <w:snapToGrid/>
              <w:spacing w:line="240" w:lineRule="auto"/>
              <w:ind w:firstLine="0" w:firstLineChars="0"/>
              <w:jc w:val="center"/>
              <w:rPr>
                <w:color w:val="auto"/>
                <w:sz w:val="21"/>
                <w:szCs w:val="21"/>
              </w:rPr>
            </w:pPr>
          </w:p>
        </w:tc>
        <w:tc>
          <w:tcPr>
            <w:tcW w:w="1270" w:type="dxa"/>
            <w:tcBorders>
              <w:tl2br w:val="nil"/>
              <w:tr2bl w:val="nil"/>
            </w:tcBorders>
            <w:noWrap w:val="0"/>
            <w:vAlign w:val="center"/>
          </w:tcPr>
          <w:p w14:paraId="38F55DDC">
            <w:pPr>
              <w:pageBreakBefore w:val="0"/>
              <w:wordWrap/>
              <w:bidi w:val="0"/>
              <w:adjustRightInd/>
              <w:snapToGrid/>
              <w:spacing w:line="240" w:lineRule="auto"/>
              <w:ind w:firstLine="0" w:firstLineChars="0"/>
              <w:jc w:val="center"/>
              <w:rPr>
                <w:color w:val="auto"/>
                <w:sz w:val="21"/>
                <w:szCs w:val="21"/>
              </w:rPr>
            </w:pPr>
            <w:r>
              <w:rPr>
                <w:color w:val="auto"/>
                <w:sz w:val="21"/>
                <w:szCs w:val="21"/>
              </w:rPr>
              <w:t>PM</w:t>
            </w:r>
            <w:r>
              <w:rPr>
                <w:color w:val="auto"/>
                <w:sz w:val="21"/>
                <w:szCs w:val="21"/>
                <w:vertAlign w:val="subscript"/>
              </w:rPr>
              <w:t>10</w:t>
            </w:r>
          </w:p>
        </w:tc>
        <w:tc>
          <w:tcPr>
            <w:tcW w:w="1822" w:type="dxa"/>
            <w:tcBorders>
              <w:tl2br w:val="nil"/>
              <w:tr2bl w:val="nil"/>
            </w:tcBorders>
            <w:noWrap w:val="0"/>
            <w:vAlign w:val="center"/>
          </w:tcPr>
          <w:p w14:paraId="36F2A11D">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日平均</w:t>
            </w:r>
          </w:p>
        </w:tc>
        <w:tc>
          <w:tcPr>
            <w:tcW w:w="1475" w:type="dxa"/>
            <w:tcBorders>
              <w:tl2br w:val="nil"/>
              <w:tr2bl w:val="nil"/>
            </w:tcBorders>
            <w:noWrap w:val="0"/>
            <w:vAlign w:val="center"/>
          </w:tcPr>
          <w:p w14:paraId="5145A015">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150</w:t>
            </w:r>
          </w:p>
        </w:tc>
        <w:tc>
          <w:tcPr>
            <w:tcW w:w="3050" w:type="dxa"/>
            <w:vMerge w:val="continue"/>
            <w:tcBorders>
              <w:tl2br w:val="nil"/>
              <w:tr2bl w:val="nil"/>
            </w:tcBorders>
            <w:noWrap w:val="0"/>
            <w:vAlign w:val="center"/>
          </w:tcPr>
          <w:p w14:paraId="3B4E7491">
            <w:pPr>
              <w:pageBreakBefore w:val="0"/>
              <w:wordWrap/>
              <w:bidi w:val="0"/>
              <w:adjustRightInd/>
              <w:snapToGrid/>
              <w:spacing w:line="240" w:lineRule="auto"/>
              <w:ind w:firstLine="0" w:firstLineChars="0"/>
              <w:jc w:val="center"/>
              <w:rPr>
                <w:color w:val="auto"/>
                <w:sz w:val="21"/>
                <w:szCs w:val="21"/>
              </w:rPr>
            </w:pPr>
          </w:p>
        </w:tc>
      </w:tr>
      <w:tr w14:paraId="3EC950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506949B8">
            <w:pPr>
              <w:pageBreakBefore w:val="0"/>
              <w:wordWrap/>
              <w:bidi w:val="0"/>
              <w:adjustRightInd/>
              <w:snapToGrid/>
              <w:spacing w:line="240" w:lineRule="auto"/>
              <w:ind w:firstLine="0" w:firstLineChars="0"/>
              <w:jc w:val="center"/>
              <w:rPr>
                <w:color w:val="auto"/>
                <w:sz w:val="21"/>
                <w:szCs w:val="21"/>
              </w:rPr>
            </w:pPr>
          </w:p>
        </w:tc>
        <w:tc>
          <w:tcPr>
            <w:tcW w:w="1270" w:type="dxa"/>
            <w:tcBorders>
              <w:tl2br w:val="nil"/>
              <w:tr2bl w:val="nil"/>
            </w:tcBorders>
            <w:noWrap w:val="0"/>
            <w:vAlign w:val="center"/>
          </w:tcPr>
          <w:p w14:paraId="3414FC48">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PM2.5</w:t>
            </w:r>
          </w:p>
        </w:tc>
        <w:tc>
          <w:tcPr>
            <w:tcW w:w="1822" w:type="dxa"/>
            <w:tcBorders>
              <w:tl2br w:val="nil"/>
              <w:tr2bl w:val="nil"/>
            </w:tcBorders>
            <w:noWrap w:val="0"/>
            <w:vAlign w:val="center"/>
          </w:tcPr>
          <w:p w14:paraId="32E9E760">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日平均</w:t>
            </w:r>
          </w:p>
        </w:tc>
        <w:tc>
          <w:tcPr>
            <w:tcW w:w="1475" w:type="dxa"/>
            <w:tcBorders>
              <w:tl2br w:val="nil"/>
              <w:tr2bl w:val="nil"/>
            </w:tcBorders>
            <w:noWrap w:val="0"/>
            <w:vAlign w:val="center"/>
          </w:tcPr>
          <w:p w14:paraId="0FEB5D2F">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75</w:t>
            </w:r>
          </w:p>
        </w:tc>
        <w:tc>
          <w:tcPr>
            <w:tcW w:w="3050" w:type="dxa"/>
            <w:vMerge w:val="continue"/>
            <w:tcBorders>
              <w:tl2br w:val="nil"/>
              <w:tr2bl w:val="nil"/>
            </w:tcBorders>
            <w:noWrap w:val="0"/>
            <w:vAlign w:val="center"/>
          </w:tcPr>
          <w:p w14:paraId="1DC47CC8">
            <w:pPr>
              <w:pageBreakBefore w:val="0"/>
              <w:wordWrap/>
              <w:bidi w:val="0"/>
              <w:adjustRightInd/>
              <w:snapToGrid/>
              <w:spacing w:line="240" w:lineRule="auto"/>
              <w:ind w:firstLine="0" w:firstLineChars="0"/>
              <w:jc w:val="center"/>
              <w:rPr>
                <w:color w:val="auto"/>
                <w:sz w:val="21"/>
                <w:szCs w:val="21"/>
              </w:rPr>
            </w:pPr>
          </w:p>
        </w:tc>
      </w:tr>
      <w:tr w14:paraId="0818E1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6412685C">
            <w:pPr>
              <w:pageBreakBefore w:val="0"/>
              <w:wordWrap/>
              <w:bidi w:val="0"/>
              <w:adjustRightInd/>
              <w:snapToGrid/>
              <w:spacing w:line="240" w:lineRule="auto"/>
              <w:ind w:firstLine="0" w:firstLineChars="0"/>
              <w:jc w:val="center"/>
              <w:rPr>
                <w:color w:val="auto"/>
                <w:sz w:val="21"/>
                <w:szCs w:val="21"/>
              </w:rPr>
            </w:pPr>
          </w:p>
        </w:tc>
        <w:tc>
          <w:tcPr>
            <w:tcW w:w="1270" w:type="dxa"/>
            <w:vMerge w:val="restart"/>
            <w:tcBorders>
              <w:tl2br w:val="nil"/>
              <w:tr2bl w:val="nil"/>
            </w:tcBorders>
            <w:noWrap w:val="0"/>
            <w:vAlign w:val="center"/>
          </w:tcPr>
          <w:p w14:paraId="1133E725">
            <w:pPr>
              <w:pageBreakBefore w:val="0"/>
              <w:wordWrap/>
              <w:bidi w:val="0"/>
              <w:adjustRightInd/>
              <w:snapToGrid/>
              <w:spacing w:line="240" w:lineRule="auto"/>
              <w:ind w:firstLine="0" w:firstLineChars="0"/>
              <w:jc w:val="center"/>
              <w:rPr>
                <w:color w:val="auto"/>
                <w:sz w:val="21"/>
                <w:szCs w:val="21"/>
              </w:rPr>
            </w:pPr>
            <w:r>
              <w:rPr>
                <w:color w:val="auto"/>
                <w:sz w:val="21"/>
                <w:szCs w:val="21"/>
              </w:rPr>
              <w:t>CO</w:t>
            </w:r>
          </w:p>
        </w:tc>
        <w:tc>
          <w:tcPr>
            <w:tcW w:w="1822" w:type="dxa"/>
            <w:tcBorders>
              <w:tl2br w:val="nil"/>
              <w:tr2bl w:val="nil"/>
            </w:tcBorders>
            <w:noWrap w:val="0"/>
            <w:vAlign w:val="center"/>
          </w:tcPr>
          <w:p w14:paraId="1B2031B1">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日平均</w:t>
            </w:r>
          </w:p>
        </w:tc>
        <w:tc>
          <w:tcPr>
            <w:tcW w:w="1475" w:type="dxa"/>
            <w:tcBorders>
              <w:tl2br w:val="nil"/>
              <w:tr2bl w:val="nil"/>
            </w:tcBorders>
            <w:noWrap w:val="0"/>
            <w:vAlign w:val="center"/>
          </w:tcPr>
          <w:p w14:paraId="0E456B99">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4</w:t>
            </w:r>
            <w:r>
              <w:rPr>
                <w:color w:val="auto"/>
                <w:sz w:val="21"/>
                <w:szCs w:val="21"/>
              </w:rPr>
              <w:t>000</w:t>
            </w:r>
          </w:p>
        </w:tc>
        <w:tc>
          <w:tcPr>
            <w:tcW w:w="3050" w:type="dxa"/>
            <w:vMerge w:val="continue"/>
            <w:tcBorders>
              <w:tl2br w:val="nil"/>
              <w:tr2bl w:val="nil"/>
            </w:tcBorders>
            <w:noWrap w:val="0"/>
            <w:vAlign w:val="center"/>
          </w:tcPr>
          <w:p w14:paraId="445DE371">
            <w:pPr>
              <w:pageBreakBefore w:val="0"/>
              <w:wordWrap/>
              <w:bidi w:val="0"/>
              <w:adjustRightInd/>
              <w:snapToGrid/>
              <w:spacing w:line="240" w:lineRule="auto"/>
              <w:ind w:firstLine="0" w:firstLineChars="0"/>
              <w:jc w:val="center"/>
              <w:rPr>
                <w:color w:val="auto"/>
                <w:sz w:val="21"/>
                <w:szCs w:val="21"/>
              </w:rPr>
            </w:pPr>
          </w:p>
        </w:tc>
      </w:tr>
      <w:tr w14:paraId="33B33E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7B40F09D">
            <w:pPr>
              <w:pageBreakBefore w:val="0"/>
              <w:wordWrap/>
              <w:bidi w:val="0"/>
              <w:adjustRightInd/>
              <w:snapToGrid/>
              <w:spacing w:line="240" w:lineRule="auto"/>
              <w:ind w:firstLine="0" w:firstLineChars="0"/>
              <w:jc w:val="center"/>
              <w:rPr>
                <w:color w:val="auto"/>
                <w:sz w:val="21"/>
                <w:szCs w:val="21"/>
              </w:rPr>
            </w:pPr>
          </w:p>
        </w:tc>
        <w:tc>
          <w:tcPr>
            <w:tcW w:w="1270" w:type="dxa"/>
            <w:vMerge w:val="continue"/>
            <w:tcBorders>
              <w:tl2br w:val="nil"/>
              <w:tr2bl w:val="nil"/>
            </w:tcBorders>
            <w:noWrap w:val="0"/>
            <w:vAlign w:val="center"/>
          </w:tcPr>
          <w:p w14:paraId="57791C83">
            <w:pPr>
              <w:pageBreakBefore w:val="0"/>
              <w:wordWrap/>
              <w:bidi w:val="0"/>
              <w:adjustRightInd/>
              <w:snapToGrid/>
              <w:spacing w:line="240" w:lineRule="auto"/>
              <w:ind w:firstLine="0" w:firstLineChars="0"/>
              <w:jc w:val="center"/>
              <w:rPr>
                <w:color w:val="auto"/>
                <w:sz w:val="21"/>
                <w:szCs w:val="21"/>
              </w:rPr>
            </w:pPr>
          </w:p>
        </w:tc>
        <w:tc>
          <w:tcPr>
            <w:tcW w:w="1822" w:type="dxa"/>
            <w:tcBorders>
              <w:tl2br w:val="nil"/>
              <w:tr2bl w:val="nil"/>
            </w:tcBorders>
            <w:noWrap w:val="0"/>
            <w:vAlign w:val="center"/>
          </w:tcPr>
          <w:p w14:paraId="6A8066C9">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1小时平均</w:t>
            </w:r>
          </w:p>
        </w:tc>
        <w:tc>
          <w:tcPr>
            <w:tcW w:w="1475" w:type="dxa"/>
            <w:tcBorders>
              <w:tl2br w:val="nil"/>
              <w:tr2bl w:val="nil"/>
            </w:tcBorders>
            <w:noWrap w:val="0"/>
            <w:vAlign w:val="center"/>
          </w:tcPr>
          <w:p w14:paraId="3A9EEE80">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10000</w:t>
            </w:r>
          </w:p>
        </w:tc>
        <w:tc>
          <w:tcPr>
            <w:tcW w:w="3050" w:type="dxa"/>
            <w:vMerge w:val="continue"/>
            <w:tcBorders>
              <w:tl2br w:val="nil"/>
              <w:tr2bl w:val="nil"/>
            </w:tcBorders>
            <w:noWrap w:val="0"/>
            <w:vAlign w:val="center"/>
          </w:tcPr>
          <w:p w14:paraId="3A40A4B3">
            <w:pPr>
              <w:pageBreakBefore w:val="0"/>
              <w:wordWrap/>
              <w:bidi w:val="0"/>
              <w:adjustRightInd/>
              <w:snapToGrid/>
              <w:spacing w:line="240" w:lineRule="auto"/>
              <w:ind w:firstLine="0" w:firstLineChars="0"/>
              <w:jc w:val="center"/>
              <w:rPr>
                <w:color w:val="auto"/>
                <w:sz w:val="21"/>
                <w:szCs w:val="21"/>
              </w:rPr>
            </w:pPr>
          </w:p>
        </w:tc>
      </w:tr>
      <w:tr w14:paraId="160C98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5603EF8F">
            <w:pPr>
              <w:pageBreakBefore w:val="0"/>
              <w:wordWrap/>
              <w:bidi w:val="0"/>
              <w:adjustRightInd/>
              <w:snapToGrid/>
              <w:spacing w:line="240" w:lineRule="auto"/>
              <w:ind w:firstLine="0" w:firstLineChars="0"/>
              <w:jc w:val="center"/>
              <w:rPr>
                <w:color w:val="auto"/>
                <w:sz w:val="21"/>
                <w:szCs w:val="21"/>
              </w:rPr>
            </w:pPr>
          </w:p>
        </w:tc>
        <w:tc>
          <w:tcPr>
            <w:tcW w:w="1270" w:type="dxa"/>
            <w:vMerge w:val="restart"/>
            <w:tcBorders>
              <w:tl2br w:val="nil"/>
              <w:tr2bl w:val="nil"/>
            </w:tcBorders>
            <w:noWrap w:val="0"/>
            <w:vAlign w:val="center"/>
          </w:tcPr>
          <w:p w14:paraId="7EB2E2BC">
            <w:pPr>
              <w:pageBreakBefore w:val="0"/>
              <w:wordWrap/>
              <w:bidi w:val="0"/>
              <w:adjustRightInd/>
              <w:snapToGrid/>
              <w:spacing w:line="240" w:lineRule="auto"/>
              <w:ind w:firstLine="0" w:firstLineChars="0"/>
              <w:jc w:val="center"/>
              <w:rPr>
                <w:color w:val="auto"/>
                <w:sz w:val="21"/>
                <w:szCs w:val="21"/>
              </w:rPr>
            </w:pPr>
            <w:r>
              <w:rPr>
                <w:color w:val="auto"/>
                <w:sz w:val="21"/>
                <w:szCs w:val="21"/>
              </w:rPr>
              <w:t>O</w:t>
            </w:r>
            <w:r>
              <w:rPr>
                <w:color w:val="auto"/>
                <w:sz w:val="21"/>
                <w:szCs w:val="21"/>
                <w:vertAlign w:val="subscript"/>
              </w:rPr>
              <w:t>3</w:t>
            </w:r>
          </w:p>
        </w:tc>
        <w:tc>
          <w:tcPr>
            <w:tcW w:w="1822" w:type="dxa"/>
            <w:tcBorders>
              <w:tl2br w:val="nil"/>
              <w:tr2bl w:val="nil"/>
            </w:tcBorders>
            <w:noWrap w:val="0"/>
            <w:vAlign w:val="center"/>
          </w:tcPr>
          <w:p w14:paraId="298D6C98">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日最大8小时平均</w:t>
            </w:r>
          </w:p>
        </w:tc>
        <w:tc>
          <w:tcPr>
            <w:tcW w:w="1475" w:type="dxa"/>
            <w:tcBorders>
              <w:tl2br w:val="nil"/>
              <w:tr2bl w:val="nil"/>
            </w:tcBorders>
            <w:noWrap w:val="0"/>
            <w:vAlign w:val="center"/>
          </w:tcPr>
          <w:p w14:paraId="039B0990">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160</w:t>
            </w:r>
          </w:p>
        </w:tc>
        <w:tc>
          <w:tcPr>
            <w:tcW w:w="3050" w:type="dxa"/>
            <w:vMerge w:val="continue"/>
            <w:tcBorders>
              <w:tl2br w:val="nil"/>
              <w:tr2bl w:val="nil"/>
            </w:tcBorders>
            <w:noWrap w:val="0"/>
            <w:vAlign w:val="center"/>
          </w:tcPr>
          <w:p w14:paraId="7BDCB37A">
            <w:pPr>
              <w:pageBreakBefore w:val="0"/>
              <w:wordWrap/>
              <w:bidi w:val="0"/>
              <w:adjustRightInd/>
              <w:snapToGrid/>
              <w:spacing w:line="240" w:lineRule="auto"/>
              <w:ind w:firstLine="0" w:firstLineChars="0"/>
              <w:jc w:val="center"/>
              <w:rPr>
                <w:color w:val="auto"/>
                <w:sz w:val="21"/>
                <w:szCs w:val="21"/>
              </w:rPr>
            </w:pPr>
          </w:p>
        </w:tc>
      </w:tr>
      <w:tr w14:paraId="0E3C9D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24F55285">
            <w:pPr>
              <w:pageBreakBefore w:val="0"/>
              <w:wordWrap/>
              <w:bidi w:val="0"/>
              <w:adjustRightInd/>
              <w:snapToGrid/>
              <w:spacing w:line="240" w:lineRule="auto"/>
              <w:ind w:firstLine="0" w:firstLineChars="0"/>
              <w:jc w:val="center"/>
              <w:rPr>
                <w:color w:val="auto"/>
                <w:sz w:val="21"/>
                <w:szCs w:val="21"/>
              </w:rPr>
            </w:pPr>
          </w:p>
        </w:tc>
        <w:tc>
          <w:tcPr>
            <w:tcW w:w="1270" w:type="dxa"/>
            <w:vMerge w:val="continue"/>
            <w:tcBorders>
              <w:tl2br w:val="nil"/>
              <w:tr2bl w:val="nil"/>
            </w:tcBorders>
            <w:noWrap w:val="0"/>
            <w:vAlign w:val="center"/>
          </w:tcPr>
          <w:p w14:paraId="0893BAD9">
            <w:pPr>
              <w:pageBreakBefore w:val="0"/>
              <w:wordWrap/>
              <w:bidi w:val="0"/>
              <w:adjustRightInd/>
              <w:snapToGrid/>
              <w:spacing w:line="240" w:lineRule="auto"/>
              <w:ind w:firstLine="0" w:firstLineChars="0"/>
              <w:jc w:val="center"/>
              <w:rPr>
                <w:color w:val="auto"/>
                <w:sz w:val="21"/>
                <w:szCs w:val="21"/>
              </w:rPr>
            </w:pPr>
          </w:p>
        </w:tc>
        <w:tc>
          <w:tcPr>
            <w:tcW w:w="1822" w:type="dxa"/>
            <w:tcBorders>
              <w:tl2br w:val="nil"/>
              <w:tr2bl w:val="nil"/>
            </w:tcBorders>
            <w:noWrap w:val="0"/>
            <w:vAlign w:val="center"/>
          </w:tcPr>
          <w:p w14:paraId="4DD340A6">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1小时平均</w:t>
            </w:r>
          </w:p>
        </w:tc>
        <w:tc>
          <w:tcPr>
            <w:tcW w:w="1475" w:type="dxa"/>
            <w:tcBorders>
              <w:tl2br w:val="nil"/>
              <w:tr2bl w:val="nil"/>
            </w:tcBorders>
            <w:noWrap w:val="0"/>
            <w:vAlign w:val="center"/>
          </w:tcPr>
          <w:p w14:paraId="284858DC">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200</w:t>
            </w:r>
          </w:p>
        </w:tc>
        <w:tc>
          <w:tcPr>
            <w:tcW w:w="3050" w:type="dxa"/>
            <w:vMerge w:val="continue"/>
            <w:tcBorders>
              <w:tl2br w:val="nil"/>
              <w:tr2bl w:val="nil"/>
            </w:tcBorders>
            <w:noWrap w:val="0"/>
            <w:vAlign w:val="center"/>
          </w:tcPr>
          <w:p w14:paraId="233B54CE">
            <w:pPr>
              <w:pageBreakBefore w:val="0"/>
              <w:wordWrap/>
              <w:bidi w:val="0"/>
              <w:adjustRightInd/>
              <w:snapToGrid/>
              <w:spacing w:line="240" w:lineRule="auto"/>
              <w:ind w:firstLine="0" w:firstLineChars="0"/>
              <w:jc w:val="center"/>
              <w:rPr>
                <w:color w:val="auto"/>
                <w:sz w:val="21"/>
                <w:szCs w:val="21"/>
              </w:rPr>
            </w:pPr>
          </w:p>
        </w:tc>
      </w:tr>
      <w:tr w14:paraId="25D3EE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restart"/>
            <w:tcBorders>
              <w:tl2br w:val="nil"/>
              <w:tr2bl w:val="nil"/>
            </w:tcBorders>
            <w:noWrap w:val="0"/>
            <w:vAlign w:val="center"/>
          </w:tcPr>
          <w:p w14:paraId="03C22550">
            <w:pPr>
              <w:pageBreakBefore w:val="0"/>
              <w:wordWrap/>
              <w:bidi w:val="0"/>
              <w:adjustRightInd/>
              <w:snapToGrid/>
              <w:spacing w:line="240" w:lineRule="auto"/>
              <w:ind w:firstLine="0" w:firstLineChars="0"/>
              <w:jc w:val="center"/>
              <w:rPr>
                <w:color w:val="auto"/>
                <w:sz w:val="21"/>
                <w:szCs w:val="21"/>
              </w:rPr>
            </w:pPr>
            <w:r>
              <w:rPr>
                <w:color w:val="auto"/>
                <w:sz w:val="21"/>
                <w:szCs w:val="21"/>
              </w:rPr>
              <w:t>其他污染物</w:t>
            </w:r>
          </w:p>
        </w:tc>
        <w:tc>
          <w:tcPr>
            <w:tcW w:w="1270" w:type="dxa"/>
            <w:vMerge w:val="restart"/>
            <w:tcBorders>
              <w:tl2br w:val="nil"/>
              <w:tr2bl w:val="nil"/>
            </w:tcBorders>
            <w:noWrap w:val="0"/>
            <w:vAlign w:val="center"/>
          </w:tcPr>
          <w:p w14:paraId="3B92EC4B">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1822" w:type="dxa"/>
            <w:tcBorders>
              <w:tl2br w:val="nil"/>
              <w:tr2bl w:val="nil"/>
            </w:tcBorders>
            <w:noWrap w:val="0"/>
            <w:vAlign w:val="center"/>
          </w:tcPr>
          <w:p w14:paraId="4BFA5263">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日平均</w:t>
            </w:r>
          </w:p>
        </w:tc>
        <w:tc>
          <w:tcPr>
            <w:tcW w:w="1475" w:type="dxa"/>
            <w:tcBorders>
              <w:tl2br w:val="nil"/>
              <w:tr2bl w:val="nil"/>
            </w:tcBorders>
            <w:noWrap w:val="0"/>
            <w:vAlign w:val="center"/>
          </w:tcPr>
          <w:p w14:paraId="559E8781">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w:t>
            </w:r>
          </w:p>
        </w:tc>
        <w:tc>
          <w:tcPr>
            <w:tcW w:w="3050" w:type="dxa"/>
            <w:vMerge w:val="restart"/>
            <w:tcBorders>
              <w:tl2br w:val="nil"/>
              <w:tr2bl w:val="nil"/>
            </w:tcBorders>
            <w:noWrap w:val="0"/>
            <w:vAlign w:val="center"/>
          </w:tcPr>
          <w:p w14:paraId="29B59F99">
            <w:pPr>
              <w:pageBreakBefore w:val="0"/>
              <w:wordWrap/>
              <w:bidi w:val="0"/>
              <w:adjustRightInd/>
              <w:snapToGrid/>
              <w:spacing w:line="240" w:lineRule="auto"/>
              <w:ind w:firstLine="0" w:firstLineChars="0"/>
              <w:jc w:val="center"/>
              <w:rPr>
                <w:color w:val="auto"/>
                <w:sz w:val="21"/>
                <w:szCs w:val="21"/>
              </w:rPr>
            </w:pPr>
            <w:r>
              <w:rPr>
                <w:color w:val="auto"/>
                <w:sz w:val="21"/>
                <w:szCs w:val="21"/>
              </w:rPr>
              <w:t>《环境影响评价技术导则 大气环境》（HJ 2.2-2018）中附录D中表D.1</w:t>
            </w:r>
          </w:p>
        </w:tc>
      </w:tr>
      <w:tr w14:paraId="72FE73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7A7B7332">
            <w:pPr>
              <w:pageBreakBefore w:val="0"/>
              <w:wordWrap/>
              <w:bidi w:val="0"/>
              <w:adjustRightInd/>
              <w:snapToGrid/>
              <w:spacing w:line="240" w:lineRule="auto"/>
              <w:ind w:firstLine="0" w:firstLineChars="0"/>
              <w:jc w:val="center"/>
              <w:rPr>
                <w:color w:val="auto"/>
                <w:sz w:val="21"/>
                <w:szCs w:val="21"/>
              </w:rPr>
            </w:pPr>
          </w:p>
        </w:tc>
        <w:tc>
          <w:tcPr>
            <w:tcW w:w="1270" w:type="dxa"/>
            <w:vMerge w:val="continue"/>
            <w:tcBorders>
              <w:tl2br w:val="nil"/>
              <w:tr2bl w:val="nil"/>
            </w:tcBorders>
            <w:noWrap w:val="0"/>
            <w:vAlign w:val="center"/>
          </w:tcPr>
          <w:p w14:paraId="26679F04">
            <w:pPr>
              <w:pageBreakBefore w:val="0"/>
              <w:wordWrap/>
              <w:bidi w:val="0"/>
              <w:adjustRightInd/>
              <w:snapToGrid/>
              <w:spacing w:line="240" w:lineRule="auto"/>
              <w:ind w:firstLine="0" w:firstLineChars="0"/>
              <w:jc w:val="center"/>
              <w:rPr>
                <w:color w:val="auto"/>
                <w:sz w:val="21"/>
                <w:szCs w:val="21"/>
              </w:rPr>
            </w:pPr>
          </w:p>
        </w:tc>
        <w:tc>
          <w:tcPr>
            <w:tcW w:w="1822" w:type="dxa"/>
            <w:tcBorders>
              <w:tl2br w:val="nil"/>
              <w:tr2bl w:val="nil"/>
            </w:tcBorders>
            <w:noWrap w:val="0"/>
            <w:vAlign w:val="center"/>
          </w:tcPr>
          <w:p w14:paraId="4663E95B">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1小时平均</w:t>
            </w:r>
          </w:p>
        </w:tc>
        <w:tc>
          <w:tcPr>
            <w:tcW w:w="1475" w:type="dxa"/>
            <w:tcBorders>
              <w:tl2br w:val="nil"/>
              <w:tr2bl w:val="nil"/>
            </w:tcBorders>
            <w:noWrap w:val="0"/>
            <w:vAlign w:val="center"/>
          </w:tcPr>
          <w:p w14:paraId="67C59B8E">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10</w:t>
            </w:r>
          </w:p>
        </w:tc>
        <w:tc>
          <w:tcPr>
            <w:tcW w:w="3050" w:type="dxa"/>
            <w:vMerge w:val="continue"/>
            <w:tcBorders>
              <w:tl2br w:val="nil"/>
              <w:tr2bl w:val="nil"/>
            </w:tcBorders>
            <w:noWrap w:val="0"/>
            <w:vAlign w:val="center"/>
          </w:tcPr>
          <w:p w14:paraId="038C485C">
            <w:pPr>
              <w:pageBreakBefore w:val="0"/>
              <w:wordWrap/>
              <w:bidi w:val="0"/>
              <w:adjustRightInd/>
              <w:snapToGrid/>
              <w:spacing w:line="240" w:lineRule="auto"/>
              <w:ind w:firstLine="0" w:firstLineChars="0"/>
              <w:jc w:val="center"/>
              <w:rPr>
                <w:color w:val="auto"/>
                <w:sz w:val="21"/>
                <w:szCs w:val="21"/>
              </w:rPr>
            </w:pPr>
          </w:p>
        </w:tc>
      </w:tr>
      <w:tr w14:paraId="025684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5EB3D162">
            <w:pPr>
              <w:pageBreakBefore w:val="0"/>
              <w:wordWrap/>
              <w:bidi w:val="0"/>
              <w:adjustRightInd/>
              <w:snapToGrid/>
              <w:spacing w:line="240" w:lineRule="auto"/>
              <w:ind w:firstLine="0" w:firstLineChars="0"/>
              <w:jc w:val="center"/>
              <w:rPr>
                <w:color w:val="auto"/>
                <w:sz w:val="21"/>
                <w:szCs w:val="21"/>
              </w:rPr>
            </w:pPr>
          </w:p>
        </w:tc>
        <w:tc>
          <w:tcPr>
            <w:tcW w:w="1270" w:type="dxa"/>
            <w:vMerge w:val="restart"/>
            <w:tcBorders>
              <w:tl2br w:val="nil"/>
              <w:tr2bl w:val="nil"/>
            </w:tcBorders>
            <w:noWrap w:val="0"/>
            <w:vAlign w:val="center"/>
          </w:tcPr>
          <w:p w14:paraId="726A11C1">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1822" w:type="dxa"/>
            <w:tcBorders>
              <w:tl2br w:val="nil"/>
              <w:tr2bl w:val="nil"/>
            </w:tcBorders>
            <w:noWrap w:val="0"/>
            <w:vAlign w:val="center"/>
          </w:tcPr>
          <w:p w14:paraId="2DDF8B80">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日平均</w:t>
            </w:r>
          </w:p>
        </w:tc>
        <w:tc>
          <w:tcPr>
            <w:tcW w:w="1475" w:type="dxa"/>
            <w:tcBorders>
              <w:tl2br w:val="nil"/>
              <w:tr2bl w:val="nil"/>
            </w:tcBorders>
            <w:noWrap w:val="0"/>
            <w:vAlign w:val="center"/>
          </w:tcPr>
          <w:p w14:paraId="46EF33E0">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w:t>
            </w:r>
          </w:p>
        </w:tc>
        <w:tc>
          <w:tcPr>
            <w:tcW w:w="3050" w:type="dxa"/>
            <w:vMerge w:val="continue"/>
            <w:tcBorders>
              <w:tl2br w:val="nil"/>
              <w:tr2bl w:val="nil"/>
            </w:tcBorders>
            <w:noWrap w:val="0"/>
            <w:vAlign w:val="center"/>
          </w:tcPr>
          <w:p w14:paraId="49C79F4A">
            <w:pPr>
              <w:pageBreakBefore w:val="0"/>
              <w:wordWrap/>
              <w:bidi w:val="0"/>
              <w:adjustRightInd/>
              <w:snapToGrid/>
              <w:spacing w:line="240" w:lineRule="auto"/>
              <w:ind w:firstLine="0" w:firstLineChars="0"/>
              <w:jc w:val="center"/>
              <w:rPr>
                <w:color w:val="auto"/>
                <w:sz w:val="21"/>
                <w:szCs w:val="21"/>
              </w:rPr>
            </w:pPr>
          </w:p>
        </w:tc>
      </w:tr>
      <w:tr w14:paraId="4742DD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270" w:type="dxa"/>
            <w:vMerge w:val="continue"/>
            <w:tcBorders>
              <w:tl2br w:val="nil"/>
              <w:tr2bl w:val="nil"/>
            </w:tcBorders>
            <w:noWrap w:val="0"/>
            <w:vAlign w:val="center"/>
          </w:tcPr>
          <w:p w14:paraId="6273EBB2">
            <w:pPr>
              <w:pageBreakBefore w:val="0"/>
              <w:wordWrap/>
              <w:bidi w:val="0"/>
              <w:adjustRightInd/>
              <w:snapToGrid/>
              <w:spacing w:line="240" w:lineRule="auto"/>
              <w:ind w:firstLine="0" w:firstLineChars="0"/>
              <w:jc w:val="center"/>
              <w:rPr>
                <w:color w:val="auto"/>
                <w:sz w:val="21"/>
                <w:szCs w:val="21"/>
              </w:rPr>
            </w:pPr>
          </w:p>
        </w:tc>
        <w:tc>
          <w:tcPr>
            <w:tcW w:w="1270" w:type="dxa"/>
            <w:vMerge w:val="continue"/>
            <w:tcBorders>
              <w:tl2br w:val="nil"/>
              <w:tr2bl w:val="nil"/>
            </w:tcBorders>
            <w:noWrap w:val="0"/>
            <w:vAlign w:val="center"/>
          </w:tcPr>
          <w:p w14:paraId="689A478D">
            <w:pPr>
              <w:pageBreakBefore w:val="0"/>
              <w:wordWrap/>
              <w:bidi w:val="0"/>
              <w:adjustRightInd/>
              <w:snapToGrid/>
              <w:spacing w:line="240" w:lineRule="auto"/>
              <w:ind w:firstLine="0" w:firstLineChars="0"/>
              <w:jc w:val="center"/>
              <w:rPr>
                <w:color w:val="auto"/>
                <w:sz w:val="21"/>
                <w:szCs w:val="21"/>
              </w:rPr>
            </w:pPr>
          </w:p>
        </w:tc>
        <w:tc>
          <w:tcPr>
            <w:tcW w:w="1822" w:type="dxa"/>
            <w:tcBorders>
              <w:tl2br w:val="nil"/>
              <w:tr2bl w:val="nil"/>
            </w:tcBorders>
            <w:noWrap w:val="0"/>
            <w:vAlign w:val="center"/>
          </w:tcPr>
          <w:p w14:paraId="369D12B1">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1小时平均</w:t>
            </w:r>
          </w:p>
        </w:tc>
        <w:tc>
          <w:tcPr>
            <w:tcW w:w="1475" w:type="dxa"/>
            <w:tcBorders>
              <w:tl2br w:val="nil"/>
              <w:tr2bl w:val="nil"/>
            </w:tcBorders>
            <w:noWrap w:val="0"/>
            <w:vAlign w:val="center"/>
          </w:tcPr>
          <w:p w14:paraId="3DD43F63">
            <w:pPr>
              <w:pageBreakBefore w:val="0"/>
              <w:wordWrap/>
              <w:bidi w:val="0"/>
              <w:adjustRightInd/>
              <w:snapToGrid/>
              <w:spacing w:line="240" w:lineRule="auto"/>
              <w:ind w:firstLine="0" w:firstLineChars="0"/>
              <w:jc w:val="center"/>
              <w:textAlignment w:val="baseline"/>
              <w:rPr>
                <w:color w:val="auto"/>
                <w:spacing w:val="-2"/>
                <w:kern w:val="28"/>
                <w:sz w:val="21"/>
                <w:szCs w:val="21"/>
              </w:rPr>
            </w:pPr>
            <w:r>
              <w:rPr>
                <w:color w:val="auto"/>
                <w:spacing w:val="-2"/>
                <w:kern w:val="28"/>
                <w:sz w:val="21"/>
                <w:szCs w:val="21"/>
              </w:rPr>
              <w:t>200</w:t>
            </w:r>
          </w:p>
        </w:tc>
        <w:tc>
          <w:tcPr>
            <w:tcW w:w="3050" w:type="dxa"/>
            <w:vMerge w:val="continue"/>
            <w:tcBorders>
              <w:tl2br w:val="nil"/>
              <w:tr2bl w:val="nil"/>
            </w:tcBorders>
            <w:noWrap w:val="0"/>
            <w:vAlign w:val="center"/>
          </w:tcPr>
          <w:p w14:paraId="5F23EFE7">
            <w:pPr>
              <w:pageBreakBefore w:val="0"/>
              <w:wordWrap/>
              <w:bidi w:val="0"/>
              <w:adjustRightInd/>
              <w:snapToGrid/>
              <w:spacing w:line="240" w:lineRule="auto"/>
              <w:ind w:firstLine="0" w:firstLineChars="0"/>
              <w:jc w:val="center"/>
              <w:rPr>
                <w:color w:val="auto"/>
                <w:sz w:val="21"/>
                <w:szCs w:val="21"/>
              </w:rPr>
            </w:pPr>
          </w:p>
        </w:tc>
      </w:tr>
    </w:tbl>
    <w:p w14:paraId="70003EEB">
      <w:pPr>
        <w:pageBreakBefore w:val="0"/>
        <w:wordWrap/>
        <w:bidi w:val="0"/>
        <w:adjustRightInd/>
        <w:snapToGrid/>
        <w:spacing w:line="20" w:lineRule="exact"/>
        <w:ind w:firstLine="40"/>
        <w:rPr>
          <w:color w:val="auto"/>
          <w:sz w:val="2"/>
          <w:szCs w:val="2"/>
        </w:rPr>
      </w:pPr>
    </w:p>
    <w:p w14:paraId="2450CCA1">
      <w:pPr>
        <w:pageBreakBefore w:val="0"/>
        <w:wordWrap/>
        <w:bidi w:val="0"/>
        <w:adjustRightInd/>
        <w:snapToGrid/>
        <w:spacing w:before="120" w:beforeLines="50"/>
        <w:ind w:firstLine="480"/>
        <w:rPr>
          <w:b/>
          <w:bCs/>
          <w:color w:val="auto"/>
        </w:rPr>
      </w:pPr>
      <w:r>
        <w:rPr>
          <w:b/>
          <w:bCs/>
          <w:color w:val="auto"/>
        </w:rPr>
        <w:t>（2）地表水环境</w:t>
      </w:r>
    </w:p>
    <w:p w14:paraId="3C490D75">
      <w:pPr>
        <w:pageBreakBefore w:val="0"/>
        <w:wordWrap/>
        <w:bidi w:val="0"/>
        <w:adjustRightInd/>
        <w:snapToGrid/>
        <w:ind w:firstLine="480"/>
        <w:rPr>
          <w:color w:val="auto"/>
        </w:rPr>
      </w:pPr>
      <w:r>
        <w:rPr>
          <w:color w:val="auto"/>
        </w:rPr>
        <w:t>项目受纳水体为</w:t>
      </w:r>
      <w:r>
        <w:rPr>
          <w:rFonts w:hint="eastAsia"/>
          <w:color w:val="auto"/>
          <w:lang w:eastAsia="zh-CN"/>
        </w:rPr>
        <w:t>巴河</w:t>
      </w:r>
      <w:r>
        <w:rPr>
          <w:color w:val="auto"/>
        </w:rPr>
        <w:t>，执行《地表水环境质量标准》</w:t>
      </w:r>
      <w:r>
        <w:rPr>
          <w:rFonts w:hint="eastAsia"/>
          <w:color w:val="auto"/>
          <w:lang w:eastAsia="zh-CN"/>
        </w:rPr>
        <w:t>（</w:t>
      </w:r>
      <w:r>
        <w:rPr>
          <w:color w:val="auto"/>
        </w:rPr>
        <w:t>GB3838-2002</w:t>
      </w:r>
      <w:r>
        <w:rPr>
          <w:rFonts w:hint="eastAsia"/>
          <w:color w:val="auto"/>
          <w:lang w:eastAsia="zh-CN"/>
        </w:rPr>
        <w:t>）</w:t>
      </w:r>
      <w:r>
        <w:rPr>
          <w:color w:val="auto"/>
        </w:rPr>
        <w:t>Ⅲ类水域标准，标准限值见</w:t>
      </w:r>
      <w:r>
        <w:rPr>
          <w:rFonts w:hint="eastAsia"/>
          <w:color w:val="auto"/>
          <w:lang w:val="en-US" w:eastAsia="zh-CN"/>
        </w:rPr>
        <w:t>下表</w:t>
      </w:r>
      <w:r>
        <w:rPr>
          <w:color w:val="auto"/>
        </w:rPr>
        <w:t>。</w:t>
      </w:r>
    </w:p>
    <w:p w14:paraId="631E5F3B">
      <w:pPr>
        <w:pStyle w:val="19"/>
        <w:numPr>
          <w:ilvl w:val="0"/>
          <w:numId w:val="7"/>
        </w:numPr>
        <w:bidi w:val="0"/>
        <w:ind w:left="0" w:leftChars="0" w:firstLine="0" w:firstLineChars="0"/>
        <w:rPr>
          <w:color w:val="auto"/>
        </w:rPr>
      </w:pPr>
      <w:r>
        <w:rPr>
          <w:color w:val="auto"/>
        </w:rPr>
        <w:t xml:space="preserve">地表水环境质量标准（GB3838-2002）   </w:t>
      </w:r>
    </w:p>
    <w:tbl>
      <w:tblPr>
        <w:tblStyle w:val="5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45"/>
        <w:gridCol w:w="2234"/>
        <w:gridCol w:w="1333"/>
        <w:gridCol w:w="848"/>
        <w:gridCol w:w="2982"/>
      </w:tblGrid>
      <w:tr w14:paraId="27D637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269E16B2">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2234" w:type="dxa"/>
            <w:tcBorders>
              <w:tl2br w:val="nil"/>
              <w:tr2bl w:val="nil"/>
            </w:tcBorders>
            <w:noWrap w:val="0"/>
            <w:vAlign w:val="center"/>
          </w:tcPr>
          <w:p w14:paraId="7943F9E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项目</w:t>
            </w:r>
          </w:p>
        </w:tc>
        <w:tc>
          <w:tcPr>
            <w:tcW w:w="2181" w:type="dxa"/>
            <w:gridSpan w:val="2"/>
            <w:tcBorders>
              <w:tl2br w:val="nil"/>
              <w:tr2bl w:val="nil"/>
            </w:tcBorders>
            <w:noWrap w:val="0"/>
            <w:vAlign w:val="center"/>
          </w:tcPr>
          <w:p w14:paraId="6C0C875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单位</w:t>
            </w:r>
          </w:p>
        </w:tc>
        <w:tc>
          <w:tcPr>
            <w:tcW w:w="2982" w:type="dxa"/>
            <w:tcBorders>
              <w:tl2br w:val="nil"/>
              <w:tr2bl w:val="nil"/>
            </w:tcBorders>
            <w:noWrap w:val="0"/>
            <w:vAlign w:val="center"/>
          </w:tcPr>
          <w:p w14:paraId="6F6BE69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标准限值</w:t>
            </w:r>
          </w:p>
        </w:tc>
      </w:tr>
      <w:tr w14:paraId="392869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1FEC02C8">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2234" w:type="dxa"/>
            <w:tcBorders>
              <w:tl2br w:val="nil"/>
              <w:tr2bl w:val="nil"/>
            </w:tcBorders>
            <w:noWrap w:val="0"/>
            <w:vAlign w:val="center"/>
          </w:tcPr>
          <w:p w14:paraId="7E9B8DCE">
            <w:pPr>
              <w:pageBreakBefore w:val="0"/>
              <w:tabs>
                <w:tab w:val="left" w:pos="4200"/>
              </w:tabs>
              <w:wordWrap/>
              <w:bidi w:val="0"/>
              <w:adjustRightInd/>
              <w:snapToGrid/>
              <w:spacing w:line="240" w:lineRule="auto"/>
              <w:ind w:firstLine="0" w:firstLineChars="0"/>
              <w:jc w:val="center"/>
              <w:rPr>
                <w:color w:val="auto"/>
                <w:sz w:val="21"/>
                <w:szCs w:val="21"/>
              </w:rPr>
            </w:pPr>
            <w:r>
              <w:rPr>
                <w:bCs/>
                <w:color w:val="auto"/>
                <w:kern w:val="0"/>
                <w:position w:val="-2"/>
                <w:sz w:val="21"/>
                <w:szCs w:val="21"/>
              </w:rPr>
              <w:t>pH</w:t>
            </w:r>
          </w:p>
        </w:tc>
        <w:tc>
          <w:tcPr>
            <w:tcW w:w="2181" w:type="dxa"/>
            <w:gridSpan w:val="2"/>
            <w:tcBorders>
              <w:tl2br w:val="nil"/>
              <w:tr2bl w:val="nil"/>
            </w:tcBorders>
            <w:noWrap w:val="0"/>
            <w:vAlign w:val="center"/>
          </w:tcPr>
          <w:p w14:paraId="052EF481">
            <w:pPr>
              <w:pageBreakBefore w:val="0"/>
              <w:wordWrap/>
              <w:bidi w:val="0"/>
              <w:adjustRightInd/>
              <w:snapToGrid/>
              <w:spacing w:line="240" w:lineRule="auto"/>
              <w:ind w:firstLine="0" w:firstLineChars="0"/>
              <w:jc w:val="center"/>
              <w:rPr>
                <w:color w:val="auto"/>
                <w:sz w:val="21"/>
                <w:szCs w:val="21"/>
              </w:rPr>
            </w:pPr>
            <w:r>
              <w:rPr>
                <w:color w:val="auto"/>
                <w:sz w:val="21"/>
                <w:szCs w:val="21"/>
              </w:rPr>
              <w:t>无量纲</w:t>
            </w:r>
          </w:p>
        </w:tc>
        <w:tc>
          <w:tcPr>
            <w:tcW w:w="2982" w:type="dxa"/>
            <w:tcBorders>
              <w:tl2br w:val="nil"/>
              <w:tr2bl w:val="nil"/>
            </w:tcBorders>
            <w:noWrap w:val="0"/>
            <w:vAlign w:val="center"/>
          </w:tcPr>
          <w:p w14:paraId="0316705D">
            <w:pPr>
              <w:pageBreakBefore w:val="0"/>
              <w:wordWrap/>
              <w:bidi w:val="0"/>
              <w:adjustRightInd/>
              <w:snapToGrid/>
              <w:spacing w:line="240" w:lineRule="auto"/>
              <w:ind w:firstLine="0" w:firstLineChars="0"/>
              <w:jc w:val="center"/>
              <w:rPr>
                <w:color w:val="auto"/>
                <w:sz w:val="21"/>
                <w:szCs w:val="21"/>
              </w:rPr>
            </w:pPr>
            <w:r>
              <w:rPr>
                <w:color w:val="auto"/>
                <w:sz w:val="21"/>
                <w:szCs w:val="21"/>
              </w:rPr>
              <w:t>6</w:t>
            </w:r>
            <w:r>
              <w:rPr>
                <w:rFonts w:hint="eastAsia"/>
                <w:color w:val="auto"/>
                <w:sz w:val="21"/>
                <w:szCs w:val="21"/>
                <w:lang w:eastAsia="zh-CN"/>
              </w:rPr>
              <w:t>~</w:t>
            </w:r>
            <w:r>
              <w:rPr>
                <w:color w:val="auto"/>
                <w:sz w:val="21"/>
                <w:szCs w:val="21"/>
              </w:rPr>
              <w:t>9</w:t>
            </w:r>
          </w:p>
        </w:tc>
      </w:tr>
      <w:tr w14:paraId="53E8AD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7792F3A3">
            <w:pPr>
              <w:pageBreakBefore w:val="0"/>
              <w:wordWrap/>
              <w:bidi w:val="0"/>
              <w:adjustRightInd/>
              <w:snapToGrid/>
              <w:spacing w:line="240" w:lineRule="auto"/>
              <w:ind w:firstLine="0" w:firstLineChars="0"/>
              <w:jc w:val="center"/>
              <w:rPr>
                <w:color w:val="auto"/>
                <w:sz w:val="21"/>
                <w:szCs w:val="21"/>
              </w:rPr>
            </w:pPr>
            <w:r>
              <w:rPr>
                <w:color w:val="auto"/>
                <w:sz w:val="21"/>
                <w:szCs w:val="21"/>
              </w:rPr>
              <w:t>2</w:t>
            </w:r>
          </w:p>
        </w:tc>
        <w:tc>
          <w:tcPr>
            <w:tcW w:w="2234" w:type="dxa"/>
            <w:tcBorders>
              <w:tl2br w:val="nil"/>
              <w:tr2bl w:val="nil"/>
            </w:tcBorders>
            <w:noWrap w:val="0"/>
            <w:vAlign w:val="center"/>
          </w:tcPr>
          <w:p w14:paraId="5F7B5430">
            <w:pPr>
              <w:pageBreakBefore w:val="0"/>
              <w:tabs>
                <w:tab w:val="left" w:pos="4200"/>
              </w:tabs>
              <w:wordWrap/>
              <w:bidi w:val="0"/>
              <w:adjustRightInd/>
              <w:snapToGrid/>
              <w:spacing w:line="240" w:lineRule="auto"/>
              <w:ind w:firstLine="0" w:firstLineChars="0"/>
              <w:jc w:val="center"/>
              <w:rPr>
                <w:color w:val="auto"/>
                <w:sz w:val="21"/>
                <w:szCs w:val="21"/>
              </w:rPr>
            </w:pPr>
            <w:r>
              <w:rPr>
                <w:bCs/>
                <w:color w:val="auto"/>
                <w:kern w:val="0"/>
                <w:position w:val="-2"/>
                <w:sz w:val="21"/>
                <w:szCs w:val="21"/>
              </w:rPr>
              <w:t>溶解氧</w:t>
            </w:r>
          </w:p>
        </w:tc>
        <w:tc>
          <w:tcPr>
            <w:tcW w:w="1333" w:type="dxa"/>
            <w:tcBorders>
              <w:tl2br w:val="nil"/>
              <w:tr2bl w:val="nil"/>
            </w:tcBorders>
            <w:noWrap w:val="0"/>
            <w:vAlign w:val="center"/>
          </w:tcPr>
          <w:p w14:paraId="035C24E9">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848" w:type="dxa"/>
            <w:tcBorders>
              <w:tl2br w:val="nil"/>
              <w:tr2bl w:val="nil"/>
            </w:tcBorders>
            <w:noWrap w:val="0"/>
            <w:vAlign w:val="center"/>
          </w:tcPr>
          <w:p w14:paraId="1D60ACDF">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2982" w:type="dxa"/>
            <w:tcBorders>
              <w:tl2br w:val="nil"/>
              <w:tr2bl w:val="nil"/>
            </w:tcBorders>
            <w:noWrap w:val="0"/>
            <w:vAlign w:val="center"/>
          </w:tcPr>
          <w:p w14:paraId="3B27AFD7">
            <w:pPr>
              <w:pageBreakBefore w:val="0"/>
              <w:wordWrap/>
              <w:bidi w:val="0"/>
              <w:adjustRightInd/>
              <w:snapToGrid/>
              <w:spacing w:line="240" w:lineRule="auto"/>
              <w:ind w:firstLine="0" w:firstLineChars="0"/>
              <w:jc w:val="center"/>
              <w:rPr>
                <w:color w:val="auto"/>
                <w:sz w:val="21"/>
                <w:szCs w:val="21"/>
              </w:rPr>
            </w:pPr>
            <w:r>
              <w:rPr>
                <w:color w:val="auto"/>
                <w:sz w:val="21"/>
                <w:szCs w:val="21"/>
              </w:rPr>
              <w:t>5</w:t>
            </w:r>
          </w:p>
        </w:tc>
      </w:tr>
      <w:tr w14:paraId="7D581E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594DAAFB">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3</w:t>
            </w:r>
          </w:p>
        </w:tc>
        <w:tc>
          <w:tcPr>
            <w:tcW w:w="2234" w:type="dxa"/>
            <w:tcBorders>
              <w:tl2br w:val="nil"/>
              <w:tr2bl w:val="nil"/>
            </w:tcBorders>
            <w:noWrap w:val="0"/>
            <w:vAlign w:val="center"/>
          </w:tcPr>
          <w:p w14:paraId="7F5894BF">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COD</w:t>
            </w:r>
          </w:p>
        </w:tc>
        <w:tc>
          <w:tcPr>
            <w:tcW w:w="1333" w:type="dxa"/>
            <w:tcBorders>
              <w:tl2br w:val="nil"/>
              <w:tr2bl w:val="nil"/>
            </w:tcBorders>
            <w:noWrap w:val="0"/>
            <w:vAlign w:val="center"/>
          </w:tcPr>
          <w:p w14:paraId="0920ED26">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083C3FA2">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06C58DEB">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20</w:t>
            </w:r>
          </w:p>
        </w:tc>
      </w:tr>
      <w:tr w14:paraId="1AE872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208DA36C">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4</w:t>
            </w:r>
          </w:p>
        </w:tc>
        <w:tc>
          <w:tcPr>
            <w:tcW w:w="2234" w:type="dxa"/>
            <w:tcBorders>
              <w:tl2br w:val="nil"/>
              <w:tr2bl w:val="nil"/>
            </w:tcBorders>
            <w:noWrap w:val="0"/>
            <w:vAlign w:val="center"/>
          </w:tcPr>
          <w:p w14:paraId="4C1B8A0A">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BOD</w:t>
            </w:r>
            <w:r>
              <w:rPr>
                <w:bCs/>
                <w:color w:val="auto"/>
                <w:kern w:val="0"/>
                <w:position w:val="-2"/>
                <w:sz w:val="21"/>
                <w:szCs w:val="21"/>
                <w:vertAlign w:val="subscript"/>
              </w:rPr>
              <w:t>5</w:t>
            </w:r>
          </w:p>
        </w:tc>
        <w:tc>
          <w:tcPr>
            <w:tcW w:w="1333" w:type="dxa"/>
            <w:tcBorders>
              <w:tl2br w:val="nil"/>
              <w:tr2bl w:val="nil"/>
            </w:tcBorders>
            <w:noWrap w:val="0"/>
            <w:vAlign w:val="center"/>
          </w:tcPr>
          <w:p w14:paraId="7D2C58D0">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712FED08">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4CC8630A">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4</w:t>
            </w:r>
          </w:p>
        </w:tc>
      </w:tr>
      <w:tr w14:paraId="1D2AC8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329A556B">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5</w:t>
            </w:r>
          </w:p>
        </w:tc>
        <w:tc>
          <w:tcPr>
            <w:tcW w:w="2234" w:type="dxa"/>
            <w:tcBorders>
              <w:tl2br w:val="nil"/>
              <w:tr2bl w:val="nil"/>
            </w:tcBorders>
            <w:noWrap w:val="0"/>
            <w:vAlign w:val="center"/>
          </w:tcPr>
          <w:p w14:paraId="28BC4A58">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氨氮</w:t>
            </w:r>
          </w:p>
        </w:tc>
        <w:tc>
          <w:tcPr>
            <w:tcW w:w="1333" w:type="dxa"/>
            <w:tcBorders>
              <w:tl2br w:val="nil"/>
              <w:tr2bl w:val="nil"/>
            </w:tcBorders>
            <w:noWrap w:val="0"/>
            <w:vAlign w:val="center"/>
          </w:tcPr>
          <w:p w14:paraId="7587636D">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38DA296A">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5DF398EB">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1.0</w:t>
            </w:r>
          </w:p>
        </w:tc>
      </w:tr>
      <w:tr w14:paraId="30ADA0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3F254E78">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6</w:t>
            </w:r>
          </w:p>
        </w:tc>
        <w:tc>
          <w:tcPr>
            <w:tcW w:w="2234" w:type="dxa"/>
            <w:tcBorders>
              <w:tl2br w:val="nil"/>
              <w:tr2bl w:val="nil"/>
            </w:tcBorders>
            <w:noWrap w:val="0"/>
            <w:vAlign w:val="center"/>
          </w:tcPr>
          <w:p w14:paraId="2B1AB8D7">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总氮</w:t>
            </w:r>
          </w:p>
        </w:tc>
        <w:tc>
          <w:tcPr>
            <w:tcW w:w="1333" w:type="dxa"/>
            <w:tcBorders>
              <w:tl2br w:val="nil"/>
              <w:tr2bl w:val="nil"/>
            </w:tcBorders>
            <w:noWrap w:val="0"/>
            <w:vAlign w:val="center"/>
          </w:tcPr>
          <w:p w14:paraId="2F794F7C">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66E7B5C7">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3C91BED8">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1.0</w:t>
            </w:r>
          </w:p>
        </w:tc>
      </w:tr>
      <w:tr w14:paraId="38E371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727F4885">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7</w:t>
            </w:r>
          </w:p>
        </w:tc>
        <w:tc>
          <w:tcPr>
            <w:tcW w:w="2234" w:type="dxa"/>
            <w:tcBorders>
              <w:tl2br w:val="nil"/>
              <w:tr2bl w:val="nil"/>
            </w:tcBorders>
            <w:noWrap w:val="0"/>
            <w:vAlign w:val="center"/>
          </w:tcPr>
          <w:p w14:paraId="429920B1">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总磷</w:t>
            </w:r>
          </w:p>
        </w:tc>
        <w:tc>
          <w:tcPr>
            <w:tcW w:w="1333" w:type="dxa"/>
            <w:tcBorders>
              <w:tl2br w:val="nil"/>
              <w:tr2bl w:val="nil"/>
            </w:tcBorders>
            <w:noWrap w:val="0"/>
            <w:vAlign w:val="center"/>
          </w:tcPr>
          <w:p w14:paraId="2669BE02">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0B1FF79A">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3181DE19">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0.2</w:t>
            </w:r>
          </w:p>
        </w:tc>
      </w:tr>
      <w:tr w14:paraId="54AA64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15E3D964">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8</w:t>
            </w:r>
          </w:p>
        </w:tc>
        <w:tc>
          <w:tcPr>
            <w:tcW w:w="2234" w:type="dxa"/>
            <w:tcBorders>
              <w:tl2br w:val="nil"/>
              <w:tr2bl w:val="nil"/>
            </w:tcBorders>
            <w:noWrap w:val="0"/>
            <w:vAlign w:val="center"/>
          </w:tcPr>
          <w:p w14:paraId="3CECC46F">
            <w:pPr>
              <w:pageBreakBefore w:val="0"/>
              <w:tabs>
                <w:tab w:val="left" w:pos="4200"/>
              </w:tabs>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悬浮物</w:t>
            </w:r>
          </w:p>
        </w:tc>
        <w:tc>
          <w:tcPr>
            <w:tcW w:w="1333" w:type="dxa"/>
            <w:tcBorders>
              <w:tl2br w:val="nil"/>
              <w:tr2bl w:val="nil"/>
            </w:tcBorders>
            <w:noWrap w:val="0"/>
            <w:vAlign w:val="center"/>
          </w:tcPr>
          <w:p w14:paraId="395CB50A">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848" w:type="dxa"/>
            <w:tcBorders>
              <w:tl2br w:val="nil"/>
              <w:tr2bl w:val="nil"/>
            </w:tcBorders>
            <w:noWrap w:val="0"/>
            <w:vAlign w:val="center"/>
          </w:tcPr>
          <w:p w14:paraId="248CD113">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2982" w:type="dxa"/>
            <w:tcBorders>
              <w:tl2br w:val="nil"/>
              <w:tr2bl w:val="nil"/>
            </w:tcBorders>
            <w:noWrap w:val="0"/>
            <w:vAlign w:val="center"/>
          </w:tcPr>
          <w:p w14:paraId="03AA7077">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r>
      <w:tr w14:paraId="59B815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5F078F72">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9</w:t>
            </w:r>
          </w:p>
        </w:tc>
        <w:tc>
          <w:tcPr>
            <w:tcW w:w="2234" w:type="dxa"/>
            <w:tcBorders>
              <w:tl2br w:val="nil"/>
              <w:tr2bl w:val="nil"/>
            </w:tcBorders>
            <w:noWrap w:val="0"/>
            <w:vAlign w:val="center"/>
          </w:tcPr>
          <w:p w14:paraId="07D568D1">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硫化物</w:t>
            </w:r>
          </w:p>
        </w:tc>
        <w:tc>
          <w:tcPr>
            <w:tcW w:w="1333" w:type="dxa"/>
            <w:tcBorders>
              <w:tl2br w:val="nil"/>
              <w:tr2bl w:val="nil"/>
            </w:tcBorders>
            <w:noWrap w:val="0"/>
            <w:vAlign w:val="center"/>
          </w:tcPr>
          <w:p w14:paraId="4C7A5ABE">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3BEB1F7D">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22AA541F">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0.2</w:t>
            </w:r>
          </w:p>
        </w:tc>
      </w:tr>
      <w:tr w14:paraId="5D20EA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46FB06EA">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w:t>
            </w:r>
          </w:p>
        </w:tc>
        <w:tc>
          <w:tcPr>
            <w:tcW w:w="2234" w:type="dxa"/>
            <w:tcBorders>
              <w:tl2br w:val="nil"/>
              <w:tr2bl w:val="nil"/>
            </w:tcBorders>
            <w:noWrap w:val="0"/>
            <w:vAlign w:val="center"/>
          </w:tcPr>
          <w:p w14:paraId="10C15711">
            <w:pPr>
              <w:pageBreakBefore w:val="0"/>
              <w:tabs>
                <w:tab w:val="left" w:pos="4200"/>
              </w:tabs>
              <w:wordWrap/>
              <w:bidi w:val="0"/>
              <w:adjustRightInd/>
              <w:snapToGrid/>
              <w:spacing w:line="240" w:lineRule="auto"/>
              <w:ind w:firstLine="0" w:firstLineChars="0"/>
              <w:jc w:val="center"/>
              <w:rPr>
                <w:rFonts w:hint="eastAsia" w:eastAsia="宋体"/>
                <w:bCs/>
                <w:color w:val="auto"/>
                <w:kern w:val="0"/>
                <w:position w:val="-2"/>
                <w:sz w:val="21"/>
                <w:szCs w:val="21"/>
                <w:lang w:val="en-US" w:eastAsia="zh-CN"/>
              </w:rPr>
            </w:pPr>
            <w:r>
              <w:rPr>
                <w:rFonts w:hint="eastAsia"/>
                <w:bCs/>
                <w:color w:val="auto"/>
                <w:kern w:val="0"/>
                <w:position w:val="-2"/>
                <w:sz w:val="21"/>
                <w:szCs w:val="21"/>
                <w:lang w:val="en-US" w:eastAsia="zh-CN"/>
              </w:rPr>
              <w:t>氰化物</w:t>
            </w:r>
          </w:p>
        </w:tc>
        <w:tc>
          <w:tcPr>
            <w:tcW w:w="1333" w:type="dxa"/>
            <w:tcBorders>
              <w:tl2br w:val="nil"/>
              <w:tr2bl w:val="nil"/>
            </w:tcBorders>
            <w:noWrap w:val="0"/>
            <w:vAlign w:val="center"/>
          </w:tcPr>
          <w:p w14:paraId="42F382D7">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848" w:type="dxa"/>
            <w:tcBorders>
              <w:tl2br w:val="nil"/>
              <w:tr2bl w:val="nil"/>
            </w:tcBorders>
            <w:noWrap w:val="0"/>
            <w:vAlign w:val="center"/>
          </w:tcPr>
          <w:p w14:paraId="1049AA08">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2982" w:type="dxa"/>
            <w:tcBorders>
              <w:tl2br w:val="nil"/>
              <w:tr2bl w:val="nil"/>
            </w:tcBorders>
            <w:noWrap w:val="0"/>
            <w:vAlign w:val="center"/>
          </w:tcPr>
          <w:p w14:paraId="16497746">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0.2</w:t>
            </w:r>
          </w:p>
        </w:tc>
      </w:tr>
      <w:tr w14:paraId="67DCE3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16725A85">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11</w:t>
            </w:r>
          </w:p>
        </w:tc>
        <w:tc>
          <w:tcPr>
            <w:tcW w:w="2234" w:type="dxa"/>
            <w:tcBorders>
              <w:tl2br w:val="nil"/>
              <w:tr2bl w:val="nil"/>
            </w:tcBorders>
            <w:noWrap w:val="0"/>
            <w:vAlign w:val="center"/>
          </w:tcPr>
          <w:p w14:paraId="7CC2410D">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氟化物</w:t>
            </w:r>
          </w:p>
        </w:tc>
        <w:tc>
          <w:tcPr>
            <w:tcW w:w="1333" w:type="dxa"/>
            <w:tcBorders>
              <w:tl2br w:val="nil"/>
              <w:tr2bl w:val="nil"/>
            </w:tcBorders>
            <w:noWrap w:val="0"/>
            <w:vAlign w:val="center"/>
          </w:tcPr>
          <w:p w14:paraId="0FBB2D68">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00A96F8A">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08A696CF">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1.0</w:t>
            </w:r>
          </w:p>
        </w:tc>
      </w:tr>
      <w:tr w14:paraId="1E2358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50349543">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12</w:t>
            </w:r>
          </w:p>
        </w:tc>
        <w:tc>
          <w:tcPr>
            <w:tcW w:w="2234" w:type="dxa"/>
            <w:tcBorders>
              <w:tl2br w:val="nil"/>
              <w:tr2bl w:val="nil"/>
            </w:tcBorders>
            <w:noWrap w:val="0"/>
            <w:vAlign w:val="center"/>
          </w:tcPr>
          <w:p w14:paraId="0C5FDCC4">
            <w:pPr>
              <w:pageBreakBefore w:val="0"/>
              <w:tabs>
                <w:tab w:val="left" w:pos="4200"/>
              </w:tabs>
              <w:wordWrap/>
              <w:bidi w:val="0"/>
              <w:adjustRightInd/>
              <w:snapToGrid/>
              <w:spacing w:line="240" w:lineRule="auto"/>
              <w:ind w:firstLine="0" w:firstLineChars="0"/>
              <w:jc w:val="center"/>
              <w:rPr>
                <w:rFonts w:hint="eastAsia" w:eastAsia="宋体"/>
                <w:bCs/>
                <w:color w:val="auto"/>
                <w:kern w:val="0"/>
                <w:position w:val="-2"/>
                <w:sz w:val="21"/>
                <w:szCs w:val="21"/>
                <w:lang w:val="en-US" w:eastAsia="zh-CN"/>
              </w:rPr>
            </w:pPr>
            <w:r>
              <w:rPr>
                <w:rFonts w:hint="eastAsia"/>
                <w:bCs/>
                <w:color w:val="auto"/>
                <w:kern w:val="0"/>
                <w:position w:val="-2"/>
                <w:sz w:val="21"/>
                <w:szCs w:val="21"/>
                <w:lang w:val="en-US" w:eastAsia="zh-CN"/>
              </w:rPr>
              <w:t>氯化物</w:t>
            </w:r>
          </w:p>
        </w:tc>
        <w:tc>
          <w:tcPr>
            <w:tcW w:w="1333" w:type="dxa"/>
            <w:tcBorders>
              <w:tl2br w:val="nil"/>
              <w:tr2bl w:val="nil"/>
            </w:tcBorders>
            <w:noWrap w:val="0"/>
            <w:vAlign w:val="center"/>
          </w:tcPr>
          <w:p w14:paraId="2642A162">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848" w:type="dxa"/>
            <w:tcBorders>
              <w:tl2br w:val="nil"/>
              <w:tr2bl w:val="nil"/>
            </w:tcBorders>
            <w:noWrap w:val="0"/>
            <w:vAlign w:val="center"/>
          </w:tcPr>
          <w:p w14:paraId="28C3A1F4">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2982" w:type="dxa"/>
            <w:tcBorders>
              <w:tl2br w:val="nil"/>
              <w:tr2bl w:val="nil"/>
            </w:tcBorders>
            <w:noWrap w:val="0"/>
            <w:vAlign w:val="center"/>
          </w:tcPr>
          <w:p w14:paraId="50940531">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250</w:t>
            </w:r>
          </w:p>
        </w:tc>
      </w:tr>
      <w:tr w14:paraId="626CFA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280128E0">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13</w:t>
            </w:r>
          </w:p>
        </w:tc>
        <w:tc>
          <w:tcPr>
            <w:tcW w:w="2234" w:type="dxa"/>
            <w:tcBorders>
              <w:tl2br w:val="nil"/>
              <w:tr2bl w:val="nil"/>
            </w:tcBorders>
            <w:noWrap w:val="0"/>
            <w:vAlign w:val="center"/>
          </w:tcPr>
          <w:p w14:paraId="63E37F16">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挥发酚</w:t>
            </w:r>
          </w:p>
        </w:tc>
        <w:tc>
          <w:tcPr>
            <w:tcW w:w="1333" w:type="dxa"/>
            <w:tcBorders>
              <w:tl2br w:val="nil"/>
              <w:tr2bl w:val="nil"/>
            </w:tcBorders>
            <w:noWrap w:val="0"/>
            <w:vAlign w:val="center"/>
          </w:tcPr>
          <w:p w14:paraId="0FB30AA4">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2EEA1F68">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4D789BFA">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0.005</w:t>
            </w:r>
          </w:p>
        </w:tc>
      </w:tr>
      <w:tr w14:paraId="62E3B1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24C84FF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14</w:t>
            </w:r>
          </w:p>
        </w:tc>
        <w:tc>
          <w:tcPr>
            <w:tcW w:w="2234" w:type="dxa"/>
            <w:tcBorders>
              <w:tl2br w:val="nil"/>
              <w:tr2bl w:val="nil"/>
            </w:tcBorders>
            <w:noWrap w:val="0"/>
            <w:vAlign w:val="center"/>
          </w:tcPr>
          <w:p w14:paraId="53076422">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石油类</w:t>
            </w:r>
          </w:p>
        </w:tc>
        <w:tc>
          <w:tcPr>
            <w:tcW w:w="1333" w:type="dxa"/>
            <w:tcBorders>
              <w:tl2br w:val="nil"/>
              <w:tr2bl w:val="nil"/>
            </w:tcBorders>
            <w:noWrap w:val="0"/>
            <w:vAlign w:val="center"/>
          </w:tcPr>
          <w:p w14:paraId="0DCB7E77">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30E12778">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10CFBA50">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0.05</w:t>
            </w:r>
          </w:p>
        </w:tc>
      </w:tr>
      <w:tr w14:paraId="38DF2B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1687819D">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15</w:t>
            </w:r>
          </w:p>
        </w:tc>
        <w:tc>
          <w:tcPr>
            <w:tcW w:w="2234" w:type="dxa"/>
            <w:tcBorders>
              <w:tl2br w:val="nil"/>
              <w:tr2bl w:val="nil"/>
            </w:tcBorders>
            <w:noWrap w:val="0"/>
            <w:vAlign w:val="center"/>
          </w:tcPr>
          <w:p w14:paraId="1663C3A6">
            <w:pPr>
              <w:pageBreakBefore w:val="0"/>
              <w:tabs>
                <w:tab w:val="left" w:pos="4200"/>
              </w:tabs>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硫酸盐</w:t>
            </w:r>
          </w:p>
        </w:tc>
        <w:tc>
          <w:tcPr>
            <w:tcW w:w="1333" w:type="dxa"/>
            <w:tcBorders>
              <w:tl2br w:val="nil"/>
              <w:tr2bl w:val="nil"/>
            </w:tcBorders>
            <w:noWrap w:val="0"/>
            <w:vAlign w:val="center"/>
          </w:tcPr>
          <w:p w14:paraId="03E296F8">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848" w:type="dxa"/>
            <w:tcBorders>
              <w:tl2br w:val="nil"/>
              <w:tr2bl w:val="nil"/>
            </w:tcBorders>
            <w:noWrap w:val="0"/>
            <w:vAlign w:val="center"/>
          </w:tcPr>
          <w:p w14:paraId="40C2F932">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2982" w:type="dxa"/>
            <w:tcBorders>
              <w:tl2br w:val="nil"/>
              <w:tr2bl w:val="nil"/>
            </w:tcBorders>
            <w:noWrap w:val="0"/>
            <w:vAlign w:val="center"/>
          </w:tcPr>
          <w:p w14:paraId="05DF4AE3">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250</w:t>
            </w:r>
          </w:p>
        </w:tc>
      </w:tr>
      <w:tr w14:paraId="20D177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254632A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16</w:t>
            </w:r>
          </w:p>
        </w:tc>
        <w:tc>
          <w:tcPr>
            <w:tcW w:w="2234" w:type="dxa"/>
            <w:tcBorders>
              <w:tl2br w:val="nil"/>
              <w:tr2bl w:val="nil"/>
            </w:tcBorders>
            <w:noWrap w:val="0"/>
            <w:vAlign w:val="center"/>
          </w:tcPr>
          <w:p w14:paraId="03EB722F">
            <w:pPr>
              <w:pageBreakBefore w:val="0"/>
              <w:tabs>
                <w:tab w:val="left" w:pos="4200"/>
              </w:tabs>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铁</w:t>
            </w:r>
          </w:p>
        </w:tc>
        <w:tc>
          <w:tcPr>
            <w:tcW w:w="1333" w:type="dxa"/>
            <w:tcBorders>
              <w:tl2br w:val="nil"/>
              <w:tr2bl w:val="nil"/>
            </w:tcBorders>
            <w:noWrap w:val="0"/>
            <w:vAlign w:val="center"/>
          </w:tcPr>
          <w:p w14:paraId="20764F01">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848" w:type="dxa"/>
            <w:tcBorders>
              <w:tl2br w:val="nil"/>
              <w:tr2bl w:val="nil"/>
            </w:tcBorders>
            <w:noWrap w:val="0"/>
            <w:vAlign w:val="center"/>
          </w:tcPr>
          <w:p w14:paraId="50E42E6C">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2982" w:type="dxa"/>
            <w:tcBorders>
              <w:tl2br w:val="nil"/>
              <w:tr2bl w:val="nil"/>
            </w:tcBorders>
            <w:noWrap w:val="0"/>
            <w:vAlign w:val="center"/>
          </w:tcPr>
          <w:p w14:paraId="50B32E1D">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0.3</w:t>
            </w:r>
          </w:p>
        </w:tc>
      </w:tr>
      <w:tr w14:paraId="5092E0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6B3FC7B2">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17</w:t>
            </w:r>
          </w:p>
        </w:tc>
        <w:tc>
          <w:tcPr>
            <w:tcW w:w="2234" w:type="dxa"/>
            <w:tcBorders>
              <w:tl2br w:val="nil"/>
              <w:tr2bl w:val="nil"/>
            </w:tcBorders>
            <w:noWrap w:val="0"/>
            <w:vAlign w:val="center"/>
          </w:tcPr>
          <w:p w14:paraId="19D7B36B">
            <w:pPr>
              <w:pageBreakBefore w:val="0"/>
              <w:tabs>
                <w:tab w:val="left" w:pos="4200"/>
              </w:tabs>
              <w:wordWrap/>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bCs/>
                <w:color w:val="auto"/>
                <w:kern w:val="0"/>
                <w:position w:val="-2"/>
                <w:sz w:val="21"/>
                <w:szCs w:val="21"/>
              </w:rPr>
              <w:t>铜</w:t>
            </w:r>
          </w:p>
        </w:tc>
        <w:tc>
          <w:tcPr>
            <w:tcW w:w="1333" w:type="dxa"/>
            <w:tcBorders>
              <w:tl2br w:val="nil"/>
              <w:tr2bl w:val="nil"/>
            </w:tcBorders>
            <w:noWrap w:val="0"/>
            <w:vAlign w:val="center"/>
          </w:tcPr>
          <w:p w14:paraId="316D08BA">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3951B351">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6590C537">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1.0</w:t>
            </w:r>
          </w:p>
        </w:tc>
      </w:tr>
      <w:tr w14:paraId="156958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109C1D7D">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18</w:t>
            </w:r>
          </w:p>
        </w:tc>
        <w:tc>
          <w:tcPr>
            <w:tcW w:w="2234" w:type="dxa"/>
            <w:tcBorders>
              <w:tl2br w:val="nil"/>
              <w:tr2bl w:val="nil"/>
            </w:tcBorders>
            <w:noWrap w:val="0"/>
            <w:vAlign w:val="center"/>
          </w:tcPr>
          <w:p w14:paraId="4544656E">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铅</w:t>
            </w:r>
          </w:p>
        </w:tc>
        <w:tc>
          <w:tcPr>
            <w:tcW w:w="1333" w:type="dxa"/>
            <w:tcBorders>
              <w:tl2br w:val="nil"/>
              <w:tr2bl w:val="nil"/>
            </w:tcBorders>
            <w:noWrap w:val="0"/>
            <w:vAlign w:val="center"/>
          </w:tcPr>
          <w:p w14:paraId="230BD1CE">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50ADECA3">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5BA07BA9">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0.05</w:t>
            </w:r>
          </w:p>
        </w:tc>
      </w:tr>
      <w:tr w14:paraId="688633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2BB6DF65">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19</w:t>
            </w:r>
          </w:p>
        </w:tc>
        <w:tc>
          <w:tcPr>
            <w:tcW w:w="2234" w:type="dxa"/>
            <w:tcBorders>
              <w:tl2br w:val="nil"/>
              <w:tr2bl w:val="nil"/>
            </w:tcBorders>
            <w:noWrap w:val="0"/>
            <w:vAlign w:val="center"/>
          </w:tcPr>
          <w:p w14:paraId="4A8B796E">
            <w:pPr>
              <w:pageBreakBefore w:val="0"/>
              <w:tabs>
                <w:tab w:val="left" w:pos="4200"/>
              </w:tabs>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锌</w:t>
            </w:r>
          </w:p>
        </w:tc>
        <w:tc>
          <w:tcPr>
            <w:tcW w:w="1333" w:type="dxa"/>
            <w:tcBorders>
              <w:tl2br w:val="nil"/>
              <w:tr2bl w:val="nil"/>
            </w:tcBorders>
            <w:noWrap w:val="0"/>
            <w:vAlign w:val="center"/>
          </w:tcPr>
          <w:p w14:paraId="0A22D0BB">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848" w:type="dxa"/>
            <w:tcBorders>
              <w:tl2br w:val="nil"/>
              <w:tr2bl w:val="nil"/>
            </w:tcBorders>
            <w:noWrap w:val="0"/>
            <w:vAlign w:val="center"/>
          </w:tcPr>
          <w:p w14:paraId="33DDA322">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2982" w:type="dxa"/>
            <w:tcBorders>
              <w:tl2br w:val="nil"/>
              <w:tr2bl w:val="nil"/>
            </w:tcBorders>
            <w:noWrap w:val="0"/>
            <w:vAlign w:val="center"/>
          </w:tcPr>
          <w:p w14:paraId="4367B43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w:t>
            </w:r>
          </w:p>
        </w:tc>
      </w:tr>
      <w:tr w14:paraId="1F3328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27ACE996">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20</w:t>
            </w:r>
          </w:p>
        </w:tc>
        <w:tc>
          <w:tcPr>
            <w:tcW w:w="2234" w:type="dxa"/>
            <w:tcBorders>
              <w:tl2br w:val="nil"/>
              <w:tr2bl w:val="nil"/>
            </w:tcBorders>
            <w:noWrap w:val="0"/>
            <w:vAlign w:val="center"/>
          </w:tcPr>
          <w:p w14:paraId="5B0CBA9E">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镉</w:t>
            </w:r>
          </w:p>
        </w:tc>
        <w:tc>
          <w:tcPr>
            <w:tcW w:w="1333" w:type="dxa"/>
            <w:tcBorders>
              <w:tl2br w:val="nil"/>
              <w:tr2bl w:val="nil"/>
            </w:tcBorders>
            <w:noWrap w:val="0"/>
            <w:vAlign w:val="center"/>
          </w:tcPr>
          <w:p w14:paraId="0EF7E968">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7615905D">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703AB9DB">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0.005</w:t>
            </w:r>
          </w:p>
        </w:tc>
      </w:tr>
      <w:tr w14:paraId="1512A1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584B01DB">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21</w:t>
            </w:r>
          </w:p>
        </w:tc>
        <w:tc>
          <w:tcPr>
            <w:tcW w:w="2234" w:type="dxa"/>
            <w:tcBorders>
              <w:tl2br w:val="nil"/>
              <w:tr2bl w:val="nil"/>
            </w:tcBorders>
            <w:noWrap w:val="0"/>
            <w:vAlign w:val="center"/>
          </w:tcPr>
          <w:p w14:paraId="01D3A064">
            <w:pPr>
              <w:pageBreakBefore w:val="0"/>
              <w:tabs>
                <w:tab w:val="left" w:pos="4200"/>
              </w:tabs>
              <w:wordWrap/>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锰</w:t>
            </w:r>
          </w:p>
        </w:tc>
        <w:tc>
          <w:tcPr>
            <w:tcW w:w="1333" w:type="dxa"/>
            <w:tcBorders>
              <w:tl2br w:val="nil"/>
              <w:tr2bl w:val="nil"/>
            </w:tcBorders>
            <w:noWrap w:val="0"/>
            <w:vAlign w:val="center"/>
          </w:tcPr>
          <w:p w14:paraId="12E0BD4C">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6718E607">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192E4FE5">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0.1</w:t>
            </w:r>
          </w:p>
        </w:tc>
      </w:tr>
      <w:tr w14:paraId="2ACDD6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0EB9E78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22</w:t>
            </w:r>
          </w:p>
        </w:tc>
        <w:tc>
          <w:tcPr>
            <w:tcW w:w="2234" w:type="dxa"/>
            <w:tcBorders>
              <w:tl2br w:val="nil"/>
              <w:tr2bl w:val="nil"/>
            </w:tcBorders>
            <w:noWrap w:val="0"/>
            <w:vAlign w:val="center"/>
          </w:tcPr>
          <w:p w14:paraId="1DE21209">
            <w:pPr>
              <w:pageBreakBefore w:val="0"/>
              <w:tabs>
                <w:tab w:val="left" w:pos="4200"/>
              </w:tabs>
              <w:wordWrap/>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bCs/>
                <w:color w:val="auto"/>
                <w:kern w:val="0"/>
                <w:position w:val="-2"/>
                <w:sz w:val="21"/>
                <w:szCs w:val="21"/>
              </w:rPr>
              <w:t>砷</w:t>
            </w:r>
          </w:p>
        </w:tc>
        <w:tc>
          <w:tcPr>
            <w:tcW w:w="1333" w:type="dxa"/>
            <w:tcBorders>
              <w:tl2br w:val="nil"/>
              <w:tr2bl w:val="nil"/>
            </w:tcBorders>
            <w:noWrap w:val="0"/>
            <w:vAlign w:val="center"/>
          </w:tcPr>
          <w:p w14:paraId="795FA76E">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3201B256">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2D049197">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0.05</w:t>
            </w:r>
          </w:p>
        </w:tc>
      </w:tr>
      <w:tr w14:paraId="3160B8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2F778E0C">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23</w:t>
            </w:r>
          </w:p>
        </w:tc>
        <w:tc>
          <w:tcPr>
            <w:tcW w:w="2234" w:type="dxa"/>
            <w:tcBorders>
              <w:tl2br w:val="nil"/>
              <w:tr2bl w:val="nil"/>
            </w:tcBorders>
            <w:noWrap w:val="0"/>
            <w:vAlign w:val="center"/>
          </w:tcPr>
          <w:p w14:paraId="46FA1D8B">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汞</w:t>
            </w:r>
          </w:p>
        </w:tc>
        <w:tc>
          <w:tcPr>
            <w:tcW w:w="1333" w:type="dxa"/>
            <w:tcBorders>
              <w:tl2br w:val="nil"/>
              <w:tr2bl w:val="nil"/>
            </w:tcBorders>
            <w:noWrap w:val="0"/>
            <w:vAlign w:val="center"/>
          </w:tcPr>
          <w:p w14:paraId="1F466057">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7B507D2F">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19804AE7">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0.0001</w:t>
            </w:r>
          </w:p>
        </w:tc>
      </w:tr>
      <w:tr w14:paraId="58CCC6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1E4BDDE8">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24</w:t>
            </w:r>
          </w:p>
        </w:tc>
        <w:tc>
          <w:tcPr>
            <w:tcW w:w="2234" w:type="dxa"/>
            <w:tcBorders>
              <w:tl2br w:val="nil"/>
              <w:tr2bl w:val="nil"/>
            </w:tcBorders>
            <w:noWrap w:val="0"/>
            <w:vAlign w:val="center"/>
          </w:tcPr>
          <w:p w14:paraId="4F7AB2FC">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六价铬</w:t>
            </w:r>
          </w:p>
        </w:tc>
        <w:tc>
          <w:tcPr>
            <w:tcW w:w="1333" w:type="dxa"/>
            <w:tcBorders>
              <w:tl2br w:val="nil"/>
              <w:tr2bl w:val="nil"/>
            </w:tcBorders>
            <w:noWrap w:val="0"/>
            <w:vAlign w:val="center"/>
          </w:tcPr>
          <w:p w14:paraId="6E4E56DA">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1BD173F5">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6D28B8FA">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0.05</w:t>
            </w:r>
          </w:p>
        </w:tc>
      </w:tr>
      <w:tr w14:paraId="26ED29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5608A8D0">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25</w:t>
            </w:r>
          </w:p>
        </w:tc>
        <w:tc>
          <w:tcPr>
            <w:tcW w:w="2234" w:type="dxa"/>
            <w:tcBorders>
              <w:tl2br w:val="nil"/>
              <w:tr2bl w:val="nil"/>
            </w:tcBorders>
            <w:noWrap w:val="0"/>
            <w:vAlign w:val="center"/>
          </w:tcPr>
          <w:p w14:paraId="69145460">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阴离子表面活性剂</w:t>
            </w:r>
          </w:p>
        </w:tc>
        <w:tc>
          <w:tcPr>
            <w:tcW w:w="1333" w:type="dxa"/>
            <w:tcBorders>
              <w:tl2br w:val="nil"/>
              <w:tr2bl w:val="nil"/>
            </w:tcBorders>
            <w:noWrap w:val="0"/>
            <w:vAlign w:val="center"/>
          </w:tcPr>
          <w:p w14:paraId="38C3F464">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3A34969B">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2A79CB87">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0.2</w:t>
            </w:r>
          </w:p>
        </w:tc>
      </w:tr>
      <w:tr w14:paraId="7308F9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5050B56F">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26</w:t>
            </w:r>
          </w:p>
        </w:tc>
        <w:tc>
          <w:tcPr>
            <w:tcW w:w="2234" w:type="dxa"/>
            <w:tcBorders>
              <w:tl2br w:val="nil"/>
              <w:tr2bl w:val="nil"/>
            </w:tcBorders>
            <w:noWrap w:val="0"/>
            <w:vAlign w:val="center"/>
          </w:tcPr>
          <w:p w14:paraId="253290B6">
            <w:pPr>
              <w:pageBreakBefore w:val="0"/>
              <w:tabs>
                <w:tab w:val="left" w:pos="4200"/>
              </w:tabs>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bCs/>
                <w:color w:val="auto"/>
                <w:kern w:val="0"/>
                <w:position w:val="-2"/>
                <w:sz w:val="21"/>
                <w:szCs w:val="21"/>
              </w:rPr>
              <w:t>粪大肠菌群</w:t>
            </w:r>
          </w:p>
        </w:tc>
        <w:tc>
          <w:tcPr>
            <w:tcW w:w="1333" w:type="dxa"/>
            <w:tcBorders>
              <w:tl2br w:val="nil"/>
              <w:tr2bl w:val="nil"/>
            </w:tcBorders>
            <w:noWrap w:val="0"/>
            <w:vAlign w:val="center"/>
          </w:tcPr>
          <w:p w14:paraId="6C7AC806">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个/L</w:t>
            </w:r>
          </w:p>
        </w:tc>
        <w:tc>
          <w:tcPr>
            <w:tcW w:w="848" w:type="dxa"/>
            <w:tcBorders>
              <w:tl2br w:val="nil"/>
              <w:tr2bl w:val="nil"/>
            </w:tcBorders>
            <w:noWrap w:val="0"/>
            <w:vAlign w:val="center"/>
          </w:tcPr>
          <w:p w14:paraId="4ABA8B7F">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0F83C4AC">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10000</w:t>
            </w:r>
          </w:p>
        </w:tc>
      </w:tr>
      <w:tr w14:paraId="25FCD5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45" w:type="dxa"/>
            <w:tcBorders>
              <w:tl2br w:val="nil"/>
              <w:tr2bl w:val="nil"/>
            </w:tcBorders>
            <w:noWrap w:val="0"/>
            <w:vAlign w:val="center"/>
          </w:tcPr>
          <w:p w14:paraId="1703F8A2">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27</w:t>
            </w:r>
          </w:p>
        </w:tc>
        <w:tc>
          <w:tcPr>
            <w:tcW w:w="2234" w:type="dxa"/>
            <w:tcBorders>
              <w:tl2br w:val="nil"/>
              <w:tr2bl w:val="nil"/>
            </w:tcBorders>
            <w:noWrap w:val="0"/>
            <w:vAlign w:val="center"/>
          </w:tcPr>
          <w:p w14:paraId="794A55F2">
            <w:pPr>
              <w:pageBreakBefore w:val="0"/>
              <w:tabs>
                <w:tab w:val="left" w:pos="4200"/>
              </w:tabs>
              <w:wordWrap/>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甲醛</w:t>
            </w:r>
          </w:p>
        </w:tc>
        <w:tc>
          <w:tcPr>
            <w:tcW w:w="1333" w:type="dxa"/>
            <w:tcBorders>
              <w:tl2br w:val="nil"/>
              <w:tr2bl w:val="nil"/>
            </w:tcBorders>
            <w:noWrap w:val="0"/>
            <w:vAlign w:val="center"/>
          </w:tcPr>
          <w:p w14:paraId="73D234C4">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mg/L</w:t>
            </w:r>
          </w:p>
        </w:tc>
        <w:tc>
          <w:tcPr>
            <w:tcW w:w="848" w:type="dxa"/>
            <w:tcBorders>
              <w:tl2br w:val="nil"/>
              <w:tr2bl w:val="nil"/>
            </w:tcBorders>
            <w:noWrap w:val="0"/>
            <w:vAlign w:val="center"/>
          </w:tcPr>
          <w:p w14:paraId="41A795BF">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982" w:type="dxa"/>
            <w:tcBorders>
              <w:tl2br w:val="nil"/>
              <w:tr2bl w:val="nil"/>
            </w:tcBorders>
            <w:noWrap w:val="0"/>
            <w:vAlign w:val="center"/>
          </w:tcPr>
          <w:p w14:paraId="624A03BF">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0.9</w:t>
            </w:r>
          </w:p>
        </w:tc>
      </w:tr>
    </w:tbl>
    <w:p w14:paraId="0CA74537">
      <w:pPr>
        <w:pageBreakBefore w:val="0"/>
        <w:wordWrap/>
        <w:bidi w:val="0"/>
        <w:adjustRightInd/>
        <w:snapToGrid/>
        <w:spacing w:before="120" w:beforeLines="50"/>
        <w:ind w:firstLine="480"/>
        <w:rPr>
          <w:b/>
          <w:bCs/>
          <w:color w:val="auto"/>
        </w:rPr>
      </w:pPr>
      <w:r>
        <w:rPr>
          <w:b/>
          <w:bCs/>
          <w:color w:val="auto"/>
        </w:rPr>
        <w:t>（3）声学环境</w:t>
      </w:r>
    </w:p>
    <w:p w14:paraId="1C498C60">
      <w:pPr>
        <w:pageBreakBefore w:val="0"/>
        <w:wordWrap/>
        <w:bidi w:val="0"/>
        <w:adjustRightInd/>
        <w:snapToGrid/>
        <w:ind w:firstLine="480"/>
        <w:rPr>
          <w:color w:val="auto"/>
        </w:rPr>
      </w:pPr>
      <w:r>
        <w:rPr>
          <w:color w:val="auto"/>
        </w:rPr>
        <w:t>声学环境执行《声环境质量标准》（GB3096-2008）中的</w:t>
      </w:r>
      <w:r>
        <w:rPr>
          <w:rFonts w:hint="eastAsia"/>
          <w:color w:val="auto"/>
          <w:lang w:val="en-US" w:eastAsia="zh-CN"/>
        </w:rPr>
        <w:t>2</w:t>
      </w:r>
      <w:r>
        <w:rPr>
          <w:color w:val="auto"/>
        </w:rPr>
        <w:t>类</w:t>
      </w:r>
      <w:r>
        <w:rPr>
          <w:rFonts w:hint="eastAsia"/>
          <w:color w:val="auto"/>
          <w:lang w:eastAsia="zh-CN"/>
        </w:rPr>
        <w:t>、</w:t>
      </w:r>
      <w:r>
        <w:rPr>
          <w:rFonts w:hint="eastAsia"/>
          <w:color w:val="auto"/>
          <w:lang w:val="en-US" w:eastAsia="zh-CN"/>
        </w:rPr>
        <w:t>3类和4类</w:t>
      </w:r>
      <w:r>
        <w:rPr>
          <w:color w:val="auto"/>
        </w:rPr>
        <w:t>标准。标准限值见</w:t>
      </w:r>
      <w:r>
        <w:rPr>
          <w:rFonts w:hint="eastAsia"/>
          <w:color w:val="auto"/>
          <w:lang w:val="en-US" w:eastAsia="zh-CN"/>
        </w:rPr>
        <w:t>下表</w:t>
      </w:r>
      <w:r>
        <w:rPr>
          <w:color w:val="auto"/>
        </w:rPr>
        <w:t xml:space="preserve">。 </w:t>
      </w:r>
    </w:p>
    <w:p w14:paraId="2194634A">
      <w:pPr>
        <w:pStyle w:val="19"/>
        <w:numPr>
          <w:ilvl w:val="0"/>
          <w:numId w:val="7"/>
        </w:numPr>
        <w:bidi w:val="0"/>
        <w:ind w:left="0" w:leftChars="0" w:firstLine="0" w:firstLineChars="0"/>
        <w:rPr>
          <w:rFonts w:hint="eastAsia"/>
          <w:color w:val="auto"/>
          <w:lang w:eastAsia="zh-CN"/>
        </w:rPr>
      </w:pPr>
      <w:r>
        <w:rPr>
          <w:color w:val="auto"/>
        </w:rPr>
        <w:t>声环境质量标准</w:t>
      </w:r>
      <w:r>
        <w:rPr>
          <w:rFonts w:hint="eastAsia"/>
          <w:color w:val="auto"/>
          <w:lang w:eastAsia="zh-CN"/>
        </w:rPr>
        <w:t>（</w:t>
      </w:r>
      <w:r>
        <w:rPr>
          <w:color w:val="auto"/>
        </w:rPr>
        <w:t>GB3096-2008</w:t>
      </w:r>
      <w:r>
        <w:rPr>
          <w:rFonts w:hint="eastAsia"/>
          <w:color w:val="auto"/>
          <w:lang w:eastAsia="zh-CN"/>
        </w:rPr>
        <w:t>）</w:t>
      </w:r>
    </w:p>
    <w:p w14:paraId="42D2BC79">
      <w:pPr>
        <w:pageBreakBefore w:val="0"/>
        <w:wordWrap/>
        <w:bidi w:val="0"/>
        <w:adjustRightInd/>
        <w:snapToGrid/>
        <w:spacing w:before="8" w:line="10" w:lineRule="exact"/>
        <w:ind w:firstLine="20"/>
        <w:rPr>
          <w:color w:val="auto"/>
          <w:sz w:val="1"/>
          <w:szCs w:val="1"/>
        </w:rPr>
      </w:pPr>
    </w:p>
    <w:tbl>
      <w:tblPr>
        <w:tblStyle w:val="52"/>
        <w:tblW w:w="5000" w:type="pct"/>
        <w:tblInd w:w="0" w:type="dxa"/>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3276"/>
        <w:gridCol w:w="2677"/>
        <w:gridCol w:w="2777"/>
      </w:tblGrid>
      <w:tr w14:paraId="342D4EEA">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1876" w:type="pct"/>
            <w:vMerge w:val="restart"/>
            <w:tcBorders>
              <w:tl2br w:val="nil"/>
              <w:tr2bl w:val="nil"/>
            </w:tcBorders>
            <w:noWrap w:val="0"/>
            <w:vAlign w:val="center"/>
          </w:tcPr>
          <w:p w14:paraId="510B4096">
            <w:pPr>
              <w:pageBreakBefore w:val="0"/>
              <w:wordWrap/>
              <w:bidi w:val="0"/>
              <w:adjustRightInd/>
              <w:snapToGrid/>
              <w:spacing w:line="240" w:lineRule="auto"/>
              <w:ind w:firstLine="0" w:firstLineChars="0"/>
              <w:jc w:val="center"/>
              <w:rPr>
                <w:b/>
                <w:bCs/>
                <w:color w:val="auto"/>
                <w:sz w:val="21"/>
                <w:szCs w:val="21"/>
              </w:rPr>
            </w:pPr>
            <w:r>
              <w:rPr>
                <w:b/>
                <w:bCs/>
                <w:color w:val="auto"/>
                <w:position w:val="-1"/>
                <w:sz w:val="21"/>
                <w:szCs w:val="21"/>
              </w:rPr>
              <w:t>声环境功能区类别</w:t>
            </w:r>
          </w:p>
        </w:tc>
        <w:tc>
          <w:tcPr>
            <w:tcW w:w="3123" w:type="pct"/>
            <w:gridSpan w:val="2"/>
            <w:tcBorders>
              <w:tl2br w:val="nil"/>
              <w:tr2bl w:val="nil"/>
            </w:tcBorders>
            <w:noWrap w:val="0"/>
            <w:vAlign w:val="center"/>
          </w:tcPr>
          <w:p w14:paraId="14AA727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等效声级</w:t>
            </w:r>
            <w:r>
              <w:rPr>
                <w:b/>
                <w:bCs/>
                <w:color w:val="auto"/>
                <w:spacing w:val="-52"/>
                <w:sz w:val="21"/>
                <w:szCs w:val="21"/>
              </w:rPr>
              <w:t xml:space="preserve"> </w:t>
            </w:r>
            <w:r>
              <w:rPr>
                <w:b/>
                <w:bCs/>
                <w:color w:val="auto"/>
                <w:spacing w:val="1"/>
                <w:sz w:val="21"/>
                <w:szCs w:val="21"/>
              </w:rPr>
              <w:t>L</w:t>
            </w:r>
            <w:r>
              <w:rPr>
                <w:b/>
                <w:bCs/>
                <w:color w:val="auto"/>
                <w:position w:val="-3"/>
                <w:sz w:val="21"/>
                <w:szCs w:val="21"/>
                <w:vertAlign w:val="subscript"/>
              </w:rPr>
              <w:t>A</w:t>
            </w:r>
            <w:r>
              <w:rPr>
                <w:b/>
                <w:bCs/>
                <w:color w:val="auto"/>
                <w:spacing w:val="1"/>
                <w:position w:val="-3"/>
                <w:sz w:val="21"/>
                <w:szCs w:val="21"/>
                <w:vertAlign w:val="subscript"/>
              </w:rPr>
              <w:t>e</w:t>
            </w:r>
            <w:r>
              <w:rPr>
                <w:b/>
                <w:bCs/>
                <w:color w:val="auto"/>
                <w:position w:val="-3"/>
                <w:sz w:val="21"/>
                <w:szCs w:val="21"/>
                <w:vertAlign w:val="subscript"/>
              </w:rPr>
              <w:t xml:space="preserve">q </w:t>
            </w:r>
            <w:r>
              <w:rPr>
                <w:b/>
                <w:bCs/>
                <w:color w:val="auto"/>
                <w:sz w:val="21"/>
                <w:szCs w:val="21"/>
              </w:rPr>
              <w:t>d</w:t>
            </w:r>
            <w:r>
              <w:rPr>
                <w:b/>
                <w:bCs/>
                <w:color w:val="auto"/>
                <w:spacing w:val="-2"/>
                <w:sz w:val="21"/>
                <w:szCs w:val="21"/>
              </w:rPr>
              <w:t>B</w:t>
            </w:r>
            <w:r>
              <w:rPr>
                <w:b/>
                <w:bCs/>
                <w:color w:val="auto"/>
                <w:sz w:val="21"/>
                <w:szCs w:val="21"/>
              </w:rPr>
              <w:t>（</w:t>
            </w:r>
            <w:r>
              <w:rPr>
                <w:b/>
                <w:bCs/>
                <w:color w:val="auto"/>
                <w:spacing w:val="-1"/>
                <w:sz w:val="21"/>
                <w:szCs w:val="21"/>
              </w:rPr>
              <w:t>A</w:t>
            </w:r>
            <w:r>
              <w:rPr>
                <w:b/>
                <w:bCs/>
                <w:color w:val="auto"/>
                <w:sz w:val="21"/>
                <w:szCs w:val="21"/>
              </w:rPr>
              <w:t>）</w:t>
            </w:r>
          </w:p>
        </w:tc>
      </w:tr>
      <w:tr w14:paraId="19A1CFDF">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1876" w:type="pct"/>
            <w:vMerge w:val="continue"/>
            <w:tcBorders>
              <w:tl2br w:val="nil"/>
              <w:tr2bl w:val="nil"/>
            </w:tcBorders>
            <w:noWrap w:val="0"/>
            <w:vAlign w:val="center"/>
          </w:tcPr>
          <w:p w14:paraId="4F343183">
            <w:pPr>
              <w:pageBreakBefore w:val="0"/>
              <w:wordWrap/>
              <w:bidi w:val="0"/>
              <w:adjustRightInd/>
              <w:snapToGrid/>
              <w:spacing w:line="240" w:lineRule="auto"/>
              <w:ind w:firstLine="0" w:firstLineChars="0"/>
              <w:jc w:val="center"/>
              <w:rPr>
                <w:b/>
                <w:bCs/>
                <w:color w:val="auto"/>
                <w:sz w:val="21"/>
                <w:szCs w:val="21"/>
              </w:rPr>
            </w:pPr>
          </w:p>
        </w:tc>
        <w:tc>
          <w:tcPr>
            <w:tcW w:w="1533" w:type="pct"/>
            <w:tcBorders>
              <w:tl2br w:val="nil"/>
              <w:tr2bl w:val="nil"/>
            </w:tcBorders>
            <w:noWrap w:val="0"/>
            <w:vAlign w:val="center"/>
          </w:tcPr>
          <w:p w14:paraId="20B3B2EB">
            <w:pPr>
              <w:pageBreakBefore w:val="0"/>
              <w:wordWrap/>
              <w:bidi w:val="0"/>
              <w:adjustRightInd/>
              <w:snapToGrid/>
              <w:spacing w:line="240" w:lineRule="auto"/>
              <w:ind w:firstLine="0" w:firstLineChars="0"/>
              <w:jc w:val="center"/>
              <w:rPr>
                <w:b/>
                <w:bCs/>
                <w:color w:val="auto"/>
                <w:sz w:val="21"/>
                <w:szCs w:val="21"/>
              </w:rPr>
            </w:pPr>
            <w:r>
              <w:rPr>
                <w:b/>
                <w:bCs/>
                <w:color w:val="auto"/>
                <w:position w:val="-1"/>
                <w:sz w:val="21"/>
                <w:szCs w:val="21"/>
              </w:rPr>
              <w:t>昼间</w:t>
            </w:r>
          </w:p>
        </w:tc>
        <w:tc>
          <w:tcPr>
            <w:tcW w:w="1590" w:type="pct"/>
            <w:tcBorders>
              <w:tl2br w:val="nil"/>
              <w:tr2bl w:val="nil"/>
            </w:tcBorders>
            <w:noWrap w:val="0"/>
            <w:vAlign w:val="center"/>
          </w:tcPr>
          <w:p w14:paraId="1FD5A7B2">
            <w:pPr>
              <w:pageBreakBefore w:val="0"/>
              <w:wordWrap/>
              <w:bidi w:val="0"/>
              <w:adjustRightInd/>
              <w:snapToGrid/>
              <w:spacing w:line="240" w:lineRule="auto"/>
              <w:ind w:firstLine="0" w:firstLineChars="0"/>
              <w:jc w:val="center"/>
              <w:rPr>
                <w:b/>
                <w:bCs/>
                <w:color w:val="auto"/>
                <w:sz w:val="21"/>
                <w:szCs w:val="21"/>
              </w:rPr>
            </w:pPr>
            <w:r>
              <w:rPr>
                <w:b/>
                <w:bCs/>
                <w:color w:val="auto"/>
                <w:position w:val="-1"/>
                <w:sz w:val="21"/>
                <w:szCs w:val="21"/>
              </w:rPr>
              <w:t>夜间</w:t>
            </w:r>
          </w:p>
        </w:tc>
      </w:tr>
      <w:tr w14:paraId="43799771">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1876" w:type="pct"/>
            <w:tcBorders>
              <w:tl2br w:val="nil"/>
              <w:tr2bl w:val="nil"/>
            </w:tcBorders>
            <w:noWrap w:val="0"/>
            <w:vAlign w:val="center"/>
          </w:tcPr>
          <w:p w14:paraId="12FF4408">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2</w:t>
            </w:r>
            <w:r>
              <w:rPr>
                <w:color w:val="auto"/>
                <w:sz w:val="21"/>
                <w:szCs w:val="21"/>
              </w:rPr>
              <w:t>类</w:t>
            </w:r>
            <w:r>
              <w:rPr>
                <w:rFonts w:hint="eastAsia"/>
                <w:color w:val="auto"/>
                <w:sz w:val="21"/>
                <w:szCs w:val="21"/>
                <w:lang w:eastAsia="zh-CN"/>
              </w:rPr>
              <w:t>（</w:t>
            </w:r>
            <w:r>
              <w:rPr>
                <w:rFonts w:hint="eastAsia"/>
                <w:color w:val="auto"/>
                <w:sz w:val="21"/>
                <w:szCs w:val="21"/>
                <w:lang w:val="en-US" w:eastAsia="zh-CN"/>
              </w:rPr>
              <w:t>敏感点</w:t>
            </w:r>
            <w:r>
              <w:rPr>
                <w:rFonts w:hint="eastAsia"/>
                <w:color w:val="auto"/>
                <w:sz w:val="21"/>
                <w:szCs w:val="21"/>
                <w:lang w:eastAsia="zh-CN"/>
              </w:rPr>
              <w:t>）</w:t>
            </w:r>
          </w:p>
        </w:tc>
        <w:tc>
          <w:tcPr>
            <w:tcW w:w="1533" w:type="pct"/>
            <w:tcBorders>
              <w:tl2br w:val="nil"/>
              <w:tr2bl w:val="nil"/>
            </w:tcBorders>
            <w:noWrap w:val="0"/>
            <w:vAlign w:val="center"/>
          </w:tcPr>
          <w:p w14:paraId="731A8B86">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60</w:t>
            </w:r>
          </w:p>
        </w:tc>
        <w:tc>
          <w:tcPr>
            <w:tcW w:w="1590" w:type="pct"/>
            <w:tcBorders>
              <w:tl2br w:val="nil"/>
              <w:tr2bl w:val="nil"/>
            </w:tcBorders>
            <w:noWrap w:val="0"/>
            <w:vAlign w:val="center"/>
          </w:tcPr>
          <w:p w14:paraId="3996832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50</w:t>
            </w:r>
          </w:p>
        </w:tc>
      </w:tr>
      <w:tr w14:paraId="7A9824B0">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1876" w:type="pct"/>
            <w:tcBorders>
              <w:tl2br w:val="nil"/>
              <w:tr2bl w:val="nil"/>
            </w:tcBorders>
            <w:noWrap w:val="0"/>
            <w:vAlign w:val="center"/>
          </w:tcPr>
          <w:p w14:paraId="51952301">
            <w:pPr>
              <w:pageBreakBefore w:val="0"/>
              <w:wordWrap/>
              <w:bidi w:val="0"/>
              <w:adjustRightInd/>
              <w:snapToGrid/>
              <w:spacing w:line="240" w:lineRule="auto"/>
              <w:ind w:firstLine="0" w:firstLineChars="0"/>
              <w:jc w:val="center"/>
              <w:rPr>
                <w:rFonts w:hint="default"/>
                <w:color w:val="auto"/>
                <w:sz w:val="21"/>
                <w:szCs w:val="21"/>
                <w:lang w:val="en-US" w:eastAsia="zh-CN"/>
              </w:rPr>
            </w:pPr>
            <w:bookmarkStart w:id="51" w:name="_Toc23476"/>
            <w:r>
              <w:rPr>
                <w:rFonts w:hint="eastAsia"/>
                <w:color w:val="auto"/>
                <w:sz w:val="21"/>
                <w:szCs w:val="21"/>
                <w:lang w:val="en-US" w:eastAsia="zh-CN"/>
              </w:rPr>
              <w:t>3类（厂界）</w:t>
            </w:r>
          </w:p>
        </w:tc>
        <w:tc>
          <w:tcPr>
            <w:tcW w:w="1533" w:type="pct"/>
            <w:tcBorders>
              <w:tl2br w:val="nil"/>
              <w:tr2bl w:val="nil"/>
            </w:tcBorders>
            <w:noWrap w:val="0"/>
            <w:vAlign w:val="center"/>
          </w:tcPr>
          <w:p w14:paraId="2C759145">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65</w:t>
            </w:r>
          </w:p>
        </w:tc>
        <w:tc>
          <w:tcPr>
            <w:tcW w:w="1590" w:type="pct"/>
            <w:tcBorders>
              <w:tl2br w:val="nil"/>
              <w:tr2bl w:val="nil"/>
            </w:tcBorders>
            <w:noWrap w:val="0"/>
            <w:vAlign w:val="center"/>
          </w:tcPr>
          <w:p w14:paraId="0129D8F9">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55</w:t>
            </w:r>
          </w:p>
        </w:tc>
      </w:tr>
      <w:tr w14:paraId="3DF7C60E">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1876" w:type="pct"/>
            <w:tcBorders>
              <w:tl2br w:val="nil"/>
              <w:tr2bl w:val="nil"/>
            </w:tcBorders>
            <w:noWrap w:val="0"/>
            <w:vAlign w:val="center"/>
          </w:tcPr>
          <w:p w14:paraId="69ED776D">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4类（南侧临路侧）</w:t>
            </w:r>
          </w:p>
        </w:tc>
        <w:tc>
          <w:tcPr>
            <w:tcW w:w="1533" w:type="pct"/>
            <w:tcBorders>
              <w:tl2br w:val="nil"/>
              <w:tr2bl w:val="nil"/>
            </w:tcBorders>
            <w:noWrap w:val="0"/>
            <w:vAlign w:val="center"/>
          </w:tcPr>
          <w:p w14:paraId="6CD0A507">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70</w:t>
            </w:r>
          </w:p>
        </w:tc>
        <w:tc>
          <w:tcPr>
            <w:tcW w:w="1590" w:type="pct"/>
            <w:tcBorders>
              <w:tl2br w:val="nil"/>
              <w:tr2bl w:val="nil"/>
            </w:tcBorders>
            <w:noWrap w:val="0"/>
            <w:vAlign w:val="center"/>
          </w:tcPr>
          <w:p w14:paraId="38F0B75A">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55</w:t>
            </w:r>
          </w:p>
        </w:tc>
      </w:tr>
    </w:tbl>
    <w:p w14:paraId="161691DA">
      <w:pPr>
        <w:pageBreakBefore w:val="0"/>
        <w:wordWrap/>
        <w:bidi w:val="0"/>
        <w:adjustRightInd/>
        <w:snapToGrid/>
        <w:spacing w:before="120" w:beforeLines="50"/>
        <w:ind w:firstLine="480"/>
        <w:rPr>
          <w:b/>
          <w:bCs/>
          <w:color w:val="auto"/>
        </w:rPr>
      </w:pPr>
      <w:r>
        <w:rPr>
          <w:b/>
          <w:bCs/>
          <w:color w:val="auto"/>
        </w:rPr>
        <w:t>（4）地下水环境</w:t>
      </w:r>
    </w:p>
    <w:p w14:paraId="28722E1A">
      <w:pPr>
        <w:pageBreakBefore w:val="0"/>
        <w:wordWrap/>
        <w:bidi w:val="0"/>
        <w:adjustRightInd/>
        <w:snapToGrid/>
        <w:ind w:firstLine="480"/>
        <w:rPr>
          <w:color w:val="auto"/>
        </w:rPr>
      </w:pPr>
      <w:r>
        <w:rPr>
          <w:color w:val="auto"/>
        </w:rPr>
        <w:t>项目影响区域内地下水环境质量执行《地下水质量标准》（GB/T14848-2017）Ⅲ类水质标准限值要求。标准限值见</w:t>
      </w:r>
      <w:r>
        <w:rPr>
          <w:rFonts w:hint="eastAsia"/>
          <w:color w:val="auto"/>
          <w:lang w:val="en-US" w:eastAsia="zh-CN"/>
        </w:rPr>
        <w:t>下表</w:t>
      </w:r>
      <w:r>
        <w:rPr>
          <w:color w:val="auto"/>
        </w:rPr>
        <w:t xml:space="preserve">。 </w:t>
      </w:r>
    </w:p>
    <w:p w14:paraId="359F0403">
      <w:pPr>
        <w:pStyle w:val="19"/>
        <w:numPr>
          <w:ilvl w:val="0"/>
          <w:numId w:val="7"/>
        </w:numPr>
        <w:bidi w:val="0"/>
        <w:ind w:left="0" w:leftChars="0" w:firstLine="0" w:firstLineChars="0"/>
        <w:rPr>
          <w:rFonts w:hint="eastAsia"/>
          <w:color w:val="auto"/>
          <w:lang w:eastAsia="zh-CN"/>
        </w:rPr>
      </w:pPr>
      <w:r>
        <w:rPr>
          <w:color w:val="auto"/>
        </w:rPr>
        <w:t>地下水质量标准</w:t>
      </w:r>
      <w:r>
        <w:rPr>
          <w:rFonts w:hint="eastAsia"/>
          <w:color w:val="auto"/>
          <w:lang w:eastAsia="zh-CN"/>
        </w:rPr>
        <w:t>（</w:t>
      </w:r>
      <w:r>
        <w:rPr>
          <w:color w:val="auto"/>
        </w:rPr>
        <w:t>GB/T14848-2017</w:t>
      </w:r>
      <w:r>
        <w:rPr>
          <w:rFonts w:hint="eastAsia"/>
          <w:color w:val="auto"/>
          <w:lang w:eastAsia="zh-CN"/>
        </w:rPr>
        <w:t>）</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2"/>
        <w:gridCol w:w="1851"/>
        <w:gridCol w:w="1286"/>
        <w:gridCol w:w="1279"/>
        <w:gridCol w:w="2984"/>
      </w:tblGrid>
      <w:tr w14:paraId="4B60F1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65C4AF46">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1035" w:type="pct"/>
            <w:tcBorders>
              <w:tl2br w:val="nil"/>
              <w:tr2bl w:val="nil"/>
            </w:tcBorders>
            <w:noWrap w:val="0"/>
            <w:vAlign w:val="center"/>
          </w:tcPr>
          <w:p w14:paraId="259BC98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项目</w:t>
            </w:r>
          </w:p>
        </w:tc>
        <w:tc>
          <w:tcPr>
            <w:tcW w:w="1434" w:type="pct"/>
            <w:gridSpan w:val="2"/>
            <w:tcBorders>
              <w:tl2br w:val="nil"/>
              <w:tr2bl w:val="nil"/>
            </w:tcBorders>
            <w:noWrap w:val="0"/>
            <w:vAlign w:val="center"/>
          </w:tcPr>
          <w:p w14:paraId="62A578F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单位</w:t>
            </w:r>
          </w:p>
        </w:tc>
        <w:tc>
          <w:tcPr>
            <w:tcW w:w="1668" w:type="pct"/>
            <w:tcBorders>
              <w:tl2br w:val="nil"/>
              <w:tr2bl w:val="nil"/>
            </w:tcBorders>
            <w:noWrap w:val="0"/>
            <w:vAlign w:val="center"/>
          </w:tcPr>
          <w:p w14:paraId="0706D7E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Ⅲ类标准限值</w:t>
            </w:r>
          </w:p>
        </w:tc>
      </w:tr>
      <w:tr w14:paraId="149A72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2B0F234C">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1035" w:type="pct"/>
            <w:tcBorders>
              <w:tl2br w:val="nil"/>
              <w:tr2bl w:val="nil"/>
            </w:tcBorders>
            <w:noWrap w:val="0"/>
            <w:vAlign w:val="center"/>
          </w:tcPr>
          <w:p w14:paraId="1A17E237">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pH</w:t>
            </w:r>
          </w:p>
        </w:tc>
        <w:tc>
          <w:tcPr>
            <w:tcW w:w="1434" w:type="pct"/>
            <w:gridSpan w:val="2"/>
            <w:tcBorders>
              <w:tl2br w:val="nil"/>
              <w:tr2bl w:val="nil"/>
            </w:tcBorders>
            <w:noWrap w:val="0"/>
            <w:vAlign w:val="center"/>
          </w:tcPr>
          <w:p w14:paraId="151612A2">
            <w:pPr>
              <w:pageBreakBefore w:val="0"/>
              <w:wordWrap/>
              <w:bidi w:val="0"/>
              <w:adjustRightInd/>
              <w:snapToGrid/>
              <w:spacing w:line="240" w:lineRule="auto"/>
              <w:ind w:firstLine="0" w:firstLineChars="0"/>
              <w:jc w:val="center"/>
              <w:rPr>
                <w:color w:val="auto"/>
                <w:sz w:val="21"/>
                <w:szCs w:val="21"/>
              </w:rPr>
            </w:pPr>
            <w:r>
              <w:rPr>
                <w:color w:val="auto"/>
                <w:sz w:val="21"/>
                <w:szCs w:val="21"/>
              </w:rPr>
              <w:t>无量纲</w:t>
            </w:r>
          </w:p>
        </w:tc>
        <w:tc>
          <w:tcPr>
            <w:tcW w:w="1668" w:type="pct"/>
            <w:tcBorders>
              <w:tl2br w:val="nil"/>
              <w:tr2bl w:val="nil"/>
            </w:tcBorders>
            <w:noWrap w:val="0"/>
            <w:vAlign w:val="center"/>
          </w:tcPr>
          <w:p w14:paraId="542EA8CF">
            <w:pPr>
              <w:pageBreakBefore w:val="0"/>
              <w:wordWrap/>
              <w:bidi w:val="0"/>
              <w:adjustRightInd/>
              <w:snapToGrid/>
              <w:spacing w:line="240" w:lineRule="auto"/>
              <w:ind w:firstLine="0" w:firstLineChars="0"/>
              <w:jc w:val="center"/>
              <w:rPr>
                <w:color w:val="auto"/>
                <w:sz w:val="21"/>
                <w:szCs w:val="21"/>
              </w:rPr>
            </w:pPr>
            <w:r>
              <w:rPr>
                <w:bCs/>
                <w:color w:val="auto"/>
                <w:sz w:val="21"/>
                <w:szCs w:val="21"/>
              </w:rPr>
              <w:t>6.5~8.5</w:t>
            </w:r>
          </w:p>
        </w:tc>
      </w:tr>
      <w:tr w14:paraId="4FE263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0195FA9A">
            <w:pPr>
              <w:pageBreakBefore w:val="0"/>
              <w:wordWrap/>
              <w:bidi w:val="0"/>
              <w:adjustRightInd/>
              <w:snapToGrid/>
              <w:spacing w:line="240" w:lineRule="auto"/>
              <w:ind w:firstLine="0" w:firstLineChars="0"/>
              <w:jc w:val="center"/>
              <w:rPr>
                <w:color w:val="auto"/>
                <w:sz w:val="21"/>
                <w:szCs w:val="21"/>
              </w:rPr>
            </w:pPr>
            <w:r>
              <w:rPr>
                <w:color w:val="auto"/>
                <w:sz w:val="21"/>
                <w:szCs w:val="21"/>
              </w:rPr>
              <w:t>2</w:t>
            </w:r>
          </w:p>
        </w:tc>
        <w:tc>
          <w:tcPr>
            <w:tcW w:w="1035" w:type="pct"/>
            <w:tcBorders>
              <w:tl2br w:val="nil"/>
              <w:tr2bl w:val="nil"/>
            </w:tcBorders>
            <w:noWrap w:val="0"/>
            <w:vAlign w:val="center"/>
          </w:tcPr>
          <w:p w14:paraId="622A9E7D">
            <w:pPr>
              <w:pageBreakBefore w:val="0"/>
              <w:wordWrap/>
              <w:bidi w:val="0"/>
              <w:adjustRightInd/>
              <w:snapToGrid/>
              <w:spacing w:line="240" w:lineRule="auto"/>
              <w:ind w:firstLine="0" w:firstLineChars="0"/>
              <w:jc w:val="center"/>
              <w:rPr>
                <w:bCs/>
                <w:color w:val="auto"/>
                <w:sz w:val="21"/>
                <w:szCs w:val="21"/>
              </w:rPr>
            </w:pPr>
            <w:r>
              <w:rPr>
                <w:color w:val="auto"/>
                <w:sz w:val="21"/>
                <w:szCs w:val="21"/>
              </w:rPr>
              <w:t>总硬度</w:t>
            </w:r>
          </w:p>
        </w:tc>
        <w:tc>
          <w:tcPr>
            <w:tcW w:w="719" w:type="pct"/>
            <w:tcBorders>
              <w:tl2br w:val="nil"/>
              <w:tr2bl w:val="nil"/>
            </w:tcBorders>
            <w:noWrap w:val="0"/>
            <w:vAlign w:val="center"/>
          </w:tcPr>
          <w:p w14:paraId="742A9A62">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2290CA8B">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22D3FDD9">
            <w:pPr>
              <w:pageBreakBefore w:val="0"/>
              <w:wordWrap/>
              <w:bidi w:val="0"/>
              <w:adjustRightInd/>
              <w:snapToGrid/>
              <w:spacing w:line="240" w:lineRule="auto"/>
              <w:ind w:firstLine="0" w:firstLineChars="0"/>
              <w:jc w:val="center"/>
              <w:rPr>
                <w:color w:val="auto"/>
                <w:sz w:val="21"/>
                <w:szCs w:val="21"/>
              </w:rPr>
            </w:pPr>
            <w:r>
              <w:rPr>
                <w:bCs/>
                <w:color w:val="auto"/>
                <w:sz w:val="21"/>
                <w:szCs w:val="21"/>
              </w:rPr>
              <w:t>450</w:t>
            </w:r>
          </w:p>
        </w:tc>
      </w:tr>
      <w:tr w14:paraId="59775F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6EBE8649">
            <w:pPr>
              <w:pageBreakBefore w:val="0"/>
              <w:wordWrap/>
              <w:bidi w:val="0"/>
              <w:adjustRightInd/>
              <w:snapToGrid/>
              <w:spacing w:line="240" w:lineRule="auto"/>
              <w:ind w:firstLine="0" w:firstLineChars="0"/>
              <w:jc w:val="center"/>
              <w:rPr>
                <w:color w:val="auto"/>
                <w:sz w:val="21"/>
                <w:szCs w:val="21"/>
              </w:rPr>
            </w:pPr>
            <w:r>
              <w:rPr>
                <w:color w:val="auto"/>
                <w:sz w:val="21"/>
                <w:szCs w:val="21"/>
              </w:rPr>
              <w:t>3</w:t>
            </w:r>
          </w:p>
        </w:tc>
        <w:tc>
          <w:tcPr>
            <w:tcW w:w="1035" w:type="pct"/>
            <w:tcBorders>
              <w:tl2br w:val="nil"/>
              <w:tr2bl w:val="nil"/>
            </w:tcBorders>
            <w:noWrap w:val="0"/>
            <w:vAlign w:val="center"/>
          </w:tcPr>
          <w:p w14:paraId="6BCB9B8E">
            <w:pPr>
              <w:pageBreakBefore w:val="0"/>
              <w:wordWrap/>
              <w:bidi w:val="0"/>
              <w:adjustRightInd/>
              <w:snapToGrid/>
              <w:spacing w:line="240" w:lineRule="auto"/>
              <w:ind w:firstLine="0" w:firstLineChars="0"/>
              <w:jc w:val="center"/>
              <w:rPr>
                <w:bCs/>
                <w:color w:val="auto"/>
                <w:sz w:val="21"/>
                <w:szCs w:val="21"/>
              </w:rPr>
            </w:pPr>
            <w:r>
              <w:rPr>
                <w:color w:val="auto"/>
                <w:sz w:val="21"/>
                <w:szCs w:val="21"/>
              </w:rPr>
              <w:t>溶解性总固体</w:t>
            </w:r>
          </w:p>
        </w:tc>
        <w:tc>
          <w:tcPr>
            <w:tcW w:w="719" w:type="pct"/>
            <w:tcBorders>
              <w:tl2br w:val="nil"/>
              <w:tr2bl w:val="nil"/>
            </w:tcBorders>
            <w:noWrap w:val="0"/>
            <w:vAlign w:val="center"/>
          </w:tcPr>
          <w:p w14:paraId="66C89460">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54BBF6E6">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588F0549">
            <w:pPr>
              <w:pageBreakBefore w:val="0"/>
              <w:wordWrap/>
              <w:bidi w:val="0"/>
              <w:adjustRightInd/>
              <w:snapToGrid/>
              <w:spacing w:line="240" w:lineRule="auto"/>
              <w:ind w:firstLine="0" w:firstLineChars="0"/>
              <w:jc w:val="center"/>
              <w:rPr>
                <w:color w:val="auto"/>
                <w:sz w:val="21"/>
                <w:szCs w:val="21"/>
              </w:rPr>
            </w:pPr>
            <w:r>
              <w:rPr>
                <w:bCs/>
                <w:color w:val="auto"/>
                <w:sz w:val="21"/>
                <w:szCs w:val="21"/>
              </w:rPr>
              <w:t>1000</w:t>
            </w:r>
          </w:p>
        </w:tc>
      </w:tr>
      <w:tr w14:paraId="69F800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65659D0C">
            <w:pPr>
              <w:pageBreakBefore w:val="0"/>
              <w:wordWrap/>
              <w:bidi w:val="0"/>
              <w:adjustRightInd/>
              <w:snapToGrid/>
              <w:spacing w:line="240" w:lineRule="auto"/>
              <w:ind w:firstLine="0" w:firstLineChars="0"/>
              <w:jc w:val="center"/>
              <w:rPr>
                <w:color w:val="auto"/>
                <w:sz w:val="21"/>
                <w:szCs w:val="21"/>
              </w:rPr>
            </w:pPr>
            <w:r>
              <w:rPr>
                <w:color w:val="auto"/>
                <w:sz w:val="21"/>
                <w:szCs w:val="21"/>
              </w:rPr>
              <w:t>4</w:t>
            </w:r>
          </w:p>
        </w:tc>
        <w:tc>
          <w:tcPr>
            <w:tcW w:w="1035" w:type="pct"/>
            <w:tcBorders>
              <w:tl2br w:val="nil"/>
              <w:tr2bl w:val="nil"/>
            </w:tcBorders>
            <w:noWrap w:val="0"/>
            <w:vAlign w:val="center"/>
          </w:tcPr>
          <w:p w14:paraId="12061A74">
            <w:pPr>
              <w:pageBreakBefore w:val="0"/>
              <w:wordWrap/>
              <w:bidi w:val="0"/>
              <w:adjustRightInd/>
              <w:snapToGrid/>
              <w:spacing w:line="240" w:lineRule="auto"/>
              <w:ind w:firstLine="0" w:firstLineChars="0"/>
              <w:jc w:val="center"/>
              <w:rPr>
                <w:bCs/>
                <w:color w:val="auto"/>
                <w:sz w:val="21"/>
                <w:szCs w:val="21"/>
              </w:rPr>
            </w:pPr>
            <w:r>
              <w:rPr>
                <w:color w:val="auto"/>
                <w:sz w:val="21"/>
                <w:szCs w:val="21"/>
              </w:rPr>
              <w:t>氨氮</w:t>
            </w:r>
          </w:p>
        </w:tc>
        <w:tc>
          <w:tcPr>
            <w:tcW w:w="719" w:type="pct"/>
            <w:tcBorders>
              <w:tl2br w:val="nil"/>
              <w:tr2bl w:val="nil"/>
            </w:tcBorders>
            <w:noWrap w:val="0"/>
            <w:vAlign w:val="center"/>
          </w:tcPr>
          <w:p w14:paraId="0C8C1337">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0A19742E">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5CBDFF6F">
            <w:pPr>
              <w:pageBreakBefore w:val="0"/>
              <w:wordWrap/>
              <w:bidi w:val="0"/>
              <w:adjustRightInd/>
              <w:snapToGrid/>
              <w:spacing w:line="240" w:lineRule="auto"/>
              <w:ind w:firstLine="0" w:firstLineChars="0"/>
              <w:jc w:val="center"/>
              <w:rPr>
                <w:color w:val="auto"/>
                <w:sz w:val="21"/>
                <w:szCs w:val="21"/>
              </w:rPr>
            </w:pPr>
            <w:r>
              <w:rPr>
                <w:bCs/>
                <w:color w:val="auto"/>
                <w:sz w:val="21"/>
                <w:szCs w:val="21"/>
              </w:rPr>
              <w:t>0.50</w:t>
            </w:r>
          </w:p>
        </w:tc>
      </w:tr>
      <w:tr w14:paraId="43E9EF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7CDE06E4">
            <w:pPr>
              <w:pageBreakBefore w:val="0"/>
              <w:wordWrap/>
              <w:bidi w:val="0"/>
              <w:adjustRightInd/>
              <w:snapToGrid/>
              <w:spacing w:line="240" w:lineRule="auto"/>
              <w:ind w:firstLine="0" w:firstLineChars="0"/>
              <w:jc w:val="center"/>
              <w:rPr>
                <w:color w:val="auto"/>
                <w:sz w:val="21"/>
                <w:szCs w:val="21"/>
              </w:rPr>
            </w:pPr>
            <w:r>
              <w:rPr>
                <w:color w:val="auto"/>
                <w:sz w:val="21"/>
                <w:szCs w:val="21"/>
              </w:rPr>
              <w:t>5</w:t>
            </w:r>
          </w:p>
        </w:tc>
        <w:tc>
          <w:tcPr>
            <w:tcW w:w="1035" w:type="pct"/>
            <w:tcBorders>
              <w:tl2br w:val="nil"/>
              <w:tr2bl w:val="nil"/>
            </w:tcBorders>
            <w:noWrap w:val="0"/>
            <w:vAlign w:val="center"/>
          </w:tcPr>
          <w:p w14:paraId="211779D1">
            <w:pPr>
              <w:pageBreakBefore w:val="0"/>
              <w:wordWrap/>
              <w:bidi w:val="0"/>
              <w:adjustRightInd/>
              <w:snapToGrid/>
              <w:spacing w:line="240" w:lineRule="auto"/>
              <w:ind w:firstLine="0" w:firstLineChars="0"/>
              <w:jc w:val="center"/>
              <w:rPr>
                <w:bCs/>
                <w:color w:val="auto"/>
                <w:sz w:val="21"/>
                <w:szCs w:val="21"/>
              </w:rPr>
            </w:pPr>
            <w:r>
              <w:rPr>
                <w:color w:val="auto"/>
                <w:sz w:val="21"/>
                <w:szCs w:val="21"/>
              </w:rPr>
              <w:t>耗氧量</w:t>
            </w:r>
          </w:p>
        </w:tc>
        <w:tc>
          <w:tcPr>
            <w:tcW w:w="719" w:type="pct"/>
            <w:tcBorders>
              <w:tl2br w:val="nil"/>
              <w:tr2bl w:val="nil"/>
            </w:tcBorders>
            <w:noWrap w:val="0"/>
            <w:vAlign w:val="center"/>
          </w:tcPr>
          <w:p w14:paraId="08026B3B">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6BAC0266">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10C4D301">
            <w:pPr>
              <w:pageBreakBefore w:val="0"/>
              <w:wordWrap/>
              <w:bidi w:val="0"/>
              <w:adjustRightInd/>
              <w:snapToGrid/>
              <w:spacing w:line="240" w:lineRule="auto"/>
              <w:ind w:firstLine="0" w:firstLineChars="0"/>
              <w:jc w:val="center"/>
              <w:rPr>
                <w:color w:val="auto"/>
                <w:sz w:val="21"/>
                <w:szCs w:val="21"/>
              </w:rPr>
            </w:pPr>
            <w:r>
              <w:rPr>
                <w:bCs/>
                <w:color w:val="auto"/>
                <w:sz w:val="21"/>
                <w:szCs w:val="21"/>
              </w:rPr>
              <w:t>3.0</w:t>
            </w:r>
          </w:p>
        </w:tc>
      </w:tr>
      <w:tr w14:paraId="62EFCD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46F7073A">
            <w:pPr>
              <w:pageBreakBefore w:val="0"/>
              <w:wordWrap/>
              <w:bidi w:val="0"/>
              <w:adjustRightInd/>
              <w:snapToGrid/>
              <w:spacing w:line="240" w:lineRule="auto"/>
              <w:ind w:firstLine="0" w:firstLineChars="0"/>
              <w:jc w:val="center"/>
              <w:rPr>
                <w:color w:val="auto"/>
                <w:sz w:val="21"/>
                <w:szCs w:val="21"/>
              </w:rPr>
            </w:pPr>
            <w:r>
              <w:rPr>
                <w:color w:val="auto"/>
                <w:sz w:val="21"/>
                <w:szCs w:val="21"/>
              </w:rPr>
              <w:t>6</w:t>
            </w:r>
          </w:p>
        </w:tc>
        <w:tc>
          <w:tcPr>
            <w:tcW w:w="1035" w:type="pct"/>
            <w:tcBorders>
              <w:tl2br w:val="nil"/>
              <w:tr2bl w:val="nil"/>
            </w:tcBorders>
            <w:noWrap w:val="0"/>
            <w:vAlign w:val="center"/>
          </w:tcPr>
          <w:p w14:paraId="7680ED4F">
            <w:pPr>
              <w:pageBreakBefore w:val="0"/>
              <w:wordWrap/>
              <w:bidi w:val="0"/>
              <w:adjustRightInd/>
              <w:snapToGrid/>
              <w:spacing w:line="240" w:lineRule="auto"/>
              <w:ind w:firstLine="0" w:firstLineChars="0"/>
              <w:jc w:val="center"/>
              <w:rPr>
                <w:color w:val="auto"/>
                <w:sz w:val="21"/>
                <w:szCs w:val="21"/>
              </w:rPr>
            </w:pPr>
            <w:r>
              <w:rPr>
                <w:color w:val="auto"/>
                <w:sz w:val="21"/>
                <w:szCs w:val="21"/>
              </w:rPr>
              <w:t>六价铬</w:t>
            </w:r>
          </w:p>
        </w:tc>
        <w:tc>
          <w:tcPr>
            <w:tcW w:w="719" w:type="pct"/>
            <w:tcBorders>
              <w:tl2br w:val="nil"/>
              <w:tr2bl w:val="nil"/>
            </w:tcBorders>
            <w:noWrap w:val="0"/>
            <w:vAlign w:val="center"/>
          </w:tcPr>
          <w:p w14:paraId="407DE789">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0E8AA2CF">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13DD76AB">
            <w:pPr>
              <w:pageBreakBefore w:val="0"/>
              <w:wordWrap/>
              <w:bidi w:val="0"/>
              <w:adjustRightInd/>
              <w:snapToGrid/>
              <w:spacing w:line="240" w:lineRule="auto"/>
              <w:ind w:firstLine="0" w:firstLineChars="0"/>
              <w:jc w:val="center"/>
              <w:rPr>
                <w:color w:val="auto"/>
                <w:sz w:val="21"/>
                <w:szCs w:val="21"/>
              </w:rPr>
            </w:pPr>
            <w:r>
              <w:rPr>
                <w:bCs/>
                <w:color w:val="auto"/>
                <w:sz w:val="21"/>
                <w:szCs w:val="21"/>
              </w:rPr>
              <w:t>0.05</w:t>
            </w:r>
          </w:p>
        </w:tc>
      </w:tr>
      <w:tr w14:paraId="17EC3B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1756ACA4">
            <w:pPr>
              <w:pageBreakBefore w:val="0"/>
              <w:wordWrap/>
              <w:bidi w:val="0"/>
              <w:adjustRightInd/>
              <w:snapToGrid/>
              <w:spacing w:line="240" w:lineRule="auto"/>
              <w:ind w:firstLine="0" w:firstLineChars="0"/>
              <w:jc w:val="center"/>
              <w:rPr>
                <w:color w:val="auto"/>
                <w:sz w:val="21"/>
                <w:szCs w:val="21"/>
              </w:rPr>
            </w:pPr>
            <w:r>
              <w:rPr>
                <w:color w:val="auto"/>
                <w:sz w:val="21"/>
                <w:szCs w:val="21"/>
              </w:rPr>
              <w:t>7</w:t>
            </w:r>
          </w:p>
        </w:tc>
        <w:tc>
          <w:tcPr>
            <w:tcW w:w="1035" w:type="pct"/>
            <w:tcBorders>
              <w:tl2br w:val="nil"/>
              <w:tr2bl w:val="nil"/>
            </w:tcBorders>
            <w:noWrap w:val="0"/>
            <w:vAlign w:val="center"/>
          </w:tcPr>
          <w:p w14:paraId="3C814CD4">
            <w:pPr>
              <w:pageBreakBefore w:val="0"/>
              <w:wordWrap/>
              <w:bidi w:val="0"/>
              <w:adjustRightInd/>
              <w:snapToGrid/>
              <w:spacing w:line="240" w:lineRule="auto"/>
              <w:ind w:firstLine="0" w:firstLineChars="0"/>
              <w:jc w:val="center"/>
              <w:rPr>
                <w:color w:val="auto"/>
                <w:sz w:val="21"/>
                <w:szCs w:val="21"/>
              </w:rPr>
            </w:pPr>
            <w:r>
              <w:rPr>
                <w:color w:val="auto"/>
                <w:sz w:val="21"/>
                <w:szCs w:val="21"/>
              </w:rPr>
              <w:t>挥发酚</w:t>
            </w:r>
          </w:p>
        </w:tc>
        <w:tc>
          <w:tcPr>
            <w:tcW w:w="719" w:type="pct"/>
            <w:tcBorders>
              <w:tl2br w:val="nil"/>
              <w:tr2bl w:val="nil"/>
            </w:tcBorders>
            <w:noWrap w:val="0"/>
            <w:vAlign w:val="center"/>
          </w:tcPr>
          <w:p w14:paraId="54A354C7">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0C120EB4">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39C3DD98">
            <w:pPr>
              <w:pageBreakBefore w:val="0"/>
              <w:wordWrap/>
              <w:bidi w:val="0"/>
              <w:adjustRightInd/>
              <w:snapToGrid/>
              <w:spacing w:line="240" w:lineRule="auto"/>
              <w:ind w:firstLine="0" w:firstLineChars="0"/>
              <w:jc w:val="center"/>
              <w:rPr>
                <w:color w:val="auto"/>
                <w:sz w:val="21"/>
                <w:szCs w:val="21"/>
              </w:rPr>
            </w:pPr>
            <w:r>
              <w:rPr>
                <w:bCs/>
                <w:color w:val="auto"/>
                <w:sz w:val="21"/>
                <w:szCs w:val="21"/>
              </w:rPr>
              <w:t>0.002</w:t>
            </w:r>
          </w:p>
        </w:tc>
      </w:tr>
      <w:tr w14:paraId="4B8808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3BF2D07B">
            <w:pPr>
              <w:pageBreakBefore w:val="0"/>
              <w:wordWrap/>
              <w:bidi w:val="0"/>
              <w:adjustRightInd/>
              <w:snapToGrid/>
              <w:spacing w:line="240" w:lineRule="auto"/>
              <w:ind w:firstLine="0" w:firstLineChars="0"/>
              <w:jc w:val="center"/>
              <w:rPr>
                <w:color w:val="auto"/>
                <w:sz w:val="21"/>
                <w:szCs w:val="21"/>
              </w:rPr>
            </w:pPr>
            <w:r>
              <w:rPr>
                <w:color w:val="auto"/>
                <w:sz w:val="21"/>
                <w:szCs w:val="21"/>
              </w:rPr>
              <w:t>8</w:t>
            </w:r>
          </w:p>
        </w:tc>
        <w:tc>
          <w:tcPr>
            <w:tcW w:w="1035" w:type="pct"/>
            <w:tcBorders>
              <w:tl2br w:val="nil"/>
              <w:tr2bl w:val="nil"/>
            </w:tcBorders>
            <w:noWrap w:val="0"/>
            <w:vAlign w:val="center"/>
          </w:tcPr>
          <w:p w14:paraId="5E03E734">
            <w:pPr>
              <w:pageBreakBefore w:val="0"/>
              <w:wordWrap/>
              <w:bidi w:val="0"/>
              <w:adjustRightInd/>
              <w:snapToGrid/>
              <w:spacing w:line="240" w:lineRule="auto"/>
              <w:ind w:firstLine="0" w:firstLineChars="0"/>
              <w:jc w:val="center"/>
              <w:rPr>
                <w:color w:val="auto"/>
                <w:sz w:val="21"/>
                <w:szCs w:val="21"/>
              </w:rPr>
            </w:pPr>
            <w:r>
              <w:rPr>
                <w:color w:val="auto"/>
                <w:sz w:val="21"/>
                <w:szCs w:val="21"/>
              </w:rPr>
              <w:t>氟化物</w:t>
            </w:r>
          </w:p>
        </w:tc>
        <w:tc>
          <w:tcPr>
            <w:tcW w:w="719" w:type="pct"/>
            <w:tcBorders>
              <w:tl2br w:val="nil"/>
              <w:tr2bl w:val="nil"/>
            </w:tcBorders>
            <w:noWrap w:val="0"/>
            <w:vAlign w:val="center"/>
          </w:tcPr>
          <w:p w14:paraId="4C450687">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31207D7C">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6D2DA88B">
            <w:pPr>
              <w:pageBreakBefore w:val="0"/>
              <w:wordWrap/>
              <w:bidi w:val="0"/>
              <w:adjustRightInd/>
              <w:snapToGrid/>
              <w:spacing w:line="240" w:lineRule="auto"/>
              <w:ind w:firstLine="0" w:firstLineChars="0"/>
              <w:jc w:val="center"/>
              <w:rPr>
                <w:color w:val="auto"/>
                <w:sz w:val="21"/>
                <w:szCs w:val="21"/>
              </w:rPr>
            </w:pPr>
            <w:r>
              <w:rPr>
                <w:bCs/>
                <w:color w:val="auto"/>
                <w:sz w:val="21"/>
                <w:szCs w:val="21"/>
              </w:rPr>
              <w:t>1.0</w:t>
            </w:r>
          </w:p>
        </w:tc>
      </w:tr>
      <w:tr w14:paraId="24C733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72C16094">
            <w:pPr>
              <w:pageBreakBefore w:val="0"/>
              <w:wordWrap/>
              <w:bidi w:val="0"/>
              <w:adjustRightInd/>
              <w:snapToGrid/>
              <w:spacing w:line="240" w:lineRule="auto"/>
              <w:ind w:firstLine="0" w:firstLineChars="0"/>
              <w:jc w:val="center"/>
              <w:rPr>
                <w:color w:val="auto"/>
                <w:sz w:val="21"/>
                <w:szCs w:val="21"/>
              </w:rPr>
            </w:pPr>
            <w:r>
              <w:rPr>
                <w:color w:val="auto"/>
                <w:sz w:val="21"/>
                <w:szCs w:val="21"/>
              </w:rPr>
              <w:t>9</w:t>
            </w:r>
          </w:p>
        </w:tc>
        <w:tc>
          <w:tcPr>
            <w:tcW w:w="1035" w:type="pct"/>
            <w:tcBorders>
              <w:tl2br w:val="nil"/>
              <w:tr2bl w:val="nil"/>
            </w:tcBorders>
            <w:noWrap w:val="0"/>
            <w:vAlign w:val="center"/>
          </w:tcPr>
          <w:p w14:paraId="487BD1F4">
            <w:pPr>
              <w:pageBreakBefore w:val="0"/>
              <w:wordWrap/>
              <w:bidi w:val="0"/>
              <w:adjustRightInd/>
              <w:snapToGrid/>
              <w:spacing w:line="240" w:lineRule="auto"/>
              <w:ind w:firstLine="0" w:firstLineChars="0"/>
              <w:jc w:val="center"/>
              <w:rPr>
                <w:color w:val="auto"/>
                <w:sz w:val="21"/>
                <w:szCs w:val="21"/>
              </w:rPr>
            </w:pPr>
            <w:r>
              <w:rPr>
                <w:color w:val="auto"/>
                <w:sz w:val="21"/>
                <w:szCs w:val="21"/>
              </w:rPr>
              <w:t>氯化物</w:t>
            </w:r>
          </w:p>
        </w:tc>
        <w:tc>
          <w:tcPr>
            <w:tcW w:w="719" w:type="pct"/>
            <w:tcBorders>
              <w:tl2br w:val="nil"/>
              <w:tr2bl w:val="nil"/>
            </w:tcBorders>
            <w:noWrap w:val="0"/>
            <w:vAlign w:val="center"/>
          </w:tcPr>
          <w:p w14:paraId="5E7EA135">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43610EA4">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126FF059">
            <w:pPr>
              <w:pageBreakBefore w:val="0"/>
              <w:wordWrap/>
              <w:bidi w:val="0"/>
              <w:adjustRightInd/>
              <w:snapToGrid/>
              <w:spacing w:line="240" w:lineRule="auto"/>
              <w:ind w:firstLine="0" w:firstLineChars="0"/>
              <w:jc w:val="center"/>
              <w:rPr>
                <w:color w:val="auto"/>
                <w:sz w:val="21"/>
                <w:szCs w:val="21"/>
              </w:rPr>
            </w:pPr>
            <w:r>
              <w:rPr>
                <w:bCs/>
                <w:color w:val="auto"/>
                <w:sz w:val="21"/>
                <w:szCs w:val="21"/>
              </w:rPr>
              <w:t>250</w:t>
            </w:r>
          </w:p>
        </w:tc>
      </w:tr>
      <w:tr w14:paraId="325B2D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11BDA174">
            <w:pPr>
              <w:pageBreakBefore w:val="0"/>
              <w:wordWrap/>
              <w:bidi w:val="0"/>
              <w:adjustRightInd/>
              <w:snapToGrid/>
              <w:spacing w:line="240" w:lineRule="auto"/>
              <w:ind w:firstLine="0" w:firstLineChars="0"/>
              <w:jc w:val="center"/>
              <w:rPr>
                <w:color w:val="auto"/>
                <w:sz w:val="21"/>
                <w:szCs w:val="21"/>
              </w:rPr>
            </w:pPr>
            <w:r>
              <w:rPr>
                <w:color w:val="auto"/>
                <w:sz w:val="21"/>
                <w:szCs w:val="21"/>
              </w:rPr>
              <w:t>10</w:t>
            </w:r>
          </w:p>
        </w:tc>
        <w:tc>
          <w:tcPr>
            <w:tcW w:w="1035" w:type="pct"/>
            <w:tcBorders>
              <w:tl2br w:val="nil"/>
              <w:tr2bl w:val="nil"/>
            </w:tcBorders>
            <w:noWrap w:val="0"/>
            <w:vAlign w:val="center"/>
          </w:tcPr>
          <w:p w14:paraId="5DDE96A6">
            <w:pPr>
              <w:pageBreakBefore w:val="0"/>
              <w:wordWrap/>
              <w:bidi w:val="0"/>
              <w:adjustRightInd/>
              <w:snapToGrid/>
              <w:spacing w:line="240" w:lineRule="auto"/>
              <w:ind w:firstLine="0" w:firstLineChars="0"/>
              <w:jc w:val="center"/>
              <w:rPr>
                <w:color w:val="auto"/>
                <w:sz w:val="21"/>
                <w:szCs w:val="21"/>
              </w:rPr>
            </w:pPr>
            <w:r>
              <w:rPr>
                <w:color w:val="auto"/>
                <w:sz w:val="21"/>
                <w:szCs w:val="21"/>
              </w:rPr>
              <w:t>硝酸盐</w:t>
            </w:r>
          </w:p>
        </w:tc>
        <w:tc>
          <w:tcPr>
            <w:tcW w:w="719" w:type="pct"/>
            <w:tcBorders>
              <w:tl2br w:val="nil"/>
              <w:tr2bl w:val="nil"/>
            </w:tcBorders>
            <w:noWrap w:val="0"/>
            <w:vAlign w:val="center"/>
          </w:tcPr>
          <w:p w14:paraId="26D57764">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6A03C0EC">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409F767B">
            <w:pPr>
              <w:pageBreakBefore w:val="0"/>
              <w:wordWrap/>
              <w:bidi w:val="0"/>
              <w:adjustRightInd/>
              <w:snapToGrid/>
              <w:spacing w:line="240" w:lineRule="auto"/>
              <w:ind w:firstLine="0" w:firstLineChars="0"/>
              <w:jc w:val="center"/>
              <w:rPr>
                <w:color w:val="auto"/>
                <w:sz w:val="21"/>
                <w:szCs w:val="21"/>
              </w:rPr>
            </w:pPr>
            <w:r>
              <w:rPr>
                <w:bCs/>
                <w:color w:val="auto"/>
                <w:sz w:val="21"/>
                <w:szCs w:val="21"/>
              </w:rPr>
              <w:t>20.0</w:t>
            </w:r>
          </w:p>
        </w:tc>
      </w:tr>
      <w:tr w14:paraId="156368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569F00D2">
            <w:pPr>
              <w:pageBreakBefore w:val="0"/>
              <w:wordWrap/>
              <w:bidi w:val="0"/>
              <w:adjustRightInd/>
              <w:snapToGrid/>
              <w:spacing w:line="240" w:lineRule="auto"/>
              <w:ind w:firstLine="0" w:firstLineChars="0"/>
              <w:jc w:val="center"/>
              <w:rPr>
                <w:color w:val="auto"/>
                <w:sz w:val="21"/>
                <w:szCs w:val="21"/>
              </w:rPr>
            </w:pPr>
            <w:r>
              <w:rPr>
                <w:color w:val="auto"/>
                <w:sz w:val="21"/>
                <w:szCs w:val="21"/>
              </w:rPr>
              <w:t>11</w:t>
            </w:r>
          </w:p>
        </w:tc>
        <w:tc>
          <w:tcPr>
            <w:tcW w:w="1035" w:type="pct"/>
            <w:tcBorders>
              <w:tl2br w:val="nil"/>
              <w:tr2bl w:val="nil"/>
            </w:tcBorders>
            <w:noWrap w:val="0"/>
            <w:vAlign w:val="center"/>
          </w:tcPr>
          <w:p w14:paraId="4DCD16D4">
            <w:pPr>
              <w:pageBreakBefore w:val="0"/>
              <w:wordWrap/>
              <w:bidi w:val="0"/>
              <w:adjustRightInd/>
              <w:snapToGrid/>
              <w:spacing w:line="240" w:lineRule="auto"/>
              <w:ind w:firstLine="0" w:firstLineChars="0"/>
              <w:jc w:val="center"/>
              <w:rPr>
                <w:color w:val="auto"/>
                <w:sz w:val="21"/>
                <w:szCs w:val="21"/>
              </w:rPr>
            </w:pPr>
            <w:r>
              <w:rPr>
                <w:color w:val="auto"/>
                <w:sz w:val="21"/>
                <w:szCs w:val="21"/>
              </w:rPr>
              <w:t>亚硝酸盐</w:t>
            </w:r>
          </w:p>
        </w:tc>
        <w:tc>
          <w:tcPr>
            <w:tcW w:w="719" w:type="pct"/>
            <w:tcBorders>
              <w:tl2br w:val="nil"/>
              <w:tr2bl w:val="nil"/>
            </w:tcBorders>
            <w:noWrap w:val="0"/>
            <w:vAlign w:val="center"/>
          </w:tcPr>
          <w:p w14:paraId="45016272">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4A2659C0">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4BA5B26F">
            <w:pPr>
              <w:pageBreakBefore w:val="0"/>
              <w:wordWrap/>
              <w:bidi w:val="0"/>
              <w:adjustRightInd/>
              <w:snapToGrid/>
              <w:spacing w:line="240" w:lineRule="auto"/>
              <w:ind w:firstLine="0" w:firstLineChars="0"/>
              <w:jc w:val="center"/>
              <w:rPr>
                <w:color w:val="auto"/>
                <w:sz w:val="21"/>
                <w:szCs w:val="21"/>
              </w:rPr>
            </w:pPr>
            <w:r>
              <w:rPr>
                <w:bCs/>
                <w:color w:val="auto"/>
                <w:sz w:val="21"/>
                <w:szCs w:val="21"/>
              </w:rPr>
              <w:t>1.00</w:t>
            </w:r>
          </w:p>
        </w:tc>
      </w:tr>
      <w:tr w14:paraId="2AD2F9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7AEA4516">
            <w:pPr>
              <w:pageBreakBefore w:val="0"/>
              <w:wordWrap/>
              <w:bidi w:val="0"/>
              <w:adjustRightInd/>
              <w:snapToGrid/>
              <w:spacing w:line="240" w:lineRule="auto"/>
              <w:ind w:firstLine="0" w:firstLineChars="0"/>
              <w:jc w:val="center"/>
              <w:rPr>
                <w:color w:val="auto"/>
                <w:sz w:val="21"/>
                <w:szCs w:val="21"/>
              </w:rPr>
            </w:pPr>
            <w:r>
              <w:rPr>
                <w:color w:val="auto"/>
                <w:sz w:val="21"/>
                <w:szCs w:val="21"/>
              </w:rPr>
              <w:t>12</w:t>
            </w:r>
          </w:p>
        </w:tc>
        <w:tc>
          <w:tcPr>
            <w:tcW w:w="1035" w:type="pct"/>
            <w:tcBorders>
              <w:tl2br w:val="nil"/>
              <w:tr2bl w:val="nil"/>
            </w:tcBorders>
            <w:noWrap w:val="0"/>
            <w:vAlign w:val="center"/>
          </w:tcPr>
          <w:p w14:paraId="095F835A">
            <w:pPr>
              <w:pageBreakBefore w:val="0"/>
              <w:wordWrap/>
              <w:bidi w:val="0"/>
              <w:adjustRightInd/>
              <w:snapToGrid/>
              <w:spacing w:line="240" w:lineRule="auto"/>
              <w:ind w:firstLine="0" w:firstLineChars="0"/>
              <w:jc w:val="center"/>
              <w:rPr>
                <w:color w:val="auto"/>
                <w:sz w:val="21"/>
                <w:szCs w:val="21"/>
              </w:rPr>
            </w:pPr>
            <w:r>
              <w:rPr>
                <w:color w:val="auto"/>
                <w:sz w:val="21"/>
                <w:szCs w:val="21"/>
              </w:rPr>
              <w:t>硫酸盐</w:t>
            </w:r>
          </w:p>
        </w:tc>
        <w:tc>
          <w:tcPr>
            <w:tcW w:w="719" w:type="pct"/>
            <w:tcBorders>
              <w:tl2br w:val="nil"/>
              <w:tr2bl w:val="nil"/>
            </w:tcBorders>
            <w:noWrap w:val="0"/>
            <w:vAlign w:val="center"/>
          </w:tcPr>
          <w:p w14:paraId="09D4EA1E">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26BE81DA">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16C0223E">
            <w:pPr>
              <w:pageBreakBefore w:val="0"/>
              <w:wordWrap/>
              <w:bidi w:val="0"/>
              <w:adjustRightInd/>
              <w:snapToGrid/>
              <w:spacing w:line="240" w:lineRule="auto"/>
              <w:ind w:firstLine="0" w:firstLineChars="0"/>
              <w:jc w:val="center"/>
              <w:rPr>
                <w:color w:val="auto"/>
                <w:sz w:val="21"/>
                <w:szCs w:val="21"/>
              </w:rPr>
            </w:pPr>
            <w:r>
              <w:rPr>
                <w:bCs/>
                <w:color w:val="auto"/>
                <w:sz w:val="21"/>
                <w:szCs w:val="21"/>
              </w:rPr>
              <w:t>250</w:t>
            </w:r>
          </w:p>
        </w:tc>
      </w:tr>
      <w:tr w14:paraId="24AFB4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0231EC87">
            <w:pPr>
              <w:pageBreakBefore w:val="0"/>
              <w:wordWrap/>
              <w:bidi w:val="0"/>
              <w:adjustRightInd/>
              <w:snapToGrid/>
              <w:spacing w:line="240" w:lineRule="auto"/>
              <w:ind w:firstLine="0" w:firstLineChars="0"/>
              <w:jc w:val="center"/>
              <w:rPr>
                <w:color w:val="auto"/>
                <w:sz w:val="21"/>
                <w:szCs w:val="21"/>
              </w:rPr>
            </w:pPr>
            <w:r>
              <w:rPr>
                <w:color w:val="auto"/>
                <w:sz w:val="21"/>
                <w:szCs w:val="21"/>
              </w:rPr>
              <w:t>13</w:t>
            </w:r>
          </w:p>
        </w:tc>
        <w:tc>
          <w:tcPr>
            <w:tcW w:w="1035" w:type="pct"/>
            <w:tcBorders>
              <w:tl2br w:val="nil"/>
              <w:tr2bl w:val="nil"/>
            </w:tcBorders>
            <w:noWrap w:val="0"/>
            <w:vAlign w:val="center"/>
          </w:tcPr>
          <w:p w14:paraId="717F3E8C">
            <w:pPr>
              <w:pageBreakBefore w:val="0"/>
              <w:wordWrap/>
              <w:bidi w:val="0"/>
              <w:adjustRightInd/>
              <w:snapToGrid/>
              <w:spacing w:line="240" w:lineRule="auto"/>
              <w:ind w:firstLine="0" w:firstLineChars="0"/>
              <w:jc w:val="center"/>
              <w:rPr>
                <w:color w:val="auto"/>
                <w:sz w:val="21"/>
                <w:szCs w:val="21"/>
              </w:rPr>
            </w:pPr>
            <w:r>
              <w:rPr>
                <w:color w:val="auto"/>
                <w:sz w:val="21"/>
                <w:szCs w:val="21"/>
              </w:rPr>
              <w:t>氰化物</w:t>
            </w:r>
          </w:p>
        </w:tc>
        <w:tc>
          <w:tcPr>
            <w:tcW w:w="719" w:type="pct"/>
            <w:tcBorders>
              <w:tl2br w:val="nil"/>
              <w:tr2bl w:val="nil"/>
            </w:tcBorders>
            <w:noWrap w:val="0"/>
            <w:vAlign w:val="center"/>
          </w:tcPr>
          <w:p w14:paraId="6C66DDCB">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72FF8B66">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200309E2">
            <w:pPr>
              <w:pageBreakBefore w:val="0"/>
              <w:wordWrap/>
              <w:bidi w:val="0"/>
              <w:adjustRightInd/>
              <w:snapToGrid/>
              <w:spacing w:line="240" w:lineRule="auto"/>
              <w:ind w:firstLine="0" w:firstLineChars="0"/>
              <w:jc w:val="center"/>
              <w:rPr>
                <w:color w:val="auto"/>
                <w:sz w:val="21"/>
                <w:szCs w:val="21"/>
              </w:rPr>
            </w:pPr>
            <w:r>
              <w:rPr>
                <w:bCs/>
                <w:color w:val="auto"/>
                <w:sz w:val="21"/>
                <w:szCs w:val="21"/>
              </w:rPr>
              <w:t>0.05</w:t>
            </w:r>
          </w:p>
        </w:tc>
      </w:tr>
      <w:tr w14:paraId="7C90CF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45F6DFB4">
            <w:pPr>
              <w:pageBreakBefore w:val="0"/>
              <w:wordWrap/>
              <w:bidi w:val="0"/>
              <w:adjustRightInd/>
              <w:snapToGrid/>
              <w:spacing w:line="240" w:lineRule="auto"/>
              <w:ind w:firstLine="0" w:firstLineChars="0"/>
              <w:jc w:val="center"/>
              <w:rPr>
                <w:color w:val="auto"/>
                <w:sz w:val="21"/>
                <w:szCs w:val="21"/>
              </w:rPr>
            </w:pPr>
            <w:r>
              <w:rPr>
                <w:color w:val="auto"/>
                <w:sz w:val="21"/>
                <w:szCs w:val="21"/>
              </w:rPr>
              <w:t>14</w:t>
            </w:r>
          </w:p>
        </w:tc>
        <w:tc>
          <w:tcPr>
            <w:tcW w:w="1035" w:type="pct"/>
            <w:tcBorders>
              <w:tl2br w:val="nil"/>
              <w:tr2bl w:val="nil"/>
            </w:tcBorders>
            <w:noWrap w:val="0"/>
            <w:vAlign w:val="center"/>
          </w:tcPr>
          <w:p w14:paraId="2A248FA5">
            <w:pPr>
              <w:pageBreakBefore w:val="0"/>
              <w:wordWrap/>
              <w:bidi w:val="0"/>
              <w:adjustRightInd/>
              <w:snapToGrid/>
              <w:spacing w:line="240" w:lineRule="auto"/>
              <w:ind w:firstLine="0" w:firstLineChars="0"/>
              <w:jc w:val="center"/>
              <w:rPr>
                <w:color w:val="auto"/>
                <w:sz w:val="21"/>
                <w:szCs w:val="21"/>
              </w:rPr>
            </w:pPr>
            <w:r>
              <w:rPr>
                <w:color w:val="auto"/>
                <w:sz w:val="21"/>
                <w:szCs w:val="21"/>
              </w:rPr>
              <w:t>铁</w:t>
            </w:r>
          </w:p>
        </w:tc>
        <w:tc>
          <w:tcPr>
            <w:tcW w:w="719" w:type="pct"/>
            <w:tcBorders>
              <w:tl2br w:val="nil"/>
              <w:tr2bl w:val="nil"/>
            </w:tcBorders>
            <w:noWrap w:val="0"/>
            <w:vAlign w:val="center"/>
          </w:tcPr>
          <w:p w14:paraId="4F726B02">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64386782">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62884489">
            <w:pPr>
              <w:pageBreakBefore w:val="0"/>
              <w:wordWrap/>
              <w:bidi w:val="0"/>
              <w:adjustRightInd/>
              <w:snapToGrid/>
              <w:spacing w:line="240" w:lineRule="auto"/>
              <w:ind w:firstLine="0" w:firstLineChars="0"/>
              <w:jc w:val="center"/>
              <w:rPr>
                <w:color w:val="auto"/>
                <w:sz w:val="21"/>
                <w:szCs w:val="21"/>
              </w:rPr>
            </w:pPr>
            <w:r>
              <w:rPr>
                <w:bCs/>
                <w:color w:val="auto"/>
                <w:sz w:val="21"/>
                <w:szCs w:val="21"/>
              </w:rPr>
              <w:t>0.3</w:t>
            </w:r>
          </w:p>
        </w:tc>
      </w:tr>
      <w:tr w14:paraId="45281B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61E00E32">
            <w:pPr>
              <w:pageBreakBefore w:val="0"/>
              <w:wordWrap/>
              <w:bidi w:val="0"/>
              <w:adjustRightInd/>
              <w:snapToGrid/>
              <w:spacing w:line="240" w:lineRule="auto"/>
              <w:ind w:firstLine="0" w:firstLineChars="0"/>
              <w:jc w:val="center"/>
              <w:rPr>
                <w:color w:val="auto"/>
                <w:sz w:val="21"/>
                <w:szCs w:val="21"/>
              </w:rPr>
            </w:pPr>
            <w:r>
              <w:rPr>
                <w:color w:val="auto"/>
                <w:sz w:val="21"/>
                <w:szCs w:val="21"/>
              </w:rPr>
              <w:t>15</w:t>
            </w:r>
          </w:p>
        </w:tc>
        <w:tc>
          <w:tcPr>
            <w:tcW w:w="1035" w:type="pct"/>
            <w:tcBorders>
              <w:tl2br w:val="nil"/>
              <w:tr2bl w:val="nil"/>
            </w:tcBorders>
            <w:noWrap w:val="0"/>
            <w:vAlign w:val="center"/>
          </w:tcPr>
          <w:p w14:paraId="32A0A2E5">
            <w:pPr>
              <w:pageBreakBefore w:val="0"/>
              <w:wordWrap/>
              <w:bidi w:val="0"/>
              <w:adjustRightInd/>
              <w:snapToGrid/>
              <w:spacing w:line="240" w:lineRule="auto"/>
              <w:ind w:firstLine="0" w:firstLineChars="0"/>
              <w:jc w:val="center"/>
              <w:rPr>
                <w:color w:val="auto"/>
                <w:sz w:val="21"/>
                <w:szCs w:val="21"/>
              </w:rPr>
            </w:pPr>
            <w:r>
              <w:rPr>
                <w:color w:val="auto"/>
                <w:sz w:val="21"/>
                <w:szCs w:val="21"/>
              </w:rPr>
              <w:t>锰</w:t>
            </w:r>
          </w:p>
        </w:tc>
        <w:tc>
          <w:tcPr>
            <w:tcW w:w="719" w:type="pct"/>
            <w:tcBorders>
              <w:tl2br w:val="nil"/>
              <w:tr2bl w:val="nil"/>
            </w:tcBorders>
            <w:noWrap w:val="0"/>
            <w:vAlign w:val="center"/>
          </w:tcPr>
          <w:p w14:paraId="1D9D86CC">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2758D269">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5106AF6F">
            <w:pPr>
              <w:pageBreakBefore w:val="0"/>
              <w:wordWrap/>
              <w:bidi w:val="0"/>
              <w:adjustRightInd/>
              <w:snapToGrid/>
              <w:spacing w:line="240" w:lineRule="auto"/>
              <w:ind w:firstLine="0" w:firstLineChars="0"/>
              <w:jc w:val="center"/>
              <w:rPr>
                <w:color w:val="auto"/>
                <w:sz w:val="21"/>
                <w:szCs w:val="21"/>
              </w:rPr>
            </w:pPr>
            <w:r>
              <w:rPr>
                <w:bCs/>
                <w:color w:val="auto"/>
                <w:sz w:val="21"/>
                <w:szCs w:val="21"/>
              </w:rPr>
              <w:t>0.10</w:t>
            </w:r>
          </w:p>
        </w:tc>
      </w:tr>
      <w:tr w14:paraId="0FD2FC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2E4689A9">
            <w:pPr>
              <w:pageBreakBefore w:val="0"/>
              <w:wordWrap/>
              <w:bidi w:val="0"/>
              <w:adjustRightInd/>
              <w:snapToGrid/>
              <w:spacing w:line="240" w:lineRule="auto"/>
              <w:ind w:firstLine="0" w:firstLineChars="0"/>
              <w:jc w:val="center"/>
              <w:rPr>
                <w:color w:val="auto"/>
                <w:sz w:val="21"/>
                <w:szCs w:val="21"/>
              </w:rPr>
            </w:pPr>
            <w:r>
              <w:rPr>
                <w:color w:val="auto"/>
                <w:sz w:val="21"/>
                <w:szCs w:val="21"/>
              </w:rPr>
              <w:t>16</w:t>
            </w:r>
          </w:p>
        </w:tc>
        <w:tc>
          <w:tcPr>
            <w:tcW w:w="1035" w:type="pct"/>
            <w:tcBorders>
              <w:tl2br w:val="nil"/>
              <w:tr2bl w:val="nil"/>
            </w:tcBorders>
            <w:noWrap w:val="0"/>
            <w:vAlign w:val="center"/>
          </w:tcPr>
          <w:p w14:paraId="79A506B0">
            <w:pPr>
              <w:pageBreakBefore w:val="0"/>
              <w:wordWrap/>
              <w:bidi w:val="0"/>
              <w:adjustRightInd/>
              <w:snapToGrid/>
              <w:spacing w:line="240" w:lineRule="auto"/>
              <w:ind w:firstLine="0" w:firstLineChars="0"/>
              <w:jc w:val="center"/>
              <w:rPr>
                <w:color w:val="auto"/>
                <w:sz w:val="21"/>
                <w:szCs w:val="21"/>
              </w:rPr>
            </w:pPr>
            <w:r>
              <w:rPr>
                <w:color w:val="auto"/>
                <w:sz w:val="21"/>
                <w:szCs w:val="21"/>
              </w:rPr>
              <w:t>铅</w:t>
            </w:r>
          </w:p>
        </w:tc>
        <w:tc>
          <w:tcPr>
            <w:tcW w:w="719" w:type="pct"/>
            <w:tcBorders>
              <w:tl2br w:val="nil"/>
              <w:tr2bl w:val="nil"/>
            </w:tcBorders>
            <w:noWrap w:val="0"/>
            <w:vAlign w:val="center"/>
          </w:tcPr>
          <w:p w14:paraId="4345BEC1">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46437223">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252A260C">
            <w:pPr>
              <w:pageBreakBefore w:val="0"/>
              <w:wordWrap/>
              <w:bidi w:val="0"/>
              <w:adjustRightInd/>
              <w:snapToGrid/>
              <w:spacing w:line="240" w:lineRule="auto"/>
              <w:ind w:firstLine="0" w:firstLineChars="0"/>
              <w:jc w:val="center"/>
              <w:rPr>
                <w:color w:val="auto"/>
                <w:sz w:val="21"/>
                <w:szCs w:val="21"/>
              </w:rPr>
            </w:pPr>
            <w:r>
              <w:rPr>
                <w:bCs/>
                <w:color w:val="auto"/>
                <w:sz w:val="21"/>
                <w:szCs w:val="21"/>
              </w:rPr>
              <w:t>0.01</w:t>
            </w:r>
          </w:p>
        </w:tc>
      </w:tr>
      <w:tr w14:paraId="1B0105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42FDF836">
            <w:pPr>
              <w:pageBreakBefore w:val="0"/>
              <w:wordWrap/>
              <w:bidi w:val="0"/>
              <w:adjustRightInd/>
              <w:snapToGrid/>
              <w:spacing w:line="240" w:lineRule="auto"/>
              <w:ind w:firstLine="0" w:firstLineChars="0"/>
              <w:jc w:val="center"/>
              <w:rPr>
                <w:color w:val="auto"/>
                <w:sz w:val="21"/>
                <w:szCs w:val="21"/>
              </w:rPr>
            </w:pPr>
            <w:r>
              <w:rPr>
                <w:color w:val="auto"/>
                <w:sz w:val="21"/>
                <w:szCs w:val="21"/>
              </w:rPr>
              <w:t>17</w:t>
            </w:r>
          </w:p>
        </w:tc>
        <w:tc>
          <w:tcPr>
            <w:tcW w:w="1035" w:type="pct"/>
            <w:tcBorders>
              <w:tl2br w:val="nil"/>
              <w:tr2bl w:val="nil"/>
            </w:tcBorders>
            <w:noWrap w:val="0"/>
            <w:vAlign w:val="center"/>
          </w:tcPr>
          <w:p w14:paraId="301D302C">
            <w:pPr>
              <w:pageBreakBefore w:val="0"/>
              <w:wordWrap/>
              <w:bidi w:val="0"/>
              <w:adjustRightInd/>
              <w:snapToGrid/>
              <w:spacing w:line="240" w:lineRule="auto"/>
              <w:ind w:firstLine="0" w:firstLineChars="0"/>
              <w:jc w:val="center"/>
              <w:rPr>
                <w:color w:val="auto"/>
                <w:sz w:val="21"/>
                <w:szCs w:val="21"/>
              </w:rPr>
            </w:pPr>
            <w:r>
              <w:rPr>
                <w:color w:val="auto"/>
                <w:sz w:val="21"/>
                <w:szCs w:val="21"/>
              </w:rPr>
              <w:t>镉</w:t>
            </w:r>
          </w:p>
        </w:tc>
        <w:tc>
          <w:tcPr>
            <w:tcW w:w="719" w:type="pct"/>
            <w:tcBorders>
              <w:tl2br w:val="nil"/>
              <w:tr2bl w:val="nil"/>
            </w:tcBorders>
            <w:noWrap w:val="0"/>
            <w:vAlign w:val="center"/>
          </w:tcPr>
          <w:p w14:paraId="1AA333D6">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4397196C">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3B26C2A6">
            <w:pPr>
              <w:pageBreakBefore w:val="0"/>
              <w:wordWrap/>
              <w:bidi w:val="0"/>
              <w:adjustRightInd/>
              <w:snapToGrid/>
              <w:spacing w:line="240" w:lineRule="auto"/>
              <w:ind w:firstLine="0" w:firstLineChars="0"/>
              <w:jc w:val="center"/>
              <w:rPr>
                <w:color w:val="auto"/>
                <w:sz w:val="21"/>
                <w:szCs w:val="21"/>
              </w:rPr>
            </w:pPr>
            <w:r>
              <w:rPr>
                <w:bCs/>
                <w:color w:val="auto"/>
                <w:sz w:val="21"/>
                <w:szCs w:val="21"/>
              </w:rPr>
              <w:t>0.005</w:t>
            </w:r>
          </w:p>
        </w:tc>
      </w:tr>
      <w:tr w14:paraId="35E274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3AB984D3">
            <w:pPr>
              <w:pageBreakBefore w:val="0"/>
              <w:wordWrap/>
              <w:bidi w:val="0"/>
              <w:adjustRightInd/>
              <w:snapToGrid/>
              <w:spacing w:line="240" w:lineRule="auto"/>
              <w:ind w:firstLine="0" w:firstLineChars="0"/>
              <w:jc w:val="center"/>
              <w:rPr>
                <w:color w:val="auto"/>
                <w:sz w:val="21"/>
                <w:szCs w:val="21"/>
              </w:rPr>
            </w:pPr>
            <w:r>
              <w:rPr>
                <w:color w:val="auto"/>
                <w:sz w:val="21"/>
                <w:szCs w:val="21"/>
              </w:rPr>
              <w:t>18</w:t>
            </w:r>
          </w:p>
        </w:tc>
        <w:tc>
          <w:tcPr>
            <w:tcW w:w="1035" w:type="pct"/>
            <w:tcBorders>
              <w:tl2br w:val="nil"/>
              <w:tr2bl w:val="nil"/>
            </w:tcBorders>
            <w:noWrap w:val="0"/>
            <w:vAlign w:val="center"/>
          </w:tcPr>
          <w:p w14:paraId="6F0774CF">
            <w:pPr>
              <w:pageBreakBefore w:val="0"/>
              <w:wordWrap/>
              <w:bidi w:val="0"/>
              <w:adjustRightInd/>
              <w:snapToGrid/>
              <w:spacing w:line="240" w:lineRule="auto"/>
              <w:ind w:firstLine="0" w:firstLineChars="0"/>
              <w:jc w:val="center"/>
              <w:rPr>
                <w:color w:val="auto"/>
                <w:sz w:val="21"/>
                <w:szCs w:val="21"/>
              </w:rPr>
            </w:pPr>
            <w:r>
              <w:rPr>
                <w:color w:val="auto"/>
                <w:sz w:val="21"/>
                <w:szCs w:val="21"/>
              </w:rPr>
              <w:t>砷</w:t>
            </w:r>
          </w:p>
        </w:tc>
        <w:tc>
          <w:tcPr>
            <w:tcW w:w="719" w:type="pct"/>
            <w:tcBorders>
              <w:tl2br w:val="nil"/>
              <w:tr2bl w:val="nil"/>
            </w:tcBorders>
            <w:noWrap w:val="0"/>
            <w:vAlign w:val="center"/>
          </w:tcPr>
          <w:p w14:paraId="22F82EFA">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45853ED8">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49B6CFF6">
            <w:pPr>
              <w:pageBreakBefore w:val="0"/>
              <w:wordWrap/>
              <w:bidi w:val="0"/>
              <w:adjustRightInd/>
              <w:snapToGrid/>
              <w:spacing w:line="240" w:lineRule="auto"/>
              <w:ind w:firstLine="0" w:firstLineChars="0"/>
              <w:jc w:val="center"/>
              <w:rPr>
                <w:color w:val="auto"/>
                <w:sz w:val="21"/>
                <w:szCs w:val="21"/>
              </w:rPr>
            </w:pPr>
            <w:r>
              <w:rPr>
                <w:bCs/>
                <w:color w:val="auto"/>
                <w:sz w:val="21"/>
                <w:szCs w:val="21"/>
              </w:rPr>
              <w:t>0.01</w:t>
            </w:r>
          </w:p>
        </w:tc>
      </w:tr>
      <w:tr w14:paraId="0538D2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56FD4E06">
            <w:pPr>
              <w:pageBreakBefore w:val="0"/>
              <w:wordWrap/>
              <w:bidi w:val="0"/>
              <w:adjustRightInd/>
              <w:snapToGrid/>
              <w:spacing w:line="240" w:lineRule="auto"/>
              <w:ind w:firstLine="0" w:firstLineChars="0"/>
              <w:jc w:val="center"/>
              <w:rPr>
                <w:color w:val="auto"/>
                <w:sz w:val="21"/>
                <w:szCs w:val="21"/>
              </w:rPr>
            </w:pPr>
            <w:r>
              <w:rPr>
                <w:color w:val="auto"/>
                <w:sz w:val="21"/>
                <w:szCs w:val="21"/>
              </w:rPr>
              <w:t>19</w:t>
            </w:r>
          </w:p>
        </w:tc>
        <w:tc>
          <w:tcPr>
            <w:tcW w:w="1035" w:type="pct"/>
            <w:tcBorders>
              <w:tl2br w:val="nil"/>
              <w:tr2bl w:val="nil"/>
            </w:tcBorders>
            <w:noWrap w:val="0"/>
            <w:vAlign w:val="center"/>
          </w:tcPr>
          <w:p w14:paraId="600226A8">
            <w:pPr>
              <w:pageBreakBefore w:val="0"/>
              <w:wordWrap/>
              <w:bidi w:val="0"/>
              <w:adjustRightInd/>
              <w:snapToGrid/>
              <w:spacing w:line="240" w:lineRule="auto"/>
              <w:ind w:firstLine="0" w:firstLineChars="0"/>
              <w:jc w:val="center"/>
              <w:rPr>
                <w:color w:val="auto"/>
                <w:sz w:val="21"/>
                <w:szCs w:val="21"/>
              </w:rPr>
            </w:pPr>
            <w:r>
              <w:rPr>
                <w:color w:val="auto"/>
                <w:sz w:val="21"/>
                <w:szCs w:val="21"/>
              </w:rPr>
              <w:t>汞</w:t>
            </w:r>
          </w:p>
        </w:tc>
        <w:tc>
          <w:tcPr>
            <w:tcW w:w="719" w:type="pct"/>
            <w:tcBorders>
              <w:tl2br w:val="nil"/>
              <w:tr2bl w:val="nil"/>
            </w:tcBorders>
            <w:noWrap w:val="0"/>
            <w:vAlign w:val="center"/>
          </w:tcPr>
          <w:p w14:paraId="62BCB768">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12399591">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054DBCB9">
            <w:pPr>
              <w:pageBreakBefore w:val="0"/>
              <w:wordWrap/>
              <w:bidi w:val="0"/>
              <w:adjustRightInd/>
              <w:snapToGrid/>
              <w:spacing w:line="240" w:lineRule="auto"/>
              <w:ind w:firstLine="0" w:firstLineChars="0"/>
              <w:jc w:val="center"/>
              <w:rPr>
                <w:color w:val="auto"/>
                <w:sz w:val="21"/>
                <w:szCs w:val="21"/>
              </w:rPr>
            </w:pPr>
            <w:r>
              <w:rPr>
                <w:bCs/>
                <w:color w:val="auto"/>
                <w:sz w:val="21"/>
                <w:szCs w:val="21"/>
              </w:rPr>
              <w:t>0.001</w:t>
            </w:r>
          </w:p>
        </w:tc>
      </w:tr>
      <w:tr w14:paraId="5E2483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6FB9B860">
            <w:pPr>
              <w:pageBreakBefore w:val="0"/>
              <w:wordWrap/>
              <w:bidi w:val="0"/>
              <w:adjustRightInd/>
              <w:snapToGrid/>
              <w:spacing w:line="240" w:lineRule="auto"/>
              <w:ind w:firstLine="0" w:firstLineChars="0"/>
              <w:jc w:val="center"/>
              <w:rPr>
                <w:color w:val="auto"/>
                <w:sz w:val="21"/>
                <w:szCs w:val="21"/>
              </w:rPr>
            </w:pPr>
            <w:r>
              <w:rPr>
                <w:color w:val="auto"/>
                <w:sz w:val="21"/>
                <w:szCs w:val="21"/>
              </w:rPr>
              <w:t>20</w:t>
            </w:r>
          </w:p>
        </w:tc>
        <w:tc>
          <w:tcPr>
            <w:tcW w:w="1035" w:type="pct"/>
            <w:tcBorders>
              <w:tl2br w:val="nil"/>
              <w:tr2bl w:val="nil"/>
            </w:tcBorders>
            <w:noWrap w:val="0"/>
            <w:vAlign w:val="center"/>
          </w:tcPr>
          <w:p w14:paraId="55728A69">
            <w:pPr>
              <w:pageBreakBefore w:val="0"/>
              <w:wordWrap/>
              <w:bidi w:val="0"/>
              <w:adjustRightInd/>
              <w:snapToGrid/>
              <w:spacing w:line="240" w:lineRule="auto"/>
              <w:ind w:firstLine="0" w:firstLineChars="0"/>
              <w:jc w:val="center"/>
              <w:rPr>
                <w:color w:val="auto"/>
                <w:sz w:val="21"/>
                <w:szCs w:val="21"/>
              </w:rPr>
            </w:pPr>
            <w:r>
              <w:rPr>
                <w:color w:val="auto"/>
                <w:sz w:val="21"/>
                <w:szCs w:val="21"/>
              </w:rPr>
              <w:t>石油类</w:t>
            </w:r>
          </w:p>
        </w:tc>
        <w:tc>
          <w:tcPr>
            <w:tcW w:w="719" w:type="pct"/>
            <w:tcBorders>
              <w:tl2br w:val="nil"/>
              <w:tr2bl w:val="nil"/>
            </w:tcBorders>
            <w:noWrap w:val="0"/>
            <w:vAlign w:val="center"/>
          </w:tcPr>
          <w:p w14:paraId="6825DEA1">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23341356">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098F1649">
            <w:pPr>
              <w:pageBreakBefore w:val="0"/>
              <w:wordWrap/>
              <w:bidi w:val="0"/>
              <w:adjustRightInd/>
              <w:snapToGrid/>
              <w:spacing w:line="240" w:lineRule="auto"/>
              <w:ind w:firstLine="0" w:firstLineChars="0"/>
              <w:jc w:val="center"/>
              <w:rPr>
                <w:color w:val="auto"/>
                <w:sz w:val="21"/>
                <w:szCs w:val="21"/>
              </w:rPr>
            </w:pPr>
            <w:r>
              <w:rPr>
                <w:bCs/>
                <w:color w:val="auto"/>
                <w:sz w:val="21"/>
                <w:szCs w:val="21"/>
              </w:rPr>
              <w:t>/</w:t>
            </w:r>
          </w:p>
        </w:tc>
      </w:tr>
      <w:tr w14:paraId="2B7CB5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364ED56D">
            <w:pPr>
              <w:pageBreakBefore w:val="0"/>
              <w:wordWrap/>
              <w:bidi w:val="0"/>
              <w:adjustRightInd/>
              <w:snapToGrid/>
              <w:spacing w:line="240" w:lineRule="auto"/>
              <w:ind w:firstLine="0" w:firstLineChars="0"/>
              <w:jc w:val="center"/>
              <w:rPr>
                <w:color w:val="auto"/>
                <w:sz w:val="21"/>
                <w:szCs w:val="21"/>
              </w:rPr>
            </w:pPr>
            <w:r>
              <w:rPr>
                <w:color w:val="auto"/>
                <w:sz w:val="21"/>
                <w:szCs w:val="21"/>
              </w:rPr>
              <w:t>21</w:t>
            </w:r>
          </w:p>
        </w:tc>
        <w:tc>
          <w:tcPr>
            <w:tcW w:w="1035" w:type="pct"/>
            <w:tcBorders>
              <w:tl2br w:val="nil"/>
              <w:tr2bl w:val="nil"/>
            </w:tcBorders>
            <w:noWrap w:val="0"/>
            <w:vAlign w:val="center"/>
          </w:tcPr>
          <w:p w14:paraId="3713EEA5">
            <w:pPr>
              <w:pageBreakBefore w:val="0"/>
              <w:wordWrap/>
              <w:bidi w:val="0"/>
              <w:adjustRightInd/>
              <w:snapToGrid/>
              <w:spacing w:line="240" w:lineRule="auto"/>
              <w:ind w:firstLine="0" w:firstLineChars="0"/>
              <w:jc w:val="center"/>
              <w:rPr>
                <w:color w:val="auto"/>
                <w:sz w:val="21"/>
                <w:szCs w:val="21"/>
              </w:rPr>
            </w:pPr>
            <w:r>
              <w:rPr>
                <w:color w:val="auto"/>
                <w:sz w:val="21"/>
                <w:szCs w:val="21"/>
              </w:rPr>
              <w:t>总大肠菌群</w:t>
            </w:r>
          </w:p>
        </w:tc>
        <w:tc>
          <w:tcPr>
            <w:tcW w:w="719" w:type="pct"/>
            <w:tcBorders>
              <w:tl2br w:val="nil"/>
              <w:tr2bl w:val="nil"/>
            </w:tcBorders>
            <w:noWrap w:val="0"/>
            <w:vAlign w:val="center"/>
          </w:tcPr>
          <w:p w14:paraId="5EDC9D70">
            <w:pPr>
              <w:pageBreakBefore w:val="0"/>
              <w:wordWrap/>
              <w:bidi w:val="0"/>
              <w:adjustRightInd/>
              <w:snapToGrid/>
              <w:spacing w:line="240" w:lineRule="auto"/>
              <w:ind w:firstLine="0" w:firstLineChars="0"/>
              <w:jc w:val="center"/>
              <w:rPr>
                <w:color w:val="auto"/>
                <w:sz w:val="21"/>
                <w:szCs w:val="21"/>
              </w:rPr>
            </w:pPr>
            <w:r>
              <w:rPr>
                <w:bCs/>
                <w:color w:val="auto"/>
                <w:sz w:val="21"/>
                <w:szCs w:val="21"/>
              </w:rPr>
              <w:t>MPN/L</w:t>
            </w:r>
          </w:p>
        </w:tc>
        <w:tc>
          <w:tcPr>
            <w:tcW w:w="715" w:type="pct"/>
            <w:tcBorders>
              <w:tl2br w:val="nil"/>
              <w:tr2bl w:val="nil"/>
            </w:tcBorders>
            <w:noWrap w:val="0"/>
            <w:vAlign w:val="center"/>
          </w:tcPr>
          <w:p w14:paraId="227DDFA3">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613BFF32">
            <w:pPr>
              <w:pageBreakBefore w:val="0"/>
              <w:wordWrap/>
              <w:bidi w:val="0"/>
              <w:adjustRightInd/>
              <w:snapToGrid/>
              <w:spacing w:line="240" w:lineRule="auto"/>
              <w:ind w:firstLine="0" w:firstLineChars="0"/>
              <w:jc w:val="center"/>
              <w:rPr>
                <w:color w:val="auto"/>
                <w:sz w:val="21"/>
                <w:szCs w:val="21"/>
              </w:rPr>
            </w:pPr>
            <w:r>
              <w:rPr>
                <w:bCs/>
                <w:color w:val="auto"/>
                <w:sz w:val="21"/>
                <w:szCs w:val="21"/>
              </w:rPr>
              <w:t>3000</w:t>
            </w:r>
          </w:p>
        </w:tc>
      </w:tr>
      <w:tr w14:paraId="46E663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0BAC9D1E">
            <w:pPr>
              <w:pageBreakBefore w:val="0"/>
              <w:wordWrap/>
              <w:bidi w:val="0"/>
              <w:adjustRightInd/>
              <w:snapToGrid/>
              <w:spacing w:line="240" w:lineRule="auto"/>
              <w:ind w:firstLine="0" w:firstLineChars="0"/>
              <w:jc w:val="center"/>
              <w:rPr>
                <w:color w:val="auto"/>
                <w:sz w:val="21"/>
                <w:szCs w:val="21"/>
              </w:rPr>
            </w:pPr>
            <w:r>
              <w:rPr>
                <w:color w:val="auto"/>
                <w:sz w:val="21"/>
                <w:szCs w:val="21"/>
              </w:rPr>
              <w:t>22</w:t>
            </w:r>
          </w:p>
        </w:tc>
        <w:tc>
          <w:tcPr>
            <w:tcW w:w="1035" w:type="pct"/>
            <w:tcBorders>
              <w:tl2br w:val="nil"/>
              <w:tr2bl w:val="nil"/>
            </w:tcBorders>
            <w:noWrap w:val="0"/>
            <w:vAlign w:val="center"/>
          </w:tcPr>
          <w:p w14:paraId="1B49D883">
            <w:pPr>
              <w:pageBreakBefore w:val="0"/>
              <w:wordWrap/>
              <w:bidi w:val="0"/>
              <w:adjustRightInd/>
              <w:snapToGrid/>
              <w:spacing w:line="240" w:lineRule="auto"/>
              <w:ind w:firstLine="0" w:firstLineChars="0"/>
              <w:jc w:val="center"/>
              <w:rPr>
                <w:color w:val="auto"/>
                <w:sz w:val="21"/>
                <w:szCs w:val="21"/>
              </w:rPr>
            </w:pPr>
            <w:r>
              <w:rPr>
                <w:color w:val="auto"/>
                <w:sz w:val="21"/>
                <w:szCs w:val="21"/>
              </w:rPr>
              <w:t>细菌总数</w:t>
            </w:r>
          </w:p>
        </w:tc>
        <w:tc>
          <w:tcPr>
            <w:tcW w:w="719" w:type="pct"/>
            <w:tcBorders>
              <w:tl2br w:val="nil"/>
              <w:tr2bl w:val="nil"/>
            </w:tcBorders>
            <w:noWrap w:val="0"/>
            <w:vAlign w:val="center"/>
          </w:tcPr>
          <w:p w14:paraId="049542FF">
            <w:pPr>
              <w:pageBreakBefore w:val="0"/>
              <w:wordWrap/>
              <w:bidi w:val="0"/>
              <w:adjustRightInd/>
              <w:snapToGrid/>
              <w:spacing w:line="240" w:lineRule="auto"/>
              <w:ind w:firstLine="0" w:firstLineChars="0"/>
              <w:jc w:val="center"/>
              <w:rPr>
                <w:color w:val="auto"/>
                <w:sz w:val="21"/>
                <w:szCs w:val="21"/>
              </w:rPr>
            </w:pPr>
            <w:r>
              <w:rPr>
                <w:color w:val="auto"/>
                <w:sz w:val="21"/>
                <w:szCs w:val="21"/>
              </w:rPr>
              <w:t>CPU</w:t>
            </w:r>
            <w:r>
              <w:rPr>
                <w:bCs/>
                <w:color w:val="auto"/>
                <w:sz w:val="21"/>
                <w:szCs w:val="21"/>
              </w:rPr>
              <w:t>/mL</w:t>
            </w:r>
          </w:p>
        </w:tc>
        <w:tc>
          <w:tcPr>
            <w:tcW w:w="715" w:type="pct"/>
            <w:tcBorders>
              <w:tl2br w:val="nil"/>
              <w:tr2bl w:val="nil"/>
            </w:tcBorders>
            <w:noWrap w:val="0"/>
            <w:vAlign w:val="center"/>
          </w:tcPr>
          <w:p w14:paraId="53F7956B">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7D1ACD46">
            <w:pPr>
              <w:pageBreakBefore w:val="0"/>
              <w:wordWrap/>
              <w:bidi w:val="0"/>
              <w:adjustRightInd/>
              <w:snapToGrid/>
              <w:spacing w:line="240" w:lineRule="auto"/>
              <w:ind w:firstLine="0" w:firstLineChars="0"/>
              <w:jc w:val="center"/>
              <w:rPr>
                <w:color w:val="auto"/>
                <w:sz w:val="21"/>
                <w:szCs w:val="21"/>
              </w:rPr>
            </w:pPr>
            <w:r>
              <w:rPr>
                <w:bCs/>
                <w:color w:val="auto"/>
                <w:sz w:val="21"/>
                <w:szCs w:val="21"/>
              </w:rPr>
              <w:t>100</w:t>
            </w:r>
          </w:p>
        </w:tc>
      </w:tr>
      <w:tr w14:paraId="242668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49C1D1EA">
            <w:pPr>
              <w:pageBreakBefore w:val="0"/>
              <w:wordWrap/>
              <w:bidi w:val="0"/>
              <w:adjustRightInd/>
              <w:snapToGrid/>
              <w:spacing w:line="240" w:lineRule="auto"/>
              <w:ind w:firstLine="0" w:firstLineChars="0"/>
              <w:jc w:val="center"/>
              <w:rPr>
                <w:color w:val="auto"/>
                <w:sz w:val="21"/>
                <w:szCs w:val="21"/>
              </w:rPr>
            </w:pPr>
            <w:r>
              <w:rPr>
                <w:color w:val="auto"/>
                <w:sz w:val="21"/>
                <w:szCs w:val="21"/>
              </w:rPr>
              <w:t>23</w:t>
            </w:r>
          </w:p>
        </w:tc>
        <w:tc>
          <w:tcPr>
            <w:tcW w:w="1035" w:type="pct"/>
            <w:tcBorders>
              <w:tl2br w:val="nil"/>
              <w:tr2bl w:val="nil"/>
            </w:tcBorders>
            <w:noWrap w:val="0"/>
            <w:vAlign w:val="center"/>
          </w:tcPr>
          <w:p w14:paraId="37C1C02A">
            <w:pPr>
              <w:pageBreakBefore w:val="0"/>
              <w:tabs>
                <w:tab w:val="left" w:pos="4200"/>
              </w:tabs>
              <w:wordWrap/>
              <w:bidi w:val="0"/>
              <w:adjustRightInd/>
              <w:snapToGrid/>
              <w:spacing w:line="240" w:lineRule="auto"/>
              <w:ind w:firstLine="0" w:firstLineChars="0"/>
              <w:jc w:val="center"/>
              <w:rPr>
                <w:bCs/>
                <w:color w:val="auto"/>
                <w:kern w:val="0"/>
                <w:position w:val="-2"/>
                <w:sz w:val="21"/>
                <w:szCs w:val="21"/>
              </w:rPr>
            </w:pPr>
            <w:r>
              <w:rPr>
                <w:color w:val="auto"/>
                <w:sz w:val="21"/>
                <w:szCs w:val="21"/>
              </w:rPr>
              <w:t>K</w:t>
            </w:r>
            <w:r>
              <w:rPr>
                <w:color w:val="auto"/>
                <w:sz w:val="21"/>
                <w:szCs w:val="21"/>
                <w:vertAlign w:val="superscript"/>
              </w:rPr>
              <w:t>+</w:t>
            </w:r>
          </w:p>
        </w:tc>
        <w:tc>
          <w:tcPr>
            <w:tcW w:w="719" w:type="pct"/>
            <w:tcBorders>
              <w:tl2br w:val="nil"/>
              <w:tr2bl w:val="nil"/>
            </w:tcBorders>
            <w:noWrap w:val="0"/>
            <w:vAlign w:val="center"/>
          </w:tcPr>
          <w:p w14:paraId="67C4C72E">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73501B5E">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0A653FD3">
            <w:pPr>
              <w:pageBreakBefore w:val="0"/>
              <w:widowControl/>
              <w:wordWrap/>
              <w:bidi w:val="0"/>
              <w:adjustRightInd/>
              <w:snapToGrid/>
              <w:spacing w:line="240" w:lineRule="auto"/>
              <w:ind w:firstLine="0" w:firstLineChars="0"/>
              <w:jc w:val="center"/>
              <w:textAlignment w:val="center"/>
              <w:rPr>
                <w:color w:val="auto"/>
                <w:kern w:val="0"/>
                <w:sz w:val="21"/>
                <w:szCs w:val="21"/>
                <w:lang w:bidi="ar"/>
              </w:rPr>
            </w:pPr>
            <w:r>
              <w:rPr>
                <w:color w:val="auto"/>
                <w:kern w:val="0"/>
                <w:sz w:val="21"/>
                <w:szCs w:val="21"/>
                <w:lang w:bidi="ar"/>
              </w:rPr>
              <w:t>/</w:t>
            </w:r>
          </w:p>
        </w:tc>
      </w:tr>
      <w:tr w14:paraId="4FC3DB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23DD95A1">
            <w:pPr>
              <w:pageBreakBefore w:val="0"/>
              <w:wordWrap/>
              <w:bidi w:val="0"/>
              <w:adjustRightInd/>
              <w:snapToGrid/>
              <w:spacing w:line="240" w:lineRule="auto"/>
              <w:ind w:firstLine="0" w:firstLineChars="0"/>
              <w:jc w:val="center"/>
              <w:rPr>
                <w:color w:val="auto"/>
                <w:sz w:val="21"/>
                <w:szCs w:val="21"/>
              </w:rPr>
            </w:pPr>
            <w:r>
              <w:rPr>
                <w:color w:val="auto"/>
                <w:sz w:val="21"/>
                <w:szCs w:val="21"/>
              </w:rPr>
              <w:t>24</w:t>
            </w:r>
          </w:p>
        </w:tc>
        <w:tc>
          <w:tcPr>
            <w:tcW w:w="1035" w:type="pct"/>
            <w:tcBorders>
              <w:tl2br w:val="nil"/>
              <w:tr2bl w:val="nil"/>
            </w:tcBorders>
            <w:noWrap w:val="0"/>
            <w:vAlign w:val="center"/>
          </w:tcPr>
          <w:p w14:paraId="0002613B">
            <w:pPr>
              <w:pageBreakBefore w:val="0"/>
              <w:tabs>
                <w:tab w:val="left" w:pos="4200"/>
              </w:tabs>
              <w:wordWrap/>
              <w:bidi w:val="0"/>
              <w:adjustRightInd/>
              <w:snapToGrid/>
              <w:spacing w:line="240" w:lineRule="auto"/>
              <w:ind w:firstLine="0" w:firstLineChars="0"/>
              <w:jc w:val="center"/>
              <w:rPr>
                <w:color w:val="auto"/>
                <w:sz w:val="21"/>
                <w:szCs w:val="21"/>
              </w:rPr>
            </w:pPr>
            <w:r>
              <w:rPr>
                <w:color w:val="auto"/>
                <w:sz w:val="21"/>
                <w:szCs w:val="21"/>
              </w:rPr>
              <w:t>Na</w:t>
            </w:r>
            <w:r>
              <w:rPr>
                <w:color w:val="auto"/>
                <w:sz w:val="21"/>
                <w:szCs w:val="21"/>
                <w:vertAlign w:val="superscript"/>
              </w:rPr>
              <w:t>+</w:t>
            </w:r>
          </w:p>
        </w:tc>
        <w:tc>
          <w:tcPr>
            <w:tcW w:w="719" w:type="pct"/>
            <w:tcBorders>
              <w:tl2br w:val="nil"/>
              <w:tr2bl w:val="nil"/>
            </w:tcBorders>
            <w:noWrap w:val="0"/>
            <w:vAlign w:val="center"/>
          </w:tcPr>
          <w:p w14:paraId="775B6F3E">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38D306F6">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2F8835C2">
            <w:pPr>
              <w:pageBreakBefore w:val="0"/>
              <w:widowControl/>
              <w:wordWrap/>
              <w:bidi w:val="0"/>
              <w:adjustRightInd/>
              <w:snapToGrid/>
              <w:spacing w:line="240" w:lineRule="auto"/>
              <w:ind w:firstLine="0" w:firstLineChars="0"/>
              <w:jc w:val="center"/>
              <w:textAlignment w:val="center"/>
              <w:rPr>
                <w:color w:val="auto"/>
                <w:kern w:val="0"/>
                <w:sz w:val="21"/>
                <w:szCs w:val="21"/>
                <w:lang w:bidi="ar"/>
              </w:rPr>
            </w:pPr>
            <w:r>
              <w:rPr>
                <w:color w:val="auto"/>
                <w:kern w:val="0"/>
                <w:sz w:val="21"/>
                <w:szCs w:val="21"/>
                <w:lang w:bidi="ar"/>
              </w:rPr>
              <w:t>/</w:t>
            </w:r>
          </w:p>
        </w:tc>
      </w:tr>
      <w:tr w14:paraId="34B89C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6E159A0A">
            <w:pPr>
              <w:pageBreakBefore w:val="0"/>
              <w:wordWrap/>
              <w:bidi w:val="0"/>
              <w:adjustRightInd/>
              <w:snapToGrid/>
              <w:spacing w:line="240" w:lineRule="auto"/>
              <w:ind w:firstLine="0" w:firstLineChars="0"/>
              <w:jc w:val="center"/>
              <w:rPr>
                <w:color w:val="auto"/>
                <w:sz w:val="21"/>
                <w:szCs w:val="21"/>
              </w:rPr>
            </w:pPr>
            <w:r>
              <w:rPr>
                <w:color w:val="auto"/>
                <w:sz w:val="21"/>
                <w:szCs w:val="21"/>
              </w:rPr>
              <w:t>25</w:t>
            </w:r>
          </w:p>
        </w:tc>
        <w:tc>
          <w:tcPr>
            <w:tcW w:w="1035" w:type="pct"/>
            <w:tcBorders>
              <w:tl2br w:val="nil"/>
              <w:tr2bl w:val="nil"/>
            </w:tcBorders>
            <w:noWrap w:val="0"/>
            <w:vAlign w:val="center"/>
          </w:tcPr>
          <w:p w14:paraId="551D41B7">
            <w:pPr>
              <w:pageBreakBefore w:val="0"/>
              <w:tabs>
                <w:tab w:val="left" w:pos="4200"/>
              </w:tabs>
              <w:wordWrap/>
              <w:bidi w:val="0"/>
              <w:adjustRightInd/>
              <w:snapToGrid/>
              <w:spacing w:line="240" w:lineRule="auto"/>
              <w:ind w:firstLine="0" w:firstLineChars="0"/>
              <w:jc w:val="center"/>
              <w:rPr>
                <w:bCs/>
                <w:color w:val="auto"/>
                <w:kern w:val="0"/>
                <w:position w:val="-2"/>
                <w:sz w:val="21"/>
                <w:szCs w:val="21"/>
              </w:rPr>
            </w:pPr>
            <w:r>
              <w:rPr>
                <w:color w:val="auto"/>
                <w:sz w:val="21"/>
                <w:szCs w:val="21"/>
              </w:rPr>
              <w:t>Ca</w:t>
            </w:r>
            <w:r>
              <w:rPr>
                <w:color w:val="auto"/>
                <w:sz w:val="21"/>
                <w:szCs w:val="21"/>
                <w:vertAlign w:val="superscript"/>
              </w:rPr>
              <w:t>2+</w:t>
            </w:r>
          </w:p>
        </w:tc>
        <w:tc>
          <w:tcPr>
            <w:tcW w:w="719" w:type="pct"/>
            <w:tcBorders>
              <w:tl2br w:val="nil"/>
              <w:tr2bl w:val="nil"/>
            </w:tcBorders>
            <w:noWrap w:val="0"/>
            <w:vAlign w:val="center"/>
          </w:tcPr>
          <w:p w14:paraId="7583CEAC">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6241C70A">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5A06E7C9">
            <w:pPr>
              <w:pageBreakBefore w:val="0"/>
              <w:widowControl/>
              <w:wordWrap/>
              <w:bidi w:val="0"/>
              <w:adjustRightInd/>
              <w:snapToGrid/>
              <w:spacing w:line="240" w:lineRule="auto"/>
              <w:ind w:firstLine="0" w:firstLineChars="0"/>
              <w:jc w:val="center"/>
              <w:textAlignment w:val="center"/>
              <w:rPr>
                <w:color w:val="auto"/>
                <w:kern w:val="0"/>
                <w:sz w:val="21"/>
                <w:szCs w:val="21"/>
                <w:lang w:bidi="ar"/>
              </w:rPr>
            </w:pPr>
            <w:r>
              <w:rPr>
                <w:color w:val="auto"/>
                <w:kern w:val="0"/>
                <w:sz w:val="21"/>
                <w:szCs w:val="21"/>
                <w:lang w:bidi="ar"/>
              </w:rPr>
              <w:t>/</w:t>
            </w:r>
          </w:p>
        </w:tc>
      </w:tr>
      <w:tr w14:paraId="4FFFB6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7F227061">
            <w:pPr>
              <w:pageBreakBefore w:val="0"/>
              <w:wordWrap/>
              <w:bidi w:val="0"/>
              <w:adjustRightInd/>
              <w:snapToGrid/>
              <w:spacing w:line="240" w:lineRule="auto"/>
              <w:ind w:firstLine="0" w:firstLineChars="0"/>
              <w:jc w:val="center"/>
              <w:rPr>
                <w:color w:val="auto"/>
                <w:sz w:val="21"/>
                <w:szCs w:val="21"/>
              </w:rPr>
            </w:pPr>
            <w:r>
              <w:rPr>
                <w:color w:val="auto"/>
                <w:sz w:val="21"/>
                <w:szCs w:val="21"/>
              </w:rPr>
              <w:t>26</w:t>
            </w:r>
          </w:p>
        </w:tc>
        <w:tc>
          <w:tcPr>
            <w:tcW w:w="1035" w:type="pct"/>
            <w:tcBorders>
              <w:tl2br w:val="nil"/>
              <w:tr2bl w:val="nil"/>
            </w:tcBorders>
            <w:noWrap w:val="0"/>
            <w:vAlign w:val="center"/>
          </w:tcPr>
          <w:p w14:paraId="2B2B49B5">
            <w:pPr>
              <w:pageBreakBefore w:val="0"/>
              <w:tabs>
                <w:tab w:val="left" w:pos="4200"/>
              </w:tabs>
              <w:wordWrap/>
              <w:bidi w:val="0"/>
              <w:adjustRightInd/>
              <w:snapToGrid/>
              <w:spacing w:line="240" w:lineRule="auto"/>
              <w:ind w:firstLine="0" w:firstLineChars="0"/>
              <w:jc w:val="center"/>
              <w:rPr>
                <w:bCs/>
                <w:color w:val="auto"/>
                <w:kern w:val="0"/>
                <w:position w:val="-2"/>
                <w:sz w:val="21"/>
                <w:szCs w:val="21"/>
              </w:rPr>
            </w:pPr>
            <w:r>
              <w:rPr>
                <w:color w:val="auto"/>
                <w:sz w:val="21"/>
                <w:szCs w:val="21"/>
              </w:rPr>
              <w:t>Mg</w:t>
            </w:r>
            <w:r>
              <w:rPr>
                <w:color w:val="auto"/>
                <w:sz w:val="21"/>
                <w:szCs w:val="21"/>
                <w:vertAlign w:val="superscript"/>
              </w:rPr>
              <w:t>2+</w:t>
            </w:r>
          </w:p>
        </w:tc>
        <w:tc>
          <w:tcPr>
            <w:tcW w:w="719" w:type="pct"/>
            <w:tcBorders>
              <w:tl2br w:val="nil"/>
              <w:tr2bl w:val="nil"/>
            </w:tcBorders>
            <w:noWrap w:val="0"/>
            <w:vAlign w:val="center"/>
          </w:tcPr>
          <w:p w14:paraId="46ECF9AD">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7821B582">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28269C34">
            <w:pPr>
              <w:pageBreakBefore w:val="0"/>
              <w:widowControl/>
              <w:wordWrap/>
              <w:bidi w:val="0"/>
              <w:adjustRightInd/>
              <w:snapToGrid/>
              <w:spacing w:line="240" w:lineRule="auto"/>
              <w:ind w:firstLine="0" w:firstLineChars="0"/>
              <w:jc w:val="center"/>
              <w:textAlignment w:val="center"/>
              <w:rPr>
                <w:color w:val="auto"/>
                <w:kern w:val="0"/>
                <w:sz w:val="21"/>
                <w:szCs w:val="21"/>
                <w:lang w:bidi="ar"/>
              </w:rPr>
            </w:pPr>
            <w:r>
              <w:rPr>
                <w:color w:val="auto"/>
                <w:kern w:val="0"/>
                <w:sz w:val="21"/>
                <w:szCs w:val="21"/>
                <w:lang w:bidi="ar"/>
              </w:rPr>
              <w:t>/</w:t>
            </w:r>
          </w:p>
        </w:tc>
      </w:tr>
      <w:tr w14:paraId="7744F0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37F65926">
            <w:pPr>
              <w:pageBreakBefore w:val="0"/>
              <w:wordWrap/>
              <w:bidi w:val="0"/>
              <w:adjustRightInd/>
              <w:snapToGrid/>
              <w:spacing w:line="240" w:lineRule="auto"/>
              <w:ind w:firstLine="0" w:firstLineChars="0"/>
              <w:jc w:val="center"/>
              <w:rPr>
                <w:color w:val="auto"/>
                <w:sz w:val="21"/>
                <w:szCs w:val="21"/>
              </w:rPr>
            </w:pPr>
            <w:r>
              <w:rPr>
                <w:color w:val="auto"/>
                <w:sz w:val="21"/>
                <w:szCs w:val="21"/>
              </w:rPr>
              <w:t>27</w:t>
            </w:r>
          </w:p>
        </w:tc>
        <w:tc>
          <w:tcPr>
            <w:tcW w:w="1035" w:type="pct"/>
            <w:tcBorders>
              <w:tl2br w:val="nil"/>
              <w:tr2bl w:val="nil"/>
            </w:tcBorders>
            <w:noWrap w:val="0"/>
            <w:vAlign w:val="center"/>
          </w:tcPr>
          <w:p w14:paraId="340B6600">
            <w:pPr>
              <w:pageBreakBefore w:val="0"/>
              <w:tabs>
                <w:tab w:val="left" w:pos="4200"/>
              </w:tabs>
              <w:wordWrap/>
              <w:bidi w:val="0"/>
              <w:adjustRightInd/>
              <w:snapToGrid/>
              <w:spacing w:line="240" w:lineRule="auto"/>
              <w:ind w:firstLine="0" w:firstLineChars="0"/>
              <w:jc w:val="center"/>
              <w:rPr>
                <w:color w:val="auto"/>
                <w:sz w:val="21"/>
                <w:szCs w:val="21"/>
              </w:rPr>
            </w:pPr>
            <w:r>
              <w:rPr>
                <w:color w:val="auto"/>
                <w:sz w:val="21"/>
                <w:szCs w:val="21"/>
              </w:rPr>
              <w:t>CO</w:t>
            </w:r>
            <w:r>
              <w:rPr>
                <w:color w:val="auto"/>
                <w:sz w:val="21"/>
                <w:szCs w:val="21"/>
                <w:vertAlign w:val="subscript"/>
              </w:rPr>
              <w:t>3</w:t>
            </w:r>
            <w:r>
              <w:rPr>
                <w:rFonts w:hint="eastAsia"/>
                <w:color w:val="auto"/>
                <w:sz w:val="21"/>
                <w:szCs w:val="21"/>
                <w:vertAlign w:val="superscript"/>
                <w:lang w:val="en-US" w:eastAsia="zh-CN"/>
              </w:rPr>
              <w:t>2</w:t>
            </w:r>
            <w:r>
              <w:rPr>
                <w:color w:val="auto"/>
                <w:sz w:val="21"/>
                <w:szCs w:val="21"/>
                <w:vertAlign w:val="superscript"/>
              </w:rPr>
              <w:t>-</w:t>
            </w:r>
          </w:p>
        </w:tc>
        <w:tc>
          <w:tcPr>
            <w:tcW w:w="719" w:type="pct"/>
            <w:tcBorders>
              <w:tl2br w:val="nil"/>
              <w:tr2bl w:val="nil"/>
            </w:tcBorders>
            <w:noWrap w:val="0"/>
            <w:vAlign w:val="center"/>
          </w:tcPr>
          <w:p w14:paraId="492696F5">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248C260C">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3D4CD72F">
            <w:pPr>
              <w:pageBreakBefore w:val="0"/>
              <w:widowControl/>
              <w:wordWrap/>
              <w:bidi w:val="0"/>
              <w:adjustRightInd/>
              <w:snapToGrid/>
              <w:spacing w:line="240" w:lineRule="auto"/>
              <w:ind w:firstLine="0" w:firstLineChars="0"/>
              <w:jc w:val="center"/>
              <w:textAlignment w:val="center"/>
              <w:rPr>
                <w:color w:val="auto"/>
                <w:kern w:val="0"/>
                <w:sz w:val="21"/>
                <w:szCs w:val="21"/>
                <w:lang w:bidi="ar"/>
              </w:rPr>
            </w:pPr>
            <w:r>
              <w:rPr>
                <w:color w:val="auto"/>
                <w:kern w:val="0"/>
                <w:sz w:val="21"/>
                <w:szCs w:val="21"/>
                <w:lang w:bidi="ar"/>
              </w:rPr>
              <w:t>/</w:t>
            </w:r>
          </w:p>
        </w:tc>
      </w:tr>
      <w:tr w14:paraId="5ABC17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0C2BC30E">
            <w:pPr>
              <w:pageBreakBefore w:val="0"/>
              <w:wordWrap/>
              <w:bidi w:val="0"/>
              <w:adjustRightInd/>
              <w:snapToGrid/>
              <w:spacing w:line="240" w:lineRule="auto"/>
              <w:ind w:firstLine="0" w:firstLineChars="0"/>
              <w:jc w:val="center"/>
              <w:rPr>
                <w:color w:val="auto"/>
                <w:sz w:val="21"/>
                <w:szCs w:val="21"/>
              </w:rPr>
            </w:pPr>
            <w:r>
              <w:rPr>
                <w:color w:val="auto"/>
                <w:sz w:val="21"/>
                <w:szCs w:val="21"/>
              </w:rPr>
              <w:t>28</w:t>
            </w:r>
          </w:p>
        </w:tc>
        <w:tc>
          <w:tcPr>
            <w:tcW w:w="1035" w:type="pct"/>
            <w:tcBorders>
              <w:tl2br w:val="nil"/>
              <w:tr2bl w:val="nil"/>
            </w:tcBorders>
            <w:noWrap w:val="0"/>
            <w:vAlign w:val="center"/>
          </w:tcPr>
          <w:p w14:paraId="58BA8213">
            <w:pPr>
              <w:pageBreakBefore w:val="0"/>
              <w:tabs>
                <w:tab w:val="left" w:pos="4200"/>
              </w:tabs>
              <w:wordWrap/>
              <w:bidi w:val="0"/>
              <w:adjustRightInd/>
              <w:snapToGrid/>
              <w:spacing w:line="240" w:lineRule="auto"/>
              <w:ind w:firstLine="0" w:firstLineChars="0"/>
              <w:jc w:val="center"/>
              <w:rPr>
                <w:color w:val="auto"/>
                <w:sz w:val="21"/>
                <w:szCs w:val="21"/>
              </w:rPr>
            </w:pPr>
            <w:r>
              <w:rPr>
                <w:color w:val="auto"/>
                <w:sz w:val="21"/>
                <w:szCs w:val="21"/>
              </w:rPr>
              <w:t>HCO</w:t>
            </w:r>
            <w:r>
              <w:rPr>
                <w:color w:val="auto"/>
                <w:sz w:val="21"/>
                <w:szCs w:val="21"/>
                <w:vertAlign w:val="subscript"/>
              </w:rPr>
              <w:t>3</w:t>
            </w:r>
            <w:r>
              <w:rPr>
                <w:color w:val="auto"/>
                <w:sz w:val="21"/>
                <w:szCs w:val="21"/>
                <w:vertAlign w:val="superscript"/>
              </w:rPr>
              <w:t>-</w:t>
            </w:r>
          </w:p>
        </w:tc>
        <w:tc>
          <w:tcPr>
            <w:tcW w:w="719" w:type="pct"/>
            <w:tcBorders>
              <w:tl2br w:val="nil"/>
              <w:tr2bl w:val="nil"/>
            </w:tcBorders>
            <w:noWrap w:val="0"/>
            <w:vAlign w:val="center"/>
          </w:tcPr>
          <w:p w14:paraId="2683A102">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01F075C2">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61891FBE">
            <w:pPr>
              <w:pageBreakBefore w:val="0"/>
              <w:widowControl/>
              <w:wordWrap/>
              <w:bidi w:val="0"/>
              <w:adjustRightInd/>
              <w:snapToGrid/>
              <w:spacing w:line="240" w:lineRule="auto"/>
              <w:ind w:firstLine="0" w:firstLineChars="0"/>
              <w:jc w:val="center"/>
              <w:textAlignment w:val="center"/>
              <w:rPr>
                <w:color w:val="auto"/>
                <w:kern w:val="0"/>
                <w:sz w:val="21"/>
                <w:szCs w:val="21"/>
                <w:lang w:bidi="ar"/>
              </w:rPr>
            </w:pPr>
            <w:r>
              <w:rPr>
                <w:color w:val="auto"/>
                <w:kern w:val="0"/>
                <w:sz w:val="21"/>
                <w:szCs w:val="21"/>
                <w:lang w:bidi="ar"/>
              </w:rPr>
              <w:t>/</w:t>
            </w:r>
          </w:p>
        </w:tc>
      </w:tr>
      <w:tr w14:paraId="441E80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1371B787">
            <w:pPr>
              <w:pageBreakBefore w:val="0"/>
              <w:wordWrap/>
              <w:bidi w:val="0"/>
              <w:adjustRightInd/>
              <w:snapToGrid/>
              <w:spacing w:line="240" w:lineRule="auto"/>
              <w:ind w:firstLine="0" w:firstLineChars="0"/>
              <w:jc w:val="center"/>
              <w:rPr>
                <w:color w:val="auto"/>
                <w:sz w:val="21"/>
                <w:szCs w:val="21"/>
              </w:rPr>
            </w:pPr>
            <w:r>
              <w:rPr>
                <w:color w:val="auto"/>
                <w:sz w:val="21"/>
                <w:szCs w:val="21"/>
              </w:rPr>
              <w:t>29</w:t>
            </w:r>
          </w:p>
        </w:tc>
        <w:tc>
          <w:tcPr>
            <w:tcW w:w="1035" w:type="pct"/>
            <w:tcBorders>
              <w:tl2br w:val="nil"/>
              <w:tr2bl w:val="nil"/>
            </w:tcBorders>
            <w:noWrap w:val="0"/>
            <w:vAlign w:val="center"/>
          </w:tcPr>
          <w:p w14:paraId="536DC3B6">
            <w:pPr>
              <w:pageBreakBefore w:val="0"/>
              <w:tabs>
                <w:tab w:val="left" w:pos="4200"/>
              </w:tabs>
              <w:wordWrap/>
              <w:bidi w:val="0"/>
              <w:adjustRightInd/>
              <w:snapToGrid/>
              <w:spacing w:line="240" w:lineRule="auto"/>
              <w:ind w:firstLine="0" w:firstLineChars="0"/>
              <w:jc w:val="center"/>
              <w:rPr>
                <w:color w:val="auto"/>
                <w:sz w:val="21"/>
                <w:szCs w:val="21"/>
              </w:rPr>
            </w:pPr>
            <w:r>
              <w:rPr>
                <w:color w:val="auto"/>
                <w:sz w:val="21"/>
                <w:szCs w:val="21"/>
              </w:rPr>
              <w:t>Cl</w:t>
            </w:r>
            <w:r>
              <w:rPr>
                <w:color w:val="auto"/>
                <w:sz w:val="21"/>
                <w:szCs w:val="21"/>
                <w:vertAlign w:val="superscript"/>
              </w:rPr>
              <w:t>-</w:t>
            </w:r>
          </w:p>
        </w:tc>
        <w:tc>
          <w:tcPr>
            <w:tcW w:w="719" w:type="pct"/>
            <w:tcBorders>
              <w:tl2br w:val="nil"/>
              <w:tr2bl w:val="nil"/>
            </w:tcBorders>
            <w:noWrap w:val="0"/>
            <w:vAlign w:val="center"/>
          </w:tcPr>
          <w:p w14:paraId="6918A5C5">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68CB6BC7">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69830A3C">
            <w:pPr>
              <w:pageBreakBefore w:val="0"/>
              <w:widowControl/>
              <w:wordWrap/>
              <w:bidi w:val="0"/>
              <w:adjustRightInd/>
              <w:snapToGrid/>
              <w:spacing w:line="240" w:lineRule="auto"/>
              <w:ind w:firstLine="0" w:firstLineChars="0"/>
              <w:jc w:val="center"/>
              <w:textAlignment w:val="center"/>
              <w:rPr>
                <w:color w:val="auto"/>
                <w:kern w:val="0"/>
                <w:sz w:val="21"/>
                <w:szCs w:val="21"/>
                <w:lang w:bidi="ar"/>
              </w:rPr>
            </w:pPr>
            <w:r>
              <w:rPr>
                <w:color w:val="auto"/>
                <w:kern w:val="0"/>
                <w:sz w:val="21"/>
                <w:szCs w:val="21"/>
                <w:lang w:bidi="ar"/>
              </w:rPr>
              <w:t>250</w:t>
            </w:r>
          </w:p>
        </w:tc>
      </w:tr>
      <w:tr w14:paraId="39E15A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2" w:type="pct"/>
            <w:tcBorders>
              <w:tl2br w:val="nil"/>
              <w:tr2bl w:val="nil"/>
            </w:tcBorders>
            <w:noWrap w:val="0"/>
            <w:vAlign w:val="center"/>
          </w:tcPr>
          <w:p w14:paraId="27B06EB0">
            <w:pPr>
              <w:pageBreakBefore w:val="0"/>
              <w:wordWrap/>
              <w:bidi w:val="0"/>
              <w:adjustRightInd/>
              <w:snapToGrid/>
              <w:spacing w:line="240" w:lineRule="auto"/>
              <w:ind w:firstLine="0" w:firstLineChars="0"/>
              <w:jc w:val="center"/>
              <w:rPr>
                <w:color w:val="auto"/>
                <w:sz w:val="21"/>
                <w:szCs w:val="21"/>
              </w:rPr>
            </w:pPr>
            <w:r>
              <w:rPr>
                <w:color w:val="auto"/>
                <w:sz w:val="21"/>
                <w:szCs w:val="21"/>
              </w:rPr>
              <w:t>30</w:t>
            </w:r>
          </w:p>
        </w:tc>
        <w:tc>
          <w:tcPr>
            <w:tcW w:w="1035" w:type="pct"/>
            <w:tcBorders>
              <w:tl2br w:val="nil"/>
              <w:tr2bl w:val="nil"/>
            </w:tcBorders>
            <w:noWrap w:val="0"/>
            <w:vAlign w:val="center"/>
          </w:tcPr>
          <w:p w14:paraId="064793F3">
            <w:pPr>
              <w:pageBreakBefore w:val="0"/>
              <w:tabs>
                <w:tab w:val="left" w:pos="4200"/>
              </w:tabs>
              <w:wordWrap/>
              <w:bidi w:val="0"/>
              <w:adjustRightInd/>
              <w:snapToGrid/>
              <w:spacing w:line="240" w:lineRule="auto"/>
              <w:ind w:firstLine="0" w:firstLineChars="0"/>
              <w:jc w:val="center"/>
              <w:rPr>
                <w:color w:val="auto"/>
                <w:sz w:val="21"/>
                <w:szCs w:val="21"/>
              </w:rPr>
            </w:pPr>
            <w:r>
              <w:rPr>
                <w:color w:val="auto"/>
                <w:sz w:val="21"/>
                <w:szCs w:val="21"/>
              </w:rPr>
              <w:t>SO</w:t>
            </w:r>
            <w:r>
              <w:rPr>
                <w:color w:val="auto"/>
                <w:sz w:val="21"/>
                <w:szCs w:val="21"/>
                <w:vertAlign w:val="subscript"/>
              </w:rPr>
              <w:t>4</w:t>
            </w:r>
            <w:r>
              <w:rPr>
                <w:color w:val="auto"/>
                <w:sz w:val="21"/>
                <w:szCs w:val="21"/>
                <w:vertAlign w:val="superscript"/>
              </w:rPr>
              <w:t>2-</w:t>
            </w:r>
          </w:p>
        </w:tc>
        <w:tc>
          <w:tcPr>
            <w:tcW w:w="719" w:type="pct"/>
            <w:tcBorders>
              <w:tl2br w:val="nil"/>
              <w:tr2bl w:val="nil"/>
            </w:tcBorders>
            <w:noWrap w:val="0"/>
            <w:vAlign w:val="center"/>
          </w:tcPr>
          <w:p w14:paraId="2E9380B1">
            <w:pPr>
              <w:pageBreakBefore w:val="0"/>
              <w:wordWrap/>
              <w:bidi w:val="0"/>
              <w:adjustRightInd/>
              <w:snapToGrid/>
              <w:spacing w:line="240" w:lineRule="auto"/>
              <w:ind w:firstLine="0" w:firstLineChars="0"/>
              <w:jc w:val="center"/>
              <w:rPr>
                <w:color w:val="auto"/>
                <w:sz w:val="21"/>
                <w:szCs w:val="21"/>
              </w:rPr>
            </w:pPr>
            <w:r>
              <w:rPr>
                <w:color w:val="auto"/>
                <w:sz w:val="21"/>
                <w:szCs w:val="21"/>
              </w:rPr>
              <w:t>mg/L</w:t>
            </w:r>
          </w:p>
        </w:tc>
        <w:tc>
          <w:tcPr>
            <w:tcW w:w="715" w:type="pct"/>
            <w:tcBorders>
              <w:tl2br w:val="nil"/>
              <w:tr2bl w:val="nil"/>
            </w:tcBorders>
            <w:noWrap w:val="0"/>
            <w:vAlign w:val="center"/>
          </w:tcPr>
          <w:p w14:paraId="6CA18E4F">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668" w:type="pct"/>
            <w:tcBorders>
              <w:tl2br w:val="nil"/>
              <w:tr2bl w:val="nil"/>
            </w:tcBorders>
            <w:noWrap w:val="0"/>
            <w:vAlign w:val="center"/>
          </w:tcPr>
          <w:p w14:paraId="3EC510B0">
            <w:pPr>
              <w:pageBreakBefore w:val="0"/>
              <w:widowControl/>
              <w:wordWrap/>
              <w:bidi w:val="0"/>
              <w:adjustRightInd/>
              <w:snapToGrid/>
              <w:spacing w:line="240" w:lineRule="auto"/>
              <w:ind w:firstLine="0" w:firstLineChars="0"/>
              <w:jc w:val="center"/>
              <w:textAlignment w:val="center"/>
              <w:rPr>
                <w:color w:val="auto"/>
                <w:kern w:val="0"/>
                <w:sz w:val="21"/>
                <w:szCs w:val="21"/>
                <w:lang w:bidi="ar"/>
              </w:rPr>
            </w:pPr>
            <w:r>
              <w:rPr>
                <w:color w:val="auto"/>
                <w:kern w:val="0"/>
                <w:sz w:val="21"/>
                <w:szCs w:val="21"/>
                <w:lang w:bidi="ar"/>
              </w:rPr>
              <w:t>250</w:t>
            </w:r>
          </w:p>
        </w:tc>
      </w:tr>
    </w:tbl>
    <w:p w14:paraId="76A6089C">
      <w:pPr>
        <w:keepNext w:val="0"/>
        <w:keepLines w:val="0"/>
        <w:pageBreakBefore w:val="0"/>
        <w:widowControl w:val="0"/>
        <w:kinsoku/>
        <w:wordWrap/>
        <w:overflowPunct/>
        <w:topLinePunct w:val="0"/>
        <w:autoSpaceDE/>
        <w:autoSpaceDN/>
        <w:bidi w:val="0"/>
        <w:adjustRightInd/>
        <w:snapToGrid/>
        <w:spacing w:before="120" w:beforeLines="50"/>
        <w:ind w:firstLine="480"/>
        <w:textAlignment w:val="auto"/>
        <w:rPr>
          <w:b/>
          <w:bCs/>
          <w:color w:val="auto"/>
        </w:rPr>
      </w:pPr>
      <w:r>
        <w:rPr>
          <w:b/>
          <w:bCs/>
          <w:color w:val="auto"/>
        </w:rPr>
        <w:t>（5）土壤环境</w:t>
      </w:r>
    </w:p>
    <w:p w14:paraId="1A16E011">
      <w:pPr>
        <w:pageBreakBefore w:val="0"/>
        <w:wordWrap/>
        <w:bidi w:val="0"/>
        <w:adjustRightInd/>
        <w:snapToGrid/>
        <w:ind w:firstLine="480"/>
        <w:rPr>
          <w:color w:val="auto"/>
        </w:rPr>
      </w:pPr>
      <w:r>
        <w:rPr>
          <w:color w:val="auto"/>
        </w:rPr>
        <w:t>项目影响区域内土壤环境质量执行</w:t>
      </w:r>
      <w:r>
        <w:rPr>
          <w:color w:val="auto"/>
          <w:kern w:val="0"/>
        </w:rPr>
        <w:t>《土壤环境质量 建设用地土壤污染风险管控标准（试行）》（GB36600-2018）中第二类用地限值</w:t>
      </w:r>
      <w:r>
        <w:rPr>
          <w:rFonts w:hint="eastAsia"/>
          <w:color w:val="auto"/>
          <w:kern w:val="0"/>
          <w:lang w:val="en-US" w:eastAsia="zh-CN"/>
        </w:rPr>
        <w:t>和</w:t>
      </w:r>
      <w:r>
        <w:rPr>
          <w:rFonts w:hint="eastAsia"/>
          <w:color w:val="auto"/>
          <w:kern w:val="0"/>
        </w:rPr>
        <w:t>《土壤环境质量 农用地土壤污染风险管控标准（试行）》（GB15618-2018）</w:t>
      </w:r>
      <w:r>
        <w:rPr>
          <w:color w:val="auto"/>
          <w:kern w:val="0"/>
        </w:rPr>
        <w:t>要求</w:t>
      </w:r>
      <w:r>
        <w:rPr>
          <w:color w:val="auto"/>
        </w:rPr>
        <w:t>。标准限值见</w:t>
      </w:r>
      <w:r>
        <w:rPr>
          <w:rFonts w:hint="eastAsia"/>
          <w:color w:val="auto"/>
          <w:lang w:val="en-US" w:eastAsia="zh-CN"/>
        </w:rPr>
        <w:t>下表</w:t>
      </w:r>
      <w:r>
        <w:rPr>
          <w:color w:val="auto"/>
        </w:rPr>
        <w:t xml:space="preserve">。 </w:t>
      </w:r>
    </w:p>
    <w:p w14:paraId="5D752525">
      <w:pPr>
        <w:pStyle w:val="19"/>
        <w:numPr>
          <w:ilvl w:val="0"/>
          <w:numId w:val="7"/>
        </w:numPr>
        <w:bidi w:val="0"/>
        <w:ind w:left="0" w:leftChars="0" w:firstLine="0" w:firstLineChars="0"/>
        <w:rPr>
          <w:color w:val="auto"/>
        </w:rPr>
      </w:pPr>
      <w:r>
        <w:rPr>
          <w:color w:val="auto"/>
        </w:rPr>
        <w:t>土壤环境质量限值</w:t>
      </w:r>
      <w:r>
        <w:rPr>
          <w:rFonts w:hint="eastAsia"/>
          <w:color w:val="auto"/>
        </w:rPr>
        <w:t xml:space="preserve"> </w:t>
      </w:r>
      <w:r>
        <w:rPr>
          <w:color w:val="auto"/>
        </w:rPr>
        <w:t>单位：mg/kg</w:t>
      </w:r>
    </w:p>
    <w:tbl>
      <w:tblPr>
        <w:tblStyle w:val="5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031"/>
        <w:gridCol w:w="3555"/>
        <w:gridCol w:w="3200"/>
      </w:tblGrid>
      <w:tr w14:paraId="589541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vMerge w:val="restart"/>
            <w:tcBorders>
              <w:tl2br w:val="nil"/>
              <w:tr2bl w:val="nil"/>
            </w:tcBorders>
            <w:noWrap w:val="0"/>
            <w:vAlign w:val="center"/>
          </w:tcPr>
          <w:p w14:paraId="2C9CAECA">
            <w:pPr>
              <w:pStyle w:val="461"/>
              <w:pageBreakBefore w:val="0"/>
              <w:wordWrap/>
              <w:bidi w:val="0"/>
              <w:adjustRightInd/>
              <w:snapToGrid/>
              <w:rPr>
                <w:b/>
                <w:bCs/>
                <w:color w:val="auto"/>
                <w:szCs w:val="21"/>
              </w:rPr>
            </w:pPr>
            <w:r>
              <w:rPr>
                <w:b/>
                <w:bCs/>
                <w:color w:val="auto"/>
                <w:szCs w:val="21"/>
              </w:rPr>
              <w:t>指标</w:t>
            </w:r>
          </w:p>
        </w:tc>
        <w:tc>
          <w:tcPr>
            <w:tcW w:w="6755" w:type="dxa"/>
            <w:gridSpan w:val="2"/>
            <w:tcBorders>
              <w:tl2br w:val="nil"/>
              <w:tr2bl w:val="nil"/>
            </w:tcBorders>
            <w:noWrap w:val="0"/>
            <w:vAlign w:val="center"/>
          </w:tcPr>
          <w:p w14:paraId="32B40943">
            <w:pPr>
              <w:pStyle w:val="461"/>
              <w:pageBreakBefore w:val="0"/>
              <w:wordWrap/>
              <w:bidi w:val="0"/>
              <w:adjustRightInd/>
              <w:snapToGrid/>
              <w:rPr>
                <w:b/>
                <w:bCs/>
                <w:color w:val="auto"/>
                <w:szCs w:val="21"/>
              </w:rPr>
            </w:pPr>
            <w:r>
              <w:rPr>
                <w:b/>
                <w:bCs/>
                <w:color w:val="auto"/>
                <w:szCs w:val="21"/>
              </w:rPr>
              <w:t>标准值</w:t>
            </w:r>
          </w:p>
        </w:tc>
      </w:tr>
      <w:tr w14:paraId="34FED9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vMerge w:val="continue"/>
            <w:tcBorders>
              <w:tl2br w:val="nil"/>
              <w:tr2bl w:val="nil"/>
            </w:tcBorders>
            <w:noWrap w:val="0"/>
            <w:vAlign w:val="center"/>
          </w:tcPr>
          <w:p w14:paraId="032CBFEB">
            <w:pPr>
              <w:pStyle w:val="461"/>
              <w:pageBreakBefore w:val="0"/>
              <w:wordWrap/>
              <w:bidi w:val="0"/>
              <w:adjustRightInd/>
              <w:snapToGrid/>
              <w:rPr>
                <w:b/>
                <w:bCs/>
                <w:color w:val="auto"/>
                <w:szCs w:val="21"/>
              </w:rPr>
            </w:pPr>
          </w:p>
        </w:tc>
        <w:tc>
          <w:tcPr>
            <w:tcW w:w="3555" w:type="dxa"/>
            <w:tcBorders>
              <w:tl2br w:val="nil"/>
              <w:tr2bl w:val="nil"/>
            </w:tcBorders>
            <w:noWrap w:val="0"/>
            <w:vAlign w:val="center"/>
          </w:tcPr>
          <w:p w14:paraId="1E0A033E">
            <w:pPr>
              <w:pStyle w:val="461"/>
              <w:pageBreakBefore w:val="0"/>
              <w:wordWrap/>
              <w:bidi w:val="0"/>
              <w:adjustRightInd/>
              <w:snapToGrid/>
              <w:rPr>
                <w:b/>
                <w:bCs/>
                <w:color w:val="auto"/>
                <w:szCs w:val="21"/>
              </w:rPr>
            </w:pPr>
            <w:r>
              <w:rPr>
                <w:b/>
                <w:bCs/>
                <w:color w:val="auto"/>
                <w:szCs w:val="21"/>
              </w:rPr>
              <w:t>《土壤环境质量 建设用地土壤污染风险管控标准（试行）》（GB36600-2018）中筛选值第二类用地</w:t>
            </w:r>
          </w:p>
        </w:tc>
        <w:tc>
          <w:tcPr>
            <w:tcW w:w="3200" w:type="dxa"/>
            <w:tcBorders>
              <w:tl2br w:val="nil"/>
              <w:tr2bl w:val="nil"/>
            </w:tcBorders>
            <w:noWrap w:val="0"/>
            <w:vAlign w:val="center"/>
          </w:tcPr>
          <w:p w14:paraId="4BAA3E4B">
            <w:pPr>
              <w:pStyle w:val="461"/>
              <w:pageBreakBefore w:val="0"/>
              <w:wordWrap/>
              <w:bidi w:val="0"/>
              <w:adjustRightInd/>
              <w:snapToGrid/>
              <w:rPr>
                <w:b/>
                <w:bCs/>
                <w:color w:val="auto"/>
                <w:szCs w:val="21"/>
              </w:rPr>
            </w:pPr>
            <w:r>
              <w:rPr>
                <w:b/>
                <w:bCs/>
                <w:color w:val="auto"/>
                <w:szCs w:val="21"/>
              </w:rPr>
              <w:t>《土壤环境质量 建设用地土壤污染风险管控标准（试行）》（GB36600-2018）中管制值第二类用地</w:t>
            </w:r>
          </w:p>
        </w:tc>
      </w:tr>
      <w:tr w14:paraId="64D4DD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79E9CA10">
            <w:pPr>
              <w:pStyle w:val="461"/>
              <w:pageBreakBefore w:val="0"/>
              <w:wordWrap/>
              <w:bidi w:val="0"/>
              <w:adjustRightInd/>
              <w:snapToGrid/>
              <w:rPr>
                <w:color w:val="auto"/>
                <w:szCs w:val="21"/>
              </w:rPr>
            </w:pPr>
            <w:r>
              <w:rPr>
                <w:color w:val="auto"/>
                <w:szCs w:val="21"/>
              </w:rPr>
              <w:t>砷</w:t>
            </w:r>
          </w:p>
        </w:tc>
        <w:tc>
          <w:tcPr>
            <w:tcW w:w="3555" w:type="dxa"/>
            <w:tcBorders>
              <w:tl2br w:val="nil"/>
              <w:tr2bl w:val="nil"/>
            </w:tcBorders>
            <w:noWrap w:val="0"/>
            <w:vAlign w:val="center"/>
          </w:tcPr>
          <w:p w14:paraId="29713C01">
            <w:pPr>
              <w:pStyle w:val="461"/>
              <w:pageBreakBefore w:val="0"/>
              <w:wordWrap/>
              <w:bidi w:val="0"/>
              <w:adjustRightInd/>
              <w:snapToGrid/>
              <w:rPr>
                <w:color w:val="auto"/>
                <w:szCs w:val="21"/>
              </w:rPr>
            </w:pPr>
            <w:r>
              <w:rPr>
                <w:color w:val="auto"/>
                <w:szCs w:val="21"/>
              </w:rPr>
              <w:t>60</w:t>
            </w:r>
          </w:p>
        </w:tc>
        <w:tc>
          <w:tcPr>
            <w:tcW w:w="3200" w:type="dxa"/>
            <w:tcBorders>
              <w:tl2br w:val="nil"/>
              <w:tr2bl w:val="nil"/>
            </w:tcBorders>
            <w:noWrap w:val="0"/>
            <w:vAlign w:val="center"/>
          </w:tcPr>
          <w:p w14:paraId="09D6C0D7">
            <w:pPr>
              <w:pStyle w:val="461"/>
              <w:pageBreakBefore w:val="0"/>
              <w:wordWrap/>
              <w:bidi w:val="0"/>
              <w:adjustRightInd/>
              <w:snapToGrid/>
              <w:rPr>
                <w:color w:val="auto"/>
                <w:szCs w:val="21"/>
              </w:rPr>
            </w:pPr>
            <w:r>
              <w:rPr>
                <w:color w:val="auto"/>
                <w:szCs w:val="21"/>
              </w:rPr>
              <w:t>140</w:t>
            </w:r>
          </w:p>
        </w:tc>
      </w:tr>
      <w:tr w14:paraId="600E99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3DCF061F">
            <w:pPr>
              <w:pStyle w:val="461"/>
              <w:pageBreakBefore w:val="0"/>
              <w:wordWrap/>
              <w:bidi w:val="0"/>
              <w:adjustRightInd/>
              <w:snapToGrid/>
              <w:rPr>
                <w:color w:val="auto"/>
                <w:szCs w:val="21"/>
              </w:rPr>
            </w:pPr>
            <w:r>
              <w:rPr>
                <w:color w:val="auto"/>
                <w:szCs w:val="21"/>
              </w:rPr>
              <w:t>汞</w:t>
            </w:r>
          </w:p>
        </w:tc>
        <w:tc>
          <w:tcPr>
            <w:tcW w:w="3555" w:type="dxa"/>
            <w:tcBorders>
              <w:tl2br w:val="nil"/>
              <w:tr2bl w:val="nil"/>
            </w:tcBorders>
            <w:noWrap w:val="0"/>
            <w:vAlign w:val="center"/>
          </w:tcPr>
          <w:p w14:paraId="54F5EB59">
            <w:pPr>
              <w:pStyle w:val="461"/>
              <w:pageBreakBefore w:val="0"/>
              <w:wordWrap/>
              <w:bidi w:val="0"/>
              <w:adjustRightInd/>
              <w:snapToGrid/>
              <w:rPr>
                <w:color w:val="auto"/>
                <w:szCs w:val="21"/>
              </w:rPr>
            </w:pPr>
            <w:r>
              <w:rPr>
                <w:color w:val="auto"/>
                <w:szCs w:val="21"/>
              </w:rPr>
              <w:t>38</w:t>
            </w:r>
          </w:p>
        </w:tc>
        <w:tc>
          <w:tcPr>
            <w:tcW w:w="3200" w:type="dxa"/>
            <w:tcBorders>
              <w:tl2br w:val="nil"/>
              <w:tr2bl w:val="nil"/>
            </w:tcBorders>
            <w:noWrap w:val="0"/>
            <w:vAlign w:val="center"/>
          </w:tcPr>
          <w:p w14:paraId="19D92699">
            <w:pPr>
              <w:pStyle w:val="461"/>
              <w:pageBreakBefore w:val="0"/>
              <w:wordWrap/>
              <w:bidi w:val="0"/>
              <w:adjustRightInd/>
              <w:snapToGrid/>
              <w:rPr>
                <w:color w:val="auto"/>
                <w:szCs w:val="21"/>
              </w:rPr>
            </w:pPr>
            <w:r>
              <w:rPr>
                <w:color w:val="auto"/>
                <w:szCs w:val="21"/>
              </w:rPr>
              <w:t>82</w:t>
            </w:r>
          </w:p>
        </w:tc>
      </w:tr>
      <w:tr w14:paraId="0086F4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7A17F32D">
            <w:pPr>
              <w:pStyle w:val="461"/>
              <w:pageBreakBefore w:val="0"/>
              <w:wordWrap/>
              <w:bidi w:val="0"/>
              <w:adjustRightInd/>
              <w:snapToGrid/>
              <w:rPr>
                <w:color w:val="auto"/>
                <w:szCs w:val="21"/>
              </w:rPr>
            </w:pPr>
            <w:r>
              <w:rPr>
                <w:color w:val="auto"/>
                <w:szCs w:val="21"/>
              </w:rPr>
              <w:t>铜</w:t>
            </w:r>
          </w:p>
        </w:tc>
        <w:tc>
          <w:tcPr>
            <w:tcW w:w="3555" w:type="dxa"/>
            <w:tcBorders>
              <w:tl2br w:val="nil"/>
              <w:tr2bl w:val="nil"/>
            </w:tcBorders>
            <w:noWrap w:val="0"/>
            <w:vAlign w:val="center"/>
          </w:tcPr>
          <w:p w14:paraId="5BD3798E">
            <w:pPr>
              <w:pStyle w:val="461"/>
              <w:pageBreakBefore w:val="0"/>
              <w:wordWrap/>
              <w:bidi w:val="0"/>
              <w:adjustRightInd/>
              <w:snapToGrid/>
              <w:rPr>
                <w:color w:val="auto"/>
                <w:szCs w:val="21"/>
              </w:rPr>
            </w:pPr>
            <w:r>
              <w:rPr>
                <w:color w:val="auto"/>
                <w:szCs w:val="21"/>
              </w:rPr>
              <w:t>18000</w:t>
            </w:r>
          </w:p>
        </w:tc>
        <w:tc>
          <w:tcPr>
            <w:tcW w:w="3200" w:type="dxa"/>
            <w:tcBorders>
              <w:tl2br w:val="nil"/>
              <w:tr2bl w:val="nil"/>
            </w:tcBorders>
            <w:noWrap w:val="0"/>
            <w:vAlign w:val="center"/>
          </w:tcPr>
          <w:p w14:paraId="309D135C">
            <w:pPr>
              <w:pStyle w:val="461"/>
              <w:pageBreakBefore w:val="0"/>
              <w:wordWrap/>
              <w:bidi w:val="0"/>
              <w:adjustRightInd/>
              <w:snapToGrid/>
              <w:rPr>
                <w:color w:val="auto"/>
                <w:szCs w:val="21"/>
              </w:rPr>
            </w:pPr>
            <w:r>
              <w:rPr>
                <w:color w:val="auto"/>
                <w:szCs w:val="21"/>
              </w:rPr>
              <w:t>36000</w:t>
            </w:r>
          </w:p>
        </w:tc>
      </w:tr>
      <w:tr w14:paraId="3330E7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4E895249">
            <w:pPr>
              <w:pStyle w:val="461"/>
              <w:pageBreakBefore w:val="0"/>
              <w:wordWrap/>
              <w:bidi w:val="0"/>
              <w:adjustRightInd/>
              <w:snapToGrid/>
              <w:rPr>
                <w:color w:val="auto"/>
                <w:szCs w:val="21"/>
              </w:rPr>
            </w:pPr>
            <w:r>
              <w:rPr>
                <w:color w:val="auto"/>
                <w:szCs w:val="21"/>
              </w:rPr>
              <w:t>铬</w:t>
            </w:r>
          </w:p>
        </w:tc>
        <w:tc>
          <w:tcPr>
            <w:tcW w:w="3555" w:type="dxa"/>
            <w:tcBorders>
              <w:tl2br w:val="nil"/>
              <w:tr2bl w:val="nil"/>
            </w:tcBorders>
            <w:noWrap w:val="0"/>
            <w:vAlign w:val="center"/>
          </w:tcPr>
          <w:p w14:paraId="67187B04">
            <w:pPr>
              <w:pStyle w:val="461"/>
              <w:pageBreakBefore w:val="0"/>
              <w:wordWrap/>
              <w:bidi w:val="0"/>
              <w:adjustRightInd/>
              <w:snapToGrid/>
              <w:rPr>
                <w:color w:val="auto"/>
                <w:szCs w:val="21"/>
              </w:rPr>
            </w:pPr>
            <w:r>
              <w:rPr>
                <w:color w:val="auto"/>
                <w:szCs w:val="21"/>
              </w:rPr>
              <w:t>5.7</w:t>
            </w:r>
          </w:p>
        </w:tc>
        <w:tc>
          <w:tcPr>
            <w:tcW w:w="3200" w:type="dxa"/>
            <w:tcBorders>
              <w:tl2br w:val="nil"/>
              <w:tr2bl w:val="nil"/>
            </w:tcBorders>
            <w:noWrap w:val="0"/>
            <w:vAlign w:val="center"/>
          </w:tcPr>
          <w:p w14:paraId="3A55960B">
            <w:pPr>
              <w:pStyle w:val="461"/>
              <w:pageBreakBefore w:val="0"/>
              <w:wordWrap/>
              <w:bidi w:val="0"/>
              <w:adjustRightInd/>
              <w:snapToGrid/>
              <w:rPr>
                <w:color w:val="auto"/>
                <w:szCs w:val="21"/>
              </w:rPr>
            </w:pPr>
            <w:r>
              <w:rPr>
                <w:color w:val="auto"/>
                <w:szCs w:val="21"/>
              </w:rPr>
              <w:t>78</w:t>
            </w:r>
          </w:p>
        </w:tc>
      </w:tr>
      <w:tr w14:paraId="3A7E47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51AC880B">
            <w:pPr>
              <w:pStyle w:val="461"/>
              <w:pageBreakBefore w:val="0"/>
              <w:wordWrap/>
              <w:bidi w:val="0"/>
              <w:adjustRightInd/>
              <w:snapToGrid/>
              <w:rPr>
                <w:color w:val="auto"/>
                <w:szCs w:val="21"/>
              </w:rPr>
            </w:pPr>
            <w:r>
              <w:rPr>
                <w:color w:val="auto"/>
                <w:szCs w:val="21"/>
              </w:rPr>
              <w:t>镍</w:t>
            </w:r>
          </w:p>
        </w:tc>
        <w:tc>
          <w:tcPr>
            <w:tcW w:w="3555" w:type="dxa"/>
            <w:tcBorders>
              <w:tl2br w:val="nil"/>
              <w:tr2bl w:val="nil"/>
            </w:tcBorders>
            <w:noWrap w:val="0"/>
            <w:vAlign w:val="center"/>
          </w:tcPr>
          <w:p w14:paraId="7D4BB66E">
            <w:pPr>
              <w:pStyle w:val="461"/>
              <w:pageBreakBefore w:val="0"/>
              <w:wordWrap/>
              <w:bidi w:val="0"/>
              <w:adjustRightInd/>
              <w:snapToGrid/>
              <w:rPr>
                <w:color w:val="auto"/>
                <w:szCs w:val="21"/>
              </w:rPr>
            </w:pPr>
            <w:r>
              <w:rPr>
                <w:color w:val="auto"/>
                <w:szCs w:val="21"/>
              </w:rPr>
              <w:t>900</w:t>
            </w:r>
          </w:p>
        </w:tc>
        <w:tc>
          <w:tcPr>
            <w:tcW w:w="3200" w:type="dxa"/>
            <w:tcBorders>
              <w:tl2br w:val="nil"/>
              <w:tr2bl w:val="nil"/>
            </w:tcBorders>
            <w:noWrap w:val="0"/>
            <w:vAlign w:val="center"/>
          </w:tcPr>
          <w:p w14:paraId="1E4ACC25">
            <w:pPr>
              <w:pStyle w:val="461"/>
              <w:pageBreakBefore w:val="0"/>
              <w:wordWrap/>
              <w:bidi w:val="0"/>
              <w:adjustRightInd/>
              <w:snapToGrid/>
              <w:rPr>
                <w:color w:val="auto"/>
                <w:szCs w:val="21"/>
              </w:rPr>
            </w:pPr>
            <w:r>
              <w:rPr>
                <w:color w:val="auto"/>
                <w:szCs w:val="21"/>
              </w:rPr>
              <w:t>2000</w:t>
            </w:r>
          </w:p>
        </w:tc>
      </w:tr>
      <w:tr w14:paraId="71D2CC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572BFD31">
            <w:pPr>
              <w:pStyle w:val="461"/>
              <w:pageBreakBefore w:val="0"/>
              <w:wordWrap/>
              <w:bidi w:val="0"/>
              <w:adjustRightInd/>
              <w:snapToGrid/>
              <w:rPr>
                <w:color w:val="auto"/>
                <w:szCs w:val="21"/>
              </w:rPr>
            </w:pPr>
            <w:r>
              <w:rPr>
                <w:color w:val="auto"/>
                <w:szCs w:val="21"/>
              </w:rPr>
              <w:t>铅</w:t>
            </w:r>
          </w:p>
        </w:tc>
        <w:tc>
          <w:tcPr>
            <w:tcW w:w="3555" w:type="dxa"/>
            <w:tcBorders>
              <w:tl2br w:val="nil"/>
              <w:tr2bl w:val="nil"/>
            </w:tcBorders>
            <w:noWrap w:val="0"/>
            <w:vAlign w:val="center"/>
          </w:tcPr>
          <w:p w14:paraId="519A0A67">
            <w:pPr>
              <w:pStyle w:val="461"/>
              <w:pageBreakBefore w:val="0"/>
              <w:wordWrap/>
              <w:bidi w:val="0"/>
              <w:adjustRightInd/>
              <w:snapToGrid/>
              <w:rPr>
                <w:color w:val="auto"/>
                <w:szCs w:val="21"/>
              </w:rPr>
            </w:pPr>
            <w:r>
              <w:rPr>
                <w:color w:val="auto"/>
                <w:szCs w:val="21"/>
              </w:rPr>
              <w:t>800</w:t>
            </w:r>
          </w:p>
        </w:tc>
        <w:tc>
          <w:tcPr>
            <w:tcW w:w="3200" w:type="dxa"/>
            <w:tcBorders>
              <w:tl2br w:val="nil"/>
              <w:tr2bl w:val="nil"/>
            </w:tcBorders>
            <w:noWrap w:val="0"/>
            <w:vAlign w:val="center"/>
          </w:tcPr>
          <w:p w14:paraId="69F1B0B6">
            <w:pPr>
              <w:pStyle w:val="461"/>
              <w:pageBreakBefore w:val="0"/>
              <w:wordWrap/>
              <w:bidi w:val="0"/>
              <w:adjustRightInd/>
              <w:snapToGrid/>
              <w:rPr>
                <w:color w:val="auto"/>
                <w:szCs w:val="21"/>
              </w:rPr>
            </w:pPr>
            <w:r>
              <w:rPr>
                <w:color w:val="auto"/>
                <w:szCs w:val="21"/>
              </w:rPr>
              <w:t>2500</w:t>
            </w:r>
          </w:p>
        </w:tc>
      </w:tr>
      <w:tr w14:paraId="577975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77D77028">
            <w:pPr>
              <w:pStyle w:val="461"/>
              <w:pageBreakBefore w:val="0"/>
              <w:wordWrap/>
              <w:bidi w:val="0"/>
              <w:adjustRightInd/>
              <w:snapToGrid/>
              <w:rPr>
                <w:color w:val="auto"/>
                <w:szCs w:val="21"/>
              </w:rPr>
            </w:pPr>
            <w:r>
              <w:rPr>
                <w:color w:val="auto"/>
                <w:szCs w:val="21"/>
              </w:rPr>
              <w:t>镉</w:t>
            </w:r>
          </w:p>
        </w:tc>
        <w:tc>
          <w:tcPr>
            <w:tcW w:w="3555" w:type="dxa"/>
            <w:tcBorders>
              <w:tl2br w:val="nil"/>
              <w:tr2bl w:val="nil"/>
            </w:tcBorders>
            <w:noWrap w:val="0"/>
            <w:vAlign w:val="center"/>
          </w:tcPr>
          <w:p w14:paraId="0C66B687">
            <w:pPr>
              <w:pStyle w:val="461"/>
              <w:pageBreakBefore w:val="0"/>
              <w:wordWrap/>
              <w:bidi w:val="0"/>
              <w:adjustRightInd/>
              <w:snapToGrid/>
              <w:rPr>
                <w:color w:val="auto"/>
                <w:szCs w:val="21"/>
              </w:rPr>
            </w:pPr>
            <w:r>
              <w:rPr>
                <w:color w:val="auto"/>
                <w:szCs w:val="21"/>
              </w:rPr>
              <w:t>65</w:t>
            </w:r>
          </w:p>
        </w:tc>
        <w:tc>
          <w:tcPr>
            <w:tcW w:w="3200" w:type="dxa"/>
            <w:tcBorders>
              <w:tl2br w:val="nil"/>
              <w:tr2bl w:val="nil"/>
            </w:tcBorders>
            <w:noWrap w:val="0"/>
            <w:vAlign w:val="center"/>
          </w:tcPr>
          <w:p w14:paraId="5FE8A490">
            <w:pPr>
              <w:pStyle w:val="461"/>
              <w:pageBreakBefore w:val="0"/>
              <w:wordWrap/>
              <w:bidi w:val="0"/>
              <w:adjustRightInd/>
              <w:snapToGrid/>
              <w:rPr>
                <w:color w:val="auto"/>
                <w:szCs w:val="21"/>
              </w:rPr>
            </w:pPr>
            <w:r>
              <w:rPr>
                <w:color w:val="auto"/>
                <w:szCs w:val="21"/>
              </w:rPr>
              <w:t>172</w:t>
            </w:r>
          </w:p>
        </w:tc>
      </w:tr>
      <w:tr w14:paraId="7938C5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01AF936E">
            <w:pPr>
              <w:pStyle w:val="461"/>
              <w:pageBreakBefore w:val="0"/>
              <w:wordWrap/>
              <w:bidi w:val="0"/>
              <w:adjustRightInd/>
              <w:snapToGrid/>
              <w:rPr>
                <w:color w:val="auto"/>
                <w:szCs w:val="21"/>
              </w:rPr>
            </w:pPr>
            <w:r>
              <w:rPr>
                <w:color w:val="auto"/>
                <w:szCs w:val="21"/>
              </w:rPr>
              <w:t>苯</w:t>
            </w:r>
          </w:p>
        </w:tc>
        <w:tc>
          <w:tcPr>
            <w:tcW w:w="3555" w:type="dxa"/>
            <w:tcBorders>
              <w:tl2br w:val="nil"/>
              <w:tr2bl w:val="nil"/>
            </w:tcBorders>
            <w:noWrap w:val="0"/>
            <w:vAlign w:val="center"/>
          </w:tcPr>
          <w:p w14:paraId="7933E396">
            <w:pPr>
              <w:pStyle w:val="461"/>
              <w:pageBreakBefore w:val="0"/>
              <w:wordWrap/>
              <w:bidi w:val="0"/>
              <w:adjustRightInd/>
              <w:snapToGrid/>
              <w:rPr>
                <w:color w:val="auto"/>
                <w:szCs w:val="21"/>
              </w:rPr>
            </w:pPr>
            <w:r>
              <w:rPr>
                <w:color w:val="auto"/>
                <w:szCs w:val="21"/>
              </w:rPr>
              <w:t>4</w:t>
            </w:r>
          </w:p>
        </w:tc>
        <w:tc>
          <w:tcPr>
            <w:tcW w:w="3200" w:type="dxa"/>
            <w:tcBorders>
              <w:tl2br w:val="nil"/>
              <w:tr2bl w:val="nil"/>
            </w:tcBorders>
            <w:noWrap w:val="0"/>
            <w:vAlign w:val="center"/>
          </w:tcPr>
          <w:p w14:paraId="51D83E24">
            <w:pPr>
              <w:pStyle w:val="461"/>
              <w:pageBreakBefore w:val="0"/>
              <w:wordWrap/>
              <w:bidi w:val="0"/>
              <w:adjustRightInd/>
              <w:snapToGrid/>
              <w:rPr>
                <w:color w:val="auto"/>
                <w:szCs w:val="21"/>
              </w:rPr>
            </w:pPr>
            <w:r>
              <w:rPr>
                <w:color w:val="auto"/>
                <w:szCs w:val="21"/>
              </w:rPr>
              <w:t>40</w:t>
            </w:r>
          </w:p>
        </w:tc>
      </w:tr>
      <w:tr w14:paraId="3C5473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5A852977">
            <w:pPr>
              <w:pStyle w:val="461"/>
              <w:pageBreakBefore w:val="0"/>
              <w:wordWrap/>
              <w:bidi w:val="0"/>
              <w:adjustRightInd/>
              <w:snapToGrid/>
              <w:rPr>
                <w:color w:val="auto"/>
                <w:szCs w:val="21"/>
              </w:rPr>
            </w:pPr>
            <w:r>
              <w:rPr>
                <w:color w:val="auto"/>
                <w:szCs w:val="21"/>
              </w:rPr>
              <w:t>甲苯</w:t>
            </w:r>
          </w:p>
        </w:tc>
        <w:tc>
          <w:tcPr>
            <w:tcW w:w="3555" w:type="dxa"/>
            <w:tcBorders>
              <w:tl2br w:val="nil"/>
              <w:tr2bl w:val="nil"/>
            </w:tcBorders>
            <w:noWrap w:val="0"/>
            <w:vAlign w:val="center"/>
          </w:tcPr>
          <w:p w14:paraId="6DCE2EBC">
            <w:pPr>
              <w:pStyle w:val="461"/>
              <w:pageBreakBefore w:val="0"/>
              <w:wordWrap/>
              <w:bidi w:val="0"/>
              <w:adjustRightInd/>
              <w:snapToGrid/>
              <w:rPr>
                <w:color w:val="auto"/>
                <w:szCs w:val="21"/>
              </w:rPr>
            </w:pPr>
            <w:r>
              <w:rPr>
                <w:color w:val="auto"/>
                <w:szCs w:val="21"/>
              </w:rPr>
              <w:t>1200</w:t>
            </w:r>
          </w:p>
        </w:tc>
        <w:tc>
          <w:tcPr>
            <w:tcW w:w="3200" w:type="dxa"/>
            <w:tcBorders>
              <w:tl2br w:val="nil"/>
              <w:tr2bl w:val="nil"/>
            </w:tcBorders>
            <w:noWrap w:val="0"/>
            <w:vAlign w:val="center"/>
          </w:tcPr>
          <w:p w14:paraId="41B59DD4">
            <w:pPr>
              <w:pStyle w:val="461"/>
              <w:pageBreakBefore w:val="0"/>
              <w:wordWrap/>
              <w:bidi w:val="0"/>
              <w:adjustRightInd/>
              <w:snapToGrid/>
              <w:rPr>
                <w:color w:val="auto"/>
                <w:szCs w:val="21"/>
              </w:rPr>
            </w:pPr>
            <w:r>
              <w:rPr>
                <w:color w:val="auto"/>
                <w:szCs w:val="21"/>
              </w:rPr>
              <w:t>1200</w:t>
            </w:r>
          </w:p>
        </w:tc>
      </w:tr>
      <w:tr w14:paraId="0ACE82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1B8E301A">
            <w:pPr>
              <w:pStyle w:val="461"/>
              <w:pageBreakBefore w:val="0"/>
              <w:wordWrap/>
              <w:bidi w:val="0"/>
              <w:adjustRightInd/>
              <w:snapToGrid/>
              <w:rPr>
                <w:color w:val="auto"/>
                <w:szCs w:val="21"/>
              </w:rPr>
            </w:pPr>
            <w:r>
              <w:rPr>
                <w:color w:val="auto"/>
                <w:szCs w:val="21"/>
              </w:rPr>
              <w:t>乙苯</w:t>
            </w:r>
          </w:p>
        </w:tc>
        <w:tc>
          <w:tcPr>
            <w:tcW w:w="3555" w:type="dxa"/>
            <w:tcBorders>
              <w:tl2br w:val="nil"/>
              <w:tr2bl w:val="nil"/>
            </w:tcBorders>
            <w:noWrap w:val="0"/>
            <w:vAlign w:val="center"/>
          </w:tcPr>
          <w:p w14:paraId="6ADC87E2">
            <w:pPr>
              <w:pStyle w:val="461"/>
              <w:pageBreakBefore w:val="0"/>
              <w:wordWrap/>
              <w:bidi w:val="0"/>
              <w:adjustRightInd/>
              <w:snapToGrid/>
              <w:rPr>
                <w:color w:val="auto"/>
                <w:szCs w:val="21"/>
              </w:rPr>
            </w:pPr>
            <w:r>
              <w:rPr>
                <w:color w:val="auto"/>
                <w:szCs w:val="21"/>
              </w:rPr>
              <w:t>28</w:t>
            </w:r>
          </w:p>
        </w:tc>
        <w:tc>
          <w:tcPr>
            <w:tcW w:w="3200" w:type="dxa"/>
            <w:tcBorders>
              <w:tl2br w:val="nil"/>
              <w:tr2bl w:val="nil"/>
            </w:tcBorders>
            <w:noWrap w:val="0"/>
            <w:vAlign w:val="center"/>
          </w:tcPr>
          <w:p w14:paraId="3E16264D">
            <w:pPr>
              <w:pStyle w:val="461"/>
              <w:pageBreakBefore w:val="0"/>
              <w:wordWrap/>
              <w:bidi w:val="0"/>
              <w:adjustRightInd/>
              <w:snapToGrid/>
              <w:rPr>
                <w:color w:val="auto"/>
                <w:szCs w:val="21"/>
              </w:rPr>
            </w:pPr>
            <w:r>
              <w:rPr>
                <w:color w:val="auto"/>
                <w:szCs w:val="21"/>
              </w:rPr>
              <w:t>280</w:t>
            </w:r>
          </w:p>
        </w:tc>
      </w:tr>
      <w:tr w14:paraId="4C01F2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301B6642">
            <w:pPr>
              <w:pStyle w:val="461"/>
              <w:pageBreakBefore w:val="0"/>
              <w:wordWrap/>
              <w:bidi w:val="0"/>
              <w:adjustRightInd/>
              <w:snapToGrid/>
              <w:rPr>
                <w:color w:val="auto"/>
                <w:szCs w:val="21"/>
              </w:rPr>
            </w:pPr>
            <w:r>
              <w:rPr>
                <w:color w:val="auto"/>
                <w:szCs w:val="21"/>
              </w:rPr>
              <w:t>间&amp;对-二甲苯</w:t>
            </w:r>
          </w:p>
        </w:tc>
        <w:tc>
          <w:tcPr>
            <w:tcW w:w="3555" w:type="dxa"/>
            <w:tcBorders>
              <w:tl2br w:val="nil"/>
              <w:tr2bl w:val="nil"/>
            </w:tcBorders>
            <w:noWrap w:val="0"/>
            <w:vAlign w:val="center"/>
          </w:tcPr>
          <w:p w14:paraId="78FD16D9">
            <w:pPr>
              <w:pStyle w:val="461"/>
              <w:pageBreakBefore w:val="0"/>
              <w:wordWrap/>
              <w:bidi w:val="0"/>
              <w:adjustRightInd/>
              <w:snapToGrid/>
              <w:rPr>
                <w:color w:val="auto"/>
                <w:szCs w:val="21"/>
              </w:rPr>
            </w:pPr>
            <w:r>
              <w:rPr>
                <w:color w:val="auto"/>
                <w:szCs w:val="21"/>
              </w:rPr>
              <w:t>570</w:t>
            </w:r>
          </w:p>
        </w:tc>
        <w:tc>
          <w:tcPr>
            <w:tcW w:w="3200" w:type="dxa"/>
            <w:tcBorders>
              <w:tl2br w:val="nil"/>
              <w:tr2bl w:val="nil"/>
            </w:tcBorders>
            <w:noWrap w:val="0"/>
            <w:vAlign w:val="center"/>
          </w:tcPr>
          <w:p w14:paraId="798A5E30">
            <w:pPr>
              <w:pStyle w:val="461"/>
              <w:pageBreakBefore w:val="0"/>
              <w:wordWrap/>
              <w:bidi w:val="0"/>
              <w:adjustRightInd/>
              <w:snapToGrid/>
              <w:rPr>
                <w:color w:val="auto"/>
                <w:szCs w:val="21"/>
              </w:rPr>
            </w:pPr>
            <w:r>
              <w:rPr>
                <w:color w:val="auto"/>
                <w:szCs w:val="21"/>
              </w:rPr>
              <w:t>570</w:t>
            </w:r>
          </w:p>
        </w:tc>
      </w:tr>
      <w:tr w14:paraId="591D9D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40501981">
            <w:pPr>
              <w:pStyle w:val="461"/>
              <w:pageBreakBefore w:val="0"/>
              <w:wordWrap/>
              <w:bidi w:val="0"/>
              <w:adjustRightInd/>
              <w:snapToGrid/>
              <w:rPr>
                <w:color w:val="auto"/>
                <w:szCs w:val="21"/>
              </w:rPr>
            </w:pPr>
            <w:r>
              <w:rPr>
                <w:color w:val="auto"/>
                <w:szCs w:val="21"/>
              </w:rPr>
              <w:t>苯乙烯</w:t>
            </w:r>
          </w:p>
        </w:tc>
        <w:tc>
          <w:tcPr>
            <w:tcW w:w="3555" w:type="dxa"/>
            <w:tcBorders>
              <w:tl2br w:val="nil"/>
              <w:tr2bl w:val="nil"/>
            </w:tcBorders>
            <w:noWrap w:val="0"/>
            <w:vAlign w:val="center"/>
          </w:tcPr>
          <w:p w14:paraId="5903EF53">
            <w:pPr>
              <w:pStyle w:val="461"/>
              <w:pageBreakBefore w:val="0"/>
              <w:wordWrap/>
              <w:bidi w:val="0"/>
              <w:adjustRightInd/>
              <w:snapToGrid/>
              <w:rPr>
                <w:color w:val="auto"/>
                <w:szCs w:val="21"/>
              </w:rPr>
            </w:pPr>
            <w:r>
              <w:rPr>
                <w:color w:val="auto"/>
                <w:szCs w:val="21"/>
              </w:rPr>
              <w:t>1290</w:t>
            </w:r>
          </w:p>
        </w:tc>
        <w:tc>
          <w:tcPr>
            <w:tcW w:w="3200" w:type="dxa"/>
            <w:tcBorders>
              <w:tl2br w:val="nil"/>
              <w:tr2bl w:val="nil"/>
            </w:tcBorders>
            <w:noWrap w:val="0"/>
            <w:vAlign w:val="center"/>
          </w:tcPr>
          <w:p w14:paraId="31B47729">
            <w:pPr>
              <w:pStyle w:val="461"/>
              <w:pageBreakBefore w:val="0"/>
              <w:wordWrap/>
              <w:bidi w:val="0"/>
              <w:adjustRightInd/>
              <w:snapToGrid/>
              <w:rPr>
                <w:color w:val="auto"/>
                <w:szCs w:val="21"/>
              </w:rPr>
            </w:pPr>
            <w:r>
              <w:rPr>
                <w:color w:val="auto"/>
                <w:szCs w:val="21"/>
              </w:rPr>
              <w:t>1290</w:t>
            </w:r>
          </w:p>
        </w:tc>
      </w:tr>
      <w:tr w14:paraId="5DF4E4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03D85645">
            <w:pPr>
              <w:pStyle w:val="461"/>
              <w:pageBreakBefore w:val="0"/>
              <w:wordWrap/>
              <w:bidi w:val="0"/>
              <w:adjustRightInd/>
              <w:snapToGrid/>
              <w:rPr>
                <w:color w:val="auto"/>
                <w:szCs w:val="21"/>
              </w:rPr>
            </w:pPr>
            <w:r>
              <w:rPr>
                <w:color w:val="auto"/>
                <w:szCs w:val="21"/>
              </w:rPr>
              <w:t>邻二甲苯</w:t>
            </w:r>
          </w:p>
        </w:tc>
        <w:tc>
          <w:tcPr>
            <w:tcW w:w="3555" w:type="dxa"/>
            <w:tcBorders>
              <w:tl2br w:val="nil"/>
              <w:tr2bl w:val="nil"/>
            </w:tcBorders>
            <w:noWrap w:val="0"/>
            <w:vAlign w:val="center"/>
          </w:tcPr>
          <w:p w14:paraId="457B886A">
            <w:pPr>
              <w:pStyle w:val="461"/>
              <w:pageBreakBefore w:val="0"/>
              <w:wordWrap/>
              <w:bidi w:val="0"/>
              <w:adjustRightInd/>
              <w:snapToGrid/>
              <w:rPr>
                <w:color w:val="auto"/>
                <w:szCs w:val="21"/>
              </w:rPr>
            </w:pPr>
            <w:r>
              <w:rPr>
                <w:color w:val="auto"/>
                <w:szCs w:val="21"/>
              </w:rPr>
              <w:t>640</w:t>
            </w:r>
          </w:p>
        </w:tc>
        <w:tc>
          <w:tcPr>
            <w:tcW w:w="3200" w:type="dxa"/>
            <w:tcBorders>
              <w:tl2br w:val="nil"/>
              <w:tr2bl w:val="nil"/>
            </w:tcBorders>
            <w:noWrap w:val="0"/>
            <w:vAlign w:val="center"/>
          </w:tcPr>
          <w:p w14:paraId="5F3F0F54">
            <w:pPr>
              <w:pStyle w:val="461"/>
              <w:pageBreakBefore w:val="0"/>
              <w:wordWrap/>
              <w:bidi w:val="0"/>
              <w:adjustRightInd/>
              <w:snapToGrid/>
              <w:rPr>
                <w:color w:val="auto"/>
                <w:szCs w:val="21"/>
              </w:rPr>
            </w:pPr>
            <w:r>
              <w:rPr>
                <w:color w:val="auto"/>
                <w:szCs w:val="21"/>
              </w:rPr>
              <w:t>640</w:t>
            </w:r>
          </w:p>
        </w:tc>
      </w:tr>
      <w:tr w14:paraId="2BD3F3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6721E5DF">
            <w:pPr>
              <w:pStyle w:val="461"/>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2-二氯丙烷</w:t>
            </w:r>
          </w:p>
        </w:tc>
        <w:tc>
          <w:tcPr>
            <w:tcW w:w="3555" w:type="dxa"/>
            <w:tcBorders>
              <w:tl2br w:val="nil"/>
              <w:tr2bl w:val="nil"/>
            </w:tcBorders>
            <w:noWrap w:val="0"/>
            <w:vAlign w:val="center"/>
          </w:tcPr>
          <w:p w14:paraId="18F55094">
            <w:pPr>
              <w:pStyle w:val="461"/>
              <w:pageBreakBefore w:val="0"/>
              <w:wordWrap/>
              <w:bidi w:val="0"/>
              <w:adjustRightInd/>
              <w:snapToGrid/>
              <w:rPr>
                <w:color w:val="auto"/>
                <w:szCs w:val="21"/>
              </w:rPr>
            </w:pPr>
            <w:r>
              <w:rPr>
                <w:color w:val="auto"/>
                <w:szCs w:val="21"/>
              </w:rPr>
              <w:t>5</w:t>
            </w:r>
          </w:p>
        </w:tc>
        <w:tc>
          <w:tcPr>
            <w:tcW w:w="3200" w:type="dxa"/>
            <w:tcBorders>
              <w:tl2br w:val="nil"/>
              <w:tr2bl w:val="nil"/>
            </w:tcBorders>
            <w:noWrap w:val="0"/>
            <w:vAlign w:val="center"/>
          </w:tcPr>
          <w:p w14:paraId="353AAE59">
            <w:pPr>
              <w:pStyle w:val="461"/>
              <w:pageBreakBefore w:val="0"/>
              <w:wordWrap/>
              <w:bidi w:val="0"/>
              <w:adjustRightInd/>
              <w:snapToGrid/>
              <w:rPr>
                <w:color w:val="auto"/>
                <w:szCs w:val="21"/>
              </w:rPr>
            </w:pPr>
            <w:r>
              <w:rPr>
                <w:color w:val="auto"/>
                <w:szCs w:val="21"/>
              </w:rPr>
              <w:t>47</w:t>
            </w:r>
          </w:p>
        </w:tc>
      </w:tr>
      <w:tr w14:paraId="27BBF9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5D1E17C5">
            <w:pPr>
              <w:pStyle w:val="461"/>
              <w:pageBreakBefore w:val="0"/>
              <w:wordWrap/>
              <w:bidi w:val="0"/>
              <w:adjustRightInd/>
              <w:snapToGrid/>
              <w:rPr>
                <w:color w:val="auto"/>
                <w:szCs w:val="21"/>
              </w:rPr>
            </w:pPr>
            <w:r>
              <w:rPr>
                <w:color w:val="auto"/>
                <w:szCs w:val="21"/>
              </w:rPr>
              <w:t>氯甲烷</w:t>
            </w:r>
          </w:p>
        </w:tc>
        <w:tc>
          <w:tcPr>
            <w:tcW w:w="3555" w:type="dxa"/>
            <w:tcBorders>
              <w:tl2br w:val="nil"/>
              <w:tr2bl w:val="nil"/>
            </w:tcBorders>
            <w:noWrap w:val="0"/>
            <w:vAlign w:val="center"/>
          </w:tcPr>
          <w:p w14:paraId="67E9FAE1">
            <w:pPr>
              <w:pStyle w:val="461"/>
              <w:pageBreakBefore w:val="0"/>
              <w:wordWrap/>
              <w:bidi w:val="0"/>
              <w:adjustRightInd/>
              <w:snapToGrid/>
              <w:rPr>
                <w:color w:val="auto"/>
                <w:szCs w:val="21"/>
              </w:rPr>
            </w:pPr>
            <w:r>
              <w:rPr>
                <w:color w:val="auto"/>
                <w:szCs w:val="21"/>
              </w:rPr>
              <w:t>37</w:t>
            </w:r>
          </w:p>
        </w:tc>
        <w:tc>
          <w:tcPr>
            <w:tcW w:w="3200" w:type="dxa"/>
            <w:tcBorders>
              <w:tl2br w:val="nil"/>
              <w:tr2bl w:val="nil"/>
            </w:tcBorders>
            <w:noWrap w:val="0"/>
            <w:vAlign w:val="center"/>
          </w:tcPr>
          <w:p w14:paraId="77572835">
            <w:pPr>
              <w:pStyle w:val="461"/>
              <w:pageBreakBefore w:val="0"/>
              <w:wordWrap/>
              <w:bidi w:val="0"/>
              <w:adjustRightInd/>
              <w:snapToGrid/>
              <w:rPr>
                <w:color w:val="auto"/>
                <w:szCs w:val="21"/>
              </w:rPr>
            </w:pPr>
            <w:r>
              <w:rPr>
                <w:color w:val="auto"/>
                <w:szCs w:val="21"/>
              </w:rPr>
              <w:t>120</w:t>
            </w:r>
          </w:p>
        </w:tc>
      </w:tr>
      <w:tr w14:paraId="05131F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1C651366">
            <w:pPr>
              <w:pStyle w:val="461"/>
              <w:pageBreakBefore w:val="0"/>
              <w:wordWrap/>
              <w:bidi w:val="0"/>
              <w:adjustRightInd/>
              <w:snapToGrid/>
              <w:rPr>
                <w:color w:val="auto"/>
                <w:szCs w:val="21"/>
              </w:rPr>
            </w:pPr>
            <w:r>
              <w:rPr>
                <w:color w:val="auto"/>
                <w:szCs w:val="21"/>
              </w:rPr>
              <w:t>氯乙烯</w:t>
            </w:r>
          </w:p>
        </w:tc>
        <w:tc>
          <w:tcPr>
            <w:tcW w:w="3555" w:type="dxa"/>
            <w:tcBorders>
              <w:tl2br w:val="nil"/>
              <w:tr2bl w:val="nil"/>
            </w:tcBorders>
            <w:noWrap w:val="0"/>
            <w:vAlign w:val="center"/>
          </w:tcPr>
          <w:p w14:paraId="5DAC37B9">
            <w:pPr>
              <w:pStyle w:val="461"/>
              <w:pageBreakBefore w:val="0"/>
              <w:wordWrap/>
              <w:bidi w:val="0"/>
              <w:adjustRightInd/>
              <w:snapToGrid/>
              <w:rPr>
                <w:color w:val="auto"/>
                <w:szCs w:val="21"/>
              </w:rPr>
            </w:pPr>
            <w:r>
              <w:rPr>
                <w:color w:val="auto"/>
                <w:szCs w:val="21"/>
              </w:rPr>
              <w:t>0.43</w:t>
            </w:r>
          </w:p>
        </w:tc>
        <w:tc>
          <w:tcPr>
            <w:tcW w:w="3200" w:type="dxa"/>
            <w:tcBorders>
              <w:tl2br w:val="nil"/>
              <w:tr2bl w:val="nil"/>
            </w:tcBorders>
            <w:noWrap w:val="0"/>
            <w:vAlign w:val="center"/>
          </w:tcPr>
          <w:p w14:paraId="5E3642E8">
            <w:pPr>
              <w:pStyle w:val="461"/>
              <w:pageBreakBefore w:val="0"/>
              <w:wordWrap/>
              <w:bidi w:val="0"/>
              <w:adjustRightInd/>
              <w:snapToGrid/>
              <w:rPr>
                <w:color w:val="auto"/>
                <w:szCs w:val="21"/>
              </w:rPr>
            </w:pPr>
            <w:r>
              <w:rPr>
                <w:color w:val="auto"/>
                <w:szCs w:val="21"/>
              </w:rPr>
              <w:t>4.3</w:t>
            </w:r>
          </w:p>
        </w:tc>
      </w:tr>
      <w:tr w14:paraId="30B1C6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1B105A9E">
            <w:pPr>
              <w:pStyle w:val="461"/>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1-二氯乙烯</w:t>
            </w:r>
          </w:p>
        </w:tc>
        <w:tc>
          <w:tcPr>
            <w:tcW w:w="3555" w:type="dxa"/>
            <w:tcBorders>
              <w:tl2br w:val="nil"/>
              <w:tr2bl w:val="nil"/>
            </w:tcBorders>
            <w:noWrap w:val="0"/>
            <w:vAlign w:val="center"/>
          </w:tcPr>
          <w:p w14:paraId="796951AF">
            <w:pPr>
              <w:pStyle w:val="461"/>
              <w:pageBreakBefore w:val="0"/>
              <w:wordWrap/>
              <w:bidi w:val="0"/>
              <w:adjustRightInd/>
              <w:snapToGrid/>
              <w:rPr>
                <w:color w:val="auto"/>
                <w:szCs w:val="21"/>
              </w:rPr>
            </w:pPr>
            <w:r>
              <w:rPr>
                <w:color w:val="auto"/>
                <w:szCs w:val="21"/>
              </w:rPr>
              <w:t>66</w:t>
            </w:r>
          </w:p>
        </w:tc>
        <w:tc>
          <w:tcPr>
            <w:tcW w:w="3200" w:type="dxa"/>
            <w:tcBorders>
              <w:tl2br w:val="nil"/>
              <w:tr2bl w:val="nil"/>
            </w:tcBorders>
            <w:noWrap w:val="0"/>
            <w:vAlign w:val="center"/>
          </w:tcPr>
          <w:p w14:paraId="212AEB96">
            <w:pPr>
              <w:pStyle w:val="461"/>
              <w:pageBreakBefore w:val="0"/>
              <w:wordWrap/>
              <w:bidi w:val="0"/>
              <w:adjustRightInd/>
              <w:snapToGrid/>
              <w:rPr>
                <w:color w:val="auto"/>
                <w:szCs w:val="21"/>
              </w:rPr>
            </w:pPr>
            <w:r>
              <w:rPr>
                <w:color w:val="auto"/>
                <w:szCs w:val="21"/>
              </w:rPr>
              <w:t>200</w:t>
            </w:r>
          </w:p>
        </w:tc>
      </w:tr>
      <w:tr w14:paraId="15BB87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2F86ABC7">
            <w:pPr>
              <w:pStyle w:val="461"/>
              <w:pageBreakBefore w:val="0"/>
              <w:wordWrap/>
              <w:bidi w:val="0"/>
              <w:adjustRightInd/>
              <w:snapToGrid/>
              <w:rPr>
                <w:color w:val="auto"/>
                <w:szCs w:val="21"/>
              </w:rPr>
            </w:pPr>
            <w:r>
              <w:rPr>
                <w:color w:val="auto"/>
                <w:szCs w:val="21"/>
              </w:rPr>
              <w:t>二氯甲烷</w:t>
            </w:r>
          </w:p>
        </w:tc>
        <w:tc>
          <w:tcPr>
            <w:tcW w:w="3555" w:type="dxa"/>
            <w:tcBorders>
              <w:tl2br w:val="nil"/>
              <w:tr2bl w:val="nil"/>
            </w:tcBorders>
            <w:noWrap w:val="0"/>
            <w:vAlign w:val="center"/>
          </w:tcPr>
          <w:p w14:paraId="28344AC6">
            <w:pPr>
              <w:pStyle w:val="461"/>
              <w:pageBreakBefore w:val="0"/>
              <w:wordWrap/>
              <w:bidi w:val="0"/>
              <w:adjustRightInd/>
              <w:snapToGrid/>
              <w:rPr>
                <w:color w:val="auto"/>
                <w:szCs w:val="21"/>
              </w:rPr>
            </w:pPr>
            <w:r>
              <w:rPr>
                <w:color w:val="auto"/>
                <w:szCs w:val="21"/>
              </w:rPr>
              <w:t>616</w:t>
            </w:r>
          </w:p>
        </w:tc>
        <w:tc>
          <w:tcPr>
            <w:tcW w:w="3200" w:type="dxa"/>
            <w:tcBorders>
              <w:tl2br w:val="nil"/>
              <w:tr2bl w:val="nil"/>
            </w:tcBorders>
            <w:noWrap w:val="0"/>
            <w:vAlign w:val="center"/>
          </w:tcPr>
          <w:p w14:paraId="508E4D06">
            <w:pPr>
              <w:pStyle w:val="461"/>
              <w:pageBreakBefore w:val="0"/>
              <w:wordWrap/>
              <w:bidi w:val="0"/>
              <w:adjustRightInd/>
              <w:snapToGrid/>
              <w:rPr>
                <w:color w:val="auto"/>
                <w:szCs w:val="21"/>
              </w:rPr>
            </w:pPr>
            <w:r>
              <w:rPr>
                <w:color w:val="auto"/>
                <w:szCs w:val="21"/>
              </w:rPr>
              <w:t>2000</w:t>
            </w:r>
          </w:p>
        </w:tc>
      </w:tr>
      <w:tr w14:paraId="527EAB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53ED7C9B">
            <w:pPr>
              <w:pStyle w:val="461"/>
              <w:pageBreakBefore w:val="0"/>
              <w:wordWrap/>
              <w:bidi w:val="0"/>
              <w:adjustRightInd/>
              <w:snapToGrid/>
              <w:rPr>
                <w:color w:val="auto"/>
                <w:szCs w:val="21"/>
              </w:rPr>
            </w:pPr>
            <w:r>
              <w:rPr>
                <w:color w:val="auto"/>
                <w:szCs w:val="21"/>
              </w:rPr>
              <w:t>反-1、2-二氯乙烯</w:t>
            </w:r>
          </w:p>
        </w:tc>
        <w:tc>
          <w:tcPr>
            <w:tcW w:w="3555" w:type="dxa"/>
            <w:tcBorders>
              <w:tl2br w:val="nil"/>
              <w:tr2bl w:val="nil"/>
            </w:tcBorders>
            <w:noWrap w:val="0"/>
            <w:vAlign w:val="center"/>
          </w:tcPr>
          <w:p w14:paraId="2E3B1120">
            <w:pPr>
              <w:pStyle w:val="461"/>
              <w:pageBreakBefore w:val="0"/>
              <w:wordWrap/>
              <w:bidi w:val="0"/>
              <w:adjustRightInd/>
              <w:snapToGrid/>
              <w:rPr>
                <w:color w:val="auto"/>
                <w:szCs w:val="21"/>
              </w:rPr>
            </w:pPr>
            <w:r>
              <w:rPr>
                <w:color w:val="auto"/>
                <w:szCs w:val="21"/>
              </w:rPr>
              <w:t>54</w:t>
            </w:r>
          </w:p>
        </w:tc>
        <w:tc>
          <w:tcPr>
            <w:tcW w:w="3200" w:type="dxa"/>
            <w:tcBorders>
              <w:tl2br w:val="nil"/>
              <w:tr2bl w:val="nil"/>
            </w:tcBorders>
            <w:noWrap w:val="0"/>
            <w:vAlign w:val="center"/>
          </w:tcPr>
          <w:p w14:paraId="0A59B3F8">
            <w:pPr>
              <w:pStyle w:val="461"/>
              <w:pageBreakBefore w:val="0"/>
              <w:wordWrap/>
              <w:bidi w:val="0"/>
              <w:adjustRightInd/>
              <w:snapToGrid/>
              <w:rPr>
                <w:color w:val="auto"/>
                <w:szCs w:val="21"/>
              </w:rPr>
            </w:pPr>
            <w:r>
              <w:rPr>
                <w:color w:val="auto"/>
                <w:szCs w:val="21"/>
              </w:rPr>
              <w:t>163</w:t>
            </w:r>
          </w:p>
        </w:tc>
      </w:tr>
      <w:tr w14:paraId="788CF3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0B913610">
            <w:pPr>
              <w:pStyle w:val="461"/>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1-二氯乙烷</w:t>
            </w:r>
          </w:p>
        </w:tc>
        <w:tc>
          <w:tcPr>
            <w:tcW w:w="3555" w:type="dxa"/>
            <w:tcBorders>
              <w:tl2br w:val="nil"/>
              <w:tr2bl w:val="nil"/>
            </w:tcBorders>
            <w:noWrap w:val="0"/>
            <w:vAlign w:val="center"/>
          </w:tcPr>
          <w:p w14:paraId="0B8AB9F9">
            <w:pPr>
              <w:pStyle w:val="461"/>
              <w:pageBreakBefore w:val="0"/>
              <w:wordWrap/>
              <w:bidi w:val="0"/>
              <w:adjustRightInd/>
              <w:snapToGrid/>
              <w:rPr>
                <w:color w:val="auto"/>
                <w:szCs w:val="21"/>
              </w:rPr>
            </w:pPr>
            <w:r>
              <w:rPr>
                <w:color w:val="auto"/>
                <w:szCs w:val="21"/>
              </w:rPr>
              <w:t>9</w:t>
            </w:r>
          </w:p>
        </w:tc>
        <w:tc>
          <w:tcPr>
            <w:tcW w:w="3200" w:type="dxa"/>
            <w:tcBorders>
              <w:tl2br w:val="nil"/>
              <w:tr2bl w:val="nil"/>
            </w:tcBorders>
            <w:noWrap w:val="0"/>
            <w:vAlign w:val="center"/>
          </w:tcPr>
          <w:p w14:paraId="150D38C1">
            <w:pPr>
              <w:pStyle w:val="461"/>
              <w:pageBreakBefore w:val="0"/>
              <w:wordWrap/>
              <w:bidi w:val="0"/>
              <w:adjustRightInd/>
              <w:snapToGrid/>
              <w:rPr>
                <w:color w:val="auto"/>
                <w:szCs w:val="21"/>
              </w:rPr>
            </w:pPr>
            <w:r>
              <w:rPr>
                <w:color w:val="auto"/>
                <w:szCs w:val="21"/>
              </w:rPr>
              <w:t>100</w:t>
            </w:r>
          </w:p>
        </w:tc>
      </w:tr>
      <w:tr w14:paraId="440592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0425C0E6">
            <w:pPr>
              <w:pStyle w:val="461"/>
              <w:pageBreakBefore w:val="0"/>
              <w:wordWrap/>
              <w:bidi w:val="0"/>
              <w:adjustRightInd/>
              <w:snapToGrid/>
              <w:rPr>
                <w:color w:val="auto"/>
                <w:szCs w:val="21"/>
              </w:rPr>
            </w:pPr>
            <w:r>
              <w:rPr>
                <w:color w:val="auto"/>
                <w:szCs w:val="21"/>
              </w:rPr>
              <w:t>顺-1</w:t>
            </w:r>
            <w:r>
              <w:rPr>
                <w:rFonts w:hint="eastAsia"/>
                <w:color w:val="auto"/>
                <w:szCs w:val="21"/>
                <w:lang w:eastAsia="zh-CN"/>
              </w:rPr>
              <w:t>，</w:t>
            </w:r>
            <w:r>
              <w:rPr>
                <w:color w:val="auto"/>
                <w:szCs w:val="21"/>
              </w:rPr>
              <w:t>2-二氯乙烯</w:t>
            </w:r>
          </w:p>
        </w:tc>
        <w:tc>
          <w:tcPr>
            <w:tcW w:w="3555" w:type="dxa"/>
            <w:tcBorders>
              <w:tl2br w:val="nil"/>
              <w:tr2bl w:val="nil"/>
            </w:tcBorders>
            <w:noWrap w:val="0"/>
            <w:vAlign w:val="center"/>
          </w:tcPr>
          <w:p w14:paraId="12452A8D">
            <w:pPr>
              <w:pStyle w:val="461"/>
              <w:pageBreakBefore w:val="0"/>
              <w:wordWrap/>
              <w:bidi w:val="0"/>
              <w:adjustRightInd/>
              <w:snapToGrid/>
              <w:rPr>
                <w:color w:val="auto"/>
                <w:szCs w:val="21"/>
              </w:rPr>
            </w:pPr>
            <w:r>
              <w:rPr>
                <w:color w:val="auto"/>
                <w:szCs w:val="21"/>
              </w:rPr>
              <w:t>596</w:t>
            </w:r>
          </w:p>
        </w:tc>
        <w:tc>
          <w:tcPr>
            <w:tcW w:w="3200" w:type="dxa"/>
            <w:tcBorders>
              <w:tl2br w:val="nil"/>
              <w:tr2bl w:val="nil"/>
            </w:tcBorders>
            <w:noWrap w:val="0"/>
            <w:vAlign w:val="center"/>
          </w:tcPr>
          <w:p w14:paraId="2D1B5431">
            <w:pPr>
              <w:pStyle w:val="461"/>
              <w:pageBreakBefore w:val="0"/>
              <w:wordWrap/>
              <w:bidi w:val="0"/>
              <w:adjustRightInd/>
              <w:snapToGrid/>
              <w:rPr>
                <w:color w:val="auto"/>
                <w:szCs w:val="21"/>
              </w:rPr>
            </w:pPr>
            <w:r>
              <w:rPr>
                <w:color w:val="auto"/>
                <w:szCs w:val="21"/>
              </w:rPr>
              <w:t>2000</w:t>
            </w:r>
          </w:p>
        </w:tc>
      </w:tr>
      <w:tr w14:paraId="69069B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56320513">
            <w:pPr>
              <w:pStyle w:val="461"/>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1</w:t>
            </w:r>
            <w:r>
              <w:rPr>
                <w:rFonts w:hint="eastAsia"/>
                <w:color w:val="auto"/>
                <w:szCs w:val="21"/>
                <w:lang w:eastAsia="zh-CN"/>
              </w:rPr>
              <w:t>，</w:t>
            </w:r>
            <w:r>
              <w:rPr>
                <w:color w:val="auto"/>
                <w:szCs w:val="21"/>
              </w:rPr>
              <w:t>1-三氯乙烷</w:t>
            </w:r>
          </w:p>
        </w:tc>
        <w:tc>
          <w:tcPr>
            <w:tcW w:w="3555" w:type="dxa"/>
            <w:tcBorders>
              <w:tl2br w:val="nil"/>
              <w:tr2bl w:val="nil"/>
            </w:tcBorders>
            <w:noWrap w:val="0"/>
            <w:vAlign w:val="center"/>
          </w:tcPr>
          <w:p w14:paraId="309C0976">
            <w:pPr>
              <w:pStyle w:val="461"/>
              <w:pageBreakBefore w:val="0"/>
              <w:wordWrap/>
              <w:bidi w:val="0"/>
              <w:adjustRightInd/>
              <w:snapToGrid/>
              <w:rPr>
                <w:color w:val="auto"/>
                <w:szCs w:val="21"/>
              </w:rPr>
            </w:pPr>
            <w:r>
              <w:rPr>
                <w:color w:val="auto"/>
                <w:szCs w:val="21"/>
              </w:rPr>
              <w:t>840</w:t>
            </w:r>
          </w:p>
        </w:tc>
        <w:tc>
          <w:tcPr>
            <w:tcW w:w="3200" w:type="dxa"/>
            <w:tcBorders>
              <w:tl2br w:val="nil"/>
              <w:tr2bl w:val="nil"/>
            </w:tcBorders>
            <w:noWrap w:val="0"/>
            <w:vAlign w:val="center"/>
          </w:tcPr>
          <w:p w14:paraId="4169C2CF">
            <w:pPr>
              <w:pStyle w:val="461"/>
              <w:pageBreakBefore w:val="0"/>
              <w:wordWrap/>
              <w:bidi w:val="0"/>
              <w:adjustRightInd/>
              <w:snapToGrid/>
              <w:rPr>
                <w:color w:val="auto"/>
                <w:szCs w:val="21"/>
              </w:rPr>
            </w:pPr>
            <w:r>
              <w:rPr>
                <w:color w:val="auto"/>
                <w:szCs w:val="21"/>
              </w:rPr>
              <w:t>840</w:t>
            </w:r>
          </w:p>
        </w:tc>
      </w:tr>
      <w:tr w14:paraId="291C62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3E648E86">
            <w:pPr>
              <w:pStyle w:val="461"/>
              <w:pageBreakBefore w:val="0"/>
              <w:wordWrap/>
              <w:bidi w:val="0"/>
              <w:adjustRightInd/>
              <w:snapToGrid/>
              <w:rPr>
                <w:color w:val="auto"/>
                <w:szCs w:val="21"/>
              </w:rPr>
            </w:pPr>
            <w:r>
              <w:rPr>
                <w:color w:val="auto"/>
                <w:szCs w:val="21"/>
              </w:rPr>
              <w:t>四氯化碳</w:t>
            </w:r>
          </w:p>
        </w:tc>
        <w:tc>
          <w:tcPr>
            <w:tcW w:w="3555" w:type="dxa"/>
            <w:tcBorders>
              <w:tl2br w:val="nil"/>
              <w:tr2bl w:val="nil"/>
            </w:tcBorders>
            <w:noWrap w:val="0"/>
            <w:vAlign w:val="center"/>
          </w:tcPr>
          <w:p w14:paraId="7727CF29">
            <w:pPr>
              <w:pStyle w:val="461"/>
              <w:pageBreakBefore w:val="0"/>
              <w:wordWrap/>
              <w:bidi w:val="0"/>
              <w:adjustRightInd/>
              <w:snapToGrid/>
              <w:rPr>
                <w:color w:val="auto"/>
                <w:szCs w:val="21"/>
              </w:rPr>
            </w:pPr>
            <w:r>
              <w:rPr>
                <w:color w:val="auto"/>
                <w:szCs w:val="21"/>
              </w:rPr>
              <w:t>2.8</w:t>
            </w:r>
          </w:p>
        </w:tc>
        <w:tc>
          <w:tcPr>
            <w:tcW w:w="3200" w:type="dxa"/>
            <w:tcBorders>
              <w:tl2br w:val="nil"/>
              <w:tr2bl w:val="nil"/>
            </w:tcBorders>
            <w:noWrap w:val="0"/>
            <w:vAlign w:val="center"/>
          </w:tcPr>
          <w:p w14:paraId="353A1728">
            <w:pPr>
              <w:pStyle w:val="461"/>
              <w:pageBreakBefore w:val="0"/>
              <w:wordWrap/>
              <w:bidi w:val="0"/>
              <w:adjustRightInd/>
              <w:snapToGrid/>
              <w:rPr>
                <w:color w:val="auto"/>
                <w:szCs w:val="21"/>
              </w:rPr>
            </w:pPr>
            <w:r>
              <w:rPr>
                <w:color w:val="auto"/>
                <w:szCs w:val="21"/>
              </w:rPr>
              <w:t>36</w:t>
            </w:r>
          </w:p>
        </w:tc>
      </w:tr>
      <w:tr w14:paraId="099B0D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0495939D">
            <w:pPr>
              <w:pStyle w:val="461"/>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2-二氯乙烷</w:t>
            </w:r>
          </w:p>
        </w:tc>
        <w:tc>
          <w:tcPr>
            <w:tcW w:w="3555" w:type="dxa"/>
            <w:tcBorders>
              <w:tl2br w:val="nil"/>
              <w:tr2bl w:val="nil"/>
            </w:tcBorders>
            <w:noWrap w:val="0"/>
            <w:vAlign w:val="center"/>
          </w:tcPr>
          <w:p w14:paraId="01B842F8">
            <w:pPr>
              <w:pStyle w:val="461"/>
              <w:pageBreakBefore w:val="0"/>
              <w:wordWrap/>
              <w:bidi w:val="0"/>
              <w:adjustRightInd/>
              <w:snapToGrid/>
              <w:rPr>
                <w:color w:val="auto"/>
                <w:szCs w:val="21"/>
              </w:rPr>
            </w:pPr>
            <w:r>
              <w:rPr>
                <w:color w:val="auto"/>
                <w:szCs w:val="21"/>
              </w:rPr>
              <w:t>5</w:t>
            </w:r>
          </w:p>
        </w:tc>
        <w:tc>
          <w:tcPr>
            <w:tcW w:w="3200" w:type="dxa"/>
            <w:tcBorders>
              <w:tl2br w:val="nil"/>
              <w:tr2bl w:val="nil"/>
            </w:tcBorders>
            <w:noWrap w:val="0"/>
            <w:vAlign w:val="center"/>
          </w:tcPr>
          <w:p w14:paraId="610D1231">
            <w:pPr>
              <w:pStyle w:val="461"/>
              <w:pageBreakBefore w:val="0"/>
              <w:wordWrap/>
              <w:bidi w:val="0"/>
              <w:adjustRightInd/>
              <w:snapToGrid/>
              <w:rPr>
                <w:color w:val="auto"/>
                <w:szCs w:val="21"/>
              </w:rPr>
            </w:pPr>
            <w:r>
              <w:rPr>
                <w:color w:val="auto"/>
                <w:szCs w:val="21"/>
              </w:rPr>
              <w:t>21</w:t>
            </w:r>
          </w:p>
        </w:tc>
      </w:tr>
      <w:tr w14:paraId="3D6842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55316F7C">
            <w:pPr>
              <w:pStyle w:val="461"/>
              <w:pageBreakBefore w:val="0"/>
              <w:wordWrap/>
              <w:bidi w:val="0"/>
              <w:adjustRightInd/>
              <w:snapToGrid/>
              <w:rPr>
                <w:color w:val="auto"/>
                <w:szCs w:val="21"/>
              </w:rPr>
            </w:pPr>
            <w:r>
              <w:rPr>
                <w:color w:val="auto"/>
                <w:szCs w:val="21"/>
              </w:rPr>
              <w:t>三氯乙烯</w:t>
            </w:r>
          </w:p>
        </w:tc>
        <w:tc>
          <w:tcPr>
            <w:tcW w:w="3555" w:type="dxa"/>
            <w:tcBorders>
              <w:tl2br w:val="nil"/>
              <w:tr2bl w:val="nil"/>
            </w:tcBorders>
            <w:noWrap w:val="0"/>
            <w:vAlign w:val="center"/>
          </w:tcPr>
          <w:p w14:paraId="79F9A887">
            <w:pPr>
              <w:pStyle w:val="461"/>
              <w:pageBreakBefore w:val="0"/>
              <w:wordWrap/>
              <w:bidi w:val="0"/>
              <w:adjustRightInd/>
              <w:snapToGrid/>
              <w:rPr>
                <w:color w:val="auto"/>
                <w:szCs w:val="21"/>
              </w:rPr>
            </w:pPr>
            <w:r>
              <w:rPr>
                <w:color w:val="auto"/>
                <w:szCs w:val="21"/>
              </w:rPr>
              <w:t>2.8</w:t>
            </w:r>
          </w:p>
        </w:tc>
        <w:tc>
          <w:tcPr>
            <w:tcW w:w="3200" w:type="dxa"/>
            <w:tcBorders>
              <w:tl2br w:val="nil"/>
              <w:tr2bl w:val="nil"/>
            </w:tcBorders>
            <w:noWrap w:val="0"/>
            <w:vAlign w:val="center"/>
          </w:tcPr>
          <w:p w14:paraId="5F025157">
            <w:pPr>
              <w:pStyle w:val="461"/>
              <w:pageBreakBefore w:val="0"/>
              <w:wordWrap/>
              <w:bidi w:val="0"/>
              <w:adjustRightInd/>
              <w:snapToGrid/>
              <w:rPr>
                <w:color w:val="auto"/>
                <w:szCs w:val="21"/>
              </w:rPr>
            </w:pPr>
            <w:r>
              <w:rPr>
                <w:color w:val="auto"/>
                <w:szCs w:val="21"/>
              </w:rPr>
              <w:t>20</w:t>
            </w:r>
          </w:p>
        </w:tc>
      </w:tr>
      <w:tr w14:paraId="0869CC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54B3A5C7">
            <w:pPr>
              <w:pStyle w:val="461"/>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1</w:t>
            </w:r>
            <w:r>
              <w:rPr>
                <w:rFonts w:hint="eastAsia"/>
                <w:color w:val="auto"/>
                <w:szCs w:val="21"/>
                <w:lang w:eastAsia="zh-CN"/>
              </w:rPr>
              <w:t>，</w:t>
            </w:r>
            <w:r>
              <w:rPr>
                <w:color w:val="auto"/>
                <w:szCs w:val="21"/>
              </w:rPr>
              <w:t>2-三氯乙烷</w:t>
            </w:r>
          </w:p>
        </w:tc>
        <w:tc>
          <w:tcPr>
            <w:tcW w:w="3555" w:type="dxa"/>
            <w:tcBorders>
              <w:tl2br w:val="nil"/>
              <w:tr2bl w:val="nil"/>
            </w:tcBorders>
            <w:noWrap w:val="0"/>
            <w:vAlign w:val="center"/>
          </w:tcPr>
          <w:p w14:paraId="7E8EEDF2">
            <w:pPr>
              <w:pStyle w:val="461"/>
              <w:pageBreakBefore w:val="0"/>
              <w:wordWrap/>
              <w:bidi w:val="0"/>
              <w:adjustRightInd/>
              <w:snapToGrid/>
              <w:rPr>
                <w:color w:val="auto"/>
                <w:szCs w:val="21"/>
              </w:rPr>
            </w:pPr>
            <w:r>
              <w:rPr>
                <w:color w:val="auto"/>
                <w:szCs w:val="21"/>
              </w:rPr>
              <w:t>2.8</w:t>
            </w:r>
          </w:p>
        </w:tc>
        <w:tc>
          <w:tcPr>
            <w:tcW w:w="3200" w:type="dxa"/>
            <w:tcBorders>
              <w:tl2br w:val="nil"/>
              <w:tr2bl w:val="nil"/>
            </w:tcBorders>
            <w:noWrap w:val="0"/>
            <w:vAlign w:val="center"/>
          </w:tcPr>
          <w:p w14:paraId="1C7BACA8">
            <w:pPr>
              <w:pStyle w:val="461"/>
              <w:pageBreakBefore w:val="0"/>
              <w:wordWrap/>
              <w:bidi w:val="0"/>
              <w:adjustRightInd/>
              <w:snapToGrid/>
              <w:rPr>
                <w:color w:val="auto"/>
                <w:szCs w:val="21"/>
              </w:rPr>
            </w:pPr>
            <w:r>
              <w:rPr>
                <w:color w:val="auto"/>
                <w:szCs w:val="21"/>
              </w:rPr>
              <w:t>15</w:t>
            </w:r>
          </w:p>
        </w:tc>
      </w:tr>
      <w:tr w14:paraId="12DB5F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3FE56687">
            <w:pPr>
              <w:pStyle w:val="461"/>
              <w:pageBreakBefore w:val="0"/>
              <w:wordWrap/>
              <w:bidi w:val="0"/>
              <w:adjustRightInd/>
              <w:snapToGrid/>
              <w:rPr>
                <w:color w:val="auto"/>
                <w:szCs w:val="21"/>
              </w:rPr>
            </w:pPr>
            <w:r>
              <w:rPr>
                <w:color w:val="auto"/>
                <w:szCs w:val="21"/>
              </w:rPr>
              <w:t>四氯乙烯</w:t>
            </w:r>
          </w:p>
        </w:tc>
        <w:tc>
          <w:tcPr>
            <w:tcW w:w="3555" w:type="dxa"/>
            <w:tcBorders>
              <w:tl2br w:val="nil"/>
              <w:tr2bl w:val="nil"/>
            </w:tcBorders>
            <w:noWrap w:val="0"/>
            <w:vAlign w:val="center"/>
          </w:tcPr>
          <w:p w14:paraId="39F0DF33">
            <w:pPr>
              <w:pStyle w:val="461"/>
              <w:pageBreakBefore w:val="0"/>
              <w:wordWrap/>
              <w:bidi w:val="0"/>
              <w:adjustRightInd/>
              <w:snapToGrid/>
              <w:rPr>
                <w:color w:val="auto"/>
                <w:szCs w:val="21"/>
              </w:rPr>
            </w:pPr>
            <w:r>
              <w:rPr>
                <w:color w:val="auto"/>
                <w:szCs w:val="21"/>
              </w:rPr>
              <w:t>53</w:t>
            </w:r>
          </w:p>
        </w:tc>
        <w:tc>
          <w:tcPr>
            <w:tcW w:w="3200" w:type="dxa"/>
            <w:tcBorders>
              <w:tl2br w:val="nil"/>
              <w:tr2bl w:val="nil"/>
            </w:tcBorders>
            <w:noWrap w:val="0"/>
            <w:vAlign w:val="center"/>
          </w:tcPr>
          <w:p w14:paraId="108F4516">
            <w:pPr>
              <w:pStyle w:val="461"/>
              <w:pageBreakBefore w:val="0"/>
              <w:wordWrap/>
              <w:bidi w:val="0"/>
              <w:adjustRightInd/>
              <w:snapToGrid/>
              <w:rPr>
                <w:color w:val="auto"/>
                <w:szCs w:val="21"/>
              </w:rPr>
            </w:pPr>
            <w:r>
              <w:rPr>
                <w:color w:val="auto"/>
                <w:szCs w:val="21"/>
              </w:rPr>
              <w:t>183</w:t>
            </w:r>
          </w:p>
        </w:tc>
      </w:tr>
      <w:tr w14:paraId="1839D4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38C89DEB">
            <w:pPr>
              <w:pStyle w:val="461"/>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1</w:t>
            </w:r>
            <w:r>
              <w:rPr>
                <w:rFonts w:hint="eastAsia"/>
                <w:color w:val="auto"/>
                <w:szCs w:val="21"/>
                <w:lang w:eastAsia="zh-CN"/>
              </w:rPr>
              <w:t>，</w:t>
            </w:r>
            <w:r>
              <w:rPr>
                <w:color w:val="auto"/>
                <w:szCs w:val="21"/>
              </w:rPr>
              <w:t>1</w:t>
            </w:r>
            <w:r>
              <w:rPr>
                <w:rFonts w:hint="eastAsia"/>
                <w:color w:val="auto"/>
                <w:szCs w:val="21"/>
                <w:lang w:eastAsia="zh-CN"/>
              </w:rPr>
              <w:t>，</w:t>
            </w:r>
            <w:r>
              <w:rPr>
                <w:color w:val="auto"/>
                <w:szCs w:val="21"/>
              </w:rPr>
              <w:t>2-四氯乙烷</w:t>
            </w:r>
          </w:p>
        </w:tc>
        <w:tc>
          <w:tcPr>
            <w:tcW w:w="3555" w:type="dxa"/>
            <w:tcBorders>
              <w:tl2br w:val="nil"/>
              <w:tr2bl w:val="nil"/>
            </w:tcBorders>
            <w:noWrap w:val="0"/>
            <w:vAlign w:val="center"/>
          </w:tcPr>
          <w:p w14:paraId="0354FEDD">
            <w:pPr>
              <w:pStyle w:val="461"/>
              <w:pageBreakBefore w:val="0"/>
              <w:wordWrap/>
              <w:bidi w:val="0"/>
              <w:adjustRightInd/>
              <w:snapToGrid/>
              <w:rPr>
                <w:color w:val="auto"/>
                <w:szCs w:val="21"/>
              </w:rPr>
            </w:pPr>
            <w:r>
              <w:rPr>
                <w:color w:val="auto"/>
                <w:szCs w:val="21"/>
              </w:rPr>
              <w:t>10</w:t>
            </w:r>
          </w:p>
        </w:tc>
        <w:tc>
          <w:tcPr>
            <w:tcW w:w="3200" w:type="dxa"/>
            <w:tcBorders>
              <w:tl2br w:val="nil"/>
              <w:tr2bl w:val="nil"/>
            </w:tcBorders>
            <w:noWrap w:val="0"/>
            <w:vAlign w:val="center"/>
          </w:tcPr>
          <w:p w14:paraId="6151936A">
            <w:pPr>
              <w:pStyle w:val="461"/>
              <w:pageBreakBefore w:val="0"/>
              <w:wordWrap/>
              <w:bidi w:val="0"/>
              <w:adjustRightInd/>
              <w:snapToGrid/>
              <w:rPr>
                <w:color w:val="auto"/>
                <w:szCs w:val="21"/>
              </w:rPr>
            </w:pPr>
            <w:r>
              <w:rPr>
                <w:color w:val="auto"/>
                <w:szCs w:val="21"/>
              </w:rPr>
              <w:t>100</w:t>
            </w:r>
          </w:p>
        </w:tc>
      </w:tr>
      <w:tr w14:paraId="3E4C8B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420FE326">
            <w:pPr>
              <w:pStyle w:val="461"/>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1</w:t>
            </w:r>
            <w:r>
              <w:rPr>
                <w:rFonts w:hint="eastAsia"/>
                <w:color w:val="auto"/>
                <w:szCs w:val="21"/>
                <w:lang w:eastAsia="zh-CN"/>
              </w:rPr>
              <w:t>，</w:t>
            </w:r>
            <w:r>
              <w:rPr>
                <w:color w:val="auto"/>
                <w:szCs w:val="21"/>
              </w:rPr>
              <w:t>2</w:t>
            </w:r>
            <w:r>
              <w:rPr>
                <w:rFonts w:hint="eastAsia"/>
                <w:color w:val="auto"/>
                <w:szCs w:val="21"/>
                <w:lang w:eastAsia="zh-CN"/>
              </w:rPr>
              <w:t>，</w:t>
            </w:r>
            <w:r>
              <w:rPr>
                <w:color w:val="auto"/>
                <w:szCs w:val="21"/>
              </w:rPr>
              <w:t>2-四氯乙烷</w:t>
            </w:r>
          </w:p>
        </w:tc>
        <w:tc>
          <w:tcPr>
            <w:tcW w:w="3555" w:type="dxa"/>
            <w:tcBorders>
              <w:tl2br w:val="nil"/>
              <w:tr2bl w:val="nil"/>
            </w:tcBorders>
            <w:noWrap w:val="0"/>
            <w:vAlign w:val="center"/>
          </w:tcPr>
          <w:p w14:paraId="2D1FC260">
            <w:pPr>
              <w:pStyle w:val="461"/>
              <w:pageBreakBefore w:val="0"/>
              <w:wordWrap/>
              <w:bidi w:val="0"/>
              <w:adjustRightInd/>
              <w:snapToGrid/>
              <w:rPr>
                <w:color w:val="auto"/>
                <w:szCs w:val="21"/>
              </w:rPr>
            </w:pPr>
            <w:r>
              <w:rPr>
                <w:color w:val="auto"/>
                <w:szCs w:val="21"/>
              </w:rPr>
              <w:t>6.8</w:t>
            </w:r>
          </w:p>
        </w:tc>
        <w:tc>
          <w:tcPr>
            <w:tcW w:w="3200" w:type="dxa"/>
            <w:tcBorders>
              <w:tl2br w:val="nil"/>
              <w:tr2bl w:val="nil"/>
            </w:tcBorders>
            <w:noWrap w:val="0"/>
            <w:vAlign w:val="center"/>
          </w:tcPr>
          <w:p w14:paraId="2F16E4F4">
            <w:pPr>
              <w:pStyle w:val="461"/>
              <w:pageBreakBefore w:val="0"/>
              <w:wordWrap/>
              <w:bidi w:val="0"/>
              <w:adjustRightInd/>
              <w:snapToGrid/>
              <w:rPr>
                <w:color w:val="auto"/>
                <w:szCs w:val="21"/>
              </w:rPr>
            </w:pPr>
            <w:r>
              <w:rPr>
                <w:color w:val="auto"/>
                <w:szCs w:val="21"/>
              </w:rPr>
              <w:t>50</w:t>
            </w:r>
          </w:p>
        </w:tc>
      </w:tr>
      <w:tr w14:paraId="5BA225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576125FC">
            <w:pPr>
              <w:pStyle w:val="461"/>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2</w:t>
            </w:r>
            <w:r>
              <w:rPr>
                <w:rFonts w:hint="eastAsia"/>
                <w:color w:val="auto"/>
                <w:szCs w:val="21"/>
                <w:lang w:eastAsia="zh-CN"/>
              </w:rPr>
              <w:t>，</w:t>
            </w:r>
            <w:r>
              <w:rPr>
                <w:color w:val="auto"/>
                <w:szCs w:val="21"/>
              </w:rPr>
              <w:t>3-三氯丙烷</w:t>
            </w:r>
          </w:p>
        </w:tc>
        <w:tc>
          <w:tcPr>
            <w:tcW w:w="3555" w:type="dxa"/>
            <w:tcBorders>
              <w:tl2br w:val="nil"/>
              <w:tr2bl w:val="nil"/>
            </w:tcBorders>
            <w:noWrap w:val="0"/>
            <w:vAlign w:val="center"/>
          </w:tcPr>
          <w:p w14:paraId="377EA53A">
            <w:pPr>
              <w:pStyle w:val="461"/>
              <w:pageBreakBefore w:val="0"/>
              <w:wordWrap/>
              <w:bidi w:val="0"/>
              <w:adjustRightInd/>
              <w:snapToGrid/>
              <w:rPr>
                <w:color w:val="auto"/>
                <w:szCs w:val="21"/>
              </w:rPr>
            </w:pPr>
            <w:r>
              <w:rPr>
                <w:color w:val="auto"/>
                <w:szCs w:val="21"/>
              </w:rPr>
              <w:t>0.5</w:t>
            </w:r>
          </w:p>
        </w:tc>
        <w:tc>
          <w:tcPr>
            <w:tcW w:w="3200" w:type="dxa"/>
            <w:tcBorders>
              <w:tl2br w:val="nil"/>
              <w:tr2bl w:val="nil"/>
            </w:tcBorders>
            <w:noWrap w:val="0"/>
            <w:vAlign w:val="center"/>
          </w:tcPr>
          <w:p w14:paraId="37676EF0">
            <w:pPr>
              <w:pStyle w:val="461"/>
              <w:pageBreakBefore w:val="0"/>
              <w:wordWrap/>
              <w:bidi w:val="0"/>
              <w:adjustRightInd/>
              <w:snapToGrid/>
              <w:rPr>
                <w:color w:val="auto"/>
                <w:szCs w:val="21"/>
              </w:rPr>
            </w:pPr>
            <w:r>
              <w:rPr>
                <w:color w:val="auto"/>
                <w:szCs w:val="21"/>
              </w:rPr>
              <w:t>5</w:t>
            </w:r>
          </w:p>
        </w:tc>
      </w:tr>
      <w:tr w14:paraId="012451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7391A0C9">
            <w:pPr>
              <w:pStyle w:val="461"/>
              <w:pageBreakBefore w:val="0"/>
              <w:wordWrap/>
              <w:bidi w:val="0"/>
              <w:adjustRightInd/>
              <w:snapToGrid/>
              <w:rPr>
                <w:color w:val="auto"/>
                <w:szCs w:val="21"/>
              </w:rPr>
            </w:pPr>
            <w:r>
              <w:rPr>
                <w:color w:val="auto"/>
                <w:szCs w:val="21"/>
              </w:rPr>
              <w:t>氯苯</w:t>
            </w:r>
          </w:p>
        </w:tc>
        <w:tc>
          <w:tcPr>
            <w:tcW w:w="3555" w:type="dxa"/>
            <w:tcBorders>
              <w:tl2br w:val="nil"/>
              <w:tr2bl w:val="nil"/>
            </w:tcBorders>
            <w:noWrap w:val="0"/>
            <w:vAlign w:val="center"/>
          </w:tcPr>
          <w:p w14:paraId="385FFA14">
            <w:pPr>
              <w:pStyle w:val="461"/>
              <w:pageBreakBefore w:val="0"/>
              <w:wordWrap/>
              <w:bidi w:val="0"/>
              <w:adjustRightInd/>
              <w:snapToGrid/>
              <w:rPr>
                <w:color w:val="auto"/>
                <w:szCs w:val="21"/>
              </w:rPr>
            </w:pPr>
            <w:r>
              <w:rPr>
                <w:color w:val="auto"/>
                <w:szCs w:val="21"/>
              </w:rPr>
              <w:t>270</w:t>
            </w:r>
          </w:p>
        </w:tc>
        <w:tc>
          <w:tcPr>
            <w:tcW w:w="3200" w:type="dxa"/>
            <w:tcBorders>
              <w:tl2br w:val="nil"/>
              <w:tr2bl w:val="nil"/>
            </w:tcBorders>
            <w:noWrap w:val="0"/>
            <w:vAlign w:val="center"/>
          </w:tcPr>
          <w:p w14:paraId="34AE796C">
            <w:pPr>
              <w:pStyle w:val="461"/>
              <w:pageBreakBefore w:val="0"/>
              <w:wordWrap/>
              <w:bidi w:val="0"/>
              <w:adjustRightInd/>
              <w:snapToGrid/>
              <w:rPr>
                <w:color w:val="auto"/>
                <w:szCs w:val="21"/>
              </w:rPr>
            </w:pPr>
            <w:r>
              <w:rPr>
                <w:color w:val="auto"/>
                <w:szCs w:val="21"/>
              </w:rPr>
              <w:t>1000</w:t>
            </w:r>
          </w:p>
        </w:tc>
      </w:tr>
      <w:tr w14:paraId="4FC18E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49D74884">
            <w:pPr>
              <w:pStyle w:val="461"/>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4-二氯苯</w:t>
            </w:r>
          </w:p>
        </w:tc>
        <w:tc>
          <w:tcPr>
            <w:tcW w:w="3555" w:type="dxa"/>
            <w:tcBorders>
              <w:tl2br w:val="nil"/>
              <w:tr2bl w:val="nil"/>
            </w:tcBorders>
            <w:noWrap w:val="0"/>
            <w:vAlign w:val="center"/>
          </w:tcPr>
          <w:p w14:paraId="2585B23E">
            <w:pPr>
              <w:pStyle w:val="461"/>
              <w:pageBreakBefore w:val="0"/>
              <w:wordWrap/>
              <w:bidi w:val="0"/>
              <w:adjustRightInd/>
              <w:snapToGrid/>
              <w:rPr>
                <w:color w:val="auto"/>
                <w:szCs w:val="21"/>
              </w:rPr>
            </w:pPr>
            <w:r>
              <w:rPr>
                <w:color w:val="auto"/>
                <w:szCs w:val="21"/>
              </w:rPr>
              <w:t>20</w:t>
            </w:r>
          </w:p>
        </w:tc>
        <w:tc>
          <w:tcPr>
            <w:tcW w:w="3200" w:type="dxa"/>
            <w:tcBorders>
              <w:tl2br w:val="nil"/>
              <w:tr2bl w:val="nil"/>
            </w:tcBorders>
            <w:noWrap w:val="0"/>
            <w:vAlign w:val="center"/>
          </w:tcPr>
          <w:p w14:paraId="72F836AD">
            <w:pPr>
              <w:pStyle w:val="461"/>
              <w:pageBreakBefore w:val="0"/>
              <w:wordWrap/>
              <w:bidi w:val="0"/>
              <w:adjustRightInd/>
              <w:snapToGrid/>
              <w:rPr>
                <w:color w:val="auto"/>
                <w:szCs w:val="21"/>
              </w:rPr>
            </w:pPr>
            <w:r>
              <w:rPr>
                <w:color w:val="auto"/>
                <w:szCs w:val="21"/>
              </w:rPr>
              <w:t>200</w:t>
            </w:r>
          </w:p>
        </w:tc>
      </w:tr>
      <w:tr w14:paraId="600C11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134A3B20">
            <w:pPr>
              <w:pStyle w:val="461"/>
              <w:pageBreakBefore w:val="0"/>
              <w:wordWrap/>
              <w:bidi w:val="0"/>
              <w:adjustRightInd/>
              <w:snapToGrid/>
              <w:rPr>
                <w:color w:val="auto"/>
                <w:szCs w:val="21"/>
              </w:rPr>
            </w:pPr>
            <w:r>
              <w:rPr>
                <w:color w:val="auto"/>
                <w:szCs w:val="21"/>
              </w:rPr>
              <w:t>1</w:t>
            </w:r>
            <w:r>
              <w:rPr>
                <w:rFonts w:hint="eastAsia"/>
                <w:color w:val="auto"/>
                <w:szCs w:val="21"/>
                <w:lang w:eastAsia="zh-CN"/>
              </w:rPr>
              <w:t>，</w:t>
            </w:r>
            <w:r>
              <w:rPr>
                <w:color w:val="auto"/>
                <w:szCs w:val="21"/>
              </w:rPr>
              <w:t>2-二氯苯</w:t>
            </w:r>
          </w:p>
        </w:tc>
        <w:tc>
          <w:tcPr>
            <w:tcW w:w="3555" w:type="dxa"/>
            <w:tcBorders>
              <w:tl2br w:val="nil"/>
              <w:tr2bl w:val="nil"/>
            </w:tcBorders>
            <w:noWrap w:val="0"/>
            <w:vAlign w:val="center"/>
          </w:tcPr>
          <w:p w14:paraId="7EA106EE">
            <w:pPr>
              <w:pStyle w:val="461"/>
              <w:pageBreakBefore w:val="0"/>
              <w:wordWrap/>
              <w:bidi w:val="0"/>
              <w:adjustRightInd/>
              <w:snapToGrid/>
              <w:rPr>
                <w:color w:val="auto"/>
                <w:szCs w:val="21"/>
              </w:rPr>
            </w:pPr>
            <w:r>
              <w:rPr>
                <w:color w:val="auto"/>
                <w:szCs w:val="21"/>
              </w:rPr>
              <w:t>560</w:t>
            </w:r>
          </w:p>
        </w:tc>
        <w:tc>
          <w:tcPr>
            <w:tcW w:w="3200" w:type="dxa"/>
            <w:tcBorders>
              <w:tl2br w:val="nil"/>
              <w:tr2bl w:val="nil"/>
            </w:tcBorders>
            <w:noWrap w:val="0"/>
            <w:vAlign w:val="center"/>
          </w:tcPr>
          <w:p w14:paraId="3DD3589C">
            <w:pPr>
              <w:pStyle w:val="461"/>
              <w:pageBreakBefore w:val="0"/>
              <w:wordWrap/>
              <w:bidi w:val="0"/>
              <w:adjustRightInd/>
              <w:snapToGrid/>
              <w:rPr>
                <w:color w:val="auto"/>
                <w:szCs w:val="21"/>
              </w:rPr>
            </w:pPr>
            <w:r>
              <w:rPr>
                <w:color w:val="auto"/>
                <w:szCs w:val="21"/>
              </w:rPr>
              <w:t>560</w:t>
            </w:r>
          </w:p>
        </w:tc>
      </w:tr>
      <w:tr w14:paraId="05D967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539D9B0D">
            <w:pPr>
              <w:pStyle w:val="461"/>
              <w:pageBreakBefore w:val="0"/>
              <w:wordWrap/>
              <w:bidi w:val="0"/>
              <w:adjustRightInd/>
              <w:snapToGrid/>
              <w:rPr>
                <w:color w:val="auto"/>
                <w:szCs w:val="21"/>
              </w:rPr>
            </w:pPr>
            <w:r>
              <w:rPr>
                <w:color w:val="auto"/>
                <w:szCs w:val="21"/>
              </w:rPr>
              <w:t>氯仿</w:t>
            </w:r>
          </w:p>
        </w:tc>
        <w:tc>
          <w:tcPr>
            <w:tcW w:w="3555" w:type="dxa"/>
            <w:tcBorders>
              <w:tl2br w:val="nil"/>
              <w:tr2bl w:val="nil"/>
            </w:tcBorders>
            <w:noWrap w:val="0"/>
            <w:vAlign w:val="center"/>
          </w:tcPr>
          <w:p w14:paraId="6E4B4767">
            <w:pPr>
              <w:pStyle w:val="461"/>
              <w:pageBreakBefore w:val="0"/>
              <w:wordWrap/>
              <w:bidi w:val="0"/>
              <w:adjustRightInd/>
              <w:snapToGrid/>
              <w:rPr>
                <w:color w:val="auto"/>
                <w:szCs w:val="21"/>
              </w:rPr>
            </w:pPr>
            <w:r>
              <w:rPr>
                <w:color w:val="auto"/>
                <w:szCs w:val="21"/>
              </w:rPr>
              <w:t>0.9</w:t>
            </w:r>
          </w:p>
        </w:tc>
        <w:tc>
          <w:tcPr>
            <w:tcW w:w="3200" w:type="dxa"/>
            <w:tcBorders>
              <w:tl2br w:val="nil"/>
              <w:tr2bl w:val="nil"/>
            </w:tcBorders>
            <w:noWrap w:val="0"/>
            <w:vAlign w:val="center"/>
          </w:tcPr>
          <w:p w14:paraId="13787B15">
            <w:pPr>
              <w:pStyle w:val="461"/>
              <w:pageBreakBefore w:val="0"/>
              <w:wordWrap/>
              <w:bidi w:val="0"/>
              <w:adjustRightInd/>
              <w:snapToGrid/>
              <w:rPr>
                <w:color w:val="auto"/>
                <w:szCs w:val="21"/>
              </w:rPr>
            </w:pPr>
            <w:r>
              <w:rPr>
                <w:color w:val="auto"/>
                <w:szCs w:val="21"/>
              </w:rPr>
              <w:t>10</w:t>
            </w:r>
          </w:p>
        </w:tc>
      </w:tr>
      <w:tr w14:paraId="02A39C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40AC9CBC">
            <w:pPr>
              <w:pStyle w:val="461"/>
              <w:pageBreakBefore w:val="0"/>
              <w:wordWrap/>
              <w:bidi w:val="0"/>
              <w:adjustRightInd/>
              <w:snapToGrid/>
              <w:rPr>
                <w:color w:val="auto"/>
                <w:szCs w:val="21"/>
              </w:rPr>
            </w:pPr>
            <w:r>
              <w:rPr>
                <w:color w:val="auto"/>
                <w:szCs w:val="21"/>
              </w:rPr>
              <w:t>2-氯苯酚</w:t>
            </w:r>
          </w:p>
        </w:tc>
        <w:tc>
          <w:tcPr>
            <w:tcW w:w="3555" w:type="dxa"/>
            <w:tcBorders>
              <w:tl2br w:val="nil"/>
              <w:tr2bl w:val="nil"/>
            </w:tcBorders>
            <w:noWrap w:val="0"/>
            <w:vAlign w:val="center"/>
          </w:tcPr>
          <w:p w14:paraId="6D102C40">
            <w:pPr>
              <w:pStyle w:val="461"/>
              <w:pageBreakBefore w:val="0"/>
              <w:wordWrap/>
              <w:bidi w:val="0"/>
              <w:adjustRightInd/>
              <w:snapToGrid/>
              <w:rPr>
                <w:color w:val="auto"/>
                <w:szCs w:val="21"/>
              </w:rPr>
            </w:pPr>
            <w:r>
              <w:rPr>
                <w:color w:val="auto"/>
                <w:szCs w:val="21"/>
              </w:rPr>
              <w:t>2256</w:t>
            </w:r>
          </w:p>
        </w:tc>
        <w:tc>
          <w:tcPr>
            <w:tcW w:w="3200" w:type="dxa"/>
            <w:tcBorders>
              <w:tl2br w:val="nil"/>
              <w:tr2bl w:val="nil"/>
            </w:tcBorders>
            <w:noWrap w:val="0"/>
            <w:vAlign w:val="center"/>
          </w:tcPr>
          <w:p w14:paraId="0E4AE09B">
            <w:pPr>
              <w:pStyle w:val="461"/>
              <w:pageBreakBefore w:val="0"/>
              <w:wordWrap/>
              <w:bidi w:val="0"/>
              <w:adjustRightInd/>
              <w:snapToGrid/>
              <w:rPr>
                <w:color w:val="auto"/>
                <w:szCs w:val="21"/>
              </w:rPr>
            </w:pPr>
            <w:r>
              <w:rPr>
                <w:color w:val="auto"/>
                <w:szCs w:val="21"/>
              </w:rPr>
              <w:t>4500</w:t>
            </w:r>
          </w:p>
        </w:tc>
      </w:tr>
      <w:tr w14:paraId="2D27F5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5D25033A">
            <w:pPr>
              <w:pStyle w:val="461"/>
              <w:pageBreakBefore w:val="0"/>
              <w:wordWrap/>
              <w:bidi w:val="0"/>
              <w:adjustRightInd/>
              <w:snapToGrid/>
              <w:rPr>
                <w:color w:val="auto"/>
                <w:szCs w:val="21"/>
              </w:rPr>
            </w:pPr>
            <w:r>
              <w:rPr>
                <w:color w:val="auto"/>
                <w:szCs w:val="21"/>
              </w:rPr>
              <w:t>萘</w:t>
            </w:r>
          </w:p>
        </w:tc>
        <w:tc>
          <w:tcPr>
            <w:tcW w:w="3555" w:type="dxa"/>
            <w:tcBorders>
              <w:tl2br w:val="nil"/>
              <w:tr2bl w:val="nil"/>
            </w:tcBorders>
            <w:noWrap w:val="0"/>
            <w:vAlign w:val="center"/>
          </w:tcPr>
          <w:p w14:paraId="1729ACC3">
            <w:pPr>
              <w:pStyle w:val="461"/>
              <w:pageBreakBefore w:val="0"/>
              <w:wordWrap/>
              <w:bidi w:val="0"/>
              <w:adjustRightInd/>
              <w:snapToGrid/>
              <w:rPr>
                <w:color w:val="auto"/>
                <w:szCs w:val="21"/>
              </w:rPr>
            </w:pPr>
            <w:r>
              <w:rPr>
                <w:color w:val="auto"/>
                <w:szCs w:val="21"/>
              </w:rPr>
              <w:t>70</w:t>
            </w:r>
          </w:p>
        </w:tc>
        <w:tc>
          <w:tcPr>
            <w:tcW w:w="3200" w:type="dxa"/>
            <w:tcBorders>
              <w:tl2br w:val="nil"/>
              <w:tr2bl w:val="nil"/>
            </w:tcBorders>
            <w:noWrap w:val="0"/>
            <w:vAlign w:val="center"/>
          </w:tcPr>
          <w:p w14:paraId="4FE9B3C1">
            <w:pPr>
              <w:pStyle w:val="461"/>
              <w:pageBreakBefore w:val="0"/>
              <w:wordWrap/>
              <w:bidi w:val="0"/>
              <w:adjustRightInd/>
              <w:snapToGrid/>
              <w:rPr>
                <w:color w:val="auto"/>
                <w:szCs w:val="21"/>
              </w:rPr>
            </w:pPr>
            <w:r>
              <w:rPr>
                <w:color w:val="auto"/>
                <w:szCs w:val="21"/>
              </w:rPr>
              <w:t>700</w:t>
            </w:r>
          </w:p>
        </w:tc>
      </w:tr>
      <w:tr w14:paraId="1324F7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4908A102">
            <w:pPr>
              <w:pStyle w:val="461"/>
              <w:pageBreakBefore w:val="0"/>
              <w:wordWrap/>
              <w:bidi w:val="0"/>
              <w:adjustRightInd/>
              <w:snapToGrid/>
              <w:rPr>
                <w:color w:val="auto"/>
                <w:szCs w:val="21"/>
              </w:rPr>
            </w:pPr>
            <w:r>
              <w:rPr>
                <w:color w:val="auto"/>
                <w:szCs w:val="21"/>
              </w:rPr>
              <w:t>苯并（a）蒽</w:t>
            </w:r>
          </w:p>
        </w:tc>
        <w:tc>
          <w:tcPr>
            <w:tcW w:w="3555" w:type="dxa"/>
            <w:tcBorders>
              <w:tl2br w:val="nil"/>
              <w:tr2bl w:val="nil"/>
            </w:tcBorders>
            <w:noWrap w:val="0"/>
            <w:vAlign w:val="center"/>
          </w:tcPr>
          <w:p w14:paraId="56D533E2">
            <w:pPr>
              <w:pStyle w:val="461"/>
              <w:pageBreakBefore w:val="0"/>
              <w:wordWrap/>
              <w:bidi w:val="0"/>
              <w:adjustRightInd/>
              <w:snapToGrid/>
              <w:rPr>
                <w:color w:val="auto"/>
                <w:szCs w:val="21"/>
              </w:rPr>
            </w:pPr>
            <w:r>
              <w:rPr>
                <w:color w:val="auto"/>
                <w:szCs w:val="21"/>
              </w:rPr>
              <w:t>15</w:t>
            </w:r>
          </w:p>
        </w:tc>
        <w:tc>
          <w:tcPr>
            <w:tcW w:w="3200" w:type="dxa"/>
            <w:tcBorders>
              <w:tl2br w:val="nil"/>
              <w:tr2bl w:val="nil"/>
            </w:tcBorders>
            <w:noWrap w:val="0"/>
            <w:vAlign w:val="center"/>
          </w:tcPr>
          <w:p w14:paraId="62A969C9">
            <w:pPr>
              <w:pStyle w:val="461"/>
              <w:pageBreakBefore w:val="0"/>
              <w:wordWrap/>
              <w:bidi w:val="0"/>
              <w:adjustRightInd/>
              <w:snapToGrid/>
              <w:rPr>
                <w:color w:val="auto"/>
                <w:szCs w:val="21"/>
              </w:rPr>
            </w:pPr>
            <w:r>
              <w:rPr>
                <w:color w:val="auto"/>
                <w:szCs w:val="21"/>
              </w:rPr>
              <w:t>151</w:t>
            </w:r>
          </w:p>
        </w:tc>
      </w:tr>
      <w:tr w14:paraId="155D4B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38A79C11">
            <w:pPr>
              <w:pStyle w:val="461"/>
              <w:pageBreakBefore w:val="0"/>
              <w:wordWrap/>
              <w:bidi w:val="0"/>
              <w:adjustRightInd/>
              <w:snapToGrid/>
              <w:rPr>
                <w:color w:val="auto"/>
                <w:szCs w:val="21"/>
              </w:rPr>
            </w:pPr>
            <w:r>
              <w:rPr>
                <w:color w:val="auto"/>
                <w:szCs w:val="21"/>
              </w:rPr>
              <w:t>䓛</w:t>
            </w:r>
          </w:p>
        </w:tc>
        <w:tc>
          <w:tcPr>
            <w:tcW w:w="3555" w:type="dxa"/>
            <w:tcBorders>
              <w:tl2br w:val="nil"/>
              <w:tr2bl w:val="nil"/>
            </w:tcBorders>
            <w:noWrap w:val="0"/>
            <w:vAlign w:val="center"/>
          </w:tcPr>
          <w:p w14:paraId="48390332">
            <w:pPr>
              <w:pStyle w:val="461"/>
              <w:pageBreakBefore w:val="0"/>
              <w:wordWrap/>
              <w:bidi w:val="0"/>
              <w:adjustRightInd/>
              <w:snapToGrid/>
              <w:rPr>
                <w:color w:val="auto"/>
                <w:szCs w:val="21"/>
              </w:rPr>
            </w:pPr>
            <w:r>
              <w:rPr>
                <w:color w:val="auto"/>
                <w:szCs w:val="21"/>
              </w:rPr>
              <w:t>1293</w:t>
            </w:r>
          </w:p>
        </w:tc>
        <w:tc>
          <w:tcPr>
            <w:tcW w:w="3200" w:type="dxa"/>
            <w:tcBorders>
              <w:tl2br w:val="nil"/>
              <w:tr2bl w:val="nil"/>
            </w:tcBorders>
            <w:noWrap w:val="0"/>
            <w:vAlign w:val="center"/>
          </w:tcPr>
          <w:p w14:paraId="1F46D7E9">
            <w:pPr>
              <w:pStyle w:val="461"/>
              <w:pageBreakBefore w:val="0"/>
              <w:wordWrap/>
              <w:bidi w:val="0"/>
              <w:adjustRightInd/>
              <w:snapToGrid/>
              <w:rPr>
                <w:color w:val="auto"/>
                <w:szCs w:val="21"/>
              </w:rPr>
            </w:pPr>
            <w:r>
              <w:rPr>
                <w:color w:val="auto"/>
                <w:szCs w:val="21"/>
              </w:rPr>
              <w:t>12900</w:t>
            </w:r>
          </w:p>
        </w:tc>
      </w:tr>
      <w:tr w14:paraId="03D081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58F92047">
            <w:pPr>
              <w:pStyle w:val="461"/>
              <w:pageBreakBefore w:val="0"/>
              <w:wordWrap/>
              <w:bidi w:val="0"/>
              <w:adjustRightInd/>
              <w:snapToGrid/>
              <w:rPr>
                <w:color w:val="auto"/>
                <w:szCs w:val="21"/>
              </w:rPr>
            </w:pPr>
            <w:r>
              <w:rPr>
                <w:color w:val="auto"/>
                <w:szCs w:val="21"/>
              </w:rPr>
              <w:t>苯并（b）荧蒽</w:t>
            </w:r>
          </w:p>
        </w:tc>
        <w:tc>
          <w:tcPr>
            <w:tcW w:w="3555" w:type="dxa"/>
            <w:tcBorders>
              <w:tl2br w:val="nil"/>
              <w:tr2bl w:val="nil"/>
            </w:tcBorders>
            <w:noWrap w:val="0"/>
            <w:vAlign w:val="center"/>
          </w:tcPr>
          <w:p w14:paraId="384053FF">
            <w:pPr>
              <w:pStyle w:val="461"/>
              <w:pageBreakBefore w:val="0"/>
              <w:wordWrap/>
              <w:bidi w:val="0"/>
              <w:adjustRightInd/>
              <w:snapToGrid/>
              <w:rPr>
                <w:color w:val="auto"/>
                <w:szCs w:val="21"/>
              </w:rPr>
            </w:pPr>
            <w:r>
              <w:rPr>
                <w:color w:val="auto"/>
                <w:szCs w:val="21"/>
              </w:rPr>
              <w:t>15</w:t>
            </w:r>
          </w:p>
        </w:tc>
        <w:tc>
          <w:tcPr>
            <w:tcW w:w="3200" w:type="dxa"/>
            <w:tcBorders>
              <w:tl2br w:val="nil"/>
              <w:tr2bl w:val="nil"/>
            </w:tcBorders>
            <w:noWrap w:val="0"/>
            <w:vAlign w:val="center"/>
          </w:tcPr>
          <w:p w14:paraId="28960351">
            <w:pPr>
              <w:pStyle w:val="461"/>
              <w:pageBreakBefore w:val="0"/>
              <w:wordWrap/>
              <w:bidi w:val="0"/>
              <w:adjustRightInd/>
              <w:snapToGrid/>
              <w:rPr>
                <w:color w:val="auto"/>
                <w:szCs w:val="21"/>
              </w:rPr>
            </w:pPr>
            <w:r>
              <w:rPr>
                <w:color w:val="auto"/>
                <w:szCs w:val="21"/>
              </w:rPr>
              <w:t>151</w:t>
            </w:r>
          </w:p>
        </w:tc>
      </w:tr>
      <w:tr w14:paraId="44B101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5C5AEBC3">
            <w:pPr>
              <w:pStyle w:val="461"/>
              <w:pageBreakBefore w:val="0"/>
              <w:wordWrap/>
              <w:bidi w:val="0"/>
              <w:adjustRightInd/>
              <w:snapToGrid/>
              <w:rPr>
                <w:color w:val="auto"/>
                <w:szCs w:val="21"/>
              </w:rPr>
            </w:pPr>
            <w:r>
              <w:rPr>
                <w:color w:val="auto"/>
                <w:szCs w:val="21"/>
              </w:rPr>
              <w:t>苯并（k）荧蒽</w:t>
            </w:r>
          </w:p>
        </w:tc>
        <w:tc>
          <w:tcPr>
            <w:tcW w:w="3555" w:type="dxa"/>
            <w:tcBorders>
              <w:tl2br w:val="nil"/>
              <w:tr2bl w:val="nil"/>
            </w:tcBorders>
            <w:noWrap w:val="0"/>
            <w:vAlign w:val="center"/>
          </w:tcPr>
          <w:p w14:paraId="1285A27C">
            <w:pPr>
              <w:pStyle w:val="461"/>
              <w:pageBreakBefore w:val="0"/>
              <w:wordWrap/>
              <w:bidi w:val="0"/>
              <w:adjustRightInd/>
              <w:snapToGrid/>
              <w:rPr>
                <w:color w:val="auto"/>
                <w:szCs w:val="21"/>
              </w:rPr>
            </w:pPr>
            <w:r>
              <w:rPr>
                <w:color w:val="auto"/>
                <w:szCs w:val="21"/>
              </w:rPr>
              <w:t>151</w:t>
            </w:r>
          </w:p>
        </w:tc>
        <w:tc>
          <w:tcPr>
            <w:tcW w:w="3200" w:type="dxa"/>
            <w:tcBorders>
              <w:tl2br w:val="nil"/>
              <w:tr2bl w:val="nil"/>
            </w:tcBorders>
            <w:noWrap w:val="0"/>
            <w:vAlign w:val="center"/>
          </w:tcPr>
          <w:p w14:paraId="4300FFEA">
            <w:pPr>
              <w:pStyle w:val="461"/>
              <w:pageBreakBefore w:val="0"/>
              <w:wordWrap/>
              <w:bidi w:val="0"/>
              <w:adjustRightInd/>
              <w:snapToGrid/>
              <w:rPr>
                <w:color w:val="auto"/>
                <w:szCs w:val="21"/>
              </w:rPr>
            </w:pPr>
            <w:r>
              <w:rPr>
                <w:color w:val="auto"/>
                <w:szCs w:val="21"/>
              </w:rPr>
              <w:t>1500</w:t>
            </w:r>
          </w:p>
        </w:tc>
      </w:tr>
      <w:tr w14:paraId="5459B7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000F1505">
            <w:pPr>
              <w:pStyle w:val="461"/>
              <w:pageBreakBefore w:val="0"/>
              <w:wordWrap/>
              <w:bidi w:val="0"/>
              <w:adjustRightInd/>
              <w:snapToGrid/>
              <w:rPr>
                <w:color w:val="auto"/>
                <w:szCs w:val="21"/>
              </w:rPr>
            </w:pPr>
            <w:r>
              <w:rPr>
                <w:color w:val="auto"/>
                <w:szCs w:val="21"/>
              </w:rPr>
              <w:t>苯并（a）芘</w:t>
            </w:r>
          </w:p>
        </w:tc>
        <w:tc>
          <w:tcPr>
            <w:tcW w:w="3555" w:type="dxa"/>
            <w:tcBorders>
              <w:tl2br w:val="nil"/>
              <w:tr2bl w:val="nil"/>
            </w:tcBorders>
            <w:noWrap w:val="0"/>
            <w:vAlign w:val="center"/>
          </w:tcPr>
          <w:p w14:paraId="33BA5298">
            <w:pPr>
              <w:pStyle w:val="461"/>
              <w:pageBreakBefore w:val="0"/>
              <w:wordWrap/>
              <w:bidi w:val="0"/>
              <w:adjustRightInd/>
              <w:snapToGrid/>
              <w:rPr>
                <w:color w:val="auto"/>
                <w:szCs w:val="21"/>
              </w:rPr>
            </w:pPr>
            <w:r>
              <w:rPr>
                <w:color w:val="auto"/>
                <w:szCs w:val="21"/>
              </w:rPr>
              <w:t>1.5</w:t>
            </w:r>
          </w:p>
        </w:tc>
        <w:tc>
          <w:tcPr>
            <w:tcW w:w="3200" w:type="dxa"/>
            <w:tcBorders>
              <w:tl2br w:val="nil"/>
              <w:tr2bl w:val="nil"/>
            </w:tcBorders>
            <w:noWrap w:val="0"/>
            <w:vAlign w:val="center"/>
          </w:tcPr>
          <w:p w14:paraId="7D9FBE57">
            <w:pPr>
              <w:pStyle w:val="461"/>
              <w:pageBreakBefore w:val="0"/>
              <w:wordWrap/>
              <w:bidi w:val="0"/>
              <w:adjustRightInd/>
              <w:snapToGrid/>
              <w:rPr>
                <w:color w:val="auto"/>
                <w:szCs w:val="21"/>
              </w:rPr>
            </w:pPr>
            <w:r>
              <w:rPr>
                <w:color w:val="auto"/>
                <w:szCs w:val="21"/>
              </w:rPr>
              <w:t>15</w:t>
            </w:r>
          </w:p>
        </w:tc>
      </w:tr>
      <w:tr w14:paraId="663662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390364FA">
            <w:pPr>
              <w:pStyle w:val="461"/>
              <w:pageBreakBefore w:val="0"/>
              <w:wordWrap/>
              <w:bidi w:val="0"/>
              <w:adjustRightInd/>
              <w:snapToGrid/>
              <w:rPr>
                <w:color w:val="auto"/>
                <w:szCs w:val="21"/>
              </w:rPr>
            </w:pPr>
            <w:r>
              <w:rPr>
                <w:color w:val="auto"/>
                <w:szCs w:val="21"/>
              </w:rPr>
              <w:t>茚并（1</w:t>
            </w:r>
            <w:r>
              <w:rPr>
                <w:rFonts w:hint="eastAsia"/>
                <w:color w:val="auto"/>
                <w:szCs w:val="21"/>
                <w:lang w:eastAsia="zh-CN"/>
              </w:rPr>
              <w:t>，</w:t>
            </w:r>
            <w:r>
              <w:rPr>
                <w:color w:val="auto"/>
                <w:szCs w:val="21"/>
              </w:rPr>
              <w:t>2</w:t>
            </w:r>
            <w:r>
              <w:rPr>
                <w:rFonts w:hint="eastAsia"/>
                <w:color w:val="auto"/>
                <w:szCs w:val="21"/>
                <w:lang w:eastAsia="zh-CN"/>
              </w:rPr>
              <w:t>，</w:t>
            </w:r>
            <w:r>
              <w:rPr>
                <w:color w:val="auto"/>
                <w:szCs w:val="21"/>
              </w:rPr>
              <w:t>3-cd）芘</w:t>
            </w:r>
          </w:p>
        </w:tc>
        <w:tc>
          <w:tcPr>
            <w:tcW w:w="3555" w:type="dxa"/>
            <w:tcBorders>
              <w:tl2br w:val="nil"/>
              <w:tr2bl w:val="nil"/>
            </w:tcBorders>
            <w:noWrap w:val="0"/>
            <w:vAlign w:val="center"/>
          </w:tcPr>
          <w:p w14:paraId="16E0778C">
            <w:pPr>
              <w:pStyle w:val="461"/>
              <w:pageBreakBefore w:val="0"/>
              <w:wordWrap/>
              <w:bidi w:val="0"/>
              <w:adjustRightInd/>
              <w:snapToGrid/>
              <w:rPr>
                <w:color w:val="auto"/>
                <w:szCs w:val="21"/>
              </w:rPr>
            </w:pPr>
            <w:r>
              <w:rPr>
                <w:color w:val="auto"/>
                <w:szCs w:val="21"/>
              </w:rPr>
              <w:t>15</w:t>
            </w:r>
          </w:p>
        </w:tc>
        <w:tc>
          <w:tcPr>
            <w:tcW w:w="3200" w:type="dxa"/>
            <w:tcBorders>
              <w:tl2br w:val="nil"/>
              <w:tr2bl w:val="nil"/>
            </w:tcBorders>
            <w:noWrap w:val="0"/>
            <w:vAlign w:val="center"/>
          </w:tcPr>
          <w:p w14:paraId="0EB40C72">
            <w:pPr>
              <w:pStyle w:val="461"/>
              <w:pageBreakBefore w:val="0"/>
              <w:wordWrap/>
              <w:bidi w:val="0"/>
              <w:adjustRightInd/>
              <w:snapToGrid/>
              <w:rPr>
                <w:color w:val="auto"/>
                <w:szCs w:val="21"/>
              </w:rPr>
            </w:pPr>
            <w:r>
              <w:rPr>
                <w:color w:val="auto"/>
                <w:szCs w:val="21"/>
              </w:rPr>
              <w:t>151</w:t>
            </w:r>
          </w:p>
        </w:tc>
      </w:tr>
      <w:tr w14:paraId="62D1C4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7AE0B1FE">
            <w:pPr>
              <w:pStyle w:val="461"/>
              <w:pageBreakBefore w:val="0"/>
              <w:wordWrap/>
              <w:bidi w:val="0"/>
              <w:adjustRightInd/>
              <w:snapToGrid/>
              <w:rPr>
                <w:color w:val="auto"/>
                <w:szCs w:val="21"/>
              </w:rPr>
            </w:pPr>
            <w:r>
              <w:rPr>
                <w:color w:val="auto"/>
                <w:szCs w:val="21"/>
              </w:rPr>
              <w:t>二苯并（a.h）蒽</w:t>
            </w:r>
          </w:p>
        </w:tc>
        <w:tc>
          <w:tcPr>
            <w:tcW w:w="3555" w:type="dxa"/>
            <w:tcBorders>
              <w:tl2br w:val="nil"/>
              <w:tr2bl w:val="nil"/>
            </w:tcBorders>
            <w:noWrap w:val="0"/>
            <w:vAlign w:val="center"/>
          </w:tcPr>
          <w:p w14:paraId="72A478D5">
            <w:pPr>
              <w:pStyle w:val="461"/>
              <w:pageBreakBefore w:val="0"/>
              <w:wordWrap/>
              <w:bidi w:val="0"/>
              <w:adjustRightInd/>
              <w:snapToGrid/>
              <w:rPr>
                <w:color w:val="auto"/>
                <w:szCs w:val="21"/>
              </w:rPr>
            </w:pPr>
            <w:r>
              <w:rPr>
                <w:color w:val="auto"/>
                <w:szCs w:val="21"/>
              </w:rPr>
              <w:t>1.5</w:t>
            </w:r>
          </w:p>
        </w:tc>
        <w:tc>
          <w:tcPr>
            <w:tcW w:w="3200" w:type="dxa"/>
            <w:tcBorders>
              <w:tl2br w:val="nil"/>
              <w:tr2bl w:val="nil"/>
            </w:tcBorders>
            <w:noWrap w:val="0"/>
            <w:vAlign w:val="center"/>
          </w:tcPr>
          <w:p w14:paraId="20722161">
            <w:pPr>
              <w:pStyle w:val="461"/>
              <w:pageBreakBefore w:val="0"/>
              <w:wordWrap/>
              <w:bidi w:val="0"/>
              <w:adjustRightInd/>
              <w:snapToGrid/>
              <w:rPr>
                <w:color w:val="auto"/>
                <w:szCs w:val="21"/>
              </w:rPr>
            </w:pPr>
            <w:r>
              <w:rPr>
                <w:color w:val="auto"/>
                <w:szCs w:val="21"/>
              </w:rPr>
              <w:t>15</w:t>
            </w:r>
          </w:p>
        </w:tc>
      </w:tr>
      <w:tr w14:paraId="1F0115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08105E85">
            <w:pPr>
              <w:pStyle w:val="461"/>
              <w:pageBreakBefore w:val="0"/>
              <w:wordWrap/>
              <w:bidi w:val="0"/>
              <w:adjustRightInd/>
              <w:snapToGrid/>
              <w:rPr>
                <w:color w:val="auto"/>
                <w:szCs w:val="21"/>
              </w:rPr>
            </w:pPr>
            <w:r>
              <w:rPr>
                <w:color w:val="auto"/>
                <w:szCs w:val="21"/>
              </w:rPr>
              <w:t>硝基苯</w:t>
            </w:r>
          </w:p>
        </w:tc>
        <w:tc>
          <w:tcPr>
            <w:tcW w:w="3555" w:type="dxa"/>
            <w:tcBorders>
              <w:tl2br w:val="nil"/>
              <w:tr2bl w:val="nil"/>
            </w:tcBorders>
            <w:noWrap w:val="0"/>
            <w:vAlign w:val="center"/>
          </w:tcPr>
          <w:p w14:paraId="696C6DD8">
            <w:pPr>
              <w:pStyle w:val="461"/>
              <w:pageBreakBefore w:val="0"/>
              <w:wordWrap/>
              <w:bidi w:val="0"/>
              <w:adjustRightInd/>
              <w:snapToGrid/>
              <w:rPr>
                <w:color w:val="auto"/>
                <w:szCs w:val="21"/>
              </w:rPr>
            </w:pPr>
            <w:r>
              <w:rPr>
                <w:color w:val="auto"/>
                <w:szCs w:val="21"/>
              </w:rPr>
              <w:t>76</w:t>
            </w:r>
          </w:p>
        </w:tc>
        <w:tc>
          <w:tcPr>
            <w:tcW w:w="3200" w:type="dxa"/>
            <w:tcBorders>
              <w:tl2br w:val="nil"/>
              <w:tr2bl w:val="nil"/>
            </w:tcBorders>
            <w:noWrap w:val="0"/>
            <w:vAlign w:val="center"/>
          </w:tcPr>
          <w:p w14:paraId="4F1EA8A4">
            <w:pPr>
              <w:pStyle w:val="461"/>
              <w:pageBreakBefore w:val="0"/>
              <w:wordWrap/>
              <w:bidi w:val="0"/>
              <w:adjustRightInd/>
              <w:snapToGrid/>
              <w:rPr>
                <w:color w:val="auto"/>
                <w:szCs w:val="21"/>
              </w:rPr>
            </w:pPr>
            <w:r>
              <w:rPr>
                <w:color w:val="auto"/>
                <w:szCs w:val="21"/>
              </w:rPr>
              <w:t>760</w:t>
            </w:r>
          </w:p>
        </w:tc>
      </w:tr>
      <w:tr w14:paraId="49FE79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31" w:type="dxa"/>
            <w:tcBorders>
              <w:tl2br w:val="nil"/>
              <w:tr2bl w:val="nil"/>
            </w:tcBorders>
            <w:noWrap w:val="0"/>
            <w:vAlign w:val="center"/>
          </w:tcPr>
          <w:p w14:paraId="0766B128">
            <w:pPr>
              <w:pStyle w:val="461"/>
              <w:pageBreakBefore w:val="0"/>
              <w:wordWrap/>
              <w:bidi w:val="0"/>
              <w:adjustRightInd/>
              <w:snapToGrid/>
              <w:rPr>
                <w:color w:val="auto"/>
                <w:szCs w:val="21"/>
              </w:rPr>
            </w:pPr>
            <w:r>
              <w:rPr>
                <w:color w:val="auto"/>
                <w:szCs w:val="21"/>
              </w:rPr>
              <w:t>苯胺</w:t>
            </w:r>
          </w:p>
        </w:tc>
        <w:tc>
          <w:tcPr>
            <w:tcW w:w="3555" w:type="dxa"/>
            <w:tcBorders>
              <w:tl2br w:val="nil"/>
              <w:tr2bl w:val="nil"/>
            </w:tcBorders>
            <w:noWrap w:val="0"/>
            <w:vAlign w:val="center"/>
          </w:tcPr>
          <w:p w14:paraId="79D106AE">
            <w:pPr>
              <w:pStyle w:val="461"/>
              <w:pageBreakBefore w:val="0"/>
              <w:wordWrap/>
              <w:bidi w:val="0"/>
              <w:adjustRightInd/>
              <w:snapToGrid/>
              <w:rPr>
                <w:color w:val="auto"/>
                <w:szCs w:val="21"/>
              </w:rPr>
            </w:pPr>
            <w:r>
              <w:rPr>
                <w:color w:val="auto"/>
                <w:szCs w:val="21"/>
              </w:rPr>
              <w:t>260</w:t>
            </w:r>
          </w:p>
        </w:tc>
        <w:tc>
          <w:tcPr>
            <w:tcW w:w="3200" w:type="dxa"/>
            <w:tcBorders>
              <w:tl2br w:val="nil"/>
              <w:tr2bl w:val="nil"/>
            </w:tcBorders>
            <w:noWrap w:val="0"/>
            <w:vAlign w:val="center"/>
          </w:tcPr>
          <w:p w14:paraId="1A8EF117">
            <w:pPr>
              <w:pStyle w:val="461"/>
              <w:pageBreakBefore w:val="0"/>
              <w:wordWrap/>
              <w:bidi w:val="0"/>
              <w:adjustRightInd/>
              <w:snapToGrid/>
              <w:rPr>
                <w:color w:val="auto"/>
                <w:szCs w:val="21"/>
              </w:rPr>
            </w:pPr>
            <w:r>
              <w:rPr>
                <w:color w:val="auto"/>
                <w:szCs w:val="21"/>
              </w:rPr>
              <w:t>663</w:t>
            </w:r>
          </w:p>
        </w:tc>
      </w:tr>
    </w:tbl>
    <w:p w14:paraId="410B6763">
      <w:pPr>
        <w:pStyle w:val="19"/>
        <w:keepNext w:val="0"/>
        <w:keepLines w:val="0"/>
        <w:pageBreakBefore w:val="0"/>
        <w:widowControl w:val="0"/>
        <w:numPr>
          <w:ilvl w:val="0"/>
          <w:numId w:val="7"/>
        </w:numPr>
        <w:kinsoku/>
        <w:wordWrap/>
        <w:overflowPunct/>
        <w:topLinePunct w:val="0"/>
        <w:autoSpaceDE/>
        <w:autoSpaceDN/>
        <w:bidi w:val="0"/>
        <w:adjustRightInd/>
        <w:snapToGrid/>
        <w:spacing w:before="0" w:beforeLines="50"/>
        <w:ind w:left="0" w:leftChars="0" w:firstLine="0" w:firstLineChars="0"/>
        <w:textAlignment w:val="auto"/>
        <w:rPr>
          <w:color w:val="auto"/>
        </w:rPr>
      </w:pPr>
      <w:r>
        <w:rPr>
          <w:rFonts w:hint="eastAsia"/>
          <w:color w:val="auto"/>
        </w:rPr>
        <w:t xml:space="preserve">四川省建设用地土壤污染风险管控标准 </w:t>
      </w:r>
      <w:r>
        <w:rPr>
          <w:color w:val="auto"/>
        </w:rPr>
        <w:t>单位：mg/kg</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13"/>
        <w:gridCol w:w="609"/>
        <w:gridCol w:w="913"/>
        <w:gridCol w:w="1251"/>
        <w:gridCol w:w="1931"/>
        <w:gridCol w:w="1933"/>
        <w:gridCol w:w="1396"/>
      </w:tblGrid>
      <w:tr w14:paraId="328730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vMerge w:val="restart"/>
            <w:tcBorders>
              <w:tl2br w:val="nil"/>
              <w:tr2bl w:val="nil"/>
            </w:tcBorders>
            <w:vAlign w:val="center"/>
          </w:tcPr>
          <w:p w14:paraId="32287ED3">
            <w:pPr>
              <w:pStyle w:val="16"/>
              <w:bidi w:val="0"/>
              <w:rPr>
                <w:b/>
                <w:bCs/>
                <w:color w:val="auto"/>
              </w:rPr>
            </w:pPr>
            <w:r>
              <w:rPr>
                <w:b/>
                <w:bCs/>
                <w:color w:val="auto"/>
              </w:rPr>
              <w:t>序号</w:t>
            </w:r>
          </w:p>
        </w:tc>
        <w:tc>
          <w:tcPr>
            <w:tcW w:w="850" w:type="pct"/>
            <w:gridSpan w:val="2"/>
            <w:vMerge w:val="restart"/>
            <w:tcBorders>
              <w:tl2br w:val="nil"/>
              <w:tr2bl w:val="nil"/>
            </w:tcBorders>
            <w:vAlign w:val="center"/>
          </w:tcPr>
          <w:p w14:paraId="48F8572C">
            <w:pPr>
              <w:pStyle w:val="16"/>
              <w:bidi w:val="0"/>
              <w:rPr>
                <w:b/>
                <w:bCs/>
                <w:color w:val="auto"/>
              </w:rPr>
            </w:pPr>
            <w:r>
              <w:rPr>
                <w:b/>
                <w:bCs/>
                <w:color w:val="auto"/>
              </w:rPr>
              <w:t>指标</w:t>
            </w:r>
          </w:p>
        </w:tc>
        <w:tc>
          <w:tcPr>
            <w:tcW w:w="3638" w:type="pct"/>
            <w:gridSpan w:val="4"/>
            <w:tcBorders>
              <w:tl2br w:val="nil"/>
              <w:tr2bl w:val="nil"/>
            </w:tcBorders>
            <w:vAlign w:val="center"/>
          </w:tcPr>
          <w:p w14:paraId="6A4BED83">
            <w:pPr>
              <w:pStyle w:val="16"/>
              <w:bidi w:val="0"/>
              <w:rPr>
                <w:b/>
                <w:bCs/>
                <w:color w:val="auto"/>
              </w:rPr>
            </w:pPr>
            <w:r>
              <w:rPr>
                <w:b/>
                <w:bCs/>
                <w:color w:val="auto"/>
              </w:rPr>
              <w:t>风险筛选值</w:t>
            </w:r>
          </w:p>
        </w:tc>
      </w:tr>
      <w:tr w14:paraId="1B8BAF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vMerge w:val="continue"/>
            <w:tcBorders>
              <w:tl2br w:val="nil"/>
              <w:tr2bl w:val="nil"/>
            </w:tcBorders>
            <w:vAlign w:val="center"/>
          </w:tcPr>
          <w:p w14:paraId="19B78BE1">
            <w:pPr>
              <w:pStyle w:val="16"/>
              <w:bidi w:val="0"/>
              <w:rPr>
                <w:b/>
                <w:bCs/>
                <w:color w:val="auto"/>
              </w:rPr>
            </w:pPr>
          </w:p>
        </w:tc>
        <w:tc>
          <w:tcPr>
            <w:tcW w:w="850" w:type="pct"/>
            <w:gridSpan w:val="2"/>
            <w:vMerge w:val="continue"/>
            <w:tcBorders>
              <w:tl2br w:val="nil"/>
              <w:tr2bl w:val="nil"/>
            </w:tcBorders>
            <w:vAlign w:val="center"/>
          </w:tcPr>
          <w:p w14:paraId="2316C432">
            <w:pPr>
              <w:pStyle w:val="16"/>
              <w:bidi w:val="0"/>
              <w:rPr>
                <w:b/>
                <w:bCs/>
                <w:color w:val="auto"/>
              </w:rPr>
            </w:pPr>
          </w:p>
        </w:tc>
        <w:tc>
          <w:tcPr>
            <w:tcW w:w="699" w:type="pct"/>
            <w:tcBorders>
              <w:tl2br w:val="nil"/>
              <w:tr2bl w:val="nil"/>
            </w:tcBorders>
            <w:vAlign w:val="center"/>
          </w:tcPr>
          <w:p w14:paraId="168C7533">
            <w:pPr>
              <w:pStyle w:val="16"/>
              <w:bidi w:val="0"/>
              <w:rPr>
                <w:b/>
                <w:bCs/>
                <w:color w:val="auto"/>
              </w:rPr>
            </w:pPr>
            <w:r>
              <w:rPr>
                <w:b/>
                <w:bCs/>
                <w:color w:val="auto"/>
              </w:rPr>
              <w:t>pH≤5.5</w:t>
            </w:r>
          </w:p>
        </w:tc>
        <w:tc>
          <w:tcPr>
            <w:tcW w:w="1079" w:type="pct"/>
            <w:tcBorders>
              <w:tl2br w:val="nil"/>
              <w:tr2bl w:val="nil"/>
            </w:tcBorders>
            <w:vAlign w:val="center"/>
          </w:tcPr>
          <w:p w14:paraId="7D503FD5">
            <w:pPr>
              <w:pStyle w:val="16"/>
              <w:bidi w:val="0"/>
              <w:rPr>
                <w:b/>
                <w:bCs/>
                <w:color w:val="auto"/>
              </w:rPr>
            </w:pPr>
            <w:r>
              <w:rPr>
                <w:b/>
                <w:bCs/>
                <w:color w:val="auto"/>
              </w:rPr>
              <w:t>5.5＜pH≤6.5</w:t>
            </w:r>
          </w:p>
        </w:tc>
        <w:tc>
          <w:tcPr>
            <w:tcW w:w="1080" w:type="pct"/>
            <w:tcBorders>
              <w:tl2br w:val="nil"/>
              <w:tr2bl w:val="nil"/>
            </w:tcBorders>
            <w:vAlign w:val="center"/>
          </w:tcPr>
          <w:p w14:paraId="265EBCBB">
            <w:pPr>
              <w:pStyle w:val="16"/>
              <w:bidi w:val="0"/>
              <w:rPr>
                <w:b/>
                <w:bCs/>
                <w:color w:val="auto"/>
              </w:rPr>
            </w:pPr>
            <w:r>
              <w:rPr>
                <w:b/>
                <w:bCs/>
                <w:color w:val="auto"/>
              </w:rPr>
              <w:t>6.5＜pH≤7.5</w:t>
            </w:r>
          </w:p>
        </w:tc>
        <w:tc>
          <w:tcPr>
            <w:tcW w:w="778" w:type="pct"/>
            <w:tcBorders>
              <w:tl2br w:val="nil"/>
              <w:tr2bl w:val="nil"/>
            </w:tcBorders>
            <w:vAlign w:val="center"/>
          </w:tcPr>
          <w:p w14:paraId="758F6283">
            <w:pPr>
              <w:pStyle w:val="16"/>
              <w:bidi w:val="0"/>
              <w:rPr>
                <w:b/>
                <w:bCs/>
                <w:color w:val="auto"/>
              </w:rPr>
            </w:pPr>
            <w:r>
              <w:rPr>
                <w:b/>
                <w:bCs/>
                <w:color w:val="auto"/>
              </w:rPr>
              <w:t>pH＞7.5</w:t>
            </w:r>
          </w:p>
        </w:tc>
      </w:tr>
      <w:tr w14:paraId="4783F0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vMerge w:val="restart"/>
            <w:tcBorders>
              <w:tl2br w:val="nil"/>
              <w:tr2bl w:val="nil"/>
            </w:tcBorders>
            <w:vAlign w:val="center"/>
          </w:tcPr>
          <w:p w14:paraId="1B094EF1">
            <w:pPr>
              <w:pStyle w:val="16"/>
              <w:bidi w:val="0"/>
              <w:rPr>
                <w:color w:val="auto"/>
              </w:rPr>
            </w:pPr>
            <w:r>
              <w:rPr>
                <w:color w:val="auto"/>
              </w:rPr>
              <w:t>1</w:t>
            </w:r>
          </w:p>
        </w:tc>
        <w:tc>
          <w:tcPr>
            <w:tcW w:w="340" w:type="pct"/>
            <w:vMerge w:val="restart"/>
            <w:tcBorders>
              <w:tl2br w:val="nil"/>
              <w:tr2bl w:val="nil"/>
            </w:tcBorders>
            <w:vAlign w:val="center"/>
          </w:tcPr>
          <w:p w14:paraId="4DE21EEA">
            <w:pPr>
              <w:pStyle w:val="16"/>
              <w:bidi w:val="0"/>
              <w:rPr>
                <w:color w:val="auto"/>
              </w:rPr>
            </w:pPr>
            <w:r>
              <w:rPr>
                <w:color w:val="auto"/>
              </w:rPr>
              <w:t>镉</w:t>
            </w:r>
          </w:p>
        </w:tc>
        <w:tc>
          <w:tcPr>
            <w:tcW w:w="509" w:type="pct"/>
            <w:tcBorders>
              <w:tl2br w:val="nil"/>
              <w:tr2bl w:val="nil"/>
            </w:tcBorders>
            <w:vAlign w:val="center"/>
          </w:tcPr>
          <w:p w14:paraId="38A402B5">
            <w:pPr>
              <w:pStyle w:val="16"/>
              <w:bidi w:val="0"/>
              <w:rPr>
                <w:color w:val="auto"/>
              </w:rPr>
            </w:pPr>
            <w:r>
              <w:rPr>
                <w:color w:val="auto"/>
              </w:rPr>
              <w:t>水田</w:t>
            </w:r>
          </w:p>
        </w:tc>
        <w:tc>
          <w:tcPr>
            <w:tcW w:w="699" w:type="pct"/>
            <w:tcBorders>
              <w:tl2br w:val="nil"/>
              <w:tr2bl w:val="nil"/>
            </w:tcBorders>
            <w:vAlign w:val="center"/>
          </w:tcPr>
          <w:p w14:paraId="676854B1">
            <w:pPr>
              <w:pStyle w:val="16"/>
              <w:bidi w:val="0"/>
              <w:rPr>
                <w:color w:val="auto"/>
              </w:rPr>
            </w:pPr>
            <w:r>
              <w:rPr>
                <w:color w:val="auto"/>
              </w:rPr>
              <w:t>0.3</w:t>
            </w:r>
          </w:p>
        </w:tc>
        <w:tc>
          <w:tcPr>
            <w:tcW w:w="1079" w:type="pct"/>
            <w:tcBorders>
              <w:tl2br w:val="nil"/>
              <w:tr2bl w:val="nil"/>
            </w:tcBorders>
            <w:vAlign w:val="center"/>
          </w:tcPr>
          <w:p w14:paraId="34A0A51A">
            <w:pPr>
              <w:pStyle w:val="16"/>
              <w:bidi w:val="0"/>
              <w:rPr>
                <w:color w:val="auto"/>
              </w:rPr>
            </w:pPr>
            <w:r>
              <w:rPr>
                <w:color w:val="auto"/>
              </w:rPr>
              <w:t>0.4</w:t>
            </w:r>
          </w:p>
        </w:tc>
        <w:tc>
          <w:tcPr>
            <w:tcW w:w="1080" w:type="pct"/>
            <w:tcBorders>
              <w:tl2br w:val="nil"/>
              <w:tr2bl w:val="nil"/>
            </w:tcBorders>
            <w:vAlign w:val="center"/>
          </w:tcPr>
          <w:p w14:paraId="688DC031">
            <w:pPr>
              <w:pStyle w:val="16"/>
              <w:bidi w:val="0"/>
              <w:rPr>
                <w:color w:val="auto"/>
              </w:rPr>
            </w:pPr>
            <w:r>
              <w:rPr>
                <w:color w:val="auto"/>
              </w:rPr>
              <w:t>0.6</w:t>
            </w:r>
          </w:p>
        </w:tc>
        <w:tc>
          <w:tcPr>
            <w:tcW w:w="778" w:type="pct"/>
            <w:tcBorders>
              <w:tl2br w:val="nil"/>
              <w:tr2bl w:val="nil"/>
            </w:tcBorders>
            <w:vAlign w:val="center"/>
          </w:tcPr>
          <w:p w14:paraId="61D18058">
            <w:pPr>
              <w:pStyle w:val="16"/>
              <w:bidi w:val="0"/>
              <w:rPr>
                <w:color w:val="auto"/>
              </w:rPr>
            </w:pPr>
            <w:r>
              <w:rPr>
                <w:color w:val="auto"/>
              </w:rPr>
              <w:t>0.8</w:t>
            </w:r>
          </w:p>
        </w:tc>
      </w:tr>
      <w:tr w14:paraId="16D36D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vMerge w:val="continue"/>
            <w:tcBorders>
              <w:tl2br w:val="nil"/>
              <w:tr2bl w:val="nil"/>
            </w:tcBorders>
            <w:vAlign w:val="center"/>
          </w:tcPr>
          <w:p w14:paraId="6039E436">
            <w:pPr>
              <w:pStyle w:val="16"/>
              <w:bidi w:val="0"/>
              <w:rPr>
                <w:color w:val="auto"/>
              </w:rPr>
            </w:pPr>
          </w:p>
        </w:tc>
        <w:tc>
          <w:tcPr>
            <w:tcW w:w="340" w:type="pct"/>
            <w:vMerge w:val="continue"/>
            <w:tcBorders>
              <w:tl2br w:val="nil"/>
              <w:tr2bl w:val="nil"/>
            </w:tcBorders>
            <w:vAlign w:val="center"/>
          </w:tcPr>
          <w:p w14:paraId="252DB570">
            <w:pPr>
              <w:pStyle w:val="16"/>
              <w:bidi w:val="0"/>
              <w:rPr>
                <w:color w:val="auto"/>
              </w:rPr>
            </w:pPr>
          </w:p>
        </w:tc>
        <w:tc>
          <w:tcPr>
            <w:tcW w:w="509" w:type="pct"/>
            <w:tcBorders>
              <w:tl2br w:val="nil"/>
              <w:tr2bl w:val="nil"/>
            </w:tcBorders>
            <w:vAlign w:val="center"/>
          </w:tcPr>
          <w:p w14:paraId="3CFE0F37">
            <w:pPr>
              <w:pStyle w:val="16"/>
              <w:bidi w:val="0"/>
              <w:rPr>
                <w:color w:val="auto"/>
              </w:rPr>
            </w:pPr>
            <w:r>
              <w:rPr>
                <w:color w:val="auto"/>
              </w:rPr>
              <w:t>其他</w:t>
            </w:r>
          </w:p>
        </w:tc>
        <w:tc>
          <w:tcPr>
            <w:tcW w:w="699" w:type="pct"/>
            <w:tcBorders>
              <w:tl2br w:val="nil"/>
              <w:tr2bl w:val="nil"/>
            </w:tcBorders>
            <w:vAlign w:val="center"/>
          </w:tcPr>
          <w:p w14:paraId="6034E90C">
            <w:pPr>
              <w:pStyle w:val="16"/>
              <w:bidi w:val="0"/>
              <w:rPr>
                <w:color w:val="auto"/>
              </w:rPr>
            </w:pPr>
            <w:r>
              <w:rPr>
                <w:color w:val="auto"/>
              </w:rPr>
              <w:t>0.3</w:t>
            </w:r>
          </w:p>
        </w:tc>
        <w:tc>
          <w:tcPr>
            <w:tcW w:w="1079" w:type="pct"/>
            <w:tcBorders>
              <w:tl2br w:val="nil"/>
              <w:tr2bl w:val="nil"/>
            </w:tcBorders>
            <w:vAlign w:val="center"/>
          </w:tcPr>
          <w:p w14:paraId="41B3A86F">
            <w:pPr>
              <w:pStyle w:val="16"/>
              <w:bidi w:val="0"/>
              <w:rPr>
                <w:color w:val="auto"/>
              </w:rPr>
            </w:pPr>
            <w:r>
              <w:rPr>
                <w:color w:val="auto"/>
              </w:rPr>
              <w:t>0.3</w:t>
            </w:r>
          </w:p>
        </w:tc>
        <w:tc>
          <w:tcPr>
            <w:tcW w:w="1080" w:type="pct"/>
            <w:tcBorders>
              <w:tl2br w:val="nil"/>
              <w:tr2bl w:val="nil"/>
            </w:tcBorders>
            <w:vAlign w:val="center"/>
          </w:tcPr>
          <w:p w14:paraId="2B57D223">
            <w:pPr>
              <w:pStyle w:val="16"/>
              <w:bidi w:val="0"/>
              <w:rPr>
                <w:color w:val="auto"/>
              </w:rPr>
            </w:pPr>
            <w:r>
              <w:rPr>
                <w:color w:val="auto"/>
              </w:rPr>
              <w:t>0.3</w:t>
            </w:r>
          </w:p>
        </w:tc>
        <w:tc>
          <w:tcPr>
            <w:tcW w:w="778" w:type="pct"/>
            <w:tcBorders>
              <w:tl2br w:val="nil"/>
              <w:tr2bl w:val="nil"/>
            </w:tcBorders>
            <w:vAlign w:val="center"/>
          </w:tcPr>
          <w:p w14:paraId="22142029">
            <w:pPr>
              <w:pStyle w:val="16"/>
              <w:bidi w:val="0"/>
              <w:rPr>
                <w:color w:val="auto"/>
              </w:rPr>
            </w:pPr>
            <w:r>
              <w:rPr>
                <w:color w:val="auto"/>
              </w:rPr>
              <w:t>0.6</w:t>
            </w:r>
          </w:p>
        </w:tc>
      </w:tr>
      <w:tr w14:paraId="337B85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vMerge w:val="restart"/>
            <w:tcBorders>
              <w:tl2br w:val="nil"/>
              <w:tr2bl w:val="nil"/>
            </w:tcBorders>
            <w:vAlign w:val="center"/>
          </w:tcPr>
          <w:p w14:paraId="25CBA41E">
            <w:pPr>
              <w:pStyle w:val="16"/>
              <w:bidi w:val="0"/>
              <w:rPr>
                <w:color w:val="auto"/>
              </w:rPr>
            </w:pPr>
            <w:r>
              <w:rPr>
                <w:color w:val="auto"/>
              </w:rPr>
              <w:t>2</w:t>
            </w:r>
          </w:p>
        </w:tc>
        <w:tc>
          <w:tcPr>
            <w:tcW w:w="340" w:type="pct"/>
            <w:vMerge w:val="restart"/>
            <w:tcBorders>
              <w:tl2br w:val="nil"/>
              <w:tr2bl w:val="nil"/>
            </w:tcBorders>
            <w:vAlign w:val="center"/>
          </w:tcPr>
          <w:p w14:paraId="4896133A">
            <w:pPr>
              <w:pStyle w:val="16"/>
              <w:bidi w:val="0"/>
              <w:rPr>
                <w:color w:val="auto"/>
              </w:rPr>
            </w:pPr>
            <w:r>
              <w:rPr>
                <w:color w:val="auto"/>
              </w:rPr>
              <w:t>汞</w:t>
            </w:r>
          </w:p>
        </w:tc>
        <w:tc>
          <w:tcPr>
            <w:tcW w:w="509" w:type="pct"/>
            <w:tcBorders>
              <w:tl2br w:val="nil"/>
              <w:tr2bl w:val="nil"/>
            </w:tcBorders>
            <w:vAlign w:val="center"/>
          </w:tcPr>
          <w:p w14:paraId="52E42DF9">
            <w:pPr>
              <w:pStyle w:val="16"/>
              <w:bidi w:val="0"/>
              <w:rPr>
                <w:color w:val="auto"/>
              </w:rPr>
            </w:pPr>
            <w:r>
              <w:rPr>
                <w:color w:val="auto"/>
              </w:rPr>
              <w:t>水田</w:t>
            </w:r>
          </w:p>
        </w:tc>
        <w:tc>
          <w:tcPr>
            <w:tcW w:w="699" w:type="pct"/>
            <w:tcBorders>
              <w:tl2br w:val="nil"/>
              <w:tr2bl w:val="nil"/>
            </w:tcBorders>
            <w:vAlign w:val="center"/>
          </w:tcPr>
          <w:p w14:paraId="2E78BB9D">
            <w:pPr>
              <w:pStyle w:val="16"/>
              <w:bidi w:val="0"/>
              <w:rPr>
                <w:color w:val="auto"/>
              </w:rPr>
            </w:pPr>
            <w:r>
              <w:rPr>
                <w:color w:val="auto"/>
              </w:rPr>
              <w:t>0.5</w:t>
            </w:r>
          </w:p>
        </w:tc>
        <w:tc>
          <w:tcPr>
            <w:tcW w:w="1079" w:type="pct"/>
            <w:tcBorders>
              <w:tl2br w:val="nil"/>
              <w:tr2bl w:val="nil"/>
            </w:tcBorders>
            <w:vAlign w:val="center"/>
          </w:tcPr>
          <w:p w14:paraId="1106F298">
            <w:pPr>
              <w:pStyle w:val="16"/>
              <w:bidi w:val="0"/>
              <w:rPr>
                <w:color w:val="auto"/>
              </w:rPr>
            </w:pPr>
            <w:r>
              <w:rPr>
                <w:color w:val="auto"/>
              </w:rPr>
              <w:t>0.5</w:t>
            </w:r>
          </w:p>
        </w:tc>
        <w:tc>
          <w:tcPr>
            <w:tcW w:w="1080" w:type="pct"/>
            <w:tcBorders>
              <w:tl2br w:val="nil"/>
              <w:tr2bl w:val="nil"/>
            </w:tcBorders>
            <w:vAlign w:val="center"/>
          </w:tcPr>
          <w:p w14:paraId="155508DC">
            <w:pPr>
              <w:pStyle w:val="16"/>
              <w:bidi w:val="0"/>
              <w:rPr>
                <w:color w:val="auto"/>
              </w:rPr>
            </w:pPr>
            <w:r>
              <w:rPr>
                <w:color w:val="auto"/>
              </w:rPr>
              <w:t>0.6</w:t>
            </w:r>
          </w:p>
        </w:tc>
        <w:tc>
          <w:tcPr>
            <w:tcW w:w="778" w:type="pct"/>
            <w:tcBorders>
              <w:tl2br w:val="nil"/>
              <w:tr2bl w:val="nil"/>
            </w:tcBorders>
            <w:vAlign w:val="center"/>
          </w:tcPr>
          <w:p w14:paraId="471637F6">
            <w:pPr>
              <w:pStyle w:val="16"/>
              <w:bidi w:val="0"/>
              <w:rPr>
                <w:color w:val="auto"/>
              </w:rPr>
            </w:pPr>
            <w:r>
              <w:rPr>
                <w:color w:val="auto"/>
              </w:rPr>
              <w:t>1.0</w:t>
            </w:r>
          </w:p>
        </w:tc>
      </w:tr>
      <w:tr w14:paraId="4DA724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vMerge w:val="continue"/>
            <w:tcBorders>
              <w:tl2br w:val="nil"/>
              <w:tr2bl w:val="nil"/>
            </w:tcBorders>
            <w:vAlign w:val="center"/>
          </w:tcPr>
          <w:p w14:paraId="4E45389B">
            <w:pPr>
              <w:pStyle w:val="16"/>
              <w:bidi w:val="0"/>
              <w:rPr>
                <w:color w:val="auto"/>
              </w:rPr>
            </w:pPr>
          </w:p>
        </w:tc>
        <w:tc>
          <w:tcPr>
            <w:tcW w:w="340" w:type="pct"/>
            <w:vMerge w:val="continue"/>
            <w:tcBorders>
              <w:tl2br w:val="nil"/>
              <w:tr2bl w:val="nil"/>
            </w:tcBorders>
            <w:vAlign w:val="center"/>
          </w:tcPr>
          <w:p w14:paraId="2B91A0F7">
            <w:pPr>
              <w:pStyle w:val="16"/>
              <w:bidi w:val="0"/>
              <w:rPr>
                <w:color w:val="auto"/>
              </w:rPr>
            </w:pPr>
          </w:p>
        </w:tc>
        <w:tc>
          <w:tcPr>
            <w:tcW w:w="509" w:type="pct"/>
            <w:tcBorders>
              <w:tl2br w:val="nil"/>
              <w:tr2bl w:val="nil"/>
            </w:tcBorders>
            <w:vAlign w:val="center"/>
          </w:tcPr>
          <w:p w14:paraId="499DC7F9">
            <w:pPr>
              <w:pStyle w:val="16"/>
              <w:bidi w:val="0"/>
              <w:rPr>
                <w:color w:val="auto"/>
              </w:rPr>
            </w:pPr>
            <w:r>
              <w:rPr>
                <w:color w:val="auto"/>
              </w:rPr>
              <w:t>其他</w:t>
            </w:r>
          </w:p>
        </w:tc>
        <w:tc>
          <w:tcPr>
            <w:tcW w:w="699" w:type="pct"/>
            <w:tcBorders>
              <w:tl2br w:val="nil"/>
              <w:tr2bl w:val="nil"/>
            </w:tcBorders>
            <w:vAlign w:val="center"/>
          </w:tcPr>
          <w:p w14:paraId="54370992">
            <w:pPr>
              <w:pStyle w:val="16"/>
              <w:bidi w:val="0"/>
              <w:rPr>
                <w:color w:val="auto"/>
              </w:rPr>
            </w:pPr>
            <w:r>
              <w:rPr>
                <w:color w:val="auto"/>
              </w:rPr>
              <w:t>1.3</w:t>
            </w:r>
          </w:p>
        </w:tc>
        <w:tc>
          <w:tcPr>
            <w:tcW w:w="1079" w:type="pct"/>
            <w:tcBorders>
              <w:tl2br w:val="nil"/>
              <w:tr2bl w:val="nil"/>
            </w:tcBorders>
            <w:vAlign w:val="center"/>
          </w:tcPr>
          <w:p w14:paraId="1F0CABF3">
            <w:pPr>
              <w:pStyle w:val="16"/>
              <w:bidi w:val="0"/>
              <w:rPr>
                <w:color w:val="auto"/>
              </w:rPr>
            </w:pPr>
            <w:r>
              <w:rPr>
                <w:color w:val="auto"/>
              </w:rPr>
              <w:t>1.8</w:t>
            </w:r>
          </w:p>
        </w:tc>
        <w:tc>
          <w:tcPr>
            <w:tcW w:w="1080" w:type="pct"/>
            <w:tcBorders>
              <w:tl2br w:val="nil"/>
              <w:tr2bl w:val="nil"/>
            </w:tcBorders>
            <w:vAlign w:val="center"/>
          </w:tcPr>
          <w:p w14:paraId="0EBA3ACF">
            <w:pPr>
              <w:pStyle w:val="16"/>
              <w:bidi w:val="0"/>
              <w:rPr>
                <w:color w:val="auto"/>
              </w:rPr>
            </w:pPr>
            <w:r>
              <w:rPr>
                <w:color w:val="auto"/>
              </w:rPr>
              <w:t>2.4</w:t>
            </w:r>
          </w:p>
        </w:tc>
        <w:tc>
          <w:tcPr>
            <w:tcW w:w="778" w:type="pct"/>
            <w:tcBorders>
              <w:tl2br w:val="nil"/>
              <w:tr2bl w:val="nil"/>
            </w:tcBorders>
            <w:vAlign w:val="center"/>
          </w:tcPr>
          <w:p w14:paraId="67751927">
            <w:pPr>
              <w:pStyle w:val="16"/>
              <w:bidi w:val="0"/>
              <w:rPr>
                <w:color w:val="auto"/>
              </w:rPr>
            </w:pPr>
            <w:r>
              <w:rPr>
                <w:color w:val="auto"/>
              </w:rPr>
              <w:t>3.4</w:t>
            </w:r>
          </w:p>
        </w:tc>
      </w:tr>
      <w:tr w14:paraId="39AC10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vMerge w:val="restart"/>
            <w:tcBorders>
              <w:tl2br w:val="nil"/>
              <w:tr2bl w:val="nil"/>
            </w:tcBorders>
            <w:vAlign w:val="center"/>
          </w:tcPr>
          <w:p w14:paraId="08D38F95">
            <w:pPr>
              <w:pStyle w:val="16"/>
              <w:bidi w:val="0"/>
              <w:rPr>
                <w:color w:val="auto"/>
              </w:rPr>
            </w:pPr>
            <w:r>
              <w:rPr>
                <w:color w:val="auto"/>
              </w:rPr>
              <w:t>3</w:t>
            </w:r>
          </w:p>
        </w:tc>
        <w:tc>
          <w:tcPr>
            <w:tcW w:w="340" w:type="pct"/>
            <w:vMerge w:val="restart"/>
            <w:tcBorders>
              <w:tl2br w:val="nil"/>
              <w:tr2bl w:val="nil"/>
            </w:tcBorders>
            <w:vAlign w:val="center"/>
          </w:tcPr>
          <w:p w14:paraId="70F0EDCA">
            <w:pPr>
              <w:pStyle w:val="16"/>
              <w:bidi w:val="0"/>
              <w:rPr>
                <w:color w:val="auto"/>
              </w:rPr>
            </w:pPr>
            <w:r>
              <w:rPr>
                <w:color w:val="auto"/>
              </w:rPr>
              <w:t>砷</w:t>
            </w:r>
          </w:p>
        </w:tc>
        <w:tc>
          <w:tcPr>
            <w:tcW w:w="509" w:type="pct"/>
            <w:tcBorders>
              <w:tl2br w:val="nil"/>
              <w:tr2bl w:val="nil"/>
            </w:tcBorders>
            <w:vAlign w:val="center"/>
          </w:tcPr>
          <w:p w14:paraId="578B1087">
            <w:pPr>
              <w:pStyle w:val="16"/>
              <w:bidi w:val="0"/>
              <w:rPr>
                <w:color w:val="auto"/>
              </w:rPr>
            </w:pPr>
            <w:r>
              <w:rPr>
                <w:color w:val="auto"/>
              </w:rPr>
              <w:t>水田</w:t>
            </w:r>
          </w:p>
        </w:tc>
        <w:tc>
          <w:tcPr>
            <w:tcW w:w="699" w:type="pct"/>
            <w:tcBorders>
              <w:tl2br w:val="nil"/>
              <w:tr2bl w:val="nil"/>
            </w:tcBorders>
            <w:vAlign w:val="center"/>
          </w:tcPr>
          <w:p w14:paraId="34034B8B">
            <w:pPr>
              <w:pStyle w:val="16"/>
              <w:bidi w:val="0"/>
              <w:rPr>
                <w:color w:val="auto"/>
              </w:rPr>
            </w:pPr>
            <w:r>
              <w:rPr>
                <w:color w:val="auto"/>
              </w:rPr>
              <w:t>30</w:t>
            </w:r>
          </w:p>
        </w:tc>
        <w:tc>
          <w:tcPr>
            <w:tcW w:w="1079" w:type="pct"/>
            <w:tcBorders>
              <w:tl2br w:val="nil"/>
              <w:tr2bl w:val="nil"/>
            </w:tcBorders>
            <w:vAlign w:val="center"/>
          </w:tcPr>
          <w:p w14:paraId="44862CB4">
            <w:pPr>
              <w:pStyle w:val="16"/>
              <w:bidi w:val="0"/>
              <w:rPr>
                <w:color w:val="auto"/>
              </w:rPr>
            </w:pPr>
            <w:r>
              <w:rPr>
                <w:color w:val="auto"/>
              </w:rPr>
              <w:t>30</w:t>
            </w:r>
          </w:p>
        </w:tc>
        <w:tc>
          <w:tcPr>
            <w:tcW w:w="1080" w:type="pct"/>
            <w:tcBorders>
              <w:tl2br w:val="nil"/>
              <w:tr2bl w:val="nil"/>
            </w:tcBorders>
            <w:vAlign w:val="center"/>
          </w:tcPr>
          <w:p w14:paraId="0CD3823E">
            <w:pPr>
              <w:pStyle w:val="16"/>
              <w:bidi w:val="0"/>
              <w:rPr>
                <w:color w:val="auto"/>
              </w:rPr>
            </w:pPr>
            <w:r>
              <w:rPr>
                <w:color w:val="auto"/>
              </w:rPr>
              <w:t>25</w:t>
            </w:r>
          </w:p>
        </w:tc>
        <w:tc>
          <w:tcPr>
            <w:tcW w:w="778" w:type="pct"/>
            <w:tcBorders>
              <w:tl2br w:val="nil"/>
              <w:tr2bl w:val="nil"/>
            </w:tcBorders>
            <w:vAlign w:val="center"/>
          </w:tcPr>
          <w:p w14:paraId="67BC6593">
            <w:pPr>
              <w:pStyle w:val="16"/>
              <w:bidi w:val="0"/>
              <w:rPr>
                <w:color w:val="auto"/>
              </w:rPr>
            </w:pPr>
            <w:r>
              <w:rPr>
                <w:color w:val="auto"/>
              </w:rPr>
              <w:t>20</w:t>
            </w:r>
          </w:p>
        </w:tc>
      </w:tr>
      <w:tr w14:paraId="0663A1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vMerge w:val="continue"/>
            <w:tcBorders>
              <w:tl2br w:val="nil"/>
              <w:tr2bl w:val="nil"/>
            </w:tcBorders>
            <w:vAlign w:val="center"/>
          </w:tcPr>
          <w:p w14:paraId="61E8E08C">
            <w:pPr>
              <w:pStyle w:val="16"/>
              <w:bidi w:val="0"/>
              <w:rPr>
                <w:color w:val="auto"/>
              </w:rPr>
            </w:pPr>
          </w:p>
        </w:tc>
        <w:tc>
          <w:tcPr>
            <w:tcW w:w="340" w:type="pct"/>
            <w:vMerge w:val="continue"/>
            <w:tcBorders>
              <w:tl2br w:val="nil"/>
              <w:tr2bl w:val="nil"/>
            </w:tcBorders>
            <w:vAlign w:val="center"/>
          </w:tcPr>
          <w:p w14:paraId="043BB48E">
            <w:pPr>
              <w:pStyle w:val="16"/>
              <w:bidi w:val="0"/>
              <w:rPr>
                <w:color w:val="auto"/>
              </w:rPr>
            </w:pPr>
          </w:p>
        </w:tc>
        <w:tc>
          <w:tcPr>
            <w:tcW w:w="509" w:type="pct"/>
            <w:tcBorders>
              <w:tl2br w:val="nil"/>
              <w:tr2bl w:val="nil"/>
            </w:tcBorders>
            <w:vAlign w:val="center"/>
          </w:tcPr>
          <w:p w14:paraId="29643843">
            <w:pPr>
              <w:pStyle w:val="16"/>
              <w:bidi w:val="0"/>
              <w:rPr>
                <w:color w:val="auto"/>
              </w:rPr>
            </w:pPr>
            <w:r>
              <w:rPr>
                <w:color w:val="auto"/>
              </w:rPr>
              <w:t>其他</w:t>
            </w:r>
          </w:p>
        </w:tc>
        <w:tc>
          <w:tcPr>
            <w:tcW w:w="699" w:type="pct"/>
            <w:tcBorders>
              <w:tl2br w:val="nil"/>
              <w:tr2bl w:val="nil"/>
            </w:tcBorders>
            <w:vAlign w:val="center"/>
          </w:tcPr>
          <w:p w14:paraId="6D3A8CEA">
            <w:pPr>
              <w:pStyle w:val="16"/>
              <w:bidi w:val="0"/>
              <w:rPr>
                <w:color w:val="auto"/>
              </w:rPr>
            </w:pPr>
            <w:r>
              <w:rPr>
                <w:color w:val="auto"/>
              </w:rPr>
              <w:t>40</w:t>
            </w:r>
          </w:p>
        </w:tc>
        <w:tc>
          <w:tcPr>
            <w:tcW w:w="1079" w:type="pct"/>
            <w:tcBorders>
              <w:tl2br w:val="nil"/>
              <w:tr2bl w:val="nil"/>
            </w:tcBorders>
            <w:vAlign w:val="center"/>
          </w:tcPr>
          <w:p w14:paraId="4BC0B991">
            <w:pPr>
              <w:pStyle w:val="16"/>
              <w:bidi w:val="0"/>
              <w:rPr>
                <w:color w:val="auto"/>
              </w:rPr>
            </w:pPr>
            <w:r>
              <w:rPr>
                <w:color w:val="auto"/>
              </w:rPr>
              <w:t>40</w:t>
            </w:r>
          </w:p>
        </w:tc>
        <w:tc>
          <w:tcPr>
            <w:tcW w:w="1080" w:type="pct"/>
            <w:tcBorders>
              <w:tl2br w:val="nil"/>
              <w:tr2bl w:val="nil"/>
            </w:tcBorders>
            <w:vAlign w:val="center"/>
          </w:tcPr>
          <w:p w14:paraId="026EDBD8">
            <w:pPr>
              <w:pStyle w:val="16"/>
              <w:bidi w:val="0"/>
              <w:rPr>
                <w:color w:val="auto"/>
              </w:rPr>
            </w:pPr>
            <w:r>
              <w:rPr>
                <w:color w:val="auto"/>
              </w:rPr>
              <w:t>30</w:t>
            </w:r>
          </w:p>
        </w:tc>
        <w:tc>
          <w:tcPr>
            <w:tcW w:w="778" w:type="pct"/>
            <w:tcBorders>
              <w:tl2br w:val="nil"/>
              <w:tr2bl w:val="nil"/>
            </w:tcBorders>
            <w:vAlign w:val="center"/>
          </w:tcPr>
          <w:p w14:paraId="56BA0DA4">
            <w:pPr>
              <w:pStyle w:val="16"/>
              <w:bidi w:val="0"/>
              <w:rPr>
                <w:color w:val="auto"/>
              </w:rPr>
            </w:pPr>
            <w:r>
              <w:rPr>
                <w:color w:val="auto"/>
              </w:rPr>
              <w:t>25</w:t>
            </w:r>
          </w:p>
        </w:tc>
      </w:tr>
      <w:tr w14:paraId="250B02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vMerge w:val="restart"/>
            <w:tcBorders>
              <w:tl2br w:val="nil"/>
              <w:tr2bl w:val="nil"/>
            </w:tcBorders>
            <w:vAlign w:val="center"/>
          </w:tcPr>
          <w:p w14:paraId="5606E4C5">
            <w:pPr>
              <w:pStyle w:val="16"/>
              <w:bidi w:val="0"/>
              <w:rPr>
                <w:color w:val="auto"/>
              </w:rPr>
            </w:pPr>
            <w:r>
              <w:rPr>
                <w:color w:val="auto"/>
              </w:rPr>
              <w:t>4</w:t>
            </w:r>
          </w:p>
        </w:tc>
        <w:tc>
          <w:tcPr>
            <w:tcW w:w="340" w:type="pct"/>
            <w:vMerge w:val="restart"/>
            <w:tcBorders>
              <w:tl2br w:val="nil"/>
              <w:tr2bl w:val="nil"/>
            </w:tcBorders>
            <w:vAlign w:val="center"/>
          </w:tcPr>
          <w:p w14:paraId="1A5403AD">
            <w:pPr>
              <w:pStyle w:val="16"/>
              <w:bidi w:val="0"/>
              <w:rPr>
                <w:color w:val="auto"/>
              </w:rPr>
            </w:pPr>
            <w:r>
              <w:rPr>
                <w:color w:val="auto"/>
              </w:rPr>
              <w:t>铅</w:t>
            </w:r>
          </w:p>
        </w:tc>
        <w:tc>
          <w:tcPr>
            <w:tcW w:w="509" w:type="pct"/>
            <w:tcBorders>
              <w:tl2br w:val="nil"/>
              <w:tr2bl w:val="nil"/>
            </w:tcBorders>
            <w:vAlign w:val="center"/>
          </w:tcPr>
          <w:p w14:paraId="35F1CD85">
            <w:pPr>
              <w:pStyle w:val="16"/>
              <w:bidi w:val="0"/>
              <w:rPr>
                <w:color w:val="auto"/>
              </w:rPr>
            </w:pPr>
            <w:r>
              <w:rPr>
                <w:color w:val="auto"/>
              </w:rPr>
              <w:t>水田</w:t>
            </w:r>
          </w:p>
        </w:tc>
        <w:tc>
          <w:tcPr>
            <w:tcW w:w="699" w:type="pct"/>
            <w:tcBorders>
              <w:tl2br w:val="nil"/>
              <w:tr2bl w:val="nil"/>
            </w:tcBorders>
            <w:vAlign w:val="center"/>
          </w:tcPr>
          <w:p w14:paraId="15D7311A">
            <w:pPr>
              <w:pStyle w:val="16"/>
              <w:bidi w:val="0"/>
              <w:rPr>
                <w:color w:val="auto"/>
              </w:rPr>
            </w:pPr>
            <w:r>
              <w:rPr>
                <w:color w:val="auto"/>
              </w:rPr>
              <w:t>80</w:t>
            </w:r>
          </w:p>
        </w:tc>
        <w:tc>
          <w:tcPr>
            <w:tcW w:w="1079" w:type="pct"/>
            <w:tcBorders>
              <w:tl2br w:val="nil"/>
              <w:tr2bl w:val="nil"/>
            </w:tcBorders>
            <w:vAlign w:val="center"/>
          </w:tcPr>
          <w:p w14:paraId="068C7021">
            <w:pPr>
              <w:pStyle w:val="16"/>
              <w:bidi w:val="0"/>
              <w:rPr>
                <w:color w:val="auto"/>
              </w:rPr>
            </w:pPr>
            <w:r>
              <w:rPr>
                <w:color w:val="auto"/>
              </w:rPr>
              <w:t>100</w:t>
            </w:r>
          </w:p>
        </w:tc>
        <w:tc>
          <w:tcPr>
            <w:tcW w:w="1080" w:type="pct"/>
            <w:tcBorders>
              <w:tl2br w:val="nil"/>
              <w:tr2bl w:val="nil"/>
            </w:tcBorders>
            <w:vAlign w:val="center"/>
          </w:tcPr>
          <w:p w14:paraId="1D764ECF">
            <w:pPr>
              <w:pStyle w:val="16"/>
              <w:bidi w:val="0"/>
              <w:rPr>
                <w:color w:val="auto"/>
              </w:rPr>
            </w:pPr>
            <w:r>
              <w:rPr>
                <w:color w:val="auto"/>
              </w:rPr>
              <w:t>140</w:t>
            </w:r>
          </w:p>
        </w:tc>
        <w:tc>
          <w:tcPr>
            <w:tcW w:w="778" w:type="pct"/>
            <w:tcBorders>
              <w:tl2br w:val="nil"/>
              <w:tr2bl w:val="nil"/>
            </w:tcBorders>
            <w:vAlign w:val="center"/>
          </w:tcPr>
          <w:p w14:paraId="3268FEA1">
            <w:pPr>
              <w:pStyle w:val="16"/>
              <w:bidi w:val="0"/>
              <w:rPr>
                <w:color w:val="auto"/>
              </w:rPr>
            </w:pPr>
            <w:r>
              <w:rPr>
                <w:color w:val="auto"/>
              </w:rPr>
              <w:t>240</w:t>
            </w:r>
          </w:p>
        </w:tc>
      </w:tr>
      <w:tr w14:paraId="4F74CF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vMerge w:val="continue"/>
            <w:tcBorders>
              <w:tl2br w:val="nil"/>
              <w:tr2bl w:val="nil"/>
            </w:tcBorders>
            <w:vAlign w:val="center"/>
          </w:tcPr>
          <w:p w14:paraId="4ECDEDB6">
            <w:pPr>
              <w:pStyle w:val="16"/>
              <w:bidi w:val="0"/>
              <w:rPr>
                <w:color w:val="auto"/>
              </w:rPr>
            </w:pPr>
          </w:p>
        </w:tc>
        <w:tc>
          <w:tcPr>
            <w:tcW w:w="340" w:type="pct"/>
            <w:vMerge w:val="continue"/>
            <w:tcBorders>
              <w:tl2br w:val="nil"/>
              <w:tr2bl w:val="nil"/>
            </w:tcBorders>
            <w:vAlign w:val="center"/>
          </w:tcPr>
          <w:p w14:paraId="0EACB0A7">
            <w:pPr>
              <w:pStyle w:val="16"/>
              <w:bidi w:val="0"/>
              <w:rPr>
                <w:color w:val="auto"/>
              </w:rPr>
            </w:pPr>
          </w:p>
        </w:tc>
        <w:tc>
          <w:tcPr>
            <w:tcW w:w="509" w:type="pct"/>
            <w:tcBorders>
              <w:tl2br w:val="nil"/>
              <w:tr2bl w:val="nil"/>
            </w:tcBorders>
            <w:vAlign w:val="center"/>
          </w:tcPr>
          <w:p w14:paraId="0E08C90F">
            <w:pPr>
              <w:pStyle w:val="16"/>
              <w:bidi w:val="0"/>
              <w:rPr>
                <w:color w:val="auto"/>
              </w:rPr>
            </w:pPr>
            <w:r>
              <w:rPr>
                <w:color w:val="auto"/>
              </w:rPr>
              <w:t>其他</w:t>
            </w:r>
          </w:p>
        </w:tc>
        <w:tc>
          <w:tcPr>
            <w:tcW w:w="699" w:type="pct"/>
            <w:tcBorders>
              <w:tl2br w:val="nil"/>
              <w:tr2bl w:val="nil"/>
            </w:tcBorders>
            <w:vAlign w:val="center"/>
          </w:tcPr>
          <w:p w14:paraId="2EE1FC04">
            <w:pPr>
              <w:pStyle w:val="16"/>
              <w:bidi w:val="0"/>
              <w:rPr>
                <w:color w:val="auto"/>
              </w:rPr>
            </w:pPr>
            <w:r>
              <w:rPr>
                <w:color w:val="auto"/>
              </w:rPr>
              <w:t>70</w:t>
            </w:r>
          </w:p>
        </w:tc>
        <w:tc>
          <w:tcPr>
            <w:tcW w:w="1079" w:type="pct"/>
            <w:tcBorders>
              <w:tl2br w:val="nil"/>
              <w:tr2bl w:val="nil"/>
            </w:tcBorders>
            <w:vAlign w:val="center"/>
          </w:tcPr>
          <w:p w14:paraId="15E51FE5">
            <w:pPr>
              <w:pStyle w:val="16"/>
              <w:bidi w:val="0"/>
              <w:rPr>
                <w:color w:val="auto"/>
              </w:rPr>
            </w:pPr>
            <w:r>
              <w:rPr>
                <w:color w:val="auto"/>
              </w:rPr>
              <w:t>90</w:t>
            </w:r>
          </w:p>
        </w:tc>
        <w:tc>
          <w:tcPr>
            <w:tcW w:w="1080" w:type="pct"/>
            <w:tcBorders>
              <w:tl2br w:val="nil"/>
              <w:tr2bl w:val="nil"/>
            </w:tcBorders>
            <w:vAlign w:val="center"/>
          </w:tcPr>
          <w:p w14:paraId="18694619">
            <w:pPr>
              <w:pStyle w:val="16"/>
              <w:bidi w:val="0"/>
              <w:rPr>
                <w:color w:val="auto"/>
              </w:rPr>
            </w:pPr>
            <w:r>
              <w:rPr>
                <w:color w:val="auto"/>
              </w:rPr>
              <w:t>120</w:t>
            </w:r>
          </w:p>
        </w:tc>
        <w:tc>
          <w:tcPr>
            <w:tcW w:w="778" w:type="pct"/>
            <w:tcBorders>
              <w:tl2br w:val="nil"/>
              <w:tr2bl w:val="nil"/>
            </w:tcBorders>
            <w:vAlign w:val="center"/>
          </w:tcPr>
          <w:p w14:paraId="01CDDACB">
            <w:pPr>
              <w:pStyle w:val="16"/>
              <w:bidi w:val="0"/>
              <w:rPr>
                <w:color w:val="auto"/>
              </w:rPr>
            </w:pPr>
            <w:r>
              <w:rPr>
                <w:color w:val="auto"/>
              </w:rPr>
              <w:t>170</w:t>
            </w:r>
          </w:p>
        </w:tc>
      </w:tr>
      <w:tr w14:paraId="1B610D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vMerge w:val="restart"/>
            <w:tcBorders>
              <w:tl2br w:val="nil"/>
              <w:tr2bl w:val="nil"/>
            </w:tcBorders>
            <w:vAlign w:val="center"/>
          </w:tcPr>
          <w:p w14:paraId="63223FB4">
            <w:pPr>
              <w:pStyle w:val="16"/>
              <w:bidi w:val="0"/>
              <w:rPr>
                <w:color w:val="auto"/>
              </w:rPr>
            </w:pPr>
            <w:r>
              <w:rPr>
                <w:color w:val="auto"/>
              </w:rPr>
              <w:t>5</w:t>
            </w:r>
          </w:p>
        </w:tc>
        <w:tc>
          <w:tcPr>
            <w:tcW w:w="340" w:type="pct"/>
            <w:vMerge w:val="restart"/>
            <w:tcBorders>
              <w:tl2br w:val="nil"/>
              <w:tr2bl w:val="nil"/>
            </w:tcBorders>
            <w:vAlign w:val="center"/>
          </w:tcPr>
          <w:p w14:paraId="2B7EF6B2">
            <w:pPr>
              <w:pStyle w:val="16"/>
              <w:bidi w:val="0"/>
              <w:rPr>
                <w:color w:val="auto"/>
              </w:rPr>
            </w:pPr>
            <w:r>
              <w:rPr>
                <w:color w:val="auto"/>
              </w:rPr>
              <w:t>铬</w:t>
            </w:r>
          </w:p>
        </w:tc>
        <w:tc>
          <w:tcPr>
            <w:tcW w:w="509" w:type="pct"/>
            <w:tcBorders>
              <w:tl2br w:val="nil"/>
              <w:tr2bl w:val="nil"/>
            </w:tcBorders>
            <w:vAlign w:val="center"/>
          </w:tcPr>
          <w:p w14:paraId="4798E4B2">
            <w:pPr>
              <w:pStyle w:val="16"/>
              <w:bidi w:val="0"/>
              <w:rPr>
                <w:color w:val="auto"/>
              </w:rPr>
            </w:pPr>
            <w:r>
              <w:rPr>
                <w:color w:val="auto"/>
              </w:rPr>
              <w:t>水田</w:t>
            </w:r>
          </w:p>
        </w:tc>
        <w:tc>
          <w:tcPr>
            <w:tcW w:w="699" w:type="pct"/>
            <w:tcBorders>
              <w:tl2br w:val="nil"/>
              <w:tr2bl w:val="nil"/>
            </w:tcBorders>
            <w:vAlign w:val="center"/>
          </w:tcPr>
          <w:p w14:paraId="0D26775A">
            <w:pPr>
              <w:pStyle w:val="16"/>
              <w:bidi w:val="0"/>
              <w:rPr>
                <w:color w:val="auto"/>
              </w:rPr>
            </w:pPr>
            <w:r>
              <w:rPr>
                <w:color w:val="auto"/>
              </w:rPr>
              <w:t>250</w:t>
            </w:r>
          </w:p>
        </w:tc>
        <w:tc>
          <w:tcPr>
            <w:tcW w:w="1079" w:type="pct"/>
            <w:tcBorders>
              <w:tl2br w:val="nil"/>
              <w:tr2bl w:val="nil"/>
            </w:tcBorders>
            <w:vAlign w:val="center"/>
          </w:tcPr>
          <w:p w14:paraId="6285553C">
            <w:pPr>
              <w:pStyle w:val="16"/>
              <w:bidi w:val="0"/>
              <w:rPr>
                <w:color w:val="auto"/>
              </w:rPr>
            </w:pPr>
            <w:r>
              <w:rPr>
                <w:color w:val="auto"/>
              </w:rPr>
              <w:t>250</w:t>
            </w:r>
          </w:p>
        </w:tc>
        <w:tc>
          <w:tcPr>
            <w:tcW w:w="1080" w:type="pct"/>
            <w:tcBorders>
              <w:tl2br w:val="nil"/>
              <w:tr2bl w:val="nil"/>
            </w:tcBorders>
            <w:vAlign w:val="center"/>
          </w:tcPr>
          <w:p w14:paraId="0922C79C">
            <w:pPr>
              <w:pStyle w:val="16"/>
              <w:bidi w:val="0"/>
              <w:rPr>
                <w:color w:val="auto"/>
              </w:rPr>
            </w:pPr>
            <w:r>
              <w:rPr>
                <w:color w:val="auto"/>
              </w:rPr>
              <w:t>300</w:t>
            </w:r>
          </w:p>
        </w:tc>
        <w:tc>
          <w:tcPr>
            <w:tcW w:w="778" w:type="pct"/>
            <w:tcBorders>
              <w:tl2br w:val="nil"/>
              <w:tr2bl w:val="nil"/>
            </w:tcBorders>
            <w:vAlign w:val="center"/>
          </w:tcPr>
          <w:p w14:paraId="3F92C621">
            <w:pPr>
              <w:pStyle w:val="16"/>
              <w:bidi w:val="0"/>
              <w:rPr>
                <w:color w:val="auto"/>
              </w:rPr>
            </w:pPr>
            <w:r>
              <w:rPr>
                <w:color w:val="auto"/>
              </w:rPr>
              <w:t>350</w:t>
            </w:r>
          </w:p>
        </w:tc>
      </w:tr>
      <w:tr w14:paraId="51948D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vMerge w:val="continue"/>
            <w:tcBorders>
              <w:tl2br w:val="nil"/>
              <w:tr2bl w:val="nil"/>
            </w:tcBorders>
            <w:vAlign w:val="center"/>
          </w:tcPr>
          <w:p w14:paraId="0F1A1506">
            <w:pPr>
              <w:pStyle w:val="16"/>
              <w:bidi w:val="0"/>
              <w:rPr>
                <w:color w:val="auto"/>
              </w:rPr>
            </w:pPr>
          </w:p>
        </w:tc>
        <w:tc>
          <w:tcPr>
            <w:tcW w:w="340" w:type="pct"/>
            <w:vMerge w:val="continue"/>
            <w:tcBorders>
              <w:tl2br w:val="nil"/>
              <w:tr2bl w:val="nil"/>
            </w:tcBorders>
            <w:vAlign w:val="center"/>
          </w:tcPr>
          <w:p w14:paraId="49A9FFE2">
            <w:pPr>
              <w:pStyle w:val="16"/>
              <w:bidi w:val="0"/>
              <w:rPr>
                <w:color w:val="auto"/>
              </w:rPr>
            </w:pPr>
          </w:p>
        </w:tc>
        <w:tc>
          <w:tcPr>
            <w:tcW w:w="509" w:type="pct"/>
            <w:tcBorders>
              <w:tl2br w:val="nil"/>
              <w:tr2bl w:val="nil"/>
            </w:tcBorders>
            <w:vAlign w:val="center"/>
          </w:tcPr>
          <w:p w14:paraId="5C577CFA">
            <w:pPr>
              <w:pStyle w:val="16"/>
              <w:bidi w:val="0"/>
              <w:rPr>
                <w:color w:val="auto"/>
              </w:rPr>
            </w:pPr>
            <w:r>
              <w:rPr>
                <w:color w:val="auto"/>
              </w:rPr>
              <w:t>其他</w:t>
            </w:r>
          </w:p>
        </w:tc>
        <w:tc>
          <w:tcPr>
            <w:tcW w:w="699" w:type="pct"/>
            <w:tcBorders>
              <w:tl2br w:val="nil"/>
              <w:tr2bl w:val="nil"/>
            </w:tcBorders>
            <w:vAlign w:val="center"/>
          </w:tcPr>
          <w:p w14:paraId="2B7645A7">
            <w:pPr>
              <w:pStyle w:val="16"/>
              <w:bidi w:val="0"/>
              <w:rPr>
                <w:color w:val="auto"/>
              </w:rPr>
            </w:pPr>
            <w:r>
              <w:rPr>
                <w:color w:val="auto"/>
              </w:rPr>
              <w:t>150</w:t>
            </w:r>
          </w:p>
        </w:tc>
        <w:tc>
          <w:tcPr>
            <w:tcW w:w="1079" w:type="pct"/>
            <w:tcBorders>
              <w:tl2br w:val="nil"/>
              <w:tr2bl w:val="nil"/>
            </w:tcBorders>
            <w:vAlign w:val="center"/>
          </w:tcPr>
          <w:p w14:paraId="04F635F1">
            <w:pPr>
              <w:pStyle w:val="16"/>
              <w:bidi w:val="0"/>
              <w:rPr>
                <w:color w:val="auto"/>
              </w:rPr>
            </w:pPr>
            <w:r>
              <w:rPr>
                <w:color w:val="auto"/>
              </w:rPr>
              <w:t>150</w:t>
            </w:r>
          </w:p>
        </w:tc>
        <w:tc>
          <w:tcPr>
            <w:tcW w:w="1080" w:type="pct"/>
            <w:tcBorders>
              <w:tl2br w:val="nil"/>
              <w:tr2bl w:val="nil"/>
            </w:tcBorders>
            <w:vAlign w:val="center"/>
          </w:tcPr>
          <w:p w14:paraId="35134E65">
            <w:pPr>
              <w:pStyle w:val="16"/>
              <w:bidi w:val="0"/>
              <w:rPr>
                <w:color w:val="auto"/>
              </w:rPr>
            </w:pPr>
            <w:r>
              <w:rPr>
                <w:color w:val="auto"/>
              </w:rPr>
              <w:t>200</w:t>
            </w:r>
          </w:p>
        </w:tc>
        <w:tc>
          <w:tcPr>
            <w:tcW w:w="778" w:type="pct"/>
            <w:tcBorders>
              <w:tl2br w:val="nil"/>
              <w:tr2bl w:val="nil"/>
            </w:tcBorders>
            <w:vAlign w:val="center"/>
          </w:tcPr>
          <w:p w14:paraId="738B85F0">
            <w:pPr>
              <w:pStyle w:val="16"/>
              <w:bidi w:val="0"/>
              <w:rPr>
                <w:color w:val="auto"/>
              </w:rPr>
            </w:pPr>
            <w:r>
              <w:rPr>
                <w:color w:val="auto"/>
              </w:rPr>
              <w:t>250</w:t>
            </w:r>
          </w:p>
        </w:tc>
      </w:tr>
      <w:tr w14:paraId="0F79EA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vMerge w:val="restart"/>
            <w:tcBorders>
              <w:tl2br w:val="nil"/>
              <w:tr2bl w:val="nil"/>
            </w:tcBorders>
            <w:vAlign w:val="center"/>
          </w:tcPr>
          <w:p w14:paraId="63D9FFB5">
            <w:pPr>
              <w:pStyle w:val="16"/>
              <w:bidi w:val="0"/>
              <w:rPr>
                <w:color w:val="auto"/>
              </w:rPr>
            </w:pPr>
            <w:r>
              <w:rPr>
                <w:color w:val="auto"/>
              </w:rPr>
              <w:t>6</w:t>
            </w:r>
          </w:p>
        </w:tc>
        <w:tc>
          <w:tcPr>
            <w:tcW w:w="340" w:type="pct"/>
            <w:vMerge w:val="restart"/>
            <w:tcBorders>
              <w:tl2br w:val="nil"/>
              <w:tr2bl w:val="nil"/>
            </w:tcBorders>
            <w:vAlign w:val="center"/>
          </w:tcPr>
          <w:p w14:paraId="124DA293">
            <w:pPr>
              <w:pStyle w:val="16"/>
              <w:bidi w:val="0"/>
              <w:rPr>
                <w:color w:val="auto"/>
              </w:rPr>
            </w:pPr>
            <w:r>
              <w:rPr>
                <w:color w:val="auto"/>
              </w:rPr>
              <w:t>铜</w:t>
            </w:r>
          </w:p>
        </w:tc>
        <w:tc>
          <w:tcPr>
            <w:tcW w:w="509" w:type="pct"/>
            <w:tcBorders>
              <w:tl2br w:val="nil"/>
              <w:tr2bl w:val="nil"/>
            </w:tcBorders>
            <w:vAlign w:val="center"/>
          </w:tcPr>
          <w:p w14:paraId="0DF30717">
            <w:pPr>
              <w:pStyle w:val="16"/>
              <w:bidi w:val="0"/>
              <w:rPr>
                <w:color w:val="auto"/>
              </w:rPr>
            </w:pPr>
            <w:r>
              <w:rPr>
                <w:color w:val="auto"/>
              </w:rPr>
              <w:t>水田</w:t>
            </w:r>
          </w:p>
        </w:tc>
        <w:tc>
          <w:tcPr>
            <w:tcW w:w="699" w:type="pct"/>
            <w:tcBorders>
              <w:tl2br w:val="nil"/>
              <w:tr2bl w:val="nil"/>
            </w:tcBorders>
            <w:vAlign w:val="center"/>
          </w:tcPr>
          <w:p w14:paraId="02F7EAF9">
            <w:pPr>
              <w:pStyle w:val="16"/>
              <w:bidi w:val="0"/>
              <w:rPr>
                <w:color w:val="auto"/>
              </w:rPr>
            </w:pPr>
            <w:r>
              <w:rPr>
                <w:color w:val="auto"/>
              </w:rPr>
              <w:t>150</w:t>
            </w:r>
          </w:p>
        </w:tc>
        <w:tc>
          <w:tcPr>
            <w:tcW w:w="1079" w:type="pct"/>
            <w:tcBorders>
              <w:tl2br w:val="nil"/>
              <w:tr2bl w:val="nil"/>
            </w:tcBorders>
            <w:vAlign w:val="center"/>
          </w:tcPr>
          <w:p w14:paraId="3B623DF6">
            <w:pPr>
              <w:pStyle w:val="16"/>
              <w:bidi w:val="0"/>
              <w:rPr>
                <w:color w:val="auto"/>
              </w:rPr>
            </w:pPr>
            <w:r>
              <w:rPr>
                <w:color w:val="auto"/>
              </w:rPr>
              <w:t>150</w:t>
            </w:r>
          </w:p>
        </w:tc>
        <w:tc>
          <w:tcPr>
            <w:tcW w:w="1080" w:type="pct"/>
            <w:tcBorders>
              <w:tl2br w:val="nil"/>
              <w:tr2bl w:val="nil"/>
            </w:tcBorders>
            <w:vAlign w:val="center"/>
          </w:tcPr>
          <w:p w14:paraId="0484D8DB">
            <w:pPr>
              <w:pStyle w:val="16"/>
              <w:bidi w:val="0"/>
              <w:rPr>
                <w:color w:val="auto"/>
              </w:rPr>
            </w:pPr>
            <w:r>
              <w:rPr>
                <w:color w:val="auto"/>
              </w:rPr>
              <w:t>200</w:t>
            </w:r>
          </w:p>
        </w:tc>
        <w:tc>
          <w:tcPr>
            <w:tcW w:w="778" w:type="pct"/>
            <w:tcBorders>
              <w:tl2br w:val="nil"/>
              <w:tr2bl w:val="nil"/>
            </w:tcBorders>
            <w:vAlign w:val="center"/>
          </w:tcPr>
          <w:p w14:paraId="0B742376">
            <w:pPr>
              <w:pStyle w:val="16"/>
              <w:bidi w:val="0"/>
              <w:rPr>
                <w:color w:val="auto"/>
              </w:rPr>
            </w:pPr>
            <w:r>
              <w:rPr>
                <w:color w:val="auto"/>
              </w:rPr>
              <w:t>200</w:t>
            </w:r>
          </w:p>
        </w:tc>
      </w:tr>
      <w:tr w14:paraId="754936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vMerge w:val="continue"/>
            <w:tcBorders>
              <w:tl2br w:val="nil"/>
              <w:tr2bl w:val="nil"/>
            </w:tcBorders>
            <w:vAlign w:val="center"/>
          </w:tcPr>
          <w:p w14:paraId="27094227">
            <w:pPr>
              <w:pStyle w:val="16"/>
              <w:bidi w:val="0"/>
              <w:rPr>
                <w:color w:val="auto"/>
              </w:rPr>
            </w:pPr>
          </w:p>
        </w:tc>
        <w:tc>
          <w:tcPr>
            <w:tcW w:w="340" w:type="pct"/>
            <w:vMerge w:val="continue"/>
            <w:tcBorders>
              <w:tl2br w:val="nil"/>
              <w:tr2bl w:val="nil"/>
            </w:tcBorders>
            <w:vAlign w:val="center"/>
          </w:tcPr>
          <w:p w14:paraId="018B05C9">
            <w:pPr>
              <w:pStyle w:val="16"/>
              <w:bidi w:val="0"/>
              <w:rPr>
                <w:color w:val="auto"/>
              </w:rPr>
            </w:pPr>
          </w:p>
        </w:tc>
        <w:tc>
          <w:tcPr>
            <w:tcW w:w="509" w:type="pct"/>
            <w:tcBorders>
              <w:tl2br w:val="nil"/>
              <w:tr2bl w:val="nil"/>
            </w:tcBorders>
            <w:vAlign w:val="center"/>
          </w:tcPr>
          <w:p w14:paraId="323A81EF">
            <w:pPr>
              <w:pStyle w:val="16"/>
              <w:bidi w:val="0"/>
              <w:rPr>
                <w:color w:val="auto"/>
              </w:rPr>
            </w:pPr>
            <w:r>
              <w:rPr>
                <w:color w:val="auto"/>
              </w:rPr>
              <w:t>其他</w:t>
            </w:r>
          </w:p>
        </w:tc>
        <w:tc>
          <w:tcPr>
            <w:tcW w:w="699" w:type="pct"/>
            <w:tcBorders>
              <w:tl2br w:val="nil"/>
              <w:tr2bl w:val="nil"/>
            </w:tcBorders>
            <w:vAlign w:val="center"/>
          </w:tcPr>
          <w:p w14:paraId="615192D5">
            <w:pPr>
              <w:pStyle w:val="16"/>
              <w:bidi w:val="0"/>
              <w:rPr>
                <w:color w:val="auto"/>
              </w:rPr>
            </w:pPr>
            <w:r>
              <w:rPr>
                <w:color w:val="auto"/>
              </w:rPr>
              <w:t>50</w:t>
            </w:r>
          </w:p>
        </w:tc>
        <w:tc>
          <w:tcPr>
            <w:tcW w:w="1079" w:type="pct"/>
            <w:tcBorders>
              <w:tl2br w:val="nil"/>
              <w:tr2bl w:val="nil"/>
            </w:tcBorders>
            <w:vAlign w:val="center"/>
          </w:tcPr>
          <w:p w14:paraId="2CF6E009">
            <w:pPr>
              <w:pStyle w:val="16"/>
              <w:bidi w:val="0"/>
              <w:rPr>
                <w:color w:val="auto"/>
              </w:rPr>
            </w:pPr>
            <w:r>
              <w:rPr>
                <w:color w:val="auto"/>
              </w:rPr>
              <w:t>50</w:t>
            </w:r>
          </w:p>
        </w:tc>
        <w:tc>
          <w:tcPr>
            <w:tcW w:w="1080" w:type="pct"/>
            <w:tcBorders>
              <w:tl2br w:val="nil"/>
              <w:tr2bl w:val="nil"/>
            </w:tcBorders>
            <w:vAlign w:val="center"/>
          </w:tcPr>
          <w:p w14:paraId="52501C2B">
            <w:pPr>
              <w:pStyle w:val="16"/>
              <w:bidi w:val="0"/>
              <w:rPr>
                <w:color w:val="auto"/>
              </w:rPr>
            </w:pPr>
            <w:r>
              <w:rPr>
                <w:color w:val="auto"/>
              </w:rPr>
              <w:t>100</w:t>
            </w:r>
          </w:p>
        </w:tc>
        <w:tc>
          <w:tcPr>
            <w:tcW w:w="778" w:type="pct"/>
            <w:tcBorders>
              <w:tl2br w:val="nil"/>
              <w:tr2bl w:val="nil"/>
            </w:tcBorders>
            <w:vAlign w:val="center"/>
          </w:tcPr>
          <w:p w14:paraId="40C3DF49">
            <w:pPr>
              <w:pStyle w:val="16"/>
              <w:bidi w:val="0"/>
              <w:rPr>
                <w:color w:val="auto"/>
              </w:rPr>
            </w:pPr>
            <w:r>
              <w:rPr>
                <w:color w:val="auto"/>
              </w:rPr>
              <w:t>100</w:t>
            </w:r>
          </w:p>
        </w:tc>
      </w:tr>
      <w:tr w14:paraId="7B5006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tcBorders>
              <w:tl2br w:val="nil"/>
              <w:tr2bl w:val="nil"/>
            </w:tcBorders>
            <w:vAlign w:val="center"/>
          </w:tcPr>
          <w:p w14:paraId="487F02FD">
            <w:pPr>
              <w:pStyle w:val="16"/>
              <w:bidi w:val="0"/>
              <w:rPr>
                <w:color w:val="auto"/>
              </w:rPr>
            </w:pPr>
            <w:r>
              <w:rPr>
                <w:color w:val="auto"/>
              </w:rPr>
              <w:t>7</w:t>
            </w:r>
          </w:p>
        </w:tc>
        <w:tc>
          <w:tcPr>
            <w:tcW w:w="850" w:type="pct"/>
            <w:gridSpan w:val="2"/>
            <w:tcBorders>
              <w:tl2br w:val="nil"/>
              <w:tr2bl w:val="nil"/>
            </w:tcBorders>
            <w:vAlign w:val="center"/>
          </w:tcPr>
          <w:p w14:paraId="1191F5DF">
            <w:pPr>
              <w:pStyle w:val="16"/>
              <w:bidi w:val="0"/>
              <w:rPr>
                <w:color w:val="auto"/>
              </w:rPr>
            </w:pPr>
            <w:r>
              <w:rPr>
                <w:color w:val="auto"/>
              </w:rPr>
              <w:t>镍</w:t>
            </w:r>
          </w:p>
        </w:tc>
        <w:tc>
          <w:tcPr>
            <w:tcW w:w="699" w:type="pct"/>
            <w:tcBorders>
              <w:tl2br w:val="nil"/>
              <w:tr2bl w:val="nil"/>
            </w:tcBorders>
            <w:vAlign w:val="center"/>
          </w:tcPr>
          <w:p w14:paraId="3FCA6E82">
            <w:pPr>
              <w:pStyle w:val="16"/>
              <w:bidi w:val="0"/>
              <w:rPr>
                <w:color w:val="auto"/>
              </w:rPr>
            </w:pPr>
            <w:r>
              <w:rPr>
                <w:color w:val="auto"/>
              </w:rPr>
              <w:t>60</w:t>
            </w:r>
          </w:p>
        </w:tc>
        <w:tc>
          <w:tcPr>
            <w:tcW w:w="1079" w:type="pct"/>
            <w:tcBorders>
              <w:tl2br w:val="nil"/>
              <w:tr2bl w:val="nil"/>
            </w:tcBorders>
            <w:vAlign w:val="center"/>
          </w:tcPr>
          <w:p w14:paraId="1FDD13E6">
            <w:pPr>
              <w:pStyle w:val="16"/>
              <w:bidi w:val="0"/>
              <w:rPr>
                <w:color w:val="auto"/>
              </w:rPr>
            </w:pPr>
            <w:r>
              <w:rPr>
                <w:color w:val="auto"/>
              </w:rPr>
              <w:t>70</w:t>
            </w:r>
          </w:p>
        </w:tc>
        <w:tc>
          <w:tcPr>
            <w:tcW w:w="1080" w:type="pct"/>
            <w:tcBorders>
              <w:tl2br w:val="nil"/>
              <w:tr2bl w:val="nil"/>
            </w:tcBorders>
            <w:vAlign w:val="center"/>
          </w:tcPr>
          <w:p w14:paraId="09C7ADBF">
            <w:pPr>
              <w:pStyle w:val="16"/>
              <w:bidi w:val="0"/>
              <w:rPr>
                <w:color w:val="auto"/>
              </w:rPr>
            </w:pPr>
            <w:r>
              <w:rPr>
                <w:color w:val="auto"/>
              </w:rPr>
              <w:t>100</w:t>
            </w:r>
          </w:p>
        </w:tc>
        <w:tc>
          <w:tcPr>
            <w:tcW w:w="778" w:type="pct"/>
            <w:tcBorders>
              <w:tl2br w:val="nil"/>
              <w:tr2bl w:val="nil"/>
            </w:tcBorders>
            <w:vAlign w:val="center"/>
          </w:tcPr>
          <w:p w14:paraId="73FAAC07">
            <w:pPr>
              <w:pStyle w:val="16"/>
              <w:bidi w:val="0"/>
              <w:rPr>
                <w:color w:val="auto"/>
              </w:rPr>
            </w:pPr>
            <w:r>
              <w:rPr>
                <w:color w:val="auto"/>
              </w:rPr>
              <w:t>190</w:t>
            </w:r>
          </w:p>
        </w:tc>
      </w:tr>
      <w:tr w14:paraId="4EFEDE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0" w:type="pct"/>
            <w:tcBorders>
              <w:tl2br w:val="nil"/>
              <w:tr2bl w:val="nil"/>
            </w:tcBorders>
            <w:vAlign w:val="center"/>
          </w:tcPr>
          <w:p w14:paraId="0AD070AC">
            <w:pPr>
              <w:pStyle w:val="16"/>
              <w:bidi w:val="0"/>
              <w:rPr>
                <w:color w:val="auto"/>
              </w:rPr>
            </w:pPr>
            <w:r>
              <w:rPr>
                <w:color w:val="auto"/>
              </w:rPr>
              <w:t>8</w:t>
            </w:r>
          </w:p>
        </w:tc>
        <w:tc>
          <w:tcPr>
            <w:tcW w:w="850" w:type="pct"/>
            <w:gridSpan w:val="2"/>
            <w:tcBorders>
              <w:tl2br w:val="nil"/>
              <w:tr2bl w:val="nil"/>
            </w:tcBorders>
            <w:vAlign w:val="center"/>
          </w:tcPr>
          <w:p w14:paraId="00717DD7">
            <w:pPr>
              <w:pStyle w:val="16"/>
              <w:bidi w:val="0"/>
              <w:rPr>
                <w:color w:val="auto"/>
              </w:rPr>
            </w:pPr>
            <w:r>
              <w:rPr>
                <w:color w:val="auto"/>
              </w:rPr>
              <w:t>锌</w:t>
            </w:r>
          </w:p>
        </w:tc>
        <w:tc>
          <w:tcPr>
            <w:tcW w:w="699" w:type="pct"/>
            <w:tcBorders>
              <w:tl2br w:val="nil"/>
              <w:tr2bl w:val="nil"/>
            </w:tcBorders>
            <w:vAlign w:val="center"/>
          </w:tcPr>
          <w:p w14:paraId="15D21179">
            <w:pPr>
              <w:pStyle w:val="16"/>
              <w:bidi w:val="0"/>
              <w:rPr>
                <w:color w:val="auto"/>
              </w:rPr>
            </w:pPr>
            <w:r>
              <w:rPr>
                <w:color w:val="auto"/>
              </w:rPr>
              <w:t>200</w:t>
            </w:r>
          </w:p>
        </w:tc>
        <w:tc>
          <w:tcPr>
            <w:tcW w:w="1079" w:type="pct"/>
            <w:tcBorders>
              <w:tl2br w:val="nil"/>
              <w:tr2bl w:val="nil"/>
            </w:tcBorders>
            <w:vAlign w:val="center"/>
          </w:tcPr>
          <w:p w14:paraId="6419168F">
            <w:pPr>
              <w:pStyle w:val="16"/>
              <w:bidi w:val="0"/>
              <w:rPr>
                <w:color w:val="auto"/>
              </w:rPr>
            </w:pPr>
            <w:r>
              <w:rPr>
                <w:color w:val="auto"/>
              </w:rPr>
              <w:t>200</w:t>
            </w:r>
          </w:p>
        </w:tc>
        <w:tc>
          <w:tcPr>
            <w:tcW w:w="1080" w:type="pct"/>
            <w:tcBorders>
              <w:tl2br w:val="nil"/>
              <w:tr2bl w:val="nil"/>
            </w:tcBorders>
            <w:vAlign w:val="center"/>
          </w:tcPr>
          <w:p w14:paraId="17E9FF32">
            <w:pPr>
              <w:pStyle w:val="16"/>
              <w:bidi w:val="0"/>
              <w:rPr>
                <w:color w:val="auto"/>
              </w:rPr>
            </w:pPr>
            <w:r>
              <w:rPr>
                <w:color w:val="auto"/>
              </w:rPr>
              <w:t>250</w:t>
            </w:r>
          </w:p>
        </w:tc>
        <w:tc>
          <w:tcPr>
            <w:tcW w:w="778" w:type="pct"/>
            <w:tcBorders>
              <w:tl2br w:val="nil"/>
              <w:tr2bl w:val="nil"/>
            </w:tcBorders>
            <w:vAlign w:val="center"/>
          </w:tcPr>
          <w:p w14:paraId="5678C100">
            <w:pPr>
              <w:pStyle w:val="16"/>
              <w:bidi w:val="0"/>
              <w:rPr>
                <w:color w:val="auto"/>
              </w:rPr>
            </w:pPr>
            <w:r>
              <w:rPr>
                <w:color w:val="auto"/>
              </w:rPr>
              <w:t>300</w:t>
            </w:r>
          </w:p>
        </w:tc>
      </w:tr>
    </w:tbl>
    <w:p w14:paraId="4A539C9D">
      <w:pPr>
        <w:pStyle w:val="10"/>
        <w:keepNext/>
        <w:keepLines/>
        <w:pageBreakBefore w:val="0"/>
        <w:widowControl w:val="0"/>
        <w:kinsoku/>
        <w:wordWrap/>
        <w:overflowPunct/>
        <w:topLinePunct w:val="0"/>
        <w:autoSpaceDE/>
        <w:autoSpaceDN/>
        <w:bidi w:val="0"/>
        <w:adjustRightInd/>
        <w:snapToGrid/>
        <w:spacing w:before="0" w:beforeLines="50"/>
        <w:textAlignment w:val="auto"/>
        <w:rPr>
          <w:color w:val="auto"/>
        </w:rPr>
      </w:pPr>
      <w:r>
        <w:rPr>
          <w:rFonts w:hint="eastAsia"/>
          <w:color w:val="auto"/>
        </w:rPr>
        <w:t xml:space="preserve"> </w:t>
      </w:r>
      <w:r>
        <w:rPr>
          <w:color w:val="auto"/>
        </w:rPr>
        <w:t>污染物排放标准</w:t>
      </w:r>
    </w:p>
    <w:bookmarkEnd w:id="50"/>
    <w:bookmarkEnd w:id="51"/>
    <w:p w14:paraId="4E120517">
      <w:pPr>
        <w:pageBreakBefore w:val="0"/>
        <w:wordWrap/>
        <w:bidi w:val="0"/>
        <w:adjustRightInd/>
        <w:snapToGrid/>
        <w:ind w:firstLine="480"/>
        <w:rPr>
          <w:b/>
          <w:bCs/>
          <w:color w:val="auto"/>
        </w:rPr>
      </w:pPr>
      <w:r>
        <w:rPr>
          <w:b/>
          <w:bCs/>
          <w:color w:val="auto"/>
        </w:rPr>
        <w:t>（1）废水</w:t>
      </w:r>
    </w:p>
    <w:p w14:paraId="1749F755">
      <w:pPr>
        <w:pageBreakBefore w:val="0"/>
        <w:wordWrap/>
        <w:bidi w:val="0"/>
        <w:adjustRightInd/>
        <w:snapToGrid/>
        <w:rPr>
          <w:rFonts w:hint="default"/>
          <w:color w:val="auto"/>
          <w:lang w:val="en-US" w:eastAsia="zh-CN"/>
        </w:rPr>
      </w:pPr>
      <w:r>
        <w:rPr>
          <w:rFonts w:hint="eastAsia"/>
          <w:color w:val="auto"/>
          <w:lang w:val="en-US" w:eastAsia="zh-CN"/>
        </w:rPr>
        <w:t>本项目</w:t>
      </w:r>
      <w:r>
        <w:rPr>
          <w:rFonts w:hint="eastAsia"/>
          <w:color w:val="auto"/>
          <w:szCs w:val="24"/>
          <w:lang w:val="en-US" w:eastAsia="zh-CN" w:bidi="ar"/>
        </w:rPr>
        <w:t>出水水质指标执行《城镇污水处理厂污染物排放标准》（GB18918-2002）一级A标准。</w:t>
      </w:r>
    </w:p>
    <w:p w14:paraId="61B9DDC9">
      <w:pPr>
        <w:pStyle w:val="19"/>
        <w:numPr>
          <w:ilvl w:val="0"/>
          <w:numId w:val="7"/>
        </w:numPr>
        <w:bidi w:val="0"/>
        <w:ind w:left="0" w:leftChars="0" w:firstLine="0" w:firstLineChars="0"/>
        <w:rPr>
          <w:rFonts w:hint="default"/>
          <w:color w:val="auto"/>
          <w:lang w:val="en-US" w:eastAsia="zh-CN"/>
        </w:rPr>
      </w:pPr>
      <w:r>
        <w:rPr>
          <w:rFonts w:hint="eastAsia"/>
          <w:color w:val="auto"/>
          <w:lang w:val="en-US" w:eastAsia="zh-CN"/>
        </w:rPr>
        <w:t>本项目废水排放标准</w:t>
      </w:r>
    </w:p>
    <w:tbl>
      <w:tblPr>
        <w:tblStyle w:val="53"/>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919"/>
        <w:gridCol w:w="2122"/>
        <w:gridCol w:w="1915"/>
        <w:gridCol w:w="3825"/>
      </w:tblGrid>
      <w:tr w14:paraId="3ED12D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3" w:type="pct"/>
            <w:vMerge w:val="restart"/>
            <w:tcBorders>
              <w:tl2br w:val="nil"/>
              <w:tr2bl w:val="nil"/>
            </w:tcBorders>
            <w:noWrap w:val="0"/>
            <w:vAlign w:val="center"/>
          </w:tcPr>
          <w:p w14:paraId="5DC29D0E">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序号</w:t>
            </w:r>
          </w:p>
        </w:tc>
        <w:tc>
          <w:tcPr>
            <w:tcW w:w="2298" w:type="pct"/>
            <w:gridSpan w:val="2"/>
            <w:tcBorders>
              <w:tl2br w:val="nil"/>
              <w:tr2bl w:val="nil"/>
            </w:tcBorders>
            <w:noWrap w:val="0"/>
            <w:vAlign w:val="center"/>
          </w:tcPr>
          <w:p w14:paraId="56427214">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标准规范</w:t>
            </w:r>
          </w:p>
        </w:tc>
        <w:tc>
          <w:tcPr>
            <w:tcW w:w="2177" w:type="pct"/>
            <w:vMerge w:val="restart"/>
            <w:tcBorders>
              <w:tl2br w:val="nil"/>
              <w:tr2bl w:val="nil"/>
            </w:tcBorders>
            <w:noWrap w:val="0"/>
            <w:vAlign w:val="center"/>
          </w:tcPr>
          <w:p w14:paraId="62E2D426">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《城镇污水处理厂污染物排放标准》（GB18918-2002）一级A标准</w:t>
            </w:r>
          </w:p>
        </w:tc>
      </w:tr>
      <w:tr w14:paraId="3805C1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3" w:type="pct"/>
            <w:vMerge w:val="continue"/>
            <w:tcBorders>
              <w:tl2br w:val="nil"/>
              <w:tr2bl w:val="nil"/>
            </w:tcBorders>
            <w:noWrap w:val="0"/>
            <w:vAlign w:val="center"/>
          </w:tcPr>
          <w:p w14:paraId="44874F51">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p>
        </w:tc>
        <w:tc>
          <w:tcPr>
            <w:tcW w:w="1208" w:type="pct"/>
            <w:tcBorders>
              <w:tl2br w:val="nil"/>
              <w:tr2bl w:val="nil"/>
            </w:tcBorders>
            <w:noWrap w:val="0"/>
            <w:vAlign w:val="center"/>
          </w:tcPr>
          <w:p w14:paraId="3F295369">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项目</w:t>
            </w:r>
          </w:p>
        </w:tc>
        <w:tc>
          <w:tcPr>
            <w:tcW w:w="1090" w:type="pct"/>
            <w:tcBorders>
              <w:tl2br w:val="nil"/>
              <w:tr2bl w:val="nil"/>
            </w:tcBorders>
            <w:noWrap w:val="0"/>
            <w:vAlign w:val="center"/>
          </w:tcPr>
          <w:p w14:paraId="0A2E7E12">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单位</w:t>
            </w:r>
          </w:p>
        </w:tc>
        <w:tc>
          <w:tcPr>
            <w:tcW w:w="2177" w:type="pct"/>
            <w:vMerge w:val="continue"/>
            <w:tcBorders>
              <w:tl2br w:val="nil"/>
              <w:tr2bl w:val="nil"/>
            </w:tcBorders>
            <w:noWrap w:val="0"/>
            <w:vAlign w:val="center"/>
          </w:tcPr>
          <w:p w14:paraId="19F51E21">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p>
        </w:tc>
      </w:tr>
      <w:tr w14:paraId="3D56B5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3" w:type="pct"/>
            <w:tcBorders>
              <w:tl2br w:val="nil"/>
              <w:tr2bl w:val="nil"/>
            </w:tcBorders>
            <w:noWrap w:val="0"/>
            <w:vAlign w:val="center"/>
          </w:tcPr>
          <w:p w14:paraId="387201D8">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w:t>
            </w:r>
          </w:p>
        </w:tc>
        <w:tc>
          <w:tcPr>
            <w:tcW w:w="1208" w:type="pct"/>
            <w:tcBorders>
              <w:tl2br w:val="nil"/>
              <w:tr2bl w:val="nil"/>
            </w:tcBorders>
            <w:noWrap w:val="0"/>
            <w:vAlign w:val="center"/>
          </w:tcPr>
          <w:p w14:paraId="1D4BE2AC">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pH值</w:t>
            </w:r>
          </w:p>
        </w:tc>
        <w:tc>
          <w:tcPr>
            <w:tcW w:w="1090" w:type="pct"/>
            <w:tcBorders>
              <w:tl2br w:val="nil"/>
              <w:tr2bl w:val="nil"/>
            </w:tcBorders>
            <w:noWrap w:val="0"/>
            <w:vAlign w:val="center"/>
          </w:tcPr>
          <w:p w14:paraId="223E8F2D">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无量纲</w:t>
            </w:r>
          </w:p>
        </w:tc>
        <w:tc>
          <w:tcPr>
            <w:tcW w:w="2177" w:type="pct"/>
            <w:tcBorders>
              <w:tl2br w:val="nil"/>
              <w:tr2bl w:val="nil"/>
            </w:tcBorders>
            <w:noWrap w:val="0"/>
            <w:vAlign w:val="center"/>
          </w:tcPr>
          <w:p w14:paraId="120182EE">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6~9</w:t>
            </w:r>
          </w:p>
        </w:tc>
      </w:tr>
      <w:tr w14:paraId="37F72A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3" w:type="pct"/>
            <w:tcBorders>
              <w:tl2br w:val="nil"/>
              <w:tr2bl w:val="nil"/>
            </w:tcBorders>
            <w:noWrap w:val="0"/>
            <w:vAlign w:val="center"/>
          </w:tcPr>
          <w:p w14:paraId="71BD8C28">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w:t>
            </w:r>
          </w:p>
        </w:tc>
        <w:tc>
          <w:tcPr>
            <w:tcW w:w="1208" w:type="pct"/>
            <w:tcBorders>
              <w:tl2br w:val="nil"/>
              <w:tr2bl w:val="nil"/>
            </w:tcBorders>
            <w:noWrap w:val="0"/>
            <w:vAlign w:val="center"/>
          </w:tcPr>
          <w:p w14:paraId="26F6743A">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色度</w:t>
            </w:r>
          </w:p>
        </w:tc>
        <w:tc>
          <w:tcPr>
            <w:tcW w:w="1090" w:type="pct"/>
            <w:tcBorders>
              <w:tl2br w:val="nil"/>
              <w:tr2bl w:val="nil"/>
            </w:tcBorders>
            <w:noWrap w:val="0"/>
            <w:vAlign w:val="center"/>
          </w:tcPr>
          <w:p w14:paraId="2A49D317">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177" w:type="pct"/>
            <w:tcBorders>
              <w:tl2br w:val="nil"/>
              <w:tr2bl w:val="nil"/>
            </w:tcBorders>
            <w:noWrap w:val="0"/>
            <w:vAlign w:val="center"/>
          </w:tcPr>
          <w:p w14:paraId="310BB7DC">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30</w:t>
            </w:r>
          </w:p>
        </w:tc>
      </w:tr>
      <w:tr w14:paraId="7D430D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3" w:type="pct"/>
            <w:tcBorders>
              <w:tl2br w:val="nil"/>
              <w:tr2bl w:val="nil"/>
            </w:tcBorders>
            <w:noWrap w:val="0"/>
            <w:vAlign w:val="center"/>
          </w:tcPr>
          <w:p w14:paraId="75384BA2">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w:t>
            </w:r>
          </w:p>
        </w:tc>
        <w:tc>
          <w:tcPr>
            <w:tcW w:w="1208" w:type="pct"/>
            <w:tcBorders>
              <w:tl2br w:val="nil"/>
              <w:tr2bl w:val="nil"/>
            </w:tcBorders>
            <w:shd w:val="clear" w:color="auto" w:fill="auto"/>
            <w:noWrap w:val="0"/>
            <w:vAlign w:val="center"/>
          </w:tcPr>
          <w:p w14:paraId="0138D071">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COD</w:t>
            </w:r>
          </w:p>
        </w:tc>
        <w:tc>
          <w:tcPr>
            <w:tcW w:w="1090" w:type="pct"/>
            <w:tcBorders>
              <w:tl2br w:val="nil"/>
              <w:tr2bl w:val="nil"/>
            </w:tcBorders>
            <w:shd w:val="clear" w:color="auto" w:fill="auto"/>
            <w:noWrap w:val="0"/>
            <w:vAlign w:val="center"/>
          </w:tcPr>
          <w:p w14:paraId="30A87F79">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77" w:type="pct"/>
            <w:tcBorders>
              <w:tl2br w:val="nil"/>
              <w:tr2bl w:val="nil"/>
            </w:tcBorders>
            <w:shd w:val="clear" w:color="auto" w:fill="auto"/>
            <w:noWrap w:val="0"/>
            <w:vAlign w:val="center"/>
          </w:tcPr>
          <w:p w14:paraId="185C8B7A">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50</w:t>
            </w:r>
          </w:p>
        </w:tc>
      </w:tr>
      <w:tr w14:paraId="299AF0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3" w:type="pct"/>
            <w:tcBorders>
              <w:tl2br w:val="nil"/>
              <w:tr2bl w:val="nil"/>
            </w:tcBorders>
            <w:noWrap w:val="0"/>
            <w:vAlign w:val="center"/>
          </w:tcPr>
          <w:p w14:paraId="1F9F4532">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w:t>
            </w:r>
          </w:p>
        </w:tc>
        <w:tc>
          <w:tcPr>
            <w:tcW w:w="1208" w:type="pct"/>
            <w:tcBorders>
              <w:tl2br w:val="nil"/>
              <w:tr2bl w:val="nil"/>
            </w:tcBorders>
            <w:shd w:val="clear" w:color="auto" w:fill="auto"/>
            <w:noWrap w:val="0"/>
            <w:vAlign w:val="center"/>
          </w:tcPr>
          <w:p w14:paraId="5A4E7103">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BOD</w:t>
            </w:r>
            <w:r>
              <w:rPr>
                <w:rFonts w:hint="eastAsia"/>
                <w:color w:val="auto"/>
                <w:vertAlign w:val="subscript"/>
                <w:lang w:val="en-US" w:eastAsia="zh-CN"/>
              </w:rPr>
              <w:t>5</w:t>
            </w:r>
          </w:p>
        </w:tc>
        <w:tc>
          <w:tcPr>
            <w:tcW w:w="1090" w:type="pct"/>
            <w:tcBorders>
              <w:tl2br w:val="nil"/>
              <w:tr2bl w:val="nil"/>
            </w:tcBorders>
            <w:shd w:val="clear" w:color="auto" w:fill="auto"/>
            <w:noWrap w:val="0"/>
            <w:vAlign w:val="center"/>
          </w:tcPr>
          <w:p w14:paraId="30606B39">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77" w:type="pct"/>
            <w:tcBorders>
              <w:tl2br w:val="nil"/>
              <w:tr2bl w:val="nil"/>
            </w:tcBorders>
            <w:shd w:val="clear" w:color="auto" w:fill="auto"/>
            <w:noWrap w:val="0"/>
            <w:vAlign w:val="center"/>
          </w:tcPr>
          <w:p w14:paraId="39C5C380">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10</w:t>
            </w:r>
          </w:p>
        </w:tc>
      </w:tr>
      <w:tr w14:paraId="5FE397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3" w:type="pct"/>
            <w:tcBorders>
              <w:tl2br w:val="nil"/>
              <w:tr2bl w:val="nil"/>
            </w:tcBorders>
            <w:noWrap w:val="0"/>
            <w:vAlign w:val="center"/>
          </w:tcPr>
          <w:p w14:paraId="64F61FF7">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5</w:t>
            </w:r>
          </w:p>
        </w:tc>
        <w:tc>
          <w:tcPr>
            <w:tcW w:w="1208" w:type="pct"/>
            <w:tcBorders>
              <w:tl2br w:val="nil"/>
              <w:tr2bl w:val="nil"/>
            </w:tcBorders>
            <w:shd w:val="clear" w:color="auto" w:fill="auto"/>
            <w:noWrap w:val="0"/>
            <w:vAlign w:val="center"/>
          </w:tcPr>
          <w:p w14:paraId="277F5184">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氨氮</w:t>
            </w:r>
          </w:p>
        </w:tc>
        <w:tc>
          <w:tcPr>
            <w:tcW w:w="1090" w:type="pct"/>
            <w:tcBorders>
              <w:tl2br w:val="nil"/>
              <w:tr2bl w:val="nil"/>
            </w:tcBorders>
            <w:shd w:val="clear" w:color="auto" w:fill="auto"/>
            <w:noWrap w:val="0"/>
            <w:vAlign w:val="center"/>
          </w:tcPr>
          <w:p w14:paraId="5B81C868">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77" w:type="pct"/>
            <w:tcBorders>
              <w:tl2br w:val="nil"/>
              <w:tr2bl w:val="nil"/>
            </w:tcBorders>
            <w:shd w:val="clear" w:color="auto" w:fill="auto"/>
            <w:noWrap w:val="0"/>
            <w:vAlign w:val="center"/>
          </w:tcPr>
          <w:p w14:paraId="384922D1">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5（8）</w:t>
            </w:r>
          </w:p>
        </w:tc>
      </w:tr>
      <w:tr w14:paraId="3AF4A5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3" w:type="pct"/>
            <w:tcBorders>
              <w:tl2br w:val="nil"/>
              <w:tr2bl w:val="nil"/>
            </w:tcBorders>
            <w:noWrap w:val="0"/>
            <w:vAlign w:val="center"/>
          </w:tcPr>
          <w:p w14:paraId="1A5763C6">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6</w:t>
            </w:r>
          </w:p>
        </w:tc>
        <w:tc>
          <w:tcPr>
            <w:tcW w:w="1208" w:type="pct"/>
            <w:tcBorders>
              <w:tl2br w:val="nil"/>
              <w:tr2bl w:val="nil"/>
            </w:tcBorders>
            <w:shd w:val="clear" w:color="auto" w:fill="auto"/>
            <w:noWrap w:val="0"/>
            <w:vAlign w:val="center"/>
          </w:tcPr>
          <w:p w14:paraId="39CD3CD0">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总氮</w:t>
            </w:r>
          </w:p>
        </w:tc>
        <w:tc>
          <w:tcPr>
            <w:tcW w:w="1090" w:type="pct"/>
            <w:tcBorders>
              <w:tl2br w:val="nil"/>
              <w:tr2bl w:val="nil"/>
            </w:tcBorders>
            <w:shd w:val="clear" w:color="auto" w:fill="auto"/>
            <w:noWrap w:val="0"/>
            <w:vAlign w:val="center"/>
          </w:tcPr>
          <w:p w14:paraId="2A18DBB7">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77" w:type="pct"/>
            <w:tcBorders>
              <w:tl2br w:val="nil"/>
              <w:tr2bl w:val="nil"/>
            </w:tcBorders>
            <w:shd w:val="clear" w:color="auto" w:fill="auto"/>
            <w:noWrap w:val="0"/>
            <w:vAlign w:val="center"/>
          </w:tcPr>
          <w:p w14:paraId="018992E2">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15</w:t>
            </w:r>
          </w:p>
        </w:tc>
      </w:tr>
      <w:tr w14:paraId="5E18A6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3" w:type="pct"/>
            <w:tcBorders>
              <w:tl2br w:val="nil"/>
              <w:tr2bl w:val="nil"/>
            </w:tcBorders>
            <w:noWrap w:val="0"/>
            <w:vAlign w:val="center"/>
          </w:tcPr>
          <w:p w14:paraId="25106A2D">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7</w:t>
            </w:r>
          </w:p>
        </w:tc>
        <w:tc>
          <w:tcPr>
            <w:tcW w:w="1208" w:type="pct"/>
            <w:tcBorders>
              <w:tl2br w:val="nil"/>
              <w:tr2bl w:val="nil"/>
            </w:tcBorders>
            <w:shd w:val="clear" w:color="auto" w:fill="auto"/>
            <w:noWrap w:val="0"/>
            <w:vAlign w:val="center"/>
          </w:tcPr>
          <w:p w14:paraId="69FF4F94">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总磷</w:t>
            </w:r>
          </w:p>
        </w:tc>
        <w:tc>
          <w:tcPr>
            <w:tcW w:w="1090" w:type="pct"/>
            <w:tcBorders>
              <w:tl2br w:val="nil"/>
              <w:tr2bl w:val="nil"/>
            </w:tcBorders>
            <w:shd w:val="clear" w:color="auto" w:fill="auto"/>
            <w:noWrap w:val="0"/>
            <w:vAlign w:val="center"/>
          </w:tcPr>
          <w:p w14:paraId="568613B3">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77" w:type="pct"/>
            <w:tcBorders>
              <w:tl2br w:val="nil"/>
              <w:tr2bl w:val="nil"/>
            </w:tcBorders>
            <w:shd w:val="clear" w:color="auto" w:fill="auto"/>
            <w:noWrap w:val="0"/>
            <w:vAlign w:val="center"/>
          </w:tcPr>
          <w:p w14:paraId="64519235">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0.5</w:t>
            </w:r>
          </w:p>
        </w:tc>
      </w:tr>
      <w:tr w14:paraId="25EABF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3" w:type="pct"/>
            <w:tcBorders>
              <w:tl2br w:val="nil"/>
              <w:tr2bl w:val="nil"/>
            </w:tcBorders>
            <w:noWrap w:val="0"/>
            <w:vAlign w:val="center"/>
          </w:tcPr>
          <w:p w14:paraId="6FF3FB29">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8</w:t>
            </w:r>
          </w:p>
        </w:tc>
        <w:tc>
          <w:tcPr>
            <w:tcW w:w="1208" w:type="pct"/>
            <w:tcBorders>
              <w:tl2br w:val="nil"/>
              <w:tr2bl w:val="nil"/>
            </w:tcBorders>
            <w:shd w:val="clear" w:color="auto" w:fill="auto"/>
            <w:noWrap w:val="0"/>
            <w:vAlign w:val="center"/>
          </w:tcPr>
          <w:p w14:paraId="082CE063">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石油类</w:t>
            </w:r>
          </w:p>
        </w:tc>
        <w:tc>
          <w:tcPr>
            <w:tcW w:w="1090" w:type="pct"/>
            <w:tcBorders>
              <w:tl2br w:val="nil"/>
              <w:tr2bl w:val="nil"/>
            </w:tcBorders>
            <w:shd w:val="clear" w:color="auto" w:fill="auto"/>
            <w:noWrap w:val="0"/>
            <w:vAlign w:val="center"/>
          </w:tcPr>
          <w:p w14:paraId="16E16388">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77" w:type="pct"/>
            <w:tcBorders>
              <w:tl2br w:val="nil"/>
              <w:tr2bl w:val="nil"/>
            </w:tcBorders>
            <w:shd w:val="clear" w:color="auto" w:fill="auto"/>
            <w:noWrap w:val="0"/>
            <w:vAlign w:val="center"/>
          </w:tcPr>
          <w:p w14:paraId="5B06BA95">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w:t>
            </w:r>
          </w:p>
        </w:tc>
      </w:tr>
      <w:tr w14:paraId="7A0215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3" w:type="pct"/>
            <w:tcBorders>
              <w:tl2br w:val="nil"/>
              <w:tr2bl w:val="nil"/>
            </w:tcBorders>
            <w:noWrap w:val="0"/>
            <w:vAlign w:val="center"/>
          </w:tcPr>
          <w:p w14:paraId="16AD94C2">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9</w:t>
            </w:r>
          </w:p>
        </w:tc>
        <w:tc>
          <w:tcPr>
            <w:tcW w:w="1208" w:type="pct"/>
            <w:tcBorders>
              <w:tl2br w:val="nil"/>
              <w:tr2bl w:val="nil"/>
            </w:tcBorders>
            <w:shd w:val="clear" w:color="auto" w:fill="auto"/>
            <w:noWrap w:val="0"/>
            <w:vAlign w:val="center"/>
          </w:tcPr>
          <w:p w14:paraId="5202C144">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阴离子表面活性剂</w:t>
            </w:r>
          </w:p>
        </w:tc>
        <w:tc>
          <w:tcPr>
            <w:tcW w:w="1090" w:type="pct"/>
            <w:tcBorders>
              <w:tl2br w:val="nil"/>
              <w:tr2bl w:val="nil"/>
            </w:tcBorders>
            <w:shd w:val="clear" w:color="auto" w:fill="auto"/>
            <w:noWrap w:val="0"/>
            <w:vAlign w:val="center"/>
          </w:tcPr>
          <w:p w14:paraId="78ED90FF">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77" w:type="pct"/>
            <w:tcBorders>
              <w:tl2br w:val="nil"/>
              <w:tr2bl w:val="nil"/>
            </w:tcBorders>
            <w:shd w:val="clear" w:color="auto" w:fill="auto"/>
            <w:noWrap w:val="0"/>
            <w:vAlign w:val="center"/>
          </w:tcPr>
          <w:p w14:paraId="4376950E">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0.5</w:t>
            </w:r>
          </w:p>
        </w:tc>
      </w:tr>
      <w:tr w14:paraId="7B8A1D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3" w:type="pct"/>
            <w:tcBorders>
              <w:tl2br w:val="nil"/>
              <w:tr2bl w:val="nil"/>
            </w:tcBorders>
            <w:noWrap w:val="0"/>
            <w:vAlign w:val="center"/>
          </w:tcPr>
          <w:p w14:paraId="09111658">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10</w:t>
            </w:r>
          </w:p>
        </w:tc>
        <w:tc>
          <w:tcPr>
            <w:tcW w:w="1208" w:type="pct"/>
            <w:tcBorders>
              <w:tl2br w:val="nil"/>
              <w:tr2bl w:val="nil"/>
            </w:tcBorders>
            <w:shd w:val="clear" w:color="auto" w:fill="auto"/>
            <w:noWrap w:val="0"/>
            <w:vAlign w:val="center"/>
          </w:tcPr>
          <w:p w14:paraId="1A0F16AE">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悬浮物</w:t>
            </w:r>
          </w:p>
        </w:tc>
        <w:tc>
          <w:tcPr>
            <w:tcW w:w="1090" w:type="pct"/>
            <w:tcBorders>
              <w:tl2br w:val="nil"/>
              <w:tr2bl w:val="nil"/>
            </w:tcBorders>
            <w:shd w:val="clear" w:color="auto" w:fill="auto"/>
            <w:noWrap w:val="0"/>
            <w:vAlign w:val="center"/>
          </w:tcPr>
          <w:p w14:paraId="783D3D31">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77" w:type="pct"/>
            <w:tcBorders>
              <w:tl2br w:val="nil"/>
              <w:tr2bl w:val="nil"/>
            </w:tcBorders>
            <w:shd w:val="clear" w:color="auto" w:fill="auto"/>
            <w:noWrap w:val="0"/>
            <w:vAlign w:val="center"/>
          </w:tcPr>
          <w:p w14:paraId="07397E7F">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10</w:t>
            </w:r>
          </w:p>
        </w:tc>
      </w:tr>
      <w:tr w14:paraId="6B6C55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3" w:type="pct"/>
            <w:tcBorders>
              <w:tl2br w:val="nil"/>
              <w:tr2bl w:val="nil"/>
            </w:tcBorders>
            <w:noWrap w:val="0"/>
            <w:vAlign w:val="center"/>
          </w:tcPr>
          <w:p w14:paraId="6EBC12BB">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11</w:t>
            </w:r>
          </w:p>
        </w:tc>
        <w:tc>
          <w:tcPr>
            <w:tcW w:w="1208" w:type="pct"/>
            <w:tcBorders>
              <w:tl2br w:val="nil"/>
              <w:tr2bl w:val="nil"/>
            </w:tcBorders>
            <w:shd w:val="clear" w:color="auto" w:fill="auto"/>
            <w:noWrap w:val="0"/>
            <w:vAlign w:val="center"/>
          </w:tcPr>
          <w:p w14:paraId="18A4AFD7">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粪大肠菌群数</w:t>
            </w:r>
          </w:p>
        </w:tc>
        <w:tc>
          <w:tcPr>
            <w:tcW w:w="1090" w:type="pct"/>
            <w:tcBorders>
              <w:tl2br w:val="nil"/>
              <w:tr2bl w:val="nil"/>
            </w:tcBorders>
            <w:shd w:val="clear" w:color="auto" w:fill="auto"/>
            <w:noWrap w:val="0"/>
            <w:vAlign w:val="center"/>
          </w:tcPr>
          <w:p w14:paraId="73B6A32E">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个/L</w:t>
            </w:r>
          </w:p>
        </w:tc>
        <w:tc>
          <w:tcPr>
            <w:tcW w:w="2177" w:type="pct"/>
            <w:tcBorders>
              <w:tl2br w:val="nil"/>
              <w:tr2bl w:val="nil"/>
            </w:tcBorders>
            <w:shd w:val="clear" w:color="auto" w:fill="auto"/>
            <w:noWrap w:val="0"/>
            <w:vAlign w:val="center"/>
          </w:tcPr>
          <w:p w14:paraId="7E1BE742">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10</w:t>
            </w:r>
            <w:r>
              <w:rPr>
                <w:rFonts w:hint="eastAsia"/>
                <w:color w:val="auto"/>
                <w:vertAlign w:val="superscript"/>
                <w:lang w:val="en-US" w:eastAsia="zh-CN"/>
              </w:rPr>
              <w:t>3</w:t>
            </w:r>
          </w:p>
        </w:tc>
      </w:tr>
      <w:tr w14:paraId="199E37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3" w:type="pct"/>
            <w:tcBorders>
              <w:tl2br w:val="nil"/>
              <w:tr2bl w:val="nil"/>
            </w:tcBorders>
            <w:noWrap w:val="0"/>
            <w:vAlign w:val="center"/>
          </w:tcPr>
          <w:p w14:paraId="16EB98ED">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12</w:t>
            </w:r>
          </w:p>
        </w:tc>
        <w:tc>
          <w:tcPr>
            <w:tcW w:w="1208" w:type="pct"/>
            <w:tcBorders>
              <w:tl2br w:val="nil"/>
              <w:tr2bl w:val="nil"/>
            </w:tcBorders>
            <w:shd w:val="clear" w:color="auto" w:fill="auto"/>
            <w:noWrap w:val="0"/>
            <w:vAlign w:val="center"/>
          </w:tcPr>
          <w:p w14:paraId="34C0E52C">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大肠埃希氏菌</w:t>
            </w:r>
          </w:p>
        </w:tc>
        <w:tc>
          <w:tcPr>
            <w:tcW w:w="1090" w:type="pct"/>
            <w:tcBorders>
              <w:tl2br w:val="nil"/>
              <w:tr2bl w:val="nil"/>
            </w:tcBorders>
            <w:shd w:val="clear" w:color="auto" w:fill="auto"/>
            <w:noWrap w:val="0"/>
            <w:vAlign w:val="center"/>
          </w:tcPr>
          <w:p w14:paraId="58ED2CB9">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（MPN/100mL 或CFU/100mL）</w:t>
            </w:r>
          </w:p>
        </w:tc>
        <w:tc>
          <w:tcPr>
            <w:tcW w:w="2177" w:type="pct"/>
            <w:tcBorders>
              <w:tl2br w:val="nil"/>
              <w:tr2bl w:val="nil"/>
            </w:tcBorders>
            <w:shd w:val="clear" w:color="auto" w:fill="auto"/>
            <w:noWrap w:val="0"/>
            <w:vAlign w:val="center"/>
          </w:tcPr>
          <w:p w14:paraId="1C79B71E">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w:t>
            </w:r>
          </w:p>
        </w:tc>
      </w:tr>
      <w:tr w14:paraId="3CA4A9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23" w:type="pct"/>
            <w:tcBorders>
              <w:tl2br w:val="nil"/>
              <w:tr2bl w:val="nil"/>
            </w:tcBorders>
            <w:noWrap w:val="0"/>
            <w:vAlign w:val="center"/>
          </w:tcPr>
          <w:p w14:paraId="6C9E1A48">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13</w:t>
            </w:r>
          </w:p>
        </w:tc>
        <w:tc>
          <w:tcPr>
            <w:tcW w:w="1208" w:type="pct"/>
            <w:tcBorders>
              <w:tl2br w:val="nil"/>
              <w:tr2bl w:val="nil"/>
            </w:tcBorders>
            <w:shd w:val="clear" w:color="auto" w:fill="auto"/>
            <w:noWrap w:val="0"/>
            <w:vAlign w:val="center"/>
          </w:tcPr>
          <w:p w14:paraId="5FFE01C9">
            <w:pPr>
              <w:pStyle w:val="16"/>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甲醛</w:t>
            </w:r>
          </w:p>
        </w:tc>
        <w:tc>
          <w:tcPr>
            <w:tcW w:w="1090" w:type="pct"/>
            <w:tcBorders>
              <w:tl2br w:val="nil"/>
              <w:tr2bl w:val="nil"/>
            </w:tcBorders>
            <w:shd w:val="clear" w:color="auto" w:fill="auto"/>
            <w:noWrap w:val="0"/>
            <w:vAlign w:val="center"/>
          </w:tcPr>
          <w:p w14:paraId="29D8B828">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77" w:type="pct"/>
            <w:tcBorders>
              <w:tl2br w:val="nil"/>
              <w:tr2bl w:val="nil"/>
            </w:tcBorders>
            <w:shd w:val="clear" w:color="auto" w:fill="auto"/>
            <w:noWrap w:val="0"/>
            <w:vAlign w:val="center"/>
          </w:tcPr>
          <w:p w14:paraId="07055E27">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1.0</w:t>
            </w:r>
          </w:p>
        </w:tc>
      </w:tr>
    </w:tbl>
    <w:p w14:paraId="1ED2BF0F">
      <w:pPr>
        <w:keepNext w:val="0"/>
        <w:keepLines w:val="0"/>
        <w:pageBreakBefore w:val="0"/>
        <w:widowControl w:val="0"/>
        <w:numPr>
          <w:ilvl w:val="0"/>
          <w:numId w:val="8"/>
        </w:numPr>
        <w:kinsoku/>
        <w:wordWrap/>
        <w:overflowPunct/>
        <w:topLinePunct w:val="0"/>
        <w:autoSpaceDE/>
        <w:autoSpaceDN/>
        <w:bidi w:val="0"/>
        <w:adjustRightInd/>
        <w:snapToGrid/>
        <w:spacing w:before="0" w:beforeLines="50"/>
        <w:textAlignment w:val="auto"/>
        <w:rPr>
          <w:b/>
          <w:bCs/>
          <w:color w:val="auto"/>
        </w:rPr>
      </w:pPr>
      <w:r>
        <w:rPr>
          <w:b/>
          <w:bCs/>
          <w:color w:val="auto"/>
        </w:rPr>
        <w:t>噪声</w:t>
      </w:r>
    </w:p>
    <w:p w14:paraId="31FE9190">
      <w:pPr>
        <w:pageBreakBefore w:val="0"/>
        <w:wordWrap/>
        <w:bidi w:val="0"/>
        <w:adjustRightInd/>
        <w:snapToGrid/>
        <w:rPr>
          <w:color w:val="auto"/>
        </w:rPr>
      </w:pPr>
      <w:r>
        <w:rPr>
          <w:color w:val="auto"/>
        </w:rPr>
        <w:t>项目施工期噪声执行《建筑施工场界环境噪声排放标准》（GB12523-2011）标准限值要求，项目运行期噪声执行《工业企业厂界环境噪声排放标准》（GB12348-2008）</w:t>
      </w:r>
      <w:r>
        <w:rPr>
          <w:rFonts w:hint="eastAsia"/>
          <w:color w:val="auto"/>
          <w:lang w:val="en-US" w:eastAsia="zh-CN"/>
        </w:rPr>
        <w:t>3类（临路侧4类）</w:t>
      </w:r>
      <w:r>
        <w:rPr>
          <w:color w:val="auto"/>
        </w:rPr>
        <w:t>标准限值要求，其标准值见</w:t>
      </w:r>
      <w:r>
        <w:rPr>
          <w:rFonts w:hint="eastAsia"/>
          <w:color w:val="auto"/>
          <w:lang w:val="en-US" w:eastAsia="zh-CN"/>
        </w:rPr>
        <w:t>下表</w:t>
      </w:r>
      <w:r>
        <w:rPr>
          <w:color w:val="auto"/>
        </w:rPr>
        <w:t>所示。</w:t>
      </w:r>
    </w:p>
    <w:p w14:paraId="1C4EF019">
      <w:pPr>
        <w:pStyle w:val="19"/>
        <w:numPr>
          <w:ilvl w:val="0"/>
          <w:numId w:val="7"/>
        </w:numPr>
        <w:bidi w:val="0"/>
        <w:ind w:left="0" w:leftChars="0" w:firstLine="0" w:firstLineChars="0"/>
        <w:rPr>
          <w:rFonts w:hint="eastAsia"/>
          <w:color w:val="auto"/>
          <w:lang w:eastAsia="zh-CN"/>
        </w:rPr>
      </w:pPr>
      <w:r>
        <w:rPr>
          <w:color w:val="auto"/>
        </w:rPr>
        <w:t>建筑施工场界环境噪声排放限值</w:t>
      </w:r>
      <w:r>
        <w:rPr>
          <w:rFonts w:hint="eastAsia"/>
          <w:color w:val="auto"/>
        </w:rPr>
        <w:t xml:space="preserve">  </w:t>
      </w:r>
      <w:r>
        <w:rPr>
          <w:color w:val="auto"/>
        </w:rPr>
        <w:t>单位：dB</w:t>
      </w:r>
      <w:r>
        <w:rPr>
          <w:rFonts w:hint="eastAsia"/>
          <w:color w:val="auto"/>
          <w:lang w:eastAsia="zh-CN"/>
        </w:rPr>
        <w:t>（</w:t>
      </w:r>
      <w:r>
        <w:rPr>
          <w:color w:val="auto"/>
        </w:rPr>
        <w:t>A</w:t>
      </w:r>
      <w:r>
        <w:rPr>
          <w:rFonts w:hint="eastAsia"/>
          <w:color w:val="auto"/>
          <w:lang w:eastAsia="zh-CN"/>
        </w:rPr>
        <w:t>）</w:t>
      </w:r>
    </w:p>
    <w:tbl>
      <w:tblPr>
        <w:tblStyle w:val="5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49"/>
        <w:gridCol w:w="4995"/>
      </w:tblGrid>
      <w:tr w14:paraId="48D87E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207" w:type="pct"/>
            <w:tcBorders>
              <w:tl2br w:val="nil"/>
              <w:tr2bl w:val="nil"/>
            </w:tcBorders>
            <w:noWrap w:val="0"/>
            <w:vAlign w:val="center"/>
          </w:tcPr>
          <w:p w14:paraId="0A5ECECB">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昼  间</w:t>
            </w:r>
          </w:p>
        </w:tc>
        <w:tc>
          <w:tcPr>
            <w:tcW w:w="2792" w:type="pct"/>
            <w:tcBorders>
              <w:tl2br w:val="nil"/>
              <w:tr2bl w:val="nil"/>
            </w:tcBorders>
            <w:noWrap w:val="0"/>
            <w:vAlign w:val="center"/>
          </w:tcPr>
          <w:p w14:paraId="2C510D4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夜  间</w:t>
            </w:r>
          </w:p>
        </w:tc>
      </w:tr>
      <w:tr w14:paraId="7C594F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207" w:type="pct"/>
            <w:tcBorders>
              <w:tl2br w:val="nil"/>
              <w:tr2bl w:val="nil"/>
            </w:tcBorders>
            <w:noWrap w:val="0"/>
            <w:vAlign w:val="center"/>
          </w:tcPr>
          <w:p w14:paraId="2AE91771">
            <w:pPr>
              <w:pageBreakBefore w:val="0"/>
              <w:wordWrap/>
              <w:bidi w:val="0"/>
              <w:adjustRightInd/>
              <w:snapToGrid/>
              <w:spacing w:line="240" w:lineRule="auto"/>
              <w:ind w:firstLine="0" w:firstLineChars="0"/>
              <w:jc w:val="center"/>
              <w:rPr>
                <w:color w:val="auto"/>
                <w:sz w:val="21"/>
                <w:szCs w:val="21"/>
              </w:rPr>
            </w:pPr>
            <w:r>
              <w:rPr>
                <w:color w:val="auto"/>
                <w:sz w:val="21"/>
                <w:szCs w:val="21"/>
              </w:rPr>
              <w:t>70</w:t>
            </w:r>
          </w:p>
        </w:tc>
        <w:tc>
          <w:tcPr>
            <w:tcW w:w="2792" w:type="pct"/>
            <w:tcBorders>
              <w:tl2br w:val="nil"/>
              <w:tr2bl w:val="nil"/>
            </w:tcBorders>
            <w:noWrap w:val="0"/>
            <w:vAlign w:val="center"/>
          </w:tcPr>
          <w:p w14:paraId="20C29E60">
            <w:pPr>
              <w:pageBreakBefore w:val="0"/>
              <w:wordWrap/>
              <w:bidi w:val="0"/>
              <w:adjustRightInd/>
              <w:snapToGrid/>
              <w:spacing w:line="240" w:lineRule="auto"/>
              <w:ind w:firstLine="0" w:firstLineChars="0"/>
              <w:jc w:val="center"/>
              <w:rPr>
                <w:color w:val="auto"/>
                <w:sz w:val="21"/>
                <w:szCs w:val="21"/>
              </w:rPr>
            </w:pPr>
            <w:r>
              <w:rPr>
                <w:color w:val="auto"/>
                <w:sz w:val="21"/>
                <w:szCs w:val="21"/>
              </w:rPr>
              <w:t>55</w:t>
            </w:r>
          </w:p>
        </w:tc>
      </w:tr>
    </w:tbl>
    <w:p w14:paraId="676D87E4">
      <w:pPr>
        <w:pStyle w:val="19"/>
        <w:keepNext w:val="0"/>
        <w:keepLines w:val="0"/>
        <w:pageBreakBefore w:val="0"/>
        <w:widowControl w:val="0"/>
        <w:numPr>
          <w:ilvl w:val="0"/>
          <w:numId w:val="7"/>
        </w:numPr>
        <w:kinsoku/>
        <w:wordWrap/>
        <w:overflowPunct/>
        <w:topLinePunct w:val="0"/>
        <w:autoSpaceDE/>
        <w:autoSpaceDN/>
        <w:bidi w:val="0"/>
        <w:adjustRightInd/>
        <w:snapToGrid/>
        <w:spacing w:before="0" w:beforeLines="50"/>
        <w:ind w:left="0" w:leftChars="0" w:firstLine="0" w:firstLineChars="0"/>
        <w:textAlignment w:val="auto"/>
        <w:rPr>
          <w:rFonts w:hint="eastAsia"/>
          <w:color w:val="auto"/>
          <w:lang w:eastAsia="zh-CN"/>
        </w:rPr>
      </w:pPr>
      <w:r>
        <w:rPr>
          <w:color w:val="auto"/>
        </w:rPr>
        <w:t>工业企业厂界环境噪声排放标准限值</w:t>
      </w:r>
      <w:r>
        <w:rPr>
          <w:rFonts w:hint="eastAsia"/>
          <w:color w:val="auto"/>
        </w:rPr>
        <w:t xml:space="preserve">  </w:t>
      </w:r>
      <w:r>
        <w:rPr>
          <w:color w:val="auto"/>
        </w:rPr>
        <w:t>等效声级 LAeq：dB</w:t>
      </w:r>
      <w:r>
        <w:rPr>
          <w:rFonts w:hint="eastAsia"/>
          <w:color w:val="auto"/>
          <w:lang w:eastAsia="zh-CN"/>
        </w:rPr>
        <w:t>（</w:t>
      </w:r>
      <w:r>
        <w:rPr>
          <w:color w:val="auto"/>
        </w:rPr>
        <w:t>A</w:t>
      </w:r>
      <w:r>
        <w:rPr>
          <w:rFonts w:hint="eastAsia"/>
          <w:color w:val="auto"/>
          <w:lang w:eastAsia="zh-CN"/>
        </w:rPr>
        <w:t>）</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479"/>
        <w:gridCol w:w="2787"/>
        <w:gridCol w:w="2676"/>
      </w:tblGrid>
      <w:tr w14:paraId="7487CB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945" w:type="pct"/>
            <w:vMerge w:val="restart"/>
            <w:tcBorders>
              <w:tl2br w:val="nil"/>
              <w:tr2bl w:val="nil"/>
            </w:tcBorders>
            <w:noWrap w:val="0"/>
            <w:vAlign w:val="center"/>
          </w:tcPr>
          <w:p w14:paraId="7A688628">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环境噪声</w:t>
            </w:r>
          </w:p>
        </w:tc>
        <w:tc>
          <w:tcPr>
            <w:tcW w:w="3054" w:type="pct"/>
            <w:gridSpan w:val="2"/>
            <w:tcBorders>
              <w:tl2br w:val="nil"/>
              <w:tr2bl w:val="nil"/>
            </w:tcBorders>
            <w:noWrap w:val="0"/>
            <w:vAlign w:val="center"/>
          </w:tcPr>
          <w:p w14:paraId="004F568F">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时  段</w:t>
            </w:r>
          </w:p>
        </w:tc>
      </w:tr>
      <w:tr w14:paraId="79E3D7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945" w:type="pct"/>
            <w:vMerge w:val="continue"/>
            <w:tcBorders>
              <w:tl2br w:val="nil"/>
              <w:tr2bl w:val="nil"/>
            </w:tcBorders>
            <w:noWrap w:val="0"/>
            <w:vAlign w:val="center"/>
          </w:tcPr>
          <w:p w14:paraId="77621175">
            <w:pPr>
              <w:pageBreakBefore w:val="0"/>
              <w:wordWrap/>
              <w:bidi w:val="0"/>
              <w:adjustRightInd/>
              <w:snapToGrid/>
              <w:spacing w:line="240" w:lineRule="auto"/>
              <w:ind w:firstLine="0" w:firstLineChars="0"/>
              <w:jc w:val="center"/>
              <w:rPr>
                <w:b/>
                <w:bCs/>
                <w:color w:val="auto"/>
                <w:sz w:val="21"/>
                <w:szCs w:val="21"/>
              </w:rPr>
            </w:pPr>
          </w:p>
        </w:tc>
        <w:tc>
          <w:tcPr>
            <w:tcW w:w="1558" w:type="pct"/>
            <w:tcBorders>
              <w:tl2br w:val="nil"/>
              <w:tr2bl w:val="nil"/>
            </w:tcBorders>
            <w:noWrap w:val="0"/>
            <w:vAlign w:val="center"/>
          </w:tcPr>
          <w:p w14:paraId="0D2DE4C8">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昼  间</w:t>
            </w:r>
          </w:p>
        </w:tc>
        <w:tc>
          <w:tcPr>
            <w:tcW w:w="1495" w:type="pct"/>
            <w:tcBorders>
              <w:tl2br w:val="nil"/>
              <w:tr2bl w:val="nil"/>
            </w:tcBorders>
            <w:noWrap w:val="0"/>
            <w:vAlign w:val="center"/>
          </w:tcPr>
          <w:p w14:paraId="698C314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夜  间</w:t>
            </w:r>
          </w:p>
        </w:tc>
      </w:tr>
      <w:tr w14:paraId="332BA0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945" w:type="pct"/>
            <w:tcBorders>
              <w:tl2br w:val="nil"/>
              <w:tr2bl w:val="nil"/>
            </w:tcBorders>
            <w:noWrap w:val="0"/>
            <w:vAlign w:val="center"/>
          </w:tcPr>
          <w:p w14:paraId="47CF8511">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3</w:t>
            </w:r>
            <w:r>
              <w:rPr>
                <w:color w:val="auto"/>
                <w:sz w:val="21"/>
                <w:szCs w:val="21"/>
              </w:rPr>
              <w:t>类</w:t>
            </w:r>
            <w:r>
              <w:rPr>
                <w:rFonts w:hint="eastAsia"/>
                <w:color w:val="auto"/>
                <w:sz w:val="21"/>
                <w:szCs w:val="21"/>
                <w:lang w:eastAsia="zh-CN"/>
              </w:rPr>
              <w:t>（</w:t>
            </w:r>
            <w:r>
              <w:rPr>
                <w:rFonts w:hint="eastAsia"/>
                <w:color w:val="auto"/>
                <w:sz w:val="21"/>
                <w:szCs w:val="21"/>
                <w:lang w:val="en-US" w:eastAsia="zh-CN"/>
              </w:rPr>
              <w:t>厂界</w:t>
            </w:r>
            <w:r>
              <w:rPr>
                <w:rFonts w:hint="eastAsia"/>
                <w:color w:val="auto"/>
                <w:sz w:val="21"/>
                <w:szCs w:val="21"/>
                <w:lang w:eastAsia="zh-CN"/>
              </w:rPr>
              <w:t>）</w:t>
            </w:r>
          </w:p>
        </w:tc>
        <w:tc>
          <w:tcPr>
            <w:tcW w:w="1558" w:type="pct"/>
            <w:tcBorders>
              <w:tl2br w:val="nil"/>
              <w:tr2bl w:val="nil"/>
            </w:tcBorders>
            <w:noWrap w:val="0"/>
            <w:vAlign w:val="center"/>
          </w:tcPr>
          <w:p w14:paraId="1C8A4DE8">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65</w:t>
            </w:r>
          </w:p>
        </w:tc>
        <w:tc>
          <w:tcPr>
            <w:tcW w:w="1495" w:type="pct"/>
            <w:tcBorders>
              <w:tl2br w:val="nil"/>
              <w:tr2bl w:val="nil"/>
            </w:tcBorders>
            <w:noWrap w:val="0"/>
            <w:vAlign w:val="center"/>
          </w:tcPr>
          <w:p w14:paraId="4C667D1B">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55</w:t>
            </w:r>
          </w:p>
        </w:tc>
      </w:tr>
      <w:tr w14:paraId="2F18E4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945" w:type="pct"/>
            <w:tcBorders>
              <w:tl2br w:val="nil"/>
              <w:tr2bl w:val="nil"/>
            </w:tcBorders>
            <w:noWrap w:val="0"/>
            <w:vAlign w:val="center"/>
          </w:tcPr>
          <w:p w14:paraId="15946BBF">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4类（南侧临路侧）</w:t>
            </w:r>
          </w:p>
        </w:tc>
        <w:tc>
          <w:tcPr>
            <w:tcW w:w="1558" w:type="pct"/>
            <w:tcBorders>
              <w:tl2br w:val="nil"/>
              <w:tr2bl w:val="nil"/>
            </w:tcBorders>
            <w:noWrap w:val="0"/>
            <w:vAlign w:val="center"/>
          </w:tcPr>
          <w:p w14:paraId="668D5C94">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70</w:t>
            </w:r>
          </w:p>
        </w:tc>
        <w:tc>
          <w:tcPr>
            <w:tcW w:w="1495" w:type="pct"/>
            <w:tcBorders>
              <w:tl2br w:val="nil"/>
              <w:tr2bl w:val="nil"/>
            </w:tcBorders>
            <w:noWrap w:val="0"/>
            <w:vAlign w:val="center"/>
          </w:tcPr>
          <w:p w14:paraId="4503981E">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55</w:t>
            </w:r>
          </w:p>
        </w:tc>
      </w:tr>
    </w:tbl>
    <w:p w14:paraId="5A4BEF34">
      <w:pPr>
        <w:pageBreakBefore w:val="0"/>
        <w:numPr>
          <w:ilvl w:val="0"/>
          <w:numId w:val="8"/>
        </w:numPr>
        <w:wordWrap/>
        <w:bidi w:val="0"/>
        <w:adjustRightInd/>
        <w:snapToGrid/>
        <w:spacing w:before="120" w:beforeLines="50"/>
        <w:ind w:firstLine="480"/>
        <w:rPr>
          <w:b/>
          <w:bCs/>
          <w:snapToGrid w:val="0"/>
          <w:color w:val="auto"/>
          <w:kern w:val="0"/>
        </w:rPr>
      </w:pPr>
      <w:r>
        <w:rPr>
          <w:b/>
          <w:bCs/>
          <w:snapToGrid w:val="0"/>
          <w:color w:val="auto"/>
          <w:kern w:val="0"/>
        </w:rPr>
        <w:t>废气</w:t>
      </w:r>
    </w:p>
    <w:p w14:paraId="5420E2C3">
      <w:pPr>
        <w:pageBreakBefore w:val="0"/>
        <w:wordWrap/>
        <w:bidi w:val="0"/>
        <w:adjustRightInd/>
        <w:snapToGrid/>
        <w:ind w:firstLine="480"/>
        <w:rPr>
          <w:color w:val="auto"/>
        </w:rPr>
      </w:pPr>
      <w:r>
        <w:rPr>
          <w:snapToGrid w:val="0"/>
          <w:color w:val="auto"/>
          <w:kern w:val="0"/>
        </w:rPr>
        <w:t>项目施工期扬尘执行</w:t>
      </w:r>
      <w:r>
        <w:rPr>
          <w:color w:val="auto"/>
        </w:rPr>
        <w:t>《四川省施工场地扬尘排放标准》（DB51/2682-2020）中表1规定的浓度限值。</w:t>
      </w:r>
    </w:p>
    <w:p w14:paraId="6312B5A8">
      <w:pPr>
        <w:pStyle w:val="19"/>
        <w:numPr>
          <w:ilvl w:val="0"/>
          <w:numId w:val="7"/>
        </w:numPr>
        <w:bidi w:val="0"/>
        <w:ind w:left="0" w:leftChars="0" w:firstLine="0" w:firstLineChars="0"/>
        <w:rPr>
          <w:color w:val="auto"/>
        </w:rPr>
      </w:pPr>
      <w:r>
        <w:rPr>
          <w:color w:val="auto"/>
        </w:rPr>
        <w:t>四川省施工场地扬尘排放限值</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31"/>
        <w:gridCol w:w="882"/>
        <w:gridCol w:w="3401"/>
        <w:gridCol w:w="1925"/>
        <w:gridCol w:w="1302"/>
      </w:tblGrid>
      <w:tr w14:paraId="3D06C6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0" w:type="pct"/>
            <w:tcBorders>
              <w:tl2br w:val="nil"/>
              <w:tr2bl w:val="nil"/>
            </w:tcBorders>
            <w:noWrap w:val="0"/>
            <w:vAlign w:val="center"/>
          </w:tcPr>
          <w:p w14:paraId="01ECC875">
            <w:pPr>
              <w:pStyle w:val="5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b/>
                <w:bCs/>
                <w:color w:val="auto"/>
                <w:sz w:val="21"/>
                <w:szCs w:val="21"/>
              </w:rPr>
            </w:pPr>
            <w:r>
              <w:rPr>
                <w:b/>
                <w:bCs/>
                <w:color w:val="auto"/>
                <w:sz w:val="21"/>
                <w:szCs w:val="21"/>
              </w:rPr>
              <w:t>监测项目</w:t>
            </w:r>
          </w:p>
        </w:tc>
        <w:tc>
          <w:tcPr>
            <w:tcW w:w="493" w:type="pct"/>
            <w:tcBorders>
              <w:tl2br w:val="nil"/>
              <w:tr2bl w:val="nil"/>
            </w:tcBorders>
            <w:noWrap w:val="0"/>
            <w:vAlign w:val="center"/>
          </w:tcPr>
          <w:p w14:paraId="5680347C">
            <w:pPr>
              <w:pStyle w:val="5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b/>
                <w:bCs/>
                <w:color w:val="auto"/>
                <w:sz w:val="21"/>
                <w:szCs w:val="21"/>
              </w:rPr>
            </w:pPr>
            <w:r>
              <w:rPr>
                <w:b/>
                <w:bCs/>
                <w:color w:val="auto"/>
                <w:sz w:val="21"/>
                <w:szCs w:val="21"/>
              </w:rPr>
              <w:t>区域</w:t>
            </w:r>
          </w:p>
        </w:tc>
        <w:tc>
          <w:tcPr>
            <w:tcW w:w="1901" w:type="pct"/>
            <w:tcBorders>
              <w:tl2br w:val="nil"/>
              <w:tr2bl w:val="nil"/>
            </w:tcBorders>
            <w:noWrap w:val="0"/>
            <w:vAlign w:val="center"/>
          </w:tcPr>
          <w:p w14:paraId="2D771B40">
            <w:pPr>
              <w:pStyle w:val="5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b/>
                <w:bCs/>
                <w:color w:val="auto"/>
                <w:sz w:val="21"/>
                <w:szCs w:val="21"/>
              </w:rPr>
            </w:pPr>
            <w:r>
              <w:rPr>
                <w:b/>
                <w:bCs/>
                <w:color w:val="auto"/>
                <w:sz w:val="21"/>
                <w:szCs w:val="21"/>
              </w:rPr>
              <w:t>施工阶段</w:t>
            </w:r>
          </w:p>
        </w:tc>
        <w:tc>
          <w:tcPr>
            <w:tcW w:w="1076" w:type="pct"/>
            <w:tcBorders>
              <w:tl2br w:val="nil"/>
              <w:tr2bl w:val="nil"/>
            </w:tcBorders>
            <w:noWrap w:val="0"/>
            <w:vAlign w:val="center"/>
          </w:tcPr>
          <w:p w14:paraId="41EC0A65">
            <w:pPr>
              <w:pStyle w:val="5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b/>
                <w:bCs/>
                <w:color w:val="auto"/>
                <w:sz w:val="21"/>
                <w:szCs w:val="21"/>
              </w:rPr>
            </w:pPr>
            <w:r>
              <w:rPr>
                <w:b/>
                <w:bCs/>
                <w:color w:val="auto"/>
                <w:sz w:val="21"/>
                <w:szCs w:val="21"/>
              </w:rPr>
              <w:t>监测点排放限值</w:t>
            </w:r>
          </w:p>
        </w:tc>
        <w:tc>
          <w:tcPr>
            <w:tcW w:w="728" w:type="pct"/>
            <w:tcBorders>
              <w:tl2br w:val="nil"/>
              <w:tr2bl w:val="nil"/>
            </w:tcBorders>
            <w:noWrap w:val="0"/>
            <w:vAlign w:val="center"/>
          </w:tcPr>
          <w:p w14:paraId="67536BD7">
            <w:pPr>
              <w:pStyle w:val="5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b/>
                <w:bCs/>
                <w:color w:val="auto"/>
                <w:sz w:val="21"/>
                <w:szCs w:val="21"/>
              </w:rPr>
            </w:pPr>
            <w:r>
              <w:rPr>
                <w:b/>
                <w:bCs/>
                <w:color w:val="auto"/>
                <w:sz w:val="21"/>
                <w:szCs w:val="21"/>
              </w:rPr>
              <w:t>监测时间</w:t>
            </w:r>
          </w:p>
        </w:tc>
      </w:tr>
      <w:tr w14:paraId="7E2215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0" w:type="pct"/>
            <w:vMerge w:val="restart"/>
            <w:tcBorders>
              <w:tl2br w:val="nil"/>
              <w:tr2bl w:val="nil"/>
            </w:tcBorders>
            <w:noWrap w:val="0"/>
            <w:vAlign w:val="center"/>
          </w:tcPr>
          <w:p w14:paraId="25A0E170">
            <w:pPr>
              <w:pStyle w:val="5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color w:val="auto"/>
                <w:sz w:val="21"/>
                <w:szCs w:val="21"/>
              </w:rPr>
            </w:pPr>
            <w:r>
              <w:rPr>
                <w:color w:val="auto"/>
                <w:sz w:val="21"/>
                <w:szCs w:val="21"/>
              </w:rPr>
              <w:t>总悬浮颗粒物（TSP）</w:t>
            </w:r>
          </w:p>
        </w:tc>
        <w:tc>
          <w:tcPr>
            <w:tcW w:w="493" w:type="pct"/>
            <w:vMerge w:val="restart"/>
            <w:tcBorders>
              <w:tl2br w:val="nil"/>
              <w:tr2bl w:val="nil"/>
            </w:tcBorders>
            <w:noWrap w:val="0"/>
            <w:vAlign w:val="center"/>
          </w:tcPr>
          <w:p w14:paraId="1D88AD7C">
            <w:pPr>
              <w:pStyle w:val="5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eastAsia="宋体"/>
                <w:color w:val="auto"/>
                <w:sz w:val="21"/>
                <w:szCs w:val="21"/>
                <w:lang w:eastAsia="zh-CN"/>
              </w:rPr>
            </w:pPr>
            <w:r>
              <w:rPr>
                <w:rFonts w:hint="eastAsia"/>
                <w:color w:val="auto"/>
                <w:sz w:val="21"/>
                <w:szCs w:val="21"/>
                <w:lang w:eastAsia="zh-CN"/>
              </w:rPr>
              <w:t>巴中市</w:t>
            </w:r>
          </w:p>
        </w:tc>
        <w:tc>
          <w:tcPr>
            <w:tcW w:w="1901" w:type="pct"/>
            <w:tcBorders>
              <w:tl2br w:val="nil"/>
              <w:tr2bl w:val="nil"/>
            </w:tcBorders>
            <w:noWrap w:val="0"/>
            <w:vAlign w:val="center"/>
          </w:tcPr>
          <w:p w14:paraId="42EDD2DF">
            <w:pPr>
              <w:pStyle w:val="5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color w:val="auto"/>
                <w:sz w:val="21"/>
                <w:szCs w:val="21"/>
              </w:rPr>
            </w:pPr>
            <w:r>
              <w:rPr>
                <w:color w:val="auto"/>
                <w:sz w:val="21"/>
                <w:szCs w:val="21"/>
              </w:rPr>
              <w:t>拆除工程/土方开挖/土方回填阶段</w:t>
            </w:r>
          </w:p>
        </w:tc>
        <w:tc>
          <w:tcPr>
            <w:tcW w:w="1076" w:type="pct"/>
            <w:tcBorders>
              <w:tl2br w:val="nil"/>
              <w:tr2bl w:val="nil"/>
            </w:tcBorders>
            <w:noWrap w:val="0"/>
            <w:vAlign w:val="center"/>
          </w:tcPr>
          <w:p w14:paraId="7CC308F8">
            <w:pPr>
              <w:pStyle w:val="5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eastAsia="宋体"/>
                <w:color w:val="auto"/>
                <w:sz w:val="21"/>
                <w:szCs w:val="21"/>
                <w:lang w:eastAsia="zh-CN"/>
              </w:rPr>
            </w:pPr>
            <w:r>
              <w:rPr>
                <w:color w:val="auto"/>
                <w:sz w:val="21"/>
                <w:szCs w:val="21"/>
              </w:rPr>
              <w:t>600μg/</w:t>
            </w:r>
            <w:r>
              <w:rPr>
                <w:rFonts w:hint="eastAsia"/>
                <w:color w:val="auto"/>
                <w:sz w:val="21"/>
                <w:szCs w:val="21"/>
                <w:lang w:eastAsia="zh-CN"/>
              </w:rPr>
              <w:t>m³</w:t>
            </w:r>
          </w:p>
        </w:tc>
        <w:tc>
          <w:tcPr>
            <w:tcW w:w="728" w:type="pct"/>
            <w:vMerge w:val="restart"/>
            <w:tcBorders>
              <w:tl2br w:val="nil"/>
              <w:tr2bl w:val="nil"/>
            </w:tcBorders>
            <w:noWrap w:val="0"/>
            <w:vAlign w:val="center"/>
          </w:tcPr>
          <w:p w14:paraId="510E4E40">
            <w:pPr>
              <w:pStyle w:val="5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color w:val="auto"/>
                <w:sz w:val="21"/>
                <w:szCs w:val="21"/>
              </w:rPr>
            </w:pPr>
            <w:r>
              <w:rPr>
                <w:color w:val="auto"/>
                <w:sz w:val="21"/>
                <w:szCs w:val="21"/>
              </w:rPr>
              <w:t>自监测起持续15分钟</w:t>
            </w:r>
          </w:p>
        </w:tc>
      </w:tr>
      <w:tr w14:paraId="505901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0" w:type="pct"/>
            <w:vMerge w:val="continue"/>
            <w:tcBorders>
              <w:tl2br w:val="nil"/>
              <w:tr2bl w:val="nil"/>
            </w:tcBorders>
            <w:noWrap w:val="0"/>
            <w:vAlign w:val="center"/>
          </w:tcPr>
          <w:p w14:paraId="6EA4B22F">
            <w:pPr>
              <w:pStyle w:val="5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color w:val="auto"/>
                <w:sz w:val="21"/>
                <w:szCs w:val="21"/>
              </w:rPr>
            </w:pPr>
          </w:p>
        </w:tc>
        <w:tc>
          <w:tcPr>
            <w:tcW w:w="493" w:type="pct"/>
            <w:vMerge w:val="continue"/>
            <w:tcBorders>
              <w:tl2br w:val="nil"/>
              <w:tr2bl w:val="nil"/>
            </w:tcBorders>
            <w:noWrap w:val="0"/>
            <w:vAlign w:val="center"/>
          </w:tcPr>
          <w:p w14:paraId="5D1D819E">
            <w:pPr>
              <w:pStyle w:val="5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color w:val="auto"/>
                <w:sz w:val="21"/>
                <w:szCs w:val="21"/>
              </w:rPr>
            </w:pPr>
          </w:p>
        </w:tc>
        <w:tc>
          <w:tcPr>
            <w:tcW w:w="1901" w:type="pct"/>
            <w:tcBorders>
              <w:tl2br w:val="nil"/>
              <w:tr2bl w:val="nil"/>
            </w:tcBorders>
            <w:noWrap w:val="0"/>
            <w:vAlign w:val="center"/>
          </w:tcPr>
          <w:p w14:paraId="761ABECA">
            <w:pPr>
              <w:pStyle w:val="5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color w:val="auto"/>
                <w:sz w:val="21"/>
                <w:szCs w:val="21"/>
              </w:rPr>
            </w:pPr>
            <w:r>
              <w:rPr>
                <w:color w:val="auto"/>
                <w:sz w:val="21"/>
                <w:szCs w:val="21"/>
              </w:rPr>
              <w:t>其他工程阶段</w:t>
            </w:r>
          </w:p>
        </w:tc>
        <w:tc>
          <w:tcPr>
            <w:tcW w:w="1076" w:type="pct"/>
            <w:tcBorders>
              <w:tl2br w:val="nil"/>
              <w:tr2bl w:val="nil"/>
            </w:tcBorders>
            <w:noWrap w:val="0"/>
            <w:vAlign w:val="center"/>
          </w:tcPr>
          <w:p w14:paraId="35411350">
            <w:pPr>
              <w:pStyle w:val="5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eastAsia="宋体"/>
                <w:color w:val="auto"/>
                <w:sz w:val="21"/>
                <w:szCs w:val="21"/>
                <w:lang w:eastAsia="zh-CN"/>
              </w:rPr>
            </w:pPr>
            <w:r>
              <w:rPr>
                <w:color w:val="auto"/>
                <w:sz w:val="21"/>
                <w:szCs w:val="21"/>
              </w:rPr>
              <w:t>250μg/</w:t>
            </w:r>
            <w:r>
              <w:rPr>
                <w:rFonts w:hint="eastAsia"/>
                <w:color w:val="auto"/>
                <w:sz w:val="21"/>
                <w:szCs w:val="21"/>
                <w:lang w:eastAsia="zh-CN"/>
              </w:rPr>
              <w:t>m³</w:t>
            </w:r>
          </w:p>
        </w:tc>
        <w:tc>
          <w:tcPr>
            <w:tcW w:w="728" w:type="pct"/>
            <w:vMerge w:val="continue"/>
            <w:tcBorders>
              <w:tl2br w:val="nil"/>
              <w:tr2bl w:val="nil"/>
            </w:tcBorders>
            <w:noWrap w:val="0"/>
            <w:vAlign w:val="center"/>
          </w:tcPr>
          <w:p w14:paraId="7CBF0202">
            <w:pPr>
              <w:pStyle w:val="51"/>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color w:val="auto"/>
                <w:sz w:val="21"/>
                <w:szCs w:val="21"/>
              </w:rPr>
            </w:pPr>
          </w:p>
        </w:tc>
      </w:tr>
    </w:tbl>
    <w:p w14:paraId="551CEB59">
      <w:pPr>
        <w:keepNext w:val="0"/>
        <w:keepLines w:val="0"/>
        <w:pageBreakBefore w:val="0"/>
        <w:widowControl w:val="0"/>
        <w:kinsoku/>
        <w:wordWrap/>
        <w:overflowPunct/>
        <w:topLinePunct w:val="0"/>
        <w:autoSpaceDE/>
        <w:autoSpaceDN/>
        <w:bidi w:val="0"/>
        <w:adjustRightInd/>
        <w:snapToGrid/>
        <w:spacing w:before="0" w:beforeLines="50"/>
        <w:textAlignment w:val="auto"/>
        <w:rPr>
          <w:color w:val="auto"/>
        </w:rPr>
      </w:pPr>
      <w:r>
        <w:rPr>
          <w:color w:val="auto"/>
        </w:rPr>
        <w:t>项目营运期恶臭气体排放执行《恶臭污染物排放标准》（GB14554-93）中表1、表2的要求、食堂饮食油烟执行《饮食业油烟排放标准（试行）》（GB18483-2001）中最高允许排放浓度限值要求，其标准值见</w:t>
      </w:r>
      <w:r>
        <w:rPr>
          <w:rFonts w:hint="eastAsia"/>
          <w:color w:val="auto"/>
          <w:lang w:val="en-US" w:eastAsia="zh-CN"/>
        </w:rPr>
        <w:t>下表</w:t>
      </w:r>
      <w:r>
        <w:rPr>
          <w:color w:val="auto"/>
        </w:rPr>
        <w:t>所示。</w:t>
      </w:r>
    </w:p>
    <w:p w14:paraId="158929BC">
      <w:pPr>
        <w:pStyle w:val="19"/>
        <w:numPr>
          <w:ilvl w:val="0"/>
          <w:numId w:val="7"/>
        </w:numPr>
        <w:bidi w:val="0"/>
        <w:ind w:left="0" w:leftChars="0" w:firstLine="0" w:firstLineChars="0"/>
        <w:rPr>
          <w:color w:val="auto"/>
        </w:rPr>
      </w:pPr>
      <w:r>
        <w:rPr>
          <w:color w:val="auto"/>
        </w:rPr>
        <w:t xml:space="preserve">恶臭污染物排放标准              </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9"/>
        <w:gridCol w:w="1446"/>
        <w:gridCol w:w="1802"/>
        <w:gridCol w:w="2217"/>
        <w:gridCol w:w="2217"/>
      </w:tblGrid>
      <w:tr w14:paraId="0BAF6B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pct"/>
            <w:tcBorders>
              <w:tl2br w:val="nil"/>
              <w:tr2bl w:val="nil"/>
            </w:tcBorders>
            <w:noWrap w:val="0"/>
            <w:vAlign w:val="center"/>
          </w:tcPr>
          <w:p w14:paraId="45E3F1B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w:t>
            </w:r>
          </w:p>
        </w:tc>
        <w:tc>
          <w:tcPr>
            <w:tcW w:w="808" w:type="pct"/>
            <w:tcBorders>
              <w:tl2br w:val="nil"/>
              <w:tr2bl w:val="nil"/>
            </w:tcBorders>
            <w:noWrap w:val="0"/>
            <w:vAlign w:val="center"/>
          </w:tcPr>
          <w:p w14:paraId="39E86D5F">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排放标准（m）</w:t>
            </w:r>
          </w:p>
        </w:tc>
        <w:tc>
          <w:tcPr>
            <w:tcW w:w="1007" w:type="pct"/>
            <w:tcBorders>
              <w:tl2br w:val="nil"/>
              <w:tr2bl w:val="nil"/>
            </w:tcBorders>
            <w:noWrap w:val="0"/>
            <w:vAlign w:val="center"/>
          </w:tcPr>
          <w:p w14:paraId="5A164B7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排放速率（kg/h）</w:t>
            </w:r>
          </w:p>
        </w:tc>
        <w:tc>
          <w:tcPr>
            <w:tcW w:w="1239" w:type="pct"/>
            <w:tcBorders>
              <w:tl2br w:val="nil"/>
              <w:tr2bl w:val="nil"/>
            </w:tcBorders>
            <w:noWrap w:val="0"/>
            <w:vAlign w:val="center"/>
          </w:tcPr>
          <w:p w14:paraId="279721C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厂界标准值（mg/</w:t>
            </w:r>
            <w:r>
              <w:rPr>
                <w:rFonts w:hint="eastAsia"/>
                <w:b/>
                <w:bCs/>
                <w:color w:val="auto"/>
                <w:sz w:val="21"/>
                <w:szCs w:val="21"/>
                <w:lang w:eastAsia="zh-CN"/>
              </w:rPr>
              <w:t>m³</w:t>
            </w:r>
            <w:r>
              <w:rPr>
                <w:b/>
                <w:bCs/>
                <w:color w:val="auto"/>
                <w:sz w:val="21"/>
                <w:szCs w:val="21"/>
              </w:rPr>
              <w:t>）</w:t>
            </w:r>
          </w:p>
        </w:tc>
        <w:tc>
          <w:tcPr>
            <w:tcW w:w="1239" w:type="pct"/>
            <w:tcBorders>
              <w:tl2br w:val="nil"/>
              <w:tr2bl w:val="nil"/>
            </w:tcBorders>
            <w:noWrap w:val="0"/>
            <w:vAlign w:val="center"/>
          </w:tcPr>
          <w:p w14:paraId="7DC94C5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执行标准</w:t>
            </w:r>
          </w:p>
        </w:tc>
      </w:tr>
      <w:tr w14:paraId="481401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pct"/>
            <w:tcBorders>
              <w:tl2br w:val="nil"/>
              <w:tr2bl w:val="nil"/>
            </w:tcBorders>
            <w:noWrap w:val="0"/>
            <w:vAlign w:val="center"/>
          </w:tcPr>
          <w:p w14:paraId="74F889F6">
            <w:pPr>
              <w:pageBreakBefore w:val="0"/>
              <w:wordWrap/>
              <w:bidi w:val="0"/>
              <w:adjustRightInd/>
              <w:snapToGrid/>
              <w:spacing w:line="240" w:lineRule="auto"/>
              <w:ind w:firstLine="0" w:firstLineChars="0"/>
              <w:jc w:val="center"/>
              <w:rPr>
                <w:color w:val="auto"/>
                <w:sz w:val="21"/>
                <w:szCs w:val="21"/>
              </w:rPr>
            </w:pPr>
            <w:r>
              <w:rPr>
                <w:color w:val="auto"/>
                <w:sz w:val="21"/>
                <w:szCs w:val="21"/>
              </w:rPr>
              <w:t>氨</w:t>
            </w:r>
          </w:p>
        </w:tc>
        <w:tc>
          <w:tcPr>
            <w:tcW w:w="808" w:type="pct"/>
            <w:tcBorders>
              <w:tl2br w:val="nil"/>
              <w:tr2bl w:val="nil"/>
            </w:tcBorders>
            <w:noWrap w:val="0"/>
            <w:vAlign w:val="center"/>
          </w:tcPr>
          <w:p w14:paraId="6D9C2B89">
            <w:pPr>
              <w:pageBreakBefore w:val="0"/>
              <w:wordWrap/>
              <w:bidi w:val="0"/>
              <w:adjustRightInd/>
              <w:snapToGrid/>
              <w:spacing w:line="240" w:lineRule="auto"/>
              <w:ind w:firstLine="0" w:firstLineChars="0"/>
              <w:jc w:val="center"/>
              <w:rPr>
                <w:color w:val="auto"/>
                <w:sz w:val="21"/>
                <w:szCs w:val="21"/>
              </w:rPr>
            </w:pPr>
            <w:r>
              <w:rPr>
                <w:color w:val="auto"/>
                <w:sz w:val="21"/>
                <w:szCs w:val="21"/>
              </w:rPr>
              <w:t>15</w:t>
            </w:r>
          </w:p>
        </w:tc>
        <w:tc>
          <w:tcPr>
            <w:tcW w:w="1007" w:type="pct"/>
            <w:tcBorders>
              <w:tl2br w:val="nil"/>
              <w:tr2bl w:val="nil"/>
            </w:tcBorders>
            <w:noWrap w:val="0"/>
            <w:vAlign w:val="center"/>
          </w:tcPr>
          <w:p w14:paraId="6EFEBEF7">
            <w:pPr>
              <w:pageBreakBefore w:val="0"/>
              <w:wordWrap/>
              <w:bidi w:val="0"/>
              <w:adjustRightInd/>
              <w:snapToGrid/>
              <w:spacing w:line="240" w:lineRule="auto"/>
              <w:ind w:firstLine="0" w:firstLineChars="0"/>
              <w:jc w:val="center"/>
              <w:rPr>
                <w:color w:val="auto"/>
                <w:sz w:val="21"/>
                <w:szCs w:val="21"/>
              </w:rPr>
            </w:pPr>
            <w:r>
              <w:rPr>
                <w:color w:val="auto"/>
                <w:sz w:val="21"/>
                <w:szCs w:val="21"/>
              </w:rPr>
              <w:t>4.9</w:t>
            </w:r>
          </w:p>
        </w:tc>
        <w:tc>
          <w:tcPr>
            <w:tcW w:w="1239" w:type="pct"/>
            <w:tcBorders>
              <w:tl2br w:val="nil"/>
              <w:tr2bl w:val="nil"/>
            </w:tcBorders>
            <w:noWrap w:val="0"/>
            <w:vAlign w:val="center"/>
          </w:tcPr>
          <w:p w14:paraId="6AE104F2">
            <w:pPr>
              <w:pageBreakBefore w:val="0"/>
              <w:wordWrap/>
              <w:bidi w:val="0"/>
              <w:adjustRightInd/>
              <w:snapToGrid/>
              <w:spacing w:line="240" w:lineRule="auto"/>
              <w:ind w:firstLine="0" w:firstLineChars="0"/>
              <w:jc w:val="center"/>
              <w:rPr>
                <w:color w:val="auto"/>
                <w:sz w:val="21"/>
                <w:szCs w:val="21"/>
              </w:rPr>
            </w:pPr>
            <w:r>
              <w:rPr>
                <w:color w:val="auto"/>
                <w:sz w:val="21"/>
                <w:szCs w:val="21"/>
              </w:rPr>
              <w:t>1.5</w:t>
            </w:r>
          </w:p>
        </w:tc>
        <w:tc>
          <w:tcPr>
            <w:tcW w:w="1239" w:type="pct"/>
            <w:vMerge w:val="restart"/>
            <w:tcBorders>
              <w:tl2br w:val="nil"/>
              <w:tr2bl w:val="nil"/>
            </w:tcBorders>
            <w:noWrap w:val="0"/>
            <w:vAlign w:val="center"/>
          </w:tcPr>
          <w:p w14:paraId="2AEB381F">
            <w:pPr>
              <w:pageBreakBefore w:val="0"/>
              <w:wordWrap/>
              <w:bidi w:val="0"/>
              <w:adjustRightInd/>
              <w:snapToGrid/>
              <w:spacing w:line="240" w:lineRule="auto"/>
              <w:ind w:firstLine="0" w:firstLineChars="0"/>
              <w:jc w:val="center"/>
              <w:rPr>
                <w:color w:val="auto"/>
                <w:sz w:val="21"/>
                <w:szCs w:val="21"/>
              </w:rPr>
            </w:pPr>
            <w:r>
              <w:rPr>
                <w:color w:val="auto"/>
                <w:sz w:val="21"/>
                <w:szCs w:val="21"/>
              </w:rPr>
              <w:t>《恶臭污染物排放标准》（GB14554-1993）</w:t>
            </w:r>
          </w:p>
        </w:tc>
      </w:tr>
      <w:tr w14:paraId="6130FC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pct"/>
            <w:tcBorders>
              <w:tl2br w:val="nil"/>
              <w:tr2bl w:val="nil"/>
            </w:tcBorders>
            <w:noWrap w:val="0"/>
            <w:vAlign w:val="center"/>
          </w:tcPr>
          <w:p w14:paraId="7665128A">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硫化氢</w:t>
            </w:r>
          </w:p>
        </w:tc>
        <w:tc>
          <w:tcPr>
            <w:tcW w:w="808" w:type="pct"/>
            <w:tcBorders>
              <w:tl2br w:val="nil"/>
              <w:tr2bl w:val="nil"/>
            </w:tcBorders>
            <w:noWrap w:val="0"/>
            <w:vAlign w:val="center"/>
          </w:tcPr>
          <w:p w14:paraId="7734FE58">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15</w:t>
            </w:r>
          </w:p>
        </w:tc>
        <w:tc>
          <w:tcPr>
            <w:tcW w:w="1007" w:type="pct"/>
            <w:tcBorders>
              <w:tl2br w:val="nil"/>
              <w:tr2bl w:val="nil"/>
            </w:tcBorders>
            <w:noWrap w:val="0"/>
            <w:vAlign w:val="center"/>
          </w:tcPr>
          <w:p w14:paraId="0640D204">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0.33</w:t>
            </w:r>
          </w:p>
        </w:tc>
        <w:tc>
          <w:tcPr>
            <w:tcW w:w="1239" w:type="pct"/>
            <w:tcBorders>
              <w:tl2br w:val="nil"/>
              <w:tr2bl w:val="nil"/>
            </w:tcBorders>
            <w:noWrap w:val="0"/>
            <w:vAlign w:val="center"/>
          </w:tcPr>
          <w:p w14:paraId="2C0CCDB2">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0.06</w:t>
            </w:r>
          </w:p>
        </w:tc>
        <w:tc>
          <w:tcPr>
            <w:tcW w:w="1239" w:type="pct"/>
            <w:vMerge w:val="continue"/>
            <w:tcBorders>
              <w:tl2br w:val="nil"/>
              <w:tr2bl w:val="nil"/>
            </w:tcBorders>
            <w:noWrap w:val="0"/>
            <w:vAlign w:val="center"/>
          </w:tcPr>
          <w:p w14:paraId="1872B5B4">
            <w:pPr>
              <w:pageBreakBefore w:val="0"/>
              <w:wordWrap/>
              <w:bidi w:val="0"/>
              <w:adjustRightInd/>
              <w:snapToGrid/>
              <w:spacing w:line="240" w:lineRule="auto"/>
              <w:ind w:firstLine="0" w:firstLineChars="0"/>
              <w:jc w:val="center"/>
              <w:rPr>
                <w:color w:val="auto"/>
                <w:sz w:val="21"/>
                <w:szCs w:val="21"/>
              </w:rPr>
            </w:pPr>
          </w:p>
        </w:tc>
      </w:tr>
      <w:tr w14:paraId="163415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pct"/>
            <w:tcBorders>
              <w:tl2br w:val="nil"/>
              <w:tr2bl w:val="nil"/>
            </w:tcBorders>
            <w:noWrap w:val="0"/>
            <w:vAlign w:val="center"/>
          </w:tcPr>
          <w:p w14:paraId="269731B0">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臭气浓度</w:t>
            </w:r>
          </w:p>
        </w:tc>
        <w:tc>
          <w:tcPr>
            <w:tcW w:w="808" w:type="pct"/>
            <w:tcBorders>
              <w:tl2br w:val="nil"/>
              <w:tr2bl w:val="nil"/>
            </w:tcBorders>
            <w:noWrap w:val="0"/>
            <w:vAlign w:val="center"/>
          </w:tcPr>
          <w:p w14:paraId="1243767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15</w:t>
            </w:r>
          </w:p>
        </w:tc>
        <w:tc>
          <w:tcPr>
            <w:tcW w:w="1007" w:type="pct"/>
            <w:tcBorders>
              <w:tl2br w:val="nil"/>
              <w:tr2bl w:val="nil"/>
            </w:tcBorders>
            <w:noWrap w:val="0"/>
            <w:vAlign w:val="center"/>
          </w:tcPr>
          <w:p w14:paraId="52904EBD">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2000（无量纲）</w:t>
            </w:r>
          </w:p>
        </w:tc>
        <w:tc>
          <w:tcPr>
            <w:tcW w:w="1239" w:type="pct"/>
            <w:tcBorders>
              <w:tl2br w:val="nil"/>
              <w:tr2bl w:val="nil"/>
            </w:tcBorders>
            <w:noWrap w:val="0"/>
            <w:vAlign w:val="center"/>
          </w:tcPr>
          <w:p w14:paraId="41924DA1">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20（无量纲）</w:t>
            </w:r>
          </w:p>
        </w:tc>
        <w:tc>
          <w:tcPr>
            <w:tcW w:w="1239" w:type="pct"/>
            <w:vMerge w:val="continue"/>
            <w:tcBorders>
              <w:tl2br w:val="nil"/>
              <w:tr2bl w:val="nil"/>
            </w:tcBorders>
            <w:noWrap w:val="0"/>
            <w:vAlign w:val="center"/>
          </w:tcPr>
          <w:p w14:paraId="0B328CF4">
            <w:pPr>
              <w:pageBreakBefore w:val="0"/>
              <w:wordWrap/>
              <w:bidi w:val="0"/>
              <w:adjustRightInd/>
              <w:snapToGrid/>
              <w:spacing w:line="240" w:lineRule="auto"/>
              <w:ind w:firstLine="0" w:firstLineChars="0"/>
              <w:jc w:val="center"/>
              <w:rPr>
                <w:color w:val="auto"/>
                <w:sz w:val="21"/>
                <w:szCs w:val="21"/>
              </w:rPr>
            </w:pPr>
          </w:p>
        </w:tc>
      </w:tr>
    </w:tbl>
    <w:p w14:paraId="31C75AD2">
      <w:pPr>
        <w:pStyle w:val="19"/>
        <w:keepNext w:val="0"/>
        <w:keepLines w:val="0"/>
        <w:pageBreakBefore w:val="0"/>
        <w:widowControl w:val="0"/>
        <w:numPr>
          <w:ilvl w:val="0"/>
          <w:numId w:val="7"/>
        </w:numPr>
        <w:kinsoku/>
        <w:wordWrap/>
        <w:overflowPunct/>
        <w:topLinePunct w:val="0"/>
        <w:autoSpaceDE/>
        <w:autoSpaceDN/>
        <w:bidi w:val="0"/>
        <w:adjustRightInd/>
        <w:snapToGrid/>
        <w:spacing w:before="0" w:beforeLines="50"/>
        <w:ind w:left="0" w:leftChars="0" w:firstLine="0" w:firstLineChars="0"/>
        <w:textAlignment w:val="auto"/>
        <w:rPr>
          <w:color w:val="auto"/>
        </w:rPr>
      </w:pPr>
      <w:r>
        <w:rPr>
          <w:color w:val="auto"/>
        </w:rPr>
        <w:t>饮食业单位的油烟最高允许排放浓度和油烟净化设施最低去除效率</w:t>
      </w:r>
    </w:p>
    <w:tbl>
      <w:tblPr>
        <w:tblStyle w:val="52"/>
        <w:tblW w:w="4999"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3966"/>
        <w:gridCol w:w="1693"/>
        <w:gridCol w:w="1693"/>
        <w:gridCol w:w="1592"/>
      </w:tblGrid>
      <w:tr w14:paraId="0C7EC4D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217" w:type="pct"/>
            <w:tcBorders>
              <w:tl2br w:val="nil"/>
              <w:tr2bl w:val="nil"/>
            </w:tcBorders>
            <w:noWrap w:val="0"/>
            <w:vAlign w:val="center"/>
          </w:tcPr>
          <w:p w14:paraId="0369056E">
            <w:pPr>
              <w:pStyle w:val="48"/>
              <w:pageBreakBefore w:val="0"/>
              <w:wordWrap/>
              <w:bidi w:val="0"/>
              <w:adjustRightInd/>
              <w:snapToGrid/>
              <w:spacing w:line="240" w:lineRule="auto"/>
              <w:ind w:firstLine="0" w:firstLineChars="0"/>
              <w:jc w:val="center"/>
              <w:rPr>
                <w:b/>
                <w:bCs/>
                <w:color w:val="auto"/>
                <w:sz w:val="21"/>
              </w:rPr>
            </w:pPr>
            <w:r>
              <w:rPr>
                <w:b/>
                <w:bCs/>
                <w:color w:val="auto"/>
                <w:sz w:val="21"/>
              </w:rPr>
              <w:t>规 模</w:t>
            </w:r>
          </w:p>
        </w:tc>
        <w:tc>
          <w:tcPr>
            <w:tcW w:w="946" w:type="pct"/>
            <w:tcBorders>
              <w:tl2br w:val="nil"/>
              <w:tr2bl w:val="nil"/>
            </w:tcBorders>
            <w:noWrap w:val="0"/>
            <w:vAlign w:val="center"/>
          </w:tcPr>
          <w:p w14:paraId="2BD3B84B">
            <w:pPr>
              <w:pStyle w:val="48"/>
              <w:pageBreakBefore w:val="0"/>
              <w:wordWrap/>
              <w:bidi w:val="0"/>
              <w:adjustRightInd/>
              <w:snapToGrid/>
              <w:spacing w:line="240" w:lineRule="auto"/>
              <w:ind w:firstLine="0" w:firstLineChars="0"/>
              <w:jc w:val="center"/>
              <w:rPr>
                <w:b/>
                <w:bCs/>
                <w:color w:val="auto"/>
                <w:sz w:val="21"/>
              </w:rPr>
            </w:pPr>
            <w:r>
              <w:rPr>
                <w:b/>
                <w:bCs/>
                <w:color w:val="auto"/>
                <w:sz w:val="21"/>
              </w:rPr>
              <w:t>小 型</w:t>
            </w:r>
          </w:p>
        </w:tc>
        <w:tc>
          <w:tcPr>
            <w:tcW w:w="946" w:type="pct"/>
            <w:tcBorders>
              <w:tl2br w:val="nil"/>
              <w:tr2bl w:val="nil"/>
            </w:tcBorders>
            <w:noWrap w:val="0"/>
            <w:vAlign w:val="center"/>
          </w:tcPr>
          <w:p w14:paraId="09B3F06E">
            <w:pPr>
              <w:pStyle w:val="48"/>
              <w:pageBreakBefore w:val="0"/>
              <w:wordWrap/>
              <w:bidi w:val="0"/>
              <w:adjustRightInd/>
              <w:snapToGrid/>
              <w:spacing w:line="240" w:lineRule="auto"/>
              <w:ind w:firstLine="0" w:firstLineChars="0"/>
              <w:jc w:val="center"/>
              <w:rPr>
                <w:b/>
                <w:bCs/>
                <w:color w:val="auto"/>
                <w:sz w:val="21"/>
              </w:rPr>
            </w:pPr>
            <w:r>
              <w:rPr>
                <w:b/>
                <w:bCs/>
                <w:color w:val="auto"/>
                <w:sz w:val="21"/>
              </w:rPr>
              <w:t>中 型</w:t>
            </w:r>
          </w:p>
        </w:tc>
        <w:tc>
          <w:tcPr>
            <w:tcW w:w="889" w:type="pct"/>
            <w:tcBorders>
              <w:tl2br w:val="nil"/>
              <w:tr2bl w:val="nil"/>
            </w:tcBorders>
            <w:noWrap w:val="0"/>
            <w:vAlign w:val="center"/>
          </w:tcPr>
          <w:p w14:paraId="356E66D3">
            <w:pPr>
              <w:pStyle w:val="48"/>
              <w:pageBreakBefore w:val="0"/>
              <w:wordWrap/>
              <w:bidi w:val="0"/>
              <w:adjustRightInd/>
              <w:snapToGrid/>
              <w:spacing w:line="240" w:lineRule="auto"/>
              <w:ind w:firstLine="0" w:firstLineChars="0"/>
              <w:jc w:val="center"/>
              <w:rPr>
                <w:b/>
                <w:bCs/>
                <w:color w:val="auto"/>
                <w:sz w:val="21"/>
              </w:rPr>
            </w:pPr>
            <w:r>
              <w:rPr>
                <w:b/>
                <w:bCs/>
                <w:color w:val="auto"/>
                <w:sz w:val="21"/>
              </w:rPr>
              <w:t>大 型</w:t>
            </w:r>
          </w:p>
        </w:tc>
      </w:tr>
      <w:tr w14:paraId="73D61FB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217" w:type="pct"/>
            <w:tcBorders>
              <w:tl2br w:val="nil"/>
              <w:tr2bl w:val="nil"/>
            </w:tcBorders>
            <w:noWrap w:val="0"/>
            <w:vAlign w:val="center"/>
          </w:tcPr>
          <w:p w14:paraId="20431317">
            <w:pPr>
              <w:pStyle w:val="48"/>
              <w:pageBreakBefore w:val="0"/>
              <w:wordWrap/>
              <w:bidi w:val="0"/>
              <w:adjustRightInd/>
              <w:snapToGrid/>
              <w:spacing w:line="240" w:lineRule="auto"/>
              <w:ind w:firstLine="0" w:firstLineChars="0"/>
              <w:jc w:val="center"/>
              <w:rPr>
                <w:color w:val="auto"/>
                <w:sz w:val="21"/>
              </w:rPr>
            </w:pPr>
            <w:r>
              <w:rPr>
                <w:color w:val="auto"/>
                <w:sz w:val="21"/>
              </w:rPr>
              <w:t>最高允许排放浓度（mg/</w:t>
            </w:r>
            <w:r>
              <w:rPr>
                <w:rFonts w:hint="eastAsia"/>
                <w:color w:val="auto"/>
                <w:sz w:val="21"/>
                <w:lang w:eastAsia="zh-CN"/>
              </w:rPr>
              <w:t>m³</w:t>
            </w:r>
            <w:r>
              <w:rPr>
                <w:color w:val="auto"/>
                <w:sz w:val="21"/>
              </w:rPr>
              <w:t>）</w:t>
            </w:r>
          </w:p>
        </w:tc>
        <w:tc>
          <w:tcPr>
            <w:tcW w:w="2782" w:type="pct"/>
            <w:gridSpan w:val="3"/>
            <w:tcBorders>
              <w:tl2br w:val="nil"/>
              <w:tr2bl w:val="nil"/>
            </w:tcBorders>
            <w:noWrap w:val="0"/>
            <w:vAlign w:val="center"/>
          </w:tcPr>
          <w:p w14:paraId="5CB56152">
            <w:pPr>
              <w:pStyle w:val="48"/>
              <w:pageBreakBefore w:val="0"/>
              <w:wordWrap/>
              <w:bidi w:val="0"/>
              <w:adjustRightInd/>
              <w:snapToGrid/>
              <w:spacing w:line="240" w:lineRule="auto"/>
              <w:ind w:firstLine="0" w:firstLineChars="0"/>
              <w:jc w:val="center"/>
              <w:rPr>
                <w:color w:val="auto"/>
                <w:sz w:val="21"/>
              </w:rPr>
            </w:pPr>
            <w:r>
              <w:rPr>
                <w:b/>
                <w:bCs/>
                <w:color w:val="auto"/>
                <w:sz w:val="21"/>
                <w:shd w:val="clear" w:color="auto" w:fill="auto"/>
              </w:rPr>
              <w:t>2.0</w:t>
            </w:r>
          </w:p>
        </w:tc>
      </w:tr>
      <w:tr w14:paraId="398F73C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217" w:type="pct"/>
            <w:tcBorders>
              <w:tl2br w:val="nil"/>
              <w:tr2bl w:val="nil"/>
            </w:tcBorders>
            <w:noWrap w:val="0"/>
            <w:vAlign w:val="center"/>
          </w:tcPr>
          <w:p w14:paraId="537408C7">
            <w:pPr>
              <w:pStyle w:val="48"/>
              <w:pageBreakBefore w:val="0"/>
              <w:wordWrap/>
              <w:bidi w:val="0"/>
              <w:adjustRightInd/>
              <w:snapToGrid/>
              <w:spacing w:line="240" w:lineRule="auto"/>
              <w:ind w:firstLine="0" w:firstLineChars="0"/>
              <w:jc w:val="center"/>
              <w:rPr>
                <w:color w:val="auto"/>
                <w:sz w:val="21"/>
              </w:rPr>
            </w:pPr>
            <w:r>
              <w:rPr>
                <w:color w:val="auto"/>
                <w:sz w:val="21"/>
              </w:rPr>
              <w:t>净化设施最低去除效率（%）</w:t>
            </w:r>
          </w:p>
        </w:tc>
        <w:tc>
          <w:tcPr>
            <w:tcW w:w="946" w:type="pct"/>
            <w:tcBorders>
              <w:tl2br w:val="nil"/>
              <w:tr2bl w:val="nil"/>
            </w:tcBorders>
            <w:noWrap w:val="0"/>
            <w:vAlign w:val="center"/>
          </w:tcPr>
          <w:p w14:paraId="7E5CE391">
            <w:pPr>
              <w:pStyle w:val="48"/>
              <w:pageBreakBefore w:val="0"/>
              <w:wordWrap/>
              <w:bidi w:val="0"/>
              <w:adjustRightInd/>
              <w:snapToGrid/>
              <w:spacing w:line="240" w:lineRule="auto"/>
              <w:ind w:firstLine="0" w:firstLineChars="0"/>
              <w:jc w:val="center"/>
              <w:rPr>
                <w:color w:val="auto"/>
                <w:sz w:val="21"/>
              </w:rPr>
            </w:pPr>
            <w:r>
              <w:rPr>
                <w:b/>
                <w:bCs/>
                <w:color w:val="auto"/>
                <w:sz w:val="21"/>
                <w:shd w:val="clear" w:color="auto" w:fill="auto"/>
              </w:rPr>
              <w:t>60</w:t>
            </w:r>
          </w:p>
        </w:tc>
        <w:tc>
          <w:tcPr>
            <w:tcW w:w="946" w:type="pct"/>
            <w:tcBorders>
              <w:tl2br w:val="nil"/>
              <w:tr2bl w:val="nil"/>
            </w:tcBorders>
            <w:noWrap w:val="0"/>
            <w:vAlign w:val="center"/>
          </w:tcPr>
          <w:p w14:paraId="29F901A8">
            <w:pPr>
              <w:pStyle w:val="48"/>
              <w:pageBreakBefore w:val="0"/>
              <w:wordWrap/>
              <w:bidi w:val="0"/>
              <w:adjustRightInd/>
              <w:snapToGrid/>
              <w:spacing w:line="240" w:lineRule="auto"/>
              <w:ind w:firstLine="0" w:firstLineChars="0"/>
              <w:jc w:val="center"/>
              <w:rPr>
                <w:color w:val="auto"/>
                <w:sz w:val="21"/>
              </w:rPr>
            </w:pPr>
            <w:r>
              <w:rPr>
                <w:color w:val="auto"/>
                <w:sz w:val="21"/>
              </w:rPr>
              <w:t>75</w:t>
            </w:r>
          </w:p>
        </w:tc>
        <w:tc>
          <w:tcPr>
            <w:tcW w:w="889" w:type="pct"/>
            <w:tcBorders>
              <w:tl2br w:val="nil"/>
              <w:tr2bl w:val="nil"/>
            </w:tcBorders>
            <w:noWrap w:val="0"/>
            <w:vAlign w:val="center"/>
          </w:tcPr>
          <w:p w14:paraId="5C915899">
            <w:pPr>
              <w:pStyle w:val="48"/>
              <w:pageBreakBefore w:val="0"/>
              <w:wordWrap/>
              <w:bidi w:val="0"/>
              <w:adjustRightInd/>
              <w:snapToGrid/>
              <w:spacing w:line="240" w:lineRule="auto"/>
              <w:ind w:firstLine="0" w:firstLineChars="0"/>
              <w:jc w:val="center"/>
              <w:rPr>
                <w:color w:val="auto"/>
                <w:sz w:val="21"/>
              </w:rPr>
            </w:pPr>
            <w:r>
              <w:rPr>
                <w:color w:val="auto"/>
                <w:sz w:val="21"/>
              </w:rPr>
              <w:t>85</w:t>
            </w:r>
          </w:p>
        </w:tc>
      </w:tr>
    </w:tbl>
    <w:p w14:paraId="268B3485">
      <w:pPr>
        <w:pageBreakBefore w:val="0"/>
        <w:numPr>
          <w:ilvl w:val="0"/>
          <w:numId w:val="8"/>
        </w:numPr>
        <w:wordWrap/>
        <w:bidi w:val="0"/>
        <w:adjustRightInd/>
        <w:snapToGrid/>
        <w:spacing w:before="120" w:beforeLines="50"/>
        <w:ind w:firstLine="480"/>
        <w:rPr>
          <w:b/>
          <w:bCs/>
          <w:color w:val="auto"/>
        </w:rPr>
      </w:pPr>
      <w:r>
        <w:rPr>
          <w:b/>
          <w:bCs/>
          <w:color w:val="auto"/>
        </w:rPr>
        <w:t>固体废物</w:t>
      </w:r>
    </w:p>
    <w:p w14:paraId="5F5AC6B6">
      <w:pPr>
        <w:bidi w:val="0"/>
        <w:rPr>
          <w:color w:val="auto"/>
        </w:rPr>
      </w:pPr>
      <w:r>
        <w:rPr>
          <w:color w:val="auto"/>
        </w:rPr>
        <w:t>固体废弃物</w:t>
      </w:r>
      <w:r>
        <w:rPr>
          <w:rFonts w:hint="eastAsia"/>
          <w:color w:val="auto"/>
          <w:lang w:val="en-US" w:eastAsia="zh-CN"/>
        </w:rPr>
        <w:t>污泥</w:t>
      </w:r>
      <w:r>
        <w:rPr>
          <w:color w:val="auto"/>
        </w:rPr>
        <w:t>排放标准执行《城镇污水处理厂污染物排放标准》（</w:t>
      </w:r>
      <w:r>
        <w:rPr>
          <w:rFonts w:hint="eastAsia"/>
          <w:color w:val="auto"/>
          <w:lang w:eastAsia="zh-CN"/>
        </w:rPr>
        <w:t>GB18918-2002</w:t>
      </w:r>
      <w:r>
        <w:rPr>
          <w:color w:val="auto"/>
        </w:rPr>
        <w:t>）中的污泥控制标准</w:t>
      </w:r>
      <w:r>
        <w:rPr>
          <w:rFonts w:hint="eastAsia"/>
          <w:color w:val="auto"/>
          <w:lang w:eastAsia="zh-CN"/>
        </w:rPr>
        <w:t>；</w:t>
      </w:r>
      <w:r>
        <w:rPr>
          <w:color w:val="auto"/>
        </w:rPr>
        <w:t>一般固体废物执行《</w:t>
      </w:r>
      <w:r>
        <w:rPr>
          <w:rFonts w:hint="eastAsia"/>
          <w:color w:val="auto"/>
          <w:lang w:eastAsia="zh-CN"/>
        </w:rPr>
        <w:t>一般工业固体废物贮存和填埋污染控制标准</w:t>
      </w:r>
      <w:r>
        <w:rPr>
          <w:color w:val="auto"/>
        </w:rPr>
        <w:t>》（GB18599-20</w:t>
      </w:r>
      <w:r>
        <w:rPr>
          <w:rFonts w:hint="eastAsia"/>
          <w:color w:val="auto"/>
        </w:rPr>
        <w:t>20</w:t>
      </w:r>
      <w:r>
        <w:rPr>
          <w:color w:val="auto"/>
        </w:rPr>
        <w:t>）；危险废物执行</w:t>
      </w:r>
      <w:r>
        <w:rPr>
          <w:rFonts w:hint="eastAsia"/>
          <w:color w:val="auto"/>
          <w:lang w:eastAsia="zh-CN"/>
        </w:rPr>
        <w:t>《危险废物贮存污染控制标准》（GB18597-2023）</w:t>
      </w:r>
      <w:r>
        <w:rPr>
          <w:color w:val="auto"/>
        </w:rPr>
        <w:t>。</w:t>
      </w:r>
    </w:p>
    <w:p w14:paraId="14C70F02">
      <w:pPr>
        <w:pStyle w:val="4"/>
        <w:pageBreakBefore w:val="0"/>
        <w:wordWrap/>
        <w:bidi w:val="0"/>
        <w:adjustRightInd/>
        <w:snapToGrid/>
        <w:rPr>
          <w:rFonts w:ascii="Times New Roman" w:hAnsi="Times New Roman" w:eastAsia="宋体"/>
          <w:color w:val="auto"/>
        </w:rPr>
      </w:pPr>
      <w:r>
        <w:rPr>
          <w:rFonts w:hint="eastAsia" w:ascii="Times New Roman" w:hAnsi="Times New Roman" w:eastAsia="宋体"/>
          <w:color w:val="auto"/>
        </w:rPr>
        <w:t xml:space="preserve"> </w:t>
      </w:r>
      <w:bookmarkStart w:id="52" w:name="_Toc16568"/>
      <w:r>
        <w:rPr>
          <w:rFonts w:ascii="Times New Roman" w:hAnsi="Times New Roman" w:eastAsia="宋体"/>
          <w:color w:val="auto"/>
        </w:rPr>
        <w:t>评价工作等级</w:t>
      </w:r>
      <w:bookmarkEnd w:id="49"/>
      <w:r>
        <w:rPr>
          <w:rFonts w:hint="eastAsia"/>
          <w:color w:val="auto"/>
          <w:lang w:val="en-US" w:eastAsia="zh-CN"/>
        </w:rPr>
        <w:t>和评价重点</w:t>
      </w:r>
      <w:bookmarkEnd w:id="52"/>
    </w:p>
    <w:p w14:paraId="7982F697">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大气环境影响评价等级</w:t>
      </w:r>
    </w:p>
    <w:p w14:paraId="1C2E681C">
      <w:pPr>
        <w:pageBreakBefore w:val="0"/>
        <w:wordWrap/>
        <w:bidi w:val="0"/>
        <w:adjustRightInd/>
        <w:snapToGrid/>
        <w:ind w:firstLine="480"/>
        <w:rPr>
          <w:color w:val="auto"/>
        </w:rPr>
      </w:pPr>
      <w:r>
        <w:rPr>
          <w:color w:val="auto"/>
        </w:rPr>
        <w:t>（1）污染源参数</w:t>
      </w:r>
    </w:p>
    <w:p w14:paraId="70F8634A">
      <w:pPr>
        <w:pageBreakBefore w:val="0"/>
        <w:wordWrap/>
        <w:bidi w:val="0"/>
        <w:adjustRightInd/>
        <w:snapToGrid/>
        <w:ind w:firstLine="480"/>
        <w:rPr>
          <w:color w:val="auto"/>
        </w:rPr>
      </w:pPr>
      <w:r>
        <w:rPr>
          <w:rFonts w:hint="eastAsia"/>
          <w:color w:val="auto"/>
          <w:lang w:val="en-US" w:eastAsia="zh-CN"/>
        </w:rPr>
        <w:t>本项目监测站全部为一体化自动监测设备，无废气产生；</w:t>
      </w:r>
      <w:r>
        <w:rPr>
          <w:color w:val="auto"/>
        </w:rPr>
        <w:t>项目废气主要</w:t>
      </w:r>
      <w:r>
        <w:rPr>
          <w:rFonts w:hint="eastAsia"/>
          <w:color w:val="auto"/>
          <w:lang w:val="en-US" w:eastAsia="zh-CN"/>
        </w:rPr>
        <w:t>为污水处理产生的</w:t>
      </w:r>
      <w:r>
        <w:rPr>
          <w:color w:val="auto"/>
        </w:rPr>
        <w:t>NH</w:t>
      </w:r>
      <w:r>
        <w:rPr>
          <w:color w:val="auto"/>
          <w:vertAlign w:val="subscript"/>
        </w:rPr>
        <w:t>3</w:t>
      </w:r>
      <w:r>
        <w:rPr>
          <w:color w:val="auto"/>
        </w:rPr>
        <w:t>和H</w:t>
      </w:r>
      <w:r>
        <w:rPr>
          <w:color w:val="auto"/>
          <w:vertAlign w:val="subscript"/>
        </w:rPr>
        <w:t>2</w:t>
      </w:r>
      <w:r>
        <w:rPr>
          <w:color w:val="auto"/>
        </w:rPr>
        <w:t>S。本评价结合环境质量标准要求，选取NH</w:t>
      </w:r>
      <w:r>
        <w:rPr>
          <w:color w:val="auto"/>
          <w:vertAlign w:val="subscript"/>
        </w:rPr>
        <w:t>3</w:t>
      </w:r>
      <w:r>
        <w:rPr>
          <w:color w:val="auto"/>
        </w:rPr>
        <w:t>和H</w:t>
      </w:r>
      <w:r>
        <w:rPr>
          <w:color w:val="auto"/>
          <w:vertAlign w:val="subscript"/>
        </w:rPr>
        <w:t>2</w:t>
      </w:r>
      <w:r>
        <w:rPr>
          <w:color w:val="auto"/>
        </w:rPr>
        <w:t>S作为评价因子。</w:t>
      </w:r>
    </w:p>
    <w:p w14:paraId="5B971E33">
      <w:pPr>
        <w:pageBreakBefore w:val="0"/>
        <w:wordWrap/>
        <w:bidi w:val="0"/>
        <w:adjustRightInd/>
        <w:snapToGrid/>
        <w:ind w:firstLine="480"/>
        <w:rPr>
          <w:b/>
          <w:color w:val="auto"/>
          <w:szCs w:val="21"/>
        </w:rPr>
      </w:pPr>
      <w:r>
        <w:rPr>
          <w:color w:val="auto"/>
        </w:rPr>
        <w:t>项目废气污染物排放情况及估算参数选择情况见</w:t>
      </w:r>
      <w:r>
        <w:rPr>
          <w:rFonts w:hint="eastAsia"/>
          <w:color w:val="auto"/>
          <w:lang w:val="en-US" w:eastAsia="zh-CN"/>
        </w:rPr>
        <w:t>下表</w:t>
      </w:r>
      <w:r>
        <w:rPr>
          <w:color w:val="auto"/>
        </w:rPr>
        <w:t>：</w:t>
      </w:r>
    </w:p>
    <w:p w14:paraId="41718D20">
      <w:pPr>
        <w:pageBreakBefore w:val="0"/>
        <w:wordWrap/>
        <w:bidi w:val="0"/>
        <w:adjustRightInd/>
        <w:snapToGrid/>
        <w:spacing w:after="120" w:afterLines="50"/>
        <w:ind w:firstLine="482"/>
        <w:jc w:val="center"/>
        <w:rPr>
          <w:b/>
          <w:color w:val="auto"/>
          <w:szCs w:val="21"/>
        </w:rPr>
        <w:sectPr>
          <w:pgSz w:w="11906" w:h="16838"/>
          <w:pgMar w:top="1440" w:right="1588" w:bottom="1440" w:left="1588" w:header="850" w:footer="680" w:gutter="0"/>
          <w:pgBorders>
            <w:top w:val="none" w:sz="0" w:space="0"/>
            <w:left w:val="none" w:sz="0" w:space="0"/>
            <w:bottom w:val="none" w:sz="0" w:space="0"/>
            <w:right w:val="none" w:sz="0" w:space="0"/>
          </w:pgBorders>
          <w:pgNumType w:fmt="decimal"/>
          <w:cols w:space="720" w:num="1"/>
        </w:sectPr>
      </w:pPr>
    </w:p>
    <w:p w14:paraId="493C1F9F">
      <w:pPr>
        <w:pStyle w:val="19"/>
        <w:numPr>
          <w:ilvl w:val="0"/>
          <w:numId w:val="9"/>
        </w:numPr>
        <w:tabs>
          <w:tab w:val="clear" w:pos="0"/>
        </w:tabs>
        <w:bidi w:val="0"/>
        <w:ind w:left="0" w:leftChars="0" w:firstLine="0" w:firstLineChars="0"/>
        <w:rPr>
          <w:color w:val="auto"/>
        </w:rPr>
      </w:pPr>
      <w:r>
        <w:rPr>
          <w:rFonts w:hint="eastAsia"/>
          <w:color w:val="auto"/>
          <w:lang w:val="en-US" w:eastAsia="zh-CN"/>
        </w:rPr>
        <w:t xml:space="preserve"> </w:t>
      </w:r>
      <w:r>
        <w:rPr>
          <w:color w:val="auto"/>
        </w:rPr>
        <w:t>项目有组织废气污染物排放情况参数一览表</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745"/>
        <w:gridCol w:w="677"/>
        <w:gridCol w:w="810"/>
        <w:gridCol w:w="684"/>
        <w:gridCol w:w="863"/>
        <w:gridCol w:w="934"/>
        <w:gridCol w:w="875"/>
        <w:gridCol w:w="1110"/>
        <w:gridCol w:w="832"/>
        <w:gridCol w:w="516"/>
        <w:gridCol w:w="572"/>
        <w:gridCol w:w="782"/>
        <w:gridCol w:w="934"/>
        <w:gridCol w:w="981"/>
        <w:gridCol w:w="1107"/>
        <w:gridCol w:w="715"/>
        <w:gridCol w:w="869"/>
      </w:tblGrid>
      <w:tr w14:paraId="659F45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6" w:type="pct"/>
            <w:vMerge w:val="restart"/>
            <w:tcBorders>
              <w:tl2br w:val="nil"/>
              <w:tr2bl w:val="nil"/>
            </w:tcBorders>
            <w:noWrap w:val="0"/>
            <w:vAlign w:val="center"/>
          </w:tcPr>
          <w:p w14:paraId="47D18FAF">
            <w:pPr>
              <w:pStyle w:val="16"/>
              <w:bidi w:val="0"/>
              <w:rPr>
                <w:b/>
                <w:bCs/>
                <w:color w:val="auto"/>
              </w:rPr>
            </w:pPr>
            <w:r>
              <w:rPr>
                <w:b/>
                <w:bCs/>
                <w:color w:val="auto"/>
              </w:rPr>
              <w:t>生产线</w:t>
            </w:r>
          </w:p>
        </w:tc>
        <w:tc>
          <w:tcPr>
            <w:tcW w:w="242" w:type="pct"/>
            <w:vMerge w:val="restart"/>
            <w:tcBorders>
              <w:tl2br w:val="nil"/>
              <w:tr2bl w:val="nil"/>
            </w:tcBorders>
            <w:noWrap w:val="0"/>
            <w:vAlign w:val="center"/>
          </w:tcPr>
          <w:p w14:paraId="4673578A">
            <w:pPr>
              <w:pStyle w:val="16"/>
              <w:bidi w:val="0"/>
              <w:rPr>
                <w:b/>
                <w:bCs/>
                <w:color w:val="auto"/>
              </w:rPr>
            </w:pPr>
            <w:r>
              <w:rPr>
                <w:b/>
                <w:bCs/>
                <w:color w:val="auto"/>
              </w:rPr>
              <w:t>工序</w:t>
            </w:r>
          </w:p>
        </w:tc>
        <w:tc>
          <w:tcPr>
            <w:tcW w:w="289" w:type="pct"/>
            <w:vMerge w:val="restart"/>
            <w:tcBorders>
              <w:tl2br w:val="nil"/>
              <w:tr2bl w:val="nil"/>
            </w:tcBorders>
            <w:noWrap w:val="0"/>
            <w:vAlign w:val="center"/>
          </w:tcPr>
          <w:p w14:paraId="67A4A30D">
            <w:pPr>
              <w:pStyle w:val="16"/>
              <w:bidi w:val="0"/>
              <w:rPr>
                <w:b/>
                <w:bCs/>
                <w:color w:val="auto"/>
              </w:rPr>
            </w:pPr>
            <w:r>
              <w:rPr>
                <w:b/>
                <w:bCs/>
                <w:color w:val="auto"/>
              </w:rPr>
              <w:t>污染源</w:t>
            </w:r>
          </w:p>
        </w:tc>
        <w:tc>
          <w:tcPr>
            <w:tcW w:w="244" w:type="pct"/>
            <w:vMerge w:val="restart"/>
            <w:tcBorders>
              <w:tl2br w:val="nil"/>
              <w:tr2bl w:val="nil"/>
            </w:tcBorders>
            <w:noWrap w:val="0"/>
            <w:vAlign w:val="center"/>
          </w:tcPr>
          <w:p w14:paraId="072B2D49">
            <w:pPr>
              <w:pStyle w:val="16"/>
              <w:bidi w:val="0"/>
              <w:rPr>
                <w:b/>
                <w:bCs/>
                <w:color w:val="auto"/>
              </w:rPr>
            </w:pPr>
            <w:r>
              <w:rPr>
                <w:b/>
                <w:bCs/>
                <w:color w:val="auto"/>
              </w:rPr>
              <w:t>污染物</w:t>
            </w:r>
          </w:p>
        </w:tc>
        <w:tc>
          <w:tcPr>
            <w:tcW w:w="1349" w:type="pct"/>
            <w:gridSpan w:val="4"/>
            <w:tcBorders>
              <w:tl2br w:val="nil"/>
              <w:tr2bl w:val="nil"/>
            </w:tcBorders>
            <w:noWrap w:val="0"/>
            <w:vAlign w:val="center"/>
          </w:tcPr>
          <w:p w14:paraId="2C18A87A">
            <w:pPr>
              <w:pStyle w:val="16"/>
              <w:bidi w:val="0"/>
              <w:rPr>
                <w:b/>
                <w:bCs/>
                <w:color w:val="auto"/>
              </w:rPr>
            </w:pPr>
            <w:r>
              <w:rPr>
                <w:b/>
                <w:bCs/>
                <w:color w:val="auto"/>
              </w:rPr>
              <w:t>污染物产生</w:t>
            </w:r>
          </w:p>
        </w:tc>
        <w:tc>
          <w:tcPr>
            <w:tcW w:w="685" w:type="pct"/>
            <w:gridSpan w:val="3"/>
            <w:tcBorders>
              <w:tl2br w:val="nil"/>
              <w:tr2bl w:val="nil"/>
            </w:tcBorders>
            <w:noWrap w:val="0"/>
            <w:vAlign w:val="center"/>
          </w:tcPr>
          <w:p w14:paraId="7FF9FD1A">
            <w:pPr>
              <w:pStyle w:val="16"/>
              <w:bidi w:val="0"/>
              <w:rPr>
                <w:b/>
                <w:bCs/>
                <w:color w:val="auto"/>
              </w:rPr>
            </w:pPr>
            <w:r>
              <w:rPr>
                <w:b/>
                <w:bCs/>
                <w:color w:val="auto"/>
              </w:rPr>
              <w:t>治理措施</w:t>
            </w:r>
          </w:p>
        </w:tc>
        <w:tc>
          <w:tcPr>
            <w:tcW w:w="1357" w:type="pct"/>
            <w:gridSpan w:val="4"/>
            <w:tcBorders>
              <w:tl2br w:val="nil"/>
              <w:tr2bl w:val="nil"/>
            </w:tcBorders>
            <w:noWrap w:val="0"/>
            <w:vAlign w:val="center"/>
          </w:tcPr>
          <w:p w14:paraId="3E050951">
            <w:pPr>
              <w:pStyle w:val="16"/>
              <w:bidi w:val="0"/>
              <w:rPr>
                <w:b/>
                <w:bCs/>
                <w:color w:val="auto"/>
              </w:rPr>
            </w:pPr>
            <w:r>
              <w:rPr>
                <w:b/>
                <w:bCs/>
                <w:color w:val="auto"/>
              </w:rPr>
              <w:t>污染物排放</w:t>
            </w:r>
          </w:p>
        </w:tc>
        <w:tc>
          <w:tcPr>
            <w:tcW w:w="255" w:type="pct"/>
            <w:vMerge w:val="restart"/>
            <w:tcBorders>
              <w:tl2br w:val="nil"/>
              <w:tr2bl w:val="nil"/>
            </w:tcBorders>
            <w:noWrap w:val="0"/>
            <w:vAlign w:val="center"/>
          </w:tcPr>
          <w:p w14:paraId="4D672288">
            <w:pPr>
              <w:pStyle w:val="16"/>
              <w:bidi w:val="0"/>
              <w:rPr>
                <w:b/>
                <w:bCs/>
                <w:color w:val="auto"/>
              </w:rPr>
            </w:pPr>
            <w:r>
              <w:rPr>
                <w:b/>
                <w:bCs/>
                <w:color w:val="auto"/>
              </w:rPr>
              <w:t>排放时间h/a</w:t>
            </w:r>
          </w:p>
        </w:tc>
        <w:tc>
          <w:tcPr>
            <w:tcW w:w="310" w:type="pct"/>
            <w:vMerge w:val="restart"/>
            <w:tcBorders>
              <w:tl2br w:val="nil"/>
              <w:tr2bl w:val="nil"/>
            </w:tcBorders>
            <w:noWrap w:val="0"/>
            <w:vAlign w:val="center"/>
          </w:tcPr>
          <w:p w14:paraId="4A04F64E">
            <w:pPr>
              <w:pStyle w:val="16"/>
              <w:bidi w:val="0"/>
              <w:rPr>
                <w:b/>
                <w:bCs/>
                <w:color w:val="auto"/>
              </w:rPr>
            </w:pPr>
            <w:r>
              <w:rPr>
                <w:b/>
                <w:bCs/>
                <w:color w:val="auto"/>
              </w:rPr>
              <w:t>污染物年排放量/（t/a）</w:t>
            </w:r>
          </w:p>
        </w:tc>
      </w:tr>
      <w:tr w14:paraId="03ABF6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6" w:type="pct"/>
            <w:vMerge w:val="continue"/>
            <w:tcBorders>
              <w:tl2br w:val="nil"/>
              <w:tr2bl w:val="nil"/>
            </w:tcBorders>
            <w:noWrap w:val="0"/>
            <w:vAlign w:val="center"/>
          </w:tcPr>
          <w:p w14:paraId="7F320BB5">
            <w:pPr>
              <w:pStyle w:val="16"/>
              <w:bidi w:val="0"/>
              <w:rPr>
                <w:color w:val="auto"/>
              </w:rPr>
            </w:pPr>
          </w:p>
        </w:tc>
        <w:tc>
          <w:tcPr>
            <w:tcW w:w="242" w:type="pct"/>
            <w:vMerge w:val="continue"/>
            <w:tcBorders>
              <w:tl2br w:val="nil"/>
              <w:tr2bl w:val="nil"/>
            </w:tcBorders>
            <w:noWrap w:val="0"/>
            <w:vAlign w:val="center"/>
          </w:tcPr>
          <w:p w14:paraId="2AA30625">
            <w:pPr>
              <w:pStyle w:val="16"/>
              <w:bidi w:val="0"/>
              <w:rPr>
                <w:color w:val="auto"/>
              </w:rPr>
            </w:pPr>
          </w:p>
        </w:tc>
        <w:tc>
          <w:tcPr>
            <w:tcW w:w="289" w:type="pct"/>
            <w:vMerge w:val="continue"/>
            <w:tcBorders>
              <w:tl2br w:val="nil"/>
              <w:tr2bl w:val="nil"/>
            </w:tcBorders>
            <w:noWrap w:val="0"/>
            <w:vAlign w:val="center"/>
          </w:tcPr>
          <w:p w14:paraId="494B27EC">
            <w:pPr>
              <w:pStyle w:val="16"/>
              <w:bidi w:val="0"/>
              <w:rPr>
                <w:color w:val="auto"/>
              </w:rPr>
            </w:pPr>
          </w:p>
        </w:tc>
        <w:tc>
          <w:tcPr>
            <w:tcW w:w="244" w:type="pct"/>
            <w:vMerge w:val="continue"/>
            <w:tcBorders>
              <w:tl2br w:val="nil"/>
              <w:tr2bl w:val="nil"/>
            </w:tcBorders>
            <w:noWrap w:val="0"/>
            <w:vAlign w:val="center"/>
          </w:tcPr>
          <w:p w14:paraId="385F948D">
            <w:pPr>
              <w:pStyle w:val="16"/>
              <w:bidi w:val="0"/>
              <w:rPr>
                <w:color w:val="auto"/>
              </w:rPr>
            </w:pPr>
          </w:p>
        </w:tc>
        <w:tc>
          <w:tcPr>
            <w:tcW w:w="308" w:type="pct"/>
            <w:tcBorders>
              <w:tl2br w:val="nil"/>
              <w:tr2bl w:val="nil"/>
            </w:tcBorders>
            <w:noWrap w:val="0"/>
            <w:vAlign w:val="center"/>
          </w:tcPr>
          <w:p w14:paraId="61946112">
            <w:pPr>
              <w:pStyle w:val="16"/>
              <w:bidi w:val="0"/>
              <w:rPr>
                <w:b/>
                <w:bCs/>
                <w:color w:val="auto"/>
              </w:rPr>
            </w:pPr>
            <w:r>
              <w:rPr>
                <w:b/>
                <w:bCs/>
                <w:color w:val="auto"/>
              </w:rPr>
              <w:t>核算方法</w:t>
            </w:r>
          </w:p>
        </w:tc>
        <w:tc>
          <w:tcPr>
            <w:tcW w:w="333" w:type="pct"/>
            <w:tcBorders>
              <w:tl2br w:val="nil"/>
              <w:tr2bl w:val="nil"/>
            </w:tcBorders>
            <w:noWrap w:val="0"/>
            <w:vAlign w:val="center"/>
          </w:tcPr>
          <w:p w14:paraId="7AE60D99">
            <w:pPr>
              <w:pStyle w:val="16"/>
              <w:bidi w:val="0"/>
              <w:rPr>
                <w:b/>
                <w:bCs/>
                <w:color w:val="auto"/>
              </w:rPr>
            </w:pPr>
            <w:r>
              <w:rPr>
                <w:b/>
                <w:bCs/>
                <w:color w:val="auto"/>
              </w:rPr>
              <w:t>废气产生量/（</w:t>
            </w:r>
            <w:r>
              <w:rPr>
                <w:rFonts w:hint="eastAsia"/>
                <w:b/>
                <w:bCs/>
                <w:color w:val="auto"/>
                <w:lang w:eastAsia="zh-CN"/>
              </w:rPr>
              <w:t>m³</w:t>
            </w:r>
            <w:r>
              <w:rPr>
                <w:b/>
                <w:bCs/>
                <w:color w:val="auto"/>
              </w:rPr>
              <w:t>/h）</w:t>
            </w:r>
          </w:p>
        </w:tc>
        <w:tc>
          <w:tcPr>
            <w:tcW w:w="312" w:type="pct"/>
            <w:tcBorders>
              <w:tl2br w:val="nil"/>
              <w:tr2bl w:val="nil"/>
            </w:tcBorders>
            <w:noWrap w:val="0"/>
            <w:vAlign w:val="center"/>
          </w:tcPr>
          <w:p w14:paraId="759EE83C">
            <w:pPr>
              <w:pStyle w:val="16"/>
              <w:bidi w:val="0"/>
              <w:rPr>
                <w:b/>
                <w:bCs/>
                <w:color w:val="auto"/>
              </w:rPr>
            </w:pPr>
            <w:r>
              <w:rPr>
                <w:b/>
                <w:bCs/>
                <w:color w:val="auto"/>
              </w:rPr>
              <w:t>产生速率/（kg/h）</w:t>
            </w:r>
          </w:p>
        </w:tc>
        <w:tc>
          <w:tcPr>
            <w:tcW w:w="395" w:type="pct"/>
            <w:tcBorders>
              <w:tl2br w:val="nil"/>
              <w:tr2bl w:val="nil"/>
            </w:tcBorders>
            <w:noWrap w:val="0"/>
            <w:vAlign w:val="center"/>
          </w:tcPr>
          <w:p w14:paraId="5C5715AA">
            <w:pPr>
              <w:pStyle w:val="16"/>
              <w:bidi w:val="0"/>
              <w:rPr>
                <w:b/>
                <w:bCs/>
                <w:color w:val="auto"/>
              </w:rPr>
            </w:pPr>
            <w:r>
              <w:rPr>
                <w:b/>
                <w:bCs/>
                <w:color w:val="auto"/>
              </w:rPr>
              <w:t>产生浓度/（mg/</w:t>
            </w:r>
            <w:r>
              <w:rPr>
                <w:rFonts w:hint="eastAsia"/>
                <w:b/>
                <w:bCs/>
                <w:color w:val="auto"/>
                <w:lang w:eastAsia="zh-CN"/>
              </w:rPr>
              <w:t>m³</w:t>
            </w:r>
            <w:r>
              <w:rPr>
                <w:b/>
                <w:bCs/>
                <w:color w:val="auto"/>
              </w:rPr>
              <w:t>）</w:t>
            </w:r>
          </w:p>
        </w:tc>
        <w:tc>
          <w:tcPr>
            <w:tcW w:w="297" w:type="pct"/>
            <w:tcBorders>
              <w:tl2br w:val="nil"/>
              <w:tr2bl w:val="nil"/>
            </w:tcBorders>
            <w:noWrap w:val="0"/>
            <w:vAlign w:val="center"/>
          </w:tcPr>
          <w:p w14:paraId="0DA0F7C0">
            <w:pPr>
              <w:pStyle w:val="16"/>
              <w:bidi w:val="0"/>
              <w:rPr>
                <w:b/>
                <w:bCs/>
                <w:color w:val="auto"/>
              </w:rPr>
            </w:pPr>
            <w:r>
              <w:rPr>
                <w:b/>
                <w:bCs/>
                <w:color w:val="auto"/>
              </w:rPr>
              <w:t>工艺</w:t>
            </w:r>
          </w:p>
        </w:tc>
        <w:tc>
          <w:tcPr>
            <w:tcW w:w="184" w:type="pct"/>
            <w:tcBorders>
              <w:tl2br w:val="nil"/>
              <w:tr2bl w:val="nil"/>
            </w:tcBorders>
            <w:noWrap w:val="0"/>
            <w:vAlign w:val="center"/>
          </w:tcPr>
          <w:p w14:paraId="00749FAC">
            <w:pPr>
              <w:pStyle w:val="16"/>
              <w:bidi w:val="0"/>
              <w:rPr>
                <w:b/>
                <w:bCs/>
                <w:color w:val="auto"/>
              </w:rPr>
            </w:pPr>
            <w:r>
              <w:rPr>
                <w:b/>
                <w:bCs/>
                <w:color w:val="auto"/>
              </w:rPr>
              <w:t>收集效率/%</w:t>
            </w:r>
          </w:p>
        </w:tc>
        <w:tc>
          <w:tcPr>
            <w:tcW w:w="204" w:type="pct"/>
            <w:tcBorders>
              <w:tl2br w:val="nil"/>
              <w:tr2bl w:val="nil"/>
            </w:tcBorders>
            <w:noWrap w:val="0"/>
            <w:vAlign w:val="center"/>
          </w:tcPr>
          <w:p w14:paraId="34653D41">
            <w:pPr>
              <w:pStyle w:val="16"/>
              <w:bidi w:val="0"/>
              <w:rPr>
                <w:b/>
                <w:bCs/>
                <w:color w:val="auto"/>
              </w:rPr>
            </w:pPr>
            <w:r>
              <w:rPr>
                <w:b/>
                <w:bCs/>
                <w:color w:val="auto"/>
              </w:rPr>
              <w:t>处理效率/%</w:t>
            </w:r>
          </w:p>
        </w:tc>
        <w:tc>
          <w:tcPr>
            <w:tcW w:w="279" w:type="pct"/>
            <w:tcBorders>
              <w:tl2br w:val="nil"/>
              <w:tr2bl w:val="nil"/>
            </w:tcBorders>
            <w:noWrap w:val="0"/>
            <w:vAlign w:val="center"/>
          </w:tcPr>
          <w:p w14:paraId="5BFCBB97">
            <w:pPr>
              <w:pStyle w:val="16"/>
              <w:bidi w:val="0"/>
              <w:rPr>
                <w:b/>
                <w:bCs/>
                <w:color w:val="auto"/>
              </w:rPr>
            </w:pPr>
            <w:r>
              <w:rPr>
                <w:b/>
                <w:bCs/>
                <w:color w:val="auto"/>
              </w:rPr>
              <w:t>核算方法</w:t>
            </w:r>
          </w:p>
        </w:tc>
        <w:tc>
          <w:tcPr>
            <w:tcW w:w="333" w:type="pct"/>
            <w:tcBorders>
              <w:tl2br w:val="nil"/>
              <w:tr2bl w:val="nil"/>
            </w:tcBorders>
            <w:noWrap w:val="0"/>
            <w:vAlign w:val="center"/>
          </w:tcPr>
          <w:p w14:paraId="56C8007C">
            <w:pPr>
              <w:pStyle w:val="16"/>
              <w:bidi w:val="0"/>
              <w:rPr>
                <w:b/>
                <w:bCs/>
                <w:color w:val="auto"/>
              </w:rPr>
            </w:pPr>
            <w:r>
              <w:rPr>
                <w:b/>
                <w:bCs/>
                <w:color w:val="auto"/>
              </w:rPr>
              <w:t>废气排放量/（</w:t>
            </w:r>
            <w:r>
              <w:rPr>
                <w:rFonts w:hint="eastAsia"/>
                <w:b/>
                <w:bCs/>
                <w:color w:val="auto"/>
                <w:lang w:eastAsia="zh-CN"/>
              </w:rPr>
              <w:t>m³</w:t>
            </w:r>
            <w:r>
              <w:rPr>
                <w:b/>
                <w:bCs/>
                <w:color w:val="auto"/>
              </w:rPr>
              <w:t>/h）</w:t>
            </w:r>
          </w:p>
        </w:tc>
        <w:tc>
          <w:tcPr>
            <w:tcW w:w="350" w:type="pct"/>
            <w:tcBorders>
              <w:tl2br w:val="nil"/>
              <w:tr2bl w:val="nil"/>
            </w:tcBorders>
            <w:noWrap w:val="0"/>
            <w:vAlign w:val="center"/>
          </w:tcPr>
          <w:p w14:paraId="7A736C29">
            <w:pPr>
              <w:pStyle w:val="16"/>
              <w:bidi w:val="0"/>
              <w:rPr>
                <w:b/>
                <w:bCs/>
                <w:color w:val="auto"/>
              </w:rPr>
            </w:pPr>
            <w:r>
              <w:rPr>
                <w:b/>
                <w:bCs/>
                <w:color w:val="auto"/>
              </w:rPr>
              <w:t>排放速率/（kg/h）</w:t>
            </w:r>
          </w:p>
        </w:tc>
        <w:tc>
          <w:tcPr>
            <w:tcW w:w="395" w:type="pct"/>
            <w:tcBorders>
              <w:tl2br w:val="nil"/>
              <w:tr2bl w:val="nil"/>
            </w:tcBorders>
            <w:noWrap w:val="0"/>
            <w:vAlign w:val="center"/>
          </w:tcPr>
          <w:p w14:paraId="502564D7">
            <w:pPr>
              <w:pStyle w:val="16"/>
              <w:bidi w:val="0"/>
              <w:rPr>
                <w:b/>
                <w:bCs/>
                <w:color w:val="auto"/>
              </w:rPr>
            </w:pPr>
            <w:r>
              <w:rPr>
                <w:b/>
                <w:bCs/>
                <w:color w:val="auto"/>
              </w:rPr>
              <w:t>排放浓度/（mg/</w:t>
            </w:r>
            <w:r>
              <w:rPr>
                <w:rFonts w:hint="eastAsia"/>
                <w:b/>
                <w:bCs/>
                <w:color w:val="auto"/>
                <w:lang w:eastAsia="zh-CN"/>
              </w:rPr>
              <w:t>m³</w:t>
            </w:r>
            <w:r>
              <w:rPr>
                <w:b/>
                <w:bCs/>
                <w:color w:val="auto"/>
              </w:rPr>
              <w:t>）</w:t>
            </w:r>
          </w:p>
        </w:tc>
        <w:tc>
          <w:tcPr>
            <w:tcW w:w="255" w:type="pct"/>
            <w:vMerge w:val="continue"/>
            <w:tcBorders>
              <w:tl2br w:val="nil"/>
              <w:tr2bl w:val="nil"/>
            </w:tcBorders>
            <w:noWrap w:val="0"/>
            <w:vAlign w:val="center"/>
          </w:tcPr>
          <w:p w14:paraId="2CE070DC">
            <w:pPr>
              <w:pStyle w:val="16"/>
              <w:bidi w:val="0"/>
              <w:rPr>
                <w:color w:val="auto"/>
              </w:rPr>
            </w:pPr>
          </w:p>
        </w:tc>
        <w:tc>
          <w:tcPr>
            <w:tcW w:w="310" w:type="pct"/>
            <w:vMerge w:val="continue"/>
            <w:tcBorders>
              <w:tl2br w:val="nil"/>
              <w:tr2bl w:val="nil"/>
            </w:tcBorders>
            <w:noWrap w:val="0"/>
            <w:vAlign w:val="center"/>
          </w:tcPr>
          <w:p w14:paraId="40DBAC61">
            <w:pPr>
              <w:pStyle w:val="16"/>
              <w:bidi w:val="0"/>
              <w:rPr>
                <w:color w:val="auto"/>
              </w:rPr>
            </w:pPr>
          </w:p>
        </w:tc>
      </w:tr>
      <w:tr w14:paraId="089144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6" w:type="pct"/>
            <w:vMerge w:val="restart"/>
            <w:tcBorders>
              <w:tl2br w:val="nil"/>
              <w:tr2bl w:val="nil"/>
            </w:tcBorders>
            <w:noWrap w:val="0"/>
            <w:vAlign w:val="center"/>
          </w:tcPr>
          <w:p w14:paraId="2EF07841">
            <w:pPr>
              <w:pStyle w:val="16"/>
              <w:bidi w:val="0"/>
              <w:rPr>
                <w:rFonts w:hint="default"/>
                <w:color w:val="auto"/>
                <w:lang w:val="en-US" w:eastAsia="zh-CN"/>
              </w:rPr>
            </w:pPr>
            <w:r>
              <w:rPr>
                <w:rFonts w:hint="eastAsia"/>
                <w:color w:val="auto"/>
                <w:lang w:val="en-US" w:eastAsia="zh-CN"/>
              </w:rPr>
              <w:t>预处理、生化处理、污泥处理</w:t>
            </w:r>
          </w:p>
        </w:tc>
        <w:tc>
          <w:tcPr>
            <w:tcW w:w="242" w:type="pct"/>
            <w:vMerge w:val="restart"/>
            <w:tcBorders>
              <w:tl2br w:val="nil"/>
              <w:tr2bl w:val="nil"/>
            </w:tcBorders>
            <w:noWrap w:val="0"/>
            <w:vAlign w:val="center"/>
          </w:tcPr>
          <w:p w14:paraId="18301783">
            <w:pPr>
              <w:pStyle w:val="16"/>
              <w:bidi w:val="0"/>
              <w:rPr>
                <w:color w:val="auto"/>
              </w:rPr>
            </w:pPr>
            <w:r>
              <w:rPr>
                <w:color w:val="auto"/>
              </w:rPr>
              <w:t>水质调</w:t>
            </w:r>
            <w:r>
              <w:rPr>
                <w:rFonts w:hint="eastAsia"/>
                <w:color w:val="auto"/>
              </w:rPr>
              <w:t>节</w:t>
            </w:r>
          </w:p>
        </w:tc>
        <w:tc>
          <w:tcPr>
            <w:tcW w:w="289" w:type="pct"/>
            <w:vMerge w:val="restart"/>
            <w:tcBorders>
              <w:tl2br w:val="nil"/>
              <w:tr2bl w:val="nil"/>
            </w:tcBorders>
            <w:noWrap w:val="0"/>
            <w:vAlign w:val="center"/>
          </w:tcPr>
          <w:p w14:paraId="4897A871">
            <w:pPr>
              <w:pStyle w:val="16"/>
              <w:bidi w:val="0"/>
              <w:rPr>
                <w:rFonts w:hint="default"/>
                <w:color w:val="auto"/>
                <w:lang w:val="en-US" w:eastAsia="zh-CN"/>
              </w:rPr>
            </w:pPr>
            <w:r>
              <w:rPr>
                <w:rFonts w:hint="eastAsia"/>
                <w:color w:val="auto"/>
                <w:lang w:val="en-US" w:eastAsia="zh-CN"/>
              </w:rPr>
              <w:t>格栅、调节池、生化池、水解酸化池等等</w:t>
            </w:r>
          </w:p>
        </w:tc>
        <w:tc>
          <w:tcPr>
            <w:tcW w:w="244" w:type="pct"/>
            <w:tcBorders>
              <w:tl2br w:val="nil"/>
              <w:tr2bl w:val="nil"/>
            </w:tcBorders>
            <w:noWrap w:val="0"/>
            <w:vAlign w:val="center"/>
          </w:tcPr>
          <w:p w14:paraId="46733D55">
            <w:pPr>
              <w:pStyle w:val="16"/>
              <w:bidi w:val="0"/>
              <w:rPr>
                <w:color w:val="auto"/>
              </w:rPr>
            </w:pPr>
            <w:r>
              <w:rPr>
                <w:color w:val="auto"/>
              </w:rPr>
              <w:t>NH</w:t>
            </w:r>
            <w:r>
              <w:rPr>
                <w:color w:val="auto"/>
                <w:vertAlign w:val="subscript"/>
              </w:rPr>
              <w:t>3</w:t>
            </w:r>
          </w:p>
        </w:tc>
        <w:tc>
          <w:tcPr>
            <w:tcW w:w="308" w:type="pct"/>
            <w:tcBorders>
              <w:tl2br w:val="nil"/>
              <w:tr2bl w:val="nil"/>
            </w:tcBorders>
            <w:noWrap w:val="0"/>
            <w:vAlign w:val="center"/>
          </w:tcPr>
          <w:p w14:paraId="3ECAB0C7">
            <w:pPr>
              <w:pStyle w:val="16"/>
              <w:bidi w:val="0"/>
              <w:rPr>
                <w:color w:val="auto"/>
              </w:rPr>
            </w:pPr>
            <w:r>
              <w:rPr>
                <w:color w:val="auto"/>
              </w:rPr>
              <w:t>产污系数法</w:t>
            </w:r>
          </w:p>
        </w:tc>
        <w:tc>
          <w:tcPr>
            <w:tcW w:w="333" w:type="pct"/>
            <w:vMerge w:val="restart"/>
            <w:tcBorders>
              <w:tl2br w:val="nil"/>
              <w:tr2bl w:val="nil"/>
            </w:tcBorders>
            <w:noWrap w:val="0"/>
            <w:vAlign w:val="center"/>
          </w:tcPr>
          <w:p w14:paraId="5DE3DE5D">
            <w:pPr>
              <w:pStyle w:val="16"/>
              <w:bidi w:val="0"/>
              <w:rPr>
                <w:rFonts w:hint="default" w:eastAsia="宋体"/>
                <w:color w:val="auto"/>
                <w:lang w:val="en-US" w:eastAsia="zh-CN"/>
              </w:rPr>
            </w:pPr>
            <w:r>
              <w:rPr>
                <w:rFonts w:hint="eastAsia"/>
                <w:color w:val="auto"/>
                <w:lang w:val="en-US" w:eastAsia="zh-CN"/>
              </w:rPr>
              <w:t>20000</w:t>
            </w:r>
          </w:p>
        </w:tc>
        <w:tc>
          <w:tcPr>
            <w:tcW w:w="312" w:type="pct"/>
            <w:tcBorders>
              <w:tl2br w:val="nil"/>
              <w:tr2bl w:val="nil"/>
            </w:tcBorders>
            <w:noWrap w:val="0"/>
            <w:vAlign w:val="center"/>
          </w:tcPr>
          <w:p w14:paraId="1C282016">
            <w:pPr>
              <w:pStyle w:val="16"/>
              <w:bidi w:val="0"/>
              <w:rPr>
                <w:rFonts w:hint="default" w:eastAsia="宋体"/>
                <w:color w:val="auto"/>
                <w:lang w:val="en-US" w:eastAsia="zh-CN"/>
              </w:rPr>
            </w:pPr>
            <w:r>
              <w:rPr>
                <w:rFonts w:hint="eastAsia"/>
                <w:color w:val="auto"/>
                <w:lang w:val="en-US" w:eastAsia="zh-CN"/>
              </w:rPr>
              <w:t>0.901</w:t>
            </w:r>
          </w:p>
        </w:tc>
        <w:tc>
          <w:tcPr>
            <w:tcW w:w="395" w:type="pct"/>
            <w:tcBorders>
              <w:tl2br w:val="nil"/>
              <w:tr2bl w:val="nil"/>
            </w:tcBorders>
            <w:noWrap w:val="0"/>
            <w:vAlign w:val="center"/>
          </w:tcPr>
          <w:p w14:paraId="489E2599">
            <w:pPr>
              <w:pStyle w:val="16"/>
              <w:bidi w:val="0"/>
              <w:rPr>
                <w:rFonts w:hint="default" w:eastAsia="宋体"/>
                <w:color w:val="auto"/>
                <w:lang w:val="en-US" w:eastAsia="zh-CN"/>
              </w:rPr>
            </w:pPr>
            <w:r>
              <w:rPr>
                <w:rFonts w:hint="eastAsia"/>
                <w:color w:val="auto"/>
                <w:lang w:val="en-US" w:eastAsia="zh-CN"/>
              </w:rPr>
              <w:t>45.05</w:t>
            </w:r>
          </w:p>
        </w:tc>
        <w:tc>
          <w:tcPr>
            <w:tcW w:w="297" w:type="pct"/>
            <w:vMerge w:val="restart"/>
            <w:tcBorders>
              <w:tl2br w:val="nil"/>
              <w:tr2bl w:val="nil"/>
            </w:tcBorders>
            <w:noWrap w:val="0"/>
            <w:vAlign w:val="center"/>
          </w:tcPr>
          <w:p w14:paraId="56C1378E">
            <w:pPr>
              <w:pStyle w:val="16"/>
              <w:bidi w:val="0"/>
              <w:rPr>
                <w:rFonts w:hint="default" w:eastAsia="宋体"/>
                <w:color w:val="auto"/>
                <w:lang w:val="en-US" w:eastAsia="zh-CN"/>
              </w:rPr>
            </w:pPr>
            <w:r>
              <w:rPr>
                <w:rFonts w:hint="eastAsia"/>
                <w:color w:val="auto"/>
                <w:lang w:val="en-US" w:eastAsia="zh-CN"/>
              </w:rPr>
              <w:t>生物滤池除臭</w:t>
            </w:r>
          </w:p>
        </w:tc>
        <w:tc>
          <w:tcPr>
            <w:tcW w:w="184" w:type="pct"/>
            <w:vMerge w:val="restart"/>
            <w:tcBorders>
              <w:tl2br w:val="nil"/>
              <w:tr2bl w:val="nil"/>
            </w:tcBorders>
            <w:noWrap w:val="0"/>
            <w:vAlign w:val="center"/>
          </w:tcPr>
          <w:p w14:paraId="03FFA258">
            <w:pPr>
              <w:pStyle w:val="16"/>
              <w:bidi w:val="0"/>
              <w:rPr>
                <w:rFonts w:hint="eastAsia"/>
                <w:color w:val="auto"/>
              </w:rPr>
            </w:pPr>
            <w:r>
              <w:rPr>
                <w:color w:val="auto"/>
              </w:rPr>
              <w:t>9</w:t>
            </w:r>
            <w:r>
              <w:rPr>
                <w:rFonts w:hint="eastAsia"/>
                <w:color w:val="auto"/>
              </w:rPr>
              <w:t>5</w:t>
            </w:r>
          </w:p>
        </w:tc>
        <w:tc>
          <w:tcPr>
            <w:tcW w:w="204" w:type="pct"/>
            <w:tcBorders>
              <w:tl2br w:val="nil"/>
              <w:tr2bl w:val="nil"/>
            </w:tcBorders>
            <w:noWrap w:val="0"/>
            <w:vAlign w:val="center"/>
          </w:tcPr>
          <w:p w14:paraId="022B7319">
            <w:pPr>
              <w:pStyle w:val="16"/>
              <w:bidi w:val="0"/>
              <w:rPr>
                <w:rFonts w:hint="default" w:eastAsia="宋体"/>
                <w:color w:val="auto"/>
                <w:lang w:val="en-US" w:eastAsia="zh-CN"/>
              </w:rPr>
            </w:pPr>
            <w:r>
              <w:rPr>
                <w:rFonts w:hint="eastAsia"/>
                <w:color w:val="auto"/>
                <w:lang w:val="en-US" w:eastAsia="zh-CN"/>
              </w:rPr>
              <w:t>80</w:t>
            </w:r>
          </w:p>
        </w:tc>
        <w:tc>
          <w:tcPr>
            <w:tcW w:w="279" w:type="pct"/>
            <w:tcBorders>
              <w:tl2br w:val="nil"/>
              <w:tr2bl w:val="nil"/>
            </w:tcBorders>
            <w:noWrap w:val="0"/>
            <w:vAlign w:val="center"/>
          </w:tcPr>
          <w:p w14:paraId="39C7313C">
            <w:pPr>
              <w:pStyle w:val="16"/>
              <w:bidi w:val="0"/>
              <w:rPr>
                <w:color w:val="auto"/>
              </w:rPr>
            </w:pPr>
            <w:r>
              <w:rPr>
                <w:color w:val="auto"/>
              </w:rPr>
              <w:t>产污系数法</w:t>
            </w:r>
          </w:p>
        </w:tc>
        <w:tc>
          <w:tcPr>
            <w:tcW w:w="333" w:type="pct"/>
            <w:vMerge w:val="restart"/>
            <w:tcBorders>
              <w:tl2br w:val="nil"/>
              <w:tr2bl w:val="nil"/>
            </w:tcBorders>
            <w:noWrap w:val="0"/>
            <w:vAlign w:val="center"/>
          </w:tcPr>
          <w:p w14:paraId="5ADF4BE2">
            <w:pPr>
              <w:pStyle w:val="16"/>
              <w:bidi w:val="0"/>
              <w:rPr>
                <w:rFonts w:hint="default" w:eastAsia="宋体"/>
                <w:color w:val="auto"/>
                <w:lang w:val="en-US" w:eastAsia="zh-CN"/>
              </w:rPr>
            </w:pPr>
            <w:r>
              <w:rPr>
                <w:rFonts w:hint="eastAsia"/>
                <w:color w:val="auto"/>
                <w:lang w:val="en-US" w:eastAsia="zh-CN"/>
              </w:rPr>
              <w:t>20000</w:t>
            </w:r>
          </w:p>
        </w:tc>
        <w:tc>
          <w:tcPr>
            <w:tcW w:w="350" w:type="pct"/>
            <w:tcBorders>
              <w:tl2br w:val="nil"/>
              <w:tr2bl w:val="nil"/>
            </w:tcBorders>
            <w:noWrap w:val="0"/>
            <w:vAlign w:val="center"/>
          </w:tcPr>
          <w:p w14:paraId="48EE6077">
            <w:pPr>
              <w:pStyle w:val="16"/>
              <w:bidi w:val="0"/>
              <w:rPr>
                <w:rFonts w:hint="default" w:eastAsia="宋体"/>
                <w:color w:val="auto"/>
                <w:lang w:val="en-US" w:eastAsia="zh-CN"/>
              </w:rPr>
            </w:pPr>
            <w:r>
              <w:rPr>
                <w:rFonts w:hint="eastAsia"/>
                <w:color w:val="auto"/>
                <w:lang w:val="en-US" w:eastAsia="zh-CN"/>
              </w:rPr>
              <w:t>0.1117</w:t>
            </w:r>
          </w:p>
        </w:tc>
        <w:tc>
          <w:tcPr>
            <w:tcW w:w="395" w:type="pct"/>
            <w:tcBorders>
              <w:tl2br w:val="nil"/>
              <w:tr2bl w:val="nil"/>
            </w:tcBorders>
            <w:noWrap w:val="0"/>
            <w:vAlign w:val="center"/>
          </w:tcPr>
          <w:p w14:paraId="7B826CE7">
            <w:pPr>
              <w:pStyle w:val="16"/>
              <w:bidi w:val="0"/>
              <w:rPr>
                <w:rFonts w:hint="default" w:eastAsia="宋体"/>
                <w:color w:val="auto"/>
                <w:lang w:val="en-US" w:eastAsia="zh-CN"/>
              </w:rPr>
            </w:pPr>
            <w:r>
              <w:rPr>
                <w:rFonts w:hint="eastAsia"/>
                <w:color w:val="auto"/>
                <w:lang w:val="en-US" w:eastAsia="zh-CN"/>
              </w:rPr>
              <w:t>5.586</w:t>
            </w:r>
          </w:p>
        </w:tc>
        <w:tc>
          <w:tcPr>
            <w:tcW w:w="255" w:type="pct"/>
            <w:tcBorders>
              <w:tl2br w:val="nil"/>
              <w:tr2bl w:val="nil"/>
            </w:tcBorders>
            <w:noWrap w:val="0"/>
            <w:vAlign w:val="center"/>
          </w:tcPr>
          <w:p w14:paraId="049F943F">
            <w:pPr>
              <w:pStyle w:val="16"/>
              <w:bidi w:val="0"/>
              <w:rPr>
                <w:color w:val="auto"/>
              </w:rPr>
            </w:pPr>
            <w:r>
              <w:rPr>
                <w:color w:val="auto"/>
              </w:rPr>
              <w:t>8760</w:t>
            </w:r>
          </w:p>
        </w:tc>
        <w:tc>
          <w:tcPr>
            <w:tcW w:w="310" w:type="pct"/>
            <w:tcBorders>
              <w:tl2br w:val="nil"/>
              <w:tr2bl w:val="nil"/>
            </w:tcBorders>
            <w:noWrap w:val="0"/>
            <w:vAlign w:val="center"/>
          </w:tcPr>
          <w:p w14:paraId="6BDC3441">
            <w:pPr>
              <w:pStyle w:val="16"/>
              <w:bidi w:val="0"/>
              <w:rPr>
                <w:rFonts w:hint="default" w:eastAsia="宋体"/>
                <w:color w:val="auto"/>
                <w:lang w:val="en-US" w:eastAsia="zh-CN"/>
              </w:rPr>
            </w:pPr>
            <w:r>
              <w:rPr>
                <w:rFonts w:hint="eastAsia"/>
                <w:color w:val="auto"/>
                <w:lang w:val="en-US" w:eastAsia="zh-CN"/>
              </w:rPr>
              <w:t>0.9786</w:t>
            </w:r>
          </w:p>
        </w:tc>
      </w:tr>
      <w:tr w14:paraId="161C7E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6" w:type="pct"/>
            <w:vMerge w:val="continue"/>
            <w:tcBorders>
              <w:tl2br w:val="nil"/>
              <w:tr2bl w:val="nil"/>
            </w:tcBorders>
            <w:noWrap w:val="0"/>
            <w:vAlign w:val="center"/>
          </w:tcPr>
          <w:p w14:paraId="744193E9">
            <w:pPr>
              <w:pStyle w:val="16"/>
              <w:bidi w:val="0"/>
              <w:rPr>
                <w:color w:val="auto"/>
              </w:rPr>
            </w:pPr>
          </w:p>
        </w:tc>
        <w:tc>
          <w:tcPr>
            <w:tcW w:w="242" w:type="pct"/>
            <w:vMerge w:val="continue"/>
            <w:tcBorders>
              <w:tl2br w:val="nil"/>
              <w:tr2bl w:val="nil"/>
            </w:tcBorders>
            <w:noWrap w:val="0"/>
            <w:vAlign w:val="center"/>
          </w:tcPr>
          <w:p w14:paraId="7221E47E">
            <w:pPr>
              <w:pStyle w:val="16"/>
              <w:bidi w:val="0"/>
              <w:rPr>
                <w:color w:val="auto"/>
              </w:rPr>
            </w:pPr>
          </w:p>
        </w:tc>
        <w:tc>
          <w:tcPr>
            <w:tcW w:w="289" w:type="pct"/>
            <w:vMerge w:val="continue"/>
            <w:tcBorders>
              <w:tl2br w:val="nil"/>
              <w:tr2bl w:val="nil"/>
            </w:tcBorders>
            <w:noWrap w:val="0"/>
            <w:vAlign w:val="center"/>
          </w:tcPr>
          <w:p w14:paraId="6DCF4284">
            <w:pPr>
              <w:pStyle w:val="16"/>
              <w:bidi w:val="0"/>
              <w:rPr>
                <w:color w:val="auto"/>
              </w:rPr>
            </w:pPr>
          </w:p>
        </w:tc>
        <w:tc>
          <w:tcPr>
            <w:tcW w:w="244" w:type="pct"/>
            <w:tcBorders>
              <w:tl2br w:val="nil"/>
              <w:tr2bl w:val="nil"/>
            </w:tcBorders>
            <w:noWrap w:val="0"/>
            <w:vAlign w:val="center"/>
          </w:tcPr>
          <w:p w14:paraId="00F77BC6">
            <w:pPr>
              <w:pStyle w:val="16"/>
              <w:bidi w:val="0"/>
              <w:rPr>
                <w:color w:val="auto"/>
              </w:rPr>
            </w:pPr>
            <w:r>
              <w:rPr>
                <w:color w:val="auto"/>
              </w:rPr>
              <w:t>H</w:t>
            </w:r>
            <w:r>
              <w:rPr>
                <w:color w:val="auto"/>
                <w:vertAlign w:val="subscript"/>
              </w:rPr>
              <w:t>2</w:t>
            </w:r>
            <w:r>
              <w:rPr>
                <w:color w:val="auto"/>
              </w:rPr>
              <w:t>S</w:t>
            </w:r>
          </w:p>
        </w:tc>
        <w:tc>
          <w:tcPr>
            <w:tcW w:w="308" w:type="pct"/>
            <w:tcBorders>
              <w:tl2br w:val="nil"/>
              <w:tr2bl w:val="nil"/>
            </w:tcBorders>
            <w:noWrap w:val="0"/>
            <w:vAlign w:val="center"/>
          </w:tcPr>
          <w:p w14:paraId="0BDC27F8">
            <w:pPr>
              <w:pStyle w:val="16"/>
              <w:bidi w:val="0"/>
              <w:rPr>
                <w:color w:val="auto"/>
              </w:rPr>
            </w:pPr>
            <w:r>
              <w:rPr>
                <w:color w:val="auto"/>
              </w:rPr>
              <w:t>产污系数法</w:t>
            </w:r>
          </w:p>
        </w:tc>
        <w:tc>
          <w:tcPr>
            <w:tcW w:w="333" w:type="pct"/>
            <w:vMerge w:val="continue"/>
            <w:tcBorders>
              <w:tl2br w:val="nil"/>
              <w:tr2bl w:val="nil"/>
            </w:tcBorders>
            <w:noWrap w:val="0"/>
            <w:vAlign w:val="center"/>
          </w:tcPr>
          <w:p w14:paraId="19279C78">
            <w:pPr>
              <w:pStyle w:val="16"/>
              <w:bidi w:val="0"/>
              <w:rPr>
                <w:color w:val="auto"/>
              </w:rPr>
            </w:pPr>
          </w:p>
        </w:tc>
        <w:tc>
          <w:tcPr>
            <w:tcW w:w="312" w:type="pct"/>
            <w:tcBorders>
              <w:tl2br w:val="nil"/>
              <w:tr2bl w:val="nil"/>
            </w:tcBorders>
            <w:noWrap w:val="0"/>
            <w:vAlign w:val="center"/>
          </w:tcPr>
          <w:p w14:paraId="1894D665">
            <w:pPr>
              <w:pStyle w:val="16"/>
              <w:bidi w:val="0"/>
              <w:rPr>
                <w:rFonts w:hint="default" w:eastAsia="宋体"/>
                <w:color w:val="auto"/>
                <w:lang w:val="en-US" w:eastAsia="zh-CN"/>
              </w:rPr>
            </w:pPr>
            <w:r>
              <w:rPr>
                <w:rFonts w:hint="eastAsia"/>
                <w:color w:val="auto"/>
                <w:lang w:val="en-US" w:eastAsia="zh-CN"/>
              </w:rPr>
              <w:t>0.013</w:t>
            </w:r>
          </w:p>
        </w:tc>
        <w:tc>
          <w:tcPr>
            <w:tcW w:w="395" w:type="pct"/>
            <w:tcBorders>
              <w:tl2br w:val="nil"/>
              <w:tr2bl w:val="nil"/>
            </w:tcBorders>
            <w:noWrap w:val="0"/>
            <w:vAlign w:val="center"/>
          </w:tcPr>
          <w:p w14:paraId="3F0DE43E">
            <w:pPr>
              <w:pStyle w:val="16"/>
              <w:bidi w:val="0"/>
              <w:rPr>
                <w:rFonts w:hint="default" w:eastAsia="宋体"/>
                <w:color w:val="auto"/>
                <w:lang w:val="en-US" w:eastAsia="zh-CN"/>
              </w:rPr>
            </w:pPr>
            <w:r>
              <w:rPr>
                <w:rFonts w:hint="eastAsia"/>
                <w:color w:val="auto"/>
                <w:lang w:val="en-US" w:eastAsia="zh-CN"/>
              </w:rPr>
              <w:t>0.66</w:t>
            </w:r>
          </w:p>
        </w:tc>
        <w:tc>
          <w:tcPr>
            <w:tcW w:w="297" w:type="pct"/>
            <w:vMerge w:val="continue"/>
            <w:tcBorders>
              <w:tl2br w:val="nil"/>
              <w:tr2bl w:val="nil"/>
            </w:tcBorders>
            <w:noWrap w:val="0"/>
            <w:vAlign w:val="center"/>
          </w:tcPr>
          <w:p w14:paraId="05451545">
            <w:pPr>
              <w:pStyle w:val="16"/>
              <w:bidi w:val="0"/>
              <w:rPr>
                <w:color w:val="auto"/>
              </w:rPr>
            </w:pPr>
          </w:p>
        </w:tc>
        <w:tc>
          <w:tcPr>
            <w:tcW w:w="184" w:type="pct"/>
            <w:vMerge w:val="continue"/>
            <w:tcBorders>
              <w:tl2br w:val="nil"/>
              <w:tr2bl w:val="nil"/>
            </w:tcBorders>
            <w:noWrap w:val="0"/>
            <w:vAlign w:val="center"/>
          </w:tcPr>
          <w:p w14:paraId="1990BF4B">
            <w:pPr>
              <w:pStyle w:val="16"/>
              <w:bidi w:val="0"/>
              <w:rPr>
                <w:color w:val="auto"/>
              </w:rPr>
            </w:pPr>
          </w:p>
        </w:tc>
        <w:tc>
          <w:tcPr>
            <w:tcW w:w="204" w:type="pct"/>
            <w:tcBorders>
              <w:tl2br w:val="nil"/>
              <w:tr2bl w:val="nil"/>
            </w:tcBorders>
            <w:noWrap w:val="0"/>
            <w:vAlign w:val="center"/>
          </w:tcPr>
          <w:p w14:paraId="4A6AC41D">
            <w:pPr>
              <w:pStyle w:val="16"/>
              <w:bidi w:val="0"/>
              <w:rPr>
                <w:rFonts w:hint="default" w:eastAsia="宋体"/>
                <w:color w:val="auto"/>
                <w:lang w:val="en-US" w:eastAsia="zh-CN"/>
              </w:rPr>
            </w:pPr>
            <w:r>
              <w:rPr>
                <w:rFonts w:hint="eastAsia"/>
                <w:color w:val="auto"/>
                <w:lang w:val="en-US" w:eastAsia="zh-CN"/>
              </w:rPr>
              <w:t>95</w:t>
            </w:r>
          </w:p>
        </w:tc>
        <w:tc>
          <w:tcPr>
            <w:tcW w:w="279" w:type="pct"/>
            <w:tcBorders>
              <w:tl2br w:val="nil"/>
              <w:tr2bl w:val="nil"/>
            </w:tcBorders>
            <w:noWrap w:val="0"/>
            <w:vAlign w:val="center"/>
          </w:tcPr>
          <w:p w14:paraId="7C9DA7FA">
            <w:pPr>
              <w:pStyle w:val="16"/>
              <w:bidi w:val="0"/>
              <w:rPr>
                <w:color w:val="auto"/>
              </w:rPr>
            </w:pPr>
            <w:r>
              <w:rPr>
                <w:color w:val="auto"/>
              </w:rPr>
              <w:t>产污系数法</w:t>
            </w:r>
          </w:p>
        </w:tc>
        <w:tc>
          <w:tcPr>
            <w:tcW w:w="333" w:type="pct"/>
            <w:vMerge w:val="continue"/>
            <w:tcBorders>
              <w:tl2br w:val="nil"/>
              <w:tr2bl w:val="nil"/>
            </w:tcBorders>
            <w:noWrap w:val="0"/>
            <w:vAlign w:val="center"/>
          </w:tcPr>
          <w:p w14:paraId="524C8530">
            <w:pPr>
              <w:pStyle w:val="16"/>
              <w:bidi w:val="0"/>
              <w:rPr>
                <w:color w:val="auto"/>
              </w:rPr>
            </w:pPr>
          </w:p>
        </w:tc>
        <w:tc>
          <w:tcPr>
            <w:tcW w:w="350" w:type="pct"/>
            <w:tcBorders>
              <w:tl2br w:val="nil"/>
              <w:tr2bl w:val="nil"/>
            </w:tcBorders>
            <w:noWrap w:val="0"/>
            <w:vAlign w:val="center"/>
          </w:tcPr>
          <w:p w14:paraId="60B64AA9">
            <w:pPr>
              <w:pStyle w:val="16"/>
              <w:bidi w:val="0"/>
              <w:rPr>
                <w:rFonts w:hint="default" w:eastAsia="宋体"/>
                <w:color w:val="auto"/>
                <w:lang w:val="en-US" w:eastAsia="zh-CN"/>
              </w:rPr>
            </w:pPr>
            <w:r>
              <w:rPr>
                <w:rFonts w:hint="eastAsia"/>
                <w:color w:val="auto"/>
                <w:lang w:val="en-US" w:eastAsia="zh-CN"/>
              </w:rPr>
              <w:t>0.0035</w:t>
            </w:r>
          </w:p>
        </w:tc>
        <w:tc>
          <w:tcPr>
            <w:tcW w:w="395" w:type="pct"/>
            <w:tcBorders>
              <w:tl2br w:val="nil"/>
              <w:tr2bl w:val="nil"/>
            </w:tcBorders>
            <w:noWrap w:val="0"/>
            <w:vAlign w:val="center"/>
          </w:tcPr>
          <w:p w14:paraId="4F0E67B6">
            <w:pPr>
              <w:pStyle w:val="16"/>
              <w:bidi w:val="0"/>
              <w:rPr>
                <w:rFonts w:hint="default" w:eastAsia="宋体"/>
                <w:color w:val="auto"/>
                <w:lang w:val="en-US" w:eastAsia="zh-CN"/>
              </w:rPr>
            </w:pPr>
            <w:r>
              <w:rPr>
                <w:rFonts w:hint="eastAsia"/>
                <w:color w:val="auto"/>
                <w:lang w:val="en-US" w:eastAsia="zh-CN"/>
              </w:rPr>
              <w:t>0.1753</w:t>
            </w:r>
          </w:p>
        </w:tc>
        <w:tc>
          <w:tcPr>
            <w:tcW w:w="255" w:type="pct"/>
            <w:tcBorders>
              <w:tl2br w:val="nil"/>
              <w:tr2bl w:val="nil"/>
            </w:tcBorders>
            <w:noWrap w:val="0"/>
            <w:vAlign w:val="center"/>
          </w:tcPr>
          <w:p w14:paraId="431B3F2F">
            <w:pPr>
              <w:pStyle w:val="16"/>
              <w:bidi w:val="0"/>
              <w:rPr>
                <w:color w:val="auto"/>
              </w:rPr>
            </w:pPr>
            <w:r>
              <w:rPr>
                <w:color w:val="auto"/>
              </w:rPr>
              <w:t>8760</w:t>
            </w:r>
          </w:p>
        </w:tc>
        <w:tc>
          <w:tcPr>
            <w:tcW w:w="310" w:type="pct"/>
            <w:tcBorders>
              <w:tl2br w:val="nil"/>
              <w:tr2bl w:val="nil"/>
            </w:tcBorders>
            <w:noWrap w:val="0"/>
            <w:vAlign w:val="center"/>
          </w:tcPr>
          <w:p w14:paraId="174ECC13">
            <w:pPr>
              <w:pStyle w:val="16"/>
              <w:bidi w:val="0"/>
              <w:rPr>
                <w:rFonts w:hint="default" w:eastAsia="宋体"/>
                <w:color w:val="auto"/>
                <w:lang w:val="en-US" w:eastAsia="zh-CN"/>
              </w:rPr>
            </w:pPr>
            <w:r>
              <w:rPr>
                <w:rFonts w:hint="eastAsia"/>
                <w:color w:val="auto"/>
                <w:lang w:val="en-US" w:eastAsia="zh-CN"/>
              </w:rPr>
              <w:t>0.0307</w:t>
            </w:r>
          </w:p>
        </w:tc>
      </w:tr>
      <w:tr w14:paraId="040908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6" w:type="pct"/>
            <w:tcBorders>
              <w:tl2br w:val="nil"/>
              <w:tr2bl w:val="nil"/>
            </w:tcBorders>
            <w:noWrap w:val="0"/>
            <w:vAlign w:val="center"/>
          </w:tcPr>
          <w:p w14:paraId="6CE5D130">
            <w:pPr>
              <w:pStyle w:val="16"/>
              <w:bidi w:val="0"/>
              <w:rPr>
                <w:rFonts w:hint="eastAsia" w:eastAsia="宋体"/>
                <w:color w:val="auto"/>
                <w:lang w:val="en-US" w:eastAsia="zh-CN"/>
              </w:rPr>
            </w:pPr>
            <w:r>
              <w:rPr>
                <w:rFonts w:hint="eastAsia"/>
                <w:color w:val="auto"/>
                <w:lang w:val="en-US" w:eastAsia="zh-CN"/>
              </w:rPr>
              <w:t>食堂</w:t>
            </w:r>
          </w:p>
        </w:tc>
        <w:tc>
          <w:tcPr>
            <w:tcW w:w="242" w:type="pct"/>
            <w:tcBorders>
              <w:tl2br w:val="nil"/>
              <w:tr2bl w:val="nil"/>
            </w:tcBorders>
            <w:noWrap w:val="0"/>
            <w:vAlign w:val="center"/>
          </w:tcPr>
          <w:p w14:paraId="23E70822">
            <w:pPr>
              <w:pStyle w:val="16"/>
              <w:bidi w:val="0"/>
              <w:rPr>
                <w:rFonts w:hint="eastAsia" w:eastAsia="宋体"/>
                <w:color w:val="auto"/>
                <w:lang w:val="en-US" w:eastAsia="zh-CN"/>
              </w:rPr>
            </w:pPr>
            <w:r>
              <w:rPr>
                <w:rFonts w:hint="eastAsia"/>
                <w:color w:val="auto"/>
                <w:lang w:val="en-US" w:eastAsia="zh-CN"/>
              </w:rPr>
              <w:t>用餐</w:t>
            </w:r>
          </w:p>
        </w:tc>
        <w:tc>
          <w:tcPr>
            <w:tcW w:w="533" w:type="pct"/>
            <w:gridSpan w:val="2"/>
            <w:tcBorders>
              <w:tl2br w:val="nil"/>
              <w:tr2bl w:val="nil"/>
            </w:tcBorders>
            <w:noWrap w:val="0"/>
            <w:vAlign w:val="center"/>
          </w:tcPr>
          <w:p w14:paraId="19A8B52F">
            <w:pPr>
              <w:pStyle w:val="16"/>
              <w:bidi w:val="0"/>
              <w:rPr>
                <w:color w:val="auto"/>
              </w:rPr>
            </w:pPr>
            <w:r>
              <w:rPr>
                <w:rFonts w:hint="eastAsia"/>
                <w:color w:val="auto"/>
                <w:lang w:val="en-US" w:eastAsia="zh-CN"/>
              </w:rPr>
              <w:t>食堂油烟</w:t>
            </w:r>
          </w:p>
        </w:tc>
        <w:tc>
          <w:tcPr>
            <w:tcW w:w="308" w:type="pct"/>
            <w:tcBorders>
              <w:tl2br w:val="nil"/>
              <w:tr2bl w:val="nil"/>
            </w:tcBorders>
            <w:noWrap w:val="0"/>
            <w:vAlign w:val="center"/>
          </w:tcPr>
          <w:p w14:paraId="41ED8EF8">
            <w:pPr>
              <w:pStyle w:val="16"/>
              <w:bidi w:val="0"/>
              <w:rPr>
                <w:rFonts w:hint="default" w:eastAsia="宋体"/>
                <w:color w:val="auto"/>
                <w:lang w:val="en-US" w:eastAsia="zh-CN"/>
              </w:rPr>
            </w:pPr>
            <w:r>
              <w:rPr>
                <w:rFonts w:hint="eastAsia"/>
                <w:color w:val="auto"/>
                <w:lang w:val="en-US" w:eastAsia="zh-CN"/>
              </w:rPr>
              <w:t>产污系数法</w:t>
            </w:r>
          </w:p>
        </w:tc>
        <w:tc>
          <w:tcPr>
            <w:tcW w:w="333" w:type="pct"/>
            <w:tcBorders>
              <w:tl2br w:val="nil"/>
              <w:tr2bl w:val="nil"/>
            </w:tcBorders>
            <w:noWrap w:val="0"/>
            <w:vAlign w:val="center"/>
          </w:tcPr>
          <w:p w14:paraId="6B216241">
            <w:pPr>
              <w:pStyle w:val="16"/>
              <w:bidi w:val="0"/>
              <w:rPr>
                <w:rFonts w:hint="default" w:eastAsia="宋体"/>
                <w:color w:val="auto"/>
                <w:lang w:val="en-US" w:eastAsia="zh-CN"/>
              </w:rPr>
            </w:pPr>
            <w:r>
              <w:rPr>
                <w:rFonts w:hint="eastAsia"/>
                <w:color w:val="auto"/>
                <w:lang w:val="en-US" w:eastAsia="zh-CN"/>
              </w:rPr>
              <w:t>3000</w:t>
            </w:r>
          </w:p>
        </w:tc>
        <w:tc>
          <w:tcPr>
            <w:tcW w:w="312" w:type="pct"/>
            <w:tcBorders>
              <w:tl2br w:val="nil"/>
              <w:tr2bl w:val="nil"/>
            </w:tcBorders>
            <w:noWrap w:val="0"/>
            <w:vAlign w:val="center"/>
          </w:tcPr>
          <w:p w14:paraId="0D13A8D3">
            <w:pPr>
              <w:pStyle w:val="16"/>
              <w:bidi w:val="0"/>
              <w:rPr>
                <w:rFonts w:hint="default" w:eastAsia="宋体"/>
                <w:color w:val="auto"/>
                <w:lang w:val="en-US" w:eastAsia="zh-CN"/>
              </w:rPr>
            </w:pPr>
            <w:r>
              <w:rPr>
                <w:rFonts w:hint="eastAsia"/>
                <w:color w:val="auto"/>
                <w:lang w:val="en-US" w:eastAsia="zh-CN"/>
              </w:rPr>
              <w:t>0.0025</w:t>
            </w:r>
          </w:p>
        </w:tc>
        <w:tc>
          <w:tcPr>
            <w:tcW w:w="395" w:type="pct"/>
            <w:tcBorders>
              <w:tl2br w:val="nil"/>
              <w:tr2bl w:val="nil"/>
            </w:tcBorders>
            <w:noWrap w:val="0"/>
            <w:vAlign w:val="center"/>
          </w:tcPr>
          <w:p w14:paraId="5490F527">
            <w:pPr>
              <w:pStyle w:val="16"/>
              <w:bidi w:val="0"/>
              <w:rPr>
                <w:rFonts w:hint="default" w:eastAsia="宋体"/>
                <w:color w:val="auto"/>
                <w:lang w:val="en-US" w:eastAsia="zh-CN"/>
              </w:rPr>
            </w:pPr>
            <w:r>
              <w:rPr>
                <w:rFonts w:hint="eastAsia"/>
                <w:color w:val="auto"/>
                <w:lang w:val="en-US" w:eastAsia="zh-CN"/>
              </w:rPr>
              <w:t>0.82</w:t>
            </w:r>
          </w:p>
        </w:tc>
        <w:tc>
          <w:tcPr>
            <w:tcW w:w="297" w:type="pct"/>
            <w:tcBorders>
              <w:tl2br w:val="nil"/>
              <w:tr2bl w:val="nil"/>
            </w:tcBorders>
            <w:noWrap w:val="0"/>
            <w:vAlign w:val="center"/>
          </w:tcPr>
          <w:p w14:paraId="1017E99C">
            <w:pPr>
              <w:pStyle w:val="16"/>
              <w:bidi w:val="0"/>
              <w:rPr>
                <w:rFonts w:hint="eastAsia" w:eastAsia="宋体"/>
                <w:color w:val="auto"/>
                <w:lang w:val="en-US" w:eastAsia="zh-CN"/>
              </w:rPr>
            </w:pPr>
            <w:r>
              <w:rPr>
                <w:rFonts w:hint="eastAsia"/>
                <w:color w:val="auto"/>
                <w:lang w:val="en-US" w:eastAsia="zh-CN"/>
              </w:rPr>
              <w:t>油烟净化器</w:t>
            </w:r>
          </w:p>
        </w:tc>
        <w:tc>
          <w:tcPr>
            <w:tcW w:w="184" w:type="pct"/>
            <w:tcBorders>
              <w:tl2br w:val="nil"/>
              <w:tr2bl w:val="nil"/>
            </w:tcBorders>
            <w:noWrap w:val="0"/>
            <w:vAlign w:val="center"/>
          </w:tcPr>
          <w:p w14:paraId="345077F6">
            <w:pPr>
              <w:pStyle w:val="16"/>
              <w:bidi w:val="0"/>
              <w:rPr>
                <w:rFonts w:hint="default" w:eastAsia="宋体"/>
                <w:color w:val="auto"/>
                <w:lang w:val="en-US" w:eastAsia="zh-CN"/>
              </w:rPr>
            </w:pPr>
            <w:r>
              <w:rPr>
                <w:rFonts w:hint="eastAsia"/>
                <w:color w:val="auto"/>
                <w:lang w:val="en-US" w:eastAsia="zh-CN"/>
              </w:rPr>
              <w:t>90</w:t>
            </w:r>
          </w:p>
        </w:tc>
        <w:tc>
          <w:tcPr>
            <w:tcW w:w="204" w:type="pct"/>
            <w:tcBorders>
              <w:tl2br w:val="nil"/>
              <w:tr2bl w:val="nil"/>
            </w:tcBorders>
            <w:noWrap w:val="0"/>
            <w:vAlign w:val="center"/>
          </w:tcPr>
          <w:p w14:paraId="7C6B7D02">
            <w:pPr>
              <w:pStyle w:val="16"/>
              <w:bidi w:val="0"/>
              <w:rPr>
                <w:rFonts w:hint="default" w:eastAsia="宋体"/>
                <w:color w:val="auto"/>
                <w:lang w:val="en-US" w:eastAsia="zh-CN"/>
              </w:rPr>
            </w:pPr>
            <w:r>
              <w:rPr>
                <w:rFonts w:hint="eastAsia"/>
                <w:color w:val="auto"/>
                <w:lang w:val="en-US" w:eastAsia="zh-CN"/>
              </w:rPr>
              <w:t>60</w:t>
            </w:r>
          </w:p>
        </w:tc>
        <w:tc>
          <w:tcPr>
            <w:tcW w:w="279" w:type="pct"/>
            <w:tcBorders>
              <w:tl2br w:val="nil"/>
              <w:tr2bl w:val="nil"/>
            </w:tcBorders>
            <w:noWrap w:val="0"/>
            <w:vAlign w:val="center"/>
          </w:tcPr>
          <w:p w14:paraId="72F49F80">
            <w:pPr>
              <w:pStyle w:val="16"/>
              <w:bidi w:val="0"/>
              <w:rPr>
                <w:color w:val="auto"/>
              </w:rPr>
            </w:pPr>
            <w:r>
              <w:rPr>
                <w:color w:val="auto"/>
              </w:rPr>
              <w:t>产污系数法</w:t>
            </w:r>
          </w:p>
        </w:tc>
        <w:tc>
          <w:tcPr>
            <w:tcW w:w="333" w:type="pct"/>
            <w:tcBorders>
              <w:tl2br w:val="nil"/>
              <w:tr2bl w:val="nil"/>
            </w:tcBorders>
            <w:noWrap w:val="0"/>
            <w:vAlign w:val="center"/>
          </w:tcPr>
          <w:p w14:paraId="54FB6C6E">
            <w:pPr>
              <w:pStyle w:val="16"/>
              <w:bidi w:val="0"/>
              <w:rPr>
                <w:rFonts w:hint="default" w:eastAsia="宋体"/>
                <w:color w:val="auto"/>
                <w:lang w:val="en-US" w:eastAsia="zh-CN"/>
              </w:rPr>
            </w:pPr>
            <w:r>
              <w:rPr>
                <w:rFonts w:hint="eastAsia"/>
                <w:color w:val="auto"/>
                <w:lang w:val="en-US" w:eastAsia="zh-CN"/>
              </w:rPr>
              <w:t>2000</w:t>
            </w:r>
          </w:p>
        </w:tc>
        <w:tc>
          <w:tcPr>
            <w:tcW w:w="350" w:type="pct"/>
            <w:tcBorders>
              <w:tl2br w:val="nil"/>
              <w:tr2bl w:val="nil"/>
            </w:tcBorders>
            <w:noWrap w:val="0"/>
            <w:vAlign w:val="center"/>
          </w:tcPr>
          <w:p w14:paraId="36F88D33">
            <w:pPr>
              <w:pStyle w:val="16"/>
              <w:bidi w:val="0"/>
              <w:rPr>
                <w:rFonts w:hint="default" w:eastAsia="宋体"/>
                <w:color w:val="auto"/>
                <w:lang w:val="en-US" w:eastAsia="zh-CN"/>
              </w:rPr>
            </w:pPr>
            <w:r>
              <w:rPr>
                <w:rFonts w:hint="eastAsia"/>
                <w:color w:val="auto"/>
                <w:lang w:val="en-US" w:eastAsia="zh-CN"/>
              </w:rPr>
              <w:t>0.0009</w:t>
            </w:r>
          </w:p>
        </w:tc>
        <w:tc>
          <w:tcPr>
            <w:tcW w:w="395" w:type="pct"/>
            <w:tcBorders>
              <w:tl2br w:val="nil"/>
              <w:tr2bl w:val="nil"/>
            </w:tcBorders>
            <w:noWrap w:val="0"/>
            <w:vAlign w:val="center"/>
          </w:tcPr>
          <w:p w14:paraId="096D53CB">
            <w:pPr>
              <w:pStyle w:val="16"/>
              <w:bidi w:val="0"/>
              <w:rPr>
                <w:rFonts w:hint="default" w:eastAsia="宋体"/>
                <w:color w:val="auto"/>
                <w:lang w:val="en-US" w:eastAsia="zh-CN"/>
              </w:rPr>
            </w:pPr>
            <w:r>
              <w:rPr>
                <w:rFonts w:hint="eastAsia"/>
                <w:color w:val="auto"/>
                <w:lang w:val="en-US" w:eastAsia="zh-CN"/>
              </w:rPr>
              <w:t>0.297</w:t>
            </w:r>
          </w:p>
        </w:tc>
        <w:tc>
          <w:tcPr>
            <w:tcW w:w="255" w:type="pct"/>
            <w:tcBorders>
              <w:tl2br w:val="nil"/>
              <w:tr2bl w:val="nil"/>
            </w:tcBorders>
            <w:noWrap w:val="0"/>
            <w:vAlign w:val="center"/>
          </w:tcPr>
          <w:p w14:paraId="11E1CF5E">
            <w:pPr>
              <w:pStyle w:val="16"/>
              <w:bidi w:val="0"/>
              <w:rPr>
                <w:rFonts w:hint="default" w:eastAsia="宋体"/>
                <w:color w:val="auto"/>
                <w:lang w:val="en-US" w:eastAsia="zh-CN"/>
              </w:rPr>
            </w:pPr>
            <w:r>
              <w:rPr>
                <w:rFonts w:hint="eastAsia"/>
                <w:color w:val="auto"/>
                <w:lang w:val="en-US" w:eastAsia="zh-CN"/>
              </w:rPr>
              <w:t>2190</w:t>
            </w:r>
          </w:p>
        </w:tc>
        <w:tc>
          <w:tcPr>
            <w:tcW w:w="310" w:type="pct"/>
            <w:tcBorders>
              <w:tl2br w:val="nil"/>
              <w:tr2bl w:val="nil"/>
            </w:tcBorders>
            <w:noWrap w:val="0"/>
            <w:vAlign w:val="center"/>
          </w:tcPr>
          <w:p w14:paraId="4485396B">
            <w:pPr>
              <w:pStyle w:val="16"/>
              <w:bidi w:val="0"/>
              <w:rPr>
                <w:rFonts w:hint="default" w:eastAsia="宋体"/>
                <w:color w:val="auto"/>
                <w:lang w:val="en-US" w:eastAsia="zh-CN"/>
              </w:rPr>
            </w:pPr>
            <w:r>
              <w:rPr>
                <w:rFonts w:hint="eastAsia"/>
                <w:color w:val="auto"/>
                <w:lang w:val="en-US" w:eastAsia="zh-CN"/>
              </w:rPr>
              <w:t>0.00195</w:t>
            </w:r>
          </w:p>
        </w:tc>
      </w:tr>
    </w:tbl>
    <w:p w14:paraId="2405D1DA">
      <w:pPr>
        <w:pStyle w:val="19"/>
        <w:keepNext w:val="0"/>
        <w:keepLines w:val="0"/>
        <w:pageBreakBefore w:val="0"/>
        <w:widowControl w:val="0"/>
        <w:numPr>
          <w:ilvl w:val="0"/>
          <w:numId w:val="9"/>
        </w:numPr>
        <w:tabs>
          <w:tab w:val="clear" w:pos="0"/>
        </w:tabs>
        <w:kinsoku/>
        <w:wordWrap/>
        <w:overflowPunct/>
        <w:topLinePunct w:val="0"/>
        <w:autoSpaceDE/>
        <w:autoSpaceDN/>
        <w:bidi w:val="0"/>
        <w:adjustRightInd/>
        <w:snapToGrid/>
        <w:spacing w:before="0" w:beforeLines="50"/>
        <w:ind w:left="0" w:leftChars="0" w:firstLine="0" w:firstLineChars="0"/>
        <w:textAlignment w:val="auto"/>
        <w:rPr>
          <w:color w:val="auto"/>
        </w:rPr>
      </w:pPr>
      <w:r>
        <w:rPr>
          <w:color w:val="auto"/>
        </w:rPr>
        <w:t>项目无组织废气污染物排放情况参数一览表</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099"/>
        <w:gridCol w:w="1242"/>
        <w:gridCol w:w="1141"/>
        <w:gridCol w:w="1088"/>
        <w:gridCol w:w="965"/>
        <w:gridCol w:w="1080"/>
        <w:gridCol w:w="2011"/>
        <w:gridCol w:w="1556"/>
        <w:gridCol w:w="1046"/>
        <w:gridCol w:w="864"/>
        <w:gridCol w:w="749"/>
        <w:gridCol w:w="1173"/>
      </w:tblGrid>
      <w:tr w14:paraId="184909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92" w:type="pct"/>
            <w:vMerge w:val="restart"/>
            <w:tcBorders>
              <w:tl2br w:val="nil"/>
              <w:tr2bl w:val="nil"/>
            </w:tcBorders>
            <w:noWrap w:val="0"/>
            <w:vAlign w:val="center"/>
          </w:tcPr>
          <w:p w14:paraId="482DE8D4">
            <w:pPr>
              <w:pStyle w:val="16"/>
              <w:bidi w:val="0"/>
              <w:rPr>
                <w:b/>
                <w:bCs/>
                <w:color w:val="auto"/>
              </w:rPr>
            </w:pPr>
            <w:r>
              <w:rPr>
                <w:b/>
                <w:bCs/>
                <w:color w:val="auto"/>
              </w:rPr>
              <w:t>污染源名称</w:t>
            </w:r>
          </w:p>
        </w:tc>
        <w:tc>
          <w:tcPr>
            <w:tcW w:w="850" w:type="pct"/>
            <w:gridSpan w:val="2"/>
            <w:tcBorders>
              <w:tl2br w:val="nil"/>
              <w:tr2bl w:val="nil"/>
            </w:tcBorders>
            <w:noWrap w:val="0"/>
            <w:vAlign w:val="center"/>
          </w:tcPr>
          <w:p w14:paraId="03F0112A">
            <w:pPr>
              <w:pStyle w:val="16"/>
              <w:bidi w:val="0"/>
              <w:rPr>
                <w:b/>
                <w:bCs/>
                <w:color w:val="auto"/>
              </w:rPr>
            </w:pPr>
            <w:r>
              <w:rPr>
                <w:b/>
                <w:bCs/>
                <w:color w:val="auto"/>
              </w:rPr>
              <w:t>坐标</w:t>
            </w:r>
          </w:p>
        </w:tc>
        <w:tc>
          <w:tcPr>
            <w:tcW w:w="388" w:type="pct"/>
            <w:vMerge w:val="restart"/>
            <w:tcBorders>
              <w:tl2br w:val="nil"/>
              <w:tr2bl w:val="nil"/>
            </w:tcBorders>
            <w:noWrap w:val="0"/>
            <w:vAlign w:val="center"/>
          </w:tcPr>
          <w:p w14:paraId="41B0E396">
            <w:pPr>
              <w:pStyle w:val="16"/>
              <w:bidi w:val="0"/>
              <w:rPr>
                <w:rFonts w:hint="eastAsia"/>
                <w:b/>
                <w:bCs/>
                <w:color w:val="auto"/>
                <w:lang w:eastAsia="zh-CN"/>
              </w:rPr>
            </w:pPr>
            <w:r>
              <w:rPr>
                <w:rFonts w:hint="eastAsia"/>
                <w:b/>
                <w:bCs/>
                <w:color w:val="auto"/>
                <w:lang w:eastAsia="zh-CN"/>
              </w:rPr>
              <w:t>海拔（</w:t>
            </w:r>
            <w:r>
              <w:rPr>
                <w:b/>
                <w:bCs/>
                <w:color w:val="auto"/>
              </w:rPr>
              <w:t>m</w:t>
            </w:r>
            <w:r>
              <w:rPr>
                <w:rFonts w:hint="eastAsia"/>
                <w:b/>
                <w:bCs/>
                <w:color w:val="auto"/>
                <w:lang w:eastAsia="zh-CN"/>
              </w:rPr>
              <w:t>）</w:t>
            </w:r>
          </w:p>
        </w:tc>
        <w:tc>
          <w:tcPr>
            <w:tcW w:w="2001" w:type="pct"/>
            <w:gridSpan w:val="4"/>
            <w:tcBorders>
              <w:tl2br w:val="nil"/>
              <w:tr2bl w:val="nil"/>
            </w:tcBorders>
            <w:noWrap w:val="0"/>
            <w:vAlign w:val="center"/>
          </w:tcPr>
          <w:p w14:paraId="41B31A69">
            <w:pPr>
              <w:pStyle w:val="16"/>
              <w:bidi w:val="0"/>
              <w:rPr>
                <w:b/>
                <w:bCs/>
                <w:color w:val="auto"/>
              </w:rPr>
            </w:pPr>
            <w:r>
              <w:rPr>
                <w:b/>
                <w:bCs/>
                <w:color w:val="auto"/>
              </w:rPr>
              <w:t>矩形面源</w:t>
            </w:r>
          </w:p>
        </w:tc>
        <w:tc>
          <w:tcPr>
            <w:tcW w:w="373" w:type="pct"/>
            <w:vMerge w:val="restart"/>
            <w:tcBorders>
              <w:tl2br w:val="nil"/>
              <w:tr2bl w:val="nil"/>
            </w:tcBorders>
            <w:noWrap w:val="0"/>
            <w:vAlign w:val="center"/>
          </w:tcPr>
          <w:p w14:paraId="14AC794E">
            <w:pPr>
              <w:pStyle w:val="16"/>
              <w:bidi w:val="0"/>
              <w:rPr>
                <w:b/>
                <w:bCs/>
                <w:color w:val="auto"/>
              </w:rPr>
            </w:pPr>
            <w:r>
              <w:rPr>
                <w:b/>
                <w:bCs/>
                <w:color w:val="auto"/>
              </w:rPr>
              <w:t>年排放小时数（h）</w:t>
            </w:r>
          </w:p>
        </w:tc>
        <w:tc>
          <w:tcPr>
            <w:tcW w:w="308" w:type="pct"/>
            <w:vMerge w:val="restart"/>
            <w:tcBorders>
              <w:tl2br w:val="nil"/>
              <w:tr2bl w:val="nil"/>
            </w:tcBorders>
            <w:noWrap w:val="0"/>
            <w:vAlign w:val="center"/>
          </w:tcPr>
          <w:p w14:paraId="22C7BD68">
            <w:pPr>
              <w:pStyle w:val="16"/>
              <w:bidi w:val="0"/>
              <w:rPr>
                <w:b/>
                <w:bCs/>
                <w:color w:val="auto"/>
              </w:rPr>
            </w:pPr>
            <w:r>
              <w:rPr>
                <w:b/>
                <w:bCs/>
                <w:color w:val="auto"/>
              </w:rPr>
              <w:t>排放工况</w:t>
            </w:r>
          </w:p>
        </w:tc>
        <w:tc>
          <w:tcPr>
            <w:tcW w:w="685" w:type="pct"/>
            <w:gridSpan w:val="2"/>
            <w:tcBorders>
              <w:tl2br w:val="nil"/>
              <w:tr2bl w:val="nil"/>
            </w:tcBorders>
            <w:noWrap w:val="0"/>
            <w:vAlign w:val="center"/>
          </w:tcPr>
          <w:p w14:paraId="62B97692">
            <w:pPr>
              <w:pStyle w:val="16"/>
              <w:bidi w:val="0"/>
              <w:rPr>
                <w:b/>
                <w:bCs/>
                <w:color w:val="auto"/>
              </w:rPr>
            </w:pPr>
            <w:r>
              <w:rPr>
                <w:b/>
                <w:bCs/>
                <w:color w:val="auto"/>
              </w:rPr>
              <w:t>污染物排放速率（kg/h）</w:t>
            </w:r>
          </w:p>
        </w:tc>
      </w:tr>
      <w:tr w14:paraId="1537AD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92" w:type="pct"/>
            <w:vMerge w:val="continue"/>
            <w:tcBorders>
              <w:tl2br w:val="nil"/>
              <w:tr2bl w:val="nil"/>
            </w:tcBorders>
            <w:noWrap w:val="0"/>
            <w:vAlign w:val="center"/>
          </w:tcPr>
          <w:p w14:paraId="7771B3A1">
            <w:pPr>
              <w:pStyle w:val="16"/>
              <w:bidi w:val="0"/>
              <w:rPr>
                <w:color w:val="auto"/>
              </w:rPr>
            </w:pPr>
          </w:p>
        </w:tc>
        <w:tc>
          <w:tcPr>
            <w:tcW w:w="443" w:type="pct"/>
            <w:tcBorders>
              <w:tl2br w:val="nil"/>
              <w:tr2bl w:val="nil"/>
            </w:tcBorders>
            <w:noWrap w:val="0"/>
            <w:vAlign w:val="center"/>
          </w:tcPr>
          <w:p w14:paraId="79556680">
            <w:pPr>
              <w:pStyle w:val="16"/>
              <w:bidi w:val="0"/>
              <w:rPr>
                <w:b/>
                <w:bCs/>
                <w:color w:val="auto"/>
              </w:rPr>
            </w:pPr>
            <w:r>
              <w:rPr>
                <w:b/>
                <w:bCs/>
                <w:color w:val="auto"/>
              </w:rPr>
              <w:t>X</w:t>
            </w:r>
          </w:p>
        </w:tc>
        <w:tc>
          <w:tcPr>
            <w:tcW w:w="407" w:type="pct"/>
            <w:tcBorders>
              <w:tl2br w:val="nil"/>
              <w:tr2bl w:val="nil"/>
            </w:tcBorders>
            <w:noWrap w:val="0"/>
            <w:vAlign w:val="center"/>
          </w:tcPr>
          <w:p w14:paraId="151FC426">
            <w:pPr>
              <w:pStyle w:val="16"/>
              <w:bidi w:val="0"/>
              <w:rPr>
                <w:b/>
                <w:bCs/>
                <w:color w:val="auto"/>
              </w:rPr>
            </w:pPr>
            <w:r>
              <w:rPr>
                <w:b/>
                <w:bCs/>
                <w:color w:val="auto"/>
              </w:rPr>
              <w:t>Y</w:t>
            </w:r>
          </w:p>
        </w:tc>
        <w:tc>
          <w:tcPr>
            <w:tcW w:w="388" w:type="pct"/>
            <w:vMerge w:val="continue"/>
            <w:tcBorders>
              <w:tl2br w:val="nil"/>
              <w:tr2bl w:val="nil"/>
            </w:tcBorders>
            <w:noWrap w:val="0"/>
            <w:vAlign w:val="center"/>
          </w:tcPr>
          <w:p w14:paraId="3F2D8A74">
            <w:pPr>
              <w:pStyle w:val="16"/>
              <w:bidi w:val="0"/>
              <w:rPr>
                <w:b/>
                <w:bCs/>
                <w:color w:val="auto"/>
              </w:rPr>
            </w:pPr>
          </w:p>
        </w:tc>
        <w:tc>
          <w:tcPr>
            <w:tcW w:w="344" w:type="pct"/>
            <w:tcBorders>
              <w:tl2br w:val="nil"/>
              <w:tr2bl w:val="nil"/>
            </w:tcBorders>
            <w:noWrap w:val="0"/>
            <w:vAlign w:val="center"/>
          </w:tcPr>
          <w:p w14:paraId="0E092670">
            <w:pPr>
              <w:pStyle w:val="16"/>
              <w:bidi w:val="0"/>
              <w:rPr>
                <w:b/>
                <w:bCs/>
                <w:color w:val="auto"/>
              </w:rPr>
            </w:pPr>
            <w:r>
              <w:rPr>
                <w:b/>
                <w:bCs/>
                <w:color w:val="auto"/>
              </w:rPr>
              <w:t>长度（m）</w:t>
            </w:r>
          </w:p>
        </w:tc>
        <w:tc>
          <w:tcPr>
            <w:tcW w:w="385" w:type="pct"/>
            <w:tcBorders>
              <w:tl2br w:val="nil"/>
              <w:tr2bl w:val="nil"/>
            </w:tcBorders>
            <w:noWrap w:val="0"/>
            <w:vAlign w:val="center"/>
          </w:tcPr>
          <w:p w14:paraId="0A3D7789">
            <w:pPr>
              <w:pStyle w:val="16"/>
              <w:bidi w:val="0"/>
              <w:rPr>
                <w:b/>
                <w:bCs/>
                <w:color w:val="auto"/>
              </w:rPr>
            </w:pPr>
            <w:r>
              <w:rPr>
                <w:b/>
                <w:bCs/>
                <w:color w:val="auto"/>
              </w:rPr>
              <w:t>宽度（m）</w:t>
            </w:r>
          </w:p>
        </w:tc>
        <w:tc>
          <w:tcPr>
            <w:tcW w:w="717" w:type="pct"/>
            <w:tcBorders>
              <w:tl2br w:val="nil"/>
              <w:tr2bl w:val="nil"/>
            </w:tcBorders>
            <w:noWrap w:val="0"/>
            <w:vAlign w:val="center"/>
          </w:tcPr>
          <w:p w14:paraId="752E029D">
            <w:pPr>
              <w:pStyle w:val="16"/>
              <w:bidi w:val="0"/>
              <w:rPr>
                <w:b/>
                <w:bCs/>
                <w:color w:val="auto"/>
              </w:rPr>
            </w:pPr>
            <w:r>
              <w:rPr>
                <w:b/>
                <w:bCs/>
                <w:color w:val="auto"/>
              </w:rPr>
              <w:t>与正北向夹角（</w:t>
            </w:r>
            <w:r>
              <w:rPr>
                <w:rFonts w:hint="eastAsia"/>
                <w:b/>
                <w:bCs/>
                <w:color w:val="auto"/>
                <w:lang w:val="en-US" w:eastAsia="zh-CN"/>
              </w:rPr>
              <w:t>°</w:t>
            </w:r>
            <w:r>
              <w:rPr>
                <w:b/>
                <w:bCs/>
                <w:color w:val="auto"/>
              </w:rPr>
              <w:t>）</w:t>
            </w:r>
          </w:p>
        </w:tc>
        <w:tc>
          <w:tcPr>
            <w:tcW w:w="555" w:type="pct"/>
            <w:tcBorders>
              <w:tl2br w:val="nil"/>
              <w:tr2bl w:val="nil"/>
            </w:tcBorders>
            <w:noWrap w:val="0"/>
            <w:vAlign w:val="center"/>
          </w:tcPr>
          <w:p w14:paraId="71337AA3">
            <w:pPr>
              <w:pStyle w:val="16"/>
              <w:bidi w:val="0"/>
              <w:rPr>
                <w:b/>
                <w:bCs/>
                <w:color w:val="auto"/>
              </w:rPr>
            </w:pPr>
            <w:r>
              <w:rPr>
                <w:b/>
                <w:bCs/>
                <w:color w:val="auto"/>
              </w:rPr>
              <w:t>有效高度（m）</w:t>
            </w:r>
          </w:p>
        </w:tc>
        <w:tc>
          <w:tcPr>
            <w:tcW w:w="373" w:type="pct"/>
            <w:vMerge w:val="continue"/>
            <w:tcBorders>
              <w:tl2br w:val="nil"/>
              <w:tr2bl w:val="nil"/>
            </w:tcBorders>
            <w:noWrap w:val="0"/>
            <w:vAlign w:val="center"/>
          </w:tcPr>
          <w:p w14:paraId="76FB9002">
            <w:pPr>
              <w:pStyle w:val="16"/>
              <w:bidi w:val="0"/>
              <w:rPr>
                <w:color w:val="auto"/>
              </w:rPr>
            </w:pPr>
          </w:p>
        </w:tc>
        <w:tc>
          <w:tcPr>
            <w:tcW w:w="308" w:type="pct"/>
            <w:vMerge w:val="continue"/>
            <w:tcBorders>
              <w:tl2br w:val="nil"/>
              <w:tr2bl w:val="nil"/>
            </w:tcBorders>
            <w:noWrap w:val="0"/>
            <w:vAlign w:val="center"/>
          </w:tcPr>
          <w:p w14:paraId="07A4A021">
            <w:pPr>
              <w:pStyle w:val="16"/>
              <w:bidi w:val="0"/>
              <w:rPr>
                <w:color w:val="auto"/>
              </w:rPr>
            </w:pPr>
          </w:p>
        </w:tc>
        <w:tc>
          <w:tcPr>
            <w:tcW w:w="267" w:type="pct"/>
            <w:tcBorders>
              <w:tl2br w:val="nil"/>
              <w:tr2bl w:val="nil"/>
            </w:tcBorders>
            <w:noWrap w:val="0"/>
            <w:vAlign w:val="center"/>
          </w:tcPr>
          <w:p w14:paraId="6AD4EC63">
            <w:pPr>
              <w:pStyle w:val="16"/>
              <w:bidi w:val="0"/>
              <w:rPr>
                <w:color w:val="auto"/>
              </w:rPr>
            </w:pPr>
            <w:r>
              <w:rPr>
                <w:color w:val="auto"/>
              </w:rPr>
              <w:t>NH</w:t>
            </w:r>
            <w:r>
              <w:rPr>
                <w:color w:val="auto"/>
                <w:vertAlign w:val="subscript"/>
              </w:rPr>
              <w:t>3</w:t>
            </w:r>
          </w:p>
        </w:tc>
        <w:tc>
          <w:tcPr>
            <w:tcW w:w="418" w:type="pct"/>
            <w:tcBorders>
              <w:tl2br w:val="nil"/>
              <w:tr2bl w:val="nil"/>
            </w:tcBorders>
            <w:noWrap w:val="0"/>
            <w:vAlign w:val="center"/>
          </w:tcPr>
          <w:p w14:paraId="28A02274">
            <w:pPr>
              <w:pStyle w:val="16"/>
              <w:bidi w:val="0"/>
              <w:rPr>
                <w:rFonts w:hint="default" w:eastAsia="宋体"/>
                <w:color w:val="auto"/>
                <w:lang w:val="en-US" w:eastAsia="zh-CN"/>
              </w:rPr>
            </w:pPr>
            <w:r>
              <w:rPr>
                <w:rFonts w:hint="eastAsia"/>
                <w:color w:val="auto"/>
                <w:lang w:val="en-US" w:eastAsia="zh-CN"/>
              </w:rPr>
              <w:t>H</w:t>
            </w:r>
            <w:r>
              <w:rPr>
                <w:rFonts w:hint="eastAsia"/>
                <w:color w:val="auto"/>
                <w:vertAlign w:val="subscript"/>
                <w:lang w:val="en-US" w:eastAsia="zh-CN"/>
              </w:rPr>
              <w:t>2</w:t>
            </w:r>
            <w:r>
              <w:rPr>
                <w:rFonts w:hint="eastAsia"/>
                <w:color w:val="auto"/>
                <w:lang w:val="en-US" w:eastAsia="zh-CN"/>
              </w:rPr>
              <w:t>S</w:t>
            </w:r>
          </w:p>
        </w:tc>
      </w:tr>
      <w:tr w14:paraId="30F317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99" w:type="dxa"/>
            <w:tcBorders>
              <w:tl2br w:val="nil"/>
              <w:tr2bl w:val="nil"/>
            </w:tcBorders>
            <w:noWrap w:val="0"/>
            <w:vAlign w:val="center"/>
          </w:tcPr>
          <w:p w14:paraId="2961EB0A">
            <w:pPr>
              <w:pStyle w:val="16"/>
              <w:bidi w:val="0"/>
              <w:ind w:left="0" w:leftChars="0" w:firstLine="0" w:firstLineChars="0"/>
              <w:rPr>
                <w:rFonts w:hint="default"/>
                <w:color w:val="auto"/>
                <w:lang w:val="en-US" w:eastAsia="zh-CN"/>
              </w:rPr>
            </w:pPr>
            <w:r>
              <w:rPr>
                <w:rFonts w:hint="eastAsia"/>
                <w:color w:val="auto"/>
                <w:sz w:val="21"/>
                <w:szCs w:val="21"/>
                <w:lang w:val="en-US" w:eastAsia="zh-CN"/>
              </w:rPr>
              <w:t>超细格栅</w:t>
            </w:r>
          </w:p>
        </w:tc>
        <w:tc>
          <w:tcPr>
            <w:tcW w:w="1242" w:type="dxa"/>
            <w:tcBorders>
              <w:tl2br w:val="nil"/>
              <w:tr2bl w:val="nil"/>
            </w:tcBorders>
            <w:noWrap w:val="0"/>
            <w:vAlign w:val="center"/>
          </w:tcPr>
          <w:p w14:paraId="46E065F0">
            <w:pPr>
              <w:pStyle w:val="16"/>
              <w:bidi w:val="0"/>
              <w:ind w:left="0" w:leftChars="0" w:firstLine="0" w:firstLineChars="0"/>
              <w:rPr>
                <w:color w:val="auto"/>
              </w:rPr>
            </w:pPr>
            <w:r>
              <w:rPr>
                <w:rFonts w:hint="eastAsia"/>
                <w:color w:val="auto"/>
                <w:sz w:val="21"/>
                <w:szCs w:val="21"/>
              </w:rPr>
              <w:t>106.89006</w:t>
            </w:r>
            <w:r>
              <w:rPr>
                <w:rFonts w:hint="eastAsia"/>
                <w:color w:val="auto"/>
                <w:sz w:val="21"/>
                <w:szCs w:val="21"/>
                <w:lang w:val="en-US" w:eastAsia="zh-CN"/>
              </w:rPr>
              <w:t>5</w:t>
            </w:r>
          </w:p>
        </w:tc>
        <w:tc>
          <w:tcPr>
            <w:tcW w:w="1141" w:type="dxa"/>
            <w:tcBorders>
              <w:tl2br w:val="nil"/>
              <w:tr2bl w:val="nil"/>
            </w:tcBorders>
            <w:noWrap w:val="0"/>
            <w:vAlign w:val="center"/>
          </w:tcPr>
          <w:p w14:paraId="24BDF79E">
            <w:pPr>
              <w:pStyle w:val="16"/>
              <w:bidi w:val="0"/>
              <w:ind w:left="0" w:leftChars="0" w:firstLine="0" w:firstLineChars="0"/>
              <w:rPr>
                <w:rFonts w:hint="eastAsia"/>
                <w:color w:val="auto"/>
                <w:lang w:eastAsia="zh-CN"/>
              </w:rPr>
            </w:pPr>
            <w:r>
              <w:rPr>
                <w:rFonts w:hint="eastAsia"/>
                <w:color w:val="auto"/>
                <w:sz w:val="21"/>
                <w:szCs w:val="21"/>
                <w:lang w:eastAsia="zh-CN"/>
              </w:rPr>
              <w:t>31.753871</w:t>
            </w:r>
          </w:p>
        </w:tc>
        <w:tc>
          <w:tcPr>
            <w:tcW w:w="1088" w:type="dxa"/>
            <w:tcBorders>
              <w:tl2br w:val="nil"/>
              <w:tr2bl w:val="nil"/>
            </w:tcBorders>
            <w:noWrap w:val="0"/>
            <w:vAlign w:val="center"/>
          </w:tcPr>
          <w:p w14:paraId="0A7D0C13">
            <w:pPr>
              <w:pStyle w:val="16"/>
              <w:bidi w:val="0"/>
              <w:ind w:left="0" w:leftChars="0" w:firstLine="0" w:firstLineChars="0"/>
              <w:rPr>
                <w:rFonts w:hint="default"/>
                <w:color w:val="auto"/>
                <w:lang w:val="en-US" w:eastAsia="zh-CN"/>
              </w:rPr>
            </w:pPr>
            <w:r>
              <w:rPr>
                <w:rFonts w:hint="eastAsia"/>
                <w:color w:val="auto"/>
                <w:sz w:val="21"/>
                <w:szCs w:val="21"/>
                <w:lang w:val="en-US" w:eastAsia="zh-CN"/>
              </w:rPr>
              <w:t>326.5</w:t>
            </w:r>
          </w:p>
        </w:tc>
        <w:tc>
          <w:tcPr>
            <w:tcW w:w="965" w:type="dxa"/>
            <w:tcBorders>
              <w:tl2br w:val="nil"/>
              <w:tr2bl w:val="nil"/>
            </w:tcBorders>
            <w:noWrap w:val="0"/>
            <w:vAlign w:val="center"/>
          </w:tcPr>
          <w:p w14:paraId="4E1B5C04">
            <w:pPr>
              <w:pStyle w:val="16"/>
              <w:bidi w:val="0"/>
              <w:ind w:left="0" w:leftChars="0" w:firstLine="0" w:firstLineChars="0"/>
              <w:rPr>
                <w:rFonts w:hint="default"/>
                <w:color w:val="auto"/>
                <w:lang w:val="en-US" w:eastAsia="zh-CN"/>
              </w:rPr>
            </w:pPr>
            <w:r>
              <w:rPr>
                <w:rFonts w:hint="eastAsia"/>
                <w:color w:val="auto"/>
                <w:sz w:val="21"/>
                <w:szCs w:val="21"/>
                <w:lang w:val="en-US" w:eastAsia="zh-CN"/>
              </w:rPr>
              <w:t>7.7</w:t>
            </w:r>
          </w:p>
        </w:tc>
        <w:tc>
          <w:tcPr>
            <w:tcW w:w="1080" w:type="dxa"/>
            <w:tcBorders>
              <w:tl2br w:val="nil"/>
              <w:tr2bl w:val="nil"/>
            </w:tcBorders>
            <w:noWrap w:val="0"/>
            <w:vAlign w:val="center"/>
          </w:tcPr>
          <w:p w14:paraId="7C840E3A">
            <w:pPr>
              <w:pStyle w:val="16"/>
              <w:bidi w:val="0"/>
              <w:ind w:left="0" w:leftChars="0" w:firstLine="0" w:firstLineChars="0"/>
              <w:rPr>
                <w:rFonts w:hint="default"/>
                <w:color w:val="auto"/>
                <w:lang w:val="en-US" w:eastAsia="zh-CN"/>
              </w:rPr>
            </w:pPr>
            <w:r>
              <w:rPr>
                <w:rFonts w:hint="eastAsia"/>
                <w:color w:val="auto"/>
                <w:sz w:val="21"/>
                <w:szCs w:val="21"/>
                <w:lang w:val="en-US" w:eastAsia="zh-CN"/>
              </w:rPr>
              <w:t>3.5</w:t>
            </w:r>
          </w:p>
        </w:tc>
        <w:tc>
          <w:tcPr>
            <w:tcW w:w="2011" w:type="dxa"/>
            <w:tcBorders>
              <w:tl2br w:val="nil"/>
              <w:tr2bl w:val="nil"/>
            </w:tcBorders>
            <w:noWrap w:val="0"/>
            <w:vAlign w:val="center"/>
          </w:tcPr>
          <w:p w14:paraId="2A109A06">
            <w:pPr>
              <w:pStyle w:val="16"/>
              <w:bidi w:val="0"/>
              <w:ind w:left="0" w:leftChars="0" w:firstLine="0" w:firstLineChars="0"/>
              <w:rPr>
                <w:rFonts w:hint="default"/>
                <w:color w:val="auto"/>
                <w:lang w:val="en-US" w:eastAsia="zh-CN"/>
              </w:rPr>
            </w:pPr>
            <w:r>
              <w:rPr>
                <w:rFonts w:hint="eastAsia"/>
                <w:color w:val="auto"/>
                <w:sz w:val="21"/>
                <w:szCs w:val="21"/>
                <w:lang w:val="en-US" w:eastAsia="zh-CN"/>
              </w:rPr>
              <w:t>30</w:t>
            </w:r>
          </w:p>
        </w:tc>
        <w:tc>
          <w:tcPr>
            <w:tcW w:w="1556" w:type="dxa"/>
            <w:tcBorders>
              <w:tl2br w:val="nil"/>
              <w:tr2bl w:val="nil"/>
            </w:tcBorders>
            <w:noWrap w:val="0"/>
            <w:vAlign w:val="center"/>
          </w:tcPr>
          <w:p w14:paraId="799D3A26">
            <w:pPr>
              <w:pStyle w:val="16"/>
              <w:bidi w:val="0"/>
              <w:ind w:left="0" w:leftChars="0" w:firstLine="0" w:firstLineChars="0"/>
              <w:rPr>
                <w:color w:val="auto"/>
              </w:rPr>
            </w:pPr>
            <w:r>
              <w:rPr>
                <w:rFonts w:hint="eastAsia"/>
                <w:color w:val="auto"/>
                <w:sz w:val="21"/>
                <w:szCs w:val="21"/>
                <w:lang w:val="en-US" w:eastAsia="zh-CN"/>
              </w:rPr>
              <w:t>2</w:t>
            </w:r>
          </w:p>
        </w:tc>
        <w:tc>
          <w:tcPr>
            <w:tcW w:w="1046" w:type="dxa"/>
            <w:vMerge w:val="restart"/>
            <w:tcBorders>
              <w:tl2br w:val="nil"/>
              <w:tr2bl w:val="nil"/>
            </w:tcBorders>
            <w:noWrap w:val="0"/>
            <w:vAlign w:val="center"/>
          </w:tcPr>
          <w:p w14:paraId="4C859F1C">
            <w:pPr>
              <w:pStyle w:val="16"/>
              <w:bidi w:val="0"/>
              <w:ind w:left="0" w:leftChars="0" w:firstLine="0" w:firstLineChars="0"/>
              <w:rPr>
                <w:color w:val="auto"/>
              </w:rPr>
            </w:pPr>
            <w:r>
              <w:rPr>
                <w:color w:val="auto"/>
                <w:sz w:val="21"/>
                <w:szCs w:val="21"/>
              </w:rPr>
              <w:t>8760</w:t>
            </w:r>
          </w:p>
        </w:tc>
        <w:tc>
          <w:tcPr>
            <w:tcW w:w="864" w:type="dxa"/>
            <w:vMerge w:val="restart"/>
            <w:tcBorders>
              <w:tl2br w:val="nil"/>
              <w:tr2bl w:val="nil"/>
            </w:tcBorders>
            <w:noWrap w:val="0"/>
            <w:vAlign w:val="center"/>
          </w:tcPr>
          <w:p w14:paraId="33047DA2">
            <w:pPr>
              <w:pStyle w:val="16"/>
              <w:bidi w:val="0"/>
              <w:ind w:left="0" w:leftChars="0" w:firstLine="0" w:firstLineChars="0"/>
              <w:rPr>
                <w:color w:val="auto"/>
              </w:rPr>
            </w:pPr>
            <w:r>
              <w:rPr>
                <w:color w:val="auto"/>
                <w:sz w:val="21"/>
                <w:szCs w:val="21"/>
              </w:rPr>
              <w:t>正常排放</w:t>
            </w:r>
          </w:p>
        </w:tc>
        <w:tc>
          <w:tcPr>
            <w:tcW w:w="749" w:type="dxa"/>
            <w:tcBorders>
              <w:tl2br w:val="nil"/>
              <w:tr2bl w:val="nil"/>
            </w:tcBorders>
            <w:noWrap w:val="0"/>
            <w:vAlign w:val="center"/>
          </w:tcPr>
          <w:p w14:paraId="69B08234">
            <w:pPr>
              <w:pStyle w:val="16"/>
              <w:bidi w:val="0"/>
              <w:ind w:left="0" w:leftChars="0" w:firstLine="0" w:firstLineChars="0"/>
              <w:rPr>
                <w:color w:val="auto"/>
              </w:rPr>
            </w:pPr>
            <w:r>
              <w:rPr>
                <w:rFonts w:hint="eastAsia"/>
                <w:color w:val="auto"/>
                <w:sz w:val="21"/>
                <w:szCs w:val="21"/>
                <w:lang w:val="en-US" w:eastAsia="zh-CN"/>
              </w:rPr>
              <w:t>0.00045</w:t>
            </w:r>
          </w:p>
        </w:tc>
        <w:tc>
          <w:tcPr>
            <w:tcW w:w="1173" w:type="dxa"/>
            <w:tcBorders>
              <w:tl2br w:val="nil"/>
              <w:tr2bl w:val="nil"/>
            </w:tcBorders>
            <w:noWrap w:val="0"/>
            <w:vAlign w:val="center"/>
          </w:tcPr>
          <w:p w14:paraId="5107D334">
            <w:pPr>
              <w:pStyle w:val="16"/>
              <w:bidi w:val="0"/>
              <w:ind w:left="0" w:leftChars="0" w:firstLine="0" w:firstLineChars="0"/>
              <w:rPr>
                <w:color w:val="auto"/>
              </w:rPr>
            </w:pPr>
            <w:r>
              <w:rPr>
                <w:rFonts w:hint="eastAsia"/>
                <w:color w:val="auto"/>
                <w:sz w:val="21"/>
                <w:szCs w:val="21"/>
                <w:lang w:val="en-US" w:eastAsia="zh-CN"/>
              </w:rPr>
              <w:t>0.000005</w:t>
            </w:r>
          </w:p>
        </w:tc>
      </w:tr>
      <w:tr w14:paraId="70BC85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99" w:type="dxa"/>
            <w:tcBorders>
              <w:tl2br w:val="nil"/>
              <w:tr2bl w:val="nil"/>
            </w:tcBorders>
            <w:noWrap w:val="0"/>
            <w:vAlign w:val="center"/>
          </w:tcPr>
          <w:p w14:paraId="6868AEE2">
            <w:pPr>
              <w:pStyle w:val="16"/>
              <w:bidi w:val="0"/>
              <w:ind w:left="0" w:leftChars="0" w:firstLine="0" w:firstLineChars="0"/>
              <w:rPr>
                <w:rFonts w:hint="eastAsia"/>
                <w:color w:val="auto"/>
                <w:lang w:val="en-US" w:eastAsia="zh-CN"/>
              </w:rPr>
            </w:pPr>
            <w:r>
              <w:rPr>
                <w:rFonts w:hint="eastAsia"/>
                <w:color w:val="auto"/>
                <w:sz w:val="21"/>
                <w:szCs w:val="21"/>
                <w:lang w:val="en-US" w:eastAsia="zh-CN"/>
              </w:rPr>
              <w:t>调节池</w:t>
            </w:r>
          </w:p>
        </w:tc>
        <w:tc>
          <w:tcPr>
            <w:tcW w:w="1242" w:type="dxa"/>
            <w:tcBorders>
              <w:tl2br w:val="nil"/>
              <w:tr2bl w:val="nil"/>
            </w:tcBorders>
            <w:noWrap w:val="0"/>
            <w:vAlign w:val="center"/>
          </w:tcPr>
          <w:p w14:paraId="6992CC82">
            <w:pPr>
              <w:pStyle w:val="16"/>
              <w:bidi w:val="0"/>
              <w:ind w:left="0" w:leftChars="0" w:firstLine="0" w:firstLineChars="0"/>
              <w:rPr>
                <w:rFonts w:hint="eastAsia"/>
                <w:color w:val="auto"/>
              </w:rPr>
            </w:pPr>
            <w:r>
              <w:rPr>
                <w:rFonts w:hint="eastAsia"/>
                <w:color w:val="auto"/>
                <w:sz w:val="21"/>
                <w:szCs w:val="21"/>
              </w:rPr>
              <w:t>106.890510</w:t>
            </w:r>
          </w:p>
        </w:tc>
        <w:tc>
          <w:tcPr>
            <w:tcW w:w="1141" w:type="dxa"/>
            <w:tcBorders>
              <w:tl2br w:val="nil"/>
              <w:tr2bl w:val="nil"/>
            </w:tcBorders>
            <w:noWrap w:val="0"/>
            <w:vAlign w:val="center"/>
          </w:tcPr>
          <w:p w14:paraId="5D61A5BA">
            <w:pPr>
              <w:pStyle w:val="16"/>
              <w:bidi w:val="0"/>
              <w:ind w:left="0" w:leftChars="0" w:firstLine="0" w:firstLineChars="0"/>
              <w:rPr>
                <w:rFonts w:hint="eastAsia"/>
                <w:color w:val="auto"/>
              </w:rPr>
            </w:pPr>
            <w:r>
              <w:rPr>
                <w:rFonts w:hint="eastAsia"/>
                <w:color w:val="auto"/>
                <w:sz w:val="21"/>
                <w:szCs w:val="21"/>
              </w:rPr>
              <w:t>31.753254</w:t>
            </w:r>
          </w:p>
        </w:tc>
        <w:tc>
          <w:tcPr>
            <w:tcW w:w="1088" w:type="dxa"/>
            <w:tcBorders>
              <w:tl2br w:val="nil"/>
              <w:tr2bl w:val="nil"/>
            </w:tcBorders>
            <w:noWrap w:val="0"/>
            <w:vAlign w:val="center"/>
          </w:tcPr>
          <w:p w14:paraId="43740B4B">
            <w:pPr>
              <w:pStyle w:val="16"/>
              <w:bidi w:val="0"/>
              <w:ind w:left="0" w:leftChars="0" w:firstLine="0" w:firstLineChars="0"/>
              <w:rPr>
                <w:rFonts w:hint="eastAsia"/>
                <w:color w:val="auto"/>
                <w:lang w:val="en-US" w:eastAsia="zh-CN"/>
              </w:rPr>
            </w:pPr>
            <w:r>
              <w:rPr>
                <w:rFonts w:hint="eastAsia"/>
                <w:color w:val="auto"/>
                <w:sz w:val="21"/>
                <w:szCs w:val="21"/>
                <w:lang w:val="en-US" w:eastAsia="zh-CN"/>
              </w:rPr>
              <w:t>319.5</w:t>
            </w:r>
          </w:p>
        </w:tc>
        <w:tc>
          <w:tcPr>
            <w:tcW w:w="965" w:type="dxa"/>
            <w:tcBorders>
              <w:tl2br w:val="nil"/>
              <w:tr2bl w:val="nil"/>
            </w:tcBorders>
            <w:noWrap w:val="0"/>
            <w:vAlign w:val="center"/>
          </w:tcPr>
          <w:p w14:paraId="13F7281C">
            <w:pPr>
              <w:pStyle w:val="16"/>
              <w:bidi w:val="0"/>
              <w:ind w:left="0" w:leftChars="0" w:firstLine="0" w:firstLineChars="0"/>
              <w:rPr>
                <w:rFonts w:hint="eastAsia"/>
                <w:color w:val="auto"/>
                <w:lang w:val="en-US" w:eastAsia="zh-CN"/>
              </w:rPr>
            </w:pPr>
            <w:r>
              <w:rPr>
                <w:rFonts w:hint="eastAsia"/>
                <w:color w:val="auto"/>
                <w:sz w:val="21"/>
                <w:szCs w:val="21"/>
                <w:lang w:val="en-US" w:eastAsia="zh-CN"/>
              </w:rPr>
              <w:t>21.1</w:t>
            </w:r>
          </w:p>
        </w:tc>
        <w:tc>
          <w:tcPr>
            <w:tcW w:w="1080" w:type="dxa"/>
            <w:tcBorders>
              <w:tl2br w:val="nil"/>
              <w:tr2bl w:val="nil"/>
            </w:tcBorders>
            <w:noWrap w:val="0"/>
            <w:vAlign w:val="center"/>
          </w:tcPr>
          <w:p w14:paraId="22E741E9">
            <w:pPr>
              <w:pStyle w:val="16"/>
              <w:bidi w:val="0"/>
              <w:ind w:left="0" w:leftChars="0" w:firstLine="0" w:firstLineChars="0"/>
              <w:rPr>
                <w:rFonts w:hint="eastAsia"/>
                <w:color w:val="auto"/>
                <w:lang w:val="en-US" w:eastAsia="zh-CN"/>
              </w:rPr>
            </w:pPr>
            <w:r>
              <w:rPr>
                <w:rFonts w:hint="eastAsia"/>
                <w:color w:val="auto"/>
                <w:sz w:val="21"/>
                <w:szCs w:val="21"/>
                <w:lang w:val="en-US" w:eastAsia="zh-CN"/>
              </w:rPr>
              <w:t>14</w:t>
            </w:r>
          </w:p>
        </w:tc>
        <w:tc>
          <w:tcPr>
            <w:tcW w:w="2011" w:type="dxa"/>
            <w:tcBorders>
              <w:tl2br w:val="nil"/>
              <w:tr2bl w:val="nil"/>
            </w:tcBorders>
            <w:noWrap w:val="0"/>
            <w:vAlign w:val="center"/>
          </w:tcPr>
          <w:p w14:paraId="751AA63D">
            <w:pPr>
              <w:pStyle w:val="16"/>
              <w:bidi w:val="0"/>
              <w:ind w:left="0" w:leftChars="0" w:firstLine="0" w:firstLineChars="0"/>
              <w:rPr>
                <w:rFonts w:hint="eastAsia"/>
                <w:color w:val="auto"/>
                <w:lang w:val="en-US" w:eastAsia="zh-CN"/>
              </w:rPr>
            </w:pPr>
            <w:r>
              <w:rPr>
                <w:rFonts w:hint="eastAsia"/>
                <w:color w:val="auto"/>
                <w:sz w:val="21"/>
                <w:szCs w:val="21"/>
                <w:lang w:val="en-US" w:eastAsia="zh-CN"/>
              </w:rPr>
              <w:t>30</w:t>
            </w:r>
          </w:p>
        </w:tc>
        <w:tc>
          <w:tcPr>
            <w:tcW w:w="1556" w:type="dxa"/>
            <w:tcBorders>
              <w:tl2br w:val="nil"/>
              <w:tr2bl w:val="nil"/>
            </w:tcBorders>
            <w:noWrap w:val="0"/>
            <w:vAlign w:val="center"/>
          </w:tcPr>
          <w:p w14:paraId="4A33A32F">
            <w:pPr>
              <w:pStyle w:val="16"/>
              <w:bidi w:val="0"/>
              <w:ind w:left="0" w:leftChars="0" w:firstLine="0" w:firstLineChars="0"/>
              <w:rPr>
                <w:color w:val="auto"/>
              </w:rPr>
            </w:pPr>
            <w:r>
              <w:rPr>
                <w:rFonts w:hint="eastAsia"/>
                <w:color w:val="auto"/>
                <w:sz w:val="21"/>
                <w:szCs w:val="21"/>
                <w:lang w:val="en-US" w:eastAsia="zh-CN"/>
              </w:rPr>
              <w:t>0</w:t>
            </w:r>
          </w:p>
        </w:tc>
        <w:tc>
          <w:tcPr>
            <w:tcW w:w="1046" w:type="dxa"/>
            <w:vMerge w:val="continue"/>
            <w:tcBorders>
              <w:tl2br w:val="nil"/>
              <w:tr2bl w:val="nil"/>
            </w:tcBorders>
            <w:noWrap w:val="0"/>
            <w:vAlign w:val="center"/>
          </w:tcPr>
          <w:p w14:paraId="789D1A48">
            <w:pPr>
              <w:pStyle w:val="16"/>
              <w:bidi w:val="0"/>
              <w:ind w:left="0" w:leftChars="0" w:firstLine="0" w:firstLineChars="0"/>
              <w:rPr>
                <w:color w:val="auto"/>
              </w:rPr>
            </w:pPr>
          </w:p>
        </w:tc>
        <w:tc>
          <w:tcPr>
            <w:tcW w:w="864" w:type="dxa"/>
            <w:vMerge w:val="continue"/>
            <w:tcBorders>
              <w:tl2br w:val="nil"/>
              <w:tr2bl w:val="nil"/>
            </w:tcBorders>
            <w:noWrap w:val="0"/>
            <w:vAlign w:val="center"/>
          </w:tcPr>
          <w:p w14:paraId="7F67AF8D">
            <w:pPr>
              <w:pStyle w:val="16"/>
              <w:bidi w:val="0"/>
              <w:ind w:left="0" w:leftChars="0" w:firstLine="0" w:firstLineChars="0"/>
              <w:rPr>
                <w:color w:val="auto"/>
              </w:rPr>
            </w:pPr>
          </w:p>
        </w:tc>
        <w:tc>
          <w:tcPr>
            <w:tcW w:w="749" w:type="dxa"/>
            <w:tcBorders>
              <w:tl2br w:val="nil"/>
              <w:tr2bl w:val="nil"/>
            </w:tcBorders>
            <w:noWrap w:val="0"/>
            <w:vAlign w:val="center"/>
          </w:tcPr>
          <w:p w14:paraId="3260883D">
            <w:pPr>
              <w:pStyle w:val="16"/>
              <w:bidi w:val="0"/>
              <w:ind w:left="0" w:leftChars="0" w:firstLine="0" w:firstLineChars="0"/>
              <w:rPr>
                <w:color w:val="auto"/>
              </w:rPr>
            </w:pPr>
            <w:r>
              <w:rPr>
                <w:rFonts w:hint="eastAsia"/>
                <w:color w:val="auto"/>
                <w:sz w:val="21"/>
                <w:szCs w:val="21"/>
                <w:lang w:val="en-US" w:eastAsia="zh-CN"/>
              </w:rPr>
              <w:t>0.122</w:t>
            </w:r>
          </w:p>
        </w:tc>
        <w:tc>
          <w:tcPr>
            <w:tcW w:w="1173" w:type="dxa"/>
            <w:tcBorders>
              <w:tl2br w:val="nil"/>
              <w:tr2bl w:val="nil"/>
            </w:tcBorders>
            <w:noWrap w:val="0"/>
            <w:vAlign w:val="center"/>
          </w:tcPr>
          <w:p w14:paraId="7461F472">
            <w:pPr>
              <w:pStyle w:val="16"/>
              <w:bidi w:val="0"/>
              <w:ind w:left="0" w:leftChars="0" w:firstLine="0" w:firstLineChars="0"/>
              <w:rPr>
                <w:rFonts w:hint="eastAsia"/>
                <w:color w:val="auto"/>
                <w:lang w:val="en-US" w:eastAsia="zh-CN"/>
              </w:rPr>
            </w:pPr>
            <w:r>
              <w:rPr>
                <w:rFonts w:hint="eastAsia"/>
                <w:color w:val="auto"/>
                <w:sz w:val="21"/>
                <w:szCs w:val="21"/>
                <w:lang w:val="en-US" w:eastAsia="zh-CN"/>
              </w:rPr>
              <w:t>0.000124</w:t>
            </w:r>
          </w:p>
        </w:tc>
      </w:tr>
      <w:tr w14:paraId="445671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99" w:type="dxa"/>
            <w:tcBorders>
              <w:tl2br w:val="nil"/>
              <w:tr2bl w:val="nil"/>
            </w:tcBorders>
            <w:noWrap w:val="0"/>
            <w:vAlign w:val="center"/>
          </w:tcPr>
          <w:p w14:paraId="71471746">
            <w:pPr>
              <w:pStyle w:val="16"/>
              <w:bidi w:val="0"/>
              <w:ind w:left="0" w:leftChars="0" w:firstLine="0" w:firstLineChars="0"/>
              <w:rPr>
                <w:rFonts w:hint="eastAsia"/>
                <w:color w:val="auto"/>
                <w:lang w:val="en-US" w:eastAsia="zh-CN"/>
              </w:rPr>
            </w:pPr>
            <w:r>
              <w:rPr>
                <w:rFonts w:hint="eastAsia"/>
                <w:color w:val="auto"/>
                <w:sz w:val="21"/>
                <w:szCs w:val="21"/>
                <w:lang w:val="en-US" w:eastAsia="zh-CN"/>
              </w:rPr>
              <w:t>水解酸化池</w:t>
            </w:r>
          </w:p>
        </w:tc>
        <w:tc>
          <w:tcPr>
            <w:tcW w:w="1242" w:type="dxa"/>
            <w:tcBorders>
              <w:tl2br w:val="nil"/>
              <w:tr2bl w:val="nil"/>
            </w:tcBorders>
            <w:noWrap w:val="0"/>
            <w:vAlign w:val="center"/>
          </w:tcPr>
          <w:p w14:paraId="0A219762">
            <w:pPr>
              <w:pStyle w:val="16"/>
              <w:bidi w:val="0"/>
              <w:ind w:left="0" w:leftChars="0" w:firstLine="0" w:firstLineChars="0"/>
              <w:rPr>
                <w:rFonts w:hint="eastAsia"/>
                <w:color w:val="auto"/>
              </w:rPr>
            </w:pPr>
            <w:r>
              <w:rPr>
                <w:rFonts w:hint="eastAsia"/>
                <w:color w:val="auto"/>
                <w:sz w:val="21"/>
                <w:szCs w:val="21"/>
              </w:rPr>
              <w:t>106.890770</w:t>
            </w:r>
          </w:p>
        </w:tc>
        <w:tc>
          <w:tcPr>
            <w:tcW w:w="1141" w:type="dxa"/>
            <w:tcBorders>
              <w:tl2br w:val="nil"/>
              <w:tr2bl w:val="nil"/>
            </w:tcBorders>
            <w:noWrap w:val="0"/>
            <w:vAlign w:val="center"/>
          </w:tcPr>
          <w:p w14:paraId="2EE3C67A">
            <w:pPr>
              <w:pStyle w:val="16"/>
              <w:bidi w:val="0"/>
              <w:ind w:left="0" w:leftChars="0" w:firstLine="0" w:firstLineChars="0"/>
              <w:rPr>
                <w:rFonts w:hint="eastAsia"/>
                <w:color w:val="auto"/>
              </w:rPr>
            </w:pPr>
            <w:r>
              <w:rPr>
                <w:rFonts w:hint="eastAsia"/>
                <w:color w:val="auto"/>
                <w:sz w:val="21"/>
                <w:szCs w:val="21"/>
              </w:rPr>
              <w:t>31.753156</w:t>
            </w:r>
          </w:p>
        </w:tc>
        <w:tc>
          <w:tcPr>
            <w:tcW w:w="1088" w:type="dxa"/>
            <w:tcBorders>
              <w:tl2br w:val="nil"/>
              <w:tr2bl w:val="nil"/>
            </w:tcBorders>
            <w:noWrap w:val="0"/>
            <w:vAlign w:val="center"/>
          </w:tcPr>
          <w:p w14:paraId="5ECF70D6">
            <w:pPr>
              <w:pStyle w:val="16"/>
              <w:bidi w:val="0"/>
              <w:ind w:left="0" w:leftChars="0" w:firstLine="0" w:firstLineChars="0"/>
              <w:rPr>
                <w:rFonts w:hint="eastAsia"/>
                <w:color w:val="auto"/>
                <w:lang w:val="en-US" w:eastAsia="zh-CN"/>
              </w:rPr>
            </w:pPr>
            <w:r>
              <w:rPr>
                <w:rFonts w:hint="eastAsia"/>
                <w:color w:val="auto"/>
                <w:sz w:val="21"/>
                <w:szCs w:val="21"/>
                <w:lang w:val="en-US" w:eastAsia="zh-CN"/>
              </w:rPr>
              <w:t>326</w:t>
            </w:r>
          </w:p>
        </w:tc>
        <w:tc>
          <w:tcPr>
            <w:tcW w:w="965" w:type="dxa"/>
            <w:tcBorders>
              <w:tl2br w:val="nil"/>
              <w:tr2bl w:val="nil"/>
            </w:tcBorders>
            <w:noWrap w:val="0"/>
            <w:vAlign w:val="center"/>
          </w:tcPr>
          <w:p w14:paraId="41180716">
            <w:pPr>
              <w:pStyle w:val="16"/>
              <w:bidi w:val="0"/>
              <w:ind w:left="0" w:leftChars="0" w:firstLine="0" w:firstLineChars="0"/>
              <w:rPr>
                <w:rFonts w:hint="eastAsia"/>
                <w:color w:val="auto"/>
                <w:lang w:val="en-US" w:eastAsia="zh-CN"/>
              </w:rPr>
            </w:pPr>
            <w:r>
              <w:rPr>
                <w:rFonts w:hint="eastAsia"/>
                <w:color w:val="auto"/>
                <w:sz w:val="21"/>
                <w:szCs w:val="21"/>
                <w:lang w:val="en-US" w:eastAsia="zh-CN"/>
              </w:rPr>
              <w:t>33.2</w:t>
            </w:r>
          </w:p>
        </w:tc>
        <w:tc>
          <w:tcPr>
            <w:tcW w:w="1080" w:type="dxa"/>
            <w:tcBorders>
              <w:tl2br w:val="nil"/>
              <w:tr2bl w:val="nil"/>
            </w:tcBorders>
            <w:noWrap w:val="0"/>
            <w:vAlign w:val="center"/>
          </w:tcPr>
          <w:p w14:paraId="4A46F4BC">
            <w:pPr>
              <w:pStyle w:val="16"/>
              <w:bidi w:val="0"/>
              <w:ind w:left="0" w:leftChars="0" w:firstLine="0" w:firstLineChars="0"/>
              <w:rPr>
                <w:rFonts w:hint="eastAsia"/>
                <w:color w:val="auto"/>
                <w:lang w:val="en-US" w:eastAsia="zh-CN"/>
              </w:rPr>
            </w:pPr>
            <w:r>
              <w:rPr>
                <w:rFonts w:hint="eastAsia"/>
                <w:color w:val="auto"/>
                <w:sz w:val="21"/>
                <w:szCs w:val="21"/>
                <w:lang w:val="en-US" w:eastAsia="zh-CN"/>
              </w:rPr>
              <w:t>8.4</w:t>
            </w:r>
          </w:p>
        </w:tc>
        <w:tc>
          <w:tcPr>
            <w:tcW w:w="2011" w:type="dxa"/>
            <w:tcBorders>
              <w:tl2br w:val="nil"/>
              <w:tr2bl w:val="nil"/>
            </w:tcBorders>
            <w:noWrap w:val="0"/>
            <w:vAlign w:val="center"/>
          </w:tcPr>
          <w:p w14:paraId="52727D02">
            <w:pPr>
              <w:pStyle w:val="16"/>
              <w:bidi w:val="0"/>
              <w:ind w:left="0" w:leftChars="0" w:firstLine="0" w:firstLineChars="0"/>
              <w:rPr>
                <w:rFonts w:hint="eastAsia"/>
                <w:color w:val="auto"/>
                <w:lang w:val="en-US" w:eastAsia="zh-CN"/>
              </w:rPr>
            </w:pPr>
            <w:r>
              <w:rPr>
                <w:rFonts w:hint="eastAsia"/>
                <w:color w:val="auto"/>
                <w:sz w:val="21"/>
                <w:szCs w:val="21"/>
                <w:lang w:val="en-US" w:eastAsia="zh-CN"/>
              </w:rPr>
              <w:t>30</w:t>
            </w:r>
          </w:p>
        </w:tc>
        <w:tc>
          <w:tcPr>
            <w:tcW w:w="1556" w:type="dxa"/>
            <w:tcBorders>
              <w:tl2br w:val="nil"/>
              <w:tr2bl w:val="nil"/>
            </w:tcBorders>
            <w:noWrap w:val="0"/>
            <w:vAlign w:val="center"/>
          </w:tcPr>
          <w:p w14:paraId="74F3680D">
            <w:pPr>
              <w:pStyle w:val="16"/>
              <w:bidi w:val="0"/>
              <w:ind w:left="0" w:leftChars="0" w:firstLine="0" w:firstLineChars="0"/>
              <w:rPr>
                <w:color w:val="auto"/>
              </w:rPr>
            </w:pPr>
            <w:r>
              <w:rPr>
                <w:rFonts w:hint="eastAsia"/>
                <w:color w:val="auto"/>
                <w:sz w:val="21"/>
                <w:szCs w:val="21"/>
                <w:lang w:val="en-US" w:eastAsia="zh-CN"/>
              </w:rPr>
              <w:t>6.6</w:t>
            </w:r>
          </w:p>
        </w:tc>
        <w:tc>
          <w:tcPr>
            <w:tcW w:w="1046" w:type="dxa"/>
            <w:vMerge w:val="continue"/>
            <w:tcBorders>
              <w:tl2br w:val="nil"/>
              <w:tr2bl w:val="nil"/>
            </w:tcBorders>
            <w:noWrap w:val="0"/>
            <w:vAlign w:val="center"/>
          </w:tcPr>
          <w:p w14:paraId="2D7B86E1">
            <w:pPr>
              <w:pStyle w:val="16"/>
              <w:bidi w:val="0"/>
              <w:ind w:left="0" w:leftChars="0" w:firstLine="0" w:firstLineChars="0"/>
              <w:rPr>
                <w:color w:val="auto"/>
              </w:rPr>
            </w:pPr>
          </w:p>
        </w:tc>
        <w:tc>
          <w:tcPr>
            <w:tcW w:w="864" w:type="dxa"/>
            <w:vMerge w:val="continue"/>
            <w:tcBorders>
              <w:tl2br w:val="nil"/>
              <w:tr2bl w:val="nil"/>
            </w:tcBorders>
            <w:noWrap w:val="0"/>
            <w:vAlign w:val="center"/>
          </w:tcPr>
          <w:p w14:paraId="662B49B7">
            <w:pPr>
              <w:pStyle w:val="16"/>
              <w:bidi w:val="0"/>
              <w:ind w:left="0" w:leftChars="0" w:firstLine="0" w:firstLineChars="0"/>
              <w:rPr>
                <w:color w:val="auto"/>
              </w:rPr>
            </w:pPr>
          </w:p>
        </w:tc>
        <w:tc>
          <w:tcPr>
            <w:tcW w:w="749" w:type="dxa"/>
            <w:tcBorders>
              <w:tl2br w:val="nil"/>
              <w:tr2bl w:val="nil"/>
            </w:tcBorders>
            <w:noWrap w:val="0"/>
            <w:vAlign w:val="center"/>
          </w:tcPr>
          <w:p w14:paraId="314488B7">
            <w:pPr>
              <w:pStyle w:val="16"/>
              <w:bidi w:val="0"/>
              <w:ind w:left="0" w:leftChars="0" w:firstLine="0" w:firstLineChars="0"/>
              <w:rPr>
                <w:color w:val="auto"/>
              </w:rPr>
            </w:pPr>
            <w:r>
              <w:rPr>
                <w:rFonts w:hint="eastAsia"/>
                <w:color w:val="auto"/>
                <w:sz w:val="21"/>
                <w:szCs w:val="21"/>
                <w:lang w:val="en-US" w:eastAsia="zh-CN"/>
              </w:rPr>
              <w:t>0.0046</w:t>
            </w:r>
          </w:p>
        </w:tc>
        <w:tc>
          <w:tcPr>
            <w:tcW w:w="1173" w:type="dxa"/>
            <w:tcBorders>
              <w:tl2br w:val="nil"/>
              <w:tr2bl w:val="nil"/>
            </w:tcBorders>
            <w:noWrap w:val="0"/>
            <w:vAlign w:val="center"/>
          </w:tcPr>
          <w:p w14:paraId="27BEA404">
            <w:pPr>
              <w:pStyle w:val="16"/>
              <w:bidi w:val="0"/>
              <w:ind w:left="0" w:leftChars="0" w:firstLine="0" w:firstLineChars="0"/>
              <w:rPr>
                <w:rFonts w:hint="eastAsia"/>
                <w:color w:val="auto"/>
                <w:lang w:val="en-US" w:eastAsia="zh-CN"/>
              </w:rPr>
            </w:pPr>
            <w:r>
              <w:rPr>
                <w:rFonts w:hint="eastAsia"/>
                <w:color w:val="auto"/>
                <w:sz w:val="21"/>
                <w:szCs w:val="21"/>
                <w:lang w:val="en-US" w:eastAsia="zh-CN"/>
              </w:rPr>
              <w:t>0.00047</w:t>
            </w:r>
          </w:p>
        </w:tc>
      </w:tr>
      <w:tr w14:paraId="0F4300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99" w:type="dxa"/>
            <w:tcBorders>
              <w:tl2br w:val="nil"/>
              <w:tr2bl w:val="nil"/>
            </w:tcBorders>
            <w:noWrap w:val="0"/>
            <w:vAlign w:val="center"/>
          </w:tcPr>
          <w:p w14:paraId="496851D4">
            <w:pPr>
              <w:pStyle w:val="16"/>
              <w:bidi w:val="0"/>
              <w:ind w:left="0" w:leftChars="0" w:firstLine="0" w:firstLineChars="0"/>
              <w:rPr>
                <w:rFonts w:hint="eastAsia"/>
                <w:color w:val="auto"/>
                <w:lang w:val="en-US" w:eastAsia="zh-CN"/>
              </w:rPr>
            </w:pPr>
            <w:r>
              <w:rPr>
                <w:rFonts w:hint="eastAsia"/>
                <w:color w:val="auto"/>
                <w:sz w:val="21"/>
                <w:szCs w:val="21"/>
                <w:lang w:val="en-US" w:eastAsia="zh-CN"/>
              </w:rPr>
              <w:t>EBIS生化池</w:t>
            </w:r>
          </w:p>
        </w:tc>
        <w:tc>
          <w:tcPr>
            <w:tcW w:w="1242" w:type="dxa"/>
            <w:tcBorders>
              <w:tl2br w:val="nil"/>
              <w:tr2bl w:val="nil"/>
            </w:tcBorders>
            <w:noWrap w:val="0"/>
            <w:vAlign w:val="center"/>
          </w:tcPr>
          <w:p w14:paraId="1A8F9DFB">
            <w:pPr>
              <w:pStyle w:val="16"/>
              <w:bidi w:val="0"/>
              <w:ind w:left="0" w:leftChars="0" w:firstLine="0" w:firstLineChars="0"/>
              <w:rPr>
                <w:rFonts w:hint="eastAsia"/>
                <w:color w:val="auto"/>
              </w:rPr>
            </w:pPr>
            <w:r>
              <w:rPr>
                <w:rFonts w:hint="eastAsia"/>
                <w:color w:val="auto"/>
                <w:sz w:val="21"/>
                <w:szCs w:val="21"/>
              </w:rPr>
              <w:t>106.890963</w:t>
            </w:r>
          </w:p>
        </w:tc>
        <w:tc>
          <w:tcPr>
            <w:tcW w:w="1141" w:type="dxa"/>
            <w:tcBorders>
              <w:tl2br w:val="nil"/>
              <w:tr2bl w:val="nil"/>
            </w:tcBorders>
            <w:noWrap w:val="0"/>
            <w:vAlign w:val="center"/>
          </w:tcPr>
          <w:p w14:paraId="2D1BE48A">
            <w:pPr>
              <w:pStyle w:val="16"/>
              <w:bidi w:val="0"/>
              <w:ind w:left="0" w:leftChars="0" w:firstLine="0" w:firstLineChars="0"/>
              <w:rPr>
                <w:rFonts w:hint="eastAsia"/>
                <w:color w:val="auto"/>
              </w:rPr>
            </w:pPr>
            <w:r>
              <w:rPr>
                <w:rFonts w:hint="eastAsia"/>
                <w:color w:val="auto"/>
                <w:sz w:val="21"/>
                <w:szCs w:val="21"/>
              </w:rPr>
              <w:t>31.75308</w:t>
            </w:r>
            <w:r>
              <w:rPr>
                <w:rFonts w:hint="eastAsia"/>
                <w:color w:val="auto"/>
                <w:sz w:val="21"/>
                <w:szCs w:val="21"/>
                <w:lang w:val="en-US" w:eastAsia="zh-CN"/>
              </w:rPr>
              <w:t>7</w:t>
            </w:r>
          </w:p>
        </w:tc>
        <w:tc>
          <w:tcPr>
            <w:tcW w:w="1088" w:type="dxa"/>
            <w:tcBorders>
              <w:tl2br w:val="nil"/>
              <w:tr2bl w:val="nil"/>
            </w:tcBorders>
            <w:noWrap w:val="0"/>
            <w:vAlign w:val="center"/>
          </w:tcPr>
          <w:p w14:paraId="4CF0CD41">
            <w:pPr>
              <w:pStyle w:val="16"/>
              <w:bidi w:val="0"/>
              <w:ind w:left="0" w:leftChars="0" w:firstLine="0" w:firstLineChars="0"/>
              <w:rPr>
                <w:rFonts w:hint="eastAsia"/>
                <w:color w:val="auto"/>
                <w:lang w:val="en-US" w:eastAsia="zh-CN"/>
              </w:rPr>
            </w:pPr>
            <w:r>
              <w:rPr>
                <w:rFonts w:hint="eastAsia"/>
                <w:color w:val="auto"/>
                <w:sz w:val="21"/>
                <w:szCs w:val="21"/>
                <w:lang w:val="en-US" w:eastAsia="zh-CN"/>
              </w:rPr>
              <w:t>326</w:t>
            </w:r>
          </w:p>
        </w:tc>
        <w:tc>
          <w:tcPr>
            <w:tcW w:w="965" w:type="dxa"/>
            <w:tcBorders>
              <w:tl2br w:val="nil"/>
              <w:tr2bl w:val="nil"/>
            </w:tcBorders>
            <w:noWrap w:val="0"/>
            <w:vAlign w:val="center"/>
          </w:tcPr>
          <w:p w14:paraId="282F84FB">
            <w:pPr>
              <w:pStyle w:val="16"/>
              <w:bidi w:val="0"/>
              <w:ind w:left="0" w:leftChars="0" w:firstLine="0" w:firstLineChars="0"/>
              <w:rPr>
                <w:rFonts w:hint="eastAsia"/>
                <w:color w:val="auto"/>
                <w:lang w:val="en-US" w:eastAsia="zh-CN"/>
              </w:rPr>
            </w:pPr>
            <w:r>
              <w:rPr>
                <w:rFonts w:hint="eastAsia"/>
                <w:color w:val="auto"/>
                <w:sz w:val="21"/>
                <w:szCs w:val="21"/>
                <w:lang w:val="en-US" w:eastAsia="zh-CN"/>
              </w:rPr>
              <w:t>32.7</w:t>
            </w:r>
          </w:p>
        </w:tc>
        <w:tc>
          <w:tcPr>
            <w:tcW w:w="1080" w:type="dxa"/>
            <w:tcBorders>
              <w:tl2br w:val="nil"/>
              <w:tr2bl w:val="nil"/>
            </w:tcBorders>
            <w:noWrap w:val="0"/>
            <w:vAlign w:val="center"/>
          </w:tcPr>
          <w:p w14:paraId="5AC74451">
            <w:pPr>
              <w:pStyle w:val="16"/>
              <w:bidi w:val="0"/>
              <w:ind w:left="0" w:leftChars="0" w:firstLine="0" w:firstLineChars="0"/>
              <w:rPr>
                <w:rFonts w:hint="eastAsia"/>
                <w:color w:val="auto"/>
                <w:lang w:val="en-US" w:eastAsia="zh-CN"/>
              </w:rPr>
            </w:pPr>
            <w:r>
              <w:rPr>
                <w:rFonts w:hint="eastAsia"/>
                <w:color w:val="auto"/>
                <w:sz w:val="21"/>
                <w:szCs w:val="21"/>
                <w:lang w:val="en-US" w:eastAsia="zh-CN"/>
              </w:rPr>
              <w:t>20.8</w:t>
            </w:r>
          </w:p>
        </w:tc>
        <w:tc>
          <w:tcPr>
            <w:tcW w:w="2011" w:type="dxa"/>
            <w:tcBorders>
              <w:tl2br w:val="nil"/>
              <w:tr2bl w:val="nil"/>
            </w:tcBorders>
            <w:noWrap w:val="0"/>
            <w:vAlign w:val="center"/>
          </w:tcPr>
          <w:p w14:paraId="5E9BD3AB">
            <w:pPr>
              <w:pStyle w:val="16"/>
              <w:bidi w:val="0"/>
              <w:ind w:left="0" w:leftChars="0" w:firstLine="0" w:firstLineChars="0"/>
              <w:rPr>
                <w:rFonts w:hint="eastAsia"/>
                <w:color w:val="auto"/>
                <w:lang w:val="en-US" w:eastAsia="zh-CN"/>
              </w:rPr>
            </w:pPr>
            <w:r>
              <w:rPr>
                <w:rFonts w:hint="eastAsia"/>
                <w:color w:val="auto"/>
                <w:sz w:val="21"/>
                <w:szCs w:val="21"/>
                <w:lang w:val="en-US" w:eastAsia="zh-CN"/>
              </w:rPr>
              <w:t>30</w:t>
            </w:r>
          </w:p>
        </w:tc>
        <w:tc>
          <w:tcPr>
            <w:tcW w:w="1556" w:type="dxa"/>
            <w:tcBorders>
              <w:tl2br w:val="nil"/>
              <w:tr2bl w:val="nil"/>
            </w:tcBorders>
            <w:noWrap w:val="0"/>
            <w:vAlign w:val="center"/>
          </w:tcPr>
          <w:p w14:paraId="46E49534">
            <w:pPr>
              <w:pStyle w:val="16"/>
              <w:bidi w:val="0"/>
              <w:ind w:left="0" w:leftChars="0" w:firstLine="0" w:firstLineChars="0"/>
              <w:rPr>
                <w:color w:val="auto"/>
              </w:rPr>
            </w:pPr>
            <w:r>
              <w:rPr>
                <w:rFonts w:hint="eastAsia"/>
                <w:color w:val="auto"/>
                <w:sz w:val="21"/>
                <w:szCs w:val="21"/>
                <w:lang w:val="en-US" w:eastAsia="zh-CN"/>
              </w:rPr>
              <w:t>6.3</w:t>
            </w:r>
          </w:p>
        </w:tc>
        <w:tc>
          <w:tcPr>
            <w:tcW w:w="1046" w:type="dxa"/>
            <w:vMerge w:val="continue"/>
            <w:tcBorders>
              <w:tl2br w:val="nil"/>
              <w:tr2bl w:val="nil"/>
            </w:tcBorders>
            <w:noWrap w:val="0"/>
            <w:vAlign w:val="center"/>
          </w:tcPr>
          <w:p w14:paraId="4577A0D0">
            <w:pPr>
              <w:pStyle w:val="16"/>
              <w:bidi w:val="0"/>
              <w:ind w:left="0" w:leftChars="0" w:firstLine="0" w:firstLineChars="0"/>
              <w:rPr>
                <w:color w:val="auto"/>
              </w:rPr>
            </w:pPr>
          </w:p>
        </w:tc>
        <w:tc>
          <w:tcPr>
            <w:tcW w:w="864" w:type="dxa"/>
            <w:vMerge w:val="continue"/>
            <w:tcBorders>
              <w:tl2br w:val="nil"/>
              <w:tr2bl w:val="nil"/>
            </w:tcBorders>
            <w:noWrap w:val="0"/>
            <w:vAlign w:val="center"/>
          </w:tcPr>
          <w:p w14:paraId="56C420C8">
            <w:pPr>
              <w:pStyle w:val="16"/>
              <w:bidi w:val="0"/>
              <w:ind w:left="0" w:leftChars="0" w:firstLine="0" w:firstLineChars="0"/>
              <w:rPr>
                <w:color w:val="auto"/>
              </w:rPr>
            </w:pPr>
          </w:p>
        </w:tc>
        <w:tc>
          <w:tcPr>
            <w:tcW w:w="749" w:type="dxa"/>
            <w:tcBorders>
              <w:tl2br w:val="nil"/>
              <w:tr2bl w:val="nil"/>
            </w:tcBorders>
            <w:noWrap w:val="0"/>
            <w:vAlign w:val="center"/>
          </w:tcPr>
          <w:p w14:paraId="0B509A03">
            <w:pPr>
              <w:pStyle w:val="16"/>
              <w:bidi w:val="0"/>
              <w:ind w:left="0" w:leftChars="0" w:firstLine="0" w:firstLineChars="0"/>
              <w:rPr>
                <w:color w:val="auto"/>
              </w:rPr>
            </w:pPr>
            <w:r>
              <w:rPr>
                <w:rFonts w:hint="eastAsia"/>
                <w:color w:val="auto"/>
                <w:sz w:val="21"/>
                <w:szCs w:val="21"/>
                <w:lang w:val="en-US" w:eastAsia="zh-CN"/>
              </w:rPr>
              <w:t>0.0022</w:t>
            </w:r>
          </w:p>
        </w:tc>
        <w:tc>
          <w:tcPr>
            <w:tcW w:w="1173" w:type="dxa"/>
            <w:tcBorders>
              <w:tl2br w:val="nil"/>
              <w:tr2bl w:val="nil"/>
            </w:tcBorders>
            <w:noWrap w:val="0"/>
            <w:vAlign w:val="center"/>
          </w:tcPr>
          <w:p w14:paraId="38D404EE">
            <w:pPr>
              <w:pStyle w:val="16"/>
              <w:bidi w:val="0"/>
              <w:ind w:left="0" w:leftChars="0" w:firstLine="0" w:firstLineChars="0"/>
              <w:rPr>
                <w:rFonts w:hint="eastAsia"/>
                <w:color w:val="auto"/>
                <w:lang w:val="en-US" w:eastAsia="zh-CN"/>
              </w:rPr>
            </w:pPr>
            <w:r>
              <w:rPr>
                <w:rFonts w:hint="eastAsia"/>
                <w:color w:val="auto"/>
                <w:sz w:val="21"/>
                <w:szCs w:val="21"/>
                <w:lang w:val="en-US" w:eastAsia="zh-CN"/>
              </w:rPr>
              <w:t>0.00006</w:t>
            </w:r>
          </w:p>
        </w:tc>
      </w:tr>
      <w:tr w14:paraId="0BA9E5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99" w:type="dxa"/>
            <w:tcBorders>
              <w:tl2br w:val="nil"/>
              <w:tr2bl w:val="nil"/>
            </w:tcBorders>
            <w:noWrap w:val="0"/>
            <w:vAlign w:val="center"/>
          </w:tcPr>
          <w:p w14:paraId="34E2BE50">
            <w:pPr>
              <w:pStyle w:val="16"/>
              <w:bidi w:val="0"/>
              <w:ind w:left="0" w:leftChars="0" w:firstLine="0" w:firstLineChars="0"/>
              <w:rPr>
                <w:rFonts w:hint="eastAsia"/>
                <w:color w:val="auto"/>
                <w:lang w:val="en-US" w:eastAsia="zh-CN"/>
              </w:rPr>
            </w:pPr>
            <w:r>
              <w:rPr>
                <w:rFonts w:hint="eastAsia"/>
                <w:color w:val="auto"/>
                <w:sz w:val="21"/>
                <w:szCs w:val="21"/>
                <w:lang w:val="en-US" w:eastAsia="zh-CN"/>
              </w:rPr>
              <w:t>磁混凝沉淀池</w:t>
            </w:r>
          </w:p>
        </w:tc>
        <w:tc>
          <w:tcPr>
            <w:tcW w:w="1242" w:type="dxa"/>
            <w:tcBorders>
              <w:tl2br w:val="nil"/>
              <w:tr2bl w:val="nil"/>
            </w:tcBorders>
            <w:noWrap w:val="0"/>
            <w:vAlign w:val="center"/>
          </w:tcPr>
          <w:p w14:paraId="5875BD23">
            <w:pPr>
              <w:pStyle w:val="16"/>
              <w:bidi w:val="0"/>
              <w:ind w:left="0" w:leftChars="0" w:firstLine="0" w:firstLineChars="0"/>
              <w:rPr>
                <w:rFonts w:hint="eastAsia"/>
                <w:color w:val="auto"/>
              </w:rPr>
            </w:pPr>
            <w:r>
              <w:rPr>
                <w:rFonts w:hint="eastAsia"/>
                <w:color w:val="auto"/>
                <w:sz w:val="21"/>
                <w:szCs w:val="21"/>
              </w:rPr>
              <w:t>106.89133</w:t>
            </w:r>
            <w:r>
              <w:rPr>
                <w:rFonts w:hint="eastAsia"/>
                <w:color w:val="auto"/>
                <w:sz w:val="21"/>
                <w:szCs w:val="21"/>
                <w:lang w:val="en-US" w:eastAsia="zh-CN"/>
              </w:rPr>
              <w:t>1</w:t>
            </w:r>
          </w:p>
        </w:tc>
        <w:tc>
          <w:tcPr>
            <w:tcW w:w="1141" w:type="dxa"/>
            <w:tcBorders>
              <w:tl2br w:val="nil"/>
              <w:tr2bl w:val="nil"/>
            </w:tcBorders>
            <w:noWrap w:val="0"/>
            <w:vAlign w:val="center"/>
          </w:tcPr>
          <w:p w14:paraId="732712F7">
            <w:pPr>
              <w:pStyle w:val="16"/>
              <w:bidi w:val="0"/>
              <w:ind w:left="0" w:leftChars="0" w:firstLine="0" w:firstLineChars="0"/>
              <w:rPr>
                <w:rFonts w:hint="eastAsia"/>
                <w:color w:val="auto"/>
              </w:rPr>
            </w:pPr>
            <w:r>
              <w:rPr>
                <w:rFonts w:hint="eastAsia"/>
                <w:color w:val="auto"/>
                <w:sz w:val="21"/>
                <w:szCs w:val="21"/>
              </w:rPr>
              <w:t>31.75331</w:t>
            </w:r>
            <w:r>
              <w:rPr>
                <w:rFonts w:hint="eastAsia"/>
                <w:color w:val="auto"/>
                <w:sz w:val="21"/>
                <w:szCs w:val="21"/>
                <w:lang w:val="en-US" w:eastAsia="zh-CN"/>
              </w:rPr>
              <w:t>5</w:t>
            </w:r>
          </w:p>
        </w:tc>
        <w:tc>
          <w:tcPr>
            <w:tcW w:w="1088" w:type="dxa"/>
            <w:tcBorders>
              <w:tl2br w:val="nil"/>
              <w:tr2bl w:val="nil"/>
            </w:tcBorders>
            <w:noWrap w:val="0"/>
            <w:vAlign w:val="center"/>
          </w:tcPr>
          <w:p w14:paraId="509010BA">
            <w:pPr>
              <w:pStyle w:val="16"/>
              <w:bidi w:val="0"/>
              <w:ind w:left="0" w:leftChars="0" w:firstLine="0" w:firstLineChars="0"/>
              <w:rPr>
                <w:rFonts w:hint="eastAsia"/>
                <w:color w:val="auto"/>
                <w:lang w:val="en-US" w:eastAsia="zh-CN"/>
              </w:rPr>
            </w:pPr>
            <w:r>
              <w:rPr>
                <w:rFonts w:hint="eastAsia"/>
                <w:color w:val="auto"/>
                <w:sz w:val="21"/>
                <w:szCs w:val="21"/>
                <w:lang w:val="en-US" w:eastAsia="zh-CN"/>
              </w:rPr>
              <w:t>326.5</w:t>
            </w:r>
          </w:p>
        </w:tc>
        <w:tc>
          <w:tcPr>
            <w:tcW w:w="965" w:type="dxa"/>
            <w:tcBorders>
              <w:tl2br w:val="nil"/>
              <w:tr2bl w:val="nil"/>
            </w:tcBorders>
            <w:noWrap w:val="0"/>
            <w:vAlign w:val="center"/>
          </w:tcPr>
          <w:p w14:paraId="25A78248">
            <w:pPr>
              <w:pStyle w:val="16"/>
              <w:bidi w:val="0"/>
              <w:ind w:left="0" w:leftChars="0" w:firstLine="0" w:firstLineChars="0"/>
              <w:rPr>
                <w:rFonts w:hint="eastAsia"/>
                <w:color w:val="auto"/>
                <w:lang w:val="en-US" w:eastAsia="zh-CN"/>
              </w:rPr>
            </w:pPr>
            <w:r>
              <w:rPr>
                <w:rFonts w:hint="eastAsia"/>
                <w:color w:val="auto"/>
                <w:sz w:val="21"/>
                <w:szCs w:val="21"/>
                <w:lang w:val="en-US" w:eastAsia="zh-CN"/>
              </w:rPr>
              <w:t>19.2</w:t>
            </w:r>
          </w:p>
        </w:tc>
        <w:tc>
          <w:tcPr>
            <w:tcW w:w="1080" w:type="dxa"/>
            <w:tcBorders>
              <w:tl2br w:val="nil"/>
              <w:tr2bl w:val="nil"/>
            </w:tcBorders>
            <w:noWrap w:val="0"/>
            <w:vAlign w:val="center"/>
          </w:tcPr>
          <w:p w14:paraId="333275AA">
            <w:pPr>
              <w:pStyle w:val="16"/>
              <w:bidi w:val="0"/>
              <w:ind w:left="0" w:leftChars="0" w:firstLine="0" w:firstLineChars="0"/>
              <w:rPr>
                <w:rFonts w:hint="eastAsia"/>
                <w:color w:val="auto"/>
                <w:lang w:val="en-US" w:eastAsia="zh-CN"/>
              </w:rPr>
            </w:pPr>
            <w:r>
              <w:rPr>
                <w:rFonts w:hint="eastAsia"/>
                <w:color w:val="auto"/>
                <w:sz w:val="21"/>
                <w:szCs w:val="21"/>
                <w:lang w:val="en-US" w:eastAsia="zh-CN"/>
              </w:rPr>
              <w:t>12</w:t>
            </w:r>
          </w:p>
        </w:tc>
        <w:tc>
          <w:tcPr>
            <w:tcW w:w="2011" w:type="dxa"/>
            <w:tcBorders>
              <w:tl2br w:val="nil"/>
              <w:tr2bl w:val="nil"/>
            </w:tcBorders>
            <w:noWrap w:val="0"/>
            <w:vAlign w:val="center"/>
          </w:tcPr>
          <w:p w14:paraId="351DEDF5">
            <w:pPr>
              <w:pStyle w:val="16"/>
              <w:bidi w:val="0"/>
              <w:ind w:left="0" w:leftChars="0" w:firstLine="0" w:firstLineChars="0"/>
              <w:rPr>
                <w:rFonts w:hint="eastAsia"/>
                <w:color w:val="auto"/>
                <w:lang w:val="en-US" w:eastAsia="zh-CN"/>
              </w:rPr>
            </w:pPr>
            <w:r>
              <w:rPr>
                <w:rFonts w:hint="eastAsia"/>
                <w:color w:val="auto"/>
                <w:sz w:val="21"/>
                <w:szCs w:val="21"/>
                <w:lang w:val="en-US" w:eastAsia="zh-CN"/>
              </w:rPr>
              <w:t>30</w:t>
            </w:r>
          </w:p>
        </w:tc>
        <w:tc>
          <w:tcPr>
            <w:tcW w:w="1556" w:type="dxa"/>
            <w:tcBorders>
              <w:tl2br w:val="nil"/>
              <w:tr2bl w:val="nil"/>
            </w:tcBorders>
            <w:noWrap w:val="0"/>
            <w:vAlign w:val="center"/>
          </w:tcPr>
          <w:p w14:paraId="7C3BDFBA">
            <w:pPr>
              <w:pStyle w:val="16"/>
              <w:bidi w:val="0"/>
              <w:ind w:left="0" w:leftChars="0" w:firstLine="0" w:firstLineChars="0"/>
              <w:rPr>
                <w:color w:val="auto"/>
              </w:rPr>
            </w:pPr>
            <w:r>
              <w:rPr>
                <w:rFonts w:hint="eastAsia"/>
                <w:color w:val="auto"/>
                <w:sz w:val="21"/>
                <w:szCs w:val="21"/>
                <w:lang w:val="en-US" w:eastAsia="zh-CN"/>
              </w:rPr>
              <w:t>3.3</w:t>
            </w:r>
          </w:p>
        </w:tc>
        <w:tc>
          <w:tcPr>
            <w:tcW w:w="1046" w:type="dxa"/>
            <w:vMerge w:val="continue"/>
            <w:tcBorders>
              <w:tl2br w:val="nil"/>
              <w:tr2bl w:val="nil"/>
            </w:tcBorders>
            <w:noWrap w:val="0"/>
            <w:vAlign w:val="center"/>
          </w:tcPr>
          <w:p w14:paraId="1432750E">
            <w:pPr>
              <w:pStyle w:val="16"/>
              <w:bidi w:val="0"/>
              <w:ind w:left="0" w:leftChars="0" w:firstLine="0" w:firstLineChars="0"/>
              <w:rPr>
                <w:color w:val="auto"/>
              </w:rPr>
            </w:pPr>
          </w:p>
        </w:tc>
        <w:tc>
          <w:tcPr>
            <w:tcW w:w="864" w:type="dxa"/>
            <w:vMerge w:val="continue"/>
            <w:tcBorders>
              <w:tl2br w:val="nil"/>
              <w:tr2bl w:val="nil"/>
            </w:tcBorders>
            <w:noWrap w:val="0"/>
            <w:vAlign w:val="center"/>
          </w:tcPr>
          <w:p w14:paraId="4039C805">
            <w:pPr>
              <w:pStyle w:val="16"/>
              <w:bidi w:val="0"/>
              <w:ind w:left="0" w:leftChars="0" w:firstLine="0" w:firstLineChars="0"/>
              <w:rPr>
                <w:color w:val="auto"/>
              </w:rPr>
            </w:pPr>
          </w:p>
        </w:tc>
        <w:tc>
          <w:tcPr>
            <w:tcW w:w="749" w:type="dxa"/>
            <w:tcBorders>
              <w:tl2br w:val="nil"/>
              <w:tr2bl w:val="nil"/>
            </w:tcBorders>
            <w:noWrap w:val="0"/>
            <w:vAlign w:val="center"/>
          </w:tcPr>
          <w:p w14:paraId="5F53C42C">
            <w:pPr>
              <w:pStyle w:val="16"/>
              <w:bidi w:val="0"/>
              <w:ind w:left="0" w:leftChars="0" w:firstLine="0" w:firstLineChars="0"/>
              <w:rPr>
                <w:color w:val="auto"/>
              </w:rPr>
            </w:pPr>
            <w:r>
              <w:rPr>
                <w:rFonts w:hint="eastAsia"/>
                <w:color w:val="auto"/>
                <w:sz w:val="21"/>
                <w:szCs w:val="21"/>
                <w:lang w:val="en-US" w:eastAsia="zh-CN"/>
              </w:rPr>
              <w:t>0.0035</w:t>
            </w:r>
          </w:p>
        </w:tc>
        <w:tc>
          <w:tcPr>
            <w:tcW w:w="1173" w:type="dxa"/>
            <w:tcBorders>
              <w:tl2br w:val="nil"/>
              <w:tr2bl w:val="nil"/>
            </w:tcBorders>
            <w:noWrap w:val="0"/>
            <w:vAlign w:val="center"/>
          </w:tcPr>
          <w:p w14:paraId="06673916">
            <w:pPr>
              <w:pStyle w:val="16"/>
              <w:bidi w:val="0"/>
              <w:ind w:left="0" w:leftChars="0" w:firstLine="0" w:firstLineChars="0"/>
              <w:rPr>
                <w:rFonts w:hint="eastAsia"/>
                <w:color w:val="auto"/>
                <w:lang w:val="en-US" w:eastAsia="zh-CN"/>
              </w:rPr>
            </w:pPr>
            <w:r>
              <w:rPr>
                <w:rFonts w:hint="eastAsia"/>
                <w:color w:val="auto"/>
                <w:sz w:val="21"/>
                <w:szCs w:val="21"/>
                <w:lang w:val="en-US" w:eastAsia="zh-CN"/>
              </w:rPr>
              <w:t>0.0001</w:t>
            </w:r>
          </w:p>
        </w:tc>
      </w:tr>
      <w:tr w14:paraId="114859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99" w:type="dxa"/>
            <w:tcBorders>
              <w:tl2br w:val="nil"/>
              <w:tr2bl w:val="nil"/>
            </w:tcBorders>
            <w:noWrap w:val="0"/>
            <w:vAlign w:val="center"/>
          </w:tcPr>
          <w:p w14:paraId="24BC8932">
            <w:pPr>
              <w:pStyle w:val="16"/>
              <w:bidi w:val="0"/>
              <w:ind w:left="0" w:leftChars="0" w:firstLine="0" w:firstLineChars="0"/>
              <w:rPr>
                <w:rFonts w:hint="eastAsia"/>
                <w:color w:val="auto"/>
                <w:lang w:val="en-US" w:eastAsia="zh-CN"/>
              </w:rPr>
            </w:pPr>
            <w:r>
              <w:rPr>
                <w:rFonts w:hint="eastAsia"/>
                <w:color w:val="auto"/>
                <w:sz w:val="21"/>
                <w:szCs w:val="21"/>
                <w:lang w:val="en-US" w:eastAsia="zh-CN"/>
              </w:rPr>
              <w:t>反硝化深床滤池</w:t>
            </w:r>
          </w:p>
        </w:tc>
        <w:tc>
          <w:tcPr>
            <w:tcW w:w="1242" w:type="dxa"/>
            <w:tcBorders>
              <w:tl2br w:val="nil"/>
              <w:tr2bl w:val="nil"/>
            </w:tcBorders>
            <w:noWrap w:val="0"/>
            <w:vAlign w:val="center"/>
          </w:tcPr>
          <w:p w14:paraId="5DAEC4A9">
            <w:pPr>
              <w:pStyle w:val="16"/>
              <w:bidi w:val="0"/>
              <w:ind w:left="0" w:leftChars="0" w:firstLine="0" w:firstLineChars="0"/>
              <w:rPr>
                <w:rFonts w:hint="eastAsia"/>
                <w:color w:val="auto"/>
              </w:rPr>
            </w:pPr>
            <w:r>
              <w:rPr>
                <w:rFonts w:hint="eastAsia"/>
                <w:color w:val="auto"/>
                <w:sz w:val="21"/>
                <w:szCs w:val="21"/>
              </w:rPr>
              <w:t>106.890841</w:t>
            </w:r>
          </w:p>
        </w:tc>
        <w:tc>
          <w:tcPr>
            <w:tcW w:w="1141" w:type="dxa"/>
            <w:tcBorders>
              <w:tl2br w:val="nil"/>
              <w:tr2bl w:val="nil"/>
            </w:tcBorders>
            <w:noWrap w:val="0"/>
            <w:vAlign w:val="center"/>
          </w:tcPr>
          <w:p w14:paraId="7315CF4D">
            <w:pPr>
              <w:pStyle w:val="16"/>
              <w:bidi w:val="0"/>
              <w:ind w:left="0" w:leftChars="0" w:firstLine="0" w:firstLineChars="0"/>
              <w:rPr>
                <w:rFonts w:hint="eastAsia"/>
                <w:color w:val="auto"/>
              </w:rPr>
            </w:pPr>
            <w:r>
              <w:rPr>
                <w:rFonts w:hint="eastAsia"/>
                <w:color w:val="auto"/>
                <w:sz w:val="21"/>
                <w:szCs w:val="21"/>
              </w:rPr>
              <w:t>31.752775</w:t>
            </w:r>
          </w:p>
        </w:tc>
        <w:tc>
          <w:tcPr>
            <w:tcW w:w="1088" w:type="dxa"/>
            <w:tcBorders>
              <w:tl2br w:val="nil"/>
              <w:tr2bl w:val="nil"/>
            </w:tcBorders>
            <w:noWrap w:val="0"/>
            <w:vAlign w:val="center"/>
          </w:tcPr>
          <w:p w14:paraId="4B66D264">
            <w:pPr>
              <w:pStyle w:val="16"/>
              <w:bidi w:val="0"/>
              <w:ind w:left="0" w:leftChars="0" w:firstLine="0" w:firstLineChars="0"/>
              <w:rPr>
                <w:rFonts w:hint="eastAsia"/>
                <w:color w:val="auto"/>
                <w:lang w:val="en-US" w:eastAsia="zh-CN"/>
              </w:rPr>
            </w:pPr>
            <w:r>
              <w:rPr>
                <w:rFonts w:hint="eastAsia"/>
                <w:color w:val="auto"/>
                <w:sz w:val="21"/>
                <w:szCs w:val="21"/>
                <w:lang w:val="en-US" w:eastAsia="zh-CN"/>
              </w:rPr>
              <w:t>323.5</w:t>
            </w:r>
          </w:p>
        </w:tc>
        <w:tc>
          <w:tcPr>
            <w:tcW w:w="965" w:type="dxa"/>
            <w:tcBorders>
              <w:tl2br w:val="nil"/>
              <w:tr2bl w:val="nil"/>
            </w:tcBorders>
            <w:noWrap w:val="0"/>
            <w:vAlign w:val="center"/>
          </w:tcPr>
          <w:p w14:paraId="6634417F">
            <w:pPr>
              <w:pStyle w:val="16"/>
              <w:bidi w:val="0"/>
              <w:ind w:left="0" w:leftChars="0" w:firstLine="0" w:firstLineChars="0"/>
              <w:rPr>
                <w:rFonts w:hint="eastAsia"/>
                <w:color w:val="auto"/>
                <w:lang w:val="en-US" w:eastAsia="zh-CN"/>
              </w:rPr>
            </w:pPr>
            <w:r>
              <w:rPr>
                <w:rFonts w:hint="eastAsia"/>
                <w:color w:val="auto"/>
                <w:sz w:val="21"/>
                <w:szCs w:val="21"/>
                <w:lang w:val="en-US" w:eastAsia="zh-CN"/>
              </w:rPr>
              <w:t>21.9</w:t>
            </w:r>
          </w:p>
        </w:tc>
        <w:tc>
          <w:tcPr>
            <w:tcW w:w="1080" w:type="dxa"/>
            <w:tcBorders>
              <w:tl2br w:val="nil"/>
              <w:tr2bl w:val="nil"/>
            </w:tcBorders>
            <w:noWrap w:val="0"/>
            <w:vAlign w:val="center"/>
          </w:tcPr>
          <w:p w14:paraId="7EE19795">
            <w:pPr>
              <w:pStyle w:val="16"/>
              <w:bidi w:val="0"/>
              <w:ind w:left="0" w:leftChars="0" w:firstLine="0" w:firstLineChars="0"/>
              <w:rPr>
                <w:rFonts w:hint="eastAsia"/>
                <w:color w:val="auto"/>
                <w:lang w:val="en-US" w:eastAsia="zh-CN"/>
              </w:rPr>
            </w:pPr>
            <w:r>
              <w:rPr>
                <w:rFonts w:hint="eastAsia"/>
                <w:color w:val="auto"/>
                <w:sz w:val="21"/>
                <w:szCs w:val="21"/>
                <w:lang w:val="en-US" w:eastAsia="zh-CN"/>
              </w:rPr>
              <w:t>14.6</w:t>
            </w:r>
          </w:p>
        </w:tc>
        <w:tc>
          <w:tcPr>
            <w:tcW w:w="2011" w:type="dxa"/>
            <w:tcBorders>
              <w:tl2br w:val="nil"/>
              <w:tr2bl w:val="nil"/>
            </w:tcBorders>
            <w:noWrap w:val="0"/>
            <w:vAlign w:val="center"/>
          </w:tcPr>
          <w:p w14:paraId="4A75A786">
            <w:pPr>
              <w:pStyle w:val="16"/>
              <w:bidi w:val="0"/>
              <w:ind w:left="0" w:leftChars="0" w:firstLine="0" w:firstLineChars="0"/>
              <w:rPr>
                <w:rFonts w:hint="eastAsia"/>
                <w:color w:val="auto"/>
                <w:lang w:val="en-US" w:eastAsia="zh-CN"/>
              </w:rPr>
            </w:pPr>
            <w:r>
              <w:rPr>
                <w:rFonts w:hint="eastAsia"/>
                <w:color w:val="auto"/>
                <w:sz w:val="21"/>
                <w:szCs w:val="21"/>
                <w:lang w:val="en-US" w:eastAsia="zh-CN"/>
              </w:rPr>
              <w:t>30</w:t>
            </w:r>
          </w:p>
        </w:tc>
        <w:tc>
          <w:tcPr>
            <w:tcW w:w="1556" w:type="dxa"/>
            <w:tcBorders>
              <w:tl2br w:val="nil"/>
              <w:tr2bl w:val="nil"/>
            </w:tcBorders>
            <w:noWrap w:val="0"/>
            <w:vAlign w:val="center"/>
          </w:tcPr>
          <w:p w14:paraId="411403DD">
            <w:pPr>
              <w:pStyle w:val="16"/>
              <w:bidi w:val="0"/>
              <w:ind w:left="0" w:leftChars="0" w:firstLine="0" w:firstLineChars="0"/>
              <w:rPr>
                <w:color w:val="auto"/>
              </w:rPr>
            </w:pPr>
            <w:r>
              <w:rPr>
                <w:rFonts w:hint="eastAsia"/>
                <w:color w:val="auto"/>
                <w:sz w:val="21"/>
                <w:szCs w:val="21"/>
                <w:lang w:val="en-US" w:eastAsia="zh-CN"/>
              </w:rPr>
              <w:t>3</w:t>
            </w:r>
          </w:p>
        </w:tc>
        <w:tc>
          <w:tcPr>
            <w:tcW w:w="1046" w:type="dxa"/>
            <w:vMerge w:val="continue"/>
            <w:tcBorders>
              <w:tl2br w:val="nil"/>
              <w:tr2bl w:val="nil"/>
            </w:tcBorders>
            <w:noWrap w:val="0"/>
            <w:vAlign w:val="center"/>
          </w:tcPr>
          <w:p w14:paraId="07B3EF0D">
            <w:pPr>
              <w:pStyle w:val="16"/>
              <w:bidi w:val="0"/>
              <w:ind w:left="0" w:leftChars="0" w:firstLine="0" w:firstLineChars="0"/>
              <w:rPr>
                <w:color w:val="auto"/>
              </w:rPr>
            </w:pPr>
          </w:p>
        </w:tc>
        <w:tc>
          <w:tcPr>
            <w:tcW w:w="864" w:type="dxa"/>
            <w:vMerge w:val="continue"/>
            <w:tcBorders>
              <w:tl2br w:val="nil"/>
              <w:tr2bl w:val="nil"/>
            </w:tcBorders>
            <w:noWrap w:val="0"/>
            <w:vAlign w:val="center"/>
          </w:tcPr>
          <w:p w14:paraId="397ACB54">
            <w:pPr>
              <w:pStyle w:val="16"/>
              <w:bidi w:val="0"/>
              <w:ind w:left="0" w:leftChars="0" w:firstLine="0" w:firstLineChars="0"/>
              <w:rPr>
                <w:color w:val="auto"/>
              </w:rPr>
            </w:pPr>
          </w:p>
        </w:tc>
        <w:tc>
          <w:tcPr>
            <w:tcW w:w="749" w:type="dxa"/>
            <w:tcBorders>
              <w:tl2br w:val="nil"/>
              <w:tr2bl w:val="nil"/>
            </w:tcBorders>
            <w:noWrap w:val="0"/>
            <w:vAlign w:val="center"/>
          </w:tcPr>
          <w:p w14:paraId="25FF9E51">
            <w:pPr>
              <w:pStyle w:val="16"/>
              <w:bidi w:val="0"/>
              <w:ind w:left="0" w:leftChars="0" w:firstLine="0" w:firstLineChars="0"/>
              <w:rPr>
                <w:color w:val="auto"/>
              </w:rPr>
            </w:pPr>
            <w:r>
              <w:rPr>
                <w:rFonts w:hint="eastAsia"/>
                <w:color w:val="auto"/>
                <w:sz w:val="21"/>
                <w:szCs w:val="21"/>
                <w:lang w:val="en-US" w:eastAsia="zh-CN"/>
              </w:rPr>
              <w:t>0.001</w:t>
            </w:r>
          </w:p>
        </w:tc>
        <w:tc>
          <w:tcPr>
            <w:tcW w:w="1173" w:type="dxa"/>
            <w:tcBorders>
              <w:tl2br w:val="nil"/>
              <w:tr2bl w:val="nil"/>
            </w:tcBorders>
            <w:noWrap w:val="0"/>
            <w:vAlign w:val="center"/>
          </w:tcPr>
          <w:p w14:paraId="1B0B8A5B">
            <w:pPr>
              <w:pStyle w:val="16"/>
              <w:bidi w:val="0"/>
              <w:ind w:left="0" w:leftChars="0" w:firstLine="0" w:firstLineChars="0"/>
              <w:rPr>
                <w:rFonts w:hint="eastAsia"/>
                <w:color w:val="auto"/>
                <w:lang w:val="en-US" w:eastAsia="zh-CN"/>
              </w:rPr>
            </w:pPr>
            <w:r>
              <w:rPr>
                <w:rFonts w:hint="eastAsia"/>
                <w:color w:val="auto"/>
                <w:sz w:val="21"/>
                <w:szCs w:val="21"/>
                <w:lang w:val="en-US" w:eastAsia="zh-CN"/>
              </w:rPr>
              <w:t>0.00003</w:t>
            </w:r>
          </w:p>
        </w:tc>
      </w:tr>
      <w:tr w14:paraId="7AA64E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99" w:type="dxa"/>
            <w:tcBorders>
              <w:tl2br w:val="nil"/>
              <w:tr2bl w:val="nil"/>
            </w:tcBorders>
            <w:noWrap w:val="0"/>
            <w:vAlign w:val="center"/>
          </w:tcPr>
          <w:p w14:paraId="103521DB">
            <w:pPr>
              <w:pStyle w:val="16"/>
              <w:bidi w:val="0"/>
              <w:ind w:left="0" w:leftChars="0" w:firstLine="0" w:firstLineChars="0"/>
              <w:rPr>
                <w:rFonts w:hint="eastAsia"/>
                <w:color w:val="auto"/>
                <w:lang w:val="en-US" w:eastAsia="zh-CN"/>
              </w:rPr>
            </w:pPr>
            <w:r>
              <w:rPr>
                <w:rFonts w:hint="eastAsia"/>
                <w:color w:val="auto"/>
                <w:sz w:val="21"/>
                <w:szCs w:val="21"/>
                <w:lang w:val="en-US" w:eastAsia="zh-CN"/>
              </w:rPr>
              <w:t>高级氧化深度处理</w:t>
            </w:r>
          </w:p>
        </w:tc>
        <w:tc>
          <w:tcPr>
            <w:tcW w:w="1242" w:type="dxa"/>
            <w:tcBorders>
              <w:tl2br w:val="nil"/>
              <w:tr2bl w:val="nil"/>
            </w:tcBorders>
            <w:noWrap w:val="0"/>
            <w:vAlign w:val="center"/>
          </w:tcPr>
          <w:p w14:paraId="5C520714">
            <w:pPr>
              <w:pStyle w:val="16"/>
              <w:bidi w:val="0"/>
              <w:ind w:left="0" w:leftChars="0" w:firstLine="0" w:firstLineChars="0"/>
              <w:rPr>
                <w:rFonts w:hint="eastAsia"/>
                <w:color w:val="auto"/>
              </w:rPr>
            </w:pPr>
            <w:r>
              <w:rPr>
                <w:rFonts w:hint="eastAsia"/>
                <w:color w:val="auto"/>
                <w:sz w:val="21"/>
                <w:szCs w:val="21"/>
              </w:rPr>
              <w:t>106.89071</w:t>
            </w:r>
            <w:r>
              <w:rPr>
                <w:rFonts w:hint="eastAsia"/>
                <w:color w:val="auto"/>
                <w:sz w:val="21"/>
                <w:szCs w:val="21"/>
                <w:lang w:val="en-US" w:eastAsia="zh-CN"/>
              </w:rPr>
              <w:t>3</w:t>
            </w:r>
          </w:p>
        </w:tc>
        <w:tc>
          <w:tcPr>
            <w:tcW w:w="1141" w:type="dxa"/>
            <w:tcBorders>
              <w:tl2br w:val="nil"/>
              <w:tr2bl w:val="nil"/>
            </w:tcBorders>
            <w:noWrap w:val="0"/>
            <w:vAlign w:val="center"/>
          </w:tcPr>
          <w:p w14:paraId="2C61BE77">
            <w:pPr>
              <w:pStyle w:val="16"/>
              <w:bidi w:val="0"/>
              <w:ind w:left="0" w:leftChars="0" w:firstLine="0" w:firstLineChars="0"/>
              <w:rPr>
                <w:rFonts w:hint="eastAsia"/>
                <w:color w:val="auto"/>
              </w:rPr>
            </w:pPr>
            <w:r>
              <w:rPr>
                <w:rFonts w:hint="eastAsia"/>
                <w:color w:val="auto"/>
                <w:sz w:val="21"/>
                <w:szCs w:val="21"/>
              </w:rPr>
              <w:t>31.75285</w:t>
            </w:r>
            <w:r>
              <w:rPr>
                <w:rFonts w:hint="eastAsia"/>
                <w:color w:val="auto"/>
                <w:sz w:val="21"/>
                <w:szCs w:val="21"/>
                <w:lang w:val="en-US" w:eastAsia="zh-CN"/>
              </w:rPr>
              <w:t>6</w:t>
            </w:r>
          </w:p>
        </w:tc>
        <w:tc>
          <w:tcPr>
            <w:tcW w:w="1088" w:type="dxa"/>
            <w:tcBorders>
              <w:tl2br w:val="nil"/>
              <w:tr2bl w:val="nil"/>
            </w:tcBorders>
            <w:noWrap w:val="0"/>
            <w:vAlign w:val="center"/>
          </w:tcPr>
          <w:p w14:paraId="750A474C">
            <w:pPr>
              <w:pStyle w:val="16"/>
              <w:bidi w:val="0"/>
              <w:ind w:left="0" w:leftChars="0" w:firstLine="0" w:firstLineChars="0"/>
              <w:rPr>
                <w:rFonts w:hint="eastAsia"/>
                <w:color w:val="auto"/>
                <w:lang w:val="en-US" w:eastAsia="zh-CN"/>
              </w:rPr>
            </w:pPr>
            <w:r>
              <w:rPr>
                <w:rFonts w:hint="eastAsia"/>
                <w:color w:val="auto"/>
                <w:sz w:val="21"/>
                <w:szCs w:val="21"/>
                <w:lang w:val="en-US" w:eastAsia="zh-CN"/>
              </w:rPr>
              <w:t>323.5</w:t>
            </w:r>
          </w:p>
        </w:tc>
        <w:tc>
          <w:tcPr>
            <w:tcW w:w="965" w:type="dxa"/>
            <w:tcBorders>
              <w:tl2br w:val="nil"/>
              <w:tr2bl w:val="nil"/>
            </w:tcBorders>
            <w:noWrap w:val="0"/>
            <w:vAlign w:val="center"/>
          </w:tcPr>
          <w:p w14:paraId="50EB88EF">
            <w:pPr>
              <w:pStyle w:val="16"/>
              <w:bidi w:val="0"/>
              <w:ind w:left="0" w:leftChars="0" w:firstLine="0" w:firstLineChars="0"/>
              <w:rPr>
                <w:rFonts w:hint="eastAsia"/>
                <w:color w:val="auto"/>
                <w:lang w:val="en-US" w:eastAsia="zh-CN"/>
              </w:rPr>
            </w:pPr>
            <w:r>
              <w:rPr>
                <w:rFonts w:hint="eastAsia"/>
                <w:color w:val="auto"/>
                <w:sz w:val="21"/>
                <w:szCs w:val="21"/>
                <w:lang w:val="en-US" w:eastAsia="zh-CN"/>
              </w:rPr>
              <w:t>10</w:t>
            </w:r>
          </w:p>
        </w:tc>
        <w:tc>
          <w:tcPr>
            <w:tcW w:w="1080" w:type="dxa"/>
            <w:tcBorders>
              <w:tl2br w:val="nil"/>
              <w:tr2bl w:val="nil"/>
            </w:tcBorders>
            <w:noWrap w:val="0"/>
            <w:vAlign w:val="center"/>
          </w:tcPr>
          <w:p w14:paraId="6FA6CC64">
            <w:pPr>
              <w:pStyle w:val="16"/>
              <w:bidi w:val="0"/>
              <w:ind w:left="0" w:leftChars="0" w:firstLine="0" w:firstLineChars="0"/>
              <w:rPr>
                <w:rFonts w:hint="eastAsia"/>
                <w:color w:val="auto"/>
                <w:lang w:val="en-US" w:eastAsia="zh-CN"/>
              </w:rPr>
            </w:pPr>
            <w:r>
              <w:rPr>
                <w:rFonts w:hint="eastAsia"/>
                <w:color w:val="auto"/>
                <w:sz w:val="21"/>
                <w:szCs w:val="21"/>
                <w:lang w:val="en-US" w:eastAsia="zh-CN"/>
              </w:rPr>
              <w:t>4</w:t>
            </w:r>
          </w:p>
        </w:tc>
        <w:tc>
          <w:tcPr>
            <w:tcW w:w="2011" w:type="dxa"/>
            <w:tcBorders>
              <w:tl2br w:val="nil"/>
              <w:tr2bl w:val="nil"/>
            </w:tcBorders>
            <w:noWrap w:val="0"/>
            <w:vAlign w:val="center"/>
          </w:tcPr>
          <w:p w14:paraId="143969BA">
            <w:pPr>
              <w:pStyle w:val="16"/>
              <w:bidi w:val="0"/>
              <w:ind w:left="0" w:leftChars="0" w:firstLine="0" w:firstLineChars="0"/>
              <w:rPr>
                <w:rFonts w:hint="eastAsia"/>
                <w:color w:val="auto"/>
                <w:lang w:val="en-US" w:eastAsia="zh-CN"/>
              </w:rPr>
            </w:pPr>
            <w:r>
              <w:rPr>
                <w:rFonts w:hint="eastAsia"/>
                <w:color w:val="auto"/>
                <w:sz w:val="21"/>
                <w:szCs w:val="21"/>
                <w:lang w:val="en-US" w:eastAsia="zh-CN"/>
              </w:rPr>
              <w:t>30</w:t>
            </w:r>
          </w:p>
        </w:tc>
        <w:tc>
          <w:tcPr>
            <w:tcW w:w="1556" w:type="dxa"/>
            <w:tcBorders>
              <w:tl2br w:val="nil"/>
              <w:tr2bl w:val="nil"/>
            </w:tcBorders>
            <w:noWrap w:val="0"/>
            <w:vAlign w:val="center"/>
          </w:tcPr>
          <w:p w14:paraId="4C48D8B0">
            <w:pPr>
              <w:pStyle w:val="16"/>
              <w:bidi w:val="0"/>
              <w:ind w:left="0" w:leftChars="0" w:firstLine="0" w:firstLineChars="0"/>
              <w:rPr>
                <w:color w:val="auto"/>
              </w:rPr>
            </w:pPr>
            <w:r>
              <w:rPr>
                <w:rFonts w:hint="eastAsia"/>
                <w:color w:val="auto"/>
                <w:sz w:val="21"/>
                <w:szCs w:val="21"/>
                <w:lang w:val="en-US" w:eastAsia="zh-CN"/>
              </w:rPr>
              <w:t>2.3</w:t>
            </w:r>
          </w:p>
        </w:tc>
        <w:tc>
          <w:tcPr>
            <w:tcW w:w="1046" w:type="dxa"/>
            <w:vMerge w:val="continue"/>
            <w:tcBorders>
              <w:tl2br w:val="nil"/>
              <w:tr2bl w:val="nil"/>
            </w:tcBorders>
            <w:noWrap w:val="0"/>
            <w:vAlign w:val="center"/>
          </w:tcPr>
          <w:p w14:paraId="3476DBA2">
            <w:pPr>
              <w:pStyle w:val="16"/>
              <w:bidi w:val="0"/>
              <w:ind w:left="0" w:leftChars="0" w:firstLine="0" w:firstLineChars="0"/>
              <w:rPr>
                <w:color w:val="auto"/>
              </w:rPr>
            </w:pPr>
          </w:p>
        </w:tc>
        <w:tc>
          <w:tcPr>
            <w:tcW w:w="864" w:type="dxa"/>
            <w:vMerge w:val="continue"/>
            <w:tcBorders>
              <w:tl2br w:val="nil"/>
              <w:tr2bl w:val="nil"/>
            </w:tcBorders>
            <w:noWrap w:val="0"/>
            <w:vAlign w:val="center"/>
          </w:tcPr>
          <w:p w14:paraId="495C2D3F">
            <w:pPr>
              <w:pStyle w:val="16"/>
              <w:bidi w:val="0"/>
              <w:ind w:left="0" w:leftChars="0" w:firstLine="0" w:firstLineChars="0"/>
              <w:rPr>
                <w:color w:val="auto"/>
              </w:rPr>
            </w:pPr>
          </w:p>
        </w:tc>
        <w:tc>
          <w:tcPr>
            <w:tcW w:w="749" w:type="dxa"/>
            <w:tcBorders>
              <w:tl2br w:val="nil"/>
              <w:tr2bl w:val="nil"/>
            </w:tcBorders>
            <w:noWrap w:val="0"/>
            <w:vAlign w:val="center"/>
          </w:tcPr>
          <w:p w14:paraId="4C8755BA">
            <w:pPr>
              <w:pStyle w:val="16"/>
              <w:bidi w:val="0"/>
              <w:ind w:left="0" w:leftChars="0" w:firstLine="0" w:firstLineChars="0"/>
              <w:rPr>
                <w:color w:val="auto"/>
              </w:rPr>
            </w:pPr>
            <w:r>
              <w:rPr>
                <w:rFonts w:hint="eastAsia"/>
                <w:color w:val="auto"/>
                <w:sz w:val="21"/>
                <w:szCs w:val="21"/>
                <w:lang w:val="en-US" w:eastAsia="zh-CN"/>
              </w:rPr>
              <w:t>0.00013</w:t>
            </w:r>
          </w:p>
        </w:tc>
        <w:tc>
          <w:tcPr>
            <w:tcW w:w="1173" w:type="dxa"/>
            <w:tcBorders>
              <w:tl2br w:val="nil"/>
              <w:tr2bl w:val="nil"/>
            </w:tcBorders>
            <w:noWrap w:val="0"/>
            <w:vAlign w:val="center"/>
          </w:tcPr>
          <w:p w14:paraId="1B2DA556">
            <w:pPr>
              <w:pStyle w:val="16"/>
              <w:bidi w:val="0"/>
              <w:ind w:left="0" w:leftChars="0" w:firstLine="0" w:firstLineChars="0"/>
              <w:rPr>
                <w:rFonts w:hint="eastAsia"/>
                <w:color w:val="auto"/>
                <w:lang w:val="en-US" w:eastAsia="zh-CN"/>
              </w:rPr>
            </w:pPr>
            <w:r>
              <w:rPr>
                <w:rFonts w:hint="eastAsia"/>
                <w:color w:val="auto"/>
                <w:sz w:val="21"/>
                <w:szCs w:val="21"/>
                <w:lang w:val="en-US" w:eastAsia="zh-CN"/>
              </w:rPr>
              <w:t>0.000003</w:t>
            </w:r>
          </w:p>
        </w:tc>
      </w:tr>
      <w:tr w14:paraId="25C203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99" w:type="dxa"/>
            <w:tcBorders>
              <w:tl2br w:val="nil"/>
              <w:tr2bl w:val="nil"/>
            </w:tcBorders>
            <w:noWrap w:val="0"/>
            <w:vAlign w:val="center"/>
          </w:tcPr>
          <w:p w14:paraId="393FB0F1">
            <w:pPr>
              <w:pStyle w:val="16"/>
              <w:bidi w:val="0"/>
              <w:ind w:left="0" w:leftChars="0" w:firstLine="0" w:firstLineChars="0"/>
              <w:rPr>
                <w:rFonts w:hint="eastAsia"/>
                <w:color w:val="auto"/>
                <w:lang w:val="en-US" w:eastAsia="zh-CN"/>
              </w:rPr>
            </w:pPr>
            <w:r>
              <w:rPr>
                <w:rFonts w:hint="eastAsia"/>
                <w:color w:val="auto"/>
                <w:sz w:val="21"/>
                <w:szCs w:val="21"/>
                <w:lang w:val="en-US" w:eastAsia="zh-CN"/>
              </w:rPr>
              <w:t>污泥池</w:t>
            </w:r>
          </w:p>
        </w:tc>
        <w:tc>
          <w:tcPr>
            <w:tcW w:w="1242" w:type="dxa"/>
            <w:tcBorders>
              <w:tl2br w:val="nil"/>
              <w:tr2bl w:val="nil"/>
            </w:tcBorders>
            <w:noWrap w:val="0"/>
            <w:vAlign w:val="center"/>
          </w:tcPr>
          <w:p w14:paraId="78BCD769">
            <w:pPr>
              <w:pStyle w:val="16"/>
              <w:bidi w:val="0"/>
              <w:ind w:left="0" w:leftChars="0" w:firstLine="0" w:firstLineChars="0"/>
              <w:rPr>
                <w:rFonts w:hint="eastAsia"/>
                <w:color w:val="auto"/>
              </w:rPr>
            </w:pPr>
            <w:r>
              <w:rPr>
                <w:rFonts w:hint="eastAsia"/>
                <w:color w:val="auto"/>
                <w:sz w:val="21"/>
                <w:szCs w:val="21"/>
              </w:rPr>
              <w:t>106.890959</w:t>
            </w:r>
          </w:p>
        </w:tc>
        <w:tc>
          <w:tcPr>
            <w:tcW w:w="1141" w:type="dxa"/>
            <w:tcBorders>
              <w:tl2br w:val="nil"/>
              <w:tr2bl w:val="nil"/>
            </w:tcBorders>
            <w:noWrap w:val="0"/>
            <w:vAlign w:val="center"/>
          </w:tcPr>
          <w:p w14:paraId="660755BD">
            <w:pPr>
              <w:pStyle w:val="16"/>
              <w:bidi w:val="0"/>
              <w:ind w:left="0" w:leftChars="0" w:firstLine="0" w:firstLineChars="0"/>
              <w:rPr>
                <w:rFonts w:hint="eastAsia"/>
                <w:color w:val="auto"/>
              </w:rPr>
            </w:pPr>
            <w:r>
              <w:rPr>
                <w:rFonts w:hint="eastAsia"/>
                <w:color w:val="auto"/>
                <w:sz w:val="21"/>
                <w:szCs w:val="21"/>
              </w:rPr>
              <w:t>31.753561</w:t>
            </w:r>
          </w:p>
        </w:tc>
        <w:tc>
          <w:tcPr>
            <w:tcW w:w="1088" w:type="dxa"/>
            <w:tcBorders>
              <w:tl2br w:val="nil"/>
              <w:tr2bl w:val="nil"/>
            </w:tcBorders>
            <w:noWrap w:val="0"/>
            <w:vAlign w:val="center"/>
          </w:tcPr>
          <w:p w14:paraId="5CD711BC">
            <w:pPr>
              <w:pStyle w:val="16"/>
              <w:bidi w:val="0"/>
              <w:ind w:left="0" w:leftChars="0" w:firstLine="0" w:firstLineChars="0"/>
              <w:rPr>
                <w:rFonts w:hint="eastAsia"/>
                <w:color w:val="auto"/>
                <w:lang w:val="en-US" w:eastAsia="zh-CN"/>
              </w:rPr>
            </w:pPr>
            <w:r>
              <w:rPr>
                <w:rFonts w:hint="eastAsia"/>
                <w:color w:val="auto"/>
                <w:sz w:val="21"/>
                <w:szCs w:val="21"/>
                <w:lang w:val="en-US" w:eastAsia="zh-CN"/>
              </w:rPr>
              <w:t>323.7</w:t>
            </w:r>
          </w:p>
        </w:tc>
        <w:tc>
          <w:tcPr>
            <w:tcW w:w="965" w:type="dxa"/>
            <w:tcBorders>
              <w:tl2br w:val="nil"/>
              <w:tr2bl w:val="nil"/>
            </w:tcBorders>
            <w:noWrap w:val="0"/>
            <w:vAlign w:val="center"/>
          </w:tcPr>
          <w:p w14:paraId="6AD6F8B9">
            <w:pPr>
              <w:pStyle w:val="16"/>
              <w:bidi w:val="0"/>
              <w:ind w:left="0" w:leftChars="0" w:firstLine="0" w:firstLineChars="0"/>
              <w:rPr>
                <w:rFonts w:hint="eastAsia"/>
                <w:color w:val="auto"/>
                <w:lang w:val="en-US" w:eastAsia="zh-CN"/>
              </w:rPr>
            </w:pPr>
            <w:r>
              <w:rPr>
                <w:rFonts w:hint="eastAsia"/>
                <w:color w:val="auto"/>
                <w:sz w:val="21"/>
                <w:szCs w:val="21"/>
                <w:lang w:val="en-US" w:eastAsia="zh-CN"/>
              </w:rPr>
              <w:t>8.3</w:t>
            </w:r>
          </w:p>
        </w:tc>
        <w:tc>
          <w:tcPr>
            <w:tcW w:w="1080" w:type="dxa"/>
            <w:tcBorders>
              <w:tl2br w:val="nil"/>
              <w:tr2bl w:val="nil"/>
            </w:tcBorders>
            <w:noWrap w:val="0"/>
            <w:vAlign w:val="center"/>
          </w:tcPr>
          <w:p w14:paraId="300F0BAD">
            <w:pPr>
              <w:pStyle w:val="16"/>
              <w:bidi w:val="0"/>
              <w:ind w:left="0" w:leftChars="0" w:firstLine="0" w:firstLineChars="0"/>
              <w:rPr>
                <w:rFonts w:hint="eastAsia"/>
                <w:color w:val="auto"/>
                <w:lang w:val="en-US" w:eastAsia="zh-CN"/>
              </w:rPr>
            </w:pPr>
            <w:r>
              <w:rPr>
                <w:rFonts w:hint="eastAsia"/>
                <w:color w:val="auto"/>
                <w:sz w:val="21"/>
                <w:szCs w:val="21"/>
                <w:lang w:val="en-US" w:eastAsia="zh-CN"/>
              </w:rPr>
              <w:t>5</w:t>
            </w:r>
          </w:p>
        </w:tc>
        <w:tc>
          <w:tcPr>
            <w:tcW w:w="2011" w:type="dxa"/>
            <w:tcBorders>
              <w:tl2br w:val="nil"/>
              <w:tr2bl w:val="nil"/>
            </w:tcBorders>
            <w:noWrap w:val="0"/>
            <w:vAlign w:val="center"/>
          </w:tcPr>
          <w:p w14:paraId="08344FEF">
            <w:pPr>
              <w:pStyle w:val="16"/>
              <w:bidi w:val="0"/>
              <w:ind w:left="0" w:leftChars="0" w:firstLine="0" w:firstLineChars="0"/>
              <w:rPr>
                <w:rFonts w:hint="eastAsia"/>
                <w:color w:val="auto"/>
                <w:lang w:val="en-US" w:eastAsia="zh-CN"/>
              </w:rPr>
            </w:pPr>
            <w:r>
              <w:rPr>
                <w:rFonts w:hint="eastAsia"/>
                <w:color w:val="auto"/>
                <w:sz w:val="21"/>
                <w:szCs w:val="21"/>
                <w:lang w:val="en-US" w:eastAsia="zh-CN"/>
              </w:rPr>
              <w:t>30</w:t>
            </w:r>
          </w:p>
        </w:tc>
        <w:tc>
          <w:tcPr>
            <w:tcW w:w="1556" w:type="dxa"/>
            <w:tcBorders>
              <w:tl2br w:val="nil"/>
              <w:tr2bl w:val="nil"/>
            </w:tcBorders>
            <w:noWrap w:val="0"/>
            <w:vAlign w:val="center"/>
          </w:tcPr>
          <w:p w14:paraId="6370DADE">
            <w:pPr>
              <w:pStyle w:val="16"/>
              <w:bidi w:val="0"/>
              <w:ind w:left="0" w:leftChars="0" w:firstLine="0" w:firstLineChars="0"/>
              <w:rPr>
                <w:color w:val="auto"/>
              </w:rPr>
            </w:pPr>
            <w:r>
              <w:rPr>
                <w:rFonts w:hint="eastAsia"/>
                <w:color w:val="auto"/>
                <w:sz w:val="21"/>
                <w:szCs w:val="21"/>
                <w:lang w:val="en-US" w:eastAsia="zh-CN"/>
              </w:rPr>
              <w:t>2.2</w:t>
            </w:r>
          </w:p>
        </w:tc>
        <w:tc>
          <w:tcPr>
            <w:tcW w:w="1046" w:type="dxa"/>
            <w:vMerge w:val="continue"/>
            <w:tcBorders>
              <w:tl2br w:val="nil"/>
              <w:tr2bl w:val="nil"/>
            </w:tcBorders>
            <w:noWrap w:val="0"/>
            <w:vAlign w:val="center"/>
          </w:tcPr>
          <w:p w14:paraId="7014DD79">
            <w:pPr>
              <w:pStyle w:val="16"/>
              <w:bidi w:val="0"/>
              <w:ind w:left="0" w:leftChars="0" w:firstLine="0" w:firstLineChars="0"/>
              <w:rPr>
                <w:color w:val="auto"/>
              </w:rPr>
            </w:pPr>
          </w:p>
        </w:tc>
        <w:tc>
          <w:tcPr>
            <w:tcW w:w="864" w:type="dxa"/>
            <w:vMerge w:val="continue"/>
            <w:tcBorders>
              <w:tl2br w:val="nil"/>
              <w:tr2bl w:val="nil"/>
            </w:tcBorders>
            <w:noWrap w:val="0"/>
            <w:vAlign w:val="center"/>
          </w:tcPr>
          <w:p w14:paraId="21E0C1E2">
            <w:pPr>
              <w:pStyle w:val="16"/>
              <w:bidi w:val="0"/>
              <w:ind w:left="0" w:leftChars="0" w:firstLine="0" w:firstLineChars="0"/>
              <w:rPr>
                <w:color w:val="auto"/>
              </w:rPr>
            </w:pPr>
          </w:p>
        </w:tc>
        <w:tc>
          <w:tcPr>
            <w:tcW w:w="749" w:type="dxa"/>
            <w:tcBorders>
              <w:tl2br w:val="nil"/>
              <w:tr2bl w:val="nil"/>
            </w:tcBorders>
            <w:noWrap w:val="0"/>
            <w:vAlign w:val="center"/>
          </w:tcPr>
          <w:p w14:paraId="7101CF29">
            <w:pPr>
              <w:pStyle w:val="16"/>
              <w:bidi w:val="0"/>
              <w:ind w:left="0" w:leftChars="0" w:firstLine="0" w:firstLineChars="0"/>
              <w:rPr>
                <w:color w:val="auto"/>
              </w:rPr>
            </w:pPr>
            <w:r>
              <w:rPr>
                <w:rFonts w:hint="eastAsia"/>
                <w:color w:val="auto"/>
                <w:sz w:val="21"/>
                <w:szCs w:val="21"/>
                <w:lang w:val="en-US" w:eastAsia="zh-CN"/>
              </w:rPr>
              <w:t>0.0042</w:t>
            </w:r>
          </w:p>
        </w:tc>
        <w:tc>
          <w:tcPr>
            <w:tcW w:w="1173" w:type="dxa"/>
            <w:tcBorders>
              <w:tl2br w:val="nil"/>
              <w:tr2bl w:val="nil"/>
            </w:tcBorders>
            <w:noWrap w:val="0"/>
            <w:vAlign w:val="center"/>
          </w:tcPr>
          <w:p w14:paraId="6296531B">
            <w:pPr>
              <w:pStyle w:val="16"/>
              <w:bidi w:val="0"/>
              <w:ind w:left="0" w:leftChars="0" w:firstLine="0" w:firstLineChars="0"/>
              <w:rPr>
                <w:rFonts w:hint="eastAsia"/>
                <w:color w:val="auto"/>
                <w:lang w:val="en-US" w:eastAsia="zh-CN"/>
              </w:rPr>
            </w:pPr>
            <w:r>
              <w:rPr>
                <w:rFonts w:hint="eastAsia"/>
                <w:color w:val="auto"/>
                <w:sz w:val="21"/>
                <w:szCs w:val="21"/>
                <w:lang w:val="en-US" w:eastAsia="zh-CN"/>
              </w:rPr>
              <w:t>0.00002</w:t>
            </w:r>
          </w:p>
        </w:tc>
      </w:tr>
      <w:tr w14:paraId="56FCBE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99" w:type="dxa"/>
            <w:tcBorders>
              <w:tl2br w:val="nil"/>
              <w:tr2bl w:val="nil"/>
            </w:tcBorders>
            <w:noWrap w:val="0"/>
            <w:vAlign w:val="center"/>
          </w:tcPr>
          <w:p w14:paraId="17948FC8">
            <w:pPr>
              <w:pStyle w:val="16"/>
              <w:bidi w:val="0"/>
              <w:ind w:left="0" w:leftChars="0" w:firstLine="0" w:firstLineChars="0"/>
              <w:rPr>
                <w:rFonts w:hint="eastAsia"/>
                <w:color w:val="auto"/>
                <w:lang w:val="en-US" w:eastAsia="zh-CN"/>
              </w:rPr>
            </w:pPr>
            <w:r>
              <w:rPr>
                <w:rFonts w:hint="eastAsia"/>
                <w:color w:val="auto"/>
                <w:sz w:val="21"/>
                <w:szCs w:val="21"/>
                <w:lang w:val="en-US" w:eastAsia="zh-CN"/>
              </w:rPr>
              <w:t>污泥脱水车间</w:t>
            </w:r>
          </w:p>
        </w:tc>
        <w:tc>
          <w:tcPr>
            <w:tcW w:w="1242" w:type="dxa"/>
            <w:tcBorders>
              <w:tl2br w:val="nil"/>
              <w:tr2bl w:val="nil"/>
            </w:tcBorders>
            <w:noWrap w:val="0"/>
            <w:vAlign w:val="center"/>
          </w:tcPr>
          <w:p w14:paraId="276D7D35">
            <w:pPr>
              <w:pStyle w:val="16"/>
              <w:bidi w:val="0"/>
              <w:ind w:left="0" w:leftChars="0" w:firstLine="0" w:firstLineChars="0"/>
              <w:rPr>
                <w:rFonts w:hint="eastAsia"/>
                <w:color w:val="auto"/>
              </w:rPr>
            </w:pPr>
            <w:r>
              <w:rPr>
                <w:rFonts w:hint="eastAsia"/>
                <w:color w:val="auto"/>
                <w:sz w:val="21"/>
                <w:szCs w:val="21"/>
              </w:rPr>
              <w:t>106.89111</w:t>
            </w:r>
            <w:r>
              <w:rPr>
                <w:rFonts w:hint="eastAsia"/>
                <w:color w:val="auto"/>
                <w:sz w:val="21"/>
                <w:szCs w:val="21"/>
                <w:lang w:val="en-US" w:eastAsia="zh-CN"/>
              </w:rPr>
              <w:t>1</w:t>
            </w:r>
          </w:p>
        </w:tc>
        <w:tc>
          <w:tcPr>
            <w:tcW w:w="1141" w:type="dxa"/>
            <w:tcBorders>
              <w:tl2br w:val="nil"/>
              <w:tr2bl w:val="nil"/>
            </w:tcBorders>
            <w:noWrap w:val="0"/>
            <w:vAlign w:val="center"/>
          </w:tcPr>
          <w:p w14:paraId="425D06E7">
            <w:pPr>
              <w:pStyle w:val="16"/>
              <w:bidi w:val="0"/>
              <w:ind w:left="0" w:leftChars="0" w:firstLine="0" w:firstLineChars="0"/>
              <w:rPr>
                <w:rFonts w:hint="eastAsia"/>
                <w:color w:val="auto"/>
              </w:rPr>
            </w:pPr>
            <w:r>
              <w:rPr>
                <w:rFonts w:hint="eastAsia"/>
                <w:color w:val="auto"/>
                <w:sz w:val="21"/>
                <w:szCs w:val="21"/>
              </w:rPr>
              <w:t>31.753419</w:t>
            </w:r>
          </w:p>
        </w:tc>
        <w:tc>
          <w:tcPr>
            <w:tcW w:w="1088" w:type="dxa"/>
            <w:tcBorders>
              <w:tl2br w:val="nil"/>
              <w:tr2bl w:val="nil"/>
            </w:tcBorders>
            <w:noWrap w:val="0"/>
            <w:vAlign w:val="center"/>
          </w:tcPr>
          <w:p w14:paraId="476FDD0C">
            <w:pPr>
              <w:pStyle w:val="16"/>
              <w:bidi w:val="0"/>
              <w:ind w:left="0" w:leftChars="0" w:firstLine="0" w:firstLineChars="0"/>
              <w:rPr>
                <w:rFonts w:hint="eastAsia"/>
                <w:color w:val="auto"/>
                <w:lang w:val="en-US" w:eastAsia="zh-CN"/>
              </w:rPr>
            </w:pPr>
            <w:r>
              <w:rPr>
                <w:rFonts w:hint="eastAsia"/>
                <w:color w:val="auto"/>
                <w:sz w:val="21"/>
                <w:szCs w:val="21"/>
                <w:lang w:val="en-US" w:eastAsia="zh-CN"/>
              </w:rPr>
              <w:t>326.8</w:t>
            </w:r>
          </w:p>
        </w:tc>
        <w:tc>
          <w:tcPr>
            <w:tcW w:w="965" w:type="dxa"/>
            <w:tcBorders>
              <w:tl2br w:val="nil"/>
              <w:tr2bl w:val="nil"/>
            </w:tcBorders>
            <w:noWrap w:val="0"/>
            <w:vAlign w:val="center"/>
          </w:tcPr>
          <w:p w14:paraId="756EE9C1">
            <w:pPr>
              <w:pStyle w:val="16"/>
              <w:bidi w:val="0"/>
              <w:ind w:left="0" w:leftChars="0" w:firstLine="0" w:firstLineChars="0"/>
              <w:rPr>
                <w:rFonts w:hint="eastAsia"/>
                <w:color w:val="auto"/>
                <w:lang w:val="en-US" w:eastAsia="zh-CN"/>
              </w:rPr>
            </w:pPr>
            <w:r>
              <w:rPr>
                <w:rFonts w:hint="eastAsia"/>
                <w:color w:val="auto"/>
                <w:sz w:val="21"/>
                <w:szCs w:val="21"/>
                <w:lang w:val="en-US" w:eastAsia="zh-CN"/>
              </w:rPr>
              <w:t>28.4</w:t>
            </w:r>
          </w:p>
        </w:tc>
        <w:tc>
          <w:tcPr>
            <w:tcW w:w="1080" w:type="dxa"/>
            <w:tcBorders>
              <w:tl2br w:val="nil"/>
              <w:tr2bl w:val="nil"/>
            </w:tcBorders>
            <w:noWrap w:val="0"/>
            <w:vAlign w:val="center"/>
          </w:tcPr>
          <w:p w14:paraId="42F1C4FE">
            <w:pPr>
              <w:pStyle w:val="16"/>
              <w:bidi w:val="0"/>
              <w:ind w:left="0" w:leftChars="0" w:firstLine="0" w:firstLineChars="0"/>
              <w:rPr>
                <w:rFonts w:hint="eastAsia"/>
                <w:color w:val="auto"/>
                <w:lang w:val="en-US" w:eastAsia="zh-CN"/>
              </w:rPr>
            </w:pPr>
            <w:r>
              <w:rPr>
                <w:rFonts w:hint="eastAsia"/>
                <w:color w:val="auto"/>
                <w:sz w:val="21"/>
                <w:szCs w:val="21"/>
                <w:lang w:val="en-US" w:eastAsia="zh-CN"/>
              </w:rPr>
              <w:t>19.2</w:t>
            </w:r>
          </w:p>
        </w:tc>
        <w:tc>
          <w:tcPr>
            <w:tcW w:w="2011" w:type="dxa"/>
            <w:tcBorders>
              <w:tl2br w:val="nil"/>
              <w:tr2bl w:val="nil"/>
            </w:tcBorders>
            <w:noWrap w:val="0"/>
            <w:vAlign w:val="center"/>
          </w:tcPr>
          <w:p w14:paraId="6DC19FCA">
            <w:pPr>
              <w:pStyle w:val="16"/>
              <w:bidi w:val="0"/>
              <w:ind w:left="0" w:leftChars="0" w:firstLine="0" w:firstLineChars="0"/>
              <w:rPr>
                <w:rFonts w:hint="eastAsia"/>
                <w:color w:val="auto"/>
                <w:lang w:val="en-US" w:eastAsia="zh-CN"/>
              </w:rPr>
            </w:pPr>
            <w:r>
              <w:rPr>
                <w:rFonts w:hint="eastAsia"/>
                <w:color w:val="auto"/>
                <w:sz w:val="21"/>
                <w:szCs w:val="21"/>
                <w:lang w:val="en-US" w:eastAsia="zh-CN"/>
              </w:rPr>
              <w:t>30</w:t>
            </w:r>
          </w:p>
        </w:tc>
        <w:tc>
          <w:tcPr>
            <w:tcW w:w="1556" w:type="dxa"/>
            <w:tcBorders>
              <w:tl2br w:val="nil"/>
              <w:tr2bl w:val="nil"/>
            </w:tcBorders>
            <w:noWrap w:val="0"/>
            <w:vAlign w:val="center"/>
          </w:tcPr>
          <w:p w14:paraId="2E8C1BC5">
            <w:pPr>
              <w:pStyle w:val="16"/>
              <w:bidi w:val="0"/>
              <w:ind w:left="0" w:leftChars="0" w:firstLine="0" w:firstLineChars="0"/>
              <w:rPr>
                <w:color w:val="auto"/>
              </w:rPr>
            </w:pPr>
            <w:r>
              <w:rPr>
                <w:rFonts w:hint="eastAsia"/>
                <w:color w:val="auto"/>
                <w:sz w:val="21"/>
                <w:szCs w:val="21"/>
                <w:lang w:val="en-US" w:eastAsia="zh-CN"/>
              </w:rPr>
              <w:t>15</w:t>
            </w:r>
          </w:p>
        </w:tc>
        <w:tc>
          <w:tcPr>
            <w:tcW w:w="1046" w:type="dxa"/>
            <w:vMerge w:val="continue"/>
            <w:tcBorders>
              <w:tl2br w:val="nil"/>
              <w:tr2bl w:val="nil"/>
            </w:tcBorders>
            <w:noWrap w:val="0"/>
            <w:vAlign w:val="center"/>
          </w:tcPr>
          <w:p w14:paraId="39BA0D8A">
            <w:pPr>
              <w:pStyle w:val="16"/>
              <w:bidi w:val="0"/>
              <w:ind w:left="0" w:leftChars="0" w:firstLine="0" w:firstLineChars="0"/>
              <w:rPr>
                <w:color w:val="auto"/>
              </w:rPr>
            </w:pPr>
          </w:p>
        </w:tc>
        <w:tc>
          <w:tcPr>
            <w:tcW w:w="864" w:type="dxa"/>
            <w:vMerge w:val="continue"/>
            <w:tcBorders>
              <w:tl2br w:val="nil"/>
              <w:tr2bl w:val="nil"/>
            </w:tcBorders>
            <w:noWrap w:val="0"/>
            <w:vAlign w:val="center"/>
          </w:tcPr>
          <w:p w14:paraId="5551EE9E">
            <w:pPr>
              <w:pStyle w:val="16"/>
              <w:bidi w:val="0"/>
              <w:ind w:left="0" w:leftChars="0" w:firstLine="0" w:firstLineChars="0"/>
              <w:rPr>
                <w:color w:val="auto"/>
              </w:rPr>
            </w:pPr>
          </w:p>
        </w:tc>
        <w:tc>
          <w:tcPr>
            <w:tcW w:w="749" w:type="dxa"/>
            <w:tcBorders>
              <w:tl2br w:val="nil"/>
              <w:tr2bl w:val="nil"/>
            </w:tcBorders>
            <w:noWrap w:val="0"/>
            <w:vAlign w:val="center"/>
          </w:tcPr>
          <w:p w14:paraId="4D787216">
            <w:pPr>
              <w:pStyle w:val="16"/>
              <w:bidi w:val="0"/>
              <w:ind w:left="0" w:leftChars="0" w:firstLine="0" w:firstLineChars="0"/>
              <w:rPr>
                <w:color w:val="auto"/>
              </w:rPr>
            </w:pPr>
            <w:r>
              <w:rPr>
                <w:rFonts w:hint="eastAsia"/>
                <w:color w:val="auto"/>
                <w:sz w:val="21"/>
                <w:szCs w:val="21"/>
                <w:lang w:val="en-US" w:eastAsia="zh-CN"/>
              </w:rPr>
              <w:t>0.0046</w:t>
            </w:r>
          </w:p>
        </w:tc>
        <w:tc>
          <w:tcPr>
            <w:tcW w:w="1173" w:type="dxa"/>
            <w:tcBorders>
              <w:tl2br w:val="nil"/>
              <w:tr2bl w:val="nil"/>
            </w:tcBorders>
            <w:noWrap w:val="0"/>
            <w:vAlign w:val="center"/>
          </w:tcPr>
          <w:p w14:paraId="5B2103F7">
            <w:pPr>
              <w:pStyle w:val="16"/>
              <w:bidi w:val="0"/>
              <w:ind w:left="0" w:leftChars="0" w:firstLine="0" w:firstLineChars="0"/>
              <w:rPr>
                <w:rFonts w:hint="eastAsia"/>
                <w:color w:val="auto"/>
                <w:lang w:val="en-US" w:eastAsia="zh-CN"/>
              </w:rPr>
            </w:pPr>
            <w:r>
              <w:rPr>
                <w:rFonts w:hint="eastAsia"/>
                <w:color w:val="auto"/>
                <w:sz w:val="21"/>
                <w:szCs w:val="21"/>
                <w:lang w:val="en-US" w:eastAsia="zh-CN"/>
              </w:rPr>
              <w:t>0.00013</w:t>
            </w:r>
          </w:p>
        </w:tc>
      </w:tr>
    </w:tbl>
    <w:p w14:paraId="1E5804FC">
      <w:pPr>
        <w:pageBreakBefore w:val="0"/>
        <w:wordWrap/>
        <w:bidi w:val="0"/>
        <w:adjustRightInd/>
        <w:snapToGrid/>
        <w:spacing w:after="120" w:afterLines="50"/>
        <w:ind w:firstLine="482"/>
        <w:jc w:val="center"/>
        <w:rPr>
          <w:b/>
          <w:color w:val="auto"/>
          <w:szCs w:val="21"/>
        </w:rPr>
      </w:pPr>
    </w:p>
    <w:p w14:paraId="6EFB1293">
      <w:pPr>
        <w:pStyle w:val="23"/>
        <w:pageBreakBefore w:val="0"/>
        <w:wordWrap/>
        <w:bidi w:val="0"/>
        <w:adjustRightInd/>
        <w:snapToGrid/>
        <w:rPr>
          <w:color w:val="auto"/>
        </w:rPr>
        <w:sectPr>
          <w:pgSz w:w="16838" w:h="11906" w:orient="landscape"/>
          <w:pgMar w:top="1588" w:right="1440" w:bottom="1588" w:left="1440" w:header="851" w:footer="992" w:gutter="0"/>
          <w:pgBorders>
            <w:top w:val="none" w:sz="0" w:space="0"/>
            <w:left w:val="none" w:sz="0" w:space="0"/>
            <w:bottom w:val="none" w:sz="0" w:space="0"/>
            <w:right w:val="none" w:sz="0" w:space="0"/>
          </w:pgBorders>
          <w:pgNumType w:fmt="decimal"/>
          <w:cols w:space="720" w:num="1"/>
        </w:sectPr>
      </w:pPr>
    </w:p>
    <w:p w14:paraId="792E2913">
      <w:pPr>
        <w:pageBreakBefore w:val="0"/>
        <w:wordWrap/>
        <w:bidi w:val="0"/>
        <w:adjustRightInd/>
        <w:snapToGrid/>
        <w:spacing w:before="120" w:beforeLines="50"/>
        <w:ind w:firstLine="480"/>
        <w:rPr>
          <w:color w:val="auto"/>
        </w:rPr>
      </w:pPr>
      <w:r>
        <w:rPr>
          <w:color w:val="auto"/>
        </w:rPr>
        <w:t>（2）环境参数</w:t>
      </w:r>
    </w:p>
    <w:p w14:paraId="7D1CE50C">
      <w:pPr>
        <w:pageBreakBefore w:val="0"/>
        <w:wordWrap/>
        <w:bidi w:val="0"/>
        <w:adjustRightInd/>
        <w:snapToGrid/>
        <w:ind w:firstLine="480"/>
        <w:rPr>
          <w:color w:val="auto"/>
        </w:rPr>
      </w:pPr>
      <w:r>
        <w:rPr>
          <w:color w:val="auto"/>
        </w:rPr>
        <w:t>根据《</w:t>
      </w:r>
      <w:r>
        <w:rPr>
          <w:rFonts w:hint="eastAsia"/>
          <w:color w:val="auto"/>
          <w:lang w:eastAsia="zh-CN"/>
        </w:rPr>
        <w:t>环境影响评价技术导则 大气环境</w:t>
      </w:r>
      <w:r>
        <w:rPr>
          <w:color w:val="auto"/>
        </w:rPr>
        <w:t>》（HJ2.2</w:t>
      </w:r>
      <w:r>
        <w:rPr>
          <w:rFonts w:hint="eastAsia"/>
          <w:color w:val="auto"/>
          <w:lang w:val="en-US" w:eastAsia="zh-CN"/>
        </w:rPr>
        <w:t>-</w:t>
      </w:r>
      <w:r>
        <w:rPr>
          <w:color w:val="auto"/>
        </w:rPr>
        <w:t>2018），当项目周边3km半径范围内一半以上面积属于城市建成区或者规划区时，选择城市，城市人口数按项目所属城市实际人口或者规划的人口数输入。根据现场调查，项目周边3km半径范围内一半以上面积属于城市建成区，因此项目估算模型选择城市，人口数取</w:t>
      </w:r>
      <w:r>
        <w:rPr>
          <w:rFonts w:hint="eastAsia"/>
          <w:color w:val="auto"/>
          <w:lang w:val="en-US" w:eastAsia="zh-CN"/>
        </w:rPr>
        <w:t>73.2</w:t>
      </w:r>
      <w:r>
        <w:rPr>
          <w:color w:val="auto"/>
        </w:rPr>
        <w:t>万人。</w:t>
      </w:r>
    </w:p>
    <w:p w14:paraId="7373BD73">
      <w:pPr>
        <w:pageBreakBefore w:val="0"/>
        <w:wordWrap/>
        <w:bidi w:val="0"/>
        <w:adjustRightInd/>
        <w:snapToGrid/>
        <w:ind w:firstLine="480"/>
        <w:rPr>
          <w:rFonts w:hint="eastAsia" w:eastAsia="宋体"/>
          <w:color w:val="auto"/>
          <w:lang w:val="en-US" w:eastAsia="zh-CN"/>
        </w:rPr>
      </w:pPr>
      <w:r>
        <w:rPr>
          <w:color w:val="auto"/>
        </w:rPr>
        <w:t>环境参数见下表：</w:t>
      </w:r>
      <w:r>
        <w:rPr>
          <w:rFonts w:hint="eastAsia"/>
          <w:color w:val="auto"/>
          <w:lang w:val="en-US" w:eastAsia="zh-CN"/>
        </w:rPr>
        <w:t xml:space="preserve"> </w:t>
      </w:r>
    </w:p>
    <w:p w14:paraId="274E2515">
      <w:pPr>
        <w:pStyle w:val="19"/>
        <w:numPr>
          <w:ilvl w:val="0"/>
          <w:numId w:val="9"/>
        </w:numPr>
        <w:tabs>
          <w:tab w:val="clear" w:pos="0"/>
        </w:tabs>
        <w:bidi w:val="0"/>
        <w:ind w:left="0" w:leftChars="0" w:firstLine="0" w:firstLineChars="0"/>
        <w:rPr>
          <w:color w:val="auto"/>
        </w:rPr>
      </w:pPr>
      <w:r>
        <w:rPr>
          <w:color w:val="auto"/>
        </w:rPr>
        <w:t>估算模型参数表</w:t>
      </w:r>
    </w:p>
    <w:tbl>
      <w:tblPr>
        <w:tblStyle w:val="5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80"/>
        <w:gridCol w:w="2983"/>
        <w:gridCol w:w="2981"/>
      </w:tblGrid>
      <w:tr w14:paraId="730990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33" w:type="pct"/>
            <w:gridSpan w:val="2"/>
            <w:tcBorders>
              <w:tl2br w:val="nil"/>
              <w:tr2bl w:val="nil"/>
            </w:tcBorders>
            <w:noWrap w:val="0"/>
            <w:vAlign w:val="center"/>
          </w:tcPr>
          <w:p w14:paraId="1B173F1D">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参数</w:t>
            </w:r>
          </w:p>
        </w:tc>
        <w:tc>
          <w:tcPr>
            <w:tcW w:w="1666" w:type="pct"/>
            <w:tcBorders>
              <w:tl2br w:val="nil"/>
              <w:tr2bl w:val="nil"/>
            </w:tcBorders>
            <w:noWrap w:val="0"/>
            <w:vAlign w:val="center"/>
          </w:tcPr>
          <w:p w14:paraId="51AB8628">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取值</w:t>
            </w:r>
          </w:p>
        </w:tc>
      </w:tr>
      <w:tr w14:paraId="597102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restart"/>
            <w:tcBorders>
              <w:tl2br w:val="nil"/>
              <w:tr2bl w:val="nil"/>
            </w:tcBorders>
            <w:noWrap w:val="0"/>
            <w:vAlign w:val="center"/>
          </w:tcPr>
          <w:p w14:paraId="777F69BC">
            <w:pPr>
              <w:pageBreakBefore w:val="0"/>
              <w:wordWrap/>
              <w:bidi w:val="0"/>
              <w:adjustRightInd/>
              <w:snapToGrid/>
              <w:spacing w:line="240" w:lineRule="auto"/>
              <w:ind w:firstLine="0" w:firstLineChars="0"/>
              <w:jc w:val="center"/>
              <w:rPr>
                <w:color w:val="auto"/>
                <w:sz w:val="21"/>
                <w:szCs w:val="21"/>
              </w:rPr>
            </w:pPr>
            <w:r>
              <w:rPr>
                <w:color w:val="auto"/>
                <w:sz w:val="21"/>
                <w:szCs w:val="21"/>
              </w:rPr>
              <w:t>城市农村/选项</w:t>
            </w:r>
          </w:p>
        </w:tc>
        <w:tc>
          <w:tcPr>
            <w:tcW w:w="1666" w:type="pct"/>
            <w:tcBorders>
              <w:tl2br w:val="nil"/>
              <w:tr2bl w:val="nil"/>
            </w:tcBorders>
            <w:noWrap w:val="0"/>
            <w:vAlign w:val="center"/>
          </w:tcPr>
          <w:p w14:paraId="22CD30F2">
            <w:pPr>
              <w:pageBreakBefore w:val="0"/>
              <w:wordWrap/>
              <w:bidi w:val="0"/>
              <w:adjustRightInd/>
              <w:snapToGrid/>
              <w:spacing w:line="240" w:lineRule="auto"/>
              <w:ind w:firstLine="0" w:firstLineChars="0"/>
              <w:jc w:val="center"/>
              <w:rPr>
                <w:color w:val="auto"/>
                <w:sz w:val="21"/>
                <w:szCs w:val="21"/>
              </w:rPr>
            </w:pPr>
            <w:r>
              <w:rPr>
                <w:color w:val="auto"/>
                <w:sz w:val="21"/>
                <w:szCs w:val="21"/>
              </w:rPr>
              <w:t>城市/农村</w:t>
            </w:r>
          </w:p>
        </w:tc>
        <w:tc>
          <w:tcPr>
            <w:tcW w:w="1666" w:type="pct"/>
            <w:tcBorders>
              <w:tl2br w:val="nil"/>
              <w:tr2bl w:val="nil"/>
            </w:tcBorders>
            <w:noWrap w:val="0"/>
            <w:vAlign w:val="center"/>
          </w:tcPr>
          <w:p w14:paraId="3ED93EB2">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农村</w:t>
            </w:r>
          </w:p>
        </w:tc>
      </w:tr>
      <w:tr w14:paraId="0B92B7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continue"/>
            <w:tcBorders>
              <w:tl2br w:val="nil"/>
              <w:tr2bl w:val="nil"/>
            </w:tcBorders>
            <w:noWrap w:val="0"/>
            <w:vAlign w:val="center"/>
          </w:tcPr>
          <w:p w14:paraId="7141BD2C">
            <w:pPr>
              <w:pageBreakBefore w:val="0"/>
              <w:wordWrap/>
              <w:bidi w:val="0"/>
              <w:adjustRightInd/>
              <w:snapToGrid/>
              <w:spacing w:line="240" w:lineRule="auto"/>
              <w:ind w:firstLine="0" w:firstLineChars="0"/>
              <w:jc w:val="center"/>
              <w:rPr>
                <w:color w:val="auto"/>
                <w:sz w:val="21"/>
                <w:szCs w:val="21"/>
              </w:rPr>
            </w:pPr>
          </w:p>
        </w:tc>
        <w:tc>
          <w:tcPr>
            <w:tcW w:w="1666" w:type="pct"/>
            <w:tcBorders>
              <w:tl2br w:val="nil"/>
              <w:tr2bl w:val="nil"/>
            </w:tcBorders>
            <w:noWrap w:val="0"/>
            <w:vAlign w:val="center"/>
          </w:tcPr>
          <w:p w14:paraId="511DF86D">
            <w:pPr>
              <w:pageBreakBefore w:val="0"/>
              <w:wordWrap/>
              <w:bidi w:val="0"/>
              <w:adjustRightInd/>
              <w:snapToGrid/>
              <w:spacing w:line="240" w:lineRule="auto"/>
              <w:ind w:firstLine="0" w:firstLineChars="0"/>
              <w:jc w:val="center"/>
              <w:rPr>
                <w:color w:val="auto"/>
                <w:sz w:val="21"/>
                <w:szCs w:val="21"/>
              </w:rPr>
            </w:pPr>
            <w:r>
              <w:rPr>
                <w:color w:val="auto"/>
                <w:sz w:val="21"/>
                <w:szCs w:val="21"/>
              </w:rPr>
              <w:t>人口数（城市人口数）</w:t>
            </w:r>
          </w:p>
        </w:tc>
        <w:tc>
          <w:tcPr>
            <w:tcW w:w="1666" w:type="pct"/>
            <w:tcBorders>
              <w:tl2br w:val="nil"/>
              <w:tr2bl w:val="nil"/>
            </w:tcBorders>
            <w:noWrap w:val="0"/>
            <w:vAlign w:val="center"/>
          </w:tcPr>
          <w:p w14:paraId="7882AE08">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lang w:val="en-US" w:eastAsia="zh-CN"/>
              </w:rPr>
              <w:t>/</w:t>
            </w:r>
          </w:p>
        </w:tc>
      </w:tr>
      <w:tr w14:paraId="066B52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33" w:type="pct"/>
            <w:gridSpan w:val="2"/>
            <w:tcBorders>
              <w:tl2br w:val="nil"/>
              <w:tr2bl w:val="nil"/>
            </w:tcBorders>
            <w:noWrap w:val="0"/>
            <w:vAlign w:val="center"/>
          </w:tcPr>
          <w:p w14:paraId="74B7EE1B">
            <w:pPr>
              <w:pageBreakBefore w:val="0"/>
              <w:wordWrap/>
              <w:bidi w:val="0"/>
              <w:adjustRightInd/>
              <w:snapToGrid/>
              <w:spacing w:line="240" w:lineRule="auto"/>
              <w:ind w:firstLine="0" w:firstLineChars="0"/>
              <w:jc w:val="center"/>
              <w:rPr>
                <w:color w:val="auto"/>
                <w:sz w:val="21"/>
                <w:szCs w:val="21"/>
              </w:rPr>
            </w:pPr>
            <w:r>
              <w:rPr>
                <w:color w:val="auto"/>
                <w:sz w:val="21"/>
                <w:szCs w:val="21"/>
              </w:rPr>
              <w:t>最高环境温度</w:t>
            </w:r>
          </w:p>
        </w:tc>
        <w:tc>
          <w:tcPr>
            <w:tcW w:w="1666" w:type="pct"/>
            <w:tcBorders>
              <w:tl2br w:val="nil"/>
              <w:tr2bl w:val="nil"/>
            </w:tcBorders>
            <w:noWrap w:val="0"/>
            <w:vAlign w:val="center"/>
          </w:tcPr>
          <w:p w14:paraId="129FA559">
            <w:pPr>
              <w:pageBreakBefore w:val="0"/>
              <w:wordWrap/>
              <w:bidi w:val="0"/>
              <w:adjustRightInd/>
              <w:snapToGrid/>
              <w:spacing w:line="240" w:lineRule="auto"/>
              <w:ind w:firstLine="0" w:firstLineChars="0"/>
              <w:jc w:val="center"/>
              <w:rPr>
                <w:color w:val="auto"/>
                <w:sz w:val="21"/>
                <w:szCs w:val="21"/>
              </w:rPr>
            </w:pPr>
            <w:r>
              <w:rPr>
                <w:color w:val="auto"/>
                <w:sz w:val="21"/>
                <w:szCs w:val="21"/>
              </w:rPr>
              <w:t>40.</w:t>
            </w:r>
            <w:r>
              <w:rPr>
                <w:rFonts w:hint="eastAsia"/>
                <w:color w:val="auto"/>
                <w:sz w:val="21"/>
                <w:szCs w:val="21"/>
                <w:lang w:val="en-US" w:eastAsia="zh-CN"/>
              </w:rPr>
              <w:t>3</w:t>
            </w:r>
            <w:r>
              <w:rPr>
                <w:color w:val="auto"/>
                <w:sz w:val="21"/>
                <w:szCs w:val="21"/>
              </w:rPr>
              <w:t>℃</w:t>
            </w:r>
          </w:p>
        </w:tc>
      </w:tr>
      <w:tr w14:paraId="6B15FD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33" w:type="pct"/>
            <w:gridSpan w:val="2"/>
            <w:tcBorders>
              <w:tl2br w:val="nil"/>
              <w:tr2bl w:val="nil"/>
            </w:tcBorders>
            <w:noWrap w:val="0"/>
            <w:vAlign w:val="center"/>
          </w:tcPr>
          <w:p w14:paraId="5312CD9D">
            <w:pPr>
              <w:pageBreakBefore w:val="0"/>
              <w:wordWrap/>
              <w:bidi w:val="0"/>
              <w:adjustRightInd/>
              <w:snapToGrid/>
              <w:spacing w:line="240" w:lineRule="auto"/>
              <w:ind w:firstLine="0" w:firstLineChars="0"/>
              <w:jc w:val="center"/>
              <w:rPr>
                <w:color w:val="auto"/>
                <w:sz w:val="21"/>
                <w:szCs w:val="21"/>
              </w:rPr>
            </w:pPr>
            <w:r>
              <w:rPr>
                <w:color w:val="auto"/>
                <w:sz w:val="21"/>
                <w:szCs w:val="21"/>
              </w:rPr>
              <w:t>最低环境温度</w:t>
            </w:r>
          </w:p>
        </w:tc>
        <w:tc>
          <w:tcPr>
            <w:tcW w:w="1666" w:type="pct"/>
            <w:tcBorders>
              <w:tl2br w:val="nil"/>
              <w:tr2bl w:val="nil"/>
            </w:tcBorders>
            <w:noWrap w:val="0"/>
            <w:vAlign w:val="center"/>
          </w:tcPr>
          <w:p w14:paraId="3F0746D3">
            <w:pPr>
              <w:pageBreakBefore w:val="0"/>
              <w:wordWrap/>
              <w:bidi w:val="0"/>
              <w:adjustRightInd/>
              <w:snapToGrid/>
              <w:spacing w:line="240" w:lineRule="auto"/>
              <w:ind w:firstLine="0" w:firstLineChars="0"/>
              <w:jc w:val="center"/>
              <w:rPr>
                <w:color w:val="auto"/>
                <w:sz w:val="21"/>
                <w:szCs w:val="21"/>
              </w:rPr>
            </w:pPr>
            <w:r>
              <w:rPr>
                <w:color w:val="auto"/>
                <w:sz w:val="21"/>
                <w:szCs w:val="21"/>
              </w:rPr>
              <w:t>-</w:t>
            </w:r>
            <w:r>
              <w:rPr>
                <w:rFonts w:hint="eastAsia"/>
                <w:color w:val="auto"/>
                <w:sz w:val="21"/>
                <w:szCs w:val="21"/>
                <w:lang w:val="en-US" w:eastAsia="zh-CN"/>
              </w:rPr>
              <w:t>5.3</w:t>
            </w:r>
            <w:r>
              <w:rPr>
                <w:color w:val="auto"/>
                <w:sz w:val="21"/>
                <w:szCs w:val="21"/>
              </w:rPr>
              <w:t>℃</w:t>
            </w:r>
          </w:p>
        </w:tc>
      </w:tr>
      <w:tr w14:paraId="0BCF39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33" w:type="pct"/>
            <w:gridSpan w:val="2"/>
            <w:tcBorders>
              <w:tl2br w:val="nil"/>
              <w:tr2bl w:val="nil"/>
            </w:tcBorders>
            <w:noWrap w:val="0"/>
            <w:vAlign w:val="center"/>
          </w:tcPr>
          <w:p w14:paraId="6B5E4267">
            <w:pPr>
              <w:pageBreakBefore w:val="0"/>
              <w:wordWrap/>
              <w:bidi w:val="0"/>
              <w:adjustRightInd/>
              <w:snapToGrid/>
              <w:spacing w:line="240" w:lineRule="auto"/>
              <w:ind w:firstLine="0" w:firstLineChars="0"/>
              <w:jc w:val="center"/>
              <w:rPr>
                <w:color w:val="auto"/>
                <w:sz w:val="21"/>
                <w:szCs w:val="21"/>
              </w:rPr>
            </w:pPr>
            <w:r>
              <w:rPr>
                <w:color w:val="auto"/>
                <w:sz w:val="21"/>
                <w:szCs w:val="21"/>
              </w:rPr>
              <w:t>土地利用类型</w:t>
            </w:r>
          </w:p>
        </w:tc>
        <w:tc>
          <w:tcPr>
            <w:tcW w:w="1666" w:type="pct"/>
            <w:tcBorders>
              <w:tl2br w:val="nil"/>
              <w:tr2bl w:val="nil"/>
            </w:tcBorders>
            <w:noWrap w:val="0"/>
            <w:vAlign w:val="center"/>
          </w:tcPr>
          <w:p w14:paraId="7483DDEB">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农作地</w:t>
            </w:r>
          </w:p>
        </w:tc>
      </w:tr>
      <w:tr w14:paraId="153E8D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33" w:type="pct"/>
            <w:gridSpan w:val="2"/>
            <w:tcBorders>
              <w:tl2br w:val="nil"/>
              <w:tr2bl w:val="nil"/>
            </w:tcBorders>
            <w:noWrap w:val="0"/>
            <w:vAlign w:val="center"/>
          </w:tcPr>
          <w:p w14:paraId="3E2DFF80">
            <w:pPr>
              <w:pageBreakBefore w:val="0"/>
              <w:wordWrap/>
              <w:bidi w:val="0"/>
              <w:adjustRightInd/>
              <w:snapToGrid/>
              <w:spacing w:line="240" w:lineRule="auto"/>
              <w:ind w:firstLine="0" w:firstLineChars="0"/>
              <w:jc w:val="center"/>
              <w:rPr>
                <w:color w:val="auto"/>
                <w:sz w:val="21"/>
                <w:szCs w:val="21"/>
              </w:rPr>
            </w:pPr>
            <w:r>
              <w:rPr>
                <w:color w:val="auto"/>
                <w:sz w:val="21"/>
                <w:szCs w:val="21"/>
              </w:rPr>
              <w:t>区域湿度条件</w:t>
            </w:r>
          </w:p>
        </w:tc>
        <w:tc>
          <w:tcPr>
            <w:tcW w:w="1666" w:type="pct"/>
            <w:tcBorders>
              <w:tl2br w:val="nil"/>
              <w:tr2bl w:val="nil"/>
            </w:tcBorders>
            <w:noWrap w:val="0"/>
            <w:vAlign w:val="center"/>
          </w:tcPr>
          <w:p w14:paraId="414B7F87">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中度湿润气候</w:t>
            </w:r>
          </w:p>
        </w:tc>
      </w:tr>
      <w:tr w14:paraId="661285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restart"/>
            <w:tcBorders>
              <w:tl2br w:val="nil"/>
              <w:tr2bl w:val="nil"/>
            </w:tcBorders>
            <w:noWrap w:val="0"/>
            <w:vAlign w:val="center"/>
          </w:tcPr>
          <w:p w14:paraId="40F5A2FB">
            <w:pPr>
              <w:pageBreakBefore w:val="0"/>
              <w:wordWrap/>
              <w:bidi w:val="0"/>
              <w:adjustRightInd/>
              <w:snapToGrid/>
              <w:spacing w:line="240" w:lineRule="auto"/>
              <w:ind w:firstLine="0" w:firstLineChars="0"/>
              <w:jc w:val="center"/>
              <w:rPr>
                <w:color w:val="auto"/>
                <w:sz w:val="21"/>
                <w:szCs w:val="21"/>
              </w:rPr>
            </w:pPr>
            <w:r>
              <w:rPr>
                <w:color w:val="auto"/>
                <w:sz w:val="21"/>
                <w:szCs w:val="21"/>
              </w:rPr>
              <w:t>是否考虑地形</w:t>
            </w:r>
          </w:p>
        </w:tc>
        <w:tc>
          <w:tcPr>
            <w:tcW w:w="1666" w:type="pct"/>
            <w:tcBorders>
              <w:tl2br w:val="nil"/>
              <w:tr2bl w:val="nil"/>
            </w:tcBorders>
            <w:noWrap w:val="0"/>
            <w:vAlign w:val="center"/>
          </w:tcPr>
          <w:p w14:paraId="48FBE155">
            <w:pPr>
              <w:pageBreakBefore w:val="0"/>
              <w:wordWrap/>
              <w:bidi w:val="0"/>
              <w:adjustRightInd/>
              <w:snapToGrid/>
              <w:spacing w:line="240" w:lineRule="auto"/>
              <w:ind w:firstLine="0" w:firstLineChars="0"/>
              <w:jc w:val="center"/>
              <w:rPr>
                <w:color w:val="auto"/>
                <w:sz w:val="21"/>
                <w:szCs w:val="21"/>
              </w:rPr>
            </w:pPr>
            <w:r>
              <w:rPr>
                <w:color w:val="auto"/>
                <w:sz w:val="21"/>
                <w:szCs w:val="21"/>
              </w:rPr>
              <w:t>考虑地形</w:t>
            </w:r>
          </w:p>
        </w:tc>
        <w:tc>
          <w:tcPr>
            <w:tcW w:w="1666" w:type="pct"/>
            <w:tcBorders>
              <w:tl2br w:val="nil"/>
              <w:tr2bl w:val="nil"/>
            </w:tcBorders>
            <w:noWrap w:val="0"/>
            <w:vAlign w:val="center"/>
          </w:tcPr>
          <w:p w14:paraId="28D1B58D">
            <w:pPr>
              <w:pageBreakBefore w:val="0"/>
              <w:wordWrap/>
              <w:bidi w:val="0"/>
              <w:adjustRightInd/>
              <w:snapToGrid/>
              <w:spacing w:line="240" w:lineRule="auto"/>
              <w:ind w:firstLine="0" w:firstLineChars="0"/>
              <w:jc w:val="center"/>
              <w:rPr>
                <w:color w:val="auto"/>
                <w:sz w:val="21"/>
                <w:szCs w:val="21"/>
              </w:rPr>
            </w:pPr>
            <w:r>
              <w:rPr>
                <w:color w:val="auto"/>
                <w:sz w:val="21"/>
                <w:szCs w:val="21"/>
              </w:rPr>
              <w:t>是</w:t>
            </w:r>
          </w:p>
        </w:tc>
      </w:tr>
      <w:tr w14:paraId="04DE54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continue"/>
            <w:tcBorders>
              <w:tl2br w:val="nil"/>
              <w:tr2bl w:val="nil"/>
            </w:tcBorders>
            <w:noWrap w:val="0"/>
            <w:vAlign w:val="center"/>
          </w:tcPr>
          <w:p w14:paraId="60DA1EF5">
            <w:pPr>
              <w:pageBreakBefore w:val="0"/>
              <w:wordWrap/>
              <w:bidi w:val="0"/>
              <w:adjustRightInd/>
              <w:snapToGrid/>
              <w:spacing w:line="240" w:lineRule="auto"/>
              <w:ind w:firstLine="0" w:firstLineChars="0"/>
              <w:jc w:val="center"/>
              <w:rPr>
                <w:color w:val="auto"/>
                <w:sz w:val="21"/>
                <w:szCs w:val="21"/>
              </w:rPr>
            </w:pPr>
          </w:p>
        </w:tc>
        <w:tc>
          <w:tcPr>
            <w:tcW w:w="1666" w:type="pct"/>
            <w:tcBorders>
              <w:tl2br w:val="nil"/>
              <w:tr2bl w:val="nil"/>
            </w:tcBorders>
            <w:noWrap w:val="0"/>
            <w:vAlign w:val="center"/>
          </w:tcPr>
          <w:p w14:paraId="2F74157F">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color w:val="auto"/>
                <w:sz w:val="21"/>
                <w:szCs w:val="21"/>
              </w:rPr>
              <w:t>地形数据分辨率</w:t>
            </w:r>
            <w:r>
              <w:rPr>
                <w:rFonts w:hint="eastAsia"/>
                <w:color w:val="auto"/>
                <w:sz w:val="21"/>
                <w:szCs w:val="21"/>
                <w:lang w:eastAsia="zh-CN"/>
              </w:rPr>
              <w:t>（</w:t>
            </w:r>
            <w:r>
              <w:rPr>
                <w:color w:val="auto"/>
                <w:sz w:val="21"/>
                <w:szCs w:val="21"/>
              </w:rPr>
              <w:t>m</w:t>
            </w:r>
            <w:r>
              <w:rPr>
                <w:rFonts w:hint="eastAsia"/>
                <w:color w:val="auto"/>
                <w:sz w:val="21"/>
                <w:szCs w:val="21"/>
                <w:lang w:eastAsia="zh-CN"/>
              </w:rPr>
              <w:t>）</w:t>
            </w:r>
          </w:p>
        </w:tc>
        <w:tc>
          <w:tcPr>
            <w:tcW w:w="1666" w:type="pct"/>
            <w:tcBorders>
              <w:tl2br w:val="nil"/>
              <w:tr2bl w:val="nil"/>
            </w:tcBorders>
            <w:noWrap w:val="0"/>
            <w:vAlign w:val="center"/>
          </w:tcPr>
          <w:p w14:paraId="53145D5B">
            <w:pPr>
              <w:pageBreakBefore w:val="0"/>
              <w:wordWrap/>
              <w:bidi w:val="0"/>
              <w:adjustRightInd/>
              <w:snapToGrid/>
              <w:spacing w:line="240" w:lineRule="auto"/>
              <w:ind w:firstLine="0" w:firstLineChars="0"/>
              <w:jc w:val="center"/>
              <w:rPr>
                <w:color w:val="auto"/>
                <w:sz w:val="21"/>
                <w:szCs w:val="21"/>
              </w:rPr>
            </w:pPr>
            <w:r>
              <w:rPr>
                <w:color w:val="auto"/>
                <w:sz w:val="21"/>
                <w:szCs w:val="21"/>
              </w:rPr>
              <w:t>90</w:t>
            </w:r>
          </w:p>
        </w:tc>
      </w:tr>
      <w:tr w14:paraId="4C2CA4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restart"/>
            <w:tcBorders>
              <w:tl2br w:val="nil"/>
              <w:tr2bl w:val="nil"/>
            </w:tcBorders>
            <w:noWrap w:val="0"/>
            <w:vAlign w:val="center"/>
          </w:tcPr>
          <w:p w14:paraId="7D26CE49">
            <w:pPr>
              <w:pageBreakBefore w:val="0"/>
              <w:wordWrap/>
              <w:bidi w:val="0"/>
              <w:adjustRightInd/>
              <w:snapToGrid/>
              <w:spacing w:line="240" w:lineRule="auto"/>
              <w:ind w:firstLine="0" w:firstLineChars="0"/>
              <w:jc w:val="center"/>
              <w:rPr>
                <w:color w:val="auto"/>
                <w:sz w:val="21"/>
                <w:szCs w:val="21"/>
              </w:rPr>
            </w:pPr>
            <w:r>
              <w:rPr>
                <w:color w:val="auto"/>
                <w:sz w:val="21"/>
                <w:szCs w:val="21"/>
              </w:rPr>
              <w:t>是否考虑海岸线熏烟</w:t>
            </w:r>
          </w:p>
        </w:tc>
        <w:tc>
          <w:tcPr>
            <w:tcW w:w="1666" w:type="pct"/>
            <w:tcBorders>
              <w:tl2br w:val="nil"/>
              <w:tr2bl w:val="nil"/>
            </w:tcBorders>
            <w:noWrap w:val="0"/>
            <w:vAlign w:val="center"/>
          </w:tcPr>
          <w:p w14:paraId="77ABCB75">
            <w:pPr>
              <w:pageBreakBefore w:val="0"/>
              <w:wordWrap/>
              <w:bidi w:val="0"/>
              <w:adjustRightInd/>
              <w:snapToGrid/>
              <w:spacing w:line="240" w:lineRule="auto"/>
              <w:ind w:firstLine="0" w:firstLineChars="0"/>
              <w:jc w:val="center"/>
              <w:rPr>
                <w:color w:val="auto"/>
                <w:sz w:val="21"/>
                <w:szCs w:val="21"/>
              </w:rPr>
            </w:pPr>
            <w:r>
              <w:rPr>
                <w:color w:val="auto"/>
                <w:sz w:val="21"/>
                <w:szCs w:val="21"/>
              </w:rPr>
              <w:t>考虑海岸线熏烟</w:t>
            </w:r>
          </w:p>
        </w:tc>
        <w:tc>
          <w:tcPr>
            <w:tcW w:w="1666" w:type="pct"/>
            <w:tcBorders>
              <w:tl2br w:val="nil"/>
              <w:tr2bl w:val="nil"/>
            </w:tcBorders>
            <w:noWrap w:val="0"/>
            <w:vAlign w:val="center"/>
          </w:tcPr>
          <w:p w14:paraId="62585995">
            <w:pPr>
              <w:pageBreakBefore w:val="0"/>
              <w:wordWrap/>
              <w:bidi w:val="0"/>
              <w:adjustRightInd/>
              <w:snapToGrid/>
              <w:spacing w:line="240" w:lineRule="auto"/>
              <w:ind w:firstLine="0" w:firstLineChars="0"/>
              <w:jc w:val="center"/>
              <w:rPr>
                <w:color w:val="auto"/>
                <w:sz w:val="21"/>
                <w:szCs w:val="21"/>
              </w:rPr>
            </w:pPr>
            <w:r>
              <w:rPr>
                <w:color w:val="auto"/>
                <w:sz w:val="21"/>
                <w:szCs w:val="21"/>
              </w:rPr>
              <w:t>否</w:t>
            </w:r>
          </w:p>
        </w:tc>
      </w:tr>
      <w:tr w14:paraId="48131E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continue"/>
            <w:tcBorders>
              <w:tl2br w:val="nil"/>
              <w:tr2bl w:val="nil"/>
            </w:tcBorders>
            <w:noWrap w:val="0"/>
            <w:vAlign w:val="center"/>
          </w:tcPr>
          <w:p w14:paraId="2DB7981F">
            <w:pPr>
              <w:pageBreakBefore w:val="0"/>
              <w:wordWrap/>
              <w:bidi w:val="0"/>
              <w:adjustRightInd/>
              <w:snapToGrid/>
              <w:spacing w:line="240" w:lineRule="auto"/>
              <w:ind w:firstLine="0" w:firstLineChars="0"/>
              <w:jc w:val="center"/>
              <w:rPr>
                <w:color w:val="auto"/>
                <w:sz w:val="21"/>
                <w:szCs w:val="21"/>
              </w:rPr>
            </w:pPr>
          </w:p>
        </w:tc>
        <w:tc>
          <w:tcPr>
            <w:tcW w:w="1666" w:type="pct"/>
            <w:tcBorders>
              <w:tl2br w:val="nil"/>
              <w:tr2bl w:val="nil"/>
            </w:tcBorders>
            <w:noWrap w:val="0"/>
            <w:vAlign w:val="center"/>
          </w:tcPr>
          <w:p w14:paraId="068A4AD0">
            <w:pPr>
              <w:pageBreakBefore w:val="0"/>
              <w:wordWrap/>
              <w:bidi w:val="0"/>
              <w:adjustRightInd/>
              <w:snapToGrid/>
              <w:spacing w:line="240" w:lineRule="auto"/>
              <w:ind w:firstLine="0" w:firstLineChars="0"/>
              <w:jc w:val="center"/>
              <w:rPr>
                <w:color w:val="auto"/>
                <w:sz w:val="21"/>
                <w:szCs w:val="21"/>
              </w:rPr>
            </w:pPr>
            <w:r>
              <w:rPr>
                <w:color w:val="auto"/>
                <w:sz w:val="21"/>
                <w:szCs w:val="21"/>
              </w:rPr>
              <w:t>海岸线距离/km</w:t>
            </w:r>
          </w:p>
        </w:tc>
        <w:tc>
          <w:tcPr>
            <w:tcW w:w="1666" w:type="pct"/>
            <w:tcBorders>
              <w:tl2br w:val="nil"/>
              <w:tr2bl w:val="nil"/>
            </w:tcBorders>
            <w:noWrap w:val="0"/>
            <w:vAlign w:val="center"/>
          </w:tcPr>
          <w:p w14:paraId="4214C235">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r>
      <w:tr w14:paraId="029344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continue"/>
            <w:tcBorders>
              <w:tl2br w:val="nil"/>
              <w:tr2bl w:val="nil"/>
            </w:tcBorders>
            <w:noWrap w:val="0"/>
            <w:vAlign w:val="center"/>
          </w:tcPr>
          <w:p w14:paraId="5DDC5524">
            <w:pPr>
              <w:pageBreakBefore w:val="0"/>
              <w:wordWrap/>
              <w:bidi w:val="0"/>
              <w:adjustRightInd/>
              <w:snapToGrid/>
              <w:spacing w:line="240" w:lineRule="auto"/>
              <w:ind w:firstLine="0" w:firstLineChars="0"/>
              <w:jc w:val="center"/>
              <w:rPr>
                <w:color w:val="auto"/>
                <w:sz w:val="21"/>
                <w:szCs w:val="21"/>
              </w:rPr>
            </w:pPr>
          </w:p>
        </w:tc>
        <w:tc>
          <w:tcPr>
            <w:tcW w:w="1666" w:type="pct"/>
            <w:tcBorders>
              <w:tl2br w:val="nil"/>
              <w:tr2bl w:val="nil"/>
            </w:tcBorders>
            <w:noWrap w:val="0"/>
            <w:vAlign w:val="center"/>
          </w:tcPr>
          <w:p w14:paraId="4EDBBDE4">
            <w:pPr>
              <w:pageBreakBefore w:val="0"/>
              <w:wordWrap/>
              <w:bidi w:val="0"/>
              <w:adjustRightInd/>
              <w:snapToGrid/>
              <w:spacing w:line="240" w:lineRule="auto"/>
              <w:ind w:firstLine="0" w:firstLineChars="0"/>
              <w:jc w:val="center"/>
              <w:rPr>
                <w:color w:val="auto"/>
                <w:sz w:val="21"/>
                <w:szCs w:val="21"/>
              </w:rPr>
            </w:pPr>
            <w:r>
              <w:rPr>
                <w:color w:val="auto"/>
                <w:sz w:val="21"/>
                <w:szCs w:val="21"/>
              </w:rPr>
              <w:t>海岸线方向/</w:t>
            </w:r>
            <w:r>
              <w:rPr>
                <w:color w:val="auto"/>
                <w:sz w:val="21"/>
                <w:szCs w:val="21"/>
                <w:vertAlign w:val="superscript"/>
              </w:rPr>
              <w:t>o</w:t>
            </w:r>
          </w:p>
        </w:tc>
        <w:tc>
          <w:tcPr>
            <w:tcW w:w="1666" w:type="pct"/>
            <w:tcBorders>
              <w:tl2br w:val="nil"/>
              <w:tr2bl w:val="nil"/>
            </w:tcBorders>
            <w:noWrap w:val="0"/>
            <w:vAlign w:val="center"/>
          </w:tcPr>
          <w:p w14:paraId="57A2D898">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r>
    </w:tbl>
    <w:p w14:paraId="3F2D685D">
      <w:pPr>
        <w:pageBreakBefore w:val="0"/>
        <w:wordWrap/>
        <w:bidi w:val="0"/>
        <w:adjustRightInd/>
        <w:snapToGrid/>
        <w:spacing w:before="120" w:beforeLines="50"/>
        <w:ind w:firstLine="480"/>
        <w:rPr>
          <w:color w:val="auto"/>
        </w:rPr>
      </w:pPr>
      <w:r>
        <w:rPr>
          <w:color w:val="auto"/>
        </w:rPr>
        <w:t>（3）估算模型计算结果</w:t>
      </w:r>
    </w:p>
    <w:p w14:paraId="54AA4FCC">
      <w:pPr>
        <w:pageBreakBefore w:val="0"/>
        <w:wordWrap/>
        <w:bidi w:val="0"/>
        <w:adjustRightInd/>
        <w:snapToGrid/>
        <w:ind w:firstLine="480"/>
        <w:rPr>
          <w:color w:val="auto"/>
        </w:rPr>
      </w:pPr>
      <w:r>
        <w:rPr>
          <w:color w:val="auto"/>
        </w:rPr>
        <w:t>根据</w:t>
      </w:r>
      <w:r>
        <w:rPr>
          <w:rFonts w:hint="eastAsia"/>
          <w:color w:val="auto"/>
          <w:lang w:eastAsia="zh-CN"/>
        </w:rPr>
        <w:t>《环境影响评价技术导则 大气环境》（HJ2.2-2018）</w:t>
      </w:r>
      <w:r>
        <w:rPr>
          <w:color w:val="auto"/>
        </w:rPr>
        <w:t>，分别计算每一种污染物的最大地面浓度占标率Pi（第i个污染物），及第i个污染物的地面浓度达标准限值10%时所对应的最远距离D</w:t>
      </w:r>
      <w:r>
        <w:rPr>
          <w:color w:val="auto"/>
          <w:vertAlign w:val="subscript"/>
        </w:rPr>
        <w:t>10%</w:t>
      </w:r>
      <w:r>
        <w:rPr>
          <w:color w:val="auto"/>
        </w:rPr>
        <w:t>，其中Pi定义为：</w:t>
      </w:r>
    </w:p>
    <w:p w14:paraId="0EF9D980">
      <w:pPr>
        <w:pageBreakBefore w:val="0"/>
        <w:wordWrap/>
        <w:bidi w:val="0"/>
        <w:adjustRightInd/>
        <w:snapToGrid/>
        <w:ind w:firstLine="480"/>
        <w:jc w:val="center"/>
        <w:rPr>
          <w:color w:val="auto"/>
        </w:rPr>
      </w:pPr>
      <w:r>
        <w:rPr>
          <w:color w:val="auto"/>
        </w:rPr>
        <w:drawing>
          <wp:inline distT="0" distB="0" distL="114300" distR="114300">
            <wp:extent cx="1227455" cy="477520"/>
            <wp:effectExtent l="0" t="0" r="0" b="0"/>
            <wp:docPr id="84"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12"/>
                    <pic:cNvPicPr>
                      <a:picLocks noChangeAspect="1"/>
                    </pic:cNvPicPr>
                  </pic:nvPicPr>
                  <pic:blipFill>
                    <a:blip r:embed="rId31"/>
                    <a:stretch>
                      <a:fillRect/>
                    </a:stretch>
                  </pic:blipFill>
                  <pic:spPr>
                    <a:xfrm>
                      <a:off x="0" y="0"/>
                      <a:ext cx="1227455" cy="477520"/>
                    </a:xfrm>
                    <a:prstGeom prst="rect">
                      <a:avLst/>
                    </a:prstGeom>
                    <a:noFill/>
                    <a:ln>
                      <a:noFill/>
                    </a:ln>
                  </pic:spPr>
                </pic:pic>
              </a:graphicData>
            </a:graphic>
          </wp:inline>
        </w:drawing>
      </w:r>
    </w:p>
    <w:p w14:paraId="1BCB2882">
      <w:pPr>
        <w:pageBreakBefore w:val="0"/>
        <w:wordWrap/>
        <w:bidi w:val="0"/>
        <w:adjustRightInd/>
        <w:snapToGrid/>
        <w:ind w:firstLine="1200" w:firstLineChars="500"/>
        <w:textAlignment w:val="baseline"/>
        <w:rPr>
          <w:color w:val="auto"/>
        </w:rPr>
      </w:pPr>
      <w:r>
        <w:rPr>
          <w:color w:val="auto"/>
        </w:rPr>
        <w:t>P</w:t>
      </w:r>
      <w:r>
        <w:rPr>
          <w:color w:val="auto"/>
          <w:vertAlign w:val="subscript"/>
        </w:rPr>
        <w:t>i</w:t>
      </w:r>
      <w:r>
        <w:rPr>
          <w:color w:val="auto"/>
        </w:rPr>
        <w:t>—第i个污染物的最大地面落地浓度占标率，%；</w:t>
      </w:r>
    </w:p>
    <w:p w14:paraId="29E3B76F">
      <w:pPr>
        <w:pageBreakBefore w:val="0"/>
        <w:wordWrap/>
        <w:bidi w:val="0"/>
        <w:adjustRightInd/>
        <w:snapToGrid/>
        <w:ind w:firstLine="1200" w:firstLineChars="500"/>
        <w:textAlignment w:val="baseline"/>
        <w:rPr>
          <w:color w:val="auto"/>
        </w:rPr>
      </w:pPr>
      <w:r>
        <w:rPr>
          <w:color w:val="auto"/>
        </w:rPr>
        <w:t>C</w:t>
      </w:r>
      <w:r>
        <w:rPr>
          <w:color w:val="auto"/>
          <w:vertAlign w:val="subscript"/>
        </w:rPr>
        <w:t>i</w:t>
      </w:r>
      <w:r>
        <w:rPr>
          <w:color w:val="auto"/>
        </w:rPr>
        <w:t>—采用估算模式计算出的第i个污染物的最大地面浓度，mg/</w:t>
      </w:r>
      <w:r>
        <w:rPr>
          <w:rFonts w:hint="eastAsia"/>
          <w:color w:val="auto"/>
          <w:lang w:eastAsia="zh-CN"/>
        </w:rPr>
        <w:t>m³</w:t>
      </w:r>
      <w:r>
        <w:rPr>
          <w:color w:val="auto"/>
        </w:rPr>
        <w:t>；</w:t>
      </w:r>
    </w:p>
    <w:p w14:paraId="5053C1AE">
      <w:pPr>
        <w:pageBreakBefore w:val="0"/>
        <w:wordWrap/>
        <w:bidi w:val="0"/>
        <w:adjustRightInd/>
        <w:snapToGrid/>
        <w:ind w:firstLine="1200" w:firstLineChars="500"/>
        <w:textAlignment w:val="baseline"/>
        <w:rPr>
          <w:color w:val="auto"/>
        </w:rPr>
      </w:pPr>
      <w:r>
        <w:rPr>
          <w:color w:val="auto"/>
        </w:rPr>
        <w:t>C</w:t>
      </w:r>
      <w:r>
        <w:rPr>
          <w:color w:val="auto"/>
          <w:vertAlign w:val="subscript"/>
        </w:rPr>
        <w:t>0i</w:t>
      </w:r>
      <w:r>
        <w:rPr>
          <w:color w:val="auto"/>
        </w:rPr>
        <w:t>—第i个污染物的环境空气质量标准（一般选用GB3095中1小时平均取样时间的二级标准的浓度限值），mg/</w:t>
      </w:r>
      <w:r>
        <w:rPr>
          <w:rFonts w:hint="eastAsia"/>
          <w:color w:val="auto"/>
          <w:lang w:eastAsia="zh-CN"/>
        </w:rPr>
        <w:t>m³</w:t>
      </w:r>
      <w:r>
        <w:rPr>
          <w:color w:val="auto"/>
        </w:rPr>
        <w:t>；</w:t>
      </w:r>
    </w:p>
    <w:p w14:paraId="3ECA3105">
      <w:pPr>
        <w:pageBreakBefore w:val="0"/>
        <w:wordWrap/>
        <w:bidi w:val="0"/>
        <w:adjustRightInd/>
        <w:snapToGrid/>
        <w:ind w:firstLine="480"/>
        <w:rPr>
          <w:color w:val="auto"/>
        </w:rPr>
      </w:pPr>
      <w:r>
        <w:rPr>
          <w:color w:val="auto"/>
        </w:rPr>
        <w:t>本环评选择</w:t>
      </w:r>
      <w:r>
        <w:rPr>
          <w:rFonts w:hint="eastAsia"/>
          <w:color w:val="auto"/>
          <w:lang w:eastAsia="zh-CN"/>
        </w:rPr>
        <w:t>《环境影响评价技术导则 大气环境》（HJ2.2-2018）</w:t>
      </w:r>
      <w:r>
        <w:rPr>
          <w:color w:val="auto"/>
        </w:rPr>
        <w:t>中推荐模式中的AERSCREEN模型对大气环境评价工作进行判定。计算各污染物的最大影响程度和最远影响范围，然后按评价工作分级判据进行分级。预测结果见第4章。</w:t>
      </w:r>
    </w:p>
    <w:p w14:paraId="20E594C6">
      <w:pPr>
        <w:pageBreakBefore w:val="0"/>
        <w:wordWrap/>
        <w:bidi w:val="0"/>
        <w:adjustRightInd/>
        <w:snapToGrid/>
        <w:ind w:firstLine="480"/>
        <w:rPr>
          <w:color w:val="auto"/>
        </w:rPr>
      </w:pPr>
      <w:r>
        <w:rPr>
          <w:color w:val="auto"/>
        </w:rPr>
        <w:t>（4）评价等级确定</w:t>
      </w:r>
    </w:p>
    <w:p w14:paraId="3B509D22">
      <w:pPr>
        <w:pStyle w:val="19"/>
        <w:numPr>
          <w:ilvl w:val="0"/>
          <w:numId w:val="9"/>
        </w:numPr>
        <w:tabs>
          <w:tab w:val="clear" w:pos="0"/>
        </w:tabs>
        <w:bidi w:val="0"/>
        <w:ind w:left="0" w:leftChars="0" w:firstLine="0" w:firstLineChars="0"/>
        <w:rPr>
          <w:color w:val="auto"/>
        </w:rPr>
      </w:pPr>
      <w:r>
        <w:rPr>
          <w:color w:val="auto"/>
        </w:rPr>
        <w:t>大气评价工作等级判据</w:t>
      </w:r>
    </w:p>
    <w:tbl>
      <w:tblPr>
        <w:tblStyle w:val="5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60"/>
        <w:gridCol w:w="6286"/>
      </w:tblGrid>
      <w:tr w14:paraId="0BBCA5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0" w:type="dxa"/>
            <w:tcBorders>
              <w:tl2br w:val="nil"/>
              <w:tr2bl w:val="nil"/>
            </w:tcBorders>
            <w:noWrap w:val="0"/>
            <w:vAlign w:val="center"/>
          </w:tcPr>
          <w:p w14:paraId="59E2BA3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评价工作等级</w:t>
            </w:r>
          </w:p>
        </w:tc>
        <w:tc>
          <w:tcPr>
            <w:tcW w:w="6286" w:type="dxa"/>
            <w:tcBorders>
              <w:tl2br w:val="nil"/>
              <w:tr2bl w:val="nil"/>
            </w:tcBorders>
            <w:noWrap w:val="0"/>
            <w:vAlign w:val="center"/>
          </w:tcPr>
          <w:p w14:paraId="2096AA4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评价工作分级判据</w:t>
            </w:r>
          </w:p>
        </w:tc>
      </w:tr>
      <w:tr w14:paraId="06C98B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0" w:type="dxa"/>
            <w:tcBorders>
              <w:tl2br w:val="nil"/>
              <w:tr2bl w:val="nil"/>
            </w:tcBorders>
            <w:noWrap w:val="0"/>
            <w:vAlign w:val="center"/>
          </w:tcPr>
          <w:p w14:paraId="5EC324C9">
            <w:pPr>
              <w:pageBreakBefore w:val="0"/>
              <w:wordWrap/>
              <w:bidi w:val="0"/>
              <w:adjustRightInd/>
              <w:snapToGrid/>
              <w:spacing w:line="240" w:lineRule="auto"/>
              <w:ind w:firstLine="0" w:firstLineChars="0"/>
              <w:jc w:val="center"/>
              <w:rPr>
                <w:color w:val="auto"/>
                <w:sz w:val="21"/>
                <w:szCs w:val="21"/>
              </w:rPr>
            </w:pPr>
            <w:r>
              <w:rPr>
                <w:color w:val="auto"/>
                <w:sz w:val="21"/>
                <w:szCs w:val="21"/>
              </w:rPr>
              <w:t>一级</w:t>
            </w:r>
          </w:p>
        </w:tc>
        <w:tc>
          <w:tcPr>
            <w:tcW w:w="6286" w:type="dxa"/>
            <w:tcBorders>
              <w:tl2br w:val="nil"/>
              <w:tr2bl w:val="nil"/>
            </w:tcBorders>
            <w:noWrap w:val="0"/>
            <w:vAlign w:val="center"/>
          </w:tcPr>
          <w:p w14:paraId="09A1316E">
            <w:pPr>
              <w:pageBreakBefore w:val="0"/>
              <w:wordWrap/>
              <w:bidi w:val="0"/>
              <w:adjustRightInd/>
              <w:snapToGrid/>
              <w:spacing w:line="240" w:lineRule="auto"/>
              <w:ind w:firstLine="0" w:firstLineChars="0"/>
              <w:jc w:val="center"/>
              <w:rPr>
                <w:color w:val="auto"/>
                <w:sz w:val="21"/>
                <w:szCs w:val="21"/>
              </w:rPr>
            </w:pPr>
            <w:r>
              <w:rPr>
                <w:color w:val="auto"/>
                <w:sz w:val="21"/>
                <w:szCs w:val="21"/>
              </w:rPr>
              <w:t>P</w:t>
            </w:r>
            <w:r>
              <w:rPr>
                <w:color w:val="auto"/>
                <w:sz w:val="21"/>
                <w:szCs w:val="21"/>
                <w:vertAlign w:val="subscript"/>
              </w:rPr>
              <w:t>max</w:t>
            </w:r>
            <w:r>
              <w:rPr>
                <w:color w:val="auto"/>
                <w:sz w:val="21"/>
                <w:szCs w:val="21"/>
              </w:rPr>
              <w:t>≥10%</w:t>
            </w:r>
          </w:p>
        </w:tc>
      </w:tr>
      <w:tr w14:paraId="4F0BC6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0" w:type="dxa"/>
            <w:tcBorders>
              <w:tl2br w:val="nil"/>
              <w:tr2bl w:val="nil"/>
            </w:tcBorders>
            <w:noWrap w:val="0"/>
            <w:vAlign w:val="center"/>
          </w:tcPr>
          <w:p w14:paraId="4835B77A">
            <w:pPr>
              <w:pageBreakBefore w:val="0"/>
              <w:wordWrap/>
              <w:bidi w:val="0"/>
              <w:adjustRightInd/>
              <w:snapToGrid/>
              <w:spacing w:line="240" w:lineRule="auto"/>
              <w:ind w:firstLine="0" w:firstLineChars="0"/>
              <w:jc w:val="center"/>
              <w:rPr>
                <w:color w:val="auto"/>
                <w:sz w:val="21"/>
                <w:szCs w:val="21"/>
              </w:rPr>
            </w:pPr>
            <w:r>
              <w:rPr>
                <w:color w:val="auto"/>
                <w:sz w:val="21"/>
                <w:szCs w:val="21"/>
              </w:rPr>
              <w:t>二级</w:t>
            </w:r>
          </w:p>
        </w:tc>
        <w:tc>
          <w:tcPr>
            <w:tcW w:w="6286" w:type="dxa"/>
            <w:tcBorders>
              <w:tl2br w:val="nil"/>
              <w:tr2bl w:val="nil"/>
            </w:tcBorders>
            <w:noWrap w:val="0"/>
            <w:vAlign w:val="center"/>
          </w:tcPr>
          <w:p w14:paraId="4E7E4F49">
            <w:pPr>
              <w:pageBreakBefore w:val="0"/>
              <w:wordWrap/>
              <w:bidi w:val="0"/>
              <w:adjustRightInd/>
              <w:snapToGrid/>
              <w:spacing w:line="240" w:lineRule="auto"/>
              <w:ind w:firstLine="0" w:firstLineChars="0"/>
              <w:jc w:val="center"/>
              <w:rPr>
                <w:color w:val="auto"/>
                <w:sz w:val="21"/>
                <w:szCs w:val="21"/>
              </w:rPr>
            </w:pPr>
            <w:r>
              <w:rPr>
                <w:color w:val="auto"/>
                <w:sz w:val="21"/>
                <w:szCs w:val="21"/>
              </w:rPr>
              <w:t>1%≤P</w:t>
            </w:r>
            <w:r>
              <w:rPr>
                <w:color w:val="auto"/>
                <w:sz w:val="21"/>
                <w:szCs w:val="21"/>
                <w:vertAlign w:val="subscript"/>
              </w:rPr>
              <w:t>max</w:t>
            </w:r>
            <w:r>
              <w:rPr>
                <w:color w:val="auto"/>
                <w:sz w:val="21"/>
                <w:szCs w:val="21"/>
              </w:rPr>
              <w:t>&lt;10%</w:t>
            </w:r>
          </w:p>
        </w:tc>
      </w:tr>
      <w:tr w14:paraId="196530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60" w:type="dxa"/>
            <w:tcBorders>
              <w:tl2br w:val="nil"/>
              <w:tr2bl w:val="nil"/>
            </w:tcBorders>
            <w:noWrap w:val="0"/>
            <w:vAlign w:val="center"/>
          </w:tcPr>
          <w:p w14:paraId="08BFC02B">
            <w:pPr>
              <w:pageBreakBefore w:val="0"/>
              <w:wordWrap/>
              <w:bidi w:val="0"/>
              <w:adjustRightInd/>
              <w:snapToGrid/>
              <w:spacing w:line="240" w:lineRule="auto"/>
              <w:ind w:firstLine="0" w:firstLineChars="0"/>
              <w:jc w:val="center"/>
              <w:rPr>
                <w:color w:val="auto"/>
                <w:sz w:val="21"/>
                <w:szCs w:val="21"/>
              </w:rPr>
            </w:pPr>
            <w:r>
              <w:rPr>
                <w:color w:val="auto"/>
                <w:sz w:val="21"/>
                <w:szCs w:val="21"/>
              </w:rPr>
              <w:t>三级</w:t>
            </w:r>
          </w:p>
        </w:tc>
        <w:tc>
          <w:tcPr>
            <w:tcW w:w="6286" w:type="dxa"/>
            <w:tcBorders>
              <w:tl2br w:val="nil"/>
              <w:tr2bl w:val="nil"/>
            </w:tcBorders>
            <w:noWrap w:val="0"/>
            <w:vAlign w:val="center"/>
          </w:tcPr>
          <w:p w14:paraId="169C8B37">
            <w:pPr>
              <w:pageBreakBefore w:val="0"/>
              <w:wordWrap/>
              <w:bidi w:val="0"/>
              <w:adjustRightInd/>
              <w:snapToGrid/>
              <w:spacing w:line="240" w:lineRule="auto"/>
              <w:ind w:firstLine="0" w:firstLineChars="0"/>
              <w:jc w:val="center"/>
              <w:rPr>
                <w:color w:val="auto"/>
                <w:sz w:val="21"/>
                <w:szCs w:val="21"/>
              </w:rPr>
            </w:pPr>
            <w:r>
              <w:rPr>
                <w:color w:val="auto"/>
                <w:sz w:val="21"/>
                <w:szCs w:val="21"/>
              </w:rPr>
              <w:t>P</w:t>
            </w:r>
            <w:r>
              <w:rPr>
                <w:color w:val="auto"/>
                <w:sz w:val="21"/>
                <w:szCs w:val="21"/>
                <w:vertAlign w:val="subscript"/>
              </w:rPr>
              <w:t>max</w:t>
            </w:r>
            <w:r>
              <w:rPr>
                <w:color w:val="auto"/>
                <w:sz w:val="21"/>
                <w:szCs w:val="21"/>
              </w:rPr>
              <w:t>＜1%</w:t>
            </w:r>
          </w:p>
        </w:tc>
      </w:tr>
    </w:tbl>
    <w:p w14:paraId="28FBD3B0">
      <w:pPr>
        <w:pStyle w:val="47"/>
        <w:keepNext w:val="0"/>
        <w:keepLines w:val="0"/>
        <w:pageBreakBefore w:val="0"/>
        <w:widowControl w:val="0"/>
        <w:kinsoku/>
        <w:wordWrap/>
        <w:overflowPunct/>
        <w:topLinePunct w:val="0"/>
        <w:autoSpaceDE/>
        <w:autoSpaceDN/>
        <w:bidi w:val="0"/>
        <w:adjustRightInd/>
        <w:snapToGrid/>
        <w:spacing w:before="0" w:beforeLines="50"/>
        <w:ind w:firstLine="480"/>
        <w:textAlignment w:val="auto"/>
        <w:rPr>
          <w:b/>
          <w:bCs/>
          <w:color w:val="auto"/>
          <w:szCs w:val="24"/>
        </w:rPr>
      </w:pPr>
      <w:r>
        <w:rPr>
          <w:color w:val="auto"/>
          <w:szCs w:val="24"/>
        </w:rPr>
        <w:t>经估算模式计算，</w:t>
      </w:r>
      <w:r>
        <w:rPr>
          <w:color w:val="auto"/>
          <w:szCs w:val="21"/>
        </w:rPr>
        <w:t>1%≤P</w:t>
      </w:r>
      <w:r>
        <w:rPr>
          <w:color w:val="auto"/>
          <w:szCs w:val="21"/>
          <w:vertAlign w:val="subscript"/>
        </w:rPr>
        <w:t>max</w:t>
      </w:r>
      <w:r>
        <w:rPr>
          <w:color w:val="auto"/>
          <w:szCs w:val="21"/>
        </w:rPr>
        <w:t>=</w:t>
      </w:r>
      <w:r>
        <w:rPr>
          <w:rFonts w:hint="eastAsia"/>
          <w:color w:val="auto"/>
          <w:szCs w:val="21"/>
          <w:lang w:eastAsia="zh-CN"/>
        </w:rPr>
        <w:t>7.22%</w:t>
      </w:r>
      <w:r>
        <w:rPr>
          <w:color w:val="auto"/>
          <w:szCs w:val="21"/>
        </w:rPr>
        <w:t>&lt;10%；由上表判定依据可知，</w:t>
      </w:r>
      <w:r>
        <w:rPr>
          <w:b/>
          <w:bCs/>
          <w:color w:val="auto"/>
          <w:szCs w:val="21"/>
        </w:rPr>
        <w:t>本项目大气环境影响评价等级为二级。</w:t>
      </w:r>
    </w:p>
    <w:p w14:paraId="329BD247">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地表水环境影响评价等级</w:t>
      </w:r>
    </w:p>
    <w:p w14:paraId="100B0DC7">
      <w:pPr>
        <w:pageBreakBefore w:val="0"/>
        <w:wordWrap/>
        <w:bidi w:val="0"/>
        <w:adjustRightInd/>
        <w:snapToGrid/>
        <w:ind w:firstLine="480"/>
        <w:rPr>
          <w:bCs/>
          <w:color w:val="auto"/>
        </w:rPr>
      </w:pPr>
      <w:r>
        <w:rPr>
          <w:bCs/>
          <w:color w:val="auto"/>
        </w:rPr>
        <w:t>本项目运营期污废水主要是</w:t>
      </w:r>
      <w:r>
        <w:rPr>
          <w:rFonts w:hint="eastAsia"/>
          <w:bCs/>
          <w:color w:val="auto"/>
          <w:lang w:eastAsia="zh-CN"/>
        </w:rPr>
        <w:t>污水处理厂</w:t>
      </w:r>
      <w:r>
        <w:rPr>
          <w:bCs/>
          <w:color w:val="auto"/>
        </w:rPr>
        <w:t>处理达标出水，</w:t>
      </w:r>
      <w:r>
        <w:rPr>
          <w:rFonts w:hint="eastAsia"/>
          <w:bCs/>
          <w:color w:val="auto"/>
          <w:lang w:val="en-US" w:eastAsia="zh-CN"/>
        </w:rPr>
        <w:t>污水处理厂本项目设计规模为0.3</w:t>
      </w:r>
      <w:r>
        <w:rPr>
          <w:rFonts w:hint="eastAsia"/>
          <w:bCs/>
          <w:color w:val="auto"/>
          <w:lang w:eastAsia="zh-CN"/>
        </w:rPr>
        <w:t>万m³</w:t>
      </w:r>
      <w:r>
        <w:rPr>
          <w:bCs/>
          <w:color w:val="auto"/>
        </w:rPr>
        <w:t>/d，</w:t>
      </w:r>
      <w:r>
        <w:rPr>
          <w:rFonts w:hint="eastAsia"/>
          <w:color w:val="auto"/>
        </w:rPr>
        <w:t>项目排水执行《城镇污水处理厂污染物排放标准》（GB18918-2002）</w:t>
      </w:r>
      <w:r>
        <w:rPr>
          <w:rFonts w:hint="eastAsia"/>
          <w:color w:val="auto"/>
          <w:lang w:val="en-US" w:eastAsia="zh-CN"/>
        </w:rPr>
        <w:t>一级A标准</w:t>
      </w:r>
      <w:r>
        <w:rPr>
          <w:rFonts w:hint="eastAsia"/>
          <w:color w:val="auto"/>
        </w:rPr>
        <w:t>。项目</w:t>
      </w:r>
      <w:r>
        <w:rPr>
          <w:bCs/>
          <w:color w:val="auto"/>
        </w:rPr>
        <w:t>受纳水体为</w:t>
      </w:r>
      <w:r>
        <w:rPr>
          <w:rFonts w:hint="eastAsia"/>
          <w:bCs/>
          <w:color w:val="auto"/>
          <w:lang w:eastAsia="zh-CN"/>
        </w:rPr>
        <w:t>巴河</w:t>
      </w:r>
      <w:r>
        <w:rPr>
          <w:bCs/>
          <w:color w:val="auto"/>
        </w:rPr>
        <w:t>，主要污染物为pH、COD、BOD</w:t>
      </w:r>
      <w:r>
        <w:rPr>
          <w:bCs/>
          <w:color w:val="auto"/>
          <w:vertAlign w:val="subscript"/>
        </w:rPr>
        <w:t>5</w:t>
      </w:r>
      <w:r>
        <w:rPr>
          <w:bCs/>
          <w:color w:val="auto"/>
        </w:rPr>
        <w:t>、NH</w:t>
      </w:r>
      <w:r>
        <w:rPr>
          <w:bCs/>
          <w:color w:val="auto"/>
          <w:vertAlign w:val="subscript"/>
        </w:rPr>
        <w:t>3</w:t>
      </w:r>
      <w:r>
        <w:rPr>
          <w:bCs/>
          <w:color w:val="auto"/>
        </w:rPr>
        <w:t>-N等，项目属于水污染影响型建设项目。</w:t>
      </w:r>
    </w:p>
    <w:p w14:paraId="3582B2E2">
      <w:pPr>
        <w:pageBreakBefore w:val="0"/>
        <w:wordWrap/>
        <w:bidi w:val="0"/>
        <w:adjustRightInd/>
        <w:snapToGrid/>
        <w:ind w:firstLine="480"/>
        <w:rPr>
          <w:color w:val="auto"/>
          <w:kern w:val="0"/>
          <w:sz w:val="1"/>
          <w:szCs w:val="1"/>
        </w:rPr>
      </w:pPr>
      <w:r>
        <w:rPr>
          <w:color w:val="auto"/>
        </w:rPr>
        <w:t>根据《环境影响评价技术导则  地表水环境》（HJ2.3-2018），</w:t>
      </w:r>
      <w:r>
        <w:rPr>
          <w:b/>
          <w:color w:val="auto"/>
        </w:rPr>
        <w:t>地表水环境影响评价分级依据见</w:t>
      </w:r>
      <w:r>
        <w:rPr>
          <w:rFonts w:hint="eastAsia"/>
          <w:b/>
          <w:color w:val="auto"/>
          <w:lang w:val="en-US" w:eastAsia="zh-CN"/>
        </w:rPr>
        <w:t>下表</w:t>
      </w:r>
      <w:r>
        <w:rPr>
          <w:b/>
          <w:color w:val="auto"/>
        </w:rPr>
        <w:t>。</w:t>
      </w:r>
    </w:p>
    <w:p w14:paraId="4F4052A8">
      <w:pPr>
        <w:pStyle w:val="19"/>
        <w:numPr>
          <w:ilvl w:val="0"/>
          <w:numId w:val="9"/>
        </w:numPr>
        <w:tabs>
          <w:tab w:val="clear" w:pos="0"/>
        </w:tabs>
        <w:bidi w:val="0"/>
        <w:ind w:left="0" w:leftChars="0" w:firstLine="0" w:firstLineChars="0"/>
        <w:rPr>
          <w:color w:val="auto"/>
        </w:rPr>
      </w:pPr>
      <w:r>
        <w:rPr>
          <w:color w:val="auto"/>
        </w:rPr>
        <w:t>地表水环境影响评价等级判定</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25"/>
        <w:gridCol w:w="1702"/>
        <w:gridCol w:w="5319"/>
      </w:tblGrid>
      <w:tr w14:paraId="77A1E8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pct"/>
            <w:vMerge w:val="restart"/>
            <w:tcBorders>
              <w:tl2br w:val="nil"/>
              <w:tr2bl w:val="nil"/>
            </w:tcBorders>
            <w:noWrap w:val="0"/>
            <w:vAlign w:val="center"/>
          </w:tcPr>
          <w:p w14:paraId="5A784BAC">
            <w:pPr>
              <w:pageBreakBefore w:val="0"/>
              <w:wordWrap/>
              <w:bidi w:val="0"/>
              <w:adjustRightInd/>
              <w:snapToGrid/>
              <w:spacing w:line="240" w:lineRule="auto"/>
              <w:ind w:firstLine="0" w:firstLineChars="0"/>
              <w:jc w:val="center"/>
              <w:rPr>
                <w:b/>
                <w:bCs/>
                <w:color w:val="auto"/>
                <w:kern w:val="0"/>
                <w:sz w:val="21"/>
                <w:szCs w:val="21"/>
              </w:rPr>
            </w:pPr>
            <w:r>
              <w:rPr>
                <w:b/>
                <w:bCs/>
                <w:color w:val="auto"/>
                <w:kern w:val="0"/>
                <w:sz w:val="21"/>
                <w:szCs w:val="21"/>
              </w:rPr>
              <w:t>评价等级</w:t>
            </w:r>
          </w:p>
        </w:tc>
        <w:tc>
          <w:tcPr>
            <w:tcW w:w="3923" w:type="pct"/>
            <w:gridSpan w:val="2"/>
            <w:tcBorders>
              <w:tl2br w:val="nil"/>
              <w:tr2bl w:val="nil"/>
            </w:tcBorders>
            <w:noWrap w:val="0"/>
            <w:vAlign w:val="center"/>
          </w:tcPr>
          <w:p w14:paraId="6BE48A4B">
            <w:pPr>
              <w:pageBreakBefore w:val="0"/>
              <w:wordWrap/>
              <w:bidi w:val="0"/>
              <w:adjustRightInd/>
              <w:snapToGrid/>
              <w:spacing w:line="240" w:lineRule="auto"/>
              <w:ind w:firstLine="0" w:firstLineChars="0"/>
              <w:jc w:val="center"/>
              <w:rPr>
                <w:b/>
                <w:bCs/>
                <w:color w:val="auto"/>
                <w:kern w:val="0"/>
                <w:sz w:val="21"/>
                <w:szCs w:val="21"/>
              </w:rPr>
            </w:pPr>
            <w:r>
              <w:rPr>
                <w:b/>
                <w:bCs/>
                <w:color w:val="auto"/>
                <w:kern w:val="0"/>
                <w:sz w:val="21"/>
                <w:szCs w:val="21"/>
              </w:rPr>
              <w:t>判定依据</w:t>
            </w:r>
          </w:p>
        </w:tc>
      </w:tr>
      <w:tr w14:paraId="0831F2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pct"/>
            <w:vMerge w:val="continue"/>
            <w:tcBorders>
              <w:tl2br w:val="nil"/>
              <w:tr2bl w:val="nil"/>
            </w:tcBorders>
            <w:noWrap w:val="0"/>
            <w:vAlign w:val="center"/>
          </w:tcPr>
          <w:p w14:paraId="336C0B60">
            <w:pPr>
              <w:pageBreakBefore w:val="0"/>
              <w:wordWrap/>
              <w:bidi w:val="0"/>
              <w:adjustRightInd/>
              <w:snapToGrid/>
              <w:spacing w:line="240" w:lineRule="auto"/>
              <w:ind w:firstLine="0" w:firstLineChars="0"/>
              <w:jc w:val="center"/>
              <w:rPr>
                <w:b/>
                <w:bCs/>
                <w:color w:val="auto"/>
                <w:kern w:val="0"/>
                <w:sz w:val="21"/>
                <w:szCs w:val="21"/>
              </w:rPr>
            </w:pPr>
          </w:p>
        </w:tc>
        <w:tc>
          <w:tcPr>
            <w:tcW w:w="951" w:type="pct"/>
            <w:tcBorders>
              <w:tl2br w:val="nil"/>
              <w:tr2bl w:val="nil"/>
            </w:tcBorders>
            <w:noWrap w:val="0"/>
            <w:vAlign w:val="center"/>
          </w:tcPr>
          <w:p w14:paraId="2DBA03C7">
            <w:pPr>
              <w:pageBreakBefore w:val="0"/>
              <w:wordWrap/>
              <w:bidi w:val="0"/>
              <w:adjustRightInd/>
              <w:snapToGrid/>
              <w:spacing w:line="240" w:lineRule="auto"/>
              <w:ind w:firstLine="0" w:firstLineChars="0"/>
              <w:jc w:val="center"/>
              <w:rPr>
                <w:b/>
                <w:bCs/>
                <w:color w:val="auto"/>
                <w:kern w:val="0"/>
                <w:sz w:val="21"/>
                <w:szCs w:val="21"/>
              </w:rPr>
            </w:pPr>
            <w:r>
              <w:rPr>
                <w:b/>
                <w:bCs/>
                <w:color w:val="auto"/>
                <w:kern w:val="0"/>
                <w:sz w:val="21"/>
                <w:szCs w:val="21"/>
              </w:rPr>
              <w:t>排放方式</w:t>
            </w:r>
          </w:p>
        </w:tc>
        <w:tc>
          <w:tcPr>
            <w:tcW w:w="2972" w:type="pct"/>
            <w:tcBorders>
              <w:tl2br w:val="nil"/>
              <w:tr2bl w:val="nil"/>
            </w:tcBorders>
            <w:noWrap w:val="0"/>
            <w:vAlign w:val="center"/>
          </w:tcPr>
          <w:p w14:paraId="310C1881">
            <w:pPr>
              <w:pageBreakBefore w:val="0"/>
              <w:wordWrap/>
              <w:bidi w:val="0"/>
              <w:adjustRightInd/>
              <w:snapToGrid/>
              <w:spacing w:line="240" w:lineRule="auto"/>
              <w:ind w:firstLine="0" w:firstLineChars="0"/>
              <w:jc w:val="center"/>
              <w:rPr>
                <w:b/>
                <w:bCs/>
                <w:color w:val="auto"/>
                <w:kern w:val="0"/>
                <w:sz w:val="21"/>
                <w:szCs w:val="21"/>
              </w:rPr>
            </w:pPr>
            <w:r>
              <w:rPr>
                <w:b/>
                <w:bCs/>
                <w:color w:val="auto"/>
                <w:kern w:val="0"/>
                <w:sz w:val="21"/>
                <w:szCs w:val="21"/>
              </w:rPr>
              <w:t>废水排放量Q/（</w:t>
            </w:r>
            <w:r>
              <w:rPr>
                <w:rFonts w:hint="eastAsia"/>
                <w:b/>
                <w:bCs/>
                <w:color w:val="auto"/>
                <w:kern w:val="0"/>
                <w:sz w:val="21"/>
                <w:szCs w:val="21"/>
                <w:lang w:eastAsia="zh-CN"/>
              </w:rPr>
              <w:t>m³</w:t>
            </w:r>
            <w:r>
              <w:rPr>
                <w:b/>
                <w:bCs/>
                <w:color w:val="auto"/>
                <w:kern w:val="0"/>
                <w:sz w:val="21"/>
                <w:szCs w:val="21"/>
              </w:rPr>
              <w:t>/d）；水污染物当量数W/（无量纲）</w:t>
            </w:r>
          </w:p>
        </w:tc>
      </w:tr>
      <w:tr w14:paraId="6B5AE9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pct"/>
            <w:tcBorders>
              <w:tl2br w:val="nil"/>
              <w:tr2bl w:val="nil"/>
            </w:tcBorders>
            <w:noWrap w:val="0"/>
            <w:vAlign w:val="center"/>
          </w:tcPr>
          <w:p w14:paraId="7EE2E5A2">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一级</w:t>
            </w:r>
          </w:p>
        </w:tc>
        <w:tc>
          <w:tcPr>
            <w:tcW w:w="951" w:type="pct"/>
            <w:tcBorders>
              <w:tl2br w:val="nil"/>
              <w:tr2bl w:val="nil"/>
            </w:tcBorders>
            <w:noWrap w:val="0"/>
            <w:vAlign w:val="center"/>
          </w:tcPr>
          <w:p w14:paraId="272E2CE3">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直接排放</w:t>
            </w:r>
          </w:p>
        </w:tc>
        <w:tc>
          <w:tcPr>
            <w:tcW w:w="2972" w:type="pct"/>
            <w:tcBorders>
              <w:tl2br w:val="nil"/>
              <w:tr2bl w:val="nil"/>
            </w:tcBorders>
            <w:noWrap w:val="0"/>
            <w:vAlign w:val="center"/>
          </w:tcPr>
          <w:p w14:paraId="4009F4B4">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Q≥20000或W≥600000</w:t>
            </w:r>
          </w:p>
        </w:tc>
      </w:tr>
      <w:tr w14:paraId="36C303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pct"/>
            <w:tcBorders>
              <w:tl2br w:val="nil"/>
              <w:tr2bl w:val="nil"/>
            </w:tcBorders>
            <w:noWrap w:val="0"/>
            <w:vAlign w:val="center"/>
          </w:tcPr>
          <w:p w14:paraId="3ABD9AA6">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二级</w:t>
            </w:r>
          </w:p>
        </w:tc>
        <w:tc>
          <w:tcPr>
            <w:tcW w:w="951" w:type="pct"/>
            <w:tcBorders>
              <w:tl2br w:val="nil"/>
              <w:tr2bl w:val="nil"/>
            </w:tcBorders>
            <w:noWrap w:val="0"/>
            <w:vAlign w:val="center"/>
          </w:tcPr>
          <w:p w14:paraId="766BD0DD">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直接排放</w:t>
            </w:r>
          </w:p>
        </w:tc>
        <w:tc>
          <w:tcPr>
            <w:tcW w:w="2972" w:type="pct"/>
            <w:tcBorders>
              <w:tl2br w:val="nil"/>
              <w:tr2bl w:val="nil"/>
            </w:tcBorders>
            <w:noWrap w:val="0"/>
            <w:vAlign w:val="center"/>
          </w:tcPr>
          <w:p w14:paraId="2C0ED742">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其他</w:t>
            </w:r>
          </w:p>
        </w:tc>
      </w:tr>
      <w:tr w14:paraId="088489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pct"/>
            <w:tcBorders>
              <w:tl2br w:val="nil"/>
              <w:tr2bl w:val="nil"/>
            </w:tcBorders>
            <w:noWrap w:val="0"/>
            <w:vAlign w:val="center"/>
          </w:tcPr>
          <w:p w14:paraId="431C255F">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三级A</w:t>
            </w:r>
          </w:p>
        </w:tc>
        <w:tc>
          <w:tcPr>
            <w:tcW w:w="951" w:type="pct"/>
            <w:tcBorders>
              <w:tl2br w:val="nil"/>
              <w:tr2bl w:val="nil"/>
            </w:tcBorders>
            <w:noWrap w:val="0"/>
            <w:vAlign w:val="center"/>
          </w:tcPr>
          <w:p w14:paraId="3CB4D1E8">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直接排放</w:t>
            </w:r>
          </w:p>
        </w:tc>
        <w:tc>
          <w:tcPr>
            <w:tcW w:w="2972" w:type="pct"/>
            <w:tcBorders>
              <w:tl2br w:val="nil"/>
              <w:tr2bl w:val="nil"/>
            </w:tcBorders>
            <w:noWrap w:val="0"/>
            <w:vAlign w:val="center"/>
          </w:tcPr>
          <w:p w14:paraId="21D489F9">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Q&lt;200且W&lt;6000</w:t>
            </w:r>
          </w:p>
        </w:tc>
      </w:tr>
      <w:tr w14:paraId="58E598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pct"/>
            <w:tcBorders>
              <w:tl2br w:val="nil"/>
              <w:tr2bl w:val="nil"/>
            </w:tcBorders>
            <w:noWrap w:val="0"/>
            <w:vAlign w:val="center"/>
          </w:tcPr>
          <w:p w14:paraId="5B9F7221">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三级B</w:t>
            </w:r>
          </w:p>
        </w:tc>
        <w:tc>
          <w:tcPr>
            <w:tcW w:w="951" w:type="pct"/>
            <w:tcBorders>
              <w:tl2br w:val="nil"/>
              <w:tr2bl w:val="nil"/>
            </w:tcBorders>
            <w:noWrap w:val="0"/>
            <w:vAlign w:val="center"/>
          </w:tcPr>
          <w:p w14:paraId="090648C7">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间接排放</w:t>
            </w:r>
          </w:p>
        </w:tc>
        <w:tc>
          <w:tcPr>
            <w:tcW w:w="2972" w:type="pct"/>
            <w:tcBorders>
              <w:tl2br w:val="nil"/>
              <w:tr2bl w:val="nil"/>
            </w:tcBorders>
            <w:noWrap w:val="0"/>
            <w:vAlign w:val="center"/>
          </w:tcPr>
          <w:p w14:paraId="395975D2">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w:t>
            </w:r>
          </w:p>
        </w:tc>
      </w:tr>
      <w:tr w14:paraId="597266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tcBorders>
              <w:tl2br w:val="nil"/>
              <w:tr2bl w:val="nil"/>
            </w:tcBorders>
            <w:noWrap w:val="0"/>
            <w:vAlign w:val="center"/>
          </w:tcPr>
          <w:p w14:paraId="01E8D5E5">
            <w:pPr>
              <w:pageBreakBefore w:val="0"/>
              <w:wordWrap/>
              <w:bidi w:val="0"/>
              <w:adjustRightInd/>
              <w:snapToGrid/>
              <w:spacing w:line="240" w:lineRule="auto"/>
              <w:ind w:firstLine="0" w:firstLineChars="0"/>
              <w:jc w:val="left"/>
              <w:rPr>
                <w:rFonts w:hint="eastAsia"/>
                <w:color w:val="auto"/>
                <w:kern w:val="0"/>
                <w:sz w:val="21"/>
                <w:szCs w:val="21"/>
                <w:lang w:val="en-US" w:eastAsia="zh-CN"/>
              </w:rPr>
            </w:pPr>
            <w:r>
              <w:rPr>
                <w:rFonts w:hint="eastAsia"/>
                <w:color w:val="auto"/>
                <w:kern w:val="0"/>
                <w:sz w:val="21"/>
                <w:szCs w:val="21"/>
                <w:lang w:val="en-US" w:eastAsia="zh-CN"/>
              </w:rPr>
              <w:t>注1：水污染物当量数等于该污染物的年排放量除以该污染物的污染当量值，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56F69D73">
            <w:pPr>
              <w:pageBreakBefore w:val="0"/>
              <w:wordWrap/>
              <w:bidi w:val="0"/>
              <w:adjustRightInd/>
              <w:snapToGrid/>
              <w:spacing w:line="240" w:lineRule="auto"/>
              <w:ind w:firstLine="0" w:firstLineChars="0"/>
              <w:jc w:val="left"/>
              <w:rPr>
                <w:rFonts w:hint="eastAsia"/>
                <w:color w:val="auto"/>
                <w:kern w:val="0"/>
                <w:sz w:val="21"/>
                <w:szCs w:val="21"/>
                <w:lang w:val="en-US" w:eastAsia="zh-CN"/>
              </w:rPr>
            </w:pPr>
            <w:r>
              <w:rPr>
                <w:rFonts w:hint="eastAsia"/>
                <w:color w:val="auto"/>
                <w:kern w:val="0"/>
                <w:sz w:val="21"/>
                <w:szCs w:val="21"/>
                <w:lang w:val="en-US" w:eastAsia="zh-CN"/>
              </w:rPr>
              <w:t>注2：废水排放量按行业排放标准中规定的废水种类统计，没有相关行业排放标准要求的通过工程分析合理确定，应统计含热量大的冷却水的排放量，可不统计间接冷却水、循环水及其他含污染物极少的清净下水的排放量。</w:t>
            </w:r>
          </w:p>
          <w:p w14:paraId="74CD5996">
            <w:pPr>
              <w:pageBreakBefore w:val="0"/>
              <w:wordWrap/>
              <w:bidi w:val="0"/>
              <w:adjustRightInd/>
              <w:snapToGrid/>
              <w:spacing w:line="240" w:lineRule="auto"/>
              <w:ind w:firstLine="0" w:firstLineChars="0"/>
              <w:jc w:val="left"/>
              <w:rPr>
                <w:rFonts w:hint="eastAsia"/>
                <w:color w:val="auto"/>
                <w:kern w:val="0"/>
                <w:sz w:val="21"/>
                <w:szCs w:val="21"/>
                <w:lang w:val="en-US" w:eastAsia="zh-CN"/>
              </w:rPr>
            </w:pPr>
            <w:r>
              <w:rPr>
                <w:rFonts w:hint="eastAsia"/>
                <w:color w:val="auto"/>
                <w:kern w:val="0"/>
                <w:sz w:val="21"/>
                <w:szCs w:val="21"/>
                <w:lang w:val="en-US" w:eastAsia="zh-CN"/>
              </w:rPr>
              <w:t>注3：厂区存在堆积物（露天堆放的原料、燃料、废渣等以及垃圾堆放场）、降尘污染的，应将初期雨污水纳入废水排放量，相应的主要污染物纳入水污染当量计算。</w:t>
            </w:r>
          </w:p>
          <w:p w14:paraId="77407453">
            <w:pPr>
              <w:pageBreakBefore w:val="0"/>
              <w:wordWrap/>
              <w:bidi w:val="0"/>
              <w:adjustRightInd/>
              <w:snapToGrid/>
              <w:spacing w:line="240" w:lineRule="auto"/>
              <w:ind w:firstLine="0" w:firstLineChars="0"/>
              <w:jc w:val="left"/>
              <w:rPr>
                <w:rFonts w:hint="eastAsia"/>
                <w:color w:val="auto"/>
                <w:kern w:val="0"/>
                <w:sz w:val="21"/>
                <w:szCs w:val="21"/>
                <w:lang w:val="en-US" w:eastAsia="zh-CN"/>
              </w:rPr>
            </w:pPr>
            <w:r>
              <w:rPr>
                <w:rFonts w:hint="eastAsia"/>
                <w:color w:val="auto"/>
                <w:kern w:val="0"/>
                <w:sz w:val="21"/>
                <w:szCs w:val="21"/>
                <w:lang w:val="en-US" w:eastAsia="zh-CN"/>
              </w:rPr>
              <w:t>注4：建设项目直接排放第一类污染物的，其评价等级为一级：建设项目直接排放的污染物为受纳水体超标因子的，评价等级不低于二级。</w:t>
            </w:r>
          </w:p>
          <w:p w14:paraId="1ECA18EE">
            <w:pPr>
              <w:pageBreakBefore w:val="0"/>
              <w:wordWrap/>
              <w:bidi w:val="0"/>
              <w:adjustRightInd/>
              <w:snapToGrid/>
              <w:spacing w:line="240" w:lineRule="auto"/>
              <w:ind w:firstLine="0" w:firstLineChars="0"/>
              <w:jc w:val="left"/>
              <w:rPr>
                <w:rFonts w:hint="eastAsia"/>
                <w:color w:val="auto"/>
                <w:kern w:val="0"/>
                <w:sz w:val="21"/>
                <w:szCs w:val="21"/>
                <w:lang w:val="en-US" w:eastAsia="zh-CN"/>
              </w:rPr>
            </w:pPr>
            <w:r>
              <w:rPr>
                <w:rFonts w:hint="eastAsia"/>
                <w:color w:val="auto"/>
                <w:kern w:val="0"/>
                <w:sz w:val="21"/>
                <w:szCs w:val="21"/>
                <w:lang w:val="en-US" w:eastAsia="zh-CN"/>
              </w:rPr>
              <w:t>注5：直接排放受纳水体影响范围涉及饮用水水源保护区、饮用水取水口、重点保护与珍稀水生生物的栖息地、重要水生生物的自然产卵场等保护目标时，评价等级不低于二级。</w:t>
            </w:r>
          </w:p>
          <w:p w14:paraId="3DA4ED0C">
            <w:pPr>
              <w:pageBreakBefore w:val="0"/>
              <w:wordWrap/>
              <w:bidi w:val="0"/>
              <w:adjustRightInd/>
              <w:snapToGrid/>
              <w:spacing w:line="240" w:lineRule="auto"/>
              <w:ind w:firstLine="0" w:firstLineChars="0"/>
              <w:jc w:val="left"/>
              <w:rPr>
                <w:rFonts w:hint="eastAsia"/>
                <w:color w:val="auto"/>
                <w:kern w:val="0"/>
                <w:sz w:val="21"/>
                <w:szCs w:val="21"/>
                <w:lang w:val="en-US" w:eastAsia="zh-CN"/>
              </w:rPr>
            </w:pPr>
            <w:r>
              <w:rPr>
                <w:rFonts w:hint="eastAsia"/>
                <w:color w:val="auto"/>
                <w:kern w:val="0"/>
                <w:sz w:val="21"/>
                <w:szCs w:val="21"/>
                <w:lang w:val="en-US" w:eastAsia="zh-CN"/>
              </w:rPr>
              <w:t>注6：建设项目向河流、湖库排放温排水引起受纳水体水温变化超过水环境质量标准要求，且评价范围有水温敏感目标时，评价等级为一级。</w:t>
            </w:r>
          </w:p>
          <w:p w14:paraId="6E47EF96">
            <w:pPr>
              <w:pageBreakBefore w:val="0"/>
              <w:wordWrap/>
              <w:bidi w:val="0"/>
              <w:adjustRightInd/>
              <w:snapToGrid/>
              <w:spacing w:line="240" w:lineRule="auto"/>
              <w:ind w:firstLine="0" w:firstLineChars="0"/>
              <w:jc w:val="left"/>
              <w:rPr>
                <w:rFonts w:hint="eastAsia"/>
                <w:color w:val="auto"/>
                <w:kern w:val="0"/>
                <w:sz w:val="21"/>
                <w:szCs w:val="21"/>
                <w:lang w:val="en-US" w:eastAsia="zh-CN"/>
              </w:rPr>
            </w:pPr>
            <w:r>
              <w:rPr>
                <w:rFonts w:hint="eastAsia"/>
                <w:color w:val="auto"/>
                <w:kern w:val="0"/>
                <w:sz w:val="21"/>
                <w:szCs w:val="21"/>
                <w:lang w:val="en-US" w:eastAsia="zh-CN"/>
              </w:rPr>
              <w:t>注7：建设项目利用海水作为调节温度介质，排水量≥500万m³/d，评价等级为一级：排水量&lt;500万m³/d，评价等级为二级。</w:t>
            </w:r>
          </w:p>
          <w:p w14:paraId="028F8507">
            <w:pPr>
              <w:pageBreakBefore w:val="0"/>
              <w:wordWrap/>
              <w:bidi w:val="0"/>
              <w:adjustRightInd/>
              <w:snapToGrid/>
              <w:spacing w:line="240" w:lineRule="auto"/>
              <w:ind w:firstLine="0" w:firstLineChars="0"/>
              <w:jc w:val="left"/>
              <w:rPr>
                <w:rFonts w:hint="eastAsia"/>
                <w:color w:val="auto"/>
                <w:kern w:val="0"/>
                <w:sz w:val="21"/>
                <w:szCs w:val="21"/>
                <w:lang w:val="en-US" w:eastAsia="zh-CN"/>
              </w:rPr>
            </w:pPr>
            <w:r>
              <w:rPr>
                <w:rFonts w:hint="eastAsia"/>
                <w:color w:val="auto"/>
                <w:kern w:val="0"/>
                <w:sz w:val="21"/>
                <w:szCs w:val="21"/>
                <w:lang w:val="en-US" w:eastAsia="zh-CN"/>
              </w:rPr>
              <w:t>注8：仅涉及清净下水排放的，如其排放水质满足受纳水体水环境质量标准要求的，评价等级为三级A。</w:t>
            </w:r>
          </w:p>
          <w:p w14:paraId="0B37B66E">
            <w:pPr>
              <w:pageBreakBefore w:val="0"/>
              <w:wordWrap/>
              <w:bidi w:val="0"/>
              <w:adjustRightInd/>
              <w:snapToGrid/>
              <w:spacing w:line="240" w:lineRule="auto"/>
              <w:ind w:firstLine="0" w:firstLineChars="0"/>
              <w:jc w:val="left"/>
              <w:rPr>
                <w:rFonts w:hint="eastAsia"/>
                <w:color w:val="auto"/>
                <w:kern w:val="0"/>
                <w:sz w:val="21"/>
                <w:szCs w:val="21"/>
                <w:lang w:val="en-US" w:eastAsia="zh-CN"/>
              </w:rPr>
            </w:pPr>
            <w:r>
              <w:rPr>
                <w:rFonts w:hint="eastAsia"/>
                <w:color w:val="auto"/>
                <w:kern w:val="0"/>
                <w:sz w:val="21"/>
                <w:szCs w:val="21"/>
                <w:lang w:val="en-US" w:eastAsia="zh-CN"/>
              </w:rPr>
              <w:t>注9：依托现有排放口，且对外环境未新增排放污染物的直接排放建设项目，评价等级参照间接排放，定为三级B。</w:t>
            </w:r>
          </w:p>
          <w:p w14:paraId="21890567">
            <w:pPr>
              <w:pageBreakBefore w:val="0"/>
              <w:wordWrap/>
              <w:bidi w:val="0"/>
              <w:adjustRightInd/>
              <w:snapToGrid/>
              <w:spacing w:line="240" w:lineRule="auto"/>
              <w:ind w:firstLine="0" w:firstLineChars="0"/>
              <w:jc w:val="left"/>
              <w:rPr>
                <w:rFonts w:hint="default" w:eastAsia="宋体"/>
                <w:color w:val="auto"/>
                <w:kern w:val="0"/>
                <w:sz w:val="21"/>
                <w:szCs w:val="21"/>
                <w:lang w:val="en-US" w:eastAsia="zh-CN"/>
              </w:rPr>
            </w:pPr>
            <w:r>
              <w:rPr>
                <w:rFonts w:hint="eastAsia"/>
                <w:color w:val="auto"/>
                <w:kern w:val="0"/>
                <w:sz w:val="21"/>
                <w:szCs w:val="21"/>
                <w:lang w:val="en-US" w:eastAsia="zh-CN"/>
              </w:rPr>
              <w:t>注10：建设项目生产工艺中有废水产生，但作为回水利用，不排放到外环境的，按三级B评价</w:t>
            </w:r>
          </w:p>
        </w:tc>
      </w:tr>
    </w:tbl>
    <w:p w14:paraId="65F9A283">
      <w:pPr>
        <w:pageBreakBefore w:val="0"/>
        <w:wordWrap/>
        <w:bidi w:val="0"/>
        <w:adjustRightInd/>
        <w:snapToGrid/>
        <w:spacing w:before="120" w:beforeLines="50"/>
        <w:ind w:firstLine="20"/>
        <w:rPr>
          <w:color w:val="auto"/>
          <w:kern w:val="0"/>
          <w:sz w:val="1"/>
          <w:szCs w:val="1"/>
        </w:rPr>
      </w:pPr>
    </w:p>
    <w:p w14:paraId="0471474D">
      <w:pPr>
        <w:pageBreakBefore w:val="0"/>
        <w:wordWrap/>
        <w:bidi w:val="0"/>
        <w:adjustRightInd/>
        <w:snapToGrid/>
        <w:ind w:firstLine="480"/>
        <w:rPr>
          <w:bCs/>
          <w:color w:val="auto"/>
        </w:rPr>
      </w:pPr>
      <w:r>
        <w:rPr>
          <w:bCs/>
          <w:color w:val="auto"/>
        </w:rPr>
        <w:t>由上表分析可知，本次排水工程设计规模为</w:t>
      </w:r>
      <w:r>
        <w:rPr>
          <w:rFonts w:hint="eastAsia"/>
          <w:bCs/>
          <w:color w:val="auto"/>
          <w:lang w:val="en-US" w:eastAsia="zh-CN"/>
        </w:rPr>
        <w:t>0.3</w:t>
      </w:r>
      <w:r>
        <w:rPr>
          <w:rFonts w:hint="eastAsia"/>
          <w:bCs/>
          <w:color w:val="auto"/>
          <w:lang w:eastAsia="zh-CN"/>
        </w:rPr>
        <w:t>万m³</w:t>
      </w:r>
      <w:r>
        <w:rPr>
          <w:bCs/>
          <w:color w:val="auto"/>
        </w:rPr>
        <w:t>/d</w:t>
      </w:r>
      <w:r>
        <w:rPr>
          <w:rFonts w:hint="eastAsia"/>
          <w:bCs/>
          <w:color w:val="auto"/>
          <w:lang w:val="en-US" w:eastAsia="zh-CN"/>
        </w:rPr>
        <w:t>且W＜600000</w:t>
      </w:r>
      <w:r>
        <w:rPr>
          <w:bCs/>
          <w:color w:val="auto"/>
        </w:rPr>
        <w:t>，因此</w:t>
      </w:r>
      <w:r>
        <w:rPr>
          <w:rFonts w:hint="eastAsia"/>
          <w:bCs/>
          <w:color w:val="auto"/>
        </w:rPr>
        <w:t>，</w:t>
      </w:r>
      <w:r>
        <w:rPr>
          <w:bCs/>
          <w:color w:val="auto"/>
        </w:rPr>
        <w:t>确定</w:t>
      </w:r>
      <w:r>
        <w:rPr>
          <w:b/>
          <w:bCs w:val="0"/>
          <w:color w:val="auto"/>
        </w:rPr>
        <w:t>本项目地表水环境评价等级为</w:t>
      </w:r>
      <w:r>
        <w:rPr>
          <w:rFonts w:hint="eastAsia"/>
          <w:b/>
          <w:bCs w:val="0"/>
          <w:color w:val="auto"/>
          <w:lang w:val="en-US" w:eastAsia="zh-CN"/>
        </w:rPr>
        <w:t>二级</w:t>
      </w:r>
      <w:r>
        <w:rPr>
          <w:bCs/>
          <w:color w:val="auto"/>
        </w:rPr>
        <w:t>。</w:t>
      </w:r>
    </w:p>
    <w:p w14:paraId="7689AEE5">
      <w:pPr>
        <w:pStyle w:val="5"/>
        <w:pageBreakBefore w:val="0"/>
        <w:wordWrap/>
        <w:bidi w:val="0"/>
        <w:adjustRightInd/>
        <w:snapToGrid/>
        <w:rPr>
          <w:color w:val="auto"/>
        </w:rPr>
      </w:pPr>
      <w:r>
        <w:rPr>
          <w:rFonts w:hint="eastAsia"/>
          <w:color w:val="auto"/>
        </w:rPr>
        <w:t xml:space="preserve"> </w:t>
      </w:r>
      <w:r>
        <w:rPr>
          <w:color w:val="auto"/>
        </w:rPr>
        <w:t>地下水环境影响评价等级</w:t>
      </w:r>
    </w:p>
    <w:p w14:paraId="6242B8DF">
      <w:pPr>
        <w:pStyle w:val="6"/>
        <w:pageBreakBefore w:val="0"/>
        <w:wordWrap/>
        <w:autoSpaceDE/>
        <w:autoSpaceDN/>
        <w:bidi w:val="0"/>
        <w:adjustRightInd/>
        <w:snapToGrid/>
        <w:ind w:firstLine="480"/>
        <w:jc w:val="both"/>
        <w:textAlignment w:val="center"/>
        <w:rPr>
          <w:color w:val="auto"/>
        </w:rPr>
      </w:pPr>
      <w:r>
        <w:rPr>
          <w:color w:val="auto"/>
        </w:rPr>
        <w:t>本项目属于工业废水集中处理项目，根据</w:t>
      </w:r>
      <w:r>
        <w:rPr>
          <w:rFonts w:hint="eastAsia"/>
          <w:color w:val="auto"/>
          <w:lang w:eastAsia="zh-CN"/>
        </w:rPr>
        <w:t>《环境影响评价技术导则 地下水环境》（HJ610-2016）</w:t>
      </w:r>
      <w:r>
        <w:rPr>
          <w:color w:val="auto"/>
        </w:rPr>
        <w:t>附录A地下水环境影响评价行业分类表可知，项目</w:t>
      </w:r>
      <w:r>
        <w:rPr>
          <w:b/>
          <w:color w:val="auto"/>
        </w:rPr>
        <w:t>地下水环境影响评价项目类别为Ⅰ类。</w:t>
      </w:r>
    </w:p>
    <w:p w14:paraId="70D81CDB">
      <w:pPr>
        <w:pStyle w:val="19"/>
        <w:numPr>
          <w:ilvl w:val="0"/>
          <w:numId w:val="9"/>
        </w:numPr>
        <w:tabs>
          <w:tab w:val="clear" w:pos="0"/>
        </w:tabs>
        <w:bidi w:val="0"/>
        <w:ind w:left="0" w:leftChars="0" w:firstLine="0" w:firstLineChars="0"/>
        <w:rPr>
          <w:color w:val="auto"/>
        </w:rPr>
      </w:pPr>
      <w:r>
        <w:rPr>
          <w:color w:val="auto"/>
        </w:rPr>
        <w:t>地下水环境敏感程度分级表</w:t>
      </w:r>
    </w:p>
    <w:tbl>
      <w:tblPr>
        <w:tblStyle w:val="52"/>
        <w:tblW w:w="0" w:type="auto"/>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071"/>
        <w:gridCol w:w="7795"/>
      </w:tblGrid>
      <w:tr w14:paraId="17D339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71" w:type="dxa"/>
            <w:tcBorders>
              <w:tl2br w:val="nil"/>
              <w:tr2bl w:val="nil"/>
            </w:tcBorders>
            <w:noWrap w:val="0"/>
            <w:tcMar>
              <w:left w:w="28" w:type="dxa"/>
              <w:right w:w="28" w:type="dxa"/>
            </w:tcMar>
            <w:vAlign w:val="center"/>
          </w:tcPr>
          <w:p w14:paraId="4F95BF88">
            <w:pPr>
              <w:pStyle w:val="6"/>
              <w:pageBreakBefore w:val="0"/>
              <w:wordWrap/>
              <w:autoSpaceDE/>
              <w:autoSpaceDN/>
              <w:bidi w:val="0"/>
              <w:adjustRightInd/>
              <w:snapToGrid/>
              <w:spacing w:line="240" w:lineRule="auto"/>
              <w:ind w:firstLine="0" w:firstLineChars="0"/>
              <w:jc w:val="center"/>
              <w:textAlignment w:val="center"/>
              <w:rPr>
                <w:b/>
                <w:bCs w:val="0"/>
                <w:color w:val="auto"/>
                <w:kern w:val="2"/>
                <w:sz w:val="21"/>
                <w:szCs w:val="21"/>
              </w:rPr>
            </w:pPr>
            <w:r>
              <w:rPr>
                <w:b/>
                <w:bCs w:val="0"/>
                <w:color w:val="auto"/>
                <w:kern w:val="2"/>
                <w:sz w:val="21"/>
                <w:szCs w:val="21"/>
              </w:rPr>
              <w:t>敏感程度</w:t>
            </w:r>
          </w:p>
        </w:tc>
        <w:tc>
          <w:tcPr>
            <w:tcW w:w="7795" w:type="dxa"/>
            <w:tcBorders>
              <w:tl2br w:val="nil"/>
              <w:tr2bl w:val="nil"/>
            </w:tcBorders>
            <w:noWrap w:val="0"/>
            <w:vAlign w:val="center"/>
          </w:tcPr>
          <w:p w14:paraId="4C9DDB59">
            <w:pPr>
              <w:pStyle w:val="6"/>
              <w:pageBreakBefore w:val="0"/>
              <w:wordWrap/>
              <w:autoSpaceDE/>
              <w:autoSpaceDN/>
              <w:bidi w:val="0"/>
              <w:adjustRightInd/>
              <w:snapToGrid/>
              <w:spacing w:line="240" w:lineRule="auto"/>
              <w:ind w:firstLine="0" w:firstLineChars="0"/>
              <w:jc w:val="center"/>
              <w:textAlignment w:val="center"/>
              <w:rPr>
                <w:b/>
                <w:bCs w:val="0"/>
                <w:color w:val="auto"/>
                <w:kern w:val="2"/>
                <w:sz w:val="21"/>
                <w:szCs w:val="21"/>
              </w:rPr>
            </w:pPr>
            <w:r>
              <w:rPr>
                <w:b/>
                <w:bCs w:val="0"/>
                <w:color w:val="auto"/>
                <w:kern w:val="2"/>
                <w:sz w:val="21"/>
                <w:szCs w:val="21"/>
              </w:rPr>
              <w:t>地下水环境敏感特征</w:t>
            </w:r>
          </w:p>
        </w:tc>
      </w:tr>
      <w:tr w14:paraId="2DCF225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71" w:type="dxa"/>
            <w:tcBorders>
              <w:tl2br w:val="nil"/>
              <w:tr2bl w:val="nil"/>
            </w:tcBorders>
            <w:noWrap w:val="0"/>
            <w:tcMar>
              <w:left w:w="28" w:type="dxa"/>
              <w:right w:w="28" w:type="dxa"/>
            </w:tcMar>
            <w:vAlign w:val="center"/>
          </w:tcPr>
          <w:p w14:paraId="6DB2EF0E">
            <w:pPr>
              <w:pStyle w:val="6"/>
              <w:pageBreakBefore w:val="0"/>
              <w:wordWrap/>
              <w:autoSpaceDE/>
              <w:autoSpaceDN/>
              <w:bidi w:val="0"/>
              <w:adjustRightInd/>
              <w:snapToGrid/>
              <w:spacing w:line="240" w:lineRule="auto"/>
              <w:ind w:firstLine="0" w:firstLineChars="0"/>
              <w:jc w:val="center"/>
              <w:textAlignment w:val="center"/>
              <w:rPr>
                <w:bCs/>
                <w:color w:val="auto"/>
                <w:kern w:val="2"/>
                <w:sz w:val="21"/>
                <w:szCs w:val="21"/>
              </w:rPr>
            </w:pPr>
            <w:r>
              <w:rPr>
                <w:bCs/>
                <w:color w:val="auto"/>
                <w:kern w:val="2"/>
                <w:sz w:val="21"/>
                <w:szCs w:val="21"/>
              </w:rPr>
              <w:t>敏 感</w:t>
            </w:r>
          </w:p>
        </w:tc>
        <w:tc>
          <w:tcPr>
            <w:tcW w:w="7795" w:type="dxa"/>
            <w:tcBorders>
              <w:tl2br w:val="nil"/>
              <w:tr2bl w:val="nil"/>
            </w:tcBorders>
            <w:noWrap w:val="0"/>
            <w:vAlign w:val="center"/>
          </w:tcPr>
          <w:p w14:paraId="3E14B180">
            <w:pPr>
              <w:pStyle w:val="6"/>
              <w:pageBreakBefore w:val="0"/>
              <w:wordWrap/>
              <w:autoSpaceDE/>
              <w:autoSpaceDN/>
              <w:bidi w:val="0"/>
              <w:adjustRightInd/>
              <w:snapToGrid/>
              <w:spacing w:line="240" w:lineRule="auto"/>
              <w:ind w:firstLine="0" w:firstLineChars="0"/>
              <w:textAlignment w:val="center"/>
              <w:rPr>
                <w:bCs/>
                <w:color w:val="auto"/>
                <w:kern w:val="2"/>
                <w:sz w:val="21"/>
                <w:szCs w:val="21"/>
              </w:rPr>
            </w:pPr>
            <w:r>
              <w:rPr>
                <w:bCs/>
                <w:color w:val="auto"/>
                <w:kern w:val="2"/>
                <w:sz w:val="21"/>
                <w:szCs w:val="21"/>
              </w:rPr>
              <w:t>集中式自来水水源（包括已建成的在用、备用、应急水源，在建和规划的自来水水源）准保护区，除集中式自来水以外的国家或地方政府设定的与地下水环境相关的其他保护区，如热水、矿泉水、温泉等特殊地下水资源保护区。</w:t>
            </w:r>
          </w:p>
        </w:tc>
      </w:tr>
      <w:tr w14:paraId="2AECC5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71" w:type="dxa"/>
            <w:tcBorders>
              <w:tl2br w:val="nil"/>
              <w:tr2bl w:val="nil"/>
            </w:tcBorders>
            <w:noWrap w:val="0"/>
            <w:tcMar>
              <w:left w:w="28" w:type="dxa"/>
              <w:right w:w="28" w:type="dxa"/>
            </w:tcMar>
            <w:vAlign w:val="center"/>
          </w:tcPr>
          <w:p w14:paraId="4EEB8065">
            <w:pPr>
              <w:pStyle w:val="6"/>
              <w:pageBreakBefore w:val="0"/>
              <w:wordWrap/>
              <w:autoSpaceDE/>
              <w:autoSpaceDN/>
              <w:bidi w:val="0"/>
              <w:adjustRightInd/>
              <w:snapToGrid/>
              <w:spacing w:line="240" w:lineRule="auto"/>
              <w:ind w:firstLine="0" w:firstLineChars="0"/>
              <w:jc w:val="center"/>
              <w:textAlignment w:val="center"/>
              <w:rPr>
                <w:bCs/>
                <w:color w:val="auto"/>
                <w:kern w:val="2"/>
                <w:sz w:val="21"/>
                <w:szCs w:val="21"/>
              </w:rPr>
            </w:pPr>
            <w:r>
              <w:rPr>
                <w:bCs/>
                <w:color w:val="auto"/>
                <w:kern w:val="2"/>
                <w:sz w:val="21"/>
                <w:szCs w:val="21"/>
              </w:rPr>
              <w:t>较敏感</w:t>
            </w:r>
          </w:p>
        </w:tc>
        <w:tc>
          <w:tcPr>
            <w:tcW w:w="7795" w:type="dxa"/>
            <w:tcBorders>
              <w:tl2br w:val="nil"/>
              <w:tr2bl w:val="nil"/>
            </w:tcBorders>
            <w:noWrap w:val="0"/>
            <w:vAlign w:val="center"/>
          </w:tcPr>
          <w:p w14:paraId="1AE33B16">
            <w:pPr>
              <w:pStyle w:val="6"/>
              <w:pageBreakBefore w:val="0"/>
              <w:wordWrap/>
              <w:autoSpaceDE/>
              <w:autoSpaceDN/>
              <w:bidi w:val="0"/>
              <w:adjustRightInd/>
              <w:snapToGrid/>
              <w:spacing w:line="240" w:lineRule="auto"/>
              <w:ind w:firstLine="0" w:firstLineChars="0"/>
              <w:textAlignment w:val="center"/>
              <w:rPr>
                <w:bCs/>
                <w:color w:val="auto"/>
                <w:kern w:val="2"/>
                <w:sz w:val="21"/>
                <w:szCs w:val="21"/>
              </w:rPr>
            </w:pPr>
            <w:r>
              <w:rPr>
                <w:bCs/>
                <w:color w:val="auto"/>
                <w:kern w:val="2"/>
                <w:sz w:val="21"/>
                <w:szCs w:val="21"/>
              </w:rPr>
              <w:t>集中式自来水水源（包括已建成的在用、备用、应急水源，在建和规划的自来水水源）准保护区以外的补给径流区；未划定准保护区的集中式自来水水源，其保护区以外的补给径流区；分散式自来水水源地；特殊地下水资源（如矿泉水、温泉等）保护区以外的分布区等其他未列入上述敏感分级的环境敏感区；</w:t>
            </w:r>
          </w:p>
        </w:tc>
      </w:tr>
      <w:tr w14:paraId="1CCF09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71" w:type="dxa"/>
            <w:tcBorders>
              <w:tl2br w:val="nil"/>
              <w:tr2bl w:val="nil"/>
            </w:tcBorders>
            <w:noWrap w:val="0"/>
            <w:tcMar>
              <w:left w:w="28" w:type="dxa"/>
              <w:right w:w="28" w:type="dxa"/>
            </w:tcMar>
            <w:vAlign w:val="center"/>
          </w:tcPr>
          <w:p w14:paraId="38C675A2">
            <w:pPr>
              <w:pStyle w:val="6"/>
              <w:pageBreakBefore w:val="0"/>
              <w:wordWrap/>
              <w:autoSpaceDE/>
              <w:autoSpaceDN/>
              <w:bidi w:val="0"/>
              <w:adjustRightInd/>
              <w:snapToGrid/>
              <w:spacing w:line="240" w:lineRule="auto"/>
              <w:ind w:firstLine="0" w:firstLineChars="0"/>
              <w:jc w:val="center"/>
              <w:textAlignment w:val="center"/>
              <w:rPr>
                <w:bCs/>
                <w:color w:val="auto"/>
                <w:kern w:val="2"/>
                <w:sz w:val="21"/>
                <w:szCs w:val="21"/>
              </w:rPr>
            </w:pPr>
            <w:r>
              <w:rPr>
                <w:bCs/>
                <w:color w:val="auto"/>
                <w:kern w:val="2"/>
                <w:sz w:val="21"/>
                <w:szCs w:val="21"/>
              </w:rPr>
              <w:t>不敏感</w:t>
            </w:r>
          </w:p>
        </w:tc>
        <w:tc>
          <w:tcPr>
            <w:tcW w:w="7795" w:type="dxa"/>
            <w:tcBorders>
              <w:tl2br w:val="nil"/>
              <w:tr2bl w:val="nil"/>
            </w:tcBorders>
            <w:noWrap w:val="0"/>
            <w:vAlign w:val="center"/>
          </w:tcPr>
          <w:p w14:paraId="2BA91720">
            <w:pPr>
              <w:pStyle w:val="6"/>
              <w:pageBreakBefore w:val="0"/>
              <w:wordWrap/>
              <w:autoSpaceDE/>
              <w:autoSpaceDN/>
              <w:bidi w:val="0"/>
              <w:adjustRightInd/>
              <w:snapToGrid/>
              <w:spacing w:line="240" w:lineRule="auto"/>
              <w:ind w:firstLine="0" w:firstLineChars="0"/>
              <w:textAlignment w:val="center"/>
              <w:rPr>
                <w:bCs/>
                <w:color w:val="auto"/>
                <w:kern w:val="2"/>
                <w:sz w:val="21"/>
                <w:szCs w:val="21"/>
              </w:rPr>
            </w:pPr>
            <w:r>
              <w:rPr>
                <w:bCs/>
                <w:color w:val="auto"/>
                <w:kern w:val="2"/>
                <w:sz w:val="21"/>
                <w:szCs w:val="21"/>
              </w:rPr>
              <w:t>上述地区之外的其他地区。</w:t>
            </w:r>
          </w:p>
        </w:tc>
      </w:tr>
      <w:tr w14:paraId="14722B8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866" w:type="dxa"/>
            <w:gridSpan w:val="2"/>
            <w:tcBorders>
              <w:tl2br w:val="nil"/>
              <w:tr2bl w:val="nil"/>
            </w:tcBorders>
            <w:noWrap w:val="0"/>
            <w:tcMar>
              <w:left w:w="28" w:type="dxa"/>
              <w:right w:w="28" w:type="dxa"/>
            </w:tcMar>
            <w:vAlign w:val="center"/>
          </w:tcPr>
          <w:p w14:paraId="0F4C072B">
            <w:pPr>
              <w:pStyle w:val="6"/>
              <w:pageBreakBefore w:val="0"/>
              <w:wordWrap/>
              <w:autoSpaceDE/>
              <w:autoSpaceDN/>
              <w:bidi w:val="0"/>
              <w:adjustRightInd/>
              <w:snapToGrid/>
              <w:spacing w:line="240" w:lineRule="auto"/>
              <w:ind w:firstLine="0" w:firstLineChars="0"/>
              <w:textAlignment w:val="center"/>
              <w:rPr>
                <w:bCs/>
                <w:color w:val="auto"/>
                <w:kern w:val="2"/>
                <w:sz w:val="21"/>
                <w:szCs w:val="21"/>
              </w:rPr>
            </w:pPr>
            <w:r>
              <w:rPr>
                <w:bCs/>
                <w:color w:val="auto"/>
                <w:kern w:val="2"/>
                <w:sz w:val="21"/>
                <w:szCs w:val="21"/>
              </w:rPr>
              <w:t>注：a</w:t>
            </w:r>
            <w:r>
              <w:rPr>
                <w:rFonts w:hint="eastAsia"/>
                <w:bCs/>
                <w:color w:val="auto"/>
                <w:kern w:val="2"/>
                <w:sz w:val="21"/>
                <w:szCs w:val="21"/>
                <w:lang w:eastAsia="zh-CN"/>
              </w:rPr>
              <w:t>“</w:t>
            </w:r>
            <w:r>
              <w:rPr>
                <w:bCs/>
                <w:color w:val="auto"/>
                <w:kern w:val="2"/>
                <w:sz w:val="21"/>
                <w:szCs w:val="21"/>
              </w:rPr>
              <w:t>环境敏感区</w:t>
            </w:r>
            <w:r>
              <w:rPr>
                <w:rFonts w:hint="eastAsia"/>
                <w:bCs/>
                <w:color w:val="auto"/>
                <w:kern w:val="2"/>
                <w:sz w:val="21"/>
                <w:szCs w:val="21"/>
                <w:lang w:eastAsia="zh-CN"/>
              </w:rPr>
              <w:t>”</w:t>
            </w:r>
            <w:r>
              <w:rPr>
                <w:bCs/>
                <w:color w:val="auto"/>
                <w:kern w:val="2"/>
                <w:sz w:val="21"/>
                <w:szCs w:val="21"/>
              </w:rPr>
              <w:t>是指《建设项目环境影响评价分类管理目录》中所界定的涉及地下水的环境敏感区。</w:t>
            </w:r>
          </w:p>
        </w:tc>
      </w:tr>
    </w:tbl>
    <w:p w14:paraId="718627D0">
      <w:pPr>
        <w:pageBreakBefore w:val="0"/>
        <w:widowControl/>
        <w:wordWrap/>
        <w:bidi w:val="0"/>
        <w:adjustRightInd/>
        <w:snapToGrid/>
        <w:spacing w:before="120" w:beforeLines="50"/>
        <w:ind w:firstLine="480"/>
        <w:rPr>
          <w:b/>
          <w:color w:val="auto"/>
        </w:rPr>
      </w:pPr>
      <w:r>
        <w:rPr>
          <w:color w:val="auto"/>
          <w:kern w:val="0"/>
        </w:rPr>
        <w:t>项目建设位于园区内，</w:t>
      </w:r>
      <w:r>
        <w:rPr>
          <w:color w:val="auto"/>
        </w:rPr>
        <w:t>项目不在集中式饮用水水源准保护区和补给径流区范围内，评价范围内</w:t>
      </w:r>
      <w:r>
        <w:rPr>
          <w:rFonts w:hint="eastAsia"/>
          <w:color w:val="auto"/>
          <w:lang w:val="en-US" w:eastAsia="zh-CN"/>
        </w:rPr>
        <w:t>有</w:t>
      </w:r>
      <w:r>
        <w:rPr>
          <w:color w:val="auto"/>
        </w:rPr>
        <w:t>分布的零散水井作为分散饮用水源，</w:t>
      </w:r>
      <w:r>
        <w:rPr>
          <w:b/>
          <w:color w:val="auto"/>
        </w:rPr>
        <w:t>项目区域地下水环境</w:t>
      </w:r>
      <w:r>
        <w:rPr>
          <w:rFonts w:hint="eastAsia"/>
          <w:b/>
          <w:color w:val="auto"/>
          <w:lang w:val="en-US" w:eastAsia="zh-CN"/>
        </w:rPr>
        <w:t>较</w:t>
      </w:r>
      <w:r>
        <w:rPr>
          <w:b/>
          <w:color w:val="auto"/>
        </w:rPr>
        <w:t>敏感。</w:t>
      </w:r>
    </w:p>
    <w:p w14:paraId="7015F00E">
      <w:pPr>
        <w:pStyle w:val="19"/>
        <w:numPr>
          <w:ilvl w:val="0"/>
          <w:numId w:val="9"/>
        </w:numPr>
        <w:tabs>
          <w:tab w:val="clear" w:pos="0"/>
        </w:tabs>
        <w:bidi w:val="0"/>
        <w:ind w:left="0" w:leftChars="0" w:firstLine="0" w:firstLineChars="0"/>
        <w:rPr>
          <w:color w:val="auto"/>
        </w:rPr>
      </w:pPr>
      <w:r>
        <w:rPr>
          <w:color w:val="auto"/>
        </w:rPr>
        <w:t>工作等级分级表</w:t>
      </w:r>
    </w:p>
    <w:tbl>
      <w:tblPr>
        <w:tblStyle w:val="52"/>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183"/>
        <w:gridCol w:w="2181"/>
        <w:gridCol w:w="2184"/>
        <w:gridCol w:w="2182"/>
      </w:tblGrid>
      <w:tr w14:paraId="35819D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183" w:type="dxa"/>
            <w:tcBorders>
              <w:tl2br w:val="single" w:color="000000" w:sz="4" w:space="0"/>
            </w:tcBorders>
            <w:noWrap w:val="0"/>
            <w:tcMar>
              <w:left w:w="0" w:type="dxa"/>
              <w:right w:w="0" w:type="dxa"/>
            </w:tcMar>
            <w:vAlign w:val="center"/>
          </w:tcPr>
          <w:p w14:paraId="5B7B0EC4">
            <w:pPr>
              <w:pStyle w:val="6"/>
              <w:pageBreakBefore w:val="0"/>
              <w:wordWrap/>
              <w:autoSpaceDE/>
              <w:autoSpaceDN/>
              <w:bidi w:val="0"/>
              <w:adjustRightInd/>
              <w:snapToGrid/>
              <w:spacing w:line="240" w:lineRule="auto"/>
              <w:ind w:firstLine="0" w:firstLineChars="0"/>
              <w:jc w:val="right"/>
              <w:textAlignment w:val="center"/>
              <w:rPr>
                <w:b/>
                <w:bCs/>
                <w:color w:val="auto"/>
                <w:kern w:val="2"/>
                <w:sz w:val="21"/>
                <w:szCs w:val="21"/>
              </w:rPr>
            </w:pPr>
            <w:r>
              <w:rPr>
                <w:b/>
                <w:bCs/>
                <w:color w:val="auto"/>
                <w:kern w:val="2"/>
                <w:sz w:val="21"/>
                <w:szCs w:val="21"/>
              </w:rPr>
              <w:t xml:space="preserve">  项目类别</w:t>
            </w:r>
          </w:p>
          <w:p w14:paraId="1114664F">
            <w:pPr>
              <w:pStyle w:val="6"/>
              <w:pageBreakBefore w:val="0"/>
              <w:wordWrap/>
              <w:autoSpaceDE/>
              <w:autoSpaceDN/>
              <w:bidi w:val="0"/>
              <w:adjustRightInd/>
              <w:snapToGrid/>
              <w:spacing w:line="240" w:lineRule="auto"/>
              <w:ind w:firstLine="0" w:firstLineChars="0"/>
              <w:jc w:val="left"/>
              <w:textAlignment w:val="center"/>
              <w:rPr>
                <w:b/>
                <w:bCs/>
                <w:color w:val="auto"/>
                <w:kern w:val="2"/>
                <w:sz w:val="21"/>
                <w:szCs w:val="21"/>
              </w:rPr>
            </w:pPr>
            <w:r>
              <w:rPr>
                <w:b/>
                <w:bCs/>
                <w:color w:val="auto"/>
                <w:kern w:val="2"/>
                <w:sz w:val="21"/>
                <w:szCs w:val="21"/>
              </w:rPr>
              <w:t>环境敏感程度</w:t>
            </w:r>
          </w:p>
        </w:tc>
        <w:tc>
          <w:tcPr>
            <w:tcW w:w="2181" w:type="dxa"/>
            <w:tcBorders>
              <w:tl2br w:val="nil"/>
              <w:tr2bl w:val="nil"/>
            </w:tcBorders>
            <w:noWrap w:val="0"/>
            <w:tcMar>
              <w:left w:w="0" w:type="dxa"/>
              <w:right w:w="0" w:type="dxa"/>
            </w:tcMar>
            <w:vAlign w:val="center"/>
          </w:tcPr>
          <w:p w14:paraId="49F90E11">
            <w:pPr>
              <w:pStyle w:val="6"/>
              <w:pageBreakBefore w:val="0"/>
              <w:wordWrap/>
              <w:autoSpaceDE/>
              <w:autoSpaceDN/>
              <w:bidi w:val="0"/>
              <w:adjustRightInd/>
              <w:snapToGrid/>
              <w:spacing w:line="240" w:lineRule="auto"/>
              <w:ind w:firstLine="0" w:firstLineChars="0"/>
              <w:jc w:val="center"/>
              <w:textAlignment w:val="center"/>
              <w:rPr>
                <w:b/>
                <w:bCs/>
                <w:color w:val="auto"/>
                <w:kern w:val="2"/>
                <w:sz w:val="21"/>
                <w:szCs w:val="21"/>
              </w:rPr>
            </w:pPr>
            <w:r>
              <w:rPr>
                <w:b/>
                <w:bCs/>
                <w:color w:val="auto"/>
                <w:kern w:val="2"/>
                <w:sz w:val="21"/>
                <w:szCs w:val="21"/>
              </w:rPr>
              <w:t>Ⅰ类项目</w:t>
            </w:r>
          </w:p>
        </w:tc>
        <w:tc>
          <w:tcPr>
            <w:tcW w:w="2184" w:type="dxa"/>
            <w:tcBorders>
              <w:tl2br w:val="nil"/>
              <w:tr2bl w:val="nil"/>
            </w:tcBorders>
            <w:noWrap w:val="0"/>
            <w:tcMar>
              <w:left w:w="0" w:type="dxa"/>
              <w:right w:w="0" w:type="dxa"/>
            </w:tcMar>
            <w:vAlign w:val="center"/>
          </w:tcPr>
          <w:p w14:paraId="21430728">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Ⅱ类项目</w:t>
            </w:r>
          </w:p>
        </w:tc>
        <w:tc>
          <w:tcPr>
            <w:tcW w:w="2182" w:type="dxa"/>
            <w:tcBorders>
              <w:tl2br w:val="nil"/>
              <w:tr2bl w:val="nil"/>
            </w:tcBorders>
            <w:noWrap w:val="0"/>
            <w:tcMar>
              <w:left w:w="0" w:type="dxa"/>
              <w:right w:w="0" w:type="dxa"/>
            </w:tcMar>
            <w:vAlign w:val="center"/>
          </w:tcPr>
          <w:p w14:paraId="7CBB82E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Ⅲ类项目</w:t>
            </w:r>
          </w:p>
        </w:tc>
      </w:tr>
      <w:tr w14:paraId="278D21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183" w:type="dxa"/>
            <w:noWrap w:val="0"/>
            <w:tcMar>
              <w:left w:w="0" w:type="dxa"/>
              <w:right w:w="0" w:type="dxa"/>
            </w:tcMar>
            <w:vAlign w:val="center"/>
          </w:tcPr>
          <w:p w14:paraId="24DC0545">
            <w:pPr>
              <w:pStyle w:val="6"/>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敏 感</w:t>
            </w:r>
          </w:p>
        </w:tc>
        <w:tc>
          <w:tcPr>
            <w:tcW w:w="2181" w:type="dxa"/>
            <w:tcBorders>
              <w:tl2br w:val="nil"/>
              <w:tr2bl w:val="nil"/>
            </w:tcBorders>
            <w:noWrap w:val="0"/>
            <w:tcMar>
              <w:left w:w="0" w:type="dxa"/>
              <w:right w:w="0" w:type="dxa"/>
            </w:tcMar>
            <w:vAlign w:val="center"/>
          </w:tcPr>
          <w:p w14:paraId="140F2285">
            <w:pPr>
              <w:pStyle w:val="6"/>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一</w:t>
            </w:r>
          </w:p>
        </w:tc>
        <w:tc>
          <w:tcPr>
            <w:tcW w:w="2184" w:type="dxa"/>
            <w:tcBorders>
              <w:tl2br w:val="nil"/>
              <w:tr2bl w:val="nil"/>
            </w:tcBorders>
            <w:noWrap w:val="0"/>
            <w:tcMar>
              <w:left w:w="0" w:type="dxa"/>
              <w:right w:w="0" w:type="dxa"/>
            </w:tcMar>
            <w:vAlign w:val="center"/>
          </w:tcPr>
          <w:p w14:paraId="4EE2D0E0">
            <w:pPr>
              <w:pStyle w:val="6"/>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一</w:t>
            </w:r>
          </w:p>
        </w:tc>
        <w:tc>
          <w:tcPr>
            <w:tcW w:w="2182" w:type="dxa"/>
            <w:tcBorders>
              <w:tl2br w:val="nil"/>
              <w:tr2bl w:val="nil"/>
            </w:tcBorders>
            <w:noWrap w:val="0"/>
            <w:tcMar>
              <w:left w:w="0" w:type="dxa"/>
              <w:right w:w="0" w:type="dxa"/>
            </w:tcMar>
            <w:vAlign w:val="center"/>
          </w:tcPr>
          <w:p w14:paraId="4DB3C2BB">
            <w:pPr>
              <w:pStyle w:val="6"/>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二</w:t>
            </w:r>
          </w:p>
        </w:tc>
      </w:tr>
      <w:tr w14:paraId="03E75A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183" w:type="dxa"/>
            <w:noWrap w:val="0"/>
            <w:tcMar>
              <w:left w:w="0" w:type="dxa"/>
              <w:right w:w="0" w:type="dxa"/>
            </w:tcMar>
            <w:vAlign w:val="center"/>
          </w:tcPr>
          <w:p w14:paraId="0C4CE573">
            <w:pPr>
              <w:pStyle w:val="6"/>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较敏感</w:t>
            </w:r>
          </w:p>
        </w:tc>
        <w:tc>
          <w:tcPr>
            <w:tcW w:w="2181" w:type="dxa"/>
            <w:tcBorders>
              <w:tl2br w:val="nil"/>
              <w:tr2bl w:val="nil"/>
            </w:tcBorders>
            <w:noWrap w:val="0"/>
            <w:tcMar>
              <w:left w:w="0" w:type="dxa"/>
              <w:right w:w="0" w:type="dxa"/>
            </w:tcMar>
            <w:vAlign w:val="center"/>
          </w:tcPr>
          <w:p w14:paraId="54B961F5">
            <w:pPr>
              <w:pStyle w:val="6"/>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b/>
                <w:bCs/>
                <w:color w:val="auto"/>
                <w:kern w:val="2"/>
                <w:sz w:val="21"/>
                <w:szCs w:val="21"/>
                <w:shd w:val="clear" w:color="FFFFFF" w:fill="D9D9D9"/>
              </w:rPr>
              <w:t>一</w:t>
            </w:r>
          </w:p>
        </w:tc>
        <w:tc>
          <w:tcPr>
            <w:tcW w:w="2184" w:type="dxa"/>
            <w:tcBorders>
              <w:tl2br w:val="nil"/>
              <w:tr2bl w:val="nil"/>
            </w:tcBorders>
            <w:noWrap w:val="0"/>
            <w:tcMar>
              <w:left w:w="0" w:type="dxa"/>
              <w:right w:w="0" w:type="dxa"/>
            </w:tcMar>
            <w:vAlign w:val="center"/>
          </w:tcPr>
          <w:p w14:paraId="04A2EFBE">
            <w:pPr>
              <w:pStyle w:val="6"/>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二</w:t>
            </w:r>
          </w:p>
        </w:tc>
        <w:tc>
          <w:tcPr>
            <w:tcW w:w="2182" w:type="dxa"/>
            <w:tcBorders>
              <w:tl2br w:val="nil"/>
              <w:tr2bl w:val="nil"/>
            </w:tcBorders>
            <w:noWrap w:val="0"/>
            <w:tcMar>
              <w:left w:w="0" w:type="dxa"/>
              <w:right w:w="0" w:type="dxa"/>
            </w:tcMar>
            <w:vAlign w:val="center"/>
          </w:tcPr>
          <w:p w14:paraId="3DCD257A">
            <w:pPr>
              <w:pStyle w:val="6"/>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三</w:t>
            </w:r>
          </w:p>
        </w:tc>
      </w:tr>
      <w:tr w14:paraId="5C7499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183" w:type="dxa"/>
            <w:tcBorders>
              <w:tl2br w:val="nil"/>
              <w:tr2bl w:val="nil"/>
            </w:tcBorders>
            <w:noWrap w:val="0"/>
            <w:tcMar>
              <w:left w:w="0" w:type="dxa"/>
              <w:right w:w="0" w:type="dxa"/>
            </w:tcMar>
            <w:vAlign w:val="center"/>
          </w:tcPr>
          <w:p w14:paraId="392F3205">
            <w:pPr>
              <w:pStyle w:val="6"/>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不敏感</w:t>
            </w:r>
          </w:p>
        </w:tc>
        <w:tc>
          <w:tcPr>
            <w:tcW w:w="2181" w:type="dxa"/>
            <w:tcBorders>
              <w:tl2br w:val="nil"/>
              <w:tr2bl w:val="nil"/>
            </w:tcBorders>
            <w:noWrap w:val="0"/>
            <w:tcMar>
              <w:left w:w="0" w:type="dxa"/>
              <w:right w:w="0" w:type="dxa"/>
            </w:tcMar>
            <w:vAlign w:val="center"/>
          </w:tcPr>
          <w:p w14:paraId="3B60902F">
            <w:pPr>
              <w:pStyle w:val="6"/>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shd w:val="clear" w:color="auto" w:fill="auto"/>
              </w:rPr>
              <w:t>二</w:t>
            </w:r>
          </w:p>
        </w:tc>
        <w:tc>
          <w:tcPr>
            <w:tcW w:w="2184" w:type="dxa"/>
            <w:tcBorders>
              <w:tl2br w:val="nil"/>
              <w:tr2bl w:val="nil"/>
            </w:tcBorders>
            <w:noWrap w:val="0"/>
            <w:tcMar>
              <w:left w:w="0" w:type="dxa"/>
              <w:right w:w="0" w:type="dxa"/>
            </w:tcMar>
            <w:vAlign w:val="center"/>
          </w:tcPr>
          <w:p w14:paraId="38A7D56B">
            <w:pPr>
              <w:pStyle w:val="6"/>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三</w:t>
            </w:r>
          </w:p>
        </w:tc>
        <w:tc>
          <w:tcPr>
            <w:tcW w:w="2182" w:type="dxa"/>
            <w:tcBorders>
              <w:tl2br w:val="nil"/>
              <w:tr2bl w:val="nil"/>
            </w:tcBorders>
            <w:noWrap w:val="0"/>
            <w:tcMar>
              <w:left w:w="0" w:type="dxa"/>
              <w:right w:w="0" w:type="dxa"/>
            </w:tcMar>
            <w:vAlign w:val="center"/>
          </w:tcPr>
          <w:p w14:paraId="791B0459">
            <w:pPr>
              <w:pStyle w:val="6"/>
              <w:pageBreakBefore w:val="0"/>
              <w:wordWrap/>
              <w:autoSpaceDE/>
              <w:autoSpaceDN/>
              <w:bidi w:val="0"/>
              <w:adjustRightInd/>
              <w:snapToGrid/>
              <w:spacing w:line="240" w:lineRule="auto"/>
              <w:ind w:firstLine="0" w:firstLineChars="0"/>
              <w:jc w:val="center"/>
              <w:textAlignment w:val="center"/>
              <w:rPr>
                <w:color w:val="auto"/>
                <w:kern w:val="2"/>
                <w:sz w:val="21"/>
                <w:szCs w:val="21"/>
              </w:rPr>
            </w:pPr>
          </w:p>
        </w:tc>
      </w:tr>
    </w:tbl>
    <w:p w14:paraId="7DD2BFCE">
      <w:pPr>
        <w:pStyle w:val="6"/>
        <w:keepNext w:val="0"/>
        <w:keepLines w:val="0"/>
        <w:pageBreakBefore w:val="0"/>
        <w:widowControl w:val="0"/>
        <w:kinsoku/>
        <w:wordWrap/>
        <w:overflowPunct/>
        <w:topLinePunct w:val="0"/>
        <w:autoSpaceDE/>
        <w:autoSpaceDN/>
        <w:bidi w:val="0"/>
        <w:adjustRightInd/>
        <w:snapToGrid/>
        <w:spacing w:before="0" w:beforeLines="50"/>
        <w:ind w:firstLine="480"/>
        <w:textAlignment w:val="center"/>
        <w:rPr>
          <w:b/>
          <w:color w:val="auto"/>
        </w:rPr>
      </w:pPr>
      <w:r>
        <w:rPr>
          <w:color w:val="auto"/>
        </w:rPr>
        <w:t>根据</w:t>
      </w:r>
      <w:r>
        <w:rPr>
          <w:rFonts w:hint="eastAsia"/>
          <w:color w:val="auto"/>
          <w:lang w:eastAsia="zh-CN"/>
        </w:rPr>
        <w:t>《环境影响评价技术导则 地下水环境》（HJ610-2016）</w:t>
      </w:r>
      <w:r>
        <w:rPr>
          <w:color w:val="auto"/>
        </w:rPr>
        <w:t>判断，项目地下水环境影响评价项目类别为Ⅰ类，区域地下水环境</w:t>
      </w:r>
      <w:r>
        <w:rPr>
          <w:rFonts w:hint="eastAsia"/>
          <w:color w:val="auto"/>
          <w:lang w:val="en-US" w:eastAsia="zh-CN"/>
        </w:rPr>
        <w:t>较</w:t>
      </w:r>
      <w:r>
        <w:rPr>
          <w:color w:val="auto"/>
        </w:rPr>
        <w:t>敏感，</w:t>
      </w:r>
      <w:r>
        <w:rPr>
          <w:b/>
          <w:color w:val="auto"/>
        </w:rPr>
        <w:t>项目地下水评价等级为</w:t>
      </w:r>
      <w:r>
        <w:rPr>
          <w:rFonts w:hint="eastAsia"/>
          <w:b/>
          <w:color w:val="auto"/>
          <w:lang w:val="en-US" w:eastAsia="zh-CN"/>
        </w:rPr>
        <w:t>一</w:t>
      </w:r>
      <w:r>
        <w:rPr>
          <w:b/>
          <w:color w:val="auto"/>
        </w:rPr>
        <w:t>级。</w:t>
      </w:r>
    </w:p>
    <w:p w14:paraId="5FFE6F30">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声环境影响评价等级</w:t>
      </w:r>
    </w:p>
    <w:p w14:paraId="3F252674">
      <w:pPr>
        <w:bidi w:val="0"/>
        <w:rPr>
          <w:color w:val="auto"/>
        </w:rPr>
      </w:pPr>
      <w:r>
        <w:rPr>
          <w:color w:val="auto"/>
        </w:rPr>
        <w:t>项目建设位于</w:t>
      </w:r>
      <w:r>
        <w:rPr>
          <w:rFonts w:hint="eastAsia"/>
          <w:color w:val="auto"/>
        </w:rPr>
        <w:t>四川省巴中市巴州区曾口镇寿星村13组</w:t>
      </w:r>
      <w:r>
        <w:rPr>
          <w:color w:val="auto"/>
        </w:rPr>
        <w:t>，所在区域属于</w:t>
      </w:r>
      <w:r>
        <w:rPr>
          <w:rFonts w:hint="eastAsia"/>
          <w:color w:val="auto"/>
          <w:lang w:val="en-US" w:eastAsia="zh-CN"/>
        </w:rPr>
        <w:t>3</w:t>
      </w:r>
      <w:r>
        <w:rPr>
          <w:color w:val="auto"/>
        </w:rPr>
        <w:t>类声环境功能区，根据</w:t>
      </w:r>
      <w:r>
        <w:rPr>
          <w:rFonts w:hint="eastAsia"/>
          <w:color w:val="auto"/>
          <w:lang w:eastAsia="zh-CN"/>
        </w:rPr>
        <w:t>《环境影响评价技术导则 声环境》（HJ2.4-2021）</w:t>
      </w:r>
      <w:r>
        <w:rPr>
          <w:color w:val="auto"/>
        </w:rPr>
        <w:t>规定的分级判据，</w:t>
      </w:r>
      <w:r>
        <w:rPr>
          <w:rFonts w:hint="eastAsia"/>
          <w:color w:val="auto"/>
          <w:lang w:eastAsia="zh-CN"/>
        </w:rPr>
        <w:t>“</w:t>
      </w:r>
      <w:r>
        <w:rPr>
          <w:color w:val="auto"/>
        </w:rPr>
        <w:t>建设项目所处的声环境功能区为GB3096规定的</w:t>
      </w:r>
      <w:r>
        <w:rPr>
          <w:rFonts w:hint="eastAsia"/>
          <w:color w:val="auto"/>
          <w:lang w:val="en-US" w:eastAsia="zh-CN"/>
        </w:rPr>
        <w:t>3</w:t>
      </w:r>
      <w:r>
        <w:rPr>
          <w:color w:val="auto"/>
        </w:rPr>
        <w:t>类、</w:t>
      </w:r>
      <w:r>
        <w:rPr>
          <w:rFonts w:hint="eastAsia"/>
          <w:color w:val="auto"/>
          <w:lang w:val="en-US" w:eastAsia="zh-CN"/>
        </w:rPr>
        <w:t>4</w:t>
      </w:r>
      <w:r>
        <w:rPr>
          <w:color w:val="auto"/>
        </w:rPr>
        <w:t>类地区，</w:t>
      </w:r>
      <w:r>
        <w:rPr>
          <w:rFonts w:hint="eastAsia"/>
          <w:color w:val="auto"/>
        </w:rPr>
        <w:t>或建设项目建设前后评价范围内声环境保护目标噪声级增量在3 dB</w:t>
      </w:r>
      <w:r>
        <w:rPr>
          <w:rFonts w:hint="eastAsia"/>
          <w:color w:val="auto"/>
          <w:lang w:eastAsia="zh-CN"/>
        </w:rPr>
        <w:t>（</w:t>
      </w:r>
      <w:r>
        <w:rPr>
          <w:rFonts w:hint="eastAsia"/>
          <w:color w:val="auto"/>
        </w:rPr>
        <w:t>A</w:t>
      </w:r>
      <w:r>
        <w:rPr>
          <w:rFonts w:hint="eastAsia"/>
          <w:color w:val="auto"/>
          <w:lang w:eastAsia="zh-CN"/>
        </w:rPr>
        <w:t>）</w:t>
      </w:r>
      <w:r>
        <w:rPr>
          <w:rFonts w:hint="eastAsia"/>
          <w:color w:val="auto"/>
        </w:rPr>
        <w:t>以下（不含3 dB</w:t>
      </w:r>
      <w:r>
        <w:rPr>
          <w:rFonts w:hint="eastAsia"/>
          <w:color w:val="auto"/>
          <w:lang w:eastAsia="zh-CN"/>
        </w:rPr>
        <w:t>（</w:t>
      </w:r>
      <w:r>
        <w:rPr>
          <w:rFonts w:hint="eastAsia"/>
          <w:color w:val="auto"/>
        </w:rPr>
        <w:t>A</w:t>
      </w:r>
      <w:r>
        <w:rPr>
          <w:rFonts w:hint="eastAsia"/>
          <w:color w:val="auto"/>
          <w:lang w:eastAsia="zh-CN"/>
        </w:rPr>
        <w:t>）</w:t>
      </w:r>
      <w:r>
        <w:rPr>
          <w:rFonts w:hint="eastAsia"/>
          <w:color w:val="auto"/>
        </w:rPr>
        <w:t>），且受影响人口数量变化不大时，按三级评价。</w:t>
      </w:r>
      <w:r>
        <w:rPr>
          <w:rFonts w:hint="eastAsia"/>
          <w:color w:val="auto"/>
          <w:lang w:eastAsia="zh-CN"/>
        </w:rPr>
        <w:t>”</w:t>
      </w:r>
      <w:r>
        <w:rPr>
          <w:color w:val="auto"/>
        </w:rPr>
        <w:t>。</w:t>
      </w:r>
    </w:p>
    <w:p w14:paraId="3C4CFBDE">
      <w:pPr>
        <w:pageBreakBefore w:val="0"/>
        <w:wordWrap/>
        <w:bidi w:val="0"/>
        <w:adjustRightInd/>
        <w:snapToGrid/>
        <w:ind w:firstLine="480"/>
        <w:rPr>
          <w:b/>
          <w:color w:val="auto"/>
        </w:rPr>
      </w:pPr>
      <w:r>
        <w:rPr>
          <w:color w:val="auto"/>
        </w:rPr>
        <w:t>项目产生的噪声主要来源于设备噪声，拟通过选用低噪声设备、合理布局等措施进行处理，</w:t>
      </w:r>
      <w:r>
        <w:rPr>
          <w:rFonts w:hint="eastAsia"/>
          <w:color w:val="auto"/>
        </w:rPr>
        <w:t>项目所处的声环境功能区为GB3096规定的</w:t>
      </w:r>
      <w:r>
        <w:rPr>
          <w:rFonts w:hint="eastAsia"/>
          <w:color w:val="auto"/>
          <w:lang w:val="en-US" w:eastAsia="zh-CN"/>
        </w:rPr>
        <w:t>3</w:t>
      </w:r>
      <w:r>
        <w:rPr>
          <w:rFonts w:hint="eastAsia"/>
          <w:color w:val="auto"/>
        </w:rPr>
        <w:t>类地区</w:t>
      </w:r>
      <w:r>
        <w:rPr>
          <w:rFonts w:hint="eastAsia"/>
          <w:color w:val="auto"/>
          <w:lang w:eastAsia="zh-CN"/>
        </w:rPr>
        <w:t>，</w:t>
      </w:r>
      <w:r>
        <w:rPr>
          <w:color w:val="auto"/>
        </w:rPr>
        <w:t>经预测，项目建设前后评价范围内敏感目标噪声级增高量</w:t>
      </w:r>
      <w:r>
        <w:rPr>
          <w:rFonts w:hint="eastAsia"/>
          <w:color w:val="auto"/>
          <w:lang w:val="en-US" w:eastAsia="zh-CN"/>
        </w:rPr>
        <w:t>在</w:t>
      </w:r>
      <w:r>
        <w:rPr>
          <w:color w:val="auto"/>
        </w:rPr>
        <w:t>3dB（A）</w:t>
      </w:r>
      <w:r>
        <w:rPr>
          <w:rFonts w:hint="eastAsia"/>
          <w:color w:val="auto"/>
          <w:lang w:val="en-US" w:eastAsia="zh-CN"/>
        </w:rPr>
        <w:t>以下</w:t>
      </w:r>
      <w:r>
        <w:rPr>
          <w:color w:val="auto"/>
        </w:rPr>
        <w:t>，</w:t>
      </w:r>
      <w:r>
        <w:rPr>
          <w:rFonts w:hint="eastAsia"/>
          <w:color w:val="auto"/>
          <w:lang w:val="en-US" w:eastAsia="zh-CN"/>
        </w:rPr>
        <w:t>虽然</w:t>
      </w:r>
      <w:r>
        <w:rPr>
          <w:color w:val="auto"/>
        </w:rPr>
        <w:t>周边</w:t>
      </w:r>
      <w:r>
        <w:rPr>
          <w:rFonts w:hint="eastAsia"/>
          <w:color w:val="auto"/>
          <w:lang w:val="en-US" w:eastAsia="zh-CN"/>
        </w:rPr>
        <w:t>临近有散居居民</w:t>
      </w:r>
      <w:r>
        <w:rPr>
          <w:color w:val="auto"/>
        </w:rPr>
        <w:t>，</w:t>
      </w:r>
      <w:r>
        <w:rPr>
          <w:rFonts w:hint="eastAsia"/>
          <w:color w:val="auto"/>
          <w:lang w:val="en-US" w:eastAsia="zh-CN"/>
        </w:rPr>
        <w:t>但</w:t>
      </w:r>
      <w:r>
        <w:rPr>
          <w:color w:val="auto"/>
        </w:rPr>
        <w:t>周围受项目噪声影响的人口变化</w:t>
      </w:r>
      <w:r>
        <w:rPr>
          <w:rFonts w:hint="eastAsia"/>
          <w:color w:val="auto"/>
          <w:lang w:val="en-US" w:eastAsia="zh-CN"/>
        </w:rPr>
        <w:t>较少</w:t>
      </w:r>
      <w:r>
        <w:rPr>
          <w:color w:val="auto"/>
        </w:rPr>
        <w:t>。根据</w:t>
      </w:r>
      <w:r>
        <w:rPr>
          <w:rFonts w:hint="eastAsia"/>
          <w:color w:val="auto"/>
          <w:lang w:eastAsia="zh-CN"/>
        </w:rPr>
        <w:t>《环境影响评价技术导则 声环境》（HJ2.4-2021）</w:t>
      </w:r>
      <w:r>
        <w:rPr>
          <w:color w:val="auto"/>
        </w:rPr>
        <w:t>中规定，</w:t>
      </w:r>
      <w:r>
        <w:rPr>
          <w:b/>
          <w:color w:val="auto"/>
        </w:rPr>
        <w:t>确定项目声环境评价等级为</w:t>
      </w:r>
      <w:r>
        <w:rPr>
          <w:rFonts w:hint="eastAsia"/>
          <w:b/>
          <w:color w:val="auto"/>
          <w:lang w:val="en-US" w:eastAsia="zh-CN"/>
        </w:rPr>
        <w:t>三级</w:t>
      </w:r>
      <w:r>
        <w:rPr>
          <w:b/>
          <w:color w:val="auto"/>
        </w:rPr>
        <w:t>。</w:t>
      </w:r>
    </w:p>
    <w:p w14:paraId="110C9BC4">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生态环境影响评价等级</w:t>
      </w:r>
    </w:p>
    <w:p w14:paraId="31B70DBE">
      <w:pPr>
        <w:pageBreakBefore w:val="0"/>
        <w:wordWrap/>
        <w:bidi w:val="0"/>
        <w:adjustRightInd/>
        <w:snapToGrid/>
        <w:ind w:firstLine="480"/>
        <w:rPr>
          <w:color w:val="auto"/>
        </w:rPr>
      </w:pPr>
      <w:r>
        <w:rPr>
          <w:color w:val="auto"/>
        </w:rPr>
        <w:t>项目所在地属</w:t>
      </w:r>
      <w:r>
        <w:rPr>
          <w:rFonts w:hint="eastAsia"/>
          <w:color w:val="auto"/>
          <w:lang w:eastAsia="zh-CN"/>
        </w:rPr>
        <w:t>四川巴中经济开发区-曾口区块</w:t>
      </w:r>
      <w:r>
        <w:rPr>
          <w:color w:val="auto"/>
        </w:rPr>
        <w:t>的规划用地，建设用地性质为</w:t>
      </w:r>
      <w:r>
        <w:rPr>
          <w:rFonts w:hint="eastAsia"/>
          <w:color w:val="auto"/>
          <w:lang w:val="en-US" w:eastAsia="zh-CN"/>
        </w:rPr>
        <w:t>环境设施用地</w:t>
      </w:r>
      <w:r>
        <w:rPr>
          <w:color w:val="auto"/>
        </w:rPr>
        <w:t>。项目</w:t>
      </w:r>
      <w:r>
        <w:rPr>
          <w:rFonts w:hint="eastAsia"/>
          <w:color w:val="auto"/>
          <w:lang w:val="en-US" w:eastAsia="zh-CN"/>
        </w:rPr>
        <w:t>一期</w:t>
      </w:r>
      <w:r>
        <w:rPr>
          <w:color w:val="auto"/>
        </w:rPr>
        <w:t>占地面积为</w:t>
      </w:r>
      <w:r>
        <w:rPr>
          <w:rFonts w:hint="eastAsia"/>
          <w:color w:val="auto"/>
          <w:lang w:val="en-US" w:eastAsia="zh-CN"/>
        </w:rPr>
        <w:t>22806.44m²</w:t>
      </w:r>
      <w:r>
        <w:rPr>
          <w:rFonts w:hint="eastAsia"/>
          <w:color w:val="auto"/>
          <w:vertAlign w:val="baseline"/>
          <w:lang w:val="en-US" w:eastAsia="zh-CN"/>
        </w:rPr>
        <w:t>（0.2km²）</w:t>
      </w:r>
      <w:r>
        <w:rPr>
          <w:color w:val="auto"/>
        </w:rPr>
        <w:t>，尾水就近排放至</w:t>
      </w:r>
      <w:r>
        <w:rPr>
          <w:rFonts w:hint="eastAsia"/>
          <w:color w:val="auto"/>
          <w:lang w:eastAsia="zh-CN"/>
        </w:rPr>
        <w:t>巴河</w:t>
      </w:r>
      <w:r>
        <w:rPr>
          <w:color w:val="auto"/>
        </w:rPr>
        <w:t>，排污口区域不涉及自然保护区、风景名胜区、森林公园等生态敏感区，属一般区域。根据《环境影响评价技术导则</w:t>
      </w:r>
      <w:r>
        <w:rPr>
          <w:rFonts w:hint="eastAsia"/>
          <w:color w:val="auto"/>
          <w:lang w:val="en-US" w:eastAsia="zh-CN"/>
        </w:rPr>
        <w:t xml:space="preserve"> </w:t>
      </w:r>
      <w:r>
        <w:rPr>
          <w:color w:val="auto"/>
        </w:rPr>
        <w:t>生态影响》（</w:t>
      </w:r>
      <w:r>
        <w:rPr>
          <w:rFonts w:hint="eastAsia"/>
          <w:color w:val="auto"/>
          <w:lang w:eastAsia="zh-CN"/>
        </w:rPr>
        <w:t>HJ19-2022</w:t>
      </w:r>
      <w:r>
        <w:rPr>
          <w:color w:val="auto"/>
        </w:rPr>
        <w:t>），本项目生态影响评价等级为三级评价。</w:t>
      </w:r>
    </w:p>
    <w:p w14:paraId="1582C450">
      <w:pPr>
        <w:pStyle w:val="19"/>
        <w:numPr>
          <w:ilvl w:val="0"/>
          <w:numId w:val="9"/>
        </w:numPr>
        <w:tabs>
          <w:tab w:val="clear" w:pos="0"/>
        </w:tabs>
        <w:bidi w:val="0"/>
        <w:ind w:left="0" w:leftChars="0" w:firstLine="0" w:firstLineChars="0"/>
        <w:rPr>
          <w:color w:val="auto"/>
        </w:rPr>
      </w:pPr>
      <w:r>
        <w:rPr>
          <w:color w:val="auto"/>
        </w:rPr>
        <w:t>生态影响评价工作等级划分</w:t>
      </w:r>
    </w:p>
    <w:p w14:paraId="52C4A4CD">
      <w:pPr>
        <w:pageBreakBefore w:val="0"/>
        <w:wordWrap/>
        <w:bidi w:val="0"/>
        <w:adjustRightInd/>
        <w:snapToGrid/>
        <w:spacing w:before="8" w:line="10" w:lineRule="exact"/>
        <w:ind w:firstLine="20"/>
        <w:jc w:val="left"/>
        <w:rPr>
          <w:color w:val="auto"/>
          <w:kern w:val="0"/>
          <w:sz w:val="1"/>
          <w:szCs w:val="1"/>
        </w:rPr>
      </w:pPr>
    </w:p>
    <w:tbl>
      <w:tblPr>
        <w:tblStyle w:val="52"/>
        <w:tblW w:w="5116" w:type="pct"/>
        <w:jc w:val="center"/>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Layout w:type="autofit"/>
        <w:tblCellMar>
          <w:top w:w="0" w:type="dxa"/>
          <w:left w:w="0" w:type="dxa"/>
          <w:bottom w:w="0" w:type="dxa"/>
          <w:right w:w="0" w:type="dxa"/>
        </w:tblCellMar>
      </w:tblPr>
      <w:tblGrid>
        <w:gridCol w:w="1490"/>
        <w:gridCol w:w="2760"/>
        <w:gridCol w:w="1508"/>
        <w:gridCol w:w="1687"/>
        <w:gridCol w:w="1488"/>
      </w:tblGrid>
      <w:tr w14:paraId="37FD26DB">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97" w:hRule="atLeast"/>
          <w:jc w:val="center"/>
        </w:trPr>
        <w:tc>
          <w:tcPr>
            <w:tcW w:w="834" w:type="pct"/>
            <w:vMerge w:val="restart"/>
            <w:tcBorders>
              <w:tl2br w:val="nil"/>
              <w:tr2bl w:val="nil"/>
            </w:tcBorders>
            <w:noWrap w:val="0"/>
            <w:vAlign w:val="center"/>
          </w:tcPr>
          <w:p w14:paraId="2C02893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《环境影响评价技术导则—生态影响》规定的评价工作等级的判定条件</w:t>
            </w:r>
          </w:p>
        </w:tc>
        <w:tc>
          <w:tcPr>
            <w:tcW w:w="1545" w:type="pct"/>
            <w:tcBorders>
              <w:tl2br w:val="single" w:color="auto" w:sz="4" w:space="0"/>
            </w:tcBorders>
            <w:noWrap w:val="0"/>
            <w:vAlign w:val="center"/>
          </w:tcPr>
          <w:p w14:paraId="02F40A40">
            <w:pPr>
              <w:pageBreakBefore w:val="0"/>
              <w:wordWrap/>
              <w:bidi w:val="0"/>
              <w:adjustRightInd/>
              <w:snapToGrid/>
              <w:spacing w:line="240" w:lineRule="auto"/>
              <w:ind w:firstLine="0" w:firstLineChars="0"/>
              <w:jc w:val="right"/>
              <w:rPr>
                <w:b/>
                <w:bCs/>
                <w:color w:val="auto"/>
                <w:sz w:val="21"/>
                <w:szCs w:val="21"/>
              </w:rPr>
            </w:pPr>
            <w:r>
              <w:rPr>
                <w:b/>
                <w:bCs/>
                <w:color w:val="auto"/>
                <w:sz w:val="21"/>
                <w:szCs w:val="21"/>
              </w:rPr>
              <w:t xml:space="preserve">     工程占地（含水域）</w:t>
            </w:r>
          </w:p>
          <w:p w14:paraId="408D65D7">
            <w:pPr>
              <w:pageBreakBefore w:val="0"/>
              <w:wordWrap/>
              <w:bidi w:val="0"/>
              <w:adjustRightInd/>
              <w:snapToGrid/>
              <w:spacing w:line="240" w:lineRule="auto"/>
              <w:ind w:firstLine="0" w:firstLineChars="0"/>
              <w:jc w:val="right"/>
              <w:rPr>
                <w:b/>
                <w:bCs/>
                <w:color w:val="auto"/>
                <w:sz w:val="21"/>
                <w:szCs w:val="21"/>
              </w:rPr>
            </w:pPr>
            <w:r>
              <w:rPr>
                <w:b/>
                <w:bCs/>
                <w:color w:val="auto"/>
                <w:sz w:val="21"/>
                <w:szCs w:val="21"/>
              </w:rPr>
              <w:t xml:space="preserve">            范围</w:t>
            </w:r>
          </w:p>
          <w:p w14:paraId="168A400A">
            <w:pPr>
              <w:pageBreakBefore w:val="0"/>
              <w:wordWrap/>
              <w:bidi w:val="0"/>
              <w:adjustRightInd/>
              <w:snapToGrid/>
              <w:spacing w:line="240" w:lineRule="auto"/>
              <w:ind w:firstLine="0" w:firstLineChars="0"/>
              <w:rPr>
                <w:b/>
                <w:bCs/>
                <w:color w:val="auto"/>
                <w:sz w:val="21"/>
                <w:szCs w:val="21"/>
              </w:rPr>
            </w:pPr>
            <w:r>
              <w:rPr>
                <w:b/>
                <w:bCs/>
                <w:color w:val="auto"/>
                <w:sz w:val="21"/>
                <w:szCs w:val="21"/>
              </w:rPr>
              <w:t>影响区域生态敏感性</w:t>
            </w:r>
          </w:p>
        </w:tc>
        <w:tc>
          <w:tcPr>
            <w:tcW w:w="844" w:type="pct"/>
            <w:tcBorders>
              <w:tl2br w:val="nil"/>
              <w:tr2bl w:val="nil"/>
            </w:tcBorders>
            <w:noWrap w:val="0"/>
            <w:vAlign w:val="center"/>
          </w:tcPr>
          <w:p w14:paraId="7305113B">
            <w:pPr>
              <w:pageBreakBefore w:val="0"/>
              <w:wordWrap/>
              <w:bidi w:val="0"/>
              <w:adjustRightInd/>
              <w:snapToGrid/>
              <w:spacing w:line="240" w:lineRule="auto"/>
              <w:ind w:firstLine="0" w:firstLineChars="0"/>
              <w:jc w:val="center"/>
              <w:rPr>
                <w:b/>
                <w:bCs/>
                <w:color w:val="auto"/>
                <w:kern w:val="0"/>
                <w:sz w:val="21"/>
                <w:szCs w:val="21"/>
              </w:rPr>
            </w:pPr>
            <w:r>
              <w:rPr>
                <w:b/>
                <w:bCs/>
                <w:color w:val="auto"/>
                <w:kern w:val="0"/>
                <w:sz w:val="21"/>
                <w:szCs w:val="21"/>
              </w:rPr>
              <w:t>面积</w:t>
            </w:r>
            <w:r>
              <w:rPr>
                <w:b/>
                <w:bCs/>
                <w:color w:val="auto"/>
                <w:sz w:val="21"/>
                <w:szCs w:val="21"/>
              </w:rPr>
              <w:t>≥20k</w:t>
            </w:r>
            <w:r>
              <w:rPr>
                <w:rFonts w:hint="eastAsia"/>
                <w:b/>
                <w:bCs/>
                <w:color w:val="auto"/>
                <w:sz w:val="21"/>
                <w:szCs w:val="21"/>
                <w:lang w:eastAsia="zh-CN"/>
              </w:rPr>
              <w:t>m²</w:t>
            </w:r>
            <w:r>
              <w:rPr>
                <w:b/>
                <w:bCs/>
                <w:color w:val="auto"/>
                <w:kern w:val="0"/>
                <w:sz w:val="21"/>
                <w:szCs w:val="21"/>
              </w:rPr>
              <w:t>或长度</w:t>
            </w:r>
            <w:r>
              <w:rPr>
                <w:b/>
                <w:bCs/>
                <w:color w:val="auto"/>
                <w:sz w:val="21"/>
                <w:szCs w:val="21"/>
              </w:rPr>
              <w:t>≥100km</w:t>
            </w:r>
          </w:p>
        </w:tc>
        <w:tc>
          <w:tcPr>
            <w:tcW w:w="944" w:type="pct"/>
            <w:tcBorders>
              <w:tl2br w:val="nil"/>
              <w:tr2bl w:val="nil"/>
            </w:tcBorders>
            <w:noWrap w:val="0"/>
            <w:vAlign w:val="center"/>
          </w:tcPr>
          <w:p w14:paraId="285373F3">
            <w:pPr>
              <w:pageBreakBefore w:val="0"/>
              <w:wordWrap/>
              <w:bidi w:val="0"/>
              <w:adjustRightInd/>
              <w:snapToGrid/>
              <w:spacing w:line="240" w:lineRule="auto"/>
              <w:ind w:firstLine="0" w:firstLineChars="0"/>
              <w:jc w:val="center"/>
              <w:rPr>
                <w:b/>
                <w:bCs/>
                <w:color w:val="auto"/>
                <w:kern w:val="0"/>
                <w:sz w:val="21"/>
                <w:szCs w:val="21"/>
              </w:rPr>
            </w:pPr>
            <w:r>
              <w:rPr>
                <w:b/>
                <w:bCs/>
                <w:color w:val="auto"/>
                <w:kern w:val="0"/>
                <w:sz w:val="21"/>
                <w:szCs w:val="21"/>
              </w:rPr>
              <w:t>面积2</w:t>
            </w:r>
            <w:r>
              <w:rPr>
                <w:rFonts w:hint="eastAsia"/>
                <w:b/>
                <w:bCs/>
                <w:color w:val="auto"/>
                <w:kern w:val="0"/>
                <w:sz w:val="21"/>
                <w:szCs w:val="21"/>
                <w:lang w:eastAsia="zh-CN"/>
              </w:rPr>
              <w:t>～</w:t>
            </w:r>
            <w:r>
              <w:rPr>
                <w:b/>
                <w:bCs/>
                <w:color w:val="auto"/>
                <w:kern w:val="0"/>
                <w:sz w:val="21"/>
                <w:szCs w:val="21"/>
              </w:rPr>
              <w:t>20k</w:t>
            </w:r>
            <w:r>
              <w:rPr>
                <w:rFonts w:hint="eastAsia"/>
                <w:b/>
                <w:bCs/>
                <w:color w:val="auto"/>
                <w:kern w:val="0"/>
                <w:sz w:val="21"/>
                <w:szCs w:val="21"/>
                <w:lang w:eastAsia="zh-CN"/>
              </w:rPr>
              <w:t>m²</w:t>
            </w:r>
            <w:r>
              <w:rPr>
                <w:b/>
                <w:bCs/>
                <w:color w:val="auto"/>
                <w:kern w:val="0"/>
                <w:sz w:val="21"/>
                <w:szCs w:val="21"/>
              </w:rPr>
              <w:t>或长度50</w:t>
            </w:r>
            <w:r>
              <w:rPr>
                <w:rFonts w:hint="eastAsia"/>
                <w:b/>
                <w:bCs/>
                <w:color w:val="auto"/>
                <w:kern w:val="0"/>
                <w:sz w:val="21"/>
                <w:szCs w:val="21"/>
                <w:lang w:eastAsia="zh-CN"/>
              </w:rPr>
              <w:t>～</w:t>
            </w:r>
            <w:r>
              <w:rPr>
                <w:b/>
                <w:bCs/>
                <w:color w:val="auto"/>
                <w:kern w:val="0"/>
                <w:sz w:val="21"/>
                <w:szCs w:val="21"/>
              </w:rPr>
              <w:t>100km</w:t>
            </w:r>
          </w:p>
        </w:tc>
        <w:tc>
          <w:tcPr>
            <w:tcW w:w="833" w:type="pct"/>
            <w:tcBorders>
              <w:tl2br w:val="nil"/>
              <w:tr2bl w:val="nil"/>
            </w:tcBorders>
            <w:noWrap w:val="0"/>
            <w:vAlign w:val="center"/>
          </w:tcPr>
          <w:p w14:paraId="7F1456A2">
            <w:pPr>
              <w:pageBreakBefore w:val="0"/>
              <w:wordWrap/>
              <w:bidi w:val="0"/>
              <w:adjustRightInd/>
              <w:snapToGrid/>
              <w:spacing w:line="240" w:lineRule="auto"/>
              <w:ind w:firstLine="0" w:firstLineChars="0"/>
              <w:jc w:val="center"/>
              <w:rPr>
                <w:b/>
                <w:bCs/>
                <w:color w:val="auto"/>
                <w:kern w:val="0"/>
                <w:sz w:val="21"/>
                <w:szCs w:val="21"/>
              </w:rPr>
            </w:pPr>
            <w:r>
              <w:rPr>
                <w:b/>
                <w:bCs/>
                <w:color w:val="auto"/>
                <w:kern w:val="0"/>
                <w:sz w:val="21"/>
                <w:szCs w:val="21"/>
              </w:rPr>
              <w:t>面积</w:t>
            </w:r>
            <w:r>
              <w:rPr>
                <w:b/>
                <w:bCs/>
                <w:color w:val="auto"/>
                <w:sz w:val="21"/>
                <w:szCs w:val="21"/>
              </w:rPr>
              <w:t>≤</w:t>
            </w:r>
            <w:r>
              <w:rPr>
                <w:b/>
                <w:bCs/>
                <w:color w:val="auto"/>
                <w:kern w:val="0"/>
                <w:sz w:val="21"/>
                <w:szCs w:val="21"/>
              </w:rPr>
              <w:t>2k</w:t>
            </w:r>
            <w:r>
              <w:rPr>
                <w:rFonts w:hint="eastAsia"/>
                <w:b/>
                <w:bCs/>
                <w:color w:val="auto"/>
                <w:kern w:val="0"/>
                <w:sz w:val="21"/>
                <w:szCs w:val="21"/>
                <w:lang w:eastAsia="zh-CN"/>
              </w:rPr>
              <w:t>m²</w:t>
            </w:r>
            <w:r>
              <w:rPr>
                <w:b/>
                <w:bCs/>
                <w:color w:val="auto"/>
                <w:kern w:val="0"/>
                <w:sz w:val="21"/>
                <w:szCs w:val="21"/>
              </w:rPr>
              <w:t>或长度</w:t>
            </w:r>
            <w:r>
              <w:rPr>
                <w:b/>
                <w:bCs/>
                <w:color w:val="auto"/>
                <w:sz w:val="21"/>
                <w:szCs w:val="21"/>
              </w:rPr>
              <w:t>≤</w:t>
            </w:r>
            <w:r>
              <w:rPr>
                <w:b/>
                <w:bCs/>
                <w:color w:val="auto"/>
                <w:kern w:val="0"/>
                <w:sz w:val="21"/>
                <w:szCs w:val="21"/>
              </w:rPr>
              <w:t>50km</w:t>
            </w:r>
          </w:p>
        </w:tc>
      </w:tr>
      <w:tr w14:paraId="34949391">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97" w:hRule="atLeast"/>
          <w:jc w:val="center"/>
        </w:trPr>
        <w:tc>
          <w:tcPr>
            <w:tcW w:w="834" w:type="pct"/>
            <w:vMerge w:val="continue"/>
            <w:tcBorders>
              <w:tl2br w:val="nil"/>
              <w:tr2bl w:val="nil"/>
            </w:tcBorders>
            <w:noWrap w:val="0"/>
            <w:vAlign w:val="center"/>
          </w:tcPr>
          <w:p w14:paraId="28289E5C">
            <w:pPr>
              <w:pageBreakBefore w:val="0"/>
              <w:wordWrap/>
              <w:bidi w:val="0"/>
              <w:adjustRightInd/>
              <w:snapToGrid/>
              <w:spacing w:line="240" w:lineRule="auto"/>
              <w:ind w:firstLine="0" w:firstLineChars="0"/>
              <w:jc w:val="center"/>
              <w:rPr>
                <w:color w:val="auto"/>
                <w:kern w:val="0"/>
                <w:position w:val="-2"/>
                <w:sz w:val="21"/>
                <w:szCs w:val="21"/>
              </w:rPr>
            </w:pPr>
          </w:p>
        </w:tc>
        <w:tc>
          <w:tcPr>
            <w:tcW w:w="1545" w:type="pct"/>
            <w:noWrap w:val="0"/>
            <w:vAlign w:val="center"/>
          </w:tcPr>
          <w:p w14:paraId="57CB6243">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特殊生态敏感区</w:t>
            </w:r>
          </w:p>
        </w:tc>
        <w:tc>
          <w:tcPr>
            <w:tcW w:w="844" w:type="pct"/>
            <w:tcBorders>
              <w:tl2br w:val="nil"/>
              <w:tr2bl w:val="nil"/>
            </w:tcBorders>
            <w:noWrap w:val="0"/>
            <w:vAlign w:val="center"/>
          </w:tcPr>
          <w:p w14:paraId="4AB3AA2A">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一级</w:t>
            </w:r>
          </w:p>
        </w:tc>
        <w:tc>
          <w:tcPr>
            <w:tcW w:w="944" w:type="pct"/>
            <w:tcBorders>
              <w:tl2br w:val="nil"/>
              <w:tr2bl w:val="nil"/>
            </w:tcBorders>
            <w:noWrap w:val="0"/>
            <w:vAlign w:val="center"/>
          </w:tcPr>
          <w:p w14:paraId="0D879D74">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一级</w:t>
            </w:r>
          </w:p>
        </w:tc>
        <w:tc>
          <w:tcPr>
            <w:tcW w:w="833" w:type="pct"/>
            <w:tcBorders>
              <w:tl2br w:val="nil"/>
              <w:tr2bl w:val="nil"/>
            </w:tcBorders>
            <w:noWrap w:val="0"/>
            <w:vAlign w:val="center"/>
          </w:tcPr>
          <w:p w14:paraId="3F103A72">
            <w:pPr>
              <w:pageBreakBefore w:val="0"/>
              <w:wordWrap/>
              <w:bidi w:val="0"/>
              <w:adjustRightInd/>
              <w:snapToGrid/>
              <w:spacing w:line="240" w:lineRule="auto"/>
              <w:ind w:firstLine="0" w:firstLineChars="0"/>
              <w:jc w:val="center"/>
              <w:rPr>
                <w:color w:val="auto"/>
                <w:kern w:val="0"/>
                <w:sz w:val="21"/>
                <w:szCs w:val="21"/>
                <w:lang w:eastAsia="en-US"/>
              </w:rPr>
            </w:pPr>
            <w:r>
              <w:rPr>
                <w:color w:val="auto"/>
                <w:kern w:val="0"/>
                <w:sz w:val="21"/>
                <w:szCs w:val="21"/>
              </w:rPr>
              <w:t>一级</w:t>
            </w:r>
          </w:p>
        </w:tc>
      </w:tr>
      <w:tr w14:paraId="20A9838B">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97" w:hRule="atLeast"/>
          <w:jc w:val="center"/>
        </w:trPr>
        <w:tc>
          <w:tcPr>
            <w:tcW w:w="834" w:type="pct"/>
            <w:vMerge w:val="continue"/>
            <w:tcBorders>
              <w:tl2br w:val="nil"/>
              <w:tr2bl w:val="nil"/>
            </w:tcBorders>
            <w:noWrap w:val="0"/>
            <w:vAlign w:val="center"/>
          </w:tcPr>
          <w:p w14:paraId="0019C508">
            <w:pPr>
              <w:pageBreakBefore w:val="0"/>
              <w:wordWrap/>
              <w:bidi w:val="0"/>
              <w:adjustRightInd/>
              <w:snapToGrid/>
              <w:spacing w:line="240" w:lineRule="auto"/>
              <w:ind w:firstLine="0" w:firstLineChars="0"/>
              <w:jc w:val="center"/>
              <w:rPr>
                <w:color w:val="auto"/>
                <w:kern w:val="0"/>
                <w:position w:val="-2"/>
                <w:sz w:val="21"/>
                <w:szCs w:val="21"/>
              </w:rPr>
            </w:pPr>
          </w:p>
        </w:tc>
        <w:tc>
          <w:tcPr>
            <w:tcW w:w="1545" w:type="pct"/>
            <w:noWrap w:val="0"/>
            <w:vAlign w:val="center"/>
          </w:tcPr>
          <w:p w14:paraId="7E3F4174">
            <w:pPr>
              <w:pageBreakBefore w:val="0"/>
              <w:wordWrap/>
              <w:bidi w:val="0"/>
              <w:adjustRightInd/>
              <w:snapToGrid/>
              <w:spacing w:line="240" w:lineRule="auto"/>
              <w:ind w:firstLine="0" w:firstLineChars="0"/>
              <w:jc w:val="center"/>
              <w:rPr>
                <w:color w:val="auto"/>
                <w:kern w:val="0"/>
                <w:position w:val="-2"/>
                <w:sz w:val="21"/>
                <w:szCs w:val="21"/>
              </w:rPr>
            </w:pPr>
            <w:r>
              <w:rPr>
                <w:color w:val="auto"/>
                <w:kern w:val="0"/>
                <w:position w:val="-2"/>
                <w:sz w:val="21"/>
                <w:szCs w:val="21"/>
              </w:rPr>
              <w:t>重要生态敏感区</w:t>
            </w:r>
          </w:p>
        </w:tc>
        <w:tc>
          <w:tcPr>
            <w:tcW w:w="844" w:type="pct"/>
            <w:tcBorders>
              <w:tl2br w:val="nil"/>
              <w:tr2bl w:val="nil"/>
            </w:tcBorders>
            <w:noWrap w:val="0"/>
            <w:vAlign w:val="center"/>
          </w:tcPr>
          <w:p w14:paraId="7660CE4F">
            <w:pPr>
              <w:pageBreakBefore w:val="0"/>
              <w:wordWrap/>
              <w:bidi w:val="0"/>
              <w:adjustRightInd/>
              <w:snapToGrid/>
              <w:spacing w:line="240" w:lineRule="auto"/>
              <w:ind w:firstLine="0" w:firstLineChars="0"/>
              <w:jc w:val="center"/>
              <w:rPr>
                <w:color w:val="auto"/>
                <w:spacing w:val="1"/>
                <w:kern w:val="0"/>
                <w:sz w:val="21"/>
                <w:szCs w:val="21"/>
                <w:lang w:eastAsia="en-US"/>
              </w:rPr>
            </w:pPr>
            <w:r>
              <w:rPr>
                <w:color w:val="auto"/>
                <w:kern w:val="0"/>
                <w:sz w:val="21"/>
                <w:szCs w:val="21"/>
              </w:rPr>
              <w:t>一级</w:t>
            </w:r>
          </w:p>
        </w:tc>
        <w:tc>
          <w:tcPr>
            <w:tcW w:w="944" w:type="pct"/>
            <w:tcBorders>
              <w:tl2br w:val="nil"/>
              <w:tr2bl w:val="nil"/>
            </w:tcBorders>
            <w:noWrap w:val="0"/>
            <w:vAlign w:val="center"/>
          </w:tcPr>
          <w:p w14:paraId="2B3A9BCC">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二级</w:t>
            </w:r>
          </w:p>
        </w:tc>
        <w:tc>
          <w:tcPr>
            <w:tcW w:w="833" w:type="pct"/>
            <w:tcBorders>
              <w:tl2br w:val="nil"/>
              <w:tr2bl w:val="nil"/>
            </w:tcBorders>
            <w:noWrap w:val="0"/>
            <w:vAlign w:val="center"/>
          </w:tcPr>
          <w:p w14:paraId="48884EBF">
            <w:pPr>
              <w:pageBreakBefore w:val="0"/>
              <w:wordWrap/>
              <w:bidi w:val="0"/>
              <w:adjustRightInd/>
              <w:snapToGrid/>
              <w:spacing w:line="240" w:lineRule="auto"/>
              <w:ind w:firstLine="0" w:firstLineChars="0"/>
              <w:jc w:val="center"/>
              <w:rPr>
                <w:color w:val="auto"/>
                <w:kern w:val="0"/>
                <w:position w:val="-1"/>
                <w:sz w:val="21"/>
                <w:szCs w:val="21"/>
              </w:rPr>
            </w:pPr>
            <w:r>
              <w:rPr>
                <w:color w:val="auto"/>
                <w:kern w:val="0"/>
                <w:position w:val="-1"/>
                <w:sz w:val="21"/>
                <w:szCs w:val="21"/>
              </w:rPr>
              <w:t>三级</w:t>
            </w:r>
          </w:p>
        </w:tc>
      </w:tr>
      <w:tr w14:paraId="1C949EE9">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97" w:hRule="atLeast"/>
          <w:jc w:val="center"/>
        </w:trPr>
        <w:tc>
          <w:tcPr>
            <w:tcW w:w="834" w:type="pct"/>
            <w:vMerge w:val="continue"/>
            <w:tcBorders>
              <w:tl2br w:val="nil"/>
              <w:tr2bl w:val="nil"/>
            </w:tcBorders>
            <w:noWrap w:val="0"/>
            <w:vAlign w:val="center"/>
          </w:tcPr>
          <w:p w14:paraId="09E36E33">
            <w:pPr>
              <w:pageBreakBefore w:val="0"/>
              <w:wordWrap/>
              <w:bidi w:val="0"/>
              <w:adjustRightInd/>
              <w:snapToGrid/>
              <w:spacing w:line="240" w:lineRule="auto"/>
              <w:ind w:firstLine="0" w:firstLineChars="0"/>
              <w:jc w:val="center"/>
              <w:rPr>
                <w:color w:val="auto"/>
                <w:kern w:val="0"/>
                <w:position w:val="-2"/>
                <w:sz w:val="21"/>
                <w:szCs w:val="21"/>
              </w:rPr>
            </w:pPr>
          </w:p>
        </w:tc>
        <w:tc>
          <w:tcPr>
            <w:tcW w:w="1545" w:type="pct"/>
            <w:tcBorders>
              <w:tl2br w:val="nil"/>
              <w:tr2bl w:val="nil"/>
            </w:tcBorders>
            <w:noWrap w:val="0"/>
            <w:vAlign w:val="center"/>
          </w:tcPr>
          <w:p w14:paraId="11BC8C43">
            <w:pPr>
              <w:pageBreakBefore w:val="0"/>
              <w:wordWrap/>
              <w:bidi w:val="0"/>
              <w:adjustRightInd/>
              <w:snapToGrid/>
              <w:spacing w:line="240" w:lineRule="auto"/>
              <w:ind w:firstLine="0" w:firstLineChars="0"/>
              <w:jc w:val="center"/>
              <w:rPr>
                <w:color w:val="auto"/>
                <w:kern w:val="0"/>
                <w:position w:val="-2"/>
                <w:sz w:val="21"/>
                <w:szCs w:val="21"/>
              </w:rPr>
            </w:pPr>
            <w:r>
              <w:rPr>
                <w:color w:val="auto"/>
                <w:kern w:val="0"/>
                <w:position w:val="-2"/>
                <w:sz w:val="21"/>
                <w:szCs w:val="21"/>
              </w:rPr>
              <w:t>一般区域</w:t>
            </w:r>
          </w:p>
        </w:tc>
        <w:tc>
          <w:tcPr>
            <w:tcW w:w="844" w:type="pct"/>
            <w:tcBorders>
              <w:tl2br w:val="nil"/>
              <w:tr2bl w:val="nil"/>
            </w:tcBorders>
            <w:noWrap w:val="0"/>
            <w:vAlign w:val="center"/>
          </w:tcPr>
          <w:p w14:paraId="547AFFAE">
            <w:pPr>
              <w:pageBreakBefore w:val="0"/>
              <w:wordWrap/>
              <w:bidi w:val="0"/>
              <w:adjustRightInd/>
              <w:snapToGrid/>
              <w:spacing w:line="240" w:lineRule="auto"/>
              <w:ind w:firstLine="0" w:firstLineChars="0"/>
              <w:jc w:val="center"/>
              <w:rPr>
                <w:color w:val="auto"/>
                <w:spacing w:val="1"/>
                <w:kern w:val="0"/>
                <w:sz w:val="21"/>
                <w:szCs w:val="21"/>
              </w:rPr>
            </w:pPr>
            <w:r>
              <w:rPr>
                <w:color w:val="auto"/>
                <w:spacing w:val="1"/>
                <w:kern w:val="0"/>
                <w:sz w:val="21"/>
                <w:szCs w:val="21"/>
              </w:rPr>
              <w:t>二级</w:t>
            </w:r>
          </w:p>
        </w:tc>
        <w:tc>
          <w:tcPr>
            <w:tcW w:w="944" w:type="pct"/>
            <w:tcBorders>
              <w:tl2br w:val="nil"/>
              <w:tr2bl w:val="nil"/>
            </w:tcBorders>
            <w:noWrap w:val="0"/>
            <w:vAlign w:val="center"/>
          </w:tcPr>
          <w:p w14:paraId="6DF5F373">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三级</w:t>
            </w:r>
          </w:p>
        </w:tc>
        <w:tc>
          <w:tcPr>
            <w:tcW w:w="833" w:type="pct"/>
            <w:tcBorders>
              <w:tl2br w:val="nil"/>
              <w:tr2bl w:val="nil"/>
            </w:tcBorders>
            <w:noWrap w:val="0"/>
            <w:vAlign w:val="center"/>
          </w:tcPr>
          <w:p w14:paraId="4AC6DD26">
            <w:pPr>
              <w:pageBreakBefore w:val="0"/>
              <w:wordWrap/>
              <w:bidi w:val="0"/>
              <w:adjustRightInd/>
              <w:snapToGrid/>
              <w:spacing w:line="240" w:lineRule="auto"/>
              <w:ind w:firstLine="0" w:firstLineChars="0"/>
              <w:jc w:val="center"/>
              <w:rPr>
                <w:color w:val="auto"/>
                <w:kern w:val="0"/>
                <w:position w:val="-1"/>
                <w:sz w:val="21"/>
                <w:szCs w:val="21"/>
              </w:rPr>
            </w:pPr>
            <w:r>
              <w:rPr>
                <w:b/>
                <w:bCs/>
                <w:color w:val="auto"/>
                <w:kern w:val="0"/>
                <w:position w:val="-1"/>
                <w:sz w:val="21"/>
                <w:szCs w:val="21"/>
              </w:rPr>
              <w:t>三级</w:t>
            </w:r>
          </w:p>
        </w:tc>
      </w:tr>
      <w:tr w14:paraId="283D715C">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97" w:hRule="atLeast"/>
          <w:jc w:val="center"/>
        </w:trPr>
        <w:tc>
          <w:tcPr>
            <w:tcW w:w="834" w:type="pct"/>
            <w:tcBorders>
              <w:tl2br w:val="nil"/>
              <w:tr2bl w:val="nil"/>
            </w:tcBorders>
            <w:noWrap w:val="0"/>
            <w:vAlign w:val="center"/>
          </w:tcPr>
          <w:p w14:paraId="3D42B966">
            <w:pPr>
              <w:pageBreakBefore w:val="0"/>
              <w:wordWrap/>
              <w:bidi w:val="0"/>
              <w:adjustRightInd/>
              <w:snapToGrid/>
              <w:spacing w:line="240" w:lineRule="auto"/>
              <w:ind w:firstLine="0" w:firstLineChars="0"/>
              <w:jc w:val="center"/>
              <w:rPr>
                <w:b/>
                <w:color w:val="auto"/>
                <w:kern w:val="0"/>
                <w:position w:val="-2"/>
                <w:sz w:val="21"/>
                <w:szCs w:val="21"/>
              </w:rPr>
            </w:pPr>
            <w:r>
              <w:rPr>
                <w:b/>
                <w:color w:val="auto"/>
                <w:kern w:val="0"/>
                <w:position w:val="-2"/>
                <w:sz w:val="21"/>
                <w:szCs w:val="21"/>
              </w:rPr>
              <w:t>本项目特点</w:t>
            </w:r>
          </w:p>
        </w:tc>
        <w:tc>
          <w:tcPr>
            <w:tcW w:w="1545" w:type="pct"/>
            <w:tcBorders>
              <w:tl2br w:val="nil"/>
              <w:tr2bl w:val="nil"/>
            </w:tcBorders>
            <w:noWrap w:val="0"/>
            <w:vAlign w:val="center"/>
          </w:tcPr>
          <w:p w14:paraId="1016BE6E">
            <w:pPr>
              <w:pageBreakBefore w:val="0"/>
              <w:wordWrap/>
              <w:bidi w:val="0"/>
              <w:adjustRightInd/>
              <w:snapToGrid/>
              <w:spacing w:line="240" w:lineRule="auto"/>
              <w:ind w:firstLine="0" w:firstLineChars="0"/>
              <w:jc w:val="center"/>
              <w:rPr>
                <w:color w:val="auto"/>
                <w:kern w:val="0"/>
                <w:position w:val="-2"/>
                <w:sz w:val="21"/>
                <w:szCs w:val="21"/>
              </w:rPr>
            </w:pPr>
            <w:r>
              <w:rPr>
                <w:color w:val="auto"/>
                <w:kern w:val="0"/>
                <w:position w:val="-2"/>
                <w:sz w:val="21"/>
                <w:szCs w:val="21"/>
              </w:rPr>
              <w:t>一般区域</w:t>
            </w:r>
          </w:p>
        </w:tc>
        <w:tc>
          <w:tcPr>
            <w:tcW w:w="844" w:type="pct"/>
            <w:tcBorders>
              <w:tl2br w:val="nil"/>
              <w:tr2bl w:val="nil"/>
            </w:tcBorders>
            <w:noWrap w:val="0"/>
            <w:vAlign w:val="center"/>
          </w:tcPr>
          <w:p w14:paraId="01EE7997">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w:t>
            </w:r>
          </w:p>
        </w:tc>
        <w:tc>
          <w:tcPr>
            <w:tcW w:w="944" w:type="pct"/>
            <w:tcBorders>
              <w:tl2br w:val="nil"/>
              <w:tr2bl w:val="nil"/>
            </w:tcBorders>
            <w:noWrap w:val="0"/>
            <w:vAlign w:val="center"/>
          </w:tcPr>
          <w:p w14:paraId="33D1A39F">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w:t>
            </w:r>
          </w:p>
        </w:tc>
        <w:tc>
          <w:tcPr>
            <w:tcW w:w="833" w:type="pct"/>
            <w:tcBorders>
              <w:tl2br w:val="nil"/>
              <w:tr2bl w:val="nil"/>
            </w:tcBorders>
            <w:noWrap w:val="0"/>
            <w:vAlign w:val="center"/>
          </w:tcPr>
          <w:p w14:paraId="3F3BC713">
            <w:pPr>
              <w:pageBreakBefore w:val="0"/>
              <w:wordWrap/>
              <w:bidi w:val="0"/>
              <w:adjustRightInd/>
              <w:snapToGrid/>
              <w:spacing w:line="240" w:lineRule="auto"/>
              <w:ind w:firstLine="0" w:firstLineChars="0"/>
              <w:jc w:val="center"/>
              <w:rPr>
                <w:rFonts w:hint="eastAsia" w:eastAsia="宋体"/>
                <w:color w:val="auto"/>
                <w:kern w:val="0"/>
                <w:position w:val="-1"/>
                <w:sz w:val="21"/>
                <w:szCs w:val="21"/>
                <w:lang w:eastAsia="zh-CN"/>
              </w:rPr>
            </w:pPr>
            <w:r>
              <w:rPr>
                <w:color w:val="auto"/>
                <w:kern w:val="0"/>
                <w:position w:val="-1"/>
                <w:sz w:val="21"/>
                <w:szCs w:val="21"/>
                <w:lang w:eastAsia="en-US"/>
              </w:rPr>
              <w:t>面积≤2k</w:t>
            </w:r>
            <w:r>
              <w:rPr>
                <w:rFonts w:hint="eastAsia"/>
                <w:color w:val="auto"/>
                <w:kern w:val="0"/>
                <w:position w:val="-1"/>
                <w:sz w:val="21"/>
                <w:szCs w:val="21"/>
                <w:lang w:eastAsia="zh-CN"/>
              </w:rPr>
              <w:t>m²</w:t>
            </w:r>
          </w:p>
        </w:tc>
      </w:tr>
    </w:tbl>
    <w:p w14:paraId="6CB3FA42">
      <w:pPr>
        <w:pStyle w:val="5"/>
        <w:pageBreakBefore w:val="0"/>
        <w:wordWrap/>
        <w:bidi w:val="0"/>
        <w:adjustRightInd/>
        <w:snapToGrid/>
        <w:spacing w:before="120" w:beforeLines="50" w:after="48"/>
        <w:ind w:left="0"/>
        <w:rPr>
          <w:rFonts w:eastAsia="宋体"/>
          <w:color w:val="auto"/>
        </w:rPr>
      </w:pPr>
      <w:r>
        <w:rPr>
          <w:rFonts w:hint="eastAsia" w:eastAsia="宋体"/>
          <w:color w:val="auto"/>
        </w:rPr>
        <w:t xml:space="preserve"> </w:t>
      </w:r>
      <w:r>
        <w:rPr>
          <w:rFonts w:eastAsia="宋体"/>
          <w:color w:val="auto"/>
        </w:rPr>
        <w:t>环境风险评价等级</w:t>
      </w:r>
    </w:p>
    <w:p w14:paraId="3247D29B">
      <w:pPr>
        <w:pageBreakBefore w:val="0"/>
        <w:wordWrap/>
        <w:bidi w:val="0"/>
        <w:adjustRightInd/>
        <w:snapToGrid/>
        <w:ind w:firstLine="480"/>
        <w:rPr>
          <w:color w:val="auto"/>
        </w:rPr>
      </w:pPr>
      <w:r>
        <w:rPr>
          <w:color w:val="auto"/>
        </w:rPr>
        <w:t>本项目</w:t>
      </w:r>
      <w:r>
        <w:rPr>
          <w:rFonts w:hint="eastAsia"/>
          <w:color w:val="auto"/>
        </w:rPr>
        <w:t>储存的次氯酸钠</w:t>
      </w:r>
      <w:r>
        <w:rPr>
          <w:color w:val="auto"/>
        </w:rPr>
        <w:t>涉及《建设项目环境风险评价技术导则》（HJ169-2018）附录B中所列危险物质，</w:t>
      </w:r>
      <w:r>
        <w:rPr>
          <w:rFonts w:hint="eastAsia"/>
          <w:color w:val="auto"/>
        </w:rPr>
        <w:t>储存量最大</w:t>
      </w:r>
      <w:r>
        <w:rPr>
          <w:rFonts w:hint="eastAsia"/>
          <w:color w:val="auto"/>
          <w:lang w:val="en-US" w:eastAsia="zh-CN"/>
        </w:rPr>
        <w:t>0.2t</w:t>
      </w:r>
      <w:r>
        <w:rPr>
          <w:rFonts w:hint="eastAsia"/>
          <w:color w:val="auto"/>
        </w:rPr>
        <w:t>，Q</w:t>
      </w:r>
      <w:r>
        <w:rPr>
          <w:rFonts w:hint="eastAsia" w:ascii="宋体" w:hAnsi="宋体" w:cs="宋体"/>
          <w:color w:val="auto"/>
        </w:rPr>
        <w:t>&lt;</w:t>
      </w:r>
      <w:r>
        <w:rPr>
          <w:rFonts w:hint="eastAsia"/>
          <w:color w:val="auto"/>
        </w:rPr>
        <w:t>1，</w:t>
      </w:r>
      <w:r>
        <w:rPr>
          <w:color w:val="auto"/>
        </w:rPr>
        <w:t>故风险潜势为Ⅰ，根据《建设项目环境风险评价技术导则》（HJ169-2018）评价工作等级划分要求，确定本工程环境风险级别为</w:t>
      </w:r>
      <w:r>
        <w:rPr>
          <w:b/>
          <w:bCs/>
          <w:color w:val="auto"/>
        </w:rPr>
        <w:t>简要分析</w:t>
      </w:r>
      <w:r>
        <w:rPr>
          <w:color w:val="auto"/>
        </w:rPr>
        <w:t>。</w:t>
      </w:r>
    </w:p>
    <w:p w14:paraId="545F4C28">
      <w:pPr>
        <w:pStyle w:val="19"/>
        <w:numPr>
          <w:ilvl w:val="0"/>
          <w:numId w:val="9"/>
        </w:numPr>
        <w:tabs>
          <w:tab w:val="clear" w:pos="0"/>
        </w:tabs>
        <w:bidi w:val="0"/>
        <w:ind w:left="0" w:leftChars="0" w:firstLine="0" w:firstLineChars="0"/>
        <w:rPr>
          <w:color w:val="auto"/>
        </w:rPr>
      </w:pPr>
      <w:r>
        <w:rPr>
          <w:color w:val="auto"/>
        </w:rPr>
        <w:t>评价工作等级划分</w:t>
      </w:r>
    </w:p>
    <w:tbl>
      <w:tblPr>
        <w:tblStyle w:val="52"/>
        <w:tblW w:w="0" w:type="auto"/>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024"/>
        <w:gridCol w:w="1506"/>
        <w:gridCol w:w="1913"/>
        <w:gridCol w:w="1651"/>
        <w:gridCol w:w="1636"/>
      </w:tblGrid>
      <w:tr w14:paraId="674C54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2024" w:type="dxa"/>
            <w:tcBorders>
              <w:tl2br w:val="nil"/>
              <w:tr2bl w:val="nil"/>
            </w:tcBorders>
            <w:noWrap w:val="0"/>
            <w:tcMar>
              <w:left w:w="0" w:type="dxa"/>
              <w:right w:w="0" w:type="dxa"/>
            </w:tcMar>
            <w:vAlign w:val="center"/>
          </w:tcPr>
          <w:p w14:paraId="0466DB5A">
            <w:pPr>
              <w:pStyle w:val="6"/>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环境风险潜势</w:t>
            </w:r>
          </w:p>
        </w:tc>
        <w:tc>
          <w:tcPr>
            <w:tcW w:w="1506" w:type="dxa"/>
            <w:tcBorders>
              <w:tl2br w:val="nil"/>
              <w:tr2bl w:val="nil"/>
            </w:tcBorders>
            <w:noWrap w:val="0"/>
            <w:tcMar>
              <w:left w:w="0" w:type="dxa"/>
              <w:right w:w="0" w:type="dxa"/>
            </w:tcMar>
            <w:vAlign w:val="center"/>
          </w:tcPr>
          <w:p w14:paraId="03FFF287">
            <w:pPr>
              <w:pageBreakBefore w:val="0"/>
              <w:wordWrap/>
              <w:bidi w:val="0"/>
              <w:adjustRightInd/>
              <w:snapToGrid/>
              <w:spacing w:line="240" w:lineRule="auto"/>
              <w:ind w:firstLine="0" w:firstLineChars="0"/>
              <w:jc w:val="center"/>
              <w:rPr>
                <w:color w:val="auto"/>
                <w:sz w:val="21"/>
                <w:szCs w:val="21"/>
              </w:rPr>
            </w:pPr>
            <w:r>
              <w:rPr>
                <w:color w:val="auto"/>
                <w:sz w:val="21"/>
                <w:szCs w:val="21"/>
              </w:rPr>
              <w:t>Ⅳ、Ⅳ</w:t>
            </w:r>
            <w:r>
              <w:rPr>
                <w:color w:val="auto"/>
                <w:sz w:val="21"/>
                <w:szCs w:val="21"/>
                <w:vertAlign w:val="superscript"/>
              </w:rPr>
              <w:t>+</w:t>
            </w:r>
          </w:p>
        </w:tc>
        <w:tc>
          <w:tcPr>
            <w:tcW w:w="1913" w:type="dxa"/>
            <w:tcBorders>
              <w:tl2br w:val="nil"/>
              <w:tr2bl w:val="nil"/>
            </w:tcBorders>
            <w:noWrap w:val="0"/>
            <w:tcMar>
              <w:left w:w="0" w:type="dxa"/>
              <w:right w:w="0" w:type="dxa"/>
            </w:tcMar>
            <w:vAlign w:val="center"/>
          </w:tcPr>
          <w:p w14:paraId="14102786">
            <w:pPr>
              <w:pageBreakBefore w:val="0"/>
              <w:wordWrap/>
              <w:bidi w:val="0"/>
              <w:adjustRightInd/>
              <w:snapToGrid/>
              <w:spacing w:line="240" w:lineRule="auto"/>
              <w:ind w:firstLine="0" w:firstLineChars="0"/>
              <w:jc w:val="center"/>
              <w:rPr>
                <w:color w:val="auto"/>
                <w:sz w:val="21"/>
                <w:szCs w:val="21"/>
              </w:rPr>
            </w:pPr>
            <w:r>
              <w:rPr>
                <w:color w:val="auto"/>
                <w:sz w:val="21"/>
                <w:szCs w:val="21"/>
              </w:rPr>
              <w:t>Ⅲ</w:t>
            </w:r>
          </w:p>
        </w:tc>
        <w:tc>
          <w:tcPr>
            <w:tcW w:w="1651" w:type="dxa"/>
            <w:tcBorders>
              <w:tl2br w:val="nil"/>
              <w:tr2bl w:val="nil"/>
            </w:tcBorders>
            <w:noWrap w:val="0"/>
            <w:tcMar>
              <w:left w:w="0" w:type="dxa"/>
              <w:right w:w="0" w:type="dxa"/>
            </w:tcMar>
            <w:vAlign w:val="center"/>
          </w:tcPr>
          <w:p w14:paraId="07CD991D">
            <w:pPr>
              <w:pageBreakBefore w:val="0"/>
              <w:wordWrap/>
              <w:bidi w:val="0"/>
              <w:adjustRightInd/>
              <w:snapToGrid/>
              <w:spacing w:line="240" w:lineRule="auto"/>
              <w:ind w:firstLine="0" w:firstLineChars="0"/>
              <w:jc w:val="center"/>
              <w:rPr>
                <w:color w:val="auto"/>
                <w:sz w:val="21"/>
                <w:szCs w:val="21"/>
              </w:rPr>
            </w:pPr>
            <w:r>
              <w:rPr>
                <w:color w:val="auto"/>
                <w:sz w:val="21"/>
                <w:szCs w:val="21"/>
              </w:rPr>
              <w:t>Ⅱ</w:t>
            </w:r>
          </w:p>
        </w:tc>
        <w:tc>
          <w:tcPr>
            <w:tcW w:w="1636" w:type="dxa"/>
            <w:tcBorders>
              <w:tl2br w:val="nil"/>
              <w:tr2bl w:val="nil"/>
            </w:tcBorders>
            <w:noWrap w:val="0"/>
            <w:tcMar>
              <w:left w:w="0" w:type="dxa"/>
              <w:right w:w="0" w:type="dxa"/>
            </w:tcMar>
            <w:vAlign w:val="center"/>
          </w:tcPr>
          <w:p w14:paraId="01113496">
            <w:pPr>
              <w:pageBreakBefore w:val="0"/>
              <w:wordWrap/>
              <w:bidi w:val="0"/>
              <w:adjustRightInd/>
              <w:snapToGrid/>
              <w:spacing w:line="240" w:lineRule="auto"/>
              <w:ind w:firstLine="0" w:firstLineChars="0"/>
              <w:jc w:val="center"/>
              <w:rPr>
                <w:color w:val="auto"/>
                <w:sz w:val="21"/>
                <w:szCs w:val="21"/>
              </w:rPr>
            </w:pPr>
            <w:r>
              <w:rPr>
                <w:color w:val="auto"/>
                <w:sz w:val="21"/>
                <w:szCs w:val="21"/>
              </w:rPr>
              <w:t>Ⅰ</w:t>
            </w:r>
          </w:p>
        </w:tc>
      </w:tr>
      <w:tr w14:paraId="23A7A7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2024" w:type="dxa"/>
            <w:tcBorders>
              <w:tl2br w:val="nil"/>
              <w:tr2bl w:val="nil"/>
            </w:tcBorders>
            <w:noWrap w:val="0"/>
            <w:tcMar>
              <w:left w:w="0" w:type="dxa"/>
              <w:right w:w="0" w:type="dxa"/>
            </w:tcMar>
            <w:vAlign w:val="center"/>
          </w:tcPr>
          <w:p w14:paraId="1F939ABE">
            <w:pPr>
              <w:pStyle w:val="6"/>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评价工作等级</w:t>
            </w:r>
          </w:p>
        </w:tc>
        <w:tc>
          <w:tcPr>
            <w:tcW w:w="1506" w:type="dxa"/>
            <w:tcBorders>
              <w:tl2br w:val="nil"/>
              <w:tr2bl w:val="nil"/>
            </w:tcBorders>
            <w:noWrap w:val="0"/>
            <w:tcMar>
              <w:left w:w="0" w:type="dxa"/>
              <w:right w:w="0" w:type="dxa"/>
            </w:tcMar>
            <w:vAlign w:val="center"/>
          </w:tcPr>
          <w:p w14:paraId="7CCFCA1B">
            <w:pPr>
              <w:pStyle w:val="6"/>
              <w:pageBreakBefore w:val="0"/>
              <w:wordWrap/>
              <w:autoSpaceDE/>
              <w:autoSpaceDN/>
              <w:bidi w:val="0"/>
              <w:adjustRightInd/>
              <w:snapToGrid/>
              <w:spacing w:line="240" w:lineRule="auto"/>
              <w:ind w:firstLine="0" w:firstLineChars="0"/>
              <w:jc w:val="center"/>
              <w:textAlignment w:val="center"/>
              <w:rPr>
                <w:color w:val="auto"/>
                <w:kern w:val="2"/>
                <w:sz w:val="21"/>
                <w:szCs w:val="21"/>
              </w:rPr>
            </w:pPr>
            <w:r>
              <w:rPr>
                <w:color w:val="auto"/>
                <w:kern w:val="2"/>
                <w:sz w:val="21"/>
                <w:szCs w:val="21"/>
              </w:rPr>
              <w:t>一</w:t>
            </w:r>
          </w:p>
        </w:tc>
        <w:tc>
          <w:tcPr>
            <w:tcW w:w="1913" w:type="dxa"/>
            <w:tcBorders>
              <w:tl2br w:val="nil"/>
              <w:tr2bl w:val="nil"/>
            </w:tcBorders>
            <w:noWrap w:val="0"/>
            <w:tcMar>
              <w:left w:w="0" w:type="dxa"/>
              <w:right w:w="0" w:type="dxa"/>
            </w:tcMar>
            <w:vAlign w:val="center"/>
          </w:tcPr>
          <w:p w14:paraId="40854878">
            <w:pPr>
              <w:pageBreakBefore w:val="0"/>
              <w:wordWrap/>
              <w:bidi w:val="0"/>
              <w:adjustRightInd/>
              <w:snapToGrid/>
              <w:spacing w:line="240" w:lineRule="auto"/>
              <w:ind w:firstLine="0" w:firstLineChars="0"/>
              <w:jc w:val="center"/>
              <w:textAlignment w:val="center"/>
              <w:rPr>
                <w:color w:val="auto"/>
                <w:sz w:val="21"/>
                <w:szCs w:val="21"/>
              </w:rPr>
            </w:pPr>
            <w:r>
              <w:rPr>
                <w:color w:val="auto"/>
                <w:sz w:val="21"/>
                <w:szCs w:val="21"/>
              </w:rPr>
              <w:t>二</w:t>
            </w:r>
          </w:p>
        </w:tc>
        <w:tc>
          <w:tcPr>
            <w:tcW w:w="1651" w:type="dxa"/>
            <w:tcBorders>
              <w:tl2br w:val="nil"/>
              <w:tr2bl w:val="nil"/>
            </w:tcBorders>
            <w:noWrap w:val="0"/>
            <w:tcMar>
              <w:left w:w="0" w:type="dxa"/>
              <w:right w:w="0" w:type="dxa"/>
            </w:tcMar>
            <w:vAlign w:val="center"/>
          </w:tcPr>
          <w:p w14:paraId="5881CD9B">
            <w:pPr>
              <w:pageBreakBefore w:val="0"/>
              <w:wordWrap/>
              <w:bidi w:val="0"/>
              <w:adjustRightInd/>
              <w:snapToGrid/>
              <w:spacing w:line="240" w:lineRule="auto"/>
              <w:ind w:firstLine="0" w:firstLineChars="0"/>
              <w:jc w:val="center"/>
              <w:textAlignment w:val="center"/>
              <w:rPr>
                <w:color w:val="auto"/>
                <w:sz w:val="21"/>
                <w:szCs w:val="21"/>
              </w:rPr>
            </w:pPr>
            <w:r>
              <w:rPr>
                <w:color w:val="auto"/>
                <w:sz w:val="21"/>
                <w:szCs w:val="21"/>
              </w:rPr>
              <w:t>三</w:t>
            </w:r>
          </w:p>
        </w:tc>
        <w:tc>
          <w:tcPr>
            <w:tcW w:w="1636" w:type="dxa"/>
            <w:tcBorders>
              <w:tl2br w:val="nil"/>
              <w:tr2bl w:val="nil"/>
            </w:tcBorders>
            <w:noWrap w:val="0"/>
            <w:tcMar>
              <w:left w:w="0" w:type="dxa"/>
              <w:right w:w="0" w:type="dxa"/>
            </w:tcMar>
            <w:vAlign w:val="center"/>
          </w:tcPr>
          <w:p w14:paraId="25D6CD1A">
            <w:pPr>
              <w:pageBreakBefore w:val="0"/>
              <w:wordWrap/>
              <w:bidi w:val="0"/>
              <w:adjustRightInd/>
              <w:snapToGrid/>
              <w:spacing w:line="240" w:lineRule="auto"/>
              <w:ind w:firstLine="0" w:firstLineChars="0"/>
              <w:jc w:val="center"/>
              <w:textAlignment w:val="center"/>
              <w:rPr>
                <w:color w:val="auto"/>
                <w:sz w:val="21"/>
                <w:szCs w:val="21"/>
              </w:rPr>
            </w:pPr>
            <w:r>
              <w:rPr>
                <w:b/>
                <w:bCs/>
                <w:color w:val="auto"/>
                <w:sz w:val="21"/>
                <w:szCs w:val="21"/>
              </w:rPr>
              <w:t>简单分析</w:t>
            </w:r>
            <w:r>
              <w:rPr>
                <w:color w:val="auto"/>
                <w:sz w:val="21"/>
                <w:szCs w:val="21"/>
                <w:vertAlign w:val="superscript"/>
              </w:rPr>
              <w:t>a</w:t>
            </w:r>
          </w:p>
        </w:tc>
      </w:tr>
      <w:tr w14:paraId="6E2022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8730" w:type="dxa"/>
            <w:gridSpan w:val="5"/>
            <w:tcBorders>
              <w:tl2br w:val="nil"/>
              <w:tr2bl w:val="nil"/>
            </w:tcBorders>
            <w:noWrap w:val="0"/>
            <w:tcMar>
              <w:left w:w="0" w:type="dxa"/>
              <w:right w:w="0" w:type="dxa"/>
            </w:tcMar>
            <w:vAlign w:val="center"/>
          </w:tcPr>
          <w:p w14:paraId="10F96AB0">
            <w:pPr>
              <w:pStyle w:val="6"/>
              <w:pageBreakBefore w:val="0"/>
              <w:wordWrap/>
              <w:autoSpaceDE/>
              <w:autoSpaceDN/>
              <w:bidi w:val="0"/>
              <w:adjustRightInd/>
              <w:snapToGrid/>
              <w:spacing w:line="240" w:lineRule="auto"/>
              <w:ind w:firstLine="0" w:firstLineChars="0"/>
              <w:jc w:val="both"/>
              <w:textAlignment w:val="center"/>
              <w:rPr>
                <w:color w:val="auto"/>
                <w:kern w:val="2"/>
                <w:sz w:val="21"/>
                <w:szCs w:val="21"/>
              </w:rPr>
            </w:pPr>
            <w:r>
              <w:rPr>
                <w:color w:val="auto"/>
                <w:kern w:val="2"/>
                <w:sz w:val="21"/>
                <w:szCs w:val="21"/>
                <w:vertAlign w:val="superscript"/>
              </w:rPr>
              <w:t>a</w:t>
            </w:r>
            <w:r>
              <w:rPr>
                <w:color w:val="auto"/>
                <w:kern w:val="2"/>
                <w:sz w:val="21"/>
                <w:szCs w:val="21"/>
              </w:rPr>
              <w:t>是相对于详细评价工作内容而言，在描述危险物质、环境影响</w:t>
            </w:r>
            <w:r>
              <w:rPr>
                <w:rFonts w:hint="eastAsia"/>
                <w:color w:val="auto"/>
                <w:kern w:val="2"/>
                <w:sz w:val="21"/>
                <w:szCs w:val="21"/>
                <w:lang w:eastAsia="zh-CN"/>
              </w:rPr>
              <w:t>途径</w:t>
            </w:r>
            <w:r>
              <w:rPr>
                <w:color w:val="auto"/>
                <w:kern w:val="2"/>
                <w:sz w:val="21"/>
                <w:szCs w:val="21"/>
              </w:rPr>
              <w:t>、环境危害后果、风险防范措施等方面给出定性的说明。见附录A。</w:t>
            </w:r>
          </w:p>
        </w:tc>
      </w:tr>
    </w:tbl>
    <w:p w14:paraId="4A5F5842">
      <w:pPr>
        <w:pStyle w:val="5"/>
        <w:pageBreakBefore w:val="0"/>
        <w:wordWrap/>
        <w:bidi w:val="0"/>
        <w:adjustRightInd/>
        <w:snapToGrid/>
        <w:spacing w:before="120" w:beforeLines="50" w:after="48"/>
        <w:ind w:left="0"/>
        <w:rPr>
          <w:rFonts w:eastAsia="宋体"/>
          <w:color w:val="auto"/>
        </w:rPr>
      </w:pPr>
      <w:r>
        <w:rPr>
          <w:rFonts w:hint="eastAsia" w:eastAsia="宋体"/>
          <w:color w:val="auto"/>
        </w:rPr>
        <w:t xml:space="preserve"> </w:t>
      </w:r>
      <w:r>
        <w:rPr>
          <w:rFonts w:eastAsia="宋体"/>
          <w:color w:val="auto"/>
        </w:rPr>
        <w:t>土壤环境评价等级</w:t>
      </w:r>
    </w:p>
    <w:p w14:paraId="1978FA69">
      <w:pPr>
        <w:pStyle w:val="23"/>
        <w:pageBreakBefore w:val="0"/>
        <w:wordWrap/>
        <w:bidi w:val="0"/>
        <w:adjustRightInd/>
        <w:snapToGrid/>
        <w:rPr>
          <w:rFonts w:hint="eastAsia"/>
          <w:color w:val="auto"/>
          <w:szCs w:val="32"/>
        </w:rPr>
      </w:pPr>
      <w:r>
        <w:rPr>
          <w:color w:val="auto"/>
          <w:szCs w:val="32"/>
        </w:rPr>
        <w:t>根据《环境影响评价技术导则 土壤环境（试行）》（HJ 964-2018）</w:t>
      </w:r>
      <w:r>
        <w:rPr>
          <w:rFonts w:hint="eastAsia"/>
          <w:color w:val="auto"/>
          <w:szCs w:val="32"/>
        </w:rPr>
        <w:t>，本项目土壤环境影响属于</w:t>
      </w:r>
      <w:r>
        <w:rPr>
          <w:color w:val="auto"/>
          <w:szCs w:val="32"/>
        </w:rPr>
        <w:t>附录A</w:t>
      </w:r>
      <w:r>
        <w:rPr>
          <w:rFonts w:hint="eastAsia"/>
          <w:color w:val="auto"/>
          <w:szCs w:val="32"/>
        </w:rPr>
        <w:t>中的</w:t>
      </w:r>
      <w:r>
        <w:rPr>
          <w:color w:val="auto"/>
          <w:szCs w:val="32"/>
        </w:rPr>
        <w:t>Ⅱ类</w:t>
      </w:r>
      <w:r>
        <w:rPr>
          <w:rFonts w:hint="eastAsia"/>
          <w:color w:val="auto"/>
          <w:szCs w:val="32"/>
        </w:rPr>
        <w:t>。</w:t>
      </w:r>
    </w:p>
    <w:tbl>
      <w:tblPr>
        <w:tblStyle w:val="52"/>
        <w:tblW w:w="0" w:type="auto"/>
        <w:tblInd w:w="0" w:type="dxa"/>
        <w:tblLayout w:type="autofit"/>
        <w:tblCellMar>
          <w:top w:w="0" w:type="dxa"/>
          <w:left w:w="108" w:type="dxa"/>
          <w:bottom w:w="0" w:type="dxa"/>
          <w:right w:w="108" w:type="dxa"/>
        </w:tblCellMar>
      </w:tblPr>
      <w:tblGrid>
        <w:gridCol w:w="8946"/>
      </w:tblGrid>
      <w:tr w14:paraId="15F68502">
        <w:tblPrEx>
          <w:tblCellMar>
            <w:top w:w="0" w:type="dxa"/>
            <w:left w:w="108" w:type="dxa"/>
            <w:bottom w:w="0" w:type="dxa"/>
            <w:right w:w="108" w:type="dxa"/>
          </w:tblCellMar>
        </w:tblPrEx>
        <w:tc>
          <w:tcPr>
            <w:tcW w:w="8946" w:type="dxa"/>
            <w:noWrap w:val="0"/>
            <w:vAlign w:val="top"/>
          </w:tcPr>
          <w:p w14:paraId="7D288082">
            <w:pPr>
              <w:pageBreakBefore w:val="0"/>
              <w:wordWrap/>
              <w:bidi w:val="0"/>
              <w:adjustRightInd/>
              <w:snapToGrid/>
              <w:ind w:firstLine="0" w:firstLineChars="0"/>
              <w:jc w:val="center"/>
              <w:rPr>
                <w:rFonts w:hint="eastAsia"/>
                <w:color w:val="auto"/>
              </w:rPr>
            </w:pPr>
            <w:r>
              <w:rPr>
                <w:color w:val="auto"/>
              </w:rPr>
              <w:drawing>
                <wp:inline distT="0" distB="0" distL="114300" distR="114300">
                  <wp:extent cx="5012690" cy="4438650"/>
                  <wp:effectExtent l="0" t="0" r="16510" b="0"/>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32"/>
                          <a:stretch>
                            <a:fillRect/>
                          </a:stretch>
                        </pic:blipFill>
                        <pic:spPr>
                          <a:xfrm>
                            <a:off x="0" y="0"/>
                            <a:ext cx="5012690" cy="4438650"/>
                          </a:xfrm>
                          <a:prstGeom prst="rect">
                            <a:avLst/>
                          </a:prstGeom>
                          <a:noFill/>
                          <a:ln>
                            <a:noFill/>
                          </a:ln>
                        </pic:spPr>
                      </pic:pic>
                    </a:graphicData>
                  </a:graphic>
                </wp:inline>
              </w:drawing>
            </w:r>
          </w:p>
        </w:tc>
      </w:tr>
    </w:tbl>
    <w:p w14:paraId="6A635276">
      <w:pPr>
        <w:pStyle w:val="19"/>
        <w:numPr>
          <w:ilvl w:val="0"/>
          <w:numId w:val="0"/>
        </w:numPr>
        <w:tabs>
          <w:tab w:val="clear" w:pos="0"/>
        </w:tabs>
        <w:bidi w:val="0"/>
        <w:ind w:leftChars="0"/>
        <w:jc w:val="center"/>
        <w:rPr>
          <w:color w:val="auto"/>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1.</w:t>
      </w:r>
      <w:r>
        <w:rPr>
          <w:rFonts w:hint="eastAsia"/>
          <w:color w:val="auto"/>
          <w:lang w:val="en-US" w:eastAsia="zh-CN"/>
        </w:rPr>
        <w:t>3</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1</w:t>
      </w:r>
      <w:r>
        <w:rPr>
          <w:color w:val="auto"/>
        </w:rPr>
        <w:fldChar w:fldCharType="end"/>
      </w:r>
      <w:r>
        <w:rPr>
          <w:rFonts w:hint="eastAsia"/>
          <w:color w:val="auto"/>
        </w:rPr>
        <w:t>土壤环境影响评价项目类别</w:t>
      </w:r>
    </w:p>
    <w:p w14:paraId="2E017162">
      <w:pPr>
        <w:pStyle w:val="23"/>
        <w:keepNext w:val="0"/>
        <w:keepLines w:val="0"/>
        <w:pageBreakBefore w:val="0"/>
        <w:widowControl w:val="0"/>
        <w:kinsoku/>
        <w:wordWrap/>
        <w:overflowPunct/>
        <w:topLinePunct w:val="0"/>
        <w:autoSpaceDE/>
        <w:autoSpaceDN/>
        <w:bidi w:val="0"/>
        <w:adjustRightInd/>
        <w:snapToGrid/>
        <w:spacing w:before="0" w:beforeLines="50"/>
        <w:textAlignment w:val="auto"/>
        <w:rPr>
          <w:color w:val="auto"/>
          <w:szCs w:val="32"/>
        </w:rPr>
      </w:pPr>
      <w:r>
        <w:rPr>
          <w:color w:val="auto"/>
          <w:szCs w:val="32"/>
        </w:rPr>
        <w:t>本项目</w:t>
      </w:r>
      <w:r>
        <w:rPr>
          <w:rFonts w:hint="eastAsia"/>
          <w:color w:val="auto"/>
          <w:szCs w:val="32"/>
        </w:rPr>
        <w:t>属于污染影响型项目，</w:t>
      </w:r>
      <w:r>
        <w:rPr>
          <w:color w:val="auto"/>
          <w:szCs w:val="32"/>
        </w:rPr>
        <w:t>位于</w:t>
      </w:r>
      <w:r>
        <w:rPr>
          <w:rFonts w:hint="eastAsia"/>
          <w:color w:val="auto"/>
          <w:lang w:eastAsia="zh-CN"/>
        </w:rPr>
        <w:t>四川省巴中市巴州区曾口镇寿星村13组</w:t>
      </w:r>
      <w:r>
        <w:rPr>
          <w:color w:val="auto"/>
          <w:szCs w:val="32"/>
        </w:rPr>
        <w:t>，周边</w:t>
      </w:r>
      <w:r>
        <w:rPr>
          <w:rFonts w:hint="eastAsia"/>
          <w:color w:val="auto"/>
          <w:szCs w:val="32"/>
          <w:lang w:val="en-US" w:eastAsia="zh-CN"/>
        </w:rPr>
        <w:t>200</w:t>
      </w:r>
      <w:r>
        <w:rPr>
          <w:color w:val="auto"/>
          <w:szCs w:val="32"/>
        </w:rPr>
        <w:t>m范围内</w:t>
      </w:r>
      <w:r>
        <w:rPr>
          <w:rFonts w:hint="eastAsia"/>
          <w:color w:val="auto"/>
          <w:szCs w:val="32"/>
          <w:lang w:val="en-US" w:eastAsia="zh-CN"/>
        </w:rPr>
        <w:t>涉及耕地和居民</w:t>
      </w:r>
      <w:r>
        <w:rPr>
          <w:color w:val="auto"/>
          <w:szCs w:val="32"/>
        </w:rPr>
        <w:t>，</w:t>
      </w:r>
      <w:r>
        <w:rPr>
          <w:rFonts w:hint="eastAsia"/>
          <w:color w:val="auto"/>
          <w:szCs w:val="32"/>
          <w:lang w:val="en-US" w:eastAsia="zh-CN"/>
        </w:rPr>
        <w:t>调查范围内有分散水井</w:t>
      </w:r>
      <w:r>
        <w:rPr>
          <w:rFonts w:hint="eastAsia"/>
          <w:color w:val="auto"/>
          <w:szCs w:val="32"/>
          <w:lang w:eastAsia="zh-CN"/>
        </w:rPr>
        <w:t>，</w:t>
      </w:r>
      <w:r>
        <w:rPr>
          <w:rFonts w:hint="eastAsia"/>
          <w:color w:val="auto"/>
          <w:szCs w:val="32"/>
          <w:lang w:val="en-US" w:eastAsia="zh-CN"/>
        </w:rPr>
        <w:t>无</w:t>
      </w:r>
      <w:r>
        <w:rPr>
          <w:color w:val="auto"/>
          <w:szCs w:val="32"/>
        </w:rPr>
        <w:t>医院</w:t>
      </w:r>
      <w:r>
        <w:rPr>
          <w:rFonts w:hint="eastAsia"/>
          <w:color w:val="auto"/>
          <w:szCs w:val="32"/>
          <w:lang w:val="en-US" w:eastAsia="zh-CN"/>
        </w:rPr>
        <w:t>和</w:t>
      </w:r>
      <w:r>
        <w:rPr>
          <w:color w:val="auto"/>
          <w:szCs w:val="32"/>
        </w:rPr>
        <w:t>学校等，</w:t>
      </w:r>
      <w:r>
        <w:rPr>
          <w:rFonts w:hint="eastAsia"/>
          <w:color w:val="auto"/>
          <w:szCs w:val="32"/>
        </w:rPr>
        <w:t>因此，确定区域内土壤敏感程度为</w:t>
      </w:r>
      <w:r>
        <w:rPr>
          <w:rFonts w:hint="eastAsia"/>
          <w:color w:val="auto"/>
          <w:szCs w:val="32"/>
          <w:lang w:eastAsia="zh-CN"/>
        </w:rPr>
        <w:t>“</w:t>
      </w:r>
      <w:r>
        <w:rPr>
          <w:rFonts w:hint="eastAsia"/>
          <w:color w:val="auto"/>
          <w:szCs w:val="32"/>
        </w:rPr>
        <w:t>敏感</w:t>
      </w:r>
      <w:r>
        <w:rPr>
          <w:rFonts w:hint="eastAsia"/>
          <w:color w:val="auto"/>
          <w:szCs w:val="32"/>
          <w:lang w:eastAsia="zh-CN"/>
        </w:rPr>
        <w:t>”</w:t>
      </w:r>
      <w:r>
        <w:rPr>
          <w:rFonts w:hint="eastAsia"/>
          <w:color w:val="auto"/>
          <w:szCs w:val="32"/>
        </w:rPr>
        <w:t>。工程</w:t>
      </w:r>
      <w:r>
        <w:rPr>
          <w:color w:val="auto"/>
          <w:szCs w:val="32"/>
        </w:rPr>
        <w:t>占地面积（</w:t>
      </w:r>
      <w:r>
        <w:rPr>
          <w:rFonts w:hint="eastAsia"/>
          <w:color w:val="auto"/>
          <w:szCs w:val="32"/>
          <w:lang w:eastAsia="zh-CN"/>
        </w:rPr>
        <w:t>2</w:t>
      </w:r>
      <w:r>
        <w:rPr>
          <w:rFonts w:hint="eastAsia"/>
          <w:color w:val="auto"/>
          <w:szCs w:val="32"/>
          <w:lang w:val="en-US" w:eastAsia="zh-CN"/>
        </w:rPr>
        <w:t>.</w:t>
      </w:r>
      <w:r>
        <w:rPr>
          <w:rFonts w:hint="eastAsia"/>
          <w:color w:val="auto"/>
          <w:szCs w:val="32"/>
          <w:lang w:eastAsia="zh-CN"/>
        </w:rPr>
        <w:t>28hm²</w:t>
      </w:r>
      <w:r>
        <w:rPr>
          <w:color w:val="auto"/>
          <w:szCs w:val="32"/>
        </w:rPr>
        <w:t>）小于5h</w:t>
      </w:r>
      <w:r>
        <w:rPr>
          <w:rFonts w:hint="eastAsia"/>
          <w:color w:val="auto"/>
          <w:szCs w:val="32"/>
          <w:lang w:eastAsia="zh-CN"/>
        </w:rPr>
        <w:t>m²</w:t>
      </w:r>
      <w:r>
        <w:rPr>
          <w:color w:val="auto"/>
          <w:szCs w:val="32"/>
        </w:rPr>
        <w:t>，为小型规模，项目评价等级判定见下表：</w:t>
      </w:r>
    </w:p>
    <w:p w14:paraId="781B2D31">
      <w:pPr>
        <w:pStyle w:val="19"/>
        <w:numPr>
          <w:ilvl w:val="0"/>
          <w:numId w:val="9"/>
        </w:numPr>
        <w:tabs>
          <w:tab w:val="clear" w:pos="0"/>
        </w:tabs>
        <w:bidi w:val="0"/>
        <w:ind w:left="0" w:leftChars="0" w:firstLine="0" w:firstLineChars="0"/>
        <w:rPr>
          <w:color w:val="auto"/>
        </w:rPr>
      </w:pPr>
      <w:r>
        <w:rPr>
          <w:color w:val="auto"/>
        </w:rPr>
        <w:t>污染影响型评价工作等级划分表</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08"/>
        <w:gridCol w:w="814"/>
        <w:gridCol w:w="816"/>
        <w:gridCol w:w="817"/>
        <w:gridCol w:w="816"/>
        <w:gridCol w:w="814"/>
        <w:gridCol w:w="819"/>
        <w:gridCol w:w="814"/>
        <w:gridCol w:w="824"/>
        <w:gridCol w:w="900"/>
      </w:tblGrid>
      <w:tr w14:paraId="4C6B3D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4" w:type="pct"/>
            <w:vMerge w:val="restart"/>
            <w:tcBorders>
              <w:tl2br w:val="nil"/>
              <w:tr2bl w:val="nil"/>
            </w:tcBorders>
            <w:noWrap w:val="0"/>
            <w:vAlign w:val="center"/>
          </w:tcPr>
          <w:p w14:paraId="5A32DC7D">
            <w:pPr>
              <w:pStyle w:val="23"/>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占地规模/评价等级/敏感程度</w:t>
            </w:r>
          </w:p>
        </w:tc>
        <w:tc>
          <w:tcPr>
            <w:tcW w:w="1368" w:type="pct"/>
            <w:gridSpan w:val="3"/>
            <w:tcBorders>
              <w:tl2br w:val="nil"/>
              <w:tr2bl w:val="nil"/>
            </w:tcBorders>
            <w:noWrap w:val="0"/>
            <w:vAlign w:val="center"/>
          </w:tcPr>
          <w:p w14:paraId="07D998E6">
            <w:pPr>
              <w:pStyle w:val="23"/>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I类</w:t>
            </w:r>
          </w:p>
        </w:tc>
        <w:tc>
          <w:tcPr>
            <w:tcW w:w="1369" w:type="pct"/>
            <w:gridSpan w:val="3"/>
            <w:tcBorders>
              <w:tl2br w:val="nil"/>
              <w:tr2bl w:val="nil"/>
            </w:tcBorders>
            <w:noWrap w:val="0"/>
            <w:vAlign w:val="center"/>
          </w:tcPr>
          <w:p w14:paraId="584C80A9">
            <w:pPr>
              <w:pStyle w:val="23"/>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II类</w:t>
            </w:r>
          </w:p>
        </w:tc>
        <w:tc>
          <w:tcPr>
            <w:tcW w:w="1417" w:type="pct"/>
            <w:gridSpan w:val="3"/>
            <w:tcBorders>
              <w:tl2br w:val="nil"/>
              <w:tr2bl w:val="nil"/>
            </w:tcBorders>
            <w:noWrap w:val="0"/>
            <w:vAlign w:val="center"/>
          </w:tcPr>
          <w:p w14:paraId="230A0A55">
            <w:pPr>
              <w:pStyle w:val="23"/>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III类</w:t>
            </w:r>
          </w:p>
        </w:tc>
      </w:tr>
      <w:tr w14:paraId="07B0FB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4" w:type="pct"/>
            <w:vMerge w:val="continue"/>
            <w:tcBorders>
              <w:tl2br w:val="nil"/>
              <w:tr2bl w:val="nil"/>
            </w:tcBorders>
            <w:noWrap w:val="0"/>
            <w:vAlign w:val="center"/>
          </w:tcPr>
          <w:p w14:paraId="6FA2C7BA">
            <w:pPr>
              <w:pStyle w:val="23"/>
              <w:pageBreakBefore w:val="0"/>
              <w:wordWrap/>
              <w:bidi w:val="0"/>
              <w:adjustRightInd/>
              <w:snapToGrid/>
              <w:spacing w:line="240" w:lineRule="auto"/>
              <w:ind w:firstLine="0" w:firstLineChars="0"/>
              <w:jc w:val="center"/>
              <w:rPr>
                <w:b/>
                <w:bCs/>
                <w:color w:val="auto"/>
                <w:sz w:val="21"/>
                <w:szCs w:val="21"/>
              </w:rPr>
            </w:pPr>
          </w:p>
        </w:tc>
        <w:tc>
          <w:tcPr>
            <w:tcW w:w="455" w:type="pct"/>
            <w:tcBorders>
              <w:tl2br w:val="nil"/>
              <w:tr2bl w:val="nil"/>
            </w:tcBorders>
            <w:noWrap w:val="0"/>
            <w:vAlign w:val="center"/>
          </w:tcPr>
          <w:p w14:paraId="3579DF23">
            <w:pPr>
              <w:pStyle w:val="23"/>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大</w:t>
            </w:r>
          </w:p>
        </w:tc>
        <w:tc>
          <w:tcPr>
            <w:tcW w:w="456" w:type="pct"/>
            <w:tcBorders>
              <w:tl2br w:val="nil"/>
              <w:tr2bl w:val="nil"/>
            </w:tcBorders>
            <w:noWrap w:val="0"/>
            <w:vAlign w:val="center"/>
          </w:tcPr>
          <w:p w14:paraId="49CDBD9A">
            <w:pPr>
              <w:pStyle w:val="23"/>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中</w:t>
            </w:r>
          </w:p>
        </w:tc>
        <w:tc>
          <w:tcPr>
            <w:tcW w:w="456" w:type="pct"/>
            <w:tcBorders>
              <w:tl2br w:val="nil"/>
              <w:tr2bl w:val="nil"/>
            </w:tcBorders>
            <w:noWrap w:val="0"/>
            <w:vAlign w:val="center"/>
          </w:tcPr>
          <w:p w14:paraId="5853E713">
            <w:pPr>
              <w:pStyle w:val="23"/>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小</w:t>
            </w:r>
          </w:p>
        </w:tc>
        <w:tc>
          <w:tcPr>
            <w:tcW w:w="456" w:type="pct"/>
            <w:tcBorders>
              <w:tl2br w:val="nil"/>
              <w:tr2bl w:val="nil"/>
            </w:tcBorders>
            <w:noWrap w:val="0"/>
            <w:vAlign w:val="center"/>
          </w:tcPr>
          <w:p w14:paraId="336CF72C">
            <w:pPr>
              <w:pStyle w:val="23"/>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大</w:t>
            </w:r>
          </w:p>
        </w:tc>
        <w:tc>
          <w:tcPr>
            <w:tcW w:w="455" w:type="pct"/>
            <w:tcBorders>
              <w:tl2br w:val="nil"/>
              <w:tr2bl w:val="nil"/>
            </w:tcBorders>
            <w:noWrap w:val="0"/>
            <w:vAlign w:val="center"/>
          </w:tcPr>
          <w:p w14:paraId="2520EBB4">
            <w:pPr>
              <w:pStyle w:val="23"/>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中</w:t>
            </w:r>
          </w:p>
        </w:tc>
        <w:tc>
          <w:tcPr>
            <w:tcW w:w="457" w:type="pct"/>
            <w:tcBorders>
              <w:tl2br w:val="nil"/>
              <w:tr2bl w:val="nil"/>
            </w:tcBorders>
            <w:noWrap w:val="0"/>
            <w:vAlign w:val="center"/>
          </w:tcPr>
          <w:p w14:paraId="22676F8F">
            <w:pPr>
              <w:pStyle w:val="23"/>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小</w:t>
            </w:r>
          </w:p>
        </w:tc>
        <w:tc>
          <w:tcPr>
            <w:tcW w:w="455" w:type="pct"/>
            <w:tcBorders>
              <w:tl2br w:val="nil"/>
              <w:tr2bl w:val="nil"/>
            </w:tcBorders>
            <w:noWrap w:val="0"/>
            <w:vAlign w:val="center"/>
          </w:tcPr>
          <w:p w14:paraId="3CC4C9D8">
            <w:pPr>
              <w:pStyle w:val="23"/>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大</w:t>
            </w:r>
          </w:p>
        </w:tc>
        <w:tc>
          <w:tcPr>
            <w:tcW w:w="461" w:type="pct"/>
            <w:tcBorders>
              <w:tl2br w:val="nil"/>
              <w:tr2bl w:val="nil"/>
            </w:tcBorders>
            <w:noWrap w:val="0"/>
            <w:vAlign w:val="center"/>
          </w:tcPr>
          <w:p w14:paraId="373A7736">
            <w:pPr>
              <w:pStyle w:val="23"/>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中</w:t>
            </w:r>
          </w:p>
        </w:tc>
        <w:tc>
          <w:tcPr>
            <w:tcW w:w="500" w:type="pct"/>
            <w:tcBorders>
              <w:tl2br w:val="nil"/>
              <w:tr2bl w:val="nil"/>
            </w:tcBorders>
            <w:noWrap w:val="0"/>
            <w:vAlign w:val="center"/>
          </w:tcPr>
          <w:p w14:paraId="38B31972">
            <w:pPr>
              <w:pStyle w:val="23"/>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小</w:t>
            </w:r>
          </w:p>
        </w:tc>
      </w:tr>
      <w:tr w14:paraId="556E94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4" w:type="pct"/>
            <w:tcBorders>
              <w:tl2br w:val="nil"/>
              <w:tr2bl w:val="nil"/>
            </w:tcBorders>
            <w:noWrap w:val="0"/>
            <w:vAlign w:val="center"/>
          </w:tcPr>
          <w:p w14:paraId="72EAB48E">
            <w:pPr>
              <w:pStyle w:val="23"/>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敏感</w:t>
            </w:r>
          </w:p>
        </w:tc>
        <w:tc>
          <w:tcPr>
            <w:tcW w:w="455" w:type="pct"/>
            <w:tcBorders>
              <w:tl2br w:val="nil"/>
              <w:tr2bl w:val="nil"/>
            </w:tcBorders>
            <w:noWrap w:val="0"/>
            <w:vAlign w:val="center"/>
          </w:tcPr>
          <w:p w14:paraId="138C217C">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一级</w:t>
            </w:r>
          </w:p>
        </w:tc>
        <w:tc>
          <w:tcPr>
            <w:tcW w:w="456" w:type="pct"/>
            <w:tcBorders>
              <w:tl2br w:val="nil"/>
              <w:tr2bl w:val="nil"/>
            </w:tcBorders>
            <w:noWrap w:val="0"/>
            <w:vAlign w:val="center"/>
          </w:tcPr>
          <w:p w14:paraId="59A17F5D">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一级</w:t>
            </w:r>
          </w:p>
        </w:tc>
        <w:tc>
          <w:tcPr>
            <w:tcW w:w="456" w:type="pct"/>
            <w:tcBorders>
              <w:tl2br w:val="nil"/>
              <w:tr2bl w:val="nil"/>
            </w:tcBorders>
            <w:noWrap w:val="0"/>
            <w:vAlign w:val="center"/>
          </w:tcPr>
          <w:p w14:paraId="07D7E1A6">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一级</w:t>
            </w:r>
          </w:p>
        </w:tc>
        <w:tc>
          <w:tcPr>
            <w:tcW w:w="456" w:type="pct"/>
            <w:tcBorders>
              <w:tl2br w:val="nil"/>
              <w:tr2bl w:val="nil"/>
            </w:tcBorders>
            <w:noWrap w:val="0"/>
            <w:vAlign w:val="center"/>
          </w:tcPr>
          <w:p w14:paraId="55A50B4B">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二级</w:t>
            </w:r>
          </w:p>
        </w:tc>
        <w:tc>
          <w:tcPr>
            <w:tcW w:w="455" w:type="pct"/>
            <w:tcBorders>
              <w:tl2br w:val="nil"/>
              <w:tr2bl w:val="nil"/>
            </w:tcBorders>
            <w:noWrap w:val="0"/>
            <w:vAlign w:val="center"/>
          </w:tcPr>
          <w:p w14:paraId="78D02A6E">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二级</w:t>
            </w:r>
          </w:p>
        </w:tc>
        <w:tc>
          <w:tcPr>
            <w:tcW w:w="457" w:type="pct"/>
            <w:tcBorders>
              <w:tl2br w:val="nil"/>
              <w:tr2bl w:val="nil"/>
            </w:tcBorders>
            <w:noWrap w:val="0"/>
            <w:vAlign w:val="center"/>
          </w:tcPr>
          <w:p w14:paraId="6A769D3E">
            <w:pPr>
              <w:pStyle w:val="23"/>
              <w:pageBreakBefore w:val="0"/>
              <w:wordWrap/>
              <w:bidi w:val="0"/>
              <w:adjustRightInd/>
              <w:snapToGrid/>
              <w:spacing w:line="240" w:lineRule="auto"/>
              <w:ind w:firstLine="0" w:firstLineChars="0"/>
              <w:jc w:val="center"/>
              <w:rPr>
                <w:color w:val="auto"/>
                <w:sz w:val="21"/>
                <w:szCs w:val="21"/>
              </w:rPr>
            </w:pPr>
            <w:r>
              <w:rPr>
                <w:b/>
                <w:bCs/>
                <w:color w:val="auto"/>
                <w:sz w:val="21"/>
                <w:szCs w:val="21"/>
              </w:rPr>
              <w:t>二级</w:t>
            </w:r>
          </w:p>
        </w:tc>
        <w:tc>
          <w:tcPr>
            <w:tcW w:w="455" w:type="pct"/>
            <w:tcBorders>
              <w:tl2br w:val="nil"/>
              <w:tr2bl w:val="nil"/>
            </w:tcBorders>
            <w:noWrap w:val="0"/>
            <w:vAlign w:val="center"/>
          </w:tcPr>
          <w:p w14:paraId="2C50E71F">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三级</w:t>
            </w:r>
          </w:p>
        </w:tc>
        <w:tc>
          <w:tcPr>
            <w:tcW w:w="461" w:type="pct"/>
            <w:tcBorders>
              <w:tl2br w:val="nil"/>
              <w:tr2bl w:val="nil"/>
            </w:tcBorders>
            <w:noWrap w:val="0"/>
            <w:vAlign w:val="center"/>
          </w:tcPr>
          <w:p w14:paraId="10D22777">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三级</w:t>
            </w:r>
          </w:p>
        </w:tc>
        <w:tc>
          <w:tcPr>
            <w:tcW w:w="500" w:type="pct"/>
            <w:tcBorders>
              <w:tl2br w:val="nil"/>
              <w:tr2bl w:val="nil"/>
            </w:tcBorders>
            <w:noWrap w:val="0"/>
            <w:vAlign w:val="center"/>
          </w:tcPr>
          <w:p w14:paraId="331787EC">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三级</w:t>
            </w:r>
          </w:p>
        </w:tc>
      </w:tr>
      <w:tr w14:paraId="2BE0BD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4" w:type="pct"/>
            <w:tcBorders>
              <w:tl2br w:val="nil"/>
              <w:tr2bl w:val="nil"/>
            </w:tcBorders>
            <w:noWrap w:val="0"/>
            <w:vAlign w:val="center"/>
          </w:tcPr>
          <w:p w14:paraId="4B16431D">
            <w:pPr>
              <w:pStyle w:val="23"/>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较敏感</w:t>
            </w:r>
          </w:p>
        </w:tc>
        <w:tc>
          <w:tcPr>
            <w:tcW w:w="455" w:type="pct"/>
            <w:tcBorders>
              <w:tl2br w:val="nil"/>
              <w:tr2bl w:val="nil"/>
            </w:tcBorders>
            <w:noWrap w:val="0"/>
            <w:vAlign w:val="center"/>
          </w:tcPr>
          <w:p w14:paraId="03A59630">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一级</w:t>
            </w:r>
          </w:p>
        </w:tc>
        <w:tc>
          <w:tcPr>
            <w:tcW w:w="456" w:type="pct"/>
            <w:tcBorders>
              <w:tl2br w:val="nil"/>
              <w:tr2bl w:val="nil"/>
            </w:tcBorders>
            <w:noWrap w:val="0"/>
            <w:vAlign w:val="center"/>
          </w:tcPr>
          <w:p w14:paraId="530FD9A0">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一级</w:t>
            </w:r>
          </w:p>
        </w:tc>
        <w:tc>
          <w:tcPr>
            <w:tcW w:w="456" w:type="pct"/>
            <w:tcBorders>
              <w:tl2br w:val="nil"/>
              <w:tr2bl w:val="nil"/>
            </w:tcBorders>
            <w:noWrap w:val="0"/>
            <w:vAlign w:val="center"/>
          </w:tcPr>
          <w:p w14:paraId="61DA0695">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二级</w:t>
            </w:r>
          </w:p>
        </w:tc>
        <w:tc>
          <w:tcPr>
            <w:tcW w:w="456" w:type="pct"/>
            <w:tcBorders>
              <w:tl2br w:val="nil"/>
              <w:tr2bl w:val="nil"/>
            </w:tcBorders>
            <w:noWrap w:val="0"/>
            <w:vAlign w:val="center"/>
          </w:tcPr>
          <w:p w14:paraId="73C7E58C">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二级</w:t>
            </w:r>
          </w:p>
        </w:tc>
        <w:tc>
          <w:tcPr>
            <w:tcW w:w="455" w:type="pct"/>
            <w:tcBorders>
              <w:tl2br w:val="nil"/>
              <w:tr2bl w:val="nil"/>
            </w:tcBorders>
            <w:noWrap w:val="0"/>
            <w:vAlign w:val="center"/>
          </w:tcPr>
          <w:p w14:paraId="5C097031">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二级</w:t>
            </w:r>
          </w:p>
        </w:tc>
        <w:tc>
          <w:tcPr>
            <w:tcW w:w="457" w:type="pct"/>
            <w:tcBorders>
              <w:tl2br w:val="nil"/>
              <w:tr2bl w:val="nil"/>
            </w:tcBorders>
            <w:noWrap w:val="0"/>
            <w:vAlign w:val="center"/>
          </w:tcPr>
          <w:p w14:paraId="4B8A875A">
            <w:pPr>
              <w:pStyle w:val="23"/>
              <w:pageBreakBefore w:val="0"/>
              <w:wordWrap/>
              <w:bidi w:val="0"/>
              <w:adjustRightInd/>
              <w:snapToGrid/>
              <w:spacing w:line="240" w:lineRule="auto"/>
              <w:ind w:firstLine="0" w:firstLineChars="0"/>
              <w:jc w:val="center"/>
              <w:rPr>
                <w:color w:val="auto"/>
                <w:sz w:val="21"/>
                <w:szCs w:val="21"/>
              </w:rPr>
            </w:pPr>
            <w:r>
              <w:rPr>
                <w:b w:val="0"/>
                <w:bCs w:val="0"/>
                <w:color w:val="auto"/>
                <w:sz w:val="21"/>
                <w:szCs w:val="21"/>
              </w:rPr>
              <w:t>三级</w:t>
            </w:r>
          </w:p>
        </w:tc>
        <w:tc>
          <w:tcPr>
            <w:tcW w:w="455" w:type="pct"/>
            <w:tcBorders>
              <w:tl2br w:val="nil"/>
              <w:tr2bl w:val="nil"/>
            </w:tcBorders>
            <w:noWrap w:val="0"/>
            <w:vAlign w:val="center"/>
          </w:tcPr>
          <w:p w14:paraId="76936D18">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三级</w:t>
            </w:r>
          </w:p>
        </w:tc>
        <w:tc>
          <w:tcPr>
            <w:tcW w:w="461" w:type="pct"/>
            <w:tcBorders>
              <w:tl2br w:val="nil"/>
              <w:tr2bl w:val="nil"/>
            </w:tcBorders>
            <w:noWrap w:val="0"/>
            <w:vAlign w:val="center"/>
          </w:tcPr>
          <w:p w14:paraId="0C092CA1">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三级</w:t>
            </w:r>
          </w:p>
        </w:tc>
        <w:tc>
          <w:tcPr>
            <w:tcW w:w="500" w:type="pct"/>
            <w:tcBorders>
              <w:tl2br w:val="nil"/>
              <w:tr2bl w:val="nil"/>
            </w:tcBorders>
            <w:noWrap w:val="0"/>
            <w:vAlign w:val="center"/>
          </w:tcPr>
          <w:p w14:paraId="4AD5F2A1">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r>
      <w:tr w14:paraId="05A1B3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4" w:type="pct"/>
            <w:tcBorders>
              <w:tl2br w:val="nil"/>
              <w:tr2bl w:val="nil"/>
            </w:tcBorders>
            <w:noWrap w:val="0"/>
            <w:vAlign w:val="center"/>
          </w:tcPr>
          <w:p w14:paraId="1768FFA1">
            <w:pPr>
              <w:pStyle w:val="23"/>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不敏感</w:t>
            </w:r>
          </w:p>
        </w:tc>
        <w:tc>
          <w:tcPr>
            <w:tcW w:w="455" w:type="pct"/>
            <w:tcBorders>
              <w:tl2br w:val="nil"/>
              <w:tr2bl w:val="nil"/>
            </w:tcBorders>
            <w:noWrap w:val="0"/>
            <w:vAlign w:val="center"/>
          </w:tcPr>
          <w:p w14:paraId="209320E0">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一级</w:t>
            </w:r>
          </w:p>
        </w:tc>
        <w:tc>
          <w:tcPr>
            <w:tcW w:w="456" w:type="pct"/>
            <w:tcBorders>
              <w:tl2br w:val="nil"/>
              <w:tr2bl w:val="nil"/>
            </w:tcBorders>
            <w:noWrap w:val="0"/>
            <w:vAlign w:val="center"/>
          </w:tcPr>
          <w:p w14:paraId="31F699F4">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二级</w:t>
            </w:r>
          </w:p>
        </w:tc>
        <w:tc>
          <w:tcPr>
            <w:tcW w:w="456" w:type="pct"/>
            <w:tcBorders>
              <w:tl2br w:val="nil"/>
              <w:tr2bl w:val="nil"/>
            </w:tcBorders>
            <w:noWrap w:val="0"/>
            <w:vAlign w:val="center"/>
          </w:tcPr>
          <w:p w14:paraId="777A9A8B">
            <w:pPr>
              <w:pStyle w:val="23"/>
              <w:pageBreakBefore w:val="0"/>
              <w:wordWrap/>
              <w:bidi w:val="0"/>
              <w:adjustRightInd/>
              <w:snapToGrid/>
              <w:spacing w:line="240" w:lineRule="auto"/>
              <w:ind w:firstLine="0" w:firstLineChars="0"/>
              <w:jc w:val="center"/>
              <w:rPr>
                <w:b/>
                <w:color w:val="auto"/>
                <w:sz w:val="21"/>
                <w:szCs w:val="21"/>
              </w:rPr>
            </w:pPr>
            <w:r>
              <w:rPr>
                <w:bCs/>
                <w:color w:val="auto"/>
                <w:sz w:val="21"/>
                <w:szCs w:val="21"/>
              </w:rPr>
              <w:t>二级</w:t>
            </w:r>
          </w:p>
        </w:tc>
        <w:tc>
          <w:tcPr>
            <w:tcW w:w="456" w:type="pct"/>
            <w:tcBorders>
              <w:tl2br w:val="nil"/>
              <w:tr2bl w:val="nil"/>
            </w:tcBorders>
            <w:noWrap w:val="0"/>
            <w:vAlign w:val="center"/>
          </w:tcPr>
          <w:p w14:paraId="3D2CA29C">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二级</w:t>
            </w:r>
          </w:p>
        </w:tc>
        <w:tc>
          <w:tcPr>
            <w:tcW w:w="455" w:type="pct"/>
            <w:tcBorders>
              <w:tl2br w:val="nil"/>
              <w:tr2bl w:val="nil"/>
            </w:tcBorders>
            <w:noWrap w:val="0"/>
            <w:vAlign w:val="center"/>
          </w:tcPr>
          <w:p w14:paraId="47F39B1F">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三级</w:t>
            </w:r>
          </w:p>
        </w:tc>
        <w:tc>
          <w:tcPr>
            <w:tcW w:w="457" w:type="pct"/>
            <w:tcBorders>
              <w:tl2br w:val="nil"/>
              <w:tr2bl w:val="nil"/>
            </w:tcBorders>
            <w:noWrap w:val="0"/>
            <w:vAlign w:val="center"/>
          </w:tcPr>
          <w:p w14:paraId="0B853D9F">
            <w:pPr>
              <w:pStyle w:val="23"/>
              <w:pageBreakBefore w:val="0"/>
              <w:wordWrap/>
              <w:bidi w:val="0"/>
              <w:adjustRightInd/>
              <w:snapToGrid/>
              <w:spacing w:line="240" w:lineRule="auto"/>
              <w:ind w:firstLine="0" w:firstLineChars="0"/>
              <w:jc w:val="center"/>
              <w:rPr>
                <w:color w:val="auto"/>
                <w:sz w:val="21"/>
                <w:szCs w:val="21"/>
              </w:rPr>
            </w:pPr>
            <w:r>
              <w:rPr>
                <w:b w:val="0"/>
                <w:bCs/>
                <w:color w:val="auto"/>
                <w:sz w:val="21"/>
                <w:szCs w:val="21"/>
              </w:rPr>
              <w:t>三级</w:t>
            </w:r>
          </w:p>
        </w:tc>
        <w:tc>
          <w:tcPr>
            <w:tcW w:w="455" w:type="pct"/>
            <w:tcBorders>
              <w:tl2br w:val="nil"/>
              <w:tr2bl w:val="nil"/>
            </w:tcBorders>
            <w:noWrap w:val="0"/>
            <w:vAlign w:val="center"/>
          </w:tcPr>
          <w:p w14:paraId="0E442750">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三级</w:t>
            </w:r>
          </w:p>
        </w:tc>
        <w:tc>
          <w:tcPr>
            <w:tcW w:w="461" w:type="pct"/>
            <w:tcBorders>
              <w:tl2br w:val="nil"/>
              <w:tr2bl w:val="nil"/>
            </w:tcBorders>
            <w:noWrap w:val="0"/>
            <w:vAlign w:val="center"/>
          </w:tcPr>
          <w:p w14:paraId="5E6FCF33">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500" w:type="pct"/>
            <w:tcBorders>
              <w:tl2br w:val="nil"/>
              <w:tr2bl w:val="nil"/>
            </w:tcBorders>
            <w:noWrap w:val="0"/>
            <w:vAlign w:val="center"/>
          </w:tcPr>
          <w:p w14:paraId="21220CA2">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r>
      <w:tr w14:paraId="67C5D0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10"/>
            <w:tcBorders>
              <w:tl2br w:val="nil"/>
              <w:tr2bl w:val="nil"/>
            </w:tcBorders>
            <w:noWrap w:val="0"/>
            <w:vAlign w:val="center"/>
          </w:tcPr>
          <w:p w14:paraId="67E5F275">
            <w:pPr>
              <w:pStyle w:val="23"/>
              <w:pageBreakBefore w:val="0"/>
              <w:wordWrap/>
              <w:bidi w:val="0"/>
              <w:adjustRightInd/>
              <w:snapToGrid/>
              <w:spacing w:line="240" w:lineRule="auto"/>
              <w:ind w:firstLine="0" w:firstLineChars="0"/>
              <w:jc w:val="center"/>
              <w:rPr>
                <w:color w:val="auto"/>
                <w:sz w:val="21"/>
                <w:szCs w:val="21"/>
              </w:rPr>
            </w:pPr>
            <w:r>
              <w:rPr>
                <w:color w:val="auto"/>
                <w:sz w:val="21"/>
                <w:szCs w:val="21"/>
              </w:rPr>
              <w:t>注：</w:t>
            </w:r>
            <w:r>
              <w:rPr>
                <w:rFonts w:hint="eastAsia"/>
                <w:color w:val="auto"/>
                <w:sz w:val="21"/>
                <w:szCs w:val="21"/>
                <w:lang w:eastAsia="zh-CN"/>
              </w:rPr>
              <w:t>“</w:t>
            </w:r>
            <w:r>
              <w:rPr>
                <w:color w:val="auto"/>
                <w:sz w:val="21"/>
                <w:szCs w:val="21"/>
              </w:rPr>
              <w:t>/</w:t>
            </w:r>
            <w:r>
              <w:rPr>
                <w:rFonts w:hint="eastAsia"/>
                <w:color w:val="auto"/>
                <w:sz w:val="21"/>
                <w:szCs w:val="21"/>
                <w:lang w:eastAsia="zh-CN"/>
              </w:rPr>
              <w:t>”</w:t>
            </w:r>
            <w:r>
              <w:rPr>
                <w:color w:val="auto"/>
                <w:sz w:val="21"/>
                <w:szCs w:val="21"/>
              </w:rPr>
              <w:t>表示可不开展土壤环境影响评价工作。</w:t>
            </w:r>
          </w:p>
        </w:tc>
      </w:tr>
    </w:tbl>
    <w:p w14:paraId="49706A6E">
      <w:pPr>
        <w:keepNext w:val="0"/>
        <w:keepLines w:val="0"/>
        <w:pageBreakBefore w:val="0"/>
        <w:widowControl w:val="0"/>
        <w:kinsoku/>
        <w:wordWrap/>
        <w:overflowPunct/>
        <w:topLinePunct w:val="0"/>
        <w:autoSpaceDE/>
        <w:autoSpaceDN/>
        <w:bidi w:val="0"/>
        <w:adjustRightInd/>
        <w:snapToGrid/>
        <w:spacing w:before="0" w:beforeLines="50"/>
        <w:textAlignment w:val="auto"/>
        <w:rPr>
          <w:color w:val="auto"/>
        </w:rPr>
      </w:pPr>
      <w:r>
        <w:rPr>
          <w:color w:val="auto"/>
        </w:rPr>
        <w:t>根据上表判定，本项目土壤环境影响评价等级为</w:t>
      </w:r>
      <w:r>
        <w:rPr>
          <w:rFonts w:hint="eastAsia"/>
          <w:color w:val="auto"/>
          <w:lang w:val="en-US" w:eastAsia="zh-CN"/>
        </w:rPr>
        <w:t>二</w:t>
      </w:r>
      <w:r>
        <w:rPr>
          <w:color w:val="auto"/>
        </w:rPr>
        <w:t>级。</w:t>
      </w:r>
    </w:p>
    <w:p w14:paraId="6A39F0DA">
      <w:pPr>
        <w:pStyle w:val="4"/>
        <w:pageBreakBefore w:val="0"/>
        <w:wordWrap/>
        <w:bidi w:val="0"/>
        <w:adjustRightInd/>
        <w:snapToGrid/>
        <w:rPr>
          <w:rFonts w:ascii="Times New Roman" w:hAnsi="Times New Roman" w:eastAsia="宋体"/>
          <w:color w:val="auto"/>
        </w:rPr>
      </w:pPr>
      <w:bookmarkStart w:id="53" w:name="_Toc11156"/>
      <w:r>
        <w:rPr>
          <w:rFonts w:hint="eastAsia" w:ascii="Times New Roman" w:hAnsi="Times New Roman" w:eastAsia="宋体"/>
          <w:color w:val="auto"/>
        </w:rPr>
        <w:t xml:space="preserve"> </w:t>
      </w:r>
      <w:bookmarkStart w:id="54" w:name="_Toc11575"/>
      <w:r>
        <w:rPr>
          <w:rFonts w:ascii="Times New Roman" w:hAnsi="Times New Roman" w:eastAsia="宋体"/>
          <w:color w:val="auto"/>
        </w:rPr>
        <w:t>评价范围</w:t>
      </w:r>
      <w:bookmarkEnd w:id="53"/>
      <w:r>
        <w:rPr>
          <w:rFonts w:hint="eastAsia"/>
          <w:color w:val="auto"/>
          <w:lang w:val="en-US" w:eastAsia="zh-CN"/>
        </w:rPr>
        <w:t>及环境敏感区</w:t>
      </w:r>
      <w:bookmarkEnd w:id="54"/>
    </w:p>
    <w:p w14:paraId="60B10FAE">
      <w:pPr>
        <w:pageBreakBefore w:val="0"/>
        <w:numPr>
          <w:ilvl w:val="0"/>
          <w:numId w:val="10"/>
        </w:numPr>
        <w:wordWrap/>
        <w:bidi w:val="0"/>
        <w:adjustRightInd/>
        <w:snapToGrid/>
        <w:ind w:firstLine="482"/>
        <w:rPr>
          <w:b/>
          <w:bCs/>
          <w:color w:val="auto"/>
        </w:rPr>
      </w:pPr>
      <w:r>
        <w:rPr>
          <w:b/>
          <w:bCs/>
          <w:color w:val="auto"/>
        </w:rPr>
        <w:t>大气环境评价范围</w:t>
      </w:r>
    </w:p>
    <w:p w14:paraId="647CD945">
      <w:pPr>
        <w:pageBreakBefore w:val="0"/>
        <w:wordWrap/>
        <w:bidi w:val="0"/>
        <w:adjustRightInd/>
        <w:snapToGrid/>
        <w:ind w:firstLine="480"/>
        <w:rPr>
          <w:color w:val="auto"/>
        </w:rPr>
      </w:pPr>
      <w:r>
        <w:rPr>
          <w:rFonts w:hint="eastAsia"/>
          <w:color w:val="auto"/>
        </w:rPr>
        <w:t>根据前</w:t>
      </w:r>
      <w:r>
        <w:rPr>
          <w:rFonts w:hint="eastAsia"/>
          <w:color w:val="auto"/>
          <w:lang w:val="en-US" w:eastAsia="zh-CN"/>
        </w:rPr>
        <w:t>文</w:t>
      </w:r>
      <w:r>
        <w:rPr>
          <w:rFonts w:hint="eastAsia"/>
          <w:color w:val="auto"/>
        </w:rPr>
        <w:t>等级判定可知，本项目大气评价等级为</w:t>
      </w:r>
      <w:r>
        <w:rPr>
          <w:rFonts w:hint="eastAsia"/>
          <w:color w:val="auto"/>
          <w:lang w:val="en-US" w:eastAsia="zh-CN"/>
        </w:rPr>
        <w:t>二</w:t>
      </w:r>
      <w:r>
        <w:rPr>
          <w:rFonts w:hint="eastAsia"/>
          <w:color w:val="auto"/>
        </w:rPr>
        <w:t>级。按照《环境影响评价技术导则</w:t>
      </w:r>
      <w:r>
        <w:rPr>
          <w:rFonts w:hint="eastAsia"/>
          <w:color w:val="auto"/>
          <w:lang w:val="en-US" w:eastAsia="zh-CN"/>
        </w:rPr>
        <w:t xml:space="preserve"> </w:t>
      </w:r>
      <w:r>
        <w:rPr>
          <w:rFonts w:hint="eastAsia"/>
          <w:color w:val="auto"/>
        </w:rPr>
        <w:t>大气环境》（HJ2.2-2018），本次大气评价范围：以项目厂址为中心区域，自厂界外延边长为5km的矩形区域。</w:t>
      </w:r>
    </w:p>
    <w:p w14:paraId="2A7DE930">
      <w:pPr>
        <w:pageBreakBefore w:val="0"/>
        <w:numPr>
          <w:ilvl w:val="0"/>
          <w:numId w:val="10"/>
        </w:numPr>
        <w:wordWrap/>
        <w:bidi w:val="0"/>
        <w:adjustRightInd/>
        <w:snapToGrid/>
        <w:ind w:firstLine="482"/>
        <w:rPr>
          <w:b/>
          <w:bCs/>
          <w:color w:val="auto"/>
        </w:rPr>
      </w:pPr>
      <w:r>
        <w:rPr>
          <w:b/>
          <w:bCs/>
          <w:color w:val="auto"/>
        </w:rPr>
        <w:t>地表水环境评价范围</w:t>
      </w:r>
    </w:p>
    <w:p w14:paraId="7E486948">
      <w:pPr>
        <w:pageBreakBefore w:val="0"/>
        <w:wordWrap/>
        <w:bidi w:val="0"/>
        <w:adjustRightInd/>
        <w:snapToGrid/>
        <w:ind w:firstLine="480"/>
        <w:rPr>
          <w:color w:val="auto"/>
        </w:rPr>
      </w:pPr>
      <w:r>
        <w:rPr>
          <w:rFonts w:hint="eastAsia"/>
          <w:color w:val="auto"/>
        </w:rPr>
        <w:t>根据前</w:t>
      </w:r>
      <w:r>
        <w:rPr>
          <w:rFonts w:hint="eastAsia"/>
          <w:color w:val="auto"/>
          <w:lang w:val="en-US" w:eastAsia="zh-CN"/>
        </w:rPr>
        <w:t>文</w:t>
      </w:r>
      <w:r>
        <w:rPr>
          <w:rFonts w:hint="eastAsia"/>
          <w:color w:val="auto"/>
        </w:rPr>
        <w:t>等级判定可知，本项目</w:t>
      </w:r>
      <w:r>
        <w:rPr>
          <w:rFonts w:hint="eastAsia"/>
          <w:color w:val="auto"/>
          <w:lang w:val="en-US" w:eastAsia="zh-CN"/>
        </w:rPr>
        <w:t>地表水</w:t>
      </w:r>
      <w:r>
        <w:rPr>
          <w:rFonts w:hint="eastAsia"/>
          <w:color w:val="auto"/>
        </w:rPr>
        <w:t>评价等级为</w:t>
      </w:r>
      <w:r>
        <w:rPr>
          <w:rFonts w:hint="eastAsia"/>
          <w:color w:val="auto"/>
          <w:lang w:val="en-US" w:eastAsia="zh-CN"/>
        </w:rPr>
        <w:t>二</w:t>
      </w:r>
      <w:r>
        <w:rPr>
          <w:rFonts w:hint="eastAsia"/>
          <w:color w:val="auto"/>
        </w:rPr>
        <w:t>级。</w:t>
      </w:r>
      <w:r>
        <w:rPr>
          <w:color w:val="auto"/>
        </w:rPr>
        <w:t>根据</w:t>
      </w:r>
      <w:r>
        <w:rPr>
          <w:rFonts w:hint="eastAsia"/>
          <w:color w:val="auto"/>
          <w:lang w:eastAsia="zh-CN"/>
        </w:rPr>
        <w:t>《环境影响评价技术导则 地表水环境》（HJ2.3-2018）</w:t>
      </w:r>
      <w:r>
        <w:rPr>
          <w:color w:val="auto"/>
        </w:rPr>
        <w:t>要求，同时结合本项目工程特点，地表水环境评价范围确定为排污口上游500m至排口下游</w:t>
      </w:r>
      <w:r>
        <w:rPr>
          <w:rFonts w:hint="eastAsia"/>
          <w:color w:val="auto"/>
          <w:lang w:val="en-US" w:eastAsia="zh-CN"/>
        </w:rPr>
        <w:t>87</w:t>
      </w:r>
      <w:r>
        <w:rPr>
          <w:color w:val="auto"/>
        </w:rPr>
        <w:t>00m处。</w:t>
      </w:r>
    </w:p>
    <w:p w14:paraId="0CAD549E">
      <w:pPr>
        <w:pageBreakBefore w:val="0"/>
        <w:numPr>
          <w:ilvl w:val="0"/>
          <w:numId w:val="10"/>
        </w:numPr>
        <w:wordWrap/>
        <w:bidi w:val="0"/>
        <w:adjustRightInd/>
        <w:snapToGrid/>
        <w:ind w:firstLine="482"/>
        <w:rPr>
          <w:b/>
          <w:bCs/>
          <w:color w:val="auto"/>
        </w:rPr>
      </w:pPr>
      <w:r>
        <w:rPr>
          <w:b/>
          <w:bCs/>
          <w:color w:val="auto"/>
        </w:rPr>
        <w:t>地下水环境评价范围</w:t>
      </w:r>
    </w:p>
    <w:p w14:paraId="6D5B1BF7">
      <w:pPr>
        <w:ind w:firstLine="480"/>
        <w:rPr>
          <w:rFonts w:cs="Times New Roman"/>
          <w:color w:val="auto"/>
        </w:rPr>
      </w:pPr>
      <w:r>
        <w:rPr>
          <w:rFonts w:cs="Times New Roman"/>
          <w:color w:val="auto"/>
        </w:rPr>
        <w:t>根据《环境影响评价技术导则</w:t>
      </w:r>
      <w:r>
        <w:rPr>
          <w:rFonts w:hint="eastAsia" w:cs="Times New Roman"/>
          <w:color w:val="auto"/>
          <w:lang w:val="en-US" w:eastAsia="zh-CN"/>
        </w:rPr>
        <w:t xml:space="preserve"> </w:t>
      </w:r>
      <w:r>
        <w:rPr>
          <w:rFonts w:cs="Times New Roman"/>
          <w:color w:val="auto"/>
        </w:rPr>
        <w:t>地下水环境》（HJ610-2016），地下水环境现状调查评价范围应包括与建设项目相关的地下水环境保护目标，以能说明地下水环境现状，反映调查评价区地下水基本渗流特征，满足地下水环境影响预测和评价为基本原则。</w:t>
      </w:r>
    </w:p>
    <w:p w14:paraId="62D4C6FD">
      <w:pPr>
        <w:ind w:firstLine="480"/>
        <w:rPr>
          <w:rFonts w:cs="Times New Roman"/>
          <w:color w:val="auto"/>
        </w:rPr>
      </w:pPr>
      <w:r>
        <w:rPr>
          <w:rFonts w:cs="Times New Roman"/>
          <w:color w:val="auto"/>
        </w:rPr>
        <w:t>建设项目地下水环境现状调查评价范围的确定可采用公式计算法、查表法及自定义法。</w:t>
      </w:r>
    </w:p>
    <w:p w14:paraId="5C1C77CE">
      <w:pPr>
        <w:ind w:firstLine="480"/>
        <w:rPr>
          <w:rFonts w:cs="Times New Roman"/>
          <w:color w:val="auto"/>
        </w:rPr>
      </w:pPr>
      <w:r>
        <w:rPr>
          <w:rFonts w:cs="Times New Roman"/>
          <w:color w:val="auto"/>
        </w:rPr>
        <w:t>（1）公式计算法</w:t>
      </w:r>
    </w:p>
    <w:p w14:paraId="060929A1">
      <w:pPr>
        <w:ind w:firstLine="480"/>
        <w:rPr>
          <w:rFonts w:cs="Times New Roman"/>
          <w:color w:val="auto"/>
        </w:rPr>
      </w:pPr>
      <w:r>
        <w:rPr>
          <w:rFonts w:cs="Times New Roman"/>
          <w:color w:val="auto"/>
        </w:rPr>
        <w:t>当建设项目所在地水文地质条件相对简单，且所掌握的资料能够满足公式计算法的要求时，应采用公式计算法确定：</w:t>
      </w:r>
    </w:p>
    <w:p w14:paraId="026ADE9F">
      <w:pPr>
        <w:ind w:firstLine="480"/>
        <w:jc w:val="center"/>
        <w:rPr>
          <w:rFonts w:cs="Times New Roman"/>
          <w:color w:val="auto"/>
        </w:rPr>
      </w:pPr>
      <w:r>
        <w:rPr>
          <w:rFonts w:cs="Times New Roman"/>
          <w:color w:val="auto"/>
        </w:rPr>
        <w:t>L=α×K×I×T/n</w:t>
      </w:r>
      <w:r>
        <w:rPr>
          <w:rFonts w:cs="Times New Roman"/>
          <w:color w:val="auto"/>
          <w:vertAlign w:val="subscript"/>
        </w:rPr>
        <w:t>e</w:t>
      </w:r>
    </w:p>
    <w:p w14:paraId="4539EFEF">
      <w:pPr>
        <w:ind w:firstLine="480"/>
        <w:rPr>
          <w:rFonts w:cs="Times New Roman"/>
          <w:color w:val="auto"/>
        </w:rPr>
      </w:pPr>
      <w:r>
        <w:rPr>
          <w:rFonts w:cs="Times New Roman"/>
          <w:color w:val="auto"/>
        </w:rPr>
        <w:t>式中：L—下游迁移距离</w:t>
      </w:r>
    </w:p>
    <w:p w14:paraId="729E1B71">
      <w:pPr>
        <w:ind w:firstLine="1200" w:firstLineChars="500"/>
        <w:rPr>
          <w:rFonts w:cs="Times New Roman"/>
          <w:color w:val="auto"/>
        </w:rPr>
      </w:pPr>
      <w:r>
        <w:rPr>
          <w:rFonts w:cs="Times New Roman"/>
          <w:i/>
          <w:color w:val="auto"/>
        </w:rPr>
        <w:t>α</w:t>
      </w:r>
      <w:r>
        <w:rPr>
          <w:rFonts w:cs="Times New Roman"/>
          <w:color w:val="auto"/>
        </w:rPr>
        <w:t>—变化系数，</w:t>
      </w:r>
      <w:r>
        <w:rPr>
          <w:rFonts w:cs="Times New Roman"/>
          <w:i/>
          <w:color w:val="auto"/>
        </w:rPr>
        <w:t>α≥</w:t>
      </w:r>
      <w:r>
        <w:rPr>
          <w:rFonts w:cs="Times New Roman"/>
          <w:color w:val="auto"/>
        </w:rPr>
        <w:t>1，一般取2；</w:t>
      </w:r>
    </w:p>
    <w:p w14:paraId="41F36CBF">
      <w:pPr>
        <w:ind w:left="1559" w:leftChars="473" w:hanging="424" w:hangingChars="177"/>
        <w:rPr>
          <w:rFonts w:cs="Times New Roman"/>
          <w:color w:val="auto"/>
        </w:rPr>
      </w:pPr>
      <w:r>
        <w:rPr>
          <w:rFonts w:cs="Times New Roman"/>
          <w:color w:val="auto"/>
        </w:rPr>
        <w:t>K—渗透系数，m/d；</w:t>
      </w:r>
    </w:p>
    <w:p w14:paraId="7A563AC3">
      <w:pPr>
        <w:ind w:firstLine="1132" w:firstLineChars="472"/>
        <w:rPr>
          <w:rFonts w:cs="Times New Roman"/>
          <w:color w:val="auto"/>
        </w:rPr>
      </w:pPr>
      <w:r>
        <w:rPr>
          <w:rFonts w:cs="Times New Roman"/>
          <w:color w:val="auto"/>
        </w:rPr>
        <w:t>I—水力坡度，无量纲；</w:t>
      </w:r>
    </w:p>
    <w:p w14:paraId="5DDC30A5">
      <w:pPr>
        <w:ind w:firstLine="1132" w:firstLineChars="472"/>
        <w:rPr>
          <w:rFonts w:cs="Times New Roman"/>
          <w:color w:val="auto"/>
        </w:rPr>
      </w:pPr>
      <w:r>
        <w:rPr>
          <w:rFonts w:cs="Times New Roman"/>
          <w:color w:val="auto"/>
        </w:rPr>
        <w:t>T—质点迁移天数，取值不小于5000 d；</w:t>
      </w:r>
    </w:p>
    <w:p w14:paraId="00FF6152">
      <w:pPr>
        <w:ind w:firstLine="1132" w:firstLineChars="472"/>
        <w:rPr>
          <w:rFonts w:cs="Times New Roman"/>
          <w:color w:val="auto"/>
        </w:rPr>
      </w:pPr>
      <w:r>
        <w:rPr>
          <w:rFonts w:cs="Times New Roman"/>
          <w:color w:val="auto"/>
        </w:rPr>
        <w:t>n</w:t>
      </w:r>
      <w:r>
        <w:rPr>
          <w:rFonts w:cs="Times New Roman"/>
          <w:color w:val="auto"/>
          <w:vertAlign w:val="subscript"/>
        </w:rPr>
        <w:t>e</w:t>
      </w:r>
      <w:r>
        <w:rPr>
          <w:rFonts w:cs="Times New Roman"/>
          <w:color w:val="auto"/>
        </w:rPr>
        <w:t>—有效孔隙度，无量纲。</w:t>
      </w:r>
    </w:p>
    <w:p w14:paraId="04811C89">
      <w:pPr>
        <w:ind w:firstLine="480"/>
        <w:rPr>
          <w:rFonts w:cs="Times New Roman"/>
          <w:color w:val="auto"/>
        </w:rPr>
      </w:pPr>
      <w:r>
        <w:rPr>
          <w:rFonts w:cs="Times New Roman"/>
          <w:color w:val="auto"/>
        </w:rPr>
        <w:t>（2）查表法</w:t>
      </w:r>
    </w:p>
    <w:p w14:paraId="5EBC2A5B">
      <w:pPr>
        <w:ind w:firstLine="480"/>
        <w:rPr>
          <w:rFonts w:cs="Times New Roman"/>
          <w:color w:val="auto"/>
        </w:rPr>
      </w:pPr>
      <w:r>
        <w:rPr>
          <w:rFonts w:cs="Times New Roman"/>
          <w:color w:val="auto"/>
        </w:rPr>
        <w:t>当不满足公式计算法的要求时，可采用查表法确定（表</w:t>
      </w:r>
      <w:r>
        <w:rPr>
          <w:rFonts w:hint="eastAsia" w:cs="Times New Roman"/>
          <w:color w:val="auto"/>
          <w:lang w:val="en-US" w:eastAsia="zh-CN"/>
        </w:rPr>
        <w:t>1.4-1</w:t>
      </w:r>
      <w:r>
        <w:rPr>
          <w:rFonts w:cs="Times New Roman"/>
          <w:color w:val="auto"/>
        </w:rPr>
        <w:t>）。</w:t>
      </w:r>
    </w:p>
    <w:p w14:paraId="3E29BD11">
      <w:pPr>
        <w:pStyle w:val="19"/>
        <w:numPr>
          <w:ilvl w:val="0"/>
          <w:numId w:val="11"/>
        </w:numPr>
        <w:bidi w:val="0"/>
        <w:ind w:left="0" w:leftChars="0" w:firstLine="0" w:firstLineChars="0"/>
        <w:rPr>
          <w:rFonts w:cs="Times New Roman"/>
          <w:color w:val="auto"/>
        </w:rPr>
      </w:pPr>
      <w:r>
        <w:rPr>
          <w:rFonts w:cs="Times New Roman"/>
          <w:color w:val="auto"/>
        </w:rPr>
        <w:t>地下水环境现状调查评价范围参照</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64"/>
        <w:gridCol w:w="4540"/>
        <w:gridCol w:w="2638"/>
      </w:tblGrid>
      <w:tr w14:paraId="77E56B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pct"/>
            <w:tcBorders>
              <w:tl2br w:val="nil"/>
              <w:tr2bl w:val="nil"/>
            </w:tcBorders>
            <w:shd w:val="clear" w:color="auto" w:fill="auto"/>
            <w:vAlign w:val="center"/>
          </w:tcPr>
          <w:p w14:paraId="25817813">
            <w:pPr>
              <w:pStyle w:val="714"/>
              <w:rPr>
                <w:rFonts w:cs="Times New Roman"/>
                <w:b/>
                <w:bCs/>
                <w:color w:val="auto"/>
              </w:rPr>
            </w:pPr>
            <w:r>
              <w:rPr>
                <w:rFonts w:cs="Times New Roman"/>
                <w:b/>
                <w:bCs/>
                <w:color w:val="auto"/>
              </w:rPr>
              <w:t>评价等级</w:t>
            </w:r>
          </w:p>
        </w:tc>
        <w:tc>
          <w:tcPr>
            <w:tcW w:w="2538" w:type="pct"/>
            <w:tcBorders>
              <w:tl2br w:val="nil"/>
              <w:tr2bl w:val="nil"/>
            </w:tcBorders>
            <w:shd w:val="clear" w:color="auto" w:fill="auto"/>
            <w:vAlign w:val="center"/>
          </w:tcPr>
          <w:p w14:paraId="3F9DF78A">
            <w:pPr>
              <w:pStyle w:val="714"/>
              <w:rPr>
                <w:rFonts w:cs="Times New Roman"/>
                <w:b/>
                <w:bCs/>
                <w:color w:val="auto"/>
              </w:rPr>
            </w:pPr>
            <w:r>
              <w:rPr>
                <w:rFonts w:cs="Times New Roman"/>
                <w:b/>
                <w:bCs/>
                <w:color w:val="auto"/>
              </w:rPr>
              <w:t>调查评价面积（k</w:t>
            </w:r>
            <w:r>
              <w:rPr>
                <w:rFonts w:hint="eastAsia" w:cs="Times New Roman"/>
                <w:b/>
                <w:bCs/>
                <w:color w:val="auto"/>
                <w:lang w:eastAsia="zh-CN"/>
              </w:rPr>
              <w:t>m²</w:t>
            </w:r>
            <w:r>
              <w:rPr>
                <w:rFonts w:cs="Times New Roman"/>
                <w:b/>
                <w:bCs/>
                <w:color w:val="auto"/>
              </w:rPr>
              <w:t>）</w:t>
            </w:r>
          </w:p>
        </w:tc>
        <w:tc>
          <w:tcPr>
            <w:tcW w:w="1475" w:type="pct"/>
            <w:tcBorders>
              <w:tl2br w:val="nil"/>
              <w:tr2bl w:val="nil"/>
            </w:tcBorders>
            <w:shd w:val="clear" w:color="auto" w:fill="auto"/>
            <w:vAlign w:val="center"/>
          </w:tcPr>
          <w:p w14:paraId="774CF759">
            <w:pPr>
              <w:pStyle w:val="714"/>
              <w:rPr>
                <w:rFonts w:cs="Times New Roman"/>
                <w:b/>
                <w:bCs/>
                <w:color w:val="auto"/>
              </w:rPr>
            </w:pPr>
            <w:r>
              <w:rPr>
                <w:rFonts w:cs="Times New Roman"/>
                <w:b/>
                <w:bCs/>
                <w:color w:val="auto"/>
              </w:rPr>
              <w:t>备注</w:t>
            </w:r>
          </w:p>
        </w:tc>
      </w:tr>
      <w:tr w14:paraId="711651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pct"/>
            <w:tcBorders>
              <w:tl2br w:val="nil"/>
              <w:tr2bl w:val="nil"/>
            </w:tcBorders>
            <w:shd w:val="clear" w:color="auto" w:fill="auto"/>
            <w:vAlign w:val="center"/>
          </w:tcPr>
          <w:p w14:paraId="7EDE539D">
            <w:pPr>
              <w:pStyle w:val="714"/>
              <w:rPr>
                <w:rFonts w:cs="Times New Roman"/>
                <w:color w:val="auto"/>
              </w:rPr>
            </w:pPr>
            <w:r>
              <w:rPr>
                <w:rFonts w:cs="Times New Roman"/>
                <w:color w:val="auto"/>
              </w:rPr>
              <w:t>一级</w:t>
            </w:r>
          </w:p>
        </w:tc>
        <w:tc>
          <w:tcPr>
            <w:tcW w:w="2538" w:type="pct"/>
            <w:tcBorders>
              <w:tl2br w:val="nil"/>
              <w:tr2bl w:val="nil"/>
            </w:tcBorders>
            <w:shd w:val="clear" w:color="auto" w:fill="auto"/>
            <w:vAlign w:val="center"/>
          </w:tcPr>
          <w:p w14:paraId="560FFCC6">
            <w:pPr>
              <w:pStyle w:val="714"/>
              <w:rPr>
                <w:rFonts w:cs="Times New Roman"/>
                <w:color w:val="auto"/>
              </w:rPr>
            </w:pPr>
            <w:r>
              <w:rPr>
                <w:rFonts w:cs="Times New Roman"/>
                <w:color w:val="auto"/>
              </w:rPr>
              <w:t>≥20</w:t>
            </w:r>
          </w:p>
        </w:tc>
        <w:tc>
          <w:tcPr>
            <w:tcW w:w="1475" w:type="pct"/>
            <w:vMerge w:val="restart"/>
            <w:tcBorders>
              <w:tl2br w:val="nil"/>
              <w:tr2bl w:val="nil"/>
            </w:tcBorders>
            <w:shd w:val="clear" w:color="auto" w:fill="auto"/>
            <w:vAlign w:val="center"/>
          </w:tcPr>
          <w:p w14:paraId="2892717C">
            <w:pPr>
              <w:pStyle w:val="714"/>
              <w:rPr>
                <w:rFonts w:cs="Times New Roman"/>
                <w:color w:val="auto"/>
              </w:rPr>
            </w:pPr>
            <w:r>
              <w:rPr>
                <w:rFonts w:cs="Times New Roman"/>
                <w:color w:val="auto"/>
              </w:rPr>
              <w:t>应包括重要的地下水环境保护目标，必要时适当扩大范围</w:t>
            </w:r>
          </w:p>
        </w:tc>
      </w:tr>
      <w:tr w14:paraId="390D9A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pct"/>
            <w:tcBorders>
              <w:tl2br w:val="nil"/>
              <w:tr2bl w:val="nil"/>
            </w:tcBorders>
            <w:shd w:val="clear" w:color="auto" w:fill="auto"/>
            <w:vAlign w:val="center"/>
          </w:tcPr>
          <w:p w14:paraId="3B777A68">
            <w:pPr>
              <w:pStyle w:val="714"/>
              <w:rPr>
                <w:rFonts w:cs="Times New Roman"/>
                <w:color w:val="auto"/>
              </w:rPr>
            </w:pPr>
            <w:r>
              <w:rPr>
                <w:rFonts w:cs="Times New Roman"/>
                <w:color w:val="auto"/>
              </w:rPr>
              <w:t>二级</w:t>
            </w:r>
          </w:p>
        </w:tc>
        <w:tc>
          <w:tcPr>
            <w:tcW w:w="2538" w:type="pct"/>
            <w:tcBorders>
              <w:tl2br w:val="nil"/>
              <w:tr2bl w:val="nil"/>
            </w:tcBorders>
            <w:shd w:val="clear" w:color="auto" w:fill="auto"/>
            <w:vAlign w:val="center"/>
          </w:tcPr>
          <w:p w14:paraId="7B125318">
            <w:pPr>
              <w:pStyle w:val="714"/>
              <w:rPr>
                <w:rFonts w:cs="Times New Roman"/>
                <w:color w:val="auto"/>
              </w:rPr>
            </w:pPr>
            <w:r>
              <w:rPr>
                <w:rFonts w:cs="Times New Roman"/>
                <w:color w:val="auto"/>
              </w:rPr>
              <w:t>6～20</w:t>
            </w:r>
          </w:p>
        </w:tc>
        <w:tc>
          <w:tcPr>
            <w:tcW w:w="1475" w:type="pct"/>
            <w:vMerge w:val="continue"/>
            <w:tcBorders>
              <w:tl2br w:val="nil"/>
              <w:tr2bl w:val="nil"/>
            </w:tcBorders>
            <w:shd w:val="clear" w:color="auto" w:fill="auto"/>
            <w:vAlign w:val="center"/>
          </w:tcPr>
          <w:p w14:paraId="056E42E0">
            <w:pPr>
              <w:pStyle w:val="714"/>
              <w:rPr>
                <w:rFonts w:cs="Times New Roman"/>
                <w:color w:val="auto"/>
              </w:rPr>
            </w:pPr>
          </w:p>
        </w:tc>
      </w:tr>
      <w:tr w14:paraId="0B0513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6" w:type="pct"/>
            <w:tcBorders>
              <w:tl2br w:val="nil"/>
              <w:tr2bl w:val="nil"/>
            </w:tcBorders>
            <w:shd w:val="clear" w:color="auto" w:fill="auto"/>
            <w:vAlign w:val="center"/>
          </w:tcPr>
          <w:p w14:paraId="2BD835E9">
            <w:pPr>
              <w:pStyle w:val="714"/>
              <w:rPr>
                <w:rFonts w:cs="Times New Roman"/>
                <w:color w:val="auto"/>
              </w:rPr>
            </w:pPr>
            <w:r>
              <w:rPr>
                <w:rFonts w:cs="Times New Roman"/>
                <w:color w:val="auto"/>
              </w:rPr>
              <w:t>三级</w:t>
            </w:r>
          </w:p>
        </w:tc>
        <w:tc>
          <w:tcPr>
            <w:tcW w:w="2538" w:type="pct"/>
            <w:tcBorders>
              <w:tl2br w:val="nil"/>
              <w:tr2bl w:val="nil"/>
            </w:tcBorders>
            <w:shd w:val="clear" w:color="auto" w:fill="auto"/>
            <w:vAlign w:val="center"/>
          </w:tcPr>
          <w:p w14:paraId="3ADC64EA">
            <w:pPr>
              <w:pStyle w:val="714"/>
              <w:rPr>
                <w:rFonts w:cs="Times New Roman"/>
                <w:color w:val="auto"/>
              </w:rPr>
            </w:pPr>
            <w:r>
              <w:rPr>
                <w:rFonts w:cs="Times New Roman"/>
                <w:color w:val="auto"/>
              </w:rPr>
              <w:t>≤6</w:t>
            </w:r>
          </w:p>
        </w:tc>
        <w:tc>
          <w:tcPr>
            <w:tcW w:w="1475" w:type="pct"/>
            <w:vMerge w:val="continue"/>
            <w:tcBorders>
              <w:tl2br w:val="nil"/>
              <w:tr2bl w:val="nil"/>
            </w:tcBorders>
            <w:shd w:val="clear" w:color="auto" w:fill="auto"/>
            <w:vAlign w:val="center"/>
          </w:tcPr>
          <w:p w14:paraId="4D262537">
            <w:pPr>
              <w:pStyle w:val="714"/>
              <w:rPr>
                <w:rFonts w:cs="Times New Roman"/>
                <w:color w:val="auto"/>
              </w:rPr>
            </w:pPr>
          </w:p>
        </w:tc>
      </w:tr>
    </w:tbl>
    <w:p w14:paraId="44C89F63">
      <w:pPr>
        <w:keepNext w:val="0"/>
        <w:keepLines w:val="0"/>
        <w:pageBreakBefore w:val="0"/>
        <w:widowControl w:val="0"/>
        <w:kinsoku/>
        <w:wordWrap/>
        <w:overflowPunct/>
        <w:topLinePunct w:val="0"/>
        <w:autoSpaceDE/>
        <w:autoSpaceDN/>
        <w:bidi w:val="0"/>
        <w:adjustRightInd/>
        <w:snapToGrid/>
        <w:spacing w:before="0" w:beforeLines="50"/>
        <w:textAlignment w:val="auto"/>
        <w:rPr>
          <w:b w:val="0"/>
          <w:bCs w:val="0"/>
          <w:color w:val="auto"/>
        </w:rPr>
      </w:pPr>
      <w:r>
        <w:rPr>
          <w:b w:val="0"/>
          <w:bCs w:val="0"/>
          <w:color w:val="auto"/>
        </w:rPr>
        <w:t>（3）自定义法</w:t>
      </w:r>
    </w:p>
    <w:p w14:paraId="1D3D02FE">
      <w:pPr>
        <w:ind w:firstLine="480"/>
        <w:rPr>
          <w:rFonts w:cs="Times New Roman"/>
          <w:color w:val="auto"/>
        </w:rPr>
      </w:pPr>
      <w:r>
        <w:rPr>
          <w:rFonts w:cs="Times New Roman"/>
          <w:color w:val="auto"/>
        </w:rPr>
        <w:t>当计算或查表范围超出所处水文地质单元边界时，应以所处水文地质单元边界为宜，可根据建设项目所在区域水文地质条件确定。</w:t>
      </w:r>
    </w:p>
    <w:p w14:paraId="504EFA1D">
      <w:pPr>
        <w:ind w:firstLine="480"/>
        <w:rPr>
          <w:rFonts w:eastAsia="宋体" w:cs="Times New Roman"/>
          <w:color w:val="auto"/>
          <w:szCs w:val="24"/>
        </w:rPr>
      </w:pPr>
      <w:r>
        <w:rPr>
          <w:rFonts w:eastAsia="宋体" w:cs="Times New Roman"/>
          <w:color w:val="auto"/>
          <w:szCs w:val="24"/>
        </w:rPr>
        <w:t>根据现场调查及区域水文地质</w:t>
      </w:r>
      <w:r>
        <w:rPr>
          <w:rFonts w:hint="eastAsia" w:eastAsia="宋体" w:cs="Times New Roman"/>
          <w:color w:val="auto"/>
          <w:szCs w:val="24"/>
        </w:rPr>
        <w:t>条件</w:t>
      </w:r>
      <w:r>
        <w:rPr>
          <w:rFonts w:eastAsia="宋体" w:cs="Times New Roman"/>
          <w:color w:val="auto"/>
          <w:szCs w:val="24"/>
        </w:rPr>
        <w:t>，本次选取自定义法确定本项目调查评价范围：项目区</w:t>
      </w:r>
      <w:r>
        <w:rPr>
          <w:rFonts w:hint="eastAsia" w:eastAsia="宋体" w:cs="Times New Roman"/>
          <w:color w:val="auto"/>
          <w:szCs w:val="24"/>
        </w:rPr>
        <w:t>西侧以巴河支流小河沟为界</w:t>
      </w:r>
      <w:r>
        <w:rPr>
          <w:rFonts w:eastAsia="宋体" w:cs="Times New Roman"/>
          <w:color w:val="auto"/>
          <w:szCs w:val="24"/>
        </w:rPr>
        <w:t>，</w:t>
      </w:r>
      <w:r>
        <w:rPr>
          <w:rFonts w:hint="eastAsia" w:eastAsia="宋体" w:cs="Times New Roman"/>
          <w:color w:val="auto"/>
          <w:szCs w:val="24"/>
        </w:rPr>
        <w:t>东南</w:t>
      </w:r>
      <w:r>
        <w:rPr>
          <w:rFonts w:eastAsia="宋体" w:cs="Times New Roman"/>
          <w:color w:val="auto"/>
          <w:szCs w:val="24"/>
        </w:rPr>
        <w:t>侧以</w:t>
      </w:r>
      <w:r>
        <w:rPr>
          <w:rFonts w:hint="eastAsia" w:eastAsia="宋体" w:cs="Times New Roman"/>
          <w:color w:val="auto"/>
          <w:szCs w:val="24"/>
        </w:rPr>
        <w:t>店子河</w:t>
      </w:r>
      <w:r>
        <w:rPr>
          <w:rFonts w:eastAsia="宋体" w:cs="Times New Roman"/>
          <w:color w:val="auto"/>
          <w:szCs w:val="24"/>
        </w:rPr>
        <w:t>为边界，</w:t>
      </w:r>
      <w:r>
        <w:rPr>
          <w:rFonts w:hint="eastAsia" w:eastAsia="宋体" w:cs="Times New Roman"/>
          <w:color w:val="auto"/>
          <w:szCs w:val="24"/>
        </w:rPr>
        <w:t>南</w:t>
      </w:r>
      <w:r>
        <w:rPr>
          <w:rFonts w:eastAsia="宋体" w:cs="Times New Roman"/>
          <w:color w:val="auto"/>
          <w:szCs w:val="24"/>
        </w:rPr>
        <w:t>侧</w:t>
      </w:r>
      <w:r>
        <w:rPr>
          <w:rFonts w:hint="eastAsia" w:eastAsia="宋体" w:cs="Times New Roman"/>
          <w:color w:val="auto"/>
          <w:szCs w:val="24"/>
        </w:rPr>
        <w:t>下</w:t>
      </w:r>
      <w:r>
        <w:rPr>
          <w:rFonts w:eastAsia="宋体" w:cs="Times New Roman"/>
          <w:color w:val="auto"/>
          <w:szCs w:val="24"/>
        </w:rPr>
        <w:t>游</w:t>
      </w:r>
      <w:r>
        <w:rPr>
          <w:rFonts w:hint="eastAsia" w:eastAsia="宋体" w:cs="Times New Roman"/>
          <w:color w:val="auto"/>
          <w:szCs w:val="24"/>
        </w:rPr>
        <w:t>以当地最低侵蚀基准面巴河为界</w:t>
      </w:r>
      <w:r>
        <w:rPr>
          <w:rFonts w:cs="Times New Roman"/>
          <w:color w:val="auto"/>
        </w:rPr>
        <w:t>，</w:t>
      </w:r>
      <w:r>
        <w:rPr>
          <w:rFonts w:hint="eastAsia" w:cs="Times New Roman"/>
          <w:color w:val="auto"/>
        </w:rPr>
        <w:t>北西侧以小河沟与店子河之间的山脊线为界，北东侧以店子河及其支流间的山脊线为界</w:t>
      </w:r>
      <w:r>
        <w:rPr>
          <w:rFonts w:cs="Times New Roman"/>
          <w:color w:val="auto"/>
        </w:rPr>
        <w:t>，评价范围为</w:t>
      </w:r>
      <w:r>
        <w:rPr>
          <w:rFonts w:hint="eastAsia" w:cs="Times New Roman"/>
          <w:color w:val="auto"/>
        </w:rPr>
        <w:t>0.49</w:t>
      </w:r>
      <w:r>
        <w:rPr>
          <w:rFonts w:cs="Times New Roman"/>
          <w:color w:val="auto"/>
        </w:rPr>
        <w:t xml:space="preserve"> k</w:t>
      </w:r>
      <w:r>
        <w:rPr>
          <w:rFonts w:hint="eastAsia" w:cs="Times New Roman"/>
          <w:color w:val="auto"/>
          <w:lang w:eastAsia="zh-CN"/>
        </w:rPr>
        <w:t>m²</w:t>
      </w:r>
      <w:r>
        <w:rPr>
          <w:rFonts w:cs="Times New Roman"/>
          <w:color w:val="auto"/>
        </w:rPr>
        <w:t>。本项目调查评价范围见</w:t>
      </w:r>
      <w:r>
        <w:rPr>
          <w:rFonts w:hint="eastAsia" w:cs="Times New Roman"/>
          <w:color w:val="auto"/>
          <w:lang w:val="en-US" w:eastAsia="zh-CN"/>
        </w:rPr>
        <w:t>下图</w:t>
      </w:r>
      <w:r>
        <w:rPr>
          <w:rFonts w:cs="Times New Roman"/>
          <w:color w:val="auto"/>
        </w:rPr>
        <w:t>。</w:t>
      </w:r>
    </w:p>
    <w:p w14:paraId="3DBD708E">
      <w:pPr>
        <w:pStyle w:val="714"/>
        <w:rPr>
          <w:rFonts w:cs="Times New Roman"/>
          <w:color w:val="auto"/>
          <w:sz w:val="30"/>
        </w:rPr>
      </w:pPr>
      <w:r>
        <w:rPr>
          <w:rFonts w:cs="Times New Roman"/>
          <w:color w:val="auto"/>
          <w:sz w:val="30"/>
        </w:rPr>
        <w:drawing>
          <wp:inline distT="0" distB="0" distL="0" distR="0">
            <wp:extent cx="4937760" cy="5039995"/>
            <wp:effectExtent l="0" t="0" r="15240" b="8255"/>
            <wp:docPr id="6926453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645368" name="图片 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957618" cy="5060279"/>
                    </a:xfrm>
                    <a:prstGeom prst="rect">
                      <a:avLst/>
                    </a:prstGeom>
                  </pic:spPr>
                </pic:pic>
              </a:graphicData>
            </a:graphic>
          </wp:inline>
        </w:drawing>
      </w:r>
    </w:p>
    <w:p w14:paraId="67B00398">
      <w:pPr>
        <w:pStyle w:val="713"/>
        <w:rPr>
          <w:color w:val="auto"/>
        </w:rPr>
      </w:pPr>
      <w:r>
        <w:rPr>
          <w:rFonts w:cs="Times New Roman"/>
          <w:color w:val="auto"/>
        </w:rPr>
        <w:t>图</w:t>
      </w:r>
      <w:r>
        <w:rPr>
          <w:rFonts w:hint="eastAsia" w:cs="Times New Roman"/>
          <w:color w:val="auto"/>
          <w:lang w:val="en-US" w:eastAsia="zh-CN"/>
        </w:rPr>
        <w:t>1.3</w:t>
      </w:r>
      <w:r>
        <w:rPr>
          <w:rFonts w:cs="Times New Roman"/>
          <w:color w:val="auto"/>
        </w:rPr>
        <w:t>-</w:t>
      </w:r>
      <w:r>
        <w:rPr>
          <w:rFonts w:hint="eastAsia" w:cs="Times New Roman"/>
          <w:color w:val="auto"/>
          <w:lang w:val="en-US" w:eastAsia="zh-CN"/>
        </w:rPr>
        <w:t>2</w:t>
      </w:r>
      <w:r>
        <w:rPr>
          <w:rFonts w:cs="Times New Roman"/>
          <w:color w:val="auto"/>
        </w:rPr>
        <w:t xml:space="preserve">  本项目地下水环境调查评价范围</w:t>
      </w:r>
    </w:p>
    <w:p w14:paraId="231228B5">
      <w:pPr>
        <w:pageBreakBefore w:val="0"/>
        <w:numPr>
          <w:ilvl w:val="0"/>
          <w:numId w:val="10"/>
        </w:numPr>
        <w:wordWrap/>
        <w:bidi w:val="0"/>
        <w:adjustRightInd/>
        <w:snapToGrid/>
        <w:ind w:firstLine="482"/>
        <w:rPr>
          <w:b/>
          <w:bCs/>
          <w:color w:val="auto"/>
        </w:rPr>
      </w:pPr>
      <w:r>
        <w:rPr>
          <w:b/>
          <w:bCs/>
          <w:color w:val="auto"/>
        </w:rPr>
        <w:t>声环境评价范围</w:t>
      </w:r>
    </w:p>
    <w:p w14:paraId="5E632036">
      <w:pPr>
        <w:pStyle w:val="23"/>
        <w:pageBreakBefore w:val="0"/>
        <w:wordWrap/>
        <w:bidi w:val="0"/>
        <w:adjustRightInd/>
        <w:snapToGrid/>
        <w:rPr>
          <w:color w:val="auto"/>
        </w:rPr>
      </w:pPr>
      <w:r>
        <w:rPr>
          <w:rFonts w:hint="eastAsia"/>
          <w:color w:val="auto"/>
        </w:rPr>
        <w:t>根据前</w:t>
      </w:r>
      <w:r>
        <w:rPr>
          <w:rFonts w:hint="eastAsia"/>
          <w:color w:val="auto"/>
          <w:lang w:val="en-US" w:eastAsia="zh-CN"/>
        </w:rPr>
        <w:t>文</w:t>
      </w:r>
      <w:r>
        <w:rPr>
          <w:rFonts w:hint="eastAsia"/>
          <w:color w:val="auto"/>
        </w:rPr>
        <w:t>等级判定可知，本项目</w:t>
      </w:r>
      <w:r>
        <w:rPr>
          <w:rFonts w:hint="eastAsia"/>
          <w:color w:val="auto"/>
          <w:lang w:val="en-US" w:eastAsia="zh-CN"/>
        </w:rPr>
        <w:t>声环境</w:t>
      </w:r>
      <w:r>
        <w:rPr>
          <w:rFonts w:hint="eastAsia"/>
          <w:color w:val="auto"/>
        </w:rPr>
        <w:t>评价等级为</w:t>
      </w:r>
      <w:r>
        <w:rPr>
          <w:rFonts w:hint="eastAsia"/>
          <w:color w:val="auto"/>
          <w:lang w:val="en-US" w:eastAsia="zh-CN"/>
        </w:rPr>
        <w:t>二</w:t>
      </w:r>
      <w:r>
        <w:rPr>
          <w:rFonts w:hint="eastAsia"/>
          <w:color w:val="auto"/>
        </w:rPr>
        <w:t>级。</w:t>
      </w:r>
      <w:r>
        <w:rPr>
          <w:rFonts w:hint="eastAsia"/>
          <w:color w:val="auto"/>
          <w:lang w:eastAsia="zh-CN"/>
        </w:rPr>
        <w:t>《环境影响评价技术导则 声环境》（HJ2.4-2021）</w:t>
      </w:r>
      <w:r>
        <w:rPr>
          <w:color w:val="auto"/>
        </w:rPr>
        <w:t>中规定</w:t>
      </w:r>
      <w:r>
        <w:rPr>
          <w:rFonts w:hint="eastAsia"/>
          <w:color w:val="auto"/>
          <w:lang w:eastAsia="zh-CN"/>
        </w:rPr>
        <w:t>“</w:t>
      </w:r>
      <w:r>
        <w:rPr>
          <w:color w:val="auto"/>
        </w:rPr>
        <w:t>噪声二级、三级评价范围可根据建设项目所在区域和相邻区域的声环境功能区类别及敏感目标等实际情况适当缩小</w:t>
      </w:r>
      <w:r>
        <w:rPr>
          <w:rFonts w:hint="eastAsia"/>
          <w:color w:val="auto"/>
          <w:lang w:eastAsia="zh-CN"/>
        </w:rPr>
        <w:t>”</w:t>
      </w:r>
      <w:r>
        <w:rPr>
          <w:color w:val="auto"/>
        </w:rPr>
        <w:t>。项目所在区域为</w:t>
      </w:r>
      <w:r>
        <w:rPr>
          <w:rFonts w:hint="eastAsia"/>
          <w:color w:val="auto"/>
          <w:lang w:val="en-US" w:eastAsia="zh-CN"/>
        </w:rPr>
        <w:t>3</w:t>
      </w:r>
      <w:r>
        <w:rPr>
          <w:color w:val="auto"/>
        </w:rPr>
        <w:t>类声功能区，项目声环境评价范围为项目厂界外200m范围内。</w:t>
      </w:r>
    </w:p>
    <w:p w14:paraId="76A50AB3">
      <w:pPr>
        <w:pageBreakBefore w:val="0"/>
        <w:numPr>
          <w:ilvl w:val="0"/>
          <w:numId w:val="10"/>
        </w:numPr>
        <w:wordWrap/>
        <w:bidi w:val="0"/>
        <w:adjustRightInd/>
        <w:snapToGrid/>
        <w:ind w:firstLine="482"/>
        <w:rPr>
          <w:b/>
          <w:bCs/>
          <w:color w:val="auto"/>
        </w:rPr>
      </w:pPr>
      <w:r>
        <w:rPr>
          <w:b/>
          <w:bCs/>
          <w:color w:val="auto"/>
        </w:rPr>
        <w:t>环境风险评价范围</w:t>
      </w:r>
    </w:p>
    <w:p w14:paraId="1BC04058">
      <w:pPr>
        <w:pageBreakBefore w:val="0"/>
        <w:wordWrap/>
        <w:bidi w:val="0"/>
        <w:adjustRightInd/>
        <w:snapToGrid/>
        <w:ind w:firstLine="480"/>
        <w:rPr>
          <w:color w:val="auto"/>
        </w:rPr>
      </w:pPr>
      <w:r>
        <w:rPr>
          <w:rFonts w:hint="eastAsia"/>
          <w:color w:val="auto"/>
        </w:rPr>
        <w:t>根据前</w:t>
      </w:r>
      <w:r>
        <w:rPr>
          <w:rFonts w:hint="eastAsia"/>
          <w:color w:val="auto"/>
          <w:lang w:val="en-US" w:eastAsia="zh-CN"/>
        </w:rPr>
        <w:t>文</w:t>
      </w:r>
      <w:r>
        <w:rPr>
          <w:rFonts w:hint="eastAsia"/>
          <w:color w:val="auto"/>
        </w:rPr>
        <w:t>等级判定可知，本项目</w:t>
      </w:r>
      <w:r>
        <w:rPr>
          <w:rFonts w:hint="eastAsia"/>
          <w:color w:val="auto"/>
          <w:lang w:val="en-US" w:eastAsia="zh-CN"/>
        </w:rPr>
        <w:t>环境风险</w:t>
      </w:r>
      <w:r>
        <w:rPr>
          <w:rFonts w:hint="eastAsia"/>
          <w:color w:val="auto"/>
        </w:rPr>
        <w:t>评</w:t>
      </w:r>
      <w:r>
        <w:rPr>
          <w:rFonts w:hint="default" w:ascii="Times New Roman" w:hAnsi="Times New Roman" w:cs="Times New Roman"/>
          <w:color w:val="auto"/>
        </w:rPr>
        <w:t>价等级为</w:t>
      </w:r>
      <w:r>
        <w:rPr>
          <w:rFonts w:hint="default" w:ascii="Times New Roman" w:hAnsi="Times New Roman" w:eastAsia="微软雅黑" w:cs="Times New Roman"/>
          <w:color w:val="auto"/>
        </w:rPr>
        <w:t>Ⅳ</w:t>
      </w:r>
      <w:r>
        <w:rPr>
          <w:rFonts w:hint="default" w:ascii="Times New Roman" w:hAnsi="Times New Roman" w:eastAsia="微软雅黑" w:cs="Times New Roman"/>
          <w:color w:val="auto"/>
          <w:lang w:val="en-US" w:eastAsia="zh-CN"/>
        </w:rPr>
        <w:t>级</w:t>
      </w:r>
      <w:r>
        <w:rPr>
          <w:rFonts w:hint="default" w:ascii="Times New Roman" w:hAnsi="Times New Roman" w:cs="Times New Roman"/>
          <w:color w:val="auto"/>
        </w:rPr>
        <w:t>。根</w:t>
      </w:r>
      <w:r>
        <w:rPr>
          <w:color w:val="auto"/>
        </w:rPr>
        <w:t>据《建设项目环境风险评价技术导则》（HJ169-2018）的有关规定，简要分析无需设定评价范围。</w:t>
      </w:r>
    </w:p>
    <w:p w14:paraId="46392261">
      <w:pPr>
        <w:pageBreakBefore w:val="0"/>
        <w:numPr>
          <w:ilvl w:val="0"/>
          <w:numId w:val="10"/>
        </w:numPr>
        <w:wordWrap/>
        <w:bidi w:val="0"/>
        <w:adjustRightInd/>
        <w:snapToGrid/>
        <w:ind w:firstLine="482"/>
        <w:rPr>
          <w:b/>
          <w:bCs/>
          <w:color w:val="auto"/>
        </w:rPr>
      </w:pPr>
      <w:r>
        <w:rPr>
          <w:b/>
          <w:bCs/>
          <w:color w:val="auto"/>
        </w:rPr>
        <w:t>土壤环境评价范围</w:t>
      </w:r>
    </w:p>
    <w:p w14:paraId="4ED007CB">
      <w:pPr>
        <w:pStyle w:val="23"/>
        <w:pageBreakBefore w:val="0"/>
        <w:wordWrap/>
        <w:bidi w:val="0"/>
        <w:adjustRightInd/>
        <w:snapToGrid/>
        <w:jc w:val="left"/>
        <w:rPr>
          <w:color w:val="auto"/>
          <w:szCs w:val="32"/>
        </w:rPr>
      </w:pPr>
      <w:r>
        <w:rPr>
          <w:rFonts w:hint="eastAsia"/>
          <w:color w:val="auto"/>
        </w:rPr>
        <w:t>根据前</w:t>
      </w:r>
      <w:r>
        <w:rPr>
          <w:rFonts w:hint="eastAsia"/>
          <w:color w:val="auto"/>
          <w:lang w:val="en-US" w:eastAsia="zh-CN"/>
        </w:rPr>
        <w:t>文</w:t>
      </w:r>
      <w:r>
        <w:rPr>
          <w:rFonts w:hint="eastAsia"/>
          <w:color w:val="auto"/>
        </w:rPr>
        <w:t>等级判定可知，本项目</w:t>
      </w:r>
      <w:r>
        <w:rPr>
          <w:rFonts w:hint="eastAsia"/>
          <w:color w:val="auto"/>
          <w:lang w:val="en-US" w:eastAsia="zh-CN"/>
        </w:rPr>
        <w:t>土壤</w:t>
      </w:r>
      <w:r>
        <w:rPr>
          <w:rFonts w:hint="eastAsia"/>
          <w:color w:val="auto"/>
        </w:rPr>
        <w:t>评</w:t>
      </w:r>
      <w:r>
        <w:rPr>
          <w:rFonts w:hint="default" w:ascii="Times New Roman" w:hAnsi="Times New Roman" w:cs="Times New Roman"/>
          <w:color w:val="auto"/>
        </w:rPr>
        <w:t>价等级为</w:t>
      </w:r>
      <w:r>
        <w:rPr>
          <w:rFonts w:hint="eastAsia" w:ascii="Times New Roman" w:hAnsi="Times New Roman" w:eastAsia="微软雅黑" w:cs="Times New Roman"/>
          <w:color w:val="auto"/>
          <w:lang w:val="en-US" w:eastAsia="zh-CN"/>
        </w:rPr>
        <w:t>二</w:t>
      </w:r>
      <w:r>
        <w:rPr>
          <w:rFonts w:hint="default" w:ascii="Times New Roman" w:hAnsi="Times New Roman" w:eastAsia="微软雅黑" w:cs="Times New Roman"/>
          <w:color w:val="auto"/>
          <w:lang w:val="en-US" w:eastAsia="zh-CN"/>
        </w:rPr>
        <w:t>级</w:t>
      </w:r>
      <w:r>
        <w:rPr>
          <w:rFonts w:hint="default" w:ascii="Times New Roman" w:hAnsi="Times New Roman" w:cs="Times New Roman"/>
          <w:color w:val="auto"/>
        </w:rPr>
        <w:t>。</w:t>
      </w:r>
      <w:r>
        <w:rPr>
          <w:color w:val="auto"/>
          <w:szCs w:val="32"/>
        </w:rPr>
        <w:t>《环境影响评价技术导则 土壤环境（试行）》（HJ 964-2018）的有关规定，评价范围为项目占地范围外0.</w:t>
      </w:r>
      <w:r>
        <w:rPr>
          <w:rFonts w:hint="eastAsia"/>
          <w:color w:val="auto"/>
          <w:szCs w:val="32"/>
          <w:lang w:val="en-US" w:eastAsia="zh-CN"/>
        </w:rPr>
        <w:t>2</w:t>
      </w:r>
      <w:r>
        <w:rPr>
          <w:color w:val="auto"/>
          <w:szCs w:val="32"/>
        </w:rPr>
        <w:t>km范围内。</w:t>
      </w:r>
    </w:p>
    <w:bookmarkEnd w:id="36"/>
    <w:bookmarkEnd w:id="37"/>
    <w:bookmarkEnd w:id="38"/>
    <w:bookmarkEnd w:id="39"/>
    <w:p w14:paraId="4D6B89A3">
      <w:pPr>
        <w:pStyle w:val="4"/>
        <w:pageBreakBefore w:val="0"/>
        <w:wordWrap/>
        <w:bidi w:val="0"/>
        <w:adjustRightInd/>
        <w:snapToGrid/>
        <w:rPr>
          <w:rFonts w:ascii="Times New Roman" w:hAnsi="Times New Roman" w:eastAsia="宋体"/>
          <w:color w:val="auto"/>
        </w:rPr>
      </w:pPr>
      <w:bookmarkStart w:id="55" w:name="_Toc26084"/>
      <w:bookmarkStart w:id="56" w:name="_Toc505087337"/>
      <w:r>
        <w:rPr>
          <w:rFonts w:hint="eastAsia" w:ascii="Times New Roman" w:hAnsi="Times New Roman" w:eastAsia="宋体"/>
          <w:color w:val="auto"/>
        </w:rPr>
        <w:t xml:space="preserve"> </w:t>
      </w:r>
      <w:bookmarkStart w:id="57" w:name="_Toc26005"/>
      <w:r>
        <w:rPr>
          <w:rFonts w:ascii="Times New Roman" w:hAnsi="Times New Roman" w:eastAsia="宋体"/>
          <w:color w:val="auto"/>
        </w:rPr>
        <w:t>相关规划及环境功能区划</w:t>
      </w:r>
      <w:bookmarkEnd w:id="55"/>
      <w:bookmarkEnd w:id="57"/>
    </w:p>
    <w:bookmarkEnd w:id="56"/>
    <w:p w14:paraId="296AF4FD">
      <w:pPr>
        <w:pStyle w:val="5"/>
        <w:pageBreakBefore w:val="0"/>
        <w:wordWrap/>
        <w:bidi w:val="0"/>
        <w:adjustRightInd/>
        <w:snapToGrid/>
        <w:rPr>
          <w:color w:val="auto"/>
        </w:rPr>
      </w:pPr>
      <w:r>
        <w:rPr>
          <w:rFonts w:hint="eastAsia"/>
          <w:color w:val="auto"/>
        </w:rPr>
        <w:t xml:space="preserve"> </w:t>
      </w:r>
      <w:r>
        <w:rPr>
          <w:color w:val="auto"/>
        </w:rPr>
        <w:t>项目建设的必要性</w:t>
      </w:r>
    </w:p>
    <w:p w14:paraId="55937C76">
      <w:pPr>
        <w:pageBreakBefore w:val="0"/>
        <w:wordWrap/>
        <w:bidi w:val="0"/>
        <w:adjustRightInd/>
        <w:snapToGrid/>
        <w:rPr>
          <w:b/>
          <w:bCs/>
          <w:i w:val="0"/>
          <w:iCs w:val="0"/>
          <w:color w:val="auto"/>
        </w:rPr>
      </w:pPr>
      <w:r>
        <w:rPr>
          <w:b/>
          <w:bCs/>
          <w:i w:val="0"/>
          <w:iCs w:val="0"/>
          <w:color w:val="auto"/>
        </w:rPr>
        <w:t>1．</w:t>
      </w:r>
      <w:r>
        <w:rPr>
          <w:rFonts w:hint="eastAsia"/>
          <w:b/>
          <w:bCs/>
          <w:i w:val="0"/>
          <w:iCs w:val="0"/>
          <w:color w:val="auto"/>
        </w:rPr>
        <w:t>项目实施是改善当地市政基础设施的需要</w:t>
      </w:r>
    </w:p>
    <w:p w14:paraId="6864F7E9">
      <w:pPr>
        <w:pageBreakBefore w:val="0"/>
        <w:wordWrap/>
        <w:bidi w:val="0"/>
        <w:adjustRightInd/>
        <w:snapToGrid/>
        <w:rPr>
          <w:color w:val="auto"/>
        </w:rPr>
      </w:pPr>
      <w:r>
        <w:rPr>
          <w:rFonts w:hint="eastAsia"/>
          <w:color w:val="auto"/>
        </w:rPr>
        <w:t>为了改善城乡生活生态投资环境，改善城市形象，拓展城乡发展空间，为巴中曾口</w:t>
      </w:r>
      <w:r>
        <w:rPr>
          <w:rFonts w:hint="eastAsia"/>
          <w:color w:val="auto"/>
          <w:lang w:eastAsia="zh-CN"/>
        </w:rPr>
        <w:t>—</w:t>
      </w:r>
      <w:r>
        <w:rPr>
          <w:rFonts w:hint="eastAsia"/>
          <w:color w:val="auto"/>
        </w:rPr>
        <w:t>金堂化工园区提供良好的市政基础配套设施，增强巴中曾口</w:t>
      </w:r>
      <w:r>
        <w:rPr>
          <w:rFonts w:hint="eastAsia"/>
          <w:color w:val="auto"/>
          <w:lang w:eastAsia="zh-CN"/>
        </w:rPr>
        <w:t>—</w:t>
      </w:r>
      <w:r>
        <w:rPr>
          <w:rFonts w:hint="eastAsia"/>
          <w:color w:val="auto"/>
        </w:rPr>
        <w:t>金堂化工园区的环境承载能力。需要提供更为完善的公共产品及公共服务体系，尤其是要求环境治理、环境保护跟上巴中</w:t>
      </w:r>
      <w:r>
        <w:rPr>
          <w:rFonts w:hint="eastAsia"/>
          <w:color w:val="auto"/>
          <w:lang w:eastAsia="zh-CN"/>
        </w:rPr>
        <w:t>曾口—金堂</w:t>
      </w:r>
      <w:r>
        <w:rPr>
          <w:rFonts w:hint="eastAsia"/>
          <w:color w:val="auto"/>
        </w:rPr>
        <w:t>化工园区建设的步伐，以求满足发展的需要。市政基础设施建设是形成产业链的基础条件，基础设施建设有助于实现巴中</w:t>
      </w:r>
      <w:r>
        <w:rPr>
          <w:rFonts w:hint="eastAsia"/>
          <w:color w:val="auto"/>
          <w:lang w:eastAsia="zh-CN"/>
        </w:rPr>
        <w:t>曾口—金堂</w:t>
      </w:r>
      <w:r>
        <w:rPr>
          <w:rFonts w:hint="eastAsia"/>
          <w:color w:val="auto"/>
        </w:rPr>
        <w:t>化工园区发展规划目标。</w:t>
      </w:r>
    </w:p>
    <w:p w14:paraId="74BDB3C6">
      <w:pPr>
        <w:pageBreakBefore w:val="0"/>
        <w:numPr>
          <w:ilvl w:val="0"/>
          <w:numId w:val="12"/>
        </w:numPr>
        <w:wordWrap/>
        <w:bidi w:val="0"/>
        <w:adjustRightInd/>
        <w:snapToGrid/>
        <w:rPr>
          <w:rFonts w:hint="eastAsia"/>
          <w:b/>
          <w:bCs/>
          <w:color w:val="auto"/>
        </w:rPr>
      </w:pPr>
      <w:r>
        <w:rPr>
          <w:rFonts w:hint="eastAsia"/>
          <w:b/>
          <w:bCs/>
          <w:color w:val="auto"/>
        </w:rPr>
        <w:t>项目实施是促进经济发展的需要</w:t>
      </w:r>
    </w:p>
    <w:p w14:paraId="3062FC95">
      <w:pPr>
        <w:pageBreakBefore w:val="0"/>
        <w:wordWrap/>
        <w:bidi w:val="0"/>
        <w:adjustRightInd/>
        <w:snapToGrid/>
        <w:rPr>
          <w:color w:val="auto"/>
        </w:rPr>
      </w:pPr>
      <w:r>
        <w:rPr>
          <w:color w:val="auto"/>
        </w:rPr>
        <w:t>根据相关规划，城市发展目标中论述要保护自然形态，组建生态空间，把园区建设成为现代化城市。水环境的治理和改善是生态稳定的先决条件，因此本项目的建设充分贯彻了城市发展战略，完善了区域内污水收集处理系统，将有力地促进</w:t>
      </w:r>
      <w:r>
        <w:rPr>
          <w:rFonts w:hint="eastAsia"/>
          <w:color w:val="auto"/>
          <w:lang w:eastAsia="zh-CN"/>
        </w:rPr>
        <w:t>巴州区</w:t>
      </w:r>
      <w:r>
        <w:rPr>
          <w:color w:val="auto"/>
        </w:rPr>
        <w:t>环境建设的步伐和进程，是实现</w:t>
      </w:r>
      <w:r>
        <w:rPr>
          <w:rFonts w:hint="eastAsia"/>
          <w:color w:val="auto"/>
          <w:lang w:eastAsia="zh-CN"/>
        </w:rPr>
        <w:t>巴州区</w:t>
      </w:r>
      <w:r>
        <w:rPr>
          <w:color w:val="auto"/>
        </w:rPr>
        <w:t>可持续发展的需要。</w:t>
      </w:r>
    </w:p>
    <w:p w14:paraId="4A04DA44">
      <w:pPr>
        <w:pageBreakBefore w:val="0"/>
        <w:numPr>
          <w:ilvl w:val="0"/>
          <w:numId w:val="12"/>
        </w:numPr>
        <w:wordWrap/>
        <w:bidi w:val="0"/>
        <w:adjustRightInd/>
        <w:snapToGrid/>
        <w:ind w:left="0" w:leftChars="0" w:firstLine="482" w:firstLineChars="200"/>
        <w:rPr>
          <w:rFonts w:hint="eastAsia"/>
          <w:b/>
          <w:bCs/>
          <w:color w:val="auto"/>
        </w:rPr>
      </w:pPr>
      <w:r>
        <w:rPr>
          <w:rFonts w:hint="eastAsia"/>
          <w:b/>
          <w:bCs/>
          <w:color w:val="auto"/>
        </w:rPr>
        <w:t>项目的实施是提高城镇化水平的需要</w:t>
      </w:r>
    </w:p>
    <w:p w14:paraId="5AA40AFA">
      <w:pPr>
        <w:pageBreakBefore w:val="0"/>
        <w:wordWrap/>
        <w:bidi w:val="0"/>
        <w:adjustRightInd/>
        <w:snapToGrid/>
        <w:rPr>
          <w:rFonts w:hint="eastAsia" w:eastAsia="宋体"/>
          <w:color w:val="auto"/>
          <w:lang w:val="en-US" w:eastAsia="zh-CN"/>
        </w:rPr>
      </w:pPr>
      <w:r>
        <w:rPr>
          <w:rFonts w:hint="eastAsia"/>
          <w:color w:val="auto"/>
        </w:rPr>
        <w:t>巴中曾口</w:t>
      </w:r>
      <w:r>
        <w:rPr>
          <w:rFonts w:hint="eastAsia"/>
          <w:color w:val="auto"/>
          <w:lang w:eastAsia="zh-CN"/>
        </w:rPr>
        <w:t>—</w:t>
      </w:r>
      <w:r>
        <w:rPr>
          <w:rFonts w:hint="eastAsia"/>
          <w:color w:val="auto"/>
        </w:rPr>
        <w:t>金堂化工园区市政基础设施的完善程度将成为吸引外来投资的先决条件。现代城镇建设要求合理安排城镇建设，达到保护和改善城镇生态环境，优化人居环境，促进城镇可持续发展的目的。城镇化基础设施，是城镇现代化建设的重要内容，是改善生活环境和提高广大人民群众生活质量的公益事业。随着城镇化进程的加快，原有城镇的区域边界将加快向外扩张，需要更多的基础设施解决新的城市人口的生活需要和支撑经济发展的硬环境。因此，包括城镇道路、市政设施在内的基础设施建设也成为衡量一个地区综合实力的重要指标，决定着一个地区的经济发展后劲和发展活力。这就对市政基础设施建设提出了更高和更加迫切的要求</w:t>
      </w:r>
      <w:r>
        <w:rPr>
          <w:rFonts w:hint="eastAsia"/>
          <w:color w:val="auto"/>
          <w:lang w:eastAsia="zh-CN"/>
        </w:rPr>
        <w:t>。</w:t>
      </w:r>
    </w:p>
    <w:p w14:paraId="087C0532">
      <w:pPr>
        <w:pageBreakBefore w:val="0"/>
        <w:wordWrap/>
        <w:bidi w:val="0"/>
        <w:adjustRightInd/>
        <w:snapToGrid/>
        <w:rPr>
          <w:b/>
          <w:bCs/>
          <w:color w:val="auto"/>
        </w:rPr>
      </w:pPr>
      <w:r>
        <w:rPr>
          <w:b/>
          <w:bCs/>
          <w:color w:val="auto"/>
        </w:rPr>
        <w:t>4．</w:t>
      </w:r>
      <w:r>
        <w:rPr>
          <w:rFonts w:hint="eastAsia"/>
          <w:b/>
          <w:bCs/>
          <w:color w:val="auto"/>
        </w:rPr>
        <w:t>项目实施是提高巴中曾口</w:t>
      </w:r>
      <w:r>
        <w:rPr>
          <w:rFonts w:hint="eastAsia"/>
          <w:b/>
          <w:bCs/>
          <w:color w:val="auto"/>
          <w:lang w:eastAsia="zh-CN"/>
        </w:rPr>
        <w:t>—</w:t>
      </w:r>
      <w:r>
        <w:rPr>
          <w:rFonts w:hint="eastAsia"/>
          <w:b/>
          <w:bCs/>
          <w:color w:val="auto"/>
        </w:rPr>
        <w:t>金堂化工园区生态环境保护的需要</w:t>
      </w:r>
    </w:p>
    <w:p w14:paraId="42533FBA">
      <w:pPr>
        <w:pageBreakBefore w:val="0"/>
        <w:wordWrap/>
        <w:bidi w:val="0"/>
        <w:adjustRightInd/>
        <w:snapToGrid/>
        <w:rPr>
          <w:rFonts w:hint="eastAsia"/>
          <w:color w:val="auto"/>
        </w:rPr>
      </w:pPr>
      <w:r>
        <w:rPr>
          <w:rFonts w:hint="eastAsia"/>
          <w:color w:val="auto"/>
        </w:rPr>
        <w:t>通过本项目建设，将改善产业园园区生态环境，改善巴河水质。同时，为该园区污水彻底治理提供保障。也为园区招商引资提高一个良好的生态环境，跟企业入驻门槛，降低企业初期投资成本及运营成本。</w:t>
      </w:r>
    </w:p>
    <w:p w14:paraId="2DB671AA">
      <w:pPr>
        <w:pageBreakBefore w:val="0"/>
        <w:wordWrap/>
        <w:bidi w:val="0"/>
        <w:adjustRightInd/>
        <w:snapToGrid/>
        <w:rPr>
          <w:rFonts w:hint="eastAsia"/>
          <w:color w:val="auto"/>
        </w:rPr>
      </w:pPr>
      <w:r>
        <w:rPr>
          <w:rFonts w:hint="eastAsia"/>
          <w:color w:val="auto"/>
        </w:rPr>
        <w:t>因此，本项目尽早建成对巴中</w:t>
      </w:r>
      <w:r>
        <w:rPr>
          <w:rFonts w:hint="eastAsia"/>
          <w:color w:val="auto"/>
          <w:lang w:eastAsia="zh-CN"/>
        </w:rPr>
        <w:t>曾口—金堂</w:t>
      </w:r>
      <w:r>
        <w:rPr>
          <w:rFonts w:hint="eastAsia"/>
          <w:color w:val="auto"/>
        </w:rPr>
        <w:t>化工园区有着重大意义，对保证排水安全，促进城镇建设及地区经济的持续发展，改善城市生态环境、投资环境，提高居民生活质量等方面，都具有重要的意义，是十分必要的。</w:t>
      </w:r>
    </w:p>
    <w:p w14:paraId="6C3DF495">
      <w:pPr>
        <w:pageBreakBefore w:val="0"/>
        <w:wordWrap/>
        <w:bidi w:val="0"/>
        <w:adjustRightInd/>
        <w:snapToGrid/>
        <w:rPr>
          <w:b/>
          <w:bCs/>
          <w:color w:val="auto"/>
        </w:rPr>
      </w:pPr>
      <w:r>
        <w:rPr>
          <w:b/>
          <w:bCs/>
          <w:color w:val="auto"/>
        </w:rPr>
        <w:t>5．</w:t>
      </w:r>
      <w:r>
        <w:rPr>
          <w:rFonts w:hint="eastAsia"/>
          <w:b/>
          <w:bCs/>
          <w:color w:val="auto"/>
        </w:rPr>
        <w:t>落实科学发展观和构建和谐社会的要求</w:t>
      </w:r>
    </w:p>
    <w:p w14:paraId="3D5E82B0">
      <w:pPr>
        <w:pageBreakBefore w:val="0"/>
        <w:wordWrap/>
        <w:bidi w:val="0"/>
        <w:adjustRightInd/>
        <w:snapToGrid/>
        <w:rPr>
          <w:color w:val="auto"/>
        </w:rPr>
      </w:pPr>
      <w:r>
        <w:rPr>
          <w:rFonts w:hint="eastAsia"/>
          <w:color w:val="auto"/>
        </w:rPr>
        <w:t>按照落实科学发展观和构建社会主义和谐社会的要求，坚持城乡统筹发展，进一步调整国民收入分配格局，走工业反哺农业、城市支持农村的道路，逐步改变城乡二元结构，努力消除城乡协调发展的体制性障碍，促进资源城乡之间合理配置，建立城乡社会事业和基础设施共同发展的运行机制。</w:t>
      </w:r>
    </w:p>
    <w:p w14:paraId="076A9BB6">
      <w:pPr>
        <w:pageBreakBefore w:val="0"/>
        <w:wordWrap/>
        <w:bidi w:val="0"/>
        <w:adjustRightInd/>
        <w:snapToGrid/>
        <w:rPr>
          <w:b/>
          <w:bCs/>
          <w:color w:val="auto"/>
        </w:rPr>
      </w:pPr>
      <w:r>
        <w:rPr>
          <w:rFonts w:hint="eastAsia"/>
          <w:b/>
          <w:bCs/>
          <w:color w:val="auto"/>
          <w:lang w:val="en-US" w:eastAsia="zh-CN"/>
        </w:rPr>
        <w:t>6</w:t>
      </w:r>
      <w:r>
        <w:rPr>
          <w:b/>
          <w:bCs/>
          <w:color w:val="auto"/>
        </w:rPr>
        <w:t>．</w:t>
      </w:r>
      <w:r>
        <w:rPr>
          <w:rFonts w:hint="eastAsia"/>
          <w:b/>
          <w:bCs/>
          <w:color w:val="auto"/>
        </w:rPr>
        <w:t>满足园区招商引资的要求</w:t>
      </w:r>
    </w:p>
    <w:p w14:paraId="3348B386">
      <w:pPr>
        <w:pageBreakBefore w:val="0"/>
        <w:wordWrap/>
        <w:bidi w:val="0"/>
        <w:adjustRightInd/>
        <w:snapToGrid/>
        <w:rPr>
          <w:rFonts w:hint="eastAsia"/>
          <w:color w:val="auto"/>
        </w:rPr>
      </w:pPr>
      <w:r>
        <w:rPr>
          <w:rFonts w:hint="eastAsia"/>
          <w:color w:val="auto"/>
        </w:rPr>
        <w:t>从目前园区招商引资，很多意向性企业想入驻巴中曾口</w:t>
      </w:r>
      <w:r>
        <w:rPr>
          <w:rFonts w:hint="eastAsia"/>
          <w:color w:val="auto"/>
          <w:lang w:eastAsia="zh-CN"/>
        </w:rPr>
        <w:t>—</w:t>
      </w:r>
      <w:r>
        <w:rPr>
          <w:rFonts w:hint="eastAsia"/>
          <w:color w:val="auto"/>
        </w:rPr>
        <w:t>金堂化工园区，苦于现在工业园污水收集及没有污水处理厂处理污水，而环境保护意识中不能以过往的发展眼光来要求，除了发展经济之外，环境保护也很重要，这</w:t>
      </w:r>
      <w:r>
        <w:rPr>
          <w:rFonts w:hint="eastAsia"/>
          <w:color w:val="auto"/>
          <w:lang w:eastAsia="zh-CN"/>
        </w:rPr>
        <w:t>就</w:t>
      </w:r>
      <w:r>
        <w:rPr>
          <w:rFonts w:hint="eastAsia"/>
          <w:color w:val="auto"/>
        </w:rPr>
        <w:t>入驻的企业提出了更加严格要求，而企业处理污水达到城市综合污水排放标准，势必会加大设备处理的投资，这对企业来说无限增加了投资成本。而该项目的实施可以解决大多数一般污染企业的污水处理问题。而对应严重污染企业，只要污水出来后达到综合污水排放标准三级，就可以直接排入新建的污水处理厂截污管道。</w:t>
      </w:r>
    </w:p>
    <w:p w14:paraId="5DE5318D">
      <w:pPr>
        <w:pageBreakBefore w:val="0"/>
        <w:wordWrap/>
        <w:bidi w:val="0"/>
        <w:adjustRightInd/>
        <w:snapToGrid/>
        <w:rPr>
          <w:color w:val="auto"/>
        </w:rPr>
      </w:pPr>
      <w:r>
        <w:rPr>
          <w:rFonts w:hint="eastAsia"/>
          <w:color w:val="auto"/>
        </w:rPr>
        <w:t>从此意义上来说，一个好的投资环境、生产环境对企业来说是较有很大的吸引力的，可以降低企业的投资成本。从园区招商引资层面上来说，该项目的建设也势在必行。</w:t>
      </w:r>
    </w:p>
    <w:p w14:paraId="73DE7B4F">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相关规划符合性分析</w:t>
      </w:r>
    </w:p>
    <w:p w14:paraId="2D5A56A7">
      <w:pPr>
        <w:pStyle w:val="10"/>
        <w:pageBreakBefore w:val="0"/>
        <w:wordWrap/>
        <w:bidi w:val="0"/>
        <w:adjustRightInd/>
        <w:snapToGrid/>
        <w:rPr>
          <w:color w:val="auto"/>
        </w:rPr>
      </w:pPr>
      <w:r>
        <w:rPr>
          <w:color w:val="auto"/>
        </w:rPr>
        <w:t>产业政策符合性分析</w:t>
      </w:r>
    </w:p>
    <w:p w14:paraId="63B6BDB0">
      <w:pPr>
        <w:pageBreakBefore w:val="0"/>
        <w:wordWrap/>
        <w:bidi w:val="0"/>
        <w:adjustRightInd/>
        <w:snapToGrid/>
        <w:ind w:firstLine="480"/>
        <w:rPr>
          <w:color w:val="auto"/>
          <w:shd w:val="clear" w:color="auto" w:fill="FFFFFF"/>
        </w:rPr>
      </w:pPr>
      <w:r>
        <w:rPr>
          <w:color w:val="auto"/>
          <w:shd w:val="clear" w:color="auto" w:fill="FFFFFF"/>
        </w:rPr>
        <w:t>根据</w:t>
      </w:r>
      <w:r>
        <w:rPr>
          <w:color w:val="auto"/>
        </w:rPr>
        <w:t>《国民经济行业分类》（GB/T4754-2017），项目属于</w:t>
      </w:r>
      <w:r>
        <w:rPr>
          <w:rFonts w:hint="eastAsia"/>
          <w:color w:val="auto"/>
          <w:lang w:eastAsia="zh-CN"/>
        </w:rPr>
        <w:t>“</w:t>
      </w:r>
      <w:r>
        <w:rPr>
          <w:color w:val="auto"/>
        </w:rPr>
        <w:t>D4620污水处理及其再生利用</w:t>
      </w:r>
      <w:r>
        <w:rPr>
          <w:rFonts w:hint="eastAsia"/>
          <w:color w:val="auto"/>
          <w:lang w:eastAsia="zh-CN"/>
        </w:rPr>
        <w:t>”</w:t>
      </w:r>
      <w:r>
        <w:rPr>
          <w:color w:val="auto"/>
        </w:rPr>
        <w:t>类项目。项目的建设用地不属于《禁止用地项目目录》（2012年本）中限制用地和禁止用地范围，项目属于《</w:t>
      </w:r>
      <w:r>
        <w:rPr>
          <w:rFonts w:hint="eastAsia"/>
          <w:color w:val="auto"/>
          <w:lang w:eastAsia="zh-CN"/>
        </w:rPr>
        <w:t>产业结构调整指导目录（2024年本）》</w:t>
      </w:r>
      <w:r>
        <w:rPr>
          <w:color w:val="auto"/>
        </w:rPr>
        <w:t>（</w:t>
      </w:r>
      <w:r>
        <w:rPr>
          <w:rFonts w:hint="eastAsia"/>
          <w:color w:val="auto"/>
          <w:lang w:eastAsia="zh-CN"/>
        </w:rPr>
        <w:t>中华人民共和国国家发展和改革委员会令 第7号</w:t>
      </w:r>
      <w:r>
        <w:rPr>
          <w:color w:val="auto"/>
        </w:rPr>
        <w:t>）中</w:t>
      </w:r>
      <w:r>
        <w:rPr>
          <w:rFonts w:hint="eastAsia"/>
          <w:color w:val="auto"/>
          <w:lang w:eastAsia="zh-CN"/>
        </w:rPr>
        <w:t>“</w:t>
      </w:r>
      <w:r>
        <w:rPr>
          <w:color w:val="auto"/>
        </w:rPr>
        <w:t>第一类 鼓励类</w:t>
      </w:r>
      <w:r>
        <w:rPr>
          <w:rFonts w:hint="eastAsia"/>
          <w:color w:val="auto"/>
          <w:lang w:eastAsia="zh-CN"/>
        </w:rPr>
        <w:t>”</w:t>
      </w:r>
      <w:r>
        <w:rPr>
          <w:color w:val="auto"/>
        </w:rPr>
        <w:t>中</w:t>
      </w:r>
      <w:r>
        <w:rPr>
          <w:rFonts w:hint="eastAsia"/>
          <w:color w:val="auto"/>
          <w:lang w:eastAsia="zh-CN"/>
        </w:rPr>
        <w:t>“</w:t>
      </w:r>
      <w:r>
        <w:rPr>
          <w:color w:val="auto"/>
        </w:rPr>
        <w:t>四十</w:t>
      </w:r>
      <w:r>
        <w:rPr>
          <w:rFonts w:hint="eastAsia"/>
          <w:color w:val="auto"/>
          <w:lang w:val="en-US" w:eastAsia="zh-CN"/>
        </w:rPr>
        <w:t>二</w:t>
      </w:r>
      <w:r>
        <w:rPr>
          <w:color w:val="auto"/>
        </w:rPr>
        <w:t>、环境保护与资源节约综合利用</w:t>
      </w:r>
      <w:r>
        <w:rPr>
          <w:rFonts w:hint="eastAsia"/>
          <w:color w:val="auto"/>
          <w:lang w:eastAsia="zh-CN"/>
        </w:rPr>
        <w:t>”</w:t>
      </w:r>
      <w:r>
        <w:rPr>
          <w:color w:val="auto"/>
        </w:rPr>
        <w:t>之</w:t>
      </w:r>
      <w:r>
        <w:rPr>
          <w:rFonts w:hint="eastAsia"/>
          <w:color w:val="auto"/>
          <w:lang w:eastAsia="zh-CN"/>
        </w:rPr>
        <w:t>“</w:t>
      </w:r>
      <w:r>
        <w:rPr>
          <w:rFonts w:hint="eastAsia"/>
          <w:color w:val="auto"/>
          <w:lang w:val="en-US" w:eastAsia="zh-CN"/>
        </w:rPr>
        <w:t>10.工业“三废”循环利用：“三废”综合利用与治理技术、装备和工程</w:t>
      </w:r>
      <w:r>
        <w:rPr>
          <w:rFonts w:hint="eastAsia"/>
          <w:color w:val="auto"/>
          <w:lang w:eastAsia="zh-CN"/>
        </w:rPr>
        <w:t>”</w:t>
      </w:r>
      <w:r>
        <w:rPr>
          <w:color w:val="auto"/>
        </w:rPr>
        <w:t>。</w:t>
      </w:r>
      <w:r>
        <w:rPr>
          <w:color w:val="auto"/>
          <w:shd w:val="clear" w:color="auto" w:fill="FFFFFF"/>
        </w:rPr>
        <w:t>项目由</w:t>
      </w:r>
      <w:r>
        <w:rPr>
          <w:rFonts w:hint="eastAsia"/>
          <w:color w:val="auto"/>
          <w:lang w:eastAsia="zh-CN"/>
        </w:rPr>
        <w:t>巴州区发展和改革局</w:t>
      </w:r>
      <w:r>
        <w:rPr>
          <w:color w:val="auto"/>
          <w:shd w:val="clear" w:color="auto" w:fill="FFFFFF"/>
        </w:rPr>
        <w:t>以</w:t>
      </w:r>
      <w:r>
        <w:rPr>
          <w:rFonts w:hint="eastAsia"/>
          <w:color w:val="auto"/>
          <w:lang w:eastAsia="zh-CN"/>
        </w:rPr>
        <w:t>“川投资备【2402-511902-04-01-440507】FGQB-0055号”</w:t>
      </w:r>
      <w:r>
        <w:rPr>
          <w:color w:val="auto"/>
          <w:shd w:val="clear" w:color="auto" w:fill="FFFFFF"/>
        </w:rPr>
        <w:t>予以备案。</w:t>
      </w:r>
    </w:p>
    <w:p w14:paraId="714C26BE">
      <w:pPr>
        <w:pageBreakBefore w:val="0"/>
        <w:wordWrap/>
        <w:bidi w:val="0"/>
        <w:adjustRightInd/>
        <w:snapToGrid/>
        <w:ind w:firstLine="480"/>
        <w:rPr>
          <w:color w:val="auto"/>
          <w:shd w:val="clear" w:color="auto" w:fill="FFFFFF"/>
        </w:rPr>
      </w:pPr>
      <w:r>
        <w:rPr>
          <w:color w:val="auto"/>
          <w:u w:val="single"/>
          <w:shd w:val="clear" w:color="auto" w:fill="FFFFFF"/>
        </w:rPr>
        <w:t>综上所述，项目的建设符合国家现行产业政策</w:t>
      </w:r>
      <w:r>
        <w:rPr>
          <w:color w:val="auto"/>
          <w:shd w:val="clear" w:color="auto" w:fill="FFFFFF"/>
        </w:rPr>
        <w:t>。</w:t>
      </w:r>
    </w:p>
    <w:p w14:paraId="30488523">
      <w:pPr>
        <w:pStyle w:val="10"/>
        <w:pageBreakBefore w:val="0"/>
        <w:wordWrap/>
        <w:bidi w:val="0"/>
        <w:adjustRightInd/>
        <w:snapToGrid/>
        <w:rPr>
          <w:color w:val="auto"/>
        </w:rPr>
      </w:pPr>
      <w:r>
        <w:rPr>
          <w:rFonts w:hint="eastAsia"/>
          <w:color w:val="auto"/>
          <w:lang w:val="en-US" w:eastAsia="zh-CN"/>
        </w:rPr>
        <w:t>与</w:t>
      </w:r>
      <w:r>
        <w:rPr>
          <w:color w:val="auto"/>
        </w:rPr>
        <w:t>《</w:t>
      </w:r>
      <w:r>
        <w:rPr>
          <w:rFonts w:hint="eastAsia"/>
          <w:color w:val="auto"/>
          <w:lang w:eastAsia="zh-CN"/>
        </w:rPr>
        <w:t>巴中曾口-金堂化工园区总体规划（2022-2035年）</w:t>
      </w:r>
      <w:r>
        <w:rPr>
          <w:color w:val="auto"/>
        </w:rPr>
        <w:t>》符合性分析</w:t>
      </w:r>
    </w:p>
    <w:p w14:paraId="19B65337">
      <w:pPr>
        <w:pageBreakBefore w:val="0"/>
        <w:wordWrap/>
        <w:bidi w:val="0"/>
        <w:adjustRightInd/>
        <w:snapToGrid/>
        <w:ind w:firstLine="480"/>
        <w:rPr>
          <w:rFonts w:hint="eastAsia"/>
          <w:color w:val="auto"/>
        </w:rPr>
      </w:pPr>
      <w:r>
        <w:rPr>
          <w:rFonts w:hint="eastAsia"/>
          <w:color w:val="auto"/>
          <w:lang w:eastAsia="zh-CN"/>
        </w:rPr>
        <w:t>四川巴中经济开发区</w:t>
      </w:r>
      <w:r>
        <w:rPr>
          <w:rFonts w:hint="eastAsia"/>
          <w:color w:val="auto"/>
          <w:lang w:val="en-US" w:eastAsia="zh-CN"/>
        </w:rPr>
        <w:t>-曾口区块</w:t>
      </w:r>
      <w:r>
        <w:rPr>
          <w:color w:val="auto"/>
        </w:rPr>
        <w:t>位于</w:t>
      </w:r>
      <w:r>
        <w:rPr>
          <w:rFonts w:hint="eastAsia"/>
          <w:color w:val="auto"/>
          <w:lang w:val="en-US" w:eastAsia="zh-CN"/>
        </w:rPr>
        <w:t>巴中市巴州区</w:t>
      </w:r>
      <w:r>
        <w:rPr>
          <w:color w:val="auto"/>
        </w:rPr>
        <w:t>内，</w:t>
      </w:r>
      <w:r>
        <w:rPr>
          <w:rFonts w:hint="eastAsia"/>
          <w:color w:val="auto"/>
          <w:lang w:eastAsia="zh-CN"/>
        </w:rPr>
        <w:t>巴中曾口-金堂化工园区总体规划（2022-2035年）</w:t>
      </w:r>
      <w:r>
        <w:rPr>
          <w:color w:val="auto"/>
        </w:rPr>
        <w:t>中提出排水方案为：</w:t>
      </w:r>
      <w:r>
        <w:rPr>
          <w:rFonts w:hint="eastAsia"/>
          <w:color w:val="auto"/>
        </w:rPr>
        <w:t>结合曾口区块、金堂区块产业链规划，参考同类项目，预测至规划期末，曾口区块规划工业废水产生量共约1.54万</w:t>
      </w:r>
      <w:r>
        <w:rPr>
          <w:rFonts w:hint="eastAsia"/>
          <w:color w:val="auto"/>
          <w:lang w:eastAsia="zh-CN"/>
        </w:rPr>
        <w:t>m³</w:t>
      </w:r>
      <w:r>
        <w:rPr>
          <w:rFonts w:hint="eastAsia"/>
          <w:color w:val="auto"/>
        </w:rPr>
        <w:t>/天，金堂区块规划工业废水产生量共约0.72万</w:t>
      </w:r>
      <w:r>
        <w:rPr>
          <w:rFonts w:hint="eastAsia"/>
          <w:color w:val="auto"/>
          <w:lang w:eastAsia="zh-CN"/>
        </w:rPr>
        <w:t>m³</w:t>
      </w:r>
      <w:r>
        <w:rPr>
          <w:rFonts w:hint="eastAsia"/>
          <w:color w:val="auto"/>
        </w:rPr>
        <w:t>/天，规划区污水产生总量约为2.26万</w:t>
      </w:r>
      <w:r>
        <w:rPr>
          <w:rFonts w:hint="eastAsia"/>
          <w:color w:val="auto"/>
          <w:lang w:eastAsia="zh-CN"/>
        </w:rPr>
        <w:t>m³</w:t>
      </w:r>
      <w:r>
        <w:rPr>
          <w:rFonts w:hint="eastAsia"/>
          <w:color w:val="auto"/>
        </w:rPr>
        <w:t>/天。</w:t>
      </w:r>
    </w:p>
    <w:p w14:paraId="4A260D1C">
      <w:pPr>
        <w:pageBreakBefore w:val="0"/>
        <w:wordWrap/>
        <w:bidi w:val="0"/>
        <w:adjustRightInd/>
        <w:snapToGrid/>
        <w:ind w:firstLine="480"/>
        <w:rPr>
          <w:rFonts w:hint="eastAsia"/>
          <w:color w:val="auto"/>
        </w:rPr>
      </w:pPr>
      <w:r>
        <w:rPr>
          <w:rFonts w:hint="eastAsia"/>
          <w:color w:val="auto"/>
        </w:rPr>
        <w:t>园区共规划两处污水处理厂，其中曾口区块的规划新建污水处理位于S409与经二街交口处，规划处理规模1.6万</w:t>
      </w:r>
      <w:r>
        <w:rPr>
          <w:rFonts w:hint="eastAsia"/>
          <w:color w:val="auto"/>
          <w:lang w:eastAsia="zh-CN"/>
        </w:rPr>
        <w:t>m³</w:t>
      </w:r>
      <w:r>
        <w:rPr>
          <w:rFonts w:hint="eastAsia"/>
          <w:color w:val="auto"/>
        </w:rPr>
        <w:t>/天（分两期建设），金堂区块的规划新建污水处理厂位于规划西南侧金堂路进入园区入口附近，规划处理规模为0.8万</w:t>
      </w:r>
      <w:r>
        <w:rPr>
          <w:rFonts w:hint="eastAsia"/>
          <w:color w:val="auto"/>
          <w:lang w:eastAsia="zh-CN"/>
        </w:rPr>
        <w:t>m³</w:t>
      </w:r>
      <w:r>
        <w:rPr>
          <w:rFonts w:hint="eastAsia"/>
          <w:color w:val="auto"/>
        </w:rPr>
        <w:t>/天（分两期建设）。为预留未来产业发展空间，曾口和金堂区块规划污水处理厂预留规模较大，建设时结合开发进度和企业排水实际情况，进行分期建设。</w:t>
      </w:r>
    </w:p>
    <w:p w14:paraId="626443C5">
      <w:pPr>
        <w:pageBreakBefore w:val="0"/>
        <w:wordWrap/>
        <w:bidi w:val="0"/>
        <w:adjustRightInd/>
        <w:snapToGrid/>
        <w:ind w:firstLine="480"/>
        <w:rPr>
          <w:rFonts w:hint="eastAsia" w:eastAsia="宋体"/>
          <w:color w:val="auto"/>
          <w:lang w:val="en-US" w:eastAsia="zh-CN"/>
        </w:rPr>
      </w:pPr>
      <w:r>
        <w:rPr>
          <w:rFonts w:hint="eastAsia"/>
          <w:color w:val="auto"/>
        </w:rPr>
        <w:t>各入驻企业废水原则上须经厂内预处理至《污水综合排放标准》（GB8978-1996）三级标准或《石油化学工业污染物排放标准》（GB31571-2015）等行业排放标准中的间接排放标准后，方可进入各片区污水处理厂处理。污水处理厂处理后的出水水质需达到《城镇污水处理厂污染物排放标准》</w:t>
      </w:r>
      <w:r>
        <w:rPr>
          <w:rFonts w:hint="eastAsia"/>
          <w:color w:val="auto"/>
          <w:lang w:eastAsia="zh-CN"/>
        </w:rPr>
        <w:t>（</w:t>
      </w:r>
      <w:r>
        <w:rPr>
          <w:rFonts w:hint="eastAsia"/>
          <w:color w:val="auto"/>
        </w:rPr>
        <w:t>GB18918-2002</w:t>
      </w:r>
      <w:r>
        <w:rPr>
          <w:rFonts w:hint="eastAsia"/>
          <w:color w:val="auto"/>
          <w:lang w:eastAsia="zh-CN"/>
        </w:rPr>
        <w:t>）</w:t>
      </w:r>
      <w:r>
        <w:rPr>
          <w:rFonts w:hint="eastAsia"/>
          <w:color w:val="auto"/>
        </w:rPr>
        <w:t>一级A标准，处理后的污水就近排入自然水体。</w:t>
      </w:r>
      <w:r>
        <w:rPr>
          <w:rFonts w:hint="eastAsia"/>
          <w:color w:val="auto"/>
          <w:lang w:val="en-US" w:eastAsia="zh-CN"/>
        </w:rPr>
        <w:t xml:space="preserve"> </w:t>
      </w:r>
    </w:p>
    <w:p w14:paraId="12F9EBEB">
      <w:pPr>
        <w:pageBreakBefore w:val="0"/>
        <w:wordWrap/>
        <w:bidi w:val="0"/>
        <w:adjustRightInd/>
        <w:snapToGrid/>
        <w:ind w:firstLine="480"/>
        <w:rPr>
          <w:rFonts w:hint="eastAsia" w:eastAsia="宋体"/>
          <w:color w:val="auto"/>
          <w:lang w:val="en-US" w:eastAsia="zh-CN"/>
        </w:rPr>
      </w:pPr>
      <w:r>
        <w:rPr>
          <w:rFonts w:hint="eastAsia"/>
          <w:color w:val="auto"/>
          <w:lang w:val="en-US" w:eastAsia="zh-CN"/>
        </w:rPr>
        <w:t>本次建设单位采取修编规划环评及其审查意见，新建处理规模1.6万m³/天的污水处理厂，结合实际情况分三期建设，于2035年建设完成，</w:t>
      </w:r>
      <w:r>
        <w:rPr>
          <w:rFonts w:hint="eastAsia"/>
          <w:color w:val="auto"/>
        </w:rPr>
        <w:t>出水水质需达到《城镇污水处理厂污染物排放标准》</w:t>
      </w:r>
      <w:r>
        <w:rPr>
          <w:rFonts w:hint="eastAsia"/>
          <w:color w:val="auto"/>
          <w:lang w:eastAsia="zh-CN"/>
        </w:rPr>
        <w:t>（</w:t>
      </w:r>
      <w:r>
        <w:rPr>
          <w:rFonts w:hint="eastAsia"/>
          <w:color w:val="auto"/>
        </w:rPr>
        <w:t>GB18918-2002</w:t>
      </w:r>
      <w:r>
        <w:rPr>
          <w:rFonts w:hint="eastAsia"/>
          <w:color w:val="auto"/>
          <w:lang w:eastAsia="zh-CN"/>
        </w:rPr>
        <w:t>）</w:t>
      </w:r>
      <w:r>
        <w:rPr>
          <w:rFonts w:hint="eastAsia"/>
          <w:color w:val="auto"/>
        </w:rPr>
        <w:t>一级A标准后排入</w:t>
      </w:r>
      <w:r>
        <w:rPr>
          <w:rFonts w:hint="eastAsia"/>
          <w:color w:val="auto"/>
          <w:lang w:val="en-US" w:eastAsia="zh-CN"/>
        </w:rPr>
        <w:t>巴河</w:t>
      </w:r>
      <w:r>
        <w:rPr>
          <w:rFonts w:hint="eastAsia"/>
          <w:color w:val="auto"/>
        </w:rPr>
        <w:t>。</w:t>
      </w:r>
      <w:r>
        <w:rPr>
          <w:rFonts w:hint="eastAsia"/>
          <w:color w:val="auto"/>
          <w:lang w:val="en-US" w:eastAsia="zh-CN"/>
        </w:rPr>
        <w:t xml:space="preserve"> </w:t>
      </w:r>
    </w:p>
    <w:p w14:paraId="42820805">
      <w:pPr>
        <w:pageBreakBefore w:val="0"/>
        <w:wordWrap/>
        <w:bidi w:val="0"/>
        <w:adjustRightInd/>
        <w:snapToGrid/>
        <w:ind w:firstLine="480"/>
        <w:rPr>
          <w:color w:val="auto"/>
        </w:rPr>
      </w:pPr>
      <w:r>
        <w:rPr>
          <w:color w:val="auto"/>
        </w:rPr>
        <w:t>综上，本项目建设与</w:t>
      </w:r>
      <w:r>
        <w:rPr>
          <w:rFonts w:hint="eastAsia"/>
          <w:color w:val="auto"/>
          <w:lang w:eastAsia="zh-CN"/>
        </w:rPr>
        <w:t>巴中曾口-金堂化工园区总体规划（2022-2035年）</w:t>
      </w:r>
      <w:r>
        <w:rPr>
          <w:color w:val="auto"/>
        </w:rPr>
        <w:t>相符。</w:t>
      </w:r>
    </w:p>
    <w:p w14:paraId="51AFA71A">
      <w:pPr>
        <w:pStyle w:val="10"/>
        <w:pageBreakBefore w:val="0"/>
        <w:wordWrap/>
        <w:bidi w:val="0"/>
        <w:adjustRightInd/>
        <w:snapToGrid/>
        <w:rPr>
          <w:color w:val="auto"/>
        </w:rPr>
      </w:pPr>
      <w:r>
        <w:rPr>
          <w:color w:val="auto"/>
        </w:rPr>
        <w:t>与《</w:t>
      </w:r>
      <w:r>
        <w:rPr>
          <w:rFonts w:hint="eastAsia"/>
          <w:color w:val="auto"/>
          <w:lang w:eastAsia="zh-CN"/>
        </w:rPr>
        <w:t>四川巴中经济开发区规划修编</w:t>
      </w:r>
      <w:r>
        <w:rPr>
          <w:color w:val="auto"/>
        </w:rPr>
        <w:t>》及其环境影响报告书的符合性分析</w:t>
      </w:r>
    </w:p>
    <w:p w14:paraId="198AAB4E">
      <w:pPr>
        <w:bidi w:val="0"/>
        <w:rPr>
          <w:rFonts w:hint="default" w:ascii="Times New Roman" w:hAnsi="Times New Roman" w:cs="Times New Roman"/>
          <w:color w:val="auto"/>
          <w:lang w:val="en-US" w:eastAsia="zh-CN"/>
        </w:rPr>
      </w:pPr>
      <w:r>
        <w:rPr>
          <w:rFonts w:hint="default" w:ascii="Times New Roman" w:hAnsi="Times New Roman" w:cs="Times New Roman"/>
          <w:color w:val="auto"/>
        </w:rPr>
        <w:t>根据</w:t>
      </w:r>
      <w:r>
        <w:rPr>
          <w:rFonts w:hint="default" w:ascii="Times New Roman" w:hAnsi="Times New Roman" w:cs="Times New Roman"/>
          <w:color w:val="auto"/>
          <w:lang w:val="en-US" w:eastAsia="zh-CN"/>
        </w:rPr>
        <w:t>修编规划及其</w:t>
      </w:r>
      <w:r>
        <w:rPr>
          <w:rFonts w:hint="eastAsia"/>
          <w:color w:val="auto"/>
          <w:lang w:val="en-US" w:eastAsia="zh-CN"/>
        </w:rPr>
        <w:t>修编</w:t>
      </w:r>
      <w:r>
        <w:rPr>
          <w:rFonts w:hint="eastAsia"/>
          <w:color w:val="auto"/>
        </w:rPr>
        <w:t>规划环评</w:t>
      </w:r>
      <w:r>
        <w:rPr>
          <w:rFonts w:hint="default" w:ascii="Times New Roman" w:hAnsi="Times New Roman" w:cs="Times New Roman"/>
          <w:color w:val="auto"/>
        </w:rPr>
        <w:t>可知，</w:t>
      </w:r>
      <w:r>
        <w:rPr>
          <w:rFonts w:hint="default" w:ascii="Times New Roman" w:hAnsi="Times New Roman" w:cs="Times New Roman"/>
          <w:color w:val="auto"/>
          <w:lang w:val="en-US" w:eastAsia="zh-CN"/>
        </w:rPr>
        <w:t>拟建曾口片区工业废水产生量共约1.54万m³/d。</w:t>
      </w:r>
      <w:r>
        <w:rPr>
          <w:rFonts w:hint="eastAsia"/>
          <w:color w:val="auto"/>
          <w:lang w:val="en-US" w:eastAsia="zh-CN"/>
        </w:rPr>
        <w:t>修编</w:t>
      </w:r>
      <w:r>
        <w:rPr>
          <w:rFonts w:hint="eastAsia"/>
          <w:color w:val="auto"/>
        </w:rPr>
        <w:t>规划环评</w:t>
      </w:r>
      <w:r>
        <w:rPr>
          <w:rFonts w:hint="default" w:ascii="Times New Roman" w:hAnsi="Times New Roman" w:cs="Times New Roman"/>
          <w:color w:val="auto"/>
          <w:lang w:val="en-US" w:eastAsia="zh-CN"/>
        </w:rPr>
        <w:t>中</w:t>
      </w:r>
      <w:r>
        <w:rPr>
          <w:rFonts w:hint="eastAsia" w:ascii="Times New Roman" w:hAnsi="Times New Roman" w:cs="Times New Roman"/>
          <w:color w:val="auto"/>
          <w:lang w:val="en-US" w:eastAsia="zh-CN"/>
        </w:rPr>
        <w:t>拟</w:t>
      </w:r>
      <w:r>
        <w:rPr>
          <w:rFonts w:hint="default" w:ascii="Times New Roman" w:hAnsi="Times New Roman" w:cs="Times New Roman"/>
          <w:color w:val="auto"/>
          <w:lang w:val="en-US" w:eastAsia="zh-CN"/>
        </w:rPr>
        <w:t>在S409与经二街交口处新建一个污水处理厂，处理规模1.6t/d，</w:t>
      </w:r>
      <w:r>
        <w:rPr>
          <w:rFonts w:hint="eastAsia" w:ascii="Times New Roman" w:hAnsi="Times New Roman" w:cs="Times New Roman"/>
          <w:color w:val="auto"/>
          <w:lang w:val="en-US" w:eastAsia="zh-CN"/>
        </w:rPr>
        <w:t>用于处理四川巴中经济开发区-曾口片区的工业废水，具体建设内容如下：</w:t>
      </w:r>
    </w:p>
    <w:p w14:paraId="30FDF8CE">
      <w:pPr>
        <w:pStyle w:val="19"/>
        <w:numPr>
          <w:ilvl w:val="0"/>
          <w:numId w:val="13"/>
        </w:numPr>
        <w:tabs>
          <w:tab w:val="clear" w:pos="0"/>
        </w:tabs>
        <w:bidi w:val="0"/>
        <w:ind w:left="0" w:leftChars="0" w:firstLine="0" w:firstLineChars="0"/>
        <w:rPr>
          <w:color w:val="auto"/>
        </w:rPr>
      </w:pPr>
      <w:r>
        <w:rPr>
          <w:color w:val="auto"/>
        </w:rPr>
        <w:t>与</w:t>
      </w:r>
      <w:r>
        <w:rPr>
          <w:rFonts w:hint="eastAsia"/>
          <w:color w:val="auto"/>
          <w:lang w:val="en-US" w:eastAsia="zh-CN"/>
        </w:rPr>
        <w:t>修编规划及规划环评</w:t>
      </w:r>
      <w:r>
        <w:rPr>
          <w:color w:val="auto"/>
        </w:rPr>
        <w:t>的符合性分析一览表</w:t>
      </w:r>
    </w:p>
    <w:tbl>
      <w:tblPr>
        <w:tblStyle w:val="52"/>
        <w:tblW w:w="506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3" w:type="dxa"/>
          <w:bottom w:w="0" w:type="dxa"/>
          <w:right w:w="23" w:type="dxa"/>
        </w:tblCellMar>
      </w:tblPr>
      <w:tblGrid>
        <w:gridCol w:w="455"/>
        <w:gridCol w:w="2843"/>
        <w:gridCol w:w="2426"/>
        <w:gridCol w:w="2485"/>
        <w:gridCol w:w="653"/>
      </w:tblGrid>
      <w:tr w14:paraId="3F5567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257" w:type="pct"/>
            <w:tcBorders>
              <w:tl2br w:val="nil"/>
              <w:tr2bl w:val="nil"/>
            </w:tcBorders>
            <w:noWrap w:val="0"/>
            <w:tcMar>
              <w:top w:w="0" w:type="dxa"/>
              <w:left w:w="0" w:type="dxa"/>
              <w:bottom w:w="0" w:type="dxa"/>
              <w:right w:w="0" w:type="dxa"/>
            </w:tcMar>
            <w:vAlign w:val="center"/>
          </w:tcPr>
          <w:p w14:paraId="05178060">
            <w:pPr>
              <w:pStyle w:val="16"/>
              <w:bidi w:val="0"/>
              <w:rPr>
                <w:rFonts w:hint="default"/>
                <w:b/>
                <w:bCs/>
                <w:color w:val="auto"/>
                <w:lang w:val="en-US" w:eastAsia="zh-CN"/>
              </w:rPr>
            </w:pPr>
            <w:r>
              <w:rPr>
                <w:rFonts w:hint="eastAsia"/>
                <w:b/>
                <w:bCs/>
                <w:color w:val="auto"/>
                <w:lang w:val="en-US" w:eastAsia="zh-CN"/>
              </w:rPr>
              <w:t>内容</w:t>
            </w:r>
          </w:p>
        </w:tc>
        <w:tc>
          <w:tcPr>
            <w:tcW w:w="1603" w:type="pct"/>
            <w:tcBorders>
              <w:tl2br w:val="nil"/>
              <w:tr2bl w:val="nil"/>
            </w:tcBorders>
            <w:noWrap w:val="0"/>
            <w:vAlign w:val="center"/>
          </w:tcPr>
          <w:p w14:paraId="2829E99F">
            <w:pPr>
              <w:pStyle w:val="16"/>
              <w:bidi w:val="0"/>
              <w:rPr>
                <w:b/>
                <w:bCs/>
                <w:color w:val="auto"/>
              </w:rPr>
            </w:pPr>
            <w:r>
              <w:rPr>
                <w:rFonts w:hint="eastAsia"/>
                <w:b/>
                <w:bCs/>
                <w:color w:val="auto"/>
                <w:lang w:val="en-US" w:eastAsia="zh-CN"/>
              </w:rPr>
              <w:t>修编规划及修编规划环评</w:t>
            </w:r>
            <w:r>
              <w:rPr>
                <w:b/>
                <w:bCs/>
                <w:color w:val="auto"/>
              </w:rPr>
              <w:t>内容</w:t>
            </w:r>
          </w:p>
        </w:tc>
        <w:tc>
          <w:tcPr>
            <w:tcW w:w="1368" w:type="pct"/>
            <w:tcBorders>
              <w:tl2br w:val="nil"/>
              <w:tr2bl w:val="nil"/>
            </w:tcBorders>
            <w:noWrap w:val="0"/>
            <w:vAlign w:val="center"/>
          </w:tcPr>
          <w:p w14:paraId="0511D9C1">
            <w:pPr>
              <w:pStyle w:val="16"/>
              <w:bidi w:val="0"/>
              <w:rPr>
                <w:rFonts w:hint="default"/>
                <w:b/>
                <w:bCs/>
                <w:color w:val="auto"/>
                <w:lang w:val="en-US" w:eastAsia="zh-CN"/>
              </w:rPr>
            </w:pPr>
            <w:r>
              <w:rPr>
                <w:rFonts w:hint="eastAsia"/>
                <w:b/>
                <w:bCs/>
                <w:color w:val="auto"/>
                <w:lang w:val="en-US" w:eastAsia="zh-CN"/>
              </w:rPr>
              <w:t>污水处理厂总体建设内容</w:t>
            </w:r>
          </w:p>
        </w:tc>
        <w:tc>
          <w:tcPr>
            <w:tcW w:w="1401" w:type="pct"/>
            <w:tcBorders>
              <w:tl2br w:val="nil"/>
              <w:tr2bl w:val="nil"/>
            </w:tcBorders>
            <w:noWrap w:val="0"/>
            <w:vAlign w:val="center"/>
          </w:tcPr>
          <w:p w14:paraId="60E27CA9">
            <w:pPr>
              <w:pStyle w:val="16"/>
              <w:bidi w:val="0"/>
              <w:rPr>
                <w:rFonts w:hint="default"/>
                <w:b/>
                <w:bCs/>
                <w:color w:val="auto"/>
                <w:lang w:val="en-US" w:eastAsia="zh-CN"/>
              </w:rPr>
            </w:pPr>
            <w:r>
              <w:rPr>
                <w:rFonts w:hint="eastAsia"/>
                <w:b/>
                <w:bCs/>
                <w:color w:val="auto"/>
                <w:lang w:val="en-US" w:eastAsia="zh-CN"/>
              </w:rPr>
              <w:t>本项目（一期）建设内容</w:t>
            </w:r>
          </w:p>
        </w:tc>
        <w:tc>
          <w:tcPr>
            <w:tcW w:w="368" w:type="pct"/>
            <w:tcBorders>
              <w:tl2br w:val="nil"/>
              <w:tr2bl w:val="nil"/>
            </w:tcBorders>
            <w:noWrap w:val="0"/>
            <w:vAlign w:val="center"/>
          </w:tcPr>
          <w:p w14:paraId="3A5A0A9D">
            <w:pPr>
              <w:pStyle w:val="16"/>
              <w:bidi w:val="0"/>
              <w:rPr>
                <w:b/>
                <w:bCs/>
                <w:color w:val="auto"/>
              </w:rPr>
            </w:pPr>
            <w:r>
              <w:rPr>
                <w:b/>
                <w:bCs/>
                <w:color w:val="auto"/>
              </w:rPr>
              <w:t>符合性</w:t>
            </w:r>
          </w:p>
        </w:tc>
      </w:tr>
      <w:tr w14:paraId="103B81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257" w:type="pct"/>
            <w:tcBorders>
              <w:tl2br w:val="nil"/>
              <w:tr2bl w:val="nil"/>
            </w:tcBorders>
            <w:noWrap w:val="0"/>
            <w:tcMar>
              <w:top w:w="0" w:type="dxa"/>
              <w:left w:w="0" w:type="dxa"/>
              <w:bottom w:w="0" w:type="dxa"/>
              <w:right w:w="0" w:type="dxa"/>
            </w:tcMar>
            <w:vAlign w:val="center"/>
          </w:tcPr>
          <w:p w14:paraId="3A89A404">
            <w:pPr>
              <w:pStyle w:val="16"/>
              <w:bidi w:val="0"/>
              <w:rPr>
                <w:rFonts w:hint="default"/>
                <w:color w:val="auto"/>
                <w:lang w:val="en-US" w:eastAsia="zh-CN"/>
              </w:rPr>
            </w:pPr>
            <w:r>
              <w:rPr>
                <w:rFonts w:hint="eastAsia"/>
                <w:color w:val="auto"/>
                <w:lang w:val="en-US" w:eastAsia="zh-CN"/>
              </w:rPr>
              <w:t>建设内容</w:t>
            </w:r>
          </w:p>
        </w:tc>
        <w:tc>
          <w:tcPr>
            <w:tcW w:w="1603" w:type="pct"/>
            <w:tcBorders>
              <w:tl2br w:val="nil"/>
              <w:tr2bl w:val="nil"/>
            </w:tcBorders>
            <w:noWrap w:val="0"/>
            <w:vAlign w:val="center"/>
          </w:tcPr>
          <w:p w14:paraId="14850B63">
            <w:pPr>
              <w:pStyle w:val="16"/>
              <w:bidi w:val="0"/>
              <w:rPr>
                <w:color w:val="auto"/>
              </w:rPr>
            </w:pPr>
            <w:r>
              <w:rPr>
                <w:rFonts w:hint="eastAsia"/>
                <w:color w:val="auto"/>
              </w:rPr>
              <w:t>拟在S409与经二街交口处新建一个污水处理厂，处理规模1.6t/d</w:t>
            </w:r>
          </w:p>
        </w:tc>
        <w:tc>
          <w:tcPr>
            <w:tcW w:w="1368" w:type="pct"/>
            <w:tcBorders>
              <w:tl2br w:val="nil"/>
              <w:tr2bl w:val="nil"/>
            </w:tcBorders>
            <w:noWrap w:val="0"/>
            <w:vAlign w:val="center"/>
          </w:tcPr>
          <w:p w14:paraId="48B35713">
            <w:pPr>
              <w:pStyle w:val="16"/>
              <w:bidi w:val="0"/>
              <w:rPr>
                <w:rFonts w:hint="default" w:eastAsia="宋体"/>
                <w:color w:val="auto"/>
                <w:lang w:val="en-US" w:eastAsia="zh-CN"/>
              </w:rPr>
            </w:pPr>
            <w:r>
              <w:rPr>
                <w:rFonts w:hint="eastAsia"/>
                <w:color w:val="auto"/>
              </w:rPr>
              <w:t>拟在S409与经二街交口处新建一个污水处理厂，处理规模1.6t/d</w:t>
            </w:r>
            <w:r>
              <w:rPr>
                <w:rFonts w:hint="eastAsia"/>
                <w:color w:val="auto"/>
                <w:lang w:eastAsia="zh-CN"/>
              </w:rPr>
              <w:t>，</w:t>
            </w:r>
            <w:r>
              <w:rPr>
                <w:rFonts w:hint="eastAsia"/>
                <w:color w:val="auto"/>
                <w:lang w:val="en-US" w:eastAsia="zh-CN"/>
              </w:rPr>
              <w:t>与修编规划及修编规划环评一致</w:t>
            </w:r>
          </w:p>
        </w:tc>
        <w:tc>
          <w:tcPr>
            <w:tcW w:w="1401" w:type="pct"/>
            <w:tcBorders>
              <w:tl2br w:val="nil"/>
              <w:tr2bl w:val="nil"/>
            </w:tcBorders>
            <w:noWrap w:val="0"/>
            <w:vAlign w:val="center"/>
          </w:tcPr>
          <w:p w14:paraId="163F12A8">
            <w:pPr>
              <w:pStyle w:val="16"/>
              <w:bidi w:val="0"/>
              <w:rPr>
                <w:rFonts w:hint="default" w:eastAsia="宋体"/>
                <w:color w:val="auto"/>
                <w:lang w:val="en-US" w:eastAsia="zh-CN"/>
              </w:rPr>
            </w:pPr>
            <w:r>
              <w:rPr>
                <w:rFonts w:hint="eastAsia"/>
                <w:color w:val="auto"/>
              </w:rPr>
              <w:t>在S409与经二街交口处新建一个污水处理厂，</w:t>
            </w:r>
            <w:r>
              <w:rPr>
                <w:rFonts w:hint="eastAsia"/>
                <w:color w:val="auto"/>
                <w:lang w:val="en-US" w:eastAsia="zh-CN"/>
              </w:rPr>
              <w:t>一期</w:t>
            </w:r>
            <w:r>
              <w:rPr>
                <w:rFonts w:hint="eastAsia"/>
                <w:color w:val="auto"/>
              </w:rPr>
              <w:t>处理规模</w:t>
            </w:r>
            <w:r>
              <w:rPr>
                <w:rFonts w:hint="eastAsia"/>
                <w:color w:val="auto"/>
                <w:lang w:val="en-US" w:eastAsia="zh-CN"/>
              </w:rPr>
              <w:t>0.3</w:t>
            </w:r>
            <w:r>
              <w:rPr>
                <w:rFonts w:hint="eastAsia"/>
                <w:color w:val="auto"/>
              </w:rPr>
              <w:t>t/d</w:t>
            </w:r>
            <w:r>
              <w:rPr>
                <w:rFonts w:hint="eastAsia"/>
                <w:color w:val="auto"/>
                <w:lang w:eastAsia="zh-CN"/>
              </w:rPr>
              <w:t>，</w:t>
            </w:r>
            <w:r>
              <w:rPr>
                <w:rFonts w:hint="eastAsia"/>
                <w:color w:val="auto"/>
                <w:lang w:val="en-US" w:eastAsia="zh-CN"/>
              </w:rPr>
              <w:t>满足前期要求</w:t>
            </w:r>
          </w:p>
        </w:tc>
        <w:tc>
          <w:tcPr>
            <w:tcW w:w="368" w:type="pct"/>
            <w:tcBorders>
              <w:tl2br w:val="nil"/>
              <w:tr2bl w:val="nil"/>
            </w:tcBorders>
            <w:noWrap w:val="0"/>
            <w:vAlign w:val="center"/>
          </w:tcPr>
          <w:p w14:paraId="4D5DEB3F">
            <w:pPr>
              <w:pStyle w:val="16"/>
              <w:bidi w:val="0"/>
              <w:rPr>
                <w:rFonts w:hint="eastAsia" w:eastAsia="宋体"/>
                <w:color w:val="auto"/>
                <w:lang w:val="en-US" w:eastAsia="zh-CN"/>
              </w:rPr>
            </w:pPr>
            <w:r>
              <w:rPr>
                <w:rFonts w:hint="eastAsia"/>
                <w:color w:val="auto"/>
                <w:lang w:val="en-US" w:eastAsia="zh-CN"/>
              </w:rPr>
              <w:t>符合</w:t>
            </w:r>
          </w:p>
        </w:tc>
      </w:tr>
      <w:tr w14:paraId="1666CB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257" w:type="pct"/>
            <w:tcBorders>
              <w:tl2br w:val="nil"/>
              <w:tr2bl w:val="nil"/>
            </w:tcBorders>
            <w:noWrap w:val="0"/>
            <w:tcMar>
              <w:top w:w="0" w:type="dxa"/>
              <w:left w:w="0" w:type="dxa"/>
              <w:bottom w:w="0" w:type="dxa"/>
              <w:right w:w="0" w:type="dxa"/>
            </w:tcMar>
            <w:vAlign w:val="center"/>
          </w:tcPr>
          <w:p w14:paraId="549D6840">
            <w:pPr>
              <w:pStyle w:val="16"/>
              <w:bidi w:val="0"/>
              <w:rPr>
                <w:rFonts w:hint="default"/>
                <w:color w:val="auto"/>
                <w:lang w:val="en-US" w:eastAsia="zh-CN"/>
              </w:rPr>
            </w:pPr>
            <w:r>
              <w:rPr>
                <w:rFonts w:hint="eastAsia"/>
                <w:color w:val="auto"/>
                <w:lang w:val="en-US" w:eastAsia="zh-CN"/>
              </w:rPr>
              <w:t>服务范围</w:t>
            </w:r>
          </w:p>
        </w:tc>
        <w:tc>
          <w:tcPr>
            <w:tcW w:w="1603" w:type="pct"/>
            <w:tcBorders>
              <w:tl2br w:val="nil"/>
              <w:tr2bl w:val="nil"/>
            </w:tcBorders>
            <w:noWrap w:val="0"/>
            <w:vAlign w:val="center"/>
          </w:tcPr>
          <w:p w14:paraId="36BF7EA3">
            <w:pPr>
              <w:pStyle w:val="16"/>
              <w:bidi w:val="0"/>
              <w:rPr>
                <w:rFonts w:hint="default" w:eastAsia="宋体"/>
                <w:color w:val="auto"/>
                <w:lang w:val="en-US" w:eastAsia="zh-CN"/>
              </w:rPr>
            </w:pPr>
            <w:r>
              <w:rPr>
                <w:rFonts w:hint="eastAsia"/>
                <w:color w:val="auto"/>
              </w:rPr>
              <w:t>四川巴中经济开发区-曾口片区</w:t>
            </w:r>
            <w:r>
              <w:rPr>
                <w:rFonts w:hint="eastAsia"/>
                <w:color w:val="auto"/>
                <w:lang w:eastAsia="zh-CN"/>
              </w:rPr>
              <w:t>的</w:t>
            </w:r>
            <w:r>
              <w:rPr>
                <w:rFonts w:hint="eastAsia"/>
                <w:color w:val="auto"/>
                <w:lang w:val="en-US" w:eastAsia="zh-CN"/>
              </w:rPr>
              <w:t>工业废水</w:t>
            </w:r>
          </w:p>
        </w:tc>
        <w:tc>
          <w:tcPr>
            <w:tcW w:w="1368" w:type="pct"/>
            <w:tcBorders>
              <w:tl2br w:val="nil"/>
              <w:tr2bl w:val="nil"/>
            </w:tcBorders>
            <w:noWrap w:val="0"/>
            <w:vAlign w:val="center"/>
          </w:tcPr>
          <w:p w14:paraId="72891F7C">
            <w:pPr>
              <w:pStyle w:val="16"/>
              <w:bidi w:val="0"/>
              <w:rPr>
                <w:rFonts w:hint="default"/>
                <w:color w:val="auto"/>
                <w:lang w:val="en-US"/>
              </w:rPr>
            </w:pPr>
            <w:r>
              <w:rPr>
                <w:rFonts w:hint="eastAsia"/>
                <w:color w:val="auto"/>
              </w:rPr>
              <w:t>四川巴中经济开发区-曾口片区</w:t>
            </w:r>
            <w:r>
              <w:rPr>
                <w:rFonts w:hint="eastAsia"/>
                <w:color w:val="auto"/>
                <w:lang w:eastAsia="zh-CN"/>
              </w:rPr>
              <w:t>的</w:t>
            </w:r>
            <w:r>
              <w:rPr>
                <w:rFonts w:hint="eastAsia"/>
                <w:color w:val="auto"/>
                <w:lang w:val="en-US" w:eastAsia="zh-CN"/>
              </w:rPr>
              <w:t>工业废水，与修编规划及修编规划环评一致</w:t>
            </w:r>
          </w:p>
        </w:tc>
        <w:tc>
          <w:tcPr>
            <w:tcW w:w="1401" w:type="pct"/>
            <w:tcBorders>
              <w:tl2br w:val="nil"/>
              <w:tr2bl w:val="nil"/>
            </w:tcBorders>
            <w:noWrap w:val="0"/>
            <w:vAlign w:val="center"/>
          </w:tcPr>
          <w:p w14:paraId="42E61787">
            <w:pPr>
              <w:pStyle w:val="16"/>
              <w:bidi w:val="0"/>
              <w:rPr>
                <w:rFonts w:hint="default" w:eastAsia="宋体"/>
                <w:color w:val="auto"/>
                <w:lang w:val="en-US" w:eastAsia="zh-CN"/>
              </w:rPr>
            </w:pPr>
            <w:r>
              <w:rPr>
                <w:rFonts w:hint="eastAsia"/>
                <w:color w:val="auto"/>
              </w:rPr>
              <w:t>四川巴中经济开发区-曾口片区</w:t>
            </w:r>
            <w:r>
              <w:rPr>
                <w:rFonts w:hint="eastAsia"/>
                <w:color w:val="auto"/>
                <w:lang w:val="en-US" w:eastAsia="zh-CN"/>
              </w:rPr>
              <w:t>前期入驻企业</w:t>
            </w:r>
            <w:r>
              <w:rPr>
                <w:rFonts w:hint="eastAsia"/>
                <w:color w:val="auto"/>
                <w:lang w:eastAsia="zh-CN"/>
              </w:rPr>
              <w:t>的</w:t>
            </w:r>
            <w:r>
              <w:rPr>
                <w:rFonts w:hint="eastAsia"/>
                <w:color w:val="auto"/>
                <w:lang w:val="en-US" w:eastAsia="zh-CN"/>
              </w:rPr>
              <w:t>工业废水</w:t>
            </w:r>
          </w:p>
        </w:tc>
        <w:tc>
          <w:tcPr>
            <w:tcW w:w="368" w:type="pct"/>
            <w:tcBorders>
              <w:tl2br w:val="nil"/>
              <w:tr2bl w:val="nil"/>
            </w:tcBorders>
            <w:noWrap w:val="0"/>
            <w:vAlign w:val="center"/>
          </w:tcPr>
          <w:p w14:paraId="0A592971">
            <w:pPr>
              <w:pStyle w:val="16"/>
              <w:bidi w:val="0"/>
              <w:rPr>
                <w:rFonts w:hint="eastAsia" w:eastAsia="宋体"/>
                <w:color w:val="auto"/>
                <w:lang w:val="en-US" w:eastAsia="zh-CN"/>
              </w:rPr>
            </w:pPr>
            <w:r>
              <w:rPr>
                <w:rFonts w:hint="eastAsia"/>
                <w:color w:val="auto"/>
                <w:lang w:val="en-US" w:eastAsia="zh-CN"/>
              </w:rPr>
              <w:t>符合</w:t>
            </w:r>
          </w:p>
        </w:tc>
      </w:tr>
      <w:tr w14:paraId="3A9ED1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257" w:type="pct"/>
            <w:tcBorders>
              <w:tl2br w:val="nil"/>
              <w:tr2bl w:val="nil"/>
            </w:tcBorders>
            <w:noWrap w:val="0"/>
            <w:tcMar>
              <w:top w:w="0" w:type="dxa"/>
              <w:left w:w="0" w:type="dxa"/>
              <w:bottom w:w="0" w:type="dxa"/>
              <w:right w:w="0" w:type="dxa"/>
            </w:tcMar>
            <w:vAlign w:val="center"/>
          </w:tcPr>
          <w:p w14:paraId="54ED1983">
            <w:pPr>
              <w:pStyle w:val="16"/>
              <w:bidi w:val="0"/>
              <w:rPr>
                <w:rFonts w:hint="default"/>
                <w:color w:val="auto"/>
                <w:lang w:val="en-US" w:eastAsia="zh-CN"/>
              </w:rPr>
            </w:pPr>
            <w:r>
              <w:rPr>
                <w:rFonts w:hint="eastAsia"/>
                <w:color w:val="auto"/>
                <w:lang w:val="en-US" w:eastAsia="zh-CN"/>
              </w:rPr>
              <w:t>污水处理工艺</w:t>
            </w:r>
          </w:p>
        </w:tc>
        <w:tc>
          <w:tcPr>
            <w:tcW w:w="1603" w:type="pct"/>
            <w:tcBorders>
              <w:tl2br w:val="nil"/>
              <w:tr2bl w:val="nil"/>
            </w:tcBorders>
            <w:noWrap w:val="0"/>
            <w:vAlign w:val="center"/>
          </w:tcPr>
          <w:p w14:paraId="03130750">
            <w:pPr>
              <w:pStyle w:val="16"/>
              <w:bidi w:val="0"/>
              <w:rPr>
                <w:rFonts w:hint="eastAsia"/>
                <w:color w:val="auto"/>
              </w:rPr>
            </w:pPr>
            <w:r>
              <w:rPr>
                <w:rFonts w:hint="eastAsia"/>
                <w:color w:val="auto"/>
              </w:rPr>
              <w:t>水解酸化+A/O+二沉池+高密度沉淀+臭氧催化氧化+曝气生物滤池处理工艺</w:t>
            </w:r>
          </w:p>
        </w:tc>
        <w:tc>
          <w:tcPr>
            <w:tcW w:w="1368" w:type="pct"/>
            <w:tcBorders>
              <w:tl2br w:val="nil"/>
              <w:tr2bl w:val="nil"/>
            </w:tcBorders>
            <w:noWrap w:val="0"/>
            <w:vAlign w:val="center"/>
          </w:tcPr>
          <w:p w14:paraId="64CDFC17">
            <w:pPr>
              <w:pStyle w:val="16"/>
              <w:bidi w:val="0"/>
              <w:rPr>
                <w:rFonts w:hint="default"/>
                <w:color w:val="auto"/>
                <w:lang w:val="en-US" w:eastAsia="zh-CN"/>
              </w:rPr>
            </w:pPr>
            <w:r>
              <w:rPr>
                <w:rFonts w:hint="eastAsia"/>
                <w:color w:val="auto"/>
                <w:lang w:val="en-US" w:eastAsia="zh-CN"/>
              </w:rPr>
              <w:t>采用“超细格栅+调节池+高级氧化预处理（预留）+水解酸化池+生化池（EBIS）+二沉池+磁混凝沉淀池+深床反硝化+高级氧化深度处理+紫外线消毒”工艺，处理效果更好</w:t>
            </w:r>
          </w:p>
        </w:tc>
        <w:tc>
          <w:tcPr>
            <w:tcW w:w="1401" w:type="pct"/>
            <w:tcBorders>
              <w:tl2br w:val="nil"/>
              <w:tr2bl w:val="nil"/>
            </w:tcBorders>
            <w:noWrap w:val="0"/>
            <w:vAlign w:val="center"/>
          </w:tcPr>
          <w:p w14:paraId="6CF2F693">
            <w:pPr>
              <w:pStyle w:val="16"/>
              <w:bidi w:val="0"/>
              <w:rPr>
                <w:rFonts w:hint="default"/>
                <w:color w:val="auto"/>
                <w:lang w:val="en-US" w:eastAsia="zh-CN"/>
              </w:rPr>
            </w:pPr>
            <w:r>
              <w:rPr>
                <w:rFonts w:hint="eastAsia"/>
                <w:color w:val="auto"/>
                <w:lang w:val="en-US" w:eastAsia="zh-CN"/>
              </w:rPr>
              <w:t>采用“超细格栅+调节池+水解酸化池+生化池（EBIS）+二沉池+磁混凝沉淀池+深床反硝化+高级氧化深度处理+紫外线消毒”工艺，处理效果更好</w:t>
            </w:r>
          </w:p>
        </w:tc>
        <w:tc>
          <w:tcPr>
            <w:tcW w:w="368" w:type="pct"/>
            <w:tcBorders>
              <w:tl2br w:val="nil"/>
              <w:tr2bl w:val="nil"/>
            </w:tcBorders>
            <w:noWrap w:val="0"/>
            <w:vAlign w:val="center"/>
          </w:tcPr>
          <w:p w14:paraId="046849EC">
            <w:pPr>
              <w:pStyle w:val="16"/>
              <w:bidi w:val="0"/>
              <w:rPr>
                <w:rFonts w:hint="default"/>
                <w:color w:val="auto"/>
                <w:lang w:val="en-US" w:eastAsia="zh-CN"/>
              </w:rPr>
            </w:pPr>
            <w:r>
              <w:rPr>
                <w:rFonts w:hint="eastAsia"/>
                <w:color w:val="auto"/>
                <w:lang w:val="en-US" w:eastAsia="zh-CN"/>
              </w:rPr>
              <w:t>符合</w:t>
            </w:r>
          </w:p>
        </w:tc>
      </w:tr>
      <w:tr w14:paraId="5417F5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257" w:type="pct"/>
            <w:tcBorders>
              <w:tl2br w:val="nil"/>
              <w:tr2bl w:val="nil"/>
            </w:tcBorders>
            <w:noWrap w:val="0"/>
            <w:tcMar>
              <w:top w:w="0" w:type="dxa"/>
              <w:left w:w="0" w:type="dxa"/>
              <w:bottom w:w="0" w:type="dxa"/>
              <w:right w:w="0" w:type="dxa"/>
            </w:tcMar>
            <w:vAlign w:val="center"/>
          </w:tcPr>
          <w:p w14:paraId="5FFE07B6">
            <w:pPr>
              <w:pStyle w:val="16"/>
              <w:bidi w:val="0"/>
              <w:rPr>
                <w:rFonts w:hint="default"/>
                <w:color w:val="auto"/>
                <w:lang w:val="en-US" w:eastAsia="zh-CN"/>
              </w:rPr>
            </w:pPr>
            <w:r>
              <w:rPr>
                <w:rFonts w:hint="eastAsia"/>
                <w:color w:val="auto"/>
                <w:lang w:val="en-US" w:eastAsia="zh-CN"/>
              </w:rPr>
              <w:t>进水标准</w:t>
            </w:r>
          </w:p>
        </w:tc>
        <w:tc>
          <w:tcPr>
            <w:tcW w:w="1603" w:type="pct"/>
            <w:tcBorders>
              <w:tl2br w:val="nil"/>
              <w:tr2bl w:val="nil"/>
            </w:tcBorders>
            <w:noWrap w:val="0"/>
            <w:vAlign w:val="center"/>
          </w:tcPr>
          <w:p w14:paraId="6C632872">
            <w:pPr>
              <w:pStyle w:val="16"/>
              <w:bidi w:val="0"/>
              <w:rPr>
                <w:color w:val="auto"/>
              </w:rPr>
            </w:pPr>
            <w:r>
              <w:rPr>
                <w:rFonts w:hint="eastAsia"/>
                <w:color w:val="auto"/>
              </w:rPr>
              <w:t>《污水综合排放标准》（GB8978-1996）三级标准或相应行业标准或园区污水处理厂进水要求</w:t>
            </w:r>
          </w:p>
        </w:tc>
        <w:tc>
          <w:tcPr>
            <w:tcW w:w="1368" w:type="pct"/>
            <w:tcBorders>
              <w:tl2br w:val="nil"/>
              <w:tr2bl w:val="nil"/>
            </w:tcBorders>
            <w:noWrap w:val="0"/>
            <w:vAlign w:val="center"/>
          </w:tcPr>
          <w:p w14:paraId="53EA053E">
            <w:pPr>
              <w:pStyle w:val="16"/>
              <w:bidi w:val="0"/>
              <w:rPr>
                <w:rFonts w:hint="default" w:eastAsia="宋体"/>
                <w:color w:val="auto"/>
                <w:lang w:val="en-US" w:eastAsia="zh-CN"/>
              </w:rPr>
            </w:pPr>
            <w:r>
              <w:rPr>
                <w:rFonts w:hint="eastAsia"/>
                <w:color w:val="auto"/>
                <w:lang w:val="en-US" w:eastAsia="zh-CN"/>
              </w:rPr>
              <w:t>满足修编规划及修编规划环评进水水质要求，详见表2.1-1</w:t>
            </w:r>
          </w:p>
        </w:tc>
        <w:tc>
          <w:tcPr>
            <w:tcW w:w="1401" w:type="pct"/>
            <w:tcBorders>
              <w:tl2br w:val="nil"/>
              <w:tr2bl w:val="nil"/>
            </w:tcBorders>
            <w:noWrap w:val="0"/>
            <w:vAlign w:val="center"/>
          </w:tcPr>
          <w:p w14:paraId="69727B4A">
            <w:pPr>
              <w:pStyle w:val="16"/>
              <w:bidi w:val="0"/>
              <w:rPr>
                <w:color w:val="auto"/>
              </w:rPr>
            </w:pPr>
            <w:r>
              <w:rPr>
                <w:rFonts w:hint="eastAsia"/>
                <w:color w:val="auto"/>
                <w:lang w:val="en-US" w:eastAsia="zh-CN"/>
              </w:rPr>
              <w:t>满足修编规划及修编规划环评进水水质要求，详见表2.1-1</w:t>
            </w:r>
          </w:p>
        </w:tc>
        <w:tc>
          <w:tcPr>
            <w:tcW w:w="368" w:type="pct"/>
            <w:tcBorders>
              <w:tl2br w:val="nil"/>
              <w:tr2bl w:val="nil"/>
            </w:tcBorders>
            <w:noWrap w:val="0"/>
            <w:vAlign w:val="center"/>
          </w:tcPr>
          <w:p w14:paraId="4AB49724">
            <w:pPr>
              <w:pStyle w:val="16"/>
              <w:bidi w:val="0"/>
              <w:rPr>
                <w:rFonts w:hint="eastAsia" w:eastAsia="宋体"/>
                <w:color w:val="auto"/>
                <w:lang w:val="en-US" w:eastAsia="zh-CN"/>
              </w:rPr>
            </w:pPr>
            <w:r>
              <w:rPr>
                <w:rFonts w:hint="eastAsia"/>
                <w:color w:val="auto"/>
                <w:lang w:val="en-US" w:eastAsia="zh-CN"/>
              </w:rPr>
              <w:t>符合</w:t>
            </w:r>
          </w:p>
        </w:tc>
      </w:tr>
      <w:tr w14:paraId="28D976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257" w:type="pct"/>
            <w:tcBorders>
              <w:tl2br w:val="nil"/>
              <w:tr2bl w:val="nil"/>
            </w:tcBorders>
            <w:noWrap w:val="0"/>
            <w:tcMar>
              <w:top w:w="0" w:type="dxa"/>
              <w:left w:w="0" w:type="dxa"/>
              <w:bottom w:w="0" w:type="dxa"/>
              <w:right w:w="0" w:type="dxa"/>
            </w:tcMar>
            <w:vAlign w:val="center"/>
          </w:tcPr>
          <w:p w14:paraId="72C01B93">
            <w:pPr>
              <w:pStyle w:val="16"/>
              <w:bidi w:val="0"/>
              <w:rPr>
                <w:rFonts w:hint="eastAsia"/>
                <w:color w:val="auto"/>
                <w:lang w:val="en-US" w:eastAsia="zh-CN"/>
              </w:rPr>
            </w:pPr>
            <w:r>
              <w:rPr>
                <w:rFonts w:hint="eastAsia"/>
                <w:color w:val="auto"/>
                <w:lang w:val="en-US" w:eastAsia="zh-CN"/>
              </w:rPr>
              <w:t>出水标准</w:t>
            </w:r>
          </w:p>
        </w:tc>
        <w:tc>
          <w:tcPr>
            <w:tcW w:w="1603" w:type="pct"/>
            <w:tcBorders>
              <w:tl2br w:val="nil"/>
              <w:tr2bl w:val="nil"/>
            </w:tcBorders>
            <w:noWrap w:val="0"/>
            <w:vAlign w:val="center"/>
          </w:tcPr>
          <w:p w14:paraId="42676C45">
            <w:pPr>
              <w:pStyle w:val="16"/>
              <w:bidi w:val="0"/>
              <w:rPr>
                <w:color w:val="auto"/>
              </w:rPr>
            </w:pPr>
            <w:r>
              <w:rPr>
                <w:rFonts w:hint="eastAsia"/>
                <w:color w:val="auto"/>
              </w:rPr>
              <w:t>《城镇污水处理厂污染物排放标准》（GB18918-2002）一级A标准</w:t>
            </w:r>
          </w:p>
        </w:tc>
        <w:tc>
          <w:tcPr>
            <w:tcW w:w="1368" w:type="pct"/>
            <w:tcBorders>
              <w:tl2br w:val="nil"/>
              <w:tr2bl w:val="nil"/>
            </w:tcBorders>
            <w:noWrap w:val="0"/>
            <w:vAlign w:val="center"/>
          </w:tcPr>
          <w:p w14:paraId="3413CE98">
            <w:pPr>
              <w:pStyle w:val="16"/>
              <w:bidi w:val="0"/>
              <w:rPr>
                <w:rFonts w:hint="default" w:eastAsia="宋体"/>
                <w:color w:val="auto"/>
                <w:lang w:val="en-US" w:eastAsia="zh-CN"/>
              </w:rPr>
            </w:pPr>
            <w:r>
              <w:rPr>
                <w:rFonts w:hint="eastAsia"/>
                <w:color w:val="auto"/>
              </w:rPr>
              <w:t>《城镇污水处理厂污染物排放标准》（GB18918-2002）一级A标准</w:t>
            </w:r>
            <w:r>
              <w:rPr>
                <w:rFonts w:hint="eastAsia"/>
                <w:color w:val="auto"/>
                <w:lang w:eastAsia="zh-CN"/>
              </w:rPr>
              <w:t>，</w:t>
            </w:r>
            <w:r>
              <w:rPr>
                <w:rFonts w:hint="eastAsia"/>
                <w:color w:val="auto"/>
                <w:lang w:val="en-US" w:eastAsia="zh-CN"/>
              </w:rPr>
              <w:t>与修编规划及修编规划环评一致</w:t>
            </w:r>
          </w:p>
        </w:tc>
        <w:tc>
          <w:tcPr>
            <w:tcW w:w="1401" w:type="pct"/>
            <w:tcBorders>
              <w:tl2br w:val="nil"/>
              <w:tr2bl w:val="nil"/>
            </w:tcBorders>
            <w:noWrap w:val="0"/>
            <w:vAlign w:val="center"/>
          </w:tcPr>
          <w:p w14:paraId="0B36FDF2">
            <w:pPr>
              <w:pStyle w:val="16"/>
              <w:bidi w:val="0"/>
              <w:rPr>
                <w:rFonts w:hint="eastAsia" w:eastAsia="宋体"/>
                <w:color w:val="auto"/>
                <w:lang w:eastAsia="zh-CN"/>
              </w:rPr>
            </w:pPr>
            <w:r>
              <w:rPr>
                <w:rFonts w:hint="eastAsia"/>
                <w:color w:val="auto"/>
              </w:rPr>
              <w:t>《城镇污水处理厂污染物排放标准》（GB18918-2002）一级A标准</w:t>
            </w:r>
            <w:r>
              <w:rPr>
                <w:rFonts w:hint="eastAsia"/>
                <w:color w:val="auto"/>
                <w:lang w:eastAsia="zh-CN"/>
              </w:rPr>
              <w:t>，</w:t>
            </w:r>
            <w:r>
              <w:rPr>
                <w:rFonts w:hint="eastAsia"/>
                <w:color w:val="auto"/>
                <w:lang w:val="en-US" w:eastAsia="zh-CN"/>
              </w:rPr>
              <w:t>与修编规划及修编规划环评一致</w:t>
            </w:r>
          </w:p>
        </w:tc>
        <w:tc>
          <w:tcPr>
            <w:tcW w:w="368" w:type="pct"/>
            <w:tcBorders>
              <w:tl2br w:val="nil"/>
              <w:tr2bl w:val="nil"/>
            </w:tcBorders>
            <w:noWrap w:val="0"/>
            <w:vAlign w:val="center"/>
          </w:tcPr>
          <w:p w14:paraId="1E36C321">
            <w:pPr>
              <w:pStyle w:val="16"/>
              <w:bidi w:val="0"/>
              <w:rPr>
                <w:rFonts w:hint="default" w:eastAsia="宋体"/>
                <w:color w:val="auto"/>
                <w:lang w:val="en-US" w:eastAsia="zh-CN"/>
              </w:rPr>
            </w:pPr>
            <w:r>
              <w:rPr>
                <w:rFonts w:hint="eastAsia"/>
                <w:color w:val="auto"/>
                <w:lang w:val="en-US" w:eastAsia="zh-CN"/>
              </w:rPr>
              <w:t>符合</w:t>
            </w:r>
          </w:p>
        </w:tc>
      </w:tr>
      <w:tr w14:paraId="03A6FA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257" w:type="pct"/>
            <w:tcBorders>
              <w:tl2br w:val="nil"/>
              <w:tr2bl w:val="nil"/>
            </w:tcBorders>
            <w:noWrap w:val="0"/>
            <w:tcMar>
              <w:top w:w="0" w:type="dxa"/>
              <w:left w:w="0" w:type="dxa"/>
              <w:bottom w:w="0" w:type="dxa"/>
              <w:right w:w="0" w:type="dxa"/>
            </w:tcMar>
            <w:vAlign w:val="center"/>
          </w:tcPr>
          <w:p w14:paraId="47E7DA16">
            <w:pPr>
              <w:pStyle w:val="16"/>
              <w:bidi w:val="0"/>
              <w:rPr>
                <w:rFonts w:hint="default"/>
                <w:color w:val="auto"/>
                <w:lang w:val="en-US" w:eastAsia="zh-CN"/>
              </w:rPr>
            </w:pPr>
            <w:r>
              <w:rPr>
                <w:rFonts w:hint="eastAsia"/>
                <w:color w:val="auto"/>
                <w:lang w:val="en-US" w:eastAsia="zh-CN"/>
              </w:rPr>
              <w:t>进入水体</w:t>
            </w:r>
          </w:p>
        </w:tc>
        <w:tc>
          <w:tcPr>
            <w:tcW w:w="1603" w:type="pct"/>
            <w:tcBorders>
              <w:tl2br w:val="nil"/>
              <w:tr2bl w:val="nil"/>
            </w:tcBorders>
            <w:noWrap w:val="0"/>
            <w:vAlign w:val="center"/>
          </w:tcPr>
          <w:p w14:paraId="3FF8A582">
            <w:pPr>
              <w:pStyle w:val="16"/>
              <w:bidi w:val="0"/>
              <w:rPr>
                <w:rFonts w:hint="default" w:eastAsia="宋体"/>
                <w:color w:val="auto"/>
                <w:lang w:val="en-US" w:eastAsia="zh-CN"/>
              </w:rPr>
            </w:pPr>
            <w:r>
              <w:rPr>
                <w:rFonts w:hint="eastAsia"/>
                <w:color w:val="auto"/>
                <w:lang w:val="en-US" w:eastAsia="zh-CN"/>
              </w:rPr>
              <w:t>附近自然水体</w:t>
            </w:r>
          </w:p>
        </w:tc>
        <w:tc>
          <w:tcPr>
            <w:tcW w:w="1368" w:type="pct"/>
            <w:tcBorders>
              <w:tl2br w:val="nil"/>
              <w:tr2bl w:val="nil"/>
            </w:tcBorders>
            <w:noWrap w:val="0"/>
            <w:vAlign w:val="center"/>
          </w:tcPr>
          <w:p w14:paraId="0FC7AB89">
            <w:pPr>
              <w:pStyle w:val="16"/>
              <w:bidi w:val="0"/>
              <w:rPr>
                <w:rFonts w:hint="eastAsia" w:eastAsia="宋体"/>
                <w:color w:val="auto"/>
                <w:lang w:val="en-US" w:eastAsia="zh-CN"/>
              </w:rPr>
            </w:pPr>
            <w:r>
              <w:rPr>
                <w:rFonts w:hint="eastAsia"/>
                <w:color w:val="auto"/>
                <w:lang w:val="en-US" w:eastAsia="zh-CN"/>
              </w:rPr>
              <w:t>巴河</w:t>
            </w:r>
          </w:p>
        </w:tc>
        <w:tc>
          <w:tcPr>
            <w:tcW w:w="1401" w:type="pct"/>
            <w:tcBorders>
              <w:tl2br w:val="nil"/>
              <w:tr2bl w:val="nil"/>
            </w:tcBorders>
            <w:noWrap w:val="0"/>
            <w:vAlign w:val="center"/>
          </w:tcPr>
          <w:p w14:paraId="5E9C0576">
            <w:pPr>
              <w:pStyle w:val="16"/>
              <w:bidi w:val="0"/>
              <w:rPr>
                <w:rFonts w:hint="eastAsia" w:eastAsia="宋体"/>
                <w:color w:val="auto"/>
                <w:lang w:val="en-US" w:eastAsia="zh-CN"/>
              </w:rPr>
            </w:pPr>
            <w:r>
              <w:rPr>
                <w:rFonts w:hint="eastAsia"/>
                <w:color w:val="auto"/>
                <w:lang w:val="en-US" w:eastAsia="zh-CN"/>
              </w:rPr>
              <w:t>巴河</w:t>
            </w:r>
          </w:p>
        </w:tc>
        <w:tc>
          <w:tcPr>
            <w:tcW w:w="368" w:type="pct"/>
            <w:tcBorders>
              <w:tl2br w:val="nil"/>
              <w:tr2bl w:val="nil"/>
            </w:tcBorders>
            <w:noWrap w:val="0"/>
            <w:vAlign w:val="center"/>
          </w:tcPr>
          <w:p w14:paraId="361254F9">
            <w:pPr>
              <w:pStyle w:val="16"/>
              <w:bidi w:val="0"/>
              <w:rPr>
                <w:rFonts w:hint="default"/>
                <w:color w:val="auto"/>
                <w:lang w:val="en-US" w:eastAsia="zh-CN"/>
              </w:rPr>
            </w:pPr>
            <w:r>
              <w:rPr>
                <w:rFonts w:hint="eastAsia"/>
                <w:color w:val="auto"/>
                <w:lang w:val="en-US" w:eastAsia="zh-CN"/>
              </w:rPr>
              <w:t>符合</w:t>
            </w:r>
          </w:p>
        </w:tc>
      </w:tr>
      <w:tr w14:paraId="559615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257" w:type="pct"/>
            <w:tcBorders>
              <w:tl2br w:val="nil"/>
              <w:tr2bl w:val="nil"/>
            </w:tcBorders>
            <w:noWrap w:val="0"/>
            <w:tcMar>
              <w:top w:w="0" w:type="dxa"/>
              <w:left w:w="0" w:type="dxa"/>
              <w:bottom w:w="0" w:type="dxa"/>
              <w:right w:w="0" w:type="dxa"/>
            </w:tcMar>
            <w:vAlign w:val="center"/>
          </w:tcPr>
          <w:p w14:paraId="3F4E33BD">
            <w:pPr>
              <w:pStyle w:val="16"/>
              <w:bidi w:val="0"/>
              <w:rPr>
                <w:rFonts w:hint="default"/>
                <w:color w:val="auto"/>
                <w:lang w:val="en-US" w:eastAsia="zh-CN"/>
              </w:rPr>
            </w:pPr>
            <w:r>
              <w:rPr>
                <w:rFonts w:hint="eastAsia"/>
                <w:color w:val="auto"/>
                <w:lang w:val="en-US" w:eastAsia="zh-CN"/>
              </w:rPr>
              <w:t>中水回用</w:t>
            </w:r>
          </w:p>
        </w:tc>
        <w:tc>
          <w:tcPr>
            <w:tcW w:w="1603" w:type="pct"/>
            <w:tcBorders>
              <w:tl2br w:val="nil"/>
              <w:tr2bl w:val="nil"/>
            </w:tcBorders>
            <w:noWrap w:val="0"/>
            <w:vAlign w:val="center"/>
          </w:tcPr>
          <w:p w14:paraId="7A1FB671">
            <w:pPr>
              <w:pStyle w:val="16"/>
              <w:bidi w:val="0"/>
              <w:rPr>
                <w:rFonts w:hint="eastAsia" w:eastAsia="宋体"/>
                <w:color w:val="auto"/>
                <w:lang w:eastAsia="zh-CN"/>
              </w:rPr>
            </w:pPr>
            <w:r>
              <w:rPr>
                <w:rFonts w:hint="eastAsia"/>
                <w:color w:val="auto"/>
              </w:rPr>
              <w:t>规划曾口区块的中水回用率2035年达到20%</w:t>
            </w:r>
            <w:r>
              <w:rPr>
                <w:rFonts w:hint="eastAsia"/>
                <w:color w:val="auto"/>
                <w:lang w:eastAsia="zh-CN"/>
              </w:rPr>
              <w:t>，企业污水通过规划区污水处理厂处理达到《城镇污水处理厂污染物排放标准》（GB18918-2002）一级A标准，再输送至中水厂，按照“预处理+超滤反渗透+MVR蒸发结晶”工艺进行处理， 出水水质满足《城市污水再生利用城市杂用水水质（GB18920-2002）》，处理后利用管道加压供给用水企业。</w:t>
            </w:r>
          </w:p>
        </w:tc>
        <w:tc>
          <w:tcPr>
            <w:tcW w:w="1368" w:type="pct"/>
            <w:tcBorders>
              <w:tl2br w:val="nil"/>
              <w:tr2bl w:val="nil"/>
            </w:tcBorders>
            <w:noWrap w:val="0"/>
            <w:vAlign w:val="center"/>
          </w:tcPr>
          <w:p w14:paraId="3FAA24C9">
            <w:pPr>
              <w:pStyle w:val="16"/>
              <w:bidi w:val="0"/>
              <w:rPr>
                <w:color w:val="auto"/>
              </w:rPr>
            </w:pPr>
            <w:r>
              <w:rPr>
                <w:rFonts w:hint="eastAsia"/>
                <w:color w:val="auto"/>
              </w:rPr>
              <w:t>中水回用率2035年达到20%</w:t>
            </w:r>
            <w:r>
              <w:rPr>
                <w:rFonts w:hint="eastAsia"/>
                <w:color w:val="auto"/>
                <w:lang w:eastAsia="zh-CN"/>
              </w:rPr>
              <w:t>，企业污水通过污水处理厂处理达到《城镇污水处理厂污染物排放标准》（GB18918-2002）一级A标准，再输送至中水厂，按照“预处理+超滤反渗透+MVR蒸发结晶”工艺进行处理， 出水水质满足《城市污水再生利用工业用水水质GB/T 19923-2005》标准</w:t>
            </w:r>
            <w:r>
              <w:rPr>
                <w:rFonts w:hint="eastAsia"/>
                <w:color w:val="auto"/>
                <w:lang w:val="en-US" w:eastAsia="zh-CN"/>
              </w:rPr>
              <w:t>或</w:t>
            </w:r>
            <w:r>
              <w:rPr>
                <w:rFonts w:hint="eastAsia"/>
                <w:color w:val="auto"/>
                <w:lang w:eastAsia="zh-CN"/>
              </w:rPr>
              <w:t>《城市污水再生利用城市杂用水水质（GB18920-20</w:t>
            </w:r>
            <w:r>
              <w:rPr>
                <w:rFonts w:hint="eastAsia"/>
                <w:color w:val="auto"/>
                <w:lang w:val="en-US" w:eastAsia="zh-CN"/>
              </w:rPr>
              <w:t>20</w:t>
            </w:r>
            <w:r>
              <w:rPr>
                <w:rFonts w:hint="eastAsia"/>
                <w:color w:val="auto"/>
                <w:lang w:eastAsia="zh-CN"/>
              </w:rPr>
              <w:t>）》，处理后利用管道加压供给用水企业。</w:t>
            </w:r>
          </w:p>
        </w:tc>
        <w:tc>
          <w:tcPr>
            <w:tcW w:w="1401" w:type="pct"/>
            <w:tcBorders>
              <w:tl2br w:val="nil"/>
              <w:tr2bl w:val="nil"/>
            </w:tcBorders>
            <w:noWrap w:val="0"/>
            <w:vAlign w:val="center"/>
          </w:tcPr>
          <w:p w14:paraId="11D127D1">
            <w:pPr>
              <w:pStyle w:val="16"/>
              <w:bidi w:val="0"/>
              <w:rPr>
                <w:rFonts w:hint="default" w:eastAsia="宋体"/>
                <w:color w:val="auto"/>
                <w:lang w:val="en-US" w:eastAsia="zh-CN"/>
              </w:rPr>
            </w:pPr>
            <w:r>
              <w:rPr>
                <w:rFonts w:hint="eastAsia"/>
                <w:color w:val="auto"/>
                <w:lang w:val="en-US" w:eastAsia="zh-CN"/>
              </w:rPr>
              <w:t>本次一期暂不涉及中水回用</w:t>
            </w:r>
          </w:p>
        </w:tc>
        <w:tc>
          <w:tcPr>
            <w:tcW w:w="368" w:type="pct"/>
            <w:tcBorders>
              <w:tl2br w:val="nil"/>
              <w:tr2bl w:val="nil"/>
            </w:tcBorders>
            <w:noWrap w:val="0"/>
            <w:vAlign w:val="center"/>
          </w:tcPr>
          <w:p w14:paraId="595255A6">
            <w:pPr>
              <w:pStyle w:val="16"/>
              <w:bidi w:val="0"/>
              <w:rPr>
                <w:rFonts w:hint="eastAsia" w:eastAsia="宋体"/>
                <w:color w:val="auto"/>
                <w:lang w:val="en-US" w:eastAsia="zh-CN"/>
              </w:rPr>
            </w:pPr>
            <w:r>
              <w:rPr>
                <w:rFonts w:hint="eastAsia"/>
                <w:color w:val="auto"/>
                <w:lang w:val="en-US" w:eastAsia="zh-CN"/>
              </w:rPr>
              <w:t>符合</w:t>
            </w:r>
          </w:p>
        </w:tc>
      </w:tr>
    </w:tbl>
    <w:p w14:paraId="6404A965">
      <w:pPr>
        <w:keepNext w:val="0"/>
        <w:keepLines w:val="0"/>
        <w:pageBreakBefore w:val="0"/>
        <w:widowControl w:val="0"/>
        <w:kinsoku/>
        <w:wordWrap/>
        <w:overflowPunct/>
        <w:topLinePunct w:val="0"/>
        <w:autoSpaceDE/>
        <w:autoSpaceDN/>
        <w:bidi w:val="0"/>
        <w:adjustRightInd/>
        <w:snapToGrid/>
        <w:spacing w:before="0" w:beforeLines="50"/>
        <w:ind w:firstLine="480"/>
        <w:textAlignment w:val="auto"/>
        <w:rPr>
          <w:color w:val="auto"/>
        </w:rPr>
      </w:pPr>
      <w:r>
        <w:rPr>
          <w:rFonts w:hint="eastAsia"/>
          <w:color w:val="auto"/>
          <w:lang w:val="en-US" w:eastAsia="zh-CN"/>
        </w:rPr>
        <w:t>由上表可知，</w:t>
      </w:r>
      <w:r>
        <w:rPr>
          <w:rFonts w:hint="eastAsia"/>
          <w:color w:val="auto"/>
        </w:rPr>
        <w:t>本项目</w:t>
      </w:r>
      <w:r>
        <w:rPr>
          <w:rFonts w:hint="eastAsia"/>
          <w:color w:val="auto"/>
          <w:lang w:val="en-US" w:eastAsia="zh-CN"/>
        </w:rPr>
        <w:t>能够满足修编规划和修编规划环评的相关要求，本项目建设</w:t>
      </w:r>
      <w:r>
        <w:rPr>
          <w:rFonts w:hint="eastAsia"/>
          <w:color w:val="auto"/>
        </w:rPr>
        <w:t>与新一轮</w:t>
      </w:r>
      <w:r>
        <w:rPr>
          <w:rFonts w:hint="eastAsia"/>
          <w:color w:val="auto"/>
          <w:lang w:val="en-US" w:eastAsia="zh-CN"/>
        </w:rPr>
        <w:t>修编</w:t>
      </w:r>
      <w:r>
        <w:rPr>
          <w:rFonts w:hint="eastAsia"/>
          <w:color w:val="auto"/>
        </w:rPr>
        <w:t>规划及</w:t>
      </w:r>
      <w:r>
        <w:rPr>
          <w:rFonts w:hint="eastAsia"/>
          <w:color w:val="auto"/>
          <w:lang w:val="en-US" w:eastAsia="zh-CN"/>
        </w:rPr>
        <w:t>修编</w:t>
      </w:r>
      <w:r>
        <w:rPr>
          <w:rFonts w:hint="eastAsia"/>
          <w:color w:val="auto"/>
        </w:rPr>
        <w:t>规划环评要求相符。</w:t>
      </w:r>
    </w:p>
    <w:p w14:paraId="76E7ED3C">
      <w:pPr>
        <w:pStyle w:val="10"/>
        <w:pageBreakBefore w:val="0"/>
        <w:wordWrap/>
        <w:bidi w:val="0"/>
        <w:adjustRightInd/>
        <w:snapToGrid/>
        <w:rPr>
          <w:color w:val="auto"/>
        </w:rPr>
      </w:pPr>
      <w:r>
        <w:rPr>
          <w:color w:val="auto"/>
        </w:rPr>
        <w:t>与相关水污染防治规划文件符合性分析</w:t>
      </w:r>
    </w:p>
    <w:p w14:paraId="6C04DFEF">
      <w:pPr>
        <w:pageBreakBefore w:val="0"/>
        <w:wordWrap/>
        <w:bidi w:val="0"/>
        <w:adjustRightInd/>
        <w:snapToGrid/>
        <w:ind w:firstLine="480"/>
        <w:rPr>
          <w:color w:val="auto"/>
        </w:rPr>
      </w:pPr>
      <w:r>
        <w:rPr>
          <w:bCs/>
          <w:color w:val="auto"/>
        </w:rPr>
        <w:t>根据《国务院关于印发水污染防治行动计划的通知》（国发</w:t>
      </w:r>
      <w:r>
        <w:rPr>
          <w:rFonts w:hint="eastAsia"/>
          <w:bCs/>
          <w:color w:val="auto"/>
          <w:lang w:eastAsia="zh-CN"/>
        </w:rPr>
        <w:t>〔</w:t>
      </w:r>
      <w:r>
        <w:rPr>
          <w:bCs/>
          <w:color w:val="auto"/>
        </w:rPr>
        <w:t>2015</w:t>
      </w:r>
      <w:r>
        <w:rPr>
          <w:rFonts w:hint="eastAsia"/>
          <w:bCs/>
          <w:color w:val="auto"/>
          <w:lang w:eastAsia="zh-CN"/>
        </w:rPr>
        <w:t>〕</w:t>
      </w:r>
      <w:r>
        <w:rPr>
          <w:bCs/>
          <w:color w:val="auto"/>
        </w:rPr>
        <w:t>17号）、《四川省人民政府&lt;关于印发水污染防治行动计划四川省工作方案的通知&gt;》（川府发</w:t>
      </w:r>
      <w:r>
        <w:rPr>
          <w:rFonts w:hint="eastAsia"/>
          <w:bCs/>
          <w:color w:val="auto"/>
          <w:lang w:eastAsia="zh-CN"/>
        </w:rPr>
        <w:t>〔</w:t>
      </w:r>
      <w:r>
        <w:rPr>
          <w:bCs/>
          <w:color w:val="auto"/>
        </w:rPr>
        <w:t>2015</w:t>
      </w:r>
      <w:r>
        <w:rPr>
          <w:rFonts w:hint="eastAsia"/>
          <w:bCs/>
          <w:color w:val="auto"/>
          <w:lang w:eastAsia="zh-CN"/>
        </w:rPr>
        <w:t>〕</w:t>
      </w:r>
      <w:r>
        <w:rPr>
          <w:bCs/>
          <w:color w:val="auto"/>
        </w:rPr>
        <w:t>59号）以及《</w:t>
      </w:r>
      <w:r>
        <w:rPr>
          <w:rFonts w:hint="eastAsia"/>
          <w:bCs/>
          <w:color w:val="auto"/>
          <w:lang w:eastAsia="zh-CN"/>
        </w:rPr>
        <w:t>巴中市人民政府关于印发巴中市水污染防治实施方案的通知</w:t>
      </w:r>
      <w:r>
        <w:rPr>
          <w:bCs/>
          <w:color w:val="auto"/>
        </w:rPr>
        <w:t>》（</w:t>
      </w:r>
      <w:r>
        <w:rPr>
          <w:rFonts w:hint="eastAsia"/>
          <w:bCs/>
          <w:color w:val="auto"/>
          <w:lang w:eastAsia="zh-CN"/>
        </w:rPr>
        <w:t>巴府发〔2016〕3号</w:t>
      </w:r>
      <w:r>
        <w:rPr>
          <w:bCs/>
          <w:color w:val="auto"/>
        </w:rPr>
        <w:t>）等相关规范文件分析，具体分析详见下表</w:t>
      </w:r>
      <w:r>
        <w:rPr>
          <w:color w:val="auto"/>
        </w:rPr>
        <w:t>所示。</w:t>
      </w:r>
    </w:p>
    <w:p w14:paraId="7D2063C9">
      <w:pPr>
        <w:pStyle w:val="19"/>
        <w:numPr>
          <w:ilvl w:val="0"/>
          <w:numId w:val="13"/>
        </w:numPr>
        <w:tabs>
          <w:tab w:val="clear" w:pos="0"/>
        </w:tabs>
        <w:bidi w:val="0"/>
        <w:ind w:left="0" w:leftChars="0" w:firstLine="0" w:firstLineChars="0"/>
        <w:rPr>
          <w:color w:val="auto"/>
        </w:rPr>
      </w:pPr>
      <w:r>
        <w:rPr>
          <w:color w:val="auto"/>
        </w:rPr>
        <w:t>与相关水污染防治行动计划的符合性分析一览表</w:t>
      </w:r>
    </w:p>
    <w:tbl>
      <w:tblPr>
        <w:tblStyle w:val="52"/>
        <w:tblW w:w="875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784"/>
        <w:gridCol w:w="4199"/>
        <w:gridCol w:w="2898"/>
        <w:gridCol w:w="872"/>
      </w:tblGrid>
      <w:tr w14:paraId="4C0590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784" w:type="dxa"/>
            <w:tcBorders>
              <w:tl2br w:val="nil"/>
              <w:tr2bl w:val="nil"/>
            </w:tcBorders>
            <w:noWrap w:val="0"/>
            <w:tcMar>
              <w:top w:w="0" w:type="dxa"/>
              <w:left w:w="0" w:type="dxa"/>
              <w:bottom w:w="0" w:type="dxa"/>
              <w:right w:w="0" w:type="dxa"/>
            </w:tcMar>
            <w:vAlign w:val="center"/>
          </w:tcPr>
          <w:p w14:paraId="57B36A5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名称</w:t>
            </w:r>
          </w:p>
        </w:tc>
        <w:tc>
          <w:tcPr>
            <w:tcW w:w="4199" w:type="dxa"/>
            <w:tcBorders>
              <w:tl2br w:val="nil"/>
              <w:tr2bl w:val="nil"/>
            </w:tcBorders>
            <w:noWrap w:val="0"/>
            <w:vAlign w:val="center"/>
          </w:tcPr>
          <w:p w14:paraId="24B9D3CD">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具体内容</w:t>
            </w:r>
          </w:p>
        </w:tc>
        <w:tc>
          <w:tcPr>
            <w:tcW w:w="2898" w:type="dxa"/>
            <w:tcBorders>
              <w:tl2br w:val="nil"/>
              <w:tr2bl w:val="nil"/>
            </w:tcBorders>
            <w:noWrap w:val="0"/>
            <w:vAlign w:val="center"/>
          </w:tcPr>
          <w:p w14:paraId="5AE7F03B">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项目情况</w:t>
            </w:r>
          </w:p>
        </w:tc>
        <w:tc>
          <w:tcPr>
            <w:tcW w:w="872" w:type="dxa"/>
            <w:tcBorders>
              <w:tl2br w:val="nil"/>
              <w:tr2bl w:val="nil"/>
            </w:tcBorders>
            <w:noWrap w:val="0"/>
            <w:vAlign w:val="center"/>
          </w:tcPr>
          <w:p w14:paraId="441A4992">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符合性</w:t>
            </w:r>
          </w:p>
        </w:tc>
      </w:tr>
      <w:tr w14:paraId="6DC55D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784" w:type="dxa"/>
            <w:tcBorders>
              <w:tl2br w:val="nil"/>
              <w:tr2bl w:val="nil"/>
            </w:tcBorders>
            <w:noWrap w:val="0"/>
            <w:tcMar>
              <w:top w:w="0" w:type="dxa"/>
              <w:left w:w="0" w:type="dxa"/>
              <w:bottom w:w="0" w:type="dxa"/>
              <w:right w:w="0" w:type="dxa"/>
            </w:tcMar>
            <w:vAlign w:val="center"/>
          </w:tcPr>
          <w:p w14:paraId="5B27A6B4">
            <w:pPr>
              <w:pageBreakBefore w:val="0"/>
              <w:wordWrap/>
              <w:bidi w:val="0"/>
              <w:adjustRightInd/>
              <w:snapToGrid/>
              <w:spacing w:line="240" w:lineRule="auto"/>
              <w:ind w:firstLine="0" w:firstLineChars="0"/>
              <w:jc w:val="center"/>
              <w:rPr>
                <w:color w:val="auto"/>
                <w:sz w:val="21"/>
                <w:szCs w:val="21"/>
              </w:rPr>
            </w:pPr>
            <w:r>
              <w:rPr>
                <w:color w:val="auto"/>
                <w:sz w:val="21"/>
                <w:szCs w:val="21"/>
              </w:rPr>
              <w:t>国发</w:t>
            </w:r>
            <w:r>
              <w:rPr>
                <w:rFonts w:hint="eastAsia"/>
                <w:color w:val="auto"/>
                <w:sz w:val="21"/>
                <w:szCs w:val="21"/>
                <w:lang w:eastAsia="zh-CN"/>
              </w:rPr>
              <w:t>〔</w:t>
            </w:r>
            <w:r>
              <w:rPr>
                <w:color w:val="auto"/>
                <w:sz w:val="21"/>
                <w:szCs w:val="21"/>
              </w:rPr>
              <w:t>2015</w:t>
            </w:r>
            <w:r>
              <w:rPr>
                <w:rFonts w:hint="eastAsia"/>
                <w:color w:val="auto"/>
                <w:sz w:val="21"/>
                <w:szCs w:val="21"/>
                <w:lang w:eastAsia="zh-CN"/>
              </w:rPr>
              <w:t>〕</w:t>
            </w:r>
            <w:r>
              <w:rPr>
                <w:color w:val="auto"/>
                <w:sz w:val="21"/>
                <w:szCs w:val="21"/>
              </w:rPr>
              <w:t>17号</w:t>
            </w:r>
          </w:p>
        </w:tc>
        <w:tc>
          <w:tcPr>
            <w:tcW w:w="4199" w:type="dxa"/>
            <w:tcBorders>
              <w:tl2br w:val="nil"/>
              <w:tr2bl w:val="nil"/>
            </w:tcBorders>
            <w:noWrap w:val="0"/>
            <w:vAlign w:val="top"/>
          </w:tcPr>
          <w:p w14:paraId="23E465B3">
            <w:pPr>
              <w:pageBreakBefore w:val="0"/>
              <w:wordWrap/>
              <w:bidi w:val="0"/>
              <w:adjustRightInd/>
              <w:snapToGrid/>
              <w:spacing w:line="240" w:lineRule="auto"/>
              <w:ind w:firstLine="0" w:firstLineChars="0"/>
              <w:rPr>
                <w:rFonts w:hint="eastAsia"/>
                <w:color w:val="auto"/>
                <w:sz w:val="21"/>
                <w:szCs w:val="21"/>
                <w:lang w:eastAsia="zh-CN"/>
              </w:rPr>
            </w:pPr>
            <w:r>
              <w:rPr>
                <w:rFonts w:hint="eastAsia"/>
                <w:color w:val="auto"/>
                <w:sz w:val="21"/>
                <w:szCs w:val="21"/>
              </w:rPr>
              <w:t>集中治理工业集聚区水污染。强化经济技术开发区、高新技术产业开发区、出口加工区等工业集聚区污染治理。集聚区内工业废水必须经预处理达到集中处理要求，方可进入污水集中处理设施。新建、升级工业集聚区应同步规划、建设污水、垃圾集中处理等污染治理设施。2017年底前，工业集聚区应按规定建成污水集中处理设施，并安装自动在线监控装置</w:t>
            </w:r>
            <w:r>
              <w:rPr>
                <w:rFonts w:hint="eastAsia"/>
                <w:color w:val="auto"/>
                <w:sz w:val="21"/>
                <w:szCs w:val="21"/>
                <w:lang w:eastAsia="zh-CN"/>
              </w:rPr>
              <w:t>。</w:t>
            </w:r>
          </w:p>
          <w:p w14:paraId="46574EC0">
            <w:pPr>
              <w:pageBreakBefore w:val="0"/>
              <w:wordWrap/>
              <w:bidi w:val="0"/>
              <w:adjustRightInd/>
              <w:snapToGrid/>
              <w:spacing w:line="240" w:lineRule="auto"/>
              <w:ind w:firstLine="0" w:firstLineChars="0"/>
              <w:rPr>
                <w:color w:val="auto"/>
                <w:kern w:val="0"/>
                <w:sz w:val="21"/>
                <w:szCs w:val="21"/>
              </w:rPr>
            </w:pPr>
            <w:r>
              <w:rPr>
                <w:rFonts w:hint="eastAsia"/>
                <w:color w:val="auto"/>
                <w:sz w:val="21"/>
                <w:szCs w:val="21"/>
              </w:rPr>
              <w:t>推进污泥处理处置。污水处理设施产生的污泥应进行稳定化、无害化和资源化处理处置，禁止处理处置不达标的污泥进入耕地。非法污泥堆放点一律予以取缔。</w:t>
            </w:r>
          </w:p>
        </w:tc>
        <w:tc>
          <w:tcPr>
            <w:tcW w:w="2898" w:type="dxa"/>
            <w:tcBorders>
              <w:tl2br w:val="nil"/>
              <w:tr2bl w:val="nil"/>
            </w:tcBorders>
            <w:noWrap w:val="0"/>
            <w:vAlign w:val="center"/>
          </w:tcPr>
          <w:p w14:paraId="24133E43">
            <w:pPr>
              <w:pageBreakBefore w:val="0"/>
              <w:widowControl/>
              <w:wordWrap/>
              <w:bidi w:val="0"/>
              <w:adjustRightInd/>
              <w:snapToGrid/>
              <w:spacing w:line="240" w:lineRule="auto"/>
              <w:ind w:firstLine="0" w:firstLineChars="0"/>
              <w:rPr>
                <w:color w:val="auto"/>
                <w:sz w:val="21"/>
                <w:szCs w:val="21"/>
              </w:rPr>
            </w:pPr>
            <w:r>
              <w:rPr>
                <w:color w:val="auto"/>
                <w:sz w:val="21"/>
                <w:szCs w:val="21"/>
              </w:rPr>
              <w:t>本项目为新建项目，为实现</w:t>
            </w:r>
            <w:r>
              <w:rPr>
                <w:rFonts w:hint="eastAsia"/>
                <w:color w:val="auto"/>
                <w:sz w:val="21"/>
                <w:szCs w:val="21"/>
                <w:lang w:val="en-US" w:eastAsia="zh-CN"/>
              </w:rPr>
              <w:t>四川巴中经济开发区-曾口区块</w:t>
            </w:r>
            <w:r>
              <w:rPr>
                <w:color w:val="auto"/>
                <w:sz w:val="21"/>
                <w:szCs w:val="21"/>
              </w:rPr>
              <w:t>工业废水的有效收集处理，符合园区规划。</w:t>
            </w:r>
            <w:r>
              <w:rPr>
                <w:rFonts w:hint="eastAsia"/>
                <w:color w:val="auto"/>
                <w:sz w:val="21"/>
                <w:szCs w:val="21"/>
                <w:lang w:val="en-US" w:eastAsia="zh-CN"/>
              </w:rPr>
              <w:t>园区企业预处理达到污水处理厂进水水质后，排入本污水处理厂内，</w:t>
            </w:r>
            <w:r>
              <w:rPr>
                <w:color w:val="auto"/>
                <w:sz w:val="21"/>
                <w:szCs w:val="21"/>
              </w:rPr>
              <w:t>采取</w:t>
            </w:r>
            <w:r>
              <w:rPr>
                <w:rFonts w:hint="eastAsia"/>
                <w:color w:val="auto"/>
                <w:sz w:val="21"/>
                <w:szCs w:val="21"/>
                <w:lang w:eastAsia="zh-CN"/>
              </w:rPr>
              <w:t>“超细格栅+调节池+水解酸化池+生化池+二沉池+磁混凝沉淀池+深床反硝化+高级氧化深度处理+紫外线消毒”</w:t>
            </w:r>
            <w:r>
              <w:rPr>
                <w:color w:val="auto"/>
                <w:sz w:val="21"/>
                <w:szCs w:val="21"/>
              </w:rPr>
              <w:t>工艺，</w:t>
            </w:r>
            <w:r>
              <w:rPr>
                <w:rFonts w:hint="eastAsia"/>
                <w:color w:val="auto"/>
                <w:sz w:val="21"/>
                <w:szCs w:val="21"/>
              </w:rPr>
              <w:t>出水</w:t>
            </w:r>
            <w:r>
              <w:rPr>
                <w:color w:val="auto"/>
                <w:sz w:val="21"/>
                <w:szCs w:val="21"/>
              </w:rPr>
              <w:t>执行</w:t>
            </w:r>
            <w:r>
              <w:rPr>
                <w:rFonts w:hint="eastAsia"/>
                <w:color w:val="auto"/>
                <w:sz w:val="21"/>
                <w:szCs w:val="21"/>
              </w:rPr>
              <w:t>《城镇污水处理厂污染物排放标准》（GB18918-2002）一级A标准</w:t>
            </w:r>
            <w:r>
              <w:rPr>
                <w:color w:val="auto"/>
                <w:sz w:val="21"/>
                <w:szCs w:val="21"/>
              </w:rPr>
              <w:t>。</w:t>
            </w:r>
          </w:p>
        </w:tc>
        <w:tc>
          <w:tcPr>
            <w:tcW w:w="872" w:type="dxa"/>
            <w:vMerge w:val="restart"/>
            <w:tcBorders>
              <w:tl2br w:val="nil"/>
              <w:tr2bl w:val="nil"/>
            </w:tcBorders>
            <w:noWrap w:val="0"/>
            <w:vAlign w:val="center"/>
          </w:tcPr>
          <w:p w14:paraId="638C393D">
            <w:pPr>
              <w:pageBreakBefore w:val="0"/>
              <w:wordWrap/>
              <w:bidi w:val="0"/>
              <w:adjustRightInd/>
              <w:snapToGrid/>
              <w:spacing w:line="240" w:lineRule="auto"/>
              <w:ind w:firstLine="0" w:firstLineChars="0"/>
              <w:jc w:val="center"/>
              <w:rPr>
                <w:color w:val="auto"/>
                <w:sz w:val="21"/>
                <w:szCs w:val="21"/>
              </w:rPr>
            </w:pPr>
            <w:r>
              <w:rPr>
                <w:color w:val="auto"/>
                <w:sz w:val="21"/>
                <w:szCs w:val="21"/>
              </w:rPr>
              <w:t>符合</w:t>
            </w:r>
          </w:p>
        </w:tc>
      </w:tr>
      <w:tr w14:paraId="628EA2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784" w:type="dxa"/>
            <w:tcBorders>
              <w:tl2br w:val="nil"/>
              <w:tr2bl w:val="nil"/>
            </w:tcBorders>
            <w:noWrap w:val="0"/>
            <w:tcMar>
              <w:top w:w="0" w:type="dxa"/>
              <w:left w:w="0" w:type="dxa"/>
              <w:bottom w:w="0" w:type="dxa"/>
              <w:right w:w="0" w:type="dxa"/>
            </w:tcMar>
            <w:vAlign w:val="center"/>
          </w:tcPr>
          <w:p w14:paraId="7C862FDB">
            <w:pPr>
              <w:pageBreakBefore w:val="0"/>
              <w:wordWrap/>
              <w:bidi w:val="0"/>
              <w:adjustRightInd/>
              <w:snapToGrid/>
              <w:spacing w:line="240" w:lineRule="auto"/>
              <w:ind w:firstLine="0" w:firstLineChars="0"/>
              <w:jc w:val="center"/>
              <w:rPr>
                <w:color w:val="auto"/>
                <w:sz w:val="21"/>
                <w:szCs w:val="21"/>
              </w:rPr>
            </w:pPr>
            <w:r>
              <w:rPr>
                <w:color w:val="auto"/>
                <w:sz w:val="21"/>
                <w:szCs w:val="21"/>
              </w:rPr>
              <w:t>川府发</w:t>
            </w:r>
            <w:r>
              <w:rPr>
                <w:rFonts w:hint="eastAsia"/>
                <w:color w:val="auto"/>
                <w:sz w:val="21"/>
                <w:szCs w:val="21"/>
                <w:lang w:eastAsia="zh-CN"/>
              </w:rPr>
              <w:t>〔</w:t>
            </w:r>
            <w:r>
              <w:rPr>
                <w:color w:val="auto"/>
                <w:sz w:val="21"/>
                <w:szCs w:val="21"/>
              </w:rPr>
              <w:t>2015</w:t>
            </w:r>
            <w:r>
              <w:rPr>
                <w:rFonts w:hint="eastAsia"/>
                <w:color w:val="auto"/>
                <w:sz w:val="21"/>
                <w:szCs w:val="21"/>
                <w:lang w:eastAsia="zh-CN"/>
              </w:rPr>
              <w:t>〕</w:t>
            </w:r>
            <w:r>
              <w:rPr>
                <w:color w:val="auto"/>
                <w:sz w:val="21"/>
                <w:szCs w:val="21"/>
              </w:rPr>
              <w:t>59号</w:t>
            </w:r>
          </w:p>
        </w:tc>
        <w:tc>
          <w:tcPr>
            <w:tcW w:w="4199" w:type="dxa"/>
            <w:tcBorders>
              <w:tl2br w:val="nil"/>
              <w:tr2bl w:val="nil"/>
            </w:tcBorders>
            <w:noWrap w:val="0"/>
            <w:vAlign w:val="top"/>
          </w:tcPr>
          <w:p w14:paraId="1D936402">
            <w:pPr>
              <w:pageBreakBefore w:val="0"/>
              <w:wordWrap/>
              <w:bidi w:val="0"/>
              <w:adjustRightInd/>
              <w:snapToGrid/>
              <w:spacing w:line="240" w:lineRule="auto"/>
              <w:ind w:firstLine="0" w:firstLineChars="0"/>
              <w:rPr>
                <w:color w:val="auto"/>
                <w:kern w:val="0"/>
                <w:sz w:val="21"/>
                <w:szCs w:val="21"/>
              </w:rPr>
            </w:pPr>
            <w:r>
              <w:rPr>
                <w:color w:val="auto"/>
                <w:sz w:val="21"/>
                <w:szCs w:val="21"/>
              </w:rPr>
              <w:t>（一）狠抓工业污染防治…3.集中治理工业集聚区水污染…新建、升级工业集聚区应严格执行环境影响评价和环境保护</w:t>
            </w:r>
            <w:r>
              <w:rPr>
                <w:rFonts w:hint="eastAsia"/>
                <w:color w:val="auto"/>
                <w:sz w:val="21"/>
                <w:szCs w:val="21"/>
                <w:lang w:eastAsia="zh-CN"/>
              </w:rPr>
              <w:t>“</w:t>
            </w:r>
            <w:r>
              <w:rPr>
                <w:color w:val="auto"/>
                <w:sz w:val="21"/>
                <w:szCs w:val="21"/>
              </w:rPr>
              <w:t>三同时</w:t>
            </w:r>
            <w:r>
              <w:rPr>
                <w:rFonts w:hint="eastAsia"/>
                <w:color w:val="auto"/>
                <w:sz w:val="21"/>
                <w:szCs w:val="21"/>
                <w:lang w:eastAsia="zh-CN"/>
              </w:rPr>
              <w:t>”</w:t>
            </w:r>
            <w:r>
              <w:rPr>
                <w:color w:val="auto"/>
                <w:sz w:val="21"/>
                <w:szCs w:val="21"/>
              </w:rPr>
              <w:t>制度，同步规划、建设和运行污水垃圾集中处理等污染治理设施，集聚区内的工业废水必须经预处理达到集中处理要求后，方可排入集中污水处理设施…2017年底前，工业集聚区应按规定建成污水集中处理设施并安装自动在线监控装置，涉—磷工业集聚区应增加总磷自动在线监控装置…</w:t>
            </w:r>
          </w:p>
        </w:tc>
        <w:tc>
          <w:tcPr>
            <w:tcW w:w="2898" w:type="dxa"/>
            <w:vMerge w:val="restart"/>
            <w:tcBorders>
              <w:tl2br w:val="nil"/>
              <w:tr2bl w:val="nil"/>
            </w:tcBorders>
            <w:noWrap w:val="0"/>
            <w:vAlign w:val="center"/>
          </w:tcPr>
          <w:p w14:paraId="2D27E241">
            <w:pPr>
              <w:pageBreakBefore w:val="0"/>
              <w:wordWrap/>
              <w:bidi w:val="0"/>
              <w:adjustRightInd/>
              <w:snapToGrid/>
              <w:spacing w:line="240" w:lineRule="auto"/>
              <w:ind w:firstLine="0" w:firstLineChars="0"/>
              <w:rPr>
                <w:color w:val="auto"/>
                <w:sz w:val="21"/>
                <w:szCs w:val="21"/>
              </w:rPr>
            </w:pPr>
            <w:r>
              <w:rPr>
                <w:color w:val="auto"/>
                <w:sz w:val="21"/>
                <w:szCs w:val="21"/>
              </w:rPr>
              <w:t>严格按照国家、地方相关规范及行业要求进行设计、施工以及设备安装，</w:t>
            </w:r>
            <w:r>
              <w:rPr>
                <w:rFonts w:hint="eastAsia"/>
                <w:color w:val="auto"/>
                <w:sz w:val="21"/>
                <w:szCs w:val="21"/>
              </w:rPr>
              <w:t>各入驻企业废水原则上须经厂内预处理至</w:t>
            </w:r>
            <w:r>
              <w:rPr>
                <w:rFonts w:hint="eastAsia"/>
                <w:color w:val="auto"/>
                <w:sz w:val="21"/>
                <w:szCs w:val="21"/>
                <w:lang w:val="en-US" w:eastAsia="zh-CN"/>
              </w:rPr>
              <w:t>污水处理厂进水水质标准后</w:t>
            </w:r>
            <w:r>
              <w:rPr>
                <w:rFonts w:hint="eastAsia"/>
                <w:color w:val="auto"/>
                <w:sz w:val="21"/>
                <w:szCs w:val="21"/>
              </w:rPr>
              <w:t>，方可进入各片区污水处理厂处理</w:t>
            </w:r>
            <w:r>
              <w:rPr>
                <w:rFonts w:hint="eastAsia"/>
                <w:color w:val="auto"/>
                <w:sz w:val="21"/>
                <w:szCs w:val="21"/>
                <w:lang w:eastAsia="zh-CN"/>
              </w:rPr>
              <w:t>，</w:t>
            </w:r>
            <w:r>
              <w:rPr>
                <w:color w:val="auto"/>
                <w:sz w:val="21"/>
                <w:szCs w:val="21"/>
              </w:rPr>
              <w:t>同时</w:t>
            </w:r>
            <w:r>
              <w:rPr>
                <w:rFonts w:hint="eastAsia"/>
                <w:color w:val="auto"/>
                <w:sz w:val="21"/>
                <w:szCs w:val="21"/>
                <w:lang w:val="en-US" w:eastAsia="zh-CN"/>
              </w:rPr>
              <w:t>污水处理厂尾水排放</w:t>
            </w:r>
            <w:r>
              <w:rPr>
                <w:color w:val="auto"/>
                <w:sz w:val="21"/>
                <w:szCs w:val="21"/>
              </w:rPr>
              <w:t>配套在线监控系统，对项目水质</w:t>
            </w:r>
            <w:r>
              <w:rPr>
                <w:rFonts w:hint="eastAsia"/>
                <w:color w:val="auto"/>
                <w:sz w:val="21"/>
                <w:szCs w:val="21"/>
                <w:lang w:val="en-US" w:eastAsia="zh-CN"/>
              </w:rPr>
              <w:t>和水量</w:t>
            </w:r>
            <w:r>
              <w:rPr>
                <w:rFonts w:hint="eastAsia"/>
                <w:color w:val="auto"/>
                <w:sz w:val="21"/>
                <w:szCs w:val="21"/>
                <w:lang w:eastAsia="zh-CN"/>
              </w:rPr>
              <w:t>实时</w:t>
            </w:r>
            <w:r>
              <w:rPr>
                <w:color w:val="auto"/>
                <w:sz w:val="21"/>
                <w:szCs w:val="21"/>
              </w:rPr>
              <w:t>监控。</w:t>
            </w:r>
          </w:p>
        </w:tc>
        <w:tc>
          <w:tcPr>
            <w:tcW w:w="872" w:type="dxa"/>
            <w:vMerge w:val="continue"/>
            <w:tcBorders>
              <w:tl2br w:val="nil"/>
              <w:tr2bl w:val="nil"/>
            </w:tcBorders>
            <w:noWrap w:val="0"/>
            <w:vAlign w:val="center"/>
          </w:tcPr>
          <w:p w14:paraId="0656F96E">
            <w:pPr>
              <w:pageBreakBefore w:val="0"/>
              <w:wordWrap/>
              <w:bidi w:val="0"/>
              <w:adjustRightInd/>
              <w:snapToGrid/>
              <w:spacing w:line="240" w:lineRule="auto"/>
              <w:ind w:firstLine="0" w:firstLineChars="0"/>
              <w:jc w:val="center"/>
              <w:rPr>
                <w:color w:val="auto"/>
                <w:sz w:val="21"/>
                <w:szCs w:val="21"/>
              </w:rPr>
            </w:pPr>
          </w:p>
        </w:tc>
      </w:tr>
      <w:tr w14:paraId="7A9F78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784" w:type="dxa"/>
            <w:tcBorders>
              <w:tl2br w:val="nil"/>
              <w:tr2bl w:val="nil"/>
            </w:tcBorders>
            <w:noWrap w:val="0"/>
            <w:tcMar>
              <w:top w:w="0" w:type="dxa"/>
              <w:left w:w="0" w:type="dxa"/>
              <w:bottom w:w="0" w:type="dxa"/>
              <w:right w:w="0" w:type="dxa"/>
            </w:tcMar>
            <w:vAlign w:val="center"/>
          </w:tcPr>
          <w:p w14:paraId="18148E1A">
            <w:pPr>
              <w:pageBreakBefore w:val="0"/>
              <w:wordWrap/>
              <w:bidi w:val="0"/>
              <w:adjustRightInd/>
              <w:snapToGrid/>
              <w:spacing w:line="240" w:lineRule="auto"/>
              <w:ind w:firstLine="0" w:firstLineChars="0"/>
              <w:jc w:val="center"/>
              <w:rPr>
                <w:b/>
                <w:bCs/>
                <w:color w:val="auto"/>
                <w:kern w:val="0"/>
                <w:sz w:val="21"/>
                <w:szCs w:val="21"/>
              </w:rPr>
            </w:pPr>
            <w:r>
              <w:rPr>
                <w:rFonts w:hint="eastAsia"/>
                <w:color w:val="auto"/>
                <w:sz w:val="21"/>
                <w:szCs w:val="21"/>
              </w:rPr>
              <w:t>巴府发</w:t>
            </w:r>
            <w:r>
              <w:rPr>
                <w:rFonts w:hint="eastAsia"/>
                <w:color w:val="auto"/>
                <w:sz w:val="21"/>
                <w:szCs w:val="21"/>
                <w:lang w:eastAsia="zh-CN"/>
              </w:rPr>
              <w:t>〔</w:t>
            </w:r>
            <w:r>
              <w:rPr>
                <w:rFonts w:hint="eastAsia"/>
                <w:color w:val="auto"/>
                <w:sz w:val="21"/>
                <w:szCs w:val="21"/>
                <w:lang w:val="en-US" w:eastAsia="zh-CN"/>
              </w:rPr>
              <w:t>2016〕</w:t>
            </w:r>
            <w:r>
              <w:rPr>
                <w:rFonts w:hint="eastAsia"/>
                <w:color w:val="auto"/>
                <w:sz w:val="21"/>
                <w:szCs w:val="21"/>
              </w:rPr>
              <w:t>3号</w:t>
            </w:r>
          </w:p>
        </w:tc>
        <w:tc>
          <w:tcPr>
            <w:tcW w:w="4199" w:type="dxa"/>
            <w:tcBorders>
              <w:tl2br w:val="nil"/>
              <w:tr2bl w:val="nil"/>
            </w:tcBorders>
            <w:noWrap w:val="0"/>
            <w:vAlign w:val="top"/>
          </w:tcPr>
          <w:p w14:paraId="6FB7FFB9">
            <w:pPr>
              <w:pageBreakBefore w:val="0"/>
              <w:wordWrap/>
              <w:bidi w:val="0"/>
              <w:adjustRightInd/>
              <w:snapToGrid/>
              <w:spacing w:line="240" w:lineRule="auto"/>
              <w:ind w:firstLine="0" w:firstLineChars="0"/>
              <w:rPr>
                <w:color w:val="auto"/>
                <w:kern w:val="0"/>
                <w:sz w:val="21"/>
                <w:szCs w:val="21"/>
              </w:rPr>
            </w:pPr>
            <w:r>
              <w:rPr>
                <w:rFonts w:hint="eastAsia"/>
                <w:color w:val="auto"/>
                <w:sz w:val="21"/>
                <w:szCs w:val="21"/>
              </w:rPr>
              <w:t>集中治理工业园区水污染。巴中经济开发区、各县</w:t>
            </w:r>
            <w:r>
              <w:rPr>
                <w:rFonts w:hint="eastAsia"/>
                <w:color w:val="auto"/>
                <w:sz w:val="21"/>
                <w:szCs w:val="21"/>
                <w:lang w:eastAsia="zh-CN"/>
              </w:rPr>
              <w:t>（</w:t>
            </w:r>
            <w:r>
              <w:rPr>
                <w:rFonts w:hint="eastAsia"/>
                <w:color w:val="auto"/>
                <w:sz w:val="21"/>
                <w:szCs w:val="21"/>
              </w:rPr>
              <w:t>区</w:t>
            </w:r>
            <w:r>
              <w:rPr>
                <w:rFonts w:hint="eastAsia"/>
                <w:color w:val="auto"/>
                <w:sz w:val="21"/>
                <w:szCs w:val="21"/>
                <w:lang w:eastAsia="zh-CN"/>
              </w:rPr>
              <w:t>）</w:t>
            </w:r>
            <w:r>
              <w:rPr>
                <w:rFonts w:hint="eastAsia"/>
                <w:color w:val="auto"/>
                <w:sz w:val="21"/>
                <w:szCs w:val="21"/>
              </w:rPr>
              <w:t>工业园区</w:t>
            </w:r>
            <w:r>
              <w:rPr>
                <w:rFonts w:hint="eastAsia"/>
                <w:color w:val="auto"/>
                <w:sz w:val="21"/>
                <w:szCs w:val="21"/>
                <w:lang w:eastAsia="zh-CN"/>
              </w:rPr>
              <w:t>（</w:t>
            </w:r>
            <w:r>
              <w:rPr>
                <w:rFonts w:hint="eastAsia"/>
                <w:color w:val="auto"/>
                <w:sz w:val="21"/>
                <w:szCs w:val="21"/>
              </w:rPr>
              <w:t>集聚区</w:t>
            </w:r>
            <w:r>
              <w:rPr>
                <w:rFonts w:hint="eastAsia"/>
                <w:color w:val="auto"/>
                <w:sz w:val="21"/>
                <w:szCs w:val="21"/>
                <w:lang w:eastAsia="zh-CN"/>
              </w:rPr>
              <w:t>）</w:t>
            </w:r>
            <w:r>
              <w:rPr>
                <w:rFonts w:hint="eastAsia"/>
                <w:color w:val="auto"/>
                <w:sz w:val="21"/>
                <w:szCs w:val="21"/>
              </w:rPr>
              <w:t>、食品加工区于2016年6月底前，完成水污染现状排查，编制实施水污染整治方案。新建、升级工业园区</w:t>
            </w:r>
            <w:r>
              <w:rPr>
                <w:rFonts w:hint="eastAsia"/>
                <w:color w:val="auto"/>
                <w:sz w:val="21"/>
                <w:szCs w:val="21"/>
                <w:lang w:eastAsia="zh-CN"/>
              </w:rPr>
              <w:t>（</w:t>
            </w:r>
            <w:r>
              <w:rPr>
                <w:rFonts w:hint="eastAsia"/>
                <w:color w:val="auto"/>
                <w:sz w:val="21"/>
                <w:szCs w:val="21"/>
              </w:rPr>
              <w:t>集聚区</w:t>
            </w:r>
            <w:r>
              <w:rPr>
                <w:rFonts w:hint="eastAsia"/>
                <w:color w:val="auto"/>
                <w:sz w:val="21"/>
                <w:szCs w:val="21"/>
                <w:lang w:eastAsia="zh-CN"/>
              </w:rPr>
              <w:t>）</w:t>
            </w:r>
            <w:r>
              <w:rPr>
                <w:rFonts w:hint="eastAsia"/>
                <w:color w:val="auto"/>
                <w:sz w:val="21"/>
                <w:szCs w:val="21"/>
              </w:rPr>
              <w:t>应严格执行规划环境影响评价和项目环境影响评价及环境保护</w:t>
            </w:r>
            <w:r>
              <w:rPr>
                <w:rFonts w:hint="eastAsia"/>
                <w:color w:val="auto"/>
                <w:sz w:val="21"/>
                <w:szCs w:val="21"/>
                <w:lang w:eastAsia="zh-CN"/>
              </w:rPr>
              <w:t>“</w:t>
            </w:r>
            <w:r>
              <w:rPr>
                <w:rFonts w:hint="eastAsia"/>
                <w:color w:val="auto"/>
                <w:sz w:val="21"/>
                <w:szCs w:val="21"/>
              </w:rPr>
              <w:t>三同时</w:t>
            </w:r>
            <w:r>
              <w:rPr>
                <w:rFonts w:hint="eastAsia"/>
                <w:color w:val="auto"/>
                <w:sz w:val="21"/>
                <w:szCs w:val="21"/>
                <w:lang w:eastAsia="zh-CN"/>
              </w:rPr>
              <w:t>”</w:t>
            </w:r>
            <w:r>
              <w:rPr>
                <w:rFonts w:hint="eastAsia"/>
                <w:color w:val="auto"/>
                <w:sz w:val="21"/>
                <w:szCs w:val="21"/>
              </w:rPr>
              <w:t>制度，工业废水必须经预处理达到集中处理要求后，方可排入集中污水处理设施。2017年底前，市域工业园区</w:t>
            </w:r>
            <w:r>
              <w:rPr>
                <w:rFonts w:hint="eastAsia"/>
                <w:color w:val="auto"/>
                <w:sz w:val="21"/>
                <w:szCs w:val="21"/>
                <w:lang w:eastAsia="zh-CN"/>
              </w:rPr>
              <w:t>（</w:t>
            </w:r>
            <w:r>
              <w:rPr>
                <w:rFonts w:hint="eastAsia"/>
                <w:color w:val="auto"/>
                <w:sz w:val="21"/>
                <w:szCs w:val="21"/>
              </w:rPr>
              <w:t>集聚区</w:t>
            </w:r>
            <w:r>
              <w:rPr>
                <w:rFonts w:hint="eastAsia"/>
                <w:color w:val="auto"/>
                <w:sz w:val="21"/>
                <w:szCs w:val="21"/>
                <w:lang w:eastAsia="zh-CN"/>
              </w:rPr>
              <w:t>）</w:t>
            </w:r>
            <w:r>
              <w:rPr>
                <w:rFonts w:hint="eastAsia"/>
                <w:color w:val="auto"/>
                <w:sz w:val="21"/>
                <w:szCs w:val="21"/>
              </w:rPr>
              <w:t>应按规定建成污水集中处理设施并安装自动在线监控装置。</w:t>
            </w:r>
          </w:p>
        </w:tc>
        <w:tc>
          <w:tcPr>
            <w:tcW w:w="2898" w:type="dxa"/>
            <w:vMerge w:val="continue"/>
            <w:tcBorders>
              <w:tl2br w:val="nil"/>
              <w:tr2bl w:val="nil"/>
            </w:tcBorders>
            <w:noWrap w:val="0"/>
            <w:vAlign w:val="center"/>
          </w:tcPr>
          <w:p w14:paraId="0B4EAF4F">
            <w:pPr>
              <w:pageBreakBefore w:val="0"/>
              <w:wordWrap/>
              <w:bidi w:val="0"/>
              <w:adjustRightInd/>
              <w:snapToGrid/>
              <w:spacing w:line="240" w:lineRule="auto"/>
              <w:ind w:firstLine="0" w:firstLineChars="0"/>
              <w:rPr>
                <w:color w:val="auto"/>
                <w:sz w:val="21"/>
                <w:szCs w:val="21"/>
              </w:rPr>
            </w:pPr>
          </w:p>
        </w:tc>
        <w:tc>
          <w:tcPr>
            <w:tcW w:w="872" w:type="dxa"/>
            <w:vMerge w:val="continue"/>
            <w:tcBorders>
              <w:tl2br w:val="nil"/>
              <w:tr2bl w:val="nil"/>
            </w:tcBorders>
            <w:noWrap w:val="0"/>
            <w:vAlign w:val="center"/>
          </w:tcPr>
          <w:p w14:paraId="749E85A6">
            <w:pPr>
              <w:pageBreakBefore w:val="0"/>
              <w:wordWrap/>
              <w:bidi w:val="0"/>
              <w:adjustRightInd/>
              <w:snapToGrid/>
              <w:spacing w:line="240" w:lineRule="auto"/>
              <w:ind w:firstLine="0" w:firstLineChars="0"/>
              <w:jc w:val="center"/>
              <w:rPr>
                <w:color w:val="auto"/>
                <w:sz w:val="21"/>
                <w:szCs w:val="21"/>
              </w:rPr>
            </w:pPr>
          </w:p>
        </w:tc>
      </w:tr>
    </w:tbl>
    <w:p w14:paraId="53D86315">
      <w:pPr>
        <w:pStyle w:val="10"/>
        <w:keepNext/>
        <w:keepLines/>
        <w:pageBreakBefore w:val="0"/>
        <w:widowControl w:val="0"/>
        <w:kinsoku/>
        <w:wordWrap/>
        <w:overflowPunct/>
        <w:topLinePunct w:val="0"/>
        <w:autoSpaceDE/>
        <w:autoSpaceDN/>
        <w:bidi w:val="0"/>
        <w:adjustRightInd/>
        <w:snapToGrid/>
        <w:spacing w:before="0" w:beforeLines="50"/>
        <w:textAlignment w:val="auto"/>
        <w:rPr>
          <w:color w:val="auto"/>
        </w:rPr>
      </w:pPr>
      <w:r>
        <w:rPr>
          <w:color w:val="auto"/>
        </w:rPr>
        <w:t>与国家及地方有关大气污染防治的规</w:t>
      </w:r>
      <w:r>
        <w:rPr>
          <w:rFonts w:hint="eastAsia"/>
          <w:color w:val="auto"/>
          <w:lang w:eastAsia="zh-CN"/>
        </w:rPr>
        <w:t>范性</w:t>
      </w:r>
      <w:r>
        <w:rPr>
          <w:color w:val="auto"/>
        </w:rPr>
        <w:t>文件符合性分析</w:t>
      </w:r>
    </w:p>
    <w:p w14:paraId="020D7BFD">
      <w:pPr>
        <w:pageBreakBefore w:val="0"/>
        <w:wordWrap/>
        <w:bidi w:val="0"/>
        <w:adjustRightInd/>
        <w:snapToGrid/>
        <w:ind w:firstLine="480"/>
        <w:rPr>
          <w:rFonts w:hint="eastAsia"/>
          <w:color w:val="auto"/>
        </w:rPr>
        <w:sectPr>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sectPr>
      </w:pPr>
      <w:r>
        <w:rPr>
          <w:rFonts w:hint="eastAsia"/>
          <w:color w:val="auto"/>
        </w:rPr>
        <w:t>本项目建设与国家及地方有关大气污染防治的规范文件符合性分析如下表所示：</w:t>
      </w:r>
    </w:p>
    <w:p w14:paraId="6A3A5D86">
      <w:pPr>
        <w:pStyle w:val="19"/>
        <w:numPr>
          <w:ilvl w:val="0"/>
          <w:numId w:val="13"/>
        </w:numPr>
        <w:tabs>
          <w:tab w:val="clear" w:pos="0"/>
        </w:tabs>
        <w:bidi w:val="0"/>
        <w:ind w:left="0" w:leftChars="0" w:firstLine="0" w:firstLineChars="0"/>
        <w:rPr>
          <w:color w:val="auto"/>
        </w:rPr>
      </w:pPr>
      <w:r>
        <w:rPr>
          <w:color w:val="auto"/>
        </w:rPr>
        <w:t>相关大气污染防治规范文件符合性分析一览表</w:t>
      </w:r>
    </w:p>
    <w:tbl>
      <w:tblPr>
        <w:tblStyle w:val="5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07"/>
        <w:gridCol w:w="7587"/>
        <w:gridCol w:w="4074"/>
        <w:gridCol w:w="995"/>
      </w:tblGrid>
      <w:tr w14:paraId="00BE31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32" w:type="pct"/>
            <w:tcBorders>
              <w:tl2br w:val="nil"/>
              <w:tr2bl w:val="nil"/>
            </w:tcBorders>
            <w:noWrap w:val="0"/>
            <w:vAlign w:val="center"/>
          </w:tcPr>
          <w:p w14:paraId="3661ABD0">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名称</w:t>
            </w:r>
          </w:p>
        </w:tc>
        <w:tc>
          <w:tcPr>
            <w:tcW w:w="2678" w:type="pct"/>
            <w:tcBorders>
              <w:tl2br w:val="nil"/>
              <w:tr2bl w:val="nil"/>
            </w:tcBorders>
            <w:noWrap w:val="0"/>
            <w:vAlign w:val="center"/>
          </w:tcPr>
          <w:p w14:paraId="3A8ABC17">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具体内容</w:t>
            </w:r>
          </w:p>
        </w:tc>
        <w:tc>
          <w:tcPr>
            <w:tcW w:w="1438" w:type="pct"/>
            <w:tcBorders>
              <w:tl2br w:val="nil"/>
              <w:tr2bl w:val="nil"/>
            </w:tcBorders>
            <w:noWrap w:val="0"/>
            <w:vAlign w:val="center"/>
          </w:tcPr>
          <w:p w14:paraId="659CEC8F">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本项目</w:t>
            </w:r>
          </w:p>
        </w:tc>
        <w:tc>
          <w:tcPr>
            <w:tcW w:w="351" w:type="pct"/>
            <w:tcBorders>
              <w:tl2br w:val="nil"/>
              <w:tr2bl w:val="nil"/>
            </w:tcBorders>
            <w:noWrap w:val="0"/>
            <w:vAlign w:val="center"/>
          </w:tcPr>
          <w:p w14:paraId="2C9D6007">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符合性</w:t>
            </w:r>
          </w:p>
        </w:tc>
      </w:tr>
      <w:tr w14:paraId="23ED81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2" w:type="pct"/>
            <w:tcBorders>
              <w:tl2br w:val="nil"/>
              <w:tr2bl w:val="nil"/>
            </w:tcBorders>
            <w:noWrap w:val="0"/>
            <w:vAlign w:val="center"/>
          </w:tcPr>
          <w:p w14:paraId="6351FA4D">
            <w:pPr>
              <w:pageBreakBefore w:val="0"/>
              <w:wordWrap/>
              <w:bidi w:val="0"/>
              <w:adjustRightInd/>
              <w:snapToGrid/>
              <w:spacing w:line="240" w:lineRule="auto"/>
              <w:ind w:firstLine="0" w:firstLineChars="0"/>
              <w:jc w:val="center"/>
              <w:rPr>
                <w:color w:val="auto"/>
                <w:sz w:val="21"/>
                <w:szCs w:val="21"/>
              </w:rPr>
            </w:pPr>
            <w:r>
              <w:rPr>
                <w:rFonts w:hint="default" w:ascii="Times New Roman" w:hAnsi="Times New Roman" w:eastAsia="宋体" w:cs="Times New Roman"/>
                <w:color w:val="auto"/>
                <w:kern w:val="2"/>
                <w:sz w:val="21"/>
                <w:szCs w:val="21"/>
                <w:highlight w:val="none"/>
                <w:lang w:val="zh-CN" w:eastAsia="zh-CN" w:bidi="zh-CN"/>
              </w:rPr>
              <w:t>《中华人民共和国大气污染防治法》（2018年修正）</w:t>
            </w:r>
          </w:p>
        </w:tc>
        <w:tc>
          <w:tcPr>
            <w:tcW w:w="2678" w:type="pct"/>
            <w:tcBorders>
              <w:tl2br w:val="nil"/>
              <w:tr2bl w:val="nil"/>
            </w:tcBorders>
            <w:noWrap w:val="0"/>
            <w:vAlign w:val="center"/>
          </w:tcPr>
          <w:p w14:paraId="2F80E0E6">
            <w:pPr>
              <w:pageBreakBefore w:val="0"/>
              <w:wordWrap/>
              <w:bidi w:val="0"/>
              <w:adjustRightInd/>
              <w:snapToGrid/>
              <w:spacing w:line="240" w:lineRule="auto"/>
              <w:ind w:firstLine="0" w:firstLineChars="0"/>
              <w:jc w:val="left"/>
              <w:rPr>
                <w:rFonts w:hint="eastAsia"/>
                <w:color w:val="auto"/>
                <w:sz w:val="21"/>
                <w:szCs w:val="21"/>
              </w:rPr>
            </w:pPr>
            <w:r>
              <w:rPr>
                <w:rFonts w:hint="eastAsia"/>
                <w:color w:val="auto"/>
                <w:sz w:val="21"/>
                <w:szCs w:val="21"/>
              </w:rPr>
              <w:t>工单位应当在施工工地设置硬质围挡，并采取覆盖、分段作业、择时施工、洒水抑尘、冲洗地面和车辆等有效防尘降尘措施。建筑土方、工程渣土、建筑垃圾应当及时清运；在场地内堆存的，应当采用密闭式防尘网遮盖。工程渣土、建筑垃圾应当进行资源化处理。</w:t>
            </w:r>
          </w:p>
          <w:p w14:paraId="08B12FA5">
            <w:pPr>
              <w:pageBreakBefore w:val="0"/>
              <w:wordWrap/>
              <w:bidi w:val="0"/>
              <w:adjustRightInd/>
              <w:snapToGrid/>
              <w:spacing w:line="240" w:lineRule="auto"/>
              <w:ind w:firstLine="0" w:firstLineChars="0"/>
              <w:jc w:val="left"/>
              <w:rPr>
                <w:rFonts w:hint="eastAsia"/>
                <w:color w:val="auto"/>
                <w:sz w:val="21"/>
                <w:szCs w:val="21"/>
              </w:rPr>
            </w:pPr>
            <w:r>
              <w:rPr>
                <w:rFonts w:hint="eastAsia"/>
                <w:color w:val="auto"/>
                <w:sz w:val="21"/>
                <w:szCs w:val="21"/>
              </w:rPr>
              <w:t>输煤炭、垃圾、渣土、砂石、土方、灰浆等散装、流体物料的车辆应当采取密闭或者其他措施防止物料遗撒造成扬尘污染，并按照规定路线行驶。</w:t>
            </w:r>
          </w:p>
          <w:p w14:paraId="50A2FE7A">
            <w:pPr>
              <w:pageBreakBefore w:val="0"/>
              <w:wordWrap/>
              <w:bidi w:val="0"/>
              <w:adjustRightInd/>
              <w:snapToGrid/>
              <w:spacing w:line="240" w:lineRule="auto"/>
              <w:ind w:firstLine="0" w:firstLineChars="0"/>
              <w:jc w:val="left"/>
              <w:rPr>
                <w:rFonts w:hint="eastAsia"/>
                <w:color w:val="auto"/>
                <w:sz w:val="21"/>
                <w:szCs w:val="21"/>
              </w:rPr>
            </w:pPr>
            <w:r>
              <w:rPr>
                <w:rFonts w:hint="eastAsia"/>
                <w:color w:val="auto"/>
                <w:sz w:val="21"/>
                <w:szCs w:val="21"/>
              </w:rPr>
              <w:t>装卸物料应当采取密闭或者喷淋等方式防治扬尘污染。</w:t>
            </w:r>
          </w:p>
          <w:p w14:paraId="229A8BFD">
            <w:pPr>
              <w:pageBreakBefore w:val="0"/>
              <w:wordWrap/>
              <w:bidi w:val="0"/>
              <w:adjustRightInd/>
              <w:snapToGrid/>
              <w:spacing w:line="240" w:lineRule="auto"/>
              <w:ind w:firstLine="0" w:firstLineChars="0"/>
              <w:jc w:val="left"/>
              <w:rPr>
                <w:rFonts w:hint="eastAsia"/>
                <w:color w:val="auto"/>
                <w:sz w:val="21"/>
                <w:szCs w:val="21"/>
              </w:rPr>
            </w:pPr>
            <w:r>
              <w:rPr>
                <w:rFonts w:hint="eastAsia"/>
                <w:color w:val="auto"/>
                <w:sz w:val="21"/>
                <w:szCs w:val="21"/>
              </w:rPr>
              <w:t>城市人民政府应当加强道路、广场、停车场和其他公共场所的清扫保洁管理，推行清洁动力机械化清扫等低尘作业方式，防治扬尘污染。</w:t>
            </w:r>
          </w:p>
        </w:tc>
        <w:tc>
          <w:tcPr>
            <w:tcW w:w="1438" w:type="pct"/>
            <w:vMerge w:val="restart"/>
            <w:tcBorders>
              <w:tl2br w:val="nil"/>
              <w:tr2bl w:val="nil"/>
            </w:tcBorders>
            <w:noWrap w:val="0"/>
            <w:vAlign w:val="center"/>
          </w:tcPr>
          <w:p w14:paraId="34EA8F7D">
            <w:pPr>
              <w:pageBreakBefore w:val="0"/>
              <w:wordWrap/>
              <w:bidi w:val="0"/>
              <w:adjustRightInd/>
              <w:snapToGrid/>
              <w:spacing w:line="240" w:lineRule="auto"/>
              <w:ind w:firstLine="0" w:firstLineChars="0"/>
              <w:jc w:val="center"/>
              <w:rPr>
                <w:color w:val="auto"/>
                <w:sz w:val="21"/>
                <w:szCs w:val="21"/>
              </w:rPr>
            </w:pPr>
            <w:r>
              <w:rPr>
                <w:color w:val="auto"/>
                <w:sz w:val="21"/>
                <w:szCs w:val="21"/>
              </w:rPr>
              <w:t>本项目为</w:t>
            </w:r>
            <w:r>
              <w:rPr>
                <w:rFonts w:hint="eastAsia"/>
                <w:color w:val="auto"/>
                <w:sz w:val="21"/>
                <w:szCs w:val="21"/>
                <w:lang w:val="en-US" w:eastAsia="zh-CN"/>
              </w:rPr>
              <w:t>巴州区曾口区块工业污水处理厂工程</w:t>
            </w:r>
            <w:r>
              <w:rPr>
                <w:color w:val="auto"/>
                <w:sz w:val="21"/>
                <w:szCs w:val="21"/>
              </w:rPr>
              <w:t>，施工期相关大气污染严格按照相关环保要求落实；运营期主要大气污染物为污水收集预处理、生化处理及污泥处理单元产生的恶臭（硫化氢、氨等）。为此，本项目拟采取</w:t>
            </w:r>
            <w:r>
              <w:rPr>
                <w:rFonts w:hint="eastAsia"/>
                <w:color w:val="auto"/>
                <w:sz w:val="21"/>
                <w:szCs w:val="21"/>
                <w:lang w:eastAsia="zh-CN"/>
              </w:rPr>
              <w:t>“</w:t>
            </w:r>
            <w:r>
              <w:rPr>
                <w:color w:val="auto"/>
                <w:sz w:val="21"/>
                <w:szCs w:val="21"/>
              </w:rPr>
              <w:t>恶臭气体→生物</w:t>
            </w:r>
            <w:r>
              <w:rPr>
                <w:rFonts w:hint="eastAsia"/>
                <w:color w:val="auto"/>
                <w:sz w:val="21"/>
                <w:szCs w:val="21"/>
                <w:lang w:val="en-US" w:eastAsia="zh-CN"/>
              </w:rPr>
              <w:t>滤池</w:t>
            </w:r>
            <w:r>
              <w:rPr>
                <w:color w:val="auto"/>
                <w:sz w:val="21"/>
                <w:szCs w:val="21"/>
              </w:rPr>
              <w:t>除臭</w:t>
            </w:r>
            <w:r>
              <w:rPr>
                <w:rFonts w:hint="eastAsia"/>
                <w:color w:val="auto"/>
                <w:sz w:val="21"/>
                <w:szCs w:val="21"/>
                <w:lang w:eastAsia="zh-CN"/>
              </w:rPr>
              <w:t>”</w:t>
            </w:r>
            <w:r>
              <w:rPr>
                <w:color w:val="auto"/>
                <w:sz w:val="21"/>
                <w:szCs w:val="21"/>
              </w:rPr>
              <w:t>进行处理，部分未被捕集废气呈无组织排放，包括氨、硫化氢等。通过加强机械+自然通风相结合的方式加强通风，设置绿化隔离带。同时，产生的污泥按要求进行妥善、定期及时清运，加强运输车辆密闭处理，运输时间尽量避开外部环境交通高峰时期等敏感阶段。从而，降低该项目对周围环境的影响。</w:t>
            </w:r>
          </w:p>
        </w:tc>
        <w:tc>
          <w:tcPr>
            <w:tcW w:w="351" w:type="pct"/>
            <w:vMerge w:val="restart"/>
            <w:tcBorders>
              <w:tl2br w:val="nil"/>
              <w:tr2bl w:val="nil"/>
            </w:tcBorders>
            <w:noWrap w:val="0"/>
            <w:vAlign w:val="center"/>
          </w:tcPr>
          <w:p w14:paraId="5FF37FF2">
            <w:pPr>
              <w:pageBreakBefore w:val="0"/>
              <w:wordWrap/>
              <w:bidi w:val="0"/>
              <w:adjustRightInd/>
              <w:snapToGrid/>
              <w:spacing w:line="240" w:lineRule="auto"/>
              <w:ind w:firstLine="0" w:firstLineChars="0"/>
              <w:jc w:val="center"/>
              <w:rPr>
                <w:color w:val="auto"/>
                <w:sz w:val="21"/>
                <w:szCs w:val="21"/>
              </w:rPr>
            </w:pPr>
            <w:r>
              <w:rPr>
                <w:color w:val="auto"/>
                <w:sz w:val="21"/>
                <w:szCs w:val="21"/>
              </w:rPr>
              <w:t>符合</w:t>
            </w:r>
          </w:p>
        </w:tc>
      </w:tr>
      <w:tr w14:paraId="098E6E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2" w:type="pct"/>
            <w:tcBorders>
              <w:tl2br w:val="nil"/>
              <w:tr2bl w:val="nil"/>
            </w:tcBorders>
            <w:noWrap w:val="0"/>
            <w:vAlign w:val="center"/>
          </w:tcPr>
          <w:p w14:paraId="56E5CFA6">
            <w:pPr>
              <w:pageBreakBefore w:val="0"/>
              <w:wordWrap/>
              <w:bidi w:val="0"/>
              <w:adjustRightInd/>
              <w:snapToGrid/>
              <w:spacing w:line="240" w:lineRule="auto"/>
              <w:ind w:firstLine="0" w:firstLineChars="0"/>
              <w:jc w:val="center"/>
              <w:rPr>
                <w:color w:val="auto"/>
                <w:sz w:val="21"/>
                <w:szCs w:val="21"/>
              </w:rPr>
            </w:pPr>
            <w:r>
              <w:rPr>
                <w:color w:val="auto"/>
                <w:sz w:val="21"/>
                <w:szCs w:val="21"/>
              </w:rPr>
              <w:t>《国务院关于印发大气污染防治行动计划的通知》（国发[2013]37号）</w:t>
            </w:r>
          </w:p>
        </w:tc>
        <w:tc>
          <w:tcPr>
            <w:tcW w:w="2678" w:type="pct"/>
            <w:tcBorders>
              <w:tl2br w:val="nil"/>
              <w:tr2bl w:val="nil"/>
            </w:tcBorders>
            <w:noWrap w:val="0"/>
            <w:vAlign w:val="center"/>
          </w:tcPr>
          <w:p w14:paraId="371C006D">
            <w:pPr>
              <w:pageBreakBefore w:val="0"/>
              <w:wordWrap/>
              <w:bidi w:val="0"/>
              <w:adjustRightInd/>
              <w:snapToGrid/>
              <w:spacing w:line="240" w:lineRule="auto"/>
              <w:ind w:firstLine="0" w:firstLineChars="0"/>
              <w:jc w:val="left"/>
              <w:rPr>
                <w:color w:val="auto"/>
                <w:sz w:val="21"/>
                <w:szCs w:val="21"/>
              </w:rPr>
            </w:pPr>
            <w:r>
              <w:rPr>
                <w:color w:val="auto"/>
                <w:sz w:val="21"/>
                <w:szCs w:val="21"/>
              </w:rPr>
              <w:t>（二）</w:t>
            </w:r>
            <w:r>
              <w:rPr>
                <w:rFonts w:hint="eastAsia"/>
                <w:color w:val="auto"/>
                <w:sz w:val="21"/>
                <w:szCs w:val="21"/>
              </w:rPr>
              <w:t>深化面源污染治理。综合整治城市扬尘。加强施工扬尘监管，积极推进绿色施工，建设工程施工现场应全封闭设置围挡墙，严禁敞开式作业，施工现场道路应进行地面硬化。渣土运输车辆应采取密闭措施，并逐步安装卫星定位系统。推行道路机械化清扫等低尘作业方式。</w:t>
            </w:r>
            <w:r>
              <w:rPr>
                <w:color w:val="auto"/>
                <w:sz w:val="21"/>
                <w:szCs w:val="21"/>
              </w:rPr>
              <w:t>（十）</w:t>
            </w:r>
            <w:r>
              <w:rPr>
                <w:rFonts w:hint="eastAsia"/>
                <w:color w:val="auto"/>
                <w:sz w:val="21"/>
                <w:szCs w:val="21"/>
              </w:rPr>
              <w:t>大力发展循环经济。鼓励产业集聚发展，实施园区循环化改造，推进能源梯级利用、水资源循环利用、废物交换利用、土地节约集约利用，促进企业循环式生产、园区循环式发展、产业循环式组合，构建循环型工业体系。推动水泥、钢铁等工业窑炉、高炉实施废物协同处置。大力发展机电产品再制造，推进资源再生利用产业发展。</w:t>
            </w:r>
          </w:p>
        </w:tc>
        <w:tc>
          <w:tcPr>
            <w:tcW w:w="1438" w:type="pct"/>
            <w:vMerge w:val="continue"/>
            <w:tcBorders>
              <w:tl2br w:val="nil"/>
              <w:tr2bl w:val="nil"/>
            </w:tcBorders>
            <w:noWrap w:val="0"/>
            <w:vAlign w:val="center"/>
          </w:tcPr>
          <w:p w14:paraId="1B3B46E8">
            <w:pPr>
              <w:pageBreakBefore w:val="0"/>
              <w:wordWrap/>
              <w:bidi w:val="0"/>
              <w:adjustRightInd/>
              <w:snapToGrid/>
              <w:spacing w:line="240" w:lineRule="auto"/>
              <w:ind w:firstLine="0" w:firstLineChars="0"/>
              <w:jc w:val="center"/>
              <w:rPr>
                <w:color w:val="auto"/>
                <w:sz w:val="21"/>
                <w:szCs w:val="21"/>
              </w:rPr>
            </w:pPr>
          </w:p>
        </w:tc>
        <w:tc>
          <w:tcPr>
            <w:tcW w:w="351" w:type="pct"/>
            <w:vMerge w:val="continue"/>
            <w:tcBorders>
              <w:tl2br w:val="nil"/>
              <w:tr2bl w:val="nil"/>
            </w:tcBorders>
            <w:noWrap w:val="0"/>
            <w:vAlign w:val="center"/>
          </w:tcPr>
          <w:p w14:paraId="73714F1A">
            <w:pPr>
              <w:pageBreakBefore w:val="0"/>
              <w:wordWrap/>
              <w:bidi w:val="0"/>
              <w:adjustRightInd/>
              <w:snapToGrid/>
              <w:spacing w:line="240" w:lineRule="auto"/>
              <w:ind w:firstLine="0" w:firstLineChars="0"/>
              <w:jc w:val="center"/>
              <w:rPr>
                <w:color w:val="auto"/>
                <w:sz w:val="21"/>
                <w:szCs w:val="21"/>
              </w:rPr>
            </w:pPr>
          </w:p>
        </w:tc>
      </w:tr>
      <w:tr w14:paraId="16DF67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2" w:type="pct"/>
            <w:tcBorders>
              <w:tl2br w:val="nil"/>
              <w:tr2bl w:val="nil"/>
            </w:tcBorders>
            <w:noWrap w:val="0"/>
            <w:vAlign w:val="center"/>
          </w:tcPr>
          <w:p w14:paraId="1615BF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color w:val="auto"/>
                <w:sz w:val="21"/>
                <w:szCs w:val="21"/>
              </w:rPr>
            </w:pPr>
            <w:r>
              <w:rPr>
                <w:rFonts w:hint="eastAsia"/>
                <w:color w:val="auto"/>
                <w:sz w:val="21"/>
                <w:szCs w:val="21"/>
              </w:rPr>
              <w:t>《四川省大气污染防治行动计划实施细则》（川办函[2017]102号）</w:t>
            </w:r>
          </w:p>
        </w:tc>
        <w:tc>
          <w:tcPr>
            <w:tcW w:w="2678" w:type="pct"/>
            <w:tcBorders>
              <w:tl2br w:val="nil"/>
              <w:tr2bl w:val="nil"/>
            </w:tcBorders>
            <w:noWrap w:val="0"/>
            <w:vAlign w:val="center"/>
          </w:tcPr>
          <w:p w14:paraId="186A0138">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center"/>
              <w:rPr>
                <w:rFonts w:hint="eastAsia"/>
                <w:color w:val="auto"/>
                <w:sz w:val="21"/>
                <w:szCs w:val="21"/>
              </w:rPr>
            </w:pPr>
            <w:r>
              <w:rPr>
                <w:rFonts w:hint="eastAsia"/>
                <w:color w:val="auto"/>
                <w:sz w:val="21"/>
                <w:szCs w:val="21"/>
              </w:rPr>
              <w:t>深化面源污染治理，加强城市环境综合管理。</w:t>
            </w:r>
          </w:p>
          <w:p w14:paraId="0FA6BF9D">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center"/>
              <w:rPr>
                <w:rFonts w:hint="eastAsia"/>
                <w:color w:val="auto"/>
                <w:sz w:val="21"/>
                <w:szCs w:val="21"/>
              </w:rPr>
            </w:pPr>
            <w:r>
              <w:rPr>
                <w:rFonts w:hint="eastAsia"/>
                <w:color w:val="auto"/>
                <w:sz w:val="21"/>
                <w:szCs w:val="21"/>
              </w:rPr>
              <w:t>1.严控工地、道路、堆场扬尘污染。强化城市施工工地扬尘环境管控，积极推行绿色施工，严格执行安全文明施工标准规范，全面推行现场标准化管理。严格落实施工现场围挡、工地物料堆场覆盖、施工现场路面硬化、驶出工地车辆冲洗、拆迁工地湿法作业、渣土运输车辆密闭等扬尘防治要求。研究渣土运输车辆密闭改装标准，确保实现渣土密闭运输。加强建设工地监督检查，督促责任单位落实降尘、压尘和抑尘措施。</w:t>
            </w:r>
          </w:p>
          <w:p w14:paraId="6F4BDCC0">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center"/>
              <w:rPr>
                <w:rFonts w:hint="eastAsia"/>
                <w:color w:val="auto"/>
                <w:sz w:val="21"/>
                <w:szCs w:val="21"/>
              </w:rPr>
            </w:pPr>
            <w:r>
              <w:rPr>
                <w:rFonts w:hint="eastAsia"/>
                <w:color w:val="auto"/>
                <w:sz w:val="21"/>
                <w:szCs w:val="21"/>
              </w:rPr>
              <w:t>深化城市道路扬尘防治。采用绿化和硬化相结合的方式，减少城市道路两侧裸土面积。加大道路洒水降尘力度，推行道路机械化清扫等低尘作业方式，设市城市和县城建成区道路机械化清扫率分别达到90%、85%以上。加强城市道路路政养护管理，减少路面破损。加大城市管理行政执法力度，严格查处抛洒滴漏、带泥行驶、道路乱开乱挖以及擅自清运工程渣土等行为。</w:t>
            </w:r>
          </w:p>
          <w:p w14:paraId="40C06391">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center"/>
              <w:rPr>
                <w:color w:val="auto"/>
                <w:sz w:val="21"/>
                <w:szCs w:val="21"/>
              </w:rPr>
            </w:pPr>
            <w:r>
              <w:rPr>
                <w:rFonts w:hint="eastAsia"/>
                <w:color w:val="auto"/>
                <w:sz w:val="21"/>
                <w:szCs w:val="21"/>
              </w:rPr>
              <w:t>强化堆场扬尘控制。强化煤堆、料堆的监督管理，推进视频监控设施安装。大型煤堆、料堆场应建立密闭料仓与传送装置，生产企业中小型堆场和废渣堆场应搭建</w:t>
            </w:r>
            <w:r>
              <w:rPr>
                <w:rFonts w:hint="eastAsia"/>
                <w:color w:val="auto"/>
                <w:sz w:val="21"/>
                <w:szCs w:val="21"/>
                <w:lang w:eastAsia="zh-CN"/>
              </w:rPr>
              <w:t>顶棚</w:t>
            </w:r>
            <w:r>
              <w:rPr>
                <w:rFonts w:hint="eastAsia"/>
                <w:color w:val="auto"/>
                <w:sz w:val="21"/>
                <w:szCs w:val="21"/>
              </w:rPr>
              <w:t>并修筑防风墙。对临时露天堆放的，应加以覆盖或建设自动喷淋装置；对长期堆放的废弃物，应采取覆绿、铺装、硬化、定期喷洒抑尘剂或稳定剂等措施。</w:t>
            </w:r>
          </w:p>
        </w:tc>
        <w:tc>
          <w:tcPr>
            <w:tcW w:w="1438" w:type="pct"/>
            <w:vMerge w:val="continue"/>
            <w:tcBorders>
              <w:tl2br w:val="nil"/>
              <w:tr2bl w:val="nil"/>
            </w:tcBorders>
            <w:noWrap w:val="0"/>
            <w:vAlign w:val="center"/>
          </w:tcPr>
          <w:p w14:paraId="6DFFD3FD">
            <w:pPr>
              <w:pageBreakBefore w:val="0"/>
              <w:wordWrap/>
              <w:bidi w:val="0"/>
              <w:adjustRightInd/>
              <w:snapToGrid/>
              <w:spacing w:line="240" w:lineRule="auto"/>
              <w:ind w:firstLine="0" w:firstLineChars="0"/>
              <w:jc w:val="center"/>
              <w:rPr>
                <w:color w:val="auto"/>
                <w:sz w:val="21"/>
                <w:szCs w:val="21"/>
              </w:rPr>
            </w:pPr>
          </w:p>
        </w:tc>
        <w:tc>
          <w:tcPr>
            <w:tcW w:w="351" w:type="pct"/>
            <w:vMerge w:val="continue"/>
            <w:tcBorders>
              <w:tl2br w:val="nil"/>
              <w:tr2bl w:val="nil"/>
            </w:tcBorders>
            <w:noWrap w:val="0"/>
            <w:vAlign w:val="center"/>
          </w:tcPr>
          <w:p w14:paraId="400B240B">
            <w:pPr>
              <w:pageBreakBefore w:val="0"/>
              <w:wordWrap/>
              <w:bidi w:val="0"/>
              <w:adjustRightInd/>
              <w:snapToGrid/>
              <w:spacing w:line="240" w:lineRule="auto"/>
              <w:ind w:firstLine="0" w:firstLineChars="0"/>
              <w:jc w:val="center"/>
              <w:rPr>
                <w:color w:val="auto"/>
                <w:sz w:val="21"/>
                <w:szCs w:val="21"/>
              </w:rPr>
            </w:pPr>
          </w:p>
        </w:tc>
      </w:tr>
      <w:tr w14:paraId="60942C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2" w:type="pct"/>
            <w:tcBorders>
              <w:tl2br w:val="nil"/>
              <w:tr2bl w:val="nil"/>
            </w:tcBorders>
            <w:noWrap w:val="0"/>
            <w:vAlign w:val="center"/>
          </w:tcPr>
          <w:p w14:paraId="14F242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color w:val="auto"/>
                <w:sz w:val="21"/>
                <w:szCs w:val="21"/>
              </w:rPr>
            </w:pPr>
            <w:r>
              <w:rPr>
                <w:color w:val="auto"/>
                <w:sz w:val="21"/>
                <w:szCs w:val="21"/>
              </w:rPr>
              <w:t>巴中市扬尘污染防治条例</w:t>
            </w:r>
          </w:p>
        </w:tc>
        <w:tc>
          <w:tcPr>
            <w:tcW w:w="2678" w:type="pct"/>
            <w:tcBorders>
              <w:tl2br w:val="nil"/>
              <w:tr2bl w:val="nil"/>
            </w:tcBorders>
            <w:noWrap w:val="0"/>
            <w:vAlign w:val="center"/>
          </w:tcPr>
          <w:p w14:paraId="0211D071">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center"/>
              <w:rPr>
                <w:color w:val="auto"/>
                <w:sz w:val="21"/>
                <w:szCs w:val="21"/>
              </w:rPr>
            </w:pPr>
            <w:r>
              <w:rPr>
                <w:color w:val="auto"/>
                <w:sz w:val="21"/>
                <w:szCs w:val="21"/>
              </w:rPr>
              <w:t>第三十条运输煤炭、矿石、矿渣、垃圾、渣土、砂石、土方、灰浆、水泥等散装、流体物料的车辆，应当采取完全密闭或者其他措施防止物料遗撒、泄漏、飞扬，经冲洗干净后方可上路行驶并保持车身整洁，按照规定或者核定的时间、路线行驶。</w:t>
            </w:r>
          </w:p>
          <w:p w14:paraId="06086F66">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center"/>
              <w:rPr>
                <w:color w:val="auto"/>
                <w:sz w:val="21"/>
                <w:szCs w:val="21"/>
              </w:rPr>
            </w:pPr>
            <w:r>
              <w:rPr>
                <w:color w:val="auto"/>
                <w:sz w:val="21"/>
                <w:szCs w:val="21"/>
              </w:rPr>
              <w:t>市、县级人民政府应当推行建筑垃圾、工程渣土专业化运输，可以划定实行建筑垃圾、工程渣土专业化运输的区域。在划定的区域内，建筑垃圾、工程渣土应当交由具备相应资质的企业运输。</w:t>
            </w:r>
          </w:p>
          <w:p w14:paraId="2592179D">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center"/>
              <w:rPr>
                <w:color w:val="auto"/>
                <w:sz w:val="21"/>
                <w:szCs w:val="21"/>
              </w:rPr>
            </w:pPr>
            <w:r>
              <w:rPr>
                <w:color w:val="auto"/>
                <w:sz w:val="21"/>
                <w:szCs w:val="21"/>
              </w:rPr>
              <w:t>市、县级人民政府应当建设专用的建筑垃圾处置消纳场所，规范处置行为，防治扬尘污染，推进资源化利用。</w:t>
            </w:r>
          </w:p>
        </w:tc>
        <w:tc>
          <w:tcPr>
            <w:tcW w:w="1438" w:type="pct"/>
            <w:vMerge w:val="continue"/>
            <w:tcBorders>
              <w:tl2br w:val="nil"/>
              <w:tr2bl w:val="nil"/>
            </w:tcBorders>
            <w:noWrap w:val="0"/>
            <w:vAlign w:val="center"/>
          </w:tcPr>
          <w:p w14:paraId="52720B9E">
            <w:pPr>
              <w:pageBreakBefore w:val="0"/>
              <w:wordWrap/>
              <w:bidi w:val="0"/>
              <w:adjustRightInd/>
              <w:snapToGrid/>
              <w:spacing w:line="240" w:lineRule="auto"/>
              <w:ind w:firstLine="0" w:firstLineChars="0"/>
              <w:jc w:val="center"/>
              <w:rPr>
                <w:color w:val="auto"/>
                <w:sz w:val="21"/>
                <w:szCs w:val="21"/>
              </w:rPr>
            </w:pPr>
          </w:p>
        </w:tc>
        <w:tc>
          <w:tcPr>
            <w:tcW w:w="351" w:type="pct"/>
            <w:vMerge w:val="continue"/>
            <w:tcBorders>
              <w:tl2br w:val="nil"/>
              <w:tr2bl w:val="nil"/>
            </w:tcBorders>
            <w:noWrap w:val="0"/>
            <w:vAlign w:val="center"/>
          </w:tcPr>
          <w:p w14:paraId="4CAB6DE0">
            <w:pPr>
              <w:pageBreakBefore w:val="0"/>
              <w:wordWrap/>
              <w:bidi w:val="0"/>
              <w:adjustRightInd/>
              <w:snapToGrid/>
              <w:spacing w:line="240" w:lineRule="auto"/>
              <w:ind w:firstLine="0" w:firstLineChars="0"/>
              <w:jc w:val="center"/>
              <w:rPr>
                <w:color w:val="auto"/>
                <w:sz w:val="21"/>
                <w:szCs w:val="21"/>
              </w:rPr>
            </w:pPr>
          </w:p>
        </w:tc>
      </w:tr>
    </w:tbl>
    <w:p w14:paraId="5227121E">
      <w:pPr>
        <w:pageBreakBefore w:val="0"/>
        <w:wordWrap/>
        <w:bidi w:val="0"/>
        <w:adjustRightInd/>
        <w:snapToGrid/>
        <w:spacing w:before="120" w:beforeLines="50"/>
        <w:ind w:firstLine="480"/>
        <w:rPr>
          <w:color w:val="auto"/>
        </w:rPr>
        <w:sectPr>
          <w:pgSz w:w="16838" w:h="11906" w:orient="landscape"/>
          <w:pgMar w:top="1588" w:right="1440" w:bottom="1588" w:left="1440" w:header="851" w:footer="992" w:gutter="0"/>
          <w:pgBorders>
            <w:top w:val="none" w:sz="0" w:space="0"/>
            <w:left w:val="none" w:sz="0" w:space="0"/>
            <w:bottom w:val="none" w:sz="0" w:space="0"/>
            <w:right w:val="none" w:sz="0" w:space="0"/>
          </w:pgBorders>
          <w:pgNumType w:fmt="decimal"/>
          <w:cols w:space="720" w:num="1"/>
        </w:sectPr>
      </w:pPr>
    </w:p>
    <w:p w14:paraId="1AF8154C">
      <w:pPr>
        <w:pageBreakBefore w:val="0"/>
        <w:wordWrap/>
        <w:bidi w:val="0"/>
        <w:adjustRightInd/>
        <w:snapToGrid/>
        <w:spacing w:before="120" w:beforeLines="50"/>
        <w:ind w:firstLine="480"/>
        <w:rPr>
          <w:color w:val="auto"/>
        </w:rPr>
      </w:pPr>
      <w:r>
        <w:rPr>
          <w:color w:val="auto"/>
        </w:rPr>
        <w:t>综上，国家、省、市各级地方政府出台相应的大气污染防治规范文件，旨在加强大气污染防控治理，提高大气环境质量。本项目为新建项目，建成后正常运行过程中废水收集、预处理、生化处理单元及污泥处理单元产生的臭气，经相应环保处理措施处理后，可实现达标排放。同时，项目建设周边已划定绿地区域。从而，降低该项目对周围环境的影响。因此，符合国家及地方有关大气污染防治规范要求。</w:t>
      </w:r>
    </w:p>
    <w:p w14:paraId="3BD7FCE7">
      <w:pPr>
        <w:pStyle w:val="10"/>
        <w:pageBreakBefore w:val="0"/>
        <w:wordWrap/>
        <w:bidi w:val="0"/>
        <w:adjustRightInd/>
        <w:snapToGrid/>
        <w:rPr>
          <w:color w:val="auto"/>
        </w:rPr>
      </w:pPr>
      <w:r>
        <w:rPr>
          <w:color w:val="auto"/>
        </w:rPr>
        <w:t>与国家及地方有关土壤污染防治的规</w:t>
      </w:r>
      <w:r>
        <w:rPr>
          <w:rFonts w:hint="eastAsia"/>
          <w:color w:val="auto"/>
          <w:lang w:eastAsia="zh-CN"/>
        </w:rPr>
        <w:t>范性</w:t>
      </w:r>
      <w:r>
        <w:rPr>
          <w:color w:val="auto"/>
        </w:rPr>
        <w:t>文件符合性分析</w:t>
      </w:r>
    </w:p>
    <w:p w14:paraId="0595CB54">
      <w:pPr>
        <w:pageBreakBefore w:val="0"/>
        <w:wordWrap/>
        <w:bidi w:val="0"/>
        <w:adjustRightInd/>
        <w:snapToGrid/>
        <w:ind w:firstLine="480"/>
        <w:rPr>
          <w:rFonts w:hint="eastAsia"/>
          <w:color w:val="auto"/>
        </w:rPr>
      </w:pPr>
      <w:r>
        <w:rPr>
          <w:rFonts w:hint="eastAsia"/>
          <w:color w:val="auto"/>
        </w:rPr>
        <w:t>本项目建设与国家及地方有关土壤污染防治的规</w:t>
      </w:r>
      <w:r>
        <w:rPr>
          <w:rFonts w:hint="eastAsia"/>
          <w:color w:val="auto"/>
          <w:lang w:eastAsia="zh-CN"/>
        </w:rPr>
        <w:t>范性</w:t>
      </w:r>
      <w:r>
        <w:rPr>
          <w:rFonts w:hint="eastAsia"/>
          <w:color w:val="auto"/>
        </w:rPr>
        <w:t>文件符合性分析如下表所示：</w:t>
      </w:r>
    </w:p>
    <w:p w14:paraId="33FF8226">
      <w:pPr>
        <w:pStyle w:val="19"/>
        <w:numPr>
          <w:ilvl w:val="0"/>
          <w:numId w:val="13"/>
        </w:numPr>
        <w:tabs>
          <w:tab w:val="clear" w:pos="0"/>
        </w:tabs>
        <w:bidi w:val="0"/>
        <w:ind w:left="0" w:leftChars="0" w:firstLine="0" w:firstLineChars="0"/>
        <w:rPr>
          <w:color w:val="auto"/>
        </w:rPr>
      </w:pPr>
      <w:r>
        <w:rPr>
          <w:color w:val="auto"/>
        </w:rPr>
        <w:t>相关土壤污染防治规范文件符合性分析一览表</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10"/>
        <w:gridCol w:w="2976"/>
        <w:gridCol w:w="3213"/>
        <w:gridCol w:w="942"/>
      </w:tblGrid>
      <w:tr w14:paraId="1E171F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2" w:type="pct"/>
            <w:tcBorders>
              <w:tl2br w:val="nil"/>
              <w:tr2bl w:val="nil"/>
            </w:tcBorders>
            <w:noWrap w:val="0"/>
            <w:vAlign w:val="center"/>
          </w:tcPr>
          <w:p w14:paraId="5B0D4373">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名称</w:t>
            </w:r>
          </w:p>
        </w:tc>
        <w:tc>
          <w:tcPr>
            <w:tcW w:w="1664" w:type="pct"/>
            <w:tcBorders>
              <w:tl2br w:val="nil"/>
              <w:tr2bl w:val="nil"/>
            </w:tcBorders>
            <w:noWrap w:val="0"/>
            <w:vAlign w:val="center"/>
          </w:tcPr>
          <w:p w14:paraId="1A403D44">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具体内容</w:t>
            </w:r>
          </w:p>
        </w:tc>
        <w:tc>
          <w:tcPr>
            <w:tcW w:w="1797" w:type="pct"/>
            <w:tcBorders>
              <w:tl2br w:val="nil"/>
              <w:tr2bl w:val="nil"/>
            </w:tcBorders>
            <w:noWrap w:val="0"/>
            <w:vAlign w:val="center"/>
          </w:tcPr>
          <w:p w14:paraId="0A98D2F5">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本项目</w:t>
            </w:r>
          </w:p>
        </w:tc>
        <w:tc>
          <w:tcPr>
            <w:tcW w:w="527" w:type="pct"/>
            <w:tcBorders>
              <w:tl2br w:val="nil"/>
              <w:tr2bl w:val="nil"/>
            </w:tcBorders>
            <w:noWrap w:val="0"/>
            <w:vAlign w:val="center"/>
          </w:tcPr>
          <w:p w14:paraId="25E524D0">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符合性</w:t>
            </w:r>
          </w:p>
        </w:tc>
      </w:tr>
      <w:tr w14:paraId="786B73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2" w:type="pct"/>
            <w:tcBorders>
              <w:tl2br w:val="nil"/>
              <w:tr2bl w:val="nil"/>
            </w:tcBorders>
            <w:noWrap w:val="0"/>
            <w:vAlign w:val="center"/>
          </w:tcPr>
          <w:p w14:paraId="23E5F8B3">
            <w:pPr>
              <w:pageBreakBefore w:val="0"/>
              <w:wordWrap/>
              <w:bidi w:val="0"/>
              <w:adjustRightInd/>
              <w:snapToGrid/>
              <w:spacing w:line="240" w:lineRule="auto"/>
              <w:ind w:firstLine="0" w:firstLineChars="0"/>
              <w:jc w:val="center"/>
              <w:rPr>
                <w:color w:val="auto"/>
                <w:sz w:val="21"/>
                <w:szCs w:val="21"/>
              </w:rPr>
            </w:pPr>
            <w:r>
              <w:rPr>
                <w:color w:val="auto"/>
                <w:sz w:val="21"/>
                <w:szCs w:val="21"/>
              </w:rPr>
              <w:t>《国务院关于印发土壤污染防治行动计划的通知》（国发[2016]31号）</w:t>
            </w:r>
          </w:p>
        </w:tc>
        <w:tc>
          <w:tcPr>
            <w:tcW w:w="1664" w:type="pct"/>
            <w:vMerge w:val="restart"/>
            <w:tcBorders>
              <w:tl2br w:val="nil"/>
              <w:tr2bl w:val="nil"/>
            </w:tcBorders>
            <w:noWrap w:val="0"/>
            <w:vAlign w:val="center"/>
          </w:tcPr>
          <w:p w14:paraId="38E7F5C7">
            <w:pPr>
              <w:pageBreakBefore w:val="0"/>
              <w:wordWrap/>
              <w:bidi w:val="0"/>
              <w:adjustRightInd/>
              <w:snapToGrid/>
              <w:spacing w:line="240" w:lineRule="auto"/>
              <w:ind w:firstLine="0" w:firstLineChars="0"/>
              <w:jc w:val="center"/>
              <w:rPr>
                <w:color w:val="auto"/>
                <w:sz w:val="21"/>
                <w:szCs w:val="21"/>
              </w:rPr>
            </w:pPr>
            <w:r>
              <w:rPr>
                <w:color w:val="auto"/>
                <w:sz w:val="21"/>
                <w:szCs w:val="21"/>
              </w:rPr>
              <w:t>…加强污染源监管，做好土壤污染预防工作…加强工业废物处理处置…严禁将城镇生活垃圾、污泥、工业废物直接用作肥料…鼓励将处理达标后的污泥用于园林绿化</w:t>
            </w:r>
          </w:p>
        </w:tc>
        <w:tc>
          <w:tcPr>
            <w:tcW w:w="1797" w:type="pct"/>
            <w:vMerge w:val="restart"/>
            <w:tcBorders>
              <w:tl2br w:val="nil"/>
              <w:tr2bl w:val="nil"/>
            </w:tcBorders>
            <w:noWrap w:val="0"/>
            <w:vAlign w:val="center"/>
          </w:tcPr>
          <w:p w14:paraId="540C2DC8">
            <w:pPr>
              <w:pageBreakBefore w:val="0"/>
              <w:wordWrap/>
              <w:bidi w:val="0"/>
              <w:adjustRightInd/>
              <w:snapToGrid/>
              <w:spacing w:line="240" w:lineRule="auto"/>
              <w:ind w:firstLine="0" w:firstLineChars="0"/>
              <w:jc w:val="center"/>
              <w:rPr>
                <w:color w:val="auto"/>
                <w:sz w:val="21"/>
                <w:szCs w:val="21"/>
              </w:rPr>
            </w:pPr>
            <w:r>
              <w:rPr>
                <w:color w:val="auto"/>
                <w:sz w:val="21"/>
                <w:szCs w:val="21"/>
              </w:rPr>
              <w:t>本项目正常运行过程中产生的固体废物主要为预处理过程中产生的栅渣以及生化系统产生的污泥。其中，格栅渣等经分类收集、脱水等预处理后，</w:t>
            </w:r>
            <w:r>
              <w:rPr>
                <w:rFonts w:hint="eastAsia"/>
                <w:color w:val="auto"/>
                <w:sz w:val="21"/>
                <w:szCs w:val="21"/>
              </w:rPr>
              <w:t>暂存于厂内的固废暂存区，由市政环卫部门定期送至当地政府指定处理场所进行妥善处理</w:t>
            </w:r>
            <w:r>
              <w:rPr>
                <w:color w:val="auto"/>
                <w:sz w:val="21"/>
                <w:szCs w:val="21"/>
              </w:rPr>
              <w:t>；污泥经脱水预处理后，根据污泥鉴定检测结果</w:t>
            </w:r>
            <w:r>
              <w:rPr>
                <w:rFonts w:hint="eastAsia"/>
                <w:color w:val="auto"/>
                <w:sz w:val="21"/>
                <w:szCs w:val="21"/>
                <w:lang w:eastAsia="zh-CN"/>
              </w:rPr>
              <w:t>，</w:t>
            </w:r>
            <w:r>
              <w:rPr>
                <w:color w:val="auto"/>
                <w:sz w:val="21"/>
                <w:szCs w:val="21"/>
              </w:rPr>
              <w:t>定期送交</w:t>
            </w:r>
            <w:r>
              <w:rPr>
                <w:rFonts w:hint="eastAsia"/>
                <w:color w:val="auto"/>
                <w:sz w:val="21"/>
                <w:szCs w:val="21"/>
                <w:lang w:val="en-US" w:eastAsia="zh-CN"/>
              </w:rPr>
              <w:t>相应</w:t>
            </w:r>
            <w:r>
              <w:rPr>
                <w:rFonts w:hint="eastAsia"/>
                <w:color w:val="auto"/>
                <w:sz w:val="21"/>
                <w:szCs w:val="21"/>
                <w:lang w:eastAsia="zh-CN"/>
              </w:rPr>
              <w:t>的</w:t>
            </w:r>
            <w:r>
              <w:rPr>
                <w:color w:val="auto"/>
                <w:sz w:val="21"/>
                <w:szCs w:val="21"/>
              </w:rPr>
              <w:t>专业机构妥善处置；生活垃圾由市政环保部门定期收集、清运。另外，生产过程产生的危险废物（废矿物油、废润滑油</w:t>
            </w:r>
            <w:r>
              <w:rPr>
                <w:rFonts w:hint="eastAsia"/>
                <w:color w:val="auto"/>
                <w:sz w:val="21"/>
                <w:szCs w:val="21"/>
                <w:lang w:eastAsia="zh-CN"/>
              </w:rPr>
              <w:t>、</w:t>
            </w:r>
            <w:r>
              <w:rPr>
                <w:rFonts w:hint="eastAsia"/>
                <w:color w:val="auto"/>
                <w:sz w:val="21"/>
                <w:szCs w:val="21"/>
                <w:lang w:val="en-US" w:eastAsia="zh-CN"/>
              </w:rPr>
              <w:t>实验废液、废包装材料</w:t>
            </w:r>
            <w:r>
              <w:rPr>
                <w:color w:val="auto"/>
                <w:sz w:val="21"/>
                <w:szCs w:val="21"/>
              </w:rPr>
              <w:t>等）经分类收集、暂存，交由有资质单位处置，同时加强堆场</w:t>
            </w:r>
            <w:r>
              <w:rPr>
                <w:rFonts w:hint="eastAsia"/>
                <w:color w:val="auto"/>
                <w:sz w:val="21"/>
                <w:szCs w:val="21"/>
                <w:lang w:eastAsia="zh-CN"/>
              </w:rPr>
              <w:t>“</w:t>
            </w:r>
            <w:r>
              <w:rPr>
                <w:color w:val="auto"/>
                <w:sz w:val="21"/>
                <w:szCs w:val="21"/>
              </w:rPr>
              <w:t>三防</w:t>
            </w:r>
            <w:r>
              <w:rPr>
                <w:rFonts w:hint="eastAsia"/>
                <w:color w:val="auto"/>
                <w:sz w:val="21"/>
                <w:szCs w:val="21"/>
                <w:lang w:eastAsia="zh-CN"/>
              </w:rPr>
              <w:t>”</w:t>
            </w:r>
            <w:r>
              <w:rPr>
                <w:color w:val="auto"/>
                <w:sz w:val="21"/>
                <w:szCs w:val="21"/>
              </w:rPr>
              <w:t>措施，避免二次污染。</w:t>
            </w:r>
          </w:p>
        </w:tc>
        <w:tc>
          <w:tcPr>
            <w:tcW w:w="527" w:type="pct"/>
            <w:vMerge w:val="restart"/>
            <w:tcBorders>
              <w:tl2br w:val="nil"/>
              <w:tr2bl w:val="nil"/>
            </w:tcBorders>
            <w:noWrap w:val="0"/>
            <w:vAlign w:val="center"/>
          </w:tcPr>
          <w:p w14:paraId="1B6AFD96">
            <w:pPr>
              <w:pageBreakBefore w:val="0"/>
              <w:wordWrap/>
              <w:bidi w:val="0"/>
              <w:adjustRightInd/>
              <w:snapToGrid/>
              <w:spacing w:line="240" w:lineRule="auto"/>
              <w:ind w:firstLine="0" w:firstLineChars="0"/>
              <w:jc w:val="center"/>
              <w:rPr>
                <w:color w:val="auto"/>
                <w:sz w:val="21"/>
                <w:szCs w:val="21"/>
              </w:rPr>
            </w:pPr>
            <w:r>
              <w:rPr>
                <w:color w:val="auto"/>
                <w:sz w:val="21"/>
                <w:szCs w:val="21"/>
              </w:rPr>
              <w:t>符合</w:t>
            </w:r>
          </w:p>
        </w:tc>
      </w:tr>
      <w:tr w14:paraId="5EAC4F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2" w:type="pct"/>
            <w:tcBorders>
              <w:tl2br w:val="nil"/>
              <w:tr2bl w:val="nil"/>
            </w:tcBorders>
            <w:noWrap w:val="0"/>
            <w:vAlign w:val="center"/>
          </w:tcPr>
          <w:p w14:paraId="67A57316">
            <w:pPr>
              <w:pageBreakBefore w:val="0"/>
              <w:wordWrap/>
              <w:bidi w:val="0"/>
              <w:adjustRightInd/>
              <w:snapToGrid/>
              <w:spacing w:line="240" w:lineRule="auto"/>
              <w:ind w:firstLine="0" w:firstLineChars="0"/>
              <w:jc w:val="center"/>
              <w:rPr>
                <w:color w:val="auto"/>
                <w:sz w:val="21"/>
                <w:szCs w:val="21"/>
              </w:rPr>
            </w:pPr>
            <w:r>
              <w:rPr>
                <w:color w:val="auto"/>
                <w:sz w:val="21"/>
                <w:szCs w:val="21"/>
              </w:rPr>
              <w:t>《四川省关于印发土壤污染防治行动计划四川省工作方案的通知》（川府发[2016]63号）</w:t>
            </w:r>
          </w:p>
        </w:tc>
        <w:tc>
          <w:tcPr>
            <w:tcW w:w="1664" w:type="pct"/>
            <w:vMerge w:val="continue"/>
            <w:tcBorders>
              <w:tl2br w:val="nil"/>
              <w:tr2bl w:val="nil"/>
            </w:tcBorders>
            <w:noWrap w:val="0"/>
            <w:vAlign w:val="center"/>
          </w:tcPr>
          <w:p w14:paraId="552C335B">
            <w:pPr>
              <w:pageBreakBefore w:val="0"/>
              <w:wordWrap/>
              <w:bidi w:val="0"/>
              <w:adjustRightInd/>
              <w:snapToGrid/>
              <w:spacing w:line="240" w:lineRule="auto"/>
              <w:ind w:firstLine="0" w:firstLineChars="0"/>
              <w:jc w:val="center"/>
              <w:rPr>
                <w:color w:val="auto"/>
                <w:sz w:val="21"/>
                <w:szCs w:val="21"/>
              </w:rPr>
            </w:pPr>
          </w:p>
        </w:tc>
        <w:tc>
          <w:tcPr>
            <w:tcW w:w="1797" w:type="pct"/>
            <w:vMerge w:val="continue"/>
            <w:tcBorders>
              <w:tl2br w:val="nil"/>
              <w:tr2bl w:val="nil"/>
            </w:tcBorders>
            <w:noWrap w:val="0"/>
            <w:vAlign w:val="center"/>
          </w:tcPr>
          <w:p w14:paraId="1B21AE9E">
            <w:pPr>
              <w:pageBreakBefore w:val="0"/>
              <w:wordWrap/>
              <w:bidi w:val="0"/>
              <w:adjustRightInd/>
              <w:snapToGrid/>
              <w:spacing w:line="240" w:lineRule="auto"/>
              <w:ind w:firstLine="0" w:firstLineChars="0"/>
              <w:jc w:val="center"/>
              <w:rPr>
                <w:color w:val="auto"/>
                <w:sz w:val="21"/>
                <w:szCs w:val="21"/>
              </w:rPr>
            </w:pPr>
          </w:p>
        </w:tc>
        <w:tc>
          <w:tcPr>
            <w:tcW w:w="527" w:type="pct"/>
            <w:vMerge w:val="continue"/>
            <w:tcBorders>
              <w:tl2br w:val="nil"/>
              <w:tr2bl w:val="nil"/>
            </w:tcBorders>
            <w:noWrap w:val="0"/>
            <w:vAlign w:val="center"/>
          </w:tcPr>
          <w:p w14:paraId="594E9F06">
            <w:pPr>
              <w:pageBreakBefore w:val="0"/>
              <w:wordWrap/>
              <w:bidi w:val="0"/>
              <w:adjustRightInd/>
              <w:snapToGrid/>
              <w:spacing w:line="240" w:lineRule="auto"/>
              <w:ind w:firstLine="0" w:firstLineChars="0"/>
              <w:jc w:val="center"/>
              <w:rPr>
                <w:color w:val="auto"/>
                <w:sz w:val="21"/>
                <w:szCs w:val="21"/>
              </w:rPr>
            </w:pPr>
          </w:p>
        </w:tc>
      </w:tr>
      <w:tr w14:paraId="290D04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2" w:type="pct"/>
            <w:tcBorders>
              <w:tl2br w:val="nil"/>
              <w:tr2bl w:val="nil"/>
            </w:tcBorders>
            <w:noWrap w:val="0"/>
            <w:vAlign w:val="center"/>
          </w:tcPr>
          <w:p w14:paraId="11BE14FB">
            <w:pPr>
              <w:pageBreakBefore w:val="0"/>
              <w:wordWrap/>
              <w:bidi w:val="0"/>
              <w:adjustRightInd/>
              <w:snapToGrid/>
              <w:spacing w:line="240" w:lineRule="auto"/>
              <w:ind w:firstLine="0" w:firstLineChars="0"/>
              <w:jc w:val="center"/>
              <w:rPr>
                <w:color w:val="auto"/>
                <w:sz w:val="21"/>
                <w:szCs w:val="21"/>
              </w:rPr>
            </w:pPr>
            <w:r>
              <w:rPr>
                <w:color w:val="auto"/>
                <w:sz w:val="21"/>
                <w:szCs w:val="21"/>
              </w:rPr>
              <w:t>《</w:t>
            </w:r>
            <w:r>
              <w:rPr>
                <w:rFonts w:hint="eastAsia"/>
                <w:color w:val="auto"/>
                <w:sz w:val="21"/>
                <w:szCs w:val="21"/>
                <w:lang w:eastAsia="zh-CN"/>
              </w:rPr>
              <w:t>巴中市</w:t>
            </w:r>
            <w:r>
              <w:rPr>
                <w:color w:val="auto"/>
                <w:sz w:val="21"/>
                <w:szCs w:val="21"/>
              </w:rPr>
              <w:t>政府关于印发</w:t>
            </w:r>
            <w:r>
              <w:rPr>
                <w:rFonts w:hint="eastAsia"/>
                <w:color w:val="auto"/>
                <w:sz w:val="21"/>
                <w:szCs w:val="21"/>
                <w:lang w:eastAsia="zh-CN"/>
              </w:rPr>
              <w:t>巴中市</w:t>
            </w:r>
            <w:r>
              <w:rPr>
                <w:color w:val="auto"/>
                <w:sz w:val="21"/>
                <w:szCs w:val="21"/>
              </w:rPr>
              <w:t>土壤污染防治工作方案的通知》（成府函[2017]54号）</w:t>
            </w:r>
          </w:p>
        </w:tc>
        <w:tc>
          <w:tcPr>
            <w:tcW w:w="1664" w:type="pct"/>
            <w:tcBorders>
              <w:tl2br w:val="nil"/>
              <w:tr2bl w:val="nil"/>
            </w:tcBorders>
            <w:noWrap w:val="0"/>
            <w:vAlign w:val="center"/>
          </w:tcPr>
          <w:p w14:paraId="1F92AE9E">
            <w:pPr>
              <w:pageBreakBefore w:val="0"/>
              <w:wordWrap/>
              <w:bidi w:val="0"/>
              <w:adjustRightInd/>
              <w:snapToGrid/>
              <w:spacing w:line="240" w:lineRule="auto"/>
              <w:ind w:firstLine="0" w:firstLineChars="0"/>
              <w:jc w:val="center"/>
              <w:rPr>
                <w:color w:val="auto"/>
                <w:sz w:val="21"/>
                <w:szCs w:val="21"/>
              </w:rPr>
            </w:pPr>
            <w:r>
              <w:rPr>
                <w:color w:val="auto"/>
                <w:sz w:val="21"/>
                <w:szCs w:val="21"/>
              </w:rPr>
              <w:t>…结合区域功能定位和土壤污染防治需要</w:t>
            </w:r>
            <w:r>
              <w:rPr>
                <w:rFonts w:hint="eastAsia"/>
                <w:color w:val="auto"/>
                <w:sz w:val="21"/>
                <w:szCs w:val="21"/>
                <w:lang w:eastAsia="zh-CN"/>
              </w:rPr>
              <w:t>，</w:t>
            </w:r>
            <w:r>
              <w:rPr>
                <w:color w:val="auto"/>
                <w:sz w:val="21"/>
                <w:szCs w:val="21"/>
              </w:rPr>
              <w:t>科学布局污泥、一般工业固体废物、危险废物处置处理设施和场所…严禁将城镇生活垃圾、污泥、工业废物直接用作肥料…</w:t>
            </w:r>
          </w:p>
        </w:tc>
        <w:tc>
          <w:tcPr>
            <w:tcW w:w="1797" w:type="pct"/>
            <w:vMerge w:val="continue"/>
            <w:tcBorders>
              <w:tl2br w:val="nil"/>
              <w:tr2bl w:val="nil"/>
            </w:tcBorders>
            <w:noWrap w:val="0"/>
            <w:vAlign w:val="center"/>
          </w:tcPr>
          <w:p w14:paraId="523A7036">
            <w:pPr>
              <w:pageBreakBefore w:val="0"/>
              <w:wordWrap/>
              <w:bidi w:val="0"/>
              <w:adjustRightInd/>
              <w:snapToGrid/>
              <w:spacing w:line="240" w:lineRule="auto"/>
              <w:ind w:firstLine="0" w:firstLineChars="0"/>
              <w:jc w:val="center"/>
              <w:rPr>
                <w:color w:val="auto"/>
                <w:sz w:val="21"/>
                <w:szCs w:val="21"/>
              </w:rPr>
            </w:pPr>
          </w:p>
        </w:tc>
        <w:tc>
          <w:tcPr>
            <w:tcW w:w="527" w:type="pct"/>
            <w:vMerge w:val="continue"/>
            <w:tcBorders>
              <w:tl2br w:val="nil"/>
              <w:tr2bl w:val="nil"/>
            </w:tcBorders>
            <w:noWrap w:val="0"/>
            <w:vAlign w:val="center"/>
          </w:tcPr>
          <w:p w14:paraId="2DC4E1B9">
            <w:pPr>
              <w:pageBreakBefore w:val="0"/>
              <w:wordWrap/>
              <w:bidi w:val="0"/>
              <w:adjustRightInd/>
              <w:snapToGrid/>
              <w:spacing w:line="240" w:lineRule="auto"/>
              <w:ind w:firstLine="0" w:firstLineChars="0"/>
              <w:jc w:val="center"/>
              <w:rPr>
                <w:color w:val="auto"/>
                <w:sz w:val="21"/>
                <w:szCs w:val="21"/>
              </w:rPr>
            </w:pPr>
          </w:p>
        </w:tc>
      </w:tr>
    </w:tbl>
    <w:p w14:paraId="36E0F212">
      <w:pPr>
        <w:pageBreakBefore w:val="0"/>
        <w:wordWrap/>
        <w:bidi w:val="0"/>
        <w:adjustRightInd/>
        <w:snapToGrid/>
        <w:spacing w:before="120" w:beforeLines="50"/>
        <w:ind w:firstLine="480"/>
        <w:rPr>
          <w:color w:val="auto"/>
        </w:rPr>
      </w:pPr>
      <w:r>
        <w:rPr>
          <w:color w:val="auto"/>
        </w:rPr>
        <w:t>综上，本项目的建设与国家、地方相关水、大气以及土壤污染防治规划相符，旨在改善区域环境，降低对周围环境的影响。</w:t>
      </w:r>
    </w:p>
    <w:p w14:paraId="48C68FB6">
      <w:pPr>
        <w:pStyle w:val="10"/>
        <w:pageBreakBefore w:val="0"/>
        <w:wordWrap/>
        <w:bidi w:val="0"/>
        <w:adjustRightInd/>
        <w:snapToGrid/>
        <w:rPr>
          <w:color w:val="auto"/>
        </w:rPr>
      </w:pPr>
      <w:r>
        <w:rPr>
          <w:color w:val="auto"/>
        </w:rPr>
        <w:t>与</w:t>
      </w:r>
      <w:r>
        <w:rPr>
          <w:rFonts w:hint="eastAsia"/>
          <w:color w:val="auto"/>
          <w:lang w:val="en-US" w:eastAsia="zh-CN"/>
        </w:rPr>
        <w:t>巴中市</w:t>
      </w:r>
      <w:r>
        <w:rPr>
          <w:rFonts w:hint="eastAsia"/>
          <w:color w:val="auto"/>
          <w:lang w:eastAsia="zh-CN"/>
        </w:rPr>
        <w:t>“</w:t>
      </w:r>
      <w:r>
        <w:rPr>
          <w:color w:val="auto"/>
        </w:rPr>
        <w:t>三线一单</w:t>
      </w:r>
      <w:r>
        <w:rPr>
          <w:rFonts w:hint="eastAsia"/>
          <w:color w:val="auto"/>
          <w:lang w:eastAsia="zh-CN"/>
        </w:rPr>
        <w:t>”</w:t>
      </w:r>
      <w:r>
        <w:rPr>
          <w:color w:val="auto"/>
        </w:rPr>
        <w:t>符合性分析</w:t>
      </w:r>
    </w:p>
    <w:p w14:paraId="6A8C33CC">
      <w:pPr>
        <w:pageBreakBefore w:val="0"/>
        <w:wordWrap/>
        <w:bidi w:val="0"/>
        <w:adjustRightInd/>
        <w:snapToGrid/>
        <w:rPr>
          <w:rFonts w:hint="eastAsia"/>
          <w:color w:val="auto"/>
        </w:rPr>
      </w:pPr>
      <w:r>
        <w:rPr>
          <w:rFonts w:hint="eastAsia"/>
          <w:color w:val="auto"/>
        </w:rPr>
        <w:t>根据</w:t>
      </w:r>
      <w:r>
        <w:rPr>
          <w:rFonts w:hint="eastAsia"/>
          <w:color w:val="auto"/>
          <w:lang w:eastAsia="zh-CN"/>
        </w:rPr>
        <w:t>巴中市人民政府</w:t>
      </w:r>
      <w:r>
        <w:rPr>
          <w:rFonts w:hint="eastAsia"/>
          <w:color w:val="auto"/>
        </w:rPr>
        <w:t>《</w:t>
      </w:r>
      <w:r>
        <w:rPr>
          <w:rFonts w:hint="eastAsia"/>
          <w:color w:val="auto"/>
          <w:lang w:eastAsia="zh-CN"/>
        </w:rPr>
        <w:t>关于实施“三线一单”生态环境分区管控的通知</w:t>
      </w:r>
      <w:r>
        <w:rPr>
          <w:rFonts w:hint="eastAsia"/>
          <w:color w:val="auto"/>
        </w:rPr>
        <w:t>》（巴府发〔2021〕5号），建设项目应落实</w:t>
      </w:r>
      <w:r>
        <w:rPr>
          <w:rFonts w:hint="eastAsia"/>
          <w:color w:val="auto"/>
          <w:lang w:eastAsia="zh-CN"/>
        </w:rPr>
        <w:t>“</w:t>
      </w:r>
      <w:r>
        <w:rPr>
          <w:rFonts w:hint="eastAsia"/>
          <w:color w:val="auto"/>
        </w:rPr>
        <w:t>生态保护红线、环境质量底线、资源利用上线和环境准入负面清单</w:t>
      </w:r>
      <w:r>
        <w:rPr>
          <w:rFonts w:hint="eastAsia"/>
          <w:color w:val="auto"/>
          <w:lang w:eastAsia="zh-CN"/>
        </w:rPr>
        <w:t>”</w:t>
      </w:r>
      <w:r>
        <w:rPr>
          <w:rFonts w:hint="eastAsia"/>
          <w:color w:val="auto"/>
        </w:rPr>
        <w:t>（以下简称</w:t>
      </w:r>
      <w:r>
        <w:rPr>
          <w:rFonts w:hint="eastAsia"/>
          <w:color w:val="auto"/>
          <w:lang w:eastAsia="zh-CN"/>
        </w:rPr>
        <w:t>“</w:t>
      </w:r>
      <w:r>
        <w:rPr>
          <w:rFonts w:hint="eastAsia"/>
          <w:color w:val="auto"/>
        </w:rPr>
        <w:t>三线一单</w:t>
      </w:r>
      <w:r>
        <w:rPr>
          <w:rFonts w:hint="eastAsia"/>
          <w:color w:val="auto"/>
          <w:lang w:eastAsia="zh-CN"/>
        </w:rPr>
        <w:t>”</w:t>
      </w:r>
      <w:r>
        <w:rPr>
          <w:rFonts w:hint="eastAsia"/>
          <w:color w:val="auto"/>
        </w:rPr>
        <w:t>）要求。</w:t>
      </w:r>
    </w:p>
    <w:p w14:paraId="59208319">
      <w:pPr>
        <w:pageBreakBefore w:val="0"/>
        <w:wordWrap/>
        <w:bidi w:val="0"/>
        <w:adjustRightInd/>
        <w:snapToGrid/>
        <w:rPr>
          <w:rFonts w:hint="eastAsia"/>
          <w:b/>
          <w:bCs/>
          <w:color w:val="auto"/>
        </w:rPr>
      </w:pPr>
      <w:r>
        <w:rPr>
          <w:rFonts w:hint="eastAsia"/>
          <w:b/>
          <w:bCs/>
          <w:color w:val="auto"/>
        </w:rPr>
        <w:t>（1）生态保护红线</w:t>
      </w:r>
    </w:p>
    <w:p w14:paraId="52B332CF">
      <w:pPr>
        <w:pageBreakBefore w:val="0"/>
        <w:wordWrap/>
        <w:bidi w:val="0"/>
        <w:adjustRightInd/>
        <w:snapToGrid/>
        <w:rPr>
          <w:rFonts w:hint="eastAsia"/>
          <w:color w:val="auto"/>
        </w:rPr>
      </w:pPr>
      <w:r>
        <w:rPr>
          <w:rFonts w:hint="eastAsia"/>
          <w:color w:val="auto"/>
        </w:rPr>
        <w:t>由《</w:t>
      </w:r>
      <w:r>
        <w:rPr>
          <w:rFonts w:hint="eastAsia"/>
          <w:color w:val="auto"/>
          <w:lang w:eastAsia="zh-CN"/>
        </w:rPr>
        <w:t>关于实施“三线一单”生态环境分区管控的通知</w:t>
      </w:r>
      <w:r>
        <w:rPr>
          <w:rFonts w:hint="eastAsia"/>
          <w:color w:val="auto"/>
        </w:rPr>
        <w:t>》（巴府发〔2021〕5号）及</w:t>
      </w:r>
      <w:r>
        <w:rPr>
          <w:rFonts w:hint="eastAsia"/>
          <w:color w:val="auto"/>
          <w:lang w:eastAsia="zh-CN"/>
        </w:rPr>
        <w:t>巴中市</w:t>
      </w:r>
      <w:r>
        <w:rPr>
          <w:rFonts w:hint="eastAsia"/>
          <w:color w:val="auto"/>
        </w:rPr>
        <w:t>生态保护红线分布图可知，本项目位于</w:t>
      </w:r>
      <w:r>
        <w:rPr>
          <w:rFonts w:hint="eastAsia"/>
          <w:color w:val="auto"/>
          <w:lang w:eastAsia="zh-CN"/>
        </w:rPr>
        <w:t>四川省巴中市巴州区曾口镇寿星村13组</w:t>
      </w:r>
      <w:r>
        <w:rPr>
          <w:rFonts w:hint="eastAsia"/>
          <w:color w:val="auto"/>
        </w:rPr>
        <w:t>，本</w:t>
      </w:r>
      <w:r>
        <w:rPr>
          <w:rFonts w:hint="eastAsia"/>
          <w:color w:val="auto"/>
          <w:lang w:eastAsia="zh-CN"/>
        </w:rPr>
        <w:t>项目</w:t>
      </w:r>
      <w:r>
        <w:rPr>
          <w:rFonts w:hint="eastAsia"/>
          <w:color w:val="auto"/>
        </w:rPr>
        <w:t>不涉及生态保护红线。</w:t>
      </w:r>
    </w:p>
    <w:p w14:paraId="2AC31671">
      <w:pPr>
        <w:pageBreakBefore w:val="0"/>
        <w:wordWrap/>
        <w:bidi w:val="0"/>
        <w:adjustRightInd/>
        <w:snapToGrid/>
        <w:rPr>
          <w:rFonts w:hint="eastAsia"/>
          <w:b/>
          <w:bCs/>
          <w:color w:val="auto"/>
        </w:rPr>
      </w:pPr>
      <w:r>
        <w:rPr>
          <w:rFonts w:hint="eastAsia"/>
          <w:b/>
          <w:bCs/>
          <w:color w:val="auto"/>
        </w:rPr>
        <w:t>（2）环境质量底线</w:t>
      </w:r>
    </w:p>
    <w:p w14:paraId="08748EA0">
      <w:pPr>
        <w:pageBreakBefore w:val="0"/>
        <w:wordWrap/>
        <w:bidi w:val="0"/>
        <w:adjustRightInd/>
        <w:snapToGrid/>
        <w:rPr>
          <w:rFonts w:hint="eastAsia"/>
          <w:color w:val="auto"/>
        </w:rPr>
      </w:pPr>
      <w:r>
        <w:rPr>
          <w:rFonts w:hint="eastAsia"/>
          <w:color w:val="auto"/>
        </w:rPr>
        <w:t>本项目所在区域大气环境、地表水环境、声环境质量能满足相应的标准要求，本项目营运期产生的污染物采取相应的环保措施后，能够做到达标排放，对环境影响较小。此外，本项目为污水处理厂建设项目，属于环境正效应项目，项目的建设对区域地表水和地下水环境均有一定的改善作用，因此本项目与环境质量底线要求是相符的。</w:t>
      </w:r>
    </w:p>
    <w:p w14:paraId="5770B808">
      <w:pPr>
        <w:pageBreakBefore w:val="0"/>
        <w:wordWrap/>
        <w:bidi w:val="0"/>
        <w:adjustRightInd/>
        <w:snapToGrid/>
        <w:rPr>
          <w:rFonts w:hint="eastAsia"/>
          <w:b/>
          <w:bCs/>
          <w:color w:val="auto"/>
        </w:rPr>
      </w:pPr>
      <w:r>
        <w:rPr>
          <w:rFonts w:hint="eastAsia"/>
          <w:b/>
          <w:bCs/>
          <w:color w:val="auto"/>
        </w:rPr>
        <w:t>（3）资源利用上线</w:t>
      </w:r>
    </w:p>
    <w:p w14:paraId="18355ECF">
      <w:pPr>
        <w:pageBreakBefore w:val="0"/>
        <w:wordWrap/>
        <w:bidi w:val="0"/>
        <w:adjustRightInd/>
        <w:snapToGrid/>
        <w:rPr>
          <w:rFonts w:hint="eastAsia"/>
          <w:color w:val="auto"/>
        </w:rPr>
      </w:pPr>
      <w:r>
        <w:rPr>
          <w:rFonts w:hint="eastAsia"/>
          <w:color w:val="auto"/>
        </w:rPr>
        <w:t>项目运营过程中消耗一定量的电、水等资源，项目资源消耗量相对于区域资源利用总量较少，符合资源利用上线要求。</w:t>
      </w:r>
    </w:p>
    <w:p w14:paraId="4C5526A1">
      <w:pPr>
        <w:pageBreakBefore w:val="0"/>
        <w:wordWrap/>
        <w:bidi w:val="0"/>
        <w:adjustRightInd/>
        <w:snapToGrid/>
        <w:rPr>
          <w:rFonts w:hint="eastAsia"/>
          <w:b/>
          <w:bCs/>
          <w:color w:val="auto"/>
        </w:rPr>
      </w:pPr>
      <w:r>
        <w:rPr>
          <w:rFonts w:hint="eastAsia"/>
          <w:b/>
          <w:bCs/>
          <w:color w:val="auto"/>
        </w:rPr>
        <w:t>（4）环境准入清单</w:t>
      </w:r>
    </w:p>
    <w:p w14:paraId="4E8A5104">
      <w:pPr>
        <w:pageBreakBefore w:val="0"/>
        <w:wordWrap/>
        <w:bidi w:val="0"/>
        <w:adjustRightInd/>
        <w:snapToGrid/>
        <w:rPr>
          <w:rFonts w:hint="eastAsia"/>
          <w:b/>
          <w:bCs/>
          <w:color w:val="auto"/>
        </w:rPr>
      </w:pPr>
      <w:r>
        <w:rPr>
          <w:rFonts w:hint="eastAsia"/>
          <w:b/>
          <w:bCs/>
          <w:color w:val="auto"/>
        </w:rPr>
        <w:t>①</w:t>
      </w:r>
      <w:r>
        <w:rPr>
          <w:rFonts w:hint="eastAsia"/>
          <w:b/>
          <w:bCs/>
          <w:color w:val="auto"/>
          <w:lang w:eastAsia="zh-CN"/>
        </w:rPr>
        <w:t>巴中市</w:t>
      </w:r>
      <w:r>
        <w:rPr>
          <w:rFonts w:hint="eastAsia"/>
          <w:b/>
          <w:bCs/>
          <w:color w:val="auto"/>
        </w:rPr>
        <w:t>环境管控单元管控要求：</w:t>
      </w:r>
    </w:p>
    <w:p w14:paraId="19A57D6B">
      <w:pPr>
        <w:pageBreakBefore w:val="0"/>
        <w:wordWrap/>
        <w:bidi w:val="0"/>
        <w:adjustRightInd/>
        <w:snapToGrid/>
        <w:rPr>
          <w:rFonts w:hint="eastAsia"/>
          <w:color w:val="auto"/>
        </w:rPr>
      </w:pPr>
      <w:r>
        <w:rPr>
          <w:rFonts w:hint="eastAsia"/>
          <w:color w:val="auto"/>
        </w:rPr>
        <w:t>根据《</w:t>
      </w:r>
      <w:r>
        <w:rPr>
          <w:rFonts w:hint="eastAsia"/>
          <w:color w:val="auto"/>
          <w:lang w:eastAsia="zh-CN"/>
        </w:rPr>
        <w:t>巴中市人民政府关于实施“三线一单”生态环境分区管控的通知</w:t>
      </w:r>
      <w:r>
        <w:rPr>
          <w:rFonts w:hint="eastAsia"/>
          <w:color w:val="auto"/>
        </w:rPr>
        <w:t>》（</w:t>
      </w:r>
      <w:r>
        <w:rPr>
          <w:rFonts w:hint="eastAsia"/>
          <w:color w:val="auto"/>
          <w:lang w:eastAsia="zh-CN"/>
        </w:rPr>
        <w:t>巴府发〔2021〕5号</w:t>
      </w:r>
      <w:r>
        <w:rPr>
          <w:rFonts w:hint="eastAsia"/>
          <w:color w:val="auto"/>
        </w:rPr>
        <w:t>），将全市行政区域从生态环境保护角度划分为优先保护、重点管控和一般管控三类环境管控单元。</w:t>
      </w:r>
    </w:p>
    <w:p w14:paraId="02707780">
      <w:pPr>
        <w:pageBreakBefore w:val="0"/>
        <w:wordWrap/>
        <w:bidi w:val="0"/>
        <w:adjustRightInd/>
        <w:snapToGrid/>
        <w:rPr>
          <w:color w:val="auto"/>
        </w:rPr>
      </w:pPr>
      <w:r>
        <w:rPr>
          <w:rFonts w:hint="eastAsia"/>
          <w:color w:val="auto"/>
          <w:lang w:eastAsia="zh-CN"/>
        </w:rPr>
        <w:t>——</w:t>
      </w:r>
      <w:r>
        <w:rPr>
          <w:rFonts w:hint="eastAsia"/>
          <w:color w:val="auto"/>
        </w:rPr>
        <w:t>优先保护单元，以生态环境保护为主的区域，全市划分优先保护单元13个，主要包括生态保护红线、自然保护地、饮用水水源保护区和重点生态环境敏感区、脆弱区等。以生态环境保护优先为原则，严格执行相关</w:t>
      </w:r>
      <w:r>
        <w:rPr>
          <w:rFonts w:hint="eastAsia"/>
          <w:color w:val="auto"/>
          <w:lang w:eastAsia="zh-CN"/>
        </w:rPr>
        <w:t>法律法规</w:t>
      </w:r>
      <w:r>
        <w:rPr>
          <w:rFonts w:hint="eastAsia"/>
          <w:color w:val="auto"/>
        </w:rPr>
        <w:t>要求，严守生态环境质量底线，确保生态环境功能不降低。</w:t>
      </w:r>
    </w:p>
    <w:p w14:paraId="38AA6556">
      <w:pPr>
        <w:pageBreakBefore w:val="0"/>
        <w:wordWrap/>
        <w:bidi w:val="0"/>
        <w:adjustRightInd/>
        <w:snapToGrid/>
        <w:rPr>
          <w:rFonts w:hint="eastAsia"/>
          <w:color w:val="auto"/>
        </w:rPr>
      </w:pPr>
      <w:r>
        <w:rPr>
          <w:rFonts w:hint="eastAsia"/>
          <w:color w:val="auto"/>
        </w:rPr>
        <w:t>——重点管控单元，涉及水、大气、土壤等资源环境要素重点管控的区域，全市划分重点管控单元21个，主要包括人口密集的城镇规划区和产业集聚的工业园区（工业集聚区）等。有针对性地加强污染物排放控制和环境风险防控，不断提升资源利用效率，解决生态环境质量不达标、生态环境风险突出等问题，制定差别化的生态环境准入要求。</w:t>
      </w:r>
    </w:p>
    <w:p w14:paraId="147EBE60">
      <w:pPr>
        <w:pageBreakBefore w:val="0"/>
        <w:wordWrap/>
        <w:bidi w:val="0"/>
        <w:adjustRightInd/>
        <w:snapToGrid/>
        <w:rPr>
          <w:rFonts w:hint="eastAsia"/>
          <w:color w:val="auto"/>
        </w:rPr>
      </w:pPr>
      <w:r>
        <w:rPr>
          <w:rFonts w:hint="eastAsia"/>
          <w:color w:val="auto"/>
        </w:rPr>
        <w:t>——一般管控单元，除优先保护单元和重点管控单元之外的其他区域，全市共划分一般管控单元5个。执行区域生态环境保护的基本要求，重点加强农业、生活等领域污染治理。</w:t>
      </w:r>
    </w:p>
    <w:p w14:paraId="1374D5ED">
      <w:pPr>
        <w:pageBreakBefore w:val="0"/>
        <w:wordWrap/>
        <w:bidi w:val="0"/>
        <w:adjustRightInd/>
        <w:snapToGrid/>
        <w:rPr>
          <w:rFonts w:hint="eastAsia"/>
          <w:color w:val="auto"/>
          <w:lang w:val="en-US" w:eastAsia="zh-CN"/>
        </w:rPr>
      </w:pPr>
      <w:r>
        <w:rPr>
          <w:rFonts w:hint="eastAsia"/>
          <w:color w:val="auto"/>
          <w:lang w:val="en-US" w:eastAsia="zh-CN"/>
        </w:rPr>
        <w:t>巴中市人民政府于2021年7月1日发布了《巴中市人民政府关于实施“三线一单”生态环境分区管控的通知》（巴府发〔2021〕5号），本项目与巴中市生态环境分区管控图位置关系如下：</w:t>
      </w:r>
    </w:p>
    <w:p w14:paraId="64276386">
      <w:pPr>
        <w:pStyle w:val="27"/>
        <w:keepNext w:val="0"/>
        <w:keepLines w:val="0"/>
        <w:pageBreakBefore w:val="0"/>
        <w:widowControl w:val="0"/>
        <w:kinsoku/>
        <w:wordWrap/>
        <w:overflowPunct/>
        <w:topLinePunct w:val="0"/>
        <w:autoSpaceDE/>
        <w:autoSpaceDN/>
        <w:bidi w:val="0"/>
        <w:adjustRightInd/>
        <w:snapToGrid/>
        <w:spacing w:after="0"/>
        <w:ind w:left="0" w:leftChars="0" w:rightChars="0" w:firstLine="0" w:firstLineChars="0"/>
        <w:jc w:val="center"/>
        <w:textAlignment w:val="auto"/>
        <w:rPr>
          <w:color w:val="auto"/>
          <w:highlight w:val="none"/>
        </w:rPr>
      </w:pPr>
      <w:r>
        <w:rPr>
          <w:color w:val="auto"/>
          <w:sz w:val="24"/>
          <w:highlight w:val="none"/>
        </w:rPr>
        <mc:AlternateContent>
          <mc:Choice Requires="wps">
            <w:drawing>
              <wp:anchor distT="0" distB="0" distL="114300" distR="114300" simplePos="0" relativeHeight="251672576" behindDoc="0" locked="0" layoutInCell="1" allowOverlap="1">
                <wp:simplePos x="0" y="0"/>
                <wp:positionH relativeFrom="column">
                  <wp:posOffset>2856230</wp:posOffset>
                </wp:positionH>
                <wp:positionV relativeFrom="paragraph">
                  <wp:posOffset>2352675</wp:posOffset>
                </wp:positionV>
                <wp:extent cx="1038225" cy="349885"/>
                <wp:effectExtent l="1127760" t="198120" r="24765" b="23495"/>
                <wp:wrapNone/>
                <wp:docPr id="81" name="矩形标注 31"/>
                <wp:cNvGraphicFramePr/>
                <a:graphic xmlns:a="http://schemas.openxmlformats.org/drawingml/2006/main">
                  <a:graphicData uri="http://schemas.microsoft.com/office/word/2010/wordprocessingShape">
                    <wps:wsp>
                      <wps:cNvSpPr/>
                      <wps:spPr>
                        <a:xfrm>
                          <a:off x="2675255" y="7720965"/>
                          <a:ext cx="1038225" cy="349885"/>
                        </a:xfrm>
                        <a:prstGeom prst="wedgeRectCallout">
                          <a:avLst>
                            <a:gd name="adj1" fmla="val -157400"/>
                            <a:gd name="adj2" fmla="val -102994"/>
                          </a:avLst>
                        </a:prstGeom>
                        <a:solidFill>
                          <a:srgbClr val="FFFFFF"/>
                        </a:solidFill>
                        <a:ln w="25400" cap="flat" cmpd="sng" algn="ctr">
                          <a:solidFill>
                            <a:srgbClr val="000000"/>
                          </a:solidFill>
                          <a:prstDash val="solid"/>
                        </a:ln>
                        <a:effectLst/>
                      </wps:spPr>
                      <wps:txbx>
                        <w:txbxContent>
                          <w:p w14:paraId="194D8E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lang w:eastAsia="zh-CN"/>
                              </w:rPr>
                            </w:pPr>
                            <w:r>
                              <w:rPr>
                                <w:rFonts w:hint="eastAsia"/>
                                <w:color w:val="auto"/>
                                <w:sz w:val="21"/>
                                <w:szCs w:val="21"/>
                                <w:lang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31" o:spid="_x0000_s1026" o:spt="61" type="#_x0000_t61" style="position:absolute;left:0pt;margin-left:224.9pt;margin-top:185.25pt;height:27.55pt;width:81.75pt;z-index:251672576;v-text-anchor:middle;mso-width-relative:page;mso-height-relative:page;" fillcolor="#FFFFFF" filled="t" stroked="t" coordsize="21600,21600" o:gfxdata="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CSrXSvZAAAACwEAAA8AAAAAAAAAAQAgAAAA&#10;IgAAAGRycy9kb3ducmV2LnhtbFBLAQIUABQAAAAIAIdO4kBuiJDptQIAAGsFAAAOAAAAAAAAAAEA&#10;IAAAACgBAABkcnMvZTJvRG9jLnhtbFBLBQYAAAAABgAGAFkBAABPBgAAAAA=&#10;" adj="-23198,-11447">
                <v:fill on="t" focussize="0,0"/>
                <v:stroke weight="2pt" color="#000000" joinstyle="round"/>
                <v:imagedata o:title=""/>
                <o:lock v:ext="edit" aspectratio="f"/>
                <v:textbox>
                  <w:txbxContent>
                    <w:p w14:paraId="194D8E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lang w:eastAsia="zh-CN"/>
                        </w:rPr>
                      </w:pPr>
                      <w:r>
                        <w:rPr>
                          <w:rFonts w:hint="eastAsia"/>
                          <w:color w:val="auto"/>
                          <w:sz w:val="21"/>
                          <w:szCs w:val="21"/>
                          <w:lang w:eastAsia="zh-CN"/>
                        </w:rPr>
                        <w:t>本项目位置</w:t>
                      </w:r>
                    </w:p>
                  </w:txbxContent>
                </v:textbox>
              </v:shape>
            </w:pict>
          </mc:Fallback>
        </mc:AlternateContent>
      </w:r>
      <w:r>
        <w:rPr>
          <w:color w:val="auto"/>
          <w:highlight w:val="none"/>
        </w:rPr>
        <w:drawing>
          <wp:inline distT="0" distB="0" distL="114300" distR="114300">
            <wp:extent cx="4987925" cy="3243580"/>
            <wp:effectExtent l="0" t="0" r="0" b="0"/>
            <wp:docPr id="86"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7"/>
                    <pic:cNvPicPr>
                      <a:picLocks noChangeAspect="1"/>
                    </pic:cNvPicPr>
                  </pic:nvPicPr>
                  <pic:blipFill>
                    <a:blip r:embed="rId34"/>
                    <a:srcRect t="3835" b="4092"/>
                    <a:stretch>
                      <a:fillRect/>
                    </a:stretch>
                  </pic:blipFill>
                  <pic:spPr>
                    <a:xfrm>
                      <a:off x="0" y="0"/>
                      <a:ext cx="4987925" cy="3243580"/>
                    </a:xfrm>
                    <a:prstGeom prst="rect">
                      <a:avLst/>
                    </a:prstGeom>
                    <a:noFill/>
                    <a:ln>
                      <a:noFill/>
                    </a:ln>
                  </pic:spPr>
                </pic:pic>
              </a:graphicData>
            </a:graphic>
          </wp:inline>
        </w:drawing>
      </w:r>
    </w:p>
    <w:p w14:paraId="77970229">
      <w:pPr>
        <w:pStyle w:val="19"/>
        <w:numPr>
          <w:ilvl w:val="0"/>
          <w:numId w:val="0"/>
        </w:numPr>
        <w:tabs>
          <w:tab w:val="clear" w:pos="0"/>
        </w:tabs>
        <w:bidi w:val="0"/>
        <w:ind w:leftChars="0"/>
        <w:jc w:val="center"/>
        <w:rPr>
          <w:rFonts w:hint="default"/>
          <w:color w:val="auto"/>
          <w:lang w:val="en-US" w:eastAsia="zh-CN"/>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1.5</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1</w:t>
      </w:r>
      <w:r>
        <w:rPr>
          <w:color w:val="auto"/>
        </w:rPr>
        <w:fldChar w:fldCharType="end"/>
      </w:r>
      <w:r>
        <w:rPr>
          <w:rFonts w:hint="eastAsia"/>
          <w:color w:val="auto"/>
          <w:lang w:val="en-US" w:eastAsia="zh-CN"/>
        </w:rPr>
        <w:t xml:space="preserve"> 项目与巴中市生态保护红线图位置关系</w:t>
      </w:r>
    </w:p>
    <w:p w14:paraId="187B109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olor w:val="auto"/>
          <w:highlight w:val="none"/>
          <w:lang w:val="en-US" w:eastAsia="zh-CN"/>
        </w:rPr>
      </w:pPr>
      <w:r>
        <w:rPr>
          <w:color w:val="auto"/>
          <w:sz w:val="24"/>
          <w:highlight w:val="none"/>
        </w:rPr>
        <mc:AlternateContent>
          <mc:Choice Requires="wps">
            <w:drawing>
              <wp:anchor distT="0" distB="0" distL="114300" distR="114300" simplePos="0" relativeHeight="251670528" behindDoc="0" locked="0" layoutInCell="1" allowOverlap="1">
                <wp:simplePos x="0" y="0"/>
                <wp:positionH relativeFrom="column">
                  <wp:posOffset>2831465</wp:posOffset>
                </wp:positionH>
                <wp:positionV relativeFrom="paragraph">
                  <wp:posOffset>2439670</wp:posOffset>
                </wp:positionV>
                <wp:extent cx="1038225" cy="349885"/>
                <wp:effectExtent l="0" t="0" r="0" b="0"/>
                <wp:wrapNone/>
                <wp:docPr id="79" name="矩形标注 31"/>
                <wp:cNvGraphicFramePr/>
                <a:graphic xmlns:a="http://schemas.openxmlformats.org/drawingml/2006/main">
                  <a:graphicData uri="http://schemas.microsoft.com/office/word/2010/wordprocessingShape">
                    <wps:wsp>
                      <wps:cNvSpPr/>
                      <wps:spPr>
                        <a:xfrm>
                          <a:off x="2675255" y="7720965"/>
                          <a:ext cx="1038225" cy="349885"/>
                        </a:xfrm>
                        <a:prstGeom prst="wedgeRectCallout">
                          <a:avLst>
                            <a:gd name="adj1" fmla="val -155891"/>
                            <a:gd name="adj2" fmla="val -98293"/>
                          </a:avLst>
                        </a:prstGeom>
                        <a:solidFill>
                          <a:srgbClr val="FFFFFF"/>
                        </a:solidFill>
                        <a:ln w="25400" cap="flat" cmpd="sng" algn="ctr">
                          <a:solidFill>
                            <a:srgbClr val="000000"/>
                          </a:solidFill>
                          <a:prstDash val="solid"/>
                        </a:ln>
                        <a:effectLst/>
                      </wps:spPr>
                      <wps:txbx>
                        <w:txbxContent>
                          <w:p w14:paraId="5446E2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lang w:eastAsia="zh-CN"/>
                              </w:rPr>
                            </w:pPr>
                            <w:r>
                              <w:rPr>
                                <w:rFonts w:hint="eastAsia"/>
                                <w:color w:val="auto"/>
                                <w:sz w:val="21"/>
                                <w:szCs w:val="21"/>
                                <w:lang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31" o:spid="_x0000_s1026" o:spt="61" type="#_x0000_t61" style="position:absolute;left:0pt;margin-left:222.95pt;margin-top:192.1pt;height:27.55pt;width:81.75pt;z-index:251670528;v-text-anchor:middle;mso-width-relative:page;mso-height-relative:page;" fillcolor="#FFFFFF" filled="t" stroked="t" coordsize="21600,21600" o:gfxdata="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ExfxkTZAAAACwEAAA8AAAAAAAAAAQAg&#10;AAAAIgAAAGRycy9kb3ducmV2LnhtbFBLAQIUABQAAAAIAIdO4kCMQbrIuAIAAGoFAAAOAAAAAAAA&#10;AAEAIAAAACgBAABkcnMvZTJvRG9jLnhtbFBLBQYAAAAABgAGAFkBAABSBgAAAAA=&#10;" adj="-22872,-10431">
                <v:fill on="t" focussize="0,0"/>
                <v:stroke weight="2pt" color="#000000" joinstyle="round"/>
                <v:imagedata o:title=""/>
                <o:lock v:ext="edit" aspectratio="f"/>
                <v:textbox>
                  <w:txbxContent>
                    <w:p w14:paraId="5446E2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sz w:val="21"/>
                          <w:szCs w:val="21"/>
                          <w:lang w:eastAsia="zh-CN"/>
                        </w:rPr>
                      </w:pPr>
                      <w:r>
                        <w:rPr>
                          <w:rFonts w:hint="eastAsia"/>
                          <w:color w:val="auto"/>
                          <w:sz w:val="21"/>
                          <w:szCs w:val="21"/>
                          <w:lang w:eastAsia="zh-CN"/>
                        </w:rPr>
                        <w:t>本项目位置</w:t>
                      </w:r>
                    </w:p>
                  </w:txbxContent>
                </v:textbox>
              </v:shape>
            </w:pict>
          </mc:Fallback>
        </mc:AlternateContent>
      </w:r>
      <w:r>
        <w:rPr>
          <w:rFonts w:hint="eastAsia" w:ascii="Times New Roman" w:hAnsi="Times New Roman" w:eastAsia="宋体"/>
          <w:color w:val="auto"/>
          <w:highlight w:val="none"/>
          <w:lang w:val="en-US" w:eastAsia="zh-CN"/>
        </w:rPr>
        <w:drawing>
          <wp:inline distT="0" distB="0" distL="114300" distR="114300">
            <wp:extent cx="4977130" cy="3521075"/>
            <wp:effectExtent l="0" t="0" r="0" b="0"/>
            <wp:docPr id="87" name="图片 88" descr="综合管控单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8" descr="综合管控单元"/>
                    <pic:cNvPicPr>
                      <a:picLocks noChangeAspect="1"/>
                    </pic:cNvPicPr>
                  </pic:nvPicPr>
                  <pic:blipFill>
                    <a:blip r:embed="rId35"/>
                    <a:stretch>
                      <a:fillRect/>
                    </a:stretch>
                  </pic:blipFill>
                  <pic:spPr>
                    <a:xfrm>
                      <a:off x="0" y="0"/>
                      <a:ext cx="4977130" cy="3521075"/>
                    </a:xfrm>
                    <a:prstGeom prst="rect">
                      <a:avLst/>
                    </a:prstGeom>
                    <a:noFill/>
                    <a:ln>
                      <a:noFill/>
                    </a:ln>
                  </pic:spPr>
                </pic:pic>
              </a:graphicData>
            </a:graphic>
          </wp:inline>
        </w:drawing>
      </w:r>
    </w:p>
    <w:p w14:paraId="2C286F6B">
      <w:pPr>
        <w:pStyle w:val="19"/>
        <w:numPr>
          <w:ilvl w:val="0"/>
          <w:numId w:val="0"/>
        </w:numPr>
        <w:tabs>
          <w:tab w:val="clear" w:pos="0"/>
        </w:tabs>
        <w:bidi w:val="0"/>
        <w:ind w:leftChars="0"/>
        <w:jc w:val="center"/>
        <w:rPr>
          <w:rFonts w:hint="default"/>
          <w:color w:val="auto"/>
          <w:lang w:val="en-US" w:eastAsia="zh-CN"/>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1.5</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2</w:t>
      </w:r>
      <w:r>
        <w:rPr>
          <w:color w:val="auto"/>
        </w:rPr>
        <w:fldChar w:fldCharType="end"/>
      </w:r>
      <w:r>
        <w:rPr>
          <w:rFonts w:hint="eastAsia"/>
          <w:color w:val="auto"/>
          <w:lang w:val="en-US" w:eastAsia="zh-CN"/>
        </w:rPr>
        <w:t xml:space="preserve"> 项目与巴中市环境管控单元位置关系</w:t>
      </w:r>
    </w:p>
    <w:p w14:paraId="43706553">
      <w:pPr>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olor w:val="auto"/>
          <w:highlight w:val="none"/>
          <w:lang w:val="en-US" w:eastAsia="zh-CN"/>
        </w:rPr>
      </w:pPr>
      <w:r>
        <w:rPr>
          <w:color w:val="auto"/>
          <w:sz w:val="24"/>
          <w:highlight w:val="none"/>
        </w:rPr>
        <mc:AlternateContent>
          <mc:Choice Requires="wps">
            <w:drawing>
              <wp:anchor distT="0" distB="0" distL="114300" distR="114300" simplePos="0" relativeHeight="251671552" behindDoc="0" locked="0" layoutInCell="1" allowOverlap="1">
                <wp:simplePos x="0" y="0"/>
                <wp:positionH relativeFrom="column">
                  <wp:posOffset>2758440</wp:posOffset>
                </wp:positionH>
                <wp:positionV relativeFrom="paragraph">
                  <wp:posOffset>2430145</wp:posOffset>
                </wp:positionV>
                <wp:extent cx="1037590" cy="353060"/>
                <wp:effectExtent l="0" t="0" r="0" b="0"/>
                <wp:wrapNone/>
                <wp:docPr id="80" name="矩形标注 36"/>
                <wp:cNvGraphicFramePr/>
                <a:graphic xmlns:a="http://schemas.openxmlformats.org/drawingml/2006/main">
                  <a:graphicData uri="http://schemas.microsoft.com/office/word/2010/wordprocessingShape">
                    <wps:wsp>
                      <wps:cNvSpPr/>
                      <wps:spPr>
                        <a:xfrm>
                          <a:off x="3153410" y="3213100"/>
                          <a:ext cx="1037590" cy="353060"/>
                        </a:xfrm>
                        <a:prstGeom prst="wedgeRectCallout">
                          <a:avLst>
                            <a:gd name="adj1" fmla="val -146266"/>
                            <a:gd name="adj2" fmla="val -137949"/>
                          </a:avLst>
                        </a:prstGeom>
                        <a:solidFill>
                          <a:srgbClr val="FFFFFF"/>
                        </a:solidFill>
                        <a:ln w="25400" cap="flat" cmpd="sng" algn="ctr">
                          <a:solidFill>
                            <a:srgbClr val="000000"/>
                          </a:solidFill>
                          <a:prstDash val="solid"/>
                        </a:ln>
                        <a:effectLst/>
                      </wps:spPr>
                      <wps:txbx>
                        <w:txbxContent>
                          <w:p w14:paraId="315FC7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
                                <w:bCs/>
                                <w:color w:val="000000"/>
                                <w:sz w:val="21"/>
                                <w:szCs w:val="21"/>
                                <w:lang w:eastAsia="zh-CN"/>
                              </w:rPr>
                            </w:pPr>
                            <w:r>
                              <w:rPr>
                                <w:rFonts w:hint="eastAsia" w:eastAsia="宋体"/>
                                <w:color w:val="auto"/>
                                <w:sz w:val="21"/>
                                <w:szCs w:val="21"/>
                                <w:lang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36" o:spid="_x0000_s1026" o:spt="61" type="#_x0000_t61" style="position:absolute;left:0pt;margin-left:217.2pt;margin-top:191.35pt;height:27.8pt;width:81.7pt;z-index:251671552;v-text-anchor:middle;mso-width-relative:page;mso-height-relative:page;" fillcolor="#FFFFFF" filled="t" stroked="t" coordsize="21600,21600" o:gfxdata="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H3ymIXbAAAACwEAAA8AAAAAAAAAAQAgAAAA&#10;IgAAAGRycy9kb3ducmV2LnhtbFBLAQIUABQAAAAIAIdO4kB5tBJHswIAAGsFAAAOAAAAAAAAAAEA&#10;IAAAACoBAABkcnMvZTJvRG9jLnhtbFBLBQYAAAAABgAGAFkBAABPBgAAAAA=&#10;" adj="-20793,-18997">
                <v:fill on="t" focussize="0,0"/>
                <v:stroke weight="2pt" color="#000000" joinstyle="round"/>
                <v:imagedata o:title=""/>
                <o:lock v:ext="edit" aspectratio="f"/>
                <v:textbox>
                  <w:txbxContent>
                    <w:p w14:paraId="315FC7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b/>
                          <w:bCs/>
                          <w:color w:val="000000"/>
                          <w:sz w:val="21"/>
                          <w:szCs w:val="21"/>
                          <w:lang w:eastAsia="zh-CN"/>
                        </w:rPr>
                      </w:pPr>
                      <w:r>
                        <w:rPr>
                          <w:rFonts w:hint="eastAsia" w:eastAsia="宋体"/>
                          <w:color w:val="auto"/>
                          <w:sz w:val="21"/>
                          <w:szCs w:val="21"/>
                          <w:lang w:eastAsia="zh-CN"/>
                        </w:rPr>
                        <w:t>本项目位置</w:t>
                      </w:r>
                    </w:p>
                  </w:txbxContent>
                </v:textbox>
              </v:shape>
            </w:pict>
          </mc:Fallback>
        </mc:AlternateContent>
      </w:r>
      <w:r>
        <w:rPr>
          <w:rFonts w:hint="eastAsia"/>
          <w:color w:val="auto"/>
          <w:highlight w:val="none"/>
          <w:lang w:val="en-US" w:eastAsia="zh-CN"/>
        </w:rPr>
        <w:drawing>
          <wp:inline distT="0" distB="0" distL="114300" distR="114300">
            <wp:extent cx="4869180" cy="3162300"/>
            <wp:effectExtent l="0" t="0" r="0" b="0"/>
            <wp:docPr id="88" name="图片 89" descr="生态空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9" descr="生态空间"/>
                    <pic:cNvPicPr>
                      <a:picLocks noChangeAspect="1"/>
                    </pic:cNvPicPr>
                  </pic:nvPicPr>
                  <pic:blipFill>
                    <a:blip r:embed="rId36"/>
                    <a:stretch>
                      <a:fillRect/>
                    </a:stretch>
                  </pic:blipFill>
                  <pic:spPr>
                    <a:xfrm>
                      <a:off x="0" y="0"/>
                      <a:ext cx="4869180" cy="3162300"/>
                    </a:xfrm>
                    <a:prstGeom prst="rect">
                      <a:avLst/>
                    </a:prstGeom>
                    <a:noFill/>
                    <a:ln>
                      <a:noFill/>
                    </a:ln>
                  </pic:spPr>
                </pic:pic>
              </a:graphicData>
            </a:graphic>
          </wp:inline>
        </w:drawing>
      </w:r>
    </w:p>
    <w:p w14:paraId="00F25A9C">
      <w:pPr>
        <w:pStyle w:val="19"/>
        <w:numPr>
          <w:ilvl w:val="0"/>
          <w:numId w:val="0"/>
        </w:numPr>
        <w:tabs>
          <w:tab w:val="clear" w:pos="0"/>
        </w:tabs>
        <w:bidi w:val="0"/>
        <w:ind w:leftChars="0"/>
        <w:jc w:val="center"/>
        <w:rPr>
          <w:rFonts w:hint="default"/>
          <w:color w:val="auto"/>
          <w:lang w:val="en-US" w:eastAsia="zh-CN"/>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1.5</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3</w:t>
      </w:r>
      <w:r>
        <w:rPr>
          <w:color w:val="auto"/>
        </w:rPr>
        <w:fldChar w:fldCharType="end"/>
      </w:r>
      <w:r>
        <w:rPr>
          <w:rFonts w:hint="eastAsia"/>
          <w:color w:val="auto"/>
          <w:lang w:val="en-US" w:eastAsia="zh-CN"/>
        </w:rPr>
        <w:t xml:space="preserve"> 本项目与巴中市环境管控单元位置关系图</w:t>
      </w:r>
    </w:p>
    <w:p w14:paraId="009C370A">
      <w:pPr>
        <w:pageBreakBefore w:val="0"/>
        <w:widowControl w:val="0"/>
        <w:kinsoku/>
        <w:wordWrap/>
        <w:overflowPunct/>
        <w:topLinePunct w:val="0"/>
        <w:autoSpaceDE/>
        <w:autoSpaceDN/>
        <w:bidi w:val="0"/>
        <w:adjustRightInd/>
        <w:snapToGrid/>
        <w:spacing w:line="360" w:lineRule="auto"/>
        <w:textAlignment w:val="auto"/>
        <w:rPr>
          <w:rFonts w:hint="default"/>
          <w:color w:val="auto"/>
          <w:highlight w:val="none"/>
          <w:lang w:val="en-US" w:eastAsia="zh-CN"/>
        </w:rPr>
      </w:pPr>
      <w:r>
        <w:rPr>
          <w:rFonts w:hint="eastAsia"/>
          <w:color w:val="auto"/>
          <w:highlight w:val="none"/>
          <w:lang w:val="en-US" w:eastAsia="zh-CN"/>
        </w:rPr>
        <w:t>本项目位于四川省巴中市巴州区，经在四川省生态环境厅“生态环境分区管控符合性分析”</w:t>
      </w:r>
      <w:r>
        <w:rPr>
          <w:rFonts w:hint="eastAsia" w:ascii="Times New Roman" w:hAnsi="Times New Roman" w:eastAsia="宋体" w:cs="Times New Roman"/>
          <w:color w:val="auto"/>
          <w:highlight w:val="none"/>
          <w:lang w:val="en-US" w:eastAsia="zh-CN"/>
        </w:rPr>
        <w:t>平台查询，项目所属区域共涉及5个环境管控单元，详见下图。项目符合性分析见</w:t>
      </w:r>
      <w:r>
        <w:rPr>
          <w:rFonts w:hint="eastAsia" w:cs="Times New Roman"/>
          <w:color w:val="auto"/>
          <w:highlight w:val="none"/>
          <w:lang w:val="en-US" w:eastAsia="zh-CN"/>
        </w:rPr>
        <w:t>表1.5-5</w:t>
      </w:r>
      <w:r>
        <w:rPr>
          <w:rFonts w:hint="eastAsia" w:ascii="Times New Roman" w:hAnsi="Times New Roman" w:eastAsia="宋体" w:cs="Times New Roman"/>
          <w:color w:val="auto"/>
          <w:highlight w:val="none"/>
          <w:lang w:val="en-US" w:eastAsia="zh-CN"/>
        </w:rPr>
        <w:t>。</w:t>
      </w:r>
    </w:p>
    <w:p w14:paraId="0F7C5259">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olor w:val="auto"/>
          <w:highlight w:val="none"/>
          <w:lang w:val="en-US" w:eastAsia="zh-CN"/>
        </w:rPr>
      </w:pPr>
      <w:r>
        <w:rPr>
          <w:rFonts w:hint="eastAsia"/>
          <w:color w:val="auto"/>
          <w:highlight w:val="none"/>
          <w:lang w:val="en-US" w:eastAsia="zh-CN"/>
        </w:rPr>
        <w:drawing>
          <wp:inline distT="0" distB="0" distL="114300" distR="114300">
            <wp:extent cx="5035550" cy="3926205"/>
            <wp:effectExtent l="0" t="0" r="12700" b="17145"/>
            <wp:docPr id="89" name="图片 92" descr="83198e96a9ea2c055b7e836a1ae89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92" descr="83198e96a9ea2c055b7e836a1ae89fc"/>
                    <pic:cNvPicPr>
                      <a:picLocks noChangeAspect="1"/>
                    </pic:cNvPicPr>
                  </pic:nvPicPr>
                  <pic:blipFill>
                    <a:blip r:embed="rId37"/>
                    <a:stretch>
                      <a:fillRect/>
                    </a:stretch>
                  </pic:blipFill>
                  <pic:spPr>
                    <a:xfrm>
                      <a:off x="0" y="0"/>
                      <a:ext cx="5035550" cy="3926205"/>
                    </a:xfrm>
                    <a:prstGeom prst="rect">
                      <a:avLst/>
                    </a:prstGeom>
                    <a:noFill/>
                    <a:ln>
                      <a:noFill/>
                    </a:ln>
                  </pic:spPr>
                </pic:pic>
              </a:graphicData>
            </a:graphic>
          </wp:inline>
        </w:drawing>
      </w:r>
    </w:p>
    <w:p w14:paraId="6A6CF5E9">
      <w:pPr>
        <w:pStyle w:val="19"/>
        <w:numPr>
          <w:ilvl w:val="0"/>
          <w:numId w:val="0"/>
        </w:numPr>
        <w:tabs>
          <w:tab w:val="clear" w:pos="0"/>
        </w:tabs>
        <w:bidi w:val="0"/>
        <w:ind w:leftChars="0"/>
        <w:jc w:val="center"/>
        <w:rPr>
          <w:rFonts w:hint="eastAsia"/>
          <w:color w:val="auto"/>
          <w:lang w:val="en-US" w:eastAsia="zh-CN"/>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1.5</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4</w:t>
      </w:r>
      <w:r>
        <w:rPr>
          <w:color w:val="auto"/>
        </w:rPr>
        <w:fldChar w:fldCharType="end"/>
      </w:r>
      <w:r>
        <w:rPr>
          <w:rFonts w:hint="eastAsia"/>
          <w:color w:val="auto"/>
          <w:lang w:val="en-US" w:eastAsia="zh-CN"/>
        </w:rPr>
        <w:t xml:space="preserve">  四川省“生态环境分区管控符合性分析”符合性查询结果</w:t>
      </w:r>
    </w:p>
    <w:p w14:paraId="45F57E6B">
      <w:pPr>
        <w:pStyle w:val="19"/>
        <w:numPr>
          <w:ilvl w:val="0"/>
          <w:numId w:val="13"/>
        </w:numPr>
        <w:tabs>
          <w:tab w:val="clear" w:pos="0"/>
        </w:tabs>
        <w:bidi w:val="0"/>
        <w:ind w:left="0" w:leftChars="0" w:firstLine="0" w:firstLineChars="0"/>
        <w:rPr>
          <w:rFonts w:hint="eastAsia"/>
          <w:color w:val="auto"/>
          <w:lang w:val="en-US" w:eastAsia="zh-CN"/>
        </w:rPr>
      </w:pPr>
      <w:r>
        <w:rPr>
          <w:rFonts w:hint="eastAsia"/>
          <w:color w:val="auto"/>
          <w:lang w:val="en-US" w:eastAsia="zh-CN"/>
        </w:rPr>
        <w:t>本项目涉及的环境管控单元一览表</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682"/>
        <w:gridCol w:w="1659"/>
        <w:gridCol w:w="1232"/>
        <w:gridCol w:w="928"/>
        <w:gridCol w:w="1581"/>
        <w:gridCol w:w="1700"/>
      </w:tblGrid>
      <w:tr w14:paraId="7D42C6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tblHeader/>
          <w:jc w:val="center"/>
        </w:trPr>
        <w:tc>
          <w:tcPr>
            <w:tcW w:w="749" w:type="pct"/>
            <w:tcBorders>
              <w:tl2br w:val="nil"/>
              <w:tr2bl w:val="nil"/>
            </w:tcBorders>
            <w:noWrap w:val="0"/>
            <w:vAlign w:val="center"/>
          </w:tcPr>
          <w:p w14:paraId="23F76BFD">
            <w:pPr>
              <w:pageBreakBefore w:val="0"/>
              <w:widowControl/>
              <w:wordWrap/>
              <w:bidi w:val="0"/>
              <w:adjustRightInd/>
              <w:snapToGrid/>
              <w:spacing w:line="240" w:lineRule="auto"/>
              <w:ind w:firstLine="0" w:firstLineChars="0"/>
              <w:jc w:val="center"/>
              <w:rPr>
                <w:rStyle w:val="58"/>
                <w:rFonts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lang w:val="en-US" w:eastAsia="zh-CN" w:bidi="ar-SA"/>
              </w:rPr>
              <w:t>环境管控单元编码</w:t>
            </w:r>
          </w:p>
        </w:tc>
        <w:tc>
          <w:tcPr>
            <w:tcW w:w="986" w:type="pct"/>
            <w:tcBorders>
              <w:tl2br w:val="nil"/>
              <w:tr2bl w:val="nil"/>
            </w:tcBorders>
            <w:noWrap w:val="0"/>
            <w:vAlign w:val="center"/>
          </w:tcPr>
          <w:p w14:paraId="253B0E5A">
            <w:pPr>
              <w:pageBreakBefore w:val="0"/>
              <w:widowControl/>
              <w:wordWrap/>
              <w:bidi w:val="0"/>
              <w:adjustRightInd/>
              <w:snapToGrid/>
              <w:spacing w:line="240" w:lineRule="auto"/>
              <w:ind w:firstLine="0" w:firstLineChars="0"/>
              <w:jc w:val="center"/>
              <w:rPr>
                <w:rStyle w:val="58"/>
                <w:rFonts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lang w:val="en-US" w:eastAsia="zh-CN" w:bidi="ar-SA"/>
              </w:rPr>
              <w:t>环境管控单元名称</w:t>
            </w:r>
          </w:p>
        </w:tc>
        <w:tc>
          <w:tcPr>
            <w:tcW w:w="743" w:type="pct"/>
            <w:tcBorders>
              <w:tl2br w:val="nil"/>
              <w:tr2bl w:val="nil"/>
            </w:tcBorders>
            <w:noWrap w:val="0"/>
            <w:vAlign w:val="center"/>
          </w:tcPr>
          <w:p w14:paraId="77E258FF">
            <w:pPr>
              <w:pageBreakBefore w:val="0"/>
              <w:widowControl/>
              <w:wordWrap/>
              <w:bidi w:val="0"/>
              <w:adjustRightInd/>
              <w:snapToGrid/>
              <w:spacing w:line="240" w:lineRule="auto"/>
              <w:ind w:firstLine="0" w:firstLineChars="0"/>
              <w:jc w:val="center"/>
              <w:rPr>
                <w:rStyle w:val="58"/>
                <w:rFonts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lang w:val="en-US" w:eastAsia="zh-CN" w:bidi="ar-SA"/>
              </w:rPr>
              <w:t>所属市（州）</w:t>
            </w:r>
          </w:p>
        </w:tc>
        <w:tc>
          <w:tcPr>
            <w:tcW w:w="570" w:type="pct"/>
            <w:tcBorders>
              <w:tl2br w:val="nil"/>
              <w:tr2bl w:val="nil"/>
            </w:tcBorders>
            <w:noWrap w:val="0"/>
            <w:vAlign w:val="center"/>
          </w:tcPr>
          <w:p w14:paraId="73753397">
            <w:pPr>
              <w:pageBreakBefore w:val="0"/>
              <w:widowControl/>
              <w:wordWrap/>
              <w:bidi w:val="0"/>
              <w:adjustRightInd/>
              <w:snapToGrid/>
              <w:spacing w:line="240" w:lineRule="auto"/>
              <w:ind w:firstLine="0" w:firstLineChars="0"/>
              <w:jc w:val="center"/>
              <w:rPr>
                <w:rStyle w:val="58"/>
                <w:rFonts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lang w:val="en-US" w:eastAsia="zh-CN" w:bidi="ar-SA"/>
              </w:rPr>
              <w:t>所属区县</w:t>
            </w:r>
          </w:p>
        </w:tc>
        <w:tc>
          <w:tcPr>
            <w:tcW w:w="941" w:type="pct"/>
            <w:tcBorders>
              <w:tl2br w:val="nil"/>
              <w:tr2bl w:val="nil"/>
            </w:tcBorders>
            <w:noWrap w:val="0"/>
            <w:vAlign w:val="center"/>
          </w:tcPr>
          <w:p w14:paraId="34CC9A98">
            <w:pPr>
              <w:pageBreakBefore w:val="0"/>
              <w:widowControl/>
              <w:wordWrap/>
              <w:bidi w:val="0"/>
              <w:adjustRightInd/>
              <w:snapToGrid/>
              <w:spacing w:line="240" w:lineRule="auto"/>
              <w:ind w:firstLine="0" w:firstLineChars="0"/>
              <w:jc w:val="center"/>
              <w:rPr>
                <w:rStyle w:val="58"/>
                <w:rFonts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lang w:val="en-US" w:eastAsia="zh-CN" w:bidi="ar-SA"/>
              </w:rPr>
              <w:t>准入清单类型</w:t>
            </w:r>
          </w:p>
        </w:tc>
        <w:tc>
          <w:tcPr>
            <w:tcW w:w="1009" w:type="pct"/>
            <w:tcBorders>
              <w:tl2br w:val="nil"/>
              <w:tr2bl w:val="nil"/>
            </w:tcBorders>
            <w:noWrap w:val="0"/>
            <w:vAlign w:val="center"/>
          </w:tcPr>
          <w:p w14:paraId="0A69EFCB">
            <w:pPr>
              <w:pageBreakBefore w:val="0"/>
              <w:widowControl/>
              <w:wordWrap/>
              <w:bidi w:val="0"/>
              <w:adjustRightInd/>
              <w:snapToGrid/>
              <w:spacing w:line="240" w:lineRule="auto"/>
              <w:ind w:firstLine="0" w:firstLineChars="0"/>
              <w:jc w:val="center"/>
              <w:rPr>
                <w:rStyle w:val="58"/>
                <w:rFonts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 w:val="21"/>
                <w:szCs w:val="21"/>
                <w:lang w:val="en-US" w:eastAsia="zh-CN" w:bidi="ar-SA"/>
              </w:rPr>
              <w:t>管控类型</w:t>
            </w:r>
          </w:p>
        </w:tc>
      </w:tr>
      <w:tr w14:paraId="125F7F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tblHeader/>
          <w:jc w:val="center"/>
        </w:trPr>
        <w:tc>
          <w:tcPr>
            <w:tcW w:w="749" w:type="pct"/>
            <w:tcBorders>
              <w:tl2br w:val="nil"/>
              <w:tr2bl w:val="nil"/>
            </w:tcBorders>
            <w:noWrap w:val="0"/>
            <w:vAlign w:val="center"/>
          </w:tcPr>
          <w:p w14:paraId="5A66C09F">
            <w:pPr>
              <w:pStyle w:val="16"/>
              <w:pageBreakBefore w:val="0"/>
              <w:wordWrap/>
              <w:bidi w:val="0"/>
              <w:adjustRightInd/>
              <w:snapToGrid/>
              <w:rPr>
                <w:color w:val="auto"/>
                <w:lang w:val="en-US" w:eastAsia="zh-CN"/>
              </w:rPr>
            </w:pPr>
            <w:r>
              <w:rPr>
                <w:rFonts w:hint="eastAsia"/>
                <w:color w:val="auto"/>
                <w:lang w:val="en-US" w:eastAsia="zh-CN"/>
              </w:rPr>
              <w:t>YS5119022210003</w:t>
            </w:r>
          </w:p>
        </w:tc>
        <w:tc>
          <w:tcPr>
            <w:tcW w:w="986" w:type="pct"/>
            <w:tcBorders>
              <w:tl2br w:val="nil"/>
              <w:tr2bl w:val="nil"/>
            </w:tcBorders>
            <w:noWrap w:val="0"/>
            <w:vAlign w:val="center"/>
          </w:tcPr>
          <w:p w14:paraId="7D8D2136">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巴河-巴州区-手傍岩-控制单元</w:t>
            </w:r>
          </w:p>
        </w:tc>
        <w:tc>
          <w:tcPr>
            <w:tcW w:w="743" w:type="pct"/>
            <w:tcBorders>
              <w:tl2br w:val="nil"/>
              <w:tr2bl w:val="nil"/>
            </w:tcBorders>
            <w:noWrap w:val="0"/>
            <w:vAlign w:val="center"/>
          </w:tcPr>
          <w:p w14:paraId="6CEC37EC">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巴中市</w:t>
            </w:r>
          </w:p>
        </w:tc>
        <w:tc>
          <w:tcPr>
            <w:tcW w:w="570" w:type="pct"/>
            <w:tcBorders>
              <w:tl2br w:val="nil"/>
              <w:tr2bl w:val="nil"/>
            </w:tcBorders>
            <w:noWrap w:val="0"/>
            <w:vAlign w:val="center"/>
          </w:tcPr>
          <w:p w14:paraId="0573F339">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巴州区</w:t>
            </w:r>
          </w:p>
        </w:tc>
        <w:tc>
          <w:tcPr>
            <w:tcW w:w="941" w:type="pct"/>
            <w:tcBorders>
              <w:tl2br w:val="nil"/>
              <w:tr2bl w:val="nil"/>
            </w:tcBorders>
            <w:noWrap w:val="0"/>
            <w:vAlign w:val="center"/>
          </w:tcPr>
          <w:p w14:paraId="356F1F6B">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水环境管控分区</w:t>
            </w:r>
          </w:p>
        </w:tc>
        <w:tc>
          <w:tcPr>
            <w:tcW w:w="1009" w:type="pct"/>
            <w:tcBorders>
              <w:tl2br w:val="nil"/>
              <w:tr2bl w:val="nil"/>
            </w:tcBorders>
            <w:noWrap w:val="0"/>
            <w:vAlign w:val="center"/>
          </w:tcPr>
          <w:p w14:paraId="634F19BC">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水环境工业污染重点管控区</w:t>
            </w:r>
          </w:p>
        </w:tc>
      </w:tr>
      <w:tr w14:paraId="386458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tblHeader/>
          <w:jc w:val="center"/>
        </w:trPr>
        <w:tc>
          <w:tcPr>
            <w:tcW w:w="749" w:type="pct"/>
            <w:tcBorders>
              <w:tl2br w:val="nil"/>
              <w:tr2bl w:val="nil"/>
            </w:tcBorders>
            <w:noWrap w:val="0"/>
            <w:vAlign w:val="center"/>
          </w:tcPr>
          <w:p w14:paraId="7892AF1F">
            <w:pPr>
              <w:pStyle w:val="16"/>
              <w:pageBreakBefore w:val="0"/>
              <w:wordWrap/>
              <w:bidi w:val="0"/>
              <w:adjustRightInd/>
              <w:snapToGrid/>
              <w:rPr>
                <w:color w:val="auto"/>
                <w:lang w:val="en-US" w:eastAsia="zh-CN"/>
              </w:rPr>
            </w:pPr>
            <w:r>
              <w:rPr>
                <w:rFonts w:hint="eastAsia"/>
                <w:color w:val="auto"/>
                <w:lang w:val="en-US" w:eastAsia="zh-CN"/>
              </w:rPr>
              <w:t>YS5119022310003</w:t>
            </w:r>
          </w:p>
        </w:tc>
        <w:tc>
          <w:tcPr>
            <w:tcW w:w="986" w:type="pct"/>
            <w:tcBorders>
              <w:tl2br w:val="nil"/>
              <w:tr2bl w:val="nil"/>
            </w:tcBorders>
            <w:noWrap w:val="0"/>
            <w:vAlign w:val="center"/>
          </w:tcPr>
          <w:p w14:paraId="3E20C6A9">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巴中新能源新材料产业园（曾口区块）</w:t>
            </w:r>
          </w:p>
        </w:tc>
        <w:tc>
          <w:tcPr>
            <w:tcW w:w="743" w:type="pct"/>
            <w:tcBorders>
              <w:tl2br w:val="nil"/>
              <w:tr2bl w:val="nil"/>
            </w:tcBorders>
            <w:noWrap w:val="0"/>
            <w:vAlign w:val="center"/>
          </w:tcPr>
          <w:p w14:paraId="182E38B6">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巴中市</w:t>
            </w:r>
          </w:p>
        </w:tc>
        <w:tc>
          <w:tcPr>
            <w:tcW w:w="570" w:type="pct"/>
            <w:tcBorders>
              <w:tl2br w:val="nil"/>
              <w:tr2bl w:val="nil"/>
            </w:tcBorders>
            <w:noWrap w:val="0"/>
            <w:vAlign w:val="center"/>
          </w:tcPr>
          <w:p w14:paraId="12B943C3">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巴州区</w:t>
            </w:r>
          </w:p>
        </w:tc>
        <w:tc>
          <w:tcPr>
            <w:tcW w:w="941" w:type="pct"/>
            <w:tcBorders>
              <w:tl2br w:val="nil"/>
              <w:tr2bl w:val="nil"/>
            </w:tcBorders>
            <w:noWrap w:val="0"/>
            <w:vAlign w:val="center"/>
          </w:tcPr>
          <w:p w14:paraId="19F6213D">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大气环境管控分区</w:t>
            </w:r>
          </w:p>
        </w:tc>
        <w:tc>
          <w:tcPr>
            <w:tcW w:w="1009" w:type="pct"/>
            <w:tcBorders>
              <w:tl2br w:val="nil"/>
              <w:tr2bl w:val="nil"/>
            </w:tcBorders>
            <w:noWrap w:val="0"/>
            <w:vAlign w:val="center"/>
          </w:tcPr>
          <w:p w14:paraId="166A3A38">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大气环境高排放重点管控区</w:t>
            </w:r>
          </w:p>
        </w:tc>
      </w:tr>
      <w:tr w14:paraId="10E111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tblHeader/>
          <w:jc w:val="center"/>
        </w:trPr>
        <w:tc>
          <w:tcPr>
            <w:tcW w:w="749" w:type="pct"/>
            <w:tcBorders>
              <w:tl2br w:val="nil"/>
              <w:tr2bl w:val="nil"/>
            </w:tcBorders>
            <w:noWrap w:val="0"/>
            <w:vAlign w:val="center"/>
          </w:tcPr>
          <w:p w14:paraId="4B6E4BEE">
            <w:pPr>
              <w:pStyle w:val="16"/>
              <w:pageBreakBefore w:val="0"/>
              <w:wordWrap/>
              <w:bidi w:val="0"/>
              <w:adjustRightInd/>
              <w:snapToGrid/>
              <w:rPr>
                <w:color w:val="auto"/>
                <w:lang w:val="en-US" w:eastAsia="zh-CN"/>
              </w:rPr>
            </w:pPr>
            <w:r>
              <w:rPr>
                <w:rFonts w:hint="eastAsia"/>
                <w:color w:val="auto"/>
                <w:lang w:val="en-US" w:eastAsia="zh-CN"/>
              </w:rPr>
              <w:t>YS5119022530001</w:t>
            </w:r>
          </w:p>
        </w:tc>
        <w:tc>
          <w:tcPr>
            <w:tcW w:w="986" w:type="pct"/>
            <w:tcBorders>
              <w:tl2br w:val="nil"/>
              <w:tr2bl w:val="nil"/>
            </w:tcBorders>
            <w:noWrap w:val="0"/>
            <w:vAlign w:val="center"/>
          </w:tcPr>
          <w:p w14:paraId="2930462F">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巴州区城镇开发边界</w:t>
            </w:r>
          </w:p>
        </w:tc>
        <w:tc>
          <w:tcPr>
            <w:tcW w:w="743" w:type="pct"/>
            <w:tcBorders>
              <w:tl2br w:val="nil"/>
              <w:tr2bl w:val="nil"/>
            </w:tcBorders>
            <w:noWrap w:val="0"/>
            <w:vAlign w:val="center"/>
          </w:tcPr>
          <w:p w14:paraId="3BAE3566">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巴中市</w:t>
            </w:r>
          </w:p>
        </w:tc>
        <w:tc>
          <w:tcPr>
            <w:tcW w:w="570" w:type="pct"/>
            <w:tcBorders>
              <w:tl2br w:val="nil"/>
              <w:tr2bl w:val="nil"/>
            </w:tcBorders>
            <w:noWrap w:val="0"/>
            <w:vAlign w:val="center"/>
          </w:tcPr>
          <w:p w14:paraId="7C0A4369">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巴州区</w:t>
            </w:r>
          </w:p>
        </w:tc>
        <w:tc>
          <w:tcPr>
            <w:tcW w:w="941" w:type="pct"/>
            <w:tcBorders>
              <w:tl2br w:val="nil"/>
              <w:tr2bl w:val="nil"/>
            </w:tcBorders>
            <w:noWrap w:val="0"/>
            <w:vAlign w:val="center"/>
          </w:tcPr>
          <w:p w14:paraId="07BBF549">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自然资源管控分区</w:t>
            </w:r>
          </w:p>
        </w:tc>
        <w:tc>
          <w:tcPr>
            <w:tcW w:w="1009" w:type="pct"/>
            <w:tcBorders>
              <w:tl2br w:val="nil"/>
              <w:tr2bl w:val="nil"/>
            </w:tcBorders>
            <w:noWrap w:val="0"/>
            <w:vAlign w:val="center"/>
          </w:tcPr>
          <w:p w14:paraId="112DA0E7">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土地资源重点管控区</w:t>
            </w:r>
          </w:p>
        </w:tc>
      </w:tr>
      <w:tr w14:paraId="5E7B32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tblHeader/>
          <w:jc w:val="center"/>
        </w:trPr>
        <w:tc>
          <w:tcPr>
            <w:tcW w:w="749" w:type="pct"/>
            <w:tcBorders>
              <w:tl2br w:val="nil"/>
              <w:tr2bl w:val="nil"/>
            </w:tcBorders>
            <w:noWrap w:val="0"/>
            <w:vAlign w:val="center"/>
          </w:tcPr>
          <w:p w14:paraId="12244912">
            <w:pPr>
              <w:pStyle w:val="16"/>
              <w:pageBreakBefore w:val="0"/>
              <w:wordWrap/>
              <w:bidi w:val="0"/>
              <w:adjustRightInd/>
              <w:snapToGrid/>
              <w:rPr>
                <w:color w:val="auto"/>
                <w:lang w:val="en-US" w:eastAsia="zh-CN"/>
              </w:rPr>
            </w:pPr>
            <w:r>
              <w:rPr>
                <w:rFonts w:hint="eastAsia"/>
                <w:color w:val="auto"/>
                <w:lang w:val="en-US" w:eastAsia="zh-CN"/>
              </w:rPr>
              <w:t>YS5119022550001</w:t>
            </w:r>
          </w:p>
        </w:tc>
        <w:tc>
          <w:tcPr>
            <w:tcW w:w="986" w:type="pct"/>
            <w:tcBorders>
              <w:tl2br w:val="nil"/>
              <w:tr2bl w:val="nil"/>
            </w:tcBorders>
            <w:noWrap w:val="0"/>
            <w:vAlign w:val="center"/>
          </w:tcPr>
          <w:p w14:paraId="3533C787">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巴州区自然资源重点管控区</w:t>
            </w:r>
          </w:p>
        </w:tc>
        <w:tc>
          <w:tcPr>
            <w:tcW w:w="743" w:type="pct"/>
            <w:tcBorders>
              <w:tl2br w:val="nil"/>
              <w:tr2bl w:val="nil"/>
            </w:tcBorders>
            <w:noWrap w:val="0"/>
            <w:vAlign w:val="center"/>
          </w:tcPr>
          <w:p w14:paraId="6060C6EA">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巴中市</w:t>
            </w:r>
          </w:p>
        </w:tc>
        <w:tc>
          <w:tcPr>
            <w:tcW w:w="570" w:type="pct"/>
            <w:tcBorders>
              <w:tl2br w:val="nil"/>
              <w:tr2bl w:val="nil"/>
            </w:tcBorders>
            <w:noWrap w:val="0"/>
            <w:vAlign w:val="center"/>
          </w:tcPr>
          <w:p w14:paraId="1C4F883A">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巴州区</w:t>
            </w:r>
          </w:p>
        </w:tc>
        <w:tc>
          <w:tcPr>
            <w:tcW w:w="941" w:type="pct"/>
            <w:tcBorders>
              <w:tl2br w:val="nil"/>
              <w:tr2bl w:val="nil"/>
            </w:tcBorders>
            <w:noWrap w:val="0"/>
            <w:vAlign w:val="center"/>
          </w:tcPr>
          <w:p w14:paraId="177BCFA7">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自然资源管控分区</w:t>
            </w:r>
          </w:p>
        </w:tc>
        <w:tc>
          <w:tcPr>
            <w:tcW w:w="1009" w:type="pct"/>
            <w:tcBorders>
              <w:tl2br w:val="nil"/>
              <w:tr2bl w:val="nil"/>
            </w:tcBorders>
            <w:noWrap w:val="0"/>
            <w:vAlign w:val="center"/>
          </w:tcPr>
          <w:p w14:paraId="4BF86E64">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自然资源重点管控区</w:t>
            </w:r>
          </w:p>
        </w:tc>
      </w:tr>
      <w:tr w14:paraId="30B717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tblHeader/>
          <w:jc w:val="center"/>
        </w:trPr>
        <w:tc>
          <w:tcPr>
            <w:tcW w:w="749" w:type="pct"/>
            <w:tcBorders>
              <w:tl2br w:val="nil"/>
              <w:tr2bl w:val="nil"/>
            </w:tcBorders>
            <w:noWrap w:val="0"/>
            <w:vAlign w:val="center"/>
          </w:tcPr>
          <w:p w14:paraId="0B486E3B">
            <w:pPr>
              <w:pStyle w:val="16"/>
              <w:pageBreakBefore w:val="0"/>
              <w:wordWrap/>
              <w:bidi w:val="0"/>
              <w:adjustRightInd/>
              <w:snapToGrid/>
              <w:rPr>
                <w:color w:val="auto"/>
                <w:lang w:val="en-US" w:eastAsia="zh-CN"/>
              </w:rPr>
            </w:pPr>
            <w:r>
              <w:rPr>
                <w:rFonts w:hint="eastAsia"/>
                <w:color w:val="auto"/>
                <w:lang w:val="en-US" w:eastAsia="zh-CN"/>
              </w:rPr>
              <w:t>ZH51190220004</w:t>
            </w:r>
          </w:p>
        </w:tc>
        <w:tc>
          <w:tcPr>
            <w:tcW w:w="986" w:type="pct"/>
            <w:tcBorders>
              <w:tl2br w:val="nil"/>
              <w:tr2bl w:val="nil"/>
            </w:tcBorders>
            <w:noWrap w:val="0"/>
            <w:vAlign w:val="center"/>
          </w:tcPr>
          <w:p w14:paraId="638E4121">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巴中新能源新材料产业园（曾口区块）</w:t>
            </w:r>
          </w:p>
        </w:tc>
        <w:tc>
          <w:tcPr>
            <w:tcW w:w="743" w:type="pct"/>
            <w:tcBorders>
              <w:tl2br w:val="nil"/>
              <w:tr2bl w:val="nil"/>
            </w:tcBorders>
            <w:noWrap w:val="0"/>
            <w:vAlign w:val="center"/>
          </w:tcPr>
          <w:p w14:paraId="56CE0654">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巴中市</w:t>
            </w:r>
          </w:p>
        </w:tc>
        <w:tc>
          <w:tcPr>
            <w:tcW w:w="570" w:type="pct"/>
            <w:tcBorders>
              <w:tl2br w:val="nil"/>
              <w:tr2bl w:val="nil"/>
            </w:tcBorders>
            <w:noWrap w:val="0"/>
            <w:vAlign w:val="center"/>
          </w:tcPr>
          <w:p w14:paraId="294C481A">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巴州区</w:t>
            </w:r>
          </w:p>
        </w:tc>
        <w:tc>
          <w:tcPr>
            <w:tcW w:w="941" w:type="pct"/>
            <w:tcBorders>
              <w:tl2br w:val="nil"/>
              <w:tr2bl w:val="nil"/>
            </w:tcBorders>
            <w:noWrap w:val="0"/>
            <w:vAlign w:val="center"/>
          </w:tcPr>
          <w:p w14:paraId="5ED4E9B3">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环境管控单元</w:t>
            </w:r>
          </w:p>
        </w:tc>
        <w:tc>
          <w:tcPr>
            <w:tcW w:w="1009" w:type="pct"/>
            <w:tcBorders>
              <w:tl2br w:val="nil"/>
              <w:tr2bl w:val="nil"/>
            </w:tcBorders>
            <w:noWrap w:val="0"/>
            <w:vAlign w:val="center"/>
          </w:tcPr>
          <w:p w14:paraId="552553CA">
            <w:pPr>
              <w:pStyle w:val="703"/>
              <w:pageBreakBefore w:val="0"/>
              <w:widowControl/>
              <w:wordWrap/>
              <w:bidi w:val="0"/>
              <w:adjustRightInd/>
              <w:snapToGrid/>
              <w:spacing w:line="240" w:lineRule="auto"/>
              <w:ind w:firstLine="0" w:firstLineChars="0"/>
              <w:jc w:val="center"/>
              <w:rPr>
                <w:rStyle w:val="58"/>
                <w:rFonts w:ascii="宋体" w:hAnsi="宋体" w:eastAsia="宋体" w:cs="Times New Roman"/>
                <w:color w:val="auto"/>
                <w:kern w:val="2"/>
                <w:sz w:val="21"/>
                <w:szCs w:val="21"/>
                <w:lang w:val="en-US" w:eastAsia="zh-CN" w:bidi="ar-SA"/>
              </w:rPr>
            </w:pPr>
            <w:r>
              <w:rPr>
                <w:rStyle w:val="58"/>
                <w:rFonts w:hint="eastAsia" w:ascii="宋体" w:hAnsi="宋体" w:eastAsia="宋体" w:cs="Times New Roman"/>
                <w:color w:val="auto"/>
                <w:kern w:val="2"/>
                <w:sz w:val="21"/>
                <w:szCs w:val="21"/>
                <w:lang w:val="en-US" w:eastAsia="zh-CN" w:bidi="ar-SA"/>
              </w:rPr>
              <w:t>环境综合管控单元工业重点管控单元</w:t>
            </w:r>
          </w:p>
        </w:tc>
      </w:tr>
    </w:tbl>
    <w:p w14:paraId="72422C92">
      <w:pPr>
        <w:pStyle w:val="702"/>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highlight w:val="none"/>
          <w:lang w:val="en-US" w:eastAsia="zh-CN"/>
        </w:rPr>
      </w:pPr>
      <w:r>
        <w:rPr>
          <w:rFonts w:hint="default" w:ascii="Segoe Print" w:hAnsi="Segoe Print" w:eastAsia="Segoe Print"/>
          <w:color w:val="auto"/>
          <w:sz w:val="28"/>
          <w:szCs w:val="24"/>
        </w:rPr>
        <w:drawing>
          <wp:inline distT="0" distB="0" distL="114300" distR="114300">
            <wp:extent cx="5474970" cy="3285490"/>
            <wp:effectExtent l="0" t="0" r="0" b="0"/>
            <wp:docPr id="90"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3"/>
                    <pic:cNvPicPr>
                      <a:picLocks noChangeAspect="1"/>
                    </pic:cNvPicPr>
                  </pic:nvPicPr>
                  <pic:blipFill>
                    <a:blip r:embed="rId38"/>
                    <a:stretch>
                      <a:fillRect/>
                    </a:stretch>
                  </pic:blipFill>
                  <pic:spPr>
                    <a:xfrm>
                      <a:off x="0" y="0"/>
                      <a:ext cx="5474970" cy="3285490"/>
                    </a:xfrm>
                    <a:prstGeom prst="rect">
                      <a:avLst/>
                    </a:prstGeom>
                    <a:noFill/>
                    <a:ln>
                      <a:noFill/>
                    </a:ln>
                  </pic:spPr>
                </pic:pic>
              </a:graphicData>
            </a:graphic>
          </wp:inline>
        </w:drawing>
      </w:r>
    </w:p>
    <w:p w14:paraId="50C9D7F3">
      <w:pPr>
        <w:pStyle w:val="19"/>
        <w:numPr>
          <w:ilvl w:val="0"/>
          <w:numId w:val="0"/>
        </w:numPr>
        <w:tabs>
          <w:tab w:val="clear" w:pos="0"/>
        </w:tabs>
        <w:bidi w:val="0"/>
        <w:ind w:leftChars="0"/>
        <w:jc w:val="center"/>
        <w:rPr>
          <w:rFonts w:hint="default"/>
          <w:color w:val="auto"/>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1.5</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5</w:t>
      </w:r>
      <w:r>
        <w:rPr>
          <w:color w:val="auto"/>
        </w:rPr>
        <w:fldChar w:fldCharType="end"/>
      </w:r>
      <w:r>
        <w:rPr>
          <w:rFonts w:hint="default"/>
          <w:color w:val="auto"/>
        </w:rPr>
        <w:t>本项目与</w:t>
      </w:r>
      <w:r>
        <w:rPr>
          <w:rFonts w:hint="eastAsia"/>
          <w:color w:val="auto"/>
          <w:lang w:val="en-US" w:eastAsia="zh-CN"/>
        </w:rPr>
        <w:t>巴中市</w:t>
      </w:r>
      <w:r>
        <w:rPr>
          <w:rFonts w:hint="default"/>
          <w:color w:val="auto"/>
        </w:rPr>
        <w:t>环境管控单元位置关系图</w:t>
      </w:r>
    </w:p>
    <w:p w14:paraId="661F870B">
      <w:pPr>
        <w:pageBreakBefore w:val="0"/>
        <w:wordWrap/>
        <w:bidi w:val="0"/>
        <w:adjustRightInd/>
        <w:snapToGrid/>
        <w:ind w:left="482" w:firstLine="0" w:firstLineChars="0"/>
        <w:rPr>
          <w:rFonts w:hint="eastAsia"/>
          <w:bCs/>
          <w:color w:val="auto"/>
        </w:rPr>
      </w:pPr>
      <w:r>
        <w:rPr>
          <w:rFonts w:hint="eastAsia"/>
          <w:color w:val="auto"/>
          <w:highlight w:val="none"/>
          <w:lang w:val="en-US" w:eastAsia="zh-CN"/>
        </w:rPr>
        <w:t>本项目与上述环境管控单元符合性分析见下表。</w:t>
      </w:r>
    </w:p>
    <w:p w14:paraId="061C6442">
      <w:pPr>
        <w:pStyle w:val="17"/>
        <w:pageBreakBefore w:val="0"/>
        <w:wordWrap/>
        <w:bidi w:val="0"/>
        <w:adjustRightInd/>
        <w:snapToGrid/>
        <w:rPr>
          <w:color w:val="auto"/>
        </w:rPr>
        <w:sectPr>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sectPr>
      </w:pPr>
    </w:p>
    <w:p w14:paraId="5FBEE944">
      <w:pPr>
        <w:pStyle w:val="19"/>
        <w:numPr>
          <w:ilvl w:val="0"/>
          <w:numId w:val="13"/>
        </w:numPr>
        <w:tabs>
          <w:tab w:val="clear" w:pos="0"/>
        </w:tabs>
        <w:bidi w:val="0"/>
        <w:ind w:left="0" w:leftChars="0" w:firstLine="0" w:firstLineChars="0"/>
        <w:rPr>
          <w:rFonts w:hint="default"/>
          <w:color w:val="auto"/>
          <w:lang w:val="en-US"/>
        </w:rPr>
      </w:pPr>
      <w:r>
        <w:rPr>
          <w:rFonts w:hint="eastAsia"/>
          <w:color w:val="auto"/>
          <w:lang w:val="en-US" w:eastAsia="zh-CN"/>
        </w:rPr>
        <w:t>生态环境准入清单</w:t>
      </w:r>
    </w:p>
    <w:tbl>
      <w:tblPr>
        <w:tblStyle w:val="70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825"/>
        <w:gridCol w:w="912"/>
        <w:gridCol w:w="4669"/>
        <w:gridCol w:w="1364"/>
        <w:gridCol w:w="4130"/>
        <w:gridCol w:w="1612"/>
        <w:gridCol w:w="494"/>
      </w:tblGrid>
      <w:tr w14:paraId="60E16E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825" w:type="dxa"/>
            <w:tcBorders>
              <w:tl2br w:val="nil"/>
              <w:tr2bl w:val="nil"/>
            </w:tcBorders>
            <w:noWrap w:val="0"/>
            <w:vAlign w:val="center"/>
          </w:tcPr>
          <w:p w14:paraId="0E0FEE93">
            <w:pPr>
              <w:pStyle w:val="16"/>
              <w:pageBreakBefore w:val="0"/>
              <w:wordWrap/>
              <w:bidi w:val="0"/>
              <w:adjustRightInd/>
              <w:snapToGrid/>
              <w:spacing w:line="240" w:lineRule="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环境管控单元编码</w:t>
            </w:r>
          </w:p>
        </w:tc>
        <w:tc>
          <w:tcPr>
            <w:tcW w:w="912" w:type="dxa"/>
            <w:tcBorders>
              <w:tl2br w:val="nil"/>
              <w:tr2bl w:val="nil"/>
            </w:tcBorders>
            <w:noWrap w:val="0"/>
            <w:vAlign w:val="center"/>
          </w:tcPr>
          <w:p w14:paraId="711270F1">
            <w:pPr>
              <w:pStyle w:val="16"/>
              <w:pageBreakBefore w:val="0"/>
              <w:wordWrap/>
              <w:bidi w:val="0"/>
              <w:adjustRightInd/>
              <w:snapToGrid/>
              <w:spacing w:line="240" w:lineRule="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环境管控单元名称</w:t>
            </w:r>
          </w:p>
        </w:tc>
        <w:tc>
          <w:tcPr>
            <w:tcW w:w="4669" w:type="dxa"/>
            <w:tcBorders>
              <w:tl2br w:val="nil"/>
              <w:tr2bl w:val="nil"/>
            </w:tcBorders>
            <w:noWrap w:val="0"/>
            <w:vAlign w:val="center"/>
          </w:tcPr>
          <w:p w14:paraId="5EC2386B">
            <w:pPr>
              <w:pStyle w:val="16"/>
              <w:pageBreakBefore w:val="0"/>
              <w:wordWrap/>
              <w:bidi w:val="0"/>
              <w:adjustRightInd/>
              <w:snapToGrid/>
              <w:spacing w:line="240" w:lineRule="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巴中市普适性清单</w:t>
            </w:r>
          </w:p>
        </w:tc>
        <w:tc>
          <w:tcPr>
            <w:tcW w:w="1364" w:type="dxa"/>
            <w:tcBorders>
              <w:tl2br w:val="nil"/>
              <w:tr2bl w:val="nil"/>
            </w:tcBorders>
            <w:noWrap w:val="0"/>
            <w:vAlign w:val="center"/>
          </w:tcPr>
          <w:p w14:paraId="2516A056">
            <w:pPr>
              <w:pStyle w:val="16"/>
              <w:pageBreakBefore w:val="0"/>
              <w:wordWrap/>
              <w:bidi w:val="0"/>
              <w:adjustRightInd/>
              <w:snapToGrid/>
              <w:spacing w:line="240" w:lineRule="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管控类别</w:t>
            </w:r>
          </w:p>
        </w:tc>
        <w:tc>
          <w:tcPr>
            <w:tcW w:w="4130" w:type="dxa"/>
            <w:tcBorders>
              <w:tl2br w:val="nil"/>
              <w:tr2bl w:val="nil"/>
            </w:tcBorders>
            <w:noWrap w:val="0"/>
            <w:vAlign w:val="center"/>
          </w:tcPr>
          <w:p w14:paraId="245CB7FB">
            <w:pPr>
              <w:pStyle w:val="16"/>
              <w:pageBreakBefore w:val="0"/>
              <w:wordWrap/>
              <w:bidi w:val="0"/>
              <w:adjustRightInd/>
              <w:snapToGrid/>
              <w:spacing w:line="240" w:lineRule="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单元特性管控要求</w:t>
            </w:r>
          </w:p>
        </w:tc>
        <w:tc>
          <w:tcPr>
            <w:tcW w:w="1612" w:type="dxa"/>
            <w:tcBorders>
              <w:tl2br w:val="nil"/>
              <w:tr2bl w:val="nil"/>
            </w:tcBorders>
            <w:noWrap w:val="0"/>
            <w:vAlign w:val="center"/>
          </w:tcPr>
          <w:p w14:paraId="44803F54">
            <w:pPr>
              <w:pStyle w:val="16"/>
              <w:pageBreakBefore w:val="0"/>
              <w:wordWrap/>
              <w:bidi w:val="0"/>
              <w:adjustRightInd/>
              <w:snapToGrid/>
              <w:spacing w:line="240" w:lineRule="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本项目情况</w:t>
            </w:r>
          </w:p>
        </w:tc>
        <w:tc>
          <w:tcPr>
            <w:tcW w:w="494" w:type="dxa"/>
            <w:tcBorders>
              <w:tl2br w:val="nil"/>
              <w:tr2bl w:val="nil"/>
            </w:tcBorders>
            <w:noWrap w:val="0"/>
            <w:vAlign w:val="center"/>
          </w:tcPr>
          <w:p w14:paraId="6B0B89DB">
            <w:pPr>
              <w:pStyle w:val="16"/>
              <w:pageBreakBefore w:val="0"/>
              <w:wordWrap/>
              <w:bidi w:val="0"/>
              <w:adjustRightInd/>
              <w:snapToGrid/>
              <w:spacing w:line="240" w:lineRule="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符合性</w:t>
            </w:r>
          </w:p>
        </w:tc>
      </w:tr>
      <w:tr w14:paraId="26834E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restart"/>
            <w:tcBorders>
              <w:tl2br w:val="nil"/>
              <w:tr2bl w:val="nil"/>
            </w:tcBorders>
            <w:noWrap w:val="0"/>
            <w:vAlign w:val="center"/>
          </w:tcPr>
          <w:p w14:paraId="06292B9D">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YS5119022210003</w:t>
            </w:r>
          </w:p>
        </w:tc>
        <w:tc>
          <w:tcPr>
            <w:tcW w:w="912" w:type="dxa"/>
            <w:vMerge w:val="restart"/>
            <w:tcBorders>
              <w:tl2br w:val="nil"/>
              <w:tr2bl w:val="nil"/>
            </w:tcBorders>
            <w:noWrap w:val="0"/>
            <w:vAlign w:val="center"/>
          </w:tcPr>
          <w:p w14:paraId="2769C85A">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巴河-巴州区-手傍岩-控制单元</w:t>
            </w:r>
          </w:p>
        </w:tc>
        <w:tc>
          <w:tcPr>
            <w:tcW w:w="4669" w:type="dxa"/>
            <w:vMerge w:val="restart"/>
            <w:tcBorders>
              <w:tl2br w:val="nil"/>
              <w:tr2bl w:val="nil"/>
            </w:tcBorders>
            <w:noWrap w:val="0"/>
            <w:vAlign w:val="center"/>
          </w:tcPr>
          <w:p w14:paraId="756F4A3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空间布局约束：</w:t>
            </w:r>
          </w:p>
          <w:p w14:paraId="3216D5C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禁止开发建设活动的要求</w:t>
            </w:r>
          </w:p>
          <w:p w14:paraId="25BABF5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04689F3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限制开发建设活动的要求</w:t>
            </w:r>
          </w:p>
          <w:p w14:paraId="0C38746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215312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不符合空间布局要求活动的退出要求</w:t>
            </w:r>
          </w:p>
          <w:p w14:paraId="6E5F538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2D7E71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其他空间布局约束要求</w:t>
            </w:r>
          </w:p>
          <w:p w14:paraId="0564482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A82C90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污染物排放管控：</w:t>
            </w:r>
          </w:p>
          <w:p w14:paraId="18D5497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允许排放量要求</w:t>
            </w:r>
          </w:p>
          <w:p w14:paraId="25FAEAB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548FEE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现有源提标升级改造</w:t>
            </w:r>
          </w:p>
          <w:p w14:paraId="1F385C4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E98C40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其他污染物排放管控要求</w:t>
            </w:r>
          </w:p>
          <w:p w14:paraId="3AD2505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CC302E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环境风险防控：</w:t>
            </w:r>
          </w:p>
          <w:p w14:paraId="1F1A9DA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联防联控要求</w:t>
            </w:r>
          </w:p>
          <w:p w14:paraId="73BE6BF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381A69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其他环境风险防控要求</w:t>
            </w:r>
          </w:p>
          <w:p w14:paraId="4585626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691112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资源开发利用效率要求：</w:t>
            </w:r>
          </w:p>
          <w:p w14:paraId="568BDFC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水资源利用总量要求</w:t>
            </w:r>
          </w:p>
          <w:p w14:paraId="2BD9E49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17B441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地下水开采要求</w:t>
            </w:r>
          </w:p>
          <w:p w14:paraId="36538ED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20D8D1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能源利用总量及效率要求</w:t>
            </w:r>
          </w:p>
          <w:p w14:paraId="1034EFC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41D156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禁燃区要求</w:t>
            </w:r>
          </w:p>
          <w:p w14:paraId="3C6CCE4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4C4649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其他资源利用效率要求</w:t>
            </w:r>
          </w:p>
          <w:p w14:paraId="35C995F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46962D52">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空间布局约束</w:t>
            </w:r>
          </w:p>
        </w:tc>
        <w:tc>
          <w:tcPr>
            <w:tcW w:w="4130" w:type="dxa"/>
            <w:tcBorders>
              <w:tl2br w:val="nil"/>
              <w:tr2bl w:val="nil"/>
            </w:tcBorders>
            <w:noWrap w:val="0"/>
            <w:vAlign w:val="center"/>
          </w:tcPr>
          <w:p w14:paraId="32DF87C5">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禁止开发建设活动的要求</w:t>
            </w:r>
          </w:p>
          <w:p w14:paraId="63348324">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限制开发建设活动的要求</w:t>
            </w:r>
          </w:p>
          <w:p w14:paraId="431A65B8">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严控磷铵、黄磷等产业违规新增产能加快退出不符合产业政策和环保要求、不满足安全生产条件的涉磷企业</w:t>
            </w:r>
          </w:p>
          <w:p w14:paraId="07D72E03">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允许开发建设活动的要求</w:t>
            </w:r>
          </w:p>
          <w:p w14:paraId="2257EE76">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不符合空间布局要求活动的退出要求</w:t>
            </w:r>
          </w:p>
          <w:p w14:paraId="16FA1F16">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其他空间布局约束要求</w:t>
            </w:r>
          </w:p>
        </w:tc>
        <w:tc>
          <w:tcPr>
            <w:tcW w:w="1612" w:type="dxa"/>
            <w:tcBorders>
              <w:tl2br w:val="nil"/>
              <w:tr2bl w:val="nil"/>
            </w:tcBorders>
            <w:noWrap w:val="0"/>
            <w:vAlign w:val="center"/>
          </w:tcPr>
          <w:p w14:paraId="4BAAF872">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本项目为工业废水处理项目，不涉及磷铵、黄磷等，满足要求</w:t>
            </w:r>
          </w:p>
        </w:tc>
        <w:tc>
          <w:tcPr>
            <w:tcW w:w="494" w:type="dxa"/>
            <w:tcBorders>
              <w:tl2br w:val="nil"/>
              <w:tr2bl w:val="nil"/>
            </w:tcBorders>
            <w:noWrap w:val="0"/>
            <w:vAlign w:val="center"/>
          </w:tcPr>
          <w:p w14:paraId="2BE794A2">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符合</w:t>
            </w:r>
          </w:p>
        </w:tc>
      </w:tr>
      <w:tr w14:paraId="1BFDED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7CF8C785">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YS5119022210003</w:t>
            </w:r>
          </w:p>
        </w:tc>
        <w:tc>
          <w:tcPr>
            <w:tcW w:w="912" w:type="dxa"/>
            <w:vMerge w:val="continue"/>
            <w:tcBorders>
              <w:tl2br w:val="nil"/>
              <w:tr2bl w:val="nil"/>
            </w:tcBorders>
            <w:noWrap w:val="0"/>
            <w:vAlign w:val="center"/>
          </w:tcPr>
          <w:p w14:paraId="7E5A4A5F">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巴河-巴州区-手傍岩-控制单元</w:t>
            </w:r>
          </w:p>
        </w:tc>
        <w:tc>
          <w:tcPr>
            <w:tcW w:w="4669" w:type="dxa"/>
            <w:vMerge w:val="continue"/>
            <w:tcBorders>
              <w:tl2br w:val="nil"/>
              <w:tr2bl w:val="nil"/>
            </w:tcBorders>
            <w:noWrap w:val="0"/>
            <w:vAlign w:val="center"/>
          </w:tcPr>
          <w:p w14:paraId="1361D5B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空间布局约束：</w:t>
            </w:r>
          </w:p>
          <w:p w14:paraId="1116213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禁止开发建设活动的要求</w:t>
            </w:r>
          </w:p>
          <w:p w14:paraId="0DF96B4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67106E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限制开发建设活动的要求</w:t>
            </w:r>
          </w:p>
          <w:p w14:paraId="0411357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0DE1E9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不符合空间布局要求活动的退出要求</w:t>
            </w:r>
          </w:p>
          <w:p w14:paraId="02B6C00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6868A7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其他空间布局约束要求</w:t>
            </w:r>
          </w:p>
          <w:p w14:paraId="109FCF5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8B6C51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污染物排放管控：</w:t>
            </w:r>
          </w:p>
          <w:p w14:paraId="6A50EC0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允许排放量要求</w:t>
            </w:r>
          </w:p>
          <w:p w14:paraId="227EE80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01289DB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现有源提标升级改造</w:t>
            </w:r>
          </w:p>
          <w:p w14:paraId="03EEE33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26C5F6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其他污染物排放管控要求</w:t>
            </w:r>
          </w:p>
          <w:p w14:paraId="490A3F8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47D2BB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环境风险防控：</w:t>
            </w:r>
          </w:p>
          <w:p w14:paraId="069EC44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联防联控要求</w:t>
            </w:r>
          </w:p>
          <w:p w14:paraId="73918C4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0CEB166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其他环境风险防控要求</w:t>
            </w:r>
          </w:p>
          <w:p w14:paraId="6757968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8B3E61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资源开发利用效率要求：</w:t>
            </w:r>
          </w:p>
          <w:p w14:paraId="472C79D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水资源利用总量要求</w:t>
            </w:r>
          </w:p>
          <w:p w14:paraId="53A978B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817C5A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地下水开采要求</w:t>
            </w:r>
          </w:p>
          <w:p w14:paraId="31061EF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FA7414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能源利用总量及效率要求</w:t>
            </w:r>
          </w:p>
          <w:p w14:paraId="37A4E2D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2B47BF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禁燃区要求</w:t>
            </w:r>
          </w:p>
          <w:p w14:paraId="5866EEE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0BC36D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其他资源利用效率要求</w:t>
            </w:r>
          </w:p>
          <w:p w14:paraId="0468F42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37AF83F9">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污染物排放管控</w:t>
            </w:r>
          </w:p>
        </w:tc>
        <w:tc>
          <w:tcPr>
            <w:tcW w:w="4130" w:type="dxa"/>
            <w:tcBorders>
              <w:tl2br w:val="nil"/>
              <w:tr2bl w:val="nil"/>
            </w:tcBorders>
            <w:noWrap w:val="0"/>
            <w:vAlign w:val="center"/>
          </w:tcPr>
          <w:p w14:paraId="07F1B9C6">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城镇污水污染控制措施要求</w:t>
            </w:r>
          </w:p>
          <w:p w14:paraId="602BF465">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工业废水污染控制措施要求</w:t>
            </w:r>
          </w:p>
          <w:p w14:paraId="3E49A1C0">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1、深入实施工业企业污水处理设施升级改造，全面实现工业废水达标排放。2、强化工业集聚区污水治理，推进工业污水集中处理设施及配套收集系统建设与提标升级改造，大力推进现有污水收集、处理设施问题排查及整治；完善园区及企业雨污分流系统，全面推进医药、化工等行业初期雨水收集处理，推动有条件的园区实施入园企业“一企一管、明管输送、实时监测”。3、加强工业园区集中污水处理设施运行监管</w:t>
            </w:r>
            <w:r>
              <w:rPr>
                <w:rStyle w:val="58"/>
                <w:rFonts w:hint="eastAsia" w:eastAsia="宋体" w:cs="Times New Roman"/>
                <w:color w:val="auto"/>
                <w:kern w:val="2"/>
                <w:sz w:val="21"/>
                <w:szCs w:val="21"/>
                <w:lang w:val="en-US" w:eastAsia="zh-CN" w:bidi="ar-SA"/>
              </w:rPr>
              <w:t>，加</w:t>
            </w:r>
            <w:r>
              <w:rPr>
                <w:rStyle w:val="58"/>
                <w:rFonts w:hint="default" w:ascii="Times New Roman" w:hAnsi="Times New Roman" w:eastAsia="宋体" w:cs="Times New Roman"/>
                <w:color w:val="auto"/>
                <w:kern w:val="2"/>
                <w:sz w:val="21"/>
                <w:szCs w:val="21"/>
                <w:lang w:val="en-US" w:eastAsia="zh-CN" w:bidi="ar-SA"/>
              </w:rPr>
              <w:t>强企业废水预处理和排水管理，鼓励纳管企业与园区污水处理厂运营单位通过签订委托处理合同等方式协同处理废水。4、加强新化学物质环境管理，严格执行《新化学物质环境管理登记办法》，落实企业新化学物质环境风险防控主体责任。落实国家《优先控制化学品名录（第一批）》《优先控制化学品名录（第二批）》《重点管控新污染物清单（2023年版）》环境风险管控措施。</w:t>
            </w:r>
          </w:p>
          <w:p w14:paraId="6C7A90D9">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农业面源水污染控制措施要求</w:t>
            </w:r>
          </w:p>
          <w:p w14:paraId="41DE69C7">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p>
          <w:p w14:paraId="5927C8EE">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船舶港口水污染控制措施要求</w:t>
            </w:r>
          </w:p>
          <w:p w14:paraId="3656CC6F">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p>
          <w:p w14:paraId="68865465">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饮用水水源和</w:t>
            </w:r>
            <w:r>
              <w:rPr>
                <w:rStyle w:val="58"/>
                <w:rFonts w:hint="eastAsia" w:eastAsia="宋体" w:cs="Times New Roman"/>
                <w:color w:val="auto"/>
                <w:kern w:val="2"/>
                <w:sz w:val="21"/>
                <w:szCs w:val="21"/>
                <w:lang w:val="en-US" w:eastAsia="zh-CN" w:bidi="ar-SA"/>
              </w:rPr>
              <w:t>其他</w:t>
            </w:r>
            <w:r>
              <w:rPr>
                <w:rStyle w:val="58"/>
                <w:rFonts w:hint="default" w:ascii="Times New Roman" w:hAnsi="Times New Roman" w:eastAsia="宋体" w:cs="Times New Roman"/>
                <w:color w:val="auto"/>
                <w:kern w:val="2"/>
                <w:sz w:val="21"/>
                <w:szCs w:val="21"/>
                <w:lang w:val="en-US" w:eastAsia="zh-CN" w:bidi="ar-SA"/>
              </w:rPr>
              <w:t>特殊水体保护要求</w:t>
            </w:r>
          </w:p>
        </w:tc>
        <w:tc>
          <w:tcPr>
            <w:tcW w:w="1612" w:type="dxa"/>
            <w:tcBorders>
              <w:tl2br w:val="nil"/>
              <w:tr2bl w:val="nil"/>
            </w:tcBorders>
            <w:noWrap w:val="0"/>
            <w:vAlign w:val="center"/>
          </w:tcPr>
          <w:p w14:paraId="0817E30F">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本项目为新建工业废水处理厂及其配套</w:t>
            </w:r>
            <w:r>
              <w:rPr>
                <w:rStyle w:val="58"/>
                <w:rFonts w:hint="eastAsia" w:eastAsia="宋体" w:cs="Times New Roman"/>
                <w:color w:val="auto"/>
                <w:kern w:val="2"/>
                <w:sz w:val="21"/>
                <w:szCs w:val="21"/>
                <w:lang w:val="en-US" w:eastAsia="zh-CN" w:bidi="ar-SA"/>
              </w:rPr>
              <w:t>管</w:t>
            </w:r>
            <w:r>
              <w:rPr>
                <w:rStyle w:val="58"/>
                <w:rFonts w:hint="default" w:ascii="Times New Roman" w:hAnsi="Times New Roman" w:eastAsia="宋体" w:cs="Times New Roman"/>
                <w:color w:val="auto"/>
                <w:kern w:val="2"/>
                <w:sz w:val="21"/>
                <w:szCs w:val="21"/>
                <w:lang w:val="en-US" w:eastAsia="zh-CN" w:bidi="ar-SA"/>
              </w:rPr>
              <w:t>网建设项目，项目建成后，园区企业工业废水经污水管网进入本项目处理，能够实现曾口区块工业废水达标排放；</w:t>
            </w:r>
          </w:p>
        </w:tc>
        <w:tc>
          <w:tcPr>
            <w:tcW w:w="494" w:type="dxa"/>
            <w:tcBorders>
              <w:tl2br w:val="nil"/>
              <w:tr2bl w:val="nil"/>
            </w:tcBorders>
            <w:noWrap w:val="0"/>
            <w:vAlign w:val="center"/>
          </w:tcPr>
          <w:p w14:paraId="5FCDCED7">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符合</w:t>
            </w:r>
          </w:p>
        </w:tc>
      </w:tr>
      <w:tr w14:paraId="083B17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642C0472">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YS5119022210003</w:t>
            </w:r>
          </w:p>
        </w:tc>
        <w:tc>
          <w:tcPr>
            <w:tcW w:w="912" w:type="dxa"/>
            <w:vMerge w:val="continue"/>
            <w:tcBorders>
              <w:tl2br w:val="nil"/>
              <w:tr2bl w:val="nil"/>
            </w:tcBorders>
            <w:noWrap w:val="0"/>
            <w:vAlign w:val="center"/>
          </w:tcPr>
          <w:p w14:paraId="13D9156A">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巴河-巴州区-手傍岩-控制单元</w:t>
            </w:r>
          </w:p>
        </w:tc>
        <w:tc>
          <w:tcPr>
            <w:tcW w:w="4669" w:type="dxa"/>
            <w:vMerge w:val="continue"/>
            <w:tcBorders>
              <w:tl2br w:val="nil"/>
              <w:tr2bl w:val="nil"/>
            </w:tcBorders>
            <w:noWrap w:val="0"/>
            <w:vAlign w:val="center"/>
          </w:tcPr>
          <w:p w14:paraId="485B6D2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空间布局约束：</w:t>
            </w:r>
          </w:p>
          <w:p w14:paraId="78FAD64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禁止开发建设活动的要求</w:t>
            </w:r>
          </w:p>
          <w:p w14:paraId="704D13F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75D169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限制开发建设活动的要求</w:t>
            </w:r>
          </w:p>
          <w:p w14:paraId="26A1F82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D88179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不符合空间布局要求活动的退出要求</w:t>
            </w:r>
          </w:p>
          <w:p w14:paraId="3FFD4A1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0CE9843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其他空间布局约束要求</w:t>
            </w:r>
          </w:p>
          <w:p w14:paraId="7750F5A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E6D4DD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污染物排放管控：</w:t>
            </w:r>
          </w:p>
          <w:p w14:paraId="747FFE8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允许排放量要求</w:t>
            </w:r>
          </w:p>
          <w:p w14:paraId="50F0509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ADDF18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现有源提标升级改造</w:t>
            </w:r>
          </w:p>
          <w:p w14:paraId="5996CA0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4F68D3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其他污染物排放管控要求</w:t>
            </w:r>
          </w:p>
          <w:p w14:paraId="6498BED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849E48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环境风险防控：</w:t>
            </w:r>
          </w:p>
          <w:p w14:paraId="7DC0775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联防联控要求</w:t>
            </w:r>
          </w:p>
          <w:p w14:paraId="2543099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43973C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其他环境风险防控要求</w:t>
            </w:r>
          </w:p>
          <w:p w14:paraId="780AB7B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D0D9F9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资源开发利用效率要求：</w:t>
            </w:r>
          </w:p>
          <w:p w14:paraId="3BAE976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水资源利用总量要求</w:t>
            </w:r>
          </w:p>
          <w:p w14:paraId="2A14E67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F16CDB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地下水开采要求</w:t>
            </w:r>
          </w:p>
          <w:p w14:paraId="73F1B0C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2C3677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能源利用总量及效率要求</w:t>
            </w:r>
          </w:p>
          <w:p w14:paraId="12E74F3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2C87D8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禁燃区要求</w:t>
            </w:r>
          </w:p>
          <w:p w14:paraId="3B487D5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F7FCBE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其他资源利用效率要求</w:t>
            </w:r>
          </w:p>
          <w:p w14:paraId="2DABB15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0B2C76B2">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环境风险防控</w:t>
            </w:r>
          </w:p>
        </w:tc>
        <w:tc>
          <w:tcPr>
            <w:tcW w:w="4130" w:type="dxa"/>
            <w:tcBorders>
              <w:tl2br w:val="nil"/>
              <w:tr2bl w:val="nil"/>
            </w:tcBorders>
            <w:noWrap w:val="0"/>
            <w:vAlign w:val="center"/>
          </w:tcPr>
          <w:p w14:paraId="5924D968">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禁止在长江干支流岸线一公里范围内新建、扩建化工园区和化工项目。按要求设置生态隔离带，建设相应的防护工程。合理设置与抗风险能力相匹配的事故调蓄设施和环境应急措施。强化工业园区环境风险防控工作，突出全防全控，完善各项环境风险防范制度，确保将风险防范纳入日常环境管理制度体系。加强执法监督，实现对工业园区、重点工矿企业和主要环境风险类型的动态监控。</w:t>
            </w:r>
          </w:p>
        </w:tc>
        <w:tc>
          <w:tcPr>
            <w:tcW w:w="1612" w:type="dxa"/>
            <w:tcBorders>
              <w:tl2br w:val="nil"/>
              <w:tr2bl w:val="nil"/>
            </w:tcBorders>
            <w:noWrap w:val="0"/>
            <w:vAlign w:val="center"/>
          </w:tcPr>
          <w:p w14:paraId="03333AA1">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本项目为工业污水处理项目，并设置了隔离带</w:t>
            </w:r>
            <w:r>
              <w:rPr>
                <w:rStyle w:val="58"/>
                <w:rFonts w:hint="eastAsia" w:eastAsia="宋体" w:cs="Times New Roman"/>
                <w:color w:val="auto"/>
                <w:kern w:val="2"/>
                <w:sz w:val="21"/>
                <w:szCs w:val="21"/>
                <w:lang w:val="en-US" w:eastAsia="zh-CN" w:bidi="ar-SA"/>
              </w:rPr>
              <w:t>和</w:t>
            </w:r>
            <w:r>
              <w:rPr>
                <w:rStyle w:val="58"/>
                <w:rFonts w:hint="default" w:ascii="Times New Roman" w:hAnsi="Times New Roman" w:eastAsia="宋体" w:cs="Times New Roman"/>
                <w:color w:val="auto"/>
                <w:kern w:val="2"/>
                <w:sz w:val="21"/>
                <w:szCs w:val="21"/>
                <w:lang w:val="en-US" w:eastAsia="zh-CN" w:bidi="ar-SA"/>
              </w:rPr>
              <w:t>相应防护措施，并完善了各项环境风险防控措施，能够满足要求</w:t>
            </w:r>
          </w:p>
        </w:tc>
        <w:tc>
          <w:tcPr>
            <w:tcW w:w="494" w:type="dxa"/>
            <w:tcBorders>
              <w:tl2br w:val="nil"/>
              <w:tr2bl w:val="nil"/>
            </w:tcBorders>
            <w:noWrap w:val="0"/>
            <w:vAlign w:val="center"/>
          </w:tcPr>
          <w:p w14:paraId="36F257C1">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符合</w:t>
            </w:r>
          </w:p>
        </w:tc>
      </w:tr>
      <w:tr w14:paraId="5585A3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7816D6C9">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YS5119022210003</w:t>
            </w:r>
          </w:p>
        </w:tc>
        <w:tc>
          <w:tcPr>
            <w:tcW w:w="912" w:type="dxa"/>
            <w:vMerge w:val="continue"/>
            <w:tcBorders>
              <w:tl2br w:val="nil"/>
              <w:tr2bl w:val="nil"/>
            </w:tcBorders>
            <w:noWrap w:val="0"/>
            <w:vAlign w:val="center"/>
          </w:tcPr>
          <w:p w14:paraId="5CBAC178">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巴河-巴州区-手傍岩-控制单元</w:t>
            </w:r>
          </w:p>
        </w:tc>
        <w:tc>
          <w:tcPr>
            <w:tcW w:w="4669" w:type="dxa"/>
            <w:vMerge w:val="continue"/>
            <w:tcBorders>
              <w:tl2br w:val="nil"/>
              <w:tr2bl w:val="nil"/>
            </w:tcBorders>
            <w:noWrap w:val="0"/>
            <w:vAlign w:val="center"/>
          </w:tcPr>
          <w:p w14:paraId="4EE4349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空间布局约束：</w:t>
            </w:r>
          </w:p>
          <w:p w14:paraId="0543715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禁止开发建设活动的要求</w:t>
            </w:r>
          </w:p>
          <w:p w14:paraId="1B303F0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572290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限制开发建设活动的要求</w:t>
            </w:r>
          </w:p>
          <w:p w14:paraId="0989E95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23DB19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不符合空间布局要求活动的退出要求</w:t>
            </w:r>
          </w:p>
          <w:p w14:paraId="4D14ADB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94A273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其他空间布局约束要求</w:t>
            </w:r>
          </w:p>
          <w:p w14:paraId="5F43562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64E1AB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污染物排放管控：</w:t>
            </w:r>
          </w:p>
          <w:p w14:paraId="42487AE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允许排放量要求</w:t>
            </w:r>
          </w:p>
          <w:p w14:paraId="69A0BC1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B65477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现有源提标升级改造</w:t>
            </w:r>
          </w:p>
          <w:p w14:paraId="64BF284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EB8FC0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其他污染物排放管控要求</w:t>
            </w:r>
          </w:p>
          <w:p w14:paraId="11FDFF8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3D2A6B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环境风险防控：</w:t>
            </w:r>
          </w:p>
          <w:p w14:paraId="2319C5F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联防联控要求</w:t>
            </w:r>
          </w:p>
          <w:p w14:paraId="56052E5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B2F9FB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其他环境风险防控要求</w:t>
            </w:r>
          </w:p>
          <w:p w14:paraId="7AEB80B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E910DE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资源开发利用效率要求：</w:t>
            </w:r>
          </w:p>
          <w:p w14:paraId="2636BEE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水资源利用总量要求</w:t>
            </w:r>
          </w:p>
          <w:p w14:paraId="4F936FD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9BD487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地下水开采要求</w:t>
            </w:r>
          </w:p>
          <w:p w14:paraId="4A10D52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4AD92A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能源利用总量及效率要求</w:t>
            </w:r>
          </w:p>
          <w:p w14:paraId="4D77ACA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B99DA6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禁燃区要求</w:t>
            </w:r>
          </w:p>
          <w:p w14:paraId="6D176DA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6F0E1B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其他资源利用效率要求</w:t>
            </w:r>
          </w:p>
          <w:p w14:paraId="44C1CCE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632E572B">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资源开发效率要求</w:t>
            </w:r>
          </w:p>
        </w:tc>
        <w:tc>
          <w:tcPr>
            <w:tcW w:w="4130" w:type="dxa"/>
            <w:tcBorders>
              <w:tl2br w:val="nil"/>
              <w:tr2bl w:val="nil"/>
            </w:tcBorders>
            <w:noWrap w:val="0"/>
            <w:vAlign w:val="center"/>
          </w:tcPr>
          <w:p w14:paraId="3B9EA4A6">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加强高耗水行业用水定额管理，以水定产，严格控制高耗水新建、改建、扩建项目。</w:t>
            </w:r>
          </w:p>
        </w:tc>
        <w:tc>
          <w:tcPr>
            <w:tcW w:w="1612" w:type="dxa"/>
            <w:tcBorders>
              <w:tl2br w:val="nil"/>
              <w:tr2bl w:val="nil"/>
            </w:tcBorders>
            <w:noWrap w:val="0"/>
            <w:vAlign w:val="center"/>
          </w:tcPr>
          <w:p w14:paraId="54ED929B">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本项目不属于高耗水项目</w:t>
            </w:r>
          </w:p>
        </w:tc>
        <w:tc>
          <w:tcPr>
            <w:tcW w:w="494" w:type="dxa"/>
            <w:tcBorders>
              <w:tl2br w:val="nil"/>
              <w:tr2bl w:val="nil"/>
            </w:tcBorders>
            <w:noWrap w:val="0"/>
            <w:vAlign w:val="center"/>
          </w:tcPr>
          <w:p w14:paraId="4B961088">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符合</w:t>
            </w:r>
          </w:p>
        </w:tc>
      </w:tr>
      <w:tr w14:paraId="3B992E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restart"/>
            <w:tcBorders>
              <w:tl2br w:val="nil"/>
              <w:tr2bl w:val="nil"/>
            </w:tcBorders>
            <w:noWrap w:val="0"/>
            <w:vAlign w:val="center"/>
          </w:tcPr>
          <w:p w14:paraId="40EB8523">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YS5119022310003</w:t>
            </w:r>
          </w:p>
        </w:tc>
        <w:tc>
          <w:tcPr>
            <w:tcW w:w="912" w:type="dxa"/>
            <w:vMerge w:val="restart"/>
            <w:tcBorders>
              <w:tl2br w:val="nil"/>
              <w:tr2bl w:val="nil"/>
            </w:tcBorders>
            <w:noWrap w:val="0"/>
            <w:vAlign w:val="center"/>
          </w:tcPr>
          <w:p w14:paraId="4A3ACB68">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巴中新能源新材料产业园（曾口区块）</w:t>
            </w:r>
          </w:p>
        </w:tc>
        <w:tc>
          <w:tcPr>
            <w:tcW w:w="4669" w:type="dxa"/>
            <w:vMerge w:val="continue"/>
            <w:tcBorders>
              <w:tl2br w:val="nil"/>
              <w:tr2bl w:val="nil"/>
            </w:tcBorders>
            <w:noWrap w:val="0"/>
            <w:vAlign w:val="center"/>
          </w:tcPr>
          <w:p w14:paraId="357713D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空间布局约束：</w:t>
            </w:r>
          </w:p>
          <w:p w14:paraId="75F3222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禁止开发建设活动的要求</w:t>
            </w:r>
          </w:p>
          <w:p w14:paraId="03495CE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005FBAE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限制开发建设活动的要求</w:t>
            </w:r>
          </w:p>
          <w:p w14:paraId="11CA214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91FF85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不符合空间布局要求活动的退出要求</w:t>
            </w:r>
          </w:p>
          <w:p w14:paraId="3305FCB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D7E7C9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其他空间布局约束要求</w:t>
            </w:r>
          </w:p>
          <w:p w14:paraId="4E860AD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800DD3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污染物排放管控：</w:t>
            </w:r>
          </w:p>
          <w:p w14:paraId="5FA99BA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允许排放量要求</w:t>
            </w:r>
          </w:p>
          <w:p w14:paraId="014C363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45A673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现有源提标升级改造</w:t>
            </w:r>
          </w:p>
          <w:p w14:paraId="5F0B0DE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F10DD4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其他污染物排放管控要求</w:t>
            </w:r>
          </w:p>
          <w:p w14:paraId="47FFA96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9773F9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环境风险防控：</w:t>
            </w:r>
          </w:p>
          <w:p w14:paraId="7818DEC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联防联控要求</w:t>
            </w:r>
          </w:p>
          <w:p w14:paraId="12F24D3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209BD1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其他环境风险防控要求</w:t>
            </w:r>
          </w:p>
          <w:p w14:paraId="38CB788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2BD820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资源开发利用效率要求：</w:t>
            </w:r>
          </w:p>
          <w:p w14:paraId="0C42378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水资源利用总量要求</w:t>
            </w:r>
          </w:p>
          <w:p w14:paraId="4DE60C0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271460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地下水开采要求</w:t>
            </w:r>
          </w:p>
          <w:p w14:paraId="783ADBC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087FC7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能源利用总量及效率要求</w:t>
            </w:r>
          </w:p>
          <w:p w14:paraId="4C401F8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F2517E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禁燃区要求</w:t>
            </w:r>
          </w:p>
          <w:p w14:paraId="0D03C15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E5ECA5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其他资源利用效率要求</w:t>
            </w:r>
          </w:p>
          <w:p w14:paraId="6D000E7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21CAF9E2">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空间布局约束</w:t>
            </w:r>
          </w:p>
        </w:tc>
        <w:tc>
          <w:tcPr>
            <w:tcW w:w="4130" w:type="dxa"/>
            <w:tcBorders>
              <w:tl2br w:val="nil"/>
              <w:tr2bl w:val="nil"/>
            </w:tcBorders>
            <w:noWrap w:val="0"/>
            <w:vAlign w:val="center"/>
          </w:tcPr>
          <w:p w14:paraId="10F2CB32">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禁止开发建设活动的要求</w:t>
            </w:r>
          </w:p>
          <w:p w14:paraId="286B7D78">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p w14:paraId="1018DA75">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限制开发建设活动的要求</w:t>
            </w:r>
          </w:p>
          <w:p w14:paraId="3B0CD4AE">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p w14:paraId="568DC3E2">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允许开发建设活动的要求</w:t>
            </w:r>
          </w:p>
          <w:p w14:paraId="5D5E87FA">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p w14:paraId="4B6DCC67">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不符合空间布局要求活动的退出要求</w:t>
            </w:r>
          </w:p>
          <w:p w14:paraId="5990D66B">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p w14:paraId="089604BD">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其他空间布局约束要求</w:t>
            </w:r>
          </w:p>
          <w:p w14:paraId="4F5C0595">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7804B482">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满足要求</w:t>
            </w:r>
          </w:p>
        </w:tc>
        <w:tc>
          <w:tcPr>
            <w:tcW w:w="494" w:type="dxa"/>
            <w:tcBorders>
              <w:tl2br w:val="nil"/>
              <w:tr2bl w:val="nil"/>
            </w:tcBorders>
            <w:noWrap w:val="0"/>
            <w:vAlign w:val="center"/>
          </w:tcPr>
          <w:p w14:paraId="644DDD5E">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符合</w:t>
            </w:r>
          </w:p>
        </w:tc>
      </w:tr>
      <w:tr w14:paraId="7FB439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2B5D9EF4">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YS5119022310003</w:t>
            </w:r>
          </w:p>
        </w:tc>
        <w:tc>
          <w:tcPr>
            <w:tcW w:w="912" w:type="dxa"/>
            <w:vMerge w:val="continue"/>
            <w:tcBorders>
              <w:tl2br w:val="nil"/>
              <w:tr2bl w:val="nil"/>
            </w:tcBorders>
            <w:noWrap w:val="0"/>
            <w:vAlign w:val="center"/>
          </w:tcPr>
          <w:p w14:paraId="42959C45">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巴中新能源新材料产业园（曾口区块）</w:t>
            </w:r>
          </w:p>
        </w:tc>
        <w:tc>
          <w:tcPr>
            <w:tcW w:w="4669" w:type="dxa"/>
            <w:vMerge w:val="continue"/>
            <w:tcBorders>
              <w:tl2br w:val="nil"/>
              <w:tr2bl w:val="nil"/>
            </w:tcBorders>
            <w:noWrap w:val="0"/>
            <w:vAlign w:val="center"/>
          </w:tcPr>
          <w:p w14:paraId="7769073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空间布局约束：</w:t>
            </w:r>
          </w:p>
          <w:p w14:paraId="0C00A28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禁止开发建设活动的要求</w:t>
            </w:r>
          </w:p>
          <w:p w14:paraId="3D74DCF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B1F2DC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限制开发建设活动的要求</w:t>
            </w:r>
          </w:p>
          <w:p w14:paraId="19A1F9E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A9642A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不符合空间布局要求活动的退出要求</w:t>
            </w:r>
          </w:p>
          <w:p w14:paraId="69515DC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0AE757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其他空间布局约束要求</w:t>
            </w:r>
          </w:p>
          <w:p w14:paraId="5B138C5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0BD3FE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污染物排放管控：</w:t>
            </w:r>
          </w:p>
          <w:p w14:paraId="7DC6485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允许排放量要求</w:t>
            </w:r>
          </w:p>
          <w:p w14:paraId="01F7E53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DA1CE1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现有源提标升级改造</w:t>
            </w:r>
          </w:p>
          <w:p w14:paraId="3EDA5D2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E324AB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其他污染物排放管控要求</w:t>
            </w:r>
          </w:p>
          <w:p w14:paraId="6D58000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21C913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环境风险防控：</w:t>
            </w:r>
          </w:p>
          <w:p w14:paraId="47CD546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联防联控要求</w:t>
            </w:r>
          </w:p>
          <w:p w14:paraId="19B6588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102BEF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其他环境风险防控要求</w:t>
            </w:r>
          </w:p>
          <w:p w14:paraId="5ED0A65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70F48F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资源开发利用效率要求：</w:t>
            </w:r>
          </w:p>
          <w:p w14:paraId="50721DE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水资源利用总量要求</w:t>
            </w:r>
          </w:p>
          <w:p w14:paraId="1683825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884C05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地下水开采要求</w:t>
            </w:r>
          </w:p>
          <w:p w14:paraId="6510FCF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85FEE4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能源利用总量及效率要求</w:t>
            </w:r>
          </w:p>
          <w:p w14:paraId="1408095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64040C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禁燃区要求</w:t>
            </w:r>
          </w:p>
          <w:p w14:paraId="7D2E517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572B8A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其他资源利用效率要求</w:t>
            </w:r>
          </w:p>
          <w:p w14:paraId="7794500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18A60360">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污染物排放管控</w:t>
            </w:r>
          </w:p>
        </w:tc>
        <w:tc>
          <w:tcPr>
            <w:tcW w:w="4130" w:type="dxa"/>
            <w:tcBorders>
              <w:tl2br w:val="nil"/>
              <w:tr2bl w:val="nil"/>
            </w:tcBorders>
            <w:noWrap w:val="0"/>
            <w:vAlign w:val="center"/>
          </w:tcPr>
          <w:p w14:paraId="7B34FF69">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大气环境质量执行标准</w:t>
            </w:r>
          </w:p>
          <w:p w14:paraId="2DDF73D7">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《环境空气质量标准》（GB3095-2012）：二级</w:t>
            </w:r>
          </w:p>
          <w:p w14:paraId="4D368A47">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区域大气污染物削减/替代要求</w:t>
            </w:r>
          </w:p>
          <w:p w14:paraId="00F528D5">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p w14:paraId="2A398380">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燃煤和其他能源大气污染控制要求</w:t>
            </w:r>
          </w:p>
          <w:p w14:paraId="59B4D40E">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p w14:paraId="326781CB">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工业废气污染控制要求</w:t>
            </w:r>
          </w:p>
          <w:p w14:paraId="36CC3332">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1、全面淘汰10蒸吨/小时及以下燃煤锅炉，原则上不再新建35蒸吨/小时及以下的燃煤锅炉，推进县级及以上城市建成区淘汰35蒸吨/小时及以下燃煤锅炉，以工业余热、电厂热力、清洁能源等替代煤炭。</w:t>
            </w:r>
          </w:p>
          <w:p w14:paraId="2D78D37E">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2、加快推进火电、钢铁、铸造（含烧结、球团、高炉工序）水泥、焦化行业燃煤锅炉和工业炉窑超低排放改造及深度治理。稳步实施陶瓷、玻璃、铁合金、有色、砖瓦等行业企业深度治理，推进工业炉窑煤改电（气）和低氮燃烧改造。全面加强钢铁、建材、有色、焦化、铸造重点行业无组织排放治理。生物质锅炉采用专用锅炉，配套布袋等高效除尘设施，禁止掺烧煤炭、垃圾等其他物料。</w:t>
            </w:r>
          </w:p>
          <w:p w14:paraId="105BBAE4">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机动车船大气污染控制要求</w:t>
            </w:r>
          </w:p>
          <w:p w14:paraId="447F0EA4">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p w14:paraId="359365A7">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扬尘污染控制要求</w:t>
            </w:r>
          </w:p>
          <w:p w14:paraId="1D9566DB">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p w14:paraId="6A0A0299">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农业生产经营活动大气污染控制要求</w:t>
            </w:r>
          </w:p>
          <w:p w14:paraId="3F5AD18A">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p w14:paraId="4961DC0C">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重点行业企业专项治理要求</w:t>
            </w:r>
          </w:p>
          <w:p w14:paraId="2019FC33">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加快实施低VOCs含量原辅材料替代。持续开展VOCs治理设施提级增效，对采用单一低温等离子、光氧化、光催化以及非水溶性VOCs废气采用单一喷淋吸收等治理技术且无法稳定达标的，加快推进升级改造。强化VOCs无组织排放整治。石化、化工等行业加强非正常工况废气排放管控。推进涉VOCs产业集群治理提升</w:t>
            </w:r>
          </w:p>
          <w:p w14:paraId="7AEBCC1D">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其他大气污染物排放管控要求</w:t>
            </w:r>
          </w:p>
          <w:p w14:paraId="27CAB8F3">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30685748">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本项目所在地大气环境质量满足《环境空气质量标准》（GB3095-2012）中二级要求；项目不使用锅炉和工业炉窑，不属于上述高污染企业；不涉及VOCs相关原辅料的使用；污水处理产生的废气经措施处理后能够达标排放，对周边大气环境影响较小。</w:t>
            </w:r>
          </w:p>
          <w:p w14:paraId="3CFCF8D3">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p>
        </w:tc>
        <w:tc>
          <w:tcPr>
            <w:tcW w:w="494" w:type="dxa"/>
            <w:tcBorders>
              <w:tl2br w:val="nil"/>
              <w:tr2bl w:val="nil"/>
            </w:tcBorders>
            <w:noWrap w:val="0"/>
            <w:vAlign w:val="center"/>
          </w:tcPr>
          <w:p w14:paraId="2BFA50F0">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符合</w:t>
            </w:r>
          </w:p>
        </w:tc>
      </w:tr>
      <w:tr w14:paraId="44D58F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784C11EA">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YS5119022310003</w:t>
            </w:r>
          </w:p>
        </w:tc>
        <w:tc>
          <w:tcPr>
            <w:tcW w:w="912" w:type="dxa"/>
            <w:vMerge w:val="continue"/>
            <w:tcBorders>
              <w:tl2br w:val="nil"/>
              <w:tr2bl w:val="nil"/>
            </w:tcBorders>
            <w:noWrap w:val="0"/>
            <w:vAlign w:val="center"/>
          </w:tcPr>
          <w:p w14:paraId="4AEFBA49">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巴中新能源新材料产业园（曾口区块）</w:t>
            </w:r>
          </w:p>
        </w:tc>
        <w:tc>
          <w:tcPr>
            <w:tcW w:w="4669" w:type="dxa"/>
            <w:vMerge w:val="continue"/>
            <w:tcBorders>
              <w:tl2br w:val="nil"/>
              <w:tr2bl w:val="nil"/>
            </w:tcBorders>
            <w:noWrap w:val="0"/>
            <w:vAlign w:val="center"/>
          </w:tcPr>
          <w:p w14:paraId="710F840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空间布局约束：</w:t>
            </w:r>
          </w:p>
          <w:p w14:paraId="221102B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禁止开发建设活动的要求</w:t>
            </w:r>
          </w:p>
          <w:p w14:paraId="642BE3A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B512B4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限制开发建设活动的要求</w:t>
            </w:r>
          </w:p>
          <w:p w14:paraId="15A8A2A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300FB6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不符合空间布局要求活动的退出要求</w:t>
            </w:r>
          </w:p>
          <w:p w14:paraId="30F80CE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18F682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其他空间布局约束要求</w:t>
            </w:r>
          </w:p>
          <w:p w14:paraId="13AB100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9A1EA4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污染物排放管控：</w:t>
            </w:r>
          </w:p>
          <w:p w14:paraId="75DBF9F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允许排放量要求</w:t>
            </w:r>
          </w:p>
          <w:p w14:paraId="650F1D5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9773A3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现有源提标升级改造</w:t>
            </w:r>
          </w:p>
          <w:p w14:paraId="5128EF3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8AD890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其他污染物排放管控要求</w:t>
            </w:r>
          </w:p>
          <w:p w14:paraId="6CE2F52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6C61D4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环境风险防控：</w:t>
            </w:r>
          </w:p>
          <w:p w14:paraId="1CBA13B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联防联控要求</w:t>
            </w:r>
          </w:p>
          <w:p w14:paraId="1636C48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8771AC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其他环境风险防控要求</w:t>
            </w:r>
          </w:p>
          <w:p w14:paraId="5781D7C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C4E750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资源开发利用效率要求：</w:t>
            </w:r>
          </w:p>
          <w:p w14:paraId="513EF58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水资源利用总量要求</w:t>
            </w:r>
          </w:p>
          <w:p w14:paraId="0174B72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C11231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地下水开采要求</w:t>
            </w:r>
          </w:p>
          <w:p w14:paraId="56FA9FE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16E72E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能源利用总量及效率要求</w:t>
            </w:r>
          </w:p>
          <w:p w14:paraId="3E3D6A8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8DE457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禁燃区要求</w:t>
            </w:r>
          </w:p>
          <w:p w14:paraId="2AC4942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5CB306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其他资源利用效率要求</w:t>
            </w:r>
          </w:p>
          <w:p w14:paraId="414ED7E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720264B5">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环境风险防控</w:t>
            </w:r>
          </w:p>
        </w:tc>
        <w:tc>
          <w:tcPr>
            <w:tcW w:w="4130" w:type="dxa"/>
            <w:vMerge w:val="restart"/>
            <w:tcBorders>
              <w:tl2br w:val="nil"/>
              <w:tr2bl w:val="nil"/>
            </w:tcBorders>
            <w:noWrap w:val="0"/>
            <w:vAlign w:val="center"/>
          </w:tcPr>
          <w:p w14:paraId="6A993854">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54CB99E8">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tc>
        <w:tc>
          <w:tcPr>
            <w:tcW w:w="494" w:type="dxa"/>
            <w:tcBorders>
              <w:tl2br w:val="nil"/>
              <w:tr2bl w:val="nil"/>
            </w:tcBorders>
            <w:noWrap w:val="0"/>
            <w:vAlign w:val="center"/>
          </w:tcPr>
          <w:p w14:paraId="6303C90B">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符合</w:t>
            </w:r>
          </w:p>
        </w:tc>
      </w:tr>
      <w:tr w14:paraId="20106F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6A32F2A1">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YS5119022310003</w:t>
            </w:r>
          </w:p>
        </w:tc>
        <w:tc>
          <w:tcPr>
            <w:tcW w:w="912" w:type="dxa"/>
            <w:vMerge w:val="continue"/>
            <w:tcBorders>
              <w:tl2br w:val="nil"/>
              <w:tr2bl w:val="nil"/>
            </w:tcBorders>
            <w:noWrap w:val="0"/>
            <w:vAlign w:val="center"/>
          </w:tcPr>
          <w:p w14:paraId="28980390">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巴中新能源新材料产业园（曾口区块）</w:t>
            </w:r>
          </w:p>
        </w:tc>
        <w:tc>
          <w:tcPr>
            <w:tcW w:w="4669" w:type="dxa"/>
            <w:vMerge w:val="continue"/>
            <w:tcBorders>
              <w:tl2br w:val="nil"/>
              <w:tr2bl w:val="nil"/>
            </w:tcBorders>
            <w:noWrap w:val="0"/>
            <w:vAlign w:val="center"/>
          </w:tcPr>
          <w:p w14:paraId="3137635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空间布局约束：</w:t>
            </w:r>
          </w:p>
          <w:p w14:paraId="5DDD619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禁止开发建设活动的要求</w:t>
            </w:r>
          </w:p>
          <w:p w14:paraId="05D4840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A9F8EB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限制开发建设活动的要求</w:t>
            </w:r>
          </w:p>
          <w:p w14:paraId="5C00F19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EDB9F8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不符合空间布局要求活动的退出要求</w:t>
            </w:r>
          </w:p>
          <w:p w14:paraId="7ABFB6B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B5B264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其他空间布局约束要求</w:t>
            </w:r>
          </w:p>
          <w:p w14:paraId="6EAC622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A99866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污染物排放管控：</w:t>
            </w:r>
          </w:p>
          <w:p w14:paraId="42F8E10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允许排放量要求</w:t>
            </w:r>
          </w:p>
          <w:p w14:paraId="737620D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08BA5D0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现有源提标升级改造</w:t>
            </w:r>
          </w:p>
          <w:p w14:paraId="50DACF6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F40D95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其他污染物排放管控要求</w:t>
            </w:r>
          </w:p>
          <w:p w14:paraId="3342196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8949D6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环境风险防控：</w:t>
            </w:r>
          </w:p>
          <w:p w14:paraId="656885D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联防联控要求</w:t>
            </w:r>
          </w:p>
          <w:p w14:paraId="1B62DFA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F1BA45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其他环境风险防控要求</w:t>
            </w:r>
          </w:p>
          <w:p w14:paraId="3AD3B28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85B898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资源开发利用效率要求：</w:t>
            </w:r>
          </w:p>
          <w:p w14:paraId="4E6E0C7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水资源利用总量要求</w:t>
            </w:r>
          </w:p>
          <w:p w14:paraId="5FB42E8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025AFD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地下水开采要求</w:t>
            </w:r>
          </w:p>
          <w:p w14:paraId="37BE0F9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D35DC1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能源利用总量及效率要求</w:t>
            </w:r>
          </w:p>
          <w:p w14:paraId="4396B20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A90357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禁燃区要求</w:t>
            </w:r>
          </w:p>
          <w:p w14:paraId="66323FF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0E71059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其他资源利用效率要求</w:t>
            </w:r>
          </w:p>
          <w:p w14:paraId="6672E69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1C31DB8D">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资源开发效率要求</w:t>
            </w:r>
          </w:p>
        </w:tc>
        <w:tc>
          <w:tcPr>
            <w:tcW w:w="4130" w:type="dxa"/>
            <w:vMerge w:val="continue"/>
            <w:tcBorders>
              <w:tl2br w:val="nil"/>
              <w:tr2bl w:val="nil"/>
            </w:tcBorders>
            <w:noWrap w:val="0"/>
            <w:vAlign w:val="center"/>
          </w:tcPr>
          <w:p w14:paraId="1922BA2D">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53BC6B56">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tc>
        <w:tc>
          <w:tcPr>
            <w:tcW w:w="494" w:type="dxa"/>
            <w:tcBorders>
              <w:tl2br w:val="nil"/>
              <w:tr2bl w:val="nil"/>
            </w:tcBorders>
            <w:noWrap w:val="0"/>
            <w:vAlign w:val="center"/>
          </w:tcPr>
          <w:p w14:paraId="4564E095">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符合</w:t>
            </w:r>
          </w:p>
        </w:tc>
      </w:tr>
      <w:tr w14:paraId="667B64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restart"/>
            <w:tcBorders>
              <w:tl2br w:val="nil"/>
              <w:tr2bl w:val="nil"/>
            </w:tcBorders>
            <w:noWrap w:val="0"/>
            <w:vAlign w:val="center"/>
          </w:tcPr>
          <w:p w14:paraId="7CA36B57">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YS5119022530001</w:t>
            </w:r>
          </w:p>
        </w:tc>
        <w:tc>
          <w:tcPr>
            <w:tcW w:w="912" w:type="dxa"/>
            <w:vMerge w:val="restart"/>
            <w:tcBorders>
              <w:tl2br w:val="nil"/>
              <w:tr2bl w:val="nil"/>
            </w:tcBorders>
            <w:noWrap w:val="0"/>
            <w:vAlign w:val="center"/>
          </w:tcPr>
          <w:p w14:paraId="4975E663">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巴州区城镇开发边界</w:t>
            </w:r>
          </w:p>
        </w:tc>
        <w:tc>
          <w:tcPr>
            <w:tcW w:w="4669" w:type="dxa"/>
            <w:vMerge w:val="continue"/>
            <w:tcBorders>
              <w:tl2br w:val="nil"/>
              <w:tr2bl w:val="nil"/>
            </w:tcBorders>
            <w:noWrap w:val="0"/>
            <w:vAlign w:val="center"/>
          </w:tcPr>
          <w:p w14:paraId="55A0082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空间布局约束：</w:t>
            </w:r>
          </w:p>
          <w:p w14:paraId="35BFFD9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禁止开发建设活动的要求</w:t>
            </w:r>
          </w:p>
          <w:p w14:paraId="0639E2A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46C080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限制开发建设活动的要求</w:t>
            </w:r>
          </w:p>
          <w:p w14:paraId="3B614E7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089939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不符合空间布局要求活动的退出要求</w:t>
            </w:r>
          </w:p>
          <w:p w14:paraId="16F5DB5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D806C9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其他空间布局约束要求</w:t>
            </w:r>
          </w:p>
          <w:p w14:paraId="7AB369E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3C391D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污染物排放管控：</w:t>
            </w:r>
          </w:p>
          <w:p w14:paraId="0926FB8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允许排放量要求</w:t>
            </w:r>
          </w:p>
          <w:p w14:paraId="746BE6A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BF3E12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现有源提标升级改造</w:t>
            </w:r>
          </w:p>
          <w:p w14:paraId="3D75DBA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555DA1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其他污染物排放管控要求</w:t>
            </w:r>
          </w:p>
          <w:p w14:paraId="2147779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0F88DC4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环境风险防控：</w:t>
            </w:r>
          </w:p>
          <w:p w14:paraId="106B035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联防联控要求</w:t>
            </w:r>
          </w:p>
          <w:p w14:paraId="544F2B3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FB1C55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其他环境风险防控要求</w:t>
            </w:r>
          </w:p>
          <w:p w14:paraId="1B6A8C4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69114B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资源开发利用效率要求：</w:t>
            </w:r>
          </w:p>
          <w:p w14:paraId="4F6754A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水资源利用总量要求</w:t>
            </w:r>
          </w:p>
          <w:p w14:paraId="29BD97E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0D31E9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地下水开采要求</w:t>
            </w:r>
          </w:p>
          <w:p w14:paraId="2A39CF7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EBA5CA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能源利用总量及效率要求</w:t>
            </w:r>
          </w:p>
          <w:p w14:paraId="67D962B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D67515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禁燃区要求</w:t>
            </w:r>
          </w:p>
          <w:p w14:paraId="4D0C191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E9516D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其他资源利用效率要求</w:t>
            </w:r>
          </w:p>
          <w:p w14:paraId="5BD3774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12A231C3">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空间布局约束</w:t>
            </w:r>
          </w:p>
        </w:tc>
        <w:tc>
          <w:tcPr>
            <w:tcW w:w="4130" w:type="dxa"/>
            <w:tcBorders>
              <w:tl2br w:val="nil"/>
              <w:tr2bl w:val="nil"/>
            </w:tcBorders>
            <w:noWrap w:val="0"/>
            <w:vAlign w:val="center"/>
          </w:tcPr>
          <w:p w14:paraId="49EE27F3">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1.以城镇开发建设现状为基础，综合考虑资源承载能力、人口分布、经济布局、城乡统筹、城镇无序蔓延科学预留一定比例的留白区，为未来发展留有开发空间城镇建设和发展不得违法违规侵占河道、湖面、滩地2.城镇开发边界调整报国土空间规划原审批机关审批</w:t>
            </w:r>
          </w:p>
        </w:tc>
        <w:tc>
          <w:tcPr>
            <w:tcW w:w="1612" w:type="dxa"/>
            <w:tcBorders>
              <w:tl2br w:val="nil"/>
              <w:tr2bl w:val="nil"/>
            </w:tcBorders>
            <w:noWrap w:val="0"/>
            <w:vAlign w:val="center"/>
          </w:tcPr>
          <w:p w14:paraId="5C048FCA">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满足要求</w:t>
            </w:r>
          </w:p>
        </w:tc>
        <w:tc>
          <w:tcPr>
            <w:tcW w:w="494" w:type="dxa"/>
            <w:tcBorders>
              <w:tl2br w:val="nil"/>
              <w:tr2bl w:val="nil"/>
            </w:tcBorders>
            <w:noWrap w:val="0"/>
            <w:vAlign w:val="center"/>
          </w:tcPr>
          <w:p w14:paraId="5881CD0B">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符合</w:t>
            </w:r>
          </w:p>
        </w:tc>
      </w:tr>
      <w:tr w14:paraId="464047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7F6A1723">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YS5119022530001</w:t>
            </w:r>
          </w:p>
        </w:tc>
        <w:tc>
          <w:tcPr>
            <w:tcW w:w="912" w:type="dxa"/>
            <w:vMerge w:val="continue"/>
            <w:tcBorders>
              <w:tl2br w:val="nil"/>
              <w:tr2bl w:val="nil"/>
            </w:tcBorders>
            <w:noWrap w:val="0"/>
            <w:vAlign w:val="center"/>
          </w:tcPr>
          <w:p w14:paraId="5311CD70">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巴州区城镇开发边界</w:t>
            </w:r>
          </w:p>
        </w:tc>
        <w:tc>
          <w:tcPr>
            <w:tcW w:w="4669" w:type="dxa"/>
            <w:vMerge w:val="continue"/>
            <w:tcBorders>
              <w:tl2br w:val="nil"/>
              <w:tr2bl w:val="nil"/>
            </w:tcBorders>
            <w:noWrap w:val="0"/>
            <w:vAlign w:val="center"/>
          </w:tcPr>
          <w:p w14:paraId="04FE8D7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空间布局约束：</w:t>
            </w:r>
          </w:p>
          <w:p w14:paraId="19EA5FA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禁止开发建设活动的要求</w:t>
            </w:r>
          </w:p>
          <w:p w14:paraId="1B59BBD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05882B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限制开发建设活动的要求</w:t>
            </w:r>
          </w:p>
          <w:p w14:paraId="0268374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6F7E36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不符合空间布局要求活动的退出要求</w:t>
            </w:r>
          </w:p>
          <w:p w14:paraId="41BA5D1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E16397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其他空间布局约束要求</w:t>
            </w:r>
          </w:p>
          <w:p w14:paraId="64188F0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5713C1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污染物排放管控：</w:t>
            </w:r>
          </w:p>
          <w:p w14:paraId="6FDF076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允许排放量要求</w:t>
            </w:r>
          </w:p>
          <w:p w14:paraId="7C6A220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9549BB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现有源提标升级改造</w:t>
            </w:r>
          </w:p>
          <w:p w14:paraId="3061B72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C0D437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其他污染物排放管控要求</w:t>
            </w:r>
          </w:p>
          <w:p w14:paraId="69FAF93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D296FE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环境风险防控：</w:t>
            </w:r>
          </w:p>
          <w:p w14:paraId="3CE9E82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联防联控要求</w:t>
            </w:r>
          </w:p>
          <w:p w14:paraId="40DCE9A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184474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其他环境风险防控要求</w:t>
            </w:r>
          </w:p>
          <w:p w14:paraId="5EDE1D2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6CBCA4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资源开发利用效率要求：</w:t>
            </w:r>
          </w:p>
          <w:p w14:paraId="3CFBA7B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水资源利用总量要求</w:t>
            </w:r>
          </w:p>
          <w:p w14:paraId="7A0099D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03BB912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地下水开采要求</w:t>
            </w:r>
          </w:p>
          <w:p w14:paraId="35451AD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FD21D9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能源利用总量及效率要求</w:t>
            </w:r>
          </w:p>
          <w:p w14:paraId="42F520F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A3927B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禁燃区要求</w:t>
            </w:r>
          </w:p>
          <w:p w14:paraId="7E9AD44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24ED37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其他资源利用效率要求</w:t>
            </w:r>
          </w:p>
          <w:p w14:paraId="211D68F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18399883">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污染物排放管控</w:t>
            </w:r>
          </w:p>
        </w:tc>
        <w:tc>
          <w:tcPr>
            <w:tcW w:w="4130" w:type="dxa"/>
            <w:vMerge w:val="restart"/>
            <w:tcBorders>
              <w:tl2br w:val="nil"/>
              <w:tr2bl w:val="nil"/>
            </w:tcBorders>
            <w:noWrap w:val="0"/>
            <w:vAlign w:val="center"/>
          </w:tcPr>
          <w:p w14:paraId="53B36118">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02B7BC03">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tc>
        <w:tc>
          <w:tcPr>
            <w:tcW w:w="494" w:type="dxa"/>
            <w:tcBorders>
              <w:tl2br w:val="nil"/>
              <w:tr2bl w:val="nil"/>
            </w:tcBorders>
            <w:noWrap w:val="0"/>
            <w:vAlign w:val="center"/>
          </w:tcPr>
          <w:p w14:paraId="1519252E">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符合</w:t>
            </w:r>
          </w:p>
        </w:tc>
      </w:tr>
      <w:tr w14:paraId="58228B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720A20FB">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YS5119022530001</w:t>
            </w:r>
          </w:p>
        </w:tc>
        <w:tc>
          <w:tcPr>
            <w:tcW w:w="912" w:type="dxa"/>
            <w:vMerge w:val="continue"/>
            <w:tcBorders>
              <w:tl2br w:val="nil"/>
              <w:tr2bl w:val="nil"/>
            </w:tcBorders>
            <w:noWrap w:val="0"/>
            <w:vAlign w:val="center"/>
          </w:tcPr>
          <w:p w14:paraId="7572D76D">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巴州区城镇开发边界</w:t>
            </w:r>
          </w:p>
        </w:tc>
        <w:tc>
          <w:tcPr>
            <w:tcW w:w="4669" w:type="dxa"/>
            <w:vMerge w:val="continue"/>
            <w:tcBorders>
              <w:tl2br w:val="nil"/>
              <w:tr2bl w:val="nil"/>
            </w:tcBorders>
            <w:noWrap w:val="0"/>
            <w:vAlign w:val="center"/>
          </w:tcPr>
          <w:p w14:paraId="168473D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空间布局约束：</w:t>
            </w:r>
          </w:p>
          <w:p w14:paraId="56EAFED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禁止开发建设活动的要求</w:t>
            </w:r>
          </w:p>
          <w:p w14:paraId="15E9CCD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B67E8C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限制开发建设活动的要求</w:t>
            </w:r>
          </w:p>
          <w:p w14:paraId="451FAAF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CD5BA2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不符合空间布局要求活动的退出要求</w:t>
            </w:r>
          </w:p>
          <w:p w14:paraId="1D43035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0DAFBD4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其他空间布局约束要求</w:t>
            </w:r>
          </w:p>
          <w:p w14:paraId="42990A0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8796D3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污染物排放管控：</w:t>
            </w:r>
          </w:p>
          <w:p w14:paraId="7A96692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允许排放量要求</w:t>
            </w:r>
          </w:p>
          <w:p w14:paraId="65A45F8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1E3676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现有源提标升级改造</w:t>
            </w:r>
          </w:p>
          <w:p w14:paraId="6857FAB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E8C75F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其他污染物排放管控要求</w:t>
            </w:r>
          </w:p>
          <w:p w14:paraId="402AF9F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D9F2BE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环境风险防控：</w:t>
            </w:r>
          </w:p>
          <w:p w14:paraId="6220746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联防联控要求</w:t>
            </w:r>
          </w:p>
          <w:p w14:paraId="6076CF4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58CA07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其他环境风险防控要求</w:t>
            </w:r>
          </w:p>
          <w:p w14:paraId="141CFC9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CB5599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资源开发利用效率要求：</w:t>
            </w:r>
          </w:p>
          <w:p w14:paraId="650347C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水资源利用总量要求</w:t>
            </w:r>
          </w:p>
          <w:p w14:paraId="4ED1DEF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724136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地下水开采要求</w:t>
            </w:r>
          </w:p>
          <w:p w14:paraId="2D53F64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A15D96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能源利用总量及效率要求</w:t>
            </w:r>
          </w:p>
          <w:p w14:paraId="64A2C60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58F6D3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禁燃区要求</w:t>
            </w:r>
          </w:p>
          <w:p w14:paraId="67850CF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458BC6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其他资源利用效率要求</w:t>
            </w:r>
          </w:p>
          <w:p w14:paraId="0EA9185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37CCE83C">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环境风险防控</w:t>
            </w:r>
          </w:p>
        </w:tc>
        <w:tc>
          <w:tcPr>
            <w:tcW w:w="4130" w:type="dxa"/>
            <w:vMerge w:val="continue"/>
            <w:tcBorders>
              <w:tl2br w:val="nil"/>
              <w:tr2bl w:val="nil"/>
            </w:tcBorders>
            <w:noWrap w:val="0"/>
            <w:vAlign w:val="center"/>
          </w:tcPr>
          <w:p w14:paraId="13A8A565">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73A648D1">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tc>
        <w:tc>
          <w:tcPr>
            <w:tcW w:w="494" w:type="dxa"/>
            <w:tcBorders>
              <w:tl2br w:val="nil"/>
              <w:tr2bl w:val="nil"/>
            </w:tcBorders>
            <w:noWrap w:val="0"/>
            <w:vAlign w:val="center"/>
          </w:tcPr>
          <w:p w14:paraId="613D51F5">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符合</w:t>
            </w:r>
          </w:p>
        </w:tc>
      </w:tr>
      <w:tr w14:paraId="253BF5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68889FA5">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YS5119022530001</w:t>
            </w:r>
          </w:p>
        </w:tc>
        <w:tc>
          <w:tcPr>
            <w:tcW w:w="912" w:type="dxa"/>
            <w:vMerge w:val="continue"/>
            <w:tcBorders>
              <w:tl2br w:val="nil"/>
              <w:tr2bl w:val="nil"/>
            </w:tcBorders>
            <w:noWrap w:val="0"/>
            <w:vAlign w:val="center"/>
          </w:tcPr>
          <w:p w14:paraId="7934CE4D">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巴州区城镇开发边界</w:t>
            </w:r>
          </w:p>
        </w:tc>
        <w:tc>
          <w:tcPr>
            <w:tcW w:w="4669" w:type="dxa"/>
            <w:vMerge w:val="continue"/>
            <w:tcBorders>
              <w:tl2br w:val="nil"/>
              <w:tr2bl w:val="nil"/>
            </w:tcBorders>
            <w:noWrap w:val="0"/>
            <w:vAlign w:val="center"/>
          </w:tcPr>
          <w:p w14:paraId="4913B9D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空间布局约束：</w:t>
            </w:r>
          </w:p>
          <w:p w14:paraId="728270D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禁止开发建设活动的要求</w:t>
            </w:r>
          </w:p>
          <w:p w14:paraId="2A6EC34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0839CC5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限制开发建设活动的要求</w:t>
            </w:r>
          </w:p>
          <w:p w14:paraId="2BF589A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A948C5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不符合空间布局要求活动的退出要求</w:t>
            </w:r>
          </w:p>
          <w:p w14:paraId="367B037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835491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其他空间布局约束要求</w:t>
            </w:r>
          </w:p>
          <w:p w14:paraId="26DC2CB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0769E80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污染物排放管控：</w:t>
            </w:r>
          </w:p>
          <w:p w14:paraId="7385996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允许排放量要求</w:t>
            </w:r>
          </w:p>
          <w:p w14:paraId="1F1ED1F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A21560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现有源提标升级改造</w:t>
            </w:r>
          </w:p>
          <w:p w14:paraId="4F39E39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39576E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其他污染物排放管控要求</w:t>
            </w:r>
          </w:p>
          <w:p w14:paraId="426AFEB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5123CE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环境风险防控：</w:t>
            </w:r>
          </w:p>
          <w:p w14:paraId="55E3991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联防联控要求</w:t>
            </w:r>
          </w:p>
          <w:p w14:paraId="64744FB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85D8FE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其他环境风险防控要求</w:t>
            </w:r>
          </w:p>
          <w:p w14:paraId="0879566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4593DE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资源开发利用效率要求：</w:t>
            </w:r>
          </w:p>
          <w:p w14:paraId="6D5D48F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水资源利用总量要求</w:t>
            </w:r>
          </w:p>
          <w:p w14:paraId="4632DE9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7D248F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地下水开采要求</w:t>
            </w:r>
          </w:p>
          <w:p w14:paraId="7D0FF36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B7CED3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能源利用总量及效率要求</w:t>
            </w:r>
          </w:p>
          <w:p w14:paraId="2B31A38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1CA62B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禁燃区要求</w:t>
            </w:r>
          </w:p>
          <w:p w14:paraId="6E4251C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D49836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其他资源利用效率要求</w:t>
            </w:r>
          </w:p>
          <w:p w14:paraId="33C3E0F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67485162">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资源开发效率要求</w:t>
            </w:r>
          </w:p>
        </w:tc>
        <w:tc>
          <w:tcPr>
            <w:tcW w:w="4130" w:type="dxa"/>
            <w:tcBorders>
              <w:tl2br w:val="nil"/>
              <w:tr2bl w:val="nil"/>
            </w:tcBorders>
            <w:noWrap w:val="0"/>
            <w:vAlign w:val="center"/>
          </w:tcPr>
          <w:p w14:paraId="56B5A64C">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土地资源开发效率要求</w:t>
            </w:r>
          </w:p>
          <w:p w14:paraId="36128880">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土地资源开发利用量不得超过土地资源利用上线控制性指标。</w:t>
            </w:r>
          </w:p>
          <w:p w14:paraId="2E9F7D0C">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能源资源开发效率要求</w:t>
            </w:r>
          </w:p>
          <w:p w14:paraId="763F6586">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其他资源开发效率要求</w:t>
            </w:r>
          </w:p>
        </w:tc>
        <w:tc>
          <w:tcPr>
            <w:tcW w:w="1612" w:type="dxa"/>
            <w:tcBorders>
              <w:tl2br w:val="nil"/>
              <w:tr2bl w:val="nil"/>
            </w:tcBorders>
            <w:noWrap w:val="0"/>
            <w:vAlign w:val="center"/>
          </w:tcPr>
          <w:p w14:paraId="5FF53879">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满足要求</w:t>
            </w:r>
          </w:p>
        </w:tc>
        <w:tc>
          <w:tcPr>
            <w:tcW w:w="494" w:type="dxa"/>
            <w:tcBorders>
              <w:tl2br w:val="nil"/>
              <w:tr2bl w:val="nil"/>
            </w:tcBorders>
            <w:noWrap w:val="0"/>
            <w:vAlign w:val="center"/>
          </w:tcPr>
          <w:p w14:paraId="66E1537E">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符合</w:t>
            </w:r>
          </w:p>
        </w:tc>
      </w:tr>
      <w:tr w14:paraId="59A4E8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restart"/>
            <w:tcBorders>
              <w:tl2br w:val="nil"/>
              <w:tr2bl w:val="nil"/>
            </w:tcBorders>
            <w:noWrap w:val="0"/>
            <w:vAlign w:val="center"/>
          </w:tcPr>
          <w:p w14:paraId="0E5263BD">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YS5119022550001</w:t>
            </w:r>
          </w:p>
        </w:tc>
        <w:tc>
          <w:tcPr>
            <w:tcW w:w="912" w:type="dxa"/>
            <w:vMerge w:val="restart"/>
            <w:tcBorders>
              <w:tl2br w:val="nil"/>
              <w:tr2bl w:val="nil"/>
            </w:tcBorders>
            <w:noWrap w:val="0"/>
            <w:vAlign w:val="center"/>
          </w:tcPr>
          <w:p w14:paraId="10091E6C">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巴州区自然资源重点管控区</w:t>
            </w:r>
          </w:p>
        </w:tc>
        <w:tc>
          <w:tcPr>
            <w:tcW w:w="4669" w:type="dxa"/>
            <w:vMerge w:val="continue"/>
            <w:tcBorders>
              <w:tl2br w:val="nil"/>
              <w:tr2bl w:val="nil"/>
            </w:tcBorders>
            <w:noWrap w:val="0"/>
            <w:vAlign w:val="center"/>
          </w:tcPr>
          <w:p w14:paraId="182FD66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空间布局约束：</w:t>
            </w:r>
          </w:p>
          <w:p w14:paraId="3C8A708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禁止开发建设活动的要求</w:t>
            </w:r>
          </w:p>
          <w:p w14:paraId="61F9602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339A24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限制开发建设活动的要求</w:t>
            </w:r>
          </w:p>
          <w:p w14:paraId="5353890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C20152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不符合空间布局要求活动的退出要求</w:t>
            </w:r>
          </w:p>
          <w:p w14:paraId="3AD76C2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DB4211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其他空间布局约束要求</w:t>
            </w:r>
          </w:p>
          <w:p w14:paraId="596A610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EFB414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污染物排放管控：</w:t>
            </w:r>
          </w:p>
          <w:p w14:paraId="139E45D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允许排放量要求</w:t>
            </w:r>
          </w:p>
          <w:p w14:paraId="4EAEF98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DC07A1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现有源提标升级改造</w:t>
            </w:r>
          </w:p>
          <w:p w14:paraId="68D8AF7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371C77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其他污染物排放管控要求</w:t>
            </w:r>
          </w:p>
          <w:p w14:paraId="10909B4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EEB411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环境风险防控：</w:t>
            </w:r>
          </w:p>
          <w:p w14:paraId="0B1A0A6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联防联控要求</w:t>
            </w:r>
          </w:p>
          <w:p w14:paraId="4C7111C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45FE9F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其他环境风险防控要求</w:t>
            </w:r>
          </w:p>
          <w:p w14:paraId="7D8055C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965257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资源开发利用效率要求：</w:t>
            </w:r>
          </w:p>
          <w:p w14:paraId="052107F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水资源利用总量要求</w:t>
            </w:r>
          </w:p>
          <w:p w14:paraId="3E55E69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773272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地下水开采要求</w:t>
            </w:r>
          </w:p>
          <w:p w14:paraId="746E2EC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B54643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能源利用总量及效率要求</w:t>
            </w:r>
          </w:p>
          <w:p w14:paraId="4FECF68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05FD13E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禁燃区要求</w:t>
            </w:r>
          </w:p>
          <w:p w14:paraId="018BB87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6201E8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其他资源利用效率要求</w:t>
            </w:r>
          </w:p>
          <w:p w14:paraId="236F367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68FF733E">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空间布局约束</w:t>
            </w:r>
          </w:p>
        </w:tc>
        <w:tc>
          <w:tcPr>
            <w:tcW w:w="4130" w:type="dxa"/>
            <w:vMerge w:val="restart"/>
            <w:tcBorders>
              <w:tl2br w:val="nil"/>
              <w:tr2bl w:val="nil"/>
            </w:tcBorders>
            <w:noWrap w:val="0"/>
            <w:vAlign w:val="center"/>
          </w:tcPr>
          <w:p w14:paraId="7396872B">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280D3D02">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tc>
        <w:tc>
          <w:tcPr>
            <w:tcW w:w="494" w:type="dxa"/>
            <w:tcBorders>
              <w:tl2br w:val="nil"/>
              <w:tr2bl w:val="nil"/>
            </w:tcBorders>
            <w:noWrap w:val="0"/>
            <w:vAlign w:val="center"/>
          </w:tcPr>
          <w:p w14:paraId="3B8C037E">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符合</w:t>
            </w:r>
          </w:p>
        </w:tc>
      </w:tr>
      <w:tr w14:paraId="663CC1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5E05F524">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YS5119022550001</w:t>
            </w:r>
          </w:p>
        </w:tc>
        <w:tc>
          <w:tcPr>
            <w:tcW w:w="912" w:type="dxa"/>
            <w:vMerge w:val="continue"/>
            <w:tcBorders>
              <w:tl2br w:val="nil"/>
              <w:tr2bl w:val="nil"/>
            </w:tcBorders>
            <w:noWrap w:val="0"/>
            <w:vAlign w:val="center"/>
          </w:tcPr>
          <w:p w14:paraId="1A5CCD78">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巴州区自然资源重点管控区</w:t>
            </w:r>
          </w:p>
        </w:tc>
        <w:tc>
          <w:tcPr>
            <w:tcW w:w="4669" w:type="dxa"/>
            <w:vMerge w:val="continue"/>
            <w:tcBorders>
              <w:tl2br w:val="nil"/>
              <w:tr2bl w:val="nil"/>
            </w:tcBorders>
            <w:noWrap w:val="0"/>
            <w:vAlign w:val="center"/>
          </w:tcPr>
          <w:p w14:paraId="3523727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空间布局约束：</w:t>
            </w:r>
          </w:p>
          <w:p w14:paraId="3EDAC42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禁止开发建设活动的要求</w:t>
            </w:r>
          </w:p>
          <w:p w14:paraId="1D75C57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80397A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限制开发建设活动的要求</w:t>
            </w:r>
          </w:p>
          <w:p w14:paraId="02E0809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DABA8F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不符合空间布局要求活动的退出要求</w:t>
            </w:r>
          </w:p>
          <w:p w14:paraId="1236C6A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47606F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其他空间布局约束要求</w:t>
            </w:r>
          </w:p>
          <w:p w14:paraId="583BC33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D1A81B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污染物排放管控：</w:t>
            </w:r>
          </w:p>
          <w:p w14:paraId="55B83C1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允许排放量要求</w:t>
            </w:r>
          </w:p>
          <w:p w14:paraId="38B840F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3A5E23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现有源提标升级改造</w:t>
            </w:r>
          </w:p>
          <w:p w14:paraId="035106C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FE7B38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其他污染物排放管控要求</w:t>
            </w:r>
          </w:p>
          <w:p w14:paraId="37E6ABD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03EED7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环境风险防控：</w:t>
            </w:r>
          </w:p>
          <w:p w14:paraId="079EC33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联防联控要求</w:t>
            </w:r>
          </w:p>
          <w:p w14:paraId="22C3F4F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B4F2AB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其他环境风险防控要求</w:t>
            </w:r>
          </w:p>
          <w:p w14:paraId="5AEC3D1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E9B03F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资源开发利用效率要求：</w:t>
            </w:r>
          </w:p>
          <w:p w14:paraId="4C21DFA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水资源利用总量要求</w:t>
            </w:r>
          </w:p>
          <w:p w14:paraId="54DCBBF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283606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地下水开采要求</w:t>
            </w:r>
          </w:p>
          <w:p w14:paraId="0FB25B8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820016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能源利用总量及效率要求</w:t>
            </w:r>
          </w:p>
          <w:p w14:paraId="6E22E0C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2C9CDE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禁燃区要求</w:t>
            </w:r>
          </w:p>
          <w:p w14:paraId="42308CA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C6665D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其他资源利用效率要求</w:t>
            </w:r>
          </w:p>
          <w:p w14:paraId="1484F0B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031B91AE">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污染物排放管控</w:t>
            </w:r>
          </w:p>
        </w:tc>
        <w:tc>
          <w:tcPr>
            <w:tcW w:w="4130" w:type="dxa"/>
            <w:vMerge w:val="continue"/>
            <w:tcBorders>
              <w:tl2br w:val="nil"/>
              <w:tr2bl w:val="nil"/>
            </w:tcBorders>
            <w:noWrap w:val="0"/>
            <w:vAlign w:val="center"/>
          </w:tcPr>
          <w:p w14:paraId="1E03E7BE">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34D2AB50">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tc>
        <w:tc>
          <w:tcPr>
            <w:tcW w:w="494" w:type="dxa"/>
            <w:tcBorders>
              <w:tl2br w:val="nil"/>
              <w:tr2bl w:val="nil"/>
            </w:tcBorders>
            <w:noWrap w:val="0"/>
            <w:vAlign w:val="center"/>
          </w:tcPr>
          <w:p w14:paraId="7A0A9B71">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符合</w:t>
            </w:r>
          </w:p>
        </w:tc>
      </w:tr>
      <w:tr w14:paraId="29299F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267CCB91">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YS5119022550001</w:t>
            </w:r>
          </w:p>
        </w:tc>
        <w:tc>
          <w:tcPr>
            <w:tcW w:w="912" w:type="dxa"/>
            <w:vMerge w:val="continue"/>
            <w:tcBorders>
              <w:tl2br w:val="nil"/>
              <w:tr2bl w:val="nil"/>
            </w:tcBorders>
            <w:noWrap w:val="0"/>
            <w:vAlign w:val="center"/>
          </w:tcPr>
          <w:p w14:paraId="0ED4FC1A">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巴州区自然资源重点管控区</w:t>
            </w:r>
          </w:p>
        </w:tc>
        <w:tc>
          <w:tcPr>
            <w:tcW w:w="4669" w:type="dxa"/>
            <w:vMerge w:val="continue"/>
            <w:tcBorders>
              <w:tl2br w:val="nil"/>
              <w:tr2bl w:val="nil"/>
            </w:tcBorders>
            <w:noWrap w:val="0"/>
            <w:vAlign w:val="center"/>
          </w:tcPr>
          <w:p w14:paraId="0FD3500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空间布局约束：</w:t>
            </w:r>
          </w:p>
          <w:p w14:paraId="6D0AC01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禁止开发建设活动的要求</w:t>
            </w:r>
          </w:p>
          <w:p w14:paraId="214E1BB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68F89B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限制开发建设活动的要求</w:t>
            </w:r>
          </w:p>
          <w:p w14:paraId="6D7DAC7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5900DE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不符合空间布局要求活动的退出要求</w:t>
            </w:r>
          </w:p>
          <w:p w14:paraId="3D51825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41E39C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其他空间布局约束要求</w:t>
            </w:r>
          </w:p>
          <w:p w14:paraId="412B7AE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91CCA6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污染物排放管控：</w:t>
            </w:r>
          </w:p>
          <w:p w14:paraId="69F19C4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允许排放量要求</w:t>
            </w:r>
          </w:p>
          <w:p w14:paraId="63C43F2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2BD283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现有源提标升级改造</w:t>
            </w:r>
          </w:p>
          <w:p w14:paraId="0D5336F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6B9C8C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其他污染物排放管控要求</w:t>
            </w:r>
          </w:p>
          <w:p w14:paraId="601B11B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ED317E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环境风险防控：</w:t>
            </w:r>
          </w:p>
          <w:p w14:paraId="2FBE336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联防联控要求</w:t>
            </w:r>
          </w:p>
          <w:p w14:paraId="664DBDF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08D64FB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其他环境风险防控要求</w:t>
            </w:r>
          </w:p>
          <w:p w14:paraId="3D63827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0DB2C11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资源开发利用效率要求：</w:t>
            </w:r>
          </w:p>
          <w:p w14:paraId="3DA7D64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水资源利用总量要求</w:t>
            </w:r>
          </w:p>
          <w:p w14:paraId="3D48B23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3DE8197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地下水开采要求</w:t>
            </w:r>
          </w:p>
          <w:p w14:paraId="1F66593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1DBB043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能源利用总量及效率要求</w:t>
            </w:r>
          </w:p>
          <w:p w14:paraId="08867C7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6365962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禁燃区要求</w:t>
            </w:r>
          </w:p>
          <w:p w14:paraId="5CE6EB4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2CC0D7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其他资源利用效率要求</w:t>
            </w:r>
          </w:p>
          <w:p w14:paraId="0F8DB81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067061F1">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环境风险防控</w:t>
            </w:r>
          </w:p>
        </w:tc>
        <w:tc>
          <w:tcPr>
            <w:tcW w:w="4130" w:type="dxa"/>
            <w:vMerge w:val="continue"/>
            <w:tcBorders>
              <w:tl2br w:val="nil"/>
              <w:tr2bl w:val="nil"/>
            </w:tcBorders>
            <w:noWrap w:val="0"/>
            <w:vAlign w:val="center"/>
          </w:tcPr>
          <w:p w14:paraId="6F7C7CDA">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550E24A6">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tc>
        <w:tc>
          <w:tcPr>
            <w:tcW w:w="494" w:type="dxa"/>
            <w:tcBorders>
              <w:tl2br w:val="nil"/>
              <w:tr2bl w:val="nil"/>
            </w:tcBorders>
            <w:noWrap w:val="0"/>
            <w:vAlign w:val="center"/>
          </w:tcPr>
          <w:p w14:paraId="68CAC2CD">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符合</w:t>
            </w:r>
          </w:p>
        </w:tc>
      </w:tr>
      <w:tr w14:paraId="266DEA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675E3427">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YS5119022550001</w:t>
            </w:r>
          </w:p>
        </w:tc>
        <w:tc>
          <w:tcPr>
            <w:tcW w:w="912" w:type="dxa"/>
            <w:vMerge w:val="continue"/>
            <w:tcBorders>
              <w:tl2br w:val="nil"/>
              <w:tr2bl w:val="nil"/>
            </w:tcBorders>
            <w:noWrap w:val="0"/>
            <w:vAlign w:val="center"/>
          </w:tcPr>
          <w:p w14:paraId="0D7B43C5">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巴州区自然资源重点管控区</w:t>
            </w:r>
          </w:p>
        </w:tc>
        <w:tc>
          <w:tcPr>
            <w:tcW w:w="4669" w:type="dxa"/>
            <w:vMerge w:val="continue"/>
            <w:tcBorders>
              <w:tl2br w:val="nil"/>
              <w:tr2bl w:val="nil"/>
            </w:tcBorders>
            <w:noWrap w:val="0"/>
            <w:vAlign w:val="center"/>
          </w:tcPr>
          <w:p w14:paraId="32F19A2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空间布局约束：</w:t>
            </w:r>
          </w:p>
          <w:p w14:paraId="48F52B4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禁止开发建设活动的要求</w:t>
            </w:r>
          </w:p>
          <w:p w14:paraId="72F0350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869127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限制开发建设活动的要求</w:t>
            </w:r>
          </w:p>
          <w:p w14:paraId="615FB5F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F58ECE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不符合空间布局要求活动的退出要求</w:t>
            </w:r>
          </w:p>
          <w:p w14:paraId="56E4CE2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78346F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其他空间布局约束要求</w:t>
            </w:r>
          </w:p>
          <w:p w14:paraId="39A9859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88C7A2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污染物排放管控：</w:t>
            </w:r>
          </w:p>
          <w:p w14:paraId="4B3E3A7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允许排放量要求</w:t>
            </w:r>
          </w:p>
          <w:p w14:paraId="101E408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02F4C49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现有源提标升级改造</w:t>
            </w:r>
          </w:p>
          <w:p w14:paraId="120069F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011E613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其他污染物排放管控要求</w:t>
            </w:r>
          </w:p>
          <w:p w14:paraId="1E6D396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2DD77E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环境风险防控：</w:t>
            </w:r>
          </w:p>
          <w:p w14:paraId="6D27404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联防联控要求</w:t>
            </w:r>
          </w:p>
          <w:p w14:paraId="38C6067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23B3002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其他环境风险防控要求</w:t>
            </w:r>
          </w:p>
          <w:p w14:paraId="3E84424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55D66EF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资源开发利用效率要求：</w:t>
            </w:r>
          </w:p>
          <w:p w14:paraId="2893EF5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水资源利用总量要求</w:t>
            </w:r>
          </w:p>
          <w:p w14:paraId="647B1D6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386102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地下水开采要求</w:t>
            </w:r>
          </w:p>
          <w:p w14:paraId="0580684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718AF86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能源利用总量及效率要求</w:t>
            </w:r>
          </w:p>
          <w:p w14:paraId="7232209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0C863A2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禁燃区要求</w:t>
            </w:r>
          </w:p>
          <w:p w14:paraId="0AE3320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p w14:paraId="4392578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其他资源利用效率要求</w:t>
            </w:r>
          </w:p>
          <w:p w14:paraId="1B55C91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暂无</w:t>
            </w:r>
          </w:p>
        </w:tc>
        <w:tc>
          <w:tcPr>
            <w:tcW w:w="1364" w:type="dxa"/>
            <w:tcBorders>
              <w:tl2br w:val="nil"/>
              <w:tr2bl w:val="nil"/>
            </w:tcBorders>
            <w:noWrap w:val="0"/>
            <w:vAlign w:val="center"/>
          </w:tcPr>
          <w:p w14:paraId="551F9F37">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资源开发效率要求</w:t>
            </w:r>
          </w:p>
        </w:tc>
        <w:tc>
          <w:tcPr>
            <w:tcW w:w="4130" w:type="dxa"/>
            <w:tcBorders>
              <w:tl2br w:val="nil"/>
              <w:tr2bl w:val="nil"/>
            </w:tcBorders>
            <w:noWrap w:val="0"/>
            <w:vAlign w:val="center"/>
          </w:tcPr>
          <w:p w14:paraId="1CFE3FF2">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土地资源开发效率要求</w:t>
            </w:r>
          </w:p>
          <w:p w14:paraId="77051A8F">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能源资源开发效率要求</w:t>
            </w:r>
          </w:p>
          <w:p w14:paraId="3F25E271">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其他资源开发效率要求</w:t>
            </w:r>
          </w:p>
        </w:tc>
        <w:tc>
          <w:tcPr>
            <w:tcW w:w="1612" w:type="dxa"/>
            <w:tcBorders>
              <w:tl2br w:val="nil"/>
              <w:tr2bl w:val="nil"/>
            </w:tcBorders>
            <w:noWrap w:val="0"/>
            <w:vAlign w:val="center"/>
          </w:tcPr>
          <w:p w14:paraId="2336A734">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满足要求</w:t>
            </w:r>
          </w:p>
        </w:tc>
        <w:tc>
          <w:tcPr>
            <w:tcW w:w="494" w:type="dxa"/>
            <w:tcBorders>
              <w:tl2br w:val="nil"/>
              <w:tr2bl w:val="nil"/>
            </w:tcBorders>
            <w:noWrap w:val="0"/>
            <w:vAlign w:val="center"/>
          </w:tcPr>
          <w:p w14:paraId="1542FC8D">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符合</w:t>
            </w:r>
          </w:p>
        </w:tc>
      </w:tr>
      <w:tr w14:paraId="4EB2BA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restart"/>
            <w:tcBorders>
              <w:tl2br w:val="nil"/>
              <w:tr2bl w:val="nil"/>
            </w:tcBorders>
            <w:noWrap w:val="0"/>
            <w:vAlign w:val="center"/>
          </w:tcPr>
          <w:p w14:paraId="574B9996">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ZH51190220004</w:t>
            </w:r>
          </w:p>
        </w:tc>
        <w:tc>
          <w:tcPr>
            <w:tcW w:w="912" w:type="dxa"/>
            <w:vMerge w:val="restart"/>
            <w:tcBorders>
              <w:tl2br w:val="nil"/>
              <w:tr2bl w:val="nil"/>
            </w:tcBorders>
            <w:noWrap w:val="0"/>
            <w:vAlign w:val="center"/>
          </w:tcPr>
          <w:p w14:paraId="7AC96D6A">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巴中新能源新材料产业园（曾口区块）</w:t>
            </w:r>
          </w:p>
        </w:tc>
        <w:tc>
          <w:tcPr>
            <w:tcW w:w="4669" w:type="dxa"/>
            <w:vMerge w:val="restart"/>
            <w:tcBorders>
              <w:tl2br w:val="nil"/>
              <w:tr2bl w:val="nil"/>
            </w:tcBorders>
            <w:noWrap w:val="0"/>
            <w:vAlign w:val="center"/>
          </w:tcPr>
          <w:p w14:paraId="0471E5B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空间布局约束：</w:t>
            </w:r>
          </w:p>
          <w:p w14:paraId="161C2EE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禁止开发建设活动的要求</w:t>
            </w:r>
          </w:p>
          <w:p w14:paraId="3D1C706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在长江干支流、重要湖泊岸线一公里范围内新建、扩建化工园区和化工项目。禁止在长江干流岸线三公里范围内和重要支流岸线一公里范围内新建、改建、扩建尾矿库（以提升安全、生态环境保护水平为目的的改建除外）。</w:t>
            </w:r>
          </w:p>
          <w:p w14:paraId="3D2EA3F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-禁止在长江流域河湖管理范围内倾倒、填埋、堆放、弃置、处理固体废物。</w:t>
            </w:r>
          </w:p>
          <w:p w14:paraId="0419A97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-在禁燃区内禁止销售、燃用高污染燃料。禁燃区内禁止新建、扩建燃用高污染燃料的设施。</w:t>
            </w:r>
          </w:p>
          <w:p w14:paraId="376929C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-未通过认定的化工园区，不得新建、改扩建化工项目（安全、环保、节能和智能化改造项目除外），按属地原则依法依规妥善做好未通过认定化工园区及园内企业的转型、关闭、处置及监管工作。</w:t>
            </w:r>
          </w:p>
          <w:p w14:paraId="3CDB461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限制开发建设活动的要求</w:t>
            </w:r>
          </w:p>
          <w:p w14:paraId="1219973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-继续化解过剩产能，严禁钢铁、水泥、电解铝、平板玻璃等行业新增产能，对确有必要新建的必须实施等量或减量置换。</w:t>
            </w:r>
          </w:p>
          <w:p w14:paraId="50135E6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-严格执行《矿产资源开采管理办法》的相关规定。</w:t>
            </w:r>
          </w:p>
          <w:p w14:paraId="4E6116B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不符合空间布局要求活动的退出要求</w:t>
            </w:r>
          </w:p>
          <w:p w14:paraId="627C757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-现有属于园区禁止引入产业门类的企业，原则上限制发展，污染物排放只降不增，允许以提升安全、生态环境保护水平为目的的改建，引导企业结合产业升级等适时搬迁。</w:t>
            </w:r>
          </w:p>
          <w:p w14:paraId="2554F3B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其他空间布局约束要求</w:t>
            </w:r>
          </w:p>
          <w:p w14:paraId="1601A06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w:t>
            </w:r>
          </w:p>
          <w:p w14:paraId="2F4191C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污染物排放管控：</w:t>
            </w:r>
          </w:p>
          <w:p w14:paraId="063B7D3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允许排放量要求</w:t>
            </w:r>
          </w:p>
          <w:p w14:paraId="090BA8E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（1）为达2025年及2035年环境空气质量目标，14个工业重点管控单元大气污染物允许排放量2025年为：</w:t>
            </w:r>
            <w:r>
              <w:rPr>
                <w:rStyle w:val="58"/>
                <w:rFonts w:hint="eastAsia" w:eastAsia="宋体" w:cs="Times New Roman"/>
                <w:color w:val="auto"/>
                <w:kern w:val="0"/>
                <w:sz w:val="21"/>
                <w:szCs w:val="21"/>
                <w:lang w:val="en-US" w:eastAsia="zh-CN" w:bidi="ar-SA"/>
              </w:rPr>
              <w:t>PM2.5</w:t>
            </w:r>
            <w:r>
              <w:rPr>
                <w:rStyle w:val="58"/>
                <w:rFonts w:hint="default" w:ascii="Times New Roman" w:hAnsi="Times New Roman" w:eastAsia="宋体" w:cs="Times New Roman"/>
                <w:color w:val="auto"/>
                <w:kern w:val="0"/>
                <w:sz w:val="21"/>
                <w:szCs w:val="21"/>
                <w:lang w:val="en-US" w:eastAsia="zh-CN" w:bidi="ar-SA"/>
              </w:rPr>
              <w:t>允许排放量4950吨、SO2允许排放量3502吨、NOx允许排放量8906吨、VOCs 允许排放量12506吨，2035年为：</w:t>
            </w:r>
            <w:r>
              <w:rPr>
                <w:rStyle w:val="58"/>
                <w:rFonts w:hint="eastAsia" w:eastAsia="宋体" w:cs="Times New Roman"/>
                <w:color w:val="auto"/>
                <w:kern w:val="0"/>
                <w:sz w:val="21"/>
                <w:szCs w:val="21"/>
                <w:lang w:val="en-US" w:eastAsia="zh-CN" w:bidi="ar-SA"/>
              </w:rPr>
              <w:t>PM2.5</w:t>
            </w:r>
            <w:r>
              <w:rPr>
                <w:rStyle w:val="58"/>
                <w:rFonts w:hint="default" w:ascii="Times New Roman" w:hAnsi="Times New Roman" w:eastAsia="宋体" w:cs="Times New Roman"/>
                <w:color w:val="auto"/>
                <w:kern w:val="0"/>
                <w:sz w:val="21"/>
                <w:szCs w:val="21"/>
                <w:lang w:val="en-US" w:eastAsia="zh-CN" w:bidi="ar-SA"/>
              </w:rPr>
              <w:t>允许排放量4595吨、SO2允许排放量3133吨、NOx允许排放量8656吨、VOCs 允许排放量12098吨。（2）为保证2025、2035年区域地表水控制断面达标，15个工业重点管控单元COD、氨氮、总磷允许排放量2025年控制在233465.09吨、2863.81吨、409.92吨以下，2035年控制在24638.35吨、3007.02吨、430.41吨以下。</w:t>
            </w:r>
          </w:p>
          <w:p w14:paraId="0E0741A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现有源提标升级改造</w:t>
            </w:r>
          </w:p>
          <w:p w14:paraId="6218722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-污水收集处理率达100%。</w:t>
            </w:r>
          </w:p>
          <w:p w14:paraId="70EDBDD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-推进工业园区污水处理设施建设，确保园区工业废水达标排放。</w:t>
            </w:r>
          </w:p>
          <w:p w14:paraId="470A3F2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完善园区及企业雨污分流系统，全面推进医药、化工等行业初期雨水收集处理，推动有条件的园区实施入园企业“一企一管、明管输送、实时监测”。加强企业废水预处理和排水管理，鼓励纳管企业与园区污水处理厂运营单位通过签订委托处理合同等方式协同处理废水。</w:t>
            </w:r>
          </w:p>
          <w:p w14:paraId="638F21F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其他污染物排放管控要求</w:t>
            </w:r>
          </w:p>
          <w:p w14:paraId="0962E92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1.污染物排放绩效水平准入要求：</w:t>
            </w:r>
          </w:p>
          <w:p w14:paraId="159D54F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-新、改、扩建涉及VOCs排放项目，从原辅材料和工艺过程大力推广使用低（无）VOCs含量的涂料、有机溶剂、胶黏剂、油墨等原辅材料，配套改进生产工艺。</w:t>
            </w:r>
          </w:p>
          <w:p w14:paraId="151FF20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重点对工业涂装、包装印刷、制鞋、电子信息、木材加工、化纤等重点行业实施源头替代。推进木质家具制造行业水性、紫外光固化等低挥发性涂料替代比例达到60%以上、水性胶粘剂替代比例达到100%，钢结构制造行业高固体分涂料替代比例达到50%以上，包装印刷企业低VOCs含量绿色原辅材料替代比例达到60%以上。</w:t>
            </w:r>
          </w:p>
          <w:p w14:paraId="1F21C0E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-到2030年巴中中心城区污水处理率达到100%，工业废水排放达标率100%。</w:t>
            </w:r>
          </w:p>
          <w:p w14:paraId="3280941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2.化工园区应按照分类收集，分质处理的要求，配备专业化工生产废水集中处理设施（独立建设或依托骨干企业）及专管或明管输送的配套管网，化工生产废水纳管率达到100%。入河排污口设置应符合相关规定。</w:t>
            </w:r>
          </w:p>
          <w:p w14:paraId="6CA48FC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3.重点行业建设项目应遵循重点重金属污染物排放“等量替代”原则。按国家规定，建设单位在提交环境影响评价文件时应明确重点重金属污染物排放总量及来源，无明确具体总量来源的，各级生态环境部门不得批准相关环境影响评价文件。重金属污染物排放总量替代管理豁免的情形参见《四川省“十四五”重金属污染防控工作方案》；重点行业、重点重金属的界定参见《四川省“十四五”重金属污染防控工作方案》。</w:t>
            </w:r>
          </w:p>
          <w:p w14:paraId="0A9E965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4.落实《四川省深入打好重污染天气消除、臭氧污染防治和柴油货车污染治理攻坚战实施方案》要求，推进重点行业超低排放改造和深度治理，加快实施低VOCs含量原辅材料替代，持续开展VOCs治理设施提级增效，强化VOCs无组织排放整治，加强非正常工况废气排放管控，推进涉VOCs产业集群治理提升，推进油品VOCs综合管控。</w:t>
            </w:r>
          </w:p>
          <w:p w14:paraId="6D82A3D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环境风险防控：</w:t>
            </w:r>
          </w:p>
          <w:p w14:paraId="5ACEE16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联防联控要求</w:t>
            </w:r>
          </w:p>
          <w:p w14:paraId="689AC93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强化大气污染区域联防联控措施，实施重污染天气应急管控。修订重污染天气应急预案，动态更新污染源排放清单，落实重点企业错峰生产、压产限产、工地停工等强制性措施，有效减缓重污染天气影响。</w:t>
            </w:r>
          </w:p>
          <w:p w14:paraId="45AE82C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其他环境风险防控要求</w:t>
            </w:r>
          </w:p>
          <w:p w14:paraId="27398C0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-涉及有毒有害、易燃易爆物质新建、改扩建项目，严控准入要求。</w:t>
            </w:r>
          </w:p>
          <w:p w14:paraId="0281617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园区风险防控体系要求：构建三级环境风险防控体系，强化危化品泄漏应急处置措施，确保风险可控。针对化工园区进一步强化风险防控。化工园区应具有安全风险监控体系、建立生态环境监测监控体系、建立必要的突发环境事件应急体系。</w:t>
            </w:r>
          </w:p>
          <w:p w14:paraId="1EA60CF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有色金属冶炼、石油加工、化工、焦化、电镀、制革等行业企业拆除生产设施设备、构筑物和污染治理设施，要事先制定残留污染物清理和安全处置方案，要严格按照有关规定实施安全处理处置，防范拆除活动污染土壤。</w:t>
            </w:r>
          </w:p>
          <w:p w14:paraId="32C3E7F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-已污染地块，应当依法开展土壤污染状况调查、治理与修复，符合相关环境质量要求后，方可进入用地程序。</w:t>
            </w:r>
          </w:p>
          <w:p w14:paraId="1EFF830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资源开发利用效率要求：</w:t>
            </w:r>
          </w:p>
          <w:p w14:paraId="4379D21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水资源利用总量要求</w:t>
            </w:r>
          </w:p>
          <w:p w14:paraId="5D5CE73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-到2022年，万元国内生产总值用水量、万元工业增加值用水量较2015年分别降低30%和28%。</w:t>
            </w:r>
          </w:p>
          <w:p w14:paraId="00A4EEA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地下水开采要求</w:t>
            </w:r>
          </w:p>
          <w:p w14:paraId="4804406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-巴中市2025年地下水开采控制控制量保持在1400万m³以内。</w:t>
            </w:r>
          </w:p>
          <w:p w14:paraId="03C841E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-地下水开采量控制在可开采量的允 许范围内，抑制用水过度增长。</w:t>
            </w:r>
          </w:p>
          <w:p w14:paraId="4CB9D02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能源利用总量及效率要求</w:t>
            </w:r>
          </w:p>
          <w:p w14:paraId="7C7B67C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-新、改扩建项目污染能耗指标满足《四川省省级生态工业园区指标》综合类生态工业园区要求。</w:t>
            </w:r>
          </w:p>
          <w:p w14:paraId="0C044B7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-实施新建项目与煤炭消费总量控制挂钩机制，耗煤建设项目实行煤炭消耗等量减量替代。</w:t>
            </w:r>
          </w:p>
          <w:p w14:paraId="79F0D4D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-提高煤炭利用效率和天然气利用占比，工业领域有序推进“煤改电”和有序推进“煤改气”。</w:t>
            </w:r>
          </w:p>
          <w:p w14:paraId="5FC3563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-全面淘汰每小时10蒸吨以下的燃煤锅炉；在供气管网覆盖不到的其他地区，改用电、新能源或洁净煤。</w:t>
            </w:r>
          </w:p>
          <w:p w14:paraId="1C22F55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原则上不再新建35蒸吨/小时及以下的燃煤锅炉，推进县级及以上城市建成区淘汰35蒸吨/小时及以下燃煤锅炉，以工业余热、电厂热力、清洁能源等替代煤炭。对20蒸吨及以上燃煤锅炉实施脱硫改造，建设高效脱硫设施；对循环流化床锅炉以外的燃煤发电机组一律安装脱硫设施，对燃煤锅炉和工业锅炉现有除尘设施实施升级改造，确保达到新的排放标准和特别排放限值。</w:t>
            </w:r>
          </w:p>
          <w:p w14:paraId="27DDF87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禁燃区要求</w:t>
            </w:r>
          </w:p>
          <w:p w14:paraId="6C464F7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在禁燃区内禁止销售、燃用高污染燃料。禁燃区内禁止新建、扩建燃用高污染燃料的设施。已建成的，应当于2021年12月31日前改用天然气、页岩气、液化石油气、电或其他清洁能源。现有燃用高污染燃料燃用设施在拆除或改造前，有关单位（企业）应当采取措施，确保大气污染物排放达到国家规定标准。</w:t>
            </w:r>
          </w:p>
          <w:p w14:paraId="15DC4FF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其他资源利用效率要求</w:t>
            </w:r>
          </w:p>
          <w:p w14:paraId="18C174A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到2025年，巴中市万元工业增加值用水降低至22.4m³，工业用水重复利用率达到75.5%以上；到2030年，巴中市万元工业增加值用水量降低到17.1m³，工业用水重复利用率达到81.3%以上。</w:t>
            </w:r>
          </w:p>
          <w:p w14:paraId="24A16AB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-新、改扩建项目污染水耗指标满足《四川省省级生态工业园区指标》综合类生态工业园区要求。</w:t>
            </w:r>
          </w:p>
          <w:p w14:paraId="1A1A564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鼓励引导新建、改建、扩建工业园区应当按照有关要求统筹建设工业废水集中处理和回用设施，适时推进企业间串联用水、分质用水、一水多用，实现水循环梯级优化利用和废水集中处理回用，创建节水型工业园区。</w:t>
            </w:r>
          </w:p>
          <w:p w14:paraId="03766ED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鼓励火力发电、钢铁、纺织、造纸、石化和化工、食品和发酵等高耗水企业对废水进行深度处理回用，降低单位产品耗水量。火电、石化、钢铁、有色、造纸、印染等高耗水行业项目具备使用再生水条件但未有效利用的，要严格控制新增取水许可</w:t>
            </w:r>
          </w:p>
        </w:tc>
        <w:tc>
          <w:tcPr>
            <w:tcW w:w="1364" w:type="dxa"/>
            <w:tcBorders>
              <w:tl2br w:val="nil"/>
              <w:tr2bl w:val="nil"/>
            </w:tcBorders>
            <w:noWrap w:val="0"/>
            <w:vAlign w:val="center"/>
          </w:tcPr>
          <w:p w14:paraId="552435CA">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空间布局约束</w:t>
            </w:r>
          </w:p>
        </w:tc>
        <w:tc>
          <w:tcPr>
            <w:tcW w:w="4130" w:type="dxa"/>
            <w:tcBorders>
              <w:tl2br w:val="nil"/>
              <w:tr2bl w:val="nil"/>
            </w:tcBorders>
            <w:noWrap w:val="0"/>
            <w:vAlign w:val="center"/>
          </w:tcPr>
          <w:p w14:paraId="7D2636E1">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禁止开发建设活动的要求</w:t>
            </w:r>
          </w:p>
          <w:p w14:paraId="37AB763A">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（1）禁止引入产业政策禁止类项目、清洁生产指标达不到二级水平或低于全国同类企业平均清洁生产水平的项目、不符合行业准入条件的项目</w:t>
            </w:r>
          </w:p>
          <w:p w14:paraId="4CF07E11">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（2）其他执行工业重点管控单元普适性管控要求</w:t>
            </w:r>
          </w:p>
          <w:p w14:paraId="44FB758E">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限制开发建设活动的要求</w:t>
            </w:r>
          </w:p>
          <w:p w14:paraId="77768EA5">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执行工业重点管控单元普适性管控要求</w:t>
            </w:r>
          </w:p>
          <w:p w14:paraId="65F92212">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允许开发建设活动的要求</w:t>
            </w:r>
          </w:p>
          <w:p w14:paraId="76AADF97">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p w14:paraId="63CBF063">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不符合空间布局要求活动的退出要求</w:t>
            </w:r>
          </w:p>
          <w:p w14:paraId="6D0F4CFB">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执行工业重点管控单元普适性管控要求</w:t>
            </w:r>
          </w:p>
          <w:p w14:paraId="52B738C0">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其他空间布局约束要求</w:t>
            </w:r>
          </w:p>
          <w:p w14:paraId="7457D1C3">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6A96FA5E">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本项目不属于禁止引入企业，满足工业重点管控单元普适性管控要求</w:t>
            </w:r>
          </w:p>
        </w:tc>
        <w:tc>
          <w:tcPr>
            <w:tcW w:w="494" w:type="dxa"/>
            <w:tcBorders>
              <w:tl2br w:val="nil"/>
              <w:tr2bl w:val="nil"/>
            </w:tcBorders>
            <w:noWrap w:val="0"/>
            <w:vAlign w:val="center"/>
          </w:tcPr>
          <w:p w14:paraId="68166314">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符合</w:t>
            </w:r>
          </w:p>
        </w:tc>
      </w:tr>
      <w:tr w14:paraId="0D3DCA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0BA69513">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ZH51190220004</w:t>
            </w:r>
          </w:p>
        </w:tc>
        <w:tc>
          <w:tcPr>
            <w:tcW w:w="912" w:type="dxa"/>
            <w:vMerge w:val="continue"/>
            <w:tcBorders>
              <w:tl2br w:val="nil"/>
              <w:tr2bl w:val="nil"/>
            </w:tcBorders>
            <w:noWrap w:val="0"/>
            <w:vAlign w:val="center"/>
          </w:tcPr>
          <w:p w14:paraId="7B6A2E00">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巴中新能源新材料产业园（曾口区块）</w:t>
            </w:r>
          </w:p>
        </w:tc>
        <w:tc>
          <w:tcPr>
            <w:tcW w:w="4669" w:type="dxa"/>
            <w:vMerge w:val="continue"/>
            <w:tcBorders>
              <w:tl2br w:val="nil"/>
              <w:tr2bl w:val="nil"/>
            </w:tcBorders>
            <w:noWrap w:val="0"/>
            <w:vAlign w:val="center"/>
          </w:tcPr>
          <w:p w14:paraId="1E3FB5D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空间布局约束：</w:t>
            </w:r>
          </w:p>
          <w:p w14:paraId="32FE0AC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禁止开发建设活动的要求</w:t>
            </w:r>
          </w:p>
          <w:p w14:paraId="3B80660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在长江干支流、重要湖泊岸线一公里范围内新建、扩建化工园区和化工项目。禁止在长江干流岸线三公里范围内和重要支流岸线一公里范围内新建、改建、扩建尾矿库（以提升安全、生态环境保护水平为目的的改建除外）。</w:t>
            </w:r>
          </w:p>
          <w:p w14:paraId="0031BCE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-禁止在长江流域河湖管理范围内倾倒、填埋、堆放、弃置、处理固体废物。</w:t>
            </w:r>
          </w:p>
          <w:p w14:paraId="1F92384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-在禁燃区内禁止销售、燃用高污染燃料。禁燃区内禁止新建、扩建燃用高污染燃料的设施。</w:t>
            </w:r>
          </w:p>
          <w:p w14:paraId="7CB813A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-未通过认定的化工园区，不得新建、改扩建化工项目（安全、环保、节能和智能化改造项目除外），按属地原则依法依规妥善做好未通过认定化工园区及园内企业的转型、关闭、处置及监管工作。</w:t>
            </w:r>
          </w:p>
          <w:p w14:paraId="73216F3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限制开发建设活动的要求</w:t>
            </w:r>
          </w:p>
          <w:p w14:paraId="4C65D5A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-继续化解过剩产能，严禁钢铁、水泥、电解铝、平板玻璃等行业新增产能，对确有必要新建的必须实施等量或减量置换。</w:t>
            </w:r>
          </w:p>
          <w:p w14:paraId="4E205BC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-严格执行《矿产资源开采管理办法》的相关规定。</w:t>
            </w:r>
          </w:p>
          <w:p w14:paraId="46E0D56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p>
          <w:p w14:paraId="71A8462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不符合空间布局要求活动的退出要求</w:t>
            </w:r>
          </w:p>
          <w:p w14:paraId="1968C10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-现有属于园区禁止引入产业门类的企业，原则上限制发展，污染物排放只降不增，允许以提升安全、生态环境保护水平为目的的改建，引导企业结合产业升级等适时搬迁。</w:t>
            </w:r>
          </w:p>
          <w:p w14:paraId="7078459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其他空间布局约束要求</w:t>
            </w:r>
          </w:p>
          <w:p w14:paraId="2104CB9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w:t>
            </w:r>
          </w:p>
          <w:p w14:paraId="68B6EE0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污染物排放管控：</w:t>
            </w:r>
          </w:p>
          <w:p w14:paraId="2A10470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允许排放量要求</w:t>
            </w:r>
          </w:p>
          <w:p w14:paraId="6D4DD08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（1）为达2025年及2035年环境空气质量目标，14个工业重点管控单元大气污染物允许排放量2025年为：</w:t>
            </w:r>
            <w:r>
              <w:rPr>
                <w:rStyle w:val="58"/>
                <w:rFonts w:hint="eastAsia" w:eastAsia="宋体" w:cs="Times New Roman"/>
                <w:color w:val="auto"/>
                <w:kern w:val="0"/>
                <w:sz w:val="21"/>
                <w:szCs w:val="21"/>
                <w:lang w:val="en-US" w:eastAsia="zh-CN" w:bidi="ar-SA"/>
              </w:rPr>
              <w:t>PM2.5</w:t>
            </w:r>
            <w:r>
              <w:rPr>
                <w:rStyle w:val="58"/>
                <w:rFonts w:hint="default" w:ascii="Times New Roman" w:hAnsi="Times New Roman" w:eastAsia="宋体" w:cs="Times New Roman"/>
                <w:color w:val="auto"/>
                <w:kern w:val="0"/>
                <w:sz w:val="21"/>
                <w:szCs w:val="21"/>
                <w:lang w:val="en-US" w:eastAsia="zh-CN" w:bidi="ar-SA"/>
              </w:rPr>
              <w:t>允许排放量4950吨、SO2允许排放量3502吨、NOx允许排放量8906吨、VOCs 允许排放量12506吨，2035年为：</w:t>
            </w:r>
            <w:r>
              <w:rPr>
                <w:rStyle w:val="58"/>
                <w:rFonts w:hint="eastAsia" w:eastAsia="宋体" w:cs="Times New Roman"/>
                <w:color w:val="auto"/>
                <w:kern w:val="0"/>
                <w:sz w:val="21"/>
                <w:szCs w:val="21"/>
                <w:lang w:val="en-US" w:eastAsia="zh-CN" w:bidi="ar-SA"/>
              </w:rPr>
              <w:t>PM2.5</w:t>
            </w:r>
            <w:r>
              <w:rPr>
                <w:rStyle w:val="58"/>
                <w:rFonts w:hint="default" w:ascii="Times New Roman" w:hAnsi="Times New Roman" w:eastAsia="宋体" w:cs="Times New Roman"/>
                <w:color w:val="auto"/>
                <w:kern w:val="0"/>
                <w:sz w:val="21"/>
                <w:szCs w:val="21"/>
                <w:lang w:val="en-US" w:eastAsia="zh-CN" w:bidi="ar-SA"/>
              </w:rPr>
              <w:t>允许排放量4595吨、SO2允许排放量3133吨、NOx允许排放量8656吨、VOCs 允许排放量12098吨。（2）为保证2025、2035年区域地表水控制断面达标，15个工业重点管控单元COD、氨氮、总磷允许排放量2025年控制在233465.09吨、2863.81吨、409.92吨以下，2035年控制在24638.35吨、3007.02吨、430.41吨以下。</w:t>
            </w:r>
          </w:p>
          <w:p w14:paraId="6646C10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现有源提标升级改造</w:t>
            </w:r>
          </w:p>
          <w:p w14:paraId="6E46889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-污水收集处理率达100%。</w:t>
            </w:r>
          </w:p>
          <w:p w14:paraId="7BBF6DF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-推进工业园区污水处理设施建设，确保园区工业废水达标排放。</w:t>
            </w:r>
          </w:p>
          <w:p w14:paraId="1723EE1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完善园区及企业雨污分流系统，全面推进医药、化工等行业初期雨水收集处理，推动有条件的园区实施入园企业“一企一管、明管输送、实时监测”。加强企业废水预处理和排水管理，鼓励纳管企业与园区污水处理厂运营单位通过签订委托处理合同等方式协同处理废水。</w:t>
            </w:r>
          </w:p>
          <w:p w14:paraId="6B8B8A9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其他污染物排放管控要求</w:t>
            </w:r>
          </w:p>
          <w:p w14:paraId="2FDE7F7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1.污染物排放绩效水平准入要求：</w:t>
            </w:r>
          </w:p>
          <w:p w14:paraId="5D70F53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-新、改、扩建涉及VOCs排放项目，从原辅材料和工艺过程大力推广使用低（无）VOCs含量的涂料、有机溶剂、胶黏剂、油墨等原辅材料，配套改进生产工艺。</w:t>
            </w:r>
          </w:p>
          <w:p w14:paraId="27FDEFF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重点对工业涂装、包装印刷、制鞋、电子信息、木材加工、化纤等重点行业实施源头替代。推进木质家具制造行业水性、紫外光固化等低挥发性涂料替代比例达到60%以上、水性胶粘剂替代比例达到100%，钢结构制造行业高固体分涂料替代比例达到50%以上，包装印刷企业低VOCs含量绿色原辅材料替代比例达到60%以上。</w:t>
            </w:r>
          </w:p>
          <w:p w14:paraId="32A3BA6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-到2030年巴中中心城区污水处理率达到100%，工业废水排放达标率100%。</w:t>
            </w:r>
          </w:p>
          <w:p w14:paraId="2E67B27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2.化工园区应按照分类收集，分质处理的要求，配备专业化工生产废水集中处理设施（独立建设或依托骨干企业）及专管或明管输送的配套管网，化工生产废水纳管率达到100%。入河排污口设置应符合相关规定。</w:t>
            </w:r>
          </w:p>
          <w:p w14:paraId="112A951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3.重点行业建设项目应遵循重点重金属污染物排放“等量替代”原则。按国家规定，建设单位在提交环境影响评价文件时应明确重点重金属污染物排放总量及来源，无明确具体总量来源的，各级生态环境部门不得批准相关环境影响评价文件。重金属污染物排放总量替代管理豁免的情形参见《四川省“十四五”重金属污染防控工作方案》；重点行业、重点重金属的界定参见《四川省“十四五”重金属污染防控工作方案》。</w:t>
            </w:r>
          </w:p>
          <w:p w14:paraId="6AB7399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4.落实《四川省深入打好重污染天气消除、臭氧污染防治和柴油货车污染治理攻坚战实施方案》要求，推进重点行业超低排放改造和深度治理，加快实施低VOCs含量原辅材料替代，持续开展VOCs治理设施提级增效，强化VOCs无组织排放整治，加强非正常工况废气排放管控，推进涉VOCs产业集群治理提升，推进油品VOCs综合管控。</w:t>
            </w:r>
          </w:p>
          <w:p w14:paraId="7100DA8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环境风险防控：</w:t>
            </w:r>
          </w:p>
          <w:p w14:paraId="7BD811F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联防联控要求</w:t>
            </w:r>
          </w:p>
          <w:p w14:paraId="39B0C0A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强化大气污染区域联防联控措施，实施重污染天气应急管控。修订重污染天气应急预案，动态更新污染源排放清单，落实重点企业错峰生产、压产限产、工地停工等强制性措施，有效减缓重污染天气影响。</w:t>
            </w:r>
          </w:p>
          <w:p w14:paraId="7C765ED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其他环境风险防控要求</w:t>
            </w:r>
          </w:p>
          <w:p w14:paraId="46E404A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-涉及有毒有害、易燃易爆物质新建、改扩建项目，严控准入要求。</w:t>
            </w:r>
          </w:p>
          <w:p w14:paraId="61DCB2A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园区风险防控体系要求：构建三级环境风险防控体系，强化危化品泄漏应急处置措施，确保风险可控。针对化工园区进一步强化风险防控。化工园区应具有安全风险监控体系、建立生态环境监测监控体系、建立必要的突发环境事件应急体系。</w:t>
            </w:r>
          </w:p>
          <w:p w14:paraId="652DD04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有色金属冶炼、石油加工、化工、焦化、电镀、制革等行业企业拆除生产设施设备、构筑物和污染治理设施，要事先制定残留污染物清理和安全处置方案，要严格按照有关规定实施安全处理处置，防范拆除活动污染土壤。</w:t>
            </w:r>
          </w:p>
          <w:p w14:paraId="3E484A8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-已污染地块，应当依法开展土壤污染状况调查、治理与修复，符合相关环境质量要求后，方可进入用地程序。</w:t>
            </w:r>
          </w:p>
          <w:p w14:paraId="57426B3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资源开发利用效率要求：</w:t>
            </w:r>
          </w:p>
          <w:p w14:paraId="61100F0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水资源利用总量要求</w:t>
            </w:r>
          </w:p>
          <w:p w14:paraId="4495BC9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-到2022年，万元国内生产总值用水量、万元工业增加值用水量较2015年分别降低30%和28%。</w:t>
            </w:r>
          </w:p>
          <w:p w14:paraId="74940E6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p>
          <w:p w14:paraId="63EBD89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地下水开采要求</w:t>
            </w:r>
          </w:p>
          <w:p w14:paraId="04AED4F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-巴中市2025年地下水开采</w:t>
            </w:r>
            <w:r>
              <w:rPr>
                <w:rStyle w:val="58"/>
                <w:rFonts w:hint="eastAsia" w:eastAsia="宋体" w:cs="Times New Roman"/>
                <w:color w:val="auto"/>
                <w:kern w:val="0"/>
                <w:sz w:val="21"/>
                <w:szCs w:val="21"/>
                <w:lang w:val="en-US" w:eastAsia="zh-CN" w:bidi="ar-SA"/>
              </w:rPr>
              <w:t>控制</w:t>
            </w:r>
            <w:r>
              <w:rPr>
                <w:rStyle w:val="58"/>
                <w:rFonts w:hint="default" w:ascii="Times New Roman" w:hAnsi="Times New Roman" w:eastAsia="宋体" w:cs="Times New Roman"/>
                <w:color w:val="auto"/>
                <w:kern w:val="0"/>
                <w:sz w:val="21"/>
                <w:szCs w:val="21"/>
                <w:lang w:val="en-US" w:eastAsia="zh-CN" w:bidi="ar-SA"/>
              </w:rPr>
              <w:t>量保持在1400万m³以内。</w:t>
            </w:r>
          </w:p>
          <w:p w14:paraId="72A74EF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-地下水开采量控制在可开采量的允 许范围内，抑制用水过度增长。</w:t>
            </w:r>
          </w:p>
          <w:p w14:paraId="4A2E5C1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能源利用总量及效率要求</w:t>
            </w:r>
          </w:p>
          <w:p w14:paraId="4EE4FB3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-新、改扩建项目污染能耗指标满足《四川省省级生态工业园区指标》综合类生态工业园区要求。</w:t>
            </w:r>
          </w:p>
          <w:p w14:paraId="01C7181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-实施新建项目与煤炭消费总量控制挂钩机制，耗煤建设项目实行煤炭消耗等量减量替代。</w:t>
            </w:r>
          </w:p>
          <w:p w14:paraId="277FBB7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-提高煤炭利用效率和天然气利用占比，工业领域有序推进“煤改电”和有序推进“煤改气”。</w:t>
            </w:r>
          </w:p>
          <w:p w14:paraId="551218D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-全面淘汰每小时10蒸吨以下的燃煤锅炉；在供气管网覆盖不到的其他地区，改用电、新能源或洁净煤。</w:t>
            </w:r>
          </w:p>
          <w:p w14:paraId="006C27B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原则上不再新建35蒸吨/小时及以下的燃煤锅炉，推进县级及以上城市建成区淘汰35蒸吨/小时及以下燃煤锅炉，以工业余热、电厂热力、清洁能源等替代煤炭。对20蒸吨及以上燃煤锅炉实施脱硫改造，建设高效脱硫设施；对循环流化床锅炉以外的燃煤发电机组一律安装脱硫设施，对燃煤锅炉和工业锅炉现有除尘设施实施升级改造，确保达到新的排放标准和特别排放限值。</w:t>
            </w:r>
          </w:p>
          <w:p w14:paraId="47CA316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禁燃区要求</w:t>
            </w:r>
          </w:p>
          <w:p w14:paraId="08E2FAB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在禁燃区内禁止销售、燃用高污染燃料。禁燃区内禁止新建、扩建燃用高污染燃料的设施。已建成的，应当于2021年12月31日前改用天然气、页岩气、液化石油气、电或其他清洁能源。现有燃用高污染燃料燃用设施在拆除或改造前，有关单位（企业）应当采取措施，确保大气污染物排放达到国家规定标准。</w:t>
            </w:r>
          </w:p>
          <w:p w14:paraId="3F964F8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其他资源利用效率要求</w:t>
            </w:r>
          </w:p>
          <w:p w14:paraId="23E68BD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到2025年，巴中市万元工业增加值用水降低至22.4m³，工业用水重复利用率达到75.5%以上；到2030年，巴中市万元工业增加值用水量降低到17.1m³，工业用水重复利用率达到81.3%以上。</w:t>
            </w:r>
          </w:p>
          <w:p w14:paraId="5E46E2E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-新、改扩建项目污染水耗指标满足《四川省省级生态工业园区指标》综合类生态工业园区要求。</w:t>
            </w:r>
          </w:p>
          <w:p w14:paraId="4DEF6CE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鼓励引导新建、改建、扩建工业园区应当按照有关要求统筹建设工业废水集中处理和回用设施，适时推进企业间串联用水、分质用水、一水多用，实现水循环梯级优化利用和废水集中处理回用，创建节水型工业园区。</w:t>
            </w:r>
          </w:p>
          <w:p w14:paraId="2514B23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鼓励火力发电、钢铁、纺织、造纸、石化和化工、食品和发酵等高耗水企业对废水进行深度处理回用，降低单位产品耗水量。火电、石化、钢铁、有色、造纸、印染等高耗水行业项目具备使用再生水条件但未有效利用的，要严格控制新增取水许可</w:t>
            </w:r>
          </w:p>
        </w:tc>
        <w:tc>
          <w:tcPr>
            <w:tcW w:w="1364" w:type="dxa"/>
            <w:tcBorders>
              <w:tl2br w:val="nil"/>
              <w:tr2bl w:val="nil"/>
            </w:tcBorders>
            <w:noWrap w:val="0"/>
            <w:vAlign w:val="center"/>
          </w:tcPr>
          <w:p w14:paraId="02D1F3F1">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污染物排放管控</w:t>
            </w:r>
          </w:p>
        </w:tc>
        <w:tc>
          <w:tcPr>
            <w:tcW w:w="4130" w:type="dxa"/>
            <w:tcBorders>
              <w:tl2br w:val="nil"/>
              <w:tr2bl w:val="nil"/>
            </w:tcBorders>
            <w:noWrap w:val="0"/>
            <w:vAlign w:val="center"/>
          </w:tcPr>
          <w:p w14:paraId="5047EF66">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现有源提标升级改造</w:t>
            </w:r>
          </w:p>
          <w:p w14:paraId="7FBD967D">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（1）项目产生的生产废水由企业自行处理达到《污水排放综合标准》三级或相应的行业排放标准后排入园区污水处理厂处理</w:t>
            </w:r>
            <w:r>
              <w:rPr>
                <w:rStyle w:val="58"/>
                <w:rFonts w:hint="eastAsia" w:eastAsia="宋体" w:cs="Times New Roman"/>
                <w:color w:val="auto"/>
                <w:kern w:val="2"/>
                <w:sz w:val="21"/>
                <w:szCs w:val="21"/>
                <w:lang w:val="en-US" w:eastAsia="zh-CN" w:bidi="ar-SA"/>
              </w:rPr>
              <w:t>达到</w:t>
            </w:r>
            <w:r>
              <w:rPr>
                <w:rStyle w:val="58"/>
                <w:rFonts w:hint="default" w:ascii="Times New Roman" w:hAnsi="Times New Roman" w:eastAsia="宋体" w:cs="Times New Roman"/>
                <w:color w:val="auto"/>
                <w:kern w:val="2"/>
                <w:sz w:val="21"/>
                <w:szCs w:val="21"/>
                <w:lang w:val="en-US" w:eastAsia="zh-CN" w:bidi="ar-SA"/>
              </w:rPr>
              <w:t>《城镇污水处理厂污染物排放标准》一级A标或更严格标准后排放。</w:t>
            </w:r>
          </w:p>
          <w:p w14:paraId="547DDF06">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（2）其他执行工业重点管控单元普适性管控要求。</w:t>
            </w:r>
          </w:p>
          <w:p w14:paraId="57457D93">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新增源等量或倍量替代</w:t>
            </w:r>
          </w:p>
          <w:p w14:paraId="5A13502B">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执行工业重点管控单元普适性管控要求。</w:t>
            </w:r>
          </w:p>
          <w:p w14:paraId="3EA68FD6">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新增源排放标准限值</w:t>
            </w:r>
          </w:p>
          <w:p w14:paraId="56762308">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执行工业重点管控单元普适性管控要求。</w:t>
            </w:r>
          </w:p>
          <w:p w14:paraId="5AFC92D8">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污染物排放绩效水平准入要求</w:t>
            </w:r>
          </w:p>
          <w:p w14:paraId="1A4367E3">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执行工业重点管控单元普适性管控要求。</w:t>
            </w:r>
          </w:p>
          <w:p w14:paraId="22ADB141">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其他污染物排放管控要求</w:t>
            </w:r>
          </w:p>
          <w:p w14:paraId="6D34EC88">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78171AA7">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本项目为新建工业废水处理厂，园区污水经本污水处理厂达到《城镇污水处理厂污染物排放标准》一级A标后排入巴河；满足工业重点管控单元普适性管控要求。</w:t>
            </w:r>
          </w:p>
        </w:tc>
        <w:tc>
          <w:tcPr>
            <w:tcW w:w="494" w:type="dxa"/>
            <w:tcBorders>
              <w:tl2br w:val="nil"/>
              <w:tr2bl w:val="nil"/>
            </w:tcBorders>
            <w:noWrap w:val="0"/>
            <w:vAlign w:val="center"/>
          </w:tcPr>
          <w:p w14:paraId="41408B0F">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符合</w:t>
            </w:r>
          </w:p>
        </w:tc>
      </w:tr>
      <w:tr w14:paraId="3FC29A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3EA69BD4">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ZH51190220004</w:t>
            </w:r>
          </w:p>
        </w:tc>
        <w:tc>
          <w:tcPr>
            <w:tcW w:w="912" w:type="dxa"/>
            <w:vMerge w:val="continue"/>
            <w:tcBorders>
              <w:tl2br w:val="nil"/>
              <w:tr2bl w:val="nil"/>
            </w:tcBorders>
            <w:noWrap w:val="0"/>
            <w:vAlign w:val="center"/>
          </w:tcPr>
          <w:p w14:paraId="046A8FE6">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巴中新能源新材料产业园（曾口区块）</w:t>
            </w:r>
          </w:p>
        </w:tc>
        <w:tc>
          <w:tcPr>
            <w:tcW w:w="4669" w:type="dxa"/>
            <w:vMerge w:val="continue"/>
            <w:tcBorders>
              <w:tl2br w:val="nil"/>
              <w:tr2bl w:val="nil"/>
            </w:tcBorders>
            <w:noWrap w:val="0"/>
            <w:vAlign w:val="center"/>
          </w:tcPr>
          <w:p w14:paraId="66D6A41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空间布局约束：</w:t>
            </w:r>
          </w:p>
          <w:p w14:paraId="0253D0D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禁止开发建设活动的要求</w:t>
            </w:r>
          </w:p>
          <w:p w14:paraId="57A3BC0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在长江干支流、重要湖泊岸线一公里范围内新建、扩建化工园区和化工项目。禁止在长江干流岸线三公里范围内和重要支流岸线一公里范围内新建、改建、扩建尾矿库（以提升安全、生态环境保护水平为目的的改建除外）。</w:t>
            </w:r>
          </w:p>
          <w:p w14:paraId="7253E5F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-禁止在长江流域河湖管理范围内倾倒、填埋、堆放、弃置、处理固体废物。</w:t>
            </w:r>
          </w:p>
          <w:p w14:paraId="206D5C4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-在禁燃区内禁止销售、燃用高污染燃料。禁燃区内禁止新建、扩建燃用高污染燃料的设施。</w:t>
            </w:r>
          </w:p>
          <w:p w14:paraId="237905A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-未通过认定的化工园区，不得新建、改扩建化工项目（安全、环保、节能和智能化改造项目除外），按属地原则依法依规妥善做好未通过认定化工园区及园内企业的转型、关闭、处置及监管工作。</w:t>
            </w:r>
          </w:p>
          <w:p w14:paraId="7E5FCB7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限制开发建设活动的要求</w:t>
            </w:r>
          </w:p>
          <w:p w14:paraId="712556F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-继续化解过剩产能，严禁钢铁、水泥、电解铝、平板玻璃等行业新增产能，对确有必要新建的必须实施等量或减量置换。</w:t>
            </w:r>
          </w:p>
          <w:p w14:paraId="1CD0211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-严格执行《矿产资源开采管理办法》的相关规定。</w:t>
            </w:r>
          </w:p>
          <w:p w14:paraId="5AD3112E">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p>
          <w:p w14:paraId="72C76EF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不符合空间布局要求活动的退出要求</w:t>
            </w:r>
          </w:p>
          <w:p w14:paraId="32C0BAF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-现有属于园区禁止引入产业门类的企业，原则上限制发展，污染物排放只降不增，允许以提升安全、生态环境保护水平为目的的改建，引导企业结合产业升级等适时搬迁。</w:t>
            </w:r>
          </w:p>
          <w:p w14:paraId="7A72E62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其他空间布局约束要求</w:t>
            </w:r>
          </w:p>
          <w:p w14:paraId="37E4F44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w:t>
            </w:r>
          </w:p>
          <w:p w14:paraId="6C8253A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污染物排放管控：</w:t>
            </w:r>
          </w:p>
          <w:p w14:paraId="50AE720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允许排放量要求</w:t>
            </w:r>
          </w:p>
          <w:p w14:paraId="053D667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（1）为达2025年及2035年环境空气质量目标，14个工业重点管控单元大气污染物允许排放量2025年为：</w:t>
            </w:r>
            <w:r>
              <w:rPr>
                <w:rStyle w:val="58"/>
                <w:rFonts w:hint="eastAsia" w:eastAsia="宋体" w:cs="Times New Roman"/>
                <w:color w:val="auto"/>
                <w:kern w:val="0"/>
                <w:sz w:val="21"/>
                <w:szCs w:val="21"/>
                <w:lang w:val="en-US" w:eastAsia="zh-CN" w:bidi="ar-SA"/>
              </w:rPr>
              <w:t>PM2.5</w:t>
            </w:r>
            <w:r>
              <w:rPr>
                <w:rStyle w:val="58"/>
                <w:rFonts w:hint="default" w:ascii="Times New Roman" w:hAnsi="Times New Roman" w:eastAsia="宋体" w:cs="Times New Roman"/>
                <w:color w:val="auto"/>
                <w:kern w:val="0"/>
                <w:sz w:val="21"/>
                <w:szCs w:val="21"/>
                <w:lang w:val="en-US" w:eastAsia="zh-CN" w:bidi="ar-SA"/>
              </w:rPr>
              <w:t>允许排放量4950吨、SO2允许排放量3502吨、NOx允许排放量8906吨、VOCs 允许排放量12506吨，2035年为：</w:t>
            </w:r>
            <w:r>
              <w:rPr>
                <w:rStyle w:val="58"/>
                <w:rFonts w:hint="eastAsia" w:eastAsia="宋体" w:cs="Times New Roman"/>
                <w:color w:val="auto"/>
                <w:kern w:val="0"/>
                <w:sz w:val="21"/>
                <w:szCs w:val="21"/>
                <w:lang w:val="en-US" w:eastAsia="zh-CN" w:bidi="ar-SA"/>
              </w:rPr>
              <w:t>PM2.5</w:t>
            </w:r>
            <w:r>
              <w:rPr>
                <w:rStyle w:val="58"/>
                <w:rFonts w:hint="default" w:ascii="Times New Roman" w:hAnsi="Times New Roman" w:eastAsia="宋体" w:cs="Times New Roman"/>
                <w:color w:val="auto"/>
                <w:kern w:val="0"/>
                <w:sz w:val="21"/>
                <w:szCs w:val="21"/>
                <w:lang w:val="en-US" w:eastAsia="zh-CN" w:bidi="ar-SA"/>
              </w:rPr>
              <w:t>允许排放量4595吨、SO2允许排放量3133吨、NOx允许排放量8656吨、VOCs 允许排放量12098吨。（2）为保证2025、2035年区域地表水控制断面达标，15个工业重点管控单元COD、氨氮、总磷允许排放量2025年控制在233465.09吨、2863.81吨、409.92吨以下，2035年控制在24638.35吨、3007.02吨、430.41吨以下。</w:t>
            </w:r>
          </w:p>
          <w:p w14:paraId="59CB611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现有源提标升级改造</w:t>
            </w:r>
          </w:p>
          <w:p w14:paraId="7CFA8A0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-污水收集处理率达100%。</w:t>
            </w:r>
          </w:p>
          <w:p w14:paraId="6D96222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-推进工业园区污水处理设施建设，确保园区工业废水达标排放。</w:t>
            </w:r>
          </w:p>
          <w:p w14:paraId="0A2E5E7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完善园区及企业雨污分流系统，全面推进医药、化工等行业初期雨水收集处理，推动有条件的园区实施入园企业“一企一管、明管输送、实时监测”。加强企业废水预处理和排水管理，鼓励纳管企业与园区污水处理厂运营单位通过签订委托处理合同等方式协同处理废水。</w:t>
            </w:r>
          </w:p>
          <w:p w14:paraId="022805D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其他污染物排放管控要求</w:t>
            </w:r>
          </w:p>
          <w:p w14:paraId="1670B48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1.污染物排放绩效水平准入要求：</w:t>
            </w:r>
          </w:p>
          <w:p w14:paraId="6854303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-新、改、扩建涉及VOCs排放项目，从原辅材料和工艺过程大力推广使用低（无）VOCs含量的涂料、有机溶剂、胶黏剂、油墨等原辅材料，配套改进生产工艺。</w:t>
            </w:r>
          </w:p>
          <w:p w14:paraId="1360D5C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重点对工业涂装、包装印刷、制鞋、电子信息、木材加工、化纤等重点行业实施源头替代。推进木质家具制造行业水性、紫外光固化等低挥发性涂料替代比例达到60%以上、水性胶粘剂替代比例达到100%，钢结构制造行业高固体分涂料替代比例达到50%以上，包装印刷企业低VOCs含量绿色原辅材料替代比例达到60%以上。</w:t>
            </w:r>
          </w:p>
          <w:p w14:paraId="7CDA37E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-到2030年巴中中心城区污水处理率达到100%，工业废水排放达标率100%。</w:t>
            </w:r>
          </w:p>
          <w:p w14:paraId="5C4559C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2.化工园区应按照分类收集，分质处理的要求，配备专业化工生产废水集中处理设施（独立建设或依托骨干企业）及专管或明管输送的配套管网，化工生产废水纳管率达到100%。入河排污口设置应符合相关规定。</w:t>
            </w:r>
          </w:p>
          <w:p w14:paraId="6D35F54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3.重点行业建设项目应遵循重点重金属污染物排放“等量替代”原则。按国家规定，建设单位在提交环境影响评价文件时应明确重点重金属污染物排放总量及来源，无明确具体总量来源的，各级生态环境部门不得批准相关环境影响评价文件。重金属污染物排放总量替代管理豁免的情形参见《四川省“十四五”重金属污染防控工作方案》；重点行业、重点重金属的界定参见《四川省“十四五”重金属污染防控工作方案》。</w:t>
            </w:r>
          </w:p>
          <w:p w14:paraId="49E0DCE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4.落实《四川省深入打好重污染天气消除、臭氧污染防治和柴油货车污染治理攻坚战实施方案》要求，推进重点行业超低排放改造和深度治理，加快实施低VOCs含量原辅材料替代，持续开展VOCs治理设施提级增效，强化VOCs无组织排放整治，加强非正常工况废气排放管控，推进涉VOCs产业集群治理提升，推进油品VOCs综合管控。</w:t>
            </w:r>
          </w:p>
          <w:p w14:paraId="0C61AAD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环境风险防控：</w:t>
            </w:r>
          </w:p>
          <w:p w14:paraId="4D7766C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联防联控要求</w:t>
            </w:r>
          </w:p>
          <w:p w14:paraId="3D89401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强化大气污染区域联防联控措施，实施重污染天气应急管控。修订重污染天气应急预案，动态更新污染源排放清单，落实重点企业错峰生产、压产限产、工地停工等强制性措施，有效减缓重污染天气影响。</w:t>
            </w:r>
          </w:p>
          <w:p w14:paraId="09A31E9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其他环境风险防控要求</w:t>
            </w:r>
          </w:p>
          <w:p w14:paraId="546A786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-涉及有毒有害、易燃易爆物质新建、改扩建项目，严控准入要求。</w:t>
            </w:r>
          </w:p>
          <w:p w14:paraId="557709B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园区风险防控体系要求：构建三级环境风险防控体系，强化危化品泄漏应急处置措施，确保风险可控。针对化工园区进一步强化风险防控。化工园区应具有安全风险监控体系、建立生态环境监测监控体系、建立必要的突发环境事件应急体系。</w:t>
            </w:r>
          </w:p>
          <w:p w14:paraId="49CE207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有色金属冶炼、石油加工、化工、焦化、电镀、制革等行业企业拆除生产设施设备、构筑物和污染治理设施，要事先制定残留污染物清理和安全处置方案，要严格按照有关规定实施安全处理处置，防范拆除活动污染土壤。</w:t>
            </w:r>
          </w:p>
          <w:p w14:paraId="0A85976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-已污染地块，应当依法开展土壤污染状况调查、治理与修复，符合相关环境质量要求后，方可进入用地程序。</w:t>
            </w:r>
          </w:p>
          <w:p w14:paraId="78167A1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资源开发利用效率要求：</w:t>
            </w:r>
          </w:p>
          <w:p w14:paraId="0BBA97A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水资源利用总量要求</w:t>
            </w:r>
          </w:p>
          <w:p w14:paraId="41C328B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-到2022年，万元国内生产总值用水量、万元工业增加值用水量较2015年分别降低30%和28%。</w:t>
            </w:r>
          </w:p>
          <w:p w14:paraId="2880D49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p>
          <w:p w14:paraId="4A52835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地下水开采要求</w:t>
            </w:r>
          </w:p>
          <w:p w14:paraId="29A887A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-巴中市2025年地下水开采控制控制量保持在1400万m³以内。</w:t>
            </w:r>
          </w:p>
          <w:p w14:paraId="08EE2C4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-地下水开采量控制在可开采量的允 许范围内，抑制用水过度增长。</w:t>
            </w:r>
          </w:p>
          <w:p w14:paraId="0B8AC1A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能源利用总量及效率要求</w:t>
            </w:r>
          </w:p>
          <w:p w14:paraId="6D1F501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-新、改扩建项目污染能耗指标满足《四川省省级生态工业园区指标》综合类生态工业园区要求。</w:t>
            </w:r>
          </w:p>
          <w:p w14:paraId="18246FC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-实施新建项目与煤炭消费总量控制挂钩机制，耗煤建设项目实行煤炭消耗等量减量替代。</w:t>
            </w:r>
          </w:p>
          <w:p w14:paraId="1E2E134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-提高煤炭利用效率和天然气利用占比，工业领域有序推进“煤改电”和有序推进“煤改气”。</w:t>
            </w:r>
          </w:p>
          <w:p w14:paraId="5A68750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-全面淘汰每小时10蒸吨以下的燃煤锅炉；在供气管网覆盖不到的其他地区，改用电、新能源或洁净煤。</w:t>
            </w:r>
          </w:p>
          <w:p w14:paraId="0193382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原则上不再新建35蒸吨/小时及以下的燃煤锅炉，推进县级及以上城市建成区淘汰35蒸吨/小时及以下燃煤锅炉，以工业余热、电厂热力、清洁能源等替代煤炭。对20蒸吨及以上燃煤锅炉实施脱硫改造，建设高效脱硫设施；对循环流化床锅炉以外的燃煤发电机组一律安装脱硫设施，对燃煤锅炉和工业锅炉现有除尘设施实施升级改造，确保达到新的排放标准和特别排放限值。</w:t>
            </w:r>
          </w:p>
          <w:p w14:paraId="5D41CB3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禁燃区要求</w:t>
            </w:r>
          </w:p>
          <w:p w14:paraId="7C48BD6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在禁燃区内禁止销售、燃用高污染燃料。禁燃区内禁止新建、扩建燃用高污染燃料的设施。已建成的，应当于2021年12月31日前改用天然气、页岩气、液化石油气、电或其他清洁能源。现有燃用高污染燃料燃用设施在拆除或改造前，有关单位（企业）应当采取措施，确保大气污染物排放达到国家规定标准。</w:t>
            </w:r>
          </w:p>
          <w:p w14:paraId="50E7862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其他资源利用效率要求</w:t>
            </w:r>
          </w:p>
          <w:p w14:paraId="1904C35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到2025年，巴中市万元工业增加值用水降低至22.4m³，工业用水重复利用率达到75.5%以上；到2030年，巴中市万元工业增加值用水量降低到17.1m³，工业用水重复利用率达到81.3%以上。</w:t>
            </w:r>
          </w:p>
          <w:p w14:paraId="0E01DC3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-新、改扩建项目污染水耗指标满足《四川省省级生态工业园区指标》综合类生态工业园区要求。</w:t>
            </w:r>
          </w:p>
          <w:p w14:paraId="5FAE6BC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鼓励引导新建、改建、扩建工业园区应当按照有关要求统筹建设工业废水集中处理和回用设施，适时推进企业间串联用水、分质用水、一水多用，实现水循环梯级优化利用和废水集中处理回用，创建节水型工业园区。</w:t>
            </w:r>
          </w:p>
          <w:p w14:paraId="21758AA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鼓励火力发电、钢铁、纺织、造纸、石化和化工、食品和发酵等高耗水企业对废水进行深度处理回用，降低单位产品耗水量。火电、石化、钢铁、有色、造纸、印染等高耗水行业项目具备使用再生水条件但未有效利用的，要严格控制新增取水许可</w:t>
            </w:r>
          </w:p>
        </w:tc>
        <w:tc>
          <w:tcPr>
            <w:tcW w:w="1364" w:type="dxa"/>
            <w:tcBorders>
              <w:tl2br w:val="nil"/>
              <w:tr2bl w:val="nil"/>
            </w:tcBorders>
            <w:noWrap w:val="0"/>
            <w:vAlign w:val="center"/>
          </w:tcPr>
          <w:p w14:paraId="6B36C3C4">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环境风险防控</w:t>
            </w:r>
          </w:p>
        </w:tc>
        <w:tc>
          <w:tcPr>
            <w:tcW w:w="4130" w:type="dxa"/>
            <w:tcBorders>
              <w:tl2br w:val="nil"/>
              <w:tr2bl w:val="nil"/>
            </w:tcBorders>
            <w:noWrap w:val="0"/>
            <w:vAlign w:val="center"/>
          </w:tcPr>
          <w:p w14:paraId="4D955D26">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严格管控类农用地管控要求</w:t>
            </w:r>
          </w:p>
          <w:p w14:paraId="63AAD728">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执行工业重点管控单元普适性管控要求。</w:t>
            </w:r>
          </w:p>
          <w:p w14:paraId="11C7C898">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安全利用类农用地管控要求</w:t>
            </w:r>
          </w:p>
          <w:p w14:paraId="08AEE2BF">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执行工业重点管控单元普适性管控要求。</w:t>
            </w:r>
          </w:p>
          <w:p w14:paraId="3EA92C86">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污染地块管控要求</w:t>
            </w:r>
          </w:p>
          <w:p w14:paraId="1EECC422">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执行工业重点管控单元普适性管控要求。</w:t>
            </w:r>
          </w:p>
          <w:p w14:paraId="0680F9E5">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园区环境风险防控要求</w:t>
            </w:r>
          </w:p>
          <w:p w14:paraId="5620254A">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高度重视园区环境安全工作，构建“企业-园区-流域”三级防控体系，实现“事故废水不出涉事企业、不出园区管网、不进园区周边水系”的风险防控目标。</w:t>
            </w:r>
          </w:p>
          <w:p w14:paraId="3A149AE8">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其他执行工业重点管控单元普适性管控要求。</w:t>
            </w:r>
          </w:p>
          <w:p w14:paraId="351FD1F6">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企业环境风险防控要求</w:t>
            </w:r>
          </w:p>
          <w:p w14:paraId="55F1E9D0">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（1）严禁企业自设工业垃圾填埋场所。</w:t>
            </w:r>
          </w:p>
          <w:p w14:paraId="73A68806">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（2）其他执行工业重点管控单元普适性管控要求。</w:t>
            </w:r>
          </w:p>
          <w:p w14:paraId="20127329">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其他环境风险防控要求</w:t>
            </w:r>
          </w:p>
          <w:p w14:paraId="02C88B68">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1491B311">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本项目不设置工业垃圾填埋场，厂区内设置应急体系，并于园区联动，实现“事故废水不出涉事企业、不出园区管网、不进园区周边水系”的风险防控目标，满足工业重点管控单元普适性管控要求</w:t>
            </w:r>
          </w:p>
        </w:tc>
        <w:tc>
          <w:tcPr>
            <w:tcW w:w="494" w:type="dxa"/>
            <w:tcBorders>
              <w:tl2br w:val="nil"/>
              <w:tr2bl w:val="nil"/>
            </w:tcBorders>
            <w:noWrap w:val="0"/>
            <w:vAlign w:val="center"/>
          </w:tcPr>
          <w:p w14:paraId="48B13079">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符合</w:t>
            </w:r>
          </w:p>
        </w:tc>
      </w:tr>
      <w:tr w14:paraId="5404C1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25" w:type="dxa"/>
            <w:vMerge w:val="continue"/>
            <w:tcBorders>
              <w:tl2br w:val="nil"/>
              <w:tr2bl w:val="nil"/>
            </w:tcBorders>
            <w:noWrap w:val="0"/>
            <w:vAlign w:val="center"/>
          </w:tcPr>
          <w:p w14:paraId="162DA5B1">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ZH51190220004</w:t>
            </w:r>
          </w:p>
        </w:tc>
        <w:tc>
          <w:tcPr>
            <w:tcW w:w="912" w:type="dxa"/>
            <w:vMerge w:val="continue"/>
            <w:tcBorders>
              <w:tl2br w:val="nil"/>
              <w:tr2bl w:val="nil"/>
            </w:tcBorders>
            <w:noWrap w:val="0"/>
            <w:vAlign w:val="center"/>
          </w:tcPr>
          <w:p w14:paraId="0A884E12">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巴中新能源新材料产业园（曾口区块）</w:t>
            </w:r>
          </w:p>
        </w:tc>
        <w:tc>
          <w:tcPr>
            <w:tcW w:w="4669" w:type="dxa"/>
            <w:vMerge w:val="continue"/>
            <w:tcBorders>
              <w:tl2br w:val="nil"/>
              <w:tr2bl w:val="nil"/>
            </w:tcBorders>
            <w:noWrap w:val="0"/>
            <w:vAlign w:val="center"/>
          </w:tcPr>
          <w:p w14:paraId="4C7BB49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空间布局约束：</w:t>
            </w:r>
          </w:p>
          <w:p w14:paraId="1020FDE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禁止开发建设活动的要求</w:t>
            </w:r>
          </w:p>
          <w:p w14:paraId="0DC8DD3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在长江干支流、重要湖泊岸线一公里范围内新建、扩建化工园区和化工项目。禁止在长江干流岸线三公里范围内和重要支流岸线一公里范围内新建、改建、扩建尾矿库（以提升安全、生态环境保护水平为目的的改建除外）。</w:t>
            </w:r>
          </w:p>
          <w:p w14:paraId="037CB0A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-禁止在长江流域河湖管理范围内倾倒、填埋、堆放、弃置、处理固体废物。</w:t>
            </w:r>
          </w:p>
          <w:p w14:paraId="22AC65A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-在禁燃区内禁止销售、燃用高污染燃料。禁燃区内禁止新建、扩建燃用高污染燃料的设施。</w:t>
            </w:r>
          </w:p>
          <w:p w14:paraId="40FEF87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-未通过认定的化工园区，不得新建、改扩建化工项目（安全、环保、节能和智能化改造项目除外），按属地原则依法依规妥善做好未通过认定化工园区及园内企业的转型、关闭、处置及监管工作。</w:t>
            </w:r>
          </w:p>
          <w:p w14:paraId="65880615">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限制开发建设活动的要求</w:t>
            </w:r>
          </w:p>
          <w:p w14:paraId="7801394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-继续化解过剩产能，严禁钢铁、水泥、电解铝、平板玻璃等行业新增产能，对确有必要新建的必须实施等量或减量置换。</w:t>
            </w:r>
          </w:p>
          <w:p w14:paraId="56E893A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-严格执行《矿产资源开采管理办法》的相关规定。</w:t>
            </w:r>
          </w:p>
          <w:p w14:paraId="122D4FC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p>
          <w:p w14:paraId="288F2BC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不符合空间布局要求活动的退出要求</w:t>
            </w:r>
          </w:p>
          <w:p w14:paraId="17622147">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-现有属于园区禁止引入产业门类的企业，原则上限制发展，污染物排放只降不增，允许以提升安全、生态环境保护水平为目的的改建，引导企业结合产业升级等适时搬迁。</w:t>
            </w:r>
          </w:p>
          <w:p w14:paraId="2883B90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其他空间布局约束要求</w:t>
            </w:r>
          </w:p>
          <w:p w14:paraId="74F4B8B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w:t>
            </w:r>
          </w:p>
          <w:p w14:paraId="1891753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污染物排放管控：</w:t>
            </w:r>
          </w:p>
          <w:p w14:paraId="067EC1A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允许排放量要求</w:t>
            </w:r>
          </w:p>
          <w:p w14:paraId="1B77CCA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（1）为达2025年及2035年环境空气质量目标，14个工业重点管控单元大气污染物允许排放量2025年为：</w:t>
            </w:r>
            <w:r>
              <w:rPr>
                <w:rStyle w:val="58"/>
                <w:rFonts w:hint="eastAsia" w:eastAsia="宋体" w:cs="Times New Roman"/>
                <w:color w:val="auto"/>
                <w:kern w:val="0"/>
                <w:sz w:val="21"/>
                <w:szCs w:val="21"/>
                <w:lang w:val="en-US" w:eastAsia="zh-CN" w:bidi="ar-SA"/>
              </w:rPr>
              <w:t>PM2.5</w:t>
            </w:r>
            <w:r>
              <w:rPr>
                <w:rStyle w:val="58"/>
                <w:rFonts w:hint="default" w:ascii="Times New Roman" w:hAnsi="Times New Roman" w:eastAsia="宋体" w:cs="Times New Roman"/>
                <w:color w:val="auto"/>
                <w:kern w:val="0"/>
                <w:sz w:val="21"/>
                <w:szCs w:val="21"/>
                <w:lang w:val="en-US" w:eastAsia="zh-CN" w:bidi="ar-SA"/>
              </w:rPr>
              <w:t>允许排放量4950吨、SO2允许排放量3502吨、NOx允许排放量8906吨、VOCs 允许排放量12506吨，2035年为：</w:t>
            </w:r>
            <w:r>
              <w:rPr>
                <w:rStyle w:val="58"/>
                <w:rFonts w:hint="eastAsia" w:eastAsia="宋体" w:cs="Times New Roman"/>
                <w:color w:val="auto"/>
                <w:kern w:val="0"/>
                <w:sz w:val="21"/>
                <w:szCs w:val="21"/>
                <w:lang w:val="en-US" w:eastAsia="zh-CN" w:bidi="ar-SA"/>
              </w:rPr>
              <w:t>PM2.5</w:t>
            </w:r>
            <w:r>
              <w:rPr>
                <w:rStyle w:val="58"/>
                <w:rFonts w:hint="default" w:ascii="Times New Roman" w:hAnsi="Times New Roman" w:eastAsia="宋体" w:cs="Times New Roman"/>
                <w:color w:val="auto"/>
                <w:kern w:val="0"/>
                <w:sz w:val="21"/>
                <w:szCs w:val="21"/>
                <w:lang w:val="en-US" w:eastAsia="zh-CN" w:bidi="ar-SA"/>
              </w:rPr>
              <w:t>允许排放量4595吨、SO2允许排放量3133吨、NOx允许排放量8656吨、VOCs 允许排放量12098吨。（2）为保证2025、2035年区域地表水控制断面达标，15个工业重点管控单元COD、氨氮、总磷允许排放量2025年控制在233465.09吨、2863.81吨、409.92吨以下，2035年控制在24638.35吨、3007.02吨、430.41吨以下。</w:t>
            </w:r>
          </w:p>
          <w:p w14:paraId="6FEEBB6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现有源提标升级改造</w:t>
            </w:r>
          </w:p>
          <w:p w14:paraId="4C6383B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-污水收集处理率达100%。</w:t>
            </w:r>
          </w:p>
          <w:p w14:paraId="13F8DB9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-推进工业园区污水处理设施建设，确保园区工业废水达标排放。</w:t>
            </w:r>
          </w:p>
          <w:p w14:paraId="11BEDA9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完善园区及企业雨污分流系统，全面推进医药、化工等行业初期雨水收集处理，推动有条件的园区实施入园企业“一企一管、明管输送、实时监测”。加强企业废水预处理和排水管理，鼓励纳管企业与园区污水处理厂运营单位通过签订委托处理合同等方式协同处理废水。</w:t>
            </w:r>
          </w:p>
          <w:p w14:paraId="54893AF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其他污染物排放管控要求</w:t>
            </w:r>
          </w:p>
          <w:p w14:paraId="2174408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1.污染物排放绩效水平准入要求：</w:t>
            </w:r>
          </w:p>
          <w:p w14:paraId="3A7C2DD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-新、改、扩建涉及VOCs排放项目，从原辅材料和工艺过程大力推广使用低（无）VOCs含量的涂料、有机溶剂、胶黏剂、油墨等原辅材料，配套改进生产工艺。</w:t>
            </w:r>
          </w:p>
          <w:p w14:paraId="30EF0F4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重点对工业涂装、包装印刷、制鞋、电子信息、木材加工、化纤等重点行业实施源头替代。推进木质家具制造行业水性、紫外光固化等低挥发性涂料替代比例达到60%以上、水性胶粘剂替代比例达到100%，钢结构制造行业高固体分涂料替代比例达到50%以上，包装印刷企业低VOCs含量绿色原辅材料替代比例达到60%以上。</w:t>
            </w:r>
          </w:p>
          <w:p w14:paraId="150FB22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-到2030年巴中中心城区污水处理率达到100%，工业废水排放达标率100%。</w:t>
            </w:r>
          </w:p>
          <w:p w14:paraId="78BEB24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2.化工园区应按照分类收集，分质处理的要求，配备专业化工生产废水集中处理设施（独立建设或依托骨干企业）及专管或明管输送的配套管网，化工生产废水纳管率达到100%。入河排污口设置应符合相关规定。</w:t>
            </w:r>
          </w:p>
          <w:p w14:paraId="0F7C864D">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3.重点行业建设项目应遵循重点重金属污染物排放“等量替代”原则。按国家规定，建设单位在提交环境影响评价文件时应明确重点重金属污染物排放总量及来源，无明确具体总量来源的，各级生态环境部门不得批准相关环境影响评价文件。重金属污染物排放总量替代管理豁免的情形参见《四川省“十四五”重金属污染防控工作方案》；重点行业、重点重金属的界定参见《四川省“十四五”重金属污染防控工作方案》。</w:t>
            </w:r>
          </w:p>
          <w:p w14:paraId="375612C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4.落实《四川省深入打好重污染天气消除、臭氧污染防治和柴油货车污染治理攻坚战实施方案》要求，推进重点行业超低排放改造和深度治理，加快实施低VOCs含量原辅材料替代，持续开展VOCs治理设施提级增效，强化VOCs无组织排放整治，加强非正常工况废气排放管控，推进涉VOCs产业集群治理提升，推进油品VOCs综合管控。</w:t>
            </w:r>
          </w:p>
          <w:p w14:paraId="32A6790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环境风险防控：</w:t>
            </w:r>
          </w:p>
          <w:p w14:paraId="66DB741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联防联控要求</w:t>
            </w:r>
          </w:p>
          <w:p w14:paraId="70B2F8F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强化大气污染区域联防联控措施，实施重污染天气应急管控。修订重污染天气应急预案，动态更新污染源排放清单，落实重点企业错峰生产、压产限产、工地停工等强制性措施，有效减缓重污染天气影响。</w:t>
            </w:r>
          </w:p>
          <w:p w14:paraId="37DD7172">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其他环境风险防控要求</w:t>
            </w:r>
          </w:p>
          <w:p w14:paraId="18856D3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-涉及有毒有害、易燃易爆物质新建、改扩建项目，严控准入要求。</w:t>
            </w:r>
          </w:p>
          <w:p w14:paraId="4B783D7B">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园区风险防控体系要求：构建三级环境风险防控体系，强化危化品泄漏应急处置措施，确保风险可控。针对化工园区进一步强化风险防控。化工园区应具有安全风险监控体系、建立生态环境监测监控体系、建立必要的突发环境事件应急体系。</w:t>
            </w:r>
          </w:p>
          <w:p w14:paraId="32A39AA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有色金属冶炼、石油加工、化工、焦化、电镀、制革等行业企业拆除生产设施设备、构筑物和污染治理设施，要事先制定残留污染物清理和安全处置方案，要严格按照有关规定实施安全处理处置，防范拆除活动污染土壤。</w:t>
            </w:r>
          </w:p>
          <w:p w14:paraId="6AD93C7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-已污染地块，应当依法开展土壤污染状况调查、治理与修复，符合相关环境质量要求后，方可进入用地程序。</w:t>
            </w:r>
          </w:p>
          <w:p w14:paraId="2FB27CE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资源开发利用效率要求：</w:t>
            </w:r>
          </w:p>
          <w:p w14:paraId="7E09A1B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水资源利用总量要求</w:t>
            </w:r>
          </w:p>
          <w:p w14:paraId="6A306DF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-到2022年，万元国内生产总值用水量、万元工业增加值用水量较2015年分别降低30%和28%。</w:t>
            </w:r>
          </w:p>
          <w:p w14:paraId="1022935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p>
          <w:p w14:paraId="28D2D8F6">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地下水开采要求</w:t>
            </w:r>
          </w:p>
          <w:p w14:paraId="5D79CAF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-巴中市2025年地下水开采控制控制量保持在1400万m³以内。</w:t>
            </w:r>
          </w:p>
          <w:p w14:paraId="2C4A6753">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-地下水开采量控制在可开采量的允 许范围内，抑制用水过度增长。</w:t>
            </w:r>
          </w:p>
          <w:p w14:paraId="6E4A003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能源利用总量及效率要求</w:t>
            </w:r>
          </w:p>
          <w:p w14:paraId="4AC6BB59">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-新、改扩建项目污染能耗指标满足《四川省省级生态工业园区指标》综合类生态工业园区要求。</w:t>
            </w:r>
          </w:p>
          <w:p w14:paraId="1C2403C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-实施新建项目与煤炭消费总量控制挂钩机制，耗煤建设项目实行煤炭消耗等量减量替代。</w:t>
            </w:r>
          </w:p>
          <w:p w14:paraId="5C6FF35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-提高煤炭利用效率和天然气利用占比，工业领域有序推进“煤改电”和有序推进“煤改气”。</w:t>
            </w:r>
          </w:p>
          <w:p w14:paraId="7E11EC1C">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-全面淘汰每小时10蒸吨以下的燃煤锅炉；在供气管网覆盖不到的其他地区，改用电、新能源或洁净煤。</w:t>
            </w:r>
          </w:p>
          <w:p w14:paraId="76C6F9DF">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原则上不再新建35蒸吨/小时及以下的燃煤锅炉，推进县级及以上城市建成区淘汰35蒸吨/小时及以下燃煤锅炉，以工业余热、电厂热力、清洁能源等替代煤炭。对20蒸吨及以上燃煤锅炉实施脱硫改造，建设高效脱硫设施；对循环流化床锅炉以外的燃煤发电机组一律安装脱硫设施，对燃煤锅炉和工业锅炉现有除尘设施实施升级改造，确保达到新的排放标准和特别排放限值。</w:t>
            </w:r>
          </w:p>
          <w:p w14:paraId="478C93F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禁燃区要求</w:t>
            </w:r>
          </w:p>
          <w:p w14:paraId="32F61C70">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在禁燃区内禁止销售、燃用高污染燃料。禁燃区内禁止新建、扩建燃用高污染燃料的设施。已建成的，应当于2021年12月31日前改用天然气、页岩气、液化石油气、电或其他清洁能源。现有燃用高污染燃料燃用设施在拆除或改造前，有关单位（企业）应当采取措施，确保大气污染物排放达到国家规定标准。</w:t>
            </w:r>
          </w:p>
          <w:p w14:paraId="279C27B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其他资源利用效率要求</w:t>
            </w:r>
          </w:p>
          <w:p w14:paraId="20662444">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到2025年，巴中市万元工业增加值用水降低至22.4m³，工业用水重复利用率达到75.5%以上；到2030年，巴中市万元工业增加值用水量降低到17.1m³，工业用水重复利用率达到81.3%以上。</w:t>
            </w:r>
          </w:p>
          <w:p w14:paraId="2F976F81">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-新、改扩建项目污染水耗指标满足《四川省省级生态工业园区指标》综合类生态工业园区要求。</w:t>
            </w:r>
          </w:p>
          <w:p w14:paraId="2E2DD9BA">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鼓励引导新建、改建、扩建工业园区应当按照有关要求统筹建设工业废水集中处理和回用设施，适时推进企业间串联用水、分质用水、一水多用，实现水循环梯级优化利用和废水集中处理回用，创建节水型工业园区。</w:t>
            </w:r>
          </w:p>
          <w:p w14:paraId="35985368">
            <w:pPr>
              <w:pStyle w:val="704"/>
              <w:pageBreakBefore w:val="0"/>
              <w:widowControl w:val="0"/>
              <w:wordWrap/>
              <w:bidi w:val="0"/>
              <w:adjustRightInd/>
              <w:snapToGrid/>
              <w:spacing w:line="240" w:lineRule="auto"/>
              <w:ind w:firstLine="0" w:firstLineChars="0"/>
              <w:jc w:val="both"/>
              <w:rPr>
                <w:rStyle w:val="58"/>
                <w:rFonts w:hint="default" w:ascii="Times New Roman" w:hAnsi="Times New Roman" w:eastAsia="宋体" w:cs="Times New Roman"/>
                <w:color w:val="auto"/>
                <w:kern w:val="0"/>
                <w:sz w:val="21"/>
                <w:szCs w:val="21"/>
                <w:lang w:val="en-US" w:eastAsia="zh-CN" w:bidi="ar-SA"/>
              </w:rPr>
            </w:pPr>
            <w:r>
              <w:rPr>
                <w:rStyle w:val="58"/>
                <w:rFonts w:hint="default" w:ascii="Times New Roman" w:hAnsi="Times New Roman" w:eastAsia="宋体" w:cs="Times New Roman"/>
                <w:color w:val="auto"/>
                <w:kern w:val="0"/>
                <w:sz w:val="21"/>
                <w:szCs w:val="21"/>
                <w:lang w:val="en-US" w:eastAsia="zh-CN" w:bidi="ar-SA"/>
              </w:rPr>
              <w:t>-鼓励火力发电、钢铁、纺织、造纸、石化和化工、食品和发酵等高耗水企业对废水进行深度处理回用，降低单位产品耗水量。火电、石化、钢铁、有色、造纸、印染等高耗水行业项目具备使用再生水条件但未有效利用的，要严格控制新增取水许可</w:t>
            </w:r>
          </w:p>
        </w:tc>
        <w:tc>
          <w:tcPr>
            <w:tcW w:w="1364" w:type="dxa"/>
            <w:tcBorders>
              <w:tl2br w:val="nil"/>
              <w:tr2bl w:val="nil"/>
            </w:tcBorders>
            <w:noWrap w:val="0"/>
            <w:vAlign w:val="center"/>
          </w:tcPr>
          <w:p w14:paraId="083001FA">
            <w:pPr>
              <w:pStyle w:val="704"/>
              <w:pageBreakBefore w:val="0"/>
              <w:widowControl/>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资源开发效率要求</w:t>
            </w:r>
          </w:p>
        </w:tc>
        <w:tc>
          <w:tcPr>
            <w:tcW w:w="4130" w:type="dxa"/>
            <w:tcBorders>
              <w:tl2br w:val="nil"/>
              <w:tr2bl w:val="nil"/>
            </w:tcBorders>
            <w:noWrap w:val="0"/>
            <w:vAlign w:val="center"/>
          </w:tcPr>
          <w:p w14:paraId="0370EE78">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水资源利用效率要求</w:t>
            </w:r>
          </w:p>
          <w:p w14:paraId="210172DC">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执行工业重点管控单元普适性管控要求。</w:t>
            </w:r>
          </w:p>
          <w:p w14:paraId="51D9FF9A">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地下水开采要求</w:t>
            </w:r>
          </w:p>
          <w:p w14:paraId="31E05E54">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执行工业重点管控单元普适性管控要求。</w:t>
            </w:r>
          </w:p>
          <w:p w14:paraId="3A3B2ADA">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能源利用效率要求</w:t>
            </w:r>
          </w:p>
          <w:p w14:paraId="2902BF7D">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执行工业重点管控单元普适性管控要求。</w:t>
            </w:r>
          </w:p>
          <w:p w14:paraId="492FEC67">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其他资源利用效率要求</w:t>
            </w:r>
          </w:p>
          <w:p w14:paraId="1542EACB">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w:t>
            </w:r>
          </w:p>
        </w:tc>
        <w:tc>
          <w:tcPr>
            <w:tcW w:w="1612" w:type="dxa"/>
            <w:tcBorders>
              <w:tl2br w:val="nil"/>
              <w:tr2bl w:val="nil"/>
            </w:tcBorders>
            <w:noWrap w:val="0"/>
            <w:vAlign w:val="center"/>
          </w:tcPr>
          <w:p w14:paraId="057E9BFA">
            <w:pPr>
              <w:pStyle w:val="704"/>
              <w:pageBreakBefore w:val="0"/>
              <w:widowControl/>
              <w:shd w:val="clear" w:color="auto" w:fill="FFFFFF"/>
              <w:wordWrap/>
              <w:bidi w:val="0"/>
              <w:adjustRightInd/>
              <w:snapToGrid/>
              <w:spacing w:line="240" w:lineRule="auto"/>
              <w:ind w:firstLine="0" w:firstLineChars="0"/>
              <w:jc w:val="left"/>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满足工业重点管控单元普适性管控要求</w:t>
            </w:r>
          </w:p>
        </w:tc>
        <w:tc>
          <w:tcPr>
            <w:tcW w:w="494" w:type="dxa"/>
            <w:tcBorders>
              <w:tl2br w:val="nil"/>
              <w:tr2bl w:val="nil"/>
            </w:tcBorders>
            <w:noWrap w:val="0"/>
            <w:vAlign w:val="center"/>
          </w:tcPr>
          <w:p w14:paraId="590094CB">
            <w:pPr>
              <w:keepNext w:val="0"/>
              <w:keepLines w:val="0"/>
              <w:pageBreakBefore w:val="0"/>
              <w:widowControl/>
              <w:shd w:val="clear" w:color="auto" w:fill="FFFFFF"/>
              <w:kinsoku/>
              <w:wordWrap/>
              <w:overflowPunct/>
              <w:topLinePunct w:val="0"/>
              <w:autoSpaceDE/>
              <w:autoSpaceDN/>
              <w:bidi w:val="0"/>
              <w:adjustRightInd/>
              <w:snapToGrid/>
              <w:spacing w:line="240" w:lineRule="auto"/>
              <w:ind w:firstLine="0" w:firstLineChars="0"/>
              <w:jc w:val="left"/>
              <w:textAlignment w:val="auto"/>
              <w:rPr>
                <w:rStyle w:val="58"/>
                <w:rFonts w:hint="default" w:ascii="Times New Roman" w:hAnsi="Times New Roman" w:eastAsia="宋体" w:cs="Times New Roman"/>
                <w:color w:val="auto"/>
                <w:kern w:val="2"/>
                <w:sz w:val="21"/>
                <w:szCs w:val="21"/>
                <w:lang w:val="en-US" w:eastAsia="zh-CN" w:bidi="ar-SA"/>
              </w:rPr>
            </w:pPr>
            <w:r>
              <w:rPr>
                <w:rStyle w:val="58"/>
                <w:rFonts w:hint="default" w:ascii="Times New Roman" w:hAnsi="Times New Roman" w:eastAsia="宋体" w:cs="Times New Roman"/>
                <w:color w:val="auto"/>
                <w:kern w:val="2"/>
                <w:sz w:val="21"/>
                <w:szCs w:val="21"/>
                <w:lang w:val="en-US" w:eastAsia="zh-CN" w:bidi="ar-SA"/>
              </w:rPr>
              <w:t>符合</w:t>
            </w:r>
          </w:p>
        </w:tc>
      </w:tr>
    </w:tbl>
    <w:p w14:paraId="055023D4">
      <w:pPr>
        <w:keepNext w:val="0"/>
        <w:keepLines w:val="0"/>
        <w:pageBreakBefore w:val="0"/>
        <w:widowControl w:val="0"/>
        <w:kinsoku/>
        <w:wordWrap/>
        <w:overflowPunct/>
        <w:topLinePunct w:val="0"/>
        <w:autoSpaceDE/>
        <w:autoSpaceDN/>
        <w:bidi w:val="0"/>
        <w:adjustRightInd/>
        <w:snapToGrid/>
        <w:spacing w:before="0" w:beforeLines="50"/>
        <w:ind w:firstLine="480"/>
        <w:textAlignment w:val="auto"/>
        <w:rPr>
          <w:color w:val="auto"/>
        </w:rPr>
      </w:pPr>
      <w:r>
        <w:rPr>
          <w:rFonts w:hint="eastAsia"/>
          <w:color w:val="auto"/>
        </w:rPr>
        <w:t>由上表可知，本项目符合</w:t>
      </w:r>
      <w:r>
        <w:rPr>
          <w:rFonts w:hint="eastAsia"/>
          <w:color w:val="auto"/>
          <w:lang w:eastAsia="zh-CN"/>
        </w:rPr>
        <w:t>巴中市</w:t>
      </w:r>
      <w:r>
        <w:rPr>
          <w:rFonts w:hint="eastAsia"/>
          <w:color w:val="auto"/>
        </w:rPr>
        <w:t>五大区域生态环境管控要求。</w:t>
      </w:r>
    </w:p>
    <w:p w14:paraId="548C1FFA">
      <w:pPr>
        <w:pageBreakBefore w:val="0"/>
        <w:wordWrap/>
        <w:bidi w:val="0"/>
        <w:adjustRightInd/>
        <w:snapToGrid/>
        <w:ind w:firstLine="480"/>
        <w:rPr>
          <w:rFonts w:hint="eastAsia"/>
          <w:color w:val="auto"/>
        </w:rPr>
        <w:sectPr>
          <w:pgSz w:w="16838" w:h="11906" w:orient="landscape"/>
          <w:pgMar w:top="1588" w:right="1440" w:bottom="1588" w:left="1440" w:header="851" w:footer="992" w:gutter="0"/>
          <w:pgBorders>
            <w:top w:val="none" w:sz="0" w:space="0"/>
            <w:left w:val="none" w:sz="0" w:space="0"/>
            <w:bottom w:val="none" w:sz="0" w:space="0"/>
            <w:right w:val="none" w:sz="0" w:space="0"/>
          </w:pgBorders>
          <w:pgNumType w:fmt="decimal"/>
          <w:cols w:space="720" w:num="1"/>
        </w:sectPr>
      </w:pPr>
      <w:r>
        <w:rPr>
          <w:rFonts w:hint="eastAsia"/>
          <w:color w:val="auto"/>
        </w:rPr>
        <w:t>综上所述，项目不在生态保护红线内、未超出环境质量底线及资源利用上线、未列入环境准入负面清单内，因此项目的建设符合</w:t>
      </w:r>
      <w:r>
        <w:rPr>
          <w:rFonts w:hint="eastAsia"/>
          <w:color w:val="auto"/>
          <w:lang w:eastAsia="zh-CN"/>
        </w:rPr>
        <w:t>“</w:t>
      </w:r>
      <w:r>
        <w:rPr>
          <w:rFonts w:hint="eastAsia"/>
          <w:color w:val="auto"/>
        </w:rPr>
        <w:t>三线一单</w:t>
      </w:r>
      <w:r>
        <w:rPr>
          <w:rFonts w:hint="eastAsia"/>
          <w:color w:val="auto"/>
          <w:lang w:eastAsia="zh-CN"/>
        </w:rPr>
        <w:t>”</w:t>
      </w:r>
      <w:r>
        <w:rPr>
          <w:rFonts w:hint="eastAsia"/>
          <w:color w:val="auto"/>
        </w:rPr>
        <w:t>以及生态环境分区管控要求。</w:t>
      </w:r>
    </w:p>
    <w:p w14:paraId="264D62A7">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环境功能区划</w:t>
      </w:r>
    </w:p>
    <w:p w14:paraId="27E1D4F5">
      <w:pPr>
        <w:pageBreakBefore w:val="0"/>
        <w:wordWrap/>
        <w:bidi w:val="0"/>
        <w:adjustRightInd/>
        <w:snapToGrid/>
        <w:ind w:firstLine="482"/>
        <w:rPr>
          <w:b/>
          <w:color w:val="auto"/>
        </w:rPr>
      </w:pPr>
      <w:r>
        <w:rPr>
          <w:b/>
          <w:color w:val="auto"/>
        </w:rPr>
        <w:t>1、环境空气</w:t>
      </w:r>
    </w:p>
    <w:p w14:paraId="1EB6902A">
      <w:pPr>
        <w:pageBreakBefore w:val="0"/>
        <w:wordWrap/>
        <w:bidi w:val="0"/>
        <w:adjustRightInd/>
        <w:snapToGrid/>
        <w:ind w:firstLine="480"/>
        <w:rPr>
          <w:color w:val="auto"/>
        </w:rPr>
      </w:pPr>
      <w:r>
        <w:rPr>
          <w:color w:val="auto"/>
        </w:rPr>
        <w:t>本项目位于</w:t>
      </w:r>
      <w:r>
        <w:rPr>
          <w:rFonts w:hint="eastAsia"/>
          <w:color w:val="auto"/>
          <w:lang w:eastAsia="zh-CN"/>
        </w:rPr>
        <w:t>巴中巴州区</w:t>
      </w:r>
      <w:r>
        <w:rPr>
          <w:color w:val="auto"/>
        </w:rPr>
        <w:t>内，项目所在地为二类环境空气功能区。</w:t>
      </w:r>
    </w:p>
    <w:p w14:paraId="0AED0B7B">
      <w:pPr>
        <w:pageBreakBefore w:val="0"/>
        <w:wordWrap/>
        <w:bidi w:val="0"/>
        <w:adjustRightInd/>
        <w:snapToGrid/>
        <w:ind w:firstLine="482"/>
        <w:rPr>
          <w:b/>
          <w:color w:val="auto"/>
        </w:rPr>
      </w:pPr>
      <w:r>
        <w:rPr>
          <w:b/>
          <w:color w:val="auto"/>
        </w:rPr>
        <w:t>2、地表水</w:t>
      </w:r>
    </w:p>
    <w:p w14:paraId="635E1503">
      <w:pPr>
        <w:pageBreakBefore w:val="0"/>
        <w:wordWrap/>
        <w:bidi w:val="0"/>
        <w:adjustRightInd/>
        <w:snapToGrid/>
        <w:ind w:firstLine="480"/>
        <w:rPr>
          <w:b/>
          <w:color w:val="auto"/>
        </w:rPr>
      </w:pPr>
      <w:r>
        <w:rPr>
          <w:color w:val="auto"/>
        </w:rPr>
        <w:t>项目尾水处理达标后排入</w:t>
      </w:r>
      <w:r>
        <w:rPr>
          <w:rFonts w:hint="eastAsia"/>
          <w:color w:val="auto"/>
          <w:lang w:eastAsia="zh-CN"/>
        </w:rPr>
        <w:t>巴河</w:t>
      </w:r>
      <w:r>
        <w:rPr>
          <w:color w:val="auto"/>
        </w:rPr>
        <w:t>，为</w:t>
      </w:r>
      <w:r>
        <w:rPr>
          <w:rFonts w:hint="eastAsia" w:ascii="微软雅黑" w:hAnsi="微软雅黑" w:eastAsia="微软雅黑" w:cs="微软雅黑"/>
          <w:color w:val="auto"/>
        </w:rPr>
        <w:t>Ⅲ</w:t>
      </w:r>
      <w:r>
        <w:rPr>
          <w:color w:val="auto"/>
        </w:rPr>
        <w:t>类水域功能区。</w:t>
      </w:r>
    </w:p>
    <w:p w14:paraId="1E4C3045">
      <w:pPr>
        <w:pageBreakBefore w:val="0"/>
        <w:wordWrap/>
        <w:bidi w:val="0"/>
        <w:adjustRightInd/>
        <w:snapToGrid/>
        <w:ind w:firstLine="482"/>
        <w:rPr>
          <w:b/>
          <w:color w:val="auto"/>
        </w:rPr>
      </w:pPr>
      <w:r>
        <w:rPr>
          <w:b/>
          <w:color w:val="auto"/>
        </w:rPr>
        <w:t>3、地下水</w:t>
      </w:r>
    </w:p>
    <w:p w14:paraId="41BAEC5D">
      <w:pPr>
        <w:bidi w:val="0"/>
        <w:rPr>
          <w:color w:val="auto"/>
        </w:rPr>
      </w:pPr>
      <w:r>
        <w:rPr>
          <w:rFonts w:hint="default"/>
          <w:color w:val="auto"/>
        </w:rPr>
        <w:t>根据周边对地下水的使用功能</w:t>
      </w:r>
      <w:r>
        <w:rPr>
          <w:rFonts w:hint="eastAsia"/>
          <w:color w:val="auto"/>
          <w:lang w:val="en-US" w:eastAsia="zh-CN"/>
        </w:rPr>
        <w:t>分析</w:t>
      </w:r>
      <w:r>
        <w:rPr>
          <w:rFonts w:hint="default"/>
          <w:color w:val="auto"/>
        </w:rPr>
        <w:t>，直接确定为三类</w:t>
      </w:r>
    </w:p>
    <w:p w14:paraId="6180871C">
      <w:pPr>
        <w:pageBreakBefore w:val="0"/>
        <w:wordWrap/>
        <w:bidi w:val="0"/>
        <w:adjustRightInd/>
        <w:snapToGrid/>
        <w:ind w:firstLine="482"/>
        <w:rPr>
          <w:b/>
          <w:color w:val="auto"/>
        </w:rPr>
      </w:pPr>
      <w:r>
        <w:rPr>
          <w:b/>
          <w:color w:val="auto"/>
        </w:rPr>
        <w:t>4、声环境</w:t>
      </w:r>
    </w:p>
    <w:p w14:paraId="4DC070FA">
      <w:pPr>
        <w:pageBreakBefore w:val="0"/>
        <w:wordWrap/>
        <w:bidi w:val="0"/>
        <w:adjustRightInd/>
        <w:snapToGrid/>
        <w:ind w:firstLine="480"/>
        <w:rPr>
          <w:color w:val="auto"/>
        </w:rPr>
      </w:pPr>
      <w:r>
        <w:rPr>
          <w:color w:val="auto"/>
        </w:rPr>
        <w:t>本项目位于</w:t>
      </w:r>
      <w:r>
        <w:rPr>
          <w:rFonts w:hint="eastAsia"/>
          <w:color w:val="auto"/>
          <w:lang w:eastAsia="zh-CN"/>
        </w:rPr>
        <w:t>巴中巴州区</w:t>
      </w:r>
      <w:r>
        <w:rPr>
          <w:color w:val="auto"/>
        </w:rPr>
        <w:t>，为</w:t>
      </w:r>
      <w:r>
        <w:rPr>
          <w:rFonts w:hint="eastAsia"/>
          <w:color w:val="auto"/>
          <w:lang w:val="en-US" w:eastAsia="zh-CN"/>
        </w:rPr>
        <w:t>3</w:t>
      </w:r>
      <w:r>
        <w:rPr>
          <w:color w:val="auto"/>
        </w:rPr>
        <w:t>类声环境功能区。</w:t>
      </w:r>
    </w:p>
    <w:p w14:paraId="5EA83402">
      <w:pPr>
        <w:pStyle w:val="4"/>
        <w:pageBreakBefore w:val="0"/>
        <w:wordWrap/>
        <w:bidi w:val="0"/>
        <w:adjustRightInd/>
        <w:snapToGrid/>
        <w:rPr>
          <w:rFonts w:ascii="Times New Roman" w:hAnsi="Times New Roman" w:eastAsia="宋体"/>
          <w:color w:val="auto"/>
        </w:rPr>
      </w:pPr>
      <w:bookmarkStart w:id="58" w:name="_Toc10385"/>
      <w:r>
        <w:rPr>
          <w:rFonts w:hint="eastAsia" w:ascii="Times New Roman" w:hAnsi="Times New Roman" w:eastAsia="宋体"/>
          <w:color w:val="auto"/>
        </w:rPr>
        <w:t xml:space="preserve"> </w:t>
      </w:r>
      <w:bookmarkStart w:id="59" w:name="_Toc31709"/>
      <w:r>
        <w:rPr>
          <w:rFonts w:ascii="Times New Roman" w:hAnsi="Times New Roman" w:eastAsia="宋体"/>
          <w:color w:val="auto"/>
        </w:rPr>
        <w:t>项目外环境关系及选址合理性分析</w:t>
      </w:r>
      <w:bookmarkEnd w:id="58"/>
      <w:bookmarkEnd w:id="59"/>
    </w:p>
    <w:p w14:paraId="3E0B415F">
      <w:pPr>
        <w:pStyle w:val="5"/>
        <w:pageBreakBefore w:val="0"/>
        <w:wordWrap/>
        <w:bidi w:val="0"/>
        <w:adjustRightInd/>
        <w:snapToGrid/>
        <w:rPr>
          <w:color w:val="auto"/>
        </w:rPr>
      </w:pPr>
      <w:r>
        <w:rPr>
          <w:rFonts w:hint="eastAsia"/>
          <w:color w:val="auto"/>
          <w:lang w:val="en-US" w:eastAsia="zh-CN"/>
        </w:rPr>
        <w:t xml:space="preserve"> </w:t>
      </w:r>
      <w:r>
        <w:rPr>
          <w:color w:val="auto"/>
        </w:rPr>
        <w:t>项目外环境关系</w:t>
      </w:r>
    </w:p>
    <w:p w14:paraId="4CF0731B">
      <w:pPr>
        <w:pageBreakBefore w:val="0"/>
        <w:wordWrap/>
        <w:bidi w:val="0"/>
        <w:adjustRightInd/>
        <w:snapToGrid/>
        <w:ind w:firstLine="480"/>
        <w:rPr>
          <w:rFonts w:hint="default" w:eastAsia="宋体"/>
          <w:color w:val="auto"/>
          <w:lang w:val="en-US" w:eastAsia="zh-CN"/>
        </w:rPr>
      </w:pPr>
      <w:r>
        <w:rPr>
          <w:color w:val="auto"/>
        </w:rPr>
        <w:t>项目位于</w:t>
      </w:r>
      <w:r>
        <w:rPr>
          <w:rFonts w:hint="eastAsia"/>
          <w:color w:val="auto"/>
          <w:lang w:eastAsia="zh-CN"/>
        </w:rPr>
        <w:t>巴州区曾口镇寿星村13组</w:t>
      </w:r>
      <w:r>
        <w:rPr>
          <w:color w:val="auto"/>
        </w:rPr>
        <w:t>，</w:t>
      </w:r>
      <w:r>
        <w:rPr>
          <w:rFonts w:hint="eastAsia"/>
          <w:color w:val="auto"/>
          <w:lang w:val="en-US" w:eastAsia="zh-CN"/>
        </w:rPr>
        <w:t>项目分为污水处理厂、尾水管道和环境监测站，外环境关系如下。</w:t>
      </w:r>
    </w:p>
    <w:p w14:paraId="5312B65F">
      <w:pPr>
        <w:pageBreakBefore w:val="0"/>
        <w:wordWrap/>
        <w:bidi w:val="0"/>
        <w:adjustRightInd/>
        <w:snapToGrid/>
        <w:ind w:firstLine="480"/>
        <w:rPr>
          <w:rFonts w:hint="default" w:eastAsia="宋体"/>
          <w:color w:val="auto"/>
          <w:lang w:val="en-US" w:eastAsia="zh-CN"/>
        </w:rPr>
      </w:pPr>
      <w:r>
        <w:rPr>
          <w:rFonts w:hint="eastAsia"/>
          <w:b/>
          <w:bCs/>
          <w:color w:val="auto"/>
          <w:lang w:val="en-US" w:eastAsia="zh-CN"/>
        </w:rPr>
        <w:t>污水处理厂</w:t>
      </w:r>
      <w:r>
        <w:rPr>
          <w:rFonts w:hint="eastAsia"/>
          <w:b/>
          <w:bCs/>
          <w:color w:val="auto"/>
          <w:lang w:eastAsia="zh-CN"/>
        </w:rPr>
        <w:t>：</w:t>
      </w:r>
      <w:r>
        <w:rPr>
          <w:rFonts w:hint="eastAsia"/>
          <w:color w:val="auto"/>
          <w:lang w:val="en-US" w:eastAsia="zh-CN"/>
        </w:rPr>
        <w:t>南侧紧邻S409省道，约80m为巴河，跨河355m有10户散居居民；西侧200m、280m、290m分别有1户，2户和5户散居居民；北侧10m、220m、265m分别有3户、2户和6户散居居民；东侧10m、12m、50m、215m分别有1户、2户、5户和1户散居居民；其余为林地或者耕地。</w:t>
      </w:r>
    </w:p>
    <w:p w14:paraId="672FD35D">
      <w:pPr>
        <w:pageBreakBefore w:val="0"/>
        <w:wordWrap/>
        <w:bidi w:val="0"/>
        <w:adjustRightInd/>
        <w:snapToGrid/>
        <w:ind w:firstLine="480"/>
        <w:rPr>
          <w:rFonts w:hint="default" w:eastAsia="宋体"/>
          <w:color w:val="auto"/>
          <w:lang w:val="en-US" w:eastAsia="zh-CN"/>
        </w:rPr>
      </w:pPr>
      <w:r>
        <w:rPr>
          <w:rFonts w:hint="eastAsia"/>
          <w:b/>
          <w:bCs/>
          <w:color w:val="auto"/>
          <w:lang w:val="en-US" w:eastAsia="zh-CN"/>
        </w:rPr>
        <w:t>尾水管道：</w:t>
      </w:r>
      <w:r>
        <w:rPr>
          <w:rFonts w:hint="eastAsia"/>
          <w:color w:val="auto"/>
          <w:lang w:val="en-US" w:eastAsia="zh-CN"/>
        </w:rPr>
        <w:t>南侧紧邻S409国道，南侧无居民，北侧自西向东依次为，20m处为曾口镇污水处理厂，10m有20户散居居民，5m有2户散居居民。</w:t>
      </w:r>
    </w:p>
    <w:p w14:paraId="1FE76F70">
      <w:pPr>
        <w:pageBreakBefore w:val="0"/>
        <w:wordWrap/>
        <w:bidi w:val="0"/>
        <w:adjustRightInd/>
        <w:snapToGrid/>
        <w:ind w:firstLine="480"/>
        <w:rPr>
          <w:rFonts w:hint="default" w:eastAsia="宋体"/>
          <w:color w:val="auto"/>
          <w:lang w:val="en-US" w:eastAsia="zh-CN"/>
        </w:rPr>
      </w:pPr>
      <w:r>
        <w:rPr>
          <w:rFonts w:hint="eastAsia"/>
          <w:b/>
          <w:bCs/>
          <w:color w:val="auto"/>
          <w:lang w:val="en-US" w:eastAsia="zh-CN"/>
        </w:rPr>
        <w:t>环境监测站：</w:t>
      </w:r>
      <w:r>
        <w:rPr>
          <w:rFonts w:hint="eastAsia"/>
          <w:color w:val="auto"/>
          <w:lang w:val="en-US" w:eastAsia="zh-CN"/>
        </w:rPr>
        <w:t>南侧紧邻S409国道，南侧无居民，西北侧170m有11户散居居民；北侧380m有2户散居居民；东北侧100m有20户散居居民。</w:t>
      </w:r>
    </w:p>
    <w:p w14:paraId="321F82C6">
      <w:pPr>
        <w:pageBreakBefore w:val="0"/>
        <w:wordWrap/>
        <w:bidi w:val="0"/>
        <w:adjustRightInd/>
        <w:snapToGrid/>
        <w:ind w:firstLine="480"/>
        <w:rPr>
          <w:rFonts w:hint="eastAsia"/>
          <w:color w:val="auto"/>
        </w:rPr>
      </w:pPr>
      <w:r>
        <w:rPr>
          <w:rFonts w:hint="eastAsia"/>
          <w:color w:val="auto"/>
        </w:rPr>
        <w:t>根据调查，项目拟建排口下游</w:t>
      </w:r>
      <w:r>
        <w:rPr>
          <w:rFonts w:hint="eastAsia"/>
          <w:color w:val="auto"/>
          <w:lang w:val="en-US" w:eastAsia="zh-CN"/>
        </w:rPr>
        <w:t>约8.7k</w:t>
      </w:r>
      <w:r>
        <w:rPr>
          <w:rFonts w:hint="eastAsia"/>
          <w:color w:val="auto"/>
        </w:rPr>
        <w:t>m为国控考核断面-</w:t>
      </w:r>
      <w:r>
        <w:rPr>
          <w:rFonts w:hint="eastAsia"/>
          <w:color w:val="auto"/>
          <w:lang w:val="en-US" w:eastAsia="zh-CN"/>
        </w:rPr>
        <w:t>金碑</w:t>
      </w:r>
      <w:r>
        <w:rPr>
          <w:rFonts w:hint="eastAsia"/>
          <w:color w:val="auto"/>
        </w:rPr>
        <w:t>断面，下游10km范围无集中式地表水饮用水源取水口，不涉及饮用水源保护区等敏感区域。</w:t>
      </w:r>
    </w:p>
    <w:p w14:paraId="233438F0">
      <w:pPr>
        <w:pageBreakBefore w:val="0"/>
        <w:wordWrap/>
        <w:bidi w:val="0"/>
        <w:adjustRightInd/>
        <w:snapToGrid/>
        <w:ind w:firstLine="480"/>
        <w:rPr>
          <w:color w:val="auto"/>
        </w:rPr>
      </w:pPr>
      <w:r>
        <w:rPr>
          <w:rFonts w:hint="eastAsia"/>
          <w:color w:val="auto"/>
        </w:rPr>
        <w:t>综上，项目所在区域周围评价范围内无自然保护区、风景名胜区、文物保护单位、饮用水源取水口等特殊环境敏感区。</w:t>
      </w:r>
    </w:p>
    <w:p w14:paraId="404E3F94">
      <w:pPr>
        <w:pStyle w:val="5"/>
        <w:pageBreakBefore w:val="0"/>
        <w:wordWrap/>
        <w:bidi w:val="0"/>
        <w:adjustRightInd/>
        <w:snapToGrid/>
        <w:rPr>
          <w:color w:val="auto"/>
        </w:rPr>
      </w:pPr>
      <w:r>
        <w:rPr>
          <w:rFonts w:hint="eastAsia"/>
          <w:color w:val="auto"/>
          <w:lang w:val="en-US" w:eastAsia="zh-CN"/>
        </w:rPr>
        <w:t xml:space="preserve"> </w:t>
      </w:r>
      <w:r>
        <w:rPr>
          <w:color w:val="auto"/>
        </w:rPr>
        <w:t>项目主要环境保护目标</w:t>
      </w:r>
    </w:p>
    <w:p w14:paraId="570AFF11">
      <w:pPr>
        <w:pageBreakBefore w:val="0"/>
        <w:wordWrap/>
        <w:bidi w:val="0"/>
        <w:adjustRightInd/>
        <w:snapToGrid/>
        <w:ind w:firstLine="480"/>
        <w:rPr>
          <w:color w:val="auto"/>
        </w:rPr>
      </w:pPr>
      <w:r>
        <w:rPr>
          <w:color w:val="auto"/>
        </w:rPr>
        <w:t>项目</w:t>
      </w:r>
      <w:r>
        <w:rPr>
          <w:rFonts w:hint="eastAsia"/>
          <w:color w:val="auto"/>
          <w:lang w:eastAsia="zh-CN"/>
        </w:rPr>
        <w:t>位于巴州区曾口镇寿星村13组</w:t>
      </w:r>
      <w:r>
        <w:rPr>
          <w:color w:val="auto"/>
        </w:rPr>
        <w:t>，通过现场勘查，确定项目评价范围内的主要环境保护敏感目标如表1.</w:t>
      </w:r>
      <w:r>
        <w:rPr>
          <w:rFonts w:hint="eastAsia"/>
          <w:color w:val="auto"/>
          <w:lang w:val="en-US" w:eastAsia="zh-CN"/>
        </w:rPr>
        <w:t>6</w:t>
      </w:r>
      <w:r>
        <w:rPr>
          <w:color w:val="auto"/>
        </w:rPr>
        <w:t>-1。</w:t>
      </w:r>
    </w:p>
    <w:p w14:paraId="192D862C">
      <w:pPr>
        <w:pageBreakBefore w:val="0"/>
        <w:wordWrap/>
        <w:bidi w:val="0"/>
        <w:adjustRightInd/>
        <w:snapToGrid/>
        <w:ind w:firstLine="480"/>
        <w:rPr>
          <w:color w:val="auto"/>
        </w:rPr>
      </w:pPr>
      <w:r>
        <w:rPr>
          <w:color w:val="auto"/>
        </w:rPr>
        <w:t>项目为污水治理工程，属基础设施建设，用地性质为</w:t>
      </w:r>
      <w:r>
        <w:rPr>
          <w:rFonts w:hint="eastAsia"/>
          <w:color w:val="auto"/>
          <w:lang w:eastAsia="zh-CN"/>
        </w:rPr>
        <w:t>环境设施用地</w:t>
      </w:r>
      <w:r>
        <w:rPr>
          <w:bCs/>
          <w:color w:val="auto"/>
        </w:rPr>
        <w:t>。</w:t>
      </w:r>
      <w:r>
        <w:rPr>
          <w:rFonts w:hint="eastAsia"/>
          <w:bCs/>
          <w:color w:val="auto"/>
        </w:rPr>
        <w:t>根据《</w:t>
      </w:r>
      <w:r>
        <w:rPr>
          <w:rFonts w:hint="eastAsia"/>
          <w:bCs/>
          <w:color w:val="auto"/>
          <w:lang w:val="en-US" w:eastAsia="zh-CN"/>
        </w:rPr>
        <w:t>四川巴中经济开发区规划修编环境影响报告书</w:t>
      </w:r>
      <w:r>
        <w:rPr>
          <w:rFonts w:hint="eastAsia"/>
          <w:bCs/>
          <w:color w:val="auto"/>
        </w:rPr>
        <w:t>》，该园区规划范围内预留可用于建设污水处理设施的地块仅有本项目拟使用地块；本项目主要服务于</w:t>
      </w:r>
      <w:r>
        <w:rPr>
          <w:rFonts w:hint="eastAsia"/>
          <w:bCs/>
          <w:color w:val="auto"/>
          <w:lang w:eastAsia="zh-CN"/>
        </w:rPr>
        <w:t>四川巴中经济开发区-曾口区块</w:t>
      </w:r>
      <w:r>
        <w:rPr>
          <w:rFonts w:hint="eastAsia"/>
          <w:bCs/>
          <w:color w:val="auto"/>
        </w:rPr>
        <w:t>，主要为工业污水，考虑就近处理原则，故选址在园区内位于污水管网末端附近的地块。</w:t>
      </w:r>
      <w:r>
        <w:rPr>
          <w:color w:val="auto"/>
        </w:rPr>
        <w:t>项目在施工期和运行期落实本环评报告提出的各项污染治理措施治理后，各项污染物均实现达标排放，不会对区域环境产生明显影响。</w:t>
      </w:r>
    </w:p>
    <w:p w14:paraId="46136947">
      <w:pPr>
        <w:pageBreakBefore w:val="0"/>
        <w:wordWrap/>
        <w:bidi w:val="0"/>
        <w:adjustRightInd/>
        <w:snapToGrid/>
        <w:ind w:firstLine="480"/>
        <w:rPr>
          <w:color w:val="auto"/>
        </w:rPr>
      </w:pPr>
      <w:r>
        <w:rPr>
          <w:color w:val="auto"/>
          <w:u w:val="single"/>
        </w:rPr>
        <w:t>综上所述，项目选址</w:t>
      </w:r>
      <w:r>
        <w:rPr>
          <w:rFonts w:hint="eastAsia"/>
          <w:color w:val="auto"/>
          <w:u w:val="single"/>
          <w:lang w:eastAsia="zh-CN"/>
        </w:rPr>
        <w:t>位于巴州区曾口镇寿星村13组</w:t>
      </w:r>
      <w:r>
        <w:rPr>
          <w:color w:val="auto"/>
          <w:u w:val="single"/>
        </w:rPr>
        <w:t>，与周围形成的工业格局相容，外环境无重大环境制约因素，选址合理</w:t>
      </w:r>
      <w:r>
        <w:rPr>
          <w:color w:val="auto"/>
        </w:rPr>
        <w:t>。</w:t>
      </w:r>
    </w:p>
    <w:p w14:paraId="24D47673">
      <w:pPr>
        <w:pStyle w:val="19"/>
        <w:bidi w:val="0"/>
        <w:ind w:left="0" w:leftChars="0" w:firstLine="0" w:firstLineChars="0"/>
        <w:rPr>
          <w:color w:val="auto"/>
        </w:rPr>
      </w:pPr>
      <w:r>
        <w:rPr>
          <w:color w:val="auto"/>
        </w:rPr>
        <w:t>环境保护目标表</w:t>
      </w:r>
      <w:bookmarkEnd w:id="32"/>
      <w:bookmarkEnd w:id="33"/>
      <w:bookmarkEnd w:id="34"/>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4"/>
        <w:gridCol w:w="1087"/>
        <w:gridCol w:w="956"/>
        <w:gridCol w:w="919"/>
        <w:gridCol w:w="937"/>
        <w:gridCol w:w="544"/>
        <w:gridCol w:w="675"/>
        <w:gridCol w:w="1106"/>
        <w:gridCol w:w="1653"/>
      </w:tblGrid>
      <w:tr w14:paraId="53AA34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restart"/>
            <w:tcBorders>
              <w:tl2br w:val="nil"/>
              <w:tr2bl w:val="nil"/>
            </w:tcBorders>
            <w:noWrap w:val="0"/>
            <w:tcMar>
              <w:top w:w="0" w:type="dxa"/>
              <w:left w:w="0" w:type="dxa"/>
              <w:bottom w:w="0" w:type="dxa"/>
              <w:right w:w="0" w:type="dxa"/>
            </w:tcMar>
            <w:vAlign w:val="center"/>
          </w:tcPr>
          <w:p w14:paraId="4CFA247B">
            <w:pPr>
              <w:pStyle w:val="24"/>
              <w:pageBreakBefore w:val="0"/>
              <w:wordWrap/>
              <w:bidi w:val="0"/>
              <w:adjustRightInd/>
              <w:snapToGrid/>
              <w:spacing w:after="0" w:line="240" w:lineRule="auto"/>
              <w:ind w:left="0" w:leftChars="0" w:firstLine="0" w:firstLineChars="0"/>
              <w:jc w:val="center"/>
              <w:rPr>
                <w:b/>
                <w:bCs/>
                <w:color w:val="auto"/>
                <w:sz w:val="21"/>
                <w:szCs w:val="21"/>
              </w:rPr>
            </w:pPr>
            <w:r>
              <w:rPr>
                <w:b/>
                <w:bCs/>
                <w:color w:val="auto"/>
                <w:sz w:val="21"/>
                <w:szCs w:val="21"/>
              </w:rPr>
              <w:t>环境因素</w:t>
            </w:r>
          </w:p>
        </w:tc>
        <w:tc>
          <w:tcPr>
            <w:tcW w:w="1201" w:type="pct"/>
            <w:gridSpan w:val="2"/>
            <w:tcBorders>
              <w:tl2br w:val="nil"/>
              <w:tr2bl w:val="nil"/>
            </w:tcBorders>
            <w:noWrap w:val="0"/>
            <w:tcMar>
              <w:top w:w="0" w:type="dxa"/>
              <w:left w:w="0" w:type="dxa"/>
              <w:bottom w:w="0" w:type="dxa"/>
              <w:right w:w="0" w:type="dxa"/>
            </w:tcMar>
            <w:vAlign w:val="center"/>
          </w:tcPr>
          <w:p w14:paraId="1BB38F79">
            <w:pPr>
              <w:pStyle w:val="24"/>
              <w:pageBreakBefore w:val="0"/>
              <w:wordWrap/>
              <w:bidi w:val="0"/>
              <w:adjustRightInd/>
              <w:snapToGrid/>
              <w:spacing w:after="0" w:line="240" w:lineRule="auto"/>
              <w:ind w:left="0" w:leftChars="0" w:firstLine="0" w:firstLineChars="0"/>
              <w:jc w:val="center"/>
              <w:rPr>
                <w:rFonts w:hint="default" w:eastAsia="宋体"/>
                <w:b/>
                <w:bCs/>
                <w:color w:val="auto"/>
                <w:sz w:val="21"/>
                <w:szCs w:val="21"/>
                <w:lang w:val="en-US" w:eastAsia="zh-CN"/>
              </w:rPr>
            </w:pPr>
            <w:r>
              <w:rPr>
                <w:rFonts w:hint="eastAsia"/>
                <w:b/>
                <w:bCs/>
                <w:color w:val="auto"/>
                <w:sz w:val="21"/>
                <w:szCs w:val="21"/>
                <w:lang w:val="en-US" w:eastAsia="zh-CN"/>
              </w:rPr>
              <w:t>坐标/m</w:t>
            </w:r>
          </w:p>
        </w:tc>
        <w:tc>
          <w:tcPr>
            <w:tcW w:w="540" w:type="pct"/>
            <w:vMerge w:val="restart"/>
            <w:tcBorders>
              <w:tl2br w:val="nil"/>
              <w:tr2bl w:val="nil"/>
            </w:tcBorders>
            <w:noWrap w:val="0"/>
            <w:tcMar>
              <w:top w:w="0" w:type="dxa"/>
              <w:left w:w="0" w:type="dxa"/>
              <w:bottom w:w="0" w:type="dxa"/>
              <w:right w:w="0" w:type="dxa"/>
            </w:tcMar>
            <w:vAlign w:val="center"/>
          </w:tcPr>
          <w:p w14:paraId="42EBE0DC">
            <w:pPr>
              <w:pStyle w:val="24"/>
              <w:pageBreakBefore w:val="0"/>
              <w:wordWrap/>
              <w:bidi w:val="0"/>
              <w:adjustRightInd/>
              <w:snapToGrid/>
              <w:spacing w:after="0" w:line="240" w:lineRule="auto"/>
              <w:ind w:left="0" w:leftChars="0" w:firstLine="0" w:firstLineChars="0"/>
              <w:jc w:val="center"/>
              <w:rPr>
                <w:rFonts w:hint="eastAsia" w:eastAsia="宋体"/>
                <w:b/>
                <w:bCs/>
                <w:color w:val="auto"/>
                <w:sz w:val="21"/>
                <w:szCs w:val="21"/>
                <w:lang w:eastAsia="zh-CN"/>
              </w:rPr>
            </w:pPr>
            <w:r>
              <w:rPr>
                <w:b/>
                <w:bCs/>
                <w:color w:val="auto"/>
                <w:sz w:val="21"/>
                <w:szCs w:val="21"/>
              </w:rPr>
              <w:t>保护</w:t>
            </w:r>
            <w:r>
              <w:rPr>
                <w:rFonts w:hint="eastAsia"/>
                <w:b/>
                <w:bCs/>
                <w:color w:val="auto"/>
                <w:sz w:val="21"/>
                <w:szCs w:val="21"/>
                <w:lang w:val="en-US" w:eastAsia="zh-CN"/>
              </w:rPr>
              <w:t>对象</w:t>
            </w:r>
          </w:p>
        </w:tc>
        <w:tc>
          <w:tcPr>
            <w:tcW w:w="551" w:type="pct"/>
            <w:vMerge w:val="restart"/>
            <w:tcBorders>
              <w:tl2br w:val="nil"/>
              <w:tr2bl w:val="nil"/>
            </w:tcBorders>
            <w:noWrap w:val="0"/>
            <w:tcMar>
              <w:top w:w="0" w:type="dxa"/>
              <w:left w:w="0" w:type="dxa"/>
              <w:bottom w:w="0" w:type="dxa"/>
              <w:right w:w="0" w:type="dxa"/>
            </w:tcMar>
            <w:vAlign w:val="center"/>
          </w:tcPr>
          <w:p w14:paraId="600FB65A">
            <w:pPr>
              <w:pStyle w:val="24"/>
              <w:pageBreakBefore w:val="0"/>
              <w:wordWrap/>
              <w:bidi w:val="0"/>
              <w:adjustRightInd/>
              <w:snapToGrid/>
              <w:spacing w:after="0" w:line="240" w:lineRule="auto"/>
              <w:ind w:left="0" w:leftChars="0" w:firstLine="0" w:firstLineChars="0"/>
              <w:jc w:val="center"/>
              <w:rPr>
                <w:rFonts w:hint="eastAsia" w:eastAsia="宋体"/>
                <w:b/>
                <w:bCs/>
                <w:color w:val="auto"/>
                <w:sz w:val="21"/>
                <w:szCs w:val="21"/>
                <w:lang w:eastAsia="zh-CN"/>
              </w:rPr>
            </w:pPr>
            <w:r>
              <w:rPr>
                <w:rFonts w:hint="eastAsia"/>
                <w:b/>
                <w:bCs/>
                <w:color w:val="auto"/>
                <w:sz w:val="21"/>
                <w:szCs w:val="21"/>
                <w:lang w:val="en-US" w:eastAsia="zh-CN"/>
              </w:rPr>
              <w:t>保护内容</w:t>
            </w:r>
          </w:p>
        </w:tc>
        <w:tc>
          <w:tcPr>
            <w:tcW w:w="319" w:type="pct"/>
            <w:vMerge w:val="restart"/>
            <w:tcBorders>
              <w:tl2br w:val="nil"/>
              <w:tr2bl w:val="nil"/>
            </w:tcBorders>
            <w:noWrap w:val="0"/>
            <w:tcMar>
              <w:top w:w="0" w:type="dxa"/>
              <w:left w:w="0" w:type="dxa"/>
              <w:bottom w:w="0" w:type="dxa"/>
              <w:right w:w="0" w:type="dxa"/>
            </w:tcMar>
            <w:vAlign w:val="center"/>
          </w:tcPr>
          <w:p w14:paraId="2B62F274">
            <w:pPr>
              <w:pStyle w:val="24"/>
              <w:pageBreakBefore w:val="0"/>
              <w:wordWrap/>
              <w:bidi w:val="0"/>
              <w:adjustRightInd/>
              <w:snapToGrid/>
              <w:spacing w:after="0" w:line="240" w:lineRule="auto"/>
              <w:ind w:left="0" w:leftChars="0" w:firstLine="0" w:firstLineChars="0"/>
              <w:jc w:val="center"/>
              <w:rPr>
                <w:b/>
                <w:bCs/>
                <w:color w:val="auto"/>
                <w:sz w:val="21"/>
                <w:szCs w:val="21"/>
              </w:rPr>
            </w:pPr>
            <w:r>
              <w:rPr>
                <w:b/>
                <w:bCs/>
                <w:color w:val="auto"/>
                <w:sz w:val="21"/>
                <w:szCs w:val="21"/>
              </w:rPr>
              <w:t>方位</w:t>
            </w:r>
          </w:p>
        </w:tc>
        <w:tc>
          <w:tcPr>
            <w:tcW w:w="397" w:type="pct"/>
            <w:vMerge w:val="restart"/>
            <w:tcBorders>
              <w:tl2br w:val="nil"/>
              <w:tr2bl w:val="nil"/>
            </w:tcBorders>
            <w:noWrap w:val="0"/>
            <w:tcMar>
              <w:top w:w="0" w:type="dxa"/>
              <w:left w:w="0" w:type="dxa"/>
              <w:bottom w:w="0" w:type="dxa"/>
              <w:right w:w="0" w:type="dxa"/>
            </w:tcMar>
            <w:vAlign w:val="center"/>
          </w:tcPr>
          <w:p w14:paraId="5E39C275">
            <w:pPr>
              <w:pStyle w:val="24"/>
              <w:pageBreakBefore w:val="0"/>
              <w:wordWrap/>
              <w:bidi w:val="0"/>
              <w:adjustRightInd/>
              <w:snapToGrid/>
              <w:spacing w:after="0" w:line="240" w:lineRule="auto"/>
              <w:ind w:left="0" w:leftChars="0" w:firstLine="0" w:firstLineChars="0"/>
              <w:jc w:val="center"/>
              <w:rPr>
                <w:rFonts w:hint="default" w:eastAsia="宋体"/>
                <w:b/>
                <w:bCs/>
                <w:color w:val="auto"/>
                <w:sz w:val="21"/>
                <w:szCs w:val="21"/>
                <w:lang w:val="en-US" w:eastAsia="zh-CN"/>
              </w:rPr>
            </w:pPr>
            <w:r>
              <w:rPr>
                <w:b/>
                <w:bCs/>
                <w:color w:val="auto"/>
                <w:sz w:val="21"/>
                <w:szCs w:val="21"/>
              </w:rPr>
              <w:t>距离</w:t>
            </w:r>
          </w:p>
        </w:tc>
        <w:tc>
          <w:tcPr>
            <w:tcW w:w="650" w:type="pct"/>
            <w:vMerge w:val="restart"/>
            <w:tcBorders>
              <w:tl2br w:val="nil"/>
              <w:tr2bl w:val="nil"/>
            </w:tcBorders>
            <w:noWrap w:val="0"/>
            <w:tcMar>
              <w:top w:w="0" w:type="dxa"/>
              <w:left w:w="0" w:type="dxa"/>
              <w:bottom w:w="0" w:type="dxa"/>
              <w:right w:w="0" w:type="dxa"/>
            </w:tcMar>
            <w:vAlign w:val="center"/>
          </w:tcPr>
          <w:p w14:paraId="4166CFF7">
            <w:pPr>
              <w:pStyle w:val="24"/>
              <w:pageBreakBefore w:val="0"/>
              <w:wordWrap/>
              <w:bidi w:val="0"/>
              <w:adjustRightInd/>
              <w:snapToGrid/>
              <w:spacing w:after="0" w:line="240" w:lineRule="auto"/>
              <w:ind w:left="0" w:leftChars="0" w:firstLine="0" w:firstLineChars="0"/>
              <w:jc w:val="center"/>
              <w:rPr>
                <w:rFonts w:hint="eastAsia" w:eastAsia="宋体"/>
                <w:b/>
                <w:bCs/>
                <w:color w:val="auto"/>
                <w:sz w:val="21"/>
                <w:szCs w:val="21"/>
                <w:lang w:val="en-US" w:eastAsia="zh-CN"/>
              </w:rPr>
            </w:pPr>
            <w:r>
              <w:rPr>
                <w:rFonts w:hint="eastAsia"/>
                <w:b/>
                <w:bCs/>
                <w:color w:val="auto"/>
                <w:sz w:val="21"/>
                <w:szCs w:val="21"/>
              </w:rPr>
              <w:t>规模</w:t>
            </w:r>
            <w:r>
              <w:rPr>
                <w:rFonts w:hint="eastAsia"/>
                <w:b/>
                <w:bCs/>
                <w:color w:val="auto"/>
                <w:sz w:val="21"/>
                <w:szCs w:val="21"/>
                <w:lang w:eastAsia="zh-CN"/>
              </w:rPr>
              <w:t>（</w:t>
            </w:r>
            <w:r>
              <w:rPr>
                <w:rFonts w:hint="eastAsia"/>
                <w:b/>
                <w:bCs/>
                <w:color w:val="auto"/>
                <w:sz w:val="21"/>
                <w:szCs w:val="21"/>
                <w:lang w:val="en-US" w:eastAsia="zh-CN"/>
              </w:rPr>
              <w:t>人口数</w:t>
            </w:r>
            <w:r>
              <w:rPr>
                <w:rFonts w:hint="eastAsia"/>
                <w:b/>
                <w:bCs/>
                <w:color w:val="auto"/>
                <w:sz w:val="21"/>
                <w:szCs w:val="21"/>
                <w:lang w:eastAsia="zh-CN"/>
              </w:rPr>
              <w:t>）</w:t>
            </w:r>
          </w:p>
        </w:tc>
        <w:tc>
          <w:tcPr>
            <w:tcW w:w="972" w:type="pct"/>
            <w:vMerge w:val="restart"/>
            <w:tcBorders>
              <w:tl2br w:val="nil"/>
              <w:tr2bl w:val="nil"/>
            </w:tcBorders>
            <w:noWrap w:val="0"/>
            <w:tcMar>
              <w:top w:w="0" w:type="dxa"/>
              <w:left w:w="0" w:type="dxa"/>
              <w:bottom w:w="0" w:type="dxa"/>
              <w:right w:w="0" w:type="dxa"/>
            </w:tcMar>
            <w:vAlign w:val="center"/>
          </w:tcPr>
          <w:p w14:paraId="5695DB45">
            <w:pPr>
              <w:pStyle w:val="24"/>
              <w:pageBreakBefore w:val="0"/>
              <w:wordWrap/>
              <w:bidi w:val="0"/>
              <w:adjustRightInd/>
              <w:snapToGrid/>
              <w:spacing w:after="0" w:line="240" w:lineRule="auto"/>
              <w:ind w:left="0" w:leftChars="0" w:firstLine="0" w:firstLineChars="0"/>
              <w:jc w:val="center"/>
              <w:rPr>
                <w:rFonts w:hint="default" w:eastAsia="宋体"/>
                <w:b/>
                <w:bCs/>
                <w:color w:val="auto"/>
                <w:sz w:val="21"/>
                <w:szCs w:val="21"/>
                <w:lang w:val="en-US" w:eastAsia="zh-CN"/>
              </w:rPr>
            </w:pPr>
            <w:r>
              <w:rPr>
                <w:rFonts w:hint="eastAsia"/>
                <w:b/>
                <w:bCs/>
                <w:color w:val="auto"/>
                <w:sz w:val="21"/>
                <w:szCs w:val="21"/>
                <w:lang w:val="en-US" w:eastAsia="zh-CN"/>
              </w:rPr>
              <w:t>环境功能区</w:t>
            </w:r>
          </w:p>
        </w:tc>
      </w:tr>
      <w:tr w14:paraId="090C29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56A59B9A">
            <w:pPr>
              <w:pStyle w:val="24"/>
              <w:pageBreakBefore w:val="0"/>
              <w:wordWrap/>
              <w:bidi w:val="0"/>
              <w:adjustRightInd/>
              <w:snapToGrid/>
              <w:spacing w:after="0" w:line="240" w:lineRule="auto"/>
              <w:ind w:left="0" w:leftChars="0" w:firstLine="0" w:firstLineChars="0"/>
              <w:jc w:val="center"/>
              <w:rPr>
                <w:color w:val="auto"/>
              </w:rPr>
            </w:pPr>
          </w:p>
        </w:tc>
        <w:tc>
          <w:tcPr>
            <w:tcW w:w="639" w:type="pct"/>
            <w:tcBorders>
              <w:tl2br w:val="nil"/>
              <w:tr2bl w:val="nil"/>
            </w:tcBorders>
            <w:noWrap w:val="0"/>
            <w:tcMar>
              <w:top w:w="0" w:type="dxa"/>
              <w:left w:w="0" w:type="dxa"/>
              <w:bottom w:w="0" w:type="dxa"/>
              <w:right w:w="0" w:type="dxa"/>
            </w:tcMar>
            <w:vAlign w:val="center"/>
          </w:tcPr>
          <w:p w14:paraId="096C86E3">
            <w:pPr>
              <w:pStyle w:val="24"/>
              <w:pageBreakBefore w:val="0"/>
              <w:wordWrap/>
              <w:bidi w:val="0"/>
              <w:adjustRightInd/>
              <w:snapToGrid/>
              <w:spacing w:after="0" w:line="240" w:lineRule="auto"/>
              <w:ind w:left="0" w:leftChars="0" w:firstLine="0" w:firstLineChars="0"/>
              <w:jc w:val="center"/>
              <w:rPr>
                <w:rFonts w:hint="eastAsia" w:eastAsia="宋体"/>
                <w:b/>
                <w:bCs/>
                <w:color w:val="auto"/>
                <w:sz w:val="21"/>
                <w:szCs w:val="21"/>
                <w:lang w:val="en-US" w:eastAsia="zh-CN"/>
              </w:rPr>
            </w:pPr>
            <w:r>
              <w:rPr>
                <w:rFonts w:hint="eastAsia"/>
                <w:b/>
                <w:bCs/>
                <w:color w:val="auto"/>
                <w:sz w:val="21"/>
                <w:szCs w:val="21"/>
                <w:lang w:val="en-US" w:eastAsia="zh-CN"/>
              </w:rPr>
              <w:t>X</w:t>
            </w:r>
          </w:p>
        </w:tc>
        <w:tc>
          <w:tcPr>
            <w:tcW w:w="562" w:type="pct"/>
            <w:tcBorders>
              <w:tl2br w:val="nil"/>
              <w:tr2bl w:val="nil"/>
            </w:tcBorders>
            <w:noWrap w:val="0"/>
            <w:tcMar>
              <w:top w:w="0" w:type="dxa"/>
              <w:left w:w="0" w:type="dxa"/>
              <w:bottom w:w="0" w:type="dxa"/>
              <w:right w:w="0" w:type="dxa"/>
            </w:tcMar>
            <w:vAlign w:val="center"/>
          </w:tcPr>
          <w:p w14:paraId="06C54620">
            <w:pPr>
              <w:pStyle w:val="24"/>
              <w:pageBreakBefore w:val="0"/>
              <w:wordWrap/>
              <w:bidi w:val="0"/>
              <w:adjustRightInd/>
              <w:snapToGrid/>
              <w:spacing w:after="0" w:line="240" w:lineRule="auto"/>
              <w:ind w:left="0" w:leftChars="0" w:firstLine="0" w:firstLineChars="0"/>
              <w:jc w:val="center"/>
              <w:rPr>
                <w:rFonts w:hint="eastAsia" w:eastAsia="宋体"/>
                <w:b/>
                <w:bCs/>
                <w:color w:val="auto"/>
                <w:sz w:val="21"/>
                <w:szCs w:val="21"/>
                <w:lang w:val="en-US" w:eastAsia="zh-CN"/>
              </w:rPr>
            </w:pPr>
            <w:r>
              <w:rPr>
                <w:rFonts w:hint="eastAsia"/>
                <w:b/>
                <w:bCs/>
                <w:color w:val="auto"/>
                <w:sz w:val="21"/>
                <w:szCs w:val="21"/>
                <w:lang w:val="en-US" w:eastAsia="zh-CN"/>
              </w:rPr>
              <w:t>Y</w:t>
            </w:r>
          </w:p>
        </w:tc>
        <w:tc>
          <w:tcPr>
            <w:tcW w:w="540" w:type="pct"/>
            <w:vMerge w:val="continue"/>
            <w:tcBorders>
              <w:tl2br w:val="nil"/>
              <w:tr2bl w:val="nil"/>
            </w:tcBorders>
            <w:noWrap w:val="0"/>
            <w:tcMar>
              <w:top w:w="0" w:type="dxa"/>
              <w:left w:w="0" w:type="dxa"/>
              <w:bottom w:w="0" w:type="dxa"/>
              <w:right w:w="0" w:type="dxa"/>
            </w:tcMar>
            <w:vAlign w:val="center"/>
          </w:tcPr>
          <w:p w14:paraId="60EDC6AB">
            <w:pPr>
              <w:pStyle w:val="24"/>
              <w:pageBreakBefore w:val="0"/>
              <w:wordWrap/>
              <w:bidi w:val="0"/>
              <w:adjustRightInd/>
              <w:snapToGrid/>
              <w:spacing w:after="0" w:line="240" w:lineRule="auto"/>
              <w:ind w:left="0" w:leftChars="0" w:firstLine="0" w:firstLineChars="0"/>
              <w:jc w:val="center"/>
              <w:rPr>
                <w:b/>
                <w:bCs/>
                <w:color w:val="auto"/>
                <w:sz w:val="21"/>
                <w:szCs w:val="21"/>
              </w:rPr>
            </w:pPr>
          </w:p>
        </w:tc>
        <w:tc>
          <w:tcPr>
            <w:tcW w:w="551" w:type="pct"/>
            <w:vMerge w:val="continue"/>
            <w:tcBorders>
              <w:tl2br w:val="nil"/>
              <w:tr2bl w:val="nil"/>
            </w:tcBorders>
            <w:noWrap w:val="0"/>
            <w:tcMar>
              <w:top w:w="0" w:type="dxa"/>
              <w:left w:w="0" w:type="dxa"/>
              <w:bottom w:w="0" w:type="dxa"/>
              <w:right w:w="0" w:type="dxa"/>
            </w:tcMar>
            <w:vAlign w:val="center"/>
          </w:tcPr>
          <w:p w14:paraId="6EFE83A0">
            <w:pPr>
              <w:pStyle w:val="24"/>
              <w:pageBreakBefore w:val="0"/>
              <w:wordWrap/>
              <w:bidi w:val="0"/>
              <w:adjustRightInd/>
              <w:snapToGrid/>
              <w:spacing w:after="0" w:line="240" w:lineRule="auto"/>
              <w:ind w:left="0" w:leftChars="0" w:firstLine="0" w:firstLineChars="0"/>
              <w:jc w:val="center"/>
              <w:rPr>
                <w:b/>
                <w:bCs/>
                <w:color w:val="auto"/>
                <w:sz w:val="21"/>
                <w:szCs w:val="21"/>
              </w:rPr>
            </w:pPr>
          </w:p>
        </w:tc>
        <w:tc>
          <w:tcPr>
            <w:tcW w:w="319" w:type="pct"/>
            <w:vMerge w:val="continue"/>
            <w:tcBorders>
              <w:tl2br w:val="nil"/>
              <w:tr2bl w:val="nil"/>
            </w:tcBorders>
            <w:noWrap w:val="0"/>
            <w:tcMar>
              <w:top w:w="0" w:type="dxa"/>
              <w:left w:w="0" w:type="dxa"/>
              <w:bottom w:w="0" w:type="dxa"/>
              <w:right w:w="0" w:type="dxa"/>
            </w:tcMar>
            <w:vAlign w:val="center"/>
          </w:tcPr>
          <w:p w14:paraId="10B297D7">
            <w:pPr>
              <w:pStyle w:val="24"/>
              <w:pageBreakBefore w:val="0"/>
              <w:wordWrap/>
              <w:bidi w:val="0"/>
              <w:adjustRightInd/>
              <w:snapToGrid/>
              <w:spacing w:after="0" w:line="240" w:lineRule="auto"/>
              <w:ind w:left="0" w:leftChars="0" w:firstLine="0" w:firstLineChars="0"/>
              <w:jc w:val="center"/>
              <w:rPr>
                <w:b/>
                <w:bCs/>
                <w:color w:val="auto"/>
                <w:sz w:val="21"/>
                <w:szCs w:val="21"/>
              </w:rPr>
            </w:pPr>
          </w:p>
        </w:tc>
        <w:tc>
          <w:tcPr>
            <w:tcW w:w="397" w:type="pct"/>
            <w:vMerge w:val="continue"/>
            <w:tcBorders>
              <w:tl2br w:val="nil"/>
              <w:tr2bl w:val="nil"/>
            </w:tcBorders>
            <w:noWrap w:val="0"/>
            <w:tcMar>
              <w:top w:w="0" w:type="dxa"/>
              <w:left w:w="0" w:type="dxa"/>
              <w:bottom w:w="0" w:type="dxa"/>
              <w:right w:w="0" w:type="dxa"/>
            </w:tcMar>
            <w:vAlign w:val="center"/>
          </w:tcPr>
          <w:p w14:paraId="32D425BE">
            <w:pPr>
              <w:pStyle w:val="24"/>
              <w:pageBreakBefore w:val="0"/>
              <w:wordWrap/>
              <w:bidi w:val="0"/>
              <w:adjustRightInd/>
              <w:snapToGrid/>
              <w:spacing w:after="0" w:line="240" w:lineRule="auto"/>
              <w:ind w:left="0" w:leftChars="0" w:firstLine="0" w:firstLineChars="0"/>
              <w:jc w:val="center"/>
              <w:rPr>
                <w:b/>
                <w:bCs/>
                <w:color w:val="auto"/>
                <w:sz w:val="21"/>
                <w:szCs w:val="21"/>
              </w:rPr>
            </w:pPr>
          </w:p>
        </w:tc>
        <w:tc>
          <w:tcPr>
            <w:tcW w:w="650" w:type="pct"/>
            <w:vMerge w:val="continue"/>
            <w:tcBorders>
              <w:tl2br w:val="nil"/>
              <w:tr2bl w:val="nil"/>
            </w:tcBorders>
            <w:noWrap w:val="0"/>
            <w:tcMar>
              <w:top w:w="0" w:type="dxa"/>
              <w:left w:w="0" w:type="dxa"/>
              <w:bottom w:w="0" w:type="dxa"/>
              <w:right w:w="0" w:type="dxa"/>
            </w:tcMar>
            <w:vAlign w:val="center"/>
          </w:tcPr>
          <w:p w14:paraId="34CBAC6C">
            <w:pPr>
              <w:pStyle w:val="24"/>
              <w:pageBreakBefore w:val="0"/>
              <w:wordWrap/>
              <w:bidi w:val="0"/>
              <w:adjustRightInd/>
              <w:snapToGrid/>
              <w:spacing w:after="0" w:line="240" w:lineRule="auto"/>
              <w:ind w:left="0" w:leftChars="0" w:firstLine="0" w:firstLineChars="0"/>
              <w:jc w:val="center"/>
              <w:rPr>
                <w:b/>
                <w:bCs/>
                <w:color w:val="auto"/>
                <w:sz w:val="21"/>
                <w:szCs w:val="21"/>
              </w:rPr>
            </w:pPr>
          </w:p>
        </w:tc>
        <w:tc>
          <w:tcPr>
            <w:tcW w:w="972" w:type="pct"/>
            <w:vMerge w:val="continue"/>
            <w:tcBorders>
              <w:tl2br w:val="nil"/>
              <w:tr2bl w:val="nil"/>
            </w:tcBorders>
            <w:noWrap w:val="0"/>
            <w:tcMar>
              <w:top w:w="0" w:type="dxa"/>
              <w:left w:w="0" w:type="dxa"/>
              <w:bottom w:w="0" w:type="dxa"/>
              <w:right w:w="0" w:type="dxa"/>
            </w:tcMar>
            <w:vAlign w:val="center"/>
          </w:tcPr>
          <w:p w14:paraId="37D453E5">
            <w:pPr>
              <w:pStyle w:val="24"/>
              <w:pageBreakBefore w:val="0"/>
              <w:wordWrap/>
              <w:bidi w:val="0"/>
              <w:adjustRightInd/>
              <w:snapToGrid/>
              <w:spacing w:after="0" w:line="240" w:lineRule="auto"/>
              <w:ind w:left="0" w:leftChars="0" w:firstLine="0" w:firstLineChars="0"/>
              <w:jc w:val="center"/>
              <w:rPr>
                <w:b/>
                <w:bCs/>
                <w:color w:val="auto"/>
                <w:sz w:val="21"/>
                <w:szCs w:val="21"/>
              </w:rPr>
            </w:pPr>
          </w:p>
        </w:tc>
      </w:tr>
      <w:tr w14:paraId="7766FF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restart"/>
            <w:tcBorders>
              <w:tl2br w:val="nil"/>
              <w:tr2bl w:val="nil"/>
            </w:tcBorders>
            <w:noWrap w:val="0"/>
            <w:tcMar>
              <w:top w:w="0" w:type="dxa"/>
              <w:left w:w="0" w:type="dxa"/>
              <w:bottom w:w="0" w:type="dxa"/>
              <w:right w:w="0" w:type="dxa"/>
            </w:tcMar>
            <w:vAlign w:val="center"/>
          </w:tcPr>
          <w:p w14:paraId="7A8407F1">
            <w:pPr>
              <w:pStyle w:val="24"/>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环境空气（边长5km）</w:t>
            </w:r>
          </w:p>
        </w:tc>
        <w:tc>
          <w:tcPr>
            <w:tcW w:w="639" w:type="pct"/>
            <w:tcBorders>
              <w:tl2br w:val="nil"/>
              <w:tr2bl w:val="nil"/>
            </w:tcBorders>
            <w:noWrap w:val="0"/>
            <w:tcMar>
              <w:top w:w="0" w:type="dxa"/>
              <w:left w:w="0" w:type="dxa"/>
              <w:bottom w:w="0" w:type="dxa"/>
              <w:right w:w="0" w:type="dxa"/>
            </w:tcMar>
            <w:vAlign w:val="center"/>
          </w:tcPr>
          <w:p w14:paraId="0F91F001">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106.892398</w:t>
            </w:r>
          </w:p>
        </w:tc>
        <w:tc>
          <w:tcPr>
            <w:tcW w:w="562" w:type="pct"/>
            <w:tcBorders>
              <w:tl2br w:val="nil"/>
              <w:tr2bl w:val="nil"/>
            </w:tcBorders>
            <w:noWrap w:val="0"/>
            <w:tcMar>
              <w:top w:w="0" w:type="dxa"/>
              <w:left w:w="0" w:type="dxa"/>
              <w:bottom w:w="0" w:type="dxa"/>
              <w:right w:w="0" w:type="dxa"/>
            </w:tcMar>
            <w:vAlign w:val="center"/>
          </w:tcPr>
          <w:p w14:paraId="7872C897">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31.753609</w:t>
            </w:r>
          </w:p>
        </w:tc>
        <w:tc>
          <w:tcPr>
            <w:tcW w:w="540" w:type="pct"/>
            <w:tcBorders>
              <w:tl2br w:val="nil"/>
              <w:tr2bl w:val="nil"/>
            </w:tcBorders>
            <w:noWrap w:val="0"/>
            <w:tcMar>
              <w:top w:w="0" w:type="dxa"/>
              <w:left w:w="0" w:type="dxa"/>
              <w:bottom w:w="0" w:type="dxa"/>
              <w:right w:w="0" w:type="dxa"/>
            </w:tcMar>
            <w:vAlign w:val="center"/>
          </w:tcPr>
          <w:p w14:paraId="2693D4F6">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散居居民</w:t>
            </w:r>
          </w:p>
        </w:tc>
        <w:tc>
          <w:tcPr>
            <w:tcW w:w="551" w:type="pct"/>
            <w:tcBorders>
              <w:tl2br w:val="nil"/>
              <w:tr2bl w:val="nil"/>
            </w:tcBorders>
            <w:noWrap w:val="0"/>
            <w:tcMar>
              <w:top w:w="0" w:type="dxa"/>
              <w:left w:w="0" w:type="dxa"/>
              <w:bottom w:w="0" w:type="dxa"/>
              <w:right w:w="0" w:type="dxa"/>
            </w:tcMar>
            <w:vAlign w:val="center"/>
          </w:tcPr>
          <w:p w14:paraId="33429228">
            <w:pPr>
              <w:pStyle w:val="24"/>
              <w:pageBreakBefore w:val="0"/>
              <w:wordWrap/>
              <w:bidi w:val="0"/>
              <w:adjustRightInd/>
              <w:snapToGrid/>
              <w:spacing w:after="0" w:line="240" w:lineRule="auto"/>
              <w:ind w:left="0" w:leftChars="0" w:firstLine="0" w:firstLineChars="0"/>
              <w:jc w:val="center"/>
              <w:rPr>
                <w:rFonts w:hint="default"/>
                <w:color w:val="auto"/>
                <w:sz w:val="21"/>
                <w:szCs w:val="21"/>
                <w:lang w:val="en-US" w:eastAsia="zh-CN"/>
              </w:rPr>
            </w:pPr>
            <w:r>
              <w:rPr>
                <w:rFonts w:hint="eastAsia"/>
                <w:color w:val="auto"/>
                <w:sz w:val="21"/>
                <w:szCs w:val="21"/>
                <w:lang w:val="en-US" w:eastAsia="zh-CN"/>
              </w:rPr>
              <w:t>居民</w:t>
            </w:r>
          </w:p>
        </w:tc>
        <w:tc>
          <w:tcPr>
            <w:tcW w:w="319" w:type="pct"/>
            <w:tcBorders>
              <w:tl2br w:val="nil"/>
              <w:tr2bl w:val="nil"/>
            </w:tcBorders>
            <w:noWrap w:val="0"/>
            <w:tcMar>
              <w:top w:w="0" w:type="dxa"/>
              <w:left w:w="0" w:type="dxa"/>
              <w:bottom w:w="0" w:type="dxa"/>
              <w:right w:w="0" w:type="dxa"/>
            </w:tcMar>
            <w:vAlign w:val="center"/>
          </w:tcPr>
          <w:p w14:paraId="37393497">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东</w:t>
            </w:r>
          </w:p>
        </w:tc>
        <w:tc>
          <w:tcPr>
            <w:tcW w:w="397" w:type="pct"/>
            <w:tcBorders>
              <w:tl2br w:val="nil"/>
              <w:tr2bl w:val="nil"/>
            </w:tcBorders>
            <w:noWrap w:val="0"/>
            <w:tcMar>
              <w:top w:w="0" w:type="dxa"/>
              <w:left w:w="0" w:type="dxa"/>
              <w:bottom w:w="0" w:type="dxa"/>
              <w:right w:w="0" w:type="dxa"/>
            </w:tcMar>
            <w:vAlign w:val="center"/>
          </w:tcPr>
          <w:p w14:paraId="3553FA70">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10-190</w:t>
            </w:r>
          </w:p>
        </w:tc>
        <w:tc>
          <w:tcPr>
            <w:tcW w:w="650" w:type="pct"/>
            <w:tcBorders>
              <w:tl2br w:val="nil"/>
              <w:tr2bl w:val="nil"/>
            </w:tcBorders>
            <w:noWrap w:val="0"/>
            <w:tcMar>
              <w:top w:w="0" w:type="dxa"/>
              <w:left w:w="0" w:type="dxa"/>
              <w:bottom w:w="0" w:type="dxa"/>
              <w:right w:w="0" w:type="dxa"/>
            </w:tcMar>
            <w:vAlign w:val="center"/>
          </w:tcPr>
          <w:p w14:paraId="012F902F">
            <w:pPr>
              <w:pStyle w:val="24"/>
              <w:pageBreakBefore w:val="0"/>
              <w:wordWrap/>
              <w:bidi w:val="0"/>
              <w:adjustRightInd/>
              <w:snapToGrid/>
              <w:spacing w:after="0" w:line="240" w:lineRule="auto"/>
              <w:ind w:left="0" w:leftChars="0" w:firstLine="0" w:firstLineChars="0"/>
              <w:jc w:val="center"/>
              <w:rPr>
                <w:rFonts w:hint="default"/>
                <w:color w:val="auto"/>
                <w:sz w:val="21"/>
                <w:szCs w:val="21"/>
                <w:lang w:val="en-US" w:eastAsia="zh-CN"/>
              </w:rPr>
            </w:pPr>
            <w:r>
              <w:rPr>
                <w:rFonts w:hint="eastAsia"/>
                <w:color w:val="auto"/>
                <w:sz w:val="21"/>
                <w:szCs w:val="21"/>
                <w:lang w:val="en-US" w:eastAsia="zh-CN"/>
              </w:rPr>
              <w:t>约30人</w:t>
            </w:r>
          </w:p>
        </w:tc>
        <w:tc>
          <w:tcPr>
            <w:tcW w:w="972" w:type="pct"/>
            <w:vMerge w:val="restart"/>
            <w:tcBorders>
              <w:tl2br w:val="nil"/>
              <w:tr2bl w:val="nil"/>
            </w:tcBorders>
            <w:noWrap w:val="0"/>
            <w:tcMar>
              <w:top w:w="0" w:type="dxa"/>
              <w:left w:w="0" w:type="dxa"/>
              <w:bottom w:w="0" w:type="dxa"/>
              <w:right w:w="0" w:type="dxa"/>
            </w:tcMar>
            <w:vAlign w:val="center"/>
          </w:tcPr>
          <w:p w14:paraId="12E746CC">
            <w:pPr>
              <w:pStyle w:val="24"/>
              <w:pageBreakBefore w:val="0"/>
              <w:wordWrap/>
              <w:bidi w:val="0"/>
              <w:adjustRightInd/>
              <w:snapToGrid/>
              <w:spacing w:after="0" w:line="240" w:lineRule="auto"/>
              <w:ind w:left="0" w:leftChars="0" w:firstLine="0" w:firstLineChars="0"/>
              <w:jc w:val="center"/>
              <w:rPr>
                <w:color w:val="auto"/>
                <w:sz w:val="21"/>
                <w:szCs w:val="21"/>
              </w:rPr>
            </w:pPr>
            <w:r>
              <w:rPr>
                <w:rFonts w:hint="eastAsia"/>
                <w:color w:val="auto"/>
                <w:sz w:val="21"/>
                <w:szCs w:val="21"/>
                <w:lang w:eastAsia="zh-CN"/>
              </w:rPr>
              <w:t>（</w:t>
            </w:r>
            <w:r>
              <w:rPr>
                <w:color w:val="auto"/>
                <w:sz w:val="21"/>
                <w:szCs w:val="21"/>
              </w:rPr>
              <w:t>GB3095-2012</w:t>
            </w:r>
            <w:r>
              <w:rPr>
                <w:rFonts w:hint="eastAsia"/>
                <w:color w:val="auto"/>
                <w:sz w:val="21"/>
                <w:szCs w:val="21"/>
                <w:lang w:eastAsia="zh-CN"/>
              </w:rPr>
              <w:t>）</w:t>
            </w:r>
            <w:r>
              <w:rPr>
                <w:color w:val="auto"/>
                <w:sz w:val="21"/>
                <w:szCs w:val="21"/>
              </w:rPr>
              <w:t>二级标准及其修改单</w:t>
            </w:r>
          </w:p>
        </w:tc>
      </w:tr>
      <w:tr w14:paraId="7BF91C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292B6D96">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noWrap w:val="0"/>
            <w:tcMar>
              <w:top w:w="0" w:type="dxa"/>
              <w:left w:w="0" w:type="dxa"/>
              <w:bottom w:w="0" w:type="dxa"/>
              <w:right w:w="0" w:type="dxa"/>
            </w:tcMar>
            <w:vAlign w:val="center"/>
          </w:tcPr>
          <w:p w14:paraId="4D6E8108">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106.892205</w:t>
            </w:r>
          </w:p>
        </w:tc>
        <w:tc>
          <w:tcPr>
            <w:tcW w:w="562" w:type="pct"/>
            <w:tcBorders>
              <w:tl2br w:val="nil"/>
              <w:tr2bl w:val="nil"/>
            </w:tcBorders>
            <w:noWrap w:val="0"/>
            <w:tcMar>
              <w:top w:w="0" w:type="dxa"/>
              <w:left w:w="0" w:type="dxa"/>
              <w:bottom w:w="0" w:type="dxa"/>
              <w:right w:w="0" w:type="dxa"/>
            </w:tcMar>
            <w:vAlign w:val="center"/>
          </w:tcPr>
          <w:p w14:paraId="07499166">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31.754151</w:t>
            </w:r>
          </w:p>
        </w:tc>
        <w:tc>
          <w:tcPr>
            <w:tcW w:w="540" w:type="pct"/>
            <w:tcBorders>
              <w:tl2br w:val="nil"/>
              <w:tr2bl w:val="nil"/>
            </w:tcBorders>
            <w:noWrap w:val="0"/>
            <w:tcMar>
              <w:top w:w="0" w:type="dxa"/>
              <w:left w:w="0" w:type="dxa"/>
              <w:bottom w:w="0" w:type="dxa"/>
              <w:right w:w="0" w:type="dxa"/>
            </w:tcMar>
            <w:vAlign w:val="center"/>
          </w:tcPr>
          <w:p w14:paraId="52E7D636">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散居居民</w:t>
            </w:r>
          </w:p>
        </w:tc>
        <w:tc>
          <w:tcPr>
            <w:tcW w:w="551" w:type="pct"/>
            <w:tcBorders>
              <w:tl2br w:val="nil"/>
              <w:tr2bl w:val="nil"/>
            </w:tcBorders>
            <w:noWrap w:val="0"/>
            <w:tcMar>
              <w:top w:w="0" w:type="dxa"/>
              <w:left w:w="0" w:type="dxa"/>
              <w:bottom w:w="0" w:type="dxa"/>
              <w:right w:w="0" w:type="dxa"/>
            </w:tcMar>
            <w:vAlign w:val="center"/>
          </w:tcPr>
          <w:p w14:paraId="782BAEE4">
            <w:pPr>
              <w:pStyle w:val="24"/>
              <w:pageBreakBefore w:val="0"/>
              <w:wordWrap/>
              <w:bidi w:val="0"/>
              <w:adjustRightInd/>
              <w:snapToGrid/>
              <w:spacing w:after="0" w:line="240" w:lineRule="auto"/>
              <w:ind w:left="0" w:leftChars="0" w:firstLine="0" w:firstLineChars="0"/>
              <w:jc w:val="center"/>
              <w:rPr>
                <w:rFonts w:hint="eastAsia"/>
                <w:color w:val="auto"/>
                <w:sz w:val="21"/>
                <w:szCs w:val="21"/>
                <w:lang w:val="en-US" w:eastAsia="zh-CN"/>
              </w:rPr>
            </w:pPr>
            <w:r>
              <w:rPr>
                <w:rFonts w:hint="eastAsia"/>
                <w:color w:val="auto"/>
                <w:sz w:val="21"/>
                <w:szCs w:val="21"/>
                <w:lang w:val="en-US" w:eastAsia="zh-CN"/>
              </w:rPr>
              <w:t>居民</w:t>
            </w:r>
          </w:p>
        </w:tc>
        <w:tc>
          <w:tcPr>
            <w:tcW w:w="319" w:type="pct"/>
            <w:tcBorders>
              <w:tl2br w:val="nil"/>
              <w:tr2bl w:val="nil"/>
            </w:tcBorders>
            <w:noWrap w:val="0"/>
            <w:tcMar>
              <w:top w:w="0" w:type="dxa"/>
              <w:left w:w="0" w:type="dxa"/>
              <w:bottom w:w="0" w:type="dxa"/>
              <w:right w:w="0" w:type="dxa"/>
            </w:tcMar>
            <w:vAlign w:val="center"/>
          </w:tcPr>
          <w:p w14:paraId="3A61598E">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北</w:t>
            </w:r>
          </w:p>
        </w:tc>
        <w:tc>
          <w:tcPr>
            <w:tcW w:w="397" w:type="pct"/>
            <w:tcBorders>
              <w:tl2br w:val="nil"/>
              <w:tr2bl w:val="nil"/>
            </w:tcBorders>
            <w:noWrap w:val="0"/>
            <w:tcMar>
              <w:top w:w="0" w:type="dxa"/>
              <w:left w:w="0" w:type="dxa"/>
              <w:bottom w:w="0" w:type="dxa"/>
              <w:right w:w="0" w:type="dxa"/>
            </w:tcMar>
            <w:vAlign w:val="center"/>
          </w:tcPr>
          <w:p w14:paraId="5148474C">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10-460</w:t>
            </w:r>
          </w:p>
        </w:tc>
        <w:tc>
          <w:tcPr>
            <w:tcW w:w="650" w:type="pct"/>
            <w:tcBorders>
              <w:tl2br w:val="nil"/>
              <w:tr2bl w:val="nil"/>
            </w:tcBorders>
            <w:noWrap w:val="0"/>
            <w:tcMar>
              <w:top w:w="0" w:type="dxa"/>
              <w:left w:w="0" w:type="dxa"/>
              <w:bottom w:w="0" w:type="dxa"/>
              <w:right w:w="0" w:type="dxa"/>
            </w:tcMar>
            <w:vAlign w:val="center"/>
          </w:tcPr>
          <w:p w14:paraId="6DA24730">
            <w:pPr>
              <w:pStyle w:val="24"/>
              <w:pageBreakBefore w:val="0"/>
              <w:wordWrap/>
              <w:bidi w:val="0"/>
              <w:adjustRightInd/>
              <w:snapToGrid/>
              <w:spacing w:after="0" w:line="240" w:lineRule="auto"/>
              <w:ind w:left="0" w:leftChars="0" w:firstLine="0" w:firstLineChars="0"/>
              <w:jc w:val="center"/>
              <w:rPr>
                <w:rFonts w:hint="default"/>
                <w:color w:val="auto"/>
                <w:sz w:val="21"/>
                <w:szCs w:val="21"/>
                <w:lang w:val="en-US" w:eastAsia="zh-CN"/>
              </w:rPr>
            </w:pPr>
            <w:r>
              <w:rPr>
                <w:rFonts w:hint="eastAsia"/>
                <w:color w:val="auto"/>
                <w:sz w:val="21"/>
                <w:szCs w:val="21"/>
                <w:lang w:val="en-US" w:eastAsia="zh-CN"/>
              </w:rPr>
              <w:t>约40人</w:t>
            </w:r>
          </w:p>
        </w:tc>
        <w:tc>
          <w:tcPr>
            <w:tcW w:w="972" w:type="pct"/>
            <w:vMerge w:val="continue"/>
            <w:tcBorders>
              <w:tl2br w:val="nil"/>
              <w:tr2bl w:val="nil"/>
            </w:tcBorders>
            <w:noWrap w:val="0"/>
            <w:tcMar>
              <w:top w:w="0" w:type="dxa"/>
              <w:left w:w="0" w:type="dxa"/>
              <w:bottom w:w="0" w:type="dxa"/>
              <w:right w:w="0" w:type="dxa"/>
            </w:tcMar>
            <w:vAlign w:val="center"/>
          </w:tcPr>
          <w:p w14:paraId="0F72FF76">
            <w:pPr>
              <w:pStyle w:val="24"/>
              <w:pageBreakBefore w:val="0"/>
              <w:wordWrap/>
              <w:bidi w:val="0"/>
              <w:adjustRightInd/>
              <w:snapToGrid/>
              <w:spacing w:after="0" w:line="240" w:lineRule="auto"/>
              <w:ind w:left="0" w:leftChars="0" w:firstLine="0" w:firstLineChars="0"/>
              <w:jc w:val="center"/>
              <w:rPr>
                <w:rFonts w:hint="eastAsia"/>
                <w:color w:val="auto"/>
                <w:sz w:val="21"/>
                <w:szCs w:val="21"/>
                <w:lang w:eastAsia="zh-CN"/>
              </w:rPr>
            </w:pPr>
          </w:p>
        </w:tc>
      </w:tr>
      <w:tr w14:paraId="4A556B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2E4E5B6D">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noWrap w:val="0"/>
            <w:tcMar>
              <w:top w:w="0" w:type="dxa"/>
              <w:left w:w="0" w:type="dxa"/>
              <w:bottom w:w="0" w:type="dxa"/>
              <w:right w:w="0" w:type="dxa"/>
            </w:tcMar>
            <w:vAlign w:val="center"/>
          </w:tcPr>
          <w:p w14:paraId="2A65016C">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106.887522</w:t>
            </w:r>
          </w:p>
        </w:tc>
        <w:tc>
          <w:tcPr>
            <w:tcW w:w="562" w:type="pct"/>
            <w:tcBorders>
              <w:tl2br w:val="nil"/>
              <w:tr2bl w:val="nil"/>
            </w:tcBorders>
            <w:noWrap w:val="0"/>
            <w:tcMar>
              <w:top w:w="0" w:type="dxa"/>
              <w:left w:w="0" w:type="dxa"/>
              <w:bottom w:w="0" w:type="dxa"/>
              <w:right w:w="0" w:type="dxa"/>
            </w:tcMar>
            <w:vAlign w:val="center"/>
          </w:tcPr>
          <w:p w14:paraId="5B8AF441">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31.755975</w:t>
            </w:r>
          </w:p>
        </w:tc>
        <w:tc>
          <w:tcPr>
            <w:tcW w:w="540" w:type="pct"/>
            <w:tcBorders>
              <w:tl2br w:val="nil"/>
              <w:tr2bl w:val="nil"/>
            </w:tcBorders>
            <w:noWrap w:val="0"/>
            <w:tcMar>
              <w:top w:w="0" w:type="dxa"/>
              <w:left w:w="0" w:type="dxa"/>
              <w:bottom w:w="0" w:type="dxa"/>
              <w:right w:w="0" w:type="dxa"/>
            </w:tcMar>
            <w:vAlign w:val="center"/>
          </w:tcPr>
          <w:p w14:paraId="5400EDC8">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散居居民</w:t>
            </w:r>
          </w:p>
        </w:tc>
        <w:tc>
          <w:tcPr>
            <w:tcW w:w="551" w:type="pct"/>
            <w:tcBorders>
              <w:tl2br w:val="nil"/>
              <w:tr2bl w:val="nil"/>
            </w:tcBorders>
            <w:noWrap w:val="0"/>
            <w:tcMar>
              <w:top w:w="0" w:type="dxa"/>
              <w:left w:w="0" w:type="dxa"/>
              <w:bottom w:w="0" w:type="dxa"/>
              <w:right w:w="0" w:type="dxa"/>
            </w:tcMar>
            <w:vAlign w:val="center"/>
          </w:tcPr>
          <w:p w14:paraId="6C2BB3D9">
            <w:pPr>
              <w:pStyle w:val="24"/>
              <w:pageBreakBefore w:val="0"/>
              <w:wordWrap/>
              <w:bidi w:val="0"/>
              <w:adjustRightInd/>
              <w:snapToGrid/>
              <w:spacing w:after="0" w:line="240" w:lineRule="auto"/>
              <w:ind w:left="0" w:leftChars="0" w:firstLine="0" w:firstLineChars="0"/>
              <w:jc w:val="center"/>
              <w:rPr>
                <w:rFonts w:hint="eastAsia"/>
                <w:color w:val="auto"/>
                <w:sz w:val="21"/>
                <w:szCs w:val="21"/>
                <w:lang w:val="en-US" w:eastAsia="zh-CN"/>
              </w:rPr>
            </w:pPr>
            <w:r>
              <w:rPr>
                <w:rFonts w:hint="eastAsia"/>
                <w:color w:val="auto"/>
                <w:sz w:val="21"/>
                <w:szCs w:val="21"/>
                <w:lang w:val="en-US" w:eastAsia="zh-CN"/>
              </w:rPr>
              <w:t>居民</w:t>
            </w:r>
          </w:p>
        </w:tc>
        <w:tc>
          <w:tcPr>
            <w:tcW w:w="319" w:type="pct"/>
            <w:tcBorders>
              <w:tl2br w:val="nil"/>
              <w:tr2bl w:val="nil"/>
            </w:tcBorders>
            <w:noWrap w:val="0"/>
            <w:tcMar>
              <w:top w:w="0" w:type="dxa"/>
              <w:left w:w="0" w:type="dxa"/>
              <w:bottom w:w="0" w:type="dxa"/>
              <w:right w:w="0" w:type="dxa"/>
            </w:tcMar>
            <w:vAlign w:val="center"/>
          </w:tcPr>
          <w:p w14:paraId="7E56E942">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西</w:t>
            </w:r>
          </w:p>
        </w:tc>
        <w:tc>
          <w:tcPr>
            <w:tcW w:w="397" w:type="pct"/>
            <w:tcBorders>
              <w:tl2br w:val="nil"/>
              <w:tr2bl w:val="nil"/>
            </w:tcBorders>
            <w:noWrap w:val="0"/>
            <w:tcMar>
              <w:top w:w="0" w:type="dxa"/>
              <w:left w:w="0" w:type="dxa"/>
              <w:bottom w:w="0" w:type="dxa"/>
              <w:right w:w="0" w:type="dxa"/>
            </w:tcMar>
            <w:vAlign w:val="center"/>
          </w:tcPr>
          <w:p w14:paraId="357D7BA4">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270-500</w:t>
            </w:r>
          </w:p>
        </w:tc>
        <w:tc>
          <w:tcPr>
            <w:tcW w:w="650" w:type="pct"/>
            <w:tcBorders>
              <w:tl2br w:val="nil"/>
              <w:tr2bl w:val="nil"/>
            </w:tcBorders>
            <w:noWrap w:val="0"/>
            <w:tcMar>
              <w:top w:w="0" w:type="dxa"/>
              <w:left w:w="0" w:type="dxa"/>
              <w:bottom w:w="0" w:type="dxa"/>
              <w:right w:w="0" w:type="dxa"/>
            </w:tcMar>
            <w:vAlign w:val="center"/>
          </w:tcPr>
          <w:p w14:paraId="3F37DB04">
            <w:pPr>
              <w:pStyle w:val="24"/>
              <w:pageBreakBefore w:val="0"/>
              <w:wordWrap/>
              <w:bidi w:val="0"/>
              <w:adjustRightInd/>
              <w:snapToGrid/>
              <w:spacing w:after="0" w:line="240" w:lineRule="auto"/>
              <w:ind w:left="0" w:leftChars="0" w:firstLine="0" w:firstLineChars="0"/>
              <w:jc w:val="center"/>
              <w:rPr>
                <w:rFonts w:hint="default"/>
                <w:color w:val="auto"/>
                <w:sz w:val="21"/>
                <w:szCs w:val="21"/>
                <w:lang w:val="en-US" w:eastAsia="zh-CN"/>
              </w:rPr>
            </w:pPr>
            <w:r>
              <w:rPr>
                <w:rFonts w:hint="eastAsia"/>
                <w:color w:val="auto"/>
                <w:sz w:val="21"/>
                <w:szCs w:val="21"/>
                <w:lang w:val="en-US" w:eastAsia="zh-CN"/>
              </w:rPr>
              <w:t>约20人</w:t>
            </w:r>
          </w:p>
        </w:tc>
        <w:tc>
          <w:tcPr>
            <w:tcW w:w="972" w:type="pct"/>
            <w:vMerge w:val="continue"/>
            <w:tcBorders>
              <w:tl2br w:val="nil"/>
              <w:tr2bl w:val="nil"/>
            </w:tcBorders>
            <w:noWrap w:val="0"/>
            <w:tcMar>
              <w:top w:w="0" w:type="dxa"/>
              <w:left w:w="0" w:type="dxa"/>
              <w:bottom w:w="0" w:type="dxa"/>
              <w:right w:w="0" w:type="dxa"/>
            </w:tcMar>
            <w:vAlign w:val="center"/>
          </w:tcPr>
          <w:p w14:paraId="74BA4378">
            <w:pPr>
              <w:pStyle w:val="24"/>
              <w:pageBreakBefore w:val="0"/>
              <w:wordWrap/>
              <w:bidi w:val="0"/>
              <w:adjustRightInd/>
              <w:snapToGrid/>
              <w:spacing w:after="0" w:line="240" w:lineRule="auto"/>
              <w:ind w:left="0" w:leftChars="0" w:firstLine="0" w:firstLineChars="0"/>
              <w:jc w:val="center"/>
              <w:rPr>
                <w:rFonts w:hint="eastAsia"/>
                <w:color w:val="auto"/>
                <w:sz w:val="21"/>
                <w:szCs w:val="21"/>
                <w:lang w:eastAsia="zh-CN"/>
              </w:rPr>
            </w:pPr>
          </w:p>
        </w:tc>
      </w:tr>
      <w:tr w14:paraId="0E7E16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03EAA044">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noWrap w:val="0"/>
            <w:tcMar>
              <w:top w:w="0" w:type="dxa"/>
              <w:left w:w="0" w:type="dxa"/>
              <w:bottom w:w="0" w:type="dxa"/>
              <w:right w:w="0" w:type="dxa"/>
            </w:tcMar>
            <w:vAlign w:val="center"/>
          </w:tcPr>
          <w:p w14:paraId="796F8609">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106.871211</w:t>
            </w:r>
          </w:p>
        </w:tc>
        <w:tc>
          <w:tcPr>
            <w:tcW w:w="562" w:type="pct"/>
            <w:tcBorders>
              <w:tl2br w:val="nil"/>
              <w:tr2bl w:val="nil"/>
            </w:tcBorders>
            <w:noWrap w:val="0"/>
            <w:tcMar>
              <w:top w:w="0" w:type="dxa"/>
              <w:left w:w="0" w:type="dxa"/>
              <w:bottom w:w="0" w:type="dxa"/>
              <w:right w:w="0" w:type="dxa"/>
            </w:tcMar>
            <w:vAlign w:val="center"/>
          </w:tcPr>
          <w:p w14:paraId="710A7933">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31.769011</w:t>
            </w:r>
          </w:p>
        </w:tc>
        <w:tc>
          <w:tcPr>
            <w:tcW w:w="540" w:type="pct"/>
            <w:tcBorders>
              <w:tl2br w:val="nil"/>
              <w:tr2bl w:val="nil"/>
            </w:tcBorders>
            <w:noWrap w:val="0"/>
            <w:tcMar>
              <w:top w:w="0" w:type="dxa"/>
              <w:left w:w="0" w:type="dxa"/>
              <w:bottom w:w="0" w:type="dxa"/>
              <w:right w:w="0" w:type="dxa"/>
            </w:tcMar>
            <w:vAlign w:val="center"/>
          </w:tcPr>
          <w:p w14:paraId="383D3C13">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曾口镇中心小学校</w:t>
            </w:r>
          </w:p>
        </w:tc>
        <w:tc>
          <w:tcPr>
            <w:tcW w:w="551" w:type="pct"/>
            <w:tcBorders>
              <w:tl2br w:val="nil"/>
              <w:tr2bl w:val="nil"/>
            </w:tcBorders>
            <w:noWrap w:val="0"/>
            <w:tcMar>
              <w:top w:w="0" w:type="dxa"/>
              <w:left w:w="0" w:type="dxa"/>
              <w:bottom w:w="0" w:type="dxa"/>
              <w:right w:w="0" w:type="dxa"/>
            </w:tcMar>
            <w:vAlign w:val="center"/>
          </w:tcPr>
          <w:p w14:paraId="623C2B1B">
            <w:pPr>
              <w:pStyle w:val="24"/>
              <w:pageBreakBefore w:val="0"/>
              <w:wordWrap/>
              <w:bidi w:val="0"/>
              <w:adjustRightInd/>
              <w:snapToGrid/>
              <w:spacing w:after="0" w:line="240" w:lineRule="auto"/>
              <w:ind w:left="0" w:leftChars="0" w:firstLine="0" w:firstLineChars="0"/>
              <w:jc w:val="center"/>
              <w:rPr>
                <w:rFonts w:hint="eastAsia" w:eastAsia="宋体"/>
                <w:color w:val="auto"/>
                <w:sz w:val="21"/>
                <w:szCs w:val="21"/>
                <w:lang w:val="en-US" w:eastAsia="zh-CN"/>
              </w:rPr>
            </w:pPr>
            <w:r>
              <w:rPr>
                <w:rFonts w:hint="eastAsia"/>
                <w:color w:val="auto"/>
                <w:sz w:val="21"/>
                <w:szCs w:val="21"/>
                <w:lang w:val="en-US" w:eastAsia="zh-CN"/>
              </w:rPr>
              <w:t>学校</w:t>
            </w:r>
          </w:p>
        </w:tc>
        <w:tc>
          <w:tcPr>
            <w:tcW w:w="319" w:type="pct"/>
            <w:tcBorders>
              <w:tl2br w:val="nil"/>
              <w:tr2bl w:val="nil"/>
            </w:tcBorders>
            <w:noWrap w:val="0"/>
            <w:tcMar>
              <w:top w:w="0" w:type="dxa"/>
              <w:left w:w="0" w:type="dxa"/>
              <w:bottom w:w="0" w:type="dxa"/>
              <w:right w:w="0" w:type="dxa"/>
            </w:tcMar>
            <w:vAlign w:val="center"/>
          </w:tcPr>
          <w:p w14:paraId="046D9272">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西北</w:t>
            </w:r>
          </w:p>
        </w:tc>
        <w:tc>
          <w:tcPr>
            <w:tcW w:w="397" w:type="pct"/>
            <w:tcBorders>
              <w:tl2br w:val="nil"/>
              <w:tr2bl w:val="nil"/>
            </w:tcBorders>
            <w:noWrap w:val="0"/>
            <w:tcMar>
              <w:top w:w="0" w:type="dxa"/>
              <w:left w:w="0" w:type="dxa"/>
              <w:bottom w:w="0" w:type="dxa"/>
              <w:right w:w="0" w:type="dxa"/>
            </w:tcMar>
            <w:vAlign w:val="center"/>
          </w:tcPr>
          <w:p w14:paraId="1917C4CD">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2.7km</w:t>
            </w:r>
          </w:p>
        </w:tc>
        <w:tc>
          <w:tcPr>
            <w:tcW w:w="650" w:type="pct"/>
            <w:tcBorders>
              <w:tl2br w:val="nil"/>
              <w:tr2bl w:val="nil"/>
            </w:tcBorders>
            <w:noWrap w:val="0"/>
            <w:tcMar>
              <w:top w:w="0" w:type="dxa"/>
              <w:left w:w="0" w:type="dxa"/>
              <w:bottom w:w="0" w:type="dxa"/>
              <w:right w:w="0" w:type="dxa"/>
            </w:tcMar>
            <w:vAlign w:val="center"/>
          </w:tcPr>
          <w:p w14:paraId="32D04CC7">
            <w:pPr>
              <w:pStyle w:val="24"/>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约300人</w:t>
            </w:r>
          </w:p>
        </w:tc>
        <w:tc>
          <w:tcPr>
            <w:tcW w:w="972" w:type="pct"/>
            <w:vMerge w:val="continue"/>
            <w:tcBorders>
              <w:tl2br w:val="nil"/>
              <w:tr2bl w:val="nil"/>
            </w:tcBorders>
            <w:noWrap w:val="0"/>
            <w:tcMar>
              <w:top w:w="0" w:type="dxa"/>
              <w:left w:w="0" w:type="dxa"/>
              <w:bottom w:w="0" w:type="dxa"/>
              <w:right w:w="0" w:type="dxa"/>
            </w:tcMar>
            <w:vAlign w:val="center"/>
          </w:tcPr>
          <w:p w14:paraId="3AC1D6B8">
            <w:pPr>
              <w:pStyle w:val="24"/>
              <w:pageBreakBefore w:val="0"/>
              <w:wordWrap/>
              <w:bidi w:val="0"/>
              <w:adjustRightInd/>
              <w:snapToGrid/>
              <w:spacing w:after="0" w:line="240" w:lineRule="auto"/>
              <w:ind w:left="0" w:leftChars="0" w:firstLine="0" w:firstLineChars="0"/>
              <w:jc w:val="center"/>
              <w:rPr>
                <w:color w:val="auto"/>
                <w:sz w:val="21"/>
                <w:szCs w:val="21"/>
              </w:rPr>
            </w:pPr>
          </w:p>
        </w:tc>
      </w:tr>
      <w:tr w14:paraId="47F37F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763ECB08">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noWrap w:val="0"/>
            <w:tcMar>
              <w:top w:w="0" w:type="dxa"/>
              <w:left w:w="0" w:type="dxa"/>
              <w:bottom w:w="0" w:type="dxa"/>
              <w:right w:w="0" w:type="dxa"/>
            </w:tcMar>
            <w:vAlign w:val="center"/>
          </w:tcPr>
          <w:p w14:paraId="34BC64FC">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106.870803</w:t>
            </w:r>
          </w:p>
        </w:tc>
        <w:tc>
          <w:tcPr>
            <w:tcW w:w="562" w:type="pct"/>
            <w:tcBorders>
              <w:tl2br w:val="nil"/>
              <w:tr2bl w:val="nil"/>
            </w:tcBorders>
            <w:noWrap w:val="0"/>
            <w:tcMar>
              <w:top w:w="0" w:type="dxa"/>
              <w:left w:w="0" w:type="dxa"/>
              <w:bottom w:w="0" w:type="dxa"/>
              <w:right w:w="0" w:type="dxa"/>
            </w:tcMar>
            <w:vAlign w:val="center"/>
          </w:tcPr>
          <w:p w14:paraId="5F72B071">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31.770642</w:t>
            </w:r>
          </w:p>
        </w:tc>
        <w:tc>
          <w:tcPr>
            <w:tcW w:w="540" w:type="pct"/>
            <w:tcBorders>
              <w:tl2br w:val="nil"/>
              <w:tr2bl w:val="nil"/>
            </w:tcBorders>
            <w:noWrap w:val="0"/>
            <w:tcMar>
              <w:top w:w="0" w:type="dxa"/>
              <w:left w:w="0" w:type="dxa"/>
              <w:bottom w:w="0" w:type="dxa"/>
              <w:right w:w="0" w:type="dxa"/>
            </w:tcMar>
            <w:vAlign w:val="center"/>
          </w:tcPr>
          <w:p w14:paraId="6176F345">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曾口镇</w:t>
            </w:r>
          </w:p>
        </w:tc>
        <w:tc>
          <w:tcPr>
            <w:tcW w:w="551" w:type="pct"/>
            <w:tcBorders>
              <w:tl2br w:val="nil"/>
              <w:tr2bl w:val="nil"/>
            </w:tcBorders>
            <w:noWrap w:val="0"/>
            <w:tcMar>
              <w:top w:w="0" w:type="dxa"/>
              <w:left w:w="0" w:type="dxa"/>
              <w:bottom w:w="0" w:type="dxa"/>
              <w:right w:w="0" w:type="dxa"/>
            </w:tcMar>
            <w:vAlign w:val="center"/>
          </w:tcPr>
          <w:p w14:paraId="20C3499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人群聚集区</w:t>
            </w:r>
          </w:p>
        </w:tc>
        <w:tc>
          <w:tcPr>
            <w:tcW w:w="319" w:type="pct"/>
            <w:tcBorders>
              <w:tl2br w:val="nil"/>
              <w:tr2bl w:val="nil"/>
            </w:tcBorders>
            <w:noWrap w:val="0"/>
            <w:tcMar>
              <w:top w:w="0" w:type="dxa"/>
              <w:left w:w="0" w:type="dxa"/>
              <w:bottom w:w="0" w:type="dxa"/>
              <w:right w:w="0" w:type="dxa"/>
            </w:tcMar>
            <w:vAlign w:val="center"/>
          </w:tcPr>
          <w:p w14:paraId="2FB0EDE6">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西北</w:t>
            </w:r>
          </w:p>
        </w:tc>
        <w:tc>
          <w:tcPr>
            <w:tcW w:w="397" w:type="pct"/>
            <w:tcBorders>
              <w:tl2br w:val="nil"/>
              <w:tr2bl w:val="nil"/>
            </w:tcBorders>
            <w:noWrap w:val="0"/>
            <w:tcMar>
              <w:top w:w="0" w:type="dxa"/>
              <w:left w:w="0" w:type="dxa"/>
              <w:bottom w:w="0" w:type="dxa"/>
              <w:right w:w="0" w:type="dxa"/>
            </w:tcMar>
            <w:vAlign w:val="center"/>
          </w:tcPr>
          <w:p w14:paraId="3519A637">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2km</w:t>
            </w:r>
          </w:p>
        </w:tc>
        <w:tc>
          <w:tcPr>
            <w:tcW w:w="650" w:type="pct"/>
            <w:tcBorders>
              <w:tl2br w:val="nil"/>
              <w:tr2bl w:val="nil"/>
            </w:tcBorders>
            <w:noWrap w:val="0"/>
            <w:tcMar>
              <w:top w:w="0" w:type="dxa"/>
              <w:left w:w="0" w:type="dxa"/>
              <w:bottom w:w="0" w:type="dxa"/>
              <w:right w:w="0" w:type="dxa"/>
            </w:tcMar>
            <w:vAlign w:val="center"/>
          </w:tcPr>
          <w:p w14:paraId="5A07DD59">
            <w:pPr>
              <w:pStyle w:val="24"/>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约</w:t>
            </w:r>
            <w:r>
              <w:rPr>
                <w:rFonts w:hint="eastAsia"/>
                <w:color w:val="auto"/>
                <w:sz w:val="21"/>
                <w:szCs w:val="21"/>
                <w:lang w:val="en-US" w:eastAsia="zh-CN"/>
              </w:rPr>
              <w:t>5000</w:t>
            </w:r>
            <w:r>
              <w:rPr>
                <w:color w:val="auto"/>
                <w:sz w:val="21"/>
                <w:szCs w:val="21"/>
              </w:rPr>
              <w:t>人</w:t>
            </w:r>
          </w:p>
        </w:tc>
        <w:tc>
          <w:tcPr>
            <w:tcW w:w="972" w:type="pct"/>
            <w:vMerge w:val="continue"/>
            <w:tcBorders>
              <w:tl2br w:val="nil"/>
              <w:tr2bl w:val="nil"/>
            </w:tcBorders>
            <w:noWrap w:val="0"/>
            <w:tcMar>
              <w:top w:w="0" w:type="dxa"/>
              <w:left w:w="0" w:type="dxa"/>
              <w:bottom w:w="0" w:type="dxa"/>
              <w:right w:w="0" w:type="dxa"/>
            </w:tcMar>
            <w:vAlign w:val="center"/>
          </w:tcPr>
          <w:p w14:paraId="3964AA18">
            <w:pPr>
              <w:pStyle w:val="24"/>
              <w:pageBreakBefore w:val="0"/>
              <w:wordWrap/>
              <w:bidi w:val="0"/>
              <w:adjustRightInd/>
              <w:snapToGrid/>
              <w:spacing w:after="0" w:line="240" w:lineRule="auto"/>
              <w:ind w:left="0" w:leftChars="0" w:firstLine="0" w:firstLineChars="0"/>
              <w:jc w:val="center"/>
              <w:rPr>
                <w:color w:val="auto"/>
                <w:sz w:val="21"/>
                <w:szCs w:val="21"/>
              </w:rPr>
            </w:pPr>
          </w:p>
        </w:tc>
      </w:tr>
      <w:tr w14:paraId="1CB432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397FBE00">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noWrap w:val="0"/>
            <w:tcMar>
              <w:top w:w="0" w:type="dxa"/>
              <w:left w:w="0" w:type="dxa"/>
              <w:bottom w:w="0" w:type="dxa"/>
              <w:right w:w="0" w:type="dxa"/>
            </w:tcMar>
            <w:vAlign w:val="center"/>
          </w:tcPr>
          <w:p w14:paraId="71F4BA72">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106.881017</w:t>
            </w:r>
          </w:p>
        </w:tc>
        <w:tc>
          <w:tcPr>
            <w:tcW w:w="562" w:type="pct"/>
            <w:tcBorders>
              <w:tl2br w:val="nil"/>
              <w:tr2bl w:val="nil"/>
            </w:tcBorders>
            <w:noWrap w:val="0"/>
            <w:tcMar>
              <w:top w:w="0" w:type="dxa"/>
              <w:left w:w="0" w:type="dxa"/>
              <w:bottom w:w="0" w:type="dxa"/>
              <w:right w:w="0" w:type="dxa"/>
            </w:tcMar>
            <w:vAlign w:val="center"/>
          </w:tcPr>
          <w:p w14:paraId="55D3B4DD">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31.765411</w:t>
            </w:r>
          </w:p>
        </w:tc>
        <w:tc>
          <w:tcPr>
            <w:tcW w:w="540" w:type="pct"/>
            <w:tcBorders>
              <w:tl2br w:val="nil"/>
              <w:tr2bl w:val="nil"/>
            </w:tcBorders>
            <w:noWrap w:val="0"/>
            <w:tcMar>
              <w:top w:w="0" w:type="dxa"/>
              <w:left w:w="0" w:type="dxa"/>
              <w:bottom w:w="0" w:type="dxa"/>
              <w:right w:w="0" w:type="dxa"/>
            </w:tcMar>
            <w:vAlign w:val="center"/>
          </w:tcPr>
          <w:p w14:paraId="521858A8">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寿星村</w:t>
            </w:r>
          </w:p>
        </w:tc>
        <w:tc>
          <w:tcPr>
            <w:tcW w:w="551" w:type="pct"/>
            <w:tcBorders>
              <w:tl2br w:val="nil"/>
              <w:tr2bl w:val="nil"/>
            </w:tcBorders>
            <w:noWrap w:val="0"/>
            <w:tcMar>
              <w:top w:w="0" w:type="dxa"/>
              <w:left w:w="0" w:type="dxa"/>
              <w:bottom w:w="0" w:type="dxa"/>
              <w:right w:w="0" w:type="dxa"/>
            </w:tcMar>
            <w:vAlign w:val="center"/>
          </w:tcPr>
          <w:p w14:paraId="3AB42528">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散居居民</w:t>
            </w:r>
          </w:p>
        </w:tc>
        <w:tc>
          <w:tcPr>
            <w:tcW w:w="319" w:type="pct"/>
            <w:tcBorders>
              <w:tl2br w:val="nil"/>
              <w:tr2bl w:val="nil"/>
            </w:tcBorders>
            <w:noWrap w:val="0"/>
            <w:tcMar>
              <w:top w:w="0" w:type="dxa"/>
              <w:left w:w="0" w:type="dxa"/>
              <w:bottom w:w="0" w:type="dxa"/>
              <w:right w:w="0" w:type="dxa"/>
            </w:tcMar>
            <w:vAlign w:val="center"/>
          </w:tcPr>
          <w:p w14:paraId="18F33148">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西北</w:t>
            </w:r>
          </w:p>
        </w:tc>
        <w:tc>
          <w:tcPr>
            <w:tcW w:w="397" w:type="pct"/>
            <w:tcBorders>
              <w:tl2br w:val="nil"/>
              <w:tr2bl w:val="nil"/>
            </w:tcBorders>
            <w:noWrap w:val="0"/>
            <w:tcMar>
              <w:top w:w="0" w:type="dxa"/>
              <w:left w:w="0" w:type="dxa"/>
              <w:bottom w:w="0" w:type="dxa"/>
              <w:right w:w="0" w:type="dxa"/>
            </w:tcMar>
            <w:vAlign w:val="center"/>
          </w:tcPr>
          <w:p w14:paraId="311A9AA0">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1.4km</w:t>
            </w:r>
          </w:p>
        </w:tc>
        <w:tc>
          <w:tcPr>
            <w:tcW w:w="650" w:type="pct"/>
            <w:tcBorders>
              <w:tl2br w:val="nil"/>
              <w:tr2bl w:val="nil"/>
            </w:tcBorders>
            <w:noWrap w:val="0"/>
            <w:tcMar>
              <w:top w:w="0" w:type="dxa"/>
              <w:left w:w="0" w:type="dxa"/>
              <w:bottom w:w="0" w:type="dxa"/>
              <w:right w:w="0" w:type="dxa"/>
            </w:tcMar>
            <w:vAlign w:val="center"/>
          </w:tcPr>
          <w:p w14:paraId="70E647B8">
            <w:pPr>
              <w:pStyle w:val="24"/>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约</w:t>
            </w:r>
            <w:r>
              <w:rPr>
                <w:rFonts w:hint="eastAsia"/>
                <w:color w:val="auto"/>
                <w:sz w:val="21"/>
                <w:szCs w:val="21"/>
                <w:lang w:val="en-US" w:eastAsia="zh-CN"/>
              </w:rPr>
              <w:t>700</w:t>
            </w:r>
            <w:r>
              <w:rPr>
                <w:color w:val="auto"/>
                <w:sz w:val="21"/>
                <w:szCs w:val="21"/>
              </w:rPr>
              <w:t>人</w:t>
            </w:r>
          </w:p>
        </w:tc>
        <w:tc>
          <w:tcPr>
            <w:tcW w:w="972" w:type="pct"/>
            <w:vMerge w:val="continue"/>
            <w:tcBorders>
              <w:tl2br w:val="nil"/>
              <w:tr2bl w:val="nil"/>
            </w:tcBorders>
            <w:noWrap w:val="0"/>
            <w:tcMar>
              <w:top w:w="0" w:type="dxa"/>
              <w:left w:w="0" w:type="dxa"/>
              <w:bottom w:w="0" w:type="dxa"/>
              <w:right w:w="0" w:type="dxa"/>
            </w:tcMar>
            <w:vAlign w:val="center"/>
          </w:tcPr>
          <w:p w14:paraId="6A8FC395">
            <w:pPr>
              <w:pStyle w:val="24"/>
              <w:pageBreakBefore w:val="0"/>
              <w:wordWrap/>
              <w:bidi w:val="0"/>
              <w:adjustRightInd/>
              <w:snapToGrid/>
              <w:spacing w:after="0" w:line="240" w:lineRule="auto"/>
              <w:ind w:left="0" w:leftChars="0" w:firstLine="0" w:firstLineChars="0"/>
              <w:jc w:val="center"/>
              <w:rPr>
                <w:color w:val="auto"/>
                <w:sz w:val="21"/>
                <w:szCs w:val="21"/>
              </w:rPr>
            </w:pPr>
          </w:p>
        </w:tc>
      </w:tr>
      <w:tr w14:paraId="4FBFF7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239D3D78">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noWrap w:val="0"/>
            <w:tcMar>
              <w:top w:w="0" w:type="dxa"/>
              <w:left w:w="0" w:type="dxa"/>
              <w:bottom w:w="0" w:type="dxa"/>
              <w:right w:w="0" w:type="dxa"/>
            </w:tcMar>
            <w:vAlign w:val="center"/>
          </w:tcPr>
          <w:p w14:paraId="722DA93D">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106.900372</w:t>
            </w:r>
          </w:p>
        </w:tc>
        <w:tc>
          <w:tcPr>
            <w:tcW w:w="562" w:type="pct"/>
            <w:tcBorders>
              <w:tl2br w:val="nil"/>
              <w:tr2bl w:val="nil"/>
            </w:tcBorders>
            <w:noWrap w:val="0"/>
            <w:tcMar>
              <w:top w:w="0" w:type="dxa"/>
              <w:left w:w="0" w:type="dxa"/>
              <w:bottom w:w="0" w:type="dxa"/>
              <w:right w:w="0" w:type="dxa"/>
            </w:tcMar>
            <w:vAlign w:val="center"/>
          </w:tcPr>
          <w:p w14:paraId="603F7CCD">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31.759414</w:t>
            </w:r>
          </w:p>
        </w:tc>
        <w:tc>
          <w:tcPr>
            <w:tcW w:w="540" w:type="pct"/>
            <w:tcBorders>
              <w:tl2br w:val="nil"/>
              <w:tr2bl w:val="nil"/>
            </w:tcBorders>
            <w:noWrap w:val="0"/>
            <w:tcMar>
              <w:top w:w="0" w:type="dxa"/>
              <w:left w:w="0" w:type="dxa"/>
              <w:bottom w:w="0" w:type="dxa"/>
              <w:right w:w="0" w:type="dxa"/>
            </w:tcMar>
            <w:vAlign w:val="center"/>
          </w:tcPr>
          <w:p w14:paraId="225D0E46">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石溪村</w:t>
            </w:r>
          </w:p>
        </w:tc>
        <w:tc>
          <w:tcPr>
            <w:tcW w:w="551" w:type="pct"/>
            <w:tcBorders>
              <w:tl2br w:val="nil"/>
              <w:tr2bl w:val="nil"/>
            </w:tcBorders>
            <w:noWrap w:val="0"/>
            <w:tcMar>
              <w:top w:w="0" w:type="dxa"/>
              <w:left w:w="0" w:type="dxa"/>
              <w:bottom w:w="0" w:type="dxa"/>
              <w:right w:w="0" w:type="dxa"/>
            </w:tcMar>
            <w:vAlign w:val="center"/>
          </w:tcPr>
          <w:p w14:paraId="5D93EB38">
            <w:pPr>
              <w:pStyle w:val="24"/>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散居居民</w:t>
            </w:r>
          </w:p>
        </w:tc>
        <w:tc>
          <w:tcPr>
            <w:tcW w:w="319" w:type="pct"/>
            <w:tcBorders>
              <w:tl2br w:val="nil"/>
              <w:tr2bl w:val="nil"/>
            </w:tcBorders>
            <w:noWrap w:val="0"/>
            <w:tcMar>
              <w:top w:w="0" w:type="dxa"/>
              <w:left w:w="0" w:type="dxa"/>
              <w:bottom w:w="0" w:type="dxa"/>
              <w:right w:w="0" w:type="dxa"/>
            </w:tcMar>
            <w:vAlign w:val="center"/>
          </w:tcPr>
          <w:p w14:paraId="7DE57628">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东北</w:t>
            </w:r>
          </w:p>
        </w:tc>
        <w:tc>
          <w:tcPr>
            <w:tcW w:w="397" w:type="pct"/>
            <w:tcBorders>
              <w:tl2br w:val="nil"/>
              <w:tr2bl w:val="nil"/>
            </w:tcBorders>
            <w:noWrap w:val="0"/>
            <w:tcMar>
              <w:top w:w="0" w:type="dxa"/>
              <w:left w:w="0" w:type="dxa"/>
              <w:bottom w:w="0" w:type="dxa"/>
              <w:right w:w="0" w:type="dxa"/>
            </w:tcMar>
            <w:vAlign w:val="center"/>
          </w:tcPr>
          <w:p w14:paraId="14E443F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1km</w:t>
            </w:r>
          </w:p>
        </w:tc>
        <w:tc>
          <w:tcPr>
            <w:tcW w:w="650" w:type="pct"/>
            <w:tcBorders>
              <w:tl2br w:val="nil"/>
              <w:tr2bl w:val="nil"/>
            </w:tcBorders>
            <w:noWrap w:val="0"/>
            <w:tcMar>
              <w:top w:w="0" w:type="dxa"/>
              <w:left w:w="0" w:type="dxa"/>
              <w:bottom w:w="0" w:type="dxa"/>
              <w:right w:w="0" w:type="dxa"/>
            </w:tcMar>
            <w:vAlign w:val="center"/>
          </w:tcPr>
          <w:p w14:paraId="590DEBB1">
            <w:pPr>
              <w:pStyle w:val="24"/>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约</w:t>
            </w:r>
            <w:r>
              <w:rPr>
                <w:rFonts w:hint="eastAsia"/>
                <w:color w:val="auto"/>
                <w:sz w:val="21"/>
                <w:szCs w:val="21"/>
                <w:lang w:val="en-US" w:eastAsia="zh-CN"/>
              </w:rPr>
              <w:t>5</w:t>
            </w:r>
            <w:r>
              <w:rPr>
                <w:color w:val="auto"/>
                <w:sz w:val="21"/>
                <w:szCs w:val="21"/>
              </w:rPr>
              <w:t>00人</w:t>
            </w:r>
          </w:p>
        </w:tc>
        <w:tc>
          <w:tcPr>
            <w:tcW w:w="972" w:type="pct"/>
            <w:vMerge w:val="continue"/>
            <w:tcBorders>
              <w:tl2br w:val="nil"/>
              <w:tr2bl w:val="nil"/>
            </w:tcBorders>
            <w:noWrap w:val="0"/>
            <w:tcMar>
              <w:top w:w="0" w:type="dxa"/>
              <w:left w:w="0" w:type="dxa"/>
              <w:bottom w:w="0" w:type="dxa"/>
              <w:right w:w="0" w:type="dxa"/>
            </w:tcMar>
            <w:vAlign w:val="center"/>
          </w:tcPr>
          <w:p w14:paraId="09DB0B43">
            <w:pPr>
              <w:pStyle w:val="24"/>
              <w:pageBreakBefore w:val="0"/>
              <w:wordWrap/>
              <w:bidi w:val="0"/>
              <w:adjustRightInd/>
              <w:snapToGrid/>
              <w:spacing w:after="0" w:line="240" w:lineRule="auto"/>
              <w:ind w:left="0" w:leftChars="0" w:firstLine="0" w:firstLineChars="0"/>
              <w:jc w:val="center"/>
              <w:rPr>
                <w:color w:val="auto"/>
                <w:sz w:val="21"/>
                <w:szCs w:val="21"/>
              </w:rPr>
            </w:pPr>
          </w:p>
        </w:tc>
      </w:tr>
      <w:tr w14:paraId="1E7AEF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2485B055">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noWrap w:val="0"/>
            <w:tcMar>
              <w:top w:w="0" w:type="dxa"/>
              <w:left w:w="0" w:type="dxa"/>
              <w:bottom w:w="0" w:type="dxa"/>
              <w:right w:w="0" w:type="dxa"/>
            </w:tcMar>
            <w:vAlign w:val="center"/>
          </w:tcPr>
          <w:p w14:paraId="67424839">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106.908354</w:t>
            </w:r>
          </w:p>
        </w:tc>
        <w:tc>
          <w:tcPr>
            <w:tcW w:w="562" w:type="pct"/>
            <w:tcBorders>
              <w:tl2br w:val="nil"/>
              <w:tr2bl w:val="nil"/>
            </w:tcBorders>
            <w:noWrap w:val="0"/>
            <w:tcMar>
              <w:top w:w="0" w:type="dxa"/>
              <w:left w:w="0" w:type="dxa"/>
              <w:bottom w:w="0" w:type="dxa"/>
              <w:right w:w="0" w:type="dxa"/>
            </w:tcMar>
            <w:vAlign w:val="center"/>
          </w:tcPr>
          <w:p w14:paraId="70583EB9">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31.753620</w:t>
            </w:r>
          </w:p>
        </w:tc>
        <w:tc>
          <w:tcPr>
            <w:tcW w:w="540" w:type="pct"/>
            <w:tcBorders>
              <w:tl2br w:val="nil"/>
              <w:tr2bl w:val="nil"/>
            </w:tcBorders>
            <w:noWrap w:val="0"/>
            <w:tcMar>
              <w:top w:w="0" w:type="dxa"/>
              <w:left w:w="0" w:type="dxa"/>
              <w:bottom w:w="0" w:type="dxa"/>
              <w:right w:w="0" w:type="dxa"/>
            </w:tcMar>
            <w:vAlign w:val="center"/>
          </w:tcPr>
          <w:p w14:paraId="0E92FFC4">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芦山村</w:t>
            </w:r>
          </w:p>
        </w:tc>
        <w:tc>
          <w:tcPr>
            <w:tcW w:w="551" w:type="pct"/>
            <w:tcBorders>
              <w:tl2br w:val="nil"/>
              <w:tr2bl w:val="nil"/>
            </w:tcBorders>
            <w:noWrap w:val="0"/>
            <w:tcMar>
              <w:top w:w="0" w:type="dxa"/>
              <w:left w:w="0" w:type="dxa"/>
              <w:bottom w:w="0" w:type="dxa"/>
              <w:right w:w="0" w:type="dxa"/>
            </w:tcMar>
            <w:vAlign w:val="center"/>
          </w:tcPr>
          <w:p w14:paraId="4AC3B625">
            <w:pPr>
              <w:pStyle w:val="24"/>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散居居民</w:t>
            </w:r>
          </w:p>
        </w:tc>
        <w:tc>
          <w:tcPr>
            <w:tcW w:w="319" w:type="pct"/>
            <w:tcBorders>
              <w:tl2br w:val="nil"/>
              <w:tr2bl w:val="nil"/>
            </w:tcBorders>
            <w:noWrap w:val="0"/>
            <w:tcMar>
              <w:top w:w="0" w:type="dxa"/>
              <w:left w:w="0" w:type="dxa"/>
              <w:bottom w:w="0" w:type="dxa"/>
              <w:right w:w="0" w:type="dxa"/>
            </w:tcMar>
            <w:vAlign w:val="center"/>
          </w:tcPr>
          <w:p w14:paraId="7BBA963F">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东</w:t>
            </w:r>
          </w:p>
        </w:tc>
        <w:tc>
          <w:tcPr>
            <w:tcW w:w="397" w:type="pct"/>
            <w:tcBorders>
              <w:tl2br w:val="nil"/>
              <w:tr2bl w:val="nil"/>
            </w:tcBorders>
            <w:noWrap w:val="0"/>
            <w:tcMar>
              <w:top w:w="0" w:type="dxa"/>
              <w:left w:w="0" w:type="dxa"/>
              <w:bottom w:w="0" w:type="dxa"/>
              <w:right w:w="0" w:type="dxa"/>
            </w:tcMar>
            <w:vAlign w:val="center"/>
          </w:tcPr>
          <w:p w14:paraId="11309E8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1.5km</w:t>
            </w:r>
          </w:p>
        </w:tc>
        <w:tc>
          <w:tcPr>
            <w:tcW w:w="650" w:type="pct"/>
            <w:tcBorders>
              <w:tl2br w:val="nil"/>
              <w:tr2bl w:val="nil"/>
            </w:tcBorders>
            <w:noWrap w:val="0"/>
            <w:tcMar>
              <w:top w:w="0" w:type="dxa"/>
              <w:left w:w="0" w:type="dxa"/>
              <w:bottom w:w="0" w:type="dxa"/>
              <w:right w:w="0" w:type="dxa"/>
            </w:tcMar>
            <w:vAlign w:val="center"/>
          </w:tcPr>
          <w:p w14:paraId="09675EC3">
            <w:pPr>
              <w:pStyle w:val="24"/>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约600人</w:t>
            </w:r>
          </w:p>
        </w:tc>
        <w:tc>
          <w:tcPr>
            <w:tcW w:w="972" w:type="pct"/>
            <w:vMerge w:val="continue"/>
            <w:tcBorders>
              <w:tl2br w:val="nil"/>
              <w:tr2bl w:val="nil"/>
            </w:tcBorders>
            <w:noWrap w:val="0"/>
            <w:tcMar>
              <w:top w:w="0" w:type="dxa"/>
              <w:left w:w="0" w:type="dxa"/>
              <w:bottom w:w="0" w:type="dxa"/>
              <w:right w:w="0" w:type="dxa"/>
            </w:tcMar>
            <w:vAlign w:val="center"/>
          </w:tcPr>
          <w:p w14:paraId="00C05EEB">
            <w:pPr>
              <w:pStyle w:val="24"/>
              <w:pageBreakBefore w:val="0"/>
              <w:wordWrap/>
              <w:bidi w:val="0"/>
              <w:adjustRightInd/>
              <w:snapToGrid/>
              <w:spacing w:after="0" w:line="240" w:lineRule="auto"/>
              <w:ind w:left="0" w:leftChars="0" w:firstLine="0" w:firstLineChars="0"/>
              <w:jc w:val="center"/>
              <w:rPr>
                <w:color w:val="auto"/>
                <w:sz w:val="21"/>
                <w:szCs w:val="21"/>
              </w:rPr>
            </w:pPr>
          </w:p>
        </w:tc>
      </w:tr>
      <w:tr w14:paraId="0BE6AE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6A37E3C7">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noWrap w:val="0"/>
            <w:tcMar>
              <w:top w:w="0" w:type="dxa"/>
              <w:left w:w="0" w:type="dxa"/>
              <w:bottom w:w="0" w:type="dxa"/>
              <w:right w:w="0" w:type="dxa"/>
            </w:tcMar>
            <w:vAlign w:val="center"/>
          </w:tcPr>
          <w:p w14:paraId="48E09EE2">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106.904514</w:t>
            </w:r>
          </w:p>
        </w:tc>
        <w:tc>
          <w:tcPr>
            <w:tcW w:w="562" w:type="pct"/>
            <w:tcBorders>
              <w:tl2br w:val="nil"/>
              <w:tr2bl w:val="nil"/>
            </w:tcBorders>
            <w:noWrap w:val="0"/>
            <w:tcMar>
              <w:top w:w="0" w:type="dxa"/>
              <w:left w:w="0" w:type="dxa"/>
              <w:bottom w:w="0" w:type="dxa"/>
              <w:right w:w="0" w:type="dxa"/>
            </w:tcMar>
            <w:vAlign w:val="center"/>
          </w:tcPr>
          <w:p w14:paraId="247DC7BE">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31.744098</w:t>
            </w:r>
          </w:p>
        </w:tc>
        <w:tc>
          <w:tcPr>
            <w:tcW w:w="540" w:type="pct"/>
            <w:tcBorders>
              <w:tl2br w:val="nil"/>
              <w:tr2bl w:val="nil"/>
            </w:tcBorders>
            <w:noWrap w:val="0"/>
            <w:tcMar>
              <w:top w:w="0" w:type="dxa"/>
              <w:left w:w="0" w:type="dxa"/>
              <w:bottom w:w="0" w:type="dxa"/>
              <w:right w:w="0" w:type="dxa"/>
            </w:tcMar>
            <w:vAlign w:val="center"/>
          </w:tcPr>
          <w:p w14:paraId="64EFDD5A">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江临村</w:t>
            </w:r>
          </w:p>
        </w:tc>
        <w:tc>
          <w:tcPr>
            <w:tcW w:w="551" w:type="pct"/>
            <w:tcBorders>
              <w:tl2br w:val="nil"/>
              <w:tr2bl w:val="nil"/>
            </w:tcBorders>
            <w:noWrap w:val="0"/>
            <w:tcMar>
              <w:top w:w="0" w:type="dxa"/>
              <w:left w:w="0" w:type="dxa"/>
              <w:bottom w:w="0" w:type="dxa"/>
              <w:right w:w="0" w:type="dxa"/>
            </w:tcMar>
            <w:vAlign w:val="center"/>
          </w:tcPr>
          <w:p w14:paraId="3801F827">
            <w:pPr>
              <w:pStyle w:val="24"/>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散居居民</w:t>
            </w:r>
          </w:p>
        </w:tc>
        <w:tc>
          <w:tcPr>
            <w:tcW w:w="319" w:type="pct"/>
            <w:tcBorders>
              <w:tl2br w:val="nil"/>
              <w:tr2bl w:val="nil"/>
            </w:tcBorders>
            <w:noWrap w:val="0"/>
            <w:tcMar>
              <w:top w:w="0" w:type="dxa"/>
              <w:left w:w="0" w:type="dxa"/>
              <w:bottom w:w="0" w:type="dxa"/>
              <w:right w:w="0" w:type="dxa"/>
            </w:tcMar>
            <w:vAlign w:val="center"/>
          </w:tcPr>
          <w:p w14:paraId="5473F0AE">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东南</w:t>
            </w:r>
          </w:p>
        </w:tc>
        <w:tc>
          <w:tcPr>
            <w:tcW w:w="397" w:type="pct"/>
            <w:tcBorders>
              <w:tl2br w:val="nil"/>
              <w:tr2bl w:val="nil"/>
            </w:tcBorders>
            <w:noWrap w:val="0"/>
            <w:tcMar>
              <w:top w:w="0" w:type="dxa"/>
              <w:left w:w="0" w:type="dxa"/>
              <w:bottom w:w="0" w:type="dxa"/>
              <w:right w:w="0" w:type="dxa"/>
            </w:tcMar>
            <w:vAlign w:val="center"/>
          </w:tcPr>
          <w:p w14:paraId="2AA29424">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1.5km</w:t>
            </w:r>
          </w:p>
        </w:tc>
        <w:tc>
          <w:tcPr>
            <w:tcW w:w="650" w:type="pct"/>
            <w:tcBorders>
              <w:tl2br w:val="nil"/>
              <w:tr2bl w:val="nil"/>
            </w:tcBorders>
            <w:noWrap w:val="0"/>
            <w:tcMar>
              <w:top w:w="0" w:type="dxa"/>
              <w:left w:w="0" w:type="dxa"/>
              <w:bottom w:w="0" w:type="dxa"/>
              <w:right w:w="0" w:type="dxa"/>
            </w:tcMar>
            <w:vAlign w:val="center"/>
          </w:tcPr>
          <w:p w14:paraId="5C092A08">
            <w:pPr>
              <w:pStyle w:val="24"/>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约</w:t>
            </w:r>
            <w:r>
              <w:rPr>
                <w:rFonts w:hint="eastAsia"/>
                <w:color w:val="auto"/>
                <w:sz w:val="21"/>
                <w:szCs w:val="21"/>
                <w:lang w:val="en-US" w:eastAsia="zh-CN"/>
              </w:rPr>
              <w:t>400</w:t>
            </w:r>
            <w:r>
              <w:rPr>
                <w:color w:val="auto"/>
                <w:sz w:val="21"/>
                <w:szCs w:val="21"/>
              </w:rPr>
              <w:t>人</w:t>
            </w:r>
          </w:p>
        </w:tc>
        <w:tc>
          <w:tcPr>
            <w:tcW w:w="972" w:type="pct"/>
            <w:vMerge w:val="continue"/>
            <w:tcBorders>
              <w:tl2br w:val="nil"/>
              <w:tr2bl w:val="nil"/>
            </w:tcBorders>
            <w:noWrap w:val="0"/>
            <w:tcMar>
              <w:top w:w="0" w:type="dxa"/>
              <w:left w:w="0" w:type="dxa"/>
              <w:bottom w:w="0" w:type="dxa"/>
              <w:right w:w="0" w:type="dxa"/>
            </w:tcMar>
            <w:vAlign w:val="center"/>
          </w:tcPr>
          <w:p w14:paraId="08B938BA">
            <w:pPr>
              <w:pStyle w:val="24"/>
              <w:pageBreakBefore w:val="0"/>
              <w:wordWrap/>
              <w:bidi w:val="0"/>
              <w:adjustRightInd/>
              <w:snapToGrid/>
              <w:spacing w:after="0" w:line="240" w:lineRule="auto"/>
              <w:ind w:left="0" w:leftChars="0" w:firstLine="0" w:firstLineChars="0"/>
              <w:jc w:val="center"/>
              <w:rPr>
                <w:color w:val="auto"/>
                <w:sz w:val="21"/>
                <w:szCs w:val="21"/>
              </w:rPr>
            </w:pPr>
          </w:p>
        </w:tc>
      </w:tr>
      <w:tr w14:paraId="2DE7AB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49E43EDE">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noWrap w:val="0"/>
            <w:tcMar>
              <w:top w:w="0" w:type="dxa"/>
              <w:left w:w="0" w:type="dxa"/>
              <w:bottom w:w="0" w:type="dxa"/>
              <w:right w:w="0" w:type="dxa"/>
            </w:tcMar>
            <w:vAlign w:val="center"/>
          </w:tcPr>
          <w:p w14:paraId="12F76CC1">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106.898398</w:t>
            </w:r>
          </w:p>
        </w:tc>
        <w:tc>
          <w:tcPr>
            <w:tcW w:w="562" w:type="pct"/>
            <w:tcBorders>
              <w:tl2br w:val="nil"/>
              <w:tr2bl w:val="nil"/>
            </w:tcBorders>
            <w:noWrap w:val="0"/>
            <w:tcMar>
              <w:top w:w="0" w:type="dxa"/>
              <w:left w:w="0" w:type="dxa"/>
              <w:bottom w:w="0" w:type="dxa"/>
              <w:right w:w="0" w:type="dxa"/>
            </w:tcMar>
            <w:vAlign w:val="center"/>
          </w:tcPr>
          <w:p w14:paraId="29373F0C">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31.738128</w:t>
            </w:r>
          </w:p>
        </w:tc>
        <w:tc>
          <w:tcPr>
            <w:tcW w:w="540" w:type="pct"/>
            <w:tcBorders>
              <w:tl2br w:val="nil"/>
              <w:tr2bl w:val="nil"/>
            </w:tcBorders>
            <w:noWrap w:val="0"/>
            <w:tcMar>
              <w:top w:w="0" w:type="dxa"/>
              <w:left w:w="0" w:type="dxa"/>
              <w:bottom w:w="0" w:type="dxa"/>
              <w:right w:w="0" w:type="dxa"/>
            </w:tcMar>
            <w:vAlign w:val="center"/>
          </w:tcPr>
          <w:p w14:paraId="11D97285">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五通桥村</w:t>
            </w:r>
          </w:p>
        </w:tc>
        <w:tc>
          <w:tcPr>
            <w:tcW w:w="551" w:type="pct"/>
            <w:tcBorders>
              <w:tl2br w:val="nil"/>
              <w:tr2bl w:val="nil"/>
            </w:tcBorders>
            <w:noWrap w:val="0"/>
            <w:tcMar>
              <w:top w:w="0" w:type="dxa"/>
              <w:left w:w="0" w:type="dxa"/>
              <w:bottom w:w="0" w:type="dxa"/>
              <w:right w:w="0" w:type="dxa"/>
            </w:tcMar>
            <w:vAlign w:val="center"/>
          </w:tcPr>
          <w:p w14:paraId="2D533D8D">
            <w:pPr>
              <w:pStyle w:val="24"/>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散居居民</w:t>
            </w:r>
          </w:p>
        </w:tc>
        <w:tc>
          <w:tcPr>
            <w:tcW w:w="319" w:type="pct"/>
            <w:tcBorders>
              <w:tl2br w:val="nil"/>
              <w:tr2bl w:val="nil"/>
            </w:tcBorders>
            <w:noWrap w:val="0"/>
            <w:tcMar>
              <w:top w:w="0" w:type="dxa"/>
              <w:left w:w="0" w:type="dxa"/>
              <w:bottom w:w="0" w:type="dxa"/>
              <w:right w:w="0" w:type="dxa"/>
            </w:tcMar>
            <w:vAlign w:val="center"/>
          </w:tcPr>
          <w:p w14:paraId="3F2A124E">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东南</w:t>
            </w:r>
          </w:p>
        </w:tc>
        <w:tc>
          <w:tcPr>
            <w:tcW w:w="397" w:type="pct"/>
            <w:tcBorders>
              <w:tl2br w:val="nil"/>
              <w:tr2bl w:val="nil"/>
            </w:tcBorders>
            <w:noWrap w:val="0"/>
            <w:tcMar>
              <w:top w:w="0" w:type="dxa"/>
              <w:left w:w="0" w:type="dxa"/>
              <w:bottom w:w="0" w:type="dxa"/>
              <w:right w:w="0" w:type="dxa"/>
            </w:tcMar>
            <w:vAlign w:val="center"/>
          </w:tcPr>
          <w:p w14:paraId="59DDF516">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1.7km</w:t>
            </w:r>
          </w:p>
        </w:tc>
        <w:tc>
          <w:tcPr>
            <w:tcW w:w="650" w:type="pct"/>
            <w:tcBorders>
              <w:tl2br w:val="nil"/>
              <w:tr2bl w:val="nil"/>
            </w:tcBorders>
            <w:noWrap w:val="0"/>
            <w:tcMar>
              <w:top w:w="0" w:type="dxa"/>
              <w:left w:w="0" w:type="dxa"/>
              <w:bottom w:w="0" w:type="dxa"/>
              <w:right w:w="0" w:type="dxa"/>
            </w:tcMar>
            <w:vAlign w:val="center"/>
          </w:tcPr>
          <w:p w14:paraId="248533E6">
            <w:pPr>
              <w:pStyle w:val="24"/>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约</w:t>
            </w:r>
            <w:r>
              <w:rPr>
                <w:rFonts w:hint="eastAsia"/>
                <w:color w:val="auto"/>
                <w:sz w:val="21"/>
                <w:szCs w:val="21"/>
                <w:lang w:val="en-US" w:eastAsia="zh-CN"/>
              </w:rPr>
              <w:t>500</w:t>
            </w:r>
            <w:r>
              <w:rPr>
                <w:color w:val="auto"/>
                <w:sz w:val="21"/>
                <w:szCs w:val="21"/>
              </w:rPr>
              <w:t>人</w:t>
            </w:r>
          </w:p>
        </w:tc>
        <w:tc>
          <w:tcPr>
            <w:tcW w:w="972" w:type="pct"/>
            <w:vMerge w:val="continue"/>
            <w:tcBorders>
              <w:tl2br w:val="nil"/>
              <w:tr2bl w:val="nil"/>
            </w:tcBorders>
            <w:noWrap w:val="0"/>
            <w:tcMar>
              <w:top w:w="0" w:type="dxa"/>
              <w:left w:w="0" w:type="dxa"/>
              <w:bottom w:w="0" w:type="dxa"/>
              <w:right w:w="0" w:type="dxa"/>
            </w:tcMar>
            <w:vAlign w:val="center"/>
          </w:tcPr>
          <w:p w14:paraId="7A940CCC">
            <w:pPr>
              <w:pStyle w:val="24"/>
              <w:pageBreakBefore w:val="0"/>
              <w:wordWrap/>
              <w:bidi w:val="0"/>
              <w:adjustRightInd/>
              <w:snapToGrid/>
              <w:spacing w:after="0" w:line="240" w:lineRule="auto"/>
              <w:ind w:left="0" w:leftChars="0" w:firstLine="0" w:firstLineChars="0"/>
              <w:jc w:val="center"/>
              <w:rPr>
                <w:color w:val="auto"/>
                <w:sz w:val="21"/>
                <w:szCs w:val="21"/>
              </w:rPr>
            </w:pPr>
          </w:p>
        </w:tc>
      </w:tr>
      <w:tr w14:paraId="48B3BC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76A39013">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noWrap w:val="0"/>
            <w:tcMar>
              <w:top w:w="0" w:type="dxa"/>
              <w:left w:w="0" w:type="dxa"/>
              <w:bottom w:w="0" w:type="dxa"/>
              <w:right w:w="0" w:type="dxa"/>
            </w:tcMar>
            <w:vAlign w:val="center"/>
          </w:tcPr>
          <w:p w14:paraId="1A6F6139">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106.888356</w:t>
            </w:r>
          </w:p>
        </w:tc>
        <w:tc>
          <w:tcPr>
            <w:tcW w:w="562" w:type="pct"/>
            <w:tcBorders>
              <w:tl2br w:val="nil"/>
              <w:tr2bl w:val="nil"/>
            </w:tcBorders>
            <w:noWrap w:val="0"/>
            <w:tcMar>
              <w:top w:w="0" w:type="dxa"/>
              <w:left w:w="0" w:type="dxa"/>
              <w:bottom w:w="0" w:type="dxa"/>
              <w:right w:w="0" w:type="dxa"/>
            </w:tcMar>
            <w:vAlign w:val="center"/>
          </w:tcPr>
          <w:p w14:paraId="7FB149D0">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31.732404</w:t>
            </w:r>
          </w:p>
        </w:tc>
        <w:tc>
          <w:tcPr>
            <w:tcW w:w="540" w:type="pct"/>
            <w:tcBorders>
              <w:tl2br w:val="nil"/>
              <w:tr2bl w:val="nil"/>
            </w:tcBorders>
            <w:noWrap w:val="0"/>
            <w:tcMar>
              <w:top w:w="0" w:type="dxa"/>
              <w:left w:w="0" w:type="dxa"/>
              <w:bottom w:w="0" w:type="dxa"/>
              <w:right w:w="0" w:type="dxa"/>
            </w:tcMar>
            <w:vAlign w:val="center"/>
          </w:tcPr>
          <w:p w14:paraId="7EB07371">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燕山村</w:t>
            </w:r>
          </w:p>
        </w:tc>
        <w:tc>
          <w:tcPr>
            <w:tcW w:w="551" w:type="pct"/>
            <w:tcBorders>
              <w:tl2br w:val="nil"/>
              <w:tr2bl w:val="nil"/>
            </w:tcBorders>
            <w:noWrap w:val="0"/>
            <w:tcMar>
              <w:top w:w="0" w:type="dxa"/>
              <w:left w:w="0" w:type="dxa"/>
              <w:bottom w:w="0" w:type="dxa"/>
              <w:right w:w="0" w:type="dxa"/>
            </w:tcMar>
            <w:vAlign w:val="center"/>
          </w:tcPr>
          <w:p w14:paraId="4FE67D51">
            <w:pPr>
              <w:pStyle w:val="24"/>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散居居民</w:t>
            </w:r>
          </w:p>
        </w:tc>
        <w:tc>
          <w:tcPr>
            <w:tcW w:w="319" w:type="pct"/>
            <w:tcBorders>
              <w:tl2br w:val="nil"/>
              <w:tr2bl w:val="nil"/>
            </w:tcBorders>
            <w:noWrap w:val="0"/>
            <w:tcMar>
              <w:top w:w="0" w:type="dxa"/>
              <w:left w:w="0" w:type="dxa"/>
              <w:bottom w:w="0" w:type="dxa"/>
              <w:right w:w="0" w:type="dxa"/>
            </w:tcMar>
            <w:vAlign w:val="center"/>
          </w:tcPr>
          <w:p w14:paraId="6434B4C7">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南</w:t>
            </w:r>
          </w:p>
        </w:tc>
        <w:tc>
          <w:tcPr>
            <w:tcW w:w="397" w:type="pct"/>
            <w:tcBorders>
              <w:tl2br w:val="nil"/>
              <w:tr2bl w:val="nil"/>
            </w:tcBorders>
            <w:noWrap w:val="0"/>
            <w:tcMar>
              <w:top w:w="0" w:type="dxa"/>
              <w:left w:w="0" w:type="dxa"/>
              <w:bottom w:w="0" w:type="dxa"/>
              <w:right w:w="0" w:type="dxa"/>
            </w:tcMar>
            <w:vAlign w:val="center"/>
          </w:tcPr>
          <w:p w14:paraId="5FE1EF9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2.3km</w:t>
            </w:r>
          </w:p>
        </w:tc>
        <w:tc>
          <w:tcPr>
            <w:tcW w:w="650" w:type="pct"/>
            <w:tcBorders>
              <w:tl2br w:val="nil"/>
              <w:tr2bl w:val="nil"/>
            </w:tcBorders>
            <w:noWrap w:val="0"/>
            <w:tcMar>
              <w:top w:w="0" w:type="dxa"/>
              <w:left w:w="0" w:type="dxa"/>
              <w:bottom w:w="0" w:type="dxa"/>
              <w:right w:w="0" w:type="dxa"/>
            </w:tcMar>
            <w:vAlign w:val="center"/>
          </w:tcPr>
          <w:p w14:paraId="50A52AB2">
            <w:pPr>
              <w:pStyle w:val="24"/>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约</w:t>
            </w:r>
            <w:r>
              <w:rPr>
                <w:rFonts w:hint="eastAsia"/>
                <w:color w:val="auto"/>
                <w:sz w:val="21"/>
                <w:szCs w:val="21"/>
                <w:lang w:val="en-US" w:eastAsia="zh-CN"/>
              </w:rPr>
              <w:t>150</w:t>
            </w:r>
            <w:r>
              <w:rPr>
                <w:color w:val="auto"/>
                <w:sz w:val="21"/>
                <w:szCs w:val="21"/>
              </w:rPr>
              <w:t>人</w:t>
            </w:r>
          </w:p>
        </w:tc>
        <w:tc>
          <w:tcPr>
            <w:tcW w:w="972" w:type="pct"/>
            <w:vMerge w:val="continue"/>
            <w:tcBorders>
              <w:tl2br w:val="nil"/>
              <w:tr2bl w:val="nil"/>
            </w:tcBorders>
            <w:noWrap w:val="0"/>
            <w:tcMar>
              <w:top w:w="0" w:type="dxa"/>
              <w:left w:w="0" w:type="dxa"/>
              <w:bottom w:w="0" w:type="dxa"/>
              <w:right w:w="0" w:type="dxa"/>
            </w:tcMar>
            <w:vAlign w:val="center"/>
          </w:tcPr>
          <w:p w14:paraId="7E0393EF">
            <w:pPr>
              <w:pStyle w:val="24"/>
              <w:pageBreakBefore w:val="0"/>
              <w:wordWrap/>
              <w:bidi w:val="0"/>
              <w:adjustRightInd/>
              <w:snapToGrid/>
              <w:spacing w:after="0" w:line="240" w:lineRule="auto"/>
              <w:ind w:left="0" w:leftChars="0" w:firstLine="0" w:firstLineChars="0"/>
              <w:jc w:val="center"/>
              <w:rPr>
                <w:color w:val="auto"/>
                <w:sz w:val="21"/>
                <w:szCs w:val="21"/>
              </w:rPr>
            </w:pPr>
          </w:p>
        </w:tc>
      </w:tr>
      <w:tr w14:paraId="68D35C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54D4B627">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noWrap w:val="0"/>
            <w:tcMar>
              <w:top w:w="0" w:type="dxa"/>
              <w:left w:w="0" w:type="dxa"/>
              <w:bottom w:w="0" w:type="dxa"/>
              <w:right w:w="0" w:type="dxa"/>
            </w:tcMar>
            <w:vAlign w:val="center"/>
          </w:tcPr>
          <w:p w14:paraId="2AD108D4">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106.879429</w:t>
            </w:r>
          </w:p>
        </w:tc>
        <w:tc>
          <w:tcPr>
            <w:tcW w:w="562" w:type="pct"/>
            <w:tcBorders>
              <w:tl2br w:val="nil"/>
              <w:tr2bl w:val="nil"/>
            </w:tcBorders>
            <w:noWrap w:val="0"/>
            <w:tcMar>
              <w:top w:w="0" w:type="dxa"/>
              <w:left w:w="0" w:type="dxa"/>
              <w:bottom w:w="0" w:type="dxa"/>
              <w:right w:w="0" w:type="dxa"/>
            </w:tcMar>
            <w:vAlign w:val="center"/>
          </w:tcPr>
          <w:p w14:paraId="23916720">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31.745595</w:t>
            </w:r>
          </w:p>
        </w:tc>
        <w:tc>
          <w:tcPr>
            <w:tcW w:w="540" w:type="pct"/>
            <w:tcBorders>
              <w:tl2br w:val="nil"/>
              <w:tr2bl w:val="nil"/>
            </w:tcBorders>
            <w:noWrap w:val="0"/>
            <w:tcMar>
              <w:top w:w="0" w:type="dxa"/>
              <w:left w:w="0" w:type="dxa"/>
              <w:bottom w:w="0" w:type="dxa"/>
              <w:right w:w="0" w:type="dxa"/>
            </w:tcMar>
            <w:vAlign w:val="center"/>
          </w:tcPr>
          <w:p w14:paraId="1DF0BC96">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吉公村</w:t>
            </w:r>
          </w:p>
        </w:tc>
        <w:tc>
          <w:tcPr>
            <w:tcW w:w="551" w:type="pct"/>
            <w:tcBorders>
              <w:tl2br w:val="nil"/>
              <w:tr2bl w:val="nil"/>
            </w:tcBorders>
            <w:noWrap w:val="0"/>
            <w:tcMar>
              <w:top w:w="0" w:type="dxa"/>
              <w:left w:w="0" w:type="dxa"/>
              <w:bottom w:w="0" w:type="dxa"/>
              <w:right w:w="0" w:type="dxa"/>
            </w:tcMar>
            <w:vAlign w:val="center"/>
          </w:tcPr>
          <w:p w14:paraId="1C7954CC">
            <w:pPr>
              <w:pStyle w:val="24"/>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散居居民</w:t>
            </w:r>
          </w:p>
        </w:tc>
        <w:tc>
          <w:tcPr>
            <w:tcW w:w="319" w:type="pct"/>
            <w:tcBorders>
              <w:tl2br w:val="nil"/>
              <w:tr2bl w:val="nil"/>
            </w:tcBorders>
            <w:noWrap w:val="0"/>
            <w:tcMar>
              <w:top w:w="0" w:type="dxa"/>
              <w:left w:w="0" w:type="dxa"/>
              <w:bottom w:w="0" w:type="dxa"/>
              <w:right w:w="0" w:type="dxa"/>
            </w:tcMar>
            <w:vAlign w:val="center"/>
          </w:tcPr>
          <w:p w14:paraId="0591D418">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西南</w:t>
            </w:r>
          </w:p>
        </w:tc>
        <w:tc>
          <w:tcPr>
            <w:tcW w:w="397" w:type="pct"/>
            <w:tcBorders>
              <w:tl2br w:val="nil"/>
              <w:tr2bl w:val="nil"/>
            </w:tcBorders>
            <w:noWrap w:val="0"/>
            <w:tcMar>
              <w:top w:w="0" w:type="dxa"/>
              <w:left w:w="0" w:type="dxa"/>
              <w:bottom w:w="0" w:type="dxa"/>
              <w:right w:w="0" w:type="dxa"/>
            </w:tcMar>
            <w:vAlign w:val="center"/>
          </w:tcPr>
          <w:p w14:paraId="6F44CD35">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1.2km</w:t>
            </w:r>
          </w:p>
        </w:tc>
        <w:tc>
          <w:tcPr>
            <w:tcW w:w="650" w:type="pct"/>
            <w:tcBorders>
              <w:tl2br w:val="nil"/>
              <w:tr2bl w:val="nil"/>
            </w:tcBorders>
            <w:noWrap w:val="0"/>
            <w:tcMar>
              <w:top w:w="0" w:type="dxa"/>
              <w:left w:w="0" w:type="dxa"/>
              <w:bottom w:w="0" w:type="dxa"/>
              <w:right w:w="0" w:type="dxa"/>
            </w:tcMar>
            <w:vAlign w:val="center"/>
          </w:tcPr>
          <w:p w14:paraId="359CD46E">
            <w:pPr>
              <w:pStyle w:val="24"/>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color w:val="auto"/>
                <w:sz w:val="21"/>
                <w:szCs w:val="21"/>
              </w:rPr>
              <w:t>约</w:t>
            </w:r>
            <w:r>
              <w:rPr>
                <w:rFonts w:hint="eastAsia"/>
                <w:color w:val="auto"/>
                <w:sz w:val="21"/>
                <w:szCs w:val="21"/>
                <w:lang w:val="en-US" w:eastAsia="zh-CN"/>
              </w:rPr>
              <w:t>300人</w:t>
            </w:r>
          </w:p>
        </w:tc>
        <w:tc>
          <w:tcPr>
            <w:tcW w:w="972" w:type="pct"/>
            <w:vMerge w:val="continue"/>
            <w:tcBorders>
              <w:tl2br w:val="nil"/>
              <w:tr2bl w:val="nil"/>
            </w:tcBorders>
            <w:noWrap w:val="0"/>
            <w:tcMar>
              <w:top w:w="0" w:type="dxa"/>
              <w:left w:w="0" w:type="dxa"/>
              <w:bottom w:w="0" w:type="dxa"/>
              <w:right w:w="0" w:type="dxa"/>
            </w:tcMar>
            <w:vAlign w:val="center"/>
          </w:tcPr>
          <w:p w14:paraId="1F1F176D">
            <w:pPr>
              <w:pStyle w:val="24"/>
              <w:pageBreakBefore w:val="0"/>
              <w:wordWrap/>
              <w:bidi w:val="0"/>
              <w:adjustRightInd/>
              <w:snapToGrid/>
              <w:spacing w:after="0" w:line="240" w:lineRule="auto"/>
              <w:ind w:left="0" w:leftChars="0" w:firstLine="0" w:firstLineChars="0"/>
              <w:jc w:val="center"/>
              <w:rPr>
                <w:color w:val="auto"/>
                <w:sz w:val="21"/>
                <w:szCs w:val="21"/>
              </w:rPr>
            </w:pPr>
          </w:p>
        </w:tc>
      </w:tr>
      <w:tr w14:paraId="7BAC8B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restart"/>
            <w:tcBorders>
              <w:tl2br w:val="nil"/>
              <w:tr2bl w:val="nil"/>
            </w:tcBorders>
            <w:noWrap w:val="0"/>
            <w:tcMar>
              <w:top w:w="0" w:type="dxa"/>
              <w:left w:w="0" w:type="dxa"/>
              <w:bottom w:w="0" w:type="dxa"/>
              <w:right w:w="0" w:type="dxa"/>
            </w:tcMar>
            <w:vAlign w:val="center"/>
          </w:tcPr>
          <w:p w14:paraId="7E88329C">
            <w:pPr>
              <w:pStyle w:val="24"/>
              <w:pageBreakBefore w:val="0"/>
              <w:wordWrap/>
              <w:bidi w:val="0"/>
              <w:adjustRightInd/>
              <w:snapToGrid/>
              <w:spacing w:after="0" w:line="240" w:lineRule="auto"/>
              <w:ind w:left="0" w:leftChars="0" w:firstLine="0" w:firstLineChars="0"/>
              <w:jc w:val="center"/>
              <w:rPr>
                <w:color w:val="auto"/>
                <w:sz w:val="21"/>
                <w:szCs w:val="21"/>
              </w:rPr>
            </w:pPr>
            <w:r>
              <w:rPr>
                <w:rFonts w:hint="eastAsia"/>
                <w:color w:val="auto"/>
                <w:sz w:val="21"/>
                <w:szCs w:val="21"/>
                <w:lang w:val="en-US" w:eastAsia="zh-CN"/>
              </w:rPr>
              <w:t>声环境</w:t>
            </w:r>
          </w:p>
        </w:tc>
        <w:tc>
          <w:tcPr>
            <w:tcW w:w="639" w:type="pct"/>
            <w:tcBorders>
              <w:tl2br w:val="nil"/>
              <w:tr2bl w:val="nil"/>
            </w:tcBorders>
            <w:noWrap w:val="0"/>
            <w:tcMar>
              <w:top w:w="0" w:type="dxa"/>
              <w:left w:w="0" w:type="dxa"/>
              <w:bottom w:w="0" w:type="dxa"/>
              <w:right w:w="0" w:type="dxa"/>
            </w:tcMar>
            <w:vAlign w:val="center"/>
          </w:tcPr>
          <w:p w14:paraId="0D349439">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106.891846</w:t>
            </w:r>
          </w:p>
        </w:tc>
        <w:tc>
          <w:tcPr>
            <w:tcW w:w="562" w:type="pct"/>
            <w:tcBorders>
              <w:tl2br w:val="nil"/>
              <w:tr2bl w:val="nil"/>
            </w:tcBorders>
            <w:noWrap w:val="0"/>
            <w:tcMar>
              <w:top w:w="0" w:type="dxa"/>
              <w:left w:w="0" w:type="dxa"/>
              <w:bottom w:w="0" w:type="dxa"/>
              <w:right w:w="0" w:type="dxa"/>
            </w:tcMar>
            <w:vAlign w:val="center"/>
          </w:tcPr>
          <w:p w14:paraId="4D286D13">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31.753558</w:t>
            </w:r>
          </w:p>
        </w:tc>
        <w:tc>
          <w:tcPr>
            <w:tcW w:w="540" w:type="pct"/>
            <w:tcBorders>
              <w:tl2br w:val="nil"/>
              <w:tr2bl w:val="nil"/>
            </w:tcBorders>
            <w:noWrap w:val="0"/>
            <w:tcMar>
              <w:top w:w="0" w:type="dxa"/>
              <w:left w:w="0" w:type="dxa"/>
              <w:bottom w:w="0" w:type="dxa"/>
              <w:right w:w="0" w:type="dxa"/>
            </w:tcMar>
            <w:vAlign w:val="center"/>
          </w:tcPr>
          <w:p w14:paraId="37C4F930">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散居居民</w:t>
            </w:r>
          </w:p>
        </w:tc>
        <w:tc>
          <w:tcPr>
            <w:tcW w:w="551" w:type="pct"/>
            <w:tcBorders>
              <w:tl2br w:val="nil"/>
              <w:tr2bl w:val="nil"/>
            </w:tcBorders>
            <w:noWrap w:val="0"/>
            <w:tcMar>
              <w:top w:w="0" w:type="dxa"/>
              <w:left w:w="0" w:type="dxa"/>
              <w:bottom w:w="0" w:type="dxa"/>
              <w:right w:w="0" w:type="dxa"/>
            </w:tcMar>
            <w:vAlign w:val="center"/>
          </w:tcPr>
          <w:p w14:paraId="2E67B28F">
            <w:pPr>
              <w:pStyle w:val="24"/>
              <w:pageBreakBefore w:val="0"/>
              <w:wordWrap/>
              <w:bidi w:val="0"/>
              <w:adjustRightInd/>
              <w:snapToGrid/>
              <w:spacing w:after="0" w:line="240" w:lineRule="auto"/>
              <w:ind w:left="0" w:leftChars="0" w:firstLine="0" w:firstLineChars="0"/>
              <w:jc w:val="center"/>
              <w:rPr>
                <w:rFonts w:hint="eastAsia"/>
                <w:color w:val="auto"/>
                <w:sz w:val="21"/>
                <w:szCs w:val="21"/>
                <w:lang w:val="en-US" w:eastAsia="zh-CN"/>
              </w:rPr>
            </w:pPr>
            <w:r>
              <w:rPr>
                <w:rFonts w:hint="eastAsia"/>
                <w:color w:val="auto"/>
                <w:sz w:val="21"/>
                <w:szCs w:val="21"/>
                <w:lang w:val="en-US" w:eastAsia="zh-CN"/>
              </w:rPr>
              <w:t>居民</w:t>
            </w:r>
          </w:p>
        </w:tc>
        <w:tc>
          <w:tcPr>
            <w:tcW w:w="319" w:type="pct"/>
            <w:tcBorders>
              <w:tl2br w:val="nil"/>
              <w:tr2bl w:val="nil"/>
            </w:tcBorders>
            <w:noWrap w:val="0"/>
            <w:tcMar>
              <w:top w:w="0" w:type="dxa"/>
              <w:left w:w="0" w:type="dxa"/>
              <w:bottom w:w="0" w:type="dxa"/>
              <w:right w:w="0" w:type="dxa"/>
            </w:tcMar>
            <w:vAlign w:val="center"/>
          </w:tcPr>
          <w:p w14:paraId="7F986B7F">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北</w:t>
            </w:r>
          </w:p>
        </w:tc>
        <w:tc>
          <w:tcPr>
            <w:tcW w:w="397" w:type="pct"/>
            <w:tcBorders>
              <w:tl2br w:val="nil"/>
              <w:tr2bl w:val="nil"/>
            </w:tcBorders>
            <w:noWrap w:val="0"/>
            <w:tcMar>
              <w:top w:w="0" w:type="dxa"/>
              <w:left w:w="0" w:type="dxa"/>
              <w:bottom w:w="0" w:type="dxa"/>
              <w:right w:w="0" w:type="dxa"/>
            </w:tcMar>
            <w:vAlign w:val="center"/>
          </w:tcPr>
          <w:p w14:paraId="28923167">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红线内</w:t>
            </w:r>
          </w:p>
        </w:tc>
        <w:tc>
          <w:tcPr>
            <w:tcW w:w="650" w:type="pct"/>
            <w:tcBorders>
              <w:tl2br w:val="nil"/>
              <w:tr2bl w:val="nil"/>
            </w:tcBorders>
            <w:noWrap w:val="0"/>
            <w:tcMar>
              <w:top w:w="0" w:type="dxa"/>
              <w:left w:w="0" w:type="dxa"/>
              <w:bottom w:w="0" w:type="dxa"/>
              <w:right w:w="0" w:type="dxa"/>
            </w:tcMar>
            <w:vAlign w:val="center"/>
          </w:tcPr>
          <w:p w14:paraId="26E4A9E4">
            <w:pPr>
              <w:pStyle w:val="24"/>
              <w:pageBreakBefore w:val="0"/>
              <w:wordWrap/>
              <w:bidi w:val="0"/>
              <w:adjustRightInd/>
              <w:snapToGrid/>
              <w:spacing w:after="0" w:line="240" w:lineRule="auto"/>
              <w:ind w:left="0" w:leftChars="0" w:firstLine="0" w:firstLineChars="0"/>
              <w:jc w:val="center"/>
              <w:rPr>
                <w:color w:val="auto"/>
                <w:sz w:val="21"/>
                <w:szCs w:val="21"/>
              </w:rPr>
            </w:pPr>
            <w:r>
              <w:rPr>
                <w:rFonts w:hint="eastAsia"/>
                <w:color w:val="auto"/>
                <w:sz w:val="21"/>
                <w:szCs w:val="21"/>
                <w:lang w:val="en-US" w:eastAsia="zh-CN"/>
              </w:rPr>
              <w:t>约20人</w:t>
            </w:r>
          </w:p>
        </w:tc>
        <w:tc>
          <w:tcPr>
            <w:tcW w:w="972" w:type="pct"/>
            <w:vMerge w:val="restart"/>
            <w:tcBorders>
              <w:tl2br w:val="nil"/>
              <w:tr2bl w:val="nil"/>
            </w:tcBorders>
            <w:noWrap w:val="0"/>
            <w:tcMar>
              <w:top w:w="0" w:type="dxa"/>
              <w:left w:w="0" w:type="dxa"/>
              <w:bottom w:w="0" w:type="dxa"/>
              <w:right w:w="0" w:type="dxa"/>
            </w:tcMar>
            <w:vAlign w:val="center"/>
          </w:tcPr>
          <w:p w14:paraId="7438DA0E">
            <w:pPr>
              <w:pStyle w:val="24"/>
              <w:pageBreakBefore w:val="0"/>
              <w:wordWrap/>
              <w:bidi w:val="0"/>
              <w:adjustRightInd/>
              <w:snapToGrid/>
              <w:spacing w:after="0" w:line="240" w:lineRule="auto"/>
              <w:ind w:left="0" w:leftChars="0" w:firstLine="0" w:firstLineChars="0"/>
              <w:jc w:val="center"/>
              <w:rPr>
                <w:color w:val="auto"/>
                <w:sz w:val="21"/>
                <w:szCs w:val="21"/>
              </w:rPr>
            </w:pPr>
            <w:r>
              <w:rPr>
                <w:rFonts w:hint="eastAsia"/>
                <w:color w:val="auto"/>
                <w:sz w:val="21"/>
                <w:szCs w:val="21"/>
              </w:rPr>
              <w:t>GB3096-2008</w:t>
            </w:r>
            <w:r>
              <w:rPr>
                <w:rFonts w:hint="eastAsia"/>
                <w:color w:val="auto"/>
                <w:sz w:val="21"/>
                <w:szCs w:val="21"/>
                <w:lang w:val="en-US" w:eastAsia="zh-CN"/>
              </w:rPr>
              <w:t>中2</w:t>
            </w:r>
            <w:r>
              <w:rPr>
                <w:rFonts w:hint="eastAsia"/>
                <w:color w:val="auto"/>
                <w:sz w:val="21"/>
                <w:szCs w:val="21"/>
              </w:rPr>
              <w:t>类</w:t>
            </w:r>
          </w:p>
        </w:tc>
      </w:tr>
      <w:tr w14:paraId="7F356D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451E84C9">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shd w:val="clear" w:color="auto" w:fill="auto"/>
            <w:noWrap w:val="0"/>
            <w:tcMar>
              <w:top w:w="0" w:type="dxa"/>
              <w:left w:w="0" w:type="dxa"/>
              <w:bottom w:w="0" w:type="dxa"/>
              <w:right w:w="0" w:type="dxa"/>
            </w:tcMar>
            <w:vAlign w:val="center"/>
          </w:tcPr>
          <w:p w14:paraId="55B07CC7">
            <w:pPr>
              <w:pageBreakBefore w:val="0"/>
              <w:wordWrap/>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106.892398</w:t>
            </w:r>
          </w:p>
        </w:tc>
        <w:tc>
          <w:tcPr>
            <w:tcW w:w="562" w:type="pct"/>
            <w:tcBorders>
              <w:tl2br w:val="nil"/>
              <w:tr2bl w:val="nil"/>
            </w:tcBorders>
            <w:shd w:val="clear" w:color="auto" w:fill="auto"/>
            <w:noWrap w:val="0"/>
            <w:tcMar>
              <w:top w:w="0" w:type="dxa"/>
              <w:left w:w="0" w:type="dxa"/>
              <w:bottom w:w="0" w:type="dxa"/>
              <w:right w:w="0" w:type="dxa"/>
            </w:tcMar>
            <w:vAlign w:val="center"/>
          </w:tcPr>
          <w:p w14:paraId="7407CF2C">
            <w:pPr>
              <w:pageBreakBefore w:val="0"/>
              <w:wordWrap/>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31.753609</w:t>
            </w:r>
          </w:p>
        </w:tc>
        <w:tc>
          <w:tcPr>
            <w:tcW w:w="540" w:type="pct"/>
            <w:tcBorders>
              <w:tl2br w:val="nil"/>
              <w:tr2bl w:val="nil"/>
            </w:tcBorders>
            <w:shd w:val="clear" w:color="auto" w:fill="auto"/>
            <w:noWrap w:val="0"/>
            <w:tcMar>
              <w:top w:w="0" w:type="dxa"/>
              <w:left w:w="0" w:type="dxa"/>
              <w:bottom w:w="0" w:type="dxa"/>
              <w:right w:w="0" w:type="dxa"/>
            </w:tcMar>
            <w:vAlign w:val="center"/>
          </w:tcPr>
          <w:p w14:paraId="5F5420B3">
            <w:pPr>
              <w:pageBreakBefore w:val="0"/>
              <w:wordWrap/>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散居居民</w:t>
            </w:r>
          </w:p>
        </w:tc>
        <w:tc>
          <w:tcPr>
            <w:tcW w:w="551" w:type="pct"/>
            <w:tcBorders>
              <w:tl2br w:val="nil"/>
              <w:tr2bl w:val="nil"/>
            </w:tcBorders>
            <w:shd w:val="clear" w:color="auto" w:fill="auto"/>
            <w:noWrap w:val="0"/>
            <w:tcMar>
              <w:top w:w="0" w:type="dxa"/>
              <w:left w:w="0" w:type="dxa"/>
              <w:bottom w:w="0" w:type="dxa"/>
              <w:right w:w="0" w:type="dxa"/>
            </w:tcMar>
            <w:vAlign w:val="center"/>
          </w:tcPr>
          <w:p w14:paraId="460FB4B5">
            <w:pPr>
              <w:pStyle w:val="24"/>
              <w:pageBreakBefore w:val="0"/>
              <w:wordWrap/>
              <w:bidi w:val="0"/>
              <w:adjustRightInd/>
              <w:snapToGrid/>
              <w:spacing w:after="0"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居民</w:t>
            </w:r>
          </w:p>
        </w:tc>
        <w:tc>
          <w:tcPr>
            <w:tcW w:w="319" w:type="pct"/>
            <w:tcBorders>
              <w:tl2br w:val="nil"/>
              <w:tr2bl w:val="nil"/>
            </w:tcBorders>
            <w:shd w:val="clear" w:color="auto" w:fill="auto"/>
            <w:noWrap w:val="0"/>
            <w:tcMar>
              <w:top w:w="0" w:type="dxa"/>
              <w:left w:w="0" w:type="dxa"/>
              <w:bottom w:w="0" w:type="dxa"/>
              <w:right w:w="0" w:type="dxa"/>
            </w:tcMar>
            <w:vAlign w:val="center"/>
          </w:tcPr>
          <w:p w14:paraId="4C864E3B">
            <w:pPr>
              <w:pageBreakBefore w:val="0"/>
              <w:wordWrap/>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东</w:t>
            </w:r>
          </w:p>
        </w:tc>
        <w:tc>
          <w:tcPr>
            <w:tcW w:w="397" w:type="pct"/>
            <w:tcBorders>
              <w:tl2br w:val="nil"/>
              <w:tr2bl w:val="nil"/>
            </w:tcBorders>
            <w:shd w:val="clear" w:color="auto" w:fill="auto"/>
            <w:noWrap w:val="0"/>
            <w:tcMar>
              <w:top w:w="0" w:type="dxa"/>
              <w:left w:w="0" w:type="dxa"/>
              <w:bottom w:w="0" w:type="dxa"/>
              <w:right w:w="0" w:type="dxa"/>
            </w:tcMar>
            <w:vAlign w:val="center"/>
          </w:tcPr>
          <w:p w14:paraId="74146122">
            <w:pPr>
              <w:pageBreakBefore w:val="0"/>
              <w:wordWrap/>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10-190</w:t>
            </w:r>
          </w:p>
        </w:tc>
        <w:tc>
          <w:tcPr>
            <w:tcW w:w="650" w:type="pct"/>
            <w:tcBorders>
              <w:tl2br w:val="nil"/>
              <w:tr2bl w:val="nil"/>
            </w:tcBorders>
            <w:shd w:val="clear" w:color="auto" w:fill="auto"/>
            <w:noWrap w:val="0"/>
            <w:tcMar>
              <w:top w:w="0" w:type="dxa"/>
              <w:left w:w="0" w:type="dxa"/>
              <w:bottom w:w="0" w:type="dxa"/>
              <w:right w:w="0" w:type="dxa"/>
            </w:tcMar>
            <w:vAlign w:val="center"/>
          </w:tcPr>
          <w:p w14:paraId="4E0B2C9C">
            <w:pPr>
              <w:pStyle w:val="24"/>
              <w:pageBreakBefore w:val="0"/>
              <w:wordWrap/>
              <w:bidi w:val="0"/>
              <w:adjustRightInd/>
              <w:snapToGrid/>
              <w:spacing w:after="0" w:line="240" w:lineRule="auto"/>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约20人</w:t>
            </w:r>
          </w:p>
        </w:tc>
        <w:tc>
          <w:tcPr>
            <w:tcW w:w="972" w:type="pct"/>
            <w:vMerge w:val="continue"/>
            <w:tcBorders>
              <w:tl2br w:val="nil"/>
              <w:tr2bl w:val="nil"/>
            </w:tcBorders>
            <w:noWrap w:val="0"/>
            <w:tcMar>
              <w:top w:w="0" w:type="dxa"/>
              <w:left w:w="0" w:type="dxa"/>
              <w:bottom w:w="0" w:type="dxa"/>
              <w:right w:w="0" w:type="dxa"/>
            </w:tcMar>
            <w:vAlign w:val="center"/>
          </w:tcPr>
          <w:p w14:paraId="4D1BF5EE">
            <w:pPr>
              <w:pStyle w:val="24"/>
              <w:pageBreakBefore w:val="0"/>
              <w:wordWrap/>
              <w:bidi w:val="0"/>
              <w:adjustRightInd/>
              <w:snapToGrid/>
              <w:spacing w:after="0" w:line="240" w:lineRule="auto"/>
              <w:ind w:left="0" w:leftChars="0" w:firstLine="0" w:firstLineChars="0"/>
              <w:jc w:val="center"/>
              <w:rPr>
                <w:color w:val="auto"/>
                <w:sz w:val="21"/>
                <w:szCs w:val="21"/>
              </w:rPr>
            </w:pPr>
          </w:p>
        </w:tc>
      </w:tr>
      <w:tr w14:paraId="5BC194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6FBFF43C">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noWrap w:val="0"/>
            <w:tcMar>
              <w:top w:w="0" w:type="dxa"/>
              <w:left w:w="0" w:type="dxa"/>
              <w:bottom w:w="0" w:type="dxa"/>
              <w:right w:w="0" w:type="dxa"/>
            </w:tcMar>
            <w:vAlign w:val="center"/>
          </w:tcPr>
          <w:p w14:paraId="533F74FD">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106.892205</w:t>
            </w:r>
          </w:p>
        </w:tc>
        <w:tc>
          <w:tcPr>
            <w:tcW w:w="562" w:type="pct"/>
            <w:tcBorders>
              <w:tl2br w:val="nil"/>
              <w:tr2bl w:val="nil"/>
            </w:tcBorders>
            <w:noWrap w:val="0"/>
            <w:tcMar>
              <w:top w:w="0" w:type="dxa"/>
              <w:left w:w="0" w:type="dxa"/>
              <w:bottom w:w="0" w:type="dxa"/>
              <w:right w:w="0" w:type="dxa"/>
            </w:tcMar>
            <w:vAlign w:val="center"/>
          </w:tcPr>
          <w:p w14:paraId="453455BF">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31.754151</w:t>
            </w:r>
          </w:p>
        </w:tc>
        <w:tc>
          <w:tcPr>
            <w:tcW w:w="540" w:type="pct"/>
            <w:tcBorders>
              <w:tl2br w:val="nil"/>
              <w:tr2bl w:val="nil"/>
            </w:tcBorders>
            <w:noWrap w:val="0"/>
            <w:tcMar>
              <w:top w:w="0" w:type="dxa"/>
              <w:left w:w="0" w:type="dxa"/>
              <w:bottom w:w="0" w:type="dxa"/>
              <w:right w:w="0" w:type="dxa"/>
            </w:tcMar>
            <w:vAlign w:val="center"/>
          </w:tcPr>
          <w:p w14:paraId="2D3FD0CF">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散居居民</w:t>
            </w:r>
          </w:p>
        </w:tc>
        <w:tc>
          <w:tcPr>
            <w:tcW w:w="551" w:type="pct"/>
            <w:tcBorders>
              <w:tl2br w:val="nil"/>
              <w:tr2bl w:val="nil"/>
            </w:tcBorders>
            <w:noWrap w:val="0"/>
            <w:tcMar>
              <w:top w:w="0" w:type="dxa"/>
              <w:left w:w="0" w:type="dxa"/>
              <w:bottom w:w="0" w:type="dxa"/>
              <w:right w:w="0" w:type="dxa"/>
            </w:tcMar>
            <w:vAlign w:val="center"/>
          </w:tcPr>
          <w:p w14:paraId="055C9841">
            <w:pPr>
              <w:pStyle w:val="24"/>
              <w:pageBreakBefore w:val="0"/>
              <w:wordWrap/>
              <w:bidi w:val="0"/>
              <w:adjustRightInd/>
              <w:snapToGrid/>
              <w:spacing w:after="0" w:line="240" w:lineRule="auto"/>
              <w:ind w:left="0" w:leftChars="0" w:firstLine="0" w:firstLineChars="0"/>
              <w:jc w:val="center"/>
              <w:rPr>
                <w:rFonts w:hint="eastAsia"/>
                <w:color w:val="auto"/>
                <w:sz w:val="21"/>
                <w:szCs w:val="21"/>
                <w:lang w:val="en-US" w:eastAsia="zh-CN"/>
              </w:rPr>
            </w:pPr>
            <w:r>
              <w:rPr>
                <w:rFonts w:hint="eastAsia"/>
                <w:color w:val="auto"/>
                <w:sz w:val="21"/>
                <w:szCs w:val="21"/>
                <w:lang w:val="en-US" w:eastAsia="zh-CN"/>
              </w:rPr>
              <w:t>居民</w:t>
            </w:r>
          </w:p>
        </w:tc>
        <w:tc>
          <w:tcPr>
            <w:tcW w:w="319" w:type="pct"/>
            <w:tcBorders>
              <w:tl2br w:val="nil"/>
              <w:tr2bl w:val="nil"/>
            </w:tcBorders>
            <w:noWrap w:val="0"/>
            <w:tcMar>
              <w:top w:w="0" w:type="dxa"/>
              <w:left w:w="0" w:type="dxa"/>
              <w:bottom w:w="0" w:type="dxa"/>
              <w:right w:w="0" w:type="dxa"/>
            </w:tcMar>
            <w:vAlign w:val="center"/>
          </w:tcPr>
          <w:p w14:paraId="281840F6">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北</w:t>
            </w:r>
          </w:p>
        </w:tc>
        <w:tc>
          <w:tcPr>
            <w:tcW w:w="397" w:type="pct"/>
            <w:tcBorders>
              <w:tl2br w:val="nil"/>
              <w:tr2bl w:val="nil"/>
            </w:tcBorders>
            <w:noWrap w:val="0"/>
            <w:tcMar>
              <w:top w:w="0" w:type="dxa"/>
              <w:left w:w="0" w:type="dxa"/>
              <w:bottom w:w="0" w:type="dxa"/>
              <w:right w:w="0" w:type="dxa"/>
            </w:tcMar>
            <w:vAlign w:val="center"/>
          </w:tcPr>
          <w:p w14:paraId="4EE54791">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10-200</w:t>
            </w:r>
          </w:p>
        </w:tc>
        <w:tc>
          <w:tcPr>
            <w:tcW w:w="650" w:type="pct"/>
            <w:tcBorders>
              <w:tl2br w:val="nil"/>
              <w:tr2bl w:val="nil"/>
            </w:tcBorders>
            <w:noWrap w:val="0"/>
            <w:tcMar>
              <w:top w:w="0" w:type="dxa"/>
              <w:left w:w="0" w:type="dxa"/>
              <w:bottom w:w="0" w:type="dxa"/>
              <w:right w:w="0" w:type="dxa"/>
            </w:tcMar>
            <w:vAlign w:val="center"/>
          </w:tcPr>
          <w:p w14:paraId="1CCA8B92">
            <w:pPr>
              <w:pStyle w:val="24"/>
              <w:pageBreakBefore w:val="0"/>
              <w:wordWrap/>
              <w:bidi w:val="0"/>
              <w:adjustRightInd/>
              <w:snapToGrid/>
              <w:spacing w:after="0" w:line="240" w:lineRule="auto"/>
              <w:ind w:left="0" w:leftChars="0" w:firstLine="0" w:firstLineChars="0"/>
              <w:jc w:val="center"/>
              <w:rPr>
                <w:color w:val="auto"/>
                <w:sz w:val="21"/>
                <w:szCs w:val="21"/>
              </w:rPr>
            </w:pPr>
            <w:r>
              <w:rPr>
                <w:rFonts w:hint="eastAsia"/>
                <w:color w:val="auto"/>
                <w:sz w:val="21"/>
                <w:szCs w:val="21"/>
                <w:lang w:val="en-US" w:eastAsia="zh-CN"/>
              </w:rPr>
              <w:t>约10人</w:t>
            </w:r>
          </w:p>
        </w:tc>
        <w:tc>
          <w:tcPr>
            <w:tcW w:w="972" w:type="pct"/>
            <w:vMerge w:val="continue"/>
            <w:tcBorders>
              <w:tl2br w:val="nil"/>
              <w:tr2bl w:val="nil"/>
            </w:tcBorders>
            <w:noWrap w:val="0"/>
            <w:tcMar>
              <w:top w:w="0" w:type="dxa"/>
              <w:left w:w="0" w:type="dxa"/>
              <w:bottom w:w="0" w:type="dxa"/>
              <w:right w:w="0" w:type="dxa"/>
            </w:tcMar>
            <w:vAlign w:val="center"/>
          </w:tcPr>
          <w:p w14:paraId="0DDE44ED">
            <w:pPr>
              <w:pStyle w:val="24"/>
              <w:pageBreakBefore w:val="0"/>
              <w:wordWrap/>
              <w:bidi w:val="0"/>
              <w:adjustRightInd/>
              <w:snapToGrid/>
              <w:spacing w:after="0" w:line="240" w:lineRule="auto"/>
              <w:ind w:left="0" w:leftChars="0" w:firstLine="0" w:firstLineChars="0"/>
              <w:jc w:val="center"/>
              <w:rPr>
                <w:color w:val="auto"/>
                <w:sz w:val="21"/>
                <w:szCs w:val="21"/>
              </w:rPr>
            </w:pPr>
          </w:p>
        </w:tc>
      </w:tr>
      <w:tr w14:paraId="3677D3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restart"/>
            <w:tcBorders>
              <w:tl2br w:val="nil"/>
              <w:tr2bl w:val="nil"/>
            </w:tcBorders>
            <w:noWrap w:val="0"/>
            <w:tcMar>
              <w:top w:w="0" w:type="dxa"/>
              <w:left w:w="0" w:type="dxa"/>
              <w:bottom w:w="0" w:type="dxa"/>
              <w:right w:w="0" w:type="dxa"/>
            </w:tcMar>
            <w:vAlign w:val="center"/>
          </w:tcPr>
          <w:p w14:paraId="1AC48B1B">
            <w:pPr>
              <w:pStyle w:val="24"/>
              <w:pageBreakBefore w:val="0"/>
              <w:wordWrap/>
              <w:bidi w:val="0"/>
              <w:adjustRightInd/>
              <w:snapToGrid/>
              <w:spacing w:after="0" w:line="240" w:lineRule="auto"/>
              <w:ind w:left="0" w:leftChars="0" w:firstLine="0" w:firstLineChars="0"/>
              <w:jc w:val="center"/>
              <w:rPr>
                <w:color w:val="auto"/>
                <w:sz w:val="21"/>
                <w:szCs w:val="21"/>
              </w:rPr>
            </w:pPr>
            <w:r>
              <w:rPr>
                <w:rFonts w:hint="eastAsia"/>
                <w:color w:val="auto"/>
                <w:sz w:val="21"/>
                <w:szCs w:val="21"/>
                <w:lang w:val="en-US" w:eastAsia="zh-CN"/>
              </w:rPr>
              <w:t>地下水环境</w:t>
            </w:r>
          </w:p>
        </w:tc>
        <w:tc>
          <w:tcPr>
            <w:tcW w:w="639" w:type="pct"/>
            <w:tcBorders>
              <w:tl2br w:val="nil"/>
              <w:tr2bl w:val="nil"/>
            </w:tcBorders>
            <w:noWrap w:val="0"/>
            <w:tcMar>
              <w:top w:w="0" w:type="dxa"/>
              <w:left w:w="0" w:type="dxa"/>
              <w:bottom w:w="0" w:type="dxa"/>
              <w:right w:w="0" w:type="dxa"/>
            </w:tcMar>
            <w:vAlign w:val="center"/>
          </w:tcPr>
          <w:p w14:paraId="108DC4F8">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106.887289</w:t>
            </w:r>
          </w:p>
        </w:tc>
        <w:tc>
          <w:tcPr>
            <w:tcW w:w="562" w:type="pct"/>
            <w:tcBorders>
              <w:tl2br w:val="nil"/>
              <w:tr2bl w:val="nil"/>
            </w:tcBorders>
            <w:noWrap w:val="0"/>
            <w:tcMar>
              <w:top w:w="0" w:type="dxa"/>
              <w:left w:w="0" w:type="dxa"/>
              <w:bottom w:w="0" w:type="dxa"/>
              <w:right w:w="0" w:type="dxa"/>
            </w:tcMar>
            <w:vAlign w:val="center"/>
          </w:tcPr>
          <w:p w14:paraId="2A0102E2">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31.755879</w:t>
            </w:r>
          </w:p>
        </w:tc>
        <w:tc>
          <w:tcPr>
            <w:tcW w:w="540" w:type="pct"/>
            <w:tcBorders>
              <w:tl2br w:val="nil"/>
              <w:tr2bl w:val="nil"/>
            </w:tcBorders>
            <w:noWrap w:val="0"/>
            <w:tcMar>
              <w:top w:w="0" w:type="dxa"/>
              <w:left w:w="0" w:type="dxa"/>
              <w:bottom w:w="0" w:type="dxa"/>
              <w:right w:w="0" w:type="dxa"/>
            </w:tcMar>
            <w:vAlign w:val="center"/>
          </w:tcPr>
          <w:p w14:paraId="209FA7F6">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水井</w:t>
            </w:r>
          </w:p>
        </w:tc>
        <w:tc>
          <w:tcPr>
            <w:tcW w:w="551" w:type="pct"/>
            <w:tcBorders>
              <w:tl2br w:val="nil"/>
              <w:tr2bl w:val="nil"/>
            </w:tcBorders>
            <w:noWrap w:val="0"/>
            <w:tcMar>
              <w:top w:w="0" w:type="dxa"/>
              <w:left w:w="0" w:type="dxa"/>
              <w:bottom w:w="0" w:type="dxa"/>
              <w:right w:w="0" w:type="dxa"/>
            </w:tcMar>
            <w:vAlign w:val="center"/>
          </w:tcPr>
          <w:p w14:paraId="71EB9410">
            <w:pPr>
              <w:pStyle w:val="24"/>
              <w:pageBreakBefore w:val="0"/>
              <w:wordWrap/>
              <w:bidi w:val="0"/>
              <w:adjustRightInd/>
              <w:snapToGrid/>
              <w:spacing w:after="0" w:line="240" w:lineRule="auto"/>
              <w:ind w:left="0" w:leftChars="0" w:firstLine="0" w:firstLineChars="0"/>
              <w:jc w:val="center"/>
              <w:rPr>
                <w:rFonts w:hint="default"/>
                <w:color w:val="auto"/>
                <w:sz w:val="21"/>
                <w:szCs w:val="21"/>
                <w:lang w:val="en-US" w:eastAsia="zh-CN"/>
              </w:rPr>
            </w:pPr>
            <w:r>
              <w:rPr>
                <w:rFonts w:hint="eastAsia"/>
                <w:color w:val="auto"/>
                <w:sz w:val="21"/>
                <w:szCs w:val="21"/>
                <w:lang w:val="en-US" w:eastAsia="zh-CN"/>
              </w:rPr>
              <w:t>地下水</w:t>
            </w:r>
          </w:p>
        </w:tc>
        <w:tc>
          <w:tcPr>
            <w:tcW w:w="319" w:type="pct"/>
            <w:tcBorders>
              <w:tl2br w:val="nil"/>
              <w:tr2bl w:val="nil"/>
            </w:tcBorders>
            <w:noWrap w:val="0"/>
            <w:tcMar>
              <w:top w:w="0" w:type="dxa"/>
              <w:left w:w="0" w:type="dxa"/>
              <w:bottom w:w="0" w:type="dxa"/>
              <w:right w:w="0" w:type="dxa"/>
            </w:tcMar>
            <w:vAlign w:val="center"/>
          </w:tcPr>
          <w:p w14:paraId="07BD75F2">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西</w:t>
            </w:r>
          </w:p>
        </w:tc>
        <w:tc>
          <w:tcPr>
            <w:tcW w:w="397" w:type="pct"/>
            <w:tcBorders>
              <w:tl2br w:val="nil"/>
              <w:tr2bl w:val="nil"/>
            </w:tcBorders>
            <w:noWrap w:val="0"/>
            <w:tcMar>
              <w:top w:w="0" w:type="dxa"/>
              <w:left w:w="0" w:type="dxa"/>
              <w:bottom w:w="0" w:type="dxa"/>
              <w:right w:w="0" w:type="dxa"/>
            </w:tcMar>
            <w:vAlign w:val="center"/>
          </w:tcPr>
          <w:p w14:paraId="1BB472F5">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300</w:t>
            </w:r>
          </w:p>
        </w:tc>
        <w:tc>
          <w:tcPr>
            <w:tcW w:w="650" w:type="pct"/>
            <w:tcBorders>
              <w:tl2br w:val="nil"/>
              <w:tr2bl w:val="nil"/>
            </w:tcBorders>
            <w:noWrap w:val="0"/>
            <w:tcMar>
              <w:top w:w="0" w:type="dxa"/>
              <w:left w:w="0" w:type="dxa"/>
              <w:bottom w:w="0" w:type="dxa"/>
              <w:right w:w="0" w:type="dxa"/>
            </w:tcMar>
            <w:vAlign w:val="center"/>
          </w:tcPr>
          <w:p w14:paraId="738AC9F3">
            <w:pPr>
              <w:pStyle w:val="24"/>
              <w:pageBreakBefore w:val="0"/>
              <w:wordWrap/>
              <w:bidi w:val="0"/>
              <w:adjustRightInd/>
              <w:snapToGrid/>
              <w:spacing w:after="0" w:line="240" w:lineRule="auto"/>
              <w:ind w:left="0" w:leftChars="0" w:firstLine="0" w:firstLineChars="0"/>
              <w:jc w:val="center"/>
              <w:rPr>
                <w:rFonts w:hint="default"/>
                <w:color w:val="auto"/>
                <w:sz w:val="21"/>
                <w:szCs w:val="21"/>
                <w:lang w:val="en-US" w:eastAsia="zh-CN"/>
              </w:rPr>
            </w:pPr>
            <w:r>
              <w:rPr>
                <w:rFonts w:hint="eastAsia"/>
                <w:color w:val="auto"/>
                <w:sz w:val="21"/>
                <w:szCs w:val="21"/>
                <w:lang w:val="en-US" w:eastAsia="zh-CN"/>
              </w:rPr>
              <w:t>/</w:t>
            </w:r>
          </w:p>
        </w:tc>
        <w:tc>
          <w:tcPr>
            <w:tcW w:w="972" w:type="pct"/>
            <w:vMerge w:val="restart"/>
            <w:tcBorders>
              <w:tl2br w:val="nil"/>
              <w:tr2bl w:val="nil"/>
            </w:tcBorders>
            <w:noWrap w:val="0"/>
            <w:tcMar>
              <w:top w:w="0" w:type="dxa"/>
              <w:left w:w="0" w:type="dxa"/>
              <w:bottom w:w="0" w:type="dxa"/>
              <w:right w:w="0" w:type="dxa"/>
            </w:tcMar>
            <w:vAlign w:val="center"/>
          </w:tcPr>
          <w:p w14:paraId="48A5CFFC">
            <w:pPr>
              <w:pStyle w:val="24"/>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GB/T14848-2017中III类标准</w:t>
            </w:r>
          </w:p>
        </w:tc>
      </w:tr>
      <w:tr w14:paraId="56B218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5D776635">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noWrap w:val="0"/>
            <w:tcMar>
              <w:top w:w="0" w:type="dxa"/>
              <w:left w:w="0" w:type="dxa"/>
              <w:bottom w:w="0" w:type="dxa"/>
              <w:right w:w="0" w:type="dxa"/>
            </w:tcMar>
            <w:vAlign w:val="center"/>
          </w:tcPr>
          <w:p w14:paraId="43A883D8">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default"/>
                <w:color w:val="auto"/>
                <w:sz w:val="21"/>
                <w:szCs w:val="21"/>
                <w:lang w:val="en-US" w:eastAsia="zh-CN"/>
              </w:rPr>
              <w:t>106.887528</w:t>
            </w:r>
          </w:p>
        </w:tc>
        <w:tc>
          <w:tcPr>
            <w:tcW w:w="562" w:type="pct"/>
            <w:tcBorders>
              <w:tl2br w:val="nil"/>
              <w:tr2bl w:val="nil"/>
            </w:tcBorders>
            <w:noWrap w:val="0"/>
            <w:tcMar>
              <w:top w:w="0" w:type="dxa"/>
              <w:left w:w="0" w:type="dxa"/>
              <w:bottom w:w="0" w:type="dxa"/>
              <w:right w:w="0" w:type="dxa"/>
            </w:tcMar>
            <w:vAlign w:val="center"/>
          </w:tcPr>
          <w:p w14:paraId="721F8E47">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31.756236</w:t>
            </w:r>
          </w:p>
        </w:tc>
        <w:tc>
          <w:tcPr>
            <w:tcW w:w="540" w:type="pct"/>
            <w:tcBorders>
              <w:tl2br w:val="nil"/>
              <w:tr2bl w:val="nil"/>
            </w:tcBorders>
            <w:noWrap w:val="0"/>
            <w:tcMar>
              <w:top w:w="0" w:type="dxa"/>
              <w:left w:w="0" w:type="dxa"/>
              <w:bottom w:w="0" w:type="dxa"/>
              <w:right w:w="0" w:type="dxa"/>
            </w:tcMar>
            <w:vAlign w:val="center"/>
          </w:tcPr>
          <w:p w14:paraId="3D3136D6">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水井</w:t>
            </w:r>
          </w:p>
        </w:tc>
        <w:tc>
          <w:tcPr>
            <w:tcW w:w="551" w:type="pct"/>
            <w:tcBorders>
              <w:tl2br w:val="nil"/>
              <w:tr2bl w:val="nil"/>
            </w:tcBorders>
            <w:noWrap w:val="0"/>
            <w:tcMar>
              <w:top w:w="0" w:type="dxa"/>
              <w:left w:w="0" w:type="dxa"/>
              <w:bottom w:w="0" w:type="dxa"/>
              <w:right w:w="0" w:type="dxa"/>
            </w:tcMar>
            <w:vAlign w:val="center"/>
          </w:tcPr>
          <w:p w14:paraId="1DE15915">
            <w:pPr>
              <w:pStyle w:val="24"/>
              <w:pageBreakBefore w:val="0"/>
              <w:wordWrap/>
              <w:bidi w:val="0"/>
              <w:adjustRightInd/>
              <w:snapToGrid/>
              <w:spacing w:after="0" w:line="240" w:lineRule="auto"/>
              <w:ind w:left="0" w:leftChars="0" w:firstLine="0" w:firstLineChars="0"/>
              <w:jc w:val="center"/>
              <w:rPr>
                <w:rFonts w:hint="eastAsia"/>
                <w:color w:val="auto"/>
                <w:sz w:val="21"/>
                <w:szCs w:val="21"/>
                <w:lang w:val="en-US" w:eastAsia="zh-CN"/>
              </w:rPr>
            </w:pPr>
            <w:r>
              <w:rPr>
                <w:rFonts w:hint="eastAsia"/>
                <w:color w:val="auto"/>
                <w:sz w:val="21"/>
                <w:szCs w:val="21"/>
                <w:lang w:val="en-US" w:eastAsia="zh-CN"/>
              </w:rPr>
              <w:t>地下水</w:t>
            </w:r>
          </w:p>
        </w:tc>
        <w:tc>
          <w:tcPr>
            <w:tcW w:w="319" w:type="pct"/>
            <w:tcBorders>
              <w:tl2br w:val="nil"/>
              <w:tr2bl w:val="nil"/>
            </w:tcBorders>
            <w:noWrap w:val="0"/>
            <w:tcMar>
              <w:top w:w="0" w:type="dxa"/>
              <w:left w:w="0" w:type="dxa"/>
              <w:bottom w:w="0" w:type="dxa"/>
              <w:right w:w="0" w:type="dxa"/>
            </w:tcMar>
            <w:vAlign w:val="center"/>
          </w:tcPr>
          <w:p w14:paraId="542E4285">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西</w:t>
            </w:r>
          </w:p>
        </w:tc>
        <w:tc>
          <w:tcPr>
            <w:tcW w:w="397" w:type="pct"/>
            <w:tcBorders>
              <w:tl2br w:val="nil"/>
              <w:tr2bl w:val="nil"/>
            </w:tcBorders>
            <w:noWrap w:val="0"/>
            <w:tcMar>
              <w:top w:w="0" w:type="dxa"/>
              <w:left w:w="0" w:type="dxa"/>
              <w:bottom w:w="0" w:type="dxa"/>
              <w:right w:w="0" w:type="dxa"/>
            </w:tcMar>
            <w:vAlign w:val="center"/>
          </w:tcPr>
          <w:p w14:paraId="5BEE2DCF">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300</w:t>
            </w:r>
          </w:p>
        </w:tc>
        <w:tc>
          <w:tcPr>
            <w:tcW w:w="650" w:type="pct"/>
            <w:tcBorders>
              <w:tl2br w:val="nil"/>
              <w:tr2bl w:val="nil"/>
            </w:tcBorders>
            <w:noWrap w:val="0"/>
            <w:tcMar>
              <w:top w:w="0" w:type="dxa"/>
              <w:left w:w="0" w:type="dxa"/>
              <w:bottom w:w="0" w:type="dxa"/>
              <w:right w:w="0" w:type="dxa"/>
            </w:tcMar>
            <w:vAlign w:val="center"/>
          </w:tcPr>
          <w:p w14:paraId="15E7BD62">
            <w:pPr>
              <w:pStyle w:val="24"/>
              <w:pageBreakBefore w:val="0"/>
              <w:wordWrap/>
              <w:bidi w:val="0"/>
              <w:adjustRightInd/>
              <w:snapToGrid/>
              <w:spacing w:after="0" w:line="240" w:lineRule="auto"/>
              <w:ind w:left="0" w:leftChars="0" w:firstLine="0" w:firstLineChars="0"/>
              <w:jc w:val="center"/>
              <w:rPr>
                <w:rFonts w:hint="default"/>
                <w:color w:val="auto"/>
                <w:sz w:val="21"/>
                <w:szCs w:val="21"/>
                <w:lang w:val="en-US" w:eastAsia="zh-CN"/>
              </w:rPr>
            </w:pPr>
            <w:r>
              <w:rPr>
                <w:rFonts w:hint="eastAsia"/>
                <w:color w:val="auto"/>
                <w:sz w:val="21"/>
                <w:szCs w:val="21"/>
                <w:lang w:val="en-US" w:eastAsia="zh-CN"/>
              </w:rPr>
              <w:t>/</w:t>
            </w:r>
          </w:p>
        </w:tc>
        <w:tc>
          <w:tcPr>
            <w:tcW w:w="972" w:type="pct"/>
            <w:vMerge w:val="continue"/>
            <w:tcBorders>
              <w:tl2br w:val="nil"/>
              <w:tr2bl w:val="nil"/>
            </w:tcBorders>
            <w:noWrap w:val="0"/>
            <w:tcMar>
              <w:top w:w="0" w:type="dxa"/>
              <w:left w:w="0" w:type="dxa"/>
              <w:bottom w:w="0" w:type="dxa"/>
              <w:right w:w="0" w:type="dxa"/>
            </w:tcMar>
            <w:vAlign w:val="center"/>
          </w:tcPr>
          <w:p w14:paraId="5020F441">
            <w:pPr>
              <w:pStyle w:val="24"/>
              <w:pageBreakBefore w:val="0"/>
              <w:wordWrap/>
              <w:bidi w:val="0"/>
              <w:adjustRightInd/>
              <w:snapToGrid/>
              <w:spacing w:after="0" w:line="240" w:lineRule="auto"/>
              <w:ind w:left="0" w:leftChars="0" w:firstLine="0" w:firstLineChars="0"/>
              <w:jc w:val="center"/>
              <w:rPr>
                <w:color w:val="auto"/>
                <w:sz w:val="21"/>
                <w:szCs w:val="21"/>
              </w:rPr>
            </w:pPr>
          </w:p>
        </w:tc>
      </w:tr>
      <w:tr w14:paraId="36E518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3CA8C1CA">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noWrap w:val="0"/>
            <w:tcMar>
              <w:top w:w="0" w:type="dxa"/>
              <w:left w:w="0" w:type="dxa"/>
              <w:bottom w:w="0" w:type="dxa"/>
              <w:right w:w="0" w:type="dxa"/>
            </w:tcMar>
            <w:vAlign w:val="center"/>
          </w:tcPr>
          <w:p w14:paraId="67FD9A33">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106.889881</w:t>
            </w:r>
          </w:p>
        </w:tc>
        <w:tc>
          <w:tcPr>
            <w:tcW w:w="562" w:type="pct"/>
            <w:tcBorders>
              <w:tl2br w:val="nil"/>
              <w:tr2bl w:val="nil"/>
            </w:tcBorders>
            <w:noWrap w:val="0"/>
            <w:tcMar>
              <w:top w:w="0" w:type="dxa"/>
              <w:left w:w="0" w:type="dxa"/>
              <w:bottom w:w="0" w:type="dxa"/>
              <w:right w:w="0" w:type="dxa"/>
            </w:tcMar>
            <w:vAlign w:val="center"/>
          </w:tcPr>
          <w:p w14:paraId="07242D1D">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31.755745</w:t>
            </w:r>
          </w:p>
        </w:tc>
        <w:tc>
          <w:tcPr>
            <w:tcW w:w="540" w:type="pct"/>
            <w:tcBorders>
              <w:tl2br w:val="nil"/>
              <w:tr2bl w:val="nil"/>
            </w:tcBorders>
            <w:noWrap w:val="0"/>
            <w:tcMar>
              <w:top w:w="0" w:type="dxa"/>
              <w:left w:w="0" w:type="dxa"/>
              <w:bottom w:w="0" w:type="dxa"/>
              <w:right w:w="0" w:type="dxa"/>
            </w:tcMar>
            <w:vAlign w:val="center"/>
          </w:tcPr>
          <w:p w14:paraId="559D2843">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水井</w:t>
            </w:r>
          </w:p>
        </w:tc>
        <w:tc>
          <w:tcPr>
            <w:tcW w:w="551" w:type="pct"/>
            <w:tcBorders>
              <w:tl2br w:val="nil"/>
              <w:tr2bl w:val="nil"/>
            </w:tcBorders>
            <w:noWrap w:val="0"/>
            <w:tcMar>
              <w:top w:w="0" w:type="dxa"/>
              <w:left w:w="0" w:type="dxa"/>
              <w:bottom w:w="0" w:type="dxa"/>
              <w:right w:w="0" w:type="dxa"/>
            </w:tcMar>
            <w:vAlign w:val="center"/>
          </w:tcPr>
          <w:p w14:paraId="27531689">
            <w:pPr>
              <w:pStyle w:val="24"/>
              <w:pageBreakBefore w:val="0"/>
              <w:wordWrap/>
              <w:bidi w:val="0"/>
              <w:adjustRightInd/>
              <w:snapToGrid/>
              <w:spacing w:after="0" w:line="240" w:lineRule="auto"/>
              <w:ind w:left="0" w:leftChars="0" w:firstLine="0" w:firstLineChars="0"/>
              <w:jc w:val="center"/>
              <w:rPr>
                <w:rFonts w:hint="eastAsia"/>
                <w:color w:val="auto"/>
                <w:sz w:val="21"/>
                <w:szCs w:val="21"/>
                <w:lang w:val="en-US" w:eastAsia="zh-CN"/>
              </w:rPr>
            </w:pPr>
            <w:r>
              <w:rPr>
                <w:rFonts w:hint="eastAsia"/>
                <w:color w:val="auto"/>
                <w:sz w:val="21"/>
                <w:szCs w:val="21"/>
                <w:lang w:val="en-US" w:eastAsia="zh-CN"/>
              </w:rPr>
              <w:t>地下水</w:t>
            </w:r>
          </w:p>
        </w:tc>
        <w:tc>
          <w:tcPr>
            <w:tcW w:w="319" w:type="pct"/>
            <w:tcBorders>
              <w:tl2br w:val="nil"/>
              <w:tr2bl w:val="nil"/>
            </w:tcBorders>
            <w:noWrap w:val="0"/>
            <w:tcMar>
              <w:top w:w="0" w:type="dxa"/>
              <w:left w:w="0" w:type="dxa"/>
              <w:bottom w:w="0" w:type="dxa"/>
              <w:right w:w="0" w:type="dxa"/>
            </w:tcMar>
            <w:vAlign w:val="center"/>
          </w:tcPr>
          <w:p w14:paraId="68C474D1">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西北</w:t>
            </w:r>
          </w:p>
        </w:tc>
        <w:tc>
          <w:tcPr>
            <w:tcW w:w="397" w:type="pct"/>
            <w:tcBorders>
              <w:tl2br w:val="nil"/>
              <w:tr2bl w:val="nil"/>
            </w:tcBorders>
            <w:noWrap w:val="0"/>
            <w:tcMar>
              <w:top w:w="0" w:type="dxa"/>
              <w:left w:w="0" w:type="dxa"/>
              <w:bottom w:w="0" w:type="dxa"/>
              <w:right w:w="0" w:type="dxa"/>
            </w:tcMar>
            <w:vAlign w:val="center"/>
          </w:tcPr>
          <w:p w14:paraId="01D96863">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111</w:t>
            </w:r>
          </w:p>
        </w:tc>
        <w:tc>
          <w:tcPr>
            <w:tcW w:w="650" w:type="pct"/>
            <w:tcBorders>
              <w:tl2br w:val="nil"/>
              <w:tr2bl w:val="nil"/>
            </w:tcBorders>
            <w:noWrap w:val="0"/>
            <w:tcMar>
              <w:top w:w="0" w:type="dxa"/>
              <w:left w:w="0" w:type="dxa"/>
              <w:bottom w:w="0" w:type="dxa"/>
              <w:right w:w="0" w:type="dxa"/>
            </w:tcMar>
            <w:vAlign w:val="center"/>
          </w:tcPr>
          <w:p w14:paraId="3813C93F">
            <w:pPr>
              <w:pStyle w:val="24"/>
              <w:pageBreakBefore w:val="0"/>
              <w:wordWrap/>
              <w:bidi w:val="0"/>
              <w:adjustRightInd/>
              <w:snapToGrid/>
              <w:spacing w:after="0" w:line="240" w:lineRule="auto"/>
              <w:ind w:left="0" w:leftChars="0" w:firstLine="0" w:firstLineChars="0"/>
              <w:jc w:val="center"/>
              <w:rPr>
                <w:rFonts w:hint="default"/>
                <w:color w:val="auto"/>
                <w:sz w:val="21"/>
                <w:szCs w:val="21"/>
                <w:lang w:val="en-US" w:eastAsia="zh-CN"/>
              </w:rPr>
            </w:pPr>
            <w:r>
              <w:rPr>
                <w:rFonts w:hint="eastAsia"/>
                <w:color w:val="auto"/>
                <w:sz w:val="21"/>
                <w:szCs w:val="21"/>
                <w:lang w:val="en-US" w:eastAsia="zh-CN"/>
              </w:rPr>
              <w:t>/</w:t>
            </w:r>
          </w:p>
        </w:tc>
        <w:tc>
          <w:tcPr>
            <w:tcW w:w="972" w:type="pct"/>
            <w:vMerge w:val="continue"/>
            <w:tcBorders>
              <w:tl2br w:val="nil"/>
              <w:tr2bl w:val="nil"/>
            </w:tcBorders>
            <w:noWrap w:val="0"/>
            <w:tcMar>
              <w:top w:w="0" w:type="dxa"/>
              <w:left w:w="0" w:type="dxa"/>
              <w:bottom w:w="0" w:type="dxa"/>
              <w:right w:w="0" w:type="dxa"/>
            </w:tcMar>
            <w:vAlign w:val="center"/>
          </w:tcPr>
          <w:p w14:paraId="0DEFFDD5">
            <w:pPr>
              <w:pStyle w:val="24"/>
              <w:pageBreakBefore w:val="0"/>
              <w:wordWrap/>
              <w:bidi w:val="0"/>
              <w:adjustRightInd/>
              <w:snapToGrid/>
              <w:spacing w:after="0" w:line="240" w:lineRule="auto"/>
              <w:ind w:left="0" w:leftChars="0" w:firstLine="0" w:firstLineChars="0"/>
              <w:jc w:val="center"/>
              <w:rPr>
                <w:color w:val="auto"/>
                <w:sz w:val="21"/>
                <w:szCs w:val="21"/>
              </w:rPr>
            </w:pPr>
          </w:p>
        </w:tc>
      </w:tr>
      <w:tr w14:paraId="68BA45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04DB14F9">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shd w:val="clear" w:color="auto" w:fill="auto"/>
            <w:noWrap w:val="0"/>
            <w:tcMar>
              <w:top w:w="0" w:type="dxa"/>
              <w:left w:w="0" w:type="dxa"/>
              <w:bottom w:w="0" w:type="dxa"/>
              <w:right w:w="0" w:type="dxa"/>
            </w:tcMar>
            <w:vAlign w:val="center"/>
          </w:tcPr>
          <w:p w14:paraId="0CD6DBD8">
            <w:pPr>
              <w:pageBreakBefore w:val="0"/>
              <w:wordWrap/>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106.889924</w:t>
            </w:r>
          </w:p>
        </w:tc>
        <w:tc>
          <w:tcPr>
            <w:tcW w:w="562" w:type="pct"/>
            <w:tcBorders>
              <w:tl2br w:val="nil"/>
              <w:tr2bl w:val="nil"/>
            </w:tcBorders>
            <w:shd w:val="clear" w:color="auto" w:fill="auto"/>
            <w:noWrap w:val="0"/>
            <w:tcMar>
              <w:top w:w="0" w:type="dxa"/>
              <w:left w:w="0" w:type="dxa"/>
              <w:bottom w:w="0" w:type="dxa"/>
              <w:right w:w="0" w:type="dxa"/>
            </w:tcMar>
            <w:vAlign w:val="center"/>
          </w:tcPr>
          <w:p w14:paraId="3BD86C24">
            <w:pPr>
              <w:pageBreakBefore w:val="0"/>
              <w:wordWrap/>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31.756450</w:t>
            </w:r>
          </w:p>
        </w:tc>
        <w:tc>
          <w:tcPr>
            <w:tcW w:w="540" w:type="pct"/>
            <w:tcBorders>
              <w:tl2br w:val="nil"/>
              <w:tr2bl w:val="nil"/>
            </w:tcBorders>
            <w:noWrap w:val="0"/>
            <w:tcMar>
              <w:top w:w="0" w:type="dxa"/>
              <w:left w:w="0" w:type="dxa"/>
              <w:bottom w:w="0" w:type="dxa"/>
              <w:right w:w="0" w:type="dxa"/>
            </w:tcMar>
            <w:vAlign w:val="center"/>
          </w:tcPr>
          <w:p w14:paraId="311185CB">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水井</w:t>
            </w:r>
          </w:p>
        </w:tc>
        <w:tc>
          <w:tcPr>
            <w:tcW w:w="551" w:type="pct"/>
            <w:tcBorders>
              <w:tl2br w:val="nil"/>
              <w:tr2bl w:val="nil"/>
            </w:tcBorders>
            <w:noWrap w:val="0"/>
            <w:tcMar>
              <w:top w:w="0" w:type="dxa"/>
              <w:left w:w="0" w:type="dxa"/>
              <w:bottom w:w="0" w:type="dxa"/>
              <w:right w:w="0" w:type="dxa"/>
            </w:tcMar>
            <w:vAlign w:val="center"/>
          </w:tcPr>
          <w:p w14:paraId="3193B4A1">
            <w:pPr>
              <w:pStyle w:val="24"/>
              <w:pageBreakBefore w:val="0"/>
              <w:wordWrap/>
              <w:bidi w:val="0"/>
              <w:adjustRightInd/>
              <w:snapToGrid/>
              <w:spacing w:after="0" w:line="240" w:lineRule="auto"/>
              <w:ind w:left="0" w:leftChars="0" w:firstLine="0" w:firstLineChars="0"/>
              <w:jc w:val="center"/>
              <w:rPr>
                <w:rFonts w:hint="eastAsia"/>
                <w:color w:val="auto"/>
                <w:sz w:val="21"/>
                <w:szCs w:val="21"/>
                <w:lang w:val="en-US" w:eastAsia="zh-CN"/>
              </w:rPr>
            </w:pPr>
            <w:r>
              <w:rPr>
                <w:rFonts w:hint="eastAsia"/>
                <w:color w:val="auto"/>
                <w:sz w:val="21"/>
                <w:szCs w:val="21"/>
                <w:lang w:val="en-US" w:eastAsia="zh-CN"/>
              </w:rPr>
              <w:t>地下水</w:t>
            </w:r>
          </w:p>
        </w:tc>
        <w:tc>
          <w:tcPr>
            <w:tcW w:w="319" w:type="pct"/>
            <w:tcBorders>
              <w:tl2br w:val="nil"/>
              <w:tr2bl w:val="nil"/>
            </w:tcBorders>
            <w:noWrap w:val="0"/>
            <w:tcMar>
              <w:top w:w="0" w:type="dxa"/>
              <w:left w:w="0" w:type="dxa"/>
              <w:bottom w:w="0" w:type="dxa"/>
              <w:right w:w="0" w:type="dxa"/>
            </w:tcMar>
            <w:vAlign w:val="center"/>
          </w:tcPr>
          <w:p w14:paraId="56AB0CDC">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西北</w:t>
            </w:r>
          </w:p>
        </w:tc>
        <w:tc>
          <w:tcPr>
            <w:tcW w:w="397" w:type="pct"/>
            <w:tcBorders>
              <w:tl2br w:val="nil"/>
              <w:tr2bl w:val="nil"/>
            </w:tcBorders>
            <w:noWrap w:val="0"/>
            <w:tcMar>
              <w:top w:w="0" w:type="dxa"/>
              <w:left w:w="0" w:type="dxa"/>
              <w:bottom w:w="0" w:type="dxa"/>
              <w:right w:w="0" w:type="dxa"/>
            </w:tcMar>
            <w:vAlign w:val="center"/>
          </w:tcPr>
          <w:p w14:paraId="10D1B283">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195</w:t>
            </w:r>
          </w:p>
        </w:tc>
        <w:tc>
          <w:tcPr>
            <w:tcW w:w="650" w:type="pct"/>
            <w:tcBorders>
              <w:tl2br w:val="nil"/>
              <w:tr2bl w:val="nil"/>
            </w:tcBorders>
            <w:noWrap w:val="0"/>
            <w:tcMar>
              <w:top w:w="0" w:type="dxa"/>
              <w:left w:w="0" w:type="dxa"/>
              <w:bottom w:w="0" w:type="dxa"/>
              <w:right w:w="0" w:type="dxa"/>
            </w:tcMar>
            <w:vAlign w:val="center"/>
          </w:tcPr>
          <w:p w14:paraId="632A2479">
            <w:pPr>
              <w:pStyle w:val="24"/>
              <w:pageBreakBefore w:val="0"/>
              <w:wordWrap/>
              <w:bidi w:val="0"/>
              <w:adjustRightInd/>
              <w:snapToGrid/>
              <w:spacing w:after="0" w:line="240" w:lineRule="auto"/>
              <w:ind w:left="0" w:leftChars="0" w:firstLine="0" w:firstLineChars="0"/>
              <w:jc w:val="center"/>
              <w:rPr>
                <w:rFonts w:hint="default"/>
                <w:color w:val="auto"/>
                <w:sz w:val="21"/>
                <w:szCs w:val="21"/>
                <w:lang w:val="en-US" w:eastAsia="zh-CN"/>
              </w:rPr>
            </w:pPr>
            <w:r>
              <w:rPr>
                <w:rFonts w:hint="eastAsia"/>
                <w:color w:val="auto"/>
                <w:sz w:val="21"/>
                <w:szCs w:val="21"/>
                <w:lang w:val="en-US" w:eastAsia="zh-CN"/>
              </w:rPr>
              <w:t>/</w:t>
            </w:r>
          </w:p>
        </w:tc>
        <w:tc>
          <w:tcPr>
            <w:tcW w:w="972" w:type="pct"/>
            <w:vMerge w:val="continue"/>
            <w:tcBorders>
              <w:tl2br w:val="nil"/>
              <w:tr2bl w:val="nil"/>
            </w:tcBorders>
            <w:noWrap w:val="0"/>
            <w:tcMar>
              <w:top w:w="0" w:type="dxa"/>
              <w:left w:w="0" w:type="dxa"/>
              <w:bottom w:w="0" w:type="dxa"/>
              <w:right w:w="0" w:type="dxa"/>
            </w:tcMar>
            <w:vAlign w:val="center"/>
          </w:tcPr>
          <w:p w14:paraId="0ECE1B58">
            <w:pPr>
              <w:pStyle w:val="24"/>
              <w:pageBreakBefore w:val="0"/>
              <w:wordWrap/>
              <w:bidi w:val="0"/>
              <w:adjustRightInd/>
              <w:snapToGrid/>
              <w:spacing w:after="0" w:line="240" w:lineRule="auto"/>
              <w:ind w:left="0" w:leftChars="0" w:firstLine="0" w:firstLineChars="0"/>
              <w:jc w:val="center"/>
              <w:rPr>
                <w:color w:val="auto"/>
                <w:sz w:val="21"/>
                <w:szCs w:val="21"/>
              </w:rPr>
            </w:pPr>
          </w:p>
        </w:tc>
      </w:tr>
      <w:tr w14:paraId="65B48D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1B309402">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noWrap w:val="0"/>
            <w:tcMar>
              <w:top w:w="0" w:type="dxa"/>
              <w:left w:w="0" w:type="dxa"/>
              <w:bottom w:w="0" w:type="dxa"/>
              <w:right w:w="0" w:type="dxa"/>
            </w:tcMar>
            <w:vAlign w:val="center"/>
          </w:tcPr>
          <w:p w14:paraId="3FBCD02E">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106.892246</w:t>
            </w:r>
          </w:p>
        </w:tc>
        <w:tc>
          <w:tcPr>
            <w:tcW w:w="562" w:type="pct"/>
            <w:tcBorders>
              <w:tl2br w:val="nil"/>
              <w:tr2bl w:val="nil"/>
            </w:tcBorders>
            <w:noWrap w:val="0"/>
            <w:tcMar>
              <w:top w:w="0" w:type="dxa"/>
              <w:left w:w="0" w:type="dxa"/>
              <w:bottom w:w="0" w:type="dxa"/>
              <w:right w:w="0" w:type="dxa"/>
            </w:tcMar>
            <w:vAlign w:val="center"/>
          </w:tcPr>
          <w:p w14:paraId="0989CA26">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31.754066</w:t>
            </w:r>
          </w:p>
        </w:tc>
        <w:tc>
          <w:tcPr>
            <w:tcW w:w="540" w:type="pct"/>
            <w:tcBorders>
              <w:tl2br w:val="nil"/>
              <w:tr2bl w:val="nil"/>
            </w:tcBorders>
            <w:noWrap w:val="0"/>
            <w:tcMar>
              <w:top w:w="0" w:type="dxa"/>
              <w:left w:w="0" w:type="dxa"/>
              <w:bottom w:w="0" w:type="dxa"/>
              <w:right w:w="0" w:type="dxa"/>
            </w:tcMar>
            <w:vAlign w:val="center"/>
          </w:tcPr>
          <w:p w14:paraId="19DFB026">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水井</w:t>
            </w:r>
          </w:p>
        </w:tc>
        <w:tc>
          <w:tcPr>
            <w:tcW w:w="551" w:type="pct"/>
            <w:tcBorders>
              <w:tl2br w:val="nil"/>
              <w:tr2bl w:val="nil"/>
            </w:tcBorders>
            <w:noWrap w:val="0"/>
            <w:tcMar>
              <w:top w:w="0" w:type="dxa"/>
              <w:left w:w="0" w:type="dxa"/>
              <w:bottom w:w="0" w:type="dxa"/>
              <w:right w:w="0" w:type="dxa"/>
            </w:tcMar>
            <w:vAlign w:val="center"/>
          </w:tcPr>
          <w:p w14:paraId="69E6A7C0">
            <w:pPr>
              <w:pStyle w:val="24"/>
              <w:pageBreakBefore w:val="0"/>
              <w:wordWrap/>
              <w:bidi w:val="0"/>
              <w:adjustRightInd/>
              <w:snapToGrid/>
              <w:spacing w:after="0" w:line="240" w:lineRule="auto"/>
              <w:ind w:left="0" w:leftChars="0" w:firstLine="0" w:firstLineChars="0"/>
              <w:jc w:val="center"/>
              <w:rPr>
                <w:rFonts w:hint="eastAsia"/>
                <w:color w:val="auto"/>
                <w:sz w:val="21"/>
                <w:szCs w:val="21"/>
                <w:lang w:val="en-US" w:eastAsia="zh-CN"/>
              </w:rPr>
            </w:pPr>
            <w:r>
              <w:rPr>
                <w:rFonts w:hint="eastAsia"/>
                <w:color w:val="auto"/>
                <w:sz w:val="21"/>
                <w:szCs w:val="21"/>
                <w:lang w:val="en-US" w:eastAsia="zh-CN"/>
              </w:rPr>
              <w:t>地下水</w:t>
            </w:r>
          </w:p>
        </w:tc>
        <w:tc>
          <w:tcPr>
            <w:tcW w:w="319" w:type="pct"/>
            <w:tcBorders>
              <w:tl2br w:val="nil"/>
              <w:tr2bl w:val="nil"/>
            </w:tcBorders>
            <w:noWrap w:val="0"/>
            <w:tcMar>
              <w:top w:w="0" w:type="dxa"/>
              <w:left w:w="0" w:type="dxa"/>
              <w:bottom w:w="0" w:type="dxa"/>
              <w:right w:w="0" w:type="dxa"/>
            </w:tcMar>
            <w:vAlign w:val="center"/>
          </w:tcPr>
          <w:p w14:paraId="25C7EE6B">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北</w:t>
            </w:r>
          </w:p>
        </w:tc>
        <w:tc>
          <w:tcPr>
            <w:tcW w:w="397" w:type="pct"/>
            <w:tcBorders>
              <w:tl2br w:val="nil"/>
              <w:tr2bl w:val="nil"/>
            </w:tcBorders>
            <w:noWrap w:val="0"/>
            <w:tcMar>
              <w:top w:w="0" w:type="dxa"/>
              <w:left w:w="0" w:type="dxa"/>
              <w:bottom w:w="0" w:type="dxa"/>
              <w:right w:w="0" w:type="dxa"/>
            </w:tcMar>
            <w:vAlign w:val="center"/>
          </w:tcPr>
          <w:p w14:paraId="5ED51B80">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15</w:t>
            </w:r>
          </w:p>
        </w:tc>
        <w:tc>
          <w:tcPr>
            <w:tcW w:w="650" w:type="pct"/>
            <w:tcBorders>
              <w:tl2br w:val="nil"/>
              <w:tr2bl w:val="nil"/>
            </w:tcBorders>
            <w:noWrap w:val="0"/>
            <w:tcMar>
              <w:top w:w="0" w:type="dxa"/>
              <w:left w:w="0" w:type="dxa"/>
              <w:bottom w:w="0" w:type="dxa"/>
              <w:right w:w="0" w:type="dxa"/>
            </w:tcMar>
            <w:vAlign w:val="center"/>
          </w:tcPr>
          <w:p w14:paraId="709B1127">
            <w:pPr>
              <w:pStyle w:val="24"/>
              <w:pageBreakBefore w:val="0"/>
              <w:wordWrap/>
              <w:bidi w:val="0"/>
              <w:adjustRightInd/>
              <w:snapToGrid/>
              <w:spacing w:after="0" w:line="240" w:lineRule="auto"/>
              <w:ind w:left="0" w:leftChars="0" w:firstLine="0" w:firstLineChars="0"/>
              <w:jc w:val="center"/>
              <w:rPr>
                <w:rFonts w:hint="default"/>
                <w:color w:val="auto"/>
                <w:sz w:val="21"/>
                <w:szCs w:val="21"/>
                <w:lang w:val="en-US" w:eastAsia="zh-CN"/>
              </w:rPr>
            </w:pPr>
            <w:r>
              <w:rPr>
                <w:rFonts w:hint="eastAsia"/>
                <w:color w:val="auto"/>
                <w:sz w:val="21"/>
                <w:szCs w:val="21"/>
                <w:lang w:val="en-US" w:eastAsia="zh-CN"/>
              </w:rPr>
              <w:t>/</w:t>
            </w:r>
          </w:p>
        </w:tc>
        <w:tc>
          <w:tcPr>
            <w:tcW w:w="972" w:type="pct"/>
            <w:vMerge w:val="continue"/>
            <w:tcBorders>
              <w:tl2br w:val="nil"/>
              <w:tr2bl w:val="nil"/>
            </w:tcBorders>
            <w:noWrap w:val="0"/>
            <w:tcMar>
              <w:top w:w="0" w:type="dxa"/>
              <w:left w:w="0" w:type="dxa"/>
              <w:bottom w:w="0" w:type="dxa"/>
              <w:right w:w="0" w:type="dxa"/>
            </w:tcMar>
            <w:vAlign w:val="center"/>
          </w:tcPr>
          <w:p w14:paraId="3934A449">
            <w:pPr>
              <w:pStyle w:val="24"/>
              <w:pageBreakBefore w:val="0"/>
              <w:wordWrap/>
              <w:bidi w:val="0"/>
              <w:adjustRightInd/>
              <w:snapToGrid/>
              <w:spacing w:after="0" w:line="240" w:lineRule="auto"/>
              <w:ind w:left="0" w:leftChars="0" w:firstLine="0" w:firstLineChars="0"/>
              <w:jc w:val="center"/>
              <w:rPr>
                <w:color w:val="auto"/>
                <w:sz w:val="21"/>
                <w:szCs w:val="21"/>
              </w:rPr>
            </w:pPr>
          </w:p>
        </w:tc>
      </w:tr>
      <w:tr w14:paraId="700367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3F0B1CD2">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noWrap w:val="0"/>
            <w:tcMar>
              <w:top w:w="0" w:type="dxa"/>
              <w:left w:w="0" w:type="dxa"/>
              <w:bottom w:w="0" w:type="dxa"/>
              <w:right w:w="0" w:type="dxa"/>
            </w:tcMar>
            <w:vAlign w:val="center"/>
          </w:tcPr>
          <w:p w14:paraId="084183E3">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106.892094</w:t>
            </w:r>
          </w:p>
        </w:tc>
        <w:tc>
          <w:tcPr>
            <w:tcW w:w="562" w:type="pct"/>
            <w:tcBorders>
              <w:tl2br w:val="nil"/>
              <w:tr2bl w:val="nil"/>
            </w:tcBorders>
            <w:noWrap w:val="0"/>
            <w:tcMar>
              <w:top w:w="0" w:type="dxa"/>
              <w:left w:w="0" w:type="dxa"/>
              <w:bottom w:w="0" w:type="dxa"/>
              <w:right w:w="0" w:type="dxa"/>
            </w:tcMar>
            <w:vAlign w:val="center"/>
          </w:tcPr>
          <w:p w14:paraId="5975EBF2">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31.754379</w:t>
            </w:r>
          </w:p>
        </w:tc>
        <w:tc>
          <w:tcPr>
            <w:tcW w:w="540" w:type="pct"/>
            <w:tcBorders>
              <w:tl2br w:val="nil"/>
              <w:tr2bl w:val="nil"/>
            </w:tcBorders>
            <w:noWrap w:val="0"/>
            <w:tcMar>
              <w:top w:w="0" w:type="dxa"/>
              <w:left w:w="0" w:type="dxa"/>
              <w:bottom w:w="0" w:type="dxa"/>
              <w:right w:w="0" w:type="dxa"/>
            </w:tcMar>
            <w:vAlign w:val="center"/>
          </w:tcPr>
          <w:p w14:paraId="613426C9">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水井</w:t>
            </w:r>
          </w:p>
        </w:tc>
        <w:tc>
          <w:tcPr>
            <w:tcW w:w="551" w:type="pct"/>
            <w:tcBorders>
              <w:tl2br w:val="nil"/>
              <w:tr2bl w:val="nil"/>
            </w:tcBorders>
            <w:noWrap w:val="0"/>
            <w:tcMar>
              <w:top w:w="0" w:type="dxa"/>
              <w:left w:w="0" w:type="dxa"/>
              <w:bottom w:w="0" w:type="dxa"/>
              <w:right w:w="0" w:type="dxa"/>
            </w:tcMar>
            <w:vAlign w:val="center"/>
          </w:tcPr>
          <w:p w14:paraId="30B6076E">
            <w:pPr>
              <w:pStyle w:val="24"/>
              <w:pageBreakBefore w:val="0"/>
              <w:wordWrap/>
              <w:bidi w:val="0"/>
              <w:adjustRightInd/>
              <w:snapToGrid/>
              <w:spacing w:after="0" w:line="240" w:lineRule="auto"/>
              <w:ind w:left="0" w:leftChars="0" w:firstLine="0" w:firstLineChars="0"/>
              <w:jc w:val="center"/>
              <w:rPr>
                <w:rFonts w:hint="eastAsia"/>
                <w:color w:val="auto"/>
                <w:sz w:val="21"/>
                <w:szCs w:val="21"/>
                <w:lang w:val="en-US" w:eastAsia="zh-CN"/>
              </w:rPr>
            </w:pPr>
            <w:r>
              <w:rPr>
                <w:rFonts w:hint="eastAsia"/>
                <w:color w:val="auto"/>
                <w:sz w:val="21"/>
                <w:szCs w:val="21"/>
                <w:lang w:val="en-US" w:eastAsia="zh-CN"/>
              </w:rPr>
              <w:t>地下水</w:t>
            </w:r>
          </w:p>
        </w:tc>
        <w:tc>
          <w:tcPr>
            <w:tcW w:w="319" w:type="pct"/>
            <w:tcBorders>
              <w:tl2br w:val="nil"/>
              <w:tr2bl w:val="nil"/>
            </w:tcBorders>
            <w:noWrap w:val="0"/>
            <w:tcMar>
              <w:top w:w="0" w:type="dxa"/>
              <w:left w:w="0" w:type="dxa"/>
              <w:bottom w:w="0" w:type="dxa"/>
              <w:right w:w="0" w:type="dxa"/>
            </w:tcMar>
            <w:vAlign w:val="center"/>
          </w:tcPr>
          <w:p w14:paraId="34F4A0C4">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北</w:t>
            </w:r>
          </w:p>
        </w:tc>
        <w:tc>
          <w:tcPr>
            <w:tcW w:w="397" w:type="pct"/>
            <w:tcBorders>
              <w:tl2br w:val="nil"/>
              <w:tr2bl w:val="nil"/>
            </w:tcBorders>
            <w:noWrap w:val="0"/>
            <w:tcMar>
              <w:top w:w="0" w:type="dxa"/>
              <w:left w:w="0" w:type="dxa"/>
              <w:bottom w:w="0" w:type="dxa"/>
              <w:right w:w="0" w:type="dxa"/>
            </w:tcMar>
            <w:vAlign w:val="center"/>
          </w:tcPr>
          <w:p w14:paraId="4EB7E1A1">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32</w:t>
            </w:r>
          </w:p>
        </w:tc>
        <w:tc>
          <w:tcPr>
            <w:tcW w:w="650" w:type="pct"/>
            <w:tcBorders>
              <w:tl2br w:val="nil"/>
              <w:tr2bl w:val="nil"/>
            </w:tcBorders>
            <w:noWrap w:val="0"/>
            <w:tcMar>
              <w:top w:w="0" w:type="dxa"/>
              <w:left w:w="0" w:type="dxa"/>
              <w:bottom w:w="0" w:type="dxa"/>
              <w:right w:w="0" w:type="dxa"/>
            </w:tcMar>
            <w:vAlign w:val="center"/>
          </w:tcPr>
          <w:p w14:paraId="3E88ADC9">
            <w:pPr>
              <w:pStyle w:val="24"/>
              <w:pageBreakBefore w:val="0"/>
              <w:wordWrap/>
              <w:bidi w:val="0"/>
              <w:adjustRightInd/>
              <w:snapToGrid/>
              <w:spacing w:after="0" w:line="240" w:lineRule="auto"/>
              <w:ind w:left="0" w:leftChars="0" w:firstLine="0" w:firstLineChars="0"/>
              <w:jc w:val="center"/>
              <w:rPr>
                <w:rFonts w:hint="default"/>
                <w:color w:val="auto"/>
                <w:sz w:val="21"/>
                <w:szCs w:val="21"/>
                <w:lang w:val="en-US" w:eastAsia="zh-CN"/>
              </w:rPr>
            </w:pPr>
            <w:r>
              <w:rPr>
                <w:rFonts w:hint="eastAsia"/>
                <w:color w:val="auto"/>
                <w:sz w:val="21"/>
                <w:szCs w:val="21"/>
                <w:lang w:val="en-US" w:eastAsia="zh-CN"/>
              </w:rPr>
              <w:t>/</w:t>
            </w:r>
          </w:p>
        </w:tc>
        <w:tc>
          <w:tcPr>
            <w:tcW w:w="972" w:type="pct"/>
            <w:vMerge w:val="continue"/>
            <w:tcBorders>
              <w:tl2br w:val="nil"/>
              <w:tr2bl w:val="nil"/>
            </w:tcBorders>
            <w:noWrap w:val="0"/>
            <w:tcMar>
              <w:top w:w="0" w:type="dxa"/>
              <w:left w:w="0" w:type="dxa"/>
              <w:bottom w:w="0" w:type="dxa"/>
              <w:right w:w="0" w:type="dxa"/>
            </w:tcMar>
            <w:vAlign w:val="center"/>
          </w:tcPr>
          <w:p w14:paraId="6E4FFA3C">
            <w:pPr>
              <w:pStyle w:val="24"/>
              <w:pageBreakBefore w:val="0"/>
              <w:wordWrap/>
              <w:bidi w:val="0"/>
              <w:adjustRightInd/>
              <w:snapToGrid/>
              <w:spacing w:after="0" w:line="240" w:lineRule="auto"/>
              <w:ind w:left="0" w:leftChars="0" w:firstLine="0" w:firstLineChars="0"/>
              <w:jc w:val="center"/>
              <w:rPr>
                <w:color w:val="auto"/>
                <w:sz w:val="21"/>
                <w:szCs w:val="21"/>
              </w:rPr>
            </w:pPr>
          </w:p>
        </w:tc>
      </w:tr>
      <w:tr w14:paraId="31570B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7DCE98F1">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noWrap w:val="0"/>
            <w:tcMar>
              <w:top w:w="0" w:type="dxa"/>
              <w:left w:w="0" w:type="dxa"/>
              <w:bottom w:w="0" w:type="dxa"/>
              <w:right w:w="0" w:type="dxa"/>
            </w:tcMar>
            <w:vAlign w:val="center"/>
          </w:tcPr>
          <w:p w14:paraId="2A1005AC">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106.891986</w:t>
            </w:r>
          </w:p>
        </w:tc>
        <w:tc>
          <w:tcPr>
            <w:tcW w:w="562" w:type="pct"/>
            <w:tcBorders>
              <w:tl2br w:val="nil"/>
              <w:tr2bl w:val="nil"/>
            </w:tcBorders>
            <w:noWrap w:val="0"/>
            <w:tcMar>
              <w:top w:w="0" w:type="dxa"/>
              <w:left w:w="0" w:type="dxa"/>
              <w:bottom w:w="0" w:type="dxa"/>
              <w:right w:w="0" w:type="dxa"/>
            </w:tcMar>
            <w:vAlign w:val="center"/>
          </w:tcPr>
          <w:p w14:paraId="484AC66C">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31.754763</w:t>
            </w:r>
          </w:p>
        </w:tc>
        <w:tc>
          <w:tcPr>
            <w:tcW w:w="540" w:type="pct"/>
            <w:tcBorders>
              <w:tl2br w:val="nil"/>
              <w:tr2bl w:val="nil"/>
            </w:tcBorders>
            <w:noWrap w:val="0"/>
            <w:tcMar>
              <w:top w:w="0" w:type="dxa"/>
              <w:left w:w="0" w:type="dxa"/>
              <w:bottom w:w="0" w:type="dxa"/>
              <w:right w:w="0" w:type="dxa"/>
            </w:tcMar>
            <w:vAlign w:val="center"/>
          </w:tcPr>
          <w:p w14:paraId="700F6DEF">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水井</w:t>
            </w:r>
          </w:p>
        </w:tc>
        <w:tc>
          <w:tcPr>
            <w:tcW w:w="551" w:type="pct"/>
            <w:tcBorders>
              <w:tl2br w:val="nil"/>
              <w:tr2bl w:val="nil"/>
            </w:tcBorders>
            <w:noWrap w:val="0"/>
            <w:tcMar>
              <w:top w:w="0" w:type="dxa"/>
              <w:left w:w="0" w:type="dxa"/>
              <w:bottom w:w="0" w:type="dxa"/>
              <w:right w:w="0" w:type="dxa"/>
            </w:tcMar>
            <w:vAlign w:val="center"/>
          </w:tcPr>
          <w:p w14:paraId="700B2D10">
            <w:pPr>
              <w:pStyle w:val="24"/>
              <w:pageBreakBefore w:val="0"/>
              <w:wordWrap/>
              <w:bidi w:val="0"/>
              <w:adjustRightInd/>
              <w:snapToGrid/>
              <w:spacing w:after="0" w:line="240" w:lineRule="auto"/>
              <w:ind w:left="0" w:leftChars="0" w:firstLine="0" w:firstLineChars="0"/>
              <w:jc w:val="center"/>
              <w:rPr>
                <w:rFonts w:hint="eastAsia"/>
                <w:color w:val="auto"/>
                <w:sz w:val="21"/>
                <w:szCs w:val="21"/>
                <w:lang w:val="en-US" w:eastAsia="zh-CN"/>
              </w:rPr>
            </w:pPr>
            <w:r>
              <w:rPr>
                <w:rFonts w:hint="eastAsia"/>
                <w:color w:val="auto"/>
                <w:sz w:val="21"/>
                <w:szCs w:val="21"/>
                <w:lang w:val="en-US" w:eastAsia="zh-CN"/>
              </w:rPr>
              <w:t>地下水</w:t>
            </w:r>
          </w:p>
        </w:tc>
        <w:tc>
          <w:tcPr>
            <w:tcW w:w="319" w:type="pct"/>
            <w:tcBorders>
              <w:tl2br w:val="nil"/>
              <w:tr2bl w:val="nil"/>
            </w:tcBorders>
            <w:noWrap w:val="0"/>
            <w:tcMar>
              <w:top w:w="0" w:type="dxa"/>
              <w:left w:w="0" w:type="dxa"/>
              <w:bottom w:w="0" w:type="dxa"/>
              <w:right w:w="0" w:type="dxa"/>
            </w:tcMar>
            <w:vAlign w:val="center"/>
          </w:tcPr>
          <w:p w14:paraId="7BFDFACD">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北</w:t>
            </w:r>
          </w:p>
        </w:tc>
        <w:tc>
          <w:tcPr>
            <w:tcW w:w="397" w:type="pct"/>
            <w:tcBorders>
              <w:tl2br w:val="nil"/>
              <w:tr2bl w:val="nil"/>
            </w:tcBorders>
            <w:noWrap w:val="0"/>
            <w:tcMar>
              <w:top w:w="0" w:type="dxa"/>
              <w:left w:w="0" w:type="dxa"/>
              <w:bottom w:w="0" w:type="dxa"/>
              <w:right w:w="0" w:type="dxa"/>
            </w:tcMar>
            <w:vAlign w:val="center"/>
          </w:tcPr>
          <w:p w14:paraId="5B9C921C">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64</w:t>
            </w:r>
          </w:p>
        </w:tc>
        <w:tc>
          <w:tcPr>
            <w:tcW w:w="650" w:type="pct"/>
            <w:tcBorders>
              <w:tl2br w:val="nil"/>
              <w:tr2bl w:val="nil"/>
            </w:tcBorders>
            <w:noWrap w:val="0"/>
            <w:tcMar>
              <w:top w:w="0" w:type="dxa"/>
              <w:left w:w="0" w:type="dxa"/>
              <w:bottom w:w="0" w:type="dxa"/>
              <w:right w:w="0" w:type="dxa"/>
            </w:tcMar>
            <w:vAlign w:val="center"/>
          </w:tcPr>
          <w:p w14:paraId="4A67A5E7">
            <w:pPr>
              <w:pStyle w:val="24"/>
              <w:pageBreakBefore w:val="0"/>
              <w:wordWrap/>
              <w:bidi w:val="0"/>
              <w:adjustRightInd/>
              <w:snapToGrid/>
              <w:spacing w:after="0" w:line="240" w:lineRule="auto"/>
              <w:ind w:left="0" w:leftChars="0" w:firstLine="0" w:firstLineChars="0"/>
              <w:jc w:val="center"/>
              <w:rPr>
                <w:rFonts w:hint="default"/>
                <w:color w:val="auto"/>
                <w:sz w:val="21"/>
                <w:szCs w:val="21"/>
                <w:lang w:val="en-US" w:eastAsia="zh-CN"/>
              </w:rPr>
            </w:pPr>
            <w:r>
              <w:rPr>
                <w:rFonts w:hint="eastAsia"/>
                <w:color w:val="auto"/>
                <w:sz w:val="21"/>
                <w:szCs w:val="21"/>
                <w:lang w:val="en-US" w:eastAsia="zh-CN"/>
              </w:rPr>
              <w:t>/</w:t>
            </w:r>
          </w:p>
        </w:tc>
        <w:tc>
          <w:tcPr>
            <w:tcW w:w="972" w:type="pct"/>
            <w:vMerge w:val="continue"/>
            <w:tcBorders>
              <w:tl2br w:val="nil"/>
              <w:tr2bl w:val="nil"/>
            </w:tcBorders>
            <w:noWrap w:val="0"/>
            <w:tcMar>
              <w:top w:w="0" w:type="dxa"/>
              <w:left w:w="0" w:type="dxa"/>
              <w:bottom w:w="0" w:type="dxa"/>
              <w:right w:w="0" w:type="dxa"/>
            </w:tcMar>
            <w:vAlign w:val="center"/>
          </w:tcPr>
          <w:p w14:paraId="1A2C64CD">
            <w:pPr>
              <w:pStyle w:val="24"/>
              <w:pageBreakBefore w:val="0"/>
              <w:wordWrap/>
              <w:bidi w:val="0"/>
              <w:adjustRightInd/>
              <w:snapToGrid/>
              <w:spacing w:after="0" w:line="240" w:lineRule="auto"/>
              <w:ind w:left="0" w:leftChars="0" w:firstLine="0" w:firstLineChars="0"/>
              <w:jc w:val="center"/>
              <w:rPr>
                <w:color w:val="auto"/>
                <w:sz w:val="21"/>
                <w:szCs w:val="21"/>
              </w:rPr>
            </w:pPr>
          </w:p>
        </w:tc>
      </w:tr>
      <w:tr w14:paraId="02494C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32B3BB5C">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noWrap w:val="0"/>
            <w:tcMar>
              <w:top w:w="0" w:type="dxa"/>
              <w:left w:w="0" w:type="dxa"/>
              <w:bottom w:w="0" w:type="dxa"/>
              <w:right w:w="0" w:type="dxa"/>
            </w:tcMar>
            <w:vAlign w:val="center"/>
          </w:tcPr>
          <w:p w14:paraId="036955E6">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106.892354</w:t>
            </w:r>
          </w:p>
        </w:tc>
        <w:tc>
          <w:tcPr>
            <w:tcW w:w="562" w:type="pct"/>
            <w:tcBorders>
              <w:tl2br w:val="nil"/>
              <w:tr2bl w:val="nil"/>
            </w:tcBorders>
            <w:noWrap w:val="0"/>
            <w:tcMar>
              <w:top w:w="0" w:type="dxa"/>
              <w:left w:w="0" w:type="dxa"/>
              <w:bottom w:w="0" w:type="dxa"/>
              <w:right w:w="0" w:type="dxa"/>
            </w:tcMar>
            <w:vAlign w:val="center"/>
          </w:tcPr>
          <w:p w14:paraId="61860E35">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31.756681</w:t>
            </w:r>
          </w:p>
        </w:tc>
        <w:tc>
          <w:tcPr>
            <w:tcW w:w="540" w:type="pct"/>
            <w:tcBorders>
              <w:tl2br w:val="nil"/>
              <w:tr2bl w:val="nil"/>
            </w:tcBorders>
            <w:noWrap w:val="0"/>
            <w:tcMar>
              <w:top w:w="0" w:type="dxa"/>
              <w:left w:w="0" w:type="dxa"/>
              <w:bottom w:w="0" w:type="dxa"/>
              <w:right w:w="0" w:type="dxa"/>
            </w:tcMar>
            <w:vAlign w:val="center"/>
          </w:tcPr>
          <w:p w14:paraId="5518D3DB">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水井</w:t>
            </w:r>
          </w:p>
        </w:tc>
        <w:tc>
          <w:tcPr>
            <w:tcW w:w="551" w:type="pct"/>
            <w:tcBorders>
              <w:tl2br w:val="nil"/>
              <w:tr2bl w:val="nil"/>
            </w:tcBorders>
            <w:noWrap w:val="0"/>
            <w:tcMar>
              <w:top w:w="0" w:type="dxa"/>
              <w:left w:w="0" w:type="dxa"/>
              <w:bottom w:w="0" w:type="dxa"/>
              <w:right w:w="0" w:type="dxa"/>
            </w:tcMar>
            <w:vAlign w:val="center"/>
          </w:tcPr>
          <w:p w14:paraId="3E086340">
            <w:pPr>
              <w:pStyle w:val="24"/>
              <w:pageBreakBefore w:val="0"/>
              <w:wordWrap/>
              <w:bidi w:val="0"/>
              <w:adjustRightInd/>
              <w:snapToGrid/>
              <w:spacing w:after="0" w:line="240" w:lineRule="auto"/>
              <w:ind w:left="0" w:leftChars="0" w:firstLine="0" w:firstLineChars="0"/>
              <w:jc w:val="center"/>
              <w:rPr>
                <w:rFonts w:hint="eastAsia"/>
                <w:color w:val="auto"/>
                <w:sz w:val="21"/>
                <w:szCs w:val="21"/>
                <w:lang w:val="en-US" w:eastAsia="zh-CN"/>
              </w:rPr>
            </w:pPr>
            <w:r>
              <w:rPr>
                <w:rFonts w:hint="eastAsia"/>
                <w:color w:val="auto"/>
                <w:sz w:val="21"/>
                <w:szCs w:val="21"/>
                <w:lang w:val="en-US" w:eastAsia="zh-CN"/>
              </w:rPr>
              <w:t>地下水</w:t>
            </w:r>
          </w:p>
        </w:tc>
        <w:tc>
          <w:tcPr>
            <w:tcW w:w="319" w:type="pct"/>
            <w:tcBorders>
              <w:tl2br w:val="nil"/>
              <w:tr2bl w:val="nil"/>
            </w:tcBorders>
            <w:noWrap w:val="0"/>
            <w:tcMar>
              <w:top w:w="0" w:type="dxa"/>
              <w:left w:w="0" w:type="dxa"/>
              <w:bottom w:w="0" w:type="dxa"/>
              <w:right w:w="0" w:type="dxa"/>
            </w:tcMar>
            <w:vAlign w:val="center"/>
          </w:tcPr>
          <w:p w14:paraId="060DDF65">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北</w:t>
            </w:r>
          </w:p>
        </w:tc>
        <w:tc>
          <w:tcPr>
            <w:tcW w:w="397" w:type="pct"/>
            <w:tcBorders>
              <w:tl2br w:val="nil"/>
              <w:tr2bl w:val="nil"/>
            </w:tcBorders>
            <w:noWrap w:val="0"/>
            <w:tcMar>
              <w:top w:w="0" w:type="dxa"/>
              <w:left w:w="0" w:type="dxa"/>
              <w:bottom w:w="0" w:type="dxa"/>
              <w:right w:w="0" w:type="dxa"/>
            </w:tcMar>
            <w:vAlign w:val="center"/>
          </w:tcPr>
          <w:p w14:paraId="05AE5B58">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275</w:t>
            </w:r>
          </w:p>
        </w:tc>
        <w:tc>
          <w:tcPr>
            <w:tcW w:w="650" w:type="pct"/>
            <w:tcBorders>
              <w:tl2br w:val="nil"/>
              <w:tr2bl w:val="nil"/>
            </w:tcBorders>
            <w:noWrap w:val="0"/>
            <w:tcMar>
              <w:top w:w="0" w:type="dxa"/>
              <w:left w:w="0" w:type="dxa"/>
              <w:bottom w:w="0" w:type="dxa"/>
              <w:right w:w="0" w:type="dxa"/>
            </w:tcMar>
            <w:vAlign w:val="center"/>
          </w:tcPr>
          <w:p w14:paraId="1F5B1A3A">
            <w:pPr>
              <w:pStyle w:val="24"/>
              <w:pageBreakBefore w:val="0"/>
              <w:wordWrap/>
              <w:bidi w:val="0"/>
              <w:adjustRightInd/>
              <w:snapToGrid/>
              <w:spacing w:after="0" w:line="240" w:lineRule="auto"/>
              <w:ind w:left="0" w:leftChars="0" w:firstLine="0" w:firstLineChars="0"/>
              <w:jc w:val="center"/>
              <w:rPr>
                <w:rFonts w:hint="default"/>
                <w:color w:val="auto"/>
                <w:sz w:val="21"/>
                <w:szCs w:val="21"/>
                <w:lang w:val="en-US" w:eastAsia="zh-CN"/>
              </w:rPr>
            </w:pPr>
            <w:r>
              <w:rPr>
                <w:rFonts w:hint="eastAsia"/>
                <w:color w:val="auto"/>
                <w:sz w:val="21"/>
                <w:szCs w:val="21"/>
                <w:lang w:val="en-US" w:eastAsia="zh-CN"/>
              </w:rPr>
              <w:t>/</w:t>
            </w:r>
          </w:p>
        </w:tc>
        <w:tc>
          <w:tcPr>
            <w:tcW w:w="972" w:type="pct"/>
            <w:vMerge w:val="continue"/>
            <w:tcBorders>
              <w:tl2br w:val="nil"/>
              <w:tr2bl w:val="nil"/>
            </w:tcBorders>
            <w:noWrap w:val="0"/>
            <w:tcMar>
              <w:top w:w="0" w:type="dxa"/>
              <w:left w:w="0" w:type="dxa"/>
              <w:bottom w:w="0" w:type="dxa"/>
              <w:right w:w="0" w:type="dxa"/>
            </w:tcMar>
            <w:vAlign w:val="center"/>
          </w:tcPr>
          <w:p w14:paraId="5BFB378F">
            <w:pPr>
              <w:pStyle w:val="24"/>
              <w:pageBreakBefore w:val="0"/>
              <w:wordWrap/>
              <w:bidi w:val="0"/>
              <w:adjustRightInd/>
              <w:snapToGrid/>
              <w:spacing w:after="0" w:line="240" w:lineRule="auto"/>
              <w:ind w:left="0" w:leftChars="0" w:firstLine="0" w:firstLineChars="0"/>
              <w:jc w:val="center"/>
              <w:rPr>
                <w:color w:val="auto"/>
                <w:sz w:val="21"/>
                <w:szCs w:val="21"/>
              </w:rPr>
            </w:pPr>
          </w:p>
        </w:tc>
      </w:tr>
      <w:tr w14:paraId="1938B3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vMerge w:val="continue"/>
            <w:tcBorders>
              <w:tl2br w:val="nil"/>
              <w:tr2bl w:val="nil"/>
            </w:tcBorders>
            <w:noWrap w:val="0"/>
            <w:tcMar>
              <w:top w:w="0" w:type="dxa"/>
              <w:left w:w="0" w:type="dxa"/>
              <w:bottom w:w="0" w:type="dxa"/>
              <w:right w:w="0" w:type="dxa"/>
            </w:tcMar>
            <w:vAlign w:val="center"/>
          </w:tcPr>
          <w:p w14:paraId="601BF693">
            <w:pPr>
              <w:pStyle w:val="24"/>
              <w:pageBreakBefore w:val="0"/>
              <w:wordWrap/>
              <w:bidi w:val="0"/>
              <w:adjustRightInd/>
              <w:snapToGrid/>
              <w:spacing w:after="0" w:line="240" w:lineRule="auto"/>
              <w:ind w:left="0" w:leftChars="0" w:firstLine="0" w:firstLineChars="0"/>
              <w:jc w:val="center"/>
              <w:rPr>
                <w:color w:val="auto"/>
                <w:sz w:val="21"/>
                <w:szCs w:val="21"/>
              </w:rPr>
            </w:pPr>
          </w:p>
        </w:tc>
        <w:tc>
          <w:tcPr>
            <w:tcW w:w="639" w:type="pct"/>
            <w:tcBorders>
              <w:tl2br w:val="nil"/>
              <w:tr2bl w:val="nil"/>
            </w:tcBorders>
            <w:noWrap w:val="0"/>
            <w:tcMar>
              <w:top w:w="0" w:type="dxa"/>
              <w:left w:w="0" w:type="dxa"/>
              <w:bottom w:w="0" w:type="dxa"/>
              <w:right w:w="0" w:type="dxa"/>
            </w:tcMar>
            <w:vAlign w:val="center"/>
          </w:tcPr>
          <w:p w14:paraId="7FE6E795">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106.895682</w:t>
            </w:r>
          </w:p>
        </w:tc>
        <w:tc>
          <w:tcPr>
            <w:tcW w:w="562" w:type="pct"/>
            <w:tcBorders>
              <w:tl2br w:val="nil"/>
              <w:tr2bl w:val="nil"/>
            </w:tcBorders>
            <w:noWrap w:val="0"/>
            <w:tcMar>
              <w:top w:w="0" w:type="dxa"/>
              <w:left w:w="0" w:type="dxa"/>
              <w:bottom w:w="0" w:type="dxa"/>
              <w:right w:w="0" w:type="dxa"/>
            </w:tcMar>
            <w:vAlign w:val="center"/>
          </w:tcPr>
          <w:p w14:paraId="206BF8E3">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31.75608</w:t>
            </w:r>
          </w:p>
        </w:tc>
        <w:tc>
          <w:tcPr>
            <w:tcW w:w="540" w:type="pct"/>
            <w:tcBorders>
              <w:tl2br w:val="nil"/>
              <w:tr2bl w:val="nil"/>
            </w:tcBorders>
            <w:noWrap w:val="0"/>
            <w:tcMar>
              <w:top w:w="0" w:type="dxa"/>
              <w:left w:w="0" w:type="dxa"/>
              <w:bottom w:w="0" w:type="dxa"/>
              <w:right w:w="0" w:type="dxa"/>
            </w:tcMar>
            <w:vAlign w:val="center"/>
          </w:tcPr>
          <w:p w14:paraId="18DD814C">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水井</w:t>
            </w:r>
          </w:p>
        </w:tc>
        <w:tc>
          <w:tcPr>
            <w:tcW w:w="551" w:type="pct"/>
            <w:tcBorders>
              <w:tl2br w:val="nil"/>
              <w:tr2bl w:val="nil"/>
            </w:tcBorders>
            <w:noWrap w:val="0"/>
            <w:tcMar>
              <w:top w:w="0" w:type="dxa"/>
              <w:left w:w="0" w:type="dxa"/>
              <w:bottom w:w="0" w:type="dxa"/>
              <w:right w:w="0" w:type="dxa"/>
            </w:tcMar>
            <w:vAlign w:val="center"/>
          </w:tcPr>
          <w:p w14:paraId="50DD8D67">
            <w:pPr>
              <w:pStyle w:val="24"/>
              <w:pageBreakBefore w:val="0"/>
              <w:wordWrap/>
              <w:bidi w:val="0"/>
              <w:adjustRightInd/>
              <w:snapToGrid/>
              <w:spacing w:after="0" w:line="240" w:lineRule="auto"/>
              <w:ind w:left="0" w:leftChars="0" w:firstLine="0" w:firstLineChars="0"/>
              <w:jc w:val="center"/>
              <w:rPr>
                <w:rFonts w:hint="eastAsia"/>
                <w:color w:val="auto"/>
                <w:sz w:val="21"/>
                <w:szCs w:val="21"/>
                <w:lang w:val="en-US" w:eastAsia="zh-CN"/>
              </w:rPr>
            </w:pPr>
            <w:r>
              <w:rPr>
                <w:rFonts w:hint="eastAsia"/>
                <w:color w:val="auto"/>
                <w:sz w:val="21"/>
                <w:szCs w:val="21"/>
                <w:lang w:val="en-US" w:eastAsia="zh-CN"/>
              </w:rPr>
              <w:t>地下水</w:t>
            </w:r>
          </w:p>
        </w:tc>
        <w:tc>
          <w:tcPr>
            <w:tcW w:w="319" w:type="pct"/>
            <w:tcBorders>
              <w:tl2br w:val="nil"/>
              <w:tr2bl w:val="nil"/>
            </w:tcBorders>
            <w:noWrap w:val="0"/>
            <w:tcMar>
              <w:top w:w="0" w:type="dxa"/>
              <w:left w:w="0" w:type="dxa"/>
              <w:bottom w:w="0" w:type="dxa"/>
              <w:right w:w="0" w:type="dxa"/>
            </w:tcMar>
            <w:vAlign w:val="center"/>
          </w:tcPr>
          <w:p w14:paraId="606139CC">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东北</w:t>
            </w:r>
          </w:p>
        </w:tc>
        <w:tc>
          <w:tcPr>
            <w:tcW w:w="397" w:type="pct"/>
            <w:tcBorders>
              <w:tl2br w:val="nil"/>
              <w:tr2bl w:val="nil"/>
            </w:tcBorders>
            <w:noWrap w:val="0"/>
            <w:tcMar>
              <w:top w:w="0" w:type="dxa"/>
              <w:left w:w="0" w:type="dxa"/>
              <w:bottom w:w="0" w:type="dxa"/>
              <w:right w:w="0" w:type="dxa"/>
            </w:tcMar>
            <w:vAlign w:val="center"/>
          </w:tcPr>
          <w:p w14:paraId="35EB865B">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400</w:t>
            </w:r>
          </w:p>
        </w:tc>
        <w:tc>
          <w:tcPr>
            <w:tcW w:w="650" w:type="pct"/>
            <w:tcBorders>
              <w:tl2br w:val="nil"/>
              <w:tr2bl w:val="nil"/>
            </w:tcBorders>
            <w:noWrap w:val="0"/>
            <w:tcMar>
              <w:top w:w="0" w:type="dxa"/>
              <w:left w:w="0" w:type="dxa"/>
              <w:bottom w:w="0" w:type="dxa"/>
              <w:right w:w="0" w:type="dxa"/>
            </w:tcMar>
            <w:vAlign w:val="center"/>
          </w:tcPr>
          <w:p w14:paraId="35161C14">
            <w:pPr>
              <w:pStyle w:val="24"/>
              <w:pageBreakBefore w:val="0"/>
              <w:wordWrap/>
              <w:bidi w:val="0"/>
              <w:adjustRightInd/>
              <w:snapToGrid/>
              <w:spacing w:after="0" w:line="240" w:lineRule="auto"/>
              <w:ind w:left="0" w:leftChars="0" w:firstLine="0" w:firstLineChars="0"/>
              <w:jc w:val="center"/>
              <w:rPr>
                <w:rFonts w:hint="default"/>
                <w:color w:val="auto"/>
                <w:sz w:val="21"/>
                <w:szCs w:val="21"/>
                <w:lang w:val="en-US" w:eastAsia="zh-CN"/>
              </w:rPr>
            </w:pPr>
            <w:r>
              <w:rPr>
                <w:rFonts w:hint="eastAsia"/>
                <w:color w:val="auto"/>
                <w:sz w:val="21"/>
                <w:szCs w:val="21"/>
                <w:lang w:val="en-US" w:eastAsia="zh-CN"/>
              </w:rPr>
              <w:t>/</w:t>
            </w:r>
          </w:p>
        </w:tc>
        <w:tc>
          <w:tcPr>
            <w:tcW w:w="972" w:type="pct"/>
            <w:vMerge w:val="continue"/>
            <w:tcBorders>
              <w:tl2br w:val="nil"/>
              <w:tr2bl w:val="nil"/>
            </w:tcBorders>
            <w:noWrap w:val="0"/>
            <w:tcMar>
              <w:top w:w="0" w:type="dxa"/>
              <w:left w:w="0" w:type="dxa"/>
              <w:bottom w:w="0" w:type="dxa"/>
              <w:right w:w="0" w:type="dxa"/>
            </w:tcMar>
            <w:vAlign w:val="center"/>
          </w:tcPr>
          <w:p w14:paraId="2EFA8463">
            <w:pPr>
              <w:pStyle w:val="24"/>
              <w:pageBreakBefore w:val="0"/>
              <w:wordWrap/>
              <w:bidi w:val="0"/>
              <w:adjustRightInd/>
              <w:snapToGrid/>
              <w:spacing w:after="0" w:line="240" w:lineRule="auto"/>
              <w:ind w:left="0" w:leftChars="0" w:firstLine="0" w:firstLineChars="0"/>
              <w:jc w:val="center"/>
              <w:rPr>
                <w:color w:val="auto"/>
                <w:sz w:val="21"/>
                <w:szCs w:val="21"/>
              </w:rPr>
            </w:pPr>
          </w:p>
        </w:tc>
      </w:tr>
      <w:tr w14:paraId="78CA9C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tcBorders>
              <w:tl2br w:val="nil"/>
              <w:tr2bl w:val="nil"/>
            </w:tcBorders>
            <w:noWrap w:val="0"/>
            <w:tcMar>
              <w:top w:w="0" w:type="dxa"/>
              <w:left w:w="0" w:type="dxa"/>
              <w:bottom w:w="0" w:type="dxa"/>
              <w:right w:w="0" w:type="dxa"/>
            </w:tcMar>
            <w:vAlign w:val="center"/>
          </w:tcPr>
          <w:p w14:paraId="6566C67F">
            <w:pPr>
              <w:pStyle w:val="24"/>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地表水环境</w:t>
            </w:r>
          </w:p>
        </w:tc>
        <w:tc>
          <w:tcPr>
            <w:tcW w:w="1742" w:type="pct"/>
            <w:gridSpan w:val="3"/>
            <w:tcBorders>
              <w:tl2br w:val="nil"/>
              <w:tr2bl w:val="nil"/>
            </w:tcBorders>
            <w:noWrap w:val="0"/>
            <w:tcMar>
              <w:top w:w="0" w:type="dxa"/>
              <w:left w:w="0" w:type="dxa"/>
              <w:bottom w:w="0" w:type="dxa"/>
              <w:right w:w="0" w:type="dxa"/>
            </w:tcMar>
            <w:vAlign w:val="center"/>
          </w:tcPr>
          <w:p w14:paraId="422B20FF">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eastAsia="zh-CN"/>
              </w:rPr>
              <w:t>巴河</w:t>
            </w:r>
          </w:p>
        </w:tc>
        <w:tc>
          <w:tcPr>
            <w:tcW w:w="551" w:type="pct"/>
            <w:tcBorders>
              <w:tl2br w:val="nil"/>
              <w:tr2bl w:val="nil"/>
            </w:tcBorders>
            <w:noWrap w:val="0"/>
            <w:tcMar>
              <w:top w:w="0" w:type="dxa"/>
              <w:left w:w="0" w:type="dxa"/>
              <w:bottom w:w="0" w:type="dxa"/>
              <w:right w:w="0" w:type="dxa"/>
            </w:tcMar>
            <w:vAlign w:val="center"/>
          </w:tcPr>
          <w:p w14:paraId="35854011">
            <w:pPr>
              <w:pStyle w:val="24"/>
              <w:pageBreakBefore w:val="0"/>
              <w:wordWrap/>
              <w:bidi w:val="0"/>
              <w:adjustRightInd/>
              <w:snapToGrid/>
              <w:spacing w:after="0" w:line="240" w:lineRule="auto"/>
              <w:ind w:left="0" w:leftChars="0" w:firstLine="0" w:firstLineChars="0"/>
              <w:jc w:val="center"/>
              <w:rPr>
                <w:rFonts w:hint="eastAsia"/>
                <w:color w:val="auto"/>
                <w:sz w:val="21"/>
                <w:szCs w:val="21"/>
                <w:lang w:val="en-US" w:eastAsia="zh-CN"/>
              </w:rPr>
            </w:pPr>
            <w:r>
              <w:rPr>
                <w:color w:val="auto"/>
                <w:sz w:val="21"/>
                <w:szCs w:val="21"/>
              </w:rPr>
              <w:t>地表水</w:t>
            </w:r>
          </w:p>
        </w:tc>
        <w:tc>
          <w:tcPr>
            <w:tcW w:w="319" w:type="pct"/>
            <w:tcBorders>
              <w:tl2br w:val="nil"/>
              <w:tr2bl w:val="nil"/>
            </w:tcBorders>
            <w:noWrap w:val="0"/>
            <w:tcMar>
              <w:top w:w="0" w:type="dxa"/>
              <w:left w:w="0" w:type="dxa"/>
              <w:bottom w:w="0" w:type="dxa"/>
              <w:right w:w="0" w:type="dxa"/>
            </w:tcMar>
            <w:vAlign w:val="center"/>
          </w:tcPr>
          <w:p w14:paraId="3BCF6F6A">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西南</w:t>
            </w:r>
          </w:p>
        </w:tc>
        <w:tc>
          <w:tcPr>
            <w:tcW w:w="397" w:type="pct"/>
            <w:tcBorders>
              <w:tl2br w:val="nil"/>
              <w:tr2bl w:val="nil"/>
            </w:tcBorders>
            <w:noWrap w:val="0"/>
            <w:tcMar>
              <w:top w:w="0" w:type="dxa"/>
              <w:left w:w="0" w:type="dxa"/>
              <w:bottom w:w="0" w:type="dxa"/>
              <w:right w:w="0" w:type="dxa"/>
            </w:tcMar>
            <w:vAlign w:val="center"/>
          </w:tcPr>
          <w:p w14:paraId="43464965">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70m</w:t>
            </w:r>
          </w:p>
        </w:tc>
        <w:tc>
          <w:tcPr>
            <w:tcW w:w="650" w:type="pct"/>
            <w:tcBorders>
              <w:tl2br w:val="nil"/>
              <w:tr2bl w:val="nil"/>
            </w:tcBorders>
            <w:noWrap w:val="0"/>
            <w:tcMar>
              <w:top w:w="0" w:type="dxa"/>
              <w:left w:w="0" w:type="dxa"/>
              <w:bottom w:w="0" w:type="dxa"/>
              <w:right w:w="0" w:type="dxa"/>
            </w:tcMar>
            <w:vAlign w:val="center"/>
          </w:tcPr>
          <w:p w14:paraId="5C174E69">
            <w:pPr>
              <w:pStyle w:val="24"/>
              <w:pageBreakBefore w:val="0"/>
              <w:wordWrap/>
              <w:bidi w:val="0"/>
              <w:adjustRightInd/>
              <w:snapToGrid/>
              <w:spacing w:after="0" w:line="240" w:lineRule="auto"/>
              <w:ind w:left="0" w:leftChars="0" w:firstLine="0" w:firstLineChars="0"/>
              <w:jc w:val="center"/>
              <w:rPr>
                <w:color w:val="auto"/>
                <w:sz w:val="21"/>
                <w:szCs w:val="21"/>
              </w:rPr>
            </w:pPr>
            <w:r>
              <w:rPr>
                <w:color w:val="auto"/>
                <w:sz w:val="21"/>
                <w:szCs w:val="21"/>
              </w:rPr>
              <w:t>Ⅲ类功能</w:t>
            </w:r>
          </w:p>
        </w:tc>
        <w:tc>
          <w:tcPr>
            <w:tcW w:w="972" w:type="pct"/>
            <w:tcBorders>
              <w:tl2br w:val="nil"/>
              <w:tr2bl w:val="nil"/>
            </w:tcBorders>
            <w:noWrap w:val="0"/>
            <w:tcMar>
              <w:top w:w="0" w:type="dxa"/>
              <w:left w:w="0" w:type="dxa"/>
              <w:bottom w:w="0" w:type="dxa"/>
              <w:right w:w="0" w:type="dxa"/>
            </w:tcMar>
            <w:vAlign w:val="center"/>
          </w:tcPr>
          <w:p w14:paraId="78046687">
            <w:pPr>
              <w:pageBreakBefore w:val="0"/>
              <w:wordWrap/>
              <w:bidi w:val="0"/>
              <w:adjustRightInd/>
              <w:snapToGrid/>
              <w:spacing w:line="240" w:lineRule="auto"/>
              <w:ind w:firstLine="0" w:firstLineChars="0"/>
              <w:jc w:val="center"/>
              <w:rPr>
                <w:color w:val="auto"/>
                <w:sz w:val="21"/>
                <w:szCs w:val="21"/>
              </w:rPr>
            </w:pPr>
            <w:r>
              <w:rPr>
                <w:color w:val="auto"/>
                <w:spacing w:val="1"/>
                <w:kern w:val="0"/>
                <w:sz w:val="21"/>
                <w:szCs w:val="21"/>
              </w:rPr>
              <w:t>GB3838-2002</w:t>
            </w:r>
            <w:r>
              <w:rPr>
                <w:rFonts w:hint="eastAsia"/>
                <w:color w:val="auto"/>
                <w:spacing w:val="1"/>
                <w:kern w:val="0"/>
                <w:sz w:val="21"/>
                <w:szCs w:val="21"/>
                <w:lang w:val="en-US" w:eastAsia="zh-CN"/>
              </w:rPr>
              <w:t>中</w:t>
            </w:r>
            <w:r>
              <w:rPr>
                <w:color w:val="auto"/>
                <w:spacing w:val="1"/>
                <w:kern w:val="0"/>
                <w:sz w:val="21"/>
                <w:szCs w:val="21"/>
              </w:rPr>
              <w:t>Ⅲ类</w:t>
            </w:r>
          </w:p>
        </w:tc>
      </w:tr>
      <w:tr w14:paraId="6257FB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7" w:type="pct"/>
            <w:tcBorders>
              <w:tl2br w:val="nil"/>
              <w:tr2bl w:val="nil"/>
            </w:tcBorders>
            <w:noWrap w:val="0"/>
            <w:tcMar>
              <w:top w:w="0" w:type="dxa"/>
              <w:left w:w="0" w:type="dxa"/>
              <w:bottom w:w="0" w:type="dxa"/>
              <w:right w:w="0" w:type="dxa"/>
            </w:tcMar>
            <w:vAlign w:val="center"/>
          </w:tcPr>
          <w:p w14:paraId="4A84F5A2">
            <w:pPr>
              <w:pStyle w:val="24"/>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土壤</w:t>
            </w:r>
          </w:p>
        </w:tc>
        <w:tc>
          <w:tcPr>
            <w:tcW w:w="3660" w:type="pct"/>
            <w:gridSpan w:val="7"/>
            <w:tcBorders>
              <w:tl2br w:val="nil"/>
              <w:tr2bl w:val="nil"/>
            </w:tcBorders>
            <w:noWrap w:val="0"/>
            <w:tcMar>
              <w:top w:w="0" w:type="dxa"/>
              <w:left w:w="0" w:type="dxa"/>
              <w:bottom w:w="0" w:type="dxa"/>
              <w:right w:w="0" w:type="dxa"/>
            </w:tcMar>
            <w:vAlign w:val="center"/>
          </w:tcPr>
          <w:p w14:paraId="2424F350">
            <w:pPr>
              <w:pStyle w:val="24"/>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用地红线厂界外200m范围</w:t>
            </w:r>
            <w:r>
              <w:rPr>
                <w:rFonts w:hint="eastAsia"/>
                <w:color w:val="auto"/>
                <w:lang w:val="en-US" w:eastAsia="zh-CN"/>
              </w:rPr>
              <w:t>内耕地</w:t>
            </w:r>
          </w:p>
        </w:tc>
        <w:tc>
          <w:tcPr>
            <w:tcW w:w="972" w:type="pct"/>
            <w:tcBorders>
              <w:tl2br w:val="nil"/>
              <w:tr2bl w:val="nil"/>
            </w:tcBorders>
            <w:noWrap w:val="0"/>
            <w:tcMar>
              <w:top w:w="0" w:type="dxa"/>
              <w:left w:w="0" w:type="dxa"/>
              <w:bottom w:w="0" w:type="dxa"/>
              <w:right w:w="0" w:type="dxa"/>
            </w:tcMar>
            <w:vAlign w:val="center"/>
          </w:tcPr>
          <w:p w14:paraId="64067E51">
            <w:pPr>
              <w:pStyle w:val="24"/>
              <w:pageBreakBefore w:val="0"/>
              <w:wordWrap/>
              <w:bidi w:val="0"/>
              <w:adjustRightInd/>
              <w:snapToGrid/>
              <w:spacing w:after="0" w:line="240" w:lineRule="auto"/>
              <w:ind w:left="0" w:leftChars="0" w:firstLine="0" w:firstLineChars="0"/>
              <w:jc w:val="center"/>
              <w:rPr>
                <w:rFonts w:hint="eastAsia"/>
                <w:color w:val="auto"/>
                <w:sz w:val="21"/>
                <w:szCs w:val="21"/>
              </w:rPr>
            </w:pPr>
            <w:r>
              <w:rPr>
                <w:rFonts w:hint="eastAsia"/>
                <w:color w:val="auto"/>
                <w:sz w:val="21"/>
                <w:szCs w:val="21"/>
              </w:rPr>
              <w:t>土壤（GB36600-2018）、</w:t>
            </w:r>
          </w:p>
          <w:p w14:paraId="54C35D6F">
            <w:pPr>
              <w:pStyle w:val="24"/>
              <w:pageBreakBefore w:val="0"/>
              <w:wordWrap/>
              <w:bidi w:val="0"/>
              <w:adjustRightInd/>
              <w:snapToGrid/>
              <w:spacing w:after="0" w:line="240" w:lineRule="auto"/>
              <w:ind w:left="0" w:leftChars="0" w:firstLine="0" w:firstLineChars="0"/>
              <w:jc w:val="center"/>
              <w:rPr>
                <w:color w:val="auto"/>
                <w:sz w:val="21"/>
                <w:szCs w:val="21"/>
              </w:rPr>
            </w:pPr>
            <w:r>
              <w:rPr>
                <w:rFonts w:hint="eastAsia"/>
                <w:color w:val="auto"/>
                <w:sz w:val="21"/>
                <w:szCs w:val="21"/>
              </w:rPr>
              <w:t>（DB51</w:t>
            </w:r>
            <w:r>
              <w:rPr>
                <w:rFonts w:hint="eastAsia"/>
                <w:color w:val="auto"/>
                <w:sz w:val="21"/>
                <w:szCs w:val="21"/>
                <w:lang w:val="en-US" w:eastAsia="zh-CN"/>
              </w:rPr>
              <w:t>/</w:t>
            </w:r>
            <w:r>
              <w:rPr>
                <w:rFonts w:hint="eastAsia"/>
                <w:color w:val="auto"/>
                <w:sz w:val="21"/>
                <w:szCs w:val="21"/>
              </w:rPr>
              <w:t>2978-2023）或（GB15618-2018）</w:t>
            </w:r>
          </w:p>
        </w:tc>
      </w:tr>
    </w:tbl>
    <w:p w14:paraId="1767AC8E">
      <w:pPr>
        <w:pStyle w:val="5"/>
        <w:keepNext/>
        <w:keepLines/>
        <w:pageBreakBefore w:val="0"/>
        <w:widowControl w:val="0"/>
        <w:kinsoku/>
        <w:wordWrap/>
        <w:overflowPunct/>
        <w:topLinePunct w:val="0"/>
        <w:autoSpaceDE/>
        <w:autoSpaceDN/>
        <w:bidi w:val="0"/>
        <w:adjustRightInd/>
        <w:snapToGrid/>
        <w:spacing w:before="0" w:beforeLines="50"/>
        <w:textAlignment w:val="auto"/>
        <w:rPr>
          <w:color w:val="auto"/>
        </w:rPr>
      </w:pPr>
      <w:bookmarkStart w:id="60" w:name="_Toc24995"/>
      <w:r>
        <w:rPr>
          <w:rFonts w:hint="eastAsia"/>
          <w:color w:val="auto"/>
          <w:lang w:val="en-US" w:eastAsia="zh-CN"/>
        </w:rPr>
        <w:t xml:space="preserve"> </w:t>
      </w:r>
      <w:r>
        <w:rPr>
          <w:color w:val="auto"/>
        </w:rPr>
        <w:t>项目选址符合性分析</w:t>
      </w:r>
    </w:p>
    <w:p w14:paraId="6370AE7E">
      <w:pPr>
        <w:pageBreakBefore w:val="0"/>
        <w:wordWrap/>
        <w:bidi w:val="0"/>
        <w:adjustRightInd/>
        <w:snapToGrid/>
        <w:ind w:firstLine="480"/>
        <w:rPr>
          <w:rFonts w:hint="eastAsia"/>
          <w:color w:val="auto"/>
        </w:rPr>
      </w:pPr>
      <w:r>
        <w:rPr>
          <w:rFonts w:hint="eastAsia"/>
          <w:color w:val="auto"/>
        </w:rPr>
        <w:t>本项目污水处理厂位于巴中市</w:t>
      </w:r>
      <w:r>
        <w:rPr>
          <w:rFonts w:hint="eastAsia"/>
          <w:color w:val="auto"/>
          <w:lang w:val="en-US" w:eastAsia="zh-CN"/>
        </w:rPr>
        <w:t>巴州区</w:t>
      </w:r>
      <w:r>
        <w:rPr>
          <w:rFonts w:hint="eastAsia"/>
          <w:color w:val="auto"/>
        </w:rPr>
        <w:t>，厂址合理性分析如下：</w:t>
      </w:r>
    </w:p>
    <w:p w14:paraId="00945FAB">
      <w:pPr>
        <w:pageBreakBefore w:val="0"/>
        <w:wordWrap/>
        <w:bidi w:val="0"/>
        <w:adjustRightInd/>
        <w:snapToGrid/>
        <w:ind w:firstLine="480"/>
        <w:rPr>
          <w:rFonts w:hint="eastAsia"/>
          <w:b/>
          <w:bCs/>
          <w:color w:val="auto"/>
        </w:rPr>
      </w:pPr>
      <w:r>
        <w:rPr>
          <w:rFonts w:hint="eastAsia"/>
          <w:b/>
          <w:bCs/>
          <w:color w:val="auto"/>
        </w:rPr>
        <w:t>（1）用地条件</w:t>
      </w:r>
    </w:p>
    <w:p w14:paraId="18243176">
      <w:pPr>
        <w:pageBreakBefore w:val="0"/>
        <w:wordWrap/>
        <w:bidi w:val="0"/>
        <w:adjustRightInd/>
        <w:snapToGrid/>
        <w:ind w:firstLine="480"/>
        <w:rPr>
          <w:rFonts w:hint="eastAsia"/>
          <w:color w:val="auto"/>
        </w:rPr>
      </w:pPr>
      <w:r>
        <w:rPr>
          <w:rFonts w:hint="eastAsia"/>
          <w:color w:val="auto"/>
        </w:rPr>
        <w:t>项目为新建项目，</w:t>
      </w:r>
      <w:r>
        <w:rPr>
          <w:rFonts w:hint="eastAsia"/>
          <w:color w:val="auto"/>
          <w:lang w:val="en-US" w:eastAsia="zh-CN"/>
        </w:rPr>
        <w:t>根据巴中市自然资源和规划局出具的《建设用地规划许可证》（地字第511902202400010号），项目用地为环境设施用地。</w:t>
      </w:r>
      <w:r>
        <w:rPr>
          <w:rFonts w:hint="eastAsia"/>
          <w:color w:val="auto"/>
        </w:rPr>
        <w:t>用地条件相对较好，满足</w:t>
      </w:r>
      <w:r>
        <w:rPr>
          <w:rFonts w:hint="eastAsia"/>
          <w:color w:val="auto"/>
          <w:lang w:eastAsia="zh-CN"/>
        </w:rPr>
        <w:t>污水处理厂</w:t>
      </w:r>
      <w:r>
        <w:rPr>
          <w:rFonts w:hint="eastAsia"/>
          <w:color w:val="auto"/>
        </w:rPr>
        <w:t>近期建设用地及远期扩建用地要求。</w:t>
      </w:r>
    </w:p>
    <w:p w14:paraId="29083F6D">
      <w:pPr>
        <w:bidi w:val="0"/>
        <w:rPr>
          <w:rFonts w:hint="default" w:eastAsia="宋体"/>
          <w:color w:val="auto"/>
          <w:lang w:val="en-US" w:eastAsia="zh-CN"/>
        </w:rPr>
      </w:pPr>
      <w:r>
        <w:rPr>
          <w:rFonts w:hint="eastAsia"/>
          <w:color w:val="auto"/>
          <w:lang w:eastAsia="zh-CN"/>
        </w:rPr>
        <w:t>（</w:t>
      </w:r>
      <w:r>
        <w:rPr>
          <w:rFonts w:hint="eastAsia"/>
          <w:color w:val="auto"/>
          <w:lang w:val="en-US" w:eastAsia="zh-CN"/>
        </w:rPr>
        <w:t>2</w:t>
      </w:r>
      <w:r>
        <w:rPr>
          <w:rFonts w:hint="eastAsia"/>
          <w:color w:val="auto"/>
          <w:lang w:eastAsia="zh-CN"/>
        </w:rPr>
        <w:t>）</w:t>
      </w:r>
      <w:r>
        <w:rPr>
          <w:rFonts w:hint="eastAsia"/>
          <w:color w:val="auto"/>
          <w:lang w:val="en-US" w:eastAsia="zh-CN"/>
        </w:rPr>
        <w:t>污水处理厂选址合理性分析</w:t>
      </w:r>
    </w:p>
    <w:p w14:paraId="061F16B0">
      <w:pPr>
        <w:bidi w:val="0"/>
        <w:rPr>
          <w:rFonts w:hint="eastAsia"/>
          <w:color w:val="auto"/>
        </w:rPr>
      </w:pPr>
    </w:p>
    <w:p w14:paraId="2DC2DD30">
      <w:pPr>
        <w:pageBreakBefore w:val="0"/>
        <w:wordWrap/>
        <w:bidi w:val="0"/>
        <w:adjustRightInd/>
        <w:snapToGrid/>
        <w:ind w:firstLine="480"/>
        <w:rPr>
          <w:rFonts w:hint="eastAsia"/>
          <w:b/>
          <w:bCs/>
          <w:color w:val="auto"/>
        </w:rPr>
      </w:pPr>
      <w:r>
        <w:rPr>
          <w:rFonts w:hint="eastAsia"/>
          <w:b/>
          <w:bCs/>
          <w:color w:val="auto"/>
        </w:rPr>
        <w:t>（</w:t>
      </w:r>
      <w:r>
        <w:rPr>
          <w:rFonts w:hint="eastAsia"/>
          <w:b/>
          <w:bCs/>
          <w:color w:val="auto"/>
          <w:lang w:val="en-US" w:eastAsia="zh-CN"/>
        </w:rPr>
        <w:t>3</w:t>
      </w:r>
      <w:r>
        <w:rPr>
          <w:rFonts w:hint="eastAsia"/>
          <w:b/>
          <w:bCs/>
          <w:color w:val="auto"/>
        </w:rPr>
        <w:t>）排污口设置合理性分析</w:t>
      </w:r>
    </w:p>
    <w:p w14:paraId="4B639E2D">
      <w:pPr>
        <w:pageBreakBefore w:val="0"/>
        <w:wordWrap/>
        <w:bidi w:val="0"/>
        <w:adjustRightInd/>
        <w:snapToGrid/>
        <w:ind w:firstLine="480"/>
        <w:rPr>
          <w:rFonts w:hint="eastAsia"/>
          <w:color w:val="auto"/>
        </w:rPr>
      </w:pPr>
      <w:r>
        <w:rPr>
          <w:rFonts w:hint="default" w:ascii="Times New Roman" w:hAnsi="Times New Roman" w:cs="Times New Roman"/>
          <w:color w:val="auto"/>
        </w:rPr>
        <w:t>根据《巴中市</w:t>
      </w:r>
      <w:r>
        <w:rPr>
          <w:rFonts w:hint="default" w:ascii="Times New Roman" w:hAnsi="Times New Roman" w:cs="Times New Roman"/>
          <w:color w:val="auto"/>
          <w:lang w:val="en-US" w:eastAsia="zh-CN"/>
        </w:rPr>
        <w:t>巴州区曾口片区污水处理厂</w:t>
      </w:r>
      <w:r>
        <w:rPr>
          <w:rFonts w:hint="default" w:ascii="Times New Roman" w:hAnsi="Times New Roman" w:cs="Times New Roman"/>
          <w:color w:val="auto"/>
        </w:rPr>
        <w:t>入河排污口设置论证报告书》内容，排污口位于</w:t>
      </w:r>
      <w:r>
        <w:rPr>
          <w:rFonts w:hint="default" w:ascii="Times New Roman" w:hAnsi="Times New Roman" w:cs="Times New Roman"/>
          <w:color w:val="auto"/>
          <w:lang w:val="en-US" w:eastAsia="zh-CN"/>
        </w:rPr>
        <w:t>巴河</w:t>
      </w:r>
      <w:r>
        <w:rPr>
          <w:rFonts w:hint="default" w:ascii="Times New Roman" w:hAnsi="Times New Roman" w:cs="Times New Roman"/>
          <w:color w:val="auto"/>
        </w:rPr>
        <w:t>左岸，排污口坐标：106°33′39″E，31°42′4″N。</w:t>
      </w:r>
      <w:r>
        <w:rPr>
          <w:rFonts w:hint="eastAsia"/>
          <w:color w:val="auto"/>
        </w:rPr>
        <w:t>在项目论证范围内，巴中市</w:t>
      </w:r>
      <w:r>
        <w:rPr>
          <w:rFonts w:hint="eastAsia"/>
          <w:color w:val="auto"/>
          <w:lang w:val="en-US" w:eastAsia="zh-CN"/>
        </w:rPr>
        <w:t>巴州区曾口片区污水处理厂</w:t>
      </w:r>
      <w:r>
        <w:rPr>
          <w:rFonts w:hint="eastAsia"/>
          <w:color w:val="auto"/>
        </w:rPr>
        <w:t>符合国家产业政策及地方国家经济与城镇发展规划，符合水域管理要求，入河排污口设置对第三者的影响甚微。</w:t>
      </w:r>
    </w:p>
    <w:p w14:paraId="33BFE432">
      <w:pPr>
        <w:bidi w:val="0"/>
        <w:rPr>
          <w:rFonts w:hint="eastAsia"/>
          <w:color w:val="auto"/>
        </w:rPr>
      </w:pPr>
    </w:p>
    <w:p w14:paraId="648D8E89">
      <w:pPr>
        <w:bidi w:val="0"/>
        <w:rPr>
          <w:rFonts w:hint="eastAsia"/>
          <w:color w:val="auto"/>
        </w:rPr>
      </w:pPr>
    </w:p>
    <w:p w14:paraId="4660A157">
      <w:pPr>
        <w:bidi w:val="0"/>
        <w:rPr>
          <w:rFonts w:hint="eastAsia"/>
          <w:color w:val="auto"/>
        </w:rPr>
      </w:pPr>
    </w:p>
    <w:p w14:paraId="612F575F">
      <w:pPr>
        <w:bidi w:val="0"/>
        <w:rPr>
          <w:rFonts w:hint="eastAsia"/>
          <w:color w:val="auto"/>
        </w:rPr>
      </w:pPr>
    </w:p>
    <w:p w14:paraId="3077D5F6">
      <w:pPr>
        <w:pageBreakBefore w:val="0"/>
        <w:wordWrap/>
        <w:bidi w:val="0"/>
        <w:adjustRightInd/>
        <w:snapToGrid/>
        <w:ind w:firstLine="480"/>
        <w:rPr>
          <w:rFonts w:hint="eastAsia"/>
          <w:b/>
          <w:bCs/>
          <w:color w:val="auto"/>
        </w:rPr>
      </w:pPr>
      <w:r>
        <w:rPr>
          <w:rFonts w:hint="eastAsia"/>
          <w:b/>
          <w:bCs/>
          <w:color w:val="auto"/>
        </w:rPr>
        <w:t>（2）从对周边环境的影响</w:t>
      </w:r>
    </w:p>
    <w:p w14:paraId="4228FFE8">
      <w:pPr>
        <w:pageBreakBefore w:val="0"/>
        <w:wordWrap/>
        <w:bidi w:val="0"/>
        <w:adjustRightInd/>
        <w:snapToGrid/>
        <w:ind w:firstLine="480"/>
        <w:rPr>
          <w:rFonts w:hint="eastAsia"/>
          <w:color w:val="auto"/>
        </w:rPr>
      </w:pPr>
      <w:r>
        <w:rPr>
          <w:rFonts w:hint="eastAsia"/>
          <w:color w:val="auto"/>
        </w:rPr>
        <w:t>项目</w:t>
      </w:r>
      <w:r>
        <w:rPr>
          <w:rFonts w:hint="eastAsia"/>
          <w:color w:val="auto"/>
          <w:lang w:eastAsia="zh-CN"/>
        </w:rPr>
        <w:t>污水处理厂</w:t>
      </w:r>
      <w:r>
        <w:rPr>
          <w:rFonts w:hint="eastAsia"/>
          <w:color w:val="auto"/>
        </w:rPr>
        <w:t>厂址周边均为工业用地，</w:t>
      </w:r>
      <w:r>
        <w:rPr>
          <w:rFonts w:hint="eastAsia"/>
          <w:color w:val="auto"/>
          <w:lang w:val="en-US" w:eastAsia="zh-CN"/>
        </w:rPr>
        <w:t>存在部分散居居民，经分析，</w:t>
      </w:r>
      <w:r>
        <w:rPr>
          <w:rFonts w:hint="eastAsia"/>
          <w:color w:val="auto"/>
        </w:rPr>
        <w:t>项目场内恶臭经生物除臭滤池、绿化隔离及自然扩散后，</w:t>
      </w:r>
      <w:r>
        <w:rPr>
          <w:rFonts w:hint="eastAsia"/>
          <w:color w:val="auto"/>
          <w:lang w:val="en-US" w:eastAsia="zh-CN"/>
        </w:rPr>
        <w:t>能够实现达标排放，</w:t>
      </w:r>
      <w:r>
        <w:rPr>
          <w:rFonts w:hint="eastAsia"/>
          <w:color w:val="auto"/>
        </w:rPr>
        <w:t>对其影响较小。因此，</w:t>
      </w:r>
      <w:r>
        <w:rPr>
          <w:rFonts w:hint="eastAsia"/>
          <w:color w:val="auto"/>
          <w:lang w:val="en-US" w:eastAsia="zh-CN"/>
        </w:rPr>
        <w:t>污水处理厂</w:t>
      </w:r>
      <w:r>
        <w:rPr>
          <w:rFonts w:hint="eastAsia"/>
          <w:color w:val="auto"/>
        </w:rPr>
        <w:t>建成后对周边环境影响较小。</w:t>
      </w:r>
    </w:p>
    <w:p w14:paraId="377CA086">
      <w:pPr>
        <w:pageBreakBefore w:val="0"/>
        <w:wordWrap/>
        <w:bidi w:val="0"/>
        <w:adjustRightInd/>
        <w:snapToGrid/>
        <w:ind w:firstLine="480"/>
        <w:rPr>
          <w:rFonts w:hint="eastAsia"/>
          <w:b/>
          <w:bCs/>
          <w:color w:val="auto"/>
        </w:rPr>
      </w:pPr>
      <w:r>
        <w:rPr>
          <w:rFonts w:hint="eastAsia"/>
          <w:b/>
          <w:bCs/>
          <w:color w:val="auto"/>
        </w:rPr>
        <w:t>（3）厂区防洪及废水收集的可行性</w:t>
      </w:r>
    </w:p>
    <w:p w14:paraId="2B826857">
      <w:pPr>
        <w:pageBreakBefore w:val="0"/>
        <w:wordWrap/>
        <w:bidi w:val="0"/>
        <w:adjustRightInd/>
        <w:snapToGrid/>
        <w:ind w:firstLine="480"/>
        <w:rPr>
          <w:rFonts w:hint="eastAsia"/>
          <w:color w:val="auto"/>
        </w:rPr>
      </w:pPr>
      <w:r>
        <w:rPr>
          <w:rFonts w:hint="eastAsia"/>
          <w:color w:val="auto"/>
        </w:rPr>
        <w:t>污水处理厂区地面标高高于</w:t>
      </w:r>
      <w:r>
        <w:rPr>
          <w:rFonts w:hint="eastAsia"/>
          <w:color w:val="auto"/>
          <w:lang w:val="en-US" w:eastAsia="zh-CN"/>
        </w:rPr>
        <w:t>巴河</w:t>
      </w:r>
      <w:r>
        <w:rPr>
          <w:rFonts w:hint="eastAsia"/>
          <w:color w:val="auto"/>
        </w:rPr>
        <w:t>五十年一遇洪水位，满足50年一遇防洪要求。园区污水管道铺设高程高于</w:t>
      </w:r>
      <w:r>
        <w:rPr>
          <w:rFonts w:hint="eastAsia"/>
          <w:color w:val="auto"/>
          <w:lang w:eastAsia="zh-CN"/>
        </w:rPr>
        <w:t>污水处理厂</w:t>
      </w:r>
      <w:r>
        <w:rPr>
          <w:rFonts w:hint="eastAsia"/>
          <w:color w:val="auto"/>
        </w:rPr>
        <w:t>进水干管高程，能确保园区废水经管道重力自流进入污水处理厂，便于污水的收集，不需要设置提升泵站。</w:t>
      </w:r>
    </w:p>
    <w:p w14:paraId="5C17C4A6">
      <w:pPr>
        <w:pageBreakBefore w:val="0"/>
        <w:wordWrap/>
        <w:bidi w:val="0"/>
        <w:adjustRightInd/>
        <w:snapToGrid/>
        <w:ind w:firstLine="480"/>
        <w:rPr>
          <w:rFonts w:hint="eastAsia"/>
          <w:b/>
          <w:bCs/>
          <w:color w:val="auto"/>
        </w:rPr>
      </w:pPr>
      <w:r>
        <w:rPr>
          <w:rFonts w:hint="eastAsia"/>
          <w:b/>
          <w:bCs/>
          <w:color w:val="auto"/>
        </w:rPr>
        <w:t>（4）从厂址的地质灾害危险性方面</w:t>
      </w:r>
    </w:p>
    <w:p w14:paraId="5C996ABA">
      <w:pPr>
        <w:pageBreakBefore w:val="0"/>
        <w:wordWrap/>
        <w:bidi w:val="0"/>
        <w:adjustRightInd/>
        <w:snapToGrid/>
        <w:ind w:firstLine="480"/>
        <w:rPr>
          <w:rFonts w:hint="eastAsia"/>
          <w:color w:val="auto"/>
        </w:rPr>
      </w:pPr>
      <w:r>
        <w:rPr>
          <w:rFonts w:hint="eastAsia"/>
          <w:color w:val="auto"/>
        </w:rPr>
        <w:t>用地条件较好，无需边坡治理。从地质条件来看，厂址建设条件更好。规划厂址面积较大，场地开阔，可以为远期提供预留用地。</w:t>
      </w:r>
    </w:p>
    <w:p w14:paraId="07B5B42A">
      <w:pPr>
        <w:pageBreakBefore w:val="0"/>
        <w:wordWrap/>
        <w:bidi w:val="0"/>
        <w:adjustRightInd/>
        <w:snapToGrid/>
        <w:ind w:firstLine="480"/>
        <w:rPr>
          <w:rFonts w:hint="eastAsia"/>
          <w:color w:val="auto"/>
        </w:rPr>
      </w:pPr>
      <w:r>
        <w:rPr>
          <w:rFonts w:hint="eastAsia"/>
          <w:color w:val="auto"/>
        </w:rPr>
        <w:t>综上所述，本项目与周边环境相容，选址合理。</w:t>
      </w:r>
    </w:p>
    <w:p w14:paraId="0F150161">
      <w:pPr>
        <w:pStyle w:val="4"/>
        <w:pageBreakBefore w:val="0"/>
        <w:wordWrap/>
        <w:bidi w:val="0"/>
        <w:adjustRightInd/>
        <w:snapToGrid/>
        <w:rPr>
          <w:rFonts w:hint="default" w:ascii="Times New Roman" w:hAnsi="Times New Roman" w:eastAsia="宋体"/>
          <w:color w:val="auto"/>
          <w:lang w:val="en-US"/>
        </w:rPr>
      </w:pPr>
      <w:bookmarkStart w:id="61" w:name="_Toc4107"/>
      <w:r>
        <w:rPr>
          <w:rFonts w:hint="eastAsia" w:ascii="Times New Roman" w:hAnsi="Times New Roman" w:eastAsia="宋体"/>
          <w:color w:val="auto"/>
        </w:rPr>
        <w:t xml:space="preserve"> </w:t>
      </w:r>
      <w:r>
        <w:rPr>
          <w:rFonts w:hint="eastAsia"/>
          <w:color w:val="auto"/>
          <w:lang w:val="en-US" w:eastAsia="zh-CN"/>
        </w:rPr>
        <w:t>园区概况</w:t>
      </w:r>
      <w:bookmarkEnd w:id="61"/>
    </w:p>
    <w:p w14:paraId="690279CF">
      <w:pPr>
        <w:pStyle w:val="5"/>
        <w:bidi w:val="0"/>
        <w:rPr>
          <w:rFonts w:hint="eastAsia" w:eastAsia="宋体"/>
          <w:color w:val="auto"/>
          <w:lang w:val="en-US" w:eastAsia="zh-CN"/>
        </w:rPr>
      </w:pPr>
      <w:r>
        <w:rPr>
          <w:rFonts w:hint="eastAsia"/>
          <w:color w:val="auto"/>
          <w:lang w:val="en-US" w:eastAsia="zh-CN"/>
        </w:rPr>
        <w:t xml:space="preserve"> 四川巴中经济开发区-曾口区块简介</w:t>
      </w:r>
    </w:p>
    <w:p w14:paraId="584C4A2B">
      <w:pPr>
        <w:bidi w:val="0"/>
        <w:rPr>
          <w:rFonts w:hint="eastAsia"/>
          <w:color w:val="auto"/>
        </w:rPr>
      </w:pPr>
      <w:r>
        <w:rPr>
          <w:rFonts w:hint="eastAsia"/>
          <w:color w:val="auto"/>
        </w:rPr>
        <w:t>四川巴中经济开发区位于巴中市巴州区，2003年经原四川省发展计划委员会批准成立。2018年经开区被纳入《中国开发区审核公告目录》（2018年版），核准面积为8.796平方公里，主导产业为机械、电子、服装。</w:t>
      </w:r>
    </w:p>
    <w:p w14:paraId="5EED47C9">
      <w:pPr>
        <w:pageBreakBefore w:val="0"/>
        <w:widowControl/>
        <w:wordWrap/>
        <w:bidi w:val="0"/>
        <w:adjustRightInd/>
        <w:snapToGrid/>
        <w:ind w:firstLine="480"/>
        <w:rPr>
          <w:color w:val="auto"/>
        </w:rPr>
      </w:pPr>
      <w:r>
        <w:rPr>
          <w:rFonts w:hint="eastAsia"/>
          <w:color w:val="auto"/>
        </w:rPr>
        <w:t>2022年，巴中市委市政府研究决定，分别在巴州区曾口镇（阳台河、巴河岸线</w:t>
      </w:r>
      <w:r>
        <w:rPr>
          <w:rFonts w:hint="eastAsia"/>
          <w:color w:val="auto"/>
          <w:lang w:eastAsia="zh-CN"/>
        </w:rPr>
        <w:t>1</w:t>
      </w:r>
      <w:r>
        <w:rPr>
          <w:rFonts w:hint="eastAsia"/>
          <w:color w:val="auto"/>
        </w:rPr>
        <w:t>.0km范围以外）城镇开发边界范围内设立曾口工业园、通江县诺江镇城镇开发边界范围内设立金堂工业园，作为天然气资源就地转化基地，重点发展天然气化工和新能源新材料，并纳入巴中经开区托管。2022年8月中共巴中市委常委会</w:t>
      </w:r>
      <w:r>
        <w:rPr>
          <w:rFonts w:hint="eastAsia"/>
          <w:color w:val="auto"/>
          <w:lang w:eastAsia="zh-CN"/>
        </w:rPr>
        <w:t>会</w:t>
      </w:r>
      <w:r>
        <w:rPr>
          <w:rFonts w:hint="eastAsia"/>
          <w:color w:val="auto"/>
        </w:rPr>
        <w:t>议纪要（五届第24次）原则同意</w:t>
      </w:r>
      <w:r>
        <w:rPr>
          <w:rFonts w:hint="eastAsia"/>
          <w:color w:val="auto"/>
          <w:lang w:val="en-US" w:eastAsia="zh-CN"/>
        </w:rPr>
        <w:t>以上决定</w:t>
      </w:r>
      <w:r>
        <w:rPr>
          <w:rFonts w:hint="eastAsia"/>
          <w:color w:val="auto"/>
        </w:rPr>
        <w:t>。</w:t>
      </w:r>
    </w:p>
    <w:p w14:paraId="15435694">
      <w:pPr>
        <w:pageBreakBefore w:val="0"/>
        <w:widowControl/>
        <w:wordWrap/>
        <w:bidi w:val="0"/>
        <w:adjustRightInd/>
        <w:snapToGrid/>
        <w:ind w:firstLine="480"/>
        <w:rPr>
          <w:rFonts w:hint="eastAsia"/>
          <w:color w:val="auto"/>
          <w:lang w:val="en-US" w:eastAsia="zh-CN"/>
        </w:rPr>
      </w:pPr>
      <w:r>
        <w:rPr>
          <w:rFonts w:hint="eastAsia"/>
          <w:color w:val="auto"/>
        </w:rPr>
        <w:t>2022年11月巴中经开区管委会组织编制了《四川巴中经济开发区规划修编》，规划</w:t>
      </w:r>
      <w:r>
        <w:rPr>
          <w:rFonts w:hint="eastAsia"/>
          <w:color w:val="auto"/>
          <w:lang w:val="en-US" w:eastAsia="zh-CN"/>
        </w:rPr>
        <w:t>园区</w:t>
      </w:r>
      <w:r>
        <w:rPr>
          <w:rFonts w:hint="eastAsia"/>
          <w:color w:val="auto"/>
        </w:rPr>
        <w:t>面积1677.3513h</w:t>
      </w:r>
      <w:r>
        <w:rPr>
          <w:rFonts w:hint="eastAsia"/>
          <w:color w:val="auto"/>
          <w:lang w:eastAsia="zh-CN"/>
        </w:rPr>
        <w:t>m²，包括位于巴州区的核心区、曾口区块和位于通江县的金堂区块，规划年限近期至2025年，远期至2035年。</w:t>
      </w:r>
      <w:r>
        <w:rPr>
          <w:rFonts w:hint="eastAsia"/>
          <w:color w:val="auto"/>
          <w:lang w:val="en-US" w:eastAsia="zh-CN"/>
        </w:rPr>
        <w:t>其中：</w:t>
      </w:r>
    </w:p>
    <w:p w14:paraId="4AFAAF10">
      <w:pPr>
        <w:pageBreakBefore w:val="0"/>
        <w:widowControl/>
        <w:wordWrap/>
        <w:bidi w:val="0"/>
        <w:adjustRightInd/>
        <w:snapToGrid/>
        <w:ind w:firstLine="480"/>
        <w:rPr>
          <w:rFonts w:hint="eastAsia"/>
          <w:color w:val="auto"/>
          <w:lang w:val="en-US" w:eastAsia="zh-CN"/>
        </w:rPr>
      </w:pPr>
      <w:r>
        <w:rPr>
          <w:rFonts w:hint="eastAsia"/>
          <w:color w:val="auto"/>
          <w:lang w:val="en-US" w:eastAsia="zh-CN"/>
        </w:rPr>
        <w:t>核心区位于时新街道和兴文街道，位于曾口区块西北侧5.04km；金堂区块位于通江县诺江镇，位于曾口区块东北侧32.28km。</w:t>
      </w:r>
    </w:p>
    <w:p w14:paraId="0386EC22">
      <w:pPr>
        <w:pageBreakBefore w:val="0"/>
        <w:widowControl/>
        <w:wordWrap/>
        <w:bidi w:val="0"/>
        <w:adjustRightInd/>
        <w:snapToGrid/>
        <w:ind w:firstLine="480"/>
        <w:rPr>
          <w:rFonts w:hint="default"/>
          <w:color w:val="auto"/>
          <w:lang w:val="en-US" w:eastAsia="zh-CN"/>
        </w:rPr>
      </w:pPr>
      <w:r>
        <w:rPr>
          <w:rFonts w:hint="eastAsia"/>
          <w:color w:val="auto"/>
        </w:rPr>
        <w:t>曾口区块</w:t>
      </w:r>
      <w:r>
        <w:rPr>
          <w:rFonts w:hint="eastAsia"/>
          <w:color w:val="auto"/>
          <w:lang w:val="en-US" w:eastAsia="zh-CN"/>
        </w:rPr>
        <w:t>位于巴中市曾口镇，曾口区块</w:t>
      </w:r>
      <w:r>
        <w:rPr>
          <w:rFonts w:hint="eastAsia"/>
          <w:color w:val="auto"/>
        </w:rPr>
        <w:t>规划面积约191.8105h</w:t>
      </w:r>
      <w:r>
        <w:rPr>
          <w:rFonts w:hint="eastAsia"/>
          <w:color w:val="auto"/>
          <w:lang w:eastAsia="zh-CN"/>
        </w:rPr>
        <w:t>m²</w:t>
      </w:r>
      <w:r>
        <w:rPr>
          <w:rFonts w:hint="eastAsia"/>
          <w:color w:val="auto"/>
          <w:vertAlign w:val="baseline"/>
          <w:lang w:val="en-US" w:eastAsia="zh-CN"/>
        </w:rPr>
        <w:t>，四至范围：东至寿星村团包梁，南至寿星村磨盘寨，西至寿星村双堰塘，北至寿星村周家湾，以天然气化工、新能源新材料为主导，</w:t>
      </w:r>
      <w:r>
        <w:rPr>
          <w:rFonts w:hint="eastAsia"/>
          <w:color w:val="auto"/>
          <w:lang w:val="en-US" w:eastAsia="zh-CN"/>
        </w:rPr>
        <w:t>曾口区块规划新建污水处理厂一座（规模2.2 万立方米/天），尾水达标排入巴河。</w:t>
      </w:r>
    </w:p>
    <w:p w14:paraId="5EB34038">
      <w:pPr>
        <w:pStyle w:val="5"/>
        <w:bidi w:val="0"/>
        <w:rPr>
          <w:rFonts w:hint="eastAsia"/>
          <w:color w:val="auto"/>
        </w:rPr>
      </w:pPr>
      <w:r>
        <w:rPr>
          <w:rFonts w:hint="eastAsia"/>
          <w:color w:val="auto"/>
          <w:lang w:val="en-US" w:eastAsia="zh-CN"/>
        </w:rPr>
        <w:t xml:space="preserve"> </w:t>
      </w:r>
      <w:r>
        <w:rPr>
          <w:color w:val="auto"/>
        </w:rPr>
        <w:t>园区规划环评审批情况及要求</w:t>
      </w:r>
    </w:p>
    <w:p w14:paraId="7C9414B4">
      <w:pPr>
        <w:bidi w:val="0"/>
        <w:rPr>
          <w:rFonts w:hint="default" w:eastAsia="宋体"/>
          <w:color w:val="auto"/>
          <w:lang w:val="en-US" w:eastAsia="zh-CN"/>
        </w:rPr>
      </w:pPr>
      <w:r>
        <w:rPr>
          <w:rFonts w:hint="eastAsia"/>
          <w:color w:val="auto"/>
          <w:lang w:val="en-US" w:eastAsia="zh-CN"/>
        </w:rPr>
        <w:t>根据《四川巴中经济开发区规划修编环境影响报告书》和四川省生态环境</w:t>
      </w:r>
      <w:bookmarkStart w:id="372" w:name="_GoBack"/>
      <w:bookmarkEnd w:id="372"/>
      <w:r>
        <w:rPr>
          <w:rFonts w:hint="eastAsia"/>
          <w:color w:val="auto"/>
          <w:lang w:val="en-US" w:eastAsia="zh-CN"/>
        </w:rPr>
        <w:t>厅关于印发《四川巴中经济开发区规划修编环境影响报告书》审查意见的函（川环建函〔2023〕29号），本污水处理厂服务的四川巴中经济开发区-曾口区块基本情况如下表：</w:t>
      </w:r>
    </w:p>
    <w:p w14:paraId="771D0018">
      <w:pPr>
        <w:pStyle w:val="19"/>
        <w:numPr>
          <w:ilvl w:val="0"/>
          <w:numId w:val="14"/>
        </w:numPr>
        <w:bidi w:val="0"/>
        <w:ind w:left="0" w:leftChars="0" w:firstLine="0" w:firstLineChars="0"/>
        <w:rPr>
          <w:color w:val="auto"/>
        </w:rPr>
      </w:pPr>
      <w:r>
        <w:rPr>
          <w:rFonts w:hint="eastAsia"/>
          <w:color w:val="auto"/>
          <w:lang w:val="en-US" w:eastAsia="zh-CN"/>
        </w:rPr>
        <w:t>四川巴中经济开发区-曾口区块介绍</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6"/>
        <w:gridCol w:w="3772"/>
        <w:gridCol w:w="3773"/>
      </w:tblGrid>
      <w:tr w14:paraId="58C2AE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tcBorders>
              <w:tl2br w:val="nil"/>
              <w:tr2bl w:val="nil"/>
            </w:tcBorders>
            <w:noWrap w:val="0"/>
            <w:tcMar>
              <w:top w:w="0" w:type="dxa"/>
              <w:left w:w="0" w:type="dxa"/>
              <w:bottom w:w="0" w:type="dxa"/>
              <w:right w:w="0" w:type="dxa"/>
            </w:tcMar>
            <w:vAlign w:val="center"/>
          </w:tcPr>
          <w:p w14:paraId="083410A6">
            <w:pPr>
              <w:pStyle w:val="24"/>
              <w:pageBreakBefore w:val="0"/>
              <w:wordWrap/>
              <w:bidi w:val="0"/>
              <w:adjustRightInd/>
              <w:snapToGrid/>
              <w:spacing w:after="0" w:line="240" w:lineRule="auto"/>
              <w:ind w:left="0" w:leftChars="0" w:firstLine="0" w:firstLineChars="0"/>
              <w:jc w:val="center"/>
              <w:rPr>
                <w:rFonts w:hint="eastAsia" w:eastAsia="宋体"/>
                <w:b/>
                <w:bCs/>
                <w:color w:val="auto"/>
                <w:sz w:val="21"/>
                <w:szCs w:val="21"/>
                <w:lang w:val="en-US" w:eastAsia="zh-CN"/>
              </w:rPr>
            </w:pPr>
            <w:r>
              <w:rPr>
                <w:rFonts w:hint="eastAsia"/>
                <w:b/>
                <w:bCs/>
                <w:color w:val="auto"/>
                <w:sz w:val="21"/>
                <w:szCs w:val="21"/>
                <w:lang w:val="en-US" w:eastAsia="zh-CN"/>
              </w:rPr>
              <w:t>项目</w:t>
            </w:r>
          </w:p>
        </w:tc>
        <w:tc>
          <w:tcPr>
            <w:tcW w:w="2218" w:type="pct"/>
            <w:tcBorders>
              <w:tl2br w:val="nil"/>
              <w:tr2bl w:val="nil"/>
            </w:tcBorders>
            <w:noWrap w:val="0"/>
            <w:tcMar>
              <w:top w:w="0" w:type="dxa"/>
              <w:left w:w="0" w:type="dxa"/>
              <w:bottom w:w="0" w:type="dxa"/>
              <w:right w:w="0" w:type="dxa"/>
            </w:tcMar>
            <w:vAlign w:val="center"/>
          </w:tcPr>
          <w:p w14:paraId="0F43C914">
            <w:pPr>
              <w:pStyle w:val="24"/>
              <w:pageBreakBefore w:val="0"/>
              <w:wordWrap/>
              <w:bidi w:val="0"/>
              <w:adjustRightInd/>
              <w:snapToGrid/>
              <w:spacing w:after="0" w:line="240" w:lineRule="auto"/>
              <w:ind w:left="0" w:leftChars="0" w:firstLine="0" w:firstLineChars="0"/>
              <w:jc w:val="center"/>
              <w:rPr>
                <w:rFonts w:hint="default" w:eastAsia="宋体"/>
                <w:b/>
                <w:bCs/>
                <w:color w:val="auto"/>
                <w:sz w:val="21"/>
                <w:szCs w:val="21"/>
                <w:lang w:val="en-US" w:eastAsia="zh-CN"/>
              </w:rPr>
            </w:pPr>
            <w:r>
              <w:rPr>
                <w:rFonts w:hint="eastAsia"/>
                <w:b/>
                <w:bCs/>
                <w:color w:val="auto"/>
                <w:sz w:val="21"/>
                <w:szCs w:val="21"/>
                <w:lang w:val="en-US" w:eastAsia="zh-CN"/>
              </w:rPr>
              <w:t>修编规划要求</w:t>
            </w:r>
          </w:p>
        </w:tc>
        <w:tc>
          <w:tcPr>
            <w:tcW w:w="2218" w:type="pct"/>
            <w:tcBorders>
              <w:tl2br w:val="nil"/>
              <w:tr2bl w:val="nil"/>
            </w:tcBorders>
            <w:noWrap w:val="0"/>
            <w:tcMar>
              <w:top w:w="0" w:type="dxa"/>
              <w:left w:w="0" w:type="dxa"/>
              <w:bottom w:w="0" w:type="dxa"/>
              <w:right w:w="0" w:type="dxa"/>
            </w:tcMar>
            <w:vAlign w:val="center"/>
          </w:tcPr>
          <w:p w14:paraId="3AC4D742">
            <w:pPr>
              <w:pStyle w:val="24"/>
              <w:pageBreakBefore w:val="0"/>
              <w:wordWrap/>
              <w:bidi w:val="0"/>
              <w:adjustRightInd/>
              <w:snapToGrid/>
              <w:spacing w:after="0" w:line="240" w:lineRule="auto"/>
              <w:ind w:left="0" w:leftChars="0" w:firstLine="0" w:firstLineChars="0"/>
              <w:jc w:val="center"/>
              <w:rPr>
                <w:rFonts w:hint="default"/>
                <w:b/>
                <w:bCs/>
                <w:color w:val="auto"/>
                <w:sz w:val="21"/>
                <w:szCs w:val="21"/>
                <w:lang w:val="en-US" w:eastAsia="zh-CN"/>
              </w:rPr>
            </w:pPr>
            <w:r>
              <w:rPr>
                <w:rFonts w:hint="eastAsia"/>
                <w:b/>
                <w:bCs/>
                <w:color w:val="auto"/>
                <w:sz w:val="21"/>
                <w:szCs w:val="21"/>
                <w:lang w:val="en-US" w:eastAsia="zh-CN"/>
              </w:rPr>
              <w:t>修编规划环评要求</w:t>
            </w:r>
          </w:p>
        </w:tc>
      </w:tr>
      <w:tr w14:paraId="5BD8C2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tcBorders>
              <w:tl2br w:val="nil"/>
              <w:tr2bl w:val="nil"/>
            </w:tcBorders>
            <w:noWrap w:val="0"/>
            <w:tcMar>
              <w:top w:w="0" w:type="dxa"/>
              <w:left w:w="0" w:type="dxa"/>
              <w:bottom w:w="0" w:type="dxa"/>
              <w:right w:w="0" w:type="dxa"/>
            </w:tcMar>
            <w:vAlign w:val="center"/>
          </w:tcPr>
          <w:p w14:paraId="4994E97F">
            <w:pPr>
              <w:pStyle w:val="16"/>
              <w:bidi w:val="0"/>
              <w:rPr>
                <w:color w:val="auto"/>
              </w:rPr>
            </w:pPr>
            <w:r>
              <w:rPr>
                <w:rFonts w:hint="eastAsia"/>
                <w:color w:val="auto"/>
              </w:rPr>
              <w:t>规划范围及面积</w:t>
            </w:r>
          </w:p>
        </w:tc>
        <w:tc>
          <w:tcPr>
            <w:tcW w:w="2218" w:type="pct"/>
            <w:tcBorders>
              <w:tl2br w:val="nil"/>
              <w:tr2bl w:val="nil"/>
            </w:tcBorders>
            <w:noWrap w:val="0"/>
            <w:tcMar>
              <w:top w:w="0" w:type="dxa"/>
              <w:left w:w="0" w:type="dxa"/>
              <w:bottom w:w="0" w:type="dxa"/>
              <w:right w:w="0" w:type="dxa"/>
            </w:tcMar>
            <w:vAlign w:val="center"/>
          </w:tcPr>
          <w:p w14:paraId="744427FC">
            <w:pPr>
              <w:pStyle w:val="16"/>
              <w:bidi w:val="0"/>
              <w:rPr>
                <w:color w:val="auto"/>
              </w:rPr>
            </w:pPr>
            <w:r>
              <w:rPr>
                <w:rFonts w:hint="eastAsia"/>
                <w:color w:val="auto"/>
              </w:rPr>
              <w:t>规划面积约191.8105h</w:t>
            </w:r>
            <w:r>
              <w:rPr>
                <w:rFonts w:hint="eastAsia"/>
                <w:color w:val="auto"/>
                <w:lang w:eastAsia="zh-CN"/>
              </w:rPr>
              <w:t>m²</w:t>
            </w:r>
            <w:r>
              <w:rPr>
                <w:rFonts w:hint="eastAsia"/>
                <w:color w:val="auto"/>
              </w:rPr>
              <w:t>，四至范围：东至寿星村团包梁，南至寿星村磨盘寨，西至寿星村双堰塘，北至寿星村周家湾。</w:t>
            </w:r>
          </w:p>
        </w:tc>
        <w:tc>
          <w:tcPr>
            <w:tcW w:w="2218" w:type="pct"/>
            <w:tcBorders>
              <w:tl2br w:val="nil"/>
              <w:tr2bl w:val="nil"/>
            </w:tcBorders>
            <w:noWrap w:val="0"/>
            <w:tcMar>
              <w:top w:w="0" w:type="dxa"/>
              <w:left w:w="0" w:type="dxa"/>
              <w:bottom w:w="0" w:type="dxa"/>
              <w:right w:w="0" w:type="dxa"/>
            </w:tcMar>
            <w:vAlign w:val="center"/>
          </w:tcPr>
          <w:p w14:paraId="2FFCC67C">
            <w:pPr>
              <w:pStyle w:val="16"/>
              <w:bidi w:val="0"/>
              <w:rPr>
                <w:rFonts w:hint="eastAsia"/>
                <w:color w:val="auto"/>
              </w:rPr>
            </w:pPr>
            <w:r>
              <w:rPr>
                <w:rFonts w:hint="eastAsia"/>
                <w:color w:val="auto"/>
              </w:rPr>
              <w:t>规划面积约191.8105h</w:t>
            </w:r>
            <w:r>
              <w:rPr>
                <w:rFonts w:hint="eastAsia"/>
                <w:color w:val="auto"/>
                <w:lang w:eastAsia="zh-CN"/>
              </w:rPr>
              <w:t>m²</w:t>
            </w:r>
            <w:r>
              <w:rPr>
                <w:rFonts w:hint="eastAsia"/>
                <w:color w:val="auto"/>
              </w:rPr>
              <w:t>，四至范围：东至寿星村团包梁，南至寿星村磨盘寨，西至寿星村双堰塘，北至寿星村周家湾。</w:t>
            </w:r>
          </w:p>
        </w:tc>
      </w:tr>
      <w:tr w14:paraId="10D4C6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tcBorders>
              <w:tl2br w:val="nil"/>
              <w:tr2bl w:val="nil"/>
            </w:tcBorders>
            <w:noWrap w:val="0"/>
            <w:tcMar>
              <w:top w:w="0" w:type="dxa"/>
              <w:left w:w="0" w:type="dxa"/>
              <w:bottom w:w="0" w:type="dxa"/>
              <w:right w:w="0" w:type="dxa"/>
            </w:tcMar>
            <w:vAlign w:val="center"/>
          </w:tcPr>
          <w:p w14:paraId="440257D6">
            <w:pPr>
              <w:pStyle w:val="24"/>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主导产业</w:t>
            </w:r>
          </w:p>
        </w:tc>
        <w:tc>
          <w:tcPr>
            <w:tcW w:w="2218" w:type="pct"/>
            <w:tcBorders>
              <w:tl2br w:val="nil"/>
              <w:tr2bl w:val="nil"/>
            </w:tcBorders>
            <w:noWrap w:val="0"/>
            <w:tcMar>
              <w:top w:w="0" w:type="dxa"/>
              <w:left w:w="0" w:type="dxa"/>
              <w:bottom w:w="0" w:type="dxa"/>
              <w:right w:w="0" w:type="dxa"/>
            </w:tcMar>
            <w:vAlign w:val="center"/>
          </w:tcPr>
          <w:p w14:paraId="655F46F0">
            <w:pPr>
              <w:pStyle w:val="24"/>
              <w:pageBreakBefore w:val="0"/>
              <w:wordWrap/>
              <w:bidi w:val="0"/>
              <w:adjustRightInd/>
              <w:snapToGrid/>
              <w:spacing w:after="0" w:line="240" w:lineRule="auto"/>
              <w:ind w:left="0" w:leftChars="0" w:firstLine="0" w:firstLineChars="0"/>
              <w:jc w:val="center"/>
              <w:rPr>
                <w:color w:val="auto"/>
                <w:sz w:val="21"/>
                <w:szCs w:val="21"/>
              </w:rPr>
            </w:pPr>
            <w:r>
              <w:rPr>
                <w:rFonts w:hint="eastAsia"/>
                <w:color w:val="auto"/>
                <w:sz w:val="21"/>
                <w:szCs w:val="21"/>
              </w:rPr>
              <w:t>天然气化工、新能源新材料</w:t>
            </w:r>
          </w:p>
        </w:tc>
        <w:tc>
          <w:tcPr>
            <w:tcW w:w="2218" w:type="pct"/>
            <w:tcBorders>
              <w:tl2br w:val="nil"/>
              <w:tr2bl w:val="nil"/>
            </w:tcBorders>
            <w:noWrap w:val="0"/>
            <w:tcMar>
              <w:top w:w="0" w:type="dxa"/>
              <w:left w:w="0" w:type="dxa"/>
              <w:bottom w:w="0" w:type="dxa"/>
              <w:right w:w="0" w:type="dxa"/>
            </w:tcMar>
            <w:vAlign w:val="center"/>
          </w:tcPr>
          <w:p w14:paraId="53BCF4D0">
            <w:pPr>
              <w:pStyle w:val="24"/>
              <w:pageBreakBefore w:val="0"/>
              <w:wordWrap/>
              <w:bidi w:val="0"/>
              <w:adjustRightInd/>
              <w:snapToGrid/>
              <w:spacing w:after="0" w:line="240" w:lineRule="auto"/>
              <w:ind w:left="0" w:leftChars="0" w:firstLine="0" w:firstLineChars="0"/>
              <w:jc w:val="center"/>
              <w:rPr>
                <w:rFonts w:hint="eastAsia"/>
                <w:color w:val="auto"/>
                <w:sz w:val="21"/>
                <w:szCs w:val="21"/>
              </w:rPr>
            </w:pPr>
            <w:r>
              <w:rPr>
                <w:rFonts w:hint="eastAsia"/>
                <w:color w:val="auto"/>
                <w:sz w:val="21"/>
                <w:szCs w:val="21"/>
              </w:rPr>
              <w:t>天然气化工、新能源新材料</w:t>
            </w:r>
          </w:p>
        </w:tc>
      </w:tr>
      <w:tr w14:paraId="32A0D9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tcBorders>
              <w:tl2br w:val="nil"/>
              <w:tr2bl w:val="nil"/>
            </w:tcBorders>
            <w:noWrap w:val="0"/>
            <w:tcMar>
              <w:top w:w="0" w:type="dxa"/>
              <w:left w:w="0" w:type="dxa"/>
              <w:bottom w:w="0" w:type="dxa"/>
              <w:right w:w="0" w:type="dxa"/>
            </w:tcMar>
            <w:vAlign w:val="center"/>
          </w:tcPr>
          <w:p w14:paraId="6E854F05">
            <w:pPr>
              <w:pStyle w:val="24"/>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规划目标</w:t>
            </w:r>
          </w:p>
        </w:tc>
        <w:tc>
          <w:tcPr>
            <w:tcW w:w="2218" w:type="pct"/>
            <w:tcBorders>
              <w:tl2br w:val="nil"/>
              <w:tr2bl w:val="nil"/>
            </w:tcBorders>
            <w:noWrap w:val="0"/>
            <w:tcMar>
              <w:top w:w="0" w:type="dxa"/>
              <w:left w:w="0" w:type="dxa"/>
              <w:bottom w:w="0" w:type="dxa"/>
              <w:right w:w="0" w:type="dxa"/>
            </w:tcMar>
            <w:vAlign w:val="center"/>
          </w:tcPr>
          <w:p w14:paraId="16A629F4">
            <w:pPr>
              <w:pStyle w:val="24"/>
              <w:pageBreakBefore w:val="0"/>
              <w:wordWrap/>
              <w:bidi w:val="0"/>
              <w:adjustRightInd/>
              <w:snapToGrid/>
              <w:spacing w:after="0" w:line="240" w:lineRule="auto"/>
              <w:ind w:left="0" w:leftChars="0" w:firstLine="0" w:firstLineChars="0"/>
              <w:jc w:val="center"/>
              <w:rPr>
                <w:rFonts w:hint="eastAsia"/>
                <w:color w:val="auto"/>
                <w:sz w:val="21"/>
                <w:szCs w:val="21"/>
                <w:lang w:eastAsia="zh-CN"/>
              </w:rPr>
            </w:pPr>
            <w:r>
              <w:rPr>
                <w:rFonts w:hint="eastAsia"/>
                <w:color w:val="auto"/>
                <w:sz w:val="21"/>
                <w:szCs w:val="21"/>
                <w:lang w:eastAsia="zh-CN"/>
              </w:rPr>
              <w:t>到2025年，产值达到60亿元；到2035年，产值达到250亿元。</w:t>
            </w:r>
          </w:p>
        </w:tc>
        <w:tc>
          <w:tcPr>
            <w:tcW w:w="2218" w:type="pct"/>
            <w:tcBorders>
              <w:tl2br w:val="nil"/>
              <w:tr2bl w:val="nil"/>
            </w:tcBorders>
            <w:noWrap w:val="0"/>
            <w:tcMar>
              <w:top w:w="0" w:type="dxa"/>
              <w:left w:w="0" w:type="dxa"/>
              <w:bottom w:w="0" w:type="dxa"/>
              <w:right w:w="0" w:type="dxa"/>
            </w:tcMar>
            <w:vAlign w:val="center"/>
          </w:tcPr>
          <w:p w14:paraId="1D1A6578">
            <w:pPr>
              <w:pStyle w:val="24"/>
              <w:pageBreakBefore w:val="0"/>
              <w:wordWrap/>
              <w:bidi w:val="0"/>
              <w:adjustRightInd/>
              <w:snapToGrid/>
              <w:spacing w:after="0" w:line="240" w:lineRule="auto"/>
              <w:ind w:left="0" w:leftChars="0" w:firstLine="0" w:firstLineChars="0"/>
              <w:jc w:val="center"/>
              <w:rPr>
                <w:rFonts w:hint="eastAsia"/>
                <w:color w:val="auto"/>
                <w:sz w:val="21"/>
                <w:szCs w:val="21"/>
                <w:lang w:eastAsia="zh-CN"/>
              </w:rPr>
            </w:pPr>
            <w:r>
              <w:rPr>
                <w:rFonts w:hint="eastAsia"/>
                <w:color w:val="auto"/>
                <w:sz w:val="21"/>
                <w:szCs w:val="21"/>
                <w:lang w:eastAsia="zh-CN"/>
              </w:rPr>
              <w:t>到2025年，产值达到60亿元；到2035年，产值达到250亿元。</w:t>
            </w:r>
          </w:p>
        </w:tc>
      </w:tr>
      <w:tr w14:paraId="483664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tcBorders>
              <w:tl2br w:val="nil"/>
              <w:tr2bl w:val="nil"/>
            </w:tcBorders>
            <w:noWrap w:val="0"/>
            <w:tcMar>
              <w:top w:w="0" w:type="dxa"/>
              <w:left w:w="0" w:type="dxa"/>
              <w:bottom w:w="0" w:type="dxa"/>
              <w:right w:w="0" w:type="dxa"/>
            </w:tcMar>
            <w:vAlign w:val="center"/>
          </w:tcPr>
          <w:p w14:paraId="1EF81520">
            <w:pPr>
              <w:pStyle w:val="24"/>
              <w:pageBreakBefore w:val="0"/>
              <w:wordWrap/>
              <w:bidi w:val="0"/>
              <w:adjustRightInd/>
              <w:snapToGrid/>
              <w:spacing w:after="0" w:line="240" w:lineRule="auto"/>
              <w:ind w:left="0" w:leftChars="0" w:firstLine="0" w:firstLineChars="0"/>
              <w:jc w:val="center"/>
              <w:rPr>
                <w:rFonts w:hint="eastAsia" w:eastAsia="宋体"/>
                <w:color w:val="auto"/>
                <w:sz w:val="21"/>
                <w:szCs w:val="21"/>
                <w:lang w:val="en-US" w:eastAsia="zh-CN"/>
              </w:rPr>
            </w:pPr>
            <w:r>
              <w:rPr>
                <w:rFonts w:hint="eastAsia"/>
                <w:color w:val="auto"/>
                <w:sz w:val="21"/>
                <w:szCs w:val="21"/>
                <w:lang w:val="en-US" w:eastAsia="zh-CN"/>
              </w:rPr>
              <w:t>功能定位</w:t>
            </w:r>
          </w:p>
        </w:tc>
        <w:tc>
          <w:tcPr>
            <w:tcW w:w="2218" w:type="pct"/>
            <w:tcBorders>
              <w:tl2br w:val="nil"/>
              <w:tr2bl w:val="nil"/>
            </w:tcBorders>
            <w:noWrap w:val="0"/>
            <w:tcMar>
              <w:top w:w="0" w:type="dxa"/>
              <w:left w:w="0" w:type="dxa"/>
              <w:bottom w:w="0" w:type="dxa"/>
              <w:right w:w="0" w:type="dxa"/>
            </w:tcMar>
            <w:vAlign w:val="center"/>
          </w:tcPr>
          <w:p w14:paraId="2597E3AC">
            <w:pPr>
              <w:pStyle w:val="24"/>
              <w:pageBreakBefore w:val="0"/>
              <w:wordWrap/>
              <w:bidi w:val="0"/>
              <w:adjustRightInd/>
              <w:snapToGrid/>
              <w:spacing w:after="0" w:line="240" w:lineRule="auto"/>
              <w:ind w:left="0" w:leftChars="0" w:firstLine="0" w:firstLineChars="0"/>
              <w:jc w:val="center"/>
              <w:rPr>
                <w:rFonts w:hint="eastAsia"/>
                <w:color w:val="auto"/>
                <w:sz w:val="21"/>
                <w:szCs w:val="21"/>
                <w:lang w:eastAsia="zh-CN"/>
              </w:rPr>
            </w:pPr>
            <w:r>
              <w:rPr>
                <w:rFonts w:hint="eastAsia"/>
                <w:color w:val="auto"/>
                <w:sz w:val="21"/>
                <w:szCs w:val="21"/>
                <w:lang w:eastAsia="zh-CN"/>
              </w:rPr>
              <w:t>巴中市城市拓展的核心区，重要的产业及化工基地，物流枢纽，完善城市功能的产业新城。</w:t>
            </w:r>
          </w:p>
        </w:tc>
        <w:tc>
          <w:tcPr>
            <w:tcW w:w="2218" w:type="pct"/>
            <w:tcBorders>
              <w:tl2br w:val="nil"/>
              <w:tr2bl w:val="nil"/>
            </w:tcBorders>
            <w:noWrap w:val="0"/>
            <w:tcMar>
              <w:top w:w="0" w:type="dxa"/>
              <w:left w:w="0" w:type="dxa"/>
              <w:bottom w:w="0" w:type="dxa"/>
              <w:right w:w="0" w:type="dxa"/>
            </w:tcMar>
            <w:vAlign w:val="center"/>
          </w:tcPr>
          <w:p w14:paraId="1B0E136E">
            <w:pPr>
              <w:pStyle w:val="24"/>
              <w:pageBreakBefore w:val="0"/>
              <w:wordWrap/>
              <w:bidi w:val="0"/>
              <w:adjustRightInd/>
              <w:snapToGrid/>
              <w:spacing w:after="0" w:line="240" w:lineRule="auto"/>
              <w:ind w:left="0" w:leftChars="0" w:firstLine="0" w:firstLineChars="0"/>
              <w:jc w:val="center"/>
              <w:rPr>
                <w:rFonts w:hint="eastAsia"/>
                <w:color w:val="auto"/>
                <w:sz w:val="21"/>
                <w:szCs w:val="21"/>
                <w:lang w:eastAsia="zh-CN"/>
              </w:rPr>
            </w:pPr>
            <w:r>
              <w:rPr>
                <w:rFonts w:hint="eastAsia"/>
                <w:color w:val="auto"/>
                <w:sz w:val="21"/>
                <w:szCs w:val="21"/>
                <w:lang w:eastAsia="zh-CN"/>
              </w:rPr>
              <w:t>巴中市城市拓展的核心区，重要的产业及化工基地，物流枢纽，完善城市功能的产业新城。</w:t>
            </w:r>
          </w:p>
        </w:tc>
      </w:tr>
      <w:tr w14:paraId="6767AF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tcBorders>
              <w:tl2br w:val="nil"/>
              <w:tr2bl w:val="nil"/>
            </w:tcBorders>
            <w:noWrap w:val="0"/>
            <w:tcMar>
              <w:top w:w="0" w:type="dxa"/>
              <w:left w:w="0" w:type="dxa"/>
              <w:bottom w:w="0" w:type="dxa"/>
              <w:right w:w="0" w:type="dxa"/>
            </w:tcMar>
            <w:vAlign w:val="center"/>
          </w:tcPr>
          <w:p w14:paraId="23728BA4">
            <w:pPr>
              <w:pStyle w:val="24"/>
              <w:pageBreakBefore w:val="0"/>
              <w:wordWrap/>
              <w:bidi w:val="0"/>
              <w:adjustRightInd/>
              <w:snapToGrid/>
              <w:spacing w:after="0" w:line="240" w:lineRule="auto"/>
              <w:ind w:left="0" w:leftChars="0" w:firstLine="0" w:firstLineChars="0"/>
              <w:jc w:val="center"/>
              <w:rPr>
                <w:rFonts w:hint="eastAsia" w:eastAsia="宋体"/>
                <w:color w:val="auto"/>
                <w:sz w:val="21"/>
                <w:szCs w:val="21"/>
                <w:lang w:val="en-US" w:eastAsia="zh-CN"/>
              </w:rPr>
            </w:pPr>
            <w:r>
              <w:rPr>
                <w:rFonts w:hint="eastAsia"/>
                <w:color w:val="auto"/>
                <w:sz w:val="21"/>
                <w:szCs w:val="21"/>
                <w:lang w:val="en-US" w:eastAsia="zh-CN"/>
              </w:rPr>
              <w:t>给水</w:t>
            </w:r>
          </w:p>
        </w:tc>
        <w:tc>
          <w:tcPr>
            <w:tcW w:w="2218" w:type="pct"/>
            <w:tcBorders>
              <w:tl2br w:val="nil"/>
              <w:tr2bl w:val="nil"/>
            </w:tcBorders>
            <w:noWrap w:val="0"/>
            <w:tcMar>
              <w:top w:w="0" w:type="dxa"/>
              <w:left w:w="0" w:type="dxa"/>
              <w:bottom w:w="0" w:type="dxa"/>
              <w:right w:w="0" w:type="dxa"/>
            </w:tcMar>
            <w:vAlign w:val="center"/>
          </w:tcPr>
          <w:p w14:paraId="4876BEEF">
            <w:pPr>
              <w:pStyle w:val="24"/>
              <w:pageBreakBefore w:val="0"/>
              <w:wordWrap/>
              <w:bidi w:val="0"/>
              <w:adjustRightInd/>
              <w:snapToGrid/>
              <w:spacing w:after="0" w:line="240" w:lineRule="auto"/>
              <w:ind w:left="0" w:leftChars="0" w:firstLine="0" w:firstLineChars="0"/>
              <w:jc w:val="center"/>
              <w:rPr>
                <w:color w:val="auto"/>
                <w:sz w:val="21"/>
                <w:szCs w:val="21"/>
              </w:rPr>
            </w:pPr>
            <w:r>
              <w:rPr>
                <w:rFonts w:hint="eastAsia"/>
                <w:color w:val="auto"/>
                <w:sz w:val="21"/>
                <w:szCs w:val="21"/>
              </w:rPr>
              <w:t>曾口区块规划在园区内西北部新建自来水厂一处，占地面积2.08公顷，供水规模为5.2万 t/d，水源引自巴河。</w:t>
            </w:r>
          </w:p>
        </w:tc>
        <w:tc>
          <w:tcPr>
            <w:tcW w:w="2218" w:type="pct"/>
            <w:tcBorders>
              <w:tl2br w:val="nil"/>
              <w:tr2bl w:val="nil"/>
            </w:tcBorders>
            <w:noWrap w:val="0"/>
            <w:tcMar>
              <w:top w:w="0" w:type="dxa"/>
              <w:left w:w="0" w:type="dxa"/>
              <w:bottom w:w="0" w:type="dxa"/>
              <w:right w:w="0" w:type="dxa"/>
            </w:tcMar>
            <w:vAlign w:val="center"/>
          </w:tcPr>
          <w:p w14:paraId="4C124C1E">
            <w:pPr>
              <w:pStyle w:val="24"/>
              <w:pageBreakBefore w:val="0"/>
              <w:wordWrap/>
              <w:bidi w:val="0"/>
              <w:adjustRightInd/>
              <w:snapToGrid/>
              <w:spacing w:after="0" w:line="240" w:lineRule="auto"/>
              <w:ind w:left="0" w:leftChars="0" w:firstLine="0" w:firstLineChars="0"/>
              <w:jc w:val="center"/>
              <w:rPr>
                <w:rFonts w:hint="eastAsia"/>
                <w:color w:val="auto"/>
                <w:sz w:val="21"/>
                <w:szCs w:val="21"/>
              </w:rPr>
            </w:pPr>
            <w:r>
              <w:rPr>
                <w:rFonts w:hint="eastAsia"/>
                <w:color w:val="auto"/>
                <w:sz w:val="21"/>
                <w:szCs w:val="21"/>
              </w:rPr>
              <w:t>曾口区块规划在园区内西北部新建自来水厂一处，占地面积2.08公顷，供水规模为5.2万 t/d，水源引自巴河。</w:t>
            </w:r>
          </w:p>
        </w:tc>
      </w:tr>
      <w:tr w14:paraId="5F5031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tcBorders>
              <w:tl2br w:val="nil"/>
              <w:tr2bl w:val="nil"/>
            </w:tcBorders>
            <w:noWrap w:val="0"/>
            <w:tcMar>
              <w:top w:w="0" w:type="dxa"/>
              <w:left w:w="0" w:type="dxa"/>
              <w:bottom w:w="0" w:type="dxa"/>
              <w:right w:w="0" w:type="dxa"/>
            </w:tcMar>
            <w:vAlign w:val="center"/>
          </w:tcPr>
          <w:p w14:paraId="65707111">
            <w:pPr>
              <w:pStyle w:val="24"/>
              <w:pageBreakBefore w:val="0"/>
              <w:wordWrap/>
              <w:bidi w:val="0"/>
              <w:adjustRightInd/>
              <w:snapToGrid/>
              <w:spacing w:after="0" w:line="240" w:lineRule="auto"/>
              <w:ind w:left="0" w:leftChars="0" w:firstLine="0" w:firstLineChars="0"/>
              <w:jc w:val="center"/>
              <w:rPr>
                <w:rFonts w:hint="eastAsia" w:eastAsia="宋体"/>
                <w:color w:val="auto"/>
                <w:sz w:val="21"/>
                <w:szCs w:val="21"/>
                <w:lang w:val="en-US" w:eastAsia="zh-CN"/>
              </w:rPr>
            </w:pPr>
            <w:r>
              <w:rPr>
                <w:rFonts w:hint="eastAsia"/>
                <w:color w:val="auto"/>
                <w:sz w:val="21"/>
                <w:szCs w:val="21"/>
                <w:lang w:val="en-US" w:eastAsia="zh-CN"/>
              </w:rPr>
              <w:t>排水</w:t>
            </w:r>
          </w:p>
        </w:tc>
        <w:tc>
          <w:tcPr>
            <w:tcW w:w="2218" w:type="pct"/>
            <w:tcBorders>
              <w:tl2br w:val="nil"/>
              <w:tr2bl w:val="nil"/>
            </w:tcBorders>
            <w:noWrap w:val="0"/>
            <w:tcMar>
              <w:top w:w="0" w:type="dxa"/>
              <w:left w:w="0" w:type="dxa"/>
              <w:bottom w:w="0" w:type="dxa"/>
              <w:right w:w="0" w:type="dxa"/>
            </w:tcMar>
            <w:vAlign w:val="center"/>
          </w:tcPr>
          <w:p w14:paraId="0A4A4846">
            <w:pPr>
              <w:pStyle w:val="24"/>
              <w:pageBreakBefore w:val="0"/>
              <w:wordWrap/>
              <w:bidi w:val="0"/>
              <w:adjustRightInd/>
              <w:snapToGrid/>
              <w:spacing w:after="0" w:line="240" w:lineRule="auto"/>
              <w:ind w:left="0" w:leftChars="0" w:firstLine="0" w:firstLineChars="0"/>
              <w:jc w:val="center"/>
              <w:rPr>
                <w:color w:val="auto"/>
                <w:sz w:val="21"/>
                <w:szCs w:val="21"/>
              </w:rPr>
            </w:pPr>
            <w:r>
              <w:rPr>
                <w:rFonts w:hint="eastAsia"/>
                <w:color w:val="auto"/>
                <w:sz w:val="21"/>
                <w:szCs w:val="21"/>
              </w:rPr>
              <w:t>规划新建污水处理位于 S409 与经二街交口处，处理规模2.2万吨/天，排入巴河。规划污水处理厂出水标准不得低于一级标准的标准。中水回用20%。</w:t>
            </w:r>
          </w:p>
        </w:tc>
        <w:tc>
          <w:tcPr>
            <w:tcW w:w="2218" w:type="pct"/>
            <w:tcBorders>
              <w:tl2br w:val="nil"/>
              <w:tr2bl w:val="nil"/>
            </w:tcBorders>
            <w:noWrap w:val="0"/>
            <w:tcMar>
              <w:top w:w="0" w:type="dxa"/>
              <w:left w:w="0" w:type="dxa"/>
              <w:bottom w:w="0" w:type="dxa"/>
              <w:right w:w="0" w:type="dxa"/>
            </w:tcMar>
            <w:vAlign w:val="center"/>
          </w:tcPr>
          <w:p w14:paraId="422F75E3">
            <w:pPr>
              <w:pStyle w:val="24"/>
              <w:pageBreakBefore w:val="0"/>
              <w:wordWrap/>
              <w:bidi w:val="0"/>
              <w:adjustRightInd/>
              <w:snapToGrid/>
              <w:spacing w:after="0" w:line="240" w:lineRule="auto"/>
              <w:ind w:left="0" w:leftChars="0" w:firstLine="0" w:firstLineChars="0"/>
              <w:jc w:val="center"/>
              <w:rPr>
                <w:rFonts w:hint="eastAsia"/>
                <w:color w:val="auto"/>
                <w:sz w:val="21"/>
                <w:szCs w:val="21"/>
              </w:rPr>
            </w:pPr>
            <w:r>
              <w:rPr>
                <w:rFonts w:hint="eastAsia"/>
                <w:color w:val="auto"/>
                <w:sz w:val="21"/>
                <w:szCs w:val="21"/>
              </w:rPr>
              <w:t>规划新建污水处理位于 S409 与经二街交口处，处理规模</w:t>
            </w:r>
            <w:r>
              <w:rPr>
                <w:rFonts w:hint="eastAsia"/>
                <w:color w:val="auto"/>
                <w:sz w:val="21"/>
                <w:szCs w:val="21"/>
                <w:lang w:val="en-US" w:eastAsia="zh-CN"/>
              </w:rPr>
              <w:t>1.6</w:t>
            </w:r>
            <w:r>
              <w:rPr>
                <w:rFonts w:hint="eastAsia"/>
                <w:color w:val="auto"/>
                <w:sz w:val="21"/>
                <w:szCs w:val="21"/>
              </w:rPr>
              <w:t>万吨/天，排入巴河。规划污水处理厂出水标准不得低于一级标准的标准。中水回用20%。</w:t>
            </w:r>
          </w:p>
        </w:tc>
      </w:tr>
      <w:tr w14:paraId="361551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tcBorders>
              <w:tl2br w:val="nil"/>
              <w:tr2bl w:val="nil"/>
            </w:tcBorders>
            <w:noWrap w:val="0"/>
            <w:tcMar>
              <w:top w:w="0" w:type="dxa"/>
              <w:left w:w="0" w:type="dxa"/>
              <w:bottom w:w="0" w:type="dxa"/>
              <w:right w:w="0" w:type="dxa"/>
            </w:tcMar>
            <w:vAlign w:val="center"/>
          </w:tcPr>
          <w:p w14:paraId="36BAC216">
            <w:pPr>
              <w:pStyle w:val="24"/>
              <w:pageBreakBefore w:val="0"/>
              <w:wordWrap/>
              <w:bidi w:val="0"/>
              <w:adjustRightInd/>
              <w:snapToGrid/>
              <w:spacing w:after="0" w:line="240" w:lineRule="auto"/>
              <w:ind w:left="0" w:leftChars="0" w:firstLine="0" w:firstLineChars="0"/>
              <w:jc w:val="center"/>
              <w:rPr>
                <w:rFonts w:hint="default" w:eastAsia="宋体"/>
                <w:color w:val="auto"/>
                <w:sz w:val="21"/>
                <w:szCs w:val="21"/>
                <w:lang w:val="en-US" w:eastAsia="zh-CN"/>
              </w:rPr>
            </w:pPr>
            <w:r>
              <w:rPr>
                <w:rFonts w:hint="eastAsia"/>
                <w:color w:val="auto"/>
                <w:sz w:val="21"/>
                <w:szCs w:val="21"/>
                <w:lang w:val="en-US" w:eastAsia="zh-CN"/>
              </w:rPr>
              <w:t>供热规划</w:t>
            </w:r>
          </w:p>
        </w:tc>
        <w:tc>
          <w:tcPr>
            <w:tcW w:w="2218" w:type="pct"/>
            <w:tcBorders>
              <w:tl2br w:val="nil"/>
              <w:tr2bl w:val="nil"/>
            </w:tcBorders>
            <w:noWrap w:val="0"/>
            <w:tcMar>
              <w:top w:w="0" w:type="dxa"/>
              <w:left w:w="0" w:type="dxa"/>
              <w:bottom w:w="0" w:type="dxa"/>
              <w:right w:w="0" w:type="dxa"/>
            </w:tcMar>
            <w:vAlign w:val="center"/>
          </w:tcPr>
          <w:p w14:paraId="5E0F1070">
            <w:pPr>
              <w:pStyle w:val="24"/>
              <w:pageBreakBefore w:val="0"/>
              <w:wordWrap/>
              <w:bidi w:val="0"/>
              <w:adjustRightInd/>
              <w:snapToGrid/>
              <w:spacing w:after="0" w:line="240" w:lineRule="auto"/>
              <w:ind w:left="0" w:leftChars="0" w:firstLine="0" w:firstLineChars="0"/>
              <w:jc w:val="center"/>
              <w:rPr>
                <w:color w:val="auto"/>
                <w:sz w:val="21"/>
                <w:szCs w:val="21"/>
              </w:rPr>
            </w:pPr>
            <w:r>
              <w:rPr>
                <w:rFonts w:hint="eastAsia"/>
                <w:color w:val="auto"/>
                <w:sz w:val="21"/>
                <w:szCs w:val="21"/>
              </w:rPr>
              <w:t>按照150吨规模燃气锅炉配置设置集中供热中心占地面积1.4373公顷，根据入驻企业实际情况实施分期建设。供热工程管网结合公共管廊布置。</w:t>
            </w:r>
          </w:p>
        </w:tc>
        <w:tc>
          <w:tcPr>
            <w:tcW w:w="2218" w:type="pct"/>
            <w:tcBorders>
              <w:tl2br w:val="nil"/>
              <w:tr2bl w:val="nil"/>
            </w:tcBorders>
            <w:noWrap w:val="0"/>
            <w:tcMar>
              <w:top w:w="0" w:type="dxa"/>
              <w:left w:w="0" w:type="dxa"/>
              <w:bottom w:w="0" w:type="dxa"/>
              <w:right w:w="0" w:type="dxa"/>
            </w:tcMar>
            <w:vAlign w:val="center"/>
          </w:tcPr>
          <w:p w14:paraId="097D7BB3">
            <w:pPr>
              <w:pStyle w:val="24"/>
              <w:pageBreakBefore w:val="0"/>
              <w:wordWrap/>
              <w:bidi w:val="0"/>
              <w:adjustRightInd/>
              <w:snapToGrid/>
              <w:spacing w:after="0" w:line="240" w:lineRule="auto"/>
              <w:ind w:left="0" w:leftChars="0" w:firstLine="0" w:firstLineChars="0"/>
              <w:jc w:val="center"/>
              <w:rPr>
                <w:color w:val="auto"/>
                <w:sz w:val="21"/>
                <w:szCs w:val="21"/>
              </w:rPr>
            </w:pPr>
            <w:r>
              <w:rPr>
                <w:rFonts w:hint="eastAsia"/>
                <w:color w:val="auto"/>
                <w:sz w:val="21"/>
                <w:szCs w:val="21"/>
              </w:rPr>
              <w:t>按照150吨规模燃气锅炉配置设置集中供热中心占地面积1.4373公顷，根据入驻企业实际情况实施分期建设。供热工程管网结合公共管廊布置。</w:t>
            </w:r>
          </w:p>
        </w:tc>
      </w:tr>
    </w:tbl>
    <w:p w14:paraId="45525BF6">
      <w:pPr>
        <w:pStyle w:val="5"/>
        <w:bidi w:val="0"/>
        <w:rPr>
          <w:rFonts w:hint="default"/>
          <w:color w:val="auto"/>
          <w:lang w:val="en-US" w:eastAsia="zh-CN"/>
        </w:rPr>
      </w:pPr>
      <w:r>
        <w:rPr>
          <w:rFonts w:hint="eastAsia"/>
          <w:color w:val="auto"/>
          <w:lang w:val="en-US" w:eastAsia="zh-CN"/>
        </w:rPr>
        <w:t xml:space="preserve"> 现有企业排水情况</w:t>
      </w:r>
    </w:p>
    <w:p w14:paraId="73552162">
      <w:pPr>
        <w:pageBreakBefore w:val="0"/>
        <w:wordWrap/>
        <w:bidi w:val="0"/>
        <w:adjustRightInd/>
        <w:snapToGrid/>
        <w:ind w:firstLine="480"/>
        <w:rPr>
          <w:color w:val="auto"/>
        </w:rPr>
      </w:pPr>
      <w:r>
        <w:rPr>
          <w:rFonts w:hint="eastAsia"/>
          <w:color w:val="auto"/>
          <w:lang w:val="en-US" w:eastAsia="zh-CN"/>
        </w:rPr>
        <w:t>根据调查，四川巴中经济开发区-曾口区块目前无企业入驻，拟引入企业排水情况根据</w:t>
      </w:r>
      <w:r>
        <w:rPr>
          <w:rFonts w:hint="eastAsia"/>
          <w:color w:val="auto"/>
          <w:lang w:eastAsia="zh-CN"/>
        </w:rPr>
        <w:t>《</w:t>
      </w:r>
      <w:r>
        <w:rPr>
          <w:rFonts w:hint="eastAsia"/>
          <w:color w:val="auto"/>
          <w:lang w:val="en-US" w:eastAsia="zh-CN"/>
        </w:rPr>
        <w:t>四川巴中经济开发区规划修编环境影响报告书</w:t>
      </w:r>
      <w:r>
        <w:rPr>
          <w:rFonts w:hint="eastAsia"/>
          <w:color w:val="auto"/>
          <w:lang w:eastAsia="zh-CN"/>
        </w:rPr>
        <w:t>》</w:t>
      </w:r>
      <w:r>
        <w:rPr>
          <w:rFonts w:hint="eastAsia"/>
          <w:color w:val="auto"/>
          <w:lang w:val="en-US" w:eastAsia="zh-CN"/>
        </w:rPr>
        <w:t>和</w:t>
      </w:r>
      <w:r>
        <w:rPr>
          <w:color w:val="auto"/>
        </w:rPr>
        <w:t>项目</w:t>
      </w:r>
      <w:r>
        <w:rPr>
          <w:rFonts w:hint="eastAsia"/>
          <w:color w:val="auto"/>
          <w:lang w:val="en-US" w:eastAsia="zh-CN"/>
        </w:rPr>
        <w:t>初设进行预测</w:t>
      </w:r>
      <w:r>
        <w:rPr>
          <w:color w:val="auto"/>
        </w:rPr>
        <w:t>，本工程服务范围为</w:t>
      </w:r>
      <w:r>
        <w:rPr>
          <w:rFonts w:hint="eastAsia"/>
          <w:color w:val="auto"/>
          <w:lang w:val="en-US" w:eastAsia="zh-CN"/>
        </w:rPr>
        <w:t>四川巴中经济开发区-曾口区块</w:t>
      </w:r>
      <w:r>
        <w:rPr>
          <w:color w:val="auto"/>
        </w:rPr>
        <w:t>，</w:t>
      </w:r>
      <w:r>
        <w:rPr>
          <w:rFonts w:hint="eastAsia"/>
          <w:color w:val="auto"/>
          <w:lang w:val="en-US" w:eastAsia="zh-CN"/>
        </w:rPr>
        <w:t>规划区块未规划居住人口，</w:t>
      </w:r>
      <w:r>
        <w:rPr>
          <w:rFonts w:hint="eastAsia"/>
          <w:color w:val="auto"/>
        </w:rPr>
        <w:t>本工程主要解决巴中经开化工园区</w:t>
      </w:r>
      <w:r>
        <w:rPr>
          <w:rFonts w:hint="eastAsia"/>
          <w:color w:val="auto"/>
          <w:lang w:val="en-US" w:eastAsia="zh-CN"/>
        </w:rPr>
        <w:t>-</w:t>
      </w:r>
      <w:r>
        <w:rPr>
          <w:rFonts w:hint="eastAsia"/>
          <w:color w:val="auto"/>
        </w:rPr>
        <w:t>曾口片区的工业污水处理</w:t>
      </w:r>
      <w:r>
        <w:rPr>
          <w:color w:val="auto"/>
        </w:rPr>
        <w:t>。</w:t>
      </w:r>
    </w:p>
    <w:p w14:paraId="6EB92F56">
      <w:pPr>
        <w:pStyle w:val="10"/>
        <w:numPr>
          <w:ilvl w:val="3"/>
          <w:numId w:val="0"/>
        </w:numPr>
        <w:bidi w:val="0"/>
        <w:ind w:leftChars="200"/>
        <w:rPr>
          <w:color w:val="auto"/>
        </w:rPr>
      </w:pPr>
      <w:r>
        <w:rPr>
          <w:rFonts w:hint="eastAsia"/>
          <w:color w:val="auto"/>
          <w:lang w:val="en-US" w:eastAsia="zh-CN"/>
        </w:rPr>
        <w:t>1、</w:t>
      </w:r>
      <w:r>
        <w:rPr>
          <w:rFonts w:hint="eastAsia"/>
          <w:color w:val="auto"/>
        </w:rPr>
        <w:t>排水分区</w:t>
      </w:r>
      <w:r>
        <w:rPr>
          <w:color w:val="auto"/>
        </w:rPr>
        <w:t>内污水量预测</w:t>
      </w:r>
    </w:p>
    <w:p w14:paraId="617077B7">
      <w:pPr>
        <w:pageBreakBefore w:val="0"/>
        <w:wordWrap/>
        <w:bidi w:val="0"/>
        <w:adjustRightInd/>
        <w:snapToGrid/>
        <w:rPr>
          <w:rFonts w:hint="default"/>
          <w:color w:val="auto"/>
          <w:lang w:val="en-US" w:eastAsia="zh-CN"/>
        </w:rPr>
      </w:pPr>
      <w:r>
        <w:rPr>
          <w:rFonts w:hint="eastAsia"/>
          <w:color w:val="auto"/>
          <w:lang w:val="en-US" w:eastAsia="zh-CN"/>
        </w:rPr>
        <w:t>根据《四川巴中经济开发区规划修编环境影响报告书》和《巴中市巴州区曾口片区污水处理厂、环境监测站建设项目可行性研究报告》，曾口区块未规划居住人口，生活污水产生量为0m³/d，本污水处理厂主要考虑工业废水。</w:t>
      </w:r>
    </w:p>
    <w:p w14:paraId="7EBA2A4F">
      <w:pPr>
        <w:pageBreakBefore w:val="0"/>
        <w:wordWrap/>
        <w:bidi w:val="0"/>
        <w:adjustRightInd/>
        <w:snapToGrid/>
        <w:rPr>
          <w:rFonts w:hint="default" w:eastAsia="宋体"/>
          <w:color w:val="auto"/>
          <w:lang w:val="en-US" w:eastAsia="zh-CN"/>
        </w:rPr>
      </w:pPr>
      <w:r>
        <w:rPr>
          <w:rFonts w:hint="eastAsia"/>
          <w:color w:val="auto"/>
          <w:lang w:val="en-US" w:eastAsia="zh-CN"/>
        </w:rPr>
        <w:t>根据《巴中市巴州区曾口片区污水处理厂、环境监测站建设项目初步设计说明书》，废水产生量预测如下。</w:t>
      </w:r>
    </w:p>
    <w:p w14:paraId="753D9FCD">
      <w:pPr>
        <w:pageBreakBefore w:val="0"/>
        <w:wordWrap/>
        <w:bidi w:val="0"/>
        <w:adjustRightInd/>
        <w:snapToGrid/>
        <w:rPr>
          <w:rFonts w:hint="default" w:eastAsia="宋体"/>
          <w:color w:val="auto"/>
          <w:lang w:val="en-US" w:eastAsia="zh-CN"/>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lang w:val="en-US" w:eastAsia="zh-CN"/>
        </w:rPr>
        <w:t>给水量预测</w:t>
      </w:r>
    </w:p>
    <w:p w14:paraId="31E685C6">
      <w:pPr>
        <w:pageBreakBefore w:val="0"/>
        <w:wordWrap/>
        <w:bidi w:val="0"/>
        <w:adjustRightInd/>
        <w:snapToGrid/>
        <w:rPr>
          <w:rFonts w:hint="eastAsia"/>
          <w:color w:val="auto"/>
          <w:lang w:eastAsia="zh-CN"/>
        </w:rPr>
      </w:pPr>
      <w:r>
        <w:rPr>
          <w:rFonts w:hint="eastAsia"/>
          <w:color w:val="auto"/>
        </w:rPr>
        <w:t>参考</w:t>
      </w:r>
      <w:r>
        <w:rPr>
          <w:rFonts w:hint="eastAsia"/>
          <w:color w:val="auto"/>
          <w:lang w:eastAsia="zh-CN"/>
        </w:rPr>
        <w:t>《</w:t>
      </w:r>
      <w:r>
        <w:rPr>
          <w:rFonts w:hint="eastAsia"/>
          <w:color w:val="auto"/>
        </w:rPr>
        <w:t>城市给水工程规划规范</w:t>
      </w:r>
      <w:r>
        <w:rPr>
          <w:rFonts w:hint="eastAsia"/>
          <w:color w:val="auto"/>
          <w:lang w:eastAsia="zh-CN"/>
        </w:rPr>
        <w:t>》（</w:t>
      </w:r>
      <w:r>
        <w:rPr>
          <w:rFonts w:hint="eastAsia"/>
          <w:color w:val="auto"/>
        </w:rPr>
        <w:t>GB50282-2016</w:t>
      </w:r>
      <w:r>
        <w:rPr>
          <w:rFonts w:hint="eastAsia"/>
          <w:color w:val="auto"/>
          <w:lang w:eastAsia="zh-CN"/>
        </w:rPr>
        <w:t>），</w:t>
      </w:r>
      <w:r>
        <w:rPr>
          <w:rFonts w:hint="eastAsia"/>
          <w:color w:val="auto"/>
        </w:rPr>
        <w:t>单项建设用地用水指标最高值计算规划区用水量</w:t>
      </w:r>
      <w:r>
        <w:rPr>
          <w:rFonts w:hint="eastAsia"/>
          <w:color w:val="auto"/>
          <w:lang w:eastAsia="zh-CN"/>
        </w:rPr>
        <w:t>，</w:t>
      </w:r>
      <w:r>
        <w:rPr>
          <w:rFonts w:hint="eastAsia"/>
          <w:color w:val="auto"/>
        </w:rPr>
        <w:t>见下表</w:t>
      </w:r>
      <w:r>
        <w:rPr>
          <w:rFonts w:hint="eastAsia"/>
          <w:color w:val="auto"/>
          <w:lang w:eastAsia="zh-CN"/>
        </w:rPr>
        <w:t>。</w:t>
      </w:r>
    </w:p>
    <w:p w14:paraId="2BE60752">
      <w:pPr>
        <w:pStyle w:val="19"/>
        <w:numPr>
          <w:ilvl w:val="0"/>
          <w:numId w:val="14"/>
        </w:numPr>
        <w:bidi w:val="0"/>
        <w:ind w:left="0" w:leftChars="0" w:firstLine="0" w:firstLineChars="0"/>
        <w:rPr>
          <w:rFonts w:hint="default"/>
          <w:color w:val="auto"/>
          <w:lang w:val="en-US" w:eastAsia="zh-CN"/>
        </w:rPr>
      </w:pPr>
      <w:r>
        <w:rPr>
          <w:rFonts w:hint="eastAsia"/>
          <w:color w:val="auto"/>
          <w:lang w:val="en-US" w:eastAsia="zh-CN"/>
        </w:rPr>
        <w:t>规划区用水及排水量预测情况</w:t>
      </w:r>
    </w:p>
    <w:tbl>
      <w:tblPr>
        <w:tblStyle w:val="5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969"/>
        <w:gridCol w:w="2233"/>
        <w:gridCol w:w="1697"/>
        <w:gridCol w:w="1661"/>
        <w:gridCol w:w="998"/>
        <w:gridCol w:w="999"/>
      </w:tblGrid>
      <w:tr w14:paraId="7F8CCB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6" w:type="pct"/>
            <w:tcBorders>
              <w:tl2br w:val="nil"/>
              <w:tr2bl w:val="nil"/>
            </w:tcBorders>
            <w:noWrap w:val="0"/>
            <w:vAlign w:val="center"/>
          </w:tcPr>
          <w:p w14:paraId="1A61015A">
            <w:pPr>
              <w:pStyle w:val="16"/>
              <w:pageBreakBefore w:val="0"/>
              <w:wordWrap/>
              <w:bidi w:val="0"/>
              <w:adjustRightInd/>
              <w:snapToGrid/>
              <w:rPr>
                <w:rFonts w:hint="eastAsia"/>
                <w:b/>
                <w:bCs/>
                <w:color w:val="auto"/>
                <w:sz w:val="21"/>
                <w:szCs w:val="21"/>
                <w:lang w:val="en-US" w:eastAsia="zh-CN"/>
              </w:rPr>
            </w:pPr>
            <w:r>
              <w:rPr>
                <w:rFonts w:hint="eastAsia"/>
                <w:b/>
                <w:bCs/>
                <w:color w:val="auto"/>
                <w:sz w:val="21"/>
                <w:szCs w:val="21"/>
                <w:lang w:val="en-US" w:eastAsia="zh-CN"/>
              </w:rPr>
              <w:t>规划片区</w:t>
            </w:r>
          </w:p>
        </w:tc>
        <w:tc>
          <w:tcPr>
            <w:tcW w:w="1304" w:type="pct"/>
            <w:tcBorders>
              <w:tl2br w:val="nil"/>
              <w:tr2bl w:val="nil"/>
            </w:tcBorders>
            <w:noWrap w:val="0"/>
            <w:vAlign w:val="center"/>
          </w:tcPr>
          <w:p w14:paraId="4268FFAD">
            <w:pPr>
              <w:pStyle w:val="16"/>
              <w:pageBreakBefore w:val="0"/>
              <w:wordWrap/>
              <w:bidi w:val="0"/>
              <w:adjustRightInd/>
              <w:snapToGrid/>
              <w:rPr>
                <w:b/>
                <w:bCs/>
                <w:color w:val="auto"/>
                <w:sz w:val="21"/>
                <w:szCs w:val="21"/>
              </w:rPr>
            </w:pPr>
            <w:r>
              <w:rPr>
                <w:rFonts w:hint="eastAsia"/>
                <w:b/>
                <w:bCs/>
                <w:color w:val="auto"/>
                <w:sz w:val="21"/>
                <w:szCs w:val="21"/>
              </w:rPr>
              <w:t>用地类型</w:t>
            </w:r>
          </w:p>
        </w:tc>
        <w:tc>
          <w:tcPr>
            <w:tcW w:w="991" w:type="pct"/>
            <w:tcBorders>
              <w:tl2br w:val="nil"/>
              <w:tr2bl w:val="nil"/>
            </w:tcBorders>
            <w:noWrap w:val="0"/>
            <w:vAlign w:val="center"/>
          </w:tcPr>
          <w:p w14:paraId="32373DE0">
            <w:pPr>
              <w:pStyle w:val="16"/>
              <w:pageBreakBefore w:val="0"/>
              <w:wordWrap/>
              <w:bidi w:val="0"/>
              <w:adjustRightInd/>
              <w:snapToGrid/>
              <w:rPr>
                <w:rFonts w:hint="eastAsia" w:eastAsia="宋体"/>
                <w:b/>
                <w:bCs/>
                <w:color w:val="auto"/>
                <w:sz w:val="21"/>
                <w:szCs w:val="21"/>
                <w:lang w:eastAsia="zh-CN"/>
              </w:rPr>
            </w:pPr>
            <w:r>
              <w:rPr>
                <w:rFonts w:hint="eastAsia"/>
                <w:b/>
                <w:bCs/>
                <w:color w:val="auto"/>
                <w:sz w:val="21"/>
                <w:szCs w:val="21"/>
              </w:rPr>
              <w:t>用地面积</w:t>
            </w:r>
            <w:r>
              <w:rPr>
                <w:rFonts w:hint="eastAsia"/>
                <w:b/>
                <w:bCs/>
                <w:color w:val="auto"/>
                <w:sz w:val="21"/>
                <w:szCs w:val="21"/>
                <w:lang w:eastAsia="zh-CN"/>
              </w:rPr>
              <w:t>（</w:t>
            </w:r>
            <w:r>
              <w:rPr>
                <w:rFonts w:hint="eastAsia"/>
                <w:b/>
                <w:bCs/>
                <w:color w:val="auto"/>
                <w:sz w:val="21"/>
                <w:szCs w:val="21"/>
              </w:rPr>
              <w:t>hm</w:t>
            </w:r>
            <w:r>
              <w:rPr>
                <w:rFonts w:hint="eastAsia"/>
                <w:b/>
                <w:bCs/>
                <w:color w:val="auto"/>
                <w:sz w:val="21"/>
                <w:szCs w:val="21"/>
                <w:lang w:val="en-US" w:eastAsia="zh-CN"/>
              </w:rPr>
              <w:t>²</w:t>
            </w:r>
            <w:r>
              <w:rPr>
                <w:rFonts w:hint="eastAsia"/>
                <w:b/>
                <w:bCs/>
                <w:color w:val="auto"/>
                <w:sz w:val="21"/>
                <w:szCs w:val="21"/>
                <w:lang w:eastAsia="zh-CN"/>
              </w:rPr>
              <w:t>）</w:t>
            </w:r>
          </w:p>
        </w:tc>
        <w:tc>
          <w:tcPr>
            <w:tcW w:w="970" w:type="pct"/>
            <w:tcBorders>
              <w:tl2br w:val="nil"/>
              <w:tr2bl w:val="nil"/>
            </w:tcBorders>
            <w:noWrap w:val="0"/>
            <w:vAlign w:val="center"/>
          </w:tcPr>
          <w:p w14:paraId="60211100">
            <w:pPr>
              <w:pStyle w:val="16"/>
              <w:pageBreakBefore w:val="0"/>
              <w:wordWrap/>
              <w:bidi w:val="0"/>
              <w:adjustRightInd/>
              <w:snapToGrid/>
              <w:rPr>
                <w:rFonts w:hint="eastAsia"/>
                <w:b/>
                <w:bCs/>
                <w:color w:val="auto"/>
                <w:sz w:val="21"/>
                <w:szCs w:val="21"/>
              </w:rPr>
            </w:pPr>
            <w:r>
              <w:rPr>
                <w:rFonts w:hint="eastAsia"/>
                <w:b/>
                <w:bCs/>
                <w:color w:val="auto"/>
                <w:sz w:val="21"/>
                <w:szCs w:val="21"/>
              </w:rPr>
              <w:t>用水量指标</w:t>
            </w:r>
          </w:p>
          <w:p w14:paraId="5FCC8809">
            <w:pPr>
              <w:pStyle w:val="16"/>
              <w:pageBreakBefore w:val="0"/>
              <w:wordWrap/>
              <w:bidi w:val="0"/>
              <w:adjustRightInd/>
              <w:snapToGrid/>
              <w:rPr>
                <w:rFonts w:hint="eastAsia"/>
                <w:b/>
                <w:bCs/>
                <w:color w:val="auto"/>
                <w:sz w:val="21"/>
                <w:szCs w:val="21"/>
                <w:lang w:eastAsia="zh-CN"/>
              </w:rPr>
            </w:pPr>
            <w:r>
              <w:rPr>
                <w:rFonts w:hint="eastAsia"/>
                <w:b/>
                <w:bCs/>
                <w:color w:val="auto"/>
                <w:sz w:val="21"/>
                <w:szCs w:val="21"/>
                <w:lang w:eastAsia="zh-CN"/>
              </w:rPr>
              <w:t>（m³</w:t>
            </w:r>
            <w:r>
              <w:rPr>
                <w:rFonts w:hint="eastAsia"/>
                <w:b/>
                <w:bCs/>
                <w:color w:val="auto"/>
                <w:sz w:val="21"/>
                <w:szCs w:val="21"/>
              </w:rPr>
              <w:t>/hm.d</w:t>
            </w:r>
            <w:r>
              <w:rPr>
                <w:rFonts w:hint="eastAsia"/>
                <w:b/>
                <w:bCs/>
                <w:color w:val="auto"/>
                <w:sz w:val="21"/>
                <w:szCs w:val="21"/>
                <w:lang w:eastAsia="zh-CN"/>
              </w:rPr>
              <w:t>）</w:t>
            </w:r>
          </w:p>
        </w:tc>
        <w:tc>
          <w:tcPr>
            <w:tcW w:w="583" w:type="pct"/>
            <w:tcBorders>
              <w:tl2br w:val="nil"/>
              <w:tr2bl w:val="nil"/>
            </w:tcBorders>
            <w:noWrap w:val="0"/>
            <w:vAlign w:val="center"/>
          </w:tcPr>
          <w:p w14:paraId="240C8F2B">
            <w:pPr>
              <w:pStyle w:val="16"/>
              <w:pageBreakBefore w:val="0"/>
              <w:wordWrap/>
              <w:bidi w:val="0"/>
              <w:adjustRightInd/>
              <w:snapToGrid/>
              <w:rPr>
                <w:rFonts w:hint="eastAsia"/>
                <w:b/>
                <w:bCs/>
                <w:color w:val="auto"/>
                <w:sz w:val="21"/>
                <w:szCs w:val="21"/>
              </w:rPr>
            </w:pPr>
            <w:r>
              <w:rPr>
                <w:rFonts w:hint="eastAsia"/>
                <w:b/>
                <w:bCs/>
                <w:color w:val="auto"/>
                <w:sz w:val="21"/>
                <w:szCs w:val="21"/>
              </w:rPr>
              <w:t>用水量</w:t>
            </w:r>
          </w:p>
          <w:p w14:paraId="0A6A2136">
            <w:pPr>
              <w:pStyle w:val="16"/>
              <w:pageBreakBefore w:val="0"/>
              <w:wordWrap/>
              <w:bidi w:val="0"/>
              <w:adjustRightInd/>
              <w:snapToGrid/>
              <w:rPr>
                <w:rFonts w:hint="eastAsia" w:eastAsia="宋体"/>
                <w:b/>
                <w:bCs/>
                <w:color w:val="auto"/>
                <w:sz w:val="21"/>
                <w:szCs w:val="21"/>
                <w:lang w:eastAsia="zh-CN"/>
              </w:rPr>
            </w:pPr>
            <w:r>
              <w:rPr>
                <w:rFonts w:hint="eastAsia"/>
                <w:b/>
                <w:bCs/>
                <w:color w:val="auto"/>
                <w:sz w:val="21"/>
                <w:szCs w:val="21"/>
                <w:lang w:eastAsia="zh-CN"/>
              </w:rPr>
              <w:t>（m³</w:t>
            </w:r>
            <w:r>
              <w:rPr>
                <w:rFonts w:hint="eastAsia"/>
                <w:b/>
                <w:bCs/>
                <w:color w:val="auto"/>
                <w:sz w:val="21"/>
                <w:szCs w:val="21"/>
              </w:rPr>
              <w:t>/d</w:t>
            </w:r>
            <w:r>
              <w:rPr>
                <w:rFonts w:hint="eastAsia"/>
                <w:b/>
                <w:bCs/>
                <w:color w:val="auto"/>
                <w:sz w:val="21"/>
                <w:szCs w:val="21"/>
                <w:lang w:eastAsia="zh-CN"/>
              </w:rPr>
              <w:t>）</w:t>
            </w:r>
          </w:p>
        </w:tc>
        <w:tc>
          <w:tcPr>
            <w:tcW w:w="583" w:type="pct"/>
            <w:tcBorders>
              <w:tl2br w:val="nil"/>
              <w:tr2bl w:val="nil"/>
            </w:tcBorders>
            <w:noWrap w:val="0"/>
            <w:vAlign w:val="center"/>
          </w:tcPr>
          <w:p w14:paraId="1EB12D45">
            <w:pPr>
              <w:pStyle w:val="16"/>
              <w:pageBreakBefore w:val="0"/>
              <w:wordWrap/>
              <w:bidi w:val="0"/>
              <w:adjustRightInd/>
              <w:snapToGrid/>
              <w:rPr>
                <w:rFonts w:hint="eastAsia"/>
                <w:b/>
                <w:bCs/>
                <w:color w:val="auto"/>
                <w:sz w:val="21"/>
                <w:szCs w:val="21"/>
              </w:rPr>
            </w:pPr>
            <w:r>
              <w:rPr>
                <w:rFonts w:hint="eastAsia"/>
                <w:b/>
                <w:bCs/>
                <w:color w:val="auto"/>
                <w:sz w:val="21"/>
                <w:szCs w:val="21"/>
              </w:rPr>
              <w:t>废水量</w:t>
            </w:r>
          </w:p>
          <w:p w14:paraId="56F85027">
            <w:pPr>
              <w:pStyle w:val="16"/>
              <w:pageBreakBefore w:val="0"/>
              <w:wordWrap/>
              <w:bidi w:val="0"/>
              <w:adjustRightInd/>
              <w:snapToGrid/>
              <w:rPr>
                <w:rFonts w:hint="eastAsia" w:eastAsia="宋体"/>
                <w:b/>
                <w:bCs/>
                <w:color w:val="auto"/>
                <w:sz w:val="21"/>
                <w:szCs w:val="21"/>
                <w:lang w:eastAsia="zh-CN"/>
              </w:rPr>
            </w:pPr>
            <w:r>
              <w:rPr>
                <w:rFonts w:hint="eastAsia"/>
                <w:b/>
                <w:bCs/>
                <w:color w:val="auto"/>
                <w:sz w:val="21"/>
                <w:szCs w:val="21"/>
                <w:lang w:eastAsia="zh-CN"/>
              </w:rPr>
              <w:t>（</w:t>
            </w:r>
            <w:r>
              <w:rPr>
                <w:rFonts w:hint="eastAsia"/>
                <w:b/>
                <w:bCs/>
                <w:color w:val="auto"/>
                <w:sz w:val="21"/>
                <w:szCs w:val="21"/>
                <w:lang w:val="en-US" w:eastAsia="zh-CN"/>
              </w:rPr>
              <w:t>m³</w:t>
            </w:r>
            <w:r>
              <w:rPr>
                <w:rFonts w:hint="eastAsia"/>
                <w:b/>
                <w:bCs/>
                <w:color w:val="auto"/>
                <w:sz w:val="21"/>
                <w:szCs w:val="21"/>
              </w:rPr>
              <w:t>/d</w:t>
            </w:r>
            <w:r>
              <w:rPr>
                <w:rFonts w:hint="eastAsia"/>
                <w:b/>
                <w:bCs/>
                <w:color w:val="auto"/>
                <w:sz w:val="21"/>
                <w:szCs w:val="21"/>
                <w:lang w:eastAsia="zh-CN"/>
              </w:rPr>
              <w:t>）</w:t>
            </w:r>
          </w:p>
        </w:tc>
      </w:tr>
      <w:tr w14:paraId="4BC301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6" w:type="pct"/>
            <w:vMerge w:val="restart"/>
            <w:tcBorders>
              <w:tl2br w:val="nil"/>
              <w:tr2bl w:val="nil"/>
            </w:tcBorders>
            <w:noWrap w:val="0"/>
            <w:vAlign w:val="center"/>
          </w:tcPr>
          <w:p w14:paraId="51C146B4">
            <w:pPr>
              <w:pStyle w:val="16"/>
              <w:pageBreakBefore w:val="0"/>
              <w:wordWrap/>
              <w:bidi w:val="0"/>
              <w:adjustRightInd/>
              <w:snapToGrid/>
              <w:rPr>
                <w:color w:val="auto"/>
                <w:sz w:val="21"/>
                <w:szCs w:val="21"/>
              </w:rPr>
            </w:pPr>
            <w:r>
              <w:rPr>
                <w:rFonts w:hint="eastAsia"/>
                <w:color w:val="auto"/>
                <w:sz w:val="21"/>
                <w:szCs w:val="21"/>
              </w:rPr>
              <w:t>曾口区块</w:t>
            </w:r>
          </w:p>
        </w:tc>
        <w:tc>
          <w:tcPr>
            <w:tcW w:w="1304" w:type="pct"/>
            <w:tcBorders>
              <w:tl2br w:val="nil"/>
              <w:tr2bl w:val="nil"/>
            </w:tcBorders>
            <w:noWrap w:val="0"/>
            <w:vAlign w:val="center"/>
          </w:tcPr>
          <w:p w14:paraId="1E080D85">
            <w:pPr>
              <w:pStyle w:val="16"/>
              <w:pageBreakBefore w:val="0"/>
              <w:wordWrap/>
              <w:bidi w:val="0"/>
              <w:adjustRightInd/>
              <w:snapToGrid/>
              <w:rPr>
                <w:color w:val="auto"/>
                <w:sz w:val="21"/>
                <w:szCs w:val="21"/>
              </w:rPr>
            </w:pPr>
            <w:r>
              <w:rPr>
                <w:rFonts w:hint="eastAsia"/>
                <w:color w:val="auto"/>
                <w:sz w:val="21"/>
                <w:szCs w:val="21"/>
              </w:rPr>
              <w:t>M工业用地</w:t>
            </w:r>
          </w:p>
        </w:tc>
        <w:tc>
          <w:tcPr>
            <w:tcW w:w="991" w:type="pct"/>
            <w:tcBorders>
              <w:tl2br w:val="nil"/>
              <w:tr2bl w:val="nil"/>
            </w:tcBorders>
            <w:noWrap w:val="0"/>
            <w:vAlign w:val="center"/>
          </w:tcPr>
          <w:p w14:paraId="0AB05BB9">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144.78</w:t>
            </w:r>
          </w:p>
        </w:tc>
        <w:tc>
          <w:tcPr>
            <w:tcW w:w="970" w:type="pct"/>
            <w:tcBorders>
              <w:tl2br w:val="nil"/>
              <w:tr2bl w:val="nil"/>
            </w:tcBorders>
            <w:noWrap w:val="0"/>
            <w:vAlign w:val="center"/>
          </w:tcPr>
          <w:p w14:paraId="7CEE3833">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150</w:t>
            </w:r>
          </w:p>
        </w:tc>
        <w:tc>
          <w:tcPr>
            <w:tcW w:w="583" w:type="pct"/>
            <w:tcBorders>
              <w:tl2br w:val="nil"/>
              <w:tr2bl w:val="nil"/>
            </w:tcBorders>
            <w:noWrap w:val="0"/>
            <w:vAlign w:val="center"/>
          </w:tcPr>
          <w:p w14:paraId="3E5C3373">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21717</w:t>
            </w:r>
          </w:p>
        </w:tc>
        <w:tc>
          <w:tcPr>
            <w:tcW w:w="583" w:type="pct"/>
            <w:tcBorders>
              <w:tl2br w:val="nil"/>
              <w:tr2bl w:val="nil"/>
            </w:tcBorders>
            <w:noWrap w:val="0"/>
            <w:vAlign w:val="center"/>
          </w:tcPr>
          <w:p w14:paraId="4DF981FF">
            <w:pPr>
              <w:pStyle w:val="16"/>
              <w:pageBreakBefore w:val="0"/>
              <w:wordWrap/>
              <w:bidi w:val="0"/>
              <w:adjustRightInd/>
              <w:snapToGrid/>
              <w:rPr>
                <w:color w:val="auto"/>
                <w:sz w:val="21"/>
                <w:szCs w:val="21"/>
              </w:rPr>
            </w:pPr>
          </w:p>
        </w:tc>
      </w:tr>
      <w:tr w14:paraId="135477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6" w:type="pct"/>
            <w:vMerge w:val="continue"/>
            <w:tcBorders>
              <w:tl2br w:val="nil"/>
              <w:tr2bl w:val="nil"/>
            </w:tcBorders>
            <w:noWrap w:val="0"/>
            <w:vAlign w:val="center"/>
          </w:tcPr>
          <w:p w14:paraId="254A1692">
            <w:pPr>
              <w:pStyle w:val="16"/>
              <w:pageBreakBefore w:val="0"/>
              <w:wordWrap/>
              <w:bidi w:val="0"/>
              <w:adjustRightInd/>
              <w:snapToGrid/>
              <w:rPr>
                <w:color w:val="auto"/>
                <w:sz w:val="21"/>
                <w:szCs w:val="21"/>
              </w:rPr>
            </w:pPr>
          </w:p>
        </w:tc>
        <w:tc>
          <w:tcPr>
            <w:tcW w:w="1304" w:type="pct"/>
            <w:tcBorders>
              <w:tl2br w:val="nil"/>
              <w:tr2bl w:val="nil"/>
            </w:tcBorders>
            <w:noWrap w:val="0"/>
            <w:vAlign w:val="center"/>
          </w:tcPr>
          <w:p w14:paraId="25947F0F">
            <w:pPr>
              <w:pStyle w:val="16"/>
              <w:pageBreakBefore w:val="0"/>
              <w:wordWrap/>
              <w:bidi w:val="0"/>
              <w:adjustRightInd/>
              <w:snapToGrid/>
              <w:rPr>
                <w:color w:val="auto"/>
                <w:sz w:val="21"/>
                <w:szCs w:val="21"/>
              </w:rPr>
            </w:pPr>
            <w:r>
              <w:rPr>
                <w:rFonts w:hint="eastAsia"/>
                <w:color w:val="auto"/>
                <w:sz w:val="21"/>
                <w:szCs w:val="21"/>
              </w:rPr>
              <w:t>U公用设施用地</w:t>
            </w:r>
          </w:p>
        </w:tc>
        <w:tc>
          <w:tcPr>
            <w:tcW w:w="991" w:type="pct"/>
            <w:tcBorders>
              <w:tl2br w:val="nil"/>
              <w:tr2bl w:val="nil"/>
            </w:tcBorders>
            <w:noWrap w:val="0"/>
            <w:vAlign w:val="center"/>
          </w:tcPr>
          <w:p w14:paraId="0FDDAA1A">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2.08</w:t>
            </w:r>
          </w:p>
        </w:tc>
        <w:tc>
          <w:tcPr>
            <w:tcW w:w="970" w:type="pct"/>
            <w:tcBorders>
              <w:tl2br w:val="nil"/>
              <w:tr2bl w:val="nil"/>
            </w:tcBorders>
            <w:noWrap w:val="0"/>
            <w:vAlign w:val="center"/>
          </w:tcPr>
          <w:p w14:paraId="505316A1">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50</w:t>
            </w:r>
          </w:p>
        </w:tc>
        <w:tc>
          <w:tcPr>
            <w:tcW w:w="583" w:type="pct"/>
            <w:tcBorders>
              <w:tl2br w:val="nil"/>
              <w:tr2bl w:val="nil"/>
            </w:tcBorders>
            <w:noWrap w:val="0"/>
            <w:vAlign w:val="center"/>
          </w:tcPr>
          <w:p w14:paraId="2D7CD9EA">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104</w:t>
            </w:r>
          </w:p>
        </w:tc>
        <w:tc>
          <w:tcPr>
            <w:tcW w:w="583" w:type="pct"/>
            <w:tcBorders>
              <w:tl2br w:val="nil"/>
              <w:tr2bl w:val="nil"/>
            </w:tcBorders>
            <w:noWrap w:val="0"/>
            <w:vAlign w:val="center"/>
          </w:tcPr>
          <w:p w14:paraId="4A3B0DD6">
            <w:pPr>
              <w:pStyle w:val="16"/>
              <w:pageBreakBefore w:val="0"/>
              <w:wordWrap/>
              <w:bidi w:val="0"/>
              <w:adjustRightInd/>
              <w:snapToGrid/>
              <w:rPr>
                <w:color w:val="auto"/>
                <w:sz w:val="21"/>
                <w:szCs w:val="21"/>
              </w:rPr>
            </w:pPr>
          </w:p>
        </w:tc>
      </w:tr>
      <w:tr w14:paraId="3B9C6F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6" w:type="pct"/>
            <w:vMerge w:val="continue"/>
            <w:tcBorders>
              <w:tl2br w:val="nil"/>
              <w:tr2bl w:val="nil"/>
            </w:tcBorders>
            <w:noWrap w:val="0"/>
            <w:vAlign w:val="center"/>
          </w:tcPr>
          <w:p w14:paraId="1AC6BAB3">
            <w:pPr>
              <w:pStyle w:val="16"/>
              <w:pageBreakBefore w:val="0"/>
              <w:wordWrap/>
              <w:bidi w:val="0"/>
              <w:adjustRightInd/>
              <w:snapToGrid/>
              <w:rPr>
                <w:color w:val="auto"/>
                <w:sz w:val="21"/>
                <w:szCs w:val="21"/>
              </w:rPr>
            </w:pPr>
          </w:p>
        </w:tc>
        <w:tc>
          <w:tcPr>
            <w:tcW w:w="1304" w:type="pct"/>
            <w:tcBorders>
              <w:tl2br w:val="nil"/>
              <w:tr2bl w:val="nil"/>
            </w:tcBorders>
            <w:noWrap w:val="0"/>
            <w:vAlign w:val="center"/>
          </w:tcPr>
          <w:p w14:paraId="04EF25B9">
            <w:pPr>
              <w:pStyle w:val="16"/>
              <w:pageBreakBefore w:val="0"/>
              <w:wordWrap/>
              <w:bidi w:val="0"/>
              <w:adjustRightInd/>
              <w:snapToGrid/>
              <w:rPr>
                <w:color w:val="auto"/>
                <w:sz w:val="21"/>
                <w:szCs w:val="21"/>
              </w:rPr>
            </w:pPr>
            <w:r>
              <w:rPr>
                <w:rFonts w:hint="eastAsia"/>
                <w:color w:val="auto"/>
                <w:sz w:val="21"/>
                <w:szCs w:val="21"/>
              </w:rPr>
              <w:t>G绿地与广场</w:t>
            </w:r>
          </w:p>
        </w:tc>
        <w:tc>
          <w:tcPr>
            <w:tcW w:w="991" w:type="pct"/>
            <w:tcBorders>
              <w:tl2br w:val="nil"/>
              <w:tr2bl w:val="nil"/>
            </w:tcBorders>
            <w:noWrap w:val="0"/>
            <w:vAlign w:val="center"/>
          </w:tcPr>
          <w:p w14:paraId="5A5023B3">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23.85</w:t>
            </w:r>
          </w:p>
        </w:tc>
        <w:tc>
          <w:tcPr>
            <w:tcW w:w="970" w:type="pct"/>
            <w:tcBorders>
              <w:tl2br w:val="nil"/>
              <w:tr2bl w:val="nil"/>
            </w:tcBorders>
            <w:noWrap w:val="0"/>
            <w:vAlign w:val="center"/>
          </w:tcPr>
          <w:p w14:paraId="7C2B3B1C">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30</w:t>
            </w:r>
          </w:p>
        </w:tc>
        <w:tc>
          <w:tcPr>
            <w:tcW w:w="583" w:type="pct"/>
            <w:tcBorders>
              <w:tl2br w:val="nil"/>
              <w:tr2bl w:val="nil"/>
            </w:tcBorders>
            <w:noWrap w:val="0"/>
            <w:vAlign w:val="center"/>
          </w:tcPr>
          <w:p w14:paraId="543F6A86">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716</w:t>
            </w:r>
          </w:p>
        </w:tc>
        <w:tc>
          <w:tcPr>
            <w:tcW w:w="583" w:type="pct"/>
            <w:tcBorders>
              <w:tl2br w:val="nil"/>
              <w:tr2bl w:val="nil"/>
            </w:tcBorders>
            <w:noWrap w:val="0"/>
            <w:vAlign w:val="center"/>
          </w:tcPr>
          <w:p w14:paraId="7E5C6959">
            <w:pPr>
              <w:pStyle w:val="16"/>
              <w:pageBreakBefore w:val="0"/>
              <w:wordWrap/>
              <w:bidi w:val="0"/>
              <w:adjustRightInd/>
              <w:snapToGrid/>
              <w:rPr>
                <w:color w:val="auto"/>
                <w:sz w:val="21"/>
                <w:szCs w:val="21"/>
              </w:rPr>
            </w:pPr>
          </w:p>
        </w:tc>
      </w:tr>
      <w:tr w14:paraId="3AFC9C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6" w:type="pct"/>
            <w:vMerge w:val="continue"/>
            <w:tcBorders>
              <w:tl2br w:val="nil"/>
              <w:tr2bl w:val="nil"/>
            </w:tcBorders>
            <w:noWrap w:val="0"/>
            <w:vAlign w:val="center"/>
          </w:tcPr>
          <w:p w14:paraId="028648CC">
            <w:pPr>
              <w:pStyle w:val="16"/>
              <w:pageBreakBefore w:val="0"/>
              <w:wordWrap/>
              <w:bidi w:val="0"/>
              <w:adjustRightInd/>
              <w:snapToGrid/>
              <w:rPr>
                <w:color w:val="auto"/>
                <w:sz w:val="21"/>
                <w:szCs w:val="21"/>
              </w:rPr>
            </w:pPr>
          </w:p>
        </w:tc>
        <w:tc>
          <w:tcPr>
            <w:tcW w:w="1304" w:type="pct"/>
            <w:tcBorders>
              <w:tl2br w:val="nil"/>
              <w:tr2bl w:val="nil"/>
            </w:tcBorders>
            <w:noWrap w:val="0"/>
            <w:vAlign w:val="center"/>
          </w:tcPr>
          <w:p w14:paraId="1BDDBB28">
            <w:pPr>
              <w:pStyle w:val="16"/>
              <w:pageBreakBefore w:val="0"/>
              <w:wordWrap/>
              <w:bidi w:val="0"/>
              <w:adjustRightInd/>
              <w:snapToGrid/>
              <w:rPr>
                <w:color w:val="auto"/>
                <w:sz w:val="21"/>
                <w:szCs w:val="21"/>
              </w:rPr>
            </w:pPr>
            <w:r>
              <w:rPr>
                <w:rFonts w:hint="eastAsia"/>
                <w:color w:val="auto"/>
                <w:sz w:val="21"/>
                <w:szCs w:val="21"/>
              </w:rPr>
              <w:t>S道路与交通设施用地</w:t>
            </w:r>
          </w:p>
        </w:tc>
        <w:tc>
          <w:tcPr>
            <w:tcW w:w="991" w:type="pct"/>
            <w:tcBorders>
              <w:tl2br w:val="nil"/>
              <w:tr2bl w:val="nil"/>
            </w:tcBorders>
            <w:noWrap w:val="0"/>
            <w:vAlign w:val="center"/>
          </w:tcPr>
          <w:p w14:paraId="4E832F76">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21.1</w:t>
            </w:r>
          </w:p>
        </w:tc>
        <w:tc>
          <w:tcPr>
            <w:tcW w:w="970" w:type="pct"/>
            <w:tcBorders>
              <w:tl2br w:val="nil"/>
              <w:tr2bl w:val="nil"/>
            </w:tcBorders>
            <w:noWrap w:val="0"/>
            <w:vAlign w:val="center"/>
          </w:tcPr>
          <w:p w14:paraId="6A35AD2F">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80</w:t>
            </w:r>
          </w:p>
        </w:tc>
        <w:tc>
          <w:tcPr>
            <w:tcW w:w="583" w:type="pct"/>
            <w:tcBorders>
              <w:tl2br w:val="nil"/>
              <w:tr2bl w:val="nil"/>
            </w:tcBorders>
            <w:noWrap w:val="0"/>
            <w:vAlign w:val="center"/>
          </w:tcPr>
          <w:p w14:paraId="6C829B63">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1688</w:t>
            </w:r>
          </w:p>
        </w:tc>
        <w:tc>
          <w:tcPr>
            <w:tcW w:w="583" w:type="pct"/>
            <w:tcBorders>
              <w:tl2br w:val="nil"/>
              <w:tr2bl w:val="nil"/>
            </w:tcBorders>
            <w:noWrap w:val="0"/>
            <w:vAlign w:val="center"/>
          </w:tcPr>
          <w:p w14:paraId="37C014FB">
            <w:pPr>
              <w:pStyle w:val="16"/>
              <w:pageBreakBefore w:val="0"/>
              <w:wordWrap/>
              <w:bidi w:val="0"/>
              <w:adjustRightInd/>
              <w:snapToGrid/>
              <w:rPr>
                <w:color w:val="auto"/>
                <w:sz w:val="21"/>
                <w:szCs w:val="21"/>
              </w:rPr>
            </w:pPr>
          </w:p>
        </w:tc>
      </w:tr>
      <w:tr w14:paraId="591D73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6" w:type="pct"/>
            <w:vMerge w:val="continue"/>
            <w:tcBorders>
              <w:tl2br w:val="nil"/>
              <w:tr2bl w:val="nil"/>
            </w:tcBorders>
            <w:noWrap w:val="0"/>
            <w:vAlign w:val="center"/>
          </w:tcPr>
          <w:p w14:paraId="671CA43F">
            <w:pPr>
              <w:pStyle w:val="16"/>
              <w:pageBreakBefore w:val="0"/>
              <w:wordWrap/>
              <w:bidi w:val="0"/>
              <w:adjustRightInd/>
              <w:snapToGrid/>
              <w:rPr>
                <w:color w:val="auto"/>
                <w:sz w:val="21"/>
                <w:szCs w:val="21"/>
              </w:rPr>
            </w:pPr>
          </w:p>
        </w:tc>
        <w:tc>
          <w:tcPr>
            <w:tcW w:w="1304" w:type="pct"/>
            <w:tcBorders>
              <w:tl2br w:val="nil"/>
              <w:tr2bl w:val="nil"/>
            </w:tcBorders>
            <w:noWrap w:val="0"/>
            <w:vAlign w:val="center"/>
          </w:tcPr>
          <w:p w14:paraId="5436CA6E">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小计</w:t>
            </w:r>
          </w:p>
        </w:tc>
        <w:tc>
          <w:tcPr>
            <w:tcW w:w="991" w:type="pct"/>
            <w:tcBorders>
              <w:tl2br w:val="nil"/>
              <w:tr2bl w:val="nil"/>
            </w:tcBorders>
            <w:noWrap w:val="0"/>
            <w:vAlign w:val="center"/>
          </w:tcPr>
          <w:p w14:paraId="4A7235E3">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191.81</w:t>
            </w:r>
          </w:p>
        </w:tc>
        <w:tc>
          <w:tcPr>
            <w:tcW w:w="970" w:type="pct"/>
            <w:tcBorders>
              <w:tl2br w:val="nil"/>
              <w:tr2bl w:val="nil"/>
            </w:tcBorders>
            <w:noWrap w:val="0"/>
            <w:vAlign w:val="center"/>
          </w:tcPr>
          <w:p w14:paraId="3329222F">
            <w:pPr>
              <w:pStyle w:val="16"/>
              <w:pageBreakBefore w:val="0"/>
              <w:wordWrap/>
              <w:bidi w:val="0"/>
              <w:adjustRightInd/>
              <w:snapToGrid/>
              <w:rPr>
                <w:color w:val="auto"/>
                <w:sz w:val="21"/>
                <w:szCs w:val="21"/>
              </w:rPr>
            </w:pPr>
          </w:p>
        </w:tc>
        <w:tc>
          <w:tcPr>
            <w:tcW w:w="583" w:type="pct"/>
            <w:tcBorders>
              <w:tl2br w:val="nil"/>
              <w:tr2bl w:val="nil"/>
            </w:tcBorders>
            <w:noWrap w:val="0"/>
            <w:vAlign w:val="center"/>
          </w:tcPr>
          <w:p w14:paraId="6926A11D">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24225</w:t>
            </w:r>
          </w:p>
        </w:tc>
        <w:tc>
          <w:tcPr>
            <w:tcW w:w="583" w:type="pct"/>
            <w:tcBorders>
              <w:tl2br w:val="nil"/>
              <w:tr2bl w:val="nil"/>
            </w:tcBorders>
            <w:noWrap w:val="0"/>
            <w:vAlign w:val="center"/>
          </w:tcPr>
          <w:p w14:paraId="54B52A9F">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20591</w:t>
            </w:r>
          </w:p>
        </w:tc>
      </w:tr>
    </w:tbl>
    <w:p w14:paraId="02A0769A">
      <w:pPr>
        <w:pageBreakBefore w:val="0"/>
        <w:wordWrap/>
        <w:bidi w:val="0"/>
        <w:adjustRightInd/>
        <w:snapToGrid/>
        <w:rPr>
          <w:rFonts w:hint="default" w:eastAsia="宋体"/>
          <w:color w:val="auto"/>
          <w:lang w:val="en-US" w:eastAsia="zh-CN"/>
        </w:rPr>
      </w:pPr>
      <w:r>
        <w:rPr>
          <w:rFonts w:hint="eastAsia"/>
          <w:color w:val="auto"/>
          <w:lang w:eastAsia="zh-CN"/>
        </w:rPr>
        <w:t>（</w:t>
      </w:r>
      <w:r>
        <w:rPr>
          <w:rFonts w:hint="eastAsia"/>
          <w:color w:val="auto"/>
          <w:lang w:val="en-US" w:eastAsia="zh-CN"/>
        </w:rPr>
        <w:t>2</w:t>
      </w:r>
      <w:r>
        <w:rPr>
          <w:rFonts w:hint="eastAsia"/>
          <w:color w:val="auto"/>
          <w:lang w:eastAsia="zh-CN"/>
        </w:rPr>
        <w:t>）</w:t>
      </w:r>
      <w:r>
        <w:rPr>
          <w:rFonts w:hint="eastAsia"/>
          <w:color w:val="auto"/>
          <w:lang w:val="en-US" w:eastAsia="zh-CN"/>
        </w:rPr>
        <w:t>工业污水量预测</w:t>
      </w:r>
    </w:p>
    <w:p w14:paraId="6A8FE043">
      <w:pPr>
        <w:pageBreakBefore w:val="0"/>
        <w:wordWrap/>
        <w:bidi w:val="0"/>
        <w:adjustRightInd/>
        <w:snapToGrid/>
        <w:rPr>
          <w:rFonts w:hint="eastAsia"/>
          <w:color w:val="auto"/>
          <w:lang w:eastAsia="zh-CN"/>
        </w:rPr>
      </w:pPr>
      <w:r>
        <w:rPr>
          <w:rFonts w:hint="eastAsia"/>
          <w:color w:val="auto"/>
        </w:rPr>
        <w:t>参按工业污水转化率取70%</w:t>
      </w:r>
      <w:r>
        <w:rPr>
          <w:rFonts w:hint="eastAsia"/>
          <w:color w:val="auto"/>
          <w:lang w:eastAsia="zh-CN"/>
        </w:rPr>
        <w:t>，</w:t>
      </w:r>
      <w:r>
        <w:rPr>
          <w:rFonts w:hint="eastAsia"/>
          <w:color w:val="auto"/>
        </w:rPr>
        <w:t>污水收集率取100%</w:t>
      </w:r>
      <w:r>
        <w:rPr>
          <w:rFonts w:hint="eastAsia"/>
          <w:color w:val="auto"/>
          <w:lang w:eastAsia="zh-CN"/>
        </w:rPr>
        <w:t>，</w:t>
      </w:r>
      <w:r>
        <w:rPr>
          <w:rFonts w:hint="eastAsia"/>
          <w:color w:val="auto"/>
        </w:rPr>
        <w:t>地下水渗入系数10%计算</w:t>
      </w:r>
      <w:r>
        <w:rPr>
          <w:rFonts w:hint="eastAsia"/>
          <w:color w:val="auto"/>
          <w:lang w:eastAsia="zh-CN"/>
        </w:rPr>
        <w:t>，</w:t>
      </w:r>
      <w:r>
        <w:rPr>
          <w:rFonts w:hint="eastAsia"/>
          <w:color w:val="auto"/>
        </w:rPr>
        <w:t>见下表</w:t>
      </w:r>
      <w:r>
        <w:rPr>
          <w:rFonts w:hint="eastAsia"/>
          <w:color w:val="auto"/>
          <w:lang w:eastAsia="zh-CN"/>
        </w:rPr>
        <w:t>。</w:t>
      </w:r>
    </w:p>
    <w:p w14:paraId="26C37E7C">
      <w:pPr>
        <w:pStyle w:val="19"/>
        <w:numPr>
          <w:ilvl w:val="0"/>
          <w:numId w:val="14"/>
        </w:numPr>
        <w:bidi w:val="0"/>
        <w:ind w:left="0" w:leftChars="0" w:firstLine="0" w:firstLineChars="0"/>
        <w:rPr>
          <w:rFonts w:hint="default"/>
          <w:color w:val="auto"/>
          <w:lang w:val="en-US" w:eastAsia="zh-CN"/>
        </w:rPr>
      </w:pPr>
      <w:r>
        <w:rPr>
          <w:rFonts w:hint="eastAsia"/>
          <w:color w:val="auto"/>
          <w:lang w:val="en-US" w:eastAsia="zh-CN"/>
        </w:rPr>
        <w:t>曾口区块工业用水量预测计算结果一览表</w:t>
      </w:r>
    </w:p>
    <w:tbl>
      <w:tblPr>
        <w:tblStyle w:val="5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279"/>
        <w:gridCol w:w="4278"/>
      </w:tblGrid>
      <w:tr w14:paraId="475230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00" w:type="pct"/>
            <w:tcBorders>
              <w:tl2br w:val="nil"/>
              <w:tr2bl w:val="nil"/>
            </w:tcBorders>
            <w:noWrap w:val="0"/>
            <w:vAlign w:val="center"/>
          </w:tcPr>
          <w:p w14:paraId="7924BEF5">
            <w:pPr>
              <w:pStyle w:val="16"/>
              <w:pageBreakBefore w:val="0"/>
              <w:wordWrap/>
              <w:bidi w:val="0"/>
              <w:adjustRightInd/>
              <w:snapToGrid/>
              <w:rPr>
                <w:rFonts w:hint="default"/>
                <w:b/>
                <w:bCs/>
                <w:color w:val="auto"/>
                <w:sz w:val="21"/>
                <w:szCs w:val="21"/>
                <w:lang w:val="en-US" w:eastAsia="zh-CN"/>
              </w:rPr>
            </w:pPr>
            <w:r>
              <w:rPr>
                <w:rFonts w:hint="eastAsia"/>
                <w:b/>
                <w:bCs/>
                <w:color w:val="auto"/>
                <w:sz w:val="21"/>
                <w:szCs w:val="21"/>
                <w:lang w:val="en-US" w:eastAsia="zh-CN"/>
              </w:rPr>
              <w:t>名称</w:t>
            </w:r>
          </w:p>
        </w:tc>
        <w:tc>
          <w:tcPr>
            <w:tcW w:w="2499" w:type="pct"/>
            <w:tcBorders>
              <w:tl2br w:val="nil"/>
              <w:tr2bl w:val="nil"/>
            </w:tcBorders>
            <w:noWrap w:val="0"/>
            <w:vAlign w:val="center"/>
          </w:tcPr>
          <w:p w14:paraId="640E1706">
            <w:pPr>
              <w:pStyle w:val="16"/>
              <w:pageBreakBefore w:val="0"/>
              <w:wordWrap/>
              <w:bidi w:val="0"/>
              <w:adjustRightInd/>
              <w:snapToGrid/>
              <w:rPr>
                <w:rFonts w:hint="eastAsia" w:eastAsia="宋体"/>
                <w:b/>
                <w:bCs/>
                <w:color w:val="auto"/>
                <w:sz w:val="21"/>
                <w:szCs w:val="21"/>
                <w:lang w:val="en-US" w:eastAsia="zh-CN"/>
              </w:rPr>
            </w:pPr>
            <w:r>
              <w:rPr>
                <w:rFonts w:hint="eastAsia"/>
                <w:b/>
                <w:bCs/>
                <w:color w:val="auto"/>
                <w:sz w:val="21"/>
                <w:szCs w:val="21"/>
                <w:lang w:val="en-US" w:eastAsia="zh-CN"/>
              </w:rPr>
              <w:t>远期（2035年）</w:t>
            </w:r>
          </w:p>
        </w:tc>
      </w:tr>
      <w:tr w14:paraId="12BBA1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00" w:type="pct"/>
            <w:tcBorders>
              <w:tl2br w:val="nil"/>
              <w:tr2bl w:val="nil"/>
            </w:tcBorders>
            <w:noWrap w:val="0"/>
            <w:vAlign w:val="center"/>
          </w:tcPr>
          <w:p w14:paraId="66C3B0FF">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工业用地用水量</w:t>
            </w:r>
            <w:r>
              <w:rPr>
                <w:rFonts w:hint="eastAsia"/>
                <w:color w:val="auto"/>
                <w:sz w:val="21"/>
                <w:szCs w:val="21"/>
                <w:lang w:eastAsia="zh-CN"/>
              </w:rPr>
              <w:t>（</w:t>
            </w:r>
            <w:r>
              <w:rPr>
                <w:rFonts w:hint="eastAsia"/>
                <w:color w:val="auto"/>
                <w:sz w:val="21"/>
                <w:szCs w:val="21"/>
                <w:lang w:val="en-US" w:eastAsia="zh-CN"/>
              </w:rPr>
              <w:t>万</w:t>
            </w:r>
            <w:r>
              <w:rPr>
                <w:rFonts w:hint="eastAsia"/>
                <w:color w:val="auto"/>
                <w:sz w:val="21"/>
                <w:szCs w:val="21"/>
                <w:lang w:eastAsia="zh-CN"/>
              </w:rPr>
              <w:t>m³</w:t>
            </w:r>
            <w:r>
              <w:rPr>
                <w:rFonts w:hint="eastAsia"/>
                <w:color w:val="auto"/>
                <w:sz w:val="21"/>
                <w:szCs w:val="21"/>
              </w:rPr>
              <w:t>/d</w:t>
            </w:r>
            <w:r>
              <w:rPr>
                <w:rFonts w:hint="eastAsia"/>
                <w:color w:val="auto"/>
                <w:sz w:val="21"/>
                <w:szCs w:val="21"/>
                <w:lang w:eastAsia="zh-CN"/>
              </w:rPr>
              <w:t>）</w:t>
            </w:r>
          </w:p>
        </w:tc>
        <w:tc>
          <w:tcPr>
            <w:tcW w:w="2499" w:type="pct"/>
            <w:tcBorders>
              <w:tl2br w:val="nil"/>
              <w:tr2bl w:val="nil"/>
            </w:tcBorders>
            <w:noWrap w:val="0"/>
            <w:vAlign w:val="center"/>
          </w:tcPr>
          <w:p w14:paraId="6B8A3DB3">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2.05</w:t>
            </w:r>
          </w:p>
        </w:tc>
      </w:tr>
      <w:tr w14:paraId="32A9DD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00" w:type="pct"/>
            <w:tcBorders>
              <w:tl2br w:val="nil"/>
              <w:tr2bl w:val="nil"/>
            </w:tcBorders>
            <w:noWrap w:val="0"/>
            <w:vAlign w:val="center"/>
          </w:tcPr>
          <w:p w14:paraId="3AA08BE4">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污水转化率（%）</w:t>
            </w:r>
          </w:p>
        </w:tc>
        <w:tc>
          <w:tcPr>
            <w:tcW w:w="2499" w:type="pct"/>
            <w:tcBorders>
              <w:tl2br w:val="nil"/>
              <w:tr2bl w:val="nil"/>
            </w:tcBorders>
            <w:noWrap w:val="0"/>
            <w:vAlign w:val="center"/>
          </w:tcPr>
          <w:p w14:paraId="205C2D51">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70.00</w:t>
            </w:r>
          </w:p>
        </w:tc>
      </w:tr>
      <w:tr w14:paraId="4D0F66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00" w:type="pct"/>
            <w:tcBorders>
              <w:tl2br w:val="nil"/>
              <w:tr2bl w:val="nil"/>
            </w:tcBorders>
            <w:noWrap w:val="0"/>
            <w:vAlign w:val="center"/>
          </w:tcPr>
          <w:p w14:paraId="64AAD7D5">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污水收集率（%）</w:t>
            </w:r>
          </w:p>
        </w:tc>
        <w:tc>
          <w:tcPr>
            <w:tcW w:w="2499" w:type="pct"/>
            <w:tcBorders>
              <w:tl2br w:val="nil"/>
              <w:tr2bl w:val="nil"/>
            </w:tcBorders>
            <w:noWrap w:val="0"/>
            <w:vAlign w:val="center"/>
          </w:tcPr>
          <w:p w14:paraId="347D4B21">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100.00</w:t>
            </w:r>
          </w:p>
        </w:tc>
      </w:tr>
      <w:tr w14:paraId="367F79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00" w:type="pct"/>
            <w:tcBorders>
              <w:tl2br w:val="nil"/>
              <w:tr2bl w:val="nil"/>
            </w:tcBorders>
            <w:noWrap w:val="0"/>
            <w:vAlign w:val="center"/>
          </w:tcPr>
          <w:p w14:paraId="43B4FC6A">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地下水渗入系数（%）</w:t>
            </w:r>
          </w:p>
        </w:tc>
        <w:tc>
          <w:tcPr>
            <w:tcW w:w="2499" w:type="pct"/>
            <w:tcBorders>
              <w:tl2br w:val="nil"/>
              <w:tr2bl w:val="nil"/>
            </w:tcBorders>
            <w:noWrap w:val="0"/>
            <w:vAlign w:val="center"/>
          </w:tcPr>
          <w:p w14:paraId="0E8ADBAA">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10.00</w:t>
            </w:r>
          </w:p>
        </w:tc>
      </w:tr>
      <w:tr w14:paraId="545CC8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00" w:type="pct"/>
            <w:tcBorders>
              <w:tl2br w:val="nil"/>
              <w:tr2bl w:val="nil"/>
            </w:tcBorders>
            <w:noWrap w:val="0"/>
            <w:vAlign w:val="center"/>
          </w:tcPr>
          <w:p w14:paraId="4182C8DE">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工业污水量</w:t>
            </w:r>
            <w:r>
              <w:rPr>
                <w:rFonts w:hint="eastAsia"/>
                <w:color w:val="auto"/>
                <w:sz w:val="21"/>
                <w:szCs w:val="21"/>
                <w:lang w:eastAsia="zh-CN"/>
              </w:rPr>
              <w:t>（</w:t>
            </w:r>
            <w:r>
              <w:rPr>
                <w:rFonts w:hint="eastAsia"/>
                <w:color w:val="auto"/>
                <w:sz w:val="21"/>
                <w:szCs w:val="21"/>
                <w:lang w:val="en-US" w:eastAsia="zh-CN"/>
              </w:rPr>
              <w:t>万</w:t>
            </w:r>
            <w:r>
              <w:rPr>
                <w:rFonts w:hint="eastAsia"/>
                <w:color w:val="auto"/>
                <w:sz w:val="21"/>
                <w:szCs w:val="21"/>
                <w:lang w:eastAsia="zh-CN"/>
              </w:rPr>
              <w:t>m³</w:t>
            </w:r>
            <w:r>
              <w:rPr>
                <w:rFonts w:hint="eastAsia"/>
                <w:color w:val="auto"/>
                <w:sz w:val="21"/>
                <w:szCs w:val="21"/>
              </w:rPr>
              <w:t>/d</w:t>
            </w:r>
            <w:r>
              <w:rPr>
                <w:rFonts w:hint="eastAsia"/>
                <w:color w:val="auto"/>
                <w:sz w:val="21"/>
                <w:szCs w:val="21"/>
                <w:lang w:eastAsia="zh-CN"/>
              </w:rPr>
              <w:t>）</w:t>
            </w:r>
          </w:p>
        </w:tc>
        <w:tc>
          <w:tcPr>
            <w:tcW w:w="2499" w:type="pct"/>
            <w:tcBorders>
              <w:tl2br w:val="nil"/>
              <w:tr2bl w:val="nil"/>
            </w:tcBorders>
            <w:noWrap w:val="0"/>
            <w:vAlign w:val="center"/>
          </w:tcPr>
          <w:p w14:paraId="7BE471B3">
            <w:pPr>
              <w:pStyle w:val="16"/>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1.57</w:t>
            </w:r>
          </w:p>
        </w:tc>
      </w:tr>
    </w:tbl>
    <w:p w14:paraId="1F0273A9">
      <w:pPr>
        <w:pageBreakBefore w:val="0"/>
        <w:wordWrap/>
        <w:bidi w:val="0"/>
        <w:adjustRightInd/>
        <w:snapToGrid/>
        <w:rPr>
          <w:rFonts w:hint="default" w:eastAsia="宋体"/>
          <w:color w:val="auto"/>
          <w:lang w:val="en-US" w:eastAsia="zh-CN"/>
        </w:rPr>
      </w:pPr>
      <w:r>
        <w:rPr>
          <w:rFonts w:hint="eastAsia"/>
          <w:color w:val="auto"/>
          <w:lang w:val="en-US" w:eastAsia="zh-CN"/>
        </w:rPr>
        <w:t>综上所述，曾口片区远期（2035年）污水量为：1.57万。</w:t>
      </w:r>
    </w:p>
    <w:p w14:paraId="46C56A5B">
      <w:pPr>
        <w:pageBreakBefore w:val="0"/>
        <w:wordWrap/>
        <w:bidi w:val="0"/>
        <w:adjustRightInd/>
        <w:snapToGrid/>
        <w:rPr>
          <w:rFonts w:hint="eastAsia" w:eastAsia="宋体"/>
          <w:b/>
          <w:bCs/>
          <w:color w:val="auto"/>
          <w:lang w:val="en-US" w:eastAsia="zh-CN"/>
        </w:rPr>
      </w:pPr>
      <w:r>
        <w:rPr>
          <w:rFonts w:hint="eastAsia"/>
          <w:b/>
          <w:bCs/>
          <w:color w:val="auto"/>
          <w:lang w:val="en-US" w:eastAsia="zh-CN"/>
        </w:rPr>
        <w:t>2、《四川巴中经济开发区规划修编环境影响报告书》对园区污水量的预测</w:t>
      </w:r>
    </w:p>
    <w:p w14:paraId="41D6263A">
      <w:pPr>
        <w:pageBreakBefore w:val="0"/>
        <w:wordWrap/>
        <w:bidi w:val="0"/>
        <w:adjustRightInd/>
        <w:snapToGrid/>
        <w:rPr>
          <w:rFonts w:hint="eastAsia" w:eastAsia="宋体"/>
          <w:color w:val="auto"/>
          <w:lang w:eastAsia="zh-CN"/>
        </w:rPr>
      </w:pPr>
      <w:r>
        <w:rPr>
          <w:rFonts w:hint="eastAsia"/>
          <w:color w:val="auto"/>
        </w:rPr>
        <w:t>结合经开区内现有企业排放强度</w:t>
      </w:r>
      <w:r>
        <w:rPr>
          <w:rFonts w:hint="eastAsia"/>
          <w:color w:val="auto"/>
          <w:lang w:eastAsia="zh-CN"/>
        </w:rPr>
        <w:t>、《</w:t>
      </w:r>
      <w:r>
        <w:rPr>
          <w:rFonts w:hint="eastAsia"/>
          <w:color w:val="auto"/>
        </w:rPr>
        <w:t>排放源统计调查产排污核算方法和系数手册</w:t>
      </w:r>
      <w:r>
        <w:rPr>
          <w:rFonts w:hint="eastAsia"/>
          <w:color w:val="auto"/>
          <w:lang w:eastAsia="zh-CN"/>
        </w:rPr>
        <w:t>》</w:t>
      </w:r>
      <w:r>
        <w:rPr>
          <w:rFonts w:hint="eastAsia"/>
          <w:color w:val="auto"/>
        </w:rPr>
        <w:t>以及同类项目的验收</w:t>
      </w:r>
      <w:r>
        <w:rPr>
          <w:rFonts w:hint="eastAsia"/>
          <w:color w:val="auto"/>
          <w:lang w:eastAsia="zh-CN"/>
        </w:rPr>
        <w:t>、</w:t>
      </w:r>
      <w:r>
        <w:rPr>
          <w:rFonts w:hint="eastAsia"/>
          <w:color w:val="auto"/>
        </w:rPr>
        <w:t>排污许可及环评数据</w:t>
      </w:r>
      <w:r>
        <w:rPr>
          <w:rFonts w:hint="eastAsia"/>
          <w:color w:val="auto"/>
          <w:lang w:eastAsia="zh-CN"/>
        </w:rPr>
        <w:t>，</w:t>
      </w:r>
      <w:r>
        <w:rPr>
          <w:rFonts w:hint="eastAsia"/>
          <w:color w:val="auto"/>
        </w:rPr>
        <w:t>对规划区规划废水产生情况进行核算</w:t>
      </w:r>
      <w:r>
        <w:rPr>
          <w:rFonts w:hint="eastAsia"/>
          <w:color w:val="auto"/>
          <w:lang w:eastAsia="zh-CN"/>
        </w:rPr>
        <w:t>。</w:t>
      </w:r>
    </w:p>
    <w:p w14:paraId="082C8A9D">
      <w:pPr>
        <w:pageBreakBefore w:val="0"/>
        <w:wordWrap/>
        <w:bidi w:val="0"/>
        <w:adjustRightInd/>
        <w:snapToGrid/>
        <w:rPr>
          <w:color w:val="auto"/>
        </w:rPr>
      </w:pPr>
      <w:r>
        <w:rPr>
          <w:rFonts w:hint="eastAsia"/>
          <w:color w:val="auto"/>
        </w:rPr>
        <w:t>情景</w:t>
      </w:r>
      <w:r>
        <w:rPr>
          <w:rFonts w:hint="eastAsia"/>
          <w:color w:val="auto"/>
          <w:lang w:eastAsia="zh-CN"/>
        </w:rPr>
        <w:t>：</w:t>
      </w:r>
      <w:r>
        <w:rPr>
          <w:rFonts w:hint="eastAsia"/>
          <w:color w:val="auto"/>
          <w:lang w:val="en-US" w:eastAsia="zh-CN"/>
        </w:rPr>
        <w:t>修编</w:t>
      </w:r>
      <w:r>
        <w:rPr>
          <w:rFonts w:hint="eastAsia"/>
          <w:color w:val="auto"/>
        </w:rPr>
        <w:t>规划环评建议优化调整方案，即曾口区块BDO装置规模从30万吨/年调整至20万吨/年。</w:t>
      </w:r>
    </w:p>
    <w:p w14:paraId="50F09A88">
      <w:pPr>
        <w:pStyle w:val="19"/>
        <w:numPr>
          <w:ilvl w:val="0"/>
          <w:numId w:val="14"/>
        </w:numPr>
        <w:bidi w:val="0"/>
        <w:ind w:left="0" w:leftChars="0" w:firstLine="0" w:firstLineChars="0"/>
        <w:rPr>
          <w:rFonts w:hint="default"/>
          <w:color w:val="auto"/>
          <w:lang w:val="en-US" w:eastAsia="zh-CN"/>
        </w:rPr>
      </w:pPr>
      <w:r>
        <w:rPr>
          <w:rFonts w:hint="eastAsia"/>
          <w:color w:val="auto"/>
          <w:lang w:val="en-US" w:eastAsia="zh-CN"/>
        </w:rPr>
        <w:t>规划曾口区块废水产生情况</w:t>
      </w:r>
    </w:p>
    <w:tbl>
      <w:tblPr>
        <w:tblStyle w:val="53"/>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412"/>
        <w:gridCol w:w="436"/>
        <w:gridCol w:w="441"/>
        <w:gridCol w:w="441"/>
        <w:gridCol w:w="476"/>
        <w:gridCol w:w="581"/>
        <w:gridCol w:w="4773"/>
      </w:tblGrid>
      <w:tr w14:paraId="1A0B43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vMerge w:val="restart"/>
            <w:tcBorders>
              <w:tl2br w:val="nil"/>
              <w:tr2bl w:val="nil"/>
            </w:tcBorders>
            <w:noWrap w:val="0"/>
            <w:vAlign w:val="center"/>
          </w:tcPr>
          <w:p w14:paraId="3C0C8374">
            <w:pPr>
              <w:pStyle w:val="16"/>
              <w:pageBreakBefore w:val="0"/>
              <w:wordWrap/>
              <w:bidi w:val="0"/>
              <w:adjustRightInd/>
              <w:snapToGrid/>
              <w:rPr>
                <w:rFonts w:hint="default"/>
                <w:b/>
                <w:bCs/>
                <w:color w:val="auto"/>
                <w:lang w:val="en-US" w:eastAsia="zh-CN"/>
              </w:rPr>
            </w:pPr>
            <w:r>
              <w:rPr>
                <w:rFonts w:hint="eastAsia"/>
                <w:b/>
                <w:bCs/>
                <w:color w:val="auto"/>
                <w:lang w:val="en-US" w:eastAsia="zh-CN"/>
              </w:rPr>
              <w:t>产品名称</w:t>
            </w:r>
          </w:p>
        </w:tc>
        <w:tc>
          <w:tcPr>
            <w:tcW w:w="0" w:type="auto"/>
            <w:gridSpan w:val="3"/>
            <w:tcBorders>
              <w:tl2br w:val="nil"/>
              <w:tr2bl w:val="nil"/>
            </w:tcBorders>
            <w:noWrap w:val="0"/>
            <w:vAlign w:val="center"/>
          </w:tcPr>
          <w:p w14:paraId="381E10C0">
            <w:pPr>
              <w:pStyle w:val="16"/>
              <w:pageBreakBefore w:val="0"/>
              <w:wordWrap/>
              <w:bidi w:val="0"/>
              <w:adjustRightInd/>
              <w:snapToGrid/>
              <w:rPr>
                <w:rFonts w:hint="eastAsia"/>
                <w:b/>
                <w:bCs/>
                <w:color w:val="auto"/>
                <w:lang w:val="en-US" w:eastAsia="zh-CN"/>
              </w:rPr>
            </w:pPr>
            <w:r>
              <w:rPr>
                <w:rFonts w:hint="eastAsia"/>
                <w:b/>
                <w:bCs/>
                <w:color w:val="auto"/>
                <w:lang w:val="en-US" w:eastAsia="zh-CN"/>
              </w:rPr>
              <w:t>规划规模</w:t>
            </w:r>
          </w:p>
          <w:p w14:paraId="4D3DA346">
            <w:pPr>
              <w:pStyle w:val="16"/>
              <w:pageBreakBefore w:val="0"/>
              <w:wordWrap/>
              <w:bidi w:val="0"/>
              <w:adjustRightInd/>
              <w:snapToGrid/>
              <w:rPr>
                <w:rFonts w:hint="default"/>
                <w:b/>
                <w:bCs/>
                <w:color w:val="auto"/>
                <w:lang w:val="en-US" w:eastAsia="zh-CN"/>
              </w:rPr>
            </w:pPr>
            <w:r>
              <w:rPr>
                <w:rFonts w:hint="eastAsia"/>
                <w:b/>
                <w:bCs/>
                <w:color w:val="auto"/>
                <w:lang w:val="en-US" w:eastAsia="zh-CN"/>
              </w:rPr>
              <w:t>（万t/a）</w:t>
            </w:r>
          </w:p>
        </w:tc>
        <w:tc>
          <w:tcPr>
            <w:tcW w:w="0" w:type="auto"/>
            <w:gridSpan w:val="2"/>
            <w:tcBorders>
              <w:tl2br w:val="nil"/>
              <w:tr2bl w:val="nil"/>
            </w:tcBorders>
            <w:noWrap w:val="0"/>
            <w:vAlign w:val="center"/>
          </w:tcPr>
          <w:p w14:paraId="18501C6F">
            <w:pPr>
              <w:pStyle w:val="16"/>
              <w:pageBreakBefore w:val="0"/>
              <w:wordWrap/>
              <w:bidi w:val="0"/>
              <w:adjustRightInd/>
              <w:snapToGrid/>
              <w:rPr>
                <w:rFonts w:hint="eastAsia"/>
                <w:b/>
                <w:bCs/>
                <w:color w:val="auto"/>
                <w:lang w:val="en-US" w:eastAsia="zh-CN"/>
              </w:rPr>
            </w:pPr>
            <w:r>
              <w:rPr>
                <w:rFonts w:hint="eastAsia"/>
                <w:b/>
                <w:bCs/>
                <w:color w:val="auto"/>
                <w:lang w:val="en-US" w:eastAsia="zh-CN"/>
              </w:rPr>
              <w:t>废水量</w:t>
            </w:r>
          </w:p>
          <w:p w14:paraId="1EFCE967">
            <w:pPr>
              <w:pStyle w:val="16"/>
              <w:pageBreakBefore w:val="0"/>
              <w:wordWrap/>
              <w:bidi w:val="0"/>
              <w:adjustRightInd/>
              <w:snapToGrid/>
              <w:rPr>
                <w:b/>
                <w:bCs/>
                <w:color w:val="auto"/>
              </w:rPr>
            </w:pPr>
            <w:r>
              <w:rPr>
                <w:rFonts w:hint="eastAsia"/>
                <w:b/>
                <w:bCs/>
                <w:color w:val="auto"/>
                <w:lang w:val="en-US" w:eastAsia="zh-CN"/>
              </w:rPr>
              <w:t>（m³/d）</w:t>
            </w:r>
          </w:p>
        </w:tc>
        <w:tc>
          <w:tcPr>
            <w:tcW w:w="0" w:type="auto"/>
            <w:vMerge w:val="restart"/>
            <w:tcBorders>
              <w:tl2br w:val="nil"/>
              <w:tr2bl w:val="nil"/>
            </w:tcBorders>
            <w:noWrap w:val="0"/>
            <w:vAlign w:val="center"/>
          </w:tcPr>
          <w:p w14:paraId="1C73A813">
            <w:pPr>
              <w:pStyle w:val="16"/>
              <w:pageBreakBefore w:val="0"/>
              <w:wordWrap/>
              <w:bidi w:val="0"/>
              <w:adjustRightInd/>
              <w:snapToGrid/>
              <w:rPr>
                <w:rFonts w:hint="default"/>
                <w:b/>
                <w:bCs/>
                <w:color w:val="auto"/>
                <w:lang w:val="en-US" w:eastAsia="zh-CN"/>
              </w:rPr>
            </w:pPr>
            <w:r>
              <w:rPr>
                <w:rFonts w:hint="eastAsia"/>
                <w:b/>
                <w:bCs/>
                <w:color w:val="auto"/>
                <w:lang w:val="en-US" w:eastAsia="zh-CN"/>
              </w:rPr>
              <w:t>类比项目</w:t>
            </w:r>
          </w:p>
        </w:tc>
      </w:tr>
      <w:tr w14:paraId="4C8D85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vMerge w:val="continue"/>
            <w:tcBorders>
              <w:tl2br w:val="nil"/>
              <w:tr2bl w:val="nil"/>
            </w:tcBorders>
            <w:noWrap w:val="0"/>
            <w:vAlign w:val="center"/>
          </w:tcPr>
          <w:p w14:paraId="24CBB1CB">
            <w:pPr>
              <w:pStyle w:val="16"/>
              <w:pageBreakBefore w:val="0"/>
              <w:wordWrap/>
              <w:bidi w:val="0"/>
              <w:adjustRightInd/>
              <w:snapToGrid/>
              <w:rPr>
                <w:color w:val="auto"/>
              </w:rPr>
            </w:pPr>
          </w:p>
        </w:tc>
        <w:tc>
          <w:tcPr>
            <w:tcW w:w="0" w:type="auto"/>
            <w:tcBorders>
              <w:tl2br w:val="nil"/>
              <w:tr2bl w:val="nil"/>
            </w:tcBorders>
            <w:noWrap w:val="0"/>
            <w:vAlign w:val="center"/>
          </w:tcPr>
          <w:p w14:paraId="38C56E53">
            <w:pPr>
              <w:pStyle w:val="16"/>
              <w:pageBreakBefore w:val="0"/>
              <w:wordWrap/>
              <w:bidi w:val="0"/>
              <w:adjustRightInd/>
              <w:snapToGrid/>
              <w:rPr>
                <w:rFonts w:hint="eastAsia"/>
                <w:b/>
                <w:bCs/>
                <w:color w:val="auto"/>
                <w:lang w:val="en-US" w:eastAsia="zh-CN"/>
              </w:rPr>
            </w:pPr>
            <w:r>
              <w:rPr>
                <w:rFonts w:hint="eastAsia"/>
                <w:b/>
                <w:bCs/>
                <w:color w:val="auto"/>
                <w:lang w:val="en-US" w:eastAsia="zh-CN"/>
              </w:rPr>
              <w:t>近期</w:t>
            </w:r>
          </w:p>
        </w:tc>
        <w:tc>
          <w:tcPr>
            <w:tcW w:w="0" w:type="auto"/>
            <w:tcBorders>
              <w:tl2br w:val="nil"/>
              <w:tr2bl w:val="nil"/>
            </w:tcBorders>
            <w:noWrap w:val="0"/>
            <w:vAlign w:val="center"/>
          </w:tcPr>
          <w:p w14:paraId="06F48035">
            <w:pPr>
              <w:pStyle w:val="16"/>
              <w:pageBreakBefore w:val="0"/>
              <w:wordWrap/>
              <w:bidi w:val="0"/>
              <w:adjustRightInd/>
              <w:snapToGrid/>
              <w:rPr>
                <w:rFonts w:hint="eastAsia"/>
                <w:b/>
                <w:bCs/>
                <w:color w:val="auto"/>
                <w:lang w:val="en-US" w:eastAsia="zh-CN"/>
              </w:rPr>
            </w:pPr>
            <w:r>
              <w:rPr>
                <w:rFonts w:hint="eastAsia"/>
                <w:b/>
                <w:bCs/>
                <w:color w:val="auto"/>
                <w:lang w:val="en-US" w:eastAsia="zh-CN"/>
              </w:rPr>
              <w:t>远期</w:t>
            </w:r>
          </w:p>
        </w:tc>
        <w:tc>
          <w:tcPr>
            <w:tcW w:w="0" w:type="auto"/>
            <w:tcBorders>
              <w:tl2br w:val="nil"/>
              <w:tr2bl w:val="nil"/>
            </w:tcBorders>
            <w:noWrap w:val="0"/>
            <w:vAlign w:val="center"/>
          </w:tcPr>
          <w:p w14:paraId="4B18B44F">
            <w:pPr>
              <w:pStyle w:val="16"/>
              <w:pageBreakBefore w:val="0"/>
              <w:wordWrap/>
              <w:bidi w:val="0"/>
              <w:adjustRightInd/>
              <w:snapToGrid/>
              <w:rPr>
                <w:rFonts w:hint="eastAsia"/>
                <w:b/>
                <w:bCs/>
                <w:color w:val="auto"/>
                <w:lang w:val="en-US" w:eastAsia="zh-CN"/>
              </w:rPr>
            </w:pPr>
            <w:r>
              <w:rPr>
                <w:rFonts w:hint="eastAsia"/>
                <w:b/>
                <w:bCs/>
                <w:color w:val="auto"/>
                <w:lang w:val="en-US" w:eastAsia="zh-CN"/>
              </w:rPr>
              <w:t>最终</w:t>
            </w:r>
          </w:p>
        </w:tc>
        <w:tc>
          <w:tcPr>
            <w:tcW w:w="0" w:type="auto"/>
            <w:tcBorders>
              <w:tl2br w:val="nil"/>
              <w:tr2bl w:val="nil"/>
            </w:tcBorders>
            <w:noWrap w:val="0"/>
            <w:vAlign w:val="center"/>
          </w:tcPr>
          <w:p w14:paraId="0177E208">
            <w:pPr>
              <w:pStyle w:val="16"/>
              <w:pageBreakBefore w:val="0"/>
              <w:wordWrap/>
              <w:bidi w:val="0"/>
              <w:adjustRightInd/>
              <w:snapToGrid/>
              <w:rPr>
                <w:rFonts w:hint="eastAsia"/>
                <w:b/>
                <w:bCs/>
                <w:color w:val="auto"/>
                <w:lang w:val="en-US" w:eastAsia="zh-CN"/>
              </w:rPr>
            </w:pPr>
            <w:r>
              <w:rPr>
                <w:rFonts w:hint="eastAsia"/>
                <w:b/>
                <w:bCs/>
                <w:color w:val="auto"/>
                <w:lang w:val="en-US" w:eastAsia="zh-CN"/>
              </w:rPr>
              <w:t>近期</w:t>
            </w:r>
          </w:p>
        </w:tc>
        <w:tc>
          <w:tcPr>
            <w:tcW w:w="0" w:type="auto"/>
            <w:tcBorders>
              <w:tl2br w:val="nil"/>
              <w:tr2bl w:val="nil"/>
            </w:tcBorders>
            <w:noWrap w:val="0"/>
            <w:vAlign w:val="center"/>
          </w:tcPr>
          <w:p w14:paraId="3B1455C0">
            <w:pPr>
              <w:pStyle w:val="16"/>
              <w:pageBreakBefore w:val="0"/>
              <w:wordWrap/>
              <w:bidi w:val="0"/>
              <w:adjustRightInd/>
              <w:snapToGrid/>
              <w:rPr>
                <w:rFonts w:hint="eastAsia"/>
                <w:b/>
                <w:bCs/>
                <w:color w:val="auto"/>
                <w:lang w:val="en-US" w:eastAsia="zh-CN"/>
              </w:rPr>
            </w:pPr>
            <w:r>
              <w:rPr>
                <w:rFonts w:hint="eastAsia"/>
                <w:b/>
                <w:bCs/>
                <w:color w:val="auto"/>
                <w:lang w:val="en-US" w:eastAsia="zh-CN"/>
              </w:rPr>
              <w:t>远期</w:t>
            </w:r>
          </w:p>
        </w:tc>
        <w:tc>
          <w:tcPr>
            <w:tcW w:w="0" w:type="auto"/>
            <w:vMerge w:val="continue"/>
            <w:tcBorders>
              <w:tl2br w:val="nil"/>
              <w:tr2bl w:val="nil"/>
            </w:tcBorders>
            <w:noWrap w:val="0"/>
            <w:vAlign w:val="center"/>
          </w:tcPr>
          <w:p w14:paraId="38C77C1E">
            <w:pPr>
              <w:pStyle w:val="16"/>
              <w:pageBreakBefore w:val="0"/>
              <w:wordWrap/>
              <w:bidi w:val="0"/>
              <w:adjustRightInd/>
              <w:snapToGrid/>
              <w:rPr>
                <w:color w:val="auto"/>
              </w:rPr>
            </w:pPr>
          </w:p>
        </w:tc>
      </w:tr>
      <w:tr w14:paraId="5821B4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768CC809">
            <w:pPr>
              <w:pStyle w:val="16"/>
              <w:pageBreakBefore w:val="0"/>
              <w:wordWrap/>
              <w:bidi w:val="0"/>
              <w:adjustRightInd/>
              <w:snapToGrid/>
              <w:rPr>
                <w:color w:val="auto"/>
              </w:rPr>
            </w:pPr>
            <w:r>
              <w:rPr>
                <w:color w:val="auto"/>
              </w:rPr>
              <w:t>石墨烯项目</w:t>
            </w:r>
          </w:p>
        </w:tc>
        <w:tc>
          <w:tcPr>
            <w:tcW w:w="0" w:type="auto"/>
            <w:tcBorders>
              <w:tl2br w:val="nil"/>
              <w:tr2bl w:val="nil"/>
            </w:tcBorders>
            <w:noWrap w:val="0"/>
            <w:vAlign w:val="center"/>
          </w:tcPr>
          <w:p w14:paraId="0A4627F4">
            <w:pPr>
              <w:pStyle w:val="16"/>
              <w:pageBreakBefore w:val="0"/>
              <w:wordWrap/>
              <w:bidi w:val="0"/>
              <w:adjustRightInd/>
              <w:snapToGrid/>
              <w:rPr>
                <w:color w:val="auto"/>
              </w:rPr>
            </w:pPr>
            <w:r>
              <w:rPr>
                <w:color w:val="auto"/>
              </w:rPr>
              <w:t>0.01</w:t>
            </w:r>
          </w:p>
        </w:tc>
        <w:tc>
          <w:tcPr>
            <w:tcW w:w="0" w:type="auto"/>
            <w:tcBorders>
              <w:tl2br w:val="nil"/>
              <w:tr2bl w:val="nil"/>
            </w:tcBorders>
            <w:noWrap w:val="0"/>
            <w:vAlign w:val="center"/>
          </w:tcPr>
          <w:p w14:paraId="24EA2210">
            <w:pPr>
              <w:pStyle w:val="16"/>
              <w:pageBreakBefore w:val="0"/>
              <w:wordWrap/>
              <w:bidi w:val="0"/>
              <w:adjustRightInd/>
              <w:snapToGrid/>
              <w:rPr>
                <w:color w:val="auto"/>
              </w:rPr>
            </w:pPr>
          </w:p>
        </w:tc>
        <w:tc>
          <w:tcPr>
            <w:tcW w:w="0" w:type="auto"/>
            <w:tcBorders>
              <w:tl2br w:val="nil"/>
              <w:tr2bl w:val="nil"/>
            </w:tcBorders>
            <w:noWrap w:val="0"/>
            <w:vAlign w:val="center"/>
          </w:tcPr>
          <w:p w14:paraId="1076FE1E">
            <w:pPr>
              <w:pStyle w:val="16"/>
              <w:pageBreakBefore w:val="0"/>
              <w:wordWrap/>
              <w:bidi w:val="0"/>
              <w:adjustRightInd/>
              <w:snapToGrid/>
              <w:rPr>
                <w:color w:val="auto"/>
              </w:rPr>
            </w:pPr>
            <w:r>
              <w:rPr>
                <w:color w:val="auto"/>
              </w:rPr>
              <w:t>0.01</w:t>
            </w:r>
          </w:p>
        </w:tc>
        <w:tc>
          <w:tcPr>
            <w:tcW w:w="0" w:type="auto"/>
            <w:tcBorders>
              <w:tl2br w:val="nil"/>
              <w:tr2bl w:val="nil"/>
            </w:tcBorders>
            <w:noWrap w:val="0"/>
            <w:vAlign w:val="center"/>
          </w:tcPr>
          <w:p w14:paraId="182ED20A">
            <w:pPr>
              <w:pStyle w:val="16"/>
              <w:pageBreakBefore w:val="0"/>
              <w:wordWrap/>
              <w:bidi w:val="0"/>
              <w:adjustRightInd/>
              <w:snapToGrid/>
              <w:rPr>
                <w:color w:val="auto"/>
              </w:rPr>
            </w:pPr>
            <w:r>
              <w:rPr>
                <w:color w:val="auto"/>
              </w:rPr>
              <w:t>392</w:t>
            </w:r>
          </w:p>
        </w:tc>
        <w:tc>
          <w:tcPr>
            <w:tcW w:w="0" w:type="auto"/>
            <w:tcBorders>
              <w:tl2br w:val="nil"/>
              <w:tr2bl w:val="nil"/>
            </w:tcBorders>
            <w:noWrap w:val="0"/>
            <w:vAlign w:val="center"/>
          </w:tcPr>
          <w:p w14:paraId="12AFE034">
            <w:pPr>
              <w:pStyle w:val="16"/>
              <w:pageBreakBefore w:val="0"/>
              <w:wordWrap/>
              <w:bidi w:val="0"/>
              <w:adjustRightInd/>
              <w:snapToGrid/>
              <w:rPr>
                <w:color w:val="auto"/>
              </w:rPr>
            </w:pPr>
            <w:r>
              <w:rPr>
                <w:color w:val="auto"/>
              </w:rPr>
              <w:t>392</w:t>
            </w:r>
          </w:p>
        </w:tc>
        <w:tc>
          <w:tcPr>
            <w:tcW w:w="0" w:type="auto"/>
            <w:tcBorders>
              <w:tl2br w:val="nil"/>
              <w:tr2bl w:val="nil"/>
            </w:tcBorders>
            <w:noWrap w:val="0"/>
            <w:vAlign w:val="center"/>
          </w:tcPr>
          <w:p w14:paraId="12D9F773">
            <w:pPr>
              <w:pStyle w:val="16"/>
              <w:pageBreakBefore w:val="0"/>
              <w:wordWrap/>
              <w:bidi w:val="0"/>
              <w:adjustRightInd/>
              <w:snapToGrid/>
              <w:rPr>
                <w:color w:val="auto"/>
              </w:rPr>
            </w:pPr>
            <w:r>
              <w:rPr>
                <w:color w:val="auto"/>
              </w:rPr>
              <w:t>青岛华高汇石墨烯碳材料有限公司100吨</w:t>
            </w:r>
            <w:r>
              <w:rPr>
                <w:rFonts w:hint="eastAsia"/>
                <w:color w:val="auto"/>
                <w:lang w:eastAsia="zh-CN"/>
              </w:rPr>
              <w:t>（</w:t>
            </w:r>
            <w:r>
              <w:rPr>
                <w:color w:val="auto"/>
              </w:rPr>
              <w:t>氧化</w:t>
            </w:r>
            <w:r>
              <w:rPr>
                <w:rFonts w:hint="eastAsia"/>
                <w:color w:val="auto"/>
                <w:lang w:eastAsia="zh-CN"/>
              </w:rPr>
              <w:t>）</w:t>
            </w:r>
            <w:r>
              <w:rPr>
                <w:color w:val="auto"/>
              </w:rPr>
              <w:t>石墨烯生产项目</w:t>
            </w:r>
          </w:p>
        </w:tc>
      </w:tr>
      <w:tr w14:paraId="05BBF0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46C1201D">
            <w:pPr>
              <w:pStyle w:val="16"/>
              <w:pageBreakBefore w:val="0"/>
              <w:wordWrap/>
              <w:bidi w:val="0"/>
              <w:adjustRightInd/>
              <w:snapToGrid/>
              <w:rPr>
                <w:color w:val="auto"/>
              </w:rPr>
            </w:pPr>
            <w:r>
              <w:rPr>
                <w:color w:val="auto"/>
              </w:rPr>
              <w:t>磷酸铁锂项目</w:t>
            </w:r>
          </w:p>
        </w:tc>
        <w:tc>
          <w:tcPr>
            <w:tcW w:w="0" w:type="auto"/>
            <w:tcBorders>
              <w:tl2br w:val="nil"/>
              <w:tr2bl w:val="nil"/>
            </w:tcBorders>
            <w:noWrap w:val="0"/>
            <w:vAlign w:val="center"/>
          </w:tcPr>
          <w:p w14:paraId="62660ACF">
            <w:pPr>
              <w:pStyle w:val="16"/>
              <w:pageBreakBefore w:val="0"/>
              <w:wordWrap/>
              <w:bidi w:val="0"/>
              <w:adjustRightInd/>
              <w:snapToGrid/>
              <w:rPr>
                <w:color w:val="auto"/>
              </w:rPr>
            </w:pPr>
            <w:r>
              <w:rPr>
                <w:color w:val="auto"/>
              </w:rPr>
              <w:t>10</w:t>
            </w:r>
          </w:p>
        </w:tc>
        <w:tc>
          <w:tcPr>
            <w:tcW w:w="0" w:type="auto"/>
            <w:tcBorders>
              <w:tl2br w:val="nil"/>
              <w:tr2bl w:val="nil"/>
            </w:tcBorders>
            <w:noWrap w:val="0"/>
            <w:vAlign w:val="center"/>
          </w:tcPr>
          <w:p w14:paraId="5008F3D6">
            <w:pPr>
              <w:pStyle w:val="16"/>
              <w:pageBreakBefore w:val="0"/>
              <w:wordWrap/>
              <w:bidi w:val="0"/>
              <w:adjustRightInd/>
              <w:snapToGrid/>
              <w:rPr>
                <w:color w:val="auto"/>
              </w:rPr>
            </w:pPr>
          </w:p>
        </w:tc>
        <w:tc>
          <w:tcPr>
            <w:tcW w:w="0" w:type="auto"/>
            <w:tcBorders>
              <w:tl2br w:val="nil"/>
              <w:tr2bl w:val="nil"/>
            </w:tcBorders>
            <w:noWrap w:val="0"/>
            <w:vAlign w:val="center"/>
          </w:tcPr>
          <w:p w14:paraId="51F1DBED">
            <w:pPr>
              <w:pStyle w:val="16"/>
              <w:pageBreakBefore w:val="0"/>
              <w:wordWrap/>
              <w:bidi w:val="0"/>
              <w:adjustRightInd/>
              <w:snapToGrid/>
              <w:rPr>
                <w:color w:val="auto"/>
              </w:rPr>
            </w:pPr>
            <w:r>
              <w:rPr>
                <w:color w:val="auto"/>
              </w:rPr>
              <w:t>10</w:t>
            </w:r>
          </w:p>
        </w:tc>
        <w:tc>
          <w:tcPr>
            <w:tcW w:w="0" w:type="auto"/>
            <w:tcBorders>
              <w:tl2br w:val="nil"/>
              <w:tr2bl w:val="nil"/>
            </w:tcBorders>
            <w:noWrap w:val="0"/>
            <w:vAlign w:val="center"/>
          </w:tcPr>
          <w:p w14:paraId="5E07697B">
            <w:pPr>
              <w:pStyle w:val="16"/>
              <w:pageBreakBefore w:val="0"/>
              <w:wordWrap/>
              <w:bidi w:val="0"/>
              <w:adjustRightInd/>
              <w:snapToGrid/>
              <w:rPr>
                <w:color w:val="auto"/>
              </w:rPr>
            </w:pPr>
            <w:r>
              <w:rPr>
                <w:color w:val="auto"/>
              </w:rPr>
              <w:t>600</w:t>
            </w:r>
          </w:p>
        </w:tc>
        <w:tc>
          <w:tcPr>
            <w:tcW w:w="0" w:type="auto"/>
            <w:tcBorders>
              <w:tl2br w:val="nil"/>
              <w:tr2bl w:val="nil"/>
            </w:tcBorders>
            <w:noWrap w:val="0"/>
            <w:vAlign w:val="center"/>
          </w:tcPr>
          <w:p w14:paraId="00586004">
            <w:pPr>
              <w:pStyle w:val="16"/>
              <w:pageBreakBefore w:val="0"/>
              <w:wordWrap/>
              <w:bidi w:val="0"/>
              <w:adjustRightInd/>
              <w:snapToGrid/>
              <w:rPr>
                <w:color w:val="auto"/>
              </w:rPr>
            </w:pPr>
            <w:r>
              <w:rPr>
                <w:color w:val="auto"/>
              </w:rPr>
              <w:t>600</w:t>
            </w:r>
          </w:p>
        </w:tc>
        <w:tc>
          <w:tcPr>
            <w:tcW w:w="0" w:type="auto"/>
            <w:tcBorders>
              <w:tl2br w:val="nil"/>
              <w:tr2bl w:val="nil"/>
            </w:tcBorders>
            <w:noWrap w:val="0"/>
            <w:vAlign w:val="center"/>
          </w:tcPr>
          <w:p w14:paraId="64A44DF0">
            <w:pPr>
              <w:pStyle w:val="16"/>
              <w:pageBreakBefore w:val="0"/>
              <w:wordWrap/>
              <w:bidi w:val="0"/>
              <w:adjustRightInd/>
              <w:snapToGrid/>
              <w:rPr>
                <w:color w:val="auto"/>
              </w:rPr>
            </w:pPr>
            <w:r>
              <w:rPr>
                <w:color w:val="auto"/>
              </w:rPr>
              <w:t>内江融通高科先进材料有限公司16万吨磷酸铁锂锂电池正极材料生产和循环再制造项目</w:t>
            </w:r>
          </w:p>
        </w:tc>
      </w:tr>
      <w:tr w14:paraId="7DA5CE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36D2BBDE">
            <w:pPr>
              <w:pStyle w:val="16"/>
              <w:pageBreakBefore w:val="0"/>
              <w:wordWrap/>
              <w:bidi w:val="0"/>
              <w:adjustRightInd/>
              <w:snapToGrid/>
              <w:rPr>
                <w:color w:val="auto"/>
              </w:rPr>
            </w:pPr>
            <w:r>
              <w:rPr>
                <w:color w:val="auto"/>
              </w:rPr>
              <w:t>天然气液化*</w:t>
            </w:r>
          </w:p>
        </w:tc>
        <w:tc>
          <w:tcPr>
            <w:tcW w:w="0" w:type="auto"/>
            <w:tcBorders>
              <w:tl2br w:val="nil"/>
              <w:tr2bl w:val="nil"/>
            </w:tcBorders>
            <w:noWrap w:val="0"/>
            <w:vAlign w:val="center"/>
          </w:tcPr>
          <w:p w14:paraId="3B228B0E">
            <w:pPr>
              <w:pStyle w:val="16"/>
              <w:pageBreakBefore w:val="0"/>
              <w:wordWrap/>
              <w:bidi w:val="0"/>
              <w:adjustRightInd/>
              <w:snapToGrid/>
              <w:rPr>
                <w:color w:val="auto"/>
              </w:rPr>
            </w:pPr>
            <w:r>
              <w:rPr>
                <w:color w:val="auto"/>
              </w:rPr>
              <w:t>50</w:t>
            </w:r>
          </w:p>
        </w:tc>
        <w:tc>
          <w:tcPr>
            <w:tcW w:w="0" w:type="auto"/>
            <w:tcBorders>
              <w:tl2br w:val="nil"/>
              <w:tr2bl w:val="nil"/>
            </w:tcBorders>
            <w:noWrap w:val="0"/>
            <w:vAlign w:val="center"/>
          </w:tcPr>
          <w:p w14:paraId="25D58B35">
            <w:pPr>
              <w:pStyle w:val="16"/>
              <w:pageBreakBefore w:val="0"/>
              <w:wordWrap/>
              <w:bidi w:val="0"/>
              <w:adjustRightInd/>
              <w:snapToGrid/>
              <w:rPr>
                <w:color w:val="auto"/>
              </w:rPr>
            </w:pPr>
            <w:r>
              <w:rPr>
                <w:color w:val="auto"/>
              </w:rPr>
              <w:t>50</w:t>
            </w:r>
          </w:p>
        </w:tc>
        <w:tc>
          <w:tcPr>
            <w:tcW w:w="0" w:type="auto"/>
            <w:tcBorders>
              <w:tl2br w:val="nil"/>
              <w:tr2bl w:val="nil"/>
            </w:tcBorders>
            <w:noWrap w:val="0"/>
            <w:vAlign w:val="center"/>
          </w:tcPr>
          <w:p w14:paraId="00DB8A26">
            <w:pPr>
              <w:pStyle w:val="16"/>
              <w:pageBreakBefore w:val="0"/>
              <w:wordWrap/>
              <w:bidi w:val="0"/>
              <w:adjustRightInd/>
              <w:snapToGrid/>
              <w:rPr>
                <w:color w:val="auto"/>
              </w:rPr>
            </w:pPr>
            <w:r>
              <w:rPr>
                <w:color w:val="auto"/>
              </w:rPr>
              <w:t>100</w:t>
            </w:r>
          </w:p>
        </w:tc>
        <w:tc>
          <w:tcPr>
            <w:tcW w:w="0" w:type="auto"/>
            <w:tcBorders>
              <w:tl2br w:val="nil"/>
              <w:tr2bl w:val="nil"/>
            </w:tcBorders>
            <w:noWrap w:val="0"/>
            <w:vAlign w:val="center"/>
          </w:tcPr>
          <w:p w14:paraId="350360C6">
            <w:pPr>
              <w:pStyle w:val="16"/>
              <w:pageBreakBefore w:val="0"/>
              <w:wordWrap/>
              <w:bidi w:val="0"/>
              <w:adjustRightInd/>
              <w:snapToGrid/>
              <w:rPr>
                <w:color w:val="auto"/>
              </w:rPr>
            </w:pPr>
            <w:r>
              <w:rPr>
                <w:color w:val="auto"/>
              </w:rPr>
              <w:t>840</w:t>
            </w:r>
          </w:p>
        </w:tc>
        <w:tc>
          <w:tcPr>
            <w:tcW w:w="0" w:type="auto"/>
            <w:tcBorders>
              <w:tl2br w:val="nil"/>
              <w:tr2bl w:val="nil"/>
            </w:tcBorders>
            <w:noWrap w:val="0"/>
            <w:vAlign w:val="center"/>
          </w:tcPr>
          <w:p w14:paraId="18766F98">
            <w:pPr>
              <w:pStyle w:val="16"/>
              <w:pageBreakBefore w:val="0"/>
              <w:wordWrap/>
              <w:bidi w:val="0"/>
              <w:adjustRightInd/>
              <w:snapToGrid/>
              <w:rPr>
                <w:color w:val="auto"/>
              </w:rPr>
            </w:pPr>
            <w:r>
              <w:rPr>
                <w:color w:val="auto"/>
              </w:rPr>
              <w:t>1680</w:t>
            </w:r>
          </w:p>
        </w:tc>
        <w:tc>
          <w:tcPr>
            <w:tcW w:w="0" w:type="auto"/>
            <w:tcBorders>
              <w:tl2br w:val="nil"/>
              <w:tr2bl w:val="nil"/>
            </w:tcBorders>
            <w:noWrap w:val="0"/>
            <w:vAlign w:val="center"/>
          </w:tcPr>
          <w:p w14:paraId="36F6D2D9">
            <w:pPr>
              <w:pStyle w:val="16"/>
              <w:pageBreakBefore w:val="0"/>
              <w:wordWrap/>
              <w:bidi w:val="0"/>
              <w:adjustRightInd/>
              <w:snapToGrid/>
              <w:rPr>
                <w:rFonts w:hint="eastAsia" w:eastAsia="宋体"/>
                <w:color w:val="auto"/>
                <w:lang w:eastAsia="zh-CN"/>
              </w:rPr>
            </w:pPr>
            <w:r>
              <w:rPr>
                <w:color w:val="auto"/>
              </w:rPr>
              <w:t>四川广能能源有限公司高效清洁燃料气综合利用建设项目</w:t>
            </w:r>
            <w:r>
              <w:rPr>
                <w:rFonts w:hint="eastAsia"/>
                <w:color w:val="auto"/>
                <w:lang w:eastAsia="zh-CN"/>
              </w:rPr>
              <w:t>（</w:t>
            </w:r>
            <w:r>
              <w:rPr>
                <w:color w:val="auto"/>
              </w:rPr>
              <w:t>LNG</w:t>
            </w:r>
            <w:r>
              <w:rPr>
                <w:rFonts w:hint="eastAsia"/>
                <w:color w:val="auto"/>
                <w:lang w:eastAsia="zh-CN"/>
              </w:rPr>
              <w:t>）</w:t>
            </w:r>
          </w:p>
        </w:tc>
      </w:tr>
      <w:tr w14:paraId="0AFF89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31344983">
            <w:pPr>
              <w:pStyle w:val="16"/>
              <w:pageBreakBefore w:val="0"/>
              <w:wordWrap/>
              <w:bidi w:val="0"/>
              <w:adjustRightInd/>
              <w:snapToGrid/>
              <w:rPr>
                <w:color w:val="auto"/>
              </w:rPr>
            </w:pPr>
            <w:r>
              <w:rPr>
                <w:color w:val="auto"/>
              </w:rPr>
              <w:t>电解液项目</w:t>
            </w:r>
          </w:p>
        </w:tc>
        <w:tc>
          <w:tcPr>
            <w:tcW w:w="0" w:type="auto"/>
            <w:tcBorders>
              <w:tl2br w:val="nil"/>
              <w:tr2bl w:val="nil"/>
            </w:tcBorders>
            <w:noWrap w:val="0"/>
            <w:vAlign w:val="center"/>
          </w:tcPr>
          <w:p w14:paraId="4D997D72">
            <w:pPr>
              <w:pStyle w:val="16"/>
              <w:pageBreakBefore w:val="0"/>
              <w:wordWrap/>
              <w:bidi w:val="0"/>
              <w:adjustRightInd/>
              <w:snapToGrid/>
              <w:rPr>
                <w:color w:val="auto"/>
              </w:rPr>
            </w:pPr>
            <w:r>
              <w:rPr>
                <w:rFonts w:hint="eastAsia"/>
                <w:color w:val="auto"/>
                <w:lang w:eastAsia="zh-CN"/>
              </w:rPr>
              <w:t>1</w:t>
            </w:r>
            <w:r>
              <w:rPr>
                <w:color w:val="auto"/>
              </w:rPr>
              <w:t>.5</w:t>
            </w:r>
          </w:p>
        </w:tc>
        <w:tc>
          <w:tcPr>
            <w:tcW w:w="0" w:type="auto"/>
            <w:tcBorders>
              <w:tl2br w:val="nil"/>
              <w:tr2bl w:val="nil"/>
            </w:tcBorders>
            <w:noWrap w:val="0"/>
            <w:vAlign w:val="center"/>
          </w:tcPr>
          <w:p w14:paraId="76960CEF">
            <w:pPr>
              <w:pStyle w:val="16"/>
              <w:pageBreakBefore w:val="0"/>
              <w:wordWrap/>
              <w:bidi w:val="0"/>
              <w:adjustRightInd/>
              <w:snapToGrid/>
              <w:rPr>
                <w:color w:val="auto"/>
              </w:rPr>
            </w:pPr>
          </w:p>
        </w:tc>
        <w:tc>
          <w:tcPr>
            <w:tcW w:w="0" w:type="auto"/>
            <w:tcBorders>
              <w:tl2br w:val="nil"/>
              <w:tr2bl w:val="nil"/>
            </w:tcBorders>
            <w:noWrap w:val="0"/>
            <w:vAlign w:val="center"/>
          </w:tcPr>
          <w:p w14:paraId="2EB1667C">
            <w:pPr>
              <w:pStyle w:val="16"/>
              <w:pageBreakBefore w:val="0"/>
              <w:wordWrap/>
              <w:bidi w:val="0"/>
              <w:adjustRightInd/>
              <w:snapToGrid/>
              <w:rPr>
                <w:color w:val="auto"/>
              </w:rPr>
            </w:pPr>
            <w:r>
              <w:rPr>
                <w:rFonts w:hint="eastAsia"/>
                <w:color w:val="auto"/>
                <w:lang w:eastAsia="zh-CN"/>
              </w:rPr>
              <w:t>1</w:t>
            </w:r>
            <w:r>
              <w:rPr>
                <w:color w:val="auto"/>
              </w:rPr>
              <w:t>.5</w:t>
            </w:r>
          </w:p>
        </w:tc>
        <w:tc>
          <w:tcPr>
            <w:tcW w:w="0" w:type="auto"/>
            <w:tcBorders>
              <w:tl2br w:val="nil"/>
              <w:tr2bl w:val="nil"/>
            </w:tcBorders>
            <w:noWrap w:val="0"/>
            <w:vAlign w:val="center"/>
          </w:tcPr>
          <w:p w14:paraId="2A10813D">
            <w:pPr>
              <w:pStyle w:val="16"/>
              <w:pageBreakBefore w:val="0"/>
              <w:wordWrap/>
              <w:bidi w:val="0"/>
              <w:adjustRightInd/>
              <w:snapToGrid/>
              <w:rPr>
                <w:color w:val="auto"/>
              </w:rPr>
            </w:pPr>
            <w:r>
              <w:rPr>
                <w:color w:val="auto"/>
              </w:rPr>
              <w:t>561</w:t>
            </w:r>
          </w:p>
        </w:tc>
        <w:tc>
          <w:tcPr>
            <w:tcW w:w="0" w:type="auto"/>
            <w:tcBorders>
              <w:tl2br w:val="nil"/>
              <w:tr2bl w:val="nil"/>
            </w:tcBorders>
            <w:noWrap w:val="0"/>
            <w:vAlign w:val="center"/>
          </w:tcPr>
          <w:p w14:paraId="6E1F3902">
            <w:pPr>
              <w:pStyle w:val="16"/>
              <w:pageBreakBefore w:val="0"/>
              <w:wordWrap/>
              <w:bidi w:val="0"/>
              <w:adjustRightInd/>
              <w:snapToGrid/>
              <w:rPr>
                <w:color w:val="auto"/>
              </w:rPr>
            </w:pPr>
            <w:r>
              <w:rPr>
                <w:color w:val="auto"/>
              </w:rPr>
              <w:t>561</w:t>
            </w:r>
          </w:p>
        </w:tc>
        <w:tc>
          <w:tcPr>
            <w:tcW w:w="0" w:type="auto"/>
            <w:tcBorders>
              <w:tl2br w:val="nil"/>
              <w:tr2bl w:val="nil"/>
            </w:tcBorders>
            <w:noWrap w:val="0"/>
            <w:vAlign w:val="center"/>
          </w:tcPr>
          <w:p w14:paraId="13A7EBEC">
            <w:pPr>
              <w:pStyle w:val="16"/>
              <w:pageBreakBefore w:val="0"/>
              <w:wordWrap/>
              <w:bidi w:val="0"/>
              <w:adjustRightInd/>
              <w:snapToGrid/>
              <w:rPr>
                <w:color w:val="auto"/>
              </w:rPr>
            </w:pPr>
            <w:r>
              <w:rPr>
                <w:color w:val="auto"/>
              </w:rPr>
              <w:t>山东航盛新能源材料有限公司年产2万吨锂电池电解液</w:t>
            </w:r>
            <w:r>
              <w:rPr>
                <w:rFonts w:hint="eastAsia"/>
                <w:color w:val="auto"/>
                <w:lang w:eastAsia="zh-CN"/>
              </w:rPr>
              <w:t>项目</w:t>
            </w:r>
          </w:p>
        </w:tc>
      </w:tr>
      <w:tr w14:paraId="485750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3CF9BDDF">
            <w:pPr>
              <w:pStyle w:val="16"/>
              <w:pageBreakBefore w:val="0"/>
              <w:wordWrap/>
              <w:bidi w:val="0"/>
              <w:adjustRightInd/>
              <w:snapToGrid/>
              <w:rPr>
                <w:color w:val="auto"/>
              </w:rPr>
            </w:pPr>
            <w:r>
              <w:rPr>
                <w:color w:val="auto"/>
              </w:rPr>
              <w:t>天然气制乙炔/甲醛</w:t>
            </w:r>
          </w:p>
        </w:tc>
        <w:tc>
          <w:tcPr>
            <w:tcW w:w="0" w:type="auto"/>
            <w:tcBorders>
              <w:tl2br w:val="nil"/>
              <w:tr2bl w:val="nil"/>
            </w:tcBorders>
            <w:noWrap w:val="0"/>
            <w:vAlign w:val="center"/>
          </w:tcPr>
          <w:p w14:paraId="13A657D6">
            <w:pPr>
              <w:pStyle w:val="16"/>
              <w:pageBreakBefore w:val="0"/>
              <w:wordWrap/>
              <w:bidi w:val="0"/>
              <w:adjustRightInd/>
              <w:snapToGrid/>
              <w:rPr>
                <w:color w:val="auto"/>
              </w:rPr>
            </w:pPr>
          </w:p>
        </w:tc>
        <w:tc>
          <w:tcPr>
            <w:tcW w:w="0" w:type="auto"/>
            <w:tcBorders>
              <w:tl2br w:val="nil"/>
              <w:tr2bl w:val="nil"/>
            </w:tcBorders>
            <w:noWrap w:val="0"/>
            <w:vAlign w:val="center"/>
          </w:tcPr>
          <w:p w14:paraId="1C2326AE">
            <w:pPr>
              <w:pStyle w:val="16"/>
              <w:pageBreakBefore w:val="0"/>
              <w:wordWrap/>
              <w:bidi w:val="0"/>
              <w:adjustRightInd/>
              <w:snapToGrid/>
              <w:rPr>
                <w:color w:val="auto"/>
              </w:rPr>
            </w:pPr>
            <w:r>
              <w:rPr>
                <w:color w:val="auto"/>
              </w:rPr>
              <w:t>6/25</w:t>
            </w:r>
          </w:p>
        </w:tc>
        <w:tc>
          <w:tcPr>
            <w:tcW w:w="0" w:type="auto"/>
            <w:tcBorders>
              <w:tl2br w:val="nil"/>
              <w:tr2bl w:val="nil"/>
            </w:tcBorders>
            <w:noWrap w:val="0"/>
            <w:vAlign w:val="center"/>
          </w:tcPr>
          <w:p w14:paraId="6D7C7C9E">
            <w:pPr>
              <w:pStyle w:val="16"/>
              <w:pageBreakBefore w:val="0"/>
              <w:wordWrap/>
              <w:bidi w:val="0"/>
              <w:adjustRightInd/>
              <w:snapToGrid/>
              <w:rPr>
                <w:color w:val="auto"/>
              </w:rPr>
            </w:pPr>
            <w:r>
              <w:rPr>
                <w:color w:val="auto"/>
              </w:rPr>
              <w:t>6/25</w:t>
            </w:r>
          </w:p>
        </w:tc>
        <w:tc>
          <w:tcPr>
            <w:tcW w:w="0" w:type="auto"/>
            <w:tcBorders>
              <w:tl2br w:val="nil"/>
              <w:tr2bl w:val="nil"/>
            </w:tcBorders>
            <w:noWrap w:val="0"/>
            <w:vAlign w:val="center"/>
          </w:tcPr>
          <w:p w14:paraId="2F2B84A4">
            <w:pPr>
              <w:pStyle w:val="16"/>
              <w:pageBreakBefore w:val="0"/>
              <w:wordWrap/>
              <w:bidi w:val="0"/>
              <w:adjustRightInd/>
              <w:snapToGrid/>
              <w:rPr>
                <w:color w:val="auto"/>
              </w:rPr>
            </w:pPr>
          </w:p>
        </w:tc>
        <w:tc>
          <w:tcPr>
            <w:tcW w:w="0" w:type="auto"/>
            <w:tcBorders>
              <w:tl2br w:val="nil"/>
              <w:tr2bl w:val="nil"/>
            </w:tcBorders>
            <w:noWrap w:val="0"/>
            <w:vAlign w:val="center"/>
          </w:tcPr>
          <w:p w14:paraId="72337F3B">
            <w:pPr>
              <w:pStyle w:val="16"/>
              <w:pageBreakBefore w:val="0"/>
              <w:wordWrap/>
              <w:bidi w:val="0"/>
              <w:adjustRightInd/>
              <w:snapToGrid/>
              <w:rPr>
                <w:color w:val="auto"/>
              </w:rPr>
            </w:pPr>
            <w:r>
              <w:rPr>
                <w:color w:val="auto"/>
              </w:rPr>
              <w:t>4874</w:t>
            </w:r>
          </w:p>
        </w:tc>
        <w:tc>
          <w:tcPr>
            <w:tcW w:w="0" w:type="auto"/>
            <w:vMerge w:val="restart"/>
            <w:tcBorders>
              <w:tl2br w:val="nil"/>
              <w:tr2bl w:val="nil"/>
            </w:tcBorders>
            <w:noWrap w:val="0"/>
            <w:vAlign w:val="center"/>
          </w:tcPr>
          <w:p w14:paraId="4189A998">
            <w:pPr>
              <w:pStyle w:val="16"/>
              <w:pageBreakBefore w:val="0"/>
              <w:wordWrap/>
              <w:bidi w:val="0"/>
              <w:adjustRightInd/>
              <w:snapToGrid/>
              <w:rPr>
                <w:color w:val="auto"/>
              </w:rPr>
            </w:pPr>
            <w:r>
              <w:rPr>
                <w:color w:val="auto"/>
              </w:rPr>
              <w:t>《四川永盈新材料有限公司年产80万吨功能性新材料一体化产业链项目一期工程》</w:t>
            </w:r>
          </w:p>
        </w:tc>
      </w:tr>
      <w:tr w14:paraId="19C98D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2213A83C">
            <w:pPr>
              <w:pStyle w:val="16"/>
              <w:pageBreakBefore w:val="0"/>
              <w:wordWrap/>
              <w:bidi w:val="0"/>
              <w:adjustRightInd/>
              <w:snapToGrid/>
              <w:rPr>
                <w:rFonts w:hint="eastAsia" w:eastAsia="宋体"/>
                <w:color w:val="auto"/>
                <w:lang w:eastAsia="zh-CN"/>
              </w:rPr>
            </w:pPr>
            <w:r>
              <w:rPr>
                <w:color w:val="auto"/>
              </w:rPr>
              <w:t>1</w:t>
            </w:r>
            <w:r>
              <w:rPr>
                <w:rFonts w:hint="eastAsia"/>
                <w:color w:val="auto"/>
                <w:lang w:eastAsia="zh-CN"/>
              </w:rPr>
              <w:t>，</w:t>
            </w:r>
            <w:r>
              <w:rPr>
                <w:color w:val="auto"/>
              </w:rPr>
              <w:t>4-丁二醇</w:t>
            </w:r>
            <w:r>
              <w:rPr>
                <w:rFonts w:hint="eastAsia"/>
                <w:color w:val="auto"/>
                <w:lang w:eastAsia="zh-CN"/>
              </w:rPr>
              <w:t>（</w:t>
            </w:r>
            <w:r>
              <w:rPr>
                <w:color w:val="auto"/>
              </w:rPr>
              <w:t>BDO</w:t>
            </w:r>
            <w:r>
              <w:rPr>
                <w:rFonts w:hint="eastAsia"/>
                <w:color w:val="auto"/>
                <w:lang w:eastAsia="zh-CN"/>
              </w:rPr>
              <w:t>）</w:t>
            </w:r>
          </w:p>
        </w:tc>
        <w:tc>
          <w:tcPr>
            <w:tcW w:w="0" w:type="auto"/>
            <w:tcBorders>
              <w:tl2br w:val="nil"/>
              <w:tr2bl w:val="nil"/>
            </w:tcBorders>
            <w:noWrap w:val="0"/>
            <w:vAlign w:val="center"/>
          </w:tcPr>
          <w:p w14:paraId="12239D97">
            <w:pPr>
              <w:pStyle w:val="16"/>
              <w:pageBreakBefore w:val="0"/>
              <w:wordWrap/>
              <w:bidi w:val="0"/>
              <w:adjustRightInd/>
              <w:snapToGrid/>
              <w:rPr>
                <w:color w:val="auto"/>
              </w:rPr>
            </w:pPr>
          </w:p>
        </w:tc>
        <w:tc>
          <w:tcPr>
            <w:tcW w:w="0" w:type="auto"/>
            <w:tcBorders>
              <w:tl2br w:val="nil"/>
              <w:tr2bl w:val="nil"/>
            </w:tcBorders>
            <w:noWrap w:val="0"/>
            <w:vAlign w:val="center"/>
          </w:tcPr>
          <w:p w14:paraId="34FF3B51">
            <w:pPr>
              <w:pStyle w:val="16"/>
              <w:pageBreakBefore w:val="0"/>
              <w:wordWrap/>
              <w:bidi w:val="0"/>
              <w:adjustRightInd/>
              <w:snapToGrid/>
              <w:rPr>
                <w:color w:val="auto"/>
              </w:rPr>
            </w:pPr>
            <w:r>
              <w:rPr>
                <w:color w:val="auto"/>
              </w:rPr>
              <w:t>20</w:t>
            </w:r>
          </w:p>
        </w:tc>
        <w:tc>
          <w:tcPr>
            <w:tcW w:w="0" w:type="auto"/>
            <w:tcBorders>
              <w:tl2br w:val="nil"/>
              <w:tr2bl w:val="nil"/>
            </w:tcBorders>
            <w:noWrap w:val="0"/>
            <w:vAlign w:val="center"/>
          </w:tcPr>
          <w:p w14:paraId="21A07F5E">
            <w:pPr>
              <w:pStyle w:val="16"/>
              <w:pageBreakBefore w:val="0"/>
              <w:wordWrap/>
              <w:bidi w:val="0"/>
              <w:adjustRightInd/>
              <w:snapToGrid/>
              <w:rPr>
                <w:color w:val="auto"/>
              </w:rPr>
            </w:pPr>
            <w:r>
              <w:rPr>
                <w:color w:val="auto"/>
              </w:rPr>
              <w:t>20</w:t>
            </w:r>
          </w:p>
        </w:tc>
        <w:tc>
          <w:tcPr>
            <w:tcW w:w="0" w:type="auto"/>
            <w:tcBorders>
              <w:tl2br w:val="nil"/>
              <w:tr2bl w:val="nil"/>
            </w:tcBorders>
            <w:noWrap w:val="0"/>
            <w:vAlign w:val="center"/>
          </w:tcPr>
          <w:p w14:paraId="0326A210">
            <w:pPr>
              <w:pStyle w:val="16"/>
              <w:pageBreakBefore w:val="0"/>
              <w:wordWrap/>
              <w:bidi w:val="0"/>
              <w:adjustRightInd/>
              <w:snapToGrid/>
              <w:rPr>
                <w:color w:val="auto"/>
              </w:rPr>
            </w:pPr>
          </w:p>
        </w:tc>
        <w:tc>
          <w:tcPr>
            <w:tcW w:w="0" w:type="auto"/>
            <w:tcBorders>
              <w:tl2br w:val="nil"/>
              <w:tr2bl w:val="nil"/>
            </w:tcBorders>
            <w:noWrap w:val="0"/>
            <w:vAlign w:val="center"/>
          </w:tcPr>
          <w:p w14:paraId="35D31453">
            <w:pPr>
              <w:pStyle w:val="16"/>
              <w:pageBreakBefore w:val="0"/>
              <w:wordWrap/>
              <w:bidi w:val="0"/>
              <w:adjustRightInd/>
              <w:snapToGrid/>
              <w:rPr>
                <w:color w:val="auto"/>
              </w:rPr>
            </w:pPr>
            <w:r>
              <w:rPr>
                <w:color w:val="auto"/>
              </w:rPr>
              <w:t>1425</w:t>
            </w:r>
          </w:p>
        </w:tc>
        <w:tc>
          <w:tcPr>
            <w:tcW w:w="0" w:type="auto"/>
            <w:vMerge w:val="continue"/>
            <w:tcBorders>
              <w:tl2br w:val="nil"/>
              <w:tr2bl w:val="nil"/>
            </w:tcBorders>
            <w:noWrap w:val="0"/>
            <w:vAlign w:val="center"/>
          </w:tcPr>
          <w:p w14:paraId="59EBF374">
            <w:pPr>
              <w:pStyle w:val="16"/>
              <w:pageBreakBefore w:val="0"/>
              <w:wordWrap/>
              <w:bidi w:val="0"/>
              <w:adjustRightInd/>
              <w:snapToGrid/>
              <w:rPr>
                <w:color w:val="auto"/>
              </w:rPr>
            </w:pPr>
          </w:p>
        </w:tc>
      </w:tr>
      <w:tr w14:paraId="529F6D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62F96C85">
            <w:pPr>
              <w:pStyle w:val="16"/>
              <w:pageBreakBefore w:val="0"/>
              <w:wordWrap/>
              <w:bidi w:val="0"/>
              <w:adjustRightInd/>
              <w:snapToGrid/>
              <w:rPr>
                <w:color w:val="auto"/>
              </w:rPr>
            </w:pPr>
            <w:r>
              <w:rPr>
                <w:color w:val="auto"/>
              </w:rPr>
              <w:t>THF/PTMEG</w:t>
            </w:r>
          </w:p>
        </w:tc>
        <w:tc>
          <w:tcPr>
            <w:tcW w:w="0" w:type="auto"/>
            <w:tcBorders>
              <w:tl2br w:val="nil"/>
              <w:tr2bl w:val="nil"/>
            </w:tcBorders>
            <w:noWrap w:val="0"/>
            <w:vAlign w:val="center"/>
          </w:tcPr>
          <w:p w14:paraId="2DDD8CCD">
            <w:pPr>
              <w:pStyle w:val="16"/>
              <w:pageBreakBefore w:val="0"/>
              <w:wordWrap/>
              <w:bidi w:val="0"/>
              <w:adjustRightInd/>
              <w:snapToGrid/>
              <w:rPr>
                <w:color w:val="auto"/>
              </w:rPr>
            </w:pPr>
          </w:p>
        </w:tc>
        <w:tc>
          <w:tcPr>
            <w:tcW w:w="0" w:type="auto"/>
            <w:tcBorders>
              <w:tl2br w:val="nil"/>
              <w:tr2bl w:val="nil"/>
            </w:tcBorders>
            <w:noWrap w:val="0"/>
            <w:vAlign w:val="center"/>
          </w:tcPr>
          <w:p w14:paraId="117C61D5">
            <w:pPr>
              <w:pStyle w:val="16"/>
              <w:pageBreakBefore w:val="0"/>
              <w:wordWrap/>
              <w:bidi w:val="0"/>
              <w:adjustRightInd/>
              <w:snapToGrid/>
              <w:rPr>
                <w:color w:val="auto"/>
              </w:rPr>
            </w:pPr>
            <w:r>
              <w:rPr>
                <w:color w:val="auto"/>
              </w:rPr>
              <w:t>4</w:t>
            </w:r>
          </w:p>
        </w:tc>
        <w:tc>
          <w:tcPr>
            <w:tcW w:w="0" w:type="auto"/>
            <w:tcBorders>
              <w:tl2br w:val="nil"/>
              <w:tr2bl w:val="nil"/>
            </w:tcBorders>
            <w:noWrap w:val="0"/>
            <w:vAlign w:val="center"/>
          </w:tcPr>
          <w:p w14:paraId="70383699">
            <w:pPr>
              <w:pStyle w:val="16"/>
              <w:pageBreakBefore w:val="0"/>
              <w:wordWrap/>
              <w:bidi w:val="0"/>
              <w:adjustRightInd/>
              <w:snapToGrid/>
              <w:rPr>
                <w:color w:val="auto"/>
              </w:rPr>
            </w:pPr>
            <w:r>
              <w:rPr>
                <w:color w:val="auto"/>
              </w:rPr>
              <w:t>4</w:t>
            </w:r>
          </w:p>
        </w:tc>
        <w:tc>
          <w:tcPr>
            <w:tcW w:w="0" w:type="auto"/>
            <w:tcBorders>
              <w:tl2br w:val="nil"/>
              <w:tr2bl w:val="nil"/>
            </w:tcBorders>
            <w:noWrap w:val="0"/>
            <w:vAlign w:val="center"/>
          </w:tcPr>
          <w:p w14:paraId="1F02948D">
            <w:pPr>
              <w:pStyle w:val="16"/>
              <w:pageBreakBefore w:val="0"/>
              <w:wordWrap/>
              <w:bidi w:val="0"/>
              <w:adjustRightInd/>
              <w:snapToGrid/>
              <w:rPr>
                <w:color w:val="auto"/>
              </w:rPr>
            </w:pPr>
          </w:p>
        </w:tc>
        <w:tc>
          <w:tcPr>
            <w:tcW w:w="0" w:type="auto"/>
            <w:tcBorders>
              <w:tl2br w:val="nil"/>
              <w:tr2bl w:val="nil"/>
            </w:tcBorders>
            <w:noWrap w:val="0"/>
            <w:vAlign w:val="center"/>
          </w:tcPr>
          <w:p w14:paraId="623E7422">
            <w:pPr>
              <w:pStyle w:val="16"/>
              <w:pageBreakBefore w:val="0"/>
              <w:wordWrap/>
              <w:bidi w:val="0"/>
              <w:adjustRightInd/>
              <w:snapToGrid/>
              <w:rPr>
                <w:color w:val="auto"/>
              </w:rPr>
            </w:pPr>
            <w:r>
              <w:rPr>
                <w:color w:val="auto"/>
              </w:rPr>
              <w:t>28</w:t>
            </w:r>
          </w:p>
        </w:tc>
        <w:tc>
          <w:tcPr>
            <w:tcW w:w="0" w:type="auto"/>
            <w:vMerge w:val="continue"/>
            <w:tcBorders>
              <w:tl2br w:val="nil"/>
              <w:tr2bl w:val="nil"/>
            </w:tcBorders>
            <w:noWrap w:val="0"/>
            <w:vAlign w:val="center"/>
          </w:tcPr>
          <w:p w14:paraId="50D9F5C1">
            <w:pPr>
              <w:pStyle w:val="16"/>
              <w:pageBreakBefore w:val="0"/>
              <w:wordWrap/>
              <w:bidi w:val="0"/>
              <w:adjustRightInd/>
              <w:snapToGrid/>
              <w:rPr>
                <w:color w:val="auto"/>
              </w:rPr>
            </w:pPr>
          </w:p>
        </w:tc>
      </w:tr>
      <w:tr w14:paraId="5ABE85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15426329">
            <w:pPr>
              <w:pStyle w:val="16"/>
              <w:pageBreakBefore w:val="0"/>
              <w:wordWrap/>
              <w:bidi w:val="0"/>
              <w:adjustRightInd/>
              <w:snapToGrid/>
              <w:rPr>
                <w:color w:val="auto"/>
              </w:rPr>
            </w:pPr>
            <w:r>
              <w:rPr>
                <w:color w:val="auto"/>
              </w:rPr>
              <w:t>差别化氨纶项目</w:t>
            </w:r>
          </w:p>
        </w:tc>
        <w:tc>
          <w:tcPr>
            <w:tcW w:w="0" w:type="auto"/>
            <w:tcBorders>
              <w:tl2br w:val="nil"/>
              <w:tr2bl w:val="nil"/>
            </w:tcBorders>
            <w:noWrap w:val="0"/>
            <w:vAlign w:val="center"/>
          </w:tcPr>
          <w:p w14:paraId="0D79DCA4">
            <w:pPr>
              <w:pStyle w:val="16"/>
              <w:pageBreakBefore w:val="0"/>
              <w:wordWrap/>
              <w:bidi w:val="0"/>
              <w:adjustRightInd/>
              <w:snapToGrid/>
              <w:rPr>
                <w:color w:val="auto"/>
              </w:rPr>
            </w:pPr>
          </w:p>
        </w:tc>
        <w:tc>
          <w:tcPr>
            <w:tcW w:w="0" w:type="auto"/>
            <w:tcBorders>
              <w:tl2br w:val="nil"/>
              <w:tr2bl w:val="nil"/>
            </w:tcBorders>
            <w:noWrap w:val="0"/>
            <w:vAlign w:val="center"/>
          </w:tcPr>
          <w:p w14:paraId="745D1EB6">
            <w:pPr>
              <w:pStyle w:val="16"/>
              <w:pageBreakBefore w:val="0"/>
              <w:wordWrap/>
              <w:bidi w:val="0"/>
              <w:adjustRightInd/>
              <w:snapToGrid/>
              <w:rPr>
                <w:color w:val="auto"/>
              </w:rPr>
            </w:pPr>
            <w:r>
              <w:rPr>
                <w:color w:val="auto"/>
              </w:rPr>
              <w:t>6</w:t>
            </w:r>
          </w:p>
        </w:tc>
        <w:tc>
          <w:tcPr>
            <w:tcW w:w="0" w:type="auto"/>
            <w:tcBorders>
              <w:tl2br w:val="nil"/>
              <w:tr2bl w:val="nil"/>
            </w:tcBorders>
            <w:noWrap w:val="0"/>
            <w:vAlign w:val="center"/>
          </w:tcPr>
          <w:p w14:paraId="6301D058">
            <w:pPr>
              <w:pStyle w:val="16"/>
              <w:pageBreakBefore w:val="0"/>
              <w:wordWrap/>
              <w:bidi w:val="0"/>
              <w:adjustRightInd/>
              <w:snapToGrid/>
              <w:rPr>
                <w:color w:val="auto"/>
              </w:rPr>
            </w:pPr>
            <w:r>
              <w:rPr>
                <w:color w:val="auto"/>
              </w:rPr>
              <w:t>6</w:t>
            </w:r>
          </w:p>
        </w:tc>
        <w:tc>
          <w:tcPr>
            <w:tcW w:w="0" w:type="auto"/>
            <w:tcBorders>
              <w:tl2br w:val="nil"/>
              <w:tr2bl w:val="nil"/>
            </w:tcBorders>
            <w:noWrap w:val="0"/>
            <w:vAlign w:val="center"/>
          </w:tcPr>
          <w:p w14:paraId="0CC8DEC7">
            <w:pPr>
              <w:pStyle w:val="16"/>
              <w:pageBreakBefore w:val="0"/>
              <w:wordWrap/>
              <w:bidi w:val="0"/>
              <w:adjustRightInd/>
              <w:snapToGrid/>
              <w:rPr>
                <w:color w:val="auto"/>
              </w:rPr>
            </w:pPr>
          </w:p>
        </w:tc>
        <w:tc>
          <w:tcPr>
            <w:tcW w:w="0" w:type="auto"/>
            <w:tcBorders>
              <w:tl2br w:val="nil"/>
              <w:tr2bl w:val="nil"/>
            </w:tcBorders>
            <w:noWrap w:val="0"/>
            <w:vAlign w:val="center"/>
          </w:tcPr>
          <w:p w14:paraId="630850B0">
            <w:pPr>
              <w:pStyle w:val="16"/>
              <w:pageBreakBefore w:val="0"/>
              <w:wordWrap/>
              <w:bidi w:val="0"/>
              <w:adjustRightInd/>
              <w:snapToGrid/>
              <w:rPr>
                <w:color w:val="auto"/>
              </w:rPr>
            </w:pPr>
            <w:r>
              <w:rPr>
                <w:color w:val="auto"/>
              </w:rPr>
              <w:t>802</w:t>
            </w:r>
          </w:p>
        </w:tc>
        <w:tc>
          <w:tcPr>
            <w:tcW w:w="0" w:type="auto"/>
            <w:tcBorders>
              <w:tl2br w:val="nil"/>
              <w:tr2bl w:val="nil"/>
            </w:tcBorders>
            <w:noWrap w:val="0"/>
            <w:vAlign w:val="center"/>
          </w:tcPr>
          <w:p w14:paraId="7F6B8421">
            <w:pPr>
              <w:pStyle w:val="16"/>
              <w:pageBreakBefore w:val="0"/>
              <w:wordWrap/>
              <w:bidi w:val="0"/>
              <w:adjustRightInd/>
              <w:snapToGrid/>
              <w:rPr>
                <w:color w:val="auto"/>
              </w:rPr>
            </w:pPr>
            <w:r>
              <w:rPr>
                <w:color w:val="auto"/>
              </w:rPr>
              <w:t>《排放源统计调查产排污核算方法和系数手册》2826氨纶纤维制造业系数手册</w:t>
            </w:r>
          </w:p>
        </w:tc>
      </w:tr>
      <w:tr w14:paraId="3BE8E7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1425DB8D">
            <w:pPr>
              <w:pStyle w:val="16"/>
              <w:pageBreakBefore w:val="0"/>
              <w:wordWrap/>
              <w:bidi w:val="0"/>
              <w:adjustRightInd/>
              <w:snapToGrid/>
              <w:rPr>
                <w:color w:val="auto"/>
              </w:rPr>
            </w:pPr>
            <w:r>
              <w:rPr>
                <w:color w:val="auto"/>
              </w:rPr>
              <w:t>PBAT</w:t>
            </w:r>
          </w:p>
        </w:tc>
        <w:tc>
          <w:tcPr>
            <w:tcW w:w="0" w:type="auto"/>
            <w:tcBorders>
              <w:tl2br w:val="nil"/>
              <w:tr2bl w:val="nil"/>
            </w:tcBorders>
            <w:noWrap w:val="0"/>
            <w:vAlign w:val="center"/>
          </w:tcPr>
          <w:p w14:paraId="25D65B53">
            <w:pPr>
              <w:pStyle w:val="16"/>
              <w:pageBreakBefore w:val="0"/>
              <w:wordWrap/>
              <w:bidi w:val="0"/>
              <w:adjustRightInd/>
              <w:snapToGrid/>
              <w:rPr>
                <w:color w:val="auto"/>
              </w:rPr>
            </w:pPr>
          </w:p>
        </w:tc>
        <w:tc>
          <w:tcPr>
            <w:tcW w:w="0" w:type="auto"/>
            <w:tcBorders>
              <w:tl2br w:val="nil"/>
              <w:tr2bl w:val="nil"/>
            </w:tcBorders>
            <w:noWrap w:val="0"/>
            <w:vAlign w:val="center"/>
          </w:tcPr>
          <w:p w14:paraId="023D5F09">
            <w:pPr>
              <w:pStyle w:val="16"/>
              <w:pageBreakBefore w:val="0"/>
              <w:wordWrap/>
              <w:bidi w:val="0"/>
              <w:adjustRightInd/>
              <w:snapToGrid/>
              <w:rPr>
                <w:color w:val="auto"/>
              </w:rPr>
            </w:pPr>
            <w:r>
              <w:rPr>
                <w:color w:val="auto"/>
              </w:rPr>
              <w:t>6</w:t>
            </w:r>
          </w:p>
        </w:tc>
        <w:tc>
          <w:tcPr>
            <w:tcW w:w="0" w:type="auto"/>
            <w:tcBorders>
              <w:tl2br w:val="nil"/>
              <w:tr2bl w:val="nil"/>
            </w:tcBorders>
            <w:noWrap w:val="0"/>
            <w:vAlign w:val="center"/>
          </w:tcPr>
          <w:p w14:paraId="5C4C4A05">
            <w:pPr>
              <w:pStyle w:val="16"/>
              <w:pageBreakBefore w:val="0"/>
              <w:wordWrap/>
              <w:bidi w:val="0"/>
              <w:adjustRightInd/>
              <w:snapToGrid/>
              <w:rPr>
                <w:color w:val="auto"/>
              </w:rPr>
            </w:pPr>
            <w:r>
              <w:rPr>
                <w:color w:val="auto"/>
              </w:rPr>
              <w:t>6</w:t>
            </w:r>
          </w:p>
        </w:tc>
        <w:tc>
          <w:tcPr>
            <w:tcW w:w="0" w:type="auto"/>
            <w:tcBorders>
              <w:tl2br w:val="nil"/>
              <w:tr2bl w:val="nil"/>
            </w:tcBorders>
            <w:noWrap w:val="0"/>
            <w:vAlign w:val="center"/>
          </w:tcPr>
          <w:p w14:paraId="2888556D">
            <w:pPr>
              <w:pStyle w:val="16"/>
              <w:pageBreakBefore w:val="0"/>
              <w:wordWrap/>
              <w:bidi w:val="0"/>
              <w:adjustRightInd/>
              <w:snapToGrid/>
              <w:rPr>
                <w:color w:val="auto"/>
              </w:rPr>
            </w:pPr>
          </w:p>
        </w:tc>
        <w:tc>
          <w:tcPr>
            <w:tcW w:w="0" w:type="auto"/>
            <w:tcBorders>
              <w:tl2br w:val="nil"/>
              <w:tr2bl w:val="nil"/>
            </w:tcBorders>
            <w:noWrap w:val="0"/>
            <w:vAlign w:val="center"/>
          </w:tcPr>
          <w:p w14:paraId="6D3AC110">
            <w:pPr>
              <w:pStyle w:val="16"/>
              <w:pageBreakBefore w:val="0"/>
              <w:wordWrap/>
              <w:bidi w:val="0"/>
              <w:adjustRightInd/>
              <w:snapToGrid/>
              <w:rPr>
                <w:color w:val="auto"/>
              </w:rPr>
            </w:pPr>
            <w:r>
              <w:rPr>
                <w:color w:val="auto"/>
              </w:rPr>
              <w:t>38</w:t>
            </w:r>
          </w:p>
        </w:tc>
        <w:tc>
          <w:tcPr>
            <w:tcW w:w="0" w:type="auto"/>
            <w:tcBorders>
              <w:tl2br w:val="nil"/>
              <w:tr2bl w:val="nil"/>
            </w:tcBorders>
            <w:noWrap w:val="0"/>
            <w:vAlign w:val="center"/>
          </w:tcPr>
          <w:p w14:paraId="4E99D439">
            <w:pPr>
              <w:pStyle w:val="16"/>
              <w:pageBreakBefore w:val="0"/>
              <w:wordWrap/>
              <w:bidi w:val="0"/>
              <w:adjustRightInd/>
              <w:snapToGrid/>
              <w:rPr>
                <w:color w:val="auto"/>
              </w:rPr>
            </w:pPr>
            <w:r>
              <w:rPr>
                <w:color w:val="auto"/>
              </w:rPr>
              <w:t>《四川永盈新材料有限公司年产80万吨功能性新材料一体化产业链项目一期工程》</w:t>
            </w:r>
          </w:p>
        </w:tc>
      </w:tr>
      <w:tr w14:paraId="419098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49AA9A57">
            <w:pPr>
              <w:pStyle w:val="16"/>
              <w:pageBreakBefore w:val="0"/>
              <w:wordWrap/>
              <w:bidi w:val="0"/>
              <w:adjustRightInd/>
              <w:snapToGrid/>
              <w:rPr>
                <w:color w:val="auto"/>
              </w:rPr>
            </w:pPr>
            <w:r>
              <w:rPr>
                <w:color w:val="auto"/>
              </w:rPr>
              <w:t>NMP项目</w:t>
            </w:r>
          </w:p>
        </w:tc>
        <w:tc>
          <w:tcPr>
            <w:tcW w:w="0" w:type="auto"/>
            <w:tcBorders>
              <w:tl2br w:val="nil"/>
              <w:tr2bl w:val="nil"/>
            </w:tcBorders>
            <w:noWrap w:val="0"/>
            <w:vAlign w:val="center"/>
          </w:tcPr>
          <w:p w14:paraId="64E73B61">
            <w:pPr>
              <w:pStyle w:val="16"/>
              <w:pageBreakBefore w:val="0"/>
              <w:wordWrap/>
              <w:bidi w:val="0"/>
              <w:adjustRightInd/>
              <w:snapToGrid/>
              <w:rPr>
                <w:color w:val="auto"/>
              </w:rPr>
            </w:pPr>
          </w:p>
        </w:tc>
        <w:tc>
          <w:tcPr>
            <w:tcW w:w="0" w:type="auto"/>
            <w:tcBorders>
              <w:tl2br w:val="nil"/>
              <w:tr2bl w:val="nil"/>
            </w:tcBorders>
            <w:noWrap w:val="0"/>
            <w:vAlign w:val="center"/>
          </w:tcPr>
          <w:p w14:paraId="687C00D5">
            <w:pPr>
              <w:pStyle w:val="16"/>
              <w:pageBreakBefore w:val="0"/>
              <w:wordWrap/>
              <w:bidi w:val="0"/>
              <w:adjustRightInd/>
              <w:snapToGrid/>
              <w:rPr>
                <w:color w:val="auto"/>
              </w:rPr>
            </w:pPr>
            <w:r>
              <w:rPr>
                <w:color w:val="auto"/>
              </w:rPr>
              <w:t>6</w:t>
            </w:r>
          </w:p>
        </w:tc>
        <w:tc>
          <w:tcPr>
            <w:tcW w:w="0" w:type="auto"/>
            <w:tcBorders>
              <w:tl2br w:val="nil"/>
              <w:tr2bl w:val="nil"/>
            </w:tcBorders>
            <w:noWrap w:val="0"/>
            <w:vAlign w:val="center"/>
          </w:tcPr>
          <w:p w14:paraId="3ABD5FA0">
            <w:pPr>
              <w:pStyle w:val="16"/>
              <w:pageBreakBefore w:val="0"/>
              <w:wordWrap/>
              <w:bidi w:val="0"/>
              <w:adjustRightInd/>
              <w:snapToGrid/>
              <w:rPr>
                <w:color w:val="auto"/>
              </w:rPr>
            </w:pPr>
            <w:r>
              <w:rPr>
                <w:color w:val="auto"/>
              </w:rPr>
              <w:t>6</w:t>
            </w:r>
          </w:p>
        </w:tc>
        <w:tc>
          <w:tcPr>
            <w:tcW w:w="0" w:type="auto"/>
            <w:tcBorders>
              <w:tl2br w:val="nil"/>
              <w:tr2bl w:val="nil"/>
            </w:tcBorders>
            <w:noWrap w:val="0"/>
            <w:vAlign w:val="center"/>
          </w:tcPr>
          <w:p w14:paraId="691729D7">
            <w:pPr>
              <w:pStyle w:val="16"/>
              <w:pageBreakBefore w:val="0"/>
              <w:wordWrap/>
              <w:bidi w:val="0"/>
              <w:adjustRightInd/>
              <w:snapToGrid/>
              <w:rPr>
                <w:color w:val="auto"/>
              </w:rPr>
            </w:pPr>
          </w:p>
        </w:tc>
        <w:tc>
          <w:tcPr>
            <w:tcW w:w="0" w:type="auto"/>
            <w:tcBorders>
              <w:tl2br w:val="nil"/>
              <w:tr2bl w:val="nil"/>
            </w:tcBorders>
            <w:noWrap w:val="0"/>
            <w:vAlign w:val="center"/>
          </w:tcPr>
          <w:p w14:paraId="4C205B8E">
            <w:pPr>
              <w:pStyle w:val="16"/>
              <w:pageBreakBefore w:val="0"/>
              <w:wordWrap/>
              <w:bidi w:val="0"/>
              <w:adjustRightInd/>
              <w:snapToGrid/>
              <w:rPr>
                <w:color w:val="auto"/>
              </w:rPr>
            </w:pPr>
            <w:r>
              <w:rPr>
                <w:color w:val="auto"/>
              </w:rPr>
              <w:t>318</w:t>
            </w:r>
          </w:p>
        </w:tc>
        <w:tc>
          <w:tcPr>
            <w:tcW w:w="0" w:type="auto"/>
            <w:tcBorders>
              <w:tl2br w:val="nil"/>
              <w:tr2bl w:val="nil"/>
            </w:tcBorders>
            <w:noWrap w:val="0"/>
            <w:vAlign w:val="center"/>
          </w:tcPr>
          <w:p w14:paraId="7EE294C8">
            <w:pPr>
              <w:pStyle w:val="16"/>
              <w:pageBreakBefore w:val="0"/>
              <w:wordWrap/>
              <w:bidi w:val="0"/>
              <w:adjustRightInd/>
              <w:snapToGrid/>
              <w:rPr>
                <w:color w:val="auto"/>
              </w:rPr>
            </w:pPr>
            <w:r>
              <w:rPr>
                <w:color w:val="auto"/>
              </w:rPr>
              <w:t>陕西煤业化工集团新疆有限责任公司库尔勒天然气制化工新材料项目</w:t>
            </w:r>
          </w:p>
        </w:tc>
      </w:tr>
      <w:tr w14:paraId="23B986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429CF6F0">
            <w:pPr>
              <w:pStyle w:val="16"/>
              <w:pageBreakBefore w:val="0"/>
              <w:wordWrap/>
              <w:bidi w:val="0"/>
              <w:adjustRightInd/>
              <w:snapToGrid/>
              <w:rPr>
                <w:color w:val="auto"/>
              </w:rPr>
            </w:pPr>
            <w:r>
              <w:rPr>
                <w:color w:val="auto"/>
              </w:rPr>
              <w:t>TPEE项目</w:t>
            </w:r>
          </w:p>
        </w:tc>
        <w:tc>
          <w:tcPr>
            <w:tcW w:w="0" w:type="auto"/>
            <w:tcBorders>
              <w:tl2br w:val="nil"/>
              <w:tr2bl w:val="nil"/>
            </w:tcBorders>
            <w:noWrap w:val="0"/>
            <w:vAlign w:val="center"/>
          </w:tcPr>
          <w:p w14:paraId="711AF805">
            <w:pPr>
              <w:pStyle w:val="16"/>
              <w:pageBreakBefore w:val="0"/>
              <w:wordWrap/>
              <w:bidi w:val="0"/>
              <w:adjustRightInd/>
              <w:snapToGrid/>
              <w:rPr>
                <w:color w:val="auto"/>
              </w:rPr>
            </w:pPr>
          </w:p>
        </w:tc>
        <w:tc>
          <w:tcPr>
            <w:tcW w:w="0" w:type="auto"/>
            <w:tcBorders>
              <w:tl2br w:val="nil"/>
              <w:tr2bl w:val="nil"/>
            </w:tcBorders>
            <w:noWrap w:val="0"/>
            <w:vAlign w:val="center"/>
          </w:tcPr>
          <w:p w14:paraId="3497DA50">
            <w:pPr>
              <w:pStyle w:val="16"/>
              <w:pageBreakBefore w:val="0"/>
              <w:wordWrap/>
              <w:bidi w:val="0"/>
              <w:adjustRightInd/>
              <w:snapToGrid/>
              <w:rPr>
                <w:color w:val="auto"/>
              </w:rPr>
            </w:pPr>
            <w:r>
              <w:rPr>
                <w:color w:val="auto"/>
              </w:rPr>
              <w:t>2</w:t>
            </w:r>
          </w:p>
        </w:tc>
        <w:tc>
          <w:tcPr>
            <w:tcW w:w="0" w:type="auto"/>
            <w:tcBorders>
              <w:tl2br w:val="nil"/>
              <w:tr2bl w:val="nil"/>
            </w:tcBorders>
            <w:noWrap w:val="0"/>
            <w:vAlign w:val="center"/>
          </w:tcPr>
          <w:p w14:paraId="6EF50804">
            <w:pPr>
              <w:pStyle w:val="16"/>
              <w:pageBreakBefore w:val="0"/>
              <w:wordWrap/>
              <w:bidi w:val="0"/>
              <w:adjustRightInd/>
              <w:snapToGrid/>
              <w:rPr>
                <w:color w:val="auto"/>
              </w:rPr>
            </w:pPr>
            <w:r>
              <w:rPr>
                <w:color w:val="auto"/>
              </w:rPr>
              <w:t>2</w:t>
            </w:r>
          </w:p>
        </w:tc>
        <w:tc>
          <w:tcPr>
            <w:tcW w:w="0" w:type="auto"/>
            <w:tcBorders>
              <w:tl2br w:val="nil"/>
              <w:tr2bl w:val="nil"/>
            </w:tcBorders>
            <w:noWrap w:val="0"/>
            <w:vAlign w:val="center"/>
          </w:tcPr>
          <w:p w14:paraId="38766B52">
            <w:pPr>
              <w:pStyle w:val="16"/>
              <w:pageBreakBefore w:val="0"/>
              <w:wordWrap/>
              <w:bidi w:val="0"/>
              <w:adjustRightInd/>
              <w:snapToGrid/>
              <w:rPr>
                <w:color w:val="auto"/>
              </w:rPr>
            </w:pPr>
          </w:p>
        </w:tc>
        <w:tc>
          <w:tcPr>
            <w:tcW w:w="0" w:type="auto"/>
            <w:tcBorders>
              <w:tl2br w:val="nil"/>
              <w:tr2bl w:val="nil"/>
            </w:tcBorders>
            <w:noWrap w:val="0"/>
            <w:vAlign w:val="center"/>
          </w:tcPr>
          <w:p w14:paraId="408DBC0D">
            <w:pPr>
              <w:pStyle w:val="16"/>
              <w:pageBreakBefore w:val="0"/>
              <w:wordWrap/>
              <w:bidi w:val="0"/>
              <w:adjustRightInd/>
              <w:snapToGrid/>
              <w:rPr>
                <w:color w:val="auto"/>
              </w:rPr>
            </w:pPr>
            <w:r>
              <w:rPr>
                <w:color w:val="auto"/>
              </w:rPr>
              <w:t>92</w:t>
            </w:r>
          </w:p>
        </w:tc>
        <w:tc>
          <w:tcPr>
            <w:tcW w:w="0" w:type="auto"/>
            <w:tcBorders>
              <w:tl2br w:val="nil"/>
              <w:tr2bl w:val="nil"/>
            </w:tcBorders>
            <w:noWrap w:val="0"/>
            <w:vAlign w:val="center"/>
          </w:tcPr>
          <w:p w14:paraId="7A1515DB">
            <w:pPr>
              <w:pStyle w:val="16"/>
              <w:pageBreakBefore w:val="0"/>
              <w:wordWrap/>
              <w:bidi w:val="0"/>
              <w:adjustRightInd/>
              <w:snapToGrid/>
              <w:rPr>
                <w:color w:val="auto"/>
              </w:rPr>
            </w:pPr>
            <w:r>
              <w:rPr>
                <w:color w:val="auto"/>
              </w:rPr>
              <w:t>南通正盛化工科技有限公司年产6万吨PBT</w:t>
            </w:r>
            <w:r>
              <w:rPr>
                <w:rFonts w:hint="eastAsia"/>
                <w:color w:val="auto"/>
                <w:lang w:eastAsia="zh-CN"/>
              </w:rPr>
              <w:t>（</w:t>
            </w:r>
            <w:r>
              <w:rPr>
                <w:color w:val="auto"/>
              </w:rPr>
              <w:t>其中包含5万吨PBT工程塑料、1万吨PBT纤维</w:t>
            </w:r>
            <w:r>
              <w:rPr>
                <w:rFonts w:hint="eastAsia"/>
                <w:color w:val="auto"/>
                <w:lang w:eastAsia="zh-CN"/>
              </w:rPr>
              <w:t>）</w:t>
            </w:r>
            <w:r>
              <w:rPr>
                <w:color w:val="auto"/>
              </w:rPr>
              <w:t>、4万吨尼龙6切片、1万吨PBAT、1万吨TPEE和副产0.4万吨THF项目</w:t>
            </w:r>
          </w:p>
        </w:tc>
      </w:tr>
      <w:tr w14:paraId="65FA1A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2FC673DC">
            <w:pPr>
              <w:pStyle w:val="16"/>
              <w:pageBreakBefore w:val="0"/>
              <w:wordWrap/>
              <w:bidi w:val="0"/>
              <w:adjustRightInd/>
              <w:snapToGrid/>
              <w:rPr>
                <w:color w:val="auto"/>
              </w:rPr>
            </w:pPr>
            <w:r>
              <w:rPr>
                <w:color w:val="auto"/>
              </w:rPr>
              <w:t>PBS项目</w:t>
            </w:r>
          </w:p>
        </w:tc>
        <w:tc>
          <w:tcPr>
            <w:tcW w:w="0" w:type="auto"/>
            <w:tcBorders>
              <w:tl2br w:val="nil"/>
              <w:tr2bl w:val="nil"/>
            </w:tcBorders>
            <w:noWrap w:val="0"/>
            <w:vAlign w:val="center"/>
          </w:tcPr>
          <w:p w14:paraId="4D33EBA4">
            <w:pPr>
              <w:pStyle w:val="16"/>
              <w:pageBreakBefore w:val="0"/>
              <w:wordWrap/>
              <w:bidi w:val="0"/>
              <w:adjustRightInd/>
              <w:snapToGrid/>
              <w:rPr>
                <w:color w:val="auto"/>
              </w:rPr>
            </w:pPr>
          </w:p>
        </w:tc>
        <w:tc>
          <w:tcPr>
            <w:tcW w:w="0" w:type="auto"/>
            <w:tcBorders>
              <w:tl2br w:val="nil"/>
              <w:tr2bl w:val="nil"/>
            </w:tcBorders>
            <w:noWrap w:val="0"/>
            <w:vAlign w:val="center"/>
          </w:tcPr>
          <w:p w14:paraId="17753D30">
            <w:pPr>
              <w:pStyle w:val="16"/>
              <w:pageBreakBefore w:val="0"/>
              <w:wordWrap/>
              <w:bidi w:val="0"/>
              <w:adjustRightInd/>
              <w:snapToGrid/>
              <w:rPr>
                <w:color w:val="auto"/>
              </w:rPr>
            </w:pPr>
            <w:r>
              <w:rPr>
                <w:color w:val="auto"/>
              </w:rPr>
              <w:t>5</w:t>
            </w:r>
          </w:p>
        </w:tc>
        <w:tc>
          <w:tcPr>
            <w:tcW w:w="0" w:type="auto"/>
            <w:tcBorders>
              <w:tl2br w:val="nil"/>
              <w:tr2bl w:val="nil"/>
            </w:tcBorders>
            <w:noWrap w:val="0"/>
            <w:vAlign w:val="center"/>
          </w:tcPr>
          <w:p w14:paraId="14EBAF77">
            <w:pPr>
              <w:pStyle w:val="16"/>
              <w:pageBreakBefore w:val="0"/>
              <w:wordWrap/>
              <w:bidi w:val="0"/>
              <w:adjustRightInd/>
              <w:snapToGrid/>
              <w:rPr>
                <w:color w:val="auto"/>
              </w:rPr>
            </w:pPr>
            <w:r>
              <w:rPr>
                <w:color w:val="auto"/>
              </w:rPr>
              <w:t>5</w:t>
            </w:r>
          </w:p>
        </w:tc>
        <w:tc>
          <w:tcPr>
            <w:tcW w:w="0" w:type="auto"/>
            <w:tcBorders>
              <w:tl2br w:val="nil"/>
              <w:tr2bl w:val="nil"/>
            </w:tcBorders>
            <w:noWrap w:val="0"/>
            <w:vAlign w:val="center"/>
          </w:tcPr>
          <w:p w14:paraId="3EB04CC0">
            <w:pPr>
              <w:pStyle w:val="16"/>
              <w:pageBreakBefore w:val="0"/>
              <w:wordWrap/>
              <w:bidi w:val="0"/>
              <w:adjustRightInd/>
              <w:snapToGrid/>
              <w:rPr>
                <w:color w:val="auto"/>
              </w:rPr>
            </w:pPr>
          </w:p>
        </w:tc>
        <w:tc>
          <w:tcPr>
            <w:tcW w:w="0" w:type="auto"/>
            <w:tcBorders>
              <w:tl2br w:val="nil"/>
              <w:tr2bl w:val="nil"/>
            </w:tcBorders>
            <w:noWrap w:val="0"/>
            <w:vAlign w:val="center"/>
          </w:tcPr>
          <w:p w14:paraId="7F4D5527">
            <w:pPr>
              <w:pStyle w:val="16"/>
              <w:pageBreakBefore w:val="0"/>
              <w:wordWrap/>
              <w:bidi w:val="0"/>
              <w:adjustRightInd/>
              <w:snapToGrid/>
              <w:rPr>
                <w:color w:val="auto"/>
              </w:rPr>
            </w:pPr>
            <w:r>
              <w:rPr>
                <w:color w:val="auto"/>
              </w:rPr>
              <w:t>377</w:t>
            </w:r>
          </w:p>
        </w:tc>
        <w:tc>
          <w:tcPr>
            <w:tcW w:w="0" w:type="auto"/>
            <w:tcBorders>
              <w:tl2br w:val="nil"/>
              <w:tr2bl w:val="nil"/>
            </w:tcBorders>
            <w:noWrap w:val="0"/>
            <w:vAlign w:val="center"/>
          </w:tcPr>
          <w:p w14:paraId="6E504693">
            <w:pPr>
              <w:pStyle w:val="16"/>
              <w:pageBreakBefore w:val="0"/>
              <w:wordWrap/>
              <w:bidi w:val="0"/>
              <w:adjustRightInd/>
              <w:snapToGrid/>
              <w:rPr>
                <w:color w:val="auto"/>
              </w:rPr>
            </w:pPr>
            <w:r>
              <w:rPr>
                <w:color w:val="auto"/>
              </w:rPr>
              <w:t>内蒙古东景生物环保科技有限公司年产20万吨可降解聚酯</w:t>
            </w:r>
            <w:r>
              <w:rPr>
                <w:rFonts w:hint="eastAsia"/>
                <w:color w:val="auto"/>
                <w:lang w:eastAsia="zh-CN"/>
              </w:rPr>
              <w:t>（</w:t>
            </w:r>
            <w:r>
              <w:rPr>
                <w:color w:val="auto"/>
              </w:rPr>
              <w:t>PBS/PBAT</w:t>
            </w:r>
            <w:r>
              <w:rPr>
                <w:rFonts w:hint="eastAsia"/>
                <w:color w:val="auto"/>
                <w:lang w:eastAsia="zh-CN"/>
              </w:rPr>
              <w:t>）</w:t>
            </w:r>
            <w:r>
              <w:rPr>
                <w:color w:val="auto"/>
              </w:rPr>
              <w:t>项目</w:t>
            </w:r>
          </w:p>
        </w:tc>
      </w:tr>
      <w:tr w14:paraId="4CF26F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6F4E2D04">
            <w:pPr>
              <w:pStyle w:val="16"/>
              <w:pageBreakBefore w:val="0"/>
              <w:wordWrap/>
              <w:bidi w:val="0"/>
              <w:adjustRightInd/>
              <w:snapToGrid/>
              <w:rPr>
                <w:color w:val="auto"/>
              </w:rPr>
            </w:pPr>
            <w:r>
              <w:rPr>
                <w:color w:val="auto"/>
              </w:rPr>
              <w:t>PBT项目</w:t>
            </w:r>
          </w:p>
        </w:tc>
        <w:tc>
          <w:tcPr>
            <w:tcW w:w="0" w:type="auto"/>
            <w:tcBorders>
              <w:tl2br w:val="nil"/>
              <w:tr2bl w:val="nil"/>
            </w:tcBorders>
            <w:noWrap w:val="0"/>
            <w:vAlign w:val="center"/>
          </w:tcPr>
          <w:p w14:paraId="346D9797">
            <w:pPr>
              <w:pStyle w:val="16"/>
              <w:pageBreakBefore w:val="0"/>
              <w:wordWrap/>
              <w:bidi w:val="0"/>
              <w:adjustRightInd/>
              <w:snapToGrid/>
              <w:rPr>
                <w:color w:val="auto"/>
              </w:rPr>
            </w:pPr>
          </w:p>
        </w:tc>
        <w:tc>
          <w:tcPr>
            <w:tcW w:w="0" w:type="auto"/>
            <w:tcBorders>
              <w:tl2br w:val="nil"/>
              <w:tr2bl w:val="nil"/>
            </w:tcBorders>
            <w:noWrap w:val="0"/>
            <w:vAlign w:val="center"/>
          </w:tcPr>
          <w:p w14:paraId="38D6786C">
            <w:pPr>
              <w:pStyle w:val="16"/>
              <w:pageBreakBefore w:val="0"/>
              <w:wordWrap/>
              <w:bidi w:val="0"/>
              <w:adjustRightInd/>
              <w:snapToGrid/>
              <w:rPr>
                <w:rFonts w:hint="eastAsia" w:eastAsia="宋体"/>
                <w:color w:val="auto"/>
                <w:lang w:val="en-US" w:eastAsia="zh-CN"/>
              </w:rPr>
            </w:pPr>
            <w:r>
              <w:rPr>
                <w:rFonts w:hint="eastAsia"/>
                <w:color w:val="auto"/>
                <w:lang w:val="en-US" w:eastAsia="zh-CN"/>
              </w:rPr>
              <w:t>5</w:t>
            </w:r>
          </w:p>
        </w:tc>
        <w:tc>
          <w:tcPr>
            <w:tcW w:w="0" w:type="auto"/>
            <w:tcBorders>
              <w:tl2br w:val="nil"/>
              <w:tr2bl w:val="nil"/>
            </w:tcBorders>
            <w:noWrap w:val="0"/>
            <w:vAlign w:val="center"/>
          </w:tcPr>
          <w:p w14:paraId="5E4A3AB1">
            <w:pPr>
              <w:pStyle w:val="16"/>
              <w:pageBreakBefore w:val="0"/>
              <w:wordWrap/>
              <w:bidi w:val="0"/>
              <w:adjustRightInd/>
              <w:snapToGrid/>
              <w:rPr>
                <w:color w:val="auto"/>
              </w:rPr>
            </w:pPr>
            <w:r>
              <w:rPr>
                <w:color w:val="auto"/>
              </w:rPr>
              <w:t>5</w:t>
            </w:r>
          </w:p>
        </w:tc>
        <w:tc>
          <w:tcPr>
            <w:tcW w:w="0" w:type="auto"/>
            <w:tcBorders>
              <w:tl2br w:val="nil"/>
              <w:tr2bl w:val="nil"/>
            </w:tcBorders>
            <w:noWrap w:val="0"/>
            <w:vAlign w:val="center"/>
          </w:tcPr>
          <w:p w14:paraId="597D7FCC">
            <w:pPr>
              <w:pStyle w:val="16"/>
              <w:pageBreakBefore w:val="0"/>
              <w:wordWrap/>
              <w:bidi w:val="0"/>
              <w:adjustRightInd/>
              <w:snapToGrid/>
              <w:rPr>
                <w:color w:val="auto"/>
              </w:rPr>
            </w:pPr>
          </w:p>
        </w:tc>
        <w:tc>
          <w:tcPr>
            <w:tcW w:w="0" w:type="auto"/>
            <w:tcBorders>
              <w:tl2br w:val="nil"/>
              <w:tr2bl w:val="nil"/>
            </w:tcBorders>
            <w:noWrap w:val="0"/>
            <w:vAlign w:val="center"/>
          </w:tcPr>
          <w:p w14:paraId="673D66A8">
            <w:pPr>
              <w:pStyle w:val="16"/>
              <w:pageBreakBefore w:val="0"/>
              <w:wordWrap/>
              <w:bidi w:val="0"/>
              <w:adjustRightInd/>
              <w:snapToGrid/>
              <w:rPr>
                <w:color w:val="auto"/>
              </w:rPr>
            </w:pPr>
            <w:r>
              <w:rPr>
                <w:color w:val="auto"/>
              </w:rPr>
              <w:t>32</w:t>
            </w:r>
          </w:p>
        </w:tc>
        <w:tc>
          <w:tcPr>
            <w:tcW w:w="0" w:type="auto"/>
            <w:tcBorders>
              <w:tl2br w:val="nil"/>
              <w:tr2bl w:val="nil"/>
            </w:tcBorders>
            <w:noWrap w:val="0"/>
            <w:vAlign w:val="center"/>
          </w:tcPr>
          <w:p w14:paraId="58C8AEA8">
            <w:pPr>
              <w:pStyle w:val="16"/>
              <w:pageBreakBefore w:val="0"/>
              <w:wordWrap/>
              <w:bidi w:val="0"/>
              <w:adjustRightInd/>
              <w:snapToGrid/>
              <w:rPr>
                <w:rFonts w:hint="eastAsia" w:eastAsia="宋体"/>
                <w:color w:val="auto"/>
                <w:lang w:eastAsia="zh-CN"/>
              </w:rPr>
            </w:pPr>
            <w:r>
              <w:rPr>
                <w:color w:val="auto"/>
              </w:rPr>
              <w:t>宁夏冠能新材料科技有限公司NMP、PBT/PBTA、PTMEG等高分子材料、生物可降解材料及上游配套产业链项目</w:t>
            </w:r>
            <w:r>
              <w:rPr>
                <w:rFonts w:hint="eastAsia"/>
                <w:color w:val="auto"/>
                <w:lang w:eastAsia="zh-CN"/>
              </w:rPr>
              <w:t>（</w:t>
            </w:r>
            <w:r>
              <w:rPr>
                <w:color w:val="auto"/>
              </w:rPr>
              <w:t>一期工程</w:t>
            </w:r>
            <w:r>
              <w:rPr>
                <w:rFonts w:hint="eastAsia"/>
                <w:color w:val="auto"/>
                <w:lang w:eastAsia="zh-CN"/>
              </w:rPr>
              <w:t>）</w:t>
            </w:r>
          </w:p>
        </w:tc>
      </w:tr>
      <w:tr w14:paraId="5EC14A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45474B74">
            <w:pPr>
              <w:pStyle w:val="16"/>
              <w:pageBreakBefore w:val="0"/>
              <w:wordWrap/>
              <w:bidi w:val="0"/>
              <w:adjustRightInd/>
              <w:snapToGrid/>
              <w:rPr>
                <w:color w:val="auto"/>
              </w:rPr>
            </w:pPr>
            <w:r>
              <w:rPr>
                <w:color w:val="auto"/>
              </w:rPr>
              <w:t>公辅设施排水</w:t>
            </w:r>
          </w:p>
        </w:tc>
        <w:tc>
          <w:tcPr>
            <w:tcW w:w="0" w:type="auto"/>
            <w:tcBorders>
              <w:tl2br w:val="nil"/>
              <w:tr2bl w:val="nil"/>
            </w:tcBorders>
            <w:noWrap w:val="0"/>
            <w:vAlign w:val="center"/>
          </w:tcPr>
          <w:p w14:paraId="36242A0D">
            <w:pPr>
              <w:pStyle w:val="16"/>
              <w:pageBreakBefore w:val="0"/>
              <w:wordWrap/>
              <w:bidi w:val="0"/>
              <w:adjustRightInd/>
              <w:snapToGrid/>
              <w:rPr>
                <w:color w:val="auto"/>
              </w:rPr>
            </w:pPr>
          </w:p>
        </w:tc>
        <w:tc>
          <w:tcPr>
            <w:tcW w:w="0" w:type="auto"/>
            <w:tcBorders>
              <w:tl2br w:val="nil"/>
              <w:tr2bl w:val="nil"/>
            </w:tcBorders>
            <w:noWrap w:val="0"/>
            <w:vAlign w:val="center"/>
          </w:tcPr>
          <w:p w14:paraId="3CD6545A">
            <w:pPr>
              <w:pStyle w:val="16"/>
              <w:pageBreakBefore w:val="0"/>
              <w:wordWrap/>
              <w:bidi w:val="0"/>
              <w:adjustRightInd/>
              <w:snapToGrid/>
              <w:rPr>
                <w:color w:val="auto"/>
              </w:rPr>
            </w:pPr>
          </w:p>
        </w:tc>
        <w:tc>
          <w:tcPr>
            <w:tcW w:w="0" w:type="auto"/>
            <w:tcBorders>
              <w:tl2br w:val="nil"/>
              <w:tr2bl w:val="nil"/>
            </w:tcBorders>
            <w:noWrap w:val="0"/>
            <w:vAlign w:val="center"/>
          </w:tcPr>
          <w:p w14:paraId="4224F2AA">
            <w:pPr>
              <w:pStyle w:val="16"/>
              <w:pageBreakBefore w:val="0"/>
              <w:wordWrap/>
              <w:bidi w:val="0"/>
              <w:adjustRightInd/>
              <w:snapToGrid/>
              <w:rPr>
                <w:color w:val="auto"/>
              </w:rPr>
            </w:pPr>
          </w:p>
        </w:tc>
        <w:tc>
          <w:tcPr>
            <w:tcW w:w="0" w:type="auto"/>
            <w:tcBorders>
              <w:tl2br w:val="nil"/>
              <w:tr2bl w:val="nil"/>
            </w:tcBorders>
            <w:noWrap w:val="0"/>
            <w:vAlign w:val="center"/>
          </w:tcPr>
          <w:p w14:paraId="093C397D">
            <w:pPr>
              <w:pStyle w:val="16"/>
              <w:pageBreakBefore w:val="0"/>
              <w:wordWrap/>
              <w:bidi w:val="0"/>
              <w:adjustRightInd/>
              <w:snapToGrid/>
              <w:rPr>
                <w:color w:val="auto"/>
              </w:rPr>
            </w:pPr>
          </w:p>
        </w:tc>
        <w:tc>
          <w:tcPr>
            <w:tcW w:w="0" w:type="auto"/>
            <w:tcBorders>
              <w:tl2br w:val="nil"/>
              <w:tr2bl w:val="nil"/>
            </w:tcBorders>
            <w:noWrap w:val="0"/>
            <w:vAlign w:val="center"/>
          </w:tcPr>
          <w:p w14:paraId="523EB4AE">
            <w:pPr>
              <w:pStyle w:val="16"/>
              <w:pageBreakBefore w:val="0"/>
              <w:wordWrap/>
              <w:bidi w:val="0"/>
              <w:adjustRightInd/>
              <w:snapToGrid/>
              <w:rPr>
                <w:color w:val="auto"/>
              </w:rPr>
            </w:pPr>
            <w:r>
              <w:rPr>
                <w:color w:val="auto"/>
              </w:rPr>
              <w:t>4181</w:t>
            </w:r>
          </w:p>
        </w:tc>
        <w:tc>
          <w:tcPr>
            <w:tcW w:w="0" w:type="auto"/>
            <w:tcBorders>
              <w:tl2br w:val="nil"/>
              <w:tr2bl w:val="nil"/>
            </w:tcBorders>
            <w:noWrap w:val="0"/>
            <w:vAlign w:val="center"/>
          </w:tcPr>
          <w:p w14:paraId="775FB119">
            <w:pPr>
              <w:pStyle w:val="16"/>
              <w:pageBreakBefore w:val="0"/>
              <w:wordWrap/>
              <w:bidi w:val="0"/>
              <w:adjustRightInd/>
              <w:snapToGrid/>
              <w:rPr>
                <w:color w:val="auto"/>
              </w:rPr>
            </w:pPr>
            <w:r>
              <w:rPr>
                <w:color w:val="auto"/>
              </w:rPr>
              <w:t>《四川永盈新材料有限公司年产80万吨功能性新材料一体化产业链项目一期工程》</w:t>
            </w:r>
          </w:p>
        </w:tc>
      </w:tr>
      <w:tr w14:paraId="70A87E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gridSpan w:val="4"/>
            <w:tcBorders>
              <w:tl2br w:val="nil"/>
              <w:tr2bl w:val="nil"/>
            </w:tcBorders>
            <w:noWrap w:val="0"/>
            <w:vAlign w:val="center"/>
          </w:tcPr>
          <w:p w14:paraId="152A870F">
            <w:pPr>
              <w:pStyle w:val="16"/>
              <w:pageBreakBefore w:val="0"/>
              <w:wordWrap/>
              <w:bidi w:val="0"/>
              <w:adjustRightInd/>
              <w:snapToGrid/>
              <w:rPr>
                <w:color w:val="auto"/>
              </w:rPr>
            </w:pPr>
            <w:r>
              <w:rPr>
                <w:color w:val="auto"/>
              </w:rPr>
              <w:t>合计</w:t>
            </w:r>
          </w:p>
        </w:tc>
        <w:tc>
          <w:tcPr>
            <w:tcW w:w="0" w:type="auto"/>
            <w:tcBorders>
              <w:tl2br w:val="nil"/>
              <w:tr2bl w:val="nil"/>
            </w:tcBorders>
            <w:noWrap w:val="0"/>
            <w:vAlign w:val="center"/>
          </w:tcPr>
          <w:p w14:paraId="173F319F">
            <w:pPr>
              <w:pStyle w:val="16"/>
              <w:pageBreakBefore w:val="0"/>
              <w:wordWrap/>
              <w:bidi w:val="0"/>
              <w:adjustRightInd/>
              <w:snapToGrid/>
              <w:rPr>
                <w:color w:val="auto"/>
              </w:rPr>
            </w:pPr>
            <w:r>
              <w:rPr>
                <w:color w:val="auto"/>
              </w:rPr>
              <w:t>2393</w:t>
            </w:r>
          </w:p>
        </w:tc>
        <w:tc>
          <w:tcPr>
            <w:tcW w:w="0" w:type="auto"/>
            <w:tcBorders>
              <w:tl2br w:val="nil"/>
              <w:tr2bl w:val="nil"/>
            </w:tcBorders>
            <w:noWrap w:val="0"/>
            <w:vAlign w:val="center"/>
          </w:tcPr>
          <w:p w14:paraId="0FABAAB7">
            <w:pPr>
              <w:pStyle w:val="16"/>
              <w:pageBreakBefore w:val="0"/>
              <w:wordWrap/>
              <w:bidi w:val="0"/>
              <w:adjustRightInd/>
              <w:snapToGrid/>
              <w:rPr>
                <w:color w:val="auto"/>
              </w:rPr>
            </w:pPr>
            <w:r>
              <w:rPr>
                <w:color w:val="auto"/>
              </w:rPr>
              <w:t>15400</w:t>
            </w:r>
          </w:p>
        </w:tc>
        <w:tc>
          <w:tcPr>
            <w:tcW w:w="0" w:type="auto"/>
            <w:tcBorders>
              <w:tl2br w:val="nil"/>
              <w:tr2bl w:val="nil"/>
            </w:tcBorders>
            <w:noWrap w:val="0"/>
            <w:vAlign w:val="center"/>
          </w:tcPr>
          <w:p w14:paraId="1D11C5B2">
            <w:pPr>
              <w:pStyle w:val="16"/>
              <w:pageBreakBefore w:val="0"/>
              <w:wordWrap/>
              <w:bidi w:val="0"/>
              <w:adjustRightInd/>
              <w:snapToGrid/>
              <w:rPr>
                <w:color w:val="auto"/>
              </w:rPr>
            </w:pPr>
          </w:p>
        </w:tc>
      </w:tr>
    </w:tbl>
    <w:p w14:paraId="23C0533A">
      <w:pPr>
        <w:pageBreakBefore w:val="0"/>
        <w:wordWrap/>
        <w:bidi w:val="0"/>
        <w:adjustRightInd/>
        <w:snapToGrid/>
        <w:rPr>
          <w:rFonts w:hint="eastAsia"/>
          <w:b/>
          <w:bCs/>
          <w:color w:val="auto"/>
          <w:sz w:val="21"/>
          <w:szCs w:val="21"/>
          <w:lang w:eastAsia="zh-CN"/>
        </w:rPr>
      </w:pPr>
      <w:r>
        <w:rPr>
          <w:rFonts w:hint="eastAsia"/>
          <w:b/>
          <w:bCs/>
          <w:color w:val="auto"/>
          <w:sz w:val="21"/>
          <w:szCs w:val="21"/>
        </w:rPr>
        <w:t>注</w:t>
      </w:r>
      <w:r>
        <w:rPr>
          <w:rFonts w:hint="eastAsia"/>
          <w:b/>
          <w:bCs/>
          <w:color w:val="auto"/>
          <w:sz w:val="21"/>
          <w:szCs w:val="21"/>
          <w:lang w:eastAsia="zh-CN"/>
        </w:rPr>
        <w:t>：“</w:t>
      </w:r>
      <w:r>
        <w:rPr>
          <w:rFonts w:hint="eastAsia"/>
          <w:b/>
          <w:bCs/>
          <w:color w:val="auto"/>
          <w:sz w:val="21"/>
          <w:szCs w:val="21"/>
        </w:rPr>
        <w:t>*</w:t>
      </w:r>
      <w:r>
        <w:rPr>
          <w:rFonts w:hint="eastAsia"/>
          <w:b/>
          <w:bCs/>
          <w:color w:val="auto"/>
          <w:sz w:val="21"/>
          <w:szCs w:val="21"/>
          <w:lang w:eastAsia="zh-CN"/>
        </w:rPr>
        <w:t>”</w:t>
      </w:r>
      <w:r>
        <w:rPr>
          <w:rFonts w:hint="eastAsia"/>
          <w:b/>
          <w:bCs/>
          <w:color w:val="auto"/>
          <w:sz w:val="21"/>
          <w:szCs w:val="21"/>
        </w:rPr>
        <w:t>单位万方/年</w:t>
      </w:r>
      <w:r>
        <w:rPr>
          <w:rFonts w:hint="eastAsia"/>
          <w:b/>
          <w:bCs/>
          <w:color w:val="auto"/>
          <w:sz w:val="21"/>
          <w:szCs w:val="21"/>
          <w:lang w:eastAsia="zh-CN"/>
        </w:rPr>
        <w:t>。</w:t>
      </w:r>
    </w:p>
    <w:p w14:paraId="01EE2912">
      <w:pPr>
        <w:pageBreakBefore w:val="0"/>
        <w:wordWrap/>
        <w:bidi w:val="0"/>
        <w:adjustRightInd/>
        <w:snapToGrid/>
        <w:rPr>
          <w:rFonts w:hint="eastAsia"/>
          <w:color w:val="auto"/>
          <w:lang w:eastAsia="zh-CN"/>
        </w:rPr>
      </w:pPr>
      <w:r>
        <w:rPr>
          <w:rFonts w:hint="eastAsia"/>
          <w:color w:val="auto"/>
          <w:lang w:eastAsia="zh-CN"/>
        </w:rPr>
        <w:t>根据</w:t>
      </w:r>
      <w:r>
        <w:rPr>
          <w:rFonts w:hint="eastAsia"/>
          <w:color w:val="auto"/>
          <w:lang w:val="en-US" w:eastAsia="zh-CN"/>
        </w:rPr>
        <w:t>修编</w:t>
      </w:r>
      <w:r>
        <w:rPr>
          <w:rFonts w:hint="eastAsia"/>
          <w:color w:val="auto"/>
          <w:lang w:eastAsia="zh-CN"/>
        </w:rPr>
        <w:t>规划环评预测数据，近期2025年，曾口区块污水量约0.24万</w:t>
      </w:r>
      <w:r>
        <w:rPr>
          <w:rFonts w:hint="eastAsia"/>
          <w:color w:val="auto"/>
          <w:lang w:val="en-US" w:eastAsia="zh-CN"/>
        </w:rPr>
        <w:t>m³</w:t>
      </w:r>
      <w:r>
        <w:rPr>
          <w:rFonts w:hint="eastAsia"/>
          <w:color w:val="auto"/>
          <w:lang w:eastAsia="zh-CN"/>
        </w:rPr>
        <w:t>/d；</w:t>
      </w:r>
      <w:r>
        <w:rPr>
          <w:rFonts w:hint="eastAsia"/>
          <w:color w:val="auto"/>
          <w:lang w:val="en-US" w:eastAsia="zh-CN"/>
        </w:rPr>
        <w:t>远期</w:t>
      </w:r>
      <w:r>
        <w:rPr>
          <w:rFonts w:hint="eastAsia"/>
          <w:color w:val="auto"/>
          <w:lang w:eastAsia="zh-CN"/>
        </w:rPr>
        <w:t>2035年，曾口区块污水量约1.54万</w:t>
      </w:r>
      <w:r>
        <w:rPr>
          <w:rFonts w:hint="eastAsia"/>
          <w:color w:val="auto"/>
          <w:lang w:val="en-US" w:eastAsia="zh-CN"/>
        </w:rPr>
        <w:t>m³</w:t>
      </w:r>
      <w:r>
        <w:rPr>
          <w:rFonts w:hint="eastAsia"/>
          <w:color w:val="auto"/>
          <w:lang w:eastAsia="zh-CN"/>
        </w:rPr>
        <w:t>/d。</w:t>
      </w:r>
    </w:p>
    <w:p w14:paraId="679D3E06">
      <w:pPr>
        <w:pageBreakBefore w:val="0"/>
        <w:wordWrap/>
        <w:bidi w:val="0"/>
        <w:adjustRightInd/>
        <w:snapToGrid/>
        <w:rPr>
          <w:rFonts w:hint="eastAsia" w:eastAsia="宋体"/>
          <w:b/>
          <w:bCs/>
          <w:color w:val="auto"/>
          <w:lang w:val="en-US" w:eastAsia="zh-CN"/>
        </w:rPr>
      </w:pPr>
      <w:r>
        <w:rPr>
          <w:rFonts w:hint="eastAsia"/>
          <w:b/>
          <w:bCs/>
          <w:color w:val="auto"/>
          <w:lang w:val="en-US" w:eastAsia="zh-CN"/>
        </w:rPr>
        <w:t>3、污水处理厂规模预测</w:t>
      </w:r>
    </w:p>
    <w:p w14:paraId="22D3799D">
      <w:pPr>
        <w:pStyle w:val="321"/>
        <w:pageBreakBefore w:val="0"/>
        <w:wordWrap/>
        <w:bidi w:val="0"/>
        <w:adjustRightInd/>
        <w:snapToGrid/>
        <w:spacing w:line="360" w:lineRule="auto"/>
        <w:rPr>
          <w:rFonts w:hint="eastAsia" w:eastAsia="宋体" w:cs="Times New Roman"/>
          <w:color w:val="auto"/>
          <w:lang w:eastAsia="zh-CN"/>
        </w:rPr>
      </w:pPr>
      <w:r>
        <w:rPr>
          <w:rFonts w:hint="eastAsia" w:cs="Times New Roman"/>
          <w:color w:val="auto"/>
        </w:rPr>
        <w:t>通过上述预测，同时考虑到曾口片区目前尚未有企业入驻，在规划期内企业污水量增长情况很可能变化，因此，</w:t>
      </w:r>
      <w:r>
        <w:rPr>
          <w:rFonts w:hint="eastAsia" w:cs="Times New Roman"/>
          <w:color w:val="auto"/>
          <w:lang w:eastAsia="zh-CN"/>
        </w:rPr>
        <w:t>按照“</w:t>
      </w:r>
      <w:r>
        <w:rPr>
          <w:rFonts w:hint="eastAsia" w:cs="Times New Roman"/>
          <w:color w:val="auto"/>
        </w:rPr>
        <w:t>一次规划、逐步开发、分期建设、滚动发展</w:t>
      </w:r>
      <w:r>
        <w:rPr>
          <w:rFonts w:hint="eastAsia" w:cs="Times New Roman"/>
          <w:color w:val="auto"/>
          <w:lang w:eastAsia="zh-CN"/>
        </w:rPr>
        <w:t>”</w:t>
      </w:r>
      <w:r>
        <w:rPr>
          <w:rFonts w:hint="eastAsia" w:cs="Times New Roman"/>
          <w:color w:val="auto"/>
        </w:rPr>
        <w:t>的原则，对污水处理规模进行适当分期以下为分期污水预测表</w:t>
      </w:r>
      <w:r>
        <w:rPr>
          <w:rFonts w:hint="eastAsia" w:cs="Times New Roman"/>
          <w:color w:val="auto"/>
          <w:lang w:eastAsia="zh-CN"/>
        </w:rPr>
        <w:t>：</w:t>
      </w:r>
    </w:p>
    <w:p w14:paraId="127768FC">
      <w:pPr>
        <w:pStyle w:val="19"/>
        <w:numPr>
          <w:ilvl w:val="0"/>
          <w:numId w:val="14"/>
        </w:numPr>
        <w:bidi w:val="0"/>
        <w:ind w:left="0" w:leftChars="0" w:firstLine="0" w:firstLineChars="0"/>
        <w:rPr>
          <w:rFonts w:hint="default"/>
          <w:color w:val="auto"/>
          <w:lang w:val="en-US" w:eastAsia="zh-CN"/>
        </w:rPr>
      </w:pPr>
      <w:r>
        <w:rPr>
          <w:rFonts w:hint="eastAsia"/>
          <w:color w:val="auto"/>
          <w:lang w:val="en-US" w:eastAsia="zh-CN"/>
        </w:rPr>
        <w:t>污水处理厂规模预测一览表</w:t>
      </w:r>
    </w:p>
    <w:tbl>
      <w:tblPr>
        <w:tblStyle w:val="5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2850"/>
        <w:gridCol w:w="2852"/>
        <w:gridCol w:w="2855"/>
      </w:tblGrid>
      <w:tr w14:paraId="767DE3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65" w:type="pct"/>
            <w:tcBorders>
              <w:tl2br w:val="nil"/>
              <w:tr2bl w:val="nil"/>
            </w:tcBorders>
            <w:noWrap w:val="0"/>
            <w:vAlign w:val="center"/>
          </w:tcPr>
          <w:p w14:paraId="7596531A">
            <w:pPr>
              <w:pStyle w:val="16"/>
              <w:pageBreakBefore w:val="0"/>
              <w:wordWrap/>
              <w:bidi w:val="0"/>
              <w:adjustRightInd/>
              <w:snapToGrid/>
              <w:rPr>
                <w:rFonts w:hint="default"/>
                <w:b/>
                <w:bCs/>
                <w:color w:val="auto"/>
                <w:sz w:val="21"/>
                <w:szCs w:val="21"/>
                <w:lang w:val="en-US" w:eastAsia="zh-CN"/>
              </w:rPr>
            </w:pPr>
            <w:r>
              <w:rPr>
                <w:rFonts w:hint="eastAsia"/>
                <w:b/>
                <w:bCs/>
                <w:color w:val="auto"/>
                <w:sz w:val="21"/>
                <w:szCs w:val="21"/>
                <w:lang w:val="en-US" w:eastAsia="zh-CN"/>
              </w:rPr>
              <w:t>名称</w:t>
            </w:r>
          </w:p>
        </w:tc>
        <w:tc>
          <w:tcPr>
            <w:tcW w:w="1666" w:type="pct"/>
            <w:tcBorders>
              <w:tl2br w:val="nil"/>
              <w:tr2bl w:val="nil"/>
            </w:tcBorders>
            <w:noWrap w:val="0"/>
            <w:vAlign w:val="center"/>
          </w:tcPr>
          <w:p w14:paraId="564C6F3E">
            <w:pPr>
              <w:pStyle w:val="16"/>
              <w:pageBreakBefore w:val="0"/>
              <w:wordWrap/>
              <w:bidi w:val="0"/>
              <w:adjustRightInd/>
              <w:snapToGrid/>
              <w:rPr>
                <w:rFonts w:hint="default" w:eastAsia="宋体"/>
                <w:b/>
                <w:bCs/>
                <w:color w:val="auto"/>
                <w:sz w:val="21"/>
                <w:szCs w:val="21"/>
                <w:lang w:val="en-US" w:eastAsia="zh-CN"/>
              </w:rPr>
            </w:pPr>
            <w:r>
              <w:rPr>
                <w:rFonts w:hint="eastAsia" w:eastAsia="宋体"/>
                <w:b/>
                <w:bCs/>
                <w:color w:val="auto"/>
                <w:sz w:val="21"/>
                <w:szCs w:val="21"/>
                <w:lang w:val="en-US" w:eastAsia="zh-CN"/>
              </w:rPr>
              <w:t>近期（2025年）</w:t>
            </w:r>
          </w:p>
        </w:tc>
        <w:tc>
          <w:tcPr>
            <w:tcW w:w="1668" w:type="pct"/>
            <w:tcBorders>
              <w:tl2br w:val="nil"/>
              <w:tr2bl w:val="nil"/>
            </w:tcBorders>
            <w:noWrap w:val="0"/>
            <w:vAlign w:val="center"/>
          </w:tcPr>
          <w:p w14:paraId="1428DD71">
            <w:pPr>
              <w:pStyle w:val="16"/>
              <w:pageBreakBefore w:val="0"/>
              <w:wordWrap/>
              <w:bidi w:val="0"/>
              <w:adjustRightInd/>
              <w:snapToGrid/>
              <w:rPr>
                <w:rFonts w:hint="default" w:eastAsia="宋体"/>
                <w:b/>
                <w:bCs/>
                <w:color w:val="auto"/>
                <w:sz w:val="21"/>
                <w:szCs w:val="21"/>
                <w:lang w:val="en-US" w:eastAsia="zh-CN"/>
              </w:rPr>
            </w:pPr>
            <w:r>
              <w:rPr>
                <w:rFonts w:hint="eastAsia" w:eastAsia="宋体"/>
                <w:b/>
                <w:bCs/>
                <w:color w:val="auto"/>
                <w:sz w:val="21"/>
                <w:szCs w:val="21"/>
                <w:lang w:val="en-US" w:eastAsia="zh-CN"/>
              </w:rPr>
              <w:t>远期（2035年）</w:t>
            </w:r>
          </w:p>
        </w:tc>
      </w:tr>
      <w:tr w14:paraId="71D886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65" w:type="pct"/>
            <w:tcBorders>
              <w:tl2br w:val="nil"/>
              <w:tr2bl w:val="nil"/>
            </w:tcBorders>
            <w:noWrap w:val="0"/>
            <w:vAlign w:val="center"/>
          </w:tcPr>
          <w:p w14:paraId="4B6BFC6E">
            <w:pPr>
              <w:pStyle w:val="16"/>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工业污水量（万</w:t>
            </w:r>
            <w:r>
              <w:rPr>
                <w:rFonts w:hint="eastAsia"/>
                <w:color w:val="auto"/>
                <w:sz w:val="21"/>
                <w:szCs w:val="21"/>
                <w:lang w:val="en-US" w:eastAsia="zh-CN"/>
              </w:rPr>
              <w:t>m³</w:t>
            </w:r>
            <w:r>
              <w:rPr>
                <w:rFonts w:hint="eastAsia" w:eastAsia="宋体"/>
                <w:color w:val="auto"/>
                <w:sz w:val="21"/>
                <w:szCs w:val="21"/>
                <w:lang w:val="en-US" w:eastAsia="zh-CN"/>
              </w:rPr>
              <w:t>/d）</w:t>
            </w:r>
          </w:p>
        </w:tc>
        <w:tc>
          <w:tcPr>
            <w:tcW w:w="1666" w:type="pct"/>
            <w:tcBorders>
              <w:tl2br w:val="nil"/>
              <w:tr2bl w:val="nil"/>
            </w:tcBorders>
            <w:noWrap w:val="0"/>
            <w:vAlign w:val="center"/>
          </w:tcPr>
          <w:p w14:paraId="7577565D">
            <w:pPr>
              <w:pStyle w:val="16"/>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0.24</w:t>
            </w:r>
          </w:p>
        </w:tc>
        <w:tc>
          <w:tcPr>
            <w:tcW w:w="1668" w:type="pct"/>
            <w:tcBorders>
              <w:tl2br w:val="nil"/>
              <w:tr2bl w:val="nil"/>
            </w:tcBorders>
            <w:noWrap w:val="0"/>
            <w:vAlign w:val="center"/>
          </w:tcPr>
          <w:p w14:paraId="0448E328">
            <w:pPr>
              <w:pStyle w:val="16"/>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1.54</w:t>
            </w:r>
          </w:p>
        </w:tc>
      </w:tr>
      <w:tr w14:paraId="5D00AB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65" w:type="pct"/>
            <w:tcBorders>
              <w:tl2br w:val="nil"/>
              <w:tr2bl w:val="nil"/>
            </w:tcBorders>
            <w:noWrap w:val="0"/>
            <w:vAlign w:val="center"/>
          </w:tcPr>
          <w:p w14:paraId="1BBCEB68">
            <w:pPr>
              <w:pStyle w:val="16"/>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处理规模</w:t>
            </w:r>
          </w:p>
        </w:tc>
        <w:tc>
          <w:tcPr>
            <w:tcW w:w="1666" w:type="pct"/>
            <w:tcBorders>
              <w:tl2br w:val="nil"/>
              <w:tr2bl w:val="nil"/>
            </w:tcBorders>
            <w:noWrap w:val="0"/>
            <w:vAlign w:val="center"/>
          </w:tcPr>
          <w:p w14:paraId="6D28D932">
            <w:pPr>
              <w:pStyle w:val="16"/>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0.3</w:t>
            </w:r>
          </w:p>
        </w:tc>
        <w:tc>
          <w:tcPr>
            <w:tcW w:w="1668" w:type="pct"/>
            <w:tcBorders>
              <w:tl2br w:val="nil"/>
              <w:tr2bl w:val="nil"/>
            </w:tcBorders>
            <w:noWrap w:val="0"/>
            <w:vAlign w:val="center"/>
          </w:tcPr>
          <w:p w14:paraId="156752C0">
            <w:pPr>
              <w:pStyle w:val="16"/>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1.6</w:t>
            </w:r>
          </w:p>
        </w:tc>
      </w:tr>
    </w:tbl>
    <w:p w14:paraId="7D2BABBE">
      <w:pPr>
        <w:pStyle w:val="321"/>
        <w:pageBreakBefore w:val="0"/>
        <w:wordWrap/>
        <w:bidi w:val="0"/>
        <w:adjustRightInd/>
        <w:snapToGrid/>
        <w:spacing w:line="360" w:lineRule="auto"/>
        <w:rPr>
          <w:rFonts w:hint="eastAsia" w:eastAsia="宋体" w:cs="Times New Roman"/>
          <w:color w:val="auto"/>
          <w:lang w:eastAsia="zh-CN"/>
        </w:rPr>
      </w:pPr>
      <w:r>
        <w:rPr>
          <w:rFonts w:hint="eastAsia" w:cs="Times New Roman"/>
          <w:color w:val="auto"/>
        </w:rPr>
        <w:t>结合曾口园区</w:t>
      </w:r>
      <w:r>
        <w:rPr>
          <w:rFonts w:hint="eastAsia" w:cs="Times New Roman"/>
          <w:color w:val="auto"/>
          <w:lang w:val="en-US" w:eastAsia="zh-CN"/>
        </w:rPr>
        <w:t>修编</w:t>
      </w:r>
      <w:r>
        <w:rPr>
          <w:rFonts w:hint="eastAsia" w:cs="Times New Roman"/>
          <w:color w:val="auto"/>
        </w:rPr>
        <w:t>规划资料和</w:t>
      </w:r>
      <w:r>
        <w:rPr>
          <w:rFonts w:hint="eastAsia" w:cs="Times New Roman"/>
          <w:color w:val="auto"/>
          <w:lang w:val="en-US" w:eastAsia="zh-CN"/>
        </w:rPr>
        <w:t>修编</w:t>
      </w:r>
      <w:r>
        <w:rPr>
          <w:rFonts w:hint="eastAsia" w:cs="Times New Roman"/>
          <w:color w:val="auto"/>
        </w:rPr>
        <w:t>规划环评资料，初步设计推荐本工程设计规模如下</w:t>
      </w:r>
      <w:r>
        <w:rPr>
          <w:rFonts w:hint="eastAsia" w:cs="Times New Roman"/>
          <w:color w:val="auto"/>
          <w:lang w:eastAsia="zh-CN"/>
        </w:rPr>
        <w:t>：</w:t>
      </w:r>
    </w:p>
    <w:p w14:paraId="6E777290">
      <w:pPr>
        <w:pStyle w:val="321"/>
        <w:pageBreakBefore w:val="0"/>
        <w:wordWrap/>
        <w:bidi w:val="0"/>
        <w:adjustRightInd/>
        <w:snapToGrid/>
        <w:spacing w:line="360" w:lineRule="auto"/>
        <w:rPr>
          <w:rFonts w:hint="eastAsia" w:eastAsia="宋体" w:cs="Times New Roman"/>
          <w:color w:val="auto"/>
          <w:lang w:eastAsia="zh-CN"/>
        </w:rPr>
      </w:pPr>
      <w:r>
        <w:rPr>
          <w:rFonts w:hint="eastAsia" w:cs="Times New Roman"/>
          <w:color w:val="auto"/>
        </w:rPr>
        <w:t>近期</w:t>
      </w:r>
      <w:r>
        <w:rPr>
          <w:rFonts w:hint="eastAsia" w:cs="Times New Roman"/>
          <w:color w:val="auto"/>
          <w:lang w:eastAsia="zh-CN"/>
        </w:rPr>
        <w:t>（</w:t>
      </w:r>
      <w:r>
        <w:rPr>
          <w:rFonts w:hint="eastAsia" w:cs="Times New Roman"/>
          <w:color w:val="auto"/>
        </w:rPr>
        <w:t>2025年</w:t>
      </w:r>
      <w:r>
        <w:rPr>
          <w:rFonts w:hint="eastAsia" w:cs="Times New Roman"/>
          <w:color w:val="auto"/>
          <w:lang w:eastAsia="zh-CN"/>
        </w:rPr>
        <w:t>）：</w:t>
      </w:r>
      <w:r>
        <w:rPr>
          <w:rFonts w:hint="eastAsia" w:cs="Times New Roman"/>
          <w:color w:val="auto"/>
        </w:rPr>
        <w:t>设计规模0.3万</w:t>
      </w:r>
      <w:r>
        <w:rPr>
          <w:rFonts w:hint="eastAsia" w:cs="Times New Roman"/>
          <w:color w:val="auto"/>
          <w:lang w:eastAsia="zh-CN"/>
        </w:rPr>
        <w:t>m³</w:t>
      </w:r>
      <w:r>
        <w:rPr>
          <w:rFonts w:hint="eastAsia" w:cs="Times New Roman"/>
          <w:color w:val="auto"/>
        </w:rPr>
        <w:t>/d</w:t>
      </w:r>
      <w:r>
        <w:rPr>
          <w:rFonts w:hint="eastAsia" w:cs="Times New Roman"/>
          <w:color w:val="auto"/>
          <w:lang w:eastAsia="zh-CN"/>
        </w:rPr>
        <w:t>；</w:t>
      </w:r>
    </w:p>
    <w:p w14:paraId="2EFC50F6">
      <w:pPr>
        <w:pStyle w:val="321"/>
        <w:pageBreakBefore w:val="0"/>
        <w:wordWrap/>
        <w:bidi w:val="0"/>
        <w:adjustRightInd/>
        <w:snapToGrid/>
        <w:spacing w:line="360" w:lineRule="auto"/>
        <w:rPr>
          <w:rFonts w:hint="eastAsia" w:cs="Times New Roman"/>
          <w:color w:val="auto"/>
        </w:rPr>
      </w:pPr>
      <w:r>
        <w:rPr>
          <w:rFonts w:hint="eastAsia" w:cs="Times New Roman"/>
          <w:color w:val="auto"/>
        </w:rPr>
        <w:t>远期</w:t>
      </w:r>
      <w:r>
        <w:rPr>
          <w:rFonts w:hint="eastAsia" w:cs="Times New Roman"/>
          <w:color w:val="auto"/>
          <w:lang w:eastAsia="zh-CN"/>
        </w:rPr>
        <w:t>（</w:t>
      </w:r>
      <w:r>
        <w:rPr>
          <w:rFonts w:hint="eastAsia" w:cs="Times New Roman"/>
          <w:color w:val="auto"/>
        </w:rPr>
        <w:t>2035年</w:t>
      </w:r>
      <w:r>
        <w:rPr>
          <w:rFonts w:hint="eastAsia" w:cs="Times New Roman"/>
          <w:color w:val="auto"/>
          <w:lang w:eastAsia="zh-CN"/>
        </w:rPr>
        <w:t>）：</w:t>
      </w:r>
      <w:r>
        <w:rPr>
          <w:rFonts w:hint="eastAsia" w:cs="Times New Roman"/>
          <w:color w:val="auto"/>
        </w:rPr>
        <w:t>设计规模为</w:t>
      </w:r>
      <w:r>
        <w:rPr>
          <w:rFonts w:hint="eastAsia" w:cs="Times New Roman"/>
          <w:color w:val="auto"/>
          <w:lang w:eastAsia="zh-CN"/>
        </w:rPr>
        <w:t>1</w:t>
      </w:r>
      <w:r>
        <w:rPr>
          <w:rFonts w:hint="eastAsia" w:cs="Times New Roman"/>
          <w:color w:val="auto"/>
        </w:rPr>
        <w:t>.6万</w:t>
      </w:r>
      <w:r>
        <w:rPr>
          <w:rFonts w:hint="eastAsia" w:cs="Times New Roman"/>
          <w:color w:val="auto"/>
          <w:lang w:eastAsia="zh-CN"/>
        </w:rPr>
        <w:t>m³</w:t>
      </w:r>
      <w:r>
        <w:rPr>
          <w:rFonts w:hint="eastAsia" w:cs="Times New Roman"/>
          <w:color w:val="auto"/>
        </w:rPr>
        <w:t>/d。</w:t>
      </w:r>
    </w:p>
    <w:p w14:paraId="7FB6A49B">
      <w:pPr>
        <w:bidi w:val="0"/>
        <w:rPr>
          <w:rFonts w:hint="eastAsia" w:eastAsia="宋体" w:cs="Times New Roman"/>
          <w:color w:val="auto"/>
          <w:lang w:val="en-US" w:eastAsia="zh-CN"/>
        </w:rPr>
      </w:pPr>
      <w:r>
        <w:rPr>
          <w:rFonts w:hint="eastAsia"/>
          <w:color w:val="auto"/>
        </w:rPr>
        <w:t>综上，本项目新建园区污水处理厂，对各企业排出的废水进行去除有机物、脱盐处理，部分废水进行循环利用，总建设规模为16000</w:t>
      </w:r>
      <w:r>
        <w:rPr>
          <w:rFonts w:hint="eastAsia"/>
          <w:color w:val="auto"/>
          <w:lang w:eastAsia="zh-CN"/>
        </w:rPr>
        <w:t>m³</w:t>
      </w:r>
      <w:r>
        <w:rPr>
          <w:rFonts w:hint="eastAsia"/>
          <w:color w:val="auto"/>
        </w:rPr>
        <w:t>/d，</w:t>
      </w:r>
      <w:r>
        <w:rPr>
          <w:rFonts w:hint="eastAsia" w:cs="Times New Roman"/>
          <w:color w:val="auto"/>
          <w:lang w:val="en-US" w:eastAsia="zh-CN"/>
        </w:rPr>
        <w:t>本次环评污水处理厂处理规模为一期3000</w:t>
      </w:r>
      <w:r>
        <w:rPr>
          <w:rFonts w:hint="eastAsia" w:cs="Times New Roman"/>
          <w:color w:val="auto"/>
          <w:lang w:eastAsia="zh-CN"/>
        </w:rPr>
        <w:t>m³</w:t>
      </w:r>
      <w:r>
        <w:rPr>
          <w:rFonts w:hint="eastAsia" w:cs="Times New Roman"/>
          <w:color w:val="auto"/>
        </w:rPr>
        <w:t>/d</w:t>
      </w:r>
      <w:r>
        <w:rPr>
          <w:rFonts w:hint="eastAsia" w:cs="Times New Roman"/>
          <w:color w:val="auto"/>
          <w:lang w:eastAsia="zh-CN"/>
        </w:rPr>
        <w:t>，</w:t>
      </w:r>
      <w:r>
        <w:rPr>
          <w:rFonts w:hint="eastAsia"/>
          <w:color w:val="auto"/>
          <w:lang w:val="en-US" w:eastAsia="zh-CN"/>
        </w:rPr>
        <w:t>能够满足近期污水处理实际要求</w:t>
      </w:r>
      <w:r>
        <w:rPr>
          <w:color w:val="auto"/>
        </w:rPr>
        <w:t>。</w:t>
      </w:r>
    </w:p>
    <w:p w14:paraId="63245280">
      <w:pPr>
        <w:bidi w:val="0"/>
        <w:rPr>
          <w:rFonts w:hint="eastAsia"/>
          <w:color w:val="auto"/>
        </w:rPr>
      </w:pPr>
    </w:p>
    <w:p w14:paraId="18544A25">
      <w:pPr>
        <w:bidi w:val="0"/>
        <w:rPr>
          <w:rFonts w:hint="eastAsia"/>
          <w:color w:val="auto"/>
        </w:rPr>
      </w:pPr>
    </w:p>
    <w:p w14:paraId="3DAE9C73">
      <w:pPr>
        <w:bidi w:val="0"/>
        <w:rPr>
          <w:rFonts w:hint="eastAsia"/>
          <w:color w:val="auto"/>
        </w:rPr>
        <w:sectPr>
          <w:pgSz w:w="11906" w:h="16838"/>
          <w:pgMar w:top="1701" w:right="1701" w:bottom="1701" w:left="1701" w:header="1134" w:footer="1134" w:gutter="0"/>
          <w:pgBorders>
            <w:top w:val="none" w:sz="0" w:space="0"/>
            <w:left w:val="none" w:sz="0" w:space="0"/>
            <w:bottom w:val="none" w:sz="0" w:space="0"/>
            <w:right w:val="none" w:sz="0" w:space="0"/>
          </w:pgBorders>
          <w:pgNumType w:fmt="decimal"/>
          <w:cols w:space="720" w:num="1"/>
          <w:docGrid w:type="lines" w:linePitch="312" w:charSpace="0"/>
        </w:sectPr>
      </w:pPr>
    </w:p>
    <w:bookmarkEnd w:id="60"/>
    <w:p w14:paraId="03BF5501">
      <w:pPr>
        <w:pStyle w:val="3"/>
        <w:pageBreakBefore w:val="0"/>
        <w:wordWrap/>
        <w:bidi w:val="0"/>
        <w:adjustRightInd/>
        <w:snapToGrid/>
        <w:rPr>
          <w:rFonts w:eastAsia="宋体"/>
          <w:color w:val="auto"/>
        </w:rPr>
      </w:pPr>
      <w:bookmarkStart w:id="62" w:name="_Toc20194"/>
      <w:bookmarkStart w:id="63" w:name="_Toc29006"/>
      <w:r>
        <w:rPr>
          <w:rFonts w:eastAsia="宋体"/>
          <w:color w:val="auto"/>
        </w:rPr>
        <w:t>建设项目</w:t>
      </w:r>
      <w:r>
        <w:rPr>
          <w:rFonts w:hint="eastAsia" w:eastAsia="宋体"/>
          <w:color w:val="auto"/>
          <w:lang w:val="en-US" w:eastAsia="zh-CN"/>
        </w:rPr>
        <w:t>概况与</w:t>
      </w:r>
      <w:r>
        <w:rPr>
          <w:rFonts w:eastAsia="宋体"/>
          <w:color w:val="auto"/>
        </w:rPr>
        <w:t>工程分析</w:t>
      </w:r>
      <w:bookmarkEnd w:id="62"/>
      <w:bookmarkEnd w:id="63"/>
    </w:p>
    <w:p w14:paraId="3E0F86F3">
      <w:pPr>
        <w:pStyle w:val="4"/>
        <w:pageBreakBefore w:val="0"/>
        <w:wordWrap/>
        <w:bidi w:val="0"/>
        <w:adjustRightInd/>
        <w:snapToGrid/>
        <w:rPr>
          <w:rFonts w:ascii="Times New Roman" w:hAnsi="Times New Roman" w:eastAsia="宋体"/>
          <w:color w:val="auto"/>
        </w:rPr>
      </w:pPr>
      <w:bookmarkStart w:id="64" w:name="_Toc5911"/>
      <w:bookmarkStart w:id="65" w:name="_Toc1366"/>
      <w:bookmarkStart w:id="66" w:name="_Toc374627726"/>
      <w:bookmarkStart w:id="67" w:name="_Toc505087347"/>
      <w:bookmarkStart w:id="68" w:name="_Toc5995"/>
      <w:bookmarkStart w:id="69" w:name="_Toc374627749"/>
      <w:r>
        <w:rPr>
          <w:rFonts w:hint="eastAsia" w:ascii="Times New Roman" w:hAnsi="Times New Roman" w:eastAsia="宋体"/>
          <w:color w:val="auto"/>
        </w:rPr>
        <w:t xml:space="preserve"> </w:t>
      </w:r>
      <w:bookmarkStart w:id="70" w:name="_Toc24301"/>
      <w:r>
        <w:rPr>
          <w:rFonts w:ascii="Times New Roman" w:hAnsi="Times New Roman" w:eastAsia="宋体"/>
          <w:color w:val="auto"/>
        </w:rPr>
        <w:t>项目概况</w:t>
      </w:r>
      <w:bookmarkEnd w:id="64"/>
      <w:bookmarkEnd w:id="65"/>
      <w:bookmarkEnd w:id="66"/>
      <w:bookmarkEnd w:id="67"/>
      <w:bookmarkEnd w:id="70"/>
    </w:p>
    <w:p w14:paraId="50DCF5BE">
      <w:pPr>
        <w:pStyle w:val="5"/>
        <w:pageBreakBefore w:val="0"/>
        <w:wordWrap/>
        <w:bidi w:val="0"/>
        <w:adjustRightInd/>
        <w:snapToGrid/>
        <w:rPr>
          <w:color w:val="auto"/>
        </w:rPr>
      </w:pPr>
      <w:r>
        <w:rPr>
          <w:rFonts w:hint="eastAsia"/>
          <w:color w:val="auto"/>
        </w:rPr>
        <w:t xml:space="preserve"> </w:t>
      </w:r>
      <w:r>
        <w:rPr>
          <w:rFonts w:hint="eastAsia"/>
          <w:color w:val="auto"/>
          <w:lang w:val="en-US" w:eastAsia="zh-CN"/>
        </w:rPr>
        <w:t>项目名称、性质、地点</w:t>
      </w:r>
    </w:p>
    <w:p w14:paraId="70D24BE7">
      <w:pPr>
        <w:pageBreakBefore w:val="0"/>
        <w:wordWrap/>
        <w:bidi w:val="0"/>
        <w:adjustRightInd/>
        <w:snapToGrid/>
        <w:rPr>
          <w:rFonts w:hint="eastAsia"/>
          <w:color w:val="auto"/>
          <w:lang w:eastAsia="zh-CN"/>
        </w:rPr>
      </w:pPr>
      <w:r>
        <w:rPr>
          <w:color w:val="auto"/>
        </w:rPr>
        <w:t>项目名称：</w:t>
      </w:r>
      <w:r>
        <w:rPr>
          <w:rFonts w:hint="eastAsia"/>
          <w:color w:val="auto"/>
          <w:lang w:eastAsia="zh-CN"/>
        </w:rPr>
        <w:t>巴中市巴州区曾口片区污水处理厂、环境监测站建设项目</w:t>
      </w:r>
    </w:p>
    <w:p w14:paraId="60381C30">
      <w:pPr>
        <w:pageBreakBefore w:val="0"/>
        <w:wordWrap/>
        <w:bidi w:val="0"/>
        <w:adjustRightInd/>
        <w:snapToGrid/>
        <w:rPr>
          <w:rFonts w:hint="default" w:eastAsia="宋体"/>
          <w:color w:val="auto"/>
          <w:lang w:val="en-US" w:eastAsia="zh-CN"/>
        </w:rPr>
      </w:pPr>
      <w:r>
        <w:rPr>
          <w:rFonts w:hint="eastAsia"/>
          <w:color w:val="auto"/>
          <w:lang w:val="en-US" w:eastAsia="zh-CN"/>
        </w:rPr>
        <w:t>建设单位：巴中汇鑫发展有限公司</w:t>
      </w:r>
    </w:p>
    <w:p w14:paraId="4CEABD98">
      <w:pPr>
        <w:pageBreakBefore w:val="0"/>
        <w:wordWrap/>
        <w:bidi w:val="0"/>
        <w:adjustRightInd/>
        <w:snapToGrid/>
        <w:rPr>
          <w:color w:val="auto"/>
        </w:rPr>
      </w:pPr>
      <w:r>
        <w:rPr>
          <w:color w:val="auto"/>
        </w:rPr>
        <w:t>项目性质：新建</w:t>
      </w:r>
    </w:p>
    <w:p w14:paraId="4DA495C8">
      <w:pPr>
        <w:pageBreakBefore w:val="0"/>
        <w:wordWrap/>
        <w:bidi w:val="0"/>
        <w:adjustRightInd/>
        <w:snapToGrid/>
        <w:rPr>
          <w:color w:val="auto"/>
        </w:rPr>
      </w:pPr>
      <w:r>
        <w:rPr>
          <w:color w:val="auto"/>
        </w:rPr>
        <w:t>建设地点：</w:t>
      </w:r>
      <w:r>
        <w:rPr>
          <w:rFonts w:hint="eastAsia"/>
          <w:color w:val="auto"/>
          <w:lang w:eastAsia="zh-CN"/>
        </w:rPr>
        <w:t>四川省巴中市巴州区曾口镇寿星村13组</w:t>
      </w:r>
    </w:p>
    <w:p w14:paraId="5DBD4D15">
      <w:pPr>
        <w:pageBreakBefore w:val="0"/>
        <w:wordWrap/>
        <w:bidi w:val="0"/>
        <w:adjustRightInd/>
        <w:snapToGrid/>
        <w:rPr>
          <w:color w:val="auto"/>
        </w:rPr>
      </w:pPr>
      <w:r>
        <w:rPr>
          <w:color w:val="auto"/>
        </w:rPr>
        <w:t>项目投资及资金来源</w:t>
      </w:r>
      <w:r>
        <w:rPr>
          <w:rFonts w:hint="eastAsia"/>
          <w:color w:val="auto"/>
          <w:lang w:eastAsia="zh-CN"/>
        </w:rPr>
        <w:t>：</w:t>
      </w:r>
      <w:r>
        <w:rPr>
          <w:color w:val="auto"/>
        </w:rPr>
        <w:t>本项目投资</w:t>
      </w:r>
      <w:r>
        <w:rPr>
          <w:rFonts w:hint="eastAsia"/>
          <w:color w:val="auto"/>
          <w:lang w:val="en-US" w:eastAsia="zh-CN"/>
        </w:rPr>
        <w:t>19000</w:t>
      </w:r>
      <w:r>
        <w:rPr>
          <w:color w:val="auto"/>
        </w:rPr>
        <w:t>万元，均为业主自筹。</w:t>
      </w:r>
    </w:p>
    <w:p w14:paraId="66758933">
      <w:pPr>
        <w:pageBreakBefore w:val="0"/>
        <w:wordWrap/>
        <w:bidi w:val="0"/>
        <w:adjustRightInd/>
        <w:snapToGrid/>
        <w:rPr>
          <w:rFonts w:hint="default"/>
          <w:color w:val="auto"/>
          <w:lang w:val="en-US" w:eastAsia="zh-CN"/>
        </w:rPr>
      </w:pPr>
      <w:r>
        <w:rPr>
          <w:rFonts w:hint="eastAsia"/>
          <w:color w:val="auto"/>
          <w:lang w:val="en-US" w:eastAsia="zh-CN"/>
        </w:rPr>
        <w:t>建设内容：</w:t>
      </w:r>
      <w:r>
        <w:rPr>
          <w:rFonts w:hint="default"/>
          <w:color w:val="auto"/>
          <w:lang w:val="en-US" w:eastAsia="zh-CN"/>
        </w:rPr>
        <w:t>本项目</w:t>
      </w:r>
      <w:r>
        <w:rPr>
          <w:rFonts w:hint="eastAsia"/>
          <w:color w:val="auto"/>
          <w:lang w:val="en-US" w:eastAsia="zh-CN"/>
        </w:rPr>
        <w:t>新建环境监测站一座、污水处理厂一座及其配套尾水管网，污水处理厂</w:t>
      </w:r>
      <w:r>
        <w:rPr>
          <w:rFonts w:hint="default"/>
          <w:color w:val="auto"/>
          <w:lang w:val="en-US" w:eastAsia="zh-CN"/>
        </w:rPr>
        <w:t>按远期16000m³/d进行规划，按一期、二期、三期进行分期建设，</w:t>
      </w:r>
      <w:r>
        <w:rPr>
          <w:rFonts w:hint="eastAsia"/>
          <w:color w:val="auto"/>
          <w:lang w:val="en-US" w:eastAsia="zh-CN"/>
        </w:rPr>
        <w:t>本次环评仅评价一期内容，不涉及二、三期建设内容，</w:t>
      </w:r>
      <w:r>
        <w:rPr>
          <w:rFonts w:hint="default"/>
          <w:color w:val="auto"/>
          <w:lang w:val="en-US" w:eastAsia="zh-CN"/>
        </w:rPr>
        <w:t>具体分期</w:t>
      </w:r>
      <w:r>
        <w:rPr>
          <w:rFonts w:hint="eastAsia"/>
          <w:color w:val="auto"/>
          <w:lang w:val="en-US" w:eastAsia="zh-CN"/>
        </w:rPr>
        <w:t>建设</w:t>
      </w:r>
      <w:r>
        <w:rPr>
          <w:rFonts w:hint="default"/>
          <w:color w:val="auto"/>
          <w:lang w:val="en-US" w:eastAsia="zh-CN"/>
        </w:rPr>
        <w:t>规划如下表：</w:t>
      </w:r>
    </w:p>
    <w:p w14:paraId="3DCE1DD6">
      <w:pPr>
        <w:pStyle w:val="19"/>
        <w:numPr>
          <w:ilvl w:val="0"/>
          <w:numId w:val="15"/>
        </w:numPr>
        <w:bidi w:val="0"/>
        <w:ind w:left="0" w:leftChars="0" w:firstLine="0" w:firstLineChars="0"/>
        <w:rPr>
          <w:rFonts w:hint="eastAsia"/>
          <w:color w:val="auto"/>
          <w:lang w:val="en-US" w:eastAsia="zh-CN"/>
        </w:rPr>
      </w:pPr>
      <w:r>
        <w:rPr>
          <w:rFonts w:hint="eastAsia"/>
          <w:color w:val="auto"/>
          <w:lang w:val="en-US" w:eastAsia="zh-CN"/>
        </w:rPr>
        <w:t>污水处理厂分期建设规划表</w:t>
      </w:r>
    </w:p>
    <w:tbl>
      <w:tblPr>
        <w:tblStyle w:val="706"/>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779"/>
        <w:gridCol w:w="3102"/>
        <w:gridCol w:w="990"/>
        <w:gridCol w:w="1123"/>
        <w:gridCol w:w="954"/>
        <w:gridCol w:w="760"/>
        <w:gridCol w:w="791"/>
      </w:tblGrid>
      <w:tr w14:paraId="116369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tcBorders>
              <w:tl2br w:val="nil"/>
              <w:tr2bl w:val="nil"/>
            </w:tcBorders>
            <w:vAlign w:val="center"/>
          </w:tcPr>
          <w:p w14:paraId="39BFB571">
            <w:pPr>
              <w:pStyle w:val="16"/>
              <w:pageBreakBefore w:val="0"/>
              <w:wordWrap/>
              <w:bidi w:val="0"/>
              <w:adjustRightInd/>
              <w:snapToGrid/>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阶段</w:t>
            </w:r>
          </w:p>
        </w:tc>
        <w:tc>
          <w:tcPr>
            <w:tcW w:w="1824" w:type="pct"/>
            <w:tcBorders>
              <w:tl2br w:val="nil"/>
              <w:tr2bl w:val="nil"/>
            </w:tcBorders>
            <w:vAlign w:val="center"/>
          </w:tcPr>
          <w:p w14:paraId="132B1E33">
            <w:pPr>
              <w:pStyle w:val="16"/>
              <w:pageBreakBefore w:val="0"/>
              <w:wordWrap/>
              <w:bidi w:val="0"/>
              <w:adjustRightInd/>
              <w:snapToGrid/>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单体名称</w:t>
            </w:r>
          </w:p>
        </w:tc>
        <w:tc>
          <w:tcPr>
            <w:tcW w:w="582" w:type="pct"/>
            <w:tcBorders>
              <w:tl2br w:val="nil"/>
              <w:tr2bl w:val="nil"/>
            </w:tcBorders>
            <w:vAlign w:val="center"/>
          </w:tcPr>
          <w:p w14:paraId="41F162B5">
            <w:pPr>
              <w:pStyle w:val="16"/>
              <w:pageBreakBefore w:val="0"/>
              <w:wordWrap/>
              <w:bidi w:val="0"/>
              <w:adjustRightInd/>
              <w:snapToGrid/>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土建</w:t>
            </w:r>
          </w:p>
        </w:tc>
        <w:tc>
          <w:tcPr>
            <w:tcW w:w="660" w:type="pct"/>
            <w:tcBorders>
              <w:tl2br w:val="nil"/>
              <w:tr2bl w:val="nil"/>
            </w:tcBorders>
            <w:vAlign w:val="center"/>
          </w:tcPr>
          <w:p w14:paraId="70F085F3">
            <w:pPr>
              <w:pStyle w:val="16"/>
              <w:pageBreakBefore w:val="0"/>
              <w:wordWrap/>
              <w:bidi w:val="0"/>
              <w:adjustRightInd/>
              <w:snapToGrid/>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设备</w:t>
            </w:r>
          </w:p>
        </w:tc>
        <w:tc>
          <w:tcPr>
            <w:tcW w:w="561" w:type="pct"/>
            <w:tcBorders>
              <w:tl2br w:val="nil"/>
              <w:tr2bl w:val="nil"/>
            </w:tcBorders>
            <w:vAlign w:val="center"/>
          </w:tcPr>
          <w:p w14:paraId="246FD68F">
            <w:pPr>
              <w:pStyle w:val="16"/>
              <w:pageBreakBefore w:val="0"/>
              <w:wordWrap/>
              <w:bidi w:val="0"/>
              <w:adjustRightInd/>
              <w:snapToGrid/>
              <w:rPr>
                <w:rFonts w:hint="default" w:ascii="Times New Roman" w:hAnsi="Times New Roman" w:cs="Times New Roman"/>
                <w:b/>
                <w:bCs w:val="0"/>
                <w:color w:val="auto"/>
                <w:sz w:val="21"/>
                <w:szCs w:val="21"/>
                <w:lang w:val="en-US" w:eastAsia="zh-CN"/>
              </w:rPr>
            </w:pPr>
            <w:r>
              <w:rPr>
                <w:rFonts w:hint="eastAsia" w:ascii="Times New Roman" w:hAnsi="Times New Roman" w:cs="Times New Roman"/>
                <w:b/>
                <w:bCs w:val="0"/>
                <w:color w:val="auto"/>
                <w:sz w:val="21"/>
                <w:szCs w:val="21"/>
                <w:lang w:val="en-US" w:eastAsia="zh-CN"/>
              </w:rPr>
              <w:t>处理规模</w:t>
            </w:r>
          </w:p>
        </w:tc>
        <w:tc>
          <w:tcPr>
            <w:tcW w:w="447" w:type="pct"/>
            <w:tcBorders>
              <w:tl2br w:val="nil"/>
              <w:tr2bl w:val="nil"/>
            </w:tcBorders>
            <w:vAlign w:val="center"/>
          </w:tcPr>
          <w:p w14:paraId="34F05F8B">
            <w:pPr>
              <w:pStyle w:val="16"/>
              <w:pageBreakBefore w:val="0"/>
              <w:wordWrap/>
              <w:bidi w:val="0"/>
              <w:adjustRightInd/>
              <w:snapToGrid/>
              <w:rPr>
                <w:rFonts w:hint="default" w:ascii="Times New Roman" w:hAnsi="Times New Roman" w:eastAsia="宋体" w:cs="Times New Roman"/>
                <w:b/>
                <w:bCs w:val="0"/>
                <w:color w:val="auto"/>
                <w:sz w:val="21"/>
                <w:szCs w:val="21"/>
                <w:lang w:val="en-US" w:eastAsia="zh-CN"/>
              </w:rPr>
            </w:pPr>
            <w:r>
              <w:rPr>
                <w:rFonts w:hint="default" w:ascii="Times New Roman" w:hAnsi="Times New Roman" w:cs="Times New Roman"/>
                <w:b/>
                <w:bCs w:val="0"/>
                <w:color w:val="auto"/>
                <w:sz w:val="21"/>
                <w:szCs w:val="21"/>
                <w:lang w:val="en-US" w:eastAsia="zh-CN"/>
              </w:rPr>
              <w:t>预计建成时间</w:t>
            </w:r>
          </w:p>
        </w:tc>
        <w:tc>
          <w:tcPr>
            <w:tcW w:w="465" w:type="pct"/>
            <w:tcBorders>
              <w:tl2br w:val="nil"/>
              <w:tr2bl w:val="nil"/>
            </w:tcBorders>
            <w:vAlign w:val="center"/>
          </w:tcPr>
          <w:p w14:paraId="2A87B9BA">
            <w:pPr>
              <w:pStyle w:val="16"/>
              <w:pageBreakBefore w:val="0"/>
              <w:wordWrap/>
              <w:bidi w:val="0"/>
              <w:adjustRightInd/>
              <w:snapToGrid/>
              <w:rPr>
                <w:rFonts w:hint="default" w:ascii="Times New Roman" w:hAnsi="Times New Roman" w:cs="Times New Roman"/>
                <w:b/>
                <w:bCs w:val="0"/>
                <w:color w:val="auto"/>
                <w:sz w:val="21"/>
                <w:szCs w:val="21"/>
                <w:lang w:val="en-US" w:eastAsia="zh-CN"/>
              </w:rPr>
            </w:pPr>
            <w:r>
              <w:rPr>
                <w:rFonts w:hint="default" w:ascii="Times New Roman" w:hAnsi="Times New Roman" w:cs="Times New Roman"/>
                <w:b/>
                <w:bCs w:val="0"/>
                <w:color w:val="auto"/>
                <w:sz w:val="21"/>
                <w:szCs w:val="21"/>
                <w:lang w:val="en-US" w:eastAsia="zh-CN"/>
              </w:rPr>
              <w:t>服务范围</w:t>
            </w:r>
          </w:p>
        </w:tc>
      </w:tr>
      <w:tr w14:paraId="37976A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restart"/>
            <w:tcBorders>
              <w:tl2br w:val="nil"/>
              <w:tr2bl w:val="nil"/>
            </w:tcBorders>
            <w:vAlign w:val="center"/>
          </w:tcPr>
          <w:p w14:paraId="0063CC8D">
            <w:pPr>
              <w:pStyle w:val="16"/>
              <w:pageBreakBefore w:val="0"/>
              <w:wordWrap/>
              <w:bidi w:val="0"/>
              <w:adjustRightInd/>
              <w:snapToGrid/>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bCs/>
                <w:color w:val="auto"/>
                <w:sz w:val="21"/>
                <w:szCs w:val="21"/>
                <w:lang w:val="en-US" w:eastAsia="zh-CN"/>
              </w:rPr>
              <w:t>一</w:t>
            </w:r>
            <w:r>
              <w:rPr>
                <w:rFonts w:hint="default" w:ascii="Times New Roman" w:hAnsi="Times New Roman" w:cs="Times New Roman"/>
                <w:b/>
                <w:bCs/>
                <w:color w:val="auto"/>
                <w:sz w:val="21"/>
                <w:szCs w:val="21"/>
              </w:rPr>
              <w:t>期</w:t>
            </w:r>
            <w:r>
              <w:rPr>
                <w:rFonts w:hint="default"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lang w:val="en-US" w:eastAsia="zh-CN"/>
              </w:rPr>
              <w:t>本次新建</w:t>
            </w:r>
            <w:r>
              <w:rPr>
                <w:rFonts w:hint="default" w:ascii="Times New Roman" w:hAnsi="Times New Roman" w:cs="Times New Roman"/>
                <w:b/>
                <w:bCs/>
                <w:color w:val="auto"/>
                <w:sz w:val="21"/>
                <w:szCs w:val="21"/>
                <w:lang w:eastAsia="zh-CN"/>
              </w:rPr>
              <w:t>）</w:t>
            </w:r>
          </w:p>
        </w:tc>
        <w:tc>
          <w:tcPr>
            <w:tcW w:w="1824" w:type="pct"/>
            <w:tcBorders>
              <w:tl2br w:val="nil"/>
              <w:tr2bl w:val="nil"/>
            </w:tcBorders>
            <w:vAlign w:val="center"/>
          </w:tcPr>
          <w:p w14:paraId="3E093293">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超细格栅、污泥池、调节池</w:t>
            </w:r>
          </w:p>
        </w:tc>
        <w:tc>
          <w:tcPr>
            <w:tcW w:w="582" w:type="pct"/>
            <w:tcBorders>
              <w:tl2br w:val="nil"/>
              <w:tr2bl w:val="nil"/>
            </w:tcBorders>
            <w:vAlign w:val="center"/>
          </w:tcPr>
          <w:p w14:paraId="647EC96B">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6000m³/d</w:t>
            </w:r>
          </w:p>
        </w:tc>
        <w:tc>
          <w:tcPr>
            <w:tcW w:w="660" w:type="pct"/>
            <w:tcBorders>
              <w:tl2br w:val="nil"/>
              <w:tr2bl w:val="nil"/>
            </w:tcBorders>
            <w:vAlign w:val="center"/>
          </w:tcPr>
          <w:p w14:paraId="2316AB3A">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6000m³/d</w:t>
            </w:r>
          </w:p>
        </w:tc>
        <w:tc>
          <w:tcPr>
            <w:tcW w:w="561" w:type="pct"/>
            <w:vMerge w:val="restart"/>
            <w:tcBorders>
              <w:tl2br w:val="nil"/>
              <w:tr2bl w:val="nil"/>
            </w:tcBorders>
            <w:vAlign w:val="center"/>
          </w:tcPr>
          <w:p w14:paraId="2D2A3BFE">
            <w:pPr>
              <w:pStyle w:val="16"/>
              <w:pageBreakBefore w:val="0"/>
              <w:wordWrap/>
              <w:bidi w:val="0"/>
              <w:adjustRightInd/>
              <w:snapToGrid/>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3000m³/d</w:t>
            </w:r>
          </w:p>
        </w:tc>
        <w:tc>
          <w:tcPr>
            <w:tcW w:w="447" w:type="pct"/>
            <w:vMerge w:val="restart"/>
            <w:tcBorders>
              <w:tl2br w:val="nil"/>
              <w:tr2bl w:val="nil"/>
            </w:tcBorders>
            <w:vAlign w:val="center"/>
          </w:tcPr>
          <w:p w14:paraId="4003EE8E">
            <w:pPr>
              <w:pStyle w:val="16"/>
              <w:pageBreakBefore w:val="0"/>
              <w:wordWrap/>
              <w:bidi w:val="0"/>
              <w:adjustRightInd/>
              <w:snapToGrid/>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2025年</w:t>
            </w:r>
          </w:p>
        </w:tc>
        <w:tc>
          <w:tcPr>
            <w:tcW w:w="465" w:type="pct"/>
            <w:vMerge w:val="restart"/>
            <w:tcBorders>
              <w:tl2br w:val="nil"/>
              <w:tr2bl w:val="nil"/>
            </w:tcBorders>
            <w:vAlign w:val="center"/>
          </w:tcPr>
          <w:p w14:paraId="19B7223A">
            <w:pPr>
              <w:pStyle w:val="16"/>
              <w:pageBreakBefore w:val="0"/>
              <w:wordWrap/>
              <w:bidi w:val="0"/>
              <w:adjustRightInd/>
              <w:snapToGrid/>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曾口区块全区，</w:t>
            </w:r>
            <w:r>
              <w:rPr>
                <w:rFonts w:hint="eastAsia" w:ascii="Times New Roman" w:hAnsi="Times New Roman" w:cs="Times New Roman"/>
                <w:color w:val="auto"/>
                <w:sz w:val="21"/>
                <w:szCs w:val="21"/>
                <w:lang w:val="en-US" w:eastAsia="zh-CN"/>
              </w:rPr>
              <w:t>前期入驻企业</w:t>
            </w:r>
          </w:p>
        </w:tc>
      </w:tr>
      <w:tr w14:paraId="7CD7D0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continue"/>
            <w:tcBorders>
              <w:tl2br w:val="nil"/>
              <w:tr2bl w:val="nil"/>
            </w:tcBorders>
            <w:vAlign w:val="center"/>
          </w:tcPr>
          <w:p w14:paraId="5A453FDA">
            <w:pPr>
              <w:pStyle w:val="16"/>
              <w:pageBreakBefore w:val="0"/>
              <w:wordWrap/>
              <w:bidi w:val="0"/>
              <w:adjustRightInd/>
              <w:snapToGrid/>
              <w:rPr>
                <w:rFonts w:hint="default" w:ascii="Times New Roman" w:hAnsi="Times New Roman" w:cs="Times New Roman"/>
                <w:b w:val="0"/>
                <w:bCs w:val="0"/>
                <w:color w:val="auto"/>
                <w:sz w:val="21"/>
                <w:szCs w:val="21"/>
              </w:rPr>
            </w:pPr>
          </w:p>
        </w:tc>
        <w:tc>
          <w:tcPr>
            <w:tcW w:w="1824" w:type="pct"/>
            <w:tcBorders>
              <w:tl2br w:val="nil"/>
              <w:tr2bl w:val="nil"/>
            </w:tcBorders>
            <w:vAlign w:val="center"/>
          </w:tcPr>
          <w:p w14:paraId="632E34EC">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污水处理厂</w:t>
            </w:r>
            <w:r>
              <w:rPr>
                <w:rFonts w:hint="default" w:ascii="Times New Roman" w:hAnsi="Times New Roman" w:cs="Times New Roman"/>
                <w:color w:val="auto"/>
                <w:sz w:val="21"/>
                <w:szCs w:val="21"/>
              </w:rPr>
              <w:t>应急事故池</w:t>
            </w:r>
          </w:p>
        </w:tc>
        <w:tc>
          <w:tcPr>
            <w:tcW w:w="1242" w:type="pct"/>
            <w:gridSpan w:val="2"/>
            <w:tcBorders>
              <w:tl2br w:val="nil"/>
              <w:tr2bl w:val="nil"/>
            </w:tcBorders>
            <w:vAlign w:val="center"/>
          </w:tcPr>
          <w:p w14:paraId="2F0C3AD3">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有效容积3000m³</w:t>
            </w:r>
          </w:p>
        </w:tc>
        <w:tc>
          <w:tcPr>
            <w:tcW w:w="561" w:type="pct"/>
            <w:vMerge w:val="continue"/>
            <w:tcBorders>
              <w:tl2br w:val="nil"/>
              <w:tr2bl w:val="nil"/>
            </w:tcBorders>
            <w:vAlign w:val="center"/>
          </w:tcPr>
          <w:p w14:paraId="25C50378">
            <w:pPr>
              <w:pStyle w:val="16"/>
              <w:pageBreakBefore w:val="0"/>
              <w:wordWrap/>
              <w:bidi w:val="0"/>
              <w:adjustRightInd/>
              <w:snapToGrid/>
              <w:rPr>
                <w:rFonts w:hint="default" w:ascii="Times New Roman" w:hAnsi="Times New Roman" w:cs="Times New Roman"/>
                <w:color w:val="auto"/>
                <w:sz w:val="21"/>
                <w:szCs w:val="21"/>
              </w:rPr>
            </w:pPr>
          </w:p>
        </w:tc>
        <w:tc>
          <w:tcPr>
            <w:tcW w:w="447" w:type="pct"/>
            <w:vMerge w:val="continue"/>
            <w:tcBorders>
              <w:tl2br w:val="nil"/>
              <w:tr2bl w:val="nil"/>
            </w:tcBorders>
            <w:vAlign w:val="center"/>
          </w:tcPr>
          <w:p w14:paraId="25361AF4">
            <w:pPr>
              <w:pStyle w:val="16"/>
              <w:pageBreakBefore w:val="0"/>
              <w:wordWrap/>
              <w:bidi w:val="0"/>
              <w:adjustRightInd/>
              <w:snapToGrid/>
              <w:rPr>
                <w:rFonts w:hint="default" w:ascii="Times New Roman" w:hAnsi="Times New Roman" w:cs="Times New Roman"/>
                <w:color w:val="auto"/>
                <w:sz w:val="21"/>
                <w:szCs w:val="21"/>
              </w:rPr>
            </w:pPr>
          </w:p>
        </w:tc>
        <w:tc>
          <w:tcPr>
            <w:tcW w:w="465" w:type="pct"/>
            <w:vMerge w:val="continue"/>
            <w:tcBorders>
              <w:tl2br w:val="nil"/>
              <w:tr2bl w:val="nil"/>
            </w:tcBorders>
            <w:vAlign w:val="center"/>
          </w:tcPr>
          <w:p w14:paraId="692AE36F">
            <w:pPr>
              <w:pStyle w:val="16"/>
              <w:pageBreakBefore w:val="0"/>
              <w:wordWrap/>
              <w:bidi w:val="0"/>
              <w:adjustRightInd/>
              <w:snapToGrid/>
              <w:rPr>
                <w:rFonts w:hint="default" w:ascii="Times New Roman" w:hAnsi="Times New Roman" w:cs="Times New Roman"/>
                <w:color w:val="auto"/>
                <w:sz w:val="21"/>
                <w:szCs w:val="21"/>
              </w:rPr>
            </w:pPr>
          </w:p>
        </w:tc>
      </w:tr>
      <w:tr w14:paraId="171E23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continue"/>
            <w:tcBorders>
              <w:tl2br w:val="nil"/>
              <w:tr2bl w:val="nil"/>
            </w:tcBorders>
            <w:vAlign w:val="center"/>
          </w:tcPr>
          <w:p w14:paraId="28E0752E">
            <w:pPr>
              <w:pStyle w:val="16"/>
              <w:pageBreakBefore w:val="0"/>
              <w:wordWrap/>
              <w:bidi w:val="0"/>
              <w:adjustRightInd/>
              <w:snapToGrid/>
              <w:rPr>
                <w:rFonts w:hint="default" w:ascii="Times New Roman" w:hAnsi="Times New Roman" w:cs="Times New Roman"/>
                <w:b w:val="0"/>
                <w:bCs w:val="0"/>
                <w:color w:val="auto"/>
                <w:sz w:val="21"/>
                <w:szCs w:val="21"/>
              </w:rPr>
            </w:pPr>
          </w:p>
        </w:tc>
        <w:tc>
          <w:tcPr>
            <w:tcW w:w="1824" w:type="pct"/>
            <w:tcBorders>
              <w:tl2br w:val="nil"/>
              <w:tr2bl w:val="nil"/>
            </w:tcBorders>
            <w:vAlign w:val="center"/>
          </w:tcPr>
          <w:p w14:paraId="408A01FB">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园区应急事故池</w:t>
            </w:r>
          </w:p>
        </w:tc>
        <w:tc>
          <w:tcPr>
            <w:tcW w:w="1242" w:type="pct"/>
            <w:gridSpan w:val="2"/>
            <w:tcBorders>
              <w:tl2br w:val="nil"/>
              <w:tr2bl w:val="nil"/>
            </w:tcBorders>
            <w:vAlign w:val="center"/>
          </w:tcPr>
          <w:p w14:paraId="16FDA234">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有效容积6000m³</w:t>
            </w:r>
          </w:p>
        </w:tc>
        <w:tc>
          <w:tcPr>
            <w:tcW w:w="561" w:type="pct"/>
            <w:vMerge w:val="continue"/>
            <w:tcBorders>
              <w:tl2br w:val="nil"/>
              <w:tr2bl w:val="nil"/>
            </w:tcBorders>
            <w:vAlign w:val="center"/>
          </w:tcPr>
          <w:p w14:paraId="3CBED2E6">
            <w:pPr>
              <w:pStyle w:val="16"/>
              <w:pageBreakBefore w:val="0"/>
              <w:wordWrap/>
              <w:bidi w:val="0"/>
              <w:adjustRightInd/>
              <w:snapToGrid/>
              <w:rPr>
                <w:rFonts w:hint="default" w:ascii="Times New Roman" w:hAnsi="Times New Roman" w:cs="Times New Roman"/>
                <w:color w:val="auto"/>
                <w:sz w:val="21"/>
                <w:szCs w:val="21"/>
              </w:rPr>
            </w:pPr>
          </w:p>
        </w:tc>
        <w:tc>
          <w:tcPr>
            <w:tcW w:w="447" w:type="pct"/>
            <w:vMerge w:val="continue"/>
            <w:tcBorders>
              <w:tl2br w:val="nil"/>
              <w:tr2bl w:val="nil"/>
            </w:tcBorders>
            <w:vAlign w:val="center"/>
          </w:tcPr>
          <w:p w14:paraId="69202325">
            <w:pPr>
              <w:pStyle w:val="16"/>
              <w:pageBreakBefore w:val="0"/>
              <w:wordWrap/>
              <w:bidi w:val="0"/>
              <w:adjustRightInd/>
              <w:snapToGrid/>
              <w:rPr>
                <w:rFonts w:hint="default" w:ascii="Times New Roman" w:hAnsi="Times New Roman" w:cs="Times New Roman"/>
                <w:color w:val="auto"/>
                <w:sz w:val="21"/>
                <w:szCs w:val="21"/>
              </w:rPr>
            </w:pPr>
          </w:p>
        </w:tc>
        <w:tc>
          <w:tcPr>
            <w:tcW w:w="465" w:type="pct"/>
            <w:vMerge w:val="continue"/>
            <w:tcBorders>
              <w:tl2br w:val="nil"/>
              <w:tr2bl w:val="nil"/>
            </w:tcBorders>
            <w:vAlign w:val="center"/>
          </w:tcPr>
          <w:p w14:paraId="7C4EBA23">
            <w:pPr>
              <w:pStyle w:val="16"/>
              <w:pageBreakBefore w:val="0"/>
              <w:wordWrap/>
              <w:bidi w:val="0"/>
              <w:adjustRightInd/>
              <w:snapToGrid/>
              <w:rPr>
                <w:rFonts w:hint="default" w:ascii="Times New Roman" w:hAnsi="Times New Roman" w:cs="Times New Roman"/>
                <w:color w:val="auto"/>
                <w:sz w:val="21"/>
                <w:szCs w:val="21"/>
              </w:rPr>
            </w:pPr>
          </w:p>
        </w:tc>
      </w:tr>
      <w:tr w14:paraId="3B1EC2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continue"/>
            <w:tcBorders>
              <w:tl2br w:val="nil"/>
              <w:tr2bl w:val="nil"/>
            </w:tcBorders>
            <w:vAlign w:val="center"/>
          </w:tcPr>
          <w:p w14:paraId="13985B37">
            <w:pPr>
              <w:pStyle w:val="16"/>
              <w:pageBreakBefore w:val="0"/>
              <w:wordWrap/>
              <w:bidi w:val="0"/>
              <w:adjustRightInd/>
              <w:snapToGrid/>
              <w:rPr>
                <w:rFonts w:hint="default" w:ascii="Times New Roman" w:hAnsi="Times New Roman" w:cs="Times New Roman"/>
                <w:b w:val="0"/>
                <w:bCs w:val="0"/>
                <w:color w:val="auto"/>
                <w:sz w:val="21"/>
                <w:szCs w:val="21"/>
              </w:rPr>
            </w:pPr>
          </w:p>
        </w:tc>
        <w:tc>
          <w:tcPr>
            <w:tcW w:w="1824" w:type="pct"/>
            <w:tcBorders>
              <w:tl2br w:val="nil"/>
              <w:tr2bl w:val="nil"/>
            </w:tcBorders>
            <w:vAlign w:val="center"/>
          </w:tcPr>
          <w:p w14:paraId="04ED6575">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磁混凝</w:t>
            </w:r>
            <w:r>
              <w:rPr>
                <w:rFonts w:hint="default" w:ascii="Times New Roman" w:hAnsi="Times New Roman" w:cs="Times New Roman"/>
                <w:color w:val="auto"/>
                <w:sz w:val="21"/>
                <w:szCs w:val="21"/>
              </w:rPr>
              <w:t>沉淀池设备</w:t>
            </w:r>
          </w:p>
        </w:tc>
        <w:tc>
          <w:tcPr>
            <w:tcW w:w="582" w:type="pct"/>
            <w:tcBorders>
              <w:tl2br w:val="nil"/>
              <w:tr2bl w:val="nil"/>
            </w:tcBorders>
            <w:vAlign w:val="center"/>
          </w:tcPr>
          <w:p w14:paraId="5F4DDBFF">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3000m³/d</w:t>
            </w:r>
          </w:p>
        </w:tc>
        <w:tc>
          <w:tcPr>
            <w:tcW w:w="660" w:type="pct"/>
            <w:tcBorders>
              <w:tl2br w:val="nil"/>
              <w:tr2bl w:val="nil"/>
            </w:tcBorders>
            <w:vAlign w:val="center"/>
          </w:tcPr>
          <w:p w14:paraId="1DC418FC">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3000m³/d</w:t>
            </w:r>
          </w:p>
        </w:tc>
        <w:tc>
          <w:tcPr>
            <w:tcW w:w="561" w:type="pct"/>
            <w:vMerge w:val="continue"/>
            <w:tcBorders>
              <w:tl2br w:val="nil"/>
              <w:tr2bl w:val="nil"/>
            </w:tcBorders>
            <w:vAlign w:val="center"/>
          </w:tcPr>
          <w:p w14:paraId="480B8FF7">
            <w:pPr>
              <w:pStyle w:val="16"/>
              <w:pageBreakBefore w:val="0"/>
              <w:wordWrap/>
              <w:bidi w:val="0"/>
              <w:adjustRightInd/>
              <w:snapToGrid/>
              <w:rPr>
                <w:rFonts w:hint="default" w:ascii="Times New Roman" w:hAnsi="Times New Roman" w:cs="Times New Roman"/>
                <w:color w:val="auto"/>
                <w:sz w:val="21"/>
                <w:szCs w:val="21"/>
              </w:rPr>
            </w:pPr>
          </w:p>
        </w:tc>
        <w:tc>
          <w:tcPr>
            <w:tcW w:w="447" w:type="pct"/>
            <w:vMerge w:val="continue"/>
            <w:tcBorders>
              <w:tl2br w:val="nil"/>
              <w:tr2bl w:val="nil"/>
            </w:tcBorders>
            <w:vAlign w:val="center"/>
          </w:tcPr>
          <w:p w14:paraId="4023E18C">
            <w:pPr>
              <w:pStyle w:val="16"/>
              <w:pageBreakBefore w:val="0"/>
              <w:wordWrap/>
              <w:bidi w:val="0"/>
              <w:adjustRightInd/>
              <w:snapToGrid/>
              <w:rPr>
                <w:rFonts w:hint="default" w:ascii="Times New Roman" w:hAnsi="Times New Roman" w:cs="Times New Roman"/>
                <w:color w:val="auto"/>
                <w:sz w:val="21"/>
                <w:szCs w:val="21"/>
              </w:rPr>
            </w:pPr>
          </w:p>
        </w:tc>
        <w:tc>
          <w:tcPr>
            <w:tcW w:w="465" w:type="pct"/>
            <w:vMerge w:val="continue"/>
            <w:tcBorders>
              <w:tl2br w:val="nil"/>
              <w:tr2bl w:val="nil"/>
            </w:tcBorders>
            <w:vAlign w:val="center"/>
          </w:tcPr>
          <w:p w14:paraId="08AD9100">
            <w:pPr>
              <w:pStyle w:val="16"/>
              <w:pageBreakBefore w:val="0"/>
              <w:wordWrap/>
              <w:bidi w:val="0"/>
              <w:adjustRightInd/>
              <w:snapToGrid/>
              <w:rPr>
                <w:rFonts w:hint="default" w:ascii="Times New Roman" w:hAnsi="Times New Roman" w:cs="Times New Roman"/>
                <w:color w:val="auto"/>
                <w:sz w:val="21"/>
                <w:szCs w:val="21"/>
              </w:rPr>
            </w:pPr>
          </w:p>
        </w:tc>
      </w:tr>
      <w:tr w14:paraId="270815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continue"/>
            <w:tcBorders>
              <w:tl2br w:val="nil"/>
              <w:tr2bl w:val="nil"/>
            </w:tcBorders>
            <w:vAlign w:val="center"/>
          </w:tcPr>
          <w:p w14:paraId="495252DE">
            <w:pPr>
              <w:pStyle w:val="16"/>
              <w:pageBreakBefore w:val="0"/>
              <w:wordWrap/>
              <w:bidi w:val="0"/>
              <w:adjustRightInd/>
              <w:snapToGrid/>
              <w:rPr>
                <w:rFonts w:hint="default" w:ascii="Times New Roman" w:hAnsi="Times New Roman" w:cs="Times New Roman"/>
                <w:b w:val="0"/>
                <w:bCs w:val="0"/>
                <w:color w:val="auto"/>
                <w:sz w:val="21"/>
                <w:szCs w:val="21"/>
              </w:rPr>
            </w:pPr>
          </w:p>
        </w:tc>
        <w:tc>
          <w:tcPr>
            <w:tcW w:w="1824" w:type="pct"/>
            <w:tcBorders>
              <w:tl2br w:val="nil"/>
              <w:tr2bl w:val="nil"/>
            </w:tcBorders>
            <w:vAlign w:val="center"/>
          </w:tcPr>
          <w:p w14:paraId="230FB013">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水解酸化池+生化池、高级氧化深度处理设备</w:t>
            </w:r>
          </w:p>
        </w:tc>
        <w:tc>
          <w:tcPr>
            <w:tcW w:w="582" w:type="pct"/>
            <w:tcBorders>
              <w:tl2br w:val="nil"/>
              <w:tr2bl w:val="nil"/>
            </w:tcBorders>
            <w:vAlign w:val="center"/>
          </w:tcPr>
          <w:p w14:paraId="6A873D15">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3000m³/d</w:t>
            </w:r>
          </w:p>
        </w:tc>
        <w:tc>
          <w:tcPr>
            <w:tcW w:w="660" w:type="pct"/>
            <w:tcBorders>
              <w:tl2br w:val="nil"/>
              <w:tr2bl w:val="nil"/>
            </w:tcBorders>
            <w:vAlign w:val="center"/>
          </w:tcPr>
          <w:p w14:paraId="5E26A060">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30</w:t>
            </w:r>
            <w:r>
              <w:rPr>
                <w:rFonts w:hint="default" w:ascii="Times New Roman" w:hAnsi="Times New Roman" w:cs="Times New Roman"/>
                <w:color w:val="auto"/>
                <w:sz w:val="21"/>
                <w:szCs w:val="21"/>
              </w:rPr>
              <w:t>00m³/d</w:t>
            </w:r>
          </w:p>
        </w:tc>
        <w:tc>
          <w:tcPr>
            <w:tcW w:w="561" w:type="pct"/>
            <w:vMerge w:val="continue"/>
            <w:tcBorders>
              <w:tl2br w:val="nil"/>
              <w:tr2bl w:val="nil"/>
            </w:tcBorders>
            <w:vAlign w:val="center"/>
          </w:tcPr>
          <w:p w14:paraId="44E34B4A">
            <w:pPr>
              <w:pStyle w:val="16"/>
              <w:pageBreakBefore w:val="0"/>
              <w:wordWrap/>
              <w:bidi w:val="0"/>
              <w:adjustRightInd/>
              <w:snapToGrid/>
              <w:rPr>
                <w:rFonts w:hint="default" w:ascii="Times New Roman" w:hAnsi="Times New Roman" w:cs="Times New Roman"/>
                <w:color w:val="auto"/>
                <w:sz w:val="21"/>
                <w:szCs w:val="21"/>
                <w:lang w:val="en-US" w:eastAsia="zh-CN"/>
              </w:rPr>
            </w:pPr>
          </w:p>
        </w:tc>
        <w:tc>
          <w:tcPr>
            <w:tcW w:w="447" w:type="pct"/>
            <w:vMerge w:val="continue"/>
            <w:tcBorders>
              <w:tl2br w:val="nil"/>
              <w:tr2bl w:val="nil"/>
            </w:tcBorders>
            <w:vAlign w:val="center"/>
          </w:tcPr>
          <w:p w14:paraId="0CDC3EF8">
            <w:pPr>
              <w:pStyle w:val="16"/>
              <w:pageBreakBefore w:val="0"/>
              <w:wordWrap/>
              <w:bidi w:val="0"/>
              <w:adjustRightInd/>
              <w:snapToGrid/>
              <w:rPr>
                <w:rFonts w:hint="default" w:ascii="Times New Roman" w:hAnsi="Times New Roman" w:cs="Times New Roman"/>
                <w:color w:val="auto"/>
                <w:sz w:val="21"/>
                <w:szCs w:val="21"/>
                <w:lang w:val="en-US" w:eastAsia="zh-CN"/>
              </w:rPr>
            </w:pPr>
          </w:p>
        </w:tc>
        <w:tc>
          <w:tcPr>
            <w:tcW w:w="465" w:type="pct"/>
            <w:vMerge w:val="continue"/>
            <w:tcBorders>
              <w:tl2br w:val="nil"/>
              <w:tr2bl w:val="nil"/>
            </w:tcBorders>
            <w:vAlign w:val="center"/>
          </w:tcPr>
          <w:p w14:paraId="596066E4">
            <w:pPr>
              <w:pStyle w:val="16"/>
              <w:pageBreakBefore w:val="0"/>
              <w:wordWrap/>
              <w:bidi w:val="0"/>
              <w:adjustRightInd/>
              <w:snapToGrid/>
              <w:rPr>
                <w:rFonts w:hint="default" w:ascii="Times New Roman" w:hAnsi="Times New Roman" w:cs="Times New Roman"/>
                <w:color w:val="auto"/>
                <w:sz w:val="21"/>
                <w:szCs w:val="21"/>
                <w:lang w:val="en-US" w:eastAsia="zh-CN"/>
              </w:rPr>
            </w:pPr>
          </w:p>
        </w:tc>
      </w:tr>
      <w:tr w14:paraId="647B29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continue"/>
            <w:tcBorders>
              <w:tl2br w:val="nil"/>
              <w:tr2bl w:val="nil"/>
            </w:tcBorders>
            <w:vAlign w:val="center"/>
          </w:tcPr>
          <w:p w14:paraId="7B24CFB1">
            <w:pPr>
              <w:pStyle w:val="16"/>
              <w:pageBreakBefore w:val="0"/>
              <w:wordWrap/>
              <w:bidi w:val="0"/>
              <w:adjustRightInd/>
              <w:snapToGrid/>
              <w:rPr>
                <w:rFonts w:hint="default" w:ascii="Times New Roman" w:hAnsi="Times New Roman" w:cs="Times New Roman"/>
                <w:b w:val="0"/>
                <w:bCs w:val="0"/>
                <w:color w:val="auto"/>
                <w:sz w:val="21"/>
                <w:szCs w:val="21"/>
              </w:rPr>
            </w:pPr>
          </w:p>
        </w:tc>
        <w:tc>
          <w:tcPr>
            <w:tcW w:w="1824" w:type="pct"/>
            <w:tcBorders>
              <w:tl2br w:val="nil"/>
              <w:tr2bl w:val="nil"/>
            </w:tcBorders>
            <w:vAlign w:val="center"/>
          </w:tcPr>
          <w:p w14:paraId="5AE0BD8B">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反硝化深床滤池、鼓风机房-变配电室、污泥脱水车间</w:t>
            </w:r>
          </w:p>
        </w:tc>
        <w:tc>
          <w:tcPr>
            <w:tcW w:w="582" w:type="pct"/>
            <w:tcBorders>
              <w:tl2br w:val="nil"/>
              <w:tr2bl w:val="nil"/>
            </w:tcBorders>
            <w:vAlign w:val="center"/>
          </w:tcPr>
          <w:p w14:paraId="44231600">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6000m³/d</w:t>
            </w:r>
          </w:p>
        </w:tc>
        <w:tc>
          <w:tcPr>
            <w:tcW w:w="660" w:type="pct"/>
            <w:tcBorders>
              <w:tl2br w:val="nil"/>
              <w:tr2bl w:val="nil"/>
            </w:tcBorders>
            <w:vAlign w:val="center"/>
          </w:tcPr>
          <w:p w14:paraId="294CA304">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3000m³/d</w:t>
            </w:r>
          </w:p>
        </w:tc>
        <w:tc>
          <w:tcPr>
            <w:tcW w:w="561" w:type="pct"/>
            <w:vMerge w:val="continue"/>
            <w:tcBorders>
              <w:tl2br w:val="nil"/>
              <w:tr2bl w:val="nil"/>
            </w:tcBorders>
            <w:vAlign w:val="center"/>
          </w:tcPr>
          <w:p w14:paraId="4A51D2F1">
            <w:pPr>
              <w:pStyle w:val="16"/>
              <w:pageBreakBefore w:val="0"/>
              <w:wordWrap/>
              <w:bidi w:val="0"/>
              <w:adjustRightInd/>
              <w:snapToGrid/>
              <w:rPr>
                <w:rFonts w:hint="default" w:ascii="Times New Roman" w:hAnsi="Times New Roman" w:cs="Times New Roman"/>
                <w:color w:val="auto"/>
                <w:sz w:val="21"/>
                <w:szCs w:val="21"/>
              </w:rPr>
            </w:pPr>
          </w:p>
        </w:tc>
        <w:tc>
          <w:tcPr>
            <w:tcW w:w="447" w:type="pct"/>
            <w:vMerge w:val="continue"/>
            <w:tcBorders>
              <w:tl2br w:val="nil"/>
              <w:tr2bl w:val="nil"/>
            </w:tcBorders>
            <w:vAlign w:val="center"/>
          </w:tcPr>
          <w:p w14:paraId="460D3F19">
            <w:pPr>
              <w:pStyle w:val="16"/>
              <w:pageBreakBefore w:val="0"/>
              <w:wordWrap/>
              <w:bidi w:val="0"/>
              <w:adjustRightInd/>
              <w:snapToGrid/>
              <w:rPr>
                <w:rFonts w:hint="default" w:ascii="Times New Roman" w:hAnsi="Times New Roman" w:cs="Times New Roman"/>
                <w:color w:val="auto"/>
                <w:sz w:val="21"/>
                <w:szCs w:val="21"/>
              </w:rPr>
            </w:pPr>
          </w:p>
        </w:tc>
        <w:tc>
          <w:tcPr>
            <w:tcW w:w="465" w:type="pct"/>
            <w:vMerge w:val="continue"/>
            <w:tcBorders>
              <w:tl2br w:val="nil"/>
              <w:tr2bl w:val="nil"/>
            </w:tcBorders>
            <w:vAlign w:val="center"/>
          </w:tcPr>
          <w:p w14:paraId="112E9897">
            <w:pPr>
              <w:pStyle w:val="16"/>
              <w:pageBreakBefore w:val="0"/>
              <w:wordWrap/>
              <w:bidi w:val="0"/>
              <w:adjustRightInd/>
              <w:snapToGrid/>
              <w:rPr>
                <w:rFonts w:hint="default" w:ascii="Times New Roman" w:hAnsi="Times New Roman" w:cs="Times New Roman"/>
                <w:color w:val="auto"/>
                <w:sz w:val="21"/>
                <w:szCs w:val="21"/>
              </w:rPr>
            </w:pPr>
          </w:p>
        </w:tc>
      </w:tr>
      <w:tr w14:paraId="2C01D0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continue"/>
            <w:tcBorders>
              <w:tl2br w:val="nil"/>
              <w:tr2bl w:val="nil"/>
            </w:tcBorders>
            <w:vAlign w:val="center"/>
          </w:tcPr>
          <w:p w14:paraId="18144447">
            <w:pPr>
              <w:pStyle w:val="16"/>
              <w:pageBreakBefore w:val="0"/>
              <w:wordWrap/>
              <w:bidi w:val="0"/>
              <w:adjustRightInd/>
              <w:snapToGrid/>
              <w:rPr>
                <w:rFonts w:hint="default" w:ascii="Times New Roman" w:hAnsi="Times New Roman" w:cs="Times New Roman"/>
                <w:b w:val="0"/>
                <w:bCs w:val="0"/>
                <w:color w:val="auto"/>
                <w:sz w:val="21"/>
                <w:szCs w:val="21"/>
              </w:rPr>
            </w:pPr>
          </w:p>
        </w:tc>
        <w:tc>
          <w:tcPr>
            <w:tcW w:w="1824" w:type="pct"/>
            <w:tcBorders>
              <w:tl2br w:val="nil"/>
              <w:tr2bl w:val="nil"/>
            </w:tcBorders>
            <w:vAlign w:val="center"/>
          </w:tcPr>
          <w:p w14:paraId="6E812915">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紫外线消毒、出水计量及取样观测井；出水监测间</w:t>
            </w:r>
          </w:p>
        </w:tc>
        <w:tc>
          <w:tcPr>
            <w:tcW w:w="582" w:type="pct"/>
            <w:tcBorders>
              <w:tl2br w:val="nil"/>
              <w:tr2bl w:val="nil"/>
            </w:tcBorders>
            <w:vAlign w:val="center"/>
          </w:tcPr>
          <w:p w14:paraId="2146BC63">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16000m³/d</w:t>
            </w:r>
          </w:p>
        </w:tc>
        <w:tc>
          <w:tcPr>
            <w:tcW w:w="660" w:type="pct"/>
            <w:tcBorders>
              <w:tl2br w:val="nil"/>
              <w:tr2bl w:val="nil"/>
            </w:tcBorders>
            <w:vAlign w:val="center"/>
          </w:tcPr>
          <w:p w14:paraId="1EA5D5AD">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3000m³/d</w:t>
            </w:r>
          </w:p>
        </w:tc>
        <w:tc>
          <w:tcPr>
            <w:tcW w:w="561" w:type="pct"/>
            <w:vMerge w:val="continue"/>
            <w:tcBorders>
              <w:tl2br w:val="nil"/>
              <w:tr2bl w:val="nil"/>
            </w:tcBorders>
            <w:vAlign w:val="center"/>
          </w:tcPr>
          <w:p w14:paraId="2BD6839F">
            <w:pPr>
              <w:pStyle w:val="16"/>
              <w:pageBreakBefore w:val="0"/>
              <w:wordWrap/>
              <w:bidi w:val="0"/>
              <w:adjustRightInd/>
              <w:snapToGrid/>
              <w:rPr>
                <w:rFonts w:hint="default" w:ascii="Times New Roman" w:hAnsi="Times New Roman" w:cs="Times New Roman"/>
                <w:color w:val="auto"/>
                <w:sz w:val="21"/>
                <w:szCs w:val="21"/>
              </w:rPr>
            </w:pPr>
          </w:p>
        </w:tc>
        <w:tc>
          <w:tcPr>
            <w:tcW w:w="447" w:type="pct"/>
            <w:vMerge w:val="continue"/>
            <w:tcBorders>
              <w:tl2br w:val="nil"/>
              <w:tr2bl w:val="nil"/>
            </w:tcBorders>
            <w:vAlign w:val="center"/>
          </w:tcPr>
          <w:p w14:paraId="7D7FC3CC">
            <w:pPr>
              <w:pStyle w:val="16"/>
              <w:pageBreakBefore w:val="0"/>
              <w:wordWrap/>
              <w:bidi w:val="0"/>
              <w:adjustRightInd/>
              <w:snapToGrid/>
              <w:rPr>
                <w:rFonts w:hint="default" w:ascii="Times New Roman" w:hAnsi="Times New Roman" w:cs="Times New Roman"/>
                <w:color w:val="auto"/>
                <w:sz w:val="21"/>
                <w:szCs w:val="21"/>
              </w:rPr>
            </w:pPr>
          </w:p>
        </w:tc>
        <w:tc>
          <w:tcPr>
            <w:tcW w:w="465" w:type="pct"/>
            <w:vMerge w:val="continue"/>
            <w:tcBorders>
              <w:tl2br w:val="nil"/>
              <w:tr2bl w:val="nil"/>
            </w:tcBorders>
            <w:vAlign w:val="center"/>
          </w:tcPr>
          <w:p w14:paraId="7452FF44">
            <w:pPr>
              <w:pStyle w:val="16"/>
              <w:pageBreakBefore w:val="0"/>
              <w:wordWrap/>
              <w:bidi w:val="0"/>
              <w:adjustRightInd/>
              <w:snapToGrid/>
              <w:rPr>
                <w:rFonts w:hint="default" w:ascii="Times New Roman" w:hAnsi="Times New Roman" w:cs="Times New Roman"/>
                <w:color w:val="auto"/>
                <w:sz w:val="21"/>
                <w:szCs w:val="21"/>
              </w:rPr>
            </w:pPr>
          </w:p>
        </w:tc>
      </w:tr>
      <w:tr w14:paraId="11E22D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continue"/>
            <w:tcBorders>
              <w:tl2br w:val="nil"/>
              <w:tr2bl w:val="nil"/>
            </w:tcBorders>
            <w:vAlign w:val="center"/>
          </w:tcPr>
          <w:p w14:paraId="4C903AE0">
            <w:pPr>
              <w:pStyle w:val="16"/>
              <w:pageBreakBefore w:val="0"/>
              <w:wordWrap/>
              <w:bidi w:val="0"/>
              <w:adjustRightInd/>
              <w:snapToGrid/>
              <w:rPr>
                <w:rFonts w:hint="default" w:ascii="Times New Roman" w:hAnsi="Times New Roman" w:cs="Times New Roman"/>
                <w:b w:val="0"/>
                <w:bCs w:val="0"/>
                <w:color w:val="auto"/>
                <w:sz w:val="21"/>
                <w:szCs w:val="21"/>
              </w:rPr>
            </w:pPr>
          </w:p>
        </w:tc>
        <w:tc>
          <w:tcPr>
            <w:tcW w:w="1824" w:type="pct"/>
            <w:tcBorders>
              <w:tl2br w:val="nil"/>
              <w:tr2bl w:val="nil"/>
            </w:tcBorders>
            <w:vAlign w:val="center"/>
          </w:tcPr>
          <w:p w14:paraId="7028F9A7">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进出水在线监测间、综合楼、门卫室、值班室、机修危废间、除臭设备</w:t>
            </w:r>
          </w:p>
        </w:tc>
        <w:tc>
          <w:tcPr>
            <w:tcW w:w="582" w:type="pct"/>
            <w:tcBorders>
              <w:tl2br w:val="nil"/>
              <w:tr2bl w:val="nil"/>
            </w:tcBorders>
            <w:vAlign w:val="center"/>
          </w:tcPr>
          <w:p w14:paraId="218517F2">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6000m³/d</w:t>
            </w:r>
          </w:p>
        </w:tc>
        <w:tc>
          <w:tcPr>
            <w:tcW w:w="660" w:type="pct"/>
            <w:tcBorders>
              <w:tl2br w:val="nil"/>
              <w:tr2bl w:val="nil"/>
            </w:tcBorders>
            <w:vAlign w:val="center"/>
          </w:tcPr>
          <w:p w14:paraId="40102985">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6000m³/d</w:t>
            </w:r>
          </w:p>
        </w:tc>
        <w:tc>
          <w:tcPr>
            <w:tcW w:w="561" w:type="pct"/>
            <w:vMerge w:val="continue"/>
            <w:tcBorders>
              <w:tl2br w:val="nil"/>
              <w:tr2bl w:val="nil"/>
            </w:tcBorders>
            <w:vAlign w:val="center"/>
          </w:tcPr>
          <w:p w14:paraId="0D98AF47">
            <w:pPr>
              <w:pStyle w:val="16"/>
              <w:pageBreakBefore w:val="0"/>
              <w:wordWrap/>
              <w:bidi w:val="0"/>
              <w:adjustRightInd/>
              <w:snapToGrid/>
              <w:rPr>
                <w:rFonts w:hint="default" w:ascii="Times New Roman" w:hAnsi="Times New Roman" w:cs="Times New Roman"/>
                <w:color w:val="auto"/>
                <w:sz w:val="21"/>
                <w:szCs w:val="21"/>
              </w:rPr>
            </w:pPr>
          </w:p>
        </w:tc>
        <w:tc>
          <w:tcPr>
            <w:tcW w:w="447" w:type="pct"/>
            <w:vMerge w:val="continue"/>
            <w:tcBorders>
              <w:tl2br w:val="nil"/>
              <w:tr2bl w:val="nil"/>
            </w:tcBorders>
            <w:vAlign w:val="center"/>
          </w:tcPr>
          <w:p w14:paraId="7F49BDC8">
            <w:pPr>
              <w:pStyle w:val="16"/>
              <w:pageBreakBefore w:val="0"/>
              <w:wordWrap/>
              <w:bidi w:val="0"/>
              <w:adjustRightInd/>
              <w:snapToGrid/>
              <w:rPr>
                <w:rFonts w:hint="default" w:ascii="Times New Roman" w:hAnsi="Times New Roman" w:cs="Times New Roman"/>
                <w:color w:val="auto"/>
                <w:sz w:val="21"/>
                <w:szCs w:val="21"/>
              </w:rPr>
            </w:pPr>
          </w:p>
        </w:tc>
        <w:tc>
          <w:tcPr>
            <w:tcW w:w="465" w:type="pct"/>
            <w:vMerge w:val="continue"/>
            <w:tcBorders>
              <w:tl2br w:val="nil"/>
              <w:tr2bl w:val="nil"/>
            </w:tcBorders>
            <w:vAlign w:val="center"/>
          </w:tcPr>
          <w:p w14:paraId="555A4731">
            <w:pPr>
              <w:pStyle w:val="16"/>
              <w:pageBreakBefore w:val="0"/>
              <w:wordWrap/>
              <w:bidi w:val="0"/>
              <w:adjustRightInd/>
              <w:snapToGrid/>
              <w:rPr>
                <w:rFonts w:hint="default" w:ascii="Times New Roman" w:hAnsi="Times New Roman" w:cs="Times New Roman"/>
                <w:color w:val="auto"/>
                <w:sz w:val="21"/>
                <w:szCs w:val="21"/>
              </w:rPr>
            </w:pPr>
          </w:p>
        </w:tc>
      </w:tr>
      <w:tr w14:paraId="01E309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continue"/>
            <w:tcBorders>
              <w:tl2br w:val="nil"/>
              <w:tr2bl w:val="nil"/>
            </w:tcBorders>
            <w:vAlign w:val="center"/>
          </w:tcPr>
          <w:p w14:paraId="22AFF00A">
            <w:pPr>
              <w:pStyle w:val="16"/>
              <w:pageBreakBefore w:val="0"/>
              <w:wordWrap/>
              <w:bidi w:val="0"/>
              <w:adjustRightInd/>
              <w:snapToGrid/>
              <w:rPr>
                <w:rFonts w:hint="default" w:ascii="Times New Roman" w:hAnsi="Times New Roman" w:cs="Times New Roman"/>
                <w:b w:val="0"/>
                <w:bCs w:val="0"/>
                <w:color w:val="auto"/>
                <w:sz w:val="21"/>
                <w:szCs w:val="21"/>
              </w:rPr>
            </w:pPr>
          </w:p>
        </w:tc>
        <w:tc>
          <w:tcPr>
            <w:tcW w:w="1824" w:type="pct"/>
            <w:tcBorders>
              <w:tl2br w:val="nil"/>
              <w:tr2bl w:val="nil"/>
            </w:tcBorders>
            <w:vAlign w:val="center"/>
          </w:tcPr>
          <w:p w14:paraId="70249115">
            <w:pPr>
              <w:pStyle w:val="16"/>
              <w:pageBreakBefore w:val="0"/>
              <w:wordWrap/>
              <w:bidi w:val="0"/>
              <w:adjustRightInd/>
              <w:snapToGrid/>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color w:val="auto"/>
                <w:sz w:val="21"/>
                <w:szCs w:val="21"/>
                <w:lang w:val="en-US" w:eastAsia="zh-CN"/>
              </w:rPr>
              <w:t>尾水排放管道</w:t>
            </w:r>
          </w:p>
        </w:tc>
        <w:tc>
          <w:tcPr>
            <w:tcW w:w="1242" w:type="pct"/>
            <w:gridSpan w:val="2"/>
            <w:tcBorders>
              <w:tl2br w:val="nil"/>
              <w:tr2bl w:val="nil"/>
            </w:tcBorders>
            <w:vAlign w:val="center"/>
          </w:tcPr>
          <w:p w14:paraId="02F4D69C">
            <w:pPr>
              <w:pStyle w:val="16"/>
              <w:pageBreakBefore w:val="0"/>
              <w:wordWrap/>
              <w:bidi w:val="0"/>
              <w:adjustRightInd/>
              <w:snapToGrid/>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color w:val="auto"/>
              </w:rPr>
              <w:t>管径DN600mm，总长约550m</w:t>
            </w:r>
          </w:p>
        </w:tc>
        <w:tc>
          <w:tcPr>
            <w:tcW w:w="561" w:type="pct"/>
            <w:vMerge w:val="continue"/>
            <w:tcBorders>
              <w:tl2br w:val="nil"/>
              <w:tr2bl w:val="nil"/>
            </w:tcBorders>
            <w:vAlign w:val="center"/>
          </w:tcPr>
          <w:p w14:paraId="6705C619">
            <w:pPr>
              <w:pStyle w:val="16"/>
              <w:pageBreakBefore w:val="0"/>
              <w:wordWrap/>
              <w:bidi w:val="0"/>
              <w:adjustRightInd/>
              <w:snapToGrid/>
              <w:rPr>
                <w:rFonts w:hint="default" w:ascii="Times New Roman" w:hAnsi="Times New Roman" w:cs="Times New Roman"/>
                <w:color w:val="auto"/>
                <w:sz w:val="21"/>
                <w:szCs w:val="21"/>
              </w:rPr>
            </w:pPr>
          </w:p>
        </w:tc>
        <w:tc>
          <w:tcPr>
            <w:tcW w:w="447" w:type="pct"/>
            <w:vMerge w:val="continue"/>
            <w:tcBorders>
              <w:tl2br w:val="nil"/>
              <w:tr2bl w:val="nil"/>
            </w:tcBorders>
            <w:vAlign w:val="center"/>
          </w:tcPr>
          <w:p w14:paraId="76D861DF">
            <w:pPr>
              <w:pStyle w:val="16"/>
              <w:pageBreakBefore w:val="0"/>
              <w:wordWrap/>
              <w:bidi w:val="0"/>
              <w:adjustRightInd/>
              <w:snapToGrid/>
              <w:rPr>
                <w:rFonts w:hint="default" w:ascii="Times New Roman" w:hAnsi="Times New Roman" w:cs="Times New Roman"/>
                <w:color w:val="auto"/>
                <w:sz w:val="21"/>
                <w:szCs w:val="21"/>
              </w:rPr>
            </w:pPr>
          </w:p>
        </w:tc>
        <w:tc>
          <w:tcPr>
            <w:tcW w:w="465" w:type="pct"/>
            <w:vMerge w:val="continue"/>
            <w:tcBorders>
              <w:tl2br w:val="nil"/>
              <w:tr2bl w:val="nil"/>
            </w:tcBorders>
            <w:vAlign w:val="center"/>
          </w:tcPr>
          <w:p w14:paraId="2B2FA9D4">
            <w:pPr>
              <w:pStyle w:val="16"/>
              <w:pageBreakBefore w:val="0"/>
              <w:wordWrap/>
              <w:bidi w:val="0"/>
              <w:adjustRightInd/>
              <w:snapToGrid/>
              <w:rPr>
                <w:rFonts w:hint="default" w:ascii="Times New Roman" w:hAnsi="Times New Roman" w:cs="Times New Roman"/>
                <w:color w:val="auto"/>
                <w:sz w:val="21"/>
                <w:szCs w:val="21"/>
              </w:rPr>
            </w:pPr>
          </w:p>
        </w:tc>
      </w:tr>
      <w:tr w14:paraId="1D0A76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continue"/>
            <w:tcBorders>
              <w:tl2br w:val="nil"/>
              <w:tr2bl w:val="nil"/>
            </w:tcBorders>
            <w:vAlign w:val="center"/>
          </w:tcPr>
          <w:p w14:paraId="40739EFD">
            <w:pPr>
              <w:pStyle w:val="16"/>
              <w:pageBreakBefore w:val="0"/>
              <w:wordWrap/>
              <w:bidi w:val="0"/>
              <w:adjustRightInd/>
              <w:snapToGrid/>
              <w:rPr>
                <w:rFonts w:hint="default" w:ascii="Times New Roman" w:hAnsi="Times New Roman" w:cs="Times New Roman"/>
                <w:b w:val="0"/>
                <w:bCs w:val="0"/>
                <w:color w:val="auto"/>
                <w:sz w:val="21"/>
                <w:szCs w:val="21"/>
              </w:rPr>
            </w:pPr>
          </w:p>
        </w:tc>
        <w:tc>
          <w:tcPr>
            <w:tcW w:w="1824" w:type="pct"/>
            <w:tcBorders>
              <w:tl2br w:val="nil"/>
              <w:tr2bl w:val="nil"/>
            </w:tcBorders>
            <w:vAlign w:val="center"/>
          </w:tcPr>
          <w:p w14:paraId="33ACDFB5">
            <w:pPr>
              <w:pStyle w:val="16"/>
              <w:pageBreakBefore w:val="0"/>
              <w:wordWrap/>
              <w:bidi w:val="0"/>
              <w:adjustRightInd/>
              <w:snapToGrid/>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园区环境监测站</w:t>
            </w:r>
          </w:p>
        </w:tc>
        <w:tc>
          <w:tcPr>
            <w:tcW w:w="1242" w:type="pct"/>
            <w:gridSpan w:val="2"/>
            <w:tcBorders>
              <w:tl2br w:val="nil"/>
              <w:tr2bl w:val="nil"/>
            </w:tcBorders>
            <w:vAlign w:val="center"/>
          </w:tcPr>
          <w:p w14:paraId="1C36C1E5">
            <w:pPr>
              <w:pStyle w:val="16"/>
              <w:pageBreakBefore w:val="0"/>
              <w:wordWrap/>
              <w:bidi w:val="0"/>
              <w:adjustRightInd/>
              <w:snapToGrid/>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配套监测设备</w:t>
            </w:r>
          </w:p>
        </w:tc>
        <w:tc>
          <w:tcPr>
            <w:tcW w:w="561" w:type="pct"/>
            <w:vMerge w:val="continue"/>
            <w:tcBorders>
              <w:tl2br w:val="nil"/>
              <w:tr2bl w:val="nil"/>
            </w:tcBorders>
            <w:vAlign w:val="center"/>
          </w:tcPr>
          <w:p w14:paraId="0CE32B75">
            <w:pPr>
              <w:pStyle w:val="16"/>
              <w:pageBreakBefore w:val="0"/>
              <w:wordWrap/>
              <w:bidi w:val="0"/>
              <w:adjustRightInd/>
              <w:snapToGrid/>
              <w:rPr>
                <w:rFonts w:hint="default" w:ascii="Times New Roman" w:hAnsi="Times New Roman" w:cs="Times New Roman"/>
                <w:color w:val="auto"/>
                <w:sz w:val="21"/>
                <w:szCs w:val="21"/>
              </w:rPr>
            </w:pPr>
          </w:p>
        </w:tc>
        <w:tc>
          <w:tcPr>
            <w:tcW w:w="447" w:type="pct"/>
            <w:vMerge w:val="continue"/>
            <w:tcBorders>
              <w:tl2br w:val="nil"/>
              <w:tr2bl w:val="nil"/>
            </w:tcBorders>
            <w:vAlign w:val="center"/>
          </w:tcPr>
          <w:p w14:paraId="722CE59A">
            <w:pPr>
              <w:pStyle w:val="16"/>
              <w:pageBreakBefore w:val="0"/>
              <w:wordWrap/>
              <w:bidi w:val="0"/>
              <w:adjustRightInd/>
              <w:snapToGrid/>
              <w:rPr>
                <w:rFonts w:hint="default" w:ascii="Times New Roman" w:hAnsi="Times New Roman" w:cs="Times New Roman"/>
                <w:color w:val="auto"/>
                <w:sz w:val="21"/>
                <w:szCs w:val="21"/>
              </w:rPr>
            </w:pPr>
          </w:p>
        </w:tc>
        <w:tc>
          <w:tcPr>
            <w:tcW w:w="465" w:type="pct"/>
            <w:vMerge w:val="continue"/>
            <w:tcBorders>
              <w:tl2br w:val="nil"/>
              <w:tr2bl w:val="nil"/>
            </w:tcBorders>
            <w:vAlign w:val="center"/>
          </w:tcPr>
          <w:p w14:paraId="63DCA2A1">
            <w:pPr>
              <w:pStyle w:val="16"/>
              <w:pageBreakBefore w:val="0"/>
              <w:wordWrap/>
              <w:bidi w:val="0"/>
              <w:adjustRightInd/>
              <w:snapToGrid/>
              <w:rPr>
                <w:rFonts w:hint="default" w:ascii="Times New Roman" w:hAnsi="Times New Roman" w:cs="Times New Roman"/>
                <w:color w:val="auto"/>
                <w:sz w:val="21"/>
                <w:szCs w:val="21"/>
              </w:rPr>
            </w:pPr>
          </w:p>
        </w:tc>
      </w:tr>
      <w:tr w14:paraId="5B4C8F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restart"/>
            <w:tcBorders>
              <w:tl2br w:val="nil"/>
              <w:tr2bl w:val="nil"/>
            </w:tcBorders>
            <w:vAlign w:val="center"/>
          </w:tcPr>
          <w:p w14:paraId="10FA7A9B">
            <w:pPr>
              <w:pStyle w:val="16"/>
              <w:pageBreakBefore w:val="0"/>
              <w:wordWrap/>
              <w:bidi w:val="0"/>
              <w:adjustRightInd/>
              <w:snapToGrid/>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rPr>
              <w:t>二期</w:t>
            </w:r>
            <w:r>
              <w:rPr>
                <w:rFonts w:hint="default" w:ascii="Times New Roman" w:hAnsi="Times New Roman" w:cs="Times New Roman"/>
                <w:b w:val="0"/>
                <w:bCs w:val="0"/>
                <w:color w:val="auto"/>
                <w:sz w:val="21"/>
                <w:szCs w:val="21"/>
                <w:lang w:eastAsia="zh-CN"/>
              </w:rPr>
              <w:t>（</w:t>
            </w:r>
            <w:r>
              <w:rPr>
                <w:rFonts w:hint="default" w:ascii="Times New Roman" w:hAnsi="Times New Roman" w:cs="Times New Roman"/>
                <w:b w:val="0"/>
                <w:bCs w:val="0"/>
                <w:color w:val="auto"/>
                <w:sz w:val="21"/>
                <w:szCs w:val="21"/>
                <w:lang w:val="en-US" w:eastAsia="zh-CN"/>
              </w:rPr>
              <w:t>本次不涉及</w:t>
            </w:r>
            <w:r>
              <w:rPr>
                <w:rFonts w:hint="default" w:ascii="Times New Roman" w:hAnsi="Times New Roman" w:cs="Times New Roman"/>
                <w:b w:val="0"/>
                <w:bCs w:val="0"/>
                <w:color w:val="auto"/>
                <w:sz w:val="21"/>
                <w:szCs w:val="21"/>
                <w:lang w:eastAsia="zh-CN"/>
              </w:rPr>
              <w:t>）</w:t>
            </w:r>
          </w:p>
        </w:tc>
        <w:tc>
          <w:tcPr>
            <w:tcW w:w="1824" w:type="pct"/>
            <w:tcBorders>
              <w:tl2br w:val="nil"/>
              <w:tr2bl w:val="nil"/>
            </w:tcBorders>
            <w:vAlign w:val="center"/>
          </w:tcPr>
          <w:p w14:paraId="3FC0EEEB">
            <w:pPr>
              <w:pStyle w:val="16"/>
              <w:pageBreakBefore w:val="0"/>
              <w:wordWrap/>
              <w:bidi w:val="0"/>
              <w:adjustRightInd/>
              <w:snapToGrid/>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水解酸化池+生化池</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3000m³/d</w:t>
            </w:r>
            <w:r>
              <w:rPr>
                <w:rFonts w:hint="default" w:ascii="Times New Roman" w:hAnsi="Times New Roman" w:cs="Times New Roman"/>
                <w:color w:val="auto"/>
                <w:sz w:val="21"/>
                <w:szCs w:val="21"/>
                <w:lang w:eastAsia="zh-CN"/>
              </w:rPr>
              <w:t>）</w:t>
            </w:r>
          </w:p>
        </w:tc>
        <w:tc>
          <w:tcPr>
            <w:tcW w:w="582" w:type="pct"/>
            <w:tcBorders>
              <w:tl2br w:val="nil"/>
              <w:tr2bl w:val="nil"/>
            </w:tcBorders>
            <w:vAlign w:val="center"/>
          </w:tcPr>
          <w:p w14:paraId="4E5AE51B">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3000m³/d</w:t>
            </w:r>
          </w:p>
        </w:tc>
        <w:tc>
          <w:tcPr>
            <w:tcW w:w="660" w:type="pct"/>
            <w:tcBorders>
              <w:tl2br w:val="nil"/>
              <w:tr2bl w:val="nil"/>
            </w:tcBorders>
            <w:vAlign w:val="center"/>
          </w:tcPr>
          <w:p w14:paraId="121185D3">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3000m³/d</w:t>
            </w:r>
          </w:p>
        </w:tc>
        <w:tc>
          <w:tcPr>
            <w:tcW w:w="561" w:type="pct"/>
            <w:vMerge w:val="restart"/>
            <w:tcBorders>
              <w:tl2br w:val="nil"/>
              <w:tr2bl w:val="nil"/>
            </w:tcBorders>
            <w:vAlign w:val="center"/>
          </w:tcPr>
          <w:p w14:paraId="63323BCF">
            <w:pPr>
              <w:pStyle w:val="16"/>
              <w:pageBreakBefore w:val="0"/>
              <w:wordWrap/>
              <w:bidi w:val="0"/>
              <w:adjustRightInd/>
              <w:snapToGrid/>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w:t>
            </w:r>
            <w:r>
              <w:rPr>
                <w:rFonts w:hint="default" w:ascii="Times New Roman" w:hAnsi="Times New Roman" w:cs="Times New Roman"/>
                <w:color w:val="auto"/>
                <w:sz w:val="21"/>
                <w:szCs w:val="21"/>
              </w:rPr>
              <w:t>000m³/d</w:t>
            </w:r>
          </w:p>
        </w:tc>
        <w:tc>
          <w:tcPr>
            <w:tcW w:w="447" w:type="pct"/>
            <w:vMerge w:val="restart"/>
            <w:tcBorders>
              <w:tl2br w:val="nil"/>
              <w:tr2bl w:val="nil"/>
            </w:tcBorders>
            <w:vAlign w:val="center"/>
          </w:tcPr>
          <w:p w14:paraId="2CC4A59D">
            <w:pPr>
              <w:pStyle w:val="16"/>
              <w:pageBreakBefore w:val="0"/>
              <w:wordWrap/>
              <w:bidi w:val="0"/>
              <w:adjustRightInd/>
              <w:snapToGrid/>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根据园区进水水量进行调整</w:t>
            </w:r>
          </w:p>
        </w:tc>
        <w:tc>
          <w:tcPr>
            <w:tcW w:w="465" w:type="pct"/>
            <w:vMerge w:val="restart"/>
            <w:tcBorders>
              <w:tl2br w:val="nil"/>
              <w:tr2bl w:val="nil"/>
            </w:tcBorders>
            <w:vAlign w:val="center"/>
          </w:tcPr>
          <w:p w14:paraId="5B198C70">
            <w:pPr>
              <w:pStyle w:val="16"/>
              <w:pageBreakBefore w:val="0"/>
              <w:wordWrap/>
              <w:bidi w:val="0"/>
              <w:adjustRightInd/>
              <w:snapToGrid/>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曾口区块全区，按照</w:t>
            </w:r>
            <w:r>
              <w:rPr>
                <w:rFonts w:hint="eastAsia" w:ascii="Times New Roman" w:hAnsi="Times New Roman" w:cs="Times New Roman"/>
                <w:color w:val="auto"/>
                <w:sz w:val="21"/>
                <w:szCs w:val="21"/>
                <w:lang w:val="en-US" w:eastAsia="zh-CN"/>
              </w:rPr>
              <w:t>园区进水</w:t>
            </w:r>
            <w:r>
              <w:rPr>
                <w:rFonts w:hint="default" w:ascii="Times New Roman" w:hAnsi="Times New Roman" w:cs="Times New Roman"/>
                <w:color w:val="auto"/>
                <w:sz w:val="21"/>
                <w:szCs w:val="21"/>
                <w:lang w:val="en-US" w:eastAsia="zh-CN"/>
              </w:rPr>
              <w:t>水量</w:t>
            </w:r>
            <w:r>
              <w:rPr>
                <w:rFonts w:hint="eastAsia" w:ascii="Times New Roman" w:hAnsi="Times New Roman" w:cs="Times New Roman"/>
                <w:color w:val="auto"/>
                <w:sz w:val="21"/>
                <w:szCs w:val="21"/>
                <w:lang w:val="en-US" w:eastAsia="zh-CN"/>
              </w:rPr>
              <w:t>进行建设</w:t>
            </w:r>
          </w:p>
        </w:tc>
      </w:tr>
      <w:tr w14:paraId="472A9B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continue"/>
            <w:tcBorders>
              <w:tl2br w:val="nil"/>
              <w:tr2bl w:val="nil"/>
            </w:tcBorders>
            <w:vAlign w:val="center"/>
          </w:tcPr>
          <w:p w14:paraId="13833354">
            <w:pPr>
              <w:pStyle w:val="16"/>
              <w:pageBreakBefore w:val="0"/>
              <w:wordWrap/>
              <w:bidi w:val="0"/>
              <w:adjustRightInd/>
              <w:snapToGrid/>
              <w:rPr>
                <w:rFonts w:hint="default" w:ascii="Times New Roman" w:hAnsi="Times New Roman" w:cs="Times New Roman"/>
                <w:b w:val="0"/>
                <w:bCs w:val="0"/>
                <w:color w:val="auto"/>
                <w:sz w:val="21"/>
                <w:szCs w:val="21"/>
              </w:rPr>
            </w:pPr>
          </w:p>
        </w:tc>
        <w:tc>
          <w:tcPr>
            <w:tcW w:w="1824" w:type="pct"/>
            <w:tcBorders>
              <w:tl2br w:val="nil"/>
              <w:tr2bl w:val="nil"/>
            </w:tcBorders>
            <w:vAlign w:val="center"/>
          </w:tcPr>
          <w:p w14:paraId="0A93B9EC">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高级氧化深度处理设备、磁混凝沉淀池设备</w:t>
            </w:r>
          </w:p>
        </w:tc>
        <w:tc>
          <w:tcPr>
            <w:tcW w:w="582" w:type="pct"/>
            <w:tcBorders>
              <w:tl2br w:val="nil"/>
              <w:tr2bl w:val="nil"/>
            </w:tcBorders>
            <w:vAlign w:val="center"/>
          </w:tcPr>
          <w:p w14:paraId="32CD34BD">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3000m³/d</w:t>
            </w:r>
          </w:p>
        </w:tc>
        <w:tc>
          <w:tcPr>
            <w:tcW w:w="660" w:type="pct"/>
            <w:tcBorders>
              <w:tl2br w:val="nil"/>
              <w:tr2bl w:val="nil"/>
            </w:tcBorders>
            <w:vAlign w:val="center"/>
          </w:tcPr>
          <w:p w14:paraId="48DEA735">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3000m³/d</w:t>
            </w:r>
          </w:p>
        </w:tc>
        <w:tc>
          <w:tcPr>
            <w:tcW w:w="561" w:type="pct"/>
            <w:vMerge w:val="continue"/>
            <w:tcBorders>
              <w:tl2br w:val="nil"/>
              <w:tr2bl w:val="nil"/>
            </w:tcBorders>
            <w:vAlign w:val="center"/>
          </w:tcPr>
          <w:p w14:paraId="48F52239">
            <w:pPr>
              <w:pStyle w:val="16"/>
              <w:pageBreakBefore w:val="0"/>
              <w:wordWrap/>
              <w:bidi w:val="0"/>
              <w:adjustRightInd/>
              <w:snapToGrid/>
              <w:rPr>
                <w:rFonts w:hint="default" w:ascii="Times New Roman" w:hAnsi="Times New Roman" w:cs="Times New Roman"/>
                <w:color w:val="auto"/>
                <w:sz w:val="21"/>
                <w:szCs w:val="21"/>
              </w:rPr>
            </w:pPr>
          </w:p>
        </w:tc>
        <w:tc>
          <w:tcPr>
            <w:tcW w:w="447" w:type="pct"/>
            <w:vMerge w:val="continue"/>
            <w:tcBorders>
              <w:tl2br w:val="nil"/>
              <w:tr2bl w:val="nil"/>
            </w:tcBorders>
            <w:vAlign w:val="center"/>
          </w:tcPr>
          <w:p w14:paraId="6E8202CE">
            <w:pPr>
              <w:pStyle w:val="16"/>
              <w:pageBreakBefore w:val="0"/>
              <w:wordWrap/>
              <w:bidi w:val="0"/>
              <w:adjustRightInd/>
              <w:snapToGrid/>
              <w:rPr>
                <w:rFonts w:hint="default" w:ascii="Times New Roman" w:hAnsi="Times New Roman" w:cs="Times New Roman"/>
                <w:color w:val="auto"/>
                <w:sz w:val="21"/>
                <w:szCs w:val="21"/>
              </w:rPr>
            </w:pPr>
          </w:p>
        </w:tc>
        <w:tc>
          <w:tcPr>
            <w:tcW w:w="465" w:type="pct"/>
            <w:vMerge w:val="continue"/>
            <w:tcBorders>
              <w:tl2br w:val="nil"/>
              <w:tr2bl w:val="nil"/>
            </w:tcBorders>
            <w:vAlign w:val="center"/>
          </w:tcPr>
          <w:p w14:paraId="6B60FCD2">
            <w:pPr>
              <w:pStyle w:val="16"/>
              <w:pageBreakBefore w:val="0"/>
              <w:wordWrap/>
              <w:bidi w:val="0"/>
              <w:adjustRightInd/>
              <w:snapToGrid/>
              <w:rPr>
                <w:rFonts w:hint="default" w:ascii="Times New Roman" w:hAnsi="Times New Roman" w:cs="Times New Roman"/>
                <w:color w:val="auto"/>
                <w:sz w:val="21"/>
                <w:szCs w:val="21"/>
              </w:rPr>
            </w:pPr>
          </w:p>
        </w:tc>
      </w:tr>
      <w:tr w14:paraId="49BA2F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continue"/>
            <w:tcBorders>
              <w:tl2br w:val="nil"/>
              <w:tr2bl w:val="nil"/>
            </w:tcBorders>
            <w:vAlign w:val="center"/>
          </w:tcPr>
          <w:p w14:paraId="681D29AB">
            <w:pPr>
              <w:pStyle w:val="16"/>
              <w:pageBreakBefore w:val="0"/>
              <w:wordWrap/>
              <w:bidi w:val="0"/>
              <w:adjustRightInd/>
              <w:snapToGrid/>
              <w:rPr>
                <w:rFonts w:hint="default" w:ascii="Times New Roman" w:hAnsi="Times New Roman" w:cs="Times New Roman"/>
                <w:b w:val="0"/>
                <w:bCs w:val="0"/>
                <w:color w:val="auto"/>
                <w:sz w:val="21"/>
                <w:szCs w:val="21"/>
              </w:rPr>
            </w:pPr>
          </w:p>
        </w:tc>
        <w:tc>
          <w:tcPr>
            <w:tcW w:w="1824" w:type="pct"/>
            <w:tcBorders>
              <w:tl2br w:val="nil"/>
              <w:tr2bl w:val="nil"/>
            </w:tcBorders>
            <w:vAlign w:val="center"/>
          </w:tcPr>
          <w:p w14:paraId="0C44B9EF">
            <w:pPr>
              <w:pStyle w:val="16"/>
              <w:pageBreakBefore w:val="0"/>
              <w:wordWrap/>
              <w:bidi w:val="0"/>
              <w:adjustRightInd/>
              <w:snapToGrid/>
              <w:ind w:left="0" w:leftChars="0"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反硝化深床滤池</w:t>
            </w:r>
          </w:p>
        </w:tc>
        <w:tc>
          <w:tcPr>
            <w:tcW w:w="582" w:type="pct"/>
            <w:tcBorders>
              <w:tl2br w:val="nil"/>
              <w:tr2bl w:val="nil"/>
            </w:tcBorders>
            <w:vAlign w:val="center"/>
          </w:tcPr>
          <w:p w14:paraId="78B32639">
            <w:pPr>
              <w:pStyle w:val="16"/>
              <w:pageBreakBefore w:val="0"/>
              <w:wordWrap/>
              <w:bidi w:val="0"/>
              <w:adjustRightInd/>
              <w:snapToGrid/>
              <w:ind w:left="0" w:leftChars="0"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660" w:type="pct"/>
            <w:tcBorders>
              <w:tl2br w:val="nil"/>
              <w:tr2bl w:val="nil"/>
            </w:tcBorders>
            <w:vAlign w:val="center"/>
          </w:tcPr>
          <w:p w14:paraId="7497D1BF">
            <w:pPr>
              <w:pStyle w:val="16"/>
              <w:pageBreakBefore w:val="0"/>
              <w:wordWrap/>
              <w:bidi w:val="0"/>
              <w:adjustRightInd/>
              <w:snapToGrid/>
              <w:ind w:left="0" w:leftChars="0"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3000m³/d</w:t>
            </w:r>
          </w:p>
        </w:tc>
        <w:tc>
          <w:tcPr>
            <w:tcW w:w="561" w:type="pct"/>
            <w:vMerge w:val="continue"/>
            <w:tcBorders>
              <w:tl2br w:val="nil"/>
              <w:tr2bl w:val="nil"/>
            </w:tcBorders>
            <w:vAlign w:val="center"/>
          </w:tcPr>
          <w:p w14:paraId="2DE0DE43">
            <w:pPr>
              <w:pStyle w:val="16"/>
              <w:pageBreakBefore w:val="0"/>
              <w:wordWrap/>
              <w:bidi w:val="0"/>
              <w:adjustRightInd/>
              <w:snapToGrid/>
              <w:ind w:left="0" w:leftChars="0" w:firstLine="0" w:firstLineChars="0"/>
              <w:rPr>
                <w:rFonts w:hint="default" w:ascii="Times New Roman" w:hAnsi="Times New Roman" w:cs="Times New Roman"/>
                <w:color w:val="auto"/>
                <w:sz w:val="21"/>
                <w:szCs w:val="21"/>
              </w:rPr>
            </w:pPr>
          </w:p>
        </w:tc>
        <w:tc>
          <w:tcPr>
            <w:tcW w:w="447" w:type="pct"/>
            <w:vMerge w:val="continue"/>
            <w:tcBorders>
              <w:tl2br w:val="nil"/>
              <w:tr2bl w:val="nil"/>
            </w:tcBorders>
            <w:vAlign w:val="center"/>
          </w:tcPr>
          <w:p w14:paraId="0A37D164">
            <w:pPr>
              <w:pStyle w:val="16"/>
              <w:pageBreakBefore w:val="0"/>
              <w:wordWrap/>
              <w:bidi w:val="0"/>
              <w:adjustRightInd/>
              <w:snapToGrid/>
              <w:ind w:left="0" w:leftChars="0" w:firstLine="0" w:firstLineChars="0"/>
              <w:rPr>
                <w:rFonts w:hint="default" w:ascii="Times New Roman" w:hAnsi="Times New Roman" w:cs="Times New Roman"/>
                <w:color w:val="auto"/>
                <w:sz w:val="21"/>
                <w:szCs w:val="21"/>
              </w:rPr>
            </w:pPr>
          </w:p>
        </w:tc>
        <w:tc>
          <w:tcPr>
            <w:tcW w:w="465" w:type="pct"/>
            <w:vMerge w:val="continue"/>
            <w:tcBorders>
              <w:tl2br w:val="nil"/>
              <w:tr2bl w:val="nil"/>
            </w:tcBorders>
            <w:vAlign w:val="center"/>
          </w:tcPr>
          <w:p w14:paraId="0CEAA9D8">
            <w:pPr>
              <w:pStyle w:val="16"/>
              <w:pageBreakBefore w:val="0"/>
              <w:wordWrap/>
              <w:bidi w:val="0"/>
              <w:adjustRightInd/>
              <w:snapToGrid/>
              <w:ind w:left="0" w:leftChars="0" w:firstLine="0" w:firstLineChars="0"/>
              <w:rPr>
                <w:rFonts w:hint="default" w:ascii="Times New Roman" w:hAnsi="Times New Roman" w:cs="Times New Roman"/>
                <w:color w:val="auto"/>
                <w:sz w:val="21"/>
                <w:szCs w:val="21"/>
              </w:rPr>
            </w:pPr>
          </w:p>
        </w:tc>
      </w:tr>
      <w:tr w14:paraId="7B826F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continue"/>
            <w:tcBorders>
              <w:tl2br w:val="nil"/>
              <w:tr2bl w:val="nil"/>
            </w:tcBorders>
            <w:vAlign w:val="center"/>
          </w:tcPr>
          <w:p w14:paraId="24F78C93">
            <w:pPr>
              <w:pStyle w:val="16"/>
              <w:pageBreakBefore w:val="0"/>
              <w:wordWrap/>
              <w:bidi w:val="0"/>
              <w:adjustRightInd/>
              <w:snapToGrid/>
              <w:rPr>
                <w:rFonts w:hint="default" w:ascii="Times New Roman" w:hAnsi="Times New Roman" w:cs="Times New Roman"/>
                <w:b w:val="0"/>
                <w:bCs w:val="0"/>
                <w:color w:val="auto"/>
                <w:sz w:val="21"/>
                <w:szCs w:val="21"/>
              </w:rPr>
            </w:pPr>
          </w:p>
        </w:tc>
        <w:tc>
          <w:tcPr>
            <w:tcW w:w="1824" w:type="pct"/>
            <w:tcBorders>
              <w:tl2br w:val="nil"/>
              <w:tr2bl w:val="nil"/>
            </w:tcBorders>
            <w:vAlign w:val="center"/>
          </w:tcPr>
          <w:p w14:paraId="659B114E">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膜车间、回用水池及泵房-浓水池及泵房</w:t>
            </w:r>
          </w:p>
        </w:tc>
        <w:tc>
          <w:tcPr>
            <w:tcW w:w="582" w:type="pct"/>
            <w:tcBorders>
              <w:tl2br w:val="nil"/>
              <w:tr2bl w:val="nil"/>
            </w:tcBorders>
            <w:vAlign w:val="center"/>
          </w:tcPr>
          <w:p w14:paraId="17BB9287">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预留</w:t>
            </w:r>
          </w:p>
        </w:tc>
        <w:tc>
          <w:tcPr>
            <w:tcW w:w="660" w:type="pct"/>
            <w:tcBorders>
              <w:tl2br w:val="nil"/>
              <w:tr2bl w:val="nil"/>
            </w:tcBorders>
            <w:vAlign w:val="center"/>
          </w:tcPr>
          <w:p w14:paraId="01724307">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预留</w:t>
            </w:r>
          </w:p>
        </w:tc>
        <w:tc>
          <w:tcPr>
            <w:tcW w:w="561" w:type="pct"/>
            <w:vMerge w:val="continue"/>
            <w:tcBorders>
              <w:tl2br w:val="nil"/>
              <w:tr2bl w:val="nil"/>
            </w:tcBorders>
            <w:vAlign w:val="center"/>
          </w:tcPr>
          <w:p w14:paraId="44850750">
            <w:pPr>
              <w:pStyle w:val="16"/>
              <w:pageBreakBefore w:val="0"/>
              <w:wordWrap/>
              <w:bidi w:val="0"/>
              <w:adjustRightInd/>
              <w:snapToGrid/>
              <w:ind w:left="0" w:leftChars="0" w:firstLine="0" w:firstLineChars="0"/>
              <w:rPr>
                <w:rFonts w:hint="default" w:ascii="Times New Roman" w:hAnsi="Times New Roman" w:cs="Times New Roman"/>
                <w:color w:val="auto"/>
                <w:sz w:val="21"/>
                <w:szCs w:val="21"/>
              </w:rPr>
            </w:pPr>
          </w:p>
        </w:tc>
        <w:tc>
          <w:tcPr>
            <w:tcW w:w="447" w:type="pct"/>
            <w:vMerge w:val="continue"/>
            <w:tcBorders>
              <w:tl2br w:val="nil"/>
              <w:tr2bl w:val="nil"/>
            </w:tcBorders>
            <w:vAlign w:val="center"/>
          </w:tcPr>
          <w:p w14:paraId="5A451C46">
            <w:pPr>
              <w:pStyle w:val="16"/>
              <w:pageBreakBefore w:val="0"/>
              <w:wordWrap/>
              <w:bidi w:val="0"/>
              <w:adjustRightInd/>
              <w:snapToGrid/>
              <w:ind w:left="0" w:leftChars="0" w:firstLine="0" w:firstLineChars="0"/>
              <w:rPr>
                <w:rFonts w:hint="default" w:ascii="Times New Roman" w:hAnsi="Times New Roman" w:cs="Times New Roman"/>
                <w:color w:val="auto"/>
                <w:sz w:val="21"/>
                <w:szCs w:val="21"/>
              </w:rPr>
            </w:pPr>
          </w:p>
        </w:tc>
        <w:tc>
          <w:tcPr>
            <w:tcW w:w="465" w:type="pct"/>
            <w:vMerge w:val="continue"/>
            <w:tcBorders>
              <w:tl2br w:val="nil"/>
              <w:tr2bl w:val="nil"/>
            </w:tcBorders>
            <w:vAlign w:val="center"/>
          </w:tcPr>
          <w:p w14:paraId="46900C02">
            <w:pPr>
              <w:pStyle w:val="16"/>
              <w:pageBreakBefore w:val="0"/>
              <w:wordWrap/>
              <w:bidi w:val="0"/>
              <w:adjustRightInd/>
              <w:snapToGrid/>
              <w:ind w:left="0" w:leftChars="0" w:firstLine="0" w:firstLineChars="0"/>
              <w:rPr>
                <w:rFonts w:hint="default" w:ascii="Times New Roman" w:hAnsi="Times New Roman" w:cs="Times New Roman"/>
                <w:color w:val="auto"/>
                <w:sz w:val="21"/>
                <w:szCs w:val="21"/>
              </w:rPr>
            </w:pPr>
          </w:p>
        </w:tc>
      </w:tr>
      <w:tr w14:paraId="3A56E2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continue"/>
            <w:tcBorders>
              <w:tl2br w:val="nil"/>
              <w:tr2bl w:val="nil"/>
            </w:tcBorders>
            <w:vAlign w:val="center"/>
          </w:tcPr>
          <w:p w14:paraId="006A5CDC">
            <w:pPr>
              <w:pStyle w:val="16"/>
              <w:pageBreakBefore w:val="0"/>
              <w:wordWrap/>
              <w:bidi w:val="0"/>
              <w:adjustRightInd/>
              <w:snapToGrid/>
              <w:rPr>
                <w:rFonts w:hint="default" w:ascii="Times New Roman" w:hAnsi="Times New Roman" w:cs="Times New Roman"/>
                <w:b w:val="0"/>
                <w:bCs w:val="0"/>
                <w:color w:val="auto"/>
                <w:sz w:val="21"/>
                <w:szCs w:val="21"/>
              </w:rPr>
            </w:pPr>
          </w:p>
        </w:tc>
        <w:tc>
          <w:tcPr>
            <w:tcW w:w="1824" w:type="pct"/>
            <w:tcBorders>
              <w:tl2br w:val="nil"/>
              <w:tr2bl w:val="nil"/>
            </w:tcBorders>
            <w:vAlign w:val="center"/>
          </w:tcPr>
          <w:p w14:paraId="5FA4BB1E">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MVR系统、冷却塔、结晶盐仓库</w:t>
            </w:r>
          </w:p>
        </w:tc>
        <w:tc>
          <w:tcPr>
            <w:tcW w:w="582" w:type="pct"/>
            <w:tcBorders>
              <w:tl2br w:val="nil"/>
              <w:tr2bl w:val="nil"/>
            </w:tcBorders>
            <w:vAlign w:val="center"/>
          </w:tcPr>
          <w:p w14:paraId="28DFF468">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预留</w:t>
            </w:r>
          </w:p>
        </w:tc>
        <w:tc>
          <w:tcPr>
            <w:tcW w:w="660" w:type="pct"/>
            <w:tcBorders>
              <w:tl2br w:val="nil"/>
              <w:tr2bl w:val="nil"/>
            </w:tcBorders>
            <w:vAlign w:val="center"/>
          </w:tcPr>
          <w:p w14:paraId="09ECFABC">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预留</w:t>
            </w:r>
          </w:p>
        </w:tc>
        <w:tc>
          <w:tcPr>
            <w:tcW w:w="561" w:type="pct"/>
            <w:vMerge w:val="continue"/>
            <w:tcBorders>
              <w:tl2br w:val="nil"/>
              <w:tr2bl w:val="nil"/>
            </w:tcBorders>
            <w:vAlign w:val="center"/>
          </w:tcPr>
          <w:p w14:paraId="30740325">
            <w:pPr>
              <w:pStyle w:val="16"/>
              <w:pageBreakBefore w:val="0"/>
              <w:wordWrap/>
              <w:bidi w:val="0"/>
              <w:adjustRightInd/>
              <w:snapToGrid/>
              <w:ind w:left="0" w:leftChars="0" w:firstLine="0" w:firstLineChars="0"/>
              <w:rPr>
                <w:rFonts w:hint="default" w:ascii="Times New Roman" w:hAnsi="Times New Roman" w:cs="Times New Roman"/>
                <w:color w:val="auto"/>
                <w:sz w:val="21"/>
                <w:szCs w:val="21"/>
              </w:rPr>
            </w:pPr>
          </w:p>
        </w:tc>
        <w:tc>
          <w:tcPr>
            <w:tcW w:w="447" w:type="pct"/>
            <w:vMerge w:val="continue"/>
            <w:tcBorders>
              <w:tl2br w:val="nil"/>
              <w:tr2bl w:val="nil"/>
            </w:tcBorders>
            <w:vAlign w:val="center"/>
          </w:tcPr>
          <w:p w14:paraId="19ED007B">
            <w:pPr>
              <w:pStyle w:val="16"/>
              <w:pageBreakBefore w:val="0"/>
              <w:wordWrap/>
              <w:bidi w:val="0"/>
              <w:adjustRightInd/>
              <w:snapToGrid/>
              <w:ind w:left="0" w:leftChars="0" w:firstLine="0" w:firstLineChars="0"/>
              <w:rPr>
                <w:rFonts w:hint="default" w:ascii="Times New Roman" w:hAnsi="Times New Roman" w:cs="Times New Roman"/>
                <w:color w:val="auto"/>
                <w:sz w:val="21"/>
                <w:szCs w:val="21"/>
              </w:rPr>
            </w:pPr>
          </w:p>
        </w:tc>
        <w:tc>
          <w:tcPr>
            <w:tcW w:w="465" w:type="pct"/>
            <w:vMerge w:val="continue"/>
            <w:tcBorders>
              <w:tl2br w:val="nil"/>
              <w:tr2bl w:val="nil"/>
            </w:tcBorders>
            <w:vAlign w:val="center"/>
          </w:tcPr>
          <w:p w14:paraId="203D75C0">
            <w:pPr>
              <w:pStyle w:val="16"/>
              <w:pageBreakBefore w:val="0"/>
              <w:wordWrap/>
              <w:bidi w:val="0"/>
              <w:adjustRightInd/>
              <w:snapToGrid/>
              <w:ind w:left="0" w:leftChars="0" w:firstLine="0" w:firstLineChars="0"/>
              <w:rPr>
                <w:rFonts w:hint="default" w:ascii="Times New Roman" w:hAnsi="Times New Roman" w:cs="Times New Roman"/>
                <w:color w:val="auto"/>
                <w:sz w:val="21"/>
                <w:szCs w:val="21"/>
              </w:rPr>
            </w:pPr>
          </w:p>
        </w:tc>
      </w:tr>
      <w:tr w14:paraId="25DBC47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restart"/>
            <w:tcBorders>
              <w:tl2br w:val="nil"/>
              <w:tr2bl w:val="nil"/>
            </w:tcBorders>
            <w:vAlign w:val="center"/>
          </w:tcPr>
          <w:p w14:paraId="0C0E6376">
            <w:pPr>
              <w:pStyle w:val="16"/>
              <w:pageBreakBefore w:val="0"/>
              <w:wordWrap/>
              <w:bidi w:val="0"/>
              <w:adjustRightInd/>
              <w:snapToGrid/>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rPr>
              <w:t>三期</w:t>
            </w:r>
            <w:r>
              <w:rPr>
                <w:rFonts w:hint="default" w:ascii="Times New Roman" w:hAnsi="Times New Roman" w:cs="Times New Roman"/>
                <w:b w:val="0"/>
                <w:bCs w:val="0"/>
                <w:color w:val="auto"/>
                <w:sz w:val="21"/>
                <w:szCs w:val="21"/>
                <w:lang w:eastAsia="zh-CN"/>
              </w:rPr>
              <w:t>（</w:t>
            </w:r>
            <w:r>
              <w:rPr>
                <w:rFonts w:hint="default" w:ascii="Times New Roman" w:hAnsi="Times New Roman" w:cs="Times New Roman"/>
                <w:b w:val="0"/>
                <w:bCs w:val="0"/>
                <w:color w:val="auto"/>
                <w:sz w:val="21"/>
                <w:szCs w:val="21"/>
                <w:lang w:val="en-US" w:eastAsia="zh-CN"/>
              </w:rPr>
              <w:t>本次不涉及</w:t>
            </w:r>
            <w:r>
              <w:rPr>
                <w:rFonts w:hint="default" w:ascii="Times New Roman" w:hAnsi="Times New Roman" w:cs="Times New Roman"/>
                <w:b w:val="0"/>
                <w:bCs w:val="0"/>
                <w:color w:val="auto"/>
                <w:sz w:val="21"/>
                <w:szCs w:val="21"/>
                <w:lang w:eastAsia="zh-CN"/>
              </w:rPr>
              <w:t>）</w:t>
            </w:r>
          </w:p>
        </w:tc>
        <w:tc>
          <w:tcPr>
            <w:tcW w:w="1824" w:type="pct"/>
            <w:tcBorders>
              <w:tl2br w:val="nil"/>
              <w:tr2bl w:val="nil"/>
            </w:tcBorders>
            <w:vAlign w:val="center"/>
          </w:tcPr>
          <w:p w14:paraId="4DD0A6E9">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超细格栅、调节池、反硝化深床滤池、除臭设备、水解酸化池+生化池、高级氧化深度处理设备、</w:t>
            </w:r>
            <w:r>
              <w:rPr>
                <w:rFonts w:hint="default" w:ascii="Times New Roman" w:hAnsi="Times New Roman" w:cs="Times New Roman"/>
                <w:color w:val="auto"/>
                <w:sz w:val="21"/>
                <w:szCs w:val="21"/>
                <w:lang w:val="en-US" w:eastAsia="zh-CN"/>
              </w:rPr>
              <w:t>磁混凝</w:t>
            </w:r>
            <w:r>
              <w:rPr>
                <w:rFonts w:hint="default" w:ascii="Times New Roman" w:hAnsi="Times New Roman" w:cs="Times New Roman"/>
                <w:color w:val="auto"/>
                <w:sz w:val="21"/>
                <w:szCs w:val="21"/>
              </w:rPr>
              <w:t>沉淀池及污泥脱水车间、污泥池、调节池、变配电室、鼓风机房</w:t>
            </w:r>
          </w:p>
        </w:tc>
        <w:tc>
          <w:tcPr>
            <w:tcW w:w="582" w:type="pct"/>
            <w:tcBorders>
              <w:tl2br w:val="nil"/>
              <w:tr2bl w:val="nil"/>
            </w:tcBorders>
            <w:vAlign w:val="center"/>
          </w:tcPr>
          <w:p w14:paraId="52DD1500">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10000m³/d</w:t>
            </w:r>
          </w:p>
        </w:tc>
        <w:tc>
          <w:tcPr>
            <w:tcW w:w="660" w:type="pct"/>
            <w:tcBorders>
              <w:tl2br w:val="nil"/>
              <w:tr2bl w:val="nil"/>
            </w:tcBorders>
            <w:vAlign w:val="center"/>
          </w:tcPr>
          <w:p w14:paraId="1C3A7C0E">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10000m³/d</w:t>
            </w:r>
          </w:p>
        </w:tc>
        <w:tc>
          <w:tcPr>
            <w:tcW w:w="561" w:type="pct"/>
            <w:tcBorders>
              <w:tl2br w:val="nil"/>
              <w:tr2bl w:val="nil"/>
            </w:tcBorders>
            <w:vAlign w:val="center"/>
          </w:tcPr>
          <w:p w14:paraId="587A8D12">
            <w:pPr>
              <w:pStyle w:val="16"/>
              <w:pageBreakBefore w:val="0"/>
              <w:wordWrap/>
              <w:bidi w:val="0"/>
              <w:adjustRightInd/>
              <w:snapToGrid/>
              <w:ind w:left="0" w:leftChars="0" w:firstLine="0" w:firstLineChars="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10000m³/d</w:t>
            </w:r>
          </w:p>
        </w:tc>
        <w:tc>
          <w:tcPr>
            <w:tcW w:w="447" w:type="pct"/>
            <w:vMerge w:val="restart"/>
            <w:tcBorders>
              <w:tl2br w:val="nil"/>
              <w:tr2bl w:val="nil"/>
            </w:tcBorders>
            <w:vAlign w:val="center"/>
          </w:tcPr>
          <w:p w14:paraId="72D3FC5E">
            <w:pPr>
              <w:pStyle w:val="16"/>
              <w:pageBreakBefore w:val="0"/>
              <w:wordWrap/>
              <w:bidi w:val="0"/>
              <w:adjustRightInd/>
              <w:snapToGrid/>
              <w:ind w:left="0" w:leftChars="0"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2035年</w:t>
            </w:r>
          </w:p>
        </w:tc>
        <w:tc>
          <w:tcPr>
            <w:tcW w:w="465" w:type="pct"/>
            <w:vMerge w:val="restart"/>
            <w:tcBorders>
              <w:tl2br w:val="nil"/>
              <w:tr2bl w:val="nil"/>
            </w:tcBorders>
            <w:vAlign w:val="center"/>
          </w:tcPr>
          <w:p w14:paraId="7A11CD7C">
            <w:pPr>
              <w:pStyle w:val="16"/>
              <w:pageBreakBefore w:val="0"/>
              <w:wordWrap/>
              <w:bidi w:val="0"/>
              <w:adjustRightInd/>
              <w:snapToGrid/>
              <w:ind w:left="0" w:leftChars="0"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曾口区块全区</w:t>
            </w:r>
          </w:p>
        </w:tc>
      </w:tr>
      <w:tr w14:paraId="018D76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continue"/>
            <w:tcBorders>
              <w:tl2br w:val="nil"/>
              <w:tr2bl w:val="nil"/>
            </w:tcBorders>
            <w:vAlign w:val="center"/>
          </w:tcPr>
          <w:p w14:paraId="6FB10940">
            <w:pPr>
              <w:pStyle w:val="16"/>
              <w:pageBreakBefore w:val="0"/>
              <w:wordWrap/>
              <w:bidi w:val="0"/>
              <w:adjustRightInd/>
              <w:snapToGrid/>
              <w:rPr>
                <w:rFonts w:hint="default" w:ascii="Times New Roman" w:hAnsi="Times New Roman" w:cs="Times New Roman"/>
                <w:color w:val="auto"/>
                <w:sz w:val="21"/>
                <w:szCs w:val="21"/>
              </w:rPr>
            </w:pPr>
          </w:p>
        </w:tc>
        <w:tc>
          <w:tcPr>
            <w:tcW w:w="1824" w:type="pct"/>
            <w:tcBorders>
              <w:tl2br w:val="nil"/>
              <w:tr2bl w:val="nil"/>
            </w:tcBorders>
            <w:vAlign w:val="center"/>
          </w:tcPr>
          <w:p w14:paraId="5B0983A0">
            <w:pPr>
              <w:pStyle w:val="16"/>
              <w:pageBreakBefore w:val="0"/>
              <w:wordWrap/>
              <w:bidi w:val="0"/>
              <w:adjustRightInd/>
              <w:snapToGrid/>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高级氧化预处理设备</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视实际来水具体情况进行实施</w:t>
            </w:r>
            <w:r>
              <w:rPr>
                <w:rFonts w:hint="default" w:ascii="Times New Roman" w:hAnsi="Times New Roman" w:cs="Times New Roman"/>
                <w:color w:val="auto"/>
                <w:sz w:val="21"/>
                <w:szCs w:val="21"/>
                <w:lang w:eastAsia="zh-CN"/>
              </w:rPr>
              <w:t>）</w:t>
            </w:r>
          </w:p>
        </w:tc>
        <w:tc>
          <w:tcPr>
            <w:tcW w:w="582" w:type="pct"/>
            <w:tcBorders>
              <w:tl2br w:val="nil"/>
              <w:tr2bl w:val="nil"/>
            </w:tcBorders>
            <w:vAlign w:val="center"/>
          </w:tcPr>
          <w:p w14:paraId="73E694E6">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16000m³/d</w:t>
            </w:r>
          </w:p>
        </w:tc>
        <w:tc>
          <w:tcPr>
            <w:tcW w:w="660" w:type="pct"/>
            <w:tcBorders>
              <w:tl2br w:val="nil"/>
              <w:tr2bl w:val="nil"/>
            </w:tcBorders>
            <w:vAlign w:val="center"/>
          </w:tcPr>
          <w:p w14:paraId="2665D620">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16000m³/d</w:t>
            </w:r>
          </w:p>
        </w:tc>
        <w:tc>
          <w:tcPr>
            <w:tcW w:w="561" w:type="pct"/>
            <w:tcBorders>
              <w:tl2br w:val="nil"/>
              <w:tr2bl w:val="nil"/>
            </w:tcBorders>
            <w:vAlign w:val="center"/>
          </w:tcPr>
          <w:p w14:paraId="50D220ED">
            <w:pPr>
              <w:pStyle w:val="16"/>
              <w:pageBreakBefore w:val="0"/>
              <w:wordWrap/>
              <w:bidi w:val="0"/>
              <w:adjustRightInd/>
              <w:snapToGrid/>
              <w:rPr>
                <w:rFonts w:hint="default" w:ascii="Times New Roman" w:hAnsi="Times New Roman" w:cs="Times New Roman"/>
                <w:color w:val="auto"/>
                <w:sz w:val="21"/>
                <w:szCs w:val="21"/>
              </w:rPr>
            </w:pPr>
          </w:p>
        </w:tc>
        <w:tc>
          <w:tcPr>
            <w:tcW w:w="447" w:type="pct"/>
            <w:vMerge w:val="continue"/>
            <w:tcBorders>
              <w:tl2br w:val="nil"/>
              <w:tr2bl w:val="nil"/>
            </w:tcBorders>
            <w:vAlign w:val="center"/>
          </w:tcPr>
          <w:p w14:paraId="4AC97005">
            <w:pPr>
              <w:pStyle w:val="16"/>
              <w:pageBreakBefore w:val="0"/>
              <w:wordWrap/>
              <w:bidi w:val="0"/>
              <w:adjustRightInd/>
              <w:snapToGrid/>
              <w:rPr>
                <w:rFonts w:hint="default" w:ascii="Times New Roman" w:hAnsi="Times New Roman" w:cs="Times New Roman"/>
                <w:color w:val="auto"/>
                <w:sz w:val="21"/>
                <w:szCs w:val="21"/>
              </w:rPr>
            </w:pPr>
          </w:p>
        </w:tc>
        <w:tc>
          <w:tcPr>
            <w:tcW w:w="465" w:type="pct"/>
            <w:vMerge w:val="continue"/>
            <w:tcBorders>
              <w:tl2br w:val="nil"/>
              <w:tr2bl w:val="nil"/>
            </w:tcBorders>
            <w:vAlign w:val="center"/>
          </w:tcPr>
          <w:p w14:paraId="570163C4">
            <w:pPr>
              <w:pStyle w:val="16"/>
              <w:pageBreakBefore w:val="0"/>
              <w:wordWrap/>
              <w:bidi w:val="0"/>
              <w:adjustRightInd/>
              <w:snapToGrid/>
              <w:rPr>
                <w:rFonts w:hint="default" w:ascii="Times New Roman" w:hAnsi="Times New Roman" w:cs="Times New Roman"/>
                <w:color w:val="auto"/>
                <w:sz w:val="21"/>
                <w:szCs w:val="21"/>
              </w:rPr>
            </w:pPr>
          </w:p>
        </w:tc>
      </w:tr>
      <w:tr w14:paraId="53223B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continue"/>
            <w:tcBorders>
              <w:tl2br w:val="nil"/>
              <w:tr2bl w:val="nil"/>
            </w:tcBorders>
            <w:vAlign w:val="center"/>
          </w:tcPr>
          <w:p w14:paraId="49762075">
            <w:pPr>
              <w:pStyle w:val="16"/>
              <w:pageBreakBefore w:val="0"/>
              <w:wordWrap/>
              <w:bidi w:val="0"/>
              <w:adjustRightInd/>
              <w:snapToGrid/>
              <w:rPr>
                <w:rFonts w:hint="default" w:ascii="Times New Roman" w:hAnsi="Times New Roman" w:cs="Times New Roman"/>
                <w:color w:val="auto"/>
                <w:sz w:val="21"/>
                <w:szCs w:val="21"/>
              </w:rPr>
            </w:pPr>
          </w:p>
        </w:tc>
        <w:tc>
          <w:tcPr>
            <w:tcW w:w="1824" w:type="pct"/>
            <w:tcBorders>
              <w:tl2br w:val="nil"/>
              <w:tr2bl w:val="nil"/>
            </w:tcBorders>
            <w:vAlign w:val="center"/>
          </w:tcPr>
          <w:p w14:paraId="24917020">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污水处理厂</w:t>
            </w:r>
            <w:r>
              <w:rPr>
                <w:rFonts w:hint="default" w:ascii="Times New Roman" w:hAnsi="Times New Roman" w:cs="Times New Roman"/>
                <w:color w:val="auto"/>
                <w:sz w:val="21"/>
                <w:szCs w:val="21"/>
              </w:rPr>
              <w:t>应急事故池</w:t>
            </w:r>
          </w:p>
        </w:tc>
        <w:tc>
          <w:tcPr>
            <w:tcW w:w="1242" w:type="pct"/>
            <w:gridSpan w:val="2"/>
            <w:tcBorders>
              <w:tl2br w:val="nil"/>
              <w:tr2bl w:val="nil"/>
            </w:tcBorders>
            <w:vAlign w:val="center"/>
          </w:tcPr>
          <w:p w14:paraId="2D243860">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有效容积5000m³</w:t>
            </w:r>
          </w:p>
        </w:tc>
        <w:tc>
          <w:tcPr>
            <w:tcW w:w="561" w:type="pct"/>
            <w:tcBorders>
              <w:tl2br w:val="nil"/>
              <w:tr2bl w:val="nil"/>
            </w:tcBorders>
            <w:vAlign w:val="center"/>
          </w:tcPr>
          <w:p w14:paraId="586AC2ED">
            <w:pPr>
              <w:pStyle w:val="16"/>
              <w:pageBreakBefore w:val="0"/>
              <w:wordWrap/>
              <w:bidi w:val="0"/>
              <w:adjustRightInd/>
              <w:snapToGrid/>
              <w:rPr>
                <w:rFonts w:hint="default" w:ascii="Times New Roman" w:hAnsi="Times New Roman" w:cs="Times New Roman"/>
                <w:color w:val="auto"/>
                <w:sz w:val="21"/>
                <w:szCs w:val="21"/>
              </w:rPr>
            </w:pPr>
          </w:p>
        </w:tc>
        <w:tc>
          <w:tcPr>
            <w:tcW w:w="447" w:type="pct"/>
            <w:vMerge w:val="continue"/>
            <w:tcBorders>
              <w:tl2br w:val="nil"/>
              <w:tr2bl w:val="nil"/>
            </w:tcBorders>
            <w:vAlign w:val="center"/>
          </w:tcPr>
          <w:p w14:paraId="31336A90">
            <w:pPr>
              <w:pStyle w:val="16"/>
              <w:pageBreakBefore w:val="0"/>
              <w:wordWrap/>
              <w:bidi w:val="0"/>
              <w:adjustRightInd/>
              <w:snapToGrid/>
              <w:rPr>
                <w:rFonts w:hint="default" w:ascii="Times New Roman" w:hAnsi="Times New Roman" w:cs="Times New Roman"/>
                <w:color w:val="auto"/>
                <w:sz w:val="21"/>
                <w:szCs w:val="21"/>
              </w:rPr>
            </w:pPr>
          </w:p>
        </w:tc>
        <w:tc>
          <w:tcPr>
            <w:tcW w:w="465" w:type="pct"/>
            <w:vMerge w:val="continue"/>
            <w:tcBorders>
              <w:tl2br w:val="nil"/>
              <w:tr2bl w:val="nil"/>
            </w:tcBorders>
            <w:vAlign w:val="center"/>
          </w:tcPr>
          <w:p w14:paraId="54A35A6E">
            <w:pPr>
              <w:pStyle w:val="16"/>
              <w:pageBreakBefore w:val="0"/>
              <w:wordWrap/>
              <w:bidi w:val="0"/>
              <w:adjustRightInd/>
              <w:snapToGrid/>
              <w:rPr>
                <w:rFonts w:hint="default" w:ascii="Times New Roman" w:hAnsi="Times New Roman" w:cs="Times New Roman"/>
                <w:color w:val="auto"/>
                <w:sz w:val="21"/>
                <w:szCs w:val="21"/>
              </w:rPr>
            </w:pPr>
          </w:p>
        </w:tc>
      </w:tr>
      <w:tr w14:paraId="4AA79D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continue"/>
            <w:tcBorders>
              <w:tl2br w:val="nil"/>
              <w:tr2bl w:val="nil"/>
            </w:tcBorders>
            <w:vAlign w:val="center"/>
          </w:tcPr>
          <w:p w14:paraId="589BC944">
            <w:pPr>
              <w:pStyle w:val="16"/>
              <w:pageBreakBefore w:val="0"/>
              <w:wordWrap/>
              <w:bidi w:val="0"/>
              <w:adjustRightInd/>
              <w:snapToGrid/>
              <w:rPr>
                <w:rFonts w:hint="default" w:ascii="Times New Roman" w:hAnsi="Times New Roman" w:cs="Times New Roman"/>
                <w:color w:val="auto"/>
                <w:sz w:val="21"/>
                <w:szCs w:val="21"/>
              </w:rPr>
            </w:pPr>
          </w:p>
        </w:tc>
        <w:tc>
          <w:tcPr>
            <w:tcW w:w="1824" w:type="pct"/>
            <w:tcBorders>
              <w:tl2br w:val="nil"/>
              <w:tr2bl w:val="nil"/>
            </w:tcBorders>
            <w:vAlign w:val="center"/>
          </w:tcPr>
          <w:p w14:paraId="068FC994">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园区应急事故池</w:t>
            </w:r>
          </w:p>
        </w:tc>
        <w:tc>
          <w:tcPr>
            <w:tcW w:w="1242" w:type="pct"/>
            <w:gridSpan w:val="2"/>
            <w:tcBorders>
              <w:tl2br w:val="nil"/>
              <w:tr2bl w:val="nil"/>
            </w:tcBorders>
            <w:vAlign w:val="center"/>
          </w:tcPr>
          <w:p w14:paraId="578939CC">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有效容积6000m³</w:t>
            </w:r>
          </w:p>
        </w:tc>
        <w:tc>
          <w:tcPr>
            <w:tcW w:w="561" w:type="pct"/>
            <w:tcBorders>
              <w:tl2br w:val="nil"/>
              <w:tr2bl w:val="nil"/>
            </w:tcBorders>
            <w:vAlign w:val="center"/>
          </w:tcPr>
          <w:p w14:paraId="5A9A8E49">
            <w:pPr>
              <w:pStyle w:val="16"/>
              <w:pageBreakBefore w:val="0"/>
              <w:wordWrap/>
              <w:bidi w:val="0"/>
              <w:adjustRightInd/>
              <w:snapToGrid/>
              <w:rPr>
                <w:rFonts w:hint="default" w:ascii="Times New Roman" w:hAnsi="Times New Roman" w:cs="Times New Roman"/>
                <w:color w:val="auto"/>
                <w:sz w:val="21"/>
                <w:szCs w:val="21"/>
              </w:rPr>
            </w:pPr>
          </w:p>
        </w:tc>
        <w:tc>
          <w:tcPr>
            <w:tcW w:w="447" w:type="pct"/>
            <w:vMerge w:val="continue"/>
            <w:tcBorders>
              <w:tl2br w:val="nil"/>
              <w:tr2bl w:val="nil"/>
            </w:tcBorders>
            <w:vAlign w:val="center"/>
          </w:tcPr>
          <w:p w14:paraId="67F3DA57">
            <w:pPr>
              <w:pStyle w:val="16"/>
              <w:pageBreakBefore w:val="0"/>
              <w:wordWrap/>
              <w:bidi w:val="0"/>
              <w:adjustRightInd/>
              <w:snapToGrid/>
              <w:rPr>
                <w:rFonts w:hint="default" w:ascii="Times New Roman" w:hAnsi="Times New Roman" w:cs="Times New Roman"/>
                <w:color w:val="auto"/>
                <w:sz w:val="21"/>
                <w:szCs w:val="21"/>
              </w:rPr>
            </w:pPr>
          </w:p>
        </w:tc>
        <w:tc>
          <w:tcPr>
            <w:tcW w:w="465" w:type="pct"/>
            <w:vMerge w:val="continue"/>
            <w:tcBorders>
              <w:tl2br w:val="nil"/>
              <w:tr2bl w:val="nil"/>
            </w:tcBorders>
            <w:vAlign w:val="center"/>
          </w:tcPr>
          <w:p w14:paraId="4162D33D">
            <w:pPr>
              <w:pStyle w:val="16"/>
              <w:pageBreakBefore w:val="0"/>
              <w:wordWrap/>
              <w:bidi w:val="0"/>
              <w:adjustRightInd/>
              <w:snapToGrid/>
              <w:rPr>
                <w:rFonts w:hint="default" w:ascii="Times New Roman" w:hAnsi="Times New Roman" w:cs="Times New Roman"/>
                <w:color w:val="auto"/>
                <w:sz w:val="21"/>
                <w:szCs w:val="21"/>
              </w:rPr>
            </w:pPr>
          </w:p>
        </w:tc>
      </w:tr>
      <w:tr w14:paraId="3F46A4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continue"/>
            <w:tcBorders>
              <w:tl2br w:val="nil"/>
              <w:tr2bl w:val="nil"/>
            </w:tcBorders>
            <w:vAlign w:val="center"/>
          </w:tcPr>
          <w:p w14:paraId="4D75A73F">
            <w:pPr>
              <w:pStyle w:val="16"/>
              <w:pageBreakBefore w:val="0"/>
              <w:wordWrap/>
              <w:bidi w:val="0"/>
              <w:adjustRightInd/>
              <w:snapToGrid/>
              <w:rPr>
                <w:rFonts w:hint="default" w:ascii="Times New Roman" w:hAnsi="Times New Roman" w:cs="Times New Roman"/>
                <w:color w:val="auto"/>
                <w:sz w:val="21"/>
                <w:szCs w:val="21"/>
              </w:rPr>
            </w:pPr>
          </w:p>
        </w:tc>
        <w:tc>
          <w:tcPr>
            <w:tcW w:w="1824" w:type="pct"/>
            <w:tcBorders>
              <w:tl2br w:val="nil"/>
              <w:tr2bl w:val="nil"/>
            </w:tcBorders>
            <w:vAlign w:val="center"/>
          </w:tcPr>
          <w:p w14:paraId="00675221">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紫外线消毒、出水计量及取样观测井</w:t>
            </w:r>
          </w:p>
        </w:tc>
        <w:tc>
          <w:tcPr>
            <w:tcW w:w="582" w:type="pct"/>
            <w:tcBorders>
              <w:tl2br w:val="nil"/>
              <w:tr2bl w:val="nil"/>
            </w:tcBorders>
            <w:vAlign w:val="center"/>
          </w:tcPr>
          <w:p w14:paraId="79FDF3B1">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660" w:type="pct"/>
            <w:tcBorders>
              <w:tl2br w:val="nil"/>
              <w:tr2bl w:val="nil"/>
            </w:tcBorders>
            <w:vAlign w:val="center"/>
          </w:tcPr>
          <w:p w14:paraId="6B10036C">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10000m³/d</w:t>
            </w:r>
          </w:p>
        </w:tc>
        <w:tc>
          <w:tcPr>
            <w:tcW w:w="561" w:type="pct"/>
            <w:tcBorders>
              <w:tl2br w:val="nil"/>
              <w:tr2bl w:val="nil"/>
            </w:tcBorders>
            <w:vAlign w:val="center"/>
          </w:tcPr>
          <w:p w14:paraId="50E40845">
            <w:pPr>
              <w:pStyle w:val="16"/>
              <w:pageBreakBefore w:val="0"/>
              <w:wordWrap/>
              <w:bidi w:val="0"/>
              <w:adjustRightInd/>
              <w:snapToGrid/>
              <w:rPr>
                <w:rFonts w:hint="default" w:ascii="Times New Roman" w:hAnsi="Times New Roman" w:cs="Times New Roman"/>
                <w:color w:val="auto"/>
                <w:sz w:val="21"/>
                <w:szCs w:val="21"/>
              </w:rPr>
            </w:pPr>
          </w:p>
        </w:tc>
        <w:tc>
          <w:tcPr>
            <w:tcW w:w="447" w:type="pct"/>
            <w:vMerge w:val="continue"/>
            <w:tcBorders>
              <w:tl2br w:val="nil"/>
              <w:tr2bl w:val="nil"/>
            </w:tcBorders>
            <w:vAlign w:val="center"/>
          </w:tcPr>
          <w:p w14:paraId="0BC2D819">
            <w:pPr>
              <w:pStyle w:val="16"/>
              <w:pageBreakBefore w:val="0"/>
              <w:wordWrap/>
              <w:bidi w:val="0"/>
              <w:adjustRightInd/>
              <w:snapToGrid/>
              <w:rPr>
                <w:rFonts w:hint="default" w:ascii="Times New Roman" w:hAnsi="Times New Roman" w:cs="Times New Roman"/>
                <w:color w:val="auto"/>
                <w:sz w:val="21"/>
                <w:szCs w:val="21"/>
              </w:rPr>
            </w:pPr>
          </w:p>
        </w:tc>
        <w:tc>
          <w:tcPr>
            <w:tcW w:w="465" w:type="pct"/>
            <w:vMerge w:val="continue"/>
            <w:tcBorders>
              <w:tl2br w:val="nil"/>
              <w:tr2bl w:val="nil"/>
            </w:tcBorders>
            <w:vAlign w:val="center"/>
          </w:tcPr>
          <w:p w14:paraId="749F0BB6">
            <w:pPr>
              <w:pStyle w:val="16"/>
              <w:pageBreakBefore w:val="0"/>
              <w:wordWrap/>
              <w:bidi w:val="0"/>
              <w:adjustRightInd/>
              <w:snapToGrid/>
              <w:rPr>
                <w:rFonts w:hint="default" w:ascii="Times New Roman" w:hAnsi="Times New Roman" w:cs="Times New Roman"/>
                <w:color w:val="auto"/>
                <w:sz w:val="21"/>
                <w:szCs w:val="21"/>
              </w:rPr>
            </w:pPr>
          </w:p>
        </w:tc>
      </w:tr>
      <w:tr w14:paraId="73A9BF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58" w:type="pct"/>
            <w:vMerge w:val="continue"/>
            <w:tcBorders>
              <w:tl2br w:val="nil"/>
              <w:tr2bl w:val="nil"/>
            </w:tcBorders>
            <w:vAlign w:val="center"/>
          </w:tcPr>
          <w:p w14:paraId="1BA11456">
            <w:pPr>
              <w:pStyle w:val="16"/>
              <w:pageBreakBefore w:val="0"/>
              <w:wordWrap/>
              <w:bidi w:val="0"/>
              <w:adjustRightInd/>
              <w:snapToGrid/>
              <w:rPr>
                <w:rFonts w:hint="default" w:ascii="Times New Roman" w:hAnsi="Times New Roman" w:cs="Times New Roman"/>
                <w:color w:val="auto"/>
                <w:sz w:val="21"/>
                <w:szCs w:val="21"/>
              </w:rPr>
            </w:pPr>
          </w:p>
        </w:tc>
        <w:tc>
          <w:tcPr>
            <w:tcW w:w="1824" w:type="pct"/>
            <w:tcBorders>
              <w:tl2br w:val="nil"/>
              <w:tr2bl w:val="nil"/>
            </w:tcBorders>
            <w:vAlign w:val="center"/>
          </w:tcPr>
          <w:p w14:paraId="0FDDBD9B">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膜车间、回用水池及泵房-浓水池及泵房</w:t>
            </w:r>
          </w:p>
        </w:tc>
        <w:tc>
          <w:tcPr>
            <w:tcW w:w="582" w:type="pct"/>
            <w:tcBorders>
              <w:tl2br w:val="nil"/>
              <w:tr2bl w:val="nil"/>
            </w:tcBorders>
            <w:vAlign w:val="center"/>
          </w:tcPr>
          <w:p w14:paraId="7113D63D">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2000m³/d</w:t>
            </w:r>
          </w:p>
        </w:tc>
        <w:tc>
          <w:tcPr>
            <w:tcW w:w="660" w:type="pct"/>
            <w:tcBorders>
              <w:tl2br w:val="nil"/>
              <w:tr2bl w:val="nil"/>
            </w:tcBorders>
            <w:vAlign w:val="center"/>
          </w:tcPr>
          <w:p w14:paraId="10A9B39E">
            <w:pPr>
              <w:pStyle w:val="16"/>
              <w:pageBreakBefore w:val="0"/>
              <w:wordWrap/>
              <w:bidi w:val="0"/>
              <w:adjustRightInd/>
              <w:snapToGrid/>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2000m³/d</w:t>
            </w:r>
          </w:p>
        </w:tc>
        <w:tc>
          <w:tcPr>
            <w:tcW w:w="561" w:type="pct"/>
            <w:tcBorders>
              <w:tl2br w:val="nil"/>
              <w:tr2bl w:val="nil"/>
            </w:tcBorders>
            <w:vAlign w:val="center"/>
          </w:tcPr>
          <w:p w14:paraId="75399348">
            <w:pPr>
              <w:pStyle w:val="16"/>
              <w:pageBreakBefore w:val="0"/>
              <w:wordWrap/>
              <w:bidi w:val="0"/>
              <w:adjustRightInd/>
              <w:snapToGrid/>
              <w:rPr>
                <w:rFonts w:hint="default" w:ascii="Times New Roman" w:hAnsi="Times New Roman" w:cs="Times New Roman"/>
                <w:color w:val="auto"/>
                <w:sz w:val="21"/>
                <w:szCs w:val="21"/>
              </w:rPr>
            </w:pPr>
          </w:p>
        </w:tc>
        <w:tc>
          <w:tcPr>
            <w:tcW w:w="447" w:type="pct"/>
            <w:vMerge w:val="continue"/>
            <w:tcBorders>
              <w:tl2br w:val="nil"/>
              <w:tr2bl w:val="nil"/>
            </w:tcBorders>
            <w:vAlign w:val="center"/>
          </w:tcPr>
          <w:p w14:paraId="0CA9A185">
            <w:pPr>
              <w:pStyle w:val="16"/>
              <w:pageBreakBefore w:val="0"/>
              <w:wordWrap/>
              <w:bidi w:val="0"/>
              <w:adjustRightInd/>
              <w:snapToGrid/>
              <w:rPr>
                <w:rFonts w:hint="default" w:ascii="Times New Roman" w:hAnsi="Times New Roman" w:cs="Times New Roman"/>
                <w:color w:val="auto"/>
                <w:sz w:val="21"/>
                <w:szCs w:val="21"/>
              </w:rPr>
            </w:pPr>
          </w:p>
        </w:tc>
        <w:tc>
          <w:tcPr>
            <w:tcW w:w="465" w:type="pct"/>
            <w:vMerge w:val="continue"/>
            <w:tcBorders>
              <w:tl2br w:val="nil"/>
              <w:tr2bl w:val="nil"/>
            </w:tcBorders>
            <w:vAlign w:val="center"/>
          </w:tcPr>
          <w:p w14:paraId="6281E635">
            <w:pPr>
              <w:pStyle w:val="16"/>
              <w:pageBreakBefore w:val="0"/>
              <w:wordWrap/>
              <w:bidi w:val="0"/>
              <w:adjustRightInd/>
              <w:snapToGrid/>
              <w:rPr>
                <w:rFonts w:hint="default" w:ascii="Times New Roman" w:hAnsi="Times New Roman" w:cs="Times New Roman"/>
                <w:color w:val="auto"/>
                <w:sz w:val="21"/>
                <w:szCs w:val="21"/>
              </w:rPr>
            </w:pPr>
          </w:p>
        </w:tc>
      </w:tr>
    </w:tbl>
    <w:p w14:paraId="0EA192FC">
      <w:pPr>
        <w:pStyle w:val="5"/>
        <w:pageBreakBefore w:val="0"/>
        <w:wordWrap/>
        <w:bidi w:val="0"/>
        <w:adjustRightInd/>
        <w:snapToGrid/>
        <w:rPr>
          <w:color w:val="auto"/>
        </w:rPr>
      </w:pPr>
      <w:r>
        <w:rPr>
          <w:rFonts w:hint="eastAsia"/>
          <w:color w:val="auto"/>
        </w:rPr>
        <w:t xml:space="preserve"> </w:t>
      </w:r>
      <w:r>
        <w:rPr>
          <w:rFonts w:hint="eastAsia"/>
          <w:color w:val="auto"/>
          <w:lang w:val="en-US" w:eastAsia="zh-CN"/>
        </w:rPr>
        <w:t>项目服务范围及进出水水质</w:t>
      </w:r>
    </w:p>
    <w:p w14:paraId="3FE1293C">
      <w:pPr>
        <w:pageBreakBefore w:val="0"/>
        <w:wordWrap/>
        <w:bidi w:val="0"/>
        <w:adjustRightInd/>
        <w:snapToGrid/>
        <w:rPr>
          <w:rFonts w:hint="default"/>
          <w:b/>
          <w:bCs/>
          <w:color w:val="auto"/>
          <w:lang w:val="en-US" w:eastAsia="zh-CN"/>
        </w:rPr>
      </w:pPr>
      <w:r>
        <w:rPr>
          <w:rFonts w:hint="eastAsia"/>
          <w:b/>
          <w:bCs/>
          <w:color w:val="auto"/>
          <w:lang w:val="en-US" w:eastAsia="zh-CN"/>
        </w:rPr>
        <w:t>1、服务范围</w:t>
      </w:r>
    </w:p>
    <w:p w14:paraId="1551767E">
      <w:pPr>
        <w:pStyle w:val="337"/>
        <w:pageBreakBefore w:val="0"/>
        <w:wordWrap/>
        <w:bidi w:val="0"/>
        <w:adjustRightInd/>
        <w:snapToGrid/>
        <w:ind w:firstLine="480"/>
        <w:rPr>
          <w:rFonts w:hint="default" w:eastAsia="宋体"/>
          <w:color w:val="auto"/>
          <w:lang w:val="en-US" w:eastAsia="zh-CN"/>
        </w:rPr>
      </w:pPr>
      <w:r>
        <w:rPr>
          <w:color w:val="auto"/>
          <w:szCs w:val="24"/>
        </w:rPr>
        <w:t>根据</w:t>
      </w:r>
      <w:r>
        <w:rPr>
          <w:rFonts w:hint="eastAsia"/>
          <w:color w:val="auto"/>
          <w:szCs w:val="24"/>
          <w:lang w:eastAsia="zh-CN"/>
        </w:rPr>
        <w:t>四川易细达工程咨询有限责任公司</w:t>
      </w:r>
      <w:r>
        <w:rPr>
          <w:color w:val="auto"/>
          <w:szCs w:val="24"/>
        </w:rPr>
        <w:t>编制完成的《</w:t>
      </w:r>
      <w:r>
        <w:rPr>
          <w:rFonts w:hint="eastAsia"/>
          <w:color w:val="auto"/>
          <w:szCs w:val="24"/>
          <w:lang w:eastAsia="zh-CN"/>
        </w:rPr>
        <w:t>巴中市巴州区曾口片区污水处理厂、环境监测站建设项目</w:t>
      </w:r>
      <w:r>
        <w:rPr>
          <w:color w:val="auto"/>
          <w:szCs w:val="24"/>
        </w:rPr>
        <w:t>可行性研究报告》，</w:t>
      </w:r>
      <w:r>
        <w:rPr>
          <w:color w:val="auto"/>
        </w:rPr>
        <w:t>本项目</w:t>
      </w:r>
      <w:r>
        <w:rPr>
          <w:rFonts w:hint="eastAsia"/>
          <w:color w:val="auto"/>
          <w:lang w:val="en-US" w:eastAsia="zh-CN"/>
        </w:rPr>
        <w:t>污水处理厂</w:t>
      </w:r>
      <w:r>
        <w:rPr>
          <w:color w:val="auto"/>
        </w:rPr>
        <w:t>主要服务</w:t>
      </w:r>
      <w:r>
        <w:rPr>
          <w:rFonts w:hint="eastAsia"/>
          <w:color w:val="auto"/>
          <w:lang w:val="en-US" w:eastAsia="zh-CN"/>
        </w:rPr>
        <w:t>于四川巴中经济开发区-曾口区块先期引入企业（总排水量不超过3000m³/d，企业废水经预处理后达到进水水质标准）</w:t>
      </w:r>
      <w:r>
        <w:rPr>
          <w:color w:val="auto"/>
        </w:rPr>
        <w:t>，服务面积约</w:t>
      </w:r>
      <w:r>
        <w:rPr>
          <w:rFonts w:hint="eastAsia"/>
          <w:color w:val="auto"/>
          <w:lang w:val="en-US" w:eastAsia="zh-CN"/>
        </w:rPr>
        <w:t>191.8105h</w:t>
      </w:r>
      <w:r>
        <w:rPr>
          <w:rFonts w:hint="eastAsia"/>
          <w:color w:val="auto"/>
          <w:lang w:eastAsia="zh-CN"/>
        </w:rPr>
        <w:t>m²；</w:t>
      </w:r>
      <w:r>
        <w:rPr>
          <w:rFonts w:hint="eastAsia"/>
          <w:color w:val="auto"/>
          <w:lang w:val="en-US" w:eastAsia="zh-CN"/>
        </w:rPr>
        <w:t>园区环境监测站主要用于园区环境质量自动监测</w:t>
      </w:r>
      <w:r>
        <w:rPr>
          <w:color w:val="auto"/>
        </w:rPr>
        <w:t>。</w:t>
      </w:r>
    </w:p>
    <w:p w14:paraId="5DED38BE">
      <w:pPr>
        <w:pageBreakBefore w:val="0"/>
        <w:wordWrap/>
        <w:bidi w:val="0"/>
        <w:adjustRightInd/>
        <w:snapToGrid/>
        <w:rPr>
          <w:rFonts w:hint="default"/>
          <w:b/>
          <w:bCs/>
          <w:color w:val="auto"/>
          <w:lang w:val="en-US" w:eastAsia="zh-CN"/>
        </w:rPr>
      </w:pPr>
      <w:r>
        <w:rPr>
          <w:rFonts w:hint="eastAsia"/>
          <w:b/>
          <w:bCs/>
          <w:color w:val="auto"/>
          <w:lang w:val="en-US" w:eastAsia="zh-CN"/>
        </w:rPr>
        <w:t>2、设计进水水质</w:t>
      </w:r>
    </w:p>
    <w:p w14:paraId="7C739DD8">
      <w:pPr>
        <w:pageBreakBefore w:val="0"/>
        <w:wordWrap/>
        <w:bidi w:val="0"/>
        <w:adjustRightInd/>
        <w:snapToGrid/>
        <w:rPr>
          <w:rFonts w:hint="eastAsia"/>
          <w:color w:val="auto"/>
          <w:lang w:val="en-US" w:eastAsia="zh-CN"/>
        </w:rPr>
      </w:pPr>
      <w:r>
        <w:rPr>
          <w:rFonts w:hint="eastAsia"/>
          <w:color w:val="auto"/>
          <w:lang w:val="en-US" w:eastAsia="zh-CN"/>
        </w:rPr>
        <w:t>根据《四川巴中经济开发区修编规划环境影响报告书》，由于规划曾口区块目前处于未开发状态，无工业企业入驻。在无实测进水水质的情况下，结合规划产业和《污水综合排放标准》（GB8978-1996）三级标准、《石油化学工业污染物排放标准》（GB31571-2015）间接排放标准要求以及后续存在中水回用的需求。建议曾口规划污水处理厂设计考虑对Cl</w:t>
      </w:r>
      <w:r>
        <w:rPr>
          <w:rFonts w:hint="eastAsia"/>
          <w:color w:val="auto"/>
          <w:vertAlign w:val="superscript"/>
          <w:lang w:val="en-US" w:eastAsia="zh-CN"/>
        </w:rPr>
        <w:t>-</w:t>
      </w:r>
      <w:r>
        <w:rPr>
          <w:rFonts w:hint="eastAsia"/>
          <w:color w:val="auto"/>
          <w:lang w:val="en-US" w:eastAsia="zh-CN"/>
        </w:rPr>
        <w:t>、SO</w:t>
      </w:r>
      <w:r>
        <w:rPr>
          <w:rFonts w:hint="eastAsia"/>
          <w:color w:val="auto"/>
          <w:vertAlign w:val="subscript"/>
          <w:lang w:val="en-US" w:eastAsia="zh-CN"/>
        </w:rPr>
        <w:t>4</w:t>
      </w:r>
      <w:r>
        <w:rPr>
          <w:rFonts w:hint="eastAsia"/>
          <w:color w:val="auto"/>
          <w:vertAlign w:val="superscript"/>
          <w:lang w:val="en-US" w:eastAsia="zh-CN"/>
        </w:rPr>
        <w:t>2</w:t>
      </w:r>
      <w:r>
        <w:rPr>
          <w:rFonts w:hint="eastAsia"/>
          <w:color w:val="auto"/>
          <w:lang w:val="en-US" w:eastAsia="zh-CN"/>
        </w:rPr>
        <w:t>-、TDS等指标进行限制，本项目污水处理厂进水水质要求如下表所示：</w:t>
      </w:r>
    </w:p>
    <w:p w14:paraId="402DFD7A">
      <w:pPr>
        <w:pStyle w:val="19"/>
        <w:numPr>
          <w:ilvl w:val="0"/>
          <w:numId w:val="15"/>
        </w:numPr>
        <w:bidi w:val="0"/>
        <w:ind w:left="0" w:leftChars="0" w:firstLine="0" w:firstLineChars="0"/>
        <w:rPr>
          <w:rFonts w:hint="default"/>
          <w:color w:val="auto"/>
          <w:lang w:val="en-US" w:eastAsia="zh-CN"/>
        </w:rPr>
      </w:pPr>
      <w:r>
        <w:rPr>
          <w:rFonts w:hint="eastAsia"/>
          <w:color w:val="auto"/>
          <w:lang w:val="en-US" w:eastAsia="zh-CN"/>
        </w:rPr>
        <w:t xml:space="preserve"> 设计进水水质表</w:t>
      </w:r>
    </w:p>
    <w:tbl>
      <w:tblPr>
        <w:tblStyle w:val="5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20"/>
        <w:gridCol w:w="2740"/>
        <w:gridCol w:w="2180"/>
        <w:gridCol w:w="2180"/>
      </w:tblGrid>
      <w:tr w14:paraId="6EE8A8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5C3A0AC1">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序号</w:t>
            </w:r>
          </w:p>
        </w:tc>
        <w:tc>
          <w:tcPr>
            <w:tcW w:w="2740" w:type="dxa"/>
            <w:tcBorders>
              <w:tl2br w:val="nil"/>
              <w:tr2bl w:val="nil"/>
            </w:tcBorders>
            <w:noWrap w:val="0"/>
            <w:vAlign w:val="top"/>
          </w:tcPr>
          <w:p w14:paraId="3C362367">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项目</w:t>
            </w:r>
          </w:p>
        </w:tc>
        <w:tc>
          <w:tcPr>
            <w:tcW w:w="2180" w:type="dxa"/>
            <w:tcBorders>
              <w:tl2br w:val="nil"/>
              <w:tr2bl w:val="nil"/>
            </w:tcBorders>
            <w:noWrap w:val="0"/>
            <w:vAlign w:val="top"/>
          </w:tcPr>
          <w:p w14:paraId="5114659A">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单位</w:t>
            </w:r>
          </w:p>
        </w:tc>
        <w:tc>
          <w:tcPr>
            <w:tcW w:w="2180" w:type="dxa"/>
            <w:tcBorders>
              <w:tl2br w:val="nil"/>
              <w:tr2bl w:val="nil"/>
            </w:tcBorders>
            <w:noWrap w:val="0"/>
            <w:vAlign w:val="top"/>
          </w:tcPr>
          <w:p w14:paraId="2195D0A8">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数值</w:t>
            </w:r>
          </w:p>
        </w:tc>
      </w:tr>
      <w:tr w14:paraId="6EA149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4CC6A438">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w:t>
            </w:r>
          </w:p>
        </w:tc>
        <w:tc>
          <w:tcPr>
            <w:tcW w:w="2740" w:type="dxa"/>
            <w:tcBorders>
              <w:tl2br w:val="nil"/>
              <w:tr2bl w:val="nil"/>
            </w:tcBorders>
            <w:noWrap w:val="0"/>
            <w:vAlign w:val="top"/>
          </w:tcPr>
          <w:p w14:paraId="38D1559C">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温度</w:t>
            </w:r>
          </w:p>
        </w:tc>
        <w:tc>
          <w:tcPr>
            <w:tcW w:w="2180" w:type="dxa"/>
            <w:tcBorders>
              <w:tl2br w:val="nil"/>
              <w:tr2bl w:val="nil"/>
            </w:tcBorders>
            <w:noWrap w:val="0"/>
            <w:vAlign w:val="top"/>
          </w:tcPr>
          <w:p w14:paraId="67822D80">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180" w:type="dxa"/>
            <w:tcBorders>
              <w:tl2br w:val="nil"/>
              <w:tr2bl w:val="nil"/>
            </w:tcBorders>
            <w:noWrap w:val="0"/>
            <w:vAlign w:val="top"/>
          </w:tcPr>
          <w:p w14:paraId="6C23588F">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10~30</w:t>
            </w:r>
          </w:p>
        </w:tc>
      </w:tr>
      <w:tr w14:paraId="5F693D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4503E4E0">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w:t>
            </w:r>
          </w:p>
        </w:tc>
        <w:tc>
          <w:tcPr>
            <w:tcW w:w="2740" w:type="dxa"/>
            <w:tcBorders>
              <w:tl2br w:val="nil"/>
              <w:tr2bl w:val="nil"/>
            </w:tcBorders>
            <w:noWrap w:val="0"/>
            <w:vAlign w:val="top"/>
          </w:tcPr>
          <w:p w14:paraId="1CAA0BE5">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pH值</w:t>
            </w:r>
          </w:p>
        </w:tc>
        <w:tc>
          <w:tcPr>
            <w:tcW w:w="2180" w:type="dxa"/>
            <w:tcBorders>
              <w:tl2br w:val="nil"/>
              <w:tr2bl w:val="nil"/>
            </w:tcBorders>
            <w:noWrap w:val="0"/>
            <w:vAlign w:val="top"/>
          </w:tcPr>
          <w:p w14:paraId="67507CE6">
            <w:pPr>
              <w:pStyle w:val="16"/>
              <w:keepNext w:val="0"/>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w:t>
            </w:r>
          </w:p>
        </w:tc>
        <w:tc>
          <w:tcPr>
            <w:tcW w:w="2180" w:type="dxa"/>
            <w:tcBorders>
              <w:tl2br w:val="nil"/>
              <w:tr2bl w:val="nil"/>
            </w:tcBorders>
            <w:noWrap w:val="0"/>
            <w:vAlign w:val="top"/>
          </w:tcPr>
          <w:p w14:paraId="10F99745">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6.0~9.0</w:t>
            </w:r>
          </w:p>
        </w:tc>
      </w:tr>
      <w:tr w14:paraId="5B31EC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729BEC72">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w:t>
            </w:r>
          </w:p>
        </w:tc>
        <w:tc>
          <w:tcPr>
            <w:tcW w:w="2740" w:type="dxa"/>
            <w:tcBorders>
              <w:tl2br w:val="nil"/>
              <w:tr2bl w:val="nil"/>
            </w:tcBorders>
            <w:shd w:val="clear" w:color="auto" w:fill="auto"/>
            <w:noWrap w:val="0"/>
            <w:vAlign w:val="top"/>
          </w:tcPr>
          <w:p w14:paraId="7556A499">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CODcr</w:t>
            </w:r>
          </w:p>
        </w:tc>
        <w:tc>
          <w:tcPr>
            <w:tcW w:w="2180" w:type="dxa"/>
            <w:tcBorders>
              <w:tl2br w:val="nil"/>
              <w:tr2bl w:val="nil"/>
            </w:tcBorders>
            <w:shd w:val="clear" w:color="auto" w:fill="auto"/>
            <w:noWrap w:val="0"/>
            <w:vAlign w:val="top"/>
          </w:tcPr>
          <w:p w14:paraId="7C530E07">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80" w:type="dxa"/>
            <w:tcBorders>
              <w:tl2br w:val="nil"/>
              <w:tr2bl w:val="nil"/>
            </w:tcBorders>
            <w:shd w:val="clear" w:color="auto" w:fill="auto"/>
            <w:noWrap w:val="0"/>
            <w:vAlign w:val="top"/>
          </w:tcPr>
          <w:p w14:paraId="009FE791">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350</w:t>
            </w:r>
          </w:p>
        </w:tc>
      </w:tr>
      <w:tr w14:paraId="1D5BD6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645F6497">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w:t>
            </w:r>
          </w:p>
        </w:tc>
        <w:tc>
          <w:tcPr>
            <w:tcW w:w="2740" w:type="dxa"/>
            <w:tcBorders>
              <w:tl2br w:val="nil"/>
              <w:tr2bl w:val="nil"/>
            </w:tcBorders>
            <w:shd w:val="clear" w:color="auto" w:fill="auto"/>
            <w:noWrap w:val="0"/>
            <w:vAlign w:val="top"/>
          </w:tcPr>
          <w:p w14:paraId="4827FC27">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BOD</w:t>
            </w:r>
            <w:r>
              <w:rPr>
                <w:rFonts w:hint="eastAsia"/>
                <w:color w:val="auto"/>
                <w:vertAlign w:val="subscript"/>
                <w:lang w:val="en-US" w:eastAsia="zh-CN"/>
              </w:rPr>
              <w:t>5</w:t>
            </w:r>
          </w:p>
        </w:tc>
        <w:tc>
          <w:tcPr>
            <w:tcW w:w="2180" w:type="dxa"/>
            <w:tcBorders>
              <w:tl2br w:val="nil"/>
              <w:tr2bl w:val="nil"/>
            </w:tcBorders>
            <w:shd w:val="clear" w:color="auto" w:fill="auto"/>
            <w:noWrap w:val="0"/>
            <w:vAlign w:val="top"/>
          </w:tcPr>
          <w:p w14:paraId="54B04436">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80" w:type="dxa"/>
            <w:tcBorders>
              <w:tl2br w:val="nil"/>
              <w:tr2bl w:val="nil"/>
            </w:tcBorders>
            <w:shd w:val="clear" w:color="auto" w:fill="auto"/>
            <w:noWrap w:val="0"/>
            <w:vAlign w:val="top"/>
          </w:tcPr>
          <w:p w14:paraId="366CAF2A">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150</w:t>
            </w:r>
          </w:p>
        </w:tc>
      </w:tr>
      <w:tr w14:paraId="560EC0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4A4886E6">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5</w:t>
            </w:r>
          </w:p>
        </w:tc>
        <w:tc>
          <w:tcPr>
            <w:tcW w:w="2740" w:type="dxa"/>
            <w:tcBorders>
              <w:tl2br w:val="nil"/>
              <w:tr2bl w:val="nil"/>
            </w:tcBorders>
            <w:shd w:val="clear" w:color="auto" w:fill="auto"/>
            <w:noWrap w:val="0"/>
            <w:vAlign w:val="top"/>
          </w:tcPr>
          <w:p w14:paraId="7DF70EF6">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SS</w:t>
            </w:r>
          </w:p>
        </w:tc>
        <w:tc>
          <w:tcPr>
            <w:tcW w:w="2180" w:type="dxa"/>
            <w:tcBorders>
              <w:tl2br w:val="nil"/>
              <w:tr2bl w:val="nil"/>
            </w:tcBorders>
            <w:shd w:val="clear" w:color="auto" w:fill="auto"/>
            <w:noWrap w:val="0"/>
            <w:vAlign w:val="top"/>
          </w:tcPr>
          <w:p w14:paraId="1CE4D4F7">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80" w:type="dxa"/>
            <w:tcBorders>
              <w:tl2br w:val="nil"/>
              <w:tr2bl w:val="nil"/>
            </w:tcBorders>
            <w:shd w:val="clear" w:color="auto" w:fill="auto"/>
            <w:noWrap w:val="0"/>
            <w:vAlign w:val="top"/>
          </w:tcPr>
          <w:p w14:paraId="2BA692C3">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400</w:t>
            </w:r>
          </w:p>
        </w:tc>
      </w:tr>
      <w:tr w14:paraId="7A33BB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3BEA91D8">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6</w:t>
            </w:r>
          </w:p>
        </w:tc>
        <w:tc>
          <w:tcPr>
            <w:tcW w:w="2740" w:type="dxa"/>
            <w:tcBorders>
              <w:tl2br w:val="nil"/>
              <w:tr2bl w:val="nil"/>
            </w:tcBorders>
            <w:shd w:val="clear" w:color="auto" w:fill="auto"/>
            <w:noWrap w:val="0"/>
            <w:vAlign w:val="top"/>
          </w:tcPr>
          <w:p w14:paraId="616DA1BD">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氨氮</w:t>
            </w:r>
          </w:p>
        </w:tc>
        <w:tc>
          <w:tcPr>
            <w:tcW w:w="2180" w:type="dxa"/>
            <w:tcBorders>
              <w:tl2br w:val="nil"/>
              <w:tr2bl w:val="nil"/>
            </w:tcBorders>
            <w:shd w:val="clear" w:color="auto" w:fill="auto"/>
            <w:noWrap w:val="0"/>
            <w:vAlign w:val="top"/>
          </w:tcPr>
          <w:p w14:paraId="7A672448">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80" w:type="dxa"/>
            <w:tcBorders>
              <w:tl2br w:val="nil"/>
              <w:tr2bl w:val="nil"/>
            </w:tcBorders>
            <w:shd w:val="clear" w:color="auto" w:fill="auto"/>
            <w:noWrap w:val="0"/>
            <w:vAlign w:val="top"/>
          </w:tcPr>
          <w:p w14:paraId="78F78A75">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50</w:t>
            </w:r>
          </w:p>
        </w:tc>
      </w:tr>
      <w:tr w14:paraId="22276E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510EBE4B">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7</w:t>
            </w:r>
          </w:p>
        </w:tc>
        <w:tc>
          <w:tcPr>
            <w:tcW w:w="2740" w:type="dxa"/>
            <w:tcBorders>
              <w:tl2br w:val="nil"/>
              <w:tr2bl w:val="nil"/>
            </w:tcBorders>
            <w:shd w:val="clear" w:color="auto" w:fill="auto"/>
            <w:noWrap w:val="0"/>
            <w:vAlign w:val="top"/>
          </w:tcPr>
          <w:p w14:paraId="4A37C516">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总氮</w:t>
            </w:r>
          </w:p>
        </w:tc>
        <w:tc>
          <w:tcPr>
            <w:tcW w:w="2180" w:type="dxa"/>
            <w:tcBorders>
              <w:tl2br w:val="nil"/>
              <w:tr2bl w:val="nil"/>
            </w:tcBorders>
            <w:shd w:val="clear" w:color="auto" w:fill="auto"/>
            <w:noWrap w:val="0"/>
            <w:vAlign w:val="top"/>
          </w:tcPr>
          <w:p w14:paraId="2C3FB751">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80" w:type="dxa"/>
            <w:tcBorders>
              <w:tl2br w:val="nil"/>
              <w:tr2bl w:val="nil"/>
            </w:tcBorders>
            <w:shd w:val="clear" w:color="auto" w:fill="auto"/>
            <w:noWrap w:val="0"/>
            <w:vAlign w:val="top"/>
          </w:tcPr>
          <w:p w14:paraId="29AF7F19">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80</w:t>
            </w:r>
          </w:p>
        </w:tc>
      </w:tr>
      <w:tr w14:paraId="31DFAB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1D04341D">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8</w:t>
            </w:r>
          </w:p>
        </w:tc>
        <w:tc>
          <w:tcPr>
            <w:tcW w:w="2740" w:type="dxa"/>
            <w:tcBorders>
              <w:tl2br w:val="nil"/>
              <w:tr2bl w:val="nil"/>
            </w:tcBorders>
            <w:shd w:val="clear" w:color="auto" w:fill="auto"/>
            <w:noWrap w:val="0"/>
            <w:vAlign w:val="top"/>
          </w:tcPr>
          <w:p w14:paraId="10925A64">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总磷</w:t>
            </w:r>
          </w:p>
        </w:tc>
        <w:tc>
          <w:tcPr>
            <w:tcW w:w="2180" w:type="dxa"/>
            <w:tcBorders>
              <w:tl2br w:val="nil"/>
              <w:tr2bl w:val="nil"/>
            </w:tcBorders>
            <w:shd w:val="clear" w:color="auto" w:fill="auto"/>
            <w:noWrap w:val="0"/>
            <w:vAlign w:val="top"/>
          </w:tcPr>
          <w:p w14:paraId="24F1E8A6">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80" w:type="dxa"/>
            <w:tcBorders>
              <w:tl2br w:val="nil"/>
              <w:tr2bl w:val="nil"/>
            </w:tcBorders>
            <w:shd w:val="clear" w:color="auto" w:fill="auto"/>
            <w:noWrap w:val="0"/>
            <w:vAlign w:val="top"/>
          </w:tcPr>
          <w:p w14:paraId="235DAA7A">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4</w:t>
            </w:r>
          </w:p>
        </w:tc>
      </w:tr>
      <w:tr w14:paraId="71CF91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49412FA8">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9</w:t>
            </w:r>
          </w:p>
        </w:tc>
        <w:tc>
          <w:tcPr>
            <w:tcW w:w="2740" w:type="dxa"/>
            <w:tcBorders>
              <w:tl2br w:val="nil"/>
              <w:tr2bl w:val="nil"/>
            </w:tcBorders>
            <w:shd w:val="clear" w:color="auto" w:fill="auto"/>
            <w:noWrap w:val="0"/>
            <w:vAlign w:val="top"/>
          </w:tcPr>
          <w:p w14:paraId="469436FF">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氯化物</w:t>
            </w:r>
          </w:p>
        </w:tc>
        <w:tc>
          <w:tcPr>
            <w:tcW w:w="2180" w:type="dxa"/>
            <w:tcBorders>
              <w:tl2br w:val="nil"/>
              <w:tr2bl w:val="nil"/>
            </w:tcBorders>
            <w:shd w:val="clear" w:color="auto" w:fill="auto"/>
            <w:noWrap w:val="0"/>
            <w:vAlign w:val="top"/>
          </w:tcPr>
          <w:p w14:paraId="44480CDF">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80" w:type="dxa"/>
            <w:tcBorders>
              <w:tl2br w:val="nil"/>
              <w:tr2bl w:val="nil"/>
            </w:tcBorders>
            <w:shd w:val="clear" w:color="auto" w:fill="auto"/>
            <w:noWrap w:val="0"/>
            <w:vAlign w:val="top"/>
          </w:tcPr>
          <w:p w14:paraId="038B3B73">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500</w:t>
            </w:r>
          </w:p>
        </w:tc>
      </w:tr>
      <w:tr w14:paraId="19402F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646C6B9F">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w:t>
            </w:r>
          </w:p>
        </w:tc>
        <w:tc>
          <w:tcPr>
            <w:tcW w:w="2740" w:type="dxa"/>
            <w:tcBorders>
              <w:tl2br w:val="nil"/>
              <w:tr2bl w:val="nil"/>
            </w:tcBorders>
            <w:shd w:val="clear" w:color="auto" w:fill="auto"/>
            <w:noWrap w:val="0"/>
            <w:vAlign w:val="top"/>
          </w:tcPr>
          <w:p w14:paraId="08D2BC80">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硫酸盐</w:t>
            </w:r>
          </w:p>
        </w:tc>
        <w:tc>
          <w:tcPr>
            <w:tcW w:w="2180" w:type="dxa"/>
            <w:tcBorders>
              <w:tl2br w:val="nil"/>
              <w:tr2bl w:val="nil"/>
            </w:tcBorders>
            <w:shd w:val="clear" w:color="auto" w:fill="auto"/>
            <w:noWrap w:val="0"/>
            <w:vAlign w:val="top"/>
          </w:tcPr>
          <w:p w14:paraId="28A0834B">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80" w:type="dxa"/>
            <w:tcBorders>
              <w:tl2br w:val="nil"/>
              <w:tr2bl w:val="nil"/>
            </w:tcBorders>
            <w:shd w:val="clear" w:color="auto" w:fill="auto"/>
            <w:noWrap w:val="0"/>
            <w:vAlign w:val="top"/>
          </w:tcPr>
          <w:p w14:paraId="77B88283">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400</w:t>
            </w:r>
          </w:p>
        </w:tc>
      </w:tr>
      <w:tr w14:paraId="13BB2E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4BEBAC45">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11</w:t>
            </w:r>
          </w:p>
        </w:tc>
        <w:tc>
          <w:tcPr>
            <w:tcW w:w="2740" w:type="dxa"/>
            <w:tcBorders>
              <w:tl2br w:val="nil"/>
              <w:tr2bl w:val="nil"/>
            </w:tcBorders>
            <w:shd w:val="clear" w:color="auto" w:fill="auto"/>
            <w:noWrap w:val="0"/>
            <w:vAlign w:val="top"/>
          </w:tcPr>
          <w:p w14:paraId="42F12D81">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总硬度</w:t>
            </w:r>
          </w:p>
        </w:tc>
        <w:tc>
          <w:tcPr>
            <w:tcW w:w="2180" w:type="dxa"/>
            <w:tcBorders>
              <w:tl2br w:val="nil"/>
              <w:tr2bl w:val="nil"/>
            </w:tcBorders>
            <w:shd w:val="clear" w:color="auto" w:fill="auto"/>
            <w:noWrap w:val="0"/>
            <w:vAlign w:val="top"/>
          </w:tcPr>
          <w:p w14:paraId="6A1E873E">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80" w:type="dxa"/>
            <w:tcBorders>
              <w:tl2br w:val="nil"/>
              <w:tr2bl w:val="nil"/>
            </w:tcBorders>
            <w:shd w:val="clear" w:color="auto" w:fill="auto"/>
            <w:noWrap w:val="0"/>
            <w:vAlign w:val="top"/>
          </w:tcPr>
          <w:p w14:paraId="4E96BD9B">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400</w:t>
            </w:r>
          </w:p>
        </w:tc>
      </w:tr>
      <w:tr w14:paraId="0096E2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10C6960C">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12</w:t>
            </w:r>
          </w:p>
        </w:tc>
        <w:tc>
          <w:tcPr>
            <w:tcW w:w="2740" w:type="dxa"/>
            <w:tcBorders>
              <w:tl2br w:val="nil"/>
              <w:tr2bl w:val="nil"/>
            </w:tcBorders>
            <w:shd w:val="clear" w:color="auto" w:fill="auto"/>
            <w:noWrap w:val="0"/>
            <w:vAlign w:val="top"/>
          </w:tcPr>
          <w:p w14:paraId="6EE629D3">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氟化物</w:t>
            </w:r>
          </w:p>
        </w:tc>
        <w:tc>
          <w:tcPr>
            <w:tcW w:w="2180" w:type="dxa"/>
            <w:tcBorders>
              <w:tl2br w:val="nil"/>
              <w:tr2bl w:val="nil"/>
            </w:tcBorders>
            <w:shd w:val="clear" w:color="auto" w:fill="auto"/>
            <w:noWrap w:val="0"/>
            <w:vAlign w:val="top"/>
          </w:tcPr>
          <w:p w14:paraId="3550B1B8">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80" w:type="dxa"/>
            <w:tcBorders>
              <w:tl2br w:val="nil"/>
              <w:tr2bl w:val="nil"/>
            </w:tcBorders>
            <w:shd w:val="clear" w:color="auto" w:fill="auto"/>
            <w:noWrap w:val="0"/>
            <w:vAlign w:val="top"/>
          </w:tcPr>
          <w:p w14:paraId="1BE1478D">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20</w:t>
            </w:r>
          </w:p>
        </w:tc>
      </w:tr>
      <w:tr w14:paraId="119302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2E3A728B">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13</w:t>
            </w:r>
          </w:p>
        </w:tc>
        <w:tc>
          <w:tcPr>
            <w:tcW w:w="2740" w:type="dxa"/>
            <w:tcBorders>
              <w:tl2br w:val="nil"/>
              <w:tr2bl w:val="nil"/>
            </w:tcBorders>
            <w:shd w:val="clear" w:color="auto" w:fill="auto"/>
            <w:noWrap w:val="0"/>
            <w:vAlign w:val="top"/>
          </w:tcPr>
          <w:p w14:paraId="1012B567">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石油类</w:t>
            </w:r>
          </w:p>
        </w:tc>
        <w:tc>
          <w:tcPr>
            <w:tcW w:w="2180" w:type="dxa"/>
            <w:tcBorders>
              <w:tl2br w:val="nil"/>
              <w:tr2bl w:val="nil"/>
            </w:tcBorders>
            <w:shd w:val="clear" w:color="auto" w:fill="auto"/>
            <w:noWrap w:val="0"/>
            <w:vAlign w:val="top"/>
          </w:tcPr>
          <w:p w14:paraId="2FA73796">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80" w:type="dxa"/>
            <w:tcBorders>
              <w:tl2br w:val="nil"/>
              <w:tr2bl w:val="nil"/>
            </w:tcBorders>
            <w:shd w:val="clear" w:color="auto" w:fill="auto"/>
            <w:noWrap w:val="0"/>
            <w:vAlign w:val="top"/>
          </w:tcPr>
          <w:p w14:paraId="086C572F">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1.0</w:t>
            </w:r>
          </w:p>
        </w:tc>
      </w:tr>
      <w:tr w14:paraId="15FB0B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3B03B7A9">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14</w:t>
            </w:r>
          </w:p>
        </w:tc>
        <w:tc>
          <w:tcPr>
            <w:tcW w:w="2740" w:type="dxa"/>
            <w:tcBorders>
              <w:tl2br w:val="nil"/>
              <w:tr2bl w:val="nil"/>
            </w:tcBorders>
            <w:shd w:val="clear" w:color="auto" w:fill="auto"/>
            <w:noWrap w:val="0"/>
            <w:vAlign w:val="top"/>
          </w:tcPr>
          <w:p w14:paraId="59C18B83">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挥发酚</w:t>
            </w:r>
          </w:p>
        </w:tc>
        <w:tc>
          <w:tcPr>
            <w:tcW w:w="2180" w:type="dxa"/>
            <w:tcBorders>
              <w:tl2br w:val="nil"/>
              <w:tr2bl w:val="nil"/>
            </w:tcBorders>
            <w:shd w:val="clear" w:color="auto" w:fill="auto"/>
            <w:noWrap w:val="0"/>
            <w:vAlign w:val="top"/>
          </w:tcPr>
          <w:p w14:paraId="547880BF">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80" w:type="dxa"/>
            <w:tcBorders>
              <w:tl2br w:val="nil"/>
              <w:tr2bl w:val="nil"/>
            </w:tcBorders>
            <w:shd w:val="clear" w:color="auto" w:fill="auto"/>
            <w:noWrap w:val="0"/>
            <w:vAlign w:val="top"/>
          </w:tcPr>
          <w:p w14:paraId="7E38EB53">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0.5</w:t>
            </w:r>
          </w:p>
        </w:tc>
      </w:tr>
      <w:tr w14:paraId="159FCD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23EE3C67">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15</w:t>
            </w:r>
          </w:p>
        </w:tc>
        <w:tc>
          <w:tcPr>
            <w:tcW w:w="2740" w:type="dxa"/>
            <w:tcBorders>
              <w:tl2br w:val="nil"/>
              <w:tr2bl w:val="nil"/>
            </w:tcBorders>
            <w:shd w:val="clear" w:color="auto" w:fill="auto"/>
            <w:noWrap w:val="0"/>
            <w:vAlign w:val="top"/>
          </w:tcPr>
          <w:p w14:paraId="572B553F">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苯</w:t>
            </w:r>
          </w:p>
        </w:tc>
        <w:tc>
          <w:tcPr>
            <w:tcW w:w="2180" w:type="dxa"/>
            <w:tcBorders>
              <w:tl2br w:val="nil"/>
              <w:tr2bl w:val="nil"/>
            </w:tcBorders>
            <w:shd w:val="clear" w:color="auto" w:fill="auto"/>
            <w:noWrap w:val="0"/>
            <w:vAlign w:val="top"/>
          </w:tcPr>
          <w:p w14:paraId="6A3770B7">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80" w:type="dxa"/>
            <w:tcBorders>
              <w:tl2br w:val="nil"/>
              <w:tr2bl w:val="nil"/>
            </w:tcBorders>
            <w:shd w:val="clear" w:color="auto" w:fill="auto"/>
            <w:noWrap w:val="0"/>
            <w:vAlign w:val="top"/>
          </w:tcPr>
          <w:p w14:paraId="7159F25E">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0.1</w:t>
            </w:r>
          </w:p>
        </w:tc>
      </w:tr>
      <w:tr w14:paraId="00AADD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0" w:type="dxa"/>
            <w:tcBorders>
              <w:tl2br w:val="nil"/>
              <w:tr2bl w:val="nil"/>
            </w:tcBorders>
            <w:noWrap w:val="0"/>
            <w:vAlign w:val="top"/>
          </w:tcPr>
          <w:p w14:paraId="57AA8948">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16</w:t>
            </w:r>
          </w:p>
        </w:tc>
        <w:tc>
          <w:tcPr>
            <w:tcW w:w="2740" w:type="dxa"/>
            <w:tcBorders>
              <w:tl2br w:val="nil"/>
              <w:tr2bl w:val="nil"/>
            </w:tcBorders>
            <w:shd w:val="clear" w:color="auto" w:fill="auto"/>
            <w:noWrap w:val="0"/>
            <w:vAlign w:val="top"/>
          </w:tcPr>
          <w:p w14:paraId="73228397">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甲醛</w:t>
            </w:r>
          </w:p>
        </w:tc>
        <w:tc>
          <w:tcPr>
            <w:tcW w:w="2180" w:type="dxa"/>
            <w:tcBorders>
              <w:tl2br w:val="nil"/>
              <w:tr2bl w:val="nil"/>
            </w:tcBorders>
            <w:shd w:val="clear" w:color="auto" w:fill="auto"/>
            <w:noWrap w:val="0"/>
            <w:vAlign w:val="top"/>
          </w:tcPr>
          <w:p w14:paraId="12D25938">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80" w:type="dxa"/>
            <w:tcBorders>
              <w:tl2br w:val="nil"/>
              <w:tr2bl w:val="nil"/>
            </w:tcBorders>
            <w:shd w:val="clear" w:color="auto" w:fill="auto"/>
            <w:noWrap w:val="0"/>
            <w:vAlign w:val="top"/>
          </w:tcPr>
          <w:p w14:paraId="7908E344">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1.0</w:t>
            </w:r>
          </w:p>
        </w:tc>
      </w:tr>
    </w:tbl>
    <w:p w14:paraId="28E90BCD">
      <w:pPr>
        <w:pageBreakBefore w:val="0"/>
        <w:wordWrap/>
        <w:bidi w:val="0"/>
        <w:adjustRightInd/>
        <w:snapToGrid/>
        <w:rPr>
          <w:rFonts w:hint="default"/>
          <w:b/>
          <w:bCs/>
          <w:color w:val="auto"/>
          <w:lang w:val="en-US" w:eastAsia="zh-CN"/>
        </w:rPr>
      </w:pPr>
      <w:r>
        <w:rPr>
          <w:rFonts w:hint="eastAsia"/>
          <w:b/>
          <w:bCs/>
          <w:color w:val="auto"/>
          <w:lang w:val="en-US" w:eastAsia="zh-CN"/>
        </w:rPr>
        <w:t>3、设计出水水质</w:t>
      </w:r>
    </w:p>
    <w:p w14:paraId="51E95AA7">
      <w:pPr>
        <w:pageBreakBefore w:val="0"/>
        <w:wordWrap/>
        <w:bidi w:val="0"/>
        <w:adjustRightInd/>
        <w:snapToGrid/>
        <w:rPr>
          <w:rFonts w:hint="default"/>
          <w:color w:val="auto"/>
          <w:lang w:val="en-US" w:eastAsia="zh-CN"/>
        </w:rPr>
      </w:pPr>
      <w:r>
        <w:rPr>
          <w:rFonts w:hint="eastAsia"/>
          <w:color w:val="auto"/>
          <w:lang w:val="en-US" w:eastAsia="zh-CN"/>
        </w:rPr>
        <w:t>本项目</w:t>
      </w:r>
      <w:r>
        <w:rPr>
          <w:rFonts w:hint="eastAsia"/>
          <w:color w:val="auto"/>
          <w:szCs w:val="24"/>
          <w:lang w:val="en-US" w:eastAsia="zh-CN" w:bidi="ar"/>
        </w:rPr>
        <w:t>出水水质指标执行《城镇污水处理厂污染物排放标准》（GB18918-2002）一级A标准。本次项目不涉及中水回用。</w:t>
      </w:r>
    </w:p>
    <w:p w14:paraId="5AC03B8B">
      <w:pPr>
        <w:pStyle w:val="19"/>
        <w:numPr>
          <w:ilvl w:val="0"/>
          <w:numId w:val="15"/>
        </w:numPr>
        <w:bidi w:val="0"/>
        <w:ind w:left="0" w:leftChars="0" w:firstLine="0" w:firstLineChars="0"/>
        <w:rPr>
          <w:rFonts w:hint="default"/>
          <w:color w:val="auto"/>
          <w:lang w:val="en-US" w:eastAsia="zh-CN"/>
        </w:rPr>
      </w:pPr>
      <w:r>
        <w:rPr>
          <w:rFonts w:hint="eastAsia"/>
          <w:color w:val="auto"/>
          <w:lang w:val="en-US" w:eastAsia="zh-CN"/>
        </w:rPr>
        <w:t>设计出水水质表</w:t>
      </w:r>
    </w:p>
    <w:tbl>
      <w:tblPr>
        <w:tblStyle w:val="5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897"/>
        <w:gridCol w:w="2499"/>
        <w:gridCol w:w="1433"/>
        <w:gridCol w:w="3728"/>
      </w:tblGrid>
      <w:tr w14:paraId="46AD66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24" w:type="pct"/>
            <w:vMerge w:val="restart"/>
            <w:tcBorders>
              <w:tl2br w:val="nil"/>
              <w:tr2bl w:val="nil"/>
            </w:tcBorders>
            <w:noWrap w:val="0"/>
            <w:vAlign w:val="center"/>
          </w:tcPr>
          <w:p w14:paraId="4D843806">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序号</w:t>
            </w:r>
          </w:p>
        </w:tc>
        <w:tc>
          <w:tcPr>
            <w:tcW w:w="2297" w:type="pct"/>
            <w:gridSpan w:val="2"/>
            <w:tcBorders>
              <w:tl2br w:val="nil"/>
              <w:tr2bl w:val="nil"/>
            </w:tcBorders>
            <w:noWrap w:val="0"/>
            <w:vAlign w:val="center"/>
          </w:tcPr>
          <w:p w14:paraId="68166C7C">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标准规范</w:t>
            </w:r>
          </w:p>
        </w:tc>
        <w:tc>
          <w:tcPr>
            <w:tcW w:w="2178" w:type="pct"/>
            <w:tcBorders>
              <w:tl2br w:val="nil"/>
              <w:tr2bl w:val="nil"/>
            </w:tcBorders>
            <w:noWrap w:val="0"/>
            <w:vAlign w:val="center"/>
          </w:tcPr>
          <w:p w14:paraId="3BEDD311">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出水水质</w:t>
            </w:r>
          </w:p>
        </w:tc>
      </w:tr>
      <w:tr w14:paraId="0421C5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24" w:type="pct"/>
            <w:vMerge w:val="continue"/>
            <w:tcBorders>
              <w:tl2br w:val="nil"/>
              <w:tr2bl w:val="nil"/>
            </w:tcBorders>
            <w:noWrap w:val="0"/>
            <w:vAlign w:val="center"/>
          </w:tcPr>
          <w:p w14:paraId="78BD7EAF">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p>
        </w:tc>
        <w:tc>
          <w:tcPr>
            <w:tcW w:w="1460" w:type="pct"/>
            <w:tcBorders>
              <w:tl2br w:val="nil"/>
              <w:tr2bl w:val="nil"/>
            </w:tcBorders>
            <w:noWrap w:val="0"/>
            <w:vAlign w:val="center"/>
          </w:tcPr>
          <w:p w14:paraId="73B69767">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项目</w:t>
            </w:r>
          </w:p>
        </w:tc>
        <w:tc>
          <w:tcPr>
            <w:tcW w:w="837" w:type="pct"/>
            <w:tcBorders>
              <w:tl2br w:val="nil"/>
              <w:tr2bl w:val="nil"/>
            </w:tcBorders>
            <w:noWrap w:val="0"/>
            <w:vAlign w:val="center"/>
          </w:tcPr>
          <w:p w14:paraId="5005D0D6">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单位</w:t>
            </w:r>
          </w:p>
        </w:tc>
        <w:tc>
          <w:tcPr>
            <w:tcW w:w="2178" w:type="pct"/>
            <w:tcBorders>
              <w:tl2br w:val="nil"/>
              <w:tr2bl w:val="nil"/>
            </w:tcBorders>
            <w:noWrap w:val="0"/>
            <w:vAlign w:val="center"/>
          </w:tcPr>
          <w:p w14:paraId="060B8BF2">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《城镇污水处理厂污染物排放标准》（GB18918-2002）一级A标准</w:t>
            </w:r>
          </w:p>
        </w:tc>
      </w:tr>
      <w:tr w14:paraId="4AF67E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24" w:type="pct"/>
            <w:tcBorders>
              <w:tl2br w:val="nil"/>
              <w:tr2bl w:val="nil"/>
            </w:tcBorders>
            <w:noWrap w:val="0"/>
            <w:vAlign w:val="center"/>
          </w:tcPr>
          <w:p w14:paraId="67CD61FF">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w:t>
            </w:r>
          </w:p>
        </w:tc>
        <w:tc>
          <w:tcPr>
            <w:tcW w:w="1460" w:type="pct"/>
            <w:tcBorders>
              <w:tl2br w:val="nil"/>
              <w:tr2bl w:val="nil"/>
            </w:tcBorders>
            <w:noWrap w:val="0"/>
            <w:vAlign w:val="center"/>
          </w:tcPr>
          <w:p w14:paraId="2FBBCE2B">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pH值</w:t>
            </w:r>
          </w:p>
        </w:tc>
        <w:tc>
          <w:tcPr>
            <w:tcW w:w="837" w:type="pct"/>
            <w:tcBorders>
              <w:tl2br w:val="nil"/>
              <w:tr2bl w:val="nil"/>
            </w:tcBorders>
            <w:noWrap w:val="0"/>
            <w:vAlign w:val="center"/>
          </w:tcPr>
          <w:p w14:paraId="6331F96E">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无量纲</w:t>
            </w:r>
          </w:p>
        </w:tc>
        <w:tc>
          <w:tcPr>
            <w:tcW w:w="2178" w:type="pct"/>
            <w:tcBorders>
              <w:tl2br w:val="nil"/>
              <w:tr2bl w:val="nil"/>
            </w:tcBorders>
            <w:noWrap w:val="0"/>
            <w:vAlign w:val="center"/>
          </w:tcPr>
          <w:p w14:paraId="2ECB08BE">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6~9</w:t>
            </w:r>
          </w:p>
        </w:tc>
      </w:tr>
      <w:tr w14:paraId="290D1F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24" w:type="pct"/>
            <w:tcBorders>
              <w:tl2br w:val="nil"/>
              <w:tr2bl w:val="nil"/>
            </w:tcBorders>
            <w:noWrap w:val="0"/>
            <w:vAlign w:val="center"/>
          </w:tcPr>
          <w:p w14:paraId="21B1BCF7">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w:t>
            </w:r>
          </w:p>
        </w:tc>
        <w:tc>
          <w:tcPr>
            <w:tcW w:w="1460" w:type="pct"/>
            <w:tcBorders>
              <w:tl2br w:val="nil"/>
              <w:tr2bl w:val="nil"/>
            </w:tcBorders>
            <w:noWrap w:val="0"/>
            <w:vAlign w:val="center"/>
          </w:tcPr>
          <w:p w14:paraId="4CBD91C4">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色度</w:t>
            </w:r>
          </w:p>
        </w:tc>
        <w:tc>
          <w:tcPr>
            <w:tcW w:w="837" w:type="pct"/>
            <w:tcBorders>
              <w:tl2br w:val="nil"/>
              <w:tr2bl w:val="nil"/>
            </w:tcBorders>
            <w:noWrap w:val="0"/>
            <w:vAlign w:val="center"/>
          </w:tcPr>
          <w:p w14:paraId="11CB7CB4">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178" w:type="pct"/>
            <w:tcBorders>
              <w:tl2br w:val="nil"/>
              <w:tr2bl w:val="nil"/>
            </w:tcBorders>
            <w:noWrap w:val="0"/>
            <w:vAlign w:val="center"/>
          </w:tcPr>
          <w:p w14:paraId="6102AE95">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30</w:t>
            </w:r>
          </w:p>
        </w:tc>
      </w:tr>
      <w:tr w14:paraId="4930AE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24" w:type="pct"/>
            <w:tcBorders>
              <w:tl2br w:val="nil"/>
              <w:tr2bl w:val="nil"/>
            </w:tcBorders>
            <w:noWrap w:val="0"/>
            <w:vAlign w:val="center"/>
          </w:tcPr>
          <w:p w14:paraId="1804D586">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w:t>
            </w:r>
          </w:p>
        </w:tc>
        <w:tc>
          <w:tcPr>
            <w:tcW w:w="1460" w:type="pct"/>
            <w:tcBorders>
              <w:tl2br w:val="nil"/>
              <w:tr2bl w:val="nil"/>
            </w:tcBorders>
            <w:shd w:val="clear" w:color="auto" w:fill="auto"/>
            <w:noWrap w:val="0"/>
            <w:vAlign w:val="center"/>
          </w:tcPr>
          <w:p w14:paraId="3501BB10">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COD</w:t>
            </w:r>
          </w:p>
        </w:tc>
        <w:tc>
          <w:tcPr>
            <w:tcW w:w="837" w:type="pct"/>
            <w:tcBorders>
              <w:tl2br w:val="nil"/>
              <w:tr2bl w:val="nil"/>
            </w:tcBorders>
            <w:shd w:val="clear" w:color="auto" w:fill="auto"/>
            <w:noWrap w:val="0"/>
            <w:vAlign w:val="center"/>
          </w:tcPr>
          <w:p w14:paraId="692FF613">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78" w:type="pct"/>
            <w:tcBorders>
              <w:tl2br w:val="nil"/>
              <w:tr2bl w:val="nil"/>
            </w:tcBorders>
            <w:shd w:val="clear" w:color="auto" w:fill="auto"/>
            <w:noWrap w:val="0"/>
            <w:vAlign w:val="center"/>
          </w:tcPr>
          <w:p w14:paraId="666047A6">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50</w:t>
            </w:r>
          </w:p>
        </w:tc>
      </w:tr>
      <w:tr w14:paraId="5AA0A3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24" w:type="pct"/>
            <w:tcBorders>
              <w:tl2br w:val="nil"/>
              <w:tr2bl w:val="nil"/>
            </w:tcBorders>
            <w:noWrap w:val="0"/>
            <w:vAlign w:val="center"/>
          </w:tcPr>
          <w:p w14:paraId="28CF2D99">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w:t>
            </w:r>
          </w:p>
        </w:tc>
        <w:tc>
          <w:tcPr>
            <w:tcW w:w="1460" w:type="pct"/>
            <w:tcBorders>
              <w:tl2br w:val="nil"/>
              <w:tr2bl w:val="nil"/>
            </w:tcBorders>
            <w:shd w:val="clear" w:color="auto" w:fill="auto"/>
            <w:noWrap w:val="0"/>
            <w:vAlign w:val="center"/>
          </w:tcPr>
          <w:p w14:paraId="72988CD3">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BOD</w:t>
            </w:r>
            <w:r>
              <w:rPr>
                <w:rFonts w:hint="eastAsia"/>
                <w:color w:val="auto"/>
                <w:vertAlign w:val="subscript"/>
                <w:lang w:val="en-US" w:eastAsia="zh-CN"/>
              </w:rPr>
              <w:t>5</w:t>
            </w:r>
          </w:p>
        </w:tc>
        <w:tc>
          <w:tcPr>
            <w:tcW w:w="837" w:type="pct"/>
            <w:tcBorders>
              <w:tl2br w:val="nil"/>
              <w:tr2bl w:val="nil"/>
            </w:tcBorders>
            <w:shd w:val="clear" w:color="auto" w:fill="auto"/>
            <w:noWrap w:val="0"/>
            <w:vAlign w:val="center"/>
          </w:tcPr>
          <w:p w14:paraId="7E821CCE">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78" w:type="pct"/>
            <w:tcBorders>
              <w:tl2br w:val="nil"/>
              <w:tr2bl w:val="nil"/>
            </w:tcBorders>
            <w:shd w:val="clear" w:color="auto" w:fill="auto"/>
            <w:noWrap w:val="0"/>
            <w:vAlign w:val="center"/>
          </w:tcPr>
          <w:p w14:paraId="439A1D61">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10</w:t>
            </w:r>
          </w:p>
        </w:tc>
      </w:tr>
      <w:tr w14:paraId="25A126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24" w:type="pct"/>
            <w:tcBorders>
              <w:tl2br w:val="nil"/>
              <w:tr2bl w:val="nil"/>
            </w:tcBorders>
            <w:noWrap w:val="0"/>
            <w:vAlign w:val="center"/>
          </w:tcPr>
          <w:p w14:paraId="57E87433">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5</w:t>
            </w:r>
          </w:p>
        </w:tc>
        <w:tc>
          <w:tcPr>
            <w:tcW w:w="1460" w:type="pct"/>
            <w:tcBorders>
              <w:tl2br w:val="nil"/>
              <w:tr2bl w:val="nil"/>
            </w:tcBorders>
            <w:shd w:val="clear" w:color="auto" w:fill="auto"/>
            <w:noWrap w:val="0"/>
            <w:vAlign w:val="center"/>
          </w:tcPr>
          <w:p w14:paraId="7C2A200B">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氨氮</w:t>
            </w:r>
          </w:p>
        </w:tc>
        <w:tc>
          <w:tcPr>
            <w:tcW w:w="837" w:type="pct"/>
            <w:tcBorders>
              <w:tl2br w:val="nil"/>
              <w:tr2bl w:val="nil"/>
            </w:tcBorders>
            <w:shd w:val="clear" w:color="auto" w:fill="auto"/>
            <w:noWrap w:val="0"/>
            <w:vAlign w:val="center"/>
          </w:tcPr>
          <w:p w14:paraId="5FC66586">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78" w:type="pct"/>
            <w:tcBorders>
              <w:tl2br w:val="nil"/>
              <w:tr2bl w:val="nil"/>
            </w:tcBorders>
            <w:shd w:val="clear" w:color="auto" w:fill="auto"/>
            <w:noWrap w:val="0"/>
            <w:vAlign w:val="center"/>
          </w:tcPr>
          <w:p w14:paraId="55459A17">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5（8）</w:t>
            </w:r>
          </w:p>
        </w:tc>
      </w:tr>
      <w:tr w14:paraId="100467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24" w:type="pct"/>
            <w:tcBorders>
              <w:tl2br w:val="nil"/>
              <w:tr2bl w:val="nil"/>
            </w:tcBorders>
            <w:noWrap w:val="0"/>
            <w:vAlign w:val="center"/>
          </w:tcPr>
          <w:p w14:paraId="13E97D75">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6</w:t>
            </w:r>
          </w:p>
        </w:tc>
        <w:tc>
          <w:tcPr>
            <w:tcW w:w="1460" w:type="pct"/>
            <w:tcBorders>
              <w:tl2br w:val="nil"/>
              <w:tr2bl w:val="nil"/>
            </w:tcBorders>
            <w:shd w:val="clear" w:color="auto" w:fill="auto"/>
            <w:noWrap w:val="0"/>
            <w:vAlign w:val="center"/>
          </w:tcPr>
          <w:p w14:paraId="41F4F06D">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总氮</w:t>
            </w:r>
          </w:p>
        </w:tc>
        <w:tc>
          <w:tcPr>
            <w:tcW w:w="837" w:type="pct"/>
            <w:tcBorders>
              <w:tl2br w:val="nil"/>
              <w:tr2bl w:val="nil"/>
            </w:tcBorders>
            <w:shd w:val="clear" w:color="auto" w:fill="auto"/>
            <w:noWrap w:val="0"/>
            <w:vAlign w:val="center"/>
          </w:tcPr>
          <w:p w14:paraId="7C1150AA">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78" w:type="pct"/>
            <w:tcBorders>
              <w:tl2br w:val="nil"/>
              <w:tr2bl w:val="nil"/>
            </w:tcBorders>
            <w:shd w:val="clear" w:color="auto" w:fill="auto"/>
            <w:noWrap w:val="0"/>
            <w:vAlign w:val="center"/>
          </w:tcPr>
          <w:p w14:paraId="18AA6337">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15</w:t>
            </w:r>
          </w:p>
        </w:tc>
      </w:tr>
      <w:tr w14:paraId="1717D4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24" w:type="pct"/>
            <w:tcBorders>
              <w:tl2br w:val="nil"/>
              <w:tr2bl w:val="nil"/>
            </w:tcBorders>
            <w:noWrap w:val="0"/>
            <w:vAlign w:val="center"/>
          </w:tcPr>
          <w:p w14:paraId="0B775862">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7</w:t>
            </w:r>
          </w:p>
        </w:tc>
        <w:tc>
          <w:tcPr>
            <w:tcW w:w="1460" w:type="pct"/>
            <w:tcBorders>
              <w:tl2br w:val="nil"/>
              <w:tr2bl w:val="nil"/>
            </w:tcBorders>
            <w:shd w:val="clear" w:color="auto" w:fill="auto"/>
            <w:noWrap w:val="0"/>
            <w:vAlign w:val="center"/>
          </w:tcPr>
          <w:p w14:paraId="16B659B4">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总磷</w:t>
            </w:r>
          </w:p>
        </w:tc>
        <w:tc>
          <w:tcPr>
            <w:tcW w:w="837" w:type="pct"/>
            <w:tcBorders>
              <w:tl2br w:val="nil"/>
              <w:tr2bl w:val="nil"/>
            </w:tcBorders>
            <w:shd w:val="clear" w:color="auto" w:fill="auto"/>
            <w:noWrap w:val="0"/>
            <w:vAlign w:val="center"/>
          </w:tcPr>
          <w:p w14:paraId="73BA1308">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78" w:type="pct"/>
            <w:tcBorders>
              <w:tl2br w:val="nil"/>
              <w:tr2bl w:val="nil"/>
            </w:tcBorders>
            <w:shd w:val="clear" w:color="auto" w:fill="auto"/>
            <w:noWrap w:val="0"/>
            <w:vAlign w:val="center"/>
          </w:tcPr>
          <w:p w14:paraId="6105814E">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0.5</w:t>
            </w:r>
          </w:p>
        </w:tc>
      </w:tr>
      <w:tr w14:paraId="297A86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24" w:type="pct"/>
            <w:tcBorders>
              <w:tl2br w:val="nil"/>
              <w:tr2bl w:val="nil"/>
            </w:tcBorders>
            <w:noWrap w:val="0"/>
            <w:vAlign w:val="center"/>
          </w:tcPr>
          <w:p w14:paraId="14A4AE9F">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8</w:t>
            </w:r>
          </w:p>
        </w:tc>
        <w:tc>
          <w:tcPr>
            <w:tcW w:w="1460" w:type="pct"/>
            <w:tcBorders>
              <w:tl2br w:val="nil"/>
              <w:tr2bl w:val="nil"/>
            </w:tcBorders>
            <w:shd w:val="clear" w:color="auto" w:fill="auto"/>
            <w:noWrap w:val="0"/>
            <w:vAlign w:val="center"/>
          </w:tcPr>
          <w:p w14:paraId="75F24217">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石油类</w:t>
            </w:r>
          </w:p>
        </w:tc>
        <w:tc>
          <w:tcPr>
            <w:tcW w:w="837" w:type="pct"/>
            <w:tcBorders>
              <w:tl2br w:val="nil"/>
              <w:tr2bl w:val="nil"/>
            </w:tcBorders>
            <w:shd w:val="clear" w:color="auto" w:fill="auto"/>
            <w:noWrap w:val="0"/>
            <w:vAlign w:val="center"/>
          </w:tcPr>
          <w:p w14:paraId="4A8F0A51">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78" w:type="pct"/>
            <w:tcBorders>
              <w:tl2br w:val="nil"/>
              <w:tr2bl w:val="nil"/>
            </w:tcBorders>
            <w:shd w:val="clear" w:color="auto" w:fill="auto"/>
            <w:noWrap w:val="0"/>
            <w:vAlign w:val="center"/>
          </w:tcPr>
          <w:p w14:paraId="66857625">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w:t>
            </w:r>
          </w:p>
        </w:tc>
      </w:tr>
      <w:tr w14:paraId="42AA99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24" w:type="pct"/>
            <w:tcBorders>
              <w:tl2br w:val="nil"/>
              <w:tr2bl w:val="nil"/>
            </w:tcBorders>
            <w:noWrap w:val="0"/>
            <w:vAlign w:val="center"/>
          </w:tcPr>
          <w:p w14:paraId="35D929C6">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9</w:t>
            </w:r>
          </w:p>
        </w:tc>
        <w:tc>
          <w:tcPr>
            <w:tcW w:w="1460" w:type="pct"/>
            <w:tcBorders>
              <w:tl2br w:val="nil"/>
              <w:tr2bl w:val="nil"/>
            </w:tcBorders>
            <w:shd w:val="clear" w:color="auto" w:fill="auto"/>
            <w:noWrap w:val="0"/>
            <w:vAlign w:val="center"/>
          </w:tcPr>
          <w:p w14:paraId="01EE8FE7">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阴离子表面活性剂</w:t>
            </w:r>
          </w:p>
        </w:tc>
        <w:tc>
          <w:tcPr>
            <w:tcW w:w="837" w:type="pct"/>
            <w:tcBorders>
              <w:tl2br w:val="nil"/>
              <w:tr2bl w:val="nil"/>
            </w:tcBorders>
            <w:shd w:val="clear" w:color="auto" w:fill="auto"/>
            <w:noWrap w:val="0"/>
            <w:vAlign w:val="center"/>
          </w:tcPr>
          <w:p w14:paraId="232BC026">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78" w:type="pct"/>
            <w:tcBorders>
              <w:tl2br w:val="nil"/>
              <w:tr2bl w:val="nil"/>
            </w:tcBorders>
            <w:shd w:val="clear" w:color="auto" w:fill="auto"/>
            <w:noWrap w:val="0"/>
            <w:vAlign w:val="center"/>
          </w:tcPr>
          <w:p w14:paraId="6C0DD690">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0.5</w:t>
            </w:r>
          </w:p>
        </w:tc>
      </w:tr>
      <w:tr w14:paraId="620765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24" w:type="pct"/>
            <w:tcBorders>
              <w:tl2br w:val="nil"/>
              <w:tr2bl w:val="nil"/>
            </w:tcBorders>
            <w:noWrap w:val="0"/>
            <w:vAlign w:val="center"/>
          </w:tcPr>
          <w:p w14:paraId="57061C55">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10</w:t>
            </w:r>
          </w:p>
        </w:tc>
        <w:tc>
          <w:tcPr>
            <w:tcW w:w="1460" w:type="pct"/>
            <w:tcBorders>
              <w:tl2br w:val="nil"/>
              <w:tr2bl w:val="nil"/>
            </w:tcBorders>
            <w:shd w:val="clear" w:color="auto" w:fill="auto"/>
            <w:noWrap w:val="0"/>
            <w:vAlign w:val="center"/>
          </w:tcPr>
          <w:p w14:paraId="4ADE715C">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悬浮物</w:t>
            </w:r>
          </w:p>
        </w:tc>
        <w:tc>
          <w:tcPr>
            <w:tcW w:w="837" w:type="pct"/>
            <w:tcBorders>
              <w:tl2br w:val="nil"/>
              <w:tr2bl w:val="nil"/>
            </w:tcBorders>
            <w:shd w:val="clear" w:color="auto" w:fill="auto"/>
            <w:noWrap w:val="0"/>
            <w:vAlign w:val="center"/>
          </w:tcPr>
          <w:p w14:paraId="0E6D07CC">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78" w:type="pct"/>
            <w:tcBorders>
              <w:tl2br w:val="nil"/>
              <w:tr2bl w:val="nil"/>
            </w:tcBorders>
            <w:shd w:val="clear" w:color="auto" w:fill="auto"/>
            <w:noWrap w:val="0"/>
            <w:vAlign w:val="center"/>
          </w:tcPr>
          <w:p w14:paraId="7C0F81D4">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10</w:t>
            </w:r>
          </w:p>
        </w:tc>
      </w:tr>
      <w:tr w14:paraId="1782FA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24" w:type="pct"/>
            <w:tcBorders>
              <w:tl2br w:val="nil"/>
              <w:tr2bl w:val="nil"/>
            </w:tcBorders>
            <w:noWrap w:val="0"/>
            <w:vAlign w:val="center"/>
          </w:tcPr>
          <w:p w14:paraId="19CEB787">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11</w:t>
            </w:r>
          </w:p>
        </w:tc>
        <w:tc>
          <w:tcPr>
            <w:tcW w:w="1460" w:type="pct"/>
            <w:tcBorders>
              <w:tl2br w:val="nil"/>
              <w:tr2bl w:val="nil"/>
            </w:tcBorders>
            <w:shd w:val="clear" w:color="auto" w:fill="auto"/>
            <w:noWrap w:val="0"/>
            <w:vAlign w:val="center"/>
          </w:tcPr>
          <w:p w14:paraId="2F239079">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粪大肠菌群数</w:t>
            </w:r>
          </w:p>
        </w:tc>
        <w:tc>
          <w:tcPr>
            <w:tcW w:w="837" w:type="pct"/>
            <w:tcBorders>
              <w:tl2br w:val="nil"/>
              <w:tr2bl w:val="nil"/>
            </w:tcBorders>
            <w:shd w:val="clear" w:color="auto" w:fill="auto"/>
            <w:noWrap w:val="0"/>
            <w:vAlign w:val="center"/>
          </w:tcPr>
          <w:p w14:paraId="769CD6A9">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个/L</w:t>
            </w:r>
          </w:p>
        </w:tc>
        <w:tc>
          <w:tcPr>
            <w:tcW w:w="2178" w:type="pct"/>
            <w:tcBorders>
              <w:tl2br w:val="nil"/>
              <w:tr2bl w:val="nil"/>
            </w:tcBorders>
            <w:shd w:val="clear" w:color="auto" w:fill="auto"/>
            <w:noWrap w:val="0"/>
            <w:vAlign w:val="center"/>
          </w:tcPr>
          <w:p w14:paraId="20317130">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10</w:t>
            </w:r>
            <w:r>
              <w:rPr>
                <w:rFonts w:hint="eastAsia"/>
                <w:color w:val="auto"/>
                <w:vertAlign w:val="superscript"/>
                <w:lang w:val="en-US" w:eastAsia="zh-CN"/>
              </w:rPr>
              <w:t>3</w:t>
            </w:r>
          </w:p>
        </w:tc>
      </w:tr>
      <w:tr w14:paraId="4DC9CC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24" w:type="pct"/>
            <w:tcBorders>
              <w:tl2br w:val="nil"/>
              <w:tr2bl w:val="nil"/>
            </w:tcBorders>
            <w:noWrap w:val="0"/>
            <w:vAlign w:val="center"/>
          </w:tcPr>
          <w:p w14:paraId="2E0FD368">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12</w:t>
            </w:r>
          </w:p>
        </w:tc>
        <w:tc>
          <w:tcPr>
            <w:tcW w:w="1460" w:type="pct"/>
            <w:tcBorders>
              <w:tl2br w:val="nil"/>
              <w:tr2bl w:val="nil"/>
            </w:tcBorders>
            <w:noWrap w:val="0"/>
            <w:vAlign w:val="center"/>
          </w:tcPr>
          <w:p w14:paraId="0E16A753">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甲醛</w:t>
            </w:r>
          </w:p>
        </w:tc>
        <w:tc>
          <w:tcPr>
            <w:tcW w:w="837" w:type="pct"/>
            <w:tcBorders>
              <w:tl2br w:val="nil"/>
              <w:tr2bl w:val="nil"/>
            </w:tcBorders>
            <w:noWrap w:val="0"/>
            <w:vAlign w:val="center"/>
          </w:tcPr>
          <w:p w14:paraId="06D060B2">
            <w:pPr>
              <w:pStyle w:val="16"/>
              <w:pageBreakBefore w:val="0"/>
              <w:wordWrap/>
              <w:bidi w:val="0"/>
              <w:adjustRightInd/>
              <w:snapToGrid/>
              <w:rPr>
                <w:rFonts w:hint="eastAsia"/>
                <w:color w:val="auto"/>
                <w:lang w:val="en-US" w:eastAsia="zh-CN"/>
              </w:rPr>
            </w:pPr>
            <w:r>
              <w:rPr>
                <w:rFonts w:hint="eastAsia"/>
                <w:color w:val="auto"/>
                <w:lang w:val="en-US" w:eastAsia="zh-CN"/>
              </w:rPr>
              <w:t>mg/L</w:t>
            </w:r>
          </w:p>
        </w:tc>
        <w:tc>
          <w:tcPr>
            <w:tcW w:w="2178" w:type="pct"/>
            <w:tcBorders>
              <w:tl2br w:val="nil"/>
              <w:tr2bl w:val="nil"/>
            </w:tcBorders>
            <w:noWrap w:val="0"/>
            <w:vAlign w:val="center"/>
          </w:tcPr>
          <w:p w14:paraId="0DEAAA62">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1.0</w:t>
            </w:r>
          </w:p>
        </w:tc>
      </w:tr>
    </w:tbl>
    <w:p w14:paraId="7B779893">
      <w:pPr>
        <w:pStyle w:val="5"/>
        <w:pageBreakBefore w:val="0"/>
        <w:wordWrap/>
        <w:bidi w:val="0"/>
        <w:adjustRightInd/>
        <w:snapToGrid/>
        <w:rPr>
          <w:color w:val="auto"/>
        </w:rPr>
      </w:pPr>
      <w:r>
        <w:rPr>
          <w:rFonts w:hint="eastAsia"/>
          <w:color w:val="auto"/>
        </w:rPr>
        <w:t xml:space="preserve"> </w:t>
      </w:r>
      <w:r>
        <w:rPr>
          <w:color w:val="auto"/>
        </w:rPr>
        <w:t>项目</w:t>
      </w:r>
      <w:r>
        <w:rPr>
          <w:rFonts w:hint="eastAsia"/>
          <w:color w:val="auto"/>
          <w:lang w:val="en-US" w:eastAsia="zh-CN"/>
        </w:rPr>
        <w:t>建设内容、组成及主要环境问题</w:t>
      </w:r>
    </w:p>
    <w:p w14:paraId="6D73CEA0">
      <w:pPr>
        <w:pageBreakBefore w:val="0"/>
        <w:wordWrap/>
        <w:bidi w:val="0"/>
        <w:adjustRightInd/>
        <w:snapToGrid/>
        <w:rPr>
          <w:b/>
          <w:bCs/>
          <w:color w:val="auto"/>
        </w:rPr>
      </w:pPr>
      <w:r>
        <w:rPr>
          <w:rFonts w:hint="eastAsia"/>
          <w:b/>
          <w:bCs/>
          <w:color w:val="auto"/>
          <w:lang w:val="en-US" w:eastAsia="zh-CN"/>
        </w:rPr>
        <w:t>1、</w:t>
      </w:r>
      <w:r>
        <w:rPr>
          <w:b/>
          <w:bCs/>
          <w:color w:val="auto"/>
        </w:rPr>
        <w:t>建设内容及规模</w:t>
      </w:r>
    </w:p>
    <w:p w14:paraId="42BE0B62">
      <w:pPr>
        <w:pageBreakBefore w:val="0"/>
        <w:wordWrap/>
        <w:bidi w:val="0"/>
        <w:adjustRightInd/>
        <w:snapToGrid/>
        <w:rPr>
          <w:rFonts w:hint="default" w:eastAsia="宋体"/>
          <w:color w:val="auto"/>
          <w:lang w:val="en-US" w:eastAsia="zh-CN"/>
        </w:rPr>
      </w:pPr>
      <w:r>
        <w:rPr>
          <w:color w:val="auto"/>
        </w:rPr>
        <w:t>项目选址</w:t>
      </w:r>
      <w:r>
        <w:rPr>
          <w:rFonts w:hint="eastAsia"/>
          <w:color w:val="auto"/>
          <w:lang w:val="en-US" w:eastAsia="zh-CN"/>
        </w:rPr>
        <w:t>位于</w:t>
      </w:r>
      <w:r>
        <w:rPr>
          <w:rFonts w:hint="eastAsia"/>
          <w:color w:val="auto"/>
          <w:lang w:eastAsia="zh-CN"/>
        </w:rPr>
        <w:t>巴中市巴州区曾口镇寿星村13组</w:t>
      </w:r>
      <w:r>
        <w:rPr>
          <w:color w:val="auto"/>
        </w:rPr>
        <w:t>，</w:t>
      </w:r>
      <w:r>
        <w:rPr>
          <w:rFonts w:hint="eastAsia"/>
          <w:color w:val="auto"/>
          <w:lang w:val="en-US" w:eastAsia="zh-CN"/>
        </w:rPr>
        <w:t>一期</w:t>
      </w:r>
      <w:r>
        <w:rPr>
          <w:color w:val="auto"/>
        </w:rPr>
        <w:t>占地</w:t>
      </w:r>
      <w:r>
        <w:rPr>
          <w:rFonts w:hint="eastAsia"/>
          <w:color w:val="auto"/>
          <w:lang w:val="en-US" w:eastAsia="zh-CN"/>
        </w:rPr>
        <w:t>面积22806.44m²</w:t>
      </w:r>
      <w:r>
        <w:rPr>
          <w:color w:val="auto"/>
        </w:rPr>
        <w:t>。</w:t>
      </w:r>
      <w:r>
        <w:rPr>
          <w:rFonts w:hint="eastAsia"/>
          <w:color w:val="auto"/>
          <w:lang w:val="en-US" w:eastAsia="zh-CN"/>
        </w:rPr>
        <w:t>主要建设内容包括：新建园区环境监测站1座、新建污水处理厂1座及配套尾水排放管道。</w:t>
      </w:r>
    </w:p>
    <w:p w14:paraId="33B12545">
      <w:pPr>
        <w:pStyle w:val="6"/>
        <w:pageBreakBefore w:val="0"/>
        <w:wordWrap/>
        <w:bidi w:val="0"/>
        <w:adjustRightInd/>
        <w:snapToGrid/>
        <w:ind w:firstLine="480"/>
        <w:jc w:val="both"/>
        <w:rPr>
          <w:rFonts w:hint="default" w:eastAsia="宋体"/>
          <w:color w:val="auto"/>
          <w:lang w:val="en-US" w:eastAsia="zh-CN"/>
        </w:rPr>
      </w:pPr>
      <w:r>
        <w:rPr>
          <w:rFonts w:hint="eastAsia"/>
          <w:b/>
          <w:bCs/>
          <w:color w:val="auto"/>
          <w:lang w:val="en-US" w:eastAsia="zh-CN"/>
        </w:rPr>
        <w:t>新建园区监测站1座：</w:t>
      </w:r>
      <w:r>
        <w:rPr>
          <w:rFonts w:hint="eastAsia"/>
          <w:color w:val="auto"/>
          <w:lang w:val="en-US" w:eastAsia="zh-CN"/>
        </w:rPr>
        <w:t>本项目在园区规划消防站二楼设置园区监测站，主要用于园区环境质量在线监测，建设站房及配套设施和建设数据综合分析系统，设置环境空气监测系统（SO</w:t>
      </w:r>
      <w:r>
        <w:rPr>
          <w:rFonts w:hint="eastAsia"/>
          <w:color w:val="auto"/>
          <w:vertAlign w:val="subscript"/>
          <w:lang w:val="en-US" w:eastAsia="zh-CN"/>
        </w:rPr>
        <w:t>2</w:t>
      </w:r>
      <w:r>
        <w:rPr>
          <w:rFonts w:hint="eastAsia"/>
          <w:color w:val="auto"/>
          <w:lang w:val="en-US" w:eastAsia="zh-CN"/>
        </w:rPr>
        <w:t>、NOx、CO、O</w:t>
      </w:r>
      <w:r>
        <w:rPr>
          <w:rFonts w:hint="eastAsia"/>
          <w:color w:val="auto"/>
          <w:vertAlign w:val="subscript"/>
          <w:lang w:val="en-US" w:eastAsia="zh-CN"/>
        </w:rPr>
        <w:t>3</w:t>
      </w:r>
      <w:r>
        <w:rPr>
          <w:rFonts w:hint="eastAsia"/>
          <w:color w:val="auto"/>
          <w:lang w:val="en-US" w:eastAsia="zh-CN"/>
        </w:rPr>
        <w:t>、PM</w:t>
      </w:r>
      <w:r>
        <w:rPr>
          <w:rFonts w:hint="eastAsia"/>
          <w:color w:val="auto"/>
          <w:vertAlign w:val="subscript"/>
          <w:lang w:val="en-US" w:eastAsia="zh-CN"/>
        </w:rPr>
        <w:t>2.5</w:t>
      </w:r>
      <w:r>
        <w:rPr>
          <w:rFonts w:hint="eastAsia"/>
          <w:color w:val="auto"/>
          <w:lang w:val="en-US" w:eastAsia="zh-CN"/>
        </w:rPr>
        <w:t>、碳组分分析仪（有机碳、元素碳）、水溶性离子PM</w:t>
      </w:r>
      <w:r>
        <w:rPr>
          <w:rFonts w:hint="eastAsia"/>
          <w:color w:val="auto"/>
          <w:vertAlign w:val="subscript"/>
          <w:lang w:val="en-US" w:eastAsia="zh-CN"/>
        </w:rPr>
        <w:t>10</w:t>
      </w:r>
      <w:r>
        <w:rPr>
          <w:rFonts w:hint="eastAsia"/>
          <w:color w:val="auto"/>
          <w:lang w:val="en-US" w:eastAsia="zh-CN"/>
        </w:rPr>
        <w:t>，气象多参数）、分析仪、挥发性有机物在线监测系统（117种VOCs组分）、甲醛监测仪、甲烷/非甲烷总烃在线分析仪等，建设水质监测系统（包括：水温、PH、溶解氧电导率、浊度、高锰酸盐、化学需氧量、氨氮、总磷、总氮）。</w:t>
      </w:r>
    </w:p>
    <w:p w14:paraId="02DCD918">
      <w:pPr>
        <w:pStyle w:val="6"/>
        <w:pageBreakBefore w:val="0"/>
        <w:wordWrap/>
        <w:bidi w:val="0"/>
        <w:adjustRightInd/>
        <w:snapToGrid/>
        <w:ind w:firstLine="480"/>
        <w:jc w:val="both"/>
        <w:rPr>
          <w:rFonts w:hint="eastAsia" w:eastAsia="宋体"/>
          <w:b/>
          <w:bCs/>
          <w:color w:val="auto"/>
          <w:lang w:val="en-US" w:eastAsia="zh-CN"/>
        </w:rPr>
      </w:pPr>
      <w:r>
        <w:rPr>
          <w:rFonts w:hint="eastAsia"/>
          <w:b/>
          <w:bCs/>
          <w:color w:val="auto"/>
          <w:lang w:val="en-US" w:eastAsia="zh-CN"/>
        </w:rPr>
        <w:t>新建污水处理厂1座及配套尾水排放管道：</w:t>
      </w:r>
    </w:p>
    <w:p w14:paraId="7147C8DE">
      <w:pPr>
        <w:pStyle w:val="6"/>
        <w:pageBreakBefore w:val="0"/>
        <w:wordWrap/>
        <w:bidi w:val="0"/>
        <w:adjustRightInd/>
        <w:snapToGrid/>
        <w:ind w:firstLine="480"/>
        <w:jc w:val="both"/>
        <w:rPr>
          <w:color w:val="auto"/>
          <w:kern w:val="2"/>
          <w:szCs w:val="24"/>
        </w:rPr>
      </w:pPr>
      <w:r>
        <w:rPr>
          <w:rFonts w:hint="eastAsia"/>
          <w:color w:val="auto"/>
          <w:szCs w:val="24"/>
          <w:lang w:val="en-US" w:eastAsia="zh-CN" w:bidi="ar"/>
        </w:rPr>
        <w:t>新建污水处理厂一座，本次一期设计处理规模为3000m³/d，池体地埋设置，</w:t>
      </w:r>
      <w:r>
        <w:rPr>
          <w:rFonts w:hint="eastAsia"/>
          <w:color w:val="auto"/>
          <w:szCs w:val="24"/>
          <w:lang w:bidi="ar"/>
        </w:rPr>
        <w:t>污水处理主体工艺为</w:t>
      </w:r>
      <w:r>
        <w:rPr>
          <w:rFonts w:hint="eastAsia"/>
          <w:color w:val="auto"/>
          <w:szCs w:val="24"/>
          <w:lang w:eastAsia="zh-CN" w:bidi="ar"/>
        </w:rPr>
        <w:t>“超细格栅+调节池+水解酸化池+生化池（</w:t>
      </w:r>
      <w:r>
        <w:rPr>
          <w:rFonts w:hint="eastAsia"/>
          <w:color w:val="auto"/>
          <w:szCs w:val="24"/>
          <w:lang w:val="en-US" w:eastAsia="zh-CN" w:bidi="ar"/>
        </w:rPr>
        <w:t>EBIS</w:t>
      </w:r>
      <w:r>
        <w:rPr>
          <w:rFonts w:hint="eastAsia"/>
          <w:color w:val="auto"/>
          <w:szCs w:val="24"/>
          <w:lang w:eastAsia="zh-CN" w:bidi="ar"/>
        </w:rPr>
        <w:t>）+二沉池+磁混凝沉淀池+深床反硝化+高级氧化深度处理+紫外线消毒”，</w:t>
      </w:r>
      <w:r>
        <w:rPr>
          <w:rFonts w:hint="eastAsia"/>
          <w:color w:val="auto"/>
          <w:szCs w:val="24"/>
          <w:lang w:val="en-US" w:eastAsia="zh-CN" w:bidi="ar"/>
        </w:rPr>
        <w:t>出水水质指标执行《城镇污水处理厂污染物排放标准》（GB18918-2002）一级A标准，尾水</w:t>
      </w:r>
      <w:r>
        <w:rPr>
          <w:rFonts w:hint="eastAsia"/>
          <w:color w:val="auto"/>
          <w:lang w:val="en-US" w:eastAsia="zh-CN"/>
        </w:rPr>
        <w:t>依托曾口镇污水处理厂已建排污口排入巴河</w:t>
      </w:r>
      <w:r>
        <w:rPr>
          <w:rFonts w:hint="eastAsia"/>
          <w:color w:val="auto"/>
          <w:lang w:eastAsia="zh-CN"/>
        </w:rPr>
        <w:t>（</w:t>
      </w:r>
      <w:r>
        <w:rPr>
          <w:rFonts w:hint="default" w:ascii="Times New Roman" w:hAnsi="Times New Roman" w:cs="Times New Roman"/>
          <w:color w:val="auto"/>
        </w:rPr>
        <w:t>排污口</w:t>
      </w:r>
      <w:r>
        <w:rPr>
          <w:rFonts w:hint="eastAsia" w:cs="Times New Roman"/>
          <w:color w:val="auto"/>
          <w:lang w:val="en-US" w:eastAsia="zh-CN"/>
        </w:rPr>
        <w:t>位于巴河左岸，地理坐标</w:t>
      </w:r>
      <w:r>
        <w:rPr>
          <w:rFonts w:hint="default" w:ascii="Times New Roman" w:hAnsi="Times New Roman" w:cs="Times New Roman"/>
          <w:color w:val="auto"/>
        </w:rPr>
        <w:t>：</w:t>
      </w:r>
      <w:r>
        <w:rPr>
          <w:rFonts w:hint="eastAsia" w:cs="Times New Roman"/>
          <w:color w:val="auto"/>
          <w:lang w:val="en-US" w:eastAsia="zh-CN"/>
        </w:rPr>
        <w:t>东经</w:t>
      </w:r>
      <w:r>
        <w:rPr>
          <w:rFonts w:hint="default" w:ascii="Times New Roman" w:hAnsi="Times New Roman" w:cs="Times New Roman"/>
          <w:color w:val="auto"/>
        </w:rPr>
        <w:t>106°53′3.26″</w:t>
      </w:r>
      <w:r>
        <w:rPr>
          <w:rFonts w:hint="eastAsia" w:cs="Times New Roman"/>
          <w:color w:val="auto"/>
          <w:lang w:eastAsia="zh-CN"/>
        </w:rPr>
        <w:t>，</w:t>
      </w:r>
      <w:r>
        <w:rPr>
          <w:rFonts w:hint="eastAsia" w:cs="Times New Roman"/>
          <w:color w:val="auto"/>
          <w:lang w:val="en-US" w:eastAsia="zh-CN"/>
        </w:rPr>
        <w:t>北纬</w:t>
      </w:r>
      <w:r>
        <w:rPr>
          <w:rFonts w:hint="default" w:ascii="Times New Roman" w:hAnsi="Times New Roman" w:cs="Times New Roman"/>
          <w:color w:val="auto"/>
        </w:rPr>
        <w:t>31°45′12.92″</w:t>
      </w:r>
      <w:r>
        <w:rPr>
          <w:rFonts w:hint="eastAsia"/>
          <w:color w:val="auto"/>
          <w:lang w:eastAsia="zh-CN"/>
        </w:rPr>
        <w:t>）</w:t>
      </w:r>
      <w:r>
        <w:rPr>
          <w:color w:val="auto"/>
          <w:kern w:val="2"/>
          <w:szCs w:val="24"/>
        </w:rPr>
        <w:t>。</w:t>
      </w:r>
    </w:p>
    <w:p w14:paraId="3C47751A">
      <w:pPr>
        <w:pStyle w:val="6"/>
        <w:pageBreakBefore w:val="0"/>
        <w:wordWrap/>
        <w:bidi w:val="0"/>
        <w:adjustRightInd/>
        <w:snapToGrid/>
        <w:ind w:firstLine="480"/>
        <w:jc w:val="both"/>
        <w:rPr>
          <w:rFonts w:hint="default" w:eastAsia="宋体"/>
          <w:color w:val="auto"/>
          <w:lang w:val="en-US" w:eastAsia="zh-CN"/>
        </w:rPr>
      </w:pPr>
      <w:r>
        <w:rPr>
          <w:rFonts w:hint="eastAsia"/>
          <w:color w:val="auto"/>
          <w:lang w:val="en-US" w:eastAsia="zh-CN"/>
        </w:rPr>
        <w:t>本次环评不涉及污水收集管线，尾水按照远期规模1.6万m³/d建设，管径DN600mm，总长约550m。</w:t>
      </w:r>
    </w:p>
    <w:p w14:paraId="70D4A668">
      <w:pPr>
        <w:pStyle w:val="6"/>
        <w:pageBreakBefore w:val="0"/>
        <w:wordWrap/>
        <w:bidi w:val="0"/>
        <w:adjustRightInd/>
        <w:snapToGrid/>
        <w:ind w:firstLine="480"/>
        <w:jc w:val="both"/>
        <w:rPr>
          <w:rFonts w:hint="eastAsia"/>
          <w:color w:val="auto"/>
        </w:rPr>
      </w:pPr>
      <w:r>
        <w:rPr>
          <w:rFonts w:hint="eastAsia"/>
          <w:color w:val="auto"/>
        </w:rPr>
        <w:t>本项目污泥处理采用污泥浓缩+加药调理+机械脱水的方式</w:t>
      </w:r>
      <w:r>
        <w:rPr>
          <w:rFonts w:hint="eastAsia"/>
          <w:color w:val="auto"/>
          <w:lang w:eastAsia="zh-CN"/>
        </w:rPr>
        <w:t>，污泥脱水后达到含水率 60%以下，泥饼先按照《危险废物鉴别标准 通则》（GB5085.7-2019）进行鉴定，如属于危险废物，则运至危废处置单位进行集中处置；如经鉴定污泥不具有危险特性，则外运至运送填埋场处置或制砖厂烧砖</w:t>
      </w:r>
      <w:r>
        <w:rPr>
          <w:rFonts w:hint="eastAsia"/>
          <w:color w:val="auto"/>
        </w:rPr>
        <w:t>。</w:t>
      </w:r>
    </w:p>
    <w:p w14:paraId="4B46EF81">
      <w:pPr>
        <w:pStyle w:val="17"/>
        <w:pageBreakBefore w:val="0"/>
        <w:wordWrap/>
        <w:bidi w:val="0"/>
        <w:adjustRightInd/>
        <w:snapToGrid/>
        <w:rPr>
          <w:rFonts w:hint="default"/>
          <w:color w:val="auto"/>
          <w:lang w:val="en-US" w:eastAsia="zh-CN"/>
        </w:rPr>
        <w:sectPr>
          <w:pgSz w:w="11906" w:h="16838"/>
          <w:pgMar w:top="1701" w:right="1701" w:bottom="1701" w:left="1701" w:header="1134" w:footer="1134" w:gutter="0"/>
          <w:pgBorders>
            <w:top w:val="none" w:sz="0" w:space="0"/>
            <w:left w:val="none" w:sz="0" w:space="0"/>
            <w:bottom w:val="none" w:sz="0" w:space="0"/>
            <w:right w:val="none" w:sz="0" w:space="0"/>
          </w:pgBorders>
          <w:pgNumType w:fmt="decimal"/>
          <w:cols w:space="720" w:num="1"/>
          <w:docGrid w:type="lines" w:linePitch="312" w:charSpace="0"/>
        </w:sectPr>
      </w:pPr>
    </w:p>
    <w:p w14:paraId="1FA57642">
      <w:pPr>
        <w:pageBreakBefore w:val="0"/>
        <w:wordWrap/>
        <w:bidi w:val="0"/>
        <w:adjustRightInd/>
        <w:snapToGrid/>
        <w:ind w:firstLine="480"/>
        <w:rPr>
          <w:rFonts w:hint="default" w:eastAsia="宋体"/>
          <w:b/>
          <w:bCs/>
          <w:color w:val="auto"/>
          <w:lang w:val="en-US" w:eastAsia="zh-CN"/>
        </w:rPr>
      </w:pPr>
      <w:r>
        <w:rPr>
          <w:rFonts w:hint="eastAsia"/>
          <w:b/>
          <w:bCs/>
          <w:color w:val="auto"/>
          <w:lang w:val="en-US" w:eastAsia="zh-CN"/>
        </w:rPr>
        <w:t>2、项目组成</w:t>
      </w:r>
    </w:p>
    <w:p w14:paraId="648CA993">
      <w:pPr>
        <w:pageBreakBefore w:val="0"/>
        <w:wordWrap/>
        <w:bidi w:val="0"/>
        <w:adjustRightInd/>
        <w:snapToGrid/>
        <w:ind w:firstLine="480"/>
        <w:rPr>
          <w:rFonts w:hint="eastAsia"/>
          <w:color w:val="auto"/>
        </w:rPr>
      </w:pPr>
      <w:r>
        <w:rPr>
          <w:color w:val="auto"/>
        </w:rPr>
        <w:t>拟建工程项目组成及主要环境问题详见下表。</w:t>
      </w:r>
    </w:p>
    <w:p w14:paraId="211966D0">
      <w:pPr>
        <w:pStyle w:val="19"/>
        <w:numPr>
          <w:ilvl w:val="0"/>
          <w:numId w:val="15"/>
        </w:numPr>
        <w:bidi w:val="0"/>
        <w:ind w:left="0" w:leftChars="0" w:firstLine="0" w:firstLineChars="0"/>
        <w:rPr>
          <w:color w:val="auto"/>
        </w:rPr>
      </w:pPr>
      <w:r>
        <w:rPr>
          <w:color w:val="auto"/>
        </w:rPr>
        <w:t>项目建设内容组成及主要环境问题</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593"/>
        <w:gridCol w:w="625"/>
        <w:gridCol w:w="205"/>
        <w:gridCol w:w="1299"/>
        <w:gridCol w:w="9395"/>
        <w:gridCol w:w="810"/>
        <w:gridCol w:w="1137"/>
      </w:tblGrid>
      <w:tr w14:paraId="50BC8D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210" w:type="pct"/>
            <w:vMerge w:val="restart"/>
            <w:tcBorders>
              <w:tl2br w:val="nil"/>
              <w:tr2bl w:val="nil"/>
            </w:tcBorders>
            <w:noWrap w:val="0"/>
            <w:vAlign w:val="center"/>
          </w:tcPr>
          <w:p w14:paraId="013C64A4">
            <w:pPr>
              <w:pageBreakBefore w:val="0"/>
              <w:wordWrap/>
              <w:bidi w:val="0"/>
              <w:adjustRightInd/>
              <w:snapToGrid/>
              <w:spacing w:line="300" w:lineRule="exact"/>
              <w:ind w:firstLine="0" w:firstLineChars="0"/>
              <w:jc w:val="center"/>
              <w:rPr>
                <w:b/>
                <w:bCs w:val="0"/>
                <w:color w:val="auto"/>
                <w:sz w:val="21"/>
                <w:szCs w:val="21"/>
              </w:rPr>
            </w:pPr>
            <w:r>
              <w:rPr>
                <w:b/>
                <w:bCs w:val="0"/>
                <w:color w:val="auto"/>
                <w:sz w:val="21"/>
                <w:szCs w:val="21"/>
              </w:rPr>
              <w:t>项目名称</w:t>
            </w:r>
          </w:p>
        </w:tc>
        <w:tc>
          <w:tcPr>
            <w:tcW w:w="4096" w:type="pct"/>
            <w:gridSpan w:val="4"/>
            <w:vMerge w:val="restart"/>
            <w:tcBorders>
              <w:tl2br w:val="nil"/>
              <w:tr2bl w:val="nil"/>
            </w:tcBorders>
            <w:noWrap w:val="0"/>
            <w:vAlign w:val="center"/>
          </w:tcPr>
          <w:p w14:paraId="6048BA02">
            <w:pPr>
              <w:pageBreakBefore w:val="0"/>
              <w:wordWrap/>
              <w:bidi w:val="0"/>
              <w:adjustRightInd/>
              <w:snapToGrid/>
              <w:spacing w:line="300" w:lineRule="exact"/>
              <w:ind w:firstLine="0" w:firstLineChars="0"/>
              <w:jc w:val="center"/>
              <w:rPr>
                <w:b/>
                <w:bCs w:val="0"/>
                <w:color w:val="auto"/>
                <w:sz w:val="21"/>
                <w:szCs w:val="21"/>
              </w:rPr>
            </w:pPr>
            <w:r>
              <w:rPr>
                <w:b/>
                <w:bCs w:val="0"/>
                <w:color w:val="auto"/>
                <w:sz w:val="21"/>
                <w:szCs w:val="21"/>
              </w:rPr>
              <w:t>建设内容</w:t>
            </w:r>
          </w:p>
        </w:tc>
        <w:tc>
          <w:tcPr>
            <w:tcW w:w="692" w:type="pct"/>
            <w:gridSpan w:val="2"/>
            <w:tcBorders>
              <w:tl2br w:val="nil"/>
              <w:tr2bl w:val="nil"/>
            </w:tcBorders>
            <w:noWrap w:val="0"/>
            <w:vAlign w:val="center"/>
          </w:tcPr>
          <w:p w14:paraId="4ADAAC35">
            <w:pPr>
              <w:pageBreakBefore w:val="0"/>
              <w:wordWrap/>
              <w:bidi w:val="0"/>
              <w:adjustRightInd/>
              <w:snapToGrid/>
              <w:spacing w:line="300" w:lineRule="exact"/>
              <w:ind w:firstLine="0" w:firstLineChars="0"/>
              <w:jc w:val="center"/>
              <w:rPr>
                <w:b/>
                <w:bCs w:val="0"/>
                <w:color w:val="auto"/>
                <w:sz w:val="21"/>
                <w:szCs w:val="21"/>
              </w:rPr>
            </w:pPr>
            <w:r>
              <w:rPr>
                <w:b/>
                <w:bCs w:val="0"/>
                <w:color w:val="auto"/>
                <w:sz w:val="21"/>
                <w:szCs w:val="21"/>
              </w:rPr>
              <w:t>主要环境问题</w:t>
            </w:r>
          </w:p>
        </w:tc>
      </w:tr>
      <w:tr w14:paraId="4EF9F4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210" w:type="pct"/>
            <w:vMerge w:val="continue"/>
            <w:tcBorders>
              <w:tl2br w:val="nil"/>
              <w:tr2bl w:val="nil"/>
            </w:tcBorders>
            <w:noWrap w:val="0"/>
            <w:vAlign w:val="center"/>
          </w:tcPr>
          <w:p w14:paraId="4E217D44">
            <w:pPr>
              <w:pageBreakBefore w:val="0"/>
              <w:wordWrap/>
              <w:bidi w:val="0"/>
              <w:adjustRightInd/>
              <w:snapToGrid/>
              <w:spacing w:line="300" w:lineRule="exact"/>
              <w:ind w:firstLine="0" w:firstLineChars="0"/>
              <w:rPr>
                <w:b/>
                <w:bCs w:val="0"/>
                <w:color w:val="auto"/>
                <w:sz w:val="21"/>
                <w:szCs w:val="21"/>
              </w:rPr>
            </w:pPr>
          </w:p>
        </w:tc>
        <w:tc>
          <w:tcPr>
            <w:tcW w:w="4096" w:type="pct"/>
            <w:gridSpan w:val="4"/>
            <w:vMerge w:val="continue"/>
            <w:tcBorders>
              <w:tl2br w:val="nil"/>
              <w:tr2bl w:val="nil"/>
            </w:tcBorders>
            <w:noWrap w:val="0"/>
            <w:vAlign w:val="center"/>
          </w:tcPr>
          <w:p w14:paraId="09B8172A">
            <w:pPr>
              <w:pageBreakBefore w:val="0"/>
              <w:wordWrap/>
              <w:bidi w:val="0"/>
              <w:adjustRightInd/>
              <w:snapToGrid/>
              <w:spacing w:line="300" w:lineRule="exact"/>
              <w:ind w:firstLine="0" w:firstLineChars="0"/>
              <w:rPr>
                <w:b/>
                <w:bCs w:val="0"/>
                <w:color w:val="auto"/>
                <w:sz w:val="21"/>
                <w:szCs w:val="21"/>
              </w:rPr>
            </w:pPr>
          </w:p>
        </w:tc>
        <w:tc>
          <w:tcPr>
            <w:tcW w:w="287" w:type="pct"/>
            <w:tcBorders>
              <w:tl2br w:val="nil"/>
              <w:tr2bl w:val="nil"/>
            </w:tcBorders>
            <w:noWrap w:val="0"/>
            <w:vAlign w:val="center"/>
          </w:tcPr>
          <w:p w14:paraId="2E01B0DC">
            <w:pPr>
              <w:pageBreakBefore w:val="0"/>
              <w:wordWrap/>
              <w:bidi w:val="0"/>
              <w:adjustRightInd/>
              <w:snapToGrid/>
              <w:spacing w:line="300" w:lineRule="exact"/>
              <w:ind w:firstLine="0" w:firstLineChars="0"/>
              <w:jc w:val="center"/>
              <w:rPr>
                <w:b/>
                <w:bCs w:val="0"/>
                <w:color w:val="auto"/>
                <w:sz w:val="21"/>
                <w:szCs w:val="21"/>
              </w:rPr>
            </w:pPr>
            <w:r>
              <w:rPr>
                <w:b/>
                <w:bCs w:val="0"/>
                <w:color w:val="auto"/>
                <w:sz w:val="21"/>
                <w:szCs w:val="21"/>
              </w:rPr>
              <w:t>施工期</w:t>
            </w:r>
          </w:p>
        </w:tc>
        <w:tc>
          <w:tcPr>
            <w:tcW w:w="404" w:type="pct"/>
            <w:tcBorders>
              <w:tl2br w:val="nil"/>
              <w:tr2bl w:val="nil"/>
            </w:tcBorders>
            <w:noWrap w:val="0"/>
            <w:vAlign w:val="center"/>
          </w:tcPr>
          <w:p w14:paraId="08AA9C44">
            <w:pPr>
              <w:pageBreakBefore w:val="0"/>
              <w:wordWrap/>
              <w:bidi w:val="0"/>
              <w:adjustRightInd/>
              <w:snapToGrid/>
              <w:spacing w:line="300" w:lineRule="exact"/>
              <w:ind w:firstLine="0" w:firstLineChars="0"/>
              <w:jc w:val="center"/>
              <w:rPr>
                <w:b/>
                <w:bCs w:val="0"/>
                <w:color w:val="auto"/>
                <w:sz w:val="21"/>
                <w:szCs w:val="21"/>
              </w:rPr>
            </w:pPr>
            <w:r>
              <w:rPr>
                <w:b/>
                <w:bCs w:val="0"/>
                <w:color w:val="auto"/>
                <w:sz w:val="21"/>
                <w:szCs w:val="21"/>
              </w:rPr>
              <w:t>运营期</w:t>
            </w:r>
          </w:p>
        </w:tc>
      </w:tr>
      <w:tr w14:paraId="511686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restart"/>
            <w:tcBorders>
              <w:tl2br w:val="nil"/>
              <w:tr2bl w:val="nil"/>
            </w:tcBorders>
            <w:noWrap w:val="0"/>
            <w:vAlign w:val="center"/>
          </w:tcPr>
          <w:p w14:paraId="3726BC4C">
            <w:pPr>
              <w:pageBreakBefore w:val="0"/>
              <w:wordWrap/>
              <w:bidi w:val="0"/>
              <w:adjustRightInd/>
              <w:snapToGrid/>
              <w:spacing w:line="300" w:lineRule="exact"/>
              <w:ind w:firstLine="0" w:firstLineChars="0"/>
              <w:jc w:val="center"/>
              <w:rPr>
                <w:color w:val="auto"/>
                <w:sz w:val="21"/>
                <w:szCs w:val="21"/>
              </w:rPr>
            </w:pPr>
            <w:r>
              <w:rPr>
                <w:color w:val="auto"/>
                <w:sz w:val="21"/>
                <w:szCs w:val="21"/>
              </w:rPr>
              <w:t>主体工程</w:t>
            </w:r>
          </w:p>
        </w:tc>
        <w:tc>
          <w:tcPr>
            <w:tcW w:w="222" w:type="pct"/>
            <w:vMerge w:val="restart"/>
            <w:tcBorders>
              <w:tl2br w:val="nil"/>
              <w:tr2bl w:val="nil"/>
            </w:tcBorders>
            <w:noWrap w:val="0"/>
            <w:vAlign w:val="center"/>
          </w:tcPr>
          <w:p w14:paraId="21CB3866">
            <w:pPr>
              <w:pageBreakBefore w:val="0"/>
              <w:wordWrap/>
              <w:bidi w:val="0"/>
              <w:adjustRightInd/>
              <w:snapToGrid/>
              <w:spacing w:line="300" w:lineRule="exact"/>
              <w:ind w:firstLine="0" w:firstLineChars="0"/>
              <w:jc w:val="center"/>
              <w:rPr>
                <w:color w:val="auto"/>
                <w:sz w:val="21"/>
                <w:szCs w:val="21"/>
              </w:rPr>
            </w:pPr>
            <w:r>
              <w:rPr>
                <w:color w:val="auto"/>
                <w:sz w:val="21"/>
                <w:szCs w:val="21"/>
              </w:rPr>
              <w:t>一级处理单元</w:t>
            </w:r>
          </w:p>
        </w:tc>
        <w:tc>
          <w:tcPr>
            <w:tcW w:w="534" w:type="pct"/>
            <w:gridSpan w:val="2"/>
            <w:tcBorders>
              <w:tl2br w:val="nil"/>
              <w:tr2bl w:val="nil"/>
            </w:tcBorders>
            <w:noWrap w:val="0"/>
            <w:vAlign w:val="center"/>
          </w:tcPr>
          <w:p w14:paraId="4F00A83C">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超细格栅池</w:t>
            </w:r>
          </w:p>
        </w:tc>
        <w:tc>
          <w:tcPr>
            <w:tcW w:w="3340" w:type="pct"/>
            <w:tcBorders>
              <w:tl2br w:val="nil"/>
              <w:tr2bl w:val="nil"/>
            </w:tcBorders>
            <w:noWrap w:val="0"/>
            <w:vAlign w:val="center"/>
          </w:tcPr>
          <w:p w14:paraId="6A3956DF">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新建</w:t>
            </w:r>
            <w:r>
              <w:rPr>
                <w:rFonts w:hint="eastAsia"/>
                <w:color w:val="auto"/>
                <w:sz w:val="21"/>
                <w:szCs w:val="21"/>
              </w:rPr>
              <w:t>格栅井1座</w:t>
            </w:r>
            <w:r>
              <w:rPr>
                <w:rFonts w:hint="eastAsia"/>
                <w:color w:val="auto"/>
                <w:sz w:val="21"/>
                <w:szCs w:val="21"/>
                <w:lang w:eastAsia="zh-CN"/>
              </w:rPr>
              <w:t>，</w:t>
            </w:r>
            <w:r>
              <w:rPr>
                <w:rFonts w:hint="eastAsia"/>
                <w:color w:val="auto"/>
                <w:sz w:val="21"/>
                <w:szCs w:val="21"/>
              </w:rPr>
              <w:t>钢筋砼结构</w:t>
            </w:r>
            <w:r>
              <w:rPr>
                <w:rFonts w:hint="eastAsia"/>
                <w:color w:val="auto"/>
                <w:sz w:val="21"/>
                <w:szCs w:val="21"/>
                <w:lang w:eastAsia="zh-CN"/>
              </w:rPr>
              <w:t>，</w:t>
            </w:r>
            <w:r>
              <w:rPr>
                <w:rFonts w:hint="eastAsia"/>
                <w:color w:val="auto"/>
                <w:sz w:val="21"/>
                <w:szCs w:val="21"/>
                <w:lang w:val="en-US" w:eastAsia="zh-CN"/>
              </w:rPr>
              <w:t>密闭设置，</w:t>
            </w:r>
            <w:r>
              <w:rPr>
                <w:rFonts w:hint="eastAsia"/>
                <w:color w:val="auto"/>
                <w:sz w:val="21"/>
                <w:szCs w:val="21"/>
              </w:rPr>
              <w:t>内分2格</w:t>
            </w:r>
            <w:r>
              <w:rPr>
                <w:rFonts w:hint="eastAsia"/>
                <w:color w:val="auto"/>
                <w:sz w:val="21"/>
                <w:szCs w:val="21"/>
                <w:lang w:eastAsia="zh-CN"/>
              </w:rPr>
              <w:t>，</w:t>
            </w:r>
            <w:r>
              <w:rPr>
                <w:rFonts w:hint="eastAsia"/>
                <w:color w:val="auto"/>
                <w:sz w:val="21"/>
                <w:szCs w:val="21"/>
                <w:lang w:val="en-US" w:eastAsia="zh-CN"/>
              </w:rPr>
              <w:t>设计规模：6000m³/d，总尺寸</w:t>
            </w:r>
            <w:r>
              <w:rPr>
                <w:rFonts w:hint="eastAsia"/>
                <w:color w:val="auto"/>
                <w:sz w:val="21"/>
                <w:szCs w:val="21"/>
              </w:rPr>
              <w:t>L×B×H=7.70×3.50×2.00m</w:t>
            </w:r>
            <w:r>
              <w:rPr>
                <w:rFonts w:hint="eastAsia"/>
                <w:color w:val="auto"/>
                <w:sz w:val="21"/>
                <w:szCs w:val="21"/>
                <w:lang w:eastAsia="zh-CN"/>
              </w:rPr>
              <w:t>；</w:t>
            </w:r>
            <w:r>
              <w:rPr>
                <w:rFonts w:hint="eastAsia"/>
                <w:color w:val="auto"/>
                <w:sz w:val="21"/>
                <w:szCs w:val="21"/>
                <w:lang w:val="en-US" w:eastAsia="zh-CN"/>
              </w:rPr>
              <w:t>网板孔径：b=1.0mm，过栅流速：v=0.6～1.0m/a，最大过栅水头损失：</w:t>
            </w:r>
            <w:r>
              <w:rPr>
                <w:rFonts w:hint="eastAsia" w:ascii="宋体" w:hAnsi="宋体" w:eastAsia="宋体" w:cs="宋体"/>
                <w:color w:val="auto"/>
                <w:sz w:val="21"/>
                <w:szCs w:val="21"/>
                <w:lang w:val="en-US" w:eastAsia="zh-CN"/>
              </w:rPr>
              <w:t>△</w:t>
            </w:r>
            <w:r>
              <w:rPr>
                <w:rFonts w:hint="eastAsia"/>
                <w:color w:val="auto"/>
                <w:sz w:val="21"/>
                <w:szCs w:val="21"/>
                <w:lang w:val="en-US" w:eastAsia="zh-CN"/>
              </w:rPr>
              <w:t>h=0.30m</w:t>
            </w:r>
          </w:p>
          <w:p w14:paraId="08306B4B">
            <w:pPr>
              <w:pageBreakBefore w:val="0"/>
              <w:wordWrap/>
              <w:bidi w:val="0"/>
              <w:adjustRightInd/>
              <w:snapToGrid/>
              <w:spacing w:line="300" w:lineRule="exact"/>
              <w:ind w:firstLine="0" w:firstLineChars="0"/>
              <w:rPr>
                <w:rFonts w:hint="eastAsia"/>
                <w:color w:val="auto"/>
                <w:sz w:val="21"/>
                <w:szCs w:val="21"/>
                <w:lang w:eastAsia="zh-CN"/>
              </w:rPr>
            </w:pPr>
            <w:r>
              <w:rPr>
                <w:rFonts w:hint="eastAsia"/>
                <w:b/>
                <w:bCs/>
                <w:color w:val="auto"/>
                <w:sz w:val="21"/>
                <w:szCs w:val="21"/>
                <w:lang w:val="en-US" w:eastAsia="zh-CN"/>
              </w:rPr>
              <w:t>主要功能：</w:t>
            </w:r>
            <w:r>
              <w:rPr>
                <w:rFonts w:hint="eastAsia"/>
                <w:color w:val="auto"/>
                <w:sz w:val="21"/>
                <w:szCs w:val="21"/>
                <w:lang w:val="en-US" w:eastAsia="zh-CN"/>
              </w:rPr>
              <w:t>去除污水中一些细小的颗粒及悬浮物，为二级处理创造必备条件；</w:t>
            </w:r>
          </w:p>
        </w:tc>
        <w:tc>
          <w:tcPr>
            <w:tcW w:w="287" w:type="pct"/>
            <w:vMerge w:val="restart"/>
            <w:tcBorders>
              <w:tl2br w:val="nil"/>
              <w:tr2bl w:val="nil"/>
            </w:tcBorders>
            <w:noWrap w:val="0"/>
            <w:vAlign w:val="center"/>
          </w:tcPr>
          <w:p w14:paraId="2889E743">
            <w:pPr>
              <w:pageBreakBefore w:val="0"/>
              <w:wordWrap/>
              <w:bidi w:val="0"/>
              <w:adjustRightInd/>
              <w:snapToGrid/>
              <w:spacing w:line="300" w:lineRule="exact"/>
              <w:ind w:firstLine="0" w:firstLineChars="0"/>
              <w:jc w:val="center"/>
              <w:rPr>
                <w:rFonts w:hint="eastAsia" w:eastAsia="宋体"/>
                <w:color w:val="auto"/>
                <w:sz w:val="21"/>
                <w:szCs w:val="21"/>
                <w:lang w:eastAsia="zh-CN"/>
              </w:rPr>
            </w:pPr>
            <w:r>
              <w:rPr>
                <w:color w:val="auto"/>
                <w:sz w:val="21"/>
                <w:szCs w:val="21"/>
              </w:rPr>
              <w:t>施工扬尘</w:t>
            </w:r>
            <w:r>
              <w:rPr>
                <w:rFonts w:hint="eastAsia"/>
                <w:color w:val="auto"/>
                <w:sz w:val="21"/>
                <w:szCs w:val="21"/>
                <w:lang w:eastAsia="zh-CN"/>
              </w:rPr>
              <w:t>、</w:t>
            </w:r>
          </w:p>
          <w:p w14:paraId="3FE4CBE7">
            <w:pPr>
              <w:pageBreakBefore w:val="0"/>
              <w:wordWrap/>
              <w:bidi w:val="0"/>
              <w:adjustRightInd/>
              <w:snapToGrid/>
              <w:spacing w:line="300" w:lineRule="exact"/>
              <w:ind w:firstLine="0" w:firstLineChars="0"/>
              <w:jc w:val="center"/>
              <w:rPr>
                <w:rFonts w:hint="eastAsia" w:eastAsia="宋体"/>
                <w:color w:val="auto"/>
                <w:sz w:val="21"/>
                <w:szCs w:val="21"/>
                <w:lang w:eastAsia="zh-CN"/>
              </w:rPr>
            </w:pPr>
            <w:r>
              <w:rPr>
                <w:color w:val="auto"/>
                <w:sz w:val="21"/>
                <w:szCs w:val="21"/>
              </w:rPr>
              <w:t>施工废水</w:t>
            </w:r>
            <w:r>
              <w:rPr>
                <w:rFonts w:hint="eastAsia"/>
                <w:color w:val="auto"/>
                <w:sz w:val="21"/>
                <w:szCs w:val="21"/>
                <w:lang w:eastAsia="zh-CN"/>
              </w:rPr>
              <w:t>、</w:t>
            </w:r>
          </w:p>
          <w:p w14:paraId="2EA6A75E">
            <w:pPr>
              <w:pageBreakBefore w:val="0"/>
              <w:wordWrap/>
              <w:bidi w:val="0"/>
              <w:adjustRightInd/>
              <w:snapToGrid/>
              <w:spacing w:line="300" w:lineRule="exact"/>
              <w:ind w:firstLine="0" w:firstLineChars="0"/>
              <w:jc w:val="center"/>
              <w:rPr>
                <w:rFonts w:hint="eastAsia" w:eastAsia="宋体"/>
                <w:color w:val="auto"/>
                <w:sz w:val="21"/>
                <w:szCs w:val="21"/>
                <w:lang w:eastAsia="zh-CN"/>
              </w:rPr>
            </w:pPr>
            <w:r>
              <w:rPr>
                <w:color w:val="auto"/>
                <w:sz w:val="21"/>
                <w:szCs w:val="21"/>
              </w:rPr>
              <w:t>施工噪声</w:t>
            </w:r>
            <w:r>
              <w:rPr>
                <w:rFonts w:hint="eastAsia"/>
                <w:color w:val="auto"/>
                <w:sz w:val="21"/>
                <w:szCs w:val="21"/>
                <w:lang w:eastAsia="zh-CN"/>
              </w:rPr>
              <w:t>、</w:t>
            </w:r>
          </w:p>
          <w:p w14:paraId="085CB3FC">
            <w:pPr>
              <w:pageBreakBefore w:val="0"/>
              <w:wordWrap/>
              <w:bidi w:val="0"/>
              <w:adjustRightInd/>
              <w:snapToGrid/>
              <w:spacing w:line="300" w:lineRule="exact"/>
              <w:ind w:firstLine="0" w:firstLineChars="0"/>
              <w:jc w:val="center"/>
              <w:rPr>
                <w:rFonts w:hint="eastAsia" w:eastAsia="宋体"/>
                <w:color w:val="auto"/>
                <w:sz w:val="21"/>
                <w:szCs w:val="21"/>
                <w:lang w:eastAsia="zh-CN"/>
              </w:rPr>
            </w:pPr>
            <w:r>
              <w:rPr>
                <w:color w:val="auto"/>
                <w:sz w:val="21"/>
                <w:szCs w:val="21"/>
              </w:rPr>
              <w:t>施工弃渣</w:t>
            </w:r>
            <w:r>
              <w:rPr>
                <w:rFonts w:hint="eastAsia"/>
                <w:color w:val="auto"/>
                <w:sz w:val="21"/>
                <w:szCs w:val="21"/>
                <w:lang w:eastAsia="zh-CN"/>
              </w:rPr>
              <w:t>、</w:t>
            </w:r>
          </w:p>
          <w:p w14:paraId="54D7A93E">
            <w:pPr>
              <w:pageBreakBefore w:val="0"/>
              <w:wordWrap/>
              <w:bidi w:val="0"/>
              <w:adjustRightInd/>
              <w:snapToGrid/>
              <w:spacing w:line="300" w:lineRule="exact"/>
              <w:ind w:firstLine="0" w:firstLineChars="0"/>
              <w:jc w:val="center"/>
              <w:rPr>
                <w:color w:val="auto"/>
                <w:sz w:val="21"/>
                <w:szCs w:val="21"/>
              </w:rPr>
            </w:pPr>
            <w:r>
              <w:rPr>
                <w:color w:val="auto"/>
                <w:sz w:val="21"/>
                <w:szCs w:val="21"/>
              </w:rPr>
              <w:t>水土流失</w:t>
            </w:r>
          </w:p>
        </w:tc>
        <w:tc>
          <w:tcPr>
            <w:tcW w:w="404" w:type="pct"/>
            <w:tcBorders>
              <w:tl2br w:val="nil"/>
              <w:tr2bl w:val="nil"/>
            </w:tcBorders>
            <w:noWrap w:val="0"/>
            <w:vAlign w:val="center"/>
          </w:tcPr>
          <w:p w14:paraId="02B09AD6">
            <w:pPr>
              <w:pageBreakBefore w:val="0"/>
              <w:wordWrap/>
              <w:bidi w:val="0"/>
              <w:adjustRightInd/>
              <w:snapToGrid/>
              <w:spacing w:line="300" w:lineRule="exact"/>
              <w:ind w:firstLine="0" w:firstLineChars="0"/>
              <w:rPr>
                <w:color w:val="auto"/>
                <w:sz w:val="21"/>
                <w:szCs w:val="21"/>
              </w:rPr>
            </w:pPr>
            <w:r>
              <w:rPr>
                <w:color w:val="auto"/>
                <w:sz w:val="21"/>
                <w:szCs w:val="21"/>
              </w:rPr>
              <w:t>废水、废气、格栅渣</w:t>
            </w:r>
          </w:p>
        </w:tc>
      </w:tr>
      <w:tr w14:paraId="7B11FE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42F75A0C">
            <w:pPr>
              <w:pageBreakBefore w:val="0"/>
              <w:wordWrap/>
              <w:bidi w:val="0"/>
              <w:adjustRightInd/>
              <w:snapToGrid/>
              <w:spacing w:line="300" w:lineRule="exact"/>
              <w:ind w:firstLine="0" w:firstLineChars="0"/>
              <w:rPr>
                <w:color w:val="auto"/>
                <w:sz w:val="21"/>
                <w:szCs w:val="21"/>
              </w:rPr>
            </w:pPr>
          </w:p>
        </w:tc>
        <w:tc>
          <w:tcPr>
            <w:tcW w:w="222" w:type="pct"/>
            <w:vMerge w:val="continue"/>
            <w:tcBorders>
              <w:tl2br w:val="nil"/>
              <w:tr2bl w:val="nil"/>
            </w:tcBorders>
            <w:noWrap w:val="0"/>
            <w:vAlign w:val="center"/>
          </w:tcPr>
          <w:p w14:paraId="4AE3C8A3">
            <w:pPr>
              <w:pageBreakBefore w:val="0"/>
              <w:wordWrap/>
              <w:bidi w:val="0"/>
              <w:adjustRightInd/>
              <w:snapToGrid/>
              <w:spacing w:line="300" w:lineRule="exact"/>
              <w:ind w:firstLine="0" w:firstLineChars="0"/>
              <w:jc w:val="center"/>
              <w:rPr>
                <w:color w:val="auto"/>
                <w:sz w:val="21"/>
                <w:szCs w:val="21"/>
              </w:rPr>
            </w:pPr>
          </w:p>
        </w:tc>
        <w:tc>
          <w:tcPr>
            <w:tcW w:w="534" w:type="pct"/>
            <w:gridSpan w:val="2"/>
            <w:tcBorders>
              <w:tl2br w:val="nil"/>
              <w:tr2bl w:val="nil"/>
            </w:tcBorders>
            <w:noWrap w:val="0"/>
            <w:vAlign w:val="center"/>
          </w:tcPr>
          <w:p w14:paraId="11625CDB">
            <w:pPr>
              <w:pageBreakBefore w:val="0"/>
              <w:wordWrap/>
              <w:bidi w:val="0"/>
              <w:adjustRightInd/>
              <w:snapToGrid/>
              <w:spacing w:line="300" w:lineRule="exact"/>
              <w:ind w:firstLine="0" w:firstLineChars="0"/>
              <w:jc w:val="center"/>
              <w:rPr>
                <w:rFonts w:hint="eastAsia"/>
                <w:color w:val="auto"/>
                <w:sz w:val="21"/>
                <w:szCs w:val="21"/>
                <w:lang w:val="en-US" w:eastAsia="zh-CN"/>
              </w:rPr>
            </w:pPr>
            <w:r>
              <w:rPr>
                <w:rFonts w:hint="eastAsia"/>
                <w:color w:val="auto"/>
                <w:sz w:val="21"/>
                <w:szCs w:val="21"/>
                <w:lang w:val="en-US" w:eastAsia="zh-CN"/>
              </w:rPr>
              <w:t>污水处理厂调节池</w:t>
            </w:r>
          </w:p>
        </w:tc>
        <w:tc>
          <w:tcPr>
            <w:tcW w:w="3340" w:type="pct"/>
            <w:tcBorders>
              <w:tl2br w:val="nil"/>
              <w:tr2bl w:val="nil"/>
            </w:tcBorders>
            <w:noWrap w:val="0"/>
            <w:vAlign w:val="center"/>
          </w:tcPr>
          <w:p w14:paraId="3DE2A86B">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b w:val="0"/>
                <w:bCs/>
                <w:i w:val="0"/>
                <w:iCs/>
                <w:color w:val="auto"/>
                <w:sz w:val="21"/>
                <w:szCs w:val="21"/>
                <w:lang w:val="en-US" w:eastAsia="zh-CN"/>
              </w:rPr>
              <w:t>新建调节池1座，钢筋砼结构，地埋式加盖密闭，内分2格，</w:t>
            </w:r>
            <w:r>
              <w:rPr>
                <w:rFonts w:hint="eastAsia"/>
                <w:color w:val="auto"/>
                <w:sz w:val="21"/>
                <w:szCs w:val="21"/>
                <w:lang w:val="en-US" w:eastAsia="zh-CN"/>
              </w:rPr>
              <w:t>设计规模：6000m³/d（预留二期容量），</w:t>
            </w:r>
            <w:r>
              <w:rPr>
                <w:rFonts w:hint="eastAsia"/>
                <w:b w:val="0"/>
                <w:bCs/>
                <w:i w:val="0"/>
                <w:iCs/>
                <w:color w:val="auto"/>
                <w:sz w:val="21"/>
                <w:szCs w:val="21"/>
                <w:lang w:val="en-US" w:eastAsia="zh-CN"/>
              </w:rPr>
              <w:t>总</w:t>
            </w:r>
            <w:r>
              <w:rPr>
                <w:rFonts w:hint="eastAsia"/>
                <w:color w:val="auto"/>
                <w:sz w:val="21"/>
                <w:szCs w:val="21"/>
                <w:lang w:val="en-US" w:eastAsia="zh-CN"/>
              </w:rPr>
              <w:t>尺寸</w:t>
            </w:r>
            <w:r>
              <w:rPr>
                <w:rFonts w:hint="eastAsia"/>
                <w:b w:val="0"/>
                <w:bCs/>
                <w:i w:val="0"/>
                <w:iCs/>
                <w:color w:val="auto"/>
                <w:sz w:val="21"/>
                <w:szCs w:val="21"/>
                <w:lang w:val="en-US" w:eastAsia="zh-CN"/>
              </w:rPr>
              <w:t>L×B×H=21.10m×14.00m×8.05m，有效水深6.8m；</w:t>
            </w:r>
            <w:r>
              <w:rPr>
                <w:rFonts w:hint="eastAsia"/>
                <w:color w:val="auto"/>
                <w:sz w:val="21"/>
                <w:szCs w:val="21"/>
                <w:lang w:val="en-US" w:eastAsia="zh-CN"/>
              </w:rPr>
              <w:t>有效容积2000m³，停留时间：8.0h；</w:t>
            </w:r>
          </w:p>
          <w:p w14:paraId="0818212C">
            <w:pPr>
              <w:pageBreakBefore w:val="0"/>
              <w:wordWrap/>
              <w:bidi w:val="0"/>
              <w:adjustRightInd/>
              <w:snapToGrid/>
              <w:spacing w:line="300" w:lineRule="exact"/>
              <w:ind w:firstLine="0" w:firstLineChars="0"/>
              <w:rPr>
                <w:rFonts w:hint="eastAsia"/>
                <w:b/>
                <w:bCs/>
                <w:color w:val="auto"/>
                <w:sz w:val="21"/>
                <w:szCs w:val="21"/>
                <w:lang w:val="en-US" w:eastAsia="zh-CN"/>
              </w:rPr>
            </w:pPr>
            <w:r>
              <w:rPr>
                <w:rFonts w:hint="eastAsia"/>
                <w:b/>
                <w:bCs/>
                <w:color w:val="auto"/>
                <w:sz w:val="21"/>
                <w:szCs w:val="21"/>
                <w:lang w:val="en-US" w:eastAsia="zh-CN"/>
              </w:rPr>
              <w:t>主要功能：</w:t>
            </w:r>
            <w:r>
              <w:rPr>
                <w:rFonts w:hint="eastAsia"/>
                <w:color w:val="auto"/>
                <w:sz w:val="21"/>
                <w:szCs w:val="21"/>
                <w:lang w:val="en-US" w:eastAsia="zh-CN"/>
              </w:rPr>
              <w:t>将不同工段，不同时段排出的废水进行混合搅拌，使废水的水质，水量保持稳定，减少来水波动，为后续处理创造稳定条件。</w:t>
            </w:r>
          </w:p>
        </w:tc>
        <w:tc>
          <w:tcPr>
            <w:tcW w:w="287" w:type="pct"/>
            <w:vMerge w:val="continue"/>
            <w:tcBorders>
              <w:tl2br w:val="nil"/>
              <w:tr2bl w:val="nil"/>
            </w:tcBorders>
            <w:noWrap w:val="0"/>
            <w:vAlign w:val="center"/>
          </w:tcPr>
          <w:p w14:paraId="3919EB14">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6202819C">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废水、废气</w:t>
            </w:r>
          </w:p>
        </w:tc>
      </w:tr>
      <w:tr w14:paraId="51270D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4B9CCFF7">
            <w:pPr>
              <w:pageBreakBefore w:val="0"/>
              <w:wordWrap/>
              <w:bidi w:val="0"/>
              <w:adjustRightInd/>
              <w:snapToGrid/>
              <w:spacing w:line="300" w:lineRule="exact"/>
              <w:ind w:firstLine="0" w:firstLineChars="0"/>
              <w:rPr>
                <w:color w:val="auto"/>
                <w:sz w:val="21"/>
                <w:szCs w:val="21"/>
              </w:rPr>
            </w:pPr>
          </w:p>
        </w:tc>
        <w:tc>
          <w:tcPr>
            <w:tcW w:w="222" w:type="pct"/>
            <w:vMerge w:val="continue"/>
            <w:tcBorders>
              <w:tl2br w:val="nil"/>
              <w:tr2bl w:val="nil"/>
            </w:tcBorders>
            <w:noWrap w:val="0"/>
            <w:vAlign w:val="center"/>
          </w:tcPr>
          <w:p w14:paraId="56A2112A">
            <w:pPr>
              <w:pageBreakBefore w:val="0"/>
              <w:wordWrap/>
              <w:bidi w:val="0"/>
              <w:adjustRightInd/>
              <w:snapToGrid/>
              <w:spacing w:line="300" w:lineRule="exact"/>
              <w:ind w:firstLine="0" w:firstLineChars="0"/>
              <w:jc w:val="center"/>
              <w:rPr>
                <w:color w:val="auto"/>
                <w:sz w:val="21"/>
                <w:szCs w:val="21"/>
              </w:rPr>
            </w:pPr>
          </w:p>
        </w:tc>
        <w:tc>
          <w:tcPr>
            <w:tcW w:w="534" w:type="pct"/>
            <w:gridSpan w:val="2"/>
            <w:tcBorders>
              <w:tl2br w:val="nil"/>
              <w:tr2bl w:val="nil"/>
            </w:tcBorders>
            <w:noWrap w:val="0"/>
            <w:vAlign w:val="center"/>
          </w:tcPr>
          <w:p w14:paraId="01097D99">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水解酸化池</w:t>
            </w:r>
          </w:p>
        </w:tc>
        <w:tc>
          <w:tcPr>
            <w:tcW w:w="3340" w:type="pct"/>
            <w:tcBorders>
              <w:tl2br w:val="nil"/>
              <w:tr2bl w:val="nil"/>
            </w:tcBorders>
            <w:noWrap w:val="0"/>
            <w:vAlign w:val="center"/>
          </w:tcPr>
          <w:p w14:paraId="0E89201E">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b w:val="0"/>
                <w:bCs/>
                <w:i w:val="0"/>
                <w:iCs/>
                <w:color w:val="auto"/>
                <w:sz w:val="21"/>
                <w:szCs w:val="21"/>
                <w:lang w:val="en-US" w:eastAsia="zh-CN"/>
              </w:rPr>
              <w:t>1座，钢筋砼结构，地面密闭设置，</w:t>
            </w:r>
            <w:r>
              <w:rPr>
                <w:rFonts w:hint="eastAsia"/>
                <w:color w:val="auto"/>
                <w:sz w:val="21"/>
                <w:szCs w:val="21"/>
                <w:lang w:val="en-US" w:eastAsia="zh-CN"/>
              </w:rPr>
              <w:t>设计规模：3000m³/d，总尺寸</w:t>
            </w:r>
            <w:r>
              <w:rPr>
                <w:rFonts w:hint="eastAsia"/>
                <w:b w:val="0"/>
                <w:bCs/>
                <w:i w:val="0"/>
                <w:iCs/>
                <w:color w:val="auto"/>
                <w:sz w:val="21"/>
                <w:szCs w:val="21"/>
                <w:lang w:val="en-US" w:eastAsia="zh-CN"/>
              </w:rPr>
              <w:t>L×B×H=33.20m×8.4m×6.6m，</w:t>
            </w:r>
            <w:r>
              <w:rPr>
                <w:rFonts w:hint="eastAsia"/>
                <w:color w:val="auto"/>
                <w:sz w:val="21"/>
                <w:szCs w:val="21"/>
                <w:lang w:val="en-US" w:eastAsia="zh-CN"/>
              </w:rPr>
              <w:t>有效容积1000m³，停留时间：10.0h；</w:t>
            </w:r>
          </w:p>
          <w:p w14:paraId="79CF5474">
            <w:pPr>
              <w:pageBreakBefore w:val="0"/>
              <w:wordWrap/>
              <w:bidi w:val="0"/>
              <w:adjustRightInd/>
              <w:snapToGrid/>
              <w:spacing w:line="300" w:lineRule="exact"/>
              <w:ind w:firstLine="0" w:firstLineChars="0"/>
              <w:rPr>
                <w:color w:val="auto"/>
                <w:sz w:val="21"/>
                <w:szCs w:val="21"/>
              </w:rPr>
            </w:pPr>
            <w:r>
              <w:rPr>
                <w:rFonts w:hint="eastAsia"/>
                <w:b/>
                <w:bCs/>
                <w:color w:val="auto"/>
                <w:sz w:val="21"/>
                <w:szCs w:val="21"/>
                <w:lang w:val="en-US" w:eastAsia="zh-CN"/>
              </w:rPr>
              <w:t>主要功能：</w:t>
            </w:r>
            <w:r>
              <w:rPr>
                <w:rFonts w:hint="eastAsia"/>
                <w:color w:val="auto"/>
                <w:sz w:val="21"/>
                <w:szCs w:val="21"/>
                <w:lang w:val="en-US" w:eastAsia="zh-CN"/>
              </w:rPr>
              <w:t>将水中的固体，大分子和不易生物降解的有机物降解为易于生物降解的小分子有机物，提高废水的可生化性。</w:t>
            </w:r>
          </w:p>
        </w:tc>
        <w:tc>
          <w:tcPr>
            <w:tcW w:w="287" w:type="pct"/>
            <w:vMerge w:val="continue"/>
            <w:tcBorders>
              <w:tl2br w:val="nil"/>
              <w:tr2bl w:val="nil"/>
            </w:tcBorders>
            <w:noWrap w:val="0"/>
            <w:vAlign w:val="center"/>
          </w:tcPr>
          <w:p w14:paraId="523A6160">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4679DA46">
            <w:pPr>
              <w:pageBreakBefore w:val="0"/>
              <w:wordWrap/>
              <w:bidi w:val="0"/>
              <w:adjustRightInd/>
              <w:snapToGrid/>
              <w:spacing w:line="300" w:lineRule="exact"/>
              <w:ind w:firstLine="0" w:firstLineChars="0"/>
              <w:jc w:val="center"/>
              <w:rPr>
                <w:color w:val="auto"/>
                <w:sz w:val="21"/>
                <w:szCs w:val="21"/>
              </w:rPr>
            </w:pPr>
            <w:r>
              <w:rPr>
                <w:color w:val="auto"/>
                <w:sz w:val="21"/>
                <w:szCs w:val="21"/>
              </w:rPr>
              <w:t>废水、废气</w:t>
            </w:r>
          </w:p>
        </w:tc>
      </w:tr>
      <w:tr w14:paraId="7705DF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5F237B7B">
            <w:pPr>
              <w:pageBreakBefore w:val="0"/>
              <w:wordWrap/>
              <w:bidi w:val="0"/>
              <w:adjustRightInd/>
              <w:snapToGrid/>
              <w:spacing w:line="300" w:lineRule="exact"/>
              <w:ind w:firstLine="0" w:firstLineChars="0"/>
              <w:rPr>
                <w:color w:val="auto"/>
                <w:sz w:val="21"/>
                <w:szCs w:val="21"/>
              </w:rPr>
            </w:pPr>
          </w:p>
        </w:tc>
        <w:tc>
          <w:tcPr>
            <w:tcW w:w="222" w:type="pct"/>
            <w:vMerge w:val="restart"/>
            <w:tcBorders>
              <w:tl2br w:val="nil"/>
              <w:tr2bl w:val="nil"/>
            </w:tcBorders>
            <w:noWrap w:val="0"/>
            <w:vAlign w:val="center"/>
          </w:tcPr>
          <w:p w14:paraId="6479B4E7">
            <w:pPr>
              <w:pageBreakBefore w:val="0"/>
              <w:wordWrap/>
              <w:bidi w:val="0"/>
              <w:adjustRightInd/>
              <w:snapToGrid/>
              <w:spacing w:line="300" w:lineRule="exact"/>
              <w:ind w:firstLine="0" w:firstLineChars="0"/>
              <w:jc w:val="center"/>
              <w:rPr>
                <w:rFonts w:hint="eastAsia" w:eastAsia="宋体"/>
                <w:color w:val="auto"/>
                <w:sz w:val="21"/>
                <w:szCs w:val="21"/>
                <w:lang w:eastAsia="zh-CN"/>
              </w:rPr>
            </w:pPr>
            <w:r>
              <w:rPr>
                <w:color w:val="auto"/>
                <w:sz w:val="21"/>
                <w:szCs w:val="21"/>
              </w:rPr>
              <w:t>二级处理单元</w:t>
            </w:r>
          </w:p>
        </w:tc>
        <w:tc>
          <w:tcPr>
            <w:tcW w:w="534" w:type="pct"/>
            <w:gridSpan w:val="2"/>
            <w:tcBorders>
              <w:tl2br w:val="nil"/>
              <w:tr2bl w:val="nil"/>
            </w:tcBorders>
            <w:noWrap w:val="0"/>
            <w:vAlign w:val="center"/>
          </w:tcPr>
          <w:p w14:paraId="330714C4">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EBIS生化池-二沉池</w:t>
            </w:r>
          </w:p>
        </w:tc>
        <w:tc>
          <w:tcPr>
            <w:tcW w:w="3340" w:type="pct"/>
            <w:tcBorders>
              <w:tl2br w:val="nil"/>
              <w:tr2bl w:val="nil"/>
            </w:tcBorders>
            <w:noWrap w:val="0"/>
            <w:vAlign w:val="center"/>
          </w:tcPr>
          <w:p w14:paraId="3ECD9AFB">
            <w:pPr>
              <w:pageBreakBefore w:val="0"/>
              <w:wordWrap/>
              <w:bidi w:val="0"/>
              <w:adjustRightInd/>
              <w:snapToGrid/>
              <w:spacing w:line="300" w:lineRule="exact"/>
              <w:ind w:firstLine="0" w:firstLineChars="0"/>
              <w:rPr>
                <w:rFonts w:hint="default"/>
                <w:b w:val="0"/>
                <w:bCs/>
                <w:i w:val="0"/>
                <w:iCs/>
                <w:color w:val="auto"/>
                <w:sz w:val="21"/>
                <w:szCs w:val="21"/>
                <w:lang w:val="en-US" w:eastAsia="zh-CN"/>
              </w:rPr>
            </w:pPr>
            <w:r>
              <w:rPr>
                <w:rFonts w:hint="eastAsia"/>
                <w:color w:val="auto"/>
                <w:sz w:val="21"/>
                <w:szCs w:val="21"/>
                <w:lang w:val="en-US" w:eastAsia="zh-CN"/>
              </w:rPr>
              <w:t>设置</w:t>
            </w:r>
            <w:r>
              <w:rPr>
                <w:rFonts w:hint="eastAsia"/>
                <w:color w:val="auto"/>
                <w:sz w:val="21"/>
                <w:szCs w:val="21"/>
              </w:rPr>
              <w:t>单组微氧低循环生化池</w:t>
            </w:r>
            <w:r>
              <w:rPr>
                <w:rFonts w:hint="eastAsia"/>
                <w:b w:val="0"/>
                <w:bCs/>
                <w:i w:val="0"/>
                <w:iCs/>
                <w:color w:val="auto"/>
                <w:sz w:val="21"/>
                <w:szCs w:val="21"/>
                <w:lang w:val="en-US" w:eastAsia="zh-CN"/>
              </w:rPr>
              <w:t>2座，钢筋砼结构，地面密闭设置，总尺寸L×B×H=32.70m×20.8m×6.3m，</w:t>
            </w:r>
            <w:r>
              <w:rPr>
                <w:rFonts w:hint="eastAsia"/>
                <w:color w:val="auto"/>
                <w:sz w:val="21"/>
                <w:szCs w:val="21"/>
                <w:lang w:val="en-US" w:eastAsia="zh-CN"/>
              </w:rPr>
              <w:t>设计规模：3000m³/d，</w:t>
            </w:r>
            <w:r>
              <w:rPr>
                <w:rFonts w:hint="eastAsia"/>
                <w:b w:val="0"/>
                <w:bCs w:val="0"/>
                <w:color w:val="auto"/>
                <w:sz w:val="21"/>
                <w:szCs w:val="21"/>
                <w:lang w:val="en-US" w:eastAsia="zh-CN"/>
              </w:rPr>
              <w:t>包括</w:t>
            </w:r>
            <w:r>
              <w:rPr>
                <w:rFonts w:hint="eastAsia"/>
                <w:b/>
                <w:bCs/>
                <w:color w:val="auto"/>
                <w:sz w:val="21"/>
                <w:szCs w:val="21"/>
                <w:lang w:val="en-US" w:eastAsia="zh-CN"/>
              </w:rPr>
              <w:t>厌氧区、低氧曝气区和沉淀区</w:t>
            </w:r>
            <w:r>
              <w:rPr>
                <w:rFonts w:hint="eastAsia"/>
                <w:b w:val="0"/>
                <w:bCs w:val="0"/>
                <w:color w:val="auto"/>
                <w:sz w:val="21"/>
                <w:szCs w:val="21"/>
                <w:lang w:val="en-US" w:eastAsia="zh-CN"/>
              </w:rPr>
              <w:t>等单元，</w:t>
            </w:r>
            <w:r>
              <w:rPr>
                <w:rFonts w:hint="eastAsia"/>
                <w:color w:val="auto"/>
                <w:sz w:val="21"/>
                <w:szCs w:val="21"/>
                <w:lang w:val="en-US" w:eastAsia="zh-CN"/>
              </w:rPr>
              <w:t>其中：</w:t>
            </w:r>
          </w:p>
          <w:p w14:paraId="1C1036D9">
            <w:pPr>
              <w:pageBreakBefore w:val="0"/>
              <w:wordWrap/>
              <w:bidi w:val="0"/>
              <w:adjustRightInd/>
              <w:snapToGrid/>
              <w:spacing w:line="300" w:lineRule="exact"/>
              <w:ind w:firstLine="0" w:firstLineChars="0"/>
              <w:rPr>
                <w:rFonts w:hint="default"/>
                <w:b w:val="0"/>
                <w:bCs/>
                <w:i w:val="0"/>
                <w:iCs/>
                <w:color w:val="auto"/>
                <w:sz w:val="21"/>
                <w:szCs w:val="21"/>
                <w:lang w:val="en-US" w:eastAsia="zh-CN"/>
              </w:rPr>
            </w:pPr>
            <w:r>
              <w:rPr>
                <w:rFonts w:hint="eastAsia"/>
                <w:b/>
                <w:bCs w:val="0"/>
                <w:i w:val="0"/>
                <w:iCs/>
                <w:color w:val="auto"/>
                <w:sz w:val="21"/>
                <w:szCs w:val="21"/>
                <w:lang w:val="en-US" w:eastAsia="zh-CN"/>
              </w:rPr>
              <w:t>1#池：</w:t>
            </w:r>
            <w:r>
              <w:rPr>
                <w:rFonts w:hint="eastAsia"/>
                <w:b w:val="0"/>
                <w:bCs/>
                <w:i w:val="0"/>
                <w:iCs/>
                <w:color w:val="auto"/>
                <w:sz w:val="21"/>
                <w:szCs w:val="21"/>
                <w:lang w:val="en-US" w:eastAsia="zh-CN"/>
              </w:rPr>
              <w:t>设计规模：单池1500</w:t>
            </w:r>
            <w:r>
              <w:rPr>
                <w:rFonts w:hint="eastAsia"/>
                <w:color w:val="auto"/>
                <w:sz w:val="21"/>
                <w:szCs w:val="21"/>
                <w:lang w:val="en-US" w:eastAsia="zh-CN"/>
              </w:rPr>
              <w:t>m³/d，生物选择区停留时间：1.04h，厌氧区停留时间：5.38h，低氧曝气区停留时间：14.08h，澄清区表面负荷：1.177m³/m²</w:t>
            </w:r>
            <w:r>
              <w:rPr>
                <w:rFonts w:hint="eastAsia" w:ascii="宋体" w:hAnsi="宋体" w:eastAsia="宋体" w:cs="宋体"/>
                <w:color w:val="auto"/>
                <w:sz w:val="21"/>
                <w:szCs w:val="21"/>
                <w:lang w:val="en-US" w:eastAsia="zh-CN"/>
              </w:rPr>
              <w:t>·</w:t>
            </w:r>
            <w:r>
              <w:rPr>
                <w:rFonts w:hint="eastAsia"/>
                <w:color w:val="auto"/>
                <w:sz w:val="21"/>
                <w:szCs w:val="21"/>
                <w:lang w:val="en-US" w:eastAsia="zh-CN"/>
              </w:rPr>
              <w:t>h；</w:t>
            </w:r>
          </w:p>
          <w:p w14:paraId="52C6E1A2">
            <w:pPr>
              <w:pageBreakBefore w:val="0"/>
              <w:wordWrap/>
              <w:bidi w:val="0"/>
              <w:adjustRightInd/>
              <w:snapToGrid/>
              <w:spacing w:line="300" w:lineRule="exact"/>
              <w:ind w:firstLine="0" w:firstLineChars="0"/>
              <w:rPr>
                <w:rFonts w:hint="default"/>
                <w:b w:val="0"/>
                <w:bCs/>
                <w:i w:val="0"/>
                <w:iCs/>
                <w:color w:val="auto"/>
                <w:sz w:val="21"/>
                <w:szCs w:val="21"/>
                <w:lang w:val="en-US" w:eastAsia="zh-CN"/>
              </w:rPr>
            </w:pPr>
            <w:r>
              <w:rPr>
                <w:rFonts w:hint="eastAsia"/>
                <w:b/>
                <w:bCs w:val="0"/>
                <w:i w:val="0"/>
                <w:iCs/>
                <w:color w:val="auto"/>
                <w:sz w:val="21"/>
                <w:szCs w:val="21"/>
                <w:lang w:val="en-US" w:eastAsia="zh-CN"/>
              </w:rPr>
              <w:t>2#池：</w:t>
            </w:r>
            <w:r>
              <w:rPr>
                <w:rFonts w:hint="eastAsia"/>
                <w:b w:val="0"/>
                <w:bCs/>
                <w:i w:val="0"/>
                <w:iCs/>
                <w:color w:val="auto"/>
                <w:sz w:val="21"/>
                <w:szCs w:val="21"/>
                <w:lang w:val="en-US" w:eastAsia="zh-CN"/>
              </w:rPr>
              <w:t>设计规模：单池750</w:t>
            </w:r>
            <w:r>
              <w:rPr>
                <w:rFonts w:hint="eastAsia"/>
                <w:color w:val="auto"/>
                <w:sz w:val="21"/>
                <w:szCs w:val="21"/>
                <w:lang w:val="en-US" w:eastAsia="zh-CN"/>
              </w:rPr>
              <w:t>m³/d，厌氧区停留时间：6.34h，低氧曝气区停留时间：14.17h，澄清区表面负荷：1.155m³/m²</w:t>
            </w:r>
            <w:r>
              <w:rPr>
                <w:rFonts w:hint="eastAsia" w:ascii="宋体" w:hAnsi="宋体" w:eastAsia="宋体" w:cs="宋体"/>
                <w:color w:val="auto"/>
                <w:sz w:val="21"/>
                <w:szCs w:val="21"/>
                <w:lang w:val="en-US" w:eastAsia="zh-CN"/>
              </w:rPr>
              <w:t>·</w:t>
            </w:r>
            <w:r>
              <w:rPr>
                <w:rFonts w:hint="eastAsia"/>
                <w:color w:val="auto"/>
                <w:sz w:val="21"/>
                <w:szCs w:val="21"/>
                <w:lang w:val="en-US" w:eastAsia="zh-CN"/>
              </w:rPr>
              <w:t>h；</w:t>
            </w:r>
          </w:p>
          <w:p w14:paraId="15E632A9">
            <w:pPr>
              <w:pageBreakBefore w:val="0"/>
              <w:wordWrap/>
              <w:bidi w:val="0"/>
              <w:adjustRightInd/>
              <w:snapToGrid/>
              <w:spacing w:line="300" w:lineRule="exact"/>
              <w:ind w:firstLine="0" w:firstLineChars="0"/>
              <w:rPr>
                <w:rFonts w:hint="default" w:eastAsia="宋体"/>
                <w:color w:val="auto"/>
                <w:sz w:val="21"/>
                <w:szCs w:val="21"/>
                <w:lang w:val="en-US" w:eastAsia="zh-CN"/>
              </w:rPr>
            </w:pPr>
            <w:r>
              <w:rPr>
                <w:rFonts w:hint="eastAsia"/>
                <w:b/>
                <w:bCs/>
                <w:color w:val="auto"/>
                <w:sz w:val="21"/>
                <w:szCs w:val="21"/>
                <w:lang w:val="en-US" w:eastAsia="zh-CN"/>
              </w:rPr>
              <w:t>设计参数（合计）</w:t>
            </w:r>
            <w:r>
              <w:rPr>
                <w:rFonts w:hint="eastAsia"/>
                <w:color w:val="auto"/>
                <w:sz w:val="21"/>
                <w:szCs w:val="21"/>
                <w:lang w:val="en-US" w:eastAsia="zh-CN"/>
              </w:rPr>
              <w:t>：</w:t>
            </w:r>
          </w:p>
          <w:p w14:paraId="2F7B2597">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设计水量：125m³/h，有效容积：1922m³（不包括澄清区），总水力停留时间：15.376h（不包括澄清区），氧传递效率：≥25%，混合液悬浮固体浓度（MLSS）：5～8g/L，容积负荷：~0.59kgCOD/m³</w:t>
            </w:r>
            <w:r>
              <w:rPr>
                <w:rFonts w:hint="eastAsia" w:ascii="宋体" w:hAnsi="宋体" w:eastAsia="宋体" w:cs="宋体"/>
                <w:color w:val="auto"/>
                <w:sz w:val="21"/>
                <w:szCs w:val="21"/>
                <w:lang w:val="en-US" w:eastAsia="zh-CN"/>
              </w:rPr>
              <w:t>·</w:t>
            </w:r>
            <w:r>
              <w:rPr>
                <w:rFonts w:hint="eastAsia"/>
                <w:color w:val="auto"/>
                <w:sz w:val="21"/>
                <w:szCs w:val="21"/>
                <w:lang w:val="en-US" w:eastAsia="zh-CN"/>
              </w:rPr>
              <w:t>d，污泥负荷：~0.054kgBODs/kgMLSS</w:t>
            </w:r>
            <w:r>
              <w:rPr>
                <w:rFonts w:hint="eastAsia" w:ascii="宋体" w:hAnsi="宋体" w:eastAsia="宋体" w:cs="宋体"/>
                <w:color w:val="auto"/>
                <w:sz w:val="21"/>
                <w:szCs w:val="21"/>
                <w:lang w:val="en-US" w:eastAsia="zh-CN"/>
              </w:rPr>
              <w:t>·</w:t>
            </w:r>
            <w:r>
              <w:rPr>
                <w:rFonts w:hint="eastAsia"/>
                <w:color w:val="auto"/>
                <w:sz w:val="21"/>
                <w:szCs w:val="21"/>
                <w:lang w:val="en-US" w:eastAsia="zh-CN"/>
              </w:rPr>
              <w:t>d，污泥负荷：~0.009kgTN/kgMLSS</w:t>
            </w:r>
            <w:r>
              <w:rPr>
                <w:rFonts w:hint="eastAsia" w:ascii="宋体" w:hAnsi="宋体" w:eastAsia="宋体" w:cs="宋体"/>
                <w:color w:val="auto"/>
                <w:sz w:val="21"/>
                <w:szCs w:val="21"/>
                <w:lang w:val="en-US" w:eastAsia="zh-CN"/>
              </w:rPr>
              <w:t>·</w:t>
            </w:r>
            <w:r>
              <w:rPr>
                <w:rFonts w:hint="eastAsia"/>
                <w:color w:val="auto"/>
                <w:sz w:val="21"/>
                <w:szCs w:val="21"/>
                <w:lang w:val="en-US" w:eastAsia="zh-CN"/>
              </w:rPr>
              <w:t>d，设计污泥龄：~36d，污泥产量：约0.42t-DS/d，处理前污泥量：约42m³/d（含水率98.5%-99.0%），约2.1t/d（含水率80%）</w:t>
            </w:r>
          </w:p>
          <w:p w14:paraId="069D3AFF">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b/>
                <w:bCs/>
                <w:color w:val="auto"/>
                <w:sz w:val="21"/>
                <w:szCs w:val="21"/>
                <w:lang w:val="en-US" w:eastAsia="zh-CN"/>
              </w:rPr>
              <w:t>主要功能：</w:t>
            </w:r>
            <w:r>
              <w:rPr>
                <w:rFonts w:hint="eastAsia"/>
                <w:color w:val="auto"/>
                <w:sz w:val="21"/>
                <w:szCs w:val="21"/>
                <w:lang w:val="en-US" w:eastAsia="zh-CN"/>
              </w:rPr>
              <w:t>利用好氧、缺氧、厌氧微生物的作用，去除废水中的有机物、氨氮及磷物质。</w:t>
            </w:r>
          </w:p>
        </w:tc>
        <w:tc>
          <w:tcPr>
            <w:tcW w:w="287" w:type="pct"/>
            <w:vMerge w:val="continue"/>
            <w:tcBorders>
              <w:tl2br w:val="nil"/>
              <w:tr2bl w:val="nil"/>
            </w:tcBorders>
            <w:noWrap w:val="0"/>
            <w:vAlign w:val="center"/>
          </w:tcPr>
          <w:p w14:paraId="0EA97E27">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1D9340B4">
            <w:pPr>
              <w:pageBreakBefore w:val="0"/>
              <w:wordWrap/>
              <w:bidi w:val="0"/>
              <w:adjustRightInd/>
              <w:snapToGrid/>
              <w:spacing w:line="300" w:lineRule="exact"/>
              <w:ind w:firstLine="0" w:firstLineChars="0"/>
              <w:jc w:val="center"/>
              <w:rPr>
                <w:rFonts w:hint="eastAsia"/>
                <w:color w:val="auto"/>
                <w:sz w:val="21"/>
                <w:szCs w:val="21"/>
              </w:rPr>
            </w:pPr>
            <w:r>
              <w:rPr>
                <w:color w:val="auto"/>
                <w:sz w:val="21"/>
                <w:szCs w:val="21"/>
              </w:rPr>
              <w:t>废水、废气</w:t>
            </w:r>
          </w:p>
        </w:tc>
      </w:tr>
      <w:tr w14:paraId="294D16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453493D9">
            <w:pPr>
              <w:pageBreakBefore w:val="0"/>
              <w:wordWrap/>
              <w:bidi w:val="0"/>
              <w:adjustRightInd/>
              <w:snapToGrid/>
              <w:spacing w:line="300" w:lineRule="exact"/>
              <w:ind w:firstLine="0" w:firstLineChars="0"/>
              <w:rPr>
                <w:color w:val="auto"/>
                <w:sz w:val="21"/>
                <w:szCs w:val="21"/>
              </w:rPr>
            </w:pPr>
          </w:p>
        </w:tc>
        <w:tc>
          <w:tcPr>
            <w:tcW w:w="222" w:type="pct"/>
            <w:vMerge w:val="continue"/>
            <w:tcBorders>
              <w:tl2br w:val="nil"/>
              <w:tr2bl w:val="nil"/>
            </w:tcBorders>
            <w:noWrap w:val="0"/>
            <w:vAlign w:val="center"/>
          </w:tcPr>
          <w:p w14:paraId="5916B070">
            <w:pPr>
              <w:pageBreakBefore w:val="0"/>
              <w:wordWrap/>
              <w:bidi w:val="0"/>
              <w:adjustRightInd/>
              <w:snapToGrid/>
              <w:spacing w:line="300" w:lineRule="exact"/>
              <w:ind w:firstLine="0" w:firstLineChars="0"/>
              <w:jc w:val="center"/>
              <w:rPr>
                <w:color w:val="auto"/>
                <w:sz w:val="21"/>
                <w:szCs w:val="21"/>
              </w:rPr>
            </w:pPr>
          </w:p>
        </w:tc>
        <w:tc>
          <w:tcPr>
            <w:tcW w:w="534" w:type="pct"/>
            <w:gridSpan w:val="2"/>
            <w:tcBorders>
              <w:tl2br w:val="nil"/>
              <w:tr2bl w:val="nil"/>
            </w:tcBorders>
            <w:noWrap w:val="0"/>
            <w:vAlign w:val="center"/>
          </w:tcPr>
          <w:p w14:paraId="3D9BD683">
            <w:pPr>
              <w:pageBreakBefore w:val="0"/>
              <w:wordWrap/>
              <w:bidi w:val="0"/>
              <w:adjustRightInd/>
              <w:snapToGrid/>
              <w:spacing w:line="300" w:lineRule="exact"/>
              <w:ind w:firstLine="0" w:firstLineChars="0"/>
              <w:jc w:val="center"/>
              <w:rPr>
                <w:rFonts w:hint="eastAsia"/>
                <w:color w:val="auto"/>
                <w:sz w:val="21"/>
                <w:szCs w:val="21"/>
              </w:rPr>
            </w:pPr>
            <w:r>
              <w:rPr>
                <w:rFonts w:hint="eastAsia"/>
                <w:color w:val="auto"/>
                <w:sz w:val="21"/>
                <w:szCs w:val="21"/>
                <w:lang w:val="en-US" w:eastAsia="zh-CN"/>
              </w:rPr>
              <w:t>磁混凝</w:t>
            </w:r>
            <w:r>
              <w:rPr>
                <w:rFonts w:hint="eastAsia"/>
                <w:color w:val="auto"/>
                <w:sz w:val="21"/>
                <w:szCs w:val="21"/>
              </w:rPr>
              <w:t>沉淀池</w:t>
            </w:r>
          </w:p>
        </w:tc>
        <w:tc>
          <w:tcPr>
            <w:tcW w:w="3340" w:type="pct"/>
            <w:tcBorders>
              <w:tl2br w:val="nil"/>
              <w:tr2bl w:val="nil"/>
            </w:tcBorders>
            <w:noWrap w:val="0"/>
            <w:vAlign w:val="center"/>
          </w:tcPr>
          <w:p w14:paraId="1298B876">
            <w:pPr>
              <w:pageBreakBefore w:val="0"/>
              <w:wordWrap/>
              <w:bidi w:val="0"/>
              <w:adjustRightInd/>
              <w:snapToGrid/>
              <w:spacing w:line="300" w:lineRule="exact"/>
              <w:ind w:firstLine="0" w:firstLineChars="0"/>
              <w:rPr>
                <w:rFonts w:hint="eastAsia"/>
                <w:b/>
                <w:bCs w:val="0"/>
                <w:i w:val="0"/>
                <w:iCs/>
                <w:color w:val="auto"/>
                <w:sz w:val="21"/>
                <w:szCs w:val="21"/>
                <w:lang w:val="en-US" w:eastAsia="zh-CN"/>
              </w:rPr>
            </w:pPr>
            <w:r>
              <w:rPr>
                <w:rFonts w:hint="eastAsia"/>
                <w:color w:val="auto"/>
                <w:sz w:val="21"/>
                <w:szCs w:val="21"/>
                <w:lang w:val="en-US" w:eastAsia="zh-CN"/>
              </w:rPr>
              <w:t>磁混凝沉淀池与污泥脱水车间合建1座，磁混凝沉淀池位于地下，密闭框架结构，设计规模6000m³/d（为二期预留容量），总尺寸L×B×H=19.20m×12.00m×11.1m，内设一体化磁混凝沉淀池1套，单套处理能力：3000m³/d，配套PAC、PAM的配置及加药系统；磁混凝沉淀池通过絮凝、混凝反应等一系列反应，去除废水中部分悬浮物、TP、总硬度。</w:t>
            </w:r>
          </w:p>
        </w:tc>
        <w:tc>
          <w:tcPr>
            <w:tcW w:w="287" w:type="pct"/>
            <w:vMerge w:val="continue"/>
            <w:tcBorders>
              <w:tl2br w:val="nil"/>
              <w:tr2bl w:val="nil"/>
            </w:tcBorders>
            <w:noWrap w:val="0"/>
            <w:vAlign w:val="center"/>
          </w:tcPr>
          <w:p w14:paraId="7A0621BD">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5E3BCA72">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废水、废气</w:t>
            </w:r>
          </w:p>
        </w:tc>
      </w:tr>
      <w:tr w14:paraId="49ED47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6A11C034">
            <w:pPr>
              <w:pageBreakBefore w:val="0"/>
              <w:wordWrap/>
              <w:bidi w:val="0"/>
              <w:adjustRightInd/>
              <w:snapToGrid/>
              <w:spacing w:line="300" w:lineRule="exact"/>
              <w:ind w:firstLine="0" w:firstLineChars="0"/>
              <w:rPr>
                <w:color w:val="auto"/>
                <w:sz w:val="21"/>
                <w:szCs w:val="21"/>
              </w:rPr>
            </w:pPr>
          </w:p>
        </w:tc>
        <w:tc>
          <w:tcPr>
            <w:tcW w:w="222" w:type="pct"/>
            <w:vMerge w:val="continue"/>
            <w:tcBorders>
              <w:tl2br w:val="nil"/>
              <w:tr2bl w:val="nil"/>
            </w:tcBorders>
            <w:noWrap w:val="0"/>
            <w:vAlign w:val="center"/>
          </w:tcPr>
          <w:p w14:paraId="427BF6AF">
            <w:pPr>
              <w:pageBreakBefore w:val="0"/>
              <w:wordWrap/>
              <w:bidi w:val="0"/>
              <w:adjustRightInd/>
              <w:snapToGrid/>
              <w:spacing w:line="300" w:lineRule="exact"/>
              <w:ind w:firstLine="0" w:firstLineChars="0"/>
              <w:jc w:val="center"/>
              <w:rPr>
                <w:color w:val="auto"/>
                <w:sz w:val="21"/>
                <w:szCs w:val="21"/>
              </w:rPr>
            </w:pPr>
          </w:p>
        </w:tc>
        <w:tc>
          <w:tcPr>
            <w:tcW w:w="534" w:type="pct"/>
            <w:gridSpan w:val="2"/>
            <w:tcBorders>
              <w:tl2br w:val="nil"/>
              <w:tr2bl w:val="nil"/>
            </w:tcBorders>
            <w:noWrap w:val="0"/>
            <w:vAlign w:val="center"/>
          </w:tcPr>
          <w:p w14:paraId="1EEE4BB1">
            <w:pPr>
              <w:pageBreakBefore w:val="0"/>
              <w:wordWrap/>
              <w:bidi w:val="0"/>
              <w:adjustRightInd/>
              <w:snapToGrid/>
              <w:spacing w:line="300" w:lineRule="exact"/>
              <w:ind w:firstLine="0" w:firstLineChars="0"/>
              <w:jc w:val="center"/>
              <w:rPr>
                <w:color w:val="auto"/>
                <w:sz w:val="21"/>
                <w:szCs w:val="21"/>
              </w:rPr>
            </w:pPr>
            <w:r>
              <w:rPr>
                <w:rFonts w:hint="eastAsia"/>
                <w:color w:val="auto"/>
                <w:sz w:val="21"/>
                <w:szCs w:val="21"/>
              </w:rPr>
              <w:t>反硝化深床滤池</w:t>
            </w:r>
          </w:p>
        </w:tc>
        <w:tc>
          <w:tcPr>
            <w:tcW w:w="3340" w:type="pct"/>
            <w:tcBorders>
              <w:tl2br w:val="nil"/>
              <w:tr2bl w:val="nil"/>
            </w:tcBorders>
            <w:noWrap w:val="0"/>
            <w:vAlign w:val="center"/>
          </w:tcPr>
          <w:p w14:paraId="23C7941B">
            <w:pPr>
              <w:pageBreakBefore w:val="0"/>
              <w:wordWrap/>
              <w:bidi w:val="0"/>
              <w:adjustRightInd/>
              <w:snapToGrid/>
              <w:spacing w:line="300" w:lineRule="exact"/>
              <w:ind w:firstLine="0" w:firstLineChars="0"/>
              <w:rPr>
                <w:rFonts w:hint="eastAsia" w:eastAsia="宋体"/>
                <w:color w:val="auto"/>
                <w:sz w:val="21"/>
                <w:szCs w:val="21"/>
                <w:lang w:val="en-US" w:eastAsia="zh-CN"/>
              </w:rPr>
            </w:pPr>
            <w:r>
              <w:rPr>
                <w:rFonts w:hint="eastAsia"/>
                <w:color w:val="auto"/>
                <w:sz w:val="21"/>
                <w:szCs w:val="21"/>
                <w:lang w:val="en-US" w:eastAsia="zh-CN"/>
              </w:rPr>
              <w:t>新建半地埋水池密闭池体及地上配套用房1座，设计规模0.6</w:t>
            </w:r>
            <w:r>
              <w:rPr>
                <w:rFonts w:hint="eastAsia"/>
                <w:color w:val="auto"/>
                <w:sz w:val="21"/>
                <w:szCs w:val="21"/>
                <w:lang w:eastAsia="zh-CN"/>
              </w:rPr>
              <w:t>万m³</w:t>
            </w:r>
            <w:r>
              <w:rPr>
                <w:rFonts w:hint="eastAsia"/>
                <w:color w:val="auto"/>
                <w:sz w:val="21"/>
                <w:szCs w:val="21"/>
              </w:rPr>
              <w:t>/d</w:t>
            </w:r>
            <w:r>
              <w:rPr>
                <w:rFonts w:hint="eastAsia"/>
                <w:color w:val="auto"/>
                <w:sz w:val="21"/>
                <w:szCs w:val="21"/>
                <w:lang w:eastAsia="zh-CN"/>
              </w:rPr>
              <w:t>（</w:t>
            </w:r>
            <w:r>
              <w:rPr>
                <w:rFonts w:hint="eastAsia"/>
                <w:color w:val="auto"/>
                <w:sz w:val="21"/>
                <w:szCs w:val="21"/>
                <w:lang w:val="en-US" w:eastAsia="zh-CN"/>
              </w:rPr>
              <w:t>为二期预留容量</w:t>
            </w:r>
            <w:r>
              <w:rPr>
                <w:rFonts w:hint="eastAsia"/>
                <w:color w:val="auto"/>
                <w:sz w:val="21"/>
                <w:szCs w:val="21"/>
                <w:lang w:eastAsia="zh-CN"/>
              </w:rPr>
              <w:t>）</w:t>
            </w:r>
            <w:r>
              <w:rPr>
                <w:rFonts w:hint="eastAsia"/>
                <w:color w:val="auto"/>
                <w:sz w:val="21"/>
                <w:szCs w:val="21"/>
              </w:rPr>
              <w:t>，</w:t>
            </w:r>
            <w:r>
              <w:rPr>
                <w:rFonts w:hint="eastAsia"/>
                <w:color w:val="auto"/>
                <w:sz w:val="21"/>
                <w:szCs w:val="21"/>
                <w:lang w:val="en-US" w:eastAsia="zh-CN"/>
              </w:rPr>
              <w:t>设计平均流速：2.92m/h，设计平均流量强制滤速4.38m/h，水反冲洗强度：15m³/m²</w:t>
            </w:r>
            <w:r>
              <w:rPr>
                <w:rFonts w:hint="eastAsia" w:ascii="宋体" w:hAnsi="宋体" w:eastAsia="宋体" w:cs="宋体"/>
                <w:color w:val="auto"/>
                <w:sz w:val="21"/>
                <w:szCs w:val="21"/>
                <w:lang w:val="en-US" w:eastAsia="zh-CN"/>
              </w:rPr>
              <w:t>·</w:t>
            </w:r>
            <w:r>
              <w:rPr>
                <w:rFonts w:hint="eastAsia"/>
                <w:color w:val="auto"/>
                <w:sz w:val="21"/>
                <w:szCs w:val="21"/>
                <w:lang w:val="en-US" w:eastAsia="zh-CN"/>
              </w:rPr>
              <w:t>h，反冲洗时间10-15min；气反冲洗强度：93m³/m²</w:t>
            </w:r>
            <w:r>
              <w:rPr>
                <w:rFonts w:hint="eastAsia" w:ascii="宋体" w:hAnsi="宋体" w:eastAsia="宋体" w:cs="宋体"/>
                <w:color w:val="auto"/>
                <w:sz w:val="21"/>
                <w:szCs w:val="21"/>
                <w:lang w:val="en-US" w:eastAsia="zh-CN"/>
              </w:rPr>
              <w:t>·</w:t>
            </w:r>
            <w:r>
              <w:rPr>
                <w:rFonts w:hint="eastAsia"/>
                <w:color w:val="auto"/>
                <w:sz w:val="21"/>
                <w:szCs w:val="21"/>
                <w:lang w:val="en-US" w:eastAsia="zh-CN"/>
              </w:rPr>
              <w:t>.h，反冲洗时间10-15min，滤池反冲洗周期：24~28h，其中：</w:t>
            </w:r>
          </w:p>
          <w:p w14:paraId="59F273D9">
            <w:pPr>
              <w:pageBreakBefore w:val="0"/>
              <w:wordWrap/>
              <w:bidi w:val="0"/>
              <w:adjustRightInd/>
              <w:snapToGrid/>
              <w:spacing w:line="300" w:lineRule="exact"/>
              <w:ind w:firstLine="0" w:firstLineChars="0"/>
              <w:rPr>
                <w:rFonts w:hint="default" w:eastAsia="宋体"/>
                <w:color w:val="auto"/>
                <w:sz w:val="21"/>
                <w:szCs w:val="21"/>
                <w:lang w:val="en-US" w:eastAsia="zh-CN"/>
              </w:rPr>
            </w:pPr>
            <w:r>
              <w:rPr>
                <w:rFonts w:hint="eastAsia"/>
                <w:b/>
                <w:bCs/>
                <w:color w:val="auto"/>
                <w:sz w:val="21"/>
                <w:szCs w:val="21"/>
                <w:lang w:val="en-US" w:eastAsia="zh-CN"/>
              </w:rPr>
              <w:t>半地埋水池：</w:t>
            </w:r>
            <w:r>
              <w:rPr>
                <w:rFonts w:hint="eastAsia"/>
                <w:b w:val="0"/>
                <w:bCs w:val="0"/>
                <w:color w:val="auto"/>
                <w:sz w:val="21"/>
                <w:szCs w:val="21"/>
                <w:lang w:val="en-US" w:eastAsia="zh-CN"/>
              </w:rPr>
              <w:t>1座，钢筋砼结构，</w:t>
            </w:r>
            <w:r>
              <w:rPr>
                <w:rFonts w:hint="eastAsia"/>
                <w:color w:val="auto"/>
                <w:sz w:val="21"/>
                <w:szCs w:val="21"/>
                <w:lang w:val="en-US" w:eastAsia="zh-CN"/>
              </w:rPr>
              <w:t>总尺寸</w:t>
            </w:r>
            <w:r>
              <w:rPr>
                <w:rFonts w:hint="eastAsia"/>
                <w:b w:val="0"/>
                <w:bCs/>
                <w:i w:val="0"/>
                <w:iCs/>
                <w:color w:val="auto"/>
                <w:sz w:val="21"/>
                <w:szCs w:val="21"/>
                <w:lang w:val="en-US" w:eastAsia="zh-CN"/>
              </w:rPr>
              <w:t>L×B×H=21.90m×14.60m×（4.14-5.94）m；</w:t>
            </w:r>
          </w:p>
          <w:p w14:paraId="7B4FAFE3">
            <w:pPr>
              <w:pageBreakBefore w:val="0"/>
              <w:wordWrap/>
              <w:bidi w:val="0"/>
              <w:adjustRightInd/>
              <w:snapToGrid/>
              <w:spacing w:line="300" w:lineRule="exact"/>
              <w:ind w:firstLine="0" w:firstLineChars="0"/>
              <w:rPr>
                <w:rFonts w:hint="eastAsia"/>
                <w:b w:val="0"/>
                <w:bCs/>
                <w:i w:val="0"/>
                <w:iCs/>
                <w:color w:val="auto"/>
                <w:sz w:val="21"/>
                <w:szCs w:val="21"/>
                <w:lang w:val="en-US" w:eastAsia="zh-CN"/>
              </w:rPr>
            </w:pPr>
            <w:r>
              <w:rPr>
                <w:rFonts w:hint="eastAsia"/>
                <w:b/>
                <w:bCs/>
                <w:color w:val="auto"/>
                <w:sz w:val="21"/>
                <w:szCs w:val="21"/>
                <w:lang w:val="en-US" w:eastAsia="zh-CN"/>
              </w:rPr>
              <w:t>地面配套用房：</w:t>
            </w:r>
            <w:r>
              <w:rPr>
                <w:rFonts w:hint="eastAsia"/>
                <w:b w:val="0"/>
                <w:bCs w:val="0"/>
                <w:color w:val="auto"/>
                <w:sz w:val="21"/>
                <w:szCs w:val="21"/>
                <w:lang w:val="en-US" w:eastAsia="zh-CN"/>
              </w:rPr>
              <w:t>1座，钢架结构，</w:t>
            </w:r>
            <w:r>
              <w:rPr>
                <w:rFonts w:hint="eastAsia"/>
                <w:color w:val="auto"/>
                <w:sz w:val="21"/>
                <w:szCs w:val="21"/>
                <w:lang w:val="en-US" w:eastAsia="zh-CN"/>
              </w:rPr>
              <w:t>总尺寸</w:t>
            </w:r>
            <w:r>
              <w:rPr>
                <w:rFonts w:hint="eastAsia"/>
                <w:b w:val="0"/>
                <w:bCs/>
                <w:i w:val="0"/>
                <w:iCs/>
                <w:color w:val="auto"/>
                <w:sz w:val="21"/>
                <w:szCs w:val="21"/>
                <w:lang w:val="en-US" w:eastAsia="zh-CN"/>
              </w:rPr>
              <w:t>L×B×H=15m×6.4m×6.3m；</w:t>
            </w:r>
          </w:p>
          <w:p w14:paraId="710AD027">
            <w:pPr>
              <w:pageBreakBefore w:val="0"/>
              <w:wordWrap/>
              <w:bidi w:val="0"/>
              <w:adjustRightInd/>
              <w:snapToGrid/>
              <w:spacing w:line="300" w:lineRule="exact"/>
              <w:ind w:firstLine="0" w:firstLineChars="0"/>
              <w:rPr>
                <w:rFonts w:hint="default"/>
                <w:b w:val="0"/>
                <w:bCs/>
                <w:i w:val="0"/>
                <w:iCs/>
                <w:color w:val="auto"/>
                <w:sz w:val="21"/>
                <w:szCs w:val="21"/>
                <w:lang w:val="en-US" w:eastAsia="zh-CN"/>
              </w:rPr>
            </w:pPr>
            <w:r>
              <w:rPr>
                <w:rFonts w:hint="eastAsia"/>
                <w:b/>
                <w:bCs w:val="0"/>
                <w:i w:val="0"/>
                <w:iCs/>
                <w:color w:val="auto"/>
                <w:sz w:val="21"/>
                <w:szCs w:val="21"/>
                <w:lang w:val="en-US" w:eastAsia="zh-CN"/>
              </w:rPr>
              <w:t>主要功能：</w:t>
            </w:r>
            <w:r>
              <w:rPr>
                <w:rFonts w:hint="eastAsia"/>
                <w:b w:val="0"/>
                <w:bCs/>
                <w:i w:val="0"/>
                <w:iCs/>
                <w:color w:val="auto"/>
                <w:sz w:val="21"/>
                <w:szCs w:val="21"/>
                <w:lang w:val="en-US" w:eastAsia="zh-CN"/>
              </w:rPr>
              <w:t>通过利用滤料中的反硝化菌的生化作用，进一步去除污水中的总氮。</w:t>
            </w:r>
          </w:p>
        </w:tc>
        <w:tc>
          <w:tcPr>
            <w:tcW w:w="287" w:type="pct"/>
            <w:vMerge w:val="continue"/>
            <w:tcBorders>
              <w:tl2br w:val="nil"/>
              <w:tr2bl w:val="nil"/>
            </w:tcBorders>
            <w:noWrap w:val="0"/>
            <w:vAlign w:val="center"/>
          </w:tcPr>
          <w:p w14:paraId="6C933528">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19C0035A">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废水、废气</w:t>
            </w:r>
          </w:p>
        </w:tc>
      </w:tr>
      <w:tr w14:paraId="3D9CA3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721D7378">
            <w:pPr>
              <w:pageBreakBefore w:val="0"/>
              <w:wordWrap/>
              <w:bidi w:val="0"/>
              <w:adjustRightInd/>
              <w:snapToGrid/>
              <w:spacing w:line="300" w:lineRule="exact"/>
              <w:ind w:firstLine="0" w:firstLineChars="0"/>
              <w:rPr>
                <w:color w:val="auto"/>
                <w:sz w:val="21"/>
                <w:szCs w:val="21"/>
              </w:rPr>
            </w:pPr>
          </w:p>
        </w:tc>
        <w:tc>
          <w:tcPr>
            <w:tcW w:w="222" w:type="pct"/>
            <w:vMerge w:val="restart"/>
            <w:tcBorders>
              <w:tl2br w:val="nil"/>
              <w:tr2bl w:val="nil"/>
            </w:tcBorders>
            <w:noWrap w:val="0"/>
            <w:vAlign w:val="center"/>
          </w:tcPr>
          <w:p w14:paraId="0D75EF08">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深度处理</w:t>
            </w:r>
          </w:p>
        </w:tc>
        <w:tc>
          <w:tcPr>
            <w:tcW w:w="534" w:type="pct"/>
            <w:gridSpan w:val="2"/>
            <w:tcBorders>
              <w:tl2br w:val="nil"/>
              <w:tr2bl w:val="nil"/>
            </w:tcBorders>
            <w:noWrap w:val="0"/>
            <w:vAlign w:val="center"/>
          </w:tcPr>
          <w:p w14:paraId="35D29D81">
            <w:pPr>
              <w:pageBreakBefore w:val="0"/>
              <w:wordWrap/>
              <w:bidi w:val="0"/>
              <w:adjustRightInd/>
              <w:snapToGrid/>
              <w:spacing w:line="300" w:lineRule="exact"/>
              <w:ind w:firstLine="0" w:firstLineChars="0"/>
              <w:jc w:val="center"/>
              <w:rPr>
                <w:color w:val="auto"/>
                <w:sz w:val="21"/>
                <w:szCs w:val="21"/>
              </w:rPr>
            </w:pPr>
            <w:r>
              <w:rPr>
                <w:rFonts w:hint="eastAsia"/>
                <w:color w:val="auto"/>
                <w:sz w:val="21"/>
                <w:szCs w:val="21"/>
              </w:rPr>
              <w:t>高级氧化</w:t>
            </w:r>
            <w:r>
              <w:rPr>
                <w:rFonts w:hint="eastAsia"/>
                <w:color w:val="auto"/>
                <w:sz w:val="21"/>
                <w:szCs w:val="21"/>
                <w:lang w:val="en-US" w:eastAsia="zh-CN"/>
              </w:rPr>
              <w:t>深度</w:t>
            </w:r>
            <w:r>
              <w:rPr>
                <w:rFonts w:hint="eastAsia"/>
                <w:color w:val="auto"/>
                <w:sz w:val="21"/>
                <w:szCs w:val="21"/>
              </w:rPr>
              <w:t>处理系统</w:t>
            </w:r>
          </w:p>
        </w:tc>
        <w:tc>
          <w:tcPr>
            <w:tcW w:w="3340" w:type="pct"/>
            <w:tcBorders>
              <w:tl2br w:val="nil"/>
              <w:tr2bl w:val="nil"/>
            </w:tcBorders>
            <w:noWrap w:val="0"/>
            <w:vAlign w:val="center"/>
          </w:tcPr>
          <w:p w14:paraId="20CA7CDB">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地面密闭设置，设计规模：3000m³/d，有效容积3000m³，停留时间：12.0h。</w:t>
            </w:r>
          </w:p>
          <w:p w14:paraId="5038302F">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b/>
                <w:bCs/>
                <w:color w:val="auto"/>
                <w:sz w:val="21"/>
                <w:szCs w:val="21"/>
                <w:lang w:val="en-US" w:eastAsia="zh-CN"/>
              </w:rPr>
              <w:t>主要功能：</w:t>
            </w:r>
            <w:r>
              <w:rPr>
                <w:rFonts w:hint="eastAsia"/>
                <w:color w:val="auto"/>
                <w:sz w:val="21"/>
                <w:szCs w:val="21"/>
                <w:lang w:val="en-US" w:eastAsia="zh-CN"/>
              </w:rPr>
              <w:t>保证出水中COD达标，利用高级氧化技术将经过生化处理后残余的COD进行去除。</w:t>
            </w:r>
          </w:p>
        </w:tc>
        <w:tc>
          <w:tcPr>
            <w:tcW w:w="287" w:type="pct"/>
            <w:vMerge w:val="continue"/>
            <w:tcBorders>
              <w:tl2br w:val="nil"/>
              <w:tr2bl w:val="nil"/>
            </w:tcBorders>
            <w:noWrap w:val="0"/>
            <w:vAlign w:val="center"/>
          </w:tcPr>
          <w:p w14:paraId="6DD1F18F">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3C40699E">
            <w:pPr>
              <w:pageBreakBefore w:val="0"/>
              <w:wordWrap/>
              <w:bidi w:val="0"/>
              <w:adjustRightInd/>
              <w:snapToGrid/>
              <w:spacing w:line="300" w:lineRule="exact"/>
              <w:ind w:firstLine="0" w:firstLineChars="0"/>
              <w:jc w:val="center"/>
              <w:rPr>
                <w:color w:val="auto"/>
                <w:sz w:val="21"/>
                <w:szCs w:val="21"/>
              </w:rPr>
            </w:pPr>
            <w:r>
              <w:rPr>
                <w:color w:val="auto"/>
                <w:sz w:val="21"/>
                <w:szCs w:val="21"/>
              </w:rPr>
              <w:t>废水、噪声</w:t>
            </w:r>
          </w:p>
        </w:tc>
      </w:tr>
      <w:tr w14:paraId="1A65AE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5C060F8A">
            <w:pPr>
              <w:pageBreakBefore w:val="0"/>
              <w:wordWrap/>
              <w:bidi w:val="0"/>
              <w:adjustRightInd/>
              <w:snapToGrid/>
              <w:spacing w:line="300" w:lineRule="exact"/>
              <w:ind w:firstLine="0" w:firstLineChars="0"/>
              <w:rPr>
                <w:color w:val="auto"/>
                <w:sz w:val="21"/>
                <w:szCs w:val="21"/>
              </w:rPr>
            </w:pPr>
          </w:p>
        </w:tc>
        <w:tc>
          <w:tcPr>
            <w:tcW w:w="222" w:type="pct"/>
            <w:vMerge w:val="continue"/>
            <w:tcBorders>
              <w:tl2br w:val="nil"/>
              <w:tr2bl w:val="nil"/>
            </w:tcBorders>
            <w:noWrap w:val="0"/>
            <w:vAlign w:val="center"/>
          </w:tcPr>
          <w:p w14:paraId="50547D32">
            <w:pPr>
              <w:pageBreakBefore w:val="0"/>
              <w:wordWrap/>
              <w:bidi w:val="0"/>
              <w:adjustRightInd/>
              <w:snapToGrid/>
              <w:spacing w:line="300" w:lineRule="exact"/>
              <w:ind w:firstLine="0" w:firstLineChars="0"/>
              <w:jc w:val="center"/>
              <w:rPr>
                <w:color w:val="auto"/>
                <w:sz w:val="21"/>
                <w:szCs w:val="21"/>
              </w:rPr>
            </w:pPr>
          </w:p>
        </w:tc>
        <w:tc>
          <w:tcPr>
            <w:tcW w:w="534" w:type="pct"/>
            <w:gridSpan w:val="2"/>
            <w:tcBorders>
              <w:tl2br w:val="nil"/>
              <w:tr2bl w:val="nil"/>
            </w:tcBorders>
            <w:noWrap w:val="0"/>
            <w:vAlign w:val="center"/>
          </w:tcPr>
          <w:p w14:paraId="7B8D00F2">
            <w:pPr>
              <w:pageBreakBefore w:val="0"/>
              <w:wordWrap/>
              <w:bidi w:val="0"/>
              <w:adjustRightInd/>
              <w:snapToGrid/>
              <w:spacing w:line="300" w:lineRule="exact"/>
              <w:ind w:firstLine="0" w:firstLineChars="0"/>
              <w:jc w:val="center"/>
              <w:rPr>
                <w:rFonts w:hint="eastAsia"/>
                <w:color w:val="auto"/>
                <w:sz w:val="21"/>
                <w:szCs w:val="21"/>
              </w:rPr>
            </w:pPr>
            <w:r>
              <w:rPr>
                <w:rFonts w:hint="eastAsia"/>
                <w:color w:val="auto"/>
                <w:sz w:val="21"/>
                <w:szCs w:val="21"/>
              </w:rPr>
              <w:t>紫外线消毒-出水计量渠</w:t>
            </w:r>
          </w:p>
        </w:tc>
        <w:tc>
          <w:tcPr>
            <w:tcW w:w="3340" w:type="pct"/>
            <w:tcBorders>
              <w:tl2br w:val="nil"/>
              <w:tr2bl w:val="nil"/>
            </w:tcBorders>
            <w:noWrap w:val="0"/>
            <w:vAlign w:val="center"/>
          </w:tcPr>
          <w:p w14:paraId="127A3900">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color w:val="auto"/>
                <w:sz w:val="21"/>
                <w:szCs w:val="21"/>
                <w:lang w:val="en-US" w:eastAsia="zh-CN"/>
              </w:rPr>
              <w:t>设消毒水池一座，地埋设置，钢筋砼结构，设计规模：16000m³/d（为二、三期预留容量），总尺寸</w:t>
            </w:r>
            <w:r>
              <w:rPr>
                <w:rFonts w:hint="eastAsia"/>
                <w:b w:val="0"/>
                <w:bCs/>
                <w:i w:val="0"/>
                <w:iCs/>
                <w:color w:val="auto"/>
                <w:sz w:val="21"/>
                <w:szCs w:val="21"/>
                <w:lang w:val="en-US" w:eastAsia="zh-CN"/>
              </w:rPr>
              <w:t>L×B×H=15.00m×4.80m×3.05m，</w:t>
            </w:r>
            <w:r>
              <w:rPr>
                <w:rFonts w:hint="eastAsia"/>
                <w:color w:val="auto"/>
                <w:sz w:val="21"/>
                <w:szCs w:val="21"/>
                <w:lang w:val="en-US" w:eastAsia="zh-CN"/>
              </w:rPr>
              <w:t>有效容积1000m³，内设紫外线消毒设备：1套，处理能力6000m³/d。</w:t>
            </w:r>
          </w:p>
          <w:p w14:paraId="11825FB5">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b/>
                <w:bCs/>
                <w:color w:val="auto"/>
                <w:sz w:val="21"/>
                <w:szCs w:val="21"/>
                <w:lang w:val="en-US" w:eastAsia="zh-CN"/>
              </w:rPr>
              <w:t>主要功能：</w:t>
            </w:r>
            <w:r>
              <w:rPr>
                <w:rFonts w:hint="eastAsia"/>
                <w:color w:val="auto"/>
                <w:sz w:val="21"/>
                <w:szCs w:val="21"/>
                <w:lang w:val="en-US" w:eastAsia="zh-CN"/>
              </w:rPr>
              <w:t>通过次氯酸钠+紫外线的杀菌作用处理污水，保证出水中病毒细菌指标达标，同时采用明渠流量计对最终处理达标外排尾水进行实时计量。</w:t>
            </w:r>
          </w:p>
        </w:tc>
        <w:tc>
          <w:tcPr>
            <w:tcW w:w="287" w:type="pct"/>
            <w:vMerge w:val="continue"/>
            <w:tcBorders>
              <w:tl2br w:val="nil"/>
              <w:tr2bl w:val="nil"/>
            </w:tcBorders>
            <w:noWrap w:val="0"/>
            <w:vAlign w:val="center"/>
          </w:tcPr>
          <w:p w14:paraId="419BE9B6">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21534EA3">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w:t>
            </w:r>
          </w:p>
        </w:tc>
      </w:tr>
      <w:tr w14:paraId="688C88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308DAC2B">
            <w:pPr>
              <w:pageBreakBefore w:val="0"/>
              <w:wordWrap/>
              <w:bidi w:val="0"/>
              <w:adjustRightInd/>
              <w:snapToGrid/>
              <w:spacing w:line="300" w:lineRule="exact"/>
              <w:ind w:firstLine="0" w:firstLineChars="0"/>
              <w:rPr>
                <w:color w:val="auto"/>
                <w:sz w:val="21"/>
                <w:szCs w:val="21"/>
              </w:rPr>
            </w:pPr>
          </w:p>
        </w:tc>
        <w:tc>
          <w:tcPr>
            <w:tcW w:w="222" w:type="pct"/>
            <w:tcBorders>
              <w:tl2br w:val="nil"/>
              <w:tr2bl w:val="nil"/>
            </w:tcBorders>
            <w:noWrap w:val="0"/>
            <w:vAlign w:val="center"/>
          </w:tcPr>
          <w:p w14:paraId="4D8557C4">
            <w:pPr>
              <w:pageBreakBefore w:val="0"/>
              <w:wordWrap/>
              <w:bidi w:val="0"/>
              <w:adjustRightInd/>
              <w:snapToGrid/>
              <w:spacing w:line="300" w:lineRule="exact"/>
              <w:ind w:firstLine="0" w:firstLineChars="0"/>
              <w:jc w:val="center"/>
              <w:rPr>
                <w:color w:val="auto"/>
                <w:sz w:val="21"/>
                <w:szCs w:val="21"/>
              </w:rPr>
            </w:pPr>
            <w:r>
              <w:rPr>
                <w:rFonts w:hint="eastAsia"/>
                <w:color w:val="auto"/>
                <w:sz w:val="21"/>
                <w:szCs w:val="21"/>
              </w:rPr>
              <w:t>管道工程</w:t>
            </w:r>
          </w:p>
        </w:tc>
        <w:tc>
          <w:tcPr>
            <w:tcW w:w="534" w:type="pct"/>
            <w:gridSpan w:val="2"/>
            <w:tcBorders>
              <w:tl2br w:val="nil"/>
              <w:tr2bl w:val="nil"/>
            </w:tcBorders>
            <w:noWrap w:val="0"/>
            <w:vAlign w:val="center"/>
          </w:tcPr>
          <w:p w14:paraId="6D13AF08">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尾水管道</w:t>
            </w:r>
          </w:p>
        </w:tc>
        <w:tc>
          <w:tcPr>
            <w:tcW w:w="3340" w:type="pct"/>
            <w:tcBorders>
              <w:tl2br w:val="nil"/>
              <w:tr2bl w:val="nil"/>
            </w:tcBorders>
            <w:noWrap w:val="0"/>
            <w:vAlign w:val="center"/>
          </w:tcPr>
          <w:p w14:paraId="08683DDC">
            <w:pPr>
              <w:pageBreakBefore w:val="0"/>
              <w:wordWrap/>
              <w:bidi w:val="0"/>
              <w:adjustRightInd/>
              <w:snapToGrid/>
              <w:spacing w:line="300" w:lineRule="exact"/>
              <w:ind w:firstLine="0" w:firstLineChars="0"/>
              <w:rPr>
                <w:rFonts w:hint="default" w:eastAsia="宋体"/>
                <w:color w:val="auto"/>
                <w:sz w:val="21"/>
                <w:szCs w:val="21"/>
                <w:lang w:val="en-US" w:eastAsia="zh-CN"/>
              </w:rPr>
            </w:pPr>
            <w:r>
              <w:rPr>
                <w:rFonts w:hint="eastAsia"/>
                <w:color w:val="auto"/>
                <w:sz w:val="21"/>
                <w:szCs w:val="21"/>
              </w:rPr>
              <w:t>厂外尾水排放管道按远期2035年</w:t>
            </w:r>
            <w:r>
              <w:rPr>
                <w:rFonts w:hint="eastAsia"/>
                <w:color w:val="auto"/>
                <w:sz w:val="21"/>
                <w:szCs w:val="21"/>
                <w:lang w:eastAsia="zh-CN"/>
              </w:rPr>
              <w:t>，</w:t>
            </w:r>
            <w:r>
              <w:rPr>
                <w:rFonts w:hint="eastAsia"/>
                <w:color w:val="auto"/>
                <w:sz w:val="21"/>
                <w:szCs w:val="21"/>
              </w:rPr>
              <w:t>规模1.6万</w:t>
            </w:r>
            <w:r>
              <w:rPr>
                <w:rFonts w:hint="eastAsia"/>
                <w:color w:val="auto"/>
                <w:sz w:val="21"/>
                <w:szCs w:val="21"/>
                <w:lang w:val="en-US" w:eastAsia="zh-CN"/>
              </w:rPr>
              <w:t>m³</w:t>
            </w:r>
            <w:r>
              <w:rPr>
                <w:rFonts w:hint="eastAsia"/>
                <w:color w:val="auto"/>
                <w:sz w:val="21"/>
                <w:szCs w:val="21"/>
              </w:rPr>
              <w:t>/d设计</w:t>
            </w:r>
            <w:r>
              <w:rPr>
                <w:rFonts w:hint="eastAsia"/>
                <w:color w:val="auto"/>
                <w:sz w:val="21"/>
                <w:szCs w:val="21"/>
                <w:lang w:eastAsia="zh-CN"/>
              </w:rPr>
              <w:t>。</w:t>
            </w:r>
            <w:r>
              <w:rPr>
                <w:rFonts w:hint="eastAsia"/>
                <w:color w:val="auto"/>
                <w:sz w:val="21"/>
                <w:szCs w:val="21"/>
                <w:lang w:val="en-US" w:eastAsia="zh-CN"/>
              </w:rPr>
              <w:t>本工程尾水排放采用重力流排放，</w:t>
            </w:r>
            <w:r>
              <w:rPr>
                <w:rFonts w:hint="eastAsia"/>
                <w:color w:val="auto"/>
                <w:sz w:val="21"/>
                <w:szCs w:val="21"/>
                <w:lang w:eastAsia="zh-CN"/>
              </w:rPr>
              <w:t>起点在污水处理厂南侧围墙外，</w:t>
            </w:r>
            <w:r>
              <w:rPr>
                <w:rFonts w:hint="eastAsia"/>
                <w:color w:val="auto"/>
                <w:sz w:val="21"/>
                <w:szCs w:val="21"/>
                <w:lang w:val="en-US" w:eastAsia="zh-CN"/>
              </w:rPr>
              <w:t>管径DN600采用钢管内外防腐，长度约550m。</w:t>
            </w:r>
          </w:p>
        </w:tc>
        <w:tc>
          <w:tcPr>
            <w:tcW w:w="287" w:type="pct"/>
            <w:vMerge w:val="continue"/>
            <w:tcBorders>
              <w:tl2br w:val="nil"/>
              <w:tr2bl w:val="nil"/>
            </w:tcBorders>
            <w:noWrap w:val="0"/>
            <w:vAlign w:val="center"/>
          </w:tcPr>
          <w:p w14:paraId="4F6F0A82">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04F14328">
            <w:pPr>
              <w:pageBreakBefore w:val="0"/>
              <w:wordWrap/>
              <w:bidi w:val="0"/>
              <w:adjustRightInd/>
              <w:snapToGrid/>
              <w:spacing w:line="300" w:lineRule="exact"/>
              <w:ind w:firstLine="0" w:firstLineChars="0"/>
              <w:jc w:val="center"/>
              <w:rPr>
                <w:rFonts w:hint="eastAsia"/>
                <w:color w:val="auto"/>
                <w:sz w:val="21"/>
                <w:szCs w:val="21"/>
              </w:rPr>
            </w:pPr>
            <w:r>
              <w:rPr>
                <w:rFonts w:hint="eastAsia"/>
                <w:color w:val="auto"/>
                <w:sz w:val="21"/>
                <w:szCs w:val="21"/>
              </w:rPr>
              <w:t>/</w:t>
            </w:r>
          </w:p>
        </w:tc>
      </w:tr>
      <w:tr w14:paraId="0DDB1A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5E578931">
            <w:pPr>
              <w:pageBreakBefore w:val="0"/>
              <w:wordWrap/>
              <w:bidi w:val="0"/>
              <w:adjustRightInd/>
              <w:snapToGrid/>
              <w:spacing w:line="300" w:lineRule="exact"/>
              <w:ind w:firstLine="0" w:firstLineChars="0"/>
              <w:rPr>
                <w:color w:val="auto"/>
                <w:sz w:val="21"/>
                <w:szCs w:val="21"/>
              </w:rPr>
            </w:pPr>
          </w:p>
        </w:tc>
        <w:tc>
          <w:tcPr>
            <w:tcW w:w="222" w:type="pct"/>
            <w:vMerge w:val="restart"/>
            <w:tcBorders>
              <w:tl2br w:val="nil"/>
              <w:tr2bl w:val="nil"/>
            </w:tcBorders>
            <w:noWrap w:val="0"/>
            <w:vAlign w:val="center"/>
          </w:tcPr>
          <w:p w14:paraId="7E834095">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园区环境监测站</w:t>
            </w:r>
          </w:p>
        </w:tc>
        <w:tc>
          <w:tcPr>
            <w:tcW w:w="534" w:type="pct"/>
            <w:gridSpan w:val="2"/>
            <w:tcBorders>
              <w:tl2br w:val="nil"/>
              <w:tr2bl w:val="nil"/>
            </w:tcBorders>
            <w:noWrap w:val="0"/>
            <w:vAlign w:val="center"/>
          </w:tcPr>
          <w:p w14:paraId="5461A130">
            <w:pPr>
              <w:pageBreakBefore w:val="0"/>
              <w:wordWrap/>
              <w:bidi w:val="0"/>
              <w:adjustRightInd/>
              <w:snapToGrid/>
              <w:spacing w:line="300" w:lineRule="exact"/>
              <w:ind w:firstLine="0" w:firstLineChars="0"/>
              <w:jc w:val="center"/>
              <w:rPr>
                <w:rFonts w:hint="eastAsia"/>
                <w:color w:val="auto"/>
                <w:sz w:val="21"/>
                <w:szCs w:val="21"/>
                <w:lang w:val="en-US" w:eastAsia="zh-CN"/>
              </w:rPr>
            </w:pPr>
            <w:r>
              <w:rPr>
                <w:rFonts w:hint="eastAsia"/>
                <w:color w:val="auto"/>
                <w:sz w:val="21"/>
                <w:szCs w:val="21"/>
                <w:lang w:val="en-US" w:eastAsia="zh-CN"/>
              </w:rPr>
              <w:t>常规空气站、颗粒物及光化学组分站</w:t>
            </w:r>
          </w:p>
        </w:tc>
        <w:tc>
          <w:tcPr>
            <w:tcW w:w="3340" w:type="pct"/>
            <w:tcBorders>
              <w:tl2br w:val="nil"/>
              <w:tr2bl w:val="nil"/>
            </w:tcBorders>
            <w:noWrap w:val="0"/>
            <w:vAlign w:val="center"/>
          </w:tcPr>
          <w:p w14:paraId="43C4338F">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位于园区规划消防站二楼；</w:t>
            </w:r>
          </w:p>
          <w:p w14:paraId="5C38CBB4">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b/>
                <w:bCs/>
                <w:color w:val="auto"/>
                <w:sz w:val="21"/>
                <w:szCs w:val="21"/>
                <w:lang w:val="en-US" w:eastAsia="zh-CN"/>
              </w:rPr>
              <w:t>常规空气站部分（敏感目标）监测项目：</w:t>
            </w:r>
            <w:r>
              <w:rPr>
                <w:rFonts w:hint="eastAsia"/>
                <w:color w:val="auto"/>
                <w:sz w:val="21"/>
                <w:szCs w:val="21"/>
                <w:lang w:val="en-US" w:eastAsia="zh-CN"/>
              </w:rPr>
              <w:t>常规空气六参数，包括SO</w:t>
            </w:r>
            <w:r>
              <w:rPr>
                <w:rFonts w:hint="eastAsia"/>
                <w:color w:val="auto"/>
                <w:sz w:val="21"/>
                <w:szCs w:val="21"/>
                <w:vertAlign w:val="subscript"/>
                <w:lang w:val="en-US" w:eastAsia="zh-CN"/>
              </w:rPr>
              <w:t>2</w:t>
            </w:r>
            <w:r>
              <w:rPr>
                <w:rFonts w:hint="eastAsia"/>
                <w:color w:val="auto"/>
                <w:sz w:val="21"/>
                <w:szCs w:val="21"/>
                <w:lang w:val="en-US" w:eastAsia="zh-CN"/>
              </w:rPr>
              <w:t>、NOx、CO、O</w:t>
            </w:r>
            <w:r>
              <w:rPr>
                <w:rFonts w:hint="eastAsia"/>
                <w:color w:val="auto"/>
                <w:sz w:val="21"/>
                <w:szCs w:val="21"/>
                <w:vertAlign w:val="subscript"/>
                <w:lang w:val="en-US" w:eastAsia="zh-CN"/>
              </w:rPr>
              <w:t>3</w:t>
            </w:r>
            <w:r>
              <w:rPr>
                <w:rFonts w:hint="eastAsia"/>
                <w:color w:val="auto"/>
                <w:sz w:val="21"/>
                <w:szCs w:val="21"/>
                <w:lang w:val="en-US" w:eastAsia="zh-CN"/>
              </w:rPr>
              <w:t>、PM</w:t>
            </w:r>
            <w:r>
              <w:rPr>
                <w:rFonts w:hint="eastAsia"/>
                <w:color w:val="auto"/>
                <w:sz w:val="21"/>
                <w:szCs w:val="21"/>
                <w:vertAlign w:val="subscript"/>
                <w:lang w:val="en-US" w:eastAsia="zh-CN"/>
              </w:rPr>
              <w:t>10</w:t>
            </w:r>
            <w:r>
              <w:rPr>
                <w:rFonts w:hint="eastAsia"/>
                <w:color w:val="auto"/>
                <w:sz w:val="21"/>
                <w:szCs w:val="21"/>
                <w:lang w:val="en-US" w:eastAsia="zh-CN"/>
              </w:rPr>
              <w:t>、PM2.5以及气象五参数。</w:t>
            </w:r>
          </w:p>
          <w:p w14:paraId="3D91E58C">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b/>
                <w:bCs/>
                <w:color w:val="auto"/>
                <w:sz w:val="21"/>
                <w:szCs w:val="21"/>
                <w:lang w:val="en-US" w:eastAsia="zh-CN"/>
              </w:rPr>
              <w:t>颗粒物及光化学组分监测项目：</w:t>
            </w:r>
            <w:r>
              <w:rPr>
                <w:rFonts w:hint="eastAsia"/>
                <w:color w:val="auto"/>
                <w:sz w:val="21"/>
                <w:szCs w:val="21"/>
                <w:lang w:val="en-US" w:eastAsia="zh-CN"/>
              </w:rPr>
              <w:t>元素碳、有机碳；PM2.5中的水溶性离子（包括硫酸根离子、硝酸根离子、氟离子、氯离子、钠离子、铵根离子、钾离子、镁离子、钙离子等）：环境空气中117种挥发性有机物（包括57种PAMS物质13种醛酮类物质、47种TO15物质监测）；甲醛、非甲烷总烃、总烃、甲烷气象五参数。</w:t>
            </w:r>
          </w:p>
        </w:tc>
        <w:tc>
          <w:tcPr>
            <w:tcW w:w="287" w:type="pct"/>
            <w:vMerge w:val="continue"/>
            <w:tcBorders>
              <w:tl2br w:val="nil"/>
              <w:tr2bl w:val="nil"/>
            </w:tcBorders>
            <w:noWrap w:val="0"/>
            <w:vAlign w:val="center"/>
          </w:tcPr>
          <w:p w14:paraId="48238BFC">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45477B4C">
            <w:pPr>
              <w:pageBreakBefore w:val="0"/>
              <w:wordWrap/>
              <w:bidi w:val="0"/>
              <w:adjustRightInd/>
              <w:snapToGrid/>
              <w:spacing w:line="300" w:lineRule="exact"/>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r>
      <w:tr w14:paraId="56B51C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1A89C4D1">
            <w:pPr>
              <w:pageBreakBefore w:val="0"/>
              <w:wordWrap/>
              <w:bidi w:val="0"/>
              <w:adjustRightInd/>
              <w:snapToGrid/>
              <w:spacing w:line="300" w:lineRule="exact"/>
              <w:ind w:firstLine="0" w:firstLineChars="0"/>
              <w:rPr>
                <w:color w:val="auto"/>
                <w:sz w:val="21"/>
                <w:szCs w:val="21"/>
              </w:rPr>
            </w:pPr>
          </w:p>
        </w:tc>
        <w:tc>
          <w:tcPr>
            <w:tcW w:w="222" w:type="pct"/>
            <w:vMerge w:val="continue"/>
            <w:tcBorders>
              <w:tl2br w:val="nil"/>
              <w:tr2bl w:val="nil"/>
            </w:tcBorders>
            <w:noWrap w:val="0"/>
            <w:vAlign w:val="center"/>
          </w:tcPr>
          <w:p w14:paraId="444BC091">
            <w:pPr>
              <w:pageBreakBefore w:val="0"/>
              <w:wordWrap/>
              <w:bidi w:val="0"/>
              <w:adjustRightInd/>
              <w:snapToGrid/>
              <w:spacing w:line="300" w:lineRule="exact"/>
              <w:ind w:firstLine="0" w:firstLineChars="0"/>
              <w:jc w:val="center"/>
              <w:rPr>
                <w:color w:val="auto"/>
                <w:sz w:val="21"/>
                <w:szCs w:val="21"/>
              </w:rPr>
            </w:pPr>
          </w:p>
        </w:tc>
        <w:tc>
          <w:tcPr>
            <w:tcW w:w="534" w:type="pct"/>
            <w:gridSpan w:val="2"/>
            <w:tcBorders>
              <w:tl2br w:val="nil"/>
              <w:tr2bl w:val="nil"/>
            </w:tcBorders>
            <w:noWrap w:val="0"/>
            <w:vAlign w:val="center"/>
          </w:tcPr>
          <w:p w14:paraId="059BF8B2">
            <w:pPr>
              <w:pageBreakBefore w:val="0"/>
              <w:wordWrap/>
              <w:bidi w:val="0"/>
              <w:adjustRightInd/>
              <w:snapToGrid/>
              <w:spacing w:line="300" w:lineRule="exact"/>
              <w:ind w:firstLine="0" w:firstLineChars="0"/>
              <w:jc w:val="center"/>
              <w:rPr>
                <w:rFonts w:hint="eastAsia"/>
                <w:color w:val="auto"/>
                <w:sz w:val="21"/>
                <w:szCs w:val="21"/>
                <w:lang w:val="en-US" w:eastAsia="zh-CN"/>
              </w:rPr>
            </w:pPr>
            <w:r>
              <w:rPr>
                <w:rFonts w:hint="eastAsia"/>
                <w:color w:val="auto"/>
                <w:sz w:val="21"/>
                <w:szCs w:val="21"/>
                <w:lang w:val="en-US" w:eastAsia="zh-CN"/>
              </w:rPr>
              <w:t>水质自动监测系统</w:t>
            </w:r>
          </w:p>
        </w:tc>
        <w:tc>
          <w:tcPr>
            <w:tcW w:w="3340" w:type="pct"/>
            <w:tcBorders>
              <w:tl2br w:val="nil"/>
              <w:tr2bl w:val="nil"/>
            </w:tcBorders>
            <w:noWrap w:val="0"/>
            <w:vAlign w:val="center"/>
          </w:tcPr>
          <w:p w14:paraId="671EF3F4">
            <w:pPr>
              <w:pageBreakBefore w:val="0"/>
              <w:wordWrap/>
              <w:bidi w:val="0"/>
              <w:adjustRightInd/>
              <w:snapToGrid/>
              <w:spacing w:line="300" w:lineRule="exact"/>
              <w:ind w:firstLine="0" w:firstLineChars="0"/>
              <w:rPr>
                <w:rFonts w:hint="default" w:eastAsia="宋体"/>
                <w:color w:val="auto"/>
                <w:sz w:val="21"/>
                <w:szCs w:val="21"/>
                <w:lang w:val="en-US" w:eastAsia="zh-CN"/>
              </w:rPr>
            </w:pPr>
            <w:r>
              <w:rPr>
                <w:rFonts w:hint="eastAsia"/>
                <w:b/>
                <w:bCs/>
                <w:color w:val="auto"/>
                <w:sz w:val="21"/>
                <w:szCs w:val="21"/>
                <w:lang w:val="en-US" w:eastAsia="zh-CN"/>
              </w:rPr>
              <w:t>水质自动监测系统监测项目：</w:t>
            </w:r>
            <w:r>
              <w:rPr>
                <w:rFonts w:hint="eastAsia"/>
                <w:color w:val="auto"/>
                <w:sz w:val="21"/>
                <w:szCs w:val="21"/>
                <w:lang w:val="en-US" w:eastAsia="zh-CN"/>
              </w:rPr>
              <w:t>水温、PH、溶解氧、电导率、浊度、高锰酸盐、化学需氧量、氨氮、总磷、总氮。</w:t>
            </w:r>
          </w:p>
        </w:tc>
        <w:tc>
          <w:tcPr>
            <w:tcW w:w="287" w:type="pct"/>
            <w:vMerge w:val="continue"/>
            <w:tcBorders>
              <w:tl2br w:val="nil"/>
              <w:tr2bl w:val="nil"/>
            </w:tcBorders>
            <w:noWrap w:val="0"/>
            <w:vAlign w:val="center"/>
          </w:tcPr>
          <w:p w14:paraId="4829F10A">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791CCF88">
            <w:pPr>
              <w:pageBreakBefore w:val="0"/>
              <w:wordWrap/>
              <w:bidi w:val="0"/>
              <w:adjustRightInd/>
              <w:snapToGrid/>
              <w:spacing w:line="300" w:lineRule="exact"/>
              <w:ind w:firstLine="0" w:firstLineChars="0"/>
              <w:jc w:val="center"/>
              <w:rPr>
                <w:rFonts w:hint="eastAsia" w:eastAsia="宋体"/>
                <w:color w:val="auto"/>
                <w:sz w:val="21"/>
                <w:szCs w:val="21"/>
                <w:lang w:val="en-US" w:eastAsia="zh-CN"/>
              </w:rPr>
            </w:pPr>
            <w:r>
              <w:rPr>
                <w:rFonts w:hint="eastAsia"/>
                <w:color w:val="auto"/>
                <w:sz w:val="21"/>
                <w:szCs w:val="21"/>
                <w:lang w:val="en-US" w:eastAsia="zh-CN"/>
              </w:rPr>
              <w:t>废水</w:t>
            </w:r>
          </w:p>
        </w:tc>
      </w:tr>
      <w:tr w14:paraId="34F83D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restart"/>
            <w:tcBorders>
              <w:tl2br w:val="nil"/>
              <w:tr2bl w:val="nil"/>
            </w:tcBorders>
            <w:noWrap w:val="0"/>
            <w:vAlign w:val="center"/>
          </w:tcPr>
          <w:p w14:paraId="2D905F70">
            <w:pPr>
              <w:pageBreakBefore w:val="0"/>
              <w:wordWrap/>
              <w:bidi w:val="0"/>
              <w:adjustRightInd/>
              <w:snapToGrid/>
              <w:spacing w:line="300" w:lineRule="exact"/>
              <w:ind w:firstLine="0" w:firstLineChars="0"/>
              <w:jc w:val="center"/>
              <w:rPr>
                <w:color w:val="auto"/>
                <w:sz w:val="21"/>
                <w:szCs w:val="21"/>
              </w:rPr>
            </w:pPr>
            <w:r>
              <w:rPr>
                <w:color w:val="auto"/>
                <w:sz w:val="21"/>
                <w:szCs w:val="21"/>
              </w:rPr>
              <w:t>配套辅助设施</w:t>
            </w:r>
          </w:p>
        </w:tc>
        <w:tc>
          <w:tcPr>
            <w:tcW w:w="756" w:type="pct"/>
            <w:gridSpan w:val="3"/>
            <w:tcBorders>
              <w:tl2br w:val="nil"/>
              <w:tr2bl w:val="nil"/>
            </w:tcBorders>
            <w:noWrap w:val="0"/>
            <w:vAlign w:val="center"/>
          </w:tcPr>
          <w:p w14:paraId="53DC7128">
            <w:pPr>
              <w:pageBreakBefore w:val="0"/>
              <w:wordWrap/>
              <w:bidi w:val="0"/>
              <w:adjustRightInd/>
              <w:snapToGrid/>
              <w:spacing w:line="300" w:lineRule="exact"/>
              <w:ind w:firstLine="0" w:firstLineChars="0"/>
              <w:jc w:val="center"/>
              <w:rPr>
                <w:rFonts w:ascii="Times New Roman" w:hAnsi="Times New Roman" w:eastAsia="宋体"/>
                <w:color w:val="auto"/>
                <w:kern w:val="2"/>
                <w:sz w:val="21"/>
                <w:szCs w:val="21"/>
                <w:lang w:val="en-US" w:eastAsia="zh-CN" w:bidi="ar-SA"/>
              </w:rPr>
            </w:pPr>
            <w:r>
              <w:rPr>
                <w:rFonts w:hint="eastAsia"/>
                <w:color w:val="auto"/>
                <w:sz w:val="21"/>
                <w:szCs w:val="21"/>
              </w:rPr>
              <w:t>污泥脱水车间</w:t>
            </w:r>
          </w:p>
        </w:tc>
        <w:tc>
          <w:tcPr>
            <w:tcW w:w="3340" w:type="pct"/>
            <w:tcBorders>
              <w:tl2br w:val="nil"/>
              <w:tr2bl w:val="nil"/>
            </w:tcBorders>
            <w:noWrap w:val="0"/>
            <w:vAlign w:val="center"/>
          </w:tcPr>
          <w:p w14:paraId="49B30B68">
            <w:pPr>
              <w:pageBreakBefore w:val="0"/>
              <w:wordWrap/>
              <w:bidi w:val="0"/>
              <w:adjustRightInd/>
              <w:snapToGrid/>
              <w:spacing w:line="300" w:lineRule="exact"/>
              <w:ind w:firstLine="0" w:firstLineChars="0"/>
              <w:rPr>
                <w:rFonts w:hint="default" w:ascii="Times New Roman" w:hAnsi="Times New Roman" w:eastAsia="宋体"/>
                <w:color w:val="auto"/>
                <w:kern w:val="2"/>
                <w:sz w:val="21"/>
                <w:szCs w:val="21"/>
                <w:lang w:val="en-US" w:eastAsia="zh-CN" w:bidi="ar-SA"/>
              </w:rPr>
            </w:pPr>
            <w:r>
              <w:rPr>
                <w:rFonts w:hint="eastAsia"/>
                <w:color w:val="auto"/>
                <w:sz w:val="21"/>
                <w:szCs w:val="21"/>
                <w:lang w:val="en-US" w:eastAsia="zh-CN"/>
              </w:rPr>
              <w:t>污泥脱水车间与磁混凝沉淀池合建1座，污泥脱水车间位于地面2F，框架结构，总尺寸L×B×H=28.40m×19.20m×15.7m，将整个厂区的污泥进行机械脱水至含水率60%以下。</w:t>
            </w:r>
          </w:p>
        </w:tc>
        <w:tc>
          <w:tcPr>
            <w:tcW w:w="287" w:type="pct"/>
            <w:vMerge w:val="continue"/>
            <w:tcBorders>
              <w:tl2br w:val="nil"/>
              <w:tr2bl w:val="nil"/>
            </w:tcBorders>
            <w:noWrap w:val="0"/>
            <w:vAlign w:val="center"/>
          </w:tcPr>
          <w:p w14:paraId="41FEE122">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7A797A67">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废水、废气、固废</w:t>
            </w:r>
          </w:p>
        </w:tc>
      </w:tr>
      <w:tr w14:paraId="345F0C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43D056DB">
            <w:pPr>
              <w:pageBreakBefore w:val="0"/>
              <w:wordWrap/>
              <w:bidi w:val="0"/>
              <w:adjustRightInd/>
              <w:snapToGrid/>
              <w:spacing w:line="300" w:lineRule="exact"/>
              <w:ind w:firstLine="0" w:firstLineChars="0"/>
              <w:jc w:val="center"/>
              <w:rPr>
                <w:color w:val="auto"/>
                <w:sz w:val="21"/>
                <w:szCs w:val="21"/>
              </w:rPr>
            </w:pPr>
          </w:p>
        </w:tc>
        <w:tc>
          <w:tcPr>
            <w:tcW w:w="756" w:type="pct"/>
            <w:gridSpan w:val="3"/>
            <w:tcBorders>
              <w:tl2br w:val="nil"/>
              <w:tr2bl w:val="nil"/>
            </w:tcBorders>
            <w:noWrap w:val="0"/>
            <w:vAlign w:val="center"/>
          </w:tcPr>
          <w:p w14:paraId="62C46793">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污泥池</w:t>
            </w:r>
          </w:p>
        </w:tc>
        <w:tc>
          <w:tcPr>
            <w:tcW w:w="3340" w:type="pct"/>
            <w:tcBorders>
              <w:tl2br w:val="nil"/>
              <w:tr2bl w:val="nil"/>
            </w:tcBorders>
            <w:noWrap w:val="0"/>
            <w:vAlign w:val="center"/>
          </w:tcPr>
          <w:p w14:paraId="42C05774">
            <w:pPr>
              <w:pageBreakBefore w:val="0"/>
              <w:wordWrap/>
              <w:bidi w:val="0"/>
              <w:adjustRightInd/>
              <w:snapToGrid/>
              <w:spacing w:line="300" w:lineRule="exact"/>
              <w:ind w:firstLine="0" w:firstLineChars="0"/>
              <w:rPr>
                <w:rFonts w:hint="eastAsia"/>
                <w:color w:val="auto"/>
                <w:sz w:val="21"/>
                <w:szCs w:val="21"/>
                <w:lang w:eastAsia="zh-CN"/>
              </w:rPr>
            </w:pPr>
            <w:r>
              <w:rPr>
                <w:color w:val="auto"/>
                <w:sz w:val="21"/>
                <w:szCs w:val="21"/>
              </w:rPr>
              <w:t>1座</w:t>
            </w:r>
            <w:r>
              <w:rPr>
                <w:rFonts w:hint="eastAsia"/>
                <w:color w:val="auto"/>
                <w:sz w:val="21"/>
                <w:szCs w:val="21"/>
                <w:lang w:eastAsia="zh-CN"/>
              </w:rPr>
              <w:t>，</w:t>
            </w:r>
            <w:r>
              <w:rPr>
                <w:rFonts w:hint="eastAsia"/>
                <w:color w:val="auto"/>
                <w:sz w:val="21"/>
                <w:szCs w:val="21"/>
                <w:lang w:val="en-US" w:eastAsia="zh-CN"/>
              </w:rPr>
              <w:t>分2格</w:t>
            </w:r>
            <w:r>
              <w:rPr>
                <w:color w:val="auto"/>
                <w:sz w:val="21"/>
                <w:szCs w:val="21"/>
              </w:rPr>
              <w:t>，钢筋砼</w:t>
            </w:r>
            <w:r>
              <w:rPr>
                <w:rFonts w:hint="eastAsia"/>
                <w:color w:val="auto"/>
                <w:sz w:val="21"/>
                <w:szCs w:val="21"/>
                <w:lang w:val="en-US" w:eastAsia="zh-CN"/>
              </w:rPr>
              <w:t>结构</w:t>
            </w:r>
            <w:r>
              <w:rPr>
                <w:color w:val="auto"/>
                <w:sz w:val="21"/>
                <w:szCs w:val="21"/>
              </w:rPr>
              <w:t>，</w:t>
            </w:r>
            <w:r>
              <w:rPr>
                <w:rFonts w:hint="eastAsia"/>
                <w:color w:val="auto"/>
                <w:sz w:val="21"/>
                <w:szCs w:val="21"/>
              </w:rPr>
              <w:t>L×B×H=8.30m×5.00m×5.0m</w:t>
            </w:r>
            <w:r>
              <w:rPr>
                <w:rFonts w:hint="eastAsia"/>
                <w:color w:val="auto"/>
                <w:sz w:val="21"/>
                <w:szCs w:val="21"/>
                <w:lang w:eastAsia="zh-CN"/>
              </w:rPr>
              <w:t>。</w:t>
            </w:r>
          </w:p>
          <w:p w14:paraId="0800007F">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b/>
                <w:bCs/>
                <w:color w:val="auto"/>
                <w:sz w:val="21"/>
                <w:szCs w:val="21"/>
                <w:lang w:val="en-US" w:eastAsia="zh-CN"/>
              </w:rPr>
              <w:t>主要功能：</w:t>
            </w:r>
            <w:r>
              <w:rPr>
                <w:rFonts w:hint="eastAsia"/>
                <w:color w:val="auto"/>
                <w:sz w:val="21"/>
                <w:szCs w:val="21"/>
                <w:lang w:val="en-US" w:eastAsia="zh-CN"/>
              </w:rPr>
              <w:t>暂存生化剩余污泥、物化污泥、作为全厂污泥进入污泥脱水系统前的暂存池。</w:t>
            </w:r>
          </w:p>
        </w:tc>
        <w:tc>
          <w:tcPr>
            <w:tcW w:w="287" w:type="pct"/>
            <w:vMerge w:val="continue"/>
            <w:tcBorders>
              <w:tl2br w:val="nil"/>
              <w:tr2bl w:val="nil"/>
            </w:tcBorders>
            <w:noWrap w:val="0"/>
            <w:vAlign w:val="center"/>
          </w:tcPr>
          <w:p w14:paraId="3F911A16">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1A7E327F">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废气、固废</w:t>
            </w:r>
          </w:p>
        </w:tc>
      </w:tr>
      <w:tr w14:paraId="1833A5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74EB861A">
            <w:pPr>
              <w:pageBreakBefore w:val="0"/>
              <w:wordWrap/>
              <w:bidi w:val="0"/>
              <w:adjustRightInd/>
              <w:snapToGrid/>
              <w:spacing w:line="300" w:lineRule="exact"/>
              <w:ind w:firstLine="0" w:firstLineChars="0"/>
              <w:jc w:val="center"/>
              <w:rPr>
                <w:color w:val="auto"/>
                <w:sz w:val="21"/>
                <w:szCs w:val="21"/>
              </w:rPr>
            </w:pPr>
          </w:p>
        </w:tc>
        <w:tc>
          <w:tcPr>
            <w:tcW w:w="756" w:type="pct"/>
            <w:gridSpan w:val="3"/>
            <w:tcBorders>
              <w:tl2br w:val="nil"/>
              <w:tr2bl w:val="nil"/>
            </w:tcBorders>
            <w:noWrap w:val="0"/>
            <w:vAlign w:val="center"/>
          </w:tcPr>
          <w:p w14:paraId="3AE9A115">
            <w:pPr>
              <w:pageBreakBefore w:val="0"/>
              <w:wordWrap/>
              <w:bidi w:val="0"/>
              <w:adjustRightInd/>
              <w:snapToGrid/>
              <w:spacing w:line="300" w:lineRule="exact"/>
              <w:ind w:firstLine="0" w:firstLineChars="0"/>
              <w:jc w:val="center"/>
              <w:rPr>
                <w:rFonts w:hint="eastAsia"/>
                <w:color w:val="auto"/>
                <w:sz w:val="21"/>
                <w:szCs w:val="21"/>
              </w:rPr>
            </w:pPr>
            <w:r>
              <w:rPr>
                <w:rFonts w:hint="eastAsia"/>
                <w:color w:val="auto"/>
                <w:sz w:val="21"/>
                <w:szCs w:val="21"/>
                <w:lang w:val="en-US" w:eastAsia="zh-CN"/>
              </w:rPr>
              <w:t>应急事故池</w:t>
            </w:r>
          </w:p>
        </w:tc>
        <w:tc>
          <w:tcPr>
            <w:tcW w:w="3340" w:type="pct"/>
            <w:tcBorders>
              <w:tl2br w:val="nil"/>
              <w:tr2bl w:val="nil"/>
            </w:tcBorders>
            <w:noWrap w:val="0"/>
            <w:vAlign w:val="center"/>
          </w:tcPr>
          <w:p w14:paraId="7064DFE2">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b w:val="0"/>
                <w:bCs/>
                <w:i w:val="0"/>
                <w:iCs/>
                <w:color w:val="auto"/>
                <w:sz w:val="21"/>
                <w:szCs w:val="21"/>
                <w:lang w:val="en-US" w:eastAsia="zh-CN"/>
              </w:rPr>
              <w:t>新建应急事故池1座，钢筋砼结构，内分2格，总尺寸L×B×H=29.60m×14.9m×8.05m，有效水深6.8m；</w:t>
            </w:r>
            <w:r>
              <w:rPr>
                <w:rFonts w:hint="eastAsia"/>
                <w:color w:val="auto"/>
                <w:sz w:val="21"/>
                <w:szCs w:val="21"/>
                <w:lang w:val="en-US" w:eastAsia="zh-CN"/>
              </w:rPr>
              <w:t>设计规模：6000m³/d，有效容积3000m³，停留时间：12.0h；</w:t>
            </w:r>
          </w:p>
          <w:p w14:paraId="01598CEE">
            <w:pPr>
              <w:pageBreakBefore w:val="0"/>
              <w:wordWrap/>
              <w:bidi w:val="0"/>
              <w:adjustRightInd/>
              <w:snapToGrid/>
              <w:spacing w:line="300" w:lineRule="exact"/>
              <w:ind w:firstLine="0" w:firstLineChars="0"/>
              <w:rPr>
                <w:rFonts w:hint="eastAsia"/>
                <w:b/>
                <w:bCs/>
                <w:color w:val="auto"/>
                <w:sz w:val="21"/>
                <w:szCs w:val="21"/>
                <w:lang w:val="en-US" w:eastAsia="zh-CN"/>
              </w:rPr>
            </w:pPr>
            <w:r>
              <w:rPr>
                <w:rFonts w:hint="eastAsia"/>
                <w:b/>
                <w:bCs/>
                <w:color w:val="auto"/>
                <w:sz w:val="21"/>
                <w:szCs w:val="21"/>
                <w:lang w:val="en-US" w:eastAsia="zh-CN"/>
              </w:rPr>
              <w:t>主要功能：在污水处理厂出现事故时</w:t>
            </w:r>
            <w:r>
              <w:rPr>
                <w:rFonts w:hint="eastAsia"/>
                <w:color w:val="auto"/>
                <w:sz w:val="21"/>
                <w:szCs w:val="21"/>
                <w:lang w:val="en-US" w:eastAsia="zh-CN"/>
              </w:rPr>
              <w:t>将暂不能处理的事故废水进行暂存，待事故解除后再将其有序泵入污水处理工艺流程进行处理。</w:t>
            </w:r>
          </w:p>
        </w:tc>
        <w:tc>
          <w:tcPr>
            <w:tcW w:w="287" w:type="pct"/>
            <w:vMerge w:val="continue"/>
            <w:tcBorders>
              <w:tl2br w:val="nil"/>
              <w:tr2bl w:val="nil"/>
            </w:tcBorders>
            <w:noWrap w:val="0"/>
            <w:vAlign w:val="center"/>
          </w:tcPr>
          <w:p w14:paraId="7DF8768C">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191159D0">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废水、废气</w:t>
            </w:r>
          </w:p>
        </w:tc>
      </w:tr>
      <w:tr w14:paraId="45F8BF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2C6D9148">
            <w:pPr>
              <w:pageBreakBefore w:val="0"/>
              <w:wordWrap/>
              <w:bidi w:val="0"/>
              <w:adjustRightInd/>
              <w:snapToGrid/>
              <w:spacing w:line="300" w:lineRule="exact"/>
              <w:ind w:firstLine="0" w:firstLineChars="0"/>
              <w:jc w:val="center"/>
              <w:rPr>
                <w:color w:val="auto"/>
                <w:sz w:val="21"/>
                <w:szCs w:val="21"/>
              </w:rPr>
            </w:pPr>
          </w:p>
        </w:tc>
        <w:tc>
          <w:tcPr>
            <w:tcW w:w="756" w:type="pct"/>
            <w:gridSpan w:val="3"/>
            <w:tcBorders>
              <w:tl2br w:val="nil"/>
              <w:tr2bl w:val="nil"/>
            </w:tcBorders>
            <w:noWrap w:val="0"/>
            <w:vAlign w:val="center"/>
          </w:tcPr>
          <w:p w14:paraId="304CA0D1">
            <w:pPr>
              <w:pageBreakBefore w:val="0"/>
              <w:wordWrap/>
              <w:bidi w:val="0"/>
              <w:adjustRightInd/>
              <w:snapToGrid/>
              <w:spacing w:line="300" w:lineRule="exact"/>
              <w:ind w:firstLine="0" w:firstLineChars="0"/>
              <w:jc w:val="center"/>
              <w:rPr>
                <w:rFonts w:hint="eastAsia" w:ascii="Times New Roman" w:hAnsi="Times New Roman" w:eastAsia="宋体"/>
                <w:color w:val="auto"/>
                <w:kern w:val="2"/>
                <w:sz w:val="21"/>
                <w:szCs w:val="21"/>
                <w:lang w:val="en-US" w:eastAsia="zh-CN" w:bidi="ar-SA"/>
              </w:rPr>
            </w:pPr>
            <w:r>
              <w:rPr>
                <w:rFonts w:hint="eastAsia"/>
                <w:color w:val="auto"/>
                <w:sz w:val="21"/>
                <w:szCs w:val="21"/>
              </w:rPr>
              <w:t>园区应急事故池</w:t>
            </w:r>
          </w:p>
        </w:tc>
        <w:tc>
          <w:tcPr>
            <w:tcW w:w="3340" w:type="pct"/>
            <w:tcBorders>
              <w:tl2br w:val="nil"/>
              <w:tr2bl w:val="nil"/>
            </w:tcBorders>
            <w:noWrap w:val="0"/>
            <w:vAlign w:val="center"/>
          </w:tcPr>
          <w:p w14:paraId="1AD7FF1C">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设置园区应急事故池1座，地下水池，内分2个，钢筋砼结构，有效容积：6000m³，总尺寸L×B×H=45.00m×21.00m×7.0m。</w:t>
            </w:r>
          </w:p>
          <w:p w14:paraId="12729120">
            <w:pPr>
              <w:pageBreakBefore w:val="0"/>
              <w:wordWrap/>
              <w:bidi w:val="0"/>
              <w:adjustRightInd/>
              <w:snapToGrid/>
              <w:spacing w:line="300" w:lineRule="exact"/>
              <w:ind w:firstLine="0" w:firstLineChars="0"/>
              <w:rPr>
                <w:rFonts w:hint="eastAsia" w:ascii="Times New Roman" w:hAnsi="Times New Roman" w:eastAsia="宋体"/>
                <w:color w:val="auto"/>
                <w:kern w:val="2"/>
                <w:sz w:val="21"/>
                <w:szCs w:val="21"/>
                <w:lang w:val="en-US" w:eastAsia="zh-CN" w:bidi="ar-SA"/>
              </w:rPr>
            </w:pPr>
            <w:r>
              <w:rPr>
                <w:rFonts w:hint="eastAsia"/>
                <w:b/>
                <w:bCs/>
                <w:color w:val="auto"/>
                <w:sz w:val="21"/>
                <w:szCs w:val="21"/>
                <w:lang w:val="en-US" w:eastAsia="zh-CN"/>
              </w:rPr>
              <w:t>主要功能：在园区出现事故时</w:t>
            </w:r>
            <w:r>
              <w:rPr>
                <w:rFonts w:hint="eastAsia"/>
                <w:color w:val="auto"/>
                <w:sz w:val="21"/>
                <w:szCs w:val="21"/>
                <w:lang w:val="en-US" w:eastAsia="zh-CN"/>
              </w:rPr>
              <w:t>将园区的事故废水进行暂存。</w:t>
            </w:r>
          </w:p>
        </w:tc>
        <w:tc>
          <w:tcPr>
            <w:tcW w:w="287" w:type="pct"/>
            <w:vMerge w:val="continue"/>
            <w:tcBorders>
              <w:tl2br w:val="nil"/>
              <w:tr2bl w:val="nil"/>
            </w:tcBorders>
            <w:noWrap w:val="0"/>
            <w:vAlign w:val="center"/>
          </w:tcPr>
          <w:p w14:paraId="1DECDB6E">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6B4DCC25">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废水、废气</w:t>
            </w:r>
          </w:p>
        </w:tc>
      </w:tr>
      <w:tr w14:paraId="398283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26B23A46">
            <w:pPr>
              <w:pageBreakBefore w:val="0"/>
              <w:wordWrap/>
              <w:bidi w:val="0"/>
              <w:adjustRightInd/>
              <w:snapToGrid/>
              <w:spacing w:line="300" w:lineRule="exact"/>
              <w:ind w:firstLine="0" w:firstLineChars="0"/>
              <w:jc w:val="center"/>
              <w:rPr>
                <w:color w:val="auto"/>
                <w:sz w:val="21"/>
                <w:szCs w:val="21"/>
              </w:rPr>
            </w:pPr>
          </w:p>
        </w:tc>
        <w:tc>
          <w:tcPr>
            <w:tcW w:w="756" w:type="pct"/>
            <w:gridSpan w:val="3"/>
            <w:tcBorders>
              <w:tl2br w:val="nil"/>
              <w:tr2bl w:val="nil"/>
            </w:tcBorders>
            <w:noWrap w:val="0"/>
            <w:vAlign w:val="center"/>
          </w:tcPr>
          <w:p w14:paraId="767B5316">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回用水池及泵房</w:t>
            </w:r>
          </w:p>
        </w:tc>
        <w:tc>
          <w:tcPr>
            <w:tcW w:w="3340" w:type="pct"/>
            <w:tcBorders>
              <w:tl2br w:val="nil"/>
              <w:tr2bl w:val="nil"/>
            </w:tcBorders>
            <w:noWrap w:val="0"/>
            <w:vAlign w:val="center"/>
          </w:tcPr>
          <w:p w14:paraId="47D31030">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b w:val="0"/>
                <w:bCs w:val="0"/>
                <w:color w:val="auto"/>
                <w:sz w:val="21"/>
                <w:szCs w:val="21"/>
                <w:lang w:val="en-US" w:eastAsia="zh-CN"/>
              </w:rPr>
              <w:t>设置回用水池1座（为二期预留容量），</w:t>
            </w:r>
            <w:r>
              <w:rPr>
                <w:rFonts w:hint="eastAsia"/>
                <w:color w:val="auto"/>
                <w:sz w:val="21"/>
                <w:szCs w:val="21"/>
                <w:lang w:val="en-US" w:eastAsia="zh-CN"/>
              </w:rPr>
              <w:t>钢筋砼结构，设计规模：1200m³/d，有效容积：300m³，停留时间：6h，总尺寸L×B×H=15.00m×10.00m×3.00m。</w:t>
            </w:r>
          </w:p>
          <w:p w14:paraId="77DADD18">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b/>
                <w:bCs/>
                <w:color w:val="auto"/>
                <w:sz w:val="21"/>
                <w:szCs w:val="21"/>
                <w:lang w:val="en-US" w:eastAsia="zh-CN"/>
              </w:rPr>
              <w:t>主要功能：</w:t>
            </w:r>
            <w:r>
              <w:rPr>
                <w:rFonts w:hint="default"/>
                <w:color w:val="auto"/>
                <w:sz w:val="21"/>
                <w:szCs w:val="21"/>
                <w:lang w:val="en-US" w:eastAsia="zh-CN"/>
              </w:rPr>
              <w:t>存储回用中水</w:t>
            </w:r>
            <w:r>
              <w:rPr>
                <w:rFonts w:hint="eastAsia"/>
                <w:color w:val="auto"/>
                <w:sz w:val="21"/>
                <w:szCs w:val="21"/>
                <w:lang w:val="en-US" w:eastAsia="zh-CN"/>
              </w:rPr>
              <w:t>，</w:t>
            </w:r>
            <w:r>
              <w:rPr>
                <w:rFonts w:hint="default"/>
                <w:color w:val="auto"/>
                <w:sz w:val="21"/>
                <w:szCs w:val="21"/>
                <w:lang w:val="en-US" w:eastAsia="zh-CN"/>
              </w:rPr>
              <w:t>通过回用中水泵将中水加压送入园区中水回用系统</w:t>
            </w:r>
            <w:r>
              <w:rPr>
                <w:rFonts w:hint="eastAsia"/>
                <w:color w:val="auto"/>
                <w:sz w:val="21"/>
                <w:szCs w:val="21"/>
                <w:lang w:val="en-US" w:eastAsia="zh-CN"/>
              </w:rPr>
              <w:t>。</w:t>
            </w:r>
          </w:p>
        </w:tc>
        <w:tc>
          <w:tcPr>
            <w:tcW w:w="287" w:type="pct"/>
            <w:vMerge w:val="continue"/>
            <w:tcBorders>
              <w:tl2br w:val="nil"/>
              <w:tr2bl w:val="nil"/>
            </w:tcBorders>
            <w:noWrap w:val="0"/>
            <w:vAlign w:val="center"/>
          </w:tcPr>
          <w:p w14:paraId="7FDBAB6A">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193188F2">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噪声</w:t>
            </w:r>
          </w:p>
        </w:tc>
      </w:tr>
      <w:tr w14:paraId="3699D2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1CBBBA21">
            <w:pPr>
              <w:pageBreakBefore w:val="0"/>
              <w:wordWrap/>
              <w:bidi w:val="0"/>
              <w:adjustRightInd/>
              <w:snapToGrid/>
              <w:spacing w:line="300" w:lineRule="exact"/>
              <w:ind w:firstLine="0" w:firstLineChars="0"/>
              <w:jc w:val="center"/>
              <w:rPr>
                <w:color w:val="auto"/>
                <w:sz w:val="21"/>
                <w:szCs w:val="21"/>
              </w:rPr>
            </w:pPr>
          </w:p>
        </w:tc>
        <w:tc>
          <w:tcPr>
            <w:tcW w:w="756" w:type="pct"/>
            <w:gridSpan w:val="3"/>
            <w:tcBorders>
              <w:tl2br w:val="nil"/>
              <w:tr2bl w:val="nil"/>
            </w:tcBorders>
            <w:noWrap w:val="0"/>
            <w:vAlign w:val="center"/>
          </w:tcPr>
          <w:p w14:paraId="594FE0C2">
            <w:pPr>
              <w:pageBreakBefore w:val="0"/>
              <w:wordWrap/>
              <w:bidi w:val="0"/>
              <w:adjustRightInd/>
              <w:snapToGrid/>
              <w:spacing w:line="300" w:lineRule="exact"/>
              <w:ind w:firstLine="0" w:firstLineChars="0"/>
              <w:jc w:val="center"/>
              <w:rPr>
                <w:color w:val="auto"/>
                <w:sz w:val="21"/>
                <w:szCs w:val="21"/>
              </w:rPr>
            </w:pPr>
            <w:r>
              <w:rPr>
                <w:rFonts w:hint="eastAsia"/>
                <w:color w:val="auto"/>
                <w:sz w:val="21"/>
                <w:szCs w:val="21"/>
              </w:rPr>
              <w:t>变配电室及鼓风机房</w:t>
            </w:r>
          </w:p>
        </w:tc>
        <w:tc>
          <w:tcPr>
            <w:tcW w:w="3340" w:type="pct"/>
            <w:tcBorders>
              <w:tl2br w:val="nil"/>
              <w:tr2bl w:val="nil"/>
            </w:tcBorders>
            <w:noWrap w:val="0"/>
            <w:vAlign w:val="center"/>
          </w:tcPr>
          <w:p w14:paraId="74300F2A">
            <w:pPr>
              <w:pageBreakBefore w:val="0"/>
              <w:wordWrap/>
              <w:bidi w:val="0"/>
              <w:adjustRightInd/>
              <w:snapToGrid/>
              <w:spacing w:line="300" w:lineRule="exact"/>
              <w:ind w:firstLine="0" w:firstLineChars="0"/>
              <w:rPr>
                <w:rFonts w:hint="eastAsia"/>
                <w:color w:val="auto"/>
                <w:sz w:val="21"/>
                <w:szCs w:val="21"/>
                <w:lang w:eastAsia="zh-CN"/>
              </w:rPr>
            </w:pPr>
            <w:r>
              <w:rPr>
                <w:rFonts w:hint="eastAsia"/>
                <w:color w:val="auto"/>
                <w:sz w:val="21"/>
                <w:szCs w:val="21"/>
              </w:rPr>
              <w:t>变配电室和鼓风机房为合建建筑</w:t>
            </w:r>
            <w:r>
              <w:rPr>
                <w:rFonts w:hint="eastAsia"/>
                <w:color w:val="auto"/>
                <w:sz w:val="21"/>
                <w:szCs w:val="21"/>
                <w:lang w:eastAsia="zh-CN"/>
              </w:rPr>
              <w:t>，</w:t>
            </w:r>
            <w:r>
              <w:rPr>
                <w:rFonts w:hint="eastAsia"/>
                <w:color w:val="auto"/>
                <w:sz w:val="21"/>
                <w:szCs w:val="21"/>
              </w:rPr>
              <w:t>为丙类单层厂房</w:t>
            </w:r>
            <w:r>
              <w:rPr>
                <w:rFonts w:hint="eastAsia"/>
                <w:color w:val="auto"/>
                <w:sz w:val="21"/>
                <w:szCs w:val="21"/>
                <w:lang w:eastAsia="zh-CN"/>
              </w:rPr>
              <w:t>，</w:t>
            </w:r>
            <w:r>
              <w:rPr>
                <w:rFonts w:hint="eastAsia"/>
                <w:color w:val="auto"/>
                <w:sz w:val="21"/>
                <w:szCs w:val="21"/>
              </w:rPr>
              <w:t>总建筑面积</w:t>
            </w:r>
            <w:r>
              <w:rPr>
                <w:rFonts w:hint="eastAsia"/>
                <w:color w:val="auto"/>
                <w:sz w:val="21"/>
                <w:szCs w:val="21"/>
                <w:lang w:eastAsia="zh-CN"/>
              </w:rPr>
              <w:t>：</w:t>
            </w:r>
            <w:r>
              <w:rPr>
                <w:rFonts w:hint="eastAsia"/>
                <w:color w:val="auto"/>
                <w:sz w:val="21"/>
                <w:szCs w:val="21"/>
              </w:rPr>
              <w:t>275.26平方米</w:t>
            </w:r>
            <w:r>
              <w:rPr>
                <w:rFonts w:hint="eastAsia"/>
                <w:color w:val="auto"/>
                <w:sz w:val="21"/>
                <w:szCs w:val="21"/>
                <w:lang w:eastAsia="zh-CN"/>
              </w:rPr>
              <w:t>，</w:t>
            </w:r>
            <w:r>
              <w:rPr>
                <w:rFonts w:hint="eastAsia"/>
                <w:color w:val="auto"/>
                <w:sz w:val="21"/>
                <w:szCs w:val="21"/>
              </w:rPr>
              <w:t>建筑高度6.9m</w:t>
            </w:r>
            <w:r>
              <w:rPr>
                <w:rFonts w:hint="eastAsia"/>
                <w:color w:val="auto"/>
                <w:sz w:val="21"/>
                <w:szCs w:val="21"/>
                <w:lang w:eastAsia="zh-CN"/>
              </w:rPr>
              <w:t>。</w:t>
            </w:r>
          </w:p>
          <w:p w14:paraId="5B4E0E22">
            <w:pPr>
              <w:pageBreakBefore w:val="0"/>
              <w:wordWrap/>
              <w:bidi w:val="0"/>
              <w:adjustRightInd/>
              <w:snapToGrid/>
              <w:spacing w:line="300" w:lineRule="exact"/>
              <w:ind w:firstLine="0" w:firstLineChars="0"/>
              <w:rPr>
                <w:rFonts w:hint="eastAsia"/>
                <w:color w:val="auto"/>
                <w:sz w:val="21"/>
                <w:szCs w:val="21"/>
                <w:lang w:eastAsia="zh-CN"/>
              </w:rPr>
            </w:pPr>
            <w:r>
              <w:rPr>
                <w:rFonts w:hint="eastAsia"/>
                <w:b/>
                <w:bCs/>
                <w:color w:val="auto"/>
                <w:sz w:val="21"/>
                <w:szCs w:val="21"/>
                <w:lang w:val="en-US" w:eastAsia="zh-CN"/>
              </w:rPr>
              <w:t>主要功能：</w:t>
            </w:r>
            <w:r>
              <w:rPr>
                <w:rFonts w:hint="eastAsia"/>
                <w:b w:val="0"/>
                <w:bCs w:val="0"/>
                <w:color w:val="auto"/>
                <w:sz w:val="21"/>
                <w:szCs w:val="21"/>
                <w:lang w:val="en-US" w:eastAsia="zh-CN"/>
              </w:rPr>
              <w:t>安装一期、二期的配电和自控设施，以及一期、二期的鼓风机设施。</w:t>
            </w:r>
          </w:p>
        </w:tc>
        <w:tc>
          <w:tcPr>
            <w:tcW w:w="287" w:type="pct"/>
            <w:vMerge w:val="continue"/>
            <w:tcBorders>
              <w:tl2br w:val="nil"/>
              <w:tr2bl w:val="nil"/>
            </w:tcBorders>
            <w:noWrap w:val="0"/>
            <w:vAlign w:val="center"/>
          </w:tcPr>
          <w:p w14:paraId="5CA7C0A9">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17358362">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噪声</w:t>
            </w:r>
          </w:p>
        </w:tc>
      </w:tr>
      <w:tr w14:paraId="1A2287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44B67128">
            <w:pPr>
              <w:pageBreakBefore w:val="0"/>
              <w:wordWrap/>
              <w:bidi w:val="0"/>
              <w:adjustRightInd/>
              <w:snapToGrid/>
              <w:spacing w:line="300" w:lineRule="exact"/>
              <w:ind w:firstLine="0" w:firstLineChars="0"/>
              <w:jc w:val="center"/>
              <w:rPr>
                <w:color w:val="auto"/>
                <w:sz w:val="21"/>
                <w:szCs w:val="21"/>
              </w:rPr>
            </w:pPr>
          </w:p>
        </w:tc>
        <w:tc>
          <w:tcPr>
            <w:tcW w:w="756" w:type="pct"/>
            <w:gridSpan w:val="3"/>
            <w:tcBorders>
              <w:tl2br w:val="nil"/>
              <w:tr2bl w:val="nil"/>
            </w:tcBorders>
            <w:noWrap w:val="0"/>
            <w:vAlign w:val="center"/>
          </w:tcPr>
          <w:p w14:paraId="4DF6446F">
            <w:pPr>
              <w:pageBreakBefore w:val="0"/>
              <w:wordWrap/>
              <w:bidi w:val="0"/>
              <w:adjustRightInd/>
              <w:snapToGrid/>
              <w:spacing w:line="300" w:lineRule="exact"/>
              <w:ind w:firstLine="0" w:firstLineChars="0"/>
              <w:jc w:val="center"/>
              <w:rPr>
                <w:color w:val="auto"/>
                <w:sz w:val="21"/>
                <w:szCs w:val="21"/>
              </w:rPr>
            </w:pPr>
            <w:r>
              <w:rPr>
                <w:rFonts w:hint="eastAsia"/>
                <w:color w:val="auto"/>
                <w:sz w:val="21"/>
                <w:szCs w:val="21"/>
              </w:rPr>
              <w:t>机修间及危废间</w:t>
            </w:r>
          </w:p>
        </w:tc>
        <w:tc>
          <w:tcPr>
            <w:tcW w:w="3340" w:type="pct"/>
            <w:tcBorders>
              <w:tl2br w:val="nil"/>
              <w:tr2bl w:val="nil"/>
            </w:tcBorders>
            <w:noWrap w:val="0"/>
            <w:vAlign w:val="center"/>
          </w:tcPr>
          <w:p w14:paraId="1B6BC0E2">
            <w:pPr>
              <w:pageBreakBefore w:val="0"/>
              <w:wordWrap/>
              <w:bidi w:val="0"/>
              <w:adjustRightInd/>
              <w:snapToGrid/>
              <w:spacing w:line="300" w:lineRule="exact"/>
              <w:ind w:firstLine="0" w:firstLineChars="0"/>
              <w:rPr>
                <w:rFonts w:hint="eastAsia"/>
                <w:color w:val="auto"/>
                <w:sz w:val="21"/>
                <w:szCs w:val="21"/>
                <w:lang w:eastAsia="zh-CN"/>
              </w:rPr>
            </w:pPr>
            <w:r>
              <w:rPr>
                <w:rFonts w:hint="eastAsia"/>
                <w:color w:val="auto"/>
                <w:sz w:val="21"/>
                <w:szCs w:val="21"/>
              </w:rPr>
              <w:t>机修间和危废间为合建建筑</w:t>
            </w:r>
            <w:r>
              <w:rPr>
                <w:rFonts w:hint="eastAsia"/>
                <w:color w:val="auto"/>
                <w:sz w:val="21"/>
                <w:szCs w:val="21"/>
                <w:lang w:eastAsia="zh-CN"/>
              </w:rPr>
              <w:t>，</w:t>
            </w:r>
            <w:r>
              <w:rPr>
                <w:rFonts w:hint="eastAsia"/>
                <w:color w:val="auto"/>
                <w:sz w:val="21"/>
                <w:szCs w:val="21"/>
              </w:rPr>
              <w:t>为丙类单层厂房</w:t>
            </w:r>
            <w:r>
              <w:rPr>
                <w:rFonts w:hint="eastAsia"/>
                <w:color w:val="auto"/>
                <w:sz w:val="21"/>
                <w:szCs w:val="21"/>
                <w:lang w:eastAsia="zh-CN"/>
              </w:rPr>
              <w:t>，</w:t>
            </w:r>
            <w:r>
              <w:rPr>
                <w:rFonts w:hint="eastAsia"/>
                <w:color w:val="auto"/>
                <w:sz w:val="21"/>
                <w:szCs w:val="21"/>
              </w:rPr>
              <w:t>总建筑面积</w:t>
            </w:r>
            <w:r>
              <w:rPr>
                <w:rFonts w:hint="eastAsia"/>
                <w:color w:val="auto"/>
                <w:sz w:val="21"/>
                <w:szCs w:val="21"/>
                <w:lang w:eastAsia="zh-CN"/>
              </w:rPr>
              <w:t>：</w:t>
            </w:r>
            <w:r>
              <w:rPr>
                <w:rFonts w:hint="eastAsia"/>
                <w:color w:val="auto"/>
                <w:sz w:val="21"/>
                <w:szCs w:val="21"/>
              </w:rPr>
              <w:t>222.39平方米</w:t>
            </w:r>
            <w:r>
              <w:rPr>
                <w:rFonts w:hint="eastAsia"/>
                <w:color w:val="auto"/>
                <w:sz w:val="21"/>
                <w:szCs w:val="21"/>
                <w:lang w:eastAsia="zh-CN"/>
              </w:rPr>
              <w:t>，</w:t>
            </w:r>
            <w:r>
              <w:rPr>
                <w:rFonts w:hint="eastAsia"/>
                <w:color w:val="auto"/>
                <w:sz w:val="21"/>
                <w:szCs w:val="21"/>
              </w:rPr>
              <w:t>建筑高度7.8m</w:t>
            </w:r>
            <w:r>
              <w:rPr>
                <w:rFonts w:hint="eastAsia"/>
                <w:color w:val="auto"/>
                <w:sz w:val="21"/>
                <w:szCs w:val="21"/>
                <w:lang w:eastAsia="zh-CN"/>
              </w:rPr>
              <w:t>。</w:t>
            </w:r>
          </w:p>
          <w:p w14:paraId="0BADF2D7">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b/>
                <w:bCs/>
                <w:color w:val="auto"/>
                <w:sz w:val="21"/>
                <w:szCs w:val="21"/>
                <w:lang w:val="en-US" w:eastAsia="zh-CN"/>
              </w:rPr>
              <w:t>主要功能：</w:t>
            </w:r>
            <w:r>
              <w:rPr>
                <w:rFonts w:hint="eastAsia"/>
                <w:color w:val="auto"/>
                <w:sz w:val="21"/>
                <w:szCs w:val="21"/>
                <w:lang w:val="en-US" w:eastAsia="zh-CN"/>
              </w:rPr>
              <w:t>为全厂设备进行维修提供场所，暂存全厂的危险废物。</w:t>
            </w:r>
          </w:p>
        </w:tc>
        <w:tc>
          <w:tcPr>
            <w:tcW w:w="287" w:type="pct"/>
            <w:vMerge w:val="continue"/>
            <w:tcBorders>
              <w:tl2br w:val="nil"/>
              <w:tr2bl w:val="nil"/>
            </w:tcBorders>
            <w:noWrap w:val="0"/>
            <w:vAlign w:val="center"/>
          </w:tcPr>
          <w:p w14:paraId="7B0EE535">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0927C534">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噪声、固废</w:t>
            </w:r>
          </w:p>
        </w:tc>
      </w:tr>
      <w:tr w14:paraId="420CDD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014F1C11">
            <w:pPr>
              <w:pageBreakBefore w:val="0"/>
              <w:wordWrap/>
              <w:bidi w:val="0"/>
              <w:adjustRightInd/>
              <w:snapToGrid/>
              <w:spacing w:line="300" w:lineRule="exact"/>
              <w:ind w:firstLine="0" w:firstLineChars="0"/>
              <w:jc w:val="center"/>
              <w:rPr>
                <w:color w:val="auto"/>
                <w:sz w:val="21"/>
                <w:szCs w:val="21"/>
              </w:rPr>
            </w:pPr>
          </w:p>
        </w:tc>
        <w:tc>
          <w:tcPr>
            <w:tcW w:w="756" w:type="pct"/>
            <w:gridSpan w:val="3"/>
            <w:tcBorders>
              <w:tl2br w:val="nil"/>
              <w:tr2bl w:val="nil"/>
            </w:tcBorders>
            <w:noWrap w:val="0"/>
            <w:vAlign w:val="center"/>
          </w:tcPr>
          <w:p w14:paraId="2A6521EF">
            <w:pPr>
              <w:pageBreakBefore w:val="0"/>
              <w:wordWrap/>
              <w:bidi w:val="0"/>
              <w:adjustRightInd/>
              <w:snapToGrid/>
              <w:spacing w:line="300" w:lineRule="exact"/>
              <w:ind w:firstLine="0" w:firstLineChars="0"/>
              <w:jc w:val="center"/>
              <w:rPr>
                <w:rFonts w:hint="eastAsia"/>
                <w:color w:val="auto"/>
                <w:sz w:val="21"/>
                <w:szCs w:val="21"/>
              </w:rPr>
            </w:pPr>
            <w:r>
              <w:rPr>
                <w:rFonts w:hint="eastAsia"/>
                <w:color w:val="auto"/>
                <w:sz w:val="21"/>
                <w:szCs w:val="21"/>
              </w:rPr>
              <w:t>进出水在线监测间</w:t>
            </w:r>
          </w:p>
        </w:tc>
        <w:tc>
          <w:tcPr>
            <w:tcW w:w="3340" w:type="pct"/>
            <w:tcBorders>
              <w:tl2br w:val="nil"/>
              <w:tr2bl w:val="nil"/>
            </w:tcBorders>
            <w:noWrap w:val="0"/>
            <w:vAlign w:val="center"/>
          </w:tcPr>
          <w:p w14:paraId="7F02DB0C">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color w:val="auto"/>
                <w:sz w:val="21"/>
                <w:szCs w:val="21"/>
                <w:lang w:val="en-US" w:eastAsia="zh-CN"/>
              </w:rPr>
              <w:t>1座，1F，框架结构，总建筑面积：38.88平方米，建筑高度3.6m。为进出水在线监测设备提供安装场所。</w:t>
            </w:r>
          </w:p>
        </w:tc>
        <w:tc>
          <w:tcPr>
            <w:tcW w:w="287" w:type="pct"/>
            <w:vMerge w:val="continue"/>
            <w:tcBorders>
              <w:tl2br w:val="nil"/>
              <w:tr2bl w:val="nil"/>
            </w:tcBorders>
            <w:noWrap w:val="0"/>
            <w:vAlign w:val="center"/>
          </w:tcPr>
          <w:p w14:paraId="5888193D">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19ECF472">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废水、噪声、固废</w:t>
            </w:r>
          </w:p>
        </w:tc>
      </w:tr>
      <w:tr w14:paraId="1B2DBB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4B05B6A7">
            <w:pPr>
              <w:pageBreakBefore w:val="0"/>
              <w:wordWrap/>
              <w:bidi w:val="0"/>
              <w:adjustRightInd/>
              <w:snapToGrid/>
              <w:spacing w:line="300" w:lineRule="exact"/>
              <w:ind w:firstLine="0" w:firstLineChars="0"/>
              <w:jc w:val="center"/>
              <w:rPr>
                <w:color w:val="auto"/>
                <w:sz w:val="21"/>
                <w:szCs w:val="21"/>
              </w:rPr>
            </w:pPr>
          </w:p>
        </w:tc>
        <w:tc>
          <w:tcPr>
            <w:tcW w:w="756" w:type="pct"/>
            <w:gridSpan w:val="3"/>
            <w:tcBorders>
              <w:tl2br w:val="nil"/>
              <w:tr2bl w:val="nil"/>
            </w:tcBorders>
            <w:noWrap w:val="0"/>
            <w:vAlign w:val="center"/>
          </w:tcPr>
          <w:p w14:paraId="0D1151C0">
            <w:pPr>
              <w:pageBreakBefore w:val="0"/>
              <w:wordWrap/>
              <w:bidi w:val="0"/>
              <w:adjustRightInd/>
              <w:snapToGrid/>
              <w:spacing w:line="300" w:lineRule="exact"/>
              <w:ind w:firstLine="0" w:firstLineChars="0"/>
              <w:jc w:val="center"/>
              <w:rPr>
                <w:color w:val="auto"/>
                <w:sz w:val="21"/>
                <w:szCs w:val="21"/>
              </w:rPr>
            </w:pPr>
            <w:r>
              <w:rPr>
                <w:rFonts w:hint="eastAsia"/>
                <w:color w:val="auto"/>
                <w:sz w:val="21"/>
                <w:szCs w:val="21"/>
              </w:rPr>
              <w:t>综合办公楼</w:t>
            </w:r>
          </w:p>
        </w:tc>
        <w:tc>
          <w:tcPr>
            <w:tcW w:w="3340" w:type="pct"/>
            <w:tcBorders>
              <w:tl2br w:val="nil"/>
              <w:tr2bl w:val="nil"/>
            </w:tcBorders>
            <w:noWrap w:val="0"/>
            <w:vAlign w:val="center"/>
          </w:tcPr>
          <w:p w14:paraId="5FF96436">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color w:val="auto"/>
                <w:sz w:val="21"/>
                <w:szCs w:val="21"/>
                <w:lang w:val="en-US" w:eastAsia="zh-CN"/>
              </w:rPr>
              <w:t>1座，2F，局部3F，框架结构，总建筑面积：1126.66平方米，建筑高度9.75m。内设置办公区和环境监测大厅，设置常规空气站部分（敏感目标），颗粒物及光化学组分监测、水质自动监测系统。</w:t>
            </w:r>
          </w:p>
        </w:tc>
        <w:tc>
          <w:tcPr>
            <w:tcW w:w="287" w:type="pct"/>
            <w:vMerge w:val="continue"/>
            <w:tcBorders>
              <w:tl2br w:val="nil"/>
              <w:tr2bl w:val="nil"/>
            </w:tcBorders>
            <w:noWrap w:val="0"/>
            <w:vAlign w:val="center"/>
          </w:tcPr>
          <w:p w14:paraId="6C68579D">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59F635F3">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废水、噪声、固废</w:t>
            </w:r>
          </w:p>
        </w:tc>
      </w:tr>
      <w:tr w14:paraId="7FC368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4739A292">
            <w:pPr>
              <w:pageBreakBefore w:val="0"/>
              <w:wordWrap/>
              <w:bidi w:val="0"/>
              <w:adjustRightInd/>
              <w:snapToGrid/>
              <w:spacing w:line="300" w:lineRule="exact"/>
              <w:ind w:firstLine="0" w:firstLineChars="0"/>
              <w:jc w:val="center"/>
              <w:rPr>
                <w:color w:val="auto"/>
                <w:sz w:val="21"/>
                <w:szCs w:val="21"/>
              </w:rPr>
            </w:pPr>
          </w:p>
        </w:tc>
        <w:tc>
          <w:tcPr>
            <w:tcW w:w="756" w:type="pct"/>
            <w:gridSpan w:val="3"/>
            <w:tcBorders>
              <w:tl2br w:val="nil"/>
              <w:tr2bl w:val="nil"/>
            </w:tcBorders>
            <w:shd w:val="clear" w:color="auto" w:fill="auto"/>
            <w:noWrap w:val="0"/>
            <w:vAlign w:val="center"/>
          </w:tcPr>
          <w:p w14:paraId="784E2751">
            <w:pPr>
              <w:pageBreakBefore w:val="0"/>
              <w:wordWrap/>
              <w:bidi w:val="0"/>
              <w:adjustRightInd/>
              <w:snapToGrid/>
              <w:spacing w:line="300" w:lineRule="exact"/>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门卫室</w:t>
            </w:r>
          </w:p>
        </w:tc>
        <w:tc>
          <w:tcPr>
            <w:tcW w:w="3340" w:type="pct"/>
            <w:tcBorders>
              <w:tl2br w:val="nil"/>
              <w:tr2bl w:val="nil"/>
            </w:tcBorders>
            <w:shd w:val="clear" w:color="auto" w:fill="auto"/>
            <w:noWrap w:val="0"/>
            <w:vAlign w:val="center"/>
          </w:tcPr>
          <w:p w14:paraId="50BF9F0B">
            <w:pPr>
              <w:pageBreakBefore w:val="0"/>
              <w:wordWrap/>
              <w:bidi w:val="0"/>
              <w:adjustRightInd/>
              <w:snapToGrid/>
              <w:spacing w:line="300" w:lineRule="exact"/>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2座，1F，框架结构，总建筑面积：38.8平方米，建筑高度4.10m，为厂区保安门卫人员提供工作场所。</w:t>
            </w:r>
          </w:p>
        </w:tc>
        <w:tc>
          <w:tcPr>
            <w:tcW w:w="287" w:type="pct"/>
            <w:vMerge w:val="continue"/>
            <w:tcBorders>
              <w:tl2br w:val="nil"/>
              <w:tr2bl w:val="nil"/>
            </w:tcBorders>
            <w:shd w:val="clear" w:color="auto" w:fill="auto"/>
            <w:noWrap w:val="0"/>
            <w:vAlign w:val="center"/>
          </w:tcPr>
          <w:p w14:paraId="44849B95">
            <w:pPr>
              <w:pageBreakBefore w:val="0"/>
              <w:wordWrap/>
              <w:bidi w:val="0"/>
              <w:adjustRightInd/>
              <w:snapToGrid/>
              <w:spacing w:line="300" w:lineRule="exact"/>
              <w:ind w:firstLine="0" w:firstLineChars="0"/>
              <w:rPr>
                <w:rFonts w:ascii="Times New Roman" w:hAnsi="Times New Roman" w:eastAsia="宋体" w:cs="Times New Roman"/>
                <w:color w:val="auto"/>
                <w:kern w:val="2"/>
                <w:sz w:val="21"/>
                <w:szCs w:val="21"/>
                <w:lang w:val="en-US" w:eastAsia="zh-CN" w:bidi="ar-SA"/>
              </w:rPr>
            </w:pPr>
          </w:p>
        </w:tc>
        <w:tc>
          <w:tcPr>
            <w:tcW w:w="404" w:type="pct"/>
            <w:tcBorders>
              <w:tl2br w:val="nil"/>
              <w:tr2bl w:val="nil"/>
            </w:tcBorders>
            <w:shd w:val="clear" w:color="auto" w:fill="auto"/>
            <w:noWrap w:val="0"/>
            <w:vAlign w:val="center"/>
          </w:tcPr>
          <w:p w14:paraId="5697D4B3">
            <w:pPr>
              <w:pageBreakBefore w:val="0"/>
              <w:wordWrap/>
              <w:bidi w:val="0"/>
              <w:adjustRightInd/>
              <w:snapToGrid/>
              <w:spacing w:line="300" w:lineRule="exact"/>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噪声、固废</w:t>
            </w:r>
          </w:p>
        </w:tc>
      </w:tr>
      <w:tr w14:paraId="3E1AB2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restart"/>
            <w:tcBorders>
              <w:tl2br w:val="nil"/>
              <w:tr2bl w:val="nil"/>
            </w:tcBorders>
            <w:noWrap w:val="0"/>
            <w:vAlign w:val="center"/>
          </w:tcPr>
          <w:p w14:paraId="22C6B285">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bookmarkStart w:id="71" w:name="_Toc22291"/>
            <w:r>
              <w:rPr>
                <w:rFonts w:hint="eastAsia"/>
                <w:color w:val="auto"/>
                <w:sz w:val="21"/>
                <w:szCs w:val="21"/>
                <w:lang w:val="en-US" w:eastAsia="zh-CN"/>
              </w:rPr>
              <w:t>公用工程</w:t>
            </w:r>
          </w:p>
        </w:tc>
        <w:tc>
          <w:tcPr>
            <w:tcW w:w="756" w:type="pct"/>
            <w:gridSpan w:val="3"/>
            <w:tcBorders>
              <w:tl2br w:val="nil"/>
              <w:tr2bl w:val="nil"/>
            </w:tcBorders>
            <w:shd w:val="clear" w:color="auto" w:fill="auto"/>
            <w:noWrap w:val="0"/>
            <w:vAlign w:val="center"/>
          </w:tcPr>
          <w:p w14:paraId="4847A0A9">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供电</w:t>
            </w:r>
          </w:p>
        </w:tc>
        <w:tc>
          <w:tcPr>
            <w:tcW w:w="3340" w:type="pct"/>
            <w:tcBorders>
              <w:tl2br w:val="nil"/>
              <w:tr2bl w:val="nil"/>
            </w:tcBorders>
            <w:shd w:val="clear" w:color="auto" w:fill="auto"/>
            <w:noWrap w:val="0"/>
            <w:vAlign w:val="center"/>
          </w:tcPr>
          <w:p w14:paraId="61307C4C">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市政供电，本次设计新增一座10kV、0.4kV变（配）电站，与鼓风机房合建，位于负荷中心，高低压室合建。变压器按二期设计，预留二期负荷配电柜安装位置。</w:t>
            </w:r>
          </w:p>
        </w:tc>
        <w:tc>
          <w:tcPr>
            <w:tcW w:w="287" w:type="pct"/>
            <w:vMerge w:val="continue"/>
            <w:tcBorders>
              <w:tl2br w:val="nil"/>
              <w:tr2bl w:val="nil"/>
            </w:tcBorders>
            <w:shd w:val="clear" w:color="auto" w:fill="auto"/>
            <w:noWrap w:val="0"/>
            <w:vAlign w:val="center"/>
          </w:tcPr>
          <w:p w14:paraId="4F44E356">
            <w:pPr>
              <w:pageBreakBefore w:val="0"/>
              <w:wordWrap/>
              <w:bidi w:val="0"/>
              <w:adjustRightInd/>
              <w:snapToGrid/>
              <w:spacing w:line="300" w:lineRule="exact"/>
              <w:ind w:firstLine="0" w:firstLineChars="0"/>
              <w:rPr>
                <w:rFonts w:ascii="Times New Roman" w:hAnsi="Times New Roman" w:eastAsia="宋体" w:cs="Times New Roman"/>
                <w:color w:val="auto"/>
                <w:kern w:val="2"/>
                <w:sz w:val="21"/>
                <w:szCs w:val="21"/>
                <w:lang w:val="en-US" w:eastAsia="zh-CN" w:bidi="ar-SA"/>
              </w:rPr>
            </w:pPr>
          </w:p>
        </w:tc>
        <w:tc>
          <w:tcPr>
            <w:tcW w:w="404" w:type="pct"/>
            <w:tcBorders>
              <w:tl2br w:val="nil"/>
              <w:tr2bl w:val="nil"/>
            </w:tcBorders>
            <w:shd w:val="clear" w:color="auto" w:fill="auto"/>
            <w:noWrap w:val="0"/>
            <w:vAlign w:val="center"/>
          </w:tcPr>
          <w:p w14:paraId="658E64A3">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w:t>
            </w:r>
          </w:p>
        </w:tc>
      </w:tr>
      <w:tr w14:paraId="08F1B7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3994075D">
            <w:pPr>
              <w:pageBreakBefore w:val="0"/>
              <w:wordWrap/>
              <w:bidi w:val="0"/>
              <w:adjustRightInd/>
              <w:snapToGrid/>
              <w:spacing w:line="300" w:lineRule="exact"/>
              <w:ind w:firstLine="0" w:firstLineChars="0"/>
              <w:jc w:val="center"/>
              <w:rPr>
                <w:color w:val="auto"/>
                <w:sz w:val="21"/>
                <w:szCs w:val="21"/>
              </w:rPr>
            </w:pPr>
          </w:p>
        </w:tc>
        <w:tc>
          <w:tcPr>
            <w:tcW w:w="756" w:type="pct"/>
            <w:gridSpan w:val="3"/>
            <w:tcBorders>
              <w:tl2br w:val="nil"/>
              <w:tr2bl w:val="nil"/>
            </w:tcBorders>
            <w:shd w:val="clear" w:color="auto" w:fill="auto"/>
            <w:noWrap w:val="0"/>
            <w:vAlign w:val="center"/>
          </w:tcPr>
          <w:p w14:paraId="2E3965F3">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 xml:space="preserve">供水 </w:t>
            </w:r>
          </w:p>
        </w:tc>
        <w:tc>
          <w:tcPr>
            <w:tcW w:w="3340" w:type="pct"/>
            <w:tcBorders>
              <w:tl2br w:val="nil"/>
              <w:tr2bl w:val="nil"/>
            </w:tcBorders>
            <w:shd w:val="clear" w:color="auto" w:fill="auto"/>
            <w:noWrap w:val="0"/>
            <w:vAlign w:val="center"/>
          </w:tcPr>
          <w:p w14:paraId="70BF1BD2">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厂区给水由市政供水管网提供，来自周边供水干管。</w:t>
            </w:r>
          </w:p>
        </w:tc>
        <w:tc>
          <w:tcPr>
            <w:tcW w:w="287" w:type="pct"/>
            <w:vMerge w:val="continue"/>
            <w:tcBorders>
              <w:tl2br w:val="nil"/>
              <w:tr2bl w:val="nil"/>
            </w:tcBorders>
            <w:shd w:val="clear" w:color="auto" w:fill="auto"/>
            <w:noWrap w:val="0"/>
            <w:vAlign w:val="center"/>
          </w:tcPr>
          <w:p w14:paraId="4ED82096">
            <w:pPr>
              <w:pageBreakBefore w:val="0"/>
              <w:wordWrap/>
              <w:bidi w:val="0"/>
              <w:adjustRightInd/>
              <w:snapToGrid/>
              <w:spacing w:line="300" w:lineRule="exact"/>
              <w:ind w:firstLine="0" w:firstLineChars="0"/>
              <w:rPr>
                <w:rFonts w:ascii="Times New Roman" w:hAnsi="Times New Roman" w:eastAsia="宋体" w:cs="Times New Roman"/>
                <w:color w:val="auto"/>
                <w:kern w:val="2"/>
                <w:sz w:val="21"/>
                <w:szCs w:val="21"/>
                <w:lang w:val="en-US" w:eastAsia="zh-CN" w:bidi="ar-SA"/>
              </w:rPr>
            </w:pPr>
          </w:p>
        </w:tc>
        <w:tc>
          <w:tcPr>
            <w:tcW w:w="404" w:type="pct"/>
            <w:tcBorders>
              <w:tl2br w:val="nil"/>
              <w:tr2bl w:val="nil"/>
            </w:tcBorders>
            <w:shd w:val="clear" w:color="auto" w:fill="auto"/>
            <w:noWrap w:val="0"/>
            <w:vAlign w:val="center"/>
          </w:tcPr>
          <w:p w14:paraId="1F945810">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w:t>
            </w:r>
          </w:p>
        </w:tc>
      </w:tr>
      <w:tr w14:paraId="1F6AD3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4A0DB4E9">
            <w:pPr>
              <w:pageBreakBefore w:val="0"/>
              <w:wordWrap/>
              <w:bidi w:val="0"/>
              <w:adjustRightInd/>
              <w:snapToGrid/>
              <w:spacing w:line="300" w:lineRule="exact"/>
              <w:ind w:firstLine="0" w:firstLineChars="0"/>
              <w:jc w:val="center"/>
              <w:rPr>
                <w:color w:val="auto"/>
                <w:sz w:val="21"/>
                <w:szCs w:val="21"/>
              </w:rPr>
            </w:pPr>
          </w:p>
        </w:tc>
        <w:tc>
          <w:tcPr>
            <w:tcW w:w="756" w:type="pct"/>
            <w:gridSpan w:val="3"/>
            <w:tcBorders>
              <w:tl2br w:val="nil"/>
              <w:tr2bl w:val="nil"/>
            </w:tcBorders>
            <w:shd w:val="clear" w:color="auto" w:fill="auto"/>
            <w:noWrap w:val="0"/>
            <w:vAlign w:val="center"/>
          </w:tcPr>
          <w:p w14:paraId="6382D869">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排水</w:t>
            </w:r>
          </w:p>
        </w:tc>
        <w:tc>
          <w:tcPr>
            <w:tcW w:w="3340" w:type="pct"/>
            <w:tcBorders>
              <w:tl2br w:val="nil"/>
              <w:tr2bl w:val="nil"/>
            </w:tcBorders>
            <w:shd w:val="clear" w:color="auto" w:fill="auto"/>
            <w:noWrap w:val="0"/>
            <w:vAlign w:val="center"/>
          </w:tcPr>
          <w:p w14:paraId="157B9AAF">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厂区排水采用雨污分流制。厂区雨水由道路雨水口收集后汇入厂区雨水管道。</w:t>
            </w:r>
          </w:p>
          <w:p w14:paraId="7B3E3FBE">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服务范围内的园区拟入驻项目正常生产运行过程中产生的废水由各企业自行预处理，达标后排入市政污水管进入本项目污水处理厂处理，处理后的尾水通过污水管道排入巴河。</w:t>
            </w:r>
          </w:p>
        </w:tc>
        <w:tc>
          <w:tcPr>
            <w:tcW w:w="287" w:type="pct"/>
            <w:vMerge w:val="continue"/>
            <w:tcBorders>
              <w:tl2br w:val="nil"/>
              <w:tr2bl w:val="nil"/>
            </w:tcBorders>
            <w:shd w:val="clear" w:color="auto" w:fill="auto"/>
            <w:noWrap w:val="0"/>
            <w:vAlign w:val="center"/>
          </w:tcPr>
          <w:p w14:paraId="19307785">
            <w:pPr>
              <w:pageBreakBefore w:val="0"/>
              <w:wordWrap/>
              <w:bidi w:val="0"/>
              <w:adjustRightInd/>
              <w:snapToGrid/>
              <w:spacing w:line="300" w:lineRule="exact"/>
              <w:ind w:firstLine="0" w:firstLineChars="0"/>
              <w:rPr>
                <w:rFonts w:ascii="Times New Roman" w:hAnsi="Times New Roman" w:eastAsia="宋体" w:cs="Times New Roman"/>
                <w:color w:val="auto"/>
                <w:kern w:val="2"/>
                <w:sz w:val="21"/>
                <w:szCs w:val="21"/>
                <w:lang w:val="en-US" w:eastAsia="zh-CN" w:bidi="ar-SA"/>
              </w:rPr>
            </w:pPr>
          </w:p>
        </w:tc>
        <w:tc>
          <w:tcPr>
            <w:tcW w:w="404" w:type="pct"/>
            <w:tcBorders>
              <w:tl2br w:val="nil"/>
              <w:tr2bl w:val="nil"/>
            </w:tcBorders>
            <w:shd w:val="clear" w:color="auto" w:fill="auto"/>
            <w:noWrap w:val="0"/>
            <w:vAlign w:val="center"/>
          </w:tcPr>
          <w:p w14:paraId="5E65D17C">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w:t>
            </w:r>
          </w:p>
        </w:tc>
      </w:tr>
      <w:tr w14:paraId="1A53AE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0E828732">
            <w:pPr>
              <w:pageBreakBefore w:val="0"/>
              <w:wordWrap/>
              <w:bidi w:val="0"/>
              <w:adjustRightInd/>
              <w:snapToGrid/>
              <w:spacing w:line="300" w:lineRule="exact"/>
              <w:ind w:firstLine="0" w:firstLineChars="0"/>
              <w:jc w:val="center"/>
              <w:rPr>
                <w:color w:val="auto"/>
                <w:sz w:val="21"/>
                <w:szCs w:val="21"/>
              </w:rPr>
            </w:pPr>
          </w:p>
        </w:tc>
        <w:tc>
          <w:tcPr>
            <w:tcW w:w="756" w:type="pct"/>
            <w:gridSpan w:val="3"/>
            <w:tcBorders>
              <w:tl2br w:val="nil"/>
              <w:tr2bl w:val="nil"/>
            </w:tcBorders>
            <w:shd w:val="clear" w:color="auto" w:fill="auto"/>
            <w:noWrap w:val="0"/>
            <w:vAlign w:val="center"/>
          </w:tcPr>
          <w:p w14:paraId="5563C97B">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厂区道路</w:t>
            </w:r>
          </w:p>
        </w:tc>
        <w:tc>
          <w:tcPr>
            <w:tcW w:w="3340" w:type="pct"/>
            <w:tcBorders>
              <w:tl2br w:val="nil"/>
              <w:tr2bl w:val="nil"/>
            </w:tcBorders>
            <w:shd w:val="clear" w:color="auto" w:fill="auto"/>
            <w:noWrap w:val="0"/>
            <w:vAlign w:val="center"/>
          </w:tcPr>
          <w:p w14:paraId="14B5FA39">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在厂区内设置的厂内道路呈环形布置，并设置支路接至需要进出各个建、构筑物前，尽端式道路设施回车场。道路等级分为干道、次道、支路三个等级，干道路面宽度为6.00m，次道及支路路面宽度为4.00m。道路横断面形式采用城市型道路横断面，路面做法采用沥青混凝土路面。道路内沿最小转弯半径为6.00m，道路最大纵坡为1.37%，最小纵坡为零。</w:t>
            </w:r>
          </w:p>
        </w:tc>
        <w:tc>
          <w:tcPr>
            <w:tcW w:w="287" w:type="pct"/>
            <w:vMerge w:val="continue"/>
            <w:tcBorders>
              <w:tl2br w:val="nil"/>
              <w:tr2bl w:val="nil"/>
            </w:tcBorders>
            <w:shd w:val="clear" w:color="auto" w:fill="auto"/>
            <w:noWrap w:val="0"/>
            <w:vAlign w:val="center"/>
          </w:tcPr>
          <w:p w14:paraId="19DAE303">
            <w:pPr>
              <w:pageBreakBefore w:val="0"/>
              <w:wordWrap/>
              <w:bidi w:val="0"/>
              <w:adjustRightInd/>
              <w:snapToGrid/>
              <w:spacing w:line="300" w:lineRule="exact"/>
              <w:ind w:firstLine="0" w:firstLineChars="0"/>
              <w:rPr>
                <w:rFonts w:ascii="Times New Roman" w:hAnsi="Times New Roman" w:eastAsia="宋体" w:cs="Times New Roman"/>
                <w:color w:val="auto"/>
                <w:kern w:val="2"/>
                <w:sz w:val="21"/>
                <w:szCs w:val="21"/>
                <w:lang w:val="en-US" w:eastAsia="zh-CN" w:bidi="ar-SA"/>
              </w:rPr>
            </w:pPr>
          </w:p>
        </w:tc>
        <w:tc>
          <w:tcPr>
            <w:tcW w:w="404" w:type="pct"/>
            <w:tcBorders>
              <w:tl2br w:val="nil"/>
              <w:tr2bl w:val="nil"/>
            </w:tcBorders>
            <w:shd w:val="clear" w:color="auto" w:fill="auto"/>
            <w:noWrap w:val="0"/>
            <w:vAlign w:val="center"/>
          </w:tcPr>
          <w:p w14:paraId="48409305">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w:t>
            </w:r>
          </w:p>
        </w:tc>
      </w:tr>
      <w:tr w14:paraId="2BEC48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716D7E93">
            <w:pPr>
              <w:pageBreakBefore w:val="0"/>
              <w:wordWrap/>
              <w:bidi w:val="0"/>
              <w:adjustRightInd/>
              <w:snapToGrid/>
              <w:spacing w:line="300" w:lineRule="exact"/>
              <w:ind w:firstLine="0" w:firstLineChars="0"/>
              <w:jc w:val="center"/>
              <w:rPr>
                <w:color w:val="auto"/>
                <w:sz w:val="21"/>
                <w:szCs w:val="21"/>
              </w:rPr>
            </w:pPr>
          </w:p>
        </w:tc>
        <w:tc>
          <w:tcPr>
            <w:tcW w:w="756" w:type="pct"/>
            <w:gridSpan w:val="3"/>
            <w:tcBorders>
              <w:tl2br w:val="nil"/>
              <w:tr2bl w:val="nil"/>
            </w:tcBorders>
            <w:shd w:val="clear" w:color="auto" w:fill="auto"/>
            <w:noWrap w:val="0"/>
            <w:vAlign w:val="center"/>
          </w:tcPr>
          <w:p w14:paraId="2509960A">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绿化</w:t>
            </w:r>
          </w:p>
        </w:tc>
        <w:tc>
          <w:tcPr>
            <w:tcW w:w="3340" w:type="pct"/>
            <w:tcBorders>
              <w:tl2br w:val="nil"/>
              <w:tr2bl w:val="nil"/>
            </w:tcBorders>
            <w:shd w:val="clear" w:color="auto" w:fill="auto"/>
            <w:noWrap w:val="0"/>
            <w:vAlign w:val="center"/>
          </w:tcPr>
          <w:p w14:paraId="0C5D936B">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整个绿化用地面积为3853.8m³，绿地率为16.89%。</w:t>
            </w:r>
          </w:p>
        </w:tc>
        <w:tc>
          <w:tcPr>
            <w:tcW w:w="287" w:type="pct"/>
            <w:vMerge w:val="continue"/>
            <w:tcBorders>
              <w:tl2br w:val="nil"/>
              <w:tr2bl w:val="nil"/>
            </w:tcBorders>
            <w:shd w:val="clear" w:color="auto" w:fill="auto"/>
            <w:noWrap w:val="0"/>
            <w:vAlign w:val="center"/>
          </w:tcPr>
          <w:p w14:paraId="69F44CD5">
            <w:pPr>
              <w:pageBreakBefore w:val="0"/>
              <w:wordWrap/>
              <w:bidi w:val="0"/>
              <w:adjustRightInd/>
              <w:snapToGrid/>
              <w:spacing w:line="300" w:lineRule="exact"/>
              <w:ind w:firstLine="0" w:firstLineChars="0"/>
              <w:rPr>
                <w:rFonts w:ascii="Times New Roman" w:hAnsi="Times New Roman" w:eastAsia="宋体" w:cs="Times New Roman"/>
                <w:color w:val="auto"/>
                <w:kern w:val="2"/>
                <w:sz w:val="21"/>
                <w:szCs w:val="21"/>
                <w:lang w:val="en-US" w:eastAsia="zh-CN" w:bidi="ar-SA"/>
              </w:rPr>
            </w:pPr>
          </w:p>
        </w:tc>
        <w:tc>
          <w:tcPr>
            <w:tcW w:w="404" w:type="pct"/>
            <w:tcBorders>
              <w:tl2br w:val="nil"/>
              <w:tr2bl w:val="nil"/>
            </w:tcBorders>
            <w:shd w:val="clear" w:color="auto" w:fill="auto"/>
            <w:noWrap w:val="0"/>
            <w:vAlign w:val="center"/>
          </w:tcPr>
          <w:p w14:paraId="2B6C1018">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w:t>
            </w:r>
          </w:p>
        </w:tc>
      </w:tr>
      <w:tr w14:paraId="0260E0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restart"/>
            <w:tcBorders>
              <w:tl2br w:val="nil"/>
              <w:tr2bl w:val="nil"/>
            </w:tcBorders>
            <w:noWrap w:val="0"/>
            <w:vAlign w:val="center"/>
          </w:tcPr>
          <w:p w14:paraId="748C5972">
            <w:pPr>
              <w:pageBreakBefore w:val="0"/>
              <w:wordWrap/>
              <w:bidi w:val="0"/>
              <w:adjustRightInd/>
              <w:snapToGrid/>
              <w:spacing w:line="30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环保工程</w:t>
            </w:r>
          </w:p>
        </w:tc>
        <w:tc>
          <w:tcPr>
            <w:tcW w:w="295" w:type="pct"/>
            <w:gridSpan w:val="2"/>
            <w:vMerge w:val="restart"/>
            <w:tcBorders>
              <w:tl2br w:val="nil"/>
              <w:tr2bl w:val="nil"/>
            </w:tcBorders>
            <w:noWrap w:val="0"/>
            <w:vAlign w:val="center"/>
          </w:tcPr>
          <w:p w14:paraId="32F02E25">
            <w:pPr>
              <w:pageBreakBefore w:val="0"/>
              <w:wordWrap/>
              <w:bidi w:val="0"/>
              <w:adjustRightInd/>
              <w:snapToGrid/>
              <w:spacing w:line="300" w:lineRule="exact"/>
              <w:ind w:firstLine="0" w:firstLineChars="0"/>
              <w:jc w:val="center"/>
              <w:rPr>
                <w:rFonts w:hint="eastAsia"/>
                <w:color w:val="auto"/>
                <w:sz w:val="21"/>
                <w:szCs w:val="21"/>
                <w:lang w:val="en-US" w:eastAsia="zh-CN"/>
              </w:rPr>
            </w:pPr>
            <w:r>
              <w:rPr>
                <w:rFonts w:hint="eastAsia"/>
                <w:color w:val="auto"/>
                <w:sz w:val="21"/>
                <w:szCs w:val="21"/>
                <w:lang w:val="en-US" w:eastAsia="zh-CN"/>
              </w:rPr>
              <w:t>废气</w:t>
            </w:r>
          </w:p>
        </w:tc>
        <w:tc>
          <w:tcPr>
            <w:tcW w:w="461" w:type="pct"/>
            <w:tcBorders>
              <w:tl2br w:val="nil"/>
              <w:tr2bl w:val="nil"/>
            </w:tcBorders>
            <w:noWrap w:val="0"/>
            <w:vAlign w:val="center"/>
          </w:tcPr>
          <w:p w14:paraId="1487B40A">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恶臭废气</w:t>
            </w:r>
          </w:p>
        </w:tc>
        <w:tc>
          <w:tcPr>
            <w:tcW w:w="3340" w:type="pct"/>
            <w:tcBorders>
              <w:tl2br w:val="nil"/>
              <w:tr2bl w:val="nil"/>
            </w:tcBorders>
            <w:noWrap w:val="0"/>
            <w:vAlign w:val="center"/>
          </w:tcPr>
          <w:p w14:paraId="7D157E30">
            <w:pPr>
              <w:pageBreakBefore w:val="0"/>
              <w:wordWrap/>
              <w:bidi w:val="0"/>
              <w:adjustRightInd/>
              <w:snapToGrid/>
              <w:spacing w:line="300" w:lineRule="exact"/>
              <w:ind w:firstLine="0" w:firstLineChars="0"/>
              <w:rPr>
                <w:rFonts w:hint="eastAsia"/>
                <w:color w:val="auto"/>
                <w:sz w:val="21"/>
                <w:szCs w:val="21"/>
              </w:rPr>
            </w:pPr>
            <w:r>
              <w:rPr>
                <w:color w:val="auto"/>
                <w:sz w:val="21"/>
                <w:szCs w:val="21"/>
              </w:rPr>
              <w:t>针对本项目粗、细格栅及曝气沉砂池、调节池、生化池以及</w:t>
            </w:r>
            <w:r>
              <w:rPr>
                <w:rFonts w:hint="eastAsia"/>
                <w:color w:val="auto"/>
                <w:sz w:val="21"/>
                <w:szCs w:val="21"/>
                <w:lang w:eastAsia="zh-CN"/>
              </w:rPr>
              <w:t>污泥池</w:t>
            </w:r>
            <w:r>
              <w:rPr>
                <w:color w:val="auto"/>
                <w:sz w:val="21"/>
                <w:szCs w:val="21"/>
              </w:rPr>
              <w:t>、污泥脱水间等构建筑内产生的臭气进行密闭、加盖，收集率9</w:t>
            </w:r>
            <w:r>
              <w:rPr>
                <w:rFonts w:hint="eastAsia"/>
                <w:color w:val="auto"/>
                <w:sz w:val="21"/>
                <w:szCs w:val="21"/>
              </w:rPr>
              <w:t>5</w:t>
            </w:r>
            <w:r>
              <w:rPr>
                <w:color w:val="auto"/>
                <w:sz w:val="21"/>
                <w:szCs w:val="21"/>
              </w:rPr>
              <w:t>%，采用生物除臭方式</w:t>
            </w:r>
            <w:r>
              <w:rPr>
                <w:rFonts w:hint="eastAsia"/>
                <w:color w:val="auto"/>
                <w:sz w:val="21"/>
                <w:szCs w:val="21"/>
                <w:lang w:eastAsia="zh-CN"/>
              </w:rPr>
              <w:t>（</w:t>
            </w:r>
            <w:r>
              <w:rPr>
                <w:rFonts w:hint="eastAsia"/>
                <w:color w:val="auto"/>
                <w:sz w:val="21"/>
                <w:szCs w:val="21"/>
              </w:rPr>
              <w:t>NH</w:t>
            </w:r>
            <w:r>
              <w:rPr>
                <w:rFonts w:hint="eastAsia"/>
                <w:color w:val="auto"/>
                <w:sz w:val="21"/>
                <w:szCs w:val="21"/>
                <w:vertAlign w:val="subscript"/>
              </w:rPr>
              <w:t>3</w:t>
            </w:r>
            <w:r>
              <w:rPr>
                <w:rFonts w:hint="eastAsia"/>
                <w:color w:val="auto"/>
                <w:sz w:val="21"/>
                <w:szCs w:val="21"/>
              </w:rPr>
              <w:t>处理效率可达80%以上、H</w:t>
            </w:r>
            <w:r>
              <w:rPr>
                <w:rFonts w:hint="eastAsia"/>
                <w:color w:val="auto"/>
                <w:sz w:val="21"/>
                <w:szCs w:val="21"/>
                <w:vertAlign w:val="subscript"/>
              </w:rPr>
              <w:t>2</w:t>
            </w:r>
            <w:r>
              <w:rPr>
                <w:rFonts w:hint="eastAsia"/>
                <w:color w:val="auto"/>
                <w:sz w:val="21"/>
                <w:szCs w:val="21"/>
              </w:rPr>
              <w:t>S处理效率9</w:t>
            </w:r>
            <w:r>
              <w:rPr>
                <w:rFonts w:hint="eastAsia"/>
                <w:color w:val="auto"/>
                <w:sz w:val="21"/>
                <w:szCs w:val="21"/>
                <w:lang w:val="en-US" w:eastAsia="zh-CN"/>
              </w:rPr>
              <w:t>5</w:t>
            </w:r>
            <w:r>
              <w:rPr>
                <w:rFonts w:hint="eastAsia"/>
                <w:color w:val="auto"/>
                <w:sz w:val="21"/>
                <w:szCs w:val="21"/>
              </w:rPr>
              <w:t>%以上</w:t>
            </w:r>
            <w:r>
              <w:rPr>
                <w:rFonts w:hint="eastAsia"/>
                <w:color w:val="auto"/>
                <w:sz w:val="21"/>
                <w:szCs w:val="21"/>
                <w:lang w:eastAsia="zh-CN"/>
              </w:rPr>
              <w:t>）</w:t>
            </w:r>
            <w:r>
              <w:rPr>
                <w:color w:val="auto"/>
                <w:sz w:val="21"/>
                <w:szCs w:val="21"/>
              </w:rPr>
              <w:t>，尾气经15m排气筒排放。</w:t>
            </w:r>
            <w:r>
              <w:rPr>
                <w:rFonts w:hint="eastAsia"/>
                <w:color w:val="auto"/>
                <w:sz w:val="21"/>
                <w:szCs w:val="21"/>
                <w:lang w:val="en-US" w:eastAsia="zh-CN"/>
              </w:rPr>
              <w:t>本项目设置1</w:t>
            </w:r>
            <w:r>
              <w:rPr>
                <w:rFonts w:hint="eastAsia"/>
                <w:color w:val="auto"/>
                <w:sz w:val="21"/>
                <w:szCs w:val="21"/>
              </w:rPr>
              <w:t>套生物除臭系统，总设计风量为</w:t>
            </w:r>
            <w:r>
              <w:rPr>
                <w:rFonts w:hint="eastAsia"/>
                <w:color w:val="auto"/>
                <w:sz w:val="21"/>
                <w:szCs w:val="21"/>
                <w:lang w:val="en-US" w:eastAsia="zh-CN"/>
              </w:rPr>
              <w:t>20</w:t>
            </w:r>
            <w:r>
              <w:rPr>
                <w:rFonts w:hint="eastAsia"/>
                <w:color w:val="auto"/>
                <w:sz w:val="21"/>
                <w:szCs w:val="21"/>
              </w:rPr>
              <w:t>000</w:t>
            </w:r>
            <w:r>
              <w:rPr>
                <w:rFonts w:hint="eastAsia"/>
                <w:color w:val="auto"/>
                <w:sz w:val="21"/>
                <w:szCs w:val="21"/>
                <w:lang w:eastAsia="zh-CN"/>
              </w:rPr>
              <w:t>m³</w:t>
            </w:r>
            <w:r>
              <w:rPr>
                <w:rFonts w:hint="eastAsia"/>
                <w:color w:val="auto"/>
                <w:sz w:val="21"/>
                <w:szCs w:val="21"/>
              </w:rPr>
              <w:t>/h。</w:t>
            </w:r>
          </w:p>
          <w:p w14:paraId="00B0F52D">
            <w:pPr>
              <w:pStyle w:val="16"/>
              <w:bidi w:val="0"/>
              <w:ind w:left="0" w:leftChars="0" w:firstLine="0" w:firstLineChars="0"/>
              <w:jc w:val="left"/>
              <w:rPr>
                <w:rFonts w:hint="eastAsia"/>
                <w:color w:val="auto"/>
                <w:sz w:val="21"/>
                <w:szCs w:val="21"/>
                <w:lang w:val="en-US" w:eastAsia="zh-CN"/>
              </w:rPr>
            </w:pPr>
            <w:r>
              <w:rPr>
                <w:rFonts w:hint="eastAsia"/>
                <w:b/>
                <w:bCs/>
                <w:color w:val="auto"/>
                <w:lang w:val="en-US" w:eastAsia="zh-CN"/>
              </w:rPr>
              <w:t>主要功能：</w:t>
            </w:r>
            <w:r>
              <w:rPr>
                <w:rFonts w:hint="eastAsia"/>
                <w:color w:val="auto"/>
                <w:lang w:val="en-US" w:eastAsia="zh-CN"/>
              </w:rPr>
              <w:t>收集并处理全场恶臭气体，保障尾气达标排放。</w:t>
            </w:r>
          </w:p>
        </w:tc>
        <w:tc>
          <w:tcPr>
            <w:tcW w:w="287" w:type="pct"/>
            <w:vMerge w:val="continue"/>
            <w:tcBorders>
              <w:tl2br w:val="nil"/>
              <w:tr2bl w:val="nil"/>
            </w:tcBorders>
            <w:noWrap w:val="0"/>
            <w:vAlign w:val="center"/>
          </w:tcPr>
          <w:p w14:paraId="7D02DAE4">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00B5CF4A">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废气</w:t>
            </w:r>
          </w:p>
        </w:tc>
      </w:tr>
      <w:tr w14:paraId="73C9C9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7F779606">
            <w:pPr>
              <w:pageBreakBefore w:val="0"/>
              <w:wordWrap/>
              <w:bidi w:val="0"/>
              <w:adjustRightInd/>
              <w:snapToGrid/>
              <w:spacing w:line="300" w:lineRule="exact"/>
              <w:ind w:firstLine="0" w:firstLineChars="0"/>
              <w:jc w:val="center"/>
              <w:rPr>
                <w:rFonts w:hint="eastAsia"/>
                <w:color w:val="auto"/>
                <w:sz w:val="21"/>
                <w:szCs w:val="21"/>
                <w:lang w:val="en-US" w:eastAsia="zh-CN"/>
              </w:rPr>
            </w:pPr>
          </w:p>
        </w:tc>
        <w:tc>
          <w:tcPr>
            <w:tcW w:w="295" w:type="pct"/>
            <w:gridSpan w:val="2"/>
            <w:vMerge w:val="continue"/>
            <w:tcBorders>
              <w:tl2br w:val="nil"/>
              <w:tr2bl w:val="nil"/>
            </w:tcBorders>
            <w:noWrap w:val="0"/>
            <w:vAlign w:val="center"/>
          </w:tcPr>
          <w:p w14:paraId="1CA4314D">
            <w:pPr>
              <w:pageBreakBefore w:val="0"/>
              <w:wordWrap/>
              <w:bidi w:val="0"/>
              <w:adjustRightInd/>
              <w:snapToGrid/>
              <w:spacing w:line="300" w:lineRule="exact"/>
              <w:ind w:firstLine="0" w:firstLineChars="0"/>
              <w:jc w:val="center"/>
              <w:rPr>
                <w:rFonts w:hint="eastAsia"/>
                <w:color w:val="auto"/>
                <w:sz w:val="21"/>
                <w:szCs w:val="21"/>
                <w:lang w:val="en-US" w:eastAsia="zh-CN"/>
              </w:rPr>
            </w:pPr>
          </w:p>
        </w:tc>
        <w:tc>
          <w:tcPr>
            <w:tcW w:w="461" w:type="pct"/>
            <w:tcBorders>
              <w:tl2br w:val="nil"/>
              <w:tr2bl w:val="nil"/>
            </w:tcBorders>
            <w:noWrap w:val="0"/>
            <w:vAlign w:val="center"/>
          </w:tcPr>
          <w:p w14:paraId="3AEF3E52">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食堂油烟</w:t>
            </w:r>
          </w:p>
        </w:tc>
        <w:tc>
          <w:tcPr>
            <w:tcW w:w="3340" w:type="pct"/>
            <w:tcBorders>
              <w:tl2br w:val="nil"/>
              <w:tr2bl w:val="nil"/>
            </w:tcBorders>
            <w:noWrap w:val="0"/>
            <w:vAlign w:val="center"/>
          </w:tcPr>
          <w:p w14:paraId="6218EAC7">
            <w:pPr>
              <w:pStyle w:val="16"/>
              <w:bidi w:val="0"/>
              <w:ind w:left="0" w:leftChars="0" w:firstLine="0" w:firstLineChars="0"/>
              <w:jc w:val="left"/>
              <w:rPr>
                <w:rFonts w:hint="eastAsia"/>
                <w:b/>
                <w:bCs/>
                <w:color w:val="auto"/>
                <w:lang w:val="en-US" w:eastAsia="zh-CN"/>
              </w:rPr>
            </w:pPr>
            <w:r>
              <w:rPr>
                <w:rFonts w:hint="eastAsia"/>
                <w:b w:val="0"/>
                <w:bCs w:val="0"/>
                <w:color w:val="auto"/>
                <w:lang w:val="en-US" w:eastAsia="zh-CN"/>
              </w:rPr>
              <w:t>设有油烟净化装置，食堂油烟经处理后由专用烟道引至屋顶排放。</w:t>
            </w:r>
          </w:p>
        </w:tc>
        <w:tc>
          <w:tcPr>
            <w:tcW w:w="287" w:type="pct"/>
            <w:vMerge w:val="continue"/>
            <w:tcBorders>
              <w:tl2br w:val="nil"/>
              <w:tr2bl w:val="nil"/>
            </w:tcBorders>
            <w:noWrap w:val="0"/>
            <w:vAlign w:val="center"/>
          </w:tcPr>
          <w:p w14:paraId="16EC0D60">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660B28C0">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废气</w:t>
            </w:r>
          </w:p>
        </w:tc>
      </w:tr>
      <w:tr w14:paraId="4DE26A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3CA529EE">
            <w:pPr>
              <w:pageBreakBefore w:val="0"/>
              <w:wordWrap/>
              <w:bidi w:val="0"/>
              <w:adjustRightInd/>
              <w:snapToGrid/>
              <w:spacing w:line="300" w:lineRule="exact"/>
              <w:ind w:firstLine="0" w:firstLineChars="0"/>
              <w:jc w:val="center"/>
              <w:rPr>
                <w:color w:val="auto"/>
                <w:sz w:val="21"/>
                <w:szCs w:val="21"/>
              </w:rPr>
            </w:pPr>
          </w:p>
        </w:tc>
        <w:tc>
          <w:tcPr>
            <w:tcW w:w="756" w:type="pct"/>
            <w:gridSpan w:val="3"/>
            <w:tcBorders>
              <w:tl2br w:val="nil"/>
              <w:tr2bl w:val="nil"/>
            </w:tcBorders>
            <w:noWrap w:val="0"/>
            <w:vAlign w:val="center"/>
          </w:tcPr>
          <w:p w14:paraId="6C6D60D0">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废水</w:t>
            </w:r>
          </w:p>
        </w:tc>
        <w:tc>
          <w:tcPr>
            <w:tcW w:w="3340" w:type="pct"/>
            <w:tcBorders>
              <w:tl2br w:val="nil"/>
              <w:tr2bl w:val="nil"/>
            </w:tcBorders>
            <w:noWrap w:val="0"/>
            <w:vAlign w:val="center"/>
          </w:tcPr>
          <w:p w14:paraId="0CED425D">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color w:val="auto"/>
                <w:sz w:val="21"/>
                <w:szCs w:val="21"/>
                <w:lang w:val="en-US" w:eastAsia="zh-CN"/>
              </w:rPr>
              <w:t>生活废水、事故废水、反冲洗废水、脱泥废水等返回污水处理厂废水处理系统进行处理后，达标排放。</w:t>
            </w:r>
          </w:p>
        </w:tc>
        <w:tc>
          <w:tcPr>
            <w:tcW w:w="287" w:type="pct"/>
            <w:vMerge w:val="continue"/>
            <w:tcBorders>
              <w:tl2br w:val="nil"/>
              <w:tr2bl w:val="nil"/>
            </w:tcBorders>
            <w:noWrap w:val="0"/>
            <w:vAlign w:val="center"/>
          </w:tcPr>
          <w:p w14:paraId="786C61EE">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33076FDF">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废水</w:t>
            </w:r>
          </w:p>
        </w:tc>
      </w:tr>
      <w:tr w14:paraId="73B1B3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3A8BE508">
            <w:pPr>
              <w:pageBreakBefore w:val="0"/>
              <w:wordWrap/>
              <w:bidi w:val="0"/>
              <w:adjustRightInd/>
              <w:snapToGrid/>
              <w:spacing w:line="300" w:lineRule="exact"/>
              <w:ind w:firstLine="0" w:firstLineChars="0"/>
              <w:jc w:val="center"/>
              <w:rPr>
                <w:color w:val="auto"/>
                <w:sz w:val="21"/>
                <w:szCs w:val="21"/>
              </w:rPr>
            </w:pPr>
          </w:p>
        </w:tc>
        <w:tc>
          <w:tcPr>
            <w:tcW w:w="756" w:type="pct"/>
            <w:gridSpan w:val="3"/>
            <w:tcBorders>
              <w:tl2br w:val="nil"/>
              <w:tr2bl w:val="nil"/>
            </w:tcBorders>
            <w:noWrap w:val="0"/>
            <w:vAlign w:val="center"/>
          </w:tcPr>
          <w:p w14:paraId="2A21AECE">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噪声</w:t>
            </w:r>
          </w:p>
        </w:tc>
        <w:tc>
          <w:tcPr>
            <w:tcW w:w="3340" w:type="pct"/>
            <w:tcBorders>
              <w:tl2br w:val="nil"/>
              <w:tr2bl w:val="nil"/>
            </w:tcBorders>
            <w:noWrap w:val="0"/>
            <w:vAlign w:val="center"/>
          </w:tcPr>
          <w:p w14:paraId="48B25A06">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选用低噪声设备，采取基础减震、室内隔声等措施</w:t>
            </w:r>
          </w:p>
        </w:tc>
        <w:tc>
          <w:tcPr>
            <w:tcW w:w="287" w:type="pct"/>
            <w:vMerge w:val="continue"/>
            <w:tcBorders>
              <w:tl2br w:val="nil"/>
              <w:tr2bl w:val="nil"/>
            </w:tcBorders>
            <w:noWrap w:val="0"/>
            <w:vAlign w:val="center"/>
          </w:tcPr>
          <w:p w14:paraId="2A0F0C71">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6BC14A97">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噪声</w:t>
            </w:r>
          </w:p>
        </w:tc>
      </w:tr>
      <w:tr w14:paraId="0528D5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0C7E9A7A">
            <w:pPr>
              <w:pageBreakBefore w:val="0"/>
              <w:wordWrap/>
              <w:bidi w:val="0"/>
              <w:adjustRightInd/>
              <w:snapToGrid/>
              <w:spacing w:line="300" w:lineRule="exact"/>
              <w:ind w:firstLine="0" w:firstLineChars="0"/>
              <w:jc w:val="center"/>
              <w:rPr>
                <w:color w:val="auto"/>
                <w:sz w:val="21"/>
                <w:szCs w:val="21"/>
              </w:rPr>
            </w:pPr>
          </w:p>
        </w:tc>
        <w:tc>
          <w:tcPr>
            <w:tcW w:w="756" w:type="pct"/>
            <w:gridSpan w:val="3"/>
            <w:tcBorders>
              <w:tl2br w:val="nil"/>
              <w:tr2bl w:val="nil"/>
            </w:tcBorders>
            <w:noWrap w:val="0"/>
            <w:vAlign w:val="center"/>
          </w:tcPr>
          <w:p w14:paraId="0161EF9B">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固体废物</w:t>
            </w:r>
          </w:p>
        </w:tc>
        <w:tc>
          <w:tcPr>
            <w:tcW w:w="3340" w:type="pct"/>
            <w:tcBorders>
              <w:tl2br w:val="nil"/>
              <w:tr2bl w:val="nil"/>
            </w:tcBorders>
            <w:noWrap w:val="0"/>
            <w:vAlign w:val="center"/>
          </w:tcPr>
          <w:p w14:paraId="721D4AF4">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生活垃圾：经分类收集后，由当地环卫部门统一收集后处置；</w:t>
            </w:r>
          </w:p>
          <w:p w14:paraId="62B0C947">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食堂餐厨垃圾：用塑料桶收集后定期交由有相应处理能力的单位清运处置；</w:t>
            </w:r>
          </w:p>
          <w:p w14:paraId="072FA3DA">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废报纸材料：集中收集后暂存于一般固废暂存间，定期外售废品回收站；</w:t>
            </w:r>
          </w:p>
          <w:p w14:paraId="404287FD">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栅渣：经收集、简单脱水处理后，暂存于厂内的固废暂存区，由市政环卫部门定期送至当地政府指定处理场所进行妥善处理；</w:t>
            </w:r>
          </w:p>
          <w:p w14:paraId="488E323F">
            <w:pPr>
              <w:pageBreakBefore w:val="0"/>
              <w:wordWrap/>
              <w:bidi w:val="0"/>
              <w:adjustRightInd/>
              <w:snapToGrid/>
              <w:spacing w:line="300" w:lineRule="exact"/>
              <w:ind w:firstLine="0" w:firstLineChars="0"/>
              <w:rPr>
                <w:rFonts w:hint="eastAsia"/>
                <w:color w:val="auto"/>
                <w:sz w:val="21"/>
                <w:szCs w:val="21"/>
                <w:lang w:val="en-US" w:eastAsia="zh-CN"/>
              </w:rPr>
            </w:pPr>
            <w:bookmarkStart w:id="72" w:name="OLE_LINK3"/>
            <w:r>
              <w:rPr>
                <w:rFonts w:hint="eastAsia"/>
                <w:color w:val="auto"/>
                <w:sz w:val="21"/>
                <w:szCs w:val="21"/>
                <w:lang w:val="en-US" w:eastAsia="zh-CN"/>
              </w:rPr>
              <w:t>污泥：经浓缩后进入污泥脱水机房，污泥脱水后暂存于污泥池内，泥饼先按照《危险废物鉴别标准 通则》（GB5085.7-2019）进行鉴定，如属于危险废物，则运至危废处置单位进行集中处置；如经鉴定污泥不具有危险特性，则外运至运送填埋场处置或制砖厂烧砖；</w:t>
            </w:r>
          </w:p>
          <w:bookmarkEnd w:id="72"/>
          <w:p w14:paraId="48D54583">
            <w:pPr>
              <w:pageBreakBefore w:val="0"/>
              <w:wordWrap/>
              <w:bidi w:val="0"/>
              <w:adjustRightInd/>
              <w:snapToGrid/>
              <w:spacing w:line="300" w:lineRule="exact"/>
              <w:ind w:firstLine="0" w:firstLineChars="0"/>
              <w:rPr>
                <w:rFonts w:hint="eastAsia"/>
                <w:color w:val="auto"/>
                <w:sz w:val="21"/>
                <w:szCs w:val="21"/>
                <w:lang w:val="en-US" w:eastAsia="zh-CN"/>
              </w:rPr>
            </w:pPr>
            <w:r>
              <w:rPr>
                <w:rFonts w:hint="default"/>
                <w:color w:val="auto"/>
                <w:sz w:val="21"/>
                <w:szCs w:val="21"/>
                <w:lang w:val="en-US" w:eastAsia="zh-CN"/>
              </w:rPr>
              <w:t>生物除臭系统废弃生物填料</w:t>
            </w:r>
            <w:r>
              <w:rPr>
                <w:rFonts w:hint="eastAsia"/>
                <w:color w:val="auto"/>
                <w:sz w:val="21"/>
                <w:szCs w:val="21"/>
                <w:lang w:val="en-US" w:eastAsia="zh-CN"/>
              </w:rPr>
              <w:t>：生产厂家统一回收。</w:t>
            </w:r>
          </w:p>
          <w:p w14:paraId="21FC9813">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color w:val="auto"/>
                <w:sz w:val="21"/>
                <w:szCs w:val="21"/>
                <w:lang w:val="en-US" w:eastAsia="zh-CN"/>
              </w:rPr>
              <w:t>废机油、废机油桶、含油棉纱手套、化验废液、废化学试剂瓶和废紫外线灯管等危险废物：分类收集后暂存于危废暂存间，定期交有资质的单位转运处置。</w:t>
            </w:r>
          </w:p>
        </w:tc>
        <w:tc>
          <w:tcPr>
            <w:tcW w:w="287" w:type="pct"/>
            <w:vMerge w:val="continue"/>
            <w:tcBorders>
              <w:tl2br w:val="nil"/>
              <w:tr2bl w:val="nil"/>
            </w:tcBorders>
            <w:noWrap w:val="0"/>
            <w:vAlign w:val="center"/>
          </w:tcPr>
          <w:p w14:paraId="2D48847B">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6877EAE8">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固体废物</w:t>
            </w:r>
          </w:p>
        </w:tc>
      </w:tr>
      <w:tr w14:paraId="266499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0" w:type="pct"/>
            <w:vMerge w:val="continue"/>
            <w:tcBorders>
              <w:tl2br w:val="nil"/>
              <w:tr2bl w:val="nil"/>
            </w:tcBorders>
            <w:noWrap w:val="0"/>
            <w:vAlign w:val="center"/>
          </w:tcPr>
          <w:p w14:paraId="5A8DC2FE">
            <w:pPr>
              <w:pageBreakBefore w:val="0"/>
              <w:wordWrap/>
              <w:bidi w:val="0"/>
              <w:adjustRightInd/>
              <w:snapToGrid/>
              <w:spacing w:line="300" w:lineRule="exact"/>
              <w:ind w:firstLine="0" w:firstLineChars="0"/>
              <w:jc w:val="center"/>
              <w:rPr>
                <w:color w:val="auto"/>
                <w:sz w:val="21"/>
                <w:szCs w:val="21"/>
              </w:rPr>
            </w:pPr>
          </w:p>
        </w:tc>
        <w:tc>
          <w:tcPr>
            <w:tcW w:w="756" w:type="pct"/>
            <w:gridSpan w:val="3"/>
            <w:tcBorders>
              <w:tl2br w:val="nil"/>
              <w:tr2bl w:val="nil"/>
            </w:tcBorders>
            <w:noWrap w:val="0"/>
            <w:vAlign w:val="center"/>
          </w:tcPr>
          <w:p w14:paraId="527CC82C">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地下水</w:t>
            </w:r>
          </w:p>
        </w:tc>
        <w:tc>
          <w:tcPr>
            <w:tcW w:w="3340" w:type="pct"/>
            <w:tcBorders>
              <w:tl2br w:val="nil"/>
              <w:tr2bl w:val="nil"/>
            </w:tcBorders>
            <w:noWrap w:val="0"/>
            <w:vAlign w:val="center"/>
          </w:tcPr>
          <w:p w14:paraId="30A89299">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重点防渗区：危废暂存间采用防渗混凝土+2mm厚的HDPE模，渗透系数≤10</w:t>
            </w:r>
            <w:r>
              <w:rPr>
                <w:rFonts w:hint="eastAsia"/>
                <w:color w:val="auto"/>
                <w:sz w:val="21"/>
                <w:szCs w:val="21"/>
                <w:vertAlign w:val="superscript"/>
                <w:lang w:val="en-US" w:eastAsia="zh-CN"/>
              </w:rPr>
              <w:t>-10</w:t>
            </w:r>
            <w:r>
              <w:rPr>
                <w:rFonts w:hint="eastAsia"/>
                <w:color w:val="auto"/>
                <w:sz w:val="21"/>
                <w:szCs w:val="21"/>
                <w:lang w:val="en-US" w:eastAsia="zh-CN"/>
              </w:rPr>
              <w:t>cm/s，且危险暂存间废液收集容器底部设置金属托盘；污水处理系统各类池体、加药房、污泥处理间池体及地面采用10cm厚抗渗等级为P8的C30混凝土防渗，渗透系数≤10</w:t>
            </w:r>
            <w:r>
              <w:rPr>
                <w:rFonts w:hint="eastAsia"/>
                <w:color w:val="auto"/>
                <w:sz w:val="21"/>
                <w:szCs w:val="21"/>
                <w:vertAlign w:val="superscript"/>
                <w:lang w:val="en-US" w:eastAsia="zh-CN"/>
              </w:rPr>
              <w:t>-7</w:t>
            </w:r>
            <w:r>
              <w:rPr>
                <w:rFonts w:hint="eastAsia"/>
                <w:color w:val="auto"/>
                <w:sz w:val="21"/>
                <w:szCs w:val="21"/>
                <w:lang w:val="en-US" w:eastAsia="zh-CN"/>
              </w:rPr>
              <w:t>cm/s。</w:t>
            </w:r>
          </w:p>
          <w:p w14:paraId="4505853F">
            <w:pPr>
              <w:pageBreakBefore w:val="0"/>
              <w:wordWrap/>
              <w:bidi w:val="0"/>
              <w:adjustRightInd/>
              <w:snapToGrid/>
              <w:spacing w:line="300" w:lineRule="exact"/>
              <w:ind w:firstLine="0" w:firstLineChars="0"/>
              <w:rPr>
                <w:rFonts w:hint="eastAsia"/>
                <w:color w:val="auto"/>
                <w:sz w:val="21"/>
                <w:szCs w:val="21"/>
                <w:lang w:val="en-US" w:eastAsia="zh-CN"/>
              </w:rPr>
            </w:pPr>
            <w:r>
              <w:rPr>
                <w:rFonts w:hint="eastAsia"/>
                <w:color w:val="auto"/>
                <w:sz w:val="21"/>
                <w:szCs w:val="21"/>
                <w:lang w:val="en-US" w:eastAsia="zh-CN"/>
              </w:rPr>
              <w:t>一般防渗区：鼓风车间、配电间、各仪表间等区域，采用抗渗混凝土，渗透系数不应大于1.0×10</w:t>
            </w:r>
            <w:r>
              <w:rPr>
                <w:rFonts w:hint="eastAsia"/>
                <w:color w:val="auto"/>
                <w:sz w:val="21"/>
                <w:szCs w:val="21"/>
                <w:vertAlign w:val="superscript"/>
                <w:lang w:val="en-US" w:eastAsia="zh-CN"/>
              </w:rPr>
              <w:t>-7</w:t>
            </w:r>
            <w:r>
              <w:rPr>
                <w:rFonts w:hint="eastAsia"/>
                <w:color w:val="auto"/>
                <w:sz w:val="21"/>
                <w:szCs w:val="21"/>
                <w:lang w:val="en-US" w:eastAsia="zh-CN"/>
              </w:rPr>
              <w:t>cm/s；</w:t>
            </w:r>
          </w:p>
          <w:p w14:paraId="24D037AE">
            <w:pPr>
              <w:pageBreakBefore w:val="0"/>
              <w:wordWrap/>
              <w:bidi w:val="0"/>
              <w:adjustRightInd/>
              <w:snapToGrid/>
              <w:spacing w:line="300" w:lineRule="exact"/>
              <w:ind w:firstLine="0" w:firstLineChars="0"/>
              <w:rPr>
                <w:rFonts w:hint="default"/>
                <w:color w:val="auto"/>
                <w:sz w:val="21"/>
                <w:szCs w:val="21"/>
                <w:lang w:val="en-US" w:eastAsia="zh-CN"/>
              </w:rPr>
            </w:pPr>
            <w:r>
              <w:rPr>
                <w:rFonts w:hint="eastAsia"/>
                <w:color w:val="auto"/>
                <w:sz w:val="21"/>
                <w:szCs w:val="21"/>
                <w:lang w:val="en-US" w:eastAsia="zh-CN"/>
              </w:rPr>
              <w:t>简单防渗区：办公楼、道路等采用一般水泥进行硬化；</w:t>
            </w:r>
          </w:p>
        </w:tc>
        <w:tc>
          <w:tcPr>
            <w:tcW w:w="287" w:type="pct"/>
            <w:vMerge w:val="continue"/>
            <w:tcBorders>
              <w:tl2br w:val="nil"/>
              <w:tr2bl w:val="nil"/>
            </w:tcBorders>
            <w:noWrap w:val="0"/>
            <w:vAlign w:val="center"/>
          </w:tcPr>
          <w:p w14:paraId="41F2B13A">
            <w:pPr>
              <w:pageBreakBefore w:val="0"/>
              <w:wordWrap/>
              <w:bidi w:val="0"/>
              <w:adjustRightInd/>
              <w:snapToGrid/>
              <w:spacing w:line="300" w:lineRule="exact"/>
              <w:ind w:firstLine="0" w:firstLineChars="0"/>
              <w:rPr>
                <w:color w:val="auto"/>
                <w:sz w:val="21"/>
                <w:szCs w:val="21"/>
              </w:rPr>
            </w:pPr>
          </w:p>
        </w:tc>
        <w:tc>
          <w:tcPr>
            <w:tcW w:w="404" w:type="pct"/>
            <w:tcBorders>
              <w:tl2br w:val="nil"/>
              <w:tr2bl w:val="nil"/>
            </w:tcBorders>
            <w:noWrap w:val="0"/>
            <w:vAlign w:val="center"/>
          </w:tcPr>
          <w:p w14:paraId="30F1C264">
            <w:pPr>
              <w:pageBreakBefore w:val="0"/>
              <w:wordWrap/>
              <w:bidi w:val="0"/>
              <w:adjustRightInd/>
              <w:snapToGrid/>
              <w:spacing w:line="300" w:lineRule="exact"/>
              <w:ind w:firstLine="0" w:firstLineChars="0"/>
              <w:jc w:val="center"/>
              <w:rPr>
                <w:rFonts w:hint="default"/>
                <w:color w:val="auto"/>
                <w:sz w:val="21"/>
                <w:szCs w:val="21"/>
                <w:lang w:val="en-US" w:eastAsia="zh-CN"/>
              </w:rPr>
            </w:pPr>
            <w:r>
              <w:rPr>
                <w:rFonts w:hint="eastAsia"/>
                <w:color w:val="auto"/>
                <w:sz w:val="21"/>
                <w:szCs w:val="21"/>
                <w:lang w:val="en-US" w:eastAsia="zh-CN"/>
              </w:rPr>
              <w:t>环境风险</w:t>
            </w:r>
          </w:p>
        </w:tc>
      </w:tr>
    </w:tbl>
    <w:p w14:paraId="627A8CE6">
      <w:pPr>
        <w:pStyle w:val="5"/>
        <w:pageBreakBefore w:val="0"/>
        <w:wordWrap/>
        <w:bidi w:val="0"/>
        <w:adjustRightInd/>
        <w:snapToGrid/>
        <w:spacing w:before="62" w:after="62"/>
        <w:ind w:left="0"/>
        <w:rPr>
          <w:rFonts w:eastAsia="宋体"/>
          <w:color w:val="auto"/>
        </w:rPr>
      </w:pPr>
      <w:r>
        <w:rPr>
          <w:rFonts w:hint="eastAsia" w:eastAsia="宋体"/>
          <w:color w:val="auto"/>
        </w:rPr>
        <w:t xml:space="preserve"> </w:t>
      </w:r>
      <w:r>
        <w:rPr>
          <w:rFonts w:eastAsia="宋体"/>
          <w:color w:val="auto"/>
        </w:rPr>
        <w:t>主要构筑物、设备清单</w:t>
      </w:r>
    </w:p>
    <w:p w14:paraId="7E5F4DA3">
      <w:pPr>
        <w:pageBreakBefore w:val="0"/>
        <w:wordWrap/>
        <w:bidi w:val="0"/>
        <w:adjustRightInd/>
        <w:snapToGrid/>
        <w:rPr>
          <w:rFonts w:hint="default"/>
          <w:b/>
          <w:bCs/>
          <w:color w:val="auto"/>
          <w:lang w:val="en-US" w:eastAsia="zh-CN"/>
        </w:rPr>
      </w:pPr>
      <w:r>
        <w:rPr>
          <w:rFonts w:hint="eastAsia"/>
          <w:b/>
          <w:bCs/>
          <w:color w:val="auto"/>
          <w:lang w:val="en-US" w:eastAsia="zh-CN"/>
        </w:rPr>
        <w:t>1、主要构筑物</w:t>
      </w:r>
    </w:p>
    <w:p w14:paraId="72C20AB2">
      <w:pPr>
        <w:pStyle w:val="19"/>
        <w:numPr>
          <w:ilvl w:val="0"/>
          <w:numId w:val="15"/>
        </w:numPr>
        <w:bidi w:val="0"/>
        <w:ind w:left="0" w:leftChars="0" w:firstLine="0" w:firstLineChars="0"/>
        <w:rPr>
          <w:color w:val="auto"/>
        </w:rPr>
      </w:pPr>
      <w:r>
        <w:rPr>
          <w:rFonts w:hint="eastAsia"/>
          <w:color w:val="auto"/>
          <w:lang w:val="en-US" w:eastAsia="zh-CN"/>
        </w:rPr>
        <w:t>污水处理厂</w:t>
      </w:r>
      <w:r>
        <w:rPr>
          <w:color w:val="auto"/>
        </w:rPr>
        <w:t>主要构筑物一览表</w:t>
      </w:r>
    </w:p>
    <w:tbl>
      <w:tblPr>
        <w:tblStyle w:val="5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2"/>
        <w:gridCol w:w="2867"/>
        <w:gridCol w:w="3639"/>
        <w:gridCol w:w="1483"/>
        <w:gridCol w:w="1154"/>
        <w:gridCol w:w="1642"/>
        <w:gridCol w:w="2527"/>
      </w:tblGrid>
      <w:tr w14:paraId="188F9D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304" w:type="pct"/>
            <w:tcBorders>
              <w:tl2br w:val="nil"/>
              <w:tr2bl w:val="nil"/>
            </w:tcBorders>
            <w:noWrap w:val="0"/>
            <w:vAlign w:val="center"/>
          </w:tcPr>
          <w:p w14:paraId="5E02545F">
            <w:pPr>
              <w:pStyle w:val="434"/>
              <w:pageBreakBefore w:val="0"/>
              <w:wordWrap/>
              <w:bidi w:val="0"/>
              <w:adjustRightInd/>
              <w:snapToGrid/>
              <w:spacing w:line="240" w:lineRule="auto"/>
              <w:ind w:firstLine="0" w:firstLineChars="0"/>
              <w:rPr>
                <w:b/>
                <w:bCs/>
                <w:color w:val="auto"/>
                <w:sz w:val="21"/>
                <w:szCs w:val="21"/>
              </w:rPr>
            </w:pPr>
            <w:r>
              <w:rPr>
                <w:b/>
                <w:bCs/>
                <w:color w:val="auto"/>
                <w:sz w:val="21"/>
                <w:szCs w:val="21"/>
              </w:rPr>
              <w:t>序号</w:t>
            </w:r>
          </w:p>
        </w:tc>
        <w:tc>
          <w:tcPr>
            <w:tcW w:w="1011" w:type="pct"/>
            <w:tcBorders>
              <w:tl2br w:val="nil"/>
              <w:tr2bl w:val="nil"/>
            </w:tcBorders>
            <w:noWrap w:val="0"/>
            <w:vAlign w:val="center"/>
          </w:tcPr>
          <w:p w14:paraId="7DB5BE55">
            <w:pPr>
              <w:pStyle w:val="434"/>
              <w:pageBreakBefore w:val="0"/>
              <w:wordWrap/>
              <w:bidi w:val="0"/>
              <w:adjustRightInd/>
              <w:snapToGrid/>
              <w:spacing w:line="240" w:lineRule="auto"/>
              <w:ind w:firstLine="0" w:firstLineChars="0"/>
              <w:rPr>
                <w:b/>
                <w:bCs/>
                <w:color w:val="auto"/>
                <w:sz w:val="21"/>
                <w:szCs w:val="21"/>
              </w:rPr>
            </w:pPr>
            <w:r>
              <w:rPr>
                <w:b/>
                <w:bCs/>
                <w:color w:val="auto"/>
                <w:sz w:val="21"/>
                <w:szCs w:val="21"/>
              </w:rPr>
              <w:t>构筑物名称</w:t>
            </w:r>
          </w:p>
        </w:tc>
        <w:tc>
          <w:tcPr>
            <w:tcW w:w="1283" w:type="pct"/>
            <w:tcBorders>
              <w:tl2br w:val="nil"/>
              <w:tr2bl w:val="nil"/>
            </w:tcBorders>
            <w:noWrap w:val="0"/>
            <w:vAlign w:val="center"/>
          </w:tcPr>
          <w:p w14:paraId="0F216FD5">
            <w:pPr>
              <w:pStyle w:val="603"/>
              <w:pageBreakBefore w:val="0"/>
              <w:wordWrap/>
              <w:bidi w:val="0"/>
              <w:adjustRightInd/>
              <w:snapToGrid/>
              <w:spacing w:line="240" w:lineRule="auto"/>
              <w:ind w:firstLine="0" w:firstLineChars="0"/>
              <w:jc w:val="center"/>
              <w:rPr>
                <w:rFonts w:ascii="Times New Roman" w:hAnsi="Times New Roman"/>
                <w:b/>
                <w:bCs/>
                <w:color w:val="auto"/>
                <w:kern w:val="0"/>
                <w:sz w:val="21"/>
                <w:szCs w:val="21"/>
              </w:rPr>
            </w:pPr>
            <w:r>
              <w:rPr>
                <w:rFonts w:ascii="Times New Roman" w:hAnsi="Times New Roman"/>
                <w:b/>
                <w:bCs/>
                <w:color w:val="auto"/>
                <w:kern w:val="0"/>
                <w:sz w:val="21"/>
                <w:szCs w:val="21"/>
              </w:rPr>
              <w:t>规格</w:t>
            </w:r>
          </w:p>
        </w:tc>
        <w:tc>
          <w:tcPr>
            <w:tcW w:w="523" w:type="pct"/>
            <w:tcBorders>
              <w:tl2br w:val="nil"/>
              <w:tr2bl w:val="nil"/>
            </w:tcBorders>
            <w:noWrap w:val="0"/>
            <w:vAlign w:val="center"/>
          </w:tcPr>
          <w:p w14:paraId="2D8BDE54">
            <w:pPr>
              <w:pStyle w:val="603"/>
              <w:pageBreakBefore w:val="0"/>
              <w:wordWrap/>
              <w:bidi w:val="0"/>
              <w:adjustRightInd/>
              <w:snapToGrid/>
              <w:spacing w:line="240" w:lineRule="auto"/>
              <w:ind w:firstLine="0" w:firstLineChars="0"/>
              <w:jc w:val="center"/>
              <w:rPr>
                <w:rFonts w:ascii="Times New Roman" w:hAnsi="Times New Roman"/>
                <w:b/>
                <w:bCs/>
                <w:color w:val="auto"/>
                <w:kern w:val="0"/>
                <w:sz w:val="21"/>
                <w:szCs w:val="21"/>
              </w:rPr>
            </w:pPr>
            <w:r>
              <w:rPr>
                <w:rFonts w:ascii="Times New Roman" w:hAnsi="Times New Roman"/>
                <w:b/>
                <w:bCs/>
                <w:color w:val="auto"/>
                <w:kern w:val="0"/>
                <w:sz w:val="21"/>
                <w:szCs w:val="21"/>
              </w:rPr>
              <w:t>结构形式</w:t>
            </w:r>
          </w:p>
        </w:tc>
        <w:tc>
          <w:tcPr>
            <w:tcW w:w="407" w:type="pct"/>
            <w:tcBorders>
              <w:tl2br w:val="nil"/>
              <w:tr2bl w:val="nil"/>
            </w:tcBorders>
            <w:noWrap w:val="0"/>
            <w:vAlign w:val="center"/>
          </w:tcPr>
          <w:p w14:paraId="6D06ED79">
            <w:pPr>
              <w:pStyle w:val="434"/>
              <w:pageBreakBefore w:val="0"/>
              <w:wordWrap/>
              <w:bidi w:val="0"/>
              <w:adjustRightInd/>
              <w:snapToGrid/>
              <w:spacing w:line="240" w:lineRule="auto"/>
              <w:ind w:firstLine="0" w:firstLineChars="0"/>
              <w:rPr>
                <w:b/>
                <w:bCs/>
                <w:color w:val="auto"/>
                <w:sz w:val="21"/>
                <w:szCs w:val="21"/>
              </w:rPr>
            </w:pPr>
            <w:r>
              <w:rPr>
                <w:b/>
                <w:bCs/>
                <w:color w:val="auto"/>
                <w:sz w:val="21"/>
                <w:szCs w:val="21"/>
              </w:rPr>
              <w:t>单位</w:t>
            </w:r>
          </w:p>
        </w:tc>
        <w:tc>
          <w:tcPr>
            <w:tcW w:w="579" w:type="pct"/>
            <w:tcBorders>
              <w:tl2br w:val="nil"/>
              <w:tr2bl w:val="nil"/>
            </w:tcBorders>
            <w:noWrap w:val="0"/>
            <w:vAlign w:val="center"/>
          </w:tcPr>
          <w:p w14:paraId="68852415">
            <w:pPr>
              <w:pStyle w:val="434"/>
              <w:pageBreakBefore w:val="0"/>
              <w:wordWrap/>
              <w:bidi w:val="0"/>
              <w:adjustRightInd/>
              <w:snapToGrid/>
              <w:spacing w:line="240" w:lineRule="auto"/>
              <w:ind w:firstLine="0" w:firstLineChars="0"/>
              <w:rPr>
                <w:b/>
                <w:bCs/>
                <w:color w:val="auto"/>
                <w:sz w:val="21"/>
                <w:szCs w:val="21"/>
              </w:rPr>
            </w:pPr>
            <w:r>
              <w:rPr>
                <w:b/>
                <w:bCs/>
                <w:color w:val="auto"/>
                <w:sz w:val="21"/>
                <w:szCs w:val="21"/>
              </w:rPr>
              <w:t>数量</w:t>
            </w:r>
          </w:p>
        </w:tc>
        <w:tc>
          <w:tcPr>
            <w:tcW w:w="891" w:type="pct"/>
            <w:tcBorders>
              <w:tl2br w:val="nil"/>
              <w:tr2bl w:val="nil"/>
            </w:tcBorders>
            <w:noWrap w:val="0"/>
            <w:vAlign w:val="center"/>
          </w:tcPr>
          <w:p w14:paraId="4A02D429">
            <w:pPr>
              <w:pStyle w:val="434"/>
              <w:pageBreakBefore w:val="0"/>
              <w:wordWrap/>
              <w:bidi w:val="0"/>
              <w:adjustRightInd/>
              <w:snapToGrid/>
              <w:spacing w:line="240" w:lineRule="auto"/>
              <w:ind w:firstLine="0" w:firstLineChars="0"/>
              <w:rPr>
                <w:b/>
                <w:bCs/>
                <w:color w:val="auto"/>
                <w:sz w:val="21"/>
                <w:szCs w:val="21"/>
              </w:rPr>
            </w:pPr>
            <w:r>
              <w:rPr>
                <w:b/>
                <w:bCs/>
                <w:color w:val="auto"/>
                <w:sz w:val="21"/>
                <w:szCs w:val="21"/>
              </w:rPr>
              <w:t>备注</w:t>
            </w:r>
          </w:p>
        </w:tc>
      </w:tr>
      <w:tr w14:paraId="447BC4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4EA48BCE">
            <w:pPr>
              <w:pStyle w:val="434"/>
              <w:pageBreakBefore w:val="0"/>
              <w:wordWrap/>
              <w:bidi w:val="0"/>
              <w:adjustRightInd/>
              <w:snapToGrid/>
              <w:spacing w:line="240" w:lineRule="auto"/>
              <w:ind w:firstLine="0" w:firstLineChars="0"/>
              <w:rPr>
                <w:color w:val="auto"/>
                <w:sz w:val="21"/>
                <w:szCs w:val="21"/>
              </w:rPr>
            </w:pPr>
            <w:r>
              <w:rPr>
                <w:color w:val="auto"/>
                <w:sz w:val="21"/>
                <w:szCs w:val="21"/>
              </w:rPr>
              <w:t>1</w:t>
            </w:r>
          </w:p>
        </w:tc>
        <w:tc>
          <w:tcPr>
            <w:tcW w:w="1011" w:type="pct"/>
            <w:tcBorders>
              <w:tl2br w:val="nil"/>
              <w:tr2bl w:val="nil"/>
            </w:tcBorders>
            <w:noWrap w:val="0"/>
            <w:vAlign w:val="center"/>
          </w:tcPr>
          <w:p w14:paraId="0D8F96FC">
            <w:pPr>
              <w:pStyle w:val="434"/>
              <w:pageBreakBefore w:val="0"/>
              <w:wordWrap/>
              <w:bidi w:val="0"/>
              <w:adjustRightInd/>
              <w:snapToGrid/>
              <w:spacing w:line="240" w:lineRule="auto"/>
              <w:ind w:firstLine="0" w:firstLineChars="0"/>
              <w:rPr>
                <w:rFonts w:hint="default" w:eastAsia="宋体"/>
                <w:color w:val="auto"/>
                <w:sz w:val="21"/>
                <w:szCs w:val="21"/>
                <w:lang w:val="en-US" w:eastAsia="zh-CN"/>
              </w:rPr>
            </w:pPr>
            <w:r>
              <w:rPr>
                <w:rFonts w:hint="eastAsia"/>
                <w:color w:val="auto"/>
                <w:sz w:val="21"/>
                <w:szCs w:val="21"/>
                <w:lang w:val="en-US" w:eastAsia="zh-CN"/>
              </w:rPr>
              <w:t>超细格栅池</w:t>
            </w:r>
          </w:p>
        </w:tc>
        <w:tc>
          <w:tcPr>
            <w:tcW w:w="1283" w:type="pct"/>
            <w:tcBorders>
              <w:tl2br w:val="nil"/>
              <w:tr2bl w:val="nil"/>
            </w:tcBorders>
            <w:noWrap w:val="0"/>
            <w:vAlign w:val="center"/>
          </w:tcPr>
          <w:p w14:paraId="45A465BD">
            <w:pPr>
              <w:pStyle w:val="434"/>
              <w:pageBreakBefore w:val="0"/>
              <w:wordWrap/>
              <w:bidi w:val="0"/>
              <w:adjustRightInd/>
              <w:snapToGrid/>
              <w:spacing w:line="240" w:lineRule="auto"/>
              <w:ind w:firstLine="0" w:firstLineChars="0"/>
              <w:rPr>
                <w:color w:val="auto"/>
                <w:sz w:val="21"/>
                <w:szCs w:val="21"/>
              </w:rPr>
            </w:pPr>
            <w:r>
              <w:rPr>
                <w:color w:val="auto"/>
                <w:kern w:val="0"/>
                <w:sz w:val="21"/>
                <w:szCs w:val="21"/>
              </w:rPr>
              <w:t>L×B×H=</w:t>
            </w:r>
            <w:r>
              <w:rPr>
                <w:rFonts w:hint="eastAsia"/>
                <w:color w:val="auto"/>
                <w:kern w:val="0"/>
                <w:sz w:val="21"/>
                <w:szCs w:val="21"/>
                <w:lang w:val="en-US" w:eastAsia="zh-CN"/>
              </w:rPr>
              <w:t>7.70</w:t>
            </w:r>
            <w:r>
              <w:rPr>
                <w:color w:val="auto"/>
                <w:kern w:val="0"/>
                <w:sz w:val="21"/>
                <w:szCs w:val="21"/>
              </w:rPr>
              <w:t>×</w:t>
            </w:r>
            <w:r>
              <w:rPr>
                <w:rFonts w:hint="eastAsia"/>
                <w:color w:val="auto"/>
                <w:kern w:val="0"/>
                <w:sz w:val="21"/>
                <w:szCs w:val="21"/>
                <w:lang w:val="en-US" w:eastAsia="zh-CN"/>
              </w:rPr>
              <w:t>3.50</w:t>
            </w:r>
            <w:r>
              <w:rPr>
                <w:color w:val="auto"/>
                <w:kern w:val="0"/>
                <w:sz w:val="21"/>
                <w:szCs w:val="21"/>
              </w:rPr>
              <w:t>×</w:t>
            </w:r>
            <w:r>
              <w:rPr>
                <w:rFonts w:hint="eastAsia"/>
                <w:color w:val="auto"/>
                <w:kern w:val="0"/>
                <w:sz w:val="21"/>
                <w:szCs w:val="21"/>
                <w:lang w:val="en-US" w:eastAsia="zh-CN"/>
              </w:rPr>
              <w:t>2.00</w:t>
            </w:r>
            <w:r>
              <w:rPr>
                <w:color w:val="auto"/>
                <w:kern w:val="0"/>
                <w:sz w:val="21"/>
                <w:szCs w:val="21"/>
              </w:rPr>
              <w:t>m</w:t>
            </w:r>
          </w:p>
        </w:tc>
        <w:tc>
          <w:tcPr>
            <w:tcW w:w="523" w:type="pct"/>
            <w:tcBorders>
              <w:tl2br w:val="nil"/>
              <w:tr2bl w:val="nil"/>
            </w:tcBorders>
            <w:noWrap w:val="0"/>
            <w:vAlign w:val="center"/>
          </w:tcPr>
          <w:p w14:paraId="4E62A17C">
            <w:pPr>
              <w:pStyle w:val="434"/>
              <w:pageBreakBefore w:val="0"/>
              <w:wordWrap/>
              <w:bidi w:val="0"/>
              <w:adjustRightInd/>
              <w:snapToGrid/>
              <w:spacing w:line="240" w:lineRule="auto"/>
              <w:ind w:firstLine="0" w:firstLineChars="0"/>
              <w:rPr>
                <w:color w:val="auto"/>
                <w:sz w:val="21"/>
                <w:szCs w:val="21"/>
              </w:rPr>
            </w:pPr>
            <w:r>
              <w:rPr>
                <w:color w:val="auto"/>
                <w:kern w:val="0"/>
                <w:sz w:val="21"/>
                <w:szCs w:val="21"/>
              </w:rPr>
              <w:t>钢筋砼</w:t>
            </w:r>
          </w:p>
        </w:tc>
        <w:tc>
          <w:tcPr>
            <w:tcW w:w="407" w:type="pct"/>
            <w:tcBorders>
              <w:tl2br w:val="nil"/>
              <w:tr2bl w:val="nil"/>
            </w:tcBorders>
            <w:noWrap w:val="0"/>
            <w:vAlign w:val="center"/>
          </w:tcPr>
          <w:p w14:paraId="67115D82">
            <w:pPr>
              <w:pStyle w:val="434"/>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0961803C">
            <w:pPr>
              <w:pStyle w:val="434"/>
              <w:pageBreakBefore w:val="0"/>
              <w:wordWrap/>
              <w:bidi w:val="0"/>
              <w:adjustRightInd/>
              <w:snapToGrid/>
              <w:spacing w:line="240" w:lineRule="auto"/>
              <w:ind w:firstLine="0" w:firstLineChars="0"/>
              <w:rPr>
                <w:color w:val="auto"/>
                <w:sz w:val="21"/>
                <w:szCs w:val="21"/>
              </w:rPr>
            </w:pPr>
            <w:r>
              <w:rPr>
                <w:color w:val="auto"/>
                <w:sz w:val="21"/>
                <w:szCs w:val="21"/>
              </w:rPr>
              <w:t>1座2格</w:t>
            </w:r>
          </w:p>
        </w:tc>
        <w:tc>
          <w:tcPr>
            <w:tcW w:w="891" w:type="pct"/>
            <w:tcBorders>
              <w:tl2br w:val="nil"/>
              <w:tr2bl w:val="nil"/>
            </w:tcBorders>
            <w:noWrap w:val="0"/>
            <w:vAlign w:val="center"/>
          </w:tcPr>
          <w:p w14:paraId="3696610B">
            <w:pPr>
              <w:pStyle w:val="434"/>
              <w:pageBreakBefore w:val="0"/>
              <w:wordWrap/>
              <w:bidi w:val="0"/>
              <w:adjustRightInd/>
              <w:snapToGrid/>
              <w:spacing w:line="240" w:lineRule="auto"/>
              <w:ind w:firstLine="0" w:firstLineChars="0"/>
              <w:rPr>
                <w:rFonts w:hint="default" w:eastAsia="宋体"/>
                <w:color w:val="auto"/>
                <w:sz w:val="21"/>
                <w:szCs w:val="21"/>
                <w:lang w:val="en-US" w:eastAsia="zh-CN"/>
              </w:rPr>
            </w:pPr>
            <w:r>
              <w:rPr>
                <w:rFonts w:hint="eastAsia"/>
                <w:color w:val="auto"/>
                <w:sz w:val="21"/>
                <w:szCs w:val="21"/>
                <w:lang w:val="en-US" w:eastAsia="zh-CN"/>
              </w:rPr>
              <w:t>去除悬浮物</w:t>
            </w:r>
          </w:p>
        </w:tc>
      </w:tr>
      <w:tr w14:paraId="5C2948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422C9D1B">
            <w:pPr>
              <w:pStyle w:val="434"/>
              <w:pageBreakBefore w:val="0"/>
              <w:wordWrap/>
              <w:bidi w:val="0"/>
              <w:adjustRightInd/>
              <w:snapToGrid/>
              <w:spacing w:line="240" w:lineRule="auto"/>
              <w:ind w:firstLine="0" w:firstLineChars="0"/>
              <w:rPr>
                <w:color w:val="auto"/>
                <w:sz w:val="21"/>
                <w:szCs w:val="21"/>
              </w:rPr>
            </w:pPr>
            <w:r>
              <w:rPr>
                <w:color w:val="auto"/>
                <w:sz w:val="21"/>
                <w:szCs w:val="21"/>
              </w:rPr>
              <w:t>3</w:t>
            </w:r>
          </w:p>
        </w:tc>
        <w:tc>
          <w:tcPr>
            <w:tcW w:w="1011" w:type="pct"/>
            <w:tcBorders>
              <w:tl2br w:val="nil"/>
              <w:tr2bl w:val="nil"/>
            </w:tcBorders>
            <w:noWrap w:val="0"/>
            <w:vAlign w:val="center"/>
          </w:tcPr>
          <w:p w14:paraId="7E54A99D">
            <w:pPr>
              <w:pStyle w:val="434"/>
              <w:pageBreakBefore w:val="0"/>
              <w:wordWrap/>
              <w:bidi w:val="0"/>
              <w:adjustRightInd/>
              <w:snapToGrid/>
              <w:spacing w:line="240" w:lineRule="auto"/>
              <w:ind w:firstLine="0" w:firstLineChars="0"/>
              <w:rPr>
                <w:rFonts w:hint="eastAsia"/>
                <w:color w:val="auto"/>
                <w:sz w:val="21"/>
                <w:szCs w:val="21"/>
              </w:rPr>
            </w:pPr>
            <w:r>
              <w:rPr>
                <w:color w:val="auto"/>
                <w:sz w:val="21"/>
                <w:szCs w:val="21"/>
              </w:rPr>
              <w:t>调节</w:t>
            </w:r>
            <w:r>
              <w:rPr>
                <w:rFonts w:hint="eastAsia"/>
                <w:color w:val="auto"/>
                <w:sz w:val="21"/>
                <w:szCs w:val="21"/>
              </w:rPr>
              <w:t>池</w:t>
            </w:r>
          </w:p>
        </w:tc>
        <w:tc>
          <w:tcPr>
            <w:tcW w:w="1283" w:type="pct"/>
            <w:tcBorders>
              <w:tl2br w:val="nil"/>
              <w:tr2bl w:val="nil"/>
            </w:tcBorders>
            <w:noWrap w:val="0"/>
            <w:vAlign w:val="center"/>
          </w:tcPr>
          <w:p w14:paraId="5AE4238A">
            <w:pPr>
              <w:pStyle w:val="434"/>
              <w:pageBreakBefore w:val="0"/>
              <w:wordWrap/>
              <w:bidi w:val="0"/>
              <w:adjustRightInd/>
              <w:snapToGrid/>
              <w:spacing w:line="240" w:lineRule="auto"/>
              <w:ind w:firstLine="0" w:firstLineChars="0"/>
              <w:rPr>
                <w:color w:val="auto"/>
                <w:sz w:val="21"/>
                <w:szCs w:val="21"/>
              </w:rPr>
            </w:pPr>
            <w:r>
              <w:rPr>
                <w:color w:val="auto"/>
                <w:kern w:val="0"/>
                <w:sz w:val="21"/>
                <w:szCs w:val="21"/>
              </w:rPr>
              <w:t>L×B×H=</w:t>
            </w:r>
            <w:r>
              <w:rPr>
                <w:rFonts w:hint="eastAsia"/>
                <w:b w:val="0"/>
                <w:bCs/>
                <w:i w:val="0"/>
                <w:iCs/>
                <w:color w:val="auto"/>
                <w:sz w:val="21"/>
                <w:szCs w:val="21"/>
                <w:lang w:val="en-US" w:eastAsia="zh-CN"/>
              </w:rPr>
              <w:t>21.10m×14.00m×8.05m</w:t>
            </w:r>
          </w:p>
        </w:tc>
        <w:tc>
          <w:tcPr>
            <w:tcW w:w="523" w:type="pct"/>
            <w:tcBorders>
              <w:tl2br w:val="nil"/>
              <w:tr2bl w:val="nil"/>
            </w:tcBorders>
            <w:noWrap w:val="0"/>
            <w:vAlign w:val="center"/>
          </w:tcPr>
          <w:p w14:paraId="1613F29B">
            <w:pPr>
              <w:pStyle w:val="434"/>
              <w:pageBreakBefore w:val="0"/>
              <w:wordWrap/>
              <w:bidi w:val="0"/>
              <w:adjustRightInd/>
              <w:snapToGrid/>
              <w:spacing w:line="240" w:lineRule="auto"/>
              <w:ind w:firstLine="0" w:firstLineChars="0"/>
              <w:rPr>
                <w:color w:val="auto"/>
                <w:sz w:val="21"/>
                <w:szCs w:val="21"/>
              </w:rPr>
            </w:pPr>
            <w:r>
              <w:rPr>
                <w:color w:val="auto"/>
                <w:kern w:val="0"/>
                <w:sz w:val="21"/>
                <w:szCs w:val="21"/>
              </w:rPr>
              <w:t>钢筋砼</w:t>
            </w:r>
          </w:p>
        </w:tc>
        <w:tc>
          <w:tcPr>
            <w:tcW w:w="407" w:type="pct"/>
            <w:tcBorders>
              <w:tl2br w:val="nil"/>
              <w:tr2bl w:val="nil"/>
            </w:tcBorders>
            <w:noWrap w:val="0"/>
            <w:vAlign w:val="center"/>
          </w:tcPr>
          <w:p w14:paraId="54B749DE">
            <w:pPr>
              <w:pStyle w:val="434"/>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0534A0C5">
            <w:pPr>
              <w:pStyle w:val="434"/>
              <w:pageBreakBefore w:val="0"/>
              <w:wordWrap/>
              <w:bidi w:val="0"/>
              <w:adjustRightInd/>
              <w:snapToGrid/>
              <w:spacing w:line="240" w:lineRule="auto"/>
              <w:ind w:firstLine="0" w:firstLineChars="0"/>
              <w:rPr>
                <w:color w:val="auto"/>
                <w:sz w:val="21"/>
                <w:szCs w:val="21"/>
              </w:rPr>
            </w:pPr>
            <w:r>
              <w:rPr>
                <w:color w:val="auto"/>
                <w:sz w:val="21"/>
                <w:szCs w:val="21"/>
              </w:rPr>
              <w:t>1座2格</w:t>
            </w:r>
          </w:p>
        </w:tc>
        <w:tc>
          <w:tcPr>
            <w:tcW w:w="891" w:type="pct"/>
            <w:tcBorders>
              <w:tl2br w:val="nil"/>
              <w:tr2bl w:val="nil"/>
            </w:tcBorders>
            <w:noWrap w:val="0"/>
            <w:vAlign w:val="center"/>
          </w:tcPr>
          <w:p w14:paraId="1C4B8B72">
            <w:pPr>
              <w:pStyle w:val="434"/>
              <w:pageBreakBefore w:val="0"/>
              <w:wordWrap/>
              <w:bidi w:val="0"/>
              <w:adjustRightInd/>
              <w:snapToGrid/>
              <w:spacing w:line="240" w:lineRule="auto"/>
              <w:ind w:firstLine="0" w:firstLineChars="0"/>
              <w:rPr>
                <w:color w:val="auto"/>
                <w:sz w:val="21"/>
                <w:szCs w:val="21"/>
              </w:rPr>
            </w:pPr>
            <w:r>
              <w:rPr>
                <w:rFonts w:hint="eastAsia"/>
                <w:b w:val="0"/>
                <w:bCs/>
                <w:i w:val="0"/>
                <w:iCs/>
                <w:color w:val="auto"/>
                <w:sz w:val="21"/>
                <w:szCs w:val="21"/>
                <w:lang w:val="en-US" w:eastAsia="zh-CN"/>
              </w:rPr>
              <w:t>除臭，有效水深6.8m</w:t>
            </w:r>
          </w:p>
        </w:tc>
      </w:tr>
      <w:tr w14:paraId="01D99A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3AE3B221">
            <w:pPr>
              <w:pStyle w:val="434"/>
              <w:pageBreakBefore w:val="0"/>
              <w:wordWrap/>
              <w:bidi w:val="0"/>
              <w:adjustRightInd/>
              <w:snapToGrid/>
              <w:spacing w:line="240" w:lineRule="auto"/>
              <w:ind w:firstLine="0" w:firstLineChars="0"/>
              <w:rPr>
                <w:color w:val="auto"/>
                <w:sz w:val="21"/>
                <w:szCs w:val="21"/>
              </w:rPr>
            </w:pPr>
            <w:r>
              <w:rPr>
                <w:color w:val="auto"/>
                <w:sz w:val="21"/>
                <w:szCs w:val="21"/>
              </w:rPr>
              <w:t>4</w:t>
            </w:r>
          </w:p>
        </w:tc>
        <w:tc>
          <w:tcPr>
            <w:tcW w:w="1011" w:type="pct"/>
            <w:tcBorders>
              <w:tl2br w:val="nil"/>
              <w:tr2bl w:val="nil"/>
            </w:tcBorders>
            <w:noWrap w:val="0"/>
            <w:vAlign w:val="center"/>
          </w:tcPr>
          <w:p w14:paraId="28772EEF">
            <w:pPr>
              <w:pStyle w:val="434"/>
              <w:pageBreakBefore w:val="0"/>
              <w:wordWrap/>
              <w:bidi w:val="0"/>
              <w:adjustRightInd/>
              <w:snapToGrid/>
              <w:spacing w:line="240" w:lineRule="auto"/>
              <w:ind w:firstLine="0" w:firstLineChars="0"/>
              <w:rPr>
                <w:rFonts w:hint="eastAsia"/>
                <w:color w:val="auto"/>
                <w:sz w:val="21"/>
                <w:szCs w:val="21"/>
              </w:rPr>
            </w:pPr>
            <w:r>
              <w:rPr>
                <w:rFonts w:hint="eastAsia"/>
                <w:color w:val="auto"/>
                <w:sz w:val="21"/>
                <w:szCs w:val="21"/>
              </w:rPr>
              <w:t>事故池</w:t>
            </w:r>
          </w:p>
        </w:tc>
        <w:tc>
          <w:tcPr>
            <w:tcW w:w="1283" w:type="pct"/>
            <w:tcBorders>
              <w:tl2br w:val="nil"/>
              <w:tr2bl w:val="nil"/>
            </w:tcBorders>
            <w:noWrap w:val="0"/>
            <w:vAlign w:val="center"/>
          </w:tcPr>
          <w:p w14:paraId="07977B75">
            <w:pPr>
              <w:pStyle w:val="434"/>
              <w:pageBreakBefore w:val="0"/>
              <w:wordWrap/>
              <w:bidi w:val="0"/>
              <w:adjustRightInd/>
              <w:snapToGrid/>
              <w:spacing w:line="240" w:lineRule="auto"/>
              <w:ind w:firstLine="0" w:firstLineChars="0"/>
              <w:rPr>
                <w:rFonts w:hint="eastAsia"/>
                <w:color w:val="auto"/>
                <w:kern w:val="0"/>
                <w:sz w:val="21"/>
                <w:szCs w:val="21"/>
              </w:rPr>
            </w:pPr>
            <w:r>
              <w:rPr>
                <w:color w:val="auto"/>
                <w:kern w:val="0"/>
                <w:sz w:val="21"/>
                <w:szCs w:val="21"/>
              </w:rPr>
              <w:t>L×B×H=</w:t>
            </w:r>
            <w:r>
              <w:rPr>
                <w:rFonts w:hint="eastAsia"/>
                <w:b w:val="0"/>
                <w:bCs/>
                <w:i w:val="0"/>
                <w:iCs/>
                <w:color w:val="auto"/>
                <w:sz w:val="21"/>
                <w:szCs w:val="21"/>
                <w:lang w:val="en-US" w:eastAsia="zh-CN"/>
              </w:rPr>
              <w:t>29.60m×14.9m×8.05m</w:t>
            </w:r>
          </w:p>
        </w:tc>
        <w:tc>
          <w:tcPr>
            <w:tcW w:w="523" w:type="pct"/>
            <w:tcBorders>
              <w:tl2br w:val="nil"/>
              <w:tr2bl w:val="nil"/>
            </w:tcBorders>
            <w:noWrap w:val="0"/>
            <w:vAlign w:val="center"/>
          </w:tcPr>
          <w:p w14:paraId="487BEAB1">
            <w:pPr>
              <w:pStyle w:val="434"/>
              <w:pageBreakBefore w:val="0"/>
              <w:wordWrap/>
              <w:bidi w:val="0"/>
              <w:adjustRightInd/>
              <w:snapToGrid/>
              <w:spacing w:line="240" w:lineRule="auto"/>
              <w:ind w:firstLine="0" w:firstLineChars="0"/>
              <w:rPr>
                <w:color w:val="auto"/>
                <w:sz w:val="21"/>
                <w:szCs w:val="21"/>
              </w:rPr>
            </w:pPr>
            <w:r>
              <w:rPr>
                <w:color w:val="auto"/>
                <w:kern w:val="0"/>
                <w:sz w:val="21"/>
                <w:szCs w:val="21"/>
              </w:rPr>
              <w:t>钢筋砼</w:t>
            </w:r>
          </w:p>
        </w:tc>
        <w:tc>
          <w:tcPr>
            <w:tcW w:w="407" w:type="pct"/>
            <w:tcBorders>
              <w:tl2br w:val="nil"/>
              <w:tr2bl w:val="nil"/>
            </w:tcBorders>
            <w:noWrap w:val="0"/>
            <w:vAlign w:val="center"/>
          </w:tcPr>
          <w:p w14:paraId="49741AD5">
            <w:pPr>
              <w:pStyle w:val="434"/>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65B090AF">
            <w:pPr>
              <w:pStyle w:val="434"/>
              <w:pageBreakBefore w:val="0"/>
              <w:wordWrap/>
              <w:bidi w:val="0"/>
              <w:adjustRightInd/>
              <w:snapToGrid/>
              <w:spacing w:line="240" w:lineRule="auto"/>
              <w:ind w:firstLine="0" w:firstLineChars="0"/>
              <w:rPr>
                <w:rFonts w:hint="eastAsia"/>
                <w:color w:val="auto"/>
                <w:sz w:val="21"/>
                <w:szCs w:val="21"/>
              </w:rPr>
            </w:pPr>
            <w:r>
              <w:rPr>
                <w:color w:val="auto"/>
                <w:sz w:val="21"/>
                <w:szCs w:val="21"/>
              </w:rPr>
              <w:t>1座2格</w:t>
            </w:r>
          </w:p>
        </w:tc>
        <w:tc>
          <w:tcPr>
            <w:tcW w:w="891" w:type="pct"/>
            <w:tcBorders>
              <w:tl2br w:val="nil"/>
              <w:tr2bl w:val="nil"/>
            </w:tcBorders>
            <w:noWrap w:val="0"/>
            <w:vAlign w:val="center"/>
          </w:tcPr>
          <w:p w14:paraId="3B9F31B9">
            <w:pPr>
              <w:pStyle w:val="434"/>
              <w:pageBreakBefore w:val="0"/>
              <w:wordWrap/>
              <w:bidi w:val="0"/>
              <w:adjustRightInd/>
              <w:snapToGrid/>
              <w:spacing w:line="240" w:lineRule="auto"/>
              <w:ind w:firstLine="0" w:firstLineChars="0"/>
              <w:rPr>
                <w:color w:val="auto"/>
                <w:sz w:val="21"/>
                <w:szCs w:val="21"/>
              </w:rPr>
            </w:pPr>
            <w:r>
              <w:rPr>
                <w:rFonts w:hint="eastAsia"/>
                <w:b w:val="0"/>
                <w:bCs/>
                <w:i w:val="0"/>
                <w:iCs/>
                <w:color w:val="auto"/>
                <w:sz w:val="21"/>
                <w:szCs w:val="21"/>
                <w:lang w:val="en-US" w:eastAsia="zh-CN"/>
              </w:rPr>
              <w:t>除臭，有效水深6.8m</w:t>
            </w:r>
          </w:p>
        </w:tc>
      </w:tr>
      <w:tr w14:paraId="7EB0B1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05A2F368">
            <w:pPr>
              <w:pStyle w:val="434"/>
              <w:pageBreakBefore w:val="0"/>
              <w:wordWrap/>
              <w:bidi w:val="0"/>
              <w:adjustRightInd/>
              <w:snapToGrid/>
              <w:spacing w:line="240" w:lineRule="auto"/>
              <w:ind w:firstLine="0" w:firstLineChars="0"/>
              <w:rPr>
                <w:color w:val="auto"/>
                <w:sz w:val="21"/>
                <w:szCs w:val="21"/>
              </w:rPr>
            </w:pPr>
            <w:r>
              <w:rPr>
                <w:color w:val="auto"/>
                <w:sz w:val="21"/>
                <w:szCs w:val="21"/>
              </w:rPr>
              <w:t>5</w:t>
            </w:r>
          </w:p>
        </w:tc>
        <w:tc>
          <w:tcPr>
            <w:tcW w:w="1011" w:type="pct"/>
            <w:tcBorders>
              <w:tl2br w:val="nil"/>
              <w:tr2bl w:val="nil"/>
            </w:tcBorders>
            <w:noWrap w:val="0"/>
            <w:vAlign w:val="center"/>
          </w:tcPr>
          <w:p w14:paraId="76A1048D">
            <w:pPr>
              <w:pStyle w:val="434"/>
              <w:pageBreakBefore w:val="0"/>
              <w:wordWrap/>
              <w:bidi w:val="0"/>
              <w:adjustRightInd/>
              <w:snapToGrid/>
              <w:spacing w:line="240" w:lineRule="auto"/>
              <w:ind w:firstLine="0" w:firstLineChars="0"/>
              <w:rPr>
                <w:color w:val="auto"/>
                <w:sz w:val="21"/>
                <w:szCs w:val="21"/>
              </w:rPr>
            </w:pPr>
            <w:r>
              <w:rPr>
                <w:color w:val="auto"/>
                <w:sz w:val="21"/>
                <w:szCs w:val="21"/>
              </w:rPr>
              <w:t>水解酸化池</w:t>
            </w:r>
          </w:p>
        </w:tc>
        <w:tc>
          <w:tcPr>
            <w:tcW w:w="1283" w:type="pct"/>
            <w:tcBorders>
              <w:tl2br w:val="nil"/>
              <w:tr2bl w:val="nil"/>
            </w:tcBorders>
            <w:noWrap w:val="0"/>
            <w:vAlign w:val="center"/>
          </w:tcPr>
          <w:p w14:paraId="67C7FC32">
            <w:pPr>
              <w:pStyle w:val="434"/>
              <w:pageBreakBefore w:val="0"/>
              <w:wordWrap/>
              <w:bidi w:val="0"/>
              <w:adjustRightInd/>
              <w:snapToGrid/>
              <w:spacing w:line="240" w:lineRule="auto"/>
              <w:ind w:firstLine="0" w:firstLineChars="0"/>
              <w:rPr>
                <w:color w:val="auto"/>
                <w:kern w:val="0"/>
                <w:sz w:val="21"/>
                <w:szCs w:val="21"/>
              </w:rPr>
            </w:pPr>
            <w:r>
              <w:rPr>
                <w:color w:val="auto"/>
                <w:kern w:val="0"/>
                <w:sz w:val="21"/>
                <w:szCs w:val="21"/>
              </w:rPr>
              <w:t>L×B×H=</w:t>
            </w:r>
            <w:r>
              <w:rPr>
                <w:rFonts w:hint="eastAsia"/>
                <w:b w:val="0"/>
                <w:bCs/>
                <w:i w:val="0"/>
                <w:iCs/>
                <w:color w:val="auto"/>
                <w:sz w:val="21"/>
                <w:szCs w:val="21"/>
                <w:lang w:val="en-US" w:eastAsia="zh-CN"/>
              </w:rPr>
              <w:t>33.20m×8.4m×6.6m</w:t>
            </w:r>
          </w:p>
        </w:tc>
        <w:tc>
          <w:tcPr>
            <w:tcW w:w="523" w:type="pct"/>
            <w:tcBorders>
              <w:tl2br w:val="nil"/>
              <w:tr2bl w:val="nil"/>
            </w:tcBorders>
            <w:noWrap w:val="0"/>
            <w:vAlign w:val="center"/>
          </w:tcPr>
          <w:p w14:paraId="6F09CCDC">
            <w:pPr>
              <w:pStyle w:val="434"/>
              <w:pageBreakBefore w:val="0"/>
              <w:wordWrap/>
              <w:bidi w:val="0"/>
              <w:adjustRightInd/>
              <w:snapToGrid/>
              <w:spacing w:line="240" w:lineRule="auto"/>
              <w:ind w:firstLine="0" w:firstLineChars="0"/>
              <w:rPr>
                <w:color w:val="auto"/>
                <w:sz w:val="21"/>
                <w:szCs w:val="21"/>
              </w:rPr>
            </w:pPr>
            <w:r>
              <w:rPr>
                <w:color w:val="auto"/>
                <w:kern w:val="0"/>
                <w:sz w:val="21"/>
                <w:szCs w:val="21"/>
              </w:rPr>
              <w:t>钢筋砼</w:t>
            </w:r>
          </w:p>
        </w:tc>
        <w:tc>
          <w:tcPr>
            <w:tcW w:w="407" w:type="pct"/>
            <w:tcBorders>
              <w:tl2br w:val="nil"/>
              <w:tr2bl w:val="nil"/>
            </w:tcBorders>
            <w:noWrap w:val="0"/>
            <w:vAlign w:val="center"/>
          </w:tcPr>
          <w:p w14:paraId="3B1D31ED">
            <w:pPr>
              <w:pStyle w:val="434"/>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148B413C">
            <w:pPr>
              <w:pStyle w:val="434"/>
              <w:pageBreakBefore w:val="0"/>
              <w:wordWrap/>
              <w:bidi w:val="0"/>
              <w:adjustRightInd/>
              <w:snapToGrid/>
              <w:spacing w:line="240" w:lineRule="auto"/>
              <w:ind w:firstLine="0" w:firstLineChars="0"/>
              <w:rPr>
                <w:color w:val="auto"/>
                <w:sz w:val="21"/>
                <w:szCs w:val="21"/>
              </w:rPr>
            </w:pPr>
            <w:r>
              <w:rPr>
                <w:color w:val="auto"/>
                <w:sz w:val="21"/>
                <w:szCs w:val="21"/>
              </w:rPr>
              <w:t>1</w:t>
            </w:r>
          </w:p>
        </w:tc>
        <w:tc>
          <w:tcPr>
            <w:tcW w:w="891" w:type="pct"/>
            <w:tcBorders>
              <w:tl2br w:val="nil"/>
              <w:tr2bl w:val="nil"/>
            </w:tcBorders>
            <w:noWrap w:val="0"/>
            <w:vAlign w:val="center"/>
          </w:tcPr>
          <w:p w14:paraId="284937C2">
            <w:pPr>
              <w:pStyle w:val="434"/>
              <w:pageBreakBefore w:val="0"/>
              <w:wordWrap/>
              <w:bidi w:val="0"/>
              <w:adjustRightInd/>
              <w:snapToGrid/>
              <w:spacing w:line="240" w:lineRule="auto"/>
              <w:ind w:firstLine="0" w:firstLineChars="0"/>
              <w:rPr>
                <w:color w:val="auto"/>
                <w:sz w:val="21"/>
                <w:szCs w:val="21"/>
              </w:rPr>
            </w:pPr>
            <w:r>
              <w:rPr>
                <w:color w:val="auto"/>
                <w:sz w:val="21"/>
                <w:szCs w:val="21"/>
              </w:rPr>
              <w:t>除臭</w:t>
            </w:r>
          </w:p>
        </w:tc>
      </w:tr>
      <w:tr w14:paraId="6A2851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05EBB13A">
            <w:pPr>
              <w:pStyle w:val="434"/>
              <w:pageBreakBefore w:val="0"/>
              <w:wordWrap/>
              <w:bidi w:val="0"/>
              <w:adjustRightInd/>
              <w:snapToGrid/>
              <w:spacing w:line="240" w:lineRule="auto"/>
              <w:ind w:firstLine="0" w:firstLineChars="0"/>
              <w:rPr>
                <w:color w:val="auto"/>
                <w:sz w:val="21"/>
                <w:szCs w:val="21"/>
              </w:rPr>
            </w:pPr>
            <w:r>
              <w:rPr>
                <w:color w:val="auto"/>
                <w:sz w:val="21"/>
                <w:szCs w:val="21"/>
              </w:rPr>
              <w:t>6</w:t>
            </w:r>
          </w:p>
        </w:tc>
        <w:tc>
          <w:tcPr>
            <w:tcW w:w="1011" w:type="pct"/>
            <w:tcBorders>
              <w:tl2br w:val="nil"/>
              <w:tr2bl w:val="nil"/>
            </w:tcBorders>
            <w:noWrap w:val="0"/>
            <w:vAlign w:val="center"/>
          </w:tcPr>
          <w:p w14:paraId="401A4EED">
            <w:pPr>
              <w:pStyle w:val="434"/>
              <w:pageBreakBefore w:val="0"/>
              <w:wordWrap/>
              <w:bidi w:val="0"/>
              <w:adjustRightInd/>
              <w:snapToGrid/>
              <w:spacing w:line="240" w:lineRule="auto"/>
              <w:ind w:firstLine="0" w:firstLineChars="0"/>
              <w:rPr>
                <w:rFonts w:hint="eastAsia" w:eastAsia="宋体"/>
                <w:color w:val="auto"/>
                <w:sz w:val="21"/>
                <w:szCs w:val="21"/>
                <w:lang w:eastAsia="zh-CN"/>
              </w:rPr>
            </w:pPr>
            <w:r>
              <w:rPr>
                <w:rFonts w:hint="eastAsia"/>
                <w:color w:val="auto"/>
                <w:sz w:val="21"/>
                <w:szCs w:val="21"/>
                <w:lang w:val="en-US" w:eastAsia="zh-CN"/>
              </w:rPr>
              <w:t>生化池</w:t>
            </w:r>
          </w:p>
        </w:tc>
        <w:tc>
          <w:tcPr>
            <w:tcW w:w="1283" w:type="pct"/>
            <w:tcBorders>
              <w:tl2br w:val="nil"/>
              <w:tr2bl w:val="nil"/>
            </w:tcBorders>
            <w:noWrap w:val="0"/>
            <w:vAlign w:val="center"/>
          </w:tcPr>
          <w:p w14:paraId="202DB5F3">
            <w:pPr>
              <w:pStyle w:val="434"/>
              <w:pageBreakBefore w:val="0"/>
              <w:wordWrap/>
              <w:bidi w:val="0"/>
              <w:adjustRightInd/>
              <w:snapToGrid/>
              <w:spacing w:line="240" w:lineRule="auto"/>
              <w:ind w:firstLine="0" w:firstLineChars="0"/>
              <w:rPr>
                <w:rFonts w:hint="eastAsia"/>
                <w:color w:val="auto"/>
                <w:sz w:val="21"/>
                <w:szCs w:val="21"/>
              </w:rPr>
            </w:pPr>
            <w:r>
              <w:rPr>
                <w:color w:val="auto"/>
                <w:kern w:val="0"/>
                <w:sz w:val="21"/>
                <w:szCs w:val="21"/>
              </w:rPr>
              <w:t>L×B×H=</w:t>
            </w:r>
            <w:r>
              <w:rPr>
                <w:rFonts w:hint="eastAsia"/>
                <w:b w:val="0"/>
                <w:bCs/>
                <w:i w:val="0"/>
                <w:iCs/>
                <w:color w:val="auto"/>
                <w:sz w:val="21"/>
                <w:szCs w:val="21"/>
                <w:lang w:val="en-US" w:eastAsia="zh-CN"/>
              </w:rPr>
              <w:t>32.70m×20.8m×6.3m</w:t>
            </w:r>
          </w:p>
        </w:tc>
        <w:tc>
          <w:tcPr>
            <w:tcW w:w="523" w:type="pct"/>
            <w:tcBorders>
              <w:tl2br w:val="nil"/>
              <w:tr2bl w:val="nil"/>
            </w:tcBorders>
            <w:noWrap w:val="0"/>
            <w:vAlign w:val="center"/>
          </w:tcPr>
          <w:p w14:paraId="79EA7606">
            <w:pPr>
              <w:pStyle w:val="434"/>
              <w:pageBreakBefore w:val="0"/>
              <w:wordWrap/>
              <w:bidi w:val="0"/>
              <w:adjustRightInd/>
              <w:snapToGrid/>
              <w:spacing w:line="240" w:lineRule="auto"/>
              <w:ind w:firstLine="0" w:firstLineChars="0"/>
              <w:rPr>
                <w:color w:val="auto"/>
                <w:sz w:val="21"/>
                <w:szCs w:val="21"/>
              </w:rPr>
            </w:pPr>
            <w:r>
              <w:rPr>
                <w:color w:val="auto"/>
                <w:kern w:val="0"/>
                <w:sz w:val="21"/>
                <w:szCs w:val="21"/>
              </w:rPr>
              <w:t>钢筋砼</w:t>
            </w:r>
          </w:p>
        </w:tc>
        <w:tc>
          <w:tcPr>
            <w:tcW w:w="407" w:type="pct"/>
            <w:tcBorders>
              <w:tl2br w:val="nil"/>
              <w:tr2bl w:val="nil"/>
            </w:tcBorders>
            <w:noWrap w:val="0"/>
            <w:vAlign w:val="center"/>
          </w:tcPr>
          <w:p w14:paraId="2516A60A">
            <w:pPr>
              <w:pStyle w:val="434"/>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06B7504D">
            <w:pPr>
              <w:pStyle w:val="434"/>
              <w:pageBreakBefore w:val="0"/>
              <w:wordWrap/>
              <w:bidi w:val="0"/>
              <w:adjustRightInd/>
              <w:snapToGrid/>
              <w:spacing w:line="240" w:lineRule="auto"/>
              <w:ind w:firstLine="0" w:firstLineChars="0"/>
              <w:rPr>
                <w:rFonts w:hint="eastAsia" w:eastAsia="宋体"/>
                <w:color w:val="auto"/>
                <w:sz w:val="21"/>
                <w:szCs w:val="21"/>
                <w:lang w:val="en-US" w:eastAsia="zh-CN"/>
              </w:rPr>
            </w:pPr>
            <w:r>
              <w:rPr>
                <w:color w:val="auto"/>
                <w:sz w:val="21"/>
                <w:szCs w:val="21"/>
              </w:rPr>
              <w:t>1座2</w:t>
            </w:r>
            <w:r>
              <w:rPr>
                <w:rFonts w:hint="eastAsia"/>
                <w:color w:val="auto"/>
                <w:sz w:val="21"/>
                <w:szCs w:val="21"/>
                <w:lang w:val="en-US" w:eastAsia="zh-CN"/>
              </w:rPr>
              <w:t>格</w:t>
            </w:r>
          </w:p>
        </w:tc>
        <w:tc>
          <w:tcPr>
            <w:tcW w:w="891" w:type="pct"/>
            <w:tcBorders>
              <w:tl2br w:val="nil"/>
              <w:tr2bl w:val="nil"/>
            </w:tcBorders>
            <w:noWrap w:val="0"/>
            <w:vAlign w:val="center"/>
          </w:tcPr>
          <w:p w14:paraId="44F36943">
            <w:pPr>
              <w:pStyle w:val="434"/>
              <w:pageBreakBefore w:val="0"/>
              <w:wordWrap/>
              <w:bidi w:val="0"/>
              <w:adjustRightInd/>
              <w:snapToGrid/>
              <w:spacing w:line="240" w:lineRule="auto"/>
              <w:ind w:firstLine="0" w:firstLineChars="0"/>
              <w:rPr>
                <w:color w:val="auto"/>
                <w:sz w:val="21"/>
                <w:szCs w:val="21"/>
              </w:rPr>
            </w:pPr>
            <w:r>
              <w:rPr>
                <w:color w:val="auto"/>
                <w:sz w:val="21"/>
                <w:szCs w:val="21"/>
              </w:rPr>
              <w:t>加盖除臭</w:t>
            </w:r>
          </w:p>
        </w:tc>
      </w:tr>
      <w:tr w14:paraId="0FB37E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60F007F8">
            <w:pPr>
              <w:pStyle w:val="434"/>
              <w:pageBreakBefore w:val="0"/>
              <w:wordWrap/>
              <w:bidi w:val="0"/>
              <w:adjustRightInd/>
              <w:snapToGrid/>
              <w:spacing w:line="240" w:lineRule="auto"/>
              <w:ind w:firstLine="0" w:firstLineChars="0"/>
              <w:rPr>
                <w:color w:val="auto"/>
                <w:sz w:val="21"/>
                <w:szCs w:val="21"/>
              </w:rPr>
            </w:pPr>
            <w:r>
              <w:rPr>
                <w:rFonts w:hint="eastAsia"/>
                <w:color w:val="auto"/>
                <w:sz w:val="21"/>
                <w:szCs w:val="21"/>
              </w:rPr>
              <w:t>7</w:t>
            </w:r>
          </w:p>
        </w:tc>
        <w:tc>
          <w:tcPr>
            <w:tcW w:w="1011" w:type="pct"/>
            <w:tcBorders>
              <w:tl2br w:val="nil"/>
              <w:tr2bl w:val="nil"/>
            </w:tcBorders>
            <w:noWrap w:val="0"/>
            <w:vAlign w:val="center"/>
          </w:tcPr>
          <w:p w14:paraId="27E0BE62">
            <w:pPr>
              <w:pStyle w:val="434"/>
              <w:pageBreakBefore w:val="0"/>
              <w:wordWrap/>
              <w:bidi w:val="0"/>
              <w:adjustRightInd/>
              <w:snapToGrid/>
              <w:spacing w:line="240" w:lineRule="auto"/>
              <w:ind w:firstLine="0" w:firstLineChars="0"/>
              <w:rPr>
                <w:color w:val="auto"/>
                <w:sz w:val="21"/>
                <w:szCs w:val="21"/>
              </w:rPr>
            </w:pPr>
            <w:r>
              <w:rPr>
                <w:rFonts w:hint="eastAsia"/>
                <w:color w:val="auto"/>
                <w:sz w:val="21"/>
                <w:szCs w:val="21"/>
              </w:rPr>
              <w:t>反硝化深床滤池</w:t>
            </w:r>
          </w:p>
        </w:tc>
        <w:tc>
          <w:tcPr>
            <w:tcW w:w="1283" w:type="pct"/>
            <w:tcBorders>
              <w:tl2br w:val="nil"/>
              <w:tr2bl w:val="nil"/>
            </w:tcBorders>
            <w:noWrap w:val="0"/>
            <w:vAlign w:val="center"/>
          </w:tcPr>
          <w:p w14:paraId="64DD430A">
            <w:pPr>
              <w:pStyle w:val="434"/>
              <w:pageBreakBefore w:val="0"/>
              <w:wordWrap/>
              <w:bidi w:val="0"/>
              <w:adjustRightInd/>
              <w:snapToGrid/>
              <w:spacing w:line="240" w:lineRule="auto"/>
              <w:ind w:firstLine="0" w:firstLineChars="0"/>
              <w:rPr>
                <w:color w:val="auto"/>
                <w:sz w:val="21"/>
                <w:szCs w:val="21"/>
              </w:rPr>
            </w:pPr>
            <w:r>
              <w:rPr>
                <w:rFonts w:hint="eastAsia"/>
                <w:b w:val="0"/>
                <w:bCs/>
                <w:i w:val="0"/>
                <w:iCs/>
                <w:color w:val="auto"/>
                <w:sz w:val="21"/>
                <w:szCs w:val="21"/>
                <w:lang w:val="en-US" w:eastAsia="zh-CN"/>
              </w:rPr>
              <w:t>L×B×H=21.90m×14.60m×（4.14-5.94）m</w:t>
            </w:r>
          </w:p>
        </w:tc>
        <w:tc>
          <w:tcPr>
            <w:tcW w:w="523" w:type="pct"/>
            <w:tcBorders>
              <w:tl2br w:val="nil"/>
              <w:tr2bl w:val="nil"/>
            </w:tcBorders>
            <w:noWrap w:val="0"/>
            <w:vAlign w:val="center"/>
          </w:tcPr>
          <w:p w14:paraId="0EF626AC">
            <w:pPr>
              <w:pStyle w:val="434"/>
              <w:pageBreakBefore w:val="0"/>
              <w:wordWrap/>
              <w:bidi w:val="0"/>
              <w:adjustRightInd/>
              <w:snapToGrid/>
              <w:spacing w:line="240" w:lineRule="auto"/>
              <w:ind w:firstLine="0" w:firstLineChars="0"/>
              <w:rPr>
                <w:color w:val="auto"/>
                <w:sz w:val="21"/>
                <w:szCs w:val="21"/>
              </w:rPr>
            </w:pPr>
            <w:r>
              <w:rPr>
                <w:color w:val="auto"/>
                <w:kern w:val="0"/>
                <w:sz w:val="21"/>
                <w:szCs w:val="21"/>
              </w:rPr>
              <w:t>钢筋砼</w:t>
            </w:r>
          </w:p>
        </w:tc>
        <w:tc>
          <w:tcPr>
            <w:tcW w:w="407" w:type="pct"/>
            <w:tcBorders>
              <w:tl2br w:val="nil"/>
              <w:tr2bl w:val="nil"/>
            </w:tcBorders>
            <w:noWrap w:val="0"/>
            <w:vAlign w:val="center"/>
          </w:tcPr>
          <w:p w14:paraId="1A5B64A9">
            <w:pPr>
              <w:pStyle w:val="434"/>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7ED544AE">
            <w:pPr>
              <w:pStyle w:val="434"/>
              <w:pageBreakBefore w:val="0"/>
              <w:wordWrap/>
              <w:bidi w:val="0"/>
              <w:adjustRightInd/>
              <w:snapToGrid/>
              <w:spacing w:line="240" w:lineRule="auto"/>
              <w:ind w:firstLine="0" w:firstLineChars="0"/>
              <w:rPr>
                <w:color w:val="auto"/>
                <w:sz w:val="21"/>
                <w:szCs w:val="21"/>
              </w:rPr>
            </w:pPr>
            <w:r>
              <w:rPr>
                <w:rFonts w:hint="eastAsia"/>
                <w:color w:val="auto"/>
                <w:sz w:val="21"/>
                <w:szCs w:val="21"/>
              </w:rPr>
              <w:t>1</w:t>
            </w:r>
          </w:p>
        </w:tc>
        <w:tc>
          <w:tcPr>
            <w:tcW w:w="891" w:type="pct"/>
            <w:tcBorders>
              <w:tl2br w:val="nil"/>
              <w:tr2bl w:val="nil"/>
            </w:tcBorders>
            <w:noWrap w:val="0"/>
            <w:vAlign w:val="center"/>
          </w:tcPr>
          <w:p w14:paraId="455812D9">
            <w:pPr>
              <w:pStyle w:val="434"/>
              <w:pageBreakBefore w:val="0"/>
              <w:wordWrap/>
              <w:bidi w:val="0"/>
              <w:adjustRightInd/>
              <w:snapToGrid/>
              <w:spacing w:line="240" w:lineRule="auto"/>
              <w:ind w:firstLine="0" w:firstLineChars="0"/>
              <w:rPr>
                <w:color w:val="auto"/>
                <w:sz w:val="21"/>
                <w:szCs w:val="21"/>
              </w:rPr>
            </w:pPr>
            <w:r>
              <w:rPr>
                <w:color w:val="auto"/>
                <w:sz w:val="21"/>
                <w:szCs w:val="21"/>
              </w:rPr>
              <w:t>加盖除臭</w:t>
            </w:r>
          </w:p>
        </w:tc>
      </w:tr>
      <w:tr w14:paraId="07BCB8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75F39F6C">
            <w:pPr>
              <w:pStyle w:val="434"/>
              <w:pageBreakBefore w:val="0"/>
              <w:wordWrap/>
              <w:bidi w:val="0"/>
              <w:adjustRightInd/>
              <w:snapToGrid/>
              <w:spacing w:line="240" w:lineRule="auto"/>
              <w:ind w:firstLine="0" w:firstLineChars="0"/>
              <w:rPr>
                <w:color w:val="auto"/>
                <w:sz w:val="21"/>
                <w:szCs w:val="21"/>
              </w:rPr>
            </w:pPr>
            <w:r>
              <w:rPr>
                <w:rFonts w:hint="eastAsia"/>
                <w:color w:val="auto"/>
                <w:sz w:val="21"/>
                <w:szCs w:val="21"/>
              </w:rPr>
              <w:t>8</w:t>
            </w:r>
          </w:p>
        </w:tc>
        <w:tc>
          <w:tcPr>
            <w:tcW w:w="1011" w:type="pct"/>
            <w:tcBorders>
              <w:tl2br w:val="nil"/>
              <w:tr2bl w:val="nil"/>
            </w:tcBorders>
            <w:noWrap w:val="0"/>
            <w:vAlign w:val="center"/>
          </w:tcPr>
          <w:p w14:paraId="04B8C5B6">
            <w:pPr>
              <w:pStyle w:val="434"/>
              <w:pageBreakBefore w:val="0"/>
              <w:wordWrap/>
              <w:bidi w:val="0"/>
              <w:adjustRightInd/>
              <w:snapToGrid/>
              <w:spacing w:line="240" w:lineRule="auto"/>
              <w:ind w:firstLine="0" w:firstLineChars="0"/>
              <w:rPr>
                <w:color w:val="auto"/>
                <w:sz w:val="21"/>
                <w:szCs w:val="21"/>
              </w:rPr>
            </w:pPr>
            <w:r>
              <w:rPr>
                <w:rFonts w:hint="eastAsia"/>
                <w:color w:val="auto"/>
                <w:sz w:val="21"/>
                <w:szCs w:val="21"/>
              </w:rPr>
              <w:t>高级氧化</w:t>
            </w:r>
            <w:r>
              <w:rPr>
                <w:rFonts w:hint="eastAsia"/>
                <w:color w:val="auto"/>
                <w:sz w:val="21"/>
                <w:szCs w:val="21"/>
                <w:lang w:val="en-US" w:eastAsia="zh-CN"/>
              </w:rPr>
              <w:t>深度</w:t>
            </w:r>
            <w:r>
              <w:rPr>
                <w:rFonts w:hint="eastAsia"/>
                <w:color w:val="auto"/>
                <w:sz w:val="21"/>
                <w:szCs w:val="21"/>
              </w:rPr>
              <w:t>处理系统</w:t>
            </w:r>
          </w:p>
        </w:tc>
        <w:tc>
          <w:tcPr>
            <w:tcW w:w="1283" w:type="pct"/>
            <w:tcBorders>
              <w:tl2br w:val="nil"/>
              <w:tr2bl w:val="nil"/>
            </w:tcBorders>
            <w:noWrap w:val="0"/>
            <w:vAlign w:val="center"/>
          </w:tcPr>
          <w:p w14:paraId="15866C0E">
            <w:pPr>
              <w:pStyle w:val="434"/>
              <w:pageBreakBefore w:val="0"/>
              <w:wordWrap/>
              <w:bidi w:val="0"/>
              <w:adjustRightInd/>
              <w:snapToGrid/>
              <w:spacing w:line="240" w:lineRule="auto"/>
              <w:ind w:firstLine="0" w:firstLineChars="0"/>
              <w:rPr>
                <w:rFonts w:hint="eastAsia" w:eastAsia="宋体"/>
                <w:color w:val="auto"/>
                <w:sz w:val="21"/>
                <w:szCs w:val="21"/>
                <w:lang w:eastAsia="zh-CN"/>
              </w:rPr>
            </w:pPr>
            <w:r>
              <w:rPr>
                <w:rFonts w:hint="eastAsia"/>
                <w:color w:val="auto"/>
                <w:kern w:val="0"/>
                <w:sz w:val="21"/>
                <w:szCs w:val="21"/>
                <w:lang w:val="en-US" w:eastAsia="zh-CN"/>
              </w:rPr>
              <w:t>L×B=10.00m×4.00m</w:t>
            </w:r>
          </w:p>
        </w:tc>
        <w:tc>
          <w:tcPr>
            <w:tcW w:w="523" w:type="pct"/>
            <w:tcBorders>
              <w:tl2br w:val="nil"/>
              <w:tr2bl w:val="nil"/>
            </w:tcBorders>
            <w:noWrap w:val="0"/>
            <w:vAlign w:val="center"/>
          </w:tcPr>
          <w:p w14:paraId="1C0DB7FF">
            <w:pPr>
              <w:pStyle w:val="434"/>
              <w:pageBreakBefore w:val="0"/>
              <w:wordWrap/>
              <w:bidi w:val="0"/>
              <w:adjustRightInd/>
              <w:snapToGrid/>
              <w:spacing w:line="240" w:lineRule="auto"/>
              <w:ind w:firstLine="0" w:firstLineChars="0"/>
              <w:rPr>
                <w:color w:val="auto"/>
                <w:sz w:val="21"/>
                <w:szCs w:val="21"/>
              </w:rPr>
            </w:pPr>
            <w:r>
              <w:rPr>
                <w:color w:val="auto"/>
                <w:kern w:val="0"/>
                <w:sz w:val="21"/>
                <w:szCs w:val="21"/>
              </w:rPr>
              <w:t>钢筋砼</w:t>
            </w:r>
          </w:p>
        </w:tc>
        <w:tc>
          <w:tcPr>
            <w:tcW w:w="407" w:type="pct"/>
            <w:tcBorders>
              <w:tl2br w:val="nil"/>
              <w:tr2bl w:val="nil"/>
            </w:tcBorders>
            <w:noWrap w:val="0"/>
            <w:vAlign w:val="center"/>
          </w:tcPr>
          <w:p w14:paraId="52A42CB7">
            <w:pPr>
              <w:pStyle w:val="434"/>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562489BD">
            <w:pPr>
              <w:pStyle w:val="434"/>
              <w:pageBreakBefore w:val="0"/>
              <w:wordWrap/>
              <w:bidi w:val="0"/>
              <w:adjustRightInd/>
              <w:snapToGrid/>
              <w:spacing w:line="240" w:lineRule="auto"/>
              <w:ind w:firstLine="0" w:firstLineChars="0"/>
              <w:rPr>
                <w:color w:val="auto"/>
                <w:sz w:val="21"/>
                <w:szCs w:val="21"/>
              </w:rPr>
            </w:pPr>
            <w:r>
              <w:rPr>
                <w:color w:val="auto"/>
                <w:sz w:val="21"/>
                <w:szCs w:val="21"/>
              </w:rPr>
              <w:t>1</w:t>
            </w:r>
          </w:p>
        </w:tc>
        <w:tc>
          <w:tcPr>
            <w:tcW w:w="891" w:type="pct"/>
            <w:tcBorders>
              <w:tl2br w:val="nil"/>
              <w:tr2bl w:val="nil"/>
            </w:tcBorders>
            <w:noWrap w:val="0"/>
            <w:vAlign w:val="center"/>
          </w:tcPr>
          <w:p w14:paraId="1432CD30">
            <w:pPr>
              <w:pStyle w:val="434"/>
              <w:pageBreakBefore w:val="0"/>
              <w:wordWrap/>
              <w:bidi w:val="0"/>
              <w:adjustRightInd/>
              <w:snapToGrid/>
              <w:spacing w:line="240" w:lineRule="auto"/>
              <w:ind w:firstLine="0" w:firstLineChars="0"/>
              <w:rPr>
                <w:color w:val="auto"/>
                <w:sz w:val="21"/>
                <w:szCs w:val="21"/>
              </w:rPr>
            </w:pPr>
            <w:r>
              <w:rPr>
                <w:color w:val="auto"/>
                <w:sz w:val="21"/>
                <w:szCs w:val="21"/>
              </w:rPr>
              <w:t>加盖除臭</w:t>
            </w:r>
          </w:p>
        </w:tc>
      </w:tr>
      <w:tr w14:paraId="0FA26D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30988634">
            <w:pPr>
              <w:pStyle w:val="434"/>
              <w:pageBreakBefore w:val="0"/>
              <w:wordWrap/>
              <w:bidi w:val="0"/>
              <w:adjustRightInd/>
              <w:snapToGrid/>
              <w:spacing w:line="240" w:lineRule="auto"/>
              <w:ind w:firstLine="0" w:firstLineChars="0"/>
              <w:rPr>
                <w:color w:val="auto"/>
                <w:sz w:val="21"/>
                <w:szCs w:val="21"/>
              </w:rPr>
            </w:pPr>
            <w:r>
              <w:rPr>
                <w:rFonts w:hint="eastAsia"/>
                <w:color w:val="auto"/>
                <w:sz w:val="21"/>
                <w:szCs w:val="21"/>
              </w:rPr>
              <w:t>9</w:t>
            </w:r>
          </w:p>
        </w:tc>
        <w:tc>
          <w:tcPr>
            <w:tcW w:w="1011" w:type="pct"/>
            <w:tcBorders>
              <w:tl2br w:val="nil"/>
              <w:tr2bl w:val="nil"/>
            </w:tcBorders>
            <w:noWrap w:val="0"/>
            <w:vAlign w:val="center"/>
          </w:tcPr>
          <w:p w14:paraId="24A3C67E">
            <w:pPr>
              <w:pStyle w:val="434"/>
              <w:pageBreakBefore w:val="0"/>
              <w:wordWrap/>
              <w:bidi w:val="0"/>
              <w:adjustRightInd/>
              <w:snapToGrid/>
              <w:spacing w:line="240" w:lineRule="auto"/>
              <w:ind w:firstLine="0" w:firstLineChars="0"/>
              <w:rPr>
                <w:color w:val="auto"/>
                <w:sz w:val="21"/>
                <w:szCs w:val="21"/>
              </w:rPr>
            </w:pPr>
            <w:r>
              <w:rPr>
                <w:rFonts w:hint="eastAsia"/>
                <w:color w:val="auto"/>
                <w:sz w:val="21"/>
                <w:szCs w:val="21"/>
              </w:rPr>
              <w:t>紫外线消毒-出水计量渠</w:t>
            </w:r>
          </w:p>
        </w:tc>
        <w:tc>
          <w:tcPr>
            <w:tcW w:w="1283" w:type="pct"/>
            <w:tcBorders>
              <w:tl2br w:val="nil"/>
              <w:tr2bl w:val="nil"/>
            </w:tcBorders>
            <w:noWrap w:val="0"/>
            <w:vAlign w:val="center"/>
          </w:tcPr>
          <w:p w14:paraId="71D79F54">
            <w:pPr>
              <w:pStyle w:val="434"/>
              <w:pageBreakBefore w:val="0"/>
              <w:wordWrap/>
              <w:bidi w:val="0"/>
              <w:adjustRightInd/>
              <w:snapToGrid/>
              <w:spacing w:line="240" w:lineRule="auto"/>
              <w:ind w:firstLine="0" w:firstLineChars="0"/>
              <w:rPr>
                <w:color w:val="auto"/>
                <w:kern w:val="0"/>
                <w:sz w:val="21"/>
                <w:szCs w:val="21"/>
              </w:rPr>
            </w:pPr>
            <w:r>
              <w:rPr>
                <w:color w:val="auto"/>
                <w:kern w:val="0"/>
                <w:sz w:val="21"/>
                <w:szCs w:val="21"/>
              </w:rPr>
              <w:t>L×B×H=</w:t>
            </w:r>
            <w:r>
              <w:rPr>
                <w:rFonts w:hint="eastAsia"/>
                <w:b w:val="0"/>
                <w:bCs/>
                <w:i w:val="0"/>
                <w:iCs/>
                <w:color w:val="auto"/>
                <w:sz w:val="21"/>
                <w:szCs w:val="21"/>
                <w:lang w:val="en-US" w:eastAsia="zh-CN"/>
              </w:rPr>
              <w:t>15.00m×4.80m×3.05m</w:t>
            </w:r>
          </w:p>
        </w:tc>
        <w:tc>
          <w:tcPr>
            <w:tcW w:w="523" w:type="pct"/>
            <w:tcBorders>
              <w:tl2br w:val="nil"/>
              <w:tr2bl w:val="nil"/>
            </w:tcBorders>
            <w:noWrap w:val="0"/>
            <w:vAlign w:val="center"/>
          </w:tcPr>
          <w:p w14:paraId="51351255">
            <w:pPr>
              <w:pStyle w:val="434"/>
              <w:pageBreakBefore w:val="0"/>
              <w:wordWrap/>
              <w:bidi w:val="0"/>
              <w:adjustRightInd/>
              <w:snapToGrid/>
              <w:spacing w:line="240" w:lineRule="auto"/>
              <w:ind w:firstLine="0" w:firstLineChars="0"/>
              <w:rPr>
                <w:color w:val="auto"/>
                <w:kern w:val="0"/>
                <w:sz w:val="21"/>
                <w:szCs w:val="21"/>
              </w:rPr>
            </w:pPr>
            <w:r>
              <w:rPr>
                <w:color w:val="auto"/>
                <w:kern w:val="0"/>
                <w:sz w:val="21"/>
                <w:szCs w:val="21"/>
              </w:rPr>
              <w:t>钢筋砼+框架</w:t>
            </w:r>
          </w:p>
        </w:tc>
        <w:tc>
          <w:tcPr>
            <w:tcW w:w="407" w:type="pct"/>
            <w:tcBorders>
              <w:tl2br w:val="nil"/>
              <w:tr2bl w:val="nil"/>
            </w:tcBorders>
            <w:noWrap w:val="0"/>
            <w:vAlign w:val="center"/>
          </w:tcPr>
          <w:p w14:paraId="5F8150F2">
            <w:pPr>
              <w:pStyle w:val="434"/>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34341464">
            <w:pPr>
              <w:pStyle w:val="434"/>
              <w:pageBreakBefore w:val="0"/>
              <w:wordWrap/>
              <w:bidi w:val="0"/>
              <w:adjustRightInd/>
              <w:snapToGrid/>
              <w:spacing w:line="240" w:lineRule="auto"/>
              <w:ind w:firstLine="0" w:firstLineChars="0"/>
              <w:rPr>
                <w:color w:val="auto"/>
                <w:sz w:val="21"/>
                <w:szCs w:val="21"/>
              </w:rPr>
            </w:pPr>
            <w:r>
              <w:rPr>
                <w:color w:val="auto"/>
                <w:sz w:val="21"/>
                <w:szCs w:val="21"/>
              </w:rPr>
              <w:t>1</w:t>
            </w:r>
          </w:p>
        </w:tc>
        <w:tc>
          <w:tcPr>
            <w:tcW w:w="891" w:type="pct"/>
            <w:tcBorders>
              <w:tl2br w:val="nil"/>
              <w:tr2bl w:val="nil"/>
            </w:tcBorders>
            <w:noWrap w:val="0"/>
            <w:vAlign w:val="center"/>
          </w:tcPr>
          <w:p w14:paraId="1531EA77">
            <w:pPr>
              <w:pStyle w:val="434"/>
              <w:pageBreakBefore w:val="0"/>
              <w:wordWrap/>
              <w:bidi w:val="0"/>
              <w:adjustRightInd/>
              <w:snapToGrid/>
              <w:spacing w:line="240" w:lineRule="auto"/>
              <w:ind w:firstLine="0" w:firstLineChars="0"/>
              <w:rPr>
                <w:color w:val="auto"/>
                <w:sz w:val="21"/>
                <w:szCs w:val="21"/>
              </w:rPr>
            </w:pPr>
            <w:r>
              <w:rPr>
                <w:color w:val="auto"/>
                <w:sz w:val="21"/>
                <w:szCs w:val="21"/>
              </w:rPr>
              <w:t>除臭</w:t>
            </w:r>
          </w:p>
        </w:tc>
      </w:tr>
      <w:tr w14:paraId="722BC8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2B59A7E8">
            <w:pPr>
              <w:pStyle w:val="434"/>
              <w:pageBreakBefore w:val="0"/>
              <w:wordWrap/>
              <w:bidi w:val="0"/>
              <w:adjustRightInd/>
              <w:snapToGrid/>
              <w:spacing w:line="240" w:lineRule="auto"/>
              <w:ind w:firstLine="0" w:firstLineChars="0"/>
              <w:rPr>
                <w:color w:val="auto"/>
                <w:sz w:val="21"/>
                <w:szCs w:val="21"/>
              </w:rPr>
            </w:pPr>
            <w:r>
              <w:rPr>
                <w:color w:val="auto"/>
                <w:sz w:val="21"/>
                <w:szCs w:val="21"/>
              </w:rPr>
              <w:t>10</w:t>
            </w:r>
          </w:p>
        </w:tc>
        <w:tc>
          <w:tcPr>
            <w:tcW w:w="1011" w:type="pct"/>
            <w:tcBorders>
              <w:tl2br w:val="nil"/>
              <w:tr2bl w:val="nil"/>
            </w:tcBorders>
            <w:noWrap w:val="0"/>
            <w:vAlign w:val="center"/>
          </w:tcPr>
          <w:p w14:paraId="523DD573">
            <w:pPr>
              <w:pStyle w:val="434"/>
              <w:pageBreakBefore w:val="0"/>
              <w:wordWrap/>
              <w:bidi w:val="0"/>
              <w:adjustRightInd/>
              <w:snapToGrid/>
              <w:spacing w:line="240" w:lineRule="auto"/>
              <w:ind w:firstLine="0" w:firstLineChars="0"/>
              <w:rPr>
                <w:color w:val="auto"/>
                <w:sz w:val="21"/>
                <w:szCs w:val="21"/>
              </w:rPr>
            </w:pPr>
            <w:r>
              <w:rPr>
                <w:rFonts w:hint="eastAsia"/>
                <w:color w:val="auto"/>
                <w:sz w:val="21"/>
                <w:szCs w:val="21"/>
              </w:rPr>
              <w:t>磁混凝沉淀池</w:t>
            </w:r>
          </w:p>
        </w:tc>
        <w:tc>
          <w:tcPr>
            <w:tcW w:w="1283" w:type="pct"/>
            <w:tcBorders>
              <w:tl2br w:val="nil"/>
              <w:tr2bl w:val="nil"/>
            </w:tcBorders>
            <w:noWrap w:val="0"/>
            <w:vAlign w:val="center"/>
          </w:tcPr>
          <w:p w14:paraId="0A28F15F">
            <w:pPr>
              <w:pStyle w:val="434"/>
              <w:pageBreakBefore w:val="0"/>
              <w:wordWrap/>
              <w:bidi w:val="0"/>
              <w:adjustRightInd/>
              <w:snapToGrid/>
              <w:spacing w:line="240" w:lineRule="auto"/>
              <w:ind w:firstLine="0" w:firstLineChars="0"/>
              <w:rPr>
                <w:color w:val="auto"/>
                <w:sz w:val="21"/>
                <w:szCs w:val="21"/>
              </w:rPr>
            </w:pPr>
            <w:r>
              <w:rPr>
                <w:color w:val="auto"/>
                <w:kern w:val="0"/>
                <w:sz w:val="21"/>
                <w:szCs w:val="21"/>
              </w:rPr>
              <w:t>L×B×H=</w:t>
            </w:r>
            <w:r>
              <w:rPr>
                <w:rFonts w:hint="eastAsia"/>
                <w:color w:val="auto"/>
                <w:sz w:val="21"/>
                <w:szCs w:val="21"/>
                <w:lang w:val="en-US" w:eastAsia="zh-CN"/>
              </w:rPr>
              <w:t>19.20m×12.00m×11.1m</w:t>
            </w:r>
          </w:p>
        </w:tc>
        <w:tc>
          <w:tcPr>
            <w:tcW w:w="523" w:type="pct"/>
            <w:tcBorders>
              <w:tl2br w:val="nil"/>
              <w:tr2bl w:val="nil"/>
            </w:tcBorders>
            <w:noWrap w:val="0"/>
            <w:vAlign w:val="center"/>
          </w:tcPr>
          <w:p w14:paraId="1CD7FE4A">
            <w:pPr>
              <w:pStyle w:val="434"/>
              <w:pageBreakBefore w:val="0"/>
              <w:wordWrap/>
              <w:bidi w:val="0"/>
              <w:adjustRightInd/>
              <w:snapToGrid/>
              <w:spacing w:line="240" w:lineRule="auto"/>
              <w:ind w:firstLine="0" w:firstLineChars="0"/>
              <w:rPr>
                <w:color w:val="auto"/>
                <w:sz w:val="21"/>
                <w:szCs w:val="21"/>
              </w:rPr>
            </w:pPr>
            <w:r>
              <w:rPr>
                <w:color w:val="auto"/>
                <w:kern w:val="0"/>
                <w:sz w:val="21"/>
                <w:szCs w:val="21"/>
              </w:rPr>
              <w:t>钢筋砼</w:t>
            </w:r>
          </w:p>
        </w:tc>
        <w:tc>
          <w:tcPr>
            <w:tcW w:w="407" w:type="pct"/>
            <w:tcBorders>
              <w:tl2br w:val="nil"/>
              <w:tr2bl w:val="nil"/>
            </w:tcBorders>
            <w:noWrap w:val="0"/>
            <w:vAlign w:val="center"/>
          </w:tcPr>
          <w:p w14:paraId="4BE57B99">
            <w:pPr>
              <w:pStyle w:val="434"/>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0AE425BC">
            <w:pPr>
              <w:pStyle w:val="434"/>
              <w:pageBreakBefore w:val="0"/>
              <w:wordWrap/>
              <w:bidi w:val="0"/>
              <w:adjustRightInd/>
              <w:snapToGrid/>
              <w:spacing w:line="240" w:lineRule="auto"/>
              <w:ind w:firstLine="0" w:firstLineChars="0"/>
              <w:rPr>
                <w:color w:val="auto"/>
                <w:sz w:val="21"/>
                <w:szCs w:val="21"/>
              </w:rPr>
            </w:pPr>
            <w:r>
              <w:rPr>
                <w:color w:val="auto"/>
                <w:sz w:val="21"/>
                <w:szCs w:val="21"/>
              </w:rPr>
              <w:t>1</w:t>
            </w:r>
          </w:p>
        </w:tc>
        <w:tc>
          <w:tcPr>
            <w:tcW w:w="891" w:type="pct"/>
            <w:tcBorders>
              <w:tl2br w:val="nil"/>
              <w:tr2bl w:val="nil"/>
            </w:tcBorders>
            <w:noWrap w:val="0"/>
            <w:vAlign w:val="center"/>
          </w:tcPr>
          <w:p w14:paraId="3C1122C3">
            <w:pPr>
              <w:pStyle w:val="434"/>
              <w:pageBreakBefore w:val="0"/>
              <w:wordWrap/>
              <w:bidi w:val="0"/>
              <w:adjustRightInd/>
              <w:snapToGrid/>
              <w:spacing w:line="240" w:lineRule="auto"/>
              <w:ind w:firstLine="0" w:firstLineChars="0"/>
              <w:rPr>
                <w:rFonts w:hint="eastAsia" w:eastAsia="宋体"/>
                <w:color w:val="auto"/>
                <w:sz w:val="21"/>
                <w:szCs w:val="21"/>
                <w:lang w:val="en-US" w:eastAsia="zh-CN"/>
              </w:rPr>
            </w:pPr>
            <w:r>
              <w:rPr>
                <w:color w:val="auto"/>
                <w:sz w:val="21"/>
                <w:szCs w:val="21"/>
              </w:rPr>
              <w:t>除臭</w:t>
            </w:r>
          </w:p>
        </w:tc>
      </w:tr>
      <w:tr w14:paraId="5615B3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27153014">
            <w:pPr>
              <w:pStyle w:val="434"/>
              <w:pageBreakBefore w:val="0"/>
              <w:wordWrap/>
              <w:bidi w:val="0"/>
              <w:adjustRightInd/>
              <w:snapToGrid/>
              <w:spacing w:line="240" w:lineRule="auto"/>
              <w:ind w:firstLine="0" w:firstLineChars="0"/>
              <w:rPr>
                <w:color w:val="auto"/>
                <w:sz w:val="21"/>
                <w:szCs w:val="21"/>
              </w:rPr>
            </w:pPr>
            <w:r>
              <w:rPr>
                <w:color w:val="auto"/>
                <w:sz w:val="21"/>
                <w:szCs w:val="21"/>
              </w:rPr>
              <w:t>11</w:t>
            </w:r>
          </w:p>
        </w:tc>
        <w:tc>
          <w:tcPr>
            <w:tcW w:w="1011" w:type="pct"/>
            <w:tcBorders>
              <w:tl2br w:val="nil"/>
              <w:tr2bl w:val="nil"/>
            </w:tcBorders>
            <w:noWrap w:val="0"/>
            <w:vAlign w:val="center"/>
          </w:tcPr>
          <w:p w14:paraId="624D436B">
            <w:pPr>
              <w:pStyle w:val="434"/>
              <w:pageBreakBefore w:val="0"/>
              <w:wordWrap/>
              <w:bidi w:val="0"/>
              <w:adjustRightInd/>
              <w:snapToGrid/>
              <w:spacing w:line="240" w:lineRule="auto"/>
              <w:ind w:firstLine="0" w:firstLineChars="0"/>
              <w:rPr>
                <w:rFonts w:hint="eastAsia"/>
                <w:color w:val="auto"/>
                <w:sz w:val="21"/>
                <w:szCs w:val="21"/>
              </w:rPr>
            </w:pPr>
            <w:r>
              <w:rPr>
                <w:rFonts w:hint="eastAsia"/>
                <w:color w:val="auto"/>
                <w:sz w:val="21"/>
                <w:szCs w:val="21"/>
              </w:rPr>
              <w:t>污泥脱水车间</w:t>
            </w:r>
          </w:p>
        </w:tc>
        <w:tc>
          <w:tcPr>
            <w:tcW w:w="1283" w:type="pct"/>
            <w:tcBorders>
              <w:tl2br w:val="nil"/>
              <w:tr2bl w:val="nil"/>
            </w:tcBorders>
            <w:noWrap w:val="0"/>
            <w:vAlign w:val="center"/>
          </w:tcPr>
          <w:p w14:paraId="17FB7BF4">
            <w:pPr>
              <w:pStyle w:val="434"/>
              <w:pageBreakBefore w:val="0"/>
              <w:wordWrap/>
              <w:bidi w:val="0"/>
              <w:adjustRightInd/>
              <w:snapToGrid/>
              <w:spacing w:line="240" w:lineRule="auto"/>
              <w:ind w:firstLine="0" w:firstLineChars="0"/>
              <w:rPr>
                <w:color w:val="auto"/>
                <w:kern w:val="0"/>
                <w:sz w:val="21"/>
                <w:szCs w:val="21"/>
              </w:rPr>
            </w:pPr>
            <w:r>
              <w:rPr>
                <w:rFonts w:hint="eastAsia"/>
                <w:color w:val="auto"/>
                <w:sz w:val="21"/>
                <w:szCs w:val="21"/>
                <w:lang w:val="en-US" w:eastAsia="zh-CN"/>
              </w:rPr>
              <w:t>L×B×H=28.40m×19.20m×15.7m</w:t>
            </w:r>
          </w:p>
        </w:tc>
        <w:tc>
          <w:tcPr>
            <w:tcW w:w="523" w:type="pct"/>
            <w:tcBorders>
              <w:tl2br w:val="nil"/>
              <w:tr2bl w:val="nil"/>
            </w:tcBorders>
            <w:noWrap w:val="0"/>
            <w:vAlign w:val="center"/>
          </w:tcPr>
          <w:p w14:paraId="0CC5BE26">
            <w:pPr>
              <w:pStyle w:val="434"/>
              <w:pageBreakBefore w:val="0"/>
              <w:wordWrap/>
              <w:bidi w:val="0"/>
              <w:adjustRightInd/>
              <w:snapToGrid/>
              <w:spacing w:line="240" w:lineRule="auto"/>
              <w:ind w:firstLine="0" w:firstLineChars="0"/>
              <w:rPr>
                <w:rFonts w:hint="default" w:eastAsia="宋体"/>
                <w:color w:val="auto"/>
                <w:kern w:val="0"/>
                <w:sz w:val="21"/>
                <w:szCs w:val="21"/>
                <w:lang w:val="en-US" w:eastAsia="zh-CN"/>
              </w:rPr>
            </w:pPr>
            <w:r>
              <w:rPr>
                <w:rFonts w:hint="eastAsia"/>
                <w:color w:val="auto"/>
                <w:kern w:val="0"/>
                <w:sz w:val="21"/>
                <w:szCs w:val="21"/>
                <w:lang w:val="en-US" w:eastAsia="zh-CN"/>
              </w:rPr>
              <w:t>框架</w:t>
            </w:r>
          </w:p>
        </w:tc>
        <w:tc>
          <w:tcPr>
            <w:tcW w:w="407" w:type="pct"/>
            <w:tcBorders>
              <w:tl2br w:val="nil"/>
              <w:tr2bl w:val="nil"/>
            </w:tcBorders>
            <w:noWrap w:val="0"/>
            <w:vAlign w:val="center"/>
          </w:tcPr>
          <w:p w14:paraId="12EC2D70">
            <w:pPr>
              <w:pStyle w:val="434"/>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69EAC940">
            <w:pPr>
              <w:pStyle w:val="434"/>
              <w:pageBreakBefore w:val="0"/>
              <w:wordWrap/>
              <w:bidi w:val="0"/>
              <w:adjustRightInd/>
              <w:snapToGrid/>
              <w:spacing w:line="240" w:lineRule="auto"/>
              <w:ind w:firstLine="0" w:firstLineChars="0"/>
              <w:rPr>
                <w:rFonts w:hint="default" w:eastAsia="宋体"/>
                <w:color w:val="auto"/>
                <w:sz w:val="21"/>
                <w:szCs w:val="21"/>
                <w:lang w:val="en-US" w:eastAsia="zh-CN"/>
              </w:rPr>
            </w:pPr>
            <w:r>
              <w:rPr>
                <w:color w:val="auto"/>
                <w:sz w:val="21"/>
                <w:szCs w:val="21"/>
              </w:rPr>
              <w:t>1</w:t>
            </w:r>
            <w:r>
              <w:rPr>
                <w:rFonts w:hint="eastAsia"/>
                <w:color w:val="auto"/>
                <w:sz w:val="21"/>
                <w:szCs w:val="21"/>
              </w:rPr>
              <w:t>座</w:t>
            </w:r>
            <w:r>
              <w:rPr>
                <w:rFonts w:hint="eastAsia"/>
                <w:color w:val="auto"/>
                <w:sz w:val="21"/>
                <w:szCs w:val="21"/>
                <w:lang w:val="en-US" w:eastAsia="zh-CN"/>
              </w:rPr>
              <w:t>2F</w:t>
            </w:r>
          </w:p>
        </w:tc>
        <w:tc>
          <w:tcPr>
            <w:tcW w:w="891" w:type="pct"/>
            <w:tcBorders>
              <w:tl2br w:val="nil"/>
              <w:tr2bl w:val="nil"/>
            </w:tcBorders>
            <w:noWrap w:val="0"/>
            <w:vAlign w:val="center"/>
          </w:tcPr>
          <w:p w14:paraId="239845AF">
            <w:pPr>
              <w:pStyle w:val="434"/>
              <w:pageBreakBefore w:val="0"/>
              <w:wordWrap/>
              <w:bidi w:val="0"/>
              <w:adjustRightInd/>
              <w:snapToGrid/>
              <w:spacing w:line="240" w:lineRule="auto"/>
              <w:ind w:firstLine="0" w:firstLineChars="0"/>
              <w:rPr>
                <w:color w:val="auto"/>
                <w:sz w:val="21"/>
                <w:szCs w:val="21"/>
              </w:rPr>
            </w:pPr>
            <w:r>
              <w:rPr>
                <w:color w:val="auto"/>
                <w:sz w:val="21"/>
                <w:szCs w:val="21"/>
              </w:rPr>
              <w:t>除臭</w:t>
            </w:r>
          </w:p>
        </w:tc>
      </w:tr>
      <w:tr w14:paraId="499526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0FD4DB2F">
            <w:pPr>
              <w:pStyle w:val="434"/>
              <w:pageBreakBefore w:val="0"/>
              <w:wordWrap/>
              <w:bidi w:val="0"/>
              <w:adjustRightInd/>
              <w:snapToGrid/>
              <w:spacing w:line="240" w:lineRule="auto"/>
              <w:ind w:firstLine="0" w:firstLineChars="0"/>
              <w:rPr>
                <w:color w:val="auto"/>
                <w:sz w:val="21"/>
                <w:szCs w:val="21"/>
              </w:rPr>
            </w:pPr>
            <w:r>
              <w:rPr>
                <w:color w:val="auto"/>
                <w:sz w:val="21"/>
                <w:szCs w:val="21"/>
              </w:rPr>
              <w:t>12</w:t>
            </w:r>
          </w:p>
        </w:tc>
        <w:tc>
          <w:tcPr>
            <w:tcW w:w="1011" w:type="pct"/>
            <w:tcBorders>
              <w:tl2br w:val="nil"/>
              <w:tr2bl w:val="nil"/>
            </w:tcBorders>
            <w:noWrap w:val="0"/>
            <w:vAlign w:val="center"/>
          </w:tcPr>
          <w:p w14:paraId="69691226">
            <w:pPr>
              <w:pStyle w:val="434"/>
              <w:pageBreakBefore w:val="0"/>
              <w:wordWrap/>
              <w:bidi w:val="0"/>
              <w:adjustRightInd/>
              <w:snapToGrid/>
              <w:spacing w:line="240" w:lineRule="auto"/>
              <w:ind w:firstLine="0" w:firstLineChars="0"/>
              <w:rPr>
                <w:color w:val="auto"/>
                <w:sz w:val="21"/>
                <w:szCs w:val="21"/>
              </w:rPr>
            </w:pPr>
            <w:r>
              <w:rPr>
                <w:rFonts w:hint="eastAsia"/>
                <w:color w:val="auto"/>
                <w:sz w:val="21"/>
                <w:szCs w:val="21"/>
                <w:lang w:val="en-US" w:eastAsia="zh-CN"/>
              </w:rPr>
              <w:t>污泥池</w:t>
            </w:r>
          </w:p>
        </w:tc>
        <w:tc>
          <w:tcPr>
            <w:tcW w:w="1283" w:type="pct"/>
            <w:tcBorders>
              <w:tl2br w:val="nil"/>
              <w:tr2bl w:val="nil"/>
            </w:tcBorders>
            <w:noWrap w:val="0"/>
            <w:vAlign w:val="center"/>
          </w:tcPr>
          <w:p w14:paraId="170E4024">
            <w:pPr>
              <w:pStyle w:val="434"/>
              <w:pageBreakBefore w:val="0"/>
              <w:wordWrap/>
              <w:bidi w:val="0"/>
              <w:adjustRightInd/>
              <w:snapToGrid/>
              <w:spacing w:line="240" w:lineRule="auto"/>
              <w:ind w:firstLine="0" w:firstLineChars="0"/>
              <w:rPr>
                <w:color w:val="auto"/>
                <w:sz w:val="21"/>
                <w:szCs w:val="21"/>
              </w:rPr>
            </w:pPr>
            <w:r>
              <w:rPr>
                <w:rFonts w:hint="eastAsia"/>
                <w:color w:val="auto"/>
                <w:sz w:val="21"/>
                <w:szCs w:val="21"/>
              </w:rPr>
              <w:t>L×B×H=8.30m×5.00m×5.0m</w:t>
            </w:r>
          </w:p>
        </w:tc>
        <w:tc>
          <w:tcPr>
            <w:tcW w:w="523" w:type="pct"/>
            <w:tcBorders>
              <w:tl2br w:val="nil"/>
              <w:tr2bl w:val="nil"/>
            </w:tcBorders>
            <w:noWrap w:val="0"/>
            <w:vAlign w:val="center"/>
          </w:tcPr>
          <w:p w14:paraId="59BC4F9B">
            <w:pPr>
              <w:pStyle w:val="434"/>
              <w:pageBreakBefore w:val="0"/>
              <w:wordWrap/>
              <w:bidi w:val="0"/>
              <w:adjustRightInd/>
              <w:snapToGrid/>
              <w:spacing w:line="240" w:lineRule="auto"/>
              <w:ind w:firstLine="0" w:firstLineChars="0"/>
              <w:rPr>
                <w:color w:val="auto"/>
                <w:sz w:val="21"/>
                <w:szCs w:val="21"/>
              </w:rPr>
            </w:pPr>
            <w:r>
              <w:rPr>
                <w:color w:val="auto"/>
                <w:kern w:val="0"/>
                <w:sz w:val="21"/>
                <w:szCs w:val="21"/>
              </w:rPr>
              <w:t>钢筋砼</w:t>
            </w:r>
          </w:p>
        </w:tc>
        <w:tc>
          <w:tcPr>
            <w:tcW w:w="407" w:type="pct"/>
            <w:tcBorders>
              <w:tl2br w:val="nil"/>
              <w:tr2bl w:val="nil"/>
            </w:tcBorders>
            <w:noWrap w:val="0"/>
            <w:vAlign w:val="center"/>
          </w:tcPr>
          <w:p w14:paraId="4559B845">
            <w:pPr>
              <w:pStyle w:val="434"/>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23D51764">
            <w:pPr>
              <w:pStyle w:val="434"/>
              <w:pageBreakBefore w:val="0"/>
              <w:wordWrap/>
              <w:bidi w:val="0"/>
              <w:adjustRightInd/>
              <w:snapToGrid/>
              <w:spacing w:line="240" w:lineRule="auto"/>
              <w:ind w:firstLine="0" w:firstLineChars="0"/>
              <w:rPr>
                <w:color w:val="auto"/>
                <w:sz w:val="21"/>
                <w:szCs w:val="21"/>
              </w:rPr>
            </w:pPr>
            <w:r>
              <w:rPr>
                <w:color w:val="auto"/>
                <w:sz w:val="21"/>
                <w:szCs w:val="21"/>
              </w:rPr>
              <w:t>1</w:t>
            </w:r>
            <w:r>
              <w:rPr>
                <w:rFonts w:hint="eastAsia"/>
                <w:color w:val="auto"/>
                <w:sz w:val="21"/>
                <w:szCs w:val="21"/>
              </w:rPr>
              <w:t>座</w:t>
            </w:r>
            <w:r>
              <w:rPr>
                <w:rFonts w:hint="eastAsia"/>
                <w:color w:val="auto"/>
                <w:sz w:val="21"/>
                <w:szCs w:val="21"/>
                <w:lang w:val="en-US" w:eastAsia="zh-CN"/>
              </w:rPr>
              <w:t>2</w:t>
            </w:r>
            <w:r>
              <w:rPr>
                <w:rFonts w:hint="eastAsia"/>
                <w:color w:val="auto"/>
                <w:sz w:val="21"/>
                <w:szCs w:val="21"/>
              </w:rPr>
              <w:t>格</w:t>
            </w:r>
          </w:p>
        </w:tc>
        <w:tc>
          <w:tcPr>
            <w:tcW w:w="891" w:type="pct"/>
            <w:tcBorders>
              <w:tl2br w:val="nil"/>
              <w:tr2bl w:val="nil"/>
            </w:tcBorders>
            <w:noWrap w:val="0"/>
            <w:vAlign w:val="center"/>
          </w:tcPr>
          <w:p w14:paraId="3F5C3FEA">
            <w:pPr>
              <w:pStyle w:val="434"/>
              <w:pageBreakBefore w:val="0"/>
              <w:wordWrap/>
              <w:bidi w:val="0"/>
              <w:adjustRightInd/>
              <w:snapToGrid/>
              <w:spacing w:line="240" w:lineRule="auto"/>
              <w:ind w:firstLine="0" w:firstLineChars="0"/>
              <w:rPr>
                <w:color w:val="auto"/>
                <w:sz w:val="21"/>
                <w:szCs w:val="21"/>
              </w:rPr>
            </w:pPr>
            <w:r>
              <w:rPr>
                <w:color w:val="auto"/>
                <w:sz w:val="21"/>
                <w:szCs w:val="21"/>
              </w:rPr>
              <w:t>除臭</w:t>
            </w:r>
          </w:p>
        </w:tc>
      </w:tr>
      <w:tr w14:paraId="6FBA23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008552B7">
            <w:pPr>
              <w:pStyle w:val="434"/>
              <w:pageBreakBefore w:val="0"/>
              <w:wordWrap/>
              <w:bidi w:val="0"/>
              <w:adjustRightInd/>
              <w:snapToGrid/>
              <w:spacing w:line="240" w:lineRule="auto"/>
              <w:ind w:firstLine="0" w:firstLineChars="0"/>
              <w:rPr>
                <w:color w:val="auto"/>
                <w:sz w:val="21"/>
                <w:szCs w:val="21"/>
              </w:rPr>
            </w:pPr>
            <w:r>
              <w:rPr>
                <w:color w:val="auto"/>
                <w:sz w:val="21"/>
                <w:szCs w:val="21"/>
              </w:rPr>
              <w:t>13</w:t>
            </w:r>
          </w:p>
        </w:tc>
        <w:tc>
          <w:tcPr>
            <w:tcW w:w="1011" w:type="pct"/>
            <w:tcBorders>
              <w:tl2br w:val="nil"/>
              <w:tr2bl w:val="nil"/>
            </w:tcBorders>
            <w:noWrap w:val="0"/>
            <w:vAlign w:val="center"/>
          </w:tcPr>
          <w:p w14:paraId="6E709045">
            <w:pPr>
              <w:pStyle w:val="434"/>
              <w:pageBreakBefore w:val="0"/>
              <w:wordWrap/>
              <w:bidi w:val="0"/>
              <w:adjustRightInd/>
              <w:snapToGrid/>
              <w:spacing w:line="240" w:lineRule="auto"/>
              <w:ind w:firstLine="0" w:firstLineChars="0"/>
              <w:rPr>
                <w:color w:val="auto"/>
                <w:sz w:val="21"/>
                <w:szCs w:val="21"/>
              </w:rPr>
            </w:pPr>
            <w:r>
              <w:rPr>
                <w:rFonts w:hint="eastAsia"/>
                <w:color w:val="auto"/>
                <w:sz w:val="21"/>
                <w:szCs w:val="21"/>
              </w:rPr>
              <w:t>园区应急事故池</w:t>
            </w:r>
          </w:p>
        </w:tc>
        <w:tc>
          <w:tcPr>
            <w:tcW w:w="1283" w:type="pct"/>
            <w:tcBorders>
              <w:tl2br w:val="nil"/>
              <w:tr2bl w:val="nil"/>
            </w:tcBorders>
            <w:noWrap w:val="0"/>
            <w:vAlign w:val="center"/>
          </w:tcPr>
          <w:p w14:paraId="34816028">
            <w:pPr>
              <w:pStyle w:val="434"/>
              <w:pageBreakBefore w:val="0"/>
              <w:wordWrap/>
              <w:bidi w:val="0"/>
              <w:adjustRightInd/>
              <w:snapToGrid/>
              <w:spacing w:line="240" w:lineRule="auto"/>
              <w:ind w:firstLine="0" w:firstLineChars="0"/>
              <w:rPr>
                <w:color w:val="auto"/>
                <w:sz w:val="21"/>
                <w:szCs w:val="21"/>
              </w:rPr>
            </w:pPr>
            <w:r>
              <w:rPr>
                <w:rFonts w:hint="eastAsia"/>
                <w:color w:val="auto"/>
                <w:sz w:val="21"/>
                <w:szCs w:val="21"/>
                <w:lang w:val="en-US" w:eastAsia="zh-CN"/>
              </w:rPr>
              <w:t>L×B×H=45.00m×21.00m×7.0m</w:t>
            </w:r>
          </w:p>
        </w:tc>
        <w:tc>
          <w:tcPr>
            <w:tcW w:w="523" w:type="pct"/>
            <w:tcBorders>
              <w:tl2br w:val="nil"/>
              <w:tr2bl w:val="nil"/>
            </w:tcBorders>
            <w:noWrap w:val="0"/>
            <w:vAlign w:val="center"/>
          </w:tcPr>
          <w:p w14:paraId="35A6F4B1">
            <w:pPr>
              <w:pStyle w:val="434"/>
              <w:pageBreakBefore w:val="0"/>
              <w:wordWrap/>
              <w:bidi w:val="0"/>
              <w:adjustRightInd/>
              <w:snapToGrid/>
              <w:spacing w:line="240" w:lineRule="auto"/>
              <w:ind w:firstLine="0" w:firstLineChars="0"/>
              <w:rPr>
                <w:color w:val="auto"/>
                <w:sz w:val="21"/>
                <w:szCs w:val="21"/>
              </w:rPr>
            </w:pPr>
            <w:r>
              <w:rPr>
                <w:color w:val="auto"/>
                <w:kern w:val="0"/>
                <w:sz w:val="21"/>
                <w:szCs w:val="21"/>
              </w:rPr>
              <w:t>钢筋砼</w:t>
            </w:r>
          </w:p>
        </w:tc>
        <w:tc>
          <w:tcPr>
            <w:tcW w:w="407" w:type="pct"/>
            <w:tcBorders>
              <w:tl2br w:val="nil"/>
              <w:tr2bl w:val="nil"/>
            </w:tcBorders>
            <w:noWrap w:val="0"/>
            <w:vAlign w:val="center"/>
          </w:tcPr>
          <w:p w14:paraId="5B498581">
            <w:pPr>
              <w:pStyle w:val="434"/>
              <w:pageBreakBefore w:val="0"/>
              <w:wordWrap/>
              <w:bidi w:val="0"/>
              <w:adjustRightInd/>
              <w:snapToGrid/>
              <w:spacing w:line="240" w:lineRule="auto"/>
              <w:ind w:firstLine="0" w:firstLineChars="0"/>
              <w:rPr>
                <w:color w:val="auto"/>
                <w:sz w:val="21"/>
                <w:szCs w:val="21"/>
              </w:rPr>
            </w:pPr>
            <w:r>
              <w:rPr>
                <w:color w:val="auto"/>
                <w:sz w:val="21"/>
                <w:szCs w:val="21"/>
              </w:rPr>
              <w:t>座</w:t>
            </w:r>
          </w:p>
        </w:tc>
        <w:tc>
          <w:tcPr>
            <w:tcW w:w="579" w:type="pct"/>
            <w:tcBorders>
              <w:tl2br w:val="nil"/>
              <w:tr2bl w:val="nil"/>
            </w:tcBorders>
            <w:noWrap w:val="0"/>
            <w:vAlign w:val="center"/>
          </w:tcPr>
          <w:p w14:paraId="501ADB9A">
            <w:pPr>
              <w:pStyle w:val="434"/>
              <w:pageBreakBefore w:val="0"/>
              <w:wordWrap/>
              <w:bidi w:val="0"/>
              <w:adjustRightInd/>
              <w:snapToGrid/>
              <w:spacing w:line="240" w:lineRule="auto"/>
              <w:ind w:firstLine="0" w:firstLineChars="0"/>
              <w:rPr>
                <w:color w:val="auto"/>
                <w:sz w:val="21"/>
                <w:szCs w:val="21"/>
              </w:rPr>
            </w:pPr>
            <w:r>
              <w:rPr>
                <w:color w:val="auto"/>
                <w:sz w:val="21"/>
                <w:szCs w:val="21"/>
              </w:rPr>
              <w:t>1</w:t>
            </w:r>
            <w:r>
              <w:rPr>
                <w:rFonts w:hint="eastAsia"/>
                <w:color w:val="auto"/>
                <w:sz w:val="21"/>
                <w:szCs w:val="21"/>
              </w:rPr>
              <w:t>座</w:t>
            </w:r>
            <w:r>
              <w:rPr>
                <w:rFonts w:hint="eastAsia"/>
                <w:color w:val="auto"/>
                <w:sz w:val="21"/>
                <w:szCs w:val="21"/>
                <w:lang w:val="en-US" w:eastAsia="zh-CN"/>
              </w:rPr>
              <w:t>2</w:t>
            </w:r>
            <w:r>
              <w:rPr>
                <w:rFonts w:hint="eastAsia"/>
                <w:color w:val="auto"/>
                <w:sz w:val="21"/>
                <w:szCs w:val="21"/>
              </w:rPr>
              <w:t>格</w:t>
            </w:r>
          </w:p>
        </w:tc>
        <w:tc>
          <w:tcPr>
            <w:tcW w:w="891" w:type="pct"/>
            <w:tcBorders>
              <w:tl2br w:val="nil"/>
              <w:tr2bl w:val="nil"/>
            </w:tcBorders>
            <w:noWrap w:val="0"/>
            <w:vAlign w:val="center"/>
          </w:tcPr>
          <w:p w14:paraId="6C5EAA5F">
            <w:pPr>
              <w:pStyle w:val="434"/>
              <w:pageBreakBefore w:val="0"/>
              <w:wordWrap/>
              <w:bidi w:val="0"/>
              <w:adjustRightInd/>
              <w:snapToGrid/>
              <w:spacing w:line="240" w:lineRule="auto"/>
              <w:ind w:firstLine="0" w:firstLineChars="0"/>
              <w:rPr>
                <w:rFonts w:hint="eastAsia" w:eastAsia="宋体"/>
                <w:color w:val="auto"/>
                <w:sz w:val="21"/>
                <w:szCs w:val="21"/>
                <w:lang w:val="en-US" w:eastAsia="zh-CN"/>
              </w:rPr>
            </w:pPr>
            <w:r>
              <w:rPr>
                <w:rFonts w:hint="eastAsia"/>
                <w:color w:val="auto"/>
                <w:sz w:val="21"/>
                <w:szCs w:val="21"/>
                <w:lang w:val="en-US" w:eastAsia="zh-CN"/>
              </w:rPr>
              <w:t>除臭</w:t>
            </w:r>
          </w:p>
        </w:tc>
      </w:tr>
      <w:tr w14:paraId="40A693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7A23565D">
            <w:pPr>
              <w:pStyle w:val="434"/>
              <w:pageBreakBefore w:val="0"/>
              <w:wordWrap/>
              <w:bidi w:val="0"/>
              <w:adjustRightInd/>
              <w:snapToGrid/>
              <w:spacing w:line="240" w:lineRule="auto"/>
              <w:ind w:firstLine="0" w:firstLineChars="0"/>
              <w:rPr>
                <w:color w:val="auto"/>
                <w:sz w:val="21"/>
                <w:szCs w:val="21"/>
              </w:rPr>
            </w:pPr>
            <w:r>
              <w:rPr>
                <w:color w:val="auto"/>
                <w:sz w:val="21"/>
                <w:szCs w:val="21"/>
              </w:rPr>
              <w:t>14</w:t>
            </w:r>
          </w:p>
        </w:tc>
        <w:tc>
          <w:tcPr>
            <w:tcW w:w="1011" w:type="pct"/>
            <w:tcBorders>
              <w:tl2br w:val="nil"/>
              <w:tr2bl w:val="nil"/>
            </w:tcBorders>
            <w:noWrap w:val="0"/>
            <w:vAlign w:val="center"/>
          </w:tcPr>
          <w:p w14:paraId="237FD5E4">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回用水池</w:t>
            </w:r>
          </w:p>
        </w:tc>
        <w:tc>
          <w:tcPr>
            <w:tcW w:w="1283" w:type="pct"/>
            <w:tcBorders>
              <w:tl2br w:val="nil"/>
              <w:tr2bl w:val="nil"/>
            </w:tcBorders>
            <w:noWrap w:val="0"/>
            <w:vAlign w:val="center"/>
          </w:tcPr>
          <w:p w14:paraId="689F50A9">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L×B×H=15.00m×10.00m×3.00m</w:t>
            </w:r>
          </w:p>
        </w:tc>
        <w:tc>
          <w:tcPr>
            <w:tcW w:w="523" w:type="pct"/>
            <w:tcBorders>
              <w:tl2br w:val="nil"/>
              <w:tr2bl w:val="nil"/>
            </w:tcBorders>
            <w:noWrap w:val="0"/>
            <w:vAlign w:val="center"/>
          </w:tcPr>
          <w:p w14:paraId="60DA9886">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kern w:val="0"/>
                <w:sz w:val="21"/>
                <w:szCs w:val="21"/>
              </w:rPr>
              <w:t>钢筋砼</w:t>
            </w:r>
          </w:p>
        </w:tc>
        <w:tc>
          <w:tcPr>
            <w:tcW w:w="407" w:type="pct"/>
            <w:tcBorders>
              <w:tl2br w:val="nil"/>
              <w:tr2bl w:val="nil"/>
            </w:tcBorders>
            <w:noWrap w:val="0"/>
            <w:vAlign w:val="center"/>
          </w:tcPr>
          <w:p w14:paraId="63367BB1">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座</w:t>
            </w:r>
          </w:p>
        </w:tc>
        <w:tc>
          <w:tcPr>
            <w:tcW w:w="579" w:type="pct"/>
            <w:tcBorders>
              <w:tl2br w:val="nil"/>
              <w:tr2bl w:val="nil"/>
            </w:tcBorders>
            <w:noWrap w:val="0"/>
            <w:vAlign w:val="center"/>
          </w:tcPr>
          <w:p w14:paraId="57280836">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1</w:t>
            </w:r>
          </w:p>
        </w:tc>
        <w:tc>
          <w:tcPr>
            <w:tcW w:w="891" w:type="pct"/>
            <w:tcBorders>
              <w:tl2br w:val="nil"/>
              <w:tr2bl w:val="nil"/>
            </w:tcBorders>
            <w:noWrap w:val="0"/>
            <w:vAlign w:val="center"/>
          </w:tcPr>
          <w:p w14:paraId="3A09B546">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p>
        </w:tc>
      </w:tr>
      <w:tr w14:paraId="45D93C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2AF0ADAF">
            <w:pPr>
              <w:pStyle w:val="434"/>
              <w:pageBreakBefore w:val="0"/>
              <w:wordWrap/>
              <w:bidi w:val="0"/>
              <w:adjustRightInd/>
              <w:snapToGrid/>
              <w:spacing w:line="240" w:lineRule="auto"/>
              <w:ind w:firstLine="0" w:firstLineChars="0"/>
              <w:rPr>
                <w:color w:val="auto"/>
                <w:sz w:val="21"/>
                <w:szCs w:val="21"/>
              </w:rPr>
            </w:pPr>
            <w:r>
              <w:rPr>
                <w:color w:val="auto"/>
                <w:sz w:val="21"/>
                <w:szCs w:val="21"/>
              </w:rPr>
              <w:t>15</w:t>
            </w:r>
          </w:p>
        </w:tc>
        <w:tc>
          <w:tcPr>
            <w:tcW w:w="1011" w:type="pct"/>
            <w:tcBorders>
              <w:tl2br w:val="nil"/>
              <w:tr2bl w:val="nil"/>
            </w:tcBorders>
            <w:noWrap w:val="0"/>
            <w:vAlign w:val="center"/>
          </w:tcPr>
          <w:p w14:paraId="4C7EEF4C">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rPr>
              <w:t>变配电室及鼓风机房</w:t>
            </w:r>
          </w:p>
        </w:tc>
        <w:tc>
          <w:tcPr>
            <w:tcW w:w="1283" w:type="pct"/>
            <w:tcBorders>
              <w:tl2br w:val="nil"/>
              <w:tr2bl w:val="nil"/>
            </w:tcBorders>
            <w:noWrap w:val="0"/>
            <w:vAlign w:val="center"/>
          </w:tcPr>
          <w:p w14:paraId="6931A4CA">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面积</w:t>
            </w:r>
            <w:r>
              <w:rPr>
                <w:rFonts w:hint="eastAsia"/>
                <w:color w:val="auto"/>
                <w:sz w:val="21"/>
                <w:szCs w:val="21"/>
              </w:rPr>
              <w:t>275.26平方米</w:t>
            </w:r>
            <w:r>
              <w:rPr>
                <w:rFonts w:hint="eastAsia"/>
                <w:color w:val="auto"/>
                <w:sz w:val="21"/>
                <w:szCs w:val="21"/>
                <w:lang w:eastAsia="zh-CN"/>
              </w:rPr>
              <w:t>，</w:t>
            </w:r>
            <w:r>
              <w:rPr>
                <w:rFonts w:hint="eastAsia"/>
                <w:color w:val="auto"/>
                <w:sz w:val="21"/>
                <w:szCs w:val="21"/>
              </w:rPr>
              <w:t>高度6.9m</w:t>
            </w:r>
          </w:p>
        </w:tc>
        <w:tc>
          <w:tcPr>
            <w:tcW w:w="523" w:type="pct"/>
            <w:tcBorders>
              <w:tl2br w:val="nil"/>
              <w:tr2bl w:val="nil"/>
            </w:tcBorders>
            <w:noWrap w:val="0"/>
            <w:vAlign w:val="center"/>
          </w:tcPr>
          <w:p w14:paraId="22947712">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kern w:val="0"/>
                <w:sz w:val="21"/>
                <w:szCs w:val="21"/>
              </w:rPr>
              <w:t>框架</w:t>
            </w:r>
          </w:p>
        </w:tc>
        <w:tc>
          <w:tcPr>
            <w:tcW w:w="407" w:type="pct"/>
            <w:tcBorders>
              <w:tl2br w:val="nil"/>
              <w:tr2bl w:val="nil"/>
            </w:tcBorders>
            <w:noWrap w:val="0"/>
            <w:vAlign w:val="center"/>
          </w:tcPr>
          <w:p w14:paraId="54B0DBDF">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座</w:t>
            </w:r>
          </w:p>
        </w:tc>
        <w:tc>
          <w:tcPr>
            <w:tcW w:w="579" w:type="pct"/>
            <w:tcBorders>
              <w:tl2br w:val="nil"/>
              <w:tr2bl w:val="nil"/>
            </w:tcBorders>
            <w:noWrap w:val="0"/>
            <w:vAlign w:val="center"/>
          </w:tcPr>
          <w:p w14:paraId="50B6F109">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1</w:t>
            </w:r>
          </w:p>
        </w:tc>
        <w:tc>
          <w:tcPr>
            <w:tcW w:w="891" w:type="pct"/>
            <w:tcBorders>
              <w:tl2br w:val="nil"/>
              <w:tr2bl w:val="nil"/>
            </w:tcBorders>
            <w:noWrap w:val="0"/>
            <w:vAlign w:val="center"/>
          </w:tcPr>
          <w:p w14:paraId="03B24A1D">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p>
        </w:tc>
      </w:tr>
      <w:tr w14:paraId="5558BB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68BA3E29">
            <w:pPr>
              <w:pStyle w:val="434"/>
              <w:pageBreakBefore w:val="0"/>
              <w:wordWrap/>
              <w:bidi w:val="0"/>
              <w:adjustRightInd/>
              <w:snapToGrid/>
              <w:spacing w:line="240" w:lineRule="auto"/>
              <w:ind w:firstLine="0" w:firstLineChars="0"/>
              <w:rPr>
                <w:color w:val="auto"/>
                <w:sz w:val="21"/>
                <w:szCs w:val="21"/>
              </w:rPr>
            </w:pPr>
            <w:r>
              <w:rPr>
                <w:color w:val="auto"/>
                <w:sz w:val="21"/>
                <w:szCs w:val="21"/>
              </w:rPr>
              <w:t>16</w:t>
            </w:r>
          </w:p>
        </w:tc>
        <w:tc>
          <w:tcPr>
            <w:tcW w:w="1011" w:type="pct"/>
            <w:tcBorders>
              <w:tl2br w:val="nil"/>
              <w:tr2bl w:val="nil"/>
            </w:tcBorders>
            <w:noWrap w:val="0"/>
            <w:vAlign w:val="center"/>
          </w:tcPr>
          <w:p w14:paraId="176C2905">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rPr>
              <w:t>机修间及危废间</w:t>
            </w:r>
          </w:p>
        </w:tc>
        <w:tc>
          <w:tcPr>
            <w:tcW w:w="1283" w:type="pct"/>
            <w:tcBorders>
              <w:tl2br w:val="nil"/>
              <w:tr2bl w:val="nil"/>
            </w:tcBorders>
            <w:noWrap w:val="0"/>
            <w:vAlign w:val="center"/>
          </w:tcPr>
          <w:p w14:paraId="1B8AC9B7">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rPr>
              <w:t>面积222.39平方米</w:t>
            </w:r>
            <w:r>
              <w:rPr>
                <w:rFonts w:hint="eastAsia"/>
                <w:color w:val="auto"/>
                <w:sz w:val="21"/>
                <w:szCs w:val="21"/>
                <w:lang w:eastAsia="zh-CN"/>
              </w:rPr>
              <w:t>，</w:t>
            </w:r>
            <w:r>
              <w:rPr>
                <w:rFonts w:hint="eastAsia"/>
                <w:color w:val="auto"/>
                <w:sz w:val="21"/>
                <w:szCs w:val="21"/>
              </w:rPr>
              <w:t>高度7.8m</w:t>
            </w:r>
          </w:p>
        </w:tc>
        <w:tc>
          <w:tcPr>
            <w:tcW w:w="523" w:type="pct"/>
            <w:tcBorders>
              <w:tl2br w:val="nil"/>
              <w:tr2bl w:val="nil"/>
            </w:tcBorders>
            <w:noWrap w:val="0"/>
            <w:vAlign w:val="center"/>
          </w:tcPr>
          <w:p w14:paraId="32030AD5">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kern w:val="0"/>
                <w:sz w:val="21"/>
                <w:szCs w:val="21"/>
              </w:rPr>
              <w:t>框架</w:t>
            </w:r>
          </w:p>
        </w:tc>
        <w:tc>
          <w:tcPr>
            <w:tcW w:w="407" w:type="pct"/>
            <w:tcBorders>
              <w:tl2br w:val="nil"/>
              <w:tr2bl w:val="nil"/>
            </w:tcBorders>
            <w:noWrap w:val="0"/>
            <w:vAlign w:val="center"/>
          </w:tcPr>
          <w:p w14:paraId="0BDCEA2A">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座</w:t>
            </w:r>
          </w:p>
        </w:tc>
        <w:tc>
          <w:tcPr>
            <w:tcW w:w="579" w:type="pct"/>
            <w:tcBorders>
              <w:tl2br w:val="nil"/>
              <w:tr2bl w:val="nil"/>
            </w:tcBorders>
            <w:noWrap w:val="0"/>
            <w:vAlign w:val="center"/>
          </w:tcPr>
          <w:p w14:paraId="1E8998A1">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1</w:t>
            </w:r>
          </w:p>
        </w:tc>
        <w:tc>
          <w:tcPr>
            <w:tcW w:w="891" w:type="pct"/>
            <w:tcBorders>
              <w:tl2br w:val="nil"/>
              <w:tr2bl w:val="nil"/>
            </w:tcBorders>
            <w:noWrap w:val="0"/>
            <w:vAlign w:val="center"/>
          </w:tcPr>
          <w:p w14:paraId="5012C4DA">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p>
        </w:tc>
      </w:tr>
      <w:tr w14:paraId="24A327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2FB56CC4">
            <w:pPr>
              <w:pStyle w:val="434"/>
              <w:pageBreakBefore w:val="0"/>
              <w:wordWrap/>
              <w:bidi w:val="0"/>
              <w:adjustRightInd/>
              <w:snapToGrid/>
              <w:spacing w:line="240" w:lineRule="auto"/>
              <w:ind w:firstLine="0" w:firstLineChars="0"/>
              <w:rPr>
                <w:color w:val="auto"/>
                <w:sz w:val="21"/>
                <w:szCs w:val="21"/>
              </w:rPr>
            </w:pPr>
            <w:r>
              <w:rPr>
                <w:color w:val="auto"/>
                <w:sz w:val="21"/>
                <w:szCs w:val="21"/>
              </w:rPr>
              <w:t>17</w:t>
            </w:r>
          </w:p>
        </w:tc>
        <w:tc>
          <w:tcPr>
            <w:tcW w:w="1011" w:type="pct"/>
            <w:tcBorders>
              <w:tl2br w:val="nil"/>
              <w:tr2bl w:val="nil"/>
            </w:tcBorders>
            <w:noWrap w:val="0"/>
            <w:vAlign w:val="center"/>
          </w:tcPr>
          <w:p w14:paraId="59667562">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rPr>
              <w:t>进出水在线监测间</w:t>
            </w:r>
          </w:p>
        </w:tc>
        <w:tc>
          <w:tcPr>
            <w:tcW w:w="1283" w:type="pct"/>
            <w:tcBorders>
              <w:tl2br w:val="nil"/>
              <w:tr2bl w:val="nil"/>
            </w:tcBorders>
            <w:noWrap w:val="0"/>
            <w:vAlign w:val="center"/>
          </w:tcPr>
          <w:p w14:paraId="73CABB9C">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面积38.88平方米，高度3.6m</w:t>
            </w:r>
          </w:p>
        </w:tc>
        <w:tc>
          <w:tcPr>
            <w:tcW w:w="523" w:type="pct"/>
            <w:tcBorders>
              <w:tl2br w:val="nil"/>
              <w:tr2bl w:val="nil"/>
            </w:tcBorders>
            <w:noWrap w:val="0"/>
            <w:vAlign w:val="center"/>
          </w:tcPr>
          <w:p w14:paraId="5E3F4E1B">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kern w:val="0"/>
                <w:sz w:val="21"/>
                <w:szCs w:val="21"/>
              </w:rPr>
              <w:t>框架</w:t>
            </w:r>
          </w:p>
        </w:tc>
        <w:tc>
          <w:tcPr>
            <w:tcW w:w="407" w:type="pct"/>
            <w:tcBorders>
              <w:tl2br w:val="nil"/>
              <w:tr2bl w:val="nil"/>
            </w:tcBorders>
            <w:noWrap w:val="0"/>
            <w:vAlign w:val="center"/>
          </w:tcPr>
          <w:p w14:paraId="36B05DE3">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座</w:t>
            </w:r>
          </w:p>
        </w:tc>
        <w:tc>
          <w:tcPr>
            <w:tcW w:w="579" w:type="pct"/>
            <w:tcBorders>
              <w:tl2br w:val="nil"/>
              <w:tr2bl w:val="nil"/>
            </w:tcBorders>
            <w:noWrap w:val="0"/>
            <w:vAlign w:val="center"/>
          </w:tcPr>
          <w:p w14:paraId="74F1F1D9">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1</w:t>
            </w:r>
          </w:p>
        </w:tc>
        <w:tc>
          <w:tcPr>
            <w:tcW w:w="891" w:type="pct"/>
            <w:tcBorders>
              <w:tl2br w:val="nil"/>
              <w:tr2bl w:val="nil"/>
            </w:tcBorders>
            <w:noWrap w:val="0"/>
            <w:vAlign w:val="center"/>
          </w:tcPr>
          <w:p w14:paraId="3FFB5B7B">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p>
        </w:tc>
      </w:tr>
      <w:tr w14:paraId="4C2869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491AD042">
            <w:pPr>
              <w:pStyle w:val="434"/>
              <w:pageBreakBefore w:val="0"/>
              <w:wordWrap/>
              <w:bidi w:val="0"/>
              <w:adjustRightInd/>
              <w:snapToGrid/>
              <w:spacing w:line="240" w:lineRule="auto"/>
              <w:ind w:firstLine="0" w:firstLineChars="0"/>
              <w:rPr>
                <w:color w:val="auto"/>
                <w:sz w:val="21"/>
                <w:szCs w:val="21"/>
              </w:rPr>
            </w:pPr>
            <w:r>
              <w:rPr>
                <w:color w:val="auto"/>
                <w:sz w:val="21"/>
                <w:szCs w:val="21"/>
              </w:rPr>
              <w:t>18</w:t>
            </w:r>
          </w:p>
        </w:tc>
        <w:tc>
          <w:tcPr>
            <w:tcW w:w="1011" w:type="pct"/>
            <w:tcBorders>
              <w:tl2br w:val="nil"/>
              <w:tr2bl w:val="nil"/>
            </w:tcBorders>
            <w:noWrap w:val="0"/>
            <w:vAlign w:val="center"/>
          </w:tcPr>
          <w:p w14:paraId="3DE56E97">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rPr>
              <w:t>综合办公楼</w:t>
            </w:r>
          </w:p>
        </w:tc>
        <w:tc>
          <w:tcPr>
            <w:tcW w:w="1283" w:type="pct"/>
            <w:tcBorders>
              <w:tl2br w:val="nil"/>
              <w:tr2bl w:val="nil"/>
            </w:tcBorders>
            <w:noWrap w:val="0"/>
            <w:vAlign w:val="center"/>
          </w:tcPr>
          <w:p w14:paraId="5914BDFE">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面积1126.66平方米，高度9.75m</w:t>
            </w:r>
          </w:p>
        </w:tc>
        <w:tc>
          <w:tcPr>
            <w:tcW w:w="523" w:type="pct"/>
            <w:tcBorders>
              <w:tl2br w:val="nil"/>
              <w:tr2bl w:val="nil"/>
            </w:tcBorders>
            <w:noWrap w:val="0"/>
            <w:vAlign w:val="center"/>
          </w:tcPr>
          <w:p w14:paraId="25A986E5">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kern w:val="0"/>
                <w:sz w:val="21"/>
                <w:szCs w:val="21"/>
              </w:rPr>
              <w:t>框架</w:t>
            </w:r>
          </w:p>
        </w:tc>
        <w:tc>
          <w:tcPr>
            <w:tcW w:w="407" w:type="pct"/>
            <w:tcBorders>
              <w:tl2br w:val="nil"/>
              <w:tr2bl w:val="nil"/>
            </w:tcBorders>
            <w:noWrap w:val="0"/>
            <w:vAlign w:val="center"/>
          </w:tcPr>
          <w:p w14:paraId="5A070DDD">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座</w:t>
            </w:r>
          </w:p>
        </w:tc>
        <w:tc>
          <w:tcPr>
            <w:tcW w:w="579" w:type="pct"/>
            <w:tcBorders>
              <w:tl2br w:val="nil"/>
              <w:tr2bl w:val="nil"/>
            </w:tcBorders>
            <w:noWrap w:val="0"/>
            <w:vAlign w:val="center"/>
          </w:tcPr>
          <w:p w14:paraId="04F4AF9E">
            <w:pPr>
              <w:pStyle w:val="434"/>
              <w:pageBreakBefore w:val="0"/>
              <w:wordWrap/>
              <w:bidi w:val="0"/>
              <w:adjustRightInd/>
              <w:snapToGrid/>
              <w:spacing w:line="240" w:lineRule="auto"/>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1</w:t>
            </w:r>
          </w:p>
        </w:tc>
        <w:tc>
          <w:tcPr>
            <w:tcW w:w="891" w:type="pct"/>
            <w:tcBorders>
              <w:tl2br w:val="nil"/>
              <w:tr2bl w:val="nil"/>
            </w:tcBorders>
            <w:noWrap w:val="0"/>
            <w:vAlign w:val="center"/>
          </w:tcPr>
          <w:p w14:paraId="13550799">
            <w:pPr>
              <w:pStyle w:val="434"/>
              <w:pageBreakBefore w:val="0"/>
              <w:wordWrap/>
              <w:bidi w:val="0"/>
              <w:adjustRightInd/>
              <w:snapToGrid/>
              <w:spacing w:line="240" w:lineRule="auto"/>
              <w:ind w:firstLine="0" w:firstLineChars="0"/>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3F</w:t>
            </w:r>
          </w:p>
        </w:tc>
      </w:tr>
      <w:tr w14:paraId="13791D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58B77FA5">
            <w:pPr>
              <w:pStyle w:val="434"/>
              <w:pageBreakBefore w:val="0"/>
              <w:wordWrap/>
              <w:bidi w:val="0"/>
              <w:adjustRightInd/>
              <w:snapToGrid/>
              <w:spacing w:line="240" w:lineRule="auto"/>
              <w:ind w:firstLine="0" w:firstLineChars="0"/>
              <w:rPr>
                <w:color w:val="auto"/>
                <w:sz w:val="21"/>
                <w:szCs w:val="21"/>
              </w:rPr>
            </w:pPr>
            <w:r>
              <w:rPr>
                <w:rFonts w:hint="eastAsia"/>
                <w:color w:val="auto"/>
                <w:sz w:val="21"/>
                <w:szCs w:val="21"/>
              </w:rPr>
              <w:t>19</w:t>
            </w:r>
          </w:p>
        </w:tc>
        <w:tc>
          <w:tcPr>
            <w:tcW w:w="1011" w:type="pct"/>
            <w:tcBorders>
              <w:tl2br w:val="nil"/>
              <w:tr2bl w:val="nil"/>
            </w:tcBorders>
            <w:noWrap w:val="0"/>
            <w:vAlign w:val="center"/>
          </w:tcPr>
          <w:p w14:paraId="437D5A70">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门卫室</w:t>
            </w:r>
          </w:p>
        </w:tc>
        <w:tc>
          <w:tcPr>
            <w:tcW w:w="1283" w:type="pct"/>
            <w:tcBorders>
              <w:tl2br w:val="nil"/>
              <w:tr2bl w:val="nil"/>
            </w:tcBorders>
            <w:noWrap w:val="0"/>
            <w:vAlign w:val="center"/>
          </w:tcPr>
          <w:p w14:paraId="08A05149">
            <w:pPr>
              <w:pStyle w:val="434"/>
              <w:pageBreakBefore w:val="0"/>
              <w:wordWrap/>
              <w:bidi w:val="0"/>
              <w:adjustRightInd/>
              <w:snapToGrid/>
              <w:spacing w:line="240" w:lineRule="auto"/>
              <w:ind w:firstLine="0" w:firstLineChars="0"/>
              <w:rPr>
                <w:rFonts w:ascii="Times New Roman" w:hAnsi="Times New Roman" w:eastAsia="宋体" w:cs="Times New Roman"/>
                <w:color w:val="auto"/>
                <w:kern w:val="0"/>
                <w:sz w:val="21"/>
                <w:szCs w:val="21"/>
                <w:lang w:val="en-US" w:eastAsia="zh-CN" w:bidi="ar-SA"/>
              </w:rPr>
            </w:pPr>
            <w:r>
              <w:rPr>
                <w:rFonts w:hint="eastAsia"/>
                <w:color w:val="auto"/>
                <w:sz w:val="21"/>
                <w:szCs w:val="21"/>
                <w:lang w:val="en-US" w:eastAsia="zh-CN"/>
              </w:rPr>
              <w:t>面积38.8平方米，高度4.10m</w:t>
            </w:r>
          </w:p>
        </w:tc>
        <w:tc>
          <w:tcPr>
            <w:tcW w:w="523" w:type="pct"/>
            <w:tcBorders>
              <w:tl2br w:val="nil"/>
              <w:tr2bl w:val="nil"/>
            </w:tcBorders>
            <w:noWrap w:val="0"/>
            <w:vAlign w:val="center"/>
          </w:tcPr>
          <w:p w14:paraId="22D0BF9D">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kern w:val="0"/>
                <w:sz w:val="21"/>
                <w:szCs w:val="21"/>
              </w:rPr>
              <w:t>框架</w:t>
            </w:r>
          </w:p>
        </w:tc>
        <w:tc>
          <w:tcPr>
            <w:tcW w:w="407" w:type="pct"/>
            <w:tcBorders>
              <w:tl2br w:val="nil"/>
              <w:tr2bl w:val="nil"/>
            </w:tcBorders>
            <w:noWrap w:val="0"/>
            <w:vAlign w:val="center"/>
          </w:tcPr>
          <w:p w14:paraId="01C9D1F5">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座</w:t>
            </w:r>
          </w:p>
        </w:tc>
        <w:tc>
          <w:tcPr>
            <w:tcW w:w="579" w:type="pct"/>
            <w:tcBorders>
              <w:tl2br w:val="nil"/>
              <w:tr2bl w:val="nil"/>
            </w:tcBorders>
            <w:noWrap w:val="0"/>
            <w:vAlign w:val="center"/>
          </w:tcPr>
          <w:p w14:paraId="3B4825F3">
            <w:pPr>
              <w:pStyle w:val="434"/>
              <w:pageBreakBefore w:val="0"/>
              <w:wordWrap/>
              <w:bidi w:val="0"/>
              <w:adjustRightInd/>
              <w:snapToGrid/>
              <w:spacing w:line="240" w:lineRule="auto"/>
              <w:ind w:firstLine="0" w:firstLineChars="0"/>
              <w:rPr>
                <w:rFonts w:hint="eastAsia" w:ascii="Times New Roman" w:hAnsi="Times New Roman" w:eastAsia="宋体" w:cs="Times New Roman"/>
                <w:color w:val="auto"/>
                <w:kern w:val="2"/>
                <w:sz w:val="21"/>
                <w:szCs w:val="21"/>
                <w:lang w:val="en-US" w:eastAsia="zh-CN" w:bidi="ar-SA"/>
              </w:rPr>
            </w:pPr>
            <w:r>
              <w:rPr>
                <w:color w:val="auto"/>
                <w:sz w:val="21"/>
                <w:szCs w:val="21"/>
              </w:rPr>
              <w:t>2</w:t>
            </w:r>
          </w:p>
        </w:tc>
        <w:tc>
          <w:tcPr>
            <w:tcW w:w="891" w:type="pct"/>
            <w:tcBorders>
              <w:tl2br w:val="nil"/>
              <w:tr2bl w:val="nil"/>
            </w:tcBorders>
            <w:noWrap w:val="0"/>
            <w:vAlign w:val="center"/>
          </w:tcPr>
          <w:p w14:paraId="3721F796">
            <w:pPr>
              <w:pStyle w:val="434"/>
              <w:pageBreakBefore w:val="0"/>
              <w:wordWrap/>
              <w:bidi w:val="0"/>
              <w:adjustRightInd/>
              <w:snapToGrid/>
              <w:spacing w:line="240" w:lineRule="auto"/>
              <w:ind w:firstLine="0" w:firstLineChars="0"/>
              <w:rPr>
                <w:rFonts w:hint="default" w:ascii="Times New Roman" w:hAnsi="Times New Roman" w:eastAsia="宋体" w:cs="Times New Roman"/>
                <w:color w:val="auto"/>
                <w:kern w:val="2"/>
                <w:sz w:val="21"/>
                <w:szCs w:val="21"/>
                <w:lang w:val="en-US" w:eastAsia="zh-CN" w:bidi="ar-SA"/>
              </w:rPr>
            </w:pPr>
          </w:p>
        </w:tc>
      </w:tr>
      <w:tr w14:paraId="45BEAC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04" w:type="pct"/>
            <w:tcBorders>
              <w:tl2br w:val="nil"/>
              <w:tr2bl w:val="nil"/>
            </w:tcBorders>
            <w:noWrap w:val="0"/>
            <w:vAlign w:val="center"/>
          </w:tcPr>
          <w:p w14:paraId="6DF5258D">
            <w:pPr>
              <w:pStyle w:val="434"/>
              <w:pageBreakBefore w:val="0"/>
              <w:wordWrap/>
              <w:bidi w:val="0"/>
              <w:adjustRightInd/>
              <w:snapToGrid/>
              <w:spacing w:line="240" w:lineRule="auto"/>
              <w:ind w:firstLine="0" w:firstLineChars="0"/>
              <w:rPr>
                <w:rFonts w:hint="eastAsia" w:ascii="Times New Roman" w:hAnsi="Times New Roman" w:eastAsia="宋体"/>
                <w:color w:val="auto"/>
                <w:kern w:val="2"/>
                <w:sz w:val="21"/>
                <w:szCs w:val="21"/>
                <w:lang w:val="en-US" w:eastAsia="zh-CN" w:bidi="ar-SA"/>
              </w:rPr>
            </w:pPr>
            <w:r>
              <w:rPr>
                <w:rFonts w:hint="eastAsia"/>
                <w:color w:val="auto"/>
                <w:sz w:val="21"/>
                <w:szCs w:val="21"/>
              </w:rPr>
              <w:t>20</w:t>
            </w:r>
          </w:p>
        </w:tc>
        <w:tc>
          <w:tcPr>
            <w:tcW w:w="1011" w:type="pct"/>
            <w:tcBorders>
              <w:tl2br w:val="nil"/>
              <w:tr2bl w:val="nil"/>
            </w:tcBorders>
            <w:noWrap w:val="0"/>
            <w:vAlign w:val="center"/>
          </w:tcPr>
          <w:p w14:paraId="6C5E6882">
            <w:pPr>
              <w:pStyle w:val="434"/>
              <w:pageBreakBefore w:val="0"/>
              <w:wordWrap/>
              <w:bidi w:val="0"/>
              <w:adjustRightInd/>
              <w:snapToGrid/>
              <w:spacing w:line="240" w:lineRule="auto"/>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除臭装置</w:t>
            </w:r>
          </w:p>
        </w:tc>
        <w:tc>
          <w:tcPr>
            <w:tcW w:w="1283" w:type="pct"/>
            <w:tcBorders>
              <w:tl2br w:val="nil"/>
              <w:tr2bl w:val="nil"/>
            </w:tcBorders>
            <w:noWrap w:val="0"/>
            <w:vAlign w:val="center"/>
          </w:tcPr>
          <w:p w14:paraId="32D920E9">
            <w:pPr>
              <w:pStyle w:val="434"/>
              <w:pageBreakBefore w:val="0"/>
              <w:wordWrap/>
              <w:bidi w:val="0"/>
              <w:adjustRightInd/>
              <w:snapToGrid/>
              <w:spacing w:line="240" w:lineRule="auto"/>
              <w:ind w:firstLine="0" w:firstLineChars="0"/>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风量20000m³/h</w:t>
            </w:r>
          </w:p>
        </w:tc>
        <w:tc>
          <w:tcPr>
            <w:tcW w:w="523" w:type="pct"/>
            <w:tcBorders>
              <w:tl2br w:val="nil"/>
              <w:tr2bl w:val="nil"/>
            </w:tcBorders>
            <w:noWrap w:val="0"/>
            <w:vAlign w:val="center"/>
          </w:tcPr>
          <w:p w14:paraId="390E7116">
            <w:pPr>
              <w:pStyle w:val="434"/>
              <w:pageBreakBefore w:val="0"/>
              <w:wordWrap/>
              <w:bidi w:val="0"/>
              <w:adjustRightInd/>
              <w:snapToGrid/>
              <w:spacing w:line="240" w:lineRule="auto"/>
              <w:ind w:firstLine="0" w:firstLineChars="0"/>
              <w:rPr>
                <w:rFonts w:hint="eastAsia" w:ascii="Times New Roman" w:hAnsi="Times New Roman" w:eastAsia="宋体" w:cs="Times New Roman"/>
                <w:color w:val="auto"/>
                <w:kern w:val="0"/>
                <w:sz w:val="21"/>
                <w:szCs w:val="21"/>
                <w:lang w:val="en-US" w:eastAsia="zh-CN" w:bidi="ar-SA"/>
              </w:rPr>
            </w:pPr>
            <w:r>
              <w:rPr>
                <w:rFonts w:hint="eastAsia"/>
                <w:color w:val="auto"/>
                <w:kern w:val="0"/>
                <w:sz w:val="21"/>
                <w:szCs w:val="21"/>
                <w:lang w:val="en-US" w:eastAsia="zh-CN"/>
              </w:rPr>
              <w:t>/</w:t>
            </w:r>
          </w:p>
        </w:tc>
        <w:tc>
          <w:tcPr>
            <w:tcW w:w="407" w:type="pct"/>
            <w:tcBorders>
              <w:tl2br w:val="nil"/>
              <w:tr2bl w:val="nil"/>
            </w:tcBorders>
            <w:noWrap w:val="0"/>
            <w:vAlign w:val="center"/>
          </w:tcPr>
          <w:p w14:paraId="0FDFFC2D">
            <w:pPr>
              <w:pStyle w:val="434"/>
              <w:pageBreakBefore w:val="0"/>
              <w:wordWrap/>
              <w:bidi w:val="0"/>
              <w:adjustRightInd/>
              <w:snapToGrid/>
              <w:spacing w:line="240" w:lineRule="auto"/>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套</w:t>
            </w:r>
          </w:p>
        </w:tc>
        <w:tc>
          <w:tcPr>
            <w:tcW w:w="579" w:type="pct"/>
            <w:tcBorders>
              <w:tl2br w:val="nil"/>
              <w:tr2bl w:val="nil"/>
            </w:tcBorders>
            <w:noWrap w:val="0"/>
            <w:vAlign w:val="center"/>
          </w:tcPr>
          <w:p w14:paraId="30C6C04A">
            <w:pPr>
              <w:pStyle w:val="434"/>
              <w:pageBreakBefore w:val="0"/>
              <w:wordWrap/>
              <w:bidi w:val="0"/>
              <w:adjustRightInd/>
              <w:snapToGrid/>
              <w:spacing w:line="240" w:lineRule="auto"/>
              <w:ind w:firstLine="0" w:firstLineChars="0"/>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1</w:t>
            </w:r>
          </w:p>
        </w:tc>
        <w:tc>
          <w:tcPr>
            <w:tcW w:w="891" w:type="pct"/>
            <w:tcBorders>
              <w:tl2br w:val="nil"/>
              <w:tr2bl w:val="nil"/>
            </w:tcBorders>
            <w:noWrap w:val="0"/>
            <w:vAlign w:val="center"/>
          </w:tcPr>
          <w:p w14:paraId="78E55BF0">
            <w:pPr>
              <w:pStyle w:val="434"/>
              <w:pageBreakBefore w:val="0"/>
              <w:wordWrap/>
              <w:bidi w:val="0"/>
              <w:adjustRightInd/>
              <w:snapToGrid/>
              <w:spacing w:line="240" w:lineRule="auto"/>
              <w:ind w:firstLine="0" w:firstLineChars="0"/>
              <w:rPr>
                <w:rFonts w:hint="default" w:ascii="Times New Roman" w:hAnsi="Times New Roman" w:eastAsia="宋体" w:cs="Times New Roman"/>
                <w:color w:val="auto"/>
                <w:kern w:val="2"/>
                <w:sz w:val="21"/>
                <w:szCs w:val="21"/>
                <w:lang w:val="en-US" w:eastAsia="zh-CN" w:bidi="ar-SA"/>
              </w:rPr>
            </w:pPr>
          </w:p>
        </w:tc>
      </w:tr>
    </w:tbl>
    <w:p w14:paraId="1A1F53EB">
      <w:pPr>
        <w:pageBreakBefore w:val="0"/>
        <w:wordWrap/>
        <w:bidi w:val="0"/>
        <w:adjustRightInd/>
        <w:snapToGrid/>
        <w:rPr>
          <w:b/>
          <w:bCs/>
          <w:color w:val="auto"/>
        </w:rPr>
      </w:pPr>
      <w:r>
        <w:rPr>
          <w:rFonts w:hint="eastAsia"/>
          <w:b/>
          <w:bCs/>
          <w:color w:val="auto"/>
          <w:lang w:val="en-US" w:eastAsia="zh-CN"/>
        </w:rPr>
        <w:t>2、</w:t>
      </w:r>
      <w:r>
        <w:rPr>
          <w:b/>
          <w:bCs/>
          <w:color w:val="auto"/>
        </w:rPr>
        <w:t>主要设备清单</w:t>
      </w:r>
    </w:p>
    <w:p w14:paraId="462A07C6">
      <w:pPr>
        <w:pStyle w:val="19"/>
        <w:numPr>
          <w:ilvl w:val="0"/>
          <w:numId w:val="15"/>
        </w:numPr>
        <w:bidi w:val="0"/>
        <w:ind w:left="0" w:leftChars="0" w:firstLine="0" w:firstLineChars="0"/>
        <w:rPr>
          <w:color w:val="auto"/>
        </w:rPr>
      </w:pPr>
      <w:r>
        <w:rPr>
          <w:rFonts w:hint="eastAsia"/>
          <w:color w:val="auto"/>
          <w:lang w:val="en-US" w:eastAsia="zh-CN"/>
        </w:rPr>
        <w:t>污水处理厂</w:t>
      </w:r>
      <w:r>
        <w:rPr>
          <w:color w:val="auto"/>
        </w:rPr>
        <w:t>主要设备清单一览表</w:t>
      </w:r>
    </w:p>
    <w:tbl>
      <w:tblPr>
        <w:tblStyle w:val="706"/>
        <w:tblW w:w="4997"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7"/>
        <w:gridCol w:w="943"/>
        <w:gridCol w:w="20"/>
        <w:gridCol w:w="2333"/>
        <w:gridCol w:w="4275"/>
        <w:gridCol w:w="1710"/>
        <w:gridCol w:w="780"/>
        <w:gridCol w:w="682"/>
        <w:gridCol w:w="3159"/>
        <w:gridCol w:w="31"/>
      </w:tblGrid>
      <w:tr w14:paraId="2B1C7B9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1F303D16">
            <w:pPr>
              <w:pStyle w:val="16"/>
              <w:pageBreakBefore w:val="0"/>
              <w:wordWrap/>
              <w:bidi w:val="0"/>
              <w:adjustRightInd/>
              <w:snapToGrid/>
              <w:jc w:val="left"/>
              <w:rPr>
                <w:b/>
                <w:bCs/>
                <w:color w:val="auto"/>
              </w:rPr>
            </w:pPr>
            <w:r>
              <w:rPr>
                <w:rFonts w:hint="eastAsia"/>
                <w:b/>
                <w:bCs/>
                <w:color w:val="auto"/>
                <w:sz w:val="24"/>
                <w:szCs w:val="32"/>
                <w:lang w:val="en-US" w:eastAsia="zh-CN"/>
              </w:rPr>
              <w:t>一期工艺设备表</w:t>
            </w:r>
          </w:p>
        </w:tc>
      </w:tr>
      <w:tr w14:paraId="4846897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26E0A823">
            <w:pPr>
              <w:pStyle w:val="16"/>
              <w:pageBreakBefore w:val="0"/>
              <w:wordWrap/>
              <w:bidi w:val="0"/>
              <w:adjustRightInd/>
              <w:snapToGrid/>
              <w:jc w:val="left"/>
              <w:rPr>
                <w:color w:val="auto"/>
              </w:rPr>
            </w:pPr>
            <w:r>
              <w:rPr>
                <w:b/>
                <w:bCs/>
                <w:color w:val="auto"/>
              </w:rPr>
              <w:t>超细格栅主要设备一览表</w:t>
            </w:r>
          </w:p>
        </w:tc>
      </w:tr>
      <w:tr w14:paraId="13BD0D7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8900A2F">
            <w:pPr>
              <w:pStyle w:val="16"/>
              <w:pageBreakBefore w:val="0"/>
              <w:wordWrap/>
              <w:bidi w:val="0"/>
              <w:adjustRightInd/>
              <w:snapToGrid/>
              <w:rPr>
                <w:rFonts w:hint="eastAsia" w:eastAsia="宋体"/>
                <w:b/>
                <w:bCs/>
                <w:color w:val="auto"/>
                <w:lang w:val="en-US" w:eastAsia="zh-CN"/>
              </w:rPr>
            </w:pPr>
            <w:r>
              <w:rPr>
                <w:rFonts w:hint="eastAsia"/>
                <w:b/>
                <w:bCs/>
                <w:color w:val="auto"/>
                <w:lang w:val="en-US" w:eastAsia="zh-CN"/>
              </w:rPr>
              <w:t>序号</w:t>
            </w:r>
          </w:p>
        </w:tc>
        <w:tc>
          <w:tcPr>
            <w:tcW w:w="843" w:type="pct"/>
            <w:gridSpan w:val="2"/>
            <w:tcBorders>
              <w:tl2br w:val="nil"/>
              <w:tr2bl w:val="nil"/>
            </w:tcBorders>
            <w:noWrap w:val="0"/>
            <w:vAlign w:val="center"/>
          </w:tcPr>
          <w:p w14:paraId="755C2ECB">
            <w:pPr>
              <w:pStyle w:val="16"/>
              <w:pageBreakBefore w:val="0"/>
              <w:wordWrap/>
              <w:bidi w:val="0"/>
              <w:adjustRightInd/>
              <w:snapToGrid/>
              <w:rPr>
                <w:b/>
                <w:bCs/>
                <w:color w:val="auto"/>
              </w:rPr>
            </w:pPr>
            <w:r>
              <w:rPr>
                <w:b/>
                <w:bCs/>
                <w:color w:val="auto"/>
              </w:rPr>
              <w:t>设备名称</w:t>
            </w:r>
          </w:p>
        </w:tc>
        <w:tc>
          <w:tcPr>
            <w:tcW w:w="1532" w:type="pct"/>
            <w:tcBorders>
              <w:tl2br w:val="nil"/>
              <w:tr2bl w:val="nil"/>
            </w:tcBorders>
            <w:noWrap w:val="0"/>
            <w:vAlign w:val="center"/>
          </w:tcPr>
          <w:p w14:paraId="65742FD3">
            <w:pPr>
              <w:pStyle w:val="16"/>
              <w:pageBreakBefore w:val="0"/>
              <w:wordWrap/>
              <w:bidi w:val="0"/>
              <w:adjustRightInd/>
              <w:snapToGrid/>
              <w:rPr>
                <w:b/>
                <w:bCs/>
                <w:color w:val="auto"/>
              </w:rPr>
            </w:pPr>
            <w:r>
              <w:rPr>
                <w:b/>
                <w:bCs/>
                <w:color w:val="auto"/>
              </w:rPr>
              <w:t>规格型号及技术参数</w:t>
            </w:r>
          </w:p>
        </w:tc>
        <w:tc>
          <w:tcPr>
            <w:tcW w:w="612" w:type="pct"/>
            <w:tcBorders>
              <w:tl2br w:val="nil"/>
              <w:tr2bl w:val="nil"/>
            </w:tcBorders>
            <w:noWrap w:val="0"/>
            <w:vAlign w:val="center"/>
          </w:tcPr>
          <w:p w14:paraId="1EA20C84">
            <w:pPr>
              <w:pStyle w:val="16"/>
              <w:pageBreakBefore w:val="0"/>
              <w:wordWrap/>
              <w:bidi w:val="0"/>
              <w:adjustRightInd/>
              <w:snapToGrid/>
              <w:rPr>
                <w:b/>
                <w:bCs/>
                <w:color w:val="auto"/>
              </w:rPr>
            </w:pPr>
            <w:r>
              <w:rPr>
                <w:b/>
                <w:bCs/>
                <w:color w:val="auto"/>
              </w:rPr>
              <w:t>材质</w:t>
            </w:r>
          </w:p>
        </w:tc>
        <w:tc>
          <w:tcPr>
            <w:tcW w:w="279" w:type="pct"/>
            <w:tcBorders>
              <w:tl2br w:val="nil"/>
              <w:tr2bl w:val="nil"/>
            </w:tcBorders>
            <w:noWrap w:val="0"/>
            <w:vAlign w:val="center"/>
          </w:tcPr>
          <w:p w14:paraId="128270D8">
            <w:pPr>
              <w:pStyle w:val="16"/>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195A1C34">
            <w:pPr>
              <w:pStyle w:val="16"/>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4CBF1231">
            <w:pPr>
              <w:pStyle w:val="16"/>
              <w:pageBreakBefore w:val="0"/>
              <w:wordWrap/>
              <w:bidi w:val="0"/>
              <w:adjustRightInd/>
              <w:snapToGrid/>
              <w:rPr>
                <w:b/>
                <w:bCs/>
                <w:color w:val="auto"/>
              </w:rPr>
            </w:pPr>
            <w:r>
              <w:rPr>
                <w:b/>
                <w:bCs/>
                <w:color w:val="auto"/>
              </w:rPr>
              <w:t>备注</w:t>
            </w:r>
          </w:p>
        </w:tc>
      </w:tr>
      <w:tr w14:paraId="25D21FE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A893575">
            <w:pPr>
              <w:pStyle w:val="16"/>
              <w:pageBreakBefore w:val="0"/>
              <w:wordWrap/>
              <w:bidi w:val="0"/>
              <w:adjustRightInd/>
              <w:snapToGrid/>
              <w:rPr>
                <w:rFonts w:hint="eastAsia" w:eastAsia="宋体"/>
                <w:color w:val="auto"/>
                <w:lang w:val="en-US" w:eastAsia="zh-CN"/>
              </w:rPr>
            </w:pPr>
            <w:r>
              <w:rPr>
                <w:rFonts w:hint="eastAsia"/>
                <w:color w:val="auto"/>
                <w:lang w:val="en-US" w:eastAsia="zh-CN"/>
              </w:rPr>
              <w:t>1</w:t>
            </w:r>
          </w:p>
        </w:tc>
        <w:tc>
          <w:tcPr>
            <w:tcW w:w="843" w:type="pct"/>
            <w:gridSpan w:val="2"/>
            <w:tcBorders>
              <w:tl2br w:val="nil"/>
              <w:tr2bl w:val="nil"/>
            </w:tcBorders>
            <w:noWrap w:val="0"/>
            <w:vAlign w:val="center"/>
          </w:tcPr>
          <w:p w14:paraId="28C9F0B8">
            <w:pPr>
              <w:pStyle w:val="16"/>
              <w:pageBreakBefore w:val="0"/>
              <w:wordWrap/>
              <w:bidi w:val="0"/>
              <w:adjustRightInd/>
              <w:snapToGrid/>
              <w:rPr>
                <w:color w:val="auto"/>
              </w:rPr>
            </w:pPr>
            <w:r>
              <w:rPr>
                <w:color w:val="auto"/>
              </w:rPr>
              <w:t>内进流非金属孔板格栅</w:t>
            </w:r>
          </w:p>
        </w:tc>
        <w:tc>
          <w:tcPr>
            <w:tcW w:w="1532" w:type="pct"/>
            <w:tcBorders>
              <w:tl2br w:val="nil"/>
              <w:tr2bl w:val="nil"/>
            </w:tcBorders>
            <w:noWrap w:val="0"/>
            <w:vAlign w:val="center"/>
          </w:tcPr>
          <w:p w14:paraId="741178AF">
            <w:pPr>
              <w:pStyle w:val="16"/>
              <w:pageBreakBefore w:val="0"/>
              <w:wordWrap/>
              <w:bidi w:val="0"/>
              <w:adjustRightInd/>
              <w:snapToGrid/>
              <w:rPr>
                <w:color w:val="auto"/>
              </w:rPr>
            </w:pPr>
            <w:r>
              <w:rPr>
                <w:color w:val="auto"/>
              </w:rPr>
              <w:t>进水口</w:t>
            </w:r>
            <w:r>
              <w:rPr>
                <w:rFonts w:hint="eastAsia"/>
                <w:color w:val="auto"/>
                <w:lang w:eastAsia="zh-CN"/>
              </w:rPr>
              <w:t>宽度</w:t>
            </w:r>
            <w:r>
              <w:rPr>
                <w:color w:val="auto"/>
              </w:rPr>
              <w:t>480mm</w:t>
            </w:r>
            <w:r>
              <w:rPr>
                <w:rFonts w:hint="eastAsia"/>
                <w:color w:val="auto"/>
                <w:lang w:eastAsia="zh-CN"/>
              </w:rPr>
              <w:t>，</w:t>
            </w:r>
            <w:r>
              <w:rPr>
                <w:color w:val="auto"/>
              </w:rPr>
              <w:t>网板</w:t>
            </w:r>
            <w:r>
              <w:rPr>
                <w:rFonts w:hint="eastAsia"/>
                <w:color w:val="auto"/>
                <w:lang w:eastAsia="zh-CN"/>
              </w:rPr>
              <w:t>宽度</w:t>
            </w:r>
            <w:r>
              <w:rPr>
                <w:color w:val="auto"/>
              </w:rPr>
              <w:t>1200mm</w:t>
            </w:r>
            <w:r>
              <w:rPr>
                <w:rFonts w:hint="eastAsia"/>
                <w:color w:val="auto"/>
                <w:lang w:eastAsia="zh-CN"/>
              </w:rPr>
              <w:t>，</w:t>
            </w:r>
            <w:r>
              <w:rPr>
                <w:color w:val="auto"/>
              </w:rPr>
              <w:t>渠宽1300mm</w:t>
            </w:r>
            <w:r>
              <w:rPr>
                <w:rFonts w:hint="eastAsia"/>
                <w:color w:val="auto"/>
                <w:lang w:eastAsia="zh-CN"/>
              </w:rPr>
              <w:t>，</w:t>
            </w:r>
            <w:r>
              <w:rPr>
                <w:color w:val="auto"/>
              </w:rPr>
              <w:t>过滤精度</w:t>
            </w:r>
            <w:r>
              <w:rPr>
                <w:rFonts w:hint="eastAsia"/>
                <w:color w:val="auto"/>
                <w:lang w:eastAsia="zh-CN"/>
              </w:rPr>
              <w:t>1</w:t>
            </w:r>
            <w:r>
              <w:rPr>
                <w:color w:val="auto"/>
              </w:rPr>
              <w:t>.0mm</w:t>
            </w:r>
            <w:r>
              <w:rPr>
                <w:rFonts w:hint="eastAsia"/>
                <w:color w:val="auto"/>
                <w:lang w:eastAsia="zh-CN"/>
              </w:rPr>
              <w:t>，</w:t>
            </w:r>
            <w:r>
              <w:rPr>
                <w:color w:val="auto"/>
              </w:rPr>
              <w:t>电机功</w:t>
            </w:r>
            <w:r>
              <w:rPr>
                <w:rFonts w:hint="eastAsia"/>
                <w:color w:val="auto"/>
                <w:lang w:eastAsia="zh-CN"/>
              </w:rPr>
              <w:t>率1</w:t>
            </w:r>
            <w:r>
              <w:rPr>
                <w:color w:val="auto"/>
              </w:rPr>
              <w:t>.5kW</w:t>
            </w:r>
          </w:p>
        </w:tc>
        <w:tc>
          <w:tcPr>
            <w:tcW w:w="612" w:type="pct"/>
            <w:tcBorders>
              <w:tl2br w:val="nil"/>
              <w:tr2bl w:val="nil"/>
            </w:tcBorders>
            <w:noWrap w:val="0"/>
            <w:vAlign w:val="center"/>
          </w:tcPr>
          <w:p w14:paraId="04FCB064">
            <w:pPr>
              <w:pStyle w:val="16"/>
              <w:pageBreakBefore w:val="0"/>
              <w:wordWrap/>
              <w:bidi w:val="0"/>
              <w:adjustRightInd/>
              <w:snapToGrid/>
              <w:rPr>
                <w:rFonts w:hint="eastAsia" w:eastAsia="宋体"/>
                <w:color w:val="auto"/>
                <w:lang w:eastAsia="zh-CN"/>
              </w:rPr>
            </w:pPr>
            <w:r>
              <w:rPr>
                <w:rFonts w:hint="eastAsia"/>
                <w:color w:val="auto"/>
                <w:lang w:eastAsia="zh-CN"/>
              </w:rPr>
              <w:t>主体304不锈钢</w:t>
            </w:r>
          </w:p>
        </w:tc>
        <w:tc>
          <w:tcPr>
            <w:tcW w:w="279" w:type="pct"/>
            <w:tcBorders>
              <w:tl2br w:val="nil"/>
              <w:tr2bl w:val="nil"/>
            </w:tcBorders>
            <w:noWrap w:val="0"/>
            <w:vAlign w:val="center"/>
          </w:tcPr>
          <w:p w14:paraId="3EAE37A6">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B3923B9">
            <w:pPr>
              <w:pStyle w:val="16"/>
              <w:pageBreakBefore w:val="0"/>
              <w:wordWrap/>
              <w:bidi w:val="0"/>
              <w:adjustRightInd/>
              <w:snapToGrid/>
              <w:rPr>
                <w:color w:val="auto"/>
              </w:rPr>
            </w:pPr>
            <w:r>
              <w:rPr>
                <w:color w:val="auto"/>
              </w:rPr>
              <w:t>2</w:t>
            </w:r>
          </w:p>
        </w:tc>
        <w:tc>
          <w:tcPr>
            <w:tcW w:w="1132" w:type="pct"/>
            <w:vMerge w:val="restart"/>
            <w:tcBorders>
              <w:tl2br w:val="nil"/>
              <w:tr2bl w:val="nil"/>
            </w:tcBorders>
            <w:noWrap w:val="0"/>
            <w:vAlign w:val="center"/>
          </w:tcPr>
          <w:p w14:paraId="30502FF3">
            <w:pPr>
              <w:pStyle w:val="16"/>
              <w:pageBreakBefore w:val="0"/>
              <w:wordWrap/>
              <w:bidi w:val="0"/>
              <w:adjustRightInd/>
              <w:snapToGrid/>
              <w:rPr>
                <w:color w:val="auto"/>
              </w:rPr>
            </w:pPr>
            <w:r>
              <w:rPr>
                <w:color w:val="auto"/>
              </w:rPr>
              <w:t>与格栅机成套供应</w:t>
            </w:r>
            <w:r>
              <w:rPr>
                <w:rFonts w:hint="eastAsia"/>
                <w:color w:val="auto"/>
                <w:lang w:eastAsia="zh-CN"/>
              </w:rPr>
              <w:t>，</w:t>
            </w:r>
            <w:r>
              <w:rPr>
                <w:color w:val="auto"/>
              </w:rPr>
              <w:t>高压冲洗水泵配套篮式过滤器</w:t>
            </w:r>
            <w:r>
              <w:rPr>
                <w:rFonts w:hint="eastAsia"/>
                <w:color w:val="auto"/>
                <w:lang w:eastAsia="zh-CN"/>
              </w:rPr>
              <w:t>、</w:t>
            </w:r>
            <w:r>
              <w:rPr>
                <w:color w:val="auto"/>
              </w:rPr>
              <w:t>手动蝶阀</w:t>
            </w:r>
            <w:r>
              <w:rPr>
                <w:rFonts w:hint="eastAsia"/>
                <w:color w:val="auto"/>
                <w:lang w:eastAsia="zh-CN"/>
              </w:rPr>
              <w:t>、</w:t>
            </w:r>
            <w:r>
              <w:rPr>
                <w:color w:val="auto"/>
              </w:rPr>
              <w:t>止回阀、管件等</w:t>
            </w:r>
            <w:r>
              <w:rPr>
                <w:rFonts w:hint="eastAsia"/>
                <w:color w:val="auto"/>
                <w:lang w:eastAsia="zh-CN"/>
              </w:rPr>
              <w:t>，</w:t>
            </w:r>
            <w:r>
              <w:rPr>
                <w:color w:val="auto"/>
              </w:rPr>
              <w:t>水箱配套遥控液位阀</w:t>
            </w:r>
            <w:r>
              <w:rPr>
                <w:rFonts w:hint="eastAsia"/>
                <w:color w:val="auto"/>
                <w:lang w:eastAsia="zh-CN"/>
              </w:rPr>
              <w:t>、</w:t>
            </w:r>
            <w:r>
              <w:rPr>
                <w:color w:val="auto"/>
              </w:rPr>
              <w:t>手动蝶阀、管件等附件</w:t>
            </w:r>
          </w:p>
        </w:tc>
      </w:tr>
      <w:tr w14:paraId="0307BE9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FA627F7">
            <w:pPr>
              <w:pStyle w:val="16"/>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318673AA">
            <w:pPr>
              <w:pStyle w:val="16"/>
              <w:pageBreakBefore w:val="0"/>
              <w:wordWrap/>
              <w:bidi w:val="0"/>
              <w:adjustRightInd/>
              <w:snapToGrid/>
              <w:rPr>
                <w:color w:val="auto"/>
              </w:rPr>
            </w:pPr>
            <w:r>
              <w:rPr>
                <w:color w:val="auto"/>
              </w:rPr>
              <w:t>溜槽</w:t>
            </w:r>
          </w:p>
        </w:tc>
        <w:tc>
          <w:tcPr>
            <w:tcW w:w="1532" w:type="pct"/>
            <w:tcBorders>
              <w:tl2br w:val="nil"/>
              <w:tr2bl w:val="nil"/>
            </w:tcBorders>
            <w:noWrap w:val="0"/>
            <w:vAlign w:val="center"/>
          </w:tcPr>
          <w:p w14:paraId="78BBC81B">
            <w:pPr>
              <w:pStyle w:val="16"/>
              <w:pageBreakBefore w:val="0"/>
              <w:wordWrap/>
              <w:bidi w:val="0"/>
              <w:adjustRightInd/>
              <w:snapToGrid/>
              <w:rPr>
                <w:color w:val="auto"/>
              </w:rPr>
            </w:pPr>
            <w:r>
              <w:rPr>
                <w:color w:val="auto"/>
              </w:rPr>
              <w:t>输送槽</w:t>
            </w:r>
            <w:r>
              <w:rPr>
                <w:rFonts w:hint="eastAsia"/>
                <w:color w:val="auto"/>
                <w:lang w:eastAsia="zh-CN"/>
              </w:rPr>
              <w:t>宽度</w:t>
            </w:r>
            <w:r>
              <w:rPr>
                <w:color w:val="auto"/>
              </w:rPr>
              <w:t>300mm</w:t>
            </w:r>
            <w:r>
              <w:rPr>
                <w:rFonts w:hint="eastAsia"/>
                <w:color w:val="auto"/>
                <w:lang w:eastAsia="zh-CN"/>
              </w:rPr>
              <w:t>，</w:t>
            </w:r>
            <w:r>
              <w:rPr>
                <w:color w:val="auto"/>
              </w:rPr>
              <w:t>厚</w:t>
            </w:r>
            <w:r>
              <w:rPr>
                <w:rFonts w:hint="eastAsia"/>
                <w:color w:val="auto"/>
                <w:lang w:eastAsia="zh-CN"/>
              </w:rPr>
              <w:t>度</w:t>
            </w:r>
            <w:r>
              <w:rPr>
                <w:color w:val="auto"/>
              </w:rPr>
              <w:t>2mm</w:t>
            </w:r>
            <w:r>
              <w:rPr>
                <w:rFonts w:hint="eastAsia"/>
                <w:color w:val="auto"/>
                <w:lang w:eastAsia="zh-CN"/>
              </w:rPr>
              <w:t>，</w:t>
            </w:r>
            <w:r>
              <w:rPr>
                <w:color w:val="auto"/>
              </w:rPr>
              <w:t>两台格栅合用</w:t>
            </w:r>
            <w:r>
              <w:rPr>
                <w:rFonts w:hint="eastAsia"/>
                <w:color w:val="auto"/>
                <w:lang w:eastAsia="zh-CN"/>
              </w:rPr>
              <w:t>，</w:t>
            </w:r>
            <w:r>
              <w:rPr>
                <w:color w:val="auto"/>
              </w:rPr>
              <w:t>L=6000mm</w:t>
            </w:r>
          </w:p>
        </w:tc>
        <w:tc>
          <w:tcPr>
            <w:tcW w:w="612" w:type="pct"/>
            <w:tcBorders>
              <w:tl2br w:val="nil"/>
              <w:tr2bl w:val="nil"/>
            </w:tcBorders>
            <w:noWrap w:val="0"/>
            <w:vAlign w:val="center"/>
          </w:tcPr>
          <w:p w14:paraId="06CCF10F">
            <w:pPr>
              <w:pStyle w:val="16"/>
              <w:pageBreakBefore w:val="0"/>
              <w:wordWrap/>
              <w:bidi w:val="0"/>
              <w:adjustRightInd/>
              <w:snapToGrid/>
              <w:rPr>
                <w:rFonts w:hint="eastAsia" w:eastAsia="宋体"/>
                <w:color w:val="auto"/>
                <w:lang w:eastAsia="zh-CN"/>
              </w:rPr>
            </w:pPr>
            <w:r>
              <w:rPr>
                <w:rFonts w:hint="eastAsia"/>
                <w:color w:val="auto"/>
                <w:lang w:eastAsia="zh-CN"/>
              </w:rPr>
              <w:t>主体304不锈钢</w:t>
            </w:r>
          </w:p>
        </w:tc>
        <w:tc>
          <w:tcPr>
            <w:tcW w:w="279" w:type="pct"/>
            <w:tcBorders>
              <w:tl2br w:val="nil"/>
              <w:tr2bl w:val="nil"/>
            </w:tcBorders>
            <w:noWrap w:val="0"/>
            <w:vAlign w:val="center"/>
          </w:tcPr>
          <w:p w14:paraId="2C1FD6AA">
            <w:pPr>
              <w:pStyle w:val="16"/>
              <w:pageBreakBefore w:val="0"/>
              <w:wordWrap/>
              <w:bidi w:val="0"/>
              <w:adjustRightInd/>
              <w:snapToGrid/>
              <w:rPr>
                <w:color w:val="auto"/>
              </w:rPr>
            </w:pPr>
            <w:r>
              <w:rPr>
                <w:color w:val="auto"/>
              </w:rPr>
              <w:t>件</w:t>
            </w:r>
          </w:p>
        </w:tc>
        <w:tc>
          <w:tcPr>
            <w:tcW w:w="244" w:type="pct"/>
            <w:tcBorders>
              <w:tl2br w:val="nil"/>
              <w:tr2bl w:val="nil"/>
            </w:tcBorders>
            <w:noWrap w:val="0"/>
            <w:vAlign w:val="center"/>
          </w:tcPr>
          <w:p w14:paraId="0BEAD7C2">
            <w:pPr>
              <w:pStyle w:val="16"/>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639D9A4C">
            <w:pPr>
              <w:pStyle w:val="16"/>
              <w:pageBreakBefore w:val="0"/>
              <w:wordWrap/>
              <w:bidi w:val="0"/>
              <w:adjustRightInd/>
              <w:snapToGrid/>
              <w:rPr>
                <w:color w:val="auto"/>
              </w:rPr>
            </w:pPr>
          </w:p>
        </w:tc>
      </w:tr>
      <w:tr w14:paraId="290A225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C2D6A68">
            <w:pPr>
              <w:pStyle w:val="16"/>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0D28B16D">
            <w:pPr>
              <w:pStyle w:val="16"/>
              <w:pageBreakBefore w:val="0"/>
              <w:wordWrap/>
              <w:bidi w:val="0"/>
              <w:adjustRightInd/>
              <w:snapToGrid/>
              <w:rPr>
                <w:color w:val="auto"/>
              </w:rPr>
            </w:pPr>
            <w:r>
              <w:rPr>
                <w:color w:val="auto"/>
              </w:rPr>
              <w:t>落渣管</w:t>
            </w:r>
          </w:p>
        </w:tc>
        <w:tc>
          <w:tcPr>
            <w:tcW w:w="1532" w:type="pct"/>
            <w:tcBorders>
              <w:tl2br w:val="nil"/>
              <w:tr2bl w:val="nil"/>
            </w:tcBorders>
            <w:noWrap w:val="0"/>
            <w:vAlign w:val="center"/>
          </w:tcPr>
          <w:p w14:paraId="0C2BF1B6">
            <w:pPr>
              <w:pStyle w:val="16"/>
              <w:pageBreakBefore w:val="0"/>
              <w:wordWrap/>
              <w:bidi w:val="0"/>
              <w:adjustRightInd/>
              <w:snapToGrid/>
              <w:rPr>
                <w:color w:val="auto"/>
              </w:rPr>
            </w:pPr>
            <w:r>
              <w:rPr>
                <w:rFonts w:hint="eastAsia"/>
                <w:color w:val="auto"/>
                <w:lang w:eastAsia="zh-CN"/>
              </w:rPr>
              <w:t>宽度</w:t>
            </w:r>
            <w:r>
              <w:rPr>
                <w:color w:val="auto"/>
              </w:rPr>
              <w:t>300mm</w:t>
            </w:r>
            <w:r>
              <w:rPr>
                <w:rFonts w:hint="eastAsia"/>
                <w:color w:val="auto"/>
                <w:lang w:eastAsia="zh-CN"/>
              </w:rPr>
              <w:t>，</w:t>
            </w:r>
            <w:r>
              <w:rPr>
                <w:color w:val="auto"/>
              </w:rPr>
              <w:t>L=2000mm</w:t>
            </w:r>
          </w:p>
        </w:tc>
        <w:tc>
          <w:tcPr>
            <w:tcW w:w="612" w:type="pct"/>
            <w:tcBorders>
              <w:tl2br w:val="nil"/>
              <w:tr2bl w:val="nil"/>
            </w:tcBorders>
            <w:noWrap w:val="0"/>
            <w:vAlign w:val="center"/>
          </w:tcPr>
          <w:p w14:paraId="7D1CF4E6">
            <w:pPr>
              <w:pStyle w:val="16"/>
              <w:pageBreakBefore w:val="0"/>
              <w:wordWrap/>
              <w:bidi w:val="0"/>
              <w:adjustRightInd/>
              <w:snapToGrid/>
              <w:rPr>
                <w:rFonts w:hint="eastAsia" w:eastAsia="宋体"/>
                <w:color w:val="auto"/>
                <w:lang w:eastAsia="zh-CN"/>
              </w:rPr>
            </w:pPr>
            <w:r>
              <w:rPr>
                <w:rFonts w:hint="eastAsia"/>
                <w:color w:val="auto"/>
                <w:lang w:eastAsia="zh-CN"/>
              </w:rPr>
              <w:t>主体304不锈钢</w:t>
            </w:r>
          </w:p>
        </w:tc>
        <w:tc>
          <w:tcPr>
            <w:tcW w:w="279" w:type="pct"/>
            <w:tcBorders>
              <w:tl2br w:val="nil"/>
              <w:tr2bl w:val="nil"/>
            </w:tcBorders>
            <w:noWrap w:val="0"/>
            <w:vAlign w:val="center"/>
          </w:tcPr>
          <w:p w14:paraId="19AB87F0">
            <w:pPr>
              <w:pStyle w:val="16"/>
              <w:pageBreakBefore w:val="0"/>
              <w:wordWrap/>
              <w:bidi w:val="0"/>
              <w:adjustRightInd/>
              <w:snapToGrid/>
              <w:rPr>
                <w:color w:val="auto"/>
              </w:rPr>
            </w:pPr>
            <w:r>
              <w:rPr>
                <w:color w:val="auto"/>
              </w:rPr>
              <w:t>件</w:t>
            </w:r>
          </w:p>
        </w:tc>
        <w:tc>
          <w:tcPr>
            <w:tcW w:w="244" w:type="pct"/>
            <w:tcBorders>
              <w:tl2br w:val="nil"/>
              <w:tr2bl w:val="nil"/>
            </w:tcBorders>
            <w:noWrap w:val="0"/>
            <w:vAlign w:val="center"/>
          </w:tcPr>
          <w:p w14:paraId="7AC7D3EF">
            <w:pPr>
              <w:pStyle w:val="16"/>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0E1EAD7A">
            <w:pPr>
              <w:pStyle w:val="16"/>
              <w:pageBreakBefore w:val="0"/>
              <w:wordWrap/>
              <w:bidi w:val="0"/>
              <w:adjustRightInd/>
              <w:snapToGrid/>
              <w:rPr>
                <w:color w:val="auto"/>
              </w:rPr>
            </w:pPr>
          </w:p>
        </w:tc>
      </w:tr>
      <w:tr w14:paraId="5C32D68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3104C47">
            <w:pPr>
              <w:pStyle w:val="16"/>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1B1AC283">
            <w:pPr>
              <w:pStyle w:val="16"/>
              <w:pageBreakBefore w:val="0"/>
              <w:wordWrap/>
              <w:bidi w:val="0"/>
              <w:adjustRightInd/>
              <w:snapToGrid/>
              <w:rPr>
                <w:color w:val="auto"/>
              </w:rPr>
            </w:pPr>
            <w:r>
              <w:rPr>
                <w:color w:val="auto"/>
              </w:rPr>
              <w:t>螺旋压榨机</w:t>
            </w:r>
          </w:p>
        </w:tc>
        <w:tc>
          <w:tcPr>
            <w:tcW w:w="1532" w:type="pct"/>
            <w:tcBorders>
              <w:tl2br w:val="nil"/>
              <w:tr2bl w:val="nil"/>
            </w:tcBorders>
            <w:noWrap w:val="0"/>
            <w:vAlign w:val="center"/>
          </w:tcPr>
          <w:p w14:paraId="44CD6066">
            <w:pPr>
              <w:pStyle w:val="16"/>
              <w:pageBreakBefore w:val="0"/>
              <w:wordWrap/>
              <w:bidi w:val="0"/>
              <w:adjustRightInd/>
              <w:snapToGrid/>
              <w:rPr>
                <w:color w:val="auto"/>
              </w:rPr>
            </w:pPr>
            <w:r>
              <w:rPr>
                <w:color w:val="auto"/>
              </w:rPr>
              <w:t>型号</w:t>
            </w:r>
            <w:r>
              <w:rPr>
                <w:rFonts w:hint="eastAsia"/>
                <w:color w:val="auto"/>
                <w:lang w:eastAsia="zh-CN"/>
              </w:rPr>
              <w:t>：</w:t>
            </w:r>
            <w:r>
              <w:rPr>
                <w:color w:val="auto"/>
              </w:rPr>
              <w:t>LYZ300/05</w:t>
            </w:r>
            <w:r>
              <w:rPr>
                <w:rFonts w:hint="eastAsia"/>
                <w:color w:val="auto"/>
                <w:lang w:eastAsia="zh-CN"/>
              </w:rPr>
              <w:t>，</w:t>
            </w:r>
            <w:r>
              <w:rPr>
                <w:color w:val="auto"/>
              </w:rPr>
              <w:t>功</w:t>
            </w:r>
            <w:r>
              <w:rPr>
                <w:rFonts w:hint="eastAsia"/>
                <w:color w:val="auto"/>
                <w:lang w:eastAsia="zh-CN"/>
              </w:rPr>
              <w:t>率</w:t>
            </w:r>
            <w:r>
              <w:rPr>
                <w:color w:val="auto"/>
              </w:rPr>
              <w:t>2.2kW</w:t>
            </w:r>
            <w:r>
              <w:rPr>
                <w:rFonts w:hint="eastAsia"/>
                <w:color w:val="auto"/>
                <w:lang w:eastAsia="zh-CN"/>
              </w:rPr>
              <w:t>，</w:t>
            </w:r>
            <w:r>
              <w:rPr>
                <w:color w:val="auto"/>
              </w:rPr>
              <w:t>处理渣水量</w:t>
            </w:r>
            <w:r>
              <w:rPr>
                <w:rFonts w:hint="eastAsia"/>
                <w:color w:val="auto"/>
                <w:lang w:eastAsia="zh-CN"/>
              </w:rPr>
              <w:t>：</w:t>
            </w:r>
            <w:r>
              <w:rPr>
                <w:color w:val="auto"/>
              </w:rPr>
              <w:t>20</w:t>
            </w:r>
            <w:r>
              <w:rPr>
                <w:rFonts w:hint="eastAsia"/>
                <w:color w:val="auto"/>
                <w:lang w:eastAsia="zh-CN"/>
              </w:rPr>
              <w:t>m³</w:t>
            </w:r>
            <w:r>
              <w:rPr>
                <w:color w:val="auto"/>
              </w:rPr>
              <w:t>/h</w:t>
            </w:r>
          </w:p>
        </w:tc>
        <w:tc>
          <w:tcPr>
            <w:tcW w:w="612" w:type="pct"/>
            <w:tcBorders>
              <w:tl2br w:val="nil"/>
              <w:tr2bl w:val="nil"/>
            </w:tcBorders>
            <w:noWrap w:val="0"/>
            <w:vAlign w:val="center"/>
          </w:tcPr>
          <w:p w14:paraId="40CFFB5B">
            <w:pPr>
              <w:pStyle w:val="16"/>
              <w:pageBreakBefore w:val="0"/>
              <w:wordWrap/>
              <w:bidi w:val="0"/>
              <w:adjustRightInd/>
              <w:snapToGrid/>
              <w:rPr>
                <w:color w:val="auto"/>
              </w:rPr>
            </w:pPr>
            <w:r>
              <w:rPr>
                <w:color w:val="auto"/>
              </w:rPr>
              <w:t>304</w:t>
            </w:r>
            <w:r>
              <w:rPr>
                <w:rFonts w:hint="eastAsia"/>
                <w:color w:val="auto"/>
                <w:lang w:eastAsia="zh-CN"/>
              </w:rPr>
              <w:t>不</w:t>
            </w:r>
            <w:r>
              <w:rPr>
                <w:color w:val="auto"/>
              </w:rPr>
              <w:t>锈钢</w:t>
            </w:r>
          </w:p>
        </w:tc>
        <w:tc>
          <w:tcPr>
            <w:tcW w:w="279" w:type="pct"/>
            <w:tcBorders>
              <w:tl2br w:val="nil"/>
              <w:tr2bl w:val="nil"/>
            </w:tcBorders>
            <w:noWrap w:val="0"/>
            <w:vAlign w:val="center"/>
          </w:tcPr>
          <w:p w14:paraId="0F0BAB06">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8B95627">
            <w:pPr>
              <w:pStyle w:val="16"/>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1E73B76D">
            <w:pPr>
              <w:pStyle w:val="16"/>
              <w:pageBreakBefore w:val="0"/>
              <w:wordWrap/>
              <w:bidi w:val="0"/>
              <w:adjustRightInd/>
              <w:snapToGrid/>
              <w:rPr>
                <w:color w:val="auto"/>
              </w:rPr>
            </w:pPr>
          </w:p>
        </w:tc>
      </w:tr>
      <w:tr w14:paraId="116CBBE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D5F1FBA">
            <w:pPr>
              <w:pStyle w:val="16"/>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50F447D3">
            <w:pPr>
              <w:pStyle w:val="16"/>
              <w:pageBreakBefore w:val="0"/>
              <w:wordWrap/>
              <w:bidi w:val="0"/>
              <w:adjustRightInd/>
              <w:snapToGrid/>
              <w:rPr>
                <w:color w:val="auto"/>
              </w:rPr>
            </w:pPr>
            <w:r>
              <w:rPr>
                <w:color w:val="auto"/>
              </w:rPr>
              <w:t>高压冲洗水泵</w:t>
            </w:r>
          </w:p>
        </w:tc>
        <w:tc>
          <w:tcPr>
            <w:tcW w:w="1532" w:type="pct"/>
            <w:tcBorders>
              <w:tl2br w:val="nil"/>
              <w:tr2bl w:val="nil"/>
            </w:tcBorders>
            <w:noWrap w:val="0"/>
            <w:vAlign w:val="center"/>
          </w:tcPr>
          <w:p w14:paraId="1C132B7D">
            <w:pPr>
              <w:pStyle w:val="16"/>
              <w:pageBreakBefore w:val="0"/>
              <w:wordWrap/>
              <w:bidi w:val="0"/>
              <w:adjustRightInd/>
              <w:snapToGrid/>
              <w:rPr>
                <w:color w:val="auto"/>
              </w:rPr>
            </w:pPr>
            <w:r>
              <w:rPr>
                <w:color w:val="auto"/>
              </w:rPr>
              <w:t>Q=10</w:t>
            </w:r>
            <w:r>
              <w:rPr>
                <w:rFonts w:hint="eastAsia"/>
                <w:color w:val="auto"/>
                <w:lang w:eastAsia="zh-CN"/>
              </w:rPr>
              <w:t>m³</w:t>
            </w:r>
            <w:r>
              <w:rPr>
                <w:color w:val="auto"/>
              </w:rPr>
              <w:t>/h</w:t>
            </w:r>
            <w:r>
              <w:rPr>
                <w:rFonts w:hint="eastAsia"/>
                <w:color w:val="auto"/>
                <w:lang w:eastAsia="zh-CN"/>
              </w:rPr>
              <w:t>，</w:t>
            </w:r>
            <w:r>
              <w:rPr>
                <w:color w:val="auto"/>
              </w:rPr>
              <w:t>H=90m</w:t>
            </w:r>
            <w:r>
              <w:rPr>
                <w:rFonts w:hint="eastAsia"/>
                <w:color w:val="auto"/>
                <w:lang w:eastAsia="zh-CN"/>
              </w:rPr>
              <w:t>，</w:t>
            </w:r>
            <w:r>
              <w:rPr>
                <w:color w:val="auto"/>
              </w:rPr>
              <w:t>N=4kW</w:t>
            </w:r>
          </w:p>
        </w:tc>
        <w:tc>
          <w:tcPr>
            <w:tcW w:w="612" w:type="pct"/>
            <w:tcBorders>
              <w:tl2br w:val="nil"/>
              <w:tr2bl w:val="nil"/>
            </w:tcBorders>
            <w:noWrap w:val="0"/>
            <w:vAlign w:val="center"/>
          </w:tcPr>
          <w:p w14:paraId="2148DC41">
            <w:pPr>
              <w:pStyle w:val="16"/>
              <w:pageBreakBefore w:val="0"/>
              <w:wordWrap/>
              <w:bidi w:val="0"/>
              <w:adjustRightInd/>
              <w:snapToGrid/>
              <w:rPr>
                <w:color w:val="auto"/>
              </w:rPr>
            </w:pPr>
          </w:p>
        </w:tc>
        <w:tc>
          <w:tcPr>
            <w:tcW w:w="279" w:type="pct"/>
            <w:tcBorders>
              <w:tl2br w:val="nil"/>
              <w:tr2bl w:val="nil"/>
            </w:tcBorders>
            <w:noWrap w:val="0"/>
            <w:vAlign w:val="center"/>
          </w:tcPr>
          <w:p w14:paraId="2F5A6FD3">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0CFBC33">
            <w:pPr>
              <w:pStyle w:val="16"/>
              <w:pageBreakBefore w:val="0"/>
              <w:wordWrap/>
              <w:bidi w:val="0"/>
              <w:adjustRightInd/>
              <w:snapToGrid/>
              <w:rPr>
                <w:color w:val="auto"/>
              </w:rPr>
            </w:pPr>
            <w:r>
              <w:rPr>
                <w:color w:val="auto"/>
              </w:rPr>
              <w:t>2</w:t>
            </w:r>
          </w:p>
        </w:tc>
        <w:tc>
          <w:tcPr>
            <w:tcW w:w="1132" w:type="pct"/>
            <w:vMerge w:val="continue"/>
            <w:tcBorders>
              <w:tl2br w:val="nil"/>
              <w:tr2bl w:val="nil"/>
            </w:tcBorders>
            <w:noWrap w:val="0"/>
            <w:vAlign w:val="center"/>
          </w:tcPr>
          <w:p w14:paraId="3468BD01">
            <w:pPr>
              <w:pStyle w:val="16"/>
              <w:pageBreakBefore w:val="0"/>
              <w:wordWrap/>
              <w:bidi w:val="0"/>
              <w:adjustRightInd/>
              <w:snapToGrid/>
              <w:rPr>
                <w:color w:val="auto"/>
              </w:rPr>
            </w:pPr>
          </w:p>
        </w:tc>
      </w:tr>
      <w:tr w14:paraId="66AE828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999D651">
            <w:pPr>
              <w:pStyle w:val="16"/>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39EF57EE">
            <w:pPr>
              <w:pStyle w:val="16"/>
              <w:pageBreakBefore w:val="0"/>
              <w:wordWrap/>
              <w:bidi w:val="0"/>
              <w:adjustRightInd/>
              <w:snapToGrid/>
              <w:rPr>
                <w:color w:val="auto"/>
              </w:rPr>
            </w:pPr>
            <w:r>
              <w:rPr>
                <w:color w:val="auto"/>
              </w:rPr>
              <w:t>反冲洗水箱</w:t>
            </w:r>
          </w:p>
        </w:tc>
        <w:tc>
          <w:tcPr>
            <w:tcW w:w="1532" w:type="pct"/>
            <w:tcBorders>
              <w:tl2br w:val="nil"/>
              <w:tr2bl w:val="nil"/>
            </w:tcBorders>
            <w:noWrap w:val="0"/>
            <w:vAlign w:val="center"/>
          </w:tcPr>
          <w:p w14:paraId="617A6C6D">
            <w:pPr>
              <w:pStyle w:val="16"/>
              <w:pageBreakBefore w:val="0"/>
              <w:wordWrap/>
              <w:bidi w:val="0"/>
              <w:adjustRightInd/>
              <w:snapToGrid/>
              <w:rPr>
                <w:rFonts w:hint="eastAsia" w:eastAsia="宋体"/>
                <w:color w:val="auto"/>
                <w:lang w:eastAsia="zh-CN"/>
              </w:rPr>
            </w:pPr>
            <w:r>
              <w:rPr>
                <w:color w:val="auto"/>
              </w:rPr>
              <w:t>V=6</w:t>
            </w:r>
            <w:r>
              <w:rPr>
                <w:rFonts w:hint="eastAsia"/>
                <w:color w:val="auto"/>
                <w:lang w:eastAsia="zh-CN"/>
              </w:rPr>
              <w:t>m³，</w:t>
            </w:r>
            <w:r>
              <w:rPr>
                <w:color w:val="auto"/>
              </w:rPr>
              <w:t>L×B×H=2×1×3m</w:t>
            </w:r>
            <w:r>
              <w:rPr>
                <w:rFonts w:hint="eastAsia"/>
                <w:color w:val="auto"/>
                <w:lang w:eastAsia="zh-CN"/>
              </w:rPr>
              <w:t>（</w:t>
            </w:r>
            <w:r>
              <w:rPr>
                <w:color w:val="auto"/>
              </w:rPr>
              <w:t>由6个体积为1</w:t>
            </w:r>
            <w:r>
              <w:rPr>
                <w:rFonts w:hint="eastAsia"/>
                <w:color w:val="auto"/>
                <w:lang w:eastAsia="zh-CN"/>
              </w:rPr>
              <w:t>m³</w:t>
            </w:r>
            <w:r>
              <w:rPr>
                <w:color w:val="auto"/>
              </w:rPr>
              <w:t>组成</w:t>
            </w:r>
            <w:r>
              <w:rPr>
                <w:rFonts w:hint="eastAsia"/>
                <w:color w:val="auto"/>
                <w:lang w:eastAsia="zh-CN"/>
              </w:rPr>
              <w:t>）</w:t>
            </w:r>
          </w:p>
        </w:tc>
        <w:tc>
          <w:tcPr>
            <w:tcW w:w="612" w:type="pct"/>
            <w:tcBorders>
              <w:tl2br w:val="nil"/>
              <w:tr2bl w:val="nil"/>
            </w:tcBorders>
            <w:noWrap w:val="0"/>
            <w:vAlign w:val="center"/>
          </w:tcPr>
          <w:p w14:paraId="700FB8A8">
            <w:pPr>
              <w:pStyle w:val="16"/>
              <w:pageBreakBefore w:val="0"/>
              <w:wordWrap/>
              <w:bidi w:val="0"/>
              <w:adjustRightInd/>
              <w:snapToGrid/>
              <w:rPr>
                <w:color w:val="auto"/>
              </w:rPr>
            </w:pPr>
            <w:r>
              <w:rPr>
                <w:color w:val="auto"/>
              </w:rPr>
              <w:t>304</w:t>
            </w:r>
            <w:r>
              <w:rPr>
                <w:rFonts w:hint="eastAsia"/>
                <w:color w:val="auto"/>
                <w:lang w:eastAsia="zh-CN"/>
              </w:rPr>
              <w:t>不</w:t>
            </w:r>
            <w:r>
              <w:rPr>
                <w:color w:val="auto"/>
              </w:rPr>
              <w:t>锈钢</w:t>
            </w:r>
          </w:p>
        </w:tc>
        <w:tc>
          <w:tcPr>
            <w:tcW w:w="279" w:type="pct"/>
            <w:tcBorders>
              <w:tl2br w:val="nil"/>
              <w:tr2bl w:val="nil"/>
            </w:tcBorders>
            <w:noWrap w:val="0"/>
            <w:vAlign w:val="center"/>
          </w:tcPr>
          <w:p w14:paraId="1AF83F28">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0C374B4">
            <w:pPr>
              <w:pStyle w:val="16"/>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59D7AC59">
            <w:pPr>
              <w:pStyle w:val="16"/>
              <w:pageBreakBefore w:val="0"/>
              <w:wordWrap/>
              <w:bidi w:val="0"/>
              <w:adjustRightInd/>
              <w:snapToGrid/>
              <w:rPr>
                <w:color w:val="auto"/>
              </w:rPr>
            </w:pPr>
          </w:p>
        </w:tc>
      </w:tr>
      <w:tr w14:paraId="559BE8D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B519017">
            <w:pPr>
              <w:pStyle w:val="16"/>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59D4289D">
            <w:pPr>
              <w:pStyle w:val="16"/>
              <w:pageBreakBefore w:val="0"/>
              <w:wordWrap/>
              <w:bidi w:val="0"/>
              <w:adjustRightInd/>
              <w:snapToGrid/>
              <w:rPr>
                <w:color w:val="auto"/>
              </w:rPr>
            </w:pPr>
            <w:r>
              <w:rPr>
                <w:color w:val="auto"/>
              </w:rPr>
              <w:t>压力传感器、遥控液位阀、压力表、浸入式液位计</w:t>
            </w:r>
          </w:p>
        </w:tc>
        <w:tc>
          <w:tcPr>
            <w:tcW w:w="1532" w:type="pct"/>
            <w:tcBorders>
              <w:tl2br w:val="nil"/>
              <w:tr2bl w:val="nil"/>
            </w:tcBorders>
            <w:noWrap w:val="0"/>
            <w:vAlign w:val="center"/>
          </w:tcPr>
          <w:p w14:paraId="59874B6E">
            <w:pPr>
              <w:pStyle w:val="16"/>
              <w:pageBreakBefore w:val="0"/>
              <w:wordWrap/>
              <w:bidi w:val="0"/>
              <w:adjustRightInd/>
              <w:snapToGrid/>
              <w:rPr>
                <w:color w:val="auto"/>
              </w:rPr>
            </w:pPr>
          </w:p>
        </w:tc>
        <w:tc>
          <w:tcPr>
            <w:tcW w:w="612" w:type="pct"/>
            <w:tcBorders>
              <w:tl2br w:val="nil"/>
              <w:tr2bl w:val="nil"/>
            </w:tcBorders>
            <w:noWrap w:val="0"/>
            <w:vAlign w:val="center"/>
          </w:tcPr>
          <w:p w14:paraId="3F777361">
            <w:pPr>
              <w:pStyle w:val="16"/>
              <w:pageBreakBefore w:val="0"/>
              <w:wordWrap/>
              <w:bidi w:val="0"/>
              <w:adjustRightInd/>
              <w:snapToGrid/>
              <w:rPr>
                <w:color w:val="auto"/>
              </w:rPr>
            </w:pPr>
          </w:p>
        </w:tc>
        <w:tc>
          <w:tcPr>
            <w:tcW w:w="279" w:type="pct"/>
            <w:tcBorders>
              <w:tl2br w:val="nil"/>
              <w:tr2bl w:val="nil"/>
            </w:tcBorders>
            <w:noWrap w:val="0"/>
            <w:vAlign w:val="center"/>
          </w:tcPr>
          <w:p w14:paraId="2D6B1EE6">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F5678D0">
            <w:pPr>
              <w:pStyle w:val="16"/>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2EFF5F0E">
            <w:pPr>
              <w:pStyle w:val="16"/>
              <w:pageBreakBefore w:val="0"/>
              <w:wordWrap/>
              <w:bidi w:val="0"/>
              <w:adjustRightInd/>
              <w:snapToGrid/>
              <w:rPr>
                <w:color w:val="auto"/>
              </w:rPr>
            </w:pPr>
          </w:p>
        </w:tc>
      </w:tr>
      <w:tr w14:paraId="00DF45B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FB449B0">
            <w:pPr>
              <w:pStyle w:val="16"/>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593C13B4">
            <w:pPr>
              <w:pStyle w:val="16"/>
              <w:pageBreakBefore w:val="0"/>
              <w:wordWrap/>
              <w:bidi w:val="0"/>
              <w:adjustRightInd/>
              <w:snapToGrid/>
              <w:rPr>
                <w:color w:val="auto"/>
              </w:rPr>
            </w:pPr>
            <w:r>
              <w:rPr>
                <w:color w:val="auto"/>
              </w:rPr>
              <w:t>超声波液位计</w:t>
            </w:r>
          </w:p>
        </w:tc>
        <w:tc>
          <w:tcPr>
            <w:tcW w:w="1532" w:type="pct"/>
            <w:tcBorders>
              <w:tl2br w:val="nil"/>
              <w:tr2bl w:val="nil"/>
            </w:tcBorders>
            <w:noWrap w:val="0"/>
            <w:vAlign w:val="center"/>
          </w:tcPr>
          <w:p w14:paraId="6915FDF2">
            <w:pPr>
              <w:pStyle w:val="16"/>
              <w:pageBreakBefore w:val="0"/>
              <w:wordWrap/>
              <w:bidi w:val="0"/>
              <w:adjustRightInd/>
              <w:snapToGrid/>
              <w:rPr>
                <w:color w:val="auto"/>
              </w:rPr>
            </w:pPr>
            <w:r>
              <w:rPr>
                <w:color w:val="auto"/>
              </w:rPr>
              <w:t>量程0-3m</w:t>
            </w:r>
            <w:r>
              <w:rPr>
                <w:rFonts w:hint="eastAsia"/>
                <w:color w:val="auto"/>
                <w:lang w:eastAsia="zh-CN"/>
              </w:rPr>
              <w:t>，</w:t>
            </w:r>
            <w:r>
              <w:rPr>
                <w:color w:val="auto"/>
              </w:rPr>
              <w:t>输出4-20mA</w:t>
            </w:r>
          </w:p>
        </w:tc>
        <w:tc>
          <w:tcPr>
            <w:tcW w:w="612" w:type="pct"/>
            <w:tcBorders>
              <w:tl2br w:val="nil"/>
              <w:tr2bl w:val="nil"/>
            </w:tcBorders>
            <w:noWrap w:val="0"/>
            <w:vAlign w:val="center"/>
          </w:tcPr>
          <w:p w14:paraId="20D3B089">
            <w:pPr>
              <w:pStyle w:val="16"/>
              <w:pageBreakBefore w:val="0"/>
              <w:wordWrap/>
              <w:bidi w:val="0"/>
              <w:adjustRightInd/>
              <w:snapToGrid/>
              <w:rPr>
                <w:color w:val="auto"/>
              </w:rPr>
            </w:pPr>
          </w:p>
        </w:tc>
        <w:tc>
          <w:tcPr>
            <w:tcW w:w="279" w:type="pct"/>
            <w:tcBorders>
              <w:tl2br w:val="nil"/>
              <w:tr2bl w:val="nil"/>
            </w:tcBorders>
            <w:noWrap w:val="0"/>
            <w:vAlign w:val="center"/>
          </w:tcPr>
          <w:p w14:paraId="03B30219">
            <w:pPr>
              <w:pStyle w:val="16"/>
              <w:pageBreakBefore w:val="0"/>
              <w:wordWrap/>
              <w:bidi w:val="0"/>
              <w:adjustRightInd/>
              <w:snapToGrid/>
              <w:rPr>
                <w:color w:val="auto"/>
              </w:rPr>
            </w:pPr>
            <w:r>
              <w:rPr>
                <w:color w:val="auto"/>
              </w:rPr>
              <w:t>件</w:t>
            </w:r>
          </w:p>
        </w:tc>
        <w:tc>
          <w:tcPr>
            <w:tcW w:w="244" w:type="pct"/>
            <w:tcBorders>
              <w:tl2br w:val="nil"/>
              <w:tr2bl w:val="nil"/>
            </w:tcBorders>
            <w:noWrap w:val="0"/>
            <w:vAlign w:val="center"/>
          </w:tcPr>
          <w:p w14:paraId="61703A77">
            <w:pPr>
              <w:pStyle w:val="16"/>
              <w:pageBreakBefore w:val="0"/>
              <w:wordWrap/>
              <w:bidi w:val="0"/>
              <w:adjustRightInd/>
              <w:snapToGrid/>
              <w:rPr>
                <w:color w:val="auto"/>
              </w:rPr>
            </w:pPr>
            <w:r>
              <w:rPr>
                <w:color w:val="auto"/>
              </w:rPr>
              <w:t>4</w:t>
            </w:r>
          </w:p>
        </w:tc>
        <w:tc>
          <w:tcPr>
            <w:tcW w:w="1132" w:type="pct"/>
            <w:vMerge w:val="continue"/>
            <w:tcBorders>
              <w:tl2br w:val="nil"/>
              <w:tr2bl w:val="nil"/>
            </w:tcBorders>
            <w:noWrap w:val="0"/>
            <w:vAlign w:val="center"/>
          </w:tcPr>
          <w:p w14:paraId="3C6E11B8">
            <w:pPr>
              <w:pStyle w:val="16"/>
              <w:pageBreakBefore w:val="0"/>
              <w:wordWrap/>
              <w:bidi w:val="0"/>
              <w:adjustRightInd/>
              <w:snapToGrid/>
              <w:rPr>
                <w:color w:val="auto"/>
              </w:rPr>
            </w:pPr>
          </w:p>
        </w:tc>
      </w:tr>
      <w:tr w14:paraId="172EC45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52B48C3">
            <w:pPr>
              <w:pStyle w:val="16"/>
              <w:pageBreakBefore w:val="0"/>
              <w:wordWrap/>
              <w:bidi w:val="0"/>
              <w:adjustRightInd/>
              <w:snapToGrid/>
              <w:rPr>
                <w:color w:val="auto"/>
              </w:rPr>
            </w:pPr>
            <w:r>
              <w:rPr>
                <w:color w:val="auto"/>
              </w:rPr>
              <w:t>9</w:t>
            </w:r>
          </w:p>
        </w:tc>
        <w:tc>
          <w:tcPr>
            <w:tcW w:w="843" w:type="pct"/>
            <w:gridSpan w:val="2"/>
            <w:tcBorders>
              <w:tl2br w:val="nil"/>
              <w:tr2bl w:val="nil"/>
            </w:tcBorders>
            <w:noWrap w:val="0"/>
            <w:vAlign w:val="center"/>
          </w:tcPr>
          <w:p w14:paraId="24A14581">
            <w:pPr>
              <w:pStyle w:val="16"/>
              <w:pageBreakBefore w:val="0"/>
              <w:wordWrap/>
              <w:bidi w:val="0"/>
              <w:adjustRightInd/>
              <w:snapToGrid/>
              <w:rPr>
                <w:color w:val="auto"/>
              </w:rPr>
            </w:pPr>
            <w:r>
              <w:rPr>
                <w:color w:val="auto"/>
              </w:rPr>
              <w:t>手动铸铁镶铜方闸门</w:t>
            </w:r>
          </w:p>
        </w:tc>
        <w:tc>
          <w:tcPr>
            <w:tcW w:w="1532" w:type="pct"/>
            <w:tcBorders>
              <w:tl2br w:val="nil"/>
              <w:tr2bl w:val="nil"/>
            </w:tcBorders>
            <w:noWrap w:val="0"/>
            <w:vAlign w:val="center"/>
          </w:tcPr>
          <w:p w14:paraId="02012F00">
            <w:pPr>
              <w:pStyle w:val="16"/>
              <w:pageBreakBefore w:val="0"/>
              <w:wordWrap/>
              <w:bidi w:val="0"/>
              <w:adjustRightInd/>
              <w:snapToGrid/>
              <w:rPr>
                <w:color w:val="auto"/>
              </w:rPr>
            </w:pPr>
            <w:r>
              <w:rPr>
                <w:color w:val="auto"/>
              </w:rPr>
              <w:t>A×B=500×500</w:t>
            </w:r>
            <w:r>
              <w:rPr>
                <w:rFonts w:hint="eastAsia"/>
                <w:color w:val="auto"/>
                <w:lang w:eastAsia="zh-CN"/>
              </w:rPr>
              <w:t>，</w:t>
            </w:r>
            <w:r>
              <w:rPr>
                <w:color w:val="auto"/>
              </w:rPr>
              <w:t>闸门中心距池顶</w:t>
            </w:r>
            <w:r>
              <w:rPr>
                <w:rFonts w:hint="eastAsia"/>
                <w:color w:val="auto"/>
                <w:lang w:eastAsia="zh-CN"/>
              </w:rPr>
              <w:t>1</w:t>
            </w:r>
            <w:r>
              <w:rPr>
                <w:color w:val="auto"/>
              </w:rPr>
              <w:t>.5m</w:t>
            </w:r>
          </w:p>
        </w:tc>
        <w:tc>
          <w:tcPr>
            <w:tcW w:w="612" w:type="pct"/>
            <w:tcBorders>
              <w:tl2br w:val="nil"/>
              <w:tr2bl w:val="nil"/>
            </w:tcBorders>
            <w:noWrap w:val="0"/>
            <w:vAlign w:val="center"/>
          </w:tcPr>
          <w:p w14:paraId="5BB2045C">
            <w:pPr>
              <w:pStyle w:val="16"/>
              <w:pageBreakBefore w:val="0"/>
              <w:wordWrap/>
              <w:bidi w:val="0"/>
              <w:adjustRightInd/>
              <w:snapToGrid/>
              <w:rPr>
                <w:color w:val="auto"/>
              </w:rPr>
            </w:pPr>
            <w:r>
              <w:rPr>
                <w:color w:val="auto"/>
              </w:rPr>
              <w:t>铸铁镶铜</w:t>
            </w:r>
          </w:p>
        </w:tc>
        <w:tc>
          <w:tcPr>
            <w:tcW w:w="279" w:type="pct"/>
            <w:tcBorders>
              <w:tl2br w:val="nil"/>
              <w:tr2bl w:val="nil"/>
            </w:tcBorders>
            <w:noWrap w:val="0"/>
            <w:vAlign w:val="center"/>
          </w:tcPr>
          <w:p w14:paraId="01D5CBAB">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0DF9E0C">
            <w:pPr>
              <w:pStyle w:val="16"/>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2A3812A2">
            <w:pPr>
              <w:pStyle w:val="16"/>
              <w:pageBreakBefore w:val="0"/>
              <w:wordWrap/>
              <w:bidi w:val="0"/>
              <w:adjustRightInd/>
              <w:snapToGrid/>
              <w:rPr>
                <w:color w:val="auto"/>
              </w:rPr>
            </w:pPr>
            <w:r>
              <w:rPr>
                <w:color w:val="auto"/>
              </w:rPr>
              <w:t>正向水压</w:t>
            </w:r>
            <w:r>
              <w:rPr>
                <w:rFonts w:hint="eastAsia"/>
                <w:color w:val="auto"/>
                <w:lang w:eastAsia="zh-CN"/>
              </w:rPr>
              <w:t>，</w:t>
            </w:r>
            <w:r>
              <w:rPr>
                <w:color w:val="auto"/>
              </w:rPr>
              <w:t>配套手动启闭机</w:t>
            </w:r>
          </w:p>
        </w:tc>
      </w:tr>
      <w:tr w14:paraId="5443CDD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5F9FB975">
            <w:pPr>
              <w:pStyle w:val="16"/>
              <w:pageBreakBefore w:val="0"/>
              <w:wordWrap/>
              <w:bidi w:val="0"/>
              <w:adjustRightInd/>
              <w:snapToGrid/>
              <w:jc w:val="left"/>
              <w:rPr>
                <w:color w:val="auto"/>
              </w:rPr>
            </w:pPr>
            <w:r>
              <w:rPr>
                <w:b/>
                <w:bCs/>
                <w:color w:val="auto"/>
              </w:rPr>
              <w:t>调节池-厂区事故池主要设备一览表</w:t>
            </w:r>
          </w:p>
        </w:tc>
      </w:tr>
      <w:tr w14:paraId="1F23AFA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B624B6A">
            <w:pPr>
              <w:pStyle w:val="16"/>
              <w:pageBreakBefore w:val="0"/>
              <w:wordWrap/>
              <w:bidi w:val="0"/>
              <w:adjustRightInd/>
              <w:snapToGrid/>
              <w:rPr>
                <w:rFonts w:hint="eastAsia" w:eastAsia="宋体"/>
                <w:b/>
                <w:bCs/>
                <w:color w:val="auto"/>
                <w:lang w:eastAsia="zh-CN"/>
              </w:rPr>
            </w:pPr>
            <w:r>
              <w:rPr>
                <w:rFonts w:hint="eastAsia"/>
                <w:b/>
                <w:bCs/>
                <w:color w:val="auto"/>
                <w:lang w:eastAsia="zh-CN"/>
              </w:rPr>
              <w:t>序号</w:t>
            </w:r>
          </w:p>
        </w:tc>
        <w:tc>
          <w:tcPr>
            <w:tcW w:w="843" w:type="pct"/>
            <w:gridSpan w:val="2"/>
            <w:tcBorders>
              <w:tl2br w:val="nil"/>
              <w:tr2bl w:val="nil"/>
            </w:tcBorders>
            <w:noWrap w:val="0"/>
            <w:vAlign w:val="center"/>
          </w:tcPr>
          <w:p w14:paraId="142059AE">
            <w:pPr>
              <w:pStyle w:val="16"/>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525F5F7F">
            <w:pPr>
              <w:pStyle w:val="16"/>
              <w:pageBreakBefore w:val="0"/>
              <w:wordWrap/>
              <w:bidi w:val="0"/>
              <w:adjustRightInd/>
              <w:snapToGrid/>
              <w:rPr>
                <w:b/>
                <w:bCs/>
                <w:color w:val="auto"/>
              </w:rPr>
            </w:pPr>
            <w:r>
              <w:rPr>
                <w:b/>
                <w:bCs/>
                <w:color w:val="auto"/>
              </w:rPr>
              <w:t>规格型号及技术参数</w:t>
            </w:r>
          </w:p>
        </w:tc>
        <w:tc>
          <w:tcPr>
            <w:tcW w:w="612" w:type="pct"/>
            <w:tcBorders>
              <w:tl2br w:val="nil"/>
              <w:tr2bl w:val="nil"/>
            </w:tcBorders>
            <w:noWrap w:val="0"/>
            <w:vAlign w:val="center"/>
          </w:tcPr>
          <w:p w14:paraId="227C216D">
            <w:pPr>
              <w:pStyle w:val="16"/>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6B5E8A46">
            <w:pPr>
              <w:pStyle w:val="16"/>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3254D094">
            <w:pPr>
              <w:pStyle w:val="16"/>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1FAA2ABE">
            <w:pPr>
              <w:pStyle w:val="16"/>
              <w:pageBreakBefore w:val="0"/>
              <w:wordWrap/>
              <w:bidi w:val="0"/>
              <w:adjustRightInd/>
              <w:snapToGrid/>
              <w:rPr>
                <w:b/>
                <w:bCs/>
                <w:color w:val="auto"/>
              </w:rPr>
            </w:pPr>
            <w:r>
              <w:rPr>
                <w:b/>
                <w:bCs/>
                <w:color w:val="auto"/>
              </w:rPr>
              <w:t>备注</w:t>
            </w:r>
          </w:p>
        </w:tc>
      </w:tr>
      <w:tr w14:paraId="28B5A1E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BAE6949">
            <w:pPr>
              <w:pStyle w:val="16"/>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366C576A">
            <w:pPr>
              <w:pStyle w:val="16"/>
              <w:pageBreakBefore w:val="0"/>
              <w:wordWrap/>
              <w:bidi w:val="0"/>
              <w:adjustRightInd/>
              <w:snapToGrid/>
              <w:rPr>
                <w:color w:val="auto"/>
              </w:rPr>
            </w:pPr>
            <w:r>
              <w:rPr>
                <w:color w:val="auto"/>
              </w:rPr>
              <w:t>潜污泵</w:t>
            </w:r>
          </w:p>
        </w:tc>
        <w:tc>
          <w:tcPr>
            <w:tcW w:w="1532" w:type="pct"/>
            <w:tcBorders>
              <w:tl2br w:val="nil"/>
              <w:tr2bl w:val="nil"/>
            </w:tcBorders>
            <w:noWrap w:val="0"/>
            <w:vAlign w:val="center"/>
          </w:tcPr>
          <w:p w14:paraId="3F27EEF5">
            <w:pPr>
              <w:pStyle w:val="16"/>
              <w:pageBreakBefore w:val="0"/>
              <w:wordWrap/>
              <w:bidi w:val="0"/>
              <w:adjustRightInd/>
              <w:snapToGrid/>
              <w:rPr>
                <w:color w:val="auto"/>
              </w:rPr>
            </w:pPr>
            <w:r>
              <w:rPr>
                <w:color w:val="auto"/>
              </w:rPr>
              <w:t>Q=70</w:t>
            </w:r>
            <w:r>
              <w:rPr>
                <w:rFonts w:hint="eastAsia"/>
                <w:color w:val="auto"/>
                <w:lang w:eastAsia="zh-CN"/>
              </w:rPr>
              <w:t>m³</w:t>
            </w:r>
            <w:r>
              <w:rPr>
                <w:color w:val="auto"/>
              </w:rPr>
              <w:t>/h</w:t>
            </w:r>
            <w:r>
              <w:rPr>
                <w:rFonts w:hint="eastAsia"/>
                <w:color w:val="auto"/>
                <w:lang w:eastAsia="zh-CN"/>
              </w:rPr>
              <w:t>，</w:t>
            </w:r>
            <w:r>
              <w:rPr>
                <w:color w:val="auto"/>
              </w:rPr>
              <w:t>H=15.0m</w:t>
            </w:r>
            <w:r>
              <w:rPr>
                <w:rFonts w:hint="eastAsia"/>
                <w:color w:val="auto"/>
                <w:lang w:eastAsia="zh-CN"/>
              </w:rPr>
              <w:t>，</w:t>
            </w:r>
            <w:r>
              <w:rPr>
                <w:color w:val="auto"/>
              </w:rPr>
              <w:t>N=9kW</w:t>
            </w:r>
          </w:p>
        </w:tc>
        <w:tc>
          <w:tcPr>
            <w:tcW w:w="612" w:type="pct"/>
            <w:tcBorders>
              <w:tl2br w:val="nil"/>
              <w:tr2bl w:val="nil"/>
            </w:tcBorders>
            <w:noWrap w:val="0"/>
            <w:vAlign w:val="center"/>
          </w:tcPr>
          <w:p w14:paraId="1ADD0CDC">
            <w:pPr>
              <w:pStyle w:val="16"/>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505B1C23">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738C4DA">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530E04EA">
            <w:pPr>
              <w:pStyle w:val="16"/>
              <w:pageBreakBefore w:val="0"/>
              <w:wordWrap/>
              <w:bidi w:val="0"/>
              <w:adjustRightInd/>
              <w:snapToGrid/>
              <w:rPr>
                <w:color w:val="auto"/>
              </w:rPr>
            </w:pPr>
            <w:r>
              <w:rPr>
                <w:rFonts w:hint="eastAsia"/>
                <w:color w:val="auto"/>
                <w:lang w:eastAsia="zh-CN"/>
              </w:rPr>
              <w:t>1</w:t>
            </w:r>
            <w:r>
              <w:rPr>
                <w:color w:val="auto"/>
              </w:rPr>
              <w:t>用</w:t>
            </w:r>
            <w:r>
              <w:rPr>
                <w:rFonts w:hint="eastAsia"/>
                <w:color w:val="auto"/>
                <w:lang w:eastAsia="zh-CN"/>
              </w:rPr>
              <w:t>1</w:t>
            </w:r>
            <w:r>
              <w:rPr>
                <w:color w:val="auto"/>
              </w:rPr>
              <w:t>备</w:t>
            </w:r>
            <w:r>
              <w:rPr>
                <w:rFonts w:hint="eastAsia"/>
                <w:color w:val="auto"/>
                <w:lang w:eastAsia="zh-CN"/>
              </w:rPr>
              <w:t>，</w:t>
            </w:r>
            <w:r>
              <w:rPr>
                <w:color w:val="auto"/>
              </w:rPr>
              <w:t>变频控制</w:t>
            </w:r>
            <w:r>
              <w:rPr>
                <w:rFonts w:hint="eastAsia"/>
                <w:color w:val="auto"/>
                <w:lang w:eastAsia="zh-CN"/>
              </w:rPr>
              <w:t>，</w:t>
            </w:r>
            <w:r>
              <w:rPr>
                <w:color w:val="auto"/>
              </w:rPr>
              <w:t>带耦合装置</w:t>
            </w:r>
            <w:r>
              <w:rPr>
                <w:rFonts w:hint="eastAsia"/>
                <w:color w:val="auto"/>
                <w:lang w:eastAsia="zh-CN"/>
              </w:rPr>
              <w:t>，</w:t>
            </w:r>
            <w:r>
              <w:rPr>
                <w:color w:val="auto"/>
              </w:rPr>
              <w:t>配特制吊钩及导向绳</w:t>
            </w:r>
          </w:p>
        </w:tc>
      </w:tr>
      <w:tr w14:paraId="306DFD6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10B2A26">
            <w:pPr>
              <w:pStyle w:val="16"/>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43130F03">
            <w:pPr>
              <w:pStyle w:val="16"/>
              <w:pageBreakBefore w:val="0"/>
              <w:wordWrap/>
              <w:bidi w:val="0"/>
              <w:adjustRightInd/>
              <w:snapToGrid/>
              <w:rPr>
                <w:color w:val="auto"/>
              </w:rPr>
            </w:pPr>
            <w:r>
              <w:rPr>
                <w:color w:val="auto"/>
              </w:rPr>
              <w:t>潜污泵</w:t>
            </w:r>
          </w:p>
        </w:tc>
        <w:tc>
          <w:tcPr>
            <w:tcW w:w="1532" w:type="pct"/>
            <w:tcBorders>
              <w:tl2br w:val="nil"/>
              <w:tr2bl w:val="nil"/>
            </w:tcBorders>
            <w:noWrap w:val="0"/>
            <w:vAlign w:val="center"/>
          </w:tcPr>
          <w:p w14:paraId="4D588493">
            <w:pPr>
              <w:pStyle w:val="16"/>
              <w:pageBreakBefore w:val="0"/>
              <w:wordWrap/>
              <w:bidi w:val="0"/>
              <w:adjustRightInd/>
              <w:snapToGrid/>
              <w:rPr>
                <w:color w:val="auto"/>
              </w:rPr>
            </w:pPr>
            <w:r>
              <w:rPr>
                <w:color w:val="auto"/>
              </w:rPr>
              <w:t>Q=150</w:t>
            </w:r>
            <w:r>
              <w:rPr>
                <w:rFonts w:hint="eastAsia"/>
                <w:color w:val="auto"/>
                <w:lang w:eastAsia="zh-CN"/>
              </w:rPr>
              <w:t>m³</w:t>
            </w:r>
            <w:r>
              <w:rPr>
                <w:color w:val="auto"/>
              </w:rPr>
              <w:t>/h</w:t>
            </w:r>
            <w:r>
              <w:rPr>
                <w:rFonts w:hint="eastAsia"/>
                <w:color w:val="auto"/>
                <w:lang w:eastAsia="zh-CN"/>
              </w:rPr>
              <w:t>，</w:t>
            </w:r>
            <w:r>
              <w:rPr>
                <w:color w:val="auto"/>
              </w:rPr>
              <w:t>H=15.0m</w:t>
            </w:r>
            <w:r>
              <w:rPr>
                <w:rFonts w:hint="eastAsia"/>
                <w:color w:val="auto"/>
                <w:lang w:eastAsia="zh-CN"/>
              </w:rPr>
              <w:t>，</w:t>
            </w:r>
            <w:r>
              <w:rPr>
                <w:color w:val="auto"/>
              </w:rPr>
              <w:t>N=15kW</w:t>
            </w:r>
          </w:p>
        </w:tc>
        <w:tc>
          <w:tcPr>
            <w:tcW w:w="612" w:type="pct"/>
            <w:tcBorders>
              <w:tl2br w:val="nil"/>
              <w:tr2bl w:val="nil"/>
            </w:tcBorders>
            <w:noWrap w:val="0"/>
            <w:vAlign w:val="center"/>
          </w:tcPr>
          <w:p w14:paraId="5A474729">
            <w:pPr>
              <w:pStyle w:val="16"/>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3890F870">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F11E03C">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73EC6338">
            <w:pPr>
              <w:pStyle w:val="16"/>
              <w:pageBreakBefore w:val="0"/>
              <w:wordWrap/>
              <w:bidi w:val="0"/>
              <w:adjustRightInd/>
              <w:snapToGrid/>
              <w:rPr>
                <w:color w:val="auto"/>
              </w:rPr>
            </w:pPr>
            <w:r>
              <w:rPr>
                <w:rFonts w:hint="eastAsia"/>
                <w:color w:val="auto"/>
                <w:lang w:eastAsia="zh-CN"/>
              </w:rPr>
              <w:t>1</w:t>
            </w:r>
            <w:r>
              <w:rPr>
                <w:color w:val="auto"/>
              </w:rPr>
              <w:t>用</w:t>
            </w:r>
            <w:r>
              <w:rPr>
                <w:rFonts w:hint="eastAsia"/>
                <w:color w:val="auto"/>
                <w:lang w:eastAsia="zh-CN"/>
              </w:rPr>
              <w:t>1</w:t>
            </w:r>
            <w:r>
              <w:rPr>
                <w:color w:val="auto"/>
              </w:rPr>
              <w:t>备</w:t>
            </w:r>
            <w:r>
              <w:rPr>
                <w:rFonts w:hint="eastAsia"/>
                <w:color w:val="auto"/>
                <w:lang w:eastAsia="zh-CN"/>
              </w:rPr>
              <w:t>，</w:t>
            </w:r>
            <w:r>
              <w:rPr>
                <w:color w:val="auto"/>
              </w:rPr>
              <w:t>变频控制</w:t>
            </w:r>
            <w:r>
              <w:rPr>
                <w:rFonts w:hint="eastAsia"/>
                <w:color w:val="auto"/>
                <w:lang w:eastAsia="zh-CN"/>
              </w:rPr>
              <w:t>，</w:t>
            </w:r>
            <w:r>
              <w:rPr>
                <w:color w:val="auto"/>
              </w:rPr>
              <w:t>带耦合装置</w:t>
            </w:r>
            <w:r>
              <w:rPr>
                <w:rFonts w:hint="eastAsia"/>
                <w:color w:val="auto"/>
                <w:lang w:eastAsia="zh-CN"/>
              </w:rPr>
              <w:t>，</w:t>
            </w:r>
            <w:r>
              <w:rPr>
                <w:color w:val="auto"/>
              </w:rPr>
              <w:t>配特制吊钩及导向绳</w:t>
            </w:r>
          </w:p>
        </w:tc>
      </w:tr>
      <w:tr w14:paraId="1CD1F7F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A19A92F">
            <w:pPr>
              <w:pStyle w:val="16"/>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5ECF4D08">
            <w:pPr>
              <w:pStyle w:val="16"/>
              <w:pageBreakBefore w:val="0"/>
              <w:wordWrap/>
              <w:bidi w:val="0"/>
              <w:adjustRightInd/>
              <w:snapToGrid/>
              <w:rPr>
                <w:color w:val="auto"/>
              </w:rPr>
            </w:pPr>
            <w:r>
              <w:rPr>
                <w:color w:val="auto"/>
              </w:rPr>
              <w:t>潜水搅拌机</w:t>
            </w:r>
          </w:p>
        </w:tc>
        <w:tc>
          <w:tcPr>
            <w:tcW w:w="1532" w:type="pct"/>
            <w:tcBorders>
              <w:tl2br w:val="nil"/>
              <w:tr2bl w:val="nil"/>
            </w:tcBorders>
            <w:noWrap w:val="0"/>
            <w:vAlign w:val="center"/>
          </w:tcPr>
          <w:p w14:paraId="5DFCD56B">
            <w:pPr>
              <w:pStyle w:val="16"/>
              <w:pageBreakBefore w:val="0"/>
              <w:wordWrap/>
              <w:bidi w:val="0"/>
              <w:adjustRightInd/>
              <w:snapToGrid/>
              <w:rPr>
                <w:color w:val="auto"/>
              </w:rPr>
            </w:pPr>
            <w:r>
              <w:rPr>
                <w:color w:val="auto"/>
              </w:rPr>
              <w:t>QJB2.5/8-400/3-740</w:t>
            </w:r>
            <w:r>
              <w:rPr>
                <w:rFonts w:hint="eastAsia"/>
                <w:color w:val="auto"/>
                <w:lang w:eastAsia="zh-CN"/>
              </w:rPr>
              <w:t>，</w:t>
            </w:r>
            <w:r>
              <w:rPr>
                <w:color w:val="auto"/>
              </w:rPr>
              <w:t>N=3kW</w:t>
            </w:r>
          </w:p>
        </w:tc>
        <w:tc>
          <w:tcPr>
            <w:tcW w:w="612" w:type="pct"/>
            <w:tcBorders>
              <w:tl2br w:val="nil"/>
              <w:tr2bl w:val="nil"/>
            </w:tcBorders>
            <w:noWrap w:val="0"/>
            <w:vAlign w:val="center"/>
          </w:tcPr>
          <w:p w14:paraId="5DB30390">
            <w:pPr>
              <w:pStyle w:val="16"/>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2CF54D46">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0FA97F5">
            <w:pPr>
              <w:pStyle w:val="16"/>
              <w:pageBreakBefore w:val="0"/>
              <w:wordWrap/>
              <w:bidi w:val="0"/>
              <w:adjustRightInd/>
              <w:snapToGrid/>
              <w:rPr>
                <w:color w:val="auto"/>
              </w:rPr>
            </w:pPr>
            <w:r>
              <w:rPr>
                <w:color w:val="auto"/>
              </w:rPr>
              <w:t>7</w:t>
            </w:r>
          </w:p>
        </w:tc>
        <w:tc>
          <w:tcPr>
            <w:tcW w:w="1132" w:type="pct"/>
            <w:tcBorders>
              <w:tl2br w:val="nil"/>
              <w:tr2bl w:val="nil"/>
            </w:tcBorders>
            <w:noWrap w:val="0"/>
            <w:vAlign w:val="center"/>
          </w:tcPr>
          <w:p w14:paraId="77CA3A4E">
            <w:pPr>
              <w:pStyle w:val="16"/>
              <w:pageBreakBefore w:val="0"/>
              <w:wordWrap/>
              <w:bidi w:val="0"/>
              <w:adjustRightInd/>
              <w:snapToGrid/>
              <w:rPr>
                <w:color w:val="auto"/>
              </w:rPr>
            </w:pPr>
          </w:p>
        </w:tc>
      </w:tr>
      <w:tr w14:paraId="34248AA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28B7B99">
            <w:pPr>
              <w:pStyle w:val="16"/>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0BDC7AEC">
            <w:pPr>
              <w:pStyle w:val="16"/>
              <w:pageBreakBefore w:val="0"/>
              <w:wordWrap/>
              <w:bidi w:val="0"/>
              <w:adjustRightInd/>
              <w:snapToGrid/>
              <w:rPr>
                <w:color w:val="auto"/>
              </w:rPr>
            </w:pPr>
            <w:r>
              <w:rPr>
                <w:color w:val="auto"/>
              </w:rPr>
              <w:t>附壁式方闸门</w:t>
            </w:r>
          </w:p>
        </w:tc>
        <w:tc>
          <w:tcPr>
            <w:tcW w:w="1532" w:type="pct"/>
            <w:tcBorders>
              <w:tl2br w:val="nil"/>
              <w:tr2bl w:val="nil"/>
            </w:tcBorders>
            <w:noWrap w:val="0"/>
            <w:vAlign w:val="center"/>
          </w:tcPr>
          <w:p w14:paraId="0DA00D62">
            <w:pPr>
              <w:pStyle w:val="16"/>
              <w:pageBreakBefore w:val="0"/>
              <w:wordWrap/>
              <w:bidi w:val="0"/>
              <w:adjustRightInd/>
              <w:snapToGrid/>
              <w:rPr>
                <w:color w:val="auto"/>
              </w:rPr>
            </w:pPr>
            <w:r>
              <w:rPr>
                <w:color w:val="auto"/>
              </w:rPr>
              <w:t>A×B=300×300</w:t>
            </w:r>
            <w:r>
              <w:rPr>
                <w:rFonts w:hint="eastAsia"/>
                <w:color w:val="auto"/>
                <w:lang w:eastAsia="zh-CN"/>
              </w:rPr>
              <w:t>，</w:t>
            </w:r>
            <w:r>
              <w:rPr>
                <w:color w:val="auto"/>
              </w:rPr>
              <w:t>H=7.5m</w:t>
            </w:r>
            <w:r>
              <w:rPr>
                <w:rFonts w:hint="eastAsia"/>
                <w:color w:val="auto"/>
                <w:lang w:eastAsia="zh-CN"/>
              </w:rPr>
              <w:t>，</w:t>
            </w:r>
            <w:r>
              <w:rPr>
                <w:color w:val="auto"/>
              </w:rPr>
              <w:t>附壁式上开</w:t>
            </w:r>
          </w:p>
        </w:tc>
        <w:tc>
          <w:tcPr>
            <w:tcW w:w="612" w:type="pct"/>
            <w:tcBorders>
              <w:tl2br w:val="nil"/>
              <w:tr2bl w:val="nil"/>
            </w:tcBorders>
            <w:noWrap w:val="0"/>
            <w:vAlign w:val="center"/>
          </w:tcPr>
          <w:p w14:paraId="67C88776">
            <w:pPr>
              <w:pStyle w:val="16"/>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0DCCF80C">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FB15F88">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60CACCDD">
            <w:pPr>
              <w:pStyle w:val="16"/>
              <w:pageBreakBefore w:val="0"/>
              <w:wordWrap/>
              <w:bidi w:val="0"/>
              <w:adjustRightInd/>
              <w:snapToGrid/>
              <w:rPr>
                <w:color w:val="auto"/>
              </w:rPr>
            </w:pPr>
            <w:r>
              <w:rPr>
                <w:color w:val="auto"/>
              </w:rPr>
              <w:t>配手动启闭机</w:t>
            </w:r>
            <w:r>
              <w:rPr>
                <w:rFonts w:hint="eastAsia"/>
                <w:color w:val="auto"/>
                <w:lang w:eastAsia="zh-CN"/>
              </w:rPr>
              <w:t>，</w:t>
            </w:r>
            <w:r>
              <w:rPr>
                <w:color w:val="auto"/>
              </w:rPr>
              <w:t>配套丝杆</w:t>
            </w:r>
            <w:r>
              <w:rPr>
                <w:rFonts w:hint="eastAsia"/>
                <w:color w:val="auto"/>
                <w:lang w:eastAsia="zh-CN"/>
              </w:rPr>
              <w:t>，</w:t>
            </w:r>
            <w:r>
              <w:rPr>
                <w:color w:val="auto"/>
              </w:rPr>
              <w:t>轴导架、联接套</w:t>
            </w:r>
          </w:p>
        </w:tc>
      </w:tr>
      <w:tr w14:paraId="58E542B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2877990">
            <w:pPr>
              <w:pStyle w:val="16"/>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28172FB3">
            <w:pPr>
              <w:pStyle w:val="16"/>
              <w:pageBreakBefore w:val="0"/>
              <w:wordWrap/>
              <w:bidi w:val="0"/>
              <w:adjustRightInd/>
              <w:snapToGrid/>
              <w:rPr>
                <w:color w:val="auto"/>
              </w:rPr>
            </w:pPr>
            <w:r>
              <w:rPr>
                <w:color w:val="auto"/>
              </w:rPr>
              <w:t>潜水搅拌机</w:t>
            </w:r>
          </w:p>
        </w:tc>
        <w:tc>
          <w:tcPr>
            <w:tcW w:w="1532" w:type="pct"/>
            <w:tcBorders>
              <w:tl2br w:val="nil"/>
              <w:tr2bl w:val="nil"/>
            </w:tcBorders>
            <w:noWrap w:val="0"/>
            <w:vAlign w:val="center"/>
          </w:tcPr>
          <w:p w14:paraId="1A271AF8">
            <w:pPr>
              <w:pStyle w:val="16"/>
              <w:pageBreakBefore w:val="0"/>
              <w:wordWrap/>
              <w:bidi w:val="0"/>
              <w:adjustRightInd/>
              <w:snapToGrid/>
              <w:rPr>
                <w:color w:val="auto"/>
              </w:rPr>
            </w:pPr>
            <w:r>
              <w:rPr>
                <w:color w:val="auto"/>
              </w:rPr>
              <w:t>N=</w:t>
            </w:r>
            <w:r>
              <w:rPr>
                <w:rFonts w:hint="eastAsia"/>
                <w:color w:val="auto"/>
                <w:lang w:eastAsia="zh-CN"/>
              </w:rPr>
              <w:t>1</w:t>
            </w:r>
            <w:r>
              <w:rPr>
                <w:color w:val="auto"/>
              </w:rPr>
              <w:t>.5kW</w:t>
            </w:r>
          </w:p>
        </w:tc>
        <w:tc>
          <w:tcPr>
            <w:tcW w:w="612" w:type="pct"/>
            <w:tcBorders>
              <w:tl2br w:val="nil"/>
              <w:tr2bl w:val="nil"/>
            </w:tcBorders>
            <w:noWrap w:val="0"/>
            <w:vAlign w:val="center"/>
          </w:tcPr>
          <w:p w14:paraId="77CD18EE">
            <w:pPr>
              <w:pStyle w:val="16"/>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004A4A22">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42703AE">
            <w:pPr>
              <w:pStyle w:val="16"/>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5DD0264C">
            <w:pPr>
              <w:pStyle w:val="16"/>
              <w:pageBreakBefore w:val="0"/>
              <w:wordWrap/>
              <w:bidi w:val="0"/>
              <w:adjustRightInd/>
              <w:snapToGrid/>
              <w:rPr>
                <w:color w:val="auto"/>
              </w:rPr>
            </w:pPr>
          </w:p>
        </w:tc>
      </w:tr>
      <w:tr w14:paraId="29F8620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CAD898A">
            <w:pPr>
              <w:pStyle w:val="16"/>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37D4C52E">
            <w:pPr>
              <w:pStyle w:val="16"/>
              <w:pageBreakBefore w:val="0"/>
              <w:wordWrap/>
              <w:bidi w:val="0"/>
              <w:adjustRightInd/>
              <w:snapToGrid/>
              <w:rPr>
                <w:color w:val="auto"/>
              </w:rPr>
            </w:pPr>
            <w:r>
              <w:rPr>
                <w:color w:val="auto"/>
              </w:rPr>
              <w:t>橡胶接头</w:t>
            </w:r>
          </w:p>
        </w:tc>
        <w:tc>
          <w:tcPr>
            <w:tcW w:w="1532" w:type="pct"/>
            <w:tcBorders>
              <w:tl2br w:val="nil"/>
              <w:tr2bl w:val="nil"/>
            </w:tcBorders>
            <w:noWrap w:val="0"/>
            <w:vAlign w:val="center"/>
          </w:tcPr>
          <w:p w14:paraId="32458A56">
            <w:pPr>
              <w:pStyle w:val="16"/>
              <w:pageBreakBefore w:val="0"/>
              <w:wordWrap/>
              <w:bidi w:val="0"/>
              <w:adjustRightInd/>
              <w:snapToGrid/>
              <w:rPr>
                <w:color w:val="auto"/>
              </w:rPr>
            </w:pPr>
            <w:r>
              <w:rPr>
                <w:color w:val="auto"/>
              </w:rPr>
              <w:t>DN300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4799E686">
            <w:pPr>
              <w:pStyle w:val="16"/>
              <w:pageBreakBefore w:val="0"/>
              <w:wordWrap/>
              <w:bidi w:val="0"/>
              <w:adjustRightInd/>
              <w:snapToGrid/>
              <w:rPr>
                <w:color w:val="auto"/>
              </w:rPr>
            </w:pPr>
            <w:r>
              <w:rPr>
                <w:color w:val="auto"/>
              </w:rPr>
              <w:t>橡胶</w:t>
            </w:r>
          </w:p>
        </w:tc>
        <w:tc>
          <w:tcPr>
            <w:tcW w:w="279" w:type="pct"/>
            <w:tcBorders>
              <w:tl2br w:val="nil"/>
              <w:tr2bl w:val="nil"/>
            </w:tcBorders>
            <w:noWrap w:val="0"/>
            <w:vAlign w:val="center"/>
          </w:tcPr>
          <w:p w14:paraId="46079EEB">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20DE3972">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01A51D06">
            <w:pPr>
              <w:pStyle w:val="16"/>
              <w:pageBreakBefore w:val="0"/>
              <w:wordWrap/>
              <w:bidi w:val="0"/>
              <w:adjustRightInd/>
              <w:snapToGrid/>
              <w:rPr>
                <w:color w:val="auto"/>
              </w:rPr>
            </w:pPr>
            <w:r>
              <w:rPr>
                <w:color w:val="auto"/>
              </w:rPr>
              <w:t>配套法兰</w:t>
            </w:r>
            <w:r>
              <w:rPr>
                <w:rFonts w:hint="eastAsia"/>
                <w:color w:val="auto"/>
                <w:lang w:eastAsia="zh-CN"/>
              </w:rPr>
              <w:t>、</w:t>
            </w:r>
            <w:r>
              <w:rPr>
                <w:color w:val="auto"/>
              </w:rPr>
              <w:t>螺栓螺母及垫片</w:t>
            </w:r>
          </w:p>
        </w:tc>
      </w:tr>
      <w:tr w14:paraId="4562A97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E79273E">
            <w:pPr>
              <w:pStyle w:val="16"/>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29D3FEE9">
            <w:pPr>
              <w:pStyle w:val="16"/>
              <w:pageBreakBefore w:val="0"/>
              <w:wordWrap/>
              <w:bidi w:val="0"/>
              <w:adjustRightInd/>
              <w:snapToGrid/>
              <w:rPr>
                <w:color w:val="auto"/>
              </w:rPr>
            </w:pPr>
            <w:r>
              <w:rPr>
                <w:color w:val="auto"/>
              </w:rPr>
              <w:t>橡胶接头</w:t>
            </w:r>
          </w:p>
        </w:tc>
        <w:tc>
          <w:tcPr>
            <w:tcW w:w="1532" w:type="pct"/>
            <w:tcBorders>
              <w:tl2br w:val="nil"/>
              <w:tr2bl w:val="nil"/>
            </w:tcBorders>
            <w:noWrap w:val="0"/>
            <w:vAlign w:val="center"/>
          </w:tcPr>
          <w:p w14:paraId="456FF439">
            <w:pPr>
              <w:pStyle w:val="16"/>
              <w:pageBreakBefore w:val="0"/>
              <w:wordWrap/>
              <w:bidi w:val="0"/>
              <w:adjustRightInd/>
              <w:snapToGrid/>
              <w:rPr>
                <w:color w:val="auto"/>
              </w:rPr>
            </w:pPr>
            <w:r>
              <w:rPr>
                <w:color w:val="auto"/>
              </w:rPr>
              <w:t>DN200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21FCA5C0">
            <w:pPr>
              <w:pStyle w:val="16"/>
              <w:pageBreakBefore w:val="0"/>
              <w:wordWrap/>
              <w:bidi w:val="0"/>
              <w:adjustRightInd/>
              <w:snapToGrid/>
              <w:rPr>
                <w:color w:val="auto"/>
              </w:rPr>
            </w:pPr>
            <w:r>
              <w:rPr>
                <w:color w:val="auto"/>
              </w:rPr>
              <w:t>橡胶</w:t>
            </w:r>
          </w:p>
        </w:tc>
        <w:tc>
          <w:tcPr>
            <w:tcW w:w="279" w:type="pct"/>
            <w:tcBorders>
              <w:tl2br w:val="nil"/>
              <w:tr2bl w:val="nil"/>
            </w:tcBorders>
            <w:noWrap w:val="0"/>
            <w:vAlign w:val="center"/>
          </w:tcPr>
          <w:p w14:paraId="5D32D5C0">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1EE2DF96">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500B6B4C">
            <w:pPr>
              <w:pStyle w:val="16"/>
              <w:pageBreakBefore w:val="0"/>
              <w:wordWrap/>
              <w:bidi w:val="0"/>
              <w:adjustRightInd/>
              <w:snapToGrid/>
              <w:rPr>
                <w:color w:val="auto"/>
              </w:rPr>
            </w:pPr>
            <w:r>
              <w:rPr>
                <w:color w:val="auto"/>
              </w:rPr>
              <w:t>配套法兰</w:t>
            </w:r>
            <w:r>
              <w:rPr>
                <w:rFonts w:hint="eastAsia"/>
                <w:color w:val="auto"/>
                <w:lang w:eastAsia="zh-CN"/>
              </w:rPr>
              <w:t>、</w:t>
            </w:r>
            <w:r>
              <w:rPr>
                <w:color w:val="auto"/>
              </w:rPr>
              <w:t>螺栓螺母及垫片</w:t>
            </w:r>
          </w:p>
        </w:tc>
      </w:tr>
      <w:tr w14:paraId="3E793C9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89E80B2">
            <w:pPr>
              <w:pStyle w:val="16"/>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05772C31">
            <w:pPr>
              <w:pStyle w:val="16"/>
              <w:pageBreakBefore w:val="0"/>
              <w:wordWrap/>
              <w:bidi w:val="0"/>
              <w:adjustRightInd/>
              <w:snapToGrid/>
              <w:rPr>
                <w:color w:val="auto"/>
              </w:rPr>
            </w:pPr>
            <w:r>
              <w:rPr>
                <w:color w:val="auto"/>
              </w:rPr>
              <w:t>止回阀</w:t>
            </w:r>
          </w:p>
        </w:tc>
        <w:tc>
          <w:tcPr>
            <w:tcW w:w="1532" w:type="pct"/>
            <w:tcBorders>
              <w:tl2br w:val="nil"/>
              <w:tr2bl w:val="nil"/>
            </w:tcBorders>
            <w:noWrap w:val="0"/>
            <w:vAlign w:val="center"/>
          </w:tcPr>
          <w:p w14:paraId="74396F7C">
            <w:pPr>
              <w:pStyle w:val="16"/>
              <w:pageBreakBefore w:val="0"/>
              <w:wordWrap/>
              <w:bidi w:val="0"/>
              <w:adjustRightInd/>
              <w:snapToGrid/>
              <w:rPr>
                <w:color w:val="auto"/>
              </w:rPr>
            </w:pPr>
            <w:r>
              <w:rPr>
                <w:color w:val="auto"/>
              </w:rPr>
              <w:t>DN300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7F694DDE">
            <w:pPr>
              <w:pStyle w:val="16"/>
              <w:pageBreakBefore w:val="0"/>
              <w:wordWrap/>
              <w:bidi w:val="0"/>
              <w:adjustRightInd/>
              <w:snapToGrid/>
              <w:rPr>
                <w:color w:val="auto"/>
              </w:rPr>
            </w:pPr>
            <w:r>
              <w:rPr>
                <w:color w:val="auto"/>
              </w:rPr>
              <w:t>WCB</w:t>
            </w:r>
          </w:p>
        </w:tc>
        <w:tc>
          <w:tcPr>
            <w:tcW w:w="279" w:type="pct"/>
            <w:tcBorders>
              <w:tl2br w:val="nil"/>
              <w:tr2bl w:val="nil"/>
            </w:tcBorders>
            <w:noWrap w:val="0"/>
            <w:vAlign w:val="center"/>
          </w:tcPr>
          <w:p w14:paraId="555FCCBF">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61A0208A">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334CCB8B">
            <w:pPr>
              <w:pStyle w:val="16"/>
              <w:pageBreakBefore w:val="0"/>
              <w:wordWrap/>
              <w:bidi w:val="0"/>
              <w:adjustRightInd/>
              <w:snapToGrid/>
              <w:rPr>
                <w:color w:val="auto"/>
              </w:rPr>
            </w:pPr>
            <w:r>
              <w:rPr>
                <w:color w:val="auto"/>
              </w:rPr>
              <w:t>配套法兰</w:t>
            </w:r>
            <w:r>
              <w:rPr>
                <w:rFonts w:hint="eastAsia"/>
                <w:color w:val="auto"/>
                <w:lang w:eastAsia="zh-CN"/>
              </w:rPr>
              <w:t>、</w:t>
            </w:r>
            <w:r>
              <w:rPr>
                <w:color w:val="auto"/>
              </w:rPr>
              <w:t>螺栓螺母及垫片</w:t>
            </w:r>
          </w:p>
        </w:tc>
      </w:tr>
      <w:tr w14:paraId="578BD91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0B1C37C">
            <w:pPr>
              <w:pStyle w:val="16"/>
              <w:pageBreakBefore w:val="0"/>
              <w:wordWrap/>
              <w:bidi w:val="0"/>
              <w:adjustRightInd/>
              <w:snapToGrid/>
              <w:rPr>
                <w:color w:val="auto"/>
              </w:rPr>
            </w:pPr>
            <w:r>
              <w:rPr>
                <w:color w:val="auto"/>
              </w:rPr>
              <w:t>9</w:t>
            </w:r>
          </w:p>
        </w:tc>
        <w:tc>
          <w:tcPr>
            <w:tcW w:w="843" w:type="pct"/>
            <w:gridSpan w:val="2"/>
            <w:tcBorders>
              <w:tl2br w:val="nil"/>
              <w:tr2bl w:val="nil"/>
            </w:tcBorders>
            <w:noWrap w:val="0"/>
            <w:vAlign w:val="center"/>
          </w:tcPr>
          <w:p w14:paraId="2513F678">
            <w:pPr>
              <w:pStyle w:val="16"/>
              <w:pageBreakBefore w:val="0"/>
              <w:wordWrap/>
              <w:bidi w:val="0"/>
              <w:adjustRightInd/>
              <w:snapToGrid/>
              <w:rPr>
                <w:color w:val="auto"/>
              </w:rPr>
            </w:pPr>
            <w:r>
              <w:rPr>
                <w:color w:val="auto"/>
              </w:rPr>
              <w:t>止回阀</w:t>
            </w:r>
          </w:p>
        </w:tc>
        <w:tc>
          <w:tcPr>
            <w:tcW w:w="1532" w:type="pct"/>
            <w:tcBorders>
              <w:tl2br w:val="nil"/>
              <w:tr2bl w:val="nil"/>
            </w:tcBorders>
            <w:noWrap w:val="0"/>
            <w:vAlign w:val="center"/>
          </w:tcPr>
          <w:p w14:paraId="6920FC44">
            <w:pPr>
              <w:pStyle w:val="16"/>
              <w:pageBreakBefore w:val="0"/>
              <w:wordWrap/>
              <w:bidi w:val="0"/>
              <w:adjustRightInd/>
              <w:snapToGrid/>
              <w:rPr>
                <w:color w:val="auto"/>
              </w:rPr>
            </w:pPr>
            <w:r>
              <w:rPr>
                <w:color w:val="auto"/>
              </w:rPr>
              <w:t>DN200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2D2CFA7C">
            <w:pPr>
              <w:pStyle w:val="16"/>
              <w:pageBreakBefore w:val="0"/>
              <w:wordWrap/>
              <w:bidi w:val="0"/>
              <w:adjustRightInd/>
              <w:snapToGrid/>
              <w:rPr>
                <w:color w:val="auto"/>
              </w:rPr>
            </w:pPr>
            <w:r>
              <w:rPr>
                <w:color w:val="auto"/>
              </w:rPr>
              <w:t>WCB</w:t>
            </w:r>
          </w:p>
        </w:tc>
        <w:tc>
          <w:tcPr>
            <w:tcW w:w="279" w:type="pct"/>
            <w:tcBorders>
              <w:tl2br w:val="nil"/>
              <w:tr2bl w:val="nil"/>
            </w:tcBorders>
            <w:noWrap w:val="0"/>
            <w:vAlign w:val="center"/>
          </w:tcPr>
          <w:p w14:paraId="208BAD84">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A44F240">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14953534">
            <w:pPr>
              <w:pStyle w:val="16"/>
              <w:pageBreakBefore w:val="0"/>
              <w:wordWrap/>
              <w:bidi w:val="0"/>
              <w:adjustRightInd/>
              <w:snapToGrid/>
              <w:rPr>
                <w:color w:val="auto"/>
              </w:rPr>
            </w:pPr>
            <w:r>
              <w:rPr>
                <w:color w:val="auto"/>
              </w:rPr>
              <w:t>配套法兰</w:t>
            </w:r>
            <w:r>
              <w:rPr>
                <w:rFonts w:hint="eastAsia"/>
                <w:color w:val="auto"/>
                <w:lang w:eastAsia="zh-CN"/>
              </w:rPr>
              <w:t>、</w:t>
            </w:r>
            <w:r>
              <w:rPr>
                <w:color w:val="auto"/>
              </w:rPr>
              <w:t>螺栓螺母及垫片</w:t>
            </w:r>
          </w:p>
        </w:tc>
      </w:tr>
      <w:tr w14:paraId="0DB0CAD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5F99576">
            <w:pPr>
              <w:pStyle w:val="16"/>
              <w:pageBreakBefore w:val="0"/>
              <w:wordWrap/>
              <w:bidi w:val="0"/>
              <w:adjustRightInd/>
              <w:snapToGrid/>
              <w:rPr>
                <w:color w:val="auto"/>
              </w:rPr>
            </w:pPr>
            <w:r>
              <w:rPr>
                <w:color w:val="auto"/>
              </w:rPr>
              <w:t>10</w:t>
            </w:r>
          </w:p>
        </w:tc>
        <w:tc>
          <w:tcPr>
            <w:tcW w:w="843" w:type="pct"/>
            <w:gridSpan w:val="2"/>
            <w:tcBorders>
              <w:tl2br w:val="nil"/>
              <w:tr2bl w:val="nil"/>
            </w:tcBorders>
            <w:noWrap w:val="0"/>
            <w:vAlign w:val="center"/>
          </w:tcPr>
          <w:p w14:paraId="77F74548">
            <w:pPr>
              <w:pStyle w:val="16"/>
              <w:pageBreakBefore w:val="0"/>
              <w:wordWrap/>
              <w:bidi w:val="0"/>
              <w:adjustRightInd/>
              <w:snapToGrid/>
              <w:rPr>
                <w:color w:val="auto"/>
              </w:rPr>
            </w:pPr>
            <w:r>
              <w:rPr>
                <w:color w:val="auto"/>
              </w:rPr>
              <w:t>手动闸阀</w:t>
            </w:r>
          </w:p>
        </w:tc>
        <w:tc>
          <w:tcPr>
            <w:tcW w:w="1532" w:type="pct"/>
            <w:tcBorders>
              <w:tl2br w:val="nil"/>
              <w:tr2bl w:val="nil"/>
            </w:tcBorders>
            <w:noWrap w:val="0"/>
            <w:vAlign w:val="center"/>
          </w:tcPr>
          <w:p w14:paraId="56356E79">
            <w:pPr>
              <w:pStyle w:val="16"/>
              <w:pageBreakBefore w:val="0"/>
              <w:wordWrap/>
              <w:bidi w:val="0"/>
              <w:adjustRightInd/>
              <w:snapToGrid/>
              <w:rPr>
                <w:color w:val="auto"/>
              </w:rPr>
            </w:pPr>
            <w:r>
              <w:rPr>
                <w:color w:val="auto"/>
              </w:rPr>
              <w:t>DN300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7A287DE8">
            <w:pPr>
              <w:pStyle w:val="16"/>
              <w:pageBreakBefore w:val="0"/>
              <w:wordWrap/>
              <w:bidi w:val="0"/>
              <w:adjustRightInd/>
              <w:snapToGrid/>
              <w:rPr>
                <w:color w:val="auto"/>
              </w:rPr>
            </w:pPr>
            <w:r>
              <w:rPr>
                <w:color w:val="auto"/>
              </w:rPr>
              <w:t>WCB</w:t>
            </w:r>
          </w:p>
        </w:tc>
        <w:tc>
          <w:tcPr>
            <w:tcW w:w="279" w:type="pct"/>
            <w:tcBorders>
              <w:tl2br w:val="nil"/>
              <w:tr2bl w:val="nil"/>
            </w:tcBorders>
            <w:noWrap w:val="0"/>
            <w:vAlign w:val="center"/>
          </w:tcPr>
          <w:p w14:paraId="5AAC6E74">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53CC1554">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53CDE465">
            <w:pPr>
              <w:pStyle w:val="16"/>
              <w:pageBreakBefore w:val="0"/>
              <w:wordWrap/>
              <w:bidi w:val="0"/>
              <w:adjustRightInd/>
              <w:snapToGrid/>
              <w:rPr>
                <w:color w:val="auto"/>
              </w:rPr>
            </w:pPr>
            <w:r>
              <w:rPr>
                <w:color w:val="auto"/>
              </w:rPr>
              <w:t>配套法兰</w:t>
            </w:r>
            <w:r>
              <w:rPr>
                <w:rFonts w:hint="eastAsia"/>
                <w:color w:val="auto"/>
                <w:lang w:eastAsia="zh-CN"/>
              </w:rPr>
              <w:t>、</w:t>
            </w:r>
            <w:r>
              <w:rPr>
                <w:color w:val="auto"/>
              </w:rPr>
              <w:t>螺栓螺母及垫片</w:t>
            </w:r>
          </w:p>
        </w:tc>
      </w:tr>
      <w:tr w14:paraId="52A83E8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C996649">
            <w:pPr>
              <w:pStyle w:val="16"/>
              <w:pageBreakBefore w:val="0"/>
              <w:wordWrap/>
              <w:bidi w:val="0"/>
              <w:adjustRightInd/>
              <w:snapToGrid/>
              <w:rPr>
                <w:color w:val="auto"/>
              </w:rPr>
            </w:pPr>
            <w:r>
              <w:rPr>
                <w:color w:val="auto"/>
              </w:rPr>
              <w:t>11</w:t>
            </w:r>
          </w:p>
        </w:tc>
        <w:tc>
          <w:tcPr>
            <w:tcW w:w="843" w:type="pct"/>
            <w:gridSpan w:val="2"/>
            <w:tcBorders>
              <w:tl2br w:val="nil"/>
              <w:tr2bl w:val="nil"/>
            </w:tcBorders>
            <w:noWrap w:val="0"/>
            <w:vAlign w:val="center"/>
          </w:tcPr>
          <w:p w14:paraId="6F8C1665">
            <w:pPr>
              <w:pStyle w:val="16"/>
              <w:pageBreakBefore w:val="0"/>
              <w:wordWrap/>
              <w:bidi w:val="0"/>
              <w:adjustRightInd/>
              <w:snapToGrid/>
              <w:rPr>
                <w:color w:val="auto"/>
              </w:rPr>
            </w:pPr>
            <w:r>
              <w:rPr>
                <w:color w:val="auto"/>
              </w:rPr>
              <w:t>手动闸阀</w:t>
            </w:r>
          </w:p>
        </w:tc>
        <w:tc>
          <w:tcPr>
            <w:tcW w:w="1532" w:type="pct"/>
            <w:tcBorders>
              <w:tl2br w:val="nil"/>
              <w:tr2bl w:val="nil"/>
            </w:tcBorders>
            <w:noWrap w:val="0"/>
            <w:vAlign w:val="center"/>
          </w:tcPr>
          <w:p w14:paraId="3BC95F51">
            <w:pPr>
              <w:pStyle w:val="16"/>
              <w:pageBreakBefore w:val="0"/>
              <w:wordWrap/>
              <w:bidi w:val="0"/>
              <w:adjustRightInd/>
              <w:snapToGrid/>
              <w:rPr>
                <w:color w:val="auto"/>
              </w:rPr>
            </w:pPr>
            <w:r>
              <w:rPr>
                <w:color w:val="auto"/>
              </w:rPr>
              <w:t>DN200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10325EDB">
            <w:pPr>
              <w:pStyle w:val="16"/>
              <w:pageBreakBefore w:val="0"/>
              <w:wordWrap/>
              <w:bidi w:val="0"/>
              <w:adjustRightInd/>
              <w:snapToGrid/>
              <w:rPr>
                <w:color w:val="auto"/>
              </w:rPr>
            </w:pPr>
            <w:r>
              <w:rPr>
                <w:color w:val="auto"/>
              </w:rPr>
              <w:t>WCB</w:t>
            </w:r>
          </w:p>
        </w:tc>
        <w:tc>
          <w:tcPr>
            <w:tcW w:w="279" w:type="pct"/>
            <w:tcBorders>
              <w:tl2br w:val="nil"/>
              <w:tr2bl w:val="nil"/>
            </w:tcBorders>
            <w:noWrap w:val="0"/>
            <w:vAlign w:val="center"/>
          </w:tcPr>
          <w:p w14:paraId="0A35991C">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0D0234A">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078E1E06">
            <w:pPr>
              <w:pStyle w:val="16"/>
              <w:pageBreakBefore w:val="0"/>
              <w:wordWrap/>
              <w:bidi w:val="0"/>
              <w:adjustRightInd/>
              <w:snapToGrid/>
              <w:rPr>
                <w:color w:val="auto"/>
              </w:rPr>
            </w:pPr>
            <w:r>
              <w:rPr>
                <w:color w:val="auto"/>
              </w:rPr>
              <w:t>配套法兰</w:t>
            </w:r>
            <w:r>
              <w:rPr>
                <w:rFonts w:hint="eastAsia"/>
                <w:color w:val="auto"/>
                <w:lang w:eastAsia="zh-CN"/>
              </w:rPr>
              <w:t>、</w:t>
            </w:r>
            <w:r>
              <w:rPr>
                <w:color w:val="auto"/>
              </w:rPr>
              <w:t>螺栓螺母及垫片</w:t>
            </w:r>
          </w:p>
        </w:tc>
      </w:tr>
      <w:tr w14:paraId="669C5E0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12B2749">
            <w:pPr>
              <w:pStyle w:val="16"/>
              <w:pageBreakBefore w:val="0"/>
              <w:wordWrap/>
              <w:bidi w:val="0"/>
              <w:adjustRightInd/>
              <w:snapToGrid/>
              <w:rPr>
                <w:color w:val="auto"/>
              </w:rPr>
            </w:pPr>
            <w:r>
              <w:rPr>
                <w:color w:val="auto"/>
              </w:rPr>
              <w:t>12</w:t>
            </w:r>
          </w:p>
        </w:tc>
        <w:tc>
          <w:tcPr>
            <w:tcW w:w="843" w:type="pct"/>
            <w:gridSpan w:val="2"/>
            <w:tcBorders>
              <w:tl2br w:val="nil"/>
              <w:tr2bl w:val="nil"/>
            </w:tcBorders>
            <w:noWrap w:val="0"/>
            <w:vAlign w:val="center"/>
          </w:tcPr>
          <w:p w14:paraId="71636737">
            <w:pPr>
              <w:pStyle w:val="16"/>
              <w:pageBreakBefore w:val="0"/>
              <w:wordWrap/>
              <w:bidi w:val="0"/>
              <w:adjustRightInd/>
              <w:snapToGrid/>
              <w:rPr>
                <w:color w:val="auto"/>
              </w:rPr>
            </w:pPr>
            <w:r>
              <w:rPr>
                <w:color w:val="auto"/>
              </w:rPr>
              <w:t>有毒气体检测仪</w:t>
            </w:r>
          </w:p>
        </w:tc>
        <w:tc>
          <w:tcPr>
            <w:tcW w:w="1532" w:type="pct"/>
            <w:tcBorders>
              <w:tl2br w:val="nil"/>
              <w:tr2bl w:val="nil"/>
            </w:tcBorders>
            <w:noWrap w:val="0"/>
            <w:vAlign w:val="center"/>
          </w:tcPr>
          <w:p w14:paraId="6FFA7B96">
            <w:pPr>
              <w:pStyle w:val="16"/>
              <w:pageBreakBefore w:val="0"/>
              <w:wordWrap/>
              <w:bidi w:val="0"/>
              <w:adjustRightInd/>
              <w:snapToGrid/>
              <w:rPr>
                <w:color w:val="auto"/>
              </w:rPr>
            </w:pPr>
            <w:r>
              <w:rPr>
                <w:color w:val="auto"/>
              </w:rPr>
              <w:t>0~50ppm</w:t>
            </w:r>
          </w:p>
        </w:tc>
        <w:tc>
          <w:tcPr>
            <w:tcW w:w="612" w:type="pct"/>
            <w:tcBorders>
              <w:tl2br w:val="nil"/>
              <w:tr2bl w:val="nil"/>
            </w:tcBorders>
            <w:noWrap w:val="0"/>
            <w:vAlign w:val="center"/>
          </w:tcPr>
          <w:p w14:paraId="64409578">
            <w:pPr>
              <w:pStyle w:val="16"/>
              <w:pageBreakBefore w:val="0"/>
              <w:wordWrap/>
              <w:bidi w:val="0"/>
              <w:adjustRightInd/>
              <w:snapToGrid/>
              <w:rPr>
                <w:color w:val="auto"/>
              </w:rPr>
            </w:pPr>
          </w:p>
        </w:tc>
        <w:tc>
          <w:tcPr>
            <w:tcW w:w="279" w:type="pct"/>
            <w:tcBorders>
              <w:tl2br w:val="nil"/>
              <w:tr2bl w:val="nil"/>
            </w:tcBorders>
            <w:noWrap w:val="0"/>
            <w:vAlign w:val="center"/>
          </w:tcPr>
          <w:p w14:paraId="35222EB5">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944C4F4">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19F2FDBE">
            <w:pPr>
              <w:pStyle w:val="16"/>
              <w:pageBreakBefore w:val="0"/>
              <w:wordWrap/>
              <w:bidi w:val="0"/>
              <w:adjustRightInd/>
              <w:snapToGrid/>
              <w:rPr>
                <w:color w:val="auto"/>
              </w:rPr>
            </w:pPr>
            <w:r>
              <w:rPr>
                <w:color w:val="auto"/>
              </w:rPr>
              <w:t>计入自控</w:t>
            </w:r>
          </w:p>
        </w:tc>
      </w:tr>
      <w:tr w14:paraId="37E444F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7A6A619">
            <w:pPr>
              <w:pStyle w:val="16"/>
              <w:pageBreakBefore w:val="0"/>
              <w:wordWrap/>
              <w:bidi w:val="0"/>
              <w:adjustRightInd/>
              <w:snapToGrid/>
              <w:rPr>
                <w:color w:val="auto"/>
              </w:rPr>
            </w:pPr>
            <w:r>
              <w:rPr>
                <w:color w:val="auto"/>
              </w:rPr>
              <w:t>13</w:t>
            </w:r>
          </w:p>
        </w:tc>
        <w:tc>
          <w:tcPr>
            <w:tcW w:w="843" w:type="pct"/>
            <w:gridSpan w:val="2"/>
            <w:tcBorders>
              <w:tl2br w:val="nil"/>
              <w:tr2bl w:val="nil"/>
            </w:tcBorders>
            <w:noWrap w:val="0"/>
            <w:vAlign w:val="center"/>
          </w:tcPr>
          <w:p w14:paraId="5A373ED6">
            <w:pPr>
              <w:pStyle w:val="16"/>
              <w:pageBreakBefore w:val="0"/>
              <w:wordWrap/>
              <w:bidi w:val="0"/>
              <w:adjustRightInd/>
              <w:snapToGrid/>
              <w:rPr>
                <w:color w:val="auto"/>
              </w:rPr>
            </w:pPr>
            <w:r>
              <w:rPr>
                <w:color w:val="auto"/>
              </w:rPr>
              <w:t>液位计</w:t>
            </w:r>
          </w:p>
        </w:tc>
        <w:tc>
          <w:tcPr>
            <w:tcW w:w="1532" w:type="pct"/>
            <w:tcBorders>
              <w:tl2br w:val="nil"/>
              <w:tr2bl w:val="nil"/>
            </w:tcBorders>
            <w:noWrap w:val="0"/>
            <w:vAlign w:val="center"/>
          </w:tcPr>
          <w:p w14:paraId="25F83A1B">
            <w:pPr>
              <w:pStyle w:val="16"/>
              <w:pageBreakBefore w:val="0"/>
              <w:wordWrap/>
              <w:bidi w:val="0"/>
              <w:adjustRightInd/>
              <w:snapToGrid/>
              <w:rPr>
                <w:color w:val="auto"/>
              </w:rPr>
            </w:pPr>
            <w:r>
              <w:rPr>
                <w:color w:val="auto"/>
              </w:rPr>
              <w:t>0-10m</w:t>
            </w:r>
          </w:p>
        </w:tc>
        <w:tc>
          <w:tcPr>
            <w:tcW w:w="612" w:type="pct"/>
            <w:tcBorders>
              <w:tl2br w:val="nil"/>
              <w:tr2bl w:val="nil"/>
            </w:tcBorders>
            <w:noWrap w:val="0"/>
            <w:vAlign w:val="center"/>
          </w:tcPr>
          <w:p w14:paraId="6712F4CB">
            <w:pPr>
              <w:pStyle w:val="16"/>
              <w:pageBreakBefore w:val="0"/>
              <w:wordWrap/>
              <w:bidi w:val="0"/>
              <w:adjustRightInd/>
              <w:snapToGrid/>
              <w:rPr>
                <w:color w:val="auto"/>
              </w:rPr>
            </w:pPr>
          </w:p>
        </w:tc>
        <w:tc>
          <w:tcPr>
            <w:tcW w:w="279" w:type="pct"/>
            <w:tcBorders>
              <w:tl2br w:val="nil"/>
              <w:tr2bl w:val="nil"/>
            </w:tcBorders>
            <w:noWrap w:val="0"/>
            <w:vAlign w:val="center"/>
          </w:tcPr>
          <w:p w14:paraId="1F4A7FE6">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8C855F3">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24E7DA6F">
            <w:pPr>
              <w:pStyle w:val="16"/>
              <w:pageBreakBefore w:val="0"/>
              <w:wordWrap/>
              <w:bidi w:val="0"/>
              <w:adjustRightInd/>
              <w:snapToGrid/>
              <w:rPr>
                <w:color w:val="auto"/>
              </w:rPr>
            </w:pPr>
            <w:r>
              <w:rPr>
                <w:color w:val="auto"/>
              </w:rPr>
              <w:t>计入自控用于调节池</w:t>
            </w:r>
          </w:p>
        </w:tc>
      </w:tr>
      <w:tr w14:paraId="576D292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FDE48ED">
            <w:pPr>
              <w:pStyle w:val="16"/>
              <w:pageBreakBefore w:val="0"/>
              <w:wordWrap/>
              <w:bidi w:val="0"/>
              <w:adjustRightInd/>
              <w:snapToGrid/>
              <w:rPr>
                <w:color w:val="auto"/>
              </w:rPr>
            </w:pPr>
            <w:r>
              <w:rPr>
                <w:color w:val="auto"/>
              </w:rPr>
              <w:t>14</w:t>
            </w:r>
          </w:p>
        </w:tc>
        <w:tc>
          <w:tcPr>
            <w:tcW w:w="843" w:type="pct"/>
            <w:gridSpan w:val="2"/>
            <w:tcBorders>
              <w:tl2br w:val="nil"/>
              <w:tr2bl w:val="nil"/>
            </w:tcBorders>
            <w:noWrap w:val="0"/>
            <w:vAlign w:val="center"/>
          </w:tcPr>
          <w:p w14:paraId="5BC3F384">
            <w:pPr>
              <w:pStyle w:val="16"/>
              <w:pageBreakBefore w:val="0"/>
              <w:wordWrap/>
              <w:bidi w:val="0"/>
              <w:adjustRightInd/>
              <w:snapToGrid/>
              <w:rPr>
                <w:color w:val="auto"/>
              </w:rPr>
            </w:pPr>
            <w:r>
              <w:rPr>
                <w:color w:val="auto"/>
              </w:rPr>
              <w:t>电动葫芦</w:t>
            </w:r>
          </w:p>
        </w:tc>
        <w:tc>
          <w:tcPr>
            <w:tcW w:w="1532" w:type="pct"/>
            <w:tcBorders>
              <w:tl2br w:val="nil"/>
              <w:tr2bl w:val="nil"/>
            </w:tcBorders>
            <w:noWrap w:val="0"/>
            <w:vAlign w:val="center"/>
          </w:tcPr>
          <w:p w14:paraId="3ACA7EBE">
            <w:pPr>
              <w:pStyle w:val="16"/>
              <w:pageBreakBefore w:val="0"/>
              <w:wordWrap/>
              <w:bidi w:val="0"/>
              <w:adjustRightInd/>
              <w:snapToGrid/>
              <w:rPr>
                <w:color w:val="auto"/>
              </w:rPr>
            </w:pPr>
            <w:r>
              <w:rPr>
                <w:color w:val="auto"/>
              </w:rPr>
              <w:t>起吊高</w:t>
            </w:r>
            <w:r>
              <w:rPr>
                <w:rFonts w:hint="eastAsia"/>
                <w:color w:val="auto"/>
                <w:lang w:eastAsia="zh-CN"/>
              </w:rPr>
              <w:t>度</w:t>
            </w:r>
            <w:r>
              <w:rPr>
                <w:color w:val="auto"/>
              </w:rPr>
              <w:t>9.0m</w:t>
            </w:r>
            <w:r>
              <w:rPr>
                <w:rFonts w:hint="eastAsia"/>
                <w:color w:val="auto"/>
                <w:lang w:eastAsia="zh-CN"/>
              </w:rPr>
              <w:t>，</w:t>
            </w:r>
            <w:r>
              <w:rPr>
                <w:color w:val="auto"/>
              </w:rPr>
              <w:t>起吊重量</w:t>
            </w:r>
            <w:r>
              <w:rPr>
                <w:rFonts w:hint="eastAsia"/>
                <w:color w:val="auto"/>
                <w:lang w:eastAsia="zh-CN"/>
              </w:rPr>
              <w:t>1</w:t>
            </w:r>
            <w:r>
              <w:rPr>
                <w:color w:val="auto"/>
              </w:rPr>
              <w:t>t</w:t>
            </w:r>
            <w:r>
              <w:rPr>
                <w:rFonts w:hint="eastAsia"/>
                <w:color w:val="auto"/>
                <w:lang w:eastAsia="zh-CN"/>
              </w:rPr>
              <w:t>，</w:t>
            </w:r>
            <w:r>
              <w:rPr>
                <w:color w:val="auto"/>
              </w:rPr>
              <w:t>N=</w:t>
            </w:r>
            <w:r>
              <w:rPr>
                <w:rFonts w:hint="eastAsia"/>
                <w:color w:val="auto"/>
                <w:lang w:eastAsia="zh-CN"/>
              </w:rPr>
              <w:t>1</w:t>
            </w:r>
            <w:r>
              <w:rPr>
                <w:color w:val="auto"/>
              </w:rPr>
              <w:t>.5+2×0.2kW</w:t>
            </w:r>
          </w:p>
        </w:tc>
        <w:tc>
          <w:tcPr>
            <w:tcW w:w="612" w:type="pct"/>
            <w:tcBorders>
              <w:tl2br w:val="nil"/>
              <w:tr2bl w:val="nil"/>
            </w:tcBorders>
            <w:noWrap w:val="0"/>
            <w:vAlign w:val="center"/>
          </w:tcPr>
          <w:p w14:paraId="5CCDBDA2">
            <w:pPr>
              <w:pStyle w:val="16"/>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412FE9D7">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36AF478">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02A1247C">
            <w:pPr>
              <w:pStyle w:val="16"/>
              <w:pageBreakBefore w:val="0"/>
              <w:wordWrap/>
              <w:bidi w:val="0"/>
              <w:adjustRightInd/>
              <w:snapToGrid/>
              <w:rPr>
                <w:color w:val="auto"/>
              </w:rPr>
            </w:pPr>
          </w:p>
        </w:tc>
      </w:tr>
      <w:tr w14:paraId="437EB55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7E968FF5">
            <w:pPr>
              <w:pStyle w:val="16"/>
              <w:pageBreakBefore w:val="0"/>
              <w:wordWrap/>
              <w:bidi w:val="0"/>
              <w:adjustRightInd/>
              <w:snapToGrid/>
              <w:jc w:val="left"/>
              <w:rPr>
                <w:color w:val="auto"/>
              </w:rPr>
            </w:pPr>
            <w:r>
              <w:rPr>
                <w:b/>
                <w:bCs/>
                <w:color w:val="auto"/>
              </w:rPr>
              <w:t>水解酸化池设备一览表</w:t>
            </w:r>
          </w:p>
        </w:tc>
      </w:tr>
      <w:tr w14:paraId="751C7A1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D781DCF">
            <w:pPr>
              <w:pStyle w:val="16"/>
              <w:pageBreakBefore w:val="0"/>
              <w:wordWrap/>
              <w:bidi w:val="0"/>
              <w:adjustRightInd/>
              <w:snapToGrid/>
              <w:rPr>
                <w:rFonts w:hint="eastAsia" w:eastAsia="宋体"/>
                <w:b/>
                <w:bCs/>
                <w:color w:val="auto"/>
                <w:lang w:eastAsia="zh-CN"/>
              </w:rPr>
            </w:pPr>
            <w:r>
              <w:rPr>
                <w:rFonts w:hint="eastAsia"/>
                <w:b/>
                <w:bCs/>
                <w:color w:val="auto"/>
                <w:lang w:eastAsia="zh-CN"/>
              </w:rPr>
              <w:t>序号</w:t>
            </w:r>
          </w:p>
        </w:tc>
        <w:tc>
          <w:tcPr>
            <w:tcW w:w="843" w:type="pct"/>
            <w:gridSpan w:val="2"/>
            <w:tcBorders>
              <w:tl2br w:val="nil"/>
              <w:tr2bl w:val="nil"/>
            </w:tcBorders>
            <w:noWrap w:val="0"/>
            <w:vAlign w:val="center"/>
          </w:tcPr>
          <w:p w14:paraId="6A7EA75A">
            <w:pPr>
              <w:pStyle w:val="16"/>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739059EB">
            <w:pPr>
              <w:pStyle w:val="16"/>
              <w:pageBreakBefore w:val="0"/>
              <w:wordWrap/>
              <w:bidi w:val="0"/>
              <w:adjustRightInd/>
              <w:snapToGrid/>
              <w:rPr>
                <w:b/>
                <w:bCs/>
                <w:color w:val="auto"/>
              </w:rPr>
            </w:pPr>
            <w:r>
              <w:rPr>
                <w:b/>
                <w:bCs/>
                <w:color w:val="auto"/>
              </w:rPr>
              <w:t>规格型号及技术参数</w:t>
            </w:r>
          </w:p>
        </w:tc>
        <w:tc>
          <w:tcPr>
            <w:tcW w:w="612" w:type="pct"/>
            <w:tcBorders>
              <w:tl2br w:val="nil"/>
              <w:tr2bl w:val="nil"/>
            </w:tcBorders>
            <w:noWrap w:val="0"/>
            <w:vAlign w:val="center"/>
          </w:tcPr>
          <w:p w14:paraId="47B80A02">
            <w:pPr>
              <w:pStyle w:val="16"/>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2D71F4BF">
            <w:pPr>
              <w:pStyle w:val="16"/>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37F3B0E1">
            <w:pPr>
              <w:pStyle w:val="16"/>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685B56D1">
            <w:pPr>
              <w:pStyle w:val="16"/>
              <w:pageBreakBefore w:val="0"/>
              <w:wordWrap/>
              <w:bidi w:val="0"/>
              <w:adjustRightInd/>
              <w:snapToGrid/>
              <w:rPr>
                <w:b/>
                <w:bCs/>
                <w:color w:val="auto"/>
              </w:rPr>
            </w:pPr>
            <w:r>
              <w:rPr>
                <w:b/>
                <w:bCs/>
                <w:color w:val="auto"/>
              </w:rPr>
              <w:t>备注</w:t>
            </w:r>
          </w:p>
        </w:tc>
      </w:tr>
      <w:tr w14:paraId="78288EB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08CE18F">
            <w:pPr>
              <w:pStyle w:val="16"/>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4473D124">
            <w:pPr>
              <w:pStyle w:val="16"/>
              <w:pageBreakBefore w:val="0"/>
              <w:wordWrap/>
              <w:bidi w:val="0"/>
              <w:adjustRightInd/>
              <w:snapToGrid/>
              <w:rPr>
                <w:color w:val="auto"/>
              </w:rPr>
            </w:pPr>
            <w:r>
              <w:rPr>
                <w:color w:val="auto"/>
              </w:rPr>
              <w:t>手电方形铸铁镶铜闸板</w:t>
            </w:r>
          </w:p>
        </w:tc>
        <w:tc>
          <w:tcPr>
            <w:tcW w:w="1532" w:type="pct"/>
            <w:tcBorders>
              <w:tl2br w:val="nil"/>
              <w:tr2bl w:val="nil"/>
            </w:tcBorders>
            <w:noWrap w:val="0"/>
            <w:vAlign w:val="center"/>
          </w:tcPr>
          <w:p w14:paraId="760E30F6">
            <w:pPr>
              <w:pStyle w:val="16"/>
              <w:pageBreakBefore w:val="0"/>
              <w:wordWrap/>
              <w:bidi w:val="0"/>
              <w:adjustRightInd/>
              <w:snapToGrid/>
              <w:rPr>
                <w:color w:val="auto"/>
              </w:rPr>
            </w:pPr>
            <w:r>
              <w:rPr>
                <w:color w:val="auto"/>
              </w:rPr>
              <w:t>A×B=300×300</w:t>
            </w:r>
            <w:r>
              <w:rPr>
                <w:rFonts w:hint="eastAsia"/>
                <w:color w:val="auto"/>
                <w:lang w:eastAsia="zh-CN"/>
              </w:rPr>
              <w:t>，</w:t>
            </w:r>
            <w:r>
              <w:rPr>
                <w:color w:val="auto"/>
              </w:rPr>
              <w:t>H=5.55m</w:t>
            </w:r>
            <w:r>
              <w:rPr>
                <w:rFonts w:hint="eastAsia"/>
                <w:color w:val="auto"/>
                <w:lang w:eastAsia="zh-CN"/>
              </w:rPr>
              <w:t>，</w:t>
            </w:r>
            <w:r>
              <w:rPr>
                <w:color w:val="auto"/>
              </w:rPr>
              <w:t>配手电两用启闭机</w:t>
            </w:r>
            <w:r>
              <w:rPr>
                <w:rFonts w:hint="eastAsia"/>
                <w:color w:val="auto"/>
                <w:lang w:eastAsia="zh-CN"/>
              </w:rPr>
              <w:t>，</w:t>
            </w:r>
            <w:r>
              <w:rPr>
                <w:color w:val="auto"/>
              </w:rPr>
              <w:t>N=0.75kW</w:t>
            </w:r>
          </w:p>
        </w:tc>
        <w:tc>
          <w:tcPr>
            <w:tcW w:w="612" w:type="pct"/>
            <w:tcBorders>
              <w:tl2br w:val="nil"/>
              <w:tr2bl w:val="nil"/>
            </w:tcBorders>
            <w:noWrap w:val="0"/>
            <w:vAlign w:val="center"/>
          </w:tcPr>
          <w:p w14:paraId="375599AD">
            <w:pPr>
              <w:pStyle w:val="16"/>
              <w:pageBreakBefore w:val="0"/>
              <w:wordWrap/>
              <w:bidi w:val="0"/>
              <w:adjustRightInd/>
              <w:snapToGrid/>
              <w:rPr>
                <w:color w:val="auto"/>
              </w:rPr>
            </w:pPr>
          </w:p>
        </w:tc>
        <w:tc>
          <w:tcPr>
            <w:tcW w:w="279" w:type="pct"/>
            <w:tcBorders>
              <w:tl2br w:val="nil"/>
              <w:tr2bl w:val="nil"/>
            </w:tcBorders>
            <w:noWrap w:val="0"/>
            <w:vAlign w:val="center"/>
          </w:tcPr>
          <w:p w14:paraId="3B331009">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29A6031">
            <w:pPr>
              <w:pStyle w:val="16"/>
              <w:pageBreakBefore w:val="0"/>
              <w:wordWrap/>
              <w:bidi w:val="0"/>
              <w:adjustRightInd/>
              <w:snapToGrid/>
              <w:rPr>
                <w:rFonts w:hint="eastAsia" w:eastAsia="宋体"/>
                <w:color w:val="auto"/>
                <w:lang w:eastAsia="zh-CN"/>
              </w:rPr>
            </w:pPr>
            <w:r>
              <w:rPr>
                <w:rFonts w:hint="eastAsia"/>
                <w:color w:val="auto"/>
                <w:lang w:val="en-US" w:eastAsia="zh-CN"/>
              </w:rPr>
              <w:t>4</w:t>
            </w:r>
          </w:p>
        </w:tc>
        <w:tc>
          <w:tcPr>
            <w:tcW w:w="1132" w:type="pct"/>
            <w:tcBorders>
              <w:tl2br w:val="nil"/>
              <w:tr2bl w:val="nil"/>
            </w:tcBorders>
            <w:noWrap w:val="0"/>
            <w:vAlign w:val="center"/>
          </w:tcPr>
          <w:p w14:paraId="475F525B">
            <w:pPr>
              <w:pStyle w:val="16"/>
              <w:pageBreakBefore w:val="0"/>
              <w:wordWrap/>
              <w:bidi w:val="0"/>
              <w:adjustRightInd/>
              <w:snapToGrid/>
              <w:rPr>
                <w:color w:val="auto"/>
              </w:rPr>
            </w:pPr>
          </w:p>
        </w:tc>
      </w:tr>
      <w:tr w14:paraId="52DA6D6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2897AD0">
            <w:pPr>
              <w:pStyle w:val="16"/>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0E8DCD8D">
            <w:pPr>
              <w:pStyle w:val="16"/>
              <w:pageBreakBefore w:val="0"/>
              <w:wordWrap/>
              <w:bidi w:val="0"/>
              <w:adjustRightInd/>
              <w:snapToGrid/>
              <w:rPr>
                <w:color w:val="auto"/>
              </w:rPr>
            </w:pPr>
            <w:r>
              <w:rPr>
                <w:color w:val="auto"/>
              </w:rPr>
              <w:t>污泥泵</w:t>
            </w:r>
          </w:p>
        </w:tc>
        <w:tc>
          <w:tcPr>
            <w:tcW w:w="1532" w:type="pct"/>
            <w:tcBorders>
              <w:tl2br w:val="nil"/>
              <w:tr2bl w:val="nil"/>
            </w:tcBorders>
            <w:noWrap w:val="0"/>
            <w:vAlign w:val="center"/>
          </w:tcPr>
          <w:p w14:paraId="6238266F">
            <w:pPr>
              <w:pStyle w:val="16"/>
              <w:pageBreakBefore w:val="0"/>
              <w:wordWrap/>
              <w:bidi w:val="0"/>
              <w:adjustRightInd/>
              <w:snapToGrid/>
              <w:rPr>
                <w:color w:val="auto"/>
              </w:rPr>
            </w:pPr>
            <w:r>
              <w:rPr>
                <w:color w:val="auto"/>
              </w:rPr>
              <w:t>离心泵</w:t>
            </w:r>
            <w:r>
              <w:rPr>
                <w:rFonts w:hint="eastAsia"/>
                <w:color w:val="auto"/>
                <w:lang w:eastAsia="zh-CN"/>
              </w:rPr>
              <w:t>：</w:t>
            </w:r>
            <w:r>
              <w:rPr>
                <w:color w:val="auto"/>
              </w:rPr>
              <w:t>Q=80</w:t>
            </w:r>
            <w:r>
              <w:rPr>
                <w:rFonts w:hint="eastAsia"/>
                <w:color w:val="auto"/>
                <w:lang w:eastAsia="zh-CN"/>
              </w:rPr>
              <w:t>m³</w:t>
            </w:r>
            <w:r>
              <w:rPr>
                <w:color w:val="auto"/>
              </w:rPr>
              <w:t>/h</w:t>
            </w:r>
            <w:r>
              <w:rPr>
                <w:rFonts w:hint="eastAsia"/>
                <w:color w:val="auto"/>
                <w:lang w:eastAsia="zh-CN"/>
              </w:rPr>
              <w:t>，</w:t>
            </w:r>
            <w:r>
              <w:rPr>
                <w:color w:val="auto"/>
              </w:rPr>
              <w:t>N=3kW</w:t>
            </w:r>
            <w:r>
              <w:rPr>
                <w:rFonts w:hint="eastAsia"/>
                <w:color w:val="auto"/>
                <w:lang w:eastAsia="zh-CN"/>
              </w:rPr>
              <w:t>，</w:t>
            </w:r>
            <w:r>
              <w:rPr>
                <w:color w:val="auto"/>
              </w:rPr>
              <w:t>H=8m</w:t>
            </w:r>
          </w:p>
        </w:tc>
        <w:tc>
          <w:tcPr>
            <w:tcW w:w="612" w:type="pct"/>
            <w:tcBorders>
              <w:tl2br w:val="nil"/>
              <w:tr2bl w:val="nil"/>
            </w:tcBorders>
            <w:noWrap w:val="0"/>
            <w:vAlign w:val="center"/>
          </w:tcPr>
          <w:p w14:paraId="01C61319">
            <w:pPr>
              <w:pStyle w:val="16"/>
              <w:pageBreakBefore w:val="0"/>
              <w:wordWrap/>
              <w:bidi w:val="0"/>
              <w:adjustRightInd/>
              <w:snapToGrid/>
              <w:rPr>
                <w:color w:val="auto"/>
              </w:rPr>
            </w:pPr>
          </w:p>
        </w:tc>
        <w:tc>
          <w:tcPr>
            <w:tcW w:w="279" w:type="pct"/>
            <w:tcBorders>
              <w:tl2br w:val="nil"/>
              <w:tr2bl w:val="nil"/>
            </w:tcBorders>
            <w:noWrap w:val="0"/>
            <w:vAlign w:val="center"/>
          </w:tcPr>
          <w:p w14:paraId="76BF978C">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C53520E">
            <w:pPr>
              <w:pStyle w:val="16"/>
              <w:pageBreakBefore w:val="0"/>
              <w:wordWrap/>
              <w:bidi w:val="0"/>
              <w:adjustRightInd/>
              <w:snapToGrid/>
              <w:rPr>
                <w:rFonts w:hint="default" w:eastAsia="宋体"/>
                <w:color w:val="auto"/>
                <w:lang w:val="en-US" w:eastAsia="zh-CN"/>
              </w:rPr>
            </w:pPr>
            <w:r>
              <w:rPr>
                <w:rFonts w:hint="eastAsia"/>
                <w:color w:val="auto"/>
                <w:lang w:val="en-US" w:eastAsia="zh-CN"/>
              </w:rPr>
              <w:t>10</w:t>
            </w:r>
          </w:p>
        </w:tc>
        <w:tc>
          <w:tcPr>
            <w:tcW w:w="1132" w:type="pct"/>
            <w:tcBorders>
              <w:tl2br w:val="nil"/>
              <w:tr2bl w:val="nil"/>
            </w:tcBorders>
            <w:noWrap w:val="0"/>
            <w:vAlign w:val="center"/>
          </w:tcPr>
          <w:p w14:paraId="05200C5C">
            <w:pPr>
              <w:pStyle w:val="16"/>
              <w:pageBreakBefore w:val="0"/>
              <w:wordWrap/>
              <w:bidi w:val="0"/>
              <w:adjustRightInd/>
              <w:snapToGrid/>
              <w:rPr>
                <w:rFonts w:hint="eastAsia" w:eastAsia="宋体"/>
                <w:color w:val="auto"/>
                <w:lang w:eastAsia="zh-CN"/>
              </w:rPr>
            </w:pPr>
            <w:r>
              <w:rPr>
                <w:color w:val="auto"/>
              </w:rPr>
              <w:t>水解池排泥泵</w:t>
            </w:r>
            <w:r>
              <w:rPr>
                <w:rFonts w:hint="eastAsia"/>
                <w:color w:val="auto"/>
                <w:lang w:eastAsia="zh-CN"/>
              </w:rPr>
              <w:t>，</w:t>
            </w:r>
            <w:r>
              <w:rPr>
                <w:rFonts w:hint="eastAsia"/>
                <w:color w:val="auto"/>
                <w:lang w:val="en-US" w:eastAsia="zh-CN"/>
              </w:rPr>
              <w:t>8</w:t>
            </w:r>
            <w:r>
              <w:rPr>
                <w:color w:val="auto"/>
              </w:rPr>
              <w:t>用</w:t>
            </w:r>
            <w:r>
              <w:rPr>
                <w:rFonts w:hint="eastAsia"/>
                <w:color w:val="auto"/>
                <w:lang w:val="en-US" w:eastAsia="zh-CN"/>
              </w:rPr>
              <w:t>2</w:t>
            </w:r>
            <w:r>
              <w:rPr>
                <w:color w:val="auto"/>
              </w:rPr>
              <w:t>备</w:t>
            </w:r>
            <w:r>
              <w:rPr>
                <w:rFonts w:hint="eastAsia"/>
                <w:color w:val="auto"/>
                <w:lang w:eastAsia="zh-CN"/>
              </w:rPr>
              <w:t>（</w:t>
            </w:r>
            <w:r>
              <w:rPr>
                <w:color w:val="auto"/>
              </w:rPr>
              <w:t>冷备</w:t>
            </w:r>
            <w:r>
              <w:rPr>
                <w:rFonts w:hint="eastAsia"/>
                <w:color w:val="auto"/>
                <w:lang w:eastAsia="zh-CN"/>
              </w:rPr>
              <w:t>）</w:t>
            </w:r>
          </w:p>
        </w:tc>
      </w:tr>
      <w:tr w14:paraId="64A020D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F8810FF">
            <w:pPr>
              <w:pStyle w:val="16"/>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0C7B5F54">
            <w:pPr>
              <w:pStyle w:val="16"/>
              <w:pageBreakBefore w:val="0"/>
              <w:wordWrap/>
              <w:bidi w:val="0"/>
              <w:adjustRightInd/>
              <w:snapToGrid/>
              <w:rPr>
                <w:color w:val="auto"/>
              </w:rPr>
            </w:pPr>
            <w:r>
              <w:rPr>
                <w:color w:val="auto"/>
              </w:rPr>
              <w:t>低速潜水推流器</w:t>
            </w:r>
          </w:p>
        </w:tc>
        <w:tc>
          <w:tcPr>
            <w:tcW w:w="1532" w:type="pct"/>
            <w:tcBorders>
              <w:tl2br w:val="nil"/>
              <w:tr2bl w:val="nil"/>
            </w:tcBorders>
            <w:noWrap w:val="0"/>
            <w:vAlign w:val="center"/>
          </w:tcPr>
          <w:p w14:paraId="1FE574C2">
            <w:pPr>
              <w:pStyle w:val="16"/>
              <w:pageBreakBefore w:val="0"/>
              <w:wordWrap/>
              <w:bidi w:val="0"/>
              <w:adjustRightInd/>
              <w:snapToGrid/>
              <w:rPr>
                <w:color w:val="auto"/>
              </w:rPr>
            </w:pPr>
            <w:r>
              <w:rPr>
                <w:color w:val="auto"/>
              </w:rPr>
              <w:t>QJB</w:t>
            </w:r>
            <w:r>
              <w:rPr>
                <w:rFonts w:hint="eastAsia"/>
                <w:color w:val="auto"/>
                <w:lang w:eastAsia="zh-CN"/>
              </w:rPr>
              <w:t>1</w:t>
            </w:r>
            <w:r>
              <w:rPr>
                <w:color w:val="auto"/>
              </w:rPr>
              <w:t>.5/8-400/3-740</w:t>
            </w:r>
            <w:r>
              <w:rPr>
                <w:rFonts w:hint="eastAsia"/>
                <w:color w:val="auto"/>
                <w:lang w:eastAsia="zh-CN"/>
              </w:rPr>
              <w:t>，</w:t>
            </w:r>
            <w:r>
              <w:rPr>
                <w:color w:val="auto"/>
              </w:rPr>
              <w:t>N=</w:t>
            </w:r>
            <w:r>
              <w:rPr>
                <w:rFonts w:hint="eastAsia"/>
                <w:color w:val="auto"/>
                <w:lang w:eastAsia="zh-CN"/>
              </w:rPr>
              <w:t>1</w:t>
            </w:r>
            <w:r>
              <w:rPr>
                <w:color w:val="auto"/>
              </w:rPr>
              <w:t>.5KW</w:t>
            </w:r>
          </w:p>
        </w:tc>
        <w:tc>
          <w:tcPr>
            <w:tcW w:w="612" w:type="pct"/>
            <w:tcBorders>
              <w:tl2br w:val="nil"/>
              <w:tr2bl w:val="nil"/>
            </w:tcBorders>
            <w:noWrap w:val="0"/>
            <w:vAlign w:val="center"/>
          </w:tcPr>
          <w:p w14:paraId="0C78918E">
            <w:pPr>
              <w:pStyle w:val="16"/>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049ADA82">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6F4ABE3">
            <w:pPr>
              <w:pStyle w:val="16"/>
              <w:pageBreakBefore w:val="0"/>
              <w:wordWrap/>
              <w:bidi w:val="0"/>
              <w:adjustRightInd/>
              <w:snapToGrid/>
              <w:rPr>
                <w:rFonts w:hint="eastAsia" w:eastAsia="宋体"/>
                <w:color w:val="auto"/>
                <w:lang w:eastAsia="zh-CN"/>
              </w:rPr>
            </w:pPr>
            <w:r>
              <w:rPr>
                <w:rFonts w:hint="eastAsia"/>
                <w:color w:val="auto"/>
                <w:lang w:val="en-US" w:eastAsia="zh-CN"/>
              </w:rPr>
              <w:t>4</w:t>
            </w:r>
          </w:p>
        </w:tc>
        <w:tc>
          <w:tcPr>
            <w:tcW w:w="1132" w:type="pct"/>
            <w:tcBorders>
              <w:tl2br w:val="nil"/>
              <w:tr2bl w:val="nil"/>
            </w:tcBorders>
            <w:noWrap w:val="0"/>
            <w:vAlign w:val="center"/>
          </w:tcPr>
          <w:p w14:paraId="5BB4987C">
            <w:pPr>
              <w:pStyle w:val="16"/>
              <w:pageBreakBefore w:val="0"/>
              <w:wordWrap/>
              <w:bidi w:val="0"/>
              <w:adjustRightInd/>
              <w:snapToGrid/>
              <w:rPr>
                <w:color w:val="auto"/>
              </w:rPr>
            </w:pPr>
            <w:r>
              <w:rPr>
                <w:color w:val="auto"/>
              </w:rPr>
              <w:t>带起吊设施</w:t>
            </w:r>
          </w:p>
        </w:tc>
      </w:tr>
      <w:tr w14:paraId="2FD40B7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C62DF39">
            <w:pPr>
              <w:pStyle w:val="16"/>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13AAFD0B">
            <w:pPr>
              <w:pStyle w:val="16"/>
              <w:pageBreakBefore w:val="0"/>
              <w:wordWrap/>
              <w:bidi w:val="0"/>
              <w:adjustRightInd/>
              <w:snapToGrid/>
              <w:rPr>
                <w:color w:val="auto"/>
              </w:rPr>
            </w:pPr>
            <w:r>
              <w:rPr>
                <w:color w:val="auto"/>
              </w:rPr>
              <w:t>组合式填料</w:t>
            </w:r>
          </w:p>
        </w:tc>
        <w:tc>
          <w:tcPr>
            <w:tcW w:w="1532" w:type="pct"/>
            <w:tcBorders>
              <w:tl2br w:val="nil"/>
              <w:tr2bl w:val="nil"/>
            </w:tcBorders>
            <w:noWrap w:val="0"/>
            <w:vAlign w:val="center"/>
          </w:tcPr>
          <w:p w14:paraId="30DB7998">
            <w:pPr>
              <w:pStyle w:val="16"/>
              <w:pageBreakBefore w:val="0"/>
              <w:wordWrap/>
              <w:bidi w:val="0"/>
              <w:adjustRightInd/>
              <w:snapToGrid/>
              <w:rPr>
                <w:color w:val="auto"/>
              </w:rPr>
            </w:pPr>
            <w:r>
              <w:rPr>
                <w:color w:val="auto"/>
              </w:rPr>
              <w:t>φ150×60</w:t>
            </w:r>
            <w:r>
              <w:rPr>
                <w:rFonts w:hint="eastAsia"/>
                <w:color w:val="auto"/>
                <w:lang w:eastAsia="zh-CN"/>
              </w:rPr>
              <w:t>，</w:t>
            </w:r>
            <w:r>
              <w:rPr>
                <w:color w:val="auto"/>
              </w:rPr>
              <w:t>含填料支架</w:t>
            </w:r>
          </w:p>
        </w:tc>
        <w:tc>
          <w:tcPr>
            <w:tcW w:w="612" w:type="pct"/>
            <w:tcBorders>
              <w:tl2br w:val="nil"/>
              <w:tr2bl w:val="nil"/>
            </w:tcBorders>
            <w:noWrap w:val="0"/>
            <w:vAlign w:val="center"/>
          </w:tcPr>
          <w:p w14:paraId="5AC7A99B">
            <w:pPr>
              <w:pStyle w:val="16"/>
              <w:pageBreakBefore w:val="0"/>
              <w:wordWrap/>
              <w:bidi w:val="0"/>
              <w:adjustRightInd/>
              <w:snapToGrid/>
              <w:rPr>
                <w:color w:val="auto"/>
              </w:rPr>
            </w:pPr>
          </w:p>
        </w:tc>
        <w:tc>
          <w:tcPr>
            <w:tcW w:w="279" w:type="pct"/>
            <w:tcBorders>
              <w:tl2br w:val="nil"/>
              <w:tr2bl w:val="nil"/>
            </w:tcBorders>
            <w:noWrap w:val="0"/>
            <w:vAlign w:val="center"/>
          </w:tcPr>
          <w:p w14:paraId="4B399722">
            <w:pPr>
              <w:pStyle w:val="16"/>
              <w:pageBreakBefore w:val="0"/>
              <w:wordWrap/>
              <w:bidi w:val="0"/>
              <w:adjustRightInd/>
              <w:snapToGrid/>
              <w:rPr>
                <w:rFonts w:hint="eastAsia" w:eastAsia="宋体"/>
                <w:color w:val="auto"/>
                <w:lang w:eastAsia="zh-CN"/>
              </w:rPr>
            </w:pPr>
            <w:r>
              <w:rPr>
                <w:rFonts w:hint="eastAsia"/>
                <w:color w:val="auto"/>
                <w:lang w:eastAsia="zh-CN"/>
              </w:rPr>
              <w:t>m³</w:t>
            </w:r>
          </w:p>
        </w:tc>
        <w:tc>
          <w:tcPr>
            <w:tcW w:w="244" w:type="pct"/>
            <w:tcBorders>
              <w:tl2br w:val="nil"/>
              <w:tr2bl w:val="nil"/>
            </w:tcBorders>
            <w:noWrap w:val="0"/>
            <w:vAlign w:val="center"/>
          </w:tcPr>
          <w:p w14:paraId="412D8234">
            <w:pPr>
              <w:pStyle w:val="16"/>
              <w:pageBreakBefore w:val="0"/>
              <w:wordWrap/>
              <w:bidi w:val="0"/>
              <w:adjustRightInd/>
              <w:snapToGrid/>
              <w:rPr>
                <w:rFonts w:hint="default" w:eastAsia="宋体"/>
                <w:color w:val="auto"/>
                <w:lang w:val="en-US" w:eastAsia="zh-CN"/>
              </w:rPr>
            </w:pPr>
            <w:r>
              <w:rPr>
                <w:rFonts w:hint="eastAsia"/>
                <w:color w:val="auto"/>
                <w:lang w:val="en-US" w:eastAsia="zh-CN"/>
              </w:rPr>
              <w:t>680</w:t>
            </w:r>
          </w:p>
        </w:tc>
        <w:tc>
          <w:tcPr>
            <w:tcW w:w="1132" w:type="pct"/>
            <w:tcBorders>
              <w:tl2br w:val="nil"/>
              <w:tr2bl w:val="nil"/>
            </w:tcBorders>
            <w:noWrap w:val="0"/>
            <w:vAlign w:val="center"/>
          </w:tcPr>
          <w:p w14:paraId="1B5D147C">
            <w:pPr>
              <w:pStyle w:val="16"/>
              <w:pageBreakBefore w:val="0"/>
              <w:wordWrap/>
              <w:bidi w:val="0"/>
              <w:adjustRightInd/>
              <w:snapToGrid/>
              <w:rPr>
                <w:color w:val="auto"/>
              </w:rPr>
            </w:pPr>
            <w:r>
              <w:rPr>
                <w:color w:val="auto"/>
              </w:rPr>
              <w:t>水解酸化池</w:t>
            </w:r>
          </w:p>
        </w:tc>
      </w:tr>
      <w:tr w14:paraId="3C9A56E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47E6303">
            <w:pPr>
              <w:pStyle w:val="16"/>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45FBEDD3">
            <w:pPr>
              <w:pStyle w:val="16"/>
              <w:pageBreakBefore w:val="0"/>
              <w:wordWrap/>
              <w:bidi w:val="0"/>
              <w:adjustRightInd/>
              <w:snapToGrid/>
              <w:rPr>
                <w:color w:val="auto"/>
              </w:rPr>
            </w:pPr>
            <w:r>
              <w:rPr>
                <w:color w:val="auto"/>
              </w:rPr>
              <w:t>出水堰板</w:t>
            </w:r>
          </w:p>
        </w:tc>
        <w:tc>
          <w:tcPr>
            <w:tcW w:w="1532" w:type="pct"/>
            <w:tcBorders>
              <w:tl2br w:val="nil"/>
              <w:tr2bl w:val="nil"/>
            </w:tcBorders>
            <w:noWrap w:val="0"/>
            <w:vAlign w:val="center"/>
          </w:tcPr>
          <w:p w14:paraId="682B37E0">
            <w:pPr>
              <w:pStyle w:val="16"/>
              <w:pageBreakBefore w:val="0"/>
              <w:wordWrap/>
              <w:bidi w:val="0"/>
              <w:adjustRightInd/>
              <w:snapToGrid/>
              <w:rPr>
                <w:color w:val="auto"/>
              </w:rPr>
            </w:pPr>
            <w:r>
              <w:rPr>
                <w:color w:val="auto"/>
              </w:rPr>
              <w:t>三角堰</w:t>
            </w:r>
            <w:r>
              <w:rPr>
                <w:rFonts w:hint="eastAsia"/>
                <w:color w:val="auto"/>
                <w:lang w:eastAsia="zh-CN"/>
              </w:rPr>
              <w:t>，</w:t>
            </w:r>
            <w:r>
              <w:rPr>
                <w:color w:val="auto"/>
              </w:rPr>
              <w:t>h=250mm</w:t>
            </w:r>
            <w:r>
              <w:rPr>
                <w:rFonts w:hint="eastAsia"/>
                <w:color w:val="auto"/>
                <w:lang w:eastAsia="zh-CN"/>
              </w:rPr>
              <w:t>，</w:t>
            </w:r>
            <w:r>
              <w:rPr>
                <w:color w:val="auto"/>
              </w:rPr>
              <w:t>厚</w:t>
            </w:r>
            <w:r>
              <w:rPr>
                <w:rFonts w:hint="eastAsia"/>
                <w:color w:val="auto"/>
                <w:lang w:eastAsia="zh-CN"/>
              </w:rPr>
              <w:t>度</w:t>
            </w:r>
            <w:r>
              <w:rPr>
                <w:color w:val="auto"/>
              </w:rPr>
              <w:t>4mm</w:t>
            </w:r>
          </w:p>
        </w:tc>
        <w:tc>
          <w:tcPr>
            <w:tcW w:w="612" w:type="pct"/>
            <w:tcBorders>
              <w:tl2br w:val="nil"/>
              <w:tr2bl w:val="nil"/>
            </w:tcBorders>
            <w:noWrap w:val="0"/>
            <w:vAlign w:val="center"/>
          </w:tcPr>
          <w:p w14:paraId="6998CA85">
            <w:pPr>
              <w:pStyle w:val="16"/>
              <w:pageBreakBefore w:val="0"/>
              <w:wordWrap/>
              <w:bidi w:val="0"/>
              <w:adjustRightInd/>
              <w:snapToGrid/>
              <w:rPr>
                <w:color w:val="auto"/>
              </w:rPr>
            </w:pPr>
          </w:p>
        </w:tc>
        <w:tc>
          <w:tcPr>
            <w:tcW w:w="279" w:type="pct"/>
            <w:tcBorders>
              <w:tl2br w:val="nil"/>
              <w:tr2bl w:val="nil"/>
            </w:tcBorders>
            <w:noWrap w:val="0"/>
            <w:vAlign w:val="center"/>
          </w:tcPr>
          <w:p w14:paraId="4771848E">
            <w:pPr>
              <w:pStyle w:val="16"/>
              <w:pageBreakBefore w:val="0"/>
              <w:wordWrap/>
              <w:bidi w:val="0"/>
              <w:adjustRightInd/>
              <w:snapToGrid/>
              <w:rPr>
                <w:color w:val="auto"/>
              </w:rPr>
            </w:pPr>
            <w:r>
              <w:rPr>
                <w:color w:val="auto"/>
              </w:rPr>
              <w:t>m</w:t>
            </w:r>
          </w:p>
        </w:tc>
        <w:tc>
          <w:tcPr>
            <w:tcW w:w="244" w:type="pct"/>
            <w:tcBorders>
              <w:tl2br w:val="nil"/>
              <w:tr2bl w:val="nil"/>
            </w:tcBorders>
            <w:noWrap w:val="0"/>
            <w:vAlign w:val="center"/>
          </w:tcPr>
          <w:p w14:paraId="15F7E155">
            <w:pPr>
              <w:pStyle w:val="16"/>
              <w:pageBreakBefore w:val="0"/>
              <w:wordWrap/>
              <w:bidi w:val="0"/>
              <w:adjustRightInd/>
              <w:snapToGrid/>
              <w:rPr>
                <w:rFonts w:hint="default" w:eastAsia="宋体"/>
                <w:color w:val="auto"/>
                <w:lang w:val="en-US" w:eastAsia="zh-CN"/>
              </w:rPr>
            </w:pPr>
            <w:r>
              <w:rPr>
                <w:rFonts w:hint="eastAsia"/>
                <w:color w:val="auto"/>
                <w:lang w:val="en-US" w:eastAsia="zh-CN"/>
              </w:rPr>
              <w:t>80</w:t>
            </w:r>
          </w:p>
        </w:tc>
        <w:tc>
          <w:tcPr>
            <w:tcW w:w="1132" w:type="pct"/>
            <w:tcBorders>
              <w:tl2br w:val="nil"/>
              <w:tr2bl w:val="nil"/>
            </w:tcBorders>
            <w:noWrap w:val="0"/>
            <w:vAlign w:val="center"/>
          </w:tcPr>
          <w:p w14:paraId="0A59AD9A">
            <w:pPr>
              <w:pStyle w:val="16"/>
              <w:pageBreakBefore w:val="0"/>
              <w:wordWrap/>
              <w:bidi w:val="0"/>
              <w:adjustRightInd/>
              <w:snapToGrid/>
              <w:rPr>
                <w:color w:val="auto"/>
              </w:rPr>
            </w:pPr>
          </w:p>
        </w:tc>
      </w:tr>
      <w:tr w14:paraId="6F5790F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76353E3">
            <w:pPr>
              <w:pStyle w:val="16"/>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2FE0CB98">
            <w:pPr>
              <w:pStyle w:val="16"/>
              <w:pageBreakBefore w:val="0"/>
              <w:wordWrap/>
              <w:bidi w:val="0"/>
              <w:adjustRightInd/>
              <w:snapToGrid/>
              <w:rPr>
                <w:color w:val="auto"/>
              </w:rPr>
            </w:pPr>
            <w:r>
              <w:rPr>
                <w:color w:val="auto"/>
              </w:rPr>
              <w:t>穿孔配水管</w:t>
            </w:r>
          </w:p>
        </w:tc>
        <w:tc>
          <w:tcPr>
            <w:tcW w:w="1532" w:type="pct"/>
            <w:tcBorders>
              <w:tl2br w:val="nil"/>
              <w:tr2bl w:val="nil"/>
            </w:tcBorders>
            <w:noWrap w:val="0"/>
            <w:vAlign w:val="center"/>
          </w:tcPr>
          <w:p w14:paraId="0D521F5D">
            <w:pPr>
              <w:pStyle w:val="16"/>
              <w:pageBreakBefore w:val="0"/>
              <w:wordWrap/>
              <w:bidi w:val="0"/>
              <w:adjustRightInd/>
              <w:snapToGrid/>
              <w:rPr>
                <w:color w:val="auto"/>
              </w:rPr>
            </w:pPr>
            <w:r>
              <w:rPr>
                <w:color w:val="auto"/>
              </w:rPr>
              <w:t>DN100</w:t>
            </w:r>
            <w:r>
              <w:rPr>
                <w:rFonts w:hint="eastAsia"/>
                <w:color w:val="auto"/>
                <w:lang w:eastAsia="zh-CN"/>
              </w:rPr>
              <w:t>，</w:t>
            </w:r>
            <w:r>
              <w:rPr>
                <w:color w:val="auto"/>
              </w:rPr>
              <w:t>L=15m</w:t>
            </w:r>
            <w:r>
              <w:rPr>
                <w:rFonts w:hint="eastAsia"/>
                <w:color w:val="auto"/>
                <w:lang w:eastAsia="zh-CN"/>
              </w:rPr>
              <w:t>，</w:t>
            </w:r>
            <w:r>
              <w:rPr>
                <w:color w:val="auto"/>
              </w:rPr>
              <w:t>配套管件支架等</w:t>
            </w:r>
          </w:p>
        </w:tc>
        <w:tc>
          <w:tcPr>
            <w:tcW w:w="612" w:type="pct"/>
            <w:tcBorders>
              <w:tl2br w:val="nil"/>
              <w:tr2bl w:val="nil"/>
            </w:tcBorders>
            <w:noWrap w:val="0"/>
            <w:vAlign w:val="center"/>
          </w:tcPr>
          <w:p w14:paraId="30A39FE0">
            <w:pPr>
              <w:pStyle w:val="16"/>
              <w:pageBreakBefore w:val="0"/>
              <w:wordWrap/>
              <w:bidi w:val="0"/>
              <w:adjustRightInd/>
              <w:snapToGrid/>
              <w:rPr>
                <w:color w:val="auto"/>
              </w:rPr>
            </w:pPr>
            <w:r>
              <w:rPr>
                <w:color w:val="auto"/>
              </w:rPr>
              <w:t>UPVC</w:t>
            </w:r>
          </w:p>
        </w:tc>
        <w:tc>
          <w:tcPr>
            <w:tcW w:w="279" w:type="pct"/>
            <w:tcBorders>
              <w:tl2br w:val="nil"/>
              <w:tr2bl w:val="nil"/>
            </w:tcBorders>
            <w:noWrap w:val="0"/>
            <w:vAlign w:val="center"/>
          </w:tcPr>
          <w:p w14:paraId="6799F262">
            <w:pPr>
              <w:pStyle w:val="16"/>
              <w:pageBreakBefore w:val="0"/>
              <w:wordWrap/>
              <w:bidi w:val="0"/>
              <w:adjustRightInd/>
              <w:snapToGrid/>
              <w:rPr>
                <w:color w:val="auto"/>
              </w:rPr>
            </w:pPr>
            <w:r>
              <w:rPr>
                <w:color w:val="auto"/>
              </w:rPr>
              <w:t>根</w:t>
            </w:r>
          </w:p>
        </w:tc>
        <w:tc>
          <w:tcPr>
            <w:tcW w:w="244" w:type="pct"/>
            <w:tcBorders>
              <w:tl2br w:val="nil"/>
              <w:tr2bl w:val="nil"/>
            </w:tcBorders>
            <w:noWrap w:val="0"/>
            <w:vAlign w:val="center"/>
          </w:tcPr>
          <w:p w14:paraId="6D4B25EE">
            <w:pPr>
              <w:pStyle w:val="16"/>
              <w:pageBreakBefore w:val="0"/>
              <w:wordWrap/>
              <w:bidi w:val="0"/>
              <w:adjustRightInd/>
              <w:snapToGrid/>
              <w:rPr>
                <w:rFonts w:hint="default" w:eastAsia="宋体"/>
                <w:color w:val="auto"/>
                <w:lang w:val="en-US" w:eastAsia="zh-CN"/>
              </w:rPr>
            </w:pPr>
            <w:r>
              <w:rPr>
                <w:rFonts w:hint="eastAsia"/>
                <w:color w:val="auto"/>
                <w:lang w:val="en-US" w:eastAsia="zh-CN"/>
              </w:rPr>
              <w:t>36</w:t>
            </w:r>
          </w:p>
        </w:tc>
        <w:tc>
          <w:tcPr>
            <w:tcW w:w="1132" w:type="pct"/>
            <w:tcBorders>
              <w:tl2br w:val="nil"/>
              <w:tr2bl w:val="nil"/>
            </w:tcBorders>
            <w:noWrap w:val="0"/>
            <w:vAlign w:val="center"/>
          </w:tcPr>
          <w:p w14:paraId="45711760">
            <w:pPr>
              <w:pStyle w:val="16"/>
              <w:pageBreakBefore w:val="0"/>
              <w:wordWrap/>
              <w:bidi w:val="0"/>
              <w:adjustRightInd/>
              <w:snapToGrid/>
              <w:rPr>
                <w:color w:val="auto"/>
              </w:rPr>
            </w:pPr>
          </w:p>
        </w:tc>
      </w:tr>
      <w:tr w14:paraId="79809F7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F156D17">
            <w:pPr>
              <w:pStyle w:val="16"/>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3C036178">
            <w:pPr>
              <w:pStyle w:val="16"/>
              <w:pageBreakBefore w:val="0"/>
              <w:wordWrap/>
              <w:bidi w:val="0"/>
              <w:adjustRightInd/>
              <w:snapToGrid/>
              <w:rPr>
                <w:color w:val="auto"/>
              </w:rPr>
            </w:pPr>
            <w:r>
              <w:rPr>
                <w:color w:val="auto"/>
              </w:rPr>
              <w:t>污泥界面仪</w:t>
            </w:r>
          </w:p>
        </w:tc>
        <w:tc>
          <w:tcPr>
            <w:tcW w:w="1532" w:type="pct"/>
            <w:tcBorders>
              <w:tl2br w:val="nil"/>
              <w:tr2bl w:val="nil"/>
            </w:tcBorders>
            <w:noWrap w:val="0"/>
            <w:vAlign w:val="center"/>
          </w:tcPr>
          <w:p w14:paraId="607ACC01">
            <w:pPr>
              <w:pStyle w:val="16"/>
              <w:pageBreakBefore w:val="0"/>
              <w:wordWrap/>
              <w:bidi w:val="0"/>
              <w:adjustRightInd/>
              <w:snapToGrid/>
              <w:rPr>
                <w:color w:val="auto"/>
              </w:rPr>
            </w:pPr>
          </w:p>
        </w:tc>
        <w:tc>
          <w:tcPr>
            <w:tcW w:w="612" w:type="pct"/>
            <w:tcBorders>
              <w:tl2br w:val="nil"/>
              <w:tr2bl w:val="nil"/>
            </w:tcBorders>
            <w:noWrap w:val="0"/>
            <w:vAlign w:val="center"/>
          </w:tcPr>
          <w:p w14:paraId="5EBF1F60">
            <w:pPr>
              <w:pStyle w:val="16"/>
              <w:pageBreakBefore w:val="0"/>
              <w:wordWrap/>
              <w:bidi w:val="0"/>
              <w:adjustRightInd/>
              <w:snapToGrid/>
              <w:rPr>
                <w:color w:val="auto"/>
              </w:rPr>
            </w:pPr>
          </w:p>
        </w:tc>
        <w:tc>
          <w:tcPr>
            <w:tcW w:w="279" w:type="pct"/>
            <w:tcBorders>
              <w:tl2br w:val="nil"/>
              <w:tr2bl w:val="nil"/>
            </w:tcBorders>
            <w:noWrap w:val="0"/>
            <w:vAlign w:val="center"/>
          </w:tcPr>
          <w:p w14:paraId="3EB25B39">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CFA4196">
            <w:pPr>
              <w:pStyle w:val="16"/>
              <w:pageBreakBefore w:val="0"/>
              <w:wordWrap/>
              <w:bidi w:val="0"/>
              <w:adjustRightInd/>
              <w:snapToGrid/>
              <w:rPr>
                <w:rFonts w:hint="eastAsia" w:eastAsia="宋体"/>
                <w:color w:val="auto"/>
                <w:lang w:eastAsia="zh-CN"/>
              </w:rPr>
            </w:pPr>
            <w:r>
              <w:rPr>
                <w:rFonts w:hint="eastAsia"/>
                <w:color w:val="auto"/>
                <w:lang w:val="en-US" w:eastAsia="zh-CN"/>
              </w:rPr>
              <w:t>4</w:t>
            </w:r>
          </w:p>
        </w:tc>
        <w:tc>
          <w:tcPr>
            <w:tcW w:w="1132" w:type="pct"/>
            <w:tcBorders>
              <w:tl2br w:val="nil"/>
              <w:tr2bl w:val="nil"/>
            </w:tcBorders>
            <w:noWrap w:val="0"/>
            <w:vAlign w:val="center"/>
          </w:tcPr>
          <w:p w14:paraId="1C717F10">
            <w:pPr>
              <w:pStyle w:val="16"/>
              <w:pageBreakBefore w:val="0"/>
              <w:wordWrap/>
              <w:bidi w:val="0"/>
              <w:adjustRightInd/>
              <w:snapToGrid/>
              <w:rPr>
                <w:color w:val="auto"/>
              </w:rPr>
            </w:pPr>
            <w:r>
              <w:rPr>
                <w:color w:val="auto"/>
              </w:rPr>
              <w:t>计入自控</w:t>
            </w:r>
            <w:r>
              <w:rPr>
                <w:rFonts w:hint="eastAsia"/>
                <w:color w:val="auto"/>
                <w:lang w:eastAsia="zh-CN"/>
              </w:rPr>
              <w:t>，</w:t>
            </w:r>
            <w:r>
              <w:rPr>
                <w:color w:val="auto"/>
              </w:rPr>
              <w:t>水解酸化池</w:t>
            </w:r>
          </w:p>
        </w:tc>
      </w:tr>
      <w:tr w14:paraId="7029B9F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3EB2E70">
            <w:pPr>
              <w:pStyle w:val="16"/>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32065D3F">
            <w:pPr>
              <w:pStyle w:val="16"/>
              <w:pageBreakBefore w:val="0"/>
              <w:wordWrap/>
              <w:bidi w:val="0"/>
              <w:adjustRightInd/>
              <w:snapToGrid/>
              <w:rPr>
                <w:color w:val="auto"/>
              </w:rPr>
            </w:pPr>
            <w:r>
              <w:rPr>
                <w:rFonts w:hint="eastAsia"/>
                <w:color w:val="auto"/>
                <w:lang w:eastAsia="zh-CN"/>
              </w:rPr>
              <w:t>MLSS</w:t>
            </w:r>
            <w:r>
              <w:rPr>
                <w:color w:val="auto"/>
              </w:rPr>
              <w:t>仪</w:t>
            </w:r>
          </w:p>
        </w:tc>
        <w:tc>
          <w:tcPr>
            <w:tcW w:w="1532" w:type="pct"/>
            <w:tcBorders>
              <w:tl2br w:val="nil"/>
              <w:tr2bl w:val="nil"/>
            </w:tcBorders>
            <w:noWrap w:val="0"/>
            <w:vAlign w:val="center"/>
          </w:tcPr>
          <w:p w14:paraId="2533D5A6">
            <w:pPr>
              <w:pStyle w:val="16"/>
              <w:pageBreakBefore w:val="0"/>
              <w:wordWrap/>
              <w:bidi w:val="0"/>
              <w:adjustRightInd/>
              <w:snapToGrid/>
              <w:rPr>
                <w:color w:val="auto"/>
              </w:rPr>
            </w:pPr>
            <w:r>
              <w:rPr>
                <w:color w:val="auto"/>
              </w:rPr>
              <w:t>0~10g/L</w:t>
            </w:r>
            <w:r>
              <w:rPr>
                <w:rFonts w:hint="eastAsia"/>
                <w:color w:val="auto"/>
                <w:lang w:eastAsia="zh-CN"/>
              </w:rPr>
              <w:t>，</w:t>
            </w:r>
            <w:r>
              <w:rPr>
                <w:color w:val="auto"/>
              </w:rPr>
              <w:t>机械清洗</w:t>
            </w:r>
          </w:p>
        </w:tc>
        <w:tc>
          <w:tcPr>
            <w:tcW w:w="612" w:type="pct"/>
            <w:tcBorders>
              <w:tl2br w:val="nil"/>
              <w:tr2bl w:val="nil"/>
            </w:tcBorders>
            <w:noWrap w:val="0"/>
            <w:vAlign w:val="center"/>
          </w:tcPr>
          <w:p w14:paraId="248D65CA">
            <w:pPr>
              <w:pStyle w:val="16"/>
              <w:pageBreakBefore w:val="0"/>
              <w:wordWrap/>
              <w:bidi w:val="0"/>
              <w:adjustRightInd/>
              <w:snapToGrid/>
              <w:rPr>
                <w:color w:val="auto"/>
              </w:rPr>
            </w:pPr>
          </w:p>
        </w:tc>
        <w:tc>
          <w:tcPr>
            <w:tcW w:w="279" w:type="pct"/>
            <w:tcBorders>
              <w:tl2br w:val="nil"/>
              <w:tr2bl w:val="nil"/>
            </w:tcBorders>
            <w:noWrap w:val="0"/>
            <w:vAlign w:val="center"/>
          </w:tcPr>
          <w:p w14:paraId="57DE4E9B">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62BAA42">
            <w:pPr>
              <w:pStyle w:val="16"/>
              <w:pageBreakBefore w:val="0"/>
              <w:wordWrap/>
              <w:bidi w:val="0"/>
              <w:adjustRightInd/>
              <w:snapToGrid/>
              <w:rPr>
                <w:rFonts w:hint="eastAsia" w:eastAsia="宋体"/>
                <w:color w:val="auto"/>
                <w:lang w:eastAsia="zh-CN"/>
              </w:rPr>
            </w:pPr>
            <w:r>
              <w:rPr>
                <w:rFonts w:hint="eastAsia"/>
                <w:color w:val="auto"/>
                <w:lang w:val="en-US" w:eastAsia="zh-CN"/>
              </w:rPr>
              <w:t>4</w:t>
            </w:r>
          </w:p>
        </w:tc>
        <w:tc>
          <w:tcPr>
            <w:tcW w:w="1132" w:type="pct"/>
            <w:tcBorders>
              <w:tl2br w:val="nil"/>
              <w:tr2bl w:val="nil"/>
            </w:tcBorders>
            <w:noWrap w:val="0"/>
            <w:vAlign w:val="center"/>
          </w:tcPr>
          <w:p w14:paraId="479E8845">
            <w:pPr>
              <w:pStyle w:val="16"/>
              <w:pageBreakBefore w:val="0"/>
              <w:wordWrap/>
              <w:bidi w:val="0"/>
              <w:adjustRightInd/>
              <w:snapToGrid/>
              <w:rPr>
                <w:color w:val="auto"/>
              </w:rPr>
            </w:pPr>
            <w:r>
              <w:rPr>
                <w:color w:val="auto"/>
              </w:rPr>
              <w:t>计入自控</w:t>
            </w:r>
            <w:r>
              <w:rPr>
                <w:rFonts w:hint="eastAsia"/>
                <w:color w:val="auto"/>
                <w:lang w:eastAsia="zh-CN"/>
              </w:rPr>
              <w:t>，</w:t>
            </w:r>
            <w:r>
              <w:rPr>
                <w:color w:val="auto"/>
              </w:rPr>
              <w:t>水解酸化池</w:t>
            </w:r>
          </w:p>
        </w:tc>
      </w:tr>
      <w:tr w14:paraId="5ACFEC2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55B72BEF">
            <w:pPr>
              <w:pStyle w:val="16"/>
              <w:pageBreakBefore w:val="0"/>
              <w:wordWrap/>
              <w:bidi w:val="0"/>
              <w:adjustRightInd/>
              <w:snapToGrid/>
              <w:jc w:val="left"/>
              <w:rPr>
                <w:color w:val="auto"/>
              </w:rPr>
            </w:pPr>
            <w:r>
              <w:rPr>
                <w:rFonts w:hint="eastAsia"/>
                <w:b/>
                <w:bCs/>
                <w:color w:val="auto"/>
                <w:lang w:val="en-US" w:eastAsia="zh-CN"/>
              </w:rPr>
              <w:t>EBIS</w:t>
            </w:r>
            <w:r>
              <w:rPr>
                <w:b/>
                <w:bCs/>
                <w:color w:val="auto"/>
              </w:rPr>
              <w:t>生化池主要设备表</w:t>
            </w:r>
          </w:p>
        </w:tc>
      </w:tr>
      <w:tr w14:paraId="5FA2550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9BACAFF">
            <w:pPr>
              <w:pStyle w:val="16"/>
              <w:pageBreakBefore w:val="0"/>
              <w:wordWrap/>
              <w:bidi w:val="0"/>
              <w:adjustRightInd/>
              <w:snapToGrid/>
              <w:rPr>
                <w:b/>
                <w:bCs/>
                <w:color w:val="auto"/>
              </w:rPr>
            </w:pPr>
            <w:r>
              <w:rPr>
                <w:b/>
                <w:bCs/>
                <w:color w:val="auto"/>
              </w:rPr>
              <w:t>序号</w:t>
            </w:r>
          </w:p>
        </w:tc>
        <w:tc>
          <w:tcPr>
            <w:tcW w:w="843" w:type="pct"/>
            <w:gridSpan w:val="2"/>
            <w:tcBorders>
              <w:tl2br w:val="nil"/>
              <w:tr2bl w:val="nil"/>
            </w:tcBorders>
            <w:noWrap w:val="0"/>
            <w:vAlign w:val="center"/>
          </w:tcPr>
          <w:p w14:paraId="34289083">
            <w:pPr>
              <w:pStyle w:val="16"/>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2385447F">
            <w:pPr>
              <w:pStyle w:val="16"/>
              <w:pageBreakBefore w:val="0"/>
              <w:wordWrap/>
              <w:bidi w:val="0"/>
              <w:adjustRightInd/>
              <w:snapToGrid/>
              <w:rPr>
                <w:b/>
                <w:bCs/>
                <w:color w:val="auto"/>
              </w:rPr>
            </w:pPr>
            <w:r>
              <w:rPr>
                <w:b/>
                <w:bCs/>
                <w:color w:val="auto"/>
              </w:rPr>
              <w:t>规格</w:t>
            </w:r>
          </w:p>
        </w:tc>
        <w:tc>
          <w:tcPr>
            <w:tcW w:w="612" w:type="pct"/>
            <w:tcBorders>
              <w:tl2br w:val="nil"/>
              <w:tr2bl w:val="nil"/>
            </w:tcBorders>
            <w:noWrap w:val="0"/>
            <w:vAlign w:val="center"/>
          </w:tcPr>
          <w:p w14:paraId="6746F1D2">
            <w:pPr>
              <w:pStyle w:val="16"/>
              <w:pageBreakBefore w:val="0"/>
              <w:wordWrap/>
              <w:bidi w:val="0"/>
              <w:adjustRightInd/>
              <w:snapToGrid/>
              <w:rPr>
                <w:b/>
                <w:bCs/>
                <w:color w:val="auto"/>
              </w:rPr>
            </w:pPr>
            <w:r>
              <w:rPr>
                <w:b/>
                <w:bCs/>
                <w:color w:val="auto"/>
              </w:rPr>
              <w:t>材质</w:t>
            </w:r>
          </w:p>
        </w:tc>
        <w:tc>
          <w:tcPr>
            <w:tcW w:w="279" w:type="pct"/>
            <w:tcBorders>
              <w:tl2br w:val="nil"/>
              <w:tr2bl w:val="nil"/>
            </w:tcBorders>
            <w:noWrap w:val="0"/>
            <w:vAlign w:val="center"/>
          </w:tcPr>
          <w:p w14:paraId="63B3B3AB">
            <w:pPr>
              <w:pStyle w:val="16"/>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7F38309E">
            <w:pPr>
              <w:pStyle w:val="16"/>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2F128814">
            <w:pPr>
              <w:pStyle w:val="16"/>
              <w:pageBreakBefore w:val="0"/>
              <w:wordWrap/>
              <w:bidi w:val="0"/>
              <w:adjustRightInd/>
              <w:snapToGrid/>
              <w:rPr>
                <w:b/>
                <w:bCs/>
                <w:color w:val="auto"/>
              </w:rPr>
            </w:pPr>
            <w:r>
              <w:rPr>
                <w:b/>
                <w:bCs/>
                <w:color w:val="auto"/>
              </w:rPr>
              <w:t>备注</w:t>
            </w:r>
          </w:p>
        </w:tc>
      </w:tr>
      <w:tr w14:paraId="7170B7E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8C49215">
            <w:pPr>
              <w:pStyle w:val="16"/>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616381C5">
            <w:pPr>
              <w:pStyle w:val="16"/>
              <w:pageBreakBefore w:val="0"/>
              <w:wordWrap/>
              <w:bidi w:val="0"/>
              <w:adjustRightInd/>
              <w:snapToGrid/>
              <w:rPr>
                <w:color w:val="auto"/>
              </w:rPr>
            </w:pPr>
            <w:r>
              <w:rPr>
                <w:color w:val="auto"/>
              </w:rPr>
              <w:t>可提升微孔曝气软管</w:t>
            </w:r>
          </w:p>
        </w:tc>
        <w:tc>
          <w:tcPr>
            <w:tcW w:w="1532" w:type="pct"/>
            <w:tcBorders>
              <w:tl2br w:val="nil"/>
              <w:tr2bl w:val="nil"/>
            </w:tcBorders>
            <w:noWrap w:val="0"/>
            <w:vAlign w:val="center"/>
          </w:tcPr>
          <w:p w14:paraId="3508A52D">
            <w:pPr>
              <w:pStyle w:val="16"/>
              <w:pageBreakBefore w:val="0"/>
              <w:wordWrap/>
              <w:bidi w:val="0"/>
              <w:adjustRightInd/>
              <w:snapToGrid/>
              <w:rPr>
                <w:color w:val="auto"/>
              </w:rPr>
            </w:pPr>
            <w:r>
              <w:rPr>
                <w:color w:val="auto"/>
              </w:rPr>
              <w:t>EB-TH4500</w:t>
            </w:r>
            <w:r>
              <w:rPr>
                <w:rFonts w:hint="eastAsia"/>
                <w:color w:val="auto"/>
                <w:lang w:eastAsia="zh-CN"/>
              </w:rPr>
              <w:t>，</w:t>
            </w:r>
            <w:r>
              <w:rPr>
                <w:color w:val="auto"/>
              </w:rPr>
              <w:t>φ62-65</w:t>
            </w:r>
          </w:p>
        </w:tc>
        <w:tc>
          <w:tcPr>
            <w:tcW w:w="612" w:type="pct"/>
            <w:tcBorders>
              <w:tl2br w:val="nil"/>
              <w:tr2bl w:val="nil"/>
            </w:tcBorders>
            <w:noWrap w:val="0"/>
            <w:vAlign w:val="center"/>
          </w:tcPr>
          <w:p w14:paraId="0FBF12C0">
            <w:pPr>
              <w:pStyle w:val="16"/>
              <w:pageBreakBefore w:val="0"/>
              <w:wordWrap/>
              <w:bidi w:val="0"/>
              <w:adjustRightInd/>
              <w:snapToGrid/>
              <w:rPr>
                <w:color w:val="auto"/>
              </w:rPr>
            </w:pPr>
            <w:r>
              <w:rPr>
                <w:color w:val="auto"/>
              </w:rPr>
              <w:t>PU+添加剂</w:t>
            </w:r>
          </w:p>
        </w:tc>
        <w:tc>
          <w:tcPr>
            <w:tcW w:w="279" w:type="pct"/>
            <w:tcBorders>
              <w:tl2br w:val="nil"/>
              <w:tr2bl w:val="nil"/>
            </w:tcBorders>
            <w:noWrap w:val="0"/>
            <w:vAlign w:val="center"/>
          </w:tcPr>
          <w:p w14:paraId="42088D3C">
            <w:pPr>
              <w:pStyle w:val="16"/>
              <w:pageBreakBefore w:val="0"/>
              <w:wordWrap/>
              <w:bidi w:val="0"/>
              <w:adjustRightInd/>
              <w:snapToGrid/>
              <w:rPr>
                <w:color w:val="auto"/>
              </w:rPr>
            </w:pPr>
            <w:r>
              <w:rPr>
                <w:color w:val="auto"/>
              </w:rPr>
              <w:t>米</w:t>
            </w:r>
          </w:p>
        </w:tc>
        <w:tc>
          <w:tcPr>
            <w:tcW w:w="244" w:type="pct"/>
            <w:tcBorders>
              <w:tl2br w:val="nil"/>
              <w:tr2bl w:val="nil"/>
            </w:tcBorders>
            <w:noWrap w:val="0"/>
            <w:vAlign w:val="center"/>
          </w:tcPr>
          <w:p w14:paraId="31365A4D">
            <w:pPr>
              <w:pStyle w:val="16"/>
              <w:pageBreakBefore w:val="0"/>
              <w:wordWrap/>
              <w:bidi w:val="0"/>
              <w:adjustRightInd/>
              <w:snapToGrid/>
              <w:rPr>
                <w:rFonts w:hint="default" w:eastAsia="宋体"/>
                <w:color w:val="auto"/>
                <w:lang w:val="en-US" w:eastAsia="zh-CN"/>
              </w:rPr>
            </w:pPr>
            <w:r>
              <w:rPr>
                <w:rFonts w:hint="eastAsia"/>
                <w:color w:val="auto"/>
                <w:lang w:val="en-US" w:eastAsia="zh-CN"/>
              </w:rPr>
              <w:t>1200</w:t>
            </w:r>
          </w:p>
        </w:tc>
        <w:tc>
          <w:tcPr>
            <w:tcW w:w="1132" w:type="pct"/>
            <w:tcBorders>
              <w:tl2br w:val="nil"/>
              <w:tr2bl w:val="nil"/>
            </w:tcBorders>
            <w:noWrap w:val="0"/>
            <w:vAlign w:val="center"/>
          </w:tcPr>
          <w:p w14:paraId="2473D727">
            <w:pPr>
              <w:pStyle w:val="16"/>
              <w:pageBreakBefore w:val="0"/>
              <w:wordWrap/>
              <w:bidi w:val="0"/>
              <w:adjustRightInd/>
              <w:snapToGrid/>
              <w:rPr>
                <w:color w:val="auto"/>
              </w:rPr>
            </w:pPr>
            <w:r>
              <w:rPr>
                <w:color w:val="auto"/>
              </w:rPr>
              <w:t>进口</w:t>
            </w:r>
            <w:r>
              <w:rPr>
                <w:rFonts w:hint="eastAsia"/>
                <w:color w:val="auto"/>
                <w:lang w:eastAsia="zh-CN"/>
              </w:rPr>
              <w:t>，</w:t>
            </w:r>
            <w:r>
              <w:rPr>
                <w:color w:val="auto"/>
              </w:rPr>
              <w:t>安装长度</w:t>
            </w:r>
          </w:p>
        </w:tc>
      </w:tr>
      <w:tr w14:paraId="5E33919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35A8CA8">
            <w:pPr>
              <w:pStyle w:val="16"/>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119EFA03">
            <w:pPr>
              <w:pStyle w:val="16"/>
              <w:pageBreakBefore w:val="0"/>
              <w:wordWrap/>
              <w:bidi w:val="0"/>
              <w:adjustRightInd/>
              <w:snapToGrid/>
              <w:rPr>
                <w:color w:val="auto"/>
              </w:rPr>
            </w:pPr>
            <w:r>
              <w:rPr>
                <w:color w:val="auto"/>
              </w:rPr>
              <w:t>导向绳索</w:t>
            </w:r>
          </w:p>
        </w:tc>
        <w:tc>
          <w:tcPr>
            <w:tcW w:w="1532" w:type="pct"/>
            <w:tcBorders>
              <w:tl2br w:val="nil"/>
              <w:tr2bl w:val="nil"/>
            </w:tcBorders>
            <w:noWrap w:val="0"/>
            <w:vAlign w:val="center"/>
          </w:tcPr>
          <w:p w14:paraId="7F99B1C3">
            <w:pPr>
              <w:pStyle w:val="16"/>
              <w:pageBreakBefore w:val="0"/>
              <w:wordWrap/>
              <w:bidi w:val="0"/>
              <w:adjustRightInd/>
              <w:snapToGrid/>
              <w:rPr>
                <w:color w:val="auto"/>
              </w:rPr>
            </w:pPr>
            <w:r>
              <w:rPr>
                <w:color w:val="auto"/>
              </w:rPr>
              <w:t>TR-6＆8000</w:t>
            </w:r>
          </w:p>
        </w:tc>
        <w:tc>
          <w:tcPr>
            <w:tcW w:w="612" w:type="pct"/>
            <w:tcBorders>
              <w:tl2br w:val="nil"/>
              <w:tr2bl w:val="nil"/>
            </w:tcBorders>
            <w:noWrap w:val="0"/>
            <w:vAlign w:val="center"/>
          </w:tcPr>
          <w:p w14:paraId="59E50813">
            <w:pPr>
              <w:pStyle w:val="16"/>
              <w:pageBreakBefore w:val="0"/>
              <w:wordWrap/>
              <w:bidi w:val="0"/>
              <w:adjustRightInd/>
              <w:snapToGrid/>
              <w:rPr>
                <w:color w:val="auto"/>
              </w:rPr>
            </w:pPr>
            <w:r>
              <w:rPr>
                <w:color w:val="auto"/>
              </w:rPr>
              <w:t>尼龙</w:t>
            </w:r>
          </w:p>
        </w:tc>
        <w:tc>
          <w:tcPr>
            <w:tcW w:w="279" w:type="pct"/>
            <w:tcBorders>
              <w:tl2br w:val="nil"/>
              <w:tr2bl w:val="nil"/>
            </w:tcBorders>
            <w:noWrap w:val="0"/>
            <w:vAlign w:val="center"/>
          </w:tcPr>
          <w:p w14:paraId="79B927B9">
            <w:pPr>
              <w:pStyle w:val="16"/>
              <w:pageBreakBefore w:val="0"/>
              <w:wordWrap/>
              <w:bidi w:val="0"/>
              <w:adjustRightInd/>
              <w:snapToGrid/>
              <w:rPr>
                <w:color w:val="auto"/>
              </w:rPr>
            </w:pPr>
            <w:r>
              <w:rPr>
                <w:color w:val="auto"/>
              </w:rPr>
              <w:t>根</w:t>
            </w:r>
          </w:p>
        </w:tc>
        <w:tc>
          <w:tcPr>
            <w:tcW w:w="244" w:type="pct"/>
            <w:tcBorders>
              <w:tl2br w:val="nil"/>
              <w:tr2bl w:val="nil"/>
            </w:tcBorders>
            <w:noWrap w:val="0"/>
            <w:vAlign w:val="center"/>
          </w:tcPr>
          <w:p w14:paraId="11CCBD7D">
            <w:pPr>
              <w:pStyle w:val="16"/>
              <w:pageBreakBefore w:val="0"/>
              <w:wordWrap/>
              <w:bidi w:val="0"/>
              <w:adjustRightInd/>
              <w:snapToGrid/>
              <w:rPr>
                <w:rFonts w:hint="default" w:eastAsia="宋体"/>
                <w:color w:val="auto"/>
                <w:lang w:val="en-US" w:eastAsia="zh-CN"/>
              </w:rPr>
            </w:pPr>
            <w:r>
              <w:rPr>
                <w:rFonts w:hint="eastAsia"/>
                <w:color w:val="auto"/>
                <w:lang w:val="en-US" w:eastAsia="zh-CN"/>
              </w:rPr>
              <w:t>97</w:t>
            </w:r>
          </w:p>
        </w:tc>
        <w:tc>
          <w:tcPr>
            <w:tcW w:w="1132" w:type="pct"/>
            <w:tcBorders>
              <w:tl2br w:val="nil"/>
              <w:tr2bl w:val="nil"/>
            </w:tcBorders>
            <w:noWrap w:val="0"/>
            <w:vAlign w:val="center"/>
          </w:tcPr>
          <w:p w14:paraId="30BC3FB5">
            <w:pPr>
              <w:pStyle w:val="16"/>
              <w:pageBreakBefore w:val="0"/>
              <w:wordWrap/>
              <w:bidi w:val="0"/>
              <w:adjustRightInd/>
              <w:snapToGrid/>
              <w:rPr>
                <w:color w:val="auto"/>
              </w:rPr>
            </w:pPr>
          </w:p>
        </w:tc>
      </w:tr>
      <w:tr w14:paraId="22640B7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8830E03">
            <w:pPr>
              <w:pStyle w:val="16"/>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1AB42C02">
            <w:pPr>
              <w:pStyle w:val="16"/>
              <w:pageBreakBefore w:val="0"/>
              <w:wordWrap/>
              <w:bidi w:val="0"/>
              <w:adjustRightInd/>
              <w:snapToGrid/>
              <w:rPr>
                <w:color w:val="auto"/>
              </w:rPr>
            </w:pPr>
            <w:r>
              <w:rPr>
                <w:color w:val="auto"/>
              </w:rPr>
              <w:t>挂钩</w:t>
            </w:r>
          </w:p>
        </w:tc>
        <w:tc>
          <w:tcPr>
            <w:tcW w:w="1532" w:type="pct"/>
            <w:tcBorders>
              <w:tl2br w:val="nil"/>
              <w:tr2bl w:val="nil"/>
            </w:tcBorders>
            <w:noWrap w:val="0"/>
            <w:vAlign w:val="center"/>
          </w:tcPr>
          <w:p w14:paraId="1FFC8180">
            <w:pPr>
              <w:pStyle w:val="16"/>
              <w:pageBreakBefore w:val="0"/>
              <w:wordWrap/>
              <w:bidi w:val="0"/>
              <w:adjustRightInd/>
              <w:snapToGrid/>
              <w:rPr>
                <w:color w:val="auto"/>
              </w:rPr>
            </w:pPr>
            <w:r>
              <w:rPr>
                <w:color w:val="auto"/>
              </w:rPr>
              <w:t>非标</w:t>
            </w:r>
          </w:p>
        </w:tc>
        <w:tc>
          <w:tcPr>
            <w:tcW w:w="612" w:type="pct"/>
            <w:tcBorders>
              <w:tl2br w:val="nil"/>
              <w:tr2bl w:val="nil"/>
            </w:tcBorders>
            <w:noWrap w:val="0"/>
            <w:vAlign w:val="center"/>
          </w:tcPr>
          <w:p w14:paraId="341B7386">
            <w:pPr>
              <w:pStyle w:val="16"/>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28CA0FE5">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100D49BF">
            <w:pPr>
              <w:pStyle w:val="16"/>
              <w:pageBreakBefore w:val="0"/>
              <w:wordWrap/>
              <w:bidi w:val="0"/>
              <w:adjustRightInd/>
              <w:snapToGrid/>
              <w:rPr>
                <w:rFonts w:hint="default" w:eastAsia="宋体"/>
                <w:color w:val="auto"/>
                <w:lang w:val="en-US" w:eastAsia="zh-CN"/>
              </w:rPr>
            </w:pPr>
            <w:r>
              <w:rPr>
                <w:rFonts w:hint="eastAsia"/>
                <w:color w:val="auto"/>
                <w:lang w:val="en-US" w:eastAsia="zh-CN"/>
              </w:rPr>
              <w:t>124</w:t>
            </w:r>
          </w:p>
        </w:tc>
        <w:tc>
          <w:tcPr>
            <w:tcW w:w="1132" w:type="pct"/>
            <w:tcBorders>
              <w:tl2br w:val="nil"/>
              <w:tr2bl w:val="nil"/>
            </w:tcBorders>
            <w:noWrap w:val="0"/>
            <w:vAlign w:val="center"/>
          </w:tcPr>
          <w:p w14:paraId="58024B05">
            <w:pPr>
              <w:pStyle w:val="16"/>
              <w:pageBreakBefore w:val="0"/>
              <w:wordWrap/>
              <w:bidi w:val="0"/>
              <w:adjustRightInd/>
              <w:snapToGrid/>
              <w:rPr>
                <w:color w:val="auto"/>
              </w:rPr>
            </w:pPr>
          </w:p>
        </w:tc>
      </w:tr>
      <w:tr w14:paraId="1BED68C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9B81E66">
            <w:pPr>
              <w:pStyle w:val="16"/>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3E1C5345">
            <w:pPr>
              <w:pStyle w:val="16"/>
              <w:pageBreakBefore w:val="0"/>
              <w:wordWrap/>
              <w:bidi w:val="0"/>
              <w:adjustRightInd/>
              <w:snapToGrid/>
              <w:rPr>
                <w:color w:val="auto"/>
              </w:rPr>
            </w:pPr>
            <w:r>
              <w:rPr>
                <w:color w:val="auto"/>
              </w:rPr>
              <w:t>专用连接件</w:t>
            </w:r>
          </w:p>
        </w:tc>
        <w:tc>
          <w:tcPr>
            <w:tcW w:w="1532" w:type="pct"/>
            <w:tcBorders>
              <w:tl2br w:val="nil"/>
              <w:tr2bl w:val="nil"/>
            </w:tcBorders>
            <w:noWrap w:val="0"/>
            <w:vAlign w:val="center"/>
          </w:tcPr>
          <w:p w14:paraId="5C971979">
            <w:pPr>
              <w:pStyle w:val="16"/>
              <w:pageBreakBefore w:val="0"/>
              <w:wordWrap/>
              <w:bidi w:val="0"/>
              <w:adjustRightInd/>
              <w:snapToGrid/>
              <w:rPr>
                <w:color w:val="auto"/>
              </w:rPr>
            </w:pPr>
            <w:r>
              <w:rPr>
                <w:color w:val="auto"/>
              </w:rPr>
              <w:t>φ50-φ70</w:t>
            </w:r>
          </w:p>
        </w:tc>
        <w:tc>
          <w:tcPr>
            <w:tcW w:w="612" w:type="pct"/>
            <w:tcBorders>
              <w:tl2br w:val="nil"/>
              <w:tr2bl w:val="nil"/>
            </w:tcBorders>
            <w:noWrap w:val="0"/>
            <w:vAlign w:val="center"/>
          </w:tcPr>
          <w:p w14:paraId="68B9FED8">
            <w:pPr>
              <w:pStyle w:val="16"/>
              <w:pageBreakBefore w:val="0"/>
              <w:wordWrap/>
              <w:bidi w:val="0"/>
              <w:adjustRightInd/>
              <w:snapToGrid/>
              <w:rPr>
                <w:color w:val="auto"/>
              </w:rPr>
            </w:pPr>
            <w:r>
              <w:rPr>
                <w:rFonts w:hint="eastAsia"/>
                <w:color w:val="auto"/>
                <w:lang w:val="en-US" w:eastAsia="zh-CN"/>
              </w:rPr>
              <w:t>SS</w:t>
            </w:r>
            <w:r>
              <w:rPr>
                <w:color w:val="auto"/>
              </w:rPr>
              <w:t>316L</w:t>
            </w:r>
          </w:p>
        </w:tc>
        <w:tc>
          <w:tcPr>
            <w:tcW w:w="279" w:type="pct"/>
            <w:tcBorders>
              <w:tl2br w:val="nil"/>
              <w:tr2bl w:val="nil"/>
            </w:tcBorders>
            <w:noWrap w:val="0"/>
            <w:vAlign w:val="center"/>
          </w:tcPr>
          <w:p w14:paraId="55BF04BE">
            <w:pPr>
              <w:pStyle w:val="16"/>
              <w:pageBreakBefore w:val="0"/>
              <w:wordWrap/>
              <w:bidi w:val="0"/>
              <w:adjustRightInd/>
              <w:snapToGrid/>
              <w:rPr>
                <w:color w:val="auto"/>
              </w:rPr>
            </w:pPr>
            <w:r>
              <w:rPr>
                <w:color w:val="auto"/>
              </w:rPr>
              <w:t>只</w:t>
            </w:r>
          </w:p>
        </w:tc>
        <w:tc>
          <w:tcPr>
            <w:tcW w:w="244" w:type="pct"/>
            <w:tcBorders>
              <w:tl2br w:val="nil"/>
              <w:tr2bl w:val="nil"/>
            </w:tcBorders>
            <w:noWrap w:val="0"/>
            <w:vAlign w:val="center"/>
          </w:tcPr>
          <w:p w14:paraId="6082E5A2">
            <w:pPr>
              <w:pStyle w:val="16"/>
              <w:pageBreakBefore w:val="0"/>
              <w:wordWrap/>
              <w:bidi w:val="0"/>
              <w:adjustRightInd/>
              <w:snapToGrid/>
              <w:rPr>
                <w:rFonts w:hint="default" w:eastAsia="宋体"/>
                <w:color w:val="auto"/>
                <w:lang w:val="en-US" w:eastAsia="zh-CN"/>
              </w:rPr>
            </w:pPr>
            <w:r>
              <w:rPr>
                <w:rFonts w:hint="eastAsia"/>
                <w:color w:val="auto"/>
                <w:lang w:val="en-US" w:eastAsia="zh-CN"/>
              </w:rPr>
              <w:t>194</w:t>
            </w:r>
          </w:p>
        </w:tc>
        <w:tc>
          <w:tcPr>
            <w:tcW w:w="1132" w:type="pct"/>
            <w:tcBorders>
              <w:tl2br w:val="nil"/>
              <w:tr2bl w:val="nil"/>
            </w:tcBorders>
            <w:noWrap w:val="0"/>
            <w:vAlign w:val="center"/>
          </w:tcPr>
          <w:p w14:paraId="7567DE7A">
            <w:pPr>
              <w:pStyle w:val="16"/>
              <w:pageBreakBefore w:val="0"/>
              <w:wordWrap/>
              <w:bidi w:val="0"/>
              <w:adjustRightInd/>
              <w:snapToGrid/>
              <w:rPr>
                <w:color w:val="auto"/>
              </w:rPr>
            </w:pPr>
          </w:p>
        </w:tc>
      </w:tr>
      <w:tr w14:paraId="6D28F52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00044F3">
            <w:pPr>
              <w:pStyle w:val="16"/>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59496FA9">
            <w:pPr>
              <w:pStyle w:val="16"/>
              <w:pageBreakBefore w:val="0"/>
              <w:wordWrap/>
              <w:bidi w:val="0"/>
              <w:adjustRightInd/>
              <w:snapToGrid/>
              <w:rPr>
                <w:color w:val="auto"/>
              </w:rPr>
            </w:pPr>
            <w:r>
              <w:rPr>
                <w:color w:val="auto"/>
              </w:rPr>
              <w:t>导向滑轨</w:t>
            </w:r>
          </w:p>
        </w:tc>
        <w:tc>
          <w:tcPr>
            <w:tcW w:w="1532" w:type="pct"/>
            <w:tcBorders>
              <w:tl2br w:val="nil"/>
              <w:tr2bl w:val="nil"/>
            </w:tcBorders>
            <w:noWrap w:val="0"/>
            <w:vAlign w:val="center"/>
          </w:tcPr>
          <w:p w14:paraId="26E39EEE">
            <w:pPr>
              <w:pStyle w:val="16"/>
              <w:pageBreakBefore w:val="0"/>
              <w:wordWrap/>
              <w:bidi w:val="0"/>
              <w:adjustRightInd/>
              <w:snapToGrid/>
              <w:rPr>
                <w:color w:val="auto"/>
              </w:rPr>
            </w:pPr>
            <w:r>
              <w:rPr>
                <w:color w:val="auto"/>
              </w:rPr>
              <w:t>GR-5500</w:t>
            </w:r>
          </w:p>
        </w:tc>
        <w:tc>
          <w:tcPr>
            <w:tcW w:w="612" w:type="pct"/>
            <w:tcBorders>
              <w:tl2br w:val="nil"/>
              <w:tr2bl w:val="nil"/>
            </w:tcBorders>
            <w:noWrap w:val="0"/>
            <w:vAlign w:val="center"/>
          </w:tcPr>
          <w:p w14:paraId="2B9E84D9">
            <w:pPr>
              <w:pStyle w:val="16"/>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4B519872">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71B4D98">
            <w:pPr>
              <w:pStyle w:val="16"/>
              <w:pageBreakBefore w:val="0"/>
              <w:wordWrap/>
              <w:bidi w:val="0"/>
              <w:adjustRightInd/>
              <w:snapToGrid/>
              <w:rPr>
                <w:rFonts w:hint="default" w:eastAsia="宋体"/>
                <w:color w:val="auto"/>
                <w:lang w:val="en-US" w:eastAsia="zh-CN"/>
              </w:rPr>
            </w:pPr>
            <w:r>
              <w:rPr>
                <w:rFonts w:hint="eastAsia"/>
                <w:color w:val="auto"/>
                <w:lang w:val="en-US" w:eastAsia="zh-CN"/>
              </w:rPr>
              <w:t>51</w:t>
            </w:r>
          </w:p>
        </w:tc>
        <w:tc>
          <w:tcPr>
            <w:tcW w:w="1132" w:type="pct"/>
            <w:tcBorders>
              <w:tl2br w:val="nil"/>
              <w:tr2bl w:val="nil"/>
            </w:tcBorders>
            <w:noWrap w:val="0"/>
            <w:vAlign w:val="center"/>
          </w:tcPr>
          <w:p w14:paraId="449B4DB2">
            <w:pPr>
              <w:pStyle w:val="16"/>
              <w:pageBreakBefore w:val="0"/>
              <w:wordWrap/>
              <w:bidi w:val="0"/>
              <w:adjustRightInd/>
              <w:snapToGrid/>
              <w:rPr>
                <w:color w:val="auto"/>
              </w:rPr>
            </w:pPr>
          </w:p>
        </w:tc>
      </w:tr>
      <w:tr w14:paraId="2BA0934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47B2688">
            <w:pPr>
              <w:pStyle w:val="16"/>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271EC67B">
            <w:pPr>
              <w:pStyle w:val="16"/>
              <w:pageBreakBefore w:val="0"/>
              <w:wordWrap/>
              <w:bidi w:val="0"/>
              <w:adjustRightInd/>
              <w:snapToGrid/>
              <w:rPr>
                <w:color w:val="auto"/>
              </w:rPr>
            </w:pPr>
            <w:r>
              <w:rPr>
                <w:color w:val="auto"/>
              </w:rPr>
              <w:t>鼓风支管</w:t>
            </w:r>
          </w:p>
        </w:tc>
        <w:tc>
          <w:tcPr>
            <w:tcW w:w="1532" w:type="pct"/>
            <w:tcBorders>
              <w:tl2br w:val="nil"/>
              <w:tr2bl w:val="nil"/>
            </w:tcBorders>
            <w:noWrap w:val="0"/>
            <w:vAlign w:val="center"/>
          </w:tcPr>
          <w:p w14:paraId="70315759">
            <w:pPr>
              <w:pStyle w:val="16"/>
              <w:pageBreakBefore w:val="0"/>
              <w:wordWrap/>
              <w:bidi w:val="0"/>
              <w:adjustRightInd/>
              <w:snapToGrid/>
              <w:rPr>
                <w:color w:val="auto"/>
              </w:rPr>
            </w:pPr>
            <w:r>
              <w:rPr>
                <w:color w:val="auto"/>
              </w:rPr>
              <w:t>ABP-5500</w:t>
            </w:r>
            <w:r>
              <w:rPr>
                <w:rFonts w:hint="eastAsia"/>
                <w:color w:val="auto"/>
                <w:lang w:eastAsia="zh-CN"/>
              </w:rPr>
              <w:t>，</w:t>
            </w:r>
            <w:r>
              <w:rPr>
                <w:color w:val="auto"/>
              </w:rPr>
              <w:t>φ63</w:t>
            </w:r>
            <w:r>
              <w:rPr>
                <w:rFonts w:hint="eastAsia"/>
                <w:color w:val="auto"/>
                <w:lang w:eastAsia="zh-CN"/>
              </w:rPr>
              <w:t>，</w:t>
            </w:r>
            <w:r>
              <w:rPr>
                <w:color w:val="auto"/>
              </w:rPr>
              <w:t>壁厚</w:t>
            </w:r>
            <w:r>
              <w:rPr>
                <w:rFonts w:hint="eastAsia"/>
                <w:color w:val="auto"/>
                <w:lang w:eastAsia="zh-CN"/>
              </w:rPr>
              <w:t>1</w:t>
            </w:r>
            <w:r>
              <w:rPr>
                <w:color w:val="auto"/>
              </w:rPr>
              <w:t>.2mm</w:t>
            </w:r>
          </w:p>
        </w:tc>
        <w:tc>
          <w:tcPr>
            <w:tcW w:w="612" w:type="pct"/>
            <w:tcBorders>
              <w:tl2br w:val="nil"/>
              <w:tr2bl w:val="nil"/>
            </w:tcBorders>
            <w:noWrap w:val="0"/>
            <w:vAlign w:val="center"/>
          </w:tcPr>
          <w:p w14:paraId="60C08261">
            <w:pPr>
              <w:pStyle w:val="16"/>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1073C1F9">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318CBF4">
            <w:pPr>
              <w:pStyle w:val="16"/>
              <w:pageBreakBefore w:val="0"/>
              <w:wordWrap/>
              <w:bidi w:val="0"/>
              <w:adjustRightInd/>
              <w:snapToGrid/>
              <w:rPr>
                <w:rFonts w:hint="default" w:eastAsia="宋体"/>
                <w:color w:val="auto"/>
                <w:lang w:val="en-US" w:eastAsia="zh-CN"/>
              </w:rPr>
            </w:pPr>
            <w:r>
              <w:rPr>
                <w:rFonts w:hint="eastAsia"/>
                <w:color w:val="auto"/>
                <w:lang w:val="en-US" w:eastAsia="zh-CN"/>
              </w:rPr>
              <w:t>51</w:t>
            </w:r>
          </w:p>
        </w:tc>
        <w:tc>
          <w:tcPr>
            <w:tcW w:w="1132" w:type="pct"/>
            <w:tcBorders>
              <w:tl2br w:val="nil"/>
              <w:tr2bl w:val="nil"/>
            </w:tcBorders>
            <w:noWrap w:val="0"/>
            <w:vAlign w:val="center"/>
          </w:tcPr>
          <w:p w14:paraId="6A601B7C">
            <w:pPr>
              <w:pStyle w:val="16"/>
              <w:pageBreakBefore w:val="0"/>
              <w:wordWrap/>
              <w:bidi w:val="0"/>
              <w:adjustRightInd/>
              <w:snapToGrid/>
              <w:rPr>
                <w:color w:val="auto"/>
              </w:rPr>
            </w:pPr>
          </w:p>
        </w:tc>
      </w:tr>
      <w:tr w14:paraId="6FE84C5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7BA734C">
            <w:pPr>
              <w:pStyle w:val="16"/>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58C93EFF">
            <w:pPr>
              <w:pStyle w:val="16"/>
              <w:pageBreakBefore w:val="0"/>
              <w:wordWrap/>
              <w:bidi w:val="0"/>
              <w:adjustRightInd/>
              <w:snapToGrid/>
              <w:rPr>
                <w:color w:val="auto"/>
              </w:rPr>
            </w:pPr>
            <w:r>
              <w:rPr>
                <w:color w:val="auto"/>
              </w:rPr>
              <w:t>导向滑轨支撑</w:t>
            </w:r>
          </w:p>
        </w:tc>
        <w:tc>
          <w:tcPr>
            <w:tcW w:w="1532" w:type="pct"/>
            <w:tcBorders>
              <w:tl2br w:val="nil"/>
              <w:tr2bl w:val="nil"/>
            </w:tcBorders>
            <w:noWrap w:val="0"/>
            <w:vAlign w:val="center"/>
          </w:tcPr>
          <w:p w14:paraId="4140488C">
            <w:pPr>
              <w:pStyle w:val="16"/>
              <w:pageBreakBefore w:val="0"/>
              <w:wordWrap/>
              <w:bidi w:val="0"/>
              <w:adjustRightInd/>
              <w:snapToGrid/>
              <w:rPr>
                <w:color w:val="auto"/>
              </w:rPr>
            </w:pPr>
            <w:r>
              <w:rPr>
                <w:color w:val="auto"/>
              </w:rPr>
              <w:t>GRH-2000</w:t>
            </w:r>
          </w:p>
        </w:tc>
        <w:tc>
          <w:tcPr>
            <w:tcW w:w="612" w:type="pct"/>
            <w:tcBorders>
              <w:tl2br w:val="nil"/>
              <w:tr2bl w:val="nil"/>
            </w:tcBorders>
            <w:noWrap w:val="0"/>
            <w:vAlign w:val="center"/>
          </w:tcPr>
          <w:p w14:paraId="2B2B6E3A">
            <w:pPr>
              <w:pStyle w:val="16"/>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4628823F">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C3AD852">
            <w:pPr>
              <w:pStyle w:val="16"/>
              <w:pageBreakBefore w:val="0"/>
              <w:wordWrap/>
              <w:bidi w:val="0"/>
              <w:adjustRightInd/>
              <w:snapToGrid/>
              <w:rPr>
                <w:rFonts w:hint="default" w:eastAsia="宋体"/>
                <w:color w:val="auto"/>
                <w:lang w:val="en-US" w:eastAsia="zh-CN"/>
              </w:rPr>
            </w:pPr>
            <w:r>
              <w:rPr>
                <w:rFonts w:hint="eastAsia"/>
                <w:color w:val="auto"/>
                <w:lang w:val="en-US" w:eastAsia="zh-CN"/>
              </w:rPr>
              <w:t>16</w:t>
            </w:r>
          </w:p>
        </w:tc>
        <w:tc>
          <w:tcPr>
            <w:tcW w:w="1132" w:type="pct"/>
            <w:tcBorders>
              <w:tl2br w:val="nil"/>
              <w:tr2bl w:val="nil"/>
            </w:tcBorders>
            <w:noWrap w:val="0"/>
            <w:vAlign w:val="center"/>
          </w:tcPr>
          <w:p w14:paraId="297AF88C">
            <w:pPr>
              <w:pStyle w:val="16"/>
              <w:pageBreakBefore w:val="0"/>
              <w:wordWrap/>
              <w:bidi w:val="0"/>
              <w:adjustRightInd/>
              <w:snapToGrid/>
              <w:rPr>
                <w:color w:val="auto"/>
              </w:rPr>
            </w:pPr>
          </w:p>
        </w:tc>
      </w:tr>
      <w:tr w14:paraId="60D781A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9D924AC">
            <w:pPr>
              <w:pStyle w:val="16"/>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7AB95083">
            <w:pPr>
              <w:pStyle w:val="16"/>
              <w:pageBreakBefore w:val="0"/>
              <w:wordWrap/>
              <w:bidi w:val="0"/>
              <w:adjustRightInd/>
              <w:snapToGrid/>
              <w:rPr>
                <w:color w:val="auto"/>
              </w:rPr>
            </w:pPr>
            <w:r>
              <w:rPr>
                <w:color w:val="auto"/>
              </w:rPr>
              <w:t>导向装置</w:t>
            </w:r>
          </w:p>
        </w:tc>
        <w:tc>
          <w:tcPr>
            <w:tcW w:w="1532" w:type="pct"/>
            <w:tcBorders>
              <w:tl2br w:val="nil"/>
              <w:tr2bl w:val="nil"/>
            </w:tcBorders>
            <w:noWrap w:val="0"/>
            <w:vAlign w:val="center"/>
          </w:tcPr>
          <w:p w14:paraId="2B95A2FB">
            <w:pPr>
              <w:pStyle w:val="16"/>
              <w:pageBreakBefore w:val="0"/>
              <w:wordWrap/>
              <w:bidi w:val="0"/>
              <w:adjustRightInd/>
              <w:snapToGrid/>
              <w:rPr>
                <w:color w:val="auto"/>
              </w:rPr>
            </w:pPr>
            <w:r>
              <w:rPr>
                <w:color w:val="auto"/>
              </w:rPr>
              <w:t>GE-2000</w:t>
            </w:r>
          </w:p>
        </w:tc>
        <w:tc>
          <w:tcPr>
            <w:tcW w:w="612" w:type="pct"/>
            <w:tcBorders>
              <w:tl2br w:val="nil"/>
              <w:tr2bl w:val="nil"/>
            </w:tcBorders>
            <w:noWrap w:val="0"/>
            <w:vAlign w:val="center"/>
          </w:tcPr>
          <w:p w14:paraId="4B78AF63">
            <w:pPr>
              <w:pStyle w:val="16"/>
              <w:pageBreakBefore w:val="0"/>
              <w:wordWrap/>
              <w:bidi w:val="0"/>
              <w:adjustRightInd/>
              <w:snapToGrid/>
              <w:rPr>
                <w:color w:val="auto"/>
              </w:rPr>
            </w:pPr>
            <w:r>
              <w:rPr>
                <w:color w:val="auto"/>
              </w:rPr>
              <w:t>PVC</w:t>
            </w:r>
          </w:p>
        </w:tc>
        <w:tc>
          <w:tcPr>
            <w:tcW w:w="279" w:type="pct"/>
            <w:tcBorders>
              <w:tl2br w:val="nil"/>
              <w:tr2bl w:val="nil"/>
            </w:tcBorders>
            <w:noWrap w:val="0"/>
            <w:vAlign w:val="center"/>
          </w:tcPr>
          <w:p w14:paraId="057B0BDF">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5E375083">
            <w:pPr>
              <w:pStyle w:val="16"/>
              <w:pageBreakBefore w:val="0"/>
              <w:wordWrap/>
              <w:bidi w:val="0"/>
              <w:adjustRightInd/>
              <w:snapToGrid/>
              <w:rPr>
                <w:rFonts w:hint="default" w:eastAsia="宋体"/>
                <w:color w:val="auto"/>
                <w:lang w:val="en-US" w:eastAsia="zh-CN"/>
              </w:rPr>
            </w:pPr>
            <w:r>
              <w:rPr>
                <w:rFonts w:hint="eastAsia"/>
                <w:color w:val="auto"/>
                <w:lang w:val="en-US" w:eastAsia="zh-CN"/>
              </w:rPr>
              <w:t>250</w:t>
            </w:r>
          </w:p>
        </w:tc>
        <w:tc>
          <w:tcPr>
            <w:tcW w:w="1132" w:type="pct"/>
            <w:tcBorders>
              <w:tl2br w:val="nil"/>
              <w:tr2bl w:val="nil"/>
            </w:tcBorders>
            <w:noWrap w:val="0"/>
            <w:vAlign w:val="center"/>
          </w:tcPr>
          <w:p w14:paraId="171D9587">
            <w:pPr>
              <w:pStyle w:val="16"/>
              <w:pageBreakBefore w:val="0"/>
              <w:wordWrap/>
              <w:bidi w:val="0"/>
              <w:adjustRightInd/>
              <w:snapToGrid/>
              <w:rPr>
                <w:color w:val="auto"/>
              </w:rPr>
            </w:pPr>
            <w:r>
              <w:rPr>
                <w:color w:val="auto"/>
              </w:rPr>
              <w:t>软管限位附件</w:t>
            </w:r>
          </w:p>
        </w:tc>
      </w:tr>
      <w:tr w14:paraId="48300C6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D6762CB">
            <w:pPr>
              <w:pStyle w:val="16"/>
              <w:pageBreakBefore w:val="0"/>
              <w:wordWrap/>
              <w:bidi w:val="0"/>
              <w:adjustRightInd/>
              <w:snapToGrid/>
              <w:rPr>
                <w:color w:val="auto"/>
              </w:rPr>
            </w:pPr>
            <w:r>
              <w:rPr>
                <w:color w:val="auto"/>
              </w:rPr>
              <w:t>9</w:t>
            </w:r>
          </w:p>
        </w:tc>
        <w:tc>
          <w:tcPr>
            <w:tcW w:w="843" w:type="pct"/>
            <w:gridSpan w:val="2"/>
            <w:tcBorders>
              <w:tl2br w:val="nil"/>
              <w:tr2bl w:val="nil"/>
            </w:tcBorders>
            <w:noWrap w:val="0"/>
            <w:vAlign w:val="center"/>
          </w:tcPr>
          <w:p w14:paraId="585BCA2D">
            <w:pPr>
              <w:pStyle w:val="16"/>
              <w:pageBreakBefore w:val="0"/>
              <w:wordWrap/>
              <w:bidi w:val="0"/>
              <w:adjustRightInd/>
              <w:snapToGrid/>
              <w:rPr>
                <w:color w:val="auto"/>
              </w:rPr>
            </w:pPr>
            <w:r>
              <w:rPr>
                <w:color w:val="auto"/>
              </w:rPr>
              <w:t>导向支架</w:t>
            </w:r>
          </w:p>
        </w:tc>
        <w:tc>
          <w:tcPr>
            <w:tcW w:w="1532" w:type="pct"/>
            <w:tcBorders>
              <w:tl2br w:val="nil"/>
              <w:tr2bl w:val="nil"/>
            </w:tcBorders>
            <w:noWrap w:val="0"/>
            <w:vAlign w:val="center"/>
          </w:tcPr>
          <w:p w14:paraId="08124CFA">
            <w:pPr>
              <w:pStyle w:val="16"/>
              <w:pageBreakBefore w:val="0"/>
              <w:wordWrap/>
              <w:bidi w:val="0"/>
              <w:adjustRightInd/>
              <w:snapToGrid/>
              <w:rPr>
                <w:color w:val="auto"/>
              </w:rPr>
            </w:pPr>
            <w:r>
              <w:rPr>
                <w:color w:val="auto"/>
              </w:rPr>
              <w:t>GH-3000</w:t>
            </w:r>
          </w:p>
        </w:tc>
        <w:tc>
          <w:tcPr>
            <w:tcW w:w="612" w:type="pct"/>
            <w:tcBorders>
              <w:tl2br w:val="nil"/>
              <w:tr2bl w:val="nil"/>
            </w:tcBorders>
            <w:noWrap w:val="0"/>
            <w:vAlign w:val="center"/>
          </w:tcPr>
          <w:p w14:paraId="52259A3F">
            <w:pPr>
              <w:pStyle w:val="16"/>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1A35AD08">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6B2B0B9">
            <w:pPr>
              <w:pStyle w:val="16"/>
              <w:pageBreakBefore w:val="0"/>
              <w:wordWrap/>
              <w:bidi w:val="0"/>
              <w:adjustRightInd/>
              <w:snapToGrid/>
              <w:rPr>
                <w:rFonts w:hint="default" w:eastAsia="宋体"/>
                <w:color w:val="auto"/>
                <w:lang w:val="en-US" w:eastAsia="zh-CN"/>
              </w:rPr>
            </w:pPr>
            <w:r>
              <w:rPr>
                <w:rFonts w:hint="eastAsia"/>
                <w:color w:val="auto"/>
                <w:lang w:val="en-US" w:eastAsia="zh-CN"/>
              </w:rPr>
              <w:t>66</w:t>
            </w:r>
          </w:p>
        </w:tc>
        <w:tc>
          <w:tcPr>
            <w:tcW w:w="1132" w:type="pct"/>
            <w:tcBorders>
              <w:tl2br w:val="nil"/>
              <w:tr2bl w:val="nil"/>
            </w:tcBorders>
            <w:noWrap w:val="0"/>
            <w:vAlign w:val="center"/>
          </w:tcPr>
          <w:p w14:paraId="5B4B6A09">
            <w:pPr>
              <w:pStyle w:val="16"/>
              <w:pageBreakBefore w:val="0"/>
              <w:wordWrap/>
              <w:bidi w:val="0"/>
              <w:adjustRightInd/>
              <w:snapToGrid/>
              <w:rPr>
                <w:color w:val="auto"/>
              </w:rPr>
            </w:pPr>
            <w:r>
              <w:rPr>
                <w:color w:val="auto"/>
              </w:rPr>
              <w:t>软管限位附件</w:t>
            </w:r>
          </w:p>
        </w:tc>
      </w:tr>
      <w:tr w14:paraId="67C3A7D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AFE9BB4">
            <w:pPr>
              <w:pStyle w:val="16"/>
              <w:pageBreakBefore w:val="0"/>
              <w:wordWrap/>
              <w:bidi w:val="0"/>
              <w:adjustRightInd/>
              <w:snapToGrid/>
              <w:rPr>
                <w:color w:val="auto"/>
              </w:rPr>
            </w:pPr>
            <w:r>
              <w:rPr>
                <w:color w:val="auto"/>
              </w:rPr>
              <w:t>10</w:t>
            </w:r>
          </w:p>
        </w:tc>
        <w:tc>
          <w:tcPr>
            <w:tcW w:w="843" w:type="pct"/>
            <w:gridSpan w:val="2"/>
            <w:tcBorders>
              <w:tl2br w:val="nil"/>
              <w:tr2bl w:val="nil"/>
            </w:tcBorders>
            <w:noWrap w:val="0"/>
            <w:vAlign w:val="center"/>
          </w:tcPr>
          <w:p w14:paraId="68BD6C1F">
            <w:pPr>
              <w:pStyle w:val="16"/>
              <w:pageBreakBefore w:val="0"/>
              <w:wordWrap/>
              <w:bidi w:val="0"/>
              <w:adjustRightInd/>
              <w:snapToGrid/>
              <w:rPr>
                <w:color w:val="auto"/>
              </w:rPr>
            </w:pPr>
            <w:r>
              <w:rPr>
                <w:color w:val="auto"/>
              </w:rPr>
              <w:t>导向滚轴</w:t>
            </w:r>
          </w:p>
        </w:tc>
        <w:tc>
          <w:tcPr>
            <w:tcW w:w="1532" w:type="pct"/>
            <w:tcBorders>
              <w:tl2br w:val="nil"/>
              <w:tr2bl w:val="nil"/>
            </w:tcBorders>
            <w:noWrap w:val="0"/>
            <w:vAlign w:val="center"/>
          </w:tcPr>
          <w:p w14:paraId="4AE3E7FC">
            <w:pPr>
              <w:pStyle w:val="16"/>
              <w:pageBreakBefore w:val="0"/>
              <w:wordWrap/>
              <w:bidi w:val="0"/>
              <w:adjustRightInd/>
              <w:snapToGrid/>
              <w:rPr>
                <w:color w:val="auto"/>
              </w:rPr>
            </w:pPr>
            <w:r>
              <w:rPr>
                <w:color w:val="auto"/>
              </w:rPr>
              <w:t>GA-2000</w:t>
            </w:r>
          </w:p>
        </w:tc>
        <w:tc>
          <w:tcPr>
            <w:tcW w:w="612" w:type="pct"/>
            <w:tcBorders>
              <w:tl2br w:val="nil"/>
              <w:tr2bl w:val="nil"/>
            </w:tcBorders>
            <w:noWrap w:val="0"/>
            <w:vAlign w:val="center"/>
          </w:tcPr>
          <w:p w14:paraId="2C401613">
            <w:pPr>
              <w:pStyle w:val="16"/>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467928FB">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2AE35CA8">
            <w:pPr>
              <w:pStyle w:val="16"/>
              <w:pageBreakBefore w:val="0"/>
              <w:wordWrap/>
              <w:bidi w:val="0"/>
              <w:adjustRightInd/>
              <w:snapToGrid/>
              <w:rPr>
                <w:rFonts w:hint="default" w:eastAsia="宋体"/>
                <w:color w:val="auto"/>
                <w:lang w:val="en-US" w:eastAsia="zh-CN"/>
              </w:rPr>
            </w:pPr>
            <w:r>
              <w:rPr>
                <w:rFonts w:hint="eastAsia"/>
                <w:color w:val="auto"/>
                <w:lang w:val="en-US" w:eastAsia="zh-CN"/>
              </w:rPr>
              <w:t>31</w:t>
            </w:r>
          </w:p>
        </w:tc>
        <w:tc>
          <w:tcPr>
            <w:tcW w:w="1132" w:type="pct"/>
            <w:tcBorders>
              <w:tl2br w:val="nil"/>
              <w:tr2bl w:val="nil"/>
            </w:tcBorders>
            <w:noWrap w:val="0"/>
            <w:vAlign w:val="center"/>
          </w:tcPr>
          <w:p w14:paraId="713B6060">
            <w:pPr>
              <w:pStyle w:val="16"/>
              <w:pageBreakBefore w:val="0"/>
              <w:wordWrap/>
              <w:bidi w:val="0"/>
              <w:adjustRightInd/>
              <w:snapToGrid/>
              <w:rPr>
                <w:color w:val="auto"/>
              </w:rPr>
            </w:pPr>
            <w:r>
              <w:rPr>
                <w:color w:val="auto"/>
              </w:rPr>
              <w:t>软管限位附件</w:t>
            </w:r>
          </w:p>
        </w:tc>
      </w:tr>
      <w:tr w14:paraId="1B9AD37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37EBB6E">
            <w:pPr>
              <w:pStyle w:val="16"/>
              <w:pageBreakBefore w:val="0"/>
              <w:wordWrap/>
              <w:bidi w:val="0"/>
              <w:adjustRightInd/>
              <w:snapToGrid/>
              <w:rPr>
                <w:color w:val="auto"/>
              </w:rPr>
            </w:pPr>
            <w:r>
              <w:rPr>
                <w:color w:val="auto"/>
              </w:rPr>
              <w:t>11</w:t>
            </w:r>
          </w:p>
        </w:tc>
        <w:tc>
          <w:tcPr>
            <w:tcW w:w="843" w:type="pct"/>
            <w:gridSpan w:val="2"/>
            <w:tcBorders>
              <w:tl2br w:val="nil"/>
              <w:tr2bl w:val="nil"/>
            </w:tcBorders>
            <w:noWrap w:val="0"/>
            <w:vAlign w:val="center"/>
          </w:tcPr>
          <w:p w14:paraId="3BA3AFD2">
            <w:pPr>
              <w:pStyle w:val="16"/>
              <w:pageBreakBefore w:val="0"/>
              <w:wordWrap/>
              <w:bidi w:val="0"/>
              <w:adjustRightInd/>
              <w:snapToGrid/>
              <w:rPr>
                <w:color w:val="auto"/>
              </w:rPr>
            </w:pPr>
            <w:r>
              <w:rPr>
                <w:color w:val="auto"/>
              </w:rPr>
              <w:t>空气推流器</w:t>
            </w:r>
          </w:p>
        </w:tc>
        <w:tc>
          <w:tcPr>
            <w:tcW w:w="1532" w:type="pct"/>
            <w:tcBorders>
              <w:tl2br w:val="nil"/>
              <w:tr2bl w:val="nil"/>
            </w:tcBorders>
            <w:noWrap w:val="0"/>
            <w:vAlign w:val="center"/>
          </w:tcPr>
          <w:p w14:paraId="1CFB2306">
            <w:pPr>
              <w:pStyle w:val="16"/>
              <w:pageBreakBefore w:val="0"/>
              <w:wordWrap/>
              <w:bidi w:val="0"/>
              <w:adjustRightInd/>
              <w:snapToGrid/>
              <w:rPr>
                <w:color w:val="auto"/>
              </w:rPr>
            </w:pPr>
            <w:r>
              <w:rPr>
                <w:color w:val="auto"/>
              </w:rPr>
              <w:t>ACE-2000</w:t>
            </w:r>
          </w:p>
        </w:tc>
        <w:tc>
          <w:tcPr>
            <w:tcW w:w="612" w:type="pct"/>
            <w:tcBorders>
              <w:tl2br w:val="nil"/>
              <w:tr2bl w:val="nil"/>
            </w:tcBorders>
            <w:noWrap w:val="0"/>
            <w:vAlign w:val="center"/>
          </w:tcPr>
          <w:p w14:paraId="4CE4BE3B">
            <w:pPr>
              <w:pStyle w:val="16"/>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0E8A2BB6">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5CB2D088">
            <w:pPr>
              <w:pStyle w:val="16"/>
              <w:pageBreakBefore w:val="0"/>
              <w:wordWrap/>
              <w:bidi w:val="0"/>
              <w:adjustRightInd/>
              <w:snapToGrid/>
              <w:rPr>
                <w:rFonts w:hint="eastAsia" w:eastAsia="宋体"/>
                <w:color w:val="auto"/>
                <w:lang w:eastAsia="zh-CN"/>
              </w:rPr>
            </w:pPr>
            <w:r>
              <w:rPr>
                <w:rFonts w:hint="eastAsia"/>
                <w:color w:val="auto"/>
                <w:lang w:val="en-US" w:eastAsia="zh-CN"/>
              </w:rPr>
              <w:t>7</w:t>
            </w:r>
          </w:p>
        </w:tc>
        <w:tc>
          <w:tcPr>
            <w:tcW w:w="1132" w:type="pct"/>
            <w:tcBorders>
              <w:tl2br w:val="nil"/>
              <w:tr2bl w:val="nil"/>
            </w:tcBorders>
            <w:noWrap w:val="0"/>
            <w:vAlign w:val="center"/>
          </w:tcPr>
          <w:p w14:paraId="491E174E">
            <w:pPr>
              <w:pStyle w:val="16"/>
              <w:pageBreakBefore w:val="0"/>
              <w:wordWrap/>
              <w:bidi w:val="0"/>
              <w:adjustRightInd/>
              <w:snapToGrid/>
              <w:rPr>
                <w:color w:val="auto"/>
              </w:rPr>
            </w:pPr>
          </w:p>
        </w:tc>
      </w:tr>
      <w:tr w14:paraId="0740A1F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C5D0A93">
            <w:pPr>
              <w:pStyle w:val="16"/>
              <w:pageBreakBefore w:val="0"/>
              <w:wordWrap/>
              <w:bidi w:val="0"/>
              <w:adjustRightInd/>
              <w:snapToGrid/>
              <w:rPr>
                <w:color w:val="auto"/>
              </w:rPr>
            </w:pPr>
            <w:r>
              <w:rPr>
                <w:color w:val="auto"/>
              </w:rPr>
              <w:t>12</w:t>
            </w:r>
          </w:p>
        </w:tc>
        <w:tc>
          <w:tcPr>
            <w:tcW w:w="843" w:type="pct"/>
            <w:gridSpan w:val="2"/>
            <w:tcBorders>
              <w:tl2br w:val="nil"/>
              <w:tr2bl w:val="nil"/>
            </w:tcBorders>
            <w:noWrap w:val="0"/>
            <w:vAlign w:val="center"/>
          </w:tcPr>
          <w:p w14:paraId="39506206">
            <w:pPr>
              <w:pStyle w:val="16"/>
              <w:pageBreakBefore w:val="0"/>
              <w:wordWrap/>
              <w:bidi w:val="0"/>
              <w:adjustRightInd/>
              <w:snapToGrid/>
              <w:rPr>
                <w:color w:val="auto"/>
              </w:rPr>
            </w:pPr>
            <w:r>
              <w:rPr>
                <w:color w:val="auto"/>
              </w:rPr>
              <w:t>溶氧仪支架</w:t>
            </w:r>
          </w:p>
        </w:tc>
        <w:tc>
          <w:tcPr>
            <w:tcW w:w="1532" w:type="pct"/>
            <w:tcBorders>
              <w:tl2br w:val="nil"/>
              <w:tr2bl w:val="nil"/>
            </w:tcBorders>
            <w:noWrap w:val="0"/>
            <w:vAlign w:val="center"/>
          </w:tcPr>
          <w:p w14:paraId="2094562E">
            <w:pPr>
              <w:pStyle w:val="16"/>
              <w:pageBreakBefore w:val="0"/>
              <w:wordWrap/>
              <w:bidi w:val="0"/>
              <w:adjustRightInd/>
              <w:snapToGrid/>
              <w:rPr>
                <w:color w:val="auto"/>
              </w:rPr>
            </w:pPr>
            <w:r>
              <w:rPr>
                <w:color w:val="auto"/>
              </w:rPr>
              <w:t>与溶氧仪配套</w:t>
            </w:r>
          </w:p>
        </w:tc>
        <w:tc>
          <w:tcPr>
            <w:tcW w:w="612" w:type="pct"/>
            <w:tcBorders>
              <w:tl2br w:val="nil"/>
              <w:tr2bl w:val="nil"/>
            </w:tcBorders>
            <w:noWrap w:val="0"/>
            <w:vAlign w:val="center"/>
          </w:tcPr>
          <w:p w14:paraId="73EACBEB">
            <w:pPr>
              <w:pStyle w:val="16"/>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15FD5701">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1663C545">
            <w:pPr>
              <w:pStyle w:val="16"/>
              <w:pageBreakBefore w:val="0"/>
              <w:wordWrap/>
              <w:bidi w:val="0"/>
              <w:adjustRightInd/>
              <w:snapToGrid/>
              <w:rPr>
                <w:rFonts w:hint="eastAsia" w:eastAsia="宋体"/>
                <w:color w:val="auto"/>
                <w:lang w:eastAsia="zh-CN"/>
              </w:rPr>
            </w:pPr>
            <w:r>
              <w:rPr>
                <w:rFonts w:hint="eastAsia"/>
                <w:color w:val="auto"/>
                <w:lang w:val="en-US" w:eastAsia="zh-CN"/>
              </w:rPr>
              <w:t>4</w:t>
            </w:r>
          </w:p>
        </w:tc>
        <w:tc>
          <w:tcPr>
            <w:tcW w:w="1132" w:type="pct"/>
            <w:tcBorders>
              <w:tl2br w:val="nil"/>
              <w:tr2bl w:val="nil"/>
            </w:tcBorders>
            <w:noWrap w:val="0"/>
            <w:vAlign w:val="center"/>
          </w:tcPr>
          <w:p w14:paraId="41A37004">
            <w:pPr>
              <w:pStyle w:val="16"/>
              <w:pageBreakBefore w:val="0"/>
              <w:wordWrap/>
              <w:bidi w:val="0"/>
              <w:adjustRightInd/>
              <w:snapToGrid/>
              <w:rPr>
                <w:rFonts w:hint="eastAsia" w:eastAsia="宋体"/>
                <w:color w:val="auto"/>
                <w:lang w:eastAsia="zh-CN"/>
              </w:rPr>
            </w:pPr>
            <w:r>
              <w:rPr>
                <w:color w:val="auto"/>
              </w:rPr>
              <w:t>计入自控</w:t>
            </w:r>
            <w:r>
              <w:rPr>
                <w:rFonts w:hint="eastAsia"/>
                <w:color w:val="auto"/>
                <w:lang w:eastAsia="zh-CN"/>
              </w:rPr>
              <w:t>，</w:t>
            </w:r>
          </w:p>
        </w:tc>
      </w:tr>
      <w:tr w14:paraId="6C93E81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B3A082E">
            <w:pPr>
              <w:pStyle w:val="16"/>
              <w:pageBreakBefore w:val="0"/>
              <w:wordWrap/>
              <w:bidi w:val="0"/>
              <w:adjustRightInd/>
              <w:snapToGrid/>
              <w:rPr>
                <w:color w:val="auto"/>
              </w:rPr>
            </w:pPr>
            <w:r>
              <w:rPr>
                <w:color w:val="auto"/>
              </w:rPr>
              <w:t>13</w:t>
            </w:r>
          </w:p>
        </w:tc>
        <w:tc>
          <w:tcPr>
            <w:tcW w:w="843" w:type="pct"/>
            <w:gridSpan w:val="2"/>
            <w:tcBorders>
              <w:tl2br w:val="nil"/>
              <w:tr2bl w:val="nil"/>
            </w:tcBorders>
            <w:noWrap w:val="0"/>
            <w:vAlign w:val="center"/>
          </w:tcPr>
          <w:p w14:paraId="4D421EE8">
            <w:pPr>
              <w:pStyle w:val="16"/>
              <w:pageBreakBefore w:val="0"/>
              <w:wordWrap/>
              <w:bidi w:val="0"/>
              <w:adjustRightInd/>
              <w:snapToGrid/>
              <w:rPr>
                <w:color w:val="auto"/>
              </w:rPr>
            </w:pPr>
            <w:r>
              <w:rPr>
                <w:color w:val="auto"/>
              </w:rPr>
              <w:t>溶氧仪</w:t>
            </w:r>
          </w:p>
        </w:tc>
        <w:tc>
          <w:tcPr>
            <w:tcW w:w="1532" w:type="pct"/>
            <w:tcBorders>
              <w:tl2br w:val="nil"/>
              <w:tr2bl w:val="nil"/>
            </w:tcBorders>
            <w:noWrap w:val="0"/>
            <w:vAlign w:val="center"/>
          </w:tcPr>
          <w:p w14:paraId="338D3430">
            <w:pPr>
              <w:pStyle w:val="16"/>
              <w:pageBreakBefore w:val="0"/>
              <w:wordWrap/>
              <w:bidi w:val="0"/>
              <w:adjustRightInd/>
              <w:snapToGrid/>
              <w:rPr>
                <w:color w:val="auto"/>
              </w:rPr>
            </w:pPr>
            <w:r>
              <w:rPr>
                <w:color w:val="auto"/>
              </w:rPr>
              <w:t>LOD在线溶解氧仪+</w:t>
            </w:r>
            <w:r>
              <w:rPr>
                <w:rFonts w:hint="eastAsia"/>
                <w:color w:val="auto"/>
                <w:lang w:eastAsia="zh-CN"/>
              </w:rPr>
              <w:t>，</w:t>
            </w:r>
            <w:r>
              <w:rPr>
                <w:color w:val="auto"/>
              </w:rPr>
              <w:t>C200控制器</w:t>
            </w:r>
          </w:p>
        </w:tc>
        <w:tc>
          <w:tcPr>
            <w:tcW w:w="612" w:type="pct"/>
            <w:tcBorders>
              <w:tl2br w:val="nil"/>
              <w:tr2bl w:val="nil"/>
            </w:tcBorders>
            <w:noWrap w:val="0"/>
            <w:vAlign w:val="center"/>
          </w:tcPr>
          <w:p w14:paraId="6EE0F81F">
            <w:pPr>
              <w:pStyle w:val="16"/>
              <w:pageBreakBefore w:val="0"/>
              <w:wordWrap/>
              <w:bidi w:val="0"/>
              <w:adjustRightInd/>
              <w:snapToGrid/>
              <w:rPr>
                <w:color w:val="auto"/>
              </w:rPr>
            </w:pPr>
          </w:p>
        </w:tc>
        <w:tc>
          <w:tcPr>
            <w:tcW w:w="279" w:type="pct"/>
            <w:tcBorders>
              <w:tl2br w:val="nil"/>
              <w:tr2bl w:val="nil"/>
            </w:tcBorders>
            <w:noWrap w:val="0"/>
            <w:vAlign w:val="center"/>
          </w:tcPr>
          <w:p w14:paraId="18430545">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DDA8ECB">
            <w:pPr>
              <w:pStyle w:val="16"/>
              <w:pageBreakBefore w:val="0"/>
              <w:wordWrap/>
              <w:bidi w:val="0"/>
              <w:adjustRightInd/>
              <w:snapToGrid/>
              <w:rPr>
                <w:rFonts w:hint="eastAsia" w:eastAsia="宋体"/>
                <w:color w:val="auto"/>
                <w:lang w:eastAsia="zh-CN"/>
              </w:rPr>
            </w:pPr>
            <w:r>
              <w:rPr>
                <w:rFonts w:hint="eastAsia"/>
                <w:color w:val="auto"/>
                <w:lang w:val="en-US" w:eastAsia="zh-CN"/>
              </w:rPr>
              <w:t>3</w:t>
            </w:r>
          </w:p>
        </w:tc>
        <w:tc>
          <w:tcPr>
            <w:tcW w:w="1132" w:type="pct"/>
            <w:tcBorders>
              <w:tl2br w:val="nil"/>
              <w:tr2bl w:val="nil"/>
            </w:tcBorders>
            <w:noWrap w:val="0"/>
            <w:vAlign w:val="center"/>
          </w:tcPr>
          <w:p w14:paraId="23356251">
            <w:pPr>
              <w:pStyle w:val="16"/>
              <w:pageBreakBefore w:val="0"/>
              <w:wordWrap/>
              <w:bidi w:val="0"/>
              <w:adjustRightInd/>
              <w:snapToGrid/>
              <w:rPr>
                <w:rFonts w:hint="eastAsia" w:eastAsia="宋体"/>
                <w:color w:val="auto"/>
                <w:lang w:eastAsia="zh-CN"/>
              </w:rPr>
            </w:pPr>
            <w:r>
              <w:rPr>
                <w:color w:val="auto"/>
              </w:rPr>
              <w:t>计入自控</w:t>
            </w:r>
            <w:r>
              <w:rPr>
                <w:rFonts w:hint="eastAsia"/>
                <w:color w:val="auto"/>
                <w:lang w:eastAsia="zh-CN"/>
              </w:rPr>
              <w:t>，</w:t>
            </w:r>
          </w:p>
        </w:tc>
      </w:tr>
      <w:tr w14:paraId="5DF3432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D9077CC">
            <w:pPr>
              <w:pStyle w:val="16"/>
              <w:pageBreakBefore w:val="0"/>
              <w:wordWrap/>
              <w:bidi w:val="0"/>
              <w:adjustRightInd/>
              <w:snapToGrid/>
              <w:rPr>
                <w:color w:val="auto"/>
              </w:rPr>
            </w:pPr>
            <w:r>
              <w:rPr>
                <w:color w:val="auto"/>
              </w:rPr>
              <w:t>14</w:t>
            </w:r>
          </w:p>
        </w:tc>
        <w:tc>
          <w:tcPr>
            <w:tcW w:w="843" w:type="pct"/>
            <w:gridSpan w:val="2"/>
            <w:tcBorders>
              <w:tl2br w:val="nil"/>
              <w:tr2bl w:val="nil"/>
            </w:tcBorders>
            <w:noWrap w:val="0"/>
            <w:vAlign w:val="center"/>
          </w:tcPr>
          <w:p w14:paraId="7BF914F5">
            <w:pPr>
              <w:pStyle w:val="16"/>
              <w:pageBreakBefore w:val="0"/>
              <w:wordWrap/>
              <w:bidi w:val="0"/>
              <w:adjustRightInd/>
              <w:snapToGrid/>
              <w:rPr>
                <w:color w:val="auto"/>
              </w:rPr>
            </w:pPr>
            <w:r>
              <w:rPr>
                <w:color w:val="auto"/>
              </w:rPr>
              <w:t>污泥回流泵</w:t>
            </w:r>
          </w:p>
        </w:tc>
        <w:tc>
          <w:tcPr>
            <w:tcW w:w="1532" w:type="pct"/>
            <w:tcBorders>
              <w:tl2br w:val="nil"/>
              <w:tr2bl w:val="nil"/>
            </w:tcBorders>
            <w:noWrap w:val="0"/>
            <w:vAlign w:val="center"/>
          </w:tcPr>
          <w:p w14:paraId="255B6A1D">
            <w:pPr>
              <w:pStyle w:val="16"/>
              <w:pageBreakBefore w:val="0"/>
              <w:wordWrap/>
              <w:bidi w:val="0"/>
              <w:adjustRightInd/>
              <w:snapToGrid/>
              <w:rPr>
                <w:color w:val="auto"/>
              </w:rPr>
            </w:pPr>
            <w:r>
              <w:rPr>
                <w:color w:val="auto"/>
              </w:rPr>
              <w:t>Q=62.5</w:t>
            </w:r>
            <w:r>
              <w:rPr>
                <w:rFonts w:hint="eastAsia"/>
                <w:color w:val="auto"/>
                <w:lang w:eastAsia="zh-CN"/>
              </w:rPr>
              <w:t>m³</w:t>
            </w:r>
            <w:r>
              <w:rPr>
                <w:color w:val="auto"/>
              </w:rPr>
              <w:t>/h</w:t>
            </w:r>
            <w:r>
              <w:rPr>
                <w:rFonts w:hint="eastAsia"/>
                <w:color w:val="auto"/>
                <w:lang w:eastAsia="zh-CN"/>
              </w:rPr>
              <w:t>，</w:t>
            </w:r>
            <w:r>
              <w:rPr>
                <w:color w:val="auto"/>
              </w:rPr>
              <w:t>H=10m</w:t>
            </w:r>
            <w:r>
              <w:rPr>
                <w:rFonts w:hint="eastAsia"/>
                <w:color w:val="auto"/>
                <w:lang w:eastAsia="zh-CN"/>
              </w:rPr>
              <w:t>，</w:t>
            </w:r>
            <w:r>
              <w:rPr>
                <w:color w:val="auto"/>
              </w:rPr>
              <w:t>N=5.5kW</w:t>
            </w:r>
            <w:r>
              <w:rPr>
                <w:rFonts w:hint="eastAsia"/>
                <w:color w:val="auto"/>
                <w:lang w:eastAsia="zh-CN"/>
              </w:rPr>
              <w:t>，</w:t>
            </w:r>
            <w:r>
              <w:rPr>
                <w:color w:val="auto"/>
              </w:rPr>
              <w:t>变频控制</w:t>
            </w:r>
          </w:p>
        </w:tc>
        <w:tc>
          <w:tcPr>
            <w:tcW w:w="612" w:type="pct"/>
            <w:tcBorders>
              <w:tl2br w:val="nil"/>
              <w:tr2bl w:val="nil"/>
            </w:tcBorders>
            <w:noWrap w:val="0"/>
            <w:vAlign w:val="center"/>
          </w:tcPr>
          <w:p w14:paraId="5B7C7573">
            <w:pPr>
              <w:pStyle w:val="16"/>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5B62B382">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DCBA75E">
            <w:pPr>
              <w:pStyle w:val="16"/>
              <w:pageBreakBefore w:val="0"/>
              <w:wordWrap/>
              <w:bidi w:val="0"/>
              <w:adjustRightInd/>
              <w:snapToGrid/>
              <w:rPr>
                <w:rFonts w:hint="eastAsia" w:eastAsia="宋体"/>
                <w:color w:val="auto"/>
                <w:lang w:eastAsia="zh-CN"/>
              </w:rPr>
            </w:pPr>
            <w:r>
              <w:rPr>
                <w:rFonts w:hint="eastAsia"/>
                <w:color w:val="auto"/>
                <w:lang w:val="en-US" w:eastAsia="zh-CN"/>
              </w:rPr>
              <w:t>5</w:t>
            </w:r>
          </w:p>
        </w:tc>
        <w:tc>
          <w:tcPr>
            <w:tcW w:w="1132" w:type="pct"/>
            <w:tcBorders>
              <w:tl2br w:val="nil"/>
              <w:tr2bl w:val="nil"/>
            </w:tcBorders>
            <w:noWrap w:val="0"/>
            <w:vAlign w:val="center"/>
          </w:tcPr>
          <w:p w14:paraId="58BB4231">
            <w:pPr>
              <w:pStyle w:val="16"/>
              <w:pageBreakBefore w:val="0"/>
              <w:wordWrap/>
              <w:bidi w:val="0"/>
              <w:adjustRightInd/>
              <w:snapToGrid/>
              <w:rPr>
                <w:color w:val="auto"/>
              </w:rPr>
            </w:pPr>
            <w:r>
              <w:rPr>
                <w:rFonts w:hint="eastAsia"/>
                <w:color w:val="auto"/>
                <w:lang w:val="en-US" w:eastAsia="zh-CN"/>
              </w:rPr>
              <w:t>5</w:t>
            </w:r>
            <w:r>
              <w:rPr>
                <w:color w:val="auto"/>
              </w:rPr>
              <w:t>用</w:t>
            </w:r>
            <w:r>
              <w:rPr>
                <w:rFonts w:hint="eastAsia"/>
                <w:color w:val="auto"/>
                <w:lang w:eastAsia="zh-CN"/>
              </w:rPr>
              <w:t>1</w:t>
            </w:r>
            <w:r>
              <w:rPr>
                <w:color w:val="auto"/>
              </w:rPr>
              <w:t>备</w:t>
            </w:r>
            <w:r>
              <w:rPr>
                <w:rFonts w:hint="eastAsia"/>
                <w:color w:val="auto"/>
                <w:lang w:eastAsia="zh-CN"/>
              </w:rPr>
              <w:t>，</w:t>
            </w:r>
            <w:r>
              <w:rPr>
                <w:color w:val="auto"/>
              </w:rPr>
              <w:t>变频运行</w:t>
            </w:r>
          </w:p>
        </w:tc>
      </w:tr>
      <w:tr w14:paraId="71230BF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87DE8F4">
            <w:pPr>
              <w:pStyle w:val="16"/>
              <w:pageBreakBefore w:val="0"/>
              <w:wordWrap/>
              <w:bidi w:val="0"/>
              <w:adjustRightInd/>
              <w:snapToGrid/>
              <w:rPr>
                <w:color w:val="auto"/>
              </w:rPr>
            </w:pPr>
            <w:r>
              <w:rPr>
                <w:color w:val="auto"/>
              </w:rPr>
              <w:t>15</w:t>
            </w:r>
          </w:p>
        </w:tc>
        <w:tc>
          <w:tcPr>
            <w:tcW w:w="843" w:type="pct"/>
            <w:gridSpan w:val="2"/>
            <w:tcBorders>
              <w:tl2br w:val="nil"/>
              <w:tr2bl w:val="nil"/>
            </w:tcBorders>
            <w:noWrap w:val="0"/>
            <w:vAlign w:val="center"/>
          </w:tcPr>
          <w:p w14:paraId="54A9FE61">
            <w:pPr>
              <w:pStyle w:val="16"/>
              <w:pageBreakBefore w:val="0"/>
              <w:wordWrap/>
              <w:bidi w:val="0"/>
              <w:adjustRightInd/>
              <w:snapToGrid/>
              <w:rPr>
                <w:color w:val="auto"/>
              </w:rPr>
            </w:pPr>
            <w:r>
              <w:rPr>
                <w:color w:val="auto"/>
              </w:rPr>
              <w:t>出水支槽</w:t>
            </w:r>
          </w:p>
        </w:tc>
        <w:tc>
          <w:tcPr>
            <w:tcW w:w="1532" w:type="pct"/>
            <w:tcBorders>
              <w:tl2br w:val="nil"/>
              <w:tr2bl w:val="nil"/>
            </w:tcBorders>
            <w:noWrap w:val="0"/>
            <w:vAlign w:val="center"/>
          </w:tcPr>
          <w:p w14:paraId="011ED5F6">
            <w:pPr>
              <w:pStyle w:val="16"/>
              <w:pageBreakBefore w:val="0"/>
              <w:wordWrap/>
              <w:bidi w:val="0"/>
              <w:adjustRightInd/>
              <w:snapToGrid/>
              <w:rPr>
                <w:color w:val="auto"/>
              </w:rPr>
            </w:pPr>
            <w:r>
              <w:rPr>
                <w:color w:val="auto"/>
              </w:rPr>
              <w:t>非标</w:t>
            </w:r>
            <w:r>
              <w:rPr>
                <w:rFonts w:hint="eastAsia"/>
                <w:color w:val="auto"/>
                <w:lang w:eastAsia="zh-CN"/>
              </w:rPr>
              <w:t>，</w:t>
            </w:r>
            <w:r>
              <w:rPr>
                <w:color w:val="auto"/>
              </w:rPr>
              <w:t>2900×200×200mm</w:t>
            </w:r>
          </w:p>
        </w:tc>
        <w:tc>
          <w:tcPr>
            <w:tcW w:w="612" w:type="pct"/>
            <w:tcBorders>
              <w:tl2br w:val="nil"/>
              <w:tr2bl w:val="nil"/>
            </w:tcBorders>
            <w:noWrap w:val="0"/>
            <w:vAlign w:val="center"/>
          </w:tcPr>
          <w:p w14:paraId="49BB6B2D">
            <w:pPr>
              <w:pStyle w:val="16"/>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1399A0FC">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F6DF1EE">
            <w:pPr>
              <w:pStyle w:val="16"/>
              <w:pageBreakBefore w:val="0"/>
              <w:wordWrap/>
              <w:bidi w:val="0"/>
              <w:adjustRightInd/>
              <w:snapToGrid/>
              <w:rPr>
                <w:rFonts w:hint="default" w:eastAsia="宋体"/>
                <w:color w:val="auto"/>
                <w:lang w:val="en-US" w:eastAsia="zh-CN"/>
              </w:rPr>
            </w:pPr>
            <w:r>
              <w:rPr>
                <w:rFonts w:hint="eastAsia"/>
                <w:color w:val="auto"/>
                <w:lang w:val="en-US" w:eastAsia="zh-CN"/>
              </w:rPr>
              <w:t>10</w:t>
            </w:r>
          </w:p>
        </w:tc>
        <w:tc>
          <w:tcPr>
            <w:tcW w:w="1132" w:type="pct"/>
            <w:tcBorders>
              <w:tl2br w:val="nil"/>
              <w:tr2bl w:val="nil"/>
            </w:tcBorders>
            <w:noWrap w:val="0"/>
            <w:vAlign w:val="center"/>
          </w:tcPr>
          <w:p w14:paraId="2E2A6666">
            <w:pPr>
              <w:pStyle w:val="16"/>
              <w:pageBreakBefore w:val="0"/>
              <w:wordWrap/>
              <w:bidi w:val="0"/>
              <w:adjustRightInd/>
              <w:snapToGrid/>
              <w:rPr>
                <w:color w:val="auto"/>
              </w:rPr>
            </w:pPr>
          </w:p>
        </w:tc>
      </w:tr>
      <w:tr w14:paraId="6B03A20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3F691C9">
            <w:pPr>
              <w:pStyle w:val="16"/>
              <w:pageBreakBefore w:val="0"/>
              <w:wordWrap/>
              <w:bidi w:val="0"/>
              <w:adjustRightInd/>
              <w:snapToGrid/>
              <w:rPr>
                <w:color w:val="auto"/>
              </w:rPr>
            </w:pPr>
            <w:r>
              <w:rPr>
                <w:color w:val="auto"/>
              </w:rPr>
              <w:t>16</w:t>
            </w:r>
          </w:p>
        </w:tc>
        <w:tc>
          <w:tcPr>
            <w:tcW w:w="843" w:type="pct"/>
            <w:gridSpan w:val="2"/>
            <w:tcBorders>
              <w:tl2br w:val="nil"/>
              <w:tr2bl w:val="nil"/>
            </w:tcBorders>
            <w:noWrap w:val="0"/>
            <w:vAlign w:val="center"/>
          </w:tcPr>
          <w:p w14:paraId="7B93CB53">
            <w:pPr>
              <w:pStyle w:val="16"/>
              <w:pageBreakBefore w:val="0"/>
              <w:wordWrap/>
              <w:bidi w:val="0"/>
              <w:adjustRightInd/>
              <w:snapToGrid/>
              <w:rPr>
                <w:color w:val="auto"/>
              </w:rPr>
            </w:pPr>
            <w:r>
              <w:rPr>
                <w:color w:val="auto"/>
              </w:rPr>
              <w:t>涡轮传动法兰蝶阀</w:t>
            </w:r>
          </w:p>
        </w:tc>
        <w:tc>
          <w:tcPr>
            <w:tcW w:w="1532" w:type="pct"/>
            <w:tcBorders>
              <w:tl2br w:val="nil"/>
              <w:tr2bl w:val="nil"/>
            </w:tcBorders>
            <w:noWrap w:val="0"/>
            <w:vAlign w:val="center"/>
          </w:tcPr>
          <w:p w14:paraId="4193B7CD">
            <w:pPr>
              <w:pStyle w:val="16"/>
              <w:pageBreakBefore w:val="0"/>
              <w:wordWrap/>
              <w:bidi w:val="0"/>
              <w:adjustRightInd/>
              <w:snapToGrid/>
              <w:rPr>
                <w:color w:val="auto"/>
              </w:rPr>
            </w:pPr>
            <w:r>
              <w:rPr>
                <w:color w:val="auto"/>
              </w:rPr>
              <w:t>D341×-10</w:t>
            </w:r>
            <w:r>
              <w:rPr>
                <w:rFonts w:hint="eastAsia"/>
                <w:color w:val="auto"/>
                <w:lang w:eastAsia="zh-CN"/>
              </w:rPr>
              <w:t>，</w:t>
            </w:r>
            <w:r>
              <w:rPr>
                <w:color w:val="auto"/>
              </w:rPr>
              <w:t>DN100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6D1CF0F3">
            <w:pPr>
              <w:pStyle w:val="16"/>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33D60AC9">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D60C66D">
            <w:pPr>
              <w:pStyle w:val="16"/>
              <w:pageBreakBefore w:val="0"/>
              <w:wordWrap/>
              <w:bidi w:val="0"/>
              <w:adjustRightInd/>
              <w:snapToGrid/>
              <w:rPr>
                <w:rFonts w:hint="eastAsia" w:eastAsia="宋体"/>
                <w:color w:val="auto"/>
                <w:lang w:eastAsia="zh-CN"/>
              </w:rPr>
            </w:pPr>
            <w:r>
              <w:rPr>
                <w:rFonts w:hint="eastAsia"/>
                <w:color w:val="auto"/>
                <w:lang w:val="en-US" w:eastAsia="zh-CN"/>
              </w:rPr>
              <w:t>8</w:t>
            </w:r>
          </w:p>
        </w:tc>
        <w:tc>
          <w:tcPr>
            <w:tcW w:w="1132" w:type="pct"/>
            <w:tcBorders>
              <w:tl2br w:val="nil"/>
              <w:tr2bl w:val="nil"/>
            </w:tcBorders>
            <w:noWrap w:val="0"/>
            <w:vAlign w:val="center"/>
          </w:tcPr>
          <w:p w14:paraId="48260C35">
            <w:pPr>
              <w:pStyle w:val="16"/>
              <w:pageBreakBefore w:val="0"/>
              <w:wordWrap/>
              <w:bidi w:val="0"/>
              <w:adjustRightInd/>
              <w:snapToGrid/>
              <w:rPr>
                <w:color w:val="auto"/>
              </w:rPr>
            </w:pPr>
            <w:r>
              <w:rPr>
                <w:color w:val="auto"/>
              </w:rPr>
              <w:t>鼓风主管阀门</w:t>
            </w:r>
          </w:p>
        </w:tc>
      </w:tr>
      <w:tr w14:paraId="3EDED9E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DB9C3C1">
            <w:pPr>
              <w:pStyle w:val="16"/>
              <w:pageBreakBefore w:val="0"/>
              <w:wordWrap/>
              <w:bidi w:val="0"/>
              <w:adjustRightInd/>
              <w:snapToGrid/>
              <w:rPr>
                <w:color w:val="auto"/>
              </w:rPr>
            </w:pPr>
            <w:r>
              <w:rPr>
                <w:color w:val="auto"/>
              </w:rPr>
              <w:t>17</w:t>
            </w:r>
          </w:p>
        </w:tc>
        <w:tc>
          <w:tcPr>
            <w:tcW w:w="843" w:type="pct"/>
            <w:gridSpan w:val="2"/>
            <w:tcBorders>
              <w:tl2br w:val="nil"/>
              <w:tr2bl w:val="nil"/>
            </w:tcBorders>
            <w:noWrap w:val="0"/>
            <w:vAlign w:val="center"/>
          </w:tcPr>
          <w:p w14:paraId="5CCF4807">
            <w:pPr>
              <w:pStyle w:val="16"/>
              <w:pageBreakBefore w:val="0"/>
              <w:wordWrap/>
              <w:bidi w:val="0"/>
              <w:adjustRightInd/>
              <w:snapToGrid/>
              <w:rPr>
                <w:color w:val="auto"/>
              </w:rPr>
            </w:pPr>
            <w:r>
              <w:rPr>
                <w:color w:val="auto"/>
              </w:rPr>
              <w:t>丝扣球阀</w:t>
            </w:r>
          </w:p>
        </w:tc>
        <w:tc>
          <w:tcPr>
            <w:tcW w:w="1532" w:type="pct"/>
            <w:tcBorders>
              <w:tl2br w:val="nil"/>
              <w:tr2bl w:val="nil"/>
            </w:tcBorders>
            <w:noWrap w:val="0"/>
            <w:vAlign w:val="center"/>
          </w:tcPr>
          <w:p w14:paraId="15B2B7F4">
            <w:pPr>
              <w:pStyle w:val="16"/>
              <w:pageBreakBefore w:val="0"/>
              <w:wordWrap/>
              <w:bidi w:val="0"/>
              <w:adjustRightInd/>
              <w:snapToGrid/>
              <w:rPr>
                <w:color w:val="auto"/>
              </w:rPr>
            </w:pPr>
            <w:r>
              <w:rPr>
                <w:color w:val="auto"/>
              </w:rPr>
              <w:t>DN50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6B4C4DBC">
            <w:pPr>
              <w:pStyle w:val="16"/>
              <w:pageBreakBefore w:val="0"/>
              <w:wordWrap/>
              <w:bidi w:val="0"/>
              <w:adjustRightInd/>
              <w:snapToGrid/>
              <w:rPr>
                <w:color w:val="auto"/>
              </w:rPr>
            </w:pPr>
            <w:r>
              <w:rPr>
                <w:rFonts w:hint="eastAsia"/>
                <w:color w:val="auto"/>
                <w:lang w:eastAsia="zh-CN"/>
              </w:rPr>
              <w:t>SS304</w:t>
            </w:r>
          </w:p>
        </w:tc>
        <w:tc>
          <w:tcPr>
            <w:tcW w:w="279" w:type="pct"/>
            <w:tcBorders>
              <w:tl2br w:val="nil"/>
              <w:tr2bl w:val="nil"/>
            </w:tcBorders>
            <w:noWrap w:val="0"/>
            <w:vAlign w:val="center"/>
          </w:tcPr>
          <w:p w14:paraId="111C2FCC">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D7737CA">
            <w:pPr>
              <w:pStyle w:val="16"/>
              <w:pageBreakBefore w:val="0"/>
              <w:wordWrap/>
              <w:bidi w:val="0"/>
              <w:adjustRightInd/>
              <w:snapToGrid/>
              <w:rPr>
                <w:rFonts w:hint="default" w:eastAsia="宋体"/>
                <w:color w:val="auto"/>
                <w:lang w:val="en-US" w:eastAsia="zh-CN"/>
              </w:rPr>
            </w:pPr>
            <w:r>
              <w:rPr>
                <w:rFonts w:hint="eastAsia"/>
                <w:color w:val="auto"/>
                <w:lang w:val="en-US" w:eastAsia="zh-CN"/>
              </w:rPr>
              <w:t>72</w:t>
            </w:r>
          </w:p>
        </w:tc>
        <w:tc>
          <w:tcPr>
            <w:tcW w:w="1132" w:type="pct"/>
            <w:tcBorders>
              <w:tl2br w:val="nil"/>
              <w:tr2bl w:val="nil"/>
            </w:tcBorders>
            <w:noWrap w:val="0"/>
            <w:vAlign w:val="center"/>
          </w:tcPr>
          <w:p w14:paraId="346084E7">
            <w:pPr>
              <w:pStyle w:val="16"/>
              <w:pageBreakBefore w:val="0"/>
              <w:wordWrap/>
              <w:bidi w:val="0"/>
              <w:adjustRightInd/>
              <w:snapToGrid/>
              <w:rPr>
                <w:color w:val="auto"/>
              </w:rPr>
            </w:pPr>
            <w:r>
              <w:rPr>
                <w:color w:val="auto"/>
              </w:rPr>
              <w:t>鼓风支管</w:t>
            </w:r>
            <w:r>
              <w:rPr>
                <w:rFonts w:hint="eastAsia"/>
                <w:color w:val="auto"/>
                <w:lang w:eastAsia="zh-CN"/>
              </w:rPr>
              <w:t>、</w:t>
            </w:r>
            <w:r>
              <w:rPr>
                <w:color w:val="auto"/>
              </w:rPr>
              <w:t>放空及气提阀门</w:t>
            </w:r>
          </w:p>
        </w:tc>
      </w:tr>
      <w:tr w14:paraId="70382B3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0FA6523">
            <w:pPr>
              <w:pStyle w:val="16"/>
              <w:pageBreakBefore w:val="0"/>
              <w:wordWrap/>
              <w:bidi w:val="0"/>
              <w:adjustRightInd/>
              <w:snapToGrid/>
              <w:rPr>
                <w:color w:val="auto"/>
              </w:rPr>
            </w:pPr>
            <w:r>
              <w:rPr>
                <w:color w:val="auto"/>
              </w:rPr>
              <w:t>18</w:t>
            </w:r>
          </w:p>
        </w:tc>
        <w:tc>
          <w:tcPr>
            <w:tcW w:w="843" w:type="pct"/>
            <w:gridSpan w:val="2"/>
            <w:tcBorders>
              <w:tl2br w:val="nil"/>
              <w:tr2bl w:val="nil"/>
            </w:tcBorders>
            <w:noWrap w:val="0"/>
            <w:vAlign w:val="center"/>
          </w:tcPr>
          <w:p w14:paraId="034D9CCE">
            <w:pPr>
              <w:pStyle w:val="16"/>
              <w:pageBreakBefore w:val="0"/>
              <w:wordWrap/>
              <w:bidi w:val="0"/>
              <w:adjustRightInd/>
              <w:snapToGrid/>
              <w:rPr>
                <w:color w:val="auto"/>
              </w:rPr>
            </w:pPr>
            <w:r>
              <w:rPr>
                <w:color w:val="auto"/>
              </w:rPr>
              <w:t>放空消音器</w:t>
            </w:r>
          </w:p>
        </w:tc>
        <w:tc>
          <w:tcPr>
            <w:tcW w:w="1532" w:type="pct"/>
            <w:tcBorders>
              <w:tl2br w:val="nil"/>
              <w:tr2bl w:val="nil"/>
            </w:tcBorders>
            <w:noWrap w:val="0"/>
            <w:vAlign w:val="center"/>
          </w:tcPr>
          <w:p w14:paraId="118AB8F1">
            <w:pPr>
              <w:pStyle w:val="16"/>
              <w:pageBreakBefore w:val="0"/>
              <w:wordWrap/>
              <w:bidi w:val="0"/>
              <w:adjustRightInd/>
              <w:snapToGrid/>
              <w:rPr>
                <w:color w:val="auto"/>
              </w:rPr>
            </w:pPr>
            <w:r>
              <w:rPr>
                <w:color w:val="auto"/>
              </w:rPr>
              <w:t>DN50</w:t>
            </w:r>
            <w:r>
              <w:rPr>
                <w:rFonts w:hint="eastAsia"/>
                <w:color w:val="auto"/>
                <w:lang w:eastAsia="zh-CN"/>
              </w:rPr>
              <w:t>，</w:t>
            </w:r>
            <w:r>
              <w:rPr>
                <w:color w:val="auto"/>
              </w:rPr>
              <w:t>L=500</w:t>
            </w:r>
          </w:p>
        </w:tc>
        <w:tc>
          <w:tcPr>
            <w:tcW w:w="612" w:type="pct"/>
            <w:tcBorders>
              <w:tl2br w:val="nil"/>
              <w:tr2bl w:val="nil"/>
            </w:tcBorders>
            <w:noWrap w:val="0"/>
            <w:vAlign w:val="center"/>
          </w:tcPr>
          <w:p w14:paraId="1D963B4E">
            <w:pPr>
              <w:pStyle w:val="16"/>
              <w:pageBreakBefore w:val="0"/>
              <w:wordWrap/>
              <w:bidi w:val="0"/>
              <w:adjustRightInd/>
              <w:snapToGrid/>
              <w:rPr>
                <w:color w:val="auto"/>
              </w:rPr>
            </w:pPr>
            <w:r>
              <w:rPr>
                <w:color w:val="auto"/>
              </w:rPr>
              <w:t>碳钢</w:t>
            </w:r>
          </w:p>
        </w:tc>
        <w:tc>
          <w:tcPr>
            <w:tcW w:w="279" w:type="pct"/>
            <w:tcBorders>
              <w:tl2br w:val="nil"/>
              <w:tr2bl w:val="nil"/>
            </w:tcBorders>
            <w:noWrap w:val="0"/>
            <w:vAlign w:val="center"/>
          </w:tcPr>
          <w:p w14:paraId="474AE9BD">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9892C56">
            <w:pPr>
              <w:pStyle w:val="16"/>
              <w:pageBreakBefore w:val="0"/>
              <w:wordWrap/>
              <w:bidi w:val="0"/>
              <w:adjustRightInd/>
              <w:snapToGrid/>
              <w:rPr>
                <w:rFonts w:hint="eastAsia" w:eastAsia="宋体"/>
                <w:color w:val="auto"/>
                <w:lang w:eastAsia="zh-CN"/>
              </w:rPr>
            </w:pPr>
            <w:r>
              <w:rPr>
                <w:rFonts w:hint="eastAsia"/>
                <w:color w:val="auto"/>
                <w:lang w:val="en-US" w:eastAsia="zh-CN"/>
              </w:rPr>
              <w:t>4</w:t>
            </w:r>
          </w:p>
        </w:tc>
        <w:tc>
          <w:tcPr>
            <w:tcW w:w="1132" w:type="pct"/>
            <w:tcBorders>
              <w:tl2br w:val="nil"/>
              <w:tr2bl w:val="nil"/>
            </w:tcBorders>
            <w:noWrap w:val="0"/>
            <w:vAlign w:val="center"/>
          </w:tcPr>
          <w:p w14:paraId="6EF1DEFA">
            <w:pPr>
              <w:pStyle w:val="16"/>
              <w:pageBreakBefore w:val="0"/>
              <w:wordWrap/>
              <w:bidi w:val="0"/>
              <w:adjustRightInd/>
              <w:snapToGrid/>
              <w:rPr>
                <w:color w:val="auto"/>
              </w:rPr>
            </w:pPr>
          </w:p>
        </w:tc>
      </w:tr>
      <w:tr w14:paraId="07B89A6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5612E66">
            <w:pPr>
              <w:pStyle w:val="16"/>
              <w:pageBreakBefore w:val="0"/>
              <w:wordWrap/>
              <w:bidi w:val="0"/>
              <w:adjustRightInd/>
              <w:snapToGrid/>
              <w:rPr>
                <w:color w:val="auto"/>
              </w:rPr>
            </w:pPr>
            <w:r>
              <w:rPr>
                <w:color w:val="auto"/>
              </w:rPr>
              <w:t>19</w:t>
            </w:r>
          </w:p>
        </w:tc>
        <w:tc>
          <w:tcPr>
            <w:tcW w:w="843" w:type="pct"/>
            <w:gridSpan w:val="2"/>
            <w:tcBorders>
              <w:tl2br w:val="nil"/>
              <w:tr2bl w:val="nil"/>
            </w:tcBorders>
            <w:noWrap w:val="0"/>
            <w:vAlign w:val="center"/>
          </w:tcPr>
          <w:p w14:paraId="3DE28AEF">
            <w:pPr>
              <w:pStyle w:val="16"/>
              <w:pageBreakBefore w:val="0"/>
              <w:wordWrap/>
              <w:bidi w:val="0"/>
              <w:adjustRightInd/>
              <w:snapToGrid/>
              <w:rPr>
                <w:color w:val="auto"/>
              </w:rPr>
            </w:pPr>
            <w:r>
              <w:rPr>
                <w:color w:val="auto"/>
              </w:rPr>
              <w:t>沉淀组合填料</w:t>
            </w:r>
          </w:p>
        </w:tc>
        <w:tc>
          <w:tcPr>
            <w:tcW w:w="1532" w:type="pct"/>
            <w:tcBorders>
              <w:tl2br w:val="nil"/>
              <w:tr2bl w:val="nil"/>
            </w:tcBorders>
            <w:noWrap w:val="0"/>
            <w:vAlign w:val="center"/>
          </w:tcPr>
          <w:p w14:paraId="3CBD58C3">
            <w:pPr>
              <w:pStyle w:val="16"/>
              <w:pageBreakBefore w:val="0"/>
              <w:wordWrap/>
              <w:bidi w:val="0"/>
              <w:adjustRightInd/>
              <w:snapToGrid/>
              <w:rPr>
                <w:color w:val="auto"/>
              </w:rPr>
            </w:pPr>
            <w:r>
              <w:rPr>
                <w:color w:val="auto"/>
              </w:rPr>
              <w:t>b=</w:t>
            </w:r>
            <w:r>
              <w:rPr>
                <w:rFonts w:hint="eastAsia"/>
                <w:color w:val="auto"/>
                <w:lang w:eastAsia="zh-CN"/>
              </w:rPr>
              <w:t>1</w:t>
            </w:r>
            <w:r>
              <w:rPr>
                <w:color w:val="auto"/>
              </w:rPr>
              <w:t>.0mm</w:t>
            </w:r>
            <w:r>
              <w:rPr>
                <w:rFonts w:hint="eastAsia"/>
                <w:color w:val="auto"/>
                <w:lang w:eastAsia="zh-CN"/>
              </w:rPr>
              <w:t>，</w:t>
            </w:r>
            <w:r>
              <w:rPr>
                <w:color w:val="auto"/>
              </w:rPr>
              <w:t>φ90mm</w:t>
            </w:r>
            <w:r>
              <w:rPr>
                <w:rFonts w:hint="eastAsia"/>
                <w:color w:val="auto"/>
                <w:lang w:eastAsia="zh-CN"/>
              </w:rPr>
              <w:t>，</w:t>
            </w:r>
            <w:r>
              <w:rPr>
                <w:color w:val="auto"/>
              </w:rPr>
              <w:t>垂高</w:t>
            </w:r>
            <w:r>
              <w:rPr>
                <w:rFonts w:hint="eastAsia"/>
                <w:color w:val="auto"/>
                <w:lang w:eastAsia="zh-CN"/>
              </w:rPr>
              <w:t>1</w:t>
            </w:r>
            <w:r>
              <w:rPr>
                <w:color w:val="auto"/>
              </w:rPr>
              <w:t>.7m</w:t>
            </w:r>
          </w:p>
        </w:tc>
        <w:tc>
          <w:tcPr>
            <w:tcW w:w="612" w:type="pct"/>
            <w:tcBorders>
              <w:tl2br w:val="nil"/>
              <w:tr2bl w:val="nil"/>
            </w:tcBorders>
            <w:noWrap w:val="0"/>
            <w:vAlign w:val="center"/>
          </w:tcPr>
          <w:p w14:paraId="51E83272">
            <w:pPr>
              <w:pStyle w:val="16"/>
              <w:pageBreakBefore w:val="0"/>
              <w:wordWrap/>
              <w:bidi w:val="0"/>
              <w:adjustRightInd/>
              <w:snapToGrid/>
              <w:rPr>
                <w:color w:val="auto"/>
              </w:rPr>
            </w:pPr>
            <w:r>
              <w:rPr>
                <w:color w:val="auto"/>
              </w:rPr>
              <w:t>pp/玻璃钢</w:t>
            </w:r>
          </w:p>
        </w:tc>
        <w:tc>
          <w:tcPr>
            <w:tcW w:w="279" w:type="pct"/>
            <w:tcBorders>
              <w:tl2br w:val="nil"/>
              <w:tr2bl w:val="nil"/>
            </w:tcBorders>
            <w:noWrap w:val="0"/>
            <w:vAlign w:val="center"/>
          </w:tcPr>
          <w:p w14:paraId="7176F626">
            <w:pPr>
              <w:pStyle w:val="16"/>
              <w:pageBreakBefore w:val="0"/>
              <w:wordWrap/>
              <w:bidi w:val="0"/>
              <w:adjustRightInd/>
              <w:snapToGrid/>
              <w:rPr>
                <w:color w:val="auto"/>
              </w:rPr>
            </w:pPr>
            <w:r>
              <w:rPr>
                <w:color w:val="auto"/>
              </w:rPr>
              <w:t>m[2]</w:t>
            </w:r>
          </w:p>
        </w:tc>
        <w:tc>
          <w:tcPr>
            <w:tcW w:w="244" w:type="pct"/>
            <w:tcBorders>
              <w:tl2br w:val="nil"/>
              <w:tr2bl w:val="nil"/>
            </w:tcBorders>
            <w:noWrap w:val="0"/>
            <w:vAlign w:val="center"/>
          </w:tcPr>
          <w:p w14:paraId="7FA339E0">
            <w:pPr>
              <w:pStyle w:val="16"/>
              <w:pageBreakBefore w:val="0"/>
              <w:wordWrap/>
              <w:bidi w:val="0"/>
              <w:adjustRightInd/>
              <w:snapToGrid/>
              <w:rPr>
                <w:rFonts w:hint="default" w:eastAsia="宋体"/>
                <w:color w:val="auto"/>
                <w:lang w:val="en-US" w:eastAsia="zh-CN"/>
              </w:rPr>
            </w:pPr>
            <w:r>
              <w:rPr>
                <w:rFonts w:hint="eastAsia"/>
                <w:color w:val="auto"/>
                <w:lang w:val="en-US" w:eastAsia="zh-CN"/>
              </w:rPr>
              <w:t>130</w:t>
            </w:r>
          </w:p>
        </w:tc>
        <w:tc>
          <w:tcPr>
            <w:tcW w:w="1132" w:type="pct"/>
            <w:tcBorders>
              <w:tl2br w:val="nil"/>
              <w:tr2bl w:val="nil"/>
            </w:tcBorders>
            <w:noWrap w:val="0"/>
            <w:vAlign w:val="center"/>
          </w:tcPr>
          <w:p w14:paraId="2237A64C">
            <w:pPr>
              <w:pStyle w:val="16"/>
              <w:pageBreakBefore w:val="0"/>
              <w:wordWrap/>
              <w:bidi w:val="0"/>
              <w:adjustRightInd/>
              <w:snapToGrid/>
              <w:rPr>
                <w:color w:val="auto"/>
              </w:rPr>
            </w:pPr>
          </w:p>
        </w:tc>
      </w:tr>
      <w:tr w14:paraId="110B8E8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6EC7CE9">
            <w:pPr>
              <w:pStyle w:val="16"/>
              <w:pageBreakBefore w:val="0"/>
              <w:wordWrap/>
              <w:bidi w:val="0"/>
              <w:adjustRightInd/>
              <w:snapToGrid/>
              <w:rPr>
                <w:color w:val="auto"/>
              </w:rPr>
            </w:pPr>
            <w:r>
              <w:rPr>
                <w:color w:val="auto"/>
              </w:rPr>
              <w:t>20</w:t>
            </w:r>
          </w:p>
        </w:tc>
        <w:tc>
          <w:tcPr>
            <w:tcW w:w="843" w:type="pct"/>
            <w:gridSpan w:val="2"/>
            <w:tcBorders>
              <w:tl2br w:val="nil"/>
              <w:tr2bl w:val="nil"/>
            </w:tcBorders>
            <w:noWrap w:val="0"/>
            <w:vAlign w:val="center"/>
          </w:tcPr>
          <w:p w14:paraId="3C1A4EE3">
            <w:pPr>
              <w:pStyle w:val="16"/>
              <w:pageBreakBefore w:val="0"/>
              <w:wordWrap/>
              <w:bidi w:val="0"/>
              <w:adjustRightInd/>
              <w:snapToGrid/>
              <w:rPr>
                <w:color w:val="auto"/>
              </w:rPr>
            </w:pPr>
            <w:r>
              <w:rPr>
                <w:color w:val="auto"/>
              </w:rPr>
              <w:t>潜水搅拌器</w:t>
            </w:r>
          </w:p>
        </w:tc>
        <w:tc>
          <w:tcPr>
            <w:tcW w:w="1532" w:type="pct"/>
            <w:tcBorders>
              <w:tl2br w:val="nil"/>
              <w:tr2bl w:val="nil"/>
            </w:tcBorders>
            <w:noWrap w:val="0"/>
            <w:vAlign w:val="center"/>
          </w:tcPr>
          <w:p w14:paraId="431FBFBC">
            <w:pPr>
              <w:pStyle w:val="16"/>
              <w:pageBreakBefore w:val="0"/>
              <w:wordWrap/>
              <w:bidi w:val="0"/>
              <w:adjustRightInd/>
              <w:snapToGrid/>
              <w:rPr>
                <w:color w:val="auto"/>
              </w:rPr>
            </w:pPr>
            <w:r>
              <w:rPr>
                <w:color w:val="auto"/>
              </w:rPr>
              <w:t>QJB</w:t>
            </w:r>
            <w:r>
              <w:rPr>
                <w:rFonts w:hint="eastAsia"/>
                <w:color w:val="auto"/>
                <w:lang w:eastAsia="zh-CN"/>
              </w:rPr>
              <w:t>1</w:t>
            </w:r>
            <w:r>
              <w:rPr>
                <w:color w:val="auto"/>
              </w:rPr>
              <w:t>.5/6-260/3-980</w:t>
            </w:r>
          </w:p>
        </w:tc>
        <w:tc>
          <w:tcPr>
            <w:tcW w:w="612" w:type="pct"/>
            <w:tcBorders>
              <w:tl2br w:val="nil"/>
              <w:tr2bl w:val="nil"/>
            </w:tcBorders>
            <w:noWrap w:val="0"/>
            <w:vAlign w:val="center"/>
          </w:tcPr>
          <w:p w14:paraId="4CD3BF1B">
            <w:pPr>
              <w:pStyle w:val="16"/>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77ABAE7D">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23F7E09">
            <w:pPr>
              <w:pStyle w:val="16"/>
              <w:pageBreakBefore w:val="0"/>
              <w:wordWrap/>
              <w:bidi w:val="0"/>
              <w:adjustRightInd/>
              <w:snapToGrid/>
              <w:rPr>
                <w:rFonts w:hint="eastAsia" w:eastAsia="宋体"/>
                <w:color w:val="auto"/>
                <w:lang w:eastAsia="zh-CN"/>
              </w:rPr>
            </w:pPr>
            <w:r>
              <w:rPr>
                <w:rFonts w:hint="eastAsia"/>
                <w:color w:val="auto"/>
                <w:lang w:val="en-US" w:eastAsia="zh-CN"/>
              </w:rPr>
              <w:t>7</w:t>
            </w:r>
          </w:p>
        </w:tc>
        <w:tc>
          <w:tcPr>
            <w:tcW w:w="1132" w:type="pct"/>
            <w:tcBorders>
              <w:tl2br w:val="nil"/>
              <w:tr2bl w:val="nil"/>
            </w:tcBorders>
            <w:noWrap w:val="0"/>
            <w:vAlign w:val="center"/>
          </w:tcPr>
          <w:p w14:paraId="518EA8E7">
            <w:pPr>
              <w:pStyle w:val="16"/>
              <w:pageBreakBefore w:val="0"/>
              <w:wordWrap/>
              <w:bidi w:val="0"/>
              <w:adjustRightInd/>
              <w:snapToGrid/>
              <w:rPr>
                <w:color w:val="auto"/>
              </w:rPr>
            </w:pPr>
            <w:r>
              <w:rPr>
                <w:color w:val="auto"/>
              </w:rPr>
              <w:t>主机不锈钢</w:t>
            </w:r>
            <w:r>
              <w:rPr>
                <w:rFonts w:hint="eastAsia"/>
                <w:color w:val="auto"/>
                <w:lang w:eastAsia="zh-CN"/>
              </w:rPr>
              <w:t>，</w:t>
            </w:r>
            <w:r>
              <w:rPr>
                <w:color w:val="auto"/>
              </w:rPr>
              <w:t>吊架不锈钢304</w:t>
            </w:r>
          </w:p>
        </w:tc>
      </w:tr>
      <w:tr w14:paraId="1279CEA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7CDAB70">
            <w:pPr>
              <w:pStyle w:val="16"/>
              <w:pageBreakBefore w:val="0"/>
              <w:wordWrap/>
              <w:bidi w:val="0"/>
              <w:adjustRightInd/>
              <w:snapToGrid/>
              <w:rPr>
                <w:color w:val="auto"/>
              </w:rPr>
            </w:pPr>
            <w:r>
              <w:rPr>
                <w:color w:val="auto"/>
              </w:rPr>
              <w:t>21</w:t>
            </w:r>
          </w:p>
        </w:tc>
        <w:tc>
          <w:tcPr>
            <w:tcW w:w="843" w:type="pct"/>
            <w:gridSpan w:val="2"/>
            <w:tcBorders>
              <w:tl2br w:val="nil"/>
              <w:tr2bl w:val="nil"/>
            </w:tcBorders>
            <w:noWrap w:val="0"/>
            <w:vAlign w:val="center"/>
          </w:tcPr>
          <w:p w14:paraId="65E92686">
            <w:pPr>
              <w:pStyle w:val="16"/>
              <w:pageBreakBefore w:val="0"/>
              <w:wordWrap/>
              <w:bidi w:val="0"/>
              <w:adjustRightInd/>
              <w:snapToGrid/>
              <w:rPr>
                <w:color w:val="auto"/>
              </w:rPr>
            </w:pPr>
            <w:r>
              <w:rPr>
                <w:color w:val="auto"/>
              </w:rPr>
              <w:t>电磁流量计</w:t>
            </w:r>
          </w:p>
        </w:tc>
        <w:tc>
          <w:tcPr>
            <w:tcW w:w="1532" w:type="pct"/>
            <w:tcBorders>
              <w:tl2br w:val="nil"/>
              <w:tr2bl w:val="nil"/>
            </w:tcBorders>
            <w:noWrap w:val="0"/>
            <w:vAlign w:val="center"/>
          </w:tcPr>
          <w:p w14:paraId="274F7EF0">
            <w:pPr>
              <w:pStyle w:val="16"/>
              <w:pageBreakBefore w:val="0"/>
              <w:wordWrap/>
              <w:bidi w:val="0"/>
              <w:adjustRightInd/>
              <w:snapToGrid/>
              <w:rPr>
                <w:rFonts w:hint="eastAsia" w:eastAsia="宋体"/>
                <w:color w:val="auto"/>
                <w:lang w:eastAsia="zh-CN"/>
              </w:rPr>
            </w:pPr>
            <w:r>
              <w:rPr>
                <w:color w:val="auto"/>
              </w:rPr>
              <w:t>DN80</w:t>
            </w:r>
            <w:r>
              <w:rPr>
                <w:rFonts w:hint="eastAsia"/>
                <w:color w:val="auto"/>
                <w:lang w:eastAsia="zh-CN"/>
              </w:rPr>
              <w:t>，</w:t>
            </w:r>
            <w:r>
              <w:rPr>
                <w:color w:val="auto"/>
              </w:rPr>
              <w:t>0-100</w:t>
            </w:r>
            <w:r>
              <w:rPr>
                <w:rFonts w:hint="eastAsia"/>
                <w:color w:val="auto"/>
                <w:lang w:eastAsia="zh-CN"/>
              </w:rPr>
              <w:t>m³</w:t>
            </w:r>
          </w:p>
        </w:tc>
        <w:tc>
          <w:tcPr>
            <w:tcW w:w="612" w:type="pct"/>
            <w:tcBorders>
              <w:tl2br w:val="nil"/>
              <w:tr2bl w:val="nil"/>
            </w:tcBorders>
            <w:noWrap w:val="0"/>
            <w:vAlign w:val="center"/>
          </w:tcPr>
          <w:p w14:paraId="0B5E4431">
            <w:pPr>
              <w:pStyle w:val="16"/>
              <w:pageBreakBefore w:val="0"/>
              <w:wordWrap/>
              <w:bidi w:val="0"/>
              <w:adjustRightInd/>
              <w:snapToGrid/>
              <w:rPr>
                <w:color w:val="auto"/>
              </w:rPr>
            </w:pPr>
          </w:p>
        </w:tc>
        <w:tc>
          <w:tcPr>
            <w:tcW w:w="279" w:type="pct"/>
            <w:tcBorders>
              <w:tl2br w:val="nil"/>
              <w:tr2bl w:val="nil"/>
            </w:tcBorders>
            <w:noWrap w:val="0"/>
            <w:vAlign w:val="center"/>
          </w:tcPr>
          <w:p w14:paraId="5FBDB379">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02D47DE">
            <w:pPr>
              <w:pStyle w:val="16"/>
              <w:pageBreakBefore w:val="0"/>
              <w:wordWrap/>
              <w:bidi w:val="0"/>
              <w:adjustRightInd/>
              <w:snapToGrid/>
              <w:rPr>
                <w:rFonts w:hint="eastAsia" w:eastAsia="宋体"/>
                <w:color w:val="auto"/>
                <w:lang w:eastAsia="zh-CN"/>
              </w:rPr>
            </w:pPr>
            <w:r>
              <w:rPr>
                <w:rFonts w:hint="eastAsia"/>
                <w:color w:val="auto"/>
                <w:lang w:val="en-US" w:eastAsia="zh-CN"/>
              </w:rPr>
              <w:t>2</w:t>
            </w:r>
          </w:p>
        </w:tc>
        <w:tc>
          <w:tcPr>
            <w:tcW w:w="1132" w:type="pct"/>
            <w:tcBorders>
              <w:tl2br w:val="nil"/>
              <w:tr2bl w:val="nil"/>
            </w:tcBorders>
            <w:noWrap w:val="0"/>
            <w:vAlign w:val="center"/>
          </w:tcPr>
          <w:p w14:paraId="5BCBB210">
            <w:pPr>
              <w:pStyle w:val="16"/>
              <w:pageBreakBefore w:val="0"/>
              <w:wordWrap/>
              <w:bidi w:val="0"/>
              <w:adjustRightInd/>
              <w:snapToGrid/>
              <w:rPr>
                <w:color w:val="auto"/>
              </w:rPr>
            </w:pPr>
            <w:r>
              <w:rPr>
                <w:color w:val="auto"/>
              </w:rPr>
              <w:t>计入自控</w:t>
            </w:r>
            <w:r>
              <w:rPr>
                <w:rFonts w:hint="eastAsia"/>
                <w:color w:val="auto"/>
                <w:lang w:eastAsia="zh-CN"/>
              </w:rPr>
              <w:t>，</w:t>
            </w:r>
            <w:r>
              <w:rPr>
                <w:color w:val="auto"/>
              </w:rPr>
              <w:t>剩余污泥排放管</w:t>
            </w:r>
          </w:p>
        </w:tc>
      </w:tr>
      <w:tr w14:paraId="2EA1797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235400D">
            <w:pPr>
              <w:pStyle w:val="16"/>
              <w:pageBreakBefore w:val="0"/>
              <w:wordWrap/>
              <w:bidi w:val="0"/>
              <w:adjustRightInd/>
              <w:snapToGrid/>
              <w:rPr>
                <w:color w:val="auto"/>
              </w:rPr>
            </w:pPr>
            <w:r>
              <w:rPr>
                <w:color w:val="auto"/>
              </w:rPr>
              <w:t>22</w:t>
            </w:r>
          </w:p>
        </w:tc>
        <w:tc>
          <w:tcPr>
            <w:tcW w:w="843" w:type="pct"/>
            <w:gridSpan w:val="2"/>
            <w:tcBorders>
              <w:tl2br w:val="nil"/>
              <w:tr2bl w:val="nil"/>
            </w:tcBorders>
            <w:noWrap w:val="0"/>
            <w:vAlign w:val="center"/>
          </w:tcPr>
          <w:p w14:paraId="76F2075A">
            <w:pPr>
              <w:pStyle w:val="16"/>
              <w:pageBreakBefore w:val="0"/>
              <w:wordWrap/>
              <w:bidi w:val="0"/>
              <w:adjustRightInd/>
              <w:snapToGrid/>
              <w:rPr>
                <w:color w:val="auto"/>
              </w:rPr>
            </w:pPr>
            <w:r>
              <w:rPr>
                <w:color w:val="auto"/>
              </w:rPr>
              <w:t>暗杆楔式闸阀</w:t>
            </w:r>
          </w:p>
        </w:tc>
        <w:tc>
          <w:tcPr>
            <w:tcW w:w="1532" w:type="pct"/>
            <w:tcBorders>
              <w:tl2br w:val="nil"/>
              <w:tr2bl w:val="nil"/>
            </w:tcBorders>
            <w:noWrap w:val="0"/>
            <w:vAlign w:val="center"/>
          </w:tcPr>
          <w:p w14:paraId="3BC36DB6">
            <w:pPr>
              <w:pStyle w:val="16"/>
              <w:pageBreakBefore w:val="0"/>
              <w:wordWrap/>
              <w:bidi w:val="0"/>
              <w:adjustRightInd/>
              <w:snapToGrid/>
              <w:rPr>
                <w:color w:val="auto"/>
              </w:rPr>
            </w:pPr>
            <w:r>
              <w:rPr>
                <w:color w:val="auto"/>
              </w:rPr>
              <w:t>DN150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35621A18">
            <w:pPr>
              <w:pStyle w:val="16"/>
              <w:pageBreakBefore w:val="0"/>
              <w:wordWrap/>
              <w:bidi w:val="0"/>
              <w:adjustRightInd/>
              <w:snapToGrid/>
              <w:rPr>
                <w:color w:val="auto"/>
              </w:rPr>
            </w:pPr>
          </w:p>
        </w:tc>
        <w:tc>
          <w:tcPr>
            <w:tcW w:w="279" w:type="pct"/>
            <w:tcBorders>
              <w:tl2br w:val="nil"/>
              <w:tr2bl w:val="nil"/>
            </w:tcBorders>
            <w:noWrap w:val="0"/>
            <w:vAlign w:val="center"/>
          </w:tcPr>
          <w:p w14:paraId="6D066226">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5455BEC2">
            <w:pPr>
              <w:pStyle w:val="16"/>
              <w:pageBreakBefore w:val="0"/>
              <w:wordWrap/>
              <w:bidi w:val="0"/>
              <w:adjustRightInd/>
              <w:snapToGrid/>
              <w:rPr>
                <w:rFonts w:hint="default" w:eastAsia="宋体"/>
                <w:color w:val="auto"/>
                <w:lang w:val="en-US" w:eastAsia="zh-CN"/>
              </w:rPr>
            </w:pPr>
            <w:r>
              <w:rPr>
                <w:rFonts w:hint="eastAsia"/>
                <w:color w:val="auto"/>
                <w:lang w:val="en-US" w:eastAsia="zh-CN"/>
              </w:rPr>
              <w:t>16</w:t>
            </w:r>
          </w:p>
        </w:tc>
        <w:tc>
          <w:tcPr>
            <w:tcW w:w="1132" w:type="pct"/>
            <w:tcBorders>
              <w:tl2br w:val="nil"/>
              <w:tr2bl w:val="nil"/>
            </w:tcBorders>
            <w:noWrap w:val="0"/>
            <w:vAlign w:val="center"/>
          </w:tcPr>
          <w:p w14:paraId="2383DB67">
            <w:pPr>
              <w:pStyle w:val="16"/>
              <w:pageBreakBefore w:val="0"/>
              <w:wordWrap/>
              <w:bidi w:val="0"/>
              <w:adjustRightInd/>
              <w:snapToGrid/>
              <w:rPr>
                <w:color w:val="auto"/>
              </w:rPr>
            </w:pPr>
            <w:r>
              <w:rPr>
                <w:color w:val="auto"/>
              </w:rPr>
              <w:t>2#污泥回流泵</w:t>
            </w:r>
          </w:p>
        </w:tc>
      </w:tr>
      <w:tr w14:paraId="07C5406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EA7110E">
            <w:pPr>
              <w:pStyle w:val="16"/>
              <w:pageBreakBefore w:val="0"/>
              <w:wordWrap/>
              <w:bidi w:val="0"/>
              <w:adjustRightInd/>
              <w:snapToGrid/>
              <w:rPr>
                <w:color w:val="auto"/>
              </w:rPr>
            </w:pPr>
            <w:r>
              <w:rPr>
                <w:color w:val="auto"/>
              </w:rPr>
              <w:t>23</w:t>
            </w:r>
          </w:p>
        </w:tc>
        <w:tc>
          <w:tcPr>
            <w:tcW w:w="843" w:type="pct"/>
            <w:gridSpan w:val="2"/>
            <w:tcBorders>
              <w:tl2br w:val="nil"/>
              <w:tr2bl w:val="nil"/>
            </w:tcBorders>
            <w:noWrap w:val="0"/>
            <w:vAlign w:val="center"/>
          </w:tcPr>
          <w:p w14:paraId="719846D7">
            <w:pPr>
              <w:pStyle w:val="16"/>
              <w:pageBreakBefore w:val="0"/>
              <w:wordWrap/>
              <w:bidi w:val="0"/>
              <w:adjustRightInd/>
              <w:snapToGrid/>
              <w:rPr>
                <w:color w:val="auto"/>
              </w:rPr>
            </w:pPr>
            <w:r>
              <w:rPr>
                <w:color w:val="auto"/>
              </w:rPr>
              <w:t>旋启式止回阀</w:t>
            </w:r>
          </w:p>
        </w:tc>
        <w:tc>
          <w:tcPr>
            <w:tcW w:w="1532" w:type="pct"/>
            <w:tcBorders>
              <w:tl2br w:val="nil"/>
              <w:tr2bl w:val="nil"/>
            </w:tcBorders>
            <w:noWrap w:val="0"/>
            <w:vAlign w:val="center"/>
          </w:tcPr>
          <w:p w14:paraId="14696E6B">
            <w:pPr>
              <w:pStyle w:val="16"/>
              <w:pageBreakBefore w:val="0"/>
              <w:wordWrap/>
              <w:bidi w:val="0"/>
              <w:adjustRightInd/>
              <w:snapToGrid/>
              <w:rPr>
                <w:color w:val="auto"/>
              </w:rPr>
            </w:pPr>
            <w:r>
              <w:rPr>
                <w:color w:val="auto"/>
              </w:rPr>
              <w:t>DN150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72E6A662">
            <w:pPr>
              <w:pStyle w:val="16"/>
              <w:pageBreakBefore w:val="0"/>
              <w:wordWrap/>
              <w:bidi w:val="0"/>
              <w:adjustRightInd/>
              <w:snapToGrid/>
              <w:rPr>
                <w:color w:val="auto"/>
              </w:rPr>
            </w:pPr>
          </w:p>
        </w:tc>
        <w:tc>
          <w:tcPr>
            <w:tcW w:w="279" w:type="pct"/>
            <w:tcBorders>
              <w:tl2br w:val="nil"/>
              <w:tr2bl w:val="nil"/>
            </w:tcBorders>
            <w:noWrap w:val="0"/>
            <w:vAlign w:val="center"/>
          </w:tcPr>
          <w:p w14:paraId="1F86A833">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1AA779C">
            <w:pPr>
              <w:pStyle w:val="16"/>
              <w:pageBreakBefore w:val="0"/>
              <w:wordWrap/>
              <w:bidi w:val="0"/>
              <w:adjustRightInd/>
              <w:snapToGrid/>
              <w:rPr>
                <w:rFonts w:hint="default" w:eastAsia="宋体"/>
                <w:color w:val="auto"/>
                <w:lang w:val="en-US" w:eastAsia="zh-CN"/>
              </w:rPr>
            </w:pPr>
            <w:r>
              <w:rPr>
                <w:rFonts w:hint="eastAsia"/>
                <w:color w:val="auto"/>
                <w:lang w:val="en-US" w:eastAsia="zh-CN"/>
              </w:rPr>
              <w:t>6</w:t>
            </w:r>
          </w:p>
        </w:tc>
        <w:tc>
          <w:tcPr>
            <w:tcW w:w="1132" w:type="pct"/>
            <w:tcBorders>
              <w:tl2br w:val="nil"/>
              <w:tr2bl w:val="nil"/>
            </w:tcBorders>
            <w:noWrap w:val="0"/>
            <w:vAlign w:val="center"/>
          </w:tcPr>
          <w:p w14:paraId="4B550B90">
            <w:pPr>
              <w:pStyle w:val="16"/>
              <w:pageBreakBefore w:val="0"/>
              <w:wordWrap/>
              <w:bidi w:val="0"/>
              <w:adjustRightInd/>
              <w:snapToGrid/>
              <w:rPr>
                <w:color w:val="auto"/>
              </w:rPr>
            </w:pPr>
            <w:r>
              <w:rPr>
                <w:color w:val="auto"/>
              </w:rPr>
              <w:t>2#污泥回流泵</w:t>
            </w:r>
          </w:p>
        </w:tc>
      </w:tr>
      <w:tr w14:paraId="41DFD60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7BDEADC">
            <w:pPr>
              <w:pStyle w:val="16"/>
              <w:pageBreakBefore w:val="0"/>
              <w:wordWrap/>
              <w:bidi w:val="0"/>
              <w:adjustRightInd/>
              <w:snapToGrid/>
              <w:rPr>
                <w:color w:val="auto"/>
              </w:rPr>
            </w:pPr>
            <w:r>
              <w:rPr>
                <w:color w:val="auto"/>
              </w:rPr>
              <w:t>24</w:t>
            </w:r>
          </w:p>
        </w:tc>
        <w:tc>
          <w:tcPr>
            <w:tcW w:w="843" w:type="pct"/>
            <w:gridSpan w:val="2"/>
            <w:tcBorders>
              <w:tl2br w:val="nil"/>
              <w:tr2bl w:val="nil"/>
            </w:tcBorders>
            <w:noWrap w:val="0"/>
            <w:vAlign w:val="center"/>
          </w:tcPr>
          <w:p w14:paraId="6B325482">
            <w:pPr>
              <w:pStyle w:val="16"/>
              <w:pageBreakBefore w:val="0"/>
              <w:wordWrap/>
              <w:bidi w:val="0"/>
              <w:adjustRightInd/>
              <w:snapToGrid/>
              <w:rPr>
                <w:color w:val="auto"/>
              </w:rPr>
            </w:pPr>
            <w:r>
              <w:rPr>
                <w:color w:val="auto"/>
              </w:rPr>
              <w:t>可曲挠橡胶接头</w:t>
            </w:r>
          </w:p>
        </w:tc>
        <w:tc>
          <w:tcPr>
            <w:tcW w:w="1532" w:type="pct"/>
            <w:tcBorders>
              <w:tl2br w:val="nil"/>
              <w:tr2bl w:val="nil"/>
            </w:tcBorders>
            <w:noWrap w:val="0"/>
            <w:vAlign w:val="center"/>
          </w:tcPr>
          <w:p w14:paraId="045A9FBC">
            <w:pPr>
              <w:pStyle w:val="16"/>
              <w:pageBreakBefore w:val="0"/>
              <w:wordWrap/>
              <w:bidi w:val="0"/>
              <w:adjustRightInd/>
              <w:snapToGrid/>
              <w:rPr>
                <w:color w:val="auto"/>
              </w:rPr>
            </w:pPr>
            <w:r>
              <w:rPr>
                <w:color w:val="auto"/>
              </w:rPr>
              <w:t>DN150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76E6694A">
            <w:pPr>
              <w:pStyle w:val="16"/>
              <w:pageBreakBefore w:val="0"/>
              <w:wordWrap/>
              <w:bidi w:val="0"/>
              <w:adjustRightInd/>
              <w:snapToGrid/>
              <w:rPr>
                <w:color w:val="auto"/>
              </w:rPr>
            </w:pPr>
          </w:p>
        </w:tc>
        <w:tc>
          <w:tcPr>
            <w:tcW w:w="279" w:type="pct"/>
            <w:tcBorders>
              <w:tl2br w:val="nil"/>
              <w:tr2bl w:val="nil"/>
            </w:tcBorders>
            <w:noWrap w:val="0"/>
            <w:vAlign w:val="center"/>
          </w:tcPr>
          <w:p w14:paraId="0E81E86C">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DF69917">
            <w:pPr>
              <w:pStyle w:val="16"/>
              <w:pageBreakBefore w:val="0"/>
              <w:wordWrap/>
              <w:bidi w:val="0"/>
              <w:adjustRightInd/>
              <w:snapToGrid/>
              <w:rPr>
                <w:rFonts w:hint="eastAsia" w:eastAsia="宋体"/>
                <w:color w:val="auto"/>
                <w:lang w:eastAsia="zh-CN"/>
              </w:rPr>
            </w:pPr>
            <w:r>
              <w:rPr>
                <w:rFonts w:hint="eastAsia"/>
                <w:color w:val="auto"/>
                <w:lang w:val="en-US" w:eastAsia="zh-CN"/>
              </w:rPr>
              <w:t>6</w:t>
            </w:r>
          </w:p>
        </w:tc>
        <w:tc>
          <w:tcPr>
            <w:tcW w:w="1132" w:type="pct"/>
            <w:tcBorders>
              <w:tl2br w:val="nil"/>
              <w:tr2bl w:val="nil"/>
            </w:tcBorders>
            <w:noWrap w:val="0"/>
            <w:vAlign w:val="center"/>
          </w:tcPr>
          <w:p w14:paraId="639CF20D">
            <w:pPr>
              <w:pStyle w:val="16"/>
              <w:pageBreakBefore w:val="0"/>
              <w:wordWrap/>
              <w:bidi w:val="0"/>
              <w:adjustRightInd/>
              <w:snapToGrid/>
              <w:rPr>
                <w:color w:val="auto"/>
              </w:rPr>
            </w:pPr>
            <w:r>
              <w:rPr>
                <w:color w:val="auto"/>
              </w:rPr>
              <w:t>2#污泥回流泵</w:t>
            </w:r>
          </w:p>
        </w:tc>
      </w:tr>
      <w:tr w14:paraId="1E19EBF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F3146BD">
            <w:pPr>
              <w:pStyle w:val="16"/>
              <w:pageBreakBefore w:val="0"/>
              <w:wordWrap/>
              <w:bidi w:val="0"/>
              <w:adjustRightInd/>
              <w:snapToGrid/>
              <w:rPr>
                <w:color w:val="auto"/>
              </w:rPr>
            </w:pPr>
            <w:r>
              <w:rPr>
                <w:color w:val="auto"/>
              </w:rPr>
              <w:t>25</w:t>
            </w:r>
          </w:p>
        </w:tc>
        <w:tc>
          <w:tcPr>
            <w:tcW w:w="843" w:type="pct"/>
            <w:gridSpan w:val="2"/>
            <w:tcBorders>
              <w:tl2br w:val="nil"/>
              <w:tr2bl w:val="nil"/>
            </w:tcBorders>
            <w:noWrap w:val="0"/>
            <w:vAlign w:val="center"/>
          </w:tcPr>
          <w:p w14:paraId="08A594B2">
            <w:pPr>
              <w:pStyle w:val="16"/>
              <w:pageBreakBefore w:val="0"/>
              <w:wordWrap/>
              <w:bidi w:val="0"/>
              <w:adjustRightInd/>
              <w:snapToGrid/>
              <w:rPr>
                <w:color w:val="auto"/>
              </w:rPr>
            </w:pPr>
            <w:r>
              <w:rPr>
                <w:color w:val="auto"/>
              </w:rPr>
              <w:t>暗杆楔式闸阀</w:t>
            </w:r>
          </w:p>
        </w:tc>
        <w:tc>
          <w:tcPr>
            <w:tcW w:w="1532" w:type="pct"/>
            <w:tcBorders>
              <w:tl2br w:val="nil"/>
              <w:tr2bl w:val="nil"/>
            </w:tcBorders>
            <w:noWrap w:val="0"/>
            <w:vAlign w:val="center"/>
          </w:tcPr>
          <w:p w14:paraId="44938A62">
            <w:pPr>
              <w:pStyle w:val="16"/>
              <w:pageBreakBefore w:val="0"/>
              <w:wordWrap/>
              <w:bidi w:val="0"/>
              <w:adjustRightInd/>
              <w:snapToGrid/>
              <w:rPr>
                <w:color w:val="auto"/>
              </w:rPr>
            </w:pPr>
            <w:r>
              <w:rPr>
                <w:color w:val="auto"/>
              </w:rPr>
              <w:t>DN80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508B39FD">
            <w:pPr>
              <w:pStyle w:val="16"/>
              <w:pageBreakBefore w:val="0"/>
              <w:wordWrap/>
              <w:bidi w:val="0"/>
              <w:adjustRightInd/>
              <w:snapToGrid/>
              <w:rPr>
                <w:color w:val="auto"/>
              </w:rPr>
            </w:pPr>
          </w:p>
        </w:tc>
        <w:tc>
          <w:tcPr>
            <w:tcW w:w="279" w:type="pct"/>
            <w:tcBorders>
              <w:tl2br w:val="nil"/>
              <w:tr2bl w:val="nil"/>
            </w:tcBorders>
            <w:noWrap w:val="0"/>
            <w:vAlign w:val="center"/>
          </w:tcPr>
          <w:p w14:paraId="2AF6351B">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5D10F48B">
            <w:pPr>
              <w:pStyle w:val="16"/>
              <w:pageBreakBefore w:val="0"/>
              <w:wordWrap/>
              <w:bidi w:val="0"/>
              <w:adjustRightInd/>
              <w:snapToGrid/>
              <w:rPr>
                <w:rFonts w:hint="eastAsia" w:eastAsia="宋体"/>
                <w:color w:val="auto"/>
                <w:lang w:eastAsia="zh-CN"/>
              </w:rPr>
            </w:pPr>
            <w:r>
              <w:rPr>
                <w:rFonts w:hint="eastAsia"/>
                <w:color w:val="auto"/>
                <w:lang w:val="en-US" w:eastAsia="zh-CN"/>
              </w:rPr>
              <w:t>6</w:t>
            </w:r>
          </w:p>
        </w:tc>
        <w:tc>
          <w:tcPr>
            <w:tcW w:w="1132" w:type="pct"/>
            <w:tcBorders>
              <w:tl2br w:val="nil"/>
              <w:tr2bl w:val="nil"/>
            </w:tcBorders>
            <w:noWrap w:val="0"/>
            <w:vAlign w:val="center"/>
          </w:tcPr>
          <w:p w14:paraId="0976F1FC">
            <w:pPr>
              <w:pStyle w:val="16"/>
              <w:pageBreakBefore w:val="0"/>
              <w:wordWrap/>
              <w:bidi w:val="0"/>
              <w:adjustRightInd/>
              <w:snapToGrid/>
              <w:rPr>
                <w:color w:val="auto"/>
              </w:rPr>
            </w:pPr>
            <w:r>
              <w:rPr>
                <w:color w:val="auto"/>
              </w:rPr>
              <w:t>剩余污泥排放管</w:t>
            </w:r>
          </w:p>
        </w:tc>
      </w:tr>
      <w:tr w14:paraId="0FC7282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467F886">
            <w:pPr>
              <w:pStyle w:val="16"/>
              <w:pageBreakBefore w:val="0"/>
              <w:wordWrap/>
              <w:bidi w:val="0"/>
              <w:adjustRightInd/>
              <w:snapToGrid/>
              <w:rPr>
                <w:color w:val="auto"/>
              </w:rPr>
            </w:pPr>
            <w:r>
              <w:rPr>
                <w:color w:val="auto"/>
              </w:rPr>
              <w:t>26</w:t>
            </w:r>
          </w:p>
        </w:tc>
        <w:tc>
          <w:tcPr>
            <w:tcW w:w="843" w:type="pct"/>
            <w:gridSpan w:val="2"/>
            <w:tcBorders>
              <w:tl2br w:val="nil"/>
              <w:tr2bl w:val="nil"/>
            </w:tcBorders>
            <w:noWrap w:val="0"/>
            <w:vAlign w:val="center"/>
          </w:tcPr>
          <w:p w14:paraId="10C7D35A">
            <w:pPr>
              <w:pStyle w:val="16"/>
              <w:pageBreakBefore w:val="0"/>
              <w:wordWrap/>
              <w:bidi w:val="0"/>
              <w:adjustRightInd/>
              <w:snapToGrid/>
              <w:rPr>
                <w:color w:val="auto"/>
              </w:rPr>
            </w:pPr>
            <w:r>
              <w:rPr>
                <w:color w:val="auto"/>
              </w:rPr>
              <w:t>手动法兰蝶阀</w:t>
            </w:r>
          </w:p>
        </w:tc>
        <w:tc>
          <w:tcPr>
            <w:tcW w:w="1532" w:type="pct"/>
            <w:tcBorders>
              <w:tl2br w:val="nil"/>
              <w:tr2bl w:val="nil"/>
            </w:tcBorders>
            <w:noWrap w:val="0"/>
            <w:vAlign w:val="center"/>
          </w:tcPr>
          <w:p w14:paraId="6411B31A">
            <w:pPr>
              <w:pStyle w:val="16"/>
              <w:pageBreakBefore w:val="0"/>
              <w:wordWrap/>
              <w:bidi w:val="0"/>
              <w:adjustRightInd/>
              <w:snapToGrid/>
              <w:rPr>
                <w:color w:val="auto"/>
              </w:rPr>
            </w:pPr>
            <w:r>
              <w:rPr>
                <w:color w:val="auto"/>
              </w:rPr>
              <w:t>DN80</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0A229586">
            <w:pPr>
              <w:pStyle w:val="16"/>
              <w:pageBreakBefore w:val="0"/>
              <w:wordWrap/>
              <w:bidi w:val="0"/>
              <w:adjustRightInd/>
              <w:snapToGrid/>
              <w:rPr>
                <w:color w:val="auto"/>
              </w:rPr>
            </w:pPr>
          </w:p>
        </w:tc>
        <w:tc>
          <w:tcPr>
            <w:tcW w:w="279" w:type="pct"/>
            <w:tcBorders>
              <w:tl2br w:val="nil"/>
              <w:tr2bl w:val="nil"/>
            </w:tcBorders>
            <w:noWrap w:val="0"/>
            <w:vAlign w:val="center"/>
          </w:tcPr>
          <w:p w14:paraId="4D48D14E">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D0D9CCA">
            <w:pPr>
              <w:pStyle w:val="16"/>
              <w:pageBreakBefore w:val="0"/>
              <w:wordWrap/>
              <w:bidi w:val="0"/>
              <w:adjustRightInd/>
              <w:snapToGrid/>
              <w:rPr>
                <w:rFonts w:hint="eastAsia" w:eastAsia="宋体"/>
                <w:color w:val="auto"/>
                <w:lang w:eastAsia="zh-CN"/>
              </w:rPr>
            </w:pPr>
            <w:r>
              <w:rPr>
                <w:rFonts w:hint="eastAsia"/>
                <w:color w:val="auto"/>
                <w:lang w:val="en-US" w:eastAsia="zh-CN"/>
              </w:rPr>
              <w:t>4</w:t>
            </w:r>
          </w:p>
        </w:tc>
        <w:tc>
          <w:tcPr>
            <w:tcW w:w="1132" w:type="pct"/>
            <w:tcBorders>
              <w:tl2br w:val="nil"/>
              <w:tr2bl w:val="nil"/>
            </w:tcBorders>
            <w:noWrap w:val="0"/>
            <w:vAlign w:val="center"/>
          </w:tcPr>
          <w:p w14:paraId="6E4D1381">
            <w:pPr>
              <w:pStyle w:val="16"/>
              <w:pageBreakBefore w:val="0"/>
              <w:wordWrap/>
              <w:bidi w:val="0"/>
              <w:adjustRightInd/>
              <w:snapToGrid/>
              <w:rPr>
                <w:color w:val="auto"/>
              </w:rPr>
            </w:pPr>
            <w:r>
              <w:rPr>
                <w:color w:val="auto"/>
              </w:rPr>
              <w:t>空气管线</w:t>
            </w:r>
          </w:p>
        </w:tc>
      </w:tr>
      <w:tr w14:paraId="6A99AA3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E802205">
            <w:pPr>
              <w:pStyle w:val="16"/>
              <w:pageBreakBefore w:val="0"/>
              <w:wordWrap/>
              <w:bidi w:val="0"/>
              <w:adjustRightInd/>
              <w:snapToGrid/>
              <w:rPr>
                <w:color w:val="auto"/>
              </w:rPr>
            </w:pPr>
            <w:r>
              <w:rPr>
                <w:color w:val="auto"/>
              </w:rPr>
              <w:t>27</w:t>
            </w:r>
          </w:p>
        </w:tc>
        <w:tc>
          <w:tcPr>
            <w:tcW w:w="843" w:type="pct"/>
            <w:gridSpan w:val="2"/>
            <w:tcBorders>
              <w:tl2br w:val="nil"/>
              <w:tr2bl w:val="nil"/>
            </w:tcBorders>
            <w:noWrap w:val="0"/>
            <w:vAlign w:val="center"/>
          </w:tcPr>
          <w:p w14:paraId="2F3113E5">
            <w:pPr>
              <w:pStyle w:val="16"/>
              <w:pageBreakBefore w:val="0"/>
              <w:wordWrap/>
              <w:bidi w:val="0"/>
              <w:adjustRightInd/>
              <w:snapToGrid/>
              <w:rPr>
                <w:color w:val="auto"/>
              </w:rPr>
            </w:pPr>
            <w:r>
              <w:rPr>
                <w:color w:val="auto"/>
              </w:rPr>
              <w:t>手动法兰蝶阀</w:t>
            </w:r>
          </w:p>
        </w:tc>
        <w:tc>
          <w:tcPr>
            <w:tcW w:w="1532" w:type="pct"/>
            <w:tcBorders>
              <w:tl2br w:val="nil"/>
              <w:tr2bl w:val="nil"/>
            </w:tcBorders>
            <w:noWrap w:val="0"/>
            <w:vAlign w:val="center"/>
          </w:tcPr>
          <w:p w14:paraId="510ECF9E">
            <w:pPr>
              <w:pStyle w:val="16"/>
              <w:pageBreakBefore w:val="0"/>
              <w:wordWrap/>
              <w:bidi w:val="0"/>
              <w:adjustRightInd/>
              <w:snapToGrid/>
              <w:rPr>
                <w:color w:val="auto"/>
              </w:rPr>
            </w:pPr>
            <w:r>
              <w:rPr>
                <w:color w:val="auto"/>
              </w:rPr>
              <w:t>DN65</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7C5DA53D">
            <w:pPr>
              <w:pStyle w:val="16"/>
              <w:pageBreakBefore w:val="0"/>
              <w:wordWrap/>
              <w:bidi w:val="0"/>
              <w:adjustRightInd/>
              <w:snapToGrid/>
              <w:rPr>
                <w:color w:val="auto"/>
              </w:rPr>
            </w:pPr>
          </w:p>
        </w:tc>
        <w:tc>
          <w:tcPr>
            <w:tcW w:w="279" w:type="pct"/>
            <w:tcBorders>
              <w:tl2br w:val="nil"/>
              <w:tr2bl w:val="nil"/>
            </w:tcBorders>
            <w:noWrap w:val="0"/>
            <w:vAlign w:val="center"/>
          </w:tcPr>
          <w:p w14:paraId="4560AAF8">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1433BD7">
            <w:pPr>
              <w:pStyle w:val="16"/>
              <w:pageBreakBefore w:val="0"/>
              <w:wordWrap/>
              <w:bidi w:val="0"/>
              <w:adjustRightInd/>
              <w:snapToGrid/>
              <w:rPr>
                <w:rFonts w:hint="eastAsia" w:eastAsia="宋体"/>
                <w:color w:val="auto"/>
                <w:lang w:eastAsia="zh-CN"/>
              </w:rPr>
            </w:pPr>
            <w:r>
              <w:rPr>
                <w:rFonts w:hint="eastAsia"/>
                <w:color w:val="auto"/>
                <w:lang w:val="en-US" w:eastAsia="zh-CN"/>
              </w:rPr>
              <w:t>8</w:t>
            </w:r>
          </w:p>
        </w:tc>
        <w:tc>
          <w:tcPr>
            <w:tcW w:w="1132" w:type="pct"/>
            <w:tcBorders>
              <w:tl2br w:val="nil"/>
              <w:tr2bl w:val="nil"/>
            </w:tcBorders>
            <w:noWrap w:val="0"/>
            <w:vAlign w:val="center"/>
          </w:tcPr>
          <w:p w14:paraId="50B9E5B7">
            <w:pPr>
              <w:pStyle w:val="16"/>
              <w:pageBreakBefore w:val="0"/>
              <w:wordWrap/>
              <w:bidi w:val="0"/>
              <w:adjustRightInd/>
              <w:snapToGrid/>
              <w:rPr>
                <w:color w:val="auto"/>
              </w:rPr>
            </w:pPr>
            <w:r>
              <w:rPr>
                <w:color w:val="auto"/>
              </w:rPr>
              <w:t>空气管线</w:t>
            </w:r>
          </w:p>
        </w:tc>
      </w:tr>
      <w:tr w14:paraId="6ACDB52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FAB8422">
            <w:pPr>
              <w:pStyle w:val="16"/>
              <w:pageBreakBefore w:val="0"/>
              <w:wordWrap/>
              <w:bidi w:val="0"/>
              <w:adjustRightInd/>
              <w:snapToGrid/>
              <w:rPr>
                <w:color w:val="auto"/>
              </w:rPr>
            </w:pPr>
            <w:r>
              <w:rPr>
                <w:color w:val="auto"/>
              </w:rPr>
              <w:t>28</w:t>
            </w:r>
          </w:p>
        </w:tc>
        <w:tc>
          <w:tcPr>
            <w:tcW w:w="843" w:type="pct"/>
            <w:gridSpan w:val="2"/>
            <w:tcBorders>
              <w:tl2br w:val="nil"/>
              <w:tr2bl w:val="nil"/>
            </w:tcBorders>
            <w:noWrap w:val="0"/>
            <w:vAlign w:val="center"/>
          </w:tcPr>
          <w:p w14:paraId="3AAE1B07">
            <w:pPr>
              <w:pStyle w:val="16"/>
              <w:pageBreakBefore w:val="0"/>
              <w:wordWrap/>
              <w:bidi w:val="0"/>
              <w:adjustRightInd/>
              <w:snapToGrid/>
              <w:rPr>
                <w:color w:val="auto"/>
              </w:rPr>
            </w:pPr>
            <w:r>
              <w:rPr>
                <w:color w:val="auto"/>
              </w:rPr>
              <w:t>双由令球阀</w:t>
            </w:r>
          </w:p>
        </w:tc>
        <w:tc>
          <w:tcPr>
            <w:tcW w:w="1532" w:type="pct"/>
            <w:tcBorders>
              <w:tl2br w:val="nil"/>
              <w:tr2bl w:val="nil"/>
            </w:tcBorders>
            <w:noWrap w:val="0"/>
            <w:vAlign w:val="center"/>
          </w:tcPr>
          <w:p w14:paraId="2B25F52C">
            <w:pPr>
              <w:pStyle w:val="16"/>
              <w:pageBreakBefore w:val="0"/>
              <w:wordWrap/>
              <w:bidi w:val="0"/>
              <w:adjustRightInd/>
              <w:snapToGrid/>
              <w:rPr>
                <w:color w:val="auto"/>
              </w:rPr>
            </w:pPr>
            <w:r>
              <w:rPr>
                <w:color w:val="auto"/>
              </w:rPr>
              <w:t>DN32</w:t>
            </w:r>
            <w:r>
              <w:rPr>
                <w:rFonts w:hint="eastAsia"/>
                <w:color w:val="auto"/>
                <w:lang w:eastAsia="zh-CN"/>
              </w:rPr>
              <w:t>，</w:t>
            </w:r>
            <w:r>
              <w:rPr>
                <w:color w:val="auto"/>
              </w:rPr>
              <w:t>PN</w:t>
            </w:r>
            <w:r>
              <w:rPr>
                <w:rFonts w:hint="eastAsia"/>
                <w:color w:val="auto"/>
                <w:lang w:eastAsia="zh-CN"/>
              </w:rPr>
              <w:t>1</w:t>
            </w:r>
            <w:r>
              <w:rPr>
                <w:color w:val="auto"/>
              </w:rPr>
              <w:t>.0MPa</w:t>
            </w:r>
          </w:p>
        </w:tc>
        <w:tc>
          <w:tcPr>
            <w:tcW w:w="612" w:type="pct"/>
            <w:tcBorders>
              <w:tl2br w:val="nil"/>
              <w:tr2bl w:val="nil"/>
            </w:tcBorders>
            <w:noWrap w:val="0"/>
            <w:vAlign w:val="center"/>
          </w:tcPr>
          <w:p w14:paraId="6B69FF26">
            <w:pPr>
              <w:pStyle w:val="16"/>
              <w:pageBreakBefore w:val="0"/>
              <w:wordWrap/>
              <w:bidi w:val="0"/>
              <w:adjustRightInd/>
              <w:snapToGrid/>
              <w:rPr>
                <w:color w:val="auto"/>
              </w:rPr>
            </w:pPr>
          </w:p>
        </w:tc>
        <w:tc>
          <w:tcPr>
            <w:tcW w:w="279" w:type="pct"/>
            <w:tcBorders>
              <w:tl2br w:val="nil"/>
              <w:tr2bl w:val="nil"/>
            </w:tcBorders>
            <w:noWrap w:val="0"/>
            <w:vAlign w:val="center"/>
          </w:tcPr>
          <w:p w14:paraId="5C57FD34">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641C886">
            <w:pPr>
              <w:pStyle w:val="16"/>
              <w:pageBreakBefore w:val="0"/>
              <w:wordWrap/>
              <w:bidi w:val="0"/>
              <w:adjustRightInd/>
              <w:snapToGrid/>
              <w:rPr>
                <w:rFonts w:hint="default" w:eastAsia="宋体"/>
                <w:color w:val="auto"/>
                <w:lang w:val="en-US" w:eastAsia="zh-CN"/>
              </w:rPr>
            </w:pPr>
            <w:r>
              <w:rPr>
                <w:rFonts w:hint="eastAsia"/>
                <w:color w:val="auto"/>
                <w:lang w:val="en-US" w:eastAsia="zh-CN"/>
              </w:rPr>
              <w:t>40</w:t>
            </w:r>
          </w:p>
        </w:tc>
        <w:tc>
          <w:tcPr>
            <w:tcW w:w="1132" w:type="pct"/>
            <w:tcBorders>
              <w:tl2br w:val="nil"/>
              <w:tr2bl w:val="nil"/>
            </w:tcBorders>
            <w:noWrap w:val="0"/>
            <w:vAlign w:val="center"/>
          </w:tcPr>
          <w:p w14:paraId="7AA03046">
            <w:pPr>
              <w:pStyle w:val="16"/>
              <w:pageBreakBefore w:val="0"/>
              <w:wordWrap/>
              <w:bidi w:val="0"/>
              <w:adjustRightInd/>
              <w:snapToGrid/>
              <w:rPr>
                <w:color w:val="auto"/>
              </w:rPr>
            </w:pPr>
            <w:r>
              <w:rPr>
                <w:color w:val="auto"/>
              </w:rPr>
              <w:t>反冲洗管线</w:t>
            </w:r>
          </w:p>
        </w:tc>
      </w:tr>
      <w:tr w14:paraId="4E4466D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4F90270F">
            <w:pPr>
              <w:pStyle w:val="16"/>
              <w:pageBreakBefore w:val="0"/>
              <w:wordWrap/>
              <w:bidi w:val="0"/>
              <w:adjustRightInd/>
              <w:snapToGrid/>
              <w:jc w:val="left"/>
              <w:rPr>
                <w:color w:val="auto"/>
              </w:rPr>
            </w:pPr>
            <w:r>
              <w:rPr>
                <w:rFonts w:hint="eastAsia"/>
                <w:b/>
                <w:bCs/>
                <w:color w:val="auto"/>
                <w:lang w:eastAsia="zh-CN"/>
              </w:rPr>
              <w:t>磁混凝沉淀</w:t>
            </w:r>
            <w:r>
              <w:rPr>
                <w:b/>
                <w:bCs/>
                <w:color w:val="auto"/>
              </w:rPr>
              <w:t>-脱水车间主要设备表</w:t>
            </w:r>
          </w:p>
        </w:tc>
      </w:tr>
      <w:tr w14:paraId="58F9315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3897252">
            <w:pPr>
              <w:pStyle w:val="16"/>
              <w:pageBreakBefore w:val="0"/>
              <w:wordWrap/>
              <w:bidi w:val="0"/>
              <w:adjustRightInd/>
              <w:snapToGrid/>
              <w:rPr>
                <w:b/>
                <w:bCs/>
                <w:color w:val="auto"/>
              </w:rPr>
            </w:pPr>
            <w:r>
              <w:rPr>
                <w:b/>
                <w:bCs/>
                <w:color w:val="auto"/>
              </w:rPr>
              <w:t>序号</w:t>
            </w:r>
          </w:p>
        </w:tc>
        <w:tc>
          <w:tcPr>
            <w:tcW w:w="843" w:type="pct"/>
            <w:gridSpan w:val="2"/>
            <w:tcBorders>
              <w:tl2br w:val="nil"/>
              <w:tr2bl w:val="nil"/>
            </w:tcBorders>
            <w:noWrap w:val="0"/>
            <w:vAlign w:val="center"/>
          </w:tcPr>
          <w:p w14:paraId="04A8C736">
            <w:pPr>
              <w:pStyle w:val="16"/>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0DB06849">
            <w:pPr>
              <w:pStyle w:val="16"/>
              <w:pageBreakBefore w:val="0"/>
              <w:wordWrap/>
              <w:bidi w:val="0"/>
              <w:adjustRightInd/>
              <w:snapToGrid/>
              <w:rPr>
                <w:b/>
                <w:bCs/>
                <w:color w:val="auto"/>
              </w:rPr>
            </w:pPr>
            <w:r>
              <w:rPr>
                <w:b/>
                <w:bCs/>
                <w:color w:val="auto"/>
              </w:rPr>
              <w:t>型号规格</w:t>
            </w:r>
          </w:p>
        </w:tc>
        <w:tc>
          <w:tcPr>
            <w:tcW w:w="612" w:type="pct"/>
            <w:tcBorders>
              <w:tl2br w:val="nil"/>
              <w:tr2bl w:val="nil"/>
            </w:tcBorders>
            <w:noWrap w:val="0"/>
            <w:vAlign w:val="center"/>
          </w:tcPr>
          <w:p w14:paraId="0C4D49E8">
            <w:pPr>
              <w:pStyle w:val="16"/>
              <w:pageBreakBefore w:val="0"/>
              <w:wordWrap/>
              <w:bidi w:val="0"/>
              <w:adjustRightInd/>
              <w:snapToGrid/>
              <w:rPr>
                <w:b/>
                <w:bCs/>
                <w:color w:val="auto"/>
              </w:rPr>
            </w:pPr>
            <w:r>
              <w:rPr>
                <w:b/>
                <w:bCs/>
                <w:color w:val="auto"/>
              </w:rPr>
              <w:t>材质</w:t>
            </w:r>
          </w:p>
        </w:tc>
        <w:tc>
          <w:tcPr>
            <w:tcW w:w="279" w:type="pct"/>
            <w:tcBorders>
              <w:tl2br w:val="nil"/>
              <w:tr2bl w:val="nil"/>
            </w:tcBorders>
            <w:noWrap w:val="0"/>
            <w:vAlign w:val="center"/>
          </w:tcPr>
          <w:p w14:paraId="58E5B9AF">
            <w:pPr>
              <w:pStyle w:val="16"/>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02A1D09C">
            <w:pPr>
              <w:pStyle w:val="16"/>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72B758F2">
            <w:pPr>
              <w:pStyle w:val="16"/>
              <w:pageBreakBefore w:val="0"/>
              <w:wordWrap/>
              <w:bidi w:val="0"/>
              <w:adjustRightInd/>
              <w:snapToGrid/>
              <w:rPr>
                <w:b/>
                <w:bCs/>
                <w:color w:val="auto"/>
              </w:rPr>
            </w:pPr>
            <w:r>
              <w:rPr>
                <w:b/>
                <w:bCs/>
                <w:color w:val="auto"/>
              </w:rPr>
              <w:t>备注</w:t>
            </w:r>
          </w:p>
        </w:tc>
      </w:tr>
      <w:tr w14:paraId="250EE66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548EEA99">
            <w:pPr>
              <w:pStyle w:val="16"/>
              <w:pageBreakBefore w:val="0"/>
              <w:wordWrap/>
              <w:bidi w:val="0"/>
              <w:adjustRightInd/>
              <w:snapToGrid/>
              <w:jc w:val="left"/>
              <w:rPr>
                <w:color w:val="auto"/>
              </w:rPr>
            </w:pPr>
            <w:r>
              <w:rPr>
                <w:b/>
                <w:bCs/>
                <w:color w:val="auto"/>
              </w:rPr>
              <w:t>成套絮凝沉淀设备</w:t>
            </w:r>
          </w:p>
        </w:tc>
      </w:tr>
      <w:tr w14:paraId="2816246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C987726">
            <w:pPr>
              <w:pStyle w:val="16"/>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69DF5790">
            <w:pPr>
              <w:pStyle w:val="16"/>
              <w:pageBreakBefore w:val="0"/>
              <w:wordWrap/>
              <w:bidi w:val="0"/>
              <w:adjustRightInd/>
              <w:snapToGrid/>
              <w:rPr>
                <w:color w:val="auto"/>
              </w:rPr>
            </w:pPr>
            <w:r>
              <w:rPr>
                <w:color w:val="auto"/>
              </w:rPr>
              <w:t>磁介质混凝反应器</w:t>
            </w:r>
          </w:p>
        </w:tc>
        <w:tc>
          <w:tcPr>
            <w:tcW w:w="1532" w:type="pct"/>
            <w:tcBorders>
              <w:tl2br w:val="nil"/>
              <w:tr2bl w:val="nil"/>
            </w:tcBorders>
            <w:noWrap w:val="0"/>
            <w:vAlign w:val="center"/>
          </w:tcPr>
          <w:p w14:paraId="2EDC610E">
            <w:pPr>
              <w:pStyle w:val="16"/>
              <w:pageBreakBefore w:val="0"/>
              <w:wordWrap/>
              <w:bidi w:val="0"/>
              <w:adjustRightInd/>
              <w:snapToGrid/>
              <w:rPr>
                <w:color w:val="auto"/>
              </w:rPr>
            </w:pPr>
            <w:r>
              <w:rPr>
                <w:color w:val="auto"/>
              </w:rPr>
              <w:t>设计规模3000</w:t>
            </w:r>
            <w:r>
              <w:rPr>
                <w:rFonts w:hint="eastAsia"/>
                <w:color w:val="auto"/>
                <w:lang w:eastAsia="zh-CN"/>
              </w:rPr>
              <w:t>m³</w:t>
            </w:r>
            <w:r>
              <w:rPr>
                <w:color w:val="auto"/>
              </w:rPr>
              <w:t>/d</w:t>
            </w:r>
            <w:r>
              <w:rPr>
                <w:rFonts w:hint="eastAsia"/>
                <w:color w:val="auto"/>
                <w:lang w:eastAsia="zh-CN"/>
              </w:rPr>
              <w:t>，</w:t>
            </w:r>
            <w:r>
              <w:rPr>
                <w:color w:val="auto"/>
              </w:rPr>
              <w:t>总装机功</w:t>
            </w:r>
            <w:r>
              <w:rPr>
                <w:rFonts w:hint="eastAsia"/>
                <w:color w:val="auto"/>
                <w:lang w:eastAsia="zh-CN"/>
              </w:rPr>
              <w:t>率</w:t>
            </w:r>
            <w:r>
              <w:rPr>
                <w:color w:val="auto"/>
              </w:rPr>
              <w:t>10KW</w:t>
            </w:r>
          </w:p>
        </w:tc>
        <w:tc>
          <w:tcPr>
            <w:tcW w:w="612" w:type="pct"/>
            <w:tcBorders>
              <w:tl2br w:val="nil"/>
              <w:tr2bl w:val="nil"/>
            </w:tcBorders>
            <w:noWrap w:val="0"/>
            <w:vAlign w:val="center"/>
          </w:tcPr>
          <w:p w14:paraId="4D41FF7E">
            <w:pPr>
              <w:pStyle w:val="16"/>
              <w:pageBreakBefore w:val="0"/>
              <w:wordWrap/>
              <w:bidi w:val="0"/>
              <w:adjustRightInd/>
              <w:snapToGrid/>
              <w:rPr>
                <w:color w:val="auto"/>
              </w:rPr>
            </w:pPr>
          </w:p>
        </w:tc>
        <w:tc>
          <w:tcPr>
            <w:tcW w:w="279" w:type="pct"/>
            <w:tcBorders>
              <w:tl2br w:val="nil"/>
              <w:tr2bl w:val="nil"/>
            </w:tcBorders>
            <w:noWrap w:val="0"/>
            <w:vAlign w:val="center"/>
          </w:tcPr>
          <w:p w14:paraId="27D1F99C">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FFA3E9F">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0DA2D35F">
            <w:pPr>
              <w:pStyle w:val="16"/>
              <w:pageBreakBefore w:val="0"/>
              <w:wordWrap/>
              <w:bidi w:val="0"/>
              <w:adjustRightInd/>
              <w:snapToGrid/>
              <w:rPr>
                <w:color w:val="auto"/>
              </w:rPr>
            </w:pPr>
          </w:p>
        </w:tc>
      </w:tr>
      <w:tr w14:paraId="4E399C7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restart"/>
            <w:tcBorders>
              <w:tl2br w:val="nil"/>
              <w:tr2bl w:val="nil"/>
            </w:tcBorders>
            <w:noWrap w:val="0"/>
            <w:vAlign w:val="center"/>
          </w:tcPr>
          <w:p w14:paraId="4BF6207F">
            <w:pPr>
              <w:pStyle w:val="16"/>
              <w:pageBreakBefore w:val="0"/>
              <w:wordWrap/>
              <w:bidi w:val="0"/>
              <w:adjustRightInd/>
              <w:snapToGrid/>
              <w:rPr>
                <w:color w:val="auto"/>
              </w:rPr>
            </w:pPr>
            <w:r>
              <w:rPr>
                <w:color w:val="auto"/>
              </w:rPr>
              <w:t>附</w:t>
            </w:r>
          </w:p>
        </w:tc>
        <w:tc>
          <w:tcPr>
            <w:tcW w:w="843" w:type="pct"/>
            <w:gridSpan w:val="2"/>
            <w:tcBorders>
              <w:tl2br w:val="nil"/>
              <w:tr2bl w:val="nil"/>
            </w:tcBorders>
            <w:noWrap w:val="0"/>
            <w:vAlign w:val="center"/>
          </w:tcPr>
          <w:p w14:paraId="589D0542">
            <w:pPr>
              <w:pStyle w:val="16"/>
              <w:pageBreakBefore w:val="0"/>
              <w:wordWrap/>
              <w:bidi w:val="0"/>
              <w:adjustRightInd/>
              <w:snapToGrid/>
              <w:rPr>
                <w:color w:val="auto"/>
              </w:rPr>
            </w:pPr>
            <w:r>
              <w:rPr>
                <w:color w:val="auto"/>
              </w:rPr>
              <w:t>磁介质混合搅拌机</w:t>
            </w:r>
          </w:p>
        </w:tc>
        <w:tc>
          <w:tcPr>
            <w:tcW w:w="1532" w:type="pct"/>
            <w:tcBorders>
              <w:tl2br w:val="nil"/>
              <w:tr2bl w:val="nil"/>
            </w:tcBorders>
            <w:noWrap w:val="0"/>
            <w:vAlign w:val="center"/>
          </w:tcPr>
          <w:p w14:paraId="2C75D2E0">
            <w:pPr>
              <w:pStyle w:val="16"/>
              <w:pageBreakBefore w:val="0"/>
              <w:wordWrap/>
              <w:bidi w:val="0"/>
              <w:adjustRightInd/>
              <w:snapToGrid/>
              <w:rPr>
                <w:rFonts w:hint="eastAsia" w:eastAsia="宋体"/>
                <w:color w:val="auto"/>
                <w:lang w:eastAsia="zh-CN"/>
              </w:rPr>
            </w:pPr>
            <w:r>
              <w:rPr>
                <w:color w:val="auto"/>
              </w:rPr>
              <w:t>1200×1200×2600</w:t>
            </w:r>
            <w:r>
              <w:rPr>
                <w:rFonts w:hint="eastAsia"/>
                <w:color w:val="auto"/>
                <w:lang w:eastAsia="zh-CN"/>
              </w:rPr>
              <w:t>，</w:t>
            </w:r>
            <w:r>
              <w:rPr>
                <w:color w:val="auto"/>
              </w:rPr>
              <w:t>P=</w:t>
            </w:r>
            <w:r>
              <w:rPr>
                <w:rFonts w:hint="eastAsia"/>
                <w:color w:val="auto"/>
                <w:lang w:eastAsia="zh-CN"/>
              </w:rPr>
              <w:t>1</w:t>
            </w:r>
            <w:r>
              <w:rPr>
                <w:color w:val="auto"/>
              </w:rPr>
              <w:t>.5kW</w:t>
            </w:r>
            <w:r>
              <w:rPr>
                <w:rFonts w:hint="eastAsia"/>
                <w:color w:val="auto"/>
                <w:lang w:eastAsia="zh-CN"/>
              </w:rPr>
              <w:t>，</w:t>
            </w:r>
            <w:r>
              <w:rPr>
                <w:color w:val="auto"/>
              </w:rPr>
              <w:t>i=9.42</w:t>
            </w:r>
            <w:r>
              <w:rPr>
                <w:rFonts w:hint="eastAsia"/>
                <w:color w:val="auto"/>
                <w:lang w:eastAsia="zh-CN"/>
              </w:rPr>
              <w:t>，</w:t>
            </w:r>
            <w:r>
              <w:rPr>
                <w:color w:val="auto"/>
              </w:rPr>
              <w:t>防护等级</w:t>
            </w:r>
            <w:r>
              <w:rPr>
                <w:rFonts w:hint="eastAsia"/>
                <w:color w:val="auto"/>
                <w:lang w:eastAsia="zh-CN"/>
              </w:rPr>
              <w:t>：</w:t>
            </w:r>
            <w:r>
              <w:rPr>
                <w:color w:val="auto"/>
              </w:rPr>
              <w:t>IP55</w:t>
            </w:r>
            <w:r>
              <w:rPr>
                <w:rFonts w:hint="eastAsia"/>
                <w:color w:val="auto"/>
                <w:lang w:eastAsia="zh-CN"/>
              </w:rPr>
              <w:t>磁混凝沉淀</w:t>
            </w:r>
            <w:r>
              <w:rPr>
                <w:color w:val="auto"/>
              </w:rPr>
              <w:t>车间主要设备表</w:t>
            </w:r>
            <w:r>
              <w:rPr>
                <w:rFonts w:hint="eastAsia"/>
                <w:color w:val="auto"/>
                <w:lang w:eastAsia="zh-CN"/>
              </w:rPr>
              <w:t>（</w:t>
            </w:r>
            <w:r>
              <w:rPr>
                <w:color w:val="auto"/>
              </w:rPr>
              <w:t>设备成套采购</w:t>
            </w:r>
            <w:r>
              <w:rPr>
                <w:rFonts w:hint="eastAsia"/>
                <w:color w:val="auto"/>
                <w:lang w:eastAsia="zh-CN"/>
              </w:rPr>
              <w:t>）</w:t>
            </w:r>
          </w:p>
        </w:tc>
        <w:tc>
          <w:tcPr>
            <w:tcW w:w="612" w:type="pct"/>
            <w:tcBorders>
              <w:tl2br w:val="nil"/>
              <w:tr2bl w:val="nil"/>
            </w:tcBorders>
            <w:noWrap w:val="0"/>
            <w:vAlign w:val="center"/>
          </w:tcPr>
          <w:p w14:paraId="2C2411E1">
            <w:pPr>
              <w:pStyle w:val="16"/>
              <w:pageBreakBefore w:val="0"/>
              <w:wordWrap/>
              <w:bidi w:val="0"/>
              <w:adjustRightInd/>
              <w:snapToGrid/>
              <w:rPr>
                <w:color w:val="auto"/>
              </w:rPr>
            </w:pPr>
            <w:r>
              <w:rPr>
                <w:color w:val="auto"/>
              </w:rPr>
              <w:t>搅拌304不锈钢材质</w:t>
            </w:r>
            <w:r>
              <w:rPr>
                <w:rFonts w:hint="eastAsia"/>
                <w:color w:val="auto"/>
                <w:lang w:eastAsia="zh-CN"/>
              </w:rPr>
              <w:t>，</w:t>
            </w:r>
            <w:r>
              <w:rPr>
                <w:color w:val="auto"/>
              </w:rPr>
              <w:t>带导流筒</w:t>
            </w:r>
          </w:p>
        </w:tc>
        <w:tc>
          <w:tcPr>
            <w:tcW w:w="279" w:type="pct"/>
            <w:tcBorders>
              <w:tl2br w:val="nil"/>
              <w:tr2bl w:val="nil"/>
            </w:tcBorders>
            <w:noWrap w:val="0"/>
            <w:vAlign w:val="center"/>
          </w:tcPr>
          <w:p w14:paraId="7BCC6577">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3353252">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397CA17F">
            <w:pPr>
              <w:pStyle w:val="16"/>
              <w:pageBreakBefore w:val="0"/>
              <w:wordWrap/>
              <w:bidi w:val="0"/>
              <w:adjustRightInd/>
              <w:snapToGrid/>
              <w:rPr>
                <w:color w:val="auto"/>
              </w:rPr>
            </w:pPr>
          </w:p>
        </w:tc>
      </w:tr>
      <w:tr w14:paraId="50C156C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6A82AD0B">
            <w:pPr>
              <w:pStyle w:val="16"/>
              <w:pageBreakBefore w:val="0"/>
              <w:wordWrap/>
              <w:bidi w:val="0"/>
              <w:adjustRightInd/>
              <w:snapToGrid/>
              <w:rPr>
                <w:color w:val="auto"/>
              </w:rPr>
            </w:pPr>
          </w:p>
        </w:tc>
        <w:tc>
          <w:tcPr>
            <w:tcW w:w="843" w:type="pct"/>
            <w:gridSpan w:val="2"/>
            <w:tcBorders>
              <w:tl2br w:val="nil"/>
              <w:tr2bl w:val="nil"/>
            </w:tcBorders>
            <w:noWrap w:val="0"/>
            <w:vAlign w:val="center"/>
          </w:tcPr>
          <w:p w14:paraId="5781FB86">
            <w:pPr>
              <w:pStyle w:val="16"/>
              <w:pageBreakBefore w:val="0"/>
              <w:wordWrap/>
              <w:bidi w:val="0"/>
              <w:adjustRightInd/>
              <w:snapToGrid/>
              <w:rPr>
                <w:color w:val="auto"/>
              </w:rPr>
            </w:pPr>
            <w:r>
              <w:rPr>
                <w:color w:val="auto"/>
              </w:rPr>
              <w:t>絮凝反应搅拌机</w:t>
            </w:r>
          </w:p>
        </w:tc>
        <w:tc>
          <w:tcPr>
            <w:tcW w:w="1532" w:type="pct"/>
            <w:tcBorders>
              <w:tl2br w:val="nil"/>
              <w:tr2bl w:val="nil"/>
            </w:tcBorders>
            <w:noWrap w:val="0"/>
            <w:vAlign w:val="center"/>
          </w:tcPr>
          <w:p w14:paraId="198C54A7">
            <w:pPr>
              <w:pStyle w:val="16"/>
              <w:pageBreakBefore w:val="0"/>
              <w:wordWrap/>
              <w:bidi w:val="0"/>
              <w:adjustRightInd/>
              <w:snapToGrid/>
              <w:rPr>
                <w:color w:val="auto"/>
              </w:rPr>
            </w:pPr>
            <w:r>
              <w:rPr>
                <w:color w:val="auto"/>
              </w:rPr>
              <w:t>1700×1700×2600</w:t>
            </w:r>
            <w:r>
              <w:rPr>
                <w:rFonts w:hint="eastAsia"/>
                <w:color w:val="auto"/>
                <w:lang w:eastAsia="zh-CN"/>
              </w:rPr>
              <w:t>，</w:t>
            </w:r>
            <w:r>
              <w:rPr>
                <w:color w:val="auto"/>
              </w:rPr>
              <w:t>P=</w:t>
            </w:r>
            <w:r>
              <w:rPr>
                <w:rFonts w:hint="eastAsia"/>
                <w:color w:val="auto"/>
                <w:lang w:eastAsia="zh-CN"/>
              </w:rPr>
              <w:t>1</w:t>
            </w:r>
            <w:r>
              <w:rPr>
                <w:color w:val="auto"/>
              </w:rPr>
              <w:t>.1kW</w:t>
            </w:r>
            <w:r>
              <w:rPr>
                <w:rFonts w:hint="eastAsia"/>
                <w:color w:val="auto"/>
                <w:lang w:eastAsia="zh-CN"/>
              </w:rPr>
              <w:t>，</w:t>
            </w:r>
            <w:r>
              <w:rPr>
                <w:color w:val="auto"/>
              </w:rPr>
              <w:t>i=18.84</w:t>
            </w:r>
            <w:r>
              <w:rPr>
                <w:rFonts w:hint="eastAsia"/>
                <w:color w:val="auto"/>
                <w:lang w:eastAsia="zh-CN"/>
              </w:rPr>
              <w:t>，</w:t>
            </w:r>
            <w:r>
              <w:rPr>
                <w:color w:val="auto"/>
              </w:rPr>
              <w:t>防护等级</w:t>
            </w:r>
            <w:r>
              <w:rPr>
                <w:rFonts w:hint="eastAsia"/>
                <w:color w:val="auto"/>
                <w:lang w:eastAsia="zh-CN"/>
              </w:rPr>
              <w:t>：</w:t>
            </w:r>
            <w:r>
              <w:rPr>
                <w:color w:val="auto"/>
              </w:rPr>
              <w:t>IP55</w:t>
            </w:r>
          </w:p>
        </w:tc>
        <w:tc>
          <w:tcPr>
            <w:tcW w:w="612" w:type="pct"/>
            <w:tcBorders>
              <w:tl2br w:val="nil"/>
              <w:tr2bl w:val="nil"/>
            </w:tcBorders>
            <w:noWrap w:val="0"/>
            <w:vAlign w:val="center"/>
          </w:tcPr>
          <w:p w14:paraId="179628F7">
            <w:pPr>
              <w:pStyle w:val="16"/>
              <w:pageBreakBefore w:val="0"/>
              <w:wordWrap/>
              <w:bidi w:val="0"/>
              <w:adjustRightInd/>
              <w:snapToGrid/>
              <w:rPr>
                <w:color w:val="auto"/>
              </w:rPr>
            </w:pPr>
            <w:r>
              <w:rPr>
                <w:color w:val="auto"/>
              </w:rPr>
              <w:t>搅拌304不锈钢材质</w:t>
            </w:r>
            <w:r>
              <w:rPr>
                <w:rFonts w:hint="eastAsia"/>
                <w:color w:val="auto"/>
                <w:lang w:eastAsia="zh-CN"/>
              </w:rPr>
              <w:t>，</w:t>
            </w:r>
            <w:r>
              <w:rPr>
                <w:color w:val="auto"/>
              </w:rPr>
              <w:t>带导流筒</w:t>
            </w:r>
          </w:p>
        </w:tc>
        <w:tc>
          <w:tcPr>
            <w:tcW w:w="279" w:type="pct"/>
            <w:tcBorders>
              <w:tl2br w:val="nil"/>
              <w:tr2bl w:val="nil"/>
            </w:tcBorders>
            <w:noWrap w:val="0"/>
            <w:vAlign w:val="center"/>
          </w:tcPr>
          <w:p w14:paraId="00D4C975">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8125489">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3896F538">
            <w:pPr>
              <w:pStyle w:val="16"/>
              <w:pageBreakBefore w:val="0"/>
              <w:wordWrap/>
              <w:bidi w:val="0"/>
              <w:adjustRightInd/>
              <w:snapToGrid/>
              <w:rPr>
                <w:color w:val="auto"/>
              </w:rPr>
            </w:pPr>
          </w:p>
        </w:tc>
      </w:tr>
      <w:tr w14:paraId="4AA4D37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6A588D8E">
            <w:pPr>
              <w:pStyle w:val="16"/>
              <w:pageBreakBefore w:val="0"/>
              <w:wordWrap/>
              <w:bidi w:val="0"/>
              <w:adjustRightInd/>
              <w:snapToGrid/>
              <w:rPr>
                <w:color w:val="auto"/>
              </w:rPr>
            </w:pPr>
          </w:p>
        </w:tc>
        <w:tc>
          <w:tcPr>
            <w:tcW w:w="843" w:type="pct"/>
            <w:gridSpan w:val="2"/>
            <w:tcBorders>
              <w:tl2br w:val="nil"/>
              <w:tr2bl w:val="nil"/>
            </w:tcBorders>
            <w:noWrap w:val="0"/>
            <w:vAlign w:val="center"/>
          </w:tcPr>
          <w:p w14:paraId="028DDB05">
            <w:pPr>
              <w:pStyle w:val="16"/>
              <w:pageBreakBefore w:val="0"/>
              <w:wordWrap/>
              <w:bidi w:val="0"/>
              <w:adjustRightInd/>
              <w:snapToGrid/>
              <w:rPr>
                <w:color w:val="auto"/>
              </w:rPr>
            </w:pPr>
            <w:r>
              <w:rPr>
                <w:color w:val="auto"/>
              </w:rPr>
              <w:t>磁介质沉淀池</w:t>
            </w:r>
          </w:p>
        </w:tc>
        <w:tc>
          <w:tcPr>
            <w:tcW w:w="1532" w:type="pct"/>
            <w:tcBorders>
              <w:tl2br w:val="nil"/>
              <w:tr2bl w:val="nil"/>
            </w:tcBorders>
            <w:noWrap w:val="0"/>
            <w:vAlign w:val="center"/>
          </w:tcPr>
          <w:p w14:paraId="68A9EEEE">
            <w:pPr>
              <w:pStyle w:val="16"/>
              <w:pageBreakBefore w:val="0"/>
              <w:wordWrap/>
              <w:bidi w:val="0"/>
              <w:adjustRightInd/>
              <w:snapToGrid/>
              <w:rPr>
                <w:color w:val="auto"/>
              </w:rPr>
            </w:pPr>
            <w:r>
              <w:rPr>
                <w:color w:val="auto"/>
              </w:rPr>
              <w:t>3400×3400×3550</w:t>
            </w:r>
            <w:r>
              <w:rPr>
                <w:rFonts w:hint="eastAsia"/>
                <w:color w:val="auto"/>
                <w:lang w:eastAsia="zh-CN"/>
              </w:rPr>
              <w:t>，</w:t>
            </w:r>
            <w:r>
              <w:rPr>
                <w:color w:val="auto"/>
              </w:rPr>
              <w:t>内装斜管填料斜长</w:t>
            </w:r>
            <w:r>
              <w:rPr>
                <w:rFonts w:hint="eastAsia"/>
                <w:color w:val="auto"/>
                <w:lang w:eastAsia="zh-CN"/>
              </w:rPr>
              <w:t>1</w:t>
            </w:r>
            <w:r>
              <w:rPr>
                <w:color w:val="auto"/>
              </w:rPr>
              <w:t>000mm斜管沉淀和刮泥机</w:t>
            </w:r>
          </w:p>
        </w:tc>
        <w:tc>
          <w:tcPr>
            <w:tcW w:w="612" w:type="pct"/>
            <w:tcBorders>
              <w:tl2br w:val="nil"/>
              <w:tr2bl w:val="nil"/>
            </w:tcBorders>
            <w:noWrap w:val="0"/>
            <w:vAlign w:val="center"/>
          </w:tcPr>
          <w:p w14:paraId="27CCDFD1">
            <w:pPr>
              <w:pStyle w:val="16"/>
              <w:pageBreakBefore w:val="0"/>
              <w:wordWrap/>
              <w:bidi w:val="0"/>
              <w:adjustRightInd/>
              <w:snapToGrid/>
              <w:rPr>
                <w:color w:val="auto"/>
              </w:rPr>
            </w:pPr>
            <w:r>
              <w:rPr>
                <w:color w:val="auto"/>
              </w:rPr>
              <w:t>碳钢防腐</w:t>
            </w:r>
            <w:r>
              <w:rPr>
                <w:rFonts w:hint="eastAsia"/>
                <w:color w:val="auto"/>
                <w:lang w:eastAsia="zh-CN"/>
              </w:rPr>
              <w:t>，</w:t>
            </w:r>
            <w:r>
              <w:rPr>
                <w:color w:val="auto"/>
              </w:rPr>
              <w:t>集装箱外</w:t>
            </w:r>
            <w:r>
              <w:rPr>
                <w:rFonts w:hint="eastAsia"/>
                <w:color w:val="auto"/>
                <w:lang w:eastAsia="zh-CN"/>
              </w:rPr>
              <w:t>，</w:t>
            </w:r>
            <w:r>
              <w:rPr>
                <w:color w:val="auto"/>
              </w:rPr>
              <w:t>需现场拼装</w:t>
            </w:r>
          </w:p>
        </w:tc>
        <w:tc>
          <w:tcPr>
            <w:tcW w:w="279" w:type="pct"/>
            <w:tcBorders>
              <w:tl2br w:val="nil"/>
              <w:tr2bl w:val="nil"/>
            </w:tcBorders>
            <w:noWrap w:val="0"/>
            <w:vAlign w:val="center"/>
          </w:tcPr>
          <w:p w14:paraId="6DC48D86">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3E597B0">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55E8C16D">
            <w:pPr>
              <w:pStyle w:val="16"/>
              <w:pageBreakBefore w:val="0"/>
              <w:wordWrap/>
              <w:bidi w:val="0"/>
              <w:adjustRightInd/>
              <w:snapToGrid/>
              <w:rPr>
                <w:color w:val="auto"/>
              </w:rPr>
            </w:pPr>
          </w:p>
        </w:tc>
      </w:tr>
      <w:tr w14:paraId="77352E9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60FC06F7">
            <w:pPr>
              <w:pStyle w:val="16"/>
              <w:pageBreakBefore w:val="0"/>
              <w:wordWrap/>
              <w:bidi w:val="0"/>
              <w:adjustRightInd/>
              <w:snapToGrid/>
              <w:rPr>
                <w:color w:val="auto"/>
              </w:rPr>
            </w:pPr>
          </w:p>
        </w:tc>
        <w:tc>
          <w:tcPr>
            <w:tcW w:w="843" w:type="pct"/>
            <w:gridSpan w:val="2"/>
            <w:tcBorders>
              <w:tl2br w:val="nil"/>
              <w:tr2bl w:val="nil"/>
            </w:tcBorders>
            <w:noWrap w:val="0"/>
            <w:vAlign w:val="center"/>
          </w:tcPr>
          <w:p w14:paraId="08302881">
            <w:pPr>
              <w:pStyle w:val="16"/>
              <w:pageBreakBefore w:val="0"/>
              <w:wordWrap/>
              <w:bidi w:val="0"/>
              <w:adjustRightInd/>
              <w:snapToGrid/>
              <w:rPr>
                <w:color w:val="auto"/>
              </w:rPr>
            </w:pPr>
            <w:r>
              <w:rPr>
                <w:color w:val="auto"/>
              </w:rPr>
              <w:t>CT</w:t>
            </w:r>
            <w:r>
              <w:rPr>
                <w:rFonts w:hint="eastAsia"/>
                <w:color w:val="auto"/>
                <w:lang w:eastAsia="zh-CN"/>
              </w:rPr>
              <w:t>，</w:t>
            </w:r>
            <w:r>
              <w:rPr>
                <w:color w:val="auto"/>
              </w:rPr>
              <w:t>中心传动刮泥机</w:t>
            </w:r>
          </w:p>
        </w:tc>
        <w:tc>
          <w:tcPr>
            <w:tcW w:w="1532" w:type="pct"/>
            <w:tcBorders>
              <w:tl2br w:val="nil"/>
              <w:tr2bl w:val="nil"/>
            </w:tcBorders>
            <w:noWrap w:val="0"/>
            <w:vAlign w:val="center"/>
          </w:tcPr>
          <w:p w14:paraId="1F6E96E2">
            <w:pPr>
              <w:pStyle w:val="16"/>
              <w:pageBreakBefore w:val="0"/>
              <w:wordWrap/>
              <w:bidi w:val="0"/>
              <w:adjustRightInd/>
              <w:snapToGrid/>
              <w:rPr>
                <w:color w:val="auto"/>
              </w:rPr>
            </w:pPr>
            <w:r>
              <w:rPr>
                <w:color w:val="auto"/>
              </w:rPr>
              <w:t>P=0.25kW</w:t>
            </w:r>
            <w:r>
              <w:rPr>
                <w:rFonts w:hint="eastAsia"/>
                <w:color w:val="auto"/>
                <w:lang w:eastAsia="zh-CN"/>
              </w:rPr>
              <w:t>，</w:t>
            </w:r>
            <w:r>
              <w:rPr>
                <w:color w:val="auto"/>
              </w:rPr>
              <w:t>外缘线速度</w:t>
            </w:r>
            <w:r>
              <w:rPr>
                <w:rFonts w:hint="eastAsia"/>
                <w:color w:val="auto"/>
                <w:lang w:eastAsia="zh-CN"/>
              </w:rPr>
              <w:t>1</w:t>
            </w:r>
            <w:r>
              <w:rPr>
                <w:color w:val="auto"/>
              </w:rPr>
              <w:t>.8m/min</w:t>
            </w:r>
          </w:p>
        </w:tc>
        <w:tc>
          <w:tcPr>
            <w:tcW w:w="612" w:type="pct"/>
            <w:tcBorders>
              <w:tl2br w:val="nil"/>
              <w:tr2bl w:val="nil"/>
            </w:tcBorders>
            <w:noWrap w:val="0"/>
            <w:vAlign w:val="center"/>
          </w:tcPr>
          <w:p w14:paraId="63390066">
            <w:pPr>
              <w:pStyle w:val="16"/>
              <w:pageBreakBefore w:val="0"/>
              <w:wordWrap/>
              <w:bidi w:val="0"/>
              <w:adjustRightInd/>
              <w:snapToGrid/>
              <w:rPr>
                <w:color w:val="auto"/>
              </w:rPr>
            </w:pPr>
            <w:r>
              <w:rPr>
                <w:color w:val="auto"/>
              </w:rPr>
              <w:t>刮泥机304不锈钢材质</w:t>
            </w:r>
          </w:p>
        </w:tc>
        <w:tc>
          <w:tcPr>
            <w:tcW w:w="279" w:type="pct"/>
            <w:tcBorders>
              <w:tl2br w:val="nil"/>
              <w:tr2bl w:val="nil"/>
            </w:tcBorders>
            <w:noWrap w:val="0"/>
            <w:vAlign w:val="center"/>
          </w:tcPr>
          <w:p w14:paraId="4A152FC1">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09C6619">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F1FB819">
            <w:pPr>
              <w:pStyle w:val="16"/>
              <w:pageBreakBefore w:val="0"/>
              <w:wordWrap/>
              <w:bidi w:val="0"/>
              <w:adjustRightInd/>
              <w:snapToGrid/>
              <w:rPr>
                <w:color w:val="auto"/>
              </w:rPr>
            </w:pPr>
          </w:p>
        </w:tc>
      </w:tr>
      <w:tr w14:paraId="6AEA72E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4B9814C9">
            <w:pPr>
              <w:pStyle w:val="16"/>
              <w:pageBreakBefore w:val="0"/>
              <w:wordWrap/>
              <w:bidi w:val="0"/>
              <w:adjustRightInd/>
              <w:snapToGrid/>
              <w:rPr>
                <w:color w:val="auto"/>
              </w:rPr>
            </w:pPr>
          </w:p>
        </w:tc>
        <w:tc>
          <w:tcPr>
            <w:tcW w:w="843" w:type="pct"/>
            <w:gridSpan w:val="2"/>
            <w:tcBorders>
              <w:tl2br w:val="nil"/>
              <w:tr2bl w:val="nil"/>
            </w:tcBorders>
            <w:noWrap w:val="0"/>
            <w:vAlign w:val="center"/>
          </w:tcPr>
          <w:p w14:paraId="38EB1B0E">
            <w:pPr>
              <w:pStyle w:val="16"/>
              <w:pageBreakBefore w:val="0"/>
              <w:wordWrap/>
              <w:bidi w:val="0"/>
              <w:adjustRightInd/>
              <w:snapToGrid/>
              <w:rPr>
                <w:color w:val="auto"/>
              </w:rPr>
            </w:pPr>
            <w:r>
              <w:rPr>
                <w:color w:val="auto"/>
              </w:rPr>
              <w:t>污泥回流泵</w:t>
            </w:r>
          </w:p>
        </w:tc>
        <w:tc>
          <w:tcPr>
            <w:tcW w:w="1532" w:type="pct"/>
            <w:tcBorders>
              <w:tl2br w:val="nil"/>
              <w:tr2bl w:val="nil"/>
            </w:tcBorders>
            <w:noWrap w:val="0"/>
            <w:vAlign w:val="center"/>
          </w:tcPr>
          <w:p w14:paraId="31FE3848">
            <w:pPr>
              <w:pStyle w:val="16"/>
              <w:pageBreakBefore w:val="0"/>
              <w:wordWrap/>
              <w:bidi w:val="0"/>
              <w:adjustRightInd/>
              <w:snapToGrid/>
              <w:rPr>
                <w:color w:val="auto"/>
              </w:rPr>
            </w:pPr>
            <w:r>
              <w:rPr>
                <w:color w:val="auto"/>
              </w:rPr>
              <w:t>型式</w:t>
            </w:r>
            <w:r>
              <w:rPr>
                <w:rFonts w:hint="eastAsia"/>
                <w:color w:val="auto"/>
                <w:lang w:eastAsia="zh-CN"/>
              </w:rPr>
              <w:t>：</w:t>
            </w:r>
            <w:r>
              <w:rPr>
                <w:color w:val="auto"/>
              </w:rPr>
              <w:t>转子泵</w:t>
            </w:r>
            <w:r>
              <w:rPr>
                <w:rFonts w:hint="eastAsia"/>
                <w:color w:val="auto"/>
                <w:lang w:eastAsia="zh-CN"/>
              </w:rPr>
              <w:t>：</w:t>
            </w:r>
            <w:r>
              <w:rPr>
                <w:color w:val="auto"/>
              </w:rPr>
              <w:t>流量10</w:t>
            </w:r>
            <w:r>
              <w:rPr>
                <w:rFonts w:hint="eastAsia"/>
                <w:color w:val="auto"/>
                <w:lang w:eastAsia="zh-CN"/>
              </w:rPr>
              <w:t>m³</w:t>
            </w:r>
            <w:r>
              <w:rPr>
                <w:color w:val="auto"/>
              </w:rPr>
              <w:t>/h</w:t>
            </w:r>
            <w:r>
              <w:rPr>
                <w:rFonts w:hint="eastAsia"/>
                <w:color w:val="auto"/>
                <w:lang w:eastAsia="zh-CN"/>
              </w:rPr>
              <w:t>，</w:t>
            </w:r>
            <w:r>
              <w:rPr>
                <w:color w:val="auto"/>
              </w:rPr>
              <w:t>扬程</w:t>
            </w:r>
            <w:r>
              <w:rPr>
                <w:rFonts w:hint="eastAsia"/>
                <w:color w:val="auto"/>
                <w:lang w:eastAsia="zh-CN"/>
              </w:rPr>
              <w:t>：</w:t>
            </w:r>
            <w:r>
              <w:rPr>
                <w:color w:val="auto"/>
              </w:rPr>
              <w:t>5m</w:t>
            </w:r>
            <w:r>
              <w:rPr>
                <w:rFonts w:hint="eastAsia"/>
                <w:color w:val="auto"/>
                <w:lang w:eastAsia="zh-CN"/>
              </w:rPr>
              <w:t>，</w:t>
            </w:r>
            <w:r>
              <w:rPr>
                <w:color w:val="auto"/>
              </w:rPr>
              <w:t>P=2.2kW</w:t>
            </w:r>
            <w:r>
              <w:rPr>
                <w:rFonts w:hint="eastAsia"/>
                <w:color w:val="auto"/>
                <w:lang w:eastAsia="zh-CN"/>
              </w:rPr>
              <w:t>，</w:t>
            </w:r>
            <w:r>
              <w:rPr>
                <w:color w:val="auto"/>
              </w:rPr>
              <w:t>进出口</w:t>
            </w:r>
            <w:r>
              <w:rPr>
                <w:rFonts w:hint="eastAsia"/>
                <w:color w:val="auto"/>
                <w:lang w:eastAsia="zh-CN"/>
              </w:rPr>
              <w:t>：</w:t>
            </w:r>
            <w:r>
              <w:rPr>
                <w:color w:val="auto"/>
              </w:rPr>
              <w:t>DN65</w:t>
            </w:r>
          </w:p>
        </w:tc>
        <w:tc>
          <w:tcPr>
            <w:tcW w:w="612" w:type="pct"/>
            <w:tcBorders>
              <w:tl2br w:val="nil"/>
              <w:tr2bl w:val="nil"/>
            </w:tcBorders>
            <w:noWrap w:val="0"/>
            <w:vAlign w:val="center"/>
          </w:tcPr>
          <w:p w14:paraId="1E834CAB">
            <w:pPr>
              <w:pStyle w:val="16"/>
              <w:pageBreakBefore w:val="0"/>
              <w:wordWrap/>
              <w:bidi w:val="0"/>
              <w:adjustRightInd/>
              <w:snapToGrid/>
              <w:rPr>
                <w:color w:val="auto"/>
              </w:rPr>
            </w:pPr>
            <w:r>
              <w:rPr>
                <w:color w:val="auto"/>
              </w:rPr>
              <w:t>变频调速</w:t>
            </w:r>
          </w:p>
        </w:tc>
        <w:tc>
          <w:tcPr>
            <w:tcW w:w="279" w:type="pct"/>
            <w:tcBorders>
              <w:tl2br w:val="nil"/>
              <w:tr2bl w:val="nil"/>
            </w:tcBorders>
            <w:noWrap w:val="0"/>
            <w:vAlign w:val="center"/>
          </w:tcPr>
          <w:p w14:paraId="304BEFE1">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2CABCBC">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51942236">
            <w:pPr>
              <w:pStyle w:val="16"/>
              <w:pageBreakBefore w:val="0"/>
              <w:wordWrap/>
              <w:bidi w:val="0"/>
              <w:adjustRightInd/>
              <w:snapToGrid/>
              <w:rPr>
                <w:color w:val="auto"/>
              </w:rPr>
            </w:pPr>
          </w:p>
        </w:tc>
      </w:tr>
      <w:tr w14:paraId="60AD143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7794DBC8">
            <w:pPr>
              <w:pStyle w:val="16"/>
              <w:pageBreakBefore w:val="0"/>
              <w:wordWrap/>
              <w:bidi w:val="0"/>
              <w:adjustRightInd/>
              <w:snapToGrid/>
              <w:rPr>
                <w:color w:val="auto"/>
              </w:rPr>
            </w:pPr>
          </w:p>
        </w:tc>
        <w:tc>
          <w:tcPr>
            <w:tcW w:w="843" w:type="pct"/>
            <w:gridSpan w:val="2"/>
            <w:tcBorders>
              <w:tl2br w:val="nil"/>
              <w:tr2bl w:val="nil"/>
            </w:tcBorders>
            <w:noWrap w:val="0"/>
            <w:vAlign w:val="center"/>
          </w:tcPr>
          <w:p w14:paraId="07385EED">
            <w:pPr>
              <w:pStyle w:val="16"/>
              <w:pageBreakBefore w:val="0"/>
              <w:wordWrap/>
              <w:bidi w:val="0"/>
              <w:adjustRightInd/>
              <w:snapToGrid/>
              <w:rPr>
                <w:color w:val="auto"/>
              </w:rPr>
            </w:pPr>
            <w:r>
              <w:rPr>
                <w:color w:val="auto"/>
              </w:rPr>
              <w:t>剩余污泥泵</w:t>
            </w:r>
          </w:p>
        </w:tc>
        <w:tc>
          <w:tcPr>
            <w:tcW w:w="1532" w:type="pct"/>
            <w:tcBorders>
              <w:tl2br w:val="nil"/>
              <w:tr2bl w:val="nil"/>
            </w:tcBorders>
            <w:noWrap w:val="0"/>
            <w:vAlign w:val="center"/>
          </w:tcPr>
          <w:p w14:paraId="095F455D">
            <w:pPr>
              <w:pStyle w:val="16"/>
              <w:pageBreakBefore w:val="0"/>
              <w:wordWrap/>
              <w:bidi w:val="0"/>
              <w:adjustRightInd/>
              <w:snapToGrid/>
              <w:rPr>
                <w:color w:val="auto"/>
              </w:rPr>
            </w:pPr>
            <w:r>
              <w:rPr>
                <w:color w:val="auto"/>
              </w:rPr>
              <w:t>型式</w:t>
            </w:r>
            <w:r>
              <w:rPr>
                <w:rFonts w:hint="eastAsia"/>
                <w:color w:val="auto"/>
                <w:lang w:eastAsia="zh-CN"/>
              </w:rPr>
              <w:t>：</w:t>
            </w:r>
            <w:r>
              <w:rPr>
                <w:color w:val="auto"/>
              </w:rPr>
              <w:t>转子泵</w:t>
            </w:r>
            <w:r>
              <w:rPr>
                <w:rFonts w:hint="eastAsia"/>
                <w:color w:val="auto"/>
                <w:lang w:eastAsia="zh-CN"/>
              </w:rPr>
              <w:t>：</w:t>
            </w:r>
            <w:r>
              <w:rPr>
                <w:color w:val="auto"/>
              </w:rPr>
              <w:t>流量5</w:t>
            </w:r>
            <w:r>
              <w:rPr>
                <w:rFonts w:hint="eastAsia"/>
                <w:color w:val="auto"/>
                <w:lang w:eastAsia="zh-CN"/>
              </w:rPr>
              <w:t>m³</w:t>
            </w:r>
            <w:r>
              <w:rPr>
                <w:color w:val="auto"/>
              </w:rPr>
              <w:t>/h</w:t>
            </w:r>
            <w:r>
              <w:rPr>
                <w:rFonts w:hint="eastAsia"/>
                <w:color w:val="auto"/>
                <w:lang w:eastAsia="zh-CN"/>
              </w:rPr>
              <w:t>，</w:t>
            </w:r>
            <w:r>
              <w:rPr>
                <w:color w:val="auto"/>
              </w:rPr>
              <w:t>扬程</w:t>
            </w:r>
            <w:r>
              <w:rPr>
                <w:rFonts w:hint="eastAsia"/>
                <w:color w:val="auto"/>
                <w:lang w:eastAsia="zh-CN"/>
              </w:rPr>
              <w:t>：</w:t>
            </w:r>
            <w:r>
              <w:rPr>
                <w:color w:val="auto"/>
              </w:rPr>
              <w:t>5mP=</w:t>
            </w:r>
            <w:r>
              <w:rPr>
                <w:rFonts w:hint="eastAsia"/>
                <w:color w:val="auto"/>
                <w:lang w:eastAsia="zh-CN"/>
              </w:rPr>
              <w:t>1</w:t>
            </w:r>
            <w:r>
              <w:rPr>
                <w:color w:val="auto"/>
              </w:rPr>
              <w:t>.5kW</w:t>
            </w:r>
            <w:r>
              <w:rPr>
                <w:rFonts w:hint="eastAsia"/>
                <w:color w:val="auto"/>
                <w:lang w:eastAsia="zh-CN"/>
              </w:rPr>
              <w:t>，</w:t>
            </w:r>
            <w:r>
              <w:rPr>
                <w:color w:val="auto"/>
              </w:rPr>
              <w:t>进出口</w:t>
            </w:r>
            <w:r>
              <w:rPr>
                <w:rFonts w:hint="eastAsia"/>
                <w:color w:val="auto"/>
                <w:lang w:eastAsia="zh-CN"/>
              </w:rPr>
              <w:t>：</w:t>
            </w:r>
            <w:r>
              <w:rPr>
                <w:color w:val="auto"/>
              </w:rPr>
              <w:t>DN40</w:t>
            </w:r>
          </w:p>
        </w:tc>
        <w:tc>
          <w:tcPr>
            <w:tcW w:w="612" w:type="pct"/>
            <w:tcBorders>
              <w:tl2br w:val="nil"/>
              <w:tr2bl w:val="nil"/>
            </w:tcBorders>
            <w:noWrap w:val="0"/>
            <w:vAlign w:val="center"/>
          </w:tcPr>
          <w:p w14:paraId="51E3B6B6">
            <w:pPr>
              <w:pStyle w:val="16"/>
              <w:pageBreakBefore w:val="0"/>
              <w:wordWrap/>
              <w:bidi w:val="0"/>
              <w:adjustRightInd/>
              <w:snapToGrid/>
              <w:rPr>
                <w:color w:val="auto"/>
              </w:rPr>
            </w:pPr>
            <w:r>
              <w:rPr>
                <w:color w:val="auto"/>
              </w:rPr>
              <w:t>变频调速</w:t>
            </w:r>
          </w:p>
        </w:tc>
        <w:tc>
          <w:tcPr>
            <w:tcW w:w="279" w:type="pct"/>
            <w:tcBorders>
              <w:tl2br w:val="nil"/>
              <w:tr2bl w:val="nil"/>
            </w:tcBorders>
            <w:noWrap w:val="0"/>
            <w:vAlign w:val="center"/>
          </w:tcPr>
          <w:p w14:paraId="14F7F8A1">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5992927">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5CA21199">
            <w:pPr>
              <w:pStyle w:val="16"/>
              <w:pageBreakBefore w:val="0"/>
              <w:wordWrap/>
              <w:bidi w:val="0"/>
              <w:adjustRightInd/>
              <w:snapToGrid/>
              <w:rPr>
                <w:color w:val="auto"/>
              </w:rPr>
            </w:pPr>
          </w:p>
        </w:tc>
      </w:tr>
      <w:tr w14:paraId="7695F62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213814EB">
            <w:pPr>
              <w:pStyle w:val="16"/>
              <w:pageBreakBefore w:val="0"/>
              <w:wordWrap/>
              <w:bidi w:val="0"/>
              <w:adjustRightInd/>
              <w:snapToGrid/>
              <w:rPr>
                <w:color w:val="auto"/>
              </w:rPr>
            </w:pPr>
          </w:p>
        </w:tc>
        <w:tc>
          <w:tcPr>
            <w:tcW w:w="843" w:type="pct"/>
            <w:gridSpan w:val="2"/>
            <w:tcBorders>
              <w:tl2br w:val="nil"/>
              <w:tr2bl w:val="nil"/>
            </w:tcBorders>
            <w:noWrap w:val="0"/>
            <w:vAlign w:val="center"/>
          </w:tcPr>
          <w:p w14:paraId="119D577D">
            <w:pPr>
              <w:pStyle w:val="16"/>
              <w:pageBreakBefore w:val="0"/>
              <w:wordWrap/>
              <w:bidi w:val="0"/>
              <w:adjustRightInd/>
              <w:snapToGrid/>
              <w:rPr>
                <w:color w:val="auto"/>
              </w:rPr>
            </w:pPr>
            <w:r>
              <w:rPr>
                <w:color w:val="auto"/>
              </w:rPr>
              <w:t>磁回收机</w:t>
            </w:r>
          </w:p>
        </w:tc>
        <w:tc>
          <w:tcPr>
            <w:tcW w:w="1532" w:type="pct"/>
            <w:tcBorders>
              <w:tl2br w:val="nil"/>
              <w:tr2bl w:val="nil"/>
            </w:tcBorders>
            <w:noWrap w:val="0"/>
            <w:vAlign w:val="center"/>
          </w:tcPr>
          <w:p w14:paraId="067A9359">
            <w:pPr>
              <w:pStyle w:val="16"/>
              <w:pageBreakBefore w:val="0"/>
              <w:wordWrap/>
              <w:bidi w:val="0"/>
              <w:adjustRightInd/>
              <w:snapToGrid/>
              <w:rPr>
                <w:color w:val="auto"/>
              </w:rPr>
            </w:pPr>
            <w:r>
              <w:rPr>
                <w:color w:val="auto"/>
              </w:rPr>
              <w:t>处理量3</w:t>
            </w:r>
            <w:r>
              <w:rPr>
                <w:rFonts w:hint="eastAsia"/>
                <w:color w:val="auto"/>
                <w:lang w:eastAsia="zh-CN"/>
              </w:rPr>
              <w:t>m³</w:t>
            </w:r>
            <w:r>
              <w:rPr>
                <w:color w:val="auto"/>
              </w:rPr>
              <w:t>/h</w:t>
            </w:r>
            <w:r>
              <w:rPr>
                <w:rFonts w:hint="eastAsia"/>
                <w:color w:val="auto"/>
                <w:lang w:eastAsia="zh-CN"/>
              </w:rPr>
              <w:t>，</w:t>
            </w:r>
            <w:r>
              <w:rPr>
                <w:color w:val="auto"/>
              </w:rPr>
              <w:t>功率0.75kW</w:t>
            </w:r>
            <w:r>
              <w:rPr>
                <w:rFonts w:hint="eastAsia"/>
                <w:color w:val="auto"/>
                <w:lang w:eastAsia="zh-CN"/>
              </w:rPr>
              <w:t>，</w:t>
            </w:r>
            <w:r>
              <w:rPr>
                <w:color w:val="auto"/>
              </w:rPr>
              <w:t>外形尺寸930×962×900mm</w:t>
            </w:r>
          </w:p>
        </w:tc>
        <w:tc>
          <w:tcPr>
            <w:tcW w:w="612" w:type="pct"/>
            <w:tcBorders>
              <w:tl2br w:val="nil"/>
              <w:tr2bl w:val="nil"/>
            </w:tcBorders>
            <w:noWrap w:val="0"/>
            <w:vAlign w:val="center"/>
          </w:tcPr>
          <w:p w14:paraId="4B50F188">
            <w:pPr>
              <w:pStyle w:val="16"/>
              <w:pageBreakBefore w:val="0"/>
              <w:wordWrap/>
              <w:bidi w:val="0"/>
              <w:adjustRightInd/>
              <w:snapToGrid/>
              <w:rPr>
                <w:color w:val="auto"/>
              </w:rPr>
            </w:pPr>
            <w:r>
              <w:rPr>
                <w:color w:val="auto"/>
              </w:rPr>
              <w:t>磁辊表面304材质</w:t>
            </w:r>
          </w:p>
        </w:tc>
        <w:tc>
          <w:tcPr>
            <w:tcW w:w="279" w:type="pct"/>
            <w:tcBorders>
              <w:tl2br w:val="nil"/>
              <w:tr2bl w:val="nil"/>
            </w:tcBorders>
            <w:noWrap w:val="0"/>
            <w:vAlign w:val="center"/>
          </w:tcPr>
          <w:p w14:paraId="410DF1A7">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D0803B1">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BE8CA30">
            <w:pPr>
              <w:pStyle w:val="16"/>
              <w:pageBreakBefore w:val="0"/>
              <w:wordWrap/>
              <w:bidi w:val="0"/>
              <w:adjustRightInd/>
              <w:snapToGrid/>
              <w:rPr>
                <w:color w:val="auto"/>
              </w:rPr>
            </w:pPr>
          </w:p>
        </w:tc>
      </w:tr>
      <w:tr w14:paraId="0841B2E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3BF3937D">
            <w:pPr>
              <w:pStyle w:val="16"/>
              <w:pageBreakBefore w:val="0"/>
              <w:wordWrap/>
              <w:bidi w:val="0"/>
              <w:adjustRightInd/>
              <w:snapToGrid/>
              <w:rPr>
                <w:color w:val="auto"/>
              </w:rPr>
            </w:pPr>
          </w:p>
        </w:tc>
        <w:tc>
          <w:tcPr>
            <w:tcW w:w="843" w:type="pct"/>
            <w:gridSpan w:val="2"/>
            <w:tcBorders>
              <w:tl2br w:val="nil"/>
              <w:tr2bl w:val="nil"/>
            </w:tcBorders>
            <w:noWrap w:val="0"/>
            <w:vAlign w:val="center"/>
          </w:tcPr>
          <w:p w14:paraId="4F4E9FAF">
            <w:pPr>
              <w:pStyle w:val="16"/>
              <w:pageBreakBefore w:val="0"/>
              <w:wordWrap/>
              <w:bidi w:val="0"/>
              <w:adjustRightInd/>
              <w:snapToGrid/>
              <w:rPr>
                <w:color w:val="auto"/>
              </w:rPr>
            </w:pPr>
            <w:r>
              <w:rPr>
                <w:color w:val="auto"/>
              </w:rPr>
              <w:t>污泥中转池</w:t>
            </w:r>
          </w:p>
        </w:tc>
        <w:tc>
          <w:tcPr>
            <w:tcW w:w="1532" w:type="pct"/>
            <w:tcBorders>
              <w:tl2br w:val="nil"/>
              <w:tr2bl w:val="nil"/>
            </w:tcBorders>
            <w:noWrap w:val="0"/>
            <w:vAlign w:val="center"/>
          </w:tcPr>
          <w:p w14:paraId="52931694">
            <w:pPr>
              <w:pStyle w:val="16"/>
              <w:pageBreakBefore w:val="0"/>
              <w:wordWrap/>
              <w:bidi w:val="0"/>
              <w:adjustRightInd/>
              <w:snapToGrid/>
              <w:rPr>
                <w:color w:val="auto"/>
              </w:rPr>
            </w:pPr>
            <w:r>
              <w:rPr>
                <w:color w:val="auto"/>
              </w:rPr>
              <w:t>设备外形尺寸</w:t>
            </w:r>
            <w:r>
              <w:rPr>
                <w:rFonts w:hint="eastAsia"/>
                <w:color w:val="auto"/>
                <w:lang w:eastAsia="zh-CN"/>
              </w:rPr>
              <w:t>：</w:t>
            </w:r>
            <w:r>
              <w:rPr>
                <w:color w:val="auto"/>
              </w:rPr>
              <w:t>900×900×1700mm</w:t>
            </w:r>
            <w:r>
              <w:rPr>
                <w:rFonts w:hint="eastAsia"/>
                <w:color w:val="auto"/>
                <w:lang w:eastAsia="zh-CN"/>
              </w:rPr>
              <w:t>，</w:t>
            </w:r>
            <w:r>
              <w:rPr>
                <w:color w:val="auto"/>
              </w:rPr>
              <w:t>含液位控制</w:t>
            </w:r>
          </w:p>
        </w:tc>
        <w:tc>
          <w:tcPr>
            <w:tcW w:w="612" w:type="pct"/>
            <w:tcBorders>
              <w:tl2br w:val="nil"/>
              <w:tr2bl w:val="nil"/>
            </w:tcBorders>
            <w:noWrap w:val="0"/>
            <w:vAlign w:val="center"/>
          </w:tcPr>
          <w:p w14:paraId="4DB38E54">
            <w:pPr>
              <w:pStyle w:val="16"/>
              <w:pageBreakBefore w:val="0"/>
              <w:wordWrap/>
              <w:bidi w:val="0"/>
              <w:adjustRightInd/>
              <w:snapToGrid/>
              <w:rPr>
                <w:color w:val="auto"/>
              </w:rPr>
            </w:pPr>
            <w:r>
              <w:rPr>
                <w:color w:val="auto"/>
              </w:rPr>
              <w:t>PP材质</w:t>
            </w:r>
          </w:p>
        </w:tc>
        <w:tc>
          <w:tcPr>
            <w:tcW w:w="279" w:type="pct"/>
            <w:tcBorders>
              <w:tl2br w:val="nil"/>
              <w:tr2bl w:val="nil"/>
            </w:tcBorders>
            <w:noWrap w:val="0"/>
            <w:vAlign w:val="center"/>
          </w:tcPr>
          <w:p w14:paraId="166B8CCA">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0975057">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7A62621C">
            <w:pPr>
              <w:pStyle w:val="16"/>
              <w:pageBreakBefore w:val="0"/>
              <w:wordWrap/>
              <w:bidi w:val="0"/>
              <w:adjustRightInd/>
              <w:snapToGrid/>
              <w:rPr>
                <w:color w:val="auto"/>
              </w:rPr>
            </w:pPr>
          </w:p>
        </w:tc>
      </w:tr>
      <w:tr w14:paraId="043EE22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3A2D9802">
            <w:pPr>
              <w:pStyle w:val="16"/>
              <w:pageBreakBefore w:val="0"/>
              <w:wordWrap/>
              <w:bidi w:val="0"/>
              <w:adjustRightInd/>
              <w:snapToGrid/>
              <w:rPr>
                <w:color w:val="auto"/>
              </w:rPr>
            </w:pPr>
          </w:p>
        </w:tc>
        <w:tc>
          <w:tcPr>
            <w:tcW w:w="843" w:type="pct"/>
            <w:gridSpan w:val="2"/>
            <w:tcBorders>
              <w:tl2br w:val="nil"/>
              <w:tr2bl w:val="nil"/>
            </w:tcBorders>
            <w:noWrap w:val="0"/>
            <w:vAlign w:val="center"/>
          </w:tcPr>
          <w:p w14:paraId="776C73DA">
            <w:pPr>
              <w:pStyle w:val="16"/>
              <w:pageBreakBefore w:val="0"/>
              <w:wordWrap/>
              <w:bidi w:val="0"/>
              <w:adjustRightInd/>
              <w:snapToGrid/>
              <w:rPr>
                <w:color w:val="auto"/>
              </w:rPr>
            </w:pPr>
            <w:r>
              <w:rPr>
                <w:color w:val="auto"/>
              </w:rPr>
              <w:t>污泥泵</w:t>
            </w:r>
          </w:p>
        </w:tc>
        <w:tc>
          <w:tcPr>
            <w:tcW w:w="1532" w:type="pct"/>
            <w:tcBorders>
              <w:tl2br w:val="nil"/>
              <w:tr2bl w:val="nil"/>
            </w:tcBorders>
            <w:noWrap w:val="0"/>
            <w:vAlign w:val="center"/>
          </w:tcPr>
          <w:p w14:paraId="2F26CF89">
            <w:pPr>
              <w:pStyle w:val="16"/>
              <w:pageBreakBefore w:val="0"/>
              <w:wordWrap/>
              <w:bidi w:val="0"/>
              <w:adjustRightInd/>
              <w:snapToGrid/>
              <w:rPr>
                <w:color w:val="auto"/>
              </w:rPr>
            </w:pPr>
            <w:r>
              <w:rPr>
                <w:color w:val="auto"/>
              </w:rPr>
              <w:t>设备外形尺寸</w:t>
            </w:r>
            <w:r>
              <w:rPr>
                <w:rFonts w:hint="eastAsia"/>
                <w:color w:val="auto"/>
                <w:lang w:eastAsia="zh-CN"/>
              </w:rPr>
              <w:t>：</w:t>
            </w:r>
            <w:r>
              <w:rPr>
                <w:color w:val="auto"/>
              </w:rPr>
              <w:t>900×900×1700mm</w:t>
            </w:r>
            <w:r>
              <w:rPr>
                <w:rFonts w:hint="eastAsia"/>
                <w:color w:val="auto"/>
                <w:lang w:eastAsia="zh-CN"/>
              </w:rPr>
              <w:t>，</w:t>
            </w:r>
            <w:r>
              <w:rPr>
                <w:color w:val="auto"/>
              </w:rPr>
              <w:t>含液位控制</w:t>
            </w:r>
          </w:p>
        </w:tc>
        <w:tc>
          <w:tcPr>
            <w:tcW w:w="612" w:type="pct"/>
            <w:tcBorders>
              <w:tl2br w:val="nil"/>
              <w:tr2bl w:val="nil"/>
            </w:tcBorders>
            <w:noWrap w:val="0"/>
            <w:vAlign w:val="center"/>
          </w:tcPr>
          <w:p w14:paraId="63A331A0">
            <w:pPr>
              <w:pStyle w:val="16"/>
              <w:pageBreakBefore w:val="0"/>
              <w:wordWrap/>
              <w:bidi w:val="0"/>
              <w:adjustRightInd/>
              <w:snapToGrid/>
              <w:rPr>
                <w:color w:val="auto"/>
              </w:rPr>
            </w:pPr>
            <w:r>
              <w:rPr>
                <w:color w:val="auto"/>
              </w:rPr>
              <w:t>PP材质</w:t>
            </w:r>
          </w:p>
        </w:tc>
        <w:tc>
          <w:tcPr>
            <w:tcW w:w="279" w:type="pct"/>
            <w:tcBorders>
              <w:tl2br w:val="nil"/>
              <w:tr2bl w:val="nil"/>
            </w:tcBorders>
            <w:noWrap w:val="0"/>
            <w:vAlign w:val="center"/>
          </w:tcPr>
          <w:p w14:paraId="59943B57">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1B5A92E">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630B5BED">
            <w:pPr>
              <w:pStyle w:val="16"/>
              <w:pageBreakBefore w:val="0"/>
              <w:wordWrap/>
              <w:bidi w:val="0"/>
              <w:adjustRightInd/>
              <w:snapToGrid/>
              <w:rPr>
                <w:color w:val="auto"/>
              </w:rPr>
            </w:pPr>
          </w:p>
        </w:tc>
      </w:tr>
      <w:tr w14:paraId="4FE054B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3AAB34E6">
            <w:pPr>
              <w:pStyle w:val="16"/>
              <w:pageBreakBefore w:val="0"/>
              <w:wordWrap/>
              <w:bidi w:val="0"/>
              <w:adjustRightInd/>
              <w:snapToGrid/>
              <w:rPr>
                <w:color w:val="auto"/>
              </w:rPr>
            </w:pPr>
          </w:p>
        </w:tc>
        <w:tc>
          <w:tcPr>
            <w:tcW w:w="843" w:type="pct"/>
            <w:gridSpan w:val="2"/>
            <w:tcBorders>
              <w:tl2br w:val="nil"/>
              <w:tr2bl w:val="nil"/>
            </w:tcBorders>
            <w:noWrap w:val="0"/>
            <w:vAlign w:val="center"/>
          </w:tcPr>
          <w:p w14:paraId="0E64E593">
            <w:pPr>
              <w:pStyle w:val="16"/>
              <w:pageBreakBefore w:val="0"/>
              <w:wordWrap/>
              <w:bidi w:val="0"/>
              <w:adjustRightInd/>
              <w:snapToGrid/>
              <w:rPr>
                <w:color w:val="auto"/>
              </w:rPr>
            </w:pPr>
            <w:r>
              <w:rPr>
                <w:color w:val="auto"/>
              </w:rPr>
              <w:t>清水自吸泵</w:t>
            </w:r>
          </w:p>
        </w:tc>
        <w:tc>
          <w:tcPr>
            <w:tcW w:w="1532" w:type="pct"/>
            <w:tcBorders>
              <w:tl2br w:val="nil"/>
              <w:tr2bl w:val="nil"/>
            </w:tcBorders>
            <w:noWrap w:val="0"/>
            <w:vAlign w:val="center"/>
          </w:tcPr>
          <w:p w14:paraId="73561BB0">
            <w:pPr>
              <w:pStyle w:val="16"/>
              <w:pageBreakBefore w:val="0"/>
              <w:wordWrap/>
              <w:bidi w:val="0"/>
              <w:adjustRightInd/>
              <w:snapToGrid/>
              <w:rPr>
                <w:color w:val="auto"/>
              </w:rPr>
            </w:pPr>
            <w:r>
              <w:rPr>
                <w:color w:val="auto"/>
              </w:rPr>
              <w:t>型式</w:t>
            </w:r>
            <w:r>
              <w:rPr>
                <w:rFonts w:hint="eastAsia"/>
                <w:color w:val="auto"/>
                <w:lang w:eastAsia="zh-CN"/>
              </w:rPr>
              <w:t>：</w:t>
            </w:r>
            <w:r>
              <w:rPr>
                <w:color w:val="auto"/>
              </w:rPr>
              <w:t>转子泵</w:t>
            </w:r>
            <w:r>
              <w:rPr>
                <w:rFonts w:hint="eastAsia"/>
                <w:color w:val="auto"/>
                <w:lang w:eastAsia="zh-CN"/>
              </w:rPr>
              <w:t>：</w:t>
            </w:r>
            <w:r>
              <w:rPr>
                <w:color w:val="auto"/>
              </w:rPr>
              <w:t>流量5</w:t>
            </w:r>
            <w:r>
              <w:rPr>
                <w:rFonts w:hint="eastAsia"/>
                <w:color w:val="auto"/>
                <w:lang w:eastAsia="zh-CN"/>
              </w:rPr>
              <w:t>m³</w:t>
            </w:r>
            <w:r>
              <w:rPr>
                <w:color w:val="auto"/>
              </w:rPr>
              <w:t>/h</w:t>
            </w:r>
            <w:r>
              <w:rPr>
                <w:rFonts w:hint="eastAsia"/>
                <w:color w:val="auto"/>
                <w:lang w:eastAsia="zh-CN"/>
              </w:rPr>
              <w:t>，</w:t>
            </w:r>
            <w:r>
              <w:rPr>
                <w:color w:val="auto"/>
              </w:rPr>
              <w:t>扬程</w:t>
            </w:r>
            <w:r>
              <w:rPr>
                <w:rFonts w:hint="eastAsia"/>
                <w:color w:val="auto"/>
                <w:lang w:eastAsia="zh-CN"/>
              </w:rPr>
              <w:t>：</w:t>
            </w:r>
            <w:r>
              <w:rPr>
                <w:color w:val="auto"/>
              </w:rPr>
              <w:t>5mP=</w:t>
            </w:r>
            <w:r>
              <w:rPr>
                <w:rFonts w:hint="eastAsia"/>
                <w:color w:val="auto"/>
                <w:lang w:eastAsia="zh-CN"/>
              </w:rPr>
              <w:t>1</w:t>
            </w:r>
            <w:r>
              <w:rPr>
                <w:color w:val="auto"/>
              </w:rPr>
              <w:t>.5kW</w:t>
            </w:r>
            <w:r>
              <w:rPr>
                <w:rFonts w:hint="eastAsia"/>
                <w:color w:val="auto"/>
                <w:lang w:eastAsia="zh-CN"/>
              </w:rPr>
              <w:t>，</w:t>
            </w:r>
            <w:r>
              <w:rPr>
                <w:color w:val="auto"/>
              </w:rPr>
              <w:t>进出口</w:t>
            </w:r>
            <w:r>
              <w:rPr>
                <w:rFonts w:hint="eastAsia"/>
                <w:color w:val="auto"/>
                <w:lang w:eastAsia="zh-CN"/>
              </w:rPr>
              <w:t>：</w:t>
            </w:r>
            <w:r>
              <w:rPr>
                <w:color w:val="auto"/>
              </w:rPr>
              <w:t>DN40</w:t>
            </w:r>
          </w:p>
        </w:tc>
        <w:tc>
          <w:tcPr>
            <w:tcW w:w="612" w:type="pct"/>
            <w:tcBorders>
              <w:tl2br w:val="nil"/>
              <w:tr2bl w:val="nil"/>
            </w:tcBorders>
            <w:noWrap w:val="0"/>
            <w:vAlign w:val="center"/>
          </w:tcPr>
          <w:p w14:paraId="775C449F">
            <w:pPr>
              <w:pStyle w:val="16"/>
              <w:pageBreakBefore w:val="0"/>
              <w:wordWrap/>
              <w:bidi w:val="0"/>
              <w:adjustRightInd/>
              <w:snapToGrid/>
              <w:rPr>
                <w:color w:val="auto"/>
              </w:rPr>
            </w:pPr>
            <w:r>
              <w:rPr>
                <w:color w:val="auto"/>
              </w:rPr>
              <w:t>变频调速</w:t>
            </w:r>
            <w:r>
              <w:rPr>
                <w:rFonts w:hint="eastAsia"/>
                <w:color w:val="auto"/>
                <w:lang w:eastAsia="zh-CN"/>
              </w:rPr>
              <w:t>，</w:t>
            </w:r>
            <w:r>
              <w:rPr>
                <w:color w:val="auto"/>
              </w:rPr>
              <w:t>立式泵</w:t>
            </w:r>
          </w:p>
        </w:tc>
        <w:tc>
          <w:tcPr>
            <w:tcW w:w="279" w:type="pct"/>
            <w:tcBorders>
              <w:tl2br w:val="nil"/>
              <w:tr2bl w:val="nil"/>
            </w:tcBorders>
            <w:noWrap w:val="0"/>
            <w:vAlign w:val="center"/>
          </w:tcPr>
          <w:p w14:paraId="0341C4FD">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2F8A27E">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5582971E">
            <w:pPr>
              <w:pStyle w:val="16"/>
              <w:pageBreakBefore w:val="0"/>
              <w:wordWrap/>
              <w:bidi w:val="0"/>
              <w:adjustRightInd/>
              <w:snapToGrid/>
              <w:rPr>
                <w:color w:val="auto"/>
              </w:rPr>
            </w:pPr>
          </w:p>
        </w:tc>
      </w:tr>
      <w:tr w14:paraId="3588F7F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E24C5B5">
            <w:pPr>
              <w:pStyle w:val="16"/>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203C3BC6">
            <w:pPr>
              <w:pStyle w:val="16"/>
              <w:pageBreakBefore w:val="0"/>
              <w:wordWrap/>
              <w:bidi w:val="0"/>
              <w:adjustRightInd/>
              <w:snapToGrid/>
              <w:rPr>
                <w:color w:val="auto"/>
              </w:rPr>
            </w:pPr>
            <w:r>
              <w:rPr>
                <w:color w:val="auto"/>
              </w:rPr>
              <w:t>PAC溶液制备罐</w:t>
            </w:r>
          </w:p>
        </w:tc>
        <w:tc>
          <w:tcPr>
            <w:tcW w:w="1532" w:type="pct"/>
            <w:tcBorders>
              <w:tl2br w:val="nil"/>
              <w:tr2bl w:val="nil"/>
            </w:tcBorders>
            <w:noWrap w:val="0"/>
            <w:vAlign w:val="center"/>
          </w:tcPr>
          <w:p w14:paraId="2B34DD20">
            <w:pPr>
              <w:pStyle w:val="16"/>
              <w:pageBreakBefore w:val="0"/>
              <w:wordWrap/>
              <w:bidi w:val="0"/>
              <w:adjustRightInd/>
              <w:snapToGrid/>
              <w:rPr>
                <w:rFonts w:hint="eastAsia"/>
                <w:color w:val="auto"/>
                <w:lang w:eastAsia="zh-CN"/>
              </w:rPr>
            </w:pPr>
            <w:r>
              <w:rPr>
                <w:color w:val="auto"/>
              </w:rPr>
              <w:t>罐体2200×1000×1900mm功</w:t>
            </w:r>
            <w:r>
              <w:rPr>
                <w:rFonts w:hint="eastAsia"/>
                <w:color w:val="auto"/>
                <w:lang w:eastAsia="zh-CN"/>
              </w:rPr>
              <w:t>率</w:t>
            </w:r>
            <w:r>
              <w:rPr>
                <w:color w:val="auto"/>
              </w:rPr>
              <w:t>0.75kW</w:t>
            </w:r>
            <w:r>
              <w:rPr>
                <w:rFonts w:hint="eastAsia"/>
                <w:color w:val="auto"/>
                <w:lang w:eastAsia="zh-CN"/>
              </w:rPr>
              <w:t>，</w:t>
            </w:r>
          </w:p>
        </w:tc>
        <w:tc>
          <w:tcPr>
            <w:tcW w:w="612" w:type="pct"/>
            <w:tcBorders>
              <w:tl2br w:val="nil"/>
              <w:tr2bl w:val="nil"/>
            </w:tcBorders>
            <w:noWrap w:val="0"/>
            <w:vAlign w:val="center"/>
          </w:tcPr>
          <w:p w14:paraId="46B9BC37">
            <w:pPr>
              <w:pStyle w:val="16"/>
              <w:pageBreakBefore w:val="0"/>
              <w:wordWrap/>
              <w:bidi w:val="0"/>
              <w:adjustRightInd/>
              <w:snapToGrid/>
              <w:rPr>
                <w:color w:val="auto"/>
              </w:rPr>
            </w:pPr>
            <w:r>
              <w:rPr>
                <w:color w:val="auto"/>
              </w:rPr>
              <w:t>PP材质</w:t>
            </w:r>
          </w:p>
        </w:tc>
        <w:tc>
          <w:tcPr>
            <w:tcW w:w="279" w:type="pct"/>
            <w:tcBorders>
              <w:tl2br w:val="nil"/>
              <w:tr2bl w:val="nil"/>
            </w:tcBorders>
            <w:noWrap w:val="0"/>
            <w:vAlign w:val="center"/>
          </w:tcPr>
          <w:p w14:paraId="13E50804">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6E631DE">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5846C08">
            <w:pPr>
              <w:pStyle w:val="16"/>
              <w:pageBreakBefore w:val="0"/>
              <w:wordWrap/>
              <w:bidi w:val="0"/>
              <w:adjustRightInd/>
              <w:snapToGrid/>
              <w:rPr>
                <w:color w:val="auto"/>
              </w:rPr>
            </w:pPr>
          </w:p>
        </w:tc>
      </w:tr>
      <w:tr w14:paraId="5B09782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E0255D8">
            <w:pPr>
              <w:pStyle w:val="16"/>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52793FAD">
            <w:pPr>
              <w:pStyle w:val="16"/>
              <w:pageBreakBefore w:val="0"/>
              <w:wordWrap/>
              <w:bidi w:val="0"/>
              <w:adjustRightInd/>
              <w:snapToGrid/>
              <w:rPr>
                <w:color w:val="auto"/>
              </w:rPr>
            </w:pPr>
            <w:r>
              <w:rPr>
                <w:color w:val="auto"/>
              </w:rPr>
              <w:t>PAC计量泵</w:t>
            </w:r>
          </w:p>
        </w:tc>
        <w:tc>
          <w:tcPr>
            <w:tcW w:w="1532" w:type="pct"/>
            <w:tcBorders>
              <w:tl2br w:val="nil"/>
              <w:tr2bl w:val="nil"/>
            </w:tcBorders>
            <w:noWrap w:val="0"/>
            <w:vAlign w:val="center"/>
          </w:tcPr>
          <w:p w14:paraId="1019A209">
            <w:pPr>
              <w:pStyle w:val="16"/>
              <w:pageBreakBefore w:val="0"/>
              <w:wordWrap/>
              <w:bidi w:val="0"/>
              <w:adjustRightInd/>
              <w:snapToGrid/>
              <w:rPr>
                <w:color w:val="auto"/>
              </w:rPr>
            </w:pPr>
            <w:r>
              <w:rPr>
                <w:color w:val="auto"/>
              </w:rPr>
              <w:t>型式</w:t>
            </w:r>
            <w:r>
              <w:rPr>
                <w:rFonts w:hint="eastAsia"/>
                <w:color w:val="auto"/>
                <w:lang w:eastAsia="zh-CN"/>
              </w:rPr>
              <w:t>：</w:t>
            </w:r>
            <w:r>
              <w:rPr>
                <w:color w:val="auto"/>
              </w:rPr>
              <w:t>机械隔膜泵</w:t>
            </w:r>
            <w:r>
              <w:rPr>
                <w:rFonts w:hint="eastAsia"/>
                <w:color w:val="auto"/>
                <w:lang w:eastAsia="zh-CN"/>
              </w:rPr>
              <w:t>，</w:t>
            </w:r>
            <w:r>
              <w:rPr>
                <w:color w:val="auto"/>
              </w:rPr>
              <w:t>流量</w:t>
            </w:r>
            <w:r>
              <w:rPr>
                <w:rFonts w:hint="eastAsia"/>
                <w:color w:val="auto"/>
                <w:lang w:eastAsia="zh-CN"/>
              </w:rPr>
              <w:t>：</w:t>
            </w:r>
            <w:r>
              <w:rPr>
                <w:color w:val="auto"/>
              </w:rPr>
              <w:t>237L/h</w:t>
            </w:r>
            <w:r>
              <w:rPr>
                <w:rFonts w:hint="eastAsia"/>
                <w:color w:val="auto"/>
                <w:lang w:eastAsia="zh-CN"/>
              </w:rPr>
              <w:t>，</w:t>
            </w:r>
            <w:r>
              <w:rPr>
                <w:color w:val="auto"/>
              </w:rPr>
              <w:t>压力</w:t>
            </w:r>
            <w:r>
              <w:rPr>
                <w:rFonts w:hint="eastAsia"/>
                <w:color w:val="auto"/>
                <w:lang w:eastAsia="zh-CN"/>
              </w:rPr>
              <w:t>：</w:t>
            </w:r>
            <w:r>
              <w:rPr>
                <w:color w:val="auto"/>
              </w:rPr>
              <w:t>0.7MPa</w:t>
            </w:r>
            <w:r>
              <w:rPr>
                <w:rFonts w:hint="eastAsia"/>
                <w:color w:val="auto"/>
                <w:lang w:eastAsia="zh-CN"/>
              </w:rPr>
              <w:t>，</w:t>
            </w:r>
            <w:r>
              <w:rPr>
                <w:color w:val="auto"/>
              </w:rPr>
              <w:t>功</w:t>
            </w:r>
            <w:r>
              <w:rPr>
                <w:rFonts w:hint="eastAsia"/>
                <w:color w:val="auto"/>
                <w:lang w:eastAsia="zh-CN"/>
              </w:rPr>
              <w:t>率</w:t>
            </w:r>
            <w:r>
              <w:rPr>
                <w:color w:val="auto"/>
              </w:rPr>
              <w:t>0.25kW</w:t>
            </w:r>
          </w:p>
        </w:tc>
        <w:tc>
          <w:tcPr>
            <w:tcW w:w="612" w:type="pct"/>
            <w:tcBorders>
              <w:tl2br w:val="nil"/>
              <w:tr2bl w:val="nil"/>
            </w:tcBorders>
            <w:noWrap w:val="0"/>
            <w:vAlign w:val="center"/>
          </w:tcPr>
          <w:p w14:paraId="3BB2F80A">
            <w:pPr>
              <w:pStyle w:val="16"/>
              <w:pageBreakBefore w:val="0"/>
              <w:wordWrap/>
              <w:bidi w:val="0"/>
              <w:adjustRightInd/>
              <w:snapToGrid/>
              <w:rPr>
                <w:color w:val="auto"/>
              </w:rPr>
            </w:pPr>
          </w:p>
        </w:tc>
        <w:tc>
          <w:tcPr>
            <w:tcW w:w="279" w:type="pct"/>
            <w:tcBorders>
              <w:tl2br w:val="nil"/>
              <w:tr2bl w:val="nil"/>
            </w:tcBorders>
            <w:noWrap w:val="0"/>
            <w:vAlign w:val="center"/>
          </w:tcPr>
          <w:p w14:paraId="38A31376">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7912504">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13A14F84">
            <w:pPr>
              <w:pStyle w:val="16"/>
              <w:pageBreakBefore w:val="0"/>
              <w:wordWrap/>
              <w:bidi w:val="0"/>
              <w:adjustRightInd/>
              <w:snapToGrid/>
              <w:rPr>
                <w:color w:val="auto"/>
              </w:rPr>
            </w:pPr>
            <w:r>
              <w:rPr>
                <w:color w:val="auto"/>
              </w:rPr>
              <w:t>一用一备</w:t>
            </w:r>
          </w:p>
        </w:tc>
      </w:tr>
      <w:tr w14:paraId="56C91D2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00FED79">
            <w:pPr>
              <w:pStyle w:val="16"/>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3788DE0E">
            <w:pPr>
              <w:pStyle w:val="16"/>
              <w:pageBreakBefore w:val="0"/>
              <w:wordWrap/>
              <w:bidi w:val="0"/>
              <w:adjustRightInd/>
              <w:snapToGrid/>
              <w:rPr>
                <w:color w:val="auto"/>
              </w:rPr>
            </w:pPr>
            <w:r>
              <w:rPr>
                <w:color w:val="auto"/>
              </w:rPr>
              <w:t>PAM溶液自动投加装置</w:t>
            </w:r>
          </w:p>
        </w:tc>
        <w:tc>
          <w:tcPr>
            <w:tcW w:w="1532" w:type="pct"/>
            <w:tcBorders>
              <w:tl2br w:val="nil"/>
              <w:tr2bl w:val="nil"/>
            </w:tcBorders>
            <w:noWrap w:val="0"/>
            <w:vAlign w:val="center"/>
          </w:tcPr>
          <w:p w14:paraId="5B5AC62D">
            <w:pPr>
              <w:pStyle w:val="16"/>
              <w:pageBreakBefore w:val="0"/>
              <w:wordWrap/>
              <w:bidi w:val="0"/>
              <w:adjustRightInd/>
              <w:snapToGrid/>
              <w:rPr>
                <w:color w:val="auto"/>
              </w:rPr>
            </w:pPr>
            <w:r>
              <w:rPr>
                <w:color w:val="auto"/>
              </w:rPr>
              <w:t>设备制备能力</w:t>
            </w:r>
            <w:r>
              <w:rPr>
                <w:rFonts w:hint="eastAsia"/>
                <w:color w:val="auto"/>
                <w:lang w:eastAsia="zh-CN"/>
              </w:rPr>
              <w:t>：</w:t>
            </w:r>
            <w:r>
              <w:rPr>
                <w:color w:val="auto"/>
              </w:rPr>
              <w:t>500L/h</w:t>
            </w:r>
            <w:r>
              <w:rPr>
                <w:rFonts w:hint="eastAsia"/>
                <w:color w:val="auto"/>
                <w:lang w:eastAsia="zh-CN"/>
              </w:rPr>
              <w:t>，</w:t>
            </w:r>
            <w:r>
              <w:rPr>
                <w:color w:val="auto"/>
              </w:rPr>
              <w:t>功</w:t>
            </w:r>
            <w:r>
              <w:rPr>
                <w:rFonts w:hint="eastAsia"/>
                <w:color w:val="auto"/>
                <w:lang w:eastAsia="zh-CN"/>
              </w:rPr>
              <w:t>率1</w:t>
            </w:r>
            <w:r>
              <w:rPr>
                <w:color w:val="auto"/>
              </w:rPr>
              <w:t>.38kW</w:t>
            </w:r>
            <w:r>
              <w:rPr>
                <w:rFonts w:hint="eastAsia"/>
                <w:color w:val="auto"/>
                <w:lang w:eastAsia="zh-CN"/>
              </w:rPr>
              <w:t>，</w:t>
            </w:r>
            <w:r>
              <w:rPr>
                <w:color w:val="auto"/>
              </w:rPr>
              <w:t>自带电控</w:t>
            </w:r>
          </w:p>
        </w:tc>
        <w:tc>
          <w:tcPr>
            <w:tcW w:w="612" w:type="pct"/>
            <w:tcBorders>
              <w:tl2br w:val="nil"/>
              <w:tr2bl w:val="nil"/>
            </w:tcBorders>
            <w:noWrap w:val="0"/>
            <w:vAlign w:val="center"/>
          </w:tcPr>
          <w:p w14:paraId="7BEDA8A3">
            <w:pPr>
              <w:pStyle w:val="16"/>
              <w:pageBreakBefore w:val="0"/>
              <w:wordWrap/>
              <w:bidi w:val="0"/>
              <w:adjustRightInd/>
              <w:snapToGrid/>
              <w:rPr>
                <w:color w:val="auto"/>
              </w:rPr>
            </w:pPr>
            <w:r>
              <w:rPr>
                <w:color w:val="auto"/>
              </w:rPr>
              <w:t>箱体不锈钢</w:t>
            </w:r>
          </w:p>
        </w:tc>
        <w:tc>
          <w:tcPr>
            <w:tcW w:w="279" w:type="pct"/>
            <w:tcBorders>
              <w:tl2br w:val="nil"/>
              <w:tr2bl w:val="nil"/>
            </w:tcBorders>
            <w:noWrap w:val="0"/>
            <w:vAlign w:val="center"/>
          </w:tcPr>
          <w:p w14:paraId="1FA9DDB9">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BAEB935">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47CD852">
            <w:pPr>
              <w:pStyle w:val="16"/>
              <w:pageBreakBefore w:val="0"/>
              <w:wordWrap/>
              <w:bidi w:val="0"/>
              <w:adjustRightInd/>
              <w:snapToGrid/>
              <w:rPr>
                <w:color w:val="auto"/>
              </w:rPr>
            </w:pPr>
          </w:p>
        </w:tc>
      </w:tr>
      <w:tr w14:paraId="70E7188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42A3002">
            <w:pPr>
              <w:pStyle w:val="16"/>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542875D0">
            <w:pPr>
              <w:pStyle w:val="16"/>
              <w:pageBreakBefore w:val="0"/>
              <w:wordWrap/>
              <w:bidi w:val="0"/>
              <w:adjustRightInd/>
              <w:snapToGrid/>
              <w:rPr>
                <w:color w:val="auto"/>
              </w:rPr>
            </w:pPr>
            <w:r>
              <w:rPr>
                <w:color w:val="auto"/>
              </w:rPr>
              <w:t>PAM计量泵</w:t>
            </w:r>
          </w:p>
        </w:tc>
        <w:tc>
          <w:tcPr>
            <w:tcW w:w="1532" w:type="pct"/>
            <w:tcBorders>
              <w:tl2br w:val="nil"/>
              <w:tr2bl w:val="nil"/>
            </w:tcBorders>
            <w:noWrap w:val="0"/>
            <w:vAlign w:val="center"/>
          </w:tcPr>
          <w:p w14:paraId="0159DD5D">
            <w:pPr>
              <w:pStyle w:val="16"/>
              <w:pageBreakBefore w:val="0"/>
              <w:wordWrap/>
              <w:bidi w:val="0"/>
              <w:adjustRightInd/>
              <w:snapToGrid/>
              <w:rPr>
                <w:color w:val="auto"/>
              </w:rPr>
            </w:pPr>
            <w:r>
              <w:rPr>
                <w:color w:val="auto"/>
              </w:rPr>
              <w:t>型式</w:t>
            </w:r>
            <w:r>
              <w:rPr>
                <w:rFonts w:hint="eastAsia"/>
                <w:color w:val="auto"/>
                <w:lang w:eastAsia="zh-CN"/>
              </w:rPr>
              <w:t>：</w:t>
            </w:r>
            <w:r>
              <w:rPr>
                <w:color w:val="auto"/>
              </w:rPr>
              <w:t>机械隔膜泵</w:t>
            </w:r>
            <w:r>
              <w:rPr>
                <w:rFonts w:hint="eastAsia"/>
                <w:color w:val="auto"/>
                <w:lang w:eastAsia="zh-CN"/>
              </w:rPr>
              <w:t>，</w:t>
            </w:r>
            <w:r>
              <w:rPr>
                <w:color w:val="auto"/>
              </w:rPr>
              <w:t>流量</w:t>
            </w:r>
            <w:r>
              <w:rPr>
                <w:rFonts w:hint="eastAsia"/>
                <w:color w:val="auto"/>
                <w:lang w:eastAsia="zh-CN"/>
              </w:rPr>
              <w:t>：</w:t>
            </w:r>
            <w:r>
              <w:rPr>
                <w:color w:val="auto"/>
              </w:rPr>
              <w:t>464l/h</w:t>
            </w:r>
            <w:r>
              <w:rPr>
                <w:rFonts w:hint="eastAsia"/>
                <w:color w:val="auto"/>
                <w:lang w:eastAsia="zh-CN"/>
              </w:rPr>
              <w:t>，</w:t>
            </w:r>
            <w:r>
              <w:rPr>
                <w:color w:val="auto"/>
              </w:rPr>
              <w:t>压力0.7MPa</w:t>
            </w:r>
            <w:r>
              <w:rPr>
                <w:rFonts w:hint="eastAsia"/>
                <w:color w:val="auto"/>
                <w:lang w:eastAsia="zh-CN"/>
              </w:rPr>
              <w:t>，</w:t>
            </w:r>
            <w:r>
              <w:rPr>
                <w:color w:val="auto"/>
              </w:rPr>
              <w:t>功</w:t>
            </w:r>
            <w:r>
              <w:rPr>
                <w:rFonts w:hint="eastAsia"/>
                <w:color w:val="auto"/>
                <w:lang w:eastAsia="zh-CN"/>
              </w:rPr>
              <w:t>率</w:t>
            </w:r>
            <w:r>
              <w:rPr>
                <w:color w:val="auto"/>
              </w:rPr>
              <w:t>0.55Kw</w:t>
            </w:r>
          </w:p>
        </w:tc>
        <w:tc>
          <w:tcPr>
            <w:tcW w:w="612" w:type="pct"/>
            <w:tcBorders>
              <w:tl2br w:val="nil"/>
              <w:tr2bl w:val="nil"/>
            </w:tcBorders>
            <w:noWrap w:val="0"/>
            <w:vAlign w:val="center"/>
          </w:tcPr>
          <w:p w14:paraId="088B44AC">
            <w:pPr>
              <w:pStyle w:val="16"/>
              <w:pageBreakBefore w:val="0"/>
              <w:wordWrap/>
              <w:bidi w:val="0"/>
              <w:adjustRightInd/>
              <w:snapToGrid/>
              <w:rPr>
                <w:color w:val="auto"/>
              </w:rPr>
            </w:pPr>
          </w:p>
        </w:tc>
        <w:tc>
          <w:tcPr>
            <w:tcW w:w="279" w:type="pct"/>
            <w:tcBorders>
              <w:tl2br w:val="nil"/>
              <w:tr2bl w:val="nil"/>
            </w:tcBorders>
            <w:noWrap w:val="0"/>
            <w:vAlign w:val="center"/>
          </w:tcPr>
          <w:p w14:paraId="7EDB3565">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E28C841">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40369C5D">
            <w:pPr>
              <w:pStyle w:val="16"/>
              <w:pageBreakBefore w:val="0"/>
              <w:wordWrap/>
              <w:bidi w:val="0"/>
              <w:adjustRightInd/>
              <w:snapToGrid/>
              <w:rPr>
                <w:color w:val="auto"/>
              </w:rPr>
            </w:pPr>
            <w:r>
              <w:rPr>
                <w:color w:val="auto"/>
              </w:rPr>
              <w:t>一用一备</w:t>
            </w:r>
          </w:p>
        </w:tc>
      </w:tr>
      <w:tr w14:paraId="4619FB2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8448265">
            <w:pPr>
              <w:pStyle w:val="16"/>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1451346C">
            <w:pPr>
              <w:pStyle w:val="16"/>
              <w:pageBreakBefore w:val="0"/>
              <w:wordWrap/>
              <w:bidi w:val="0"/>
              <w:adjustRightInd/>
              <w:snapToGrid/>
              <w:rPr>
                <w:color w:val="auto"/>
              </w:rPr>
            </w:pPr>
            <w:r>
              <w:rPr>
                <w:color w:val="auto"/>
              </w:rPr>
              <w:t>电动单梁悬挂起重机</w:t>
            </w:r>
          </w:p>
        </w:tc>
        <w:tc>
          <w:tcPr>
            <w:tcW w:w="1532" w:type="pct"/>
            <w:tcBorders>
              <w:tl2br w:val="nil"/>
              <w:tr2bl w:val="nil"/>
            </w:tcBorders>
            <w:noWrap w:val="0"/>
            <w:vAlign w:val="center"/>
          </w:tcPr>
          <w:p w14:paraId="2B229912">
            <w:pPr>
              <w:pStyle w:val="16"/>
              <w:pageBreakBefore w:val="0"/>
              <w:wordWrap/>
              <w:bidi w:val="0"/>
              <w:adjustRightInd/>
              <w:snapToGrid/>
              <w:rPr>
                <w:color w:val="auto"/>
              </w:rPr>
            </w:pPr>
            <w:r>
              <w:rPr>
                <w:color w:val="auto"/>
              </w:rPr>
              <w:t>L×型</w:t>
            </w:r>
            <w:r>
              <w:rPr>
                <w:rFonts w:hint="eastAsia"/>
                <w:color w:val="auto"/>
                <w:lang w:eastAsia="zh-CN"/>
              </w:rPr>
              <w:t>，</w:t>
            </w:r>
            <w:r>
              <w:rPr>
                <w:color w:val="auto"/>
              </w:rPr>
              <w:t>G=2t</w:t>
            </w:r>
            <w:r>
              <w:rPr>
                <w:rFonts w:hint="eastAsia"/>
                <w:color w:val="auto"/>
                <w:lang w:eastAsia="zh-CN"/>
              </w:rPr>
              <w:t>，</w:t>
            </w:r>
            <w:r>
              <w:rPr>
                <w:color w:val="auto"/>
              </w:rPr>
              <w:t>H=6.0m</w:t>
            </w:r>
            <w:r>
              <w:rPr>
                <w:rFonts w:hint="eastAsia"/>
                <w:color w:val="auto"/>
                <w:lang w:eastAsia="zh-CN"/>
              </w:rPr>
              <w:t>，</w:t>
            </w:r>
            <w:r>
              <w:rPr>
                <w:color w:val="auto"/>
              </w:rPr>
              <w:t>=15.05m</w:t>
            </w:r>
            <w:r>
              <w:rPr>
                <w:rFonts w:hint="eastAsia"/>
                <w:color w:val="auto"/>
                <w:lang w:eastAsia="zh-CN"/>
              </w:rPr>
              <w:t>，</w:t>
            </w:r>
            <w:r>
              <w:rPr>
                <w:color w:val="auto"/>
              </w:rPr>
              <w:t>N=2×0.8+7.5+0.8kW</w:t>
            </w:r>
          </w:p>
        </w:tc>
        <w:tc>
          <w:tcPr>
            <w:tcW w:w="612" w:type="pct"/>
            <w:tcBorders>
              <w:tl2br w:val="nil"/>
              <w:tr2bl w:val="nil"/>
            </w:tcBorders>
            <w:noWrap w:val="0"/>
            <w:vAlign w:val="center"/>
          </w:tcPr>
          <w:p w14:paraId="4F06694E">
            <w:pPr>
              <w:pStyle w:val="16"/>
              <w:pageBreakBefore w:val="0"/>
              <w:wordWrap/>
              <w:bidi w:val="0"/>
              <w:adjustRightInd/>
              <w:snapToGrid/>
              <w:rPr>
                <w:color w:val="auto"/>
              </w:rPr>
            </w:pPr>
          </w:p>
        </w:tc>
        <w:tc>
          <w:tcPr>
            <w:tcW w:w="279" w:type="pct"/>
            <w:tcBorders>
              <w:tl2br w:val="nil"/>
              <w:tr2bl w:val="nil"/>
            </w:tcBorders>
            <w:noWrap w:val="0"/>
            <w:vAlign w:val="center"/>
          </w:tcPr>
          <w:p w14:paraId="7EA8126D">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1ADFD9AF">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3C59BB75">
            <w:pPr>
              <w:pStyle w:val="16"/>
              <w:pageBreakBefore w:val="0"/>
              <w:wordWrap/>
              <w:bidi w:val="0"/>
              <w:adjustRightInd/>
              <w:snapToGrid/>
              <w:rPr>
                <w:color w:val="auto"/>
              </w:rPr>
            </w:pPr>
            <w:r>
              <w:rPr>
                <w:color w:val="auto"/>
              </w:rPr>
              <w:t>配MD15-9D型电动葫芦</w:t>
            </w:r>
          </w:p>
        </w:tc>
      </w:tr>
      <w:tr w14:paraId="1485DD9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7645CDBB">
            <w:pPr>
              <w:pStyle w:val="16"/>
              <w:pageBreakBefore w:val="0"/>
              <w:wordWrap/>
              <w:bidi w:val="0"/>
              <w:adjustRightInd/>
              <w:snapToGrid/>
              <w:jc w:val="left"/>
              <w:rPr>
                <w:color w:val="auto"/>
              </w:rPr>
            </w:pPr>
            <w:r>
              <w:rPr>
                <w:b/>
                <w:bCs/>
                <w:color w:val="auto"/>
              </w:rPr>
              <w:t>成套污泥脱水设备</w:t>
            </w:r>
          </w:p>
        </w:tc>
      </w:tr>
      <w:tr w14:paraId="739DEF1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7CD436A">
            <w:pPr>
              <w:pStyle w:val="16"/>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77FDEF43">
            <w:pPr>
              <w:pStyle w:val="16"/>
              <w:pageBreakBefore w:val="0"/>
              <w:wordWrap/>
              <w:bidi w:val="0"/>
              <w:adjustRightInd/>
              <w:snapToGrid/>
              <w:rPr>
                <w:color w:val="auto"/>
              </w:rPr>
            </w:pPr>
            <w:r>
              <w:rPr>
                <w:color w:val="auto"/>
              </w:rPr>
              <w:t>污泥进料螺杆泵</w:t>
            </w:r>
          </w:p>
        </w:tc>
        <w:tc>
          <w:tcPr>
            <w:tcW w:w="1532" w:type="pct"/>
            <w:tcBorders>
              <w:tl2br w:val="nil"/>
              <w:tr2bl w:val="nil"/>
            </w:tcBorders>
            <w:noWrap w:val="0"/>
            <w:vAlign w:val="center"/>
          </w:tcPr>
          <w:p w14:paraId="0A43036D">
            <w:pPr>
              <w:pStyle w:val="16"/>
              <w:pageBreakBefore w:val="0"/>
              <w:wordWrap/>
              <w:bidi w:val="0"/>
              <w:adjustRightInd/>
              <w:snapToGrid/>
              <w:rPr>
                <w:color w:val="auto"/>
              </w:rPr>
            </w:pPr>
            <w:r>
              <w:rPr>
                <w:color w:val="auto"/>
              </w:rPr>
              <w:t>Q=70</w:t>
            </w:r>
            <w:r>
              <w:rPr>
                <w:rFonts w:hint="eastAsia"/>
                <w:color w:val="auto"/>
                <w:lang w:eastAsia="zh-CN"/>
              </w:rPr>
              <w:t>m³</w:t>
            </w:r>
            <w:r>
              <w:rPr>
                <w:color w:val="auto"/>
              </w:rPr>
              <w:t>/h</w:t>
            </w:r>
            <w:r>
              <w:rPr>
                <w:rFonts w:hint="eastAsia"/>
                <w:color w:val="auto"/>
                <w:lang w:eastAsia="zh-CN"/>
              </w:rPr>
              <w:t>，</w:t>
            </w:r>
            <w:r>
              <w:rPr>
                <w:color w:val="auto"/>
              </w:rPr>
              <w:t>扬程H=15m</w:t>
            </w:r>
            <w:r>
              <w:rPr>
                <w:rFonts w:hint="eastAsia"/>
                <w:color w:val="auto"/>
                <w:lang w:eastAsia="zh-CN"/>
              </w:rPr>
              <w:t>，</w:t>
            </w:r>
            <w:r>
              <w:rPr>
                <w:color w:val="auto"/>
              </w:rPr>
              <w:t>N=18.5kW</w:t>
            </w:r>
          </w:p>
        </w:tc>
        <w:tc>
          <w:tcPr>
            <w:tcW w:w="612" w:type="pct"/>
            <w:tcBorders>
              <w:tl2br w:val="nil"/>
              <w:tr2bl w:val="nil"/>
            </w:tcBorders>
            <w:noWrap w:val="0"/>
            <w:vAlign w:val="center"/>
          </w:tcPr>
          <w:p w14:paraId="0DD7A6C2">
            <w:pPr>
              <w:pStyle w:val="16"/>
              <w:pageBreakBefore w:val="0"/>
              <w:wordWrap/>
              <w:bidi w:val="0"/>
              <w:adjustRightInd/>
              <w:snapToGrid/>
              <w:rPr>
                <w:color w:val="auto"/>
              </w:rPr>
            </w:pPr>
          </w:p>
        </w:tc>
        <w:tc>
          <w:tcPr>
            <w:tcW w:w="279" w:type="pct"/>
            <w:tcBorders>
              <w:tl2br w:val="nil"/>
              <w:tr2bl w:val="nil"/>
            </w:tcBorders>
            <w:noWrap w:val="0"/>
            <w:vAlign w:val="center"/>
          </w:tcPr>
          <w:p w14:paraId="402C92D9">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8CA3B47">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4C14C725">
            <w:pPr>
              <w:pStyle w:val="16"/>
              <w:pageBreakBefore w:val="0"/>
              <w:wordWrap/>
              <w:bidi w:val="0"/>
              <w:adjustRightInd/>
              <w:snapToGrid/>
              <w:rPr>
                <w:color w:val="auto"/>
              </w:rPr>
            </w:pPr>
            <w:r>
              <w:rPr>
                <w:color w:val="auto"/>
              </w:rPr>
              <w:t>2用</w:t>
            </w:r>
            <w:r>
              <w:rPr>
                <w:rFonts w:hint="eastAsia"/>
                <w:color w:val="auto"/>
                <w:lang w:eastAsia="zh-CN"/>
              </w:rPr>
              <w:t>1</w:t>
            </w:r>
            <w:r>
              <w:rPr>
                <w:color w:val="auto"/>
              </w:rPr>
              <w:t>备</w:t>
            </w:r>
            <w:r>
              <w:rPr>
                <w:rFonts w:hint="eastAsia"/>
                <w:color w:val="auto"/>
                <w:lang w:eastAsia="zh-CN"/>
              </w:rPr>
              <w:t>；</w:t>
            </w:r>
            <w:r>
              <w:rPr>
                <w:color w:val="auto"/>
              </w:rPr>
              <w:t>与转鼓浓缩机配套</w:t>
            </w:r>
            <w:r>
              <w:rPr>
                <w:rFonts w:hint="eastAsia"/>
                <w:color w:val="auto"/>
                <w:lang w:eastAsia="zh-CN"/>
              </w:rPr>
              <w:t>，</w:t>
            </w:r>
            <w:r>
              <w:rPr>
                <w:color w:val="auto"/>
              </w:rPr>
              <w:t>配套阀门</w:t>
            </w:r>
            <w:r>
              <w:rPr>
                <w:rFonts w:hint="eastAsia"/>
                <w:color w:val="auto"/>
                <w:lang w:eastAsia="zh-CN"/>
              </w:rPr>
              <w:t>、</w:t>
            </w:r>
            <w:r>
              <w:rPr>
                <w:color w:val="auto"/>
              </w:rPr>
              <w:t>阀件和管道</w:t>
            </w:r>
          </w:p>
        </w:tc>
      </w:tr>
      <w:tr w14:paraId="6DFE771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A6A5926">
            <w:pPr>
              <w:pStyle w:val="16"/>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184C95C3">
            <w:pPr>
              <w:pStyle w:val="16"/>
              <w:pageBreakBefore w:val="0"/>
              <w:wordWrap/>
              <w:bidi w:val="0"/>
              <w:adjustRightInd/>
              <w:snapToGrid/>
              <w:rPr>
                <w:color w:val="auto"/>
              </w:rPr>
            </w:pPr>
            <w:r>
              <w:rPr>
                <w:color w:val="auto"/>
              </w:rPr>
              <w:t>转鼓浓缩机</w:t>
            </w:r>
          </w:p>
        </w:tc>
        <w:tc>
          <w:tcPr>
            <w:tcW w:w="1532" w:type="pct"/>
            <w:tcBorders>
              <w:tl2br w:val="nil"/>
              <w:tr2bl w:val="nil"/>
            </w:tcBorders>
            <w:noWrap w:val="0"/>
            <w:vAlign w:val="center"/>
          </w:tcPr>
          <w:p w14:paraId="4E3D50E5">
            <w:pPr>
              <w:pStyle w:val="16"/>
              <w:pageBreakBefore w:val="0"/>
              <w:wordWrap/>
              <w:bidi w:val="0"/>
              <w:adjustRightInd/>
              <w:snapToGrid/>
              <w:rPr>
                <w:color w:val="auto"/>
              </w:rPr>
            </w:pPr>
            <w:r>
              <w:rPr>
                <w:color w:val="auto"/>
              </w:rPr>
              <w:t>与隔膜式板框压滤机配套</w:t>
            </w:r>
            <w:r>
              <w:rPr>
                <w:rFonts w:hint="eastAsia"/>
                <w:color w:val="auto"/>
                <w:lang w:eastAsia="zh-CN"/>
              </w:rPr>
              <w:t>，</w:t>
            </w:r>
            <w:r>
              <w:rPr>
                <w:color w:val="auto"/>
              </w:rPr>
              <w:t>N=</w:t>
            </w:r>
            <w:r>
              <w:rPr>
                <w:rFonts w:hint="eastAsia"/>
                <w:color w:val="auto"/>
                <w:lang w:eastAsia="zh-CN"/>
              </w:rPr>
              <w:t>1</w:t>
            </w:r>
            <w:r>
              <w:rPr>
                <w:color w:val="auto"/>
              </w:rPr>
              <w:t>.5kW</w:t>
            </w:r>
          </w:p>
        </w:tc>
        <w:tc>
          <w:tcPr>
            <w:tcW w:w="612" w:type="pct"/>
            <w:tcBorders>
              <w:tl2br w:val="nil"/>
              <w:tr2bl w:val="nil"/>
            </w:tcBorders>
            <w:noWrap w:val="0"/>
            <w:vAlign w:val="center"/>
          </w:tcPr>
          <w:p w14:paraId="6375BD0D">
            <w:pPr>
              <w:pStyle w:val="16"/>
              <w:pageBreakBefore w:val="0"/>
              <w:wordWrap/>
              <w:bidi w:val="0"/>
              <w:adjustRightInd/>
              <w:snapToGrid/>
              <w:rPr>
                <w:color w:val="auto"/>
              </w:rPr>
            </w:pPr>
          </w:p>
        </w:tc>
        <w:tc>
          <w:tcPr>
            <w:tcW w:w="279" w:type="pct"/>
            <w:tcBorders>
              <w:tl2br w:val="nil"/>
              <w:tr2bl w:val="nil"/>
            </w:tcBorders>
            <w:noWrap w:val="0"/>
            <w:vAlign w:val="center"/>
          </w:tcPr>
          <w:p w14:paraId="6ED659A7">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0BA7167">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00E8BB14">
            <w:pPr>
              <w:pStyle w:val="16"/>
              <w:pageBreakBefore w:val="0"/>
              <w:wordWrap/>
              <w:bidi w:val="0"/>
              <w:adjustRightInd/>
              <w:snapToGrid/>
              <w:rPr>
                <w:color w:val="auto"/>
              </w:rPr>
            </w:pPr>
            <w:r>
              <w:rPr>
                <w:color w:val="auto"/>
              </w:rPr>
              <w:t>与隔膜式板框压滤机成套供货</w:t>
            </w:r>
          </w:p>
        </w:tc>
      </w:tr>
      <w:tr w14:paraId="139B553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E3F96FD">
            <w:pPr>
              <w:pStyle w:val="16"/>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5F4BFF28">
            <w:pPr>
              <w:pStyle w:val="16"/>
              <w:pageBreakBefore w:val="0"/>
              <w:wordWrap/>
              <w:bidi w:val="0"/>
              <w:adjustRightInd/>
              <w:snapToGrid/>
              <w:rPr>
                <w:color w:val="auto"/>
              </w:rPr>
            </w:pPr>
            <w:r>
              <w:rPr>
                <w:color w:val="auto"/>
              </w:rPr>
              <w:t>高压进料泵</w:t>
            </w:r>
          </w:p>
        </w:tc>
        <w:tc>
          <w:tcPr>
            <w:tcW w:w="1532" w:type="pct"/>
            <w:tcBorders>
              <w:tl2br w:val="nil"/>
              <w:tr2bl w:val="nil"/>
            </w:tcBorders>
            <w:noWrap w:val="0"/>
            <w:vAlign w:val="center"/>
          </w:tcPr>
          <w:p w14:paraId="511CC7B8">
            <w:pPr>
              <w:pStyle w:val="16"/>
              <w:pageBreakBefore w:val="0"/>
              <w:wordWrap/>
              <w:bidi w:val="0"/>
              <w:adjustRightInd/>
              <w:snapToGrid/>
              <w:rPr>
                <w:color w:val="auto"/>
              </w:rPr>
            </w:pPr>
            <w:r>
              <w:rPr>
                <w:color w:val="auto"/>
              </w:rPr>
              <w:t>Q=45</w:t>
            </w:r>
            <w:r>
              <w:rPr>
                <w:rFonts w:hint="eastAsia"/>
                <w:color w:val="auto"/>
                <w:lang w:eastAsia="zh-CN"/>
              </w:rPr>
              <w:t>m³</w:t>
            </w:r>
            <w:r>
              <w:rPr>
                <w:color w:val="auto"/>
              </w:rPr>
              <w:t>/h</w:t>
            </w:r>
            <w:r>
              <w:rPr>
                <w:rFonts w:hint="eastAsia"/>
                <w:color w:val="auto"/>
                <w:lang w:eastAsia="zh-CN"/>
              </w:rPr>
              <w:t>，</w:t>
            </w:r>
            <w:r>
              <w:rPr>
                <w:color w:val="auto"/>
              </w:rPr>
              <w:t>扬程H=60</w:t>
            </w:r>
            <w:r>
              <w:rPr>
                <w:rFonts w:hint="eastAsia"/>
                <w:color w:val="auto"/>
                <w:lang w:eastAsia="zh-CN"/>
              </w:rPr>
              <w:t>～</w:t>
            </w:r>
            <w:r>
              <w:rPr>
                <w:color w:val="auto"/>
              </w:rPr>
              <w:t>80m</w:t>
            </w:r>
            <w:r>
              <w:rPr>
                <w:rFonts w:hint="eastAsia"/>
                <w:color w:val="auto"/>
                <w:lang w:eastAsia="zh-CN"/>
              </w:rPr>
              <w:t>，</w:t>
            </w:r>
            <w:r>
              <w:rPr>
                <w:color w:val="auto"/>
              </w:rPr>
              <w:t>N=30kW</w:t>
            </w:r>
          </w:p>
        </w:tc>
        <w:tc>
          <w:tcPr>
            <w:tcW w:w="612" w:type="pct"/>
            <w:tcBorders>
              <w:tl2br w:val="nil"/>
              <w:tr2bl w:val="nil"/>
            </w:tcBorders>
            <w:noWrap w:val="0"/>
            <w:vAlign w:val="center"/>
          </w:tcPr>
          <w:p w14:paraId="765394F5">
            <w:pPr>
              <w:pStyle w:val="16"/>
              <w:pageBreakBefore w:val="0"/>
              <w:wordWrap/>
              <w:bidi w:val="0"/>
              <w:adjustRightInd/>
              <w:snapToGrid/>
              <w:rPr>
                <w:color w:val="auto"/>
              </w:rPr>
            </w:pPr>
          </w:p>
        </w:tc>
        <w:tc>
          <w:tcPr>
            <w:tcW w:w="279" w:type="pct"/>
            <w:tcBorders>
              <w:tl2br w:val="nil"/>
              <w:tr2bl w:val="nil"/>
            </w:tcBorders>
            <w:noWrap w:val="0"/>
            <w:vAlign w:val="center"/>
          </w:tcPr>
          <w:p w14:paraId="7606DE65">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3A7E735">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3C28A751">
            <w:pPr>
              <w:pStyle w:val="16"/>
              <w:pageBreakBefore w:val="0"/>
              <w:wordWrap/>
              <w:bidi w:val="0"/>
              <w:adjustRightInd/>
              <w:snapToGrid/>
              <w:rPr>
                <w:color w:val="auto"/>
              </w:rPr>
            </w:pPr>
            <w:r>
              <w:rPr>
                <w:color w:val="auto"/>
              </w:rPr>
              <w:t>2用</w:t>
            </w:r>
            <w:r>
              <w:rPr>
                <w:rFonts w:hint="eastAsia"/>
                <w:color w:val="auto"/>
                <w:lang w:eastAsia="zh-CN"/>
              </w:rPr>
              <w:t>1</w:t>
            </w:r>
            <w:r>
              <w:rPr>
                <w:color w:val="auto"/>
              </w:rPr>
              <w:t>备</w:t>
            </w:r>
            <w:r>
              <w:rPr>
                <w:rFonts w:hint="eastAsia"/>
                <w:color w:val="auto"/>
                <w:lang w:eastAsia="zh-CN"/>
              </w:rPr>
              <w:t>，</w:t>
            </w:r>
            <w:r>
              <w:rPr>
                <w:color w:val="auto"/>
              </w:rPr>
              <w:t>与隔膜式板框压滤机成套供货</w:t>
            </w:r>
            <w:r>
              <w:rPr>
                <w:rFonts w:hint="eastAsia"/>
                <w:color w:val="auto"/>
                <w:lang w:eastAsia="zh-CN"/>
              </w:rPr>
              <w:t>，</w:t>
            </w:r>
            <w:r>
              <w:rPr>
                <w:color w:val="auto"/>
              </w:rPr>
              <w:t>配套阀门</w:t>
            </w:r>
            <w:r>
              <w:rPr>
                <w:rFonts w:hint="eastAsia"/>
                <w:color w:val="auto"/>
                <w:lang w:eastAsia="zh-CN"/>
              </w:rPr>
              <w:t>、</w:t>
            </w:r>
            <w:r>
              <w:rPr>
                <w:color w:val="auto"/>
              </w:rPr>
              <w:t>阀件和管道</w:t>
            </w:r>
          </w:p>
        </w:tc>
      </w:tr>
      <w:tr w14:paraId="4FAC0CF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52617DE">
            <w:pPr>
              <w:pStyle w:val="16"/>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28B6C47D">
            <w:pPr>
              <w:pStyle w:val="16"/>
              <w:pageBreakBefore w:val="0"/>
              <w:wordWrap/>
              <w:bidi w:val="0"/>
              <w:adjustRightInd/>
              <w:snapToGrid/>
              <w:rPr>
                <w:color w:val="auto"/>
              </w:rPr>
            </w:pPr>
            <w:r>
              <w:rPr>
                <w:color w:val="auto"/>
              </w:rPr>
              <w:t>隔膜式板框压滤机</w:t>
            </w:r>
          </w:p>
        </w:tc>
        <w:tc>
          <w:tcPr>
            <w:tcW w:w="1532" w:type="pct"/>
            <w:tcBorders>
              <w:tl2br w:val="nil"/>
              <w:tr2bl w:val="nil"/>
            </w:tcBorders>
            <w:noWrap w:val="0"/>
            <w:vAlign w:val="center"/>
          </w:tcPr>
          <w:p w14:paraId="4320469F">
            <w:pPr>
              <w:pStyle w:val="16"/>
              <w:pageBreakBefore w:val="0"/>
              <w:wordWrap/>
              <w:bidi w:val="0"/>
              <w:adjustRightInd/>
              <w:snapToGrid/>
              <w:rPr>
                <w:color w:val="auto"/>
              </w:rPr>
            </w:pPr>
            <w:r>
              <w:rPr>
                <w:color w:val="auto"/>
              </w:rPr>
              <w:t>板框式</w:t>
            </w:r>
            <w:r>
              <w:rPr>
                <w:rFonts w:hint="eastAsia"/>
                <w:color w:val="auto"/>
                <w:lang w:eastAsia="zh-CN"/>
              </w:rPr>
              <w:t>，</w:t>
            </w:r>
            <w:r>
              <w:rPr>
                <w:color w:val="auto"/>
              </w:rPr>
              <w:t>处理能力0.2t/h</w:t>
            </w:r>
            <w:r>
              <w:rPr>
                <w:rFonts w:hint="eastAsia"/>
                <w:color w:val="auto"/>
                <w:lang w:eastAsia="zh-CN"/>
              </w:rPr>
              <w:t>，</w:t>
            </w:r>
            <w:r>
              <w:rPr>
                <w:color w:val="auto"/>
              </w:rPr>
              <w:t>过滤面积≥150</w:t>
            </w:r>
            <w:r>
              <w:rPr>
                <w:rFonts w:hint="eastAsia"/>
                <w:color w:val="auto"/>
                <w:lang w:eastAsia="zh-CN"/>
              </w:rPr>
              <w:t>m²，</w:t>
            </w:r>
            <w:r>
              <w:rPr>
                <w:color w:val="auto"/>
              </w:rPr>
              <w:t>N=5KW</w:t>
            </w:r>
          </w:p>
        </w:tc>
        <w:tc>
          <w:tcPr>
            <w:tcW w:w="612" w:type="pct"/>
            <w:tcBorders>
              <w:tl2br w:val="nil"/>
              <w:tr2bl w:val="nil"/>
            </w:tcBorders>
            <w:noWrap w:val="0"/>
            <w:vAlign w:val="center"/>
          </w:tcPr>
          <w:p w14:paraId="70693128">
            <w:pPr>
              <w:pStyle w:val="16"/>
              <w:pageBreakBefore w:val="0"/>
              <w:wordWrap/>
              <w:bidi w:val="0"/>
              <w:adjustRightInd/>
              <w:snapToGrid/>
              <w:rPr>
                <w:color w:val="auto"/>
              </w:rPr>
            </w:pPr>
          </w:p>
        </w:tc>
        <w:tc>
          <w:tcPr>
            <w:tcW w:w="279" w:type="pct"/>
            <w:tcBorders>
              <w:tl2br w:val="nil"/>
              <w:tr2bl w:val="nil"/>
            </w:tcBorders>
            <w:noWrap w:val="0"/>
            <w:vAlign w:val="center"/>
          </w:tcPr>
          <w:p w14:paraId="67B007D5">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CDB30A3">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1A5DA480">
            <w:pPr>
              <w:pStyle w:val="16"/>
              <w:pageBreakBefore w:val="0"/>
              <w:wordWrap/>
              <w:bidi w:val="0"/>
              <w:adjustRightInd/>
              <w:snapToGrid/>
              <w:rPr>
                <w:color w:val="auto"/>
              </w:rPr>
            </w:pPr>
            <w:r>
              <w:rPr>
                <w:color w:val="auto"/>
              </w:rPr>
              <w:t>脱水后含水率不大于60%</w:t>
            </w:r>
            <w:r>
              <w:rPr>
                <w:rFonts w:hint="eastAsia"/>
                <w:color w:val="auto"/>
                <w:lang w:eastAsia="zh-CN"/>
              </w:rPr>
              <w:t>，</w:t>
            </w:r>
            <w:r>
              <w:rPr>
                <w:color w:val="auto"/>
              </w:rPr>
              <w:t>B×L×H≤2.7×12.3×4.8m</w:t>
            </w:r>
          </w:p>
        </w:tc>
      </w:tr>
      <w:tr w14:paraId="53C1EF7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E23D601">
            <w:pPr>
              <w:pStyle w:val="16"/>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2B729BB5">
            <w:pPr>
              <w:pStyle w:val="16"/>
              <w:pageBreakBefore w:val="0"/>
              <w:wordWrap/>
              <w:bidi w:val="0"/>
              <w:adjustRightInd/>
              <w:snapToGrid/>
              <w:rPr>
                <w:color w:val="auto"/>
              </w:rPr>
            </w:pPr>
            <w:r>
              <w:rPr>
                <w:color w:val="auto"/>
              </w:rPr>
              <w:t>电动单梁悬挂起重机</w:t>
            </w:r>
          </w:p>
        </w:tc>
        <w:tc>
          <w:tcPr>
            <w:tcW w:w="1532" w:type="pct"/>
            <w:tcBorders>
              <w:tl2br w:val="nil"/>
              <w:tr2bl w:val="nil"/>
            </w:tcBorders>
            <w:noWrap w:val="0"/>
            <w:vAlign w:val="center"/>
          </w:tcPr>
          <w:p w14:paraId="6B8BEDE5">
            <w:pPr>
              <w:pStyle w:val="16"/>
              <w:pageBreakBefore w:val="0"/>
              <w:wordWrap/>
              <w:bidi w:val="0"/>
              <w:adjustRightInd/>
              <w:snapToGrid/>
              <w:rPr>
                <w:color w:val="auto"/>
              </w:rPr>
            </w:pPr>
            <w:r>
              <w:rPr>
                <w:color w:val="auto"/>
              </w:rPr>
              <w:t>L×型</w:t>
            </w:r>
            <w:r>
              <w:rPr>
                <w:rFonts w:hint="eastAsia"/>
                <w:color w:val="auto"/>
                <w:lang w:eastAsia="zh-CN"/>
              </w:rPr>
              <w:t>，</w:t>
            </w:r>
            <w:r>
              <w:rPr>
                <w:color w:val="auto"/>
              </w:rPr>
              <w:t>G=5t</w:t>
            </w:r>
            <w:r>
              <w:rPr>
                <w:rFonts w:hint="eastAsia"/>
                <w:color w:val="auto"/>
                <w:lang w:eastAsia="zh-CN"/>
              </w:rPr>
              <w:t>，</w:t>
            </w:r>
            <w:r>
              <w:rPr>
                <w:color w:val="auto"/>
              </w:rPr>
              <w:t>H=12.0m</w:t>
            </w:r>
            <w:r>
              <w:rPr>
                <w:rFonts w:hint="eastAsia"/>
                <w:color w:val="auto"/>
                <w:lang w:eastAsia="zh-CN"/>
              </w:rPr>
              <w:t>，</w:t>
            </w:r>
            <w:r>
              <w:rPr>
                <w:color w:val="auto"/>
              </w:rPr>
              <w:t>=9.9m</w:t>
            </w:r>
            <w:r>
              <w:rPr>
                <w:rFonts w:hint="eastAsia"/>
                <w:color w:val="auto"/>
                <w:lang w:eastAsia="zh-CN"/>
              </w:rPr>
              <w:t>，</w:t>
            </w:r>
            <w:r>
              <w:rPr>
                <w:color w:val="auto"/>
              </w:rPr>
              <w:t>N=2×0.8+7.5+0.8kW</w:t>
            </w:r>
          </w:p>
        </w:tc>
        <w:tc>
          <w:tcPr>
            <w:tcW w:w="612" w:type="pct"/>
            <w:tcBorders>
              <w:tl2br w:val="nil"/>
              <w:tr2bl w:val="nil"/>
            </w:tcBorders>
            <w:noWrap w:val="0"/>
            <w:vAlign w:val="center"/>
          </w:tcPr>
          <w:p w14:paraId="6C77B0A9">
            <w:pPr>
              <w:pStyle w:val="16"/>
              <w:pageBreakBefore w:val="0"/>
              <w:wordWrap/>
              <w:bidi w:val="0"/>
              <w:adjustRightInd/>
              <w:snapToGrid/>
              <w:rPr>
                <w:color w:val="auto"/>
              </w:rPr>
            </w:pPr>
          </w:p>
        </w:tc>
        <w:tc>
          <w:tcPr>
            <w:tcW w:w="279" w:type="pct"/>
            <w:tcBorders>
              <w:tl2br w:val="nil"/>
              <w:tr2bl w:val="nil"/>
            </w:tcBorders>
            <w:noWrap w:val="0"/>
            <w:vAlign w:val="center"/>
          </w:tcPr>
          <w:p w14:paraId="3508EF7A">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98B905C">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0281786D">
            <w:pPr>
              <w:pStyle w:val="16"/>
              <w:pageBreakBefore w:val="0"/>
              <w:wordWrap/>
              <w:bidi w:val="0"/>
              <w:adjustRightInd/>
              <w:snapToGrid/>
              <w:rPr>
                <w:color w:val="auto"/>
              </w:rPr>
            </w:pPr>
            <w:r>
              <w:rPr>
                <w:color w:val="auto"/>
              </w:rPr>
              <w:t>配MD15-9D型电动葫芦</w:t>
            </w:r>
          </w:p>
        </w:tc>
      </w:tr>
      <w:tr w14:paraId="057A80E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9B709C9">
            <w:pPr>
              <w:pStyle w:val="16"/>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2FD05FB8">
            <w:pPr>
              <w:pStyle w:val="16"/>
              <w:pageBreakBefore w:val="0"/>
              <w:wordWrap/>
              <w:bidi w:val="0"/>
              <w:adjustRightInd/>
              <w:snapToGrid/>
              <w:rPr>
                <w:color w:val="auto"/>
              </w:rPr>
            </w:pPr>
            <w:r>
              <w:rPr>
                <w:color w:val="auto"/>
              </w:rPr>
              <w:t>电动葫芦</w:t>
            </w:r>
          </w:p>
        </w:tc>
        <w:tc>
          <w:tcPr>
            <w:tcW w:w="1532" w:type="pct"/>
            <w:tcBorders>
              <w:tl2br w:val="nil"/>
              <w:tr2bl w:val="nil"/>
            </w:tcBorders>
            <w:noWrap w:val="0"/>
            <w:vAlign w:val="center"/>
          </w:tcPr>
          <w:p w14:paraId="535EBE0A">
            <w:pPr>
              <w:pStyle w:val="16"/>
              <w:pageBreakBefore w:val="0"/>
              <w:wordWrap/>
              <w:bidi w:val="0"/>
              <w:adjustRightInd/>
              <w:snapToGrid/>
              <w:rPr>
                <w:color w:val="auto"/>
              </w:rPr>
            </w:pPr>
            <w:r>
              <w:rPr>
                <w:color w:val="auto"/>
              </w:rPr>
              <w:t>MD12-9型</w:t>
            </w:r>
            <w:r>
              <w:rPr>
                <w:rFonts w:hint="eastAsia"/>
                <w:color w:val="auto"/>
                <w:lang w:eastAsia="zh-CN"/>
              </w:rPr>
              <w:t>，</w:t>
            </w:r>
            <w:r>
              <w:rPr>
                <w:color w:val="auto"/>
              </w:rPr>
              <w:t>G=2t</w:t>
            </w:r>
            <w:r>
              <w:rPr>
                <w:rFonts w:hint="eastAsia"/>
                <w:color w:val="auto"/>
                <w:lang w:eastAsia="zh-CN"/>
              </w:rPr>
              <w:t>，</w:t>
            </w:r>
            <w:r>
              <w:rPr>
                <w:color w:val="auto"/>
              </w:rPr>
              <w:t>H=12.0m</w:t>
            </w:r>
            <w:r>
              <w:rPr>
                <w:rFonts w:hint="eastAsia"/>
                <w:color w:val="auto"/>
                <w:lang w:eastAsia="zh-CN"/>
              </w:rPr>
              <w:t>，</w:t>
            </w:r>
            <w:r>
              <w:rPr>
                <w:color w:val="auto"/>
              </w:rPr>
              <w:t>=16.0m</w:t>
            </w:r>
            <w:r>
              <w:rPr>
                <w:rFonts w:hint="eastAsia"/>
                <w:color w:val="auto"/>
                <w:lang w:eastAsia="zh-CN"/>
              </w:rPr>
              <w:t>，</w:t>
            </w:r>
            <w:r>
              <w:rPr>
                <w:color w:val="auto"/>
              </w:rPr>
              <w:t>N=2×0.4+0.8kW</w:t>
            </w:r>
          </w:p>
        </w:tc>
        <w:tc>
          <w:tcPr>
            <w:tcW w:w="612" w:type="pct"/>
            <w:tcBorders>
              <w:tl2br w:val="nil"/>
              <w:tr2bl w:val="nil"/>
            </w:tcBorders>
            <w:noWrap w:val="0"/>
            <w:vAlign w:val="center"/>
          </w:tcPr>
          <w:p w14:paraId="26F780B5">
            <w:pPr>
              <w:pStyle w:val="16"/>
              <w:pageBreakBefore w:val="0"/>
              <w:wordWrap/>
              <w:bidi w:val="0"/>
              <w:adjustRightInd/>
              <w:snapToGrid/>
              <w:rPr>
                <w:color w:val="auto"/>
              </w:rPr>
            </w:pPr>
          </w:p>
        </w:tc>
        <w:tc>
          <w:tcPr>
            <w:tcW w:w="279" w:type="pct"/>
            <w:tcBorders>
              <w:tl2br w:val="nil"/>
              <w:tr2bl w:val="nil"/>
            </w:tcBorders>
            <w:noWrap w:val="0"/>
            <w:vAlign w:val="center"/>
          </w:tcPr>
          <w:p w14:paraId="366A61B7">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2508F5E4">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743E8709">
            <w:pPr>
              <w:pStyle w:val="16"/>
              <w:pageBreakBefore w:val="0"/>
              <w:wordWrap/>
              <w:bidi w:val="0"/>
              <w:adjustRightInd/>
              <w:snapToGrid/>
              <w:rPr>
                <w:color w:val="auto"/>
              </w:rPr>
            </w:pPr>
            <w:r>
              <w:rPr>
                <w:color w:val="auto"/>
              </w:rPr>
              <w:t>配MD12-9D型电动葫芦</w:t>
            </w:r>
          </w:p>
        </w:tc>
      </w:tr>
      <w:tr w14:paraId="7EBD773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C1E6DAA">
            <w:pPr>
              <w:pStyle w:val="16"/>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354280B7">
            <w:pPr>
              <w:pStyle w:val="16"/>
              <w:pageBreakBefore w:val="0"/>
              <w:wordWrap/>
              <w:bidi w:val="0"/>
              <w:adjustRightInd/>
              <w:snapToGrid/>
              <w:rPr>
                <w:color w:val="auto"/>
              </w:rPr>
            </w:pPr>
            <w:r>
              <w:rPr>
                <w:color w:val="auto"/>
              </w:rPr>
              <w:t>压榨水箱</w:t>
            </w:r>
          </w:p>
        </w:tc>
        <w:tc>
          <w:tcPr>
            <w:tcW w:w="1532" w:type="pct"/>
            <w:tcBorders>
              <w:tl2br w:val="nil"/>
              <w:tr2bl w:val="nil"/>
            </w:tcBorders>
            <w:noWrap w:val="0"/>
            <w:vAlign w:val="center"/>
          </w:tcPr>
          <w:p w14:paraId="35E897FA">
            <w:pPr>
              <w:pStyle w:val="16"/>
              <w:pageBreakBefore w:val="0"/>
              <w:wordWrap/>
              <w:bidi w:val="0"/>
              <w:adjustRightInd/>
              <w:snapToGrid/>
              <w:rPr>
                <w:rFonts w:hint="eastAsia" w:eastAsia="宋体"/>
                <w:color w:val="auto"/>
                <w:lang w:eastAsia="zh-CN"/>
              </w:rPr>
            </w:pPr>
            <w:r>
              <w:rPr>
                <w:color w:val="auto"/>
              </w:rPr>
              <w:t>V=10</w:t>
            </w:r>
            <w:r>
              <w:rPr>
                <w:rFonts w:hint="eastAsia"/>
                <w:color w:val="auto"/>
                <w:lang w:eastAsia="zh-CN"/>
              </w:rPr>
              <w:t>m³</w:t>
            </w:r>
          </w:p>
        </w:tc>
        <w:tc>
          <w:tcPr>
            <w:tcW w:w="612" w:type="pct"/>
            <w:tcBorders>
              <w:tl2br w:val="nil"/>
              <w:tr2bl w:val="nil"/>
            </w:tcBorders>
            <w:noWrap w:val="0"/>
            <w:vAlign w:val="center"/>
          </w:tcPr>
          <w:p w14:paraId="6338684F">
            <w:pPr>
              <w:pStyle w:val="16"/>
              <w:pageBreakBefore w:val="0"/>
              <w:wordWrap/>
              <w:bidi w:val="0"/>
              <w:adjustRightInd/>
              <w:snapToGrid/>
              <w:rPr>
                <w:color w:val="auto"/>
              </w:rPr>
            </w:pPr>
            <w:r>
              <w:rPr>
                <w:color w:val="auto"/>
              </w:rPr>
              <w:t>PE</w:t>
            </w:r>
          </w:p>
        </w:tc>
        <w:tc>
          <w:tcPr>
            <w:tcW w:w="279" w:type="pct"/>
            <w:tcBorders>
              <w:tl2br w:val="nil"/>
              <w:tr2bl w:val="nil"/>
            </w:tcBorders>
            <w:noWrap w:val="0"/>
            <w:vAlign w:val="center"/>
          </w:tcPr>
          <w:p w14:paraId="59FBA25A">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A7F3987">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4EB32ACE">
            <w:pPr>
              <w:pStyle w:val="16"/>
              <w:pageBreakBefore w:val="0"/>
              <w:wordWrap/>
              <w:bidi w:val="0"/>
              <w:adjustRightInd/>
              <w:snapToGrid/>
              <w:rPr>
                <w:color w:val="auto"/>
              </w:rPr>
            </w:pPr>
          </w:p>
        </w:tc>
      </w:tr>
      <w:tr w14:paraId="122DC7F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8F11E05">
            <w:pPr>
              <w:pStyle w:val="16"/>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40B710B1">
            <w:pPr>
              <w:pStyle w:val="16"/>
              <w:pageBreakBefore w:val="0"/>
              <w:wordWrap/>
              <w:bidi w:val="0"/>
              <w:adjustRightInd/>
              <w:snapToGrid/>
              <w:rPr>
                <w:color w:val="auto"/>
              </w:rPr>
            </w:pPr>
            <w:r>
              <w:rPr>
                <w:color w:val="auto"/>
              </w:rPr>
              <w:t>挤压水泵</w:t>
            </w:r>
          </w:p>
        </w:tc>
        <w:tc>
          <w:tcPr>
            <w:tcW w:w="1532" w:type="pct"/>
            <w:tcBorders>
              <w:tl2br w:val="nil"/>
              <w:tr2bl w:val="nil"/>
            </w:tcBorders>
            <w:noWrap w:val="0"/>
            <w:vAlign w:val="center"/>
          </w:tcPr>
          <w:p w14:paraId="16883FD8">
            <w:pPr>
              <w:pStyle w:val="16"/>
              <w:pageBreakBefore w:val="0"/>
              <w:wordWrap/>
              <w:bidi w:val="0"/>
              <w:adjustRightInd/>
              <w:snapToGrid/>
              <w:rPr>
                <w:color w:val="auto"/>
              </w:rPr>
            </w:pPr>
            <w:r>
              <w:rPr>
                <w:color w:val="auto"/>
              </w:rPr>
              <w:t>Q=10</w:t>
            </w:r>
            <w:r>
              <w:rPr>
                <w:rFonts w:hint="eastAsia"/>
                <w:color w:val="auto"/>
                <w:lang w:eastAsia="zh-CN"/>
              </w:rPr>
              <w:t>m³</w:t>
            </w:r>
            <w:r>
              <w:rPr>
                <w:color w:val="auto"/>
              </w:rPr>
              <w:t>/h</w:t>
            </w:r>
            <w:r>
              <w:rPr>
                <w:rFonts w:hint="eastAsia"/>
                <w:color w:val="auto"/>
                <w:lang w:eastAsia="zh-CN"/>
              </w:rPr>
              <w:t>，</w:t>
            </w:r>
            <w:r>
              <w:rPr>
                <w:color w:val="auto"/>
              </w:rPr>
              <w:t>扬程H=120m</w:t>
            </w:r>
            <w:r>
              <w:rPr>
                <w:rFonts w:hint="eastAsia"/>
                <w:color w:val="auto"/>
                <w:lang w:eastAsia="zh-CN"/>
              </w:rPr>
              <w:t>，</w:t>
            </w:r>
            <w:r>
              <w:rPr>
                <w:color w:val="auto"/>
              </w:rPr>
              <w:t>N=15kW</w:t>
            </w:r>
          </w:p>
        </w:tc>
        <w:tc>
          <w:tcPr>
            <w:tcW w:w="612" w:type="pct"/>
            <w:tcBorders>
              <w:tl2br w:val="nil"/>
              <w:tr2bl w:val="nil"/>
            </w:tcBorders>
            <w:noWrap w:val="0"/>
            <w:vAlign w:val="center"/>
          </w:tcPr>
          <w:p w14:paraId="6DA8FEF1">
            <w:pPr>
              <w:pStyle w:val="16"/>
              <w:pageBreakBefore w:val="0"/>
              <w:wordWrap/>
              <w:bidi w:val="0"/>
              <w:adjustRightInd/>
              <w:snapToGrid/>
              <w:rPr>
                <w:color w:val="auto"/>
              </w:rPr>
            </w:pPr>
          </w:p>
        </w:tc>
        <w:tc>
          <w:tcPr>
            <w:tcW w:w="279" w:type="pct"/>
            <w:tcBorders>
              <w:tl2br w:val="nil"/>
              <w:tr2bl w:val="nil"/>
            </w:tcBorders>
            <w:noWrap w:val="0"/>
            <w:vAlign w:val="center"/>
          </w:tcPr>
          <w:p w14:paraId="3BF2EE11">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7C607AA">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797229CF">
            <w:pPr>
              <w:pStyle w:val="16"/>
              <w:pageBreakBefore w:val="0"/>
              <w:wordWrap/>
              <w:bidi w:val="0"/>
              <w:adjustRightInd/>
              <w:snapToGrid/>
              <w:rPr>
                <w:color w:val="auto"/>
              </w:rPr>
            </w:pPr>
            <w:r>
              <w:rPr>
                <w:color w:val="auto"/>
              </w:rPr>
              <w:t>与隔膜式板框压滤机成套供货</w:t>
            </w:r>
            <w:r>
              <w:rPr>
                <w:rFonts w:hint="eastAsia"/>
                <w:color w:val="auto"/>
                <w:lang w:eastAsia="zh-CN"/>
              </w:rPr>
              <w:t>，</w:t>
            </w:r>
            <w:r>
              <w:rPr>
                <w:color w:val="auto"/>
              </w:rPr>
              <w:t>配套阀门</w:t>
            </w:r>
            <w:r>
              <w:rPr>
                <w:rFonts w:hint="eastAsia"/>
                <w:color w:val="auto"/>
                <w:lang w:eastAsia="zh-CN"/>
              </w:rPr>
              <w:t>、</w:t>
            </w:r>
            <w:r>
              <w:rPr>
                <w:color w:val="auto"/>
              </w:rPr>
              <w:t>阀件和管道</w:t>
            </w:r>
          </w:p>
        </w:tc>
      </w:tr>
      <w:tr w14:paraId="7FBB93C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F567CA8">
            <w:pPr>
              <w:pStyle w:val="16"/>
              <w:pageBreakBefore w:val="0"/>
              <w:wordWrap/>
              <w:bidi w:val="0"/>
              <w:adjustRightInd/>
              <w:snapToGrid/>
              <w:rPr>
                <w:color w:val="auto"/>
              </w:rPr>
            </w:pPr>
            <w:r>
              <w:rPr>
                <w:color w:val="auto"/>
              </w:rPr>
              <w:t>9</w:t>
            </w:r>
          </w:p>
        </w:tc>
        <w:tc>
          <w:tcPr>
            <w:tcW w:w="843" w:type="pct"/>
            <w:gridSpan w:val="2"/>
            <w:tcBorders>
              <w:tl2br w:val="nil"/>
              <w:tr2bl w:val="nil"/>
            </w:tcBorders>
            <w:noWrap w:val="0"/>
            <w:vAlign w:val="center"/>
          </w:tcPr>
          <w:p w14:paraId="65E58AAD">
            <w:pPr>
              <w:pStyle w:val="16"/>
              <w:pageBreakBefore w:val="0"/>
              <w:wordWrap/>
              <w:bidi w:val="0"/>
              <w:adjustRightInd/>
              <w:snapToGrid/>
              <w:rPr>
                <w:color w:val="auto"/>
              </w:rPr>
            </w:pPr>
            <w:r>
              <w:rPr>
                <w:color w:val="auto"/>
              </w:rPr>
              <w:t>水洗高压柱塞泵</w:t>
            </w:r>
          </w:p>
        </w:tc>
        <w:tc>
          <w:tcPr>
            <w:tcW w:w="1532" w:type="pct"/>
            <w:tcBorders>
              <w:tl2br w:val="nil"/>
              <w:tr2bl w:val="nil"/>
            </w:tcBorders>
            <w:noWrap w:val="0"/>
            <w:vAlign w:val="center"/>
          </w:tcPr>
          <w:p w14:paraId="4708A1F4">
            <w:pPr>
              <w:pStyle w:val="16"/>
              <w:pageBreakBefore w:val="0"/>
              <w:wordWrap/>
              <w:bidi w:val="0"/>
              <w:adjustRightInd/>
              <w:snapToGrid/>
              <w:rPr>
                <w:color w:val="auto"/>
              </w:rPr>
            </w:pPr>
            <w:r>
              <w:rPr>
                <w:color w:val="auto"/>
              </w:rPr>
              <w:t>Q=16</w:t>
            </w:r>
            <w:r>
              <w:rPr>
                <w:rFonts w:hint="eastAsia"/>
                <w:color w:val="auto"/>
                <w:lang w:eastAsia="zh-CN"/>
              </w:rPr>
              <w:t>m³</w:t>
            </w:r>
            <w:r>
              <w:rPr>
                <w:color w:val="auto"/>
              </w:rPr>
              <w:t>/h</w:t>
            </w:r>
            <w:r>
              <w:rPr>
                <w:rFonts w:hint="eastAsia"/>
                <w:color w:val="auto"/>
                <w:lang w:eastAsia="zh-CN"/>
              </w:rPr>
              <w:t>，</w:t>
            </w:r>
            <w:r>
              <w:rPr>
                <w:color w:val="auto"/>
              </w:rPr>
              <w:t>H=380m</w:t>
            </w:r>
            <w:r>
              <w:rPr>
                <w:rFonts w:hint="eastAsia"/>
                <w:color w:val="auto"/>
                <w:lang w:eastAsia="zh-CN"/>
              </w:rPr>
              <w:t>，</w:t>
            </w:r>
            <w:r>
              <w:rPr>
                <w:color w:val="auto"/>
              </w:rPr>
              <w:t>N=30kW</w:t>
            </w:r>
          </w:p>
        </w:tc>
        <w:tc>
          <w:tcPr>
            <w:tcW w:w="612" w:type="pct"/>
            <w:tcBorders>
              <w:tl2br w:val="nil"/>
              <w:tr2bl w:val="nil"/>
            </w:tcBorders>
            <w:noWrap w:val="0"/>
            <w:vAlign w:val="center"/>
          </w:tcPr>
          <w:p w14:paraId="400DCE78">
            <w:pPr>
              <w:pStyle w:val="16"/>
              <w:pageBreakBefore w:val="0"/>
              <w:wordWrap/>
              <w:bidi w:val="0"/>
              <w:adjustRightInd/>
              <w:snapToGrid/>
              <w:rPr>
                <w:color w:val="auto"/>
              </w:rPr>
            </w:pPr>
          </w:p>
        </w:tc>
        <w:tc>
          <w:tcPr>
            <w:tcW w:w="279" w:type="pct"/>
            <w:tcBorders>
              <w:tl2br w:val="nil"/>
              <w:tr2bl w:val="nil"/>
            </w:tcBorders>
            <w:noWrap w:val="0"/>
            <w:vAlign w:val="center"/>
          </w:tcPr>
          <w:p w14:paraId="1268D61E">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A36523E">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62280871">
            <w:pPr>
              <w:pStyle w:val="16"/>
              <w:pageBreakBefore w:val="0"/>
              <w:wordWrap/>
              <w:bidi w:val="0"/>
              <w:adjustRightInd/>
              <w:snapToGrid/>
              <w:rPr>
                <w:color w:val="auto"/>
              </w:rPr>
            </w:pPr>
            <w:r>
              <w:rPr>
                <w:rFonts w:hint="eastAsia"/>
                <w:color w:val="auto"/>
                <w:lang w:eastAsia="zh-CN"/>
              </w:rPr>
              <w:t>1</w:t>
            </w:r>
            <w:r>
              <w:rPr>
                <w:color w:val="auto"/>
              </w:rPr>
              <w:t>用</w:t>
            </w:r>
            <w:r>
              <w:rPr>
                <w:rFonts w:hint="eastAsia"/>
                <w:color w:val="auto"/>
                <w:lang w:eastAsia="zh-CN"/>
              </w:rPr>
              <w:t>1</w:t>
            </w:r>
            <w:r>
              <w:rPr>
                <w:color w:val="auto"/>
              </w:rPr>
              <w:t>备</w:t>
            </w:r>
          </w:p>
        </w:tc>
      </w:tr>
      <w:tr w14:paraId="3C0987C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B9B040E">
            <w:pPr>
              <w:pStyle w:val="16"/>
              <w:pageBreakBefore w:val="0"/>
              <w:wordWrap/>
              <w:bidi w:val="0"/>
              <w:adjustRightInd/>
              <w:snapToGrid/>
              <w:rPr>
                <w:color w:val="auto"/>
              </w:rPr>
            </w:pPr>
            <w:r>
              <w:rPr>
                <w:color w:val="auto"/>
              </w:rPr>
              <w:t>10</w:t>
            </w:r>
          </w:p>
        </w:tc>
        <w:tc>
          <w:tcPr>
            <w:tcW w:w="843" w:type="pct"/>
            <w:gridSpan w:val="2"/>
            <w:tcBorders>
              <w:tl2br w:val="nil"/>
              <w:tr2bl w:val="nil"/>
            </w:tcBorders>
            <w:noWrap w:val="0"/>
            <w:vAlign w:val="center"/>
          </w:tcPr>
          <w:p w14:paraId="1B3A8233">
            <w:pPr>
              <w:pStyle w:val="16"/>
              <w:pageBreakBefore w:val="0"/>
              <w:wordWrap/>
              <w:bidi w:val="0"/>
              <w:adjustRightInd/>
              <w:snapToGrid/>
              <w:rPr>
                <w:color w:val="auto"/>
              </w:rPr>
            </w:pPr>
            <w:r>
              <w:rPr>
                <w:color w:val="auto"/>
              </w:rPr>
              <w:t>水洗水箱</w:t>
            </w:r>
          </w:p>
        </w:tc>
        <w:tc>
          <w:tcPr>
            <w:tcW w:w="1532" w:type="pct"/>
            <w:tcBorders>
              <w:tl2br w:val="nil"/>
              <w:tr2bl w:val="nil"/>
            </w:tcBorders>
            <w:noWrap w:val="0"/>
            <w:vAlign w:val="center"/>
          </w:tcPr>
          <w:p w14:paraId="314E7587">
            <w:pPr>
              <w:pStyle w:val="16"/>
              <w:pageBreakBefore w:val="0"/>
              <w:wordWrap/>
              <w:bidi w:val="0"/>
              <w:adjustRightInd/>
              <w:snapToGrid/>
              <w:rPr>
                <w:rFonts w:hint="eastAsia" w:eastAsia="宋体"/>
                <w:color w:val="auto"/>
                <w:lang w:eastAsia="zh-CN"/>
              </w:rPr>
            </w:pPr>
            <w:r>
              <w:rPr>
                <w:color w:val="auto"/>
              </w:rPr>
              <w:t>V=6</w:t>
            </w:r>
            <w:r>
              <w:rPr>
                <w:rFonts w:hint="eastAsia"/>
                <w:color w:val="auto"/>
                <w:lang w:eastAsia="zh-CN"/>
              </w:rPr>
              <w:t>m³</w:t>
            </w:r>
          </w:p>
        </w:tc>
        <w:tc>
          <w:tcPr>
            <w:tcW w:w="612" w:type="pct"/>
            <w:tcBorders>
              <w:tl2br w:val="nil"/>
              <w:tr2bl w:val="nil"/>
            </w:tcBorders>
            <w:noWrap w:val="0"/>
            <w:vAlign w:val="center"/>
          </w:tcPr>
          <w:p w14:paraId="6E203269">
            <w:pPr>
              <w:pStyle w:val="16"/>
              <w:pageBreakBefore w:val="0"/>
              <w:wordWrap/>
              <w:bidi w:val="0"/>
              <w:adjustRightInd/>
              <w:snapToGrid/>
              <w:rPr>
                <w:color w:val="auto"/>
              </w:rPr>
            </w:pPr>
            <w:r>
              <w:rPr>
                <w:color w:val="auto"/>
              </w:rPr>
              <w:t>PE</w:t>
            </w:r>
          </w:p>
        </w:tc>
        <w:tc>
          <w:tcPr>
            <w:tcW w:w="279" w:type="pct"/>
            <w:tcBorders>
              <w:tl2br w:val="nil"/>
              <w:tr2bl w:val="nil"/>
            </w:tcBorders>
            <w:noWrap w:val="0"/>
            <w:vAlign w:val="center"/>
          </w:tcPr>
          <w:p w14:paraId="1440F547">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E6E7DD5">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005070D8">
            <w:pPr>
              <w:pStyle w:val="16"/>
              <w:pageBreakBefore w:val="0"/>
              <w:wordWrap/>
              <w:bidi w:val="0"/>
              <w:adjustRightInd/>
              <w:snapToGrid/>
              <w:rPr>
                <w:color w:val="auto"/>
              </w:rPr>
            </w:pPr>
          </w:p>
        </w:tc>
      </w:tr>
      <w:tr w14:paraId="093C841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8879993">
            <w:pPr>
              <w:pStyle w:val="16"/>
              <w:pageBreakBefore w:val="0"/>
              <w:wordWrap/>
              <w:bidi w:val="0"/>
              <w:adjustRightInd/>
              <w:snapToGrid/>
              <w:rPr>
                <w:color w:val="auto"/>
              </w:rPr>
            </w:pPr>
            <w:r>
              <w:rPr>
                <w:color w:val="auto"/>
              </w:rPr>
              <w:t>11</w:t>
            </w:r>
          </w:p>
        </w:tc>
        <w:tc>
          <w:tcPr>
            <w:tcW w:w="843" w:type="pct"/>
            <w:gridSpan w:val="2"/>
            <w:tcBorders>
              <w:tl2br w:val="nil"/>
              <w:tr2bl w:val="nil"/>
            </w:tcBorders>
            <w:noWrap w:val="0"/>
            <w:vAlign w:val="center"/>
          </w:tcPr>
          <w:p w14:paraId="3CE9BF94">
            <w:pPr>
              <w:pStyle w:val="16"/>
              <w:pageBreakBefore w:val="0"/>
              <w:wordWrap/>
              <w:bidi w:val="0"/>
              <w:adjustRightInd/>
              <w:snapToGrid/>
              <w:rPr>
                <w:color w:val="auto"/>
              </w:rPr>
            </w:pPr>
            <w:r>
              <w:rPr>
                <w:color w:val="auto"/>
              </w:rPr>
              <w:t>冲洗水泵</w:t>
            </w:r>
          </w:p>
        </w:tc>
        <w:tc>
          <w:tcPr>
            <w:tcW w:w="1532" w:type="pct"/>
            <w:tcBorders>
              <w:tl2br w:val="nil"/>
              <w:tr2bl w:val="nil"/>
            </w:tcBorders>
            <w:noWrap w:val="0"/>
            <w:vAlign w:val="center"/>
          </w:tcPr>
          <w:p w14:paraId="4418D023">
            <w:pPr>
              <w:pStyle w:val="16"/>
              <w:pageBreakBefore w:val="0"/>
              <w:wordWrap/>
              <w:bidi w:val="0"/>
              <w:adjustRightInd/>
              <w:snapToGrid/>
              <w:rPr>
                <w:color w:val="auto"/>
              </w:rPr>
            </w:pPr>
            <w:r>
              <w:rPr>
                <w:color w:val="auto"/>
              </w:rPr>
              <w:t>Q=8</w:t>
            </w:r>
            <w:r>
              <w:rPr>
                <w:rFonts w:hint="eastAsia"/>
                <w:color w:val="auto"/>
                <w:lang w:eastAsia="zh-CN"/>
              </w:rPr>
              <w:t>m³</w:t>
            </w:r>
            <w:r>
              <w:rPr>
                <w:color w:val="auto"/>
              </w:rPr>
              <w:t>/h</w:t>
            </w:r>
            <w:r>
              <w:rPr>
                <w:rFonts w:hint="eastAsia"/>
                <w:color w:val="auto"/>
                <w:lang w:eastAsia="zh-CN"/>
              </w:rPr>
              <w:t>，</w:t>
            </w:r>
            <w:r>
              <w:rPr>
                <w:color w:val="auto"/>
              </w:rPr>
              <w:t>H=4bar</w:t>
            </w:r>
            <w:r>
              <w:rPr>
                <w:rFonts w:hint="eastAsia"/>
                <w:color w:val="auto"/>
                <w:lang w:eastAsia="zh-CN"/>
              </w:rPr>
              <w:t>，</w:t>
            </w:r>
            <w:r>
              <w:rPr>
                <w:color w:val="auto"/>
              </w:rPr>
              <w:t>N=3.0kW</w:t>
            </w:r>
          </w:p>
        </w:tc>
        <w:tc>
          <w:tcPr>
            <w:tcW w:w="612" w:type="pct"/>
            <w:tcBorders>
              <w:tl2br w:val="nil"/>
              <w:tr2bl w:val="nil"/>
            </w:tcBorders>
            <w:noWrap w:val="0"/>
            <w:vAlign w:val="center"/>
          </w:tcPr>
          <w:p w14:paraId="37592DCE">
            <w:pPr>
              <w:pStyle w:val="16"/>
              <w:pageBreakBefore w:val="0"/>
              <w:wordWrap/>
              <w:bidi w:val="0"/>
              <w:adjustRightInd/>
              <w:snapToGrid/>
              <w:rPr>
                <w:color w:val="auto"/>
              </w:rPr>
            </w:pPr>
          </w:p>
        </w:tc>
        <w:tc>
          <w:tcPr>
            <w:tcW w:w="279" w:type="pct"/>
            <w:tcBorders>
              <w:tl2br w:val="nil"/>
              <w:tr2bl w:val="nil"/>
            </w:tcBorders>
            <w:noWrap w:val="0"/>
            <w:vAlign w:val="center"/>
          </w:tcPr>
          <w:p w14:paraId="28EAD544">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1890715C">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7F4FDDBD">
            <w:pPr>
              <w:pStyle w:val="16"/>
              <w:pageBreakBefore w:val="0"/>
              <w:wordWrap/>
              <w:bidi w:val="0"/>
              <w:adjustRightInd/>
              <w:snapToGrid/>
              <w:rPr>
                <w:color w:val="auto"/>
              </w:rPr>
            </w:pPr>
            <w:r>
              <w:rPr>
                <w:color w:val="auto"/>
              </w:rPr>
              <w:t>与转鼓浓缩机配套</w:t>
            </w:r>
            <w:r>
              <w:rPr>
                <w:rFonts w:hint="eastAsia"/>
                <w:color w:val="auto"/>
                <w:lang w:eastAsia="zh-CN"/>
              </w:rPr>
              <w:t>，</w:t>
            </w:r>
            <w:r>
              <w:rPr>
                <w:color w:val="auto"/>
              </w:rPr>
              <w:t>配套阀门</w:t>
            </w:r>
            <w:r>
              <w:rPr>
                <w:rFonts w:hint="eastAsia"/>
                <w:color w:val="auto"/>
                <w:lang w:eastAsia="zh-CN"/>
              </w:rPr>
              <w:t>、</w:t>
            </w:r>
            <w:r>
              <w:rPr>
                <w:color w:val="auto"/>
              </w:rPr>
              <w:t>阀件和管道</w:t>
            </w:r>
          </w:p>
        </w:tc>
      </w:tr>
      <w:tr w14:paraId="110296D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863B21B">
            <w:pPr>
              <w:pStyle w:val="16"/>
              <w:pageBreakBefore w:val="0"/>
              <w:wordWrap/>
              <w:bidi w:val="0"/>
              <w:adjustRightInd/>
              <w:snapToGrid/>
              <w:rPr>
                <w:color w:val="auto"/>
              </w:rPr>
            </w:pPr>
            <w:r>
              <w:rPr>
                <w:color w:val="auto"/>
              </w:rPr>
              <w:t>12</w:t>
            </w:r>
          </w:p>
        </w:tc>
        <w:tc>
          <w:tcPr>
            <w:tcW w:w="843" w:type="pct"/>
            <w:gridSpan w:val="2"/>
            <w:tcBorders>
              <w:tl2br w:val="nil"/>
              <w:tr2bl w:val="nil"/>
            </w:tcBorders>
            <w:noWrap w:val="0"/>
            <w:vAlign w:val="center"/>
          </w:tcPr>
          <w:p w14:paraId="0BC64931">
            <w:pPr>
              <w:pStyle w:val="16"/>
              <w:pageBreakBefore w:val="0"/>
              <w:wordWrap/>
              <w:bidi w:val="0"/>
              <w:adjustRightInd/>
              <w:snapToGrid/>
              <w:rPr>
                <w:color w:val="auto"/>
              </w:rPr>
            </w:pPr>
            <w:r>
              <w:rPr>
                <w:color w:val="auto"/>
              </w:rPr>
              <w:t>絮凝剂制备系统</w:t>
            </w:r>
          </w:p>
        </w:tc>
        <w:tc>
          <w:tcPr>
            <w:tcW w:w="1532" w:type="pct"/>
            <w:tcBorders>
              <w:tl2br w:val="nil"/>
              <w:tr2bl w:val="nil"/>
            </w:tcBorders>
            <w:noWrap w:val="0"/>
            <w:vAlign w:val="center"/>
          </w:tcPr>
          <w:p w14:paraId="28C50B4D">
            <w:pPr>
              <w:pStyle w:val="16"/>
              <w:pageBreakBefore w:val="0"/>
              <w:wordWrap/>
              <w:bidi w:val="0"/>
              <w:adjustRightInd/>
              <w:snapToGrid/>
              <w:rPr>
                <w:color w:val="auto"/>
              </w:rPr>
            </w:pPr>
            <w:r>
              <w:rPr>
                <w:color w:val="auto"/>
              </w:rPr>
              <w:t>Q=2000L/h</w:t>
            </w:r>
            <w:r>
              <w:rPr>
                <w:rFonts w:hint="eastAsia"/>
                <w:color w:val="auto"/>
                <w:lang w:eastAsia="zh-CN"/>
              </w:rPr>
              <w:t>，</w:t>
            </w:r>
            <w:r>
              <w:rPr>
                <w:color w:val="auto"/>
              </w:rPr>
              <w:t>N=</w:t>
            </w:r>
            <w:r>
              <w:rPr>
                <w:rFonts w:hint="eastAsia"/>
                <w:color w:val="auto"/>
                <w:lang w:eastAsia="zh-CN"/>
              </w:rPr>
              <w:t>1</w:t>
            </w:r>
            <w:r>
              <w:rPr>
                <w:color w:val="auto"/>
              </w:rPr>
              <w:t>.5kW</w:t>
            </w:r>
          </w:p>
        </w:tc>
        <w:tc>
          <w:tcPr>
            <w:tcW w:w="612" w:type="pct"/>
            <w:tcBorders>
              <w:tl2br w:val="nil"/>
              <w:tr2bl w:val="nil"/>
            </w:tcBorders>
            <w:noWrap w:val="0"/>
            <w:vAlign w:val="center"/>
          </w:tcPr>
          <w:p w14:paraId="46EF58AB">
            <w:pPr>
              <w:pStyle w:val="16"/>
              <w:pageBreakBefore w:val="0"/>
              <w:wordWrap/>
              <w:bidi w:val="0"/>
              <w:adjustRightInd/>
              <w:snapToGrid/>
              <w:rPr>
                <w:color w:val="auto"/>
              </w:rPr>
            </w:pPr>
          </w:p>
        </w:tc>
        <w:tc>
          <w:tcPr>
            <w:tcW w:w="279" w:type="pct"/>
            <w:tcBorders>
              <w:tl2br w:val="nil"/>
              <w:tr2bl w:val="nil"/>
            </w:tcBorders>
            <w:noWrap w:val="0"/>
            <w:vAlign w:val="center"/>
          </w:tcPr>
          <w:p w14:paraId="6E13BDC1">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69C16306">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536393EF">
            <w:pPr>
              <w:pStyle w:val="16"/>
              <w:pageBreakBefore w:val="0"/>
              <w:wordWrap/>
              <w:bidi w:val="0"/>
              <w:adjustRightInd/>
              <w:snapToGrid/>
              <w:rPr>
                <w:color w:val="auto"/>
              </w:rPr>
            </w:pPr>
            <w:r>
              <w:rPr>
                <w:color w:val="auto"/>
              </w:rPr>
              <w:t>配套阀门</w:t>
            </w:r>
            <w:r>
              <w:rPr>
                <w:rFonts w:hint="eastAsia"/>
                <w:color w:val="auto"/>
                <w:lang w:eastAsia="zh-CN"/>
              </w:rPr>
              <w:t>、</w:t>
            </w:r>
            <w:r>
              <w:rPr>
                <w:color w:val="auto"/>
              </w:rPr>
              <w:t>阀件和管道</w:t>
            </w:r>
          </w:p>
        </w:tc>
      </w:tr>
      <w:tr w14:paraId="33FCF49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C0BA518">
            <w:pPr>
              <w:pStyle w:val="16"/>
              <w:pageBreakBefore w:val="0"/>
              <w:wordWrap/>
              <w:bidi w:val="0"/>
              <w:adjustRightInd/>
              <w:snapToGrid/>
              <w:rPr>
                <w:color w:val="auto"/>
              </w:rPr>
            </w:pPr>
            <w:r>
              <w:rPr>
                <w:color w:val="auto"/>
              </w:rPr>
              <w:t>13</w:t>
            </w:r>
          </w:p>
        </w:tc>
        <w:tc>
          <w:tcPr>
            <w:tcW w:w="843" w:type="pct"/>
            <w:gridSpan w:val="2"/>
            <w:tcBorders>
              <w:tl2br w:val="nil"/>
              <w:tr2bl w:val="nil"/>
            </w:tcBorders>
            <w:noWrap w:val="0"/>
            <w:vAlign w:val="center"/>
          </w:tcPr>
          <w:p w14:paraId="0CA46ED0">
            <w:pPr>
              <w:pStyle w:val="16"/>
              <w:pageBreakBefore w:val="0"/>
              <w:wordWrap/>
              <w:bidi w:val="0"/>
              <w:adjustRightInd/>
              <w:snapToGrid/>
              <w:rPr>
                <w:color w:val="auto"/>
              </w:rPr>
            </w:pPr>
            <w:r>
              <w:rPr>
                <w:color w:val="auto"/>
              </w:rPr>
              <w:t>絮凝剂投加泵</w:t>
            </w:r>
          </w:p>
        </w:tc>
        <w:tc>
          <w:tcPr>
            <w:tcW w:w="1532" w:type="pct"/>
            <w:tcBorders>
              <w:tl2br w:val="nil"/>
              <w:tr2bl w:val="nil"/>
            </w:tcBorders>
            <w:noWrap w:val="0"/>
            <w:vAlign w:val="center"/>
          </w:tcPr>
          <w:p w14:paraId="1892CAD6">
            <w:pPr>
              <w:pStyle w:val="16"/>
              <w:pageBreakBefore w:val="0"/>
              <w:wordWrap/>
              <w:bidi w:val="0"/>
              <w:adjustRightInd/>
              <w:snapToGrid/>
              <w:rPr>
                <w:color w:val="auto"/>
              </w:rPr>
            </w:pPr>
            <w:r>
              <w:rPr>
                <w:color w:val="auto"/>
              </w:rPr>
              <w:t>Q=0.2</w:t>
            </w:r>
            <w:r>
              <w:rPr>
                <w:rFonts w:hint="eastAsia"/>
                <w:color w:val="auto"/>
                <w:lang w:eastAsia="zh-CN"/>
              </w:rPr>
              <w:t>～</w:t>
            </w:r>
            <w:r>
              <w:rPr>
                <w:color w:val="auto"/>
              </w:rPr>
              <w:t>3</w:t>
            </w:r>
            <w:r>
              <w:rPr>
                <w:rFonts w:hint="eastAsia"/>
                <w:color w:val="auto"/>
                <w:lang w:eastAsia="zh-CN"/>
              </w:rPr>
              <w:t>m³</w:t>
            </w:r>
            <w:r>
              <w:rPr>
                <w:color w:val="auto"/>
              </w:rPr>
              <w:t>/h</w:t>
            </w:r>
            <w:r>
              <w:rPr>
                <w:rFonts w:hint="eastAsia"/>
                <w:color w:val="auto"/>
                <w:lang w:eastAsia="zh-CN"/>
              </w:rPr>
              <w:t>，</w:t>
            </w:r>
            <w:r>
              <w:rPr>
                <w:color w:val="auto"/>
              </w:rPr>
              <w:t>扬程H=20m</w:t>
            </w:r>
            <w:r>
              <w:rPr>
                <w:rFonts w:hint="eastAsia"/>
                <w:color w:val="auto"/>
                <w:lang w:eastAsia="zh-CN"/>
              </w:rPr>
              <w:t>，</w:t>
            </w:r>
            <w:r>
              <w:rPr>
                <w:color w:val="auto"/>
              </w:rPr>
              <w:t>N=</w:t>
            </w:r>
            <w:r>
              <w:rPr>
                <w:rFonts w:hint="eastAsia"/>
                <w:color w:val="auto"/>
                <w:lang w:eastAsia="zh-CN"/>
              </w:rPr>
              <w:t>1</w:t>
            </w:r>
            <w:r>
              <w:rPr>
                <w:color w:val="auto"/>
              </w:rPr>
              <w:t>.5kW配套在线稀释装置</w:t>
            </w:r>
          </w:p>
        </w:tc>
        <w:tc>
          <w:tcPr>
            <w:tcW w:w="612" w:type="pct"/>
            <w:tcBorders>
              <w:tl2br w:val="nil"/>
              <w:tr2bl w:val="nil"/>
            </w:tcBorders>
            <w:noWrap w:val="0"/>
            <w:vAlign w:val="center"/>
          </w:tcPr>
          <w:p w14:paraId="76017FD7">
            <w:pPr>
              <w:pStyle w:val="16"/>
              <w:pageBreakBefore w:val="0"/>
              <w:wordWrap/>
              <w:bidi w:val="0"/>
              <w:adjustRightInd/>
              <w:snapToGrid/>
              <w:rPr>
                <w:color w:val="auto"/>
              </w:rPr>
            </w:pPr>
          </w:p>
        </w:tc>
        <w:tc>
          <w:tcPr>
            <w:tcW w:w="279" w:type="pct"/>
            <w:tcBorders>
              <w:tl2br w:val="nil"/>
              <w:tr2bl w:val="nil"/>
            </w:tcBorders>
            <w:noWrap w:val="0"/>
            <w:vAlign w:val="center"/>
          </w:tcPr>
          <w:p w14:paraId="3AB1754D">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2E78262">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3065FD81">
            <w:pPr>
              <w:pStyle w:val="16"/>
              <w:pageBreakBefore w:val="0"/>
              <w:wordWrap/>
              <w:bidi w:val="0"/>
              <w:adjustRightInd/>
              <w:snapToGrid/>
              <w:rPr>
                <w:color w:val="auto"/>
              </w:rPr>
            </w:pPr>
            <w:r>
              <w:rPr>
                <w:color w:val="auto"/>
              </w:rPr>
              <w:t>与转鼓浓缩机配套</w:t>
            </w:r>
            <w:r>
              <w:rPr>
                <w:rFonts w:hint="eastAsia"/>
                <w:color w:val="auto"/>
                <w:lang w:eastAsia="zh-CN"/>
              </w:rPr>
              <w:t>，</w:t>
            </w:r>
            <w:r>
              <w:rPr>
                <w:color w:val="auto"/>
              </w:rPr>
              <w:t>配套阀门</w:t>
            </w:r>
            <w:r>
              <w:rPr>
                <w:rFonts w:hint="eastAsia"/>
                <w:color w:val="auto"/>
                <w:lang w:eastAsia="zh-CN"/>
              </w:rPr>
              <w:t>、</w:t>
            </w:r>
            <w:r>
              <w:rPr>
                <w:color w:val="auto"/>
              </w:rPr>
              <w:t>阀件和管道</w:t>
            </w:r>
          </w:p>
        </w:tc>
      </w:tr>
      <w:tr w14:paraId="31EBD72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BD05DAD">
            <w:pPr>
              <w:pStyle w:val="16"/>
              <w:pageBreakBefore w:val="0"/>
              <w:wordWrap/>
              <w:bidi w:val="0"/>
              <w:adjustRightInd/>
              <w:snapToGrid/>
              <w:rPr>
                <w:color w:val="auto"/>
              </w:rPr>
            </w:pPr>
            <w:r>
              <w:rPr>
                <w:color w:val="auto"/>
              </w:rPr>
              <w:t>14</w:t>
            </w:r>
          </w:p>
        </w:tc>
        <w:tc>
          <w:tcPr>
            <w:tcW w:w="843" w:type="pct"/>
            <w:gridSpan w:val="2"/>
            <w:tcBorders>
              <w:tl2br w:val="nil"/>
              <w:tr2bl w:val="nil"/>
            </w:tcBorders>
            <w:noWrap w:val="0"/>
            <w:vAlign w:val="center"/>
          </w:tcPr>
          <w:p w14:paraId="0A69B807">
            <w:pPr>
              <w:pStyle w:val="16"/>
              <w:pageBreakBefore w:val="0"/>
              <w:wordWrap/>
              <w:bidi w:val="0"/>
              <w:adjustRightInd/>
              <w:snapToGrid/>
              <w:rPr>
                <w:color w:val="auto"/>
              </w:rPr>
            </w:pPr>
            <w:r>
              <w:rPr>
                <w:color w:val="auto"/>
              </w:rPr>
              <w:t>石灰料仓</w:t>
            </w:r>
          </w:p>
        </w:tc>
        <w:tc>
          <w:tcPr>
            <w:tcW w:w="1532" w:type="pct"/>
            <w:tcBorders>
              <w:tl2br w:val="nil"/>
              <w:tr2bl w:val="nil"/>
            </w:tcBorders>
            <w:noWrap w:val="0"/>
            <w:vAlign w:val="center"/>
          </w:tcPr>
          <w:p w14:paraId="5B64C5BC">
            <w:pPr>
              <w:pStyle w:val="16"/>
              <w:pageBreakBefore w:val="0"/>
              <w:wordWrap/>
              <w:bidi w:val="0"/>
              <w:adjustRightInd/>
              <w:snapToGrid/>
              <w:rPr>
                <w:rFonts w:hint="eastAsia" w:eastAsia="宋体"/>
                <w:color w:val="auto"/>
                <w:lang w:eastAsia="zh-CN"/>
              </w:rPr>
            </w:pPr>
            <w:r>
              <w:rPr>
                <w:color w:val="auto"/>
              </w:rPr>
              <w:t>10</w:t>
            </w:r>
            <w:r>
              <w:rPr>
                <w:rFonts w:hint="eastAsia"/>
                <w:color w:val="auto"/>
                <w:lang w:eastAsia="zh-CN"/>
              </w:rPr>
              <w:t>m³</w:t>
            </w:r>
          </w:p>
        </w:tc>
        <w:tc>
          <w:tcPr>
            <w:tcW w:w="612" w:type="pct"/>
            <w:tcBorders>
              <w:tl2br w:val="nil"/>
              <w:tr2bl w:val="nil"/>
            </w:tcBorders>
            <w:noWrap w:val="0"/>
            <w:vAlign w:val="center"/>
          </w:tcPr>
          <w:p w14:paraId="17891FEE">
            <w:pPr>
              <w:pStyle w:val="16"/>
              <w:pageBreakBefore w:val="0"/>
              <w:wordWrap/>
              <w:bidi w:val="0"/>
              <w:adjustRightInd/>
              <w:snapToGrid/>
              <w:rPr>
                <w:color w:val="auto"/>
              </w:rPr>
            </w:pPr>
          </w:p>
        </w:tc>
        <w:tc>
          <w:tcPr>
            <w:tcW w:w="279" w:type="pct"/>
            <w:tcBorders>
              <w:tl2br w:val="nil"/>
              <w:tr2bl w:val="nil"/>
            </w:tcBorders>
            <w:noWrap w:val="0"/>
            <w:vAlign w:val="center"/>
          </w:tcPr>
          <w:p w14:paraId="5E15563D">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1AD10D2F">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6793ED75">
            <w:pPr>
              <w:pStyle w:val="16"/>
              <w:pageBreakBefore w:val="0"/>
              <w:wordWrap/>
              <w:bidi w:val="0"/>
              <w:adjustRightInd/>
              <w:snapToGrid/>
              <w:rPr>
                <w:color w:val="auto"/>
              </w:rPr>
            </w:pPr>
          </w:p>
        </w:tc>
      </w:tr>
      <w:tr w14:paraId="1069956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247D863">
            <w:pPr>
              <w:pStyle w:val="16"/>
              <w:pageBreakBefore w:val="0"/>
              <w:wordWrap/>
              <w:bidi w:val="0"/>
              <w:adjustRightInd/>
              <w:snapToGrid/>
              <w:rPr>
                <w:color w:val="auto"/>
              </w:rPr>
            </w:pPr>
            <w:r>
              <w:rPr>
                <w:color w:val="auto"/>
              </w:rPr>
              <w:t>15</w:t>
            </w:r>
          </w:p>
        </w:tc>
        <w:tc>
          <w:tcPr>
            <w:tcW w:w="843" w:type="pct"/>
            <w:gridSpan w:val="2"/>
            <w:tcBorders>
              <w:tl2br w:val="nil"/>
              <w:tr2bl w:val="nil"/>
            </w:tcBorders>
            <w:noWrap w:val="0"/>
            <w:vAlign w:val="center"/>
          </w:tcPr>
          <w:p w14:paraId="4D154D2F">
            <w:pPr>
              <w:pStyle w:val="16"/>
              <w:pageBreakBefore w:val="0"/>
              <w:wordWrap/>
              <w:bidi w:val="0"/>
              <w:adjustRightInd/>
              <w:snapToGrid/>
              <w:rPr>
                <w:color w:val="auto"/>
              </w:rPr>
            </w:pPr>
            <w:r>
              <w:rPr>
                <w:color w:val="auto"/>
              </w:rPr>
              <w:t>倾斜螺旋输送机</w:t>
            </w:r>
          </w:p>
        </w:tc>
        <w:tc>
          <w:tcPr>
            <w:tcW w:w="1532" w:type="pct"/>
            <w:tcBorders>
              <w:tl2br w:val="nil"/>
              <w:tr2bl w:val="nil"/>
            </w:tcBorders>
            <w:noWrap w:val="0"/>
            <w:vAlign w:val="center"/>
          </w:tcPr>
          <w:p w14:paraId="6084610E">
            <w:pPr>
              <w:pStyle w:val="16"/>
              <w:pageBreakBefore w:val="0"/>
              <w:wordWrap/>
              <w:bidi w:val="0"/>
              <w:adjustRightInd/>
              <w:snapToGrid/>
              <w:rPr>
                <w:color w:val="auto"/>
              </w:rPr>
            </w:pPr>
            <w:r>
              <w:rPr>
                <w:color w:val="auto"/>
              </w:rPr>
              <w:t>B=350mm</w:t>
            </w:r>
            <w:r>
              <w:rPr>
                <w:rFonts w:hint="eastAsia"/>
                <w:color w:val="auto"/>
                <w:lang w:eastAsia="zh-CN"/>
              </w:rPr>
              <w:t>，</w:t>
            </w:r>
            <w:r>
              <w:rPr>
                <w:color w:val="auto"/>
              </w:rPr>
              <w:t>L=8.0m</w:t>
            </w:r>
            <w:r>
              <w:rPr>
                <w:rFonts w:hint="eastAsia"/>
                <w:color w:val="auto"/>
                <w:lang w:eastAsia="zh-CN"/>
              </w:rPr>
              <w:t>，</w:t>
            </w:r>
            <w:r>
              <w:rPr>
                <w:color w:val="auto"/>
              </w:rPr>
              <w:t>N=5.5kW倾斜角</w:t>
            </w:r>
            <w:r>
              <w:rPr>
                <w:rFonts w:hint="eastAsia"/>
                <w:color w:val="auto"/>
                <w:lang w:eastAsia="zh-CN"/>
              </w:rPr>
              <w:t>度</w:t>
            </w:r>
            <w:r>
              <w:rPr>
                <w:color w:val="auto"/>
              </w:rPr>
              <w:t>25°</w:t>
            </w:r>
          </w:p>
        </w:tc>
        <w:tc>
          <w:tcPr>
            <w:tcW w:w="612" w:type="pct"/>
            <w:tcBorders>
              <w:tl2br w:val="nil"/>
              <w:tr2bl w:val="nil"/>
            </w:tcBorders>
            <w:noWrap w:val="0"/>
            <w:vAlign w:val="center"/>
          </w:tcPr>
          <w:p w14:paraId="11319BC0">
            <w:pPr>
              <w:pStyle w:val="16"/>
              <w:pageBreakBefore w:val="0"/>
              <w:wordWrap/>
              <w:bidi w:val="0"/>
              <w:adjustRightInd/>
              <w:snapToGrid/>
              <w:rPr>
                <w:color w:val="auto"/>
              </w:rPr>
            </w:pPr>
          </w:p>
        </w:tc>
        <w:tc>
          <w:tcPr>
            <w:tcW w:w="279" w:type="pct"/>
            <w:tcBorders>
              <w:tl2br w:val="nil"/>
              <w:tr2bl w:val="nil"/>
            </w:tcBorders>
            <w:noWrap w:val="0"/>
            <w:vAlign w:val="center"/>
          </w:tcPr>
          <w:p w14:paraId="5ED552D0">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19AE402A">
            <w:pPr>
              <w:pStyle w:val="16"/>
              <w:pageBreakBefore w:val="0"/>
              <w:wordWrap/>
              <w:bidi w:val="0"/>
              <w:adjustRightInd/>
              <w:snapToGrid/>
              <w:rPr>
                <w:color w:val="auto"/>
              </w:rPr>
            </w:pPr>
          </w:p>
        </w:tc>
        <w:tc>
          <w:tcPr>
            <w:tcW w:w="1132" w:type="pct"/>
            <w:tcBorders>
              <w:tl2br w:val="nil"/>
              <w:tr2bl w:val="nil"/>
            </w:tcBorders>
            <w:noWrap w:val="0"/>
            <w:vAlign w:val="center"/>
          </w:tcPr>
          <w:p w14:paraId="21B7812E">
            <w:pPr>
              <w:pStyle w:val="16"/>
              <w:pageBreakBefore w:val="0"/>
              <w:wordWrap/>
              <w:bidi w:val="0"/>
              <w:adjustRightInd/>
              <w:snapToGrid/>
              <w:rPr>
                <w:color w:val="auto"/>
              </w:rPr>
            </w:pPr>
            <w:r>
              <w:rPr>
                <w:color w:val="auto"/>
              </w:rPr>
              <w:t>用于投加石灰至搅拌罐</w:t>
            </w:r>
          </w:p>
        </w:tc>
      </w:tr>
      <w:tr w14:paraId="13E961D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2A9839F">
            <w:pPr>
              <w:pStyle w:val="16"/>
              <w:pageBreakBefore w:val="0"/>
              <w:wordWrap/>
              <w:bidi w:val="0"/>
              <w:adjustRightInd/>
              <w:snapToGrid/>
              <w:rPr>
                <w:color w:val="auto"/>
              </w:rPr>
            </w:pPr>
            <w:r>
              <w:rPr>
                <w:color w:val="auto"/>
              </w:rPr>
              <w:t>16</w:t>
            </w:r>
          </w:p>
        </w:tc>
        <w:tc>
          <w:tcPr>
            <w:tcW w:w="843" w:type="pct"/>
            <w:gridSpan w:val="2"/>
            <w:tcBorders>
              <w:tl2br w:val="nil"/>
              <w:tr2bl w:val="nil"/>
            </w:tcBorders>
            <w:noWrap w:val="0"/>
            <w:vAlign w:val="center"/>
          </w:tcPr>
          <w:p w14:paraId="6147D8BA">
            <w:pPr>
              <w:pStyle w:val="16"/>
              <w:pageBreakBefore w:val="0"/>
              <w:wordWrap/>
              <w:bidi w:val="0"/>
              <w:adjustRightInd/>
              <w:snapToGrid/>
              <w:rPr>
                <w:color w:val="auto"/>
              </w:rPr>
            </w:pPr>
            <w:r>
              <w:rPr>
                <w:color w:val="auto"/>
              </w:rPr>
              <w:t>石灰浆搅拌罐</w:t>
            </w:r>
          </w:p>
        </w:tc>
        <w:tc>
          <w:tcPr>
            <w:tcW w:w="1532" w:type="pct"/>
            <w:tcBorders>
              <w:tl2br w:val="nil"/>
              <w:tr2bl w:val="nil"/>
            </w:tcBorders>
            <w:noWrap w:val="0"/>
            <w:vAlign w:val="center"/>
          </w:tcPr>
          <w:p w14:paraId="4FB98259">
            <w:pPr>
              <w:pStyle w:val="16"/>
              <w:pageBreakBefore w:val="0"/>
              <w:wordWrap/>
              <w:bidi w:val="0"/>
              <w:adjustRightInd/>
              <w:snapToGrid/>
              <w:rPr>
                <w:color w:val="auto"/>
              </w:rPr>
            </w:pPr>
            <w:r>
              <w:rPr>
                <w:color w:val="auto"/>
              </w:rPr>
              <w:t>5</w:t>
            </w:r>
            <w:r>
              <w:rPr>
                <w:rFonts w:hint="eastAsia"/>
                <w:color w:val="auto"/>
                <w:lang w:eastAsia="zh-CN"/>
              </w:rPr>
              <w:t>m³，</w:t>
            </w:r>
            <w:r>
              <w:rPr>
                <w:color w:val="auto"/>
              </w:rPr>
              <w:t>N=</w:t>
            </w:r>
            <w:r>
              <w:rPr>
                <w:rFonts w:hint="eastAsia"/>
                <w:color w:val="auto"/>
                <w:lang w:eastAsia="zh-CN"/>
              </w:rPr>
              <w:t>1</w:t>
            </w:r>
            <w:r>
              <w:rPr>
                <w:color w:val="auto"/>
              </w:rPr>
              <w:t>.5kw</w:t>
            </w:r>
            <w:r>
              <w:rPr>
                <w:rFonts w:hint="eastAsia"/>
                <w:color w:val="auto"/>
                <w:lang w:eastAsia="zh-CN"/>
              </w:rPr>
              <w:t>，</w:t>
            </w:r>
            <w:r>
              <w:rPr>
                <w:color w:val="auto"/>
              </w:rPr>
              <w:t>N=</w:t>
            </w:r>
            <w:r>
              <w:rPr>
                <w:rFonts w:hint="eastAsia"/>
                <w:color w:val="auto"/>
                <w:lang w:eastAsia="zh-CN"/>
              </w:rPr>
              <w:t>1</w:t>
            </w:r>
            <w:r>
              <w:rPr>
                <w:color w:val="auto"/>
              </w:rPr>
              <w:t>.5kw</w:t>
            </w:r>
          </w:p>
        </w:tc>
        <w:tc>
          <w:tcPr>
            <w:tcW w:w="612" w:type="pct"/>
            <w:tcBorders>
              <w:tl2br w:val="nil"/>
              <w:tr2bl w:val="nil"/>
            </w:tcBorders>
            <w:noWrap w:val="0"/>
            <w:vAlign w:val="center"/>
          </w:tcPr>
          <w:p w14:paraId="68B0A6FC">
            <w:pPr>
              <w:pStyle w:val="16"/>
              <w:pageBreakBefore w:val="0"/>
              <w:wordWrap/>
              <w:bidi w:val="0"/>
              <w:adjustRightInd/>
              <w:snapToGrid/>
              <w:rPr>
                <w:color w:val="auto"/>
              </w:rPr>
            </w:pPr>
          </w:p>
        </w:tc>
        <w:tc>
          <w:tcPr>
            <w:tcW w:w="279" w:type="pct"/>
            <w:tcBorders>
              <w:tl2br w:val="nil"/>
              <w:tr2bl w:val="nil"/>
            </w:tcBorders>
            <w:noWrap w:val="0"/>
            <w:vAlign w:val="center"/>
          </w:tcPr>
          <w:p w14:paraId="4EFA35EF">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2430ADA7">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1E8C2214">
            <w:pPr>
              <w:pStyle w:val="16"/>
              <w:pageBreakBefore w:val="0"/>
              <w:wordWrap/>
              <w:bidi w:val="0"/>
              <w:adjustRightInd/>
              <w:snapToGrid/>
              <w:rPr>
                <w:color w:val="auto"/>
              </w:rPr>
            </w:pPr>
          </w:p>
        </w:tc>
      </w:tr>
      <w:tr w14:paraId="5272898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1BDAE28">
            <w:pPr>
              <w:pStyle w:val="16"/>
              <w:pageBreakBefore w:val="0"/>
              <w:wordWrap/>
              <w:bidi w:val="0"/>
              <w:adjustRightInd/>
              <w:snapToGrid/>
              <w:rPr>
                <w:color w:val="auto"/>
              </w:rPr>
            </w:pPr>
            <w:r>
              <w:rPr>
                <w:color w:val="auto"/>
              </w:rPr>
              <w:t>17</w:t>
            </w:r>
          </w:p>
        </w:tc>
        <w:tc>
          <w:tcPr>
            <w:tcW w:w="843" w:type="pct"/>
            <w:gridSpan w:val="2"/>
            <w:tcBorders>
              <w:tl2br w:val="nil"/>
              <w:tr2bl w:val="nil"/>
            </w:tcBorders>
            <w:noWrap w:val="0"/>
            <w:vAlign w:val="center"/>
          </w:tcPr>
          <w:p w14:paraId="55FCBC09">
            <w:pPr>
              <w:pStyle w:val="16"/>
              <w:pageBreakBefore w:val="0"/>
              <w:wordWrap/>
              <w:bidi w:val="0"/>
              <w:adjustRightInd/>
              <w:snapToGrid/>
              <w:rPr>
                <w:color w:val="auto"/>
              </w:rPr>
            </w:pPr>
            <w:r>
              <w:rPr>
                <w:color w:val="auto"/>
              </w:rPr>
              <w:t>石灰乳泵</w:t>
            </w:r>
          </w:p>
        </w:tc>
        <w:tc>
          <w:tcPr>
            <w:tcW w:w="1532" w:type="pct"/>
            <w:tcBorders>
              <w:tl2br w:val="nil"/>
              <w:tr2bl w:val="nil"/>
            </w:tcBorders>
            <w:noWrap w:val="0"/>
            <w:vAlign w:val="center"/>
          </w:tcPr>
          <w:p w14:paraId="316D275E">
            <w:pPr>
              <w:pStyle w:val="16"/>
              <w:pageBreakBefore w:val="0"/>
              <w:wordWrap/>
              <w:bidi w:val="0"/>
              <w:adjustRightInd/>
              <w:snapToGrid/>
              <w:rPr>
                <w:color w:val="auto"/>
              </w:rPr>
            </w:pPr>
            <w:r>
              <w:rPr>
                <w:color w:val="auto"/>
              </w:rPr>
              <w:t>输送量3</w:t>
            </w:r>
            <w:r>
              <w:rPr>
                <w:rFonts w:hint="eastAsia"/>
                <w:color w:val="auto"/>
                <w:lang w:eastAsia="zh-CN"/>
              </w:rPr>
              <w:t>m³</w:t>
            </w:r>
            <w:r>
              <w:rPr>
                <w:color w:val="auto"/>
              </w:rPr>
              <w:t>/h</w:t>
            </w:r>
            <w:r>
              <w:rPr>
                <w:rFonts w:hint="eastAsia"/>
                <w:color w:val="auto"/>
                <w:lang w:eastAsia="zh-CN"/>
              </w:rPr>
              <w:t>，</w:t>
            </w:r>
            <w:r>
              <w:rPr>
                <w:color w:val="auto"/>
              </w:rPr>
              <w:t>N=</w:t>
            </w:r>
            <w:r>
              <w:rPr>
                <w:rFonts w:hint="eastAsia"/>
                <w:color w:val="auto"/>
                <w:lang w:eastAsia="zh-CN"/>
              </w:rPr>
              <w:t>1</w:t>
            </w:r>
            <w:r>
              <w:rPr>
                <w:color w:val="auto"/>
              </w:rPr>
              <w:t>.5kw</w:t>
            </w:r>
            <w:r>
              <w:rPr>
                <w:rFonts w:hint="eastAsia"/>
                <w:color w:val="auto"/>
                <w:lang w:eastAsia="zh-CN"/>
              </w:rPr>
              <w:t>，</w:t>
            </w:r>
            <w:r>
              <w:rPr>
                <w:color w:val="auto"/>
              </w:rPr>
              <w:t>含变频器</w:t>
            </w:r>
          </w:p>
        </w:tc>
        <w:tc>
          <w:tcPr>
            <w:tcW w:w="612" w:type="pct"/>
            <w:tcBorders>
              <w:tl2br w:val="nil"/>
              <w:tr2bl w:val="nil"/>
            </w:tcBorders>
            <w:noWrap w:val="0"/>
            <w:vAlign w:val="center"/>
          </w:tcPr>
          <w:p w14:paraId="0304DF63">
            <w:pPr>
              <w:pStyle w:val="16"/>
              <w:pageBreakBefore w:val="0"/>
              <w:wordWrap/>
              <w:bidi w:val="0"/>
              <w:adjustRightInd/>
              <w:snapToGrid/>
              <w:rPr>
                <w:color w:val="auto"/>
              </w:rPr>
            </w:pPr>
          </w:p>
        </w:tc>
        <w:tc>
          <w:tcPr>
            <w:tcW w:w="279" w:type="pct"/>
            <w:tcBorders>
              <w:tl2br w:val="nil"/>
              <w:tr2bl w:val="nil"/>
            </w:tcBorders>
            <w:noWrap w:val="0"/>
            <w:vAlign w:val="center"/>
          </w:tcPr>
          <w:p w14:paraId="0E93252D">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34A2E03">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0C0E7696">
            <w:pPr>
              <w:pStyle w:val="16"/>
              <w:pageBreakBefore w:val="0"/>
              <w:wordWrap/>
              <w:bidi w:val="0"/>
              <w:adjustRightInd/>
              <w:snapToGrid/>
              <w:rPr>
                <w:color w:val="auto"/>
              </w:rPr>
            </w:pPr>
            <w:r>
              <w:rPr>
                <w:color w:val="auto"/>
              </w:rPr>
              <w:t>配套阀门</w:t>
            </w:r>
            <w:r>
              <w:rPr>
                <w:rFonts w:hint="eastAsia"/>
                <w:color w:val="auto"/>
                <w:lang w:eastAsia="zh-CN"/>
              </w:rPr>
              <w:t>、</w:t>
            </w:r>
            <w:r>
              <w:rPr>
                <w:color w:val="auto"/>
              </w:rPr>
              <w:t>阀件和管道</w:t>
            </w:r>
          </w:p>
        </w:tc>
      </w:tr>
      <w:tr w14:paraId="4A09044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0676A29">
            <w:pPr>
              <w:pStyle w:val="16"/>
              <w:pageBreakBefore w:val="0"/>
              <w:wordWrap/>
              <w:bidi w:val="0"/>
              <w:adjustRightInd/>
              <w:snapToGrid/>
              <w:rPr>
                <w:color w:val="auto"/>
              </w:rPr>
            </w:pPr>
            <w:r>
              <w:rPr>
                <w:color w:val="auto"/>
              </w:rPr>
              <w:t>18</w:t>
            </w:r>
          </w:p>
        </w:tc>
        <w:tc>
          <w:tcPr>
            <w:tcW w:w="843" w:type="pct"/>
            <w:gridSpan w:val="2"/>
            <w:tcBorders>
              <w:tl2br w:val="nil"/>
              <w:tr2bl w:val="nil"/>
            </w:tcBorders>
            <w:noWrap w:val="0"/>
            <w:vAlign w:val="center"/>
          </w:tcPr>
          <w:p w14:paraId="4D57F586">
            <w:pPr>
              <w:pStyle w:val="16"/>
              <w:pageBreakBefore w:val="0"/>
              <w:wordWrap/>
              <w:bidi w:val="0"/>
              <w:adjustRightInd/>
              <w:snapToGrid/>
              <w:rPr>
                <w:color w:val="auto"/>
              </w:rPr>
            </w:pPr>
            <w:r>
              <w:rPr>
                <w:color w:val="auto"/>
              </w:rPr>
              <w:t>铁盐储存罐</w:t>
            </w:r>
          </w:p>
        </w:tc>
        <w:tc>
          <w:tcPr>
            <w:tcW w:w="1532" w:type="pct"/>
            <w:tcBorders>
              <w:tl2br w:val="nil"/>
              <w:tr2bl w:val="nil"/>
            </w:tcBorders>
            <w:noWrap w:val="0"/>
            <w:vAlign w:val="center"/>
          </w:tcPr>
          <w:p w14:paraId="358ACF25">
            <w:pPr>
              <w:pStyle w:val="16"/>
              <w:pageBreakBefore w:val="0"/>
              <w:wordWrap/>
              <w:bidi w:val="0"/>
              <w:adjustRightInd/>
              <w:snapToGrid/>
              <w:rPr>
                <w:rFonts w:hint="eastAsia" w:eastAsia="宋体"/>
                <w:color w:val="auto"/>
                <w:lang w:eastAsia="zh-CN"/>
              </w:rPr>
            </w:pPr>
            <w:r>
              <w:rPr>
                <w:color w:val="auto"/>
              </w:rPr>
              <w:t>储存罐</w:t>
            </w:r>
            <w:r>
              <w:rPr>
                <w:rFonts w:hint="eastAsia"/>
                <w:color w:val="auto"/>
                <w:lang w:eastAsia="zh-CN"/>
              </w:rPr>
              <w:t>：</w:t>
            </w:r>
            <w:r>
              <w:rPr>
                <w:color w:val="auto"/>
              </w:rPr>
              <w:t>20</w:t>
            </w:r>
            <w:r>
              <w:rPr>
                <w:rFonts w:hint="eastAsia"/>
                <w:color w:val="auto"/>
                <w:lang w:eastAsia="zh-CN"/>
              </w:rPr>
              <w:t>m³</w:t>
            </w:r>
          </w:p>
        </w:tc>
        <w:tc>
          <w:tcPr>
            <w:tcW w:w="612" w:type="pct"/>
            <w:tcBorders>
              <w:tl2br w:val="nil"/>
              <w:tr2bl w:val="nil"/>
            </w:tcBorders>
            <w:noWrap w:val="0"/>
            <w:vAlign w:val="center"/>
          </w:tcPr>
          <w:p w14:paraId="6B5F7669">
            <w:pPr>
              <w:pStyle w:val="16"/>
              <w:pageBreakBefore w:val="0"/>
              <w:wordWrap/>
              <w:bidi w:val="0"/>
              <w:adjustRightInd/>
              <w:snapToGrid/>
              <w:rPr>
                <w:color w:val="auto"/>
              </w:rPr>
            </w:pPr>
          </w:p>
        </w:tc>
        <w:tc>
          <w:tcPr>
            <w:tcW w:w="279" w:type="pct"/>
            <w:tcBorders>
              <w:tl2br w:val="nil"/>
              <w:tr2bl w:val="nil"/>
            </w:tcBorders>
            <w:noWrap w:val="0"/>
            <w:vAlign w:val="center"/>
          </w:tcPr>
          <w:p w14:paraId="1F4EDFF0">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622F5C22">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038214D3">
            <w:pPr>
              <w:pStyle w:val="16"/>
              <w:pageBreakBefore w:val="0"/>
              <w:wordWrap/>
              <w:bidi w:val="0"/>
              <w:adjustRightInd/>
              <w:snapToGrid/>
              <w:rPr>
                <w:color w:val="auto"/>
              </w:rPr>
            </w:pPr>
          </w:p>
        </w:tc>
      </w:tr>
      <w:tr w14:paraId="77A4BF9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4DBF472">
            <w:pPr>
              <w:pStyle w:val="16"/>
              <w:pageBreakBefore w:val="0"/>
              <w:wordWrap/>
              <w:bidi w:val="0"/>
              <w:adjustRightInd/>
              <w:snapToGrid/>
              <w:rPr>
                <w:color w:val="auto"/>
              </w:rPr>
            </w:pPr>
            <w:r>
              <w:rPr>
                <w:color w:val="auto"/>
              </w:rPr>
              <w:t>19</w:t>
            </w:r>
          </w:p>
        </w:tc>
        <w:tc>
          <w:tcPr>
            <w:tcW w:w="843" w:type="pct"/>
            <w:gridSpan w:val="2"/>
            <w:tcBorders>
              <w:tl2br w:val="nil"/>
              <w:tr2bl w:val="nil"/>
            </w:tcBorders>
            <w:noWrap w:val="0"/>
            <w:vAlign w:val="center"/>
          </w:tcPr>
          <w:p w14:paraId="54A78BC3">
            <w:pPr>
              <w:pStyle w:val="16"/>
              <w:pageBreakBefore w:val="0"/>
              <w:wordWrap/>
              <w:bidi w:val="0"/>
              <w:adjustRightInd/>
              <w:snapToGrid/>
              <w:rPr>
                <w:color w:val="auto"/>
              </w:rPr>
            </w:pPr>
            <w:r>
              <w:rPr>
                <w:color w:val="auto"/>
              </w:rPr>
              <w:t>铁盐计量泵</w:t>
            </w:r>
          </w:p>
        </w:tc>
        <w:tc>
          <w:tcPr>
            <w:tcW w:w="1532" w:type="pct"/>
            <w:tcBorders>
              <w:tl2br w:val="nil"/>
              <w:tr2bl w:val="nil"/>
            </w:tcBorders>
            <w:noWrap w:val="0"/>
            <w:vAlign w:val="center"/>
          </w:tcPr>
          <w:p w14:paraId="72461CF8">
            <w:pPr>
              <w:pStyle w:val="16"/>
              <w:pageBreakBefore w:val="0"/>
              <w:wordWrap/>
              <w:bidi w:val="0"/>
              <w:adjustRightInd/>
              <w:snapToGrid/>
              <w:rPr>
                <w:color w:val="auto"/>
              </w:rPr>
            </w:pPr>
            <w:r>
              <w:rPr>
                <w:color w:val="auto"/>
              </w:rPr>
              <w:t>330L/h</w:t>
            </w:r>
            <w:r>
              <w:rPr>
                <w:rFonts w:hint="eastAsia"/>
                <w:color w:val="auto"/>
                <w:lang w:eastAsia="zh-CN"/>
              </w:rPr>
              <w:t>，</w:t>
            </w:r>
            <w:r>
              <w:rPr>
                <w:color w:val="auto"/>
              </w:rPr>
              <w:t>N=</w:t>
            </w:r>
            <w:r>
              <w:rPr>
                <w:rFonts w:hint="eastAsia"/>
                <w:color w:val="auto"/>
                <w:lang w:eastAsia="zh-CN"/>
              </w:rPr>
              <w:t>1</w:t>
            </w:r>
            <w:r>
              <w:rPr>
                <w:color w:val="auto"/>
              </w:rPr>
              <w:t>.5kw</w:t>
            </w:r>
          </w:p>
        </w:tc>
        <w:tc>
          <w:tcPr>
            <w:tcW w:w="612" w:type="pct"/>
            <w:tcBorders>
              <w:tl2br w:val="nil"/>
              <w:tr2bl w:val="nil"/>
            </w:tcBorders>
            <w:noWrap w:val="0"/>
            <w:vAlign w:val="center"/>
          </w:tcPr>
          <w:p w14:paraId="23E46C38">
            <w:pPr>
              <w:pStyle w:val="16"/>
              <w:pageBreakBefore w:val="0"/>
              <w:wordWrap/>
              <w:bidi w:val="0"/>
              <w:adjustRightInd/>
              <w:snapToGrid/>
              <w:rPr>
                <w:color w:val="auto"/>
              </w:rPr>
            </w:pPr>
          </w:p>
        </w:tc>
        <w:tc>
          <w:tcPr>
            <w:tcW w:w="279" w:type="pct"/>
            <w:tcBorders>
              <w:tl2br w:val="nil"/>
              <w:tr2bl w:val="nil"/>
            </w:tcBorders>
            <w:noWrap w:val="0"/>
            <w:vAlign w:val="center"/>
          </w:tcPr>
          <w:p w14:paraId="540D2A34">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99CE744">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07B3CC8F">
            <w:pPr>
              <w:pStyle w:val="16"/>
              <w:pageBreakBefore w:val="0"/>
              <w:wordWrap/>
              <w:bidi w:val="0"/>
              <w:adjustRightInd/>
              <w:snapToGrid/>
              <w:rPr>
                <w:color w:val="auto"/>
              </w:rPr>
            </w:pPr>
          </w:p>
        </w:tc>
      </w:tr>
      <w:tr w14:paraId="25C8E3A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86C64A7">
            <w:pPr>
              <w:pStyle w:val="16"/>
              <w:pageBreakBefore w:val="0"/>
              <w:wordWrap/>
              <w:bidi w:val="0"/>
              <w:adjustRightInd/>
              <w:snapToGrid/>
              <w:rPr>
                <w:color w:val="auto"/>
              </w:rPr>
            </w:pPr>
            <w:r>
              <w:rPr>
                <w:color w:val="auto"/>
              </w:rPr>
              <w:t>20</w:t>
            </w:r>
          </w:p>
        </w:tc>
        <w:tc>
          <w:tcPr>
            <w:tcW w:w="843" w:type="pct"/>
            <w:gridSpan w:val="2"/>
            <w:tcBorders>
              <w:tl2br w:val="nil"/>
              <w:tr2bl w:val="nil"/>
            </w:tcBorders>
            <w:noWrap w:val="0"/>
            <w:vAlign w:val="center"/>
          </w:tcPr>
          <w:p w14:paraId="677DCE24">
            <w:pPr>
              <w:pStyle w:val="16"/>
              <w:pageBreakBefore w:val="0"/>
              <w:wordWrap/>
              <w:bidi w:val="0"/>
              <w:adjustRightInd/>
              <w:snapToGrid/>
              <w:rPr>
                <w:color w:val="auto"/>
              </w:rPr>
            </w:pPr>
            <w:r>
              <w:rPr>
                <w:color w:val="auto"/>
              </w:rPr>
              <w:t>铁盐卸药泵</w:t>
            </w:r>
          </w:p>
        </w:tc>
        <w:tc>
          <w:tcPr>
            <w:tcW w:w="1532" w:type="pct"/>
            <w:tcBorders>
              <w:tl2br w:val="nil"/>
              <w:tr2bl w:val="nil"/>
            </w:tcBorders>
            <w:noWrap w:val="0"/>
            <w:vAlign w:val="center"/>
          </w:tcPr>
          <w:p w14:paraId="172E9C78">
            <w:pPr>
              <w:pStyle w:val="16"/>
              <w:pageBreakBefore w:val="0"/>
              <w:wordWrap/>
              <w:bidi w:val="0"/>
              <w:adjustRightInd/>
              <w:snapToGrid/>
              <w:rPr>
                <w:color w:val="auto"/>
              </w:rPr>
            </w:pPr>
            <w:r>
              <w:rPr>
                <w:color w:val="auto"/>
              </w:rPr>
              <w:t>330L/h</w:t>
            </w:r>
            <w:r>
              <w:rPr>
                <w:rFonts w:hint="eastAsia"/>
                <w:color w:val="auto"/>
                <w:lang w:eastAsia="zh-CN"/>
              </w:rPr>
              <w:t>，</w:t>
            </w:r>
            <w:r>
              <w:rPr>
                <w:color w:val="auto"/>
              </w:rPr>
              <w:t>N=</w:t>
            </w:r>
            <w:r>
              <w:rPr>
                <w:rFonts w:hint="eastAsia"/>
                <w:color w:val="auto"/>
                <w:lang w:eastAsia="zh-CN"/>
              </w:rPr>
              <w:t>1</w:t>
            </w:r>
            <w:r>
              <w:rPr>
                <w:color w:val="auto"/>
              </w:rPr>
              <w:t>.5kw</w:t>
            </w:r>
          </w:p>
        </w:tc>
        <w:tc>
          <w:tcPr>
            <w:tcW w:w="612" w:type="pct"/>
            <w:tcBorders>
              <w:tl2br w:val="nil"/>
              <w:tr2bl w:val="nil"/>
            </w:tcBorders>
            <w:noWrap w:val="0"/>
            <w:vAlign w:val="center"/>
          </w:tcPr>
          <w:p w14:paraId="32CF6ADF">
            <w:pPr>
              <w:pStyle w:val="16"/>
              <w:pageBreakBefore w:val="0"/>
              <w:wordWrap/>
              <w:bidi w:val="0"/>
              <w:adjustRightInd/>
              <w:snapToGrid/>
              <w:rPr>
                <w:color w:val="auto"/>
              </w:rPr>
            </w:pPr>
          </w:p>
        </w:tc>
        <w:tc>
          <w:tcPr>
            <w:tcW w:w="279" w:type="pct"/>
            <w:tcBorders>
              <w:tl2br w:val="nil"/>
              <w:tr2bl w:val="nil"/>
            </w:tcBorders>
            <w:noWrap w:val="0"/>
            <w:vAlign w:val="center"/>
          </w:tcPr>
          <w:p w14:paraId="6427520C">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25C5198">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A00BC2B">
            <w:pPr>
              <w:pStyle w:val="16"/>
              <w:pageBreakBefore w:val="0"/>
              <w:wordWrap/>
              <w:bidi w:val="0"/>
              <w:adjustRightInd/>
              <w:snapToGrid/>
              <w:rPr>
                <w:color w:val="auto"/>
              </w:rPr>
            </w:pPr>
          </w:p>
        </w:tc>
      </w:tr>
      <w:tr w14:paraId="0A96910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123623C">
            <w:pPr>
              <w:pStyle w:val="16"/>
              <w:pageBreakBefore w:val="0"/>
              <w:wordWrap/>
              <w:bidi w:val="0"/>
              <w:adjustRightInd/>
              <w:snapToGrid/>
              <w:rPr>
                <w:color w:val="auto"/>
              </w:rPr>
            </w:pPr>
            <w:r>
              <w:rPr>
                <w:color w:val="auto"/>
              </w:rPr>
              <w:t>21</w:t>
            </w:r>
          </w:p>
        </w:tc>
        <w:tc>
          <w:tcPr>
            <w:tcW w:w="843" w:type="pct"/>
            <w:gridSpan w:val="2"/>
            <w:tcBorders>
              <w:tl2br w:val="nil"/>
              <w:tr2bl w:val="nil"/>
            </w:tcBorders>
            <w:noWrap w:val="0"/>
            <w:vAlign w:val="center"/>
          </w:tcPr>
          <w:p w14:paraId="2A73E53A">
            <w:pPr>
              <w:pStyle w:val="16"/>
              <w:pageBreakBefore w:val="0"/>
              <w:wordWrap/>
              <w:bidi w:val="0"/>
              <w:adjustRightInd/>
              <w:snapToGrid/>
              <w:rPr>
                <w:color w:val="auto"/>
              </w:rPr>
            </w:pPr>
            <w:r>
              <w:rPr>
                <w:color w:val="auto"/>
              </w:rPr>
              <w:t>反吹储气罐</w:t>
            </w:r>
          </w:p>
        </w:tc>
        <w:tc>
          <w:tcPr>
            <w:tcW w:w="1532" w:type="pct"/>
            <w:tcBorders>
              <w:tl2br w:val="nil"/>
              <w:tr2bl w:val="nil"/>
            </w:tcBorders>
            <w:noWrap w:val="0"/>
            <w:vAlign w:val="center"/>
          </w:tcPr>
          <w:p w14:paraId="382DA51A">
            <w:pPr>
              <w:pStyle w:val="16"/>
              <w:pageBreakBefore w:val="0"/>
              <w:wordWrap/>
              <w:bidi w:val="0"/>
              <w:adjustRightInd/>
              <w:snapToGrid/>
              <w:rPr>
                <w:color w:val="auto"/>
              </w:rPr>
            </w:pPr>
            <w:r>
              <w:rPr>
                <w:color w:val="auto"/>
              </w:rPr>
              <w:t>V=5</w:t>
            </w:r>
            <w:r>
              <w:rPr>
                <w:rFonts w:hint="eastAsia"/>
                <w:color w:val="auto"/>
                <w:lang w:eastAsia="zh-CN"/>
              </w:rPr>
              <w:t>m³，</w:t>
            </w:r>
            <w:r>
              <w:rPr>
                <w:color w:val="auto"/>
              </w:rPr>
              <w:t>工作压力0.8MPa</w:t>
            </w:r>
            <w:r>
              <w:rPr>
                <w:rFonts w:hint="eastAsia"/>
                <w:color w:val="auto"/>
                <w:lang w:eastAsia="zh-CN"/>
              </w:rPr>
              <w:t>，</w:t>
            </w:r>
            <w:r>
              <w:rPr>
                <w:color w:val="auto"/>
              </w:rPr>
              <w:t>最高温</w:t>
            </w:r>
            <w:r>
              <w:rPr>
                <w:rFonts w:hint="eastAsia"/>
                <w:color w:val="auto"/>
                <w:lang w:eastAsia="zh-CN"/>
              </w:rPr>
              <w:t>度</w:t>
            </w:r>
            <w:r>
              <w:rPr>
                <w:color w:val="auto"/>
              </w:rPr>
              <w:t>110℃</w:t>
            </w:r>
          </w:p>
        </w:tc>
        <w:tc>
          <w:tcPr>
            <w:tcW w:w="612" w:type="pct"/>
            <w:tcBorders>
              <w:tl2br w:val="nil"/>
              <w:tr2bl w:val="nil"/>
            </w:tcBorders>
            <w:noWrap w:val="0"/>
            <w:vAlign w:val="center"/>
          </w:tcPr>
          <w:p w14:paraId="3267287D">
            <w:pPr>
              <w:pStyle w:val="16"/>
              <w:pageBreakBefore w:val="0"/>
              <w:wordWrap/>
              <w:bidi w:val="0"/>
              <w:adjustRightInd/>
              <w:snapToGrid/>
              <w:rPr>
                <w:color w:val="auto"/>
              </w:rPr>
            </w:pPr>
          </w:p>
        </w:tc>
        <w:tc>
          <w:tcPr>
            <w:tcW w:w="279" w:type="pct"/>
            <w:tcBorders>
              <w:tl2br w:val="nil"/>
              <w:tr2bl w:val="nil"/>
            </w:tcBorders>
            <w:noWrap w:val="0"/>
            <w:vAlign w:val="center"/>
          </w:tcPr>
          <w:p w14:paraId="7F457211">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846CAB6">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233EBFF4">
            <w:pPr>
              <w:pStyle w:val="16"/>
              <w:pageBreakBefore w:val="0"/>
              <w:wordWrap/>
              <w:bidi w:val="0"/>
              <w:adjustRightInd/>
              <w:snapToGrid/>
              <w:rPr>
                <w:color w:val="auto"/>
              </w:rPr>
            </w:pPr>
          </w:p>
        </w:tc>
      </w:tr>
      <w:tr w14:paraId="7C7525C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4BA61E7">
            <w:pPr>
              <w:pStyle w:val="16"/>
              <w:pageBreakBefore w:val="0"/>
              <w:wordWrap/>
              <w:bidi w:val="0"/>
              <w:adjustRightInd/>
              <w:snapToGrid/>
              <w:rPr>
                <w:color w:val="auto"/>
              </w:rPr>
            </w:pPr>
            <w:r>
              <w:rPr>
                <w:color w:val="auto"/>
              </w:rPr>
              <w:t>22</w:t>
            </w:r>
          </w:p>
        </w:tc>
        <w:tc>
          <w:tcPr>
            <w:tcW w:w="843" w:type="pct"/>
            <w:gridSpan w:val="2"/>
            <w:tcBorders>
              <w:tl2br w:val="nil"/>
              <w:tr2bl w:val="nil"/>
            </w:tcBorders>
            <w:noWrap w:val="0"/>
            <w:vAlign w:val="center"/>
          </w:tcPr>
          <w:p w14:paraId="24B7E317">
            <w:pPr>
              <w:pStyle w:val="16"/>
              <w:pageBreakBefore w:val="0"/>
              <w:wordWrap/>
              <w:bidi w:val="0"/>
              <w:adjustRightInd/>
              <w:snapToGrid/>
              <w:rPr>
                <w:color w:val="auto"/>
              </w:rPr>
            </w:pPr>
            <w:r>
              <w:rPr>
                <w:color w:val="auto"/>
              </w:rPr>
              <w:t>仪器仪表储气罐</w:t>
            </w:r>
          </w:p>
        </w:tc>
        <w:tc>
          <w:tcPr>
            <w:tcW w:w="1532" w:type="pct"/>
            <w:tcBorders>
              <w:tl2br w:val="nil"/>
              <w:tr2bl w:val="nil"/>
            </w:tcBorders>
            <w:noWrap w:val="0"/>
            <w:vAlign w:val="center"/>
          </w:tcPr>
          <w:p w14:paraId="361C4736">
            <w:pPr>
              <w:pStyle w:val="16"/>
              <w:pageBreakBefore w:val="0"/>
              <w:wordWrap/>
              <w:bidi w:val="0"/>
              <w:adjustRightInd/>
              <w:snapToGrid/>
              <w:rPr>
                <w:color w:val="auto"/>
              </w:rPr>
            </w:pPr>
            <w:r>
              <w:rPr>
                <w:color w:val="auto"/>
              </w:rPr>
              <w:t>V=</w:t>
            </w:r>
            <w:r>
              <w:rPr>
                <w:rFonts w:hint="eastAsia"/>
                <w:color w:val="auto"/>
                <w:lang w:eastAsia="zh-CN"/>
              </w:rPr>
              <w:t>1m³，</w:t>
            </w:r>
            <w:r>
              <w:rPr>
                <w:color w:val="auto"/>
              </w:rPr>
              <w:t>工作压力0.8MPa</w:t>
            </w:r>
            <w:r>
              <w:rPr>
                <w:rFonts w:hint="eastAsia"/>
                <w:color w:val="auto"/>
                <w:lang w:eastAsia="zh-CN"/>
              </w:rPr>
              <w:t>，</w:t>
            </w:r>
            <w:r>
              <w:rPr>
                <w:color w:val="auto"/>
              </w:rPr>
              <w:t>最高温</w:t>
            </w:r>
            <w:r>
              <w:rPr>
                <w:rFonts w:hint="eastAsia"/>
                <w:color w:val="auto"/>
                <w:lang w:eastAsia="zh-CN"/>
              </w:rPr>
              <w:t>度</w:t>
            </w:r>
            <w:r>
              <w:rPr>
                <w:color w:val="auto"/>
              </w:rPr>
              <w:t>110℃</w:t>
            </w:r>
          </w:p>
        </w:tc>
        <w:tc>
          <w:tcPr>
            <w:tcW w:w="612" w:type="pct"/>
            <w:tcBorders>
              <w:tl2br w:val="nil"/>
              <w:tr2bl w:val="nil"/>
            </w:tcBorders>
            <w:noWrap w:val="0"/>
            <w:vAlign w:val="center"/>
          </w:tcPr>
          <w:p w14:paraId="51CB1512">
            <w:pPr>
              <w:pStyle w:val="16"/>
              <w:pageBreakBefore w:val="0"/>
              <w:wordWrap/>
              <w:bidi w:val="0"/>
              <w:adjustRightInd/>
              <w:snapToGrid/>
              <w:rPr>
                <w:color w:val="auto"/>
              </w:rPr>
            </w:pPr>
          </w:p>
        </w:tc>
        <w:tc>
          <w:tcPr>
            <w:tcW w:w="279" w:type="pct"/>
            <w:tcBorders>
              <w:tl2br w:val="nil"/>
              <w:tr2bl w:val="nil"/>
            </w:tcBorders>
            <w:noWrap w:val="0"/>
            <w:vAlign w:val="center"/>
          </w:tcPr>
          <w:p w14:paraId="11056B2E">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32E49C6">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3C57B6A8">
            <w:pPr>
              <w:pStyle w:val="16"/>
              <w:pageBreakBefore w:val="0"/>
              <w:wordWrap/>
              <w:bidi w:val="0"/>
              <w:adjustRightInd/>
              <w:snapToGrid/>
              <w:rPr>
                <w:color w:val="auto"/>
              </w:rPr>
            </w:pPr>
          </w:p>
        </w:tc>
      </w:tr>
      <w:tr w14:paraId="1171304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17DAB61">
            <w:pPr>
              <w:pStyle w:val="16"/>
              <w:pageBreakBefore w:val="0"/>
              <w:wordWrap/>
              <w:bidi w:val="0"/>
              <w:adjustRightInd/>
              <w:snapToGrid/>
              <w:rPr>
                <w:color w:val="auto"/>
              </w:rPr>
            </w:pPr>
            <w:r>
              <w:rPr>
                <w:color w:val="auto"/>
              </w:rPr>
              <w:t>23</w:t>
            </w:r>
          </w:p>
        </w:tc>
        <w:tc>
          <w:tcPr>
            <w:tcW w:w="843" w:type="pct"/>
            <w:gridSpan w:val="2"/>
            <w:tcBorders>
              <w:tl2br w:val="nil"/>
              <w:tr2bl w:val="nil"/>
            </w:tcBorders>
            <w:noWrap w:val="0"/>
            <w:vAlign w:val="center"/>
          </w:tcPr>
          <w:p w14:paraId="2F077DD9">
            <w:pPr>
              <w:pStyle w:val="16"/>
              <w:pageBreakBefore w:val="0"/>
              <w:wordWrap/>
              <w:bidi w:val="0"/>
              <w:adjustRightInd/>
              <w:snapToGrid/>
              <w:rPr>
                <w:color w:val="auto"/>
              </w:rPr>
            </w:pPr>
            <w:r>
              <w:rPr>
                <w:color w:val="auto"/>
              </w:rPr>
              <w:t>空气压缩机</w:t>
            </w:r>
          </w:p>
        </w:tc>
        <w:tc>
          <w:tcPr>
            <w:tcW w:w="1532" w:type="pct"/>
            <w:tcBorders>
              <w:tl2br w:val="nil"/>
              <w:tr2bl w:val="nil"/>
            </w:tcBorders>
            <w:noWrap w:val="0"/>
            <w:vAlign w:val="center"/>
          </w:tcPr>
          <w:p w14:paraId="4C6087B8">
            <w:pPr>
              <w:pStyle w:val="16"/>
              <w:pageBreakBefore w:val="0"/>
              <w:wordWrap/>
              <w:bidi w:val="0"/>
              <w:adjustRightInd/>
              <w:snapToGrid/>
              <w:rPr>
                <w:color w:val="auto"/>
              </w:rPr>
            </w:pPr>
            <w:r>
              <w:rPr>
                <w:color w:val="auto"/>
              </w:rPr>
              <w:t>Q=3.2</w:t>
            </w:r>
            <w:r>
              <w:rPr>
                <w:rFonts w:hint="eastAsia"/>
                <w:color w:val="auto"/>
                <w:lang w:eastAsia="zh-CN"/>
              </w:rPr>
              <w:t>m³</w:t>
            </w:r>
            <w:r>
              <w:rPr>
                <w:color w:val="auto"/>
              </w:rPr>
              <w:t>/min</w:t>
            </w:r>
            <w:r>
              <w:rPr>
                <w:rFonts w:hint="eastAsia"/>
                <w:color w:val="auto"/>
                <w:lang w:eastAsia="zh-CN"/>
              </w:rPr>
              <w:t>，</w:t>
            </w:r>
            <w:r>
              <w:rPr>
                <w:color w:val="auto"/>
              </w:rPr>
              <w:t>H=0.8MPa</w:t>
            </w:r>
            <w:r>
              <w:rPr>
                <w:rFonts w:hint="eastAsia"/>
                <w:color w:val="auto"/>
                <w:lang w:eastAsia="zh-CN"/>
              </w:rPr>
              <w:t>，</w:t>
            </w:r>
            <w:r>
              <w:rPr>
                <w:color w:val="auto"/>
              </w:rPr>
              <w:t>N=22kW</w:t>
            </w:r>
          </w:p>
        </w:tc>
        <w:tc>
          <w:tcPr>
            <w:tcW w:w="612" w:type="pct"/>
            <w:tcBorders>
              <w:tl2br w:val="nil"/>
              <w:tr2bl w:val="nil"/>
            </w:tcBorders>
            <w:noWrap w:val="0"/>
            <w:vAlign w:val="center"/>
          </w:tcPr>
          <w:p w14:paraId="05ED0369">
            <w:pPr>
              <w:pStyle w:val="16"/>
              <w:pageBreakBefore w:val="0"/>
              <w:wordWrap/>
              <w:bidi w:val="0"/>
              <w:adjustRightInd/>
              <w:snapToGrid/>
              <w:rPr>
                <w:color w:val="auto"/>
              </w:rPr>
            </w:pPr>
          </w:p>
        </w:tc>
        <w:tc>
          <w:tcPr>
            <w:tcW w:w="279" w:type="pct"/>
            <w:tcBorders>
              <w:tl2br w:val="nil"/>
              <w:tr2bl w:val="nil"/>
            </w:tcBorders>
            <w:noWrap w:val="0"/>
            <w:vAlign w:val="center"/>
          </w:tcPr>
          <w:p w14:paraId="71F0A245">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12AC8DDE">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7ADE166B">
            <w:pPr>
              <w:pStyle w:val="16"/>
              <w:pageBreakBefore w:val="0"/>
              <w:wordWrap/>
              <w:bidi w:val="0"/>
              <w:adjustRightInd/>
              <w:snapToGrid/>
              <w:rPr>
                <w:color w:val="auto"/>
              </w:rPr>
            </w:pPr>
          </w:p>
        </w:tc>
      </w:tr>
      <w:tr w14:paraId="1C309E2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E1752F3">
            <w:pPr>
              <w:pStyle w:val="16"/>
              <w:pageBreakBefore w:val="0"/>
              <w:wordWrap/>
              <w:bidi w:val="0"/>
              <w:adjustRightInd/>
              <w:snapToGrid/>
              <w:rPr>
                <w:color w:val="auto"/>
              </w:rPr>
            </w:pPr>
            <w:r>
              <w:rPr>
                <w:color w:val="auto"/>
              </w:rPr>
              <w:t>24</w:t>
            </w:r>
          </w:p>
        </w:tc>
        <w:tc>
          <w:tcPr>
            <w:tcW w:w="843" w:type="pct"/>
            <w:gridSpan w:val="2"/>
            <w:tcBorders>
              <w:tl2br w:val="nil"/>
              <w:tr2bl w:val="nil"/>
            </w:tcBorders>
            <w:noWrap w:val="0"/>
            <w:vAlign w:val="center"/>
          </w:tcPr>
          <w:p w14:paraId="39AAB2F4">
            <w:pPr>
              <w:pStyle w:val="16"/>
              <w:pageBreakBefore w:val="0"/>
              <w:wordWrap/>
              <w:bidi w:val="0"/>
              <w:adjustRightInd/>
              <w:snapToGrid/>
              <w:rPr>
                <w:color w:val="auto"/>
              </w:rPr>
            </w:pPr>
            <w:r>
              <w:rPr>
                <w:color w:val="auto"/>
              </w:rPr>
              <w:t>冷干机</w:t>
            </w:r>
          </w:p>
        </w:tc>
        <w:tc>
          <w:tcPr>
            <w:tcW w:w="1532" w:type="pct"/>
            <w:tcBorders>
              <w:tl2br w:val="nil"/>
              <w:tr2bl w:val="nil"/>
            </w:tcBorders>
            <w:noWrap w:val="0"/>
            <w:vAlign w:val="center"/>
          </w:tcPr>
          <w:p w14:paraId="27D79BC2">
            <w:pPr>
              <w:pStyle w:val="16"/>
              <w:pageBreakBefore w:val="0"/>
              <w:wordWrap/>
              <w:bidi w:val="0"/>
              <w:adjustRightInd/>
              <w:snapToGrid/>
              <w:rPr>
                <w:color w:val="auto"/>
              </w:rPr>
            </w:pPr>
            <w:r>
              <w:rPr>
                <w:color w:val="auto"/>
              </w:rPr>
              <w:t>Q=</w:t>
            </w:r>
            <w:r>
              <w:rPr>
                <w:rFonts w:hint="eastAsia"/>
                <w:color w:val="auto"/>
                <w:lang w:eastAsia="zh-CN"/>
              </w:rPr>
              <w:t>1</w:t>
            </w:r>
            <w:r>
              <w:rPr>
                <w:color w:val="auto"/>
              </w:rPr>
              <w:t>.0</w:t>
            </w:r>
            <w:r>
              <w:rPr>
                <w:rFonts w:hint="eastAsia"/>
                <w:color w:val="auto"/>
                <w:lang w:eastAsia="zh-CN"/>
              </w:rPr>
              <w:t>m³</w:t>
            </w:r>
            <w:r>
              <w:rPr>
                <w:color w:val="auto"/>
              </w:rPr>
              <w:t>/min</w:t>
            </w:r>
            <w:r>
              <w:rPr>
                <w:rFonts w:hint="eastAsia"/>
                <w:color w:val="auto"/>
                <w:lang w:eastAsia="zh-CN"/>
              </w:rPr>
              <w:t>，</w:t>
            </w:r>
            <w:r>
              <w:rPr>
                <w:color w:val="auto"/>
              </w:rPr>
              <w:t>H=0.8MPa</w:t>
            </w:r>
            <w:r>
              <w:rPr>
                <w:rFonts w:hint="eastAsia"/>
                <w:color w:val="auto"/>
                <w:lang w:eastAsia="zh-CN"/>
              </w:rPr>
              <w:t>，</w:t>
            </w:r>
            <w:r>
              <w:rPr>
                <w:color w:val="auto"/>
              </w:rPr>
              <w:t>N=</w:t>
            </w:r>
            <w:r>
              <w:rPr>
                <w:rFonts w:hint="eastAsia"/>
                <w:color w:val="auto"/>
                <w:lang w:eastAsia="zh-CN"/>
              </w:rPr>
              <w:t>1</w:t>
            </w:r>
            <w:r>
              <w:rPr>
                <w:color w:val="auto"/>
              </w:rPr>
              <w:t>.1kW</w:t>
            </w:r>
          </w:p>
        </w:tc>
        <w:tc>
          <w:tcPr>
            <w:tcW w:w="612" w:type="pct"/>
            <w:tcBorders>
              <w:tl2br w:val="nil"/>
              <w:tr2bl w:val="nil"/>
            </w:tcBorders>
            <w:noWrap w:val="0"/>
            <w:vAlign w:val="center"/>
          </w:tcPr>
          <w:p w14:paraId="6C5585B8">
            <w:pPr>
              <w:pStyle w:val="16"/>
              <w:pageBreakBefore w:val="0"/>
              <w:wordWrap/>
              <w:bidi w:val="0"/>
              <w:adjustRightInd/>
              <w:snapToGrid/>
              <w:rPr>
                <w:color w:val="auto"/>
              </w:rPr>
            </w:pPr>
          </w:p>
        </w:tc>
        <w:tc>
          <w:tcPr>
            <w:tcW w:w="279" w:type="pct"/>
            <w:tcBorders>
              <w:tl2br w:val="nil"/>
              <w:tr2bl w:val="nil"/>
            </w:tcBorders>
            <w:noWrap w:val="0"/>
            <w:vAlign w:val="center"/>
          </w:tcPr>
          <w:p w14:paraId="70C3D6A6">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2C5103C">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542C1C06">
            <w:pPr>
              <w:pStyle w:val="16"/>
              <w:pageBreakBefore w:val="0"/>
              <w:wordWrap/>
              <w:bidi w:val="0"/>
              <w:adjustRightInd/>
              <w:snapToGrid/>
              <w:rPr>
                <w:color w:val="auto"/>
              </w:rPr>
            </w:pPr>
          </w:p>
        </w:tc>
      </w:tr>
      <w:tr w14:paraId="3D6107D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B6F2FB7">
            <w:pPr>
              <w:pStyle w:val="16"/>
              <w:pageBreakBefore w:val="0"/>
              <w:wordWrap/>
              <w:bidi w:val="0"/>
              <w:adjustRightInd/>
              <w:snapToGrid/>
              <w:rPr>
                <w:color w:val="auto"/>
              </w:rPr>
            </w:pPr>
            <w:r>
              <w:rPr>
                <w:color w:val="auto"/>
              </w:rPr>
              <w:t>25</w:t>
            </w:r>
          </w:p>
        </w:tc>
        <w:tc>
          <w:tcPr>
            <w:tcW w:w="843" w:type="pct"/>
            <w:gridSpan w:val="2"/>
            <w:tcBorders>
              <w:tl2br w:val="nil"/>
              <w:tr2bl w:val="nil"/>
            </w:tcBorders>
            <w:noWrap w:val="0"/>
            <w:vAlign w:val="center"/>
          </w:tcPr>
          <w:p w14:paraId="3FACB581">
            <w:pPr>
              <w:pStyle w:val="16"/>
              <w:pageBreakBefore w:val="0"/>
              <w:wordWrap/>
              <w:bidi w:val="0"/>
              <w:adjustRightInd/>
              <w:snapToGrid/>
              <w:rPr>
                <w:color w:val="auto"/>
              </w:rPr>
            </w:pPr>
            <w:r>
              <w:rPr>
                <w:color w:val="auto"/>
              </w:rPr>
              <w:t>调理池搅拌机</w:t>
            </w:r>
          </w:p>
        </w:tc>
        <w:tc>
          <w:tcPr>
            <w:tcW w:w="1532" w:type="pct"/>
            <w:tcBorders>
              <w:tl2br w:val="nil"/>
              <w:tr2bl w:val="nil"/>
            </w:tcBorders>
            <w:noWrap w:val="0"/>
            <w:vAlign w:val="center"/>
          </w:tcPr>
          <w:p w14:paraId="294EE616">
            <w:pPr>
              <w:pStyle w:val="16"/>
              <w:pageBreakBefore w:val="0"/>
              <w:wordWrap/>
              <w:bidi w:val="0"/>
              <w:adjustRightInd/>
              <w:snapToGrid/>
              <w:rPr>
                <w:color w:val="auto"/>
              </w:rPr>
            </w:pPr>
            <w:r>
              <w:rPr>
                <w:color w:val="auto"/>
              </w:rPr>
              <w:t>N=11kW</w:t>
            </w:r>
          </w:p>
        </w:tc>
        <w:tc>
          <w:tcPr>
            <w:tcW w:w="612" w:type="pct"/>
            <w:tcBorders>
              <w:tl2br w:val="nil"/>
              <w:tr2bl w:val="nil"/>
            </w:tcBorders>
            <w:noWrap w:val="0"/>
            <w:vAlign w:val="center"/>
          </w:tcPr>
          <w:p w14:paraId="57D1D28F">
            <w:pPr>
              <w:pStyle w:val="16"/>
              <w:pageBreakBefore w:val="0"/>
              <w:wordWrap/>
              <w:bidi w:val="0"/>
              <w:adjustRightInd/>
              <w:snapToGrid/>
              <w:rPr>
                <w:color w:val="auto"/>
              </w:rPr>
            </w:pPr>
          </w:p>
        </w:tc>
        <w:tc>
          <w:tcPr>
            <w:tcW w:w="279" w:type="pct"/>
            <w:tcBorders>
              <w:tl2br w:val="nil"/>
              <w:tr2bl w:val="nil"/>
            </w:tcBorders>
            <w:noWrap w:val="0"/>
            <w:vAlign w:val="center"/>
          </w:tcPr>
          <w:p w14:paraId="27FB39E1">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FA5BAB5">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03986FD6">
            <w:pPr>
              <w:pStyle w:val="16"/>
              <w:pageBreakBefore w:val="0"/>
              <w:wordWrap/>
              <w:bidi w:val="0"/>
              <w:adjustRightInd/>
              <w:snapToGrid/>
              <w:rPr>
                <w:color w:val="auto"/>
              </w:rPr>
            </w:pPr>
            <w:r>
              <w:rPr>
                <w:color w:val="auto"/>
              </w:rPr>
              <w:t>污泥调理池</w:t>
            </w:r>
            <w:r>
              <w:rPr>
                <w:rFonts w:hint="eastAsia"/>
                <w:color w:val="auto"/>
                <w:lang w:eastAsia="zh-CN"/>
              </w:rPr>
              <w:t>，</w:t>
            </w:r>
            <w:r>
              <w:rPr>
                <w:color w:val="auto"/>
              </w:rPr>
              <w:t>变频调速</w:t>
            </w:r>
          </w:p>
        </w:tc>
      </w:tr>
      <w:tr w14:paraId="674FB63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6F6FC85">
            <w:pPr>
              <w:pStyle w:val="16"/>
              <w:pageBreakBefore w:val="0"/>
              <w:wordWrap/>
              <w:bidi w:val="0"/>
              <w:adjustRightInd/>
              <w:snapToGrid/>
              <w:rPr>
                <w:color w:val="auto"/>
              </w:rPr>
            </w:pPr>
            <w:r>
              <w:rPr>
                <w:color w:val="auto"/>
              </w:rPr>
              <w:t>26</w:t>
            </w:r>
          </w:p>
        </w:tc>
        <w:tc>
          <w:tcPr>
            <w:tcW w:w="843" w:type="pct"/>
            <w:gridSpan w:val="2"/>
            <w:tcBorders>
              <w:tl2br w:val="nil"/>
              <w:tr2bl w:val="nil"/>
            </w:tcBorders>
            <w:noWrap w:val="0"/>
            <w:vAlign w:val="center"/>
          </w:tcPr>
          <w:p w14:paraId="4251A8A3">
            <w:pPr>
              <w:pStyle w:val="16"/>
              <w:pageBreakBefore w:val="0"/>
              <w:wordWrap/>
              <w:bidi w:val="0"/>
              <w:adjustRightInd/>
              <w:snapToGrid/>
              <w:rPr>
                <w:color w:val="auto"/>
              </w:rPr>
            </w:pPr>
            <w:r>
              <w:rPr>
                <w:color w:val="auto"/>
              </w:rPr>
              <w:t>电动单梁悬挂起重机</w:t>
            </w:r>
          </w:p>
        </w:tc>
        <w:tc>
          <w:tcPr>
            <w:tcW w:w="1532" w:type="pct"/>
            <w:tcBorders>
              <w:tl2br w:val="nil"/>
              <w:tr2bl w:val="nil"/>
            </w:tcBorders>
            <w:noWrap w:val="0"/>
            <w:vAlign w:val="center"/>
          </w:tcPr>
          <w:p w14:paraId="62553FC1">
            <w:pPr>
              <w:pStyle w:val="16"/>
              <w:pageBreakBefore w:val="0"/>
              <w:wordWrap/>
              <w:bidi w:val="0"/>
              <w:adjustRightInd/>
              <w:snapToGrid/>
              <w:rPr>
                <w:color w:val="auto"/>
              </w:rPr>
            </w:pPr>
            <w:r>
              <w:rPr>
                <w:color w:val="auto"/>
              </w:rPr>
              <w:t>L×型</w:t>
            </w:r>
            <w:r>
              <w:rPr>
                <w:rFonts w:hint="eastAsia"/>
                <w:color w:val="auto"/>
                <w:lang w:eastAsia="zh-CN"/>
              </w:rPr>
              <w:t>，</w:t>
            </w:r>
            <w:r>
              <w:rPr>
                <w:color w:val="auto"/>
              </w:rPr>
              <w:t>G=5t</w:t>
            </w:r>
            <w:r>
              <w:rPr>
                <w:rFonts w:hint="eastAsia"/>
                <w:color w:val="auto"/>
                <w:lang w:eastAsia="zh-CN"/>
              </w:rPr>
              <w:t>，</w:t>
            </w:r>
            <w:r>
              <w:rPr>
                <w:color w:val="auto"/>
              </w:rPr>
              <w:t>H=12.0m</w:t>
            </w:r>
            <w:r>
              <w:rPr>
                <w:rFonts w:hint="eastAsia"/>
                <w:color w:val="auto"/>
                <w:lang w:eastAsia="zh-CN"/>
              </w:rPr>
              <w:t>，</w:t>
            </w:r>
            <w:r>
              <w:rPr>
                <w:color w:val="auto"/>
              </w:rPr>
              <w:t>=1</w:t>
            </w:r>
            <w:r>
              <w:rPr>
                <w:rFonts w:hint="eastAsia"/>
                <w:color w:val="auto"/>
                <w:lang w:eastAsia="zh-CN"/>
              </w:rPr>
              <w:t>1</w:t>
            </w:r>
            <w:r>
              <w:rPr>
                <w:color w:val="auto"/>
              </w:rPr>
              <w:t>.2m</w:t>
            </w:r>
            <w:r>
              <w:rPr>
                <w:rFonts w:hint="eastAsia"/>
                <w:color w:val="auto"/>
                <w:lang w:eastAsia="zh-CN"/>
              </w:rPr>
              <w:t>，</w:t>
            </w:r>
            <w:r>
              <w:rPr>
                <w:color w:val="auto"/>
              </w:rPr>
              <w:t>N=2×0.8+7.5+0.8kW</w:t>
            </w:r>
          </w:p>
        </w:tc>
        <w:tc>
          <w:tcPr>
            <w:tcW w:w="612" w:type="pct"/>
            <w:tcBorders>
              <w:tl2br w:val="nil"/>
              <w:tr2bl w:val="nil"/>
            </w:tcBorders>
            <w:noWrap w:val="0"/>
            <w:vAlign w:val="center"/>
          </w:tcPr>
          <w:p w14:paraId="1FC34BFB">
            <w:pPr>
              <w:pStyle w:val="16"/>
              <w:pageBreakBefore w:val="0"/>
              <w:wordWrap/>
              <w:bidi w:val="0"/>
              <w:adjustRightInd/>
              <w:snapToGrid/>
              <w:rPr>
                <w:color w:val="auto"/>
              </w:rPr>
            </w:pPr>
          </w:p>
        </w:tc>
        <w:tc>
          <w:tcPr>
            <w:tcW w:w="279" w:type="pct"/>
            <w:tcBorders>
              <w:tl2br w:val="nil"/>
              <w:tr2bl w:val="nil"/>
            </w:tcBorders>
            <w:noWrap w:val="0"/>
            <w:vAlign w:val="center"/>
          </w:tcPr>
          <w:p w14:paraId="5C5749AF">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538167D6">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1A06BAF0">
            <w:pPr>
              <w:pStyle w:val="16"/>
              <w:pageBreakBefore w:val="0"/>
              <w:wordWrap/>
              <w:bidi w:val="0"/>
              <w:adjustRightInd/>
              <w:snapToGrid/>
              <w:rPr>
                <w:color w:val="auto"/>
              </w:rPr>
            </w:pPr>
            <w:r>
              <w:rPr>
                <w:color w:val="auto"/>
              </w:rPr>
              <w:t>配MD15-9D型电动葫芦</w:t>
            </w:r>
          </w:p>
        </w:tc>
      </w:tr>
      <w:tr w14:paraId="318AA7D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8BE1B99">
            <w:pPr>
              <w:pStyle w:val="16"/>
              <w:pageBreakBefore w:val="0"/>
              <w:wordWrap/>
              <w:bidi w:val="0"/>
              <w:adjustRightInd/>
              <w:snapToGrid/>
              <w:rPr>
                <w:color w:val="auto"/>
              </w:rPr>
            </w:pPr>
            <w:r>
              <w:rPr>
                <w:color w:val="auto"/>
              </w:rPr>
              <w:t>27</w:t>
            </w:r>
          </w:p>
        </w:tc>
        <w:tc>
          <w:tcPr>
            <w:tcW w:w="843" w:type="pct"/>
            <w:gridSpan w:val="2"/>
            <w:tcBorders>
              <w:tl2br w:val="nil"/>
              <w:tr2bl w:val="nil"/>
            </w:tcBorders>
            <w:noWrap w:val="0"/>
            <w:vAlign w:val="center"/>
          </w:tcPr>
          <w:p w14:paraId="79A3BD5F">
            <w:pPr>
              <w:pStyle w:val="16"/>
              <w:pageBreakBefore w:val="0"/>
              <w:wordWrap/>
              <w:bidi w:val="0"/>
              <w:adjustRightInd/>
              <w:snapToGrid/>
              <w:rPr>
                <w:color w:val="auto"/>
              </w:rPr>
            </w:pPr>
            <w:r>
              <w:rPr>
                <w:color w:val="auto"/>
              </w:rPr>
              <w:t>电动葫芦</w:t>
            </w:r>
          </w:p>
        </w:tc>
        <w:tc>
          <w:tcPr>
            <w:tcW w:w="1532" w:type="pct"/>
            <w:tcBorders>
              <w:tl2br w:val="nil"/>
              <w:tr2bl w:val="nil"/>
            </w:tcBorders>
            <w:noWrap w:val="0"/>
            <w:vAlign w:val="center"/>
          </w:tcPr>
          <w:p w14:paraId="09EACA77">
            <w:pPr>
              <w:pStyle w:val="16"/>
              <w:pageBreakBefore w:val="0"/>
              <w:wordWrap/>
              <w:bidi w:val="0"/>
              <w:adjustRightInd/>
              <w:snapToGrid/>
              <w:rPr>
                <w:color w:val="auto"/>
              </w:rPr>
            </w:pPr>
            <w:r>
              <w:rPr>
                <w:color w:val="auto"/>
              </w:rPr>
              <w:t>MD12-9型</w:t>
            </w:r>
            <w:r>
              <w:rPr>
                <w:rFonts w:hint="eastAsia"/>
                <w:color w:val="auto"/>
                <w:lang w:eastAsia="zh-CN"/>
              </w:rPr>
              <w:t>，</w:t>
            </w:r>
            <w:r>
              <w:rPr>
                <w:color w:val="auto"/>
              </w:rPr>
              <w:t>G=2t</w:t>
            </w:r>
            <w:r>
              <w:rPr>
                <w:rFonts w:hint="eastAsia"/>
                <w:color w:val="auto"/>
                <w:lang w:eastAsia="zh-CN"/>
              </w:rPr>
              <w:t>，</w:t>
            </w:r>
            <w:r>
              <w:rPr>
                <w:color w:val="auto"/>
              </w:rPr>
              <w:t>H=12.0m</w:t>
            </w:r>
            <w:r>
              <w:rPr>
                <w:rFonts w:hint="eastAsia"/>
                <w:color w:val="auto"/>
                <w:lang w:eastAsia="zh-CN"/>
              </w:rPr>
              <w:t>，</w:t>
            </w:r>
            <w:r>
              <w:rPr>
                <w:color w:val="auto"/>
              </w:rPr>
              <w:t>=16.0m</w:t>
            </w:r>
            <w:r>
              <w:rPr>
                <w:rFonts w:hint="eastAsia"/>
                <w:color w:val="auto"/>
                <w:lang w:eastAsia="zh-CN"/>
              </w:rPr>
              <w:t>，</w:t>
            </w:r>
            <w:r>
              <w:rPr>
                <w:color w:val="auto"/>
              </w:rPr>
              <w:t>N=2×0.4+0.8kW</w:t>
            </w:r>
          </w:p>
        </w:tc>
        <w:tc>
          <w:tcPr>
            <w:tcW w:w="612" w:type="pct"/>
            <w:tcBorders>
              <w:tl2br w:val="nil"/>
              <w:tr2bl w:val="nil"/>
            </w:tcBorders>
            <w:noWrap w:val="0"/>
            <w:vAlign w:val="center"/>
          </w:tcPr>
          <w:p w14:paraId="1658394C">
            <w:pPr>
              <w:pStyle w:val="16"/>
              <w:pageBreakBefore w:val="0"/>
              <w:wordWrap/>
              <w:bidi w:val="0"/>
              <w:adjustRightInd/>
              <w:snapToGrid/>
              <w:rPr>
                <w:color w:val="auto"/>
              </w:rPr>
            </w:pPr>
          </w:p>
        </w:tc>
        <w:tc>
          <w:tcPr>
            <w:tcW w:w="279" w:type="pct"/>
            <w:tcBorders>
              <w:tl2br w:val="nil"/>
              <w:tr2bl w:val="nil"/>
            </w:tcBorders>
            <w:noWrap w:val="0"/>
            <w:vAlign w:val="center"/>
          </w:tcPr>
          <w:p w14:paraId="58E1ED85">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57900D95">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53BA6860">
            <w:pPr>
              <w:pStyle w:val="16"/>
              <w:pageBreakBefore w:val="0"/>
              <w:wordWrap/>
              <w:bidi w:val="0"/>
              <w:adjustRightInd/>
              <w:snapToGrid/>
              <w:rPr>
                <w:color w:val="auto"/>
              </w:rPr>
            </w:pPr>
            <w:r>
              <w:rPr>
                <w:color w:val="auto"/>
              </w:rPr>
              <w:t>配MD12-9D型电动葫芦</w:t>
            </w:r>
          </w:p>
        </w:tc>
      </w:tr>
      <w:tr w14:paraId="01A8883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1E565D5">
            <w:pPr>
              <w:pStyle w:val="16"/>
              <w:pageBreakBefore w:val="0"/>
              <w:wordWrap/>
              <w:bidi w:val="0"/>
              <w:adjustRightInd/>
              <w:snapToGrid/>
              <w:rPr>
                <w:color w:val="auto"/>
              </w:rPr>
            </w:pPr>
            <w:r>
              <w:rPr>
                <w:color w:val="auto"/>
              </w:rPr>
              <w:t>28</w:t>
            </w:r>
          </w:p>
        </w:tc>
        <w:tc>
          <w:tcPr>
            <w:tcW w:w="843" w:type="pct"/>
            <w:gridSpan w:val="2"/>
            <w:tcBorders>
              <w:tl2br w:val="nil"/>
              <w:tr2bl w:val="nil"/>
            </w:tcBorders>
            <w:noWrap w:val="0"/>
            <w:vAlign w:val="center"/>
          </w:tcPr>
          <w:p w14:paraId="71FC4DAF">
            <w:pPr>
              <w:pStyle w:val="16"/>
              <w:pageBreakBefore w:val="0"/>
              <w:wordWrap/>
              <w:bidi w:val="0"/>
              <w:adjustRightInd/>
              <w:snapToGrid/>
              <w:rPr>
                <w:color w:val="auto"/>
              </w:rPr>
            </w:pPr>
            <w:r>
              <w:rPr>
                <w:color w:val="auto"/>
              </w:rPr>
              <w:t>污泥电磁流量计</w:t>
            </w:r>
          </w:p>
        </w:tc>
        <w:tc>
          <w:tcPr>
            <w:tcW w:w="1532" w:type="pct"/>
            <w:tcBorders>
              <w:tl2br w:val="nil"/>
              <w:tr2bl w:val="nil"/>
            </w:tcBorders>
            <w:noWrap w:val="0"/>
            <w:vAlign w:val="center"/>
          </w:tcPr>
          <w:p w14:paraId="0913E1DE">
            <w:pPr>
              <w:pStyle w:val="16"/>
              <w:pageBreakBefore w:val="0"/>
              <w:wordWrap/>
              <w:bidi w:val="0"/>
              <w:adjustRightInd/>
              <w:snapToGrid/>
              <w:rPr>
                <w:color w:val="auto"/>
              </w:rPr>
            </w:pPr>
            <w:r>
              <w:rPr>
                <w:color w:val="auto"/>
              </w:rPr>
              <w:t>DN65</w:t>
            </w:r>
            <w:r>
              <w:rPr>
                <w:rFonts w:hint="eastAsia"/>
                <w:color w:val="auto"/>
                <w:lang w:eastAsia="zh-CN"/>
              </w:rPr>
              <w:t>，</w:t>
            </w:r>
            <w:r>
              <w:rPr>
                <w:color w:val="auto"/>
              </w:rPr>
              <w:t>测量范围0~100m/h/h</w:t>
            </w:r>
          </w:p>
        </w:tc>
        <w:tc>
          <w:tcPr>
            <w:tcW w:w="612" w:type="pct"/>
            <w:tcBorders>
              <w:tl2br w:val="nil"/>
              <w:tr2bl w:val="nil"/>
            </w:tcBorders>
            <w:noWrap w:val="0"/>
            <w:vAlign w:val="center"/>
          </w:tcPr>
          <w:p w14:paraId="19034F4A">
            <w:pPr>
              <w:pStyle w:val="16"/>
              <w:pageBreakBefore w:val="0"/>
              <w:wordWrap/>
              <w:bidi w:val="0"/>
              <w:adjustRightInd/>
              <w:snapToGrid/>
              <w:rPr>
                <w:color w:val="auto"/>
              </w:rPr>
            </w:pPr>
          </w:p>
        </w:tc>
        <w:tc>
          <w:tcPr>
            <w:tcW w:w="279" w:type="pct"/>
            <w:tcBorders>
              <w:tl2br w:val="nil"/>
              <w:tr2bl w:val="nil"/>
            </w:tcBorders>
            <w:noWrap w:val="0"/>
            <w:vAlign w:val="center"/>
          </w:tcPr>
          <w:p w14:paraId="07EFED97">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1ABB8D49">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7392474F">
            <w:pPr>
              <w:pStyle w:val="16"/>
              <w:pageBreakBefore w:val="0"/>
              <w:wordWrap/>
              <w:bidi w:val="0"/>
              <w:adjustRightInd/>
              <w:snapToGrid/>
              <w:rPr>
                <w:color w:val="auto"/>
              </w:rPr>
            </w:pPr>
          </w:p>
        </w:tc>
      </w:tr>
      <w:tr w14:paraId="3D26AF1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337634E">
            <w:pPr>
              <w:pStyle w:val="16"/>
              <w:pageBreakBefore w:val="0"/>
              <w:wordWrap/>
              <w:bidi w:val="0"/>
              <w:adjustRightInd/>
              <w:snapToGrid/>
              <w:rPr>
                <w:color w:val="auto"/>
              </w:rPr>
            </w:pPr>
            <w:r>
              <w:rPr>
                <w:color w:val="auto"/>
              </w:rPr>
              <w:t>29</w:t>
            </w:r>
          </w:p>
        </w:tc>
        <w:tc>
          <w:tcPr>
            <w:tcW w:w="843" w:type="pct"/>
            <w:gridSpan w:val="2"/>
            <w:tcBorders>
              <w:tl2br w:val="nil"/>
              <w:tr2bl w:val="nil"/>
            </w:tcBorders>
            <w:noWrap w:val="0"/>
            <w:vAlign w:val="center"/>
          </w:tcPr>
          <w:p w14:paraId="2DF3BB04">
            <w:pPr>
              <w:pStyle w:val="16"/>
              <w:pageBreakBefore w:val="0"/>
              <w:wordWrap/>
              <w:bidi w:val="0"/>
              <w:adjustRightInd/>
              <w:snapToGrid/>
              <w:rPr>
                <w:color w:val="auto"/>
              </w:rPr>
            </w:pPr>
            <w:r>
              <w:rPr>
                <w:color w:val="auto"/>
              </w:rPr>
              <w:t>轴流风机</w:t>
            </w:r>
          </w:p>
        </w:tc>
        <w:tc>
          <w:tcPr>
            <w:tcW w:w="1532" w:type="pct"/>
            <w:tcBorders>
              <w:tl2br w:val="nil"/>
              <w:tr2bl w:val="nil"/>
            </w:tcBorders>
            <w:noWrap w:val="0"/>
            <w:vAlign w:val="center"/>
          </w:tcPr>
          <w:p w14:paraId="36CFD5E9">
            <w:pPr>
              <w:pStyle w:val="16"/>
              <w:pageBreakBefore w:val="0"/>
              <w:wordWrap/>
              <w:bidi w:val="0"/>
              <w:adjustRightInd/>
              <w:snapToGrid/>
              <w:rPr>
                <w:color w:val="auto"/>
              </w:rPr>
            </w:pPr>
            <w:r>
              <w:rPr>
                <w:color w:val="auto"/>
              </w:rPr>
              <w:t>G=10739</w:t>
            </w:r>
            <w:r>
              <w:rPr>
                <w:rFonts w:hint="eastAsia"/>
                <w:color w:val="auto"/>
                <w:lang w:eastAsia="zh-CN"/>
              </w:rPr>
              <w:t>m³</w:t>
            </w:r>
            <w:r>
              <w:rPr>
                <w:color w:val="auto"/>
              </w:rPr>
              <w:t>/h</w:t>
            </w:r>
            <w:r>
              <w:rPr>
                <w:rFonts w:hint="eastAsia"/>
                <w:color w:val="auto"/>
                <w:lang w:eastAsia="zh-CN"/>
              </w:rPr>
              <w:t>，</w:t>
            </w:r>
            <w:r>
              <w:rPr>
                <w:color w:val="auto"/>
              </w:rPr>
              <w:t>H=173Pa</w:t>
            </w:r>
            <w:r>
              <w:rPr>
                <w:rFonts w:hint="eastAsia"/>
                <w:color w:val="auto"/>
                <w:lang w:eastAsia="zh-CN"/>
              </w:rPr>
              <w:t>，</w:t>
            </w:r>
            <w:r>
              <w:rPr>
                <w:color w:val="auto"/>
              </w:rPr>
              <w:t>n=1450rpm</w:t>
            </w:r>
            <w:r>
              <w:rPr>
                <w:rFonts w:hint="eastAsia"/>
                <w:color w:val="auto"/>
                <w:lang w:eastAsia="zh-CN"/>
              </w:rPr>
              <w:t>，</w:t>
            </w:r>
            <w:r>
              <w:rPr>
                <w:color w:val="auto"/>
              </w:rPr>
              <w:t>N=0.75kW</w:t>
            </w:r>
          </w:p>
        </w:tc>
        <w:tc>
          <w:tcPr>
            <w:tcW w:w="612" w:type="pct"/>
            <w:tcBorders>
              <w:tl2br w:val="nil"/>
              <w:tr2bl w:val="nil"/>
            </w:tcBorders>
            <w:noWrap w:val="0"/>
            <w:vAlign w:val="center"/>
          </w:tcPr>
          <w:p w14:paraId="25620716">
            <w:pPr>
              <w:pStyle w:val="16"/>
              <w:pageBreakBefore w:val="0"/>
              <w:wordWrap/>
              <w:bidi w:val="0"/>
              <w:adjustRightInd/>
              <w:snapToGrid/>
              <w:rPr>
                <w:color w:val="auto"/>
              </w:rPr>
            </w:pPr>
          </w:p>
        </w:tc>
        <w:tc>
          <w:tcPr>
            <w:tcW w:w="279" w:type="pct"/>
            <w:tcBorders>
              <w:tl2br w:val="nil"/>
              <w:tr2bl w:val="nil"/>
            </w:tcBorders>
            <w:noWrap w:val="0"/>
            <w:vAlign w:val="center"/>
          </w:tcPr>
          <w:p w14:paraId="668871EF">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5CA2DD80">
            <w:pPr>
              <w:pStyle w:val="16"/>
              <w:pageBreakBefore w:val="0"/>
              <w:wordWrap/>
              <w:bidi w:val="0"/>
              <w:adjustRightInd/>
              <w:snapToGrid/>
              <w:rPr>
                <w:color w:val="auto"/>
              </w:rPr>
            </w:pPr>
            <w:r>
              <w:rPr>
                <w:color w:val="auto"/>
              </w:rPr>
              <w:t>12</w:t>
            </w:r>
          </w:p>
        </w:tc>
        <w:tc>
          <w:tcPr>
            <w:tcW w:w="1132" w:type="pct"/>
            <w:tcBorders>
              <w:tl2br w:val="nil"/>
              <w:tr2bl w:val="nil"/>
            </w:tcBorders>
            <w:noWrap w:val="0"/>
            <w:vAlign w:val="center"/>
          </w:tcPr>
          <w:p w14:paraId="67305F94">
            <w:pPr>
              <w:pStyle w:val="16"/>
              <w:pageBreakBefore w:val="0"/>
              <w:wordWrap/>
              <w:bidi w:val="0"/>
              <w:adjustRightInd/>
              <w:snapToGrid/>
              <w:rPr>
                <w:color w:val="auto"/>
              </w:rPr>
            </w:pPr>
          </w:p>
        </w:tc>
      </w:tr>
      <w:tr w14:paraId="0E3E0AC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434BFBA">
            <w:pPr>
              <w:pStyle w:val="16"/>
              <w:pageBreakBefore w:val="0"/>
              <w:wordWrap/>
              <w:bidi w:val="0"/>
              <w:adjustRightInd/>
              <w:snapToGrid/>
              <w:rPr>
                <w:color w:val="auto"/>
              </w:rPr>
            </w:pPr>
            <w:r>
              <w:rPr>
                <w:color w:val="auto"/>
              </w:rPr>
              <w:t>30</w:t>
            </w:r>
          </w:p>
        </w:tc>
        <w:tc>
          <w:tcPr>
            <w:tcW w:w="843" w:type="pct"/>
            <w:gridSpan w:val="2"/>
            <w:tcBorders>
              <w:tl2br w:val="nil"/>
              <w:tr2bl w:val="nil"/>
            </w:tcBorders>
            <w:noWrap w:val="0"/>
            <w:vAlign w:val="center"/>
          </w:tcPr>
          <w:p w14:paraId="682CA820">
            <w:pPr>
              <w:pStyle w:val="16"/>
              <w:pageBreakBefore w:val="0"/>
              <w:wordWrap/>
              <w:bidi w:val="0"/>
              <w:adjustRightInd/>
              <w:snapToGrid/>
              <w:rPr>
                <w:color w:val="auto"/>
              </w:rPr>
            </w:pPr>
            <w:r>
              <w:rPr>
                <w:color w:val="auto"/>
              </w:rPr>
              <w:t>磷酸铵盐干粉灭火器</w:t>
            </w:r>
          </w:p>
        </w:tc>
        <w:tc>
          <w:tcPr>
            <w:tcW w:w="1532" w:type="pct"/>
            <w:tcBorders>
              <w:tl2br w:val="nil"/>
              <w:tr2bl w:val="nil"/>
            </w:tcBorders>
            <w:noWrap w:val="0"/>
            <w:vAlign w:val="center"/>
          </w:tcPr>
          <w:p w14:paraId="406C5DB6">
            <w:pPr>
              <w:pStyle w:val="16"/>
              <w:pageBreakBefore w:val="0"/>
              <w:wordWrap/>
              <w:bidi w:val="0"/>
              <w:adjustRightInd/>
              <w:snapToGrid/>
              <w:rPr>
                <w:color w:val="auto"/>
              </w:rPr>
            </w:pPr>
            <w:r>
              <w:rPr>
                <w:color w:val="auto"/>
              </w:rPr>
              <w:t>MF/ABC3</w:t>
            </w:r>
          </w:p>
        </w:tc>
        <w:tc>
          <w:tcPr>
            <w:tcW w:w="612" w:type="pct"/>
            <w:tcBorders>
              <w:tl2br w:val="nil"/>
              <w:tr2bl w:val="nil"/>
            </w:tcBorders>
            <w:noWrap w:val="0"/>
            <w:vAlign w:val="center"/>
          </w:tcPr>
          <w:p w14:paraId="020855B5">
            <w:pPr>
              <w:pStyle w:val="16"/>
              <w:pageBreakBefore w:val="0"/>
              <w:wordWrap/>
              <w:bidi w:val="0"/>
              <w:adjustRightInd/>
              <w:snapToGrid/>
              <w:rPr>
                <w:color w:val="auto"/>
              </w:rPr>
            </w:pPr>
            <w:r>
              <w:rPr>
                <w:color w:val="auto"/>
              </w:rPr>
              <w:t>成品</w:t>
            </w:r>
          </w:p>
        </w:tc>
        <w:tc>
          <w:tcPr>
            <w:tcW w:w="279" w:type="pct"/>
            <w:tcBorders>
              <w:tl2br w:val="nil"/>
              <w:tr2bl w:val="nil"/>
            </w:tcBorders>
            <w:noWrap w:val="0"/>
            <w:vAlign w:val="center"/>
          </w:tcPr>
          <w:p w14:paraId="0F7394EA">
            <w:pPr>
              <w:pStyle w:val="16"/>
              <w:pageBreakBefore w:val="0"/>
              <w:wordWrap/>
              <w:bidi w:val="0"/>
              <w:adjustRightInd/>
              <w:snapToGrid/>
              <w:rPr>
                <w:color w:val="auto"/>
              </w:rPr>
            </w:pPr>
            <w:r>
              <w:rPr>
                <w:color w:val="auto"/>
              </w:rPr>
              <w:t>具</w:t>
            </w:r>
          </w:p>
        </w:tc>
        <w:tc>
          <w:tcPr>
            <w:tcW w:w="244" w:type="pct"/>
            <w:tcBorders>
              <w:tl2br w:val="nil"/>
              <w:tr2bl w:val="nil"/>
            </w:tcBorders>
            <w:noWrap w:val="0"/>
            <w:vAlign w:val="center"/>
          </w:tcPr>
          <w:p w14:paraId="3658B438">
            <w:pPr>
              <w:pStyle w:val="16"/>
              <w:pageBreakBefore w:val="0"/>
              <w:wordWrap/>
              <w:bidi w:val="0"/>
              <w:adjustRightInd/>
              <w:snapToGrid/>
              <w:rPr>
                <w:color w:val="auto"/>
              </w:rPr>
            </w:pPr>
            <w:r>
              <w:rPr>
                <w:color w:val="auto"/>
              </w:rPr>
              <w:t>6</w:t>
            </w:r>
          </w:p>
        </w:tc>
        <w:tc>
          <w:tcPr>
            <w:tcW w:w="1132" w:type="pct"/>
            <w:tcBorders>
              <w:tl2br w:val="nil"/>
              <w:tr2bl w:val="nil"/>
            </w:tcBorders>
            <w:noWrap w:val="0"/>
            <w:vAlign w:val="center"/>
          </w:tcPr>
          <w:p w14:paraId="3C2486ED">
            <w:pPr>
              <w:pStyle w:val="16"/>
              <w:pageBreakBefore w:val="0"/>
              <w:wordWrap/>
              <w:bidi w:val="0"/>
              <w:adjustRightInd/>
              <w:snapToGrid/>
              <w:rPr>
                <w:color w:val="auto"/>
              </w:rPr>
            </w:pPr>
          </w:p>
        </w:tc>
      </w:tr>
      <w:tr w14:paraId="265F7C0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78294EC9">
            <w:pPr>
              <w:pStyle w:val="16"/>
              <w:pageBreakBefore w:val="0"/>
              <w:wordWrap/>
              <w:bidi w:val="0"/>
              <w:adjustRightInd/>
              <w:snapToGrid/>
              <w:ind w:left="0" w:leftChars="0" w:firstLine="0" w:firstLineChars="0"/>
              <w:jc w:val="left"/>
              <w:rPr>
                <w:color w:val="auto"/>
              </w:rPr>
            </w:pPr>
            <w:r>
              <w:rPr>
                <w:b/>
                <w:bCs/>
                <w:color w:val="auto"/>
              </w:rPr>
              <w:t>高级氧化</w:t>
            </w:r>
            <w:r>
              <w:rPr>
                <w:rFonts w:hint="eastAsia"/>
                <w:b/>
                <w:bCs/>
                <w:color w:val="auto"/>
                <w:lang w:val="en-US" w:eastAsia="zh-CN"/>
              </w:rPr>
              <w:t>深度</w:t>
            </w:r>
            <w:r>
              <w:rPr>
                <w:b/>
                <w:bCs/>
                <w:color w:val="auto"/>
              </w:rPr>
              <w:t>处理</w:t>
            </w:r>
          </w:p>
        </w:tc>
      </w:tr>
      <w:tr w14:paraId="112A762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DF9BF05">
            <w:pPr>
              <w:pStyle w:val="16"/>
              <w:pageBreakBefore w:val="0"/>
              <w:wordWrap/>
              <w:bidi w:val="0"/>
              <w:adjustRightInd/>
              <w:snapToGrid/>
              <w:ind w:left="0" w:leftChars="0" w:firstLine="0" w:firstLineChars="0"/>
              <w:rPr>
                <w:color w:val="auto"/>
              </w:rPr>
            </w:pPr>
            <w:r>
              <w:rPr>
                <w:color w:val="auto"/>
              </w:rPr>
              <w:t>1</w:t>
            </w:r>
          </w:p>
        </w:tc>
        <w:tc>
          <w:tcPr>
            <w:tcW w:w="843" w:type="pct"/>
            <w:gridSpan w:val="2"/>
            <w:tcBorders>
              <w:tl2br w:val="nil"/>
              <w:tr2bl w:val="nil"/>
            </w:tcBorders>
            <w:noWrap w:val="0"/>
            <w:vAlign w:val="center"/>
          </w:tcPr>
          <w:p w14:paraId="6C23437E">
            <w:pPr>
              <w:pStyle w:val="16"/>
              <w:pageBreakBefore w:val="0"/>
              <w:wordWrap/>
              <w:bidi w:val="0"/>
              <w:adjustRightInd/>
              <w:snapToGrid/>
              <w:ind w:left="0" w:leftChars="0" w:firstLine="0" w:firstLineChars="0"/>
              <w:rPr>
                <w:color w:val="auto"/>
              </w:rPr>
            </w:pPr>
            <w:r>
              <w:rPr>
                <w:color w:val="auto"/>
              </w:rPr>
              <w:t>高级氧化撬装设备</w:t>
            </w:r>
          </w:p>
        </w:tc>
        <w:tc>
          <w:tcPr>
            <w:tcW w:w="1532" w:type="pct"/>
            <w:tcBorders>
              <w:tl2br w:val="nil"/>
              <w:tr2bl w:val="nil"/>
            </w:tcBorders>
            <w:noWrap w:val="0"/>
            <w:vAlign w:val="center"/>
          </w:tcPr>
          <w:p w14:paraId="21553E5F">
            <w:pPr>
              <w:pStyle w:val="16"/>
              <w:pageBreakBefore w:val="0"/>
              <w:wordWrap/>
              <w:bidi w:val="0"/>
              <w:adjustRightInd/>
              <w:snapToGrid/>
              <w:ind w:left="0" w:leftChars="0" w:firstLine="0" w:firstLineChars="0"/>
              <w:rPr>
                <w:color w:val="auto"/>
              </w:rPr>
            </w:pPr>
            <w:r>
              <w:rPr>
                <w:color w:val="auto"/>
              </w:rPr>
              <w:t>处理水量</w:t>
            </w:r>
            <w:r>
              <w:rPr>
                <w:rFonts w:hint="eastAsia"/>
                <w:color w:val="auto"/>
                <w:lang w:eastAsia="zh-CN"/>
              </w:rPr>
              <w:t>1</w:t>
            </w:r>
            <w:r>
              <w:rPr>
                <w:color w:val="auto"/>
              </w:rPr>
              <w:t>500</w:t>
            </w:r>
            <w:r>
              <w:rPr>
                <w:rFonts w:hint="eastAsia"/>
                <w:color w:val="auto"/>
                <w:lang w:eastAsia="zh-CN"/>
              </w:rPr>
              <w:t>m³</w:t>
            </w:r>
            <w:r>
              <w:rPr>
                <w:color w:val="auto"/>
              </w:rPr>
              <w:t>/d</w:t>
            </w:r>
          </w:p>
        </w:tc>
        <w:tc>
          <w:tcPr>
            <w:tcW w:w="612" w:type="pct"/>
            <w:tcBorders>
              <w:tl2br w:val="nil"/>
              <w:tr2bl w:val="nil"/>
            </w:tcBorders>
            <w:noWrap w:val="0"/>
            <w:vAlign w:val="center"/>
          </w:tcPr>
          <w:p w14:paraId="4D58D144">
            <w:pPr>
              <w:pStyle w:val="16"/>
              <w:pageBreakBefore w:val="0"/>
              <w:wordWrap/>
              <w:bidi w:val="0"/>
              <w:adjustRightInd/>
              <w:snapToGrid/>
              <w:ind w:left="0" w:leftChars="0" w:firstLine="0" w:firstLineChars="0"/>
              <w:rPr>
                <w:color w:val="auto"/>
              </w:rPr>
            </w:pPr>
          </w:p>
        </w:tc>
        <w:tc>
          <w:tcPr>
            <w:tcW w:w="279" w:type="pct"/>
            <w:tcBorders>
              <w:tl2br w:val="nil"/>
              <w:tr2bl w:val="nil"/>
            </w:tcBorders>
            <w:noWrap w:val="0"/>
            <w:vAlign w:val="center"/>
          </w:tcPr>
          <w:p w14:paraId="1D0541CD">
            <w:pPr>
              <w:pStyle w:val="16"/>
              <w:pageBreakBefore w:val="0"/>
              <w:wordWrap/>
              <w:bidi w:val="0"/>
              <w:adjustRightInd/>
              <w:snapToGrid/>
              <w:ind w:left="0" w:leftChars="0" w:firstLine="0" w:firstLineChars="0"/>
              <w:rPr>
                <w:color w:val="auto"/>
              </w:rPr>
            </w:pPr>
            <w:r>
              <w:rPr>
                <w:color w:val="auto"/>
              </w:rPr>
              <w:t>套</w:t>
            </w:r>
          </w:p>
        </w:tc>
        <w:tc>
          <w:tcPr>
            <w:tcW w:w="244" w:type="pct"/>
            <w:tcBorders>
              <w:tl2br w:val="nil"/>
              <w:tr2bl w:val="nil"/>
            </w:tcBorders>
            <w:noWrap w:val="0"/>
            <w:vAlign w:val="center"/>
          </w:tcPr>
          <w:p w14:paraId="0C0DF85D">
            <w:pPr>
              <w:pStyle w:val="16"/>
              <w:pageBreakBefore w:val="0"/>
              <w:wordWrap/>
              <w:bidi w:val="0"/>
              <w:adjustRightInd/>
              <w:snapToGrid/>
              <w:ind w:left="0" w:leftChars="0" w:firstLine="0" w:firstLineChars="0"/>
              <w:rPr>
                <w:color w:val="auto"/>
              </w:rPr>
            </w:pPr>
            <w:r>
              <w:rPr>
                <w:color w:val="auto"/>
              </w:rPr>
              <w:t>1</w:t>
            </w:r>
          </w:p>
        </w:tc>
        <w:tc>
          <w:tcPr>
            <w:tcW w:w="1132" w:type="pct"/>
            <w:tcBorders>
              <w:tl2br w:val="nil"/>
              <w:tr2bl w:val="nil"/>
            </w:tcBorders>
            <w:noWrap w:val="0"/>
            <w:vAlign w:val="center"/>
          </w:tcPr>
          <w:p w14:paraId="1E02BD66">
            <w:pPr>
              <w:pStyle w:val="16"/>
              <w:pageBreakBefore w:val="0"/>
              <w:wordWrap/>
              <w:bidi w:val="0"/>
              <w:adjustRightInd/>
              <w:snapToGrid/>
              <w:ind w:left="0" w:leftChars="0" w:firstLine="0" w:firstLineChars="0"/>
              <w:rPr>
                <w:color w:val="auto"/>
              </w:rPr>
            </w:pPr>
          </w:p>
        </w:tc>
      </w:tr>
      <w:tr w14:paraId="141E3B7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78F64497">
            <w:pPr>
              <w:pStyle w:val="16"/>
              <w:pageBreakBefore w:val="0"/>
              <w:wordWrap/>
              <w:bidi w:val="0"/>
              <w:adjustRightInd/>
              <w:snapToGrid/>
              <w:jc w:val="left"/>
              <w:rPr>
                <w:color w:val="auto"/>
              </w:rPr>
            </w:pPr>
            <w:r>
              <w:rPr>
                <w:b/>
                <w:bCs/>
                <w:color w:val="auto"/>
              </w:rPr>
              <w:t>反硝化滤池主要设备表</w:t>
            </w:r>
          </w:p>
        </w:tc>
      </w:tr>
      <w:tr w14:paraId="7D704E8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AE64E8E">
            <w:pPr>
              <w:pStyle w:val="16"/>
              <w:pageBreakBefore w:val="0"/>
              <w:wordWrap/>
              <w:bidi w:val="0"/>
              <w:adjustRightInd/>
              <w:snapToGrid/>
              <w:rPr>
                <w:rFonts w:hint="eastAsia" w:eastAsia="宋体"/>
                <w:b/>
                <w:bCs/>
                <w:color w:val="auto"/>
                <w:lang w:eastAsia="zh-CN"/>
              </w:rPr>
            </w:pPr>
            <w:r>
              <w:rPr>
                <w:rFonts w:hint="eastAsia"/>
                <w:b/>
                <w:bCs/>
                <w:color w:val="auto"/>
                <w:lang w:eastAsia="zh-CN"/>
              </w:rPr>
              <w:t>序号</w:t>
            </w:r>
          </w:p>
        </w:tc>
        <w:tc>
          <w:tcPr>
            <w:tcW w:w="843" w:type="pct"/>
            <w:gridSpan w:val="2"/>
            <w:tcBorders>
              <w:tl2br w:val="nil"/>
              <w:tr2bl w:val="nil"/>
            </w:tcBorders>
            <w:noWrap w:val="0"/>
            <w:vAlign w:val="center"/>
          </w:tcPr>
          <w:p w14:paraId="4C132E92">
            <w:pPr>
              <w:pStyle w:val="16"/>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2A0216EC">
            <w:pPr>
              <w:pStyle w:val="16"/>
              <w:pageBreakBefore w:val="0"/>
              <w:wordWrap/>
              <w:bidi w:val="0"/>
              <w:adjustRightInd/>
              <w:snapToGrid/>
              <w:rPr>
                <w:b/>
                <w:bCs/>
                <w:color w:val="auto"/>
              </w:rPr>
            </w:pPr>
            <w:r>
              <w:rPr>
                <w:b/>
                <w:bCs/>
                <w:color w:val="auto"/>
              </w:rPr>
              <w:t>规格型号及技术参数</w:t>
            </w:r>
          </w:p>
        </w:tc>
        <w:tc>
          <w:tcPr>
            <w:tcW w:w="612" w:type="pct"/>
            <w:tcBorders>
              <w:tl2br w:val="nil"/>
              <w:tr2bl w:val="nil"/>
            </w:tcBorders>
            <w:noWrap w:val="0"/>
            <w:vAlign w:val="center"/>
          </w:tcPr>
          <w:p w14:paraId="3870A6C7">
            <w:pPr>
              <w:pStyle w:val="16"/>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08DD556F">
            <w:pPr>
              <w:pStyle w:val="16"/>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4D534ABD">
            <w:pPr>
              <w:pStyle w:val="16"/>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1046B36B">
            <w:pPr>
              <w:pStyle w:val="16"/>
              <w:pageBreakBefore w:val="0"/>
              <w:wordWrap/>
              <w:bidi w:val="0"/>
              <w:adjustRightInd/>
              <w:snapToGrid/>
              <w:rPr>
                <w:b/>
                <w:bCs/>
                <w:color w:val="auto"/>
              </w:rPr>
            </w:pPr>
            <w:r>
              <w:rPr>
                <w:b/>
                <w:bCs/>
                <w:color w:val="auto"/>
              </w:rPr>
              <w:t>备注</w:t>
            </w:r>
          </w:p>
        </w:tc>
      </w:tr>
      <w:tr w14:paraId="5FFD407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D368575">
            <w:pPr>
              <w:pStyle w:val="16"/>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0AC4723F">
            <w:pPr>
              <w:pStyle w:val="16"/>
              <w:pageBreakBefore w:val="0"/>
              <w:wordWrap/>
              <w:bidi w:val="0"/>
              <w:adjustRightInd/>
              <w:snapToGrid/>
              <w:rPr>
                <w:color w:val="auto"/>
              </w:rPr>
            </w:pPr>
            <w:r>
              <w:rPr>
                <w:color w:val="auto"/>
              </w:rPr>
              <w:t>快速搅拌机</w:t>
            </w:r>
          </w:p>
        </w:tc>
        <w:tc>
          <w:tcPr>
            <w:tcW w:w="1532" w:type="pct"/>
            <w:tcBorders>
              <w:tl2br w:val="nil"/>
              <w:tr2bl w:val="nil"/>
            </w:tcBorders>
            <w:noWrap w:val="0"/>
            <w:vAlign w:val="center"/>
          </w:tcPr>
          <w:p w14:paraId="154B6CC1">
            <w:pPr>
              <w:pStyle w:val="16"/>
              <w:pageBreakBefore w:val="0"/>
              <w:wordWrap/>
              <w:bidi w:val="0"/>
              <w:adjustRightInd/>
              <w:snapToGrid/>
              <w:rPr>
                <w:color w:val="auto"/>
              </w:rPr>
            </w:pPr>
            <w:r>
              <w:rPr>
                <w:color w:val="auto"/>
              </w:rPr>
              <w:t>电机功率</w:t>
            </w:r>
            <w:r>
              <w:rPr>
                <w:rFonts w:hint="eastAsia"/>
                <w:color w:val="auto"/>
                <w:lang w:eastAsia="zh-CN"/>
              </w:rPr>
              <w:t>：</w:t>
            </w:r>
            <w:r>
              <w:rPr>
                <w:color w:val="auto"/>
              </w:rPr>
              <w:t>3.5kW</w:t>
            </w:r>
          </w:p>
        </w:tc>
        <w:tc>
          <w:tcPr>
            <w:tcW w:w="612" w:type="pct"/>
            <w:tcBorders>
              <w:tl2br w:val="nil"/>
              <w:tr2bl w:val="nil"/>
            </w:tcBorders>
            <w:noWrap w:val="0"/>
            <w:vAlign w:val="center"/>
          </w:tcPr>
          <w:p w14:paraId="512B53AE">
            <w:pPr>
              <w:pStyle w:val="16"/>
              <w:pageBreakBefore w:val="0"/>
              <w:wordWrap/>
              <w:bidi w:val="0"/>
              <w:adjustRightInd/>
              <w:snapToGrid/>
              <w:rPr>
                <w:color w:val="auto"/>
              </w:rPr>
            </w:pPr>
            <w:r>
              <w:rPr>
                <w:color w:val="auto"/>
              </w:rPr>
              <w:t>304</w:t>
            </w:r>
            <w:r>
              <w:rPr>
                <w:rFonts w:hint="eastAsia"/>
                <w:color w:val="auto"/>
                <w:lang w:eastAsia="zh-CN"/>
              </w:rPr>
              <w:t>不</w:t>
            </w:r>
            <w:r>
              <w:rPr>
                <w:color w:val="auto"/>
              </w:rPr>
              <w:t>锈钢</w:t>
            </w:r>
          </w:p>
        </w:tc>
        <w:tc>
          <w:tcPr>
            <w:tcW w:w="279" w:type="pct"/>
            <w:tcBorders>
              <w:tl2br w:val="nil"/>
              <w:tr2bl w:val="nil"/>
            </w:tcBorders>
            <w:noWrap w:val="0"/>
            <w:vAlign w:val="center"/>
          </w:tcPr>
          <w:p w14:paraId="681ED220">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2228A44">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3F3BD4C8">
            <w:pPr>
              <w:pStyle w:val="16"/>
              <w:pageBreakBefore w:val="0"/>
              <w:wordWrap/>
              <w:bidi w:val="0"/>
              <w:adjustRightInd/>
              <w:snapToGrid/>
              <w:rPr>
                <w:color w:val="auto"/>
              </w:rPr>
            </w:pPr>
            <w:r>
              <w:rPr>
                <w:color w:val="auto"/>
              </w:rPr>
              <w:t>用在混合池</w:t>
            </w:r>
          </w:p>
        </w:tc>
      </w:tr>
      <w:tr w14:paraId="23C41AD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6CC07B4">
            <w:pPr>
              <w:pStyle w:val="16"/>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527ED399">
            <w:pPr>
              <w:pStyle w:val="16"/>
              <w:pageBreakBefore w:val="0"/>
              <w:wordWrap/>
              <w:bidi w:val="0"/>
              <w:adjustRightInd/>
              <w:snapToGrid/>
              <w:rPr>
                <w:color w:val="auto"/>
              </w:rPr>
            </w:pPr>
            <w:r>
              <w:rPr>
                <w:color w:val="auto"/>
              </w:rPr>
              <w:t>反冲洗罗茨鼓风机</w:t>
            </w:r>
          </w:p>
        </w:tc>
        <w:tc>
          <w:tcPr>
            <w:tcW w:w="1532" w:type="pct"/>
            <w:tcBorders>
              <w:tl2br w:val="nil"/>
              <w:tr2bl w:val="nil"/>
            </w:tcBorders>
            <w:noWrap w:val="0"/>
            <w:vAlign w:val="center"/>
          </w:tcPr>
          <w:p w14:paraId="4A53B552">
            <w:pPr>
              <w:pStyle w:val="16"/>
              <w:pageBreakBefore w:val="0"/>
              <w:wordWrap/>
              <w:bidi w:val="0"/>
              <w:adjustRightInd/>
              <w:snapToGrid/>
              <w:rPr>
                <w:color w:val="auto"/>
              </w:rPr>
            </w:pPr>
            <w:r>
              <w:rPr>
                <w:color w:val="auto"/>
              </w:rPr>
              <w:t>Q=40</w:t>
            </w:r>
            <w:r>
              <w:rPr>
                <w:rFonts w:hint="eastAsia"/>
                <w:color w:val="auto"/>
                <w:lang w:eastAsia="zh-CN"/>
              </w:rPr>
              <w:t>m³</w:t>
            </w:r>
            <w:r>
              <w:rPr>
                <w:color w:val="auto"/>
              </w:rPr>
              <w:t>/min</w:t>
            </w:r>
            <w:r>
              <w:rPr>
                <w:rFonts w:hint="eastAsia"/>
                <w:color w:val="auto"/>
                <w:lang w:eastAsia="zh-CN"/>
              </w:rPr>
              <w:t>，</w:t>
            </w:r>
            <w:r>
              <w:rPr>
                <w:color w:val="auto"/>
              </w:rPr>
              <w:t>H=70kPa</w:t>
            </w:r>
            <w:r>
              <w:rPr>
                <w:rFonts w:hint="eastAsia"/>
                <w:color w:val="auto"/>
                <w:lang w:eastAsia="zh-CN"/>
              </w:rPr>
              <w:t>，</w:t>
            </w:r>
            <w:r>
              <w:rPr>
                <w:color w:val="auto"/>
              </w:rPr>
              <w:t>N=75kW</w:t>
            </w:r>
            <w:r>
              <w:rPr>
                <w:rFonts w:hint="eastAsia"/>
                <w:color w:val="auto"/>
                <w:lang w:eastAsia="zh-CN"/>
              </w:rPr>
              <w:t>；</w:t>
            </w:r>
            <w:r>
              <w:rPr>
                <w:color w:val="auto"/>
              </w:rPr>
              <w:t>配空气过滤器</w:t>
            </w:r>
            <w:r>
              <w:rPr>
                <w:rFonts w:hint="eastAsia"/>
                <w:color w:val="auto"/>
                <w:lang w:eastAsia="zh-CN"/>
              </w:rPr>
              <w:t>，</w:t>
            </w:r>
            <w:r>
              <w:rPr>
                <w:color w:val="auto"/>
              </w:rPr>
              <w:t>减震器</w:t>
            </w:r>
            <w:r>
              <w:rPr>
                <w:rFonts w:hint="eastAsia"/>
                <w:color w:val="auto"/>
                <w:lang w:eastAsia="zh-CN"/>
              </w:rPr>
              <w:t>，</w:t>
            </w:r>
            <w:r>
              <w:rPr>
                <w:color w:val="auto"/>
              </w:rPr>
              <w:t>进口消音器</w:t>
            </w:r>
            <w:r>
              <w:rPr>
                <w:rFonts w:hint="eastAsia"/>
                <w:color w:val="auto"/>
                <w:lang w:eastAsia="zh-CN"/>
              </w:rPr>
              <w:t>，</w:t>
            </w:r>
            <w:r>
              <w:rPr>
                <w:color w:val="auto"/>
              </w:rPr>
              <w:t>出口消音器</w:t>
            </w:r>
            <w:r>
              <w:rPr>
                <w:rFonts w:hint="eastAsia"/>
                <w:color w:val="auto"/>
                <w:lang w:eastAsia="zh-CN"/>
              </w:rPr>
              <w:t>，</w:t>
            </w:r>
            <w:r>
              <w:rPr>
                <w:color w:val="auto"/>
              </w:rPr>
              <w:t>安全阀</w:t>
            </w:r>
            <w:r>
              <w:rPr>
                <w:rFonts w:hint="eastAsia"/>
                <w:color w:val="auto"/>
                <w:lang w:eastAsia="zh-CN"/>
              </w:rPr>
              <w:t>，</w:t>
            </w:r>
            <w:r>
              <w:rPr>
                <w:color w:val="auto"/>
              </w:rPr>
              <w:t>止回阀</w:t>
            </w:r>
            <w:r>
              <w:rPr>
                <w:rFonts w:hint="eastAsia"/>
                <w:color w:val="auto"/>
                <w:lang w:eastAsia="zh-CN"/>
              </w:rPr>
              <w:t>，</w:t>
            </w:r>
            <w:r>
              <w:rPr>
                <w:color w:val="auto"/>
              </w:rPr>
              <w:t>压力表</w:t>
            </w:r>
            <w:r>
              <w:rPr>
                <w:rFonts w:hint="eastAsia"/>
                <w:color w:val="auto"/>
                <w:lang w:eastAsia="zh-CN"/>
              </w:rPr>
              <w:t>，</w:t>
            </w:r>
            <w:r>
              <w:rPr>
                <w:color w:val="auto"/>
              </w:rPr>
              <w:t>压力表开关</w:t>
            </w:r>
            <w:r>
              <w:rPr>
                <w:rFonts w:hint="eastAsia"/>
                <w:color w:val="auto"/>
                <w:lang w:eastAsia="zh-CN"/>
              </w:rPr>
              <w:t>，</w:t>
            </w:r>
            <w:r>
              <w:rPr>
                <w:color w:val="auto"/>
              </w:rPr>
              <w:t>排气嘴</w:t>
            </w:r>
            <w:r>
              <w:rPr>
                <w:rFonts w:hint="eastAsia"/>
                <w:color w:val="auto"/>
                <w:lang w:eastAsia="zh-CN"/>
              </w:rPr>
              <w:t>，</w:t>
            </w:r>
            <w:r>
              <w:rPr>
                <w:color w:val="auto"/>
              </w:rPr>
              <w:t>柔性接头</w:t>
            </w:r>
            <w:r>
              <w:rPr>
                <w:rFonts w:hint="eastAsia"/>
                <w:color w:val="auto"/>
                <w:lang w:eastAsia="zh-CN"/>
              </w:rPr>
              <w:t>，</w:t>
            </w:r>
            <w:r>
              <w:rPr>
                <w:color w:val="auto"/>
              </w:rPr>
              <w:t>隔音罩等</w:t>
            </w:r>
          </w:p>
        </w:tc>
        <w:tc>
          <w:tcPr>
            <w:tcW w:w="612" w:type="pct"/>
            <w:tcBorders>
              <w:tl2br w:val="nil"/>
              <w:tr2bl w:val="nil"/>
            </w:tcBorders>
            <w:noWrap w:val="0"/>
            <w:vAlign w:val="center"/>
          </w:tcPr>
          <w:p w14:paraId="00D8183A">
            <w:pPr>
              <w:pStyle w:val="16"/>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17C6467A">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34E5C9D">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54350AB7">
            <w:pPr>
              <w:pStyle w:val="16"/>
              <w:pageBreakBefore w:val="0"/>
              <w:wordWrap/>
              <w:bidi w:val="0"/>
              <w:adjustRightInd/>
              <w:snapToGrid/>
              <w:rPr>
                <w:color w:val="auto"/>
              </w:rPr>
            </w:pPr>
            <w:r>
              <w:rPr>
                <w:rFonts w:hint="eastAsia"/>
                <w:color w:val="auto"/>
                <w:lang w:eastAsia="zh-CN"/>
              </w:rPr>
              <w:t>1</w:t>
            </w:r>
            <w:r>
              <w:rPr>
                <w:color w:val="auto"/>
              </w:rPr>
              <w:t>用</w:t>
            </w:r>
            <w:r>
              <w:rPr>
                <w:rFonts w:hint="eastAsia"/>
                <w:color w:val="auto"/>
                <w:lang w:eastAsia="zh-CN"/>
              </w:rPr>
              <w:t>1</w:t>
            </w:r>
            <w:r>
              <w:rPr>
                <w:color w:val="auto"/>
              </w:rPr>
              <w:t>备</w:t>
            </w:r>
          </w:p>
        </w:tc>
      </w:tr>
      <w:tr w14:paraId="6119D93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02B6AEE">
            <w:pPr>
              <w:pStyle w:val="16"/>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0D7C82BE">
            <w:pPr>
              <w:pStyle w:val="16"/>
              <w:pageBreakBefore w:val="0"/>
              <w:wordWrap/>
              <w:bidi w:val="0"/>
              <w:adjustRightInd/>
              <w:snapToGrid/>
              <w:rPr>
                <w:color w:val="auto"/>
              </w:rPr>
            </w:pPr>
            <w:r>
              <w:rPr>
                <w:color w:val="auto"/>
              </w:rPr>
              <w:t>反冲洗水泵</w:t>
            </w:r>
          </w:p>
        </w:tc>
        <w:tc>
          <w:tcPr>
            <w:tcW w:w="1532" w:type="pct"/>
            <w:tcBorders>
              <w:tl2br w:val="nil"/>
              <w:tr2bl w:val="nil"/>
            </w:tcBorders>
            <w:noWrap w:val="0"/>
            <w:vAlign w:val="center"/>
          </w:tcPr>
          <w:p w14:paraId="2117B4E2">
            <w:pPr>
              <w:pStyle w:val="16"/>
              <w:pageBreakBefore w:val="0"/>
              <w:wordWrap/>
              <w:bidi w:val="0"/>
              <w:adjustRightInd/>
              <w:snapToGrid/>
              <w:rPr>
                <w:rFonts w:hint="eastAsia" w:eastAsia="宋体"/>
                <w:color w:val="auto"/>
                <w:lang w:eastAsia="zh-CN"/>
              </w:rPr>
            </w:pPr>
            <w:r>
              <w:rPr>
                <w:color w:val="auto"/>
              </w:rPr>
              <w:t>Q=577</w:t>
            </w:r>
            <w:r>
              <w:rPr>
                <w:rFonts w:hint="eastAsia"/>
                <w:color w:val="auto"/>
                <w:lang w:eastAsia="zh-CN"/>
              </w:rPr>
              <w:t>m³</w:t>
            </w:r>
            <w:r>
              <w:rPr>
                <w:color w:val="auto"/>
              </w:rPr>
              <w:t>/h</w:t>
            </w:r>
            <w:r>
              <w:rPr>
                <w:rFonts w:hint="eastAsia"/>
                <w:color w:val="auto"/>
                <w:lang w:eastAsia="zh-CN"/>
              </w:rPr>
              <w:t>，</w:t>
            </w:r>
            <w:r>
              <w:rPr>
                <w:color w:val="auto"/>
              </w:rPr>
              <w:t>H=10m</w:t>
            </w:r>
            <w:r>
              <w:rPr>
                <w:rFonts w:hint="eastAsia"/>
                <w:color w:val="auto"/>
                <w:lang w:eastAsia="zh-CN"/>
              </w:rPr>
              <w:t>，</w:t>
            </w:r>
            <w:r>
              <w:rPr>
                <w:color w:val="auto"/>
              </w:rPr>
              <w:t>N=18.5kW</w:t>
            </w:r>
            <w:r>
              <w:rPr>
                <w:rFonts w:hint="eastAsia"/>
                <w:color w:val="auto"/>
                <w:lang w:eastAsia="zh-CN"/>
              </w:rPr>
              <w:t>；</w:t>
            </w:r>
          </w:p>
        </w:tc>
        <w:tc>
          <w:tcPr>
            <w:tcW w:w="612" w:type="pct"/>
            <w:tcBorders>
              <w:tl2br w:val="nil"/>
              <w:tr2bl w:val="nil"/>
            </w:tcBorders>
            <w:noWrap w:val="0"/>
            <w:vAlign w:val="center"/>
          </w:tcPr>
          <w:p w14:paraId="2E495AC3">
            <w:pPr>
              <w:pStyle w:val="16"/>
              <w:pageBreakBefore w:val="0"/>
              <w:wordWrap/>
              <w:bidi w:val="0"/>
              <w:adjustRightInd/>
              <w:snapToGrid/>
              <w:rPr>
                <w:color w:val="auto"/>
              </w:rPr>
            </w:pPr>
            <w:r>
              <w:rPr>
                <w:color w:val="auto"/>
              </w:rPr>
              <w:t>球墨铸铁</w:t>
            </w:r>
          </w:p>
        </w:tc>
        <w:tc>
          <w:tcPr>
            <w:tcW w:w="279" w:type="pct"/>
            <w:tcBorders>
              <w:tl2br w:val="nil"/>
              <w:tr2bl w:val="nil"/>
            </w:tcBorders>
            <w:noWrap w:val="0"/>
            <w:vAlign w:val="center"/>
          </w:tcPr>
          <w:p w14:paraId="350DB75D">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4F87EC1">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7C903160">
            <w:pPr>
              <w:pStyle w:val="16"/>
              <w:pageBreakBefore w:val="0"/>
              <w:wordWrap/>
              <w:bidi w:val="0"/>
              <w:adjustRightInd/>
              <w:snapToGrid/>
              <w:rPr>
                <w:color w:val="auto"/>
              </w:rPr>
            </w:pPr>
            <w:r>
              <w:rPr>
                <w:rFonts w:hint="eastAsia"/>
                <w:color w:val="auto"/>
                <w:lang w:eastAsia="zh-CN"/>
              </w:rPr>
              <w:t>1</w:t>
            </w:r>
            <w:r>
              <w:rPr>
                <w:color w:val="auto"/>
              </w:rPr>
              <w:t>用</w:t>
            </w:r>
            <w:r>
              <w:rPr>
                <w:rFonts w:hint="eastAsia"/>
                <w:color w:val="auto"/>
                <w:lang w:eastAsia="zh-CN"/>
              </w:rPr>
              <w:t>1</w:t>
            </w:r>
            <w:r>
              <w:rPr>
                <w:color w:val="auto"/>
              </w:rPr>
              <w:t>备</w:t>
            </w:r>
          </w:p>
        </w:tc>
      </w:tr>
      <w:tr w14:paraId="0F37F16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BFF9B83">
            <w:pPr>
              <w:pStyle w:val="16"/>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2243DEBF">
            <w:pPr>
              <w:pStyle w:val="16"/>
              <w:pageBreakBefore w:val="0"/>
              <w:wordWrap/>
              <w:bidi w:val="0"/>
              <w:adjustRightInd/>
              <w:snapToGrid/>
              <w:rPr>
                <w:color w:val="auto"/>
              </w:rPr>
            </w:pPr>
            <w:r>
              <w:rPr>
                <w:color w:val="auto"/>
              </w:rPr>
              <w:t>反冲洗废水泵</w:t>
            </w:r>
          </w:p>
        </w:tc>
        <w:tc>
          <w:tcPr>
            <w:tcW w:w="1532" w:type="pct"/>
            <w:tcBorders>
              <w:tl2br w:val="nil"/>
              <w:tr2bl w:val="nil"/>
            </w:tcBorders>
            <w:noWrap w:val="0"/>
            <w:vAlign w:val="center"/>
          </w:tcPr>
          <w:p w14:paraId="0FAE623B">
            <w:pPr>
              <w:pStyle w:val="16"/>
              <w:pageBreakBefore w:val="0"/>
              <w:wordWrap/>
              <w:bidi w:val="0"/>
              <w:adjustRightInd/>
              <w:snapToGrid/>
              <w:rPr>
                <w:rFonts w:hint="eastAsia" w:eastAsia="宋体"/>
                <w:color w:val="auto"/>
                <w:lang w:eastAsia="zh-CN"/>
              </w:rPr>
            </w:pPr>
            <w:r>
              <w:rPr>
                <w:color w:val="auto"/>
              </w:rPr>
              <w:t>Q=97</w:t>
            </w:r>
            <w:r>
              <w:rPr>
                <w:rFonts w:hint="eastAsia"/>
                <w:color w:val="auto"/>
                <w:lang w:eastAsia="zh-CN"/>
              </w:rPr>
              <w:t>m³</w:t>
            </w:r>
            <w:r>
              <w:rPr>
                <w:color w:val="auto"/>
              </w:rPr>
              <w:t>/h</w:t>
            </w:r>
            <w:r>
              <w:rPr>
                <w:rFonts w:hint="eastAsia"/>
                <w:color w:val="auto"/>
                <w:lang w:eastAsia="zh-CN"/>
              </w:rPr>
              <w:t>，</w:t>
            </w:r>
            <w:r>
              <w:rPr>
                <w:color w:val="auto"/>
              </w:rPr>
              <w:t>H=10m</w:t>
            </w:r>
            <w:r>
              <w:rPr>
                <w:rFonts w:hint="eastAsia"/>
                <w:color w:val="auto"/>
                <w:lang w:eastAsia="zh-CN"/>
              </w:rPr>
              <w:t>，</w:t>
            </w:r>
            <w:r>
              <w:rPr>
                <w:color w:val="auto"/>
              </w:rPr>
              <w:t>N=4.7kW</w:t>
            </w:r>
            <w:r>
              <w:rPr>
                <w:rFonts w:hint="eastAsia"/>
                <w:color w:val="auto"/>
                <w:lang w:eastAsia="zh-CN"/>
              </w:rPr>
              <w:t>；</w:t>
            </w:r>
          </w:p>
        </w:tc>
        <w:tc>
          <w:tcPr>
            <w:tcW w:w="612" w:type="pct"/>
            <w:tcBorders>
              <w:tl2br w:val="nil"/>
              <w:tr2bl w:val="nil"/>
            </w:tcBorders>
            <w:noWrap w:val="0"/>
            <w:vAlign w:val="center"/>
          </w:tcPr>
          <w:p w14:paraId="6A94CA2C">
            <w:pPr>
              <w:pStyle w:val="16"/>
              <w:pageBreakBefore w:val="0"/>
              <w:wordWrap/>
              <w:bidi w:val="0"/>
              <w:adjustRightInd/>
              <w:snapToGrid/>
              <w:rPr>
                <w:color w:val="auto"/>
              </w:rPr>
            </w:pPr>
            <w:r>
              <w:rPr>
                <w:color w:val="auto"/>
              </w:rPr>
              <w:t>球墨铸铁</w:t>
            </w:r>
          </w:p>
        </w:tc>
        <w:tc>
          <w:tcPr>
            <w:tcW w:w="279" w:type="pct"/>
            <w:tcBorders>
              <w:tl2br w:val="nil"/>
              <w:tr2bl w:val="nil"/>
            </w:tcBorders>
            <w:noWrap w:val="0"/>
            <w:vAlign w:val="center"/>
          </w:tcPr>
          <w:p w14:paraId="1647C209">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E7780AD">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48748DAE">
            <w:pPr>
              <w:pStyle w:val="16"/>
              <w:pageBreakBefore w:val="0"/>
              <w:wordWrap/>
              <w:bidi w:val="0"/>
              <w:adjustRightInd/>
              <w:snapToGrid/>
              <w:rPr>
                <w:color w:val="auto"/>
              </w:rPr>
            </w:pPr>
            <w:r>
              <w:rPr>
                <w:rFonts w:hint="eastAsia"/>
                <w:color w:val="auto"/>
                <w:lang w:eastAsia="zh-CN"/>
              </w:rPr>
              <w:t>1</w:t>
            </w:r>
            <w:r>
              <w:rPr>
                <w:color w:val="auto"/>
              </w:rPr>
              <w:t>用</w:t>
            </w:r>
            <w:r>
              <w:rPr>
                <w:rFonts w:hint="eastAsia"/>
                <w:color w:val="auto"/>
                <w:lang w:eastAsia="zh-CN"/>
              </w:rPr>
              <w:t>1</w:t>
            </w:r>
            <w:r>
              <w:rPr>
                <w:color w:val="auto"/>
              </w:rPr>
              <w:t>备</w:t>
            </w:r>
            <w:r>
              <w:rPr>
                <w:rFonts w:hint="eastAsia"/>
                <w:color w:val="auto"/>
                <w:lang w:eastAsia="zh-CN"/>
              </w:rPr>
              <w:t>，</w:t>
            </w:r>
            <w:r>
              <w:rPr>
                <w:color w:val="auto"/>
              </w:rPr>
              <w:t>自带电控箱</w:t>
            </w:r>
          </w:p>
        </w:tc>
      </w:tr>
      <w:tr w14:paraId="592A781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40F6944">
            <w:pPr>
              <w:pStyle w:val="16"/>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6A15AAA2">
            <w:pPr>
              <w:pStyle w:val="16"/>
              <w:pageBreakBefore w:val="0"/>
              <w:wordWrap/>
              <w:bidi w:val="0"/>
              <w:adjustRightInd/>
              <w:snapToGrid/>
              <w:rPr>
                <w:color w:val="auto"/>
              </w:rPr>
            </w:pPr>
            <w:r>
              <w:rPr>
                <w:color w:val="auto"/>
              </w:rPr>
              <w:t>管廊底坑排水泵</w:t>
            </w:r>
          </w:p>
        </w:tc>
        <w:tc>
          <w:tcPr>
            <w:tcW w:w="1532" w:type="pct"/>
            <w:tcBorders>
              <w:tl2br w:val="nil"/>
              <w:tr2bl w:val="nil"/>
            </w:tcBorders>
            <w:noWrap w:val="0"/>
            <w:vAlign w:val="center"/>
          </w:tcPr>
          <w:p w14:paraId="3E94DEC6">
            <w:pPr>
              <w:pStyle w:val="16"/>
              <w:pageBreakBefore w:val="0"/>
              <w:wordWrap/>
              <w:bidi w:val="0"/>
              <w:adjustRightInd/>
              <w:snapToGrid/>
              <w:rPr>
                <w:rFonts w:hint="eastAsia" w:eastAsia="宋体"/>
                <w:color w:val="auto"/>
                <w:lang w:eastAsia="zh-CN"/>
              </w:rPr>
            </w:pPr>
            <w:r>
              <w:rPr>
                <w:color w:val="auto"/>
              </w:rPr>
              <w:t>Q=10</w:t>
            </w:r>
            <w:r>
              <w:rPr>
                <w:rFonts w:hint="eastAsia"/>
                <w:color w:val="auto"/>
                <w:lang w:eastAsia="zh-CN"/>
              </w:rPr>
              <w:t>m³</w:t>
            </w:r>
            <w:r>
              <w:rPr>
                <w:color w:val="auto"/>
              </w:rPr>
              <w:t>/h</w:t>
            </w:r>
            <w:r>
              <w:rPr>
                <w:rFonts w:hint="eastAsia"/>
                <w:color w:val="auto"/>
                <w:lang w:eastAsia="zh-CN"/>
              </w:rPr>
              <w:t>，</w:t>
            </w:r>
            <w:r>
              <w:rPr>
                <w:color w:val="auto"/>
              </w:rPr>
              <w:t>H=10m</w:t>
            </w:r>
            <w:r>
              <w:rPr>
                <w:rFonts w:hint="eastAsia"/>
                <w:color w:val="auto"/>
                <w:lang w:eastAsia="zh-CN"/>
              </w:rPr>
              <w:t>，</w:t>
            </w:r>
            <w:r>
              <w:rPr>
                <w:color w:val="auto"/>
              </w:rPr>
              <w:t>N=</w:t>
            </w:r>
            <w:r>
              <w:rPr>
                <w:rFonts w:hint="eastAsia"/>
                <w:color w:val="auto"/>
                <w:lang w:eastAsia="zh-CN"/>
              </w:rPr>
              <w:t>1</w:t>
            </w:r>
            <w:r>
              <w:rPr>
                <w:color w:val="auto"/>
              </w:rPr>
              <w:t>.2kW</w:t>
            </w:r>
            <w:r>
              <w:rPr>
                <w:rFonts w:hint="eastAsia"/>
                <w:color w:val="auto"/>
                <w:lang w:eastAsia="zh-CN"/>
              </w:rPr>
              <w:t>；</w:t>
            </w:r>
          </w:p>
        </w:tc>
        <w:tc>
          <w:tcPr>
            <w:tcW w:w="612" w:type="pct"/>
            <w:tcBorders>
              <w:tl2br w:val="nil"/>
              <w:tr2bl w:val="nil"/>
            </w:tcBorders>
            <w:noWrap w:val="0"/>
            <w:vAlign w:val="center"/>
          </w:tcPr>
          <w:p w14:paraId="0C3AA52C">
            <w:pPr>
              <w:pStyle w:val="16"/>
              <w:pageBreakBefore w:val="0"/>
              <w:wordWrap/>
              <w:bidi w:val="0"/>
              <w:adjustRightInd/>
              <w:snapToGrid/>
              <w:rPr>
                <w:color w:val="auto"/>
              </w:rPr>
            </w:pPr>
            <w:r>
              <w:rPr>
                <w:color w:val="auto"/>
              </w:rPr>
              <w:t>球墨铸铁</w:t>
            </w:r>
          </w:p>
        </w:tc>
        <w:tc>
          <w:tcPr>
            <w:tcW w:w="279" w:type="pct"/>
            <w:tcBorders>
              <w:tl2br w:val="nil"/>
              <w:tr2bl w:val="nil"/>
            </w:tcBorders>
            <w:noWrap w:val="0"/>
            <w:vAlign w:val="center"/>
          </w:tcPr>
          <w:p w14:paraId="1E73D8A1">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5F0D0FE4">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5117CB60">
            <w:pPr>
              <w:pStyle w:val="16"/>
              <w:pageBreakBefore w:val="0"/>
              <w:wordWrap/>
              <w:bidi w:val="0"/>
              <w:adjustRightInd/>
              <w:snapToGrid/>
              <w:rPr>
                <w:color w:val="auto"/>
              </w:rPr>
            </w:pPr>
          </w:p>
        </w:tc>
      </w:tr>
      <w:tr w14:paraId="7066B67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CF8A122">
            <w:pPr>
              <w:pStyle w:val="16"/>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20680454">
            <w:pPr>
              <w:pStyle w:val="16"/>
              <w:pageBreakBefore w:val="0"/>
              <w:wordWrap/>
              <w:bidi w:val="0"/>
              <w:adjustRightInd/>
              <w:snapToGrid/>
              <w:rPr>
                <w:color w:val="auto"/>
              </w:rPr>
            </w:pPr>
            <w:r>
              <w:rPr>
                <w:color w:val="auto"/>
              </w:rPr>
              <w:t>空压机</w:t>
            </w:r>
          </w:p>
        </w:tc>
        <w:tc>
          <w:tcPr>
            <w:tcW w:w="1532" w:type="pct"/>
            <w:tcBorders>
              <w:tl2br w:val="nil"/>
              <w:tr2bl w:val="nil"/>
            </w:tcBorders>
            <w:noWrap w:val="0"/>
            <w:vAlign w:val="center"/>
          </w:tcPr>
          <w:p w14:paraId="2D86A61B">
            <w:pPr>
              <w:pStyle w:val="16"/>
              <w:pageBreakBefore w:val="0"/>
              <w:wordWrap/>
              <w:bidi w:val="0"/>
              <w:adjustRightInd/>
              <w:snapToGrid/>
              <w:rPr>
                <w:rFonts w:hint="eastAsia" w:eastAsia="宋体"/>
                <w:color w:val="auto"/>
                <w:lang w:eastAsia="zh-CN"/>
              </w:rPr>
            </w:pPr>
            <w:r>
              <w:rPr>
                <w:color w:val="auto"/>
              </w:rPr>
              <w:t>Q=</w:t>
            </w:r>
            <w:r>
              <w:rPr>
                <w:rFonts w:hint="eastAsia"/>
                <w:color w:val="auto"/>
                <w:lang w:eastAsia="zh-CN"/>
              </w:rPr>
              <w:t>1</w:t>
            </w:r>
            <w:r>
              <w:rPr>
                <w:color w:val="auto"/>
              </w:rPr>
              <w:t>.0</w:t>
            </w:r>
            <w:r>
              <w:rPr>
                <w:rFonts w:hint="eastAsia"/>
                <w:color w:val="auto"/>
                <w:lang w:eastAsia="zh-CN"/>
              </w:rPr>
              <w:t>m³</w:t>
            </w:r>
            <w:r>
              <w:rPr>
                <w:color w:val="auto"/>
              </w:rPr>
              <w:t>/min</w:t>
            </w:r>
            <w:r>
              <w:rPr>
                <w:rFonts w:hint="eastAsia"/>
                <w:color w:val="auto"/>
                <w:lang w:eastAsia="zh-CN"/>
              </w:rPr>
              <w:t>，</w:t>
            </w:r>
            <w:r>
              <w:rPr>
                <w:color w:val="auto"/>
              </w:rPr>
              <w:t>P=0.8Mpa</w:t>
            </w:r>
            <w:r>
              <w:rPr>
                <w:rFonts w:hint="eastAsia"/>
                <w:color w:val="auto"/>
                <w:lang w:eastAsia="zh-CN"/>
              </w:rPr>
              <w:t>，</w:t>
            </w:r>
            <w:r>
              <w:rPr>
                <w:color w:val="auto"/>
              </w:rPr>
              <w:t>N=4kW</w:t>
            </w:r>
            <w:r>
              <w:rPr>
                <w:rFonts w:hint="eastAsia"/>
                <w:color w:val="auto"/>
                <w:lang w:eastAsia="zh-CN"/>
              </w:rPr>
              <w:t>；</w:t>
            </w:r>
            <w:r>
              <w:rPr>
                <w:color w:val="auto"/>
              </w:rPr>
              <w:t>配套冷干机</w:t>
            </w:r>
            <w:r>
              <w:rPr>
                <w:rFonts w:hint="eastAsia"/>
                <w:color w:val="auto"/>
                <w:lang w:eastAsia="zh-CN"/>
              </w:rPr>
              <w:t>、</w:t>
            </w:r>
            <w:r>
              <w:rPr>
                <w:color w:val="auto"/>
              </w:rPr>
              <w:t>管道前后过滤器</w:t>
            </w:r>
            <w:r>
              <w:rPr>
                <w:rFonts w:hint="eastAsia"/>
                <w:color w:val="auto"/>
                <w:lang w:eastAsia="zh-CN"/>
              </w:rPr>
              <w:t>，</w:t>
            </w:r>
            <w:r>
              <w:rPr>
                <w:color w:val="auto"/>
              </w:rPr>
              <w:t>压力传感器</w:t>
            </w:r>
            <w:r>
              <w:rPr>
                <w:rFonts w:hint="eastAsia"/>
                <w:color w:val="auto"/>
                <w:lang w:eastAsia="zh-CN"/>
              </w:rPr>
              <w:t>，</w:t>
            </w:r>
            <w:r>
              <w:rPr>
                <w:color w:val="auto"/>
              </w:rPr>
              <w:t>空压机至各滤池气源分配器的所有干管、弯头等采用不锈钢</w:t>
            </w:r>
            <w:r>
              <w:rPr>
                <w:rFonts w:hint="eastAsia"/>
                <w:color w:val="auto"/>
                <w:lang w:eastAsia="zh-CN"/>
              </w:rPr>
              <w:t>。</w:t>
            </w:r>
          </w:p>
        </w:tc>
        <w:tc>
          <w:tcPr>
            <w:tcW w:w="612" w:type="pct"/>
            <w:tcBorders>
              <w:tl2br w:val="nil"/>
              <w:tr2bl w:val="nil"/>
            </w:tcBorders>
            <w:noWrap w:val="0"/>
            <w:vAlign w:val="center"/>
          </w:tcPr>
          <w:p w14:paraId="1420C4EE">
            <w:pPr>
              <w:pStyle w:val="16"/>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5D25B11E">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5B56D367">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12EBFD86">
            <w:pPr>
              <w:pStyle w:val="16"/>
              <w:pageBreakBefore w:val="0"/>
              <w:wordWrap/>
              <w:bidi w:val="0"/>
              <w:adjustRightInd/>
              <w:snapToGrid/>
              <w:rPr>
                <w:color w:val="auto"/>
              </w:rPr>
            </w:pPr>
            <w:r>
              <w:rPr>
                <w:color w:val="auto"/>
              </w:rPr>
              <w:t>螺杆式</w:t>
            </w:r>
            <w:r>
              <w:rPr>
                <w:rFonts w:hint="eastAsia"/>
                <w:color w:val="auto"/>
                <w:lang w:eastAsia="zh-CN"/>
              </w:rPr>
              <w:t>，1</w:t>
            </w:r>
            <w:r>
              <w:rPr>
                <w:color w:val="auto"/>
              </w:rPr>
              <w:t>用</w:t>
            </w:r>
            <w:r>
              <w:rPr>
                <w:rFonts w:hint="eastAsia"/>
                <w:color w:val="auto"/>
                <w:lang w:eastAsia="zh-CN"/>
              </w:rPr>
              <w:t>1</w:t>
            </w:r>
            <w:r>
              <w:rPr>
                <w:color w:val="auto"/>
              </w:rPr>
              <w:t>备</w:t>
            </w:r>
          </w:p>
        </w:tc>
      </w:tr>
      <w:tr w14:paraId="628E3E5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D9A912D">
            <w:pPr>
              <w:pStyle w:val="16"/>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009B5703">
            <w:pPr>
              <w:pStyle w:val="16"/>
              <w:pageBreakBefore w:val="0"/>
              <w:wordWrap/>
              <w:bidi w:val="0"/>
              <w:adjustRightInd/>
              <w:snapToGrid/>
              <w:rPr>
                <w:color w:val="auto"/>
              </w:rPr>
            </w:pPr>
            <w:r>
              <w:rPr>
                <w:color w:val="auto"/>
              </w:rPr>
              <w:t>压缩空气储罐</w:t>
            </w:r>
          </w:p>
        </w:tc>
        <w:tc>
          <w:tcPr>
            <w:tcW w:w="1532" w:type="pct"/>
            <w:tcBorders>
              <w:tl2br w:val="nil"/>
              <w:tr2bl w:val="nil"/>
            </w:tcBorders>
            <w:noWrap w:val="0"/>
            <w:vAlign w:val="center"/>
          </w:tcPr>
          <w:p w14:paraId="4C48D647">
            <w:pPr>
              <w:pStyle w:val="16"/>
              <w:pageBreakBefore w:val="0"/>
              <w:wordWrap/>
              <w:bidi w:val="0"/>
              <w:adjustRightInd/>
              <w:snapToGrid/>
              <w:rPr>
                <w:color w:val="auto"/>
              </w:rPr>
            </w:pPr>
            <w:r>
              <w:rPr>
                <w:color w:val="auto"/>
              </w:rPr>
              <w:t>V=</w:t>
            </w:r>
            <w:r>
              <w:rPr>
                <w:rFonts w:hint="eastAsia"/>
                <w:color w:val="auto"/>
                <w:lang w:eastAsia="zh-CN"/>
              </w:rPr>
              <w:t>1</w:t>
            </w:r>
            <w:r>
              <w:rPr>
                <w:color w:val="auto"/>
              </w:rPr>
              <w:t>.0</w:t>
            </w:r>
            <w:r>
              <w:rPr>
                <w:rFonts w:hint="eastAsia"/>
                <w:color w:val="auto"/>
                <w:lang w:eastAsia="zh-CN"/>
              </w:rPr>
              <w:t>m³，</w:t>
            </w:r>
            <w:r>
              <w:rPr>
                <w:color w:val="auto"/>
              </w:rPr>
              <w:t>P=0.8Mpa</w:t>
            </w:r>
            <w:r>
              <w:rPr>
                <w:rFonts w:hint="eastAsia"/>
                <w:color w:val="auto"/>
                <w:lang w:eastAsia="zh-CN"/>
              </w:rPr>
              <w:t>；</w:t>
            </w:r>
            <w:r>
              <w:rPr>
                <w:color w:val="auto"/>
              </w:rPr>
              <w:t>配套安全阀、自动排水阀等</w:t>
            </w:r>
            <w:r>
              <w:rPr>
                <w:rFonts w:hint="eastAsia"/>
                <w:color w:val="auto"/>
                <w:lang w:eastAsia="zh-CN"/>
              </w:rPr>
              <w:t>。</w:t>
            </w:r>
          </w:p>
        </w:tc>
        <w:tc>
          <w:tcPr>
            <w:tcW w:w="612" w:type="pct"/>
            <w:tcBorders>
              <w:tl2br w:val="nil"/>
              <w:tr2bl w:val="nil"/>
            </w:tcBorders>
            <w:noWrap w:val="0"/>
            <w:vAlign w:val="center"/>
          </w:tcPr>
          <w:p w14:paraId="78F4E650">
            <w:pPr>
              <w:pStyle w:val="16"/>
              <w:pageBreakBefore w:val="0"/>
              <w:wordWrap/>
              <w:bidi w:val="0"/>
              <w:adjustRightInd/>
              <w:snapToGrid/>
              <w:rPr>
                <w:color w:val="auto"/>
              </w:rPr>
            </w:pPr>
          </w:p>
        </w:tc>
        <w:tc>
          <w:tcPr>
            <w:tcW w:w="279" w:type="pct"/>
            <w:tcBorders>
              <w:tl2br w:val="nil"/>
              <w:tr2bl w:val="nil"/>
            </w:tcBorders>
            <w:noWrap w:val="0"/>
            <w:vAlign w:val="center"/>
          </w:tcPr>
          <w:p w14:paraId="0A1D577F">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13BADAA">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6B3008A2">
            <w:pPr>
              <w:pStyle w:val="16"/>
              <w:pageBreakBefore w:val="0"/>
              <w:wordWrap/>
              <w:bidi w:val="0"/>
              <w:adjustRightInd/>
              <w:snapToGrid/>
              <w:rPr>
                <w:color w:val="auto"/>
              </w:rPr>
            </w:pPr>
          </w:p>
        </w:tc>
      </w:tr>
      <w:tr w14:paraId="1F9D315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E8943D8">
            <w:pPr>
              <w:pStyle w:val="16"/>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18AF96E7">
            <w:pPr>
              <w:pStyle w:val="16"/>
              <w:pageBreakBefore w:val="0"/>
              <w:wordWrap/>
              <w:bidi w:val="0"/>
              <w:adjustRightInd/>
              <w:snapToGrid/>
              <w:rPr>
                <w:color w:val="auto"/>
              </w:rPr>
            </w:pPr>
            <w:r>
              <w:rPr>
                <w:color w:val="auto"/>
              </w:rPr>
              <w:t>气动蝶阀</w:t>
            </w:r>
          </w:p>
        </w:tc>
        <w:tc>
          <w:tcPr>
            <w:tcW w:w="1532" w:type="pct"/>
            <w:tcBorders>
              <w:tl2br w:val="nil"/>
              <w:tr2bl w:val="nil"/>
            </w:tcBorders>
            <w:noWrap w:val="0"/>
            <w:vAlign w:val="center"/>
          </w:tcPr>
          <w:p w14:paraId="6F3DCA63">
            <w:pPr>
              <w:pStyle w:val="16"/>
              <w:pageBreakBefore w:val="0"/>
              <w:wordWrap/>
              <w:bidi w:val="0"/>
              <w:adjustRightInd/>
              <w:snapToGrid/>
              <w:rPr>
                <w:color w:val="auto"/>
              </w:rPr>
            </w:pPr>
            <w:r>
              <w:rPr>
                <w:color w:val="auto"/>
              </w:rPr>
              <w:t>DN450P=</w:t>
            </w:r>
            <w:r>
              <w:rPr>
                <w:rFonts w:hint="eastAsia"/>
                <w:color w:val="auto"/>
                <w:lang w:eastAsia="zh-CN"/>
              </w:rPr>
              <w:t>1</w:t>
            </w:r>
            <w:r>
              <w:rPr>
                <w:color w:val="auto"/>
              </w:rPr>
              <w:t>.0Mpa</w:t>
            </w:r>
            <w:r>
              <w:rPr>
                <w:rFonts w:hint="eastAsia"/>
                <w:color w:val="auto"/>
                <w:lang w:eastAsia="zh-CN"/>
              </w:rPr>
              <w:t>，</w:t>
            </w:r>
            <w:r>
              <w:rPr>
                <w:color w:val="auto"/>
              </w:rPr>
              <w:t>软密封法兰</w:t>
            </w:r>
            <w:r>
              <w:rPr>
                <w:rFonts w:hint="eastAsia"/>
                <w:color w:val="auto"/>
                <w:lang w:eastAsia="zh-CN"/>
              </w:rPr>
              <w:t>，</w:t>
            </w:r>
            <w:r>
              <w:rPr>
                <w:color w:val="auto"/>
              </w:rPr>
              <w:t>配2位5</w:t>
            </w:r>
            <w:r>
              <w:rPr>
                <w:rFonts w:hint="eastAsia"/>
                <w:color w:val="auto"/>
                <w:lang w:eastAsia="zh-CN"/>
              </w:rPr>
              <w:t>通电磁阀，</w:t>
            </w:r>
            <w:r>
              <w:rPr>
                <w:color w:val="auto"/>
              </w:rPr>
              <w:t>带就地手动开关</w:t>
            </w:r>
            <w:r>
              <w:rPr>
                <w:rFonts w:hint="eastAsia"/>
                <w:color w:val="auto"/>
                <w:lang w:eastAsia="zh-CN"/>
              </w:rPr>
              <w:t>，</w:t>
            </w:r>
            <w:r>
              <w:rPr>
                <w:color w:val="auto"/>
              </w:rPr>
              <w:t>每个气动闸板阀配置一个过滤减压阀</w:t>
            </w:r>
          </w:p>
        </w:tc>
        <w:tc>
          <w:tcPr>
            <w:tcW w:w="612" w:type="pct"/>
            <w:tcBorders>
              <w:tl2br w:val="nil"/>
              <w:tr2bl w:val="nil"/>
            </w:tcBorders>
            <w:noWrap w:val="0"/>
            <w:vAlign w:val="center"/>
          </w:tcPr>
          <w:p w14:paraId="1746AA2C">
            <w:pPr>
              <w:pStyle w:val="16"/>
              <w:pageBreakBefore w:val="0"/>
              <w:wordWrap/>
              <w:bidi w:val="0"/>
              <w:adjustRightInd/>
              <w:snapToGrid/>
              <w:rPr>
                <w:color w:val="auto"/>
              </w:rPr>
            </w:pPr>
            <w:r>
              <w:rPr>
                <w:color w:val="auto"/>
              </w:rPr>
              <w:t>阀体材质球墨铸铁</w:t>
            </w:r>
          </w:p>
        </w:tc>
        <w:tc>
          <w:tcPr>
            <w:tcW w:w="279" w:type="pct"/>
            <w:tcBorders>
              <w:tl2br w:val="nil"/>
              <w:tr2bl w:val="nil"/>
            </w:tcBorders>
            <w:noWrap w:val="0"/>
            <w:vAlign w:val="center"/>
          </w:tcPr>
          <w:p w14:paraId="2BCA0287">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792C2E25">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34D7B695">
            <w:pPr>
              <w:pStyle w:val="16"/>
              <w:pageBreakBefore w:val="0"/>
              <w:wordWrap/>
              <w:bidi w:val="0"/>
              <w:adjustRightInd/>
              <w:snapToGrid/>
              <w:rPr>
                <w:color w:val="auto"/>
              </w:rPr>
            </w:pPr>
            <w:r>
              <w:rPr>
                <w:color w:val="auto"/>
              </w:rPr>
              <w:t>废水管</w:t>
            </w:r>
          </w:p>
        </w:tc>
      </w:tr>
      <w:tr w14:paraId="011160E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52BA13F">
            <w:pPr>
              <w:pStyle w:val="16"/>
              <w:pageBreakBefore w:val="0"/>
              <w:wordWrap/>
              <w:bidi w:val="0"/>
              <w:adjustRightInd/>
              <w:snapToGrid/>
              <w:rPr>
                <w:color w:val="auto"/>
              </w:rPr>
            </w:pPr>
            <w:r>
              <w:rPr>
                <w:color w:val="auto"/>
              </w:rPr>
              <w:t>9</w:t>
            </w:r>
          </w:p>
        </w:tc>
        <w:tc>
          <w:tcPr>
            <w:tcW w:w="843" w:type="pct"/>
            <w:gridSpan w:val="2"/>
            <w:tcBorders>
              <w:tl2br w:val="nil"/>
              <w:tr2bl w:val="nil"/>
            </w:tcBorders>
            <w:noWrap w:val="0"/>
            <w:vAlign w:val="center"/>
          </w:tcPr>
          <w:p w14:paraId="345ECBF5">
            <w:pPr>
              <w:pStyle w:val="16"/>
              <w:pageBreakBefore w:val="0"/>
              <w:wordWrap/>
              <w:bidi w:val="0"/>
              <w:adjustRightInd/>
              <w:snapToGrid/>
              <w:rPr>
                <w:color w:val="auto"/>
              </w:rPr>
            </w:pPr>
            <w:r>
              <w:rPr>
                <w:color w:val="auto"/>
              </w:rPr>
              <w:t>调节型气动蝶阀</w:t>
            </w:r>
          </w:p>
        </w:tc>
        <w:tc>
          <w:tcPr>
            <w:tcW w:w="1532" w:type="pct"/>
            <w:tcBorders>
              <w:tl2br w:val="nil"/>
              <w:tr2bl w:val="nil"/>
            </w:tcBorders>
            <w:noWrap w:val="0"/>
            <w:vAlign w:val="center"/>
          </w:tcPr>
          <w:p w14:paraId="5B53F835">
            <w:pPr>
              <w:pStyle w:val="16"/>
              <w:pageBreakBefore w:val="0"/>
              <w:wordWrap/>
              <w:bidi w:val="0"/>
              <w:adjustRightInd/>
              <w:snapToGrid/>
              <w:rPr>
                <w:color w:val="auto"/>
              </w:rPr>
            </w:pPr>
            <w:r>
              <w:rPr>
                <w:color w:val="auto"/>
              </w:rPr>
              <w:t>DN300P=</w:t>
            </w:r>
            <w:r>
              <w:rPr>
                <w:rFonts w:hint="eastAsia"/>
                <w:color w:val="auto"/>
                <w:lang w:eastAsia="zh-CN"/>
              </w:rPr>
              <w:t>1</w:t>
            </w:r>
            <w:r>
              <w:rPr>
                <w:color w:val="auto"/>
              </w:rPr>
              <w:t>.0Mpa</w:t>
            </w:r>
            <w:r>
              <w:rPr>
                <w:rFonts w:hint="eastAsia"/>
                <w:color w:val="auto"/>
                <w:lang w:eastAsia="zh-CN"/>
              </w:rPr>
              <w:t>，</w:t>
            </w:r>
            <w:r>
              <w:rPr>
                <w:color w:val="auto"/>
              </w:rPr>
              <w:t>软密封法兰</w:t>
            </w:r>
            <w:r>
              <w:rPr>
                <w:rFonts w:hint="eastAsia"/>
                <w:color w:val="auto"/>
                <w:lang w:eastAsia="zh-CN"/>
              </w:rPr>
              <w:t>，</w:t>
            </w:r>
            <w:r>
              <w:rPr>
                <w:color w:val="auto"/>
              </w:rPr>
              <w:t>配2位5</w:t>
            </w:r>
            <w:r>
              <w:rPr>
                <w:rFonts w:hint="eastAsia"/>
                <w:color w:val="auto"/>
                <w:lang w:eastAsia="zh-CN"/>
              </w:rPr>
              <w:t>通电磁阀，</w:t>
            </w:r>
            <w:r>
              <w:rPr>
                <w:color w:val="auto"/>
              </w:rPr>
              <w:t>带就地手动开关</w:t>
            </w:r>
            <w:r>
              <w:rPr>
                <w:rFonts w:hint="eastAsia"/>
                <w:color w:val="auto"/>
                <w:lang w:eastAsia="zh-CN"/>
              </w:rPr>
              <w:t>，</w:t>
            </w:r>
            <w:r>
              <w:rPr>
                <w:color w:val="auto"/>
              </w:rPr>
              <w:t>每个气动闸板阀配置一个过滤减压阀</w:t>
            </w:r>
          </w:p>
        </w:tc>
        <w:tc>
          <w:tcPr>
            <w:tcW w:w="612" w:type="pct"/>
            <w:tcBorders>
              <w:tl2br w:val="nil"/>
              <w:tr2bl w:val="nil"/>
            </w:tcBorders>
            <w:noWrap w:val="0"/>
            <w:vAlign w:val="center"/>
          </w:tcPr>
          <w:p w14:paraId="54B67E72">
            <w:pPr>
              <w:pStyle w:val="16"/>
              <w:pageBreakBefore w:val="0"/>
              <w:wordWrap/>
              <w:bidi w:val="0"/>
              <w:adjustRightInd/>
              <w:snapToGrid/>
              <w:rPr>
                <w:color w:val="auto"/>
              </w:rPr>
            </w:pPr>
            <w:r>
              <w:rPr>
                <w:color w:val="auto"/>
              </w:rPr>
              <w:t>阀体材质球墨铸铁</w:t>
            </w:r>
          </w:p>
        </w:tc>
        <w:tc>
          <w:tcPr>
            <w:tcW w:w="279" w:type="pct"/>
            <w:tcBorders>
              <w:tl2br w:val="nil"/>
              <w:tr2bl w:val="nil"/>
            </w:tcBorders>
            <w:noWrap w:val="0"/>
            <w:vAlign w:val="center"/>
          </w:tcPr>
          <w:p w14:paraId="767B7E0D">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41073A94">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6174CB6B">
            <w:pPr>
              <w:pStyle w:val="16"/>
              <w:pageBreakBefore w:val="0"/>
              <w:wordWrap/>
              <w:bidi w:val="0"/>
              <w:adjustRightInd/>
              <w:snapToGrid/>
              <w:rPr>
                <w:color w:val="auto"/>
              </w:rPr>
            </w:pPr>
            <w:r>
              <w:rPr>
                <w:color w:val="auto"/>
              </w:rPr>
              <w:t>出水管、反洗泵出水管</w:t>
            </w:r>
          </w:p>
        </w:tc>
      </w:tr>
      <w:tr w14:paraId="4792EC3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B791EA8">
            <w:pPr>
              <w:pStyle w:val="16"/>
              <w:pageBreakBefore w:val="0"/>
              <w:wordWrap/>
              <w:bidi w:val="0"/>
              <w:adjustRightInd/>
              <w:snapToGrid/>
              <w:rPr>
                <w:color w:val="auto"/>
              </w:rPr>
            </w:pPr>
            <w:r>
              <w:rPr>
                <w:color w:val="auto"/>
              </w:rPr>
              <w:t>10</w:t>
            </w:r>
          </w:p>
        </w:tc>
        <w:tc>
          <w:tcPr>
            <w:tcW w:w="843" w:type="pct"/>
            <w:gridSpan w:val="2"/>
            <w:tcBorders>
              <w:tl2br w:val="nil"/>
              <w:tr2bl w:val="nil"/>
            </w:tcBorders>
            <w:noWrap w:val="0"/>
            <w:vAlign w:val="center"/>
          </w:tcPr>
          <w:p w14:paraId="7A9227F8">
            <w:pPr>
              <w:pStyle w:val="16"/>
              <w:pageBreakBefore w:val="0"/>
              <w:wordWrap/>
              <w:bidi w:val="0"/>
              <w:adjustRightInd/>
              <w:snapToGrid/>
              <w:rPr>
                <w:color w:val="auto"/>
              </w:rPr>
            </w:pPr>
            <w:r>
              <w:rPr>
                <w:color w:val="auto"/>
              </w:rPr>
              <w:t>气动蝶阀</w:t>
            </w:r>
          </w:p>
        </w:tc>
        <w:tc>
          <w:tcPr>
            <w:tcW w:w="1532" w:type="pct"/>
            <w:tcBorders>
              <w:tl2br w:val="nil"/>
              <w:tr2bl w:val="nil"/>
            </w:tcBorders>
            <w:noWrap w:val="0"/>
            <w:vAlign w:val="center"/>
          </w:tcPr>
          <w:p w14:paraId="03C34045">
            <w:pPr>
              <w:pStyle w:val="16"/>
              <w:pageBreakBefore w:val="0"/>
              <w:wordWrap/>
              <w:bidi w:val="0"/>
              <w:adjustRightInd/>
              <w:snapToGrid/>
              <w:rPr>
                <w:color w:val="auto"/>
              </w:rPr>
            </w:pPr>
            <w:r>
              <w:rPr>
                <w:color w:val="auto"/>
              </w:rPr>
              <w:t>DN300P=</w:t>
            </w:r>
            <w:r>
              <w:rPr>
                <w:rFonts w:hint="eastAsia"/>
                <w:color w:val="auto"/>
                <w:lang w:eastAsia="zh-CN"/>
              </w:rPr>
              <w:t>1</w:t>
            </w:r>
            <w:r>
              <w:rPr>
                <w:color w:val="auto"/>
              </w:rPr>
              <w:t>.0Mpa</w:t>
            </w:r>
            <w:r>
              <w:rPr>
                <w:rFonts w:hint="eastAsia"/>
                <w:color w:val="auto"/>
                <w:lang w:eastAsia="zh-CN"/>
              </w:rPr>
              <w:t>，</w:t>
            </w:r>
            <w:r>
              <w:rPr>
                <w:color w:val="auto"/>
              </w:rPr>
              <w:t>软密封法兰</w:t>
            </w:r>
            <w:r>
              <w:rPr>
                <w:rFonts w:hint="eastAsia"/>
                <w:color w:val="auto"/>
                <w:lang w:eastAsia="zh-CN"/>
              </w:rPr>
              <w:t>，</w:t>
            </w:r>
            <w:r>
              <w:rPr>
                <w:color w:val="auto"/>
              </w:rPr>
              <w:t>配2位5</w:t>
            </w:r>
            <w:r>
              <w:rPr>
                <w:rFonts w:hint="eastAsia"/>
                <w:color w:val="auto"/>
                <w:lang w:eastAsia="zh-CN"/>
              </w:rPr>
              <w:t>通电磁阀，</w:t>
            </w:r>
            <w:r>
              <w:rPr>
                <w:color w:val="auto"/>
              </w:rPr>
              <w:t>带就地手动开关</w:t>
            </w:r>
            <w:r>
              <w:rPr>
                <w:rFonts w:hint="eastAsia"/>
                <w:color w:val="auto"/>
                <w:lang w:eastAsia="zh-CN"/>
              </w:rPr>
              <w:t>，</w:t>
            </w:r>
            <w:r>
              <w:rPr>
                <w:color w:val="auto"/>
              </w:rPr>
              <w:t>每个气动闸板阀配置一个过滤减压阀</w:t>
            </w:r>
          </w:p>
        </w:tc>
        <w:tc>
          <w:tcPr>
            <w:tcW w:w="612" w:type="pct"/>
            <w:tcBorders>
              <w:tl2br w:val="nil"/>
              <w:tr2bl w:val="nil"/>
            </w:tcBorders>
            <w:noWrap w:val="0"/>
            <w:vAlign w:val="center"/>
          </w:tcPr>
          <w:p w14:paraId="7926D54E">
            <w:pPr>
              <w:pStyle w:val="16"/>
              <w:pageBreakBefore w:val="0"/>
              <w:wordWrap/>
              <w:bidi w:val="0"/>
              <w:adjustRightInd/>
              <w:snapToGrid/>
              <w:rPr>
                <w:color w:val="auto"/>
              </w:rPr>
            </w:pPr>
            <w:r>
              <w:rPr>
                <w:color w:val="auto"/>
              </w:rPr>
              <w:t>阀体材质球墨铸铁</w:t>
            </w:r>
          </w:p>
        </w:tc>
        <w:tc>
          <w:tcPr>
            <w:tcW w:w="279" w:type="pct"/>
            <w:tcBorders>
              <w:tl2br w:val="nil"/>
              <w:tr2bl w:val="nil"/>
            </w:tcBorders>
            <w:noWrap w:val="0"/>
            <w:vAlign w:val="center"/>
          </w:tcPr>
          <w:p w14:paraId="30FEB02F">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38847858">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2BAF9037">
            <w:pPr>
              <w:pStyle w:val="16"/>
              <w:pageBreakBefore w:val="0"/>
              <w:wordWrap/>
              <w:bidi w:val="0"/>
              <w:adjustRightInd/>
              <w:snapToGrid/>
              <w:rPr>
                <w:color w:val="auto"/>
              </w:rPr>
            </w:pPr>
            <w:r>
              <w:rPr>
                <w:color w:val="auto"/>
              </w:rPr>
              <w:t>反冲洗清水管</w:t>
            </w:r>
          </w:p>
        </w:tc>
      </w:tr>
      <w:tr w14:paraId="18C1DC7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29E49B4">
            <w:pPr>
              <w:pStyle w:val="16"/>
              <w:pageBreakBefore w:val="0"/>
              <w:wordWrap/>
              <w:bidi w:val="0"/>
              <w:adjustRightInd/>
              <w:snapToGrid/>
              <w:rPr>
                <w:color w:val="auto"/>
              </w:rPr>
            </w:pPr>
            <w:r>
              <w:rPr>
                <w:color w:val="auto"/>
              </w:rPr>
              <w:t>11</w:t>
            </w:r>
          </w:p>
        </w:tc>
        <w:tc>
          <w:tcPr>
            <w:tcW w:w="843" w:type="pct"/>
            <w:gridSpan w:val="2"/>
            <w:tcBorders>
              <w:tl2br w:val="nil"/>
              <w:tr2bl w:val="nil"/>
            </w:tcBorders>
            <w:noWrap w:val="0"/>
            <w:vAlign w:val="center"/>
          </w:tcPr>
          <w:p w14:paraId="3F10989D">
            <w:pPr>
              <w:pStyle w:val="16"/>
              <w:pageBreakBefore w:val="0"/>
              <w:wordWrap/>
              <w:bidi w:val="0"/>
              <w:adjustRightInd/>
              <w:snapToGrid/>
              <w:rPr>
                <w:color w:val="auto"/>
              </w:rPr>
            </w:pPr>
            <w:r>
              <w:rPr>
                <w:color w:val="auto"/>
              </w:rPr>
              <w:t>气动蝶阀</w:t>
            </w:r>
          </w:p>
        </w:tc>
        <w:tc>
          <w:tcPr>
            <w:tcW w:w="1532" w:type="pct"/>
            <w:tcBorders>
              <w:tl2br w:val="nil"/>
              <w:tr2bl w:val="nil"/>
            </w:tcBorders>
            <w:noWrap w:val="0"/>
            <w:vAlign w:val="center"/>
          </w:tcPr>
          <w:p w14:paraId="618CF04E">
            <w:pPr>
              <w:pStyle w:val="16"/>
              <w:pageBreakBefore w:val="0"/>
              <w:wordWrap/>
              <w:bidi w:val="0"/>
              <w:adjustRightInd/>
              <w:snapToGrid/>
              <w:rPr>
                <w:color w:val="auto"/>
              </w:rPr>
            </w:pPr>
            <w:r>
              <w:rPr>
                <w:color w:val="auto"/>
              </w:rPr>
              <w:t>DN250P=</w:t>
            </w:r>
            <w:r>
              <w:rPr>
                <w:rFonts w:hint="eastAsia"/>
                <w:color w:val="auto"/>
                <w:lang w:eastAsia="zh-CN"/>
              </w:rPr>
              <w:t>1</w:t>
            </w:r>
            <w:r>
              <w:rPr>
                <w:color w:val="auto"/>
              </w:rPr>
              <w:t>.0Mpa</w:t>
            </w:r>
            <w:r>
              <w:rPr>
                <w:rFonts w:hint="eastAsia"/>
                <w:color w:val="auto"/>
                <w:lang w:eastAsia="zh-CN"/>
              </w:rPr>
              <w:t>，</w:t>
            </w:r>
            <w:r>
              <w:rPr>
                <w:color w:val="auto"/>
              </w:rPr>
              <w:t>软密封法兰</w:t>
            </w:r>
            <w:r>
              <w:rPr>
                <w:rFonts w:hint="eastAsia"/>
                <w:color w:val="auto"/>
                <w:lang w:eastAsia="zh-CN"/>
              </w:rPr>
              <w:t>，</w:t>
            </w:r>
            <w:r>
              <w:rPr>
                <w:color w:val="auto"/>
              </w:rPr>
              <w:t>配2位5</w:t>
            </w:r>
            <w:r>
              <w:rPr>
                <w:rFonts w:hint="eastAsia"/>
                <w:color w:val="auto"/>
                <w:lang w:eastAsia="zh-CN"/>
              </w:rPr>
              <w:t>通电磁阀，</w:t>
            </w:r>
            <w:r>
              <w:rPr>
                <w:color w:val="auto"/>
              </w:rPr>
              <w:t>带就地手动开关</w:t>
            </w:r>
            <w:r>
              <w:rPr>
                <w:rFonts w:hint="eastAsia"/>
                <w:color w:val="auto"/>
                <w:lang w:eastAsia="zh-CN"/>
              </w:rPr>
              <w:t>，</w:t>
            </w:r>
            <w:r>
              <w:rPr>
                <w:color w:val="auto"/>
              </w:rPr>
              <w:t>每个气动闸板阀配置一个过滤减压阀</w:t>
            </w:r>
          </w:p>
        </w:tc>
        <w:tc>
          <w:tcPr>
            <w:tcW w:w="612" w:type="pct"/>
            <w:tcBorders>
              <w:tl2br w:val="nil"/>
              <w:tr2bl w:val="nil"/>
            </w:tcBorders>
            <w:noWrap w:val="0"/>
            <w:vAlign w:val="center"/>
          </w:tcPr>
          <w:p w14:paraId="6EB97FC0">
            <w:pPr>
              <w:pStyle w:val="16"/>
              <w:pageBreakBefore w:val="0"/>
              <w:wordWrap/>
              <w:bidi w:val="0"/>
              <w:adjustRightInd/>
              <w:snapToGrid/>
              <w:rPr>
                <w:color w:val="auto"/>
              </w:rPr>
            </w:pPr>
            <w:r>
              <w:rPr>
                <w:color w:val="auto"/>
              </w:rPr>
              <w:t>阀体材质球墨铸铁</w:t>
            </w:r>
          </w:p>
        </w:tc>
        <w:tc>
          <w:tcPr>
            <w:tcW w:w="279" w:type="pct"/>
            <w:tcBorders>
              <w:tl2br w:val="nil"/>
              <w:tr2bl w:val="nil"/>
            </w:tcBorders>
            <w:noWrap w:val="0"/>
            <w:vAlign w:val="center"/>
          </w:tcPr>
          <w:p w14:paraId="743426F5">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1E339E1E">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62926AB4">
            <w:pPr>
              <w:pStyle w:val="16"/>
              <w:pageBreakBefore w:val="0"/>
              <w:wordWrap/>
              <w:bidi w:val="0"/>
              <w:adjustRightInd/>
              <w:snapToGrid/>
              <w:rPr>
                <w:color w:val="auto"/>
              </w:rPr>
            </w:pPr>
            <w:r>
              <w:rPr>
                <w:color w:val="auto"/>
              </w:rPr>
              <w:t>反冲洗气管</w:t>
            </w:r>
          </w:p>
        </w:tc>
      </w:tr>
      <w:tr w14:paraId="6DD4121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5D66D65">
            <w:pPr>
              <w:pStyle w:val="16"/>
              <w:pageBreakBefore w:val="0"/>
              <w:wordWrap/>
              <w:bidi w:val="0"/>
              <w:adjustRightInd/>
              <w:snapToGrid/>
              <w:rPr>
                <w:color w:val="auto"/>
              </w:rPr>
            </w:pPr>
            <w:r>
              <w:rPr>
                <w:color w:val="auto"/>
              </w:rPr>
              <w:t>12</w:t>
            </w:r>
          </w:p>
        </w:tc>
        <w:tc>
          <w:tcPr>
            <w:tcW w:w="843" w:type="pct"/>
            <w:gridSpan w:val="2"/>
            <w:tcBorders>
              <w:tl2br w:val="nil"/>
              <w:tr2bl w:val="nil"/>
            </w:tcBorders>
            <w:noWrap w:val="0"/>
            <w:vAlign w:val="center"/>
          </w:tcPr>
          <w:p w14:paraId="60FA33FA">
            <w:pPr>
              <w:pStyle w:val="16"/>
              <w:pageBreakBefore w:val="0"/>
              <w:wordWrap/>
              <w:bidi w:val="0"/>
              <w:adjustRightInd/>
              <w:snapToGrid/>
              <w:rPr>
                <w:color w:val="auto"/>
              </w:rPr>
            </w:pPr>
            <w:r>
              <w:rPr>
                <w:color w:val="auto"/>
              </w:rPr>
              <w:t>气动靠壁闸门</w:t>
            </w:r>
          </w:p>
        </w:tc>
        <w:tc>
          <w:tcPr>
            <w:tcW w:w="1532" w:type="pct"/>
            <w:tcBorders>
              <w:tl2br w:val="nil"/>
              <w:tr2bl w:val="nil"/>
            </w:tcBorders>
            <w:noWrap w:val="0"/>
            <w:vAlign w:val="center"/>
          </w:tcPr>
          <w:p w14:paraId="6A72CC11">
            <w:pPr>
              <w:pStyle w:val="16"/>
              <w:pageBreakBefore w:val="0"/>
              <w:wordWrap/>
              <w:bidi w:val="0"/>
              <w:adjustRightInd/>
              <w:snapToGrid/>
              <w:rPr>
                <w:color w:val="auto"/>
              </w:rPr>
            </w:pPr>
            <w:r>
              <w:rPr>
                <w:color w:val="auto"/>
              </w:rPr>
              <w:t>300×300</w:t>
            </w:r>
            <w:r>
              <w:rPr>
                <w:rFonts w:hint="eastAsia"/>
                <w:color w:val="auto"/>
                <w:lang w:eastAsia="zh-CN"/>
              </w:rPr>
              <w:t>，</w:t>
            </w:r>
            <w:r>
              <w:rPr>
                <w:color w:val="auto"/>
              </w:rPr>
              <w:t>配2位5</w:t>
            </w:r>
            <w:r>
              <w:rPr>
                <w:rFonts w:hint="eastAsia"/>
                <w:color w:val="auto"/>
                <w:lang w:eastAsia="zh-CN"/>
              </w:rPr>
              <w:t>通电磁阀，</w:t>
            </w:r>
            <w:r>
              <w:rPr>
                <w:color w:val="auto"/>
              </w:rPr>
              <w:t>带就地手动开关</w:t>
            </w:r>
            <w:r>
              <w:rPr>
                <w:rFonts w:hint="eastAsia"/>
                <w:color w:val="auto"/>
                <w:lang w:eastAsia="zh-CN"/>
              </w:rPr>
              <w:t>，</w:t>
            </w:r>
            <w:r>
              <w:rPr>
                <w:color w:val="auto"/>
              </w:rPr>
              <w:t>每个气动闸板阀配置一个过滤减压阀</w:t>
            </w:r>
          </w:p>
        </w:tc>
        <w:tc>
          <w:tcPr>
            <w:tcW w:w="612" w:type="pct"/>
            <w:tcBorders>
              <w:tl2br w:val="nil"/>
              <w:tr2bl w:val="nil"/>
            </w:tcBorders>
            <w:noWrap w:val="0"/>
            <w:vAlign w:val="center"/>
          </w:tcPr>
          <w:p w14:paraId="2D2D0520">
            <w:pPr>
              <w:pStyle w:val="16"/>
              <w:pageBreakBefore w:val="0"/>
              <w:wordWrap/>
              <w:bidi w:val="0"/>
              <w:adjustRightInd/>
              <w:snapToGrid/>
              <w:rPr>
                <w:color w:val="auto"/>
              </w:rPr>
            </w:pPr>
            <w:r>
              <w:rPr>
                <w:color w:val="auto"/>
              </w:rPr>
              <w:t>球墨铸铁</w:t>
            </w:r>
          </w:p>
        </w:tc>
        <w:tc>
          <w:tcPr>
            <w:tcW w:w="279" w:type="pct"/>
            <w:tcBorders>
              <w:tl2br w:val="nil"/>
              <w:tr2bl w:val="nil"/>
            </w:tcBorders>
            <w:noWrap w:val="0"/>
            <w:vAlign w:val="center"/>
          </w:tcPr>
          <w:p w14:paraId="4C401CE5">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5215228C">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289482BD">
            <w:pPr>
              <w:pStyle w:val="16"/>
              <w:pageBreakBefore w:val="0"/>
              <w:wordWrap/>
              <w:bidi w:val="0"/>
              <w:adjustRightInd/>
              <w:snapToGrid/>
              <w:rPr>
                <w:color w:val="auto"/>
              </w:rPr>
            </w:pPr>
            <w:r>
              <w:rPr>
                <w:color w:val="auto"/>
              </w:rPr>
              <w:t>进水</w:t>
            </w:r>
          </w:p>
        </w:tc>
      </w:tr>
      <w:tr w14:paraId="09A9AD9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AD0A0F6">
            <w:pPr>
              <w:pStyle w:val="16"/>
              <w:pageBreakBefore w:val="0"/>
              <w:wordWrap/>
              <w:bidi w:val="0"/>
              <w:adjustRightInd/>
              <w:snapToGrid/>
              <w:rPr>
                <w:color w:val="auto"/>
              </w:rPr>
            </w:pPr>
            <w:r>
              <w:rPr>
                <w:color w:val="auto"/>
              </w:rPr>
              <w:t>13</w:t>
            </w:r>
          </w:p>
        </w:tc>
        <w:tc>
          <w:tcPr>
            <w:tcW w:w="843" w:type="pct"/>
            <w:gridSpan w:val="2"/>
            <w:tcBorders>
              <w:tl2br w:val="nil"/>
              <w:tr2bl w:val="nil"/>
            </w:tcBorders>
            <w:noWrap w:val="0"/>
            <w:vAlign w:val="center"/>
          </w:tcPr>
          <w:p w14:paraId="14E7DCDD">
            <w:pPr>
              <w:pStyle w:val="16"/>
              <w:pageBreakBefore w:val="0"/>
              <w:wordWrap/>
              <w:bidi w:val="0"/>
              <w:adjustRightInd/>
              <w:snapToGrid/>
              <w:rPr>
                <w:color w:val="auto"/>
              </w:rPr>
            </w:pPr>
            <w:r>
              <w:rPr>
                <w:color w:val="auto"/>
              </w:rPr>
              <w:t>单法兰传力接头</w:t>
            </w:r>
          </w:p>
        </w:tc>
        <w:tc>
          <w:tcPr>
            <w:tcW w:w="1532" w:type="pct"/>
            <w:tcBorders>
              <w:tl2br w:val="nil"/>
              <w:tr2bl w:val="nil"/>
            </w:tcBorders>
            <w:noWrap w:val="0"/>
            <w:vAlign w:val="center"/>
          </w:tcPr>
          <w:p w14:paraId="0F181E91">
            <w:pPr>
              <w:pStyle w:val="16"/>
              <w:pageBreakBefore w:val="0"/>
              <w:wordWrap/>
              <w:bidi w:val="0"/>
              <w:adjustRightInd/>
              <w:snapToGrid/>
              <w:rPr>
                <w:color w:val="auto"/>
              </w:rPr>
            </w:pPr>
            <w:r>
              <w:rPr>
                <w:color w:val="auto"/>
              </w:rPr>
              <w:t>DN450P=</w:t>
            </w:r>
            <w:r>
              <w:rPr>
                <w:rFonts w:hint="eastAsia"/>
                <w:color w:val="auto"/>
                <w:lang w:eastAsia="zh-CN"/>
              </w:rPr>
              <w:t>1</w:t>
            </w:r>
            <w:r>
              <w:rPr>
                <w:color w:val="auto"/>
              </w:rPr>
              <w:t>.0Mpa</w:t>
            </w:r>
          </w:p>
        </w:tc>
        <w:tc>
          <w:tcPr>
            <w:tcW w:w="612" w:type="pct"/>
            <w:tcBorders>
              <w:tl2br w:val="nil"/>
              <w:tr2bl w:val="nil"/>
            </w:tcBorders>
            <w:noWrap w:val="0"/>
            <w:vAlign w:val="center"/>
          </w:tcPr>
          <w:p w14:paraId="5626F377">
            <w:pPr>
              <w:pStyle w:val="16"/>
              <w:pageBreakBefore w:val="0"/>
              <w:wordWrap/>
              <w:bidi w:val="0"/>
              <w:adjustRightInd/>
              <w:snapToGrid/>
              <w:rPr>
                <w:color w:val="auto"/>
              </w:rPr>
            </w:pPr>
            <w:r>
              <w:rPr>
                <w:color w:val="auto"/>
              </w:rPr>
              <w:t>Q235</w:t>
            </w:r>
          </w:p>
        </w:tc>
        <w:tc>
          <w:tcPr>
            <w:tcW w:w="279" w:type="pct"/>
            <w:tcBorders>
              <w:tl2br w:val="nil"/>
              <w:tr2bl w:val="nil"/>
            </w:tcBorders>
            <w:noWrap w:val="0"/>
            <w:vAlign w:val="center"/>
          </w:tcPr>
          <w:p w14:paraId="1C65E5BE">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28EFEC4A">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0EB142A2">
            <w:pPr>
              <w:pStyle w:val="16"/>
              <w:pageBreakBefore w:val="0"/>
              <w:wordWrap/>
              <w:bidi w:val="0"/>
              <w:adjustRightInd/>
              <w:snapToGrid/>
              <w:rPr>
                <w:color w:val="auto"/>
              </w:rPr>
            </w:pPr>
            <w:r>
              <w:rPr>
                <w:color w:val="auto"/>
              </w:rPr>
              <w:t>废水管</w:t>
            </w:r>
          </w:p>
        </w:tc>
      </w:tr>
      <w:tr w14:paraId="10532B1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0BA3F82">
            <w:pPr>
              <w:pStyle w:val="16"/>
              <w:pageBreakBefore w:val="0"/>
              <w:wordWrap/>
              <w:bidi w:val="0"/>
              <w:adjustRightInd/>
              <w:snapToGrid/>
              <w:rPr>
                <w:color w:val="auto"/>
              </w:rPr>
            </w:pPr>
            <w:r>
              <w:rPr>
                <w:color w:val="auto"/>
              </w:rPr>
              <w:t>14</w:t>
            </w:r>
          </w:p>
        </w:tc>
        <w:tc>
          <w:tcPr>
            <w:tcW w:w="843" w:type="pct"/>
            <w:gridSpan w:val="2"/>
            <w:tcBorders>
              <w:tl2br w:val="nil"/>
              <w:tr2bl w:val="nil"/>
            </w:tcBorders>
            <w:noWrap w:val="0"/>
            <w:vAlign w:val="center"/>
          </w:tcPr>
          <w:p w14:paraId="1E53343D">
            <w:pPr>
              <w:pStyle w:val="16"/>
              <w:pageBreakBefore w:val="0"/>
              <w:wordWrap/>
              <w:bidi w:val="0"/>
              <w:adjustRightInd/>
              <w:snapToGrid/>
              <w:rPr>
                <w:color w:val="auto"/>
              </w:rPr>
            </w:pPr>
            <w:r>
              <w:rPr>
                <w:color w:val="auto"/>
              </w:rPr>
              <w:t>单法兰传力接头</w:t>
            </w:r>
          </w:p>
        </w:tc>
        <w:tc>
          <w:tcPr>
            <w:tcW w:w="1532" w:type="pct"/>
            <w:tcBorders>
              <w:tl2br w:val="nil"/>
              <w:tr2bl w:val="nil"/>
            </w:tcBorders>
            <w:noWrap w:val="0"/>
            <w:vAlign w:val="center"/>
          </w:tcPr>
          <w:p w14:paraId="4225F9E9">
            <w:pPr>
              <w:pStyle w:val="16"/>
              <w:pageBreakBefore w:val="0"/>
              <w:wordWrap/>
              <w:bidi w:val="0"/>
              <w:adjustRightInd/>
              <w:snapToGrid/>
              <w:rPr>
                <w:color w:val="auto"/>
              </w:rPr>
            </w:pPr>
            <w:r>
              <w:rPr>
                <w:color w:val="auto"/>
              </w:rPr>
              <w:t>DN300PN=</w:t>
            </w:r>
            <w:r>
              <w:rPr>
                <w:rFonts w:hint="eastAsia"/>
                <w:color w:val="auto"/>
                <w:lang w:eastAsia="zh-CN"/>
              </w:rPr>
              <w:t>1</w:t>
            </w:r>
            <w:r>
              <w:rPr>
                <w:color w:val="auto"/>
              </w:rPr>
              <w:t>.0MPa</w:t>
            </w:r>
          </w:p>
        </w:tc>
        <w:tc>
          <w:tcPr>
            <w:tcW w:w="612" w:type="pct"/>
            <w:tcBorders>
              <w:tl2br w:val="nil"/>
              <w:tr2bl w:val="nil"/>
            </w:tcBorders>
            <w:noWrap w:val="0"/>
            <w:vAlign w:val="center"/>
          </w:tcPr>
          <w:p w14:paraId="1CC1DBDE">
            <w:pPr>
              <w:pStyle w:val="16"/>
              <w:pageBreakBefore w:val="0"/>
              <w:wordWrap/>
              <w:bidi w:val="0"/>
              <w:adjustRightInd/>
              <w:snapToGrid/>
              <w:rPr>
                <w:color w:val="auto"/>
              </w:rPr>
            </w:pPr>
            <w:r>
              <w:rPr>
                <w:color w:val="auto"/>
              </w:rPr>
              <w:t>Q235</w:t>
            </w:r>
          </w:p>
        </w:tc>
        <w:tc>
          <w:tcPr>
            <w:tcW w:w="279" w:type="pct"/>
            <w:tcBorders>
              <w:tl2br w:val="nil"/>
              <w:tr2bl w:val="nil"/>
            </w:tcBorders>
            <w:noWrap w:val="0"/>
            <w:vAlign w:val="center"/>
          </w:tcPr>
          <w:p w14:paraId="4FB636DE">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5D7C0A44">
            <w:pPr>
              <w:pStyle w:val="16"/>
              <w:pageBreakBefore w:val="0"/>
              <w:wordWrap/>
              <w:bidi w:val="0"/>
              <w:adjustRightInd/>
              <w:snapToGrid/>
              <w:rPr>
                <w:color w:val="auto"/>
              </w:rPr>
            </w:pPr>
            <w:r>
              <w:rPr>
                <w:color w:val="auto"/>
              </w:rPr>
              <w:t>9</w:t>
            </w:r>
          </w:p>
        </w:tc>
        <w:tc>
          <w:tcPr>
            <w:tcW w:w="1132" w:type="pct"/>
            <w:tcBorders>
              <w:tl2br w:val="nil"/>
              <w:tr2bl w:val="nil"/>
            </w:tcBorders>
            <w:noWrap w:val="0"/>
            <w:vAlign w:val="center"/>
          </w:tcPr>
          <w:p w14:paraId="08214F8F">
            <w:pPr>
              <w:pStyle w:val="16"/>
              <w:pageBreakBefore w:val="0"/>
              <w:wordWrap/>
              <w:bidi w:val="0"/>
              <w:adjustRightInd/>
              <w:snapToGrid/>
              <w:rPr>
                <w:color w:val="auto"/>
              </w:rPr>
            </w:pPr>
            <w:r>
              <w:rPr>
                <w:color w:val="auto"/>
              </w:rPr>
              <w:t>出水管、反冲洗清水管</w:t>
            </w:r>
          </w:p>
        </w:tc>
      </w:tr>
      <w:tr w14:paraId="7DD66E4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D641F13">
            <w:pPr>
              <w:pStyle w:val="16"/>
              <w:pageBreakBefore w:val="0"/>
              <w:wordWrap/>
              <w:bidi w:val="0"/>
              <w:adjustRightInd/>
              <w:snapToGrid/>
              <w:rPr>
                <w:color w:val="auto"/>
              </w:rPr>
            </w:pPr>
            <w:r>
              <w:rPr>
                <w:color w:val="auto"/>
              </w:rPr>
              <w:t>15</w:t>
            </w:r>
          </w:p>
        </w:tc>
        <w:tc>
          <w:tcPr>
            <w:tcW w:w="843" w:type="pct"/>
            <w:gridSpan w:val="2"/>
            <w:tcBorders>
              <w:tl2br w:val="nil"/>
              <w:tr2bl w:val="nil"/>
            </w:tcBorders>
            <w:noWrap w:val="0"/>
            <w:vAlign w:val="center"/>
          </w:tcPr>
          <w:p w14:paraId="6B14FD95">
            <w:pPr>
              <w:pStyle w:val="16"/>
              <w:pageBreakBefore w:val="0"/>
              <w:wordWrap/>
              <w:bidi w:val="0"/>
              <w:adjustRightInd/>
              <w:snapToGrid/>
              <w:rPr>
                <w:color w:val="auto"/>
              </w:rPr>
            </w:pPr>
            <w:r>
              <w:rPr>
                <w:color w:val="auto"/>
              </w:rPr>
              <w:t>手动蝶阀</w:t>
            </w:r>
          </w:p>
        </w:tc>
        <w:tc>
          <w:tcPr>
            <w:tcW w:w="1532" w:type="pct"/>
            <w:tcBorders>
              <w:tl2br w:val="nil"/>
              <w:tr2bl w:val="nil"/>
            </w:tcBorders>
            <w:noWrap w:val="0"/>
            <w:vAlign w:val="center"/>
          </w:tcPr>
          <w:p w14:paraId="55FC0D7A">
            <w:pPr>
              <w:pStyle w:val="16"/>
              <w:pageBreakBefore w:val="0"/>
              <w:wordWrap/>
              <w:bidi w:val="0"/>
              <w:adjustRightInd/>
              <w:snapToGrid/>
              <w:rPr>
                <w:color w:val="auto"/>
              </w:rPr>
            </w:pPr>
            <w:r>
              <w:rPr>
                <w:color w:val="auto"/>
              </w:rPr>
              <w:t>DN300PN=</w:t>
            </w:r>
            <w:r>
              <w:rPr>
                <w:rFonts w:hint="eastAsia"/>
                <w:color w:val="auto"/>
                <w:lang w:eastAsia="zh-CN"/>
              </w:rPr>
              <w:t>1</w:t>
            </w:r>
            <w:r>
              <w:rPr>
                <w:color w:val="auto"/>
              </w:rPr>
              <w:t>.0MPa</w:t>
            </w:r>
          </w:p>
        </w:tc>
        <w:tc>
          <w:tcPr>
            <w:tcW w:w="612" w:type="pct"/>
            <w:tcBorders>
              <w:tl2br w:val="nil"/>
              <w:tr2bl w:val="nil"/>
            </w:tcBorders>
            <w:noWrap w:val="0"/>
            <w:vAlign w:val="center"/>
          </w:tcPr>
          <w:p w14:paraId="24DA9B8E">
            <w:pPr>
              <w:pStyle w:val="16"/>
              <w:pageBreakBefore w:val="0"/>
              <w:wordWrap/>
              <w:bidi w:val="0"/>
              <w:adjustRightInd/>
              <w:snapToGrid/>
              <w:rPr>
                <w:color w:val="auto"/>
              </w:rPr>
            </w:pPr>
            <w:r>
              <w:rPr>
                <w:color w:val="auto"/>
              </w:rPr>
              <w:t>阀体材质球墨铸铁</w:t>
            </w:r>
          </w:p>
        </w:tc>
        <w:tc>
          <w:tcPr>
            <w:tcW w:w="279" w:type="pct"/>
            <w:tcBorders>
              <w:tl2br w:val="nil"/>
              <w:tr2bl w:val="nil"/>
            </w:tcBorders>
            <w:noWrap w:val="0"/>
            <w:vAlign w:val="center"/>
          </w:tcPr>
          <w:p w14:paraId="404A4FFF">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71F42043">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2D52FD48">
            <w:pPr>
              <w:pStyle w:val="16"/>
              <w:pageBreakBefore w:val="0"/>
              <w:wordWrap/>
              <w:bidi w:val="0"/>
              <w:adjustRightInd/>
              <w:snapToGrid/>
              <w:rPr>
                <w:color w:val="auto"/>
              </w:rPr>
            </w:pPr>
            <w:r>
              <w:rPr>
                <w:color w:val="auto"/>
              </w:rPr>
              <w:t>反冲洗水泵出口</w:t>
            </w:r>
          </w:p>
        </w:tc>
      </w:tr>
      <w:tr w14:paraId="4D612E1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676F371">
            <w:pPr>
              <w:pStyle w:val="16"/>
              <w:pageBreakBefore w:val="0"/>
              <w:wordWrap/>
              <w:bidi w:val="0"/>
              <w:adjustRightInd/>
              <w:snapToGrid/>
              <w:rPr>
                <w:color w:val="auto"/>
              </w:rPr>
            </w:pPr>
            <w:r>
              <w:rPr>
                <w:color w:val="auto"/>
              </w:rPr>
              <w:t>16</w:t>
            </w:r>
          </w:p>
        </w:tc>
        <w:tc>
          <w:tcPr>
            <w:tcW w:w="843" w:type="pct"/>
            <w:gridSpan w:val="2"/>
            <w:tcBorders>
              <w:tl2br w:val="nil"/>
              <w:tr2bl w:val="nil"/>
            </w:tcBorders>
            <w:noWrap w:val="0"/>
            <w:vAlign w:val="center"/>
          </w:tcPr>
          <w:p w14:paraId="48740037">
            <w:pPr>
              <w:pStyle w:val="16"/>
              <w:pageBreakBefore w:val="0"/>
              <w:wordWrap/>
              <w:bidi w:val="0"/>
              <w:adjustRightInd/>
              <w:snapToGrid/>
              <w:rPr>
                <w:color w:val="auto"/>
              </w:rPr>
            </w:pPr>
            <w:r>
              <w:rPr>
                <w:color w:val="auto"/>
              </w:rPr>
              <w:t>微阻缓闭止回阀</w:t>
            </w:r>
          </w:p>
        </w:tc>
        <w:tc>
          <w:tcPr>
            <w:tcW w:w="1532" w:type="pct"/>
            <w:tcBorders>
              <w:tl2br w:val="nil"/>
              <w:tr2bl w:val="nil"/>
            </w:tcBorders>
            <w:noWrap w:val="0"/>
            <w:vAlign w:val="center"/>
          </w:tcPr>
          <w:p w14:paraId="7228D773">
            <w:pPr>
              <w:pStyle w:val="16"/>
              <w:pageBreakBefore w:val="0"/>
              <w:wordWrap/>
              <w:bidi w:val="0"/>
              <w:adjustRightInd/>
              <w:snapToGrid/>
              <w:rPr>
                <w:color w:val="auto"/>
              </w:rPr>
            </w:pPr>
            <w:r>
              <w:rPr>
                <w:color w:val="auto"/>
              </w:rPr>
              <w:t>DN300PN=</w:t>
            </w:r>
            <w:r>
              <w:rPr>
                <w:rFonts w:hint="eastAsia"/>
                <w:color w:val="auto"/>
                <w:lang w:eastAsia="zh-CN"/>
              </w:rPr>
              <w:t>1</w:t>
            </w:r>
            <w:r>
              <w:rPr>
                <w:color w:val="auto"/>
              </w:rPr>
              <w:t>.0MPa</w:t>
            </w:r>
          </w:p>
        </w:tc>
        <w:tc>
          <w:tcPr>
            <w:tcW w:w="612" w:type="pct"/>
            <w:tcBorders>
              <w:tl2br w:val="nil"/>
              <w:tr2bl w:val="nil"/>
            </w:tcBorders>
            <w:noWrap w:val="0"/>
            <w:vAlign w:val="center"/>
          </w:tcPr>
          <w:p w14:paraId="457DB827">
            <w:pPr>
              <w:pStyle w:val="16"/>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200BC95E">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12AA561A">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3FEA2232">
            <w:pPr>
              <w:pStyle w:val="16"/>
              <w:pageBreakBefore w:val="0"/>
              <w:wordWrap/>
              <w:bidi w:val="0"/>
              <w:adjustRightInd/>
              <w:snapToGrid/>
              <w:rPr>
                <w:color w:val="auto"/>
              </w:rPr>
            </w:pPr>
            <w:r>
              <w:rPr>
                <w:color w:val="auto"/>
              </w:rPr>
              <w:t>反冲洗水泵出口</w:t>
            </w:r>
          </w:p>
        </w:tc>
      </w:tr>
      <w:tr w14:paraId="0B2790B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04677E5">
            <w:pPr>
              <w:pStyle w:val="16"/>
              <w:pageBreakBefore w:val="0"/>
              <w:wordWrap/>
              <w:bidi w:val="0"/>
              <w:adjustRightInd/>
              <w:snapToGrid/>
              <w:rPr>
                <w:color w:val="auto"/>
              </w:rPr>
            </w:pPr>
            <w:r>
              <w:rPr>
                <w:color w:val="auto"/>
              </w:rPr>
              <w:t>17</w:t>
            </w:r>
          </w:p>
        </w:tc>
        <w:tc>
          <w:tcPr>
            <w:tcW w:w="843" w:type="pct"/>
            <w:gridSpan w:val="2"/>
            <w:tcBorders>
              <w:tl2br w:val="nil"/>
              <w:tr2bl w:val="nil"/>
            </w:tcBorders>
            <w:noWrap w:val="0"/>
            <w:vAlign w:val="center"/>
          </w:tcPr>
          <w:p w14:paraId="1E1BF2DC">
            <w:pPr>
              <w:pStyle w:val="16"/>
              <w:pageBreakBefore w:val="0"/>
              <w:wordWrap/>
              <w:bidi w:val="0"/>
              <w:adjustRightInd/>
              <w:snapToGrid/>
              <w:rPr>
                <w:color w:val="auto"/>
              </w:rPr>
            </w:pPr>
            <w:r>
              <w:rPr>
                <w:color w:val="auto"/>
              </w:rPr>
              <w:t>气水分布块滤砖</w:t>
            </w:r>
          </w:p>
        </w:tc>
        <w:tc>
          <w:tcPr>
            <w:tcW w:w="1532" w:type="pct"/>
            <w:tcBorders>
              <w:tl2br w:val="nil"/>
              <w:tr2bl w:val="nil"/>
            </w:tcBorders>
            <w:noWrap w:val="0"/>
            <w:vAlign w:val="center"/>
          </w:tcPr>
          <w:p w14:paraId="1D8B9229">
            <w:pPr>
              <w:pStyle w:val="16"/>
              <w:pageBreakBefore w:val="0"/>
              <w:wordWrap/>
              <w:bidi w:val="0"/>
              <w:adjustRightInd/>
              <w:snapToGrid/>
              <w:rPr>
                <w:color w:val="auto"/>
              </w:rPr>
            </w:pPr>
          </w:p>
        </w:tc>
        <w:tc>
          <w:tcPr>
            <w:tcW w:w="612" w:type="pct"/>
            <w:tcBorders>
              <w:tl2br w:val="nil"/>
              <w:tr2bl w:val="nil"/>
            </w:tcBorders>
            <w:noWrap w:val="0"/>
            <w:vAlign w:val="center"/>
          </w:tcPr>
          <w:p w14:paraId="14428436">
            <w:pPr>
              <w:pStyle w:val="16"/>
              <w:pageBreakBefore w:val="0"/>
              <w:wordWrap/>
              <w:bidi w:val="0"/>
              <w:adjustRightInd/>
              <w:snapToGrid/>
              <w:rPr>
                <w:color w:val="auto"/>
              </w:rPr>
            </w:pPr>
            <w:r>
              <w:rPr>
                <w:color w:val="auto"/>
              </w:rPr>
              <w:t>HDPE</w:t>
            </w:r>
          </w:p>
        </w:tc>
        <w:tc>
          <w:tcPr>
            <w:tcW w:w="279" w:type="pct"/>
            <w:tcBorders>
              <w:tl2br w:val="nil"/>
              <w:tr2bl w:val="nil"/>
            </w:tcBorders>
            <w:noWrap w:val="0"/>
            <w:vAlign w:val="center"/>
          </w:tcPr>
          <w:p w14:paraId="0B90C247">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5E50C46">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5220E38F">
            <w:pPr>
              <w:pStyle w:val="16"/>
              <w:pageBreakBefore w:val="0"/>
              <w:wordWrap/>
              <w:bidi w:val="0"/>
              <w:adjustRightInd/>
              <w:snapToGrid/>
              <w:rPr>
                <w:color w:val="auto"/>
              </w:rPr>
            </w:pPr>
          </w:p>
        </w:tc>
      </w:tr>
      <w:tr w14:paraId="33B42DC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259353C">
            <w:pPr>
              <w:pStyle w:val="16"/>
              <w:pageBreakBefore w:val="0"/>
              <w:wordWrap/>
              <w:bidi w:val="0"/>
              <w:adjustRightInd/>
              <w:snapToGrid/>
              <w:rPr>
                <w:color w:val="auto"/>
              </w:rPr>
            </w:pPr>
            <w:r>
              <w:rPr>
                <w:color w:val="auto"/>
              </w:rPr>
              <w:t>18</w:t>
            </w:r>
          </w:p>
        </w:tc>
        <w:tc>
          <w:tcPr>
            <w:tcW w:w="843" w:type="pct"/>
            <w:gridSpan w:val="2"/>
            <w:tcBorders>
              <w:tl2br w:val="nil"/>
              <w:tr2bl w:val="nil"/>
            </w:tcBorders>
            <w:noWrap w:val="0"/>
            <w:vAlign w:val="center"/>
          </w:tcPr>
          <w:p w14:paraId="522BC537">
            <w:pPr>
              <w:pStyle w:val="16"/>
              <w:pageBreakBefore w:val="0"/>
              <w:wordWrap/>
              <w:bidi w:val="0"/>
              <w:adjustRightInd/>
              <w:snapToGrid/>
              <w:rPr>
                <w:color w:val="auto"/>
              </w:rPr>
            </w:pPr>
            <w:r>
              <w:rPr>
                <w:color w:val="auto"/>
              </w:rPr>
              <w:t>进水渠弧形堰板</w:t>
            </w:r>
          </w:p>
        </w:tc>
        <w:tc>
          <w:tcPr>
            <w:tcW w:w="1532" w:type="pct"/>
            <w:tcBorders>
              <w:tl2br w:val="nil"/>
              <w:tr2bl w:val="nil"/>
            </w:tcBorders>
            <w:noWrap w:val="0"/>
            <w:vAlign w:val="center"/>
          </w:tcPr>
          <w:p w14:paraId="1C5E9399">
            <w:pPr>
              <w:pStyle w:val="16"/>
              <w:pageBreakBefore w:val="0"/>
              <w:wordWrap/>
              <w:bidi w:val="0"/>
              <w:adjustRightInd/>
              <w:snapToGrid/>
              <w:rPr>
                <w:color w:val="auto"/>
              </w:rPr>
            </w:pPr>
            <w:r>
              <w:rPr>
                <w:color w:val="auto"/>
              </w:rPr>
              <w:t>9200mm</w:t>
            </w:r>
            <w:r>
              <w:rPr>
                <w:rFonts w:hint="eastAsia"/>
                <w:color w:val="auto"/>
                <w:lang w:eastAsia="zh-CN"/>
              </w:rPr>
              <w:t>，</w:t>
            </w:r>
            <w:r>
              <w:rPr>
                <w:color w:val="auto"/>
              </w:rPr>
              <w:t>3mm厚</w:t>
            </w:r>
          </w:p>
        </w:tc>
        <w:tc>
          <w:tcPr>
            <w:tcW w:w="612" w:type="pct"/>
            <w:tcBorders>
              <w:tl2br w:val="nil"/>
              <w:tr2bl w:val="nil"/>
            </w:tcBorders>
            <w:noWrap w:val="0"/>
            <w:vAlign w:val="center"/>
          </w:tcPr>
          <w:p w14:paraId="03A7F954">
            <w:pPr>
              <w:pStyle w:val="16"/>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11A534C9">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38ADDD4">
            <w:pPr>
              <w:pStyle w:val="16"/>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293ACF78">
            <w:pPr>
              <w:pStyle w:val="16"/>
              <w:pageBreakBefore w:val="0"/>
              <w:wordWrap/>
              <w:bidi w:val="0"/>
              <w:adjustRightInd/>
              <w:snapToGrid/>
              <w:rPr>
                <w:color w:val="auto"/>
              </w:rPr>
            </w:pPr>
            <w:r>
              <w:rPr>
                <w:color w:val="auto"/>
              </w:rPr>
              <w:t>滤池进水渠</w:t>
            </w:r>
          </w:p>
        </w:tc>
      </w:tr>
      <w:tr w14:paraId="1E397E3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CD0CC61">
            <w:pPr>
              <w:pStyle w:val="16"/>
              <w:pageBreakBefore w:val="0"/>
              <w:wordWrap/>
              <w:bidi w:val="0"/>
              <w:adjustRightInd/>
              <w:snapToGrid/>
              <w:rPr>
                <w:color w:val="auto"/>
              </w:rPr>
            </w:pPr>
            <w:r>
              <w:rPr>
                <w:color w:val="auto"/>
              </w:rPr>
              <w:t>19</w:t>
            </w:r>
          </w:p>
        </w:tc>
        <w:tc>
          <w:tcPr>
            <w:tcW w:w="843" w:type="pct"/>
            <w:gridSpan w:val="2"/>
            <w:tcBorders>
              <w:tl2br w:val="nil"/>
              <w:tr2bl w:val="nil"/>
            </w:tcBorders>
            <w:noWrap w:val="0"/>
            <w:vAlign w:val="center"/>
          </w:tcPr>
          <w:p w14:paraId="0EB79EBE">
            <w:pPr>
              <w:pStyle w:val="16"/>
              <w:pageBreakBefore w:val="0"/>
              <w:wordWrap/>
              <w:bidi w:val="0"/>
              <w:adjustRightInd/>
              <w:snapToGrid/>
              <w:rPr>
                <w:color w:val="auto"/>
              </w:rPr>
            </w:pPr>
            <w:r>
              <w:rPr>
                <w:color w:val="auto"/>
              </w:rPr>
              <w:t>超声波液位仪</w:t>
            </w:r>
          </w:p>
        </w:tc>
        <w:tc>
          <w:tcPr>
            <w:tcW w:w="1532" w:type="pct"/>
            <w:tcBorders>
              <w:tl2br w:val="nil"/>
              <w:tr2bl w:val="nil"/>
            </w:tcBorders>
            <w:noWrap w:val="0"/>
            <w:vAlign w:val="center"/>
          </w:tcPr>
          <w:p w14:paraId="4ECCA28C">
            <w:pPr>
              <w:pStyle w:val="16"/>
              <w:pageBreakBefore w:val="0"/>
              <w:wordWrap/>
              <w:bidi w:val="0"/>
              <w:adjustRightInd/>
              <w:snapToGrid/>
              <w:rPr>
                <w:color w:val="auto"/>
              </w:rPr>
            </w:pPr>
            <w:r>
              <w:rPr>
                <w:color w:val="auto"/>
              </w:rPr>
              <w:t>0-5m</w:t>
            </w:r>
          </w:p>
        </w:tc>
        <w:tc>
          <w:tcPr>
            <w:tcW w:w="612" w:type="pct"/>
            <w:tcBorders>
              <w:tl2br w:val="nil"/>
              <w:tr2bl w:val="nil"/>
            </w:tcBorders>
            <w:noWrap w:val="0"/>
            <w:vAlign w:val="center"/>
          </w:tcPr>
          <w:p w14:paraId="300BA7B5">
            <w:pPr>
              <w:pStyle w:val="16"/>
              <w:pageBreakBefore w:val="0"/>
              <w:wordWrap/>
              <w:bidi w:val="0"/>
              <w:adjustRightInd/>
              <w:snapToGrid/>
              <w:rPr>
                <w:color w:val="auto"/>
              </w:rPr>
            </w:pPr>
          </w:p>
        </w:tc>
        <w:tc>
          <w:tcPr>
            <w:tcW w:w="279" w:type="pct"/>
            <w:tcBorders>
              <w:tl2br w:val="nil"/>
              <w:tr2bl w:val="nil"/>
            </w:tcBorders>
            <w:noWrap w:val="0"/>
            <w:vAlign w:val="center"/>
          </w:tcPr>
          <w:p w14:paraId="44B998AE">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2A66B21A">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61149D3C">
            <w:pPr>
              <w:pStyle w:val="16"/>
              <w:pageBreakBefore w:val="0"/>
              <w:wordWrap/>
              <w:bidi w:val="0"/>
              <w:adjustRightInd/>
              <w:snapToGrid/>
              <w:rPr>
                <w:color w:val="auto"/>
              </w:rPr>
            </w:pPr>
            <w:r>
              <w:rPr>
                <w:color w:val="auto"/>
              </w:rPr>
              <w:t>计入自控</w:t>
            </w:r>
            <w:r>
              <w:rPr>
                <w:rFonts w:hint="eastAsia"/>
                <w:color w:val="auto"/>
                <w:lang w:eastAsia="zh-CN"/>
              </w:rPr>
              <w:t>，</w:t>
            </w:r>
            <w:r>
              <w:rPr>
                <w:color w:val="auto"/>
              </w:rPr>
              <w:t>每格滤池</w:t>
            </w:r>
          </w:p>
        </w:tc>
      </w:tr>
      <w:tr w14:paraId="0F30809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6E60FF6">
            <w:pPr>
              <w:pStyle w:val="16"/>
              <w:pageBreakBefore w:val="0"/>
              <w:wordWrap/>
              <w:bidi w:val="0"/>
              <w:adjustRightInd/>
              <w:snapToGrid/>
              <w:rPr>
                <w:color w:val="auto"/>
              </w:rPr>
            </w:pPr>
            <w:r>
              <w:rPr>
                <w:color w:val="auto"/>
              </w:rPr>
              <w:t>20</w:t>
            </w:r>
          </w:p>
        </w:tc>
        <w:tc>
          <w:tcPr>
            <w:tcW w:w="843" w:type="pct"/>
            <w:gridSpan w:val="2"/>
            <w:tcBorders>
              <w:tl2br w:val="nil"/>
              <w:tr2bl w:val="nil"/>
            </w:tcBorders>
            <w:noWrap w:val="0"/>
            <w:vAlign w:val="center"/>
          </w:tcPr>
          <w:p w14:paraId="50D37BCC">
            <w:pPr>
              <w:pStyle w:val="16"/>
              <w:pageBreakBefore w:val="0"/>
              <w:wordWrap/>
              <w:bidi w:val="0"/>
              <w:adjustRightInd/>
              <w:snapToGrid/>
              <w:rPr>
                <w:color w:val="auto"/>
              </w:rPr>
            </w:pPr>
            <w:r>
              <w:rPr>
                <w:color w:val="auto"/>
              </w:rPr>
              <w:t>超声波液位仪</w:t>
            </w:r>
          </w:p>
        </w:tc>
        <w:tc>
          <w:tcPr>
            <w:tcW w:w="1532" w:type="pct"/>
            <w:tcBorders>
              <w:tl2br w:val="nil"/>
              <w:tr2bl w:val="nil"/>
            </w:tcBorders>
            <w:noWrap w:val="0"/>
            <w:vAlign w:val="center"/>
          </w:tcPr>
          <w:p w14:paraId="08CA9F18">
            <w:pPr>
              <w:pStyle w:val="16"/>
              <w:pageBreakBefore w:val="0"/>
              <w:wordWrap/>
              <w:bidi w:val="0"/>
              <w:adjustRightInd/>
              <w:snapToGrid/>
              <w:rPr>
                <w:color w:val="auto"/>
              </w:rPr>
            </w:pPr>
            <w:r>
              <w:rPr>
                <w:color w:val="auto"/>
              </w:rPr>
              <w:t>0-8m</w:t>
            </w:r>
          </w:p>
        </w:tc>
        <w:tc>
          <w:tcPr>
            <w:tcW w:w="612" w:type="pct"/>
            <w:tcBorders>
              <w:tl2br w:val="nil"/>
              <w:tr2bl w:val="nil"/>
            </w:tcBorders>
            <w:noWrap w:val="0"/>
            <w:vAlign w:val="center"/>
          </w:tcPr>
          <w:p w14:paraId="7EB002A2">
            <w:pPr>
              <w:pStyle w:val="16"/>
              <w:pageBreakBefore w:val="0"/>
              <w:wordWrap/>
              <w:bidi w:val="0"/>
              <w:adjustRightInd/>
              <w:snapToGrid/>
              <w:rPr>
                <w:color w:val="auto"/>
              </w:rPr>
            </w:pPr>
          </w:p>
        </w:tc>
        <w:tc>
          <w:tcPr>
            <w:tcW w:w="279" w:type="pct"/>
            <w:tcBorders>
              <w:tl2br w:val="nil"/>
              <w:tr2bl w:val="nil"/>
            </w:tcBorders>
            <w:noWrap w:val="0"/>
            <w:vAlign w:val="center"/>
          </w:tcPr>
          <w:p w14:paraId="29ADD947">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69775DF3">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23FF154D">
            <w:pPr>
              <w:pStyle w:val="16"/>
              <w:pageBreakBefore w:val="0"/>
              <w:wordWrap/>
              <w:bidi w:val="0"/>
              <w:adjustRightInd/>
              <w:snapToGrid/>
              <w:rPr>
                <w:color w:val="auto"/>
              </w:rPr>
            </w:pPr>
            <w:r>
              <w:rPr>
                <w:color w:val="auto"/>
              </w:rPr>
              <w:t>计入自控</w:t>
            </w:r>
            <w:r>
              <w:rPr>
                <w:rFonts w:hint="eastAsia"/>
                <w:color w:val="auto"/>
                <w:lang w:eastAsia="zh-CN"/>
              </w:rPr>
              <w:t>，</w:t>
            </w:r>
            <w:r>
              <w:rPr>
                <w:color w:val="auto"/>
              </w:rPr>
              <w:t>清水池、废水池</w:t>
            </w:r>
          </w:p>
        </w:tc>
      </w:tr>
      <w:tr w14:paraId="41890F4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015492B">
            <w:pPr>
              <w:pStyle w:val="16"/>
              <w:pageBreakBefore w:val="0"/>
              <w:wordWrap/>
              <w:bidi w:val="0"/>
              <w:adjustRightInd/>
              <w:snapToGrid/>
              <w:rPr>
                <w:color w:val="auto"/>
              </w:rPr>
            </w:pPr>
            <w:r>
              <w:rPr>
                <w:color w:val="auto"/>
              </w:rPr>
              <w:t>21</w:t>
            </w:r>
          </w:p>
        </w:tc>
        <w:tc>
          <w:tcPr>
            <w:tcW w:w="843" w:type="pct"/>
            <w:gridSpan w:val="2"/>
            <w:tcBorders>
              <w:tl2br w:val="nil"/>
              <w:tr2bl w:val="nil"/>
            </w:tcBorders>
            <w:noWrap w:val="0"/>
            <w:vAlign w:val="center"/>
          </w:tcPr>
          <w:p w14:paraId="51EEC87C">
            <w:pPr>
              <w:pStyle w:val="16"/>
              <w:pageBreakBefore w:val="0"/>
              <w:wordWrap/>
              <w:bidi w:val="0"/>
              <w:adjustRightInd/>
              <w:snapToGrid/>
              <w:rPr>
                <w:color w:val="auto"/>
              </w:rPr>
            </w:pPr>
            <w:r>
              <w:rPr>
                <w:color w:val="auto"/>
              </w:rPr>
              <w:t>轴流风机</w:t>
            </w:r>
          </w:p>
        </w:tc>
        <w:tc>
          <w:tcPr>
            <w:tcW w:w="1532" w:type="pct"/>
            <w:tcBorders>
              <w:tl2br w:val="nil"/>
              <w:tr2bl w:val="nil"/>
            </w:tcBorders>
            <w:noWrap w:val="0"/>
            <w:vAlign w:val="center"/>
          </w:tcPr>
          <w:p w14:paraId="6EE0F15A">
            <w:pPr>
              <w:pStyle w:val="16"/>
              <w:pageBreakBefore w:val="0"/>
              <w:wordWrap/>
              <w:bidi w:val="0"/>
              <w:adjustRightInd/>
              <w:snapToGrid/>
              <w:rPr>
                <w:color w:val="auto"/>
              </w:rPr>
            </w:pPr>
            <w:r>
              <w:rPr>
                <w:color w:val="auto"/>
              </w:rPr>
              <w:t>FT35-11-2.8Q=2167</w:t>
            </w:r>
            <w:r>
              <w:rPr>
                <w:rFonts w:hint="eastAsia"/>
                <w:color w:val="auto"/>
                <w:lang w:eastAsia="zh-CN"/>
              </w:rPr>
              <w:t>m³</w:t>
            </w:r>
            <w:r>
              <w:rPr>
                <w:color w:val="auto"/>
              </w:rPr>
              <w:t>/hn=2900r.p.m叶片角度20°全压</w:t>
            </w:r>
            <w:r>
              <w:rPr>
                <w:rFonts w:hint="eastAsia"/>
                <w:color w:val="auto"/>
                <w:lang w:eastAsia="zh-CN"/>
              </w:rPr>
              <w:t>1</w:t>
            </w:r>
            <w:r>
              <w:rPr>
                <w:color w:val="auto"/>
              </w:rPr>
              <w:t>7.2Pa单台功率N=0.18kW</w:t>
            </w:r>
          </w:p>
        </w:tc>
        <w:tc>
          <w:tcPr>
            <w:tcW w:w="612" w:type="pct"/>
            <w:tcBorders>
              <w:tl2br w:val="nil"/>
              <w:tr2bl w:val="nil"/>
            </w:tcBorders>
            <w:noWrap w:val="0"/>
            <w:vAlign w:val="center"/>
          </w:tcPr>
          <w:p w14:paraId="3307B9AB">
            <w:pPr>
              <w:pStyle w:val="16"/>
              <w:pageBreakBefore w:val="0"/>
              <w:wordWrap/>
              <w:bidi w:val="0"/>
              <w:adjustRightInd/>
              <w:snapToGrid/>
              <w:rPr>
                <w:color w:val="auto"/>
              </w:rPr>
            </w:pPr>
            <w:r>
              <w:rPr>
                <w:color w:val="auto"/>
              </w:rPr>
              <w:t>玻璃钢</w:t>
            </w:r>
          </w:p>
        </w:tc>
        <w:tc>
          <w:tcPr>
            <w:tcW w:w="279" w:type="pct"/>
            <w:tcBorders>
              <w:tl2br w:val="nil"/>
              <w:tr2bl w:val="nil"/>
            </w:tcBorders>
            <w:noWrap w:val="0"/>
            <w:vAlign w:val="center"/>
          </w:tcPr>
          <w:p w14:paraId="7C02C37A">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36736F4">
            <w:pPr>
              <w:pStyle w:val="16"/>
              <w:pageBreakBefore w:val="0"/>
              <w:wordWrap/>
              <w:bidi w:val="0"/>
              <w:adjustRightInd/>
              <w:snapToGrid/>
              <w:rPr>
                <w:color w:val="auto"/>
              </w:rPr>
            </w:pPr>
            <w:r>
              <w:rPr>
                <w:color w:val="auto"/>
              </w:rPr>
              <w:t>7</w:t>
            </w:r>
          </w:p>
        </w:tc>
        <w:tc>
          <w:tcPr>
            <w:tcW w:w="1132" w:type="pct"/>
            <w:tcBorders>
              <w:tl2br w:val="nil"/>
              <w:tr2bl w:val="nil"/>
            </w:tcBorders>
            <w:noWrap w:val="0"/>
            <w:vAlign w:val="center"/>
          </w:tcPr>
          <w:p w14:paraId="38890812">
            <w:pPr>
              <w:pStyle w:val="16"/>
              <w:pageBreakBefore w:val="0"/>
              <w:wordWrap/>
              <w:bidi w:val="0"/>
              <w:adjustRightInd/>
              <w:snapToGrid/>
              <w:rPr>
                <w:color w:val="auto"/>
              </w:rPr>
            </w:pPr>
            <w:r>
              <w:rPr>
                <w:color w:val="auto"/>
              </w:rPr>
              <w:t>带钢丝网防护罩</w:t>
            </w:r>
          </w:p>
        </w:tc>
      </w:tr>
      <w:tr w14:paraId="3DD87DB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9958BB5">
            <w:pPr>
              <w:pStyle w:val="16"/>
              <w:pageBreakBefore w:val="0"/>
              <w:wordWrap/>
              <w:bidi w:val="0"/>
              <w:adjustRightInd/>
              <w:snapToGrid/>
              <w:rPr>
                <w:color w:val="auto"/>
              </w:rPr>
            </w:pPr>
            <w:r>
              <w:rPr>
                <w:color w:val="auto"/>
              </w:rPr>
              <w:t>22</w:t>
            </w:r>
          </w:p>
        </w:tc>
        <w:tc>
          <w:tcPr>
            <w:tcW w:w="843" w:type="pct"/>
            <w:gridSpan w:val="2"/>
            <w:tcBorders>
              <w:tl2br w:val="nil"/>
              <w:tr2bl w:val="nil"/>
            </w:tcBorders>
            <w:noWrap w:val="0"/>
            <w:vAlign w:val="center"/>
          </w:tcPr>
          <w:p w14:paraId="2CDBE8A3">
            <w:pPr>
              <w:pStyle w:val="16"/>
              <w:pageBreakBefore w:val="0"/>
              <w:wordWrap/>
              <w:bidi w:val="0"/>
              <w:adjustRightInd/>
              <w:snapToGrid/>
              <w:rPr>
                <w:color w:val="auto"/>
              </w:rPr>
            </w:pPr>
            <w:r>
              <w:rPr>
                <w:color w:val="auto"/>
              </w:rPr>
              <w:t>电动单梁悬挂式起重机</w:t>
            </w:r>
          </w:p>
        </w:tc>
        <w:tc>
          <w:tcPr>
            <w:tcW w:w="1532" w:type="pct"/>
            <w:tcBorders>
              <w:tl2br w:val="nil"/>
              <w:tr2bl w:val="nil"/>
            </w:tcBorders>
            <w:noWrap w:val="0"/>
            <w:vAlign w:val="center"/>
          </w:tcPr>
          <w:p w14:paraId="17B2F908">
            <w:pPr>
              <w:pStyle w:val="16"/>
              <w:pageBreakBefore w:val="0"/>
              <w:wordWrap/>
              <w:bidi w:val="0"/>
              <w:adjustRightInd/>
              <w:snapToGrid/>
              <w:rPr>
                <w:color w:val="auto"/>
              </w:rPr>
            </w:pPr>
            <w:r>
              <w:rPr>
                <w:color w:val="auto"/>
              </w:rPr>
              <w:t>G=3.0T</w:t>
            </w:r>
            <w:r>
              <w:rPr>
                <w:rFonts w:hint="eastAsia"/>
                <w:color w:val="auto"/>
                <w:lang w:eastAsia="zh-CN"/>
              </w:rPr>
              <w:t>，</w:t>
            </w:r>
            <w:r>
              <w:rPr>
                <w:color w:val="auto"/>
              </w:rPr>
              <w:t>H=6m</w:t>
            </w:r>
            <w:r>
              <w:rPr>
                <w:rFonts w:hint="eastAsia"/>
                <w:color w:val="auto"/>
                <w:lang w:eastAsia="zh-CN"/>
              </w:rPr>
              <w:t>，</w:t>
            </w:r>
            <w:r>
              <w:rPr>
                <w:color w:val="auto"/>
              </w:rPr>
              <w:t>功</w:t>
            </w:r>
            <w:r>
              <w:rPr>
                <w:rFonts w:hint="eastAsia"/>
                <w:color w:val="auto"/>
                <w:lang w:eastAsia="zh-CN"/>
              </w:rPr>
              <w:t>率</w:t>
            </w:r>
            <w:r>
              <w:rPr>
                <w:color w:val="auto"/>
              </w:rPr>
              <w:t>P=6.5KW</w:t>
            </w:r>
          </w:p>
        </w:tc>
        <w:tc>
          <w:tcPr>
            <w:tcW w:w="612" w:type="pct"/>
            <w:tcBorders>
              <w:tl2br w:val="nil"/>
              <w:tr2bl w:val="nil"/>
            </w:tcBorders>
            <w:noWrap w:val="0"/>
            <w:vAlign w:val="center"/>
          </w:tcPr>
          <w:p w14:paraId="66C713BC">
            <w:pPr>
              <w:pStyle w:val="16"/>
              <w:pageBreakBefore w:val="0"/>
              <w:wordWrap/>
              <w:bidi w:val="0"/>
              <w:adjustRightInd/>
              <w:snapToGrid/>
              <w:rPr>
                <w:color w:val="auto"/>
              </w:rPr>
            </w:pPr>
            <w:r>
              <w:rPr>
                <w:color w:val="auto"/>
              </w:rPr>
              <w:t>组合</w:t>
            </w:r>
          </w:p>
        </w:tc>
        <w:tc>
          <w:tcPr>
            <w:tcW w:w="279" w:type="pct"/>
            <w:tcBorders>
              <w:tl2br w:val="nil"/>
              <w:tr2bl w:val="nil"/>
            </w:tcBorders>
            <w:noWrap w:val="0"/>
            <w:vAlign w:val="center"/>
          </w:tcPr>
          <w:p w14:paraId="05A04BFD">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22ADA8D">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501456CC">
            <w:pPr>
              <w:pStyle w:val="16"/>
              <w:pageBreakBefore w:val="0"/>
              <w:wordWrap/>
              <w:bidi w:val="0"/>
              <w:adjustRightInd/>
              <w:snapToGrid/>
              <w:rPr>
                <w:color w:val="auto"/>
              </w:rPr>
            </w:pPr>
          </w:p>
        </w:tc>
      </w:tr>
      <w:tr w14:paraId="77102A7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85BD5CA">
            <w:pPr>
              <w:pStyle w:val="16"/>
              <w:pageBreakBefore w:val="0"/>
              <w:wordWrap/>
              <w:bidi w:val="0"/>
              <w:adjustRightInd/>
              <w:snapToGrid/>
              <w:rPr>
                <w:color w:val="auto"/>
              </w:rPr>
            </w:pPr>
            <w:r>
              <w:rPr>
                <w:color w:val="auto"/>
              </w:rPr>
              <w:t>23</w:t>
            </w:r>
          </w:p>
        </w:tc>
        <w:tc>
          <w:tcPr>
            <w:tcW w:w="843" w:type="pct"/>
            <w:gridSpan w:val="2"/>
            <w:tcBorders>
              <w:tl2br w:val="nil"/>
              <w:tr2bl w:val="nil"/>
            </w:tcBorders>
            <w:noWrap w:val="0"/>
            <w:vAlign w:val="center"/>
          </w:tcPr>
          <w:p w14:paraId="4D1F1F00">
            <w:pPr>
              <w:pStyle w:val="16"/>
              <w:pageBreakBefore w:val="0"/>
              <w:wordWrap/>
              <w:bidi w:val="0"/>
              <w:adjustRightInd/>
              <w:snapToGrid/>
              <w:rPr>
                <w:color w:val="auto"/>
              </w:rPr>
            </w:pPr>
            <w:r>
              <w:rPr>
                <w:color w:val="auto"/>
              </w:rPr>
              <w:t>在线硝酸氮原位监测仪</w:t>
            </w:r>
          </w:p>
        </w:tc>
        <w:tc>
          <w:tcPr>
            <w:tcW w:w="1532" w:type="pct"/>
            <w:tcBorders>
              <w:tl2br w:val="nil"/>
              <w:tr2bl w:val="nil"/>
            </w:tcBorders>
            <w:noWrap w:val="0"/>
            <w:vAlign w:val="center"/>
          </w:tcPr>
          <w:p w14:paraId="2CB42ABF">
            <w:pPr>
              <w:pStyle w:val="16"/>
              <w:pageBreakBefore w:val="0"/>
              <w:wordWrap/>
              <w:bidi w:val="0"/>
              <w:adjustRightInd/>
              <w:snapToGrid/>
              <w:rPr>
                <w:color w:val="auto"/>
              </w:rPr>
            </w:pPr>
            <w:r>
              <w:rPr>
                <w:color w:val="auto"/>
              </w:rPr>
              <w:t>0.1</w:t>
            </w:r>
            <w:r>
              <w:rPr>
                <w:rFonts w:hint="eastAsia"/>
                <w:color w:val="auto"/>
                <w:lang w:eastAsia="zh-CN"/>
              </w:rPr>
              <w:t>～</w:t>
            </w:r>
            <w:r>
              <w:rPr>
                <w:color w:val="auto"/>
              </w:rPr>
              <w:t>25mg/L</w:t>
            </w:r>
            <w:r>
              <w:rPr>
                <w:rFonts w:hint="eastAsia"/>
                <w:color w:val="auto"/>
                <w:lang w:eastAsia="zh-CN"/>
              </w:rPr>
              <w:t>，</w:t>
            </w:r>
            <w:r>
              <w:rPr>
                <w:color w:val="auto"/>
              </w:rPr>
              <w:t>分别安装在进出口</w:t>
            </w:r>
          </w:p>
        </w:tc>
        <w:tc>
          <w:tcPr>
            <w:tcW w:w="612" w:type="pct"/>
            <w:tcBorders>
              <w:tl2br w:val="nil"/>
              <w:tr2bl w:val="nil"/>
            </w:tcBorders>
            <w:noWrap w:val="0"/>
            <w:vAlign w:val="center"/>
          </w:tcPr>
          <w:p w14:paraId="183AC1B3">
            <w:pPr>
              <w:pStyle w:val="16"/>
              <w:pageBreakBefore w:val="0"/>
              <w:wordWrap/>
              <w:bidi w:val="0"/>
              <w:adjustRightInd/>
              <w:snapToGrid/>
              <w:rPr>
                <w:color w:val="auto"/>
              </w:rPr>
            </w:pPr>
          </w:p>
        </w:tc>
        <w:tc>
          <w:tcPr>
            <w:tcW w:w="279" w:type="pct"/>
            <w:tcBorders>
              <w:tl2br w:val="nil"/>
              <w:tr2bl w:val="nil"/>
            </w:tcBorders>
            <w:noWrap w:val="0"/>
            <w:vAlign w:val="center"/>
          </w:tcPr>
          <w:p w14:paraId="33D013F9">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8A1E9BE">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6741BA3B">
            <w:pPr>
              <w:pStyle w:val="16"/>
              <w:pageBreakBefore w:val="0"/>
              <w:wordWrap/>
              <w:bidi w:val="0"/>
              <w:adjustRightInd/>
              <w:snapToGrid/>
              <w:rPr>
                <w:color w:val="auto"/>
              </w:rPr>
            </w:pPr>
            <w:r>
              <w:rPr>
                <w:color w:val="auto"/>
              </w:rPr>
              <w:t>跟智能碳源投加系统成套采购</w:t>
            </w:r>
          </w:p>
        </w:tc>
      </w:tr>
      <w:tr w14:paraId="10521B9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1ADFCB1">
            <w:pPr>
              <w:pStyle w:val="16"/>
              <w:pageBreakBefore w:val="0"/>
              <w:wordWrap/>
              <w:bidi w:val="0"/>
              <w:adjustRightInd/>
              <w:snapToGrid/>
              <w:rPr>
                <w:color w:val="auto"/>
              </w:rPr>
            </w:pPr>
            <w:r>
              <w:rPr>
                <w:color w:val="auto"/>
              </w:rPr>
              <w:t>24</w:t>
            </w:r>
          </w:p>
        </w:tc>
        <w:tc>
          <w:tcPr>
            <w:tcW w:w="843" w:type="pct"/>
            <w:gridSpan w:val="2"/>
            <w:tcBorders>
              <w:tl2br w:val="nil"/>
              <w:tr2bl w:val="nil"/>
            </w:tcBorders>
            <w:noWrap w:val="0"/>
            <w:vAlign w:val="center"/>
          </w:tcPr>
          <w:p w14:paraId="13B38D9F">
            <w:pPr>
              <w:pStyle w:val="16"/>
              <w:pageBreakBefore w:val="0"/>
              <w:wordWrap/>
              <w:bidi w:val="0"/>
              <w:adjustRightInd/>
              <w:snapToGrid/>
              <w:rPr>
                <w:color w:val="auto"/>
              </w:rPr>
            </w:pPr>
            <w:r>
              <w:rPr>
                <w:color w:val="auto"/>
              </w:rPr>
              <w:t>溶解氧分</w:t>
            </w:r>
          </w:p>
        </w:tc>
        <w:tc>
          <w:tcPr>
            <w:tcW w:w="1532" w:type="pct"/>
            <w:tcBorders>
              <w:tl2br w:val="nil"/>
              <w:tr2bl w:val="nil"/>
            </w:tcBorders>
            <w:noWrap w:val="0"/>
            <w:vAlign w:val="center"/>
          </w:tcPr>
          <w:p w14:paraId="24874A53">
            <w:pPr>
              <w:pStyle w:val="16"/>
              <w:pageBreakBefore w:val="0"/>
              <w:wordWrap/>
              <w:bidi w:val="0"/>
              <w:adjustRightInd/>
              <w:snapToGrid/>
              <w:rPr>
                <w:color w:val="auto"/>
              </w:rPr>
            </w:pPr>
            <w:r>
              <w:rPr>
                <w:color w:val="auto"/>
              </w:rPr>
              <w:t>0~20mg/L</w:t>
            </w:r>
          </w:p>
        </w:tc>
        <w:tc>
          <w:tcPr>
            <w:tcW w:w="612" w:type="pct"/>
            <w:tcBorders>
              <w:tl2br w:val="nil"/>
              <w:tr2bl w:val="nil"/>
            </w:tcBorders>
            <w:noWrap w:val="0"/>
            <w:vAlign w:val="center"/>
          </w:tcPr>
          <w:p w14:paraId="2E91C830">
            <w:pPr>
              <w:pStyle w:val="16"/>
              <w:pageBreakBefore w:val="0"/>
              <w:wordWrap/>
              <w:bidi w:val="0"/>
              <w:adjustRightInd/>
              <w:snapToGrid/>
              <w:rPr>
                <w:color w:val="auto"/>
              </w:rPr>
            </w:pPr>
          </w:p>
        </w:tc>
        <w:tc>
          <w:tcPr>
            <w:tcW w:w="279" w:type="pct"/>
            <w:tcBorders>
              <w:tl2br w:val="nil"/>
              <w:tr2bl w:val="nil"/>
            </w:tcBorders>
            <w:noWrap w:val="0"/>
            <w:vAlign w:val="center"/>
          </w:tcPr>
          <w:p w14:paraId="7BB83E17">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ABAC39D">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D605314">
            <w:pPr>
              <w:pStyle w:val="16"/>
              <w:pageBreakBefore w:val="0"/>
              <w:wordWrap/>
              <w:bidi w:val="0"/>
              <w:adjustRightInd/>
              <w:snapToGrid/>
              <w:rPr>
                <w:rFonts w:hint="eastAsia" w:eastAsia="宋体"/>
                <w:color w:val="auto"/>
                <w:lang w:eastAsia="zh-CN"/>
              </w:rPr>
            </w:pPr>
            <w:r>
              <w:rPr>
                <w:color w:val="auto"/>
              </w:rPr>
              <w:t>计入自控</w:t>
            </w:r>
            <w:r>
              <w:rPr>
                <w:rFonts w:hint="eastAsia"/>
                <w:color w:val="auto"/>
                <w:lang w:eastAsia="zh-CN"/>
              </w:rPr>
              <w:t>，</w:t>
            </w:r>
          </w:p>
        </w:tc>
      </w:tr>
      <w:tr w14:paraId="17649BD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E7DC37C">
            <w:pPr>
              <w:pStyle w:val="16"/>
              <w:pageBreakBefore w:val="0"/>
              <w:wordWrap/>
              <w:bidi w:val="0"/>
              <w:adjustRightInd/>
              <w:snapToGrid/>
              <w:rPr>
                <w:color w:val="auto"/>
              </w:rPr>
            </w:pPr>
          </w:p>
        </w:tc>
        <w:tc>
          <w:tcPr>
            <w:tcW w:w="843" w:type="pct"/>
            <w:gridSpan w:val="2"/>
            <w:tcBorders>
              <w:tl2br w:val="nil"/>
              <w:tr2bl w:val="nil"/>
            </w:tcBorders>
            <w:noWrap w:val="0"/>
            <w:vAlign w:val="center"/>
          </w:tcPr>
          <w:p w14:paraId="2384B08B">
            <w:pPr>
              <w:pStyle w:val="16"/>
              <w:pageBreakBefore w:val="0"/>
              <w:wordWrap/>
              <w:bidi w:val="0"/>
              <w:adjustRightInd/>
              <w:snapToGrid/>
              <w:rPr>
                <w:color w:val="auto"/>
              </w:rPr>
            </w:pPr>
            <w:r>
              <w:rPr>
                <w:color w:val="auto"/>
              </w:rPr>
              <w:t>析仪</w:t>
            </w:r>
          </w:p>
        </w:tc>
        <w:tc>
          <w:tcPr>
            <w:tcW w:w="1532" w:type="pct"/>
            <w:tcBorders>
              <w:tl2br w:val="nil"/>
              <w:tr2bl w:val="nil"/>
            </w:tcBorders>
            <w:noWrap w:val="0"/>
            <w:vAlign w:val="center"/>
          </w:tcPr>
          <w:p w14:paraId="5AE20F4D">
            <w:pPr>
              <w:pStyle w:val="16"/>
              <w:pageBreakBefore w:val="0"/>
              <w:wordWrap/>
              <w:bidi w:val="0"/>
              <w:adjustRightInd/>
              <w:snapToGrid/>
              <w:rPr>
                <w:color w:val="auto"/>
              </w:rPr>
            </w:pPr>
          </w:p>
        </w:tc>
        <w:tc>
          <w:tcPr>
            <w:tcW w:w="612" w:type="pct"/>
            <w:tcBorders>
              <w:tl2br w:val="nil"/>
              <w:tr2bl w:val="nil"/>
            </w:tcBorders>
            <w:noWrap w:val="0"/>
            <w:vAlign w:val="center"/>
          </w:tcPr>
          <w:p w14:paraId="168986EA">
            <w:pPr>
              <w:pStyle w:val="16"/>
              <w:pageBreakBefore w:val="0"/>
              <w:wordWrap/>
              <w:bidi w:val="0"/>
              <w:adjustRightInd/>
              <w:snapToGrid/>
              <w:rPr>
                <w:color w:val="auto"/>
              </w:rPr>
            </w:pPr>
          </w:p>
        </w:tc>
        <w:tc>
          <w:tcPr>
            <w:tcW w:w="279" w:type="pct"/>
            <w:tcBorders>
              <w:tl2br w:val="nil"/>
              <w:tr2bl w:val="nil"/>
            </w:tcBorders>
            <w:noWrap w:val="0"/>
            <w:vAlign w:val="center"/>
          </w:tcPr>
          <w:p w14:paraId="0A688671">
            <w:pPr>
              <w:pStyle w:val="16"/>
              <w:pageBreakBefore w:val="0"/>
              <w:wordWrap/>
              <w:bidi w:val="0"/>
              <w:adjustRightInd/>
              <w:snapToGrid/>
              <w:rPr>
                <w:color w:val="auto"/>
              </w:rPr>
            </w:pPr>
          </w:p>
        </w:tc>
        <w:tc>
          <w:tcPr>
            <w:tcW w:w="244" w:type="pct"/>
            <w:tcBorders>
              <w:tl2br w:val="nil"/>
              <w:tr2bl w:val="nil"/>
            </w:tcBorders>
            <w:noWrap w:val="0"/>
            <w:vAlign w:val="center"/>
          </w:tcPr>
          <w:p w14:paraId="30BEF8A3">
            <w:pPr>
              <w:pStyle w:val="16"/>
              <w:pageBreakBefore w:val="0"/>
              <w:wordWrap/>
              <w:bidi w:val="0"/>
              <w:adjustRightInd/>
              <w:snapToGrid/>
              <w:rPr>
                <w:color w:val="auto"/>
              </w:rPr>
            </w:pPr>
          </w:p>
        </w:tc>
        <w:tc>
          <w:tcPr>
            <w:tcW w:w="1132" w:type="pct"/>
            <w:tcBorders>
              <w:tl2br w:val="nil"/>
              <w:tr2bl w:val="nil"/>
            </w:tcBorders>
            <w:noWrap w:val="0"/>
            <w:vAlign w:val="center"/>
          </w:tcPr>
          <w:p w14:paraId="30857B3A">
            <w:pPr>
              <w:pStyle w:val="16"/>
              <w:pageBreakBefore w:val="0"/>
              <w:wordWrap/>
              <w:bidi w:val="0"/>
              <w:adjustRightInd/>
              <w:snapToGrid/>
              <w:rPr>
                <w:color w:val="auto"/>
              </w:rPr>
            </w:pPr>
            <w:r>
              <w:rPr>
                <w:color w:val="auto"/>
              </w:rPr>
              <w:t>设置于进水</w:t>
            </w:r>
          </w:p>
        </w:tc>
      </w:tr>
      <w:tr w14:paraId="02A33F7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82673EB">
            <w:pPr>
              <w:pStyle w:val="16"/>
              <w:pageBreakBefore w:val="0"/>
              <w:wordWrap/>
              <w:bidi w:val="0"/>
              <w:adjustRightInd/>
              <w:snapToGrid/>
              <w:rPr>
                <w:color w:val="auto"/>
              </w:rPr>
            </w:pPr>
            <w:r>
              <w:rPr>
                <w:color w:val="auto"/>
              </w:rPr>
              <w:t>25</w:t>
            </w:r>
          </w:p>
        </w:tc>
        <w:tc>
          <w:tcPr>
            <w:tcW w:w="843" w:type="pct"/>
            <w:gridSpan w:val="2"/>
            <w:tcBorders>
              <w:tl2br w:val="nil"/>
              <w:tr2bl w:val="nil"/>
            </w:tcBorders>
            <w:noWrap w:val="0"/>
            <w:vAlign w:val="center"/>
          </w:tcPr>
          <w:p w14:paraId="16F3D8A5">
            <w:pPr>
              <w:pStyle w:val="16"/>
              <w:pageBreakBefore w:val="0"/>
              <w:wordWrap/>
              <w:bidi w:val="0"/>
              <w:adjustRightInd/>
              <w:snapToGrid/>
              <w:rPr>
                <w:color w:val="auto"/>
              </w:rPr>
            </w:pPr>
            <w:r>
              <w:rPr>
                <w:color w:val="auto"/>
              </w:rPr>
              <w:t>潜水搅拌机</w:t>
            </w:r>
          </w:p>
        </w:tc>
        <w:tc>
          <w:tcPr>
            <w:tcW w:w="1532" w:type="pct"/>
            <w:tcBorders>
              <w:tl2br w:val="nil"/>
              <w:tr2bl w:val="nil"/>
            </w:tcBorders>
            <w:noWrap w:val="0"/>
            <w:vAlign w:val="center"/>
          </w:tcPr>
          <w:p w14:paraId="5966B3DC">
            <w:pPr>
              <w:pStyle w:val="16"/>
              <w:pageBreakBefore w:val="0"/>
              <w:wordWrap/>
              <w:bidi w:val="0"/>
              <w:adjustRightInd/>
              <w:snapToGrid/>
              <w:rPr>
                <w:color w:val="auto"/>
              </w:rPr>
            </w:pPr>
            <w:r>
              <w:rPr>
                <w:color w:val="auto"/>
              </w:rPr>
              <w:t>N=2.2kW</w:t>
            </w:r>
          </w:p>
        </w:tc>
        <w:tc>
          <w:tcPr>
            <w:tcW w:w="612" w:type="pct"/>
            <w:tcBorders>
              <w:tl2br w:val="nil"/>
              <w:tr2bl w:val="nil"/>
            </w:tcBorders>
            <w:noWrap w:val="0"/>
            <w:vAlign w:val="center"/>
          </w:tcPr>
          <w:p w14:paraId="766EC25B">
            <w:pPr>
              <w:pStyle w:val="16"/>
              <w:pageBreakBefore w:val="0"/>
              <w:wordWrap/>
              <w:bidi w:val="0"/>
              <w:adjustRightInd/>
              <w:snapToGrid/>
              <w:rPr>
                <w:color w:val="auto"/>
              </w:rPr>
            </w:pPr>
          </w:p>
        </w:tc>
        <w:tc>
          <w:tcPr>
            <w:tcW w:w="279" w:type="pct"/>
            <w:tcBorders>
              <w:tl2br w:val="nil"/>
              <w:tr2bl w:val="nil"/>
            </w:tcBorders>
            <w:noWrap w:val="0"/>
            <w:vAlign w:val="center"/>
          </w:tcPr>
          <w:p w14:paraId="452B2349">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BF60D26">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1AAD7084">
            <w:pPr>
              <w:pStyle w:val="16"/>
              <w:pageBreakBefore w:val="0"/>
              <w:wordWrap/>
              <w:bidi w:val="0"/>
              <w:adjustRightInd/>
              <w:snapToGrid/>
              <w:rPr>
                <w:color w:val="auto"/>
              </w:rPr>
            </w:pPr>
          </w:p>
        </w:tc>
      </w:tr>
      <w:tr w14:paraId="6A14197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DC3FC3A">
            <w:pPr>
              <w:pStyle w:val="16"/>
              <w:pageBreakBefore w:val="0"/>
              <w:wordWrap/>
              <w:bidi w:val="0"/>
              <w:adjustRightInd/>
              <w:snapToGrid/>
              <w:rPr>
                <w:color w:val="auto"/>
              </w:rPr>
            </w:pPr>
            <w:r>
              <w:rPr>
                <w:color w:val="auto"/>
              </w:rPr>
              <w:t>26</w:t>
            </w:r>
          </w:p>
        </w:tc>
        <w:tc>
          <w:tcPr>
            <w:tcW w:w="843" w:type="pct"/>
            <w:gridSpan w:val="2"/>
            <w:tcBorders>
              <w:tl2br w:val="nil"/>
              <w:tr2bl w:val="nil"/>
            </w:tcBorders>
            <w:noWrap w:val="0"/>
            <w:vAlign w:val="center"/>
          </w:tcPr>
          <w:p w14:paraId="630688B9">
            <w:pPr>
              <w:pStyle w:val="16"/>
              <w:pageBreakBefore w:val="0"/>
              <w:wordWrap/>
              <w:bidi w:val="0"/>
              <w:adjustRightInd/>
              <w:snapToGrid/>
              <w:rPr>
                <w:color w:val="auto"/>
              </w:rPr>
            </w:pPr>
            <w:r>
              <w:rPr>
                <w:color w:val="auto"/>
              </w:rPr>
              <w:t>浮球液位开关</w:t>
            </w:r>
          </w:p>
        </w:tc>
        <w:tc>
          <w:tcPr>
            <w:tcW w:w="1532" w:type="pct"/>
            <w:tcBorders>
              <w:tl2br w:val="nil"/>
              <w:tr2bl w:val="nil"/>
            </w:tcBorders>
            <w:noWrap w:val="0"/>
            <w:vAlign w:val="center"/>
          </w:tcPr>
          <w:p w14:paraId="56A07E94">
            <w:pPr>
              <w:pStyle w:val="16"/>
              <w:pageBreakBefore w:val="0"/>
              <w:wordWrap/>
              <w:bidi w:val="0"/>
              <w:adjustRightInd/>
              <w:snapToGrid/>
              <w:rPr>
                <w:color w:val="auto"/>
              </w:rPr>
            </w:pPr>
          </w:p>
        </w:tc>
        <w:tc>
          <w:tcPr>
            <w:tcW w:w="612" w:type="pct"/>
            <w:tcBorders>
              <w:tl2br w:val="nil"/>
              <w:tr2bl w:val="nil"/>
            </w:tcBorders>
            <w:noWrap w:val="0"/>
            <w:vAlign w:val="center"/>
          </w:tcPr>
          <w:p w14:paraId="381B7128">
            <w:pPr>
              <w:pStyle w:val="16"/>
              <w:pageBreakBefore w:val="0"/>
              <w:wordWrap/>
              <w:bidi w:val="0"/>
              <w:adjustRightInd/>
              <w:snapToGrid/>
              <w:rPr>
                <w:color w:val="auto"/>
              </w:rPr>
            </w:pPr>
          </w:p>
        </w:tc>
        <w:tc>
          <w:tcPr>
            <w:tcW w:w="279" w:type="pct"/>
            <w:tcBorders>
              <w:tl2br w:val="nil"/>
              <w:tr2bl w:val="nil"/>
            </w:tcBorders>
            <w:noWrap w:val="0"/>
            <w:vAlign w:val="center"/>
          </w:tcPr>
          <w:p w14:paraId="48CC3992">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C34692C">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4E3843C7">
            <w:pPr>
              <w:pStyle w:val="16"/>
              <w:pageBreakBefore w:val="0"/>
              <w:wordWrap/>
              <w:bidi w:val="0"/>
              <w:adjustRightInd/>
              <w:snapToGrid/>
              <w:rPr>
                <w:color w:val="auto"/>
              </w:rPr>
            </w:pPr>
            <w:r>
              <w:rPr>
                <w:color w:val="auto"/>
              </w:rPr>
              <w:t>计入自控</w:t>
            </w:r>
            <w:r>
              <w:rPr>
                <w:rFonts w:hint="eastAsia"/>
                <w:color w:val="auto"/>
                <w:lang w:eastAsia="zh-CN"/>
              </w:rPr>
              <w:t>，</w:t>
            </w:r>
            <w:r>
              <w:rPr>
                <w:color w:val="auto"/>
              </w:rPr>
              <w:t>管廊间</w:t>
            </w:r>
          </w:p>
        </w:tc>
      </w:tr>
      <w:tr w14:paraId="35336C8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0F58332">
            <w:pPr>
              <w:pStyle w:val="16"/>
              <w:pageBreakBefore w:val="0"/>
              <w:wordWrap/>
              <w:bidi w:val="0"/>
              <w:adjustRightInd/>
              <w:snapToGrid/>
              <w:rPr>
                <w:color w:val="auto"/>
              </w:rPr>
            </w:pPr>
            <w:r>
              <w:rPr>
                <w:color w:val="auto"/>
              </w:rPr>
              <w:t>27</w:t>
            </w:r>
          </w:p>
        </w:tc>
        <w:tc>
          <w:tcPr>
            <w:tcW w:w="843" w:type="pct"/>
            <w:gridSpan w:val="2"/>
            <w:tcBorders>
              <w:tl2br w:val="nil"/>
              <w:tr2bl w:val="nil"/>
            </w:tcBorders>
            <w:noWrap w:val="0"/>
            <w:vAlign w:val="center"/>
          </w:tcPr>
          <w:p w14:paraId="26FE853E">
            <w:pPr>
              <w:pStyle w:val="16"/>
              <w:pageBreakBefore w:val="0"/>
              <w:wordWrap/>
              <w:bidi w:val="0"/>
              <w:adjustRightInd/>
              <w:snapToGrid/>
              <w:rPr>
                <w:color w:val="auto"/>
              </w:rPr>
            </w:pPr>
            <w:r>
              <w:rPr>
                <w:color w:val="auto"/>
              </w:rPr>
              <w:t>流量计</w:t>
            </w:r>
          </w:p>
        </w:tc>
        <w:tc>
          <w:tcPr>
            <w:tcW w:w="1532" w:type="pct"/>
            <w:tcBorders>
              <w:tl2br w:val="nil"/>
              <w:tr2bl w:val="nil"/>
            </w:tcBorders>
            <w:noWrap w:val="0"/>
            <w:vAlign w:val="center"/>
          </w:tcPr>
          <w:p w14:paraId="7BD7E698">
            <w:pPr>
              <w:pStyle w:val="16"/>
              <w:pageBreakBefore w:val="0"/>
              <w:wordWrap/>
              <w:bidi w:val="0"/>
              <w:adjustRightInd/>
              <w:snapToGrid/>
              <w:rPr>
                <w:color w:val="auto"/>
              </w:rPr>
            </w:pPr>
          </w:p>
        </w:tc>
        <w:tc>
          <w:tcPr>
            <w:tcW w:w="612" w:type="pct"/>
            <w:tcBorders>
              <w:tl2br w:val="nil"/>
              <w:tr2bl w:val="nil"/>
            </w:tcBorders>
            <w:noWrap w:val="0"/>
            <w:vAlign w:val="center"/>
          </w:tcPr>
          <w:p w14:paraId="72DF2613">
            <w:pPr>
              <w:pStyle w:val="16"/>
              <w:pageBreakBefore w:val="0"/>
              <w:wordWrap/>
              <w:bidi w:val="0"/>
              <w:adjustRightInd/>
              <w:snapToGrid/>
              <w:rPr>
                <w:color w:val="auto"/>
              </w:rPr>
            </w:pPr>
          </w:p>
        </w:tc>
        <w:tc>
          <w:tcPr>
            <w:tcW w:w="279" w:type="pct"/>
            <w:tcBorders>
              <w:tl2br w:val="nil"/>
              <w:tr2bl w:val="nil"/>
            </w:tcBorders>
            <w:noWrap w:val="0"/>
            <w:vAlign w:val="center"/>
          </w:tcPr>
          <w:p w14:paraId="77E8F265">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6E57B14">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11C60383">
            <w:pPr>
              <w:pStyle w:val="16"/>
              <w:pageBreakBefore w:val="0"/>
              <w:wordWrap/>
              <w:bidi w:val="0"/>
              <w:adjustRightInd/>
              <w:snapToGrid/>
              <w:rPr>
                <w:color w:val="auto"/>
              </w:rPr>
            </w:pPr>
            <w:r>
              <w:rPr>
                <w:color w:val="auto"/>
              </w:rPr>
              <w:t>计入自控</w:t>
            </w:r>
            <w:r>
              <w:rPr>
                <w:rFonts w:hint="eastAsia"/>
                <w:color w:val="auto"/>
                <w:lang w:eastAsia="zh-CN"/>
              </w:rPr>
              <w:t>，</w:t>
            </w:r>
            <w:r>
              <w:rPr>
                <w:color w:val="auto"/>
              </w:rPr>
              <w:t>反洗泵出水管</w:t>
            </w:r>
          </w:p>
        </w:tc>
      </w:tr>
      <w:tr w14:paraId="16BB067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FE7F9E8">
            <w:pPr>
              <w:pStyle w:val="16"/>
              <w:pageBreakBefore w:val="0"/>
              <w:wordWrap/>
              <w:bidi w:val="0"/>
              <w:adjustRightInd/>
              <w:snapToGrid/>
              <w:rPr>
                <w:color w:val="auto"/>
              </w:rPr>
            </w:pPr>
            <w:r>
              <w:rPr>
                <w:color w:val="auto"/>
              </w:rPr>
              <w:t>28</w:t>
            </w:r>
          </w:p>
        </w:tc>
        <w:tc>
          <w:tcPr>
            <w:tcW w:w="843" w:type="pct"/>
            <w:gridSpan w:val="2"/>
            <w:tcBorders>
              <w:tl2br w:val="nil"/>
              <w:tr2bl w:val="nil"/>
            </w:tcBorders>
            <w:noWrap w:val="0"/>
            <w:vAlign w:val="center"/>
          </w:tcPr>
          <w:p w14:paraId="4A33BB1D">
            <w:pPr>
              <w:pStyle w:val="16"/>
              <w:pageBreakBefore w:val="0"/>
              <w:wordWrap/>
              <w:bidi w:val="0"/>
              <w:adjustRightInd/>
              <w:snapToGrid/>
              <w:rPr>
                <w:color w:val="auto"/>
              </w:rPr>
            </w:pPr>
            <w:r>
              <w:rPr>
                <w:color w:val="auto"/>
              </w:rPr>
              <w:t>提升泵</w:t>
            </w:r>
          </w:p>
        </w:tc>
        <w:tc>
          <w:tcPr>
            <w:tcW w:w="1532" w:type="pct"/>
            <w:tcBorders>
              <w:tl2br w:val="nil"/>
              <w:tr2bl w:val="nil"/>
            </w:tcBorders>
            <w:noWrap w:val="0"/>
            <w:vAlign w:val="center"/>
          </w:tcPr>
          <w:p w14:paraId="51C84880">
            <w:pPr>
              <w:pStyle w:val="16"/>
              <w:pageBreakBefore w:val="0"/>
              <w:wordWrap/>
              <w:bidi w:val="0"/>
              <w:adjustRightInd/>
              <w:snapToGrid/>
              <w:rPr>
                <w:color w:val="auto"/>
              </w:rPr>
            </w:pPr>
            <w:r>
              <w:rPr>
                <w:color w:val="auto"/>
              </w:rPr>
              <w:t>Q=130</w:t>
            </w:r>
            <w:r>
              <w:rPr>
                <w:rFonts w:hint="eastAsia"/>
                <w:color w:val="auto"/>
                <w:lang w:eastAsia="zh-CN"/>
              </w:rPr>
              <w:t>m³</w:t>
            </w:r>
            <w:r>
              <w:rPr>
                <w:color w:val="auto"/>
              </w:rPr>
              <w:t>/h</w:t>
            </w:r>
            <w:r>
              <w:rPr>
                <w:rFonts w:hint="eastAsia"/>
                <w:color w:val="auto"/>
                <w:lang w:eastAsia="zh-CN"/>
              </w:rPr>
              <w:t>，</w:t>
            </w:r>
            <w:r>
              <w:rPr>
                <w:color w:val="auto"/>
              </w:rPr>
              <w:t>H=15m</w:t>
            </w:r>
            <w:r>
              <w:rPr>
                <w:rFonts w:hint="eastAsia"/>
                <w:color w:val="auto"/>
                <w:lang w:eastAsia="zh-CN"/>
              </w:rPr>
              <w:t>，</w:t>
            </w:r>
            <w:r>
              <w:rPr>
                <w:color w:val="auto"/>
              </w:rPr>
              <w:t>N=7.5kW</w:t>
            </w:r>
            <w:r>
              <w:rPr>
                <w:rFonts w:hint="eastAsia"/>
                <w:color w:val="auto"/>
                <w:lang w:eastAsia="zh-CN"/>
              </w:rPr>
              <w:t>；</w:t>
            </w:r>
            <w:r>
              <w:rPr>
                <w:color w:val="auto"/>
              </w:rPr>
              <w:t>变频控制</w:t>
            </w:r>
          </w:p>
        </w:tc>
        <w:tc>
          <w:tcPr>
            <w:tcW w:w="612" w:type="pct"/>
            <w:tcBorders>
              <w:tl2br w:val="nil"/>
              <w:tr2bl w:val="nil"/>
            </w:tcBorders>
            <w:noWrap w:val="0"/>
            <w:vAlign w:val="center"/>
          </w:tcPr>
          <w:p w14:paraId="7398B021">
            <w:pPr>
              <w:pStyle w:val="16"/>
              <w:pageBreakBefore w:val="0"/>
              <w:wordWrap/>
              <w:bidi w:val="0"/>
              <w:adjustRightInd/>
              <w:snapToGrid/>
              <w:rPr>
                <w:color w:val="auto"/>
              </w:rPr>
            </w:pPr>
            <w:r>
              <w:rPr>
                <w:color w:val="auto"/>
              </w:rPr>
              <w:t>球墨铸铁</w:t>
            </w:r>
          </w:p>
        </w:tc>
        <w:tc>
          <w:tcPr>
            <w:tcW w:w="279" w:type="pct"/>
            <w:tcBorders>
              <w:tl2br w:val="nil"/>
              <w:tr2bl w:val="nil"/>
            </w:tcBorders>
            <w:noWrap w:val="0"/>
            <w:vAlign w:val="center"/>
          </w:tcPr>
          <w:p w14:paraId="0D51C1F3">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55E69D6">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129F7174">
            <w:pPr>
              <w:pStyle w:val="16"/>
              <w:pageBreakBefore w:val="0"/>
              <w:wordWrap/>
              <w:bidi w:val="0"/>
              <w:adjustRightInd/>
              <w:snapToGrid/>
              <w:rPr>
                <w:color w:val="auto"/>
              </w:rPr>
            </w:pPr>
            <w:r>
              <w:rPr>
                <w:rFonts w:hint="eastAsia"/>
                <w:color w:val="auto"/>
                <w:lang w:eastAsia="zh-CN"/>
              </w:rPr>
              <w:t>1</w:t>
            </w:r>
            <w:r>
              <w:rPr>
                <w:color w:val="auto"/>
              </w:rPr>
              <w:t>用</w:t>
            </w:r>
            <w:r>
              <w:rPr>
                <w:rFonts w:hint="eastAsia"/>
                <w:color w:val="auto"/>
                <w:lang w:eastAsia="zh-CN"/>
              </w:rPr>
              <w:t>1</w:t>
            </w:r>
            <w:r>
              <w:rPr>
                <w:color w:val="auto"/>
              </w:rPr>
              <w:t>备</w:t>
            </w:r>
          </w:p>
        </w:tc>
      </w:tr>
      <w:tr w14:paraId="6F92B27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6470EF59">
            <w:pPr>
              <w:pStyle w:val="16"/>
              <w:pageBreakBefore w:val="0"/>
              <w:wordWrap/>
              <w:bidi w:val="0"/>
              <w:adjustRightInd/>
              <w:snapToGrid/>
              <w:jc w:val="left"/>
              <w:rPr>
                <w:color w:val="auto"/>
              </w:rPr>
            </w:pPr>
            <w:r>
              <w:rPr>
                <w:b/>
                <w:bCs/>
                <w:color w:val="auto"/>
              </w:rPr>
              <w:t>紫外线消毒及计量渠主要设备一览表</w:t>
            </w:r>
          </w:p>
        </w:tc>
      </w:tr>
      <w:tr w14:paraId="6D9942E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E07D25A">
            <w:pPr>
              <w:pStyle w:val="16"/>
              <w:pageBreakBefore w:val="0"/>
              <w:wordWrap/>
              <w:bidi w:val="0"/>
              <w:adjustRightInd/>
              <w:snapToGrid/>
              <w:rPr>
                <w:b/>
                <w:bCs/>
                <w:color w:val="auto"/>
              </w:rPr>
            </w:pPr>
            <w:r>
              <w:rPr>
                <w:b/>
                <w:bCs/>
                <w:color w:val="auto"/>
              </w:rPr>
              <w:t>序号</w:t>
            </w:r>
          </w:p>
        </w:tc>
        <w:tc>
          <w:tcPr>
            <w:tcW w:w="843" w:type="pct"/>
            <w:gridSpan w:val="2"/>
            <w:tcBorders>
              <w:tl2br w:val="nil"/>
              <w:tr2bl w:val="nil"/>
            </w:tcBorders>
            <w:noWrap w:val="0"/>
            <w:vAlign w:val="center"/>
          </w:tcPr>
          <w:p w14:paraId="128F608D">
            <w:pPr>
              <w:pStyle w:val="16"/>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62F4D6C5">
            <w:pPr>
              <w:pStyle w:val="16"/>
              <w:pageBreakBefore w:val="0"/>
              <w:wordWrap/>
              <w:bidi w:val="0"/>
              <w:adjustRightInd/>
              <w:snapToGrid/>
              <w:rPr>
                <w:b/>
                <w:bCs/>
                <w:color w:val="auto"/>
              </w:rPr>
            </w:pPr>
            <w:r>
              <w:rPr>
                <w:b/>
                <w:bCs/>
                <w:color w:val="auto"/>
              </w:rPr>
              <w:t>规格型号及技术参数</w:t>
            </w:r>
          </w:p>
        </w:tc>
        <w:tc>
          <w:tcPr>
            <w:tcW w:w="612" w:type="pct"/>
            <w:tcBorders>
              <w:tl2br w:val="nil"/>
              <w:tr2bl w:val="nil"/>
            </w:tcBorders>
            <w:noWrap w:val="0"/>
            <w:vAlign w:val="center"/>
          </w:tcPr>
          <w:p w14:paraId="0078B077">
            <w:pPr>
              <w:pStyle w:val="16"/>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4023FD85">
            <w:pPr>
              <w:pStyle w:val="16"/>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7B8135F2">
            <w:pPr>
              <w:pStyle w:val="16"/>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3DBD67A8">
            <w:pPr>
              <w:pStyle w:val="16"/>
              <w:pageBreakBefore w:val="0"/>
              <w:wordWrap/>
              <w:bidi w:val="0"/>
              <w:adjustRightInd/>
              <w:snapToGrid/>
              <w:rPr>
                <w:b/>
                <w:bCs/>
                <w:color w:val="auto"/>
              </w:rPr>
            </w:pPr>
            <w:r>
              <w:rPr>
                <w:b/>
                <w:bCs/>
                <w:color w:val="auto"/>
              </w:rPr>
              <w:t>备注</w:t>
            </w:r>
          </w:p>
        </w:tc>
      </w:tr>
      <w:tr w14:paraId="372E85B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065A207">
            <w:pPr>
              <w:pStyle w:val="16"/>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5790F68E">
            <w:pPr>
              <w:pStyle w:val="16"/>
              <w:pageBreakBefore w:val="0"/>
              <w:wordWrap/>
              <w:bidi w:val="0"/>
              <w:adjustRightInd/>
              <w:snapToGrid/>
              <w:rPr>
                <w:color w:val="auto"/>
              </w:rPr>
            </w:pPr>
            <w:r>
              <w:rPr>
                <w:color w:val="auto"/>
              </w:rPr>
              <w:t>紫外消毒模块</w:t>
            </w:r>
          </w:p>
        </w:tc>
        <w:tc>
          <w:tcPr>
            <w:tcW w:w="1532" w:type="pct"/>
            <w:tcBorders>
              <w:tl2br w:val="nil"/>
              <w:tr2bl w:val="nil"/>
            </w:tcBorders>
            <w:noWrap w:val="0"/>
            <w:vAlign w:val="center"/>
          </w:tcPr>
          <w:p w14:paraId="106E0EAE">
            <w:pPr>
              <w:pStyle w:val="16"/>
              <w:pageBreakBefore w:val="0"/>
              <w:wordWrap/>
              <w:bidi w:val="0"/>
              <w:adjustRightInd/>
              <w:snapToGrid/>
              <w:rPr>
                <w:color w:val="auto"/>
              </w:rPr>
            </w:pPr>
            <w:r>
              <w:rPr>
                <w:color w:val="auto"/>
              </w:rPr>
              <w:t>Q=0.6万吨/天</w:t>
            </w:r>
            <w:r>
              <w:rPr>
                <w:rFonts w:hint="eastAsia"/>
                <w:color w:val="auto"/>
                <w:lang w:eastAsia="zh-CN"/>
              </w:rPr>
              <w:t>，</w:t>
            </w:r>
            <w:r>
              <w:rPr>
                <w:color w:val="auto"/>
              </w:rPr>
              <w:t>K=2.0</w:t>
            </w:r>
            <w:r>
              <w:rPr>
                <w:rFonts w:hint="eastAsia"/>
                <w:color w:val="auto"/>
                <w:lang w:eastAsia="zh-CN"/>
              </w:rPr>
              <w:t>，</w:t>
            </w:r>
            <w:r>
              <w:rPr>
                <w:color w:val="auto"/>
              </w:rPr>
              <w:t>6个排架</w:t>
            </w:r>
            <w:r>
              <w:rPr>
                <w:rFonts w:hint="eastAsia"/>
                <w:color w:val="auto"/>
                <w:lang w:eastAsia="zh-CN"/>
              </w:rPr>
              <w:t>，</w:t>
            </w:r>
            <w:r>
              <w:rPr>
                <w:color w:val="auto"/>
              </w:rPr>
              <w:t>8支灯/模块</w:t>
            </w:r>
            <w:r>
              <w:rPr>
                <w:rFonts w:hint="eastAsia"/>
                <w:color w:val="auto"/>
                <w:lang w:eastAsia="zh-CN"/>
              </w:rPr>
              <w:t>，</w:t>
            </w:r>
            <w:r>
              <w:rPr>
                <w:color w:val="auto"/>
              </w:rPr>
              <w:t>48支管</w:t>
            </w:r>
            <w:r>
              <w:rPr>
                <w:rFonts w:hint="eastAsia"/>
                <w:color w:val="auto"/>
                <w:lang w:eastAsia="zh-CN"/>
              </w:rPr>
              <w:t>，</w:t>
            </w:r>
            <w:r>
              <w:rPr>
                <w:color w:val="auto"/>
              </w:rPr>
              <w:t>N=16kw</w:t>
            </w:r>
          </w:p>
        </w:tc>
        <w:tc>
          <w:tcPr>
            <w:tcW w:w="612" w:type="pct"/>
            <w:tcBorders>
              <w:tl2br w:val="nil"/>
              <w:tr2bl w:val="nil"/>
            </w:tcBorders>
            <w:noWrap w:val="0"/>
            <w:vAlign w:val="center"/>
          </w:tcPr>
          <w:p w14:paraId="49145B4E">
            <w:pPr>
              <w:pStyle w:val="16"/>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7AF931C6">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E2ABD34">
            <w:pPr>
              <w:pStyle w:val="16"/>
              <w:pageBreakBefore w:val="0"/>
              <w:wordWrap/>
              <w:bidi w:val="0"/>
              <w:adjustRightInd/>
              <w:snapToGrid/>
              <w:rPr>
                <w:color w:val="auto"/>
              </w:rPr>
            </w:pPr>
            <w:r>
              <w:rPr>
                <w:color w:val="auto"/>
              </w:rPr>
              <w:t>1</w:t>
            </w:r>
          </w:p>
        </w:tc>
        <w:tc>
          <w:tcPr>
            <w:tcW w:w="1132" w:type="pct"/>
            <w:vMerge w:val="restart"/>
            <w:tcBorders>
              <w:tl2br w:val="nil"/>
              <w:tr2bl w:val="nil"/>
            </w:tcBorders>
            <w:noWrap w:val="0"/>
            <w:vAlign w:val="center"/>
          </w:tcPr>
          <w:p w14:paraId="6594BC52">
            <w:pPr>
              <w:pStyle w:val="16"/>
              <w:pageBreakBefore w:val="0"/>
              <w:wordWrap/>
              <w:bidi w:val="0"/>
              <w:adjustRightInd/>
              <w:snapToGrid/>
              <w:rPr>
                <w:color w:val="auto"/>
              </w:rPr>
            </w:pPr>
            <w:r>
              <w:rPr>
                <w:color w:val="auto"/>
              </w:rPr>
              <w:t>设备成套供货模块为进口</w:t>
            </w:r>
          </w:p>
        </w:tc>
      </w:tr>
      <w:tr w14:paraId="61BF388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A9B571C">
            <w:pPr>
              <w:pStyle w:val="16"/>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4DB90F79">
            <w:pPr>
              <w:pStyle w:val="16"/>
              <w:pageBreakBefore w:val="0"/>
              <w:wordWrap/>
              <w:bidi w:val="0"/>
              <w:adjustRightInd/>
              <w:snapToGrid/>
              <w:rPr>
                <w:color w:val="auto"/>
              </w:rPr>
            </w:pPr>
            <w:r>
              <w:rPr>
                <w:color w:val="auto"/>
              </w:rPr>
              <w:t>整流器柜</w:t>
            </w:r>
          </w:p>
        </w:tc>
        <w:tc>
          <w:tcPr>
            <w:tcW w:w="1532" w:type="pct"/>
            <w:tcBorders>
              <w:tl2br w:val="nil"/>
              <w:tr2bl w:val="nil"/>
            </w:tcBorders>
            <w:noWrap w:val="0"/>
            <w:vAlign w:val="center"/>
          </w:tcPr>
          <w:p w14:paraId="39BA458D">
            <w:pPr>
              <w:pStyle w:val="16"/>
              <w:pageBreakBefore w:val="0"/>
              <w:wordWrap/>
              <w:bidi w:val="0"/>
              <w:adjustRightInd/>
              <w:snapToGrid/>
              <w:rPr>
                <w:color w:val="auto"/>
              </w:rPr>
            </w:pPr>
            <w:r>
              <w:rPr>
                <w:color w:val="auto"/>
              </w:rPr>
              <w:t>380v</w:t>
            </w:r>
            <w:r>
              <w:rPr>
                <w:rFonts w:hint="eastAsia"/>
                <w:color w:val="auto"/>
                <w:lang w:eastAsia="zh-CN"/>
              </w:rPr>
              <w:t>，</w:t>
            </w:r>
            <w:r>
              <w:rPr>
                <w:color w:val="auto"/>
              </w:rPr>
              <w:t>3kw</w:t>
            </w:r>
          </w:p>
        </w:tc>
        <w:tc>
          <w:tcPr>
            <w:tcW w:w="612" w:type="pct"/>
            <w:tcBorders>
              <w:tl2br w:val="nil"/>
              <w:tr2bl w:val="nil"/>
            </w:tcBorders>
            <w:noWrap w:val="0"/>
            <w:vAlign w:val="center"/>
          </w:tcPr>
          <w:p w14:paraId="1D860EE1">
            <w:pPr>
              <w:pStyle w:val="16"/>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081866CD">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510BFB24">
            <w:pPr>
              <w:pStyle w:val="16"/>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2B4670CF">
            <w:pPr>
              <w:pStyle w:val="16"/>
              <w:pageBreakBefore w:val="0"/>
              <w:wordWrap/>
              <w:bidi w:val="0"/>
              <w:adjustRightInd/>
              <w:snapToGrid/>
              <w:rPr>
                <w:color w:val="auto"/>
              </w:rPr>
            </w:pPr>
          </w:p>
        </w:tc>
      </w:tr>
      <w:tr w14:paraId="03BFA63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C010CBC">
            <w:pPr>
              <w:pStyle w:val="16"/>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73EA9DCA">
            <w:pPr>
              <w:pStyle w:val="16"/>
              <w:pageBreakBefore w:val="0"/>
              <w:wordWrap/>
              <w:bidi w:val="0"/>
              <w:adjustRightInd/>
              <w:snapToGrid/>
              <w:rPr>
                <w:color w:val="auto"/>
              </w:rPr>
            </w:pPr>
            <w:r>
              <w:rPr>
                <w:color w:val="auto"/>
              </w:rPr>
              <w:t>水位传感器</w:t>
            </w:r>
          </w:p>
        </w:tc>
        <w:tc>
          <w:tcPr>
            <w:tcW w:w="1532" w:type="pct"/>
            <w:tcBorders>
              <w:tl2br w:val="nil"/>
              <w:tr2bl w:val="nil"/>
            </w:tcBorders>
            <w:noWrap w:val="0"/>
            <w:vAlign w:val="center"/>
          </w:tcPr>
          <w:p w14:paraId="03410985">
            <w:pPr>
              <w:pStyle w:val="16"/>
              <w:pageBreakBefore w:val="0"/>
              <w:wordWrap/>
              <w:bidi w:val="0"/>
              <w:adjustRightInd/>
              <w:snapToGrid/>
              <w:rPr>
                <w:color w:val="auto"/>
              </w:rPr>
            </w:pPr>
          </w:p>
        </w:tc>
        <w:tc>
          <w:tcPr>
            <w:tcW w:w="612" w:type="pct"/>
            <w:tcBorders>
              <w:tl2br w:val="nil"/>
              <w:tr2bl w:val="nil"/>
            </w:tcBorders>
            <w:noWrap w:val="0"/>
            <w:vAlign w:val="center"/>
          </w:tcPr>
          <w:p w14:paraId="184B79C0">
            <w:pPr>
              <w:pStyle w:val="16"/>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41F72A9A">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FEF7D12">
            <w:pPr>
              <w:pStyle w:val="16"/>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1AE7C114">
            <w:pPr>
              <w:pStyle w:val="16"/>
              <w:pageBreakBefore w:val="0"/>
              <w:wordWrap/>
              <w:bidi w:val="0"/>
              <w:adjustRightInd/>
              <w:snapToGrid/>
              <w:rPr>
                <w:color w:val="auto"/>
              </w:rPr>
            </w:pPr>
          </w:p>
        </w:tc>
      </w:tr>
      <w:tr w14:paraId="3F6A720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2E233BD">
            <w:pPr>
              <w:pStyle w:val="16"/>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3CE28760">
            <w:pPr>
              <w:pStyle w:val="16"/>
              <w:pageBreakBefore w:val="0"/>
              <w:wordWrap/>
              <w:bidi w:val="0"/>
              <w:adjustRightInd/>
              <w:snapToGrid/>
              <w:rPr>
                <w:color w:val="auto"/>
              </w:rPr>
            </w:pPr>
            <w:r>
              <w:rPr>
                <w:color w:val="auto"/>
              </w:rPr>
              <w:t>水位控制溢流堰</w:t>
            </w:r>
          </w:p>
        </w:tc>
        <w:tc>
          <w:tcPr>
            <w:tcW w:w="1532" w:type="pct"/>
            <w:tcBorders>
              <w:tl2br w:val="nil"/>
              <w:tr2bl w:val="nil"/>
            </w:tcBorders>
            <w:noWrap w:val="0"/>
            <w:vAlign w:val="center"/>
          </w:tcPr>
          <w:p w14:paraId="172344DF">
            <w:pPr>
              <w:pStyle w:val="16"/>
              <w:pageBreakBefore w:val="0"/>
              <w:wordWrap/>
              <w:bidi w:val="0"/>
              <w:adjustRightInd/>
              <w:snapToGrid/>
              <w:rPr>
                <w:color w:val="auto"/>
              </w:rPr>
            </w:pPr>
          </w:p>
        </w:tc>
        <w:tc>
          <w:tcPr>
            <w:tcW w:w="612" w:type="pct"/>
            <w:tcBorders>
              <w:tl2br w:val="nil"/>
              <w:tr2bl w:val="nil"/>
            </w:tcBorders>
            <w:noWrap w:val="0"/>
            <w:vAlign w:val="center"/>
          </w:tcPr>
          <w:p w14:paraId="19811C58">
            <w:pPr>
              <w:pStyle w:val="16"/>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6ECCE229">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D0C9E8D">
            <w:pPr>
              <w:pStyle w:val="16"/>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44CCB176">
            <w:pPr>
              <w:pStyle w:val="16"/>
              <w:pageBreakBefore w:val="0"/>
              <w:wordWrap/>
              <w:bidi w:val="0"/>
              <w:adjustRightInd/>
              <w:snapToGrid/>
              <w:rPr>
                <w:color w:val="auto"/>
              </w:rPr>
            </w:pPr>
          </w:p>
        </w:tc>
      </w:tr>
      <w:tr w14:paraId="1238218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4ED8444">
            <w:pPr>
              <w:pStyle w:val="16"/>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4A2D08E3">
            <w:pPr>
              <w:pStyle w:val="16"/>
              <w:pageBreakBefore w:val="0"/>
              <w:wordWrap/>
              <w:bidi w:val="0"/>
              <w:adjustRightInd/>
              <w:snapToGrid/>
              <w:rPr>
                <w:color w:val="auto"/>
              </w:rPr>
            </w:pPr>
            <w:r>
              <w:rPr>
                <w:color w:val="auto"/>
              </w:rPr>
              <w:t>空压机</w:t>
            </w:r>
          </w:p>
        </w:tc>
        <w:tc>
          <w:tcPr>
            <w:tcW w:w="1532" w:type="pct"/>
            <w:tcBorders>
              <w:tl2br w:val="nil"/>
              <w:tr2bl w:val="nil"/>
            </w:tcBorders>
            <w:noWrap w:val="0"/>
            <w:vAlign w:val="center"/>
          </w:tcPr>
          <w:p w14:paraId="593A5E1C">
            <w:pPr>
              <w:pStyle w:val="16"/>
              <w:pageBreakBefore w:val="0"/>
              <w:wordWrap/>
              <w:bidi w:val="0"/>
              <w:adjustRightInd/>
              <w:snapToGrid/>
              <w:rPr>
                <w:color w:val="auto"/>
              </w:rPr>
            </w:pPr>
            <w:r>
              <w:rPr>
                <w:color w:val="auto"/>
              </w:rPr>
              <w:t>220v</w:t>
            </w:r>
            <w:r>
              <w:rPr>
                <w:rFonts w:hint="eastAsia"/>
                <w:color w:val="auto"/>
                <w:lang w:eastAsia="zh-CN"/>
              </w:rPr>
              <w:t>，1</w:t>
            </w:r>
            <w:r>
              <w:rPr>
                <w:color w:val="auto"/>
              </w:rPr>
              <w:t>.5kw</w:t>
            </w:r>
          </w:p>
        </w:tc>
        <w:tc>
          <w:tcPr>
            <w:tcW w:w="612" w:type="pct"/>
            <w:tcBorders>
              <w:tl2br w:val="nil"/>
              <w:tr2bl w:val="nil"/>
            </w:tcBorders>
            <w:noWrap w:val="0"/>
            <w:vAlign w:val="center"/>
          </w:tcPr>
          <w:p w14:paraId="526E0613">
            <w:pPr>
              <w:pStyle w:val="16"/>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6F156510">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93487EA">
            <w:pPr>
              <w:pStyle w:val="16"/>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235102C4">
            <w:pPr>
              <w:pStyle w:val="16"/>
              <w:pageBreakBefore w:val="0"/>
              <w:wordWrap/>
              <w:bidi w:val="0"/>
              <w:adjustRightInd/>
              <w:snapToGrid/>
              <w:rPr>
                <w:color w:val="auto"/>
              </w:rPr>
            </w:pPr>
          </w:p>
        </w:tc>
      </w:tr>
      <w:tr w14:paraId="67C1A54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D759E5E">
            <w:pPr>
              <w:pStyle w:val="16"/>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7D3BD983">
            <w:pPr>
              <w:pStyle w:val="16"/>
              <w:pageBreakBefore w:val="0"/>
              <w:wordWrap/>
              <w:bidi w:val="0"/>
              <w:adjustRightInd/>
              <w:snapToGrid/>
              <w:rPr>
                <w:color w:val="auto"/>
              </w:rPr>
            </w:pPr>
            <w:r>
              <w:rPr>
                <w:color w:val="auto"/>
              </w:rPr>
              <w:t>整流格栅板</w:t>
            </w:r>
          </w:p>
        </w:tc>
        <w:tc>
          <w:tcPr>
            <w:tcW w:w="1532" w:type="pct"/>
            <w:tcBorders>
              <w:tl2br w:val="nil"/>
              <w:tr2bl w:val="nil"/>
            </w:tcBorders>
            <w:noWrap w:val="0"/>
            <w:vAlign w:val="center"/>
          </w:tcPr>
          <w:p w14:paraId="13046BA3">
            <w:pPr>
              <w:pStyle w:val="16"/>
              <w:pageBreakBefore w:val="0"/>
              <w:wordWrap/>
              <w:bidi w:val="0"/>
              <w:adjustRightInd/>
              <w:snapToGrid/>
              <w:rPr>
                <w:color w:val="auto"/>
              </w:rPr>
            </w:pPr>
          </w:p>
        </w:tc>
        <w:tc>
          <w:tcPr>
            <w:tcW w:w="612" w:type="pct"/>
            <w:tcBorders>
              <w:tl2br w:val="nil"/>
              <w:tr2bl w:val="nil"/>
            </w:tcBorders>
            <w:noWrap w:val="0"/>
            <w:vAlign w:val="center"/>
          </w:tcPr>
          <w:p w14:paraId="441C348F">
            <w:pPr>
              <w:pStyle w:val="16"/>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71F1114D">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45D3B91">
            <w:pPr>
              <w:pStyle w:val="16"/>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1E23302D">
            <w:pPr>
              <w:pStyle w:val="16"/>
              <w:pageBreakBefore w:val="0"/>
              <w:wordWrap/>
              <w:bidi w:val="0"/>
              <w:adjustRightInd/>
              <w:snapToGrid/>
              <w:rPr>
                <w:color w:val="auto"/>
              </w:rPr>
            </w:pPr>
          </w:p>
        </w:tc>
      </w:tr>
      <w:tr w14:paraId="39424B5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F575E77">
            <w:pPr>
              <w:pStyle w:val="16"/>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0AFA255C">
            <w:pPr>
              <w:pStyle w:val="16"/>
              <w:pageBreakBefore w:val="0"/>
              <w:wordWrap/>
              <w:bidi w:val="0"/>
              <w:adjustRightInd/>
              <w:snapToGrid/>
              <w:rPr>
                <w:color w:val="auto"/>
              </w:rPr>
            </w:pPr>
            <w:r>
              <w:rPr>
                <w:color w:val="auto"/>
              </w:rPr>
              <w:t>进水闸门</w:t>
            </w:r>
          </w:p>
        </w:tc>
        <w:tc>
          <w:tcPr>
            <w:tcW w:w="1532" w:type="pct"/>
            <w:tcBorders>
              <w:tl2br w:val="nil"/>
              <w:tr2bl w:val="nil"/>
            </w:tcBorders>
            <w:noWrap w:val="0"/>
            <w:vAlign w:val="center"/>
          </w:tcPr>
          <w:p w14:paraId="4549BA51">
            <w:pPr>
              <w:pStyle w:val="16"/>
              <w:pageBreakBefore w:val="0"/>
              <w:wordWrap/>
              <w:bidi w:val="0"/>
              <w:adjustRightInd/>
              <w:snapToGrid/>
              <w:rPr>
                <w:color w:val="auto"/>
              </w:rPr>
            </w:pPr>
            <w:r>
              <w:rPr>
                <w:color w:val="auto"/>
              </w:rPr>
              <w:t>CBZ-1000×1500</w:t>
            </w:r>
          </w:p>
        </w:tc>
        <w:tc>
          <w:tcPr>
            <w:tcW w:w="612" w:type="pct"/>
            <w:tcBorders>
              <w:tl2br w:val="nil"/>
              <w:tr2bl w:val="nil"/>
            </w:tcBorders>
            <w:noWrap w:val="0"/>
            <w:vAlign w:val="center"/>
          </w:tcPr>
          <w:p w14:paraId="140353E3">
            <w:pPr>
              <w:pStyle w:val="16"/>
              <w:pageBreakBefore w:val="0"/>
              <w:wordWrap/>
              <w:bidi w:val="0"/>
              <w:adjustRightInd/>
              <w:snapToGrid/>
              <w:rPr>
                <w:color w:val="auto"/>
              </w:rPr>
            </w:pPr>
            <w:r>
              <w:rPr>
                <w:color w:val="auto"/>
              </w:rPr>
              <w:t>铸铁镶铜</w:t>
            </w:r>
          </w:p>
        </w:tc>
        <w:tc>
          <w:tcPr>
            <w:tcW w:w="279" w:type="pct"/>
            <w:tcBorders>
              <w:tl2br w:val="nil"/>
              <w:tr2bl w:val="nil"/>
            </w:tcBorders>
            <w:noWrap w:val="0"/>
            <w:vAlign w:val="center"/>
          </w:tcPr>
          <w:p w14:paraId="05427BA3">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19EC4AB">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445B8E07">
            <w:pPr>
              <w:pStyle w:val="16"/>
              <w:pageBreakBefore w:val="0"/>
              <w:wordWrap/>
              <w:bidi w:val="0"/>
              <w:adjustRightInd/>
              <w:snapToGrid/>
              <w:rPr>
                <w:color w:val="auto"/>
              </w:rPr>
            </w:pPr>
            <w:r>
              <w:rPr>
                <w:color w:val="auto"/>
              </w:rPr>
              <w:t>配套手动启闭机</w:t>
            </w:r>
            <w:r>
              <w:rPr>
                <w:rFonts w:hint="eastAsia"/>
                <w:color w:val="auto"/>
                <w:lang w:eastAsia="zh-CN"/>
              </w:rPr>
              <w:t>，</w:t>
            </w:r>
            <w:r>
              <w:rPr>
                <w:color w:val="auto"/>
              </w:rPr>
              <w:t>启闭机高出池顶</w:t>
            </w:r>
            <w:r>
              <w:rPr>
                <w:rFonts w:hint="eastAsia"/>
                <w:color w:val="auto"/>
                <w:lang w:eastAsia="zh-CN"/>
              </w:rPr>
              <w:t>1</w:t>
            </w:r>
            <w:r>
              <w:rPr>
                <w:color w:val="auto"/>
              </w:rPr>
              <w:t>.3m</w:t>
            </w:r>
          </w:p>
        </w:tc>
      </w:tr>
      <w:tr w14:paraId="56641E9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05EE104">
            <w:pPr>
              <w:pStyle w:val="16"/>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54460B51">
            <w:pPr>
              <w:pStyle w:val="16"/>
              <w:pageBreakBefore w:val="0"/>
              <w:wordWrap/>
              <w:bidi w:val="0"/>
              <w:adjustRightInd/>
              <w:snapToGrid/>
              <w:rPr>
                <w:color w:val="auto"/>
              </w:rPr>
            </w:pPr>
            <w:r>
              <w:rPr>
                <w:color w:val="auto"/>
              </w:rPr>
              <w:t>巴歇尔流量槽</w:t>
            </w:r>
          </w:p>
        </w:tc>
        <w:tc>
          <w:tcPr>
            <w:tcW w:w="1532" w:type="pct"/>
            <w:tcBorders>
              <w:tl2br w:val="nil"/>
              <w:tr2bl w:val="nil"/>
            </w:tcBorders>
            <w:noWrap w:val="0"/>
            <w:vAlign w:val="center"/>
          </w:tcPr>
          <w:p w14:paraId="38488D88">
            <w:pPr>
              <w:pStyle w:val="16"/>
              <w:pageBreakBefore w:val="0"/>
              <w:wordWrap/>
              <w:bidi w:val="0"/>
              <w:adjustRightInd/>
              <w:snapToGrid/>
              <w:rPr>
                <w:color w:val="auto"/>
              </w:rPr>
            </w:pPr>
            <w:r>
              <w:rPr>
                <w:color w:val="auto"/>
              </w:rPr>
              <w:t>7#标准型</w:t>
            </w:r>
            <w:r>
              <w:rPr>
                <w:rFonts w:hint="eastAsia"/>
                <w:color w:val="auto"/>
                <w:lang w:eastAsia="zh-CN"/>
              </w:rPr>
              <w:t>，</w:t>
            </w:r>
            <w:r>
              <w:rPr>
                <w:color w:val="auto"/>
              </w:rPr>
              <w:t>12.6≤Q≤1440</w:t>
            </w:r>
            <w:r>
              <w:rPr>
                <w:rFonts w:hint="eastAsia"/>
                <w:color w:val="auto"/>
                <w:lang w:eastAsia="zh-CN"/>
              </w:rPr>
              <w:t>m³</w:t>
            </w:r>
            <w:r>
              <w:rPr>
                <w:color w:val="auto"/>
              </w:rPr>
              <w:t>/h</w:t>
            </w:r>
          </w:p>
        </w:tc>
        <w:tc>
          <w:tcPr>
            <w:tcW w:w="612" w:type="pct"/>
            <w:tcBorders>
              <w:tl2br w:val="nil"/>
              <w:tr2bl w:val="nil"/>
            </w:tcBorders>
            <w:noWrap w:val="0"/>
            <w:vAlign w:val="center"/>
          </w:tcPr>
          <w:p w14:paraId="52C1356C">
            <w:pPr>
              <w:pStyle w:val="16"/>
              <w:pageBreakBefore w:val="0"/>
              <w:wordWrap/>
              <w:bidi w:val="0"/>
              <w:adjustRightInd/>
              <w:snapToGrid/>
              <w:rPr>
                <w:color w:val="auto"/>
              </w:rPr>
            </w:pPr>
            <w:r>
              <w:rPr>
                <w:color w:val="auto"/>
              </w:rPr>
              <w:t>槽体玻璃钢</w:t>
            </w:r>
          </w:p>
        </w:tc>
        <w:tc>
          <w:tcPr>
            <w:tcW w:w="279" w:type="pct"/>
            <w:tcBorders>
              <w:tl2br w:val="nil"/>
              <w:tr2bl w:val="nil"/>
            </w:tcBorders>
            <w:noWrap w:val="0"/>
            <w:vAlign w:val="center"/>
          </w:tcPr>
          <w:p w14:paraId="53674625">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9741A5F">
            <w:pPr>
              <w:pStyle w:val="16"/>
              <w:pageBreakBefore w:val="0"/>
              <w:wordWrap/>
              <w:bidi w:val="0"/>
              <w:adjustRightInd/>
              <w:snapToGrid/>
              <w:rPr>
                <w:color w:val="auto"/>
              </w:rPr>
            </w:pPr>
            <w:r>
              <w:rPr>
                <w:color w:val="auto"/>
              </w:rPr>
              <w:t>1</w:t>
            </w:r>
          </w:p>
        </w:tc>
        <w:tc>
          <w:tcPr>
            <w:tcW w:w="1132" w:type="pct"/>
            <w:vMerge w:val="restart"/>
            <w:tcBorders>
              <w:tl2br w:val="nil"/>
              <w:tr2bl w:val="nil"/>
            </w:tcBorders>
            <w:noWrap w:val="0"/>
            <w:vAlign w:val="center"/>
          </w:tcPr>
          <w:p w14:paraId="0DB872E3">
            <w:pPr>
              <w:pStyle w:val="16"/>
              <w:pageBreakBefore w:val="0"/>
              <w:wordWrap/>
              <w:bidi w:val="0"/>
              <w:adjustRightInd/>
              <w:snapToGrid/>
              <w:rPr>
                <w:color w:val="auto"/>
              </w:rPr>
            </w:pPr>
            <w:r>
              <w:rPr>
                <w:color w:val="auto"/>
              </w:rPr>
              <w:t>设备成套供货</w:t>
            </w:r>
          </w:p>
        </w:tc>
      </w:tr>
      <w:tr w14:paraId="1E8A379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2E058B4">
            <w:pPr>
              <w:pStyle w:val="16"/>
              <w:pageBreakBefore w:val="0"/>
              <w:wordWrap/>
              <w:bidi w:val="0"/>
              <w:adjustRightInd/>
              <w:snapToGrid/>
              <w:rPr>
                <w:color w:val="auto"/>
              </w:rPr>
            </w:pPr>
            <w:r>
              <w:rPr>
                <w:color w:val="auto"/>
              </w:rPr>
              <w:t>9</w:t>
            </w:r>
          </w:p>
        </w:tc>
        <w:tc>
          <w:tcPr>
            <w:tcW w:w="843" w:type="pct"/>
            <w:gridSpan w:val="2"/>
            <w:tcBorders>
              <w:tl2br w:val="nil"/>
              <w:tr2bl w:val="nil"/>
            </w:tcBorders>
            <w:noWrap w:val="0"/>
            <w:vAlign w:val="center"/>
          </w:tcPr>
          <w:p w14:paraId="7A3F57DF">
            <w:pPr>
              <w:pStyle w:val="16"/>
              <w:pageBreakBefore w:val="0"/>
              <w:wordWrap/>
              <w:bidi w:val="0"/>
              <w:adjustRightInd/>
              <w:snapToGrid/>
              <w:rPr>
                <w:color w:val="auto"/>
              </w:rPr>
            </w:pPr>
            <w:r>
              <w:rPr>
                <w:color w:val="auto"/>
              </w:rPr>
              <w:t>明渠流量计</w:t>
            </w:r>
          </w:p>
        </w:tc>
        <w:tc>
          <w:tcPr>
            <w:tcW w:w="1532" w:type="pct"/>
            <w:tcBorders>
              <w:tl2br w:val="nil"/>
              <w:tr2bl w:val="nil"/>
            </w:tcBorders>
            <w:noWrap w:val="0"/>
            <w:vAlign w:val="center"/>
          </w:tcPr>
          <w:p w14:paraId="476A4494">
            <w:pPr>
              <w:pStyle w:val="16"/>
              <w:pageBreakBefore w:val="0"/>
              <w:wordWrap/>
              <w:bidi w:val="0"/>
              <w:adjustRightInd/>
              <w:snapToGrid/>
              <w:rPr>
                <w:color w:val="auto"/>
              </w:rPr>
            </w:pPr>
          </w:p>
        </w:tc>
        <w:tc>
          <w:tcPr>
            <w:tcW w:w="612" w:type="pct"/>
            <w:tcBorders>
              <w:tl2br w:val="nil"/>
              <w:tr2bl w:val="nil"/>
            </w:tcBorders>
            <w:noWrap w:val="0"/>
            <w:vAlign w:val="center"/>
          </w:tcPr>
          <w:p w14:paraId="668DBDDF">
            <w:pPr>
              <w:pStyle w:val="16"/>
              <w:pageBreakBefore w:val="0"/>
              <w:wordWrap/>
              <w:bidi w:val="0"/>
              <w:adjustRightInd/>
              <w:snapToGrid/>
              <w:rPr>
                <w:color w:val="auto"/>
              </w:rPr>
            </w:pPr>
          </w:p>
        </w:tc>
        <w:tc>
          <w:tcPr>
            <w:tcW w:w="279" w:type="pct"/>
            <w:tcBorders>
              <w:tl2br w:val="nil"/>
              <w:tr2bl w:val="nil"/>
            </w:tcBorders>
            <w:noWrap w:val="0"/>
            <w:vAlign w:val="center"/>
          </w:tcPr>
          <w:p w14:paraId="2D930CE7">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A9A707E">
            <w:pPr>
              <w:pStyle w:val="16"/>
              <w:pageBreakBefore w:val="0"/>
              <w:wordWrap/>
              <w:bidi w:val="0"/>
              <w:adjustRightInd/>
              <w:snapToGrid/>
              <w:rPr>
                <w:color w:val="auto"/>
              </w:rPr>
            </w:pPr>
            <w:r>
              <w:rPr>
                <w:color w:val="auto"/>
              </w:rPr>
              <w:t>1</w:t>
            </w:r>
          </w:p>
        </w:tc>
        <w:tc>
          <w:tcPr>
            <w:tcW w:w="1132" w:type="pct"/>
            <w:vMerge w:val="continue"/>
            <w:tcBorders>
              <w:tl2br w:val="nil"/>
              <w:tr2bl w:val="nil"/>
            </w:tcBorders>
            <w:noWrap w:val="0"/>
            <w:vAlign w:val="center"/>
          </w:tcPr>
          <w:p w14:paraId="1A6C9BC9">
            <w:pPr>
              <w:pStyle w:val="16"/>
              <w:pageBreakBefore w:val="0"/>
              <w:wordWrap/>
              <w:bidi w:val="0"/>
              <w:adjustRightInd/>
              <w:snapToGrid/>
              <w:rPr>
                <w:color w:val="auto"/>
              </w:rPr>
            </w:pPr>
          </w:p>
        </w:tc>
      </w:tr>
      <w:tr w14:paraId="2724A6C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69091D96">
            <w:pPr>
              <w:pStyle w:val="16"/>
              <w:pageBreakBefore w:val="0"/>
              <w:wordWrap/>
              <w:bidi w:val="0"/>
              <w:adjustRightInd/>
              <w:snapToGrid/>
              <w:jc w:val="left"/>
              <w:rPr>
                <w:color w:val="auto"/>
              </w:rPr>
            </w:pPr>
            <w:r>
              <w:rPr>
                <w:b/>
                <w:bCs/>
                <w:color w:val="auto"/>
              </w:rPr>
              <w:t>回用水池-回用泵房主要设备表</w:t>
            </w:r>
          </w:p>
        </w:tc>
      </w:tr>
      <w:tr w14:paraId="0C42DEE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5EB88E3">
            <w:pPr>
              <w:pStyle w:val="16"/>
              <w:pageBreakBefore w:val="0"/>
              <w:wordWrap/>
              <w:bidi w:val="0"/>
              <w:adjustRightInd/>
              <w:snapToGrid/>
              <w:rPr>
                <w:b/>
                <w:bCs/>
                <w:color w:val="auto"/>
              </w:rPr>
            </w:pPr>
            <w:r>
              <w:rPr>
                <w:b/>
                <w:bCs/>
                <w:color w:val="auto"/>
              </w:rPr>
              <w:t>序号</w:t>
            </w:r>
          </w:p>
        </w:tc>
        <w:tc>
          <w:tcPr>
            <w:tcW w:w="843" w:type="pct"/>
            <w:gridSpan w:val="2"/>
            <w:tcBorders>
              <w:tl2br w:val="nil"/>
              <w:tr2bl w:val="nil"/>
            </w:tcBorders>
            <w:noWrap w:val="0"/>
            <w:vAlign w:val="center"/>
          </w:tcPr>
          <w:p w14:paraId="7A963DB5">
            <w:pPr>
              <w:pStyle w:val="16"/>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55D6116D">
            <w:pPr>
              <w:pStyle w:val="16"/>
              <w:pageBreakBefore w:val="0"/>
              <w:wordWrap/>
              <w:bidi w:val="0"/>
              <w:adjustRightInd/>
              <w:snapToGrid/>
              <w:rPr>
                <w:b/>
                <w:bCs/>
                <w:color w:val="auto"/>
              </w:rPr>
            </w:pPr>
            <w:r>
              <w:rPr>
                <w:b/>
                <w:bCs/>
                <w:color w:val="auto"/>
              </w:rPr>
              <w:t>规格型号及技术参数</w:t>
            </w:r>
          </w:p>
        </w:tc>
        <w:tc>
          <w:tcPr>
            <w:tcW w:w="612" w:type="pct"/>
            <w:tcBorders>
              <w:tl2br w:val="nil"/>
              <w:tr2bl w:val="nil"/>
            </w:tcBorders>
            <w:noWrap w:val="0"/>
            <w:vAlign w:val="center"/>
          </w:tcPr>
          <w:p w14:paraId="021023C2">
            <w:pPr>
              <w:pStyle w:val="16"/>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518F84BB">
            <w:pPr>
              <w:pStyle w:val="16"/>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685CB60E">
            <w:pPr>
              <w:pStyle w:val="16"/>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272FB33E">
            <w:pPr>
              <w:pStyle w:val="16"/>
              <w:pageBreakBefore w:val="0"/>
              <w:wordWrap/>
              <w:bidi w:val="0"/>
              <w:adjustRightInd/>
              <w:snapToGrid/>
              <w:rPr>
                <w:b/>
                <w:bCs/>
                <w:color w:val="auto"/>
              </w:rPr>
            </w:pPr>
            <w:r>
              <w:rPr>
                <w:b/>
                <w:bCs/>
                <w:color w:val="auto"/>
              </w:rPr>
              <w:t>备注</w:t>
            </w:r>
          </w:p>
        </w:tc>
      </w:tr>
      <w:tr w14:paraId="7954A60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FFCCCEC">
            <w:pPr>
              <w:pStyle w:val="16"/>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40EBB7B7">
            <w:pPr>
              <w:pStyle w:val="16"/>
              <w:pageBreakBefore w:val="0"/>
              <w:wordWrap/>
              <w:bidi w:val="0"/>
              <w:adjustRightInd/>
              <w:snapToGrid/>
              <w:rPr>
                <w:color w:val="auto"/>
              </w:rPr>
            </w:pPr>
            <w:r>
              <w:rPr>
                <w:color w:val="auto"/>
              </w:rPr>
              <w:t>单级单吸立式离心泵</w:t>
            </w:r>
          </w:p>
        </w:tc>
        <w:tc>
          <w:tcPr>
            <w:tcW w:w="1532" w:type="pct"/>
            <w:tcBorders>
              <w:tl2br w:val="nil"/>
              <w:tr2bl w:val="nil"/>
            </w:tcBorders>
            <w:noWrap w:val="0"/>
            <w:vAlign w:val="center"/>
          </w:tcPr>
          <w:p w14:paraId="0BCB7500">
            <w:pPr>
              <w:pStyle w:val="16"/>
              <w:pageBreakBefore w:val="0"/>
              <w:wordWrap/>
              <w:bidi w:val="0"/>
              <w:adjustRightInd/>
              <w:snapToGrid/>
              <w:rPr>
                <w:color w:val="auto"/>
              </w:rPr>
            </w:pPr>
            <w:r>
              <w:rPr>
                <w:color w:val="auto"/>
              </w:rPr>
              <w:t>Q=30</w:t>
            </w:r>
            <w:r>
              <w:rPr>
                <w:rFonts w:hint="eastAsia"/>
                <w:color w:val="auto"/>
                <w:lang w:eastAsia="zh-CN"/>
              </w:rPr>
              <w:t>m³</w:t>
            </w:r>
            <w:r>
              <w:rPr>
                <w:color w:val="auto"/>
              </w:rPr>
              <w:t>/h</w:t>
            </w:r>
            <w:r>
              <w:rPr>
                <w:rFonts w:hint="eastAsia"/>
                <w:color w:val="auto"/>
                <w:lang w:eastAsia="zh-CN"/>
              </w:rPr>
              <w:t>，</w:t>
            </w:r>
            <w:r>
              <w:rPr>
                <w:color w:val="auto"/>
              </w:rPr>
              <w:t>H=20m</w:t>
            </w:r>
            <w:r>
              <w:rPr>
                <w:rFonts w:hint="eastAsia"/>
                <w:color w:val="auto"/>
                <w:lang w:eastAsia="zh-CN"/>
              </w:rPr>
              <w:t>，</w:t>
            </w:r>
            <w:r>
              <w:rPr>
                <w:color w:val="auto"/>
              </w:rPr>
              <w:t>N=4.0kW</w:t>
            </w:r>
            <w:r>
              <w:rPr>
                <w:rFonts w:hint="eastAsia"/>
                <w:color w:val="auto"/>
                <w:lang w:eastAsia="zh-CN"/>
              </w:rPr>
              <w:t>，</w:t>
            </w:r>
            <w:r>
              <w:rPr>
                <w:color w:val="auto"/>
              </w:rPr>
              <w:t>变频控制</w:t>
            </w:r>
          </w:p>
        </w:tc>
        <w:tc>
          <w:tcPr>
            <w:tcW w:w="612" w:type="pct"/>
            <w:tcBorders>
              <w:tl2br w:val="nil"/>
              <w:tr2bl w:val="nil"/>
            </w:tcBorders>
            <w:noWrap w:val="0"/>
            <w:vAlign w:val="center"/>
          </w:tcPr>
          <w:p w14:paraId="011D71ED">
            <w:pPr>
              <w:pStyle w:val="16"/>
              <w:pageBreakBefore w:val="0"/>
              <w:wordWrap/>
              <w:bidi w:val="0"/>
              <w:adjustRightInd/>
              <w:snapToGrid/>
              <w:rPr>
                <w:color w:val="auto"/>
              </w:rPr>
            </w:pPr>
            <w:r>
              <w:rPr>
                <w:color w:val="auto"/>
              </w:rPr>
              <w:t>球墨铸铁</w:t>
            </w:r>
          </w:p>
        </w:tc>
        <w:tc>
          <w:tcPr>
            <w:tcW w:w="279" w:type="pct"/>
            <w:tcBorders>
              <w:tl2br w:val="nil"/>
              <w:tr2bl w:val="nil"/>
            </w:tcBorders>
            <w:noWrap w:val="0"/>
            <w:vAlign w:val="center"/>
          </w:tcPr>
          <w:p w14:paraId="5293A4A5">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9CB23A0">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79315E67">
            <w:pPr>
              <w:pStyle w:val="16"/>
              <w:pageBreakBefore w:val="0"/>
              <w:wordWrap/>
              <w:bidi w:val="0"/>
              <w:adjustRightInd/>
              <w:snapToGrid/>
              <w:rPr>
                <w:color w:val="auto"/>
              </w:rPr>
            </w:pPr>
            <w:r>
              <w:rPr>
                <w:color w:val="auto"/>
              </w:rPr>
              <w:t>2用</w:t>
            </w:r>
            <w:r>
              <w:rPr>
                <w:rFonts w:hint="eastAsia"/>
                <w:color w:val="auto"/>
                <w:lang w:eastAsia="zh-CN"/>
              </w:rPr>
              <w:t>1</w:t>
            </w:r>
            <w:r>
              <w:rPr>
                <w:color w:val="auto"/>
              </w:rPr>
              <w:t>备</w:t>
            </w:r>
            <w:r>
              <w:rPr>
                <w:rFonts w:hint="eastAsia"/>
                <w:color w:val="auto"/>
                <w:lang w:eastAsia="zh-CN"/>
              </w:rPr>
              <w:t>，</w:t>
            </w:r>
            <w:r>
              <w:rPr>
                <w:color w:val="auto"/>
              </w:rPr>
              <w:t>国产一线品牌</w:t>
            </w:r>
          </w:p>
        </w:tc>
      </w:tr>
      <w:tr w14:paraId="6A5F6E6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8CD05A6">
            <w:pPr>
              <w:pStyle w:val="16"/>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019179E9">
            <w:pPr>
              <w:pStyle w:val="16"/>
              <w:pageBreakBefore w:val="0"/>
              <w:wordWrap/>
              <w:bidi w:val="0"/>
              <w:adjustRightInd/>
              <w:snapToGrid/>
              <w:rPr>
                <w:color w:val="auto"/>
              </w:rPr>
            </w:pPr>
            <w:r>
              <w:rPr>
                <w:color w:val="auto"/>
              </w:rPr>
              <w:t>回用水消毒罐</w:t>
            </w:r>
          </w:p>
        </w:tc>
        <w:tc>
          <w:tcPr>
            <w:tcW w:w="1532" w:type="pct"/>
            <w:tcBorders>
              <w:tl2br w:val="nil"/>
              <w:tr2bl w:val="nil"/>
            </w:tcBorders>
            <w:noWrap w:val="0"/>
            <w:vAlign w:val="center"/>
          </w:tcPr>
          <w:p w14:paraId="01E4AC21">
            <w:pPr>
              <w:pStyle w:val="16"/>
              <w:pageBreakBefore w:val="0"/>
              <w:wordWrap/>
              <w:bidi w:val="0"/>
              <w:adjustRightInd/>
              <w:snapToGrid/>
              <w:rPr>
                <w:color w:val="auto"/>
              </w:rPr>
            </w:pPr>
            <w:r>
              <w:rPr>
                <w:color w:val="auto"/>
              </w:rPr>
              <w:t>消毒剂</w:t>
            </w:r>
            <w:r>
              <w:rPr>
                <w:rFonts w:hint="eastAsia"/>
                <w:color w:val="auto"/>
                <w:lang w:eastAsia="zh-CN"/>
              </w:rPr>
              <w:t>：</w:t>
            </w:r>
            <w:r>
              <w:rPr>
                <w:color w:val="auto"/>
              </w:rPr>
              <w:t>成品次氯酸钠</w:t>
            </w:r>
            <w:r>
              <w:rPr>
                <w:rFonts w:hint="eastAsia"/>
                <w:color w:val="auto"/>
                <w:lang w:eastAsia="zh-CN"/>
              </w:rPr>
              <w:t>，</w:t>
            </w:r>
            <w:r>
              <w:rPr>
                <w:color w:val="auto"/>
              </w:rPr>
              <w:t>有效容积</w:t>
            </w:r>
            <w:r>
              <w:rPr>
                <w:rFonts w:hint="eastAsia"/>
                <w:color w:val="auto"/>
                <w:lang w:eastAsia="zh-CN"/>
              </w:rPr>
              <w:t>：</w:t>
            </w:r>
            <w:r>
              <w:rPr>
                <w:color w:val="auto"/>
              </w:rPr>
              <w:t>1000L</w:t>
            </w:r>
            <w:r>
              <w:rPr>
                <w:rFonts w:hint="eastAsia"/>
                <w:color w:val="auto"/>
                <w:lang w:eastAsia="zh-CN"/>
              </w:rPr>
              <w:t>，</w:t>
            </w:r>
            <w:r>
              <w:rPr>
                <w:color w:val="auto"/>
              </w:rPr>
              <w:t>外形尺寸</w:t>
            </w:r>
            <w:r>
              <w:rPr>
                <w:rFonts w:hint="eastAsia"/>
                <w:color w:val="auto"/>
                <w:lang w:eastAsia="zh-CN"/>
              </w:rPr>
              <w:t>：</w:t>
            </w:r>
            <w:r>
              <w:rPr>
                <w:color w:val="auto"/>
              </w:rPr>
              <w:t>D×H=φ</w:t>
            </w:r>
            <w:r>
              <w:rPr>
                <w:rFonts w:hint="eastAsia"/>
                <w:color w:val="auto"/>
                <w:lang w:eastAsia="zh-CN"/>
              </w:rPr>
              <w:t>1</w:t>
            </w:r>
            <w:r>
              <w:rPr>
                <w:color w:val="auto"/>
              </w:rPr>
              <w:t>.0×</w:t>
            </w:r>
            <w:r>
              <w:rPr>
                <w:rFonts w:hint="eastAsia"/>
                <w:color w:val="auto"/>
                <w:lang w:eastAsia="zh-CN"/>
              </w:rPr>
              <w:t>1</w:t>
            </w:r>
            <w:r>
              <w:rPr>
                <w:color w:val="auto"/>
              </w:rPr>
              <w:t>.65m</w:t>
            </w:r>
            <w:r>
              <w:rPr>
                <w:rFonts w:hint="eastAsia"/>
                <w:color w:val="auto"/>
                <w:lang w:eastAsia="zh-CN"/>
              </w:rPr>
              <w:t>，</w:t>
            </w:r>
            <w:r>
              <w:rPr>
                <w:color w:val="auto"/>
              </w:rPr>
              <w:t>搅拌功率</w:t>
            </w:r>
            <w:r>
              <w:rPr>
                <w:rFonts w:hint="eastAsia"/>
                <w:color w:val="auto"/>
                <w:lang w:eastAsia="zh-CN"/>
              </w:rPr>
              <w:t>：</w:t>
            </w:r>
            <w:r>
              <w:rPr>
                <w:color w:val="auto"/>
              </w:rPr>
              <w:t>0.55kW</w:t>
            </w:r>
          </w:p>
        </w:tc>
        <w:tc>
          <w:tcPr>
            <w:tcW w:w="612" w:type="pct"/>
            <w:tcBorders>
              <w:tl2br w:val="nil"/>
              <w:tr2bl w:val="nil"/>
            </w:tcBorders>
            <w:noWrap w:val="0"/>
            <w:vAlign w:val="center"/>
          </w:tcPr>
          <w:p w14:paraId="697A2E52">
            <w:pPr>
              <w:pStyle w:val="16"/>
              <w:pageBreakBefore w:val="0"/>
              <w:wordWrap/>
              <w:bidi w:val="0"/>
              <w:adjustRightInd/>
              <w:snapToGrid/>
              <w:rPr>
                <w:color w:val="auto"/>
              </w:rPr>
            </w:pPr>
            <w:r>
              <w:rPr>
                <w:color w:val="auto"/>
              </w:rPr>
              <w:t>主体材质PE</w:t>
            </w:r>
          </w:p>
        </w:tc>
        <w:tc>
          <w:tcPr>
            <w:tcW w:w="279" w:type="pct"/>
            <w:tcBorders>
              <w:tl2br w:val="nil"/>
              <w:tr2bl w:val="nil"/>
            </w:tcBorders>
            <w:noWrap w:val="0"/>
            <w:vAlign w:val="center"/>
          </w:tcPr>
          <w:p w14:paraId="4C51A87C">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5BE9BC6E">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3D19BC22">
            <w:pPr>
              <w:pStyle w:val="16"/>
              <w:pageBreakBefore w:val="0"/>
              <w:wordWrap/>
              <w:bidi w:val="0"/>
              <w:adjustRightInd/>
              <w:snapToGrid/>
              <w:rPr>
                <w:color w:val="auto"/>
              </w:rPr>
            </w:pPr>
          </w:p>
        </w:tc>
      </w:tr>
      <w:tr w14:paraId="7317B38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12388AB">
            <w:pPr>
              <w:pStyle w:val="16"/>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48049602">
            <w:pPr>
              <w:pStyle w:val="16"/>
              <w:pageBreakBefore w:val="0"/>
              <w:wordWrap/>
              <w:bidi w:val="0"/>
              <w:adjustRightInd/>
              <w:snapToGrid/>
              <w:rPr>
                <w:color w:val="auto"/>
              </w:rPr>
            </w:pPr>
            <w:r>
              <w:rPr>
                <w:color w:val="auto"/>
              </w:rPr>
              <w:t>加药计量泵</w:t>
            </w:r>
          </w:p>
        </w:tc>
        <w:tc>
          <w:tcPr>
            <w:tcW w:w="1532" w:type="pct"/>
            <w:tcBorders>
              <w:tl2br w:val="nil"/>
              <w:tr2bl w:val="nil"/>
            </w:tcBorders>
            <w:noWrap w:val="0"/>
            <w:vAlign w:val="center"/>
          </w:tcPr>
          <w:p w14:paraId="4265F2DE">
            <w:pPr>
              <w:pStyle w:val="16"/>
              <w:pageBreakBefore w:val="0"/>
              <w:wordWrap/>
              <w:bidi w:val="0"/>
              <w:adjustRightInd/>
              <w:snapToGrid/>
              <w:rPr>
                <w:color w:val="auto"/>
              </w:rPr>
            </w:pPr>
            <w:r>
              <w:rPr>
                <w:color w:val="auto"/>
              </w:rPr>
              <w:t>型式</w:t>
            </w:r>
            <w:r>
              <w:rPr>
                <w:rFonts w:hint="eastAsia"/>
                <w:color w:val="auto"/>
                <w:lang w:eastAsia="zh-CN"/>
              </w:rPr>
              <w:t>：</w:t>
            </w:r>
            <w:r>
              <w:rPr>
                <w:color w:val="auto"/>
              </w:rPr>
              <w:t>隔膜计量泵</w:t>
            </w:r>
            <w:r>
              <w:rPr>
                <w:rFonts w:hint="eastAsia"/>
                <w:color w:val="auto"/>
                <w:lang w:eastAsia="zh-CN"/>
              </w:rPr>
              <w:t>，</w:t>
            </w:r>
            <w:r>
              <w:rPr>
                <w:color w:val="auto"/>
              </w:rPr>
              <w:t>Q=10L/h</w:t>
            </w:r>
            <w:r>
              <w:rPr>
                <w:rFonts w:hint="eastAsia"/>
                <w:color w:val="auto"/>
                <w:lang w:eastAsia="zh-CN"/>
              </w:rPr>
              <w:t>，</w:t>
            </w:r>
            <w:r>
              <w:rPr>
                <w:color w:val="auto"/>
              </w:rPr>
              <w:t>0.7MPa</w:t>
            </w:r>
            <w:r>
              <w:rPr>
                <w:rFonts w:hint="eastAsia"/>
                <w:color w:val="auto"/>
                <w:lang w:eastAsia="zh-CN"/>
              </w:rPr>
              <w:t>，</w:t>
            </w:r>
            <w:r>
              <w:rPr>
                <w:color w:val="auto"/>
              </w:rPr>
              <w:t>N=0.1kW</w:t>
            </w:r>
          </w:p>
        </w:tc>
        <w:tc>
          <w:tcPr>
            <w:tcW w:w="612" w:type="pct"/>
            <w:tcBorders>
              <w:tl2br w:val="nil"/>
              <w:tr2bl w:val="nil"/>
            </w:tcBorders>
            <w:noWrap w:val="0"/>
            <w:vAlign w:val="center"/>
          </w:tcPr>
          <w:p w14:paraId="30AFAF88">
            <w:pPr>
              <w:pStyle w:val="16"/>
              <w:pageBreakBefore w:val="0"/>
              <w:wordWrap/>
              <w:bidi w:val="0"/>
              <w:adjustRightInd/>
              <w:snapToGrid/>
              <w:rPr>
                <w:color w:val="auto"/>
              </w:rPr>
            </w:pPr>
            <w:r>
              <w:rPr>
                <w:color w:val="auto"/>
              </w:rPr>
              <w:t>隔膜材质PTFE</w:t>
            </w:r>
          </w:p>
        </w:tc>
        <w:tc>
          <w:tcPr>
            <w:tcW w:w="279" w:type="pct"/>
            <w:tcBorders>
              <w:tl2br w:val="nil"/>
              <w:tr2bl w:val="nil"/>
            </w:tcBorders>
            <w:noWrap w:val="0"/>
            <w:vAlign w:val="center"/>
          </w:tcPr>
          <w:p w14:paraId="575251C3">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B60A1C9">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48CE6573">
            <w:pPr>
              <w:pStyle w:val="16"/>
              <w:pageBreakBefore w:val="0"/>
              <w:wordWrap/>
              <w:bidi w:val="0"/>
              <w:adjustRightInd/>
              <w:snapToGrid/>
              <w:rPr>
                <w:color w:val="auto"/>
              </w:rPr>
            </w:pPr>
            <w:r>
              <w:rPr>
                <w:color w:val="auto"/>
              </w:rPr>
              <w:t>配套阀门附件</w:t>
            </w:r>
            <w:r>
              <w:rPr>
                <w:rFonts w:hint="eastAsia"/>
                <w:color w:val="auto"/>
                <w:lang w:eastAsia="zh-CN"/>
              </w:rPr>
              <w:t>，1</w:t>
            </w:r>
            <w:r>
              <w:rPr>
                <w:color w:val="auto"/>
              </w:rPr>
              <w:t>用</w:t>
            </w:r>
            <w:r>
              <w:rPr>
                <w:rFonts w:hint="eastAsia"/>
                <w:color w:val="auto"/>
                <w:lang w:eastAsia="zh-CN"/>
              </w:rPr>
              <w:t>1</w:t>
            </w:r>
            <w:r>
              <w:rPr>
                <w:color w:val="auto"/>
              </w:rPr>
              <w:t>备</w:t>
            </w:r>
          </w:p>
        </w:tc>
      </w:tr>
      <w:tr w14:paraId="2A7BD5B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B7647F3">
            <w:pPr>
              <w:pStyle w:val="16"/>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280123EC">
            <w:pPr>
              <w:pStyle w:val="16"/>
              <w:pageBreakBefore w:val="0"/>
              <w:wordWrap/>
              <w:bidi w:val="0"/>
              <w:adjustRightInd/>
              <w:snapToGrid/>
              <w:rPr>
                <w:color w:val="auto"/>
              </w:rPr>
            </w:pPr>
            <w:r>
              <w:rPr>
                <w:color w:val="auto"/>
              </w:rPr>
              <w:t>轴流风机</w:t>
            </w:r>
          </w:p>
        </w:tc>
        <w:tc>
          <w:tcPr>
            <w:tcW w:w="1532" w:type="pct"/>
            <w:tcBorders>
              <w:tl2br w:val="nil"/>
              <w:tr2bl w:val="nil"/>
            </w:tcBorders>
            <w:noWrap w:val="0"/>
            <w:vAlign w:val="center"/>
          </w:tcPr>
          <w:p w14:paraId="5E1753FB">
            <w:pPr>
              <w:pStyle w:val="16"/>
              <w:pageBreakBefore w:val="0"/>
              <w:wordWrap/>
              <w:bidi w:val="0"/>
              <w:adjustRightInd/>
              <w:snapToGrid/>
              <w:rPr>
                <w:color w:val="auto"/>
              </w:rPr>
            </w:pPr>
            <w:r>
              <w:rPr>
                <w:color w:val="auto"/>
              </w:rPr>
              <w:t>Q=1000</w:t>
            </w:r>
            <w:r>
              <w:rPr>
                <w:rFonts w:hint="eastAsia"/>
                <w:color w:val="auto"/>
                <w:lang w:eastAsia="zh-CN"/>
              </w:rPr>
              <w:t>m³</w:t>
            </w:r>
            <w:r>
              <w:rPr>
                <w:color w:val="auto"/>
              </w:rPr>
              <w:t>/h</w:t>
            </w:r>
            <w:r>
              <w:rPr>
                <w:rFonts w:hint="eastAsia"/>
                <w:color w:val="auto"/>
                <w:lang w:eastAsia="zh-CN"/>
              </w:rPr>
              <w:t>，</w:t>
            </w:r>
            <w:r>
              <w:rPr>
                <w:color w:val="auto"/>
              </w:rPr>
              <w:t>N=0.12kW</w:t>
            </w:r>
          </w:p>
        </w:tc>
        <w:tc>
          <w:tcPr>
            <w:tcW w:w="612" w:type="pct"/>
            <w:tcBorders>
              <w:tl2br w:val="nil"/>
              <w:tr2bl w:val="nil"/>
            </w:tcBorders>
            <w:noWrap w:val="0"/>
            <w:vAlign w:val="center"/>
          </w:tcPr>
          <w:p w14:paraId="733000E7">
            <w:pPr>
              <w:pStyle w:val="16"/>
              <w:pageBreakBefore w:val="0"/>
              <w:wordWrap/>
              <w:bidi w:val="0"/>
              <w:adjustRightInd/>
              <w:snapToGrid/>
              <w:rPr>
                <w:color w:val="auto"/>
              </w:rPr>
            </w:pPr>
            <w:r>
              <w:rPr>
                <w:color w:val="auto"/>
              </w:rPr>
              <w:t>玻璃钢</w:t>
            </w:r>
          </w:p>
        </w:tc>
        <w:tc>
          <w:tcPr>
            <w:tcW w:w="279" w:type="pct"/>
            <w:tcBorders>
              <w:tl2br w:val="nil"/>
              <w:tr2bl w:val="nil"/>
            </w:tcBorders>
            <w:noWrap w:val="0"/>
            <w:vAlign w:val="center"/>
          </w:tcPr>
          <w:p w14:paraId="656D70CF">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F0537F3">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481C6B7F">
            <w:pPr>
              <w:pStyle w:val="16"/>
              <w:pageBreakBefore w:val="0"/>
              <w:wordWrap/>
              <w:bidi w:val="0"/>
              <w:adjustRightInd/>
              <w:snapToGrid/>
              <w:rPr>
                <w:color w:val="auto"/>
              </w:rPr>
            </w:pPr>
          </w:p>
        </w:tc>
      </w:tr>
      <w:tr w14:paraId="0C784C7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331476D">
            <w:pPr>
              <w:pStyle w:val="16"/>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1E6BF873">
            <w:pPr>
              <w:pStyle w:val="16"/>
              <w:pageBreakBefore w:val="0"/>
              <w:wordWrap/>
              <w:bidi w:val="0"/>
              <w:adjustRightInd/>
              <w:snapToGrid/>
              <w:rPr>
                <w:color w:val="auto"/>
              </w:rPr>
            </w:pPr>
            <w:r>
              <w:rPr>
                <w:color w:val="auto"/>
              </w:rPr>
              <w:t>磷酸铵盐干粉灭火器</w:t>
            </w:r>
          </w:p>
        </w:tc>
        <w:tc>
          <w:tcPr>
            <w:tcW w:w="1532" w:type="pct"/>
            <w:tcBorders>
              <w:tl2br w:val="nil"/>
              <w:tr2bl w:val="nil"/>
            </w:tcBorders>
            <w:noWrap w:val="0"/>
            <w:vAlign w:val="center"/>
          </w:tcPr>
          <w:p w14:paraId="675DF51D">
            <w:pPr>
              <w:pStyle w:val="16"/>
              <w:pageBreakBefore w:val="0"/>
              <w:wordWrap/>
              <w:bidi w:val="0"/>
              <w:adjustRightInd/>
              <w:snapToGrid/>
              <w:rPr>
                <w:color w:val="auto"/>
              </w:rPr>
            </w:pPr>
            <w:r>
              <w:rPr>
                <w:color w:val="auto"/>
              </w:rPr>
              <w:t>MF/ABC3</w:t>
            </w:r>
          </w:p>
        </w:tc>
        <w:tc>
          <w:tcPr>
            <w:tcW w:w="612" w:type="pct"/>
            <w:tcBorders>
              <w:tl2br w:val="nil"/>
              <w:tr2bl w:val="nil"/>
            </w:tcBorders>
            <w:noWrap w:val="0"/>
            <w:vAlign w:val="center"/>
          </w:tcPr>
          <w:p w14:paraId="3F6D83A8">
            <w:pPr>
              <w:pStyle w:val="16"/>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45B19184">
            <w:pPr>
              <w:pStyle w:val="16"/>
              <w:pageBreakBefore w:val="0"/>
              <w:wordWrap/>
              <w:bidi w:val="0"/>
              <w:adjustRightInd/>
              <w:snapToGrid/>
              <w:rPr>
                <w:color w:val="auto"/>
              </w:rPr>
            </w:pPr>
            <w:r>
              <w:rPr>
                <w:color w:val="auto"/>
              </w:rPr>
              <w:t>具</w:t>
            </w:r>
          </w:p>
        </w:tc>
        <w:tc>
          <w:tcPr>
            <w:tcW w:w="244" w:type="pct"/>
            <w:tcBorders>
              <w:tl2br w:val="nil"/>
              <w:tr2bl w:val="nil"/>
            </w:tcBorders>
            <w:noWrap w:val="0"/>
            <w:vAlign w:val="center"/>
          </w:tcPr>
          <w:p w14:paraId="3892D2BE">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793F6D95">
            <w:pPr>
              <w:pStyle w:val="16"/>
              <w:pageBreakBefore w:val="0"/>
              <w:wordWrap/>
              <w:bidi w:val="0"/>
              <w:adjustRightInd/>
              <w:snapToGrid/>
              <w:rPr>
                <w:color w:val="auto"/>
              </w:rPr>
            </w:pPr>
            <w:r>
              <w:rPr>
                <w:color w:val="auto"/>
              </w:rPr>
              <w:t>手提式</w:t>
            </w:r>
          </w:p>
        </w:tc>
      </w:tr>
      <w:tr w14:paraId="27ECB27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37B85D5">
            <w:pPr>
              <w:pStyle w:val="16"/>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183D3CD9">
            <w:pPr>
              <w:pStyle w:val="16"/>
              <w:pageBreakBefore w:val="0"/>
              <w:wordWrap/>
              <w:bidi w:val="0"/>
              <w:adjustRightInd/>
              <w:snapToGrid/>
              <w:rPr>
                <w:color w:val="auto"/>
              </w:rPr>
            </w:pPr>
            <w:r>
              <w:rPr>
                <w:color w:val="auto"/>
              </w:rPr>
              <w:t>止回阀</w:t>
            </w:r>
          </w:p>
        </w:tc>
        <w:tc>
          <w:tcPr>
            <w:tcW w:w="1532" w:type="pct"/>
            <w:tcBorders>
              <w:tl2br w:val="nil"/>
              <w:tr2bl w:val="nil"/>
            </w:tcBorders>
            <w:noWrap w:val="0"/>
            <w:vAlign w:val="center"/>
          </w:tcPr>
          <w:p w14:paraId="7806FC9F">
            <w:pPr>
              <w:pStyle w:val="16"/>
              <w:pageBreakBefore w:val="0"/>
              <w:wordWrap/>
              <w:bidi w:val="0"/>
              <w:adjustRightInd/>
              <w:snapToGrid/>
              <w:rPr>
                <w:color w:val="auto"/>
              </w:rPr>
            </w:pPr>
            <w:r>
              <w:rPr>
                <w:color w:val="auto"/>
              </w:rPr>
              <w:t>DN100</w:t>
            </w:r>
            <w:r>
              <w:rPr>
                <w:rFonts w:hint="eastAsia"/>
                <w:color w:val="auto"/>
                <w:lang w:eastAsia="zh-CN"/>
              </w:rPr>
              <w:t>，</w:t>
            </w:r>
            <w:r>
              <w:rPr>
                <w:color w:val="auto"/>
              </w:rPr>
              <w:t>PN0.6MPa</w:t>
            </w:r>
          </w:p>
        </w:tc>
        <w:tc>
          <w:tcPr>
            <w:tcW w:w="612" w:type="pct"/>
            <w:tcBorders>
              <w:tl2br w:val="nil"/>
              <w:tr2bl w:val="nil"/>
            </w:tcBorders>
            <w:noWrap w:val="0"/>
            <w:vAlign w:val="center"/>
          </w:tcPr>
          <w:p w14:paraId="3D70786C">
            <w:pPr>
              <w:pStyle w:val="16"/>
              <w:pageBreakBefore w:val="0"/>
              <w:wordWrap/>
              <w:bidi w:val="0"/>
              <w:adjustRightInd/>
              <w:snapToGrid/>
              <w:rPr>
                <w:color w:val="auto"/>
              </w:rPr>
            </w:pPr>
            <w:r>
              <w:rPr>
                <w:color w:val="auto"/>
              </w:rPr>
              <w:t>阀体材质球墨铸铁</w:t>
            </w:r>
          </w:p>
        </w:tc>
        <w:tc>
          <w:tcPr>
            <w:tcW w:w="279" w:type="pct"/>
            <w:tcBorders>
              <w:tl2br w:val="nil"/>
              <w:tr2bl w:val="nil"/>
            </w:tcBorders>
            <w:noWrap w:val="0"/>
            <w:vAlign w:val="center"/>
          </w:tcPr>
          <w:p w14:paraId="2AA40544">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11EBD4CA">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5FC65906">
            <w:pPr>
              <w:pStyle w:val="16"/>
              <w:pageBreakBefore w:val="0"/>
              <w:wordWrap/>
              <w:bidi w:val="0"/>
              <w:adjustRightInd/>
              <w:snapToGrid/>
              <w:rPr>
                <w:color w:val="auto"/>
              </w:rPr>
            </w:pPr>
          </w:p>
        </w:tc>
      </w:tr>
      <w:tr w14:paraId="513FE72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715A58C1">
            <w:pPr>
              <w:pStyle w:val="16"/>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6EF35E8C">
            <w:pPr>
              <w:pStyle w:val="16"/>
              <w:pageBreakBefore w:val="0"/>
              <w:wordWrap/>
              <w:bidi w:val="0"/>
              <w:adjustRightInd/>
              <w:snapToGrid/>
              <w:rPr>
                <w:color w:val="auto"/>
              </w:rPr>
            </w:pPr>
            <w:r>
              <w:rPr>
                <w:color w:val="auto"/>
              </w:rPr>
              <w:t>蝶阀</w:t>
            </w:r>
          </w:p>
        </w:tc>
        <w:tc>
          <w:tcPr>
            <w:tcW w:w="1532" w:type="pct"/>
            <w:tcBorders>
              <w:tl2br w:val="nil"/>
              <w:tr2bl w:val="nil"/>
            </w:tcBorders>
            <w:noWrap w:val="0"/>
            <w:vAlign w:val="center"/>
          </w:tcPr>
          <w:p w14:paraId="34C8FDA2">
            <w:pPr>
              <w:pStyle w:val="16"/>
              <w:pageBreakBefore w:val="0"/>
              <w:wordWrap/>
              <w:bidi w:val="0"/>
              <w:adjustRightInd/>
              <w:snapToGrid/>
              <w:rPr>
                <w:color w:val="auto"/>
              </w:rPr>
            </w:pPr>
            <w:r>
              <w:rPr>
                <w:color w:val="auto"/>
              </w:rPr>
              <w:t>DN100</w:t>
            </w:r>
            <w:r>
              <w:rPr>
                <w:rFonts w:hint="eastAsia"/>
                <w:color w:val="auto"/>
                <w:lang w:eastAsia="zh-CN"/>
              </w:rPr>
              <w:t>，</w:t>
            </w:r>
            <w:r>
              <w:rPr>
                <w:color w:val="auto"/>
              </w:rPr>
              <w:t>PN0.6MPa</w:t>
            </w:r>
          </w:p>
        </w:tc>
        <w:tc>
          <w:tcPr>
            <w:tcW w:w="612" w:type="pct"/>
            <w:tcBorders>
              <w:tl2br w:val="nil"/>
              <w:tr2bl w:val="nil"/>
            </w:tcBorders>
            <w:noWrap w:val="0"/>
            <w:vAlign w:val="center"/>
          </w:tcPr>
          <w:p w14:paraId="0F2A760C">
            <w:pPr>
              <w:pStyle w:val="16"/>
              <w:pageBreakBefore w:val="0"/>
              <w:wordWrap/>
              <w:bidi w:val="0"/>
              <w:adjustRightInd/>
              <w:snapToGrid/>
              <w:rPr>
                <w:color w:val="auto"/>
              </w:rPr>
            </w:pPr>
            <w:r>
              <w:rPr>
                <w:color w:val="auto"/>
              </w:rPr>
              <w:t>阀体材质球墨铸铁</w:t>
            </w:r>
          </w:p>
        </w:tc>
        <w:tc>
          <w:tcPr>
            <w:tcW w:w="279" w:type="pct"/>
            <w:tcBorders>
              <w:tl2br w:val="nil"/>
              <w:tr2bl w:val="nil"/>
            </w:tcBorders>
            <w:noWrap w:val="0"/>
            <w:vAlign w:val="center"/>
          </w:tcPr>
          <w:p w14:paraId="0F10C5F3">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5F015501">
            <w:pPr>
              <w:pStyle w:val="16"/>
              <w:pageBreakBefore w:val="0"/>
              <w:wordWrap/>
              <w:bidi w:val="0"/>
              <w:adjustRightInd/>
              <w:snapToGrid/>
              <w:rPr>
                <w:color w:val="auto"/>
              </w:rPr>
            </w:pPr>
            <w:r>
              <w:rPr>
                <w:color w:val="auto"/>
              </w:rPr>
              <w:t>6</w:t>
            </w:r>
          </w:p>
        </w:tc>
        <w:tc>
          <w:tcPr>
            <w:tcW w:w="1132" w:type="pct"/>
            <w:tcBorders>
              <w:tl2br w:val="nil"/>
              <w:tr2bl w:val="nil"/>
            </w:tcBorders>
            <w:noWrap w:val="0"/>
            <w:vAlign w:val="center"/>
          </w:tcPr>
          <w:p w14:paraId="5B915E85">
            <w:pPr>
              <w:pStyle w:val="16"/>
              <w:pageBreakBefore w:val="0"/>
              <w:wordWrap/>
              <w:bidi w:val="0"/>
              <w:adjustRightInd/>
              <w:snapToGrid/>
              <w:rPr>
                <w:color w:val="auto"/>
              </w:rPr>
            </w:pPr>
          </w:p>
        </w:tc>
      </w:tr>
      <w:tr w14:paraId="7609A54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507A562">
            <w:pPr>
              <w:pStyle w:val="16"/>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25632B36">
            <w:pPr>
              <w:pStyle w:val="16"/>
              <w:pageBreakBefore w:val="0"/>
              <w:wordWrap/>
              <w:bidi w:val="0"/>
              <w:adjustRightInd/>
              <w:snapToGrid/>
              <w:rPr>
                <w:color w:val="auto"/>
              </w:rPr>
            </w:pPr>
            <w:r>
              <w:rPr>
                <w:color w:val="auto"/>
              </w:rPr>
              <w:t>双法兰传力伸缩接头</w:t>
            </w:r>
          </w:p>
        </w:tc>
        <w:tc>
          <w:tcPr>
            <w:tcW w:w="1532" w:type="pct"/>
            <w:tcBorders>
              <w:tl2br w:val="nil"/>
              <w:tr2bl w:val="nil"/>
            </w:tcBorders>
            <w:noWrap w:val="0"/>
            <w:vAlign w:val="center"/>
          </w:tcPr>
          <w:p w14:paraId="4DC21D3A">
            <w:pPr>
              <w:pStyle w:val="16"/>
              <w:pageBreakBefore w:val="0"/>
              <w:wordWrap/>
              <w:bidi w:val="0"/>
              <w:adjustRightInd/>
              <w:snapToGrid/>
              <w:rPr>
                <w:color w:val="auto"/>
              </w:rPr>
            </w:pPr>
            <w:r>
              <w:rPr>
                <w:color w:val="auto"/>
              </w:rPr>
              <w:t>DN100</w:t>
            </w:r>
            <w:r>
              <w:rPr>
                <w:rFonts w:hint="eastAsia"/>
                <w:color w:val="auto"/>
                <w:lang w:eastAsia="zh-CN"/>
              </w:rPr>
              <w:t>，</w:t>
            </w:r>
            <w:r>
              <w:rPr>
                <w:color w:val="auto"/>
              </w:rPr>
              <w:t>PN0.6MPa</w:t>
            </w:r>
          </w:p>
        </w:tc>
        <w:tc>
          <w:tcPr>
            <w:tcW w:w="612" w:type="pct"/>
            <w:tcBorders>
              <w:tl2br w:val="nil"/>
              <w:tr2bl w:val="nil"/>
            </w:tcBorders>
            <w:noWrap w:val="0"/>
            <w:vAlign w:val="center"/>
          </w:tcPr>
          <w:p w14:paraId="386BA925">
            <w:pPr>
              <w:pStyle w:val="16"/>
              <w:pageBreakBefore w:val="0"/>
              <w:wordWrap/>
              <w:bidi w:val="0"/>
              <w:adjustRightInd/>
              <w:snapToGrid/>
              <w:rPr>
                <w:color w:val="auto"/>
              </w:rPr>
            </w:pPr>
            <w:r>
              <w:rPr>
                <w:color w:val="auto"/>
              </w:rPr>
              <w:t>Q235</w:t>
            </w:r>
          </w:p>
        </w:tc>
        <w:tc>
          <w:tcPr>
            <w:tcW w:w="279" w:type="pct"/>
            <w:tcBorders>
              <w:tl2br w:val="nil"/>
              <w:tr2bl w:val="nil"/>
            </w:tcBorders>
            <w:noWrap w:val="0"/>
            <w:vAlign w:val="center"/>
          </w:tcPr>
          <w:p w14:paraId="74EBE6B7">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2BB3A6D9">
            <w:pPr>
              <w:pStyle w:val="16"/>
              <w:pageBreakBefore w:val="0"/>
              <w:wordWrap/>
              <w:bidi w:val="0"/>
              <w:adjustRightInd/>
              <w:snapToGrid/>
              <w:rPr>
                <w:color w:val="auto"/>
              </w:rPr>
            </w:pPr>
            <w:r>
              <w:rPr>
                <w:color w:val="auto"/>
              </w:rPr>
              <w:t>6</w:t>
            </w:r>
          </w:p>
        </w:tc>
        <w:tc>
          <w:tcPr>
            <w:tcW w:w="1132" w:type="pct"/>
            <w:tcBorders>
              <w:tl2br w:val="nil"/>
              <w:tr2bl w:val="nil"/>
            </w:tcBorders>
            <w:noWrap w:val="0"/>
            <w:vAlign w:val="center"/>
          </w:tcPr>
          <w:p w14:paraId="76362D4F">
            <w:pPr>
              <w:pStyle w:val="16"/>
              <w:pageBreakBefore w:val="0"/>
              <w:wordWrap/>
              <w:bidi w:val="0"/>
              <w:adjustRightInd/>
              <w:snapToGrid/>
              <w:rPr>
                <w:color w:val="auto"/>
              </w:rPr>
            </w:pPr>
          </w:p>
        </w:tc>
      </w:tr>
      <w:tr w14:paraId="0996739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5125EF2">
            <w:pPr>
              <w:pStyle w:val="16"/>
              <w:pageBreakBefore w:val="0"/>
              <w:wordWrap/>
              <w:bidi w:val="0"/>
              <w:adjustRightInd/>
              <w:snapToGrid/>
              <w:rPr>
                <w:color w:val="auto"/>
              </w:rPr>
            </w:pPr>
            <w:r>
              <w:rPr>
                <w:color w:val="auto"/>
              </w:rPr>
              <w:t>9</w:t>
            </w:r>
          </w:p>
        </w:tc>
        <w:tc>
          <w:tcPr>
            <w:tcW w:w="843" w:type="pct"/>
            <w:gridSpan w:val="2"/>
            <w:tcBorders>
              <w:tl2br w:val="nil"/>
              <w:tr2bl w:val="nil"/>
            </w:tcBorders>
            <w:noWrap w:val="0"/>
            <w:vAlign w:val="center"/>
          </w:tcPr>
          <w:p w14:paraId="7F20ED8C">
            <w:pPr>
              <w:pStyle w:val="16"/>
              <w:pageBreakBefore w:val="0"/>
              <w:wordWrap/>
              <w:bidi w:val="0"/>
              <w:adjustRightInd/>
              <w:snapToGrid/>
              <w:rPr>
                <w:color w:val="auto"/>
              </w:rPr>
            </w:pPr>
            <w:r>
              <w:rPr>
                <w:color w:val="auto"/>
              </w:rPr>
              <w:t>超声波液位计</w:t>
            </w:r>
          </w:p>
        </w:tc>
        <w:tc>
          <w:tcPr>
            <w:tcW w:w="1532" w:type="pct"/>
            <w:tcBorders>
              <w:tl2br w:val="nil"/>
              <w:tr2bl w:val="nil"/>
            </w:tcBorders>
            <w:noWrap w:val="0"/>
            <w:vAlign w:val="center"/>
          </w:tcPr>
          <w:p w14:paraId="02649633">
            <w:pPr>
              <w:pStyle w:val="16"/>
              <w:pageBreakBefore w:val="0"/>
              <w:wordWrap/>
              <w:bidi w:val="0"/>
              <w:adjustRightInd/>
              <w:snapToGrid/>
              <w:rPr>
                <w:color w:val="auto"/>
              </w:rPr>
            </w:pPr>
            <w:r>
              <w:rPr>
                <w:color w:val="auto"/>
              </w:rPr>
              <w:t>量程0</w:t>
            </w:r>
            <w:r>
              <w:rPr>
                <w:rFonts w:hint="eastAsia"/>
                <w:color w:val="auto"/>
                <w:lang w:eastAsia="zh-CN"/>
              </w:rPr>
              <w:t>~</w:t>
            </w:r>
            <w:r>
              <w:rPr>
                <w:color w:val="auto"/>
              </w:rPr>
              <w:t>5m</w:t>
            </w:r>
          </w:p>
        </w:tc>
        <w:tc>
          <w:tcPr>
            <w:tcW w:w="612" w:type="pct"/>
            <w:tcBorders>
              <w:tl2br w:val="nil"/>
              <w:tr2bl w:val="nil"/>
            </w:tcBorders>
            <w:noWrap w:val="0"/>
            <w:vAlign w:val="center"/>
          </w:tcPr>
          <w:p w14:paraId="59962F8B">
            <w:pPr>
              <w:pStyle w:val="16"/>
              <w:pageBreakBefore w:val="0"/>
              <w:wordWrap/>
              <w:bidi w:val="0"/>
              <w:adjustRightInd/>
              <w:snapToGrid/>
              <w:rPr>
                <w:color w:val="auto"/>
              </w:rPr>
            </w:pPr>
          </w:p>
        </w:tc>
        <w:tc>
          <w:tcPr>
            <w:tcW w:w="279" w:type="pct"/>
            <w:tcBorders>
              <w:tl2br w:val="nil"/>
              <w:tr2bl w:val="nil"/>
            </w:tcBorders>
            <w:noWrap w:val="0"/>
            <w:vAlign w:val="center"/>
          </w:tcPr>
          <w:p w14:paraId="6664DE7D">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732568D">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00869A52">
            <w:pPr>
              <w:pStyle w:val="16"/>
              <w:pageBreakBefore w:val="0"/>
              <w:wordWrap/>
              <w:bidi w:val="0"/>
              <w:adjustRightInd/>
              <w:snapToGrid/>
              <w:rPr>
                <w:color w:val="auto"/>
              </w:rPr>
            </w:pPr>
            <w:r>
              <w:rPr>
                <w:color w:val="auto"/>
              </w:rPr>
              <w:t>计入自控</w:t>
            </w:r>
          </w:p>
        </w:tc>
      </w:tr>
      <w:tr w14:paraId="2D7D45D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7E407DA7">
            <w:pPr>
              <w:pStyle w:val="16"/>
              <w:pageBreakBefore w:val="0"/>
              <w:wordWrap/>
              <w:bidi w:val="0"/>
              <w:adjustRightInd/>
              <w:snapToGrid/>
              <w:jc w:val="left"/>
              <w:rPr>
                <w:color w:val="auto"/>
              </w:rPr>
            </w:pPr>
            <w:r>
              <w:rPr>
                <w:rFonts w:hint="eastAsia"/>
                <w:b/>
                <w:bCs/>
                <w:color w:val="auto"/>
                <w:lang w:eastAsia="zh-CN"/>
              </w:rPr>
              <w:t>污泥池</w:t>
            </w:r>
            <w:r>
              <w:rPr>
                <w:b/>
                <w:bCs/>
                <w:color w:val="auto"/>
              </w:rPr>
              <w:t>主要设备表</w:t>
            </w:r>
          </w:p>
        </w:tc>
      </w:tr>
      <w:tr w14:paraId="51EB896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A16A7F6">
            <w:pPr>
              <w:pStyle w:val="16"/>
              <w:pageBreakBefore w:val="0"/>
              <w:wordWrap/>
              <w:bidi w:val="0"/>
              <w:adjustRightInd/>
              <w:snapToGrid/>
              <w:rPr>
                <w:rFonts w:hint="eastAsia" w:eastAsia="宋体"/>
                <w:b/>
                <w:bCs/>
                <w:color w:val="auto"/>
                <w:lang w:eastAsia="zh-CN"/>
              </w:rPr>
            </w:pPr>
            <w:r>
              <w:rPr>
                <w:rFonts w:hint="eastAsia"/>
                <w:b/>
                <w:bCs/>
                <w:color w:val="auto"/>
                <w:lang w:eastAsia="zh-CN"/>
              </w:rPr>
              <w:t>序号</w:t>
            </w:r>
          </w:p>
        </w:tc>
        <w:tc>
          <w:tcPr>
            <w:tcW w:w="843" w:type="pct"/>
            <w:gridSpan w:val="2"/>
            <w:tcBorders>
              <w:tl2br w:val="nil"/>
              <w:tr2bl w:val="nil"/>
            </w:tcBorders>
            <w:noWrap w:val="0"/>
            <w:vAlign w:val="center"/>
          </w:tcPr>
          <w:p w14:paraId="78BF49D3">
            <w:pPr>
              <w:pStyle w:val="16"/>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68FD8590">
            <w:pPr>
              <w:pStyle w:val="16"/>
              <w:pageBreakBefore w:val="0"/>
              <w:wordWrap/>
              <w:bidi w:val="0"/>
              <w:adjustRightInd/>
              <w:snapToGrid/>
              <w:rPr>
                <w:b/>
                <w:bCs/>
                <w:color w:val="auto"/>
              </w:rPr>
            </w:pPr>
            <w:r>
              <w:rPr>
                <w:b/>
                <w:bCs/>
                <w:color w:val="auto"/>
              </w:rPr>
              <w:t>规格</w:t>
            </w:r>
          </w:p>
        </w:tc>
        <w:tc>
          <w:tcPr>
            <w:tcW w:w="612" w:type="pct"/>
            <w:tcBorders>
              <w:tl2br w:val="nil"/>
              <w:tr2bl w:val="nil"/>
            </w:tcBorders>
            <w:noWrap w:val="0"/>
            <w:vAlign w:val="center"/>
          </w:tcPr>
          <w:p w14:paraId="76C99512">
            <w:pPr>
              <w:pStyle w:val="16"/>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146AF173">
            <w:pPr>
              <w:pStyle w:val="16"/>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279E5C3B">
            <w:pPr>
              <w:pStyle w:val="16"/>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033B4D61">
            <w:pPr>
              <w:pStyle w:val="16"/>
              <w:pageBreakBefore w:val="0"/>
              <w:wordWrap/>
              <w:bidi w:val="0"/>
              <w:adjustRightInd/>
              <w:snapToGrid/>
              <w:rPr>
                <w:b/>
                <w:bCs/>
                <w:color w:val="auto"/>
              </w:rPr>
            </w:pPr>
            <w:r>
              <w:rPr>
                <w:b/>
                <w:bCs/>
                <w:color w:val="auto"/>
              </w:rPr>
              <w:t>备注</w:t>
            </w:r>
          </w:p>
        </w:tc>
      </w:tr>
      <w:tr w14:paraId="1880C86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3EA6220">
            <w:pPr>
              <w:pStyle w:val="16"/>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073721C2">
            <w:pPr>
              <w:pStyle w:val="16"/>
              <w:pageBreakBefore w:val="0"/>
              <w:wordWrap/>
              <w:bidi w:val="0"/>
              <w:adjustRightInd/>
              <w:snapToGrid/>
              <w:rPr>
                <w:color w:val="auto"/>
              </w:rPr>
            </w:pPr>
            <w:r>
              <w:rPr>
                <w:color w:val="auto"/>
              </w:rPr>
              <w:t>水下搅拌器</w:t>
            </w:r>
          </w:p>
        </w:tc>
        <w:tc>
          <w:tcPr>
            <w:tcW w:w="1532" w:type="pct"/>
            <w:tcBorders>
              <w:tl2br w:val="nil"/>
              <w:tr2bl w:val="nil"/>
            </w:tcBorders>
            <w:noWrap w:val="0"/>
            <w:vAlign w:val="center"/>
          </w:tcPr>
          <w:p w14:paraId="2320A8BE">
            <w:pPr>
              <w:pStyle w:val="16"/>
              <w:pageBreakBefore w:val="0"/>
              <w:wordWrap/>
              <w:bidi w:val="0"/>
              <w:adjustRightInd/>
              <w:snapToGrid/>
              <w:rPr>
                <w:color w:val="auto"/>
              </w:rPr>
            </w:pPr>
            <w:r>
              <w:rPr>
                <w:color w:val="auto"/>
              </w:rPr>
              <w:t>φ210</w:t>
            </w:r>
            <w:r>
              <w:rPr>
                <w:rFonts w:hint="eastAsia"/>
                <w:color w:val="auto"/>
                <w:lang w:eastAsia="zh-CN"/>
              </w:rPr>
              <w:t>，</w:t>
            </w:r>
            <w:r>
              <w:rPr>
                <w:color w:val="auto"/>
              </w:rPr>
              <w:t>n=1370rpm</w:t>
            </w:r>
            <w:r>
              <w:rPr>
                <w:rFonts w:hint="eastAsia"/>
                <w:color w:val="auto"/>
                <w:lang w:eastAsia="zh-CN"/>
              </w:rPr>
              <w:t>，</w:t>
            </w:r>
            <w:r>
              <w:rPr>
                <w:color w:val="auto"/>
              </w:rPr>
              <w:t>N=</w:t>
            </w:r>
            <w:r>
              <w:rPr>
                <w:rFonts w:hint="eastAsia"/>
                <w:color w:val="auto"/>
                <w:lang w:eastAsia="zh-CN"/>
              </w:rPr>
              <w:t>1</w:t>
            </w:r>
            <w:r>
              <w:rPr>
                <w:color w:val="auto"/>
              </w:rPr>
              <w:t>.5kW</w:t>
            </w:r>
          </w:p>
        </w:tc>
        <w:tc>
          <w:tcPr>
            <w:tcW w:w="612" w:type="pct"/>
            <w:tcBorders>
              <w:tl2br w:val="nil"/>
              <w:tr2bl w:val="nil"/>
            </w:tcBorders>
            <w:noWrap w:val="0"/>
            <w:vAlign w:val="center"/>
          </w:tcPr>
          <w:p w14:paraId="26740113">
            <w:pPr>
              <w:pStyle w:val="16"/>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79F40607">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49D52FBE">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486B7FE2">
            <w:pPr>
              <w:pStyle w:val="16"/>
              <w:pageBreakBefore w:val="0"/>
              <w:wordWrap/>
              <w:bidi w:val="0"/>
              <w:adjustRightInd/>
              <w:snapToGrid/>
              <w:rPr>
                <w:color w:val="auto"/>
              </w:rPr>
            </w:pPr>
            <w:r>
              <w:rPr>
                <w:color w:val="auto"/>
              </w:rPr>
              <w:t>带起吊装置</w:t>
            </w:r>
          </w:p>
        </w:tc>
      </w:tr>
      <w:tr w14:paraId="7770F27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0378AFC">
            <w:pPr>
              <w:pStyle w:val="16"/>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4A0C79B3">
            <w:pPr>
              <w:pStyle w:val="16"/>
              <w:pageBreakBefore w:val="0"/>
              <w:wordWrap/>
              <w:bidi w:val="0"/>
              <w:adjustRightInd/>
              <w:snapToGrid/>
              <w:rPr>
                <w:color w:val="auto"/>
              </w:rPr>
            </w:pPr>
            <w:r>
              <w:rPr>
                <w:color w:val="auto"/>
              </w:rPr>
              <w:t>附壁式方闸门</w:t>
            </w:r>
          </w:p>
        </w:tc>
        <w:tc>
          <w:tcPr>
            <w:tcW w:w="1532" w:type="pct"/>
            <w:tcBorders>
              <w:tl2br w:val="nil"/>
              <w:tr2bl w:val="nil"/>
            </w:tcBorders>
            <w:noWrap w:val="0"/>
            <w:vAlign w:val="center"/>
          </w:tcPr>
          <w:p w14:paraId="1E347C79">
            <w:pPr>
              <w:pStyle w:val="16"/>
              <w:pageBreakBefore w:val="0"/>
              <w:wordWrap/>
              <w:bidi w:val="0"/>
              <w:adjustRightInd/>
              <w:snapToGrid/>
              <w:rPr>
                <w:color w:val="auto"/>
              </w:rPr>
            </w:pPr>
            <w:r>
              <w:rPr>
                <w:color w:val="auto"/>
              </w:rPr>
              <w:t>B×H=500×500</w:t>
            </w:r>
            <w:r>
              <w:rPr>
                <w:rFonts w:hint="eastAsia"/>
                <w:color w:val="auto"/>
                <w:lang w:eastAsia="zh-CN"/>
              </w:rPr>
              <w:t>，</w:t>
            </w:r>
            <w:r>
              <w:rPr>
                <w:color w:val="auto"/>
              </w:rPr>
              <w:t>H中心=3.65m</w:t>
            </w:r>
          </w:p>
        </w:tc>
        <w:tc>
          <w:tcPr>
            <w:tcW w:w="612" w:type="pct"/>
            <w:tcBorders>
              <w:tl2br w:val="nil"/>
              <w:tr2bl w:val="nil"/>
            </w:tcBorders>
            <w:noWrap w:val="0"/>
            <w:vAlign w:val="center"/>
          </w:tcPr>
          <w:p w14:paraId="50DF4E3A">
            <w:pPr>
              <w:pStyle w:val="16"/>
              <w:pageBreakBefore w:val="0"/>
              <w:wordWrap/>
              <w:bidi w:val="0"/>
              <w:adjustRightInd/>
              <w:snapToGrid/>
              <w:rPr>
                <w:color w:val="auto"/>
              </w:rPr>
            </w:pPr>
            <w:r>
              <w:rPr>
                <w:color w:val="auto"/>
              </w:rPr>
              <w:t>铸铁镶铜</w:t>
            </w:r>
          </w:p>
        </w:tc>
        <w:tc>
          <w:tcPr>
            <w:tcW w:w="279" w:type="pct"/>
            <w:tcBorders>
              <w:tl2br w:val="nil"/>
              <w:tr2bl w:val="nil"/>
            </w:tcBorders>
            <w:noWrap w:val="0"/>
            <w:vAlign w:val="center"/>
          </w:tcPr>
          <w:p w14:paraId="1E37BA19">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C7514B3">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7C50C63C">
            <w:pPr>
              <w:pStyle w:val="16"/>
              <w:pageBreakBefore w:val="0"/>
              <w:wordWrap/>
              <w:bidi w:val="0"/>
              <w:adjustRightInd/>
              <w:snapToGrid/>
              <w:rPr>
                <w:color w:val="auto"/>
              </w:rPr>
            </w:pPr>
            <w:r>
              <w:rPr>
                <w:color w:val="auto"/>
              </w:rPr>
              <w:t>配套手动启闭机</w:t>
            </w:r>
          </w:p>
        </w:tc>
      </w:tr>
      <w:tr w14:paraId="2E00B3F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E0022C0">
            <w:pPr>
              <w:pStyle w:val="16"/>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2A1F5FF7">
            <w:pPr>
              <w:pStyle w:val="16"/>
              <w:pageBreakBefore w:val="0"/>
              <w:wordWrap/>
              <w:bidi w:val="0"/>
              <w:adjustRightInd/>
              <w:snapToGrid/>
              <w:rPr>
                <w:color w:val="auto"/>
              </w:rPr>
            </w:pPr>
            <w:r>
              <w:rPr>
                <w:color w:val="auto"/>
              </w:rPr>
              <w:t>手动闸阀</w:t>
            </w:r>
          </w:p>
        </w:tc>
        <w:tc>
          <w:tcPr>
            <w:tcW w:w="1532" w:type="pct"/>
            <w:tcBorders>
              <w:tl2br w:val="nil"/>
              <w:tr2bl w:val="nil"/>
            </w:tcBorders>
            <w:noWrap w:val="0"/>
            <w:vAlign w:val="center"/>
          </w:tcPr>
          <w:p w14:paraId="611D96BD">
            <w:pPr>
              <w:pStyle w:val="16"/>
              <w:pageBreakBefore w:val="0"/>
              <w:wordWrap/>
              <w:bidi w:val="0"/>
              <w:adjustRightInd/>
              <w:snapToGrid/>
              <w:rPr>
                <w:color w:val="auto"/>
              </w:rPr>
            </w:pPr>
            <w:r>
              <w:rPr>
                <w:color w:val="auto"/>
              </w:rPr>
              <w:t>DN200</w:t>
            </w:r>
            <w:r>
              <w:rPr>
                <w:rFonts w:hint="eastAsia"/>
                <w:color w:val="auto"/>
                <w:lang w:eastAsia="zh-CN"/>
              </w:rPr>
              <w:t>，</w:t>
            </w:r>
            <w:r>
              <w:rPr>
                <w:color w:val="auto"/>
              </w:rPr>
              <w:t>PN=0.6MPa</w:t>
            </w:r>
          </w:p>
        </w:tc>
        <w:tc>
          <w:tcPr>
            <w:tcW w:w="612" w:type="pct"/>
            <w:tcBorders>
              <w:tl2br w:val="nil"/>
              <w:tr2bl w:val="nil"/>
            </w:tcBorders>
            <w:noWrap w:val="0"/>
            <w:vAlign w:val="center"/>
          </w:tcPr>
          <w:p w14:paraId="752ACC86">
            <w:pPr>
              <w:pStyle w:val="16"/>
              <w:pageBreakBefore w:val="0"/>
              <w:wordWrap/>
              <w:bidi w:val="0"/>
              <w:adjustRightInd/>
              <w:snapToGrid/>
              <w:rPr>
                <w:color w:val="auto"/>
              </w:rPr>
            </w:pPr>
            <w:r>
              <w:rPr>
                <w:color w:val="auto"/>
              </w:rPr>
              <w:t>铸铁</w:t>
            </w:r>
          </w:p>
        </w:tc>
        <w:tc>
          <w:tcPr>
            <w:tcW w:w="279" w:type="pct"/>
            <w:tcBorders>
              <w:tl2br w:val="nil"/>
              <w:tr2bl w:val="nil"/>
            </w:tcBorders>
            <w:noWrap w:val="0"/>
            <w:vAlign w:val="center"/>
          </w:tcPr>
          <w:p w14:paraId="7BD196FD">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3BB87547">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0EAF44EF">
            <w:pPr>
              <w:pStyle w:val="16"/>
              <w:pageBreakBefore w:val="0"/>
              <w:wordWrap/>
              <w:bidi w:val="0"/>
              <w:adjustRightInd/>
              <w:snapToGrid/>
              <w:rPr>
                <w:color w:val="auto"/>
              </w:rPr>
            </w:pPr>
          </w:p>
        </w:tc>
      </w:tr>
      <w:tr w14:paraId="1036E1B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B8E38D4">
            <w:pPr>
              <w:pStyle w:val="16"/>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37956104">
            <w:pPr>
              <w:pStyle w:val="16"/>
              <w:pageBreakBefore w:val="0"/>
              <w:wordWrap/>
              <w:bidi w:val="0"/>
              <w:adjustRightInd/>
              <w:snapToGrid/>
              <w:rPr>
                <w:color w:val="auto"/>
              </w:rPr>
            </w:pPr>
            <w:r>
              <w:rPr>
                <w:color w:val="auto"/>
              </w:rPr>
              <w:t>橡胶柔性接头</w:t>
            </w:r>
          </w:p>
        </w:tc>
        <w:tc>
          <w:tcPr>
            <w:tcW w:w="1532" w:type="pct"/>
            <w:tcBorders>
              <w:tl2br w:val="nil"/>
              <w:tr2bl w:val="nil"/>
            </w:tcBorders>
            <w:noWrap w:val="0"/>
            <w:vAlign w:val="center"/>
          </w:tcPr>
          <w:p w14:paraId="0A377278">
            <w:pPr>
              <w:pStyle w:val="16"/>
              <w:pageBreakBefore w:val="0"/>
              <w:wordWrap/>
              <w:bidi w:val="0"/>
              <w:adjustRightInd/>
              <w:snapToGrid/>
              <w:rPr>
                <w:color w:val="auto"/>
              </w:rPr>
            </w:pPr>
            <w:r>
              <w:rPr>
                <w:color w:val="auto"/>
              </w:rPr>
              <w:t>DN200</w:t>
            </w:r>
            <w:r>
              <w:rPr>
                <w:rFonts w:hint="eastAsia"/>
                <w:color w:val="auto"/>
                <w:lang w:eastAsia="zh-CN"/>
              </w:rPr>
              <w:t>，</w:t>
            </w:r>
            <w:r>
              <w:rPr>
                <w:color w:val="auto"/>
              </w:rPr>
              <w:t>PN=0.6MPa</w:t>
            </w:r>
          </w:p>
        </w:tc>
        <w:tc>
          <w:tcPr>
            <w:tcW w:w="612" w:type="pct"/>
            <w:tcBorders>
              <w:tl2br w:val="nil"/>
              <w:tr2bl w:val="nil"/>
            </w:tcBorders>
            <w:noWrap w:val="0"/>
            <w:vAlign w:val="center"/>
          </w:tcPr>
          <w:p w14:paraId="0CAE53AB">
            <w:pPr>
              <w:pStyle w:val="16"/>
              <w:pageBreakBefore w:val="0"/>
              <w:wordWrap/>
              <w:bidi w:val="0"/>
              <w:adjustRightInd/>
              <w:snapToGrid/>
              <w:rPr>
                <w:color w:val="auto"/>
              </w:rPr>
            </w:pPr>
            <w:r>
              <w:rPr>
                <w:color w:val="auto"/>
              </w:rPr>
              <w:t>橡胶</w:t>
            </w:r>
          </w:p>
        </w:tc>
        <w:tc>
          <w:tcPr>
            <w:tcW w:w="279" w:type="pct"/>
            <w:tcBorders>
              <w:tl2br w:val="nil"/>
              <w:tr2bl w:val="nil"/>
            </w:tcBorders>
            <w:noWrap w:val="0"/>
            <w:vAlign w:val="center"/>
          </w:tcPr>
          <w:p w14:paraId="0A7E45C9">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26DEC1D5">
            <w:pPr>
              <w:pStyle w:val="16"/>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7B71DDB3">
            <w:pPr>
              <w:pStyle w:val="16"/>
              <w:pageBreakBefore w:val="0"/>
              <w:wordWrap/>
              <w:bidi w:val="0"/>
              <w:adjustRightInd/>
              <w:snapToGrid/>
              <w:rPr>
                <w:color w:val="auto"/>
              </w:rPr>
            </w:pPr>
          </w:p>
        </w:tc>
      </w:tr>
      <w:tr w14:paraId="6AC8CC2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CDD2F00">
            <w:pPr>
              <w:pStyle w:val="16"/>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7000A9D4">
            <w:pPr>
              <w:pStyle w:val="16"/>
              <w:pageBreakBefore w:val="0"/>
              <w:wordWrap/>
              <w:bidi w:val="0"/>
              <w:adjustRightInd/>
              <w:snapToGrid/>
              <w:rPr>
                <w:color w:val="auto"/>
              </w:rPr>
            </w:pPr>
            <w:r>
              <w:rPr>
                <w:color w:val="auto"/>
              </w:rPr>
              <w:t>超声波液位计</w:t>
            </w:r>
          </w:p>
        </w:tc>
        <w:tc>
          <w:tcPr>
            <w:tcW w:w="1532" w:type="pct"/>
            <w:tcBorders>
              <w:tl2br w:val="nil"/>
              <w:tr2bl w:val="nil"/>
            </w:tcBorders>
            <w:noWrap w:val="0"/>
            <w:vAlign w:val="center"/>
          </w:tcPr>
          <w:p w14:paraId="2B30681F">
            <w:pPr>
              <w:pStyle w:val="16"/>
              <w:pageBreakBefore w:val="0"/>
              <w:wordWrap/>
              <w:bidi w:val="0"/>
              <w:adjustRightInd/>
              <w:snapToGrid/>
              <w:rPr>
                <w:color w:val="auto"/>
              </w:rPr>
            </w:pPr>
            <w:r>
              <w:rPr>
                <w:color w:val="auto"/>
              </w:rPr>
              <w:t>量程0-5m</w:t>
            </w:r>
          </w:p>
        </w:tc>
        <w:tc>
          <w:tcPr>
            <w:tcW w:w="612" w:type="pct"/>
            <w:tcBorders>
              <w:tl2br w:val="nil"/>
              <w:tr2bl w:val="nil"/>
            </w:tcBorders>
            <w:noWrap w:val="0"/>
            <w:vAlign w:val="center"/>
          </w:tcPr>
          <w:p w14:paraId="75A085BA">
            <w:pPr>
              <w:pStyle w:val="16"/>
              <w:pageBreakBefore w:val="0"/>
              <w:wordWrap/>
              <w:bidi w:val="0"/>
              <w:adjustRightInd/>
              <w:snapToGrid/>
              <w:rPr>
                <w:color w:val="auto"/>
              </w:rPr>
            </w:pPr>
          </w:p>
        </w:tc>
        <w:tc>
          <w:tcPr>
            <w:tcW w:w="279" w:type="pct"/>
            <w:tcBorders>
              <w:tl2br w:val="nil"/>
              <w:tr2bl w:val="nil"/>
            </w:tcBorders>
            <w:noWrap w:val="0"/>
            <w:vAlign w:val="center"/>
          </w:tcPr>
          <w:p w14:paraId="7CACFE7C">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4836A477">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58060CCF">
            <w:pPr>
              <w:pStyle w:val="16"/>
              <w:pageBreakBefore w:val="0"/>
              <w:wordWrap/>
              <w:bidi w:val="0"/>
              <w:adjustRightInd/>
              <w:snapToGrid/>
              <w:rPr>
                <w:color w:val="auto"/>
              </w:rPr>
            </w:pPr>
            <w:r>
              <w:rPr>
                <w:color w:val="auto"/>
              </w:rPr>
              <w:t>计入自控</w:t>
            </w:r>
          </w:p>
        </w:tc>
      </w:tr>
      <w:tr w14:paraId="08C6F39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65275150">
            <w:pPr>
              <w:pStyle w:val="16"/>
              <w:pageBreakBefore w:val="0"/>
              <w:wordWrap/>
              <w:bidi w:val="0"/>
              <w:adjustRightInd/>
              <w:snapToGrid/>
              <w:jc w:val="left"/>
              <w:rPr>
                <w:color w:val="auto"/>
              </w:rPr>
            </w:pPr>
            <w:r>
              <w:rPr>
                <w:b/>
                <w:bCs/>
                <w:color w:val="auto"/>
              </w:rPr>
              <w:t>除臭系统主要设备清单</w:t>
            </w:r>
          </w:p>
        </w:tc>
      </w:tr>
      <w:tr w14:paraId="4CFFABF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78DBD9F">
            <w:pPr>
              <w:pStyle w:val="16"/>
              <w:pageBreakBefore w:val="0"/>
              <w:wordWrap/>
              <w:bidi w:val="0"/>
              <w:adjustRightInd/>
              <w:snapToGrid/>
              <w:rPr>
                <w:rFonts w:hint="eastAsia" w:eastAsia="宋体"/>
                <w:b/>
                <w:bCs/>
                <w:color w:val="auto"/>
                <w:lang w:eastAsia="zh-CN"/>
              </w:rPr>
            </w:pPr>
            <w:r>
              <w:rPr>
                <w:rFonts w:hint="eastAsia"/>
                <w:b/>
                <w:bCs/>
                <w:color w:val="auto"/>
                <w:lang w:eastAsia="zh-CN"/>
              </w:rPr>
              <w:t>序号</w:t>
            </w:r>
          </w:p>
        </w:tc>
        <w:tc>
          <w:tcPr>
            <w:tcW w:w="843" w:type="pct"/>
            <w:gridSpan w:val="2"/>
            <w:tcBorders>
              <w:tl2br w:val="nil"/>
              <w:tr2bl w:val="nil"/>
            </w:tcBorders>
            <w:noWrap w:val="0"/>
            <w:vAlign w:val="center"/>
          </w:tcPr>
          <w:p w14:paraId="7D73E0E4">
            <w:pPr>
              <w:pStyle w:val="16"/>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137D60A2">
            <w:pPr>
              <w:pStyle w:val="16"/>
              <w:pageBreakBefore w:val="0"/>
              <w:wordWrap/>
              <w:bidi w:val="0"/>
              <w:adjustRightInd/>
              <w:snapToGrid/>
              <w:rPr>
                <w:b/>
                <w:bCs/>
                <w:color w:val="auto"/>
              </w:rPr>
            </w:pPr>
            <w:r>
              <w:rPr>
                <w:b/>
                <w:bCs/>
                <w:color w:val="auto"/>
              </w:rPr>
              <w:t>规格型号及技术参数</w:t>
            </w:r>
          </w:p>
        </w:tc>
        <w:tc>
          <w:tcPr>
            <w:tcW w:w="612" w:type="pct"/>
            <w:tcBorders>
              <w:tl2br w:val="nil"/>
              <w:tr2bl w:val="nil"/>
            </w:tcBorders>
            <w:noWrap w:val="0"/>
            <w:vAlign w:val="center"/>
          </w:tcPr>
          <w:p w14:paraId="483F285B">
            <w:pPr>
              <w:pStyle w:val="16"/>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17FEA2F8">
            <w:pPr>
              <w:pStyle w:val="16"/>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541EEA06">
            <w:pPr>
              <w:pStyle w:val="16"/>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30A7FAF8">
            <w:pPr>
              <w:pStyle w:val="16"/>
              <w:pageBreakBefore w:val="0"/>
              <w:wordWrap/>
              <w:bidi w:val="0"/>
              <w:adjustRightInd/>
              <w:snapToGrid/>
              <w:rPr>
                <w:b/>
                <w:bCs/>
                <w:color w:val="auto"/>
              </w:rPr>
            </w:pPr>
            <w:r>
              <w:rPr>
                <w:b/>
                <w:bCs/>
                <w:color w:val="auto"/>
              </w:rPr>
              <w:t>备注</w:t>
            </w:r>
          </w:p>
        </w:tc>
      </w:tr>
      <w:tr w14:paraId="7F75AE1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67D4E184">
            <w:pPr>
              <w:pStyle w:val="16"/>
              <w:pageBreakBefore w:val="0"/>
              <w:wordWrap/>
              <w:bidi w:val="0"/>
              <w:adjustRightInd/>
              <w:snapToGrid/>
              <w:jc w:val="left"/>
              <w:rPr>
                <w:color w:val="auto"/>
              </w:rPr>
            </w:pPr>
            <w:r>
              <w:rPr>
                <w:b/>
                <w:bCs/>
                <w:color w:val="auto"/>
              </w:rPr>
              <w:t>洗涤净化塔</w:t>
            </w:r>
          </w:p>
        </w:tc>
      </w:tr>
      <w:tr w14:paraId="37A05E6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BB70FC8">
            <w:pPr>
              <w:pStyle w:val="16"/>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77DBD55D">
            <w:pPr>
              <w:pStyle w:val="16"/>
              <w:pageBreakBefore w:val="0"/>
              <w:wordWrap/>
              <w:bidi w:val="0"/>
              <w:adjustRightInd/>
              <w:snapToGrid/>
              <w:rPr>
                <w:color w:val="auto"/>
              </w:rPr>
            </w:pPr>
            <w:r>
              <w:rPr>
                <w:color w:val="auto"/>
              </w:rPr>
              <w:t>酸液洗涤塔</w:t>
            </w:r>
          </w:p>
        </w:tc>
        <w:tc>
          <w:tcPr>
            <w:tcW w:w="1532" w:type="pct"/>
            <w:tcBorders>
              <w:tl2br w:val="nil"/>
              <w:tr2bl w:val="nil"/>
            </w:tcBorders>
            <w:noWrap w:val="0"/>
            <w:vAlign w:val="center"/>
          </w:tcPr>
          <w:p w14:paraId="4A2668C2">
            <w:pPr>
              <w:pStyle w:val="16"/>
              <w:pageBreakBefore w:val="0"/>
              <w:wordWrap/>
              <w:bidi w:val="0"/>
              <w:adjustRightInd/>
              <w:snapToGrid/>
              <w:rPr>
                <w:color w:val="auto"/>
              </w:rPr>
            </w:pPr>
            <w:r>
              <w:rPr>
                <w:color w:val="auto"/>
              </w:rPr>
              <w:t>φ2.5×7.0m</w:t>
            </w:r>
          </w:p>
        </w:tc>
        <w:tc>
          <w:tcPr>
            <w:tcW w:w="612" w:type="pct"/>
            <w:tcBorders>
              <w:tl2br w:val="nil"/>
              <w:tr2bl w:val="nil"/>
            </w:tcBorders>
            <w:noWrap w:val="0"/>
            <w:vAlign w:val="center"/>
          </w:tcPr>
          <w:p w14:paraId="17F578C9">
            <w:pPr>
              <w:pStyle w:val="16"/>
              <w:pageBreakBefore w:val="0"/>
              <w:wordWrap/>
              <w:bidi w:val="0"/>
              <w:adjustRightInd/>
              <w:snapToGrid/>
              <w:rPr>
                <w:color w:val="auto"/>
              </w:rPr>
            </w:pPr>
            <w:r>
              <w:rPr>
                <w:color w:val="auto"/>
              </w:rPr>
              <w:t>玻璃钢</w:t>
            </w:r>
            <w:r>
              <w:rPr>
                <w:rFonts w:hint="eastAsia"/>
                <w:color w:val="auto"/>
                <w:lang w:eastAsia="zh-CN"/>
              </w:rPr>
              <w:t>，</w:t>
            </w:r>
            <w:r>
              <w:rPr>
                <w:color w:val="auto"/>
              </w:rPr>
              <w:t>10mm厚</w:t>
            </w:r>
          </w:p>
        </w:tc>
        <w:tc>
          <w:tcPr>
            <w:tcW w:w="279" w:type="pct"/>
            <w:tcBorders>
              <w:tl2br w:val="nil"/>
              <w:tr2bl w:val="nil"/>
            </w:tcBorders>
            <w:noWrap w:val="0"/>
            <w:vAlign w:val="center"/>
          </w:tcPr>
          <w:p w14:paraId="11175B0E">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CE1C7F4">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CCB70A5">
            <w:pPr>
              <w:pStyle w:val="16"/>
              <w:pageBreakBefore w:val="0"/>
              <w:wordWrap/>
              <w:bidi w:val="0"/>
              <w:adjustRightInd/>
              <w:snapToGrid/>
              <w:rPr>
                <w:color w:val="auto"/>
              </w:rPr>
            </w:pPr>
          </w:p>
        </w:tc>
      </w:tr>
      <w:tr w14:paraId="32F71A1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18CE361">
            <w:pPr>
              <w:pStyle w:val="16"/>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07E2C5D2">
            <w:pPr>
              <w:pStyle w:val="16"/>
              <w:pageBreakBefore w:val="0"/>
              <w:wordWrap/>
              <w:bidi w:val="0"/>
              <w:adjustRightInd/>
              <w:snapToGrid/>
              <w:rPr>
                <w:color w:val="auto"/>
              </w:rPr>
            </w:pPr>
            <w:r>
              <w:rPr>
                <w:color w:val="auto"/>
              </w:rPr>
              <w:t>碱液洗涤塔</w:t>
            </w:r>
          </w:p>
        </w:tc>
        <w:tc>
          <w:tcPr>
            <w:tcW w:w="1532" w:type="pct"/>
            <w:tcBorders>
              <w:tl2br w:val="nil"/>
              <w:tr2bl w:val="nil"/>
            </w:tcBorders>
            <w:noWrap w:val="0"/>
            <w:vAlign w:val="center"/>
          </w:tcPr>
          <w:p w14:paraId="68940FA1">
            <w:pPr>
              <w:pStyle w:val="16"/>
              <w:pageBreakBefore w:val="0"/>
              <w:wordWrap/>
              <w:bidi w:val="0"/>
              <w:adjustRightInd/>
              <w:snapToGrid/>
              <w:rPr>
                <w:color w:val="auto"/>
              </w:rPr>
            </w:pPr>
            <w:r>
              <w:rPr>
                <w:color w:val="auto"/>
              </w:rPr>
              <w:t>φ2.5×7.0m</w:t>
            </w:r>
          </w:p>
        </w:tc>
        <w:tc>
          <w:tcPr>
            <w:tcW w:w="612" w:type="pct"/>
            <w:tcBorders>
              <w:tl2br w:val="nil"/>
              <w:tr2bl w:val="nil"/>
            </w:tcBorders>
            <w:noWrap w:val="0"/>
            <w:vAlign w:val="center"/>
          </w:tcPr>
          <w:p w14:paraId="2160064C">
            <w:pPr>
              <w:pStyle w:val="16"/>
              <w:pageBreakBefore w:val="0"/>
              <w:wordWrap/>
              <w:bidi w:val="0"/>
              <w:adjustRightInd/>
              <w:snapToGrid/>
              <w:rPr>
                <w:color w:val="auto"/>
              </w:rPr>
            </w:pPr>
            <w:r>
              <w:rPr>
                <w:color w:val="auto"/>
              </w:rPr>
              <w:t>玻璃钢</w:t>
            </w:r>
            <w:r>
              <w:rPr>
                <w:rFonts w:hint="eastAsia"/>
                <w:color w:val="auto"/>
                <w:lang w:eastAsia="zh-CN"/>
              </w:rPr>
              <w:t>，</w:t>
            </w:r>
            <w:r>
              <w:rPr>
                <w:color w:val="auto"/>
              </w:rPr>
              <w:t>10mm厚</w:t>
            </w:r>
          </w:p>
        </w:tc>
        <w:tc>
          <w:tcPr>
            <w:tcW w:w="279" w:type="pct"/>
            <w:tcBorders>
              <w:tl2br w:val="nil"/>
              <w:tr2bl w:val="nil"/>
            </w:tcBorders>
            <w:noWrap w:val="0"/>
            <w:vAlign w:val="center"/>
          </w:tcPr>
          <w:p w14:paraId="37C9CA4D">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7A3A5F5">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12E17F4C">
            <w:pPr>
              <w:pStyle w:val="16"/>
              <w:pageBreakBefore w:val="0"/>
              <w:wordWrap/>
              <w:bidi w:val="0"/>
              <w:adjustRightInd/>
              <w:snapToGrid/>
              <w:rPr>
                <w:color w:val="auto"/>
              </w:rPr>
            </w:pPr>
          </w:p>
        </w:tc>
      </w:tr>
      <w:tr w14:paraId="61B6A0B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A923E56">
            <w:pPr>
              <w:pStyle w:val="16"/>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74BC0073">
            <w:pPr>
              <w:pStyle w:val="16"/>
              <w:pageBreakBefore w:val="0"/>
              <w:wordWrap/>
              <w:bidi w:val="0"/>
              <w:adjustRightInd/>
              <w:snapToGrid/>
              <w:rPr>
                <w:color w:val="auto"/>
              </w:rPr>
            </w:pPr>
            <w:r>
              <w:rPr>
                <w:color w:val="auto"/>
              </w:rPr>
              <w:t>循环泵</w:t>
            </w:r>
          </w:p>
        </w:tc>
        <w:tc>
          <w:tcPr>
            <w:tcW w:w="1532" w:type="pct"/>
            <w:tcBorders>
              <w:tl2br w:val="nil"/>
              <w:tr2bl w:val="nil"/>
            </w:tcBorders>
            <w:noWrap w:val="0"/>
            <w:vAlign w:val="center"/>
          </w:tcPr>
          <w:p w14:paraId="4D081526">
            <w:pPr>
              <w:pStyle w:val="16"/>
              <w:pageBreakBefore w:val="0"/>
              <w:wordWrap/>
              <w:bidi w:val="0"/>
              <w:adjustRightInd/>
              <w:snapToGrid/>
              <w:rPr>
                <w:color w:val="auto"/>
              </w:rPr>
            </w:pPr>
            <w:r>
              <w:rPr>
                <w:color w:val="auto"/>
              </w:rPr>
              <w:t>流量</w:t>
            </w:r>
            <w:r>
              <w:rPr>
                <w:rFonts w:hint="eastAsia"/>
                <w:color w:val="auto"/>
                <w:lang w:eastAsia="zh-CN"/>
              </w:rPr>
              <w:t>：</w:t>
            </w:r>
            <w:r>
              <w:rPr>
                <w:color w:val="auto"/>
              </w:rPr>
              <w:t>550L/min</w:t>
            </w:r>
            <w:r>
              <w:rPr>
                <w:rFonts w:hint="eastAsia"/>
                <w:color w:val="auto"/>
                <w:lang w:eastAsia="zh-CN"/>
              </w:rPr>
              <w:t>；</w:t>
            </w:r>
            <w:r>
              <w:rPr>
                <w:color w:val="auto"/>
              </w:rPr>
              <w:t>全扬程</w:t>
            </w:r>
            <w:r>
              <w:rPr>
                <w:rFonts w:hint="eastAsia"/>
                <w:color w:val="auto"/>
                <w:lang w:eastAsia="zh-CN"/>
              </w:rPr>
              <w:t>：</w:t>
            </w:r>
            <w:r>
              <w:rPr>
                <w:color w:val="auto"/>
              </w:rPr>
              <w:t>29m</w:t>
            </w:r>
            <w:r>
              <w:rPr>
                <w:rFonts w:hint="eastAsia"/>
                <w:color w:val="auto"/>
                <w:lang w:eastAsia="zh-CN"/>
              </w:rPr>
              <w:t>；</w:t>
            </w:r>
            <w:r>
              <w:rPr>
                <w:color w:val="auto"/>
              </w:rPr>
              <w:t>功率</w:t>
            </w:r>
            <w:r>
              <w:rPr>
                <w:rFonts w:hint="eastAsia"/>
                <w:color w:val="auto"/>
                <w:lang w:eastAsia="zh-CN"/>
              </w:rPr>
              <w:t>：</w:t>
            </w:r>
            <w:r>
              <w:rPr>
                <w:color w:val="auto"/>
              </w:rPr>
              <w:t>3kW</w:t>
            </w:r>
          </w:p>
        </w:tc>
        <w:tc>
          <w:tcPr>
            <w:tcW w:w="612" w:type="pct"/>
            <w:tcBorders>
              <w:tl2br w:val="nil"/>
              <w:tr2bl w:val="nil"/>
            </w:tcBorders>
            <w:noWrap w:val="0"/>
            <w:vAlign w:val="center"/>
          </w:tcPr>
          <w:p w14:paraId="40D6A51B">
            <w:pPr>
              <w:pStyle w:val="16"/>
              <w:pageBreakBefore w:val="0"/>
              <w:wordWrap/>
              <w:bidi w:val="0"/>
              <w:adjustRightInd/>
              <w:snapToGrid/>
              <w:rPr>
                <w:color w:val="auto"/>
              </w:rPr>
            </w:pPr>
            <w:r>
              <w:rPr>
                <w:color w:val="auto"/>
              </w:rPr>
              <w:t>FRPP</w:t>
            </w:r>
          </w:p>
        </w:tc>
        <w:tc>
          <w:tcPr>
            <w:tcW w:w="279" w:type="pct"/>
            <w:tcBorders>
              <w:tl2br w:val="nil"/>
              <w:tr2bl w:val="nil"/>
            </w:tcBorders>
            <w:noWrap w:val="0"/>
            <w:vAlign w:val="center"/>
          </w:tcPr>
          <w:p w14:paraId="4C01ADBD">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3370B5C5">
            <w:pPr>
              <w:pStyle w:val="16"/>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469432F2">
            <w:pPr>
              <w:pStyle w:val="16"/>
              <w:pageBreakBefore w:val="0"/>
              <w:wordWrap/>
              <w:bidi w:val="0"/>
              <w:adjustRightInd/>
              <w:snapToGrid/>
              <w:rPr>
                <w:color w:val="auto"/>
              </w:rPr>
            </w:pPr>
            <w:r>
              <w:rPr>
                <w:color w:val="auto"/>
              </w:rPr>
              <w:t>2用2备</w:t>
            </w:r>
            <w:r>
              <w:rPr>
                <w:rFonts w:hint="eastAsia"/>
                <w:color w:val="auto"/>
                <w:lang w:eastAsia="zh-CN"/>
              </w:rPr>
              <w:t>，</w:t>
            </w:r>
            <w:r>
              <w:rPr>
                <w:color w:val="auto"/>
              </w:rPr>
              <w:t>立式泵</w:t>
            </w:r>
            <w:r>
              <w:rPr>
                <w:rFonts w:hint="eastAsia"/>
                <w:color w:val="auto"/>
                <w:lang w:eastAsia="zh-CN"/>
              </w:rPr>
              <w:t>，</w:t>
            </w:r>
            <w:r>
              <w:rPr>
                <w:color w:val="auto"/>
              </w:rPr>
              <w:t>含止回阀</w:t>
            </w:r>
          </w:p>
        </w:tc>
      </w:tr>
      <w:tr w14:paraId="626AFF9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A9CA679">
            <w:pPr>
              <w:pStyle w:val="16"/>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272EE929">
            <w:pPr>
              <w:pStyle w:val="16"/>
              <w:pageBreakBefore w:val="0"/>
              <w:wordWrap/>
              <w:bidi w:val="0"/>
              <w:adjustRightInd/>
              <w:snapToGrid/>
              <w:rPr>
                <w:color w:val="auto"/>
              </w:rPr>
            </w:pPr>
            <w:r>
              <w:rPr>
                <w:color w:val="auto"/>
              </w:rPr>
              <w:t>加药泵</w:t>
            </w:r>
          </w:p>
        </w:tc>
        <w:tc>
          <w:tcPr>
            <w:tcW w:w="1532" w:type="pct"/>
            <w:tcBorders>
              <w:tl2br w:val="nil"/>
              <w:tr2bl w:val="nil"/>
            </w:tcBorders>
            <w:noWrap w:val="0"/>
            <w:vAlign w:val="center"/>
          </w:tcPr>
          <w:p w14:paraId="2B16E23C">
            <w:pPr>
              <w:pStyle w:val="16"/>
              <w:pageBreakBefore w:val="0"/>
              <w:wordWrap/>
              <w:bidi w:val="0"/>
              <w:adjustRightInd/>
              <w:snapToGrid/>
              <w:rPr>
                <w:color w:val="auto"/>
              </w:rPr>
            </w:pPr>
            <w:r>
              <w:rPr>
                <w:color w:val="auto"/>
              </w:rPr>
              <w:t>流量</w:t>
            </w:r>
            <w:r>
              <w:rPr>
                <w:rFonts w:hint="eastAsia"/>
                <w:color w:val="auto"/>
                <w:lang w:eastAsia="zh-CN"/>
              </w:rPr>
              <w:t>：1</w:t>
            </w:r>
            <w:r>
              <w:rPr>
                <w:color w:val="auto"/>
              </w:rPr>
              <w:t>35L/min</w:t>
            </w:r>
            <w:r>
              <w:rPr>
                <w:rFonts w:hint="eastAsia"/>
                <w:color w:val="auto"/>
                <w:lang w:eastAsia="zh-CN"/>
              </w:rPr>
              <w:t>；</w:t>
            </w:r>
            <w:r>
              <w:rPr>
                <w:color w:val="auto"/>
              </w:rPr>
              <w:t>全扬程</w:t>
            </w:r>
            <w:r>
              <w:rPr>
                <w:rFonts w:hint="eastAsia"/>
                <w:color w:val="auto"/>
                <w:lang w:eastAsia="zh-CN"/>
              </w:rPr>
              <w:t>：</w:t>
            </w:r>
            <w:r>
              <w:rPr>
                <w:color w:val="auto"/>
              </w:rPr>
              <w:t>5m</w:t>
            </w:r>
            <w:r>
              <w:rPr>
                <w:rFonts w:hint="eastAsia"/>
                <w:color w:val="auto"/>
                <w:lang w:eastAsia="zh-CN"/>
              </w:rPr>
              <w:t>；</w:t>
            </w:r>
            <w:r>
              <w:rPr>
                <w:color w:val="auto"/>
              </w:rPr>
              <w:t>功</w:t>
            </w:r>
            <w:r>
              <w:rPr>
                <w:rFonts w:hint="eastAsia"/>
                <w:color w:val="auto"/>
                <w:lang w:eastAsia="zh-CN"/>
              </w:rPr>
              <w:t>率</w:t>
            </w:r>
            <w:r>
              <w:rPr>
                <w:color w:val="auto"/>
              </w:rPr>
              <w:t>400W</w:t>
            </w:r>
          </w:p>
        </w:tc>
        <w:tc>
          <w:tcPr>
            <w:tcW w:w="612" w:type="pct"/>
            <w:tcBorders>
              <w:tl2br w:val="nil"/>
              <w:tr2bl w:val="nil"/>
            </w:tcBorders>
            <w:noWrap w:val="0"/>
            <w:vAlign w:val="center"/>
          </w:tcPr>
          <w:p w14:paraId="1A3A7793">
            <w:pPr>
              <w:pStyle w:val="16"/>
              <w:pageBreakBefore w:val="0"/>
              <w:wordWrap/>
              <w:bidi w:val="0"/>
              <w:adjustRightInd/>
              <w:snapToGrid/>
              <w:rPr>
                <w:color w:val="auto"/>
              </w:rPr>
            </w:pPr>
            <w:r>
              <w:rPr>
                <w:color w:val="auto"/>
              </w:rPr>
              <w:t>PP</w:t>
            </w:r>
          </w:p>
        </w:tc>
        <w:tc>
          <w:tcPr>
            <w:tcW w:w="279" w:type="pct"/>
            <w:tcBorders>
              <w:tl2br w:val="nil"/>
              <w:tr2bl w:val="nil"/>
            </w:tcBorders>
            <w:noWrap w:val="0"/>
            <w:vAlign w:val="center"/>
          </w:tcPr>
          <w:p w14:paraId="3255B2FB">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A883B39">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3F681713">
            <w:pPr>
              <w:pStyle w:val="16"/>
              <w:pageBreakBefore w:val="0"/>
              <w:wordWrap/>
              <w:bidi w:val="0"/>
              <w:adjustRightInd/>
              <w:snapToGrid/>
              <w:rPr>
                <w:color w:val="auto"/>
              </w:rPr>
            </w:pPr>
          </w:p>
        </w:tc>
      </w:tr>
      <w:tr w14:paraId="6EB1E36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3B0E0EA">
            <w:pPr>
              <w:pStyle w:val="16"/>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04946047">
            <w:pPr>
              <w:pStyle w:val="16"/>
              <w:pageBreakBefore w:val="0"/>
              <w:wordWrap/>
              <w:bidi w:val="0"/>
              <w:adjustRightInd/>
              <w:snapToGrid/>
              <w:rPr>
                <w:color w:val="auto"/>
              </w:rPr>
            </w:pPr>
            <w:r>
              <w:rPr>
                <w:color w:val="auto"/>
              </w:rPr>
              <w:t>PH在线监测仪</w:t>
            </w:r>
          </w:p>
        </w:tc>
        <w:tc>
          <w:tcPr>
            <w:tcW w:w="1532" w:type="pct"/>
            <w:tcBorders>
              <w:tl2br w:val="nil"/>
              <w:tr2bl w:val="nil"/>
            </w:tcBorders>
            <w:noWrap w:val="0"/>
            <w:vAlign w:val="center"/>
          </w:tcPr>
          <w:p w14:paraId="0A83E7A8">
            <w:pPr>
              <w:pStyle w:val="16"/>
              <w:pageBreakBefore w:val="0"/>
              <w:wordWrap/>
              <w:bidi w:val="0"/>
              <w:adjustRightInd/>
              <w:snapToGrid/>
              <w:rPr>
                <w:color w:val="auto"/>
              </w:rPr>
            </w:pPr>
            <w:r>
              <w:rPr>
                <w:color w:val="auto"/>
              </w:rPr>
              <w:t>0-14</w:t>
            </w:r>
          </w:p>
        </w:tc>
        <w:tc>
          <w:tcPr>
            <w:tcW w:w="612" w:type="pct"/>
            <w:tcBorders>
              <w:tl2br w:val="nil"/>
              <w:tr2bl w:val="nil"/>
            </w:tcBorders>
            <w:noWrap w:val="0"/>
            <w:vAlign w:val="center"/>
          </w:tcPr>
          <w:p w14:paraId="6D146705">
            <w:pPr>
              <w:pStyle w:val="16"/>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5E64F356">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21481B19">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0787DC46">
            <w:pPr>
              <w:pStyle w:val="16"/>
              <w:pageBreakBefore w:val="0"/>
              <w:wordWrap/>
              <w:bidi w:val="0"/>
              <w:adjustRightInd/>
              <w:snapToGrid/>
              <w:rPr>
                <w:color w:val="auto"/>
              </w:rPr>
            </w:pPr>
            <w:r>
              <w:rPr>
                <w:color w:val="auto"/>
              </w:rPr>
              <w:t>计入自控</w:t>
            </w:r>
          </w:p>
        </w:tc>
      </w:tr>
      <w:tr w14:paraId="27B9864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154DD320">
            <w:pPr>
              <w:pStyle w:val="16"/>
              <w:pageBreakBefore w:val="0"/>
              <w:wordWrap/>
              <w:bidi w:val="0"/>
              <w:adjustRightInd/>
              <w:snapToGrid/>
              <w:jc w:val="left"/>
              <w:rPr>
                <w:color w:val="auto"/>
              </w:rPr>
            </w:pPr>
            <w:r>
              <w:rPr>
                <w:b/>
                <w:bCs/>
                <w:color w:val="auto"/>
              </w:rPr>
              <w:t>生物滤池除臭系统主要设备</w:t>
            </w:r>
          </w:p>
        </w:tc>
      </w:tr>
      <w:tr w14:paraId="0AD289D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5D658C8">
            <w:pPr>
              <w:pStyle w:val="16"/>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2D88A08F">
            <w:pPr>
              <w:pStyle w:val="16"/>
              <w:pageBreakBefore w:val="0"/>
              <w:wordWrap/>
              <w:bidi w:val="0"/>
              <w:adjustRightInd/>
              <w:snapToGrid/>
              <w:rPr>
                <w:color w:val="auto"/>
              </w:rPr>
            </w:pPr>
            <w:r>
              <w:rPr>
                <w:color w:val="auto"/>
              </w:rPr>
              <w:t>离心风机</w:t>
            </w:r>
          </w:p>
        </w:tc>
        <w:tc>
          <w:tcPr>
            <w:tcW w:w="1532" w:type="pct"/>
            <w:tcBorders>
              <w:tl2br w:val="nil"/>
              <w:tr2bl w:val="nil"/>
            </w:tcBorders>
            <w:noWrap w:val="0"/>
            <w:vAlign w:val="center"/>
          </w:tcPr>
          <w:p w14:paraId="1F9CA88E">
            <w:pPr>
              <w:pStyle w:val="16"/>
              <w:pageBreakBefore w:val="0"/>
              <w:wordWrap/>
              <w:bidi w:val="0"/>
              <w:adjustRightInd/>
              <w:snapToGrid/>
              <w:rPr>
                <w:color w:val="auto"/>
              </w:rPr>
            </w:pPr>
            <w:r>
              <w:rPr>
                <w:color w:val="auto"/>
              </w:rPr>
              <w:t>Q=20000</w:t>
            </w:r>
            <w:r>
              <w:rPr>
                <w:rFonts w:hint="eastAsia"/>
                <w:color w:val="auto"/>
                <w:lang w:eastAsia="zh-CN"/>
              </w:rPr>
              <w:t>m³</w:t>
            </w:r>
            <w:r>
              <w:rPr>
                <w:color w:val="auto"/>
              </w:rPr>
              <w:t>/h</w:t>
            </w:r>
            <w:r>
              <w:rPr>
                <w:rFonts w:hint="eastAsia"/>
                <w:color w:val="auto"/>
                <w:lang w:eastAsia="zh-CN"/>
              </w:rPr>
              <w:t>，</w:t>
            </w:r>
            <w:r>
              <w:rPr>
                <w:color w:val="auto"/>
              </w:rPr>
              <w:t>P=3200PaN=30kW</w:t>
            </w:r>
          </w:p>
        </w:tc>
        <w:tc>
          <w:tcPr>
            <w:tcW w:w="612" w:type="pct"/>
            <w:tcBorders>
              <w:tl2br w:val="nil"/>
              <w:tr2bl w:val="nil"/>
            </w:tcBorders>
            <w:noWrap w:val="0"/>
            <w:vAlign w:val="center"/>
          </w:tcPr>
          <w:p w14:paraId="0DD1C782">
            <w:pPr>
              <w:pStyle w:val="16"/>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52C45D66">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9D92DA3">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366F085A">
            <w:pPr>
              <w:pStyle w:val="16"/>
              <w:pageBreakBefore w:val="0"/>
              <w:wordWrap/>
              <w:bidi w:val="0"/>
              <w:adjustRightInd/>
              <w:snapToGrid/>
              <w:rPr>
                <w:color w:val="auto"/>
              </w:rPr>
            </w:pPr>
            <w:r>
              <w:rPr>
                <w:color w:val="auto"/>
              </w:rPr>
              <w:t>FRP</w:t>
            </w:r>
            <w:r>
              <w:rPr>
                <w:rFonts w:hint="eastAsia"/>
                <w:color w:val="auto"/>
                <w:lang w:eastAsia="zh-CN"/>
              </w:rPr>
              <w:t>，</w:t>
            </w:r>
            <w:r>
              <w:rPr>
                <w:color w:val="auto"/>
              </w:rPr>
              <w:t>含隔音罩</w:t>
            </w:r>
          </w:p>
        </w:tc>
      </w:tr>
      <w:tr w14:paraId="21AE826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7B3F387">
            <w:pPr>
              <w:pStyle w:val="16"/>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3BC47BEC">
            <w:pPr>
              <w:pStyle w:val="16"/>
              <w:pageBreakBefore w:val="0"/>
              <w:wordWrap/>
              <w:bidi w:val="0"/>
              <w:adjustRightInd/>
              <w:snapToGrid/>
              <w:rPr>
                <w:color w:val="auto"/>
              </w:rPr>
            </w:pPr>
            <w:r>
              <w:rPr>
                <w:color w:val="auto"/>
              </w:rPr>
              <w:t>控制柜</w:t>
            </w:r>
          </w:p>
        </w:tc>
        <w:tc>
          <w:tcPr>
            <w:tcW w:w="1532" w:type="pct"/>
            <w:tcBorders>
              <w:tl2br w:val="nil"/>
              <w:tr2bl w:val="nil"/>
            </w:tcBorders>
            <w:noWrap w:val="0"/>
            <w:vAlign w:val="center"/>
          </w:tcPr>
          <w:p w14:paraId="32CFF248">
            <w:pPr>
              <w:pStyle w:val="16"/>
              <w:pageBreakBefore w:val="0"/>
              <w:wordWrap/>
              <w:bidi w:val="0"/>
              <w:adjustRightInd/>
              <w:snapToGrid/>
              <w:rPr>
                <w:color w:val="auto"/>
              </w:rPr>
            </w:pPr>
            <w:r>
              <w:rPr>
                <w:color w:val="auto"/>
              </w:rPr>
              <w:t>0.8×0.5×</w:t>
            </w:r>
            <w:r>
              <w:rPr>
                <w:rFonts w:hint="eastAsia"/>
                <w:color w:val="auto"/>
                <w:lang w:eastAsia="zh-CN"/>
              </w:rPr>
              <w:t>1</w:t>
            </w:r>
            <w:r>
              <w:rPr>
                <w:color w:val="auto"/>
              </w:rPr>
              <w:t>.8m</w:t>
            </w:r>
          </w:p>
        </w:tc>
        <w:tc>
          <w:tcPr>
            <w:tcW w:w="612" w:type="pct"/>
            <w:tcBorders>
              <w:tl2br w:val="nil"/>
              <w:tr2bl w:val="nil"/>
            </w:tcBorders>
            <w:noWrap w:val="0"/>
            <w:vAlign w:val="center"/>
          </w:tcPr>
          <w:p w14:paraId="61801D46">
            <w:pPr>
              <w:pStyle w:val="16"/>
              <w:pageBreakBefore w:val="0"/>
              <w:wordWrap/>
              <w:bidi w:val="0"/>
              <w:adjustRightInd/>
              <w:snapToGrid/>
              <w:rPr>
                <w:color w:val="auto"/>
              </w:rPr>
            </w:pPr>
            <w:r>
              <w:rPr>
                <w:color w:val="auto"/>
              </w:rPr>
              <w:t>外壳不锈钢304</w:t>
            </w:r>
          </w:p>
        </w:tc>
        <w:tc>
          <w:tcPr>
            <w:tcW w:w="279" w:type="pct"/>
            <w:tcBorders>
              <w:tl2br w:val="nil"/>
              <w:tr2bl w:val="nil"/>
            </w:tcBorders>
            <w:noWrap w:val="0"/>
            <w:vAlign w:val="center"/>
          </w:tcPr>
          <w:p w14:paraId="09372AE5">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15BD27A">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5B6EB29E">
            <w:pPr>
              <w:pStyle w:val="16"/>
              <w:pageBreakBefore w:val="0"/>
              <w:wordWrap/>
              <w:bidi w:val="0"/>
              <w:adjustRightInd/>
              <w:snapToGrid/>
              <w:rPr>
                <w:color w:val="auto"/>
              </w:rPr>
            </w:pPr>
            <w:r>
              <w:rPr>
                <w:color w:val="auto"/>
              </w:rPr>
              <w:t>外壳不锈钢304</w:t>
            </w:r>
            <w:r>
              <w:rPr>
                <w:rFonts w:hint="eastAsia"/>
                <w:color w:val="auto"/>
                <w:lang w:eastAsia="zh-CN"/>
              </w:rPr>
              <w:t>，</w:t>
            </w:r>
            <w:r>
              <w:rPr>
                <w:color w:val="auto"/>
              </w:rPr>
              <w:t>含现场控制开关</w:t>
            </w:r>
          </w:p>
        </w:tc>
      </w:tr>
      <w:tr w14:paraId="612DB40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F8DCE19">
            <w:pPr>
              <w:pStyle w:val="16"/>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179F11D8">
            <w:pPr>
              <w:pStyle w:val="16"/>
              <w:pageBreakBefore w:val="0"/>
              <w:wordWrap/>
              <w:bidi w:val="0"/>
              <w:adjustRightInd/>
              <w:snapToGrid/>
              <w:rPr>
                <w:color w:val="auto"/>
              </w:rPr>
            </w:pPr>
            <w:r>
              <w:rPr>
                <w:color w:val="auto"/>
              </w:rPr>
              <w:t>循环水箱</w:t>
            </w:r>
          </w:p>
        </w:tc>
        <w:tc>
          <w:tcPr>
            <w:tcW w:w="1532" w:type="pct"/>
            <w:tcBorders>
              <w:tl2br w:val="nil"/>
              <w:tr2bl w:val="nil"/>
            </w:tcBorders>
            <w:noWrap w:val="0"/>
            <w:vAlign w:val="center"/>
          </w:tcPr>
          <w:p w14:paraId="7FE5AD97">
            <w:pPr>
              <w:pStyle w:val="16"/>
              <w:pageBreakBefore w:val="0"/>
              <w:wordWrap/>
              <w:bidi w:val="0"/>
              <w:adjustRightInd/>
              <w:snapToGrid/>
              <w:rPr>
                <w:color w:val="auto"/>
              </w:rPr>
            </w:pPr>
            <w:r>
              <w:rPr>
                <w:rFonts w:hint="eastAsia"/>
                <w:color w:val="auto"/>
                <w:lang w:eastAsia="zh-CN"/>
              </w:rPr>
              <w:t>1</w:t>
            </w:r>
            <w:r>
              <w:rPr>
                <w:color w:val="auto"/>
              </w:rPr>
              <w:t>.2×0.8×0.8m</w:t>
            </w:r>
          </w:p>
        </w:tc>
        <w:tc>
          <w:tcPr>
            <w:tcW w:w="612" w:type="pct"/>
            <w:tcBorders>
              <w:tl2br w:val="nil"/>
              <w:tr2bl w:val="nil"/>
            </w:tcBorders>
            <w:noWrap w:val="0"/>
            <w:vAlign w:val="center"/>
          </w:tcPr>
          <w:p w14:paraId="64FDB3DE">
            <w:pPr>
              <w:pStyle w:val="16"/>
              <w:pageBreakBefore w:val="0"/>
              <w:wordWrap/>
              <w:bidi w:val="0"/>
              <w:adjustRightInd/>
              <w:snapToGrid/>
              <w:rPr>
                <w:color w:val="auto"/>
              </w:rPr>
            </w:pPr>
            <w:r>
              <w:rPr>
                <w:color w:val="auto"/>
              </w:rPr>
              <w:t>FRP</w:t>
            </w:r>
          </w:p>
        </w:tc>
        <w:tc>
          <w:tcPr>
            <w:tcW w:w="279" w:type="pct"/>
            <w:tcBorders>
              <w:tl2br w:val="nil"/>
              <w:tr2bl w:val="nil"/>
            </w:tcBorders>
            <w:noWrap w:val="0"/>
            <w:vAlign w:val="center"/>
          </w:tcPr>
          <w:p w14:paraId="5670C02D">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6FDE89D">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4405A1C1">
            <w:pPr>
              <w:pStyle w:val="16"/>
              <w:pageBreakBefore w:val="0"/>
              <w:wordWrap/>
              <w:bidi w:val="0"/>
              <w:adjustRightInd/>
              <w:snapToGrid/>
              <w:rPr>
                <w:color w:val="auto"/>
              </w:rPr>
            </w:pPr>
            <w:r>
              <w:rPr>
                <w:color w:val="auto"/>
              </w:rPr>
              <w:t>调节水箱</w:t>
            </w:r>
            <w:r>
              <w:rPr>
                <w:rFonts w:hint="eastAsia"/>
                <w:color w:val="auto"/>
                <w:lang w:eastAsia="zh-CN"/>
              </w:rPr>
              <w:t>，</w:t>
            </w:r>
            <w:r>
              <w:rPr>
                <w:color w:val="auto"/>
              </w:rPr>
              <w:t>10mm厚</w:t>
            </w:r>
          </w:p>
        </w:tc>
      </w:tr>
      <w:tr w14:paraId="4F554E1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E948E1E">
            <w:pPr>
              <w:pStyle w:val="16"/>
              <w:pageBreakBefore w:val="0"/>
              <w:wordWrap/>
              <w:bidi w:val="0"/>
              <w:adjustRightInd/>
              <w:snapToGrid/>
              <w:rPr>
                <w:color w:val="auto"/>
              </w:rPr>
            </w:pPr>
            <w:r>
              <w:rPr>
                <w:color w:val="auto"/>
              </w:rPr>
              <w:t>9</w:t>
            </w:r>
          </w:p>
        </w:tc>
        <w:tc>
          <w:tcPr>
            <w:tcW w:w="843" w:type="pct"/>
            <w:gridSpan w:val="2"/>
            <w:tcBorders>
              <w:tl2br w:val="nil"/>
              <w:tr2bl w:val="nil"/>
            </w:tcBorders>
            <w:noWrap w:val="0"/>
            <w:vAlign w:val="center"/>
          </w:tcPr>
          <w:p w14:paraId="2A84E9D5">
            <w:pPr>
              <w:pStyle w:val="16"/>
              <w:pageBreakBefore w:val="0"/>
              <w:wordWrap/>
              <w:bidi w:val="0"/>
              <w:adjustRightInd/>
              <w:snapToGrid/>
              <w:rPr>
                <w:color w:val="auto"/>
              </w:rPr>
            </w:pPr>
            <w:r>
              <w:rPr>
                <w:color w:val="auto"/>
              </w:rPr>
              <w:t>循环水泵</w:t>
            </w:r>
          </w:p>
        </w:tc>
        <w:tc>
          <w:tcPr>
            <w:tcW w:w="1532" w:type="pct"/>
            <w:tcBorders>
              <w:tl2br w:val="nil"/>
              <w:tr2bl w:val="nil"/>
            </w:tcBorders>
            <w:noWrap w:val="0"/>
            <w:vAlign w:val="center"/>
          </w:tcPr>
          <w:p w14:paraId="32FAD9BE">
            <w:pPr>
              <w:pStyle w:val="16"/>
              <w:pageBreakBefore w:val="0"/>
              <w:wordWrap/>
              <w:bidi w:val="0"/>
              <w:adjustRightInd/>
              <w:snapToGrid/>
              <w:rPr>
                <w:color w:val="auto"/>
              </w:rPr>
            </w:pPr>
            <w:r>
              <w:rPr>
                <w:color w:val="auto"/>
              </w:rPr>
              <w:t>Q=550L/min</w:t>
            </w:r>
            <w:r>
              <w:rPr>
                <w:rFonts w:hint="eastAsia"/>
                <w:color w:val="auto"/>
                <w:lang w:eastAsia="zh-CN"/>
              </w:rPr>
              <w:t>；</w:t>
            </w:r>
            <w:r>
              <w:rPr>
                <w:color w:val="auto"/>
              </w:rPr>
              <w:t>H=29m</w:t>
            </w:r>
            <w:r>
              <w:rPr>
                <w:rFonts w:hint="eastAsia"/>
                <w:color w:val="auto"/>
                <w:lang w:eastAsia="zh-CN"/>
              </w:rPr>
              <w:t>；</w:t>
            </w:r>
            <w:r>
              <w:rPr>
                <w:color w:val="auto"/>
              </w:rPr>
              <w:t>P=3kW</w:t>
            </w:r>
          </w:p>
        </w:tc>
        <w:tc>
          <w:tcPr>
            <w:tcW w:w="612" w:type="pct"/>
            <w:tcBorders>
              <w:tl2br w:val="nil"/>
              <w:tr2bl w:val="nil"/>
            </w:tcBorders>
            <w:noWrap w:val="0"/>
            <w:vAlign w:val="center"/>
          </w:tcPr>
          <w:p w14:paraId="75A78414">
            <w:pPr>
              <w:pStyle w:val="16"/>
              <w:pageBreakBefore w:val="0"/>
              <w:wordWrap/>
              <w:bidi w:val="0"/>
              <w:adjustRightInd/>
              <w:snapToGrid/>
              <w:rPr>
                <w:color w:val="auto"/>
              </w:rPr>
            </w:pPr>
            <w:r>
              <w:rPr>
                <w:color w:val="auto"/>
              </w:rPr>
              <w:t>FRPP</w:t>
            </w:r>
          </w:p>
        </w:tc>
        <w:tc>
          <w:tcPr>
            <w:tcW w:w="279" w:type="pct"/>
            <w:tcBorders>
              <w:tl2br w:val="nil"/>
              <w:tr2bl w:val="nil"/>
            </w:tcBorders>
            <w:noWrap w:val="0"/>
            <w:vAlign w:val="center"/>
          </w:tcPr>
          <w:p w14:paraId="36B43D85">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AAB3165">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488523CF">
            <w:pPr>
              <w:pStyle w:val="16"/>
              <w:pageBreakBefore w:val="0"/>
              <w:wordWrap/>
              <w:bidi w:val="0"/>
              <w:adjustRightInd/>
              <w:snapToGrid/>
              <w:rPr>
                <w:color w:val="auto"/>
              </w:rPr>
            </w:pPr>
            <w:r>
              <w:rPr>
                <w:color w:val="auto"/>
              </w:rPr>
              <w:t>2用</w:t>
            </w:r>
            <w:r>
              <w:rPr>
                <w:rFonts w:hint="eastAsia"/>
                <w:color w:val="auto"/>
                <w:lang w:eastAsia="zh-CN"/>
              </w:rPr>
              <w:t>1</w:t>
            </w:r>
            <w:r>
              <w:rPr>
                <w:color w:val="auto"/>
              </w:rPr>
              <w:t>备</w:t>
            </w:r>
          </w:p>
        </w:tc>
      </w:tr>
      <w:tr w14:paraId="1DC05CC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1FB7B75">
            <w:pPr>
              <w:pStyle w:val="16"/>
              <w:pageBreakBefore w:val="0"/>
              <w:wordWrap/>
              <w:bidi w:val="0"/>
              <w:adjustRightInd/>
              <w:snapToGrid/>
              <w:rPr>
                <w:color w:val="auto"/>
              </w:rPr>
            </w:pPr>
            <w:r>
              <w:rPr>
                <w:color w:val="auto"/>
              </w:rPr>
              <w:t>10</w:t>
            </w:r>
          </w:p>
        </w:tc>
        <w:tc>
          <w:tcPr>
            <w:tcW w:w="843" w:type="pct"/>
            <w:gridSpan w:val="2"/>
            <w:tcBorders>
              <w:tl2br w:val="nil"/>
              <w:tr2bl w:val="nil"/>
            </w:tcBorders>
            <w:noWrap w:val="0"/>
            <w:vAlign w:val="center"/>
          </w:tcPr>
          <w:p w14:paraId="17B717EC">
            <w:pPr>
              <w:pStyle w:val="16"/>
              <w:pageBreakBefore w:val="0"/>
              <w:wordWrap/>
              <w:bidi w:val="0"/>
              <w:adjustRightInd/>
              <w:snapToGrid/>
              <w:rPr>
                <w:color w:val="auto"/>
              </w:rPr>
            </w:pPr>
            <w:r>
              <w:rPr>
                <w:color w:val="auto"/>
              </w:rPr>
              <w:t>压差计</w:t>
            </w:r>
          </w:p>
        </w:tc>
        <w:tc>
          <w:tcPr>
            <w:tcW w:w="1532" w:type="pct"/>
            <w:tcBorders>
              <w:tl2br w:val="nil"/>
              <w:tr2bl w:val="nil"/>
            </w:tcBorders>
            <w:noWrap w:val="0"/>
            <w:vAlign w:val="center"/>
          </w:tcPr>
          <w:p w14:paraId="17B4B8E8">
            <w:pPr>
              <w:pStyle w:val="16"/>
              <w:pageBreakBefore w:val="0"/>
              <w:wordWrap/>
              <w:bidi w:val="0"/>
              <w:adjustRightInd/>
              <w:snapToGrid/>
              <w:rPr>
                <w:color w:val="auto"/>
              </w:rPr>
            </w:pPr>
            <w:r>
              <w:rPr>
                <w:color w:val="auto"/>
              </w:rPr>
              <w:t>-5-5kPa</w:t>
            </w:r>
          </w:p>
        </w:tc>
        <w:tc>
          <w:tcPr>
            <w:tcW w:w="612" w:type="pct"/>
            <w:tcBorders>
              <w:tl2br w:val="nil"/>
              <w:tr2bl w:val="nil"/>
            </w:tcBorders>
            <w:noWrap w:val="0"/>
            <w:vAlign w:val="center"/>
          </w:tcPr>
          <w:p w14:paraId="48C07353">
            <w:pPr>
              <w:pStyle w:val="16"/>
              <w:pageBreakBefore w:val="0"/>
              <w:wordWrap/>
              <w:bidi w:val="0"/>
              <w:adjustRightInd/>
              <w:snapToGrid/>
              <w:rPr>
                <w:color w:val="auto"/>
              </w:rPr>
            </w:pPr>
          </w:p>
        </w:tc>
        <w:tc>
          <w:tcPr>
            <w:tcW w:w="279" w:type="pct"/>
            <w:tcBorders>
              <w:tl2br w:val="nil"/>
              <w:tr2bl w:val="nil"/>
            </w:tcBorders>
            <w:noWrap w:val="0"/>
            <w:vAlign w:val="center"/>
          </w:tcPr>
          <w:p w14:paraId="6082DD6F">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24F296B">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66D2F00B">
            <w:pPr>
              <w:pStyle w:val="16"/>
              <w:pageBreakBefore w:val="0"/>
              <w:wordWrap/>
              <w:bidi w:val="0"/>
              <w:adjustRightInd/>
              <w:snapToGrid/>
              <w:rPr>
                <w:color w:val="auto"/>
              </w:rPr>
            </w:pPr>
            <w:r>
              <w:rPr>
                <w:color w:val="auto"/>
              </w:rPr>
              <w:t>插入式安装</w:t>
            </w:r>
            <w:r>
              <w:rPr>
                <w:rFonts w:hint="eastAsia"/>
                <w:color w:val="auto"/>
                <w:lang w:eastAsia="zh-CN"/>
              </w:rPr>
              <w:t>，</w:t>
            </w:r>
            <w:r>
              <w:rPr>
                <w:color w:val="auto"/>
              </w:rPr>
              <w:t>测量探头长0.8m</w:t>
            </w:r>
          </w:p>
        </w:tc>
      </w:tr>
      <w:tr w14:paraId="7059585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17E2F0C">
            <w:pPr>
              <w:pStyle w:val="16"/>
              <w:pageBreakBefore w:val="0"/>
              <w:wordWrap/>
              <w:bidi w:val="0"/>
              <w:adjustRightInd/>
              <w:snapToGrid/>
              <w:rPr>
                <w:color w:val="auto"/>
              </w:rPr>
            </w:pPr>
            <w:r>
              <w:rPr>
                <w:color w:val="auto"/>
              </w:rPr>
              <w:t>11</w:t>
            </w:r>
          </w:p>
        </w:tc>
        <w:tc>
          <w:tcPr>
            <w:tcW w:w="843" w:type="pct"/>
            <w:gridSpan w:val="2"/>
            <w:tcBorders>
              <w:tl2br w:val="nil"/>
              <w:tr2bl w:val="nil"/>
            </w:tcBorders>
            <w:noWrap w:val="0"/>
            <w:vAlign w:val="center"/>
          </w:tcPr>
          <w:p w14:paraId="4D800D8D">
            <w:pPr>
              <w:pStyle w:val="16"/>
              <w:pageBreakBefore w:val="0"/>
              <w:wordWrap/>
              <w:bidi w:val="0"/>
              <w:adjustRightInd/>
              <w:snapToGrid/>
              <w:rPr>
                <w:color w:val="auto"/>
              </w:rPr>
            </w:pPr>
            <w:r>
              <w:rPr>
                <w:color w:val="auto"/>
              </w:rPr>
              <w:t>一体化生物滤池</w:t>
            </w:r>
          </w:p>
        </w:tc>
        <w:tc>
          <w:tcPr>
            <w:tcW w:w="1532" w:type="pct"/>
            <w:tcBorders>
              <w:tl2br w:val="nil"/>
              <w:tr2bl w:val="nil"/>
            </w:tcBorders>
            <w:noWrap w:val="0"/>
            <w:vAlign w:val="center"/>
          </w:tcPr>
          <w:p w14:paraId="4632843F">
            <w:pPr>
              <w:pStyle w:val="16"/>
              <w:pageBreakBefore w:val="0"/>
              <w:wordWrap/>
              <w:bidi w:val="0"/>
              <w:adjustRightInd/>
              <w:snapToGrid/>
              <w:rPr>
                <w:color w:val="auto"/>
              </w:rPr>
            </w:pPr>
            <w:r>
              <w:rPr>
                <w:color w:val="auto"/>
              </w:rPr>
              <w:t>1</w:t>
            </w:r>
            <w:r>
              <w:rPr>
                <w:rFonts w:hint="eastAsia"/>
                <w:color w:val="auto"/>
                <w:lang w:eastAsia="zh-CN"/>
              </w:rPr>
              <w:t>1</w:t>
            </w:r>
            <w:r>
              <w:rPr>
                <w:color w:val="auto"/>
              </w:rPr>
              <w:t>.5m×6.0m×3.2m</w:t>
            </w:r>
          </w:p>
        </w:tc>
        <w:tc>
          <w:tcPr>
            <w:tcW w:w="612" w:type="pct"/>
            <w:tcBorders>
              <w:tl2br w:val="nil"/>
              <w:tr2bl w:val="nil"/>
            </w:tcBorders>
            <w:noWrap w:val="0"/>
            <w:vAlign w:val="center"/>
          </w:tcPr>
          <w:p w14:paraId="7AD6DF08">
            <w:pPr>
              <w:pStyle w:val="16"/>
              <w:pageBreakBefore w:val="0"/>
              <w:wordWrap/>
              <w:bidi w:val="0"/>
              <w:adjustRightInd/>
              <w:snapToGrid/>
              <w:rPr>
                <w:rFonts w:hint="eastAsia" w:eastAsia="宋体"/>
                <w:color w:val="auto"/>
                <w:lang w:eastAsia="zh-CN"/>
              </w:rPr>
            </w:pPr>
            <w:r>
              <w:rPr>
                <w:color w:val="auto"/>
              </w:rPr>
              <w:t>设备主体</w:t>
            </w:r>
            <w:r>
              <w:rPr>
                <w:rFonts w:hint="eastAsia"/>
                <w:color w:val="auto"/>
                <w:lang w:eastAsia="zh-CN"/>
              </w:rPr>
              <w:t>（</w:t>
            </w:r>
            <w:r>
              <w:rPr>
                <w:color w:val="auto"/>
              </w:rPr>
              <w:t>6mm玻璃钢板碳钢骨架+50mm保温层+</w:t>
            </w:r>
            <w:r>
              <w:rPr>
                <w:rFonts w:hint="eastAsia"/>
                <w:color w:val="auto"/>
                <w:lang w:eastAsia="zh-CN"/>
              </w:rPr>
              <w:t>1</w:t>
            </w:r>
            <w:r>
              <w:rPr>
                <w:color w:val="auto"/>
              </w:rPr>
              <w:t>.0m</w:t>
            </w:r>
            <w:r>
              <w:rPr>
                <w:rFonts w:hint="eastAsia"/>
                <w:color w:val="auto"/>
                <w:lang w:eastAsia="zh-CN"/>
              </w:rPr>
              <w:t>m³</w:t>
            </w:r>
            <w:r>
              <w:rPr>
                <w:color w:val="auto"/>
              </w:rPr>
              <w:t>04不锈钢外装饰层</w:t>
            </w:r>
            <w:r>
              <w:rPr>
                <w:rFonts w:hint="eastAsia"/>
                <w:color w:val="auto"/>
                <w:lang w:eastAsia="zh-CN"/>
              </w:rPr>
              <w:t>）</w:t>
            </w:r>
          </w:p>
        </w:tc>
        <w:tc>
          <w:tcPr>
            <w:tcW w:w="279" w:type="pct"/>
            <w:tcBorders>
              <w:tl2br w:val="nil"/>
              <w:tr2bl w:val="nil"/>
            </w:tcBorders>
            <w:noWrap w:val="0"/>
            <w:vAlign w:val="center"/>
          </w:tcPr>
          <w:p w14:paraId="1F73E7B5">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38BFA14A">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57E784DD">
            <w:pPr>
              <w:pStyle w:val="16"/>
              <w:pageBreakBefore w:val="0"/>
              <w:wordWrap/>
              <w:bidi w:val="0"/>
              <w:adjustRightInd/>
              <w:snapToGrid/>
              <w:rPr>
                <w:color w:val="auto"/>
              </w:rPr>
            </w:pPr>
            <w:r>
              <w:rPr>
                <w:color w:val="auto"/>
              </w:rPr>
              <w:t>含预洗池</w:t>
            </w:r>
          </w:p>
        </w:tc>
      </w:tr>
      <w:tr w14:paraId="232E85E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0065C0D">
            <w:pPr>
              <w:pStyle w:val="16"/>
              <w:pageBreakBefore w:val="0"/>
              <w:wordWrap/>
              <w:bidi w:val="0"/>
              <w:adjustRightInd/>
              <w:snapToGrid/>
              <w:rPr>
                <w:rFonts w:hint="eastAsia" w:eastAsia="宋体"/>
                <w:color w:val="auto"/>
                <w:lang w:eastAsia="zh-CN"/>
              </w:rPr>
            </w:pPr>
            <w:r>
              <w:rPr>
                <w:rFonts w:hint="eastAsia"/>
                <w:color w:val="auto"/>
                <w:lang w:eastAsia="zh-CN"/>
              </w:rPr>
              <w:t>11</w:t>
            </w:r>
            <w:r>
              <w:rPr>
                <w:color w:val="auto"/>
              </w:rPr>
              <w:t>.</w:t>
            </w:r>
            <w:r>
              <w:rPr>
                <w:rFonts w:hint="eastAsia"/>
                <w:color w:val="auto"/>
                <w:lang w:eastAsia="zh-CN"/>
              </w:rPr>
              <w:t>1</w:t>
            </w:r>
          </w:p>
        </w:tc>
        <w:tc>
          <w:tcPr>
            <w:tcW w:w="843" w:type="pct"/>
            <w:gridSpan w:val="2"/>
            <w:tcBorders>
              <w:tl2br w:val="nil"/>
              <w:tr2bl w:val="nil"/>
            </w:tcBorders>
            <w:noWrap w:val="0"/>
            <w:vAlign w:val="center"/>
          </w:tcPr>
          <w:p w14:paraId="4CDBEDC1">
            <w:pPr>
              <w:pStyle w:val="16"/>
              <w:pageBreakBefore w:val="0"/>
              <w:wordWrap/>
              <w:bidi w:val="0"/>
              <w:adjustRightInd/>
              <w:snapToGrid/>
              <w:rPr>
                <w:color w:val="auto"/>
              </w:rPr>
            </w:pPr>
            <w:r>
              <w:rPr>
                <w:color w:val="auto"/>
              </w:rPr>
              <w:t>混合填料</w:t>
            </w:r>
          </w:p>
        </w:tc>
        <w:tc>
          <w:tcPr>
            <w:tcW w:w="1532" w:type="pct"/>
            <w:tcBorders>
              <w:tl2br w:val="nil"/>
              <w:tr2bl w:val="nil"/>
            </w:tcBorders>
            <w:noWrap w:val="0"/>
            <w:vAlign w:val="center"/>
          </w:tcPr>
          <w:p w14:paraId="13344728">
            <w:pPr>
              <w:pStyle w:val="16"/>
              <w:pageBreakBefore w:val="0"/>
              <w:wordWrap/>
              <w:bidi w:val="0"/>
              <w:adjustRightInd/>
              <w:snapToGrid/>
              <w:rPr>
                <w:color w:val="auto"/>
              </w:rPr>
            </w:pPr>
            <w:r>
              <w:rPr>
                <w:color w:val="auto"/>
              </w:rPr>
              <w:t>竹炭</w:t>
            </w:r>
            <w:r>
              <w:rPr>
                <w:rFonts w:hint="eastAsia"/>
                <w:color w:val="auto"/>
                <w:lang w:eastAsia="zh-CN"/>
              </w:rPr>
              <w:t>、</w:t>
            </w:r>
            <w:r>
              <w:rPr>
                <w:color w:val="auto"/>
              </w:rPr>
              <w:t>火山岩Φ30-50</w:t>
            </w:r>
          </w:p>
        </w:tc>
        <w:tc>
          <w:tcPr>
            <w:tcW w:w="612" w:type="pct"/>
            <w:tcBorders>
              <w:tl2br w:val="nil"/>
              <w:tr2bl w:val="nil"/>
            </w:tcBorders>
            <w:noWrap w:val="0"/>
            <w:vAlign w:val="center"/>
          </w:tcPr>
          <w:p w14:paraId="3129CF34">
            <w:pPr>
              <w:pStyle w:val="16"/>
              <w:pageBreakBefore w:val="0"/>
              <w:wordWrap/>
              <w:bidi w:val="0"/>
              <w:adjustRightInd/>
              <w:snapToGrid/>
              <w:rPr>
                <w:color w:val="auto"/>
              </w:rPr>
            </w:pPr>
          </w:p>
        </w:tc>
        <w:tc>
          <w:tcPr>
            <w:tcW w:w="279" w:type="pct"/>
            <w:tcBorders>
              <w:tl2br w:val="nil"/>
              <w:tr2bl w:val="nil"/>
            </w:tcBorders>
            <w:noWrap w:val="0"/>
            <w:vAlign w:val="center"/>
          </w:tcPr>
          <w:p w14:paraId="06652D32">
            <w:pPr>
              <w:pStyle w:val="16"/>
              <w:pageBreakBefore w:val="0"/>
              <w:wordWrap/>
              <w:bidi w:val="0"/>
              <w:adjustRightInd/>
              <w:snapToGrid/>
              <w:rPr>
                <w:color w:val="auto"/>
              </w:rPr>
            </w:pPr>
            <w:r>
              <w:rPr>
                <w:color w:val="auto"/>
              </w:rPr>
              <w:t>m^U3^U</w:t>
            </w:r>
          </w:p>
        </w:tc>
        <w:tc>
          <w:tcPr>
            <w:tcW w:w="244" w:type="pct"/>
            <w:tcBorders>
              <w:tl2br w:val="nil"/>
              <w:tr2bl w:val="nil"/>
            </w:tcBorders>
            <w:noWrap w:val="0"/>
            <w:vAlign w:val="center"/>
          </w:tcPr>
          <w:p w14:paraId="3B0F62A9">
            <w:pPr>
              <w:pStyle w:val="16"/>
              <w:pageBreakBefore w:val="0"/>
              <w:wordWrap/>
              <w:bidi w:val="0"/>
              <w:adjustRightInd/>
              <w:snapToGrid/>
              <w:rPr>
                <w:color w:val="auto"/>
              </w:rPr>
            </w:pPr>
            <w:r>
              <w:rPr>
                <w:color w:val="auto"/>
              </w:rPr>
              <w:t>86</w:t>
            </w:r>
          </w:p>
        </w:tc>
        <w:tc>
          <w:tcPr>
            <w:tcW w:w="1132" w:type="pct"/>
            <w:tcBorders>
              <w:tl2br w:val="nil"/>
              <w:tr2bl w:val="nil"/>
            </w:tcBorders>
            <w:noWrap w:val="0"/>
            <w:vAlign w:val="center"/>
          </w:tcPr>
          <w:p w14:paraId="3C8070CF">
            <w:pPr>
              <w:pStyle w:val="16"/>
              <w:pageBreakBefore w:val="0"/>
              <w:wordWrap/>
              <w:bidi w:val="0"/>
              <w:adjustRightInd/>
              <w:snapToGrid/>
              <w:rPr>
                <w:color w:val="auto"/>
              </w:rPr>
            </w:pPr>
          </w:p>
        </w:tc>
      </w:tr>
      <w:tr w14:paraId="4D8FBF1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734C0CC">
            <w:pPr>
              <w:pStyle w:val="16"/>
              <w:pageBreakBefore w:val="0"/>
              <w:wordWrap/>
              <w:bidi w:val="0"/>
              <w:adjustRightInd/>
              <w:snapToGrid/>
              <w:rPr>
                <w:color w:val="auto"/>
              </w:rPr>
            </w:pPr>
            <w:r>
              <w:rPr>
                <w:rFonts w:hint="eastAsia"/>
                <w:color w:val="auto"/>
                <w:lang w:eastAsia="zh-CN"/>
              </w:rPr>
              <w:t>11</w:t>
            </w:r>
            <w:r>
              <w:rPr>
                <w:color w:val="auto"/>
              </w:rPr>
              <w:t>.2</w:t>
            </w:r>
          </w:p>
        </w:tc>
        <w:tc>
          <w:tcPr>
            <w:tcW w:w="843" w:type="pct"/>
            <w:gridSpan w:val="2"/>
            <w:tcBorders>
              <w:tl2br w:val="nil"/>
              <w:tr2bl w:val="nil"/>
            </w:tcBorders>
            <w:noWrap w:val="0"/>
            <w:vAlign w:val="center"/>
          </w:tcPr>
          <w:p w14:paraId="19D335CA">
            <w:pPr>
              <w:pStyle w:val="16"/>
              <w:pageBreakBefore w:val="0"/>
              <w:wordWrap/>
              <w:bidi w:val="0"/>
              <w:adjustRightInd/>
              <w:snapToGrid/>
              <w:rPr>
                <w:color w:val="auto"/>
              </w:rPr>
            </w:pPr>
            <w:r>
              <w:rPr>
                <w:color w:val="auto"/>
              </w:rPr>
              <w:t>有机填料</w:t>
            </w:r>
          </w:p>
        </w:tc>
        <w:tc>
          <w:tcPr>
            <w:tcW w:w="1532" w:type="pct"/>
            <w:tcBorders>
              <w:tl2br w:val="nil"/>
              <w:tr2bl w:val="nil"/>
            </w:tcBorders>
            <w:noWrap w:val="0"/>
            <w:vAlign w:val="center"/>
          </w:tcPr>
          <w:p w14:paraId="6359B8D3">
            <w:pPr>
              <w:pStyle w:val="16"/>
              <w:pageBreakBefore w:val="0"/>
              <w:wordWrap/>
              <w:bidi w:val="0"/>
              <w:adjustRightInd/>
              <w:snapToGrid/>
              <w:rPr>
                <w:color w:val="auto"/>
              </w:rPr>
            </w:pPr>
            <w:r>
              <w:rPr>
                <w:color w:val="auto"/>
              </w:rPr>
              <w:t>PP悬浮球Φ80</w:t>
            </w:r>
          </w:p>
        </w:tc>
        <w:tc>
          <w:tcPr>
            <w:tcW w:w="612" w:type="pct"/>
            <w:tcBorders>
              <w:tl2br w:val="nil"/>
              <w:tr2bl w:val="nil"/>
            </w:tcBorders>
            <w:noWrap w:val="0"/>
            <w:vAlign w:val="center"/>
          </w:tcPr>
          <w:p w14:paraId="4A7A2184">
            <w:pPr>
              <w:pStyle w:val="16"/>
              <w:pageBreakBefore w:val="0"/>
              <w:wordWrap/>
              <w:bidi w:val="0"/>
              <w:adjustRightInd/>
              <w:snapToGrid/>
              <w:rPr>
                <w:color w:val="auto"/>
              </w:rPr>
            </w:pPr>
          </w:p>
        </w:tc>
        <w:tc>
          <w:tcPr>
            <w:tcW w:w="279" w:type="pct"/>
            <w:tcBorders>
              <w:tl2br w:val="nil"/>
              <w:tr2bl w:val="nil"/>
            </w:tcBorders>
            <w:noWrap w:val="0"/>
            <w:vAlign w:val="center"/>
          </w:tcPr>
          <w:p w14:paraId="17481DC0">
            <w:pPr>
              <w:pStyle w:val="16"/>
              <w:pageBreakBefore w:val="0"/>
              <w:wordWrap/>
              <w:bidi w:val="0"/>
              <w:adjustRightInd/>
              <w:snapToGrid/>
              <w:rPr>
                <w:color w:val="auto"/>
              </w:rPr>
            </w:pPr>
            <w:r>
              <w:rPr>
                <w:color w:val="auto"/>
              </w:rPr>
              <w:t>m^U3^U</w:t>
            </w:r>
          </w:p>
        </w:tc>
        <w:tc>
          <w:tcPr>
            <w:tcW w:w="244" w:type="pct"/>
            <w:tcBorders>
              <w:tl2br w:val="nil"/>
              <w:tr2bl w:val="nil"/>
            </w:tcBorders>
            <w:noWrap w:val="0"/>
            <w:vAlign w:val="center"/>
          </w:tcPr>
          <w:p w14:paraId="4C089485">
            <w:pPr>
              <w:pStyle w:val="16"/>
              <w:pageBreakBefore w:val="0"/>
              <w:wordWrap/>
              <w:bidi w:val="0"/>
              <w:adjustRightInd/>
              <w:snapToGrid/>
              <w:rPr>
                <w:color w:val="auto"/>
              </w:rPr>
            </w:pPr>
            <w:r>
              <w:rPr>
                <w:color w:val="auto"/>
              </w:rPr>
              <w:t>10</w:t>
            </w:r>
          </w:p>
        </w:tc>
        <w:tc>
          <w:tcPr>
            <w:tcW w:w="1132" w:type="pct"/>
            <w:tcBorders>
              <w:tl2br w:val="nil"/>
              <w:tr2bl w:val="nil"/>
            </w:tcBorders>
            <w:noWrap w:val="0"/>
            <w:vAlign w:val="center"/>
          </w:tcPr>
          <w:p w14:paraId="0A9D4FC8">
            <w:pPr>
              <w:pStyle w:val="16"/>
              <w:pageBreakBefore w:val="0"/>
              <w:wordWrap/>
              <w:bidi w:val="0"/>
              <w:adjustRightInd/>
              <w:snapToGrid/>
              <w:rPr>
                <w:color w:val="auto"/>
              </w:rPr>
            </w:pPr>
          </w:p>
        </w:tc>
      </w:tr>
      <w:tr w14:paraId="479287A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DE9AD70">
            <w:pPr>
              <w:pStyle w:val="16"/>
              <w:pageBreakBefore w:val="0"/>
              <w:wordWrap/>
              <w:bidi w:val="0"/>
              <w:adjustRightInd/>
              <w:snapToGrid/>
              <w:rPr>
                <w:color w:val="auto"/>
              </w:rPr>
            </w:pPr>
            <w:r>
              <w:rPr>
                <w:rFonts w:hint="eastAsia"/>
                <w:color w:val="auto"/>
                <w:lang w:eastAsia="zh-CN"/>
              </w:rPr>
              <w:t>11</w:t>
            </w:r>
            <w:r>
              <w:rPr>
                <w:color w:val="auto"/>
              </w:rPr>
              <w:t>.3</w:t>
            </w:r>
          </w:p>
        </w:tc>
        <w:tc>
          <w:tcPr>
            <w:tcW w:w="843" w:type="pct"/>
            <w:gridSpan w:val="2"/>
            <w:tcBorders>
              <w:tl2br w:val="nil"/>
              <w:tr2bl w:val="nil"/>
            </w:tcBorders>
            <w:noWrap w:val="0"/>
            <w:vAlign w:val="center"/>
          </w:tcPr>
          <w:p w14:paraId="05BA26DD">
            <w:pPr>
              <w:pStyle w:val="16"/>
              <w:pageBreakBefore w:val="0"/>
              <w:wordWrap/>
              <w:bidi w:val="0"/>
              <w:adjustRightInd/>
              <w:snapToGrid/>
              <w:rPr>
                <w:color w:val="auto"/>
              </w:rPr>
            </w:pPr>
            <w:r>
              <w:rPr>
                <w:color w:val="auto"/>
              </w:rPr>
              <w:t>喷淋系统</w:t>
            </w:r>
          </w:p>
        </w:tc>
        <w:tc>
          <w:tcPr>
            <w:tcW w:w="1532" w:type="pct"/>
            <w:tcBorders>
              <w:tl2br w:val="nil"/>
              <w:tr2bl w:val="nil"/>
            </w:tcBorders>
            <w:noWrap w:val="0"/>
            <w:vAlign w:val="center"/>
          </w:tcPr>
          <w:p w14:paraId="7617E64E">
            <w:pPr>
              <w:pStyle w:val="16"/>
              <w:pageBreakBefore w:val="0"/>
              <w:wordWrap/>
              <w:bidi w:val="0"/>
              <w:adjustRightInd/>
              <w:snapToGrid/>
              <w:rPr>
                <w:color w:val="auto"/>
              </w:rPr>
            </w:pPr>
            <w:r>
              <w:rPr>
                <w:color w:val="auto"/>
              </w:rPr>
              <w:t>DN50-DN80</w:t>
            </w:r>
          </w:p>
        </w:tc>
        <w:tc>
          <w:tcPr>
            <w:tcW w:w="612" w:type="pct"/>
            <w:tcBorders>
              <w:tl2br w:val="nil"/>
              <w:tr2bl w:val="nil"/>
            </w:tcBorders>
            <w:noWrap w:val="0"/>
            <w:vAlign w:val="center"/>
          </w:tcPr>
          <w:p w14:paraId="1C55FF16">
            <w:pPr>
              <w:pStyle w:val="16"/>
              <w:pageBreakBefore w:val="0"/>
              <w:wordWrap/>
              <w:bidi w:val="0"/>
              <w:adjustRightInd/>
              <w:snapToGrid/>
              <w:rPr>
                <w:color w:val="auto"/>
              </w:rPr>
            </w:pPr>
            <w:r>
              <w:rPr>
                <w:color w:val="auto"/>
              </w:rPr>
              <w:t>UPVC</w:t>
            </w:r>
          </w:p>
        </w:tc>
        <w:tc>
          <w:tcPr>
            <w:tcW w:w="279" w:type="pct"/>
            <w:tcBorders>
              <w:tl2br w:val="nil"/>
              <w:tr2bl w:val="nil"/>
            </w:tcBorders>
            <w:noWrap w:val="0"/>
            <w:vAlign w:val="center"/>
          </w:tcPr>
          <w:p w14:paraId="7EF076E1">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0D74067">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5660A3E8">
            <w:pPr>
              <w:pStyle w:val="16"/>
              <w:pageBreakBefore w:val="0"/>
              <w:wordWrap/>
              <w:bidi w:val="0"/>
              <w:adjustRightInd/>
              <w:snapToGrid/>
              <w:rPr>
                <w:color w:val="auto"/>
              </w:rPr>
            </w:pPr>
            <w:r>
              <w:rPr>
                <w:color w:val="auto"/>
              </w:rPr>
              <w:t>喷淋头为pp</w:t>
            </w:r>
            <w:r>
              <w:rPr>
                <w:rFonts w:hint="eastAsia"/>
                <w:color w:val="auto"/>
                <w:lang w:eastAsia="zh-CN"/>
              </w:rPr>
              <w:t>，</w:t>
            </w:r>
            <w:r>
              <w:rPr>
                <w:color w:val="auto"/>
              </w:rPr>
              <w:t>内部支架</w:t>
            </w:r>
            <w:r>
              <w:rPr>
                <w:rFonts w:hint="eastAsia"/>
                <w:color w:val="auto"/>
                <w:lang w:eastAsia="zh-CN"/>
              </w:rPr>
              <w:t>、</w:t>
            </w:r>
            <w:r>
              <w:rPr>
                <w:color w:val="auto"/>
              </w:rPr>
              <w:t>吊架为不锈钢304</w:t>
            </w:r>
          </w:p>
        </w:tc>
      </w:tr>
      <w:tr w14:paraId="5794347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94A3681">
            <w:pPr>
              <w:pStyle w:val="16"/>
              <w:pageBreakBefore w:val="0"/>
              <w:wordWrap/>
              <w:bidi w:val="0"/>
              <w:adjustRightInd/>
              <w:snapToGrid/>
              <w:rPr>
                <w:color w:val="auto"/>
              </w:rPr>
            </w:pPr>
            <w:r>
              <w:rPr>
                <w:rFonts w:hint="eastAsia"/>
                <w:color w:val="auto"/>
                <w:lang w:eastAsia="zh-CN"/>
              </w:rPr>
              <w:t>11</w:t>
            </w:r>
            <w:r>
              <w:rPr>
                <w:color w:val="auto"/>
              </w:rPr>
              <w:t>.4</w:t>
            </w:r>
          </w:p>
        </w:tc>
        <w:tc>
          <w:tcPr>
            <w:tcW w:w="843" w:type="pct"/>
            <w:gridSpan w:val="2"/>
            <w:tcBorders>
              <w:tl2br w:val="nil"/>
              <w:tr2bl w:val="nil"/>
            </w:tcBorders>
            <w:noWrap w:val="0"/>
            <w:vAlign w:val="center"/>
          </w:tcPr>
          <w:p w14:paraId="18D4AEA3">
            <w:pPr>
              <w:pStyle w:val="16"/>
              <w:pageBreakBefore w:val="0"/>
              <w:wordWrap/>
              <w:bidi w:val="0"/>
              <w:adjustRightInd/>
              <w:snapToGrid/>
              <w:rPr>
                <w:color w:val="auto"/>
              </w:rPr>
            </w:pPr>
            <w:r>
              <w:rPr>
                <w:color w:val="auto"/>
              </w:rPr>
              <w:t>填料支撑架</w:t>
            </w:r>
          </w:p>
        </w:tc>
        <w:tc>
          <w:tcPr>
            <w:tcW w:w="1532" w:type="pct"/>
            <w:tcBorders>
              <w:tl2br w:val="nil"/>
              <w:tr2bl w:val="nil"/>
            </w:tcBorders>
            <w:noWrap w:val="0"/>
            <w:vAlign w:val="center"/>
          </w:tcPr>
          <w:p w14:paraId="03293375">
            <w:pPr>
              <w:pStyle w:val="16"/>
              <w:pageBreakBefore w:val="0"/>
              <w:wordWrap/>
              <w:bidi w:val="0"/>
              <w:adjustRightInd/>
              <w:snapToGrid/>
              <w:rPr>
                <w:color w:val="auto"/>
              </w:rPr>
            </w:pPr>
            <w:r>
              <w:rPr>
                <w:color w:val="auto"/>
              </w:rPr>
              <w:t>YFZC-38</w:t>
            </w:r>
          </w:p>
        </w:tc>
        <w:tc>
          <w:tcPr>
            <w:tcW w:w="612" w:type="pct"/>
            <w:tcBorders>
              <w:tl2br w:val="nil"/>
              <w:tr2bl w:val="nil"/>
            </w:tcBorders>
            <w:noWrap w:val="0"/>
            <w:vAlign w:val="center"/>
          </w:tcPr>
          <w:p w14:paraId="29751582">
            <w:pPr>
              <w:pStyle w:val="16"/>
              <w:pageBreakBefore w:val="0"/>
              <w:wordWrap/>
              <w:bidi w:val="0"/>
              <w:adjustRightInd/>
              <w:snapToGrid/>
              <w:rPr>
                <w:color w:val="auto"/>
              </w:rPr>
            </w:pPr>
          </w:p>
        </w:tc>
        <w:tc>
          <w:tcPr>
            <w:tcW w:w="279" w:type="pct"/>
            <w:tcBorders>
              <w:tl2br w:val="nil"/>
              <w:tr2bl w:val="nil"/>
            </w:tcBorders>
            <w:noWrap w:val="0"/>
            <w:vAlign w:val="center"/>
          </w:tcPr>
          <w:p w14:paraId="2DEF0321">
            <w:pPr>
              <w:pStyle w:val="16"/>
              <w:pageBreakBefore w:val="0"/>
              <w:wordWrap/>
              <w:bidi w:val="0"/>
              <w:adjustRightInd/>
              <w:snapToGrid/>
              <w:rPr>
                <w:color w:val="auto"/>
              </w:rPr>
            </w:pPr>
            <w:r>
              <w:rPr>
                <w:color w:val="auto"/>
              </w:rPr>
              <w:t>m^U²^U</w:t>
            </w:r>
          </w:p>
        </w:tc>
        <w:tc>
          <w:tcPr>
            <w:tcW w:w="244" w:type="pct"/>
            <w:tcBorders>
              <w:tl2br w:val="nil"/>
              <w:tr2bl w:val="nil"/>
            </w:tcBorders>
            <w:noWrap w:val="0"/>
            <w:vAlign w:val="center"/>
          </w:tcPr>
          <w:p w14:paraId="407B0BAA">
            <w:pPr>
              <w:pStyle w:val="16"/>
              <w:pageBreakBefore w:val="0"/>
              <w:wordWrap/>
              <w:bidi w:val="0"/>
              <w:adjustRightInd/>
              <w:snapToGrid/>
              <w:rPr>
                <w:color w:val="auto"/>
              </w:rPr>
            </w:pPr>
            <w:r>
              <w:rPr>
                <w:color w:val="auto"/>
              </w:rPr>
              <w:t>69</w:t>
            </w:r>
          </w:p>
        </w:tc>
        <w:tc>
          <w:tcPr>
            <w:tcW w:w="1132" w:type="pct"/>
            <w:tcBorders>
              <w:tl2br w:val="nil"/>
              <w:tr2bl w:val="nil"/>
            </w:tcBorders>
            <w:noWrap w:val="0"/>
            <w:vAlign w:val="center"/>
          </w:tcPr>
          <w:p w14:paraId="74F1673C">
            <w:pPr>
              <w:pStyle w:val="16"/>
              <w:pageBreakBefore w:val="0"/>
              <w:wordWrap/>
              <w:bidi w:val="0"/>
              <w:adjustRightInd/>
              <w:snapToGrid/>
              <w:rPr>
                <w:color w:val="auto"/>
              </w:rPr>
            </w:pPr>
          </w:p>
        </w:tc>
      </w:tr>
      <w:tr w14:paraId="29361F2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DD849E0">
            <w:pPr>
              <w:pStyle w:val="16"/>
              <w:pageBreakBefore w:val="0"/>
              <w:wordWrap/>
              <w:bidi w:val="0"/>
              <w:adjustRightInd/>
              <w:snapToGrid/>
              <w:rPr>
                <w:color w:val="auto"/>
              </w:rPr>
            </w:pPr>
            <w:r>
              <w:rPr>
                <w:rFonts w:hint="eastAsia"/>
                <w:color w:val="auto"/>
                <w:lang w:eastAsia="zh-CN"/>
              </w:rPr>
              <w:t>11</w:t>
            </w:r>
            <w:r>
              <w:rPr>
                <w:color w:val="auto"/>
              </w:rPr>
              <w:t>.5</w:t>
            </w:r>
          </w:p>
        </w:tc>
        <w:tc>
          <w:tcPr>
            <w:tcW w:w="843" w:type="pct"/>
            <w:gridSpan w:val="2"/>
            <w:tcBorders>
              <w:tl2br w:val="nil"/>
              <w:tr2bl w:val="nil"/>
            </w:tcBorders>
            <w:noWrap w:val="0"/>
            <w:vAlign w:val="center"/>
          </w:tcPr>
          <w:p w14:paraId="5C88A1F3">
            <w:pPr>
              <w:pStyle w:val="16"/>
              <w:pageBreakBefore w:val="0"/>
              <w:wordWrap/>
              <w:bidi w:val="0"/>
              <w:adjustRightInd/>
              <w:snapToGrid/>
              <w:rPr>
                <w:color w:val="auto"/>
              </w:rPr>
            </w:pPr>
            <w:r>
              <w:rPr>
                <w:color w:val="auto"/>
              </w:rPr>
              <w:t>填料支撑柱</w:t>
            </w:r>
          </w:p>
        </w:tc>
        <w:tc>
          <w:tcPr>
            <w:tcW w:w="1532" w:type="pct"/>
            <w:tcBorders>
              <w:tl2br w:val="nil"/>
              <w:tr2bl w:val="nil"/>
            </w:tcBorders>
            <w:noWrap w:val="0"/>
            <w:vAlign w:val="center"/>
          </w:tcPr>
          <w:p w14:paraId="5999AF39">
            <w:pPr>
              <w:pStyle w:val="16"/>
              <w:pageBreakBefore w:val="0"/>
              <w:wordWrap/>
              <w:bidi w:val="0"/>
              <w:adjustRightInd/>
              <w:snapToGrid/>
              <w:rPr>
                <w:color w:val="auto"/>
              </w:rPr>
            </w:pPr>
            <w:r>
              <w:rPr>
                <w:color w:val="auto"/>
              </w:rPr>
              <w:t>φ150×700</w:t>
            </w:r>
          </w:p>
        </w:tc>
        <w:tc>
          <w:tcPr>
            <w:tcW w:w="612" w:type="pct"/>
            <w:tcBorders>
              <w:tl2br w:val="nil"/>
              <w:tr2bl w:val="nil"/>
            </w:tcBorders>
            <w:noWrap w:val="0"/>
            <w:vAlign w:val="center"/>
          </w:tcPr>
          <w:p w14:paraId="0E4E9D1E">
            <w:pPr>
              <w:pStyle w:val="16"/>
              <w:pageBreakBefore w:val="0"/>
              <w:wordWrap/>
              <w:bidi w:val="0"/>
              <w:adjustRightInd/>
              <w:snapToGrid/>
              <w:rPr>
                <w:color w:val="auto"/>
              </w:rPr>
            </w:pPr>
          </w:p>
        </w:tc>
        <w:tc>
          <w:tcPr>
            <w:tcW w:w="279" w:type="pct"/>
            <w:tcBorders>
              <w:tl2br w:val="nil"/>
              <w:tr2bl w:val="nil"/>
            </w:tcBorders>
            <w:noWrap w:val="0"/>
            <w:vAlign w:val="center"/>
          </w:tcPr>
          <w:p w14:paraId="63E638B1">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2AD301B">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268BF407">
            <w:pPr>
              <w:pStyle w:val="16"/>
              <w:pageBreakBefore w:val="0"/>
              <w:wordWrap/>
              <w:bidi w:val="0"/>
              <w:adjustRightInd/>
              <w:snapToGrid/>
              <w:rPr>
                <w:color w:val="auto"/>
              </w:rPr>
            </w:pPr>
          </w:p>
        </w:tc>
      </w:tr>
      <w:tr w14:paraId="408BB3C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249EB2C">
            <w:pPr>
              <w:pStyle w:val="16"/>
              <w:pageBreakBefore w:val="0"/>
              <w:wordWrap/>
              <w:bidi w:val="0"/>
              <w:adjustRightInd/>
              <w:snapToGrid/>
              <w:rPr>
                <w:color w:val="auto"/>
              </w:rPr>
            </w:pPr>
            <w:r>
              <w:rPr>
                <w:rFonts w:hint="eastAsia"/>
                <w:color w:val="auto"/>
                <w:lang w:eastAsia="zh-CN"/>
              </w:rPr>
              <w:t>11</w:t>
            </w:r>
            <w:r>
              <w:rPr>
                <w:color w:val="auto"/>
              </w:rPr>
              <w:t>.6</w:t>
            </w:r>
          </w:p>
        </w:tc>
        <w:tc>
          <w:tcPr>
            <w:tcW w:w="843" w:type="pct"/>
            <w:gridSpan w:val="2"/>
            <w:tcBorders>
              <w:tl2br w:val="nil"/>
              <w:tr2bl w:val="nil"/>
            </w:tcBorders>
            <w:noWrap w:val="0"/>
            <w:vAlign w:val="center"/>
          </w:tcPr>
          <w:p w14:paraId="34F81B9B">
            <w:pPr>
              <w:pStyle w:val="16"/>
              <w:pageBreakBefore w:val="0"/>
              <w:wordWrap/>
              <w:bidi w:val="0"/>
              <w:adjustRightInd/>
              <w:snapToGrid/>
              <w:rPr>
                <w:color w:val="auto"/>
              </w:rPr>
            </w:pPr>
            <w:r>
              <w:rPr>
                <w:color w:val="auto"/>
              </w:rPr>
              <w:t>除雾器</w:t>
            </w:r>
          </w:p>
        </w:tc>
        <w:tc>
          <w:tcPr>
            <w:tcW w:w="1532" w:type="pct"/>
            <w:tcBorders>
              <w:tl2br w:val="nil"/>
              <w:tr2bl w:val="nil"/>
            </w:tcBorders>
            <w:noWrap w:val="0"/>
            <w:vAlign w:val="center"/>
          </w:tcPr>
          <w:p w14:paraId="163CBA58">
            <w:pPr>
              <w:pStyle w:val="16"/>
              <w:pageBreakBefore w:val="0"/>
              <w:wordWrap/>
              <w:bidi w:val="0"/>
              <w:adjustRightInd/>
              <w:snapToGrid/>
              <w:rPr>
                <w:color w:val="auto"/>
              </w:rPr>
            </w:pPr>
            <w:r>
              <w:rPr>
                <w:color w:val="auto"/>
              </w:rPr>
              <w:t>φ800</w:t>
            </w:r>
            <w:r>
              <w:rPr>
                <w:rFonts w:hint="eastAsia"/>
                <w:color w:val="auto"/>
                <w:lang w:eastAsia="zh-CN"/>
              </w:rPr>
              <w:t>，</w:t>
            </w:r>
            <w:r>
              <w:rPr>
                <w:color w:val="auto"/>
              </w:rPr>
              <w:t>多面空心球填料</w:t>
            </w:r>
          </w:p>
        </w:tc>
        <w:tc>
          <w:tcPr>
            <w:tcW w:w="612" w:type="pct"/>
            <w:tcBorders>
              <w:tl2br w:val="nil"/>
              <w:tr2bl w:val="nil"/>
            </w:tcBorders>
            <w:noWrap w:val="0"/>
            <w:vAlign w:val="center"/>
          </w:tcPr>
          <w:p w14:paraId="2C0A5844">
            <w:pPr>
              <w:pStyle w:val="16"/>
              <w:pageBreakBefore w:val="0"/>
              <w:wordWrap/>
              <w:bidi w:val="0"/>
              <w:adjustRightInd/>
              <w:snapToGrid/>
              <w:rPr>
                <w:color w:val="auto"/>
              </w:rPr>
            </w:pPr>
          </w:p>
        </w:tc>
        <w:tc>
          <w:tcPr>
            <w:tcW w:w="279" w:type="pct"/>
            <w:tcBorders>
              <w:tl2br w:val="nil"/>
              <w:tr2bl w:val="nil"/>
            </w:tcBorders>
            <w:noWrap w:val="0"/>
            <w:vAlign w:val="center"/>
          </w:tcPr>
          <w:p w14:paraId="081478FA">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8DF6269">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3DBA227C">
            <w:pPr>
              <w:pStyle w:val="16"/>
              <w:pageBreakBefore w:val="0"/>
              <w:wordWrap/>
              <w:bidi w:val="0"/>
              <w:adjustRightInd/>
              <w:snapToGrid/>
              <w:rPr>
                <w:color w:val="auto"/>
              </w:rPr>
            </w:pPr>
          </w:p>
        </w:tc>
      </w:tr>
      <w:tr w14:paraId="455E7A0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2B810EB6">
            <w:pPr>
              <w:pStyle w:val="16"/>
              <w:pageBreakBefore w:val="0"/>
              <w:wordWrap/>
              <w:bidi w:val="0"/>
              <w:adjustRightInd/>
              <w:snapToGrid/>
              <w:jc w:val="both"/>
              <w:rPr>
                <w:color w:val="auto"/>
              </w:rPr>
            </w:pPr>
            <w:r>
              <w:rPr>
                <w:b/>
                <w:bCs/>
                <w:color w:val="auto"/>
              </w:rPr>
              <w:t>系统配套附件</w:t>
            </w:r>
          </w:p>
        </w:tc>
      </w:tr>
      <w:tr w14:paraId="751F7F1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C61B22A">
            <w:pPr>
              <w:pStyle w:val="16"/>
              <w:pageBreakBefore w:val="0"/>
              <w:wordWrap/>
              <w:bidi w:val="0"/>
              <w:adjustRightInd/>
              <w:snapToGrid/>
              <w:rPr>
                <w:color w:val="auto"/>
              </w:rPr>
            </w:pPr>
            <w:r>
              <w:rPr>
                <w:color w:val="auto"/>
              </w:rPr>
              <w:t>12</w:t>
            </w:r>
          </w:p>
        </w:tc>
        <w:tc>
          <w:tcPr>
            <w:tcW w:w="843" w:type="pct"/>
            <w:gridSpan w:val="2"/>
            <w:tcBorders>
              <w:tl2br w:val="nil"/>
              <w:tr2bl w:val="nil"/>
            </w:tcBorders>
            <w:noWrap w:val="0"/>
            <w:vAlign w:val="center"/>
          </w:tcPr>
          <w:p w14:paraId="495D8BAD">
            <w:pPr>
              <w:pStyle w:val="16"/>
              <w:pageBreakBefore w:val="0"/>
              <w:wordWrap/>
              <w:bidi w:val="0"/>
              <w:adjustRightInd/>
              <w:snapToGrid/>
              <w:rPr>
                <w:color w:val="auto"/>
              </w:rPr>
            </w:pPr>
            <w:r>
              <w:rPr>
                <w:color w:val="auto"/>
              </w:rPr>
              <w:t>爬梯</w:t>
            </w:r>
          </w:p>
        </w:tc>
        <w:tc>
          <w:tcPr>
            <w:tcW w:w="1532" w:type="pct"/>
            <w:tcBorders>
              <w:tl2br w:val="nil"/>
              <w:tr2bl w:val="nil"/>
            </w:tcBorders>
            <w:noWrap w:val="0"/>
            <w:vAlign w:val="center"/>
          </w:tcPr>
          <w:p w14:paraId="4A31CDA9">
            <w:pPr>
              <w:pStyle w:val="16"/>
              <w:pageBreakBefore w:val="0"/>
              <w:wordWrap/>
              <w:bidi w:val="0"/>
              <w:adjustRightInd/>
              <w:snapToGrid/>
              <w:rPr>
                <w:color w:val="auto"/>
              </w:rPr>
            </w:pPr>
          </w:p>
        </w:tc>
        <w:tc>
          <w:tcPr>
            <w:tcW w:w="612" w:type="pct"/>
            <w:tcBorders>
              <w:tl2br w:val="nil"/>
              <w:tr2bl w:val="nil"/>
            </w:tcBorders>
            <w:noWrap w:val="0"/>
            <w:vAlign w:val="center"/>
          </w:tcPr>
          <w:p w14:paraId="11FE1E7A">
            <w:pPr>
              <w:pStyle w:val="16"/>
              <w:pageBreakBefore w:val="0"/>
              <w:wordWrap/>
              <w:bidi w:val="0"/>
              <w:adjustRightInd/>
              <w:snapToGrid/>
              <w:rPr>
                <w:color w:val="auto"/>
              </w:rPr>
            </w:pPr>
            <w:r>
              <w:rPr>
                <w:color w:val="auto"/>
              </w:rPr>
              <w:t>碳钢防腐</w:t>
            </w:r>
          </w:p>
        </w:tc>
        <w:tc>
          <w:tcPr>
            <w:tcW w:w="279" w:type="pct"/>
            <w:tcBorders>
              <w:tl2br w:val="nil"/>
              <w:tr2bl w:val="nil"/>
            </w:tcBorders>
            <w:noWrap w:val="0"/>
            <w:vAlign w:val="center"/>
          </w:tcPr>
          <w:p w14:paraId="725452D5">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30C15469">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0CAADA2B">
            <w:pPr>
              <w:pStyle w:val="16"/>
              <w:pageBreakBefore w:val="0"/>
              <w:wordWrap/>
              <w:bidi w:val="0"/>
              <w:adjustRightInd/>
              <w:snapToGrid/>
              <w:rPr>
                <w:color w:val="auto"/>
              </w:rPr>
            </w:pPr>
            <w:r>
              <w:rPr>
                <w:color w:val="auto"/>
              </w:rPr>
              <w:t>系统配套</w:t>
            </w:r>
          </w:p>
        </w:tc>
      </w:tr>
      <w:tr w14:paraId="58F58F9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ABC2331">
            <w:pPr>
              <w:pStyle w:val="16"/>
              <w:pageBreakBefore w:val="0"/>
              <w:wordWrap/>
              <w:bidi w:val="0"/>
              <w:adjustRightInd/>
              <w:snapToGrid/>
              <w:rPr>
                <w:color w:val="auto"/>
              </w:rPr>
            </w:pPr>
            <w:r>
              <w:rPr>
                <w:color w:val="auto"/>
              </w:rPr>
              <w:t>13</w:t>
            </w:r>
          </w:p>
        </w:tc>
        <w:tc>
          <w:tcPr>
            <w:tcW w:w="843" w:type="pct"/>
            <w:gridSpan w:val="2"/>
            <w:tcBorders>
              <w:tl2br w:val="nil"/>
              <w:tr2bl w:val="nil"/>
            </w:tcBorders>
            <w:noWrap w:val="0"/>
            <w:vAlign w:val="center"/>
          </w:tcPr>
          <w:p w14:paraId="708131B4">
            <w:pPr>
              <w:pStyle w:val="16"/>
              <w:pageBreakBefore w:val="0"/>
              <w:wordWrap/>
              <w:bidi w:val="0"/>
              <w:adjustRightInd/>
              <w:snapToGrid/>
              <w:rPr>
                <w:color w:val="auto"/>
              </w:rPr>
            </w:pPr>
            <w:r>
              <w:rPr>
                <w:color w:val="auto"/>
              </w:rPr>
              <w:t>排放塔及塔架</w:t>
            </w:r>
          </w:p>
        </w:tc>
        <w:tc>
          <w:tcPr>
            <w:tcW w:w="1532" w:type="pct"/>
            <w:tcBorders>
              <w:tl2br w:val="nil"/>
              <w:tr2bl w:val="nil"/>
            </w:tcBorders>
            <w:noWrap w:val="0"/>
            <w:vAlign w:val="center"/>
          </w:tcPr>
          <w:p w14:paraId="01452D53">
            <w:pPr>
              <w:pStyle w:val="16"/>
              <w:pageBreakBefore w:val="0"/>
              <w:wordWrap/>
              <w:bidi w:val="0"/>
              <w:adjustRightInd/>
              <w:snapToGrid/>
              <w:rPr>
                <w:color w:val="auto"/>
              </w:rPr>
            </w:pPr>
            <w:r>
              <w:rPr>
                <w:color w:val="auto"/>
              </w:rPr>
              <w:t>DN800</w:t>
            </w:r>
          </w:p>
        </w:tc>
        <w:tc>
          <w:tcPr>
            <w:tcW w:w="612" w:type="pct"/>
            <w:tcBorders>
              <w:tl2br w:val="nil"/>
              <w:tr2bl w:val="nil"/>
            </w:tcBorders>
            <w:noWrap w:val="0"/>
            <w:vAlign w:val="center"/>
          </w:tcPr>
          <w:p w14:paraId="279BDBFA">
            <w:pPr>
              <w:pStyle w:val="16"/>
              <w:pageBreakBefore w:val="0"/>
              <w:wordWrap/>
              <w:bidi w:val="0"/>
              <w:adjustRightInd/>
              <w:snapToGrid/>
              <w:rPr>
                <w:color w:val="auto"/>
              </w:rPr>
            </w:pPr>
            <w:r>
              <w:rPr>
                <w:color w:val="auto"/>
              </w:rPr>
              <w:t>玻璃钢</w:t>
            </w:r>
          </w:p>
        </w:tc>
        <w:tc>
          <w:tcPr>
            <w:tcW w:w="279" w:type="pct"/>
            <w:tcBorders>
              <w:tl2br w:val="nil"/>
              <w:tr2bl w:val="nil"/>
            </w:tcBorders>
            <w:noWrap w:val="0"/>
            <w:vAlign w:val="center"/>
          </w:tcPr>
          <w:p w14:paraId="7C8EC888">
            <w:pPr>
              <w:pStyle w:val="16"/>
              <w:pageBreakBefore w:val="0"/>
              <w:wordWrap/>
              <w:bidi w:val="0"/>
              <w:adjustRightInd/>
              <w:snapToGrid/>
              <w:rPr>
                <w:color w:val="auto"/>
              </w:rPr>
            </w:pPr>
            <w:r>
              <w:rPr>
                <w:color w:val="auto"/>
              </w:rPr>
              <w:t>m</w:t>
            </w:r>
          </w:p>
        </w:tc>
        <w:tc>
          <w:tcPr>
            <w:tcW w:w="244" w:type="pct"/>
            <w:tcBorders>
              <w:tl2br w:val="nil"/>
              <w:tr2bl w:val="nil"/>
            </w:tcBorders>
            <w:noWrap w:val="0"/>
            <w:vAlign w:val="center"/>
          </w:tcPr>
          <w:p w14:paraId="45F28FF3">
            <w:pPr>
              <w:pStyle w:val="16"/>
              <w:pageBreakBefore w:val="0"/>
              <w:wordWrap/>
              <w:bidi w:val="0"/>
              <w:adjustRightInd/>
              <w:snapToGrid/>
              <w:rPr>
                <w:color w:val="auto"/>
              </w:rPr>
            </w:pPr>
            <w:r>
              <w:rPr>
                <w:color w:val="auto"/>
              </w:rPr>
              <w:t>15</w:t>
            </w:r>
          </w:p>
        </w:tc>
        <w:tc>
          <w:tcPr>
            <w:tcW w:w="1132" w:type="pct"/>
            <w:tcBorders>
              <w:tl2br w:val="nil"/>
              <w:tr2bl w:val="nil"/>
            </w:tcBorders>
            <w:noWrap w:val="0"/>
            <w:vAlign w:val="center"/>
          </w:tcPr>
          <w:p w14:paraId="11001CCA">
            <w:pPr>
              <w:pStyle w:val="16"/>
              <w:pageBreakBefore w:val="0"/>
              <w:wordWrap/>
              <w:bidi w:val="0"/>
              <w:adjustRightInd/>
              <w:snapToGrid/>
              <w:rPr>
                <w:color w:val="auto"/>
              </w:rPr>
            </w:pPr>
            <w:r>
              <w:rPr>
                <w:color w:val="auto"/>
              </w:rPr>
              <w:t>排放管为玻璃钢材质圆管</w:t>
            </w:r>
            <w:r>
              <w:rPr>
                <w:rFonts w:hint="eastAsia"/>
                <w:color w:val="auto"/>
                <w:lang w:eastAsia="zh-CN"/>
              </w:rPr>
              <w:t>，</w:t>
            </w:r>
            <w:r>
              <w:rPr>
                <w:color w:val="auto"/>
              </w:rPr>
              <w:t>含碳钢防腐排放塔支架</w:t>
            </w:r>
          </w:p>
        </w:tc>
      </w:tr>
      <w:tr w14:paraId="10FFDD2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B4E4683">
            <w:pPr>
              <w:pStyle w:val="16"/>
              <w:pageBreakBefore w:val="0"/>
              <w:wordWrap/>
              <w:bidi w:val="0"/>
              <w:adjustRightInd/>
              <w:snapToGrid/>
              <w:rPr>
                <w:color w:val="auto"/>
              </w:rPr>
            </w:pPr>
            <w:r>
              <w:rPr>
                <w:color w:val="auto"/>
              </w:rPr>
              <w:t>14</w:t>
            </w:r>
          </w:p>
        </w:tc>
        <w:tc>
          <w:tcPr>
            <w:tcW w:w="843" w:type="pct"/>
            <w:gridSpan w:val="2"/>
            <w:tcBorders>
              <w:tl2br w:val="nil"/>
              <w:tr2bl w:val="nil"/>
            </w:tcBorders>
            <w:noWrap w:val="0"/>
            <w:vAlign w:val="center"/>
          </w:tcPr>
          <w:p w14:paraId="2B715A0A">
            <w:pPr>
              <w:pStyle w:val="16"/>
              <w:pageBreakBefore w:val="0"/>
              <w:wordWrap/>
              <w:bidi w:val="0"/>
              <w:adjustRightInd/>
              <w:snapToGrid/>
              <w:rPr>
                <w:color w:val="auto"/>
              </w:rPr>
            </w:pPr>
            <w:r>
              <w:rPr>
                <w:color w:val="auto"/>
              </w:rPr>
              <w:t>硫化氢在线检测仪</w:t>
            </w:r>
          </w:p>
        </w:tc>
        <w:tc>
          <w:tcPr>
            <w:tcW w:w="1532" w:type="pct"/>
            <w:tcBorders>
              <w:tl2br w:val="nil"/>
              <w:tr2bl w:val="nil"/>
            </w:tcBorders>
            <w:noWrap w:val="0"/>
            <w:vAlign w:val="center"/>
          </w:tcPr>
          <w:p w14:paraId="7E1CB389">
            <w:pPr>
              <w:pStyle w:val="16"/>
              <w:pageBreakBefore w:val="0"/>
              <w:wordWrap/>
              <w:bidi w:val="0"/>
              <w:adjustRightInd/>
              <w:snapToGrid/>
              <w:rPr>
                <w:color w:val="auto"/>
              </w:rPr>
            </w:pPr>
            <w:r>
              <w:rPr>
                <w:color w:val="auto"/>
              </w:rPr>
              <w:t>0-50PPM</w:t>
            </w:r>
          </w:p>
        </w:tc>
        <w:tc>
          <w:tcPr>
            <w:tcW w:w="612" w:type="pct"/>
            <w:tcBorders>
              <w:tl2br w:val="nil"/>
              <w:tr2bl w:val="nil"/>
            </w:tcBorders>
            <w:noWrap w:val="0"/>
            <w:vAlign w:val="center"/>
          </w:tcPr>
          <w:p w14:paraId="0ED048CA">
            <w:pPr>
              <w:pStyle w:val="16"/>
              <w:pageBreakBefore w:val="0"/>
              <w:wordWrap/>
              <w:bidi w:val="0"/>
              <w:adjustRightInd/>
              <w:snapToGrid/>
              <w:rPr>
                <w:color w:val="auto"/>
              </w:rPr>
            </w:pPr>
          </w:p>
        </w:tc>
        <w:tc>
          <w:tcPr>
            <w:tcW w:w="279" w:type="pct"/>
            <w:tcBorders>
              <w:tl2br w:val="nil"/>
              <w:tr2bl w:val="nil"/>
            </w:tcBorders>
            <w:noWrap w:val="0"/>
            <w:vAlign w:val="center"/>
          </w:tcPr>
          <w:p w14:paraId="7D30B2F7">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C138A23">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743A833">
            <w:pPr>
              <w:pStyle w:val="16"/>
              <w:pageBreakBefore w:val="0"/>
              <w:wordWrap/>
              <w:bidi w:val="0"/>
              <w:adjustRightInd/>
              <w:snapToGrid/>
              <w:rPr>
                <w:color w:val="auto"/>
              </w:rPr>
            </w:pPr>
            <w:r>
              <w:rPr>
                <w:color w:val="auto"/>
              </w:rPr>
              <w:t>计入自控</w:t>
            </w:r>
          </w:p>
        </w:tc>
      </w:tr>
      <w:tr w14:paraId="6B9698B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BC57947">
            <w:pPr>
              <w:pStyle w:val="16"/>
              <w:pageBreakBefore w:val="0"/>
              <w:wordWrap/>
              <w:bidi w:val="0"/>
              <w:adjustRightInd/>
              <w:snapToGrid/>
              <w:rPr>
                <w:color w:val="auto"/>
              </w:rPr>
            </w:pPr>
            <w:r>
              <w:rPr>
                <w:color w:val="auto"/>
              </w:rPr>
              <w:t>15</w:t>
            </w:r>
          </w:p>
        </w:tc>
        <w:tc>
          <w:tcPr>
            <w:tcW w:w="843" w:type="pct"/>
            <w:gridSpan w:val="2"/>
            <w:tcBorders>
              <w:tl2br w:val="nil"/>
              <w:tr2bl w:val="nil"/>
            </w:tcBorders>
            <w:noWrap w:val="0"/>
            <w:vAlign w:val="center"/>
          </w:tcPr>
          <w:p w14:paraId="23DFB60C">
            <w:pPr>
              <w:pStyle w:val="16"/>
              <w:pageBreakBefore w:val="0"/>
              <w:wordWrap/>
              <w:bidi w:val="0"/>
              <w:adjustRightInd/>
              <w:snapToGrid/>
              <w:rPr>
                <w:color w:val="auto"/>
              </w:rPr>
            </w:pPr>
            <w:r>
              <w:rPr>
                <w:color w:val="auto"/>
              </w:rPr>
              <w:t>氨气在线检测仪</w:t>
            </w:r>
          </w:p>
        </w:tc>
        <w:tc>
          <w:tcPr>
            <w:tcW w:w="1532" w:type="pct"/>
            <w:tcBorders>
              <w:tl2br w:val="nil"/>
              <w:tr2bl w:val="nil"/>
            </w:tcBorders>
            <w:noWrap w:val="0"/>
            <w:vAlign w:val="center"/>
          </w:tcPr>
          <w:p w14:paraId="0FF216AC">
            <w:pPr>
              <w:pStyle w:val="16"/>
              <w:pageBreakBefore w:val="0"/>
              <w:wordWrap/>
              <w:bidi w:val="0"/>
              <w:adjustRightInd/>
              <w:snapToGrid/>
              <w:rPr>
                <w:color w:val="auto"/>
              </w:rPr>
            </w:pPr>
            <w:r>
              <w:rPr>
                <w:color w:val="auto"/>
              </w:rPr>
              <w:t>0-50PPM</w:t>
            </w:r>
          </w:p>
        </w:tc>
        <w:tc>
          <w:tcPr>
            <w:tcW w:w="612" w:type="pct"/>
            <w:tcBorders>
              <w:tl2br w:val="nil"/>
              <w:tr2bl w:val="nil"/>
            </w:tcBorders>
            <w:noWrap w:val="0"/>
            <w:vAlign w:val="center"/>
          </w:tcPr>
          <w:p w14:paraId="1DEB1A1C">
            <w:pPr>
              <w:pStyle w:val="16"/>
              <w:pageBreakBefore w:val="0"/>
              <w:wordWrap/>
              <w:bidi w:val="0"/>
              <w:adjustRightInd/>
              <w:snapToGrid/>
              <w:rPr>
                <w:color w:val="auto"/>
              </w:rPr>
            </w:pPr>
          </w:p>
        </w:tc>
        <w:tc>
          <w:tcPr>
            <w:tcW w:w="279" w:type="pct"/>
            <w:tcBorders>
              <w:tl2br w:val="nil"/>
              <w:tr2bl w:val="nil"/>
            </w:tcBorders>
            <w:noWrap w:val="0"/>
            <w:vAlign w:val="center"/>
          </w:tcPr>
          <w:p w14:paraId="75460422">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EAB4266">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34A637F4">
            <w:pPr>
              <w:pStyle w:val="16"/>
              <w:pageBreakBefore w:val="0"/>
              <w:wordWrap/>
              <w:bidi w:val="0"/>
              <w:adjustRightInd/>
              <w:snapToGrid/>
              <w:rPr>
                <w:color w:val="auto"/>
              </w:rPr>
            </w:pPr>
            <w:r>
              <w:rPr>
                <w:color w:val="auto"/>
              </w:rPr>
              <w:t>计入自控</w:t>
            </w:r>
          </w:p>
        </w:tc>
      </w:tr>
      <w:tr w14:paraId="61648EF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2064519">
            <w:pPr>
              <w:pStyle w:val="16"/>
              <w:pageBreakBefore w:val="0"/>
              <w:wordWrap/>
              <w:bidi w:val="0"/>
              <w:adjustRightInd/>
              <w:snapToGrid/>
              <w:rPr>
                <w:color w:val="auto"/>
              </w:rPr>
            </w:pPr>
            <w:r>
              <w:rPr>
                <w:color w:val="auto"/>
              </w:rPr>
              <w:t>16</w:t>
            </w:r>
          </w:p>
        </w:tc>
        <w:tc>
          <w:tcPr>
            <w:tcW w:w="843" w:type="pct"/>
            <w:gridSpan w:val="2"/>
            <w:tcBorders>
              <w:tl2br w:val="nil"/>
              <w:tr2bl w:val="nil"/>
            </w:tcBorders>
            <w:noWrap w:val="0"/>
            <w:vAlign w:val="center"/>
          </w:tcPr>
          <w:p w14:paraId="523D7362">
            <w:pPr>
              <w:pStyle w:val="16"/>
              <w:pageBreakBefore w:val="0"/>
              <w:wordWrap/>
              <w:bidi w:val="0"/>
              <w:adjustRightInd/>
              <w:snapToGrid/>
              <w:rPr>
                <w:color w:val="auto"/>
              </w:rPr>
            </w:pPr>
            <w:r>
              <w:rPr>
                <w:color w:val="auto"/>
              </w:rPr>
              <w:t>PH计</w:t>
            </w:r>
          </w:p>
        </w:tc>
        <w:tc>
          <w:tcPr>
            <w:tcW w:w="1532" w:type="pct"/>
            <w:tcBorders>
              <w:tl2br w:val="nil"/>
              <w:tr2bl w:val="nil"/>
            </w:tcBorders>
            <w:noWrap w:val="0"/>
            <w:vAlign w:val="center"/>
          </w:tcPr>
          <w:p w14:paraId="4C54A32C">
            <w:pPr>
              <w:pStyle w:val="16"/>
              <w:pageBreakBefore w:val="0"/>
              <w:wordWrap/>
              <w:bidi w:val="0"/>
              <w:adjustRightInd/>
              <w:snapToGrid/>
              <w:rPr>
                <w:color w:val="auto"/>
              </w:rPr>
            </w:pPr>
            <w:r>
              <w:rPr>
                <w:color w:val="auto"/>
              </w:rPr>
              <w:t>0-14</w:t>
            </w:r>
          </w:p>
        </w:tc>
        <w:tc>
          <w:tcPr>
            <w:tcW w:w="612" w:type="pct"/>
            <w:tcBorders>
              <w:tl2br w:val="nil"/>
              <w:tr2bl w:val="nil"/>
            </w:tcBorders>
            <w:noWrap w:val="0"/>
            <w:vAlign w:val="center"/>
          </w:tcPr>
          <w:p w14:paraId="092A56B7">
            <w:pPr>
              <w:pStyle w:val="16"/>
              <w:pageBreakBefore w:val="0"/>
              <w:wordWrap/>
              <w:bidi w:val="0"/>
              <w:adjustRightInd/>
              <w:snapToGrid/>
              <w:rPr>
                <w:color w:val="auto"/>
              </w:rPr>
            </w:pPr>
          </w:p>
        </w:tc>
        <w:tc>
          <w:tcPr>
            <w:tcW w:w="279" w:type="pct"/>
            <w:tcBorders>
              <w:tl2br w:val="nil"/>
              <w:tr2bl w:val="nil"/>
            </w:tcBorders>
            <w:noWrap w:val="0"/>
            <w:vAlign w:val="center"/>
          </w:tcPr>
          <w:p w14:paraId="2C6F112D">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ECEA85B">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3BFFE523">
            <w:pPr>
              <w:pStyle w:val="16"/>
              <w:pageBreakBefore w:val="0"/>
              <w:wordWrap/>
              <w:bidi w:val="0"/>
              <w:adjustRightInd/>
              <w:snapToGrid/>
              <w:rPr>
                <w:color w:val="auto"/>
              </w:rPr>
            </w:pPr>
            <w:r>
              <w:rPr>
                <w:color w:val="auto"/>
              </w:rPr>
              <w:t>计入自控</w:t>
            </w:r>
          </w:p>
        </w:tc>
      </w:tr>
      <w:tr w14:paraId="3E72A1A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B28A148">
            <w:pPr>
              <w:pStyle w:val="16"/>
              <w:pageBreakBefore w:val="0"/>
              <w:wordWrap/>
              <w:bidi w:val="0"/>
              <w:adjustRightInd/>
              <w:snapToGrid/>
              <w:rPr>
                <w:color w:val="auto"/>
              </w:rPr>
            </w:pPr>
            <w:r>
              <w:rPr>
                <w:color w:val="auto"/>
              </w:rPr>
              <w:t>17</w:t>
            </w:r>
          </w:p>
        </w:tc>
        <w:tc>
          <w:tcPr>
            <w:tcW w:w="843" w:type="pct"/>
            <w:gridSpan w:val="2"/>
            <w:tcBorders>
              <w:tl2br w:val="nil"/>
              <w:tr2bl w:val="nil"/>
            </w:tcBorders>
            <w:noWrap w:val="0"/>
            <w:vAlign w:val="center"/>
          </w:tcPr>
          <w:p w14:paraId="253B3476">
            <w:pPr>
              <w:pStyle w:val="16"/>
              <w:pageBreakBefore w:val="0"/>
              <w:wordWrap/>
              <w:bidi w:val="0"/>
              <w:adjustRightInd/>
              <w:snapToGrid/>
              <w:rPr>
                <w:color w:val="auto"/>
              </w:rPr>
            </w:pPr>
            <w:r>
              <w:rPr>
                <w:color w:val="auto"/>
              </w:rPr>
              <w:t>其他附件</w:t>
            </w:r>
          </w:p>
        </w:tc>
        <w:tc>
          <w:tcPr>
            <w:tcW w:w="1532" w:type="pct"/>
            <w:tcBorders>
              <w:tl2br w:val="nil"/>
              <w:tr2bl w:val="nil"/>
            </w:tcBorders>
            <w:noWrap w:val="0"/>
            <w:vAlign w:val="center"/>
          </w:tcPr>
          <w:p w14:paraId="46F6F216">
            <w:pPr>
              <w:pStyle w:val="16"/>
              <w:pageBreakBefore w:val="0"/>
              <w:wordWrap/>
              <w:bidi w:val="0"/>
              <w:adjustRightInd/>
              <w:snapToGrid/>
              <w:rPr>
                <w:color w:val="auto"/>
              </w:rPr>
            </w:pPr>
            <w:r>
              <w:rPr>
                <w:color w:val="auto"/>
              </w:rPr>
              <w:t>管道及法兰</w:t>
            </w:r>
            <w:r>
              <w:rPr>
                <w:rFonts w:hint="eastAsia"/>
                <w:color w:val="auto"/>
                <w:lang w:eastAsia="zh-CN"/>
              </w:rPr>
              <w:t>、</w:t>
            </w:r>
            <w:r>
              <w:rPr>
                <w:color w:val="auto"/>
              </w:rPr>
              <w:t>三通、弯头等附件</w:t>
            </w:r>
          </w:p>
        </w:tc>
        <w:tc>
          <w:tcPr>
            <w:tcW w:w="612" w:type="pct"/>
            <w:tcBorders>
              <w:tl2br w:val="nil"/>
              <w:tr2bl w:val="nil"/>
            </w:tcBorders>
            <w:noWrap w:val="0"/>
            <w:vAlign w:val="center"/>
          </w:tcPr>
          <w:p w14:paraId="01B8C17B">
            <w:pPr>
              <w:pStyle w:val="16"/>
              <w:pageBreakBefore w:val="0"/>
              <w:wordWrap/>
              <w:bidi w:val="0"/>
              <w:adjustRightInd/>
              <w:snapToGrid/>
              <w:rPr>
                <w:color w:val="auto"/>
              </w:rPr>
            </w:pPr>
          </w:p>
        </w:tc>
        <w:tc>
          <w:tcPr>
            <w:tcW w:w="279" w:type="pct"/>
            <w:tcBorders>
              <w:tl2br w:val="nil"/>
              <w:tr2bl w:val="nil"/>
            </w:tcBorders>
            <w:noWrap w:val="0"/>
            <w:vAlign w:val="center"/>
          </w:tcPr>
          <w:p w14:paraId="5048B950">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6BD6BAE0">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7DAF42EC">
            <w:pPr>
              <w:pStyle w:val="16"/>
              <w:pageBreakBefore w:val="0"/>
              <w:wordWrap/>
              <w:bidi w:val="0"/>
              <w:adjustRightInd/>
              <w:snapToGrid/>
              <w:rPr>
                <w:color w:val="auto"/>
              </w:rPr>
            </w:pPr>
          </w:p>
        </w:tc>
      </w:tr>
      <w:tr w14:paraId="199BCBE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539C7C13">
            <w:pPr>
              <w:pStyle w:val="16"/>
              <w:pageBreakBefore w:val="0"/>
              <w:wordWrap/>
              <w:bidi w:val="0"/>
              <w:adjustRightInd/>
              <w:snapToGrid/>
              <w:jc w:val="left"/>
              <w:rPr>
                <w:color w:val="auto"/>
              </w:rPr>
            </w:pPr>
            <w:r>
              <w:rPr>
                <w:b/>
                <w:bCs/>
                <w:color w:val="auto"/>
              </w:rPr>
              <w:t>园区事故池主要设备一览表</w:t>
            </w:r>
          </w:p>
        </w:tc>
      </w:tr>
      <w:tr w14:paraId="6229B7C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8B97BFE">
            <w:pPr>
              <w:pStyle w:val="16"/>
              <w:pageBreakBefore w:val="0"/>
              <w:wordWrap/>
              <w:bidi w:val="0"/>
              <w:adjustRightInd/>
              <w:snapToGrid/>
              <w:rPr>
                <w:rFonts w:hint="eastAsia" w:eastAsia="宋体"/>
                <w:b/>
                <w:bCs/>
                <w:color w:val="auto"/>
                <w:lang w:eastAsia="zh-CN"/>
              </w:rPr>
            </w:pPr>
            <w:r>
              <w:rPr>
                <w:rFonts w:hint="eastAsia"/>
                <w:b/>
                <w:bCs/>
                <w:color w:val="auto"/>
                <w:lang w:eastAsia="zh-CN"/>
              </w:rPr>
              <w:t>序号</w:t>
            </w:r>
          </w:p>
        </w:tc>
        <w:tc>
          <w:tcPr>
            <w:tcW w:w="843" w:type="pct"/>
            <w:gridSpan w:val="2"/>
            <w:tcBorders>
              <w:tl2br w:val="nil"/>
              <w:tr2bl w:val="nil"/>
            </w:tcBorders>
            <w:noWrap w:val="0"/>
            <w:vAlign w:val="center"/>
          </w:tcPr>
          <w:p w14:paraId="3CF01D06">
            <w:pPr>
              <w:pStyle w:val="16"/>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6D1CE943">
            <w:pPr>
              <w:pStyle w:val="16"/>
              <w:pageBreakBefore w:val="0"/>
              <w:wordWrap/>
              <w:bidi w:val="0"/>
              <w:adjustRightInd/>
              <w:snapToGrid/>
              <w:rPr>
                <w:b/>
                <w:bCs/>
                <w:color w:val="auto"/>
              </w:rPr>
            </w:pPr>
            <w:r>
              <w:rPr>
                <w:b/>
                <w:bCs/>
                <w:color w:val="auto"/>
              </w:rPr>
              <w:t>规格型号及技术参数</w:t>
            </w:r>
          </w:p>
        </w:tc>
        <w:tc>
          <w:tcPr>
            <w:tcW w:w="612" w:type="pct"/>
            <w:tcBorders>
              <w:tl2br w:val="nil"/>
              <w:tr2bl w:val="nil"/>
            </w:tcBorders>
            <w:noWrap w:val="0"/>
            <w:vAlign w:val="center"/>
          </w:tcPr>
          <w:p w14:paraId="49C3788F">
            <w:pPr>
              <w:pStyle w:val="16"/>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11CAA480">
            <w:pPr>
              <w:pStyle w:val="16"/>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6E6F43E8">
            <w:pPr>
              <w:pStyle w:val="16"/>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30F035F7">
            <w:pPr>
              <w:pStyle w:val="16"/>
              <w:pageBreakBefore w:val="0"/>
              <w:wordWrap/>
              <w:bidi w:val="0"/>
              <w:adjustRightInd/>
              <w:snapToGrid/>
              <w:rPr>
                <w:b/>
                <w:bCs/>
                <w:color w:val="auto"/>
              </w:rPr>
            </w:pPr>
            <w:r>
              <w:rPr>
                <w:b/>
                <w:bCs/>
                <w:color w:val="auto"/>
              </w:rPr>
              <w:t>备注</w:t>
            </w:r>
          </w:p>
        </w:tc>
      </w:tr>
      <w:tr w14:paraId="145DB95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B73C7C8">
            <w:pPr>
              <w:pStyle w:val="16"/>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6E62D412">
            <w:pPr>
              <w:pStyle w:val="16"/>
              <w:pageBreakBefore w:val="0"/>
              <w:wordWrap/>
              <w:bidi w:val="0"/>
              <w:adjustRightInd/>
              <w:snapToGrid/>
              <w:rPr>
                <w:color w:val="auto"/>
              </w:rPr>
            </w:pPr>
            <w:r>
              <w:rPr>
                <w:color w:val="auto"/>
              </w:rPr>
              <w:t>潜水搅拌机</w:t>
            </w:r>
          </w:p>
        </w:tc>
        <w:tc>
          <w:tcPr>
            <w:tcW w:w="1532" w:type="pct"/>
            <w:tcBorders>
              <w:tl2br w:val="nil"/>
              <w:tr2bl w:val="nil"/>
            </w:tcBorders>
            <w:noWrap w:val="0"/>
            <w:vAlign w:val="center"/>
          </w:tcPr>
          <w:p w14:paraId="65AEE824">
            <w:pPr>
              <w:pStyle w:val="16"/>
              <w:pageBreakBefore w:val="0"/>
              <w:wordWrap/>
              <w:bidi w:val="0"/>
              <w:adjustRightInd/>
              <w:snapToGrid/>
              <w:rPr>
                <w:rFonts w:hint="eastAsia" w:eastAsia="宋体"/>
                <w:color w:val="auto"/>
                <w:lang w:eastAsia="zh-CN"/>
              </w:rPr>
            </w:pPr>
            <w:r>
              <w:rPr>
                <w:color w:val="auto"/>
              </w:rPr>
              <w:t>N=5.5kW</w:t>
            </w:r>
            <w:r>
              <w:rPr>
                <w:rFonts w:hint="eastAsia"/>
                <w:color w:val="auto"/>
                <w:lang w:eastAsia="zh-CN"/>
              </w:rPr>
              <w:t>，</w:t>
            </w:r>
            <w:r>
              <w:rPr>
                <w:color w:val="auto"/>
              </w:rPr>
              <w:t>r=480r/min</w:t>
            </w:r>
            <w:r>
              <w:rPr>
                <w:rFonts w:hint="eastAsia"/>
                <w:color w:val="auto"/>
                <w:lang w:eastAsia="zh-CN"/>
              </w:rPr>
              <w:t>，</w:t>
            </w:r>
            <w:r>
              <w:rPr>
                <w:color w:val="auto"/>
              </w:rPr>
              <w:t>叶片直径=580mm</w:t>
            </w:r>
            <w:r>
              <w:rPr>
                <w:rFonts w:hint="eastAsia"/>
                <w:color w:val="auto"/>
                <w:lang w:eastAsia="zh-CN"/>
              </w:rPr>
              <w:t>，</w:t>
            </w:r>
            <w:r>
              <w:rPr>
                <w:color w:val="auto"/>
              </w:rPr>
              <w:t>带起吊装置</w:t>
            </w:r>
            <w:r>
              <w:rPr>
                <w:rFonts w:hint="eastAsia"/>
                <w:color w:val="auto"/>
                <w:lang w:eastAsia="zh-CN"/>
              </w:rPr>
              <w:t>（</w:t>
            </w:r>
            <w:r>
              <w:rPr>
                <w:color w:val="auto"/>
              </w:rPr>
              <w:t>碳钢防腐</w:t>
            </w:r>
            <w:r>
              <w:rPr>
                <w:rFonts w:hint="eastAsia"/>
                <w:color w:val="auto"/>
                <w:lang w:eastAsia="zh-CN"/>
              </w:rPr>
              <w:t>）</w:t>
            </w:r>
          </w:p>
        </w:tc>
        <w:tc>
          <w:tcPr>
            <w:tcW w:w="612" w:type="pct"/>
            <w:tcBorders>
              <w:tl2br w:val="nil"/>
              <w:tr2bl w:val="nil"/>
            </w:tcBorders>
            <w:noWrap w:val="0"/>
            <w:vAlign w:val="center"/>
          </w:tcPr>
          <w:p w14:paraId="74540146">
            <w:pPr>
              <w:pStyle w:val="16"/>
              <w:pageBreakBefore w:val="0"/>
              <w:wordWrap/>
              <w:bidi w:val="0"/>
              <w:adjustRightInd/>
              <w:snapToGrid/>
              <w:rPr>
                <w:color w:val="auto"/>
              </w:rPr>
            </w:pPr>
            <w:r>
              <w:rPr>
                <w:color w:val="auto"/>
              </w:rPr>
              <w:t>叶轮材质316L不锈钢</w:t>
            </w:r>
          </w:p>
        </w:tc>
        <w:tc>
          <w:tcPr>
            <w:tcW w:w="279" w:type="pct"/>
            <w:tcBorders>
              <w:tl2br w:val="nil"/>
              <w:tr2bl w:val="nil"/>
            </w:tcBorders>
            <w:noWrap w:val="0"/>
            <w:vAlign w:val="center"/>
          </w:tcPr>
          <w:p w14:paraId="332DD9E8">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23FA561">
            <w:pPr>
              <w:pStyle w:val="16"/>
              <w:pageBreakBefore w:val="0"/>
              <w:wordWrap/>
              <w:bidi w:val="0"/>
              <w:adjustRightInd/>
              <w:snapToGrid/>
              <w:rPr>
                <w:color w:val="auto"/>
              </w:rPr>
            </w:pPr>
            <w:r>
              <w:rPr>
                <w:color w:val="auto"/>
              </w:rPr>
              <w:t>9</w:t>
            </w:r>
          </w:p>
        </w:tc>
        <w:tc>
          <w:tcPr>
            <w:tcW w:w="1132" w:type="pct"/>
            <w:tcBorders>
              <w:tl2br w:val="nil"/>
              <w:tr2bl w:val="nil"/>
            </w:tcBorders>
            <w:noWrap w:val="0"/>
            <w:vAlign w:val="center"/>
          </w:tcPr>
          <w:p w14:paraId="49D6452C">
            <w:pPr>
              <w:pStyle w:val="16"/>
              <w:pageBreakBefore w:val="0"/>
              <w:wordWrap/>
              <w:bidi w:val="0"/>
              <w:adjustRightInd/>
              <w:snapToGrid/>
              <w:rPr>
                <w:color w:val="auto"/>
              </w:rPr>
            </w:pPr>
          </w:p>
        </w:tc>
      </w:tr>
      <w:tr w14:paraId="596133D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CFEB4E7">
            <w:pPr>
              <w:pStyle w:val="16"/>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0847A955">
            <w:pPr>
              <w:pStyle w:val="16"/>
              <w:pageBreakBefore w:val="0"/>
              <w:wordWrap/>
              <w:bidi w:val="0"/>
              <w:adjustRightInd/>
              <w:snapToGrid/>
              <w:rPr>
                <w:color w:val="auto"/>
              </w:rPr>
            </w:pPr>
            <w:r>
              <w:rPr>
                <w:color w:val="auto"/>
              </w:rPr>
              <w:t>手动铸铁镶铜方闸门</w:t>
            </w:r>
          </w:p>
        </w:tc>
        <w:tc>
          <w:tcPr>
            <w:tcW w:w="1532" w:type="pct"/>
            <w:tcBorders>
              <w:tl2br w:val="nil"/>
              <w:tr2bl w:val="nil"/>
            </w:tcBorders>
            <w:noWrap w:val="0"/>
            <w:vAlign w:val="center"/>
          </w:tcPr>
          <w:p w14:paraId="15FA332B">
            <w:pPr>
              <w:pStyle w:val="16"/>
              <w:pageBreakBefore w:val="0"/>
              <w:wordWrap/>
              <w:bidi w:val="0"/>
              <w:adjustRightInd/>
              <w:snapToGrid/>
              <w:rPr>
                <w:color w:val="auto"/>
              </w:rPr>
            </w:pPr>
            <w:r>
              <w:rPr>
                <w:color w:val="auto"/>
              </w:rPr>
              <w:t>B×H=500×500mmH{中心}=3.60m双向受压</w:t>
            </w:r>
            <w:r>
              <w:rPr>
                <w:rFonts w:hint="eastAsia"/>
                <w:color w:val="auto"/>
                <w:lang w:eastAsia="zh-CN"/>
              </w:rPr>
              <w:t>，</w:t>
            </w:r>
            <w:r>
              <w:rPr>
                <w:color w:val="auto"/>
              </w:rPr>
              <w:t>上开式</w:t>
            </w:r>
            <w:r>
              <w:rPr>
                <w:rFonts w:hint="eastAsia"/>
                <w:color w:val="auto"/>
                <w:lang w:eastAsia="zh-CN"/>
              </w:rPr>
              <w:t>，</w:t>
            </w:r>
            <w:r>
              <w:rPr>
                <w:color w:val="auto"/>
              </w:rPr>
              <w:t>附壁式安装</w:t>
            </w:r>
            <w:r>
              <w:rPr>
                <w:rFonts w:hint="eastAsia"/>
                <w:color w:val="auto"/>
                <w:lang w:eastAsia="zh-CN"/>
              </w:rPr>
              <w:t>，</w:t>
            </w:r>
            <w:r>
              <w:rPr>
                <w:color w:val="auto"/>
              </w:rPr>
              <w:t>配手动启闭机</w:t>
            </w:r>
          </w:p>
        </w:tc>
        <w:tc>
          <w:tcPr>
            <w:tcW w:w="612" w:type="pct"/>
            <w:tcBorders>
              <w:tl2br w:val="nil"/>
              <w:tr2bl w:val="nil"/>
            </w:tcBorders>
            <w:noWrap w:val="0"/>
            <w:vAlign w:val="center"/>
          </w:tcPr>
          <w:p w14:paraId="7A9D1B64">
            <w:pPr>
              <w:pStyle w:val="16"/>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4B036B53">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6A99320C">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7160216B">
            <w:pPr>
              <w:pStyle w:val="16"/>
              <w:pageBreakBefore w:val="0"/>
              <w:wordWrap/>
              <w:bidi w:val="0"/>
              <w:adjustRightInd/>
              <w:snapToGrid/>
              <w:rPr>
                <w:color w:val="auto"/>
              </w:rPr>
            </w:pPr>
            <w:r>
              <w:rPr>
                <w:color w:val="auto"/>
              </w:rPr>
              <w:t>闸门H</w:t>
            </w:r>
            <w:r>
              <w:rPr>
                <w:rFonts w:hint="eastAsia"/>
                <w:color w:val="auto"/>
                <w:lang w:eastAsia="zh-CN"/>
              </w:rPr>
              <w:t>｛</w:t>
            </w:r>
            <w:r>
              <w:rPr>
                <w:color w:val="auto"/>
              </w:rPr>
              <w:t>中心</w:t>
            </w:r>
            <w:r>
              <w:rPr>
                <w:rFonts w:hint="eastAsia"/>
                <w:color w:val="auto"/>
                <w:lang w:eastAsia="zh-CN"/>
              </w:rPr>
              <w:t>｝</w:t>
            </w:r>
            <w:r>
              <w:rPr>
                <w:color w:val="auto"/>
              </w:rPr>
              <w:t>表示闸孔中心至启闭机底座的距离</w:t>
            </w:r>
            <w:r>
              <w:rPr>
                <w:rFonts w:hint="eastAsia"/>
                <w:color w:val="auto"/>
                <w:lang w:eastAsia="zh-CN"/>
              </w:rPr>
              <w:t>，</w:t>
            </w:r>
            <w:r>
              <w:rPr>
                <w:color w:val="auto"/>
              </w:rPr>
              <w:t>配套丝杆</w:t>
            </w:r>
            <w:r>
              <w:rPr>
                <w:rFonts w:hint="eastAsia"/>
                <w:color w:val="auto"/>
                <w:lang w:eastAsia="zh-CN"/>
              </w:rPr>
              <w:t>、</w:t>
            </w:r>
            <w:r>
              <w:rPr>
                <w:color w:val="auto"/>
              </w:rPr>
              <w:t>轴导架、联接套</w:t>
            </w:r>
          </w:p>
        </w:tc>
      </w:tr>
      <w:tr w14:paraId="050FC08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restart"/>
            <w:tcBorders>
              <w:tl2br w:val="nil"/>
              <w:tr2bl w:val="nil"/>
            </w:tcBorders>
            <w:noWrap w:val="0"/>
            <w:vAlign w:val="center"/>
          </w:tcPr>
          <w:p w14:paraId="2EEFA5E1">
            <w:pPr>
              <w:pStyle w:val="16"/>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20D8CC7A">
            <w:pPr>
              <w:pStyle w:val="16"/>
              <w:pageBreakBefore w:val="0"/>
              <w:wordWrap/>
              <w:bidi w:val="0"/>
              <w:adjustRightInd/>
              <w:snapToGrid/>
              <w:rPr>
                <w:color w:val="auto"/>
              </w:rPr>
            </w:pPr>
            <w:r>
              <w:rPr>
                <w:color w:val="auto"/>
              </w:rPr>
              <w:t>事故池提升泵</w:t>
            </w:r>
          </w:p>
        </w:tc>
        <w:tc>
          <w:tcPr>
            <w:tcW w:w="1532" w:type="pct"/>
            <w:tcBorders>
              <w:tl2br w:val="nil"/>
              <w:tr2bl w:val="nil"/>
            </w:tcBorders>
            <w:noWrap w:val="0"/>
            <w:vAlign w:val="center"/>
          </w:tcPr>
          <w:p w14:paraId="1BDCFED7">
            <w:pPr>
              <w:pStyle w:val="16"/>
              <w:pageBreakBefore w:val="0"/>
              <w:wordWrap/>
              <w:bidi w:val="0"/>
              <w:adjustRightInd/>
              <w:snapToGrid/>
              <w:rPr>
                <w:color w:val="auto"/>
              </w:rPr>
            </w:pPr>
            <w:r>
              <w:rPr>
                <w:color w:val="auto"/>
              </w:rPr>
              <w:t>潜污泵</w:t>
            </w:r>
            <w:r>
              <w:rPr>
                <w:rFonts w:hint="eastAsia"/>
                <w:color w:val="auto"/>
                <w:lang w:eastAsia="zh-CN"/>
              </w:rPr>
              <w:t>，</w:t>
            </w:r>
            <w:r>
              <w:rPr>
                <w:color w:val="auto"/>
              </w:rPr>
              <w:t>Q=100</w:t>
            </w:r>
            <w:r>
              <w:rPr>
                <w:rFonts w:hint="eastAsia"/>
                <w:color w:val="auto"/>
                <w:lang w:eastAsia="zh-CN"/>
              </w:rPr>
              <w:t>m³</w:t>
            </w:r>
            <w:r>
              <w:rPr>
                <w:color w:val="auto"/>
              </w:rPr>
              <w:t>/h</w:t>
            </w:r>
            <w:r>
              <w:rPr>
                <w:rFonts w:hint="eastAsia"/>
                <w:color w:val="auto"/>
                <w:lang w:eastAsia="zh-CN"/>
              </w:rPr>
              <w:t>，</w:t>
            </w:r>
            <w:r>
              <w:rPr>
                <w:color w:val="auto"/>
              </w:rPr>
              <w:t>H=20m</w:t>
            </w:r>
            <w:r>
              <w:rPr>
                <w:rFonts w:hint="eastAsia"/>
                <w:color w:val="auto"/>
                <w:lang w:eastAsia="zh-CN"/>
              </w:rPr>
              <w:t>，</w:t>
            </w:r>
            <w:r>
              <w:rPr>
                <w:color w:val="auto"/>
              </w:rPr>
              <w:t>N=15kW</w:t>
            </w:r>
          </w:p>
        </w:tc>
        <w:tc>
          <w:tcPr>
            <w:tcW w:w="612" w:type="pct"/>
            <w:tcBorders>
              <w:tl2br w:val="nil"/>
              <w:tr2bl w:val="nil"/>
            </w:tcBorders>
            <w:noWrap w:val="0"/>
            <w:vAlign w:val="center"/>
          </w:tcPr>
          <w:p w14:paraId="76096FAF">
            <w:pPr>
              <w:pStyle w:val="16"/>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14EB5EFF">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E62A8C9">
            <w:pPr>
              <w:pStyle w:val="16"/>
              <w:pageBreakBefore w:val="0"/>
              <w:wordWrap/>
              <w:bidi w:val="0"/>
              <w:adjustRightInd/>
              <w:snapToGrid/>
              <w:rPr>
                <w:color w:val="auto"/>
              </w:rPr>
            </w:pPr>
            <w:r>
              <w:rPr>
                <w:color w:val="auto"/>
              </w:rPr>
              <w:t>6</w:t>
            </w:r>
          </w:p>
        </w:tc>
        <w:tc>
          <w:tcPr>
            <w:tcW w:w="1132" w:type="pct"/>
            <w:tcBorders>
              <w:tl2br w:val="nil"/>
              <w:tr2bl w:val="nil"/>
            </w:tcBorders>
            <w:noWrap w:val="0"/>
            <w:vAlign w:val="center"/>
          </w:tcPr>
          <w:p w14:paraId="697DAB89">
            <w:pPr>
              <w:pStyle w:val="16"/>
              <w:pageBreakBefore w:val="0"/>
              <w:wordWrap/>
              <w:bidi w:val="0"/>
              <w:adjustRightInd/>
              <w:snapToGrid/>
              <w:rPr>
                <w:color w:val="auto"/>
              </w:rPr>
            </w:pPr>
            <w:r>
              <w:rPr>
                <w:color w:val="auto"/>
              </w:rPr>
              <w:t>3用3备</w:t>
            </w:r>
            <w:r>
              <w:rPr>
                <w:rFonts w:hint="eastAsia"/>
                <w:color w:val="auto"/>
                <w:lang w:eastAsia="zh-CN"/>
              </w:rPr>
              <w:t>，</w:t>
            </w:r>
            <w:r>
              <w:rPr>
                <w:color w:val="auto"/>
              </w:rPr>
              <w:t>变频控制</w:t>
            </w:r>
          </w:p>
        </w:tc>
      </w:tr>
      <w:tr w14:paraId="01D3E37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0D3D6641">
            <w:pPr>
              <w:pStyle w:val="16"/>
              <w:pageBreakBefore w:val="0"/>
              <w:wordWrap/>
              <w:bidi w:val="0"/>
              <w:adjustRightInd/>
              <w:snapToGrid/>
              <w:rPr>
                <w:color w:val="auto"/>
              </w:rPr>
            </w:pPr>
          </w:p>
        </w:tc>
        <w:tc>
          <w:tcPr>
            <w:tcW w:w="843" w:type="pct"/>
            <w:gridSpan w:val="2"/>
            <w:tcBorders>
              <w:tl2br w:val="nil"/>
              <w:tr2bl w:val="nil"/>
            </w:tcBorders>
            <w:noWrap w:val="0"/>
            <w:vAlign w:val="center"/>
          </w:tcPr>
          <w:p w14:paraId="64AB7F02">
            <w:pPr>
              <w:pStyle w:val="16"/>
              <w:pageBreakBefore w:val="0"/>
              <w:wordWrap/>
              <w:bidi w:val="0"/>
              <w:adjustRightInd/>
              <w:snapToGrid/>
              <w:rPr>
                <w:color w:val="auto"/>
              </w:rPr>
            </w:pPr>
            <w:r>
              <w:rPr>
                <w:color w:val="auto"/>
              </w:rPr>
              <w:t>有毒气体检测仪</w:t>
            </w:r>
          </w:p>
        </w:tc>
        <w:tc>
          <w:tcPr>
            <w:tcW w:w="1532" w:type="pct"/>
            <w:tcBorders>
              <w:tl2br w:val="nil"/>
              <w:tr2bl w:val="nil"/>
            </w:tcBorders>
            <w:noWrap w:val="0"/>
            <w:vAlign w:val="center"/>
          </w:tcPr>
          <w:p w14:paraId="5F563EB5">
            <w:pPr>
              <w:pStyle w:val="16"/>
              <w:pageBreakBefore w:val="0"/>
              <w:wordWrap/>
              <w:bidi w:val="0"/>
              <w:adjustRightInd/>
              <w:snapToGrid/>
              <w:rPr>
                <w:color w:val="auto"/>
              </w:rPr>
            </w:pPr>
            <w:r>
              <w:rPr>
                <w:color w:val="auto"/>
              </w:rPr>
              <w:t>0~50ppm</w:t>
            </w:r>
          </w:p>
        </w:tc>
        <w:tc>
          <w:tcPr>
            <w:tcW w:w="612" w:type="pct"/>
            <w:tcBorders>
              <w:tl2br w:val="nil"/>
              <w:tr2bl w:val="nil"/>
            </w:tcBorders>
            <w:noWrap w:val="0"/>
            <w:vAlign w:val="center"/>
          </w:tcPr>
          <w:p w14:paraId="17EE037E">
            <w:pPr>
              <w:pStyle w:val="16"/>
              <w:pageBreakBefore w:val="0"/>
              <w:wordWrap/>
              <w:bidi w:val="0"/>
              <w:adjustRightInd/>
              <w:snapToGrid/>
              <w:rPr>
                <w:color w:val="auto"/>
              </w:rPr>
            </w:pPr>
          </w:p>
        </w:tc>
        <w:tc>
          <w:tcPr>
            <w:tcW w:w="279" w:type="pct"/>
            <w:tcBorders>
              <w:tl2br w:val="nil"/>
              <w:tr2bl w:val="nil"/>
            </w:tcBorders>
            <w:noWrap w:val="0"/>
            <w:vAlign w:val="center"/>
          </w:tcPr>
          <w:p w14:paraId="3E6A6706">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21F0A85">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2570C4D9">
            <w:pPr>
              <w:pStyle w:val="16"/>
              <w:pageBreakBefore w:val="0"/>
              <w:wordWrap/>
              <w:bidi w:val="0"/>
              <w:adjustRightInd/>
              <w:snapToGrid/>
              <w:rPr>
                <w:color w:val="auto"/>
              </w:rPr>
            </w:pPr>
            <w:r>
              <w:rPr>
                <w:color w:val="auto"/>
              </w:rPr>
              <w:t>计入自控专业</w:t>
            </w:r>
          </w:p>
        </w:tc>
      </w:tr>
      <w:tr w14:paraId="443E751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08A2CF8">
            <w:pPr>
              <w:pStyle w:val="16"/>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7B98E9FC">
            <w:pPr>
              <w:pStyle w:val="16"/>
              <w:pageBreakBefore w:val="0"/>
              <w:wordWrap/>
              <w:bidi w:val="0"/>
              <w:adjustRightInd/>
              <w:snapToGrid/>
              <w:rPr>
                <w:color w:val="auto"/>
              </w:rPr>
            </w:pPr>
            <w:r>
              <w:rPr>
                <w:color w:val="auto"/>
              </w:rPr>
              <w:t>超声波液位计</w:t>
            </w:r>
          </w:p>
        </w:tc>
        <w:tc>
          <w:tcPr>
            <w:tcW w:w="1532" w:type="pct"/>
            <w:tcBorders>
              <w:tl2br w:val="nil"/>
              <w:tr2bl w:val="nil"/>
            </w:tcBorders>
            <w:noWrap w:val="0"/>
            <w:vAlign w:val="center"/>
          </w:tcPr>
          <w:p w14:paraId="6E815788">
            <w:pPr>
              <w:pStyle w:val="16"/>
              <w:pageBreakBefore w:val="0"/>
              <w:wordWrap/>
              <w:bidi w:val="0"/>
              <w:adjustRightInd/>
              <w:snapToGrid/>
              <w:rPr>
                <w:color w:val="auto"/>
              </w:rPr>
            </w:pPr>
            <w:r>
              <w:rPr>
                <w:color w:val="auto"/>
              </w:rPr>
              <w:t>0-10m</w:t>
            </w:r>
          </w:p>
        </w:tc>
        <w:tc>
          <w:tcPr>
            <w:tcW w:w="612" w:type="pct"/>
            <w:tcBorders>
              <w:tl2br w:val="nil"/>
              <w:tr2bl w:val="nil"/>
            </w:tcBorders>
            <w:noWrap w:val="0"/>
            <w:vAlign w:val="center"/>
          </w:tcPr>
          <w:p w14:paraId="685AB7A3">
            <w:pPr>
              <w:pStyle w:val="16"/>
              <w:pageBreakBefore w:val="0"/>
              <w:wordWrap/>
              <w:bidi w:val="0"/>
              <w:adjustRightInd/>
              <w:snapToGrid/>
              <w:rPr>
                <w:color w:val="auto"/>
              </w:rPr>
            </w:pPr>
          </w:p>
        </w:tc>
        <w:tc>
          <w:tcPr>
            <w:tcW w:w="279" w:type="pct"/>
            <w:tcBorders>
              <w:tl2br w:val="nil"/>
              <w:tr2bl w:val="nil"/>
            </w:tcBorders>
            <w:noWrap w:val="0"/>
            <w:vAlign w:val="center"/>
          </w:tcPr>
          <w:p w14:paraId="1C2B75B3">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86C9C35">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14B9E7B9">
            <w:pPr>
              <w:pStyle w:val="16"/>
              <w:pageBreakBefore w:val="0"/>
              <w:wordWrap/>
              <w:bidi w:val="0"/>
              <w:adjustRightInd/>
              <w:snapToGrid/>
              <w:rPr>
                <w:color w:val="auto"/>
              </w:rPr>
            </w:pPr>
            <w:r>
              <w:rPr>
                <w:color w:val="auto"/>
              </w:rPr>
              <w:t>计入自控专业</w:t>
            </w:r>
          </w:p>
        </w:tc>
      </w:tr>
      <w:tr w14:paraId="68FC6FB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restart"/>
            <w:tcBorders>
              <w:tl2br w:val="nil"/>
              <w:tr2bl w:val="nil"/>
            </w:tcBorders>
            <w:noWrap w:val="0"/>
            <w:vAlign w:val="center"/>
          </w:tcPr>
          <w:p w14:paraId="04282CBC">
            <w:pPr>
              <w:pStyle w:val="16"/>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6332C5B2">
            <w:pPr>
              <w:pStyle w:val="16"/>
              <w:pageBreakBefore w:val="0"/>
              <w:wordWrap/>
              <w:bidi w:val="0"/>
              <w:adjustRightInd/>
              <w:snapToGrid/>
              <w:rPr>
                <w:color w:val="auto"/>
              </w:rPr>
            </w:pPr>
            <w:r>
              <w:rPr>
                <w:color w:val="auto"/>
              </w:rPr>
              <w:t>防坠网</w:t>
            </w:r>
          </w:p>
        </w:tc>
        <w:tc>
          <w:tcPr>
            <w:tcW w:w="1532" w:type="pct"/>
            <w:tcBorders>
              <w:tl2br w:val="nil"/>
              <w:tr2bl w:val="nil"/>
            </w:tcBorders>
            <w:noWrap w:val="0"/>
            <w:vAlign w:val="center"/>
          </w:tcPr>
          <w:p w14:paraId="5C1893B5">
            <w:pPr>
              <w:pStyle w:val="16"/>
              <w:pageBreakBefore w:val="0"/>
              <w:wordWrap/>
              <w:bidi w:val="0"/>
              <w:adjustRightInd/>
              <w:snapToGrid/>
              <w:rPr>
                <w:color w:val="auto"/>
              </w:rPr>
            </w:pPr>
            <w:r>
              <w:rPr>
                <w:color w:val="auto"/>
              </w:rPr>
              <w:t>1500×1500mm</w:t>
            </w:r>
          </w:p>
        </w:tc>
        <w:tc>
          <w:tcPr>
            <w:tcW w:w="612" w:type="pct"/>
            <w:tcBorders>
              <w:tl2br w:val="nil"/>
              <w:tr2bl w:val="nil"/>
            </w:tcBorders>
            <w:noWrap w:val="0"/>
            <w:vAlign w:val="center"/>
          </w:tcPr>
          <w:p w14:paraId="7AF74155">
            <w:pPr>
              <w:pStyle w:val="16"/>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0F4569E5">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601F8AFF">
            <w:pPr>
              <w:pStyle w:val="16"/>
              <w:pageBreakBefore w:val="0"/>
              <w:wordWrap/>
              <w:bidi w:val="0"/>
              <w:adjustRightInd/>
              <w:snapToGrid/>
              <w:rPr>
                <w:color w:val="auto"/>
              </w:rPr>
            </w:pPr>
            <w:r>
              <w:rPr>
                <w:color w:val="auto"/>
              </w:rPr>
              <w:t>9</w:t>
            </w:r>
          </w:p>
        </w:tc>
        <w:tc>
          <w:tcPr>
            <w:tcW w:w="1132" w:type="pct"/>
            <w:tcBorders>
              <w:tl2br w:val="nil"/>
              <w:tr2bl w:val="nil"/>
            </w:tcBorders>
            <w:noWrap w:val="0"/>
            <w:vAlign w:val="center"/>
          </w:tcPr>
          <w:p w14:paraId="66EB2BE5">
            <w:pPr>
              <w:pStyle w:val="16"/>
              <w:pageBreakBefore w:val="0"/>
              <w:wordWrap/>
              <w:bidi w:val="0"/>
              <w:adjustRightInd/>
              <w:snapToGrid/>
              <w:rPr>
                <w:color w:val="auto"/>
              </w:rPr>
            </w:pPr>
            <w:r>
              <w:rPr>
                <w:color w:val="auto"/>
              </w:rPr>
              <w:t>配套挂钩螺栓等</w:t>
            </w:r>
          </w:p>
        </w:tc>
      </w:tr>
      <w:tr w14:paraId="4679C4F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vMerge w:val="continue"/>
            <w:tcBorders>
              <w:tl2br w:val="nil"/>
              <w:tr2bl w:val="nil"/>
            </w:tcBorders>
            <w:noWrap w:val="0"/>
            <w:vAlign w:val="center"/>
          </w:tcPr>
          <w:p w14:paraId="19C17B54">
            <w:pPr>
              <w:pStyle w:val="16"/>
              <w:pageBreakBefore w:val="0"/>
              <w:wordWrap/>
              <w:bidi w:val="0"/>
              <w:adjustRightInd/>
              <w:snapToGrid/>
              <w:rPr>
                <w:color w:val="auto"/>
              </w:rPr>
            </w:pPr>
          </w:p>
        </w:tc>
        <w:tc>
          <w:tcPr>
            <w:tcW w:w="843" w:type="pct"/>
            <w:gridSpan w:val="2"/>
            <w:tcBorders>
              <w:tl2br w:val="nil"/>
              <w:tr2bl w:val="nil"/>
            </w:tcBorders>
            <w:noWrap w:val="0"/>
            <w:vAlign w:val="center"/>
          </w:tcPr>
          <w:p w14:paraId="7144F2AE">
            <w:pPr>
              <w:pStyle w:val="16"/>
              <w:pageBreakBefore w:val="0"/>
              <w:wordWrap/>
              <w:bidi w:val="0"/>
              <w:adjustRightInd/>
              <w:snapToGrid/>
              <w:rPr>
                <w:color w:val="auto"/>
              </w:rPr>
            </w:pPr>
            <w:r>
              <w:rPr>
                <w:color w:val="auto"/>
              </w:rPr>
              <w:t>防坠网</w:t>
            </w:r>
          </w:p>
        </w:tc>
        <w:tc>
          <w:tcPr>
            <w:tcW w:w="1532" w:type="pct"/>
            <w:tcBorders>
              <w:tl2br w:val="nil"/>
              <w:tr2bl w:val="nil"/>
            </w:tcBorders>
            <w:noWrap w:val="0"/>
            <w:vAlign w:val="center"/>
          </w:tcPr>
          <w:p w14:paraId="48883EB6">
            <w:pPr>
              <w:pStyle w:val="16"/>
              <w:pageBreakBefore w:val="0"/>
              <w:wordWrap/>
              <w:bidi w:val="0"/>
              <w:adjustRightInd/>
              <w:snapToGrid/>
              <w:rPr>
                <w:color w:val="auto"/>
              </w:rPr>
            </w:pPr>
            <w:r>
              <w:rPr>
                <w:color w:val="auto"/>
              </w:rPr>
              <w:t>3000×1200mm</w:t>
            </w:r>
          </w:p>
        </w:tc>
        <w:tc>
          <w:tcPr>
            <w:tcW w:w="612" w:type="pct"/>
            <w:tcBorders>
              <w:tl2br w:val="nil"/>
              <w:tr2bl w:val="nil"/>
            </w:tcBorders>
            <w:noWrap w:val="0"/>
            <w:vAlign w:val="center"/>
          </w:tcPr>
          <w:p w14:paraId="5ADEF503">
            <w:pPr>
              <w:pStyle w:val="16"/>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6E3AF5B3">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7AB58300">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2D6C726D">
            <w:pPr>
              <w:pStyle w:val="16"/>
              <w:pageBreakBefore w:val="0"/>
              <w:wordWrap/>
              <w:bidi w:val="0"/>
              <w:adjustRightInd/>
              <w:snapToGrid/>
              <w:rPr>
                <w:color w:val="auto"/>
              </w:rPr>
            </w:pPr>
            <w:r>
              <w:rPr>
                <w:color w:val="auto"/>
              </w:rPr>
              <w:t>配套挂钩螺栓等</w:t>
            </w:r>
          </w:p>
        </w:tc>
      </w:tr>
      <w:tr w14:paraId="4AD4E4E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2275C27">
            <w:pPr>
              <w:pStyle w:val="16"/>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49C057BC">
            <w:pPr>
              <w:pStyle w:val="16"/>
              <w:pageBreakBefore w:val="0"/>
              <w:wordWrap/>
              <w:bidi w:val="0"/>
              <w:adjustRightInd/>
              <w:snapToGrid/>
              <w:rPr>
                <w:color w:val="auto"/>
              </w:rPr>
            </w:pPr>
            <w:r>
              <w:rPr>
                <w:color w:val="auto"/>
              </w:rPr>
              <w:t>防坠网</w:t>
            </w:r>
          </w:p>
        </w:tc>
        <w:tc>
          <w:tcPr>
            <w:tcW w:w="1532" w:type="pct"/>
            <w:tcBorders>
              <w:tl2br w:val="nil"/>
              <w:tr2bl w:val="nil"/>
            </w:tcBorders>
            <w:noWrap w:val="0"/>
            <w:vAlign w:val="center"/>
          </w:tcPr>
          <w:p w14:paraId="068D2E8B">
            <w:pPr>
              <w:pStyle w:val="16"/>
              <w:pageBreakBefore w:val="0"/>
              <w:wordWrap/>
              <w:bidi w:val="0"/>
              <w:adjustRightInd/>
              <w:snapToGrid/>
              <w:rPr>
                <w:color w:val="auto"/>
              </w:rPr>
            </w:pPr>
            <w:r>
              <w:rPr>
                <w:color w:val="auto"/>
              </w:rPr>
              <w:t>1000×1500mm</w:t>
            </w:r>
          </w:p>
        </w:tc>
        <w:tc>
          <w:tcPr>
            <w:tcW w:w="612" w:type="pct"/>
            <w:tcBorders>
              <w:tl2br w:val="nil"/>
              <w:tr2bl w:val="nil"/>
            </w:tcBorders>
            <w:noWrap w:val="0"/>
            <w:vAlign w:val="center"/>
          </w:tcPr>
          <w:p w14:paraId="6EE78BCB">
            <w:pPr>
              <w:pStyle w:val="16"/>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3B9F9778">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5C085300">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1A9CF8B4">
            <w:pPr>
              <w:pStyle w:val="16"/>
              <w:pageBreakBefore w:val="0"/>
              <w:wordWrap/>
              <w:bidi w:val="0"/>
              <w:adjustRightInd/>
              <w:snapToGrid/>
              <w:rPr>
                <w:color w:val="auto"/>
              </w:rPr>
            </w:pPr>
            <w:r>
              <w:rPr>
                <w:color w:val="auto"/>
              </w:rPr>
              <w:t>配套挂钩螺栓等</w:t>
            </w:r>
          </w:p>
        </w:tc>
      </w:tr>
      <w:tr w14:paraId="4C9974F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0984AECC">
            <w:pPr>
              <w:pStyle w:val="16"/>
              <w:pageBreakBefore w:val="0"/>
              <w:wordWrap/>
              <w:bidi w:val="0"/>
              <w:adjustRightInd/>
              <w:snapToGrid/>
              <w:jc w:val="left"/>
              <w:rPr>
                <w:color w:val="auto"/>
              </w:rPr>
            </w:pPr>
            <w:r>
              <w:rPr>
                <w:b/>
                <w:bCs/>
                <w:color w:val="auto"/>
              </w:rPr>
              <w:t>风机房主要设备表</w:t>
            </w:r>
          </w:p>
        </w:tc>
      </w:tr>
      <w:tr w14:paraId="683B6CB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50E0AD5">
            <w:pPr>
              <w:pStyle w:val="16"/>
              <w:pageBreakBefore w:val="0"/>
              <w:wordWrap/>
              <w:bidi w:val="0"/>
              <w:adjustRightInd/>
              <w:snapToGrid/>
              <w:rPr>
                <w:rFonts w:hint="eastAsia" w:eastAsia="宋体"/>
                <w:b/>
                <w:bCs/>
                <w:color w:val="auto"/>
                <w:lang w:eastAsia="zh-CN"/>
              </w:rPr>
            </w:pPr>
            <w:r>
              <w:rPr>
                <w:rFonts w:hint="eastAsia"/>
                <w:b/>
                <w:bCs/>
                <w:color w:val="auto"/>
                <w:lang w:eastAsia="zh-CN"/>
              </w:rPr>
              <w:t>序号</w:t>
            </w:r>
          </w:p>
        </w:tc>
        <w:tc>
          <w:tcPr>
            <w:tcW w:w="843" w:type="pct"/>
            <w:gridSpan w:val="2"/>
            <w:tcBorders>
              <w:tl2br w:val="nil"/>
              <w:tr2bl w:val="nil"/>
            </w:tcBorders>
            <w:noWrap w:val="0"/>
            <w:vAlign w:val="center"/>
          </w:tcPr>
          <w:p w14:paraId="3A917E36">
            <w:pPr>
              <w:pStyle w:val="16"/>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28F21470">
            <w:pPr>
              <w:pStyle w:val="16"/>
              <w:pageBreakBefore w:val="0"/>
              <w:wordWrap/>
              <w:bidi w:val="0"/>
              <w:adjustRightInd/>
              <w:snapToGrid/>
              <w:rPr>
                <w:b/>
                <w:bCs/>
                <w:color w:val="auto"/>
              </w:rPr>
            </w:pPr>
            <w:r>
              <w:rPr>
                <w:b/>
                <w:bCs/>
                <w:color w:val="auto"/>
              </w:rPr>
              <w:t>规格</w:t>
            </w:r>
          </w:p>
        </w:tc>
        <w:tc>
          <w:tcPr>
            <w:tcW w:w="612" w:type="pct"/>
            <w:tcBorders>
              <w:tl2br w:val="nil"/>
              <w:tr2bl w:val="nil"/>
            </w:tcBorders>
            <w:noWrap w:val="0"/>
            <w:vAlign w:val="center"/>
          </w:tcPr>
          <w:p w14:paraId="2A1C1F3F">
            <w:pPr>
              <w:pStyle w:val="16"/>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4FDCA59C">
            <w:pPr>
              <w:pStyle w:val="16"/>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3C14D9E2">
            <w:pPr>
              <w:pStyle w:val="16"/>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420796DC">
            <w:pPr>
              <w:pStyle w:val="16"/>
              <w:pageBreakBefore w:val="0"/>
              <w:wordWrap/>
              <w:bidi w:val="0"/>
              <w:adjustRightInd/>
              <w:snapToGrid/>
              <w:rPr>
                <w:b/>
                <w:bCs/>
                <w:color w:val="auto"/>
              </w:rPr>
            </w:pPr>
            <w:r>
              <w:rPr>
                <w:b/>
                <w:bCs/>
                <w:color w:val="auto"/>
              </w:rPr>
              <w:t>备注</w:t>
            </w:r>
          </w:p>
        </w:tc>
      </w:tr>
      <w:tr w14:paraId="6AB8A22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8887F44">
            <w:pPr>
              <w:pStyle w:val="16"/>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6C2932E3">
            <w:pPr>
              <w:pStyle w:val="16"/>
              <w:pageBreakBefore w:val="0"/>
              <w:wordWrap/>
              <w:bidi w:val="0"/>
              <w:adjustRightInd/>
              <w:snapToGrid/>
              <w:rPr>
                <w:color w:val="auto"/>
              </w:rPr>
            </w:pPr>
            <w:r>
              <w:rPr>
                <w:color w:val="auto"/>
              </w:rPr>
              <w:t>空气悬浮鼓风机</w:t>
            </w:r>
          </w:p>
        </w:tc>
        <w:tc>
          <w:tcPr>
            <w:tcW w:w="1532" w:type="pct"/>
            <w:tcBorders>
              <w:tl2br w:val="nil"/>
              <w:tr2bl w:val="nil"/>
            </w:tcBorders>
            <w:noWrap w:val="0"/>
            <w:vAlign w:val="center"/>
          </w:tcPr>
          <w:p w14:paraId="424D6078">
            <w:pPr>
              <w:pStyle w:val="16"/>
              <w:pageBreakBefore w:val="0"/>
              <w:wordWrap/>
              <w:bidi w:val="0"/>
              <w:adjustRightInd/>
              <w:snapToGrid/>
              <w:rPr>
                <w:color w:val="auto"/>
              </w:rPr>
            </w:pPr>
            <w:r>
              <w:rPr>
                <w:color w:val="auto"/>
              </w:rPr>
              <w:t>Q=4.7</w:t>
            </w:r>
            <w:r>
              <w:rPr>
                <w:rFonts w:hint="eastAsia"/>
                <w:color w:val="auto"/>
                <w:lang w:eastAsia="zh-CN"/>
              </w:rPr>
              <w:t>m³</w:t>
            </w:r>
            <w:r>
              <w:rPr>
                <w:color w:val="auto"/>
              </w:rPr>
              <w:t>/min</w:t>
            </w:r>
            <w:r>
              <w:rPr>
                <w:rFonts w:hint="eastAsia"/>
                <w:color w:val="auto"/>
                <w:lang w:eastAsia="zh-CN"/>
              </w:rPr>
              <w:t>，</w:t>
            </w:r>
            <w:r>
              <w:rPr>
                <w:color w:val="auto"/>
              </w:rPr>
              <w:t>P=0.06MPa</w:t>
            </w:r>
            <w:r>
              <w:rPr>
                <w:rFonts w:hint="eastAsia"/>
                <w:color w:val="auto"/>
                <w:lang w:eastAsia="zh-CN"/>
              </w:rPr>
              <w:t>，</w:t>
            </w:r>
            <w:r>
              <w:rPr>
                <w:color w:val="auto"/>
              </w:rPr>
              <w:t>整机功率11kW</w:t>
            </w:r>
          </w:p>
        </w:tc>
        <w:tc>
          <w:tcPr>
            <w:tcW w:w="612" w:type="pct"/>
            <w:tcBorders>
              <w:tl2br w:val="nil"/>
              <w:tr2bl w:val="nil"/>
            </w:tcBorders>
            <w:noWrap w:val="0"/>
            <w:vAlign w:val="center"/>
          </w:tcPr>
          <w:p w14:paraId="6A3B3FD4">
            <w:pPr>
              <w:pStyle w:val="16"/>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6AA6C247">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1AC7AAD6">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16B30A77">
            <w:pPr>
              <w:pStyle w:val="16"/>
              <w:pageBreakBefore w:val="0"/>
              <w:wordWrap/>
              <w:bidi w:val="0"/>
              <w:adjustRightInd/>
              <w:snapToGrid/>
              <w:rPr>
                <w:color w:val="auto"/>
              </w:rPr>
            </w:pPr>
            <w:r>
              <w:rPr>
                <w:color w:val="auto"/>
              </w:rPr>
              <w:t>2用</w:t>
            </w:r>
            <w:r>
              <w:rPr>
                <w:rFonts w:hint="eastAsia"/>
                <w:color w:val="auto"/>
                <w:lang w:eastAsia="zh-CN"/>
              </w:rPr>
              <w:t>1</w:t>
            </w:r>
            <w:r>
              <w:rPr>
                <w:color w:val="auto"/>
              </w:rPr>
              <w:t>备</w:t>
            </w:r>
            <w:r>
              <w:rPr>
                <w:rFonts w:hint="eastAsia"/>
                <w:color w:val="auto"/>
                <w:lang w:eastAsia="zh-CN"/>
              </w:rPr>
              <w:t>，</w:t>
            </w:r>
            <w:r>
              <w:rPr>
                <w:color w:val="auto"/>
              </w:rPr>
              <w:t>配隔音罩</w:t>
            </w:r>
            <w:r>
              <w:rPr>
                <w:rFonts w:hint="eastAsia"/>
                <w:color w:val="auto"/>
                <w:lang w:eastAsia="zh-CN"/>
              </w:rPr>
              <w:t>，</w:t>
            </w:r>
            <w:r>
              <w:rPr>
                <w:color w:val="auto"/>
              </w:rPr>
              <w:t>安全卸荷阀</w:t>
            </w:r>
            <w:r>
              <w:rPr>
                <w:rFonts w:hint="eastAsia"/>
                <w:color w:val="auto"/>
                <w:lang w:eastAsia="zh-CN"/>
              </w:rPr>
              <w:t>，</w:t>
            </w:r>
            <w:r>
              <w:rPr>
                <w:color w:val="auto"/>
              </w:rPr>
              <w:t>止回阀</w:t>
            </w:r>
            <w:r>
              <w:rPr>
                <w:rFonts w:hint="eastAsia"/>
                <w:color w:val="auto"/>
                <w:lang w:eastAsia="zh-CN"/>
              </w:rPr>
              <w:t>，</w:t>
            </w:r>
            <w:r>
              <w:rPr>
                <w:color w:val="auto"/>
              </w:rPr>
              <w:t>补偿器</w:t>
            </w:r>
            <w:r>
              <w:rPr>
                <w:rFonts w:hint="eastAsia"/>
                <w:color w:val="auto"/>
                <w:lang w:eastAsia="zh-CN"/>
              </w:rPr>
              <w:t>，</w:t>
            </w:r>
            <w:r>
              <w:rPr>
                <w:color w:val="auto"/>
              </w:rPr>
              <w:t>进气过滤装置隔振垫、变频控制柜等</w:t>
            </w:r>
          </w:p>
        </w:tc>
      </w:tr>
      <w:tr w14:paraId="46AEF39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1D9A156">
            <w:pPr>
              <w:pStyle w:val="16"/>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44A470B1">
            <w:pPr>
              <w:pStyle w:val="16"/>
              <w:pageBreakBefore w:val="0"/>
              <w:wordWrap/>
              <w:bidi w:val="0"/>
              <w:adjustRightInd/>
              <w:snapToGrid/>
              <w:rPr>
                <w:color w:val="auto"/>
              </w:rPr>
            </w:pPr>
            <w:r>
              <w:rPr>
                <w:color w:val="auto"/>
              </w:rPr>
              <w:t>轴流通风机</w:t>
            </w:r>
          </w:p>
        </w:tc>
        <w:tc>
          <w:tcPr>
            <w:tcW w:w="1532" w:type="pct"/>
            <w:tcBorders>
              <w:tl2br w:val="nil"/>
              <w:tr2bl w:val="nil"/>
            </w:tcBorders>
            <w:noWrap w:val="0"/>
            <w:vAlign w:val="center"/>
          </w:tcPr>
          <w:p w14:paraId="3E592F88">
            <w:pPr>
              <w:pStyle w:val="16"/>
              <w:pageBreakBefore w:val="0"/>
              <w:wordWrap/>
              <w:bidi w:val="0"/>
              <w:adjustRightInd/>
              <w:snapToGrid/>
              <w:rPr>
                <w:color w:val="auto"/>
              </w:rPr>
            </w:pPr>
            <w:r>
              <w:rPr>
                <w:color w:val="auto"/>
              </w:rPr>
              <w:t>G=1500</w:t>
            </w:r>
            <w:r>
              <w:rPr>
                <w:rFonts w:hint="eastAsia"/>
                <w:color w:val="auto"/>
                <w:lang w:eastAsia="zh-CN"/>
              </w:rPr>
              <w:t>m³</w:t>
            </w:r>
            <w:r>
              <w:rPr>
                <w:color w:val="auto"/>
              </w:rPr>
              <w:t>/h</w:t>
            </w:r>
            <w:r>
              <w:rPr>
                <w:rFonts w:hint="eastAsia"/>
                <w:color w:val="auto"/>
                <w:lang w:eastAsia="zh-CN"/>
              </w:rPr>
              <w:t>，</w:t>
            </w:r>
            <w:r>
              <w:rPr>
                <w:color w:val="auto"/>
              </w:rPr>
              <w:t>H=135Pa</w:t>
            </w:r>
            <w:r>
              <w:rPr>
                <w:rFonts w:hint="eastAsia"/>
                <w:color w:val="auto"/>
                <w:lang w:eastAsia="zh-CN"/>
              </w:rPr>
              <w:t>，</w:t>
            </w:r>
            <w:r>
              <w:rPr>
                <w:color w:val="auto"/>
              </w:rPr>
              <w:t>n=1450rpm</w:t>
            </w:r>
            <w:r>
              <w:rPr>
                <w:rFonts w:hint="eastAsia"/>
                <w:color w:val="auto"/>
                <w:lang w:eastAsia="zh-CN"/>
              </w:rPr>
              <w:t>，</w:t>
            </w:r>
            <w:r>
              <w:rPr>
                <w:color w:val="auto"/>
              </w:rPr>
              <w:t>N=0.37kW</w:t>
            </w:r>
          </w:p>
        </w:tc>
        <w:tc>
          <w:tcPr>
            <w:tcW w:w="612" w:type="pct"/>
            <w:tcBorders>
              <w:tl2br w:val="nil"/>
              <w:tr2bl w:val="nil"/>
            </w:tcBorders>
            <w:noWrap w:val="0"/>
            <w:vAlign w:val="center"/>
          </w:tcPr>
          <w:p w14:paraId="7D92B40D">
            <w:pPr>
              <w:pStyle w:val="16"/>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1FC2B179">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094B7899">
            <w:pPr>
              <w:pStyle w:val="16"/>
              <w:pageBreakBefore w:val="0"/>
              <w:wordWrap/>
              <w:bidi w:val="0"/>
              <w:adjustRightInd/>
              <w:snapToGrid/>
              <w:rPr>
                <w:color w:val="auto"/>
              </w:rPr>
            </w:pPr>
            <w:r>
              <w:rPr>
                <w:color w:val="auto"/>
              </w:rPr>
              <w:t>8</w:t>
            </w:r>
          </w:p>
        </w:tc>
        <w:tc>
          <w:tcPr>
            <w:tcW w:w="1132" w:type="pct"/>
            <w:tcBorders>
              <w:tl2br w:val="nil"/>
              <w:tr2bl w:val="nil"/>
            </w:tcBorders>
            <w:noWrap w:val="0"/>
            <w:vAlign w:val="center"/>
          </w:tcPr>
          <w:p w14:paraId="5E38F6D6">
            <w:pPr>
              <w:pStyle w:val="16"/>
              <w:pageBreakBefore w:val="0"/>
              <w:wordWrap/>
              <w:bidi w:val="0"/>
              <w:adjustRightInd/>
              <w:snapToGrid/>
              <w:rPr>
                <w:color w:val="auto"/>
              </w:rPr>
            </w:pPr>
          </w:p>
        </w:tc>
      </w:tr>
      <w:tr w14:paraId="0665330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3EAA40F">
            <w:pPr>
              <w:pStyle w:val="16"/>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3613E878">
            <w:pPr>
              <w:pStyle w:val="16"/>
              <w:pageBreakBefore w:val="0"/>
              <w:wordWrap/>
              <w:bidi w:val="0"/>
              <w:adjustRightInd/>
              <w:snapToGrid/>
              <w:rPr>
                <w:color w:val="auto"/>
              </w:rPr>
            </w:pPr>
            <w:r>
              <w:rPr>
                <w:color w:val="auto"/>
              </w:rPr>
              <w:t>磷酸铵盐干粉灭火器</w:t>
            </w:r>
          </w:p>
        </w:tc>
        <w:tc>
          <w:tcPr>
            <w:tcW w:w="1532" w:type="pct"/>
            <w:tcBorders>
              <w:tl2br w:val="nil"/>
              <w:tr2bl w:val="nil"/>
            </w:tcBorders>
            <w:noWrap w:val="0"/>
            <w:vAlign w:val="center"/>
          </w:tcPr>
          <w:p w14:paraId="64BD0521">
            <w:pPr>
              <w:pStyle w:val="16"/>
              <w:pageBreakBefore w:val="0"/>
              <w:wordWrap/>
              <w:bidi w:val="0"/>
              <w:adjustRightInd/>
              <w:snapToGrid/>
              <w:rPr>
                <w:color w:val="auto"/>
              </w:rPr>
            </w:pPr>
            <w:r>
              <w:rPr>
                <w:color w:val="auto"/>
              </w:rPr>
              <w:t>MF/ABC5</w:t>
            </w:r>
          </w:p>
        </w:tc>
        <w:tc>
          <w:tcPr>
            <w:tcW w:w="612" w:type="pct"/>
            <w:tcBorders>
              <w:tl2br w:val="nil"/>
              <w:tr2bl w:val="nil"/>
            </w:tcBorders>
            <w:noWrap w:val="0"/>
            <w:vAlign w:val="center"/>
          </w:tcPr>
          <w:p w14:paraId="34C0F53F">
            <w:pPr>
              <w:pStyle w:val="16"/>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1F4D87A1">
            <w:pPr>
              <w:pStyle w:val="16"/>
              <w:pageBreakBefore w:val="0"/>
              <w:wordWrap/>
              <w:bidi w:val="0"/>
              <w:adjustRightInd/>
              <w:snapToGrid/>
              <w:rPr>
                <w:color w:val="auto"/>
              </w:rPr>
            </w:pPr>
            <w:r>
              <w:rPr>
                <w:color w:val="auto"/>
              </w:rPr>
              <w:t>具</w:t>
            </w:r>
          </w:p>
        </w:tc>
        <w:tc>
          <w:tcPr>
            <w:tcW w:w="244" w:type="pct"/>
            <w:tcBorders>
              <w:tl2br w:val="nil"/>
              <w:tr2bl w:val="nil"/>
            </w:tcBorders>
            <w:noWrap w:val="0"/>
            <w:vAlign w:val="center"/>
          </w:tcPr>
          <w:p w14:paraId="1E60B691">
            <w:pPr>
              <w:pStyle w:val="16"/>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0F933DD3">
            <w:pPr>
              <w:pStyle w:val="16"/>
              <w:pageBreakBefore w:val="0"/>
              <w:wordWrap/>
              <w:bidi w:val="0"/>
              <w:adjustRightInd/>
              <w:snapToGrid/>
              <w:rPr>
                <w:color w:val="auto"/>
              </w:rPr>
            </w:pPr>
          </w:p>
        </w:tc>
      </w:tr>
      <w:tr w14:paraId="6CBEC58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1D270BF">
            <w:pPr>
              <w:pStyle w:val="16"/>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4C66527B">
            <w:pPr>
              <w:pStyle w:val="16"/>
              <w:pageBreakBefore w:val="0"/>
              <w:wordWrap/>
              <w:bidi w:val="0"/>
              <w:adjustRightInd/>
              <w:snapToGrid/>
              <w:rPr>
                <w:color w:val="auto"/>
              </w:rPr>
            </w:pPr>
            <w:r>
              <w:rPr>
                <w:color w:val="auto"/>
              </w:rPr>
              <w:t>止回阀</w:t>
            </w:r>
          </w:p>
        </w:tc>
        <w:tc>
          <w:tcPr>
            <w:tcW w:w="1532" w:type="pct"/>
            <w:tcBorders>
              <w:tl2br w:val="nil"/>
              <w:tr2bl w:val="nil"/>
            </w:tcBorders>
            <w:noWrap w:val="0"/>
            <w:vAlign w:val="center"/>
          </w:tcPr>
          <w:p w14:paraId="7942683A">
            <w:pPr>
              <w:pStyle w:val="16"/>
              <w:pageBreakBefore w:val="0"/>
              <w:wordWrap/>
              <w:bidi w:val="0"/>
              <w:adjustRightInd/>
              <w:snapToGrid/>
              <w:rPr>
                <w:color w:val="auto"/>
              </w:rPr>
            </w:pPr>
            <w:r>
              <w:rPr>
                <w:color w:val="auto"/>
              </w:rPr>
              <w:t>DN100</w:t>
            </w:r>
          </w:p>
        </w:tc>
        <w:tc>
          <w:tcPr>
            <w:tcW w:w="612" w:type="pct"/>
            <w:tcBorders>
              <w:tl2br w:val="nil"/>
              <w:tr2bl w:val="nil"/>
            </w:tcBorders>
            <w:noWrap w:val="0"/>
            <w:vAlign w:val="center"/>
          </w:tcPr>
          <w:p w14:paraId="196A6E14">
            <w:pPr>
              <w:pStyle w:val="16"/>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5E0603CA">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6616F9F6">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51CE2B07">
            <w:pPr>
              <w:pStyle w:val="16"/>
              <w:pageBreakBefore w:val="0"/>
              <w:wordWrap/>
              <w:bidi w:val="0"/>
              <w:adjustRightInd/>
              <w:snapToGrid/>
              <w:rPr>
                <w:color w:val="auto"/>
              </w:rPr>
            </w:pPr>
            <w:r>
              <w:rPr>
                <w:color w:val="auto"/>
              </w:rPr>
              <w:t>配套法兰</w:t>
            </w:r>
            <w:r>
              <w:rPr>
                <w:rFonts w:hint="eastAsia"/>
                <w:color w:val="auto"/>
                <w:lang w:eastAsia="zh-CN"/>
              </w:rPr>
              <w:t>、</w:t>
            </w:r>
            <w:r>
              <w:rPr>
                <w:color w:val="auto"/>
              </w:rPr>
              <w:t>螺栓螺母及垫片</w:t>
            </w:r>
          </w:p>
        </w:tc>
      </w:tr>
      <w:tr w14:paraId="5B06400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D892395">
            <w:pPr>
              <w:pStyle w:val="16"/>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71BF45F9">
            <w:pPr>
              <w:pStyle w:val="16"/>
              <w:pageBreakBefore w:val="0"/>
              <w:wordWrap/>
              <w:bidi w:val="0"/>
              <w:adjustRightInd/>
              <w:snapToGrid/>
              <w:rPr>
                <w:color w:val="auto"/>
              </w:rPr>
            </w:pPr>
            <w:r>
              <w:rPr>
                <w:color w:val="auto"/>
              </w:rPr>
              <w:t>柔性接头</w:t>
            </w:r>
          </w:p>
        </w:tc>
        <w:tc>
          <w:tcPr>
            <w:tcW w:w="1532" w:type="pct"/>
            <w:tcBorders>
              <w:tl2br w:val="nil"/>
              <w:tr2bl w:val="nil"/>
            </w:tcBorders>
            <w:noWrap w:val="0"/>
            <w:vAlign w:val="center"/>
          </w:tcPr>
          <w:p w14:paraId="2DACA61B">
            <w:pPr>
              <w:pStyle w:val="16"/>
              <w:pageBreakBefore w:val="0"/>
              <w:wordWrap/>
              <w:bidi w:val="0"/>
              <w:adjustRightInd/>
              <w:snapToGrid/>
              <w:rPr>
                <w:color w:val="auto"/>
              </w:rPr>
            </w:pPr>
            <w:r>
              <w:rPr>
                <w:color w:val="auto"/>
              </w:rPr>
              <w:t>DN100</w:t>
            </w:r>
          </w:p>
        </w:tc>
        <w:tc>
          <w:tcPr>
            <w:tcW w:w="612" w:type="pct"/>
            <w:tcBorders>
              <w:tl2br w:val="nil"/>
              <w:tr2bl w:val="nil"/>
            </w:tcBorders>
            <w:noWrap w:val="0"/>
            <w:vAlign w:val="center"/>
          </w:tcPr>
          <w:p w14:paraId="2B839B00">
            <w:pPr>
              <w:pStyle w:val="16"/>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7DD25475">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66C72E17">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102EAED7">
            <w:pPr>
              <w:pStyle w:val="16"/>
              <w:pageBreakBefore w:val="0"/>
              <w:wordWrap/>
              <w:bidi w:val="0"/>
              <w:adjustRightInd/>
              <w:snapToGrid/>
              <w:rPr>
                <w:color w:val="auto"/>
              </w:rPr>
            </w:pPr>
            <w:r>
              <w:rPr>
                <w:color w:val="auto"/>
              </w:rPr>
              <w:t>配套法兰</w:t>
            </w:r>
            <w:r>
              <w:rPr>
                <w:rFonts w:hint="eastAsia"/>
                <w:color w:val="auto"/>
                <w:lang w:eastAsia="zh-CN"/>
              </w:rPr>
              <w:t>、</w:t>
            </w:r>
            <w:r>
              <w:rPr>
                <w:color w:val="auto"/>
              </w:rPr>
              <w:t>螺栓螺母及垫片</w:t>
            </w:r>
          </w:p>
        </w:tc>
      </w:tr>
      <w:tr w14:paraId="02B6462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3B87387">
            <w:pPr>
              <w:pStyle w:val="16"/>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45BD4B6D">
            <w:pPr>
              <w:pStyle w:val="16"/>
              <w:pageBreakBefore w:val="0"/>
              <w:wordWrap/>
              <w:bidi w:val="0"/>
              <w:adjustRightInd/>
              <w:snapToGrid/>
              <w:rPr>
                <w:color w:val="auto"/>
              </w:rPr>
            </w:pPr>
            <w:r>
              <w:rPr>
                <w:color w:val="auto"/>
              </w:rPr>
              <w:t>手动蝶阀</w:t>
            </w:r>
          </w:p>
        </w:tc>
        <w:tc>
          <w:tcPr>
            <w:tcW w:w="1532" w:type="pct"/>
            <w:tcBorders>
              <w:tl2br w:val="nil"/>
              <w:tr2bl w:val="nil"/>
            </w:tcBorders>
            <w:noWrap w:val="0"/>
            <w:vAlign w:val="center"/>
          </w:tcPr>
          <w:p w14:paraId="696ED6F8">
            <w:pPr>
              <w:pStyle w:val="16"/>
              <w:pageBreakBefore w:val="0"/>
              <w:wordWrap/>
              <w:bidi w:val="0"/>
              <w:adjustRightInd/>
              <w:snapToGrid/>
              <w:rPr>
                <w:color w:val="auto"/>
              </w:rPr>
            </w:pPr>
            <w:r>
              <w:rPr>
                <w:color w:val="auto"/>
              </w:rPr>
              <w:t>DN100</w:t>
            </w:r>
          </w:p>
        </w:tc>
        <w:tc>
          <w:tcPr>
            <w:tcW w:w="612" w:type="pct"/>
            <w:tcBorders>
              <w:tl2br w:val="nil"/>
              <w:tr2bl w:val="nil"/>
            </w:tcBorders>
            <w:noWrap w:val="0"/>
            <w:vAlign w:val="center"/>
          </w:tcPr>
          <w:p w14:paraId="20DC5E36">
            <w:pPr>
              <w:pStyle w:val="16"/>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01D5CC15">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31E6FF38">
            <w:pPr>
              <w:pStyle w:val="16"/>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2B342C58">
            <w:pPr>
              <w:pStyle w:val="16"/>
              <w:pageBreakBefore w:val="0"/>
              <w:wordWrap/>
              <w:bidi w:val="0"/>
              <w:adjustRightInd/>
              <w:snapToGrid/>
              <w:rPr>
                <w:color w:val="auto"/>
              </w:rPr>
            </w:pPr>
            <w:r>
              <w:rPr>
                <w:color w:val="auto"/>
              </w:rPr>
              <w:t>配套法兰</w:t>
            </w:r>
            <w:r>
              <w:rPr>
                <w:rFonts w:hint="eastAsia"/>
                <w:color w:val="auto"/>
                <w:lang w:eastAsia="zh-CN"/>
              </w:rPr>
              <w:t>、</w:t>
            </w:r>
            <w:r>
              <w:rPr>
                <w:color w:val="auto"/>
              </w:rPr>
              <w:t>螺栓螺母及垫片</w:t>
            </w:r>
          </w:p>
        </w:tc>
      </w:tr>
      <w:tr w14:paraId="783FE9C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4F54C3B0">
            <w:pPr>
              <w:pStyle w:val="16"/>
              <w:pageBreakBefore w:val="0"/>
              <w:wordWrap/>
              <w:bidi w:val="0"/>
              <w:adjustRightInd/>
              <w:snapToGrid/>
              <w:rPr>
                <w:color w:val="auto"/>
              </w:rPr>
            </w:pPr>
            <w:r>
              <w:rPr>
                <w:color w:val="auto"/>
              </w:rPr>
              <w:t>7</w:t>
            </w:r>
          </w:p>
        </w:tc>
        <w:tc>
          <w:tcPr>
            <w:tcW w:w="843" w:type="pct"/>
            <w:gridSpan w:val="2"/>
            <w:tcBorders>
              <w:tl2br w:val="nil"/>
              <w:tr2bl w:val="nil"/>
            </w:tcBorders>
            <w:noWrap w:val="0"/>
            <w:vAlign w:val="center"/>
          </w:tcPr>
          <w:p w14:paraId="46C4F356">
            <w:pPr>
              <w:pStyle w:val="16"/>
              <w:pageBreakBefore w:val="0"/>
              <w:wordWrap/>
              <w:bidi w:val="0"/>
              <w:adjustRightInd/>
              <w:snapToGrid/>
              <w:rPr>
                <w:color w:val="auto"/>
              </w:rPr>
            </w:pPr>
            <w:r>
              <w:rPr>
                <w:color w:val="auto"/>
              </w:rPr>
              <w:t>电动蝶阀</w:t>
            </w:r>
          </w:p>
        </w:tc>
        <w:tc>
          <w:tcPr>
            <w:tcW w:w="1532" w:type="pct"/>
            <w:tcBorders>
              <w:tl2br w:val="nil"/>
              <w:tr2bl w:val="nil"/>
            </w:tcBorders>
            <w:noWrap w:val="0"/>
            <w:vAlign w:val="center"/>
          </w:tcPr>
          <w:p w14:paraId="0616E4FA">
            <w:pPr>
              <w:pStyle w:val="16"/>
              <w:pageBreakBefore w:val="0"/>
              <w:wordWrap/>
              <w:bidi w:val="0"/>
              <w:adjustRightInd/>
              <w:snapToGrid/>
              <w:rPr>
                <w:color w:val="auto"/>
              </w:rPr>
            </w:pPr>
            <w:r>
              <w:rPr>
                <w:color w:val="auto"/>
              </w:rPr>
              <w:t>DN100</w:t>
            </w:r>
          </w:p>
        </w:tc>
        <w:tc>
          <w:tcPr>
            <w:tcW w:w="612" w:type="pct"/>
            <w:tcBorders>
              <w:tl2br w:val="nil"/>
              <w:tr2bl w:val="nil"/>
            </w:tcBorders>
            <w:noWrap w:val="0"/>
            <w:vAlign w:val="center"/>
          </w:tcPr>
          <w:p w14:paraId="7E2E841D">
            <w:pPr>
              <w:pStyle w:val="16"/>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245FCF9D">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518790AE">
            <w:pPr>
              <w:pStyle w:val="16"/>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339A92D1">
            <w:pPr>
              <w:pStyle w:val="16"/>
              <w:pageBreakBefore w:val="0"/>
              <w:wordWrap/>
              <w:bidi w:val="0"/>
              <w:adjustRightInd/>
              <w:snapToGrid/>
              <w:rPr>
                <w:color w:val="auto"/>
              </w:rPr>
            </w:pPr>
            <w:r>
              <w:rPr>
                <w:color w:val="auto"/>
              </w:rPr>
              <w:t>配套法兰</w:t>
            </w:r>
            <w:r>
              <w:rPr>
                <w:rFonts w:hint="eastAsia"/>
                <w:color w:val="auto"/>
                <w:lang w:eastAsia="zh-CN"/>
              </w:rPr>
              <w:t>、</w:t>
            </w:r>
            <w:r>
              <w:rPr>
                <w:color w:val="auto"/>
              </w:rPr>
              <w:t>螺栓螺母及垫片</w:t>
            </w:r>
          </w:p>
        </w:tc>
      </w:tr>
      <w:tr w14:paraId="0AB599E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3C69E0A">
            <w:pPr>
              <w:pStyle w:val="16"/>
              <w:pageBreakBefore w:val="0"/>
              <w:wordWrap/>
              <w:bidi w:val="0"/>
              <w:adjustRightInd/>
              <w:snapToGrid/>
              <w:rPr>
                <w:color w:val="auto"/>
              </w:rPr>
            </w:pPr>
            <w:r>
              <w:rPr>
                <w:color w:val="auto"/>
              </w:rPr>
              <w:t>8</w:t>
            </w:r>
          </w:p>
        </w:tc>
        <w:tc>
          <w:tcPr>
            <w:tcW w:w="843" w:type="pct"/>
            <w:gridSpan w:val="2"/>
            <w:tcBorders>
              <w:tl2br w:val="nil"/>
              <w:tr2bl w:val="nil"/>
            </w:tcBorders>
            <w:noWrap w:val="0"/>
            <w:vAlign w:val="center"/>
          </w:tcPr>
          <w:p w14:paraId="6E9BA8D5">
            <w:pPr>
              <w:pStyle w:val="16"/>
              <w:pageBreakBefore w:val="0"/>
              <w:wordWrap/>
              <w:bidi w:val="0"/>
              <w:adjustRightInd/>
              <w:snapToGrid/>
              <w:rPr>
                <w:color w:val="auto"/>
              </w:rPr>
            </w:pPr>
            <w:r>
              <w:rPr>
                <w:color w:val="auto"/>
              </w:rPr>
              <w:t>消音器</w:t>
            </w:r>
          </w:p>
        </w:tc>
        <w:tc>
          <w:tcPr>
            <w:tcW w:w="1532" w:type="pct"/>
            <w:tcBorders>
              <w:tl2br w:val="nil"/>
              <w:tr2bl w:val="nil"/>
            </w:tcBorders>
            <w:noWrap w:val="0"/>
            <w:vAlign w:val="center"/>
          </w:tcPr>
          <w:p w14:paraId="4C855840">
            <w:pPr>
              <w:pStyle w:val="16"/>
              <w:pageBreakBefore w:val="0"/>
              <w:wordWrap/>
              <w:bidi w:val="0"/>
              <w:adjustRightInd/>
              <w:snapToGrid/>
              <w:rPr>
                <w:color w:val="auto"/>
              </w:rPr>
            </w:pPr>
            <w:r>
              <w:rPr>
                <w:color w:val="auto"/>
              </w:rPr>
              <w:t>DN100</w:t>
            </w:r>
          </w:p>
        </w:tc>
        <w:tc>
          <w:tcPr>
            <w:tcW w:w="612" w:type="pct"/>
            <w:tcBorders>
              <w:tl2br w:val="nil"/>
              <w:tr2bl w:val="nil"/>
            </w:tcBorders>
            <w:noWrap w:val="0"/>
            <w:vAlign w:val="center"/>
          </w:tcPr>
          <w:p w14:paraId="219B9504">
            <w:pPr>
              <w:pStyle w:val="16"/>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74EF0BAB">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1EAD6517">
            <w:pPr>
              <w:pStyle w:val="16"/>
              <w:pageBreakBefore w:val="0"/>
              <w:wordWrap/>
              <w:bidi w:val="0"/>
              <w:adjustRightInd/>
              <w:snapToGrid/>
              <w:rPr>
                <w:color w:val="auto"/>
              </w:rPr>
            </w:pPr>
            <w:r>
              <w:rPr>
                <w:color w:val="auto"/>
              </w:rPr>
              <w:t>3</w:t>
            </w:r>
          </w:p>
        </w:tc>
        <w:tc>
          <w:tcPr>
            <w:tcW w:w="1132" w:type="pct"/>
            <w:tcBorders>
              <w:tl2br w:val="nil"/>
              <w:tr2bl w:val="nil"/>
            </w:tcBorders>
            <w:noWrap w:val="0"/>
            <w:vAlign w:val="center"/>
          </w:tcPr>
          <w:p w14:paraId="3AF87C36">
            <w:pPr>
              <w:pStyle w:val="16"/>
              <w:pageBreakBefore w:val="0"/>
              <w:wordWrap/>
              <w:bidi w:val="0"/>
              <w:adjustRightInd/>
              <w:snapToGrid/>
              <w:rPr>
                <w:color w:val="auto"/>
              </w:rPr>
            </w:pPr>
            <w:r>
              <w:rPr>
                <w:color w:val="auto"/>
              </w:rPr>
              <w:t>放风口</w:t>
            </w:r>
            <w:r>
              <w:rPr>
                <w:rFonts w:hint="eastAsia"/>
                <w:color w:val="auto"/>
                <w:lang w:eastAsia="zh-CN"/>
              </w:rPr>
              <w:t>，</w:t>
            </w:r>
            <w:r>
              <w:rPr>
                <w:color w:val="auto"/>
              </w:rPr>
              <w:t>配套法兰</w:t>
            </w:r>
            <w:r>
              <w:rPr>
                <w:rFonts w:hint="eastAsia"/>
                <w:color w:val="auto"/>
                <w:lang w:eastAsia="zh-CN"/>
              </w:rPr>
              <w:t>、</w:t>
            </w:r>
            <w:r>
              <w:rPr>
                <w:color w:val="auto"/>
              </w:rPr>
              <w:t>螺栓螺母及垫片</w:t>
            </w:r>
          </w:p>
        </w:tc>
      </w:tr>
      <w:tr w14:paraId="22245CF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925CFD0">
            <w:pPr>
              <w:pStyle w:val="16"/>
              <w:pageBreakBefore w:val="0"/>
              <w:wordWrap/>
              <w:bidi w:val="0"/>
              <w:adjustRightInd/>
              <w:snapToGrid/>
              <w:rPr>
                <w:color w:val="auto"/>
              </w:rPr>
            </w:pPr>
            <w:r>
              <w:rPr>
                <w:color w:val="auto"/>
              </w:rPr>
              <w:t>9</w:t>
            </w:r>
          </w:p>
        </w:tc>
        <w:tc>
          <w:tcPr>
            <w:tcW w:w="843" w:type="pct"/>
            <w:gridSpan w:val="2"/>
            <w:tcBorders>
              <w:tl2br w:val="nil"/>
              <w:tr2bl w:val="nil"/>
            </w:tcBorders>
            <w:noWrap w:val="0"/>
            <w:vAlign w:val="center"/>
          </w:tcPr>
          <w:p w14:paraId="1559CF0C">
            <w:pPr>
              <w:pStyle w:val="16"/>
              <w:pageBreakBefore w:val="0"/>
              <w:wordWrap/>
              <w:bidi w:val="0"/>
              <w:adjustRightInd/>
              <w:snapToGrid/>
              <w:rPr>
                <w:color w:val="auto"/>
              </w:rPr>
            </w:pPr>
            <w:r>
              <w:rPr>
                <w:color w:val="auto"/>
              </w:rPr>
              <w:t>电动单梁悬挂起重机</w:t>
            </w:r>
          </w:p>
        </w:tc>
        <w:tc>
          <w:tcPr>
            <w:tcW w:w="1532" w:type="pct"/>
            <w:tcBorders>
              <w:tl2br w:val="nil"/>
              <w:tr2bl w:val="nil"/>
            </w:tcBorders>
            <w:noWrap w:val="0"/>
            <w:vAlign w:val="center"/>
          </w:tcPr>
          <w:p w14:paraId="5878685B">
            <w:pPr>
              <w:pStyle w:val="16"/>
              <w:pageBreakBefore w:val="0"/>
              <w:wordWrap/>
              <w:bidi w:val="0"/>
              <w:adjustRightInd/>
              <w:snapToGrid/>
              <w:rPr>
                <w:color w:val="auto"/>
              </w:rPr>
            </w:pPr>
            <w:r>
              <w:rPr>
                <w:color w:val="auto"/>
              </w:rPr>
              <w:t>L×型</w:t>
            </w:r>
            <w:r>
              <w:rPr>
                <w:rFonts w:hint="eastAsia"/>
                <w:color w:val="auto"/>
                <w:lang w:eastAsia="zh-CN"/>
              </w:rPr>
              <w:t>，</w:t>
            </w:r>
            <w:r>
              <w:rPr>
                <w:color w:val="auto"/>
              </w:rPr>
              <w:t>G=2t</w:t>
            </w:r>
            <w:r>
              <w:rPr>
                <w:rFonts w:hint="eastAsia"/>
                <w:color w:val="auto"/>
                <w:lang w:eastAsia="zh-CN"/>
              </w:rPr>
              <w:t>，</w:t>
            </w:r>
            <w:r>
              <w:rPr>
                <w:color w:val="auto"/>
              </w:rPr>
              <w:t>H=12.0m</w:t>
            </w:r>
            <w:r>
              <w:rPr>
                <w:rFonts w:hint="eastAsia"/>
                <w:color w:val="auto"/>
                <w:lang w:eastAsia="zh-CN"/>
              </w:rPr>
              <w:t>，</w:t>
            </w:r>
            <w:r>
              <w:rPr>
                <w:color w:val="auto"/>
              </w:rPr>
              <w:t>=16.0m</w:t>
            </w:r>
            <w:r>
              <w:rPr>
                <w:rFonts w:hint="eastAsia"/>
                <w:color w:val="auto"/>
                <w:lang w:eastAsia="zh-CN"/>
              </w:rPr>
              <w:t>，</w:t>
            </w:r>
            <w:r>
              <w:rPr>
                <w:color w:val="auto"/>
              </w:rPr>
              <w:t>N=2×0.4+0.8KW</w:t>
            </w:r>
          </w:p>
        </w:tc>
        <w:tc>
          <w:tcPr>
            <w:tcW w:w="612" w:type="pct"/>
            <w:tcBorders>
              <w:tl2br w:val="nil"/>
              <w:tr2bl w:val="nil"/>
            </w:tcBorders>
            <w:noWrap w:val="0"/>
            <w:vAlign w:val="center"/>
          </w:tcPr>
          <w:p w14:paraId="5D042AB8">
            <w:pPr>
              <w:pStyle w:val="16"/>
              <w:pageBreakBefore w:val="0"/>
              <w:wordWrap/>
              <w:bidi w:val="0"/>
              <w:adjustRightInd/>
              <w:snapToGrid/>
              <w:rPr>
                <w:color w:val="auto"/>
              </w:rPr>
            </w:pPr>
            <w:r>
              <w:rPr>
                <w:color w:val="auto"/>
              </w:rPr>
              <w:t>Q235</w:t>
            </w:r>
          </w:p>
        </w:tc>
        <w:tc>
          <w:tcPr>
            <w:tcW w:w="279" w:type="pct"/>
            <w:tcBorders>
              <w:tl2br w:val="nil"/>
              <w:tr2bl w:val="nil"/>
            </w:tcBorders>
            <w:noWrap w:val="0"/>
            <w:vAlign w:val="center"/>
          </w:tcPr>
          <w:p w14:paraId="487C87C4">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B9229F8">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6C999950">
            <w:pPr>
              <w:pStyle w:val="16"/>
              <w:pageBreakBefore w:val="0"/>
              <w:wordWrap/>
              <w:bidi w:val="0"/>
              <w:adjustRightInd/>
              <w:snapToGrid/>
              <w:rPr>
                <w:color w:val="auto"/>
              </w:rPr>
            </w:pPr>
          </w:p>
        </w:tc>
      </w:tr>
      <w:tr w14:paraId="135B440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577AEA4E">
            <w:pPr>
              <w:pStyle w:val="16"/>
              <w:pageBreakBefore w:val="0"/>
              <w:wordWrap/>
              <w:bidi w:val="0"/>
              <w:adjustRightInd/>
              <w:snapToGrid/>
              <w:jc w:val="left"/>
              <w:rPr>
                <w:color w:val="auto"/>
              </w:rPr>
            </w:pPr>
            <w:r>
              <w:rPr>
                <w:b/>
                <w:bCs/>
                <w:color w:val="auto"/>
              </w:rPr>
              <w:t>机修危废间主要设备</w:t>
            </w:r>
            <w:r>
              <w:rPr>
                <w:rFonts w:hint="eastAsia"/>
                <w:b/>
                <w:bCs/>
                <w:color w:val="auto"/>
                <w:lang w:val="en-US" w:eastAsia="zh-CN"/>
              </w:rPr>
              <w:t>一</w:t>
            </w:r>
            <w:r>
              <w:rPr>
                <w:b/>
                <w:bCs/>
                <w:color w:val="auto"/>
              </w:rPr>
              <w:t>览表</w:t>
            </w:r>
          </w:p>
        </w:tc>
      </w:tr>
      <w:tr w14:paraId="17EE321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8EB44D3">
            <w:pPr>
              <w:pStyle w:val="16"/>
              <w:pageBreakBefore w:val="0"/>
              <w:wordWrap/>
              <w:bidi w:val="0"/>
              <w:adjustRightInd/>
              <w:snapToGrid/>
              <w:rPr>
                <w:rFonts w:hint="eastAsia" w:eastAsia="宋体"/>
                <w:b/>
                <w:bCs/>
                <w:color w:val="auto"/>
                <w:lang w:eastAsia="zh-CN"/>
              </w:rPr>
            </w:pPr>
            <w:r>
              <w:rPr>
                <w:rFonts w:hint="eastAsia"/>
                <w:b/>
                <w:bCs/>
                <w:color w:val="auto"/>
                <w:lang w:eastAsia="zh-CN"/>
              </w:rPr>
              <w:t>序号</w:t>
            </w:r>
          </w:p>
        </w:tc>
        <w:tc>
          <w:tcPr>
            <w:tcW w:w="843" w:type="pct"/>
            <w:gridSpan w:val="2"/>
            <w:tcBorders>
              <w:tl2br w:val="nil"/>
              <w:tr2bl w:val="nil"/>
            </w:tcBorders>
            <w:noWrap w:val="0"/>
            <w:vAlign w:val="center"/>
          </w:tcPr>
          <w:p w14:paraId="0982CB44">
            <w:pPr>
              <w:pStyle w:val="16"/>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53D57C2A">
            <w:pPr>
              <w:pStyle w:val="16"/>
              <w:pageBreakBefore w:val="0"/>
              <w:wordWrap/>
              <w:bidi w:val="0"/>
              <w:adjustRightInd/>
              <w:snapToGrid/>
              <w:rPr>
                <w:b/>
                <w:bCs/>
                <w:color w:val="auto"/>
              </w:rPr>
            </w:pPr>
            <w:r>
              <w:rPr>
                <w:b/>
                <w:bCs/>
                <w:color w:val="auto"/>
              </w:rPr>
              <w:t>规格型号及技术参数</w:t>
            </w:r>
          </w:p>
        </w:tc>
        <w:tc>
          <w:tcPr>
            <w:tcW w:w="612" w:type="pct"/>
            <w:tcBorders>
              <w:tl2br w:val="nil"/>
              <w:tr2bl w:val="nil"/>
            </w:tcBorders>
            <w:noWrap w:val="0"/>
            <w:vAlign w:val="center"/>
          </w:tcPr>
          <w:p w14:paraId="7C705EDA">
            <w:pPr>
              <w:pStyle w:val="16"/>
              <w:pageBreakBefore w:val="0"/>
              <w:wordWrap/>
              <w:bidi w:val="0"/>
              <w:adjustRightInd/>
              <w:snapToGrid/>
              <w:rPr>
                <w:b/>
                <w:bCs/>
                <w:color w:val="auto"/>
              </w:rPr>
            </w:pPr>
            <w:r>
              <w:rPr>
                <w:b/>
                <w:bCs/>
                <w:color w:val="auto"/>
              </w:rPr>
              <w:t>材质</w:t>
            </w:r>
          </w:p>
        </w:tc>
        <w:tc>
          <w:tcPr>
            <w:tcW w:w="279" w:type="pct"/>
            <w:tcBorders>
              <w:tl2br w:val="nil"/>
              <w:tr2bl w:val="nil"/>
            </w:tcBorders>
            <w:noWrap w:val="0"/>
            <w:vAlign w:val="center"/>
          </w:tcPr>
          <w:p w14:paraId="04933895">
            <w:pPr>
              <w:pStyle w:val="16"/>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02F01D45">
            <w:pPr>
              <w:pStyle w:val="16"/>
              <w:pageBreakBefore w:val="0"/>
              <w:wordWrap/>
              <w:bidi w:val="0"/>
              <w:adjustRightInd/>
              <w:snapToGrid/>
              <w:rPr>
                <w:b/>
                <w:bCs/>
                <w:color w:val="auto"/>
              </w:rPr>
            </w:pPr>
            <w:r>
              <w:rPr>
                <w:b/>
                <w:bCs/>
                <w:color w:val="auto"/>
              </w:rPr>
              <w:t>数量</w:t>
            </w:r>
          </w:p>
        </w:tc>
        <w:tc>
          <w:tcPr>
            <w:tcW w:w="1132" w:type="pct"/>
            <w:tcBorders>
              <w:tl2br w:val="nil"/>
              <w:tr2bl w:val="nil"/>
            </w:tcBorders>
            <w:noWrap w:val="0"/>
            <w:vAlign w:val="center"/>
          </w:tcPr>
          <w:p w14:paraId="2AD2B6EF">
            <w:pPr>
              <w:pStyle w:val="16"/>
              <w:pageBreakBefore w:val="0"/>
              <w:wordWrap/>
              <w:bidi w:val="0"/>
              <w:adjustRightInd/>
              <w:snapToGrid/>
              <w:rPr>
                <w:b/>
                <w:bCs/>
                <w:color w:val="auto"/>
              </w:rPr>
            </w:pPr>
            <w:r>
              <w:rPr>
                <w:b/>
                <w:bCs/>
                <w:color w:val="auto"/>
              </w:rPr>
              <w:t>备注</w:t>
            </w:r>
          </w:p>
        </w:tc>
      </w:tr>
      <w:tr w14:paraId="0AB7112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6A53FEA">
            <w:pPr>
              <w:pStyle w:val="16"/>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2B39D26C">
            <w:pPr>
              <w:pStyle w:val="16"/>
              <w:pageBreakBefore w:val="0"/>
              <w:wordWrap/>
              <w:bidi w:val="0"/>
              <w:adjustRightInd/>
              <w:snapToGrid/>
              <w:rPr>
                <w:color w:val="auto"/>
              </w:rPr>
            </w:pPr>
            <w:r>
              <w:rPr>
                <w:color w:val="auto"/>
              </w:rPr>
              <w:t>电动单梁悬挂起重机</w:t>
            </w:r>
          </w:p>
        </w:tc>
        <w:tc>
          <w:tcPr>
            <w:tcW w:w="1532" w:type="pct"/>
            <w:tcBorders>
              <w:tl2br w:val="nil"/>
              <w:tr2bl w:val="nil"/>
            </w:tcBorders>
            <w:noWrap w:val="0"/>
            <w:vAlign w:val="center"/>
          </w:tcPr>
          <w:p w14:paraId="5B7B8558">
            <w:pPr>
              <w:pStyle w:val="16"/>
              <w:pageBreakBefore w:val="0"/>
              <w:wordWrap/>
              <w:bidi w:val="0"/>
              <w:adjustRightInd/>
              <w:snapToGrid/>
              <w:rPr>
                <w:color w:val="auto"/>
              </w:rPr>
            </w:pPr>
            <w:r>
              <w:rPr>
                <w:color w:val="auto"/>
              </w:rPr>
              <w:t>L×型</w:t>
            </w:r>
            <w:r>
              <w:rPr>
                <w:rFonts w:hint="eastAsia"/>
                <w:color w:val="auto"/>
                <w:lang w:eastAsia="zh-CN"/>
              </w:rPr>
              <w:t>，</w:t>
            </w:r>
            <w:r>
              <w:rPr>
                <w:color w:val="auto"/>
              </w:rPr>
              <w:t>Gn=2t</w:t>
            </w:r>
            <w:r>
              <w:rPr>
                <w:rFonts w:hint="eastAsia"/>
                <w:color w:val="auto"/>
                <w:lang w:eastAsia="zh-CN"/>
              </w:rPr>
              <w:t>，</w:t>
            </w:r>
            <w:r>
              <w:rPr>
                <w:color w:val="auto"/>
              </w:rPr>
              <w:t>跨</w:t>
            </w:r>
            <w:r>
              <w:rPr>
                <w:rFonts w:hint="eastAsia"/>
                <w:color w:val="auto"/>
                <w:lang w:eastAsia="zh-CN"/>
              </w:rPr>
              <w:t>度，</w:t>
            </w:r>
            <w:r>
              <w:rPr>
                <w:color w:val="auto"/>
              </w:rPr>
              <w:t>=5.2m</w:t>
            </w:r>
            <w:r>
              <w:rPr>
                <w:rFonts w:hint="eastAsia"/>
                <w:color w:val="auto"/>
                <w:lang w:eastAsia="zh-CN"/>
              </w:rPr>
              <w:t>，</w:t>
            </w:r>
            <w:r>
              <w:rPr>
                <w:color w:val="auto"/>
              </w:rPr>
              <w:t>起吊高</w:t>
            </w:r>
            <w:r>
              <w:rPr>
                <w:rFonts w:hint="eastAsia"/>
                <w:color w:val="auto"/>
                <w:lang w:eastAsia="zh-CN"/>
              </w:rPr>
              <w:t>度</w:t>
            </w:r>
            <w:r>
              <w:rPr>
                <w:color w:val="auto"/>
              </w:rPr>
              <w:t>7.0m</w:t>
            </w:r>
            <w:r>
              <w:rPr>
                <w:rFonts w:hint="eastAsia"/>
                <w:color w:val="auto"/>
                <w:lang w:eastAsia="zh-CN"/>
              </w:rPr>
              <w:t>，</w:t>
            </w:r>
            <w:r>
              <w:rPr>
                <w:color w:val="auto"/>
              </w:rPr>
              <w:t>N=2×0.4+3.0+2×0.4kW</w:t>
            </w:r>
          </w:p>
        </w:tc>
        <w:tc>
          <w:tcPr>
            <w:tcW w:w="612" w:type="pct"/>
            <w:tcBorders>
              <w:tl2br w:val="nil"/>
              <w:tr2bl w:val="nil"/>
            </w:tcBorders>
            <w:noWrap w:val="0"/>
            <w:vAlign w:val="center"/>
          </w:tcPr>
          <w:p w14:paraId="798E4060">
            <w:pPr>
              <w:pStyle w:val="16"/>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64412C95">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62353BA7">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2042C0D2">
            <w:pPr>
              <w:pStyle w:val="16"/>
              <w:pageBreakBefore w:val="0"/>
              <w:wordWrap/>
              <w:bidi w:val="0"/>
              <w:adjustRightInd/>
              <w:snapToGrid/>
              <w:rPr>
                <w:color w:val="auto"/>
              </w:rPr>
            </w:pPr>
            <w:r>
              <w:rPr>
                <w:color w:val="auto"/>
              </w:rPr>
              <w:t>用于机修间</w:t>
            </w:r>
          </w:p>
        </w:tc>
      </w:tr>
      <w:tr w14:paraId="07BA135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1B44A0F">
            <w:pPr>
              <w:pStyle w:val="16"/>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0E63FCD1">
            <w:pPr>
              <w:pStyle w:val="16"/>
              <w:pageBreakBefore w:val="0"/>
              <w:wordWrap/>
              <w:bidi w:val="0"/>
              <w:adjustRightInd/>
              <w:snapToGrid/>
              <w:rPr>
                <w:color w:val="auto"/>
              </w:rPr>
            </w:pPr>
            <w:r>
              <w:rPr>
                <w:color w:val="auto"/>
              </w:rPr>
              <w:t>玻璃钢轴流通风机</w:t>
            </w:r>
          </w:p>
        </w:tc>
        <w:tc>
          <w:tcPr>
            <w:tcW w:w="1532" w:type="pct"/>
            <w:tcBorders>
              <w:tl2br w:val="nil"/>
              <w:tr2bl w:val="nil"/>
            </w:tcBorders>
            <w:noWrap w:val="0"/>
            <w:vAlign w:val="center"/>
          </w:tcPr>
          <w:p w14:paraId="20DB47EF">
            <w:pPr>
              <w:pStyle w:val="16"/>
              <w:pageBreakBefore w:val="0"/>
              <w:wordWrap/>
              <w:bidi w:val="0"/>
              <w:adjustRightInd/>
              <w:snapToGrid/>
              <w:rPr>
                <w:color w:val="auto"/>
              </w:rPr>
            </w:pPr>
            <w:r>
              <w:rPr>
                <w:color w:val="auto"/>
              </w:rPr>
              <w:t>机号3.15#</w:t>
            </w:r>
            <w:r>
              <w:rPr>
                <w:rFonts w:hint="eastAsia"/>
                <w:color w:val="auto"/>
                <w:lang w:eastAsia="zh-CN"/>
              </w:rPr>
              <w:t>，</w:t>
            </w:r>
            <w:r>
              <w:rPr>
                <w:color w:val="auto"/>
              </w:rPr>
              <w:t>G=2078</w:t>
            </w:r>
            <w:r>
              <w:rPr>
                <w:rFonts w:hint="eastAsia"/>
                <w:color w:val="auto"/>
                <w:lang w:eastAsia="zh-CN"/>
              </w:rPr>
              <w:t>m³</w:t>
            </w:r>
            <w:r>
              <w:rPr>
                <w:color w:val="auto"/>
              </w:rPr>
              <w:t>/h</w:t>
            </w:r>
            <w:r>
              <w:rPr>
                <w:rFonts w:hint="eastAsia"/>
                <w:color w:val="auto"/>
                <w:lang w:eastAsia="zh-CN"/>
              </w:rPr>
              <w:t>，</w:t>
            </w:r>
            <w:r>
              <w:rPr>
                <w:color w:val="auto"/>
              </w:rPr>
              <w:t>n=</w:t>
            </w:r>
            <w:r>
              <w:rPr>
                <w:rFonts w:hint="eastAsia"/>
                <w:color w:val="auto"/>
                <w:lang w:eastAsia="zh-CN"/>
              </w:rPr>
              <w:t>1</w:t>
            </w:r>
            <w:r>
              <w:rPr>
                <w:color w:val="auto"/>
              </w:rPr>
              <w:t>450rpm叶轮直径D=315mm叶片角度α=35°N=0.12kW</w:t>
            </w:r>
          </w:p>
        </w:tc>
        <w:tc>
          <w:tcPr>
            <w:tcW w:w="612" w:type="pct"/>
            <w:tcBorders>
              <w:tl2br w:val="nil"/>
              <w:tr2bl w:val="nil"/>
            </w:tcBorders>
            <w:noWrap w:val="0"/>
            <w:vAlign w:val="center"/>
          </w:tcPr>
          <w:p w14:paraId="5872CC3C">
            <w:pPr>
              <w:pStyle w:val="16"/>
              <w:pageBreakBefore w:val="0"/>
              <w:wordWrap/>
              <w:bidi w:val="0"/>
              <w:adjustRightInd/>
              <w:snapToGrid/>
              <w:rPr>
                <w:color w:val="auto"/>
              </w:rPr>
            </w:pPr>
          </w:p>
        </w:tc>
        <w:tc>
          <w:tcPr>
            <w:tcW w:w="279" w:type="pct"/>
            <w:tcBorders>
              <w:tl2br w:val="nil"/>
              <w:tr2bl w:val="nil"/>
            </w:tcBorders>
            <w:noWrap w:val="0"/>
            <w:vAlign w:val="center"/>
          </w:tcPr>
          <w:p w14:paraId="2CF26310">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08707AE8">
            <w:pPr>
              <w:pStyle w:val="16"/>
              <w:pageBreakBefore w:val="0"/>
              <w:wordWrap/>
              <w:bidi w:val="0"/>
              <w:adjustRightInd/>
              <w:snapToGrid/>
              <w:rPr>
                <w:color w:val="auto"/>
              </w:rPr>
            </w:pPr>
            <w:r>
              <w:rPr>
                <w:color w:val="auto"/>
              </w:rPr>
              <w:t>8</w:t>
            </w:r>
          </w:p>
        </w:tc>
        <w:tc>
          <w:tcPr>
            <w:tcW w:w="1132" w:type="pct"/>
            <w:tcBorders>
              <w:tl2br w:val="nil"/>
              <w:tr2bl w:val="nil"/>
            </w:tcBorders>
            <w:noWrap w:val="0"/>
            <w:vAlign w:val="center"/>
          </w:tcPr>
          <w:p w14:paraId="1C0A0D10">
            <w:pPr>
              <w:pStyle w:val="16"/>
              <w:pageBreakBefore w:val="0"/>
              <w:wordWrap/>
              <w:bidi w:val="0"/>
              <w:adjustRightInd/>
              <w:snapToGrid/>
              <w:rPr>
                <w:color w:val="auto"/>
              </w:rPr>
            </w:pPr>
            <w:r>
              <w:rPr>
                <w:color w:val="auto"/>
              </w:rPr>
              <w:t>安装详图集12K101-6页甲型带防水罩等相关配件</w:t>
            </w:r>
            <w:r>
              <w:rPr>
                <w:rFonts w:hint="eastAsia"/>
                <w:color w:val="auto"/>
                <w:lang w:eastAsia="zh-CN"/>
              </w:rPr>
              <w:t>，</w:t>
            </w:r>
            <w:r>
              <w:rPr>
                <w:color w:val="auto"/>
              </w:rPr>
              <w:t>用于结晶盐仓库、机修间、危险废物暂存间排风</w:t>
            </w:r>
          </w:p>
        </w:tc>
      </w:tr>
      <w:tr w14:paraId="35BF155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64DAA34E">
            <w:pPr>
              <w:pStyle w:val="16"/>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32799C30">
            <w:pPr>
              <w:pStyle w:val="16"/>
              <w:pageBreakBefore w:val="0"/>
              <w:wordWrap/>
              <w:bidi w:val="0"/>
              <w:adjustRightInd/>
              <w:snapToGrid/>
              <w:rPr>
                <w:color w:val="auto"/>
              </w:rPr>
            </w:pPr>
            <w:r>
              <w:rPr>
                <w:color w:val="auto"/>
              </w:rPr>
              <w:t>磷酸铵盐干粉灭火器</w:t>
            </w:r>
          </w:p>
        </w:tc>
        <w:tc>
          <w:tcPr>
            <w:tcW w:w="1532" w:type="pct"/>
            <w:tcBorders>
              <w:tl2br w:val="nil"/>
              <w:tr2bl w:val="nil"/>
            </w:tcBorders>
            <w:noWrap w:val="0"/>
            <w:vAlign w:val="center"/>
          </w:tcPr>
          <w:p w14:paraId="4BFB3573">
            <w:pPr>
              <w:pStyle w:val="16"/>
              <w:pageBreakBefore w:val="0"/>
              <w:wordWrap/>
              <w:bidi w:val="0"/>
              <w:adjustRightInd/>
              <w:snapToGrid/>
              <w:rPr>
                <w:color w:val="auto"/>
              </w:rPr>
            </w:pPr>
            <w:r>
              <w:rPr>
                <w:color w:val="auto"/>
              </w:rPr>
              <w:t>MF/ABC4</w:t>
            </w:r>
          </w:p>
        </w:tc>
        <w:tc>
          <w:tcPr>
            <w:tcW w:w="612" w:type="pct"/>
            <w:tcBorders>
              <w:tl2br w:val="nil"/>
              <w:tr2bl w:val="nil"/>
            </w:tcBorders>
            <w:noWrap w:val="0"/>
            <w:vAlign w:val="center"/>
          </w:tcPr>
          <w:p w14:paraId="0B871208">
            <w:pPr>
              <w:pStyle w:val="16"/>
              <w:pageBreakBefore w:val="0"/>
              <w:wordWrap/>
              <w:bidi w:val="0"/>
              <w:adjustRightInd/>
              <w:snapToGrid/>
              <w:rPr>
                <w:color w:val="auto"/>
              </w:rPr>
            </w:pPr>
          </w:p>
        </w:tc>
        <w:tc>
          <w:tcPr>
            <w:tcW w:w="279" w:type="pct"/>
            <w:tcBorders>
              <w:tl2br w:val="nil"/>
              <w:tr2bl w:val="nil"/>
            </w:tcBorders>
            <w:noWrap w:val="0"/>
            <w:vAlign w:val="center"/>
          </w:tcPr>
          <w:p w14:paraId="122F87A8">
            <w:pPr>
              <w:pStyle w:val="16"/>
              <w:pageBreakBefore w:val="0"/>
              <w:wordWrap/>
              <w:bidi w:val="0"/>
              <w:adjustRightInd/>
              <w:snapToGrid/>
              <w:rPr>
                <w:color w:val="auto"/>
              </w:rPr>
            </w:pPr>
            <w:r>
              <w:rPr>
                <w:color w:val="auto"/>
              </w:rPr>
              <w:t>具</w:t>
            </w:r>
          </w:p>
        </w:tc>
        <w:tc>
          <w:tcPr>
            <w:tcW w:w="244" w:type="pct"/>
            <w:tcBorders>
              <w:tl2br w:val="nil"/>
              <w:tr2bl w:val="nil"/>
            </w:tcBorders>
            <w:noWrap w:val="0"/>
            <w:vAlign w:val="center"/>
          </w:tcPr>
          <w:p w14:paraId="7B26A9AF">
            <w:pPr>
              <w:pStyle w:val="16"/>
              <w:pageBreakBefore w:val="0"/>
              <w:wordWrap/>
              <w:bidi w:val="0"/>
              <w:adjustRightInd/>
              <w:snapToGrid/>
              <w:rPr>
                <w:color w:val="auto"/>
              </w:rPr>
            </w:pPr>
            <w:r>
              <w:rPr>
                <w:color w:val="auto"/>
              </w:rPr>
              <w:t>4</w:t>
            </w:r>
          </w:p>
        </w:tc>
        <w:tc>
          <w:tcPr>
            <w:tcW w:w="1132" w:type="pct"/>
            <w:tcBorders>
              <w:tl2br w:val="nil"/>
              <w:tr2bl w:val="nil"/>
            </w:tcBorders>
            <w:noWrap w:val="0"/>
            <w:vAlign w:val="center"/>
          </w:tcPr>
          <w:p w14:paraId="7E40F1C1">
            <w:pPr>
              <w:pStyle w:val="16"/>
              <w:pageBreakBefore w:val="0"/>
              <w:wordWrap/>
              <w:bidi w:val="0"/>
              <w:adjustRightInd/>
              <w:snapToGrid/>
              <w:rPr>
                <w:color w:val="auto"/>
              </w:rPr>
            </w:pPr>
            <w:r>
              <w:rPr>
                <w:color w:val="auto"/>
              </w:rPr>
              <w:t>手提式</w:t>
            </w:r>
          </w:p>
        </w:tc>
      </w:tr>
      <w:tr w14:paraId="2D7E37E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52D57833">
            <w:pPr>
              <w:pStyle w:val="16"/>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4C3DB634">
            <w:pPr>
              <w:pStyle w:val="16"/>
              <w:pageBreakBefore w:val="0"/>
              <w:wordWrap/>
              <w:bidi w:val="0"/>
              <w:adjustRightInd/>
              <w:snapToGrid/>
              <w:rPr>
                <w:color w:val="auto"/>
              </w:rPr>
            </w:pPr>
            <w:r>
              <w:rPr>
                <w:color w:val="auto"/>
              </w:rPr>
              <w:t>紧急冲淋洗眼器</w:t>
            </w:r>
          </w:p>
        </w:tc>
        <w:tc>
          <w:tcPr>
            <w:tcW w:w="1532" w:type="pct"/>
            <w:tcBorders>
              <w:tl2br w:val="nil"/>
              <w:tr2bl w:val="nil"/>
            </w:tcBorders>
            <w:noWrap w:val="0"/>
            <w:vAlign w:val="center"/>
          </w:tcPr>
          <w:p w14:paraId="48122765">
            <w:pPr>
              <w:pStyle w:val="16"/>
              <w:pageBreakBefore w:val="0"/>
              <w:wordWrap/>
              <w:bidi w:val="0"/>
              <w:adjustRightInd/>
              <w:snapToGrid/>
              <w:rPr>
                <w:color w:val="auto"/>
              </w:rPr>
            </w:pPr>
            <w:r>
              <w:rPr>
                <w:color w:val="auto"/>
              </w:rPr>
              <w:t>DN20洗眼器出水口压力为0.45Mpa</w:t>
            </w:r>
          </w:p>
        </w:tc>
        <w:tc>
          <w:tcPr>
            <w:tcW w:w="612" w:type="pct"/>
            <w:tcBorders>
              <w:tl2br w:val="nil"/>
              <w:tr2bl w:val="nil"/>
            </w:tcBorders>
            <w:noWrap w:val="0"/>
            <w:vAlign w:val="center"/>
          </w:tcPr>
          <w:p w14:paraId="70B97572">
            <w:pPr>
              <w:pStyle w:val="16"/>
              <w:pageBreakBefore w:val="0"/>
              <w:wordWrap/>
              <w:bidi w:val="0"/>
              <w:adjustRightInd/>
              <w:snapToGrid/>
              <w:rPr>
                <w:color w:val="auto"/>
              </w:rPr>
            </w:pPr>
          </w:p>
        </w:tc>
        <w:tc>
          <w:tcPr>
            <w:tcW w:w="279" w:type="pct"/>
            <w:tcBorders>
              <w:tl2br w:val="nil"/>
              <w:tr2bl w:val="nil"/>
            </w:tcBorders>
            <w:noWrap w:val="0"/>
            <w:vAlign w:val="center"/>
          </w:tcPr>
          <w:p w14:paraId="509BC8CC">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461E5D82">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53C6D8A3">
            <w:pPr>
              <w:pStyle w:val="16"/>
              <w:pageBreakBefore w:val="0"/>
              <w:wordWrap/>
              <w:bidi w:val="0"/>
              <w:adjustRightInd/>
              <w:snapToGrid/>
              <w:rPr>
                <w:color w:val="auto"/>
              </w:rPr>
            </w:pPr>
            <w:r>
              <w:rPr>
                <w:color w:val="auto"/>
              </w:rPr>
              <w:t>详09</w:t>
            </w:r>
            <w:r>
              <w:rPr>
                <w:rFonts w:hint="eastAsia"/>
                <w:color w:val="auto"/>
                <w:lang w:eastAsia="zh-CN"/>
              </w:rPr>
              <w:t>，</w:t>
            </w:r>
            <w:r>
              <w:rPr>
                <w:color w:val="auto"/>
              </w:rPr>
              <w:t>304-18</w:t>
            </w:r>
          </w:p>
        </w:tc>
      </w:tr>
      <w:tr w14:paraId="6A372FA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A1488D2">
            <w:pPr>
              <w:pStyle w:val="16"/>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50E80FC9">
            <w:pPr>
              <w:pStyle w:val="16"/>
              <w:pageBreakBefore w:val="0"/>
              <w:wordWrap/>
              <w:bidi w:val="0"/>
              <w:adjustRightInd/>
              <w:snapToGrid/>
              <w:rPr>
                <w:color w:val="auto"/>
              </w:rPr>
            </w:pPr>
            <w:r>
              <w:rPr>
                <w:color w:val="auto"/>
              </w:rPr>
              <w:t>洗脸盆</w:t>
            </w:r>
          </w:p>
        </w:tc>
        <w:tc>
          <w:tcPr>
            <w:tcW w:w="1532" w:type="pct"/>
            <w:tcBorders>
              <w:tl2br w:val="nil"/>
              <w:tr2bl w:val="nil"/>
            </w:tcBorders>
            <w:noWrap w:val="0"/>
            <w:vAlign w:val="center"/>
          </w:tcPr>
          <w:p w14:paraId="7733251D">
            <w:pPr>
              <w:pStyle w:val="16"/>
              <w:pageBreakBefore w:val="0"/>
              <w:wordWrap/>
              <w:bidi w:val="0"/>
              <w:adjustRightInd/>
              <w:snapToGrid/>
              <w:rPr>
                <w:color w:val="auto"/>
              </w:rPr>
            </w:pPr>
          </w:p>
        </w:tc>
        <w:tc>
          <w:tcPr>
            <w:tcW w:w="612" w:type="pct"/>
            <w:tcBorders>
              <w:tl2br w:val="nil"/>
              <w:tr2bl w:val="nil"/>
            </w:tcBorders>
            <w:noWrap w:val="0"/>
            <w:vAlign w:val="center"/>
          </w:tcPr>
          <w:p w14:paraId="4932FEAD">
            <w:pPr>
              <w:pStyle w:val="16"/>
              <w:pageBreakBefore w:val="0"/>
              <w:wordWrap/>
              <w:bidi w:val="0"/>
              <w:adjustRightInd/>
              <w:snapToGrid/>
              <w:rPr>
                <w:color w:val="auto"/>
              </w:rPr>
            </w:pPr>
            <w:r>
              <w:rPr>
                <w:color w:val="auto"/>
              </w:rPr>
              <w:t>陶瓷</w:t>
            </w:r>
          </w:p>
        </w:tc>
        <w:tc>
          <w:tcPr>
            <w:tcW w:w="279" w:type="pct"/>
            <w:tcBorders>
              <w:tl2br w:val="nil"/>
              <w:tr2bl w:val="nil"/>
            </w:tcBorders>
            <w:noWrap w:val="0"/>
            <w:vAlign w:val="center"/>
          </w:tcPr>
          <w:p w14:paraId="4861E0B7">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6C3DEA4C">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1467FF0B">
            <w:pPr>
              <w:pStyle w:val="16"/>
              <w:pageBreakBefore w:val="0"/>
              <w:wordWrap/>
              <w:bidi w:val="0"/>
              <w:adjustRightInd/>
              <w:snapToGrid/>
              <w:rPr>
                <w:color w:val="auto"/>
              </w:rPr>
            </w:pPr>
            <w:r>
              <w:rPr>
                <w:color w:val="auto"/>
              </w:rPr>
              <w:t>含全套配件</w:t>
            </w:r>
            <w:r>
              <w:rPr>
                <w:rFonts w:hint="eastAsia"/>
                <w:color w:val="auto"/>
                <w:lang w:eastAsia="zh-CN"/>
              </w:rPr>
              <w:t>，</w:t>
            </w:r>
            <w:r>
              <w:rPr>
                <w:color w:val="auto"/>
              </w:rPr>
              <w:t>详09</w:t>
            </w:r>
            <w:r>
              <w:rPr>
                <w:rFonts w:hint="eastAsia"/>
                <w:color w:val="auto"/>
                <w:lang w:eastAsia="zh-CN"/>
              </w:rPr>
              <w:t>，</w:t>
            </w:r>
            <w:r>
              <w:rPr>
                <w:color w:val="auto"/>
              </w:rPr>
              <w:t>304-41</w:t>
            </w:r>
          </w:p>
        </w:tc>
      </w:tr>
      <w:tr w14:paraId="7E73FD8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34E4F04">
            <w:pPr>
              <w:pStyle w:val="16"/>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2FBB99A7">
            <w:pPr>
              <w:pStyle w:val="16"/>
              <w:pageBreakBefore w:val="0"/>
              <w:wordWrap/>
              <w:bidi w:val="0"/>
              <w:adjustRightInd/>
              <w:snapToGrid/>
              <w:rPr>
                <w:color w:val="auto"/>
              </w:rPr>
            </w:pPr>
            <w:r>
              <w:rPr>
                <w:color w:val="auto"/>
              </w:rPr>
              <w:t>污水池</w:t>
            </w:r>
          </w:p>
        </w:tc>
        <w:tc>
          <w:tcPr>
            <w:tcW w:w="1532" w:type="pct"/>
            <w:tcBorders>
              <w:tl2br w:val="nil"/>
              <w:tr2bl w:val="nil"/>
            </w:tcBorders>
            <w:noWrap w:val="0"/>
            <w:vAlign w:val="center"/>
          </w:tcPr>
          <w:p w14:paraId="6B941696">
            <w:pPr>
              <w:pStyle w:val="16"/>
              <w:pageBreakBefore w:val="0"/>
              <w:wordWrap/>
              <w:bidi w:val="0"/>
              <w:adjustRightInd/>
              <w:snapToGrid/>
              <w:rPr>
                <w:rFonts w:hint="eastAsia" w:eastAsia="宋体"/>
                <w:color w:val="auto"/>
                <w:lang w:eastAsia="zh-CN"/>
              </w:rPr>
            </w:pPr>
            <w:r>
              <w:rPr>
                <w:color w:val="auto"/>
              </w:rPr>
              <w:t>乙型</w:t>
            </w:r>
            <w:r>
              <w:rPr>
                <w:rFonts w:hint="eastAsia"/>
                <w:color w:val="auto"/>
                <w:lang w:eastAsia="zh-CN"/>
              </w:rPr>
              <w:t>（</w:t>
            </w:r>
            <w:r>
              <w:rPr>
                <w:color w:val="auto"/>
              </w:rPr>
              <w:t>含</w:t>
            </w:r>
            <w:r>
              <w:rPr>
                <w:rFonts w:hint="eastAsia"/>
                <w:color w:val="auto"/>
                <w:lang w:eastAsia="zh-CN"/>
              </w:rPr>
              <w:t>，</w:t>
            </w:r>
            <w:r>
              <w:rPr>
                <w:color w:val="auto"/>
              </w:rPr>
              <w:t>型存水弯</w:t>
            </w:r>
            <w:r>
              <w:rPr>
                <w:rFonts w:hint="eastAsia"/>
                <w:color w:val="auto"/>
                <w:lang w:eastAsia="zh-CN"/>
              </w:rPr>
              <w:t>）</w:t>
            </w:r>
          </w:p>
        </w:tc>
        <w:tc>
          <w:tcPr>
            <w:tcW w:w="612" w:type="pct"/>
            <w:tcBorders>
              <w:tl2br w:val="nil"/>
              <w:tr2bl w:val="nil"/>
            </w:tcBorders>
            <w:noWrap w:val="0"/>
            <w:vAlign w:val="center"/>
          </w:tcPr>
          <w:p w14:paraId="5C36B19F">
            <w:pPr>
              <w:pStyle w:val="16"/>
              <w:pageBreakBefore w:val="0"/>
              <w:wordWrap/>
              <w:bidi w:val="0"/>
              <w:adjustRightInd/>
              <w:snapToGrid/>
              <w:rPr>
                <w:color w:val="auto"/>
              </w:rPr>
            </w:pPr>
            <w:r>
              <w:rPr>
                <w:color w:val="auto"/>
              </w:rPr>
              <w:t>陶瓷</w:t>
            </w:r>
          </w:p>
        </w:tc>
        <w:tc>
          <w:tcPr>
            <w:tcW w:w="279" w:type="pct"/>
            <w:tcBorders>
              <w:tl2br w:val="nil"/>
              <w:tr2bl w:val="nil"/>
            </w:tcBorders>
            <w:noWrap w:val="0"/>
            <w:vAlign w:val="center"/>
          </w:tcPr>
          <w:p w14:paraId="45B7E26D">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24FFD453">
            <w:pPr>
              <w:pStyle w:val="16"/>
              <w:pageBreakBefore w:val="0"/>
              <w:wordWrap/>
              <w:bidi w:val="0"/>
              <w:adjustRightInd/>
              <w:snapToGrid/>
              <w:rPr>
                <w:color w:val="auto"/>
              </w:rPr>
            </w:pPr>
            <w:r>
              <w:rPr>
                <w:color w:val="auto"/>
              </w:rPr>
              <w:t>2</w:t>
            </w:r>
          </w:p>
        </w:tc>
        <w:tc>
          <w:tcPr>
            <w:tcW w:w="1132" w:type="pct"/>
            <w:tcBorders>
              <w:tl2br w:val="nil"/>
              <w:tr2bl w:val="nil"/>
            </w:tcBorders>
            <w:noWrap w:val="0"/>
            <w:vAlign w:val="center"/>
          </w:tcPr>
          <w:p w14:paraId="60164FE4">
            <w:pPr>
              <w:pStyle w:val="16"/>
              <w:pageBreakBefore w:val="0"/>
              <w:wordWrap/>
              <w:bidi w:val="0"/>
              <w:adjustRightInd/>
              <w:snapToGrid/>
              <w:rPr>
                <w:color w:val="auto"/>
              </w:rPr>
            </w:pPr>
            <w:r>
              <w:rPr>
                <w:color w:val="auto"/>
              </w:rPr>
              <w:t>含全套配件</w:t>
            </w:r>
            <w:r>
              <w:rPr>
                <w:rFonts w:hint="eastAsia"/>
                <w:color w:val="auto"/>
                <w:lang w:eastAsia="zh-CN"/>
              </w:rPr>
              <w:t>，</w:t>
            </w:r>
            <w:r>
              <w:rPr>
                <w:color w:val="auto"/>
              </w:rPr>
              <w:t>详09</w:t>
            </w:r>
            <w:r>
              <w:rPr>
                <w:rFonts w:hint="eastAsia"/>
                <w:color w:val="auto"/>
                <w:lang w:eastAsia="zh-CN"/>
              </w:rPr>
              <w:t>，</w:t>
            </w:r>
            <w:r>
              <w:rPr>
                <w:color w:val="auto"/>
              </w:rPr>
              <w:t>304-20</w:t>
            </w:r>
          </w:p>
        </w:tc>
      </w:tr>
      <w:tr w14:paraId="06CD35E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Before w:val="1"/>
          <w:wBefore w:w="6" w:type="pct"/>
          <w:trHeight w:val="340" w:hRule="atLeast"/>
          <w:jc w:val="center"/>
        </w:trPr>
        <w:tc>
          <w:tcPr>
            <w:tcW w:w="4993" w:type="pct"/>
            <w:gridSpan w:val="9"/>
            <w:tcBorders>
              <w:tl2br w:val="nil"/>
              <w:tr2bl w:val="nil"/>
            </w:tcBorders>
            <w:noWrap w:val="0"/>
            <w:vAlign w:val="center"/>
          </w:tcPr>
          <w:p w14:paraId="29A146C6">
            <w:pPr>
              <w:pStyle w:val="16"/>
              <w:pageBreakBefore w:val="0"/>
              <w:wordWrap/>
              <w:bidi w:val="0"/>
              <w:adjustRightInd/>
              <w:snapToGrid/>
              <w:jc w:val="left"/>
              <w:rPr>
                <w:color w:val="auto"/>
              </w:rPr>
            </w:pPr>
            <w:r>
              <w:rPr>
                <w:b/>
                <w:bCs/>
                <w:color w:val="auto"/>
              </w:rPr>
              <w:t>在线监测间主要设备表</w:t>
            </w:r>
          </w:p>
        </w:tc>
      </w:tr>
      <w:tr w14:paraId="62C039B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Before w:val="1"/>
          <w:wBefore w:w="6" w:type="pct"/>
          <w:trHeight w:val="340" w:hRule="atLeast"/>
          <w:jc w:val="center"/>
        </w:trPr>
        <w:tc>
          <w:tcPr>
            <w:tcW w:w="345" w:type="pct"/>
            <w:gridSpan w:val="2"/>
            <w:tcBorders>
              <w:tl2br w:val="nil"/>
              <w:tr2bl w:val="nil"/>
            </w:tcBorders>
            <w:noWrap w:val="0"/>
            <w:vAlign w:val="center"/>
          </w:tcPr>
          <w:p w14:paraId="43266AB3">
            <w:pPr>
              <w:pStyle w:val="16"/>
              <w:pageBreakBefore w:val="0"/>
              <w:wordWrap/>
              <w:bidi w:val="0"/>
              <w:adjustRightInd/>
              <w:snapToGrid/>
              <w:rPr>
                <w:rFonts w:hint="eastAsia" w:eastAsia="宋体"/>
                <w:b/>
                <w:bCs/>
                <w:color w:val="auto"/>
                <w:lang w:eastAsia="zh-CN"/>
              </w:rPr>
            </w:pPr>
            <w:r>
              <w:rPr>
                <w:rFonts w:hint="eastAsia"/>
                <w:b/>
                <w:bCs/>
                <w:color w:val="auto"/>
                <w:lang w:eastAsia="zh-CN"/>
              </w:rPr>
              <w:t>序号</w:t>
            </w:r>
          </w:p>
        </w:tc>
        <w:tc>
          <w:tcPr>
            <w:tcW w:w="836" w:type="pct"/>
            <w:tcBorders>
              <w:tl2br w:val="nil"/>
              <w:tr2bl w:val="nil"/>
            </w:tcBorders>
            <w:noWrap w:val="0"/>
            <w:vAlign w:val="center"/>
          </w:tcPr>
          <w:p w14:paraId="430F43F8">
            <w:pPr>
              <w:pStyle w:val="16"/>
              <w:pageBreakBefore w:val="0"/>
              <w:wordWrap/>
              <w:bidi w:val="0"/>
              <w:adjustRightInd/>
              <w:snapToGrid/>
              <w:rPr>
                <w:b/>
                <w:bCs/>
                <w:color w:val="auto"/>
              </w:rPr>
            </w:pPr>
            <w:r>
              <w:rPr>
                <w:b/>
                <w:bCs/>
                <w:color w:val="auto"/>
              </w:rPr>
              <w:t>名称</w:t>
            </w:r>
          </w:p>
        </w:tc>
        <w:tc>
          <w:tcPr>
            <w:tcW w:w="1532" w:type="pct"/>
            <w:tcBorders>
              <w:tl2br w:val="nil"/>
              <w:tr2bl w:val="nil"/>
            </w:tcBorders>
            <w:noWrap w:val="0"/>
            <w:vAlign w:val="center"/>
          </w:tcPr>
          <w:p w14:paraId="1AC4EFE8">
            <w:pPr>
              <w:pStyle w:val="16"/>
              <w:pageBreakBefore w:val="0"/>
              <w:wordWrap/>
              <w:bidi w:val="0"/>
              <w:adjustRightInd/>
              <w:snapToGrid/>
              <w:rPr>
                <w:b/>
                <w:bCs/>
                <w:color w:val="auto"/>
              </w:rPr>
            </w:pPr>
            <w:r>
              <w:rPr>
                <w:b/>
                <w:bCs/>
                <w:color w:val="auto"/>
              </w:rPr>
              <w:t>规格</w:t>
            </w:r>
          </w:p>
        </w:tc>
        <w:tc>
          <w:tcPr>
            <w:tcW w:w="612" w:type="pct"/>
            <w:tcBorders>
              <w:tl2br w:val="nil"/>
              <w:tr2bl w:val="nil"/>
            </w:tcBorders>
            <w:noWrap w:val="0"/>
            <w:vAlign w:val="center"/>
          </w:tcPr>
          <w:p w14:paraId="4C863BBE">
            <w:pPr>
              <w:pStyle w:val="16"/>
              <w:pageBreakBefore w:val="0"/>
              <w:wordWrap/>
              <w:bidi w:val="0"/>
              <w:adjustRightInd/>
              <w:snapToGrid/>
              <w:rPr>
                <w:b/>
                <w:bCs/>
                <w:color w:val="auto"/>
              </w:rPr>
            </w:pPr>
            <w:r>
              <w:rPr>
                <w:b/>
                <w:bCs/>
                <w:color w:val="auto"/>
              </w:rPr>
              <w:t>材料</w:t>
            </w:r>
          </w:p>
        </w:tc>
        <w:tc>
          <w:tcPr>
            <w:tcW w:w="279" w:type="pct"/>
            <w:tcBorders>
              <w:tl2br w:val="nil"/>
              <w:tr2bl w:val="nil"/>
            </w:tcBorders>
            <w:noWrap w:val="0"/>
            <w:vAlign w:val="center"/>
          </w:tcPr>
          <w:p w14:paraId="1B53CBCA">
            <w:pPr>
              <w:pStyle w:val="16"/>
              <w:pageBreakBefore w:val="0"/>
              <w:wordWrap/>
              <w:bidi w:val="0"/>
              <w:adjustRightInd/>
              <w:snapToGrid/>
              <w:rPr>
                <w:b/>
                <w:bCs/>
                <w:color w:val="auto"/>
              </w:rPr>
            </w:pPr>
            <w:r>
              <w:rPr>
                <w:b/>
                <w:bCs/>
                <w:color w:val="auto"/>
              </w:rPr>
              <w:t>单位</w:t>
            </w:r>
          </w:p>
        </w:tc>
        <w:tc>
          <w:tcPr>
            <w:tcW w:w="244" w:type="pct"/>
            <w:tcBorders>
              <w:tl2br w:val="nil"/>
              <w:tr2bl w:val="nil"/>
            </w:tcBorders>
            <w:noWrap w:val="0"/>
            <w:vAlign w:val="center"/>
          </w:tcPr>
          <w:p w14:paraId="04D8C6B6">
            <w:pPr>
              <w:pStyle w:val="16"/>
              <w:pageBreakBefore w:val="0"/>
              <w:wordWrap/>
              <w:bidi w:val="0"/>
              <w:adjustRightInd/>
              <w:snapToGrid/>
              <w:rPr>
                <w:b/>
                <w:bCs/>
                <w:color w:val="auto"/>
              </w:rPr>
            </w:pPr>
            <w:r>
              <w:rPr>
                <w:b/>
                <w:bCs/>
                <w:color w:val="auto"/>
              </w:rPr>
              <w:t>数量</w:t>
            </w:r>
          </w:p>
        </w:tc>
        <w:tc>
          <w:tcPr>
            <w:tcW w:w="1143" w:type="pct"/>
            <w:gridSpan w:val="2"/>
            <w:tcBorders>
              <w:tl2br w:val="nil"/>
              <w:tr2bl w:val="nil"/>
            </w:tcBorders>
            <w:noWrap w:val="0"/>
            <w:vAlign w:val="center"/>
          </w:tcPr>
          <w:p w14:paraId="19A847DA">
            <w:pPr>
              <w:pStyle w:val="16"/>
              <w:pageBreakBefore w:val="0"/>
              <w:wordWrap/>
              <w:bidi w:val="0"/>
              <w:adjustRightInd/>
              <w:snapToGrid/>
              <w:rPr>
                <w:b/>
                <w:bCs/>
                <w:color w:val="auto"/>
              </w:rPr>
            </w:pPr>
            <w:r>
              <w:rPr>
                <w:b/>
                <w:bCs/>
                <w:color w:val="auto"/>
              </w:rPr>
              <w:t>备注</w:t>
            </w:r>
          </w:p>
        </w:tc>
      </w:tr>
      <w:tr w14:paraId="09D9DDF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Before w:val="1"/>
          <w:wBefore w:w="6" w:type="pct"/>
          <w:trHeight w:val="340" w:hRule="atLeast"/>
          <w:jc w:val="center"/>
        </w:trPr>
        <w:tc>
          <w:tcPr>
            <w:tcW w:w="345" w:type="pct"/>
            <w:gridSpan w:val="2"/>
            <w:tcBorders>
              <w:tl2br w:val="nil"/>
              <w:tr2bl w:val="nil"/>
            </w:tcBorders>
            <w:noWrap w:val="0"/>
            <w:vAlign w:val="center"/>
          </w:tcPr>
          <w:p w14:paraId="6BDABD72">
            <w:pPr>
              <w:pStyle w:val="16"/>
              <w:pageBreakBefore w:val="0"/>
              <w:wordWrap/>
              <w:bidi w:val="0"/>
              <w:adjustRightInd/>
              <w:snapToGrid/>
              <w:rPr>
                <w:color w:val="auto"/>
              </w:rPr>
            </w:pPr>
            <w:r>
              <w:rPr>
                <w:color w:val="auto"/>
              </w:rPr>
              <w:t>1</w:t>
            </w:r>
          </w:p>
        </w:tc>
        <w:tc>
          <w:tcPr>
            <w:tcW w:w="836" w:type="pct"/>
            <w:tcBorders>
              <w:tl2br w:val="nil"/>
              <w:tr2bl w:val="nil"/>
            </w:tcBorders>
            <w:noWrap w:val="0"/>
            <w:vAlign w:val="center"/>
          </w:tcPr>
          <w:p w14:paraId="57DFC4FF">
            <w:pPr>
              <w:pStyle w:val="16"/>
              <w:pageBreakBefore w:val="0"/>
              <w:wordWrap/>
              <w:bidi w:val="0"/>
              <w:adjustRightInd/>
              <w:snapToGrid/>
              <w:rPr>
                <w:color w:val="auto"/>
              </w:rPr>
            </w:pPr>
            <w:r>
              <w:rPr>
                <w:color w:val="auto"/>
              </w:rPr>
              <w:t>轴流通风机</w:t>
            </w:r>
          </w:p>
        </w:tc>
        <w:tc>
          <w:tcPr>
            <w:tcW w:w="1532" w:type="pct"/>
            <w:tcBorders>
              <w:tl2br w:val="nil"/>
              <w:tr2bl w:val="nil"/>
            </w:tcBorders>
            <w:noWrap w:val="0"/>
            <w:vAlign w:val="center"/>
          </w:tcPr>
          <w:p w14:paraId="54B66821">
            <w:pPr>
              <w:pStyle w:val="16"/>
              <w:pageBreakBefore w:val="0"/>
              <w:wordWrap/>
              <w:bidi w:val="0"/>
              <w:adjustRightInd/>
              <w:snapToGrid/>
              <w:rPr>
                <w:color w:val="auto"/>
              </w:rPr>
            </w:pPr>
            <w:r>
              <w:rPr>
                <w:color w:val="auto"/>
              </w:rPr>
              <w:t>G=1500</w:t>
            </w:r>
            <w:r>
              <w:rPr>
                <w:rFonts w:hint="eastAsia"/>
                <w:color w:val="auto"/>
                <w:lang w:eastAsia="zh-CN"/>
              </w:rPr>
              <w:t>m³</w:t>
            </w:r>
            <w:r>
              <w:rPr>
                <w:color w:val="auto"/>
              </w:rPr>
              <w:t>/h</w:t>
            </w:r>
            <w:r>
              <w:rPr>
                <w:rFonts w:hint="eastAsia"/>
                <w:color w:val="auto"/>
                <w:lang w:eastAsia="zh-CN"/>
              </w:rPr>
              <w:t>，</w:t>
            </w:r>
            <w:r>
              <w:rPr>
                <w:color w:val="auto"/>
              </w:rPr>
              <w:t>H=135Pa</w:t>
            </w:r>
            <w:r>
              <w:rPr>
                <w:rFonts w:hint="eastAsia"/>
                <w:color w:val="auto"/>
                <w:lang w:eastAsia="zh-CN"/>
              </w:rPr>
              <w:t>，</w:t>
            </w:r>
            <w:r>
              <w:rPr>
                <w:color w:val="auto"/>
              </w:rPr>
              <w:t>n=1450rpm</w:t>
            </w:r>
            <w:r>
              <w:rPr>
                <w:rFonts w:hint="eastAsia"/>
                <w:color w:val="auto"/>
                <w:lang w:eastAsia="zh-CN"/>
              </w:rPr>
              <w:t>，</w:t>
            </w:r>
            <w:r>
              <w:rPr>
                <w:color w:val="auto"/>
              </w:rPr>
              <w:t>N=0.37kW</w:t>
            </w:r>
          </w:p>
        </w:tc>
        <w:tc>
          <w:tcPr>
            <w:tcW w:w="612" w:type="pct"/>
            <w:tcBorders>
              <w:tl2br w:val="nil"/>
              <w:tr2bl w:val="nil"/>
            </w:tcBorders>
            <w:noWrap w:val="0"/>
            <w:vAlign w:val="center"/>
          </w:tcPr>
          <w:p w14:paraId="76588A7A">
            <w:pPr>
              <w:pStyle w:val="16"/>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10A5F9C2">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66DB76F5">
            <w:pPr>
              <w:pStyle w:val="16"/>
              <w:pageBreakBefore w:val="0"/>
              <w:wordWrap/>
              <w:bidi w:val="0"/>
              <w:adjustRightInd/>
              <w:snapToGrid/>
              <w:rPr>
                <w:color w:val="auto"/>
              </w:rPr>
            </w:pPr>
            <w:r>
              <w:rPr>
                <w:color w:val="auto"/>
              </w:rPr>
              <w:t>2</w:t>
            </w:r>
          </w:p>
        </w:tc>
        <w:tc>
          <w:tcPr>
            <w:tcW w:w="1143" w:type="pct"/>
            <w:gridSpan w:val="2"/>
            <w:tcBorders>
              <w:tl2br w:val="nil"/>
              <w:tr2bl w:val="nil"/>
            </w:tcBorders>
            <w:noWrap w:val="0"/>
            <w:vAlign w:val="center"/>
          </w:tcPr>
          <w:p w14:paraId="1D67FBCE">
            <w:pPr>
              <w:pStyle w:val="16"/>
              <w:pageBreakBefore w:val="0"/>
              <w:wordWrap/>
              <w:bidi w:val="0"/>
              <w:adjustRightInd/>
              <w:snapToGrid/>
              <w:rPr>
                <w:color w:val="auto"/>
              </w:rPr>
            </w:pPr>
          </w:p>
        </w:tc>
      </w:tr>
      <w:tr w14:paraId="1B13CDF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Before w:val="1"/>
          <w:wBefore w:w="6" w:type="pct"/>
          <w:trHeight w:val="340" w:hRule="atLeast"/>
          <w:jc w:val="center"/>
        </w:trPr>
        <w:tc>
          <w:tcPr>
            <w:tcW w:w="345" w:type="pct"/>
            <w:gridSpan w:val="2"/>
            <w:tcBorders>
              <w:tl2br w:val="nil"/>
              <w:tr2bl w:val="nil"/>
            </w:tcBorders>
            <w:noWrap w:val="0"/>
            <w:vAlign w:val="center"/>
          </w:tcPr>
          <w:p w14:paraId="1ED1A91F">
            <w:pPr>
              <w:pStyle w:val="16"/>
              <w:pageBreakBefore w:val="0"/>
              <w:wordWrap/>
              <w:bidi w:val="0"/>
              <w:adjustRightInd/>
              <w:snapToGrid/>
              <w:rPr>
                <w:color w:val="auto"/>
              </w:rPr>
            </w:pPr>
            <w:r>
              <w:rPr>
                <w:color w:val="auto"/>
              </w:rPr>
              <w:t>2</w:t>
            </w:r>
          </w:p>
        </w:tc>
        <w:tc>
          <w:tcPr>
            <w:tcW w:w="836" w:type="pct"/>
            <w:tcBorders>
              <w:tl2br w:val="nil"/>
              <w:tr2bl w:val="nil"/>
            </w:tcBorders>
            <w:noWrap w:val="0"/>
            <w:vAlign w:val="center"/>
          </w:tcPr>
          <w:p w14:paraId="7AFD6179">
            <w:pPr>
              <w:pStyle w:val="16"/>
              <w:pageBreakBefore w:val="0"/>
              <w:wordWrap/>
              <w:bidi w:val="0"/>
              <w:adjustRightInd/>
              <w:snapToGrid/>
              <w:rPr>
                <w:color w:val="auto"/>
              </w:rPr>
            </w:pPr>
            <w:r>
              <w:rPr>
                <w:color w:val="auto"/>
              </w:rPr>
              <w:t>磷酸铵盐干粉灭火器</w:t>
            </w:r>
          </w:p>
        </w:tc>
        <w:tc>
          <w:tcPr>
            <w:tcW w:w="1532" w:type="pct"/>
            <w:tcBorders>
              <w:tl2br w:val="nil"/>
              <w:tr2bl w:val="nil"/>
            </w:tcBorders>
            <w:noWrap w:val="0"/>
            <w:vAlign w:val="center"/>
          </w:tcPr>
          <w:p w14:paraId="0C4C729F">
            <w:pPr>
              <w:pStyle w:val="16"/>
              <w:pageBreakBefore w:val="0"/>
              <w:wordWrap/>
              <w:bidi w:val="0"/>
              <w:adjustRightInd/>
              <w:snapToGrid/>
              <w:rPr>
                <w:color w:val="auto"/>
              </w:rPr>
            </w:pPr>
            <w:r>
              <w:rPr>
                <w:color w:val="auto"/>
              </w:rPr>
              <w:t>MF/ABC5</w:t>
            </w:r>
          </w:p>
        </w:tc>
        <w:tc>
          <w:tcPr>
            <w:tcW w:w="612" w:type="pct"/>
            <w:tcBorders>
              <w:tl2br w:val="nil"/>
              <w:tr2bl w:val="nil"/>
            </w:tcBorders>
            <w:noWrap w:val="0"/>
            <w:vAlign w:val="center"/>
          </w:tcPr>
          <w:p w14:paraId="603E8592">
            <w:pPr>
              <w:pStyle w:val="16"/>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6FD2385D">
            <w:pPr>
              <w:pStyle w:val="16"/>
              <w:pageBreakBefore w:val="0"/>
              <w:wordWrap/>
              <w:bidi w:val="0"/>
              <w:adjustRightInd/>
              <w:snapToGrid/>
              <w:rPr>
                <w:color w:val="auto"/>
              </w:rPr>
            </w:pPr>
            <w:r>
              <w:rPr>
                <w:color w:val="auto"/>
              </w:rPr>
              <w:t>具</w:t>
            </w:r>
          </w:p>
        </w:tc>
        <w:tc>
          <w:tcPr>
            <w:tcW w:w="244" w:type="pct"/>
            <w:tcBorders>
              <w:tl2br w:val="nil"/>
              <w:tr2bl w:val="nil"/>
            </w:tcBorders>
            <w:noWrap w:val="0"/>
            <w:vAlign w:val="center"/>
          </w:tcPr>
          <w:p w14:paraId="5919D9F7">
            <w:pPr>
              <w:pStyle w:val="16"/>
              <w:pageBreakBefore w:val="0"/>
              <w:wordWrap/>
              <w:bidi w:val="0"/>
              <w:adjustRightInd/>
              <w:snapToGrid/>
              <w:rPr>
                <w:color w:val="auto"/>
              </w:rPr>
            </w:pPr>
            <w:r>
              <w:rPr>
                <w:color w:val="auto"/>
              </w:rPr>
              <w:t>2</w:t>
            </w:r>
          </w:p>
        </w:tc>
        <w:tc>
          <w:tcPr>
            <w:tcW w:w="1143" w:type="pct"/>
            <w:gridSpan w:val="2"/>
            <w:tcBorders>
              <w:tl2br w:val="nil"/>
              <w:tr2bl w:val="nil"/>
            </w:tcBorders>
            <w:noWrap w:val="0"/>
            <w:vAlign w:val="center"/>
          </w:tcPr>
          <w:p w14:paraId="793E95A2">
            <w:pPr>
              <w:pStyle w:val="16"/>
              <w:pageBreakBefore w:val="0"/>
              <w:wordWrap/>
              <w:bidi w:val="0"/>
              <w:adjustRightInd/>
              <w:snapToGrid/>
              <w:rPr>
                <w:color w:val="auto"/>
              </w:rPr>
            </w:pPr>
          </w:p>
        </w:tc>
      </w:tr>
      <w:tr w14:paraId="3D5ECCC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Before w:val="1"/>
          <w:wBefore w:w="6" w:type="pct"/>
          <w:trHeight w:val="340" w:hRule="atLeast"/>
          <w:jc w:val="center"/>
        </w:trPr>
        <w:tc>
          <w:tcPr>
            <w:tcW w:w="345" w:type="pct"/>
            <w:gridSpan w:val="2"/>
            <w:tcBorders>
              <w:tl2br w:val="nil"/>
              <w:tr2bl w:val="nil"/>
            </w:tcBorders>
            <w:noWrap w:val="0"/>
            <w:vAlign w:val="center"/>
          </w:tcPr>
          <w:p w14:paraId="21ECBF53">
            <w:pPr>
              <w:pStyle w:val="16"/>
              <w:pageBreakBefore w:val="0"/>
              <w:wordWrap/>
              <w:bidi w:val="0"/>
              <w:adjustRightInd/>
              <w:snapToGrid/>
              <w:rPr>
                <w:color w:val="auto"/>
              </w:rPr>
            </w:pPr>
            <w:r>
              <w:rPr>
                <w:color w:val="auto"/>
              </w:rPr>
              <w:t>3</w:t>
            </w:r>
          </w:p>
        </w:tc>
        <w:tc>
          <w:tcPr>
            <w:tcW w:w="836" w:type="pct"/>
            <w:tcBorders>
              <w:tl2br w:val="nil"/>
              <w:tr2bl w:val="nil"/>
            </w:tcBorders>
            <w:noWrap w:val="0"/>
            <w:vAlign w:val="center"/>
          </w:tcPr>
          <w:p w14:paraId="0ECF5182">
            <w:pPr>
              <w:pStyle w:val="16"/>
              <w:pageBreakBefore w:val="0"/>
              <w:wordWrap/>
              <w:bidi w:val="0"/>
              <w:adjustRightInd/>
              <w:snapToGrid/>
              <w:rPr>
                <w:color w:val="auto"/>
              </w:rPr>
            </w:pPr>
            <w:r>
              <w:rPr>
                <w:color w:val="auto"/>
              </w:rPr>
              <w:t>取样泵</w:t>
            </w:r>
          </w:p>
        </w:tc>
        <w:tc>
          <w:tcPr>
            <w:tcW w:w="1532" w:type="pct"/>
            <w:tcBorders>
              <w:tl2br w:val="nil"/>
              <w:tr2bl w:val="nil"/>
            </w:tcBorders>
            <w:noWrap w:val="0"/>
            <w:vAlign w:val="center"/>
          </w:tcPr>
          <w:p w14:paraId="75C17F6B">
            <w:pPr>
              <w:pStyle w:val="16"/>
              <w:pageBreakBefore w:val="0"/>
              <w:wordWrap/>
              <w:bidi w:val="0"/>
              <w:adjustRightInd/>
              <w:snapToGrid/>
              <w:rPr>
                <w:color w:val="auto"/>
              </w:rPr>
            </w:pPr>
            <w:r>
              <w:rPr>
                <w:color w:val="auto"/>
              </w:rPr>
              <w:t>Q=1</w:t>
            </w:r>
            <w:r>
              <w:rPr>
                <w:rFonts w:hint="eastAsia"/>
                <w:color w:val="auto"/>
                <w:lang w:eastAsia="zh-CN"/>
              </w:rPr>
              <w:t>m³</w:t>
            </w:r>
            <w:r>
              <w:rPr>
                <w:color w:val="auto"/>
              </w:rPr>
              <w:t>/h</w:t>
            </w:r>
            <w:r>
              <w:rPr>
                <w:rFonts w:hint="eastAsia"/>
                <w:color w:val="auto"/>
                <w:lang w:eastAsia="zh-CN"/>
              </w:rPr>
              <w:t>，</w:t>
            </w:r>
            <w:r>
              <w:rPr>
                <w:color w:val="auto"/>
              </w:rPr>
              <w:t>H=0.25MPa</w:t>
            </w:r>
            <w:r>
              <w:rPr>
                <w:rFonts w:hint="eastAsia"/>
                <w:color w:val="auto"/>
                <w:lang w:eastAsia="zh-CN"/>
              </w:rPr>
              <w:t>，</w:t>
            </w:r>
            <w:r>
              <w:rPr>
                <w:color w:val="auto"/>
              </w:rPr>
              <w:t>N=0.75KW</w:t>
            </w:r>
          </w:p>
        </w:tc>
        <w:tc>
          <w:tcPr>
            <w:tcW w:w="612" w:type="pct"/>
            <w:tcBorders>
              <w:tl2br w:val="nil"/>
              <w:tr2bl w:val="nil"/>
            </w:tcBorders>
            <w:noWrap w:val="0"/>
            <w:vAlign w:val="center"/>
          </w:tcPr>
          <w:p w14:paraId="4B1BBFD4">
            <w:pPr>
              <w:pStyle w:val="16"/>
              <w:pageBreakBefore w:val="0"/>
              <w:wordWrap/>
              <w:bidi w:val="0"/>
              <w:adjustRightInd/>
              <w:snapToGrid/>
              <w:rPr>
                <w:color w:val="auto"/>
              </w:rPr>
            </w:pPr>
          </w:p>
        </w:tc>
        <w:tc>
          <w:tcPr>
            <w:tcW w:w="279" w:type="pct"/>
            <w:tcBorders>
              <w:tl2br w:val="nil"/>
              <w:tr2bl w:val="nil"/>
            </w:tcBorders>
            <w:noWrap w:val="0"/>
            <w:vAlign w:val="center"/>
          </w:tcPr>
          <w:p w14:paraId="1CBD7612">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785C590F">
            <w:pPr>
              <w:pStyle w:val="16"/>
              <w:pageBreakBefore w:val="0"/>
              <w:wordWrap/>
              <w:bidi w:val="0"/>
              <w:adjustRightInd/>
              <w:snapToGrid/>
              <w:rPr>
                <w:color w:val="auto"/>
              </w:rPr>
            </w:pPr>
            <w:r>
              <w:rPr>
                <w:color w:val="auto"/>
              </w:rPr>
              <w:t>4</w:t>
            </w:r>
          </w:p>
        </w:tc>
        <w:tc>
          <w:tcPr>
            <w:tcW w:w="1143" w:type="pct"/>
            <w:gridSpan w:val="2"/>
            <w:tcBorders>
              <w:tl2br w:val="nil"/>
              <w:tr2bl w:val="nil"/>
            </w:tcBorders>
            <w:noWrap w:val="0"/>
            <w:vAlign w:val="center"/>
          </w:tcPr>
          <w:p w14:paraId="43F1A1F6">
            <w:pPr>
              <w:pStyle w:val="16"/>
              <w:pageBreakBefore w:val="0"/>
              <w:wordWrap/>
              <w:bidi w:val="0"/>
              <w:adjustRightInd/>
              <w:snapToGrid/>
              <w:rPr>
                <w:color w:val="auto"/>
              </w:rPr>
            </w:pPr>
            <w:r>
              <w:rPr>
                <w:color w:val="auto"/>
              </w:rPr>
              <w:t>2用2备</w:t>
            </w:r>
            <w:r>
              <w:rPr>
                <w:rFonts w:hint="eastAsia"/>
                <w:color w:val="auto"/>
                <w:lang w:eastAsia="zh-CN"/>
              </w:rPr>
              <w:t>，</w:t>
            </w:r>
            <w:r>
              <w:rPr>
                <w:color w:val="auto"/>
              </w:rPr>
              <w:t>包括电控柜及配套阀门等附件</w:t>
            </w:r>
          </w:p>
        </w:tc>
      </w:tr>
      <w:tr w14:paraId="39B49B1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Before w:val="1"/>
          <w:wBefore w:w="6" w:type="pct"/>
          <w:trHeight w:val="340" w:hRule="atLeast"/>
          <w:jc w:val="center"/>
        </w:trPr>
        <w:tc>
          <w:tcPr>
            <w:tcW w:w="345" w:type="pct"/>
            <w:gridSpan w:val="2"/>
            <w:tcBorders>
              <w:tl2br w:val="nil"/>
              <w:tr2bl w:val="nil"/>
            </w:tcBorders>
            <w:noWrap w:val="0"/>
            <w:vAlign w:val="center"/>
          </w:tcPr>
          <w:p w14:paraId="16BBD5EB">
            <w:pPr>
              <w:pStyle w:val="16"/>
              <w:pageBreakBefore w:val="0"/>
              <w:wordWrap/>
              <w:bidi w:val="0"/>
              <w:adjustRightInd/>
              <w:snapToGrid/>
              <w:rPr>
                <w:color w:val="auto"/>
              </w:rPr>
            </w:pPr>
            <w:r>
              <w:rPr>
                <w:color w:val="auto"/>
              </w:rPr>
              <w:t>4</w:t>
            </w:r>
          </w:p>
        </w:tc>
        <w:tc>
          <w:tcPr>
            <w:tcW w:w="836" w:type="pct"/>
            <w:tcBorders>
              <w:tl2br w:val="nil"/>
              <w:tr2bl w:val="nil"/>
            </w:tcBorders>
            <w:noWrap w:val="0"/>
            <w:vAlign w:val="center"/>
          </w:tcPr>
          <w:p w14:paraId="3C62691C">
            <w:pPr>
              <w:pStyle w:val="16"/>
              <w:pageBreakBefore w:val="0"/>
              <w:wordWrap/>
              <w:bidi w:val="0"/>
              <w:adjustRightInd/>
              <w:snapToGrid/>
              <w:rPr>
                <w:color w:val="auto"/>
              </w:rPr>
            </w:pPr>
            <w:r>
              <w:rPr>
                <w:color w:val="auto"/>
              </w:rPr>
              <w:t>进出水在线监测</w:t>
            </w:r>
          </w:p>
        </w:tc>
        <w:tc>
          <w:tcPr>
            <w:tcW w:w="1532" w:type="pct"/>
            <w:tcBorders>
              <w:tl2br w:val="nil"/>
              <w:tr2bl w:val="nil"/>
            </w:tcBorders>
            <w:noWrap w:val="0"/>
            <w:vAlign w:val="center"/>
          </w:tcPr>
          <w:p w14:paraId="423F8CDC">
            <w:pPr>
              <w:pStyle w:val="16"/>
              <w:pageBreakBefore w:val="0"/>
              <w:wordWrap/>
              <w:bidi w:val="0"/>
              <w:adjustRightInd/>
              <w:snapToGrid/>
              <w:rPr>
                <w:rFonts w:hint="default" w:eastAsia="宋体"/>
                <w:color w:val="auto"/>
                <w:lang w:val="en-US" w:eastAsia="zh-CN"/>
              </w:rPr>
            </w:pPr>
            <w:r>
              <w:rPr>
                <w:color w:val="auto"/>
              </w:rPr>
              <w:t>含COD、氨氮、总氮、总磷、</w:t>
            </w:r>
            <w:r>
              <w:rPr>
                <w:rFonts w:hint="eastAsia"/>
                <w:color w:val="auto"/>
                <w:lang w:val="en-US" w:eastAsia="zh-CN"/>
              </w:rPr>
              <w:t>SS</w:t>
            </w:r>
            <w:r>
              <w:rPr>
                <w:rFonts w:hint="eastAsia"/>
                <w:color w:val="auto"/>
                <w:lang w:eastAsia="zh-CN"/>
              </w:rPr>
              <w:t>、</w:t>
            </w:r>
            <w:r>
              <w:rPr>
                <w:color w:val="auto"/>
              </w:rPr>
              <w:t>pH</w:t>
            </w:r>
            <w:r>
              <w:rPr>
                <w:rFonts w:hint="eastAsia"/>
                <w:color w:val="auto"/>
                <w:lang w:val="en-US" w:eastAsia="zh-CN"/>
              </w:rPr>
              <w:t>等因子</w:t>
            </w:r>
          </w:p>
        </w:tc>
        <w:tc>
          <w:tcPr>
            <w:tcW w:w="612" w:type="pct"/>
            <w:tcBorders>
              <w:tl2br w:val="nil"/>
              <w:tr2bl w:val="nil"/>
            </w:tcBorders>
            <w:noWrap w:val="0"/>
            <w:vAlign w:val="center"/>
          </w:tcPr>
          <w:p w14:paraId="014EFC67">
            <w:pPr>
              <w:pStyle w:val="16"/>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0A60AC6B">
            <w:pPr>
              <w:pStyle w:val="16"/>
              <w:pageBreakBefore w:val="0"/>
              <w:wordWrap/>
              <w:bidi w:val="0"/>
              <w:adjustRightInd/>
              <w:snapToGrid/>
              <w:rPr>
                <w:color w:val="auto"/>
              </w:rPr>
            </w:pPr>
            <w:r>
              <w:rPr>
                <w:color w:val="auto"/>
              </w:rPr>
              <w:t>套</w:t>
            </w:r>
          </w:p>
        </w:tc>
        <w:tc>
          <w:tcPr>
            <w:tcW w:w="244" w:type="pct"/>
            <w:tcBorders>
              <w:tl2br w:val="nil"/>
              <w:tr2bl w:val="nil"/>
            </w:tcBorders>
            <w:noWrap w:val="0"/>
            <w:vAlign w:val="center"/>
          </w:tcPr>
          <w:p w14:paraId="1F00C233">
            <w:pPr>
              <w:pStyle w:val="16"/>
              <w:pageBreakBefore w:val="0"/>
              <w:wordWrap/>
              <w:bidi w:val="0"/>
              <w:adjustRightInd/>
              <w:snapToGrid/>
              <w:rPr>
                <w:color w:val="auto"/>
              </w:rPr>
            </w:pPr>
            <w:r>
              <w:rPr>
                <w:color w:val="auto"/>
              </w:rPr>
              <w:t>2</w:t>
            </w:r>
          </w:p>
        </w:tc>
        <w:tc>
          <w:tcPr>
            <w:tcW w:w="1143" w:type="pct"/>
            <w:gridSpan w:val="2"/>
            <w:tcBorders>
              <w:tl2br w:val="nil"/>
              <w:tr2bl w:val="nil"/>
            </w:tcBorders>
            <w:noWrap w:val="0"/>
            <w:vAlign w:val="center"/>
          </w:tcPr>
          <w:p w14:paraId="0D5A3C4D">
            <w:pPr>
              <w:pStyle w:val="16"/>
              <w:pageBreakBefore w:val="0"/>
              <w:wordWrap/>
              <w:bidi w:val="0"/>
              <w:adjustRightInd/>
              <w:snapToGrid/>
              <w:rPr>
                <w:color w:val="auto"/>
              </w:rPr>
            </w:pPr>
            <w:r>
              <w:rPr>
                <w:color w:val="auto"/>
              </w:rPr>
              <w:t>详电气自控</w:t>
            </w:r>
          </w:p>
        </w:tc>
      </w:tr>
      <w:tr w14:paraId="7325E51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4988" w:type="pct"/>
            <w:gridSpan w:val="9"/>
            <w:tcBorders>
              <w:tl2br w:val="nil"/>
              <w:tr2bl w:val="nil"/>
            </w:tcBorders>
            <w:noWrap w:val="0"/>
            <w:vAlign w:val="center"/>
          </w:tcPr>
          <w:p w14:paraId="0F652AB5">
            <w:pPr>
              <w:pStyle w:val="16"/>
              <w:pageBreakBefore w:val="0"/>
              <w:wordWrap/>
              <w:bidi w:val="0"/>
              <w:adjustRightInd/>
              <w:snapToGrid/>
              <w:jc w:val="left"/>
              <w:rPr>
                <w:color w:val="auto"/>
              </w:rPr>
            </w:pPr>
            <w:r>
              <w:rPr>
                <w:b/>
                <w:bCs/>
                <w:color w:val="auto"/>
              </w:rPr>
              <w:t>变配电室-鼓风机房</w:t>
            </w:r>
          </w:p>
        </w:tc>
      </w:tr>
      <w:tr w14:paraId="79C3F9F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15315EDE">
            <w:pPr>
              <w:pStyle w:val="16"/>
              <w:pageBreakBefore w:val="0"/>
              <w:wordWrap/>
              <w:bidi w:val="0"/>
              <w:adjustRightInd/>
              <w:snapToGrid/>
              <w:rPr>
                <w:color w:val="auto"/>
              </w:rPr>
            </w:pPr>
            <w:r>
              <w:rPr>
                <w:color w:val="auto"/>
              </w:rPr>
              <w:t>1</w:t>
            </w:r>
          </w:p>
        </w:tc>
        <w:tc>
          <w:tcPr>
            <w:tcW w:w="843" w:type="pct"/>
            <w:gridSpan w:val="2"/>
            <w:tcBorders>
              <w:tl2br w:val="nil"/>
              <w:tr2bl w:val="nil"/>
            </w:tcBorders>
            <w:noWrap w:val="0"/>
            <w:vAlign w:val="center"/>
          </w:tcPr>
          <w:p w14:paraId="279582A3">
            <w:pPr>
              <w:pStyle w:val="16"/>
              <w:pageBreakBefore w:val="0"/>
              <w:wordWrap/>
              <w:bidi w:val="0"/>
              <w:adjustRightInd/>
              <w:snapToGrid/>
              <w:rPr>
                <w:color w:val="auto"/>
              </w:rPr>
            </w:pPr>
            <w:r>
              <w:rPr>
                <w:color w:val="auto"/>
              </w:rPr>
              <w:t>空气悬浮鼓风机</w:t>
            </w:r>
          </w:p>
        </w:tc>
        <w:tc>
          <w:tcPr>
            <w:tcW w:w="1532" w:type="pct"/>
            <w:tcBorders>
              <w:tl2br w:val="nil"/>
              <w:tr2bl w:val="nil"/>
            </w:tcBorders>
            <w:noWrap w:val="0"/>
            <w:vAlign w:val="center"/>
          </w:tcPr>
          <w:p w14:paraId="1712B0FC">
            <w:pPr>
              <w:pStyle w:val="16"/>
              <w:pageBreakBefore w:val="0"/>
              <w:wordWrap/>
              <w:bidi w:val="0"/>
              <w:adjustRightInd/>
              <w:snapToGrid/>
              <w:rPr>
                <w:color w:val="auto"/>
              </w:rPr>
            </w:pPr>
            <w:r>
              <w:rPr>
                <w:color w:val="auto"/>
              </w:rPr>
              <w:t>Q=4.7m/min</w:t>
            </w:r>
            <w:r>
              <w:rPr>
                <w:rFonts w:hint="eastAsia"/>
                <w:color w:val="auto"/>
                <w:lang w:eastAsia="zh-CN"/>
              </w:rPr>
              <w:t>，</w:t>
            </w:r>
            <w:r>
              <w:rPr>
                <w:color w:val="auto"/>
              </w:rPr>
              <w:t>P=0.06MPa</w:t>
            </w:r>
            <w:r>
              <w:rPr>
                <w:rFonts w:hint="eastAsia"/>
                <w:color w:val="auto"/>
                <w:lang w:eastAsia="zh-CN"/>
              </w:rPr>
              <w:t>，</w:t>
            </w:r>
            <w:r>
              <w:rPr>
                <w:color w:val="auto"/>
              </w:rPr>
              <w:t>整机功率11kW</w:t>
            </w:r>
          </w:p>
        </w:tc>
        <w:tc>
          <w:tcPr>
            <w:tcW w:w="612" w:type="pct"/>
            <w:tcBorders>
              <w:tl2br w:val="nil"/>
              <w:tr2bl w:val="nil"/>
            </w:tcBorders>
            <w:noWrap w:val="0"/>
            <w:vAlign w:val="center"/>
          </w:tcPr>
          <w:p w14:paraId="27732F04">
            <w:pPr>
              <w:pStyle w:val="16"/>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00CAC4BE">
            <w:pPr>
              <w:pStyle w:val="16"/>
              <w:pageBreakBefore w:val="0"/>
              <w:wordWrap/>
              <w:bidi w:val="0"/>
              <w:adjustRightInd/>
              <w:snapToGrid/>
              <w:rPr>
                <w:color w:val="auto"/>
              </w:rPr>
            </w:pPr>
            <w:r>
              <w:rPr>
                <w:color w:val="auto"/>
              </w:rPr>
              <w:t>台</w:t>
            </w:r>
          </w:p>
        </w:tc>
        <w:tc>
          <w:tcPr>
            <w:tcW w:w="244" w:type="pct"/>
            <w:tcBorders>
              <w:tl2br w:val="nil"/>
              <w:tr2bl w:val="nil"/>
            </w:tcBorders>
            <w:noWrap w:val="0"/>
            <w:vAlign w:val="center"/>
          </w:tcPr>
          <w:p w14:paraId="6AFC9E15">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2BB1E87F">
            <w:pPr>
              <w:pStyle w:val="16"/>
              <w:pageBreakBefore w:val="0"/>
              <w:wordWrap/>
              <w:bidi w:val="0"/>
              <w:adjustRightInd/>
              <w:snapToGrid/>
              <w:rPr>
                <w:color w:val="auto"/>
              </w:rPr>
            </w:pPr>
          </w:p>
        </w:tc>
      </w:tr>
      <w:tr w14:paraId="578DA1E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600916B">
            <w:pPr>
              <w:pStyle w:val="16"/>
              <w:pageBreakBefore w:val="0"/>
              <w:wordWrap/>
              <w:bidi w:val="0"/>
              <w:adjustRightInd/>
              <w:snapToGrid/>
              <w:rPr>
                <w:color w:val="auto"/>
              </w:rPr>
            </w:pPr>
            <w:r>
              <w:rPr>
                <w:color w:val="auto"/>
              </w:rPr>
              <w:t>2</w:t>
            </w:r>
          </w:p>
        </w:tc>
        <w:tc>
          <w:tcPr>
            <w:tcW w:w="843" w:type="pct"/>
            <w:gridSpan w:val="2"/>
            <w:tcBorders>
              <w:tl2br w:val="nil"/>
              <w:tr2bl w:val="nil"/>
            </w:tcBorders>
            <w:noWrap w:val="0"/>
            <w:vAlign w:val="center"/>
          </w:tcPr>
          <w:p w14:paraId="42B264AC">
            <w:pPr>
              <w:pStyle w:val="16"/>
              <w:pageBreakBefore w:val="0"/>
              <w:wordWrap/>
              <w:bidi w:val="0"/>
              <w:adjustRightInd/>
              <w:snapToGrid/>
              <w:rPr>
                <w:color w:val="auto"/>
              </w:rPr>
            </w:pPr>
            <w:r>
              <w:rPr>
                <w:color w:val="auto"/>
              </w:rPr>
              <w:t>止回阀</w:t>
            </w:r>
          </w:p>
        </w:tc>
        <w:tc>
          <w:tcPr>
            <w:tcW w:w="1532" w:type="pct"/>
            <w:tcBorders>
              <w:tl2br w:val="nil"/>
              <w:tr2bl w:val="nil"/>
            </w:tcBorders>
            <w:noWrap w:val="0"/>
            <w:vAlign w:val="center"/>
          </w:tcPr>
          <w:p w14:paraId="40BCD279">
            <w:pPr>
              <w:pStyle w:val="16"/>
              <w:pageBreakBefore w:val="0"/>
              <w:wordWrap/>
              <w:bidi w:val="0"/>
              <w:adjustRightInd/>
              <w:snapToGrid/>
              <w:rPr>
                <w:color w:val="auto"/>
              </w:rPr>
            </w:pPr>
            <w:r>
              <w:rPr>
                <w:color w:val="auto"/>
              </w:rPr>
              <w:t>DN100</w:t>
            </w:r>
          </w:p>
        </w:tc>
        <w:tc>
          <w:tcPr>
            <w:tcW w:w="612" w:type="pct"/>
            <w:tcBorders>
              <w:tl2br w:val="nil"/>
              <w:tr2bl w:val="nil"/>
            </w:tcBorders>
            <w:noWrap w:val="0"/>
            <w:vAlign w:val="center"/>
          </w:tcPr>
          <w:p w14:paraId="6092B5E4">
            <w:pPr>
              <w:pStyle w:val="16"/>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4158904D">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318223BE">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C8B876E">
            <w:pPr>
              <w:pStyle w:val="16"/>
              <w:pageBreakBefore w:val="0"/>
              <w:wordWrap/>
              <w:bidi w:val="0"/>
              <w:adjustRightInd/>
              <w:snapToGrid/>
              <w:rPr>
                <w:color w:val="auto"/>
              </w:rPr>
            </w:pPr>
          </w:p>
        </w:tc>
      </w:tr>
      <w:tr w14:paraId="11805EF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3C4E8813">
            <w:pPr>
              <w:pStyle w:val="16"/>
              <w:pageBreakBefore w:val="0"/>
              <w:wordWrap/>
              <w:bidi w:val="0"/>
              <w:adjustRightInd/>
              <w:snapToGrid/>
              <w:rPr>
                <w:color w:val="auto"/>
              </w:rPr>
            </w:pPr>
            <w:r>
              <w:rPr>
                <w:color w:val="auto"/>
              </w:rPr>
              <w:t>3</w:t>
            </w:r>
          </w:p>
        </w:tc>
        <w:tc>
          <w:tcPr>
            <w:tcW w:w="843" w:type="pct"/>
            <w:gridSpan w:val="2"/>
            <w:tcBorders>
              <w:tl2br w:val="nil"/>
              <w:tr2bl w:val="nil"/>
            </w:tcBorders>
            <w:noWrap w:val="0"/>
            <w:vAlign w:val="center"/>
          </w:tcPr>
          <w:p w14:paraId="590EDA38">
            <w:pPr>
              <w:pStyle w:val="16"/>
              <w:pageBreakBefore w:val="0"/>
              <w:wordWrap/>
              <w:bidi w:val="0"/>
              <w:adjustRightInd/>
              <w:snapToGrid/>
              <w:rPr>
                <w:color w:val="auto"/>
              </w:rPr>
            </w:pPr>
            <w:r>
              <w:rPr>
                <w:color w:val="auto"/>
              </w:rPr>
              <w:t>柔性接头</w:t>
            </w:r>
          </w:p>
        </w:tc>
        <w:tc>
          <w:tcPr>
            <w:tcW w:w="1532" w:type="pct"/>
            <w:tcBorders>
              <w:tl2br w:val="nil"/>
              <w:tr2bl w:val="nil"/>
            </w:tcBorders>
            <w:noWrap w:val="0"/>
            <w:vAlign w:val="center"/>
          </w:tcPr>
          <w:p w14:paraId="6EBAF9B9">
            <w:pPr>
              <w:pStyle w:val="16"/>
              <w:pageBreakBefore w:val="0"/>
              <w:wordWrap/>
              <w:bidi w:val="0"/>
              <w:adjustRightInd/>
              <w:snapToGrid/>
              <w:rPr>
                <w:color w:val="auto"/>
              </w:rPr>
            </w:pPr>
            <w:r>
              <w:rPr>
                <w:color w:val="auto"/>
              </w:rPr>
              <w:t>DN100</w:t>
            </w:r>
          </w:p>
        </w:tc>
        <w:tc>
          <w:tcPr>
            <w:tcW w:w="612" w:type="pct"/>
            <w:tcBorders>
              <w:tl2br w:val="nil"/>
              <w:tr2bl w:val="nil"/>
            </w:tcBorders>
            <w:noWrap w:val="0"/>
            <w:vAlign w:val="center"/>
          </w:tcPr>
          <w:p w14:paraId="21EEAE4D">
            <w:pPr>
              <w:pStyle w:val="16"/>
              <w:pageBreakBefore w:val="0"/>
              <w:wordWrap/>
              <w:bidi w:val="0"/>
              <w:adjustRightInd/>
              <w:snapToGrid/>
              <w:rPr>
                <w:color w:val="auto"/>
              </w:rPr>
            </w:pPr>
            <w:r>
              <w:rPr>
                <w:color w:val="auto"/>
              </w:rPr>
              <w:t>组合件</w:t>
            </w:r>
          </w:p>
        </w:tc>
        <w:tc>
          <w:tcPr>
            <w:tcW w:w="279" w:type="pct"/>
            <w:tcBorders>
              <w:tl2br w:val="nil"/>
              <w:tr2bl w:val="nil"/>
            </w:tcBorders>
            <w:noWrap w:val="0"/>
            <w:vAlign w:val="center"/>
          </w:tcPr>
          <w:p w14:paraId="2AD4A7CD">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1CBE01FA">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6F417C50">
            <w:pPr>
              <w:pStyle w:val="16"/>
              <w:pageBreakBefore w:val="0"/>
              <w:wordWrap/>
              <w:bidi w:val="0"/>
              <w:adjustRightInd/>
              <w:snapToGrid/>
              <w:rPr>
                <w:color w:val="auto"/>
              </w:rPr>
            </w:pPr>
          </w:p>
        </w:tc>
      </w:tr>
      <w:tr w14:paraId="72654D8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0C2ACFF">
            <w:pPr>
              <w:pStyle w:val="16"/>
              <w:pageBreakBefore w:val="0"/>
              <w:wordWrap/>
              <w:bidi w:val="0"/>
              <w:adjustRightInd/>
              <w:snapToGrid/>
              <w:rPr>
                <w:color w:val="auto"/>
              </w:rPr>
            </w:pPr>
            <w:r>
              <w:rPr>
                <w:color w:val="auto"/>
              </w:rPr>
              <w:t>4</w:t>
            </w:r>
          </w:p>
        </w:tc>
        <w:tc>
          <w:tcPr>
            <w:tcW w:w="843" w:type="pct"/>
            <w:gridSpan w:val="2"/>
            <w:tcBorders>
              <w:tl2br w:val="nil"/>
              <w:tr2bl w:val="nil"/>
            </w:tcBorders>
            <w:noWrap w:val="0"/>
            <w:vAlign w:val="center"/>
          </w:tcPr>
          <w:p w14:paraId="6466018F">
            <w:pPr>
              <w:pStyle w:val="16"/>
              <w:pageBreakBefore w:val="0"/>
              <w:wordWrap/>
              <w:bidi w:val="0"/>
              <w:adjustRightInd/>
              <w:snapToGrid/>
              <w:rPr>
                <w:color w:val="auto"/>
              </w:rPr>
            </w:pPr>
            <w:r>
              <w:rPr>
                <w:color w:val="auto"/>
              </w:rPr>
              <w:t>手动蝶阀</w:t>
            </w:r>
          </w:p>
        </w:tc>
        <w:tc>
          <w:tcPr>
            <w:tcW w:w="1532" w:type="pct"/>
            <w:tcBorders>
              <w:tl2br w:val="nil"/>
              <w:tr2bl w:val="nil"/>
            </w:tcBorders>
            <w:noWrap w:val="0"/>
            <w:vAlign w:val="center"/>
          </w:tcPr>
          <w:p w14:paraId="5A80BA66">
            <w:pPr>
              <w:pStyle w:val="16"/>
              <w:pageBreakBefore w:val="0"/>
              <w:wordWrap/>
              <w:bidi w:val="0"/>
              <w:adjustRightInd/>
              <w:snapToGrid/>
              <w:rPr>
                <w:color w:val="auto"/>
              </w:rPr>
            </w:pPr>
            <w:r>
              <w:rPr>
                <w:color w:val="auto"/>
              </w:rPr>
              <w:t>DN100</w:t>
            </w:r>
          </w:p>
        </w:tc>
        <w:tc>
          <w:tcPr>
            <w:tcW w:w="612" w:type="pct"/>
            <w:tcBorders>
              <w:tl2br w:val="nil"/>
              <w:tr2bl w:val="nil"/>
            </w:tcBorders>
            <w:noWrap w:val="0"/>
            <w:vAlign w:val="center"/>
          </w:tcPr>
          <w:p w14:paraId="04C1A20B">
            <w:pPr>
              <w:pStyle w:val="16"/>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19BA85EC">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3358299A">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853FAC3">
            <w:pPr>
              <w:pStyle w:val="16"/>
              <w:pageBreakBefore w:val="0"/>
              <w:wordWrap/>
              <w:bidi w:val="0"/>
              <w:adjustRightInd/>
              <w:snapToGrid/>
              <w:rPr>
                <w:color w:val="auto"/>
              </w:rPr>
            </w:pPr>
          </w:p>
        </w:tc>
      </w:tr>
      <w:tr w14:paraId="691C3BD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2044962F">
            <w:pPr>
              <w:pStyle w:val="16"/>
              <w:pageBreakBefore w:val="0"/>
              <w:wordWrap/>
              <w:bidi w:val="0"/>
              <w:adjustRightInd/>
              <w:snapToGrid/>
              <w:rPr>
                <w:color w:val="auto"/>
              </w:rPr>
            </w:pPr>
            <w:r>
              <w:rPr>
                <w:color w:val="auto"/>
              </w:rPr>
              <w:t>5</w:t>
            </w:r>
          </w:p>
        </w:tc>
        <w:tc>
          <w:tcPr>
            <w:tcW w:w="843" w:type="pct"/>
            <w:gridSpan w:val="2"/>
            <w:tcBorders>
              <w:tl2br w:val="nil"/>
              <w:tr2bl w:val="nil"/>
            </w:tcBorders>
            <w:noWrap w:val="0"/>
            <w:vAlign w:val="center"/>
          </w:tcPr>
          <w:p w14:paraId="21BB0EBB">
            <w:pPr>
              <w:pStyle w:val="16"/>
              <w:pageBreakBefore w:val="0"/>
              <w:wordWrap/>
              <w:bidi w:val="0"/>
              <w:adjustRightInd/>
              <w:snapToGrid/>
              <w:rPr>
                <w:color w:val="auto"/>
              </w:rPr>
            </w:pPr>
            <w:r>
              <w:rPr>
                <w:color w:val="auto"/>
              </w:rPr>
              <w:t>电动蝶阀</w:t>
            </w:r>
          </w:p>
        </w:tc>
        <w:tc>
          <w:tcPr>
            <w:tcW w:w="1532" w:type="pct"/>
            <w:tcBorders>
              <w:tl2br w:val="nil"/>
              <w:tr2bl w:val="nil"/>
            </w:tcBorders>
            <w:noWrap w:val="0"/>
            <w:vAlign w:val="center"/>
          </w:tcPr>
          <w:p w14:paraId="18305FB6">
            <w:pPr>
              <w:pStyle w:val="16"/>
              <w:pageBreakBefore w:val="0"/>
              <w:wordWrap/>
              <w:bidi w:val="0"/>
              <w:adjustRightInd/>
              <w:snapToGrid/>
              <w:rPr>
                <w:color w:val="auto"/>
              </w:rPr>
            </w:pPr>
            <w:r>
              <w:rPr>
                <w:color w:val="auto"/>
              </w:rPr>
              <w:t>DN100</w:t>
            </w:r>
          </w:p>
        </w:tc>
        <w:tc>
          <w:tcPr>
            <w:tcW w:w="612" w:type="pct"/>
            <w:tcBorders>
              <w:tl2br w:val="nil"/>
              <w:tr2bl w:val="nil"/>
            </w:tcBorders>
            <w:noWrap w:val="0"/>
            <w:vAlign w:val="center"/>
          </w:tcPr>
          <w:p w14:paraId="4BA970D5">
            <w:pPr>
              <w:pStyle w:val="16"/>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3ED9250C">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2AE1149E">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04FD6BE2">
            <w:pPr>
              <w:pStyle w:val="16"/>
              <w:pageBreakBefore w:val="0"/>
              <w:wordWrap/>
              <w:bidi w:val="0"/>
              <w:adjustRightInd/>
              <w:snapToGrid/>
              <w:rPr>
                <w:color w:val="auto"/>
              </w:rPr>
            </w:pPr>
          </w:p>
        </w:tc>
      </w:tr>
      <w:tr w14:paraId="5678765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gridAfter w:val="1"/>
          <w:wAfter w:w="11" w:type="pct"/>
          <w:trHeight w:val="340" w:hRule="atLeast"/>
          <w:jc w:val="center"/>
        </w:trPr>
        <w:tc>
          <w:tcPr>
            <w:tcW w:w="344" w:type="pct"/>
            <w:gridSpan w:val="2"/>
            <w:tcBorders>
              <w:tl2br w:val="nil"/>
              <w:tr2bl w:val="nil"/>
            </w:tcBorders>
            <w:noWrap w:val="0"/>
            <w:vAlign w:val="center"/>
          </w:tcPr>
          <w:p w14:paraId="06705458">
            <w:pPr>
              <w:pStyle w:val="16"/>
              <w:pageBreakBefore w:val="0"/>
              <w:wordWrap/>
              <w:bidi w:val="0"/>
              <w:adjustRightInd/>
              <w:snapToGrid/>
              <w:rPr>
                <w:color w:val="auto"/>
              </w:rPr>
            </w:pPr>
            <w:r>
              <w:rPr>
                <w:color w:val="auto"/>
              </w:rPr>
              <w:t>6</w:t>
            </w:r>
          </w:p>
        </w:tc>
        <w:tc>
          <w:tcPr>
            <w:tcW w:w="843" w:type="pct"/>
            <w:gridSpan w:val="2"/>
            <w:tcBorders>
              <w:tl2br w:val="nil"/>
              <w:tr2bl w:val="nil"/>
            </w:tcBorders>
            <w:noWrap w:val="0"/>
            <w:vAlign w:val="center"/>
          </w:tcPr>
          <w:p w14:paraId="36928BDE">
            <w:pPr>
              <w:pStyle w:val="16"/>
              <w:pageBreakBefore w:val="0"/>
              <w:wordWrap/>
              <w:bidi w:val="0"/>
              <w:adjustRightInd/>
              <w:snapToGrid/>
              <w:rPr>
                <w:color w:val="auto"/>
              </w:rPr>
            </w:pPr>
            <w:r>
              <w:rPr>
                <w:color w:val="auto"/>
              </w:rPr>
              <w:t>消音器</w:t>
            </w:r>
          </w:p>
        </w:tc>
        <w:tc>
          <w:tcPr>
            <w:tcW w:w="1532" w:type="pct"/>
            <w:tcBorders>
              <w:tl2br w:val="nil"/>
              <w:tr2bl w:val="nil"/>
            </w:tcBorders>
            <w:noWrap w:val="0"/>
            <w:vAlign w:val="center"/>
          </w:tcPr>
          <w:p w14:paraId="0C37D559">
            <w:pPr>
              <w:pStyle w:val="16"/>
              <w:pageBreakBefore w:val="0"/>
              <w:wordWrap/>
              <w:bidi w:val="0"/>
              <w:adjustRightInd/>
              <w:snapToGrid/>
              <w:rPr>
                <w:color w:val="auto"/>
              </w:rPr>
            </w:pPr>
            <w:r>
              <w:rPr>
                <w:color w:val="auto"/>
              </w:rPr>
              <w:t>DN100</w:t>
            </w:r>
          </w:p>
        </w:tc>
        <w:tc>
          <w:tcPr>
            <w:tcW w:w="612" w:type="pct"/>
            <w:tcBorders>
              <w:tl2br w:val="nil"/>
              <w:tr2bl w:val="nil"/>
            </w:tcBorders>
            <w:noWrap w:val="0"/>
            <w:vAlign w:val="center"/>
          </w:tcPr>
          <w:p w14:paraId="1151ED5C">
            <w:pPr>
              <w:pStyle w:val="16"/>
              <w:pageBreakBefore w:val="0"/>
              <w:wordWrap/>
              <w:bidi w:val="0"/>
              <w:adjustRightInd/>
              <w:snapToGrid/>
              <w:rPr>
                <w:color w:val="auto"/>
              </w:rPr>
            </w:pPr>
            <w:r>
              <w:rPr>
                <w:color w:val="auto"/>
              </w:rPr>
              <w:t>不锈钢</w:t>
            </w:r>
          </w:p>
        </w:tc>
        <w:tc>
          <w:tcPr>
            <w:tcW w:w="279" w:type="pct"/>
            <w:tcBorders>
              <w:tl2br w:val="nil"/>
              <w:tr2bl w:val="nil"/>
            </w:tcBorders>
            <w:noWrap w:val="0"/>
            <w:vAlign w:val="center"/>
          </w:tcPr>
          <w:p w14:paraId="41AB2086">
            <w:pPr>
              <w:pStyle w:val="16"/>
              <w:pageBreakBefore w:val="0"/>
              <w:wordWrap/>
              <w:bidi w:val="0"/>
              <w:adjustRightInd/>
              <w:snapToGrid/>
              <w:rPr>
                <w:color w:val="auto"/>
              </w:rPr>
            </w:pPr>
            <w:r>
              <w:rPr>
                <w:color w:val="auto"/>
              </w:rPr>
              <w:t>个</w:t>
            </w:r>
          </w:p>
        </w:tc>
        <w:tc>
          <w:tcPr>
            <w:tcW w:w="244" w:type="pct"/>
            <w:tcBorders>
              <w:tl2br w:val="nil"/>
              <w:tr2bl w:val="nil"/>
            </w:tcBorders>
            <w:noWrap w:val="0"/>
            <w:vAlign w:val="center"/>
          </w:tcPr>
          <w:p w14:paraId="34161C3D">
            <w:pPr>
              <w:pStyle w:val="16"/>
              <w:pageBreakBefore w:val="0"/>
              <w:wordWrap/>
              <w:bidi w:val="0"/>
              <w:adjustRightInd/>
              <w:snapToGrid/>
              <w:rPr>
                <w:color w:val="auto"/>
              </w:rPr>
            </w:pPr>
            <w:r>
              <w:rPr>
                <w:color w:val="auto"/>
              </w:rPr>
              <w:t>1</w:t>
            </w:r>
          </w:p>
        </w:tc>
        <w:tc>
          <w:tcPr>
            <w:tcW w:w="1132" w:type="pct"/>
            <w:tcBorders>
              <w:tl2br w:val="nil"/>
              <w:tr2bl w:val="nil"/>
            </w:tcBorders>
            <w:noWrap w:val="0"/>
            <w:vAlign w:val="center"/>
          </w:tcPr>
          <w:p w14:paraId="4C40BA8A">
            <w:pPr>
              <w:pStyle w:val="16"/>
              <w:pageBreakBefore w:val="0"/>
              <w:wordWrap/>
              <w:bidi w:val="0"/>
              <w:adjustRightInd/>
              <w:snapToGrid/>
              <w:rPr>
                <w:color w:val="auto"/>
              </w:rPr>
            </w:pPr>
          </w:p>
        </w:tc>
      </w:tr>
    </w:tbl>
    <w:p w14:paraId="506AC2BB">
      <w:pPr>
        <w:pStyle w:val="19"/>
        <w:numPr>
          <w:ilvl w:val="0"/>
          <w:numId w:val="15"/>
        </w:numPr>
        <w:bidi w:val="0"/>
        <w:ind w:left="0" w:leftChars="0" w:firstLine="0" w:firstLineChars="0"/>
        <w:rPr>
          <w:color w:val="auto"/>
        </w:rPr>
      </w:pPr>
      <w:r>
        <w:rPr>
          <w:rFonts w:hint="eastAsia"/>
          <w:color w:val="auto"/>
          <w:lang w:val="en-US" w:eastAsia="zh-CN"/>
        </w:rPr>
        <w:t>园区环境监测站</w:t>
      </w:r>
      <w:r>
        <w:rPr>
          <w:color w:val="auto"/>
        </w:rPr>
        <w:t>主要设备清单一览表</w:t>
      </w:r>
    </w:p>
    <w:tbl>
      <w:tblPr>
        <w:tblStyle w:val="706"/>
        <w:tblW w:w="4997"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2280"/>
        <w:gridCol w:w="2678"/>
        <w:gridCol w:w="443"/>
        <w:gridCol w:w="443"/>
        <w:gridCol w:w="6856"/>
        <w:gridCol w:w="1250"/>
      </w:tblGrid>
      <w:tr w14:paraId="2A08B52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0" w:type="auto"/>
            <w:gridSpan w:val="2"/>
            <w:tcBorders>
              <w:tl2br w:val="nil"/>
              <w:tr2bl w:val="nil"/>
            </w:tcBorders>
            <w:vAlign w:val="center"/>
          </w:tcPr>
          <w:p w14:paraId="701A11EF">
            <w:pPr>
              <w:pStyle w:val="16"/>
              <w:pageBreakBefore w:val="0"/>
              <w:wordWrap/>
              <w:bidi w:val="0"/>
              <w:adjustRightInd/>
              <w:snapToGrid/>
              <w:rPr>
                <w:b/>
                <w:bCs/>
                <w:color w:val="auto"/>
              </w:rPr>
            </w:pPr>
            <w:r>
              <w:rPr>
                <w:b/>
                <w:bCs/>
                <w:color w:val="auto"/>
              </w:rPr>
              <w:t>名称</w:t>
            </w:r>
          </w:p>
        </w:tc>
        <w:tc>
          <w:tcPr>
            <w:tcW w:w="0" w:type="auto"/>
            <w:tcBorders>
              <w:tl2br w:val="nil"/>
              <w:tr2bl w:val="nil"/>
            </w:tcBorders>
            <w:vAlign w:val="center"/>
          </w:tcPr>
          <w:p w14:paraId="5C5EEA7A">
            <w:pPr>
              <w:pStyle w:val="16"/>
              <w:pageBreakBefore w:val="0"/>
              <w:wordWrap/>
              <w:bidi w:val="0"/>
              <w:adjustRightInd/>
              <w:snapToGrid/>
              <w:rPr>
                <w:b/>
                <w:bCs/>
                <w:color w:val="auto"/>
              </w:rPr>
            </w:pPr>
            <w:r>
              <w:rPr>
                <w:b/>
                <w:bCs/>
                <w:color w:val="auto"/>
              </w:rPr>
              <w:t>单位</w:t>
            </w:r>
          </w:p>
        </w:tc>
        <w:tc>
          <w:tcPr>
            <w:tcW w:w="0" w:type="auto"/>
            <w:tcBorders>
              <w:tl2br w:val="nil"/>
              <w:tr2bl w:val="nil"/>
            </w:tcBorders>
            <w:vAlign w:val="center"/>
          </w:tcPr>
          <w:p w14:paraId="1F14CA32">
            <w:pPr>
              <w:pStyle w:val="16"/>
              <w:pageBreakBefore w:val="0"/>
              <w:wordWrap/>
              <w:bidi w:val="0"/>
              <w:adjustRightInd/>
              <w:snapToGrid/>
              <w:rPr>
                <w:b/>
                <w:bCs/>
                <w:color w:val="auto"/>
              </w:rPr>
            </w:pPr>
            <w:r>
              <w:rPr>
                <w:b/>
                <w:bCs/>
                <w:color w:val="auto"/>
              </w:rPr>
              <w:t>数量</w:t>
            </w:r>
          </w:p>
        </w:tc>
        <w:tc>
          <w:tcPr>
            <w:tcW w:w="2457" w:type="pct"/>
            <w:tcBorders>
              <w:tl2br w:val="nil"/>
              <w:tr2bl w:val="nil"/>
            </w:tcBorders>
            <w:vAlign w:val="center"/>
          </w:tcPr>
          <w:p w14:paraId="038E6EF9">
            <w:pPr>
              <w:pStyle w:val="16"/>
              <w:pageBreakBefore w:val="0"/>
              <w:wordWrap/>
              <w:bidi w:val="0"/>
              <w:adjustRightInd/>
              <w:snapToGrid/>
              <w:rPr>
                <w:b/>
                <w:bCs/>
                <w:color w:val="auto"/>
              </w:rPr>
            </w:pPr>
            <w:r>
              <w:rPr>
                <w:b/>
                <w:bCs/>
                <w:color w:val="auto"/>
              </w:rPr>
              <w:t>用途</w:t>
            </w:r>
          </w:p>
        </w:tc>
        <w:tc>
          <w:tcPr>
            <w:tcW w:w="448" w:type="pct"/>
            <w:tcBorders>
              <w:tl2br w:val="nil"/>
              <w:tr2bl w:val="nil"/>
            </w:tcBorders>
            <w:vAlign w:val="center"/>
          </w:tcPr>
          <w:p w14:paraId="51F4B94B">
            <w:pPr>
              <w:pStyle w:val="16"/>
              <w:pageBreakBefore w:val="0"/>
              <w:wordWrap/>
              <w:bidi w:val="0"/>
              <w:adjustRightInd/>
              <w:snapToGrid/>
              <w:rPr>
                <w:b/>
                <w:bCs/>
                <w:color w:val="auto"/>
              </w:rPr>
            </w:pPr>
            <w:r>
              <w:rPr>
                <w:b/>
                <w:bCs/>
                <w:color w:val="auto"/>
              </w:rPr>
              <w:t>备注</w:t>
            </w:r>
          </w:p>
        </w:tc>
      </w:tr>
      <w:tr w14:paraId="3BD02D1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0" w:type="auto"/>
            <w:gridSpan w:val="2"/>
            <w:tcBorders>
              <w:tl2br w:val="nil"/>
              <w:tr2bl w:val="nil"/>
            </w:tcBorders>
            <w:vAlign w:val="center"/>
          </w:tcPr>
          <w:p w14:paraId="18A3FC31">
            <w:pPr>
              <w:pStyle w:val="16"/>
              <w:pageBreakBefore w:val="0"/>
              <w:wordWrap/>
              <w:bidi w:val="0"/>
              <w:adjustRightInd/>
              <w:snapToGrid/>
              <w:rPr>
                <w:color w:val="auto"/>
              </w:rPr>
            </w:pPr>
            <w:r>
              <w:rPr>
                <w:color w:val="auto"/>
              </w:rPr>
              <w:t>环境空气质量监测系统</w:t>
            </w:r>
          </w:p>
        </w:tc>
        <w:tc>
          <w:tcPr>
            <w:tcW w:w="0" w:type="auto"/>
            <w:tcBorders>
              <w:tl2br w:val="nil"/>
              <w:tr2bl w:val="nil"/>
            </w:tcBorders>
            <w:vAlign w:val="center"/>
          </w:tcPr>
          <w:p w14:paraId="7D537713">
            <w:pPr>
              <w:pStyle w:val="16"/>
              <w:pageBreakBefore w:val="0"/>
              <w:wordWrap/>
              <w:bidi w:val="0"/>
              <w:adjustRightInd/>
              <w:snapToGrid/>
              <w:rPr>
                <w:color w:val="auto"/>
              </w:rPr>
            </w:pPr>
            <w:r>
              <w:rPr>
                <w:color w:val="auto"/>
              </w:rPr>
              <w:t>套</w:t>
            </w:r>
          </w:p>
        </w:tc>
        <w:tc>
          <w:tcPr>
            <w:tcW w:w="0" w:type="auto"/>
            <w:tcBorders>
              <w:tl2br w:val="nil"/>
              <w:tr2bl w:val="nil"/>
            </w:tcBorders>
            <w:vAlign w:val="center"/>
          </w:tcPr>
          <w:p w14:paraId="53F49903">
            <w:pPr>
              <w:pStyle w:val="16"/>
              <w:pageBreakBefore w:val="0"/>
              <w:wordWrap/>
              <w:bidi w:val="0"/>
              <w:adjustRightInd/>
              <w:snapToGrid/>
              <w:rPr>
                <w:color w:val="auto"/>
              </w:rPr>
            </w:pPr>
            <w:r>
              <w:rPr>
                <w:color w:val="auto"/>
              </w:rPr>
              <w:t>1</w:t>
            </w:r>
          </w:p>
        </w:tc>
        <w:tc>
          <w:tcPr>
            <w:tcW w:w="2457" w:type="pct"/>
            <w:tcBorders>
              <w:tl2br w:val="nil"/>
              <w:tr2bl w:val="nil"/>
            </w:tcBorders>
            <w:vAlign w:val="center"/>
          </w:tcPr>
          <w:p w14:paraId="4D0A74D3">
            <w:pPr>
              <w:pStyle w:val="16"/>
              <w:pageBreakBefore w:val="0"/>
              <w:wordWrap/>
              <w:bidi w:val="0"/>
              <w:adjustRightInd/>
              <w:snapToGrid/>
              <w:rPr>
                <w:color w:val="auto"/>
              </w:rPr>
            </w:pPr>
            <w:r>
              <w:rPr>
                <w:color w:val="auto"/>
              </w:rPr>
              <w:t>SO</w:t>
            </w:r>
            <w:r>
              <w:rPr>
                <w:color w:val="auto"/>
                <w:vertAlign w:val="subscript"/>
              </w:rPr>
              <w:t>2</w:t>
            </w:r>
            <w:r>
              <w:rPr>
                <w:color w:val="auto"/>
              </w:rPr>
              <w:t>、NOx、CO、O</w:t>
            </w:r>
            <w:r>
              <w:rPr>
                <w:color w:val="auto"/>
                <w:vertAlign w:val="subscript"/>
              </w:rPr>
              <w:t>3</w:t>
            </w:r>
            <w:r>
              <w:rPr>
                <w:color w:val="auto"/>
              </w:rPr>
              <w:t>、</w:t>
            </w:r>
            <w:r>
              <w:rPr>
                <w:rFonts w:hint="eastAsia"/>
                <w:color w:val="auto"/>
                <w:lang w:eastAsia="zh-CN"/>
              </w:rPr>
              <w:t>PM2.5</w:t>
            </w:r>
            <w:r>
              <w:rPr>
                <w:color w:val="auto"/>
              </w:rPr>
              <w:t>、PM</w:t>
            </w:r>
            <w:r>
              <w:rPr>
                <w:color w:val="auto"/>
                <w:vertAlign w:val="subscript"/>
              </w:rPr>
              <w:t>10</w:t>
            </w:r>
            <w:r>
              <w:rPr>
                <w:rFonts w:hint="eastAsia"/>
                <w:color w:val="auto"/>
                <w:lang w:eastAsia="zh-CN"/>
              </w:rPr>
              <w:t>，</w:t>
            </w:r>
            <w:r>
              <w:rPr>
                <w:color w:val="auto"/>
              </w:rPr>
              <w:t>气象多参数</w:t>
            </w:r>
          </w:p>
        </w:tc>
        <w:tc>
          <w:tcPr>
            <w:tcW w:w="448" w:type="pct"/>
            <w:tcBorders>
              <w:tl2br w:val="nil"/>
              <w:tr2bl w:val="nil"/>
            </w:tcBorders>
            <w:vAlign w:val="center"/>
          </w:tcPr>
          <w:p w14:paraId="4715FED7">
            <w:pPr>
              <w:pStyle w:val="16"/>
              <w:pageBreakBefore w:val="0"/>
              <w:wordWrap/>
              <w:bidi w:val="0"/>
              <w:adjustRightInd/>
              <w:snapToGrid/>
              <w:rPr>
                <w:color w:val="auto"/>
              </w:rPr>
            </w:pPr>
            <w:r>
              <w:rPr>
                <w:color w:val="auto"/>
              </w:rPr>
              <w:t>本次新建</w:t>
            </w:r>
          </w:p>
        </w:tc>
      </w:tr>
      <w:tr w14:paraId="752A653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0" w:type="auto"/>
            <w:tcBorders>
              <w:tl2br w:val="nil"/>
              <w:tr2bl w:val="nil"/>
            </w:tcBorders>
            <w:vAlign w:val="center"/>
          </w:tcPr>
          <w:p w14:paraId="5836BC2F">
            <w:pPr>
              <w:pStyle w:val="16"/>
              <w:pageBreakBefore w:val="0"/>
              <w:wordWrap/>
              <w:bidi w:val="0"/>
              <w:adjustRightInd/>
              <w:snapToGrid/>
              <w:rPr>
                <w:color w:val="auto"/>
              </w:rPr>
            </w:pPr>
            <w:r>
              <w:rPr>
                <w:color w:val="auto"/>
              </w:rPr>
              <w:t>颗粒物组分监测</w:t>
            </w:r>
          </w:p>
        </w:tc>
        <w:tc>
          <w:tcPr>
            <w:tcW w:w="0" w:type="auto"/>
            <w:tcBorders>
              <w:tl2br w:val="nil"/>
              <w:tr2bl w:val="nil"/>
            </w:tcBorders>
            <w:vAlign w:val="center"/>
          </w:tcPr>
          <w:p w14:paraId="6A8F296D">
            <w:pPr>
              <w:pStyle w:val="16"/>
              <w:pageBreakBefore w:val="0"/>
              <w:wordWrap/>
              <w:bidi w:val="0"/>
              <w:adjustRightInd/>
              <w:snapToGrid/>
              <w:rPr>
                <w:color w:val="auto"/>
              </w:rPr>
            </w:pPr>
            <w:r>
              <w:rPr>
                <w:color w:val="auto"/>
              </w:rPr>
              <w:t>碳组分分析仪</w:t>
            </w:r>
          </w:p>
        </w:tc>
        <w:tc>
          <w:tcPr>
            <w:tcW w:w="0" w:type="auto"/>
            <w:tcBorders>
              <w:tl2br w:val="nil"/>
              <w:tr2bl w:val="nil"/>
            </w:tcBorders>
            <w:vAlign w:val="center"/>
          </w:tcPr>
          <w:p w14:paraId="209FC8F4">
            <w:pPr>
              <w:pStyle w:val="16"/>
              <w:pageBreakBefore w:val="0"/>
              <w:wordWrap/>
              <w:bidi w:val="0"/>
              <w:adjustRightInd/>
              <w:snapToGrid/>
              <w:rPr>
                <w:color w:val="auto"/>
              </w:rPr>
            </w:pPr>
            <w:r>
              <w:rPr>
                <w:color w:val="auto"/>
              </w:rPr>
              <w:t>台</w:t>
            </w:r>
          </w:p>
        </w:tc>
        <w:tc>
          <w:tcPr>
            <w:tcW w:w="0" w:type="auto"/>
            <w:tcBorders>
              <w:tl2br w:val="nil"/>
              <w:tr2bl w:val="nil"/>
            </w:tcBorders>
            <w:vAlign w:val="center"/>
          </w:tcPr>
          <w:p w14:paraId="19377274">
            <w:pPr>
              <w:pStyle w:val="16"/>
              <w:pageBreakBefore w:val="0"/>
              <w:wordWrap/>
              <w:bidi w:val="0"/>
              <w:adjustRightInd/>
              <w:snapToGrid/>
              <w:rPr>
                <w:color w:val="auto"/>
              </w:rPr>
            </w:pPr>
            <w:r>
              <w:rPr>
                <w:color w:val="auto"/>
              </w:rPr>
              <w:t>1</w:t>
            </w:r>
          </w:p>
        </w:tc>
        <w:tc>
          <w:tcPr>
            <w:tcW w:w="2457" w:type="pct"/>
            <w:tcBorders>
              <w:tl2br w:val="nil"/>
              <w:tr2bl w:val="nil"/>
            </w:tcBorders>
            <w:vAlign w:val="center"/>
          </w:tcPr>
          <w:p w14:paraId="66CE7BA2">
            <w:pPr>
              <w:pStyle w:val="16"/>
              <w:pageBreakBefore w:val="0"/>
              <w:wordWrap/>
              <w:bidi w:val="0"/>
              <w:adjustRightInd/>
              <w:snapToGrid/>
              <w:rPr>
                <w:color w:val="auto"/>
              </w:rPr>
            </w:pPr>
            <w:r>
              <w:rPr>
                <w:color w:val="auto"/>
              </w:rPr>
              <w:t>测量</w:t>
            </w:r>
            <w:r>
              <w:rPr>
                <w:rFonts w:hint="eastAsia"/>
                <w:color w:val="auto"/>
                <w:lang w:eastAsia="zh-CN"/>
              </w:rPr>
              <w:t>PM2.5</w:t>
            </w:r>
            <w:r>
              <w:rPr>
                <w:color w:val="auto"/>
              </w:rPr>
              <w:t>中的元素碳有机碳组分</w:t>
            </w:r>
          </w:p>
        </w:tc>
        <w:tc>
          <w:tcPr>
            <w:tcW w:w="448" w:type="pct"/>
            <w:tcBorders>
              <w:tl2br w:val="nil"/>
              <w:tr2bl w:val="nil"/>
            </w:tcBorders>
            <w:vAlign w:val="center"/>
          </w:tcPr>
          <w:p w14:paraId="470384F6">
            <w:pPr>
              <w:pStyle w:val="16"/>
              <w:pageBreakBefore w:val="0"/>
              <w:wordWrap/>
              <w:bidi w:val="0"/>
              <w:adjustRightInd/>
              <w:snapToGrid/>
              <w:rPr>
                <w:color w:val="auto"/>
              </w:rPr>
            </w:pPr>
            <w:r>
              <w:rPr>
                <w:color w:val="auto"/>
              </w:rPr>
              <w:t>本次新建</w:t>
            </w:r>
          </w:p>
        </w:tc>
      </w:tr>
      <w:tr w14:paraId="478C701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0" w:type="auto"/>
            <w:vMerge w:val="restart"/>
            <w:tcBorders>
              <w:tl2br w:val="nil"/>
              <w:tr2bl w:val="nil"/>
            </w:tcBorders>
            <w:vAlign w:val="center"/>
          </w:tcPr>
          <w:p w14:paraId="083C6F69">
            <w:pPr>
              <w:pStyle w:val="16"/>
              <w:pageBreakBefore w:val="0"/>
              <w:wordWrap/>
              <w:bidi w:val="0"/>
              <w:adjustRightInd/>
              <w:snapToGrid/>
              <w:rPr>
                <w:rFonts w:hint="eastAsia" w:eastAsia="宋体"/>
                <w:color w:val="auto"/>
                <w:lang w:eastAsia="zh-CN"/>
              </w:rPr>
            </w:pPr>
            <w:r>
              <w:rPr>
                <w:color w:val="auto"/>
              </w:rPr>
              <w:t>VOCs组分</w:t>
            </w:r>
            <w:r>
              <w:rPr>
                <w:rFonts w:hint="eastAsia"/>
                <w:color w:val="auto"/>
                <w:lang w:eastAsia="zh-CN"/>
              </w:rPr>
              <w:t>（</w:t>
            </w:r>
            <w:r>
              <w:rPr>
                <w:color w:val="auto"/>
              </w:rPr>
              <w:t>117组分</w:t>
            </w:r>
            <w:r>
              <w:rPr>
                <w:rFonts w:hint="eastAsia"/>
                <w:color w:val="auto"/>
                <w:lang w:eastAsia="zh-CN"/>
              </w:rPr>
              <w:t>）</w:t>
            </w:r>
          </w:p>
        </w:tc>
        <w:tc>
          <w:tcPr>
            <w:tcW w:w="0" w:type="auto"/>
            <w:tcBorders>
              <w:tl2br w:val="nil"/>
              <w:tr2bl w:val="nil"/>
            </w:tcBorders>
            <w:vAlign w:val="center"/>
          </w:tcPr>
          <w:p w14:paraId="20725179">
            <w:pPr>
              <w:pStyle w:val="16"/>
              <w:pageBreakBefore w:val="0"/>
              <w:wordWrap/>
              <w:bidi w:val="0"/>
              <w:adjustRightInd/>
              <w:snapToGrid/>
              <w:rPr>
                <w:color w:val="auto"/>
              </w:rPr>
            </w:pPr>
            <w:r>
              <w:rPr>
                <w:color w:val="auto"/>
              </w:rPr>
              <w:t>挥发性有机物在线监测系统</w:t>
            </w:r>
          </w:p>
        </w:tc>
        <w:tc>
          <w:tcPr>
            <w:tcW w:w="0" w:type="auto"/>
            <w:tcBorders>
              <w:tl2br w:val="nil"/>
              <w:tr2bl w:val="nil"/>
            </w:tcBorders>
            <w:vAlign w:val="center"/>
          </w:tcPr>
          <w:p w14:paraId="3F86C164">
            <w:pPr>
              <w:pStyle w:val="16"/>
              <w:pageBreakBefore w:val="0"/>
              <w:wordWrap/>
              <w:bidi w:val="0"/>
              <w:adjustRightInd/>
              <w:snapToGrid/>
              <w:rPr>
                <w:color w:val="auto"/>
              </w:rPr>
            </w:pPr>
            <w:r>
              <w:rPr>
                <w:color w:val="auto"/>
              </w:rPr>
              <w:t>套</w:t>
            </w:r>
          </w:p>
        </w:tc>
        <w:tc>
          <w:tcPr>
            <w:tcW w:w="0" w:type="auto"/>
            <w:tcBorders>
              <w:tl2br w:val="nil"/>
              <w:tr2bl w:val="nil"/>
            </w:tcBorders>
            <w:vAlign w:val="center"/>
          </w:tcPr>
          <w:p w14:paraId="0A5A0B59">
            <w:pPr>
              <w:pStyle w:val="16"/>
              <w:pageBreakBefore w:val="0"/>
              <w:wordWrap/>
              <w:bidi w:val="0"/>
              <w:adjustRightInd/>
              <w:snapToGrid/>
              <w:rPr>
                <w:color w:val="auto"/>
              </w:rPr>
            </w:pPr>
            <w:r>
              <w:rPr>
                <w:color w:val="auto"/>
              </w:rPr>
              <w:t>1</w:t>
            </w:r>
          </w:p>
        </w:tc>
        <w:tc>
          <w:tcPr>
            <w:tcW w:w="2457" w:type="pct"/>
            <w:tcBorders>
              <w:tl2br w:val="nil"/>
              <w:tr2bl w:val="nil"/>
            </w:tcBorders>
            <w:vAlign w:val="center"/>
          </w:tcPr>
          <w:p w14:paraId="706AF69A">
            <w:pPr>
              <w:pStyle w:val="16"/>
              <w:pageBreakBefore w:val="0"/>
              <w:wordWrap/>
              <w:bidi w:val="0"/>
              <w:adjustRightInd/>
              <w:snapToGrid/>
              <w:rPr>
                <w:color w:val="auto"/>
              </w:rPr>
            </w:pPr>
            <w:r>
              <w:rPr>
                <w:color w:val="auto"/>
              </w:rPr>
              <w:t>测量116种VOCs组分</w:t>
            </w:r>
          </w:p>
        </w:tc>
        <w:tc>
          <w:tcPr>
            <w:tcW w:w="448" w:type="pct"/>
            <w:tcBorders>
              <w:tl2br w:val="nil"/>
              <w:tr2bl w:val="nil"/>
            </w:tcBorders>
            <w:vAlign w:val="center"/>
          </w:tcPr>
          <w:p w14:paraId="64B705F9">
            <w:pPr>
              <w:pStyle w:val="16"/>
              <w:pageBreakBefore w:val="0"/>
              <w:wordWrap/>
              <w:bidi w:val="0"/>
              <w:adjustRightInd/>
              <w:snapToGrid/>
              <w:rPr>
                <w:color w:val="auto"/>
              </w:rPr>
            </w:pPr>
            <w:r>
              <w:rPr>
                <w:color w:val="auto"/>
              </w:rPr>
              <w:t>本次新建</w:t>
            </w:r>
          </w:p>
        </w:tc>
      </w:tr>
      <w:tr w14:paraId="48A1D0F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0" w:type="auto"/>
            <w:vMerge w:val="continue"/>
            <w:tcBorders>
              <w:tl2br w:val="nil"/>
              <w:tr2bl w:val="nil"/>
            </w:tcBorders>
            <w:vAlign w:val="center"/>
          </w:tcPr>
          <w:p w14:paraId="78F3E14A">
            <w:pPr>
              <w:pStyle w:val="16"/>
              <w:pageBreakBefore w:val="0"/>
              <w:wordWrap/>
              <w:bidi w:val="0"/>
              <w:adjustRightInd/>
              <w:snapToGrid/>
              <w:rPr>
                <w:color w:val="auto"/>
              </w:rPr>
            </w:pPr>
          </w:p>
        </w:tc>
        <w:tc>
          <w:tcPr>
            <w:tcW w:w="0" w:type="auto"/>
            <w:tcBorders>
              <w:tl2br w:val="nil"/>
              <w:tr2bl w:val="nil"/>
            </w:tcBorders>
            <w:vAlign w:val="center"/>
          </w:tcPr>
          <w:p w14:paraId="23DA5A7E">
            <w:pPr>
              <w:pStyle w:val="16"/>
              <w:pageBreakBefore w:val="0"/>
              <w:wordWrap/>
              <w:bidi w:val="0"/>
              <w:adjustRightInd/>
              <w:snapToGrid/>
              <w:rPr>
                <w:color w:val="auto"/>
              </w:rPr>
            </w:pPr>
            <w:r>
              <w:rPr>
                <w:color w:val="auto"/>
              </w:rPr>
              <w:t>甲醛监测仪</w:t>
            </w:r>
          </w:p>
        </w:tc>
        <w:tc>
          <w:tcPr>
            <w:tcW w:w="0" w:type="auto"/>
            <w:tcBorders>
              <w:tl2br w:val="nil"/>
              <w:tr2bl w:val="nil"/>
            </w:tcBorders>
            <w:vAlign w:val="center"/>
          </w:tcPr>
          <w:p w14:paraId="44CF40EB">
            <w:pPr>
              <w:pStyle w:val="16"/>
              <w:pageBreakBefore w:val="0"/>
              <w:wordWrap/>
              <w:bidi w:val="0"/>
              <w:adjustRightInd/>
              <w:snapToGrid/>
              <w:rPr>
                <w:color w:val="auto"/>
              </w:rPr>
            </w:pPr>
            <w:r>
              <w:rPr>
                <w:color w:val="auto"/>
              </w:rPr>
              <w:t>套</w:t>
            </w:r>
          </w:p>
        </w:tc>
        <w:tc>
          <w:tcPr>
            <w:tcW w:w="0" w:type="auto"/>
            <w:tcBorders>
              <w:tl2br w:val="nil"/>
              <w:tr2bl w:val="nil"/>
            </w:tcBorders>
            <w:vAlign w:val="center"/>
          </w:tcPr>
          <w:p w14:paraId="049CD0AB">
            <w:pPr>
              <w:pStyle w:val="16"/>
              <w:pageBreakBefore w:val="0"/>
              <w:wordWrap/>
              <w:bidi w:val="0"/>
              <w:adjustRightInd/>
              <w:snapToGrid/>
              <w:rPr>
                <w:color w:val="auto"/>
              </w:rPr>
            </w:pPr>
            <w:r>
              <w:rPr>
                <w:color w:val="auto"/>
              </w:rPr>
              <w:t>1</w:t>
            </w:r>
          </w:p>
        </w:tc>
        <w:tc>
          <w:tcPr>
            <w:tcW w:w="2457" w:type="pct"/>
            <w:tcBorders>
              <w:tl2br w:val="nil"/>
              <w:tr2bl w:val="nil"/>
            </w:tcBorders>
            <w:vAlign w:val="center"/>
          </w:tcPr>
          <w:p w14:paraId="0EE85B76">
            <w:pPr>
              <w:pStyle w:val="16"/>
              <w:pageBreakBefore w:val="0"/>
              <w:wordWrap/>
              <w:bidi w:val="0"/>
              <w:adjustRightInd/>
              <w:snapToGrid/>
              <w:rPr>
                <w:color w:val="auto"/>
              </w:rPr>
            </w:pPr>
            <w:r>
              <w:rPr>
                <w:color w:val="auto"/>
              </w:rPr>
              <w:t>测量甲醛</w:t>
            </w:r>
          </w:p>
        </w:tc>
        <w:tc>
          <w:tcPr>
            <w:tcW w:w="448" w:type="pct"/>
            <w:tcBorders>
              <w:tl2br w:val="nil"/>
              <w:tr2bl w:val="nil"/>
            </w:tcBorders>
            <w:vAlign w:val="center"/>
          </w:tcPr>
          <w:p w14:paraId="21820142">
            <w:pPr>
              <w:pStyle w:val="16"/>
              <w:pageBreakBefore w:val="0"/>
              <w:wordWrap/>
              <w:bidi w:val="0"/>
              <w:adjustRightInd/>
              <w:snapToGrid/>
              <w:rPr>
                <w:color w:val="auto"/>
              </w:rPr>
            </w:pPr>
            <w:r>
              <w:rPr>
                <w:color w:val="auto"/>
              </w:rPr>
              <w:t>本次新建</w:t>
            </w:r>
          </w:p>
        </w:tc>
      </w:tr>
      <w:tr w14:paraId="375B7F0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0" w:type="auto"/>
            <w:vMerge w:val="continue"/>
            <w:tcBorders>
              <w:tl2br w:val="nil"/>
              <w:tr2bl w:val="nil"/>
            </w:tcBorders>
            <w:vAlign w:val="center"/>
          </w:tcPr>
          <w:p w14:paraId="492D08AD">
            <w:pPr>
              <w:pStyle w:val="16"/>
              <w:pageBreakBefore w:val="0"/>
              <w:wordWrap/>
              <w:bidi w:val="0"/>
              <w:adjustRightInd/>
              <w:snapToGrid/>
              <w:rPr>
                <w:color w:val="auto"/>
              </w:rPr>
            </w:pPr>
          </w:p>
        </w:tc>
        <w:tc>
          <w:tcPr>
            <w:tcW w:w="0" w:type="auto"/>
            <w:tcBorders>
              <w:tl2br w:val="nil"/>
              <w:tr2bl w:val="nil"/>
            </w:tcBorders>
            <w:vAlign w:val="center"/>
          </w:tcPr>
          <w:p w14:paraId="3D7E6883">
            <w:pPr>
              <w:pStyle w:val="16"/>
              <w:pageBreakBefore w:val="0"/>
              <w:wordWrap/>
              <w:bidi w:val="0"/>
              <w:adjustRightInd/>
              <w:snapToGrid/>
              <w:rPr>
                <w:color w:val="auto"/>
              </w:rPr>
            </w:pPr>
            <w:r>
              <w:rPr>
                <w:color w:val="auto"/>
              </w:rPr>
              <w:t>甲烷/非甲烷总烃在线分析仪</w:t>
            </w:r>
          </w:p>
        </w:tc>
        <w:tc>
          <w:tcPr>
            <w:tcW w:w="0" w:type="auto"/>
            <w:tcBorders>
              <w:tl2br w:val="nil"/>
              <w:tr2bl w:val="nil"/>
            </w:tcBorders>
            <w:vAlign w:val="center"/>
          </w:tcPr>
          <w:p w14:paraId="30DE454F">
            <w:pPr>
              <w:pStyle w:val="16"/>
              <w:pageBreakBefore w:val="0"/>
              <w:wordWrap/>
              <w:bidi w:val="0"/>
              <w:adjustRightInd/>
              <w:snapToGrid/>
              <w:rPr>
                <w:color w:val="auto"/>
              </w:rPr>
            </w:pPr>
            <w:r>
              <w:rPr>
                <w:color w:val="auto"/>
              </w:rPr>
              <w:t>台</w:t>
            </w:r>
          </w:p>
        </w:tc>
        <w:tc>
          <w:tcPr>
            <w:tcW w:w="0" w:type="auto"/>
            <w:tcBorders>
              <w:tl2br w:val="nil"/>
              <w:tr2bl w:val="nil"/>
            </w:tcBorders>
            <w:vAlign w:val="center"/>
          </w:tcPr>
          <w:p w14:paraId="01663877">
            <w:pPr>
              <w:pStyle w:val="16"/>
              <w:pageBreakBefore w:val="0"/>
              <w:wordWrap/>
              <w:bidi w:val="0"/>
              <w:adjustRightInd/>
              <w:snapToGrid/>
              <w:rPr>
                <w:color w:val="auto"/>
              </w:rPr>
            </w:pPr>
            <w:r>
              <w:rPr>
                <w:color w:val="auto"/>
              </w:rPr>
              <w:t>1</w:t>
            </w:r>
          </w:p>
        </w:tc>
        <w:tc>
          <w:tcPr>
            <w:tcW w:w="2457" w:type="pct"/>
            <w:tcBorders>
              <w:tl2br w:val="nil"/>
              <w:tr2bl w:val="nil"/>
            </w:tcBorders>
            <w:vAlign w:val="center"/>
          </w:tcPr>
          <w:p w14:paraId="051CD42B">
            <w:pPr>
              <w:pStyle w:val="16"/>
              <w:pageBreakBefore w:val="0"/>
              <w:wordWrap/>
              <w:bidi w:val="0"/>
              <w:adjustRightInd/>
              <w:snapToGrid/>
              <w:rPr>
                <w:color w:val="auto"/>
              </w:rPr>
            </w:pPr>
            <w:r>
              <w:rPr>
                <w:color w:val="auto"/>
              </w:rPr>
              <w:t>测量甲烷/非甲烷总烃</w:t>
            </w:r>
          </w:p>
        </w:tc>
        <w:tc>
          <w:tcPr>
            <w:tcW w:w="448" w:type="pct"/>
            <w:tcBorders>
              <w:tl2br w:val="nil"/>
              <w:tr2bl w:val="nil"/>
            </w:tcBorders>
            <w:vAlign w:val="center"/>
          </w:tcPr>
          <w:p w14:paraId="2576AE23">
            <w:pPr>
              <w:pStyle w:val="16"/>
              <w:pageBreakBefore w:val="0"/>
              <w:wordWrap/>
              <w:bidi w:val="0"/>
              <w:adjustRightInd/>
              <w:snapToGrid/>
              <w:rPr>
                <w:color w:val="auto"/>
              </w:rPr>
            </w:pPr>
            <w:r>
              <w:rPr>
                <w:color w:val="auto"/>
              </w:rPr>
              <w:t>本次新建</w:t>
            </w:r>
          </w:p>
        </w:tc>
      </w:tr>
      <w:tr w14:paraId="0A9DBCB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0" w:type="auto"/>
            <w:gridSpan w:val="2"/>
            <w:tcBorders>
              <w:tl2br w:val="nil"/>
              <w:tr2bl w:val="nil"/>
            </w:tcBorders>
            <w:vAlign w:val="center"/>
          </w:tcPr>
          <w:p w14:paraId="1A1728BC">
            <w:pPr>
              <w:pStyle w:val="16"/>
              <w:pageBreakBefore w:val="0"/>
              <w:wordWrap/>
              <w:bidi w:val="0"/>
              <w:adjustRightInd/>
              <w:snapToGrid/>
              <w:rPr>
                <w:color w:val="auto"/>
              </w:rPr>
            </w:pPr>
            <w:r>
              <w:rPr>
                <w:color w:val="auto"/>
              </w:rPr>
              <w:t>数据分析系统</w:t>
            </w:r>
          </w:p>
        </w:tc>
        <w:tc>
          <w:tcPr>
            <w:tcW w:w="0" w:type="auto"/>
            <w:tcBorders>
              <w:tl2br w:val="nil"/>
              <w:tr2bl w:val="nil"/>
            </w:tcBorders>
            <w:vAlign w:val="center"/>
          </w:tcPr>
          <w:p w14:paraId="49526530">
            <w:pPr>
              <w:pStyle w:val="16"/>
              <w:pageBreakBefore w:val="0"/>
              <w:wordWrap/>
              <w:bidi w:val="0"/>
              <w:adjustRightInd/>
              <w:snapToGrid/>
              <w:rPr>
                <w:color w:val="auto"/>
              </w:rPr>
            </w:pPr>
            <w:r>
              <w:rPr>
                <w:color w:val="auto"/>
              </w:rPr>
              <w:t>套</w:t>
            </w:r>
          </w:p>
        </w:tc>
        <w:tc>
          <w:tcPr>
            <w:tcW w:w="0" w:type="auto"/>
            <w:tcBorders>
              <w:tl2br w:val="nil"/>
              <w:tr2bl w:val="nil"/>
            </w:tcBorders>
            <w:vAlign w:val="center"/>
          </w:tcPr>
          <w:p w14:paraId="7498F8DA">
            <w:pPr>
              <w:pStyle w:val="16"/>
              <w:pageBreakBefore w:val="0"/>
              <w:wordWrap/>
              <w:bidi w:val="0"/>
              <w:adjustRightInd/>
              <w:snapToGrid/>
              <w:rPr>
                <w:color w:val="auto"/>
              </w:rPr>
            </w:pPr>
            <w:r>
              <w:rPr>
                <w:color w:val="auto"/>
              </w:rPr>
              <w:t>1</w:t>
            </w:r>
          </w:p>
        </w:tc>
        <w:tc>
          <w:tcPr>
            <w:tcW w:w="2457" w:type="pct"/>
            <w:tcBorders>
              <w:tl2br w:val="nil"/>
              <w:tr2bl w:val="nil"/>
            </w:tcBorders>
            <w:vAlign w:val="center"/>
          </w:tcPr>
          <w:p w14:paraId="15943B7B">
            <w:pPr>
              <w:pStyle w:val="16"/>
              <w:pageBreakBefore w:val="0"/>
              <w:wordWrap/>
              <w:bidi w:val="0"/>
              <w:adjustRightInd/>
              <w:snapToGrid/>
              <w:rPr>
                <w:color w:val="auto"/>
              </w:rPr>
            </w:pPr>
            <w:r>
              <w:rPr>
                <w:color w:val="auto"/>
              </w:rPr>
              <w:t>/</w:t>
            </w:r>
          </w:p>
        </w:tc>
        <w:tc>
          <w:tcPr>
            <w:tcW w:w="448" w:type="pct"/>
            <w:tcBorders>
              <w:tl2br w:val="nil"/>
              <w:tr2bl w:val="nil"/>
            </w:tcBorders>
            <w:vAlign w:val="center"/>
          </w:tcPr>
          <w:p w14:paraId="6BA90886">
            <w:pPr>
              <w:pStyle w:val="16"/>
              <w:pageBreakBefore w:val="0"/>
              <w:wordWrap/>
              <w:bidi w:val="0"/>
              <w:adjustRightInd/>
              <w:snapToGrid/>
              <w:rPr>
                <w:color w:val="auto"/>
              </w:rPr>
            </w:pPr>
            <w:r>
              <w:rPr>
                <w:color w:val="auto"/>
              </w:rPr>
              <w:t>本次新建</w:t>
            </w:r>
          </w:p>
        </w:tc>
      </w:tr>
      <w:tr w14:paraId="0E5D734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0" w:type="auto"/>
            <w:gridSpan w:val="2"/>
            <w:tcBorders>
              <w:tl2br w:val="nil"/>
              <w:tr2bl w:val="nil"/>
            </w:tcBorders>
            <w:vAlign w:val="center"/>
          </w:tcPr>
          <w:p w14:paraId="74ADF7DE">
            <w:pPr>
              <w:pStyle w:val="16"/>
              <w:pageBreakBefore w:val="0"/>
              <w:wordWrap/>
              <w:bidi w:val="0"/>
              <w:adjustRightInd/>
              <w:snapToGrid/>
              <w:rPr>
                <w:color w:val="auto"/>
              </w:rPr>
            </w:pPr>
            <w:r>
              <w:rPr>
                <w:color w:val="auto"/>
              </w:rPr>
              <w:t>监测站房</w:t>
            </w:r>
          </w:p>
        </w:tc>
        <w:tc>
          <w:tcPr>
            <w:tcW w:w="0" w:type="auto"/>
            <w:tcBorders>
              <w:tl2br w:val="nil"/>
              <w:tr2bl w:val="nil"/>
            </w:tcBorders>
            <w:vAlign w:val="center"/>
          </w:tcPr>
          <w:p w14:paraId="367939E0">
            <w:pPr>
              <w:pStyle w:val="16"/>
              <w:pageBreakBefore w:val="0"/>
              <w:wordWrap/>
              <w:bidi w:val="0"/>
              <w:adjustRightInd/>
              <w:snapToGrid/>
              <w:rPr>
                <w:color w:val="auto"/>
              </w:rPr>
            </w:pPr>
            <w:r>
              <w:rPr>
                <w:color w:val="auto"/>
              </w:rPr>
              <w:t>套</w:t>
            </w:r>
          </w:p>
        </w:tc>
        <w:tc>
          <w:tcPr>
            <w:tcW w:w="0" w:type="auto"/>
            <w:tcBorders>
              <w:tl2br w:val="nil"/>
              <w:tr2bl w:val="nil"/>
            </w:tcBorders>
            <w:vAlign w:val="center"/>
          </w:tcPr>
          <w:p w14:paraId="75037FAA">
            <w:pPr>
              <w:pStyle w:val="16"/>
              <w:pageBreakBefore w:val="0"/>
              <w:wordWrap/>
              <w:bidi w:val="0"/>
              <w:adjustRightInd/>
              <w:snapToGrid/>
              <w:rPr>
                <w:color w:val="auto"/>
              </w:rPr>
            </w:pPr>
            <w:r>
              <w:rPr>
                <w:color w:val="auto"/>
              </w:rPr>
              <w:t>1</w:t>
            </w:r>
          </w:p>
        </w:tc>
        <w:tc>
          <w:tcPr>
            <w:tcW w:w="2457" w:type="pct"/>
            <w:tcBorders>
              <w:tl2br w:val="nil"/>
              <w:tr2bl w:val="nil"/>
            </w:tcBorders>
            <w:vAlign w:val="center"/>
          </w:tcPr>
          <w:p w14:paraId="7F050150">
            <w:pPr>
              <w:pStyle w:val="16"/>
              <w:pageBreakBefore w:val="0"/>
              <w:wordWrap/>
              <w:bidi w:val="0"/>
              <w:adjustRightInd/>
              <w:snapToGrid/>
              <w:rPr>
                <w:rFonts w:hint="eastAsia" w:eastAsia="宋体"/>
                <w:color w:val="auto"/>
                <w:lang w:eastAsia="zh-CN"/>
              </w:rPr>
            </w:pPr>
            <w:r>
              <w:rPr>
                <w:color w:val="auto"/>
              </w:rPr>
              <w:t>新建30</w:t>
            </w:r>
            <w:r>
              <w:rPr>
                <w:rFonts w:hint="eastAsia"/>
                <w:color w:val="auto"/>
                <w:lang w:eastAsia="zh-CN"/>
              </w:rPr>
              <w:t>m²</w:t>
            </w:r>
          </w:p>
        </w:tc>
        <w:tc>
          <w:tcPr>
            <w:tcW w:w="448" w:type="pct"/>
            <w:tcBorders>
              <w:tl2br w:val="nil"/>
              <w:tr2bl w:val="nil"/>
            </w:tcBorders>
            <w:vAlign w:val="center"/>
          </w:tcPr>
          <w:p w14:paraId="771DA5DD">
            <w:pPr>
              <w:pStyle w:val="16"/>
              <w:pageBreakBefore w:val="0"/>
              <w:wordWrap/>
              <w:bidi w:val="0"/>
              <w:adjustRightInd/>
              <w:snapToGrid/>
              <w:rPr>
                <w:color w:val="auto"/>
              </w:rPr>
            </w:pPr>
            <w:r>
              <w:rPr>
                <w:color w:val="auto"/>
              </w:rPr>
              <w:t>本次新建</w:t>
            </w:r>
          </w:p>
        </w:tc>
      </w:tr>
      <w:tr w14:paraId="5D3B7A2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0" w:type="auto"/>
            <w:gridSpan w:val="2"/>
            <w:vMerge w:val="restart"/>
            <w:tcBorders>
              <w:tl2br w:val="nil"/>
              <w:tr2bl w:val="nil"/>
            </w:tcBorders>
            <w:vAlign w:val="center"/>
          </w:tcPr>
          <w:p w14:paraId="05DC5711">
            <w:pPr>
              <w:pStyle w:val="16"/>
              <w:pageBreakBefore w:val="0"/>
              <w:wordWrap/>
              <w:bidi w:val="0"/>
              <w:adjustRightInd/>
              <w:snapToGrid/>
              <w:rPr>
                <w:color w:val="auto"/>
              </w:rPr>
            </w:pPr>
            <w:r>
              <w:rPr>
                <w:color w:val="auto"/>
              </w:rPr>
              <w:t>水质自动监测系统</w:t>
            </w:r>
          </w:p>
        </w:tc>
        <w:tc>
          <w:tcPr>
            <w:tcW w:w="0" w:type="auto"/>
            <w:vMerge w:val="restart"/>
            <w:tcBorders>
              <w:tl2br w:val="nil"/>
              <w:tr2bl w:val="nil"/>
            </w:tcBorders>
            <w:vAlign w:val="center"/>
          </w:tcPr>
          <w:p w14:paraId="4D7C9CAA">
            <w:pPr>
              <w:pStyle w:val="16"/>
              <w:pageBreakBefore w:val="0"/>
              <w:wordWrap/>
              <w:bidi w:val="0"/>
              <w:adjustRightInd/>
              <w:snapToGrid/>
              <w:rPr>
                <w:color w:val="auto"/>
              </w:rPr>
            </w:pPr>
            <w:r>
              <w:rPr>
                <w:color w:val="auto"/>
              </w:rPr>
              <w:t>套</w:t>
            </w:r>
          </w:p>
        </w:tc>
        <w:tc>
          <w:tcPr>
            <w:tcW w:w="0" w:type="auto"/>
            <w:tcBorders>
              <w:tl2br w:val="nil"/>
              <w:tr2bl w:val="nil"/>
            </w:tcBorders>
            <w:vAlign w:val="center"/>
          </w:tcPr>
          <w:p w14:paraId="05A811E6">
            <w:pPr>
              <w:pStyle w:val="16"/>
              <w:pageBreakBefore w:val="0"/>
              <w:wordWrap/>
              <w:bidi w:val="0"/>
              <w:adjustRightInd/>
              <w:snapToGrid/>
              <w:rPr>
                <w:color w:val="auto"/>
              </w:rPr>
            </w:pPr>
            <w:r>
              <w:rPr>
                <w:color w:val="auto"/>
              </w:rPr>
              <w:t>3</w:t>
            </w:r>
          </w:p>
        </w:tc>
        <w:tc>
          <w:tcPr>
            <w:tcW w:w="2457" w:type="pct"/>
            <w:tcBorders>
              <w:tl2br w:val="nil"/>
              <w:tr2bl w:val="nil"/>
            </w:tcBorders>
            <w:vAlign w:val="center"/>
          </w:tcPr>
          <w:p w14:paraId="1D0A40AC">
            <w:pPr>
              <w:pStyle w:val="16"/>
              <w:pageBreakBefore w:val="0"/>
              <w:wordWrap/>
              <w:bidi w:val="0"/>
              <w:adjustRightInd/>
              <w:snapToGrid/>
              <w:rPr>
                <w:color w:val="auto"/>
              </w:rPr>
            </w:pPr>
            <w:r>
              <w:rPr>
                <w:color w:val="auto"/>
              </w:rPr>
              <w:t>水温、PH、溶解氧、电导率、浊度、高锰酸盐、氨氮、总磷、总氮</w:t>
            </w:r>
          </w:p>
        </w:tc>
        <w:tc>
          <w:tcPr>
            <w:tcW w:w="448" w:type="pct"/>
            <w:tcBorders>
              <w:tl2br w:val="nil"/>
              <w:tr2bl w:val="nil"/>
            </w:tcBorders>
            <w:vAlign w:val="center"/>
          </w:tcPr>
          <w:p w14:paraId="0E2D5870">
            <w:pPr>
              <w:pStyle w:val="16"/>
              <w:pageBreakBefore w:val="0"/>
              <w:wordWrap/>
              <w:bidi w:val="0"/>
              <w:adjustRightInd/>
              <w:snapToGrid/>
              <w:rPr>
                <w:color w:val="auto"/>
              </w:rPr>
            </w:pPr>
            <w:r>
              <w:rPr>
                <w:color w:val="auto"/>
              </w:rPr>
              <w:t>本次新建</w:t>
            </w:r>
          </w:p>
        </w:tc>
      </w:tr>
      <w:tr w14:paraId="58DE421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0" w:type="auto"/>
            <w:gridSpan w:val="2"/>
            <w:vMerge w:val="continue"/>
            <w:tcBorders>
              <w:tl2br w:val="nil"/>
              <w:tr2bl w:val="nil"/>
            </w:tcBorders>
            <w:vAlign w:val="center"/>
          </w:tcPr>
          <w:p w14:paraId="62579B3D">
            <w:pPr>
              <w:pStyle w:val="16"/>
              <w:pageBreakBefore w:val="0"/>
              <w:wordWrap/>
              <w:bidi w:val="0"/>
              <w:adjustRightInd/>
              <w:snapToGrid/>
              <w:rPr>
                <w:color w:val="auto"/>
              </w:rPr>
            </w:pPr>
          </w:p>
        </w:tc>
        <w:tc>
          <w:tcPr>
            <w:tcW w:w="0" w:type="auto"/>
            <w:vMerge w:val="continue"/>
            <w:tcBorders>
              <w:tl2br w:val="nil"/>
              <w:tr2bl w:val="nil"/>
            </w:tcBorders>
            <w:vAlign w:val="center"/>
          </w:tcPr>
          <w:p w14:paraId="77092CF5">
            <w:pPr>
              <w:pStyle w:val="16"/>
              <w:pageBreakBefore w:val="0"/>
              <w:wordWrap/>
              <w:bidi w:val="0"/>
              <w:adjustRightInd/>
              <w:snapToGrid/>
              <w:rPr>
                <w:color w:val="auto"/>
              </w:rPr>
            </w:pPr>
          </w:p>
        </w:tc>
        <w:tc>
          <w:tcPr>
            <w:tcW w:w="0" w:type="auto"/>
            <w:tcBorders>
              <w:tl2br w:val="nil"/>
              <w:tr2bl w:val="nil"/>
            </w:tcBorders>
            <w:vAlign w:val="center"/>
          </w:tcPr>
          <w:p w14:paraId="4DA27DFD">
            <w:pPr>
              <w:pStyle w:val="16"/>
              <w:pageBreakBefore w:val="0"/>
              <w:wordWrap/>
              <w:bidi w:val="0"/>
              <w:adjustRightInd/>
              <w:snapToGrid/>
              <w:rPr>
                <w:color w:val="auto"/>
              </w:rPr>
            </w:pPr>
            <w:r>
              <w:rPr>
                <w:color w:val="auto"/>
              </w:rPr>
              <w:t>2</w:t>
            </w:r>
          </w:p>
        </w:tc>
        <w:tc>
          <w:tcPr>
            <w:tcW w:w="2457" w:type="pct"/>
            <w:tcBorders>
              <w:tl2br w:val="nil"/>
              <w:tr2bl w:val="nil"/>
            </w:tcBorders>
            <w:vAlign w:val="center"/>
          </w:tcPr>
          <w:p w14:paraId="247C964B">
            <w:pPr>
              <w:pStyle w:val="16"/>
              <w:pageBreakBefore w:val="0"/>
              <w:wordWrap/>
              <w:bidi w:val="0"/>
              <w:adjustRightInd/>
              <w:snapToGrid/>
              <w:rPr>
                <w:color w:val="auto"/>
              </w:rPr>
            </w:pPr>
            <w:r>
              <w:rPr>
                <w:color w:val="auto"/>
              </w:rPr>
              <w:t>水温、PH、化学需氧量、氨氮、总磷、总氮</w:t>
            </w:r>
          </w:p>
        </w:tc>
        <w:tc>
          <w:tcPr>
            <w:tcW w:w="448" w:type="pct"/>
            <w:tcBorders>
              <w:tl2br w:val="nil"/>
              <w:tr2bl w:val="nil"/>
            </w:tcBorders>
            <w:vAlign w:val="center"/>
          </w:tcPr>
          <w:p w14:paraId="684A6AE2">
            <w:pPr>
              <w:pStyle w:val="16"/>
              <w:pageBreakBefore w:val="0"/>
              <w:wordWrap/>
              <w:bidi w:val="0"/>
              <w:adjustRightInd/>
              <w:snapToGrid/>
              <w:rPr>
                <w:color w:val="auto"/>
              </w:rPr>
            </w:pPr>
            <w:r>
              <w:rPr>
                <w:color w:val="auto"/>
              </w:rPr>
              <w:t>本次新建</w:t>
            </w:r>
          </w:p>
        </w:tc>
      </w:tr>
    </w:tbl>
    <w:p w14:paraId="272C175A">
      <w:pPr>
        <w:pStyle w:val="534"/>
        <w:pageBreakBefore w:val="0"/>
        <w:wordWrap/>
        <w:bidi w:val="0"/>
        <w:adjustRightInd/>
        <w:snapToGrid/>
        <w:ind w:firstLine="480"/>
        <w:jc w:val="center"/>
        <w:rPr>
          <w:color w:val="auto"/>
          <w:sz w:val="24"/>
        </w:rPr>
      </w:pPr>
    </w:p>
    <w:p w14:paraId="34D143A9">
      <w:pPr>
        <w:pStyle w:val="534"/>
        <w:pageBreakBefore w:val="0"/>
        <w:wordWrap/>
        <w:bidi w:val="0"/>
        <w:adjustRightInd/>
        <w:snapToGrid/>
        <w:ind w:firstLine="480"/>
        <w:rPr>
          <w:color w:val="auto"/>
          <w:sz w:val="24"/>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FC8DC62">
      <w:pPr>
        <w:pStyle w:val="5"/>
        <w:pageBreakBefore w:val="0"/>
        <w:wordWrap/>
        <w:bidi w:val="0"/>
        <w:adjustRightInd/>
        <w:snapToGrid/>
        <w:spacing w:before="62" w:after="62"/>
        <w:ind w:left="0"/>
        <w:rPr>
          <w:rFonts w:eastAsia="宋体"/>
          <w:color w:val="auto"/>
        </w:rPr>
      </w:pPr>
      <w:r>
        <w:rPr>
          <w:rFonts w:hint="eastAsia" w:eastAsia="宋体"/>
          <w:color w:val="auto"/>
        </w:rPr>
        <w:t xml:space="preserve"> </w:t>
      </w:r>
      <w:r>
        <w:rPr>
          <w:rFonts w:eastAsia="宋体"/>
          <w:color w:val="auto"/>
        </w:rPr>
        <w:t>原辅材料来源及消耗</w:t>
      </w:r>
    </w:p>
    <w:p w14:paraId="44590807">
      <w:pPr>
        <w:pStyle w:val="193"/>
        <w:pageBreakBefore w:val="0"/>
        <w:wordWrap/>
        <w:bidi w:val="0"/>
        <w:adjustRightInd/>
        <w:snapToGrid/>
        <w:spacing w:line="540" w:lineRule="exact"/>
        <w:rPr>
          <w:rFonts w:ascii="Times New Roman" w:hAnsi="Times New Roman"/>
          <w:color w:val="auto"/>
          <w:kern w:val="2"/>
          <w:szCs w:val="24"/>
        </w:rPr>
      </w:pPr>
      <w:r>
        <w:rPr>
          <w:rFonts w:ascii="Times New Roman" w:hAnsi="Times New Roman"/>
          <w:color w:val="auto"/>
          <w:kern w:val="2"/>
          <w:szCs w:val="24"/>
        </w:rPr>
        <w:t>本项目建成主要原辅材料及动力消耗情况见下表所示。</w:t>
      </w:r>
    </w:p>
    <w:p w14:paraId="1BBB0476">
      <w:pPr>
        <w:pStyle w:val="19"/>
        <w:numPr>
          <w:ilvl w:val="0"/>
          <w:numId w:val="15"/>
        </w:numPr>
        <w:bidi w:val="0"/>
        <w:ind w:left="0" w:leftChars="0" w:firstLine="0" w:firstLineChars="0"/>
        <w:rPr>
          <w:color w:val="auto"/>
        </w:rPr>
      </w:pPr>
      <w:r>
        <w:rPr>
          <w:color w:val="auto"/>
        </w:rPr>
        <w:t>项目主要原辅材料及动力消耗表</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28" w:type="dxa"/>
          <w:bottom w:w="0" w:type="dxa"/>
          <w:right w:w="28" w:type="dxa"/>
        </w:tblCellMar>
      </w:tblPr>
      <w:tblGrid>
        <w:gridCol w:w="552"/>
        <w:gridCol w:w="517"/>
        <w:gridCol w:w="907"/>
        <w:gridCol w:w="1062"/>
        <w:gridCol w:w="1296"/>
        <w:gridCol w:w="736"/>
        <w:gridCol w:w="1017"/>
        <w:gridCol w:w="1015"/>
        <w:gridCol w:w="1255"/>
      </w:tblGrid>
      <w:tr w14:paraId="64C0DBA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330" w:type="pct"/>
            <w:tcBorders>
              <w:tl2br w:val="nil"/>
              <w:tr2bl w:val="nil"/>
            </w:tcBorders>
            <w:noWrap w:val="0"/>
            <w:vAlign w:val="center"/>
          </w:tcPr>
          <w:p w14:paraId="0F60B49B">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序号</w:t>
            </w:r>
          </w:p>
        </w:tc>
        <w:tc>
          <w:tcPr>
            <w:tcW w:w="851" w:type="pct"/>
            <w:gridSpan w:val="2"/>
            <w:tcBorders>
              <w:tl2br w:val="nil"/>
              <w:tr2bl w:val="nil"/>
            </w:tcBorders>
            <w:noWrap w:val="0"/>
            <w:vAlign w:val="center"/>
          </w:tcPr>
          <w:p w14:paraId="24494CE7">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原料名称</w:t>
            </w:r>
          </w:p>
        </w:tc>
        <w:tc>
          <w:tcPr>
            <w:tcW w:w="635" w:type="pct"/>
            <w:tcBorders>
              <w:tl2br w:val="nil"/>
              <w:tr2bl w:val="nil"/>
            </w:tcBorders>
            <w:noWrap w:val="0"/>
            <w:vAlign w:val="center"/>
          </w:tcPr>
          <w:p w14:paraId="23AAFF46">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消耗量t/a</w:t>
            </w:r>
          </w:p>
        </w:tc>
        <w:tc>
          <w:tcPr>
            <w:tcW w:w="775" w:type="pct"/>
            <w:tcBorders>
              <w:tl2br w:val="nil"/>
              <w:tr2bl w:val="nil"/>
            </w:tcBorders>
            <w:noWrap w:val="0"/>
            <w:vAlign w:val="center"/>
          </w:tcPr>
          <w:p w14:paraId="2E02BB1A">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最大储存量t</w:t>
            </w:r>
          </w:p>
        </w:tc>
        <w:tc>
          <w:tcPr>
            <w:tcW w:w="440" w:type="pct"/>
            <w:tcBorders>
              <w:tl2br w:val="nil"/>
              <w:tr2bl w:val="nil"/>
            </w:tcBorders>
            <w:noWrap w:val="0"/>
            <w:vAlign w:val="center"/>
          </w:tcPr>
          <w:p w14:paraId="3E98C841">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形态</w:t>
            </w:r>
          </w:p>
        </w:tc>
        <w:tc>
          <w:tcPr>
            <w:tcW w:w="608" w:type="pct"/>
            <w:tcBorders>
              <w:tl2br w:val="nil"/>
              <w:tr2bl w:val="nil"/>
            </w:tcBorders>
            <w:noWrap w:val="0"/>
            <w:vAlign w:val="center"/>
          </w:tcPr>
          <w:p w14:paraId="0DA9CBC2">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储存方式</w:t>
            </w:r>
          </w:p>
        </w:tc>
        <w:tc>
          <w:tcPr>
            <w:tcW w:w="607" w:type="pct"/>
            <w:tcBorders>
              <w:tl2br w:val="nil"/>
              <w:tr2bl w:val="nil"/>
            </w:tcBorders>
            <w:noWrap w:val="0"/>
            <w:vAlign w:val="center"/>
          </w:tcPr>
          <w:p w14:paraId="3921B427">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储存地点</w:t>
            </w:r>
          </w:p>
        </w:tc>
        <w:tc>
          <w:tcPr>
            <w:tcW w:w="750" w:type="pct"/>
            <w:tcBorders>
              <w:tl2br w:val="nil"/>
              <w:tr2bl w:val="nil"/>
            </w:tcBorders>
            <w:noWrap w:val="0"/>
            <w:vAlign w:val="center"/>
          </w:tcPr>
          <w:p w14:paraId="501E6852">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用途</w:t>
            </w:r>
          </w:p>
        </w:tc>
      </w:tr>
      <w:tr w14:paraId="2858326E">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330" w:type="pct"/>
            <w:vMerge w:val="restart"/>
            <w:tcBorders>
              <w:tl2br w:val="nil"/>
              <w:tr2bl w:val="nil"/>
            </w:tcBorders>
            <w:noWrap w:val="0"/>
            <w:vAlign w:val="center"/>
          </w:tcPr>
          <w:p w14:paraId="01302B74">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309" w:type="pct"/>
            <w:vMerge w:val="restart"/>
            <w:tcBorders>
              <w:tl2br w:val="nil"/>
              <w:tr2bl w:val="nil"/>
            </w:tcBorders>
            <w:noWrap w:val="0"/>
            <w:vAlign w:val="center"/>
          </w:tcPr>
          <w:p w14:paraId="43165378">
            <w:pPr>
              <w:pageBreakBefore w:val="0"/>
              <w:wordWrap/>
              <w:bidi w:val="0"/>
              <w:adjustRightInd/>
              <w:snapToGrid/>
              <w:spacing w:line="240" w:lineRule="auto"/>
              <w:ind w:firstLine="0" w:firstLineChars="0"/>
              <w:jc w:val="center"/>
              <w:rPr>
                <w:color w:val="auto"/>
                <w:sz w:val="21"/>
                <w:szCs w:val="21"/>
              </w:rPr>
            </w:pPr>
            <w:r>
              <w:rPr>
                <w:color w:val="auto"/>
                <w:sz w:val="21"/>
                <w:szCs w:val="21"/>
              </w:rPr>
              <w:t>主要原辅料</w:t>
            </w:r>
          </w:p>
        </w:tc>
        <w:tc>
          <w:tcPr>
            <w:tcW w:w="542" w:type="pct"/>
            <w:tcBorders>
              <w:tl2br w:val="nil"/>
              <w:tr2bl w:val="nil"/>
            </w:tcBorders>
            <w:noWrap w:val="0"/>
            <w:vAlign w:val="center"/>
          </w:tcPr>
          <w:p w14:paraId="06361328">
            <w:pPr>
              <w:pageBreakBefore w:val="0"/>
              <w:wordWrap/>
              <w:bidi w:val="0"/>
              <w:adjustRightInd/>
              <w:snapToGrid/>
              <w:spacing w:line="240" w:lineRule="auto"/>
              <w:ind w:firstLine="0" w:firstLineChars="0"/>
              <w:jc w:val="center"/>
              <w:rPr>
                <w:color w:val="auto"/>
                <w:sz w:val="21"/>
                <w:szCs w:val="21"/>
              </w:rPr>
            </w:pPr>
            <w:r>
              <w:rPr>
                <w:color w:val="auto"/>
                <w:sz w:val="21"/>
                <w:szCs w:val="21"/>
              </w:rPr>
              <w:t>PAC</w:t>
            </w:r>
          </w:p>
        </w:tc>
        <w:tc>
          <w:tcPr>
            <w:tcW w:w="635" w:type="pct"/>
            <w:tcBorders>
              <w:tl2br w:val="nil"/>
              <w:tr2bl w:val="nil"/>
            </w:tcBorders>
            <w:noWrap w:val="0"/>
            <w:vAlign w:val="center"/>
          </w:tcPr>
          <w:p w14:paraId="35E305DD">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43.8</w:t>
            </w:r>
          </w:p>
        </w:tc>
        <w:tc>
          <w:tcPr>
            <w:tcW w:w="775" w:type="pct"/>
            <w:tcBorders>
              <w:tl2br w:val="nil"/>
              <w:tr2bl w:val="nil"/>
            </w:tcBorders>
            <w:noWrap w:val="0"/>
            <w:vAlign w:val="center"/>
          </w:tcPr>
          <w:p w14:paraId="61B68B43">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4</w:t>
            </w:r>
          </w:p>
        </w:tc>
        <w:tc>
          <w:tcPr>
            <w:tcW w:w="440" w:type="pct"/>
            <w:tcBorders>
              <w:tl2br w:val="nil"/>
              <w:tr2bl w:val="nil"/>
            </w:tcBorders>
            <w:noWrap w:val="0"/>
            <w:vAlign w:val="center"/>
          </w:tcPr>
          <w:p w14:paraId="2B8B43B4">
            <w:pPr>
              <w:pageBreakBefore w:val="0"/>
              <w:wordWrap/>
              <w:bidi w:val="0"/>
              <w:adjustRightInd/>
              <w:snapToGrid/>
              <w:spacing w:line="240" w:lineRule="auto"/>
              <w:ind w:firstLine="0" w:firstLineChars="0"/>
              <w:jc w:val="center"/>
              <w:rPr>
                <w:color w:val="auto"/>
                <w:sz w:val="21"/>
                <w:szCs w:val="21"/>
              </w:rPr>
            </w:pPr>
            <w:r>
              <w:rPr>
                <w:color w:val="auto"/>
                <w:sz w:val="21"/>
                <w:szCs w:val="21"/>
              </w:rPr>
              <w:t>固态</w:t>
            </w:r>
          </w:p>
        </w:tc>
        <w:tc>
          <w:tcPr>
            <w:tcW w:w="608" w:type="pct"/>
            <w:tcBorders>
              <w:tl2br w:val="nil"/>
              <w:tr2bl w:val="nil"/>
            </w:tcBorders>
            <w:noWrap w:val="0"/>
            <w:vAlign w:val="center"/>
          </w:tcPr>
          <w:p w14:paraId="58BF09BB">
            <w:pPr>
              <w:pageBreakBefore w:val="0"/>
              <w:wordWrap/>
              <w:bidi w:val="0"/>
              <w:adjustRightInd/>
              <w:snapToGrid/>
              <w:spacing w:line="240" w:lineRule="auto"/>
              <w:ind w:firstLine="0" w:firstLineChars="0"/>
              <w:jc w:val="center"/>
              <w:rPr>
                <w:color w:val="auto"/>
                <w:sz w:val="21"/>
                <w:szCs w:val="21"/>
              </w:rPr>
            </w:pPr>
            <w:r>
              <w:rPr>
                <w:color w:val="auto"/>
                <w:sz w:val="21"/>
                <w:szCs w:val="21"/>
              </w:rPr>
              <w:t>袋装</w:t>
            </w:r>
          </w:p>
        </w:tc>
        <w:tc>
          <w:tcPr>
            <w:tcW w:w="607" w:type="pct"/>
            <w:tcBorders>
              <w:tl2br w:val="nil"/>
              <w:tr2bl w:val="nil"/>
            </w:tcBorders>
            <w:noWrap w:val="0"/>
            <w:vAlign w:val="center"/>
          </w:tcPr>
          <w:p w14:paraId="28ABFE00">
            <w:pPr>
              <w:pageBreakBefore w:val="0"/>
              <w:wordWrap/>
              <w:bidi w:val="0"/>
              <w:adjustRightInd/>
              <w:snapToGrid/>
              <w:spacing w:line="240" w:lineRule="auto"/>
              <w:ind w:firstLine="0" w:firstLineChars="0"/>
              <w:jc w:val="center"/>
              <w:rPr>
                <w:color w:val="auto"/>
                <w:sz w:val="21"/>
                <w:szCs w:val="21"/>
              </w:rPr>
            </w:pPr>
            <w:r>
              <w:rPr>
                <w:color w:val="auto"/>
                <w:sz w:val="21"/>
                <w:szCs w:val="21"/>
              </w:rPr>
              <w:t>加药间</w:t>
            </w:r>
          </w:p>
        </w:tc>
        <w:tc>
          <w:tcPr>
            <w:tcW w:w="750" w:type="pct"/>
            <w:tcBorders>
              <w:tl2br w:val="nil"/>
              <w:tr2bl w:val="nil"/>
            </w:tcBorders>
            <w:noWrap w:val="0"/>
            <w:vAlign w:val="center"/>
          </w:tcPr>
          <w:p w14:paraId="5B710542">
            <w:pPr>
              <w:pageBreakBefore w:val="0"/>
              <w:wordWrap/>
              <w:bidi w:val="0"/>
              <w:adjustRightInd/>
              <w:snapToGrid/>
              <w:spacing w:line="240" w:lineRule="auto"/>
              <w:ind w:firstLine="0" w:firstLineChars="0"/>
              <w:jc w:val="center"/>
              <w:rPr>
                <w:color w:val="auto"/>
                <w:sz w:val="21"/>
                <w:szCs w:val="21"/>
              </w:rPr>
            </w:pPr>
            <w:r>
              <w:rPr>
                <w:color w:val="auto"/>
                <w:sz w:val="21"/>
                <w:szCs w:val="21"/>
              </w:rPr>
              <w:t>污水絮凝剂</w:t>
            </w:r>
          </w:p>
        </w:tc>
      </w:tr>
      <w:tr w14:paraId="32C93EBF">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330" w:type="pct"/>
            <w:vMerge w:val="continue"/>
            <w:tcBorders>
              <w:tl2br w:val="nil"/>
              <w:tr2bl w:val="nil"/>
            </w:tcBorders>
            <w:noWrap w:val="0"/>
            <w:vAlign w:val="center"/>
          </w:tcPr>
          <w:p w14:paraId="3DF53928">
            <w:pPr>
              <w:pageBreakBefore w:val="0"/>
              <w:wordWrap/>
              <w:bidi w:val="0"/>
              <w:adjustRightInd/>
              <w:snapToGrid/>
              <w:spacing w:line="240" w:lineRule="auto"/>
              <w:ind w:firstLine="0" w:firstLineChars="0"/>
              <w:jc w:val="center"/>
              <w:rPr>
                <w:color w:val="auto"/>
                <w:sz w:val="21"/>
                <w:szCs w:val="21"/>
              </w:rPr>
            </w:pPr>
          </w:p>
        </w:tc>
        <w:tc>
          <w:tcPr>
            <w:tcW w:w="309" w:type="pct"/>
            <w:vMerge w:val="continue"/>
            <w:tcBorders>
              <w:tl2br w:val="nil"/>
              <w:tr2bl w:val="nil"/>
            </w:tcBorders>
            <w:noWrap w:val="0"/>
            <w:vAlign w:val="center"/>
          </w:tcPr>
          <w:p w14:paraId="4AAB90D9">
            <w:pPr>
              <w:pageBreakBefore w:val="0"/>
              <w:wordWrap/>
              <w:bidi w:val="0"/>
              <w:adjustRightInd/>
              <w:snapToGrid/>
              <w:spacing w:line="240" w:lineRule="auto"/>
              <w:ind w:firstLine="0" w:firstLineChars="0"/>
              <w:jc w:val="center"/>
              <w:rPr>
                <w:color w:val="auto"/>
                <w:sz w:val="21"/>
                <w:szCs w:val="21"/>
              </w:rPr>
            </w:pPr>
          </w:p>
        </w:tc>
        <w:tc>
          <w:tcPr>
            <w:tcW w:w="542" w:type="pct"/>
            <w:tcBorders>
              <w:tl2br w:val="nil"/>
              <w:tr2bl w:val="nil"/>
            </w:tcBorders>
            <w:noWrap w:val="0"/>
            <w:vAlign w:val="center"/>
          </w:tcPr>
          <w:p w14:paraId="0C5F2F65">
            <w:pPr>
              <w:pageBreakBefore w:val="0"/>
              <w:wordWrap/>
              <w:bidi w:val="0"/>
              <w:adjustRightInd/>
              <w:snapToGrid/>
              <w:spacing w:line="240" w:lineRule="auto"/>
              <w:ind w:firstLine="0" w:firstLineChars="0"/>
              <w:jc w:val="center"/>
              <w:rPr>
                <w:color w:val="auto"/>
                <w:sz w:val="21"/>
                <w:szCs w:val="21"/>
              </w:rPr>
            </w:pPr>
            <w:r>
              <w:rPr>
                <w:color w:val="auto"/>
                <w:sz w:val="21"/>
                <w:szCs w:val="21"/>
              </w:rPr>
              <w:t>PAM</w:t>
            </w:r>
          </w:p>
        </w:tc>
        <w:tc>
          <w:tcPr>
            <w:tcW w:w="635" w:type="pct"/>
            <w:tcBorders>
              <w:tl2br w:val="nil"/>
              <w:tr2bl w:val="nil"/>
            </w:tcBorders>
            <w:noWrap w:val="0"/>
            <w:vAlign w:val="center"/>
          </w:tcPr>
          <w:p w14:paraId="3395CAB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1.095</w:t>
            </w:r>
          </w:p>
        </w:tc>
        <w:tc>
          <w:tcPr>
            <w:tcW w:w="775" w:type="pct"/>
            <w:tcBorders>
              <w:tl2br w:val="nil"/>
              <w:tr2bl w:val="nil"/>
            </w:tcBorders>
            <w:noWrap w:val="0"/>
            <w:vAlign w:val="center"/>
          </w:tcPr>
          <w:p w14:paraId="485A3868">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0.1</w:t>
            </w:r>
          </w:p>
        </w:tc>
        <w:tc>
          <w:tcPr>
            <w:tcW w:w="440" w:type="pct"/>
            <w:tcBorders>
              <w:tl2br w:val="nil"/>
              <w:tr2bl w:val="nil"/>
            </w:tcBorders>
            <w:noWrap w:val="0"/>
            <w:vAlign w:val="center"/>
          </w:tcPr>
          <w:p w14:paraId="2CE48AA4">
            <w:pPr>
              <w:pageBreakBefore w:val="0"/>
              <w:wordWrap/>
              <w:bidi w:val="0"/>
              <w:adjustRightInd/>
              <w:snapToGrid/>
              <w:spacing w:line="240" w:lineRule="auto"/>
              <w:ind w:firstLine="0" w:firstLineChars="0"/>
              <w:jc w:val="center"/>
              <w:rPr>
                <w:color w:val="auto"/>
                <w:sz w:val="21"/>
                <w:szCs w:val="21"/>
              </w:rPr>
            </w:pPr>
            <w:r>
              <w:rPr>
                <w:color w:val="auto"/>
                <w:sz w:val="21"/>
                <w:szCs w:val="21"/>
              </w:rPr>
              <w:t>固态</w:t>
            </w:r>
          </w:p>
        </w:tc>
        <w:tc>
          <w:tcPr>
            <w:tcW w:w="608" w:type="pct"/>
            <w:tcBorders>
              <w:tl2br w:val="nil"/>
              <w:tr2bl w:val="nil"/>
            </w:tcBorders>
            <w:noWrap w:val="0"/>
            <w:vAlign w:val="center"/>
          </w:tcPr>
          <w:p w14:paraId="259DA9CD">
            <w:pPr>
              <w:pageBreakBefore w:val="0"/>
              <w:wordWrap/>
              <w:bidi w:val="0"/>
              <w:adjustRightInd/>
              <w:snapToGrid/>
              <w:spacing w:line="240" w:lineRule="auto"/>
              <w:ind w:firstLine="0" w:firstLineChars="0"/>
              <w:jc w:val="center"/>
              <w:rPr>
                <w:color w:val="auto"/>
                <w:sz w:val="21"/>
                <w:szCs w:val="21"/>
              </w:rPr>
            </w:pPr>
            <w:r>
              <w:rPr>
                <w:color w:val="auto"/>
                <w:sz w:val="21"/>
                <w:szCs w:val="21"/>
              </w:rPr>
              <w:t>袋装</w:t>
            </w:r>
          </w:p>
        </w:tc>
        <w:tc>
          <w:tcPr>
            <w:tcW w:w="607" w:type="pct"/>
            <w:tcBorders>
              <w:tl2br w:val="nil"/>
              <w:tr2bl w:val="nil"/>
            </w:tcBorders>
            <w:noWrap w:val="0"/>
            <w:vAlign w:val="center"/>
          </w:tcPr>
          <w:p w14:paraId="25ECE4FC">
            <w:pPr>
              <w:pageBreakBefore w:val="0"/>
              <w:wordWrap/>
              <w:bidi w:val="0"/>
              <w:adjustRightInd/>
              <w:snapToGrid/>
              <w:spacing w:line="240" w:lineRule="auto"/>
              <w:ind w:firstLine="0" w:firstLineChars="0"/>
              <w:jc w:val="center"/>
              <w:rPr>
                <w:color w:val="auto"/>
                <w:sz w:val="21"/>
                <w:szCs w:val="21"/>
              </w:rPr>
            </w:pPr>
            <w:r>
              <w:rPr>
                <w:color w:val="auto"/>
                <w:sz w:val="21"/>
                <w:szCs w:val="21"/>
              </w:rPr>
              <w:t>加药间</w:t>
            </w:r>
          </w:p>
        </w:tc>
        <w:tc>
          <w:tcPr>
            <w:tcW w:w="750" w:type="pct"/>
            <w:tcBorders>
              <w:tl2br w:val="nil"/>
              <w:tr2bl w:val="nil"/>
            </w:tcBorders>
            <w:noWrap w:val="0"/>
            <w:vAlign w:val="center"/>
          </w:tcPr>
          <w:p w14:paraId="5E5C144C">
            <w:pPr>
              <w:pageBreakBefore w:val="0"/>
              <w:wordWrap/>
              <w:bidi w:val="0"/>
              <w:adjustRightInd/>
              <w:snapToGrid/>
              <w:spacing w:line="240" w:lineRule="auto"/>
              <w:ind w:firstLine="0" w:firstLineChars="0"/>
              <w:jc w:val="center"/>
              <w:rPr>
                <w:color w:val="auto"/>
                <w:sz w:val="21"/>
                <w:szCs w:val="21"/>
              </w:rPr>
            </w:pPr>
            <w:r>
              <w:rPr>
                <w:color w:val="auto"/>
                <w:sz w:val="21"/>
                <w:szCs w:val="21"/>
              </w:rPr>
              <w:t>污水絮凝剂</w:t>
            </w:r>
          </w:p>
        </w:tc>
      </w:tr>
      <w:tr w14:paraId="00B92B44">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330" w:type="pct"/>
            <w:vMerge w:val="continue"/>
            <w:tcBorders>
              <w:tl2br w:val="nil"/>
              <w:tr2bl w:val="nil"/>
            </w:tcBorders>
            <w:noWrap w:val="0"/>
            <w:vAlign w:val="center"/>
          </w:tcPr>
          <w:p w14:paraId="53DD8AD6">
            <w:pPr>
              <w:pageBreakBefore w:val="0"/>
              <w:wordWrap/>
              <w:bidi w:val="0"/>
              <w:adjustRightInd/>
              <w:snapToGrid/>
              <w:spacing w:line="240" w:lineRule="auto"/>
              <w:ind w:firstLine="0" w:firstLineChars="0"/>
              <w:jc w:val="center"/>
              <w:rPr>
                <w:color w:val="auto"/>
                <w:sz w:val="21"/>
                <w:szCs w:val="21"/>
              </w:rPr>
            </w:pPr>
            <w:bookmarkStart w:id="73" w:name="OLE_LINK2" w:colFirst="2" w:colLast="2"/>
            <w:bookmarkStart w:id="74" w:name="_Hlk462127392"/>
          </w:p>
        </w:tc>
        <w:tc>
          <w:tcPr>
            <w:tcW w:w="309" w:type="pct"/>
            <w:vMerge w:val="continue"/>
            <w:tcBorders>
              <w:tl2br w:val="nil"/>
              <w:tr2bl w:val="nil"/>
            </w:tcBorders>
            <w:noWrap w:val="0"/>
            <w:vAlign w:val="center"/>
          </w:tcPr>
          <w:p w14:paraId="39CC3D04">
            <w:pPr>
              <w:pageBreakBefore w:val="0"/>
              <w:wordWrap/>
              <w:bidi w:val="0"/>
              <w:adjustRightInd/>
              <w:snapToGrid/>
              <w:spacing w:line="240" w:lineRule="auto"/>
              <w:ind w:firstLine="0" w:firstLineChars="0"/>
              <w:jc w:val="center"/>
              <w:rPr>
                <w:color w:val="auto"/>
                <w:sz w:val="21"/>
                <w:szCs w:val="21"/>
              </w:rPr>
            </w:pPr>
          </w:p>
        </w:tc>
        <w:tc>
          <w:tcPr>
            <w:tcW w:w="542" w:type="pct"/>
            <w:tcBorders>
              <w:tl2br w:val="nil"/>
              <w:tr2bl w:val="nil"/>
            </w:tcBorders>
            <w:noWrap w:val="0"/>
            <w:vAlign w:val="center"/>
          </w:tcPr>
          <w:p w14:paraId="2E080CF2">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NaAc</w:t>
            </w:r>
          </w:p>
        </w:tc>
        <w:tc>
          <w:tcPr>
            <w:tcW w:w="635" w:type="pct"/>
            <w:tcBorders>
              <w:tl2br w:val="nil"/>
              <w:tr2bl w:val="nil"/>
            </w:tcBorders>
            <w:noWrap w:val="0"/>
            <w:vAlign w:val="center"/>
          </w:tcPr>
          <w:p w14:paraId="29271031">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54.75</w:t>
            </w:r>
          </w:p>
        </w:tc>
        <w:tc>
          <w:tcPr>
            <w:tcW w:w="775" w:type="pct"/>
            <w:tcBorders>
              <w:tl2br w:val="nil"/>
              <w:tr2bl w:val="nil"/>
            </w:tcBorders>
            <w:noWrap w:val="0"/>
            <w:vAlign w:val="center"/>
          </w:tcPr>
          <w:p w14:paraId="5B52ABD6">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5</w:t>
            </w:r>
          </w:p>
        </w:tc>
        <w:tc>
          <w:tcPr>
            <w:tcW w:w="440" w:type="pct"/>
            <w:tcBorders>
              <w:tl2br w:val="nil"/>
              <w:tr2bl w:val="nil"/>
            </w:tcBorders>
            <w:noWrap w:val="0"/>
            <w:vAlign w:val="center"/>
          </w:tcPr>
          <w:p w14:paraId="4CE976A4">
            <w:pPr>
              <w:pageBreakBefore w:val="0"/>
              <w:wordWrap/>
              <w:bidi w:val="0"/>
              <w:adjustRightInd/>
              <w:snapToGrid/>
              <w:spacing w:line="240" w:lineRule="auto"/>
              <w:ind w:firstLine="0" w:firstLineChars="0"/>
              <w:jc w:val="center"/>
              <w:rPr>
                <w:color w:val="auto"/>
                <w:sz w:val="21"/>
                <w:szCs w:val="21"/>
              </w:rPr>
            </w:pPr>
            <w:r>
              <w:rPr>
                <w:color w:val="auto"/>
                <w:sz w:val="21"/>
                <w:szCs w:val="21"/>
              </w:rPr>
              <w:t>固态</w:t>
            </w:r>
          </w:p>
        </w:tc>
        <w:tc>
          <w:tcPr>
            <w:tcW w:w="608" w:type="pct"/>
            <w:tcBorders>
              <w:tl2br w:val="nil"/>
              <w:tr2bl w:val="nil"/>
            </w:tcBorders>
            <w:noWrap w:val="0"/>
            <w:vAlign w:val="center"/>
          </w:tcPr>
          <w:p w14:paraId="59EB992C">
            <w:pPr>
              <w:pageBreakBefore w:val="0"/>
              <w:wordWrap/>
              <w:bidi w:val="0"/>
              <w:adjustRightInd/>
              <w:snapToGrid/>
              <w:spacing w:line="240" w:lineRule="auto"/>
              <w:ind w:firstLine="0" w:firstLineChars="0"/>
              <w:jc w:val="center"/>
              <w:rPr>
                <w:color w:val="auto"/>
                <w:sz w:val="21"/>
                <w:szCs w:val="21"/>
              </w:rPr>
            </w:pPr>
            <w:r>
              <w:rPr>
                <w:color w:val="auto"/>
                <w:sz w:val="21"/>
                <w:szCs w:val="21"/>
              </w:rPr>
              <w:t>袋装</w:t>
            </w:r>
          </w:p>
        </w:tc>
        <w:tc>
          <w:tcPr>
            <w:tcW w:w="607" w:type="pct"/>
            <w:tcBorders>
              <w:tl2br w:val="nil"/>
              <w:tr2bl w:val="nil"/>
            </w:tcBorders>
            <w:noWrap w:val="0"/>
            <w:vAlign w:val="center"/>
          </w:tcPr>
          <w:p w14:paraId="373E8664">
            <w:pPr>
              <w:pageBreakBefore w:val="0"/>
              <w:wordWrap/>
              <w:bidi w:val="0"/>
              <w:adjustRightInd/>
              <w:snapToGrid/>
              <w:spacing w:line="240" w:lineRule="auto"/>
              <w:ind w:firstLine="0" w:firstLineChars="0"/>
              <w:jc w:val="center"/>
              <w:rPr>
                <w:color w:val="auto"/>
                <w:sz w:val="21"/>
                <w:szCs w:val="21"/>
              </w:rPr>
            </w:pPr>
            <w:r>
              <w:rPr>
                <w:color w:val="auto"/>
                <w:sz w:val="21"/>
                <w:szCs w:val="21"/>
              </w:rPr>
              <w:t>加药间</w:t>
            </w:r>
          </w:p>
        </w:tc>
        <w:tc>
          <w:tcPr>
            <w:tcW w:w="750" w:type="pct"/>
            <w:tcBorders>
              <w:tl2br w:val="nil"/>
              <w:tr2bl w:val="nil"/>
            </w:tcBorders>
            <w:noWrap w:val="0"/>
            <w:vAlign w:val="center"/>
          </w:tcPr>
          <w:p w14:paraId="538C9504">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补充碳源</w:t>
            </w:r>
          </w:p>
        </w:tc>
      </w:tr>
      <w:tr w14:paraId="2853DF41">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330" w:type="pct"/>
            <w:vMerge w:val="continue"/>
            <w:tcBorders>
              <w:tl2br w:val="nil"/>
              <w:tr2bl w:val="nil"/>
            </w:tcBorders>
            <w:noWrap w:val="0"/>
            <w:vAlign w:val="center"/>
          </w:tcPr>
          <w:p w14:paraId="4CE35AA6">
            <w:pPr>
              <w:pageBreakBefore w:val="0"/>
              <w:wordWrap/>
              <w:bidi w:val="0"/>
              <w:adjustRightInd/>
              <w:snapToGrid/>
              <w:spacing w:line="240" w:lineRule="auto"/>
              <w:ind w:firstLine="0" w:firstLineChars="0"/>
              <w:jc w:val="center"/>
              <w:rPr>
                <w:color w:val="auto"/>
                <w:sz w:val="21"/>
                <w:szCs w:val="21"/>
              </w:rPr>
            </w:pPr>
          </w:p>
        </w:tc>
        <w:tc>
          <w:tcPr>
            <w:tcW w:w="309" w:type="pct"/>
            <w:vMerge w:val="continue"/>
            <w:tcBorders>
              <w:tl2br w:val="nil"/>
              <w:tr2bl w:val="nil"/>
            </w:tcBorders>
            <w:noWrap w:val="0"/>
            <w:vAlign w:val="center"/>
          </w:tcPr>
          <w:p w14:paraId="54CF3558">
            <w:pPr>
              <w:pageBreakBefore w:val="0"/>
              <w:wordWrap/>
              <w:bidi w:val="0"/>
              <w:adjustRightInd/>
              <w:snapToGrid/>
              <w:spacing w:line="240" w:lineRule="auto"/>
              <w:ind w:firstLine="0" w:firstLineChars="0"/>
              <w:jc w:val="center"/>
              <w:rPr>
                <w:color w:val="auto"/>
                <w:sz w:val="21"/>
                <w:szCs w:val="21"/>
              </w:rPr>
            </w:pPr>
          </w:p>
        </w:tc>
        <w:tc>
          <w:tcPr>
            <w:tcW w:w="542" w:type="pct"/>
            <w:tcBorders>
              <w:tl2br w:val="nil"/>
              <w:tr2bl w:val="nil"/>
            </w:tcBorders>
            <w:noWrap w:val="0"/>
            <w:vAlign w:val="center"/>
          </w:tcPr>
          <w:p w14:paraId="058E78B6">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磁粉</w:t>
            </w:r>
          </w:p>
        </w:tc>
        <w:tc>
          <w:tcPr>
            <w:tcW w:w="635" w:type="pct"/>
            <w:tcBorders>
              <w:tl2br w:val="nil"/>
              <w:tr2bl w:val="nil"/>
            </w:tcBorders>
            <w:noWrap w:val="0"/>
            <w:vAlign w:val="center"/>
          </w:tcPr>
          <w:p w14:paraId="1EBBC9CA">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4.38</w:t>
            </w:r>
          </w:p>
        </w:tc>
        <w:tc>
          <w:tcPr>
            <w:tcW w:w="775" w:type="pct"/>
            <w:tcBorders>
              <w:tl2br w:val="nil"/>
              <w:tr2bl w:val="nil"/>
            </w:tcBorders>
            <w:noWrap w:val="0"/>
            <w:vAlign w:val="center"/>
          </w:tcPr>
          <w:p w14:paraId="33A850F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0.4</w:t>
            </w:r>
          </w:p>
        </w:tc>
        <w:tc>
          <w:tcPr>
            <w:tcW w:w="440" w:type="pct"/>
            <w:tcBorders>
              <w:tl2br w:val="nil"/>
              <w:tr2bl w:val="nil"/>
            </w:tcBorders>
            <w:noWrap w:val="0"/>
            <w:vAlign w:val="center"/>
          </w:tcPr>
          <w:p w14:paraId="01F5A613">
            <w:pPr>
              <w:pageBreakBefore w:val="0"/>
              <w:wordWrap/>
              <w:bidi w:val="0"/>
              <w:adjustRightInd/>
              <w:snapToGrid/>
              <w:spacing w:line="240" w:lineRule="auto"/>
              <w:ind w:firstLine="0" w:firstLineChars="0"/>
              <w:jc w:val="center"/>
              <w:rPr>
                <w:color w:val="auto"/>
                <w:sz w:val="21"/>
                <w:szCs w:val="21"/>
              </w:rPr>
            </w:pPr>
            <w:r>
              <w:rPr>
                <w:color w:val="auto"/>
                <w:sz w:val="21"/>
                <w:szCs w:val="21"/>
              </w:rPr>
              <w:t>固态</w:t>
            </w:r>
          </w:p>
        </w:tc>
        <w:tc>
          <w:tcPr>
            <w:tcW w:w="608" w:type="pct"/>
            <w:tcBorders>
              <w:tl2br w:val="nil"/>
              <w:tr2bl w:val="nil"/>
            </w:tcBorders>
            <w:noWrap w:val="0"/>
            <w:vAlign w:val="center"/>
          </w:tcPr>
          <w:p w14:paraId="48C335AB">
            <w:pPr>
              <w:pageBreakBefore w:val="0"/>
              <w:wordWrap/>
              <w:bidi w:val="0"/>
              <w:adjustRightInd/>
              <w:snapToGrid/>
              <w:spacing w:line="240" w:lineRule="auto"/>
              <w:ind w:firstLine="0" w:firstLineChars="0"/>
              <w:jc w:val="center"/>
              <w:rPr>
                <w:color w:val="auto"/>
                <w:sz w:val="21"/>
                <w:szCs w:val="21"/>
              </w:rPr>
            </w:pPr>
            <w:r>
              <w:rPr>
                <w:color w:val="auto"/>
                <w:sz w:val="21"/>
                <w:szCs w:val="21"/>
              </w:rPr>
              <w:t>袋装</w:t>
            </w:r>
          </w:p>
        </w:tc>
        <w:tc>
          <w:tcPr>
            <w:tcW w:w="607" w:type="pct"/>
            <w:tcBorders>
              <w:tl2br w:val="nil"/>
              <w:tr2bl w:val="nil"/>
            </w:tcBorders>
            <w:noWrap w:val="0"/>
            <w:vAlign w:val="center"/>
          </w:tcPr>
          <w:p w14:paraId="58936BFB">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磁混凝沉淀池</w:t>
            </w:r>
          </w:p>
        </w:tc>
        <w:tc>
          <w:tcPr>
            <w:tcW w:w="750" w:type="pct"/>
            <w:tcBorders>
              <w:tl2br w:val="nil"/>
              <w:tr2bl w:val="nil"/>
            </w:tcBorders>
            <w:noWrap w:val="0"/>
            <w:vAlign w:val="center"/>
          </w:tcPr>
          <w:p w14:paraId="385EC5E8">
            <w:pPr>
              <w:pageBreakBefore w:val="0"/>
              <w:wordWrap/>
              <w:bidi w:val="0"/>
              <w:adjustRightInd/>
              <w:snapToGrid/>
              <w:spacing w:line="240" w:lineRule="auto"/>
              <w:ind w:firstLine="0" w:firstLineChars="0"/>
              <w:jc w:val="center"/>
              <w:rPr>
                <w:rFonts w:hint="default"/>
                <w:color w:val="auto"/>
                <w:sz w:val="21"/>
                <w:szCs w:val="21"/>
                <w:lang w:val="en-US"/>
              </w:rPr>
            </w:pPr>
            <w:r>
              <w:rPr>
                <w:rFonts w:hint="eastAsia"/>
                <w:color w:val="auto"/>
                <w:sz w:val="21"/>
                <w:szCs w:val="21"/>
                <w:lang w:val="en-US" w:eastAsia="zh-CN"/>
              </w:rPr>
              <w:t>磁混凝沉淀</w:t>
            </w:r>
          </w:p>
        </w:tc>
      </w:tr>
      <w:tr w14:paraId="6C1FFFD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330" w:type="pct"/>
            <w:vMerge w:val="continue"/>
            <w:tcBorders>
              <w:tl2br w:val="nil"/>
              <w:tr2bl w:val="nil"/>
            </w:tcBorders>
            <w:noWrap w:val="0"/>
            <w:vAlign w:val="center"/>
          </w:tcPr>
          <w:p w14:paraId="1802AEA7">
            <w:pPr>
              <w:pageBreakBefore w:val="0"/>
              <w:wordWrap/>
              <w:bidi w:val="0"/>
              <w:adjustRightInd/>
              <w:snapToGrid/>
              <w:spacing w:line="240" w:lineRule="auto"/>
              <w:ind w:firstLine="0" w:firstLineChars="0"/>
              <w:jc w:val="center"/>
              <w:rPr>
                <w:color w:val="auto"/>
                <w:sz w:val="21"/>
                <w:szCs w:val="21"/>
              </w:rPr>
            </w:pPr>
          </w:p>
        </w:tc>
        <w:tc>
          <w:tcPr>
            <w:tcW w:w="309" w:type="pct"/>
            <w:vMerge w:val="continue"/>
            <w:tcBorders>
              <w:tl2br w:val="nil"/>
              <w:tr2bl w:val="nil"/>
            </w:tcBorders>
            <w:noWrap w:val="0"/>
            <w:vAlign w:val="center"/>
          </w:tcPr>
          <w:p w14:paraId="7E8F448A">
            <w:pPr>
              <w:pageBreakBefore w:val="0"/>
              <w:wordWrap/>
              <w:bidi w:val="0"/>
              <w:adjustRightInd/>
              <w:snapToGrid/>
              <w:spacing w:line="240" w:lineRule="auto"/>
              <w:ind w:firstLine="0" w:firstLineChars="0"/>
              <w:jc w:val="center"/>
              <w:rPr>
                <w:color w:val="auto"/>
                <w:sz w:val="21"/>
                <w:szCs w:val="21"/>
              </w:rPr>
            </w:pPr>
          </w:p>
        </w:tc>
        <w:tc>
          <w:tcPr>
            <w:tcW w:w="542" w:type="pct"/>
            <w:tcBorders>
              <w:tl2br w:val="nil"/>
              <w:tr2bl w:val="nil"/>
            </w:tcBorders>
            <w:shd w:val="clear" w:color="auto" w:fill="auto"/>
            <w:noWrap w:val="0"/>
            <w:vAlign w:val="center"/>
          </w:tcPr>
          <w:p w14:paraId="2785DF96">
            <w:pPr>
              <w:pageBreakBefore w:val="0"/>
              <w:wordWrap/>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次氯酸钠</w:t>
            </w:r>
          </w:p>
        </w:tc>
        <w:tc>
          <w:tcPr>
            <w:tcW w:w="635" w:type="pct"/>
            <w:tcBorders>
              <w:tl2br w:val="nil"/>
              <w:tr2bl w:val="nil"/>
            </w:tcBorders>
            <w:shd w:val="clear" w:color="auto" w:fill="auto"/>
            <w:noWrap w:val="0"/>
            <w:vAlign w:val="center"/>
          </w:tcPr>
          <w:p w14:paraId="1F107370">
            <w:pPr>
              <w:pageBreakBefore w:val="0"/>
              <w:wordWrap/>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2.19</w:t>
            </w:r>
          </w:p>
        </w:tc>
        <w:tc>
          <w:tcPr>
            <w:tcW w:w="775" w:type="pct"/>
            <w:tcBorders>
              <w:tl2br w:val="nil"/>
              <w:tr2bl w:val="nil"/>
            </w:tcBorders>
            <w:shd w:val="clear" w:color="auto" w:fill="auto"/>
            <w:noWrap w:val="0"/>
            <w:vAlign w:val="center"/>
          </w:tcPr>
          <w:p w14:paraId="4BAB56C1">
            <w:pPr>
              <w:pageBreakBefore w:val="0"/>
              <w:wordWrap/>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0.2</w:t>
            </w:r>
          </w:p>
        </w:tc>
        <w:tc>
          <w:tcPr>
            <w:tcW w:w="440" w:type="pct"/>
            <w:tcBorders>
              <w:tl2br w:val="nil"/>
              <w:tr2bl w:val="nil"/>
            </w:tcBorders>
            <w:shd w:val="clear" w:color="auto" w:fill="auto"/>
            <w:noWrap w:val="0"/>
            <w:vAlign w:val="center"/>
          </w:tcPr>
          <w:p w14:paraId="41AB1557">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固态</w:t>
            </w:r>
          </w:p>
        </w:tc>
        <w:tc>
          <w:tcPr>
            <w:tcW w:w="608" w:type="pct"/>
            <w:tcBorders>
              <w:tl2br w:val="nil"/>
              <w:tr2bl w:val="nil"/>
            </w:tcBorders>
            <w:shd w:val="clear" w:color="auto" w:fill="auto"/>
            <w:noWrap w:val="0"/>
            <w:vAlign w:val="center"/>
          </w:tcPr>
          <w:p w14:paraId="6C1A2C3D">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袋装</w:t>
            </w:r>
          </w:p>
        </w:tc>
        <w:tc>
          <w:tcPr>
            <w:tcW w:w="607" w:type="pct"/>
            <w:tcBorders>
              <w:tl2br w:val="nil"/>
              <w:tr2bl w:val="nil"/>
            </w:tcBorders>
            <w:shd w:val="clear" w:color="auto" w:fill="auto"/>
            <w:noWrap w:val="0"/>
            <w:vAlign w:val="center"/>
          </w:tcPr>
          <w:p w14:paraId="6FEEE990">
            <w:pPr>
              <w:pageBreakBefore w:val="0"/>
              <w:wordWrap/>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加药间</w:t>
            </w:r>
          </w:p>
        </w:tc>
        <w:tc>
          <w:tcPr>
            <w:tcW w:w="750" w:type="pct"/>
            <w:tcBorders>
              <w:tl2br w:val="nil"/>
              <w:tr2bl w:val="nil"/>
            </w:tcBorders>
            <w:shd w:val="clear" w:color="auto" w:fill="auto"/>
            <w:noWrap w:val="0"/>
            <w:vAlign w:val="center"/>
          </w:tcPr>
          <w:p w14:paraId="45B82FC8">
            <w:pPr>
              <w:pageBreakBefore w:val="0"/>
              <w:wordWrap/>
              <w:bidi w:val="0"/>
              <w:adjustRightInd/>
              <w:snapToGrid/>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消毒、杀菌</w:t>
            </w:r>
          </w:p>
        </w:tc>
      </w:tr>
      <w:tr w14:paraId="1D47171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330" w:type="pct"/>
            <w:vMerge w:val="continue"/>
            <w:tcBorders>
              <w:tl2br w:val="nil"/>
              <w:tr2bl w:val="nil"/>
            </w:tcBorders>
            <w:noWrap w:val="0"/>
            <w:vAlign w:val="center"/>
          </w:tcPr>
          <w:p w14:paraId="3B1EC6C1">
            <w:pPr>
              <w:pageBreakBefore w:val="0"/>
              <w:wordWrap/>
              <w:bidi w:val="0"/>
              <w:adjustRightInd/>
              <w:snapToGrid/>
              <w:spacing w:line="240" w:lineRule="auto"/>
              <w:ind w:firstLine="0" w:firstLineChars="0"/>
              <w:jc w:val="center"/>
              <w:rPr>
                <w:color w:val="auto"/>
                <w:sz w:val="21"/>
                <w:szCs w:val="21"/>
              </w:rPr>
            </w:pPr>
          </w:p>
        </w:tc>
        <w:tc>
          <w:tcPr>
            <w:tcW w:w="309" w:type="pct"/>
            <w:vMerge w:val="continue"/>
            <w:tcBorders>
              <w:tl2br w:val="nil"/>
              <w:tr2bl w:val="nil"/>
            </w:tcBorders>
            <w:noWrap w:val="0"/>
            <w:vAlign w:val="center"/>
          </w:tcPr>
          <w:p w14:paraId="7B903AA5">
            <w:pPr>
              <w:pageBreakBefore w:val="0"/>
              <w:wordWrap/>
              <w:bidi w:val="0"/>
              <w:adjustRightInd/>
              <w:snapToGrid/>
              <w:spacing w:line="240" w:lineRule="auto"/>
              <w:ind w:firstLine="0" w:firstLineChars="0"/>
              <w:jc w:val="center"/>
              <w:rPr>
                <w:color w:val="auto"/>
                <w:sz w:val="21"/>
                <w:szCs w:val="21"/>
              </w:rPr>
            </w:pPr>
          </w:p>
        </w:tc>
        <w:tc>
          <w:tcPr>
            <w:tcW w:w="542" w:type="pct"/>
            <w:tcBorders>
              <w:tl2br w:val="nil"/>
              <w:tr2bl w:val="nil"/>
            </w:tcBorders>
            <w:noWrap w:val="0"/>
            <w:vAlign w:val="center"/>
          </w:tcPr>
          <w:p w14:paraId="45D5A964">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硫酸</w:t>
            </w:r>
          </w:p>
        </w:tc>
        <w:tc>
          <w:tcPr>
            <w:tcW w:w="635" w:type="pct"/>
            <w:tcBorders>
              <w:tl2br w:val="nil"/>
              <w:tr2bl w:val="nil"/>
            </w:tcBorders>
            <w:noWrap w:val="0"/>
            <w:vAlign w:val="center"/>
          </w:tcPr>
          <w:p w14:paraId="52572384">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15L</w:t>
            </w:r>
          </w:p>
        </w:tc>
        <w:tc>
          <w:tcPr>
            <w:tcW w:w="775" w:type="pct"/>
            <w:tcBorders>
              <w:tl2br w:val="nil"/>
              <w:tr2bl w:val="nil"/>
            </w:tcBorders>
            <w:noWrap w:val="0"/>
            <w:vAlign w:val="center"/>
          </w:tcPr>
          <w:p w14:paraId="6EBE2B61">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2L</w:t>
            </w:r>
          </w:p>
        </w:tc>
        <w:tc>
          <w:tcPr>
            <w:tcW w:w="440" w:type="pct"/>
            <w:tcBorders>
              <w:tl2br w:val="nil"/>
              <w:tr2bl w:val="nil"/>
            </w:tcBorders>
            <w:noWrap w:val="0"/>
            <w:vAlign w:val="center"/>
          </w:tcPr>
          <w:p w14:paraId="797B5956">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608" w:type="pct"/>
            <w:tcBorders>
              <w:tl2br w:val="nil"/>
              <w:tr2bl w:val="nil"/>
            </w:tcBorders>
            <w:noWrap w:val="0"/>
            <w:vAlign w:val="center"/>
          </w:tcPr>
          <w:p w14:paraId="693B126D">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瓶装</w:t>
            </w:r>
            <w:r>
              <w:rPr>
                <w:rFonts w:hint="eastAsia" w:cs="Times New Roman"/>
                <w:color w:val="auto"/>
                <w:kern w:val="2"/>
                <w:sz w:val="21"/>
                <w:szCs w:val="21"/>
                <w:lang w:val="en-US" w:eastAsia="zh-CN" w:bidi="ar-SA"/>
              </w:rPr>
              <w:t>储存</w:t>
            </w:r>
          </w:p>
        </w:tc>
        <w:tc>
          <w:tcPr>
            <w:tcW w:w="607" w:type="pct"/>
            <w:tcBorders>
              <w:tl2br w:val="nil"/>
              <w:tr2bl w:val="nil"/>
            </w:tcBorders>
            <w:noWrap w:val="0"/>
            <w:vAlign w:val="center"/>
          </w:tcPr>
          <w:p w14:paraId="50F1A1DA">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加药间</w:t>
            </w:r>
          </w:p>
        </w:tc>
        <w:tc>
          <w:tcPr>
            <w:tcW w:w="750" w:type="pct"/>
            <w:tcBorders>
              <w:tl2br w:val="nil"/>
              <w:tr2bl w:val="nil"/>
            </w:tcBorders>
            <w:noWrap w:val="0"/>
            <w:vAlign w:val="center"/>
          </w:tcPr>
          <w:p w14:paraId="171AA48B">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在线监测装置药剂</w:t>
            </w:r>
          </w:p>
        </w:tc>
      </w:tr>
      <w:bookmarkEnd w:id="73"/>
      <w:bookmarkEnd w:id="74"/>
      <w:tr w14:paraId="3FE76D69">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330" w:type="pct"/>
            <w:vMerge w:val="restart"/>
            <w:tcBorders>
              <w:tl2br w:val="nil"/>
              <w:tr2bl w:val="nil"/>
            </w:tcBorders>
            <w:noWrap w:val="0"/>
            <w:vAlign w:val="center"/>
          </w:tcPr>
          <w:p w14:paraId="2E0F3D16">
            <w:pPr>
              <w:pageBreakBefore w:val="0"/>
              <w:wordWrap/>
              <w:bidi w:val="0"/>
              <w:adjustRightInd/>
              <w:snapToGrid/>
              <w:spacing w:line="240" w:lineRule="auto"/>
              <w:ind w:firstLine="0" w:firstLineChars="0"/>
              <w:jc w:val="center"/>
              <w:rPr>
                <w:color w:val="auto"/>
                <w:sz w:val="21"/>
                <w:szCs w:val="21"/>
              </w:rPr>
            </w:pPr>
            <w:r>
              <w:rPr>
                <w:color w:val="auto"/>
                <w:sz w:val="21"/>
                <w:szCs w:val="21"/>
              </w:rPr>
              <w:t>2</w:t>
            </w:r>
          </w:p>
        </w:tc>
        <w:tc>
          <w:tcPr>
            <w:tcW w:w="309" w:type="pct"/>
            <w:vMerge w:val="restart"/>
            <w:tcBorders>
              <w:tl2br w:val="nil"/>
              <w:tr2bl w:val="nil"/>
            </w:tcBorders>
            <w:noWrap w:val="0"/>
            <w:vAlign w:val="center"/>
          </w:tcPr>
          <w:p w14:paraId="3AB1DC47">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能耗</w:t>
            </w:r>
          </w:p>
        </w:tc>
        <w:tc>
          <w:tcPr>
            <w:tcW w:w="542" w:type="pct"/>
            <w:tcBorders>
              <w:tl2br w:val="nil"/>
              <w:tr2bl w:val="nil"/>
            </w:tcBorders>
            <w:noWrap w:val="0"/>
            <w:vAlign w:val="center"/>
          </w:tcPr>
          <w:p w14:paraId="6317368F">
            <w:pPr>
              <w:pageBreakBefore w:val="0"/>
              <w:wordWrap/>
              <w:bidi w:val="0"/>
              <w:adjustRightInd/>
              <w:snapToGrid/>
              <w:spacing w:line="240" w:lineRule="auto"/>
              <w:ind w:firstLine="0" w:firstLineChars="0"/>
              <w:jc w:val="center"/>
              <w:rPr>
                <w:color w:val="auto"/>
                <w:kern w:val="0"/>
                <w:sz w:val="21"/>
                <w:szCs w:val="21"/>
              </w:rPr>
            </w:pPr>
            <w:r>
              <w:rPr>
                <w:rFonts w:hint="eastAsia"/>
                <w:color w:val="auto"/>
                <w:sz w:val="21"/>
                <w:szCs w:val="21"/>
                <w:lang w:val="en-US" w:eastAsia="zh-CN"/>
              </w:rPr>
              <w:t>自来水</w:t>
            </w:r>
          </w:p>
        </w:tc>
        <w:tc>
          <w:tcPr>
            <w:tcW w:w="635" w:type="pct"/>
            <w:tcBorders>
              <w:tl2br w:val="nil"/>
              <w:tr2bl w:val="nil"/>
            </w:tcBorders>
            <w:noWrap w:val="0"/>
            <w:vAlign w:val="top"/>
          </w:tcPr>
          <w:p w14:paraId="27A21A12">
            <w:pPr>
              <w:pageBreakBefore w:val="0"/>
              <w:wordWrap/>
              <w:bidi w:val="0"/>
              <w:adjustRightInd/>
              <w:snapToGrid/>
              <w:spacing w:line="240" w:lineRule="auto"/>
              <w:ind w:firstLine="0" w:firstLineChars="0"/>
              <w:jc w:val="center"/>
              <w:rPr>
                <w:color w:val="auto"/>
                <w:sz w:val="21"/>
                <w:szCs w:val="21"/>
              </w:rPr>
            </w:pPr>
            <w:r>
              <w:rPr>
                <w:color w:val="auto"/>
                <w:sz w:val="21"/>
                <w:szCs w:val="21"/>
              </w:rPr>
              <w:t>1980</w:t>
            </w:r>
            <w:r>
              <w:rPr>
                <w:rFonts w:hint="eastAsia"/>
                <w:color w:val="auto"/>
                <w:sz w:val="21"/>
                <w:szCs w:val="21"/>
                <w:lang w:eastAsia="zh-CN"/>
              </w:rPr>
              <w:t>m³</w:t>
            </w:r>
            <w:r>
              <w:rPr>
                <w:color w:val="auto"/>
                <w:sz w:val="21"/>
                <w:szCs w:val="21"/>
              </w:rPr>
              <w:t>/a</w:t>
            </w:r>
          </w:p>
        </w:tc>
        <w:tc>
          <w:tcPr>
            <w:tcW w:w="775" w:type="pct"/>
            <w:tcBorders>
              <w:tl2br w:val="nil"/>
              <w:tr2bl w:val="nil"/>
            </w:tcBorders>
            <w:noWrap w:val="0"/>
            <w:vAlign w:val="center"/>
          </w:tcPr>
          <w:p w14:paraId="6B923BB8">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440" w:type="pct"/>
            <w:tcBorders>
              <w:tl2br w:val="nil"/>
              <w:tr2bl w:val="nil"/>
            </w:tcBorders>
            <w:noWrap w:val="0"/>
            <w:vAlign w:val="center"/>
          </w:tcPr>
          <w:p w14:paraId="6C4945F8">
            <w:pPr>
              <w:pageBreakBefore w:val="0"/>
              <w:wordWrap/>
              <w:bidi w:val="0"/>
              <w:adjustRightInd/>
              <w:snapToGrid/>
              <w:spacing w:line="240" w:lineRule="auto"/>
              <w:jc w:val="center"/>
              <w:rPr>
                <w:color w:val="auto"/>
                <w:sz w:val="21"/>
                <w:szCs w:val="21"/>
              </w:rPr>
            </w:pPr>
            <w:r>
              <w:rPr>
                <w:color w:val="auto"/>
                <w:sz w:val="21"/>
                <w:szCs w:val="21"/>
              </w:rPr>
              <w:t>/</w:t>
            </w:r>
          </w:p>
        </w:tc>
        <w:tc>
          <w:tcPr>
            <w:tcW w:w="608" w:type="pct"/>
            <w:tcBorders>
              <w:tl2br w:val="nil"/>
              <w:tr2bl w:val="nil"/>
            </w:tcBorders>
            <w:noWrap w:val="0"/>
            <w:vAlign w:val="center"/>
          </w:tcPr>
          <w:p w14:paraId="0199051A">
            <w:pPr>
              <w:pageBreakBefore w:val="0"/>
              <w:wordWrap/>
              <w:bidi w:val="0"/>
              <w:adjustRightInd/>
              <w:snapToGrid/>
              <w:spacing w:line="240" w:lineRule="auto"/>
              <w:jc w:val="center"/>
              <w:rPr>
                <w:color w:val="auto"/>
                <w:sz w:val="21"/>
                <w:szCs w:val="21"/>
              </w:rPr>
            </w:pPr>
            <w:r>
              <w:rPr>
                <w:color w:val="auto"/>
                <w:sz w:val="21"/>
                <w:szCs w:val="21"/>
              </w:rPr>
              <w:t>/</w:t>
            </w:r>
          </w:p>
        </w:tc>
        <w:tc>
          <w:tcPr>
            <w:tcW w:w="607" w:type="pct"/>
            <w:tcBorders>
              <w:tl2br w:val="nil"/>
              <w:tr2bl w:val="nil"/>
            </w:tcBorders>
            <w:noWrap w:val="0"/>
            <w:vAlign w:val="center"/>
          </w:tcPr>
          <w:p w14:paraId="7CC4CEC3">
            <w:pPr>
              <w:pageBreakBefore w:val="0"/>
              <w:wordWrap/>
              <w:bidi w:val="0"/>
              <w:adjustRightInd/>
              <w:snapToGrid/>
              <w:spacing w:line="240" w:lineRule="auto"/>
              <w:jc w:val="center"/>
              <w:rPr>
                <w:color w:val="auto"/>
                <w:sz w:val="21"/>
                <w:szCs w:val="21"/>
              </w:rPr>
            </w:pPr>
            <w:r>
              <w:rPr>
                <w:color w:val="auto"/>
                <w:sz w:val="21"/>
                <w:szCs w:val="21"/>
              </w:rPr>
              <w:t>/</w:t>
            </w:r>
          </w:p>
        </w:tc>
        <w:tc>
          <w:tcPr>
            <w:tcW w:w="750" w:type="pct"/>
            <w:tcBorders>
              <w:tl2br w:val="nil"/>
              <w:tr2bl w:val="nil"/>
            </w:tcBorders>
            <w:noWrap w:val="0"/>
            <w:vAlign w:val="center"/>
          </w:tcPr>
          <w:p w14:paraId="756BFF7C">
            <w:pPr>
              <w:pageBreakBefore w:val="0"/>
              <w:wordWrap/>
              <w:bidi w:val="0"/>
              <w:adjustRightInd/>
              <w:snapToGrid/>
              <w:spacing w:line="240" w:lineRule="auto"/>
              <w:ind w:firstLine="0" w:firstLineChars="0"/>
              <w:jc w:val="center"/>
              <w:rPr>
                <w:color w:val="auto"/>
                <w:sz w:val="21"/>
                <w:szCs w:val="21"/>
              </w:rPr>
            </w:pPr>
            <w:r>
              <w:rPr>
                <w:color w:val="auto"/>
                <w:sz w:val="21"/>
                <w:szCs w:val="21"/>
              </w:rPr>
              <w:t>市政管网</w:t>
            </w:r>
          </w:p>
        </w:tc>
      </w:tr>
      <w:tr w14:paraId="42223771">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330" w:type="pct"/>
            <w:vMerge w:val="continue"/>
            <w:tcBorders>
              <w:tl2br w:val="nil"/>
              <w:tr2bl w:val="nil"/>
            </w:tcBorders>
            <w:noWrap w:val="0"/>
            <w:vAlign w:val="center"/>
          </w:tcPr>
          <w:p w14:paraId="165DB9A0">
            <w:pPr>
              <w:pageBreakBefore w:val="0"/>
              <w:wordWrap/>
              <w:bidi w:val="0"/>
              <w:adjustRightInd/>
              <w:snapToGrid/>
              <w:spacing w:line="240" w:lineRule="auto"/>
              <w:ind w:firstLine="0" w:firstLineChars="0"/>
              <w:jc w:val="center"/>
              <w:rPr>
                <w:color w:val="auto"/>
                <w:sz w:val="21"/>
                <w:szCs w:val="21"/>
              </w:rPr>
            </w:pPr>
          </w:p>
        </w:tc>
        <w:tc>
          <w:tcPr>
            <w:tcW w:w="309" w:type="pct"/>
            <w:vMerge w:val="continue"/>
            <w:tcBorders>
              <w:tl2br w:val="nil"/>
              <w:tr2bl w:val="nil"/>
            </w:tcBorders>
            <w:noWrap w:val="0"/>
            <w:vAlign w:val="center"/>
          </w:tcPr>
          <w:p w14:paraId="26B111BE">
            <w:pPr>
              <w:pageBreakBefore w:val="0"/>
              <w:wordWrap/>
              <w:bidi w:val="0"/>
              <w:adjustRightInd/>
              <w:snapToGrid/>
              <w:spacing w:line="240" w:lineRule="auto"/>
              <w:ind w:firstLine="0" w:firstLineChars="0"/>
              <w:jc w:val="center"/>
              <w:rPr>
                <w:color w:val="auto"/>
                <w:sz w:val="21"/>
                <w:szCs w:val="21"/>
              </w:rPr>
            </w:pPr>
          </w:p>
        </w:tc>
        <w:tc>
          <w:tcPr>
            <w:tcW w:w="542" w:type="pct"/>
            <w:tcBorders>
              <w:tl2br w:val="nil"/>
              <w:tr2bl w:val="nil"/>
            </w:tcBorders>
            <w:noWrap w:val="0"/>
            <w:vAlign w:val="center"/>
          </w:tcPr>
          <w:p w14:paraId="3DB3999A">
            <w:pPr>
              <w:pageBreakBefore w:val="0"/>
              <w:wordWrap/>
              <w:bidi w:val="0"/>
              <w:adjustRightInd/>
              <w:snapToGrid/>
              <w:spacing w:line="240" w:lineRule="auto"/>
              <w:ind w:firstLine="0" w:firstLineChars="0"/>
              <w:jc w:val="center"/>
              <w:rPr>
                <w:color w:val="auto"/>
                <w:sz w:val="21"/>
                <w:szCs w:val="21"/>
              </w:rPr>
            </w:pPr>
            <w:r>
              <w:rPr>
                <w:color w:val="auto"/>
                <w:sz w:val="21"/>
                <w:szCs w:val="21"/>
              </w:rPr>
              <w:t>电</w:t>
            </w:r>
          </w:p>
        </w:tc>
        <w:tc>
          <w:tcPr>
            <w:tcW w:w="635" w:type="pct"/>
            <w:tcBorders>
              <w:tl2br w:val="nil"/>
              <w:tr2bl w:val="nil"/>
            </w:tcBorders>
            <w:noWrap w:val="0"/>
            <w:vAlign w:val="top"/>
          </w:tcPr>
          <w:p w14:paraId="19F98E8E">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rPr>
              <w:t>1484</w:t>
            </w:r>
            <w:r>
              <w:rPr>
                <w:color w:val="auto"/>
                <w:sz w:val="21"/>
                <w:szCs w:val="21"/>
              </w:rPr>
              <w:t>万度/年</w:t>
            </w:r>
          </w:p>
        </w:tc>
        <w:tc>
          <w:tcPr>
            <w:tcW w:w="775" w:type="pct"/>
            <w:tcBorders>
              <w:tl2br w:val="nil"/>
              <w:tr2bl w:val="nil"/>
            </w:tcBorders>
            <w:noWrap w:val="0"/>
            <w:vAlign w:val="center"/>
          </w:tcPr>
          <w:p w14:paraId="55899309">
            <w:pPr>
              <w:pageBreakBefore w:val="0"/>
              <w:wordWrap/>
              <w:bidi w:val="0"/>
              <w:adjustRightInd/>
              <w:snapToGrid/>
              <w:spacing w:line="240" w:lineRule="auto"/>
              <w:jc w:val="center"/>
              <w:rPr>
                <w:color w:val="auto"/>
                <w:sz w:val="21"/>
                <w:szCs w:val="21"/>
              </w:rPr>
            </w:pPr>
            <w:r>
              <w:rPr>
                <w:color w:val="auto"/>
                <w:sz w:val="21"/>
                <w:szCs w:val="21"/>
              </w:rPr>
              <w:t>/</w:t>
            </w:r>
          </w:p>
        </w:tc>
        <w:tc>
          <w:tcPr>
            <w:tcW w:w="440" w:type="pct"/>
            <w:tcBorders>
              <w:tl2br w:val="nil"/>
              <w:tr2bl w:val="nil"/>
            </w:tcBorders>
            <w:noWrap w:val="0"/>
            <w:vAlign w:val="center"/>
          </w:tcPr>
          <w:p w14:paraId="7DC2B10D">
            <w:pPr>
              <w:pageBreakBefore w:val="0"/>
              <w:wordWrap/>
              <w:bidi w:val="0"/>
              <w:adjustRightInd/>
              <w:snapToGrid/>
              <w:spacing w:line="240" w:lineRule="auto"/>
              <w:jc w:val="center"/>
              <w:rPr>
                <w:color w:val="auto"/>
                <w:sz w:val="21"/>
                <w:szCs w:val="21"/>
              </w:rPr>
            </w:pPr>
            <w:r>
              <w:rPr>
                <w:color w:val="auto"/>
                <w:sz w:val="21"/>
                <w:szCs w:val="21"/>
              </w:rPr>
              <w:t>/</w:t>
            </w:r>
          </w:p>
        </w:tc>
        <w:tc>
          <w:tcPr>
            <w:tcW w:w="608" w:type="pct"/>
            <w:tcBorders>
              <w:tl2br w:val="nil"/>
              <w:tr2bl w:val="nil"/>
            </w:tcBorders>
            <w:noWrap w:val="0"/>
            <w:vAlign w:val="center"/>
          </w:tcPr>
          <w:p w14:paraId="5FD43F25">
            <w:pPr>
              <w:pageBreakBefore w:val="0"/>
              <w:wordWrap/>
              <w:bidi w:val="0"/>
              <w:adjustRightInd/>
              <w:snapToGrid/>
              <w:spacing w:line="240" w:lineRule="auto"/>
              <w:jc w:val="center"/>
              <w:rPr>
                <w:color w:val="auto"/>
                <w:sz w:val="21"/>
                <w:szCs w:val="21"/>
              </w:rPr>
            </w:pPr>
            <w:r>
              <w:rPr>
                <w:color w:val="auto"/>
                <w:sz w:val="21"/>
                <w:szCs w:val="21"/>
              </w:rPr>
              <w:t>/</w:t>
            </w:r>
          </w:p>
        </w:tc>
        <w:tc>
          <w:tcPr>
            <w:tcW w:w="607" w:type="pct"/>
            <w:tcBorders>
              <w:tl2br w:val="nil"/>
              <w:tr2bl w:val="nil"/>
            </w:tcBorders>
            <w:noWrap w:val="0"/>
            <w:vAlign w:val="center"/>
          </w:tcPr>
          <w:p w14:paraId="14C43A0E">
            <w:pPr>
              <w:pageBreakBefore w:val="0"/>
              <w:wordWrap/>
              <w:bidi w:val="0"/>
              <w:adjustRightInd/>
              <w:snapToGrid/>
              <w:spacing w:line="240" w:lineRule="auto"/>
              <w:jc w:val="center"/>
              <w:rPr>
                <w:color w:val="auto"/>
                <w:sz w:val="21"/>
                <w:szCs w:val="21"/>
              </w:rPr>
            </w:pPr>
            <w:r>
              <w:rPr>
                <w:color w:val="auto"/>
                <w:sz w:val="21"/>
                <w:szCs w:val="21"/>
              </w:rPr>
              <w:t>/</w:t>
            </w:r>
          </w:p>
        </w:tc>
        <w:tc>
          <w:tcPr>
            <w:tcW w:w="750" w:type="pct"/>
            <w:tcBorders>
              <w:tl2br w:val="nil"/>
              <w:tr2bl w:val="nil"/>
            </w:tcBorders>
            <w:noWrap w:val="0"/>
            <w:vAlign w:val="center"/>
          </w:tcPr>
          <w:p w14:paraId="5A1735FF">
            <w:pPr>
              <w:pageBreakBefore w:val="0"/>
              <w:wordWrap/>
              <w:bidi w:val="0"/>
              <w:adjustRightInd/>
              <w:snapToGrid/>
              <w:spacing w:line="240" w:lineRule="auto"/>
              <w:ind w:firstLine="0" w:firstLineChars="0"/>
              <w:jc w:val="center"/>
              <w:rPr>
                <w:color w:val="auto"/>
                <w:sz w:val="21"/>
                <w:szCs w:val="21"/>
              </w:rPr>
            </w:pPr>
            <w:r>
              <w:rPr>
                <w:color w:val="auto"/>
                <w:sz w:val="21"/>
                <w:szCs w:val="21"/>
              </w:rPr>
              <w:t>市政电网</w:t>
            </w:r>
          </w:p>
        </w:tc>
      </w:tr>
    </w:tbl>
    <w:p w14:paraId="057D54DD">
      <w:pPr>
        <w:bidi w:val="0"/>
        <w:rPr>
          <w:color w:val="auto"/>
        </w:rPr>
      </w:pPr>
      <w:r>
        <w:rPr>
          <w:color w:val="auto"/>
        </w:rPr>
        <w:t>（1）PAC（聚合氯化铝）</w:t>
      </w:r>
    </w:p>
    <w:p w14:paraId="7C3B67D0">
      <w:pPr>
        <w:pageBreakBefore w:val="0"/>
        <w:wordWrap/>
        <w:bidi w:val="0"/>
        <w:adjustRightInd/>
        <w:snapToGrid/>
        <w:ind w:firstLine="480"/>
        <w:rPr>
          <w:color w:val="auto"/>
        </w:rPr>
      </w:pPr>
      <w:r>
        <w:rPr>
          <w:color w:val="auto"/>
        </w:rPr>
        <w:t>液体产品为无色、淡黄色、淡灰色或棕褐色透明或半透明液体，无沉淀。固体产品是白色、淡灰色、淡黄色或棕褐色晶粒或粉末。是一种无机高分子混凝剂。主要通过压缩双层，吸附电中和、吸附架桥、沉淀物网捕等机理作用，使水中细微悬浮粒子和胶体离子脱稳，聚集、絮凝、混凝、沉淀，达到净化处理效果。聚合氯化铝</w:t>
      </w:r>
      <w:r>
        <w:rPr>
          <w:rFonts w:hint="eastAsia"/>
          <w:color w:val="auto"/>
          <w:lang w:eastAsia="zh-CN"/>
        </w:rPr>
        <w:t>与其他</w:t>
      </w:r>
      <w:r>
        <w:rPr>
          <w:color w:val="auto"/>
        </w:rPr>
        <w:t>混凝剂相比，具有以下优点：应用范围广，适应</w:t>
      </w:r>
      <w:r>
        <w:rPr>
          <w:rFonts w:hint="eastAsia"/>
          <w:color w:val="auto"/>
          <w:lang w:eastAsia="zh-CN"/>
        </w:rPr>
        <w:t>性</w:t>
      </w:r>
      <w:r>
        <w:rPr>
          <w:color w:val="auto"/>
        </w:rPr>
        <w:t>广泛。易快速形成大的矾花，沉淀性能好。适宜的</w:t>
      </w:r>
      <w:r>
        <w:rPr>
          <w:rFonts w:hint="eastAsia"/>
          <w:color w:val="auto"/>
          <w:lang w:eastAsia="zh-CN"/>
        </w:rPr>
        <w:t>pH值</w:t>
      </w:r>
      <w:r>
        <w:rPr>
          <w:color w:val="auto"/>
        </w:rPr>
        <w:t>范围较宽（5~9），且处理后水的</w:t>
      </w:r>
      <w:r>
        <w:rPr>
          <w:rFonts w:hint="eastAsia"/>
          <w:color w:val="auto"/>
          <w:lang w:eastAsia="zh-CN"/>
        </w:rPr>
        <w:t>pH值</w:t>
      </w:r>
      <w:r>
        <w:rPr>
          <w:color w:val="auto"/>
        </w:rPr>
        <w:t>和碱度下降小。水温低时，仍可保持稳定的沉淀效果。碱化度</w:t>
      </w:r>
      <w:r>
        <w:rPr>
          <w:rFonts w:hint="eastAsia"/>
          <w:color w:val="auto"/>
          <w:lang w:eastAsia="zh-CN"/>
        </w:rPr>
        <w:t>比其他</w:t>
      </w:r>
      <w:r>
        <w:rPr>
          <w:color w:val="auto"/>
        </w:rPr>
        <w:t>铝盐、铁盐高，对设备侵蚀作用小。</w:t>
      </w:r>
    </w:p>
    <w:p w14:paraId="4B5D97CF">
      <w:pPr>
        <w:pageBreakBefore w:val="0"/>
        <w:wordWrap/>
        <w:bidi w:val="0"/>
        <w:adjustRightInd/>
        <w:snapToGrid/>
        <w:ind w:firstLine="480"/>
        <w:rPr>
          <w:color w:val="auto"/>
        </w:rPr>
      </w:pPr>
      <w:r>
        <w:rPr>
          <w:color w:val="auto"/>
        </w:rPr>
        <w:t>（2）PAM（聚丙烯酰胺）</w:t>
      </w:r>
    </w:p>
    <w:p w14:paraId="2F0F12E9">
      <w:pPr>
        <w:pageBreakBefore w:val="0"/>
        <w:wordWrap/>
        <w:bidi w:val="0"/>
        <w:adjustRightInd/>
        <w:snapToGrid/>
        <w:ind w:firstLine="480"/>
        <w:rPr>
          <w:color w:val="auto"/>
        </w:rPr>
      </w:pPr>
      <w:r>
        <w:rPr>
          <w:color w:val="auto"/>
        </w:rPr>
        <w:t>分为胶体和粉剂，根据品种又分为非离子型和阴离子型，胶体产品为无色透明、无毒、无腐蚀。粉剂为白色粒状。两者均能溶于水。不溶于有机溶剂。聚丙烯酰胺（PAM）分子量高达（103-107），水溶性好，可调节分子量并可引入各种离子基团以得到特定的性能，是水溶性高分子中用量最大、用途最广泛的一种。</w:t>
      </w:r>
    </w:p>
    <w:p w14:paraId="32EA884C">
      <w:pPr>
        <w:pageBreakBefore w:val="0"/>
        <w:wordWrap/>
        <w:bidi w:val="0"/>
        <w:adjustRightInd/>
        <w:snapToGrid/>
        <w:ind w:firstLine="480"/>
        <w:rPr>
          <w:rFonts w:hint="default" w:eastAsia="宋体"/>
          <w:color w:val="auto"/>
          <w:lang w:val="en-US" w:eastAsia="zh-CN"/>
        </w:rPr>
      </w:pPr>
      <w:r>
        <w:rPr>
          <w:color w:val="auto"/>
        </w:rPr>
        <w:t>（3）</w:t>
      </w:r>
      <w:r>
        <w:rPr>
          <w:rFonts w:hint="eastAsia"/>
          <w:color w:val="auto"/>
          <w:lang w:val="en-US" w:eastAsia="zh-CN"/>
        </w:rPr>
        <w:t>NaAc（乙酸钠）</w:t>
      </w:r>
    </w:p>
    <w:p w14:paraId="7D0215CF">
      <w:pPr>
        <w:bidi w:val="0"/>
        <w:rPr>
          <w:rFonts w:hint="eastAsia"/>
          <w:color w:val="auto"/>
        </w:rPr>
      </w:pPr>
      <w:r>
        <w:rPr>
          <w:rFonts w:hint="eastAsia"/>
          <w:color w:val="auto"/>
        </w:rPr>
        <w:t>乙酸钠，又称醋酸钠，是一种有机物，分子式为CH</w:t>
      </w:r>
      <w:r>
        <w:rPr>
          <w:rFonts w:hint="eastAsia"/>
          <w:color w:val="auto"/>
          <w:vertAlign w:val="subscript"/>
        </w:rPr>
        <w:t>3</w:t>
      </w:r>
      <w:r>
        <w:rPr>
          <w:rFonts w:hint="eastAsia"/>
          <w:color w:val="auto"/>
        </w:rPr>
        <w:t>COONa，分子量为82.03。三水合物乙酸钠性状为白色结晶体，相对密度1.45，熔点为58℃，在干燥空气中风化，在120℃时失去结晶水，温度再高时分解；无水乙酸钠为无色透明结晶体，熔点324℃。易溶于水。</w:t>
      </w:r>
    </w:p>
    <w:p w14:paraId="664FAD37">
      <w:pPr>
        <w:bidi w:val="0"/>
        <w:rPr>
          <w:rFonts w:hint="eastAsia"/>
          <w:color w:val="auto"/>
        </w:rPr>
      </w:pPr>
      <w:r>
        <w:rPr>
          <w:rFonts w:hint="eastAsia"/>
          <w:color w:val="auto"/>
        </w:rPr>
        <w:t>醋酸钠可用于作缓冲剂、媒染剂，用于铅铜镍铁的测定，培养基配制，有机合成，影片洗印等。</w:t>
      </w:r>
      <w:r>
        <w:rPr>
          <w:rFonts w:hint="eastAsia"/>
          <w:color w:val="auto"/>
          <w:lang w:val="en-US" w:eastAsia="zh-CN"/>
        </w:rPr>
        <w:t>在污水处理中可以</w:t>
      </w:r>
      <w:r>
        <w:rPr>
          <w:rFonts w:hint="eastAsia"/>
          <w:color w:val="auto"/>
        </w:rPr>
        <w:t>为细菌提供充足营养和碳源，利用其分解污水中的有机物。</w:t>
      </w:r>
    </w:p>
    <w:p w14:paraId="6F2B6164">
      <w:pPr>
        <w:pageBreakBefore w:val="0"/>
        <w:wordWrap/>
        <w:bidi w:val="0"/>
        <w:adjustRightInd/>
        <w:snapToGrid/>
        <w:ind w:firstLine="480"/>
        <w:rPr>
          <w:rFonts w:hint="eastAsia" w:eastAsia="宋体"/>
          <w:color w:val="auto"/>
          <w:lang w:eastAsia="zh-CN"/>
        </w:rPr>
      </w:pPr>
      <w:r>
        <w:rPr>
          <w:color w:val="auto"/>
        </w:rPr>
        <w:t>（</w:t>
      </w:r>
      <w:r>
        <w:rPr>
          <w:rFonts w:hint="eastAsia"/>
          <w:color w:val="auto"/>
        </w:rPr>
        <w:t>4</w:t>
      </w:r>
      <w:r>
        <w:rPr>
          <w:color w:val="auto"/>
        </w:rPr>
        <w:t>）</w:t>
      </w:r>
      <w:r>
        <w:rPr>
          <w:rFonts w:hint="eastAsia"/>
          <w:color w:val="auto"/>
          <w:lang w:val="en-US" w:eastAsia="zh-CN"/>
        </w:rPr>
        <w:t>磁粉</w:t>
      </w:r>
    </w:p>
    <w:p w14:paraId="314445BF">
      <w:pPr>
        <w:bidi w:val="0"/>
        <w:rPr>
          <w:rFonts w:hint="eastAsia"/>
          <w:color w:val="auto"/>
        </w:rPr>
      </w:pPr>
      <w:r>
        <w:rPr>
          <w:rFonts w:hint="eastAsia"/>
          <w:color w:val="auto"/>
        </w:rPr>
        <w:t>所谓磁混凝沉淀技术就是在普通的混凝沉淀工艺中同步加入磁粉，使之与污染物絮凝结合成一体，以加强混凝、絮凝的效果，使生成的絮体密度更大、更结实，从而达到高速沉降的目的。磁粉可以通过磁鼓回收循环使用。</w:t>
      </w:r>
    </w:p>
    <w:p w14:paraId="68146A52">
      <w:pPr>
        <w:bidi w:val="0"/>
        <w:rPr>
          <w:color w:val="auto"/>
        </w:rPr>
      </w:pPr>
      <w:r>
        <w:rPr>
          <w:rFonts w:hint="eastAsia"/>
          <w:color w:val="auto"/>
        </w:rPr>
        <w:t>整个工艺的停留时间很短，因此对包括TP在内的大部分污染物，出现反溶解过程的</w:t>
      </w:r>
      <w:r>
        <w:rPr>
          <w:rFonts w:hint="eastAsia"/>
          <w:color w:val="auto"/>
          <w:lang w:eastAsia="zh-CN"/>
        </w:rPr>
        <w:t>概率非常小</w:t>
      </w:r>
      <w:r>
        <w:rPr>
          <w:rFonts w:hint="eastAsia"/>
          <w:color w:val="auto"/>
        </w:rPr>
        <w:t>，另外系统中投加的磁粉和絮凝剂对细菌、病毒、油及多种微小粒子都有很好的吸附作用，因此对该类污染物的去除效果比传统工艺要好。同时由于其高速沉淀的性能，使其与传统工艺相比，具有速度快、效率高、占地面积小、投资小等诸多优点。</w:t>
      </w:r>
    </w:p>
    <w:p w14:paraId="3DEB91BC">
      <w:pPr>
        <w:pageBreakBefore w:val="0"/>
        <w:wordWrap/>
        <w:bidi w:val="0"/>
        <w:adjustRightInd/>
        <w:snapToGrid/>
        <w:ind w:firstLine="480"/>
        <w:rPr>
          <w:rFonts w:hint="eastAsia"/>
          <w:b w:val="0"/>
          <w:bCs w:val="0"/>
          <w:color w:val="auto"/>
        </w:rPr>
      </w:pPr>
      <w:r>
        <w:rPr>
          <w:b w:val="0"/>
          <w:bCs w:val="0"/>
          <w:color w:val="auto"/>
        </w:rPr>
        <w:t>（</w:t>
      </w:r>
      <w:r>
        <w:rPr>
          <w:rFonts w:hint="eastAsia"/>
          <w:b w:val="0"/>
          <w:bCs w:val="0"/>
          <w:color w:val="auto"/>
          <w:lang w:val="en-US" w:eastAsia="zh-CN"/>
        </w:rPr>
        <w:t>5</w:t>
      </w:r>
      <w:r>
        <w:rPr>
          <w:b w:val="0"/>
          <w:bCs w:val="0"/>
          <w:color w:val="auto"/>
        </w:rPr>
        <w:t>）</w:t>
      </w:r>
      <w:r>
        <w:rPr>
          <w:rFonts w:hint="eastAsia"/>
          <w:b w:val="0"/>
          <w:bCs w:val="0"/>
          <w:color w:val="auto"/>
        </w:rPr>
        <w:t>次氯酸钠</w:t>
      </w:r>
    </w:p>
    <w:p w14:paraId="66F68A20">
      <w:pPr>
        <w:bidi w:val="0"/>
        <w:rPr>
          <w:rFonts w:hint="eastAsia"/>
          <w:color w:val="auto"/>
        </w:rPr>
      </w:pPr>
      <w:r>
        <w:rPr>
          <w:rFonts w:hint="eastAsia"/>
          <w:color w:val="auto"/>
        </w:rPr>
        <w:t>白色粉末，有潮解性。在空气中不稳定，受热后分解。工业品则是浅黄色透明液体。俗称漂白水，是不稳定化合物，能逐渐释放出氧气。碱性次氯酸钠溶液比较稳定，俗称安替福明。能溶于冷水，受热到35℃以上或遇酸则分解，有氧化性。由电解冷的</w:t>
      </w:r>
      <w:r>
        <w:rPr>
          <w:rFonts w:hint="eastAsia"/>
          <w:color w:val="auto"/>
          <w:lang w:eastAsia="zh-CN"/>
        </w:rPr>
        <w:t>烯酸</w:t>
      </w:r>
      <w:r>
        <w:rPr>
          <w:rFonts w:hint="eastAsia"/>
          <w:color w:val="auto"/>
        </w:rPr>
        <w:t>盐溶液或由漂白粉与纯碱作用后滤去碳酸钙而制得。</w:t>
      </w:r>
    </w:p>
    <w:p w14:paraId="04D5F86E">
      <w:pPr>
        <w:bidi w:val="0"/>
        <w:rPr>
          <w:rFonts w:hint="eastAsia"/>
          <w:color w:val="auto"/>
        </w:rPr>
      </w:pPr>
      <w:r>
        <w:rPr>
          <w:rFonts w:hint="eastAsia"/>
          <w:color w:val="auto"/>
        </w:rPr>
        <w:t>无机工业用于制造</w:t>
      </w:r>
      <w:r>
        <w:rPr>
          <w:rFonts w:hint="eastAsia"/>
          <w:color w:val="auto"/>
          <w:lang w:eastAsia="zh-CN"/>
        </w:rPr>
        <w:t>硫酸铅</w:t>
      </w:r>
      <w:r>
        <w:rPr>
          <w:rFonts w:hint="eastAsia"/>
          <w:color w:val="auto"/>
        </w:rPr>
        <w:t>、氧化铅等。染料工业用于制造硫化宝蓝等。油脂工业用作油脂的漂白剂。医药工业用于制造水合阱、双氯胺、单氯氛胺等。冶金工业用作制取钴、镍的氧化剂。造纸工业用作纸浆的漂白剂。水处理中作为净水剂、消毒剂、杀菌剂。纺织工业用作对布匹、</w:t>
      </w:r>
      <w:r>
        <w:rPr>
          <w:rFonts w:hint="eastAsia"/>
          <w:color w:val="auto"/>
          <w:lang w:eastAsia="zh-CN"/>
        </w:rPr>
        <w:t>毛巾</w:t>
      </w:r>
      <w:r>
        <w:rPr>
          <w:rFonts w:hint="eastAsia"/>
          <w:color w:val="auto"/>
        </w:rPr>
        <w:t>、袜子、汗衫等棉织物，化纤及淀粉的高效漂白剂。有机工业用于制造电石水合制乙炔的清净剂。农业和畜牧业中用作蔬菜、果物、饲养场、</w:t>
      </w:r>
      <w:r>
        <w:rPr>
          <w:rFonts w:hint="eastAsia"/>
          <w:color w:val="auto"/>
          <w:lang w:eastAsia="zh-CN"/>
        </w:rPr>
        <w:t>畜禽</w:t>
      </w:r>
      <w:r>
        <w:rPr>
          <w:rFonts w:hint="eastAsia"/>
          <w:color w:val="auto"/>
        </w:rPr>
        <w:t>等消毒剂、去臭剂。分析化学中用于检验唾液中结核菌和进行细菌研究等。</w:t>
      </w:r>
    </w:p>
    <w:p w14:paraId="70F8B99A">
      <w:pPr>
        <w:pStyle w:val="5"/>
        <w:pageBreakBefore w:val="0"/>
        <w:wordWrap/>
        <w:bidi w:val="0"/>
        <w:adjustRightInd/>
        <w:snapToGrid/>
        <w:spacing w:before="62" w:after="62"/>
        <w:ind w:left="0"/>
        <w:rPr>
          <w:rFonts w:hint="default"/>
          <w:b/>
          <w:bCs/>
          <w:color w:val="auto"/>
          <w:lang w:val="en-US" w:eastAsia="zh-CN"/>
        </w:rPr>
      </w:pPr>
      <w:r>
        <w:rPr>
          <w:rFonts w:hint="eastAsia" w:eastAsia="宋体"/>
          <w:color w:val="auto"/>
        </w:rPr>
        <w:t xml:space="preserve"> </w:t>
      </w:r>
      <w:r>
        <w:rPr>
          <w:rFonts w:hint="eastAsia"/>
          <w:b/>
          <w:bCs/>
          <w:color w:val="auto"/>
          <w:lang w:val="en-US" w:eastAsia="zh-CN"/>
        </w:rPr>
        <w:t>项目公辅工程</w:t>
      </w:r>
    </w:p>
    <w:p w14:paraId="28EE90B7">
      <w:pPr>
        <w:pageBreakBefore w:val="0"/>
        <w:wordWrap/>
        <w:bidi w:val="0"/>
        <w:adjustRightInd/>
        <w:snapToGrid/>
        <w:rPr>
          <w:rFonts w:hint="default"/>
          <w:b/>
          <w:bCs/>
          <w:color w:val="auto"/>
          <w:lang w:val="en-US" w:eastAsia="zh-CN"/>
        </w:rPr>
      </w:pPr>
      <w:r>
        <w:rPr>
          <w:rFonts w:hint="eastAsia"/>
          <w:b/>
          <w:bCs/>
          <w:color w:val="auto"/>
          <w:lang w:val="en-US" w:eastAsia="zh-CN"/>
        </w:rPr>
        <w:t>1、给水</w:t>
      </w:r>
    </w:p>
    <w:p w14:paraId="313354D0">
      <w:pPr>
        <w:pageBreakBefore w:val="0"/>
        <w:wordWrap/>
        <w:bidi w:val="0"/>
        <w:adjustRightInd/>
        <w:snapToGrid/>
        <w:rPr>
          <w:rFonts w:hint="eastAsia"/>
          <w:color w:val="auto"/>
          <w:lang w:val="en-US" w:eastAsia="zh-CN"/>
        </w:rPr>
      </w:pPr>
      <w:r>
        <w:rPr>
          <w:rFonts w:hint="eastAsia"/>
          <w:color w:val="auto"/>
          <w:lang w:val="en-US" w:eastAsia="zh-CN"/>
        </w:rPr>
        <w:t>厂区给水由市政供水管网提供，来自周边供水干管。厂区给水主要用于生活、消防、绿化，构筑物及设备冲洗等。引入总管管径为DN150，给水管网在厂区内形成环网以利于消防。</w:t>
      </w:r>
    </w:p>
    <w:p w14:paraId="0D4617E5">
      <w:pPr>
        <w:pageBreakBefore w:val="0"/>
        <w:wordWrap/>
        <w:bidi w:val="0"/>
        <w:adjustRightInd/>
        <w:snapToGrid/>
        <w:rPr>
          <w:rFonts w:hint="eastAsia"/>
          <w:color w:val="auto"/>
          <w:lang w:val="en-US" w:eastAsia="zh-CN"/>
        </w:rPr>
      </w:pPr>
      <w:r>
        <w:rPr>
          <w:rFonts w:hint="eastAsia"/>
          <w:color w:val="auto"/>
          <w:lang w:val="en-US" w:eastAsia="zh-CN"/>
        </w:rPr>
        <w:t>园区规划在曾口区块西北部新建自来水厂一处，占地面积2.08公顷。供水规模为6.1万吨/日。</w:t>
      </w:r>
    </w:p>
    <w:p w14:paraId="6B58BD90">
      <w:pPr>
        <w:pageBreakBefore w:val="0"/>
        <w:wordWrap/>
        <w:bidi w:val="0"/>
        <w:adjustRightInd/>
        <w:snapToGrid/>
        <w:rPr>
          <w:rFonts w:hint="default"/>
          <w:b/>
          <w:bCs/>
          <w:color w:val="auto"/>
          <w:lang w:val="en-US" w:eastAsia="zh-CN"/>
        </w:rPr>
      </w:pPr>
      <w:r>
        <w:rPr>
          <w:rFonts w:hint="eastAsia"/>
          <w:b/>
          <w:bCs/>
          <w:color w:val="auto"/>
          <w:lang w:val="en-US" w:eastAsia="zh-CN"/>
        </w:rPr>
        <w:t>2、排水</w:t>
      </w:r>
    </w:p>
    <w:p w14:paraId="66F19DC6">
      <w:pPr>
        <w:pageBreakBefore w:val="0"/>
        <w:wordWrap/>
        <w:bidi w:val="0"/>
        <w:adjustRightInd/>
        <w:snapToGrid/>
        <w:rPr>
          <w:rFonts w:hint="eastAsia"/>
          <w:color w:val="auto"/>
          <w:lang w:val="en-US" w:eastAsia="zh-CN"/>
        </w:rPr>
      </w:pPr>
      <w:r>
        <w:rPr>
          <w:rFonts w:hint="eastAsia"/>
          <w:color w:val="auto"/>
          <w:lang w:val="en-US" w:eastAsia="zh-CN"/>
        </w:rPr>
        <w:t>厂区排水采用雨污分流制。厂区雨水由道路雨水口收集后汇入厂区雨水管道。厂区生活污水、生产污水、清洗水池污水、构筑物放空水、滤液等经厂内污水管道收集后进入厂区污水格栅渠与进厂污水一并处理。</w:t>
      </w:r>
    </w:p>
    <w:p w14:paraId="7C00394C">
      <w:pPr>
        <w:pageBreakBefore w:val="0"/>
        <w:wordWrap/>
        <w:bidi w:val="0"/>
        <w:adjustRightInd/>
        <w:snapToGrid/>
        <w:rPr>
          <w:rFonts w:hint="eastAsia"/>
          <w:color w:val="auto"/>
          <w:lang w:val="en-US" w:eastAsia="zh-CN"/>
        </w:rPr>
      </w:pPr>
      <w:r>
        <w:rPr>
          <w:rFonts w:hint="eastAsia"/>
          <w:color w:val="auto"/>
          <w:lang w:val="en-US" w:eastAsia="zh-CN"/>
        </w:rPr>
        <w:t>同时，服务范围内的园区拟入驻项目正常生产运行过程中产生的废水由各企业自行预处理，达标后排入市政污水管进入本项目污水处理厂处理，处理后的尾水通过污水管道排入巴河。</w:t>
      </w:r>
    </w:p>
    <w:p w14:paraId="32C794B3">
      <w:pPr>
        <w:pageBreakBefore w:val="0"/>
        <w:wordWrap/>
        <w:bidi w:val="0"/>
        <w:adjustRightInd/>
        <w:snapToGrid/>
        <w:rPr>
          <w:rFonts w:hint="default"/>
          <w:b/>
          <w:bCs/>
          <w:color w:val="auto"/>
          <w:lang w:val="en-US" w:eastAsia="zh-CN"/>
        </w:rPr>
      </w:pPr>
      <w:r>
        <w:rPr>
          <w:rFonts w:hint="eastAsia"/>
          <w:b/>
          <w:bCs/>
          <w:color w:val="auto"/>
          <w:lang w:val="en-US" w:eastAsia="zh-CN"/>
        </w:rPr>
        <w:t>3、供电</w:t>
      </w:r>
    </w:p>
    <w:p w14:paraId="0C41702B">
      <w:pPr>
        <w:pageBreakBefore w:val="0"/>
        <w:wordWrap/>
        <w:bidi w:val="0"/>
        <w:adjustRightInd/>
        <w:snapToGrid/>
        <w:rPr>
          <w:rFonts w:hint="eastAsia"/>
          <w:color w:val="auto"/>
          <w:lang w:val="en-US" w:eastAsia="zh-CN"/>
        </w:rPr>
      </w:pPr>
      <w:r>
        <w:rPr>
          <w:rFonts w:hint="eastAsia"/>
          <w:color w:val="auto"/>
          <w:lang w:val="en-US" w:eastAsia="zh-CN"/>
        </w:rPr>
        <w:t>从项目区附近变压器将电源引到项目区，本次设计新增一座10kV、0.4kV变（配）电站，与鼓风机房合建，位于负荷中心，高低压室合建。变压器按二期设计，预留二期负荷配电柜安装位置。</w:t>
      </w:r>
    </w:p>
    <w:p w14:paraId="2312C244">
      <w:pPr>
        <w:pageBreakBefore w:val="0"/>
        <w:wordWrap/>
        <w:bidi w:val="0"/>
        <w:adjustRightInd/>
        <w:snapToGrid/>
        <w:rPr>
          <w:rFonts w:hint="eastAsia"/>
          <w:color w:val="auto"/>
          <w:lang w:val="en-US" w:eastAsia="zh-CN"/>
        </w:rPr>
      </w:pPr>
      <w:r>
        <w:rPr>
          <w:rFonts w:hint="eastAsia"/>
          <w:color w:val="auto"/>
          <w:lang w:val="en-US" w:eastAsia="zh-CN"/>
        </w:rPr>
        <w:t>（1）系统供电电压采用10kV，供（配）电采用380V/220。本工程低压带电导体型式为三相四线制。</w:t>
      </w:r>
    </w:p>
    <w:p w14:paraId="0DE3142C">
      <w:pPr>
        <w:pageBreakBefore w:val="0"/>
        <w:wordWrap/>
        <w:bidi w:val="0"/>
        <w:adjustRightInd/>
        <w:snapToGrid/>
        <w:rPr>
          <w:rFonts w:hint="eastAsia"/>
          <w:color w:val="auto"/>
          <w:lang w:val="en-US" w:eastAsia="zh-CN"/>
        </w:rPr>
      </w:pPr>
      <w:r>
        <w:rPr>
          <w:rFonts w:hint="eastAsia"/>
          <w:color w:val="auto"/>
          <w:lang w:val="en-US" w:eastAsia="zh-CN"/>
        </w:rPr>
        <w:t>（2）高压部分设置10kV中置柜5个（2台进线柜、1台PT柜，2台出线柜），低压部分设置GCS低压柜14个（2台进线柜、2台补偿柜、6台出线柜、2台滤波柜，1台联络柜）</w:t>
      </w:r>
    </w:p>
    <w:p w14:paraId="5EDC4673">
      <w:pPr>
        <w:pageBreakBefore w:val="0"/>
        <w:wordWrap/>
        <w:bidi w:val="0"/>
        <w:adjustRightInd/>
        <w:snapToGrid/>
        <w:rPr>
          <w:rFonts w:hint="eastAsia"/>
          <w:color w:val="auto"/>
          <w:lang w:val="en-US" w:eastAsia="zh-CN"/>
        </w:rPr>
      </w:pPr>
      <w:r>
        <w:rPr>
          <w:rFonts w:hint="eastAsia"/>
          <w:color w:val="auto"/>
          <w:lang w:val="en-US" w:eastAsia="zh-CN"/>
        </w:rPr>
        <w:t>（3）设置2台变压器容量1000kVA，2台变压器独立运行，互为备用，单台变压器负荷率为48%，单台变压器能够承担全厂二级负荷的使用。</w:t>
      </w:r>
    </w:p>
    <w:p w14:paraId="2B50E98D">
      <w:pPr>
        <w:pageBreakBefore w:val="0"/>
        <w:wordWrap/>
        <w:bidi w:val="0"/>
        <w:adjustRightInd/>
        <w:snapToGrid/>
        <w:rPr>
          <w:rFonts w:hint="eastAsia"/>
          <w:color w:val="auto"/>
          <w:lang w:val="en-US" w:eastAsia="zh-CN"/>
        </w:rPr>
      </w:pPr>
      <w:r>
        <w:rPr>
          <w:rFonts w:hint="eastAsia"/>
          <w:color w:val="auto"/>
          <w:lang w:val="en-US" w:eastAsia="zh-CN"/>
        </w:rPr>
        <w:t>（4）10kV系统供电方式采用单回路放射式供电，单母线不分段接线方式，系统操作电源采用DC110V。两路进线电源同时接入母线采用联锁方式互为备用。</w:t>
      </w:r>
    </w:p>
    <w:p w14:paraId="301DEC94">
      <w:pPr>
        <w:pageBreakBefore w:val="0"/>
        <w:wordWrap/>
        <w:bidi w:val="0"/>
        <w:adjustRightInd/>
        <w:snapToGrid/>
        <w:rPr>
          <w:rFonts w:hint="eastAsia"/>
          <w:color w:val="auto"/>
          <w:lang w:val="en-US" w:eastAsia="zh-CN"/>
        </w:rPr>
      </w:pPr>
      <w:r>
        <w:rPr>
          <w:rFonts w:hint="eastAsia"/>
          <w:color w:val="auto"/>
          <w:lang w:val="en-US" w:eastAsia="zh-CN"/>
        </w:rPr>
        <w:t>（5）低压配电系统单母线分段接线方式，并通过联络柜联络两段母线互为备用。系统通过向设置在各单体的动力柜进行放射式供电，由各单体动力柜直接对现场设备配电和控制。</w:t>
      </w:r>
    </w:p>
    <w:p w14:paraId="0F702D19">
      <w:pPr>
        <w:pageBreakBefore w:val="0"/>
        <w:wordWrap/>
        <w:bidi w:val="0"/>
        <w:adjustRightInd/>
        <w:snapToGrid/>
        <w:rPr>
          <w:rFonts w:hint="default" w:eastAsia="宋体"/>
          <w:b/>
          <w:bCs/>
          <w:color w:val="auto"/>
          <w:lang w:val="en-US" w:eastAsia="zh-CN"/>
        </w:rPr>
      </w:pPr>
      <w:r>
        <w:rPr>
          <w:rFonts w:hint="eastAsia"/>
          <w:b/>
          <w:bCs/>
          <w:color w:val="auto"/>
          <w:lang w:val="en-US" w:eastAsia="zh-CN"/>
        </w:rPr>
        <w:t>4、消防</w:t>
      </w:r>
    </w:p>
    <w:p w14:paraId="7B24FB0A">
      <w:pPr>
        <w:pageBreakBefore w:val="0"/>
        <w:wordWrap/>
        <w:bidi w:val="0"/>
        <w:adjustRightInd/>
        <w:snapToGrid/>
        <w:rPr>
          <w:rFonts w:hint="eastAsia" w:eastAsia="宋体"/>
          <w:color w:val="auto"/>
          <w:lang w:eastAsia="zh-CN"/>
        </w:rPr>
      </w:pPr>
      <w:r>
        <w:rPr>
          <w:rFonts w:hint="eastAsia"/>
          <w:color w:val="auto"/>
        </w:rPr>
        <w:t>厂区内部分构</w:t>
      </w:r>
      <w:r>
        <w:rPr>
          <w:rFonts w:hint="eastAsia"/>
          <w:color w:val="auto"/>
          <w:lang w:eastAsia="zh-CN"/>
        </w:rPr>
        <w:t>（</w:t>
      </w:r>
      <w:r>
        <w:rPr>
          <w:rFonts w:hint="eastAsia"/>
          <w:color w:val="auto"/>
        </w:rPr>
        <w:t>建</w:t>
      </w:r>
      <w:r>
        <w:rPr>
          <w:rFonts w:hint="eastAsia"/>
          <w:color w:val="auto"/>
          <w:lang w:eastAsia="zh-CN"/>
        </w:rPr>
        <w:t>）</w:t>
      </w:r>
      <w:r>
        <w:rPr>
          <w:rFonts w:hint="eastAsia"/>
          <w:color w:val="auto"/>
        </w:rPr>
        <w:t>筑物的耐火等级、防火间距、消防给水、采暖通风、空调及电力设备的选型和保护等级均按《建筑设计防火规范》</w:t>
      </w:r>
      <w:r>
        <w:rPr>
          <w:rFonts w:hint="eastAsia"/>
          <w:color w:val="auto"/>
          <w:lang w:eastAsia="zh-CN"/>
        </w:rPr>
        <w:t>（</w:t>
      </w:r>
      <w:r>
        <w:rPr>
          <w:rFonts w:hint="eastAsia"/>
          <w:color w:val="auto"/>
        </w:rPr>
        <w:t>GB50016-2014</w:t>
      </w:r>
      <w:r>
        <w:rPr>
          <w:rFonts w:hint="eastAsia"/>
          <w:color w:val="auto"/>
          <w:lang w:val="en-US" w:eastAsia="zh-CN"/>
        </w:rPr>
        <w:t>[2018版]</w:t>
      </w:r>
      <w:r>
        <w:rPr>
          <w:rFonts w:hint="eastAsia"/>
          <w:color w:val="auto"/>
          <w:lang w:eastAsia="zh-CN"/>
        </w:rPr>
        <w:t>）</w:t>
      </w:r>
      <w:r>
        <w:rPr>
          <w:rFonts w:hint="eastAsia"/>
          <w:color w:val="auto"/>
        </w:rPr>
        <w:t>及《消防给水及消火栓系统技术规范》</w:t>
      </w:r>
      <w:r>
        <w:rPr>
          <w:rFonts w:hint="eastAsia"/>
          <w:color w:val="auto"/>
          <w:lang w:eastAsia="zh-CN"/>
        </w:rPr>
        <w:t>（</w:t>
      </w:r>
      <w:r>
        <w:rPr>
          <w:rFonts w:hint="eastAsia"/>
          <w:color w:val="auto"/>
        </w:rPr>
        <w:t>GB50974-2014</w:t>
      </w:r>
      <w:r>
        <w:rPr>
          <w:rFonts w:hint="eastAsia"/>
          <w:color w:val="auto"/>
          <w:lang w:eastAsia="zh-CN"/>
        </w:rPr>
        <w:t>）</w:t>
      </w:r>
      <w:r>
        <w:rPr>
          <w:rFonts w:hint="eastAsia"/>
          <w:color w:val="auto"/>
        </w:rPr>
        <w:t>有关条款执行</w:t>
      </w:r>
      <w:r>
        <w:rPr>
          <w:rFonts w:hint="eastAsia"/>
          <w:color w:val="auto"/>
          <w:lang w:eastAsia="zh-CN"/>
        </w:rPr>
        <w:t>污水处理厂</w:t>
      </w:r>
      <w:r>
        <w:rPr>
          <w:rFonts w:hint="eastAsia"/>
          <w:color w:val="auto"/>
        </w:rPr>
        <w:t>同一时间内的火灾次数按1次计</w:t>
      </w:r>
      <w:r>
        <w:rPr>
          <w:rFonts w:hint="eastAsia"/>
          <w:color w:val="auto"/>
          <w:lang w:eastAsia="zh-CN"/>
        </w:rPr>
        <w:t>，</w:t>
      </w:r>
      <w:r>
        <w:rPr>
          <w:rFonts w:hint="eastAsia"/>
          <w:color w:val="auto"/>
        </w:rPr>
        <w:t>一次灭火用水量为15L/s</w:t>
      </w:r>
      <w:r>
        <w:rPr>
          <w:rFonts w:hint="eastAsia"/>
          <w:color w:val="auto"/>
          <w:lang w:eastAsia="zh-CN"/>
        </w:rPr>
        <w:t>。</w:t>
      </w:r>
    </w:p>
    <w:p w14:paraId="1C4DD7E5">
      <w:pPr>
        <w:pageBreakBefore w:val="0"/>
        <w:wordWrap/>
        <w:bidi w:val="0"/>
        <w:adjustRightInd/>
        <w:snapToGrid/>
        <w:rPr>
          <w:rFonts w:hint="eastAsia" w:eastAsia="宋体"/>
          <w:color w:val="auto"/>
          <w:lang w:eastAsia="zh-CN"/>
        </w:rPr>
      </w:pPr>
      <w:r>
        <w:rPr>
          <w:rFonts w:hint="eastAsia"/>
          <w:color w:val="auto"/>
          <w:lang w:eastAsia="zh-CN"/>
        </w:rPr>
        <w:t>（</w:t>
      </w:r>
      <w:r>
        <w:rPr>
          <w:rFonts w:hint="eastAsia"/>
          <w:color w:val="auto"/>
        </w:rPr>
        <w:t>1</w:t>
      </w:r>
      <w:r>
        <w:rPr>
          <w:rFonts w:hint="eastAsia"/>
          <w:color w:val="auto"/>
          <w:lang w:eastAsia="zh-CN"/>
        </w:rPr>
        <w:t>）</w:t>
      </w:r>
      <w:r>
        <w:rPr>
          <w:rFonts w:hint="eastAsia"/>
          <w:color w:val="auto"/>
        </w:rPr>
        <w:t>厂区消防采用自来水</w:t>
      </w:r>
      <w:r>
        <w:rPr>
          <w:rFonts w:hint="eastAsia"/>
          <w:color w:val="auto"/>
          <w:lang w:eastAsia="zh-CN"/>
        </w:rPr>
        <w:t>，</w:t>
      </w:r>
      <w:r>
        <w:rPr>
          <w:rFonts w:hint="eastAsia"/>
          <w:color w:val="auto"/>
        </w:rPr>
        <w:t>厂区设室外消火栓</w:t>
      </w:r>
      <w:r>
        <w:rPr>
          <w:rFonts w:hint="eastAsia"/>
          <w:color w:val="auto"/>
          <w:lang w:eastAsia="zh-CN"/>
        </w:rPr>
        <w:t>；</w:t>
      </w:r>
    </w:p>
    <w:p w14:paraId="3A59E20A">
      <w:pPr>
        <w:pageBreakBefore w:val="0"/>
        <w:wordWrap/>
        <w:bidi w:val="0"/>
        <w:adjustRightInd/>
        <w:snapToGrid/>
        <w:rPr>
          <w:rFonts w:hint="eastAsia" w:eastAsia="宋体"/>
          <w:color w:val="auto"/>
          <w:lang w:eastAsia="zh-CN"/>
        </w:rPr>
      </w:pPr>
      <w:r>
        <w:rPr>
          <w:rFonts w:hint="eastAsia"/>
          <w:color w:val="auto"/>
          <w:lang w:eastAsia="zh-CN"/>
        </w:rPr>
        <w:t>（</w:t>
      </w:r>
      <w:r>
        <w:rPr>
          <w:rFonts w:hint="eastAsia"/>
          <w:color w:val="auto"/>
        </w:rPr>
        <w:t>2</w:t>
      </w:r>
      <w:r>
        <w:rPr>
          <w:rFonts w:hint="eastAsia"/>
          <w:color w:val="auto"/>
          <w:lang w:eastAsia="zh-CN"/>
        </w:rPr>
        <w:t>）</w:t>
      </w:r>
      <w:r>
        <w:rPr>
          <w:rFonts w:hint="eastAsia"/>
          <w:color w:val="auto"/>
        </w:rPr>
        <w:t>主要建筑物</w:t>
      </w:r>
      <w:r>
        <w:rPr>
          <w:rFonts w:hint="eastAsia"/>
          <w:color w:val="auto"/>
          <w:lang w:eastAsia="zh-CN"/>
        </w:rPr>
        <w:t>，</w:t>
      </w:r>
      <w:r>
        <w:rPr>
          <w:rFonts w:hint="eastAsia"/>
          <w:color w:val="auto"/>
        </w:rPr>
        <w:t>设置灭火器</w:t>
      </w:r>
      <w:r>
        <w:rPr>
          <w:rFonts w:hint="eastAsia"/>
          <w:color w:val="auto"/>
          <w:lang w:eastAsia="zh-CN"/>
        </w:rPr>
        <w:t>；</w:t>
      </w:r>
    </w:p>
    <w:p w14:paraId="49DC6F34">
      <w:pPr>
        <w:pageBreakBefore w:val="0"/>
        <w:wordWrap/>
        <w:bidi w:val="0"/>
        <w:adjustRightInd/>
        <w:snapToGrid/>
        <w:rPr>
          <w:color w:val="auto"/>
        </w:rPr>
      </w:pPr>
      <w:r>
        <w:rPr>
          <w:rFonts w:hint="eastAsia"/>
          <w:color w:val="auto"/>
          <w:lang w:eastAsia="zh-CN"/>
        </w:rPr>
        <w:t>（</w:t>
      </w:r>
      <w:r>
        <w:rPr>
          <w:rFonts w:hint="eastAsia"/>
          <w:color w:val="auto"/>
        </w:rPr>
        <w:t>3</w:t>
      </w:r>
      <w:r>
        <w:rPr>
          <w:rFonts w:hint="eastAsia"/>
          <w:color w:val="auto"/>
          <w:lang w:eastAsia="zh-CN"/>
        </w:rPr>
        <w:t>）</w:t>
      </w:r>
      <w:r>
        <w:rPr>
          <w:rFonts w:hint="eastAsia"/>
          <w:color w:val="auto"/>
        </w:rPr>
        <w:t>厂内道路呈环形布置，保证消防通道畅通，厂内主干道宽6.0 m，次干道宽4.0 m，道路净空高度不小于4.5 m，污水处理厂设1个主出入口及1个次出入口，均与厂外道路相连，满足消防车对道路的要求。</w:t>
      </w:r>
    </w:p>
    <w:p w14:paraId="59FF8516">
      <w:pPr>
        <w:pageBreakBefore w:val="0"/>
        <w:wordWrap/>
        <w:bidi w:val="0"/>
        <w:adjustRightInd/>
        <w:snapToGrid/>
        <w:rPr>
          <w:b/>
          <w:bCs/>
          <w:color w:val="auto"/>
        </w:rPr>
      </w:pPr>
      <w:r>
        <w:rPr>
          <w:rFonts w:hint="eastAsia"/>
          <w:b/>
          <w:bCs/>
          <w:color w:val="auto"/>
          <w:lang w:val="en-US" w:eastAsia="zh-CN"/>
        </w:rPr>
        <w:t>5</w:t>
      </w:r>
      <w:r>
        <w:rPr>
          <w:b/>
          <w:bCs/>
          <w:color w:val="auto"/>
        </w:rPr>
        <w:t>、厂区绿化</w:t>
      </w:r>
    </w:p>
    <w:p w14:paraId="50CE14B5">
      <w:pPr>
        <w:pageBreakBefore w:val="0"/>
        <w:wordWrap/>
        <w:bidi w:val="0"/>
        <w:adjustRightInd/>
        <w:snapToGrid/>
        <w:rPr>
          <w:rFonts w:hint="eastAsia"/>
          <w:color w:val="auto"/>
        </w:rPr>
      </w:pPr>
      <w:r>
        <w:rPr>
          <w:rFonts w:hint="eastAsia"/>
          <w:color w:val="auto"/>
          <w:lang w:val="en-US" w:eastAsia="zh-CN"/>
        </w:rPr>
        <w:t>厂区建</w:t>
      </w:r>
      <w:r>
        <w:rPr>
          <w:rFonts w:hint="eastAsia"/>
          <w:color w:val="auto"/>
        </w:rPr>
        <w:t>、构筑物与道路及围墙之间的空地进行绿化，绿化布置方式采用自然式布置和沿道路规则式布置两种方式。自然式布置运用于办公楼及食堂宿舍楼区域，沿道路规则式布置运用于厂区设计道路两侧。</w:t>
      </w:r>
    </w:p>
    <w:p w14:paraId="76A8D88C">
      <w:pPr>
        <w:pageBreakBefore w:val="0"/>
        <w:wordWrap/>
        <w:bidi w:val="0"/>
        <w:adjustRightInd/>
        <w:snapToGrid/>
        <w:rPr>
          <w:rFonts w:hint="eastAsia"/>
          <w:color w:val="auto"/>
          <w:lang w:eastAsia="zh-CN"/>
        </w:rPr>
      </w:pPr>
      <w:r>
        <w:rPr>
          <w:rFonts w:hint="eastAsia"/>
          <w:color w:val="auto"/>
        </w:rPr>
        <w:t>自然式布置主要选用适合当地气候的树木、乔木、花草进行</w:t>
      </w:r>
      <w:r>
        <w:rPr>
          <w:rFonts w:hint="eastAsia"/>
          <w:color w:val="auto"/>
          <w:lang w:eastAsia="zh-CN"/>
        </w:rPr>
        <w:t>搭配</w:t>
      </w:r>
      <w:r>
        <w:rPr>
          <w:rFonts w:hint="eastAsia"/>
          <w:color w:val="auto"/>
        </w:rPr>
        <w:t>营造出不同的氛围，同时采用灌木修剪成绿进行绿地边缘的围合，在自然中寻求统一感和整体感</w:t>
      </w:r>
      <w:r>
        <w:rPr>
          <w:rFonts w:hint="eastAsia"/>
          <w:color w:val="auto"/>
          <w:lang w:eastAsia="zh-CN"/>
        </w:rPr>
        <w:t>。</w:t>
      </w:r>
    </w:p>
    <w:p w14:paraId="34DFF045">
      <w:pPr>
        <w:pageBreakBefore w:val="0"/>
        <w:wordWrap/>
        <w:bidi w:val="0"/>
        <w:adjustRightInd/>
        <w:snapToGrid/>
        <w:rPr>
          <w:rFonts w:hint="eastAsia"/>
          <w:color w:val="auto"/>
        </w:rPr>
      </w:pPr>
      <w:r>
        <w:rPr>
          <w:rFonts w:hint="eastAsia"/>
          <w:color w:val="auto"/>
        </w:rPr>
        <w:t>规则式布置主要安排在狭长的围墙道路侧，由树木的高低排列分成不同的层次</w:t>
      </w:r>
      <w:r>
        <w:rPr>
          <w:rFonts w:hint="eastAsia"/>
          <w:color w:val="auto"/>
          <w:lang w:eastAsia="zh-CN"/>
        </w:rPr>
        <w:t>，</w:t>
      </w:r>
      <w:r>
        <w:rPr>
          <w:rFonts w:hint="eastAsia"/>
          <w:color w:val="auto"/>
        </w:rPr>
        <w:t>乔灌搭配合理</w:t>
      </w:r>
      <w:r>
        <w:rPr>
          <w:rFonts w:hint="eastAsia"/>
          <w:color w:val="auto"/>
          <w:lang w:eastAsia="zh-CN"/>
        </w:rPr>
        <w:t>，</w:t>
      </w:r>
      <w:r>
        <w:rPr>
          <w:rFonts w:hint="eastAsia"/>
          <w:color w:val="auto"/>
        </w:rPr>
        <w:t>在平面布置上也采取一定的曲线变化规则式的布局不显得生硬。地被植物及草花采用色彩简洁、明快的种类，增添一定的观赏性。</w:t>
      </w:r>
    </w:p>
    <w:p w14:paraId="4395405F">
      <w:pPr>
        <w:pageBreakBefore w:val="0"/>
        <w:wordWrap/>
        <w:bidi w:val="0"/>
        <w:adjustRightInd/>
        <w:snapToGrid/>
        <w:rPr>
          <w:color w:val="auto"/>
        </w:rPr>
      </w:pPr>
      <w:r>
        <w:rPr>
          <w:rFonts w:hint="eastAsia"/>
          <w:color w:val="auto"/>
        </w:rPr>
        <w:t>整个绿化用地面积为3853.8</w:t>
      </w:r>
      <w:r>
        <w:rPr>
          <w:rFonts w:hint="eastAsia"/>
          <w:color w:val="auto"/>
          <w:lang w:val="en-US" w:eastAsia="zh-CN"/>
        </w:rPr>
        <w:t>m³</w:t>
      </w:r>
      <w:r>
        <w:rPr>
          <w:rFonts w:hint="eastAsia"/>
          <w:color w:val="auto"/>
        </w:rPr>
        <w:t>，绿地率为16.89%。</w:t>
      </w:r>
    </w:p>
    <w:p w14:paraId="67514207">
      <w:pPr>
        <w:pageBreakBefore w:val="0"/>
        <w:wordWrap/>
        <w:bidi w:val="0"/>
        <w:adjustRightInd/>
        <w:snapToGrid/>
        <w:rPr>
          <w:b/>
          <w:bCs/>
          <w:color w:val="auto"/>
        </w:rPr>
      </w:pPr>
      <w:r>
        <w:rPr>
          <w:rFonts w:hint="eastAsia"/>
          <w:b/>
          <w:bCs/>
          <w:color w:val="auto"/>
          <w:lang w:val="en-US" w:eastAsia="zh-CN"/>
        </w:rPr>
        <w:t>6</w:t>
      </w:r>
      <w:r>
        <w:rPr>
          <w:b/>
          <w:bCs/>
          <w:color w:val="auto"/>
        </w:rPr>
        <w:t>、通讯</w:t>
      </w:r>
    </w:p>
    <w:p w14:paraId="3C71A2B2">
      <w:pPr>
        <w:pageBreakBefore w:val="0"/>
        <w:wordWrap/>
        <w:bidi w:val="0"/>
        <w:adjustRightInd/>
        <w:snapToGrid/>
        <w:rPr>
          <w:color w:val="auto"/>
        </w:rPr>
      </w:pPr>
      <w:r>
        <w:rPr>
          <w:color w:val="auto"/>
        </w:rPr>
        <w:t>厂内部与外界的通讯采用网络、电话联络形式，在综合用房办公室设电话及网络终端设备，预留弱电电缆接入手孔井，由运营商接入。此外，为方便生产管理和调度，厂区还考虑设置</w:t>
      </w:r>
      <w:r>
        <w:rPr>
          <w:rFonts w:hint="eastAsia"/>
          <w:color w:val="auto"/>
          <w:lang w:eastAsia="zh-CN"/>
        </w:rPr>
        <w:t>对讲通信</w:t>
      </w:r>
      <w:r>
        <w:rPr>
          <w:color w:val="auto"/>
        </w:rPr>
        <w:t>系统。</w:t>
      </w:r>
    </w:p>
    <w:p w14:paraId="37FE5AA9">
      <w:pPr>
        <w:pageBreakBefore w:val="0"/>
        <w:wordWrap/>
        <w:bidi w:val="0"/>
        <w:adjustRightInd/>
        <w:snapToGrid/>
        <w:rPr>
          <w:rFonts w:hint="default"/>
          <w:b/>
          <w:bCs/>
          <w:color w:val="auto"/>
          <w:lang w:val="en-US" w:eastAsia="zh-CN"/>
        </w:rPr>
      </w:pPr>
      <w:r>
        <w:rPr>
          <w:rFonts w:hint="eastAsia"/>
          <w:b/>
          <w:bCs/>
          <w:color w:val="auto"/>
          <w:lang w:val="en-US" w:eastAsia="zh-CN"/>
        </w:rPr>
        <w:t>7、自动化控制</w:t>
      </w:r>
    </w:p>
    <w:p w14:paraId="1AEE6980">
      <w:pPr>
        <w:pageBreakBefore w:val="0"/>
        <w:wordWrap/>
        <w:bidi w:val="0"/>
        <w:adjustRightInd/>
        <w:snapToGrid/>
        <w:rPr>
          <w:rFonts w:hint="eastAsia"/>
          <w:color w:val="auto"/>
          <w:lang w:val="en-US" w:eastAsia="zh-CN"/>
        </w:rPr>
      </w:pPr>
      <w:r>
        <w:rPr>
          <w:rFonts w:hint="eastAsia"/>
          <w:color w:val="auto"/>
          <w:lang w:val="en-US" w:eastAsia="zh-CN"/>
        </w:rPr>
        <w:t>厂内共设5个PLC控制站：根据现场电控设备的布置和工艺功能，每个部分分别设置PLC站进行控制，其功能是完成其区域内的工艺设备的控制功能：磁介质混凝反应器、PAM制备加药装置、孔板格栅、除臭系统和高级氧化为第三方成套设备厂家成套的工艺包或设备，由设备厂家配置PLC控制系统完成其设备或工艺包的控制功能。</w:t>
      </w:r>
    </w:p>
    <w:p w14:paraId="3C02B62B">
      <w:pPr>
        <w:pageBreakBefore w:val="0"/>
        <w:wordWrap/>
        <w:bidi w:val="0"/>
        <w:adjustRightInd/>
        <w:snapToGrid/>
        <w:rPr>
          <w:rFonts w:hint="eastAsia"/>
          <w:color w:val="auto"/>
          <w:lang w:val="en-US" w:eastAsia="zh-CN"/>
        </w:rPr>
      </w:pPr>
    </w:p>
    <w:p w14:paraId="51D14E89">
      <w:pPr>
        <w:pStyle w:val="5"/>
        <w:pageBreakBefore w:val="0"/>
        <w:wordWrap/>
        <w:bidi w:val="0"/>
        <w:adjustRightInd/>
        <w:snapToGrid/>
        <w:spacing w:before="62" w:after="62"/>
        <w:ind w:left="0"/>
        <w:rPr>
          <w:rFonts w:hint="default"/>
          <w:b/>
          <w:bCs/>
          <w:color w:val="auto"/>
          <w:lang w:val="en-US" w:eastAsia="zh-CN"/>
        </w:rPr>
      </w:pPr>
      <w:r>
        <w:rPr>
          <w:rFonts w:hint="eastAsia" w:eastAsia="宋体"/>
          <w:color w:val="auto"/>
        </w:rPr>
        <w:t xml:space="preserve"> </w:t>
      </w:r>
      <w:r>
        <w:rPr>
          <w:rFonts w:hint="eastAsia"/>
          <w:b/>
          <w:bCs/>
          <w:color w:val="auto"/>
          <w:lang w:val="en-US" w:eastAsia="zh-CN"/>
        </w:rPr>
        <w:t>劳动定员及工作制度</w:t>
      </w:r>
    </w:p>
    <w:p w14:paraId="7305D29C">
      <w:pPr>
        <w:pageBreakBefore w:val="0"/>
        <w:wordWrap/>
        <w:bidi w:val="0"/>
        <w:adjustRightInd/>
        <w:snapToGrid/>
        <w:rPr>
          <w:color w:val="auto"/>
        </w:rPr>
      </w:pPr>
      <w:r>
        <w:rPr>
          <w:color w:val="auto"/>
        </w:rPr>
        <w:t>劳动定员</w:t>
      </w:r>
      <w:r>
        <w:rPr>
          <w:rFonts w:hint="eastAsia"/>
          <w:color w:val="auto"/>
          <w:lang w:eastAsia="zh-CN"/>
        </w:rPr>
        <w:t>：</w:t>
      </w:r>
      <w:r>
        <w:rPr>
          <w:color w:val="auto"/>
        </w:rPr>
        <w:t>本项目定员</w:t>
      </w:r>
      <w:r>
        <w:rPr>
          <w:rFonts w:hint="eastAsia"/>
          <w:color w:val="auto"/>
          <w:lang w:val="en-US" w:eastAsia="zh-CN"/>
        </w:rPr>
        <w:t>18</w:t>
      </w:r>
      <w:r>
        <w:rPr>
          <w:color w:val="auto"/>
        </w:rPr>
        <w:t>人，包括管理、技术、生产岗位。</w:t>
      </w:r>
    </w:p>
    <w:p w14:paraId="58BB813A">
      <w:pPr>
        <w:pageBreakBefore w:val="0"/>
        <w:wordWrap/>
        <w:bidi w:val="0"/>
        <w:adjustRightInd/>
        <w:snapToGrid/>
        <w:rPr>
          <w:color w:val="auto"/>
        </w:rPr>
      </w:pPr>
      <w:r>
        <w:rPr>
          <w:rFonts w:hint="eastAsia"/>
          <w:color w:val="auto"/>
          <w:lang w:val="en-US" w:eastAsia="zh-CN"/>
        </w:rPr>
        <w:t>工作制度：</w:t>
      </w:r>
      <w:r>
        <w:rPr>
          <w:color w:val="auto"/>
        </w:rPr>
        <w:t>项目全年运行时间为365天，每天24小时运行。</w:t>
      </w:r>
    </w:p>
    <w:p w14:paraId="00A17C66">
      <w:pPr>
        <w:pStyle w:val="5"/>
        <w:pageBreakBefore w:val="0"/>
        <w:wordWrap/>
        <w:bidi w:val="0"/>
        <w:adjustRightInd/>
        <w:snapToGrid/>
        <w:spacing w:before="62" w:after="62"/>
        <w:ind w:left="0"/>
        <w:rPr>
          <w:color w:val="auto"/>
        </w:rPr>
      </w:pPr>
      <w:r>
        <w:rPr>
          <w:rFonts w:hint="eastAsia" w:eastAsia="宋体"/>
          <w:color w:val="auto"/>
        </w:rPr>
        <w:t xml:space="preserve"> </w:t>
      </w:r>
      <w:r>
        <w:rPr>
          <w:color w:val="auto"/>
        </w:rPr>
        <w:t>建设工期</w:t>
      </w:r>
    </w:p>
    <w:p w14:paraId="4E0D9935">
      <w:pPr>
        <w:pageBreakBefore w:val="0"/>
        <w:wordWrap/>
        <w:bidi w:val="0"/>
        <w:adjustRightInd/>
        <w:snapToGrid/>
        <w:rPr>
          <w:rFonts w:hint="eastAsia"/>
          <w:color w:val="auto"/>
        </w:rPr>
      </w:pPr>
      <w:r>
        <w:rPr>
          <w:rFonts w:hint="eastAsia"/>
          <w:color w:val="auto"/>
        </w:rPr>
        <w:t>前期阶段：2024年6月前，完成前期准备工作。</w:t>
      </w:r>
    </w:p>
    <w:p w14:paraId="09E6E2EA">
      <w:pPr>
        <w:pageBreakBefore w:val="0"/>
        <w:wordWrap/>
        <w:bidi w:val="0"/>
        <w:adjustRightInd/>
        <w:snapToGrid/>
        <w:rPr>
          <w:rFonts w:hint="eastAsia"/>
          <w:color w:val="auto"/>
        </w:rPr>
      </w:pPr>
      <w:r>
        <w:rPr>
          <w:rFonts w:hint="eastAsia"/>
          <w:color w:val="auto"/>
        </w:rPr>
        <w:t>施工阶段：2024年6月-2026年4月，完成施工建设工程。</w:t>
      </w:r>
    </w:p>
    <w:p w14:paraId="3C3B2B4C">
      <w:pPr>
        <w:pageBreakBefore w:val="0"/>
        <w:wordWrap/>
        <w:bidi w:val="0"/>
        <w:adjustRightInd/>
        <w:snapToGrid/>
        <w:rPr>
          <w:rFonts w:hint="eastAsia"/>
          <w:color w:val="auto"/>
        </w:rPr>
      </w:pPr>
      <w:r>
        <w:rPr>
          <w:rFonts w:hint="eastAsia"/>
          <w:color w:val="auto"/>
        </w:rPr>
        <w:t>验收阶段：2026年5月，竣工验收，并投入使用。</w:t>
      </w:r>
    </w:p>
    <w:p w14:paraId="4AAA6AE0">
      <w:pPr>
        <w:pStyle w:val="4"/>
        <w:bidi w:val="0"/>
        <w:rPr>
          <w:color w:val="auto"/>
        </w:rPr>
      </w:pPr>
      <w:r>
        <w:rPr>
          <w:rFonts w:hint="eastAsia"/>
          <w:color w:val="auto"/>
        </w:rPr>
        <w:t xml:space="preserve"> </w:t>
      </w:r>
      <w:bookmarkEnd w:id="71"/>
      <w:bookmarkStart w:id="75" w:name="_Toc19723"/>
      <w:r>
        <w:rPr>
          <w:rFonts w:hint="eastAsia"/>
          <w:color w:val="auto"/>
          <w:lang w:val="en-US" w:eastAsia="zh-CN"/>
        </w:rPr>
        <w:t>相关合理性分析</w:t>
      </w:r>
      <w:bookmarkEnd w:id="75"/>
    </w:p>
    <w:p w14:paraId="1BA67D57">
      <w:pPr>
        <w:pStyle w:val="5"/>
        <w:pageBreakBefore w:val="0"/>
        <w:wordWrap/>
        <w:bidi w:val="0"/>
        <w:adjustRightInd/>
        <w:snapToGrid/>
        <w:rPr>
          <w:rFonts w:hint="eastAsia"/>
          <w:color w:val="auto"/>
          <w:lang w:val="en-US" w:eastAsia="zh-CN"/>
        </w:rPr>
      </w:pPr>
      <w:r>
        <w:rPr>
          <w:rFonts w:hint="eastAsia"/>
          <w:color w:val="auto"/>
          <w:lang w:val="en-US" w:eastAsia="zh-CN"/>
        </w:rPr>
        <w:t xml:space="preserve"> 项目总平面布置的合理性分析</w:t>
      </w:r>
    </w:p>
    <w:p w14:paraId="2F7AFD57">
      <w:pPr>
        <w:pageBreakBefore w:val="0"/>
        <w:wordWrap/>
        <w:bidi w:val="0"/>
        <w:adjustRightInd/>
        <w:snapToGrid/>
        <w:rPr>
          <w:rFonts w:hint="default" w:eastAsia="宋体"/>
          <w:b/>
          <w:bCs/>
          <w:color w:val="auto"/>
          <w:lang w:val="en-US" w:eastAsia="zh-CN"/>
        </w:rPr>
      </w:pPr>
      <w:r>
        <w:rPr>
          <w:rFonts w:hint="eastAsia"/>
          <w:b/>
          <w:bCs/>
          <w:color w:val="auto"/>
          <w:lang w:val="en-US" w:eastAsia="zh-CN"/>
        </w:rPr>
        <w:t>1、污水处理厂总平面布置合理性</w:t>
      </w:r>
    </w:p>
    <w:p w14:paraId="2C1E7C95">
      <w:pPr>
        <w:pageBreakBefore w:val="0"/>
        <w:wordWrap/>
        <w:bidi w:val="0"/>
        <w:adjustRightInd/>
        <w:snapToGrid/>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rFonts w:hint="eastAsia"/>
          <w:b/>
          <w:bCs/>
          <w:color w:val="auto"/>
          <w:lang w:val="en-US" w:eastAsia="zh-CN"/>
        </w:rPr>
        <w:t>总平面布置</w:t>
      </w:r>
    </w:p>
    <w:p w14:paraId="2C475C5D">
      <w:pPr>
        <w:pageBreakBefore w:val="0"/>
        <w:wordWrap/>
        <w:bidi w:val="0"/>
        <w:adjustRightInd/>
        <w:snapToGrid/>
        <w:rPr>
          <w:rFonts w:hint="eastAsia"/>
          <w:color w:val="auto"/>
        </w:rPr>
      </w:pPr>
      <w:r>
        <w:rPr>
          <w:rFonts w:hint="eastAsia"/>
          <w:color w:val="auto"/>
        </w:rPr>
        <w:t>本工程布置的主要有</w:t>
      </w:r>
      <w:r>
        <w:rPr>
          <w:rFonts w:hint="eastAsia"/>
          <w:color w:val="auto"/>
          <w:lang w:eastAsia="zh-CN"/>
        </w:rPr>
        <w:t>污水处理厂</w:t>
      </w:r>
      <w:r>
        <w:rPr>
          <w:rFonts w:hint="eastAsia"/>
          <w:color w:val="auto"/>
        </w:rPr>
        <w:t>调节池-应急事故池、超细格栅、</w:t>
      </w:r>
      <w:r>
        <w:rPr>
          <w:rFonts w:hint="eastAsia"/>
          <w:color w:val="auto"/>
          <w:lang w:val="en-US" w:eastAsia="zh-CN"/>
        </w:rPr>
        <w:t>预留</w:t>
      </w:r>
      <w:r>
        <w:rPr>
          <w:rFonts w:hint="eastAsia"/>
          <w:color w:val="auto"/>
        </w:rPr>
        <w:t>高级氧化预处理</w:t>
      </w:r>
      <w:r>
        <w:rPr>
          <w:rFonts w:hint="eastAsia"/>
          <w:color w:val="auto"/>
          <w:lang w:val="en-US" w:eastAsia="zh-CN"/>
        </w:rPr>
        <w:t>池</w:t>
      </w:r>
      <w:r>
        <w:rPr>
          <w:rFonts w:hint="eastAsia"/>
          <w:color w:val="auto"/>
        </w:rPr>
        <w:t>、水解酸化池及生化池、反硝化深床滤池、污泥脱水车间-磁混凝沉淀池、高级氧化深度处理、紫外线消毒-出水计量渠、污泥池、园区应急事故池、除臭设备、回用水池及泵房、变配电室及鼓风机房、进出水在线监测间、机修间及危废间、综合楼、值班室、门卫室。具体有关尺寸见总平面布置图及土建结构图。</w:t>
      </w:r>
    </w:p>
    <w:p w14:paraId="315ADCF5">
      <w:pPr>
        <w:pageBreakBefore w:val="0"/>
        <w:wordWrap/>
        <w:bidi w:val="0"/>
        <w:adjustRightInd/>
        <w:snapToGrid/>
        <w:rPr>
          <w:rFonts w:hint="eastAsia" w:eastAsia="宋体"/>
          <w:color w:val="auto"/>
          <w:lang w:eastAsia="zh-CN"/>
        </w:rPr>
      </w:pPr>
      <w:r>
        <w:rPr>
          <w:rFonts w:hint="eastAsia"/>
          <w:color w:val="auto"/>
        </w:rPr>
        <w:t>结合工艺要求，进水口设置于西侧围墙，出水设置于西南角，场地主要划分为五个区域，其中进水分配井、粗格栅及提升泵房、细格栅间及曝气沉砂池、水解酸化池、</w:t>
      </w:r>
      <w:r>
        <w:rPr>
          <w:rFonts w:hint="eastAsia"/>
          <w:color w:val="auto"/>
          <w:lang w:val="en-US" w:eastAsia="zh-CN"/>
        </w:rPr>
        <w:t>生化池</w:t>
      </w:r>
      <w:r>
        <w:rPr>
          <w:rFonts w:hint="eastAsia"/>
          <w:color w:val="auto"/>
        </w:rPr>
        <w:t>、二沉池、二沉池配水井及污泥泵房为第一个区域，调节池及提升泵房、</w:t>
      </w:r>
      <w:r>
        <w:rPr>
          <w:rFonts w:hint="eastAsia"/>
          <w:color w:val="auto"/>
          <w:lang w:eastAsia="zh-CN"/>
        </w:rPr>
        <w:t>磁混凝沉淀池</w:t>
      </w:r>
      <w:r>
        <w:rPr>
          <w:rFonts w:hint="eastAsia"/>
          <w:color w:val="auto"/>
        </w:rPr>
        <w:t>、滤布滤池、污泥贮池、污泥脱水间、鼓风机房、加药间、生物除臭间、变配电室等为第二个区域，辅助设备间、出水在线监测间、热力站、接触消毒池、出水计量槽等为第三个区域，综合办公楼、食堂及宿舍为第四个区域，出进水在线监测间、预留绿化区为第五个区域。五个区域由道路分割而成</w:t>
      </w:r>
      <w:r>
        <w:rPr>
          <w:rFonts w:hint="eastAsia"/>
          <w:color w:val="auto"/>
          <w:lang w:eastAsia="zh-CN"/>
        </w:rPr>
        <w:t>，</w:t>
      </w:r>
      <w:r>
        <w:rPr>
          <w:rFonts w:hint="eastAsia"/>
          <w:color w:val="auto"/>
        </w:rPr>
        <w:t>各自区域内建、构筑物呈南北向或东西向平行布置</w:t>
      </w:r>
      <w:r>
        <w:rPr>
          <w:rFonts w:hint="eastAsia"/>
          <w:color w:val="auto"/>
          <w:lang w:eastAsia="zh-CN"/>
        </w:rPr>
        <w:t>并在</w:t>
      </w:r>
      <w:r>
        <w:rPr>
          <w:rFonts w:hint="eastAsia"/>
          <w:color w:val="auto"/>
        </w:rPr>
        <w:t>第四区域内布置停车场以满足临时停车及员工上班停车需要，具体布置详见总平面布置图</w:t>
      </w:r>
      <w:r>
        <w:rPr>
          <w:rFonts w:hint="eastAsia"/>
          <w:color w:val="auto"/>
          <w:lang w:eastAsia="zh-CN"/>
        </w:rPr>
        <w:t>。</w:t>
      </w:r>
    </w:p>
    <w:p w14:paraId="151458E5">
      <w:pPr>
        <w:pageBreakBefore w:val="0"/>
        <w:wordWrap/>
        <w:bidi w:val="0"/>
        <w:adjustRightInd/>
        <w:snapToGrid/>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rFonts w:hint="eastAsia"/>
          <w:b/>
          <w:bCs/>
          <w:color w:val="auto"/>
          <w:lang w:val="en-US" w:eastAsia="zh-CN"/>
        </w:rPr>
        <w:t>竖向设计</w:t>
      </w:r>
    </w:p>
    <w:p w14:paraId="267071E1">
      <w:pPr>
        <w:pageBreakBefore w:val="0"/>
        <w:wordWrap/>
        <w:bidi w:val="0"/>
        <w:adjustRightInd/>
        <w:snapToGrid/>
        <w:rPr>
          <w:rFonts w:hint="eastAsia"/>
          <w:color w:val="auto"/>
        </w:rPr>
      </w:pPr>
      <w:r>
        <w:rPr>
          <w:rFonts w:hint="eastAsia"/>
          <w:color w:val="auto"/>
        </w:rPr>
        <w:t>结合场地现状竖向，整个厂区整体呈一个台地，台地东北角高，西南角低，场地竖向坡度东西向为3%</w:t>
      </w:r>
      <w:r>
        <w:rPr>
          <w:rFonts w:hint="eastAsia"/>
          <w:color w:val="auto"/>
          <w:lang w:eastAsia="zh-CN"/>
        </w:rPr>
        <w:t>～</w:t>
      </w:r>
      <w:r>
        <w:rPr>
          <w:rFonts w:hint="eastAsia"/>
          <w:color w:val="auto"/>
        </w:rPr>
        <w:t>1.37%</w:t>
      </w:r>
      <w:r>
        <w:rPr>
          <w:rFonts w:hint="eastAsia"/>
          <w:color w:val="auto"/>
          <w:lang w:eastAsia="zh-CN"/>
        </w:rPr>
        <w:t>，</w:t>
      </w:r>
      <w:r>
        <w:rPr>
          <w:rFonts w:hint="eastAsia"/>
          <w:color w:val="auto"/>
        </w:rPr>
        <w:t>南北向坡度为3%。场平最大设计标高为1420.20m</w:t>
      </w:r>
      <w:r>
        <w:rPr>
          <w:rFonts w:hint="eastAsia"/>
          <w:color w:val="auto"/>
          <w:lang w:eastAsia="zh-CN"/>
        </w:rPr>
        <w:t>，</w:t>
      </w:r>
      <w:r>
        <w:rPr>
          <w:rFonts w:hint="eastAsia"/>
          <w:color w:val="auto"/>
        </w:rPr>
        <w:t>最小设计标高为1418.20m。建筑物室内地坪与室外场坪之间高差0.15m</w:t>
      </w:r>
      <w:r>
        <w:rPr>
          <w:rFonts w:hint="eastAsia"/>
          <w:color w:val="auto"/>
          <w:lang w:eastAsia="zh-CN"/>
        </w:rPr>
        <w:t>～</w:t>
      </w:r>
      <w:r>
        <w:rPr>
          <w:rFonts w:hint="eastAsia"/>
          <w:color w:val="auto"/>
        </w:rPr>
        <w:t>0.45m。</w:t>
      </w:r>
    </w:p>
    <w:p w14:paraId="79653356">
      <w:pPr>
        <w:pageBreakBefore w:val="0"/>
        <w:wordWrap/>
        <w:bidi w:val="0"/>
        <w:adjustRightInd/>
        <w:snapToGrid/>
        <w:ind w:firstLine="480"/>
        <w:rPr>
          <w:rFonts w:hint="eastAsia"/>
          <w:b/>
          <w:bCs/>
          <w:color w:val="auto"/>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rFonts w:hint="eastAsia"/>
          <w:b/>
          <w:bCs/>
          <w:color w:val="auto"/>
        </w:rPr>
        <w:t>排污口设置合理性分析</w:t>
      </w:r>
    </w:p>
    <w:p w14:paraId="3F141F9D">
      <w:pPr>
        <w:pageBreakBefore w:val="0"/>
        <w:wordWrap/>
        <w:bidi w:val="0"/>
        <w:adjustRightInd/>
        <w:snapToGrid/>
        <w:ind w:firstLine="480"/>
        <w:rPr>
          <w:color w:val="auto"/>
        </w:rPr>
      </w:pPr>
      <w:r>
        <w:rPr>
          <w:rFonts w:hint="default" w:ascii="Times New Roman" w:hAnsi="Times New Roman" w:cs="Times New Roman"/>
          <w:color w:val="auto"/>
        </w:rPr>
        <w:t>本项目建有尾水排放管道，根据《巴中市</w:t>
      </w:r>
      <w:r>
        <w:rPr>
          <w:rFonts w:hint="default" w:ascii="Times New Roman" w:hAnsi="Times New Roman" w:cs="Times New Roman"/>
          <w:color w:val="auto"/>
          <w:lang w:val="en-US" w:eastAsia="zh-CN"/>
        </w:rPr>
        <w:t>巴州区曾口片区污水处理厂</w:t>
      </w:r>
      <w:r>
        <w:rPr>
          <w:rFonts w:hint="default" w:ascii="Times New Roman" w:hAnsi="Times New Roman" w:cs="Times New Roman"/>
          <w:color w:val="auto"/>
        </w:rPr>
        <w:t>入河排污口设置论证报告书》内容，</w:t>
      </w:r>
      <w:r>
        <w:rPr>
          <w:rFonts w:hint="eastAsia" w:ascii="Times New Roman" w:hAnsi="Times New Roman" w:cs="Times New Roman"/>
          <w:color w:val="auto"/>
          <w:lang w:val="en-US" w:eastAsia="zh-CN"/>
        </w:rPr>
        <w:t>本项目曾口镇生活污水处理厂已建排污口排放，该</w:t>
      </w:r>
      <w:r>
        <w:rPr>
          <w:rFonts w:hint="default" w:ascii="Times New Roman" w:hAnsi="Times New Roman" w:cs="Times New Roman"/>
          <w:color w:val="auto"/>
        </w:rPr>
        <w:t>排污口位于</w:t>
      </w:r>
      <w:r>
        <w:rPr>
          <w:rFonts w:hint="default" w:ascii="Times New Roman" w:hAnsi="Times New Roman" w:cs="Times New Roman"/>
          <w:color w:val="auto"/>
          <w:lang w:val="en-US" w:eastAsia="zh-CN"/>
        </w:rPr>
        <w:t>巴河</w:t>
      </w:r>
      <w:r>
        <w:rPr>
          <w:rFonts w:hint="default" w:ascii="Times New Roman" w:hAnsi="Times New Roman" w:cs="Times New Roman"/>
          <w:color w:val="auto"/>
        </w:rPr>
        <w:t>左岸，排污口坐标：106°33′39″E，31°42′4″N。本项目排污口所在河段水功能区为：四川省省级江河湖泊一级水功能区划</w:t>
      </w:r>
      <w:r>
        <w:rPr>
          <w:rFonts w:hint="eastAsia" w:ascii="Times New Roman" w:hAnsi="Times New Roman" w:cs="Times New Roman"/>
          <w:color w:val="auto"/>
          <w:lang w:eastAsia="zh-CN"/>
        </w:rPr>
        <w:t>“</w:t>
      </w:r>
      <w:r>
        <w:rPr>
          <w:rFonts w:hint="default" w:ascii="Times New Roman" w:hAnsi="Times New Roman" w:cs="Times New Roman"/>
          <w:color w:val="auto"/>
        </w:rPr>
        <w:t>渠江巴中-平昌保留区</w:t>
      </w:r>
      <w:r>
        <w:rPr>
          <w:rFonts w:hint="eastAsia" w:ascii="Times New Roman" w:hAnsi="Times New Roman" w:cs="Times New Roman"/>
          <w:color w:val="auto"/>
          <w:lang w:eastAsia="zh-CN"/>
        </w:rPr>
        <w:t>”</w:t>
      </w:r>
      <w:r>
        <w:rPr>
          <w:rFonts w:hint="default" w:ascii="Times New Roman" w:hAnsi="Times New Roman" w:cs="Times New Roman"/>
          <w:color w:val="auto"/>
        </w:rPr>
        <w:t>，地表水水质保护目标为地表水环境质量Ⅲ类水质，项目下游评价范围内不涉及饮用水水源保护区、重点保护与珍惜水生生物的栖息地、重要水生生物的自然产卵场及索饵场、越冬场和洄游通道，无天然鱼场等，无水产种质资源保护区。</w:t>
      </w:r>
    </w:p>
    <w:p w14:paraId="68C7198A">
      <w:pPr>
        <w:bidi w:val="0"/>
        <w:rPr>
          <w:color w:val="auto"/>
        </w:rPr>
      </w:pPr>
      <w:r>
        <w:rPr>
          <w:rFonts w:hint="eastAsia"/>
          <w:color w:val="auto"/>
        </w:rPr>
        <w:t>综上所述，本项目污水处理厂在横向设计上布局合理紧凑，分区明确，在竖向设计上也结合自然地形高程分布，尽量使废水在各构筑物间实现重力流，总图已从环境角度优化，对外环境影响不明显。项目总图布置从环保角度可行。</w:t>
      </w:r>
    </w:p>
    <w:p w14:paraId="2233F77C">
      <w:pPr>
        <w:pStyle w:val="5"/>
        <w:pageBreakBefore w:val="0"/>
        <w:wordWrap/>
        <w:bidi w:val="0"/>
        <w:adjustRightInd/>
        <w:snapToGrid/>
        <w:spacing w:before="62" w:after="62"/>
        <w:ind w:left="0"/>
        <w:rPr>
          <w:rFonts w:eastAsia="宋体"/>
          <w:color w:val="auto"/>
        </w:rPr>
      </w:pPr>
      <w:r>
        <w:rPr>
          <w:rFonts w:hint="eastAsia" w:eastAsia="宋体"/>
          <w:color w:val="auto"/>
        </w:rPr>
        <w:t xml:space="preserve"> </w:t>
      </w:r>
      <w:r>
        <w:rPr>
          <w:rFonts w:hint="eastAsia" w:eastAsia="宋体"/>
          <w:color w:val="auto"/>
          <w:lang w:val="en-US" w:eastAsia="zh-CN"/>
        </w:rPr>
        <w:t>污水处理厂设计规模的合理性分析</w:t>
      </w:r>
    </w:p>
    <w:p w14:paraId="6543E2D9">
      <w:pPr>
        <w:pageBreakBefore w:val="0"/>
        <w:wordWrap/>
        <w:bidi w:val="0"/>
        <w:adjustRightInd/>
        <w:snapToGrid/>
        <w:ind w:firstLine="480"/>
        <w:rPr>
          <w:color w:val="auto"/>
        </w:rPr>
      </w:pPr>
      <w:r>
        <w:rPr>
          <w:color w:val="auto"/>
        </w:rPr>
        <w:t>据</w:t>
      </w:r>
      <w:r>
        <w:rPr>
          <w:rFonts w:hint="eastAsia"/>
          <w:color w:val="auto"/>
          <w:lang w:eastAsia="zh-CN"/>
        </w:rPr>
        <w:t>《</w:t>
      </w:r>
      <w:r>
        <w:rPr>
          <w:rFonts w:hint="eastAsia"/>
          <w:color w:val="auto"/>
          <w:lang w:val="en-US" w:eastAsia="zh-CN"/>
        </w:rPr>
        <w:t>四川巴中经济开发区规划修编环境影响报告书</w:t>
      </w:r>
      <w:r>
        <w:rPr>
          <w:rFonts w:hint="eastAsia"/>
          <w:color w:val="auto"/>
          <w:lang w:eastAsia="zh-CN"/>
        </w:rPr>
        <w:t>》</w:t>
      </w:r>
      <w:r>
        <w:rPr>
          <w:rFonts w:hint="eastAsia"/>
          <w:color w:val="auto"/>
          <w:lang w:val="en-US" w:eastAsia="zh-CN"/>
        </w:rPr>
        <w:t>和</w:t>
      </w:r>
      <w:r>
        <w:rPr>
          <w:color w:val="auto"/>
        </w:rPr>
        <w:t>项目</w:t>
      </w:r>
      <w:r>
        <w:rPr>
          <w:rFonts w:hint="eastAsia"/>
          <w:color w:val="auto"/>
          <w:lang w:val="en-US" w:eastAsia="zh-CN"/>
        </w:rPr>
        <w:t>初设</w:t>
      </w:r>
      <w:r>
        <w:rPr>
          <w:color w:val="auto"/>
        </w:rPr>
        <w:t>可知，本工程服务范围为</w:t>
      </w:r>
      <w:r>
        <w:rPr>
          <w:rFonts w:hint="eastAsia"/>
          <w:color w:val="auto"/>
          <w:lang w:val="en-US" w:eastAsia="zh-CN"/>
        </w:rPr>
        <w:t>四川巴中经济开发区-曾口区块</w:t>
      </w:r>
      <w:r>
        <w:rPr>
          <w:color w:val="auto"/>
        </w:rPr>
        <w:t>，</w:t>
      </w:r>
      <w:r>
        <w:rPr>
          <w:rFonts w:hint="eastAsia"/>
          <w:color w:val="auto"/>
          <w:lang w:val="en-US" w:eastAsia="zh-CN"/>
        </w:rPr>
        <w:t>规划区块未规划居住人口，</w:t>
      </w:r>
      <w:r>
        <w:rPr>
          <w:rFonts w:hint="eastAsia"/>
          <w:color w:val="auto"/>
        </w:rPr>
        <w:t>本工程主要解决巴中经开化工园区</w:t>
      </w:r>
      <w:r>
        <w:rPr>
          <w:rFonts w:hint="eastAsia"/>
          <w:color w:val="auto"/>
          <w:lang w:val="en-US" w:eastAsia="zh-CN"/>
        </w:rPr>
        <w:t>-</w:t>
      </w:r>
      <w:r>
        <w:rPr>
          <w:rFonts w:hint="eastAsia"/>
          <w:color w:val="auto"/>
        </w:rPr>
        <w:t>曾口片区的工业污水处理</w:t>
      </w:r>
      <w:r>
        <w:rPr>
          <w:rFonts w:hint="eastAsia"/>
          <w:color w:val="auto"/>
          <w:lang w:eastAsia="zh-CN"/>
        </w:rPr>
        <w:t>，</w:t>
      </w:r>
      <w:r>
        <w:rPr>
          <w:rFonts w:hint="eastAsia"/>
          <w:color w:val="auto"/>
        </w:rPr>
        <w:t>工程设计应按远期规划</w:t>
      </w:r>
      <w:r>
        <w:rPr>
          <w:rFonts w:hint="eastAsia"/>
          <w:color w:val="auto"/>
          <w:lang w:eastAsia="zh-CN"/>
        </w:rPr>
        <w:t>、</w:t>
      </w:r>
      <w:r>
        <w:rPr>
          <w:rFonts w:hint="eastAsia"/>
          <w:color w:val="auto"/>
        </w:rPr>
        <w:t>近远期结合</w:t>
      </w:r>
      <w:r>
        <w:rPr>
          <w:rFonts w:hint="eastAsia"/>
          <w:color w:val="auto"/>
          <w:lang w:eastAsia="zh-CN"/>
        </w:rPr>
        <w:t>、</w:t>
      </w:r>
      <w:r>
        <w:rPr>
          <w:rFonts w:hint="eastAsia"/>
          <w:color w:val="auto"/>
        </w:rPr>
        <w:t>以近期为主的原则</w:t>
      </w:r>
      <w:r>
        <w:rPr>
          <w:color w:val="auto"/>
        </w:rPr>
        <w:t>。</w:t>
      </w:r>
    </w:p>
    <w:p w14:paraId="2BD9F633">
      <w:pPr>
        <w:pageBreakBefore w:val="0"/>
        <w:wordWrap/>
        <w:bidi w:val="0"/>
        <w:adjustRightInd/>
        <w:snapToGrid/>
        <w:ind w:firstLine="480"/>
        <w:rPr>
          <w:rFonts w:hint="eastAsia"/>
          <w:color w:val="auto"/>
          <w:lang w:eastAsia="zh-CN"/>
        </w:rPr>
      </w:pPr>
      <w:r>
        <w:rPr>
          <w:rFonts w:hint="eastAsia"/>
          <w:color w:val="auto"/>
        </w:rPr>
        <w:t>巴中经开化工园区总体规划的规划期限为2022年</w:t>
      </w:r>
      <w:r>
        <w:rPr>
          <w:rFonts w:hint="eastAsia"/>
          <w:color w:val="auto"/>
          <w:lang w:val="en-US" w:eastAsia="zh-CN"/>
        </w:rPr>
        <w:t>-</w:t>
      </w:r>
      <w:r>
        <w:rPr>
          <w:rFonts w:hint="eastAsia"/>
          <w:color w:val="auto"/>
        </w:rPr>
        <w:t>2035年</w:t>
      </w:r>
      <w:r>
        <w:rPr>
          <w:rFonts w:hint="eastAsia"/>
          <w:color w:val="auto"/>
          <w:lang w:eastAsia="zh-CN"/>
        </w:rPr>
        <w:t>，</w:t>
      </w:r>
      <w:r>
        <w:rPr>
          <w:rFonts w:hint="eastAsia"/>
          <w:color w:val="auto"/>
        </w:rPr>
        <w:t>其中近期2022-2025年</w:t>
      </w:r>
      <w:r>
        <w:rPr>
          <w:rFonts w:hint="eastAsia"/>
          <w:color w:val="auto"/>
          <w:lang w:eastAsia="zh-CN"/>
        </w:rPr>
        <w:t>，</w:t>
      </w:r>
      <w:r>
        <w:rPr>
          <w:rFonts w:hint="eastAsia"/>
          <w:color w:val="auto"/>
        </w:rPr>
        <w:t>远期2026-2035年</w:t>
      </w:r>
      <w:r>
        <w:rPr>
          <w:rFonts w:hint="eastAsia"/>
          <w:color w:val="auto"/>
          <w:lang w:eastAsia="zh-CN"/>
        </w:rPr>
        <w:t>。产业园区分期统一规划建设公用污水处理厂，做到一次规划、逐步开发、分期建设、滚动发展，本污水处理厂一次规划，分三期逐步建设。</w:t>
      </w:r>
    </w:p>
    <w:p w14:paraId="43CC8B96">
      <w:pPr>
        <w:pStyle w:val="51"/>
        <w:pageBreakBefore w:val="0"/>
        <w:wordWrap/>
        <w:bidi w:val="0"/>
        <w:adjustRightInd/>
        <w:snapToGrid/>
        <w:ind w:firstLine="0" w:firstLineChars="0"/>
        <w:rPr>
          <w:b/>
          <w:bCs/>
          <w:color w:val="auto"/>
          <w:sz w:val="24"/>
        </w:rPr>
      </w:pPr>
      <w:r>
        <w:rPr>
          <w:b/>
          <w:bCs/>
          <w:color w:val="auto"/>
          <w:sz w:val="24"/>
        </w:rPr>
        <w:t>2.</w:t>
      </w:r>
      <w:r>
        <w:rPr>
          <w:rFonts w:hint="eastAsia"/>
          <w:b/>
          <w:bCs/>
          <w:color w:val="auto"/>
          <w:sz w:val="24"/>
          <w:lang w:val="en-US" w:eastAsia="zh-CN"/>
        </w:rPr>
        <w:t>2</w:t>
      </w:r>
      <w:r>
        <w:rPr>
          <w:b/>
          <w:bCs/>
          <w:color w:val="auto"/>
          <w:sz w:val="24"/>
        </w:rPr>
        <w:t>.2.</w:t>
      </w:r>
      <w:r>
        <w:rPr>
          <w:rFonts w:hint="eastAsia"/>
          <w:b/>
          <w:bCs/>
          <w:color w:val="auto"/>
          <w:sz w:val="24"/>
          <w:lang w:eastAsia="zh-CN"/>
        </w:rPr>
        <w:t>1</w:t>
      </w:r>
      <w:r>
        <w:rPr>
          <w:rFonts w:hint="eastAsia"/>
          <w:b/>
          <w:bCs/>
          <w:color w:val="auto"/>
          <w:sz w:val="24"/>
        </w:rPr>
        <w:t>排水分区</w:t>
      </w:r>
      <w:r>
        <w:rPr>
          <w:b/>
          <w:bCs/>
          <w:color w:val="auto"/>
          <w:sz w:val="24"/>
        </w:rPr>
        <w:t>内污水量预测</w:t>
      </w:r>
    </w:p>
    <w:p w14:paraId="52D247E9">
      <w:pPr>
        <w:pageBreakBefore w:val="0"/>
        <w:wordWrap/>
        <w:bidi w:val="0"/>
        <w:adjustRightInd/>
        <w:snapToGrid/>
        <w:rPr>
          <w:rFonts w:hint="default"/>
          <w:color w:val="auto"/>
          <w:lang w:val="en-US" w:eastAsia="zh-CN"/>
        </w:rPr>
      </w:pPr>
      <w:r>
        <w:rPr>
          <w:rFonts w:hint="eastAsia"/>
          <w:color w:val="auto"/>
          <w:lang w:val="en-US" w:eastAsia="zh-CN"/>
        </w:rPr>
        <w:t>根据《四川巴中经济开发区规划修编环境影响报告书》和《巴中市巴州区曾口片区污水处理厂、环境监测站建设项目可行性研究报告》，曾口区块未规划居住人口，本污水处理厂主要考虑工业废水。</w:t>
      </w:r>
    </w:p>
    <w:p w14:paraId="220E2FC3">
      <w:pPr>
        <w:pageBreakBefore w:val="0"/>
        <w:wordWrap/>
        <w:bidi w:val="0"/>
        <w:adjustRightInd/>
        <w:snapToGrid/>
        <w:rPr>
          <w:rFonts w:hint="default" w:eastAsia="宋体"/>
          <w:color w:val="auto"/>
          <w:lang w:val="en-US" w:eastAsia="zh-CN"/>
        </w:rPr>
      </w:pPr>
      <w:r>
        <w:rPr>
          <w:rFonts w:hint="eastAsia"/>
          <w:color w:val="auto"/>
          <w:lang w:val="en-US" w:eastAsia="zh-CN"/>
        </w:rPr>
        <w:t>根据《巴中市巴州区曾口片区污水处理厂、环境监测站建设项目初步设计说明书》，废水产生量预测如下。</w:t>
      </w:r>
    </w:p>
    <w:p w14:paraId="25727716">
      <w:pPr>
        <w:pageBreakBefore w:val="0"/>
        <w:wordWrap/>
        <w:bidi w:val="0"/>
        <w:adjustRightInd/>
        <w:snapToGrid/>
        <w:rPr>
          <w:rFonts w:hint="eastAsia" w:eastAsia="宋体"/>
          <w:b/>
          <w:bCs/>
          <w:color w:val="auto"/>
          <w:lang w:val="en-US" w:eastAsia="zh-CN"/>
        </w:rPr>
      </w:pPr>
      <w:r>
        <w:rPr>
          <w:rFonts w:hint="eastAsia"/>
          <w:b/>
          <w:bCs/>
          <w:color w:val="auto"/>
          <w:lang w:val="en-US" w:eastAsia="zh-CN"/>
        </w:rPr>
        <w:t>1、工业废水量预测</w:t>
      </w:r>
    </w:p>
    <w:p w14:paraId="15BEC1B0">
      <w:pPr>
        <w:pageBreakBefore w:val="0"/>
        <w:wordWrap/>
        <w:bidi w:val="0"/>
        <w:adjustRightInd/>
        <w:snapToGrid/>
        <w:rPr>
          <w:rFonts w:hint="default" w:eastAsia="宋体"/>
          <w:color w:val="auto"/>
          <w:lang w:val="en-US" w:eastAsia="zh-CN"/>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lang w:val="en-US" w:eastAsia="zh-CN"/>
        </w:rPr>
        <w:t>给水量预测</w:t>
      </w:r>
    </w:p>
    <w:p w14:paraId="2BB33660">
      <w:pPr>
        <w:pageBreakBefore w:val="0"/>
        <w:wordWrap/>
        <w:bidi w:val="0"/>
        <w:adjustRightInd/>
        <w:snapToGrid/>
        <w:rPr>
          <w:rFonts w:hint="eastAsia"/>
          <w:color w:val="auto"/>
          <w:lang w:eastAsia="zh-CN"/>
        </w:rPr>
      </w:pPr>
      <w:r>
        <w:rPr>
          <w:rFonts w:hint="eastAsia"/>
          <w:color w:val="auto"/>
        </w:rPr>
        <w:t>参考</w:t>
      </w:r>
      <w:r>
        <w:rPr>
          <w:rFonts w:hint="eastAsia"/>
          <w:color w:val="auto"/>
          <w:lang w:eastAsia="zh-CN"/>
        </w:rPr>
        <w:t>《</w:t>
      </w:r>
      <w:r>
        <w:rPr>
          <w:rFonts w:hint="eastAsia"/>
          <w:color w:val="auto"/>
        </w:rPr>
        <w:t>城市给水工程规划规范</w:t>
      </w:r>
      <w:r>
        <w:rPr>
          <w:rFonts w:hint="eastAsia"/>
          <w:color w:val="auto"/>
          <w:lang w:eastAsia="zh-CN"/>
        </w:rPr>
        <w:t>》（</w:t>
      </w:r>
      <w:r>
        <w:rPr>
          <w:rFonts w:hint="eastAsia"/>
          <w:color w:val="auto"/>
        </w:rPr>
        <w:t>GB50282-2016</w:t>
      </w:r>
      <w:r>
        <w:rPr>
          <w:rFonts w:hint="eastAsia"/>
          <w:color w:val="auto"/>
          <w:lang w:eastAsia="zh-CN"/>
        </w:rPr>
        <w:t>），</w:t>
      </w:r>
      <w:r>
        <w:rPr>
          <w:rFonts w:hint="eastAsia"/>
          <w:color w:val="auto"/>
        </w:rPr>
        <w:t>单项建设用地用水指标最高值计算规划区用水量</w:t>
      </w:r>
      <w:r>
        <w:rPr>
          <w:rFonts w:hint="eastAsia"/>
          <w:color w:val="auto"/>
          <w:lang w:eastAsia="zh-CN"/>
        </w:rPr>
        <w:t>，</w:t>
      </w:r>
      <w:r>
        <w:rPr>
          <w:rFonts w:hint="eastAsia"/>
          <w:color w:val="auto"/>
        </w:rPr>
        <w:t>见下表</w:t>
      </w:r>
      <w:r>
        <w:rPr>
          <w:rFonts w:hint="eastAsia"/>
          <w:color w:val="auto"/>
          <w:lang w:eastAsia="zh-CN"/>
        </w:rPr>
        <w:t>。</w:t>
      </w:r>
    </w:p>
    <w:p w14:paraId="2E8FEA3D">
      <w:pPr>
        <w:pStyle w:val="19"/>
        <w:numPr>
          <w:ilvl w:val="0"/>
          <w:numId w:val="16"/>
        </w:numPr>
        <w:bidi w:val="0"/>
        <w:ind w:left="0" w:leftChars="0" w:firstLine="0" w:firstLineChars="0"/>
        <w:rPr>
          <w:rFonts w:hint="default"/>
          <w:color w:val="auto"/>
          <w:lang w:val="en-US" w:eastAsia="zh-CN"/>
        </w:rPr>
      </w:pPr>
      <w:r>
        <w:rPr>
          <w:rFonts w:hint="eastAsia"/>
          <w:color w:val="auto"/>
          <w:lang w:val="en-US" w:eastAsia="zh-CN"/>
        </w:rPr>
        <w:t>规划区用水及排水量预测情况</w:t>
      </w:r>
    </w:p>
    <w:tbl>
      <w:tblPr>
        <w:tblStyle w:val="5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273"/>
        <w:gridCol w:w="2239"/>
        <w:gridCol w:w="1273"/>
        <w:gridCol w:w="1623"/>
        <w:gridCol w:w="975"/>
        <w:gridCol w:w="976"/>
      </w:tblGrid>
      <w:tr w14:paraId="7B371B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1" w:type="pct"/>
            <w:tcBorders>
              <w:tl2br w:val="nil"/>
              <w:tr2bl w:val="nil"/>
            </w:tcBorders>
            <w:noWrap w:val="0"/>
            <w:vAlign w:val="center"/>
          </w:tcPr>
          <w:p w14:paraId="55051959">
            <w:pPr>
              <w:pStyle w:val="16"/>
              <w:pageBreakBefore w:val="0"/>
              <w:wordWrap/>
              <w:bidi w:val="0"/>
              <w:adjustRightInd/>
              <w:snapToGrid/>
              <w:rPr>
                <w:rFonts w:hint="eastAsia"/>
                <w:b/>
                <w:bCs/>
                <w:color w:val="auto"/>
                <w:sz w:val="21"/>
                <w:szCs w:val="21"/>
                <w:lang w:val="en-US" w:eastAsia="zh-CN"/>
              </w:rPr>
            </w:pPr>
            <w:r>
              <w:rPr>
                <w:rFonts w:hint="eastAsia"/>
                <w:b/>
                <w:bCs/>
                <w:color w:val="auto"/>
                <w:sz w:val="21"/>
                <w:szCs w:val="21"/>
                <w:lang w:val="en-US" w:eastAsia="zh-CN"/>
              </w:rPr>
              <w:t>规划片区</w:t>
            </w:r>
          </w:p>
        </w:tc>
        <w:tc>
          <w:tcPr>
            <w:tcW w:w="1338" w:type="pct"/>
            <w:tcBorders>
              <w:tl2br w:val="nil"/>
              <w:tr2bl w:val="nil"/>
            </w:tcBorders>
            <w:noWrap w:val="0"/>
            <w:vAlign w:val="center"/>
          </w:tcPr>
          <w:p w14:paraId="6ABE0891">
            <w:pPr>
              <w:pStyle w:val="16"/>
              <w:pageBreakBefore w:val="0"/>
              <w:wordWrap/>
              <w:bidi w:val="0"/>
              <w:adjustRightInd/>
              <w:snapToGrid/>
              <w:rPr>
                <w:b/>
                <w:bCs/>
                <w:color w:val="auto"/>
                <w:sz w:val="21"/>
                <w:szCs w:val="21"/>
              </w:rPr>
            </w:pPr>
            <w:r>
              <w:rPr>
                <w:rFonts w:hint="eastAsia"/>
                <w:b/>
                <w:bCs/>
                <w:color w:val="auto"/>
                <w:sz w:val="21"/>
                <w:szCs w:val="21"/>
              </w:rPr>
              <w:t>用地类型</w:t>
            </w:r>
          </w:p>
        </w:tc>
        <w:tc>
          <w:tcPr>
            <w:tcW w:w="761" w:type="pct"/>
            <w:tcBorders>
              <w:tl2br w:val="nil"/>
              <w:tr2bl w:val="nil"/>
            </w:tcBorders>
            <w:noWrap w:val="0"/>
            <w:vAlign w:val="center"/>
          </w:tcPr>
          <w:p w14:paraId="66C2515F">
            <w:pPr>
              <w:pStyle w:val="16"/>
              <w:pageBreakBefore w:val="0"/>
              <w:wordWrap/>
              <w:bidi w:val="0"/>
              <w:adjustRightInd/>
              <w:snapToGrid/>
              <w:rPr>
                <w:rFonts w:hint="eastAsia" w:eastAsia="宋体"/>
                <w:b/>
                <w:bCs/>
                <w:color w:val="auto"/>
                <w:sz w:val="21"/>
                <w:szCs w:val="21"/>
                <w:lang w:eastAsia="zh-CN"/>
              </w:rPr>
            </w:pPr>
            <w:r>
              <w:rPr>
                <w:rFonts w:hint="eastAsia"/>
                <w:b/>
                <w:bCs/>
                <w:color w:val="auto"/>
                <w:sz w:val="21"/>
                <w:szCs w:val="21"/>
              </w:rPr>
              <w:t>用地面积</w:t>
            </w:r>
            <w:r>
              <w:rPr>
                <w:rFonts w:hint="eastAsia"/>
                <w:b/>
                <w:bCs/>
                <w:color w:val="auto"/>
                <w:sz w:val="21"/>
                <w:szCs w:val="21"/>
                <w:lang w:eastAsia="zh-CN"/>
              </w:rPr>
              <w:t>（</w:t>
            </w:r>
            <w:r>
              <w:rPr>
                <w:rFonts w:hint="eastAsia"/>
                <w:b/>
                <w:bCs/>
                <w:color w:val="auto"/>
                <w:sz w:val="21"/>
                <w:szCs w:val="21"/>
              </w:rPr>
              <w:t>hm</w:t>
            </w:r>
            <w:r>
              <w:rPr>
                <w:rFonts w:hint="eastAsia"/>
                <w:b/>
                <w:bCs/>
                <w:color w:val="auto"/>
                <w:sz w:val="21"/>
                <w:szCs w:val="21"/>
                <w:lang w:val="en-US" w:eastAsia="zh-CN"/>
              </w:rPr>
              <w:t>²</w:t>
            </w:r>
            <w:r>
              <w:rPr>
                <w:rFonts w:hint="eastAsia"/>
                <w:b/>
                <w:bCs/>
                <w:color w:val="auto"/>
                <w:sz w:val="21"/>
                <w:szCs w:val="21"/>
                <w:lang w:eastAsia="zh-CN"/>
              </w:rPr>
              <w:t>）</w:t>
            </w:r>
          </w:p>
        </w:tc>
        <w:tc>
          <w:tcPr>
            <w:tcW w:w="970" w:type="pct"/>
            <w:tcBorders>
              <w:tl2br w:val="nil"/>
              <w:tr2bl w:val="nil"/>
            </w:tcBorders>
            <w:noWrap w:val="0"/>
            <w:vAlign w:val="center"/>
          </w:tcPr>
          <w:p w14:paraId="0AE5CE12">
            <w:pPr>
              <w:pStyle w:val="16"/>
              <w:pageBreakBefore w:val="0"/>
              <w:wordWrap/>
              <w:bidi w:val="0"/>
              <w:adjustRightInd/>
              <w:snapToGrid/>
              <w:rPr>
                <w:rFonts w:hint="eastAsia"/>
                <w:b/>
                <w:bCs/>
                <w:color w:val="auto"/>
                <w:sz w:val="21"/>
                <w:szCs w:val="21"/>
              </w:rPr>
            </w:pPr>
            <w:r>
              <w:rPr>
                <w:rFonts w:hint="eastAsia"/>
                <w:b/>
                <w:bCs/>
                <w:color w:val="auto"/>
                <w:sz w:val="21"/>
                <w:szCs w:val="21"/>
              </w:rPr>
              <w:t>用水量指标</w:t>
            </w:r>
          </w:p>
          <w:p w14:paraId="5D9D7494">
            <w:pPr>
              <w:pStyle w:val="16"/>
              <w:pageBreakBefore w:val="0"/>
              <w:wordWrap/>
              <w:bidi w:val="0"/>
              <w:adjustRightInd/>
              <w:snapToGrid/>
              <w:rPr>
                <w:rFonts w:hint="eastAsia"/>
                <w:b/>
                <w:bCs/>
                <w:color w:val="auto"/>
                <w:sz w:val="21"/>
                <w:szCs w:val="21"/>
                <w:lang w:eastAsia="zh-CN"/>
              </w:rPr>
            </w:pPr>
            <w:r>
              <w:rPr>
                <w:rFonts w:hint="eastAsia"/>
                <w:b/>
                <w:bCs/>
                <w:color w:val="auto"/>
                <w:sz w:val="21"/>
                <w:szCs w:val="21"/>
                <w:lang w:eastAsia="zh-CN"/>
              </w:rPr>
              <w:t>（m³</w:t>
            </w:r>
            <w:r>
              <w:rPr>
                <w:rFonts w:hint="eastAsia"/>
                <w:b/>
                <w:bCs/>
                <w:color w:val="auto"/>
                <w:sz w:val="21"/>
                <w:szCs w:val="21"/>
              </w:rPr>
              <w:t>/hm.d</w:t>
            </w:r>
            <w:r>
              <w:rPr>
                <w:rFonts w:hint="eastAsia"/>
                <w:b/>
                <w:bCs/>
                <w:color w:val="auto"/>
                <w:sz w:val="21"/>
                <w:szCs w:val="21"/>
                <w:lang w:eastAsia="zh-CN"/>
              </w:rPr>
              <w:t>）</w:t>
            </w:r>
          </w:p>
        </w:tc>
        <w:tc>
          <w:tcPr>
            <w:tcW w:w="583" w:type="pct"/>
            <w:tcBorders>
              <w:tl2br w:val="nil"/>
              <w:tr2bl w:val="nil"/>
            </w:tcBorders>
            <w:noWrap w:val="0"/>
            <w:vAlign w:val="center"/>
          </w:tcPr>
          <w:p w14:paraId="1265DEFA">
            <w:pPr>
              <w:pStyle w:val="16"/>
              <w:pageBreakBefore w:val="0"/>
              <w:wordWrap/>
              <w:bidi w:val="0"/>
              <w:adjustRightInd/>
              <w:snapToGrid/>
              <w:rPr>
                <w:rFonts w:hint="eastAsia"/>
                <w:b/>
                <w:bCs/>
                <w:color w:val="auto"/>
                <w:sz w:val="21"/>
                <w:szCs w:val="21"/>
              </w:rPr>
            </w:pPr>
            <w:r>
              <w:rPr>
                <w:rFonts w:hint="eastAsia"/>
                <w:b/>
                <w:bCs/>
                <w:color w:val="auto"/>
                <w:sz w:val="21"/>
                <w:szCs w:val="21"/>
              </w:rPr>
              <w:t>用水量</w:t>
            </w:r>
          </w:p>
          <w:p w14:paraId="2B7412B5">
            <w:pPr>
              <w:pStyle w:val="16"/>
              <w:pageBreakBefore w:val="0"/>
              <w:wordWrap/>
              <w:bidi w:val="0"/>
              <w:adjustRightInd/>
              <w:snapToGrid/>
              <w:rPr>
                <w:rFonts w:hint="eastAsia" w:eastAsia="宋体"/>
                <w:b/>
                <w:bCs/>
                <w:color w:val="auto"/>
                <w:sz w:val="21"/>
                <w:szCs w:val="21"/>
                <w:lang w:eastAsia="zh-CN"/>
              </w:rPr>
            </w:pPr>
            <w:r>
              <w:rPr>
                <w:rFonts w:hint="eastAsia"/>
                <w:b/>
                <w:bCs/>
                <w:color w:val="auto"/>
                <w:sz w:val="21"/>
                <w:szCs w:val="21"/>
                <w:lang w:eastAsia="zh-CN"/>
              </w:rPr>
              <w:t>（m³</w:t>
            </w:r>
            <w:r>
              <w:rPr>
                <w:rFonts w:hint="eastAsia"/>
                <w:b/>
                <w:bCs/>
                <w:color w:val="auto"/>
                <w:sz w:val="21"/>
                <w:szCs w:val="21"/>
              </w:rPr>
              <w:t>/d</w:t>
            </w:r>
            <w:r>
              <w:rPr>
                <w:rFonts w:hint="eastAsia"/>
                <w:b/>
                <w:bCs/>
                <w:color w:val="auto"/>
                <w:sz w:val="21"/>
                <w:szCs w:val="21"/>
                <w:lang w:eastAsia="zh-CN"/>
              </w:rPr>
              <w:t>）</w:t>
            </w:r>
          </w:p>
        </w:tc>
        <w:tc>
          <w:tcPr>
            <w:tcW w:w="583" w:type="pct"/>
            <w:tcBorders>
              <w:tl2br w:val="nil"/>
              <w:tr2bl w:val="nil"/>
            </w:tcBorders>
            <w:noWrap w:val="0"/>
            <w:vAlign w:val="center"/>
          </w:tcPr>
          <w:p w14:paraId="236A2335">
            <w:pPr>
              <w:pStyle w:val="16"/>
              <w:pageBreakBefore w:val="0"/>
              <w:wordWrap/>
              <w:bidi w:val="0"/>
              <w:adjustRightInd/>
              <w:snapToGrid/>
              <w:rPr>
                <w:rFonts w:hint="eastAsia"/>
                <w:b/>
                <w:bCs/>
                <w:color w:val="auto"/>
                <w:sz w:val="21"/>
                <w:szCs w:val="21"/>
              </w:rPr>
            </w:pPr>
            <w:r>
              <w:rPr>
                <w:rFonts w:hint="eastAsia"/>
                <w:b/>
                <w:bCs/>
                <w:color w:val="auto"/>
                <w:sz w:val="21"/>
                <w:szCs w:val="21"/>
              </w:rPr>
              <w:t>废水量</w:t>
            </w:r>
          </w:p>
          <w:p w14:paraId="2AF3632A">
            <w:pPr>
              <w:pStyle w:val="16"/>
              <w:pageBreakBefore w:val="0"/>
              <w:wordWrap/>
              <w:bidi w:val="0"/>
              <w:adjustRightInd/>
              <w:snapToGrid/>
              <w:rPr>
                <w:rFonts w:hint="eastAsia" w:eastAsia="宋体"/>
                <w:b/>
                <w:bCs/>
                <w:color w:val="auto"/>
                <w:sz w:val="21"/>
                <w:szCs w:val="21"/>
                <w:lang w:eastAsia="zh-CN"/>
              </w:rPr>
            </w:pPr>
            <w:r>
              <w:rPr>
                <w:rFonts w:hint="eastAsia"/>
                <w:b/>
                <w:bCs/>
                <w:color w:val="auto"/>
                <w:sz w:val="21"/>
                <w:szCs w:val="21"/>
                <w:lang w:eastAsia="zh-CN"/>
              </w:rPr>
              <w:t>（</w:t>
            </w:r>
            <w:r>
              <w:rPr>
                <w:rFonts w:hint="eastAsia"/>
                <w:b/>
                <w:bCs/>
                <w:color w:val="auto"/>
                <w:sz w:val="21"/>
                <w:szCs w:val="21"/>
                <w:lang w:val="en-US" w:eastAsia="zh-CN"/>
              </w:rPr>
              <w:t>m³</w:t>
            </w:r>
            <w:r>
              <w:rPr>
                <w:rFonts w:hint="eastAsia"/>
                <w:b/>
                <w:bCs/>
                <w:color w:val="auto"/>
                <w:sz w:val="21"/>
                <w:szCs w:val="21"/>
              </w:rPr>
              <w:t>/d</w:t>
            </w:r>
            <w:r>
              <w:rPr>
                <w:rFonts w:hint="eastAsia"/>
                <w:b/>
                <w:bCs/>
                <w:color w:val="auto"/>
                <w:sz w:val="21"/>
                <w:szCs w:val="21"/>
                <w:lang w:eastAsia="zh-CN"/>
              </w:rPr>
              <w:t>）</w:t>
            </w:r>
          </w:p>
        </w:tc>
      </w:tr>
      <w:tr w14:paraId="52EC99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1" w:type="pct"/>
            <w:vMerge w:val="restart"/>
            <w:tcBorders>
              <w:tl2br w:val="nil"/>
              <w:tr2bl w:val="nil"/>
            </w:tcBorders>
            <w:noWrap w:val="0"/>
            <w:vAlign w:val="center"/>
          </w:tcPr>
          <w:p w14:paraId="0726145B">
            <w:pPr>
              <w:pStyle w:val="16"/>
              <w:pageBreakBefore w:val="0"/>
              <w:wordWrap/>
              <w:bidi w:val="0"/>
              <w:adjustRightInd/>
              <w:snapToGrid/>
              <w:rPr>
                <w:color w:val="auto"/>
                <w:sz w:val="21"/>
                <w:szCs w:val="21"/>
              </w:rPr>
            </w:pPr>
            <w:r>
              <w:rPr>
                <w:rFonts w:hint="eastAsia"/>
                <w:color w:val="auto"/>
                <w:sz w:val="21"/>
                <w:szCs w:val="21"/>
              </w:rPr>
              <w:t>曾口区块</w:t>
            </w:r>
          </w:p>
        </w:tc>
        <w:tc>
          <w:tcPr>
            <w:tcW w:w="1338" w:type="pct"/>
            <w:tcBorders>
              <w:tl2br w:val="nil"/>
              <w:tr2bl w:val="nil"/>
            </w:tcBorders>
            <w:noWrap w:val="0"/>
            <w:vAlign w:val="center"/>
          </w:tcPr>
          <w:p w14:paraId="61D5C6B5">
            <w:pPr>
              <w:pStyle w:val="16"/>
              <w:pageBreakBefore w:val="0"/>
              <w:wordWrap/>
              <w:bidi w:val="0"/>
              <w:adjustRightInd/>
              <w:snapToGrid/>
              <w:rPr>
                <w:color w:val="auto"/>
                <w:sz w:val="21"/>
                <w:szCs w:val="21"/>
              </w:rPr>
            </w:pPr>
            <w:r>
              <w:rPr>
                <w:rFonts w:hint="eastAsia"/>
                <w:color w:val="auto"/>
                <w:sz w:val="21"/>
                <w:szCs w:val="21"/>
              </w:rPr>
              <w:t>M工业用地</w:t>
            </w:r>
          </w:p>
        </w:tc>
        <w:tc>
          <w:tcPr>
            <w:tcW w:w="761" w:type="pct"/>
            <w:tcBorders>
              <w:tl2br w:val="nil"/>
              <w:tr2bl w:val="nil"/>
            </w:tcBorders>
            <w:noWrap w:val="0"/>
            <w:vAlign w:val="center"/>
          </w:tcPr>
          <w:p w14:paraId="6EE1FC3C">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144.78</w:t>
            </w:r>
          </w:p>
        </w:tc>
        <w:tc>
          <w:tcPr>
            <w:tcW w:w="970" w:type="pct"/>
            <w:tcBorders>
              <w:tl2br w:val="nil"/>
              <w:tr2bl w:val="nil"/>
            </w:tcBorders>
            <w:noWrap w:val="0"/>
            <w:vAlign w:val="center"/>
          </w:tcPr>
          <w:p w14:paraId="197C99E5">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150</w:t>
            </w:r>
          </w:p>
        </w:tc>
        <w:tc>
          <w:tcPr>
            <w:tcW w:w="583" w:type="pct"/>
            <w:tcBorders>
              <w:tl2br w:val="nil"/>
              <w:tr2bl w:val="nil"/>
            </w:tcBorders>
            <w:noWrap w:val="0"/>
            <w:vAlign w:val="center"/>
          </w:tcPr>
          <w:p w14:paraId="176755BC">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21717</w:t>
            </w:r>
          </w:p>
        </w:tc>
        <w:tc>
          <w:tcPr>
            <w:tcW w:w="583" w:type="pct"/>
            <w:tcBorders>
              <w:tl2br w:val="nil"/>
              <w:tr2bl w:val="nil"/>
            </w:tcBorders>
            <w:noWrap w:val="0"/>
            <w:vAlign w:val="center"/>
          </w:tcPr>
          <w:p w14:paraId="4657F369">
            <w:pPr>
              <w:pStyle w:val="16"/>
              <w:pageBreakBefore w:val="0"/>
              <w:wordWrap/>
              <w:bidi w:val="0"/>
              <w:adjustRightInd/>
              <w:snapToGrid/>
              <w:rPr>
                <w:color w:val="auto"/>
                <w:sz w:val="21"/>
                <w:szCs w:val="21"/>
              </w:rPr>
            </w:pPr>
          </w:p>
        </w:tc>
      </w:tr>
      <w:tr w14:paraId="0F7017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1" w:type="pct"/>
            <w:vMerge w:val="continue"/>
            <w:tcBorders>
              <w:tl2br w:val="nil"/>
              <w:tr2bl w:val="nil"/>
            </w:tcBorders>
            <w:noWrap w:val="0"/>
            <w:vAlign w:val="center"/>
          </w:tcPr>
          <w:p w14:paraId="56558537">
            <w:pPr>
              <w:pStyle w:val="16"/>
              <w:pageBreakBefore w:val="0"/>
              <w:wordWrap/>
              <w:bidi w:val="0"/>
              <w:adjustRightInd/>
              <w:snapToGrid/>
              <w:rPr>
                <w:color w:val="auto"/>
                <w:sz w:val="21"/>
                <w:szCs w:val="21"/>
              </w:rPr>
            </w:pPr>
          </w:p>
        </w:tc>
        <w:tc>
          <w:tcPr>
            <w:tcW w:w="1338" w:type="pct"/>
            <w:tcBorders>
              <w:tl2br w:val="nil"/>
              <w:tr2bl w:val="nil"/>
            </w:tcBorders>
            <w:noWrap w:val="0"/>
            <w:vAlign w:val="center"/>
          </w:tcPr>
          <w:p w14:paraId="4D557A80">
            <w:pPr>
              <w:pStyle w:val="16"/>
              <w:pageBreakBefore w:val="0"/>
              <w:wordWrap/>
              <w:bidi w:val="0"/>
              <w:adjustRightInd/>
              <w:snapToGrid/>
              <w:rPr>
                <w:color w:val="auto"/>
                <w:sz w:val="21"/>
                <w:szCs w:val="21"/>
              </w:rPr>
            </w:pPr>
            <w:r>
              <w:rPr>
                <w:rFonts w:hint="eastAsia"/>
                <w:color w:val="auto"/>
                <w:sz w:val="21"/>
                <w:szCs w:val="21"/>
              </w:rPr>
              <w:t>U公用设施用地</w:t>
            </w:r>
          </w:p>
        </w:tc>
        <w:tc>
          <w:tcPr>
            <w:tcW w:w="761" w:type="pct"/>
            <w:tcBorders>
              <w:tl2br w:val="nil"/>
              <w:tr2bl w:val="nil"/>
            </w:tcBorders>
            <w:noWrap w:val="0"/>
            <w:vAlign w:val="center"/>
          </w:tcPr>
          <w:p w14:paraId="10FFE410">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2.08</w:t>
            </w:r>
          </w:p>
        </w:tc>
        <w:tc>
          <w:tcPr>
            <w:tcW w:w="970" w:type="pct"/>
            <w:tcBorders>
              <w:tl2br w:val="nil"/>
              <w:tr2bl w:val="nil"/>
            </w:tcBorders>
            <w:noWrap w:val="0"/>
            <w:vAlign w:val="center"/>
          </w:tcPr>
          <w:p w14:paraId="2EB4734F">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50</w:t>
            </w:r>
          </w:p>
        </w:tc>
        <w:tc>
          <w:tcPr>
            <w:tcW w:w="583" w:type="pct"/>
            <w:tcBorders>
              <w:tl2br w:val="nil"/>
              <w:tr2bl w:val="nil"/>
            </w:tcBorders>
            <w:noWrap w:val="0"/>
            <w:vAlign w:val="center"/>
          </w:tcPr>
          <w:p w14:paraId="1C74D9DB">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104</w:t>
            </w:r>
          </w:p>
        </w:tc>
        <w:tc>
          <w:tcPr>
            <w:tcW w:w="583" w:type="pct"/>
            <w:tcBorders>
              <w:tl2br w:val="nil"/>
              <w:tr2bl w:val="nil"/>
            </w:tcBorders>
            <w:noWrap w:val="0"/>
            <w:vAlign w:val="center"/>
          </w:tcPr>
          <w:p w14:paraId="727FA8E9">
            <w:pPr>
              <w:pStyle w:val="16"/>
              <w:pageBreakBefore w:val="0"/>
              <w:wordWrap/>
              <w:bidi w:val="0"/>
              <w:adjustRightInd/>
              <w:snapToGrid/>
              <w:rPr>
                <w:color w:val="auto"/>
                <w:sz w:val="21"/>
                <w:szCs w:val="21"/>
              </w:rPr>
            </w:pPr>
          </w:p>
        </w:tc>
      </w:tr>
      <w:tr w14:paraId="7E5B35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1" w:type="pct"/>
            <w:vMerge w:val="continue"/>
            <w:tcBorders>
              <w:tl2br w:val="nil"/>
              <w:tr2bl w:val="nil"/>
            </w:tcBorders>
            <w:noWrap w:val="0"/>
            <w:vAlign w:val="center"/>
          </w:tcPr>
          <w:p w14:paraId="164A07F8">
            <w:pPr>
              <w:pStyle w:val="16"/>
              <w:pageBreakBefore w:val="0"/>
              <w:wordWrap/>
              <w:bidi w:val="0"/>
              <w:adjustRightInd/>
              <w:snapToGrid/>
              <w:rPr>
                <w:color w:val="auto"/>
                <w:sz w:val="21"/>
                <w:szCs w:val="21"/>
              </w:rPr>
            </w:pPr>
          </w:p>
        </w:tc>
        <w:tc>
          <w:tcPr>
            <w:tcW w:w="1338" w:type="pct"/>
            <w:tcBorders>
              <w:tl2br w:val="nil"/>
              <w:tr2bl w:val="nil"/>
            </w:tcBorders>
            <w:noWrap w:val="0"/>
            <w:vAlign w:val="center"/>
          </w:tcPr>
          <w:p w14:paraId="608C5193">
            <w:pPr>
              <w:pStyle w:val="16"/>
              <w:pageBreakBefore w:val="0"/>
              <w:wordWrap/>
              <w:bidi w:val="0"/>
              <w:adjustRightInd/>
              <w:snapToGrid/>
              <w:rPr>
                <w:color w:val="auto"/>
                <w:sz w:val="21"/>
                <w:szCs w:val="21"/>
              </w:rPr>
            </w:pPr>
            <w:r>
              <w:rPr>
                <w:rFonts w:hint="eastAsia"/>
                <w:color w:val="auto"/>
                <w:sz w:val="21"/>
                <w:szCs w:val="21"/>
              </w:rPr>
              <w:t>G绿地与广场</w:t>
            </w:r>
          </w:p>
        </w:tc>
        <w:tc>
          <w:tcPr>
            <w:tcW w:w="761" w:type="pct"/>
            <w:tcBorders>
              <w:tl2br w:val="nil"/>
              <w:tr2bl w:val="nil"/>
            </w:tcBorders>
            <w:noWrap w:val="0"/>
            <w:vAlign w:val="center"/>
          </w:tcPr>
          <w:p w14:paraId="1D9836BD">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23.85</w:t>
            </w:r>
          </w:p>
        </w:tc>
        <w:tc>
          <w:tcPr>
            <w:tcW w:w="970" w:type="pct"/>
            <w:tcBorders>
              <w:tl2br w:val="nil"/>
              <w:tr2bl w:val="nil"/>
            </w:tcBorders>
            <w:noWrap w:val="0"/>
            <w:vAlign w:val="center"/>
          </w:tcPr>
          <w:p w14:paraId="391C1A31">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30</w:t>
            </w:r>
          </w:p>
        </w:tc>
        <w:tc>
          <w:tcPr>
            <w:tcW w:w="583" w:type="pct"/>
            <w:tcBorders>
              <w:tl2br w:val="nil"/>
              <w:tr2bl w:val="nil"/>
            </w:tcBorders>
            <w:noWrap w:val="0"/>
            <w:vAlign w:val="center"/>
          </w:tcPr>
          <w:p w14:paraId="3A3428FE">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716</w:t>
            </w:r>
          </w:p>
        </w:tc>
        <w:tc>
          <w:tcPr>
            <w:tcW w:w="583" w:type="pct"/>
            <w:tcBorders>
              <w:tl2br w:val="nil"/>
              <w:tr2bl w:val="nil"/>
            </w:tcBorders>
            <w:noWrap w:val="0"/>
            <w:vAlign w:val="center"/>
          </w:tcPr>
          <w:p w14:paraId="2DA731CF">
            <w:pPr>
              <w:pStyle w:val="16"/>
              <w:pageBreakBefore w:val="0"/>
              <w:wordWrap/>
              <w:bidi w:val="0"/>
              <w:adjustRightInd/>
              <w:snapToGrid/>
              <w:rPr>
                <w:color w:val="auto"/>
                <w:sz w:val="21"/>
                <w:szCs w:val="21"/>
              </w:rPr>
            </w:pPr>
          </w:p>
        </w:tc>
      </w:tr>
      <w:tr w14:paraId="43008A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1" w:type="pct"/>
            <w:vMerge w:val="continue"/>
            <w:tcBorders>
              <w:tl2br w:val="nil"/>
              <w:tr2bl w:val="nil"/>
            </w:tcBorders>
            <w:noWrap w:val="0"/>
            <w:vAlign w:val="center"/>
          </w:tcPr>
          <w:p w14:paraId="48E85930">
            <w:pPr>
              <w:pStyle w:val="16"/>
              <w:pageBreakBefore w:val="0"/>
              <w:wordWrap/>
              <w:bidi w:val="0"/>
              <w:adjustRightInd/>
              <w:snapToGrid/>
              <w:rPr>
                <w:color w:val="auto"/>
                <w:sz w:val="21"/>
                <w:szCs w:val="21"/>
              </w:rPr>
            </w:pPr>
          </w:p>
        </w:tc>
        <w:tc>
          <w:tcPr>
            <w:tcW w:w="1338" w:type="pct"/>
            <w:tcBorders>
              <w:tl2br w:val="nil"/>
              <w:tr2bl w:val="nil"/>
            </w:tcBorders>
            <w:noWrap w:val="0"/>
            <w:vAlign w:val="center"/>
          </w:tcPr>
          <w:p w14:paraId="132DAA60">
            <w:pPr>
              <w:pStyle w:val="16"/>
              <w:pageBreakBefore w:val="0"/>
              <w:wordWrap/>
              <w:bidi w:val="0"/>
              <w:adjustRightInd/>
              <w:snapToGrid/>
              <w:rPr>
                <w:color w:val="auto"/>
                <w:sz w:val="21"/>
                <w:szCs w:val="21"/>
              </w:rPr>
            </w:pPr>
            <w:r>
              <w:rPr>
                <w:rFonts w:hint="eastAsia"/>
                <w:color w:val="auto"/>
                <w:sz w:val="21"/>
                <w:szCs w:val="21"/>
              </w:rPr>
              <w:t>S道路与交通设施用地</w:t>
            </w:r>
          </w:p>
        </w:tc>
        <w:tc>
          <w:tcPr>
            <w:tcW w:w="761" w:type="pct"/>
            <w:tcBorders>
              <w:tl2br w:val="nil"/>
              <w:tr2bl w:val="nil"/>
            </w:tcBorders>
            <w:noWrap w:val="0"/>
            <w:vAlign w:val="center"/>
          </w:tcPr>
          <w:p w14:paraId="38AC3A34">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21.1</w:t>
            </w:r>
          </w:p>
        </w:tc>
        <w:tc>
          <w:tcPr>
            <w:tcW w:w="970" w:type="pct"/>
            <w:tcBorders>
              <w:tl2br w:val="nil"/>
              <w:tr2bl w:val="nil"/>
            </w:tcBorders>
            <w:noWrap w:val="0"/>
            <w:vAlign w:val="center"/>
          </w:tcPr>
          <w:p w14:paraId="41017127">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80</w:t>
            </w:r>
          </w:p>
        </w:tc>
        <w:tc>
          <w:tcPr>
            <w:tcW w:w="583" w:type="pct"/>
            <w:tcBorders>
              <w:tl2br w:val="nil"/>
              <w:tr2bl w:val="nil"/>
            </w:tcBorders>
            <w:noWrap w:val="0"/>
            <w:vAlign w:val="center"/>
          </w:tcPr>
          <w:p w14:paraId="53DDB1A6">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1688</w:t>
            </w:r>
          </w:p>
        </w:tc>
        <w:tc>
          <w:tcPr>
            <w:tcW w:w="583" w:type="pct"/>
            <w:tcBorders>
              <w:tl2br w:val="nil"/>
              <w:tr2bl w:val="nil"/>
            </w:tcBorders>
            <w:noWrap w:val="0"/>
            <w:vAlign w:val="center"/>
          </w:tcPr>
          <w:p w14:paraId="730C23F3">
            <w:pPr>
              <w:pStyle w:val="16"/>
              <w:pageBreakBefore w:val="0"/>
              <w:wordWrap/>
              <w:bidi w:val="0"/>
              <w:adjustRightInd/>
              <w:snapToGrid/>
              <w:rPr>
                <w:color w:val="auto"/>
                <w:sz w:val="21"/>
                <w:szCs w:val="21"/>
              </w:rPr>
            </w:pPr>
          </w:p>
        </w:tc>
      </w:tr>
      <w:tr w14:paraId="26E27C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1" w:type="pct"/>
            <w:vMerge w:val="continue"/>
            <w:tcBorders>
              <w:tl2br w:val="nil"/>
              <w:tr2bl w:val="nil"/>
            </w:tcBorders>
            <w:noWrap w:val="0"/>
            <w:vAlign w:val="center"/>
          </w:tcPr>
          <w:p w14:paraId="652DB876">
            <w:pPr>
              <w:pStyle w:val="16"/>
              <w:pageBreakBefore w:val="0"/>
              <w:wordWrap/>
              <w:bidi w:val="0"/>
              <w:adjustRightInd/>
              <w:snapToGrid/>
              <w:rPr>
                <w:color w:val="auto"/>
                <w:sz w:val="21"/>
                <w:szCs w:val="21"/>
              </w:rPr>
            </w:pPr>
          </w:p>
        </w:tc>
        <w:tc>
          <w:tcPr>
            <w:tcW w:w="1338" w:type="pct"/>
            <w:tcBorders>
              <w:tl2br w:val="nil"/>
              <w:tr2bl w:val="nil"/>
            </w:tcBorders>
            <w:noWrap w:val="0"/>
            <w:vAlign w:val="center"/>
          </w:tcPr>
          <w:p w14:paraId="1FA38ADC">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小计</w:t>
            </w:r>
          </w:p>
        </w:tc>
        <w:tc>
          <w:tcPr>
            <w:tcW w:w="761" w:type="pct"/>
            <w:tcBorders>
              <w:tl2br w:val="nil"/>
              <w:tr2bl w:val="nil"/>
            </w:tcBorders>
            <w:noWrap w:val="0"/>
            <w:vAlign w:val="center"/>
          </w:tcPr>
          <w:p w14:paraId="2FC87D6E">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191.81</w:t>
            </w:r>
          </w:p>
        </w:tc>
        <w:tc>
          <w:tcPr>
            <w:tcW w:w="970" w:type="pct"/>
            <w:tcBorders>
              <w:tl2br w:val="nil"/>
              <w:tr2bl w:val="nil"/>
            </w:tcBorders>
            <w:noWrap w:val="0"/>
            <w:vAlign w:val="center"/>
          </w:tcPr>
          <w:p w14:paraId="67473A07">
            <w:pPr>
              <w:pStyle w:val="16"/>
              <w:pageBreakBefore w:val="0"/>
              <w:wordWrap/>
              <w:bidi w:val="0"/>
              <w:adjustRightInd/>
              <w:snapToGrid/>
              <w:rPr>
                <w:color w:val="auto"/>
                <w:sz w:val="21"/>
                <w:szCs w:val="21"/>
              </w:rPr>
            </w:pPr>
          </w:p>
        </w:tc>
        <w:tc>
          <w:tcPr>
            <w:tcW w:w="583" w:type="pct"/>
            <w:tcBorders>
              <w:tl2br w:val="nil"/>
              <w:tr2bl w:val="nil"/>
            </w:tcBorders>
            <w:noWrap w:val="0"/>
            <w:vAlign w:val="center"/>
          </w:tcPr>
          <w:p w14:paraId="09B52017">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24225</w:t>
            </w:r>
          </w:p>
        </w:tc>
        <w:tc>
          <w:tcPr>
            <w:tcW w:w="583" w:type="pct"/>
            <w:tcBorders>
              <w:tl2br w:val="nil"/>
              <w:tr2bl w:val="nil"/>
            </w:tcBorders>
            <w:noWrap w:val="0"/>
            <w:vAlign w:val="center"/>
          </w:tcPr>
          <w:p w14:paraId="7A125FBF">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20591</w:t>
            </w:r>
          </w:p>
        </w:tc>
      </w:tr>
    </w:tbl>
    <w:p w14:paraId="16FD66B8">
      <w:pPr>
        <w:pageBreakBefore w:val="0"/>
        <w:wordWrap/>
        <w:bidi w:val="0"/>
        <w:adjustRightInd/>
        <w:snapToGrid/>
        <w:rPr>
          <w:rFonts w:hint="default" w:eastAsia="宋体"/>
          <w:color w:val="auto"/>
          <w:lang w:val="en-US" w:eastAsia="zh-CN"/>
        </w:rPr>
      </w:pPr>
      <w:r>
        <w:rPr>
          <w:rFonts w:hint="eastAsia"/>
          <w:color w:val="auto"/>
          <w:lang w:eastAsia="zh-CN"/>
        </w:rPr>
        <w:t>（</w:t>
      </w:r>
      <w:r>
        <w:rPr>
          <w:rFonts w:hint="eastAsia"/>
          <w:color w:val="auto"/>
          <w:lang w:val="en-US" w:eastAsia="zh-CN"/>
        </w:rPr>
        <w:t>2</w:t>
      </w:r>
      <w:r>
        <w:rPr>
          <w:rFonts w:hint="eastAsia"/>
          <w:color w:val="auto"/>
          <w:lang w:eastAsia="zh-CN"/>
        </w:rPr>
        <w:t>）</w:t>
      </w:r>
      <w:r>
        <w:rPr>
          <w:rFonts w:hint="eastAsia"/>
          <w:color w:val="auto"/>
          <w:lang w:val="en-US" w:eastAsia="zh-CN"/>
        </w:rPr>
        <w:t>工业污水量预测</w:t>
      </w:r>
    </w:p>
    <w:p w14:paraId="7AC3A65F">
      <w:pPr>
        <w:pageBreakBefore w:val="0"/>
        <w:wordWrap/>
        <w:bidi w:val="0"/>
        <w:adjustRightInd/>
        <w:snapToGrid/>
        <w:rPr>
          <w:rFonts w:hint="eastAsia"/>
          <w:color w:val="auto"/>
          <w:lang w:eastAsia="zh-CN"/>
        </w:rPr>
      </w:pPr>
      <w:r>
        <w:rPr>
          <w:rFonts w:hint="eastAsia"/>
          <w:color w:val="auto"/>
        </w:rPr>
        <w:t>参按工业污水转化率取70%</w:t>
      </w:r>
      <w:r>
        <w:rPr>
          <w:rFonts w:hint="eastAsia"/>
          <w:color w:val="auto"/>
          <w:lang w:eastAsia="zh-CN"/>
        </w:rPr>
        <w:t>，</w:t>
      </w:r>
      <w:r>
        <w:rPr>
          <w:rFonts w:hint="eastAsia"/>
          <w:color w:val="auto"/>
        </w:rPr>
        <w:t>污水收集率取100%</w:t>
      </w:r>
      <w:r>
        <w:rPr>
          <w:rFonts w:hint="eastAsia"/>
          <w:color w:val="auto"/>
          <w:lang w:eastAsia="zh-CN"/>
        </w:rPr>
        <w:t>，</w:t>
      </w:r>
      <w:r>
        <w:rPr>
          <w:rFonts w:hint="eastAsia"/>
          <w:color w:val="auto"/>
        </w:rPr>
        <w:t>地下水渗入系数10%计算</w:t>
      </w:r>
      <w:r>
        <w:rPr>
          <w:rFonts w:hint="eastAsia"/>
          <w:color w:val="auto"/>
          <w:lang w:eastAsia="zh-CN"/>
        </w:rPr>
        <w:t>，</w:t>
      </w:r>
      <w:r>
        <w:rPr>
          <w:rFonts w:hint="eastAsia"/>
          <w:color w:val="auto"/>
        </w:rPr>
        <w:t>见下表</w:t>
      </w:r>
      <w:r>
        <w:rPr>
          <w:rFonts w:hint="eastAsia"/>
          <w:color w:val="auto"/>
          <w:lang w:eastAsia="zh-CN"/>
        </w:rPr>
        <w:t>。</w:t>
      </w:r>
    </w:p>
    <w:p w14:paraId="48643D3D">
      <w:pPr>
        <w:pStyle w:val="19"/>
        <w:numPr>
          <w:ilvl w:val="0"/>
          <w:numId w:val="16"/>
        </w:numPr>
        <w:bidi w:val="0"/>
        <w:ind w:left="0" w:leftChars="0" w:firstLine="0" w:firstLineChars="0"/>
        <w:rPr>
          <w:rFonts w:hint="default"/>
          <w:color w:val="auto"/>
          <w:lang w:val="en-US" w:eastAsia="zh-CN"/>
        </w:rPr>
      </w:pPr>
      <w:r>
        <w:rPr>
          <w:rFonts w:hint="eastAsia"/>
          <w:color w:val="auto"/>
          <w:lang w:val="en-US" w:eastAsia="zh-CN"/>
        </w:rPr>
        <w:t>曾口区块工业用水量预测计算结果一览表</w:t>
      </w:r>
    </w:p>
    <w:tbl>
      <w:tblPr>
        <w:tblStyle w:val="5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180"/>
        <w:gridCol w:w="4179"/>
      </w:tblGrid>
      <w:tr w14:paraId="2F52C1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00" w:type="pct"/>
            <w:tcBorders>
              <w:tl2br w:val="nil"/>
              <w:tr2bl w:val="nil"/>
            </w:tcBorders>
            <w:noWrap w:val="0"/>
            <w:vAlign w:val="center"/>
          </w:tcPr>
          <w:p w14:paraId="1D91E15E">
            <w:pPr>
              <w:pStyle w:val="16"/>
              <w:pageBreakBefore w:val="0"/>
              <w:wordWrap/>
              <w:bidi w:val="0"/>
              <w:adjustRightInd/>
              <w:snapToGrid/>
              <w:rPr>
                <w:rFonts w:hint="default"/>
                <w:b/>
                <w:bCs/>
                <w:color w:val="auto"/>
                <w:sz w:val="21"/>
                <w:szCs w:val="21"/>
                <w:lang w:val="en-US" w:eastAsia="zh-CN"/>
              </w:rPr>
            </w:pPr>
            <w:r>
              <w:rPr>
                <w:rFonts w:hint="eastAsia"/>
                <w:b/>
                <w:bCs/>
                <w:color w:val="auto"/>
                <w:sz w:val="21"/>
                <w:szCs w:val="21"/>
                <w:lang w:val="en-US" w:eastAsia="zh-CN"/>
              </w:rPr>
              <w:t>名称</w:t>
            </w:r>
          </w:p>
        </w:tc>
        <w:tc>
          <w:tcPr>
            <w:tcW w:w="2499" w:type="pct"/>
            <w:tcBorders>
              <w:tl2br w:val="nil"/>
              <w:tr2bl w:val="nil"/>
            </w:tcBorders>
            <w:noWrap w:val="0"/>
            <w:vAlign w:val="center"/>
          </w:tcPr>
          <w:p w14:paraId="5C4259E7">
            <w:pPr>
              <w:pStyle w:val="16"/>
              <w:pageBreakBefore w:val="0"/>
              <w:wordWrap/>
              <w:bidi w:val="0"/>
              <w:adjustRightInd/>
              <w:snapToGrid/>
              <w:rPr>
                <w:rFonts w:hint="eastAsia" w:eastAsia="宋体"/>
                <w:b/>
                <w:bCs/>
                <w:color w:val="auto"/>
                <w:sz w:val="21"/>
                <w:szCs w:val="21"/>
                <w:lang w:val="en-US" w:eastAsia="zh-CN"/>
              </w:rPr>
            </w:pPr>
            <w:r>
              <w:rPr>
                <w:rFonts w:hint="eastAsia"/>
                <w:b/>
                <w:bCs/>
                <w:color w:val="auto"/>
                <w:sz w:val="21"/>
                <w:szCs w:val="21"/>
                <w:lang w:val="en-US" w:eastAsia="zh-CN"/>
              </w:rPr>
              <w:t>远期（2035年）</w:t>
            </w:r>
          </w:p>
        </w:tc>
      </w:tr>
      <w:tr w14:paraId="379429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00" w:type="pct"/>
            <w:tcBorders>
              <w:tl2br w:val="nil"/>
              <w:tr2bl w:val="nil"/>
            </w:tcBorders>
            <w:noWrap w:val="0"/>
            <w:vAlign w:val="center"/>
          </w:tcPr>
          <w:p w14:paraId="010F4ABE">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工业用地用水量</w:t>
            </w:r>
            <w:r>
              <w:rPr>
                <w:rFonts w:hint="eastAsia"/>
                <w:color w:val="auto"/>
                <w:sz w:val="21"/>
                <w:szCs w:val="21"/>
                <w:lang w:eastAsia="zh-CN"/>
              </w:rPr>
              <w:t>（</w:t>
            </w:r>
            <w:r>
              <w:rPr>
                <w:rFonts w:hint="eastAsia"/>
                <w:color w:val="auto"/>
                <w:sz w:val="21"/>
                <w:szCs w:val="21"/>
                <w:lang w:val="en-US" w:eastAsia="zh-CN"/>
              </w:rPr>
              <w:t>万</w:t>
            </w:r>
            <w:r>
              <w:rPr>
                <w:rFonts w:hint="eastAsia"/>
                <w:color w:val="auto"/>
                <w:sz w:val="21"/>
                <w:szCs w:val="21"/>
                <w:lang w:eastAsia="zh-CN"/>
              </w:rPr>
              <w:t>m³</w:t>
            </w:r>
            <w:r>
              <w:rPr>
                <w:rFonts w:hint="eastAsia"/>
                <w:color w:val="auto"/>
                <w:sz w:val="21"/>
                <w:szCs w:val="21"/>
              </w:rPr>
              <w:t>/d</w:t>
            </w:r>
            <w:r>
              <w:rPr>
                <w:rFonts w:hint="eastAsia"/>
                <w:color w:val="auto"/>
                <w:sz w:val="21"/>
                <w:szCs w:val="21"/>
                <w:lang w:eastAsia="zh-CN"/>
              </w:rPr>
              <w:t>）</w:t>
            </w:r>
          </w:p>
        </w:tc>
        <w:tc>
          <w:tcPr>
            <w:tcW w:w="2499" w:type="pct"/>
            <w:tcBorders>
              <w:tl2br w:val="nil"/>
              <w:tr2bl w:val="nil"/>
            </w:tcBorders>
            <w:noWrap w:val="0"/>
            <w:vAlign w:val="center"/>
          </w:tcPr>
          <w:p w14:paraId="398838DA">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2.05</w:t>
            </w:r>
          </w:p>
        </w:tc>
      </w:tr>
      <w:tr w14:paraId="3BAA0D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00" w:type="pct"/>
            <w:tcBorders>
              <w:tl2br w:val="nil"/>
              <w:tr2bl w:val="nil"/>
            </w:tcBorders>
            <w:noWrap w:val="0"/>
            <w:vAlign w:val="center"/>
          </w:tcPr>
          <w:p w14:paraId="1799D533">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污水转化率（%）</w:t>
            </w:r>
          </w:p>
        </w:tc>
        <w:tc>
          <w:tcPr>
            <w:tcW w:w="2499" w:type="pct"/>
            <w:tcBorders>
              <w:tl2br w:val="nil"/>
              <w:tr2bl w:val="nil"/>
            </w:tcBorders>
            <w:noWrap w:val="0"/>
            <w:vAlign w:val="center"/>
          </w:tcPr>
          <w:p w14:paraId="4CD25701">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70.00</w:t>
            </w:r>
          </w:p>
        </w:tc>
      </w:tr>
      <w:tr w14:paraId="6430A0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00" w:type="pct"/>
            <w:tcBorders>
              <w:tl2br w:val="nil"/>
              <w:tr2bl w:val="nil"/>
            </w:tcBorders>
            <w:noWrap w:val="0"/>
            <w:vAlign w:val="center"/>
          </w:tcPr>
          <w:p w14:paraId="6012D21C">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污水收集率（%）</w:t>
            </w:r>
          </w:p>
        </w:tc>
        <w:tc>
          <w:tcPr>
            <w:tcW w:w="2499" w:type="pct"/>
            <w:tcBorders>
              <w:tl2br w:val="nil"/>
              <w:tr2bl w:val="nil"/>
            </w:tcBorders>
            <w:noWrap w:val="0"/>
            <w:vAlign w:val="center"/>
          </w:tcPr>
          <w:p w14:paraId="5B8C6891">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100.00</w:t>
            </w:r>
          </w:p>
        </w:tc>
      </w:tr>
      <w:tr w14:paraId="348631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00" w:type="pct"/>
            <w:tcBorders>
              <w:tl2br w:val="nil"/>
              <w:tr2bl w:val="nil"/>
            </w:tcBorders>
            <w:noWrap w:val="0"/>
            <w:vAlign w:val="center"/>
          </w:tcPr>
          <w:p w14:paraId="68DF685B">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地下水渗入系数（%）</w:t>
            </w:r>
          </w:p>
        </w:tc>
        <w:tc>
          <w:tcPr>
            <w:tcW w:w="2499" w:type="pct"/>
            <w:tcBorders>
              <w:tl2br w:val="nil"/>
              <w:tr2bl w:val="nil"/>
            </w:tcBorders>
            <w:noWrap w:val="0"/>
            <w:vAlign w:val="center"/>
          </w:tcPr>
          <w:p w14:paraId="7B701DC8">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10.00</w:t>
            </w:r>
          </w:p>
        </w:tc>
      </w:tr>
      <w:tr w14:paraId="6B3CD2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00" w:type="pct"/>
            <w:tcBorders>
              <w:tl2br w:val="nil"/>
              <w:tr2bl w:val="nil"/>
            </w:tcBorders>
            <w:noWrap w:val="0"/>
            <w:vAlign w:val="center"/>
          </w:tcPr>
          <w:p w14:paraId="36AE0072">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工业污水量</w:t>
            </w:r>
            <w:r>
              <w:rPr>
                <w:rFonts w:hint="eastAsia"/>
                <w:color w:val="auto"/>
                <w:sz w:val="21"/>
                <w:szCs w:val="21"/>
                <w:lang w:eastAsia="zh-CN"/>
              </w:rPr>
              <w:t>（</w:t>
            </w:r>
            <w:r>
              <w:rPr>
                <w:rFonts w:hint="eastAsia"/>
                <w:color w:val="auto"/>
                <w:sz w:val="21"/>
                <w:szCs w:val="21"/>
                <w:lang w:val="en-US" w:eastAsia="zh-CN"/>
              </w:rPr>
              <w:t>万</w:t>
            </w:r>
            <w:r>
              <w:rPr>
                <w:rFonts w:hint="eastAsia"/>
                <w:color w:val="auto"/>
                <w:sz w:val="21"/>
                <w:szCs w:val="21"/>
                <w:lang w:eastAsia="zh-CN"/>
              </w:rPr>
              <w:t>m³</w:t>
            </w:r>
            <w:r>
              <w:rPr>
                <w:rFonts w:hint="eastAsia"/>
                <w:color w:val="auto"/>
                <w:sz w:val="21"/>
                <w:szCs w:val="21"/>
              </w:rPr>
              <w:t>/d</w:t>
            </w:r>
            <w:r>
              <w:rPr>
                <w:rFonts w:hint="eastAsia"/>
                <w:color w:val="auto"/>
                <w:sz w:val="21"/>
                <w:szCs w:val="21"/>
                <w:lang w:eastAsia="zh-CN"/>
              </w:rPr>
              <w:t>）</w:t>
            </w:r>
          </w:p>
        </w:tc>
        <w:tc>
          <w:tcPr>
            <w:tcW w:w="2499" w:type="pct"/>
            <w:tcBorders>
              <w:tl2br w:val="nil"/>
              <w:tr2bl w:val="nil"/>
            </w:tcBorders>
            <w:noWrap w:val="0"/>
            <w:vAlign w:val="center"/>
          </w:tcPr>
          <w:p w14:paraId="7F96E747">
            <w:pPr>
              <w:pStyle w:val="16"/>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1.57</w:t>
            </w:r>
          </w:p>
        </w:tc>
      </w:tr>
    </w:tbl>
    <w:p w14:paraId="596B58D0">
      <w:pPr>
        <w:pageBreakBefore w:val="0"/>
        <w:wordWrap/>
        <w:bidi w:val="0"/>
        <w:adjustRightInd/>
        <w:snapToGrid/>
        <w:rPr>
          <w:rFonts w:hint="default" w:eastAsia="宋体"/>
          <w:color w:val="auto"/>
          <w:lang w:val="en-US" w:eastAsia="zh-CN"/>
        </w:rPr>
      </w:pPr>
      <w:r>
        <w:rPr>
          <w:rFonts w:hint="eastAsia"/>
          <w:color w:val="auto"/>
          <w:lang w:val="en-US" w:eastAsia="zh-CN"/>
        </w:rPr>
        <w:t>综上所述，曾口片区远期（2035年）污水量为：1.57万。</w:t>
      </w:r>
    </w:p>
    <w:p w14:paraId="4E2454FD">
      <w:pPr>
        <w:pageBreakBefore w:val="0"/>
        <w:wordWrap/>
        <w:bidi w:val="0"/>
        <w:adjustRightInd/>
        <w:snapToGrid/>
        <w:rPr>
          <w:rFonts w:hint="eastAsia" w:eastAsia="宋体"/>
          <w:b/>
          <w:bCs/>
          <w:color w:val="auto"/>
          <w:lang w:val="en-US" w:eastAsia="zh-CN"/>
        </w:rPr>
      </w:pPr>
      <w:r>
        <w:rPr>
          <w:rFonts w:hint="eastAsia"/>
          <w:b/>
          <w:bCs/>
          <w:color w:val="auto"/>
          <w:lang w:val="en-US" w:eastAsia="zh-CN"/>
        </w:rPr>
        <w:t>2、《四川巴中经济开发区规划修编环境影响报告书》对园区污水量的预测</w:t>
      </w:r>
    </w:p>
    <w:p w14:paraId="7CDD7A50">
      <w:pPr>
        <w:pageBreakBefore w:val="0"/>
        <w:wordWrap/>
        <w:bidi w:val="0"/>
        <w:adjustRightInd/>
        <w:snapToGrid/>
        <w:rPr>
          <w:rFonts w:hint="eastAsia" w:eastAsia="宋体"/>
          <w:color w:val="auto"/>
          <w:lang w:eastAsia="zh-CN"/>
        </w:rPr>
      </w:pPr>
      <w:r>
        <w:rPr>
          <w:rFonts w:hint="eastAsia"/>
          <w:color w:val="auto"/>
        </w:rPr>
        <w:t>结合经开区内现有企业排放强度</w:t>
      </w:r>
      <w:r>
        <w:rPr>
          <w:rFonts w:hint="eastAsia"/>
          <w:color w:val="auto"/>
          <w:lang w:eastAsia="zh-CN"/>
        </w:rPr>
        <w:t>、《</w:t>
      </w:r>
      <w:r>
        <w:rPr>
          <w:rFonts w:hint="eastAsia"/>
          <w:color w:val="auto"/>
        </w:rPr>
        <w:t>排放源统计调查产排污核算方法和系数手册</w:t>
      </w:r>
      <w:r>
        <w:rPr>
          <w:rFonts w:hint="eastAsia"/>
          <w:color w:val="auto"/>
          <w:lang w:eastAsia="zh-CN"/>
        </w:rPr>
        <w:t>》</w:t>
      </w:r>
      <w:r>
        <w:rPr>
          <w:rFonts w:hint="eastAsia"/>
          <w:color w:val="auto"/>
        </w:rPr>
        <w:t>以及同类项目的验收</w:t>
      </w:r>
      <w:r>
        <w:rPr>
          <w:rFonts w:hint="eastAsia"/>
          <w:color w:val="auto"/>
          <w:lang w:eastAsia="zh-CN"/>
        </w:rPr>
        <w:t>、</w:t>
      </w:r>
      <w:r>
        <w:rPr>
          <w:rFonts w:hint="eastAsia"/>
          <w:color w:val="auto"/>
        </w:rPr>
        <w:t>排污许可及环评数据</w:t>
      </w:r>
      <w:r>
        <w:rPr>
          <w:rFonts w:hint="eastAsia"/>
          <w:color w:val="auto"/>
          <w:lang w:eastAsia="zh-CN"/>
        </w:rPr>
        <w:t>，</w:t>
      </w:r>
      <w:r>
        <w:rPr>
          <w:rFonts w:hint="eastAsia"/>
          <w:color w:val="auto"/>
        </w:rPr>
        <w:t>对规划区规划废水产生情况进行核算</w:t>
      </w:r>
      <w:r>
        <w:rPr>
          <w:rFonts w:hint="eastAsia"/>
          <w:color w:val="auto"/>
          <w:lang w:eastAsia="zh-CN"/>
        </w:rPr>
        <w:t>。</w:t>
      </w:r>
    </w:p>
    <w:p w14:paraId="0BE62CB6">
      <w:pPr>
        <w:pageBreakBefore w:val="0"/>
        <w:wordWrap/>
        <w:bidi w:val="0"/>
        <w:adjustRightInd/>
        <w:snapToGrid/>
        <w:rPr>
          <w:color w:val="auto"/>
        </w:rPr>
      </w:pPr>
      <w:r>
        <w:rPr>
          <w:rFonts w:hint="eastAsia"/>
          <w:color w:val="auto"/>
        </w:rPr>
        <w:t>情景</w:t>
      </w:r>
      <w:r>
        <w:rPr>
          <w:rFonts w:hint="eastAsia"/>
          <w:color w:val="auto"/>
          <w:lang w:eastAsia="zh-CN"/>
        </w:rPr>
        <w:t>：</w:t>
      </w:r>
      <w:r>
        <w:rPr>
          <w:rFonts w:hint="eastAsia"/>
          <w:color w:val="auto"/>
          <w:lang w:val="en-US" w:eastAsia="zh-CN"/>
        </w:rPr>
        <w:t>修编</w:t>
      </w:r>
      <w:r>
        <w:rPr>
          <w:rFonts w:hint="eastAsia"/>
          <w:color w:val="auto"/>
        </w:rPr>
        <w:t>规划环评建议优化调整方案，即曾口区块BDO装置规模从30万吨/年调整至20万吨/年。</w:t>
      </w:r>
    </w:p>
    <w:p w14:paraId="20E926E5">
      <w:pPr>
        <w:pStyle w:val="19"/>
        <w:numPr>
          <w:ilvl w:val="0"/>
          <w:numId w:val="16"/>
        </w:numPr>
        <w:bidi w:val="0"/>
        <w:ind w:left="0" w:leftChars="0" w:firstLine="0" w:firstLineChars="0"/>
        <w:rPr>
          <w:rFonts w:hint="default"/>
          <w:color w:val="auto"/>
          <w:lang w:val="en-US" w:eastAsia="zh-CN"/>
        </w:rPr>
      </w:pPr>
      <w:r>
        <w:rPr>
          <w:rFonts w:hint="eastAsia"/>
          <w:color w:val="auto"/>
          <w:lang w:val="en-US" w:eastAsia="zh-CN"/>
        </w:rPr>
        <w:t>规划曾口区块废水产生情况</w:t>
      </w:r>
    </w:p>
    <w:tbl>
      <w:tblPr>
        <w:tblStyle w:val="53"/>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401"/>
        <w:gridCol w:w="436"/>
        <w:gridCol w:w="440"/>
        <w:gridCol w:w="440"/>
        <w:gridCol w:w="476"/>
        <w:gridCol w:w="582"/>
        <w:gridCol w:w="4587"/>
      </w:tblGrid>
      <w:tr w14:paraId="62D4FD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vMerge w:val="restart"/>
            <w:tcBorders>
              <w:tl2br w:val="nil"/>
              <w:tr2bl w:val="nil"/>
            </w:tcBorders>
            <w:noWrap w:val="0"/>
            <w:vAlign w:val="center"/>
          </w:tcPr>
          <w:p w14:paraId="4DF42096">
            <w:pPr>
              <w:pStyle w:val="16"/>
              <w:pageBreakBefore w:val="0"/>
              <w:wordWrap/>
              <w:bidi w:val="0"/>
              <w:adjustRightInd/>
              <w:snapToGrid/>
              <w:rPr>
                <w:rFonts w:hint="default"/>
                <w:b/>
                <w:bCs/>
                <w:color w:val="auto"/>
                <w:lang w:val="en-US" w:eastAsia="zh-CN"/>
              </w:rPr>
            </w:pPr>
            <w:r>
              <w:rPr>
                <w:rFonts w:hint="eastAsia"/>
                <w:b/>
                <w:bCs/>
                <w:color w:val="auto"/>
                <w:lang w:val="en-US" w:eastAsia="zh-CN"/>
              </w:rPr>
              <w:t>产品名称</w:t>
            </w:r>
          </w:p>
        </w:tc>
        <w:tc>
          <w:tcPr>
            <w:tcW w:w="0" w:type="auto"/>
            <w:gridSpan w:val="3"/>
            <w:tcBorders>
              <w:tl2br w:val="nil"/>
              <w:tr2bl w:val="nil"/>
            </w:tcBorders>
            <w:noWrap w:val="0"/>
            <w:vAlign w:val="center"/>
          </w:tcPr>
          <w:p w14:paraId="7036DA9D">
            <w:pPr>
              <w:pStyle w:val="16"/>
              <w:pageBreakBefore w:val="0"/>
              <w:wordWrap/>
              <w:bidi w:val="0"/>
              <w:adjustRightInd/>
              <w:snapToGrid/>
              <w:rPr>
                <w:rFonts w:hint="eastAsia"/>
                <w:b/>
                <w:bCs/>
                <w:color w:val="auto"/>
                <w:lang w:val="en-US" w:eastAsia="zh-CN"/>
              </w:rPr>
            </w:pPr>
            <w:r>
              <w:rPr>
                <w:rFonts w:hint="eastAsia"/>
                <w:b/>
                <w:bCs/>
                <w:color w:val="auto"/>
                <w:lang w:val="en-US" w:eastAsia="zh-CN"/>
              </w:rPr>
              <w:t>规划规模</w:t>
            </w:r>
          </w:p>
          <w:p w14:paraId="7B02BFCB">
            <w:pPr>
              <w:pStyle w:val="16"/>
              <w:pageBreakBefore w:val="0"/>
              <w:wordWrap/>
              <w:bidi w:val="0"/>
              <w:adjustRightInd/>
              <w:snapToGrid/>
              <w:rPr>
                <w:rFonts w:hint="default"/>
                <w:b/>
                <w:bCs/>
                <w:color w:val="auto"/>
                <w:lang w:val="en-US" w:eastAsia="zh-CN"/>
              </w:rPr>
            </w:pPr>
            <w:r>
              <w:rPr>
                <w:rFonts w:hint="eastAsia"/>
                <w:b/>
                <w:bCs/>
                <w:color w:val="auto"/>
                <w:lang w:val="en-US" w:eastAsia="zh-CN"/>
              </w:rPr>
              <w:t>（万t/a）</w:t>
            </w:r>
          </w:p>
        </w:tc>
        <w:tc>
          <w:tcPr>
            <w:tcW w:w="0" w:type="auto"/>
            <w:gridSpan w:val="2"/>
            <w:tcBorders>
              <w:tl2br w:val="nil"/>
              <w:tr2bl w:val="nil"/>
            </w:tcBorders>
            <w:noWrap w:val="0"/>
            <w:vAlign w:val="center"/>
          </w:tcPr>
          <w:p w14:paraId="74D2B502">
            <w:pPr>
              <w:pStyle w:val="16"/>
              <w:pageBreakBefore w:val="0"/>
              <w:wordWrap/>
              <w:bidi w:val="0"/>
              <w:adjustRightInd/>
              <w:snapToGrid/>
              <w:rPr>
                <w:rFonts w:hint="eastAsia"/>
                <w:b/>
                <w:bCs/>
                <w:color w:val="auto"/>
                <w:lang w:val="en-US" w:eastAsia="zh-CN"/>
              </w:rPr>
            </w:pPr>
            <w:r>
              <w:rPr>
                <w:rFonts w:hint="eastAsia"/>
                <w:b/>
                <w:bCs/>
                <w:color w:val="auto"/>
                <w:lang w:val="en-US" w:eastAsia="zh-CN"/>
              </w:rPr>
              <w:t>废水量</w:t>
            </w:r>
          </w:p>
          <w:p w14:paraId="5D4BDD53">
            <w:pPr>
              <w:pStyle w:val="16"/>
              <w:pageBreakBefore w:val="0"/>
              <w:wordWrap/>
              <w:bidi w:val="0"/>
              <w:adjustRightInd/>
              <w:snapToGrid/>
              <w:rPr>
                <w:b/>
                <w:bCs/>
                <w:color w:val="auto"/>
              </w:rPr>
            </w:pPr>
            <w:r>
              <w:rPr>
                <w:rFonts w:hint="eastAsia"/>
                <w:b/>
                <w:bCs/>
                <w:color w:val="auto"/>
                <w:lang w:val="en-US" w:eastAsia="zh-CN"/>
              </w:rPr>
              <w:t>（m³/d）</w:t>
            </w:r>
          </w:p>
        </w:tc>
        <w:tc>
          <w:tcPr>
            <w:tcW w:w="0" w:type="auto"/>
            <w:vMerge w:val="restart"/>
            <w:tcBorders>
              <w:tl2br w:val="nil"/>
              <w:tr2bl w:val="nil"/>
            </w:tcBorders>
            <w:noWrap w:val="0"/>
            <w:vAlign w:val="center"/>
          </w:tcPr>
          <w:p w14:paraId="0F885393">
            <w:pPr>
              <w:pStyle w:val="16"/>
              <w:pageBreakBefore w:val="0"/>
              <w:wordWrap/>
              <w:bidi w:val="0"/>
              <w:adjustRightInd/>
              <w:snapToGrid/>
              <w:rPr>
                <w:rFonts w:hint="default"/>
                <w:b/>
                <w:bCs/>
                <w:color w:val="auto"/>
                <w:lang w:val="en-US" w:eastAsia="zh-CN"/>
              </w:rPr>
            </w:pPr>
            <w:r>
              <w:rPr>
                <w:rFonts w:hint="eastAsia"/>
                <w:b/>
                <w:bCs/>
                <w:color w:val="auto"/>
                <w:lang w:val="en-US" w:eastAsia="zh-CN"/>
              </w:rPr>
              <w:t>类比项目</w:t>
            </w:r>
          </w:p>
        </w:tc>
      </w:tr>
      <w:tr w14:paraId="4C554E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vMerge w:val="continue"/>
            <w:tcBorders>
              <w:tl2br w:val="nil"/>
              <w:tr2bl w:val="nil"/>
            </w:tcBorders>
            <w:noWrap w:val="0"/>
            <w:vAlign w:val="center"/>
          </w:tcPr>
          <w:p w14:paraId="57557027">
            <w:pPr>
              <w:pStyle w:val="16"/>
              <w:pageBreakBefore w:val="0"/>
              <w:wordWrap/>
              <w:bidi w:val="0"/>
              <w:adjustRightInd/>
              <w:snapToGrid/>
              <w:rPr>
                <w:color w:val="auto"/>
              </w:rPr>
            </w:pPr>
          </w:p>
        </w:tc>
        <w:tc>
          <w:tcPr>
            <w:tcW w:w="0" w:type="auto"/>
            <w:tcBorders>
              <w:tl2br w:val="nil"/>
              <w:tr2bl w:val="nil"/>
            </w:tcBorders>
            <w:noWrap w:val="0"/>
            <w:vAlign w:val="center"/>
          </w:tcPr>
          <w:p w14:paraId="3EE717B2">
            <w:pPr>
              <w:pStyle w:val="16"/>
              <w:pageBreakBefore w:val="0"/>
              <w:wordWrap/>
              <w:bidi w:val="0"/>
              <w:adjustRightInd/>
              <w:snapToGrid/>
              <w:rPr>
                <w:rFonts w:hint="eastAsia"/>
                <w:b/>
                <w:bCs/>
                <w:color w:val="auto"/>
                <w:lang w:val="en-US" w:eastAsia="zh-CN"/>
              </w:rPr>
            </w:pPr>
            <w:r>
              <w:rPr>
                <w:rFonts w:hint="eastAsia"/>
                <w:b/>
                <w:bCs/>
                <w:color w:val="auto"/>
                <w:lang w:val="en-US" w:eastAsia="zh-CN"/>
              </w:rPr>
              <w:t>近期</w:t>
            </w:r>
          </w:p>
        </w:tc>
        <w:tc>
          <w:tcPr>
            <w:tcW w:w="0" w:type="auto"/>
            <w:tcBorders>
              <w:tl2br w:val="nil"/>
              <w:tr2bl w:val="nil"/>
            </w:tcBorders>
            <w:noWrap w:val="0"/>
            <w:vAlign w:val="center"/>
          </w:tcPr>
          <w:p w14:paraId="7029475C">
            <w:pPr>
              <w:pStyle w:val="16"/>
              <w:pageBreakBefore w:val="0"/>
              <w:wordWrap/>
              <w:bidi w:val="0"/>
              <w:adjustRightInd/>
              <w:snapToGrid/>
              <w:rPr>
                <w:rFonts w:hint="eastAsia"/>
                <w:b/>
                <w:bCs/>
                <w:color w:val="auto"/>
                <w:lang w:val="en-US" w:eastAsia="zh-CN"/>
              </w:rPr>
            </w:pPr>
            <w:r>
              <w:rPr>
                <w:rFonts w:hint="eastAsia"/>
                <w:b/>
                <w:bCs/>
                <w:color w:val="auto"/>
                <w:lang w:val="en-US" w:eastAsia="zh-CN"/>
              </w:rPr>
              <w:t>远期</w:t>
            </w:r>
          </w:p>
        </w:tc>
        <w:tc>
          <w:tcPr>
            <w:tcW w:w="0" w:type="auto"/>
            <w:tcBorders>
              <w:tl2br w:val="nil"/>
              <w:tr2bl w:val="nil"/>
            </w:tcBorders>
            <w:noWrap w:val="0"/>
            <w:vAlign w:val="center"/>
          </w:tcPr>
          <w:p w14:paraId="300C8EF7">
            <w:pPr>
              <w:pStyle w:val="16"/>
              <w:pageBreakBefore w:val="0"/>
              <w:wordWrap/>
              <w:bidi w:val="0"/>
              <w:adjustRightInd/>
              <w:snapToGrid/>
              <w:rPr>
                <w:rFonts w:hint="eastAsia"/>
                <w:b/>
                <w:bCs/>
                <w:color w:val="auto"/>
                <w:lang w:val="en-US" w:eastAsia="zh-CN"/>
              </w:rPr>
            </w:pPr>
            <w:r>
              <w:rPr>
                <w:rFonts w:hint="eastAsia"/>
                <w:b/>
                <w:bCs/>
                <w:color w:val="auto"/>
                <w:lang w:val="en-US" w:eastAsia="zh-CN"/>
              </w:rPr>
              <w:t>最终</w:t>
            </w:r>
          </w:p>
        </w:tc>
        <w:tc>
          <w:tcPr>
            <w:tcW w:w="0" w:type="auto"/>
            <w:tcBorders>
              <w:tl2br w:val="nil"/>
              <w:tr2bl w:val="nil"/>
            </w:tcBorders>
            <w:noWrap w:val="0"/>
            <w:vAlign w:val="center"/>
          </w:tcPr>
          <w:p w14:paraId="64C743D4">
            <w:pPr>
              <w:pStyle w:val="16"/>
              <w:pageBreakBefore w:val="0"/>
              <w:wordWrap/>
              <w:bidi w:val="0"/>
              <w:adjustRightInd/>
              <w:snapToGrid/>
              <w:rPr>
                <w:rFonts w:hint="eastAsia"/>
                <w:b/>
                <w:bCs/>
                <w:color w:val="auto"/>
                <w:lang w:val="en-US" w:eastAsia="zh-CN"/>
              </w:rPr>
            </w:pPr>
            <w:r>
              <w:rPr>
                <w:rFonts w:hint="eastAsia"/>
                <w:b/>
                <w:bCs/>
                <w:color w:val="auto"/>
                <w:lang w:val="en-US" w:eastAsia="zh-CN"/>
              </w:rPr>
              <w:t>近期</w:t>
            </w:r>
          </w:p>
        </w:tc>
        <w:tc>
          <w:tcPr>
            <w:tcW w:w="0" w:type="auto"/>
            <w:tcBorders>
              <w:tl2br w:val="nil"/>
              <w:tr2bl w:val="nil"/>
            </w:tcBorders>
            <w:noWrap w:val="0"/>
            <w:vAlign w:val="center"/>
          </w:tcPr>
          <w:p w14:paraId="4DB9618E">
            <w:pPr>
              <w:pStyle w:val="16"/>
              <w:pageBreakBefore w:val="0"/>
              <w:wordWrap/>
              <w:bidi w:val="0"/>
              <w:adjustRightInd/>
              <w:snapToGrid/>
              <w:rPr>
                <w:rFonts w:hint="eastAsia"/>
                <w:b/>
                <w:bCs/>
                <w:color w:val="auto"/>
                <w:lang w:val="en-US" w:eastAsia="zh-CN"/>
              </w:rPr>
            </w:pPr>
            <w:r>
              <w:rPr>
                <w:rFonts w:hint="eastAsia"/>
                <w:b/>
                <w:bCs/>
                <w:color w:val="auto"/>
                <w:lang w:val="en-US" w:eastAsia="zh-CN"/>
              </w:rPr>
              <w:t>远期</w:t>
            </w:r>
          </w:p>
        </w:tc>
        <w:tc>
          <w:tcPr>
            <w:tcW w:w="0" w:type="auto"/>
            <w:vMerge w:val="continue"/>
            <w:tcBorders>
              <w:tl2br w:val="nil"/>
              <w:tr2bl w:val="nil"/>
            </w:tcBorders>
            <w:noWrap w:val="0"/>
            <w:vAlign w:val="center"/>
          </w:tcPr>
          <w:p w14:paraId="484DAFB1">
            <w:pPr>
              <w:pStyle w:val="16"/>
              <w:pageBreakBefore w:val="0"/>
              <w:wordWrap/>
              <w:bidi w:val="0"/>
              <w:adjustRightInd/>
              <w:snapToGrid/>
              <w:rPr>
                <w:color w:val="auto"/>
              </w:rPr>
            </w:pPr>
          </w:p>
        </w:tc>
      </w:tr>
      <w:tr w14:paraId="19C41E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1BDD760B">
            <w:pPr>
              <w:pStyle w:val="16"/>
              <w:pageBreakBefore w:val="0"/>
              <w:wordWrap/>
              <w:bidi w:val="0"/>
              <w:adjustRightInd/>
              <w:snapToGrid/>
              <w:rPr>
                <w:color w:val="auto"/>
              </w:rPr>
            </w:pPr>
            <w:r>
              <w:rPr>
                <w:color w:val="auto"/>
              </w:rPr>
              <w:t>石墨烯项目</w:t>
            </w:r>
          </w:p>
        </w:tc>
        <w:tc>
          <w:tcPr>
            <w:tcW w:w="0" w:type="auto"/>
            <w:tcBorders>
              <w:tl2br w:val="nil"/>
              <w:tr2bl w:val="nil"/>
            </w:tcBorders>
            <w:noWrap w:val="0"/>
            <w:vAlign w:val="center"/>
          </w:tcPr>
          <w:p w14:paraId="0F9B9387">
            <w:pPr>
              <w:pStyle w:val="16"/>
              <w:pageBreakBefore w:val="0"/>
              <w:wordWrap/>
              <w:bidi w:val="0"/>
              <w:adjustRightInd/>
              <w:snapToGrid/>
              <w:rPr>
                <w:color w:val="auto"/>
              </w:rPr>
            </w:pPr>
            <w:r>
              <w:rPr>
                <w:color w:val="auto"/>
              </w:rPr>
              <w:t>0.01</w:t>
            </w:r>
          </w:p>
        </w:tc>
        <w:tc>
          <w:tcPr>
            <w:tcW w:w="0" w:type="auto"/>
            <w:tcBorders>
              <w:tl2br w:val="nil"/>
              <w:tr2bl w:val="nil"/>
            </w:tcBorders>
            <w:noWrap w:val="0"/>
            <w:vAlign w:val="center"/>
          </w:tcPr>
          <w:p w14:paraId="30CE44D4">
            <w:pPr>
              <w:pStyle w:val="16"/>
              <w:pageBreakBefore w:val="0"/>
              <w:wordWrap/>
              <w:bidi w:val="0"/>
              <w:adjustRightInd/>
              <w:snapToGrid/>
              <w:rPr>
                <w:color w:val="auto"/>
              </w:rPr>
            </w:pPr>
          </w:p>
        </w:tc>
        <w:tc>
          <w:tcPr>
            <w:tcW w:w="0" w:type="auto"/>
            <w:tcBorders>
              <w:tl2br w:val="nil"/>
              <w:tr2bl w:val="nil"/>
            </w:tcBorders>
            <w:noWrap w:val="0"/>
            <w:vAlign w:val="center"/>
          </w:tcPr>
          <w:p w14:paraId="55DD84CF">
            <w:pPr>
              <w:pStyle w:val="16"/>
              <w:pageBreakBefore w:val="0"/>
              <w:wordWrap/>
              <w:bidi w:val="0"/>
              <w:adjustRightInd/>
              <w:snapToGrid/>
              <w:rPr>
                <w:color w:val="auto"/>
              </w:rPr>
            </w:pPr>
            <w:r>
              <w:rPr>
                <w:color w:val="auto"/>
              </w:rPr>
              <w:t>0.01</w:t>
            </w:r>
          </w:p>
        </w:tc>
        <w:tc>
          <w:tcPr>
            <w:tcW w:w="0" w:type="auto"/>
            <w:tcBorders>
              <w:tl2br w:val="nil"/>
              <w:tr2bl w:val="nil"/>
            </w:tcBorders>
            <w:noWrap w:val="0"/>
            <w:vAlign w:val="center"/>
          </w:tcPr>
          <w:p w14:paraId="3B1160F5">
            <w:pPr>
              <w:pStyle w:val="16"/>
              <w:pageBreakBefore w:val="0"/>
              <w:wordWrap/>
              <w:bidi w:val="0"/>
              <w:adjustRightInd/>
              <w:snapToGrid/>
              <w:rPr>
                <w:color w:val="auto"/>
              </w:rPr>
            </w:pPr>
            <w:r>
              <w:rPr>
                <w:color w:val="auto"/>
              </w:rPr>
              <w:t>392</w:t>
            </w:r>
          </w:p>
        </w:tc>
        <w:tc>
          <w:tcPr>
            <w:tcW w:w="0" w:type="auto"/>
            <w:tcBorders>
              <w:tl2br w:val="nil"/>
              <w:tr2bl w:val="nil"/>
            </w:tcBorders>
            <w:noWrap w:val="0"/>
            <w:vAlign w:val="center"/>
          </w:tcPr>
          <w:p w14:paraId="0C17D4AF">
            <w:pPr>
              <w:pStyle w:val="16"/>
              <w:pageBreakBefore w:val="0"/>
              <w:wordWrap/>
              <w:bidi w:val="0"/>
              <w:adjustRightInd/>
              <w:snapToGrid/>
              <w:rPr>
                <w:color w:val="auto"/>
              </w:rPr>
            </w:pPr>
            <w:r>
              <w:rPr>
                <w:color w:val="auto"/>
              </w:rPr>
              <w:t>392</w:t>
            </w:r>
          </w:p>
        </w:tc>
        <w:tc>
          <w:tcPr>
            <w:tcW w:w="0" w:type="auto"/>
            <w:tcBorders>
              <w:tl2br w:val="nil"/>
              <w:tr2bl w:val="nil"/>
            </w:tcBorders>
            <w:noWrap w:val="0"/>
            <w:vAlign w:val="center"/>
          </w:tcPr>
          <w:p w14:paraId="0141B88B">
            <w:pPr>
              <w:pStyle w:val="16"/>
              <w:pageBreakBefore w:val="0"/>
              <w:wordWrap/>
              <w:bidi w:val="0"/>
              <w:adjustRightInd/>
              <w:snapToGrid/>
              <w:rPr>
                <w:color w:val="auto"/>
              </w:rPr>
            </w:pPr>
            <w:r>
              <w:rPr>
                <w:color w:val="auto"/>
              </w:rPr>
              <w:t>青岛华高汇石墨烯碳材料有限公司100吨</w:t>
            </w:r>
            <w:r>
              <w:rPr>
                <w:rFonts w:hint="eastAsia"/>
                <w:color w:val="auto"/>
                <w:lang w:eastAsia="zh-CN"/>
              </w:rPr>
              <w:t>（</w:t>
            </w:r>
            <w:r>
              <w:rPr>
                <w:color w:val="auto"/>
              </w:rPr>
              <w:t>氧化</w:t>
            </w:r>
            <w:r>
              <w:rPr>
                <w:rFonts w:hint="eastAsia"/>
                <w:color w:val="auto"/>
                <w:lang w:eastAsia="zh-CN"/>
              </w:rPr>
              <w:t>）</w:t>
            </w:r>
            <w:r>
              <w:rPr>
                <w:color w:val="auto"/>
              </w:rPr>
              <w:t>石墨烯生产项目</w:t>
            </w:r>
          </w:p>
        </w:tc>
      </w:tr>
      <w:tr w14:paraId="6C595E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51B168DA">
            <w:pPr>
              <w:pStyle w:val="16"/>
              <w:pageBreakBefore w:val="0"/>
              <w:wordWrap/>
              <w:bidi w:val="0"/>
              <w:adjustRightInd/>
              <w:snapToGrid/>
              <w:rPr>
                <w:color w:val="auto"/>
              </w:rPr>
            </w:pPr>
            <w:r>
              <w:rPr>
                <w:color w:val="auto"/>
              </w:rPr>
              <w:t>磷酸铁锂项目</w:t>
            </w:r>
          </w:p>
        </w:tc>
        <w:tc>
          <w:tcPr>
            <w:tcW w:w="0" w:type="auto"/>
            <w:tcBorders>
              <w:tl2br w:val="nil"/>
              <w:tr2bl w:val="nil"/>
            </w:tcBorders>
            <w:noWrap w:val="0"/>
            <w:vAlign w:val="center"/>
          </w:tcPr>
          <w:p w14:paraId="5FB929CA">
            <w:pPr>
              <w:pStyle w:val="16"/>
              <w:pageBreakBefore w:val="0"/>
              <w:wordWrap/>
              <w:bidi w:val="0"/>
              <w:adjustRightInd/>
              <w:snapToGrid/>
              <w:rPr>
                <w:color w:val="auto"/>
              </w:rPr>
            </w:pPr>
            <w:r>
              <w:rPr>
                <w:color w:val="auto"/>
              </w:rPr>
              <w:t>10</w:t>
            </w:r>
          </w:p>
        </w:tc>
        <w:tc>
          <w:tcPr>
            <w:tcW w:w="0" w:type="auto"/>
            <w:tcBorders>
              <w:tl2br w:val="nil"/>
              <w:tr2bl w:val="nil"/>
            </w:tcBorders>
            <w:noWrap w:val="0"/>
            <w:vAlign w:val="center"/>
          </w:tcPr>
          <w:p w14:paraId="633CFF77">
            <w:pPr>
              <w:pStyle w:val="16"/>
              <w:pageBreakBefore w:val="0"/>
              <w:wordWrap/>
              <w:bidi w:val="0"/>
              <w:adjustRightInd/>
              <w:snapToGrid/>
              <w:rPr>
                <w:color w:val="auto"/>
              </w:rPr>
            </w:pPr>
          </w:p>
        </w:tc>
        <w:tc>
          <w:tcPr>
            <w:tcW w:w="0" w:type="auto"/>
            <w:tcBorders>
              <w:tl2br w:val="nil"/>
              <w:tr2bl w:val="nil"/>
            </w:tcBorders>
            <w:noWrap w:val="0"/>
            <w:vAlign w:val="center"/>
          </w:tcPr>
          <w:p w14:paraId="3E58140A">
            <w:pPr>
              <w:pStyle w:val="16"/>
              <w:pageBreakBefore w:val="0"/>
              <w:wordWrap/>
              <w:bidi w:val="0"/>
              <w:adjustRightInd/>
              <w:snapToGrid/>
              <w:rPr>
                <w:color w:val="auto"/>
              </w:rPr>
            </w:pPr>
            <w:r>
              <w:rPr>
                <w:color w:val="auto"/>
              </w:rPr>
              <w:t>10</w:t>
            </w:r>
          </w:p>
        </w:tc>
        <w:tc>
          <w:tcPr>
            <w:tcW w:w="0" w:type="auto"/>
            <w:tcBorders>
              <w:tl2br w:val="nil"/>
              <w:tr2bl w:val="nil"/>
            </w:tcBorders>
            <w:noWrap w:val="0"/>
            <w:vAlign w:val="center"/>
          </w:tcPr>
          <w:p w14:paraId="4A0ED0F3">
            <w:pPr>
              <w:pStyle w:val="16"/>
              <w:pageBreakBefore w:val="0"/>
              <w:wordWrap/>
              <w:bidi w:val="0"/>
              <w:adjustRightInd/>
              <w:snapToGrid/>
              <w:rPr>
                <w:color w:val="auto"/>
              </w:rPr>
            </w:pPr>
            <w:r>
              <w:rPr>
                <w:color w:val="auto"/>
              </w:rPr>
              <w:t>600</w:t>
            </w:r>
          </w:p>
        </w:tc>
        <w:tc>
          <w:tcPr>
            <w:tcW w:w="0" w:type="auto"/>
            <w:tcBorders>
              <w:tl2br w:val="nil"/>
              <w:tr2bl w:val="nil"/>
            </w:tcBorders>
            <w:noWrap w:val="0"/>
            <w:vAlign w:val="center"/>
          </w:tcPr>
          <w:p w14:paraId="56C839E6">
            <w:pPr>
              <w:pStyle w:val="16"/>
              <w:pageBreakBefore w:val="0"/>
              <w:wordWrap/>
              <w:bidi w:val="0"/>
              <w:adjustRightInd/>
              <w:snapToGrid/>
              <w:rPr>
                <w:color w:val="auto"/>
              </w:rPr>
            </w:pPr>
            <w:r>
              <w:rPr>
                <w:color w:val="auto"/>
              </w:rPr>
              <w:t>600</w:t>
            </w:r>
          </w:p>
        </w:tc>
        <w:tc>
          <w:tcPr>
            <w:tcW w:w="0" w:type="auto"/>
            <w:tcBorders>
              <w:tl2br w:val="nil"/>
              <w:tr2bl w:val="nil"/>
            </w:tcBorders>
            <w:noWrap w:val="0"/>
            <w:vAlign w:val="center"/>
          </w:tcPr>
          <w:p w14:paraId="0D62E260">
            <w:pPr>
              <w:pStyle w:val="16"/>
              <w:pageBreakBefore w:val="0"/>
              <w:wordWrap/>
              <w:bidi w:val="0"/>
              <w:adjustRightInd/>
              <w:snapToGrid/>
              <w:rPr>
                <w:color w:val="auto"/>
              </w:rPr>
            </w:pPr>
            <w:r>
              <w:rPr>
                <w:color w:val="auto"/>
              </w:rPr>
              <w:t>内江融通高科先进材料有限公司16万吨磷酸铁锂锂电池正极材料生产和循环再制造项目</w:t>
            </w:r>
          </w:p>
        </w:tc>
      </w:tr>
      <w:tr w14:paraId="56728A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284871F9">
            <w:pPr>
              <w:pStyle w:val="16"/>
              <w:pageBreakBefore w:val="0"/>
              <w:wordWrap/>
              <w:bidi w:val="0"/>
              <w:adjustRightInd/>
              <w:snapToGrid/>
              <w:rPr>
                <w:color w:val="auto"/>
              </w:rPr>
            </w:pPr>
            <w:r>
              <w:rPr>
                <w:color w:val="auto"/>
              </w:rPr>
              <w:t>天然气液化*</w:t>
            </w:r>
          </w:p>
        </w:tc>
        <w:tc>
          <w:tcPr>
            <w:tcW w:w="0" w:type="auto"/>
            <w:tcBorders>
              <w:tl2br w:val="nil"/>
              <w:tr2bl w:val="nil"/>
            </w:tcBorders>
            <w:noWrap w:val="0"/>
            <w:vAlign w:val="center"/>
          </w:tcPr>
          <w:p w14:paraId="1B877862">
            <w:pPr>
              <w:pStyle w:val="16"/>
              <w:pageBreakBefore w:val="0"/>
              <w:wordWrap/>
              <w:bidi w:val="0"/>
              <w:adjustRightInd/>
              <w:snapToGrid/>
              <w:rPr>
                <w:color w:val="auto"/>
              </w:rPr>
            </w:pPr>
            <w:r>
              <w:rPr>
                <w:color w:val="auto"/>
              </w:rPr>
              <w:t>50</w:t>
            </w:r>
          </w:p>
        </w:tc>
        <w:tc>
          <w:tcPr>
            <w:tcW w:w="0" w:type="auto"/>
            <w:tcBorders>
              <w:tl2br w:val="nil"/>
              <w:tr2bl w:val="nil"/>
            </w:tcBorders>
            <w:noWrap w:val="0"/>
            <w:vAlign w:val="center"/>
          </w:tcPr>
          <w:p w14:paraId="2CE7B815">
            <w:pPr>
              <w:pStyle w:val="16"/>
              <w:pageBreakBefore w:val="0"/>
              <w:wordWrap/>
              <w:bidi w:val="0"/>
              <w:adjustRightInd/>
              <w:snapToGrid/>
              <w:rPr>
                <w:color w:val="auto"/>
              </w:rPr>
            </w:pPr>
            <w:r>
              <w:rPr>
                <w:color w:val="auto"/>
              </w:rPr>
              <w:t>50</w:t>
            </w:r>
          </w:p>
        </w:tc>
        <w:tc>
          <w:tcPr>
            <w:tcW w:w="0" w:type="auto"/>
            <w:tcBorders>
              <w:tl2br w:val="nil"/>
              <w:tr2bl w:val="nil"/>
            </w:tcBorders>
            <w:noWrap w:val="0"/>
            <w:vAlign w:val="center"/>
          </w:tcPr>
          <w:p w14:paraId="51173A3F">
            <w:pPr>
              <w:pStyle w:val="16"/>
              <w:pageBreakBefore w:val="0"/>
              <w:wordWrap/>
              <w:bidi w:val="0"/>
              <w:adjustRightInd/>
              <w:snapToGrid/>
              <w:rPr>
                <w:color w:val="auto"/>
              </w:rPr>
            </w:pPr>
            <w:r>
              <w:rPr>
                <w:color w:val="auto"/>
              </w:rPr>
              <w:t>100</w:t>
            </w:r>
          </w:p>
        </w:tc>
        <w:tc>
          <w:tcPr>
            <w:tcW w:w="0" w:type="auto"/>
            <w:tcBorders>
              <w:tl2br w:val="nil"/>
              <w:tr2bl w:val="nil"/>
            </w:tcBorders>
            <w:noWrap w:val="0"/>
            <w:vAlign w:val="center"/>
          </w:tcPr>
          <w:p w14:paraId="0E0E56DB">
            <w:pPr>
              <w:pStyle w:val="16"/>
              <w:pageBreakBefore w:val="0"/>
              <w:wordWrap/>
              <w:bidi w:val="0"/>
              <w:adjustRightInd/>
              <w:snapToGrid/>
              <w:rPr>
                <w:color w:val="auto"/>
              </w:rPr>
            </w:pPr>
            <w:r>
              <w:rPr>
                <w:color w:val="auto"/>
              </w:rPr>
              <w:t>840</w:t>
            </w:r>
          </w:p>
        </w:tc>
        <w:tc>
          <w:tcPr>
            <w:tcW w:w="0" w:type="auto"/>
            <w:tcBorders>
              <w:tl2br w:val="nil"/>
              <w:tr2bl w:val="nil"/>
            </w:tcBorders>
            <w:noWrap w:val="0"/>
            <w:vAlign w:val="center"/>
          </w:tcPr>
          <w:p w14:paraId="22AFBE9B">
            <w:pPr>
              <w:pStyle w:val="16"/>
              <w:pageBreakBefore w:val="0"/>
              <w:wordWrap/>
              <w:bidi w:val="0"/>
              <w:adjustRightInd/>
              <w:snapToGrid/>
              <w:rPr>
                <w:color w:val="auto"/>
              </w:rPr>
            </w:pPr>
            <w:r>
              <w:rPr>
                <w:color w:val="auto"/>
              </w:rPr>
              <w:t>1680</w:t>
            </w:r>
          </w:p>
        </w:tc>
        <w:tc>
          <w:tcPr>
            <w:tcW w:w="0" w:type="auto"/>
            <w:tcBorders>
              <w:tl2br w:val="nil"/>
              <w:tr2bl w:val="nil"/>
            </w:tcBorders>
            <w:noWrap w:val="0"/>
            <w:vAlign w:val="center"/>
          </w:tcPr>
          <w:p w14:paraId="10038E9E">
            <w:pPr>
              <w:pStyle w:val="16"/>
              <w:pageBreakBefore w:val="0"/>
              <w:wordWrap/>
              <w:bidi w:val="0"/>
              <w:adjustRightInd/>
              <w:snapToGrid/>
              <w:rPr>
                <w:rFonts w:hint="eastAsia" w:eastAsia="宋体"/>
                <w:color w:val="auto"/>
                <w:lang w:eastAsia="zh-CN"/>
              </w:rPr>
            </w:pPr>
            <w:r>
              <w:rPr>
                <w:color w:val="auto"/>
              </w:rPr>
              <w:t>四川广能能源有限公司高效清洁燃料气综合利用建设项目</w:t>
            </w:r>
            <w:r>
              <w:rPr>
                <w:rFonts w:hint="eastAsia"/>
                <w:color w:val="auto"/>
                <w:lang w:eastAsia="zh-CN"/>
              </w:rPr>
              <w:t>（</w:t>
            </w:r>
            <w:r>
              <w:rPr>
                <w:color w:val="auto"/>
              </w:rPr>
              <w:t>LNG</w:t>
            </w:r>
            <w:r>
              <w:rPr>
                <w:rFonts w:hint="eastAsia"/>
                <w:color w:val="auto"/>
                <w:lang w:eastAsia="zh-CN"/>
              </w:rPr>
              <w:t>）</w:t>
            </w:r>
          </w:p>
        </w:tc>
      </w:tr>
      <w:tr w14:paraId="6596C2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7F2ED3A7">
            <w:pPr>
              <w:pStyle w:val="16"/>
              <w:pageBreakBefore w:val="0"/>
              <w:wordWrap/>
              <w:bidi w:val="0"/>
              <w:adjustRightInd/>
              <w:snapToGrid/>
              <w:rPr>
                <w:color w:val="auto"/>
              </w:rPr>
            </w:pPr>
            <w:r>
              <w:rPr>
                <w:color w:val="auto"/>
              </w:rPr>
              <w:t>电解液项目</w:t>
            </w:r>
          </w:p>
        </w:tc>
        <w:tc>
          <w:tcPr>
            <w:tcW w:w="0" w:type="auto"/>
            <w:tcBorders>
              <w:tl2br w:val="nil"/>
              <w:tr2bl w:val="nil"/>
            </w:tcBorders>
            <w:noWrap w:val="0"/>
            <w:vAlign w:val="center"/>
          </w:tcPr>
          <w:p w14:paraId="6AC49350">
            <w:pPr>
              <w:pStyle w:val="16"/>
              <w:pageBreakBefore w:val="0"/>
              <w:wordWrap/>
              <w:bidi w:val="0"/>
              <w:adjustRightInd/>
              <w:snapToGrid/>
              <w:rPr>
                <w:color w:val="auto"/>
              </w:rPr>
            </w:pPr>
            <w:r>
              <w:rPr>
                <w:rFonts w:hint="eastAsia"/>
                <w:color w:val="auto"/>
                <w:lang w:eastAsia="zh-CN"/>
              </w:rPr>
              <w:t>1</w:t>
            </w:r>
            <w:r>
              <w:rPr>
                <w:color w:val="auto"/>
              </w:rPr>
              <w:t>.5</w:t>
            </w:r>
          </w:p>
        </w:tc>
        <w:tc>
          <w:tcPr>
            <w:tcW w:w="0" w:type="auto"/>
            <w:tcBorders>
              <w:tl2br w:val="nil"/>
              <w:tr2bl w:val="nil"/>
            </w:tcBorders>
            <w:noWrap w:val="0"/>
            <w:vAlign w:val="center"/>
          </w:tcPr>
          <w:p w14:paraId="11B9EABC">
            <w:pPr>
              <w:pStyle w:val="16"/>
              <w:pageBreakBefore w:val="0"/>
              <w:wordWrap/>
              <w:bidi w:val="0"/>
              <w:adjustRightInd/>
              <w:snapToGrid/>
              <w:rPr>
                <w:color w:val="auto"/>
              </w:rPr>
            </w:pPr>
          </w:p>
        </w:tc>
        <w:tc>
          <w:tcPr>
            <w:tcW w:w="0" w:type="auto"/>
            <w:tcBorders>
              <w:tl2br w:val="nil"/>
              <w:tr2bl w:val="nil"/>
            </w:tcBorders>
            <w:noWrap w:val="0"/>
            <w:vAlign w:val="center"/>
          </w:tcPr>
          <w:p w14:paraId="4558C85F">
            <w:pPr>
              <w:pStyle w:val="16"/>
              <w:pageBreakBefore w:val="0"/>
              <w:wordWrap/>
              <w:bidi w:val="0"/>
              <w:adjustRightInd/>
              <w:snapToGrid/>
              <w:rPr>
                <w:color w:val="auto"/>
              </w:rPr>
            </w:pPr>
            <w:r>
              <w:rPr>
                <w:rFonts w:hint="eastAsia"/>
                <w:color w:val="auto"/>
                <w:lang w:eastAsia="zh-CN"/>
              </w:rPr>
              <w:t>1</w:t>
            </w:r>
            <w:r>
              <w:rPr>
                <w:color w:val="auto"/>
              </w:rPr>
              <w:t>.5</w:t>
            </w:r>
          </w:p>
        </w:tc>
        <w:tc>
          <w:tcPr>
            <w:tcW w:w="0" w:type="auto"/>
            <w:tcBorders>
              <w:tl2br w:val="nil"/>
              <w:tr2bl w:val="nil"/>
            </w:tcBorders>
            <w:noWrap w:val="0"/>
            <w:vAlign w:val="center"/>
          </w:tcPr>
          <w:p w14:paraId="0D47E7BD">
            <w:pPr>
              <w:pStyle w:val="16"/>
              <w:pageBreakBefore w:val="0"/>
              <w:wordWrap/>
              <w:bidi w:val="0"/>
              <w:adjustRightInd/>
              <w:snapToGrid/>
              <w:rPr>
                <w:color w:val="auto"/>
              </w:rPr>
            </w:pPr>
            <w:r>
              <w:rPr>
                <w:color w:val="auto"/>
              </w:rPr>
              <w:t>561</w:t>
            </w:r>
          </w:p>
        </w:tc>
        <w:tc>
          <w:tcPr>
            <w:tcW w:w="0" w:type="auto"/>
            <w:tcBorders>
              <w:tl2br w:val="nil"/>
              <w:tr2bl w:val="nil"/>
            </w:tcBorders>
            <w:noWrap w:val="0"/>
            <w:vAlign w:val="center"/>
          </w:tcPr>
          <w:p w14:paraId="06CDC8F3">
            <w:pPr>
              <w:pStyle w:val="16"/>
              <w:pageBreakBefore w:val="0"/>
              <w:wordWrap/>
              <w:bidi w:val="0"/>
              <w:adjustRightInd/>
              <w:snapToGrid/>
              <w:rPr>
                <w:color w:val="auto"/>
              </w:rPr>
            </w:pPr>
            <w:r>
              <w:rPr>
                <w:color w:val="auto"/>
              </w:rPr>
              <w:t>561</w:t>
            </w:r>
          </w:p>
        </w:tc>
        <w:tc>
          <w:tcPr>
            <w:tcW w:w="0" w:type="auto"/>
            <w:tcBorders>
              <w:tl2br w:val="nil"/>
              <w:tr2bl w:val="nil"/>
            </w:tcBorders>
            <w:noWrap w:val="0"/>
            <w:vAlign w:val="center"/>
          </w:tcPr>
          <w:p w14:paraId="68FFEDFD">
            <w:pPr>
              <w:pStyle w:val="16"/>
              <w:pageBreakBefore w:val="0"/>
              <w:wordWrap/>
              <w:bidi w:val="0"/>
              <w:adjustRightInd/>
              <w:snapToGrid/>
              <w:rPr>
                <w:color w:val="auto"/>
              </w:rPr>
            </w:pPr>
            <w:r>
              <w:rPr>
                <w:color w:val="auto"/>
              </w:rPr>
              <w:t>山东航盛新能源材料有限公司年产2万吨锂电池电解液</w:t>
            </w:r>
            <w:r>
              <w:rPr>
                <w:rFonts w:hint="eastAsia"/>
                <w:color w:val="auto"/>
                <w:lang w:eastAsia="zh-CN"/>
              </w:rPr>
              <w:t>项目</w:t>
            </w:r>
          </w:p>
        </w:tc>
      </w:tr>
      <w:tr w14:paraId="513545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02CE18C6">
            <w:pPr>
              <w:pStyle w:val="16"/>
              <w:pageBreakBefore w:val="0"/>
              <w:wordWrap/>
              <w:bidi w:val="0"/>
              <w:adjustRightInd/>
              <w:snapToGrid/>
              <w:rPr>
                <w:color w:val="auto"/>
              </w:rPr>
            </w:pPr>
            <w:r>
              <w:rPr>
                <w:color w:val="auto"/>
              </w:rPr>
              <w:t>天然气制乙炔/甲醛</w:t>
            </w:r>
          </w:p>
        </w:tc>
        <w:tc>
          <w:tcPr>
            <w:tcW w:w="0" w:type="auto"/>
            <w:tcBorders>
              <w:tl2br w:val="nil"/>
              <w:tr2bl w:val="nil"/>
            </w:tcBorders>
            <w:noWrap w:val="0"/>
            <w:vAlign w:val="center"/>
          </w:tcPr>
          <w:p w14:paraId="324CE044">
            <w:pPr>
              <w:pStyle w:val="16"/>
              <w:pageBreakBefore w:val="0"/>
              <w:wordWrap/>
              <w:bidi w:val="0"/>
              <w:adjustRightInd/>
              <w:snapToGrid/>
              <w:rPr>
                <w:color w:val="auto"/>
              </w:rPr>
            </w:pPr>
          </w:p>
        </w:tc>
        <w:tc>
          <w:tcPr>
            <w:tcW w:w="0" w:type="auto"/>
            <w:tcBorders>
              <w:tl2br w:val="nil"/>
              <w:tr2bl w:val="nil"/>
            </w:tcBorders>
            <w:noWrap w:val="0"/>
            <w:vAlign w:val="center"/>
          </w:tcPr>
          <w:p w14:paraId="2153A529">
            <w:pPr>
              <w:pStyle w:val="16"/>
              <w:pageBreakBefore w:val="0"/>
              <w:wordWrap/>
              <w:bidi w:val="0"/>
              <w:adjustRightInd/>
              <w:snapToGrid/>
              <w:rPr>
                <w:color w:val="auto"/>
              </w:rPr>
            </w:pPr>
            <w:r>
              <w:rPr>
                <w:color w:val="auto"/>
              </w:rPr>
              <w:t>6/25</w:t>
            </w:r>
          </w:p>
        </w:tc>
        <w:tc>
          <w:tcPr>
            <w:tcW w:w="0" w:type="auto"/>
            <w:tcBorders>
              <w:tl2br w:val="nil"/>
              <w:tr2bl w:val="nil"/>
            </w:tcBorders>
            <w:noWrap w:val="0"/>
            <w:vAlign w:val="center"/>
          </w:tcPr>
          <w:p w14:paraId="412FE8F3">
            <w:pPr>
              <w:pStyle w:val="16"/>
              <w:pageBreakBefore w:val="0"/>
              <w:wordWrap/>
              <w:bidi w:val="0"/>
              <w:adjustRightInd/>
              <w:snapToGrid/>
              <w:rPr>
                <w:color w:val="auto"/>
              </w:rPr>
            </w:pPr>
            <w:r>
              <w:rPr>
                <w:color w:val="auto"/>
              </w:rPr>
              <w:t>6/25</w:t>
            </w:r>
          </w:p>
        </w:tc>
        <w:tc>
          <w:tcPr>
            <w:tcW w:w="0" w:type="auto"/>
            <w:tcBorders>
              <w:tl2br w:val="nil"/>
              <w:tr2bl w:val="nil"/>
            </w:tcBorders>
            <w:noWrap w:val="0"/>
            <w:vAlign w:val="center"/>
          </w:tcPr>
          <w:p w14:paraId="5747C1EA">
            <w:pPr>
              <w:pStyle w:val="16"/>
              <w:pageBreakBefore w:val="0"/>
              <w:wordWrap/>
              <w:bidi w:val="0"/>
              <w:adjustRightInd/>
              <w:snapToGrid/>
              <w:rPr>
                <w:color w:val="auto"/>
              </w:rPr>
            </w:pPr>
          </w:p>
        </w:tc>
        <w:tc>
          <w:tcPr>
            <w:tcW w:w="0" w:type="auto"/>
            <w:tcBorders>
              <w:tl2br w:val="nil"/>
              <w:tr2bl w:val="nil"/>
            </w:tcBorders>
            <w:noWrap w:val="0"/>
            <w:vAlign w:val="center"/>
          </w:tcPr>
          <w:p w14:paraId="0F98B7DF">
            <w:pPr>
              <w:pStyle w:val="16"/>
              <w:pageBreakBefore w:val="0"/>
              <w:wordWrap/>
              <w:bidi w:val="0"/>
              <w:adjustRightInd/>
              <w:snapToGrid/>
              <w:rPr>
                <w:color w:val="auto"/>
              </w:rPr>
            </w:pPr>
            <w:r>
              <w:rPr>
                <w:color w:val="auto"/>
              </w:rPr>
              <w:t>4874</w:t>
            </w:r>
          </w:p>
        </w:tc>
        <w:tc>
          <w:tcPr>
            <w:tcW w:w="0" w:type="auto"/>
            <w:vMerge w:val="restart"/>
            <w:tcBorders>
              <w:tl2br w:val="nil"/>
              <w:tr2bl w:val="nil"/>
            </w:tcBorders>
            <w:noWrap w:val="0"/>
            <w:vAlign w:val="center"/>
          </w:tcPr>
          <w:p w14:paraId="52AB2ED4">
            <w:pPr>
              <w:pStyle w:val="16"/>
              <w:pageBreakBefore w:val="0"/>
              <w:wordWrap/>
              <w:bidi w:val="0"/>
              <w:adjustRightInd/>
              <w:snapToGrid/>
              <w:rPr>
                <w:color w:val="auto"/>
              </w:rPr>
            </w:pPr>
            <w:r>
              <w:rPr>
                <w:color w:val="auto"/>
              </w:rPr>
              <w:t>《四川永盈新材料有限公司年产80万吨功能性新材料一体化产业链项目一期工程》</w:t>
            </w:r>
          </w:p>
        </w:tc>
      </w:tr>
      <w:tr w14:paraId="0202AE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3A0C0DDE">
            <w:pPr>
              <w:pStyle w:val="16"/>
              <w:pageBreakBefore w:val="0"/>
              <w:wordWrap/>
              <w:bidi w:val="0"/>
              <w:adjustRightInd/>
              <w:snapToGrid/>
              <w:rPr>
                <w:rFonts w:hint="eastAsia" w:eastAsia="宋体"/>
                <w:color w:val="auto"/>
                <w:lang w:eastAsia="zh-CN"/>
              </w:rPr>
            </w:pPr>
            <w:r>
              <w:rPr>
                <w:color w:val="auto"/>
              </w:rPr>
              <w:t>1</w:t>
            </w:r>
            <w:r>
              <w:rPr>
                <w:rFonts w:hint="eastAsia"/>
                <w:color w:val="auto"/>
                <w:lang w:eastAsia="zh-CN"/>
              </w:rPr>
              <w:t>，</w:t>
            </w:r>
            <w:r>
              <w:rPr>
                <w:color w:val="auto"/>
              </w:rPr>
              <w:t>4-丁二醇</w:t>
            </w:r>
            <w:r>
              <w:rPr>
                <w:rFonts w:hint="eastAsia"/>
                <w:color w:val="auto"/>
                <w:lang w:eastAsia="zh-CN"/>
              </w:rPr>
              <w:t>（</w:t>
            </w:r>
            <w:r>
              <w:rPr>
                <w:color w:val="auto"/>
              </w:rPr>
              <w:t>BDO</w:t>
            </w:r>
            <w:r>
              <w:rPr>
                <w:rFonts w:hint="eastAsia"/>
                <w:color w:val="auto"/>
                <w:lang w:eastAsia="zh-CN"/>
              </w:rPr>
              <w:t>）</w:t>
            </w:r>
          </w:p>
        </w:tc>
        <w:tc>
          <w:tcPr>
            <w:tcW w:w="0" w:type="auto"/>
            <w:tcBorders>
              <w:tl2br w:val="nil"/>
              <w:tr2bl w:val="nil"/>
            </w:tcBorders>
            <w:noWrap w:val="0"/>
            <w:vAlign w:val="center"/>
          </w:tcPr>
          <w:p w14:paraId="60A804D5">
            <w:pPr>
              <w:pStyle w:val="16"/>
              <w:pageBreakBefore w:val="0"/>
              <w:wordWrap/>
              <w:bidi w:val="0"/>
              <w:adjustRightInd/>
              <w:snapToGrid/>
              <w:rPr>
                <w:color w:val="auto"/>
              </w:rPr>
            </w:pPr>
          </w:p>
        </w:tc>
        <w:tc>
          <w:tcPr>
            <w:tcW w:w="0" w:type="auto"/>
            <w:tcBorders>
              <w:tl2br w:val="nil"/>
              <w:tr2bl w:val="nil"/>
            </w:tcBorders>
            <w:noWrap w:val="0"/>
            <w:vAlign w:val="center"/>
          </w:tcPr>
          <w:p w14:paraId="5275B99B">
            <w:pPr>
              <w:pStyle w:val="16"/>
              <w:pageBreakBefore w:val="0"/>
              <w:wordWrap/>
              <w:bidi w:val="0"/>
              <w:adjustRightInd/>
              <w:snapToGrid/>
              <w:rPr>
                <w:color w:val="auto"/>
              </w:rPr>
            </w:pPr>
            <w:r>
              <w:rPr>
                <w:color w:val="auto"/>
              </w:rPr>
              <w:t>20</w:t>
            </w:r>
          </w:p>
        </w:tc>
        <w:tc>
          <w:tcPr>
            <w:tcW w:w="0" w:type="auto"/>
            <w:tcBorders>
              <w:tl2br w:val="nil"/>
              <w:tr2bl w:val="nil"/>
            </w:tcBorders>
            <w:noWrap w:val="0"/>
            <w:vAlign w:val="center"/>
          </w:tcPr>
          <w:p w14:paraId="2703E48E">
            <w:pPr>
              <w:pStyle w:val="16"/>
              <w:pageBreakBefore w:val="0"/>
              <w:wordWrap/>
              <w:bidi w:val="0"/>
              <w:adjustRightInd/>
              <w:snapToGrid/>
              <w:rPr>
                <w:color w:val="auto"/>
              </w:rPr>
            </w:pPr>
            <w:r>
              <w:rPr>
                <w:color w:val="auto"/>
              </w:rPr>
              <w:t>20</w:t>
            </w:r>
          </w:p>
        </w:tc>
        <w:tc>
          <w:tcPr>
            <w:tcW w:w="0" w:type="auto"/>
            <w:tcBorders>
              <w:tl2br w:val="nil"/>
              <w:tr2bl w:val="nil"/>
            </w:tcBorders>
            <w:noWrap w:val="0"/>
            <w:vAlign w:val="center"/>
          </w:tcPr>
          <w:p w14:paraId="38C0D8B5">
            <w:pPr>
              <w:pStyle w:val="16"/>
              <w:pageBreakBefore w:val="0"/>
              <w:wordWrap/>
              <w:bidi w:val="0"/>
              <w:adjustRightInd/>
              <w:snapToGrid/>
              <w:rPr>
                <w:color w:val="auto"/>
              </w:rPr>
            </w:pPr>
          </w:p>
        </w:tc>
        <w:tc>
          <w:tcPr>
            <w:tcW w:w="0" w:type="auto"/>
            <w:tcBorders>
              <w:tl2br w:val="nil"/>
              <w:tr2bl w:val="nil"/>
            </w:tcBorders>
            <w:noWrap w:val="0"/>
            <w:vAlign w:val="center"/>
          </w:tcPr>
          <w:p w14:paraId="5395C3C7">
            <w:pPr>
              <w:pStyle w:val="16"/>
              <w:pageBreakBefore w:val="0"/>
              <w:wordWrap/>
              <w:bidi w:val="0"/>
              <w:adjustRightInd/>
              <w:snapToGrid/>
              <w:rPr>
                <w:color w:val="auto"/>
              </w:rPr>
            </w:pPr>
            <w:r>
              <w:rPr>
                <w:color w:val="auto"/>
              </w:rPr>
              <w:t>1425</w:t>
            </w:r>
          </w:p>
        </w:tc>
        <w:tc>
          <w:tcPr>
            <w:tcW w:w="0" w:type="auto"/>
            <w:vMerge w:val="continue"/>
            <w:tcBorders>
              <w:tl2br w:val="nil"/>
              <w:tr2bl w:val="nil"/>
            </w:tcBorders>
            <w:noWrap w:val="0"/>
            <w:vAlign w:val="center"/>
          </w:tcPr>
          <w:p w14:paraId="6209B623">
            <w:pPr>
              <w:pStyle w:val="16"/>
              <w:pageBreakBefore w:val="0"/>
              <w:wordWrap/>
              <w:bidi w:val="0"/>
              <w:adjustRightInd/>
              <w:snapToGrid/>
              <w:rPr>
                <w:color w:val="auto"/>
              </w:rPr>
            </w:pPr>
          </w:p>
        </w:tc>
      </w:tr>
      <w:tr w14:paraId="0F2E2C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6EABFEC4">
            <w:pPr>
              <w:pStyle w:val="16"/>
              <w:pageBreakBefore w:val="0"/>
              <w:wordWrap/>
              <w:bidi w:val="0"/>
              <w:adjustRightInd/>
              <w:snapToGrid/>
              <w:rPr>
                <w:color w:val="auto"/>
              </w:rPr>
            </w:pPr>
            <w:r>
              <w:rPr>
                <w:color w:val="auto"/>
              </w:rPr>
              <w:t>THF/PTMEG</w:t>
            </w:r>
          </w:p>
        </w:tc>
        <w:tc>
          <w:tcPr>
            <w:tcW w:w="0" w:type="auto"/>
            <w:tcBorders>
              <w:tl2br w:val="nil"/>
              <w:tr2bl w:val="nil"/>
            </w:tcBorders>
            <w:noWrap w:val="0"/>
            <w:vAlign w:val="center"/>
          </w:tcPr>
          <w:p w14:paraId="34CC376F">
            <w:pPr>
              <w:pStyle w:val="16"/>
              <w:pageBreakBefore w:val="0"/>
              <w:wordWrap/>
              <w:bidi w:val="0"/>
              <w:adjustRightInd/>
              <w:snapToGrid/>
              <w:rPr>
                <w:color w:val="auto"/>
              </w:rPr>
            </w:pPr>
          </w:p>
        </w:tc>
        <w:tc>
          <w:tcPr>
            <w:tcW w:w="0" w:type="auto"/>
            <w:tcBorders>
              <w:tl2br w:val="nil"/>
              <w:tr2bl w:val="nil"/>
            </w:tcBorders>
            <w:noWrap w:val="0"/>
            <w:vAlign w:val="center"/>
          </w:tcPr>
          <w:p w14:paraId="18A650B2">
            <w:pPr>
              <w:pStyle w:val="16"/>
              <w:pageBreakBefore w:val="0"/>
              <w:wordWrap/>
              <w:bidi w:val="0"/>
              <w:adjustRightInd/>
              <w:snapToGrid/>
              <w:rPr>
                <w:color w:val="auto"/>
              </w:rPr>
            </w:pPr>
            <w:r>
              <w:rPr>
                <w:color w:val="auto"/>
              </w:rPr>
              <w:t>4</w:t>
            </w:r>
          </w:p>
        </w:tc>
        <w:tc>
          <w:tcPr>
            <w:tcW w:w="0" w:type="auto"/>
            <w:tcBorders>
              <w:tl2br w:val="nil"/>
              <w:tr2bl w:val="nil"/>
            </w:tcBorders>
            <w:noWrap w:val="0"/>
            <w:vAlign w:val="center"/>
          </w:tcPr>
          <w:p w14:paraId="3F43A572">
            <w:pPr>
              <w:pStyle w:val="16"/>
              <w:pageBreakBefore w:val="0"/>
              <w:wordWrap/>
              <w:bidi w:val="0"/>
              <w:adjustRightInd/>
              <w:snapToGrid/>
              <w:rPr>
                <w:color w:val="auto"/>
              </w:rPr>
            </w:pPr>
            <w:r>
              <w:rPr>
                <w:color w:val="auto"/>
              </w:rPr>
              <w:t>4</w:t>
            </w:r>
          </w:p>
        </w:tc>
        <w:tc>
          <w:tcPr>
            <w:tcW w:w="0" w:type="auto"/>
            <w:tcBorders>
              <w:tl2br w:val="nil"/>
              <w:tr2bl w:val="nil"/>
            </w:tcBorders>
            <w:noWrap w:val="0"/>
            <w:vAlign w:val="center"/>
          </w:tcPr>
          <w:p w14:paraId="09044544">
            <w:pPr>
              <w:pStyle w:val="16"/>
              <w:pageBreakBefore w:val="0"/>
              <w:wordWrap/>
              <w:bidi w:val="0"/>
              <w:adjustRightInd/>
              <w:snapToGrid/>
              <w:rPr>
                <w:color w:val="auto"/>
              </w:rPr>
            </w:pPr>
          </w:p>
        </w:tc>
        <w:tc>
          <w:tcPr>
            <w:tcW w:w="0" w:type="auto"/>
            <w:tcBorders>
              <w:tl2br w:val="nil"/>
              <w:tr2bl w:val="nil"/>
            </w:tcBorders>
            <w:noWrap w:val="0"/>
            <w:vAlign w:val="center"/>
          </w:tcPr>
          <w:p w14:paraId="61587642">
            <w:pPr>
              <w:pStyle w:val="16"/>
              <w:pageBreakBefore w:val="0"/>
              <w:wordWrap/>
              <w:bidi w:val="0"/>
              <w:adjustRightInd/>
              <w:snapToGrid/>
              <w:rPr>
                <w:color w:val="auto"/>
              </w:rPr>
            </w:pPr>
            <w:r>
              <w:rPr>
                <w:color w:val="auto"/>
              </w:rPr>
              <w:t>28</w:t>
            </w:r>
          </w:p>
        </w:tc>
        <w:tc>
          <w:tcPr>
            <w:tcW w:w="0" w:type="auto"/>
            <w:vMerge w:val="continue"/>
            <w:tcBorders>
              <w:tl2br w:val="nil"/>
              <w:tr2bl w:val="nil"/>
            </w:tcBorders>
            <w:noWrap w:val="0"/>
            <w:vAlign w:val="center"/>
          </w:tcPr>
          <w:p w14:paraId="36282EE3">
            <w:pPr>
              <w:pStyle w:val="16"/>
              <w:pageBreakBefore w:val="0"/>
              <w:wordWrap/>
              <w:bidi w:val="0"/>
              <w:adjustRightInd/>
              <w:snapToGrid/>
              <w:rPr>
                <w:color w:val="auto"/>
              </w:rPr>
            </w:pPr>
          </w:p>
        </w:tc>
      </w:tr>
      <w:tr w14:paraId="519B18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4A2EB07B">
            <w:pPr>
              <w:pStyle w:val="16"/>
              <w:pageBreakBefore w:val="0"/>
              <w:wordWrap/>
              <w:bidi w:val="0"/>
              <w:adjustRightInd/>
              <w:snapToGrid/>
              <w:rPr>
                <w:color w:val="auto"/>
              </w:rPr>
            </w:pPr>
            <w:r>
              <w:rPr>
                <w:color w:val="auto"/>
              </w:rPr>
              <w:t>差别化氨纶项目</w:t>
            </w:r>
          </w:p>
        </w:tc>
        <w:tc>
          <w:tcPr>
            <w:tcW w:w="0" w:type="auto"/>
            <w:tcBorders>
              <w:tl2br w:val="nil"/>
              <w:tr2bl w:val="nil"/>
            </w:tcBorders>
            <w:noWrap w:val="0"/>
            <w:vAlign w:val="center"/>
          </w:tcPr>
          <w:p w14:paraId="7CE07F54">
            <w:pPr>
              <w:pStyle w:val="16"/>
              <w:pageBreakBefore w:val="0"/>
              <w:wordWrap/>
              <w:bidi w:val="0"/>
              <w:adjustRightInd/>
              <w:snapToGrid/>
              <w:rPr>
                <w:color w:val="auto"/>
              </w:rPr>
            </w:pPr>
          </w:p>
        </w:tc>
        <w:tc>
          <w:tcPr>
            <w:tcW w:w="0" w:type="auto"/>
            <w:tcBorders>
              <w:tl2br w:val="nil"/>
              <w:tr2bl w:val="nil"/>
            </w:tcBorders>
            <w:noWrap w:val="0"/>
            <w:vAlign w:val="center"/>
          </w:tcPr>
          <w:p w14:paraId="71E3D0BF">
            <w:pPr>
              <w:pStyle w:val="16"/>
              <w:pageBreakBefore w:val="0"/>
              <w:wordWrap/>
              <w:bidi w:val="0"/>
              <w:adjustRightInd/>
              <w:snapToGrid/>
              <w:rPr>
                <w:color w:val="auto"/>
              </w:rPr>
            </w:pPr>
            <w:r>
              <w:rPr>
                <w:color w:val="auto"/>
              </w:rPr>
              <w:t>6</w:t>
            </w:r>
          </w:p>
        </w:tc>
        <w:tc>
          <w:tcPr>
            <w:tcW w:w="0" w:type="auto"/>
            <w:tcBorders>
              <w:tl2br w:val="nil"/>
              <w:tr2bl w:val="nil"/>
            </w:tcBorders>
            <w:noWrap w:val="0"/>
            <w:vAlign w:val="center"/>
          </w:tcPr>
          <w:p w14:paraId="7606FF89">
            <w:pPr>
              <w:pStyle w:val="16"/>
              <w:pageBreakBefore w:val="0"/>
              <w:wordWrap/>
              <w:bidi w:val="0"/>
              <w:adjustRightInd/>
              <w:snapToGrid/>
              <w:rPr>
                <w:color w:val="auto"/>
              </w:rPr>
            </w:pPr>
            <w:r>
              <w:rPr>
                <w:color w:val="auto"/>
              </w:rPr>
              <w:t>6</w:t>
            </w:r>
          </w:p>
        </w:tc>
        <w:tc>
          <w:tcPr>
            <w:tcW w:w="0" w:type="auto"/>
            <w:tcBorders>
              <w:tl2br w:val="nil"/>
              <w:tr2bl w:val="nil"/>
            </w:tcBorders>
            <w:noWrap w:val="0"/>
            <w:vAlign w:val="center"/>
          </w:tcPr>
          <w:p w14:paraId="63576091">
            <w:pPr>
              <w:pStyle w:val="16"/>
              <w:pageBreakBefore w:val="0"/>
              <w:wordWrap/>
              <w:bidi w:val="0"/>
              <w:adjustRightInd/>
              <w:snapToGrid/>
              <w:rPr>
                <w:color w:val="auto"/>
              </w:rPr>
            </w:pPr>
          </w:p>
        </w:tc>
        <w:tc>
          <w:tcPr>
            <w:tcW w:w="0" w:type="auto"/>
            <w:tcBorders>
              <w:tl2br w:val="nil"/>
              <w:tr2bl w:val="nil"/>
            </w:tcBorders>
            <w:noWrap w:val="0"/>
            <w:vAlign w:val="center"/>
          </w:tcPr>
          <w:p w14:paraId="50A15BC7">
            <w:pPr>
              <w:pStyle w:val="16"/>
              <w:pageBreakBefore w:val="0"/>
              <w:wordWrap/>
              <w:bidi w:val="0"/>
              <w:adjustRightInd/>
              <w:snapToGrid/>
              <w:rPr>
                <w:color w:val="auto"/>
              </w:rPr>
            </w:pPr>
            <w:r>
              <w:rPr>
                <w:color w:val="auto"/>
              </w:rPr>
              <w:t>802</w:t>
            </w:r>
          </w:p>
        </w:tc>
        <w:tc>
          <w:tcPr>
            <w:tcW w:w="0" w:type="auto"/>
            <w:tcBorders>
              <w:tl2br w:val="nil"/>
              <w:tr2bl w:val="nil"/>
            </w:tcBorders>
            <w:noWrap w:val="0"/>
            <w:vAlign w:val="center"/>
          </w:tcPr>
          <w:p w14:paraId="2AE1A3DF">
            <w:pPr>
              <w:pStyle w:val="16"/>
              <w:pageBreakBefore w:val="0"/>
              <w:wordWrap/>
              <w:bidi w:val="0"/>
              <w:adjustRightInd/>
              <w:snapToGrid/>
              <w:rPr>
                <w:color w:val="auto"/>
              </w:rPr>
            </w:pPr>
            <w:r>
              <w:rPr>
                <w:color w:val="auto"/>
              </w:rPr>
              <w:t>《排放源统计调查产排污核算方法和系数手册》2826氨纶纤维制造业系数手册</w:t>
            </w:r>
          </w:p>
        </w:tc>
      </w:tr>
      <w:tr w14:paraId="1A2FC6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4E4D390A">
            <w:pPr>
              <w:pStyle w:val="16"/>
              <w:pageBreakBefore w:val="0"/>
              <w:wordWrap/>
              <w:bidi w:val="0"/>
              <w:adjustRightInd/>
              <w:snapToGrid/>
              <w:rPr>
                <w:color w:val="auto"/>
              </w:rPr>
            </w:pPr>
            <w:r>
              <w:rPr>
                <w:color w:val="auto"/>
              </w:rPr>
              <w:t>PBAT</w:t>
            </w:r>
          </w:p>
        </w:tc>
        <w:tc>
          <w:tcPr>
            <w:tcW w:w="0" w:type="auto"/>
            <w:tcBorders>
              <w:tl2br w:val="nil"/>
              <w:tr2bl w:val="nil"/>
            </w:tcBorders>
            <w:noWrap w:val="0"/>
            <w:vAlign w:val="center"/>
          </w:tcPr>
          <w:p w14:paraId="0CC16718">
            <w:pPr>
              <w:pStyle w:val="16"/>
              <w:pageBreakBefore w:val="0"/>
              <w:wordWrap/>
              <w:bidi w:val="0"/>
              <w:adjustRightInd/>
              <w:snapToGrid/>
              <w:rPr>
                <w:color w:val="auto"/>
              </w:rPr>
            </w:pPr>
          </w:p>
        </w:tc>
        <w:tc>
          <w:tcPr>
            <w:tcW w:w="0" w:type="auto"/>
            <w:tcBorders>
              <w:tl2br w:val="nil"/>
              <w:tr2bl w:val="nil"/>
            </w:tcBorders>
            <w:noWrap w:val="0"/>
            <w:vAlign w:val="center"/>
          </w:tcPr>
          <w:p w14:paraId="428EFFB5">
            <w:pPr>
              <w:pStyle w:val="16"/>
              <w:pageBreakBefore w:val="0"/>
              <w:wordWrap/>
              <w:bidi w:val="0"/>
              <w:adjustRightInd/>
              <w:snapToGrid/>
              <w:rPr>
                <w:color w:val="auto"/>
              </w:rPr>
            </w:pPr>
            <w:r>
              <w:rPr>
                <w:color w:val="auto"/>
              </w:rPr>
              <w:t>6</w:t>
            </w:r>
          </w:p>
        </w:tc>
        <w:tc>
          <w:tcPr>
            <w:tcW w:w="0" w:type="auto"/>
            <w:tcBorders>
              <w:tl2br w:val="nil"/>
              <w:tr2bl w:val="nil"/>
            </w:tcBorders>
            <w:noWrap w:val="0"/>
            <w:vAlign w:val="center"/>
          </w:tcPr>
          <w:p w14:paraId="4C03A9E0">
            <w:pPr>
              <w:pStyle w:val="16"/>
              <w:pageBreakBefore w:val="0"/>
              <w:wordWrap/>
              <w:bidi w:val="0"/>
              <w:adjustRightInd/>
              <w:snapToGrid/>
              <w:rPr>
                <w:color w:val="auto"/>
              </w:rPr>
            </w:pPr>
            <w:r>
              <w:rPr>
                <w:color w:val="auto"/>
              </w:rPr>
              <w:t>6</w:t>
            </w:r>
          </w:p>
        </w:tc>
        <w:tc>
          <w:tcPr>
            <w:tcW w:w="0" w:type="auto"/>
            <w:tcBorders>
              <w:tl2br w:val="nil"/>
              <w:tr2bl w:val="nil"/>
            </w:tcBorders>
            <w:noWrap w:val="0"/>
            <w:vAlign w:val="center"/>
          </w:tcPr>
          <w:p w14:paraId="411F0E17">
            <w:pPr>
              <w:pStyle w:val="16"/>
              <w:pageBreakBefore w:val="0"/>
              <w:wordWrap/>
              <w:bidi w:val="0"/>
              <w:adjustRightInd/>
              <w:snapToGrid/>
              <w:rPr>
                <w:color w:val="auto"/>
              </w:rPr>
            </w:pPr>
          </w:p>
        </w:tc>
        <w:tc>
          <w:tcPr>
            <w:tcW w:w="0" w:type="auto"/>
            <w:tcBorders>
              <w:tl2br w:val="nil"/>
              <w:tr2bl w:val="nil"/>
            </w:tcBorders>
            <w:noWrap w:val="0"/>
            <w:vAlign w:val="center"/>
          </w:tcPr>
          <w:p w14:paraId="59A20B77">
            <w:pPr>
              <w:pStyle w:val="16"/>
              <w:pageBreakBefore w:val="0"/>
              <w:wordWrap/>
              <w:bidi w:val="0"/>
              <w:adjustRightInd/>
              <w:snapToGrid/>
              <w:rPr>
                <w:color w:val="auto"/>
              </w:rPr>
            </w:pPr>
            <w:r>
              <w:rPr>
                <w:color w:val="auto"/>
              </w:rPr>
              <w:t>38</w:t>
            </w:r>
          </w:p>
        </w:tc>
        <w:tc>
          <w:tcPr>
            <w:tcW w:w="0" w:type="auto"/>
            <w:tcBorders>
              <w:tl2br w:val="nil"/>
              <w:tr2bl w:val="nil"/>
            </w:tcBorders>
            <w:noWrap w:val="0"/>
            <w:vAlign w:val="center"/>
          </w:tcPr>
          <w:p w14:paraId="17936207">
            <w:pPr>
              <w:pStyle w:val="16"/>
              <w:pageBreakBefore w:val="0"/>
              <w:wordWrap/>
              <w:bidi w:val="0"/>
              <w:adjustRightInd/>
              <w:snapToGrid/>
              <w:rPr>
                <w:color w:val="auto"/>
              </w:rPr>
            </w:pPr>
            <w:r>
              <w:rPr>
                <w:color w:val="auto"/>
              </w:rPr>
              <w:t>《四川永盈新材料有限公司年产80万吨功能性新材料一体化产业链项目一期工程》</w:t>
            </w:r>
          </w:p>
        </w:tc>
      </w:tr>
      <w:tr w14:paraId="3001B4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495374AB">
            <w:pPr>
              <w:pStyle w:val="16"/>
              <w:pageBreakBefore w:val="0"/>
              <w:wordWrap/>
              <w:bidi w:val="0"/>
              <w:adjustRightInd/>
              <w:snapToGrid/>
              <w:rPr>
                <w:color w:val="auto"/>
              </w:rPr>
            </w:pPr>
            <w:r>
              <w:rPr>
                <w:color w:val="auto"/>
              </w:rPr>
              <w:t>NMP项目</w:t>
            </w:r>
          </w:p>
        </w:tc>
        <w:tc>
          <w:tcPr>
            <w:tcW w:w="0" w:type="auto"/>
            <w:tcBorders>
              <w:tl2br w:val="nil"/>
              <w:tr2bl w:val="nil"/>
            </w:tcBorders>
            <w:noWrap w:val="0"/>
            <w:vAlign w:val="center"/>
          </w:tcPr>
          <w:p w14:paraId="6A47A37E">
            <w:pPr>
              <w:pStyle w:val="16"/>
              <w:pageBreakBefore w:val="0"/>
              <w:wordWrap/>
              <w:bidi w:val="0"/>
              <w:adjustRightInd/>
              <w:snapToGrid/>
              <w:rPr>
                <w:color w:val="auto"/>
              </w:rPr>
            </w:pPr>
          </w:p>
        </w:tc>
        <w:tc>
          <w:tcPr>
            <w:tcW w:w="0" w:type="auto"/>
            <w:tcBorders>
              <w:tl2br w:val="nil"/>
              <w:tr2bl w:val="nil"/>
            </w:tcBorders>
            <w:noWrap w:val="0"/>
            <w:vAlign w:val="center"/>
          </w:tcPr>
          <w:p w14:paraId="5DD57BCC">
            <w:pPr>
              <w:pStyle w:val="16"/>
              <w:pageBreakBefore w:val="0"/>
              <w:wordWrap/>
              <w:bidi w:val="0"/>
              <w:adjustRightInd/>
              <w:snapToGrid/>
              <w:rPr>
                <w:color w:val="auto"/>
              </w:rPr>
            </w:pPr>
            <w:r>
              <w:rPr>
                <w:color w:val="auto"/>
              </w:rPr>
              <w:t>6</w:t>
            </w:r>
          </w:p>
        </w:tc>
        <w:tc>
          <w:tcPr>
            <w:tcW w:w="0" w:type="auto"/>
            <w:tcBorders>
              <w:tl2br w:val="nil"/>
              <w:tr2bl w:val="nil"/>
            </w:tcBorders>
            <w:noWrap w:val="0"/>
            <w:vAlign w:val="center"/>
          </w:tcPr>
          <w:p w14:paraId="01C1798A">
            <w:pPr>
              <w:pStyle w:val="16"/>
              <w:pageBreakBefore w:val="0"/>
              <w:wordWrap/>
              <w:bidi w:val="0"/>
              <w:adjustRightInd/>
              <w:snapToGrid/>
              <w:rPr>
                <w:color w:val="auto"/>
              </w:rPr>
            </w:pPr>
            <w:r>
              <w:rPr>
                <w:color w:val="auto"/>
              </w:rPr>
              <w:t>6</w:t>
            </w:r>
          </w:p>
        </w:tc>
        <w:tc>
          <w:tcPr>
            <w:tcW w:w="0" w:type="auto"/>
            <w:tcBorders>
              <w:tl2br w:val="nil"/>
              <w:tr2bl w:val="nil"/>
            </w:tcBorders>
            <w:noWrap w:val="0"/>
            <w:vAlign w:val="center"/>
          </w:tcPr>
          <w:p w14:paraId="41A67652">
            <w:pPr>
              <w:pStyle w:val="16"/>
              <w:pageBreakBefore w:val="0"/>
              <w:wordWrap/>
              <w:bidi w:val="0"/>
              <w:adjustRightInd/>
              <w:snapToGrid/>
              <w:rPr>
                <w:color w:val="auto"/>
              </w:rPr>
            </w:pPr>
          </w:p>
        </w:tc>
        <w:tc>
          <w:tcPr>
            <w:tcW w:w="0" w:type="auto"/>
            <w:tcBorders>
              <w:tl2br w:val="nil"/>
              <w:tr2bl w:val="nil"/>
            </w:tcBorders>
            <w:noWrap w:val="0"/>
            <w:vAlign w:val="center"/>
          </w:tcPr>
          <w:p w14:paraId="1361C6F9">
            <w:pPr>
              <w:pStyle w:val="16"/>
              <w:pageBreakBefore w:val="0"/>
              <w:wordWrap/>
              <w:bidi w:val="0"/>
              <w:adjustRightInd/>
              <w:snapToGrid/>
              <w:rPr>
                <w:color w:val="auto"/>
              </w:rPr>
            </w:pPr>
            <w:r>
              <w:rPr>
                <w:color w:val="auto"/>
              </w:rPr>
              <w:t>318</w:t>
            </w:r>
          </w:p>
        </w:tc>
        <w:tc>
          <w:tcPr>
            <w:tcW w:w="0" w:type="auto"/>
            <w:tcBorders>
              <w:tl2br w:val="nil"/>
              <w:tr2bl w:val="nil"/>
            </w:tcBorders>
            <w:noWrap w:val="0"/>
            <w:vAlign w:val="center"/>
          </w:tcPr>
          <w:p w14:paraId="4D2B5678">
            <w:pPr>
              <w:pStyle w:val="16"/>
              <w:pageBreakBefore w:val="0"/>
              <w:wordWrap/>
              <w:bidi w:val="0"/>
              <w:adjustRightInd/>
              <w:snapToGrid/>
              <w:rPr>
                <w:color w:val="auto"/>
              </w:rPr>
            </w:pPr>
            <w:r>
              <w:rPr>
                <w:color w:val="auto"/>
              </w:rPr>
              <w:t>陕西煤业化工集团新疆有限责任公司库尔勒天然气制化工新材料项目</w:t>
            </w:r>
          </w:p>
        </w:tc>
      </w:tr>
      <w:tr w14:paraId="323424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7E9AB41C">
            <w:pPr>
              <w:pStyle w:val="16"/>
              <w:pageBreakBefore w:val="0"/>
              <w:wordWrap/>
              <w:bidi w:val="0"/>
              <w:adjustRightInd/>
              <w:snapToGrid/>
              <w:rPr>
                <w:color w:val="auto"/>
              </w:rPr>
            </w:pPr>
            <w:r>
              <w:rPr>
                <w:color w:val="auto"/>
              </w:rPr>
              <w:t>TPEE项目</w:t>
            </w:r>
          </w:p>
        </w:tc>
        <w:tc>
          <w:tcPr>
            <w:tcW w:w="0" w:type="auto"/>
            <w:tcBorders>
              <w:tl2br w:val="nil"/>
              <w:tr2bl w:val="nil"/>
            </w:tcBorders>
            <w:noWrap w:val="0"/>
            <w:vAlign w:val="center"/>
          </w:tcPr>
          <w:p w14:paraId="384C14BC">
            <w:pPr>
              <w:pStyle w:val="16"/>
              <w:pageBreakBefore w:val="0"/>
              <w:wordWrap/>
              <w:bidi w:val="0"/>
              <w:adjustRightInd/>
              <w:snapToGrid/>
              <w:rPr>
                <w:color w:val="auto"/>
              </w:rPr>
            </w:pPr>
          </w:p>
        </w:tc>
        <w:tc>
          <w:tcPr>
            <w:tcW w:w="0" w:type="auto"/>
            <w:tcBorders>
              <w:tl2br w:val="nil"/>
              <w:tr2bl w:val="nil"/>
            </w:tcBorders>
            <w:noWrap w:val="0"/>
            <w:vAlign w:val="center"/>
          </w:tcPr>
          <w:p w14:paraId="7947966B">
            <w:pPr>
              <w:pStyle w:val="16"/>
              <w:pageBreakBefore w:val="0"/>
              <w:wordWrap/>
              <w:bidi w:val="0"/>
              <w:adjustRightInd/>
              <w:snapToGrid/>
              <w:rPr>
                <w:color w:val="auto"/>
              </w:rPr>
            </w:pPr>
            <w:r>
              <w:rPr>
                <w:color w:val="auto"/>
              </w:rPr>
              <w:t>2</w:t>
            </w:r>
          </w:p>
        </w:tc>
        <w:tc>
          <w:tcPr>
            <w:tcW w:w="0" w:type="auto"/>
            <w:tcBorders>
              <w:tl2br w:val="nil"/>
              <w:tr2bl w:val="nil"/>
            </w:tcBorders>
            <w:noWrap w:val="0"/>
            <w:vAlign w:val="center"/>
          </w:tcPr>
          <w:p w14:paraId="0EDC0C4A">
            <w:pPr>
              <w:pStyle w:val="16"/>
              <w:pageBreakBefore w:val="0"/>
              <w:wordWrap/>
              <w:bidi w:val="0"/>
              <w:adjustRightInd/>
              <w:snapToGrid/>
              <w:rPr>
                <w:color w:val="auto"/>
              </w:rPr>
            </w:pPr>
            <w:r>
              <w:rPr>
                <w:color w:val="auto"/>
              </w:rPr>
              <w:t>2</w:t>
            </w:r>
          </w:p>
        </w:tc>
        <w:tc>
          <w:tcPr>
            <w:tcW w:w="0" w:type="auto"/>
            <w:tcBorders>
              <w:tl2br w:val="nil"/>
              <w:tr2bl w:val="nil"/>
            </w:tcBorders>
            <w:noWrap w:val="0"/>
            <w:vAlign w:val="center"/>
          </w:tcPr>
          <w:p w14:paraId="2E8FAD9F">
            <w:pPr>
              <w:pStyle w:val="16"/>
              <w:pageBreakBefore w:val="0"/>
              <w:wordWrap/>
              <w:bidi w:val="0"/>
              <w:adjustRightInd/>
              <w:snapToGrid/>
              <w:rPr>
                <w:color w:val="auto"/>
              </w:rPr>
            </w:pPr>
          </w:p>
        </w:tc>
        <w:tc>
          <w:tcPr>
            <w:tcW w:w="0" w:type="auto"/>
            <w:tcBorders>
              <w:tl2br w:val="nil"/>
              <w:tr2bl w:val="nil"/>
            </w:tcBorders>
            <w:noWrap w:val="0"/>
            <w:vAlign w:val="center"/>
          </w:tcPr>
          <w:p w14:paraId="08011399">
            <w:pPr>
              <w:pStyle w:val="16"/>
              <w:pageBreakBefore w:val="0"/>
              <w:wordWrap/>
              <w:bidi w:val="0"/>
              <w:adjustRightInd/>
              <w:snapToGrid/>
              <w:rPr>
                <w:color w:val="auto"/>
              </w:rPr>
            </w:pPr>
            <w:r>
              <w:rPr>
                <w:color w:val="auto"/>
              </w:rPr>
              <w:t>92</w:t>
            </w:r>
          </w:p>
        </w:tc>
        <w:tc>
          <w:tcPr>
            <w:tcW w:w="0" w:type="auto"/>
            <w:tcBorders>
              <w:tl2br w:val="nil"/>
              <w:tr2bl w:val="nil"/>
            </w:tcBorders>
            <w:noWrap w:val="0"/>
            <w:vAlign w:val="center"/>
          </w:tcPr>
          <w:p w14:paraId="5897F621">
            <w:pPr>
              <w:pStyle w:val="16"/>
              <w:pageBreakBefore w:val="0"/>
              <w:wordWrap/>
              <w:bidi w:val="0"/>
              <w:adjustRightInd/>
              <w:snapToGrid/>
              <w:rPr>
                <w:color w:val="auto"/>
              </w:rPr>
            </w:pPr>
            <w:r>
              <w:rPr>
                <w:color w:val="auto"/>
              </w:rPr>
              <w:t>南通正盛化工科技有限公司年产6万吨PBT</w:t>
            </w:r>
            <w:r>
              <w:rPr>
                <w:rFonts w:hint="eastAsia"/>
                <w:color w:val="auto"/>
                <w:lang w:eastAsia="zh-CN"/>
              </w:rPr>
              <w:t>（</w:t>
            </w:r>
            <w:r>
              <w:rPr>
                <w:color w:val="auto"/>
              </w:rPr>
              <w:t>其中包含5万吨PBT工程塑料、1万吨PBT纤维</w:t>
            </w:r>
            <w:r>
              <w:rPr>
                <w:rFonts w:hint="eastAsia"/>
                <w:color w:val="auto"/>
                <w:lang w:eastAsia="zh-CN"/>
              </w:rPr>
              <w:t>）</w:t>
            </w:r>
            <w:r>
              <w:rPr>
                <w:color w:val="auto"/>
              </w:rPr>
              <w:t>、4万吨尼龙6切片、1万吨PBAT、1万吨TPEE和副产0.4万吨THF项目</w:t>
            </w:r>
          </w:p>
        </w:tc>
      </w:tr>
      <w:tr w14:paraId="0BB14E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3B2772D9">
            <w:pPr>
              <w:pStyle w:val="16"/>
              <w:pageBreakBefore w:val="0"/>
              <w:wordWrap/>
              <w:bidi w:val="0"/>
              <w:adjustRightInd/>
              <w:snapToGrid/>
              <w:rPr>
                <w:color w:val="auto"/>
              </w:rPr>
            </w:pPr>
            <w:r>
              <w:rPr>
                <w:color w:val="auto"/>
              </w:rPr>
              <w:t>PBS项目</w:t>
            </w:r>
          </w:p>
        </w:tc>
        <w:tc>
          <w:tcPr>
            <w:tcW w:w="0" w:type="auto"/>
            <w:tcBorders>
              <w:tl2br w:val="nil"/>
              <w:tr2bl w:val="nil"/>
            </w:tcBorders>
            <w:noWrap w:val="0"/>
            <w:vAlign w:val="center"/>
          </w:tcPr>
          <w:p w14:paraId="2EBD88DF">
            <w:pPr>
              <w:pStyle w:val="16"/>
              <w:pageBreakBefore w:val="0"/>
              <w:wordWrap/>
              <w:bidi w:val="0"/>
              <w:adjustRightInd/>
              <w:snapToGrid/>
              <w:rPr>
                <w:color w:val="auto"/>
              </w:rPr>
            </w:pPr>
          </w:p>
        </w:tc>
        <w:tc>
          <w:tcPr>
            <w:tcW w:w="0" w:type="auto"/>
            <w:tcBorders>
              <w:tl2br w:val="nil"/>
              <w:tr2bl w:val="nil"/>
            </w:tcBorders>
            <w:noWrap w:val="0"/>
            <w:vAlign w:val="center"/>
          </w:tcPr>
          <w:p w14:paraId="77CD1744">
            <w:pPr>
              <w:pStyle w:val="16"/>
              <w:pageBreakBefore w:val="0"/>
              <w:wordWrap/>
              <w:bidi w:val="0"/>
              <w:adjustRightInd/>
              <w:snapToGrid/>
              <w:rPr>
                <w:color w:val="auto"/>
              </w:rPr>
            </w:pPr>
            <w:r>
              <w:rPr>
                <w:color w:val="auto"/>
              </w:rPr>
              <w:t>5</w:t>
            </w:r>
          </w:p>
        </w:tc>
        <w:tc>
          <w:tcPr>
            <w:tcW w:w="0" w:type="auto"/>
            <w:tcBorders>
              <w:tl2br w:val="nil"/>
              <w:tr2bl w:val="nil"/>
            </w:tcBorders>
            <w:noWrap w:val="0"/>
            <w:vAlign w:val="center"/>
          </w:tcPr>
          <w:p w14:paraId="1E062E9E">
            <w:pPr>
              <w:pStyle w:val="16"/>
              <w:pageBreakBefore w:val="0"/>
              <w:wordWrap/>
              <w:bidi w:val="0"/>
              <w:adjustRightInd/>
              <w:snapToGrid/>
              <w:rPr>
                <w:color w:val="auto"/>
              </w:rPr>
            </w:pPr>
            <w:r>
              <w:rPr>
                <w:color w:val="auto"/>
              </w:rPr>
              <w:t>5</w:t>
            </w:r>
          </w:p>
        </w:tc>
        <w:tc>
          <w:tcPr>
            <w:tcW w:w="0" w:type="auto"/>
            <w:tcBorders>
              <w:tl2br w:val="nil"/>
              <w:tr2bl w:val="nil"/>
            </w:tcBorders>
            <w:noWrap w:val="0"/>
            <w:vAlign w:val="center"/>
          </w:tcPr>
          <w:p w14:paraId="413B520B">
            <w:pPr>
              <w:pStyle w:val="16"/>
              <w:pageBreakBefore w:val="0"/>
              <w:wordWrap/>
              <w:bidi w:val="0"/>
              <w:adjustRightInd/>
              <w:snapToGrid/>
              <w:rPr>
                <w:color w:val="auto"/>
              </w:rPr>
            </w:pPr>
          </w:p>
        </w:tc>
        <w:tc>
          <w:tcPr>
            <w:tcW w:w="0" w:type="auto"/>
            <w:tcBorders>
              <w:tl2br w:val="nil"/>
              <w:tr2bl w:val="nil"/>
            </w:tcBorders>
            <w:noWrap w:val="0"/>
            <w:vAlign w:val="center"/>
          </w:tcPr>
          <w:p w14:paraId="05269B11">
            <w:pPr>
              <w:pStyle w:val="16"/>
              <w:pageBreakBefore w:val="0"/>
              <w:wordWrap/>
              <w:bidi w:val="0"/>
              <w:adjustRightInd/>
              <w:snapToGrid/>
              <w:rPr>
                <w:color w:val="auto"/>
              </w:rPr>
            </w:pPr>
            <w:r>
              <w:rPr>
                <w:color w:val="auto"/>
              </w:rPr>
              <w:t>377</w:t>
            </w:r>
          </w:p>
        </w:tc>
        <w:tc>
          <w:tcPr>
            <w:tcW w:w="0" w:type="auto"/>
            <w:tcBorders>
              <w:tl2br w:val="nil"/>
              <w:tr2bl w:val="nil"/>
            </w:tcBorders>
            <w:noWrap w:val="0"/>
            <w:vAlign w:val="center"/>
          </w:tcPr>
          <w:p w14:paraId="29DBD427">
            <w:pPr>
              <w:pStyle w:val="16"/>
              <w:pageBreakBefore w:val="0"/>
              <w:wordWrap/>
              <w:bidi w:val="0"/>
              <w:adjustRightInd/>
              <w:snapToGrid/>
              <w:rPr>
                <w:color w:val="auto"/>
              </w:rPr>
            </w:pPr>
            <w:r>
              <w:rPr>
                <w:color w:val="auto"/>
              </w:rPr>
              <w:t>内蒙古东景生物环保科技有限公司年产20万吨可降解聚酯</w:t>
            </w:r>
            <w:r>
              <w:rPr>
                <w:rFonts w:hint="eastAsia"/>
                <w:color w:val="auto"/>
                <w:lang w:eastAsia="zh-CN"/>
              </w:rPr>
              <w:t>（</w:t>
            </w:r>
            <w:r>
              <w:rPr>
                <w:color w:val="auto"/>
              </w:rPr>
              <w:t>PBS/PBAT</w:t>
            </w:r>
            <w:r>
              <w:rPr>
                <w:rFonts w:hint="eastAsia"/>
                <w:color w:val="auto"/>
                <w:lang w:eastAsia="zh-CN"/>
              </w:rPr>
              <w:t>）</w:t>
            </w:r>
            <w:r>
              <w:rPr>
                <w:color w:val="auto"/>
              </w:rPr>
              <w:t>项目</w:t>
            </w:r>
          </w:p>
        </w:tc>
      </w:tr>
      <w:tr w14:paraId="346A45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05426F0E">
            <w:pPr>
              <w:pStyle w:val="16"/>
              <w:pageBreakBefore w:val="0"/>
              <w:wordWrap/>
              <w:bidi w:val="0"/>
              <w:adjustRightInd/>
              <w:snapToGrid/>
              <w:rPr>
                <w:color w:val="auto"/>
              </w:rPr>
            </w:pPr>
            <w:r>
              <w:rPr>
                <w:color w:val="auto"/>
              </w:rPr>
              <w:t>PBT项目</w:t>
            </w:r>
          </w:p>
        </w:tc>
        <w:tc>
          <w:tcPr>
            <w:tcW w:w="0" w:type="auto"/>
            <w:tcBorders>
              <w:tl2br w:val="nil"/>
              <w:tr2bl w:val="nil"/>
            </w:tcBorders>
            <w:noWrap w:val="0"/>
            <w:vAlign w:val="center"/>
          </w:tcPr>
          <w:p w14:paraId="0236B0EF">
            <w:pPr>
              <w:pStyle w:val="16"/>
              <w:pageBreakBefore w:val="0"/>
              <w:wordWrap/>
              <w:bidi w:val="0"/>
              <w:adjustRightInd/>
              <w:snapToGrid/>
              <w:rPr>
                <w:color w:val="auto"/>
              </w:rPr>
            </w:pPr>
          </w:p>
        </w:tc>
        <w:tc>
          <w:tcPr>
            <w:tcW w:w="0" w:type="auto"/>
            <w:tcBorders>
              <w:tl2br w:val="nil"/>
              <w:tr2bl w:val="nil"/>
            </w:tcBorders>
            <w:noWrap w:val="0"/>
            <w:vAlign w:val="center"/>
          </w:tcPr>
          <w:p w14:paraId="17D22EFD">
            <w:pPr>
              <w:pStyle w:val="16"/>
              <w:pageBreakBefore w:val="0"/>
              <w:wordWrap/>
              <w:bidi w:val="0"/>
              <w:adjustRightInd/>
              <w:snapToGrid/>
              <w:rPr>
                <w:rFonts w:hint="eastAsia" w:eastAsia="宋体"/>
                <w:color w:val="auto"/>
                <w:lang w:val="en-US" w:eastAsia="zh-CN"/>
              </w:rPr>
            </w:pPr>
            <w:r>
              <w:rPr>
                <w:rFonts w:hint="eastAsia"/>
                <w:color w:val="auto"/>
                <w:lang w:val="en-US" w:eastAsia="zh-CN"/>
              </w:rPr>
              <w:t>5</w:t>
            </w:r>
          </w:p>
        </w:tc>
        <w:tc>
          <w:tcPr>
            <w:tcW w:w="0" w:type="auto"/>
            <w:tcBorders>
              <w:tl2br w:val="nil"/>
              <w:tr2bl w:val="nil"/>
            </w:tcBorders>
            <w:noWrap w:val="0"/>
            <w:vAlign w:val="center"/>
          </w:tcPr>
          <w:p w14:paraId="7A406082">
            <w:pPr>
              <w:pStyle w:val="16"/>
              <w:pageBreakBefore w:val="0"/>
              <w:wordWrap/>
              <w:bidi w:val="0"/>
              <w:adjustRightInd/>
              <w:snapToGrid/>
              <w:rPr>
                <w:color w:val="auto"/>
              </w:rPr>
            </w:pPr>
            <w:r>
              <w:rPr>
                <w:color w:val="auto"/>
              </w:rPr>
              <w:t>5</w:t>
            </w:r>
          </w:p>
        </w:tc>
        <w:tc>
          <w:tcPr>
            <w:tcW w:w="0" w:type="auto"/>
            <w:tcBorders>
              <w:tl2br w:val="nil"/>
              <w:tr2bl w:val="nil"/>
            </w:tcBorders>
            <w:noWrap w:val="0"/>
            <w:vAlign w:val="center"/>
          </w:tcPr>
          <w:p w14:paraId="1C1BE153">
            <w:pPr>
              <w:pStyle w:val="16"/>
              <w:pageBreakBefore w:val="0"/>
              <w:wordWrap/>
              <w:bidi w:val="0"/>
              <w:adjustRightInd/>
              <w:snapToGrid/>
              <w:rPr>
                <w:color w:val="auto"/>
              </w:rPr>
            </w:pPr>
          </w:p>
        </w:tc>
        <w:tc>
          <w:tcPr>
            <w:tcW w:w="0" w:type="auto"/>
            <w:tcBorders>
              <w:tl2br w:val="nil"/>
              <w:tr2bl w:val="nil"/>
            </w:tcBorders>
            <w:noWrap w:val="0"/>
            <w:vAlign w:val="center"/>
          </w:tcPr>
          <w:p w14:paraId="0FC19C57">
            <w:pPr>
              <w:pStyle w:val="16"/>
              <w:pageBreakBefore w:val="0"/>
              <w:wordWrap/>
              <w:bidi w:val="0"/>
              <w:adjustRightInd/>
              <w:snapToGrid/>
              <w:rPr>
                <w:color w:val="auto"/>
              </w:rPr>
            </w:pPr>
            <w:r>
              <w:rPr>
                <w:color w:val="auto"/>
              </w:rPr>
              <w:t>32</w:t>
            </w:r>
          </w:p>
        </w:tc>
        <w:tc>
          <w:tcPr>
            <w:tcW w:w="0" w:type="auto"/>
            <w:tcBorders>
              <w:tl2br w:val="nil"/>
              <w:tr2bl w:val="nil"/>
            </w:tcBorders>
            <w:noWrap w:val="0"/>
            <w:vAlign w:val="center"/>
          </w:tcPr>
          <w:p w14:paraId="33F134D8">
            <w:pPr>
              <w:pStyle w:val="16"/>
              <w:pageBreakBefore w:val="0"/>
              <w:wordWrap/>
              <w:bidi w:val="0"/>
              <w:adjustRightInd/>
              <w:snapToGrid/>
              <w:rPr>
                <w:rFonts w:hint="eastAsia" w:eastAsia="宋体"/>
                <w:color w:val="auto"/>
                <w:lang w:eastAsia="zh-CN"/>
              </w:rPr>
            </w:pPr>
            <w:r>
              <w:rPr>
                <w:color w:val="auto"/>
              </w:rPr>
              <w:t>宁夏冠能新材料科技有限公司NMP、PBT/PBTA、PTMEG等高分子材料、生物可降解材料及上游配套产业链项目</w:t>
            </w:r>
            <w:r>
              <w:rPr>
                <w:rFonts w:hint="eastAsia"/>
                <w:color w:val="auto"/>
                <w:lang w:eastAsia="zh-CN"/>
              </w:rPr>
              <w:t>（</w:t>
            </w:r>
            <w:r>
              <w:rPr>
                <w:color w:val="auto"/>
              </w:rPr>
              <w:t>一期工程</w:t>
            </w:r>
            <w:r>
              <w:rPr>
                <w:rFonts w:hint="eastAsia"/>
                <w:color w:val="auto"/>
                <w:lang w:eastAsia="zh-CN"/>
              </w:rPr>
              <w:t>）</w:t>
            </w:r>
          </w:p>
        </w:tc>
      </w:tr>
      <w:tr w14:paraId="1DAF9A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14:paraId="72F5F303">
            <w:pPr>
              <w:pStyle w:val="16"/>
              <w:pageBreakBefore w:val="0"/>
              <w:wordWrap/>
              <w:bidi w:val="0"/>
              <w:adjustRightInd/>
              <w:snapToGrid/>
              <w:rPr>
                <w:color w:val="auto"/>
              </w:rPr>
            </w:pPr>
            <w:r>
              <w:rPr>
                <w:color w:val="auto"/>
              </w:rPr>
              <w:t>公辅设施排水</w:t>
            </w:r>
          </w:p>
        </w:tc>
        <w:tc>
          <w:tcPr>
            <w:tcW w:w="0" w:type="auto"/>
            <w:tcBorders>
              <w:tl2br w:val="nil"/>
              <w:tr2bl w:val="nil"/>
            </w:tcBorders>
            <w:noWrap w:val="0"/>
            <w:vAlign w:val="center"/>
          </w:tcPr>
          <w:p w14:paraId="57CB85D4">
            <w:pPr>
              <w:pStyle w:val="16"/>
              <w:pageBreakBefore w:val="0"/>
              <w:wordWrap/>
              <w:bidi w:val="0"/>
              <w:adjustRightInd/>
              <w:snapToGrid/>
              <w:rPr>
                <w:color w:val="auto"/>
              </w:rPr>
            </w:pPr>
          </w:p>
        </w:tc>
        <w:tc>
          <w:tcPr>
            <w:tcW w:w="0" w:type="auto"/>
            <w:tcBorders>
              <w:tl2br w:val="nil"/>
              <w:tr2bl w:val="nil"/>
            </w:tcBorders>
            <w:noWrap w:val="0"/>
            <w:vAlign w:val="center"/>
          </w:tcPr>
          <w:p w14:paraId="73079FDF">
            <w:pPr>
              <w:pStyle w:val="16"/>
              <w:pageBreakBefore w:val="0"/>
              <w:wordWrap/>
              <w:bidi w:val="0"/>
              <w:adjustRightInd/>
              <w:snapToGrid/>
              <w:rPr>
                <w:color w:val="auto"/>
              </w:rPr>
            </w:pPr>
          </w:p>
        </w:tc>
        <w:tc>
          <w:tcPr>
            <w:tcW w:w="0" w:type="auto"/>
            <w:tcBorders>
              <w:tl2br w:val="nil"/>
              <w:tr2bl w:val="nil"/>
            </w:tcBorders>
            <w:noWrap w:val="0"/>
            <w:vAlign w:val="center"/>
          </w:tcPr>
          <w:p w14:paraId="021903B2">
            <w:pPr>
              <w:pStyle w:val="16"/>
              <w:pageBreakBefore w:val="0"/>
              <w:wordWrap/>
              <w:bidi w:val="0"/>
              <w:adjustRightInd/>
              <w:snapToGrid/>
              <w:rPr>
                <w:color w:val="auto"/>
              </w:rPr>
            </w:pPr>
          </w:p>
        </w:tc>
        <w:tc>
          <w:tcPr>
            <w:tcW w:w="0" w:type="auto"/>
            <w:tcBorders>
              <w:tl2br w:val="nil"/>
              <w:tr2bl w:val="nil"/>
            </w:tcBorders>
            <w:noWrap w:val="0"/>
            <w:vAlign w:val="center"/>
          </w:tcPr>
          <w:p w14:paraId="3A609D4E">
            <w:pPr>
              <w:pStyle w:val="16"/>
              <w:pageBreakBefore w:val="0"/>
              <w:wordWrap/>
              <w:bidi w:val="0"/>
              <w:adjustRightInd/>
              <w:snapToGrid/>
              <w:rPr>
                <w:color w:val="auto"/>
              </w:rPr>
            </w:pPr>
          </w:p>
        </w:tc>
        <w:tc>
          <w:tcPr>
            <w:tcW w:w="0" w:type="auto"/>
            <w:tcBorders>
              <w:tl2br w:val="nil"/>
              <w:tr2bl w:val="nil"/>
            </w:tcBorders>
            <w:noWrap w:val="0"/>
            <w:vAlign w:val="center"/>
          </w:tcPr>
          <w:p w14:paraId="353A65B3">
            <w:pPr>
              <w:pStyle w:val="16"/>
              <w:pageBreakBefore w:val="0"/>
              <w:wordWrap/>
              <w:bidi w:val="0"/>
              <w:adjustRightInd/>
              <w:snapToGrid/>
              <w:rPr>
                <w:color w:val="auto"/>
              </w:rPr>
            </w:pPr>
            <w:r>
              <w:rPr>
                <w:color w:val="auto"/>
              </w:rPr>
              <w:t>4181</w:t>
            </w:r>
          </w:p>
        </w:tc>
        <w:tc>
          <w:tcPr>
            <w:tcW w:w="0" w:type="auto"/>
            <w:tcBorders>
              <w:tl2br w:val="nil"/>
              <w:tr2bl w:val="nil"/>
            </w:tcBorders>
            <w:noWrap w:val="0"/>
            <w:vAlign w:val="center"/>
          </w:tcPr>
          <w:p w14:paraId="21666CF9">
            <w:pPr>
              <w:pStyle w:val="16"/>
              <w:pageBreakBefore w:val="0"/>
              <w:wordWrap/>
              <w:bidi w:val="0"/>
              <w:adjustRightInd/>
              <w:snapToGrid/>
              <w:rPr>
                <w:color w:val="auto"/>
              </w:rPr>
            </w:pPr>
            <w:r>
              <w:rPr>
                <w:color w:val="auto"/>
              </w:rPr>
              <w:t>《四川永盈新材料有限公司年产80万吨功能性新材料一体化产业链项目一期工程》</w:t>
            </w:r>
          </w:p>
        </w:tc>
      </w:tr>
      <w:tr w14:paraId="0AF104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gridSpan w:val="4"/>
            <w:tcBorders>
              <w:tl2br w:val="nil"/>
              <w:tr2bl w:val="nil"/>
            </w:tcBorders>
            <w:noWrap w:val="0"/>
            <w:vAlign w:val="center"/>
          </w:tcPr>
          <w:p w14:paraId="36B5C378">
            <w:pPr>
              <w:pStyle w:val="16"/>
              <w:pageBreakBefore w:val="0"/>
              <w:wordWrap/>
              <w:bidi w:val="0"/>
              <w:adjustRightInd/>
              <w:snapToGrid/>
              <w:rPr>
                <w:color w:val="auto"/>
              </w:rPr>
            </w:pPr>
            <w:r>
              <w:rPr>
                <w:color w:val="auto"/>
              </w:rPr>
              <w:t>合计</w:t>
            </w:r>
          </w:p>
        </w:tc>
        <w:tc>
          <w:tcPr>
            <w:tcW w:w="0" w:type="auto"/>
            <w:tcBorders>
              <w:tl2br w:val="nil"/>
              <w:tr2bl w:val="nil"/>
            </w:tcBorders>
            <w:noWrap w:val="0"/>
            <w:vAlign w:val="center"/>
          </w:tcPr>
          <w:p w14:paraId="2BCAD804">
            <w:pPr>
              <w:pStyle w:val="16"/>
              <w:pageBreakBefore w:val="0"/>
              <w:wordWrap/>
              <w:bidi w:val="0"/>
              <w:adjustRightInd/>
              <w:snapToGrid/>
              <w:rPr>
                <w:color w:val="auto"/>
              </w:rPr>
            </w:pPr>
            <w:r>
              <w:rPr>
                <w:color w:val="auto"/>
              </w:rPr>
              <w:t>2393</w:t>
            </w:r>
          </w:p>
        </w:tc>
        <w:tc>
          <w:tcPr>
            <w:tcW w:w="0" w:type="auto"/>
            <w:tcBorders>
              <w:tl2br w:val="nil"/>
              <w:tr2bl w:val="nil"/>
            </w:tcBorders>
            <w:noWrap w:val="0"/>
            <w:vAlign w:val="center"/>
          </w:tcPr>
          <w:p w14:paraId="62B96082">
            <w:pPr>
              <w:pStyle w:val="16"/>
              <w:pageBreakBefore w:val="0"/>
              <w:wordWrap/>
              <w:bidi w:val="0"/>
              <w:adjustRightInd/>
              <w:snapToGrid/>
              <w:rPr>
                <w:color w:val="auto"/>
              </w:rPr>
            </w:pPr>
            <w:r>
              <w:rPr>
                <w:color w:val="auto"/>
              </w:rPr>
              <w:t>15400</w:t>
            </w:r>
          </w:p>
        </w:tc>
        <w:tc>
          <w:tcPr>
            <w:tcW w:w="0" w:type="auto"/>
            <w:tcBorders>
              <w:tl2br w:val="nil"/>
              <w:tr2bl w:val="nil"/>
            </w:tcBorders>
            <w:noWrap w:val="0"/>
            <w:vAlign w:val="center"/>
          </w:tcPr>
          <w:p w14:paraId="3602575D">
            <w:pPr>
              <w:pStyle w:val="16"/>
              <w:pageBreakBefore w:val="0"/>
              <w:wordWrap/>
              <w:bidi w:val="0"/>
              <w:adjustRightInd/>
              <w:snapToGrid/>
              <w:rPr>
                <w:color w:val="auto"/>
              </w:rPr>
            </w:pPr>
          </w:p>
        </w:tc>
      </w:tr>
    </w:tbl>
    <w:p w14:paraId="30D875B4">
      <w:pPr>
        <w:pageBreakBefore w:val="0"/>
        <w:wordWrap/>
        <w:bidi w:val="0"/>
        <w:adjustRightInd/>
        <w:snapToGrid/>
        <w:rPr>
          <w:rFonts w:hint="eastAsia"/>
          <w:b/>
          <w:bCs/>
          <w:color w:val="auto"/>
          <w:sz w:val="21"/>
          <w:szCs w:val="21"/>
          <w:lang w:eastAsia="zh-CN"/>
        </w:rPr>
      </w:pPr>
      <w:r>
        <w:rPr>
          <w:rFonts w:hint="eastAsia"/>
          <w:b/>
          <w:bCs/>
          <w:color w:val="auto"/>
          <w:sz w:val="21"/>
          <w:szCs w:val="21"/>
        </w:rPr>
        <w:t>注</w:t>
      </w:r>
      <w:r>
        <w:rPr>
          <w:rFonts w:hint="eastAsia"/>
          <w:b/>
          <w:bCs/>
          <w:color w:val="auto"/>
          <w:sz w:val="21"/>
          <w:szCs w:val="21"/>
          <w:lang w:eastAsia="zh-CN"/>
        </w:rPr>
        <w:t>：“</w:t>
      </w:r>
      <w:r>
        <w:rPr>
          <w:rFonts w:hint="eastAsia"/>
          <w:b/>
          <w:bCs/>
          <w:color w:val="auto"/>
          <w:sz w:val="21"/>
          <w:szCs w:val="21"/>
        </w:rPr>
        <w:t>*</w:t>
      </w:r>
      <w:r>
        <w:rPr>
          <w:rFonts w:hint="eastAsia"/>
          <w:b/>
          <w:bCs/>
          <w:color w:val="auto"/>
          <w:sz w:val="21"/>
          <w:szCs w:val="21"/>
          <w:lang w:eastAsia="zh-CN"/>
        </w:rPr>
        <w:t>”</w:t>
      </w:r>
      <w:r>
        <w:rPr>
          <w:rFonts w:hint="eastAsia"/>
          <w:b/>
          <w:bCs/>
          <w:color w:val="auto"/>
          <w:sz w:val="21"/>
          <w:szCs w:val="21"/>
        </w:rPr>
        <w:t>单位万方/年</w:t>
      </w:r>
      <w:r>
        <w:rPr>
          <w:rFonts w:hint="eastAsia"/>
          <w:b/>
          <w:bCs/>
          <w:color w:val="auto"/>
          <w:sz w:val="21"/>
          <w:szCs w:val="21"/>
          <w:lang w:eastAsia="zh-CN"/>
        </w:rPr>
        <w:t>。</w:t>
      </w:r>
    </w:p>
    <w:p w14:paraId="3280BA84">
      <w:pPr>
        <w:pageBreakBefore w:val="0"/>
        <w:wordWrap/>
        <w:bidi w:val="0"/>
        <w:adjustRightInd/>
        <w:snapToGrid/>
        <w:rPr>
          <w:rFonts w:hint="eastAsia"/>
          <w:color w:val="auto"/>
          <w:lang w:eastAsia="zh-CN"/>
        </w:rPr>
      </w:pPr>
      <w:r>
        <w:rPr>
          <w:rFonts w:hint="eastAsia"/>
          <w:color w:val="auto"/>
          <w:lang w:eastAsia="zh-CN"/>
        </w:rPr>
        <w:t>根据</w:t>
      </w:r>
      <w:r>
        <w:rPr>
          <w:rFonts w:hint="eastAsia"/>
          <w:color w:val="auto"/>
          <w:lang w:val="en-US" w:eastAsia="zh-CN"/>
        </w:rPr>
        <w:t>修编</w:t>
      </w:r>
      <w:r>
        <w:rPr>
          <w:rFonts w:hint="eastAsia"/>
          <w:color w:val="auto"/>
        </w:rPr>
        <w:t>规划环评</w:t>
      </w:r>
      <w:r>
        <w:rPr>
          <w:rFonts w:hint="eastAsia"/>
          <w:color w:val="auto"/>
          <w:lang w:eastAsia="zh-CN"/>
        </w:rPr>
        <w:t>预测数据，近期2025年，曾口区块污水量约0.24万</w:t>
      </w:r>
      <w:r>
        <w:rPr>
          <w:rFonts w:hint="eastAsia"/>
          <w:color w:val="auto"/>
          <w:lang w:val="en-US" w:eastAsia="zh-CN"/>
        </w:rPr>
        <w:t>m³</w:t>
      </w:r>
      <w:r>
        <w:rPr>
          <w:rFonts w:hint="eastAsia"/>
          <w:color w:val="auto"/>
          <w:lang w:eastAsia="zh-CN"/>
        </w:rPr>
        <w:t>/d；</w:t>
      </w:r>
      <w:r>
        <w:rPr>
          <w:rFonts w:hint="eastAsia"/>
          <w:color w:val="auto"/>
          <w:lang w:val="en-US" w:eastAsia="zh-CN"/>
        </w:rPr>
        <w:t>远期</w:t>
      </w:r>
      <w:r>
        <w:rPr>
          <w:rFonts w:hint="eastAsia"/>
          <w:color w:val="auto"/>
          <w:lang w:eastAsia="zh-CN"/>
        </w:rPr>
        <w:t>2035年，曾口区块污水量约1.54万</w:t>
      </w:r>
      <w:r>
        <w:rPr>
          <w:rFonts w:hint="eastAsia"/>
          <w:color w:val="auto"/>
          <w:lang w:val="en-US" w:eastAsia="zh-CN"/>
        </w:rPr>
        <w:t>m³</w:t>
      </w:r>
      <w:r>
        <w:rPr>
          <w:rFonts w:hint="eastAsia"/>
          <w:color w:val="auto"/>
          <w:lang w:eastAsia="zh-CN"/>
        </w:rPr>
        <w:t>/d。</w:t>
      </w:r>
    </w:p>
    <w:p w14:paraId="38EFED13">
      <w:pPr>
        <w:pageBreakBefore w:val="0"/>
        <w:wordWrap/>
        <w:bidi w:val="0"/>
        <w:adjustRightInd/>
        <w:snapToGrid/>
        <w:rPr>
          <w:rFonts w:hint="eastAsia" w:eastAsia="宋体"/>
          <w:b/>
          <w:bCs/>
          <w:color w:val="auto"/>
          <w:lang w:val="en-US" w:eastAsia="zh-CN"/>
        </w:rPr>
      </w:pPr>
      <w:r>
        <w:rPr>
          <w:rFonts w:hint="eastAsia"/>
          <w:b/>
          <w:bCs/>
          <w:color w:val="auto"/>
          <w:lang w:val="en-US" w:eastAsia="zh-CN"/>
        </w:rPr>
        <w:t>3、污水处理厂规模预测</w:t>
      </w:r>
    </w:p>
    <w:p w14:paraId="353792DD">
      <w:pPr>
        <w:pStyle w:val="321"/>
        <w:pageBreakBefore w:val="0"/>
        <w:wordWrap/>
        <w:bidi w:val="0"/>
        <w:adjustRightInd/>
        <w:snapToGrid/>
        <w:spacing w:line="360" w:lineRule="auto"/>
        <w:rPr>
          <w:rFonts w:hint="eastAsia" w:eastAsia="宋体" w:cs="Times New Roman"/>
          <w:color w:val="auto"/>
          <w:lang w:eastAsia="zh-CN"/>
        </w:rPr>
      </w:pPr>
      <w:r>
        <w:rPr>
          <w:rFonts w:hint="eastAsia" w:cs="Times New Roman"/>
          <w:color w:val="auto"/>
        </w:rPr>
        <w:t>通过上述预测，同时考虑到曾口片区目前尚未有企业入驻，在规划期内企业污水量增长情况很可能变化，因此，</w:t>
      </w:r>
      <w:r>
        <w:rPr>
          <w:rFonts w:hint="eastAsia" w:cs="Times New Roman"/>
          <w:color w:val="auto"/>
          <w:lang w:eastAsia="zh-CN"/>
        </w:rPr>
        <w:t>按照“</w:t>
      </w:r>
      <w:r>
        <w:rPr>
          <w:rFonts w:hint="eastAsia" w:cs="Times New Roman"/>
          <w:color w:val="auto"/>
        </w:rPr>
        <w:t>一次规划、逐步开发、分期建设、滚动发展</w:t>
      </w:r>
      <w:r>
        <w:rPr>
          <w:rFonts w:hint="eastAsia" w:cs="Times New Roman"/>
          <w:color w:val="auto"/>
          <w:lang w:eastAsia="zh-CN"/>
        </w:rPr>
        <w:t>”</w:t>
      </w:r>
      <w:r>
        <w:rPr>
          <w:rFonts w:hint="eastAsia" w:cs="Times New Roman"/>
          <w:color w:val="auto"/>
        </w:rPr>
        <w:t>的原则，对污水处理规模进行适当分期以下为分期污水预测表</w:t>
      </w:r>
      <w:r>
        <w:rPr>
          <w:rFonts w:hint="eastAsia" w:cs="Times New Roman"/>
          <w:color w:val="auto"/>
          <w:lang w:eastAsia="zh-CN"/>
        </w:rPr>
        <w:t>：</w:t>
      </w:r>
    </w:p>
    <w:p w14:paraId="148D3FFF">
      <w:pPr>
        <w:pStyle w:val="19"/>
        <w:numPr>
          <w:ilvl w:val="0"/>
          <w:numId w:val="16"/>
        </w:numPr>
        <w:bidi w:val="0"/>
        <w:ind w:left="0" w:leftChars="0" w:firstLine="0" w:firstLineChars="0"/>
        <w:rPr>
          <w:rFonts w:hint="default"/>
          <w:color w:val="auto"/>
          <w:lang w:val="en-US" w:eastAsia="zh-CN"/>
        </w:rPr>
      </w:pPr>
      <w:r>
        <w:rPr>
          <w:rFonts w:hint="eastAsia"/>
          <w:color w:val="auto"/>
          <w:lang w:val="en-US" w:eastAsia="zh-CN"/>
        </w:rPr>
        <w:t>污水处理厂规模预测一览表</w:t>
      </w:r>
    </w:p>
    <w:tbl>
      <w:tblPr>
        <w:tblStyle w:val="5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2784"/>
        <w:gridCol w:w="2786"/>
        <w:gridCol w:w="2789"/>
      </w:tblGrid>
      <w:tr w14:paraId="236598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65" w:type="pct"/>
            <w:tcBorders>
              <w:tl2br w:val="nil"/>
              <w:tr2bl w:val="nil"/>
            </w:tcBorders>
            <w:noWrap w:val="0"/>
            <w:vAlign w:val="center"/>
          </w:tcPr>
          <w:p w14:paraId="27F13600">
            <w:pPr>
              <w:pStyle w:val="16"/>
              <w:pageBreakBefore w:val="0"/>
              <w:wordWrap/>
              <w:bidi w:val="0"/>
              <w:adjustRightInd/>
              <w:snapToGrid/>
              <w:rPr>
                <w:rFonts w:hint="default"/>
                <w:b/>
                <w:bCs/>
                <w:color w:val="auto"/>
                <w:sz w:val="21"/>
                <w:szCs w:val="21"/>
                <w:lang w:val="en-US" w:eastAsia="zh-CN"/>
              </w:rPr>
            </w:pPr>
            <w:r>
              <w:rPr>
                <w:rFonts w:hint="eastAsia"/>
                <w:b/>
                <w:bCs/>
                <w:color w:val="auto"/>
                <w:sz w:val="21"/>
                <w:szCs w:val="21"/>
                <w:lang w:val="en-US" w:eastAsia="zh-CN"/>
              </w:rPr>
              <w:t>名称</w:t>
            </w:r>
          </w:p>
        </w:tc>
        <w:tc>
          <w:tcPr>
            <w:tcW w:w="1666" w:type="pct"/>
            <w:tcBorders>
              <w:tl2br w:val="nil"/>
              <w:tr2bl w:val="nil"/>
            </w:tcBorders>
            <w:noWrap w:val="0"/>
            <w:vAlign w:val="center"/>
          </w:tcPr>
          <w:p w14:paraId="142C6760">
            <w:pPr>
              <w:pStyle w:val="16"/>
              <w:pageBreakBefore w:val="0"/>
              <w:wordWrap/>
              <w:bidi w:val="0"/>
              <w:adjustRightInd/>
              <w:snapToGrid/>
              <w:rPr>
                <w:rFonts w:hint="default" w:eastAsia="宋体"/>
                <w:b/>
                <w:bCs/>
                <w:color w:val="auto"/>
                <w:sz w:val="21"/>
                <w:szCs w:val="21"/>
                <w:lang w:val="en-US" w:eastAsia="zh-CN"/>
              </w:rPr>
            </w:pPr>
            <w:r>
              <w:rPr>
                <w:rFonts w:hint="eastAsia" w:eastAsia="宋体"/>
                <w:b/>
                <w:bCs/>
                <w:color w:val="auto"/>
                <w:sz w:val="21"/>
                <w:szCs w:val="21"/>
                <w:lang w:val="en-US" w:eastAsia="zh-CN"/>
              </w:rPr>
              <w:t>近期（2025年）</w:t>
            </w:r>
          </w:p>
        </w:tc>
        <w:tc>
          <w:tcPr>
            <w:tcW w:w="1668" w:type="pct"/>
            <w:tcBorders>
              <w:tl2br w:val="nil"/>
              <w:tr2bl w:val="nil"/>
            </w:tcBorders>
            <w:noWrap w:val="0"/>
            <w:vAlign w:val="center"/>
          </w:tcPr>
          <w:p w14:paraId="3DC16A3D">
            <w:pPr>
              <w:pStyle w:val="16"/>
              <w:pageBreakBefore w:val="0"/>
              <w:wordWrap/>
              <w:bidi w:val="0"/>
              <w:adjustRightInd/>
              <w:snapToGrid/>
              <w:rPr>
                <w:rFonts w:hint="default" w:eastAsia="宋体"/>
                <w:b/>
                <w:bCs/>
                <w:color w:val="auto"/>
                <w:sz w:val="21"/>
                <w:szCs w:val="21"/>
                <w:lang w:val="en-US" w:eastAsia="zh-CN"/>
              </w:rPr>
            </w:pPr>
            <w:r>
              <w:rPr>
                <w:rFonts w:hint="eastAsia" w:eastAsia="宋体"/>
                <w:b/>
                <w:bCs/>
                <w:color w:val="auto"/>
                <w:sz w:val="21"/>
                <w:szCs w:val="21"/>
                <w:lang w:val="en-US" w:eastAsia="zh-CN"/>
              </w:rPr>
              <w:t>远期（2035年）</w:t>
            </w:r>
          </w:p>
        </w:tc>
      </w:tr>
      <w:tr w14:paraId="486D89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65" w:type="pct"/>
            <w:tcBorders>
              <w:tl2br w:val="nil"/>
              <w:tr2bl w:val="nil"/>
            </w:tcBorders>
            <w:noWrap w:val="0"/>
            <w:vAlign w:val="center"/>
          </w:tcPr>
          <w:p w14:paraId="0C02F77A">
            <w:pPr>
              <w:pStyle w:val="16"/>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工业污水量（万</w:t>
            </w:r>
            <w:r>
              <w:rPr>
                <w:rFonts w:hint="eastAsia"/>
                <w:color w:val="auto"/>
                <w:sz w:val="21"/>
                <w:szCs w:val="21"/>
                <w:lang w:val="en-US" w:eastAsia="zh-CN"/>
              </w:rPr>
              <w:t>m³</w:t>
            </w:r>
            <w:r>
              <w:rPr>
                <w:rFonts w:hint="eastAsia" w:eastAsia="宋体"/>
                <w:color w:val="auto"/>
                <w:sz w:val="21"/>
                <w:szCs w:val="21"/>
                <w:lang w:val="en-US" w:eastAsia="zh-CN"/>
              </w:rPr>
              <w:t>/d）</w:t>
            </w:r>
          </w:p>
        </w:tc>
        <w:tc>
          <w:tcPr>
            <w:tcW w:w="1666" w:type="pct"/>
            <w:tcBorders>
              <w:tl2br w:val="nil"/>
              <w:tr2bl w:val="nil"/>
            </w:tcBorders>
            <w:noWrap w:val="0"/>
            <w:vAlign w:val="center"/>
          </w:tcPr>
          <w:p w14:paraId="713225B1">
            <w:pPr>
              <w:pStyle w:val="16"/>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0.24</w:t>
            </w:r>
          </w:p>
        </w:tc>
        <w:tc>
          <w:tcPr>
            <w:tcW w:w="1668" w:type="pct"/>
            <w:tcBorders>
              <w:tl2br w:val="nil"/>
              <w:tr2bl w:val="nil"/>
            </w:tcBorders>
            <w:noWrap w:val="0"/>
            <w:vAlign w:val="center"/>
          </w:tcPr>
          <w:p w14:paraId="4569D22E">
            <w:pPr>
              <w:pStyle w:val="16"/>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1.54</w:t>
            </w:r>
          </w:p>
        </w:tc>
      </w:tr>
      <w:tr w14:paraId="53B6EC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65" w:type="pct"/>
            <w:tcBorders>
              <w:tl2br w:val="nil"/>
              <w:tr2bl w:val="nil"/>
            </w:tcBorders>
            <w:noWrap w:val="0"/>
            <w:vAlign w:val="center"/>
          </w:tcPr>
          <w:p w14:paraId="051B465F">
            <w:pPr>
              <w:pStyle w:val="16"/>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处理规模</w:t>
            </w:r>
          </w:p>
        </w:tc>
        <w:tc>
          <w:tcPr>
            <w:tcW w:w="1666" w:type="pct"/>
            <w:tcBorders>
              <w:tl2br w:val="nil"/>
              <w:tr2bl w:val="nil"/>
            </w:tcBorders>
            <w:noWrap w:val="0"/>
            <w:vAlign w:val="center"/>
          </w:tcPr>
          <w:p w14:paraId="214EC6C5">
            <w:pPr>
              <w:pStyle w:val="16"/>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0.3</w:t>
            </w:r>
          </w:p>
        </w:tc>
        <w:tc>
          <w:tcPr>
            <w:tcW w:w="1668" w:type="pct"/>
            <w:tcBorders>
              <w:tl2br w:val="nil"/>
              <w:tr2bl w:val="nil"/>
            </w:tcBorders>
            <w:noWrap w:val="0"/>
            <w:vAlign w:val="center"/>
          </w:tcPr>
          <w:p w14:paraId="55728500">
            <w:pPr>
              <w:pStyle w:val="16"/>
              <w:pageBreakBefore w:val="0"/>
              <w:wordWrap/>
              <w:bidi w:val="0"/>
              <w:adjustRightInd/>
              <w:snapToGrid/>
              <w:rPr>
                <w:rFonts w:hint="default" w:eastAsia="宋体"/>
                <w:color w:val="auto"/>
                <w:sz w:val="21"/>
                <w:szCs w:val="21"/>
                <w:lang w:val="en-US" w:eastAsia="zh-CN"/>
              </w:rPr>
            </w:pPr>
            <w:r>
              <w:rPr>
                <w:rFonts w:hint="eastAsia" w:eastAsia="宋体"/>
                <w:color w:val="auto"/>
                <w:sz w:val="21"/>
                <w:szCs w:val="21"/>
                <w:lang w:val="en-US" w:eastAsia="zh-CN"/>
              </w:rPr>
              <w:t>1.6</w:t>
            </w:r>
          </w:p>
        </w:tc>
      </w:tr>
    </w:tbl>
    <w:p w14:paraId="53FC93C7">
      <w:pPr>
        <w:pStyle w:val="321"/>
        <w:pageBreakBefore w:val="0"/>
        <w:wordWrap/>
        <w:bidi w:val="0"/>
        <w:adjustRightInd/>
        <w:snapToGrid/>
        <w:spacing w:line="360" w:lineRule="auto"/>
        <w:rPr>
          <w:rFonts w:hint="eastAsia" w:eastAsia="宋体" w:cs="Times New Roman"/>
          <w:color w:val="auto"/>
          <w:lang w:eastAsia="zh-CN"/>
        </w:rPr>
      </w:pPr>
      <w:r>
        <w:rPr>
          <w:rFonts w:hint="eastAsia" w:cs="Times New Roman"/>
          <w:color w:val="auto"/>
        </w:rPr>
        <w:t>结合曾口园区</w:t>
      </w:r>
      <w:r>
        <w:rPr>
          <w:rFonts w:hint="eastAsia" w:cs="Times New Roman"/>
          <w:color w:val="auto"/>
          <w:lang w:val="en-US" w:eastAsia="zh-CN"/>
        </w:rPr>
        <w:t>修编</w:t>
      </w:r>
      <w:r>
        <w:rPr>
          <w:rFonts w:hint="eastAsia" w:cs="Times New Roman"/>
          <w:color w:val="auto"/>
        </w:rPr>
        <w:t>规划资料和</w:t>
      </w:r>
      <w:r>
        <w:rPr>
          <w:rFonts w:hint="eastAsia"/>
          <w:color w:val="auto"/>
          <w:lang w:val="en-US" w:eastAsia="zh-CN"/>
        </w:rPr>
        <w:t>修编</w:t>
      </w:r>
      <w:r>
        <w:rPr>
          <w:rFonts w:hint="eastAsia"/>
          <w:color w:val="auto"/>
        </w:rPr>
        <w:t>规划环评</w:t>
      </w:r>
      <w:r>
        <w:rPr>
          <w:rFonts w:hint="eastAsia" w:cs="Times New Roman"/>
          <w:color w:val="auto"/>
        </w:rPr>
        <w:t>资料，初步设计推荐本工程设计规模如下</w:t>
      </w:r>
      <w:r>
        <w:rPr>
          <w:rFonts w:hint="eastAsia" w:cs="Times New Roman"/>
          <w:color w:val="auto"/>
          <w:lang w:eastAsia="zh-CN"/>
        </w:rPr>
        <w:t>：</w:t>
      </w:r>
    </w:p>
    <w:p w14:paraId="36A50A0A">
      <w:pPr>
        <w:pStyle w:val="321"/>
        <w:pageBreakBefore w:val="0"/>
        <w:wordWrap/>
        <w:bidi w:val="0"/>
        <w:adjustRightInd/>
        <w:snapToGrid/>
        <w:spacing w:line="360" w:lineRule="auto"/>
        <w:rPr>
          <w:rFonts w:hint="eastAsia" w:eastAsia="宋体" w:cs="Times New Roman"/>
          <w:color w:val="auto"/>
          <w:lang w:eastAsia="zh-CN"/>
        </w:rPr>
      </w:pPr>
      <w:r>
        <w:rPr>
          <w:rFonts w:hint="eastAsia" w:cs="Times New Roman"/>
          <w:color w:val="auto"/>
        </w:rPr>
        <w:t>近期</w:t>
      </w:r>
      <w:r>
        <w:rPr>
          <w:rFonts w:hint="eastAsia" w:cs="Times New Roman"/>
          <w:color w:val="auto"/>
          <w:lang w:eastAsia="zh-CN"/>
        </w:rPr>
        <w:t>（</w:t>
      </w:r>
      <w:r>
        <w:rPr>
          <w:rFonts w:hint="eastAsia" w:cs="Times New Roman"/>
          <w:color w:val="auto"/>
        </w:rPr>
        <w:t>2025年</w:t>
      </w:r>
      <w:r>
        <w:rPr>
          <w:rFonts w:hint="eastAsia" w:cs="Times New Roman"/>
          <w:color w:val="auto"/>
          <w:lang w:eastAsia="zh-CN"/>
        </w:rPr>
        <w:t>）：</w:t>
      </w:r>
      <w:r>
        <w:rPr>
          <w:rFonts w:hint="eastAsia" w:cs="Times New Roman"/>
          <w:color w:val="auto"/>
        </w:rPr>
        <w:t>设计规模0.3万</w:t>
      </w:r>
      <w:r>
        <w:rPr>
          <w:rFonts w:hint="eastAsia" w:cs="Times New Roman"/>
          <w:color w:val="auto"/>
          <w:lang w:eastAsia="zh-CN"/>
        </w:rPr>
        <w:t>m³</w:t>
      </w:r>
      <w:r>
        <w:rPr>
          <w:rFonts w:hint="eastAsia" w:cs="Times New Roman"/>
          <w:color w:val="auto"/>
        </w:rPr>
        <w:t>/d</w:t>
      </w:r>
      <w:r>
        <w:rPr>
          <w:rFonts w:hint="eastAsia" w:cs="Times New Roman"/>
          <w:color w:val="auto"/>
          <w:lang w:eastAsia="zh-CN"/>
        </w:rPr>
        <w:t>；</w:t>
      </w:r>
    </w:p>
    <w:p w14:paraId="4301AE66">
      <w:pPr>
        <w:pStyle w:val="321"/>
        <w:pageBreakBefore w:val="0"/>
        <w:wordWrap/>
        <w:bidi w:val="0"/>
        <w:adjustRightInd/>
        <w:snapToGrid/>
        <w:spacing w:line="360" w:lineRule="auto"/>
        <w:rPr>
          <w:rFonts w:hint="eastAsia" w:cs="Times New Roman"/>
          <w:color w:val="auto"/>
        </w:rPr>
      </w:pPr>
      <w:r>
        <w:rPr>
          <w:rFonts w:hint="eastAsia" w:cs="Times New Roman"/>
          <w:color w:val="auto"/>
        </w:rPr>
        <w:t>远期</w:t>
      </w:r>
      <w:r>
        <w:rPr>
          <w:rFonts w:hint="eastAsia" w:cs="Times New Roman"/>
          <w:color w:val="auto"/>
          <w:lang w:eastAsia="zh-CN"/>
        </w:rPr>
        <w:t>（</w:t>
      </w:r>
      <w:r>
        <w:rPr>
          <w:rFonts w:hint="eastAsia" w:cs="Times New Roman"/>
          <w:color w:val="auto"/>
        </w:rPr>
        <w:t>2035年</w:t>
      </w:r>
      <w:r>
        <w:rPr>
          <w:rFonts w:hint="eastAsia" w:cs="Times New Roman"/>
          <w:color w:val="auto"/>
          <w:lang w:eastAsia="zh-CN"/>
        </w:rPr>
        <w:t>）：</w:t>
      </w:r>
      <w:r>
        <w:rPr>
          <w:rFonts w:hint="eastAsia" w:cs="Times New Roman"/>
          <w:color w:val="auto"/>
        </w:rPr>
        <w:t>设计规模为</w:t>
      </w:r>
      <w:r>
        <w:rPr>
          <w:rFonts w:hint="eastAsia" w:cs="Times New Roman"/>
          <w:color w:val="auto"/>
          <w:lang w:eastAsia="zh-CN"/>
        </w:rPr>
        <w:t>1</w:t>
      </w:r>
      <w:r>
        <w:rPr>
          <w:rFonts w:hint="eastAsia" w:cs="Times New Roman"/>
          <w:color w:val="auto"/>
        </w:rPr>
        <w:t>.6万</w:t>
      </w:r>
      <w:r>
        <w:rPr>
          <w:rFonts w:hint="eastAsia" w:cs="Times New Roman"/>
          <w:color w:val="auto"/>
          <w:lang w:eastAsia="zh-CN"/>
        </w:rPr>
        <w:t>m³</w:t>
      </w:r>
      <w:r>
        <w:rPr>
          <w:rFonts w:hint="eastAsia" w:cs="Times New Roman"/>
          <w:color w:val="auto"/>
        </w:rPr>
        <w:t>/d。</w:t>
      </w:r>
    </w:p>
    <w:p w14:paraId="7B1BEDF7">
      <w:pPr>
        <w:bidi w:val="0"/>
        <w:rPr>
          <w:rFonts w:hint="eastAsia" w:eastAsia="宋体" w:cs="Times New Roman"/>
          <w:color w:val="auto"/>
          <w:lang w:val="en-US" w:eastAsia="zh-CN"/>
        </w:rPr>
      </w:pPr>
      <w:r>
        <w:rPr>
          <w:rFonts w:hint="eastAsia"/>
          <w:color w:val="auto"/>
        </w:rPr>
        <w:t>综上，本项目新建园区污水处理厂，对各企业排出的废水进行去除有机物、脱盐处理，部分废水进行循环利用，总建设规模为16000</w:t>
      </w:r>
      <w:r>
        <w:rPr>
          <w:rFonts w:hint="eastAsia"/>
          <w:color w:val="auto"/>
          <w:lang w:eastAsia="zh-CN"/>
        </w:rPr>
        <w:t>m³</w:t>
      </w:r>
      <w:r>
        <w:rPr>
          <w:rFonts w:hint="eastAsia"/>
          <w:color w:val="auto"/>
        </w:rPr>
        <w:t>/d，</w:t>
      </w:r>
      <w:r>
        <w:rPr>
          <w:rFonts w:hint="eastAsia" w:cs="Times New Roman"/>
          <w:color w:val="auto"/>
          <w:lang w:val="en-US" w:eastAsia="zh-CN"/>
        </w:rPr>
        <w:t>本次环评污水处理厂处理规模为一期3000</w:t>
      </w:r>
      <w:r>
        <w:rPr>
          <w:rFonts w:hint="eastAsia" w:cs="Times New Roman"/>
          <w:color w:val="auto"/>
          <w:lang w:eastAsia="zh-CN"/>
        </w:rPr>
        <w:t>m³</w:t>
      </w:r>
      <w:r>
        <w:rPr>
          <w:rFonts w:hint="eastAsia" w:cs="Times New Roman"/>
          <w:color w:val="auto"/>
        </w:rPr>
        <w:t>/d</w:t>
      </w:r>
      <w:r>
        <w:rPr>
          <w:rFonts w:hint="eastAsia" w:cs="Times New Roman"/>
          <w:color w:val="auto"/>
          <w:lang w:eastAsia="zh-CN"/>
        </w:rPr>
        <w:t>，</w:t>
      </w:r>
      <w:r>
        <w:rPr>
          <w:rFonts w:hint="eastAsia"/>
          <w:color w:val="auto"/>
          <w:lang w:val="en-US" w:eastAsia="zh-CN"/>
        </w:rPr>
        <w:t>能够满足近期污水处理实际要求</w:t>
      </w:r>
      <w:r>
        <w:rPr>
          <w:color w:val="auto"/>
        </w:rPr>
        <w:t>。</w:t>
      </w:r>
    </w:p>
    <w:p w14:paraId="0AA26235">
      <w:pPr>
        <w:pStyle w:val="5"/>
        <w:pageBreakBefore w:val="0"/>
        <w:wordWrap/>
        <w:bidi w:val="0"/>
        <w:adjustRightInd/>
        <w:snapToGrid/>
        <w:rPr>
          <w:color w:val="auto"/>
        </w:rPr>
      </w:pPr>
      <w:r>
        <w:rPr>
          <w:rFonts w:hint="eastAsia"/>
          <w:color w:val="auto"/>
        </w:rPr>
        <w:t xml:space="preserve"> </w:t>
      </w:r>
      <w:r>
        <w:rPr>
          <w:rFonts w:hint="eastAsia"/>
          <w:color w:val="auto"/>
          <w:lang w:eastAsia="zh-CN"/>
        </w:rPr>
        <w:t>污水处理厂</w:t>
      </w:r>
      <w:r>
        <w:rPr>
          <w:rFonts w:hint="eastAsia"/>
          <w:color w:val="auto"/>
          <w:lang w:val="en-US" w:eastAsia="zh-CN"/>
        </w:rPr>
        <w:t>进出水水质确定的合理性分析</w:t>
      </w:r>
    </w:p>
    <w:p w14:paraId="70CFF885">
      <w:pPr>
        <w:pStyle w:val="10"/>
        <w:pageBreakBefore w:val="0"/>
        <w:wordWrap/>
        <w:bidi w:val="0"/>
        <w:adjustRightInd/>
        <w:snapToGrid/>
        <w:rPr>
          <w:color w:val="auto"/>
        </w:rPr>
      </w:pPr>
      <w:bookmarkStart w:id="76" w:name="_Toc29597"/>
      <w:r>
        <w:rPr>
          <w:rFonts w:hint="eastAsia"/>
          <w:color w:val="auto"/>
        </w:rPr>
        <w:t xml:space="preserve"> </w:t>
      </w:r>
      <w:r>
        <w:rPr>
          <w:color w:val="auto"/>
        </w:rPr>
        <w:t>设计进水水质</w:t>
      </w:r>
    </w:p>
    <w:p w14:paraId="557A15F1">
      <w:pPr>
        <w:pageBreakBefore w:val="0"/>
        <w:wordWrap/>
        <w:bidi w:val="0"/>
        <w:adjustRightInd/>
        <w:snapToGrid/>
        <w:rPr>
          <w:rFonts w:hint="default"/>
          <w:b/>
          <w:bCs/>
          <w:color w:val="auto"/>
          <w:lang w:val="en-US" w:eastAsia="zh-CN"/>
        </w:rPr>
      </w:pPr>
      <w:r>
        <w:rPr>
          <w:b/>
          <w:bCs/>
          <w:color w:val="auto"/>
        </w:rPr>
        <w:t>（1）</w:t>
      </w:r>
      <w:r>
        <w:rPr>
          <w:rFonts w:hint="eastAsia"/>
          <w:b/>
          <w:bCs/>
          <w:color w:val="auto"/>
          <w:lang w:val="en-US" w:eastAsia="zh-CN"/>
        </w:rPr>
        <w:t>曾口片区规划企业进水水质</w:t>
      </w:r>
    </w:p>
    <w:p w14:paraId="13DDDE0D">
      <w:pPr>
        <w:pageBreakBefore w:val="0"/>
        <w:wordWrap/>
        <w:bidi w:val="0"/>
        <w:adjustRightInd/>
        <w:snapToGrid/>
        <w:rPr>
          <w:color w:val="auto"/>
        </w:rPr>
      </w:pPr>
      <w:r>
        <w:rPr>
          <w:rFonts w:hint="eastAsia"/>
          <w:color w:val="auto"/>
        </w:rPr>
        <w:t>对来水水质提出限制要求，同时本项目有来水水质监测系统，发现水质异常立即将来水导入应急池，启动高级氧化等应急系统，处理满足后续工段水质要求后再进入后面处理单元。</w:t>
      </w:r>
    </w:p>
    <w:p w14:paraId="56D68730">
      <w:pPr>
        <w:pageBreakBefore w:val="0"/>
        <w:wordWrap/>
        <w:bidi w:val="0"/>
        <w:adjustRightInd/>
        <w:snapToGrid/>
        <w:rPr>
          <w:rFonts w:hint="eastAsia" w:eastAsia="宋体"/>
          <w:color w:val="auto"/>
          <w:lang w:val="en-US" w:eastAsia="zh-CN"/>
        </w:rPr>
      </w:pPr>
      <w:r>
        <w:rPr>
          <w:color w:val="auto"/>
        </w:rPr>
        <w:t>本项目服务范围主要为</w:t>
      </w:r>
      <w:r>
        <w:rPr>
          <w:rFonts w:hint="eastAsia"/>
          <w:color w:val="auto"/>
          <w:lang w:val="en-US" w:eastAsia="zh-CN"/>
        </w:rPr>
        <w:t>四川巴中经济开发区-曾口区块</w:t>
      </w:r>
      <w:r>
        <w:rPr>
          <w:color w:val="auto"/>
        </w:rPr>
        <w:t>，</w:t>
      </w:r>
      <w:r>
        <w:rPr>
          <w:rFonts w:hint="eastAsia"/>
          <w:color w:val="auto"/>
          <w:lang w:val="en-US" w:eastAsia="zh-CN"/>
        </w:rPr>
        <w:t>根据《四川巴中经济开发区规划修编环境影响报告书》要求，由于规划曾口、金堂区块目前处于未开发状态，无工业企业入驻。在无实测进水水质的情况下，结合规划产业和《污水综合排放标准》（GB8978-1996）三级标准、《石油化学工业污染物排放标准》（GB31571-2015）间接排放标准要求以及后续存在中水回用的需求。如下表所示：</w:t>
      </w:r>
    </w:p>
    <w:p w14:paraId="3E71E837">
      <w:pPr>
        <w:pStyle w:val="19"/>
        <w:numPr>
          <w:ilvl w:val="0"/>
          <w:numId w:val="16"/>
        </w:numPr>
        <w:bidi w:val="0"/>
        <w:ind w:left="0" w:leftChars="0" w:firstLine="0" w:firstLineChars="0"/>
        <w:rPr>
          <w:color w:val="auto"/>
        </w:rPr>
      </w:pPr>
      <w:r>
        <w:rPr>
          <w:rFonts w:hint="eastAsia"/>
          <w:color w:val="auto"/>
        </w:rPr>
        <w:t>新建污水处理厂设计进水水质表</w:t>
      </w:r>
    </w:p>
    <w:tbl>
      <w:tblPr>
        <w:tblStyle w:val="5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1420"/>
        <w:gridCol w:w="1420"/>
        <w:gridCol w:w="1420"/>
        <w:gridCol w:w="1420"/>
        <w:gridCol w:w="1423"/>
      </w:tblGrid>
      <w:tr w14:paraId="408CE3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3" w:type="pct"/>
            <w:tcBorders>
              <w:tl2br w:val="nil"/>
              <w:tr2bl w:val="nil"/>
            </w:tcBorders>
            <w:vAlign w:val="center"/>
          </w:tcPr>
          <w:p w14:paraId="44D58A28">
            <w:pPr>
              <w:pStyle w:val="16"/>
              <w:pageBreakBefore w:val="0"/>
              <w:wordWrap/>
              <w:bidi w:val="0"/>
              <w:adjustRightInd/>
              <w:snapToGrid/>
              <w:rPr>
                <w:rFonts w:hint="eastAsia" w:eastAsia="宋体"/>
                <w:b/>
                <w:bCs w:val="0"/>
                <w:color w:val="auto"/>
                <w:lang w:val="en-US" w:eastAsia="zh-CN"/>
              </w:rPr>
            </w:pPr>
            <w:r>
              <w:rPr>
                <w:rFonts w:hint="eastAsia"/>
                <w:b/>
                <w:bCs w:val="0"/>
                <w:color w:val="auto"/>
                <w:lang w:val="en-US" w:eastAsia="zh-CN"/>
              </w:rPr>
              <w:t>项目</w:t>
            </w:r>
          </w:p>
        </w:tc>
        <w:tc>
          <w:tcPr>
            <w:tcW w:w="833" w:type="pct"/>
            <w:tcBorders>
              <w:tl2br w:val="nil"/>
              <w:tr2bl w:val="nil"/>
            </w:tcBorders>
            <w:vAlign w:val="center"/>
          </w:tcPr>
          <w:p w14:paraId="785CCB1D">
            <w:pPr>
              <w:pStyle w:val="16"/>
              <w:pageBreakBefore w:val="0"/>
              <w:wordWrap/>
              <w:bidi w:val="0"/>
              <w:adjustRightInd/>
              <w:snapToGrid/>
              <w:rPr>
                <w:rFonts w:hint="eastAsia" w:eastAsia="宋体"/>
                <w:b/>
                <w:bCs w:val="0"/>
                <w:color w:val="auto"/>
                <w:lang w:val="en-US" w:eastAsia="zh-CN"/>
              </w:rPr>
            </w:pPr>
            <w:r>
              <w:rPr>
                <w:rFonts w:hint="eastAsia"/>
                <w:b/>
                <w:bCs w:val="0"/>
                <w:color w:val="auto"/>
                <w:lang w:val="en-US" w:eastAsia="zh-CN"/>
              </w:rPr>
              <w:t>单位</w:t>
            </w:r>
          </w:p>
        </w:tc>
        <w:tc>
          <w:tcPr>
            <w:tcW w:w="833" w:type="pct"/>
            <w:tcBorders>
              <w:tl2br w:val="nil"/>
              <w:tr2bl w:val="nil"/>
            </w:tcBorders>
            <w:vAlign w:val="center"/>
          </w:tcPr>
          <w:p w14:paraId="41318EEE">
            <w:pPr>
              <w:pStyle w:val="16"/>
              <w:pageBreakBefore w:val="0"/>
              <w:wordWrap/>
              <w:bidi w:val="0"/>
              <w:adjustRightInd/>
              <w:snapToGrid/>
              <w:rPr>
                <w:rFonts w:hint="eastAsia" w:eastAsia="宋体"/>
                <w:b/>
                <w:bCs w:val="0"/>
                <w:color w:val="auto"/>
                <w:lang w:val="en-US" w:eastAsia="zh-CN"/>
              </w:rPr>
            </w:pPr>
            <w:r>
              <w:rPr>
                <w:rFonts w:hint="eastAsia"/>
                <w:b/>
                <w:bCs w:val="0"/>
                <w:color w:val="auto"/>
                <w:lang w:val="en-US" w:eastAsia="zh-CN"/>
              </w:rPr>
              <w:t>浓度值</w:t>
            </w:r>
          </w:p>
        </w:tc>
        <w:tc>
          <w:tcPr>
            <w:tcW w:w="1420" w:type="dxa"/>
            <w:tcBorders>
              <w:tl2br w:val="nil"/>
              <w:tr2bl w:val="nil"/>
            </w:tcBorders>
            <w:vAlign w:val="center"/>
          </w:tcPr>
          <w:p w14:paraId="6EEBE495">
            <w:pPr>
              <w:pStyle w:val="16"/>
              <w:pageBreakBefore w:val="0"/>
              <w:wordWrap/>
              <w:bidi w:val="0"/>
              <w:adjustRightInd/>
              <w:snapToGrid/>
              <w:ind w:left="0" w:leftChars="0" w:firstLine="0" w:firstLineChars="0"/>
              <w:rPr>
                <w:b/>
                <w:bCs w:val="0"/>
                <w:color w:val="auto"/>
              </w:rPr>
            </w:pPr>
            <w:r>
              <w:rPr>
                <w:rFonts w:hint="eastAsia"/>
                <w:b/>
                <w:bCs w:val="0"/>
                <w:color w:val="auto"/>
                <w:lang w:val="en-US" w:eastAsia="zh-CN"/>
              </w:rPr>
              <w:t>项目</w:t>
            </w:r>
          </w:p>
        </w:tc>
        <w:tc>
          <w:tcPr>
            <w:tcW w:w="1421" w:type="dxa"/>
            <w:tcBorders>
              <w:tl2br w:val="nil"/>
              <w:tr2bl w:val="nil"/>
            </w:tcBorders>
            <w:vAlign w:val="center"/>
          </w:tcPr>
          <w:p w14:paraId="204E0CFD">
            <w:pPr>
              <w:pStyle w:val="16"/>
              <w:pageBreakBefore w:val="0"/>
              <w:wordWrap/>
              <w:bidi w:val="0"/>
              <w:adjustRightInd/>
              <w:snapToGrid/>
              <w:ind w:left="0" w:leftChars="0" w:firstLine="0" w:firstLineChars="0"/>
              <w:rPr>
                <w:b/>
                <w:bCs w:val="0"/>
                <w:color w:val="auto"/>
              </w:rPr>
            </w:pPr>
            <w:r>
              <w:rPr>
                <w:rFonts w:hint="eastAsia"/>
                <w:b/>
                <w:bCs w:val="0"/>
                <w:color w:val="auto"/>
                <w:lang w:val="en-US" w:eastAsia="zh-CN"/>
              </w:rPr>
              <w:t>单位</w:t>
            </w:r>
          </w:p>
        </w:tc>
        <w:tc>
          <w:tcPr>
            <w:tcW w:w="1421" w:type="dxa"/>
            <w:tcBorders>
              <w:tl2br w:val="nil"/>
              <w:tr2bl w:val="nil"/>
            </w:tcBorders>
            <w:vAlign w:val="center"/>
          </w:tcPr>
          <w:p w14:paraId="185840A6">
            <w:pPr>
              <w:pStyle w:val="16"/>
              <w:pageBreakBefore w:val="0"/>
              <w:wordWrap/>
              <w:bidi w:val="0"/>
              <w:adjustRightInd/>
              <w:snapToGrid/>
              <w:ind w:left="0" w:leftChars="0" w:firstLine="0" w:firstLineChars="0"/>
              <w:rPr>
                <w:b/>
                <w:bCs w:val="0"/>
                <w:color w:val="auto"/>
              </w:rPr>
            </w:pPr>
            <w:r>
              <w:rPr>
                <w:rFonts w:hint="eastAsia"/>
                <w:b/>
                <w:bCs w:val="0"/>
                <w:color w:val="auto"/>
                <w:lang w:val="en-US" w:eastAsia="zh-CN"/>
              </w:rPr>
              <w:t>浓度值</w:t>
            </w:r>
          </w:p>
        </w:tc>
      </w:tr>
      <w:tr w14:paraId="73B523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3" w:type="pct"/>
            <w:tcBorders>
              <w:tl2br w:val="nil"/>
              <w:tr2bl w:val="nil"/>
            </w:tcBorders>
            <w:vAlign w:val="center"/>
          </w:tcPr>
          <w:p w14:paraId="000B0BA5">
            <w:pPr>
              <w:pStyle w:val="16"/>
              <w:pageBreakBefore w:val="0"/>
              <w:wordWrap/>
              <w:bidi w:val="0"/>
              <w:adjustRightInd/>
              <w:snapToGrid/>
              <w:rPr>
                <w:rFonts w:hint="default"/>
                <w:color w:val="auto"/>
                <w:lang w:val="en-US" w:eastAsia="zh-CN"/>
              </w:rPr>
            </w:pPr>
            <w:r>
              <w:rPr>
                <w:rFonts w:hint="eastAsia"/>
                <w:color w:val="auto"/>
                <w:lang w:val="en-US" w:eastAsia="zh-CN"/>
              </w:rPr>
              <w:t>pH值</w:t>
            </w:r>
          </w:p>
        </w:tc>
        <w:tc>
          <w:tcPr>
            <w:tcW w:w="833" w:type="pct"/>
            <w:tcBorders>
              <w:tl2br w:val="nil"/>
              <w:tr2bl w:val="nil"/>
            </w:tcBorders>
            <w:vAlign w:val="center"/>
          </w:tcPr>
          <w:p w14:paraId="080F14F0">
            <w:pPr>
              <w:pStyle w:val="16"/>
              <w:pageBreakBefore w:val="0"/>
              <w:wordWrap/>
              <w:bidi w:val="0"/>
              <w:adjustRightInd/>
              <w:snapToGrid/>
              <w:rPr>
                <w:rFonts w:hint="eastAsia"/>
                <w:color w:val="auto"/>
                <w:lang w:val="en-US" w:eastAsia="zh-CN"/>
              </w:rPr>
            </w:pPr>
            <w:r>
              <w:rPr>
                <w:rFonts w:hint="eastAsia"/>
                <w:color w:val="auto"/>
                <w:lang w:val="en-US" w:eastAsia="zh-CN"/>
              </w:rPr>
              <w:t>无量纲</w:t>
            </w:r>
          </w:p>
        </w:tc>
        <w:tc>
          <w:tcPr>
            <w:tcW w:w="833" w:type="pct"/>
            <w:tcBorders>
              <w:tl2br w:val="nil"/>
              <w:tr2bl w:val="nil"/>
            </w:tcBorders>
            <w:vAlign w:val="center"/>
          </w:tcPr>
          <w:p w14:paraId="728DEFAA">
            <w:pPr>
              <w:pStyle w:val="16"/>
              <w:pageBreakBefore w:val="0"/>
              <w:wordWrap/>
              <w:bidi w:val="0"/>
              <w:adjustRightInd/>
              <w:snapToGrid/>
              <w:rPr>
                <w:rFonts w:hint="default" w:eastAsia="宋体"/>
                <w:color w:val="auto"/>
                <w:lang w:val="en-US" w:eastAsia="zh-CN"/>
              </w:rPr>
            </w:pPr>
            <w:r>
              <w:rPr>
                <w:rFonts w:hint="eastAsia"/>
                <w:color w:val="auto"/>
                <w:lang w:val="en-US" w:eastAsia="zh-CN"/>
              </w:rPr>
              <w:t>6-9</w:t>
            </w:r>
          </w:p>
        </w:tc>
        <w:tc>
          <w:tcPr>
            <w:tcW w:w="833" w:type="pct"/>
            <w:tcBorders>
              <w:tl2br w:val="nil"/>
              <w:tr2bl w:val="nil"/>
            </w:tcBorders>
            <w:vAlign w:val="center"/>
          </w:tcPr>
          <w:p w14:paraId="1A5A0816">
            <w:pPr>
              <w:pStyle w:val="16"/>
              <w:pageBreakBefore w:val="0"/>
              <w:wordWrap/>
              <w:bidi w:val="0"/>
              <w:adjustRightInd/>
              <w:snapToGrid/>
              <w:rPr>
                <w:rFonts w:hint="eastAsia"/>
                <w:color w:val="auto"/>
                <w:lang w:val="en-US" w:eastAsia="zh-CN"/>
              </w:rPr>
            </w:pPr>
            <w:r>
              <w:rPr>
                <w:rFonts w:hint="eastAsia"/>
                <w:color w:val="auto"/>
                <w:lang w:val="en-US" w:eastAsia="zh-CN"/>
              </w:rPr>
              <w:t>石油类</w:t>
            </w:r>
          </w:p>
        </w:tc>
        <w:tc>
          <w:tcPr>
            <w:tcW w:w="833" w:type="pct"/>
            <w:tcBorders>
              <w:tl2br w:val="nil"/>
              <w:tr2bl w:val="nil"/>
            </w:tcBorders>
            <w:vAlign w:val="center"/>
          </w:tcPr>
          <w:p w14:paraId="73E5A7B2">
            <w:pPr>
              <w:pStyle w:val="16"/>
              <w:pageBreakBefore w:val="0"/>
              <w:wordWrap/>
              <w:bidi w:val="0"/>
              <w:adjustRightInd/>
              <w:snapToGrid/>
              <w:rPr>
                <w:color w:val="auto"/>
              </w:rPr>
            </w:pPr>
            <w:r>
              <w:rPr>
                <w:rFonts w:hint="eastAsia"/>
                <w:color w:val="auto"/>
                <w:lang w:val="en-US" w:eastAsia="zh-CN"/>
              </w:rPr>
              <w:t>mg/L</w:t>
            </w:r>
          </w:p>
        </w:tc>
        <w:tc>
          <w:tcPr>
            <w:tcW w:w="1421" w:type="dxa"/>
            <w:tcBorders>
              <w:tl2br w:val="nil"/>
              <w:tr2bl w:val="nil"/>
            </w:tcBorders>
            <w:vAlign w:val="center"/>
          </w:tcPr>
          <w:p w14:paraId="5711DD99">
            <w:pPr>
              <w:pStyle w:val="16"/>
              <w:pageBreakBefore w:val="0"/>
              <w:wordWrap/>
              <w:bidi w:val="0"/>
              <w:adjustRightInd/>
              <w:snapToGrid/>
              <w:ind w:left="0" w:leftChars="0" w:firstLine="0" w:firstLineChars="0"/>
              <w:rPr>
                <w:rFonts w:hint="default"/>
                <w:color w:val="auto"/>
                <w:lang w:val="en-US"/>
              </w:rPr>
            </w:pPr>
            <w:r>
              <w:rPr>
                <w:rFonts w:hint="eastAsia"/>
                <w:color w:val="auto"/>
                <w:lang w:val="en-US" w:eastAsia="zh-CN"/>
              </w:rPr>
              <w:t>≤1.0</w:t>
            </w:r>
          </w:p>
        </w:tc>
      </w:tr>
      <w:tr w14:paraId="22DE6A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3" w:type="pct"/>
            <w:tcBorders>
              <w:tl2br w:val="nil"/>
              <w:tr2bl w:val="nil"/>
            </w:tcBorders>
            <w:vAlign w:val="center"/>
          </w:tcPr>
          <w:p w14:paraId="2639CA26">
            <w:pPr>
              <w:pStyle w:val="16"/>
              <w:pageBreakBefore w:val="0"/>
              <w:wordWrap/>
              <w:bidi w:val="0"/>
              <w:adjustRightInd/>
              <w:snapToGrid/>
              <w:rPr>
                <w:rFonts w:hint="eastAsia"/>
                <w:color w:val="auto"/>
                <w:lang w:val="en-US" w:eastAsia="zh-CN"/>
              </w:rPr>
            </w:pPr>
            <w:r>
              <w:rPr>
                <w:rFonts w:hint="eastAsia"/>
                <w:color w:val="auto"/>
                <w:lang w:val="en-US" w:eastAsia="zh-CN"/>
              </w:rPr>
              <w:t>悬浮物</w:t>
            </w:r>
          </w:p>
        </w:tc>
        <w:tc>
          <w:tcPr>
            <w:tcW w:w="833" w:type="pct"/>
            <w:tcBorders>
              <w:tl2br w:val="nil"/>
              <w:tr2bl w:val="nil"/>
            </w:tcBorders>
            <w:vAlign w:val="center"/>
          </w:tcPr>
          <w:p w14:paraId="3001759A">
            <w:pPr>
              <w:pStyle w:val="16"/>
              <w:pageBreakBefore w:val="0"/>
              <w:wordWrap/>
              <w:bidi w:val="0"/>
              <w:adjustRightInd/>
              <w:snapToGrid/>
              <w:rPr>
                <w:rFonts w:hint="default"/>
                <w:color w:val="auto"/>
                <w:lang w:val="en-US" w:eastAsia="zh-CN"/>
              </w:rPr>
            </w:pPr>
            <w:r>
              <w:rPr>
                <w:rFonts w:hint="eastAsia"/>
                <w:color w:val="auto"/>
                <w:lang w:val="en-US" w:eastAsia="zh-CN"/>
              </w:rPr>
              <w:t>mg/L</w:t>
            </w:r>
          </w:p>
        </w:tc>
        <w:tc>
          <w:tcPr>
            <w:tcW w:w="833" w:type="pct"/>
            <w:tcBorders>
              <w:tl2br w:val="nil"/>
              <w:tr2bl w:val="nil"/>
            </w:tcBorders>
            <w:vAlign w:val="center"/>
          </w:tcPr>
          <w:p w14:paraId="5EB80AED">
            <w:pPr>
              <w:pStyle w:val="16"/>
              <w:pageBreakBefore w:val="0"/>
              <w:wordWrap/>
              <w:bidi w:val="0"/>
              <w:adjustRightInd/>
              <w:snapToGrid/>
              <w:rPr>
                <w:rFonts w:hint="default" w:eastAsia="宋体"/>
                <w:color w:val="auto"/>
                <w:lang w:val="en-US" w:eastAsia="zh-CN"/>
              </w:rPr>
            </w:pPr>
            <w:r>
              <w:rPr>
                <w:rFonts w:hint="eastAsia"/>
                <w:color w:val="auto"/>
                <w:lang w:val="en-US" w:eastAsia="zh-CN"/>
              </w:rPr>
              <w:t>≤400</w:t>
            </w:r>
          </w:p>
        </w:tc>
        <w:tc>
          <w:tcPr>
            <w:tcW w:w="833" w:type="pct"/>
            <w:tcBorders>
              <w:tl2br w:val="nil"/>
              <w:tr2bl w:val="nil"/>
            </w:tcBorders>
            <w:vAlign w:val="center"/>
          </w:tcPr>
          <w:p w14:paraId="3931B320">
            <w:pPr>
              <w:pStyle w:val="16"/>
              <w:pageBreakBefore w:val="0"/>
              <w:wordWrap/>
              <w:bidi w:val="0"/>
              <w:adjustRightInd/>
              <w:snapToGrid/>
              <w:rPr>
                <w:rFonts w:hint="eastAsia"/>
                <w:color w:val="auto"/>
                <w:lang w:val="en-US" w:eastAsia="zh-CN"/>
              </w:rPr>
            </w:pPr>
            <w:r>
              <w:rPr>
                <w:rFonts w:hint="eastAsia"/>
                <w:color w:val="auto"/>
                <w:lang w:val="en-US" w:eastAsia="zh-CN"/>
              </w:rPr>
              <w:t>挥发酚</w:t>
            </w:r>
          </w:p>
        </w:tc>
        <w:tc>
          <w:tcPr>
            <w:tcW w:w="833" w:type="pct"/>
            <w:tcBorders>
              <w:tl2br w:val="nil"/>
              <w:tr2bl w:val="nil"/>
            </w:tcBorders>
            <w:vAlign w:val="center"/>
          </w:tcPr>
          <w:p w14:paraId="3F26DAB7">
            <w:pPr>
              <w:pStyle w:val="16"/>
              <w:pageBreakBefore w:val="0"/>
              <w:wordWrap/>
              <w:bidi w:val="0"/>
              <w:adjustRightInd/>
              <w:snapToGrid/>
              <w:rPr>
                <w:color w:val="auto"/>
              </w:rPr>
            </w:pPr>
            <w:r>
              <w:rPr>
                <w:rFonts w:hint="eastAsia"/>
                <w:color w:val="auto"/>
                <w:lang w:val="en-US" w:eastAsia="zh-CN"/>
              </w:rPr>
              <w:t>mg/L</w:t>
            </w:r>
          </w:p>
        </w:tc>
        <w:tc>
          <w:tcPr>
            <w:tcW w:w="1421" w:type="dxa"/>
            <w:tcBorders>
              <w:tl2br w:val="nil"/>
              <w:tr2bl w:val="nil"/>
            </w:tcBorders>
            <w:vAlign w:val="center"/>
          </w:tcPr>
          <w:p w14:paraId="38FFB3EC">
            <w:pPr>
              <w:pStyle w:val="16"/>
              <w:pageBreakBefore w:val="0"/>
              <w:wordWrap/>
              <w:bidi w:val="0"/>
              <w:adjustRightInd/>
              <w:snapToGrid/>
              <w:ind w:left="0" w:leftChars="0" w:firstLine="0" w:firstLineChars="0"/>
              <w:rPr>
                <w:rFonts w:hint="default"/>
                <w:color w:val="auto"/>
                <w:lang w:val="en-US"/>
              </w:rPr>
            </w:pPr>
            <w:r>
              <w:rPr>
                <w:rFonts w:hint="eastAsia"/>
                <w:color w:val="auto"/>
                <w:lang w:val="en-US" w:eastAsia="zh-CN"/>
              </w:rPr>
              <w:t>≤0.5</w:t>
            </w:r>
          </w:p>
        </w:tc>
      </w:tr>
      <w:tr w14:paraId="2AFDA8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3" w:type="pct"/>
            <w:tcBorders>
              <w:tl2br w:val="nil"/>
              <w:tr2bl w:val="nil"/>
            </w:tcBorders>
            <w:vAlign w:val="center"/>
          </w:tcPr>
          <w:p w14:paraId="399DEDB0">
            <w:pPr>
              <w:pStyle w:val="16"/>
              <w:pageBreakBefore w:val="0"/>
              <w:wordWrap/>
              <w:bidi w:val="0"/>
              <w:adjustRightInd/>
              <w:snapToGrid/>
              <w:rPr>
                <w:rFonts w:hint="eastAsia"/>
                <w:color w:val="auto"/>
                <w:lang w:val="en-US" w:eastAsia="zh-CN"/>
              </w:rPr>
            </w:pPr>
            <w:r>
              <w:rPr>
                <w:rFonts w:hint="eastAsia"/>
                <w:color w:val="auto"/>
                <w:lang w:val="en-US" w:eastAsia="zh-CN"/>
              </w:rPr>
              <w:t>化学需氧量</w:t>
            </w:r>
          </w:p>
        </w:tc>
        <w:tc>
          <w:tcPr>
            <w:tcW w:w="833" w:type="pct"/>
            <w:tcBorders>
              <w:tl2br w:val="nil"/>
              <w:tr2bl w:val="nil"/>
            </w:tcBorders>
            <w:vAlign w:val="center"/>
          </w:tcPr>
          <w:p w14:paraId="663E90BF">
            <w:pPr>
              <w:pStyle w:val="16"/>
              <w:pageBreakBefore w:val="0"/>
              <w:wordWrap/>
              <w:bidi w:val="0"/>
              <w:adjustRightInd/>
              <w:snapToGrid/>
              <w:rPr>
                <w:color w:val="auto"/>
              </w:rPr>
            </w:pPr>
            <w:r>
              <w:rPr>
                <w:rFonts w:hint="eastAsia"/>
                <w:color w:val="auto"/>
                <w:lang w:val="en-US" w:eastAsia="zh-CN"/>
              </w:rPr>
              <w:t>mg/L</w:t>
            </w:r>
          </w:p>
        </w:tc>
        <w:tc>
          <w:tcPr>
            <w:tcW w:w="833" w:type="pct"/>
            <w:tcBorders>
              <w:tl2br w:val="nil"/>
              <w:tr2bl w:val="nil"/>
            </w:tcBorders>
            <w:vAlign w:val="center"/>
          </w:tcPr>
          <w:p w14:paraId="6E7D4D05">
            <w:pPr>
              <w:pStyle w:val="16"/>
              <w:pageBreakBefore w:val="0"/>
              <w:wordWrap/>
              <w:bidi w:val="0"/>
              <w:adjustRightInd/>
              <w:snapToGrid/>
              <w:rPr>
                <w:rFonts w:hint="default"/>
                <w:color w:val="auto"/>
                <w:lang w:val="en-US"/>
              </w:rPr>
            </w:pPr>
            <w:r>
              <w:rPr>
                <w:rFonts w:hint="eastAsia"/>
                <w:color w:val="auto"/>
                <w:lang w:val="en-US" w:eastAsia="zh-CN"/>
              </w:rPr>
              <w:t>≤350</w:t>
            </w:r>
          </w:p>
        </w:tc>
        <w:tc>
          <w:tcPr>
            <w:tcW w:w="833" w:type="pct"/>
            <w:tcBorders>
              <w:tl2br w:val="nil"/>
              <w:tr2bl w:val="nil"/>
            </w:tcBorders>
            <w:vAlign w:val="center"/>
          </w:tcPr>
          <w:p w14:paraId="6FFA4809">
            <w:pPr>
              <w:pStyle w:val="16"/>
              <w:pageBreakBefore w:val="0"/>
              <w:wordWrap/>
              <w:bidi w:val="0"/>
              <w:adjustRightInd/>
              <w:snapToGrid/>
              <w:rPr>
                <w:rFonts w:hint="eastAsia"/>
                <w:color w:val="auto"/>
                <w:lang w:val="en-US" w:eastAsia="zh-CN"/>
              </w:rPr>
            </w:pPr>
            <w:r>
              <w:rPr>
                <w:rFonts w:hint="eastAsia"/>
                <w:color w:val="auto"/>
                <w:lang w:val="en-US" w:eastAsia="zh-CN"/>
              </w:rPr>
              <w:t>硫化物</w:t>
            </w:r>
          </w:p>
        </w:tc>
        <w:tc>
          <w:tcPr>
            <w:tcW w:w="833" w:type="pct"/>
            <w:tcBorders>
              <w:tl2br w:val="nil"/>
              <w:tr2bl w:val="nil"/>
            </w:tcBorders>
            <w:vAlign w:val="center"/>
          </w:tcPr>
          <w:p w14:paraId="032C7DED">
            <w:pPr>
              <w:pStyle w:val="16"/>
              <w:pageBreakBefore w:val="0"/>
              <w:wordWrap/>
              <w:bidi w:val="0"/>
              <w:adjustRightInd/>
              <w:snapToGrid/>
              <w:rPr>
                <w:color w:val="auto"/>
              </w:rPr>
            </w:pPr>
            <w:r>
              <w:rPr>
                <w:rFonts w:hint="eastAsia"/>
                <w:color w:val="auto"/>
                <w:lang w:val="en-US" w:eastAsia="zh-CN"/>
              </w:rPr>
              <w:t>mg/L</w:t>
            </w:r>
          </w:p>
        </w:tc>
        <w:tc>
          <w:tcPr>
            <w:tcW w:w="1421" w:type="dxa"/>
            <w:tcBorders>
              <w:tl2br w:val="nil"/>
              <w:tr2bl w:val="nil"/>
            </w:tcBorders>
            <w:vAlign w:val="center"/>
          </w:tcPr>
          <w:p w14:paraId="1DD673E5">
            <w:pPr>
              <w:pStyle w:val="16"/>
              <w:pageBreakBefore w:val="0"/>
              <w:wordWrap/>
              <w:bidi w:val="0"/>
              <w:adjustRightInd/>
              <w:snapToGrid/>
              <w:ind w:left="0" w:leftChars="0" w:firstLine="0" w:firstLineChars="0"/>
              <w:rPr>
                <w:rFonts w:hint="default"/>
                <w:color w:val="auto"/>
                <w:lang w:val="en-US"/>
              </w:rPr>
            </w:pPr>
            <w:r>
              <w:rPr>
                <w:rFonts w:hint="eastAsia"/>
                <w:color w:val="auto"/>
                <w:lang w:val="en-US" w:eastAsia="zh-CN"/>
              </w:rPr>
              <w:t>≤1.0</w:t>
            </w:r>
          </w:p>
        </w:tc>
      </w:tr>
      <w:tr w14:paraId="267156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3" w:type="pct"/>
            <w:tcBorders>
              <w:tl2br w:val="nil"/>
              <w:tr2bl w:val="nil"/>
            </w:tcBorders>
            <w:vAlign w:val="center"/>
          </w:tcPr>
          <w:p w14:paraId="1DE4117D">
            <w:pPr>
              <w:pStyle w:val="16"/>
              <w:pageBreakBefore w:val="0"/>
              <w:wordWrap/>
              <w:bidi w:val="0"/>
              <w:adjustRightInd/>
              <w:snapToGrid/>
              <w:rPr>
                <w:rFonts w:hint="eastAsia"/>
                <w:color w:val="auto"/>
                <w:lang w:val="en-US" w:eastAsia="zh-CN"/>
              </w:rPr>
            </w:pPr>
            <w:r>
              <w:rPr>
                <w:rFonts w:hint="eastAsia"/>
                <w:color w:val="auto"/>
                <w:lang w:val="en-US" w:eastAsia="zh-CN"/>
              </w:rPr>
              <w:t>氨氮</w:t>
            </w:r>
          </w:p>
        </w:tc>
        <w:tc>
          <w:tcPr>
            <w:tcW w:w="833" w:type="pct"/>
            <w:tcBorders>
              <w:tl2br w:val="nil"/>
              <w:tr2bl w:val="nil"/>
            </w:tcBorders>
            <w:vAlign w:val="center"/>
          </w:tcPr>
          <w:p w14:paraId="5EB425FB">
            <w:pPr>
              <w:pStyle w:val="16"/>
              <w:pageBreakBefore w:val="0"/>
              <w:wordWrap/>
              <w:bidi w:val="0"/>
              <w:adjustRightInd/>
              <w:snapToGrid/>
              <w:rPr>
                <w:color w:val="auto"/>
              </w:rPr>
            </w:pPr>
            <w:r>
              <w:rPr>
                <w:rFonts w:hint="eastAsia"/>
                <w:color w:val="auto"/>
                <w:lang w:val="en-US" w:eastAsia="zh-CN"/>
              </w:rPr>
              <w:t>mg/L</w:t>
            </w:r>
          </w:p>
        </w:tc>
        <w:tc>
          <w:tcPr>
            <w:tcW w:w="1420" w:type="dxa"/>
            <w:tcBorders>
              <w:tl2br w:val="nil"/>
              <w:tr2bl w:val="nil"/>
            </w:tcBorders>
            <w:vAlign w:val="center"/>
          </w:tcPr>
          <w:p w14:paraId="016BA88F">
            <w:pPr>
              <w:pStyle w:val="16"/>
              <w:pageBreakBefore w:val="0"/>
              <w:wordWrap/>
              <w:bidi w:val="0"/>
              <w:adjustRightInd/>
              <w:snapToGrid/>
              <w:ind w:left="0" w:leftChars="0" w:firstLine="0" w:firstLineChars="0"/>
              <w:rPr>
                <w:rFonts w:hint="default"/>
                <w:color w:val="auto"/>
                <w:lang w:val="en-US"/>
              </w:rPr>
            </w:pPr>
            <w:r>
              <w:rPr>
                <w:rFonts w:hint="eastAsia"/>
                <w:color w:val="auto"/>
                <w:lang w:val="en-US" w:eastAsia="zh-CN"/>
              </w:rPr>
              <w:t>≤50</w:t>
            </w:r>
          </w:p>
        </w:tc>
        <w:tc>
          <w:tcPr>
            <w:tcW w:w="833" w:type="pct"/>
            <w:tcBorders>
              <w:tl2br w:val="nil"/>
              <w:tr2bl w:val="nil"/>
            </w:tcBorders>
            <w:vAlign w:val="center"/>
          </w:tcPr>
          <w:p w14:paraId="64093F05">
            <w:pPr>
              <w:pStyle w:val="16"/>
              <w:pageBreakBefore w:val="0"/>
              <w:wordWrap/>
              <w:bidi w:val="0"/>
              <w:adjustRightInd/>
              <w:snapToGrid/>
              <w:rPr>
                <w:rFonts w:hint="eastAsia"/>
                <w:color w:val="auto"/>
                <w:lang w:val="en-US" w:eastAsia="zh-CN"/>
              </w:rPr>
            </w:pPr>
            <w:r>
              <w:rPr>
                <w:rFonts w:hint="eastAsia"/>
                <w:color w:val="auto"/>
                <w:lang w:val="en-US" w:eastAsia="zh-CN"/>
              </w:rPr>
              <w:t>苯</w:t>
            </w:r>
          </w:p>
        </w:tc>
        <w:tc>
          <w:tcPr>
            <w:tcW w:w="833" w:type="pct"/>
            <w:tcBorders>
              <w:tl2br w:val="nil"/>
              <w:tr2bl w:val="nil"/>
            </w:tcBorders>
            <w:vAlign w:val="center"/>
          </w:tcPr>
          <w:p w14:paraId="3B72CD21">
            <w:pPr>
              <w:pStyle w:val="16"/>
              <w:pageBreakBefore w:val="0"/>
              <w:wordWrap/>
              <w:bidi w:val="0"/>
              <w:adjustRightInd/>
              <w:snapToGrid/>
              <w:rPr>
                <w:color w:val="auto"/>
              </w:rPr>
            </w:pPr>
            <w:r>
              <w:rPr>
                <w:rFonts w:hint="eastAsia"/>
                <w:color w:val="auto"/>
                <w:lang w:val="en-US" w:eastAsia="zh-CN"/>
              </w:rPr>
              <w:t>mg/L</w:t>
            </w:r>
          </w:p>
        </w:tc>
        <w:tc>
          <w:tcPr>
            <w:tcW w:w="1421" w:type="dxa"/>
            <w:tcBorders>
              <w:tl2br w:val="nil"/>
              <w:tr2bl w:val="nil"/>
            </w:tcBorders>
            <w:vAlign w:val="center"/>
          </w:tcPr>
          <w:p w14:paraId="78243203">
            <w:pPr>
              <w:pStyle w:val="16"/>
              <w:pageBreakBefore w:val="0"/>
              <w:wordWrap/>
              <w:bidi w:val="0"/>
              <w:adjustRightInd/>
              <w:snapToGrid/>
              <w:ind w:left="0" w:leftChars="0" w:firstLine="0" w:firstLineChars="0"/>
              <w:rPr>
                <w:rFonts w:hint="default"/>
                <w:color w:val="auto"/>
                <w:lang w:val="en-US"/>
              </w:rPr>
            </w:pPr>
            <w:r>
              <w:rPr>
                <w:rFonts w:hint="eastAsia"/>
                <w:color w:val="auto"/>
                <w:lang w:val="en-US" w:eastAsia="zh-CN"/>
              </w:rPr>
              <w:t>≤0.1</w:t>
            </w:r>
          </w:p>
        </w:tc>
      </w:tr>
      <w:tr w14:paraId="30B0FE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3" w:type="pct"/>
            <w:tcBorders>
              <w:tl2br w:val="nil"/>
              <w:tr2bl w:val="nil"/>
            </w:tcBorders>
            <w:vAlign w:val="center"/>
          </w:tcPr>
          <w:p w14:paraId="6527EDED">
            <w:pPr>
              <w:pStyle w:val="16"/>
              <w:pageBreakBefore w:val="0"/>
              <w:wordWrap/>
              <w:bidi w:val="0"/>
              <w:adjustRightInd/>
              <w:snapToGrid/>
              <w:rPr>
                <w:rFonts w:hint="eastAsia"/>
                <w:color w:val="auto"/>
                <w:lang w:val="en-US" w:eastAsia="zh-CN"/>
              </w:rPr>
            </w:pPr>
            <w:r>
              <w:rPr>
                <w:rFonts w:hint="eastAsia"/>
                <w:color w:val="auto"/>
                <w:lang w:val="en-US" w:eastAsia="zh-CN"/>
              </w:rPr>
              <w:t>总氮</w:t>
            </w:r>
          </w:p>
        </w:tc>
        <w:tc>
          <w:tcPr>
            <w:tcW w:w="833" w:type="pct"/>
            <w:tcBorders>
              <w:tl2br w:val="nil"/>
              <w:tr2bl w:val="nil"/>
            </w:tcBorders>
            <w:vAlign w:val="center"/>
          </w:tcPr>
          <w:p w14:paraId="010CB473">
            <w:pPr>
              <w:pStyle w:val="16"/>
              <w:pageBreakBefore w:val="0"/>
              <w:wordWrap/>
              <w:bidi w:val="0"/>
              <w:adjustRightInd/>
              <w:snapToGrid/>
              <w:rPr>
                <w:color w:val="auto"/>
              </w:rPr>
            </w:pPr>
            <w:r>
              <w:rPr>
                <w:rFonts w:hint="eastAsia"/>
                <w:color w:val="auto"/>
                <w:lang w:val="en-US" w:eastAsia="zh-CN"/>
              </w:rPr>
              <w:t>mg/L</w:t>
            </w:r>
          </w:p>
        </w:tc>
        <w:tc>
          <w:tcPr>
            <w:tcW w:w="1420" w:type="dxa"/>
            <w:tcBorders>
              <w:tl2br w:val="nil"/>
              <w:tr2bl w:val="nil"/>
            </w:tcBorders>
            <w:vAlign w:val="center"/>
          </w:tcPr>
          <w:p w14:paraId="4C4A57C9">
            <w:pPr>
              <w:pStyle w:val="16"/>
              <w:pageBreakBefore w:val="0"/>
              <w:wordWrap/>
              <w:bidi w:val="0"/>
              <w:adjustRightInd/>
              <w:snapToGrid/>
              <w:ind w:left="0" w:leftChars="0" w:firstLine="0" w:firstLineChars="0"/>
              <w:rPr>
                <w:rFonts w:hint="default"/>
                <w:color w:val="auto"/>
                <w:lang w:val="en-US"/>
              </w:rPr>
            </w:pPr>
            <w:r>
              <w:rPr>
                <w:rFonts w:hint="eastAsia"/>
                <w:color w:val="auto"/>
                <w:lang w:val="en-US" w:eastAsia="zh-CN"/>
              </w:rPr>
              <w:t>≤80</w:t>
            </w:r>
          </w:p>
        </w:tc>
        <w:tc>
          <w:tcPr>
            <w:tcW w:w="833" w:type="pct"/>
            <w:tcBorders>
              <w:tl2br w:val="nil"/>
              <w:tr2bl w:val="nil"/>
            </w:tcBorders>
            <w:vAlign w:val="center"/>
          </w:tcPr>
          <w:p w14:paraId="19DAE7D5">
            <w:pPr>
              <w:pStyle w:val="16"/>
              <w:pageBreakBefore w:val="0"/>
              <w:wordWrap/>
              <w:bidi w:val="0"/>
              <w:adjustRightInd/>
              <w:snapToGrid/>
              <w:rPr>
                <w:rFonts w:hint="eastAsia"/>
                <w:color w:val="auto"/>
                <w:lang w:val="en-US" w:eastAsia="zh-CN"/>
              </w:rPr>
            </w:pPr>
            <w:r>
              <w:rPr>
                <w:rFonts w:hint="eastAsia"/>
                <w:color w:val="auto"/>
                <w:lang w:val="en-US" w:eastAsia="zh-CN"/>
              </w:rPr>
              <w:t>甲醛</w:t>
            </w:r>
          </w:p>
        </w:tc>
        <w:tc>
          <w:tcPr>
            <w:tcW w:w="833" w:type="pct"/>
            <w:tcBorders>
              <w:tl2br w:val="nil"/>
              <w:tr2bl w:val="nil"/>
            </w:tcBorders>
            <w:vAlign w:val="center"/>
          </w:tcPr>
          <w:p w14:paraId="7D546D45">
            <w:pPr>
              <w:pStyle w:val="16"/>
              <w:pageBreakBefore w:val="0"/>
              <w:wordWrap/>
              <w:bidi w:val="0"/>
              <w:adjustRightInd/>
              <w:snapToGrid/>
              <w:rPr>
                <w:color w:val="auto"/>
              </w:rPr>
            </w:pPr>
            <w:r>
              <w:rPr>
                <w:rFonts w:hint="eastAsia"/>
                <w:color w:val="auto"/>
                <w:lang w:val="en-US" w:eastAsia="zh-CN"/>
              </w:rPr>
              <w:t>mg/L</w:t>
            </w:r>
          </w:p>
        </w:tc>
        <w:tc>
          <w:tcPr>
            <w:tcW w:w="1421" w:type="dxa"/>
            <w:tcBorders>
              <w:tl2br w:val="nil"/>
              <w:tr2bl w:val="nil"/>
            </w:tcBorders>
            <w:vAlign w:val="center"/>
          </w:tcPr>
          <w:p w14:paraId="05513DB9">
            <w:pPr>
              <w:pStyle w:val="16"/>
              <w:pageBreakBefore w:val="0"/>
              <w:wordWrap/>
              <w:bidi w:val="0"/>
              <w:adjustRightInd/>
              <w:snapToGrid/>
              <w:ind w:left="0" w:leftChars="0" w:firstLine="0" w:firstLineChars="0"/>
              <w:rPr>
                <w:rFonts w:hint="default"/>
                <w:color w:val="auto"/>
                <w:lang w:val="en-US"/>
              </w:rPr>
            </w:pPr>
            <w:r>
              <w:rPr>
                <w:rFonts w:hint="eastAsia"/>
                <w:color w:val="auto"/>
                <w:lang w:val="en-US" w:eastAsia="zh-CN"/>
              </w:rPr>
              <w:t>≤1.0</w:t>
            </w:r>
          </w:p>
        </w:tc>
      </w:tr>
      <w:tr w14:paraId="58C8A7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3" w:type="pct"/>
            <w:tcBorders>
              <w:tl2br w:val="nil"/>
              <w:tr2bl w:val="nil"/>
            </w:tcBorders>
            <w:vAlign w:val="center"/>
          </w:tcPr>
          <w:p w14:paraId="4819AABC">
            <w:pPr>
              <w:pStyle w:val="16"/>
              <w:pageBreakBefore w:val="0"/>
              <w:wordWrap/>
              <w:bidi w:val="0"/>
              <w:adjustRightInd/>
              <w:snapToGrid/>
              <w:rPr>
                <w:rFonts w:hint="default"/>
                <w:color w:val="auto"/>
                <w:lang w:val="en-US" w:eastAsia="zh-CN"/>
              </w:rPr>
            </w:pPr>
            <w:r>
              <w:rPr>
                <w:rFonts w:hint="eastAsia"/>
                <w:color w:val="auto"/>
                <w:lang w:val="en-US" w:eastAsia="zh-CN"/>
              </w:rPr>
              <w:t>总磷</w:t>
            </w:r>
          </w:p>
        </w:tc>
        <w:tc>
          <w:tcPr>
            <w:tcW w:w="833" w:type="pct"/>
            <w:tcBorders>
              <w:tl2br w:val="nil"/>
              <w:tr2bl w:val="nil"/>
            </w:tcBorders>
            <w:vAlign w:val="center"/>
          </w:tcPr>
          <w:p w14:paraId="3DDBECD8">
            <w:pPr>
              <w:pStyle w:val="16"/>
              <w:pageBreakBefore w:val="0"/>
              <w:wordWrap/>
              <w:bidi w:val="0"/>
              <w:adjustRightInd/>
              <w:snapToGrid/>
              <w:rPr>
                <w:color w:val="auto"/>
              </w:rPr>
            </w:pPr>
            <w:r>
              <w:rPr>
                <w:rFonts w:hint="eastAsia"/>
                <w:color w:val="auto"/>
                <w:lang w:val="en-US" w:eastAsia="zh-CN"/>
              </w:rPr>
              <w:t>mg/L</w:t>
            </w:r>
          </w:p>
        </w:tc>
        <w:tc>
          <w:tcPr>
            <w:tcW w:w="1420" w:type="dxa"/>
            <w:tcBorders>
              <w:tl2br w:val="nil"/>
              <w:tr2bl w:val="nil"/>
            </w:tcBorders>
            <w:vAlign w:val="center"/>
          </w:tcPr>
          <w:p w14:paraId="7E442345">
            <w:pPr>
              <w:pStyle w:val="16"/>
              <w:pageBreakBefore w:val="0"/>
              <w:wordWrap/>
              <w:bidi w:val="0"/>
              <w:adjustRightInd/>
              <w:snapToGrid/>
              <w:ind w:left="0" w:leftChars="0" w:firstLine="0" w:firstLineChars="0"/>
              <w:rPr>
                <w:rFonts w:hint="default"/>
                <w:color w:val="auto"/>
                <w:lang w:val="en-US"/>
              </w:rPr>
            </w:pPr>
            <w:r>
              <w:rPr>
                <w:rFonts w:hint="eastAsia"/>
                <w:color w:val="auto"/>
                <w:lang w:val="en-US" w:eastAsia="zh-CN"/>
              </w:rPr>
              <w:t>≤4</w:t>
            </w:r>
          </w:p>
        </w:tc>
        <w:tc>
          <w:tcPr>
            <w:tcW w:w="833" w:type="pct"/>
            <w:tcBorders>
              <w:tl2br w:val="nil"/>
              <w:tr2bl w:val="nil"/>
            </w:tcBorders>
            <w:vAlign w:val="center"/>
          </w:tcPr>
          <w:p w14:paraId="74D7ADAB">
            <w:pPr>
              <w:pStyle w:val="16"/>
              <w:pageBreakBefore w:val="0"/>
              <w:wordWrap/>
              <w:bidi w:val="0"/>
              <w:adjustRightInd/>
              <w:snapToGrid/>
              <w:rPr>
                <w:rFonts w:hint="eastAsia"/>
                <w:color w:val="auto"/>
                <w:lang w:val="en-US" w:eastAsia="zh-CN"/>
              </w:rPr>
            </w:pPr>
            <w:r>
              <w:rPr>
                <w:rFonts w:hint="eastAsia"/>
                <w:color w:val="auto"/>
                <w:lang w:val="en-US" w:eastAsia="zh-CN"/>
              </w:rPr>
              <w:t>TDS</w:t>
            </w:r>
          </w:p>
        </w:tc>
        <w:tc>
          <w:tcPr>
            <w:tcW w:w="833" w:type="pct"/>
            <w:tcBorders>
              <w:tl2br w:val="nil"/>
              <w:tr2bl w:val="nil"/>
            </w:tcBorders>
            <w:vAlign w:val="center"/>
          </w:tcPr>
          <w:p w14:paraId="7CAD4687">
            <w:pPr>
              <w:pStyle w:val="16"/>
              <w:pageBreakBefore w:val="0"/>
              <w:wordWrap/>
              <w:bidi w:val="0"/>
              <w:adjustRightInd/>
              <w:snapToGrid/>
              <w:rPr>
                <w:color w:val="auto"/>
              </w:rPr>
            </w:pPr>
            <w:r>
              <w:rPr>
                <w:rFonts w:hint="eastAsia"/>
                <w:color w:val="auto"/>
                <w:lang w:val="en-US" w:eastAsia="zh-CN"/>
              </w:rPr>
              <w:t>mg/L</w:t>
            </w:r>
          </w:p>
        </w:tc>
        <w:tc>
          <w:tcPr>
            <w:tcW w:w="1421" w:type="dxa"/>
            <w:tcBorders>
              <w:tl2br w:val="nil"/>
              <w:tr2bl w:val="nil"/>
            </w:tcBorders>
            <w:vAlign w:val="center"/>
          </w:tcPr>
          <w:p w14:paraId="6E0AB9EE">
            <w:pPr>
              <w:pStyle w:val="16"/>
              <w:pageBreakBefore w:val="0"/>
              <w:wordWrap/>
              <w:bidi w:val="0"/>
              <w:adjustRightInd/>
              <w:snapToGrid/>
              <w:ind w:left="0" w:leftChars="0" w:firstLine="0" w:firstLineChars="0"/>
              <w:rPr>
                <w:rFonts w:hint="default"/>
                <w:color w:val="auto"/>
                <w:lang w:val="en-US"/>
              </w:rPr>
            </w:pPr>
            <w:r>
              <w:rPr>
                <w:rFonts w:hint="eastAsia"/>
                <w:color w:val="auto"/>
                <w:lang w:val="en-US" w:eastAsia="zh-CN"/>
              </w:rPr>
              <w:t>2000</w:t>
            </w:r>
          </w:p>
        </w:tc>
      </w:tr>
      <w:tr w14:paraId="281FBF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33" w:type="pct"/>
            <w:tcBorders>
              <w:tl2br w:val="nil"/>
              <w:tr2bl w:val="nil"/>
            </w:tcBorders>
            <w:vAlign w:val="center"/>
          </w:tcPr>
          <w:p w14:paraId="4EB38669">
            <w:pPr>
              <w:pStyle w:val="16"/>
              <w:pageBreakBefore w:val="0"/>
              <w:wordWrap/>
              <w:bidi w:val="0"/>
              <w:adjustRightInd/>
              <w:snapToGrid/>
              <w:rPr>
                <w:rFonts w:hint="eastAsia"/>
                <w:color w:val="auto"/>
                <w:lang w:val="en-US" w:eastAsia="zh-CN"/>
              </w:rPr>
            </w:pPr>
            <w:r>
              <w:rPr>
                <w:rFonts w:hint="eastAsia"/>
                <w:color w:val="auto"/>
                <w:lang w:val="en-US" w:eastAsia="zh-CN"/>
              </w:rPr>
              <w:t>硫酸盐</w:t>
            </w:r>
          </w:p>
        </w:tc>
        <w:tc>
          <w:tcPr>
            <w:tcW w:w="833" w:type="pct"/>
            <w:tcBorders>
              <w:tl2br w:val="nil"/>
              <w:tr2bl w:val="nil"/>
            </w:tcBorders>
            <w:vAlign w:val="center"/>
          </w:tcPr>
          <w:p w14:paraId="6301F113">
            <w:pPr>
              <w:pStyle w:val="16"/>
              <w:pageBreakBefore w:val="0"/>
              <w:wordWrap/>
              <w:bidi w:val="0"/>
              <w:adjustRightInd/>
              <w:snapToGrid/>
              <w:rPr>
                <w:color w:val="auto"/>
              </w:rPr>
            </w:pPr>
            <w:r>
              <w:rPr>
                <w:rFonts w:hint="eastAsia"/>
                <w:color w:val="auto"/>
                <w:lang w:val="en-US" w:eastAsia="zh-CN"/>
              </w:rPr>
              <w:t>mg/L</w:t>
            </w:r>
          </w:p>
        </w:tc>
        <w:tc>
          <w:tcPr>
            <w:tcW w:w="1420" w:type="dxa"/>
            <w:tcBorders>
              <w:tl2br w:val="nil"/>
              <w:tr2bl w:val="nil"/>
            </w:tcBorders>
            <w:vAlign w:val="center"/>
          </w:tcPr>
          <w:p w14:paraId="19D3170A">
            <w:pPr>
              <w:pStyle w:val="16"/>
              <w:pageBreakBefore w:val="0"/>
              <w:wordWrap/>
              <w:bidi w:val="0"/>
              <w:adjustRightInd/>
              <w:snapToGrid/>
              <w:ind w:left="0" w:leftChars="0" w:firstLine="0" w:firstLineChars="0"/>
              <w:rPr>
                <w:rFonts w:hint="default"/>
                <w:color w:val="auto"/>
                <w:lang w:val="en-US"/>
              </w:rPr>
            </w:pPr>
            <w:r>
              <w:rPr>
                <w:rFonts w:hint="eastAsia"/>
                <w:color w:val="auto"/>
                <w:lang w:val="en-US" w:eastAsia="zh-CN"/>
              </w:rPr>
              <w:t>400</w:t>
            </w:r>
          </w:p>
        </w:tc>
        <w:tc>
          <w:tcPr>
            <w:tcW w:w="833" w:type="pct"/>
            <w:tcBorders>
              <w:tl2br w:val="nil"/>
              <w:tr2bl w:val="nil"/>
            </w:tcBorders>
            <w:vAlign w:val="center"/>
          </w:tcPr>
          <w:p w14:paraId="4EADA769">
            <w:pPr>
              <w:pStyle w:val="16"/>
              <w:pageBreakBefore w:val="0"/>
              <w:wordWrap/>
              <w:bidi w:val="0"/>
              <w:adjustRightInd/>
              <w:snapToGrid/>
              <w:rPr>
                <w:rFonts w:hint="eastAsia"/>
                <w:color w:val="auto"/>
                <w:lang w:val="en-US" w:eastAsia="zh-CN"/>
              </w:rPr>
            </w:pPr>
            <w:r>
              <w:rPr>
                <w:rFonts w:hint="eastAsia"/>
                <w:color w:val="auto"/>
                <w:lang w:val="en-US" w:eastAsia="zh-CN"/>
              </w:rPr>
              <w:t>氯化物</w:t>
            </w:r>
          </w:p>
        </w:tc>
        <w:tc>
          <w:tcPr>
            <w:tcW w:w="833" w:type="pct"/>
            <w:tcBorders>
              <w:tl2br w:val="nil"/>
              <w:tr2bl w:val="nil"/>
            </w:tcBorders>
            <w:vAlign w:val="center"/>
          </w:tcPr>
          <w:p w14:paraId="071D5C11">
            <w:pPr>
              <w:pStyle w:val="16"/>
              <w:pageBreakBefore w:val="0"/>
              <w:wordWrap/>
              <w:bidi w:val="0"/>
              <w:adjustRightInd/>
              <w:snapToGrid/>
              <w:rPr>
                <w:color w:val="auto"/>
              </w:rPr>
            </w:pPr>
            <w:r>
              <w:rPr>
                <w:rFonts w:hint="eastAsia"/>
                <w:color w:val="auto"/>
                <w:lang w:val="en-US" w:eastAsia="zh-CN"/>
              </w:rPr>
              <w:t>mg/L</w:t>
            </w:r>
          </w:p>
        </w:tc>
        <w:tc>
          <w:tcPr>
            <w:tcW w:w="1421" w:type="dxa"/>
            <w:tcBorders>
              <w:tl2br w:val="nil"/>
              <w:tr2bl w:val="nil"/>
            </w:tcBorders>
            <w:vAlign w:val="center"/>
          </w:tcPr>
          <w:p w14:paraId="65352479">
            <w:pPr>
              <w:pStyle w:val="16"/>
              <w:pageBreakBefore w:val="0"/>
              <w:wordWrap/>
              <w:bidi w:val="0"/>
              <w:adjustRightInd/>
              <w:snapToGrid/>
              <w:ind w:left="0" w:leftChars="0" w:firstLine="0" w:firstLineChars="0"/>
              <w:rPr>
                <w:rFonts w:hint="default"/>
                <w:color w:val="auto"/>
                <w:lang w:val="en-US"/>
              </w:rPr>
            </w:pPr>
            <w:r>
              <w:rPr>
                <w:rFonts w:hint="eastAsia"/>
                <w:color w:val="auto"/>
                <w:lang w:val="en-US" w:eastAsia="zh-CN"/>
              </w:rPr>
              <w:t>500</w:t>
            </w:r>
          </w:p>
        </w:tc>
      </w:tr>
    </w:tbl>
    <w:p w14:paraId="0D751C36">
      <w:pPr>
        <w:pageBreakBefore w:val="0"/>
        <w:wordWrap/>
        <w:bidi w:val="0"/>
        <w:adjustRightInd/>
        <w:snapToGrid/>
        <w:rPr>
          <w:b/>
          <w:bCs/>
          <w:color w:val="auto"/>
        </w:rPr>
      </w:pPr>
      <w:r>
        <w:rPr>
          <w:rFonts w:hint="eastAsia"/>
          <w:b/>
          <w:bCs/>
          <w:color w:val="auto"/>
        </w:rPr>
        <w:t>（</w:t>
      </w:r>
      <w:r>
        <w:rPr>
          <w:rFonts w:hint="eastAsia"/>
          <w:b/>
          <w:bCs/>
          <w:color w:val="auto"/>
          <w:lang w:val="en-US" w:eastAsia="zh-CN"/>
        </w:rPr>
        <w:t>2</w:t>
      </w:r>
      <w:r>
        <w:rPr>
          <w:rFonts w:hint="eastAsia"/>
          <w:b/>
          <w:bCs/>
          <w:color w:val="auto"/>
        </w:rPr>
        <w:t>）</w:t>
      </w:r>
      <w:r>
        <w:rPr>
          <w:b/>
          <w:bCs/>
          <w:color w:val="auto"/>
        </w:rPr>
        <w:t>本工程设计进水水质确定</w:t>
      </w:r>
    </w:p>
    <w:p w14:paraId="5CEC94C7">
      <w:pPr>
        <w:pageBreakBefore w:val="0"/>
        <w:wordWrap/>
        <w:bidi w:val="0"/>
        <w:adjustRightInd/>
        <w:snapToGrid/>
        <w:rPr>
          <w:rFonts w:hint="eastAsia"/>
          <w:color w:val="auto"/>
          <w:lang w:val="en-US" w:eastAsia="zh-CN"/>
        </w:rPr>
      </w:pPr>
      <w:r>
        <w:rPr>
          <w:rFonts w:hint="eastAsia"/>
          <w:color w:val="auto"/>
          <w:lang w:val="en-US" w:eastAsia="zh-CN"/>
        </w:rPr>
        <w:t>根据园区修编</w:t>
      </w:r>
      <w:r>
        <w:rPr>
          <w:rFonts w:hint="eastAsia"/>
          <w:color w:val="auto"/>
        </w:rPr>
        <w:t>规划环评</w:t>
      </w:r>
      <w:r>
        <w:rPr>
          <w:rFonts w:hint="eastAsia"/>
          <w:color w:val="auto"/>
          <w:lang w:val="en-US" w:eastAsia="zh-CN"/>
        </w:rPr>
        <w:t>报告、《巴中市巴州区曾口片区污水处理厂、环境监测站建设项目可行性研究报告》以及《巴中市巴州区曾口片区污水处理厂、环境监测站建设项目初步设计说明书》可知，确定本工程进水水质要求为：</w:t>
      </w:r>
    </w:p>
    <w:p w14:paraId="28E82FD7">
      <w:pPr>
        <w:pStyle w:val="19"/>
        <w:numPr>
          <w:ilvl w:val="0"/>
          <w:numId w:val="16"/>
        </w:numPr>
        <w:bidi w:val="0"/>
        <w:ind w:left="0" w:leftChars="0" w:firstLine="0" w:firstLineChars="0"/>
        <w:rPr>
          <w:rFonts w:hint="default"/>
          <w:color w:val="auto"/>
          <w:lang w:val="en-US" w:eastAsia="zh-CN"/>
        </w:rPr>
      </w:pPr>
      <w:r>
        <w:rPr>
          <w:rFonts w:hint="eastAsia"/>
          <w:color w:val="auto"/>
          <w:lang w:val="en-US" w:eastAsia="zh-CN"/>
        </w:rPr>
        <w:t>设计进水水质表</w:t>
      </w:r>
    </w:p>
    <w:tbl>
      <w:tblPr>
        <w:tblStyle w:val="5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79"/>
        <w:gridCol w:w="2681"/>
        <w:gridCol w:w="2128"/>
        <w:gridCol w:w="2134"/>
      </w:tblGrid>
      <w:tr w14:paraId="097FF8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9" w:type="dxa"/>
            <w:tcBorders>
              <w:tl2br w:val="nil"/>
              <w:tr2bl w:val="nil"/>
            </w:tcBorders>
            <w:noWrap w:val="0"/>
            <w:vAlign w:val="top"/>
          </w:tcPr>
          <w:p w14:paraId="405A8AB5">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序号</w:t>
            </w:r>
          </w:p>
        </w:tc>
        <w:tc>
          <w:tcPr>
            <w:tcW w:w="2681" w:type="dxa"/>
            <w:tcBorders>
              <w:tl2br w:val="nil"/>
              <w:tr2bl w:val="nil"/>
            </w:tcBorders>
            <w:noWrap w:val="0"/>
            <w:vAlign w:val="top"/>
          </w:tcPr>
          <w:p w14:paraId="26EFD75F">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项目</w:t>
            </w:r>
          </w:p>
        </w:tc>
        <w:tc>
          <w:tcPr>
            <w:tcW w:w="2128" w:type="dxa"/>
            <w:tcBorders>
              <w:tl2br w:val="nil"/>
              <w:tr2bl w:val="nil"/>
            </w:tcBorders>
            <w:noWrap w:val="0"/>
            <w:vAlign w:val="top"/>
          </w:tcPr>
          <w:p w14:paraId="3649EF31">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单位</w:t>
            </w:r>
          </w:p>
        </w:tc>
        <w:tc>
          <w:tcPr>
            <w:tcW w:w="2134" w:type="dxa"/>
            <w:tcBorders>
              <w:tl2br w:val="nil"/>
              <w:tr2bl w:val="nil"/>
            </w:tcBorders>
            <w:noWrap w:val="0"/>
            <w:vAlign w:val="top"/>
          </w:tcPr>
          <w:p w14:paraId="6252F079">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数值</w:t>
            </w:r>
          </w:p>
        </w:tc>
      </w:tr>
      <w:tr w14:paraId="69814F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9" w:type="dxa"/>
            <w:tcBorders>
              <w:tl2br w:val="nil"/>
              <w:tr2bl w:val="nil"/>
            </w:tcBorders>
            <w:noWrap w:val="0"/>
            <w:vAlign w:val="top"/>
          </w:tcPr>
          <w:p w14:paraId="26D4F56D">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w:t>
            </w:r>
          </w:p>
        </w:tc>
        <w:tc>
          <w:tcPr>
            <w:tcW w:w="2681" w:type="dxa"/>
            <w:tcBorders>
              <w:tl2br w:val="nil"/>
              <w:tr2bl w:val="nil"/>
            </w:tcBorders>
            <w:noWrap w:val="0"/>
            <w:vAlign w:val="top"/>
          </w:tcPr>
          <w:p w14:paraId="5475AC80">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温度</w:t>
            </w:r>
          </w:p>
        </w:tc>
        <w:tc>
          <w:tcPr>
            <w:tcW w:w="2128" w:type="dxa"/>
            <w:tcBorders>
              <w:tl2br w:val="nil"/>
              <w:tr2bl w:val="nil"/>
            </w:tcBorders>
            <w:noWrap w:val="0"/>
            <w:vAlign w:val="top"/>
          </w:tcPr>
          <w:p w14:paraId="5A5769CA">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134" w:type="dxa"/>
            <w:tcBorders>
              <w:tl2br w:val="nil"/>
              <w:tr2bl w:val="nil"/>
            </w:tcBorders>
            <w:noWrap w:val="0"/>
            <w:vAlign w:val="top"/>
          </w:tcPr>
          <w:p w14:paraId="72838482">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10~30</w:t>
            </w:r>
          </w:p>
        </w:tc>
      </w:tr>
      <w:tr w14:paraId="1107BA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9" w:type="dxa"/>
            <w:tcBorders>
              <w:tl2br w:val="nil"/>
              <w:tr2bl w:val="nil"/>
            </w:tcBorders>
            <w:noWrap w:val="0"/>
            <w:vAlign w:val="top"/>
          </w:tcPr>
          <w:p w14:paraId="3D795DD1">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w:t>
            </w:r>
          </w:p>
        </w:tc>
        <w:tc>
          <w:tcPr>
            <w:tcW w:w="2681" w:type="dxa"/>
            <w:tcBorders>
              <w:tl2br w:val="nil"/>
              <w:tr2bl w:val="nil"/>
            </w:tcBorders>
            <w:noWrap w:val="0"/>
            <w:vAlign w:val="top"/>
          </w:tcPr>
          <w:p w14:paraId="458068CF">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pH值</w:t>
            </w:r>
          </w:p>
        </w:tc>
        <w:tc>
          <w:tcPr>
            <w:tcW w:w="2128" w:type="dxa"/>
            <w:tcBorders>
              <w:tl2br w:val="nil"/>
              <w:tr2bl w:val="nil"/>
            </w:tcBorders>
            <w:noWrap w:val="0"/>
            <w:vAlign w:val="top"/>
          </w:tcPr>
          <w:p w14:paraId="3677B53C">
            <w:pPr>
              <w:pStyle w:val="16"/>
              <w:keepNext w:val="0"/>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w:t>
            </w:r>
          </w:p>
        </w:tc>
        <w:tc>
          <w:tcPr>
            <w:tcW w:w="2134" w:type="dxa"/>
            <w:tcBorders>
              <w:tl2br w:val="nil"/>
              <w:tr2bl w:val="nil"/>
            </w:tcBorders>
            <w:noWrap w:val="0"/>
            <w:vAlign w:val="top"/>
          </w:tcPr>
          <w:p w14:paraId="670066F5">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6.0~9.0</w:t>
            </w:r>
          </w:p>
        </w:tc>
      </w:tr>
      <w:tr w14:paraId="499B2D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9" w:type="dxa"/>
            <w:tcBorders>
              <w:tl2br w:val="nil"/>
              <w:tr2bl w:val="nil"/>
            </w:tcBorders>
            <w:noWrap w:val="0"/>
            <w:vAlign w:val="top"/>
          </w:tcPr>
          <w:p w14:paraId="0DB27CCD">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w:t>
            </w:r>
          </w:p>
        </w:tc>
        <w:tc>
          <w:tcPr>
            <w:tcW w:w="2681" w:type="dxa"/>
            <w:tcBorders>
              <w:tl2br w:val="nil"/>
              <w:tr2bl w:val="nil"/>
            </w:tcBorders>
            <w:shd w:val="clear" w:color="auto" w:fill="auto"/>
            <w:noWrap w:val="0"/>
            <w:vAlign w:val="top"/>
          </w:tcPr>
          <w:p w14:paraId="2B96307A">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CODcr</w:t>
            </w:r>
          </w:p>
        </w:tc>
        <w:tc>
          <w:tcPr>
            <w:tcW w:w="2128" w:type="dxa"/>
            <w:tcBorders>
              <w:tl2br w:val="nil"/>
              <w:tr2bl w:val="nil"/>
            </w:tcBorders>
            <w:shd w:val="clear" w:color="auto" w:fill="auto"/>
            <w:noWrap w:val="0"/>
            <w:vAlign w:val="top"/>
          </w:tcPr>
          <w:p w14:paraId="01E771B5">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34" w:type="dxa"/>
            <w:tcBorders>
              <w:tl2br w:val="nil"/>
              <w:tr2bl w:val="nil"/>
            </w:tcBorders>
            <w:shd w:val="clear" w:color="auto" w:fill="auto"/>
            <w:noWrap w:val="0"/>
            <w:vAlign w:val="top"/>
          </w:tcPr>
          <w:p w14:paraId="4A3739B0">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350</w:t>
            </w:r>
          </w:p>
        </w:tc>
      </w:tr>
      <w:tr w14:paraId="1F1900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9" w:type="dxa"/>
            <w:tcBorders>
              <w:tl2br w:val="nil"/>
              <w:tr2bl w:val="nil"/>
            </w:tcBorders>
            <w:noWrap w:val="0"/>
            <w:vAlign w:val="top"/>
          </w:tcPr>
          <w:p w14:paraId="3D47B154">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w:t>
            </w:r>
          </w:p>
        </w:tc>
        <w:tc>
          <w:tcPr>
            <w:tcW w:w="2681" w:type="dxa"/>
            <w:tcBorders>
              <w:tl2br w:val="nil"/>
              <w:tr2bl w:val="nil"/>
            </w:tcBorders>
            <w:shd w:val="clear" w:color="auto" w:fill="auto"/>
            <w:noWrap w:val="0"/>
            <w:vAlign w:val="top"/>
          </w:tcPr>
          <w:p w14:paraId="1DC340D6">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BOD</w:t>
            </w:r>
            <w:r>
              <w:rPr>
                <w:rFonts w:hint="eastAsia"/>
                <w:color w:val="auto"/>
                <w:vertAlign w:val="subscript"/>
                <w:lang w:val="en-US" w:eastAsia="zh-CN"/>
              </w:rPr>
              <w:t>5</w:t>
            </w:r>
          </w:p>
        </w:tc>
        <w:tc>
          <w:tcPr>
            <w:tcW w:w="2128" w:type="dxa"/>
            <w:tcBorders>
              <w:tl2br w:val="nil"/>
              <w:tr2bl w:val="nil"/>
            </w:tcBorders>
            <w:shd w:val="clear" w:color="auto" w:fill="auto"/>
            <w:noWrap w:val="0"/>
            <w:vAlign w:val="top"/>
          </w:tcPr>
          <w:p w14:paraId="5DF67A06">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34" w:type="dxa"/>
            <w:tcBorders>
              <w:tl2br w:val="nil"/>
              <w:tr2bl w:val="nil"/>
            </w:tcBorders>
            <w:shd w:val="clear" w:color="auto" w:fill="auto"/>
            <w:noWrap w:val="0"/>
            <w:vAlign w:val="top"/>
          </w:tcPr>
          <w:p w14:paraId="256C904E">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150</w:t>
            </w:r>
          </w:p>
        </w:tc>
      </w:tr>
      <w:tr w14:paraId="6BA53B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9" w:type="dxa"/>
            <w:tcBorders>
              <w:tl2br w:val="nil"/>
              <w:tr2bl w:val="nil"/>
            </w:tcBorders>
            <w:noWrap w:val="0"/>
            <w:vAlign w:val="top"/>
          </w:tcPr>
          <w:p w14:paraId="5B16CE91">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5</w:t>
            </w:r>
          </w:p>
        </w:tc>
        <w:tc>
          <w:tcPr>
            <w:tcW w:w="2681" w:type="dxa"/>
            <w:tcBorders>
              <w:tl2br w:val="nil"/>
              <w:tr2bl w:val="nil"/>
            </w:tcBorders>
            <w:shd w:val="clear" w:color="auto" w:fill="auto"/>
            <w:noWrap w:val="0"/>
            <w:vAlign w:val="top"/>
          </w:tcPr>
          <w:p w14:paraId="11DF3D95">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SS</w:t>
            </w:r>
          </w:p>
        </w:tc>
        <w:tc>
          <w:tcPr>
            <w:tcW w:w="2128" w:type="dxa"/>
            <w:tcBorders>
              <w:tl2br w:val="nil"/>
              <w:tr2bl w:val="nil"/>
            </w:tcBorders>
            <w:shd w:val="clear" w:color="auto" w:fill="auto"/>
            <w:noWrap w:val="0"/>
            <w:vAlign w:val="top"/>
          </w:tcPr>
          <w:p w14:paraId="552BCC64">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34" w:type="dxa"/>
            <w:tcBorders>
              <w:tl2br w:val="nil"/>
              <w:tr2bl w:val="nil"/>
            </w:tcBorders>
            <w:shd w:val="clear" w:color="auto" w:fill="auto"/>
            <w:noWrap w:val="0"/>
            <w:vAlign w:val="top"/>
          </w:tcPr>
          <w:p w14:paraId="09FE0D3D">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400</w:t>
            </w:r>
          </w:p>
        </w:tc>
      </w:tr>
      <w:tr w14:paraId="44AB2C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9" w:type="dxa"/>
            <w:tcBorders>
              <w:tl2br w:val="nil"/>
              <w:tr2bl w:val="nil"/>
            </w:tcBorders>
            <w:noWrap w:val="0"/>
            <w:vAlign w:val="top"/>
          </w:tcPr>
          <w:p w14:paraId="6C0AFBC3">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6</w:t>
            </w:r>
          </w:p>
        </w:tc>
        <w:tc>
          <w:tcPr>
            <w:tcW w:w="2681" w:type="dxa"/>
            <w:tcBorders>
              <w:tl2br w:val="nil"/>
              <w:tr2bl w:val="nil"/>
            </w:tcBorders>
            <w:shd w:val="clear" w:color="auto" w:fill="auto"/>
            <w:noWrap w:val="0"/>
            <w:vAlign w:val="top"/>
          </w:tcPr>
          <w:p w14:paraId="38976BD4">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氨氮</w:t>
            </w:r>
          </w:p>
        </w:tc>
        <w:tc>
          <w:tcPr>
            <w:tcW w:w="2128" w:type="dxa"/>
            <w:tcBorders>
              <w:tl2br w:val="nil"/>
              <w:tr2bl w:val="nil"/>
            </w:tcBorders>
            <w:shd w:val="clear" w:color="auto" w:fill="auto"/>
            <w:noWrap w:val="0"/>
            <w:vAlign w:val="top"/>
          </w:tcPr>
          <w:p w14:paraId="6B4317B5">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34" w:type="dxa"/>
            <w:tcBorders>
              <w:tl2br w:val="nil"/>
              <w:tr2bl w:val="nil"/>
            </w:tcBorders>
            <w:shd w:val="clear" w:color="auto" w:fill="auto"/>
            <w:noWrap w:val="0"/>
            <w:vAlign w:val="top"/>
          </w:tcPr>
          <w:p w14:paraId="127387AF">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50</w:t>
            </w:r>
          </w:p>
        </w:tc>
      </w:tr>
      <w:tr w14:paraId="6567F7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9" w:type="dxa"/>
            <w:tcBorders>
              <w:tl2br w:val="nil"/>
              <w:tr2bl w:val="nil"/>
            </w:tcBorders>
            <w:noWrap w:val="0"/>
            <w:vAlign w:val="top"/>
          </w:tcPr>
          <w:p w14:paraId="4FBC21FE">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7</w:t>
            </w:r>
          </w:p>
        </w:tc>
        <w:tc>
          <w:tcPr>
            <w:tcW w:w="2681" w:type="dxa"/>
            <w:tcBorders>
              <w:tl2br w:val="nil"/>
              <w:tr2bl w:val="nil"/>
            </w:tcBorders>
            <w:shd w:val="clear" w:color="auto" w:fill="auto"/>
            <w:noWrap w:val="0"/>
            <w:vAlign w:val="top"/>
          </w:tcPr>
          <w:p w14:paraId="247F7B0F">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总氮</w:t>
            </w:r>
          </w:p>
        </w:tc>
        <w:tc>
          <w:tcPr>
            <w:tcW w:w="2128" w:type="dxa"/>
            <w:tcBorders>
              <w:tl2br w:val="nil"/>
              <w:tr2bl w:val="nil"/>
            </w:tcBorders>
            <w:shd w:val="clear" w:color="auto" w:fill="auto"/>
            <w:noWrap w:val="0"/>
            <w:vAlign w:val="top"/>
          </w:tcPr>
          <w:p w14:paraId="4940806B">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34" w:type="dxa"/>
            <w:tcBorders>
              <w:tl2br w:val="nil"/>
              <w:tr2bl w:val="nil"/>
            </w:tcBorders>
            <w:shd w:val="clear" w:color="auto" w:fill="auto"/>
            <w:noWrap w:val="0"/>
            <w:vAlign w:val="top"/>
          </w:tcPr>
          <w:p w14:paraId="36A00625">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80</w:t>
            </w:r>
          </w:p>
        </w:tc>
      </w:tr>
      <w:tr w14:paraId="24CB6F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9" w:type="dxa"/>
            <w:tcBorders>
              <w:tl2br w:val="nil"/>
              <w:tr2bl w:val="nil"/>
            </w:tcBorders>
            <w:noWrap w:val="0"/>
            <w:vAlign w:val="top"/>
          </w:tcPr>
          <w:p w14:paraId="7847425D">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8</w:t>
            </w:r>
          </w:p>
        </w:tc>
        <w:tc>
          <w:tcPr>
            <w:tcW w:w="2681" w:type="dxa"/>
            <w:tcBorders>
              <w:tl2br w:val="nil"/>
              <w:tr2bl w:val="nil"/>
            </w:tcBorders>
            <w:shd w:val="clear" w:color="auto" w:fill="auto"/>
            <w:noWrap w:val="0"/>
            <w:vAlign w:val="top"/>
          </w:tcPr>
          <w:p w14:paraId="3025E1E4">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总磷</w:t>
            </w:r>
          </w:p>
        </w:tc>
        <w:tc>
          <w:tcPr>
            <w:tcW w:w="2128" w:type="dxa"/>
            <w:tcBorders>
              <w:tl2br w:val="nil"/>
              <w:tr2bl w:val="nil"/>
            </w:tcBorders>
            <w:shd w:val="clear" w:color="auto" w:fill="auto"/>
            <w:noWrap w:val="0"/>
            <w:vAlign w:val="top"/>
          </w:tcPr>
          <w:p w14:paraId="1119E147">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34" w:type="dxa"/>
            <w:tcBorders>
              <w:tl2br w:val="nil"/>
              <w:tr2bl w:val="nil"/>
            </w:tcBorders>
            <w:shd w:val="clear" w:color="auto" w:fill="auto"/>
            <w:noWrap w:val="0"/>
            <w:vAlign w:val="top"/>
          </w:tcPr>
          <w:p w14:paraId="71925E11">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4</w:t>
            </w:r>
          </w:p>
        </w:tc>
      </w:tr>
      <w:tr w14:paraId="58E066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9" w:type="dxa"/>
            <w:tcBorders>
              <w:tl2br w:val="nil"/>
              <w:tr2bl w:val="nil"/>
            </w:tcBorders>
            <w:noWrap w:val="0"/>
            <w:vAlign w:val="top"/>
          </w:tcPr>
          <w:p w14:paraId="335D98FD">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9</w:t>
            </w:r>
          </w:p>
        </w:tc>
        <w:tc>
          <w:tcPr>
            <w:tcW w:w="2681" w:type="dxa"/>
            <w:tcBorders>
              <w:tl2br w:val="nil"/>
              <w:tr2bl w:val="nil"/>
            </w:tcBorders>
            <w:shd w:val="clear" w:color="auto" w:fill="auto"/>
            <w:noWrap w:val="0"/>
            <w:vAlign w:val="top"/>
          </w:tcPr>
          <w:p w14:paraId="66755F98">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氯化物</w:t>
            </w:r>
          </w:p>
        </w:tc>
        <w:tc>
          <w:tcPr>
            <w:tcW w:w="2128" w:type="dxa"/>
            <w:tcBorders>
              <w:tl2br w:val="nil"/>
              <w:tr2bl w:val="nil"/>
            </w:tcBorders>
            <w:shd w:val="clear" w:color="auto" w:fill="auto"/>
            <w:noWrap w:val="0"/>
            <w:vAlign w:val="top"/>
          </w:tcPr>
          <w:p w14:paraId="194C20BE">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34" w:type="dxa"/>
            <w:tcBorders>
              <w:tl2br w:val="nil"/>
              <w:tr2bl w:val="nil"/>
            </w:tcBorders>
            <w:shd w:val="clear" w:color="auto" w:fill="auto"/>
            <w:noWrap w:val="0"/>
            <w:vAlign w:val="top"/>
          </w:tcPr>
          <w:p w14:paraId="53A33F15">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500</w:t>
            </w:r>
          </w:p>
        </w:tc>
      </w:tr>
      <w:tr w14:paraId="43229E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9" w:type="dxa"/>
            <w:tcBorders>
              <w:tl2br w:val="nil"/>
              <w:tr2bl w:val="nil"/>
            </w:tcBorders>
            <w:noWrap w:val="0"/>
            <w:vAlign w:val="top"/>
          </w:tcPr>
          <w:p w14:paraId="157C2578">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10</w:t>
            </w:r>
          </w:p>
        </w:tc>
        <w:tc>
          <w:tcPr>
            <w:tcW w:w="2681" w:type="dxa"/>
            <w:tcBorders>
              <w:tl2br w:val="nil"/>
              <w:tr2bl w:val="nil"/>
            </w:tcBorders>
            <w:shd w:val="clear" w:color="auto" w:fill="auto"/>
            <w:noWrap w:val="0"/>
            <w:vAlign w:val="top"/>
          </w:tcPr>
          <w:p w14:paraId="584C2894">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硫酸盐</w:t>
            </w:r>
          </w:p>
        </w:tc>
        <w:tc>
          <w:tcPr>
            <w:tcW w:w="2128" w:type="dxa"/>
            <w:tcBorders>
              <w:tl2br w:val="nil"/>
              <w:tr2bl w:val="nil"/>
            </w:tcBorders>
            <w:shd w:val="clear" w:color="auto" w:fill="auto"/>
            <w:noWrap w:val="0"/>
            <w:vAlign w:val="top"/>
          </w:tcPr>
          <w:p w14:paraId="6B0470E3">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34" w:type="dxa"/>
            <w:tcBorders>
              <w:tl2br w:val="nil"/>
              <w:tr2bl w:val="nil"/>
            </w:tcBorders>
            <w:shd w:val="clear" w:color="auto" w:fill="auto"/>
            <w:noWrap w:val="0"/>
            <w:vAlign w:val="top"/>
          </w:tcPr>
          <w:p w14:paraId="61E3772F">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400</w:t>
            </w:r>
          </w:p>
        </w:tc>
      </w:tr>
      <w:tr w14:paraId="44C587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9" w:type="dxa"/>
            <w:tcBorders>
              <w:tl2br w:val="nil"/>
              <w:tr2bl w:val="nil"/>
            </w:tcBorders>
            <w:noWrap w:val="0"/>
            <w:vAlign w:val="top"/>
          </w:tcPr>
          <w:p w14:paraId="74FEABAF">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11</w:t>
            </w:r>
          </w:p>
        </w:tc>
        <w:tc>
          <w:tcPr>
            <w:tcW w:w="2681" w:type="dxa"/>
            <w:tcBorders>
              <w:tl2br w:val="nil"/>
              <w:tr2bl w:val="nil"/>
            </w:tcBorders>
            <w:shd w:val="clear" w:color="auto" w:fill="auto"/>
            <w:noWrap w:val="0"/>
            <w:vAlign w:val="top"/>
          </w:tcPr>
          <w:p w14:paraId="19FC2135">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总硬度</w:t>
            </w:r>
          </w:p>
        </w:tc>
        <w:tc>
          <w:tcPr>
            <w:tcW w:w="2128" w:type="dxa"/>
            <w:tcBorders>
              <w:tl2br w:val="nil"/>
              <w:tr2bl w:val="nil"/>
            </w:tcBorders>
            <w:shd w:val="clear" w:color="auto" w:fill="auto"/>
            <w:noWrap w:val="0"/>
            <w:vAlign w:val="top"/>
          </w:tcPr>
          <w:p w14:paraId="0F05D5E8">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34" w:type="dxa"/>
            <w:tcBorders>
              <w:tl2br w:val="nil"/>
              <w:tr2bl w:val="nil"/>
            </w:tcBorders>
            <w:shd w:val="clear" w:color="auto" w:fill="auto"/>
            <w:noWrap w:val="0"/>
            <w:vAlign w:val="top"/>
          </w:tcPr>
          <w:p w14:paraId="32250740">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400</w:t>
            </w:r>
          </w:p>
        </w:tc>
      </w:tr>
      <w:tr w14:paraId="75736C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9" w:type="dxa"/>
            <w:tcBorders>
              <w:tl2br w:val="nil"/>
              <w:tr2bl w:val="nil"/>
            </w:tcBorders>
            <w:noWrap w:val="0"/>
            <w:vAlign w:val="top"/>
          </w:tcPr>
          <w:p w14:paraId="20877072">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12</w:t>
            </w:r>
          </w:p>
        </w:tc>
        <w:tc>
          <w:tcPr>
            <w:tcW w:w="2681" w:type="dxa"/>
            <w:tcBorders>
              <w:tl2br w:val="nil"/>
              <w:tr2bl w:val="nil"/>
            </w:tcBorders>
            <w:shd w:val="clear" w:color="auto" w:fill="auto"/>
            <w:noWrap w:val="0"/>
            <w:vAlign w:val="top"/>
          </w:tcPr>
          <w:p w14:paraId="07E463DD">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氟化物</w:t>
            </w:r>
          </w:p>
        </w:tc>
        <w:tc>
          <w:tcPr>
            <w:tcW w:w="2128" w:type="dxa"/>
            <w:tcBorders>
              <w:tl2br w:val="nil"/>
              <w:tr2bl w:val="nil"/>
            </w:tcBorders>
            <w:shd w:val="clear" w:color="auto" w:fill="auto"/>
            <w:noWrap w:val="0"/>
            <w:vAlign w:val="top"/>
          </w:tcPr>
          <w:p w14:paraId="3A14C0F7">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34" w:type="dxa"/>
            <w:tcBorders>
              <w:tl2br w:val="nil"/>
              <w:tr2bl w:val="nil"/>
            </w:tcBorders>
            <w:shd w:val="clear" w:color="auto" w:fill="auto"/>
            <w:noWrap w:val="0"/>
            <w:vAlign w:val="top"/>
          </w:tcPr>
          <w:p w14:paraId="2B7390A0">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20</w:t>
            </w:r>
          </w:p>
        </w:tc>
      </w:tr>
      <w:tr w14:paraId="79D0A7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9" w:type="dxa"/>
            <w:tcBorders>
              <w:tl2br w:val="nil"/>
              <w:tr2bl w:val="nil"/>
            </w:tcBorders>
            <w:noWrap w:val="0"/>
            <w:vAlign w:val="top"/>
          </w:tcPr>
          <w:p w14:paraId="5303E27A">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13</w:t>
            </w:r>
          </w:p>
        </w:tc>
        <w:tc>
          <w:tcPr>
            <w:tcW w:w="2681" w:type="dxa"/>
            <w:tcBorders>
              <w:tl2br w:val="nil"/>
              <w:tr2bl w:val="nil"/>
            </w:tcBorders>
            <w:shd w:val="clear" w:color="auto" w:fill="auto"/>
            <w:noWrap w:val="0"/>
            <w:vAlign w:val="top"/>
          </w:tcPr>
          <w:p w14:paraId="0A29C93D">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石油类</w:t>
            </w:r>
          </w:p>
        </w:tc>
        <w:tc>
          <w:tcPr>
            <w:tcW w:w="2128" w:type="dxa"/>
            <w:tcBorders>
              <w:tl2br w:val="nil"/>
              <w:tr2bl w:val="nil"/>
            </w:tcBorders>
            <w:shd w:val="clear" w:color="auto" w:fill="auto"/>
            <w:noWrap w:val="0"/>
            <w:vAlign w:val="top"/>
          </w:tcPr>
          <w:p w14:paraId="476CD9AD">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34" w:type="dxa"/>
            <w:tcBorders>
              <w:tl2br w:val="nil"/>
              <w:tr2bl w:val="nil"/>
            </w:tcBorders>
            <w:shd w:val="clear" w:color="auto" w:fill="auto"/>
            <w:noWrap w:val="0"/>
            <w:vAlign w:val="top"/>
          </w:tcPr>
          <w:p w14:paraId="46C3032F">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1.0</w:t>
            </w:r>
          </w:p>
        </w:tc>
      </w:tr>
      <w:tr w14:paraId="4CC1F3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9" w:type="dxa"/>
            <w:tcBorders>
              <w:tl2br w:val="nil"/>
              <w:tr2bl w:val="nil"/>
            </w:tcBorders>
            <w:noWrap w:val="0"/>
            <w:vAlign w:val="top"/>
          </w:tcPr>
          <w:p w14:paraId="204A0992">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14</w:t>
            </w:r>
          </w:p>
        </w:tc>
        <w:tc>
          <w:tcPr>
            <w:tcW w:w="2681" w:type="dxa"/>
            <w:tcBorders>
              <w:tl2br w:val="nil"/>
              <w:tr2bl w:val="nil"/>
            </w:tcBorders>
            <w:shd w:val="clear" w:color="auto" w:fill="auto"/>
            <w:noWrap w:val="0"/>
            <w:vAlign w:val="top"/>
          </w:tcPr>
          <w:p w14:paraId="628B3017">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挥发酚</w:t>
            </w:r>
          </w:p>
        </w:tc>
        <w:tc>
          <w:tcPr>
            <w:tcW w:w="2128" w:type="dxa"/>
            <w:tcBorders>
              <w:tl2br w:val="nil"/>
              <w:tr2bl w:val="nil"/>
            </w:tcBorders>
            <w:shd w:val="clear" w:color="auto" w:fill="auto"/>
            <w:noWrap w:val="0"/>
            <w:vAlign w:val="top"/>
          </w:tcPr>
          <w:p w14:paraId="12BB651E">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34" w:type="dxa"/>
            <w:tcBorders>
              <w:tl2br w:val="nil"/>
              <w:tr2bl w:val="nil"/>
            </w:tcBorders>
            <w:shd w:val="clear" w:color="auto" w:fill="auto"/>
            <w:noWrap w:val="0"/>
            <w:vAlign w:val="top"/>
          </w:tcPr>
          <w:p w14:paraId="40F27E7C">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0.5</w:t>
            </w:r>
          </w:p>
        </w:tc>
      </w:tr>
      <w:tr w14:paraId="1C8B5F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9" w:type="dxa"/>
            <w:tcBorders>
              <w:tl2br w:val="nil"/>
              <w:tr2bl w:val="nil"/>
            </w:tcBorders>
            <w:noWrap w:val="0"/>
            <w:vAlign w:val="top"/>
          </w:tcPr>
          <w:p w14:paraId="5AD4129F">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15</w:t>
            </w:r>
          </w:p>
        </w:tc>
        <w:tc>
          <w:tcPr>
            <w:tcW w:w="2681" w:type="dxa"/>
            <w:tcBorders>
              <w:tl2br w:val="nil"/>
              <w:tr2bl w:val="nil"/>
            </w:tcBorders>
            <w:shd w:val="clear" w:color="auto" w:fill="auto"/>
            <w:noWrap w:val="0"/>
            <w:vAlign w:val="top"/>
          </w:tcPr>
          <w:p w14:paraId="129A25DF">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苯</w:t>
            </w:r>
          </w:p>
        </w:tc>
        <w:tc>
          <w:tcPr>
            <w:tcW w:w="2128" w:type="dxa"/>
            <w:tcBorders>
              <w:tl2br w:val="nil"/>
              <w:tr2bl w:val="nil"/>
            </w:tcBorders>
            <w:shd w:val="clear" w:color="auto" w:fill="auto"/>
            <w:noWrap w:val="0"/>
            <w:vAlign w:val="top"/>
          </w:tcPr>
          <w:p w14:paraId="376E9A7C">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34" w:type="dxa"/>
            <w:tcBorders>
              <w:tl2br w:val="nil"/>
              <w:tr2bl w:val="nil"/>
            </w:tcBorders>
            <w:shd w:val="clear" w:color="auto" w:fill="auto"/>
            <w:noWrap w:val="0"/>
            <w:vAlign w:val="top"/>
          </w:tcPr>
          <w:p w14:paraId="4A93EFC3">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0.1</w:t>
            </w:r>
          </w:p>
        </w:tc>
      </w:tr>
      <w:tr w14:paraId="4EB9AE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79" w:type="dxa"/>
            <w:tcBorders>
              <w:tl2br w:val="nil"/>
              <w:tr2bl w:val="nil"/>
            </w:tcBorders>
            <w:noWrap w:val="0"/>
            <w:vAlign w:val="top"/>
          </w:tcPr>
          <w:p w14:paraId="7B7216AA">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16</w:t>
            </w:r>
          </w:p>
        </w:tc>
        <w:tc>
          <w:tcPr>
            <w:tcW w:w="2681" w:type="dxa"/>
            <w:tcBorders>
              <w:tl2br w:val="nil"/>
              <w:tr2bl w:val="nil"/>
            </w:tcBorders>
            <w:shd w:val="clear" w:color="auto" w:fill="auto"/>
            <w:noWrap w:val="0"/>
            <w:vAlign w:val="top"/>
          </w:tcPr>
          <w:p w14:paraId="3718FA30">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甲醛</w:t>
            </w:r>
          </w:p>
        </w:tc>
        <w:tc>
          <w:tcPr>
            <w:tcW w:w="2128" w:type="dxa"/>
            <w:tcBorders>
              <w:tl2br w:val="nil"/>
              <w:tr2bl w:val="nil"/>
            </w:tcBorders>
            <w:shd w:val="clear" w:color="auto" w:fill="auto"/>
            <w:noWrap w:val="0"/>
            <w:vAlign w:val="top"/>
          </w:tcPr>
          <w:p w14:paraId="50EDC219">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134" w:type="dxa"/>
            <w:tcBorders>
              <w:tl2br w:val="nil"/>
              <w:tr2bl w:val="nil"/>
            </w:tcBorders>
            <w:shd w:val="clear" w:color="auto" w:fill="auto"/>
            <w:noWrap w:val="0"/>
            <w:vAlign w:val="top"/>
          </w:tcPr>
          <w:p w14:paraId="3FFB743D">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1.0</w:t>
            </w:r>
          </w:p>
        </w:tc>
      </w:tr>
    </w:tbl>
    <w:p w14:paraId="1E5C9D21">
      <w:pPr>
        <w:pStyle w:val="10"/>
        <w:pageBreakBefore w:val="0"/>
        <w:wordWrap/>
        <w:bidi w:val="0"/>
        <w:adjustRightInd/>
        <w:snapToGrid/>
        <w:rPr>
          <w:color w:val="auto"/>
        </w:rPr>
      </w:pPr>
      <w:r>
        <w:rPr>
          <w:rFonts w:hint="eastAsia"/>
          <w:color w:val="auto"/>
        </w:rPr>
        <w:t xml:space="preserve"> </w:t>
      </w:r>
      <w:r>
        <w:rPr>
          <w:color w:val="auto"/>
        </w:rPr>
        <w:t>污水处理厂出水水质标准</w:t>
      </w:r>
    </w:p>
    <w:bookmarkEnd w:id="76"/>
    <w:p w14:paraId="3459AC6B">
      <w:pPr>
        <w:pageBreakBefore w:val="0"/>
        <w:wordWrap/>
        <w:bidi w:val="0"/>
        <w:adjustRightInd/>
        <w:snapToGrid/>
        <w:rPr>
          <w:rFonts w:hint="default"/>
          <w:color w:val="auto"/>
          <w:lang w:val="en-US" w:eastAsia="zh-CN"/>
        </w:rPr>
      </w:pPr>
      <w:r>
        <w:rPr>
          <w:rFonts w:hint="eastAsia"/>
          <w:color w:val="auto"/>
          <w:lang w:val="en-US" w:eastAsia="zh-CN"/>
        </w:rPr>
        <w:t>根据《巴中市巴州区曾口片区污水处理厂、环境监测站建设项目可行性研究报告》以及《巴中市巴州区曾口片区污水处理厂、环境监测站建设项目初步设计说明书》可知，本项目出水水质指标执行《城镇污水处理厂污染物排放标准》（GB18918-2002）一级A标准。</w:t>
      </w:r>
    </w:p>
    <w:p w14:paraId="5768D58D">
      <w:pPr>
        <w:pStyle w:val="19"/>
        <w:numPr>
          <w:ilvl w:val="0"/>
          <w:numId w:val="16"/>
        </w:numPr>
        <w:bidi w:val="0"/>
        <w:ind w:left="0" w:leftChars="0" w:firstLine="0" w:firstLineChars="0"/>
        <w:rPr>
          <w:rFonts w:hint="default"/>
          <w:color w:val="auto"/>
          <w:lang w:val="en-US" w:eastAsia="zh-CN"/>
        </w:rPr>
      </w:pPr>
      <w:r>
        <w:rPr>
          <w:rFonts w:hint="eastAsia"/>
          <w:color w:val="auto"/>
          <w:lang w:val="en-US" w:eastAsia="zh-CN"/>
        </w:rPr>
        <w:t>设计出水水质表</w:t>
      </w:r>
    </w:p>
    <w:tbl>
      <w:tblPr>
        <w:tblStyle w:val="5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878"/>
        <w:gridCol w:w="2441"/>
        <w:gridCol w:w="1662"/>
        <w:gridCol w:w="3378"/>
      </w:tblGrid>
      <w:tr w14:paraId="136C2B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vMerge w:val="restart"/>
            <w:tcBorders>
              <w:tl2br w:val="nil"/>
              <w:tr2bl w:val="nil"/>
            </w:tcBorders>
            <w:noWrap w:val="0"/>
            <w:vAlign w:val="center"/>
          </w:tcPr>
          <w:p w14:paraId="3030F33F">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序号</w:t>
            </w:r>
          </w:p>
        </w:tc>
        <w:tc>
          <w:tcPr>
            <w:tcW w:w="2454" w:type="pct"/>
            <w:gridSpan w:val="2"/>
            <w:tcBorders>
              <w:tl2br w:val="nil"/>
              <w:tr2bl w:val="nil"/>
            </w:tcBorders>
            <w:noWrap w:val="0"/>
            <w:vAlign w:val="center"/>
          </w:tcPr>
          <w:p w14:paraId="5CBFA68D">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标准规范</w:t>
            </w:r>
          </w:p>
        </w:tc>
        <w:tc>
          <w:tcPr>
            <w:tcW w:w="2020" w:type="pct"/>
            <w:tcBorders>
              <w:tl2br w:val="nil"/>
              <w:tr2bl w:val="nil"/>
            </w:tcBorders>
            <w:noWrap w:val="0"/>
            <w:vAlign w:val="center"/>
          </w:tcPr>
          <w:p w14:paraId="6E6B7515">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出水水质</w:t>
            </w:r>
          </w:p>
        </w:tc>
      </w:tr>
      <w:tr w14:paraId="6ED9BF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vMerge w:val="continue"/>
            <w:tcBorders>
              <w:tl2br w:val="nil"/>
              <w:tr2bl w:val="nil"/>
            </w:tcBorders>
            <w:noWrap w:val="0"/>
            <w:vAlign w:val="center"/>
          </w:tcPr>
          <w:p w14:paraId="0F5E815F">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p>
        </w:tc>
        <w:tc>
          <w:tcPr>
            <w:tcW w:w="1460" w:type="pct"/>
            <w:tcBorders>
              <w:tl2br w:val="nil"/>
              <w:tr2bl w:val="nil"/>
            </w:tcBorders>
            <w:noWrap w:val="0"/>
            <w:vAlign w:val="center"/>
          </w:tcPr>
          <w:p w14:paraId="1CBF1103">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项目</w:t>
            </w:r>
          </w:p>
        </w:tc>
        <w:tc>
          <w:tcPr>
            <w:tcW w:w="994" w:type="pct"/>
            <w:tcBorders>
              <w:tl2br w:val="nil"/>
              <w:tr2bl w:val="nil"/>
            </w:tcBorders>
            <w:noWrap w:val="0"/>
            <w:vAlign w:val="center"/>
          </w:tcPr>
          <w:p w14:paraId="50B1C210">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单位</w:t>
            </w:r>
          </w:p>
        </w:tc>
        <w:tc>
          <w:tcPr>
            <w:tcW w:w="2020" w:type="pct"/>
            <w:tcBorders>
              <w:tl2br w:val="nil"/>
              <w:tr2bl w:val="nil"/>
            </w:tcBorders>
            <w:noWrap w:val="0"/>
            <w:vAlign w:val="center"/>
          </w:tcPr>
          <w:p w14:paraId="587E850D">
            <w:pPr>
              <w:pStyle w:val="16"/>
              <w:keepNext w:val="0"/>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《城镇污水处理厂污染物排放标准》（GB18918-2002）一级A标准</w:t>
            </w:r>
          </w:p>
        </w:tc>
      </w:tr>
      <w:tr w14:paraId="7AA87C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tcBorders>
              <w:tl2br w:val="nil"/>
              <w:tr2bl w:val="nil"/>
            </w:tcBorders>
            <w:noWrap w:val="0"/>
            <w:vAlign w:val="center"/>
          </w:tcPr>
          <w:p w14:paraId="2239851D">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1</w:t>
            </w:r>
          </w:p>
        </w:tc>
        <w:tc>
          <w:tcPr>
            <w:tcW w:w="1460" w:type="pct"/>
            <w:tcBorders>
              <w:tl2br w:val="nil"/>
              <w:tr2bl w:val="nil"/>
            </w:tcBorders>
            <w:noWrap w:val="0"/>
            <w:vAlign w:val="center"/>
          </w:tcPr>
          <w:p w14:paraId="7A0C28BF">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pH值</w:t>
            </w:r>
          </w:p>
        </w:tc>
        <w:tc>
          <w:tcPr>
            <w:tcW w:w="994" w:type="pct"/>
            <w:tcBorders>
              <w:tl2br w:val="nil"/>
              <w:tr2bl w:val="nil"/>
            </w:tcBorders>
            <w:noWrap w:val="0"/>
            <w:vAlign w:val="center"/>
          </w:tcPr>
          <w:p w14:paraId="74A60C8F">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无量纲</w:t>
            </w:r>
          </w:p>
        </w:tc>
        <w:tc>
          <w:tcPr>
            <w:tcW w:w="2020" w:type="pct"/>
            <w:tcBorders>
              <w:tl2br w:val="nil"/>
              <w:tr2bl w:val="nil"/>
            </w:tcBorders>
            <w:noWrap w:val="0"/>
            <w:vAlign w:val="center"/>
          </w:tcPr>
          <w:p w14:paraId="77896B50">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6~9</w:t>
            </w:r>
          </w:p>
        </w:tc>
      </w:tr>
      <w:tr w14:paraId="4AD651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tcBorders>
              <w:tl2br w:val="nil"/>
              <w:tr2bl w:val="nil"/>
            </w:tcBorders>
            <w:noWrap w:val="0"/>
            <w:vAlign w:val="center"/>
          </w:tcPr>
          <w:p w14:paraId="00087C74">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w:t>
            </w:r>
          </w:p>
        </w:tc>
        <w:tc>
          <w:tcPr>
            <w:tcW w:w="1460" w:type="pct"/>
            <w:tcBorders>
              <w:tl2br w:val="nil"/>
              <w:tr2bl w:val="nil"/>
            </w:tcBorders>
            <w:noWrap w:val="0"/>
            <w:vAlign w:val="center"/>
          </w:tcPr>
          <w:p w14:paraId="15E574A2">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色度</w:t>
            </w:r>
          </w:p>
        </w:tc>
        <w:tc>
          <w:tcPr>
            <w:tcW w:w="994" w:type="pct"/>
            <w:tcBorders>
              <w:tl2br w:val="nil"/>
              <w:tr2bl w:val="nil"/>
            </w:tcBorders>
            <w:noWrap w:val="0"/>
            <w:vAlign w:val="center"/>
          </w:tcPr>
          <w:p w14:paraId="661B91AF">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w:t>
            </w:r>
          </w:p>
        </w:tc>
        <w:tc>
          <w:tcPr>
            <w:tcW w:w="2020" w:type="pct"/>
            <w:tcBorders>
              <w:tl2br w:val="nil"/>
              <w:tr2bl w:val="nil"/>
            </w:tcBorders>
            <w:noWrap w:val="0"/>
            <w:vAlign w:val="center"/>
          </w:tcPr>
          <w:p w14:paraId="649DAA3C">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30</w:t>
            </w:r>
          </w:p>
        </w:tc>
      </w:tr>
      <w:tr w14:paraId="5E22E4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tcBorders>
              <w:tl2br w:val="nil"/>
              <w:tr2bl w:val="nil"/>
            </w:tcBorders>
            <w:noWrap w:val="0"/>
            <w:vAlign w:val="center"/>
          </w:tcPr>
          <w:p w14:paraId="5281A1EF">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3</w:t>
            </w:r>
          </w:p>
        </w:tc>
        <w:tc>
          <w:tcPr>
            <w:tcW w:w="1460" w:type="pct"/>
            <w:tcBorders>
              <w:tl2br w:val="nil"/>
              <w:tr2bl w:val="nil"/>
            </w:tcBorders>
            <w:shd w:val="clear" w:color="auto" w:fill="auto"/>
            <w:noWrap w:val="0"/>
            <w:vAlign w:val="center"/>
          </w:tcPr>
          <w:p w14:paraId="1F06BC1D">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COD</w:t>
            </w:r>
          </w:p>
        </w:tc>
        <w:tc>
          <w:tcPr>
            <w:tcW w:w="994" w:type="pct"/>
            <w:tcBorders>
              <w:tl2br w:val="nil"/>
              <w:tr2bl w:val="nil"/>
            </w:tcBorders>
            <w:shd w:val="clear" w:color="auto" w:fill="auto"/>
            <w:noWrap w:val="0"/>
            <w:vAlign w:val="center"/>
          </w:tcPr>
          <w:p w14:paraId="212BDA14">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020" w:type="pct"/>
            <w:tcBorders>
              <w:tl2br w:val="nil"/>
              <w:tr2bl w:val="nil"/>
            </w:tcBorders>
            <w:shd w:val="clear" w:color="auto" w:fill="auto"/>
            <w:noWrap w:val="0"/>
            <w:vAlign w:val="center"/>
          </w:tcPr>
          <w:p w14:paraId="058B695B">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50</w:t>
            </w:r>
          </w:p>
        </w:tc>
      </w:tr>
      <w:tr w14:paraId="44962D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tcBorders>
              <w:tl2br w:val="nil"/>
              <w:tr2bl w:val="nil"/>
            </w:tcBorders>
            <w:noWrap w:val="0"/>
            <w:vAlign w:val="center"/>
          </w:tcPr>
          <w:p w14:paraId="4B1B9D02">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4</w:t>
            </w:r>
          </w:p>
        </w:tc>
        <w:tc>
          <w:tcPr>
            <w:tcW w:w="1460" w:type="pct"/>
            <w:tcBorders>
              <w:tl2br w:val="nil"/>
              <w:tr2bl w:val="nil"/>
            </w:tcBorders>
            <w:shd w:val="clear" w:color="auto" w:fill="auto"/>
            <w:noWrap w:val="0"/>
            <w:vAlign w:val="center"/>
          </w:tcPr>
          <w:p w14:paraId="38F00283">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BOD</w:t>
            </w:r>
            <w:r>
              <w:rPr>
                <w:rFonts w:hint="eastAsia"/>
                <w:color w:val="auto"/>
                <w:vertAlign w:val="subscript"/>
                <w:lang w:val="en-US" w:eastAsia="zh-CN"/>
              </w:rPr>
              <w:t>5</w:t>
            </w:r>
          </w:p>
        </w:tc>
        <w:tc>
          <w:tcPr>
            <w:tcW w:w="994" w:type="pct"/>
            <w:tcBorders>
              <w:tl2br w:val="nil"/>
              <w:tr2bl w:val="nil"/>
            </w:tcBorders>
            <w:shd w:val="clear" w:color="auto" w:fill="auto"/>
            <w:noWrap w:val="0"/>
            <w:vAlign w:val="center"/>
          </w:tcPr>
          <w:p w14:paraId="47C73AEC">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020" w:type="pct"/>
            <w:tcBorders>
              <w:tl2br w:val="nil"/>
              <w:tr2bl w:val="nil"/>
            </w:tcBorders>
            <w:shd w:val="clear" w:color="auto" w:fill="auto"/>
            <w:noWrap w:val="0"/>
            <w:vAlign w:val="center"/>
          </w:tcPr>
          <w:p w14:paraId="02928C23">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10</w:t>
            </w:r>
          </w:p>
        </w:tc>
      </w:tr>
      <w:tr w14:paraId="2122BB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tcBorders>
              <w:tl2br w:val="nil"/>
              <w:tr2bl w:val="nil"/>
            </w:tcBorders>
            <w:noWrap w:val="0"/>
            <w:vAlign w:val="center"/>
          </w:tcPr>
          <w:p w14:paraId="2D4007BA">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5</w:t>
            </w:r>
          </w:p>
        </w:tc>
        <w:tc>
          <w:tcPr>
            <w:tcW w:w="1460" w:type="pct"/>
            <w:tcBorders>
              <w:tl2br w:val="nil"/>
              <w:tr2bl w:val="nil"/>
            </w:tcBorders>
            <w:shd w:val="clear" w:color="auto" w:fill="auto"/>
            <w:noWrap w:val="0"/>
            <w:vAlign w:val="center"/>
          </w:tcPr>
          <w:p w14:paraId="4747F5FF">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氨氮</w:t>
            </w:r>
          </w:p>
        </w:tc>
        <w:tc>
          <w:tcPr>
            <w:tcW w:w="994" w:type="pct"/>
            <w:tcBorders>
              <w:tl2br w:val="nil"/>
              <w:tr2bl w:val="nil"/>
            </w:tcBorders>
            <w:shd w:val="clear" w:color="auto" w:fill="auto"/>
            <w:noWrap w:val="0"/>
            <w:vAlign w:val="center"/>
          </w:tcPr>
          <w:p w14:paraId="6A34D859">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020" w:type="pct"/>
            <w:tcBorders>
              <w:tl2br w:val="nil"/>
              <w:tr2bl w:val="nil"/>
            </w:tcBorders>
            <w:shd w:val="clear" w:color="auto" w:fill="auto"/>
            <w:noWrap w:val="0"/>
            <w:vAlign w:val="center"/>
          </w:tcPr>
          <w:p w14:paraId="3A19E5E9">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5（8）</w:t>
            </w:r>
          </w:p>
        </w:tc>
      </w:tr>
      <w:tr w14:paraId="4C1988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tcBorders>
              <w:tl2br w:val="nil"/>
              <w:tr2bl w:val="nil"/>
            </w:tcBorders>
            <w:noWrap w:val="0"/>
            <w:vAlign w:val="center"/>
          </w:tcPr>
          <w:p w14:paraId="160B1913">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6</w:t>
            </w:r>
          </w:p>
        </w:tc>
        <w:tc>
          <w:tcPr>
            <w:tcW w:w="1460" w:type="pct"/>
            <w:tcBorders>
              <w:tl2br w:val="nil"/>
              <w:tr2bl w:val="nil"/>
            </w:tcBorders>
            <w:shd w:val="clear" w:color="auto" w:fill="auto"/>
            <w:noWrap w:val="0"/>
            <w:vAlign w:val="center"/>
          </w:tcPr>
          <w:p w14:paraId="292C4EC3">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总磷</w:t>
            </w:r>
          </w:p>
        </w:tc>
        <w:tc>
          <w:tcPr>
            <w:tcW w:w="994" w:type="pct"/>
            <w:tcBorders>
              <w:tl2br w:val="nil"/>
              <w:tr2bl w:val="nil"/>
            </w:tcBorders>
            <w:shd w:val="clear" w:color="auto" w:fill="auto"/>
            <w:noWrap w:val="0"/>
            <w:vAlign w:val="center"/>
          </w:tcPr>
          <w:p w14:paraId="70542B21">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020" w:type="pct"/>
            <w:tcBorders>
              <w:tl2br w:val="nil"/>
              <w:tr2bl w:val="nil"/>
            </w:tcBorders>
            <w:shd w:val="clear" w:color="auto" w:fill="auto"/>
            <w:noWrap w:val="0"/>
            <w:vAlign w:val="center"/>
          </w:tcPr>
          <w:p w14:paraId="3D04B8EF">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0.5</w:t>
            </w:r>
          </w:p>
        </w:tc>
      </w:tr>
      <w:tr w14:paraId="6E6CA7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tcBorders>
              <w:tl2br w:val="nil"/>
              <w:tr2bl w:val="nil"/>
            </w:tcBorders>
            <w:noWrap w:val="0"/>
            <w:vAlign w:val="center"/>
          </w:tcPr>
          <w:p w14:paraId="434C88CD">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7</w:t>
            </w:r>
          </w:p>
        </w:tc>
        <w:tc>
          <w:tcPr>
            <w:tcW w:w="1460" w:type="pct"/>
            <w:tcBorders>
              <w:tl2br w:val="nil"/>
              <w:tr2bl w:val="nil"/>
            </w:tcBorders>
            <w:shd w:val="clear" w:color="auto" w:fill="auto"/>
            <w:noWrap w:val="0"/>
            <w:vAlign w:val="center"/>
          </w:tcPr>
          <w:p w14:paraId="37CCB2F9">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石油类</w:t>
            </w:r>
          </w:p>
        </w:tc>
        <w:tc>
          <w:tcPr>
            <w:tcW w:w="994" w:type="pct"/>
            <w:tcBorders>
              <w:tl2br w:val="nil"/>
              <w:tr2bl w:val="nil"/>
            </w:tcBorders>
            <w:shd w:val="clear" w:color="auto" w:fill="auto"/>
            <w:noWrap w:val="0"/>
            <w:vAlign w:val="center"/>
          </w:tcPr>
          <w:p w14:paraId="56989BFC">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020" w:type="pct"/>
            <w:tcBorders>
              <w:tl2br w:val="nil"/>
              <w:tr2bl w:val="nil"/>
            </w:tcBorders>
            <w:shd w:val="clear" w:color="auto" w:fill="auto"/>
            <w:noWrap w:val="0"/>
            <w:vAlign w:val="center"/>
          </w:tcPr>
          <w:p w14:paraId="4BA39772">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w:t>
            </w:r>
          </w:p>
        </w:tc>
      </w:tr>
      <w:tr w14:paraId="74E97D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tcBorders>
              <w:tl2br w:val="nil"/>
              <w:tr2bl w:val="nil"/>
            </w:tcBorders>
            <w:noWrap w:val="0"/>
            <w:vAlign w:val="center"/>
          </w:tcPr>
          <w:p w14:paraId="4181CF6E">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8</w:t>
            </w:r>
          </w:p>
        </w:tc>
        <w:tc>
          <w:tcPr>
            <w:tcW w:w="1460" w:type="pct"/>
            <w:tcBorders>
              <w:tl2br w:val="nil"/>
              <w:tr2bl w:val="nil"/>
            </w:tcBorders>
            <w:shd w:val="clear" w:color="auto" w:fill="auto"/>
            <w:noWrap w:val="0"/>
            <w:vAlign w:val="center"/>
          </w:tcPr>
          <w:p w14:paraId="12308254">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阴离子表面活性剂</w:t>
            </w:r>
          </w:p>
        </w:tc>
        <w:tc>
          <w:tcPr>
            <w:tcW w:w="994" w:type="pct"/>
            <w:tcBorders>
              <w:tl2br w:val="nil"/>
              <w:tr2bl w:val="nil"/>
            </w:tcBorders>
            <w:shd w:val="clear" w:color="auto" w:fill="auto"/>
            <w:noWrap w:val="0"/>
            <w:vAlign w:val="center"/>
          </w:tcPr>
          <w:p w14:paraId="3A6B7340">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020" w:type="pct"/>
            <w:tcBorders>
              <w:tl2br w:val="nil"/>
              <w:tr2bl w:val="nil"/>
            </w:tcBorders>
            <w:shd w:val="clear" w:color="auto" w:fill="auto"/>
            <w:noWrap w:val="0"/>
            <w:vAlign w:val="center"/>
          </w:tcPr>
          <w:p w14:paraId="2799B5DB">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0.5</w:t>
            </w:r>
          </w:p>
        </w:tc>
      </w:tr>
      <w:tr w14:paraId="73FB47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tcBorders>
              <w:tl2br w:val="nil"/>
              <w:tr2bl w:val="nil"/>
            </w:tcBorders>
            <w:noWrap w:val="0"/>
            <w:vAlign w:val="center"/>
          </w:tcPr>
          <w:p w14:paraId="59207188">
            <w:pPr>
              <w:pStyle w:val="16"/>
              <w:keepNext w:val="0"/>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9</w:t>
            </w:r>
          </w:p>
        </w:tc>
        <w:tc>
          <w:tcPr>
            <w:tcW w:w="1460" w:type="pct"/>
            <w:tcBorders>
              <w:tl2br w:val="nil"/>
              <w:tr2bl w:val="nil"/>
            </w:tcBorders>
            <w:shd w:val="clear" w:color="auto" w:fill="auto"/>
            <w:noWrap w:val="0"/>
            <w:vAlign w:val="center"/>
          </w:tcPr>
          <w:p w14:paraId="1F168F41">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悬浮物</w:t>
            </w:r>
          </w:p>
        </w:tc>
        <w:tc>
          <w:tcPr>
            <w:tcW w:w="994" w:type="pct"/>
            <w:tcBorders>
              <w:tl2br w:val="nil"/>
              <w:tr2bl w:val="nil"/>
            </w:tcBorders>
            <w:shd w:val="clear" w:color="auto" w:fill="auto"/>
            <w:noWrap w:val="0"/>
            <w:vAlign w:val="center"/>
          </w:tcPr>
          <w:p w14:paraId="42BA7E08">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020" w:type="pct"/>
            <w:tcBorders>
              <w:tl2br w:val="nil"/>
              <w:tr2bl w:val="nil"/>
            </w:tcBorders>
            <w:shd w:val="clear" w:color="auto" w:fill="auto"/>
            <w:noWrap w:val="0"/>
            <w:vAlign w:val="center"/>
          </w:tcPr>
          <w:p w14:paraId="38132C6E">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10</w:t>
            </w:r>
          </w:p>
        </w:tc>
      </w:tr>
      <w:tr w14:paraId="6FBEA4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tcBorders>
              <w:tl2br w:val="nil"/>
              <w:tr2bl w:val="nil"/>
            </w:tcBorders>
            <w:noWrap w:val="0"/>
            <w:vAlign w:val="center"/>
          </w:tcPr>
          <w:p w14:paraId="1D3F5530">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eastAsia"/>
                <w:color w:val="auto"/>
                <w:lang w:val="en-US" w:eastAsia="zh-CN"/>
              </w:rPr>
            </w:pPr>
            <w:r>
              <w:rPr>
                <w:rFonts w:hint="eastAsia"/>
                <w:color w:val="auto"/>
                <w:lang w:val="en-US" w:eastAsia="zh-CN"/>
              </w:rPr>
              <w:t>10</w:t>
            </w:r>
          </w:p>
        </w:tc>
        <w:tc>
          <w:tcPr>
            <w:tcW w:w="1460" w:type="pct"/>
            <w:tcBorders>
              <w:tl2br w:val="nil"/>
              <w:tr2bl w:val="nil"/>
            </w:tcBorders>
            <w:shd w:val="clear" w:color="auto" w:fill="auto"/>
            <w:noWrap w:val="0"/>
            <w:vAlign w:val="center"/>
          </w:tcPr>
          <w:p w14:paraId="7C0D4004">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粪大肠菌群数</w:t>
            </w:r>
          </w:p>
        </w:tc>
        <w:tc>
          <w:tcPr>
            <w:tcW w:w="994" w:type="pct"/>
            <w:tcBorders>
              <w:tl2br w:val="nil"/>
              <w:tr2bl w:val="nil"/>
            </w:tcBorders>
            <w:shd w:val="clear" w:color="auto" w:fill="auto"/>
            <w:noWrap w:val="0"/>
            <w:vAlign w:val="center"/>
          </w:tcPr>
          <w:p w14:paraId="3D57BFC2">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个/L</w:t>
            </w:r>
          </w:p>
        </w:tc>
        <w:tc>
          <w:tcPr>
            <w:tcW w:w="2020" w:type="pct"/>
            <w:tcBorders>
              <w:tl2br w:val="nil"/>
              <w:tr2bl w:val="nil"/>
            </w:tcBorders>
            <w:shd w:val="clear" w:color="auto" w:fill="auto"/>
            <w:noWrap w:val="0"/>
            <w:vAlign w:val="center"/>
          </w:tcPr>
          <w:p w14:paraId="47E494CC">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10</w:t>
            </w:r>
            <w:r>
              <w:rPr>
                <w:rFonts w:hint="eastAsia"/>
                <w:color w:val="auto"/>
                <w:vertAlign w:val="superscript"/>
                <w:lang w:val="en-US" w:eastAsia="zh-CN"/>
              </w:rPr>
              <w:t>3</w:t>
            </w:r>
          </w:p>
        </w:tc>
      </w:tr>
      <w:tr w14:paraId="4AF886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tcBorders>
              <w:tl2br w:val="nil"/>
              <w:tr2bl w:val="nil"/>
            </w:tcBorders>
            <w:noWrap w:val="0"/>
            <w:vAlign w:val="center"/>
          </w:tcPr>
          <w:p w14:paraId="3FD5489F">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color w:val="auto"/>
                <w:lang w:val="en-US" w:eastAsia="zh-CN"/>
              </w:rPr>
            </w:pPr>
            <w:r>
              <w:rPr>
                <w:rFonts w:hint="eastAsia"/>
                <w:color w:val="auto"/>
                <w:lang w:val="en-US" w:eastAsia="zh-CN"/>
              </w:rPr>
              <w:t>11</w:t>
            </w:r>
          </w:p>
        </w:tc>
        <w:tc>
          <w:tcPr>
            <w:tcW w:w="1460" w:type="pct"/>
            <w:tcBorders>
              <w:tl2br w:val="nil"/>
              <w:tr2bl w:val="nil"/>
            </w:tcBorders>
            <w:shd w:val="clear" w:color="auto" w:fill="auto"/>
            <w:noWrap w:val="0"/>
            <w:vAlign w:val="center"/>
          </w:tcPr>
          <w:p w14:paraId="2A524715">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甲醛</w:t>
            </w:r>
          </w:p>
        </w:tc>
        <w:tc>
          <w:tcPr>
            <w:tcW w:w="994" w:type="pct"/>
            <w:tcBorders>
              <w:tl2br w:val="nil"/>
              <w:tr2bl w:val="nil"/>
            </w:tcBorders>
            <w:shd w:val="clear" w:color="auto" w:fill="auto"/>
            <w:noWrap w:val="0"/>
            <w:vAlign w:val="center"/>
          </w:tcPr>
          <w:p w14:paraId="3BE99819">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mg/L</w:t>
            </w:r>
          </w:p>
        </w:tc>
        <w:tc>
          <w:tcPr>
            <w:tcW w:w="2020" w:type="pct"/>
            <w:tcBorders>
              <w:tl2br w:val="nil"/>
              <w:tr2bl w:val="nil"/>
            </w:tcBorders>
            <w:shd w:val="clear" w:color="auto" w:fill="auto"/>
            <w:noWrap w:val="0"/>
            <w:vAlign w:val="center"/>
          </w:tcPr>
          <w:p w14:paraId="44BA5936">
            <w:pPr>
              <w:pStyle w:val="16"/>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1.0</w:t>
            </w:r>
          </w:p>
        </w:tc>
      </w:tr>
    </w:tbl>
    <w:p w14:paraId="3BDE06B5">
      <w:pPr>
        <w:pStyle w:val="5"/>
        <w:pageBreakBefore w:val="0"/>
        <w:wordWrap/>
        <w:bidi w:val="0"/>
        <w:adjustRightInd/>
        <w:snapToGrid/>
        <w:spacing w:before="62" w:after="62"/>
        <w:ind w:left="0"/>
        <w:rPr>
          <w:rFonts w:eastAsia="宋体"/>
          <w:color w:val="auto"/>
        </w:rPr>
      </w:pPr>
      <w:bookmarkStart w:id="77" w:name="_Toc27125"/>
      <w:bookmarkStart w:id="78" w:name="_Toc505087349"/>
      <w:r>
        <w:rPr>
          <w:rFonts w:hint="eastAsia" w:eastAsia="宋体"/>
          <w:color w:val="auto"/>
        </w:rPr>
        <w:t xml:space="preserve"> </w:t>
      </w:r>
      <w:r>
        <w:rPr>
          <w:rFonts w:eastAsia="宋体"/>
          <w:color w:val="auto"/>
        </w:rPr>
        <w:t>污水处理厂工艺方案论证</w:t>
      </w:r>
    </w:p>
    <w:p w14:paraId="78B2E7FE">
      <w:pPr>
        <w:pStyle w:val="10"/>
        <w:pageBreakBefore w:val="0"/>
        <w:wordWrap/>
        <w:bidi w:val="0"/>
        <w:adjustRightInd/>
        <w:snapToGrid/>
        <w:rPr>
          <w:color w:val="auto"/>
        </w:rPr>
      </w:pPr>
      <w:r>
        <w:rPr>
          <w:rFonts w:hint="eastAsia"/>
          <w:color w:val="auto"/>
          <w:lang w:val="en-US" w:eastAsia="zh-CN"/>
        </w:rPr>
        <w:t>项目工艺选择原则</w:t>
      </w:r>
    </w:p>
    <w:p w14:paraId="1688C6C6">
      <w:pPr>
        <w:pageBreakBefore w:val="0"/>
        <w:wordWrap/>
        <w:bidi w:val="0"/>
        <w:adjustRightInd/>
        <w:snapToGrid/>
        <w:rPr>
          <w:color w:val="auto"/>
        </w:rPr>
      </w:pPr>
      <w:r>
        <w:rPr>
          <w:color w:val="auto"/>
        </w:rPr>
        <w:t>根据本项目的受纳水体、处理对象的具体条件和实际情况，在本工艺方案选择遵循以下原则：</w:t>
      </w:r>
    </w:p>
    <w:p w14:paraId="3252CFF9">
      <w:pPr>
        <w:pageBreakBefore w:val="0"/>
        <w:wordWrap/>
        <w:bidi w:val="0"/>
        <w:adjustRightInd/>
        <w:snapToGrid/>
        <w:rPr>
          <w:color w:val="auto"/>
        </w:rPr>
      </w:pPr>
      <w:r>
        <w:rPr>
          <w:color w:val="auto"/>
        </w:rPr>
        <w:t>①技术成熟，处理效果稳定，保证出水水质达到规定的排放要求。</w:t>
      </w:r>
    </w:p>
    <w:p w14:paraId="52B4EEDC">
      <w:pPr>
        <w:pageBreakBefore w:val="0"/>
        <w:wordWrap/>
        <w:bidi w:val="0"/>
        <w:adjustRightInd/>
        <w:snapToGrid/>
        <w:rPr>
          <w:color w:val="auto"/>
        </w:rPr>
      </w:pPr>
      <w:r>
        <w:rPr>
          <w:color w:val="auto"/>
        </w:rPr>
        <w:t>②基建投资和运行费用低，以尽可能少的投入取得尽可能多的效益。</w:t>
      </w:r>
    </w:p>
    <w:p w14:paraId="0352A163">
      <w:pPr>
        <w:pageBreakBefore w:val="0"/>
        <w:wordWrap/>
        <w:bidi w:val="0"/>
        <w:adjustRightInd/>
        <w:snapToGrid/>
        <w:rPr>
          <w:color w:val="auto"/>
        </w:rPr>
      </w:pPr>
      <w:r>
        <w:rPr>
          <w:color w:val="auto"/>
        </w:rPr>
        <w:t>③运行管理方便，运转灵活，并可根据不同的进水水质和出水水质要求调整运行方式和工艺参数，最大限度的发挥处理装置和处理构筑物的处理能力。</w:t>
      </w:r>
    </w:p>
    <w:p w14:paraId="3F9B0C2D">
      <w:pPr>
        <w:pageBreakBefore w:val="0"/>
        <w:wordWrap/>
        <w:bidi w:val="0"/>
        <w:adjustRightInd/>
        <w:snapToGrid/>
        <w:rPr>
          <w:color w:val="auto"/>
        </w:rPr>
      </w:pPr>
      <w:r>
        <w:rPr>
          <w:color w:val="auto"/>
        </w:rPr>
        <w:t>④选定工艺的技术及设备先进、可靠、成熟。</w:t>
      </w:r>
    </w:p>
    <w:p w14:paraId="5F0D4569">
      <w:pPr>
        <w:pageBreakBefore w:val="0"/>
        <w:wordWrap/>
        <w:bidi w:val="0"/>
        <w:adjustRightInd/>
        <w:snapToGrid/>
        <w:rPr>
          <w:color w:val="auto"/>
        </w:rPr>
      </w:pPr>
      <w:r>
        <w:rPr>
          <w:color w:val="auto"/>
        </w:rPr>
        <w:t>⑤便于实现工艺过程合理自动控制，提高管理水平，降低劳动强度和人工费用。</w:t>
      </w:r>
    </w:p>
    <w:p w14:paraId="62E471E9">
      <w:pPr>
        <w:pageBreakBefore w:val="0"/>
        <w:wordWrap/>
        <w:bidi w:val="0"/>
        <w:adjustRightInd/>
        <w:snapToGrid/>
        <w:rPr>
          <w:color w:val="auto"/>
        </w:rPr>
      </w:pPr>
      <w:r>
        <w:rPr>
          <w:color w:val="auto"/>
        </w:rPr>
        <w:t>本次设计的污水处理工艺选择主要是针对</w:t>
      </w:r>
      <w:r>
        <w:rPr>
          <w:rFonts w:hint="eastAsia"/>
          <w:color w:val="auto"/>
          <w:lang w:eastAsia="zh-CN"/>
        </w:rPr>
        <w:t>污水处理厂</w:t>
      </w:r>
      <w:r>
        <w:rPr>
          <w:color w:val="auto"/>
        </w:rPr>
        <w:t>服务区域（考虑工业园区远期发展）的污水量和污水水质以及经济条件、管理水平考虑适应力强、调节灵活、低能耗、低投入、少占地和操作管理方便的成熟处理工艺。下面将对各种工艺的特点进行论述。</w:t>
      </w:r>
    </w:p>
    <w:p w14:paraId="0A805191">
      <w:pPr>
        <w:pStyle w:val="10"/>
        <w:pageBreakBefore w:val="0"/>
        <w:wordWrap/>
        <w:bidi w:val="0"/>
        <w:adjustRightInd/>
        <w:snapToGrid/>
        <w:rPr>
          <w:color w:val="auto"/>
        </w:rPr>
      </w:pPr>
      <w:r>
        <w:rPr>
          <w:rFonts w:hint="eastAsia"/>
          <w:color w:val="auto"/>
          <w:lang w:val="en-US" w:eastAsia="zh-CN"/>
        </w:rPr>
        <w:t xml:space="preserve"> </w:t>
      </w:r>
      <w:r>
        <w:rPr>
          <w:color w:val="auto"/>
        </w:rPr>
        <w:t>水质</w:t>
      </w:r>
      <w:r>
        <w:rPr>
          <w:rFonts w:hint="eastAsia"/>
          <w:color w:val="auto"/>
          <w:lang w:val="en-US" w:eastAsia="zh-CN"/>
        </w:rPr>
        <w:t>评价</w:t>
      </w:r>
      <w:r>
        <w:rPr>
          <w:color w:val="auto"/>
        </w:rPr>
        <w:t>分析</w:t>
      </w:r>
    </w:p>
    <w:p w14:paraId="15D352B8">
      <w:pPr>
        <w:pageBreakBefore w:val="0"/>
        <w:wordWrap/>
        <w:bidi w:val="0"/>
        <w:adjustRightInd/>
        <w:snapToGrid/>
        <w:rPr>
          <w:rFonts w:hint="default"/>
          <w:b/>
          <w:bCs/>
          <w:color w:val="auto"/>
          <w:lang w:val="en-US" w:eastAsia="zh-CN"/>
        </w:rPr>
      </w:pPr>
      <w:r>
        <w:rPr>
          <w:rFonts w:hint="eastAsia"/>
          <w:b/>
          <w:bCs/>
          <w:color w:val="auto"/>
          <w:lang w:val="en-US" w:eastAsia="zh-CN"/>
        </w:rPr>
        <w:t>1、处理程度及各项指标比值</w:t>
      </w:r>
    </w:p>
    <w:p w14:paraId="0BEC0F25">
      <w:pPr>
        <w:pageBreakBefore w:val="0"/>
        <w:wordWrap/>
        <w:bidi w:val="0"/>
        <w:adjustRightInd/>
        <w:snapToGrid/>
        <w:rPr>
          <w:color w:val="auto"/>
        </w:rPr>
      </w:pPr>
      <w:r>
        <w:rPr>
          <w:color w:val="auto"/>
        </w:rPr>
        <w:t>项目进出水水质和污水处理程度详见</w:t>
      </w:r>
      <w:r>
        <w:rPr>
          <w:rFonts w:hint="eastAsia"/>
          <w:color w:val="auto"/>
          <w:lang w:val="en-US" w:eastAsia="zh-CN"/>
        </w:rPr>
        <w:t>下表</w:t>
      </w:r>
      <w:r>
        <w:rPr>
          <w:color w:val="auto"/>
        </w:rPr>
        <w:t>。</w:t>
      </w:r>
    </w:p>
    <w:p w14:paraId="0BA7694D">
      <w:pPr>
        <w:pStyle w:val="19"/>
        <w:numPr>
          <w:ilvl w:val="0"/>
          <w:numId w:val="16"/>
        </w:numPr>
        <w:bidi w:val="0"/>
        <w:ind w:left="0" w:leftChars="0" w:firstLine="0" w:firstLineChars="0"/>
        <w:rPr>
          <w:color w:val="auto"/>
        </w:rPr>
      </w:pPr>
      <w:r>
        <w:rPr>
          <w:color w:val="auto"/>
        </w:rPr>
        <w:t>污水处理程度表</w:t>
      </w:r>
    </w:p>
    <w:tbl>
      <w:tblPr>
        <w:tblStyle w:val="52"/>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93"/>
        <w:gridCol w:w="1065"/>
        <w:gridCol w:w="2410"/>
        <w:gridCol w:w="2410"/>
        <w:gridCol w:w="1841"/>
      </w:tblGrid>
      <w:tr w14:paraId="75E0E3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5" w:type="pct"/>
            <w:tcBorders>
              <w:tl2br w:val="nil"/>
              <w:tr2bl w:val="nil"/>
            </w:tcBorders>
            <w:noWrap w:val="0"/>
            <w:vAlign w:val="center"/>
          </w:tcPr>
          <w:p w14:paraId="6E4A7058">
            <w:pPr>
              <w:pStyle w:val="66"/>
              <w:pageBreakBefore w:val="0"/>
              <w:wordWrap/>
              <w:bidi w:val="0"/>
              <w:adjustRightInd/>
              <w:snapToGrid/>
              <w:jc w:val="center"/>
              <w:rPr>
                <w:rFonts w:ascii="Times New Roman" w:eastAsia="宋体" w:cs="Times New Roman"/>
                <w:b/>
                <w:bCs/>
                <w:color w:val="auto"/>
                <w:sz w:val="21"/>
                <w:szCs w:val="21"/>
              </w:rPr>
            </w:pPr>
            <w:r>
              <w:rPr>
                <w:rFonts w:ascii="Times New Roman" w:eastAsia="宋体" w:cs="Times New Roman"/>
                <w:b/>
                <w:bCs/>
                <w:color w:val="auto"/>
                <w:sz w:val="21"/>
                <w:szCs w:val="21"/>
              </w:rPr>
              <w:t>序号</w:t>
            </w:r>
          </w:p>
        </w:tc>
        <w:tc>
          <w:tcPr>
            <w:tcW w:w="625" w:type="pct"/>
            <w:tcBorders>
              <w:tl2br w:val="nil"/>
              <w:tr2bl w:val="nil"/>
            </w:tcBorders>
            <w:noWrap w:val="0"/>
            <w:vAlign w:val="center"/>
          </w:tcPr>
          <w:p w14:paraId="1989720B">
            <w:pPr>
              <w:pStyle w:val="66"/>
              <w:pageBreakBefore w:val="0"/>
              <w:wordWrap/>
              <w:bidi w:val="0"/>
              <w:adjustRightInd/>
              <w:snapToGrid/>
              <w:jc w:val="center"/>
              <w:rPr>
                <w:rFonts w:ascii="Times New Roman" w:eastAsia="宋体" w:cs="Times New Roman"/>
                <w:b/>
                <w:bCs/>
                <w:color w:val="auto"/>
                <w:sz w:val="21"/>
                <w:szCs w:val="21"/>
              </w:rPr>
            </w:pPr>
            <w:r>
              <w:rPr>
                <w:rFonts w:ascii="Times New Roman" w:eastAsia="宋体" w:cs="Times New Roman"/>
                <w:b/>
                <w:bCs/>
                <w:color w:val="auto"/>
                <w:sz w:val="21"/>
                <w:szCs w:val="21"/>
              </w:rPr>
              <w:t>项目</w:t>
            </w:r>
          </w:p>
        </w:tc>
        <w:tc>
          <w:tcPr>
            <w:tcW w:w="1414" w:type="pct"/>
            <w:tcBorders>
              <w:tl2br w:val="nil"/>
              <w:tr2bl w:val="nil"/>
            </w:tcBorders>
            <w:noWrap w:val="0"/>
            <w:vAlign w:val="center"/>
          </w:tcPr>
          <w:p w14:paraId="72623786">
            <w:pPr>
              <w:pStyle w:val="66"/>
              <w:pageBreakBefore w:val="0"/>
              <w:wordWrap/>
              <w:bidi w:val="0"/>
              <w:adjustRightInd/>
              <w:snapToGrid/>
              <w:jc w:val="center"/>
              <w:rPr>
                <w:rFonts w:ascii="Times New Roman" w:eastAsia="宋体" w:cs="Times New Roman"/>
                <w:b/>
                <w:bCs/>
                <w:color w:val="auto"/>
                <w:sz w:val="21"/>
                <w:szCs w:val="21"/>
              </w:rPr>
            </w:pPr>
            <w:r>
              <w:rPr>
                <w:rFonts w:ascii="Times New Roman" w:eastAsia="宋体" w:cs="Times New Roman"/>
                <w:b/>
                <w:bCs/>
                <w:color w:val="auto"/>
                <w:sz w:val="21"/>
                <w:szCs w:val="21"/>
              </w:rPr>
              <w:t>进水水质（mg/L）</w:t>
            </w:r>
          </w:p>
        </w:tc>
        <w:tc>
          <w:tcPr>
            <w:tcW w:w="1414" w:type="pct"/>
            <w:tcBorders>
              <w:tl2br w:val="nil"/>
              <w:tr2bl w:val="nil"/>
            </w:tcBorders>
            <w:noWrap w:val="0"/>
            <w:vAlign w:val="center"/>
          </w:tcPr>
          <w:p w14:paraId="73F2E18F">
            <w:pPr>
              <w:pStyle w:val="66"/>
              <w:pageBreakBefore w:val="0"/>
              <w:wordWrap/>
              <w:bidi w:val="0"/>
              <w:adjustRightInd/>
              <w:snapToGrid/>
              <w:jc w:val="center"/>
              <w:rPr>
                <w:rFonts w:ascii="Times New Roman" w:eastAsia="宋体" w:cs="Times New Roman"/>
                <w:b/>
                <w:bCs/>
                <w:color w:val="auto"/>
                <w:sz w:val="21"/>
                <w:szCs w:val="21"/>
              </w:rPr>
            </w:pPr>
            <w:r>
              <w:rPr>
                <w:rFonts w:ascii="Times New Roman" w:eastAsia="宋体" w:cs="Times New Roman"/>
                <w:b/>
                <w:bCs/>
                <w:color w:val="auto"/>
                <w:sz w:val="21"/>
                <w:szCs w:val="21"/>
              </w:rPr>
              <w:t>排放标准（mg/L）</w:t>
            </w:r>
          </w:p>
        </w:tc>
        <w:tc>
          <w:tcPr>
            <w:tcW w:w="1080" w:type="pct"/>
            <w:tcBorders>
              <w:tl2br w:val="nil"/>
              <w:tr2bl w:val="nil"/>
            </w:tcBorders>
            <w:noWrap w:val="0"/>
            <w:vAlign w:val="center"/>
          </w:tcPr>
          <w:p w14:paraId="1D328BAC">
            <w:pPr>
              <w:pStyle w:val="66"/>
              <w:pageBreakBefore w:val="0"/>
              <w:wordWrap/>
              <w:bidi w:val="0"/>
              <w:adjustRightInd/>
              <w:snapToGrid/>
              <w:jc w:val="center"/>
              <w:rPr>
                <w:rFonts w:ascii="Times New Roman" w:eastAsia="宋体" w:cs="Times New Roman"/>
                <w:b/>
                <w:bCs/>
                <w:color w:val="auto"/>
                <w:sz w:val="21"/>
                <w:szCs w:val="21"/>
              </w:rPr>
            </w:pPr>
            <w:r>
              <w:rPr>
                <w:rFonts w:ascii="Times New Roman" w:eastAsia="宋体" w:cs="Times New Roman"/>
                <w:b/>
                <w:bCs/>
                <w:color w:val="auto"/>
                <w:sz w:val="21"/>
                <w:szCs w:val="21"/>
              </w:rPr>
              <w:t>去除率（％）</w:t>
            </w:r>
          </w:p>
        </w:tc>
      </w:tr>
      <w:tr w14:paraId="65CF74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5" w:type="pct"/>
            <w:tcBorders>
              <w:tl2br w:val="nil"/>
              <w:tr2bl w:val="nil"/>
            </w:tcBorders>
            <w:noWrap w:val="0"/>
            <w:vAlign w:val="center"/>
          </w:tcPr>
          <w:p w14:paraId="014C9C75">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1</w:t>
            </w:r>
          </w:p>
        </w:tc>
        <w:tc>
          <w:tcPr>
            <w:tcW w:w="625" w:type="pct"/>
            <w:tcBorders>
              <w:tl2br w:val="nil"/>
              <w:tr2bl w:val="nil"/>
            </w:tcBorders>
            <w:noWrap w:val="0"/>
            <w:vAlign w:val="center"/>
          </w:tcPr>
          <w:p w14:paraId="51685CFC">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COD</w:t>
            </w:r>
            <w:r>
              <w:rPr>
                <w:rFonts w:ascii="Times New Roman" w:eastAsia="宋体" w:cs="Times New Roman"/>
                <w:color w:val="auto"/>
                <w:sz w:val="21"/>
                <w:szCs w:val="21"/>
                <w:vertAlign w:val="subscript"/>
              </w:rPr>
              <w:t>Cr</w:t>
            </w:r>
          </w:p>
        </w:tc>
        <w:tc>
          <w:tcPr>
            <w:tcW w:w="1414" w:type="pct"/>
            <w:tcBorders>
              <w:tl2br w:val="nil"/>
              <w:tr2bl w:val="nil"/>
            </w:tcBorders>
            <w:noWrap w:val="0"/>
            <w:vAlign w:val="center"/>
          </w:tcPr>
          <w:p w14:paraId="69606B12">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350</w:t>
            </w:r>
          </w:p>
        </w:tc>
        <w:tc>
          <w:tcPr>
            <w:tcW w:w="1414" w:type="pct"/>
            <w:tcBorders>
              <w:tl2br w:val="nil"/>
              <w:tr2bl w:val="nil"/>
            </w:tcBorders>
            <w:noWrap w:val="0"/>
            <w:vAlign w:val="center"/>
          </w:tcPr>
          <w:p w14:paraId="274FF851">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50</w:t>
            </w:r>
          </w:p>
        </w:tc>
        <w:tc>
          <w:tcPr>
            <w:tcW w:w="1080" w:type="pct"/>
            <w:tcBorders>
              <w:tl2br w:val="nil"/>
              <w:tr2bl w:val="nil"/>
            </w:tcBorders>
            <w:noWrap w:val="0"/>
            <w:vAlign w:val="center"/>
          </w:tcPr>
          <w:p w14:paraId="4FC84B2D">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85.7</w:t>
            </w:r>
          </w:p>
        </w:tc>
      </w:tr>
      <w:tr w14:paraId="23796E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5" w:type="pct"/>
            <w:tcBorders>
              <w:tl2br w:val="nil"/>
              <w:tr2bl w:val="nil"/>
            </w:tcBorders>
            <w:noWrap w:val="0"/>
            <w:vAlign w:val="center"/>
          </w:tcPr>
          <w:p w14:paraId="7EA22272">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2</w:t>
            </w:r>
          </w:p>
        </w:tc>
        <w:tc>
          <w:tcPr>
            <w:tcW w:w="625" w:type="pct"/>
            <w:tcBorders>
              <w:tl2br w:val="nil"/>
              <w:tr2bl w:val="nil"/>
            </w:tcBorders>
            <w:noWrap w:val="0"/>
            <w:vAlign w:val="center"/>
          </w:tcPr>
          <w:p w14:paraId="5B741D1E">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BOD</w:t>
            </w:r>
            <w:r>
              <w:rPr>
                <w:rFonts w:ascii="Times New Roman" w:eastAsia="宋体" w:cs="Times New Roman"/>
                <w:color w:val="auto"/>
                <w:sz w:val="21"/>
                <w:szCs w:val="21"/>
                <w:vertAlign w:val="subscript"/>
              </w:rPr>
              <w:t>5</w:t>
            </w:r>
          </w:p>
        </w:tc>
        <w:tc>
          <w:tcPr>
            <w:tcW w:w="1414" w:type="pct"/>
            <w:tcBorders>
              <w:tl2br w:val="nil"/>
              <w:tr2bl w:val="nil"/>
            </w:tcBorders>
            <w:noWrap w:val="0"/>
            <w:vAlign w:val="center"/>
          </w:tcPr>
          <w:p w14:paraId="735AC264">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150</w:t>
            </w:r>
          </w:p>
        </w:tc>
        <w:tc>
          <w:tcPr>
            <w:tcW w:w="1414" w:type="pct"/>
            <w:tcBorders>
              <w:tl2br w:val="nil"/>
              <w:tr2bl w:val="nil"/>
            </w:tcBorders>
            <w:noWrap w:val="0"/>
            <w:vAlign w:val="center"/>
          </w:tcPr>
          <w:p w14:paraId="5845129F">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10</w:t>
            </w:r>
          </w:p>
        </w:tc>
        <w:tc>
          <w:tcPr>
            <w:tcW w:w="1080" w:type="pct"/>
            <w:tcBorders>
              <w:tl2br w:val="nil"/>
              <w:tr2bl w:val="nil"/>
            </w:tcBorders>
            <w:noWrap w:val="0"/>
            <w:vAlign w:val="center"/>
          </w:tcPr>
          <w:p w14:paraId="42CE5FAF">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93.3</w:t>
            </w:r>
          </w:p>
        </w:tc>
      </w:tr>
      <w:tr w14:paraId="39F65C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5" w:type="pct"/>
            <w:tcBorders>
              <w:tl2br w:val="nil"/>
              <w:tr2bl w:val="nil"/>
            </w:tcBorders>
            <w:noWrap w:val="0"/>
            <w:vAlign w:val="center"/>
          </w:tcPr>
          <w:p w14:paraId="236B60DD">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3</w:t>
            </w:r>
          </w:p>
        </w:tc>
        <w:tc>
          <w:tcPr>
            <w:tcW w:w="625" w:type="pct"/>
            <w:tcBorders>
              <w:tl2br w:val="nil"/>
              <w:tr2bl w:val="nil"/>
            </w:tcBorders>
            <w:noWrap w:val="0"/>
            <w:vAlign w:val="center"/>
          </w:tcPr>
          <w:p w14:paraId="4BA9DA93">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SS</w:t>
            </w:r>
          </w:p>
        </w:tc>
        <w:tc>
          <w:tcPr>
            <w:tcW w:w="1414" w:type="pct"/>
            <w:tcBorders>
              <w:tl2br w:val="nil"/>
              <w:tr2bl w:val="nil"/>
            </w:tcBorders>
            <w:noWrap w:val="0"/>
            <w:vAlign w:val="center"/>
          </w:tcPr>
          <w:p w14:paraId="570C41D7">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400</w:t>
            </w:r>
          </w:p>
        </w:tc>
        <w:tc>
          <w:tcPr>
            <w:tcW w:w="1414" w:type="pct"/>
            <w:tcBorders>
              <w:tl2br w:val="nil"/>
              <w:tr2bl w:val="nil"/>
            </w:tcBorders>
            <w:noWrap w:val="0"/>
            <w:vAlign w:val="center"/>
          </w:tcPr>
          <w:p w14:paraId="041B886C">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≤10</w:t>
            </w:r>
          </w:p>
        </w:tc>
        <w:tc>
          <w:tcPr>
            <w:tcW w:w="1080" w:type="pct"/>
            <w:tcBorders>
              <w:tl2br w:val="nil"/>
              <w:tr2bl w:val="nil"/>
            </w:tcBorders>
            <w:noWrap w:val="0"/>
            <w:vAlign w:val="center"/>
          </w:tcPr>
          <w:p w14:paraId="2CBF6B71">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≥9</w:t>
            </w:r>
            <w:r>
              <w:rPr>
                <w:rFonts w:hint="eastAsia" w:ascii="Times New Roman" w:eastAsia="宋体" w:cs="Times New Roman"/>
                <w:color w:val="auto"/>
                <w:sz w:val="21"/>
                <w:szCs w:val="21"/>
                <w:lang w:val="en-US" w:eastAsia="zh-CN"/>
              </w:rPr>
              <w:t>7.5</w:t>
            </w:r>
          </w:p>
        </w:tc>
      </w:tr>
      <w:tr w14:paraId="424E70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5" w:type="pct"/>
            <w:tcBorders>
              <w:tl2br w:val="nil"/>
              <w:tr2bl w:val="nil"/>
            </w:tcBorders>
            <w:noWrap w:val="0"/>
            <w:vAlign w:val="center"/>
          </w:tcPr>
          <w:p w14:paraId="5AC8F3F8">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4</w:t>
            </w:r>
          </w:p>
        </w:tc>
        <w:tc>
          <w:tcPr>
            <w:tcW w:w="625" w:type="pct"/>
            <w:tcBorders>
              <w:tl2br w:val="nil"/>
              <w:tr2bl w:val="nil"/>
            </w:tcBorders>
            <w:noWrap w:val="0"/>
            <w:vAlign w:val="center"/>
          </w:tcPr>
          <w:p w14:paraId="303254AB">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TN</w:t>
            </w:r>
          </w:p>
        </w:tc>
        <w:tc>
          <w:tcPr>
            <w:tcW w:w="1414" w:type="pct"/>
            <w:tcBorders>
              <w:tl2br w:val="nil"/>
              <w:tr2bl w:val="nil"/>
            </w:tcBorders>
            <w:noWrap w:val="0"/>
            <w:vAlign w:val="center"/>
          </w:tcPr>
          <w:p w14:paraId="1547F2E6">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80</w:t>
            </w:r>
          </w:p>
        </w:tc>
        <w:tc>
          <w:tcPr>
            <w:tcW w:w="1414" w:type="pct"/>
            <w:tcBorders>
              <w:tl2br w:val="nil"/>
              <w:tr2bl w:val="nil"/>
            </w:tcBorders>
            <w:noWrap w:val="0"/>
            <w:vAlign w:val="center"/>
          </w:tcPr>
          <w:p w14:paraId="5E7BE119">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≤15</w:t>
            </w:r>
          </w:p>
        </w:tc>
        <w:tc>
          <w:tcPr>
            <w:tcW w:w="1080" w:type="pct"/>
            <w:tcBorders>
              <w:tl2br w:val="nil"/>
              <w:tr2bl w:val="nil"/>
            </w:tcBorders>
            <w:noWrap w:val="0"/>
            <w:vAlign w:val="center"/>
          </w:tcPr>
          <w:p w14:paraId="12C3B41A">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81.3</w:t>
            </w:r>
          </w:p>
        </w:tc>
      </w:tr>
      <w:tr w14:paraId="06B13C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5" w:type="pct"/>
            <w:tcBorders>
              <w:tl2br w:val="nil"/>
              <w:tr2bl w:val="nil"/>
            </w:tcBorders>
            <w:noWrap w:val="0"/>
            <w:vAlign w:val="center"/>
          </w:tcPr>
          <w:p w14:paraId="374F293A">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5</w:t>
            </w:r>
          </w:p>
        </w:tc>
        <w:tc>
          <w:tcPr>
            <w:tcW w:w="625" w:type="pct"/>
            <w:tcBorders>
              <w:tl2br w:val="nil"/>
              <w:tr2bl w:val="nil"/>
            </w:tcBorders>
            <w:noWrap w:val="0"/>
            <w:vAlign w:val="center"/>
          </w:tcPr>
          <w:p w14:paraId="75E17069">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NH</w:t>
            </w:r>
            <w:r>
              <w:rPr>
                <w:rFonts w:ascii="Times New Roman" w:eastAsia="宋体" w:cs="Times New Roman"/>
                <w:color w:val="auto"/>
                <w:sz w:val="21"/>
                <w:szCs w:val="21"/>
                <w:vertAlign w:val="subscript"/>
              </w:rPr>
              <w:t>3</w:t>
            </w:r>
            <w:r>
              <w:rPr>
                <w:rFonts w:ascii="Times New Roman" w:eastAsia="宋体" w:cs="Times New Roman"/>
                <w:color w:val="auto"/>
                <w:sz w:val="21"/>
                <w:szCs w:val="21"/>
              </w:rPr>
              <w:t>-N</w:t>
            </w:r>
          </w:p>
        </w:tc>
        <w:tc>
          <w:tcPr>
            <w:tcW w:w="1414" w:type="pct"/>
            <w:tcBorders>
              <w:tl2br w:val="nil"/>
              <w:tr2bl w:val="nil"/>
            </w:tcBorders>
            <w:noWrap w:val="0"/>
            <w:vAlign w:val="center"/>
          </w:tcPr>
          <w:p w14:paraId="22CF7F0D">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50</w:t>
            </w:r>
          </w:p>
        </w:tc>
        <w:tc>
          <w:tcPr>
            <w:tcW w:w="1414" w:type="pct"/>
            <w:tcBorders>
              <w:tl2br w:val="nil"/>
              <w:tr2bl w:val="nil"/>
            </w:tcBorders>
            <w:noWrap w:val="0"/>
            <w:vAlign w:val="center"/>
          </w:tcPr>
          <w:p w14:paraId="061F894C">
            <w:pPr>
              <w:pStyle w:val="66"/>
              <w:pageBreakBefore w:val="0"/>
              <w:wordWrap/>
              <w:bidi w:val="0"/>
              <w:adjustRightInd/>
              <w:snapToGrid/>
              <w:jc w:val="center"/>
              <w:rPr>
                <w:rFonts w:hint="eastAsia" w:ascii="Times New Roman" w:eastAsia="宋体" w:cs="Times New Roman"/>
                <w:color w:val="auto"/>
                <w:sz w:val="21"/>
                <w:szCs w:val="21"/>
                <w:lang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5</w:t>
            </w:r>
          </w:p>
        </w:tc>
        <w:tc>
          <w:tcPr>
            <w:tcW w:w="1080" w:type="pct"/>
            <w:tcBorders>
              <w:tl2br w:val="nil"/>
              <w:tr2bl w:val="nil"/>
            </w:tcBorders>
            <w:noWrap w:val="0"/>
            <w:vAlign w:val="center"/>
          </w:tcPr>
          <w:p w14:paraId="39C7A8BA">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90</w:t>
            </w:r>
          </w:p>
        </w:tc>
      </w:tr>
      <w:tr w14:paraId="292458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5" w:type="pct"/>
            <w:tcBorders>
              <w:tl2br w:val="nil"/>
              <w:tr2bl w:val="nil"/>
            </w:tcBorders>
            <w:noWrap w:val="0"/>
            <w:vAlign w:val="center"/>
          </w:tcPr>
          <w:p w14:paraId="2CA60F70">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6</w:t>
            </w:r>
          </w:p>
        </w:tc>
        <w:tc>
          <w:tcPr>
            <w:tcW w:w="625" w:type="pct"/>
            <w:tcBorders>
              <w:tl2br w:val="nil"/>
              <w:tr2bl w:val="nil"/>
            </w:tcBorders>
            <w:noWrap w:val="0"/>
            <w:vAlign w:val="center"/>
          </w:tcPr>
          <w:p w14:paraId="03DFF08B">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TP</w:t>
            </w:r>
          </w:p>
        </w:tc>
        <w:tc>
          <w:tcPr>
            <w:tcW w:w="1414" w:type="pct"/>
            <w:tcBorders>
              <w:tl2br w:val="nil"/>
              <w:tr2bl w:val="nil"/>
            </w:tcBorders>
            <w:noWrap w:val="0"/>
            <w:vAlign w:val="center"/>
          </w:tcPr>
          <w:p w14:paraId="42F81609">
            <w:pPr>
              <w:pStyle w:val="66"/>
              <w:pageBreakBefore w:val="0"/>
              <w:wordWrap/>
              <w:bidi w:val="0"/>
              <w:adjustRightInd/>
              <w:snapToGrid/>
              <w:jc w:val="center"/>
              <w:rPr>
                <w:rFonts w:hint="eastAsia"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4</w:t>
            </w:r>
          </w:p>
        </w:tc>
        <w:tc>
          <w:tcPr>
            <w:tcW w:w="1414" w:type="pct"/>
            <w:tcBorders>
              <w:tl2br w:val="nil"/>
              <w:tr2bl w:val="nil"/>
            </w:tcBorders>
            <w:noWrap w:val="0"/>
            <w:vAlign w:val="center"/>
          </w:tcPr>
          <w:p w14:paraId="067F7B7B">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0.5</w:t>
            </w:r>
          </w:p>
        </w:tc>
        <w:tc>
          <w:tcPr>
            <w:tcW w:w="1080" w:type="pct"/>
            <w:tcBorders>
              <w:tl2br w:val="nil"/>
              <w:tr2bl w:val="nil"/>
            </w:tcBorders>
            <w:noWrap w:val="0"/>
            <w:vAlign w:val="center"/>
          </w:tcPr>
          <w:p w14:paraId="0D765239">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87.5</w:t>
            </w:r>
          </w:p>
        </w:tc>
      </w:tr>
      <w:tr w14:paraId="231836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5" w:type="pct"/>
            <w:tcBorders>
              <w:tl2br w:val="nil"/>
              <w:tr2bl w:val="nil"/>
            </w:tcBorders>
            <w:noWrap w:val="0"/>
            <w:vAlign w:val="center"/>
          </w:tcPr>
          <w:p w14:paraId="5627DAFB">
            <w:pPr>
              <w:pStyle w:val="66"/>
              <w:pageBreakBefore w:val="0"/>
              <w:wordWrap/>
              <w:bidi w:val="0"/>
              <w:adjustRightInd/>
              <w:snapToGrid/>
              <w:jc w:val="center"/>
              <w:rPr>
                <w:rFonts w:hint="eastAsia"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7</w:t>
            </w:r>
          </w:p>
        </w:tc>
        <w:tc>
          <w:tcPr>
            <w:tcW w:w="625" w:type="pct"/>
            <w:tcBorders>
              <w:tl2br w:val="nil"/>
              <w:tr2bl w:val="nil"/>
            </w:tcBorders>
            <w:noWrap w:val="0"/>
            <w:vAlign w:val="center"/>
          </w:tcPr>
          <w:p w14:paraId="48A1691E">
            <w:pPr>
              <w:pStyle w:val="66"/>
              <w:pageBreakBefore w:val="0"/>
              <w:wordWrap/>
              <w:bidi w:val="0"/>
              <w:adjustRightInd/>
              <w:snapToGrid/>
              <w:jc w:val="center"/>
              <w:rPr>
                <w:rFonts w:hint="eastAsia"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石油类</w:t>
            </w:r>
          </w:p>
        </w:tc>
        <w:tc>
          <w:tcPr>
            <w:tcW w:w="1414" w:type="pct"/>
            <w:tcBorders>
              <w:tl2br w:val="nil"/>
              <w:tr2bl w:val="nil"/>
            </w:tcBorders>
            <w:noWrap w:val="0"/>
            <w:vAlign w:val="center"/>
          </w:tcPr>
          <w:p w14:paraId="0AB34738">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1.0</w:t>
            </w:r>
          </w:p>
        </w:tc>
        <w:tc>
          <w:tcPr>
            <w:tcW w:w="1414" w:type="pct"/>
            <w:tcBorders>
              <w:tl2br w:val="nil"/>
              <w:tr2bl w:val="nil"/>
            </w:tcBorders>
            <w:noWrap w:val="0"/>
            <w:vAlign w:val="center"/>
          </w:tcPr>
          <w:p w14:paraId="083A2BFA">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1.0</w:t>
            </w:r>
          </w:p>
        </w:tc>
        <w:tc>
          <w:tcPr>
            <w:tcW w:w="1080" w:type="pct"/>
            <w:tcBorders>
              <w:tl2br w:val="nil"/>
              <w:tr2bl w:val="nil"/>
            </w:tcBorders>
            <w:noWrap w:val="0"/>
            <w:vAlign w:val="center"/>
          </w:tcPr>
          <w:p w14:paraId="0F1C2EC2">
            <w:pPr>
              <w:pStyle w:val="66"/>
              <w:pageBreakBefore w:val="0"/>
              <w:wordWrap/>
              <w:bidi w:val="0"/>
              <w:adjustRightInd/>
              <w:snapToGrid/>
              <w:jc w:val="center"/>
              <w:rPr>
                <w:rFonts w:hint="eastAsia"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0</w:t>
            </w:r>
          </w:p>
        </w:tc>
      </w:tr>
      <w:tr w14:paraId="42C53F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65" w:type="pct"/>
            <w:tcBorders>
              <w:tl2br w:val="nil"/>
              <w:tr2bl w:val="nil"/>
            </w:tcBorders>
            <w:noWrap w:val="0"/>
            <w:vAlign w:val="center"/>
          </w:tcPr>
          <w:p w14:paraId="0DAC3E47">
            <w:pPr>
              <w:pStyle w:val="66"/>
              <w:pageBreakBefore w:val="0"/>
              <w:wordWrap/>
              <w:bidi w:val="0"/>
              <w:adjustRightInd/>
              <w:snapToGrid/>
              <w:jc w:val="center"/>
              <w:rPr>
                <w:rFonts w:hint="eastAsia"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8</w:t>
            </w:r>
          </w:p>
        </w:tc>
        <w:tc>
          <w:tcPr>
            <w:tcW w:w="625" w:type="pct"/>
            <w:tcBorders>
              <w:tl2br w:val="nil"/>
              <w:tr2bl w:val="nil"/>
            </w:tcBorders>
            <w:noWrap w:val="0"/>
            <w:vAlign w:val="center"/>
          </w:tcPr>
          <w:p w14:paraId="69C9008E">
            <w:pPr>
              <w:pStyle w:val="66"/>
              <w:pageBreakBefore w:val="0"/>
              <w:wordWrap/>
              <w:bidi w:val="0"/>
              <w:adjustRightInd/>
              <w:snapToGrid/>
              <w:jc w:val="center"/>
              <w:rPr>
                <w:rFonts w:hint="eastAsia"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甲醛</w:t>
            </w:r>
          </w:p>
        </w:tc>
        <w:tc>
          <w:tcPr>
            <w:tcW w:w="1414" w:type="pct"/>
            <w:tcBorders>
              <w:tl2br w:val="nil"/>
              <w:tr2bl w:val="nil"/>
            </w:tcBorders>
            <w:noWrap w:val="0"/>
            <w:vAlign w:val="center"/>
          </w:tcPr>
          <w:p w14:paraId="31AC6AF8">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1.0</w:t>
            </w:r>
          </w:p>
        </w:tc>
        <w:tc>
          <w:tcPr>
            <w:tcW w:w="1414" w:type="pct"/>
            <w:tcBorders>
              <w:tl2br w:val="nil"/>
              <w:tr2bl w:val="nil"/>
            </w:tcBorders>
            <w:noWrap w:val="0"/>
            <w:vAlign w:val="center"/>
          </w:tcPr>
          <w:p w14:paraId="560BA4D8">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ascii="Times New Roman" w:eastAsia="宋体" w:cs="Times New Roman"/>
                <w:color w:val="auto"/>
                <w:sz w:val="21"/>
                <w:szCs w:val="21"/>
              </w:rPr>
              <w:t>≤</w:t>
            </w:r>
            <w:r>
              <w:rPr>
                <w:rFonts w:hint="eastAsia" w:ascii="Times New Roman" w:eastAsia="宋体" w:cs="Times New Roman"/>
                <w:color w:val="auto"/>
                <w:sz w:val="21"/>
                <w:szCs w:val="21"/>
                <w:lang w:val="en-US" w:eastAsia="zh-CN"/>
              </w:rPr>
              <w:t>1.0</w:t>
            </w:r>
          </w:p>
        </w:tc>
        <w:tc>
          <w:tcPr>
            <w:tcW w:w="1080" w:type="pct"/>
            <w:tcBorders>
              <w:tl2br w:val="nil"/>
              <w:tr2bl w:val="nil"/>
            </w:tcBorders>
            <w:noWrap w:val="0"/>
            <w:vAlign w:val="center"/>
          </w:tcPr>
          <w:p w14:paraId="3E5BE5CE">
            <w:pPr>
              <w:pStyle w:val="66"/>
              <w:pageBreakBefore w:val="0"/>
              <w:wordWrap/>
              <w:bidi w:val="0"/>
              <w:adjustRightInd/>
              <w:snapToGrid/>
              <w:jc w:val="center"/>
              <w:rPr>
                <w:rFonts w:hint="eastAsia"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0</w:t>
            </w:r>
          </w:p>
        </w:tc>
      </w:tr>
    </w:tbl>
    <w:p w14:paraId="1067CE1A">
      <w:pPr>
        <w:pageBreakBefore w:val="0"/>
        <w:wordWrap/>
        <w:bidi w:val="0"/>
        <w:adjustRightInd/>
        <w:snapToGrid/>
        <w:spacing w:before="156" w:beforeLines="50"/>
        <w:ind w:firstLine="480"/>
        <w:rPr>
          <w:color w:val="auto"/>
        </w:rPr>
      </w:pPr>
      <w:r>
        <w:rPr>
          <w:color w:val="auto"/>
        </w:rPr>
        <w:t>根据上表的要求，COD去除率应该达到</w:t>
      </w:r>
      <w:r>
        <w:rPr>
          <w:rFonts w:hint="eastAsia"/>
          <w:color w:val="auto"/>
          <w:lang w:val="en-US" w:eastAsia="zh-CN"/>
        </w:rPr>
        <w:t>84.7</w:t>
      </w:r>
      <w:r>
        <w:rPr>
          <w:color w:val="auto"/>
        </w:rPr>
        <w:t>%，SS去除率应该达到</w:t>
      </w:r>
      <w:r>
        <w:rPr>
          <w:rFonts w:hint="eastAsia"/>
          <w:color w:val="auto"/>
          <w:lang w:val="en-US" w:eastAsia="zh-CN"/>
        </w:rPr>
        <w:t>97.5</w:t>
      </w:r>
      <w:r>
        <w:rPr>
          <w:color w:val="auto"/>
        </w:rPr>
        <w:t>%，BOD</w:t>
      </w:r>
      <w:r>
        <w:rPr>
          <w:color w:val="auto"/>
          <w:vertAlign w:val="subscript"/>
        </w:rPr>
        <w:t>5</w:t>
      </w:r>
      <w:r>
        <w:rPr>
          <w:color w:val="auto"/>
        </w:rPr>
        <w:t>去除率应该达到</w:t>
      </w:r>
      <w:r>
        <w:rPr>
          <w:rFonts w:hint="eastAsia"/>
          <w:color w:val="auto"/>
          <w:lang w:val="en-US" w:eastAsia="zh-CN"/>
        </w:rPr>
        <w:t>93.3</w:t>
      </w:r>
      <w:r>
        <w:rPr>
          <w:color w:val="auto"/>
        </w:rPr>
        <w:t>%，NH</w:t>
      </w:r>
      <w:r>
        <w:rPr>
          <w:color w:val="auto"/>
          <w:vertAlign w:val="subscript"/>
        </w:rPr>
        <w:t>3</w:t>
      </w:r>
      <w:r>
        <w:rPr>
          <w:color w:val="auto"/>
        </w:rPr>
        <w:t>-N去除率应该达到</w:t>
      </w:r>
      <w:r>
        <w:rPr>
          <w:rFonts w:hint="eastAsia"/>
          <w:color w:val="auto"/>
          <w:lang w:val="en-US" w:eastAsia="zh-CN"/>
        </w:rPr>
        <w:t>90</w:t>
      </w:r>
      <w:r>
        <w:rPr>
          <w:color w:val="auto"/>
        </w:rPr>
        <w:t>%，TP去除率应该达到</w:t>
      </w:r>
      <w:r>
        <w:rPr>
          <w:rFonts w:hint="eastAsia"/>
          <w:color w:val="auto"/>
          <w:lang w:val="en-US" w:eastAsia="zh-CN"/>
        </w:rPr>
        <w:t>87.5</w:t>
      </w:r>
      <w:r>
        <w:rPr>
          <w:color w:val="auto"/>
        </w:rPr>
        <w:t>%。</w:t>
      </w:r>
    </w:p>
    <w:p w14:paraId="265095CC">
      <w:pPr>
        <w:pStyle w:val="19"/>
        <w:numPr>
          <w:ilvl w:val="0"/>
          <w:numId w:val="16"/>
        </w:numPr>
        <w:bidi w:val="0"/>
        <w:ind w:left="0" w:leftChars="0" w:firstLine="0" w:firstLineChars="0"/>
        <w:rPr>
          <w:rFonts w:hint="default"/>
          <w:color w:val="auto"/>
          <w:lang w:val="en-US" w:eastAsia="zh-CN"/>
        </w:rPr>
      </w:pPr>
      <w:r>
        <w:rPr>
          <w:rFonts w:hint="eastAsia"/>
          <w:color w:val="auto"/>
          <w:lang w:val="en-US" w:eastAsia="zh-CN"/>
        </w:rPr>
        <w:t>污水处理厂进水各指标比值</w:t>
      </w:r>
    </w:p>
    <w:tbl>
      <w:tblPr>
        <w:tblStyle w:val="52"/>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839"/>
        <w:gridCol w:w="2841"/>
        <w:gridCol w:w="2839"/>
      </w:tblGrid>
      <w:tr w14:paraId="39026B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66" w:type="pct"/>
            <w:tcBorders>
              <w:tl2br w:val="nil"/>
              <w:tr2bl w:val="nil"/>
            </w:tcBorders>
            <w:noWrap w:val="0"/>
            <w:vAlign w:val="center"/>
          </w:tcPr>
          <w:p w14:paraId="2F7DB731">
            <w:pPr>
              <w:pStyle w:val="66"/>
              <w:pageBreakBefore w:val="0"/>
              <w:wordWrap/>
              <w:bidi w:val="0"/>
              <w:adjustRightInd/>
              <w:snapToGrid/>
              <w:jc w:val="center"/>
              <w:rPr>
                <w:rFonts w:hint="eastAsia" w:ascii="Times New Roman" w:eastAsia="宋体" w:cs="Times New Roman"/>
                <w:b/>
                <w:bCs/>
                <w:color w:val="auto"/>
                <w:sz w:val="21"/>
                <w:szCs w:val="21"/>
                <w:lang w:val="en-US" w:eastAsia="zh-CN"/>
              </w:rPr>
            </w:pPr>
            <w:r>
              <w:rPr>
                <w:rFonts w:hint="eastAsia" w:ascii="Times New Roman" w:eastAsia="宋体" w:cs="Times New Roman"/>
                <w:b/>
                <w:bCs/>
                <w:color w:val="auto"/>
                <w:sz w:val="21"/>
                <w:szCs w:val="21"/>
                <w:lang w:val="en-US" w:eastAsia="zh-CN"/>
              </w:rPr>
              <w:t>项目</w:t>
            </w:r>
          </w:p>
        </w:tc>
        <w:tc>
          <w:tcPr>
            <w:tcW w:w="1667" w:type="pct"/>
            <w:tcBorders>
              <w:tl2br w:val="nil"/>
              <w:tr2bl w:val="nil"/>
            </w:tcBorders>
            <w:noWrap w:val="0"/>
            <w:vAlign w:val="center"/>
          </w:tcPr>
          <w:p w14:paraId="74C29505">
            <w:pPr>
              <w:pStyle w:val="66"/>
              <w:pageBreakBefore w:val="0"/>
              <w:wordWrap/>
              <w:bidi w:val="0"/>
              <w:adjustRightInd/>
              <w:snapToGrid/>
              <w:jc w:val="center"/>
              <w:rPr>
                <w:rFonts w:hint="eastAsia" w:ascii="Times New Roman" w:eastAsia="宋体" w:cs="Times New Roman"/>
                <w:b/>
                <w:bCs/>
                <w:color w:val="auto"/>
                <w:sz w:val="21"/>
                <w:szCs w:val="21"/>
                <w:lang w:val="en-US" w:eastAsia="zh-CN"/>
              </w:rPr>
            </w:pPr>
            <w:r>
              <w:rPr>
                <w:rFonts w:hint="eastAsia" w:ascii="Times New Roman" w:eastAsia="宋体" w:cs="Times New Roman"/>
                <w:b/>
                <w:bCs/>
                <w:color w:val="auto"/>
                <w:sz w:val="21"/>
                <w:szCs w:val="21"/>
                <w:lang w:val="en-US" w:eastAsia="zh-CN"/>
              </w:rPr>
              <w:t>比值</w:t>
            </w:r>
          </w:p>
        </w:tc>
        <w:tc>
          <w:tcPr>
            <w:tcW w:w="1666" w:type="pct"/>
            <w:tcBorders>
              <w:tl2br w:val="nil"/>
              <w:tr2bl w:val="nil"/>
            </w:tcBorders>
            <w:noWrap w:val="0"/>
            <w:vAlign w:val="center"/>
          </w:tcPr>
          <w:p w14:paraId="39BA18C2">
            <w:pPr>
              <w:pStyle w:val="66"/>
              <w:pageBreakBefore w:val="0"/>
              <w:wordWrap/>
              <w:bidi w:val="0"/>
              <w:adjustRightInd/>
              <w:snapToGrid/>
              <w:jc w:val="center"/>
              <w:rPr>
                <w:rFonts w:hint="eastAsia" w:ascii="Times New Roman" w:eastAsia="宋体" w:cs="Times New Roman"/>
                <w:b/>
                <w:bCs/>
                <w:color w:val="auto"/>
                <w:sz w:val="21"/>
                <w:szCs w:val="21"/>
                <w:lang w:val="en-US" w:eastAsia="zh-CN"/>
              </w:rPr>
            </w:pPr>
            <w:r>
              <w:rPr>
                <w:rFonts w:hint="eastAsia" w:ascii="Times New Roman" w:eastAsia="宋体" w:cs="Times New Roman"/>
                <w:b/>
                <w:bCs/>
                <w:color w:val="auto"/>
                <w:sz w:val="21"/>
                <w:szCs w:val="21"/>
                <w:lang w:val="en-US" w:eastAsia="zh-CN"/>
              </w:rPr>
              <w:t>评价</w:t>
            </w:r>
          </w:p>
        </w:tc>
      </w:tr>
      <w:tr w14:paraId="24151E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66" w:type="pct"/>
            <w:tcBorders>
              <w:tl2br w:val="nil"/>
              <w:tr2bl w:val="nil"/>
            </w:tcBorders>
            <w:noWrap w:val="0"/>
            <w:vAlign w:val="center"/>
          </w:tcPr>
          <w:p w14:paraId="5704C7DC">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BOD</w:t>
            </w:r>
            <w:r>
              <w:rPr>
                <w:rFonts w:hint="eastAsia" w:ascii="Times New Roman" w:eastAsia="宋体" w:cs="Times New Roman"/>
                <w:color w:val="auto"/>
                <w:sz w:val="21"/>
                <w:szCs w:val="21"/>
                <w:vertAlign w:val="subscript"/>
                <w:lang w:val="en-US" w:eastAsia="zh-CN"/>
              </w:rPr>
              <w:t>5</w:t>
            </w:r>
            <w:r>
              <w:rPr>
                <w:rFonts w:hint="eastAsia" w:ascii="Times New Roman" w:eastAsia="宋体" w:cs="Times New Roman"/>
                <w:color w:val="auto"/>
                <w:sz w:val="21"/>
                <w:szCs w:val="21"/>
                <w:lang w:val="en-US" w:eastAsia="zh-CN"/>
              </w:rPr>
              <w:t>/CODcr</w:t>
            </w:r>
          </w:p>
        </w:tc>
        <w:tc>
          <w:tcPr>
            <w:tcW w:w="1667" w:type="pct"/>
            <w:tcBorders>
              <w:tl2br w:val="nil"/>
              <w:tr2bl w:val="nil"/>
            </w:tcBorders>
            <w:noWrap w:val="0"/>
            <w:vAlign w:val="center"/>
          </w:tcPr>
          <w:p w14:paraId="2B3C2E89">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0.6</w:t>
            </w:r>
          </w:p>
        </w:tc>
        <w:tc>
          <w:tcPr>
            <w:tcW w:w="1666" w:type="pct"/>
            <w:tcBorders>
              <w:tl2br w:val="nil"/>
              <w:tr2bl w:val="nil"/>
            </w:tcBorders>
            <w:noWrap w:val="0"/>
            <w:vAlign w:val="center"/>
          </w:tcPr>
          <w:p w14:paraId="4E6D619E">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可生化性好</w:t>
            </w:r>
          </w:p>
        </w:tc>
      </w:tr>
      <w:tr w14:paraId="5AA40C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66" w:type="pct"/>
            <w:tcBorders>
              <w:tl2br w:val="nil"/>
              <w:tr2bl w:val="nil"/>
            </w:tcBorders>
            <w:noWrap w:val="0"/>
            <w:vAlign w:val="center"/>
          </w:tcPr>
          <w:p w14:paraId="665633EE">
            <w:pPr>
              <w:pStyle w:val="66"/>
              <w:pageBreakBefore w:val="0"/>
              <w:wordWrap/>
              <w:bidi w:val="0"/>
              <w:adjustRightInd/>
              <w:snapToGrid/>
              <w:jc w:val="center"/>
              <w:rPr>
                <w:rFonts w:hint="default" w:ascii="Times New Roman" w:eastAsia="宋体" w:cs="Times New Roman"/>
                <w:color w:val="auto"/>
                <w:sz w:val="21"/>
                <w:szCs w:val="21"/>
                <w:lang w:val="en-US"/>
              </w:rPr>
            </w:pPr>
            <w:r>
              <w:rPr>
                <w:rFonts w:hint="eastAsia" w:ascii="Times New Roman" w:eastAsia="宋体" w:cs="Times New Roman"/>
                <w:color w:val="auto"/>
                <w:sz w:val="21"/>
                <w:szCs w:val="21"/>
                <w:lang w:val="en-US" w:eastAsia="zh-CN"/>
              </w:rPr>
              <w:t>BOD</w:t>
            </w:r>
            <w:r>
              <w:rPr>
                <w:rFonts w:hint="eastAsia" w:ascii="Times New Roman" w:eastAsia="宋体" w:cs="Times New Roman"/>
                <w:color w:val="auto"/>
                <w:sz w:val="21"/>
                <w:szCs w:val="21"/>
                <w:vertAlign w:val="subscript"/>
                <w:lang w:val="en-US" w:eastAsia="zh-CN"/>
              </w:rPr>
              <w:t>5</w:t>
            </w:r>
            <w:r>
              <w:rPr>
                <w:rFonts w:hint="eastAsia" w:ascii="Times New Roman" w:eastAsia="宋体" w:cs="Times New Roman"/>
                <w:color w:val="auto"/>
                <w:sz w:val="21"/>
                <w:szCs w:val="21"/>
                <w:lang w:val="en-US" w:eastAsia="zh-CN"/>
              </w:rPr>
              <w:t>/TN</w:t>
            </w:r>
          </w:p>
        </w:tc>
        <w:tc>
          <w:tcPr>
            <w:tcW w:w="1667" w:type="pct"/>
            <w:tcBorders>
              <w:tl2br w:val="nil"/>
              <w:tr2bl w:val="nil"/>
            </w:tcBorders>
            <w:noWrap w:val="0"/>
            <w:vAlign w:val="center"/>
          </w:tcPr>
          <w:p w14:paraId="0C7729BE">
            <w:pPr>
              <w:pStyle w:val="66"/>
              <w:pageBreakBefore w:val="0"/>
              <w:wordWrap/>
              <w:bidi w:val="0"/>
              <w:adjustRightInd/>
              <w:snapToGrid/>
              <w:jc w:val="center"/>
              <w:rPr>
                <w:rFonts w:hint="eastAsia"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5</w:t>
            </w:r>
          </w:p>
        </w:tc>
        <w:tc>
          <w:tcPr>
            <w:tcW w:w="1666" w:type="pct"/>
            <w:tcBorders>
              <w:tl2br w:val="nil"/>
              <w:tr2bl w:val="nil"/>
            </w:tcBorders>
            <w:noWrap w:val="0"/>
            <w:vAlign w:val="center"/>
          </w:tcPr>
          <w:p w14:paraId="3034E5FD">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碳源充足</w:t>
            </w:r>
          </w:p>
        </w:tc>
      </w:tr>
      <w:tr w14:paraId="25521DE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666" w:type="pct"/>
            <w:tcBorders>
              <w:tl2br w:val="nil"/>
              <w:tr2bl w:val="nil"/>
            </w:tcBorders>
            <w:noWrap w:val="0"/>
            <w:vAlign w:val="center"/>
          </w:tcPr>
          <w:p w14:paraId="71CFAA14">
            <w:pPr>
              <w:pStyle w:val="66"/>
              <w:pageBreakBefore w:val="0"/>
              <w:wordWrap/>
              <w:bidi w:val="0"/>
              <w:adjustRightInd/>
              <w:snapToGrid/>
              <w:jc w:val="center"/>
              <w:rPr>
                <w:rFonts w:hint="default" w:ascii="Times New Roman" w:eastAsia="宋体" w:cs="Times New Roman"/>
                <w:color w:val="auto"/>
                <w:sz w:val="21"/>
                <w:szCs w:val="21"/>
                <w:lang w:val="en-US"/>
              </w:rPr>
            </w:pPr>
            <w:r>
              <w:rPr>
                <w:rFonts w:hint="eastAsia" w:ascii="Times New Roman" w:eastAsia="宋体" w:cs="Times New Roman"/>
                <w:color w:val="auto"/>
                <w:sz w:val="21"/>
                <w:szCs w:val="21"/>
                <w:lang w:val="en-US" w:eastAsia="zh-CN"/>
              </w:rPr>
              <w:t>BOD</w:t>
            </w:r>
            <w:r>
              <w:rPr>
                <w:rFonts w:hint="eastAsia" w:ascii="Times New Roman" w:eastAsia="宋体" w:cs="Times New Roman"/>
                <w:color w:val="auto"/>
                <w:sz w:val="21"/>
                <w:szCs w:val="21"/>
                <w:vertAlign w:val="subscript"/>
                <w:lang w:val="en-US" w:eastAsia="zh-CN"/>
              </w:rPr>
              <w:t>5</w:t>
            </w:r>
            <w:r>
              <w:rPr>
                <w:rFonts w:hint="eastAsia" w:ascii="Times New Roman" w:eastAsia="宋体" w:cs="Times New Roman"/>
                <w:color w:val="auto"/>
                <w:sz w:val="21"/>
                <w:szCs w:val="21"/>
                <w:lang w:val="en-US" w:eastAsia="zh-CN"/>
              </w:rPr>
              <w:t>/TP</w:t>
            </w:r>
          </w:p>
        </w:tc>
        <w:tc>
          <w:tcPr>
            <w:tcW w:w="1667" w:type="pct"/>
            <w:tcBorders>
              <w:tl2br w:val="nil"/>
              <w:tr2bl w:val="nil"/>
            </w:tcBorders>
            <w:noWrap w:val="0"/>
            <w:vAlign w:val="center"/>
          </w:tcPr>
          <w:p w14:paraId="3BB2807D">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50</w:t>
            </w:r>
          </w:p>
        </w:tc>
        <w:tc>
          <w:tcPr>
            <w:tcW w:w="1666" w:type="pct"/>
            <w:tcBorders>
              <w:tl2br w:val="nil"/>
              <w:tr2bl w:val="nil"/>
            </w:tcBorders>
            <w:noWrap w:val="0"/>
            <w:vAlign w:val="center"/>
          </w:tcPr>
          <w:p w14:paraId="60EADDB3">
            <w:pPr>
              <w:pStyle w:val="66"/>
              <w:pageBreakBefore w:val="0"/>
              <w:wordWrap/>
              <w:bidi w:val="0"/>
              <w:adjustRightInd/>
              <w:snapToGrid/>
              <w:jc w:val="center"/>
              <w:rPr>
                <w:rFonts w:hint="default" w:ascii="Times New Roman" w:eastAsia="宋体" w:cs="Times New Roman"/>
                <w:color w:val="auto"/>
                <w:sz w:val="21"/>
                <w:szCs w:val="21"/>
                <w:lang w:val="en-US" w:eastAsia="zh-CN"/>
              </w:rPr>
            </w:pPr>
            <w:r>
              <w:rPr>
                <w:rFonts w:hint="eastAsia" w:ascii="Times New Roman" w:eastAsia="宋体" w:cs="Times New Roman"/>
                <w:color w:val="auto"/>
                <w:sz w:val="21"/>
                <w:szCs w:val="21"/>
                <w:lang w:val="en-US" w:eastAsia="zh-CN"/>
              </w:rPr>
              <w:t>碳源充足</w:t>
            </w:r>
          </w:p>
        </w:tc>
      </w:tr>
    </w:tbl>
    <w:p w14:paraId="1D7728AB">
      <w:pPr>
        <w:pageBreakBefore w:val="0"/>
        <w:wordWrap/>
        <w:bidi w:val="0"/>
        <w:adjustRightInd/>
        <w:snapToGrid/>
        <w:rPr>
          <w:color w:val="auto"/>
        </w:rPr>
      </w:pPr>
      <w:r>
        <w:rPr>
          <w:rFonts w:hint="eastAsia"/>
          <w:color w:val="auto"/>
        </w:rPr>
        <w:t>根据工艺方案选择原则，并结合表中的比值，可知采用生物法处理污水是完全可行的。按普通活性污泥法微生物同化有机物的</w:t>
      </w:r>
      <w:r>
        <w:rPr>
          <w:rFonts w:hint="eastAsia"/>
          <w:color w:val="auto"/>
          <w:lang w:eastAsia="zh-CN"/>
        </w:rPr>
        <w:t>质料</w:t>
      </w:r>
      <w:r>
        <w:rPr>
          <w:rFonts w:hint="eastAsia"/>
          <w:color w:val="auto"/>
        </w:rPr>
        <w:t>比例要求，本工程处理流程应为具有脱氮除磷功能的城市污水二级处理工艺。</w:t>
      </w:r>
    </w:p>
    <w:p w14:paraId="7E992E18">
      <w:pPr>
        <w:pageBreakBefore w:val="0"/>
        <w:wordWrap/>
        <w:bidi w:val="0"/>
        <w:adjustRightInd/>
        <w:snapToGrid/>
        <w:ind w:firstLine="480"/>
        <w:rPr>
          <w:b/>
          <w:bCs/>
          <w:color w:val="auto"/>
        </w:rPr>
      </w:pPr>
      <w:r>
        <w:rPr>
          <w:b/>
          <w:bCs/>
          <w:color w:val="auto"/>
        </w:rPr>
        <w:t>污水可生化性分析</w:t>
      </w:r>
    </w:p>
    <w:p w14:paraId="098B8778">
      <w:pPr>
        <w:pageBreakBefore w:val="0"/>
        <w:wordWrap/>
        <w:bidi w:val="0"/>
        <w:adjustRightInd/>
        <w:snapToGrid/>
        <w:ind w:firstLine="480"/>
        <w:rPr>
          <w:color w:val="auto"/>
        </w:rPr>
      </w:pPr>
      <w:r>
        <w:rPr>
          <w:color w:val="auto"/>
        </w:rPr>
        <w:t>1、BOD</w:t>
      </w:r>
      <w:r>
        <w:rPr>
          <w:color w:val="auto"/>
          <w:vertAlign w:val="subscript"/>
        </w:rPr>
        <w:t>5</w:t>
      </w:r>
      <w:r>
        <w:rPr>
          <w:color w:val="auto"/>
        </w:rPr>
        <w:t>/COD</w:t>
      </w:r>
      <w:r>
        <w:rPr>
          <w:color w:val="auto"/>
          <w:vertAlign w:val="subscript"/>
        </w:rPr>
        <w:t>Cr</w:t>
      </w:r>
      <w:r>
        <w:rPr>
          <w:color w:val="auto"/>
        </w:rPr>
        <w:t>比值</w:t>
      </w:r>
    </w:p>
    <w:p w14:paraId="762D68BB">
      <w:pPr>
        <w:pageBreakBefore w:val="0"/>
        <w:wordWrap/>
        <w:bidi w:val="0"/>
        <w:adjustRightInd/>
        <w:snapToGrid/>
        <w:ind w:firstLine="480"/>
        <w:rPr>
          <w:color w:val="auto"/>
        </w:rPr>
      </w:pPr>
      <w:r>
        <w:rPr>
          <w:color w:val="auto"/>
        </w:rPr>
        <w:t>BOD</w:t>
      </w:r>
      <w:r>
        <w:rPr>
          <w:color w:val="auto"/>
          <w:vertAlign w:val="subscript"/>
        </w:rPr>
        <w:t>5</w:t>
      </w:r>
      <w:r>
        <w:rPr>
          <w:color w:val="auto"/>
        </w:rPr>
        <w:t>和COD</w:t>
      </w:r>
      <w:r>
        <w:rPr>
          <w:color w:val="auto"/>
          <w:vertAlign w:val="subscript"/>
        </w:rPr>
        <w:t>Cr</w:t>
      </w:r>
      <w:r>
        <w:rPr>
          <w:color w:val="auto"/>
        </w:rPr>
        <w:t>是污水生物处理过程中常用的两个水质指标，用BOD</w:t>
      </w:r>
      <w:r>
        <w:rPr>
          <w:color w:val="auto"/>
          <w:vertAlign w:val="subscript"/>
        </w:rPr>
        <w:t>5</w:t>
      </w:r>
      <w:r>
        <w:rPr>
          <w:color w:val="auto"/>
        </w:rPr>
        <w:t>/COD</w:t>
      </w:r>
      <w:r>
        <w:rPr>
          <w:color w:val="auto"/>
          <w:vertAlign w:val="subscript"/>
        </w:rPr>
        <w:t>Cr</w:t>
      </w:r>
      <w:r>
        <w:rPr>
          <w:color w:val="auto"/>
        </w:rPr>
        <w:t>比值评价污水的可生化性是广泛采用的一种最为简易的方法，一般认为BOD</w:t>
      </w:r>
      <w:r>
        <w:rPr>
          <w:color w:val="auto"/>
          <w:vertAlign w:val="subscript"/>
        </w:rPr>
        <w:t>5</w:t>
      </w:r>
      <w:r>
        <w:rPr>
          <w:color w:val="auto"/>
        </w:rPr>
        <w:t>/COD</w:t>
      </w:r>
      <w:r>
        <w:rPr>
          <w:color w:val="auto"/>
          <w:vertAlign w:val="subscript"/>
        </w:rPr>
        <w:t>Cr</w:t>
      </w:r>
      <w:r>
        <w:rPr>
          <w:color w:val="auto"/>
        </w:rPr>
        <w:t>&gt;0.45可生化性好，BOD</w:t>
      </w:r>
      <w:r>
        <w:rPr>
          <w:color w:val="auto"/>
          <w:vertAlign w:val="subscript"/>
        </w:rPr>
        <w:t>5</w:t>
      </w:r>
      <w:r>
        <w:rPr>
          <w:color w:val="auto"/>
        </w:rPr>
        <w:t>/COD</w:t>
      </w:r>
      <w:r>
        <w:rPr>
          <w:color w:val="auto"/>
          <w:vertAlign w:val="subscript"/>
        </w:rPr>
        <w:t>Cr</w:t>
      </w:r>
      <w:r>
        <w:rPr>
          <w:color w:val="auto"/>
        </w:rPr>
        <w:t>&gt;0.4可生化性较好，BOD</w:t>
      </w:r>
      <w:r>
        <w:rPr>
          <w:color w:val="auto"/>
          <w:vertAlign w:val="subscript"/>
        </w:rPr>
        <w:t>5</w:t>
      </w:r>
      <w:r>
        <w:rPr>
          <w:color w:val="auto"/>
        </w:rPr>
        <w:t>/COD</w:t>
      </w:r>
      <w:r>
        <w:rPr>
          <w:color w:val="auto"/>
          <w:vertAlign w:val="subscript"/>
        </w:rPr>
        <w:t>Cr</w:t>
      </w:r>
      <w:r>
        <w:rPr>
          <w:color w:val="auto"/>
        </w:rPr>
        <w:t>&lt;0.3较难生化，BOD</w:t>
      </w:r>
      <w:r>
        <w:rPr>
          <w:color w:val="auto"/>
          <w:vertAlign w:val="subscript"/>
        </w:rPr>
        <w:t>5</w:t>
      </w:r>
      <w:r>
        <w:rPr>
          <w:color w:val="auto"/>
        </w:rPr>
        <w:t>/COD</w:t>
      </w:r>
      <w:r>
        <w:rPr>
          <w:color w:val="auto"/>
          <w:vertAlign w:val="subscript"/>
        </w:rPr>
        <w:t>Cr</w:t>
      </w:r>
      <w:r>
        <w:rPr>
          <w:color w:val="auto"/>
        </w:rPr>
        <w:t>&lt;0.25不易生化。</w:t>
      </w:r>
      <w:r>
        <w:rPr>
          <w:rFonts w:hint="eastAsia"/>
          <w:color w:val="auto"/>
          <w:lang w:val="en-US" w:eastAsia="zh-CN"/>
        </w:rPr>
        <w:t>由上表可知，本工程进水可生化性好</w:t>
      </w:r>
      <w:r>
        <w:rPr>
          <w:rFonts w:hint="eastAsia"/>
          <w:color w:val="auto"/>
        </w:rPr>
        <w:t>。</w:t>
      </w:r>
    </w:p>
    <w:p w14:paraId="5B93DD26">
      <w:pPr>
        <w:pageBreakBefore w:val="0"/>
        <w:wordWrap/>
        <w:bidi w:val="0"/>
        <w:adjustRightInd/>
        <w:snapToGrid/>
        <w:ind w:firstLine="480"/>
        <w:rPr>
          <w:color w:val="auto"/>
        </w:rPr>
      </w:pPr>
      <w:r>
        <w:rPr>
          <w:color w:val="auto"/>
        </w:rPr>
        <w:t>2、BOD</w:t>
      </w:r>
      <w:r>
        <w:rPr>
          <w:color w:val="auto"/>
          <w:vertAlign w:val="subscript"/>
        </w:rPr>
        <w:t>5</w:t>
      </w:r>
      <w:r>
        <w:rPr>
          <w:rFonts w:hint="eastAsia"/>
          <w:color w:val="auto"/>
        </w:rPr>
        <w:t>/</w:t>
      </w:r>
      <w:r>
        <w:rPr>
          <w:color w:val="auto"/>
        </w:rPr>
        <w:t>TKN（即C/N）比值</w:t>
      </w:r>
    </w:p>
    <w:p w14:paraId="7A5CAC49">
      <w:pPr>
        <w:pageBreakBefore w:val="0"/>
        <w:wordWrap/>
        <w:bidi w:val="0"/>
        <w:adjustRightInd/>
        <w:snapToGrid/>
        <w:ind w:firstLine="480"/>
        <w:rPr>
          <w:color w:val="auto"/>
        </w:rPr>
      </w:pPr>
      <w:r>
        <w:rPr>
          <w:color w:val="auto"/>
        </w:rPr>
        <w:t>一般认为，BOD</w:t>
      </w:r>
      <w:r>
        <w:rPr>
          <w:color w:val="auto"/>
          <w:vertAlign w:val="subscript"/>
        </w:rPr>
        <w:t>5</w:t>
      </w:r>
      <w:r>
        <w:rPr>
          <w:color w:val="auto"/>
        </w:rPr>
        <w:t>/TN&gt;3~6，即可认为污水有比较充足的碳源供反硝化菌利用，本工程BOD</w:t>
      </w:r>
      <w:r>
        <w:rPr>
          <w:color w:val="auto"/>
          <w:vertAlign w:val="subscript"/>
        </w:rPr>
        <w:t>5</w:t>
      </w:r>
      <w:r>
        <w:rPr>
          <w:color w:val="auto"/>
        </w:rPr>
        <w:t>/TN=5，碳源基本满足生物脱氮的要求，但考虑到水质波动较大，实际可能需要补充一定量的碳源。因此，充分考虑到进水水质的波动，以及TN出水的要求，本工程设置碳源投加系统，在进水BOD</w:t>
      </w:r>
      <w:r>
        <w:rPr>
          <w:color w:val="auto"/>
          <w:vertAlign w:val="subscript"/>
        </w:rPr>
        <w:t>5</w:t>
      </w:r>
      <w:r>
        <w:rPr>
          <w:color w:val="auto"/>
        </w:rPr>
        <w:t>/TN较低时投加，以确保TN的达标排放。</w:t>
      </w:r>
    </w:p>
    <w:p w14:paraId="20EFD195">
      <w:pPr>
        <w:pageBreakBefore w:val="0"/>
        <w:wordWrap/>
        <w:bidi w:val="0"/>
        <w:adjustRightInd/>
        <w:snapToGrid/>
        <w:ind w:firstLine="480"/>
        <w:rPr>
          <w:color w:val="auto"/>
        </w:rPr>
      </w:pPr>
      <w:r>
        <w:rPr>
          <w:color w:val="auto"/>
        </w:rPr>
        <w:t>3、BOD</w:t>
      </w:r>
      <w:r>
        <w:rPr>
          <w:color w:val="auto"/>
          <w:vertAlign w:val="subscript"/>
        </w:rPr>
        <w:t>5</w:t>
      </w:r>
      <w:r>
        <w:rPr>
          <w:rFonts w:hint="eastAsia"/>
          <w:color w:val="auto"/>
        </w:rPr>
        <w:t>/</w:t>
      </w:r>
      <w:r>
        <w:rPr>
          <w:color w:val="auto"/>
        </w:rPr>
        <w:t>TP比值</w:t>
      </w:r>
    </w:p>
    <w:p w14:paraId="45F745C6">
      <w:pPr>
        <w:pageBreakBefore w:val="0"/>
        <w:wordWrap/>
        <w:bidi w:val="0"/>
        <w:adjustRightInd/>
        <w:snapToGrid/>
        <w:ind w:firstLine="480"/>
        <w:rPr>
          <w:color w:val="auto"/>
        </w:rPr>
      </w:pPr>
      <w:r>
        <w:rPr>
          <w:color w:val="auto"/>
        </w:rPr>
        <w:t>该指标是鉴别能否采用生物除磷的主要指标，一般认为，较高的BOD</w:t>
      </w:r>
      <w:r>
        <w:rPr>
          <w:color w:val="auto"/>
          <w:vertAlign w:val="subscript"/>
        </w:rPr>
        <w:t>5</w:t>
      </w:r>
      <w:r>
        <w:rPr>
          <w:color w:val="auto"/>
        </w:rPr>
        <w:t>负荷可以取得较好的除磷效果，进行生物除磷的低限是BOD</w:t>
      </w:r>
      <w:r>
        <w:rPr>
          <w:color w:val="auto"/>
          <w:vertAlign w:val="subscript"/>
        </w:rPr>
        <w:t>5</w:t>
      </w:r>
      <w:r>
        <w:rPr>
          <w:color w:val="auto"/>
        </w:rPr>
        <w:t>/TP=20，有机基质不同对除磷也有影响。一般低分子易降解的有机物诱导磷释放的能力较强，高分子难降解的有机物诱导磷释放的能力较弱。本工程BOD</w:t>
      </w:r>
      <w:r>
        <w:rPr>
          <w:color w:val="auto"/>
          <w:vertAlign w:val="subscript"/>
        </w:rPr>
        <w:t>5</w:t>
      </w:r>
      <w:r>
        <w:rPr>
          <w:color w:val="auto"/>
        </w:rPr>
        <w:t>/TP=</w:t>
      </w:r>
      <w:r>
        <w:rPr>
          <w:rFonts w:hint="eastAsia"/>
          <w:color w:val="auto"/>
          <w:lang w:val="en-US" w:eastAsia="zh-CN"/>
        </w:rPr>
        <w:t>50</w:t>
      </w:r>
      <w:r>
        <w:rPr>
          <w:color w:val="auto"/>
        </w:rPr>
        <w:t>，可采用生物除磷。由于出水TP指标为≤0.5mg/L，深度处理再辅以化学除磷确保TP达标。</w:t>
      </w:r>
    </w:p>
    <w:p w14:paraId="7B44D470">
      <w:pPr>
        <w:pStyle w:val="10"/>
        <w:pageBreakBefore w:val="0"/>
        <w:wordWrap/>
        <w:bidi w:val="0"/>
        <w:adjustRightInd/>
        <w:snapToGrid/>
        <w:rPr>
          <w:color w:val="auto"/>
        </w:rPr>
      </w:pPr>
      <w:r>
        <w:rPr>
          <w:rFonts w:hint="eastAsia"/>
          <w:color w:val="auto"/>
          <w:lang w:val="en-US" w:eastAsia="zh-CN"/>
        </w:rPr>
        <w:t xml:space="preserve"> </w:t>
      </w:r>
      <w:r>
        <w:rPr>
          <w:color w:val="auto"/>
        </w:rPr>
        <w:t>污水处理工艺比选</w:t>
      </w:r>
    </w:p>
    <w:p w14:paraId="3E1B811A">
      <w:pPr>
        <w:pageBreakBefore w:val="0"/>
        <w:wordWrap/>
        <w:bidi w:val="0"/>
        <w:adjustRightInd/>
        <w:snapToGrid/>
        <w:ind w:firstLine="482"/>
        <w:rPr>
          <w:rFonts w:hint="default" w:eastAsia="宋体"/>
          <w:b/>
          <w:bCs/>
          <w:color w:val="auto"/>
          <w:lang w:val="en-US" w:eastAsia="zh-CN"/>
        </w:rPr>
      </w:pPr>
      <w:r>
        <w:rPr>
          <w:rFonts w:hint="eastAsia"/>
          <w:b/>
          <w:bCs/>
          <w:color w:val="auto"/>
          <w:lang w:val="en-US" w:eastAsia="zh-CN"/>
        </w:rPr>
        <w:t>1、一级处理工艺选择</w:t>
      </w:r>
    </w:p>
    <w:p w14:paraId="3B7C11F0">
      <w:pPr>
        <w:pageBreakBefore w:val="0"/>
        <w:wordWrap/>
        <w:bidi w:val="0"/>
        <w:adjustRightInd/>
        <w:snapToGrid/>
        <w:ind w:firstLine="480"/>
        <w:rPr>
          <w:rFonts w:hint="eastAsia" w:eastAsia="宋体"/>
          <w:color w:val="auto"/>
          <w:lang w:eastAsia="zh-CN"/>
        </w:rPr>
      </w:pPr>
      <w:r>
        <w:rPr>
          <w:rFonts w:hint="eastAsia"/>
          <w:color w:val="auto"/>
          <w:lang w:val="en-US" w:eastAsia="zh-CN"/>
        </w:rPr>
        <w:t>一</w:t>
      </w:r>
      <w:r>
        <w:rPr>
          <w:rFonts w:hint="eastAsia"/>
          <w:color w:val="auto"/>
        </w:rPr>
        <w:t>级处理段通常包括粗格栅、细格栅、沉砂池、初沉池和水解酸化池等，其中粗、细格栅和沉砂池是污水处理厂必备的工段。</w:t>
      </w:r>
      <w:r>
        <w:rPr>
          <w:rFonts w:hint="eastAsia"/>
          <w:color w:val="auto"/>
          <w:lang w:val="en-US" w:eastAsia="zh-CN"/>
        </w:rPr>
        <w:t>格栅</w:t>
      </w:r>
      <w:r>
        <w:rPr>
          <w:rFonts w:hint="eastAsia"/>
          <w:color w:val="auto"/>
        </w:rPr>
        <w:t>用于截流大块的悬浮物。对后续处理构筑物及水泵具有保护作用。沉砂池的功能是从污水中分离出比重较大的颗粒，目前沉砂池去除悬浮物的效果良好</w:t>
      </w:r>
      <w:r>
        <w:rPr>
          <w:rFonts w:hint="eastAsia"/>
          <w:color w:val="auto"/>
          <w:lang w:eastAsia="zh-CN"/>
        </w:rPr>
        <w:t>，</w:t>
      </w:r>
      <w:r>
        <w:rPr>
          <w:rFonts w:hint="eastAsia"/>
          <w:color w:val="auto"/>
        </w:rPr>
        <w:t>细砂粒</w:t>
      </w:r>
      <w:r>
        <w:rPr>
          <w:rFonts w:hint="eastAsia"/>
          <w:color w:val="auto"/>
          <w:lang w:eastAsia="zh-CN"/>
        </w:rPr>
        <w:t>（粒径为</w:t>
      </w:r>
      <w:r>
        <w:rPr>
          <w:rFonts w:hint="eastAsia"/>
          <w:color w:val="auto"/>
        </w:rPr>
        <w:t>0.104mm</w:t>
      </w:r>
      <w:r>
        <w:rPr>
          <w:rFonts w:hint="eastAsia"/>
          <w:color w:val="auto"/>
          <w:lang w:eastAsia="zh-CN"/>
        </w:rPr>
        <w:t>）</w:t>
      </w:r>
      <w:r>
        <w:rPr>
          <w:rFonts w:hint="eastAsia"/>
          <w:color w:val="auto"/>
        </w:rPr>
        <w:t>的去除率也高</w:t>
      </w:r>
      <w:r>
        <w:rPr>
          <w:rFonts w:hint="eastAsia"/>
          <w:color w:val="auto"/>
          <w:lang w:eastAsia="zh-CN"/>
        </w:rPr>
        <w:t>，</w:t>
      </w:r>
      <w:r>
        <w:rPr>
          <w:rFonts w:hint="eastAsia"/>
          <w:color w:val="auto"/>
        </w:rPr>
        <w:t>可达73%</w:t>
      </w:r>
      <w:r>
        <w:rPr>
          <w:rFonts w:hint="eastAsia"/>
          <w:color w:val="auto"/>
          <w:lang w:eastAsia="zh-CN"/>
        </w:rPr>
        <w:t>，</w:t>
      </w:r>
      <w:r>
        <w:rPr>
          <w:rFonts w:hint="eastAsia"/>
          <w:color w:val="auto"/>
        </w:rPr>
        <w:t>从而可不设初沉池。考虑到园区前期工业企业排水量的不稳定因素导致进水水质和水量浮动较大，且前期园区进水水量规模不大，尚且达不到污水处理厂处理规模，因此需考虑设置调节池以调节进水水质和水量。同时园区周围已有和在建的工业企业较多，大量的工业污水排出会降低原水的可生化性，从远期考虑，建议增加提高原水可生化性的工艺技术。因此，本工程一级处理工艺采用细格栅、调节池以及提高可生化性的工艺。下面对常用的提高原污水可生化性的技术进行简单的概述和比选</w:t>
      </w:r>
      <w:r>
        <w:rPr>
          <w:rFonts w:hint="eastAsia"/>
          <w:color w:val="auto"/>
          <w:lang w:eastAsia="zh-CN"/>
        </w:rPr>
        <w:t>。</w:t>
      </w:r>
    </w:p>
    <w:p w14:paraId="269E3264">
      <w:pPr>
        <w:pageBreakBefore w:val="0"/>
        <w:wordWrap/>
        <w:bidi w:val="0"/>
        <w:adjustRightInd/>
        <w:snapToGrid/>
        <w:ind w:firstLine="480"/>
        <w:rPr>
          <w:rFonts w:hint="eastAsia"/>
          <w:b/>
          <w:bCs/>
          <w:color w:val="auto"/>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rFonts w:hint="eastAsia"/>
          <w:b/>
          <w:bCs/>
          <w:color w:val="auto"/>
        </w:rPr>
        <w:t>细格栅</w:t>
      </w:r>
    </w:p>
    <w:p w14:paraId="01FF8565">
      <w:pPr>
        <w:pageBreakBefore w:val="0"/>
        <w:wordWrap/>
        <w:bidi w:val="0"/>
        <w:adjustRightInd/>
        <w:snapToGrid/>
        <w:ind w:firstLine="480"/>
        <w:rPr>
          <w:rFonts w:hint="eastAsia"/>
          <w:color w:val="auto"/>
        </w:rPr>
      </w:pPr>
      <w:r>
        <w:rPr>
          <w:rFonts w:hint="eastAsia"/>
          <w:color w:val="auto"/>
        </w:rPr>
        <w:t>随着污水处理标准的提升和环境监管的趋严日趋严格，新建和提标改造水厂普遍采用一级A、准四类或新的地方标准，出水指标的提高，对于出水的稳定性提出更高的要求。但在实际运行过程中常常会出现MBR膜的缠绕断裂，生物滤池滤头、滤砂的阻塞，管路阀门阻塞，水泵、污泥泵阻塞等情况，会造成系统停水检修、产水量下降等问题，分析其原因，</w:t>
      </w:r>
      <w:r>
        <w:rPr>
          <w:rFonts w:hint="eastAsia"/>
          <w:color w:val="auto"/>
          <w:lang w:eastAsia="zh-CN"/>
        </w:rPr>
        <w:t>主要原因是</w:t>
      </w:r>
      <w:r>
        <w:rPr>
          <w:rFonts w:hint="eastAsia"/>
          <w:color w:val="auto"/>
        </w:rPr>
        <w:t>预处理系统存在不足。而预处理的关键是对毛发纤维物的去除，对毛发纤维物去除的预处理主要设备是细格栅，可见亟需一款高效拦截毛发纤维物的预处理设备，保障后续工艺稳定运行。</w:t>
      </w:r>
    </w:p>
    <w:p w14:paraId="6F72519C">
      <w:pPr>
        <w:pageBreakBefore w:val="0"/>
        <w:wordWrap/>
        <w:bidi w:val="0"/>
        <w:adjustRightInd/>
        <w:snapToGrid/>
        <w:ind w:firstLine="480"/>
        <w:rPr>
          <w:rFonts w:hint="eastAsia" w:eastAsia="宋体"/>
          <w:color w:val="auto"/>
          <w:lang w:eastAsia="zh-CN"/>
        </w:rPr>
      </w:pPr>
      <w:r>
        <w:rPr>
          <w:rFonts w:hint="eastAsia"/>
          <w:color w:val="auto"/>
        </w:rPr>
        <w:t>目前常用的细格栅设备包括转鼓格栅、滚筒格栅和内进流孔板格栅</w:t>
      </w:r>
      <w:r>
        <w:rPr>
          <w:rFonts w:hint="eastAsia"/>
          <w:color w:val="auto"/>
          <w:lang w:eastAsia="zh-CN"/>
        </w:rPr>
        <w:t>。</w:t>
      </w:r>
    </w:p>
    <w:p w14:paraId="09FEF572">
      <w:pPr>
        <w:pageBreakBefore w:val="0"/>
        <w:wordWrap/>
        <w:bidi w:val="0"/>
        <w:adjustRightInd/>
        <w:snapToGrid/>
        <w:ind w:firstLine="480"/>
        <w:rPr>
          <w:rFonts w:hint="eastAsia"/>
          <w:b/>
          <w:bCs/>
          <w:color w:val="auto"/>
        </w:rPr>
      </w:pPr>
      <w:r>
        <w:rPr>
          <w:rFonts w:hint="eastAsia"/>
          <w:b/>
          <w:bCs/>
          <w:color w:val="auto"/>
          <w:lang w:val="en-US" w:eastAsia="zh-CN"/>
        </w:rPr>
        <w:t>1）</w:t>
      </w:r>
      <w:r>
        <w:rPr>
          <w:rFonts w:hint="eastAsia"/>
          <w:b/>
          <w:bCs/>
          <w:color w:val="auto"/>
        </w:rPr>
        <w:t>转鼓细格栅</w:t>
      </w:r>
    </w:p>
    <w:p w14:paraId="795A4A5B">
      <w:pPr>
        <w:pageBreakBefore w:val="0"/>
        <w:wordWrap/>
        <w:bidi w:val="0"/>
        <w:adjustRightInd/>
        <w:snapToGrid/>
        <w:ind w:firstLine="480"/>
        <w:rPr>
          <w:rFonts w:hint="eastAsia"/>
          <w:color w:val="auto"/>
        </w:rPr>
      </w:pPr>
      <w:r>
        <w:rPr>
          <w:rFonts w:hint="eastAsia"/>
          <w:color w:val="auto"/>
        </w:rPr>
        <w:t>转鼓细格栅集固液的分离、清洗、运输和压榨脱水过程于一体主要由机架、圆柱形转鼓、内置压螺旋、反冲洗装置、驱动装置和配套带式输送装置组成。转鼓以一定的速度旋转，污水从转鼓中心进入，从两侧流出，拦截的栅渣由转鼓带到上部。转鼓上部有尼龙刷和高压反冲水喷淋装置，将栅渣与转鼓分离并冲入转鼓内部的螺旋压榨机内，栅渣通过螺旋输送运转压榨脱水，并运至上端排料斗排出，被挤出的水随污水通过细格栅转鼓进入下一个工艺单元。由于内置螺旋压榨装置，因此该一体式设备需要倾斜安装于过水廊道里。高压冲洗水的冲洗压力为120~150bar。</w:t>
      </w:r>
    </w:p>
    <w:p w14:paraId="5B84DA01">
      <w:pPr>
        <w:pageBreakBefore w:val="0"/>
        <w:wordWrap/>
        <w:bidi w:val="0"/>
        <w:adjustRightInd/>
        <w:snapToGrid/>
        <w:ind w:firstLine="480"/>
        <w:rPr>
          <w:rFonts w:hint="eastAsia" w:eastAsia="宋体"/>
          <w:color w:val="auto"/>
          <w:lang w:eastAsia="zh-CN"/>
        </w:rPr>
      </w:pPr>
      <w:r>
        <w:rPr>
          <w:rFonts w:hint="eastAsia"/>
          <w:color w:val="auto"/>
        </w:rPr>
        <w:t>转鼓膜格栅</w:t>
      </w:r>
      <w:r>
        <w:rPr>
          <w:rFonts w:hint="eastAsia"/>
          <w:color w:val="auto"/>
          <w:lang w:eastAsia="zh-CN"/>
        </w:rPr>
        <w:t>存</w:t>
      </w:r>
      <w:r>
        <w:rPr>
          <w:rFonts w:hint="eastAsia"/>
          <w:color w:val="auto"/>
        </w:rPr>
        <w:t>在的不足</w:t>
      </w:r>
      <w:r>
        <w:rPr>
          <w:rFonts w:hint="eastAsia"/>
          <w:color w:val="auto"/>
          <w:lang w:eastAsia="zh-CN"/>
        </w:rPr>
        <w:t>：</w:t>
      </w:r>
    </w:p>
    <w:p w14:paraId="7ACD7FD3">
      <w:pPr>
        <w:pageBreakBefore w:val="0"/>
        <w:wordWrap/>
        <w:bidi w:val="0"/>
        <w:adjustRightInd/>
        <w:snapToGrid/>
        <w:ind w:firstLine="480"/>
        <w:rPr>
          <w:rFonts w:hint="eastAsia" w:eastAsia="宋体"/>
          <w:color w:val="auto"/>
          <w:lang w:eastAsia="zh-CN"/>
        </w:rPr>
      </w:pPr>
      <w:r>
        <w:rPr>
          <w:rFonts w:hint="eastAsia"/>
          <w:color w:val="auto"/>
          <w:lang w:val="en-US" w:eastAsia="zh-CN"/>
        </w:rPr>
        <w:t>A.</w:t>
      </w:r>
      <w:r>
        <w:rPr>
          <w:rFonts w:hint="eastAsia"/>
          <w:color w:val="auto"/>
        </w:rPr>
        <w:t>高压冲洗系统由于水压太高，容易使冲洗水雾化，导致格栅车间的环境变差</w:t>
      </w:r>
      <w:r>
        <w:rPr>
          <w:rFonts w:hint="eastAsia"/>
          <w:color w:val="auto"/>
          <w:lang w:eastAsia="zh-CN"/>
        </w:rPr>
        <w:t>：</w:t>
      </w:r>
    </w:p>
    <w:p w14:paraId="0A00555A">
      <w:pPr>
        <w:pageBreakBefore w:val="0"/>
        <w:wordWrap/>
        <w:bidi w:val="0"/>
        <w:adjustRightInd/>
        <w:snapToGrid/>
        <w:ind w:firstLine="480"/>
        <w:rPr>
          <w:rFonts w:hint="eastAsia" w:eastAsia="宋体"/>
          <w:color w:val="auto"/>
          <w:lang w:eastAsia="zh-CN"/>
        </w:rPr>
      </w:pPr>
      <w:r>
        <w:rPr>
          <w:rFonts w:hint="eastAsia"/>
          <w:color w:val="auto"/>
          <w:lang w:val="en-US" w:eastAsia="zh-CN"/>
        </w:rPr>
        <w:t>B.</w:t>
      </w:r>
      <w:r>
        <w:rPr>
          <w:rFonts w:hint="eastAsia"/>
          <w:color w:val="auto"/>
        </w:rPr>
        <w:t>受运行原理限制，单台设备的最大处理能力有限，对于大型的污水处理厂，设备数量较多，占地面积较大</w:t>
      </w:r>
      <w:r>
        <w:rPr>
          <w:rFonts w:hint="eastAsia"/>
          <w:color w:val="auto"/>
          <w:lang w:eastAsia="zh-CN"/>
        </w:rPr>
        <w:t>；</w:t>
      </w:r>
    </w:p>
    <w:p w14:paraId="2E1902F9">
      <w:pPr>
        <w:pageBreakBefore w:val="0"/>
        <w:wordWrap/>
        <w:bidi w:val="0"/>
        <w:adjustRightInd/>
        <w:snapToGrid/>
        <w:ind w:firstLine="480"/>
        <w:rPr>
          <w:rFonts w:hint="eastAsia"/>
          <w:color w:val="auto"/>
        </w:rPr>
      </w:pPr>
      <w:r>
        <w:rPr>
          <w:rFonts w:hint="eastAsia"/>
          <w:color w:val="auto"/>
          <w:lang w:val="en-US" w:eastAsia="zh-CN"/>
        </w:rPr>
        <w:t>C.</w:t>
      </w:r>
      <w:r>
        <w:rPr>
          <w:rFonts w:hint="eastAsia"/>
          <w:color w:val="auto"/>
        </w:rPr>
        <w:t>因倾斜安装，对加工精度和安装精度要求高，往往造成回转轴偏心而无法运行。</w:t>
      </w:r>
    </w:p>
    <w:p w14:paraId="18C8DFAB">
      <w:pPr>
        <w:pageBreakBefore w:val="0"/>
        <w:wordWrap/>
        <w:bidi w:val="0"/>
        <w:adjustRightInd/>
        <w:snapToGrid/>
        <w:ind w:firstLine="480"/>
        <w:rPr>
          <w:rFonts w:hint="eastAsia"/>
          <w:b/>
          <w:bCs/>
          <w:color w:val="auto"/>
        </w:rPr>
      </w:pPr>
      <w:r>
        <w:rPr>
          <w:rFonts w:hint="eastAsia"/>
          <w:b/>
          <w:bCs/>
          <w:color w:val="auto"/>
          <w:lang w:val="en-US" w:eastAsia="zh-CN"/>
        </w:rPr>
        <w:t>2）</w:t>
      </w:r>
      <w:r>
        <w:rPr>
          <w:rFonts w:hint="eastAsia"/>
          <w:b/>
          <w:bCs/>
          <w:color w:val="auto"/>
        </w:rPr>
        <w:t>滚筒格栅</w:t>
      </w:r>
    </w:p>
    <w:p w14:paraId="5391DE99">
      <w:pPr>
        <w:pageBreakBefore w:val="0"/>
        <w:wordWrap/>
        <w:bidi w:val="0"/>
        <w:adjustRightInd/>
        <w:snapToGrid/>
        <w:ind w:firstLine="480"/>
        <w:rPr>
          <w:rFonts w:hint="eastAsia"/>
          <w:color w:val="auto"/>
        </w:rPr>
      </w:pPr>
      <w:r>
        <w:rPr>
          <w:rFonts w:hint="eastAsia"/>
          <w:color w:val="auto"/>
        </w:rPr>
        <w:t>滚筒格栅是一种连续自动过滤分离出液体中固体颗粒和纤维毛发等杂质的设备。滚筒格栅主要由机体外壳、驱动装置、滚筒状栅网</w:t>
      </w:r>
      <w:r>
        <w:rPr>
          <w:rFonts w:hint="eastAsia"/>
          <w:color w:val="auto"/>
          <w:lang w:eastAsia="zh-CN"/>
        </w:rPr>
        <w:t>（</w:t>
      </w:r>
      <w:r>
        <w:rPr>
          <w:rFonts w:hint="eastAsia"/>
          <w:color w:val="auto"/>
        </w:rPr>
        <w:t>网筒</w:t>
      </w:r>
      <w:r>
        <w:rPr>
          <w:rFonts w:hint="eastAsia"/>
          <w:color w:val="auto"/>
          <w:lang w:eastAsia="zh-CN"/>
        </w:rPr>
        <w:t>）</w:t>
      </w:r>
      <w:r>
        <w:rPr>
          <w:rFonts w:hint="eastAsia"/>
          <w:color w:val="auto"/>
        </w:rPr>
        <w:t>、进水配水管、反冲洗水管、毛刷轴等部件组成。来水经配水管从格栅进水端中心位置流入滚筒内部，在重力作用下通过栅网实现固液分离。系统出水汇入格栅下箱体后从底部开孔流出到后续工序</w:t>
      </w:r>
      <w:r>
        <w:rPr>
          <w:rFonts w:hint="eastAsia"/>
          <w:color w:val="auto"/>
          <w:lang w:eastAsia="zh-CN"/>
        </w:rPr>
        <w:t>：</w:t>
      </w:r>
      <w:r>
        <w:rPr>
          <w:rFonts w:hint="eastAsia"/>
          <w:color w:val="auto"/>
        </w:rPr>
        <w:t>杂质被截留在网筒内侧，在格栅运转过程中利用网筒内壁上呈螺旋状排列的导料板排出格栅。滚筒格栅反冲洗系统对滚筒进行清洗。</w:t>
      </w:r>
    </w:p>
    <w:p w14:paraId="0D8B6DEE">
      <w:pPr>
        <w:pageBreakBefore w:val="0"/>
        <w:wordWrap/>
        <w:bidi w:val="0"/>
        <w:adjustRightInd/>
        <w:snapToGrid/>
        <w:ind w:firstLine="480"/>
        <w:rPr>
          <w:rFonts w:hint="eastAsia"/>
          <w:color w:val="auto"/>
          <w:lang w:eastAsia="zh-CN"/>
        </w:rPr>
      </w:pPr>
      <w:r>
        <w:rPr>
          <w:rFonts w:hint="eastAsia"/>
          <w:color w:val="auto"/>
        </w:rPr>
        <w:t>滚筒格栅拦截效率和去除效率较高，但存在以下不足</w:t>
      </w:r>
      <w:r>
        <w:rPr>
          <w:rFonts w:hint="eastAsia"/>
          <w:color w:val="auto"/>
          <w:lang w:eastAsia="zh-CN"/>
        </w:rPr>
        <w:t>：</w:t>
      </w:r>
    </w:p>
    <w:p w14:paraId="0FC35E7B">
      <w:pPr>
        <w:pageBreakBefore w:val="0"/>
        <w:wordWrap/>
        <w:bidi w:val="0"/>
        <w:adjustRightInd/>
        <w:snapToGrid/>
        <w:ind w:firstLine="480"/>
        <w:rPr>
          <w:rFonts w:hint="eastAsia" w:eastAsia="宋体"/>
          <w:color w:val="auto"/>
          <w:lang w:eastAsia="zh-CN"/>
        </w:rPr>
      </w:pPr>
      <w:r>
        <w:rPr>
          <w:rFonts w:hint="eastAsia"/>
          <w:color w:val="auto"/>
          <w:lang w:val="en-US" w:eastAsia="zh-CN"/>
        </w:rPr>
        <w:t>A.</w:t>
      </w:r>
      <w:r>
        <w:rPr>
          <w:rFonts w:hint="eastAsia"/>
          <w:color w:val="auto"/>
        </w:rPr>
        <w:t>由于采用管道进水的方式，其水头损失大，通常会超过1m需要二次提升</w:t>
      </w:r>
      <w:r>
        <w:rPr>
          <w:rFonts w:hint="eastAsia"/>
          <w:color w:val="auto"/>
          <w:lang w:eastAsia="zh-CN"/>
        </w:rPr>
        <w:t>；</w:t>
      </w:r>
    </w:p>
    <w:p w14:paraId="0F026101">
      <w:pPr>
        <w:pageBreakBefore w:val="0"/>
        <w:wordWrap/>
        <w:bidi w:val="0"/>
        <w:adjustRightInd/>
        <w:snapToGrid/>
        <w:ind w:firstLine="480"/>
        <w:rPr>
          <w:rFonts w:hint="eastAsia"/>
          <w:color w:val="auto"/>
        </w:rPr>
      </w:pPr>
      <w:r>
        <w:rPr>
          <w:rFonts w:hint="eastAsia"/>
          <w:color w:val="auto"/>
          <w:lang w:val="en-US" w:eastAsia="zh-CN"/>
        </w:rPr>
        <w:t>B.</w:t>
      </w:r>
      <w:r>
        <w:rPr>
          <w:rFonts w:hint="eastAsia"/>
          <w:color w:val="auto"/>
        </w:rPr>
        <w:t>单台处理水量较小，适用范围较小。</w:t>
      </w:r>
    </w:p>
    <w:p w14:paraId="40AA1264">
      <w:pPr>
        <w:pageBreakBefore w:val="0"/>
        <w:wordWrap/>
        <w:bidi w:val="0"/>
        <w:adjustRightInd/>
        <w:snapToGrid/>
        <w:ind w:firstLine="480"/>
        <w:rPr>
          <w:rFonts w:hint="eastAsia"/>
          <w:b/>
          <w:bCs/>
          <w:color w:val="auto"/>
        </w:rPr>
      </w:pPr>
      <w:r>
        <w:rPr>
          <w:rFonts w:hint="eastAsia"/>
          <w:b/>
          <w:bCs/>
          <w:color w:val="auto"/>
          <w:lang w:val="en-US" w:eastAsia="zh-CN"/>
        </w:rPr>
        <w:t>3）</w:t>
      </w:r>
      <w:r>
        <w:rPr>
          <w:rFonts w:hint="eastAsia"/>
          <w:b/>
          <w:bCs/>
          <w:color w:val="auto"/>
        </w:rPr>
        <w:t>内进流孔板格栅</w:t>
      </w:r>
    </w:p>
    <w:p w14:paraId="7901548A">
      <w:pPr>
        <w:pageBreakBefore w:val="0"/>
        <w:wordWrap/>
        <w:bidi w:val="0"/>
        <w:adjustRightInd/>
        <w:snapToGrid/>
        <w:ind w:firstLine="480"/>
        <w:rPr>
          <w:color w:val="auto"/>
        </w:rPr>
      </w:pPr>
      <w:r>
        <w:rPr>
          <w:rFonts w:hint="eastAsia"/>
          <w:color w:val="auto"/>
        </w:rPr>
        <w:t>内进流孔板格栅是一款精确高效去除污水中毛发和细小纤维物的预处理产品，解决运行过程中因毛发纤维物对管道、水泵、搅拌器膜等设备和工艺缠绕、堵塞、板结等客户痛点问题，其工作原理为</w:t>
      </w:r>
      <w:r>
        <w:rPr>
          <w:rFonts w:hint="eastAsia"/>
          <w:color w:val="auto"/>
          <w:lang w:eastAsia="zh-CN"/>
        </w:rPr>
        <w:t>：</w:t>
      </w:r>
      <w:r>
        <w:rPr>
          <w:rFonts w:hint="eastAsia"/>
          <w:color w:val="auto"/>
        </w:rPr>
        <w:t>污水从中间进两侧出的</w:t>
      </w:r>
      <w:r>
        <w:rPr>
          <w:rFonts w:hint="eastAsia"/>
          <w:color w:val="auto"/>
          <w:lang w:eastAsia="zh-CN"/>
        </w:rPr>
        <w:t>“</w:t>
      </w:r>
      <w:r>
        <w:rPr>
          <w:rFonts w:hint="eastAsia"/>
          <w:color w:val="auto"/>
        </w:rPr>
        <w:t>二维过滤</w:t>
      </w:r>
      <w:r>
        <w:rPr>
          <w:rFonts w:hint="eastAsia"/>
          <w:color w:val="auto"/>
          <w:lang w:eastAsia="zh-CN"/>
        </w:rPr>
        <w:t>”</w:t>
      </w:r>
      <w:r>
        <w:rPr>
          <w:rFonts w:hint="eastAsia"/>
          <w:color w:val="auto"/>
        </w:rPr>
        <w:t>方式经过孔板格栅，栅渣纤维物被截留在孔板内侧，孔板旋转运行至设备顶部时进行反冲洗，栅渣纤维物与冲洗水共同进入收渣槽，实现固液分离。设备工作时水流流向如图</w:t>
      </w:r>
      <w:r>
        <w:rPr>
          <w:rFonts w:hint="eastAsia"/>
          <w:color w:val="auto"/>
          <w:lang w:val="en-US" w:eastAsia="zh-CN"/>
        </w:rPr>
        <w:t>2.2-1</w:t>
      </w:r>
      <w:r>
        <w:rPr>
          <w:rFonts w:hint="eastAsia"/>
          <w:color w:val="auto"/>
        </w:rPr>
        <w:t>所示。</w:t>
      </w:r>
    </w:p>
    <w:p w14:paraId="7152088C">
      <w:pPr>
        <w:pageBreakBefore w:val="0"/>
        <w:wordWrap/>
        <w:bidi w:val="0"/>
        <w:adjustRightInd/>
        <w:snapToGrid/>
        <w:ind w:firstLine="480"/>
        <w:rPr>
          <w:color w:val="auto"/>
        </w:rPr>
      </w:pPr>
      <w:r>
        <w:rPr>
          <w:color w:val="auto"/>
        </w:rPr>
        <w:drawing>
          <wp:inline distT="0" distB="0" distL="114300" distR="114300">
            <wp:extent cx="1995805" cy="2753360"/>
            <wp:effectExtent l="0" t="0" r="0" b="0"/>
            <wp:docPr id="148"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00"/>
                    <pic:cNvPicPr>
                      <a:picLocks noChangeAspect="1"/>
                    </pic:cNvPicPr>
                  </pic:nvPicPr>
                  <pic:blipFill>
                    <a:blip r:embed="rId39"/>
                    <a:stretch>
                      <a:fillRect/>
                    </a:stretch>
                  </pic:blipFill>
                  <pic:spPr>
                    <a:xfrm>
                      <a:off x="0" y="0"/>
                      <a:ext cx="1995805" cy="2753360"/>
                    </a:xfrm>
                    <a:prstGeom prst="rect">
                      <a:avLst/>
                    </a:prstGeom>
                    <a:noFill/>
                    <a:ln>
                      <a:noFill/>
                    </a:ln>
                  </pic:spPr>
                </pic:pic>
              </a:graphicData>
            </a:graphic>
          </wp:inline>
        </w:drawing>
      </w:r>
      <w:r>
        <w:rPr>
          <w:color w:val="auto"/>
        </w:rPr>
        <w:drawing>
          <wp:inline distT="0" distB="0" distL="114300" distR="114300">
            <wp:extent cx="2473960" cy="2746375"/>
            <wp:effectExtent l="0" t="0" r="0" b="0"/>
            <wp:docPr id="149"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01"/>
                    <pic:cNvPicPr>
                      <a:picLocks noChangeAspect="1"/>
                    </pic:cNvPicPr>
                  </pic:nvPicPr>
                  <pic:blipFill>
                    <a:blip r:embed="rId40"/>
                    <a:stretch>
                      <a:fillRect/>
                    </a:stretch>
                  </pic:blipFill>
                  <pic:spPr>
                    <a:xfrm>
                      <a:off x="0" y="0"/>
                      <a:ext cx="2473960" cy="2746375"/>
                    </a:xfrm>
                    <a:prstGeom prst="rect">
                      <a:avLst/>
                    </a:prstGeom>
                    <a:noFill/>
                    <a:ln>
                      <a:noFill/>
                    </a:ln>
                  </pic:spPr>
                </pic:pic>
              </a:graphicData>
            </a:graphic>
          </wp:inline>
        </w:drawing>
      </w:r>
    </w:p>
    <w:p w14:paraId="468FFD88">
      <w:pPr>
        <w:pStyle w:val="19"/>
        <w:numPr>
          <w:ilvl w:val="0"/>
          <w:numId w:val="0"/>
        </w:numPr>
        <w:tabs>
          <w:tab w:val="clear" w:pos="0"/>
        </w:tabs>
        <w:bidi w:val="0"/>
        <w:ind w:leftChars="0"/>
        <w:jc w:val="center"/>
        <w:rPr>
          <w:color w:val="auto"/>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1</w:t>
      </w:r>
      <w:r>
        <w:rPr>
          <w:color w:val="auto"/>
        </w:rPr>
        <w:fldChar w:fldCharType="end"/>
      </w:r>
      <w:r>
        <w:rPr>
          <w:rFonts w:hint="eastAsia"/>
          <w:color w:val="auto"/>
        </w:rPr>
        <w:t>设备工作水流流向示意图</w:t>
      </w:r>
    </w:p>
    <w:p w14:paraId="6F14DDA7">
      <w:pPr>
        <w:pageBreakBefore w:val="0"/>
        <w:wordWrap/>
        <w:bidi w:val="0"/>
        <w:adjustRightInd/>
        <w:snapToGrid/>
        <w:rPr>
          <w:rFonts w:hint="default" w:eastAsia="宋体"/>
          <w:b/>
          <w:bCs/>
          <w:color w:val="auto"/>
          <w:lang w:val="en-US" w:eastAsia="zh-CN"/>
        </w:rPr>
      </w:pPr>
      <w:r>
        <w:rPr>
          <w:rFonts w:hint="eastAsia"/>
          <w:b/>
          <w:bCs/>
          <w:color w:val="auto"/>
          <w:lang w:val="en-US" w:eastAsia="zh-CN"/>
        </w:rPr>
        <w:t>（2）提高生化性方法</w:t>
      </w:r>
    </w:p>
    <w:p w14:paraId="560FD2FC">
      <w:pPr>
        <w:pageBreakBefore w:val="0"/>
        <w:wordWrap/>
        <w:bidi w:val="0"/>
        <w:adjustRightInd/>
        <w:snapToGrid/>
        <w:rPr>
          <w:rFonts w:hint="eastAsia"/>
          <w:b/>
          <w:bCs/>
          <w:color w:val="auto"/>
          <w:lang w:val="en-US" w:eastAsia="zh-CN"/>
        </w:rPr>
      </w:pPr>
      <w:r>
        <w:rPr>
          <w:rFonts w:hint="eastAsia"/>
          <w:b/>
          <w:bCs/>
          <w:color w:val="auto"/>
          <w:lang w:val="en-US" w:eastAsia="zh-CN"/>
        </w:rPr>
        <w:t xml:space="preserve">1）外加碳源 </w:t>
      </w:r>
    </w:p>
    <w:p w14:paraId="0B923C11">
      <w:pPr>
        <w:pageBreakBefore w:val="0"/>
        <w:wordWrap/>
        <w:bidi w:val="0"/>
        <w:adjustRightInd/>
        <w:snapToGrid/>
        <w:rPr>
          <w:rFonts w:hint="default"/>
          <w:color w:val="auto"/>
          <w:lang w:val="en-US" w:eastAsia="zh-CN"/>
        </w:rPr>
      </w:pPr>
      <w:r>
        <w:rPr>
          <w:rFonts w:hint="eastAsia"/>
          <w:color w:val="auto"/>
          <w:lang w:val="en-US" w:eastAsia="zh-CN"/>
        </w:rPr>
        <w:t>外加碳源有两种方法：直接投加甲醇、乙酸钠和引入城市生活污水。</w:t>
      </w:r>
    </w:p>
    <w:p w14:paraId="045D5AE9">
      <w:pPr>
        <w:pageBreakBefore w:val="0"/>
        <w:wordWrap/>
        <w:bidi w:val="0"/>
        <w:adjustRightInd/>
        <w:snapToGrid/>
        <w:rPr>
          <w:rFonts w:hint="eastAsia"/>
          <w:color w:val="auto"/>
        </w:rPr>
      </w:pPr>
      <w:r>
        <w:rPr>
          <w:rFonts w:hint="eastAsia"/>
          <w:color w:val="auto"/>
        </w:rPr>
        <w:t>投加甲醇直接简单，但属于易燃易爆的化学药品，危险等级较高适用于长期使用且用量大的污水处理厂。</w:t>
      </w:r>
    </w:p>
    <w:p w14:paraId="28410A28">
      <w:pPr>
        <w:pageBreakBefore w:val="0"/>
        <w:wordWrap/>
        <w:bidi w:val="0"/>
        <w:adjustRightInd/>
        <w:snapToGrid/>
        <w:rPr>
          <w:rFonts w:hint="eastAsia"/>
          <w:color w:val="auto"/>
        </w:rPr>
      </w:pPr>
      <w:r>
        <w:rPr>
          <w:rFonts w:hint="eastAsia"/>
          <w:color w:val="auto"/>
        </w:rPr>
        <w:t>投加乙酸钠直接简单</w:t>
      </w:r>
      <w:r>
        <w:rPr>
          <w:rFonts w:hint="eastAsia"/>
          <w:color w:val="auto"/>
          <w:lang w:eastAsia="zh-CN"/>
        </w:rPr>
        <w:t>，</w:t>
      </w:r>
      <w:r>
        <w:rPr>
          <w:rFonts w:hint="eastAsia"/>
          <w:color w:val="auto"/>
        </w:rPr>
        <w:t>运行成本较甲醇高</w:t>
      </w:r>
      <w:r>
        <w:rPr>
          <w:rFonts w:hint="eastAsia"/>
          <w:color w:val="auto"/>
          <w:lang w:eastAsia="zh-CN"/>
        </w:rPr>
        <w:t>，</w:t>
      </w:r>
      <w:r>
        <w:rPr>
          <w:rFonts w:hint="eastAsia"/>
          <w:color w:val="auto"/>
        </w:rPr>
        <w:t>在</w:t>
      </w:r>
      <w:r>
        <w:rPr>
          <w:rFonts w:hint="eastAsia"/>
          <w:color w:val="auto"/>
          <w:lang w:eastAsia="zh-CN"/>
        </w:rPr>
        <w:t>污水处理厂</w:t>
      </w:r>
      <w:r>
        <w:rPr>
          <w:rFonts w:hint="eastAsia"/>
          <w:color w:val="auto"/>
        </w:rPr>
        <w:t>有应用实例适用于用量较小的污水处理厂。</w:t>
      </w:r>
    </w:p>
    <w:p w14:paraId="22474E31">
      <w:pPr>
        <w:pageBreakBefore w:val="0"/>
        <w:wordWrap/>
        <w:bidi w:val="0"/>
        <w:adjustRightInd/>
        <w:snapToGrid/>
        <w:rPr>
          <w:rFonts w:hint="eastAsia"/>
          <w:b/>
          <w:bCs/>
          <w:color w:val="auto"/>
        </w:rPr>
      </w:pPr>
      <w:r>
        <w:rPr>
          <w:rFonts w:hint="eastAsia"/>
          <w:b/>
          <w:bCs/>
          <w:color w:val="auto"/>
          <w:lang w:val="en-US" w:eastAsia="zh-CN"/>
        </w:rPr>
        <w:t>2）</w:t>
      </w:r>
      <w:r>
        <w:rPr>
          <w:rFonts w:hint="eastAsia"/>
          <w:b/>
          <w:bCs/>
          <w:color w:val="auto"/>
        </w:rPr>
        <w:t>水解酸化</w:t>
      </w:r>
    </w:p>
    <w:p w14:paraId="274F2388">
      <w:pPr>
        <w:pageBreakBefore w:val="0"/>
        <w:wordWrap/>
        <w:bidi w:val="0"/>
        <w:adjustRightInd/>
        <w:snapToGrid/>
        <w:rPr>
          <w:rFonts w:hint="eastAsia"/>
          <w:color w:val="auto"/>
        </w:rPr>
      </w:pPr>
      <w:r>
        <w:rPr>
          <w:rFonts w:hint="eastAsia"/>
          <w:color w:val="auto"/>
        </w:rPr>
        <w:t>水解酸化是将水中的固体、大分子和不易生物降解的有机物降解为易于生物降解的小分子有机物，提高了废水的可生化性。</w:t>
      </w:r>
    </w:p>
    <w:p w14:paraId="53808255">
      <w:pPr>
        <w:pageBreakBefore w:val="0"/>
        <w:wordWrap/>
        <w:bidi w:val="0"/>
        <w:adjustRightInd/>
        <w:snapToGrid/>
        <w:rPr>
          <w:rFonts w:hint="eastAsia"/>
          <w:color w:val="auto"/>
        </w:rPr>
      </w:pPr>
      <w:r>
        <w:rPr>
          <w:rFonts w:hint="eastAsia"/>
          <w:color w:val="auto"/>
        </w:rPr>
        <w:t>水解酸化对有机物的去除主要是对悬浮性有机物，对溶解性有机物去除率则很低，保证了后续脱氮除磷对其的需求，也提高了氮、磷的去除率。</w:t>
      </w:r>
    </w:p>
    <w:p w14:paraId="092D4A14">
      <w:pPr>
        <w:pageBreakBefore w:val="0"/>
        <w:wordWrap/>
        <w:bidi w:val="0"/>
        <w:adjustRightInd/>
        <w:snapToGrid/>
        <w:rPr>
          <w:rFonts w:hint="eastAsia"/>
          <w:color w:val="auto"/>
        </w:rPr>
      </w:pPr>
      <w:r>
        <w:rPr>
          <w:rFonts w:hint="eastAsia"/>
          <w:color w:val="auto"/>
        </w:rPr>
        <w:t>水解酸化也具有沉淀作用，通过加药沉淀，可有效去除污水中的重金属离子。</w:t>
      </w:r>
    </w:p>
    <w:p w14:paraId="5E28CC1A">
      <w:pPr>
        <w:pageBreakBefore w:val="0"/>
        <w:wordWrap/>
        <w:bidi w:val="0"/>
        <w:adjustRightInd/>
        <w:snapToGrid/>
        <w:rPr>
          <w:color w:val="auto"/>
        </w:rPr>
      </w:pPr>
      <w:r>
        <w:rPr>
          <w:rFonts w:hint="eastAsia"/>
          <w:color w:val="auto"/>
        </w:rPr>
        <w:t>因此，水解酸化尤其适用于对工业废水的酸化预处理，利于后续的好氧生物处理，在相同的停留时间内，可提高有机物的去除率，或在同样的去除率前提下，可缩短曝气时间，降低能耗，在工业废水治理中已得到广泛的应用。</w:t>
      </w:r>
    </w:p>
    <w:p w14:paraId="6694C409">
      <w:pPr>
        <w:pageBreakBefore w:val="0"/>
        <w:wordWrap/>
        <w:bidi w:val="0"/>
        <w:adjustRightInd/>
        <w:snapToGrid/>
        <w:rPr>
          <w:rFonts w:hint="eastAsia"/>
          <w:color w:val="auto"/>
        </w:rPr>
      </w:pPr>
      <w:r>
        <w:rPr>
          <w:rFonts w:hint="eastAsia"/>
          <w:color w:val="auto"/>
        </w:rPr>
        <w:t>国内相关研究资料表明，水解酸化与后续好氧处理结合，较传统的活性污泥法，在基建投资、能耗和运转费用上分别可减少37%、40%和38%。</w:t>
      </w:r>
    </w:p>
    <w:p w14:paraId="6BF21BB8">
      <w:pPr>
        <w:pageBreakBefore w:val="0"/>
        <w:wordWrap/>
        <w:bidi w:val="0"/>
        <w:adjustRightInd/>
        <w:snapToGrid/>
        <w:rPr>
          <w:rFonts w:hint="eastAsia"/>
          <w:color w:val="auto"/>
        </w:rPr>
      </w:pPr>
      <w:r>
        <w:rPr>
          <w:rFonts w:hint="eastAsia"/>
          <w:color w:val="auto"/>
        </w:rPr>
        <w:t>考虑到近期工程建成后</w:t>
      </w:r>
      <w:r>
        <w:rPr>
          <w:rFonts w:hint="eastAsia"/>
          <w:color w:val="auto"/>
          <w:lang w:eastAsia="zh-CN"/>
        </w:rPr>
        <w:t>污水处理厂</w:t>
      </w:r>
      <w:r>
        <w:rPr>
          <w:rFonts w:hint="eastAsia"/>
          <w:color w:val="auto"/>
        </w:rPr>
        <w:t>实际进水水质的不确定性，为确保</w:t>
      </w:r>
      <w:r>
        <w:rPr>
          <w:rFonts w:hint="eastAsia"/>
          <w:color w:val="auto"/>
          <w:lang w:eastAsia="zh-CN"/>
        </w:rPr>
        <w:t>污水处理厂</w:t>
      </w:r>
      <w:r>
        <w:rPr>
          <w:rFonts w:hint="eastAsia"/>
          <w:color w:val="auto"/>
        </w:rPr>
        <w:t>出水达标，本报告建议设置水解酸化池，以提高原污水的可生化性。</w:t>
      </w:r>
    </w:p>
    <w:p w14:paraId="015D89F5">
      <w:pPr>
        <w:pageBreakBefore w:val="0"/>
        <w:wordWrap/>
        <w:bidi w:val="0"/>
        <w:adjustRightInd/>
        <w:snapToGrid/>
        <w:rPr>
          <w:b/>
          <w:bCs/>
          <w:color w:val="auto"/>
        </w:rPr>
      </w:pPr>
      <w:r>
        <w:rPr>
          <w:rFonts w:hint="eastAsia"/>
          <w:b/>
          <w:bCs/>
          <w:color w:val="auto"/>
        </w:rPr>
        <w:t>综上所述</w:t>
      </w:r>
      <w:r>
        <w:rPr>
          <w:rFonts w:hint="eastAsia"/>
          <w:b/>
          <w:bCs/>
          <w:color w:val="auto"/>
          <w:lang w:eastAsia="zh-CN"/>
        </w:rPr>
        <w:t>，</w:t>
      </w:r>
      <w:r>
        <w:rPr>
          <w:rFonts w:hint="eastAsia"/>
          <w:b/>
          <w:bCs/>
          <w:color w:val="auto"/>
        </w:rPr>
        <w:t>该项目的污水一级处理方案为超细格栅+调节池+水解酸化池的设计方案。</w:t>
      </w:r>
    </w:p>
    <w:p w14:paraId="347AA991">
      <w:pPr>
        <w:pageBreakBefore w:val="0"/>
        <w:wordWrap/>
        <w:bidi w:val="0"/>
        <w:adjustRightInd/>
        <w:snapToGrid/>
        <w:ind w:firstLine="482"/>
        <w:rPr>
          <w:rFonts w:hint="default" w:eastAsia="宋体"/>
          <w:b/>
          <w:bCs/>
          <w:color w:val="auto"/>
          <w:lang w:val="en-US" w:eastAsia="zh-CN"/>
        </w:rPr>
      </w:pPr>
      <w:r>
        <w:rPr>
          <w:rFonts w:hint="eastAsia"/>
          <w:b/>
          <w:bCs/>
          <w:color w:val="auto"/>
          <w:lang w:val="en-US" w:eastAsia="zh-CN"/>
        </w:rPr>
        <w:t>2、二级处理工艺选择</w:t>
      </w:r>
    </w:p>
    <w:p w14:paraId="7445B6E9">
      <w:pPr>
        <w:pageBreakBefore w:val="0"/>
        <w:wordWrap/>
        <w:bidi w:val="0"/>
        <w:adjustRightInd/>
        <w:snapToGrid/>
        <w:rPr>
          <w:rFonts w:hint="eastAsia"/>
          <w:color w:val="auto"/>
        </w:rPr>
      </w:pPr>
      <w:r>
        <w:rPr>
          <w:rFonts w:hint="eastAsia"/>
          <w:color w:val="auto"/>
        </w:rPr>
        <w:t>根据本工程接纳的污水特性及去除目标，要重点考虑的去除项目是COD、BOD、SS、TN、TP，因此必须采用具备同步生物脱氨除磷的工艺。根据设计原则和设计要求，本工程拟比选出一个投资省、运行费用低、耐冲击性强、技术成熟、处理效果稳定可靠、运行管理方便、要求操作运转灵活、技术设备先进、运行费用较低、成套性好、便于分期实施的处理工艺，</w:t>
      </w:r>
    </w:p>
    <w:p w14:paraId="6352B041">
      <w:pPr>
        <w:pageBreakBefore w:val="0"/>
        <w:wordWrap/>
        <w:bidi w:val="0"/>
        <w:adjustRightInd/>
        <w:snapToGrid/>
        <w:rPr>
          <w:rFonts w:hint="eastAsia"/>
          <w:color w:val="auto"/>
        </w:rPr>
      </w:pPr>
      <w:r>
        <w:rPr>
          <w:rFonts w:hint="eastAsia"/>
          <w:color w:val="auto"/>
        </w:rPr>
        <w:t>根据进出水水质情况并结合项目建设地的实际情况，适用的工艺有A</w:t>
      </w:r>
      <w:r>
        <w:rPr>
          <w:rFonts w:hint="eastAsia"/>
          <w:color w:val="auto"/>
          <w:lang w:val="en-US" w:eastAsia="zh-CN"/>
        </w:rPr>
        <w:t>²</w:t>
      </w:r>
      <w:r>
        <w:rPr>
          <w:rFonts w:hint="eastAsia"/>
          <w:color w:val="auto"/>
        </w:rPr>
        <w:t>/</w:t>
      </w:r>
      <w:r>
        <w:rPr>
          <w:rFonts w:hint="eastAsia"/>
          <w:color w:val="auto"/>
          <w:lang w:val="en-US" w:eastAsia="zh-CN"/>
        </w:rPr>
        <w:t>O</w:t>
      </w:r>
      <w:r>
        <w:rPr>
          <w:rFonts w:hint="eastAsia"/>
          <w:color w:val="auto"/>
        </w:rPr>
        <w:t>工艺、移动床生物膜</w:t>
      </w:r>
      <w:r>
        <w:rPr>
          <w:rFonts w:hint="eastAsia"/>
          <w:color w:val="auto"/>
          <w:lang w:eastAsia="zh-CN"/>
        </w:rPr>
        <w:t>（</w:t>
      </w:r>
      <w:r>
        <w:rPr>
          <w:rFonts w:hint="eastAsia"/>
          <w:color w:val="auto"/>
        </w:rPr>
        <w:t>MBBR</w:t>
      </w:r>
      <w:r>
        <w:rPr>
          <w:rFonts w:hint="eastAsia"/>
          <w:color w:val="auto"/>
          <w:lang w:eastAsia="zh-CN"/>
        </w:rPr>
        <w:t>）</w:t>
      </w:r>
      <w:r>
        <w:rPr>
          <w:rFonts w:hint="eastAsia"/>
          <w:color w:val="auto"/>
        </w:rPr>
        <w:t>工艺、EBIS工艺等，现对这几种工艺进行比较。</w:t>
      </w:r>
    </w:p>
    <w:p w14:paraId="572EB43B">
      <w:pPr>
        <w:pageBreakBefore w:val="0"/>
        <w:wordWrap/>
        <w:bidi w:val="0"/>
        <w:adjustRightInd/>
        <w:snapToGrid/>
        <w:rPr>
          <w:rFonts w:hint="eastAsia"/>
          <w:b/>
          <w:bCs/>
          <w:color w:val="auto"/>
        </w:rPr>
      </w:pPr>
      <w:r>
        <w:rPr>
          <w:rFonts w:hint="eastAsia"/>
          <w:b/>
          <w:bCs/>
          <w:color w:val="auto"/>
          <w:lang w:eastAsia="zh-CN"/>
        </w:rPr>
        <w:t>（</w:t>
      </w:r>
      <w:r>
        <w:rPr>
          <w:rFonts w:hint="eastAsia"/>
          <w:b/>
          <w:bCs/>
          <w:color w:val="auto"/>
        </w:rPr>
        <w:t>1</w:t>
      </w:r>
      <w:r>
        <w:rPr>
          <w:rFonts w:hint="eastAsia"/>
          <w:b/>
          <w:bCs/>
          <w:color w:val="auto"/>
          <w:lang w:eastAsia="zh-CN"/>
        </w:rPr>
        <w:t>）</w:t>
      </w:r>
      <w:r>
        <w:rPr>
          <w:rFonts w:hint="eastAsia"/>
          <w:b/>
          <w:bCs/>
          <w:color w:val="auto"/>
        </w:rPr>
        <w:t>A</w:t>
      </w:r>
      <w:r>
        <w:rPr>
          <w:rFonts w:hint="eastAsia"/>
          <w:b/>
          <w:bCs/>
          <w:color w:val="auto"/>
          <w:lang w:val="en-US" w:eastAsia="zh-CN"/>
        </w:rPr>
        <w:t>²</w:t>
      </w:r>
      <w:r>
        <w:rPr>
          <w:rFonts w:hint="eastAsia"/>
          <w:b/>
          <w:bCs/>
          <w:color w:val="auto"/>
        </w:rPr>
        <w:t>/</w:t>
      </w:r>
      <w:r>
        <w:rPr>
          <w:rFonts w:hint="eastAsia"/>
          <w:b/>
          <w:bCs/>
          <w:color w:val="auto"/>
          <w:lang w:val="en-US" w:eastAsia="zh-CN"/>
        </w:rPr>
        <w:t>O</w:t>
      </w:r>
      <w:r>
        <w:rPr>
          <w:rFonts w:hint="eastAsia"/>
          <w:b/>
          <w:bCs/>
          <w:color w:val="auto"/>
        </w:rPr>
        <w:t>工艺</w:t>
      </w:r>
    </w:p>
    <w:p w14:paraId="08BFCD46">
      <w:pPr>
        <w:pageBreakBefore w:val="0"/>
        <w:wordWrap/>
        <w:bidi w:val="0"/>
        <w:adjustRightInd/>
        <w:snapToGrid/>
        <w:rPr>
          <w:rFonts w:hint="eastAsia"/>
          <w:color w:val="auto"/>
        </w:rPr>
      </w:pPr>
      <w:r>
        <w:rPr>
          <w:rFonts w:hint="eastAsia"/>
          <w:color w:val="auto"/>
        </w:rPr>
        <w:t>对于有除磷脱氮要求的城市污水处理厂，传统上往往考虑首选</w:t>
      </w:r>
      <w:r>
        <w:rPr>
          <w:rFonts w:hint="eastAsia"/>
          <w:color w:val="auto"/>
          <w:lang w:eastAsia="zh-CN"/>
        </w:rPr>
        <w:t>A²/O</w:t>
      </w:r>
      <w:r>
        <w:rPr>
          <w:rFonts w:hint="eastAsia"/>
          <w:color w:val="auto"/>
        </w:rPr>
        <w:t>工艺。</w:t>
      </w:r>
      <w:r>
        <w:rPr>
          <w:rFonts w:hint="eastAsia"/>
          <w:color w:val="auto"/>
          <w:lang w:eastAsia="zh-CN"/>
        </w:rPr>
        <w:t>A²/O</w:t>
      </w:r>
      <w:r>
        <w:rPr>
          <w:rFonts w:hint="eastAsia"/>
          <w:color w:val="auto"/>
        </w:rPr>
        <w:t>工艺根据活性污泥微生物在完成硝化、反硝化以及生物除磷过程对环境条件要求的不同，在不同的池子区域分别设置厌氧区、缺氧区和好氧区。</w:t>
      </w:r>
    </w:p>
    <w:p w14:paraId="6BCD317D">
      <w:pPr>
        <w:pageBreakBefore w:val="0"/>
        <w:wordWrap/>
        <w:bidi w:val="0"/>
        <w:adjustRightInd/>
        <w:snapToGrid/>
        <w:rPr>
          <w:rFonts w:hint="eastAsia" w:eastAsia="宋体"/>
          <w:color w:val="auto"/>
          <w:lang w:eastAsia="zh-CN"/>
        </w:rPr>
      </w:pPr>
      <w:r>
        <w:rPr>
          <w:rFonts w:hint="eastAsia"/>
          <w:color w:val="auto"/>
          <w:lang w:eastAsia="zh-CN"/>
        </w:rPr>
        <w:t>A²/O</w:t>
      </w:r>
      <w:r>
        <w:rPr>
          <w:rFonts w:hint="eastAsia"/>
          <w:color w:val="auto"/>
        </w:rPr>
        <w:t>工艺流程图如下</w:t>
      </w:r>
      <w:r>
        <w:rPr>
          <w:rFonts w:hint="eastAsia"/>
          <w:color w:val="auto"/>
          <w:lang w:eastAsia="zh-CN"/>
        </w:rPr>
        <w:t>：</w:t>
      </w:r>
    </w:p>
    <w:p w14:paraId="69570847">
      <w:pPr>
        <w:pageBreakBefore w:val="0"/>
        <w:wordWrap/>
        <w:bidi w:val="0"/>
        <w:adjustRightInd/>
        <w:snapToGrid/>
        <w:rPr>
          <w:color w:val="auto"/>
        </w:rPr>
      </w:pPr>
      <w:r>
        <w:rPr>
          <w:color w:val="auto"/>
        </w:rPr>
        <w:drawing>
          <wp:inline distT="0" distB="0" distL="114300" distR="114300">
            <wp:extent cx="4589780" cy="1997710"/>
            <wp:effectExtent l="0" t="0" r="0" b="0"/>
            <wp:docPr id="150"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02"/>
                    <pic:cNvPicPr>
                      <a:picLocks noChangeAspect="1"/>
                    </pic:cNvPicPr>
                  </pic:nvPicPr>
                  <pic:blipFill>
                    <a:blip r:embed="rId41"/>
                    <a:stretch>
                      <a:fillRect/>
                    </a:stretch>
                  </pic:blipFill>
                  <pic:spPr>
                    <a:xfrm>
                      <a:off x="0" y="0"/>
                      <a:ext cx="4589780" cy="1997710"/>
                    </a:xfrm>
                    <a:prstGeom prst="rect">
                      <a:avLst/>
                    </a:prstGeom>
                    <a:noFill/>
                    <a:ln>
                      <a:noFill/>
                    </a:ln>
                  </pic:spPr>
                </pic:pic>
              </a:graphicData>
            </a:graphic>
          </wp:inline>
        </w:drawing>
      </w:r>
    </w:p>
    <w:p w14:paraId="44D9751F">
      <w:pPr>
        <w:pStyle w:val="19"/>
        <w:numPr>
          <w:ilvl w:val="0"/>
          <w:numId w:val="0"/>
        </w:numPr>
        <w:tabs>
          <w:tab w:val="clear" w:pos="0"/>
        </w:tabs>
        <w:bidi w:val="0"/>
        <w:ind w:leftChars="0"/>
        <w:jc w:val="center"/>
        <w:rPr>
          <w:color w:val="auto"/>
        </w:rPr>
      </w:pPr>
      <w:r>
        <w:rPr>
          <w:color w:val="auto"/>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2</w:t>
      </w:r>
      <w:r>
        <w:rPr>
          <w:color w:val="auto"/>
        </w:rPr>
        <w:fldChar w:fldCharType="end"/>
      </w:r>
      <w:r>
        <w:rPr>
          <w:rFonts w:hint="eastAsia"/>
          <w:color w:val="auto"/>
          <w:lang w:val="en-US" w:eastAsia="zh-CN"/>
        </w:rPr>
        <w:t xml:space="preserve">  </w:t>
      </w:r>
      <w:r>
        <w:rPr>
          <w:rFonts w:hint="eastAsia"/>
          <w:color w:val="auto"/>
          <w:lang w:eastAsia="zh-CN"/>
        </w:rPr>
        <w:t>A²/O</w:t>
      </w:r>
      <w:r>
        <w:rPr>
          <w:color w:val="auto"/>
        </w:rPr>
        <w:t>工艺流程图</w:t>
      </w:r>
    </w:p>
    <w:p w14:paraId="6C91F3B8">
      <w:pPr>
        <w:pageBreakBefore w:val="0"/>
        <w:wordWrap/>
        <w:bidi w:val="0"/>
        <w:adjustRightInd/>
        <w:snapToGrid/>
        <w:rPr>
          <w:rFonts w:hint="eastAsia"/>
          <w:color w:val="auto"/>
        </w:rPr>
      </w:pPr>
      <w:r>
        <w:rPr>
          <w:rFonts w:hint="eastAsia"/>
          <w:color w:val="auto"/>
        </w:rPr>
        <w:t>脱氮的机理是</w:t>
      </w:r>
      <w:r>
        <w:rPr>
          <w:rFonts w:hint="eastAsia"/>
          <w:color w:val="auto"/>
          <w:lang w:eastAsia="zh-CN"/>
        </w:rPr>
        <w:t>：</w:t>
      </w:r>
      <w:r>
        <w:rPr>
          <w:rFonts w:hint="eastAsia"/>
          <w:color w:val="auto"/>
        </w:rPr>
        <w:t>污水中有机氮、蛋白氮等在好氧条件下转化成氨氮，而后由硝化菌作用变成硝酸盐氮，这阶段称为好氧硝化。随后在缺氧条件下，由反硝化菌作用，使硝酸盐氨变成氮气逸出，这阶段称为缺氧反硝化。整个生物脱氮过程就是氮的分解还原反应，反应能量从有机物中获取。</w:t>
      </w:r>
    </w:p>
    <w:p w14:paraId="45321EC9">
      <w:pPr>
        <w:pageBreakBefore w:val="0"/>
        <w:wordWrap/>
        <w:bidi w:val="0"/>
        <w:adjustRightInd/>
        <w:snapToGrid/>
        <w:rPr>
          <w:rFonts w:hint="eastAsia"/>
          <w:color w:val="auto"/>
        </w:rPr>
      </w:pPr>
      <w:r>
        <w:rPr>
          <w:rFonts w:hint="eastAsia"/>
          <w:color w:val="auto"/>
        </w:rPr>
        <w:t>除磷的机理是</w:t>
      </w:r>
      <w:r>
        <w:rPr>
          <w:rFonts w:hint="eastAsia"/>
          <w:color w:val="auto"/>
          <w:lang w:eastAsia="zh-CN"/>
        </w:rPr>
        <w:t>：</w:t>
      </w:r>
      <w:r>
        <w:rPr>
          <w:rFonts w:hint="eastAsia"/>
          <w:color w:val="auto"/>
        </w:rPr>
        <w:t>在厌氧段，聚磷菌将体内的聚磷酸盐释放并吸收低分子脂肪酸以PHB的形式贮存能量，在好氧状态时，聚磷菌分解体内的PHB获得能量，过量吸收环境中的正磷酸盐，从而去除污水中的磷。</w:t>
      </w:r>
    </w:p>
    <w:p w14:paraId="602064BA">
      <w:pPr>
        <w:pageBreakBefore w:val="0"/>
        <w:wordWrap/>
        <w:bidi w:val="0"/>
        <w:adjustRightInd/>
        <w:snapToGrid/>
        <w:rPr>
          <w:rFonts w:hint="eastAsia" w:eastAsia="宋体"/>
          <w:color w:val="auto"/>
          <w:lang w:eastAsia="zh-CN"/>
        </w:rPr>
      </w:pPr>
      <w:r>
        <w:rPr>
          <w:rFonts w:hint="eastAsia"/>
          <w:color w:val="auto"/>
          <w:lang w:eastAsia="zh-CN"/>
        </w:rPr>
        <w:t>A²/O</w:t>
      </w:r>
      <w:r>
        <w:rPr>
          <w:rFonts w:hint="eastAsia"/>
          <w:color w:val="auto"/>
        </w:rPr>
        <w:t>工艺应用较为广泛，历史较长，已积累有一定的设计和运行经验</w:t>
      </w:r>
      <w:r>
        <w:rPr>
          <w:rFonts w:hint="eastAsia"/>
          <w:color w:val="auto"/>
          <w:lang w:eastAsia="zh-CN"/>
        </w:rPr>
        <w:t>，</w:t>
      </w:r>
      <w:r>
        <w:rPr>
          <w:rFonts w:hint="eastAsia"/>
          <w:color w:val="auto"/>
        </w:rPr>
        <w:t>通过精心的控制和调节</w:t>
      </w:r>
      <w:r>
        <w:rPr>
          <w:rFonts w:hint="eastAsia"/>
          <w:color w:val="auto"/>
          <w:lang w:eastAsia="zh-CN"/>
        </w:rPr>
        <w:t>，</w:t>
      </w:r>
      <w:r>
        <w:rPr>
          <w:rFonts w:hint="eastAsia"/>
          <w:color w:val="auto"/>
        </w:rPr>
        <w:t>一般可以获得较好的除磷脱氮效果出水水质较稳定，在国内外大中型城市污水处理厂常有采用。</w:t>
      </w:r>
      <w:r>
        <w:rPr>
          <w:rFonts w:hint="eastAsia"/>
          <w:color w:val="auto"/>
          <w:lang w:eastAsia="zh-CN"/>
        </w:rPr>
        <w:t>A²/O</w:t>
      </w:r>
      <w:r>
        <w:rPr>
          <w:rFonts w:hint="eastAsia"/>
          <w:color w:val="auto"/>
        </w:rPr>
        <w:t>工艺的优点</w:t>
      </w:r>
      <w:r>
        <w:rPr>
          <w:rFonts w:hint="eastAsia"/>
          <w:color w:val="auto"/>
          <w:lang w:eastAsia="zh-CN"/>
        </w:rPr>
        <w:t>：</w:t>
      </w:r>
    </w:p>
    <w:p w14:paraId="760C14C3">
      <w:pPr>
        <w:pageBreakBefore w:val="0"/>
        <w:numPr>
          <w:ilvl w:val="0"/>
          <w:numId w:val="17"/>
        </w:numPr>
        <w:wordWrap/>
        <w:bidi w:val="0"/>
        <w:adjustRightInd/>
        <w:snapToGrid/>
        <w:rPr>
          <w:rFonts w:hint="eastAsia"/>
          <w:color w:val="auto"/>
        </w:rPr>
      </w:pPr>
      <w:bookmarkStart w:id="79" w:name="_Toc524423610"/>
      <w:r>
        <w:rPr>
          <w:rFonts w:hint="eastAsia"/>
          <w:color w:val="auto"/>
        </w:rPr>
        <w:t>污泥沉降性能好，无污泥膨胀问题。污染物去除效率高，出水水质好，并具有一定的耐冲击负荷能力，运行稳定，管理简便。</w:t>
      </w:r>
    </w:p>
    <w:p w14:paraId="51563150">
      <w:pPr>
        <w:pageBreakBefore w:val="0"/>
        <w:numPr>
          <w:ilvl w:val="0"/>
          <w:numId w:val="17"/>
        </w:numPr>
        <w:wordWrap/>
        <w:bidi w:val="0"/>
        <w:adjustRightInd/>
        <w:snapToGrid/>
        <w:rPr>
          <w:rFonts w:hint="eastAsia"/>
          <w:color w:val="auto"/>
        </w:rPr>
      </w:pPr>
      <w:r>
        <w:rPr>
          <w:rFonts w:hint="eastAsia"/>
          <w:color w:val="auto"/>
        </w:rPr>
        <w:t>采用鼓风曝气，氧利用率高，耗电量较低。</w:t>
      </w:r>
    </w:p>
    <w:p w14:paraId="3576A491">
      <w:pPr>
        <w:pageBreakBefore w:val="0"/>
        <w:wordWrap/>
        <w:bidi w:val="0"/>
        <w:adjustRightInd/>
        <w:snapToGrid/>
        <w:rPr>
          <w:rFonts w:hint="eastAsia"/>
          <w:color w:val="auto"/>
        </w:rPr>
      </w:pPr>
      <w:r>
        <w:rPr>
          <w:rFonts w:hint="eastAsia"/>
          <w:color w:val="auto"/>
        </w:rPr>
        <w:t>3</w:t>
      </w:r>
      <w:r>
        <w:rPr>
          <w:rFonts w:hint="eastAsia"/>
          <w:color w:val="auto"/>
          <w:lang w:eastAsia="zh-CN"/>
        </w:rPr>
        <w:t>）</w:t>
      </w:r>
      <w:r>
        <w:rPr>
          <w:rFonts w:hint="eastAsia"/>
          <w:color w:val="auto"/>
        </w:rPr>
        <w:t>设计水深较大，可减少曝气池的占地面积，</w:t>
      </w:r>
    </w:p>
    <w:p w14:paraId="0DE16B6D">
      <w:pPr>
        <w:pageBreakBefore w:val="0"/>
        <w:wordWrap/>
        <w:bidi w:val="0"/>
        <w:adjustRightInd/>
        <w:snapToGrid/>
        <w:rPr>
          <w:rFonts w:hint="eastAsia"/>
          <w:color w:val="auto"/>
        </w:rPr>
      </w:pPr>
      <w:r>
        <w:rPr>
          <w:rFonts w:hint="eastAsia"/>
          <w:color w:val="auto"/>
        </w:rPr>
        <w:t>4</w:t>
      </w:r>
      <w:r>
        <w:rPr>
          <w:rFonts w:hint="eastAsia"/>
          <w:color w:val="auto"/>
          <w:lang w:eastAsia="zh-CN"/>
        </w:rPr>
        <w:t>）</w:t>
      </w:r>
      <w:r>
        <w:rPr>
          <w:rFonts w:hint="eastAsia"/>
          <w:color w:val="auto"/>
        </w:rPr>
        <w:t>厌氧、缺氧、好氧三种不同的环境条件和不同种类微生物菌群的有机配合，能同时具有去除有机物、脱氮除磷的功能。</w:t>
      </w:r>
    </w:p>
    <w:p w14:paraId="08ECA69A">
      <w:pPr>
        <w:pageBreakBefore w:val="0"/>
        <w:wordWrap/>
        <w:bidi w:val="0"/>
        <w:adjustRightInd/>
        <w:snapToGrid/>
        <w:rPr>
          <w:rFonts w:hint="eastAsia" w:eastAsia="宋体"/>
          <w:color w:val="auto"/>
          <w:lang w:eastAsia="zh-CN"/>
        </w:rPr>
      </w:pPr>
      <w:r>
        <w:rPr>
          <w:rFonts w:hint="eastAsia"/>
          <w:color w:val="auto"/>
        </w:rPr>
        <w:t>5</w:t>
      </w:r>
      <w:r>
        <w:rPr>
          <w:rFonts w:hint="eastAsia"/>
          <w:color w:val="auto"/>
          <w:lang w:eastAsia="zh-CN"/>
        </w:rPr>
        <w:t>）</w:t>
      </w:r>
      <w:r>
        <w:rPr>
          <w:rFonts w:hint="eastAsia"/>
          <w:color w:val="auto"/>
        </w:rPr>
        <w:t>在同时脱氧除磷去除有机物的工艺中，该工艺流程最为简单，总的水力停留时间也少于同类其他工艺</w:t>
      </w:r>
      <w:r>
        <w:rPr>
          <w:rFonts w:hint="eastAsia"/>
          <w:color w:val="auto"/>
          <w:lang w:eastAsia="zh-CN"/>
        </w:rPr>
        <w:t>。</w:t>
      </w:r>
    </w:p>
    <w:p w14:paraId="30147FE3">
      <w:pPr>
        <w:pageBreakBefore w:val="0"/>
        <w:wordWrap/>
        <w:bidi w:val="0"/>
        <w:adjustRightInd/>
        <w:snapToGrid/>
        <w:rPr>
          <w:rFonts w:hint="eastAsia"/>
          <w:color w:val="auto"/>
        </w:rPr>
      </w:pPr>
      <w:r>
        <w:rPr>
          <w:rFonts w:hint="eastAsia"/>
          <w:color w:val="auto"/>
        </w:rPr>
        <w:t>6</w:t>
      </w:r>
      <w:r>
        <w:rPr>
          <w:rFonts w:hint="eastAsia"/>
          <w:color w:val="auto"/>
          <w:lang w:eastAsia="zh-CN"/>
        </w:rPr>
        <w:t>）</w:t>
      </w:r>
      <w:r>
        <w:rPr>
          <w:rFonts w:hint="eastAsia"/>
          <w:color w:val="auto"/>
        </w:rPr>
        <w:t>在厌氧-缺氧-好氧交替运行下，丝状菌不会大量繁殖，SVI一般小于100，不会发生污泥膨胀。</w:t>
      </w:r>
    </w:p>
    <w:p w14:paraId="3CA7F93A">
      <w:pPr>
        <w:pageBreakBefore w:val="0"/>
        <w:wordWrap/>
        <w:bidi w:val="0"/>
        <w:adjustRightInd/>
        <w:snapToGrid/>
        <w:rPr>
          <w:rFonts w:hint="eastAsia"/>
          <w:color w:val="auto"/>
        </w:rPr>
      </w:pPr>
      <w:r>
        <w:rPr>
          <w:rFonts w:hint="eastAsia"/>
          <w:color w:val="auto"/>
        </w:rPr>
        <w:t>7</w:t>
      </w:r>
      <w:r>
        <w:rPr>
          <w:rFonts w:hint="eastAsia"/>
          <w:color w:val="auto"/>
          <w:lang w:eastAsia="zh-CN"/>
        </w:rPr>
        <w:t>）</w:t>
      </w:r>
      <w:r>
        <w:rPr>
          <w:rFonts w:hint="eastAsia"/>
          <w:color w:val="auto"/>
        </w:rPr>
        <w:t>系统可操作性强，可严格控制出水水质。</w:t>
      </w:r>
    </w:p>
    <w:p w14:paraId="1BCA48AE">
      <w:pPr>
        <w:pageBreakBefore w:val="0"/>
        <w:wordWrap/>
        <w:bidi w:val="0"/>
        <w:adjustRightInd/>
        <w:snapToGrid/>
        <w:rPr>
          <w:color w:val="auto"/>
        </w:rPr>
      </w:pPr>
      <w:r>
        <w:rPr>
          <w:rFonts w:hint="eastAsia"/>
          <w:color w:val="auto"/>
          <w:lang w:val="en-US" w:eastAsia="zh-CN"/>
        </w:rPr>
        <w:t>8）</w:t>
      </w:r>
      <w:r>
        <w:rPr>
          <w:rFonts w:hint="eastAsia"/>
          <w:color w:val="auto"/>
        </w:rPr>
        <w:t>运行、管理经验成熟。</w:t>
      </w:r>
    </w:p>
    <w:p w14:paraId="72B2DE6B">
      <w:pPr>
        <w:pageBreakBefore w:val="0"/>
        <w:wordWrap/>
        <w:bidi w:val="0"/>
        <w:adjustRightInd/>
        <w:snapToGrid/>
        <w:rPr>
          <w:rFonts w:hint="eastAsia"/>
          <w:color w:val="auto"/>
          <w:lang w:val="en-US" w:eastAsia="zh-CN"/>
        </w:rPr>
      </w:pPr>
      <w:r>
        <w:rPr>
          <w:rFonts w:hint="eastAsia"/>
          <w:color w:val="auto"/>
          <w:lang w:val="en-US" w:eastAsia="zh-CN"/>
        </w:rPr>
        <w:t>但A²/O工艺也有一定的缺点，主要表现为：</w:t>
      </w:r>
    </w:p>
    <w:p w14:paraId="15BF0A21">
      <w:pPr>
        <w:pageBreakBefore w:val="0"/>
        <w:numPr>
          <w:ilvl w:val="0"/>
          <w:numId w:val="18"/>
        </w:numPr>
        <w:wordWrap/>
        <w:bidi w:val="0"/>
        <w:adjustRightInd/>
        <w:snapToGrid/>
        <w:rPr>
          <w:rFonts w:hint="eastAsia"/>
          <w:color w:val="auto"/>
          <w:lang w:val="en-US" w:eastAsia="zh-CN"/>
        </w:rPr>
      </w:pPr>
      <w:r>
        <w:rPr>
          <w:rFonts w:hint="eastAsia"/>
          <w:color w:val="auto"/>
          <w:lang w:val="en-US" w:eastAsia="zh-CN"/>
        </w:rPr>
        <w:t>需分别设置污泥回流系统和内回流系统，尤其是内回流系统设计回流比往往在200~300左右或更大，这将增加投资和运行能耗，而且内回流的控制较复杂，对管理的要求较高。</w:t>
      </w:r>
    </w:p>
    <w:p w14:paraId="47826FA9">
      <w:pPr>
        <w:pageBreakBefore w:val="0"/>
        <w:numPr>
          <w:ilvl w:val="0"/>
          <w:numId w:val="18"/>
        </w:numPr>
        <w:wordWrap/>
        <w:bidi w:val="0"/>
        <w:adjustRightInd/>
        <w:snapToGrid/>
        <w:rPr>
          <w:rFonts w:hint="eastAsia"/>
          <w:color w:val="auto"/>
          <w:lang w:val="en-US" w:eastAsia="zh-CN"/>
        </w:rPr>
      </w:pPr>
      <w:r>
        <w:rPr>
          <w:rFonts w:hint="eastAsia"/>
          <w:color w:val="auto"/>
          <w:lang w:val="en-US" w:eastAsia="zh-CN"/>
        </w:rPr>
        <w:t>用于中小型污水处理厂费用偏高。</w:t>
      </w:r>
    </w:p>
    <w:p w14:paraId="0A68AB5D">
      <w:pPr>
        <w:pageBreakBefore w:val="0"/>
        <w:numPr>
          <w:ilvl w:val="0"/>
          <w:numId w:val="18"/>
        </w:numPr>
        <w:wordWrap/>
        <w:bidi w:val="0"/>
        <w:adjustRightInd/>
        <w:snapToGrid/>
        <w:rPr>
          <w:rFonts w:hint="eastAsia"/>
          <w:color w:val="auto"/>
          <w:lang w:val="en-US" w:eastAsia="zh-CN"/>
        </w:rPr>
      </w:pPr>
      <w:r>
        <w:rPr>
          <w:rFonts w:hint="eastAsia"/>
          <w:color w:val="auto"/>
          <w:lang w:val="en-US" w:eastAsia="zh-CN"/>
        </w:rPr>
        <w:t>污泥渗出液需化学除磷。</w:t>
      </w:r>
    </w:p>
    <w:p w14:paraId="201BA156">
      <w:pPr>
        <w:pageBreakBefore w:val="0"/>
        <w:wordWrap/>
        <w:bidi w:val="0"/>
        <w:adjustRightInd/>
        <w:snapToGrid/>
        <w:rPr>
          <w:rFonts w:hint="eastAsia"/>
          <w:b/>
          <w:bCs/>
          <w:color w:val="auto"/>
          <w:lang w:val="en-US" w:eastAsia="zh-CN"/>
        </w:rPr>
      </w:pPr>
      <w:r>
        <w:rPr>
          <w:rFonts w:hint="eastAsia"/>
          <w:b/>
          <w:bCs/>
          <w:color w:val="auto"/>
          <w:lang w:val="en-US" w:eastAsia="zh-CN"/>
        </w:rPr>
        <w:t>（2）移动床生物膜工艺（MBBR）</w:t>
      </w:r>
    </w:p>
    <w:p w14:paraId="59CFE98F">
      <w:pPr>
        <w:pageBreakBefore w:val="0"/>
        <w:wordWrap/>
        <w:bidi w:val="0"/>
        <w:adjustRightInd/>
        <w:snapToGrid/>
        <w:rPr>
          <w:color w:val="auto"/>
        </w:rPr>
      </w:pPr>
      <w:r>
        <w:rPr>
          <w:rFonts w:hint="eastAsia"/>
          <w:color w:val="auto"/>
          <w:lang w:val="en-US" w:eastAsia="zh-CN"/>
        </w:rPr>
        <w:t>移动床生物膜工艺（MovingBedBiofilmReactor，MBBR），是目前国际上成熟的污水生化处理技术。自1989年第一套生物移动床工艺装置建成以来，已在50多个国家建成了数千套市政和工业废（污）水处理设施，取得了良好的效果。该工艺以悬浮填料为微生物提供生长载体，通过悬浮填料的充分流化，实现污水的高效处理。该工艺充分汲取了生物接触氧化及生物流化床的优点，克服了其传质效率低、处理效率差、流化动力高等缺点，运用生物膜法的基本原理，充分利用了活性污泥法的优点，实现生物膜工艺的活性污泥方式运行。MBBR工艺，按微生物存在形式划分，分为悬浮填料工艺（MBBR）及活性污泥-悬浮填料复合工艺。</w:t>
      </w:r>
    </w:p>
    <w:p w14:paraId="3C2343E1">
      <w:pPr>
        <w:pageBreakBefore w:val="0"/>
        <w:wordWrap/>
        <w:bidi w:val="0"/>
        <w:adjustRightInd/>
        <w:snapToGrid/>
        <w:rPr>
          <w:rFonts w:hint="eastAsia"/>
          <w:color w:val="auto"/>
        </w:rPr>
      </w:pPr>
      <w:r>
        <w:rPr>
          <w:rFonts w:hint="eastAsia"/>
          <w:color w:val="auto"/>
        </w:rPr>
        <w:t>技术关键在于研发比重接近于水，轻微搅拌下易于随水自由运动的生物填料，且生物填料具有有效表面积大、适合微生物附着生长等特点，填料的结构以具有受保护的可供微生物生长的内表面积为特征。</w:t>
      </w:r>
    </w:p>
    <w:p w14:paraId="376F3637">
      <w:pPr>
        <w:pageBreakBefore w:val="0"/>
        <w:wordWrap/>
        <w:bidi w:val="0"/>
        <w:adjustRightInd/>
        <w:snapToGrid/>
        <w:rPr>
          <w:rFonts w:hint="eastAsia" w:eastAsia="宋体"/>
          <w:color w:val="auto"/>
          <w:lang w:eastAsia="zh-CN"/>
        </w:rPr>
      </w:pPr>
      <w:r>
        <w:rPr>
          <w:rFonts w:hint="eastAsia"/>
          <w:color w:val="auto"/>
        </w:rPr>
        <w:t>MBBR工艺原理</w:t>
      </w:r>
      <w:r>
        <w:rPr>
          <w:rFonts w:hint="eastAsia"/>
          <w:color w:val="auto"/>
          <w:lang w:eastAsia="zh-CN"/>
        </w:rPr>
        <w:t>：</w:t>
      </w:r>
      <w:r>
        <w:rPr>
          <w:rFonts w:hint="eastAsia"/>
          <w:color w:val="auto"/>
        </w:rPr>
        <w:t>在好氧条件下，曝气充氧时，空气泡的上升浮力推动填料和周围的水体流动起来，当气流穿过水流和填料的空隙时又被填料阻滞，并被分割成小气泡。在这样的过程中，填料被充分地搅拌并与水流混合，而空气流又被充分地分割成细小的气泡，增加了生物膜与氧气的接触和传氧效率。在厌氧条件下，水流和填料在潜水搅拌器的作用下充分</w:t>
      </w:r>
      <w:r>
        <w:rPr>
          <w:rFonts w:hint="eastAsia"/>
          <w:color w:val="auto"/>
          <w:lang w:eastAsia="zh-CN"/>
        </w:rPr>
        <w:t>流动</w:t>
      </w:r>
      <w:r>
        <w:rPr>
          <w:rFonts w:hint="eastAsia"/>
          <w:color w:val="auto"/>
        </w:rPr>
        <w:t>起来，达到生物膜和被处理的污染物充分接触而降解的目的。因此，流动床生物膜工艺突破了传统生物膜法</w:t>
      </w:r>
      <w:r>
        <w:rPr>
          <w:rFonts w:hint="eastAsia"/>
          <w:color w:val="auto"/>
          <w:lang w:eastAsia="zh-CN"/>
        </w:rPr>
        <w:t>（</w:t>
      </w:r>
      <w:r>
        <w:rPr>
          <w:rFonts w:hint="eastAsia"/>
          <w:color w:val="auto"/>
        </w:rPr>
        <w:t>固定床生物膜工艺的堵塞和配水不均，以及生物流化床工艺的流化局限</w:t>
      </w:r>
      <w:r>
        <w:rPr>
          <w:rFonts w:hint="eastAsia"/>
          <w:color w:val="auto"/>
          <w:lang w:eastAsia="zh-CN"/>
        </w:rPr>
        <w:t>）</w:t>
      </w:r>
      <w:r>
        <w:rPr>
          <w:rFonts w:hint="eastAsia"/>
          <w:color w:val="auto"/>
        </w:rPr>
        <w:t>的限制</w:t>
      </w:r>
      <w:r>
        <w:rPr>
          <w:rFonts w:hint="eastAsia"/>
          <w:color w:val="auto"/>
          <w:lang w:eastAsia="zh-CN"/>
        </w:rPr>
        <w:t>，</w:t>
      </w:r>
      <w:r>
        <w:rPr>
          <w:rFonts w:hint="eastAsia"/>
          <w:color w:val="auto"/>
        </w:rPr>
        <w:t>为生物膜法更广泛地应用于污水的生物处理奠定了较好的基础</w:t>
      </w:r>
      <w:r>
        <w:rPr>
          <w:rFonts w:hint="eastAsia"/>
          <w:color w:val="auto"/>
          <w:lang w:eastAsia="zh-CN"/>
        </w:rPr>
        <w:t>。</w:t>
      </w:r>
    </w:p>
    <w:p w14:paraId="27D8CE05">
      <w:pPr>
        <w:pageBreakBefore w:val="0"/>
        <w:wordWrap/>
        <w:bidi w:val="0"/>
        <w:adjustRightInd/>
        <w:snapToGrid/>
        <w:rPr>
          <w:rFonts w:hint="eastAsia"/>
          <w:color w:val="auto"/>
        </w:rPr>
      </w:pPr>
      <w:r>
        <w:rPr>
          <w:rFonts w:hint="eastAsia"/>
          <w:color w:val="auto"/>
        </w:rPr>
        <w:t>MBBR工艺的核心是实现悬浮载体填料的充分流化，以达到强化处理污染物的目的，因此，该工艺实质是涉及生物填料、池体设计曝气系统、拦截筛网、推进器、填料投加与打捞设备的有机统一。</w:t>
      </w:r>
    </w:p>
    <w:p w14:paraId="207B2D5E">
      <w:pPr>
        <w:pageBreakBefore w:val="0"/>
        <w:wordWrap/>
        <w:bidi w:val="0"/>
        <w:adjustRightInd/>
        <w:snapToGrid/>
        <w:rPr>
          <w:rFonts w:hint="eastAsia"/>
          <w:b/>
          <w:bCs/>
          <w:color w:val="auto"/>
        </w:rPr>
      </w:pPr>
      <w:r>
        <w:rPr>
          <w:rFonts w:hint="eastAsia"/>
          <w:b/>
          <w:bCs/>
          <w:color w:val="auto"/>
        </w:rPr>
        <w:t>MBBR工艺特点</w:t>
      </w:r>
    </w:p>
    <w:p w14:paraId="08157B4A">
      <w:pPr>
        <w:pageBreakBefore w:val="0"/>
        <w:wordWrap/>
        <w:bidi w:val="0"/>
        <w:adjustRightInd/>
        <w:snapToGrid/>
        <w:rPr>
          <w:rFonts w:hint="eastAsia"/>
          <w:color w:val="auto"/>
        </w:rPr>
      </w:pPr>
      <w:r>
        <w:rPr>
          <w:rFonts w:hint="eastAsia"/>
          <w:color w:val="auto"/>
        </w:rPr>
        <w:t>1</w:t>
      </w:r>
      <w:r>
        <w:rPr>
          <w:rFonts w:hint="eastAsia"/>
          <w:color w:val="auto"/>
          <w:lang w:eastAsia="zh-CN"/>
        </w:rPr>
        <w:t>）</w:t>
      </w:r>
      <w:r>
        <w:rPr>
          <w:rFonts w:hint="eastAsia"/>
          <w:color w:val="auto"/>
        </w:rPr>
        <w:t>容积负荷高，节约占地</w:t>
      </w:r>
    </w:p>
    <w:p w14:paraId="48642141">
      <w:pPr>
        <w:pageBreakBefore w:val="0"/>
        <w:wordWrap/>
        <w:bidi w:val="0"/>
        <w:adjustRightInd/>
        <w:snapToGrid/>
        <w:rPr>
          <w:rFonts w:hint="eastAsia"/>
          <w:color w:val="auto"/>
        </w:rPr>
      </w:pPr>
      <w:r>
        <w:rPr>
          <w:rFonts w:hint="eastAsia"/>
          <w:color w:val="auto"/>
        </w:rPr>
        <w:t>通过向反应池中投加生物填料，对比活性污泥法，可显著提高有效生物量，对比生物膜法，填料流化显著提高传质效果。占地可较活性污泥法节约30%-50%用地。</w:t>
      </w:r>
    </w:p>
    <w:p w14:paraId="390FF514">
      <w:pPr>
        <w:pageBreakBefore w:val="0"/>
        <w:wordWrap/>
        <w:bidi w:val="0"/>
        <w:adjustRightInd/>
        <w:snapToGrid/>
        <w:rPr>
          <w:rFonts w:hint="eastAsia"/>
          <w:color w:val="auto"/>
        </w:rPr>
      </w:pPr>
      <w:r>
        <w:rPr>
          <w:rFonts w:hint="eastAsia"/>
          <w:color w:val="auto"/>
        </w:rPr>
        <w:t>2</w:t>
      </w:r>
      <w:r>
        <w:rPr>
          <w:rFonts w:hint="eastAsia"/>
          <w:color w:val="auto"/>
          <w:lang w:eastAsia="zh-CN"/>
        </w:rPr>
        <w:t>）</w:t>
      </w:r>
      <w:r>
        <w:rPr>
          <w:rFonts w:hint="eastAsia"/>
          <w:color w:val="auto"/>
        </w:rPr>
        <w:t>可同步强化脱氮除磷</w:t>
      </w:r>
    </w:p>
    <w:p w14:paraId="785190A4">
      <w:pPr>
        <w:pageBreakBefore w:val="0"/>
        <w:wordWrap/>
        <w:bidi w:val="0"/>
        <w:adjustRightInd/>
        <w:snapToGrid/>
        <w:rPr>
          <w:rFonts w:hint="eastAsia"/>
          <w:color w:val="auto"/>
        </w:rPr>
      </w:pPr>
      <w:r>
        <w:rPr>
          <w:rFonts w:hint="eastAsia"/>
          <w:color w:val="auto"/>
        </w:rPr>
        <w:t>采用活性污泥-悬浮填料复合工艺，可实现同一反应器内不同功能微生物的污泥龄分离。脱氮菌群</w:t>
      </w:r>
      <w:r>
        <w:rPr>
          <w:rFonts w:hint="eastAsia"/>
          <w:color w:val="auto"/>
          <w:lang w:eastAsia="zh-CN"/>
        </w:rPr>
        <w:t>（</w:t>
      </w:r>
      <w:r>
        <w:rPr>
          <w:rFonts w:hint="eastAsia"/>
          <w:color w:val="auto"/>
        </w:rPr>
        <w:t>硝化菌群</w:t>
      </w:r>
      <w:r>
        <w:rPr>
          <w:rFonts w:hint="eastAsia"/>
          <w:color w:val="auto"/>
          <w:lang w:eastAsia="zh-CN"/>
        </w:rPr>
        <w:t>）</w:t>
      </w:r>
      <w:r>
        <w:rPr>
          <w:rFonts w:hint="eastAsia"/>
          <w:color w:val="auto"/>
        </w:rPr>
        <w:t>一般为长泥龄细菌需较长泥龄</w:t>
      </w:r>
      <w:r>
        <w:rPr>
          <w:rFonts w:hint="eastAsia"/>
          <w:color w:val="auto"/>
          <w:lang w:eastAsia="zh-CN"/>
        </w:rPr>
        <w:t>（</w:t>
      </w:r>
      <w:r>
        <w:rPr>
          <w:rFonts w:hint="eastAsia"/>
          <w:color w:val="auto"/>
        </w:rPr>
        <w:t>15-25d</w:t>
      </w:r>
      <w:r>
        <w:rPr>
          <w:rFonts w:hint="eastAsia"/>
          <w:color w:val="auto"/>
          <w:lang w:eastAsia="zh-CN"/>
        </w:rPr>
        <w:t>）；</w:t>
      </w:r>
      <w:r>
        <w:rPr>
          <w:rFonts w:hint="eastAsia"/>
          <w:color w:val="auto"/>
        </w:rPr>
        <w:t>除磷菌群</w:t>
      </w:r>
      <w:r>
        <w:rPr>
          <w:rFonts w:hint="eastAsia"/>
          <w:color w:val="auto"/>
          <w:lang w:eastAsia="zh-CN"/>
        </w:rPr>
        <w:t>（</w:t>
      </w:r>
      <w:r>
        <w:rPr>
          <w:rFonts w:hint="eastAsia"/>
          <w:color w:val="auto"/>
        </w:rPr>
        <w:t>聚磷菌</w:t>
      </w:r>
      <w:r>
        <w:rPr>
          <w:rFonts w:hint="eastAsia"/>
          <w:color w:val="auto"/>
          <w:lang w:eastAsia="zh-CN"/>
        </w:rPr>
        <w:t>）</w:t>
      </w:r>
      <w:r>
        <w:rPr>
          <w:rFonts w:hint="eastAsia"/>
          <w:color w:val="auto"/>
        </w:rPr>
        <w:t>一般为短泥龄细菌，需较短泥龄</w:t>
      </w:r>
      <w:r>
        <w:rPr>
          <w:rFonts w:hint="eastAsia"/>
          <w:color w:val="auto"/>
          <w:lang w:eastAsia="zh-CN"/>
        </w:rPr>
        <w:t>（</w:t>
      </w:r>
      <w:r>
        <w:rPr>
          <w:rFonts w:hint="eastAsia"/>
          <w:color w:val="auto"/>
        </w:rPr>
        <w:t>3-7d</w:t>
      </w:r>
      <w:r>
        <w:rPr>
          <w:rFonts w:hint="eastAsia"/>
          <w:color w:val="auto"/>
          <w:lang w:eastAsia="zh-CN"/>
        </w:rPr>
        <w:t>）；</w:t>
      </w:r>
      <w:r>
        <w:rPr>
          <w:rFonts w:hint="eastAsia"/>
          <w:color w:val="auto"/>
        </w:rPr>
        <w:t>泥龄过长，易导致微生物活性较差处理负荷降低、老化难以聚集降低沉降性能等，实际传统脱氮除磷工艺在污泥龄上存在不可调和的矛盾。复合工艺由于生物填料的投加，为硝化细菌的生长提供了载体，延长其污泥龄，提高脱氮效果</w:t>
      </w:r>
      <w:r>
        <w:rPr>
          <w:rFonts w:hint="eastAsia"/>
          <w:color w:val="auto"/>
          <w:lang w:eastAsia="zh-CN"/>
        </w:rPr>
        <w:t>；</w:t>
      </w:r>
      <w:r>
        <w:rPr>
          <w:rFonts w:hint="eastAsia"/>
          <w:color w:val="auto"/>
        </w:rPr>
        <w:t>同时控制活性污泥体系为短泥龄，可增强除磷效果</w:t>
      </w:r>
      <w:r>
        <w:rPr>
          <w:rFonts w:hint="eastAsia"/>
          <w:color w:val="auto"/>
          <w:lang w:eastAsia="zh-CN"/>
        </w:rPr>
        <w:t>；</w:t>
      </w:r>
      <w:r>
        <w:rPr>
          <w:rFonts w:hint="eastAsia"/>
          <w:color w:val="auto"/>
        </w:rPr>
        <w:t>泥-膜在曝气及水流带动下充分流化，促进生物膜更新，防止泥龄过长、污泥老化处理性能下降</w:t>
      </w:r>
      <w:r>
        <w:rPr>
          <w:rFonts w:hint="eastAsia"/>
          <w:color w:val="auto"/>
          <w:lang w:eastAsia="zh-CN"/>
        </w:rPr>
        <w:t>；</w:t>
      </w:r>
      <w:r>
        <w:rPr>
          <w:rFonts w:hint="eastAsia"/>
          <w:color w:val="auto"/>
        </w:rPr>
        <w:t>冬季水温较低、活性污泥系统不利于硝化菌群生长时，脱落生物膜对活性污泥起到持续接种作用，维持系统硝化性能不下降。</w:t>
      </w:r>
    </w:p>
    <w:p w14:paraId="61D1687E">
      <w:pPr>
        <w:pageBreakBefore w:val="0"/>
        <w:wordWrap/>
        <w:bidi w:val="0"/>
        <w:adjustRightInd/>
        <w:snapToGrid/>
        <w:rPr>
          <w:rFonts w:hint="eastAsia"/>
          <w:color w:val="auto"/>
        </w:rPr>
      </w:pPr>
      <w:r>
        <w:rPr>
          <w:rFonts w:hint="eastAsia"/>
          <w:color w:val="auto"/>
        </w:rPr>
        <w:t>3</w:t>
      </w:r>
      <w:r>
        <w:rPr>
          <w:rFonts w:hint="eastAsia"/>
          <w:color w:val="auto"/>
          <w:lang w:eastAsia="zh-CN"/>
        </w:rPr>
        <w:t>）</w:t>
      </w:r>
      <w:r>
        <w:rPr>
          <w:rFonts w:hint="eastAsia"/>
          <w:color w:val="auto"/>
        </w:rPr>
        <w:t>抗冲击负荷能力强，恶劣水质条件下仍表现较好处理效果</w:t>
      </w:r>
    </w:p>
    <w:p w14:paraId="787CBEDD">
      <w:pPr>
        <w:pageBreakBefore w:val="0"/>
        <w:wordWrap/>
        <w:bidi w:val="0"/>
        <w:adjustRightInd/>
        <w:snapToGrid/>
        <w:rPr>
          <w:rFonts w:hint="eastAsia"/>
          <w:color w:val="auto"/>
        </w:rPr>
      </w:pPr>
      <w:r>
        <w:rPr>
          <w:rFonts w:hint="eastAsia"/>
          <w:color w:val="auto"/>
        </w:rPr>
        <w:t>冲击负荷主要表现为常规污染物水质冲击、毒害污染物水质冲击和水量冲击，本质是单位时间内单位表面积微生物所承载的污染物量的变化对处理效果的影响。</w:t>
      </w:r>
    </w:p>
    <w:p w14:paraId="323DE520">
      <w:pPr>
        <w:pageBreakBefore w:val="0"/>
        <w:wordWrap/>
        <w:bidi w:val="0"/>
        <w:adjustRightInd/>
        <w:snapToGrid/>
        <w:rPr>
          <w:rFonts w:hint="eastAsia"/>
          <w:color w:val="auto"/>
        </w:rPr>
      </w:pPr>
      <w:r>
        <w:rPr>
          <w:rFonts w:hint="eastAsia"/>
          <w:color w:val="auto"/>
        </w:rPr>
        <w:t>4</w:t>
      </w:r>
      <w:r>
        <w:rPr>
          <w:rFonts w:hint="eastAsia"/>
          <w:color w:val="auto"/>
          <w:lang w:eastAsia="zh-CN"/>
        </w:rPr>
        <w:t>）</w:t>
      </w:r>
      <w:r>
        <w:rPr>
          <w:rFonts w:hint="eastAsia"/>
          <w:color w:val="auto"/>
        </w:rPr>
        <w:t>不易发生污泥膨胀等问题</w:t>
      </w:r>
    </w:p>
    <w:p w14:paraId="30237B07">
      <w:pPr>
        <w:pageBreakBefore w:val="0"/>
        <w:wordWrap/>
        <w:bidi w:val="0"/>
        <w:adjustRightInd/>
        <w:snapToGrid/>
        <w:rPr>
          <w:rFonts w:hint="eastAsia"/>
          <w:color w:val="auto"/>
        </w:rPr>
      </w:pPr>
      <w:r>
        <w:rPr>
          <w:rFonts w:hint="eastAsia"/>
          <w:color w:val="auto"/>
        </w:rPr>
        <w:t>采用纯MBBR系统，因为为纯膜法，无污泥膨胀问题</w:t>
      </w:r>
      <w:r>
        <w:rPr>
          <w:rFonts w:hint="eastAsia"/>
          <w:color w:val="auto"/>
          <w:lang w:eastAsia="zh-CN"/>
        </w:rPr>
        <w:t>：</w:t>
      </w:r>
      <w:r>
        <w:rPr>
          <w:rFonts w:hint="eastAsia"/>
          <w:color w:val="auto"/>
        </w:rPr>
        <w:t>采用活性污泥-悬浮填料复合工艺时，由于老化脱落的生物膜无机质比例较高，密度大易于沉降</w:t>
      </w:r>
      <w:r>
        <w:rPr>
          <w:rFonts w:hint="eastAsia"/>
          <w:color w:val="auto"/>
          <w:lang w:eastAsia="zh-CN"/>
        </w:rPr>
        <w:t>；</w:t>
      </w:r>
      <w:r>
        <w:rPr>
          <w:rFonts w:hint="eastAsia"/>
          <w:color w:val="auto"/>
        </w:rPr>
        <w:t>且生物膜胞外聚合物比活性污泥更多，具有接触絮凝效果，提高污泥聚集性能，提高污泥沉降性能。</w:t>
      </w:r>
    </w:p>
    <w:p w14:paraId="4F7A3E56">
      <w:pPr>
        <w:pageBreakBefore w:val="0"/>
        <w:wordWrap/>
        <w:bidi w:val="0"/>
        <w:adjustRightInd/>
        <w:snapToGrid/>
        <w:rPr>
          <w:rFonts w:hint="eastAsia"/>
          <w:color w:val="auto"/>
        </w:rPr>
      </w:pPr>
      <w:r>
        <w:rPr>
          <w:rFonts w:hint="eastAsia"/>
          <w:color w:val="auto"/>
        </w:rPr>
        <w:t>MBBR反应器的主要缺点是</w:t>
      </w:r>
      <w:r>
        <w:rPr>
          <w:rFonts w:hint="eastAsia"/>
          <w:color w:val="auto"/>
          <w:lang w:eastAsia="zh-CN"/>
        </w:rPr>
        <w:t>：</w:t>
      </w:r>
      <w:r>
        <w:rPr>
          <w:rFonts w:hint="eastAsia"/>
          <w:color w:val="auto"/>
        </w:rPr>
        <w:t>MBBR反应器中的填料通过曝气和水流流态化。但在实际工程中，局部填料容易堆积。系统内的填料拦网非常容易发生局部堵塞的问题、同时填料的局部淤积也经常出现，严重影响了填料流化以及工艺处理效果。</w:t>
      </w:r>
    </w:p>
    <w:p w14:paraId="637EF49B">
      <w:pPr>
        <w:pageBreakBefore w:val="0"/>
        <w:wordWrap/>
        <w:bidi w:val="0"/>
        <w:adjustRightInd/>
        <w:snapToGrid/>
        <w:rPr>
          <w:rFonts w:hint="eastAsia" w:eastAsia="宋体"/>
          <w:color w:val="auto"/>
          <w:lang w:eastAsia="zh-CN"/>
        </w:rPr>
      </w:pPr>
      <w:r>
        <w:rPr>
          <w:rFonts w:hint="eastAsia"/>
          <w:color w:val="auto"/>
        </w:rPr>
        <w:t>以上原因造成MBBR工艺未能大规模推广</w:t>
      </w:r>
      <w:r>
        <w:rPr>
          <w:rFonts w:hint="eastAsia"/>
          <w:color w:val="auto"/>
          <w:lang w:eastAsia="zh-CN"/>
        </w:rPr>
        <w:t>。</w:t>
      </w:r>
    </w:p>
    <w:p w14:paraId="3837CE53">
      <w:pPr>
        <w:pageBreakBefore w:val="0"/>
        <w:wordWrap/>
        <w:bidi w:val="0"/>
        <w:adjustRightInd/>
        <w:snapToGrid/>
        <w:rPr>
          <w:rFonts w:hint="eastAsia"/>
          <w:b/>
          <w:bCs/>
          <w:color w:val="auto"/>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rFonts w:hint="eastAsia"/>
          <w:b/>
          <w:bCs/>
          <w:color w:val="auto"/>
        </w:rPr>
        <w:t>MBR工艺</w:t>
      </w:r>
    </w:p>
    <w:p w14:paraId="3265A9BC">
      <w:pPr>
        <w:pageBreakBefore w:val="0"/>
        <w:wordWrap/>
        <w:bidi w:val="0"/>
        <w:adjustRightInd/>
        <w:snapToGrid/>
        <w:rPr>
          <w:rFonts w:hint="eastAsia"/>
          <w:color w:val="auto"/>
        </w:rPr>
      </w:pPr>
      <w:r>
        <w:rPr>
          <w:rFonts w:hint="eastAsia"/>
          <w:color w:val="auto"/>
        </w:rPr>
        <w:t>1</w:t>
      </w:r>
      <w:r>
        <w:rPr>
          <w:rFonts w:hint="eastAsia"/>
          <w:color w:val="auto"/>
          <w:lang w:eastAsia="zh-CN"/>
        </w:rPr>
        <w:t>）</w:t>
      </w:r>
      <w:r>
        <w:rPr>
          <w:rFonts w:hint="eastAsia"/>
          <w:color w:val="auto"/>
        </w:rPr>
        <w:t>膜生物反应器的原理</w:t>
      </w:r>
    </w:p>
    <w:p w14:paraId="3B530B20">
      <w:pPr>
        <w:pageBreakBefore w:val="0"/>
        <w:wordWrap/>
        <w:bidi w:val="0"/>
        <w:adjustRightInd/>
        <w:snapToGrid/>
        <w:rPr>
          <w:rFonts w:hint="eastAsia"/>
          <w:color w:val="auto"/>
        </w:rPr>
      </w:pPr>
      <w:r>
        <w:rPr>
          <w:rFonts w:hint="eastAsia"/>
          <w:color w:val="auto"/>
        </w:rPr>
        <w:t>膜-生物反应器</w:t>
      </w:r>
      <w:r>
        <w:rPr>
          <w:rFonts w:hint="eastAsia"/>
          <w:color w:val="auto"/>
          <w:lang w:eastAsia="zh-CN"/>
        </w:rPr>
        <w:t>（</w:t>
      </w:r>
      <w:r>
        <w:rPr>
          <w:rFonts w:hint="eastAsia"/>
          <w:color w:val="auto"/>
        </w:rPr>
        <w:t>MBR</w:t>
      </w:r>
      <w:r>
        <w:rPr>
          <w:rFonts w:hint="eastAsia"/>
          <w:color w:val="auto"/>
          <w:lang w:eastAsia="zh-CN"/>
        </w:rPr>
        <w:t>）</w:t>
      </w:r>
      <w:r>
        <w:rPr>
          <w:rFonts w:hint="eastAsia"/>
          <w:color w:val="auto"/>
        </w:rPr>
        <w:t>是一种将膜分离技术与传统污水生物处理工艺有机结合的新型高效污水处理与回用工艺，近年来在国际水处理技术领域日益得到广泛关注。在国内再生水处理工程中也得到了较大的推广和应用。</w:t>
      </w:r>
    </w:p>
    <w:p w14:paraId="58177FDF">
      <w:pPr>
        <w:pageBreakBefore w:val="0"/>
        <w:wordWrap/>
        <w:bidi w:val="0"/>
        <w:adjustRightInd/>
        <w:snapToGrid/>
        <w:rPr>
          <w:rFonts w:hint="eastAsia"/>
          <w:color w:val="auto"/>
        </w:rPr>
      </w:pPr>
      <w:r>
        <w:rPr>
          <w:rFonts w:hint="eastAsia"/>
          <w:color w:val="auto"/>
        </w:rPr>
        <w:t>一体式膜</w:t>
      </w:r>
      <w:r>
        <w:rPr>
          <w:rFonts w:hint="eastAsia"/>
          <w:color w:val="auto"/>
          <w:lang w:val="en-US" w:eastAsia="zh-CN"/>
        </w:rPr>
        <w:t>-</w:t>
      </w:r>
      <w:r>
        <w:rPr>
          <w:rFonts w:hint="eastAsia"/>
          <w:color w:val="auto"/>
        </w:rPr>
        <w:t>生物反应器具有出水水质好、占地面积省的特点。该技术通过膜组件的高效分离作用，大大提高了泥水分离效率，并且由于曝气池中活性污泥浓度的增大和污泥中优势菌的出现，提高了生化反应速率。同时，该工艺能大大减少剩余污泥的产量，从而基本解决了传统生物方法存在的剩余污泥产量大、占地面积大、运行效率低等突出问题。</w:t>
      </w:r>
    </w:p>
    <w:p w14:paraId="50CC46B6">
      <w:pPr>
        <w:pageBreakBefore w:val="0"/>
        <w:wordWrap/>
        <w:bidi w:val="0"/>
        <w:adjustRightInd/>
        <w:snapToGrid/>
        <w:rPr>
          <w:rFonts w:hint="eastAsia"/>
          <w:color w:val="auto"/>
        </w:rPr>
      </w:pPr>
      <w:r>
        <w:rPr>
          <w:rFonts w:hint="eastAsia"/>
          <w:color w:val="auto"/>
        </w:rPr>
        <w:t>MBR工艺中，将超滤膜箱直接浸没在曝气池中或将膜箱装于单独的膜池中以更方便膜清洗。多个膜箱连接在一起形成一个膜列，直接与透过液母管连接，透过液母管则通过一个透过液泵将过滤水抽出。</w:t>
      </w:r>
    </w:p>
    <w:p w14:paraId="1D213044">
      <w:pPr>
        <w:pageBreakBefore w:val="0"/>
        <w:wordWrap/>
        <w:bidi w:val="0"/>
        <w:adjustRightInd/>
        <w:snapToGrid/>
        <w:rPr>
          <w:rFonts w:hint="eastAsia"/>
          <w:color w:val="auto"/>
        </w:rPr>
      </w:pPr>
      <w:r>
        <w:rPr>
          <w:rFonts w:hint="eastAsia"/>
          <w:color w:val="auto"/>
        </w:rPr>
        <w:t>该透过液泵采用负压抽吸的方式将膜池中的污泥混合液中的清水，通过中空纤维膜上的微孔</w:t>
      </w:r>
      <w:r>
        <w:rPr>
          <w:rFonts w:hint="eastAsia"/>
          <w:color w:val="auto"/>
          <w:lang w:eastAsia="zh-CN"/>
        </w:rPr>
        <w:t>（</w:t>
      </w:r>
      <w:r>
        <w:rPr>
          <w:rFonts w:hint="eastAsia"/>
          <w:color w:val="auto"/>
        </w:rPr>
        <w:t>0.04微米</w:t>
      </w:r>
      <w:r>
        <w:rPr>
          <w:rFonts w:hint="eastAsia"/>
          <w:color w:val="auto"/>
          <w:lang w:eastAsia="zh-CN"/>
        </w:rPr>
        <w:t>）</w:t>
      </w:r>
      <w:r>
        <w:rPr>
          <w:rFonts w:hint="eastAsia"/>
          <w:color w:val="auto"/>
        </w:rPr>
        <w:t>过滤而抽出，并送至排放管，进行消毒，排放或回用。这样，干净的水经过滤后抽出，而浓缩的污泥混合液则将通过污泥回流泵被送到前部的生物反应器中。</w:t>
      </w:r>
    </w:p>
    <w:p w14:paraId="4C20917B">
      <w:pPr>
        <w:pageBreakBefore w:val="0"/>
        <w:wordWrap/>
        <w:bidi w:val="0"/>
        <w:adjustRightInd/>
        <w:snapToGrid/>
        <w:rPr>
          <w:rFonts w:hint="eastAsia"/>
          <w:color w:val="auto"/>
        </w:rPr>
      </w:pPr>
      <w:r>
        <w:rPr>
          <w:rFonts w:hint="eastAsia"/>
          <w:color w:val="auto"/>
        </w:rPr>
        <w:t>2</w:t>
      </w:r>
      <w:r>
        <w:rPr>
          <w:rFonts w:hint="eastAsia"/>
          <w:color w:val="auto"/>
          <w:lang w:eastAsia="zh-CN"/>
        </w:rPr>
        <w:t>）</w:t>
      </w:r>
      <w:r>
        <w:rPr>
          <w:rFonts w:hint="eastAsia"/>
          <w:color w:val="auto"/>
        </w:rPr>
        <w:t>膜-生物反应器的优点</w:t>
      </w:r>
    </w:p>
    <w:p w14:paraId="3F5C3271">
      <w:pPr>
        <w:pageBreakBefore w:val="0"/>
        <w:wordWrap/>
        <w:bidi w:val="0"/>
        <w:adjustRightInd/>
        <w:snapToGrid/>
        <w:rPr>
          <w:rFonts w:hint="eastAsia"/>
          <w:color w:val="auto"/>
        </w:rPr>
      </w:pPr>
      <w:r>
        <w:rPr>
          <w:rFonts w:hint="eastAsia"/>
          <w:color w:val="auto"/>
        </w:rPr>
        <w:t>在膜生物反应器中，由中空纤维膜组成的膜组件浸放于好氧曝气区中，由于中空纤维膜0.01微米的孔径可完全阻止细菌的通过，所以将菌胶团和游离细菌全部保留在曝气池中，只将过滤过的水汇入集水管中排出，从而达到泥水分离，各种悬浮颗粒、细菌、藻类、浊度均得到有效的去除，保证了出水悬浮物接近零的优良出水水质。由于微滤膜的近乎百分之百的菌种隔离作用，可使曝气池中的生物浓度达到一万毫克/升以上，这样不仅提高了曝气池抗冲击负荷的能力，提高了曝气池的负荷能力，而且大大减少了所需的曝气池容积。池容积的缩小又相应大比例降低了生化系统的土建投资费用。</w:t>
      </w:r>
    </w:p>
    <w:p w14:paraId="5E126306">
      <w:pPr>
        <w:pageBreakBefore w:val="0"/>
        <w:wordWrap/>
        <w:bidi w:val="0"/>
        <w:adjustRightInd/>
        <w:snapToGrid/>
        <w:rPr>
          <w:rFonts w:hint="eastAsia"/>
          <w:color w:val="auto"/>
        </w:rPr>
      </w:pPr>
      <w:r>
        <w:rPr>
          <w:rFonts w:hint="eastAsia"/>
          <w:color w:val="auto"/>
        </w:rPr>
        <w:t>通过和传统的活性污泥法及生物膜法比较，MBR工艺有以下特点：</w:t>
      </w:r>
    </w:p>
    <w:p w14:paraId="05895DF7">
      <w:pPr>
        <w:pageBreakBefore w:val="0"/>
        <w:wordWrap/>
        <w:bidi w:val="0"/>
        <w:adjustRightInd/>
        <w:snapToGrid/>
        <w:rPr>
          <w:color w:val="auto"/>
        </w:rPr>
      </w:pPr>
      <w:r>
        <w:rPr>
          <w:rFonts w:hint="eastAsia"/>
          <w:color w:val="auto"/>
        </w:rPr>
        <w:t>①出水水质标准高，品质稳定。膜生物反应器采用PVDF膜，其平均孔径是0.03微米，能够高效地进行固液分离，悬浮物和浊度接近于零，可直接回用；</w:t>
      </w:r>
    </w:p>
    <w:p w14:paraId="37A26A43">
      <w:pPr>
        <w:pageBreakBefore w:val="0"/>
        <w:wordWrap/>
        <w:bidi w:val="0"/>
        <w:adjustRightInd/>
        <w:snapToGrid/>
        <w:rPr>
          <w:rFonts w:hint="eastAsia"/>
          <w:color w:val="auto"/>
        </w:rPr>
      </w:pPr>
      <w:r>
        <w:rPr>
          <w:rFonts w:hint="eastAsia"/>
          <w:color w:val="auto"/>
        </w:rPr>
        <w:t>②运行控制更加灵活稳定。膜的高效截流作用，使微生物完全截流在反应器内，实现了反应器水力停留时间</w:t>
      </w:r>
      <w:r>
        <w:rPr>
          <w:rFonts w:hint="eastAsia"/>
          <w:color w:val="auto"/>
          <w:lang w:eastAsia="zh-CN"/>
        </w:rPr>
        <w:t>（</w:t>
      </w:r>
      <w:r>
        <w:rPr>
          <w:rFonts w:hint="eastAsia"/>
          <w:color w:val="auto"/>
        </w:rPr>
        <w:t>HRT</w:t>
      </w:r>
      <w:r>
        <w:rPr>
          <w:rFonts w:hint="eastAsia"/>
          <w:color w:val="auto"/>
          <w:lang w:eastAsia="zh-CN"/>
        </w:rPr>
        <w:t>）</w:t>
      </w:r>
      <w:r>
        <w:rPr>
          <w:rFonts w:hint="eastAsia"/>
          <w:color w:val="auto"/>
        </w:rPr>
        <w:t>和污泥龄</w:t>
      </w:r>
      <w:r>
        <w:rPr>
          <w:rFonts w:hint="eastAsia"/>
          <w:color w:val="auto"/>
          <w:lang w:eastAsia="zh-CN"/>
        </w:rPr>
        <w:t>（</w:t>
      </w:r>
      <w:r>
        <w:rPr>
          <w:rFonts w:hint="eastAsia"/>
          <w:color w:val="auto"/>
        </w:rPr>
        <w:t>SRT</w:t>
      </w:r>
      <w:r>
        <w:rPr>
          <w:rFonts w:hint="eastAsia"/>
          <w:color w:val="auto"/>
          <w:lang w:eastAsia="zh-CN"/>
        </w:rPr>
        <w:t>）</w:t>
      </w:r>
      <w:r>
        <w:rPr>
          <w:rFonts w:hint="eastAsia"/>
          <w:color w:val="auto"/>
        </w:rPr>
        <w:t>的完全分离；</w:t>
      </w:r>
    </w:p>
    <w:p w14:paraId="1D5B6AB7">
      <w:pPr>
        <w:pageBreakBefore w:val="0"/>
        <w:wordWrap/>
        <w:bidi w:val="0"/>
        <w:adjustRightInd/>
        <w:snapToGrid/>
        <w:rPr>
          <w:rFonts w:hint="eastAsia"/>
          <w:color w:val="auto"/>
        </w:rPr>
      </w:pPr>
      <w:r>
        <w:rPr>
          <w:rFonts w:hint="eastAsia"/>
          <w:color w:val="auto"/>
        </w:rPr>
        <w:t>③对水质水量的变化适应力强，耐冲击负荷强。解决了传统活性污泥法造成的沉淀部分对最大生物浓度的限制，反应器内的微生物浓度高，是传统方法的2</w:t>
      </w:r>
      <w:r>
        <w:rPr>
          <w:rFonts w:hint="eastAsia"/>
          <w:color w:val="auto"/>
          <w:lang w:eastAsia="zh-CN"/>
        </w:rPr>
        <w:t>~</w:t>
      </w:r>
      <w:r>
        <w:rPr>
          <w:rFonts w:hint="eastAsia"/>
          <w:color w:val="auto"/>
        </w:rPr>
        <w:t>3倍，达8000</w:t>
      </w:r>
      <w:r>
        <w:rPr>
          <w:rFonts w:hint="eastAsia"/>
          <w:color w:val="auto"/>
          <w:lang w:val="en-US" w:eastAsia="zh-CN"/>
        </w:rPr>
        <w:t>~</w:t>
      </w:r>
      <w:r>
        <w:rPr>
          <w:rFonts w:hint="eastAsia"/>
          <w:color w:val="auto"/>
        </w:rPr>
        <w:t>10000毫克/升，在进水有机物浓度较低的情况下，污泥浓度可以控制在3000</w:t>
      </w:r>
      <w:r>
        <w:rPr>
          <w:rFonts w:hint="eastAsia"/>
          <w:color w:val="auto"/>
          <w:lang w:eastAsia="zh-CN"/>
        </w:rPr>
        <w:t>~</w:t>
      </w:r>
      <w:r>
        <w:rPr>
          <w:rFonts w:hint="eastAsia"/>
          <w:color w:val="auto"/>
        </w:rPr>
        <w:t>4000毫克/升。尤其是在冬季进水水温条件较低的条件下，依靠高浓度的微生物，依然可保持较强的生物活性；</w:t>
      </w:r>
    </w:p>
    <w:p w14:paraId="75462709">
      <w:pPr>
        <w:pageBreakBefore w:val="0"/>
        <w:wordWrap/>
        <w:bidi w:val="0"/>
        <w:adjustRightInd/>
        <w:snapToGrid/>
        <w:rPr>
          <w:rFonts w:hint="eastAsia"/>
          <w:color w:val="auto"/>
        </w:rPr>
      </w:pPr>
      <w:r>
        <w:rPr>
          <w:rFonts w:hint="eastAsia"/>
          <w:color w:val="auto"/>
        </w:rPr>
        <w:t>④脱氮效果好。有利于增殖缓慢的硝化细菌及其它细菌的截流、生长和繁殖，系统硝化效率、COD去除率等各项指标得以提高，反应时间也大大缩短；同时大的有机物被截留在池内，保证其被继续降解；</w:t>
      </w:r>
    </w:p>
    <w:p w14:paraId="644D7B26">
      <w:pPr>
        <w:pageBreakBefore w:val="0"/>
        <w:wordWrap/>
        <w:bidi w:val="0"/>
        <w:adjustRightInd/>
        <w:snapToGrid/>
        <w:rPr>
          <w:rFonts w:hint="eastAsia"/>
          <w:color w:val="auto"/>
        </w:rPr>
      </w:pPr>
      <w:r>
        <w:rPr>
          <w:rFonts w:hint="eastAsia"/>
          <w:color w:val="auto"/>
        </w:rPr>
        <w:t>⑤模块化设计易于扩容，具有很高的灵活性；</w:t>
      </w:r>
    </w:p>
    <w:p w14:paraId="7CCA023A">
      <w:pPr>
        <w:pageBreakBefore w:val="0"/>
        <w:wordWrap/>
        <w:bidi w:val="0"/>
        <w:adjustRightInd/>
        <w:snapToGrid/>
        <w:rPr>
          <w:rFonts w:hint="eastAsia"/>
          <w:color w:val="auto"/>
        </w:rPr>
      </w:pPr>
      <w:r>
        <w:rPr>
          <w:rFonts w:hint="eastAsia"/>
          <w:color w:val="auto"/>
        </w:rPr>
        <w:t>⑥系统采用PLC控制，可实现全程自动化控制，运行管理方便；</w:t>
      </w:r>
    </w:p>
    <w:p w14:paraId="61F02CF3">
      <w:pPr>
        <w:pageBreakBefore w:val="0"/>
        <w:wordWrap/>
        <w:bidi w:val="0"/>
        <w:adjustRightInd/>
        <w:snapToGrid/>
        <w:rPr>
          <w:rFonts w:hint="eastAsia"/>
          <w:color w:val="auto"/>
        </w:rPr>
      </w:pPr>
      <w:r>
        <w:rPr>
          <w:rFonts w:hint="eastAsia"/>
          <w:color w:val="auto"/>
        </w:rPr>
        <w:t>⑦污泥量少。污泥龄长，膜分离使污水中的大分子难降解成分在生物反应器内有足够的停留时间。反应器在高容积负荷、低污泥负荷、长泥龄条件下运行，剩余污泥排放量不到传统方法的70%。</w:t>
      </w:r>
    </w:p>
    <w:p w14:paraId="79F884B5">
      <w:pPr>
        <w:pageBreakBefore w:val="0"/>
        <w:wordWrap/>
        <w:bidi w:val="0"/>
        <w:adjustRightInd/>
        <w:snapToGrid/>
        <w:rPr>
          <w:color w:val="auto"/>
        </w:rPr>
      </w:pPr>
      <w:r>
        <w:rPr>
          <w:rFonts w:hint="eastAsia"/>
          <w:color w:val="auto"/>
        </w:rPr>
        <w:t>⑧容积负荷高，占地少。</w:t>
      </w:r>
    </w:p>
    <w:p w14:paraId="466F470D">
      <w:pPr>
        <w:pageBreakBefore w:val="0"/>
        <w:wordWrap/>
        <w:bidi w:val="0"/>
        <w:adjustRightInd/>
        <w:snapToGrid/>
        <w:rPr>
          <w:rFonts w:hint="eastAsia"/>
          <w:b/>
          <w:bCs/>
          <w:color w:val="auto"/>
        </w:rPr>
      </w:pPr>
      <w:r>
        <w:rPr>
          <w:rFonts w:hint="eastAsia"/>
          <w:b/>
          <w:bCs/>
          <w:color w:val="auto"/>
          <w:lang w:eastAsia="zh-CN"/>
        </w:rPr>
        <w:t>（</w:t>
      </w:r>
      <w:r>
        <w:rPr>
          <w:rFonts w:hint="eastAsia"/>
          <w:b/>
          <w:bCs/>
          <w:color w:val="auto"/>
        </w:rPr>
        <w:t>4</w:t>
      </w:r>
      <w:r>
        <w:rPr>
          <w:rFonts w:hint="eastAsia"/>
          <w:b/>
          <w:bCs/>
          <w:color w:val="auto"/>
          <w:lang w:eastAsia="zh-CN"/>
        </w:rPr>
        <w:t>）</w:t>
      </w:r>
      <w:r>
        <w:rPr>
          <w:rFonts w:hint="eastAsia"/>
          <w:b/>
          <w:bCs/>
          <w:color w:val="auto"/>
        </w:rPr>
        <w:t>EBIS工艺</w:t>
      </w:r>
    </w:p>
    <w:p w14:paraId="5B533B65">
      <w:pPr>
        <w:pageBreakBefore w:val="0"/>
        <w:wordWrap/>
        <w:bidi w:val="0"/>
        <w:adjustRightInd/>
        <w:snapToGrid/>
        <w:rPr>
          <w:rFonts w:hint="eastAsia"/>
          <w:color w:val="auto"/>
        </w:rPr>
      </w:pPr>
      <w:r>
        <w:rPr>
          <w:rFonts w:hint="eastAsia"/>
          <w:color w:val="auto"/>
          <w:lang w:eastAsia="zh-CN"/>
        </w:rPr>
        <w:t>（</w:t>
      </w:r>
      <w:r>
        <w:rPr>
          <w:rFonts w:hint="eastAsia"/>
          <w:color w:val="auto"/>
        </w:rPr>
        <w:t>一</w:t>
      </w:r>
      <w:r>
        <w:rPr>
          <w:rFonts w:hint="eastAsia"/>
          <w:color w:val="auto"/>
          <w:lang w:eastAsia="zh-CN"/>
        </w:rPr>
        <w:t>）</w:t>
      </w:r>
      <w:r>
        <w:rPr>
          <w:rFonts w:hint="eastAsia"/>
          <w:color w:val="auto"/>
        </w:rPr>
        <w:t>EBIS工艺的主要理论基础</w:t>
      </w:r>
    </w:p>
    <w:p w14:paraId="36937F55">
      <w:pPr>
        <w:pageBreakBefore w:val="0"/>
        <w:wordWrap/>
        <w:bidi w:val="0"/>
        <w:adjustRightInd/>
        <w:snapToGrid/>
        <w:rPr>
          <w:rFonts w:hint="eastAsia"/>
          <w:color w:val="auto"/>
        </w:rPr>
      </w:pPr>
      <w:r>
        <w:rPr>
          <w:rFonts w:hint="eastAsia"/>
          <w:color w:val="auto"/>
        </w:rPr>
        <w:t>EBIS工艺污水生物处理，主要有四个基本原则：</w:t>
      </w:r>
    </w:p>
    <w:p w14:paraId="7CC058A2">
      <w:pPr>
        <w:pageBreakBefore w:val="0"/>
        <w:wordWrap/>
        <w:bidi w:val="0"/>
        <w:adjustRightInd/>
        <w:snapToGrid/>
        <w:rPr>
          <w:rFonts w:hint="eastAsia"/>
          <w:color w:val="auto"/>
        </w:rPr>
      </w:pPr>
      <w:r>
        <w:rPr>
          <w:rFonts w:hint="eastAsia"/>
          <w:color w:val="auto"/>
        </w:rPr>
        <w:t>1</w:t>
      </w:r>
      <w:r>
        <w:rPr>
          <w:rFonts w:hint="eastAsia"/>
          <w:color w:val="auto"/>
          <w:lang w:eastAsia="zh-CN"/>
        </w:rPr>
        <w:t>）</w:t>
      </w:r>
      <w:r>
        <w:rPr>
          <w:rFonts w:hint="eastAsia"/>
          <w:color w:val="auto"/>
        </w:rPr>
        <w:t>在较高浓度的活性污泥中，培养尽可能多、生长速度慢的特殊菌种，来降解污水中难降解的有机物。</w:t>
      </w:r>
    </w:p>
    <w:p w14:paraId="4240DD50">
      <w:pPr>
        <w:pageBreakBefore w:val="0"/>
        <w:wordWrap/>
        <w:bidi w:val="0"/>
        <w:adjustRightInd/>
        <w:snapToGrid/>
        <w:rPr>
          <w:rFonts w:hint="eastAsia"/>
          <w:color w:val="auto"/>
        </w:rPr>
      </w:pPr>
      <w:r>
        <w:rPr>
          <w:rFonts w:hint="eastAsia"/>
          <w:color w:val="auto"/>
        </w:rPr>
        <w:t>2</w:t>
      </w:r>
      <w:r>
        <w:rPr>
          <w:rFonts w:hint="eastAsia"/>
          <w:color w:val="auto"/>
          <w:lang w:eastAsia="zh-CN"/>
        </w:rPr>
        <w:t>）</w:t>
      </w:r>
      <w:r>
        <w:rPr>
          <w:rFonts w:hint="eastAsia"/>
          <w:color w:val="auto"/>
        </w:rPr>
        <w:t>进行大比倍循环稀释，并在每个循环过程中处理尽可能少的有机物，同时使进水与出水的浓度梯度尽可能达到最小，处理难度最低。</w:t>
      </w:r>
    </w:p>
    <w:p w14:paraId="273A44C1">
      <w:pPr>
        <w:pageBreakBefore w:val="0"/>
        <w:wordWrap/>
        <w:bidi w:val="0"/>
        <w:adjustRightInd/>
        <w:snapToGrid/>
        <w:rPr>
          <w:rFonts w:hint="eastAsia"/>
          <w:color w:val="auto"/>
        </w:rPr>
      </w:pPr>
      <w:r>
        <w:rPr>
          <w:rFonts w:hint="eastAsia"/>
          <w:color w:val="auto"/>
        </w:rPr>
        <w:t>3</w:t>
      </w:r>
      <w:r>
        <w:rPr>
          <w:rFonts w:hint="eastAsia"/>
          <w:color w:val="auto"/>
          <w:lang w:eastAsia="zh-CN"/>
        </w:rPr>
        <w:t>）</w:t>
      </w:r>
      <w:r>
        <w:rPr>
          <w:rFonts w:hint="eastAsia"/>
          <w:color w:val="auto"/>
        </w:rPr>
        <w:t>溶解氧浓度稳定的控制在0.5mg/L左右，溶解氧浓度的控制是通过溶解氧监测仪自控回路控制鼓风机风量来实现。</w:t>
      </w:r>
    </w:p>
    <w:p w14:paraId="0C12CEF9">
      <w:pPr>
        <w:pageBreakBefore w:val="0"/>
        <w:wordWrap/>
        <w:bidi w:val="0"/>
        <w:adjustRightInd/>
        <w:snapToGrid/>
        <w:rPr>
          <w:color w:val="auto"/>
        </w:rPr>
      </w:pPr>
      <w:r>
        <w:rPr>
          <w:rFonts w:hint="eastAsia"/>
          <w:color w:val="auto"/>
        </w:rPr>
        <w:t>4</w:t>
      </w:r>
      <w:r>
        <w:rPr>
          <w:rFonts w:hint="eastAsia"/>
          <w:color w:val="auto"/>
          <w:lang w:eastAsia="zh-CN"/>
        </w:rPr>
        <w:t>）</w:t>
      </w:r>
      <w:r>
        <w:rPr>
          <w:rFonts w:hint="eastAsia"/>
          <w:color w:val="auto"/>
        </w:rPr>
        <w:t>由于微生物菌群和特性的改变，以及水力结构和快速澄清系统的特性，使得生物池中活性污泥浓度均匀稳定在较高水平上。</w:t>
      </w:r>
    </w:p>
    <w:p w14:paraId="4F87E761">
      <w:pPr>
        <w:pageBreakBefore w:val="0"/>
        <w:wordWrap/>
        <w:bidi w:val="0"/>
        <w:adjustRightInd/>
        <w:snapToGrid/>
        <w:rPr>
          <w:rFonts w:hint="eastAsia"/>
          <w:color w:val="auto"/>
        </w:rPr>
      </w:pPr>
      <w:r>
        <w:rPr>
          <w:rFonts w:hint="eastAsia"/>
          <w:color w:val="auto"/>
          <w:lang w:eastAsia="zh-CN"/>
        </w:rPr>
        <w:t>（</w:t>
      </w:r>
      <w:r>
        <w:rPr>
          <w:rFonts w:hint="eastAsia"/>
          <w:color w:val="auto"/>
        </w:rPr>
        <w:t>二</w:t>
      </w:r>
      <w:r>
        <w:rPr>
          <w:rFonts w:hint="eastAsia"/>
          <w:color w:val="auto"/>
          <w:lang w:eastAsia="zh-CN"/>
        </w:rPr>
        <w:t>）</w:t>
      </w:r>
      <w:r>
        <w:rPr>
          <w:rFonts w:hint="eastAsia"/>
          <w:color w:val="auto"/>
        </w:rPr>
        <w:t>除碳</w:t>
      </w:r>
    </w:p>
    <w:p w14:paraId="6B8ABB37">
      <w:pPr>
        <w:pageBreakBefore w:val="0"/>
        <w:wordWrap/>
        <w:bidi w:val="0"/>
        <w:adjustRightInd/>
        <w:snapToGrid/>
        <w:rPr>
          <w:rFonts w:hint="eastAsia"/>
          <w:color w:val="auto"/>
        </w:rPr>
      </w:pPr>
      <w:r>
        <w:rPr>
          <w:rFonts w:hint="eastAsia"/>
          <w:color w:val="auto"/>
        </w:rPr>
        <w:t>EBIS工艺去除COD的理论基础和传统的好氧活性污泥反应的理论基础基本相同，都是微生物群体，利用水中的溶解氧，降解水中的有机物来提供自身能量并进行繁殖，从而使污水得到净化的过程。其反应动力学也符合莫诺模式，但工艺本身也对传统的好氧生物法进行了较大的改进。其主要降解方程式为：</w:t>
      </w:r>
    </w:p>
    <w:p w14:paraId="73AC5DFF">
      <w:pPr>
        <w:pageBreakBefore w:val="0"/>
        <w:wordWrap/>
        <w:bidi w:val="0"/>
        <w:adjustRightInd/>
        <w:snapToGrid/>
        <w:rPr>
          <w:color w:val="auto"/>
        </w:rPr>
      </w:pPr>
      <w:r>
        <w:rPr>
          <w:rFonts w:hint="eastAsia"/>
          <w:color w:val="auto"/>
        </w:rPr>
        <w:t>有机物的氧化分解：</w:t>
      </w:r>
    </w:p>
    <w:p w14:paraId="76011EFB">
      <w:pPr>
        <w:pageBreakBefore w:val="0"/>
        <w:wordWrap/>
        <w:bidi w:val="0"/>
        <w:adjustRightInd/>
        <w:snapToGrid/>
        <w:rPr>
          <w:color w:val="auto"/>
        </w:rPr>
      </w:pPr>
      <w:r>
        <w:rPr>
          <w:color w:val="auto"/>
          <w:position w:val="-13"/>
        </w:rPr>
        <w:drawing>
          <wp:inline distT="0" distB="0" distL="0" distR="0">
            <wp:extent cx="4394200" cy="425450"/>
            <wp:effectExtent l="0" t="0" r="0" b="0"/>
            <wp:docPr id="151" name="IM 20"/>
            <wp:cNvGraphicFramePr/>
            <a:graphic xmlns:a="http://schemas.openxmlformats.org/drawingml/2006/main">
              <a:graphicData uri="http://schemas.openxmlformats.org/drawingml/2006/picture">
                <pic:pic xmlns:pic="http://schemas.openxmlformats.org/drawingml/2006/picture">
                  <pic:nvPicPr>
                    <pic:cNvPr id="151" name="IM 20"/>
                    <pic:cNvPicPr/>
                  </pic:nvPicPr>
                  <pic:blipFill>
                    <a:blip r:embed="rId42"/>
                    <a:stretch>
                      <a:fillRect/>
                    </a:stretch>
                  </pic:blipFill>
                  <pic:spPr>
                    <a:xfrm>
                      <a:off x="0" y="0"/>
                      <a:ext cx="4394200" cy="425450"/>
                    </a:xfrm>
                    <a:prstGeom prst="rect">
                      <a:avLst/>
                    </a:prstGeom>
                    <a:noFill/>
                    <a:ln>
                      <a:noFill/>
                    </a:ln>
                  </pic:spPr>
                </pic:pic>
              </a:graphicData>
            </a:graphic>
          </wp:inline>
        </w:drawing>
      </w:r>
    </w:p>
    <w:p w14:paraId="4F1AC5D0">
      <w:pPr>
        <w:pageBreakBefore w:val="0"/>
        <w:wordWrap/>
        <w:bidi w:val="0"/>
        <w:adjustRightInd/>
        <w:snapToGrid/>
        <w:rPr>
          <w:rFonts w:hint="eastAsia" w:eastAsia="宋体"/>
          <w:color w:val="auto"/>
          <w:lang w:eastAsia="zh-CN"/>
        </w:rPr>
      </w:pPr>
      <w:r>
        <w:rPr>
          <w:rFonts w:hint="eastAsia"/>
          <w:color w:val="auto"/>
        </w:rPr>
        <w:t>原生物的同化合成</w:t>
      </w:r>
      <w:r>
        <w:rPr>
          <w:rFonts w:hint="eastAsia"/>
          <w:color w:val="auto"/>
          <w:lang w:eastAsia="zh-CN"/>
        </w:rPr>
        <w:t>（</w:t>
      </w:r>
      <w:r>
        <w:rPr>
          <w:rFonts w:hint="eastAsia"/>
          <w:color w:val="auto"/>
        </w:rPr>
        <w:t>以氨为氮源</w:t>
      </w:r>
      <w:r>
        <w:rPr>
          <w:rFonts w:hint="eastAsia"/>
          <w:color w:val="auto"/>
          <w:lang w:eastAsia="zh-CN"/>
        </w:rPr>
        <w:t>）：</w:t>
      </w:r>
    </w:p>
    <w:p w14:paraId="47109708">
      <w:pPr>
        <w:pageBreakBefore w:val="0"/>
        <w:wordWrap/>
        <w:bidi w:val="0"/>
        <w:adjustRightInd/>
        <w:snapToGrid/>
        <w:ind w:left="0" w:leftChars="0" w:firstLine="0" w:firstLineChars="0"/>
        <w:jc w:val="center"/>
        <w:rPr>
          <w:color w:val="auto"/>
        </w:rPr>
      </w:pPr>
      <w:r>
        <w:rPr>
          <w:color w:val="auto"/>
          <w:position w:val="-12"/>
        </w:rPr>
        <w:drawing>
          <wp:inline distT="0" distB="0" distL="114300" distR="114300">
            <wp:extent cx="5015230" cy="377190"/>
            <wp:effectExtent l="0" t="0" r="13970" b="3810"/>
            <wp:docPr id="152" name="图片 105"/>
            <wp:cNvGraphicFramePr/>
            <a:graphic xmlns:a="http://schemas.openxmlformats.org/drawingml/2006/main">
              <a:graphicData uri="http://schemas.openxmlformats.org/drawingml/2006/picture">
                <pic:pic xmlns:pic="http://schemas.openxmlformats.org/drawingml/2006/picture">
                  <pic:nvPicPr>
                    <pic:cNvPr id="152" name="图片 105"/>
                    <pic:cNvPicPr/>
                  </pic:nvPicPr>
                  <pic:blipFill>
                    <a:blip r:embed="rId43"/>
                    <a:stretch>
                      <a:fillRect/>
                    </a:stretch>
                  </pic:blipFill>
                  <pic:spPr>
                    <a:xfrm>
                      <a:off x="0" y="0"/>
                      <a:ext cx="5015230" cy="377190"/>
                    </a:xfrm>
                    <a:prstGeom prst="rect">
                      <a:avLst/>
                    </a:prstGeom>
                    <a:noFill/>
                    <a:ln>
                      <a:noFill/>
                    </a:ln>
                  </pic:spPr>
                </pic:pic>
              </a:graphicData>
            </a:graphic>
          </wp:inline>
        </w:drawing>
      </w:r>
    </w:p>
    <w:p w14:paraId="6A2FD611">
      <w:pPr>
        <w:pageBreakBefore w:val="0"/>
        <w:wordWrap/>
        <w:bidi w:val="0"/>
        <w:adjustRightInd/>
        <w:snapToGrid/>
        <w:rPr>
          <w:rFonts w:hint="eastAsia"/>
          <w:color w:val="auto"/>
        </w:rPr>
      </w:pPr>
      <w:r>
        <w:rPr>
          <w:rFonts w:hint="eastAsia"/>
          <w:color w:val="auto"/>
          <w:lang w:eastAsia="zh-CN"/>
        </w:rPr>
        <w:t>（</w:t>
      </w:r>
      <w:r>
        <w:rPr>
          <w:rFonts w:hint="eastAsia"/>
          <w:color w:val="auto"/>
        </w:rPr>
        <w:t>三</w:t>
      </w:r>
      <w:r>
        <w:rPr>
          <w:rFonts w:hint="eastAsia"/>
          <w:color w:val="auto"/>
          <w:lang w:eastAsia="zh-CN"/>
        </w:rPr>
        <w:t>）</w:t>
      </w:r>
      <w:r>
        <w:rPr>
          <w:rFonts w:hint="eastAsia"/>
          <w:color w:val="auto"/>
        </w:rPr>
        <w:t>脱氮</w:t>
      </w:r>
    </w:p>
    <w:p w14:paraId="392AD877">
      <w:pPr>
        <w:pageBreakBefore w:val="0"/>
        <w:wordWrap/>
        <w:bidi w:val="0"/>
        <w:adjustRightInd/>
        <w:snapToGrid/>
        <w:rPr>
          <w:rFonts w:hint="eastAsia"/>
          <w:color w:val="auto"/>
        </w:rPr>
      </w:pPr>
      <w:r>
        <w:rPr>
          <w:rFonts w:hint="eastAsia"/>
          <w:color w:val="auto"/>
        </w:rPr>
        <w:t>在EBIS曝气池前半段溶解氧都被微生物降解有机物所消耗，溶解氧浓度基本都处在0</w:t>
      </w:r>
      <w:r>
        <w:rPr>
          <w:rFonts w:hint="eastAsia"/>
          <w:color w:val="auto"/>
          <w:lang w:eastAsia="zh-CN"/>
        </w:rPr>
        <w:t>~</w:t>
      </w:r>
      <w:r>
        <w:rPr>
          <w:rFonts w:hint="eastAsia"/>
          <w:color w:val="auto"/>
        </w:rPr>
        <w:t>0.05mg/L</w:t>
      </w:r>
      <w:r>
        <w:rPr>
          <w:rFonts w:hint="eastAsia"/>
          <w:color w:val="auto"/>
          <w:lang w:eastAsia="zh-CN"/>
        </w:rPr>
        <w:t>，</w:t>
      </w:r>
      <w:r>
        <w:rPr>
          <w:rFonts w:hint="eastAsia"/>
          <w:color w:val="auto"/>
        </w:rPr>
        <w:t>在曝气池后半段，负荷降低，溶解氧开始有富余，溶解氧在0.5mg/L左右，这样的溶解氧浓度条件，给硝化反硝化的同时进行提供了一个最佳环境。氨氮硝化反硝化过程有短程硝化反硝化和全程硝化反硝化过程两种。</w:t>
      </w:r>
    </w:p>
    <w:p w14:paraId="51799AAF">
      <w:pPr>
        <w:pageBreakBefore w:val="0"/>
        <w:wordWrap/>
        <w:bidi w:val="0"/>
        <w:adjustRightInd/>
        <w:snapToGrid/>
        <w:rPr>
          <w:color w:val="auto"/>
        </w:rPr>
      </w:pPr>
      <w:r>
        <w:rPr>
          <w:rFonts w:hint="eastAsia"/>
          <w:color w:val="auto"/>
        </w:rPr>
        <w:t>全程硝化过程就是反硝化菌群利用NO</w:t>
      </w:r>
      <w:r>
        <w:rPr>
          <w:rFonts w:hint="eastAsia"/>
          <w:color w:val="auto"/>
          <w:vertAlign w:val="subscript"/>
          <w:lang w:val="en-US" w:eastAsia="zh-CN"/>
        </w:rPr>
        <w:t>3</w:t>
      </w:r>
      <w:r>
        <w:rPr>
          <w:rFonts w:hint="eastAsia"/>
          <w:color w:val="auto"/>
          <w:vertAlign w:val="superscript"/>
          <w:lang w:val="en-US" w:eastAsia="zh-CN"/>
        </w:rPr>
        <w:t>-</w:t>
      </w:r>
      <w:r>
        <w:rPr>
          <w:rFonts w:hint="eastAsia"/>
          <w:color w:val="auto"/>
        </w:rPr>
        <w:t>作电子受体，进行反硝化，而短程硝化中反硝化菌群可以利用NO</w:t>
      </w:r>
      <w:r>
        <w:rPr>
          <w:rFonts w:hint="eastAsia"/>
          <w:color w:val="auto"/>
          <w:vertAlign w:val="subscript"/>
          <w:lang w:val="en-US" w:eastAsia="zh-CN"/>
        </w:rPr>
        <w:t>2</w:t>
      </w:r>
      <w:r>
        <w:rPr>
          <w:rFonts w:hint="eastAsia"/>
          <w:color w:val="auto"/>
          <w:vertAlign w:val="superscript"/>
        </w:rPr>
        <w:t>-</w:t>
      </w:r>
      <w:r>
        <w:rPr>
          <w:rFonts w:hint="eastAsia"/>
          <w:color w:val="auto"/>
        </w:rPr>
        <w:t>作电子受体进行反硝化，即亚硝化微生物将NH</w:t>
      </w:r>
      <w:r>
        <w:rPr>
          <w:rFonts w:hint="eastAsia"/>
          <w:color w:val="auto"/>
          <w:vertAlign w:val="subscript"/>
          <w:lang w:val="en-US" w:eastAsia="zh-CN"/>
        </w:rPr>
        <w:t>4</w:t>
      </w:r>
      <w:r>
        <w:rPr>
          <w:rFonts w:hint="eastAsia"/>
          <w:color w:val="auto"/>
          <w:sz w:val="24"/>
          <w:szCs w:val="24"/>
          <w:vertAlign w:val="superscript"/>
          <w:lang w:val="en-US" w:eastAsia="zh-CN"/>
        </w:rPr>
        <w:t>+</w:t>
      </w:r>
      <w:r>
        <w:rPr>
          <w:rFonts w:hint="eastAsia"/>
          <w:color w:val="auto"/>
        </w:rPr>
        <w:t>-N转化为NO</w:t>
      </w:r>
      <w:r>
        <w:rPr>
          <w:rFonts w:hint="eastAsia"/>
          <w:color w:val="auto"/>
          <w:vertAlign w:val="subscript"/>
          <w:lang w:val="en-US" w:eastAsia="zh-CN"/>
        </w:rPr>
        <w:t>2</w:t>
      </w:r>
      <w:r>
        <w:rPr>
          <w:rFonts w:hint="eastAsia"/>
          <w:color w:val="auto"/>
          <w:vertAlign w:val="superscript"/>
        </w:rPr>
        <w:t>-</w:t>
      </w:r>
      <w:r>
        <w:rPr>
          <w:rFonts w:hint="eastAsia"/>
          <w:color w:val="auto"/>
        </w:rPr>
        <w:t>-N</w:t>
      </w:r>
      <w:r>
        <w:rPr>
          <w:rFonts w:hint="eastAsia"/>
          <w:color w:val="auto"/>
          <w:lang w:eastAsia="zh-CN"/>
        </w:rPr>
        <w:t>，</w:t>
      </w:r>
      <w:r>
        <w:rPr>
          <w:rFonts w:hint="eastAsia"/>
          <w:color w:val="auto"/>
        </w:rPr>
        <w:t>随即由反硝化微生物直接进行反硝化反应，将NO</w:t>
      </w:r>
      <w:r>
        <w:rPr>
          <w:rFonts w:hint="eastAsia"/>
          <w:color w:val="auto"/>
          <w:vertAlign w:val="subscript"/>
          <w:lang w:val="en-US" w:eastAsia="zh-CN"/>
        </w:rPr>
        <w:t>2</w:t>
      </w:r>
      <w:r>
        <w:rPr>
          <w:rFonts w:hint="eastAsia"/>
          <w:color w:val="auto"/>
          <w:vertAlign w:val="superscript"/>
        </w:rPr>
        <w:t>-</w:t>
      </w:r>
      <w:r>
        <w:rPr>
          <w:rFonts w:hint="eastAsia"/>
          <w:color w:val="auto"/>
        </w:rPr>
        <w:t>-N还原为N</w:t>
      </w:r>
      <w:r>
        <w:rPr>
          <w:rFonts w:hint="eastAsia"/>
          <w:color w:val="auto"/>
          <w:vertAlign w:val="subscript"/>
          <w:lang w:val="en-US" w:eastAsia="zh-CN"/>
        </w:rPr>
        <w:t>2</w:t>
      </w:r>
      <w:r>
        <w:rPr>
          <w:rFonts w:hint="eastAsia"/>
          <w:color w:val="auto"/>
        </w:rPr>
        <w:t>释放，整个生物脱氮过程比全程硝化历时要短得多。在EBIS工艺中，以短程硝化反硝化为主。全程反硝化和短程反硝化过程简图下图所示：</w:t>
      </w:r>
    </w:p>
    <w:p w14:paraId="50FEBD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color w:val="auto"/>
        </w:rPr>
      </w:pPr>
      <w:r>
        <w:rPr>
          <w:color w:val="auto"/>
        </w:rPr>
        <w:drawing>
          <wp:inline distT="0" distB="0" distL="114300" distR="114300">
            <wp:extent cx="4651375" cy="2386330"/>
            <wp:effectExtent l="0" t="0" r="15875" b="13970"/>
            <wp:docPr id="153"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06"/>
                    <pic:cNvPicPr>
                      <a:picLocks noChangeAspect="1"/>
                    </pic:cNvPicPr>
                  </pic:nvPicPr>
                  <pic:blipFill>
                    <a:blip r:embed="rId44"/>
                    <a:stretch>
                      <a:fillRect/>
                    </a:stretch>
                  </pic:blipFill>
                  <pic:spPr>
                    <a:xfrm>
                      <a:off x="0" y="0"/>
                      <a:ext cx="4651375" cy="2386330"/>
                    </a:xfrm>
                    <a:prstGeom prst="rect">
                      <a:avLst/>
                    </a:prstGeom>
                    <a:noFill/>
                    <a:ln>
                      <a:noFill/>
                    </a:ln>
                  </pic:spPr>
                </pic:pic>
              </a:graphicData>
            </a:graphic>
          </wp:inline>
        </w:drawing>
      </w:r>
    </w:p>
    <w:p w14:paraId="70ADF518">
      <w:pPr>
        <w:pageBreakBefore w:val="0"/>
        <w:wordWrap/>
        <w:bidi w:val="0"/>
        <w:adjustRightInd/>
        <w:snapToGrid/>
        <w:rPr>
          <w:rFonts w:hint="eastAsia"/>
          <w:color w:val="auto"/>
        </w:rPr>
      </w:pPr>
      <w:r>
        <w:rPr>
          <w:rFonts w:hint="eastAsia"/>
          <w:color w:val="auto"/>
        </w:rPr>
        <w:t>同时短程硝化反硝化生物脱氮过程，除了具备同时生物脱氮过程的一系列优点外，与全程硝化反硝化相比，还具备特有的一些优点：</w:t>
      </w:r>
    </w:p>
    <w:p w14:paraId="4138AC05">
      <w:pPr>
        <w:pageBreakBefore w:val="0"/>
        <w:wordWrap/>
        <w:bidi w:val="0"/>
        <w:adjustRightInd/>
        <w:snapToGrid/>
        <w:rPr>
          <w:rFonts w:hint="eastAsia"/>
          <w:color w:val="auto"/>
        </w:rPr>
      </w:pPr>
      <w:r>
        <w:rPr>
          <w:rFonts w:hint="eastAsia"/>
          <w:color w:val="auto"/>
          <w:lang w:eastAsia="zh-CN"/>
        </w:rPr>
        <w:t>（</w:t>
      </w:r>
      <w:r>
        <w:rPr>
          <w:rFonts w:hint="eastAsia"/>
          <w:color w:val="auto"/>
        </w:rPr>
        <w:t>1</w:t>
      </w:r>
      <w:r>
        <w:rPr>
          <w:rFonts w:hint="eastAsia"/>
          <w:color w:val="auto"/>
          <w:lang w:eastAsia="zh-CN"/>
        </w:rPr>
        <w:t>）</w:t>
      </w:r>
      <w:r>
        <w:rPr>
          <w:rFonts w:hint="eastAsia"/>
          <w:color w:val="auto"/>
        </w:rPr>
        <w:t>硝化阶段可减少25%左右的好氧量，降低了能耗；</w:t>
      </w:r>
    </w:p>
    <w:p w14:paraId="64317358">
      <w:pPr>
        <w:pageBreakBefore w:val="0"/>
        <w:wordWrap/>
        <w:bidi w:val="0"/>
        <w:adjustRightInd/>
        <w:snapToGrid/>
        <w:rPr>
          <w:rFonts w:hint="eastAsia"/>
          <w:color w:val="auto"/>
        </w:rPr>
      </w:pPr>
      <w:r>
        <w:rPr>
          <w:rFonts w:hint="eastAsia"/>
          <w:color w:val="auto"/>
          <w:lang w:eastAsia="zh-CN"/>
        </w:rPr>
        <w:t>（</w:t>
      </w:r>
      <w:r>
        <w:rPr>
          <w:rFonts w:hint="eastAsia"/>
          <w:color w:val="auto"/>
        </w:rPr>
        <w:t>2</w:t>
      </w:r>
      <w:r>
        <w:rPr>
          <w:rFonts w:hint="eastAsia"/>
          <w:color w:val="auto"/>
          <w:lang w:eastAsia="zh-CN"/>
        </w:rPr>
        <w:t>）</w:t>
      </w:r>
      <w:r>
        <w:rPr>
          <w:rFonts w:hint="eastAsia"/>
          <w:color w:val="auto"/>
        </w:rPr>
        <w:t>反应时间短；</w:t>
      </w:r>
    </w:p>
    <w:p w14:paraId="530B618B">
      <w:pPr>
        <w:pageBreakBefore w:val="0"/>
        <w:wordWrap/>
        <w:bidi w:val="0"/>
        <w:adjustRightInd/>
        <w:snapToGrid/>
        <w:rPr>
          <w:rFonts w:hint="eastAsia"/>
          <w:color w:val="auto"/>
        </w:rPr>
      </w:pPr>
      <w:r>
        <w:rPr>
          <w:rFonts w:hint="eastAsia"/>
          <w:color w:val="auto"/>
          <w:lang w:eastAsia="zh-CN"/>
        </w:rPr>
        <w:t>（</w:t>
      </w:r>
      <w:r>
        <w:rPr>
          <w:rFonts w:hint="eastAsia"/>
          <w:color w:val="auto"/>
        </w:rPr>
        <w:t>3</w:t>
      </w:r>
      <w:r>
        <w:rPr>
          <w:rFonts w:hint="eastAsia"/>
          <w:color w:val="auto"/>
          <w:lang w:eastAsia="zh-CN"/>
        </w:rPr>
        <w:t>）</w:t>
      </w:r>
      <w:r>
        <w:rPr>
          <w:rFonts w:hint="eastAsia"/>
          <w:color w:val="auto"/>
        </w:rPr>
        <w:t>具备较高的反硝化速率，NO</w:t>
      </w:r>
      <w:r>
        <w:rPr>
          <w:rFonts w:hint="eastAsia"/>
          <w:color w:val="auto"/>
          <w:vertAlign w:val="subscript"/>
          <w:lang w:val="en-US" w:eastAsia="zh-CN"/>
        </w:rPr>
        <w:t>2</w:t>
      </w:r>
      <w:r>
        <w:rPr>
          <w:rFonts w:hint="eastAsia"/>
          <w:color w:val="auto"/>
          <w:vertAlign w:val="superscript"/>
        </w:rPr>
        <w:t>-</w:t>
      </w:r>
      <w:r>
        <w:rPr>
          <w:rFonts w:hint="eastAsia"/>
          <w:color w:val="auto"/>
        </w:rPr>
        <w:t>-的反硝化速率通常比NO</w:t>
      </w:r>
      <w:r>
        <w:rPr>
          <w:rFonts w:hint="eastAsia"/>
          <w:color w:val="auto"/>
          <w:vertAlign w:val="subscript"/>
          <w:lang w:val="en-US" w:eastAsia="zh-CN"/>
        </w:rPr>
        <w:t>3</w:t>
      </w:r>
      <w:r>
        <w:rPr>
          <w:rFonts w:hint="eastAsia"/>
          <w:color w:val="auto"/>
          <w:vertAlign w:val="superscript"/>
        </w:rPr>
        <w:t>-</w:t>
      </w:r>
      <w:r>
        <w:rPr>
          <w:rFonts w:hint="eastAsia"/>
          <w:color w:val="auto"/>
        </w:rPr>
        <w:t>-高63%左右。</w:t>
      </w:r>
    </w:p>
    <w:p w14:paraId="0235096B">
      <w:pPr>
        <w:pageBreakBefore w:val="0"/>
        <w:wordWrap/>
        <w:bidi w:val="0"/>
        <w:adjustRightInd/>
        <w:snapToGrid/>
        <w:rPr>
          <w:color w:val="auto"/>
        </w:rPr>
      </w:pPr>
      <w:r>
        <w:rPr>
          <w:rFonts w:hint="eastAsia"/>
          <w:color w:val="auto"/>
        </w:rPr>
        <w:t>所以其生物脱氮过程比一般硝化一反硝化反应进程较快，脱氮效率高。其主要方程式：</w:t>
      </w:r>
    </w:p>
    <w:p w14:paraId="25E5B1BB">
      <w:pPr>
        <w:pageBreakBefore w:val="0"/>
        <w:wordWrap/>
        <w:bidi w:val="0"/>
        <w:adjustRightInd/>
        <w:snapToGrid/>
        <w:rPr>
          <w:rFonts w:hint="default"/>
          <w:color w:val="auto"/>
          <w:lang w:val="en-US"/>
        </w:rPr>
      </w:pPr>
      <m:oMathPara>
        <m:oMath>
          <m:sSubSup>
            <m:sSubSupPr>
              <m:ctrlPr>
                <w:rPr>
                  <w:rFonts w:hint="default" w:ascii="Cambria Math" w:hAnsi="Cambria Math" w:cs="Times New Roman"/>
                  <w:color w:val="auto"/>
                  <w:kern w:val="2"/>
                  <w:sz w:val="24"/>
                  <w:szCs w:val="24"/>
                  <w:lang w:val="en-US" w:eastAsia="zh-CN" w:bidi="ar-SA"/>
                </w:rPr>
              </m:ctrlPr>
            </m:sSubSupPr>
            <m:e>
              <m:r>
                <m:rPr>
                  <m:sty m:val="p"/>
                </m:rPr>
                <w:rPr>
                  <w:rFonts w:hint="default" w:ascii="Cambria Math" w:hAnsi="Cambria Math" w:cs="Times New Roman"/>
                  <w:color w:val="auto"/>
                  <w:kern w:val="2"/>
                  <w:sz w:val="24"/>
                  <w:szCs w:val="24"/>
                  <w:lang w:val="en-US" w:eastAsia="zh-CN" w:bidi="ar-SA"/>
                </w:rPr>
                <m:t>NH</m:t>
              </m:r>
              <m:ctrlPr>
                <w:rPr>
                  <w:rFonts w:hint="default" w:ascii="Cambria Math" w:hAnsi="Cambria Math" w:cs="Times New Roman"/>
                  <w:color w:val="auto"/>
                  <w:kern w:val="2"/>
                  <w:sz w:val="24"/>
                  <w:szCs w:val="24"/>
                  <w:lang w:val="en-US" w:eastAsia="zh-CN" w:bidi="ar-SA"/>
                </w:rPr>
              </m:ctrlPr>
            </m:e>
            <m:sub>
              <m:r>
                <m:rPr>
                  <m:sty m:val="p"/>
                </m:rPr>
                <w:rPr>
                  <w:rFonts w:hint="default" w:ascii="Cambria Math" w:hAnsi="Cambria Math" w:cs="Times New Roman"/>
                  <w:color w:val="auto"/>
                  <w:kern w:val="2"/>
                  <w:sz w:val="24"/>
                  <w:szCs w:val="24"/>
                  <w:lang w:val="en-US" w:eastAsia="zh-CN" w:bidi="ar-SA"/>
                </w:rPr>
                <m:t>4</m:t>
              </m:r>
              <m:ctrlPr>
                <w:rPr>
                  <w:rFonts w:hint="default" w:ascii="Cambria Math" w:hAnsi="Cambria Math" w:cs="Times New Roman"/>
                  <w:color w:val="auto"/>
                  <w:kern w:val="2"/>
                  <w:sz w:val="24"/>
                  <w:szCs w:val="24"/>
                  <w:lang w:val="en-US" w:eastAsia="zh-CN" w:bidi="ar-SA"/>
                </w:rPr>
              </m:ctrlPr>
            </m:sub>
            <m:sup>
              <m:r>
                <m:rPr>
                  <m:sty m:val="p"/>
                </m:rPr>
                <w:rPr>
                  <w:rFonts w:hint="default" w:ascii="Cambria Math" w:hAnsi="Cambria Math" w:cs="Times New Roman"/>
                  <w:color w:val="auto"/>
                  <w:kern w:val="2"/>
                  <w:sz w:val="24"/>
                  <w:szCs w:val="24"/>
                  <w:lang w:val="en-US" w:eastAsia="zh-CN" w:bidi="ar-SA"/>
                </w:rPr>
                <m:t>+</m:t>
              </m:r>
              <m:ctrlPr>
                <w:rPr>
                  <w:rFonts w:hint="default" w:ascii="Cambria Math" w:hAnsi="Cambria Math" w:cs="Times New Roman"/>
                  <w:color w:val="auto"/>
                  <w:kern w:val="2"/>
                  <w:sz w:val="24"/>
                  <w:szCs w:val="24"/>
                  <w:lang w:val="en-US" w:eastAsia="zh-CN" w:bidi="ar-SA"/>
                </w:rPr>
              </m:ctrlPr>
            </m:sup>
          </m:sSubSup>
          <m:r>
            <m:rPr>
              <m:sty m:val="p"/>
            </m:rPr>
            <w:rPr>
              <w:rFonts w:hint="default" w:ascii="Cambria Math" w:hAnsi="Cambria Math" w:cs="Times New Roman"/>
              <w:color w:val="auto"/>
              <w:kern w:val="2"/>
              <w:sz w:val="24"/>
              <w:szCs w:val="24"/>
              <w:lang w:val="en-US" w:eastAsia="zh-CN" w:bidi="ar-SA"/>
            </w:rPr>
            <m:t>+1.5</m:t>
          </m:r>
          <m:sSub>
            <m:sSubPr>
              <m:ctrlPr>
                <w:rPr>
                  <w:rFonts w:hint="default" w:ascii="Cambria Math" w:hAnsi="Cambria Math" w:cs="Times New Roman"/>
                  <w:color w:val="auto"/>
                  <w:kern w:val="2"/>
                  <w:sz w:val="24"/>
                  <w:szCs w:val="24"/>
                  <w:lang w:val="en-US" w:eastAsia="zh-CN" w:bidi="ar-SA"/>
                </w:rPr>
              </m:ctrlPr>
            </m:sSubPr>
            <m:e>
              <m:r>
                <m:rPr>
                  <m:sty m:val="p"/>
                </m:rPr>
                <w:rPr>
                  <w:rFonts w:hint="default" w:ascii="Cambria Math" w:hAnsi="Cambria Math" w:cs="Times New Roman"/>
                  <w:color w:val="auto"/>
                  <w:kern w:val="2"/>
                  <w:sz w:val="24"/>
                  <w:szCs w:val="24"/>
                  <w:lang w:val="en-US" w:eastAsia="zh-CN" w:bidi="ar-SA"/>
                </w:rPr>
                <m:t>O</m:t>
              </m:r>
              <m:ctrlPr>
                <w:rPr>
                  <w:rFonts w:hint="default" w:ascii="Cambria Math" w:hAnsi="Cambria Math" w:cs="Times New Roman"/>
                  <w:color w:val="auto"/>
                  <w:kern w:val="2"/>
                  <w:sz w:val="24"/>
                  <w:szCs w:val="24"/>
                  <w:lang w:val="en-US" w:eastAsia="zh-CN" w:bidi="ar-SA"/>
                </w:rPr>
              </m:ctrlPr>
            </m:e>
            <m:sub>
              <m:r>
                <m:rPr>
                  <m:sty m:val="p"/>
                </m:rPr>
                <w:rPr>
                  <w:rFonts w:hint="default" w:ascii="Cambria Math" w:hAnsi="Cambria Math" w:cs="Times New Roman"/>
                  <w:color w:val="auto"/>
                  <w:kern w:val="2"/>
                  <w:sz w:val="24"/>
                  <w:szCs w:val="24"/>
                  <w:lang w:val="en-US" w:eastAsia="zh-CN" w:bidi="ar-SA"/>
                </w:rPr>
                <m:t>2</m:t>
              </m:r>
              <m:ctrlPr>
                <w:rPr>
                  <w:rFonts w:hint="default" w:ascii="Cambria Math" w:hAnsi="Cambria Math" w:cs="Times New Roman"/>
                  <w:color w:val="auto"/>
                  <w:kern w:val="2"/>
                  <w:sz w:val="24"/>
                  <w:szCs w:val="24"/>
                  <w:lang w:val="en-US" w:eastAsia="zh-CN" w:bidi="ar-SA"/>
                </w:rPr>
              </m:ctrlPr>
            </m:sub>
          </m:sSub>
          <m:r>
            <m:rPr>
              <m:sty m:val="p"/>
            </m:rPr>
            <w:rPr>
              <w:rFonts w:hint="default" w:ascii="Cambria Math" w:hAnsi="Cambria Math" w:cs="Times New Roman"/>
              <w:color w:val="auto"/>
              <w:kern w:val="2"/>
              <w:sz w:val="24"/>
              <w:szCs w:val="24"/>
              <w:lang w:val="en-US" w:eastAsia="zh-CN" w:bidi="ar-SA"/>
            </w:rPr>
            <m:t>→</m:t>
          </m:r>
          <m:sSubSup>
            <m:sSubSupPr>
              <m:ctrlPr>
                <w:rPr>
                  <w:rFonts w:hint="default" w:ascii="Cambria Math" w:hAnsi="Cambria Math" w:cs="Times New Roman"/>
                  <w:color w:val="auto"/>
                  <w:kern w:val="2"/>
                  <w:sz w:val="24"/>
                  <w:szCs w:val="24"/>
                  <w:lang w:val="en-US" w:eastAsia="zh-CN" w:bidi="ar-SA"/>
                </w:rPr>
              </m:ctrlPr>
            </m:sSubSupPr>
            <m:e>
              <m:r>
                <m:rPr>
                  <m:sty m:val="p"/>
                </m:rPr>
                <w:rPr>
                  <w:rFonts w:hint="default" w:ascii="Cambria Math" w:hAnsi="Cambria Math" w:cs="Times New Roman"/>
                  <w:color w:val="auto"/>
                  <w:kern w:val="2"/>
                  <w:sz w:val="24"/>
                  <w:szCs w:val="24"/>
                  <w:lang w:val="en-US" w:eastAsia="zh-CN" w:bidi="ar-SA"/>
                </w:rPr>
                <m:t>NO</m:t>
              </m:r>
              <m:ctrlPr>
                <w:rPr>
                  <w:rFonts w:hint="default" w:ascii="Cambria Math" w:hAnsi="Cambria Math" w:cs="Times New Roman"/>
                  <w:color w:val="auto"/>
                  <w:kern w:val="2"/>
                  <w:sz w:val="24"/>
                  <w:szCs w:val="24"/>
                  <w:lang w:val="en-US" w:eastAsia="zh-CN" w:bidi="ar-SA"/>
                </w:rPr>
              </m:ctrlPr>
            </m:e>
            <m:sub>
              <m:r>
                <m:rPr>
                  <m:sty m:val="p"/>
                </m:rPr>
                <w:rPr>
                  <w:rFonts w:hint="default" w:ascii="Cambria Math" w:hAnsi="Cambria Math" w:cs="Times New Roman"/>
                  <w:color w:val="auto"/>
                  <w:kern w:val="2"/>
                  <w:sz w:val="24"/>
                  <w:szCs w:val="24"/>
                  <w:lang w:val="en-US" w:eastAsia="zh-CN" w:bidi="ar-SA"/>
                </w:rPr>
                <m:t>2</m:t>
              </m:r>
              <m:ctrlPr>
                <w:rPr>
                  <w:rFonts w:hint="default" w:ascii="Cambria Math" w:hAnsi="Cambria Math" w:cs="Times New Roman"/>
                  <w:color w:val="auto"/>
                  <w:kern w:val="2"/>
                  <w:sz w:val="24"/>
                  <w:szCs w:val="24"/>
                  <w:lang w:val="en-US" w:eastAsia="zh-CN" w:bidi="ar-SA"/>
                </w:rPr>
              </m:ctrlPr>
            </m:sub>
            <m:sup>
              <m:r>
                <m:rPr>
                  <m:sty m:val="p"/>
                </m:rPr>
                <w:rPr>
                  <w:rFonts w:hint="default" w:ascii="Cambria Math" w:hAnsi="Cambria Math" w:cs="Times New Roman"/>
                  <w:color w:val="auto"/>
                  <w:kern w:val="2"/>
                  <w:sz w:val="24"/>
                  <w:szCs w:val="24"/>
                  <w:lang w:val="en-US" w:eastAsia="zh-CN" w:bidi="ar-SA"/>
                </w:rPr>
                <m:t>−</m:t>
              </m:r>
              <m:ctrlPr>
                <w:rPr>
                  <w:rFonts w:hint="default" w:ascii="Cambria Math" w:hAnsi="Cambria Math" w:cs="Times New Roman"/>
                  <w:color w:val="auto"/>
                  <w:kern w:val="2"/>
                  <w:sz w:val="24"/>
                  <w:szCs w:val="24"/>
                  <w:lang w:val="en-US" w:eastAsia="zh-CN" w:bidi="ar-SA"/>
                </w:rPr>
              </m:ctrlPr>
            </m:sup>
          </m:sSubSup>
          <m:r>
            <m:rPr>
              <m:sty m:val="p"/>
            </m:rPr>
            <w:rPr>
              <w:rFonts w:hint="default" w:ascii="Cambria Math" w:hAnsi="Cambria Math" w:cs="Times New Roman"/>
              <w:color w:val="auto"/>
              <w:kern w:val="2"/>
              <w:sz w:val="24"/>
              <w:szCs w:val="24"/>
              <w:lang w:val="en-US" w:eastAsia="zh-CN" w:bidi="ar-SA"/>
            </w:rPr>
            <m:t>+2</m:t>
          </m:r>
          <m:sSup>
            <m:sSupPr>
              <m:ctrlPr>
                <w:rPr>
                  <w:rFonts w:hint="default" w:ascii="Cambria Math" w:hAnsi="Cambria Math" w:cs="Times New Roman"/>
                  <w:color w:val="auto"/>
                  <w:kern w:val="2"/>
                  <w:sz w:val="24"/>
                  <w:szCs w:val="24"/>
                  <w:lang w:val="en-US" w:eastAsia="zh-CN" w:bidi="ar-SA"/>
                </w:rPr>
              </m:ctrlPr>
            </m:sSupPr>
            <m:e>
              <m:r>
                <m:rPr>
                  <m:sty m:val="p"/>
                </m:rPr>
                <w:rPr>
                  <w:rFonts w:hint="default" w:ascii="Cambria Math" w:hAnsi="Cambria Math" w:cs="Times New Roman"/>
                  <w:color w:val="auto"/>
                  <w:kern w:val="2"/>
                  <w:sz w:val="24"/>
                  <w:szCs w:val="24"/>
                  <w:lang w:val="en-US" w:eastAsia="zh-CN" w:bidi="ar-SA"/>
                </w:rPr>
                <m:t>H</m:t>
              </m:r>
              <m:ctrlPr>
                <w:rPr>
                  <w:rFonts w:hint="default" w:ascii="Cambria Math" w:hAnsi="Cambria Math" w:cs="Times New Roman"/>
                  <w:color w:val="auto"/>
                  <w:kern w:val="2"/>
                  <w:sz w:val="24"/>
                  <w:szCs w:val="24"/>
                  <w:lang w:val="en-US" w:eastAsia="zh-CN" w:bidi="ar-SA"/>
                </w:rPr>
              </m:ctrlPr>
            </m:e>
            <m:sup>
              <m:r>
                <m:rPr>
                  <m:sty m:val="p"/>
                </m:rPr>
                <w:rPr>
                  <w:rFonts w:hint="default" w:ascii="Cambria Math" w:hAnsi="Cambria Math" w:cs="Times New Roman"/>
                  <w:color w:val="auto"/>
                  <w:kern w:val="2"/>
                  <w:sz w:val="24"/>
                  <w:szCs w:val="24"/>
                  <w:lang w:val="en-US" w:eastAsia="zh-CN" w:bidi="ar-SA"/>
                </w:rPr>
                <m:t>−</m:t>
              </m:r>
              <m:ctrlPr>
                <w:rPr>
                  <w:rFonts w:hint="default" w:ascii="Cambria Math" w:hAnsi="Cambria Math" w:cs="Times New Roman"/>
                  <w:color w:val="auto"/>
                  <w:kern w:val="2"/>
                  <w:sz w:val="24"/>
                  <w:szCs w:val="24"/>
                  <w:lang w:val="en-US" w:eastAsia="zh-CN" w:bidi="ar-SA"/>
                </w:rPr>
              </m:ctrlPr>
            </m:sup>
          </m:sSup>
          <m:r>
            <m:rPr>
              <m:sty m:val="p"/>
            </m:rPr>
            <w:rPr>
              <w:rFonts w:hint="default" w:ascii="Cambria Math" w:hAnsi="Cambria Math" w:cs="Times New Roman"/>
              <w:color w:val="auto"/>
              <w:kern w:val="2"/>
              <w:sz w:val="24"/>
              <w:szCs w:val="24"/>
              <w:lang w:val="en-US" w:eastAsia="zh-CN" w:bidi="ar-SA"/>
            </w:rPr>
            <m:t>+</m:t>
          </m:r>
          <m:sSub>
            <m:sSubPr>
              <m:ctrlPr>
                <w:rPr>
                  <w:rFonts w:hint="default" w:ascii="Cambria Math" w:hAnsi="Cambria Math" w:cs="Times New Roman"/>
                  <w:color w:val="auto"/>
                  <w:kern w:val="2"/>
                  <w:sz w:val="24"/>
                  <w:szCs w:val="24"/>
                  <w:lang w:val="en-US" w:eastAsia="zh-CN" w:bidi="ar-SA"/>
                </w:rPr>
              </m:ctrlPr>
            </m:sSubPr>
            <m:e>
              <m:r>
                <m:rPr>
                  <m:sty m:val="p"/>
                </m:rPr>
                <w:rPr>
                  <w:rFonts w:hint="default" w:ascii="Cambria Math" w:hAnsi="Cambria Math" w:cs="Times New Roman"/>
                  <w:color w:val="auto"/>
                  <w:kern w:val="2"/>
                  <w:sz w:val="24"/>
                  <w:szCs w:val="24"/>
                  <w:lang w:val="en-US" w:eastAsia="zh-CN" w:bidi="ar-SA"/>
                </w:rPr>
                <m:t>H</m:t>
              </m:r>
              <m:ctrlPr>
                <w:rPr>
                  <w:rFonts w:hint="default" w:ascii="Cambria Math" w:hAnsi="Cambria Math" w:cs="Times New Roman"/>
                  <w:color w:val="auto"/>
                  <w:kern w:val="2"/>
                  <w:sz w:val="24"/>
                  <w:szCs w:val="24"/>
                  <w:lang w:val="en-US" w:eastAsia="zh-CN" w:bidi="ar-SA"/>
                </w:rPr>
              </m:ctrlPr>
            </m:e>
            <m:sub>
              <m:r>
                <m:rPr>
                  <m:sty m:val="p"/>
                </m:rPr>
                <w:rPr>
                  <w:rFonts w:hint="default" w:ascii="Cambria Math" w:hAnsi="Cambria Math" w:cs="Times New Roman"/>
                  <w:color w:val="auto"/>
                  <w:kern w:val="2"/>
                  <w:sz w:val="24"/>
                  <w:szCs w:val="24"/>
                  <w:lang w:val="en-US" w:eastAsia="zh-CN" w:bidi="ar-SA"/>
                </w:rPr>
                <m:t>2</m:t>
              </m:r>
              <m:ctrlPr>
                <w:rPr>
                  <w:rFonts w:hint="default" w:ascii="Cambria Math" w:hAnsi="Cambria Math" w:cs="Times New Roman"/>
                  <w:color w:val="auto"/>
                  <w:kern w:val="2"/>
                  <w:sz w:val="24"/>
                  <w:szCs w:val="24"/>
                  <w:lang w:val="en-US" w:eastAsia="zh-CN" w:bidi="ar-SA"/>
                </w:rPr>
              </m:ctrlPr>
            </m:sub>
          </m:sSub>
          <m:r>
            <m:rPr>
              <m:sty m:val="p"/>
            </m:rPr>
            <w:rPr>
              <w:rFonts w:hint="default" w:ascii="Cambria Math" w:hAnsi="Cambria Math" w:cs="Times New Roman"/>
              <w:color w:val="auto"/>
              <w:kern w:val="2"/>
              <w:sz w:val="24"/>
              <w:szCs w:val="24"/>
              <w:lang w:val="en-US" w:eastAsia="zh-CN" w:bidi="ar-SA"/>
            </w:rPr>
            <m:t>O</m:t>
          </m:r>
        </m:oMath>
      </m:oMathPara>
    </w:p>
    <w:p w14:paraId="6256832E">
      <w:pPr>
        <w:pageBreakBefore w:val="0"/>
        <w:wordWrap/>
        <w:bidi w:val="0"/>
        <w:adjustRightInd/>
        <w:snapToGrid/>
        <w:jc w:val="center"/>
        <w:rPr>
          <w:rFonts w:hint="eastAsia" w:eastAsia="宋体"/>
          <w:color w:val="auto"/>
          <w:lang w:eastAsia="zh-CN"/>
        </w:rPr>
      </w:pPr>
      <w:r>
        <w:rPr>
          <w:rFonts w:hint="default" w:ascii="Times New Roman" w:hAnsi="Times New Roman" w:eastAsia="宋体" w:cs="Times New Roman"/>
          <w:color w:val="auto"/>
          <w:position w:val="-10"/>
          <w:sz w:val="30"/>
          <w:szCs w:val="30"/>
          <w:lang w:eastAsia="zh-CN"/>
        </w:rPr>
        <w:object>
          <v:shape id="_x0000_i1025" o:spt="75" type="#_x0000_t75" style="height:18pt;width:271pt;" o:ole="t" filled="f" o:preferrelative="t" stroked="f" coordsize="21600,21600">
            <v:path/>
            <v:fill on="f" focussize="0,0"/>
            <v:stroke on="f"/>
            <v:imagedata r:id="rId46" o:title=""/>
            <o:lock v:ext="edit" aspectratio="t"/>
            <w10:wrap type="none"/>
            <w10:anchorlock/>
          </v:shape>
          <o:OLEObject Type="Embed" ProgID="Equation.KSEE3" ShapeID="_x0000_i1025" DrawAspect="Content" ObjectID="_1468075725" r:id="rId45">
            <o:LockedField>false</o:LockedField>
          </o:OLEObject>
        </w:object>
      </w:r>
    </w:p>
    <w:p w14:paraId="0AB7548C">
      <w:pPr>
        <w:pageBreakBefore w:val="0"/>
        <w:wordWrap/>
        <w:bidi w:val="0"/>
        <w:adjustRightInd/>
        <w:snapToGrid/>
        <w:rPr>
          <w:color w:val="auto"/>
        </w:rPr>
      </w:pPr>
      <w:r>
        <w:rPr>
          <w:rFonts w:hint="eastAsia"/>
          <w:color w:val="auto"/>
        </w:rPr>
        <w:t>而全程反硝化主要反应：</w:t>
      </w:r>
    </w:p>
    <w:p w14:paraId="0D0F8300">
      <w:pPr>
        <w:pageBreakBefore w:val="0"/>
        <w:wordWrap/>
        <w:bidi w:val="0"/>
        <w:adjustRightInd/>
        <w:snapToGrid/>
        <w:rPr>
          <w:color w:val="auto"/>
        </w:rPr>
      </w:pPr>
      <m:oMathPara>
        <m:oMath>
          <m:sSubSup>
            <m:sSubSupPr>
              <m:ctrlPr>
                <w:rPr>
                  <w:rFonts w:hint="default" w:ascii="Cambria Math" w:hAnsi="Cambria Math" w:cs="Times New Roman"/>
                  <w:color w:val="auto"/>
                  <w:kern w:val="2"/>
                  <w:sz w:val="24"/>
                  <w:szCs w:val="24"/>
                  <w:lang w:val="en-US" w:eastAsia="zh-CN" w:bidi="ar-SA"/>
                </w:rPr>
              </m:ctrlPr>
            </m:sSubSupPr>
            <m:e>
              <m:r>
                <m:rPr>
                  <m:sty m:val="p"/>
                </m:rPr>
                <w:rPr>
                  <w:rFonts w:hint="default" w:ascii="Cambria Math" w:hAnsi="Cambria Math" w:cs="Times New Roman"/>
                  <w:color w:val="auto"/>
                  <w:kern w:val="2"/>
                  <w:sz w:val="24"/>
                  <w:szCs w:val="24"/>
                  <w:lang w:val="en-US" w:eastAsia="zh-CN" w:bidi="ar-SA"/>
                </w:rPr>
                <m:t>NH</m:t>
              </m:r>
              <m:ctrlPr>
                <w:rPr>
                  <w:rFonts w:hint="default" w:ascii="Cambria Math" w:hAnsi="Cambria Math" w:cs="Times New Roman"/>
                  <w:color w:val="auto"/>
                  <w:kern w:val="2"/>
                  <w:sz w:val="24"/>
                  <w:szCs w:val="24"/>
                  <w:lang w:val="en-US" w:eastAsia="zh-CN" w:bidi="ar-SA"/>
                </w:rPr>
              </m:ctrlPr>
            </m:e>
            <m:sub>
              <m:r>
                <m:rPr>
                  <m:sty m:val="p"/>
                </m:rPr>
                <w:rPr>
                  <w:rFonts w:hint="default" w:ascii="Cambria Math" w:hAnsi="Cambria Math" w:cs="Times New Roman"/>
                  <w:color w:val="auto"/>
                  <w:kern w:val="2"/>
                  <w:sz w:val="24"/>
                  <w:szCs w:val="24"/>
                  <w:lang w:val="en-US" w:eastAsia="zh-CN" w:bidi="ar-SA"/>
                </w:rPr>
                <m:t>4</m:t>
              </m:r>
              <m:ctrlPr>
                <w:rPr>
                  <w:rFonts w:hint="default" w:ascii="Cambria Math" w:hAnsi="Cambria Math" w:cs="Times New Roman"/>
                  <w:color w:val="auto"/>
                  <w:kern w:val="2"/>
                  <w:sz w:val="24"/>
                  <w:szCs w:val="24"/>
                  <w:lang w:val="en-US" w:eastAsia="zh-CN" w:bidi="ar-SA"/>
                </w:rPr>
              </m:ctrlPr>
            </m:sub>
            <m:sup>
              <m:r>
                <m:rPr>
                  <m:sty m:val="p"/>
                </m:rPr>
                <w:rPr>
                  <w:rFonts w:hint="default" w:ascii="Cambria Math" w:hAnsi="Cambria Math" w:cs="Times New Roman"/>
                  <w:color w:val="auto"/>
                  <w:kern w:val="2"/>
                  <w:sz w:val="24"/>
                  <w:szCs w:val="24"/>
                  <w:lang w:val="en-US" w:eastAsia="zh-CN" w:bidi="ar-SA"/>
                </w:rPr>
                <m:t>+</m:t>
              </m:r>
              <m:ctrlPr>
                <w:rPr>
                  <w:rFonts w:hint="default" w:ascii="Cambria Math" w:hAnsi="Cambria Math" w:cs="Times New Roman"/>
                  <w:color w:val="auto"/>
                  <w:kern w:val="2"/>
                  <w:sz w:val="24"/>
                  <w:szCs w:val="24"/>
                  <w:lang w:val="en-US" w:eastAsia="zh-CN" w:bidi="ar-SA"/>
                </w:rPr>
              </m:ctrlPr>
            </m:sup>
          </m:sSubSup>
          <m:r>
            <m:rPr>
              <m:sty m:val="p"/>
            </m:rPr>
            <w:rPr>
              <w:rFonts w:hint="default" w:ascii="Cambria Math" w:hAnsi="Cambria Math" w:cs="Times New Roman"/>
              <w:color w:val="auto"/>
              <w:kern w:val="2"/>
              <w:sz w:val="24"/>
              <w:szCs w:val="24"/>
              <w:lang w:val="en-US" w:eastAsia="zh-CN" w:bidi="ar-SA"/>
            </w:rPr>
            <m:t>+2</m:t>
          </m:r>
          <m:sSub>
            <m:sSubPr>
              <m:ctrlPr>
                <w:rPr>
                  <w:rFonts w:hint="default" w:ascii="Cambria Math" w:hAnsi="Cambria Math" w:cs="Times New Roman"/>
                  <w:color w:val="auto"/>
                  <w:kern w:val="2"/>
                  <w:sz w:val="24"/>
                  <w:szCs w:val="24"/>
                  <w:lang w:val="en-US" w:eastAsia="zh-CN" w:bidi="ar-SA"/>
                </w:rPr>
              </m:ctrlPr>
            </m:sSubPr>
            <m:e>
              <m:r>
                <m:rPr>
                  <m:sty m:val="p"/>
                </m:rPr>
                <w:rPr>
                  <w:rFonts w:hint="default" w:ascii="Cambria Math" w:hAnsi="Cambria Math" w:cs="Times New Roman"/>
                  <w:color w:val="auto"/>
                  <w:kern w:val="2"/>
                  <w:sz w:val="24"/>
                  <w:szCs w:val="24"/>
                  <w:lang w:val="en-US" w:eastAsia="zh-CN" w:bidi="ar-SA"/>
                </w:rPr>
                <m:t>O</m:t>
              </m:r>
              <m:ctrlPr>
                <w:rPr>
                  <w:rFonts w:hint="default" w:ascii="Cambria Math" w:hAnsi="Cambria Math" w:cs="Times New Roman"/>
                  <w:color w:val="auto"/>
                  <w:kern w:val="2"/>
                  <w:sz w:val="24"/>
                  <w:szCs w:val="24"/>
                  <w:lang w:val="en-US" w:eastAsia="zh-CN" w:bidi="ar-SA"/>
                </w:rPr>
              </m:ctrlPr>
            </m:e>
            <m:sub>
              <m:r>
                <m:rPr>
                  <m:sty m:val="p"/>
                </m:rPr>
                <w:rPr>
                  <w:rFonts w:hint="default" w:ascii="Cambria Math" w:hAnsi="Cambria Math" w:cs="Times New Roman"/>
                  <w:color w:val="auto"/>
                  <w:kern w:val="2"/>
                  <w:sz w:val="24"/>
                  <w:szCs w:val="24"/>
                  <w:lang w:val="en-US" w:eastAsia="zh-CN" w:bidi="ar-SA"/>
                </w:rPr>
                <m:t>2</m:t>
              </m:r>
              <m:ctrlPr>
                <w:rPr>
                  <w:rFonts w:hint="default" w:ascii="Cambria Math" w:hAnsi="Cambria Math" w:cs="Times New Roman"/>
                  <w:color w:val="auto"/>
                  <w:kern w:val="2"/>
                  <w:sz w:val="24"/>
                  <w:szCs w:val="24"/>
                  <w:lang w:val="en-US" w:eastAsia="zh-CN" w:bidi="ar-SA"/>
                </w:rPr>
              </m:ctrlPr>
            </m:sub>
          </m:sSub>
          <m:r>
            <m:rPr>
              <m:sty m:val="p"/>
            </m:rPr>
            <w:rPr>
              <w:rFonts w:hint="default" w:ascii="Cambria Math" w:hAnsi="Cambria Math" w:cs="Times New Roman"/>
              <w:color w:val="auto"/>
              <w:kern w:val="2"/>
              <w:sz w:val="24"/>
              <w:szCs w:val="24"/>
              <w:lang w:val="en-US" w:eastAsia="zh-CN" w:bidi="ar-SA"/>
            </w:rPr>
            <m:t>→</m:t>
          </m:r>
          <m:sSubSup>
            <m:sSubSupPr>
              <m:ctrlPr>
                <w:rPr>
                  <w:rFonts w:hint="default" w:ascii="Cambria Math" w:hAnsi="Cambria Math" w:cs="Times New Roman"/>
                  <w:color w:val="auto"/>
                  <w:kern w:val="2"/>
                  <w:sz w:val="24"/>
                  <w:szCs w:val="24"/>
                  <w:lang w:val="en-US" w:eastAsia="zh-CN" w:bidi="ar-SA"/>
                </w:rPr>
              </m:ctrlPr>
            </m:sSubSupPr>
            <m:e>
              <m:r>
                <m:rPr>
                  <m:sty m:val="p"/>
                </m:rPr>
                <w:rPr>
                  <w:rFonts w:hint="default" w:ascii="Cambria Math" w:hAnsi="Cambria Math" w:cs="Times New Roman"/>
                  <w:color w:val="auto"/>
                  <w:kern w:val="2"/>
                  <w:sz w:val="24"/>
                  <w:szCs w:val="24"/>
                  <w:lang w:val="en-US" w:eastAsia="zh-CN" w:bidi="ar-SA"/>
                </w:rPr>
                <m:t>NO</m:t>
              </m:r>
              <m:ctrlPr>
                <w:rPr>
                  <w:rFonts w:hint="default" w:ascii="Cambria Math" w:hAnsi="Cambria Math" w:cs="Times New Roman"/>
                  <w:color w:val="auto"/>
                  <w:kern w:val="2"/>
                  <w:sz w:val="24"/>
                  <w:szCs w:val="24"/>
                  <w:lang w:val="en-US" w:eastAsia="zh-CN" w:bidi="ar-SA"/>
                </w:rPr>
              </m:ctrlPr>
            </m:e>
            <m:sub>
              <m:r>
                <m:rPr>
                  <m:sty m:val="p"/>
                </m:rPr>
                <w:rPr>
                  <w:rFonts w:hint="default" w:ascii="Cambria Math" w:hAnsi="Cambria Math" w:cs="Times New Roman"/>
                  <w:color w:val="auto"/>
                  <w:kern w:val="2"/>
                  <w:sz w:val="24"/>
                  <w:szCs w:val="24"/>
                  <w:lang w:val="en-US" w:eastAsia="zh-CN" w:bidi="ar-SA"/>
                </w:rPr>
                <m:t>3</m:t>
              </m:r>
              <m:ctrlPr>
                <w:rPr>
                  <w:rFonts w:hint="default" w:ascii="Cambria Math" w:hAnsi="Cambria Math" w:cs="Times New Roman"/>
                  <w:color w:val="auto"/>
                  <w:kern w:val="2"/>
                  <w:sz w:val="24"/>
                  <w:szCs w:val="24"/>
                  <w:lang w:val="en-US" w:eastAsia="zh-CN" w:bidi="ar-SA"/>
                </w:rPr>
              </m:ctrlPr>
            </m:sub>
            <m:sup>
              <m:r>
                <m:rPr>
                  <m:sty m:val="p"/>
                </m:rPr>
                <w:rPr>
                  <w:rFonts w:hint="default" w:ascii="Cambria Math" w:hAnsi="Cambria Math" w:cs="Times New Roman"/>
                  <w:color w:val="auto"/>
                  <w:kern w:val="2"/>
                  <w:sz w:val="24"/>
                  <w:szCs w:val="24"/>
                  <w:lang w:val="en-US" w:eastAsia="zh-CN" w:bidi="ar-SA"/>
                </w:rPr>
                <m:t>−</m:t>
              </m:r>
              <m:ctrlPr>
                <w:rPr>
                  <w:rFonts w:hint="default" w:ascii="Cambria Math" w:hAnsi="Cambria Math" w:cs="Times New Roman"/>
                  <w:color w:val="auto"/>
                  <w:kern w:val="2"/>
                  <w:sz w:val="24"/>
                  <w:szCs w:val="24"/>
                  <w:lang w:val="en-US" w:eastAsia="zh-CN" w:bidi="ar-SA"/>
                </w:rPr>
              </m:ctrlPr>
            </m:sup>
          </m:sSubSup>
          <m:r>
            <m:rPr>
              <m:sty m:val="p"/>
            </m:rPr>
            <w:rPr>
              <w:rFonts w:hint="default" w:ascii="Cambria Math" w:hAnsi="Cambria Math" w:cs="Times New Roman"/>
              <w:color w:val="auto"/>
              <w:kern w:val="2"/>
              <w:sz w:val="24"/>
              <w:szCs w:val="24"/>
              <w:lang w:val="en-US" w:eastAsia="zh-CN" w:bidi="ar-SA"/>
            </w:rPr>
            <m:t>+2</m:t>
          </m:r>
          <m:sSup>
            <m:sSupPr>
              <m:ctrlPr>
                <w:rPr>
                  <w:rFonts w:hint="default" w:ascii="Cambria Math" w:hAnsi="Cambria Math" w:cs="Times New Roman"/>
                  <w:color w:val="auto"/>
                  <w:kern w:val="2"/>
                  <w:sz w:val="24"/>
                  <w:szCs w:val="24"/>
                  <w:lang w:val="en-US" w:eastAsia="zh-CN" w:bidi="ar-SA"/>
                </w:rPr>
              </m:ctrlPr>
            </m:sSupPr>
            <m:e>
              <m:r>
                <m:rPr>
                  <m:sty m:val="p"/>
                </m:rPr>
                <w:rPr>
                  <w:rFonts w:hint="default" w:ascii="Cambria Math" w:hAnsi="Cambria Math" w:cs="Times New Roman"/>
                  <w:color w:val="auto"/>
                  <w:kern w:val="2"/>
                  <w:sz w:val="24"/>
                  <w:szCs w:val="24"/>
                  <w:lang w:val="en-US" w:eastAsia="zh-CN" w:bidi="ar-SA"/>
                </w:rPr>
                <m:t>H</m:t>
              </m:r>
              <m:ctrlPr>
                <w:rPr>
                  <w:rFonts w:hint="default" w:ascii="Cambria Math" w:hAnsi="Cambria Math" w:cs="Times New Roman"/>
                  <w:color w:val="auto"/>
                  <w:kern w:val="2"/>
                  <w:sz w:val="24"/>
                  <w:szCs w:val="24"/>
                  <w:lang w:val="en-US" w:eastAsia="zh-CN" w:bidi="ar-SA"/>
                </w:rPr>
              </m:ctrlPr>
            </m:e>
            <m:sup>
              <m:r>
                <m:rPr>
                  <m:sty m:val="p"/>
                </m:rPr>
                <w:rPr>
                  <w:rFonts w:hint="default" w:ascii="Cambria Math" w:hAnsi="Cambria Math" w:cs="Times New Roman"/>
                  <w:color w:val="auto"/>
                  <w:kern w:val="2"/>
                  <w:sz w:val="24"/>
                  <w:szCs w:val="24"/>
                  <w:lang w:val="en-US" w:eastAsia="zh-CN" w:bidi="ar-SA"/>
                </w:rPr>
                <m:t>−</m:t>
              </m:r>
              <m:ctrlPr>
                <w:rPr>
                  <w:rFonts w:hint="default" w:ascii="Cambria Math" w:hAnsi="Cambria Math" w:cs="Times New Roman"/>
                  <w:color w:val="auto"/>
                  <w:kern w:val="2"/>
                  <w:sz w:val="24"/>
                  <w:szCs w:val="24"/>
                  <w:lang w:val="en-US" w:eastAsia="zh-CN" w:bidi="ar-SA"/>
                </w:rPr>
              </m:ctrlPr>
            </m:sup>
          </m:sSup>
          <m:r>
            <m:rPr>
              <m:sty m:val="p"/>
            </m:rPr>
            <w:rPr>
              <w:rFonts w:hint="default" w:ascii="Cambria Math" w:hAnsi="Cambria Math" w:cs="Times New Roman"/>
              <w:color w:val="auto"/>
              <w:kern w:val="2"/>
              <w:sz w:val="24"/>
              <w:szCs w:val="24"/>
              <w:lang w:val="en-US" w:eastAsia="zh-CN" w:bidi="ar-SA"/>
            </w:rPr>
            <m:t>+</m:t>
          </m:r>
          <m:sSub>
            <m:sSubPr>
              <m:ctrlPr>
                <w:rPr>
                  <w:rFonts w:hint="default" w:ascii="Cambria Math" w:hAnsi="Cambria Math" w:cs="Times New Roman"/>
                  <w:color w:val="auto"/>
                  <w:kern w:val="2"/>
                  <w:sz w:val="24"/>
                  <w:szCs w:val="24"/>
                  <w:lang w:val="en-US" w:eastAsia="zh-CN" w:bidi="ar-SA"/>
                </w:rPr>
              </m:ctrlPr>
            </m:sSubPr>
            <m:e>
              <m:r>
                <m:rPr>
                  <m:sty m:val="p"/>
                </m:rPr>
                <w:rPr>
                  <w:rFonts w:hint="default" w:ascii="Cambria Math" w:hAnsi="Cambria Math" w:cs="Times New Roman"/>
                  <w:color w:val="auto"/>
                  <w:kern w:val="2"/>
                  <w:sz w:val="24"/>
                  <w:szCs w:val="24"/>
                  <w:lang w:val="en-US" w:eastAsia="zh-CN" w:bidi="ar-SA"/>
                </w:rPr>
                <m:t>H</m:t>
              </m:r>
              <m:ctrlPr>
                <w:rPr>
                  <w:rFonts w:hint="default" w:ascii="Cambria Math" w:hAnsi="Cambria Math" w:cs="Times New Roman"/>
                  <w:color w:val="auto"/>
                  <w:kern w:val="2"/>
                  <w:sz w:val="24"/>
                  <w:szCs w:val="24"/>
                  <w:lang w:val="en-US" w:eastAsia="zh-CN" w:bidi="ar-SA"/>
                </w:rPr>
              </m:ctrlPr>
            </m:e>
            <m:sub>
              <m:r>
                <m:rPr>
                  <m:sty m:val="p"/>
                </m:rPr>
                <w:rPr>
                  <w:rFonts w:hint="default" w:ascii="Cambria Math" w:hAnsi="Cambria Math" w:cs="Times New Roman"/>
                  <w:color w:val="auto"/>
                  <w:kern w:val="2"/>
                  <w:sz w:val="24"/>
                  <w:szCs w:val="24"/>
                  <w:lang w:val="en-US" w:eastAsia="zh-CN" w:bidi="ar-SA"/>
                </w:rPr>
                <m:t>2</m:t>
              </m:r>
              <m:ctrlPr>
                <w:rPr>
                  <w:rFonts w:hint="default" w:ascii="Cambria Math" w:hAnsi="Cambria Math" w:cs="Times New Roman"/>
                  <w:color w:val="auto"/>
                  <w:kern w:val="2"/>
                  <w:sz w:val="24"/>
                  <w:szCs w:val="24"/>
                  <w:lang w:val="en-US" w:eastAsia="zh-CN" w:bidi="ar-SA"/>
                </w:rPr>
              </m:ctrlPr>
            </m:sub>
          </m:sSub>
          <m:r>
            <m:rPr>
              <m:sty m:val="p"/>
            </m:rPr>
            <w:rPr>
              <w:rFonts w:hint="default" w:ascii="Cambria Math" w:hAnsi="Cambria Math" w:cs="Times New Roman"/>
              <w:color w:val="auto"/>
              <w:kern w:val="2"/>
              <w:sz w:val="24"/>
              <w:szCs w:val="24"/>
              <w:lang w:val="en-US" w:eastAsia="zh-CN" w:bidi="ar-SA"/>
            </w:rPr>
            <m:t>O</m:t>
          </m:r>
        </m:oMath>
      </m:oMathPara>
    </w:p>
    <w:p w14:paraId="3A1462BD">
      <w:pPr>
        <w:pageBreakBefore w:val="0"/>
        <w:wordWrap/>
        <w:bidi w:val="0"/>
        <w:adjustRightInd/>
        <w:snapToGrid/>
        <w:jc w:val="center"/>
        <w:rPr>
          <w:color w:val="auto"/>
        </w:rPr>
      </w:pPr>
      <w:r>
        <w:rPr>
          <w:rFonts w:hint="default" w:ascii="Times New Roman" w:hAnsi="Times New Roman" w:eastAsia="宋体" w:cs="Times New Roman"/>
          <w:color w:val="auto"/>
          <w:position w:val="-12"/>
          <w:sz w:val="30"/>
          <w:szCs w:val="30"/>
          <w:lang w:eastAsia="zh-CN"/>
        </w:rPr>
        <w:object>
          <v:shape id="_x0000_i1026" o:spt="75" type="#_x0000_t75" style="height:19pt;width:289pt;" o:ole="t" filled="f" o:preferrelative="t" stroked="f" coordsize="21600,21600">
            <v:path/>
            <v:fill on="f" focussize="0,0"/>
            <v:stroke on="f"/>
            <v:imagedata r:id="rId48" o:title=""/>
            <o:lock v:ext="edit" aspectratio="t"/>
            <w10:wrap type="none"/>
            <w10:anchorlock/>
          </v:shape>
          <o:OLEObject Type="Embed" ProgID="Equation.KSEE3" ShapeID="_x0000_i1026" DrawAspect="Content" ObjectID="_1468075726" r:id="rId47">
            <o:LockedField>false</o:LockedField>
          </o:OLEObject>
        </w:object>
      </w:r>
    </w:p>
    <w:p w14:paraId="482E92B6">
      <w:pPr>
        <w:pageBreakBefore w:val="0"/>
        <w:wordWrap/>
        <w:bidi w:val="0"/>
        <w:adjustRightInd/>
        <w:snapToGrid/>
        <w:rPr>
          <w:color w:val="auto"/>
        </w:rPr>
      </w:pPr>
      <w:r>
        <w:rPr>
          <w:rFonts w:hint="eastAsia"/>
          <w:color w:val="auto"/>
          <w:lang w:eastAsia="zh-CN"/>
        </w:rPr>
        <w:t>（</w:t>
      </w:r>
      <w:r>
        <w:rPr>
          <w:rFonts w:hint="eastAsia"/>
          <w:color w:val="auto"/>
        </w:rPr>
        <w:t>四</w:t>
      </w:r>
      <w:r>
        <w:rPr>
          <w:rFonts w:hint="eastAsia"/>
          <w:color w:val="auto"/>
          <w:lang w:eastAsia="zh-CN"/>
        </w:rPr>
        <w:t>）</w:t>
      </w:r>
      <w:r>
        <w:rPr>
          <w:rFonts w:hint="eastAsia"/>
          <w:color w:val="auto"/>
        </w:rPr>
        <w:t>除磷</w:t>
      </w:r>
    </w:p>
    <w:p w14:paraId="48B1E18D">
      <w:pPr>
        <w:pageBreakBefore w:val="0"/>
        <w:wordWrap/>
        <w:bidi w:val="0"/>
        <w:adjustRightInd/>
        <w:snapToGrid/>
        <w:rPr>
          <w:color w:val="auto"/>
        </w:rPr>
      </w:pPr>
      <w:r>
        <w:rPr>
          <w:rFonts w:hint="eastAsia"/>
          <w:color w:val="auto"/>
        </w:rPr>
        <w:t>EBIS工艺的生物除磷是靠污水中存在的一定量的某些细菌种群的生化作用来完成的。这些细菌包括不动杆菌属、假单胞菌属、气单胞菌属和棒杆菌属等，均属于异养性细菌，由于具有吸取磷的功能统称为聚磷菌，也称嗜磷菌。嗜磷菌交替地处于厌氧与好氧条件下，在厌氧条件下，聚磷菌体内的ATP进行水解，放出H</w:t>
      </w:r>
      <w:r>
        <w:rPr>
          <w:rFonts w:hint="eastAsia"/>
          <w:color w:val="auto"/>
          <w:vertAlign w:val="subscript"/>
          <w:lang w:val="en-US" w:eastAsia="zh-CN"/>
        </w:rPr>
        <w:t>3</w:t>
      </w:r>
      <w:r>
        <w:rPr>
          <w:rFonts w:hint="eastAsia"/>
          <w:color w:val="auto"/>
        </w:rPr>
        <w:t>PO</w:t>
      </w:r>
      <w:r>
        <w:rPr>
          <w:rFonts w:hint="eastAsia"/>
          <w:color w:val="auto"/>
          <w:vertAlign w:val="subscript"/>
          <w:lang w:val="en-US" w:eastAsia="zh-CN"/>
        </w:rPr>
        <w:t>4</w:t>
      </w:r>
      <w:r>
        <w:rPr>
          <w:rFonts w:hint="eastAsia"/>
          <w:color w:val="auto"/>
        </w:rPr>
        <w:t>和能量，吸收、粘附、吸附可溶性低分子量的可生化有机物</w:t>
      </w:r>
      <w:r>
        <w:rPr>
          <w:rFonts w:hint="eastAsia"/>
          <w:color w:val="auto"/>
          <w:lang w:eastAsia="zh-CN"/>
        </w:rPr>
        <w:t>（</w:t>
      </w:r>
      <w:r>
        <w:rPr>
          <w:rFonts w:hint="eastAsia"/>
          <w:color w:val="auto"/>
        </w:rPr>
        <w:t>即碳源</w:t>
      </w:r>
      <w:r>
        <w:rPr>
          <w:rFonts w:hint="eastAsia"/>
          <w:color w:val="auto"/>
          <w:lang w:eastAsia="zh-CN"/>
        </w:rPr>
        <w:t>），</w:t>
      </w:r>
      <w:r>
        <w:rPr>
          <w:rFonts w:hint="eastAsia"/>
          <w:color w:val="auto"/>
        </w:rPr>
        <w:t>作为好氧吸取磷的能量贮存在细胞内；好氧状态时，碳源有机物被细菌所氧化，提供能量使嗜磷菌的细胞迅速增长和繁殖，从外部环境中将H</w:t>
      </w:r>
      <w:r>
        <w:rPr>
          <w:rFonts w:hint="eastAsia"/>
          <w:color w:val="auto"/>
          <w:vertAlign w:val="subscript"/>
          <w:lang w:val="en-US" w:eastAsia="zh-CN"/>
        </w:rPr>
        <w:t>3</w:t>
      </w:r>
      <w:r>
        <w:rPr>
          <w:rFonts w:hint="eastAsia"/>
          <w:color w:val="auto"/>
        </w:rPr>
        <w:t>PO</w:t>
      </w:r>
      <w:r>
        <w:rPr>
          <w:rFonts w:hint="eastAsia"/>
          <w:color w:val="auto"/>
          <w:vertAlign w:val="subscript"/>
          <w:lang w:val="en-US" w:eastAsia="zh-CN"/>
        </w:rPr>
        <w:t>4</w:t>
      </w:r>
      <w:r>
        <w:rPr>
          <w:rFonts w:hint="eastAsia"/>
          <w:color w:val="auto"/>
        </w:rPr>
        <w:t>摄入体内，摄入的H</w:t>
      </w:r>
      <w:r>
        <w:rPr>
          <w:rFonts w:hint="eastAsia"/>
          <w:color w:val="auto"/>
          <w:vertAlign w:val="subscript"/>
          <w:lang w:val="en-US" w:eastAsia="zh-CN"/>
        </w:rPr>
        <w:t>3</w:t>
      </w:r>
      <w:r>
        <w:rPr>
          <w:rFonts w:hint="eastAsia"/>
          <w:color w:val="auto"/>
        </w:rPr>
        <w:t>PO</w:t>
      </w:r>
      <w:r>
        <w:rPr>
          <w:rFonts w:hint="eastAsia"/>
          <w:color w:val="auto"/>
          <w:vertAlign w:val="subscript"/>
          <w:lang w:val="en-US" w:eastAsia="zh-CN"/>
        </w:rPr>
        <w:t>4</w:t>
      </w:r>
      <w:r>
        <w:rPr>
          <w:rFonts w:hint="eastAsia"/>
          <w:color w:val="auto"/>
        </w:rPr>
        <w:t>部分用于合成ATP</w:t>
      </w:r>
      <w:r>
        <w:rPr>
          <w:rFonts w:hint="eastAsia"/>
          <w:color w:val="auto"/>
          <w:lang w:eastAsia="zh-CN"/>
        </w:rPr>
        <w:t>，</w:t>
      </w:r>
      <w:r>
        <w:rPr>
          <w:rFonts w:hint="eastAsia"/>
          <w:color w:val="auto"/>
        </w:rPr>
        <w:t>另一部分则用于合成聚磷酸盐贮存在细胞内。嗜磷菌既释放又摄取磷的生理机能是靠其细胞所特有的酶来实现的，由于摄取的磷在数量上远远大于释放的磷量，在运行中将吸取了大量磷的细胞随污泥排掉，则达到生物除磷的目的。EBIS反应池中分别设置厌氧、好氧段，创造出一个好的厌氧一好氧一沉淀排放的循环过程，将污水中的磷随污泥排放。并且在厌氧和好氧状态下使活性污泥与污水充分混合，活性污泥始终处于悬浮状态，促使嗜磷菌的细胞与所要吸取的物质充分接触，以增加反应速度和加大吸取量。同时，曝气区良好的脱氮效果使得回流液中化合态氧</w:t>
      </w:r>
      <w:r>
        <w:rPr>
          <w:rFonts w:hint="eastAsia"/>
          <w:color w:val="auto"/>
          <w:lang w:eastAsia="zh-CN"/>
        </w:rPr>
        <w:t>（</w:t>
      </w:r>
      <w:r>
        <w:rPr>
          <w:rFonts w:hint="eastAsia"/>
          <w:color w:val="auto"/>
        </w:rPr>
        <w:t>NO</w:t>
      </w:r>
      <w:r>
        <w:rPr>
          <w:rFonts w:hint="eastAsia"/>
          <w:color w:val="auto"/>
          <w:vertAlign w:val="subscript"/>
          <w:lang w:val="en-US" w:eastAsia="zh-CN"/>
        </w:rPr>
        <w:t>3</w:t>
      </w:r>
      <w:r>
        <w:rPr>
          <w:rFonts w:hint="eastAsia"/>
          <w:color w:val="auto"/>
          <w:vertAlign w:val="superscript"/>
        </w:rPr>
        <w:t>-</w:t>
      </w:r>
      <w:r>
        <w:rPr>
          <w:rFonts w:hint="eastAsia"/>
          <w:color w:val="auto"/>
        </w:rPr>
        <w:t>或NO</w:t>
      </w:r>
      <w:r>
        <w:rPr>
          <w:rFonts w:hint="eastAsia"/>
          <w:color w:val="auto"/>
          <w:vertAlign w:val="subscript"/>
          <w:lang w:val="en-US" w:eastAsia="zh-CN"/>
        </w:rPr>
        <w:t>2</w:t>
      </w:r>
      <w:r>
        <w:rPr>
          <w:rFonts w:hint="eastAsia"/>
          <w:color w:val="auto"/>
          <w:vertAlign w:val="superscript"/>
        </w:rPr>
        <w:t>-</w:t>
      </w:r>
      <w:r>
        <w:rPr>
          <w:rFonts w:hint="eastAsia"/>
          <w:color w:val="auto"/>
          <w:lang w:eastAsia="zh-CN"/>
        </w:rPr>
        <w:t>）</w:t>
      </w:r>
      <w:r>
        <w:rPr>
          <w:rFonts w:hint="eastAsia"/>
          <w:color w:val="auto"/>
        </w:rPr>
        <w:t>浓度很低，更促进磷的厌氧有效释放，进而大大提高好氧吸磷能力。</w:t>
      </w:r>
    </w:p>
    <w:p w14:paraId="131E5D5B">
      <w:pPr>
        <w:pageBreakBefore w:val="0"/>
        <w:wordWrap/>
        <w:bidi w:val="0"/>
        <w:adjustRightInd/>
        <w:snapToGrid/>
        <w:rPr>
          <w:rFonts w:hint="eastAsia"/>
          <w:b/>
          <w:bCs/>
          <w:color w:val="auto"/>
        </w:rPr>
      </w:pPr>
      <w:r>
        <w:rPr>
          <w:rFonts w:hint="eastAsia"/>
          <w:b/>
          <w:bCs/>
          <w:color w:val="auto"/>
          <w:lang w:eastAsia="zh-CN"/>
        </w:rPr>
        <w:t>（</w:t>
      </w:r>
      <w:r>
        <w:rPr>
          <w:rFonts w:hint="eastAsia"/>
          <w:b/>
          <w:bCs/>
          <w:color w:val="auto"/>
        </w:rPr>
        <w:t>五</w:t>
      </w:r>
      <w:r>
        <w:rPr>
          <w:rFonts w:hint="eastAsia"/>
          <w:b/>
          <w:bCs/>
          <w:color w:val="auto"/>
          <w:lang w:eastAsia="zh-CN"/>
        </w:rPr>
        <w:t>）</w:t>
      </w:r>
      <w:r>
        <w:rPr>
          <w:rFonts w:hint="eastAsia"/>
          <w:b/>
          <w:bCs/>
          <w:color w:val="auto"/>
        </w:rPr>
        <w:t>主要操作条件</w:t>
      </w:r>
    </w:p>
    <w:p w14:paraId="5676228A">
      <w:pPr>
        <w:pageBreakBefore w:val="0"/>
        <w:wordWrap/>
        <w:bidi w:val="0"/>
        <w:adjustRightInd/>
        <w:snapToGrid/>
        <w:rPr>
          <w:rFonts w:hint="eastAsia"/>
          <w:color w:val="auto"/>
        </w:rPr>
      </w:pPr>
      <w:r>
        <w:rPr>
          <w:rFonts w:hint="eastAsia"/>
          <w:color w:val="auto"/>
        </w:rPr>
        <w:t>1</w:t>
      </w:r>
      <w:r>
        <w:rPr>
          <w:rFonts w:hint="eastAsia"/>
          <w:color w:val="auto"/>
          <w:lang w:eastAsia="zh-CN"/>
        </w:rPr>
        <w:t>）</w:t>
      </w:r>
      <w:r>
        <w:rPr>
          <w:rFonts w:hint="eastAsia"/>
          <w:color w:val="auto"/>
        </w:rPr>
        <w:t>溶解氧控制</w:t>
      </w:r>
    </w:p>
    <w:p w14:paraId="182E5FDE">
      <w:pPr>
        <w:pageBreakBefore w:val="0"/>
        <w:wordWrap/>
        <w:bidi w:val="0"/>
        <w:adjustRightInd/>
        <w:snapToGrid/>
        <w:rPr>
          <w:rFonts w:hint="eastAsia"/>
          <w:color w:val="auto"/>
        </w:rPr>
      </w:pPr>
      <w:r>
        <w:rPr>
          <w:rFonts w:hint="eastAsia"/>
          <w:color w:val="auto"/>
        </w:rPr>
        <w:t>在EBIS反应池中溶解氧浓度控制在0.5mg/L左右，溶解氧浓度主要是通过溶氧仪一鼓风机控制回路控制供风量的大小来对其进行控制。</w:t>
      </w:r>
    </w:p>
    <w:p w14:paraId="577DF866">
      <w:pPr>
        <w:pageBreakBefore w:val="0"/>
        <w:wordWrap/>
        <w:bidi w:val="0"/>
        <w:adjustRightInd/>
        <w:snapToGrid/>
        <w:rPr>
          <w:rFonts w:hint="eastAsia"/>
          <w:color w:val="auto"/>
        </w:rPr>
      </w:pPr>
      <w:r>
        <w:rPr>
          <w:rFonts w:hint="eastAsia"/>
          <w:color w:val="auto"/>
        </w:rPr>
        <w:t>2</w:t>
      </w:r>
      <w:r>
        <w:rPr>
          <w:rFonts w:hint="eastAsia"/>
          <w:color w:val="auto"/>
          <w:lang w:eastAsia="zh-CN"/>
        </w:rPr>
        <w:t>）</w:t>
      </w:r>
      <w:r>
        <w:rPr>
          <w:rFonts w:hint="eastAsia"/>
          <w:color w:val="auto"/>
        </w:rPr>
        <w:t>污泥浓度控制</w:t>
      </w:r>
    </w:p>
    <w:p w14:paraId="110A97C9">
      <w:pPr>
        <w:pageBreakBefore w:val="0"/>
        <w:wordWrap/>
        <w:bidi w:val="0"/>
        <w:adjustRightInd/>
        <w:snapToGrid/>
        <w:rPr>
          <w:color w:val="auto"/>
        </w:rPr>
      </w:pPr>
      <w:r>
        <w:rPr>
          <w:rFonts w:hint="eastAsia"/>
          <w:color w:val="auto"/>
        </w:rPr>
        <w:t>EBIS反应池中的污泥浓度控制在6</w:t>
      </w:r>
      <w:r>
        <w:rPr>
          <w:rFonts w:hint="eastAsia"/>
          <w:color w:val="auto"/>
          <w:lang w:eastAsia="zh-CN"/>
        </w:rPr>
        <w:t>～</w:t>
      </w:r>
      <w:r>
        <w:rPr>
          <w:rFonts w:hint="eastAsia"/>
          <w:color w:val="auto"/>
        </w:rPr>
        <w:t>8g/L。</w:t>
      </w:r>
    </w:p>
    <w:p w14:paraId="1A5DC09C">
      <w:pPr>
        <w:pageBreakBefore w:val="0"/>
        <w:wordWrap/>
        <w:bidi w:val="0"/>
        <w:adjustRightInd/>
        <w:snapToGrid/>
        <w:rPr>
          <w:rFonts w:hint="eastAsia"/>
          <w:color w:val="auto"/>
        </w:rPr>
      </w:pPr>
      <w:r>
        <w:rPr>
          <w:rFonts w:hint="eastAsia"/>
          <w:color w:val="auto"/>
        </w:rPr>
        <w:t>3</w:t>
      </w:r>
      <w:r>
        <w:rPr>
          <w:rFonts w:hint="eastAsia"/>
          <w:color w:val="auto"/>
          <w:lang w:eastAsia="zh-CN"/>
        </w:rPr>
        <w:t>）</w:t>
      </w:r>
      <w:r>
        <w:rPr>
          <w:rFonts w:hint="eastAsia"/>
          <w:color w:val="auto"/>
        </w:rPr>
        <w:t>混合液回流控制</w:t>
      </w:r>
    </w:p>
    <w:p w14:paraId="4204F002">
      <w:pPr>
        <w:pageBreakBefore w:val="0"/>
        <w:wordWrap/>
        <w:bidi w:val="0"/>
        <w:adjustRightInd/>
        <w:snapToGrid/>
        <w:rPr>
          <w:rFonts w:hint="eastAsia"/>
          <w:color w:val="auto"/>
        </w:rPr>
      </w:pPr>
      <w:r>
        <w:rPr>
          <w:rFonts w:hint="eastAsia"/>
          <w:color w:val="auto"/>
        </w:rPr>
        <w:t>通过调整空气推流器的气量来调整混合液回流比，正常情况下回流比大于15。在进水浓度较高时，空气推流器气量会增大，增大回流比，过程全部为自控，无需人工调节。</w:t>
      </w:r>
    </w:p>
    <w:p w14:paraId="1BAA3E76">
      <w:pPr>
        <w:pageBreakBefore w:val="0"/>
        <w:wordWrap/>
        <w:bidi w:val="0"/>
        <w:adjustRightInd/>
        <w:snapToGrid/>
        <w:rPr>
          <w:rFonts w:hint="eastAsia"/>
          <w:color w:val="auto"/>
        </w:rPr>
      </w:pPr>
      <w:r>
        <w:rPr>
          <w:rFonts w:hint="eastAsia"/>
          <w:color w:val="auto"/>
        </w:rPr>
        <w:t>EBIS污水处理工艺将整个污水处理过程巧妙地安排在一个反应池内进行，优点十分突出：</w:t>
      </w:r>
    </w:p>
    <w:p w14:paraId="0956EE05">
      <w:pPr>
        <w:pageBreakBefore w:val="0"/>
        <w:wordWrap/>
        <w:bidi w:val="0"/>
        <w:adjustRightInd/>
        <w:snapToGrid/>
        <w:rPr>
          <w:rFonts w:hint="eastAsia"/>
          <w:color w:val="auto"/>
        </w:rPr>
      </w:pPr>
      <w:r>
        <w:rPr>
          <w:rFonts w:hint="eastAsia"/>
          <w:color w:val="auto"/>
        </w:rPr>
        <w:t>&gt;低溶氧条件下完成同步硝化反硝化反应</w:t>
      </w:r>
    </w:p>
    <w:p w14:paraId="53B5951C">
      <w:pPr>
        <w:pageBreakBefore w:val="0"/>
        <w:wordWrap/>
        <w:bidi w:val="0"/>
        <w:adjustRightInd/>
        <w:snapToGrid/>
        <w:rPr>
          <w:color w:val="auto"/>
        </w:rPr>
      </w:pPr>
      <w:r>
        <w:rPr>
          <w:rFonts w:hint="eastAsia"/>
          <w:color w:val="auto"/>
        </w:rPr>
        <w:t>传统生物处理池中溶解氧浓度</w:t>
      </w:r>
      <w:r>
        <w:rPr>
          <w:rFonts w:hint="eastAsia"/>
          <w:color w:val="auto"/>
          <w:lang w:eastAsia="zh-CN"/>
        </w:rPr>
        <w:t>（</w:t>
      </w:r>
      <w:r>
        <w:rPr>
          <w:rFonts w:hint="eastAsia"/>
          <w:color w:val="auto"/>
        </w:rPr>
        <w:t>DO</w:t>
      </w:r>
      <w:r>
        <w:rPr>
          <w:rFonts w:hint="eastAsia"/>
          <w:color w:val="auto"/>
          <w:lang w:eastAsia="zh-CN"/>
        </w:rPr>
        <w:t>）</w:t>
      </w:r>
      <w:r>
        <w:rPr>
          <w:rFonts w:hint="eastAsia"/>
          <w:color w:val="auto"/>
        </w:rPr>
        <w:t>较高，异养菌增殖快，污泥絮体大，形成隔离水膜，生长缓慢的硝化菌只能被</w:t>
      </w:r>
      <w:r>
        <w:rPr>
          <w:rFonts w:hint="eastAsia"/>
          <w:color w:val="auto"/>
          <w:lang w:eastAsia="zh-CN"/>
        </w:rPr>
        <w:t>“</w:t>
      </w:r>
      <w:r>
        <w:rPr>
          <w:rFonts w:hint="eastAsia"/>
          <w:color w:val="auto"/>
        </w:rPr>
        <w:t>包埋</w:t>
      </w:r>
      <w:r>
        <w:rPr>
          <w:rFonts w:hint="eastAsia"/>
          <w:color w:val="auto"/>
          <w:lang w:eastAsia="zh-CN"/>
        </w:rPr>
        <w:t>”</w:t>
      </w:r>
      <w:r>
        <w:rPr>
          <w:rFonts w:hint="eastAsia"/>
          <w:color w:val="auto"/>
        </w:rPr>
        <w:t>在污泥絮体内。为了使硝化反应得以有效地进行，必须保持较高的DO值，这样势必会增加污水处理的动力消耗。与之相比，EBIS生物处理池中的活性污泥颗粒小，污泥活性相对较低，异养菌生长缓慢；活性污泥外表不易形成隔离膜，活性污泥可与氧及可溶性有机物直接接触，实现氨氮的硝化；在曝气池进口区，大量可溶性有机物将会在很短的时间、较少的反应区间内实现氧化降解；曝气池内的溶解氧也会同时被迅速消耗降低趋于零，因而有利于后续的反硝化反应彻底进行。</w:t>
      </w:r>
    </w:p>
    <w:p w14:paraId="4E64505C">
      <w:pPr>
        <w:pageBreakBefore w:val="0"/>
        <w:wordWrap/>
        <w:bidi w:val="0"/>
        <w:adjustRightInd/>
        <w:snapToGrid/>
        <w:rPr>
          <w:rFonts w:hint="eastAsia"/>
          <w:color w:val="auto"/>
        </w:rPr>
      </w:pPr>
      <w:r>
        <w:rPr>
          <w:rFonts w:hint="eastAsia"/>
          <w:color w:val="auto"/>
        </w:rPr>
        <w:t>&gt;低污泥产出</w:t>
      </w:r>
    </w:p>
    <w:p w14:paraId="581E4780">
      <w:pPr>
        <w:pageBreakBefore w:val="0"/>
        <w:wordWrap/>
        <w:bidi w:val="0"/>
        <w:adjustRightInd/>
        <w:snapToGrid/>
        <w:rPr>
          <w:rFonts w:hint="eastAsia"/>
          <w:color w:val="auto"/>
        </w:rPr>
      </w:pPr>
      <w:r>
        <w:rPr>
          <w:rFonts w:hint="eastAsia"/>
          <w:color w:val="auto"/>
        </w:rPr>
        <w:t>EBIS污水处理工艺产生的剩余污泥可比传统工艺少40%</w:t>
      </w:r>
      <w:r>
        <w:rPr>
          <w:rFonts w:hint="eastAsia"/>
          <w:color w:val="auto"/>
          <w:lang w:eastAsia="zh-CN"/>
        </w:rPr>
        <w:t>～</w:t>
      </w:r>
      <w:r>
        <w:rPr>
          <w:rFonts w:hint="eastAsia"/>
          <w:color w:val="auto"/>
        </w:rPr>
        <w:t>60%。在低溶氧、高活性污泥浓度</w:t>
      </w:r>
      <w:r>
        <w:rPr>
          <w:rFonts w:hint="eastAsia"/>
          <w:color w:val="auto"/>
          <w:lang w:eastAsia="zh-CN"/>
        </w:rPr>
        <w:t>（</w:t>
      </w:r>
      <w:r>
        <w:rPr>
          <w:rFonts w:hint="eastAsia"/>
          <w:color w:val="auto"/>
        </w:rPr>
        <w:t>5</w:t>
      </w:r>
      <w:r>
        <w:rPr>
          <w:rFonts w:hint="eastAsia"/>
          <w:color w:val="auto"/>
          <w:lang w:eastAsia="zh-CN"/>
        </w:rPr>
        <w:t>～</w:t>
      </w:r>
      <w:r>
        <w:rPr>
          <w:rFonts w:hint="eastAsia"/>
          <w:color w:val="auto"/>
        </w:rPr>
        <w:t>8g/L</w:t>
      </w:r>
      <w:r>
        <w:rPr>
          <w:rFonts w:hint="eastAsia"/>
          <w:color w:val="auto"/>
          <w:lang w:eastAsia="zh-CN"/>
        </w:rPr>
        <w:t>）</w:t>
      </w:r>
      <w:r>
        <w:rPr>
          <w:rFonts w:hint="eastAsia"/>
          <w:color w:val="auto"/>
        </w:rPr>
        <w:t>条件下，原本产污泥较快的好氧菌受到了抑制，再加上进水有机物总量一定的情况下，使得高浓度的活性污泥的有机负荷</w:t>
      </w:r>
      <w:r>
        <w:rPr>
          <w:rFonts w:hint="eastAsia"/>
          <w:color w:val="auto"/>
          <w:lang w:eastAsia="zh-CN"/>
        </w:rPr>
        <w:t>（</w:t>
      </w:r>
      <w:r>
        <w:rPr>
          <w:rFonts w:hint="eastAsia"/>
          <w:color w:val="auto"/>
        </w:rPr>
        <w:t>F/M</w:t>
      </w:r>
      <w:r>
        <w:rPr>
          <w:rFonts w:hint="eastAsia"/>
          <w:color w:val="auto"/>
          <w:lang w:eastAsia="zh-CN"/>
        </w:rPr>
        <w:t>）</w:t>
      </w:r>
      <w:r>
        <w:rPr>
          <w:rFonts w:hint="eastAsia"/>
          <w:color w:val="auto"/>
        </w:rPr>
        <w:t>较小。由于食物的不太充足，微生物增长较慢或基本不增长，甚至可能减少，特别是通过EBIS污泥稳定工艺后，更进一步消除了过剩污泥中大部分原组织物质，那些易产生异臭味气体的成分也被消除了，如此被</w:t>
      </w:r>
      <w:r>
        <w:rPr>
          <w:rFonts w:hint="eastAsia"/>
          <w:color w:val="auto"/>
          <w:lang w:eastAsia="zh-CN"/>
        </w:rPr>
        <w:t>“</w:t>
      </w:r>
      <w:r>
        <w:rPr>
          <w:rFonts w:hint="eastAsia"/>
          <w:color w:val="auto"/>
        </w:rPr>
        <w:t>固化</w:t>
      </w:r>
      <w:r>
        <w:rPr>
          <w:rFonts w:hint="eastAsia"/>
          <w:color w:val="auto"/>
          <w:lang w:eastAsia="zh-CN"/>
        </w:rPr>
        <w:t>”</w:t>
      </w:r>
      <w:r>
        <w:rPr>
          <w:rFonts w:hint="eastAsia"/>
          <w:color w:val="auto"/>
        </w:rPr>
        <w:t>的污泥味道，闻起来像新鲜的泥土。</w:t>
      </w:r>
    </w:p>
    <w:p w14:paraId="1AB7C457">
      <w:pPr>
        <w:pageBreakBefore w:val="0"/>
        <w:wordWrap/>
        <w:bidi w:val="0"/>
        <w:adjustRightInd/>
        <w:snapToGrid/>
        <w:rPr>
          <w:rFonts w:hint="eastAsia"/>
          <w:color w:val="auto"/>
        </w:rPr>
      </w:pPr>
      <w:r>
        <w:rPr>
          <w:rFonts w:hint="eastAsia"/>
          <w:color w:val="auto"/>
        </w:rPr>
        <w:t>&gt;运行高效、持续稳定</w:t>
      </w:r>
    </w:p>
    <w:p w14:paraId="6FF0E0D8">
      <w:pPr>
        <w:pageBreakBefore w:val="0"/>
        <w:wordWrap/>
        <w:bidi w:val="0"/>
        <w:adjustRightInd/>
        <w:snapToGrid/>
        <w:rPr>
          <w:rFonts w:hint="eastAsia"/>
          <w:color w:val="auto"/>
        </w:rPr>
      </w:pPr>
      <w:r>
        <w:rPr>
          <w:rFonts w:hint="eastAsia"/>
          <w:color w:val="auto"/>
        </w:rPr>
        <w:t>通过EBIS稳定污泥再循环工艺，将稳定污泥再循环至硝化及脱氮工段，始终保持反应池中有6</w:t>
      </w:r>
      <w:r>
        <w:rPr>
          <w:rFonts w:hint="eastAsia"/>
          <w:color w:val="auto"/>
          <w:lang w:eastAsia="zh-CN"/>
        </w:rPr>
        <w:t>～</w:t>
      </w:r>
      <w:r>
        <w:rPr>
          <w:rFonts w:hint="eastAsia"/>
          <w:color w:val="auto"/>
        </w:rPr>
        <w:t>8g/L的较高污泥浓度，确保生物脱氮的持续稳定高效进行。</w:t>
      </w:r>
    </w:p>
    <w:p w14:paraId="5580C477">
      <w:pPr>
        <w:pageBreakBefore w:val="0"/>
        <w:wordWrap/>
        <w:bidi w:val="0"/>
        <w:adjustRightInd/>
        <w:snapToGrid/>
        <w:rPr>
          <w:rFonts w:hint="eastAsia"/>
          <w:color w:val="auto"/>
        </w:rPr>
      </w:pPr>
      <w:r>
        <w:rPr>
          <w:rFonts w:hint="eastAsia"/>
          <w:color w:val="auto"/>
        </w:rPr>
        <w:t>另通过高效率的空气提升系统将混合液在工艺入口端与进水进行数十倍的瞬间稀释，使得入口端与出口端的浓度差大大降低，这为细菌提供了相对稳定的宽松的生长环境，这</w:t>
      </w:r>
      <w:r>
        <w:rPr>
          <w:rFonts w:hint="eastAsia"/>
          <w:color w:val="auto"/>
          <w:lang w:eastAsia="zh-CN"/>
        </w:rPr>
        <w:t>是其他</w:t>
      </w:r>
      <w:r>
        <w:rPr>
          <w:rFonts w:hint="eastAsia"/>
          <w:color w:val="auto"/>
        </w:rPr>
        <w:t>传统工艺很难做得到的。因为</w:t>
      </w:r>
      <w:r>
        <w:rPr>
          <w:rFonts w:hint="eastAsia"/>
          <w:color w:val="auto"/>
          <w:lang w:eastAsia="zh-CN"/>
        </w:rPr>
        <w:t>其他</w:t>
      </w:r>
      <w:r>
        <w:rPr>
          <w:rFonts w:hint="eastAsia"/>
          <w:color w:val="auto"/>
        </w:rPr>
        <w:t>传统工艺多是与回流污泥进行1</w:t>
      </w:r>
      <w:r>
        <w:rPr>
          <w:rFonts w:hint="eastAsia"/>
          <w:color w:val="auto"/>
          <w:lang w:eastAsia="zh-CN"/>
        </w:rPr>
        <w:t>：</w:t>
      </w:r>
      <w:r>
        <w:rPr>
          <w:rFonts w:hint="eastAsia"/>
          <w:color w:val="auto"/>
        </w:rPr>
        <w:t>1稀释，而且传统工艺从入口端到出口端水质变化较大，反应池内的细菌在循环过程中也需要不停地去适应多变的生长环境，这样多变的环境对细菌的良好生长及保持较高的污泥活性非常不利，而EBIS工艺就避免了这种情况，它能始终保持稳定的溶氧、水质、污泥浓度，从而更加有效地保证了反应池中污染物持续稳定的去除率。</w:t>
      </w:r>
    </w:p>
    <w:p w14:paraId="158604D7">
      <w:pPr>
        <w:pageBreakBefore w:val="0"/>
        <w:wordWrap/>
        <w:bidi w:val="0"/>
        <w:adjustRightInd/>
        <w:snapToGrid/>
        <w:rPr>
          <w:color w:val="auto"/>
        </w:rPr>
      </w:pPr>
      <w:r>
        <w:rPr>
          <w:rFonts w:hint="eastAsia"/>
          <w:color w:val="auto"/>
        </w:rPr>
        <w:t>通过比较，针对该污水处理项目，我们得出以下综合比较见下表：</w:t>
      </w:r>
    </w:p>
    <w:p w14:paraId="35194762">
      <w:pPr>
        <w:pStyle w:val="19"/>
        <w:numPr>
          <w:ilvl w:val="0"/>
          <w:numId w:val="16"/>
        </w:numPr>
        <w:bidi w:val="0"/>
        <w:ind w:left="0" w:leftChars="0" w:firstLine="0" w:firstLineChars="0"/>
        <w:rPr>
          <w:color w:val="auto"/>
        </w:rPr>
      </w:pPr>
      <w:r>
        <w:rPr>
          <w:rFonts w:hint="eastAsia"/>
          <w:color w:val="auto"/>
        </w:rPr>
        <w:t>处理工艺方案综合比较表</w:t>
      </w:r>
    </w:p>
    <w:tbl>
      <w:tblPr>
        <w:tblStyle w:val="706"/>
        <w:tblW w:w="8509"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17"/>
        <w:gridCol w:w="956"/>
        <w:gridCol w:w="1598"/>
        <w:gridCol w:w="1578"/>
        <w:gridCol w:w="1939"/>
        <w:gridCol w:w="1821"/>
      </w:tblGrid>
      <w:tr w14:paraId="3AB280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73" w:type="dxa"/>
            <w:gridSpan w:val="2"/>
            <w:tcBorders>
              <w:tl2br w:val="nil"/>
              <w:tr2bl w:val="nil"/>
            </w:tcBorders>
            <w:vAlign w:val="center"/>
          </w:tcPr>
          <w:p w14:paraId="1E02D459">
            <w:pPr>
              <w:pStyle w:val="16"/>
              <w:pageBreakBefore w:val="0"/>
              <w:wordWrap/>
              <w:bidi w:val="0"/>
              <w:adjustRightInd/>
              <w:snapToGrid/>
              <w:rPr>
                <w:b/>
                <w:bCs/>
                <w:color w:val="auto"/>
              </w:rPr>
            </w:pPr>
            <w:r>
              <w:rPr>
                <w:b/>
                <w:bCs/>
                <w:color w:val="auto"/>
              </w:rPr>
              <w:t>项目</w:t>
            </w:r>
          </w:p>
        </w:tc>
        <w:tc>
          <w:tcPr>
            <w:tcW w:w="1598" w:type="dxa"/>
            <w:tcBorders>
              <w:tl2br w:val="nil"/>
              <w:tr2bl w:val="nil"/>
            </w:tcBorders>
            <w:vAlign w:val="center"/>
          </w:tcPr>
          <w:p w14:paraId="431D1933">
            <w:pPr>
              <w:pStyle w:val="16"/>
              <w:pageBreakBefore w:val="0"/>
              <w:wordWrap/>
              <w:bidi w:val="0"/>
              <w:adjustRightInd/>
              <w:snapToGrid/>
              <w:rPr>
                <w:b/>
                <w:bCs/>
                <w:color w:val="auto"/>
              </w:rPr>
            </w:pPr>
            <w:r>
              <w:rPr>
                <w:b/>
                <w:bCs/>
                <w:color w:val="auto"/>
              </w:rPr>
              <w:t>A²/0方案</w:t>
            </w:r>
          </w:p>
        </w:tc>
        <w:tc>
          <w:tcPr>
            <w:tcW w:w="1578" w:type="dxa"/>
            <w:tcBorders>
              <w:tl2br w:val="nil"/>
              <w:tr2bl w:val="nil"/>
            </w:tcBorders>
            <w:vAlign w:val="center"/>
          </w:tcPr>
          <w:p w14:paraId="718AB666">
            <w:pPr>
              <w:pStyle w:val="16"/>
              <w:pageBreakBefore w:val="0"/>
              <w:wordWrap/>
              <w:bidi w:val="0"/>
              <w:adjustRightInd/>
              <w:snapToGrid/>
              <w:rPr>
                <w:b/>
                <w:bCs/>
                <w:color w:val="auto"/>
              </w:rPr>
            </w:pPr>
            <w:r>
              <w:rPr>
                <w:b/>
                <w:bCs/>
                <w:color w:val="auto"/>
              </w:rPr>
              <w:t>MBBR方案</w:t>
            </w:r>
          </w:p>
        </w:tc>
        <w:tc>
          <w:tcPr>
            <w:tcW w:w="1939" w:type="dxa"/>
            <w:tcBorders>
              <w:tl2br w:val="nil"/>
              <w:tr2bl w:val="nil"/>
            </w:tcBorders>
            <w:vAlign w:val="center"/>
          </w:tcPr>
          <w:p w14:paraId="3928AF25">
            <w:pPr>
              <w:pStyle w:val="16"/>
              <w:pageBreakBefore w:val="0"/>
              <w:wordWrap/>
              <w:bidi w:val="0"/>
              <w:adjustRightInd/>
              <w:snapToGrid/>
              <w:rPr>
                <w:b/>
                <w:bCs/>
                <w:color w:val="auto"/>
              </w:rPr>
            </w:pPr>
            <w:r>
              <w:rPr>
                <w:b/>
                <w:bCs/>
                <w:color w:val="auto"/>
              </w:rPr>
              <w:t>MBR方案</w:t>
            </w:r>
          </w:p>
        </w:tc>
        <w:tc>
          <w:tcPr>
            <w:tcW w:w="1821" w:type="dxa"/>
            <w:tcBorders>
              <w:tl2br w:val="nil"/>
              <w:tr2bl w:val="nil"/>
            </w:tcBorders>
            <w:vAlign w:val="center"/>
          </w:tcPr>
          <w:p w14:paraId="35EC8235">
            <w:pPr>
              <w:pStyle w:val="16"/>
              <w:pageBreakBefore w:val="0"/>
              <w:wordWrap/>
              <w:bidi w:val="0"/>
              <w:adjustRightInd/>
              <w:snapToGrid/>
              <w:rPr>
                <w:b/>
                <w:bCs/>
                <w:color w:val="auto"/>
              </w:rPr>
            </w:pPr>
            <w:r>
              <w:rPr>
                <w:b/>
                <w:bCs/>
                <w:color w:val="auto"/>
              </w:rPr>
              <w:t>EBIS方案</w:t>
            </w:r>
          </w:p>
        </w:tc>
      </w:tr>
      <w:tr w14:paraId="6D66DD1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73" w:type="dxa"/>
            <w:gridSpan w:val="2"/>
            <w:tcBorders>
              <w:tl2br w:val="nil"/>
              <w:tr2bl w:val="nil"/>
            </w:tcBorders>
            <w:vAlign w:val="center"/>
          </w:tcPr>
          <w:p w14:paraId="1A666F9F">
            <w:pPr>
              <w:pStyle w:val="16"/>
              <w:pageBreakBefore w:val="0"/>
              <w:wordWrap/>
              <w:bidi w:val="0"/>
              <w:adjustRightInd/>
              <w:snapToGrid/>
              <w:rPr>
                <w:color w:val="auto"/>
              </w:rPr>
            </w:pPr>
            <w:r>
              <w:rPr>
                <w:color w:val="auto"/>
              </w:rPr>
              <w:t>占地</w:t>
            </w:r>
          </w:p>
        </w:tc>
        <w:tc>
          <w:tcPr>
            <w:tcW w:w="1598" w:type="dxa"/>
            <w:tcBorders>
              <w:tl2br w:val="nil"/>
              <w:tr2bl w:val="nil"/>
            </w:tcBorders>
            <w:vAlign w:val="center"/>
          </w:tcPr>
          <w:p w14:paraId="3080D7F9">
            <w:pPr>
              <w:pStyle w:val="16"/>
              <w:pageBreakBefore w:val="0"/>
              <w:wordWrap/>
              <w:bidi w:val="0"/>
              <w:adjustRightInd/>
              <w:snapToGrid/>
              <w:rPr>
                <w:color w:val="auto"/>
              </w:rPr>
            </w:pPr>
            <w:r>
              <w:rPr>
                <w:color w:val="auto"/>
              </w:rPr>
              <w:t>较大</w:t>
            </w:r>
          </w:p>
        </w:tc>
        <w:tc>
          <w:tcPr>
            <w:tcW w:w="1578" w:type="dxa"/>
            <w:tcBorders>
              <w:tl2br w:val="nil"/>
              <w:tr2bl w:val="nil"/>
            </w:tcBorders>
            <w:vAlign w:val="center"/>
          </w:tcPr>
          <w:p w14:paraId="424E84D9">
            <w:pPr>
              <w:pStyle w:val="16"/>
              <w:pageBreakBefore w:val="0"/>
              <w:wordWrap/>
              <w:bidi w:val="0"/>
              <w:adjustRightInd/>
              <w:snapToGrid/>
              <w:rPr>
                <w:color w:val="auto"/>
              </w:rPr>
            </w:pPr>
            <w:r>
              <w:rPr>
                <w:color w:val="auto"/>
              </w:rPr>
              <w:t>小</w:t>
            </w:r>
          </w:p>
        </w:tc>
        <w:tc>
          <w:tcPr>
            <w:tcW w:w="1939" w:type="dxa"/>
            <w:tcBorders>
              <w:tl2br w:val="nil"/>
              <w:tr2bl w:val="nil"/>
            </w:tcBorders>
            <w:vAlign w:val="center"/>
          </w:tcPr>
          <w:p w14:paraId="21F4660D">
            <w:pPr>
              <w:pStyle w:val="16"/>
              <w:pageBreakBefore w:val="0"/>
              <w:wordWrap/>
              <w:bidi w:val="0"/>
              <w:adjustRightInd/>
              <w:snapToGrid/>
              <w:rPr>
                <w:color w:val="auto"/>
              </w:rPr>
            </w:pPr>
            <w:r>
              <w:rPr>
                <w:color w:val="auto"/>
              </w:rPr>
              <w:t>小</w:t>
            </w:r>
          </w:p>
        </w:tc>
        <w:tc>
          <w:tcPr>
            <w:tcW w:w="1821" w:type="dxa"/>
            <w:tcBorders>
              <w:tl2br w:val="nil"/>
              <w:tr2bl w:val="nil"/>
            </w:tcBorders>
            <w:vAlign w:val="center"/>
          </w:tcPr>
          <w:p w14:paraId="1A59E426">
            <w:pPr>
              <w:pStyle w:val="16"/>
              <w:pageBreakBefore w:val="0"/>
              <w:wordWrap/>
              <w:bidi w:val="0"/>
              <w:adjustRightInd/>
              <w:snapToGrid/>
              <w:rPr>
                <w:color w:val="auto"/>
              </w:rPr>
            </w:pPr>
            <w:r>
              <w:rPr>
                <w:color w:val="auto"/>
              </w:rPr>
              <w:t>最小</w:t>
            </w:r>
          </w:p>
        </w:tc>
      </w:tr>
      <w:tr w14:paraId="0B8254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73" w:type="dxa"/>
            <w:gridSpan w:val="2"/>
            <w:tcBorders>
              <w:tl2br w:val="nil"/>
              <w:tr2bl w:val="nil"/>
            </w:tcBorders>
            <w:vAlign w:val="center"/>
          </w:tcPr>
          <w:p w14:paraId="50405624">
            <w:pPr>
              <w:pStyle w:val="16"/>
              <w:pageBreakBefore w:val="0"/>
              <w:wordWrap/>
              <w:bidi w:val="0"/>
              <w:adjustRightInd/>
              <w:snapToGrid/>
              <w:rPr>
                <w:color w:val="auto"/>
              </w:rPr>
            </w:pPr>
            <w:r>
              <w:rPr>
                <w:color w:val="auto"/>
              </w:rPr>
              <w:t>单位污水耗电</w:t>
            </w:r>
          </w:p>
        </w:tc>
        <w:tc>
          <w:tcPr>
            <w:tcW w:w="1598" w:type="dxa"/>
            <w:tcBorders>
              <w:tl2br w:val="nil"/>
              <w:tr2bl w:val="nil"/>
            </w:tcBorders>
            <w:vAlign w:val="center"/>
          </w:tcPr>
          <w:p w14:paraId="4A4D2816">
            <w:pPr>
              <w:pStyle w:val="16"/>
              <w:pageBreakBefore w:val="0"/>
              <w:wordWrap/>
              <w:bidi w:val="0"/>
              <w:adjustRightInd/>
              <w:snapToGrid/>
              <w:rPr>
                <w:color w:val="auto"/>
              </w:rPr>
            </w:pPr>
            <w:r>
              <w:rPr>
                <w:color w:val="auto"/>
              </w:rPr>
              <w:t>较高</w:t>
            </w:r>
          </w:p>
        </w:tc>
        <w:tc>
          <w:tcPr>
            <w:tcW w:w="1578" w:type="dxa"/>
            <w:tcBorders>
              <w:tl2br w:val="nil"/>
              <w:tr2bl w:val="nil"/>
            </w:tcBorders>
            <w:vAlign w:val="center"/>
          </w:tcPr>
          <w:p w14:paraId="1C12CBE3">
            <w:pPr>
              <w:pStyle w:val="16"/>
              <w:pageBreakBefore w:val="0"/>
              <w:wordWrap/>
              <w:bidi w:val="0"/>
              <w:adjustRightInd/>
              <w:snapToGrid/>
              <w:rPr>
                <w:color w:val="auto"/>
              </w:rPr>
            </w:pPr>
            <w:r>
              <w:rPr>
                <w:color w:val="auto"/>
              </w:rPr>
              <w:t>高</w:t>
            </w:r>
          </w:p>
        </w:tc>
        <w:tc>
          <w:tcPr>
            <w:tcW w:w="1939" w:type="dxa"/>
            <w:tcBorders>
              <w:tl2br w:val="nil"/>
              <w:tr2bl w:val="nil"/>
            </w:tcBorders>
            <w:vAlign w:val="center"/>
          </w:tcPr>
          <w:p w14:paraId="19087796">
            <w:pPr>
              <w:pStyle w:val="16"/>
              <w:pageBreakBefore w:val="0"/>
              <w:wordWrap/>
              <w:bidi w:val="0"/>
              <w:adjustRightInd/>
              <w:snapToGrid/>
              <w:rPr>
                <w:color w:val="auto"/>
              </w:rPr>
            </w:pPr>
            <w:r>
              <w:rPr>
                <w:color w:val="auto"/>
              </w:rPr>
              <w:t>最高</w:t>
            </w:r>
          </w:p>
        </w:tc>
        <w:tc>
          <w:tcPr>
            <w:tcW w:w="1821" w:type="dxa"/>
            <w:tcBorders>
              <w:tl2br w:val="nil"/>
              <w:tr2bl w:val="nil"/>
            </w:tcBorders>
            <w:vAlign w:val="center"/>
          </w:tcPr>
          <w:p w14:paraId="4491071B">
            <w:pPr>
              <w:pStyle w:val="16"/>
              <w:pageBreakBefore w:val="0"/>
              <w:wordWrap/>
              <w:bidi w:val="0"/>
              <w:adjustRightInd/>
              <w:snapToGrid/>
              <w:rPr>
                <w:color w:val="auto"/>
              </w:rPr>
            </w:pPr>
            <w:r>
              <w:rPr>
                <w:color w:val="auto"/>
              </w:rPr>
              <w:t>低</w:t>
            </w:r>
          </w:p>
        </w:tc>
      </w:tr>
      <w:tr w14:paraId="1BE8DC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73" w:type="dxa"/>
            <w:gridSpan w:val="2"/>
            <w:tcBorders>
              <w:tl2br w:val="nil"/>
              <w:tr2bl w:val="nil"/>
            </w:tcBorders>
            <w:vAlign w:val="center"/>
          </w:tcPr>
          <w:p w14:paraId="409E39CA">
            <w:pPr>
              <w:pStyle w:val="16"/>
              <w:pageBreakBefore w:val="0"/>
              <w:wordWrap/>
              <w:bidi w:val="0"/>
              <w:adjustRightInd/>
              <w:snapToGrid/>
              <w:rPr>
                <w:color w:val="auto"/>
              </w:rPr>
            </w:pPr>
            <w:r>
              <w:rPr>
                <w:color w:val="auto"/>
              </w:rPr>
              <w:t>工程总投资</w:t>
            </w:r>
          </w:p>
        </w:tc>
        <w:tc>
          <w:tcPr>
            <w:tcW w:w="1598" w:type="dxa"/>
            <w:tcBorders>
              <w:tl2br w:val="nil"/>
              <w:tr2bl w:val="nil"/>
            </w:tcBorders>
            <w:vAlign w:val="center"/>
          </w:tcPr>
          <w:p w14:paraId="5937E390">
            <w:pPr>
              <w:pStyle w:val="16"/>
              <w:pageBreakBefore w:val="0"/>
              <w:wordWrap/>
              <w:bidi w:val="0"/>
              <w:adjustRightInd/>
              <w:snapToGrid/>
              <w:rPr>
                <w:color w:val="auto"/>
              </w:rPr>
            </w:pPr>
            <w:r>
              <w:rPr>
                <w:color w:val="auto"/>
              </w:rPr>
              <w:t>中</w:t>
            </w:r>
          </w:p>
        </w:tc>
        <w:tc>
          <w:tcPr>
            <w:tcW w:w="1578" w:type="dxa"/>
            <w:tcBorders>
              <w:tl2br w:val="nil"/>
              <w:tr2bl w:val="nil"/>
            </w:tcBorders>
            <w:vAlign w:val="center"/>
          </w:tcPr>
          <w:p w14:paraId="35A68085">
            <w:pPr>
              <w:pStyle w:val="16"/>
              <w:pageBreakBefore w:val="0"/>
              <w:wordWrap/>
              <w:bidi w:val="0"/>
              <w:adjustRightInd/>
              <w:snapToGrid/>
              <w:rPr>
                <w:color w:val="auto"/>
              </w:rPr>
            </w:pPr>
            <w:r>
              <w:rPr>
                <w:color w:val="auto"/>
              </w:rPr>
              <w:t>高</w:t>
            </w:r>
          </w:p>
        </w:tc>
        <w:tc>
          <w:tcPr>
            <w:tcW w:w="1939" w:type="dxa"/>
            <w:tcBorders>
              <w:tl2br w:val="nil"/>
              <w:tr2bl w:val="nil"/>
            </w:tcBorders>
            <w:vAlign w:val="center"/>
          </w:tcPr>
          <w:p w14:paraId="280B99F1">
            <w:pPr>
              <w:pStyle w:val="16"/>
              <w:pageBreakBefore w:val="0"/>
              <w:wordWrap/>
              <w:bidi w:val="0"/>
              <w:adjustRightInd/>
              <w:snapToGrid/>
              <w:rPr>
                <w:color w:val="auto"/>
              </w:rPr>
            </w:pPr>
            <w:r>
              <w:rPr>
                <w:color w:val="auto"/>
              </w:rPr>
              <w:t>高</w:t>
            </w:r>
          </w:p>
        </w:tc>
        <w:tc>
          <w:tcPr>
            <w:tcW w:w="1821" w:type="dxa"/>
            <w:tcBorders>
              <w:tl2br w:val="nil"/>
              <w:tr2bl w:val="nil"/>
            </w:tcBorders>
            <w:vAlign w:val="center"/>
          </w:tcPr>
          <w:p w14:paraId="3494EF88">
            <w:pPr>
              <w:pStyle w:val="16"/>
              <w:pageBreakBefore w:val="0"/>
              <w:wordWrap/>
              <w:bidi w:val="0"/>
              <w:adjustRightInd/>
              <w:snapToGrid/>
              <w:rPr>
                <w:color w:val="auto"/>
              </w:rPr>
            </w:pPr>
            <w:r>
              <w:rPr>
                <w:color w:val="auto"/>
              </w:rPr>
              <w:t>中</w:t>
            </w:r>
          </w:p>
        </w:tc>
      </w:tr>
      <w:tr w14:paraId="1CE2A4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73" w:type="dxa"/>
            <w:gridSpan w:val="2"/>
            <w:tcBorders>
              <w:tl2br w:val="nil"/>
              <w:tr2bl w:val="nil"/>
            </w:tcBorders>
            <w:vAlign w:val="center"/>
          </w:tcPr>
          <w:p w14:paraId="3657C008">
            <w:pPr>
              <w:pStyle w:val="16"/>
              <w:pageBreakBefore w:val="0"/>
              <w:wordWrap/>
              <w:bidi w:val="0"/>
              <w:adjustRightInd/>
              <w:snapToGrid/>
              <w:rPr>
                <w:color w:val="auto"/>
              </w:rPr>
            </w:pPr>
            <w:r>
              <w:rPr>
                <w:color w:val="auto"/>
              </w:rPr>
              <w:t>化学药剂</w:t>
            </w:r>
          </w:p>
        </w:tc>
        <w:tc>
          <w:tcPr>
            <w:tcW w:w="1598" w:type="dxa"/>
            <w:tcBorders>
              <w:tl2br w:val="nil"/>
              <w:tr2bl w:val="nil"/>
            </w:tcBorders>
            <w:vAlign w:val="center"/>
          </w:tcPr>
          <w:p w14:paraId="4A0472A3">
            <w:pPr>
              <w:pStyle w:val="16"/>
              <w:pageBreakBefore w:val="0"/>
              <w:wordWrap/>
              <w:bidi w:val="0"/>
              <w:adjustRightInd/>
              <w:snapToGrid/>
              <w:rPr>
                <w:color w:val="auto"/>
              </w:rPr>
            </w:pPr>
            <w:r>
              <w:rPr>
                <w:color w:val="auto"/>
              </w:rPr>
              <w:t>需要碳源较多，无其他药剂</w:t>
            </w:r>
          </w:p>
        </w:tc>
        <w:tc>
          <w:tcPr>
            <w:tcW w:w="1578" w:type="dxa"/>
            <w:tcBorders>
              <w:tl2br w:val="nil"/>
              <w:tr2bl w:val="nil"/>
            </w:tcBorders>
            <w:vAlign w:val="center"/>
          </w:tcPr>
          <w:p w14:paraId="7654A547">
            <w:pPr>
              <w:pStyle w:val="16"/>
              <w:pageBreakBefore w:val="0"/>
              <w:wordWrap/>
              <w:bidi w:val="0"/>
              <w:adjustRightInd/>
              <w:snapToGrid/>
              <w:rPr>
                <w:color w:val="auto"/>
              </w:rPr>
            </w:pPr>
            <w:r>
              <w:rPr>
                <w:color w:val="auto"/>
              </w:rPr>
              <w:t>需要碳源多，无其他药剂</w:t>
            </w:r>
          </w:p>
        </w:tc>
        <w:tc>
          <w:tcPr>
            <w:tcW w:w="1939" w:type="dxa"/>
            <w:tcBorders>
              <w:tl2br w:val="nil"/>
              <w:tr2bl w:val="nil"/>
            </w:tcBorders>
            <w:vAlign w:val="center"/>
          </w:tcPr>
          <w:p w14:paraId="16E4D74A">
            <w:pPr>
              <w:pStyle w:val="16"/>
              <w:pageBreakBefore w:val="0"/>
              <w:wordWrap/>
              <w:bidi w:val="0"/>
              <w:adjustRightInd/>
              <w:snapToGrid/>
              <w:rPr>
                <w:color w:val="auto"/>
              </w:rPr>
            </w:pPr>
            <w:r>
              <w:rPr>
                <w:color w:val="auto"/>
              </w:rPr>
              <w:t>需要碳源较多，且需要膜清洗药剂</w:t>
            </w:r>
          </w:p>
        </w:tc>
        <w:tc>
          <w:tcPr>
            <w:tcW w:w="1821" w:type="dxa"/>
            <w:tcBorders>
              <w:tl2br w:val="nil"/>
              <w:tr2bl w:val="nil"/>
            </w:tcBorders>
            <w:vAlign w:val="center"/>
          </w:tcPr>
          <w:p w14:paraId="0E0AA8CF">
            <w:pPr>
              <w:pStyle w:val="16"/>
              <w:pageBreakBefore w:val="0"/>
              <w:wordWrap/>
              <w:bidi w:val="0"/>
              <w:adjustRightInd/>
              <w:snapToGrid/>
              <w:rPr>
                <w:color w:val="auto"/>
              </w:rPr>
            </w:pPr>
            <w:r>
              <w:rPr>
                <w:color w:val="auto"/>
              </w:rPr>
              <w:t>需要碳源最少，无其 他药剂</w:t>
            </w:r>
          </w:p>
        </w:tc>
      </w:tr>
      <w:tr w14:paraId="7FD831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73" w:type="dxa"/>
            <w:gridSpan w:val="2"/>
            <w:tcBorders>
              <w:tl2br w:val="nil"/>
              <w:tr2bl w:val="nil"/>
            </w:tcBorders>
            <w:vAlign w:val="center"/>
          </w:tcPr>
          <w:p w14:paraId="7839B6BE">
            <w:pPr>
              <w:pStyle w:val="16"/>
              <w:pageBreakBefore w:val="0"/>
              <w:wordWrap/>
              <w:bidi w:val="0"/>
              <w:adjustRightInd/>
              <w:snapToGrid/>
              <w:rPr>
                <w:color w:val="auto"/>
              </w:rPr>
            </w:pPr>
            <w:r>
              <w:rPr>
                <w:color w:val="auto"/>
              </w:rPr>
              <w:t>设备更换</w:t>
            </w:r>
          </w:p>
        </w:tc>
        <w:tc>
          <w:tcPr>
            <w:tcW w:w="1598" w:type="dxa"/>
            <w:tcBorders>
              <w:tl2br w:val="nil"/>
              <w:tr2bl w:val="nil"/>
            </w:tcBorders>
            <w:vAlign w:val="center"/>
          </w:tcPr>
          <w:p w14:paraId="1DA94845">
            <w:pPr>
              <w:pStyle w:val="16"/>
              <w:pageBreakBefore w:val="0"/>
              <w:wordWrap/>
              <w:bidi w:val="0"/>
              <w:adjustRightInd/>
              <w:snapToGrid/>
              <w:rPr>
                <w:color w:val="auto"/>
              </w:rPr>
            </w:pPr>
            <w:r>
              <w:rPr>
                <w:color w:val="auto"/>
              </w:rPr>
              <w:t>曝气3</w:t>
            </w:r>
            <w:r>
              <w:rPr>
                <w:rFonts w:hint="eastAsia"/>
                <w:color w:val="auto"/>
                <w:lang w:eastAsia="zh-CN"/>
              </w:rPr>
              <w:t>～</w:t>
            </w:r>
            <w:r>
              <w:rPr>
                <w:color w:val="auto"/>
              </w:rPr>
              <w:t>5年，动力设备数量较多</w:t>
            </w:r>
          </w:p>
        </w:tc>
        <w:tc>
          <w:tcPr>
            <w:tcW w:w="1578" w:type="dxa"/>
            <w:tcBorders>
              <w:tl2br w:val="nil"/>
              <w:tr2bl w:val="nil"/>
            </w:tcBorders>
            <w:vAlign w:val="center"/>
          </w:tcPr>
          <w:p w14:paraId="6953FDE8">
            <w:pPr>
              <w:pStyle w:val="16"/>
              <w:pageBreakBefore w:val="0"/>
              <w:wordWrap/>
              <w:bidi w:val="0"/>
              <w:adjustRightInd/>
              <w:snapToGrid/>
              <w:rPr>
                <w:color w:val="auto"/>
              </w:rPr>
            </w:pPr>
            <w:r>
              <w:rPr>
                <w:color w:val="auto"/>
              </w:rPr>
              <w:t>曝气3</w:t>
            </w:r>
            <w:r>
              <w:rPr>
                <w:rFonts w:hint="eastAsia"/>
                <w:color w:val="auto"/>
                <w:lang w:eastAsia="zh-CN"/>
              </w:rPr>
              <w:t>～</w:t>
            </w:r>
            <w:r>
              <w:rPr>
                <w:color w:val="auto"/>
              </w:rPr>
              <w:t>5年，动</w:t>
            </w:r>
          </w:p>
          <w:p w14:paraId="4AADC519">
            <w:pPr>
              <w:pStyle w:val="16"/>
              <w:pageBreakBefore w:val="0"/>
              <w:wordWrap/>
              <w:bidi w:val="0"/>
              <w:adjustRightInd/>
              <w:snapToGrid/>
              <w:rPr>
                <w:color w:val="auto"/>
              </w:rPr>
            </w:pPr>
            <w:r>
              <w:rPr>
                <w:color w:val="auto"/>
              </w:rPr>
              <w:t>力设备数量较多</w:t>
            </w:r>
          </w:p>
        </w:tc>
        <w:tc>
          <w:tcPr>
            <w:tcW w:w="1939" w:type="dxa"/>
            <w:tcBorders>
              <w:tl2br w:val="nil"/>
              <w:tr2bl w:val="nil"/>
            </w:tcBorders>
            <w:vAlign w:val="center"/>
          </w:tcPr>
          <w:p w14:paraId="1C0EF7DA">
            <w:pPr>
              <w:pStyle w:val="16"/>
              <w:pageBreakBefore w:val="0"/>
              <w:wordWrap/>
              <w:bidi w:val="0"/>
              <w:adjustRightInd/>
              <w:snapToGrid/>
              <w:rPr>
                <w:color w:val="auto"/>
              </w:rPr>
            </w:pPr>
            <w:r>
              <w:rPr>
                <w:color w:val="auto"/>
              </w:rPr>
              <w:t>曝气3</w:t>
            </w:r>
            <w:r>
              <w:rPr>
                <w:rFonts w:hint="eastAsia"/>
                <w:color w:val="auto"/>
                <w:lang w:eastAsia="zh-CN"/>
              </w:rPr>
              <w:t>～</w:t>
            </w:r>
            <w:r>
              <w:rPr>
                <w:color w:val="auto"/>
              </w:rPr>
              <w:t>5年，膜设备3年左右，动力设备数量最多</w:t>
            </w:r>
          </w:p>
        </w:tc>
        <w:tc>
          <w:tcPr>
            <w:tcW w:w="1821" w:type="dxa"/>
            <w:tcBorders>
              <w:tl2br w:val="nil"/>
              <w:tr2bl w:val="nil"/>
            </w:tcBorders>
            <w:vAlign w:val="center"/>
          </w:tcPr>
          <w:p w14:paraId="65DF184E">
            <w:pPr>
              <w:pStyle w:val="16"/>
              <w:pageBreakBefore w:val="0"/>
              <w:wordWrap/>
              <w:bidi w:val="0"/>
              <w:adjustRightInd/>
              <w:snapToGrid/>
              <w:rPr>
                <w:color w:val="auto"/>
              </w:rPr>
            </w:pPr>
            <w:r>
              <w:rPr>
                <w:color w:val="auto"/>
              </w:rPr>
              <w:t>曝气8</w:t>
            </w:r>
            <w:r>
              <w:rPr>
                <w:rFonts w:hint="eastAsia"/>
                <w:color w:val="auto"/>
                <w:lang w:eastAsia="zh-CN"/>
              </w:rPr>
              <w:t>～</w:t>
            </w:r>
            <w:r>
              <w:rPr>
                <w:color w:val="auto"/>
              </w:rPr>
              <w:t>12年，动力设备数量最少</w:t>
            </w:r>
          </w:p>
        </w:tc>
      </w:tr>
      <w:tr w14:paraId="26AFD3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73" w:type="dxa"/>
            <w:gridSpan w:val="2"/>
            <w:tcBorders>
              <w:tl2br w:val="nil"/>
              <w:tr2bl w:val="nil"/>
            </w:tcBorders>
            <w:vAlign w:val="center"/>
          </w:tcPr>
          <w:p w14:paraId="131FC576">
            <w:pPr>
              <w:pStyle w:val="16"/>
              <w:pageBreakBefore w:val="0"/>
              <w:wordWrap/>
              <w:bidi w:val="0"/>
              <w:adjustRightInd/>
              <w:snapToGrid/>
              <w:rPr>
                <w:color w:val="auto"/>
              </w:rPr>
            </w:pPr>
            <w:r>
              <w:rPr>
                <w:color w:val="auto"/>
              </w:rPr>
              <w:t>直接运行成本</w:t>
            </w:r>
          </w:p>
        </w:tc>
        <w:tc>
          <w:tcPr>
            <w:tcW w:w="1598" w:type="dxa"/>
            <w:tcBorders>
              <w:tl2br w:val="nil"/>
              <w:tr2bl w:val="nil"/>
            </w:tcBorders>
            <w:vAlign w:val="center"/>
          </w:tcPr>
          <w:p w14:paraId="6FCAE09A">
            <w:pPr>
              <w:pStyle w:val="16"/>
              <w:pageBreakBefore w:val="0"/>
              <w:wordWrap/>
              <w:bidi w:val="0"/>
              <w:adjustRightInd/>
              <w:snapToGrid/>
              <w:rPr>
                <w:color w:val="auto"/>
              </w:rPr>
            </w:pPr>
            <w:r>
              <w:rPr>
                <w:color w:val="auto"/>
              </w:rPr>
              <w:t>高</w:t>
            </w:r>
          </w:p>
        </w:tc>
        <w:tc>
          <w:tcPr>
            <w:tcW w:w="1578" w:type="dxa"/>
            <w:tcBorders>
              <w:tl2br w:val="nil"/>
              <w:tr2bl w:val="nil"/>
            </w:tcBorders>
            <w:vAlign w:val="center"/>
          </w:tcPr>
          <w:p w14:paraId="278FE2AD">
            <w:pPr>
              <w:pStyle w:val="16"/>
              <w:pageBreakBefore w:val="0"/>
              <w:wordWrap/>
              <w:bidi w:val="0"/>
              <w:adjustRightInd/>
              <w:snapToGrid/>
              <w:rPr>
                <w:color w:val="auto"/>
              </w:rPr>
            </w:pPr>
            <w:r>
              <w:rPr>
                <w:color w:val="auto"/>
              </w:rPr>
              <w:t>较高</w:t>
            </w:r>
          </w:p>
        </w:tc>
        <w:tc>
          <w:tcPr>
            <w:tcW w:w="1939" w:type="dxa"/>
            <w:tcBorders>
              <w:tl2br w:val="nil"/>
              <w:tr2bl w:val="nil"/>
            </w:tcBorders>
            <w:vAlign w:val="center"/>
          </w:tcPr>
          <w:p w14:paraId="400C92AA">
            <w:pPr>
              <w:pStyle w:val="16"/>
              <w:pageBreakBefore w:val="0"/>
              <w:wordWrap/>
              <w:bidi w:val="0"/>
              <w:adjustRightInd/>
              <w:snapToGrid/>
              <w:rPr>
                <w:color w:val="auto"/>
              </w:rPr>
            </w:pPr>
            <w:r>
              <w:rPr>
                <w:color w:val="auto"/>
              </w:rPr>
              <w:t>高</w:t>
            </w:r>
          </w:p>
        </w:tc>
        <w:tc>
          <w:tcPr>
            <w:tcW w:w="1821" w:type="dxa"/>
            <w:tcBorders>
              <w:tl2br w:val="nil"/>
              <w:tr2bl w:val="nil"/>
            </w:tcBorders>
            <w:vAlign w:val="center"/>
          </w:tcPr>
          <w:p w14:paraId="1E09AB02">
            <w:pPr>
              <w:pStyle w:val="16"/>
              <w:pageBreakBefore w:val="0"/>
              <w:wordWrap/>
              <w:bidi w:val="0"/>
              <w:adjustRightInd/>
              <w:snapToGrid/>
              <w:rPr>
                <w:color w:val="auto"/>
              </w:rPr>
            </w:pPr>
            <w:r>
              <w:rPr>
                <w:color w:val="auto"/>
              </w:rPr>
              <w:t>低</w:t>
            </w:r>
          </w:p>
        </w:tc>
      </w:tr>
      <w:tr w14:paraId="658D73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73" w:type="dxa"/>
            <w:gridSpan w:val="2"/>
            <w:tcBorders>
              <w:tl2br w:val="nil"/>
              <w:tr2bl w:val="nil"/>
            </w:tcBorders>
            <w:vAlign w:val="center"/>
          </w:tcPr>
          <w:p w14:paraId="3D249CCA">
            <w:pPr>
              <w:pStyle w:val="16"/>
              <w:pageBreakBefore w:val="0"/>
              <w:wordWrap/>
              <w:bidi w:val="0"/>
              <w:adjustRightInd/>
              <w:snapToGrid/>
              <w:rPr>
                <w:color w:val="auto"/>
              </w:rPr>
            </w:pPr>
            <w:r>
              <w:rPr>
                <w:color w:val="auto"/>
              </w:rPr>
              <w:t>剩余污泥量</w:t>
            </w:r>
          </w:p>
        </w:tc>
        <w:tc>
          <w:tcPr>
            <w:tcW w:w="1598" w:type="dxa"/>
            <w:tcBorders>
              <w:tl2br w:val="nil"/>
              <w:tr2bl w:val="nil"/>
            </w:tcBorders>
            <w:vAlign w:val="center"/>
          </w:tcPr>
          <w:p w14:paraId="0845D0DE">
            <w:pPr>
              <w:pStyle w:val="16"/>
              <w:pageBreakBefore w:val="0"/>
              <w:wordWrap/>
              <w:bidi w:val="0"/>
              <w:adjustRightInd/>
              <w:snapToGrid/>
              <w:rPr>
                <w:color w:val="auto"/>
              </w:rPr>
            </w:pPr>
            <w:r>
              <w:rPr>
                <w:color w:val="auto"/>
              </w:rPr>
              <w:t>偏高</w:t>
            </w:r>
          </w:p>
        </w:tc>
        <w:tc>
          <w:tcPr>
            <w:tcW w:w="1578" w:type="dxa"/>
            <w:tcBorders>
              <w:tl2br w:val="nil"/>
              <w:tr2bl w:val="nil"/>
            </w:tcBorders>
            <w:vAlign w:val="center"/>
          </w:tcPr>
          <w:p w14:paraId="250701FB">
            <w:pPr>
              <w:pStyle w:val="16"/>
              <w:pageBreakBefore w:val="0"/>
              <w:wordWrap/>
              <w:bidi w:val="0"/>
              <w:adjustRightInd/>
              <w:snapToGrid/>
              <w:rPr>
                <w:color w:val="auto"/>
              </w:rPr>
            </w:pPr>
            <w:r>
              <w:rPr>
                <w:color w:val="auto"/>
              </w:rPr>
              <w:t>中等</w:t>
            </w:r>
          </w:p>
        </w:tc>
        <w:tc>
          <w:tcPr>
            <w:tcW w:w="1939" w:type="dxa"/>
            <w:tcBorders>
              <w:tl2br w:val="nil"/>
              <w:tr2bl w:val="nil"/>
            </w:tcBorders>
            <w:vAlign w:val="center"/>
          </w:tcPr>
          <w:p w14:paraId="3BA01120">
            <w:pPr>
              <w:pStyle w:val="16"/>
              <w:pageBreakBefore w:val="0"/>
              <w:wordWrap/>
              <w:bidi w:val="0"/>
              <w:adjustRightInd/>
              <w:snapToGrid/>
              <w:rPr>
                <w:color w:val="auto"/>
              </w:rPr>
            </w:pPr>
            <w:r>
              <w:rPr>
                <w:color w:val="auto"/>
              </w:rPr>
              <w:t>低</w:t>
            </w:r>
          </w:p>
        </w:tc>
        <w:tc>
          <w:tcPr>
            <w:tcW w:w="1821" w:type="dxa"/>
            <w:tcBorders>
              <w:tl2br w:val="nil"/>
              <w:tr2bl w:val="nil"/>
            </w:tcBorders>
            <w:vAlign w:val="center"/>
          </w:tcPr>
          <w:p w14:paraId="4E9D3DCE">
            <w:pPr>
              <w:pStyle w:val="16"/>
              <w:pageBreakBefore w:val="0"/>
              <w:wordWrap/>
              <w:bidi w:val="0"/>
              <w:adjustRightInd/>
              <w:snapToGrid/>
              <w:rPr>
                <w:color w:val="auto"/>
              </w:rPr>
            </w:pPr>
            <w:r>
              <w:rPr>
                <w:color w:val="auto"/>
              </w:rPr>
              <w:t>低</w:t>
            </w:r>
          </w:p>
        </w:tc>
      </w:tr>
      <w:tr w14:paraId="3B4E7E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73" w:type="dxa"/>
            <w:gridSpan w:val="2"/>
            <w:tcBorders>
              <w:tl2br w:val="nil"/>
              <w:tr2bl w:val="nil"/>
            </w:tcBorders>
            <w:vAlign w:val="center"/>
          </w:tcPr>
          <w:p w14:paraId="01C48C71">
            <w:pPr>
              <w:pStyle w:val="16"/>
              <w:pageBreakBefore w:val="0"/>
              <w:wordWrap/>
              <w:bidi w:val="0"/>
              <w:adjustRightInd/>
              <w:snapToGrid/>
              <w:rPr>
                <w:color w:val="auto"/>
              </w:rPr>
            </w:pPr>
            <w:r>
              <w:rPr>
                <w:color w:val="auto"/>
              </w:rPr>
              <w:t>出水达标</w:t>
            </w:r>
          </w:p>
        </w:tc>
        <w:tc>
          <w:tcPr>
            <w:tcW w:w="1598" w:type="dxa"/>
            <w:tcBorders>
              <w:tl2br w:val="nil"/>
              <w:tr2bl w:val="nil"/>
            </w:tcBorders>
            <w:vAlign w:val="center"/>
          </w:tcPr>
          <w:p w14:paraId="2C82DCA5">
            <w:pPr>
              <w:pStyle w:val="16"/>
              <w:pageBreakBefore w:val="0"/>
              <w:wordWrap/>
              <w:bidi w:val="0"/>
              <w:adjustRightInd/>
              <w:snapToGrid/>
              <w:rPr>
                <w:color w:val="auto"/>
              </w:rPr>
            </w:pPr>
            <w:r>
              <w:rPr>
                <w:color w:val="auto"/>
              </w:rPr>
              <w:t>较稳定</w:t>
            </w:r>
          </w:p>
        </w:tc>
        <w:tc>
          <w:tcPr>
            <w:tcW w:w="1578" w:type="dxa"/>
            <w:tcBorders>
              <w:tl2br w:val="nil"/>
              <w:tr2bl w:val="nil"/>
            </w:tcBorders>
            <w:vAlign w:val="center"/>
          </w:tcPr>
          <w:p w14:paraId="639787F7">
            <w:pPr>
              <w:pStyle w:val="16"/>
              <w:pageBreakBefore w:val="0"/>
              <w:wordWrap/>
              <w:bidi w:val="0"/>
              <w:adjustRightInd/>
              <w:snapToGrid/>
              <w:rPr>
                <w:color w:val="auto"/>
              </w:rPr>
            </w:pPr>
            <w:r>
              <w:rPr>
                <w:color w:val="auto"/>
              </w:rPr>
              <w:t>较稳定</w:t>
            </w:r>
          </w:p>
        </w:tc>
        <w:tc>
          <w:tcPr>
            <w:tcW w:w="1939" w:type="dxa"/>
            <w:tcBorders>
              <w:tl2br w:val="nil"/>
              <w:tr2bl w:val="nil"/>
            </w:tcBorders>
            <w:vAlign w:val="center"/>
          </w:tcPr>
          <w:p w14:paraId="47E55BC6">
            <w:pPr>
              <w:pStyle w:val="16"/>
              <w:pageBreakBefore w:val="0"/>
              <w:wordWrap/>
              <w:bidi w:val="0"/>
              <w:adjustRightInd/>
              <w:snapToGrid/>
              <w:rPr>
                <w:color w:val="auto"/>
              </w:rPr>
            </w:pPr>
            <w:r>
              <w:rPr>
                <w:color w:val="auto"/>
              </w:rPr>
              <w:t>稳定</w:t>
            </w:r>
          </w:p>
        </w:tc>
        <w:tc>
          <w:tcPr>
            <w:tcW w:w="1821" w:type="dxa"/>
            <w:tcBorders>
              <w:tl2br w:val="nil"/>
              <w:tr2bl w:val="nil"/>
            </w:tcBorders>
            <w:vAlign w:val="center"/>
          </w:tcPr>
          <w:p w14:paraId="4F621EB9">
            <w:pPr>
              <w:pStyle w:val="16"/>
              <w:pageBreakBefore w:val="0"/>
              <w:wordWrap/>
              <w:bidi w:val="0"/>
              <w:adjustRightInd/>
              <w:snapToGrid/>
              <w:rPr>
                <w:color w:val="auto"/>
              </w:rPr>
            </w:pPr>
            <w:r>
              <w:rPr>
                <w:color w:val="auto"/>
              </w:rPr>
              <w:t>稳定</w:t>
            </w:r>
          </w:p>
        </w:tc>
      </w:tr>
      <w:tr w14:paraId="017EC8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73" w:type="dxa"/>
            <w:gridSpan w:val="2"/>
            <w:tcBorders>
              <w:tl2br w:val="nil"/>
              <w:tr2bl w:val="nil"/>
            </w:tcBorders>
            <w:vAlign w:val="center"/>
          </w:tcPr>
          <w:p w14:paraId="681A4C44">
            <w:pPr>
              <w:pStyle w:val="16"/>
              <w:pageBreakBefore w:val="0"/>
              <w:wordWrap/>
              <w:bidi w:val="0"/>
              <w:adjustRightInd/>
              <w:snapToGrid/>
              <w:rPr>
                <w:color w:val="auto"/>
              </w:rPr>
            </w:pPr>
            <w:r>
              <w:rPr>
                <w:color w:val="auto"/>
              </w:rPr>
              <w:t>运行管理</w:t>
            </w:r>
          </w:p>
        </w:tc>
        <w:tc>
          <w:tcPr>
            <w:tcW w:w="1598" w:type="dxa"/>
            <w:tcBorders>
              <w:tl2br w:val="nil"/>
              <w:tr2bl w:val="nil"/>
            </w:tcBorders>
            <w:vAlign w:val="center"/>
          </w:tcPr>
          <w:p w14:paraId="23C8CA7E">
            <w:pPr>
              <w:pStyle w:val="16"/>
              <w:pageBreakBefore w:val="0"/>
              <w:wordWrap/>
              <w:bidi w:val="0"/>
              <w:adjustRightInd/>
              <w:snapToGrid/>
              <w:rPr>
                <w:color w:val="auto"/>
              </w:rPr>
            </w:pPr>
            <w:r>
              <w:rPr>
                <w:color w:val="auto"/>
              </w:rPr>
              <w:t>连续进水连续出水，不存在易损设备，操作人员仅需完成日常巡检即可，对操作人员的技术水平要求低</w:t>
            </w:r>
          </w:p>
        </w:tc>
        <w:tc>
          <w:tcPr>
            <w:tcW w:w="1578" w:type="dxa"/>
            <w:tcBorders>
              <w:tl2br w:val="nil"/>
              <w:tr2bl w:val="nil"/>
            </w:tcBorders>
            <w:vAlign w:val="center"/>
          </w:tcPr>
          <w:p w14:paraId="6C90A16E">
            <w:pPr>
              <w:pStyle w:val="16"/>
              <w:pageBreakBefore w:val="0"/>
              <w:wordWrap/>
              <w:bidi w:val="0"/>
              <w:adjustRightInd/>
              <w:snapToGrid/>
              <w:rPr>
                <w:color w:val="auto"/>
              </w:rPr>
            </w:pPr>
            <w:r>
              <w:rPr>
                <w:color w:val="auto"/>
              </w:rPr>
              <w:t>连续进水连续出水，不存在易损设备，操作人员仅需完成日常巡检即可，对操作人员的技术水平要求低。</w:t>
            </w:r>
          </w:p>
        </w:tc>
        <w:tc>
          <w:tcPr>
            <w:tcW w:w="1939" w:type="dxa"/>
            <w:tcBorders>
              <w:tl2br w:val="nil"/>
              <w:tr2bl w:val="nil"/>
            </w:tcBorders>
            <w:vAlign w:val="center"/>
          </w:tcPr>
          <w:p w14:paraId="272858A3">
            <w:pPr>
              <w:pStyle w:val="16"/>
              <w:pageBreakBefore w:val="0"/>
              <w:wordWrap/>
              <w:bidi w:val="0"/>
              <w:adjustRightInd/>
              <w:snapToGrid/>
              <w:rPr>
                <w:color w:val="auto"/>
              </w:rPr>
            </w:pPr>
            <w:r>
              <w:rPr>
                <w:color w:val="auto"/>
              </w:rPr>
              <w:t>有机物、无机盐、微生物对膜的污染频繁，且存在膜丝结垢与断丝的情况，因此需要定期的加药清洗，对预处理的要求也较为严格，因此运行过程中对操作人员的技术水平要求较高，需要专业的操作队伍</w:t>
            </w:r>
          </w:p>
        </w:tc>
        <w:tc>
          <w:tcPr>
            <w:tcW w:w="1821" w:type="dxa"/>
            <w:tcBorders>
              <w:tl2br w:val="nil"/>
              <w:tr2bl w:val="nil"/>
            </w:tcBorders>
            <w:vAlign w:val="center"/>
          </w:tcPr>
          <w:p w14:paraId="69F9855E">
            <w:pPr>
              <w:pStyle w:val="16"/>
              <w:pageBreakBefore w:val="0"/>
              <w:wordWrap/>
              <w:bidi w:val="0"/>
              <w:adjustRightInd/>
              <w:snapToGrid/>
              <w:rPr>
                <w:color w:val="auto"/>
              </w:rPr>
            </w:pPr>
            <w:r>
              <w:rPr>
                <w:color w:val="auto"/>
              </w:rPr>
              <w:t>连续进水连续出水， 不存在易损设备，溶</w:t>
            </w:r>
          </w:p>
          <w:p w14:paraId="3DEAD6E9">
            <w:pPr>
              <w:pStyle w:val="16"/>
              <w:pageBreakBefore w:val="0"/>
              <w:wordWrap/>
              <w:bidi w:val="0"/>
              <w:adjustRightInd/>
              <w:snapToGrid/>
              <w:jc w:val="center"/>
              <w:rPr>
                <w:color w:val="auto"/>
              </w:rPr>
            </w:pPr>
            <w:r>
              <w:rPr>
                <w:color w:val="auto"/>
              </w:rPr>
              <w:t>解氧控制系统自动调整风量，无需人工干预，操作人员仅需 完成日常巡检即可， 对操作人员的技术水平要求低</w:t>
            </w:r>
          </w:p>
        </w:tc>
      </w:tr>
      <w:tr w14:paraId="243D80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17" w:type="dxa"/>
            <w:vMerge w:val="restart"/>
            <w:tcBorders>
              <w:tl2br w:val="nil"/>
              <w:tr2bl w:val="nil"/>
            </w:tcBorders>
            <w:vAlign w:val="center"/>
          </w:tcPr>
          <w:p w14:paraId="25A928A2">
            <w:pPr>
              <w:pStyle w:val="16"/>
              <w:pageBreakBefore w:val="0"/>
              <w:wordWrap/>
              <w:bidi w:val="0"/>
              <w:adjustRightInd/>
              <w:snapToGrid/>
              <w:rPr>
                <w:color w:val="auto"/>
              </w:rPr>
            </w:pPr>
            <w:r>
              <w:rPr>
                <w:color w:val="auto"/>
              </w:rPr>
              <w:t>技术</w:t>
            </w:r>
          </w:p>
          <w:p w14:paraId="61664368">
            <w:pPr>
              <w:pStyle w:val="16"/>
              <w:pageBreakBefore w:val="0"/>
              <w:wordWrap/>
              <w:bidi w:val="0"/>
              <w:adjustRightInd/>
              <w:snapToGrid/>
              <w:rPr>
                <w:color w:val="auto"/>
              </w:rPr>
            </w:pPr>
            <w:r>
              <w:rPr>
                <w:color w:val="auto"/>
              </w:rPr>
              <w:t>评价</w:t>
            </w:r>
          </w:p>
        </w:tc>
        <w:tc>
          <w:tcPr>
            <w:tcW w:w="956" w:type="dxa"/>
            <w:tcBorders>
              <w:tl2br w:val="nil"/>
              <w:tr2bl w:val="nil"/>
            </w:tcBorders>
            <w:vAlign w:val="center"/>
          </w:tcPr>
          <w:p w14:paraId="32AD5763">
            <w:pPr>
              <w:pStyle w:val="16"/>
              <w:pageBreakBefore w:val="0"/>
              <w:wordWrap/>
              <w:bidi w:val="0"/>
              <w:adjustRightInd/>
              <w:snapToGrid/>
              <w:rPr>
                <w:color w:val="auto"/>
              </w:rPr>
            </w:pPr>
            <w:r>
              <w:rPr>
                <w:color w:val="auto"/>
              </w:rPr>
              <w:t>优点</w:t>
            </w:r>
          </w:p>
        </w:tc>
        <w:tc>
          <w:tcPr>
            <w:tcW w:w="1598" w:type="dxa"/>
            <w:tcBorders>
              <w:tl2br w:val="nil"/>
              <w:tr2bl w:val="nil"/>
            </w:tcBorders>
            <w:vAlign w:val="center"/>
          </w:tcPr>
          <w:p w14:paraId="538DD1E9">
            <w:pPr>
              <w:pStyle w:val="16"/>
              <w:pageBreakBefore w:val="0"/>
              <w:wordWrap/>
              <w:bidi w:val="0"/>
              <w:adjustRightInd/>
              <w:snapToGrid/>
              <w:rPr>
                <w:color w:val="auto"/>
              </w:rPr>
            </w:pPr>
            <w:r>
              <w:rPr>
                <w:color w:val="auto"/>
              </w:rPr>
              <w:t>曝气效率高，电耗较低，占地较少，系统可操作性强，可严格控制出水水质</w:t>
            </w:r>
          </w:p>
        </w:tc>
        <w:tc>
          <w:tcPr>
            <w:tcW w:w="1578" w:type="dxa"/>
            <w:tcBorders>
              <w:tl2br w:val="nil"/>
              <w:tr2bl w:val="nil"/>
            </w:tcBorders>
            <w:vAlign w:val="center"/>
          </w:tcPr>
          <w:p w14:paraId="5B50C4DE">
            <w:pPr>
              <w:pStyle w:val="16"/>
              <w:pageBreakBefore w:val="0"/>
              <w:wordWrap/>
              <w:bidi w:val="0"/>
              <w:adjustRightInd/>
              <w:snapToGrid/>
              <w:rPr>
                <w:color w:val="auto"/>
              </w:rPr>
            </w:pPr>
            <w:r>
              <w:rPr>
                <w:color w:val="auto"/>
              </w:rPr>
              <w:t>容积负荷较高，可同步强化脱氮除磷，恶劣水质条件下仍表现较好处理效果</w:t>
            </w:r>
          </w:p>
        </w:tc>
        <w:tc>
          <w:tcPr>
            <w:tcW w:w="1939" w:type="dxa"/>
            <w:tcBorders>
              <w:tl2br w:val="nil"/>
              <w:tr2bl w:val="nil"/>
            </w:tcBorders>
            <w:vAlign w:val="center"/>
          </w:tcPr>
          <w:p w14:paraId="0F36BD49">
            <w:pPr>
              <w:pStyle w:val="16"/>
              <w:pageBreakBefore w:val="0"/>
              <w:wordWrap/>
              <w:bidi w:val="0"/>
              <w:adjustRightInd/>
              <w:snapToGrid/>
              <w:rPr>
                <w:color w:val="auto"/>
              </w:rPr>
            </w:pPr>
            <w:r>
              <w:rPr>
                <w:color w:val="auto"/>
              </w:rPr>
              <w:t>占地面积节省COD出水水质较传统工艺好，总氮指标出水和传统工艺基本一致。</w:t>
            </w:r>
          </w:p>
        </w:tc>
        <w:tc>
          <w:tcPr>
            <w:tcW w:w="1821" w:type="dxa"/>
            <w:tcBorders>
              <w:tl2br w:val="nil"/>
              <w:tr2bl w:val="nil"/>
            </w:tcBorders>
            <w:vAlign w:val="center"/>
          </w:tcPr>
          <w:p w14:paraId="3AEB614D">
            <w:pPr>
              <w:pStyle w:val="16"/>
              <w:pageBreakBefore w:val="0"/>
              <w:wordWrap/>
              <w:bidi w:val="0"/>
              <w:adjustRightInd/>
              <w:snapToGrid/>
              <w:rPr>
                <w:color w:val="auto"/>
              </w:rPr>
            </w:pPr>
            <w:r>
              <w:rPr>
                <w:color w:val="auto"/>
              </w:rPr>
              <w:t>工艺流程简单，管理 简便，运行较稳定，曝气效率高，曝气管不易堵塞可实现不停车更换，电耗低占地小，出水水质好</w:t>
            </w:r>
          </w:p>
        </w:tc>
      </w:tr>
      <w:tr w14:paraId="235DE7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17" w:type="dxa"/>
            <w:vMerge w:val="continue"/>
            <w:tcBorders>
              <w:tl2br w:val="nil"/>
              <w:tr2bl w:val="nil"/>
            </w:tcBorders>
            <w:vAlign w:val="center"/>
          </w:tcPr>
          <w:p w14:paraId="28B24849">
            <w:pPr>
              <w:pStyle w:val="16"/>
              <w:pageBreakBefore w:val="0"/>
              <w:wordWrap/>
              <w:bidi w:val="0"/>
              <w:adjustRightInd/>
              <w:snapToGrid/>
              <w:rPr>
                <w:color w:val="auto"/>
              </w:rPr>
            </w:pPr>
          </w:p>
        </w:tc>
        <w:tc>
          <w:tcPr>
            <w:tcW w:w="956" w:type="dxa"/>
            <w:tcBorders>
              <w:tl2br w:val="nil"/>
              <w:tr2bl w:val="nil"/>
            </w:tcBorders>
            <w:vAlign w:val="center"/>
          </w:tcPr>
          <w:p w14:paraId="28AB21B5">
            <w:pPr>
              <w:pStyle w:val="16"/>
              <w:pageBreakBefore w:val="0"/>
              <w:wordWrap/>
              <w:bidi w:val="0"/>
              <w:adjustRightInd/>
              <w:snapToGrid/>
              <w:rPr>
                <w:color w:val="auto"/>
              </w:rPr>
            </w:pPr>
            <w:r>
              <w:rPr>
                <w:color w:val="auto"/>
              </w:rPr>
              <w:t>缺点</w:t>
            </w:r>
          </w:p>
        </w:tc>
        <w:tc>
          <w:tcPr>
            <w:tcW w:w="1598" w:type="dxa"/>
            <w:tcBorders>
              <w:tl2br w:val="nil"/>
              <w:tr2bl w:val="nil"/>
            </w:tcBorders>
            <w:vAlign w:val="center"/>
          </w:tcPr>
          <w:p w14:paraId="2A4EF2B0">
            <w:pPr>
              <w:pStyle w:val="16"/>
              <w:pageBreakBefore w:val="0"/>
              <w:wordWrap/>
              <w:bidi w:val="0"/>
              <w:adjustRightInd/>
              <w:snapToGrid/>
              <w:rPr>
                <w:color w:val="auto"/>
              </w:rPr>
            </w:pPr>
            <w:r>
              <w:rPr>
                <w:color w:val="auto"/>
              </w:rPr>
              <w:t>构筑物较多，设备较多，维护麻烦，微孔曝气器易堵塞</w:t>
            </w:r>
          </w:p>
        </w:tc>
        <w:tc>
          <w:tcPr>
            <w:tcW w:w="1578" w:type="dxa"/>
            <w:tcBorders>
              <w:tl2br w:val="nil"/>
              <w:tr2bl w:val="nil"/>
            </w:tcBorders>
            <w:vAlign w:val="center"/>
          </w:tcPr>
          <w:p w14:paraId="64986333">
            <w:pPr>
              <w:pStyle w:val="16"/>
              <w:pageBreakBefore w:val="0"/>
              <w:wordWrap/>
              <w:bidi w:val="0"/>
              <w:adjustRightInd/>
              <w:snapToGrid/>
              <w:rPr>
                <w:color w:val="auto"/>
              </w:rPr>
            </w:pPr>
            <w:r>
              <w:rPr>
                <w:color w:val="auto"/>
              </w:rPr>
              <w:t>专用的生物填料的造价较高，反应器中的填料通过曝气和水流流态化，造成能耗增加。另外在实际工程中，局部填料很容易发生堆积情况。</w:t>
            </w:r>
          </w:p>
        </w:tc>
        <w:tc>
          <w:tcPr>
            <w:tcW w:w="1939" w:type="dxa"/>
            <w:tcBorders>
              <w:tl2br w:val="nil"/>
              <w:tr2bl w:val="nil"/>
            </w:tcBorders>
            <w:vAlign w:val="center"/>
          </w:tcPr>
          <w:p w14:paraId="13476D12">
            <w:pPr>
              <w:pStyle w:val="16"/>
              <w:pageBreakBefore w:val="0"/>
              <w:wordWrap/>
              <w:bidi w:val="0"/>
              <w:adjustRightInd/>
              <w:snapToGrid/>
              <w:rPr>
                <w:color w:val="auto"/>
              </w:rPr>
            </w:pPr>
            <w:r>
              <w:rPr>
                <w:color w:val="auto"/>
              </w:rPr>
              <w:t>能耗高，运行成本高，要求操作人员素质较高</w:t>
            </w:r>
          </w:p>
        </w:tc>
        <w:tc>
          <w:tcPr>
            <w:tcW w:w="1821" w:type="dxa"/>
            <w:tcBorders>
              <w:tl2br w:val="nil"/>
              <w:tr2bl w:val="nil"/>
            </w:tcBorders>
            <w:vAlign w:val="center"/>
          </w:tcPr>
          <w:p w14:paraId="65C46B18">
            <w:pPr>
              <w:pStyle w:val="16"/>
              <w:pageBreakBefore w:val="0"/>
              <w:wordWrap/>
              <w:bidi w:val="0"/>
              <w:adjustRightInd/>
              <w:snapToGrid/>
              <w:rPr>
                <w:color w:val="auto"/>
              </w:rPr>
            </w:pPr>
            <w:r>
              <w:rPr>
                <w:color w:val="auto"/>
              </w:rPr>
              <w:t>冬季寒冷地区沉淀区需设置阳光板房</w:t>
            </w:r>
          </w:p>
        </w:tc>
      </w:tr>
    </w:tbl>
    <w:p w14:paraId="6CA7318A">
      <w:pPr>
        <w:keepNext w:val="0"/>
        <w:keepLines w:val="0"/>
        <w:pageBreakBefore w:val="0"/>
        <w:widowControl w:val="0"/>
        <w:kinsoku/>
        <w:wordWrap/>
        <w:overflowPunct/>
        <w:topLinePunct w:val="0"/>
        <w:autoSpaceDE/>
        <w:autoSpaceDN/>
        <w:bidi w:val="0"/>
        <w:adjustRightInd/>
        <w:snapToGrid/>
        <w:spacing w:before="0" w:beforeLines="50"/>
        <w:textAlignment w:val="auto"/>
        <w:rPr>
          <w:rFonts w:hint="eastAsia"/>
          <w:color w:val="auto"/>
        </w:rPr>
      </w:pPr>
      <w:r>
        <w:rPr>
          <w:rFonts w:hint="eastAsia"/>
          <w:color w:val="auto"/>
        </w:rPr>
        <w:t>从以上分析可以看出EBIS工艺具有如下优点，更适合本工程：</w:t>
      </w:r>
    </w:p>
    <w:p w14:paraId="0407BA79">
      <w:pPr>
        <w:keepNext w:val="0"/>
        <w:keepLines w:val="0"/>
        <w:pageBreakBefore w:val="0"/>
        <w:widowControl w:val="0"/>
        <w:kinsoku/>
        <w:wordWrap/>
        <w:overflowPunct/>
        <w:topLinePunct w:val="0"/>
        <w:autoSpaceDE/>
        <w:autoSpaceDN/>
        <w:bidi w:val="0"/>
        <w:adjustRightInd/>
        <w:snapToGrid/>
        <w:textAlignment w:val="auto"/>
        <w:rPr>
          <w:rFonts w:hint="eastAsia"/>
          <w:color w:val="auto"/>
        </w:rPr>
      </w:pPr>
      <w:r>
        <w:rPr>
          <w:rFonts w:hint="eastAsia"/>
          <w:color w:val="auto"/>
        </w:rPr>
        <w:t>1</w:t>
      </w:r>
      <w:r>
        <w:rPr>
          <w:rFonts w:hint="eastAsia"/>
          <w:color w:val="auto"/>
          <w:lang w:eastAsia="zh-CN"/>
        </w:rPr>
        <w:t>）</w:t>
      </w:r>
      <w:r>
        <w:rPr>
          <w:rFonts w:hint="eastAsia"/>
          <w:color w:val="auto"/>
        </w:rPr>
        <w:t>总投资较低；</w:t>
      </w:r>
    </w:p>
    <w:p w14:paraId="10324BE0">
      <w:pPr>
        <w:keepNext w:val="0"/>
        <w:keepLines w:val="0"/>
        <w:pageBreakBefore w:val="0"/>
        <w:widowControl w:val="0"/>
        <w:kinsoku/>
        <w:wordWrap/>
        <w:overflowPunct/>
        <w:topLinePunct w:val="0"/>
        <w:autoSpaceDE/>
        <w:autoSpaceDN/>
        <w:bidi w:val="0"/>
        <w:adjustRightInd/>
        <w:snapToGrid/>
        <w:textAlignment w:val="auto"/>
        <w:rPr>
          <w:rFonts w:hint="eastAsia"/>
          <w:color w:val="auto"/>
        </w:rPr>
      </w:pPr>
      <w:r>
        <w:rPr>
          <w:rFonts w:hint="eastAsia"/>
          <w:color w:val="auto"/>
        </w:rPr>
        <w:t>2</w:t>
      </w:r>
      <w:r>
        <w:rPr>
          <w:rFonts w:hint="eastAsia"/>
          <w:color w:val="auto"/>
          <w:lang w:eastAsia="zh-CN"/>
        </w:rPr>
        <w:t>）</w:t>
      </w:r>
      <w:r>
        <w:rPr>
          <w:rFonts w:hint="eastAsia"/>
          <w:color w:val="auto"/>
        </w:rPr>
        <w:t>运行费用较低</w:t>
      </w:r>
    </w:p>
    <w:p w14:paraId="3046C230">
      <w:pPr>
        <w:keepNext w:val="0"/>
        <w:keepLines w:val="0"/>
        <w:pageBreakBefore w:val="0"/>
        <w:widowControl w:val="0"/>
        <w:kinsoku/>
        <w:wordWrap/>
        <w:overflowPunct/>
        <w:topLinePunct w:val="0"/>
        <w:autoSpaceDE/>
        <w:autoSpaceDN/>
        <w:bidi w:val="0"/>
        <w:adjustRightInd/>
        <w:snapToGrid/>
        <w:textAlignment w:val="auto"/>
        <w:rPr>
          <w:rFonts w:hint="eastAsia"/>
          <w:color w:val="auto"/>
        </w:rPr>
      </w:pPr>
      <w:r>
        <w:rPr>
          <w:rFonts w:hint="eastAsia"/>
          <w:color w:val="auto"/>
        </w:rPr>
        <w:t>3</w:t>
      </w:r>
      <w:r>
        <w:rPr>
          <w:rFonts w:hint="eastAsia"/>
          <w:color w:val="auto"/>
          <w:lang w:eastAsia="zh-CN"/>
        </w:rPr>
        <w:t>）</w:t>
      </w:r>
      <w:r>
        <w:rPr>
          <w:rFonts w:hint="eastAsia"/>
          <w:color w:val="auto"/>
        </w:rPr>
        <w:t>处理效果好且稳定，不仅可满足BOD</w:t>
      </w:r>
      <w:r>
        <w:rPr>
          <w:rFonts w:hint="eastAsia"/>
          <w:color w:val="auto"/>
          <w:lang w:eastAsia="zh-CN"/>
        </w:rPr>
        <w:t>，</w:t>
      </w:r>
      <w:r>
        <w:rPr>
          <w:rFonts w:hint="eastAsia"/>
          <w:color w:val="auto"/>
        </w:rPr>
        <w:t>和SS的去除而且具有很高的脱氮除磷效果，并且污泥稳定。</w:t>
      </w:r>
    </w:p>
    <w:p w14:paraId="5216A854">
      <w:pPr>
        <w:keepNext w:val="0"/>
        <w:keepLines w:val="0"/>
        <w:pageBreakBefore w:val="0"/>
        <w:widowControl w:val="0"/>
        <w:kinsoku/>
        <w:wordWrap/>
        <w:overflowPunct/>
        <w:topLinePunct w:val="0"/>
        <w:autoSpaceDE/>
        <w:autoSpaceDN/>
        <w:bidi w:val="0"/>
        <w:adjustRightInd/>
        <w:snapToGrid/>
        <w:textAlignment w:val="auto"/>
        <w:rPr>
          <w:rFonts w:hint="eastAsia"/>
          <w:color w:val="auto"/>
        </w:rPr>
      </w:pPr>
      <w:r>
        <w:rPr>
          <w:rFonts w:hint="eastAsia"/>
          <w:color w:val="auto"/>
        </w:rPr>
        <w:t>4</w:t>
      </w:r>
      <w:r>
        <w:rPr>
          <w:rFonts w:hint="eastAsia"/>
          <w:color w:val="auto"/>
          <w:lang w:eastAsia="zh-CN"/>
        </w:rPr>
        <w:t>）</w:t>
      </w:r>
      <w:r>
        <w:rPr>
          <w:rFonts w:hint="eastAsia"/>
          <w:color w:val="auto"/>
        </w:rPr>
        <w:t>无污泥膨胀问题，出水水质好，并且具有较好的耐冲击负荷能力；</w:t>
      </w:r>
    </w:p>
    <w:p w14:paraId="50D3329F">
      <w:pPr>
        <w:keepNext w:val="0"/>
        <w:keepLines w:val="0"/>
        <w:pageBreakBefore w:val="0"/>
        <w:widowControl w:val="0"/>
        <w:kinsoku/>
        <w:wordWrap/>
        <w:overflowPunct/>
        <w:topLinePunct w:val="0"/>
        <w:autoSpaceDE/>
        <w:autoSpaceDN/>
        <w:bidi w:val="0"/>
        <w:adjustRightInd/>
        <w:snapToGrid/>
        <w:textAlignment w:val="auto"/>
        <w:rPr>
          <w:rFonts w:hint="eastAsia"/>
          <w:color w:val="auto"/>
        </w:rPr>
      </w:pPr>
      <w:r>
        <w:rPr>
          <w:rFonts w:hint="eastAsia"/>
          <w:color w:val="auto"/>
        </w:rPr>
        <w:t>5</w:t>
      </w:r>
      <w:r>
        <w:rPr>
          <w:rFonts w:hint="eastAsia"/>
          <w:color w:val="auto"/>
          <w:lang w:eastAsia="zh-CN"/>
        </w:rPr>
        <w:t>）</w:t>
      </w:r>
      <w:r>
        <w:rPr>
          <w:rFonts w:hint="eastAsia"/>
          <w:color w:val="auto"/>
        </w:rPr>
        <w:t>采用先进的可更换微孔曝气软管，氧利用率高，耗电量少；</w:t>
      </w:r>
    </w:p>
    <w:p w14:paraId="2D60DCE6">
      <w:pPr>
        <w:pageBreakBefore w:val="0"/>
        <w:wordWrap/>
        <w:bidi w:val="0"/>
        <w:adjustRightInd/>
        <w:snapToGrid/>
        <w:rPr>
          <w:rFonts w:hint="eastAsia"/>
          <w:color w:val="auto"/>
        </w:rPr>
      </w:pPr>
      <w:r>
        <w:rPr>
          <w:rFonts w:hint="eastAsia"/>
          <w:color w:val="auto"/>
        </w:rPr>
        <w:t>6</w:t>
      </w:r>
      <w:r>
        <w:rPr>
          <w:rFonts w:hint="eastAsia"/>
          <w:color w:val="auto"/>
          <w:lang w:eastAsia="zh-CN"/>
        </w:rPr>
        <w:t>）</w:t>
      </w:r>
      <w:r>
        <w:rPr>
          <w:rFonts w:hint="eastAsia"/>
          <w:color w:val="auto"/>
        </w:rPr>
        <w:t>可实现不停车更换；</w:t>
      </w:r>
    </w:p>
    <w:p w14:paraId="034D57EF">
      <w:pPr>
        <w:pageBreakBefore w:val="0"/>
        <w:wordWrap/>
        <w:bidi w:val="0"/>
        <w:adjustRightInd/>
        <w:snapToGrid/>
        <w:rPr>
          <w:color w:val="auto"/>
        </w:rPr>
      </w:pPr>
      <w:r>
        <w:rPr>
          <w:rFonts w:hint="eastAsia"/>
          <w:color w:val="auto"/>
        </w:rPr>
        <w:t>7</w:t>
      </w:r>
      <w:r>
        <w:rPr>
          <w:rFonts w:hint="eastAsia"/>
          <w:color w:val="auto"/>
          <w:lang w:eastAsia="zh-CN"/>
        </w:rPr>
        <w:t>）</w:t>
      </w:r>
      <w:r>
        <w:rPr>
          <w:rFonts w:hint="eastAsia"/>
          <w:color w:val="auto"/>
        </w:rPr>
        <w:t>构筑物少，设计水深大，容积负荷高，占地少；</w:t>
      </w:r>
    </w:p>
    <w:p w14:paraId="49FC914B">
      <w:pPr>
        <w:pageBreakBefore w:val="0"/>
        <w:wordWrap/>
        <w:bidi w:val="0"/>
        <w:adjustRightInd/>
        <w:snapToGrid/>
        <w:rPr>
          <w:b/>
          <w:bCs/>
          <w:color w:val="auto"/>
        </w:rPr>
      </w:pPr>
      <w:r>
        <w:rPr>
          <w:rFonts w:hint="eastAsia"/>
          <w:b/>
          <w:bCs/>
          <w:color w:val="auto"/>
        </w:rPr>
        <w:t>经综合权衡效益代价比，EBIS工艺具有较大优势，本方案选择EBIS工艺。</w:t>
      </w:r>
    </w:p>
    <w:bookmarkEnd w:id="79"/>
    <w:p w14:paraId="047B9B87">
      <w:pPr>
        <w:pageBreakBefore w:val="0"/>
        <w:wordWrap/>
        <w:bidi w:val="0"/>
        <w:adjustRightInd/>
        <w:snapToGrid/>
        <w:ind w:firstLine="482"/>
        <w:rPr>
          <w:b/>
          <w:bCs/>
          <w:color w:val="auto"/>
        </w:rPr>
      </w:pPr>
      <w:r>
        <w:rPr>
          <w:rFonts w:hint="eastAsia"/>
          <w:b/>
          <w:bCs/>
          <w:color w:val="auto"/>
          <w:lang w:val="en-US" w:eastAsia="zh-CN"/>
        </w:rPr>
        <w:t>3、</w:t>
      </w:r>
      <w:r>
        <w:rPr>
          <w:b/>
          <w:bCs/>
          <w:color w:val="auto"/>
        </w:rPr>
        <w:t>深度处理单元工艺选择</w:t>
      </w:r>
    </w:p>
    <w:p w14:paraId="3CD85557">
      <w:pPr>
        <w:pStyle w:val="337"/>
        <w:pageBreakBefore w:val="0"/>
        <w:tabs>
          <w:tab w:val="left" w:pos="981"/>
        </w:tabs>
        <w:wordWrap/>
        <w:bidi w:val="0"/>
        <w:adjustRightInd/>
        <w:snapToGrid/>
        <w:ind w:firstLine="480"/>
        <w:rPr>
          <w:rFonts w:hint="eastAsia"/>
          <w:color w:val="auto"/>
        </w:rPr>
      </w:pPr>
      <w:r>
        <w:rPr>
          <w:rFonts w:hint="eastAsia"/>
          <w:color w:val="auto"/>
        </w:rPr>
        <w:t>深度处理的对象与目标是：</w:t>
      </w:r>
    </w:p>
    <w:p w14:paraId="7163CDCD">
      <w:pPr>
        <w:pStyle w:val="337"/>
        <w:pageBreakBefore w:val="0"/>
        <w:tabs>
          <w:tab w:val="left" w:pos="981"/>
        </w:tabs>
        <w:wordWrap/>
        <w:bidi w:val="0"/>
        <w:adjustRightInd/>
        <w:snapToGrid/>
        <w:ind w:firstLine="480"/>
        <w:rPr>
          <w:rFonts w:hint="eastAsia"/>
          <w:color w:val="auto"/>
        </w:rPr>
      </w:pPr>
      <w:r>
        <w:rPr>
          <w:rFonts w:hint="eastAsia"/>
          <w:color w:val="auto"/>
          <w:lang w:eastAsia="zh-CN"/>
        </w:rPr>
        <w:t>（</w:t>
      </w:r>
      <w:r>
        <w:rPr>
          <w:rFonts w:hint="eastAsia"/>
          <w:color w:val="auto"/>
        </w:rPr>
        <w:t>1</w:t>
      </w:r>
      <w:r>
        <w:rPr>
          <w:rFonts w:hint="eastAsia"/>
          <w:color w:val="auto"/>
          <w:lang w:eastAsia="zh-CN"/>
        </w:rPr>
        <w:t>）</w:t>
      </w:r>
      <w:r>
        <w:rPr>
          <w:rFonts w:hint="eastAsia"/>
          <w:color w:val="auto"/>
        </w:rPr>
        <w:t>去除处理水中残存的悬浮物；脱色脱臭，使水进一步得到澄清。</w:t>
      </w:r>
    </w:p>
    <w:p w14:paraId="7DB66390">
      <w:pPr>
        <w:pStyle w:val="337"/>
        <w:pageBreakBefore w:val="0"/>
        <w:tabs>
          <w:tab w:val="left" w:pos="981"/>
        </w:tabs>
        <w:wordWrap/>
        <w:bidi w:val="0"/>
        <w:adjustRightInd/>
        <w:snapToGrid/>
        <w:ind w:firstLine="480"/>
        <w:rPr>
          <w:rFonts w:hint="eastAsia"/>
          <w:color w:val="auto"/>
        </w:rPr>
      </w:pPr>
      <w:r>
        <w:rPr>
          <w:rFonts w:hint="eastAsia"/>
          <w:color w:val="auto"/>
          <w:lang w:eastAsia="zh-CN"/>
        </w:rPr>
        <w:t>（</w:t>
      </w:r>
      <w:r>
        <w:rPr>
          <w:rFonts w:hint="eastAsia"/>
          <w:color w:val="auto"/>
        </w:rPr>
        <w:t>2</w:t>
      </w:r>
      <w:r>
        <w:rPr>
          <w:rFonts w:hint="eastAsia"/>
          <w:color w:val="auto"/>
          <w:lang w:eastAsia="zh-CN"/>
        </w:rPr>
        <w:t>）</w:t>
      </w:r>
      <w:r>
        <w:rPr>
          <w:rFonts w:hint="eastAsia"/>
          <w:color w:val="auto"/>
        </w:rPr>
        <w:t>进一步降低BOD₅、CODcr、TOC等指标，使水进一步稳定。</w:t>
      </w:r>
    </w:p>
    <w:p w14:paraId="19A3F7A5">
      <w:pPr>
        <w:pStyle w:val="337"/>
        <w:pageBreakBefore w:val="0"/>
        <w:tabs>
          <w:tab w:val="left" w:pos="981"/>
        </w:tabs>
        <w:wordWrap/>
        <w:bidi w:val="0"/>
        <w:adjustRightInd/>
        <w:snapToGrid/>
        <w:ind w:firstLine="480"/>
        <w:rPr>
          <w:rFonts w:hint="eastAsia"/>
          <w:color w:val="auto"/>
        </w:rPr>
      </w:pPr>
      <w:r>
        <w:rPr>
          <w:rFonts w:hint="eastAsia"/>
          <w:color w:val="auto"/>
          <w:lang w:eastAsia="zh-CN"/>
        </w:rPr>
        <w:t>（</w:t>
      </w:r>
      <w:r>
        <w:rPr>
          <w:rFonts w:hint="eastAsia"/>
          <w:color w:val="auto"/>
        </w:rPr>
        <w:t>3</w:t>
      </w:r>
      <w:r>
        <w:rPr>
          <w:rFonts w:hint="eastAsia"/>
          <w:color w:val="auto"/>
          <w:lang w:eastAsia="zh-CN"/>
        </w:rPr>
        <w:t>）</w:t>
      </w:r>
      <w:r>
        <w:rPr>
          <w:rFonts w:hint="eastAsia"/>
          <w:color w:val="auto"/>
        </w:rPr>
        <w:t>脱氮、脱磷，消除能够导致水体富营养化的因素。</w:t>
      </w:r>
    </w:p>
    <w:p w14:paraId="46CAF950">
      <w:pPr>
        <w:pStyle w:val="337"/>
        <w:pageBreakBefore w:val="0"/>
        <w:tabs>
          <w:tab w:val="left" w:pos="981"/>
        </w:tabs>
        <w:wordWrap/>
        <w:bidi w:val="0"/>
        <w:adjustRightInd/>
        <w:snapToGrid/>
        <w:ind w:firstLine="480"/>
        <w:rPr>
          <w:rFonts w:hint="eastAsia"/>
          <w:color w:val="auto"/>
        </w:rPr>
      </w:pPr>
      <w:r>
        <w:rPr>
          <w:rFonts w:hint="eastAsia"/>
          <w:color w:val="auto"/>
          <w:lang w:eastAsia="zh-CN"/>
        </w:rPr>
        <w:t>（</w:t>
      </w:r>
      <w:r>
        <w:rPr>
          <w:rFonts w:hint="eastAsia"/>
          <w:color w:val="auto"/>
        </w:rPr>
        <w:t>4</w:t>
      </w:r>
      <w:r>
        <w:rPr>
          <w:rFonts w:hint="eastAsia"/>
          <w:color w:val="auto"/>
          <w:lang w:eastAsia="zh-CN"/>
        </w:rPr>
        <w:t>）</w:t>
      </w:r>
      <w:r>
        <w:rPr>
          <w:rFonts w:hint="eastAsia"/>
          <w:color w:val="auto"/>
        </w:rPr>
        <w:t>消毒杀菌，去除水中的有毒、有害物质。</w:t>
      </w:r>
    </w:p>
    <w:p w14:paraId="1A2F4386">
      <w:pPr>
        <w:pStyle w:val="337"/>
        <w:pageBreakBefore w:val="0"/>
        <w:tabs>
          <w:tab w:val="left" w:pos="981"/>
        </w:tabs>
        <w:wordWrap/>
        <w:bidi w:val="0"/>
        <w:adjustRightInd/>
        <w:snapToGrid/>
        <w:ind w:firstLine="480"/>
        <w:rPr>
          <w:color w:val="auto"/>
        </w:rPr>
      </w:pPr>
      <w:r>
        <w:rPr>
          <w:rFonts w:hint="eastAsia"/>
          <w:color w:val="auto"/>
        </w:rPr>
        <w:t>常规的处理工艺包括混凝沉淀、过滤、活性炭吸附、臭氧氧化</w:t>
      </w:r>
      <w:r>
        <w:rPr>
          <w:rFonts w:hint="eastAsia"/>
          <w:color w:val="auto"/>
          <w:lang w:eastAsia="zh-CN"/>
        </w:rPr>
        <w:t>，以及</w:t>
      </w:r>
      <w:r>
        <w:rPr>
          <w:rFonts w:hint="eastAsia"/>
          <w:color w:val="auto"/>
        </w:rPr>
        <w:t>膜技术等，视处理目的和要求的不同，可以为以上工艺的组合。下表列出了污水回用中通常采用的处理技术及其对应的处理对象。</w:t>
      </w:r>
    </w:p>
    <w:p w14:paraId="646B7F57">
      <w:pPr>
        <w:pStyle w:val="19"/>
        <w:numPr>
          <w:ilvl w:val="0"/>
          <w:numId w:val="16"/>
        </w:numPr>
        <w:bidi w:val="0"/>
        <w:ind w:left="0" w:leftChars="0" w:firstLine="0" w:firstLineChars="0"/>
        <w:rPr>
          <w:color w:val="auto"/>
        </w:rPr>
      </w:pPr>
      <w:r>
        <w:rPr>
          <w:rFonts w:hint="eastAsia"/>
          <w:color w:val="auto"/>
        </w:rPr>
        <w:t>二级处理水深度处理去除对象和所采用的处理技术</w:t>
      </w:r>
    </w:p>
    <w:tbl>
      <w:tblPr>
        <w:tblStyle w:val="706"/>
        <w:tblW w:w="8750"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752"/>
        <w:gridCol w:w="1719"/>
        <w:gridCol w:w="1808"/>
        <w:gridCol w:w="3471"/>
      </w:tblGrid>
      <w:tr w14:paraId="08756F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471" w:type="dxa"/>
            <w:gridSpan w:val="2"/>
            <w:tcBorders>
              <w:tl2br w:val="nil"/>
              <w:tr2bl w:val="nil"/>
            </w:tcBorders>
            <w:vAlign w:val="center"/>
          </w:tcPr>
          <w:p w14:paraId="336F9391">
            <w:pPr>
              <w:pStyle w:val="16"/>
              <w:pageBreakBefore w:val="0"/>
              <w:wordWrap/>
              <w:bidi w:val="0"/>
              <w:adjustRightInd/>
              <w:snapToGrid/>
              <w:rPr>
                <w:b/>
                <w:bCs/>
                <w:color w:val="auto"/>
              </w:rPr>
            </w:pPr>
            <w:r>
              <w:rPr>
                <w:b/>
                <w:bCs/>
                <w:color w:val="auto"/>
              </w:rPr>
              <w:t>去除对象</w:t>
            </w:r>
          </w:p>
        </w:tc>
        <w:tc>
          <w:tcPr>
            <w:tcW w:w="1808" w:type="dxa"/>
            <w:tcBorders>
              <w:tl2br w:val="nil"/>
              <w:tr2bl w:val="nil"/>
            </w:tcBorders>
            <w:vAlign w:val="center"/>
          </w:tcPr>
          <w:p w14:paraId="5D327DDC">
            <w:pPr>
              <w:pStyle w:val="16"/>
              <w:pageBreakBefore w:val="0"/>
              <w:wordWrap/>
              <w:bidi w:val="0"/>
              <w:adjustRightInd/>
              <w:snapToGrid/>
              <w:rPr>
                <w:b/>
                <w:bCs/>
                <w:color w:val="auto"/>
              </w:rPr>
            </w:pPr>
            <w:r>
              <w:rPr>
                <w:b/>
                <w:bCs/>
                <w:color w:val="auto"/>
              </w:rPr>
              <w:t>有关指标</w:t>
            </w:r>
          </w:p>
        </w:tc>
        <w:tc>
          <w:tcPr>
            <w:tcW w:w="3471" w:type="dxa"/>
            <w:tcBorders>
              <w:tl2br w:val="nil"/>
              <w:tr2bl w:val="nil"/>
            </w:tcBorders>
            <w:vAlign w:val="center"/>
          </w:tcPr>
          <w:p w14:paraId="4410259B">
            <w:pPr>
              <w:pStyle w:val="16"/>
              <w:pageBreakBefore w:val="0"/>
              <w:wordWrap/>
              <w:bidi w:val="0"/>
              <w:adjustRightInd/>
              <w:snapToGrid/>
              <w:rPr>
                <w:b/>
                <w:bCs/>
                <w:color w:val="auto"/>
              </w:rPr>
            </w:pPr>
            <w:r>
              <w:rPr>
                <w:b/>
                <w:bCs/>
                <w:color w:val="auto"/>
              </w:rPr>
              <w:t>采用的主要处理技术</w:t>
            </w:r>
          </w:p>
        </w:tc>
      </w:tr>
      <w:tr w14:paraId="7B3FFA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752" w:type="dxa"/>
            <w:vMerge w:val="restart"/>
            <w:tcBorders>
              <w:tl2br w:val="nil"/>
              <w:tr2bl w:val="nil"/>
            </w:tcBorders>
            <w:vAlign w:val="center"/>
          </w:tcPr>
          <w:p w14:paraId="2DA16A65">
            <w:pPr>
              <w:pStyle w:val="16"/>
              <w:pageBreakBefore w:val="0"/>
              <w:wordWrap/>
              <w:bidi w:val="0"/>
              <w:adjustRightInd/>
              <w:snapToGrid/>
              <w:rPr>
                <w:color w:val="auto"/>
              </w:rPr>
            </w:pPr>
            <w:r>
              <w:rPr>
                <w:color w:val="auto"/>
              </w:rPr>
              <w:t>有机物</w:t>
            </w:r>
          </w:p>
        </w:tc>
        <w:tc>
          <w:tcPr>
            <w:tcW w:w="1719" w:type="dxa"/>
            <w:tcBorders>
              <w:tl2br w:val="nil"/>
              <w:tr2bl w:val="nil"/>
            </w:tcBorders>
            <w:vAlign w:val="center"/>
          </w:tcPr>
          <w:p w14:paraId="338B18D9">
            <w:pPr>
              <w:pStyle w:val="16"/>
              <w:pageBreakBefore w:val="0"/>
              <w:wordWrap/>
              <w:bidi w:val="0"/>
              <w:adjustRightInd/>
              <w:snapToGrid/>
              <w:rPr>
                <w:color w:val="auto"/>
              </w:rPr>
            </w:pPr>
            <w:r>
              <w:rPr>
                <w:color w:val="auto"/>
              </w:rPr>
              <w:t>悬浮状态</w:t>
            </w:r>
          </w:p>
        </w:tc>
        <w:tc>
          <w:tcPr>
            <w:tcW w:w="1808" w:type="dxa"/>
            <w:tcBorders>
              <w:tl2br w:val="nil"/>
              <w:tr2bl w:val="nil"/>
            </w:tcBorders>
            <w:vAlign w:val="center"/>
          </w:tcPr>
          <w:p w14:paraId="2FB5F841">
            <w:pPr>
              <w:pStyle w:val="16"/>
              <w:pageBreakBefore w:val="0"/>
              <w:wordWrap/>
              <w:bidi w:val="0"/>
              <w:adjustRightInd/>
              <w:snapToGrid/>
              <w:rPr>
                <w:color w:val="auto"/>
              </w:rPr>
            </w:pPr>
            <w:r>
              <w:rPr>
                <w:color w:val="auto"/>
              </w:rPr>
              <w:t>SS</w:t>
            </w:r>
            <w:r>
              <w:rPr>
                <w:rFonts w:hint="eastAsia"/>
                <w:color w:val="auto"/>
                <w:lang w:eastAsia="zh-CN"/>
              </w:rPr>
              <w:t>、</w:t>
            </w:r>
            <w:r>
              <w:rPr>
                <w:color w:val="auto"/>
              </w:rPr>
              <w:t>VSS</w:t>
            </w:r>
          </w:p>
        </w:tc>
        <w:tc>
          <w:tcPr>
            <w:tcW w:w="3471" w:type="dxa"/>
            <w:tcBorders>
              <w:tl2br w:val="nil"/>
              <w:tr2bl w:val="nil"/>
            </w:tcBorders>
            <w:vAlign w:val="center"/>
          </w:tcPr>
          <w:p w14:paraId="711DCF5D">
            <w:pPr>
              <w:pStyle w:val="16"/>
              <w:pageBreakBefore w:val="0"/>
              <w:wordWrap/>
              <w:bidi w:val="0"/>
              <w:adjustRightInd/>
              <w:snapToGrid/>
              <w:rPr>
                <w:color w:val="auto"/>
              </w:rPr>
            </w:pPr>
            <w:r>
              <w:rPr>
                <w:color w:val="auto"/>
              </w:rPr>
              <w:t>过滤、混凝沉淀</w:t>
            </w:r>
          </w:p>
        </w:tc>
      </w:tr>
      <w:tr w14:paraId="73C55F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752" w:type="dxa"/>
            <w:vMerge w:val="continue"/>
            <w:tcBorders>
              <w:tl2br w:val="nil"/>
              <w:tr2bl w:val="nil"/>
            </w:tcBorders>
            <w:vAlign w:val="center"/>
          </w:tcPr>
          <w:p w14:paraId="0FA032E4">
            <w:pPr>
              <w:pStyle w:val="16"/>
              <w:pageBreakBefore w:val="0"/>
              <w:wordWrap/>
              <w:bidi w:val="0"/>
              <w:adjustRightInd/>
              <w:snapToGrid/>
              <w:rPr>
                <w:color w:val="auto"/>
              </w:rPr>
            </w:pPr>
          </w:p>
        </w:tc>
        <w:tc>
          <w:tcPr>
            <w:tcW w:w="1719" w:type="dxa"/>
            <w:tcBorders>
              <w:tl2br w:val="nil"/>
              <w:tr2bl w:val="nil"/>
            </w:tcBorders>
            <w:vAlign w:val="center"/>
          </w:tcPr>
          <w:p w14:paraId="54B3BEA6">
            <w:pPr>
              <w:pStyle w:val="16"/>
              <w:pageBreakBefore w:val="0"/>
              <w:wordWrap/>
              <w:bidi w:val="0"/>
              <w:adjustRightInd/>
              <w:snapToGrid/>
              <w:rPr>
                <w:color w:val="auto"/>
              </w:rPr>
            </w:pPr>
            <w:r>
              <w:rPr>
                <w:color w:val="auto"/>
              </w:rPr>
              <w:t>溶解状态</w:t>
            </w:r>
          </w:p>
        </w:tc>
        <w:tc>
          <w:tcPr>
            <w:tcW w:w="1808" w:type="dxa"/>
            <w:tcBorders>
              <w:tl2br w:val="nil"/>
              <w:tr2bl w:val="nil"/>
            </w:tcBorders>
            <w:vAlign w:val="center"/>
          </w:tcPr>
          <w:p w14:paraId="72FDC43E">
            <w:pPr>
              <w:pStyle w:val="16"/>
              <w:pageBreakBefore w:val="0"/>
              <w:wordWrap/>
              <w:bidi w:val="0"/>
              <w:adjustRightInd/>
              <w:snapToGrid/>
              <w:rPr>
                <w:color w:val="auto"/>
              </w:rPr>
            </w:pPr>
            <w:r>
              <w:rPr>
                <w:color w:val="auto"/>
              </w:rPr>
              <w:t>BOD₅</w:t>
            </w:r>
            <w:r>
              <w:rPr>
                <w:rFonts w:hint="eastAsia"/>
                <w:color w:val="auto"/>
                <w:lang w:eastAsia="zh-CN"/>
              </w:rPr>
              <w:t>、</w:t>
            </w:r>
            <w:r>
              <w:rPr>
                <w:color w:val="auto"/>
              </w:rPr>
              <w:t>COD</w:t>
            </w:r>
            <w:r>
              <w:rPr>
                <w:rFonts w:hint="eastAsia"/>
                <w:color w:val="auto"/>
                <w:lang w:eastAsia="zh-CN"/>
              </w:rPr>
              <w:t>、</w:t>
            </w:r>
            <w:r>
              <w:rPr>
                <w:color w:val="auto"/>
              </w:rPr>
              <w:t>TOC</w:t>
            </w:r>
            <w:r>
              <w:rPr>
                <w:rFonts w:hint="eastAsia"/>
                <w:color w:val="auto"/>
                <w:lang w:eastAsia="zh-CN"/>
              </w:rPr>
              <w:t>、</w:t>
            </w:r>
            <w:r>
              <w:rPr>
                <w:color w:val="auto"/>
              </w:rPr>
              <w:t>TOD</w:t>
            </w:r>
          </w:p>
        </w:tc>
        <w:tc>
          <w:tcPr>
            <w:tcW w:w="3471" w:type="dxa"/>
            <w:tcBorders>
              <w:tl2br w:val="nil"/>
              <w:tr2bl w:val="nil"/>
            </w:tcBorders>
            <w:vAlign w:val="center"/>
          </w:tcPr>
          <w:p w14:paraId="3BCE8369">
            <w:pPr>
              <w:pStyle w:val="16"/>
              <w:pageBreakBefore w:val="0"/>
              <w:wordWrap/>
              <w:bidi w:val="0"/>
              <w:adjustRightInd/>
              <w:snapToGrid/>
              <w:rPr>
                <w:color w:val="auto"/>
              </w:rPr>
            </w:pPr>
            <w:r>
              <w:rPr>
                <w:color w:val="auto"/>
              </w:rPr>
              <w:t>混凝沉淀、活性炭吸附、臭氧氧化</w:t>
            </w:r>
          </w:p>
        </w:tc>
      </w:tr>
      <w:tr w14:paraId="0E91E5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752" w:type="dxa"/>
            <w:vMerge w:val="restart"/>
            <w:tcBorders>
              <w:tl2br w:val="nil"/>
              <w:tr2bl w:val="nil"/>
            </w:tcBorders>
            <w:vAlign w:val="center"/>
          </w:tcPr>
          <w:p w14:paraId="7CD4CB30">
            <w:pPr>
              <w:pStyle w:val="16"/>
              <w:pageBreakBefore w:val="0"/>
              <w:wordWrap/>
              <w:bidi w:val="0"/>
              <w:adjustRightInd/>
              <w:snapToGrid/>
              <w:rPr>
                <w:color w:val="auto"/>
              </w:rPr>
            </w:pPr>
            <w:r>
              <w:rPr>
                <w:color w:val="auto"/>
              </w:rPr>
              <w:t>植物性营养盐类</w:t>
            </w:r>
          </w:p>
        </w:tc>
        <w:tc>
          <w:tcPr>
            <w:tcW w:w="1719" w:type="dxa"/>
            <w:vMerge w:val="restart"/>
            <w:tcBorders>
              <w:tl2br w:val="nil"/>
              <w:tr2bl w:val="nil"/>
            </w:tcBorders>
            <w:vAlign w:val="center"/>
          </w:tcPr>
          <w:p w14:paraId="4BD93658">
            <w:pPr>
              <w:pStyle w:val="16"/>
              <w:pageBreakBefore w:val="0"/>
              <w:wordWrap/>
              <w:bidi w:val="0"/>
              <w:adjustRightInd/>
              <w:snapToGrid/>
              <w:rPr>
                <w:color w:val="auto"/>
              </w:rPr>
            </w:pPr>
            <w:r>
              <w:rPr>
                <w:color w:val="auto"/>
              </w:rPr>
              <w:t>氮</w:t>
            </w:r>
          </w:p>
        </w:tc>
        <w:tc>
          <w:tcPr>
            <w:tcW w:w="1808" w:type="dxa"/>
            <w:vMerge w:val="restart"/>
            <w:tcBorders>
              <w:tl2br w:val="nil"/>
              <w:tr2bl w:val="nil"/>
            </w:tcBorders>
            <w:vAlign w:val="center"/>
          </w:tcPr>
          <w:p w14:paraId="08D1D337">
            <w:pPr>
              <w:pStyle w:val="16"/>
              <w:pageBreakBefore w:val="0"/>
              <w:wordWrap/>
              <w:bidi w:val="0"/>
              <w:adjustRightInd/>
              <w:snapToGrid/>
              <w:rPr>
                <w:color w:val="auto"/>
              </w:rPr>
            </w:pPr>
            <w:r>
              <w:rPr>
                <w:color w:val="auto"/>
              </w:rPr>
              <w:t>T-N</w:t>
            </w:r>
            <w:r>
              <w:rPr>
                <w:rFonts w:hint="eastAsia"/>
                <w:color w:val="auto"/>
                <w:lang w:eastAsia="zh-CN"/>
              </w:rPr>
              <w:t>、</w:t>
            </w:r>
            <w:r>
              <w:rPr>
                <w:color w:val="auto"/>
              </w:rPr>
              <w:t>K-N</w:t>
            </w:r>
            <w:r>
              <w:rPr>
                <w:rFonts w:hint="eastAsia"/>
                <w:color w:val="auto"/>
                <w:lang w:eastAsia="zh-CN"/>
              </w:rPr>
              <w:t>、</w:t>
            </w:r>
            <w:r>
              <w:rPr>
                <w:color w:val="auto"/>
              </w:rPr>
              <w:t>NH₃-N</w:t>
            </w:r>
            <w:r>
              <w:rPr>
                <w:rFonts w:hint="eastAsia"/>
                <w:color w:val="auto"/>
                <w:lang w:eastAsia="zh-CN"/>
              </w:rPr>
              <w:t>、</w:t>
            </w:r>
            <w:r>
              <w:rPr>
                <w:color w:val="auto"/>
              </w:rPr>
              <w:t xml:space="preserve">    NO</w:t>
            </w:r>
            <w:r>
              <w:rPr>
                <w:color w:val="auto"/>
                <w:vertAlign w:val="subscript"/>
              </w:rPr>
              <w:t>2</w:t>
            </w:r>
            <w:r>
              <w:rPr>
                <w:color w:val="auto"/>
              </w:rPr>
              <w:t>-N</w:t>
            </w:r>
            <w:r>
              <w:rPr>
                <w:rFonts w:hint="eastAsia"/>
                <w:color w:val="auto"/>
                <w:lang w:eastAsia="zh-CN"/>
              </w:rPr>
              <w:t>、</w:t>
            </w:r>
            <w:r>
              <w:rPr>
                <w:color w:val="auto"/>
              </w:rPr>
              <w:t>NO</w:t>
            </w:r>
            <w:r>
              <w:rPr>
                <w:color w:val="auto"/>
                <w:vertAlign w:val="subscript"/>
              </w:rPr>
              <w:t>3</w:t>
            </w:r>
            <w:r>
              <w:rPr>
                <w:color w:val="auto"/>
              </w:rPr>
              <w:t>-N</w:t>
            </w:r>
          </w:p>
        </w:tc>
        <w:tc>
          <w:tcPr>
            <w:tcW w:w="3471" w:type="dxa"/>
            <w:tcBorders>
              <w:tl2br w:val="nil"/>
              <w:tr2bl w:val="nil"/>
            </w:tcBorders>
            <w:vAlign w:val="center"/>
          </w:tcPr>
          <w:p w14:paraId="1F05A30B">
            <w:pPr>
              <w:pStyle w:val="16"/>
              <w:pageBreakBefore w:val="0"/>
              <w:wordWrap/>
              <w:bidi w:val="0"/>
              <w:adjustRightInd/>
              <w:snapToGrid/>
              <w:rPr>
                <w:color w:val="auto"/>
              </w:rPr>
            </w:pPr>
            <w:r>
              <w:rPr>
                <w:color w:val="auto"/>
              </w:rPr>
              <w:t>吹脱、折点氯化、生物脱氮</w:t>
            </w:r>
          </w:p>
        </w:tc>
      </w:tr>
      <w:tr w14:paraId="23977F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752" w:type="dxa"/>
            <w:vMerge w:val="continue"/>
            <w:tcBorders>
              <w:tl2br w:val="nil"/>
              <w:tr2bl w:val="nil"/>
            </w:tcBorders>
            <w:vAlign w:val="center"/>
          </w:tcPr>
          <w:p w14:paraId="3E0E6915">
            <w:pPr>
              <w:pStyle w:val="16"/>
              <w:pageBreakBefore w:val="0"/>
              <w:wordWrap/>
              <w:bidi w:val="0"/>
              <w:adjustRightInd/>
              <w:snapToGrid/>
              <w:rPr>
                <w:color w:val="auto"/>
              </w:rPr>
            </w:pPr>
          </w:p>
        </w:tc>
        <w:tc>
          <w:tcPr>
            <w:tcW w:w="1719" w:type="dxa"/>
            <w:vMerge w:val="continue"/>
            <w:tcBorders>
              <w:tl2br w:val="nil"/>
              <w:tr2bl w:val="nil"/>
            </w:tcBorders>
            <w:vAlign w:val="center"/>
          </w:tcPr>
          <w:p w14:paraId="5E1D2376">
            <w:pPr>
              <w:pStyle w:val="16"/>
              <w:pageBreakBefore w:val="0"/>
              <w:wordWrap/>
              <w:bidi w:val="0"/>
              <w:adjustRightInd/>
              <w:snapToGrid/>
              <w:rPr>
                <w:color w:val="auto"/>
              </w:rPr>
            </w:pPr>
          </w:p>
        </w:tc>
        <w:tc>
          <w:tcPr>
            <w:tcW w:w="1808" w:type="dxa"/>
            <w:vMerge w:val="continue"/>
            <w:tcBorders>
              <w:tl2br w:val="nil"/>
              <w:tr2bl w:val="nil"/>
            </w:tcBorders>
            <w:vAlign w:val="center"/>
          </w:tcPr>
          <w:p w14:paraId="41282763">
            <w:pPr>
              <w:pStyle w:val="16"/>
              <w:pageBreakBefore w:val="0"/>
              <w:wordWrap/>
              <w:bidi w:val="0"/>
              <w:adjustRightInd/>
              <w:snapToGrid/>
              <w:rPr>
                <w:color w:val="auto"/>
              </w:rPr>
            </w:pPr>
          </w:p>
        </w:tc>
        <w:tc>
          <w:tcPr>
            <w:tcW w:w="3471" w:type="dxa"/>
            <w:tcBorders>
              <w:tl2br w:val="nil"/>
              <w:tr2bl w:val="nil"/>
            </w:tcBorders>
            <w:vAlign w:val="center"/>
          </w:tcPr>
          <w:p w14:paraId="2F8C4F4C">
            <w:pPr>
              <w:pStyle w:val="16"/>
              <w:pageBreakBefore w:val="0"/>
              <w:wordWrap/>
              <w:bidi w:val="0"/>
              <w:adjustRightInd/>
              <w:snapToGrid/>
              <w:rPr>
                <w:color w:val="auto"/>
              </w:rPr>
            </w:pPr>
            <w:r>
              <w:rPr>
                <w:color w:val="auto"/>
              </w:rPr>
              <w:t>生物脱氮</w:t>
            </w:r>
          </w:p>
        </w:tc>
      </w:tr>
      <w:tr w14:paraId="222E34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752" w:type="dxa"/>
            <w:vMerge w:val="continue"/>
            <w:tcBorders>
              <w:tl2br w:val="nil"/>
              <w:tr2bl w:val="nil"/>
            </w:tcBorders>
            <w:vAlign w:val="center"/>
          </w:tcPr>
          <w:p w14:paraId="18DE3729">
            <w:pPr>
              <w:pStyle w:val="16"/>
              <w:pageBreakBefore w:val="0"/>
              <w:wordWrap/>
              <w:bidi w:val="0"/>
              <w:adjustRightInd/>
              <w:snapToGrid/>
              <w:rPr>
                <w:color w:val="auto"/>
              </w:rPr>
            </w:pPr>
          </w:p>
        </w:tc>
        <w:tc>
          <w:tcPr>
            <w:tcW w:w="1719" w:type="dxa"/>
            <w:tcBorders>
              <w:tl2br w:val="nil"/>
              <w:tr2bl w:val="nil"/>
            </w:tcBorders>
            <w:vAlign w:val="center"/>
          </w:tcPr>
          <w:p w14:paraId="7F847B89">
            <w:pPr>
              <w:pStyle w:val="16"/>
              <w:pageBreakBefore w:val="0"/>
              <w:wordWrap/>
              <w:bidi w:val="0"/>
              <w:adjustRightInd/>
              <w:snapToGrid/>
              <w:rPr>
                <w:color w:val="auto"/>
              </w:rPr>
            </w:pPr>
            <w:r>
              <w:rPr>
                <w:color w:val="auto"/>
              </w:rPr>
              <w:t>磷</w:t>
            </w:r>
          </w:p>
        </w:tc>
        <w:tc>
          <w:tcPr>
            <w:tcW w:w="1808" w:type="dxa"/>
            <w:tcBorders>
              <w:tl2br w:val="nil"/>
              <w:tr2bl w:val="nil"/>
            </w:tcBorders>
            <w:vAlign w:val="center"/>
          </w:tcPr>
          <w:p w14:paraId="774A9F39">
            <w:pPr>
              <w:pStyle w:val="16"/>
              <w:pageBreakBefore w:val="0"/>
              <w:wordWrap/>
              <w:bidi w:val="0"/>
              <w:adjustRightInd/>
              <w:snapToGrid/>
              <w:rPr>
                <w:color w:val="auto"/>
              </w:rPr>
            </w:pPr>
            <w:r>
              <w:rPr>
                <w:color w:val="auto"/>
              </w:rPr>
              <w:t>PO₄-P</w:t>
            </w:r>
            <w:r>
              <w:rPr>
                <w:rFonts w:hint="eastAsia"/>
                <w:color w:val="auto"/>
                <w:lang w:eastAsia="zh-CN"/>
              </w:rPr>
              <w:t>、</w:t>
            </w:r>
            <w:r>
              <w:rPr>
                <w:color w:val="auto"/>
              </w:rPr>
              <w:t>T-P</w:t>
            </w:r>
          </w:p>
        </w:tc>
        <w:tc>
          <w:tcPr>
            <w:tcW w:w="3471" w:type="dxa"/>
            <w:tcBorders>
              <w:tl2br w:val="nil"/>
              <w:tr2bl w:val="nil"/>
            </w:tcBorders>
            <w:vAlign w:val="center"/>
          </w:tcPr>
          <w:p w14:paraId="17EF82FC">
            <w:pPr>
              <w:pStyle w:val="16"/>
              <w:pageBreakBefore w:val="0"/>
              <w:wordWrap/>
              <w:bidi w:val="0"/>
              <w:adjustRightInd/>
              <w:snapToGrid/>
              <w:rPr>
                <w:color w:val="auto"/>
              </w:rPr>
            </w:pPr>
            <w:r>
              <w:rPr>
                <w:color w:val="auto"/>
              </w:rPr>
              <w:t>金属盐混凝沉淀石灰混凝沉淀、晶析 法、生物除磷</w:t>
            </w:r>
          </w:p>
        </w:tc>
      </w:tr>
      <w:tr w14:paraId="564EC1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752" w:type="dxa"/>
            <w:vMerge w:val="restart"/>
            <w:tcBorders>
              <w:tl2br w:val="nil"/>
              <w:tr2bl w:val="nil"/>
            </w:tcBorders>
            <w:vAlign w:val="center"/>
          </w:tcPr>
          <w:p w14:paraId="19327D9C">
            <w:pPr>
              <w:pStyle w:val="16"/>
              <w:pageBreakBefore w:val="0"/>
              <w:wordWrap/>
              <w:bidi w:val="0"/>
              <w:adjustRightInd/>
              <w:snapToGrid/>
              <w:rPr>
                <w:color w:val="auto"/>
              </w:rPr>
            </w:pPr>
            <w:r>
              <w:rPr>
                <w:color w:val="auto"/>
              </w:rPr>
              <w:t>微量成分</w:t>
            </w:r>
          </w:p>
        </w:tc>
        <w:tc>
          <w:tcPr>
            <w:tcW w:w="1719" w:type="dxa"/>
            <w:tcBorders>
              <w:tl2br w:val="nil"/>
              <w:tr2bl w:val="nil"/>
            </w:tcBorders>
            <w:vAlign w:val="center"/>
          </w:tcPr>
          <w:p w14:paraId="0B2729E6">
            <w:pPr>
              <w:pStyle w:val="16"/>
              <w:pageBreakBefore w:val="0"/>
              <w:wordWrap/>
              <w:bidi w:val="0"/>
              <w:adjustRightInd/>
              <w:snapToGrid/>
              <w:rPr>
                <w:color w:val="auto"/>
              </w:rPr>
            </w:pPr>
            <w:r>
              <w:rPr>
                <w:color w:val="auto"/>
              </w:rPr>
              <w:t>溶解性无机物无机盐类</w:t>
            </w:r>
          </w:p>
        </w:tc>
        <w:tc>
          <w:tcPr>
            <w:tcW w:w="1808" w:type="dxa"/>
            <w:tcBorders>
              <w:tl2br w:val="nil"/>
              <w:tr2bl w:val="nil"/>
            </w:tcBorders>
            <w:vAlign w:val="center"/>
          </w:tcPr>
          <w:p w14:paraId="73CFB4E1">
            <w:pPr>
              <w:pStyle w:val="16"/>
              <w:pageBreakBefore w:val="0"/>
              <w:wordWrap/>
              <w:bidi w:val="0"/>
              <w:adjustRightInd/>
              <w:snapToGrid/>
              <w:rPr>
                <w:color w:val="auto"/>
              </w:rPr>
            </w:pPr>
            <w:r>
              <w:rPr>
                <w:color w:val="auto"/>
              </w:rPr>
              <w:t>电导度Na、Ca、Cl离子</w:t>
            </w:r>
          </w:p>
        </w:tc>
        <w:tc>
          <w:tcPr>
            <w:tcW w:w="3471" w:type="dxa"/>
            <w:tcBorders>
              <w:tl2br w:val="nil"/>
              <w:tr2bl w:val="nil"/>
            </w:tcBorders>
            <w:vAlign w:val="center"/>
          </w:tcPr>
          <w:p w14:paraId="0B38E33E">
            <w:pPr>
              <w:pStyle w:val="16"/>
              <w:pageBreakBefore w:val="0"/>
              <w:wordWrap/>
              <w:bidi w:val="0"/>
              <w:adjustRightInd/>
              <w:snapToGrid/>
              <w:rPr>
                <w:color w:val="auto"/>
              </w:rPr>
            </w:pPr>
            <w:r>
              <w:rPr>
                <w:color w:val="auto"/>
              </w:rPr>
              <w:t>反渗透、电渗析、离子交换</w:t>
            </w:r>
          </w:p>
        </w:tc>
      </w:tr>
      <w:tr w14:paraId="5680D3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752" w:type="dxa"/>
            <w:vMerge w:val="continue"/>
            <w:tcBorders>
              <w:tl2br w:val="nil"/>
              <w:tr2bl w:val="nil"/>
            </w:tcBorders>
            <w:vAlign w:val="center"/>
          </w:tcPr>
          <w:p w14:paraId="033FAD14">
            <w:pPr>
              <w:pStyle w:val="16"/>
              <w:pageBreakBefore w:val="0"/>
              <w:wordWrap/>
              <w:bidi w:val="0"/>
              <w:adjustRightInd/>
              <w:snapToGrid/>
              <w:rPr>
                <w:color w:val="auto"/>
              </w:rPr>
            </w:pPr>
          </w:p>
        </w:tc>
        <w:tc>
          <w:tcPr>
            <w:tcW w:w="1719" w:type="dxa"/>
            <w:tcBorders>
              <w:tl2br w:val="nil"/>
              <w:tr2bl w:val="nil"/>
            </w:tcBorders>
            <w:vAlign w:val="center"/>
          </w:tcPr>
          <w:p w14:paraId="34C05D71">
            <w:pPr>
              <w:pStyle w:val="16"/>
              <w:pageBreakBefore w:val="0"/>
              <w:wordWrap/>
              <w:bidi w:val="0"/>
              <w:adjustRightInd/>
              <w:snapToGrid/>
              <w:rPr>
                <w:color w:val="auto"/>
              </w:rPr>
            </w:pPr>
            <w:r>
              <w:rPr>
                <w:color w:val="auto"/>
              </w:rPr>
              <w:t>微生物</w:t>
            </w:r>
          </w:p>
        </w:tc>
        <w:tc>
          <w:tcPr>
            <w:tcW w:w="1808" w:type="dxa"/>
            <w:tcBorders>
              <w:tl2br w:val="nil"/>
              <w:tr2bl w:val="nil"/>
            </w:tcBorders>
            <w:vAlign w:val="center"/>
          </w:tcPr>
          <w:p w14:paraId="19E855AD">
            <w:pPr>
              <w:pStyle w:val="16"/>
              <w:pageBreakBefore w:val="0"/>
              <w:wordWrap/>
              <w:bidi w:val="0"/>
              <w:adjustRightInd/>
              <w:snapToGrid/>
              <w:rPr>
                <w:color w:val="auto"/>
              </w:rPr>
            </w:pPr>
            <w:r>
              <w:rPr>
                <w:color w:val="auto"/>
              </w:rPr>
              <w:t>细菌病毒</w:t>
            </w:r>
          </w:p>
        </w:tc>
        <w:tc>
          <w:tcPr>
            <w:tcW w:w="3471" w:type="dxa"/>
            <w:tcBorders>
              <w:tl2br w:val="nil"/>
              <w:tr2bl w:val="nil"/>
            </w:tcBorders>
            <w:vAlign w:val="center"/>
          </w:tcPr>
          <w:p w14:paraId="334039AF">
            <w:pPr>
              <w:pStyle w:val="16"/>
              <w:pageBreakBefore w:val="0"/>
              <w:wordWrap/>
              <w:bidi w:val="0"/>
              <w:adjustRightInd/>
              <w:snapToGrid/>
              <w:rPr>
                <w:rFonts w:hint="eastAsia" w:eastAsia="宋体"/>
                <w:color w:val="auto"/>
                <w:lang w:eastAsia="zh-CN"/>
              </w:rPr>
            </w:pPr>
            <w:r>
              <w:rPr>
                <w:color w:val="auto"/>
              </w:rPr>
              <w:t>臭氧氧化、消毒</w:t>
            </w:r>
            <w:r>
              <w:rPr>
                <w:rFonts w:hint="eastAsia"/>
                <w:color w:val="auto"/>
                <w:lang w:eastAsia="zh-CN"/>
              </w:rPr>
              <w:t>（</w:t>
            </w:r>
            <w:r>
              <w:rPr>
                <w:color w:val="auto"/>
              </w:rPr>
              <w:t>氯气、次氯酸钠、紫外线</w:t>
            </w:r>
            <w:r>
              <w:rPr>
                <w:rFonts w:hint="eastAsia"/>
                <w:color w:val="auto"/>
                <w:lang w:eastAsia="zh-CN"/>
              </w:rPr>
              <w:t>）</w:t>
            </w:r>
          </w:p>
        </w:tc>
      </w:tr>
    </w:tbl>
    <w:p w14:paraId="35DEE79B">
      <w:pPr>
        <w:keepNext w:val="0"/>
        <w:keepLines w:val="0"/>
        <w:pageBreakBefore w:val="0"/>
        <w:widowControl w:val="0"/>
        <w:kinsoku/>
        <w:wordWrap/>
        <w:overflowPunct/>
        <w:topLinePunct w:val="0"/>
        <w:autoSpaceDE/>
        <w:autoSpaceDN/>
        <w:bidi w:val="0"/>
        <w:adjustRightInd/>
        <w:snapToGrid/>
        <w:spacing w:before="0" w:beforeLines="50"/>
        <w:textAlignment w:val="auto"/>
        <w:rPr>
          <w:rFonts w:hint="eastAsia"/>
          <w:color w:val="auto"/>
        </w:rPr>
      </w:pPr>
      <w:r>
        <w:rPr>
          <w:rFonts w:hint="eastAsia"/>
          <w:color w:val="auto"/>
        </w:rPr>
        <w:t>根据国内</w:t>
      </w:r>
      <w:r>
        <w:rPr>
          <w:rFonts w:hint="eastAsia"/>
          <w:color w:val="auto"/>
          <w:lang w:eastAsia="zh-CN"/>
        </w:rPr>
        <w:t>污水处理厂</w:t>
      </w:r>
      <w:r>
        <w:rPr>
          <w:rFonts w:hint="eastAsia"/>
          <w:color w:val="auto"/>
        </w:rPr>
        <w:t>实际运行经验，只要设计合理，本工程污水经除磷脱氮工艺处理后，出水中TN、</w:t>
      </w:r>
      <m:oMath>
        <m:sSubSup>
          <m:sSubSupPr>
            <m:ctrlPr>
              <w:rPr>
                <w:rFonts w:hint="eastAsia" w:ascii="Cambria Math" w:hAnsi="Cambria Math"/>
                <w:color w:val="auto"/>
                <w:lang w:val="en-US" w:eastAsia="zh-CN"/>
              </w:rPr>
            </m:ctrlPr>
          </m:sSubSupPr>
          <m:e>
            <m:r>
              <m:rPr>
                <m:sty m:val="p"/>
              </m:rPr>
              <w:rPr>
                <w:rFonts w:hint="eastAsia" w:ascii="Cambria Math" w:hAnsi="Cambria Math"/>
                <w:color w:val="auto"/>
                <w:lang w:val="en-US" w:eastAsia="zh-CN"/>
              </w:rPr>
              <m:t>NH</m:t>
            </m:r>
            <m:ctrlPr>
              <w:rPr>
                <w:rFonts w:hint="eastAsia" w:ascii="Cambria Math" w:hAnsi="Cambria Math"/>
                <w:color w:val="auto"/>
                <w:lang w:val="en-US" w:eastAsia="zh-CN"/>
              </w:rPr>
            </m:ctrlPr>
          </m:e>
          <m:sub>
            <m:r>
              <m:rPr>
                <m:sty m:val="p"/>
              </m:rPr>
              <w:rPr>
                <w:rFonts w:hint="default" w:ascii="Cambria Math" w:hAnsi="Cambria Math"/>
                <w:color w:val="auto"/>
                <w:lang w:val="en-US" w:eastAsia="zh-CN"/>
              </w:rPr>
              <m:t>4</m:t>
            </m:r>
            <m:ctrlPr>
              <w:rPr>
                <w:rFonts w:hint="eastAsia" w:ascii="Cambria Math" w:hAnsi="Cambria Math"/>
                <w:color w:val="auto"/>
                <w:lang w:val="en-US" w:eastAsia="zh-CN"/>
              </w:rPr>
            </m:ctrlPr>
          </m:sub>
          <m:sup>
            <m:r>
              <m:rPr>
                <m:sty m:val="p"/>
              </m:rPr>
              <w:rPr>
                <w:rFonts w:hint="default" w:ascii="Cambria Math" w:hAnsi="Cambria Math"/>
                <w:color w:val="auto"/>
                <w:lang w:val="en-US" w:eastAsia="zh-CN"/>
              </w:rPr>
              <m:t>+</m:t>
            </m:r>
            <m:ctrlPr>
              <w:rPr>
                <w:rFonts w:hint="eastAsia" w:ascii="Cambria Math" w:hAnsi="Cambria Math"/>
                <w:color w:val="auto"/>
                <w:lang w:val="en-US" w:eastAsia="zh-CN"/>
              </w:rPr>
            </m:ctrlPr>
          </m:sup>
        </m:sSubSup>
        <m:r>
          <m:rPr>
            <m:sty m:val="p"/>
          </m:rPr>
          <w:rPr>
            <w:rFonts w:hint="default" w:ascii="Cambria Math" w:hAnsi="Cambria Math"/>
            <w:color w:val="auto"/>
            <w:lang w:val="en-US" w:eastAsia="zh-CN"/>
          </w:rPr>
          <m:t>−</m:t>
        </m:r>
        <m:r>
          <m:rPr>
            <m:sty m:val="p"/>
          </m:rPr>
          <w:rPr>
            <w:rFonts w:hint="eastAsia" w:ascii="Cambria Math" w:hAnsi="Cambria Math"/>
            <w:color w:val="auto"/>
            <w:lang w:val="en-US" w:eastAsia="zh-CN"/>
          </w:rPr>
          <m:t>N</m:t>
        </m:r>
      </m:oMath>
      <w:r>
        <w:rPr>
          <w:rFonts w:hint="eastAsia"/>
          <w:color w:val="auto"/>
        </w:rPr>
        <w:t>指标基本上均能达到处理目标要求，不超过15mg/L、5mg/L</w:t>
      </w:r>
      <w:r>
        <w:rPr>
          <w:rFonts w:hint="eastAsia"/>
          <w:color w:val="auto"/>
          <w:lang w:eastAsia="zh-CN"/>
        </w:rPr>
        <w:t>；</w:t>
      </w:r>
      <w:r>
        <w:rPr>
          <w:rFonts w:hint="eastAsia"/>
          <w:color w:val="auto"/>
        </w:rPr>
        <w:t>出水TP值接近1mg/L</w:t>
      </w:r>
      <w:r>
        <w:rPr>
          <w:rFonts w:hint="eastAsia"/>
          <w:color w:val="auto"/>
          <w:lang w:eastAsia="zh-CN"/>
        </w:rPr>
        <w:t>；</w:t>
      </w:r>
      <w:r>
        <w:rPr>
          <w:rFonts w:hint="eastAsia"/>
          <w:color w:val="auto"/>
        </w:rPr>
        <w:t>出水SS值低于20mg/L</w:t>
      </w:r>
      <w:r>
        <w:rPr>
          <w:rFonts w:hint="eastAsia"/>
          <w:color w:val="auto"/>
          <w:lang w:eastAsia="zh-CN"/>
        </w:rPr>
        <w:t>，</w:t>
      </w:r>
      <w:r>
        <w:rPr>
          <w:rFonts w:hint="eastAsia"/>
          <w:color w:val="auto"/>
        </w:rPr>
        <w:t>BOD</w:t>
      </w:r>
      <w:r>
        <w:rPr>
          <w:rFonts w:hint="eastAsia"/>
          <w:color w:val="auto"/>
          <w:lang w:val="en-US" w:eastAsia="zh-CN"/>
        </w:rPr>
        <w:t>5</w:t>
      </w:r>
      <w:r>
        <w:rPr>
          <w:rFonts w:hint="eastAsia"/>
          <w:color w:val="auto"/>
        </w:rPr>
        <w:t>的指标也基本能达到10mg/L的水平，CODcr降到50mg/L以下也可实现。因此，深度处理的目的主要是去除仍然较高的SS值以及进一步降低水中的BOD</w:t>
      </w:r>
      <w:r>
        <w:rPr>
          <w:rFonts w:hint="eastAsia"/>
          <w:color w:val="auto"/>
          <w:lang w:val="en-US" w:eastAsia="zh-CN"/>
        </w:rPr>
        <w:t>5</w:t>
      </w:r>
      <w:r>
        <w:rPr>
          <w:rFonts w:hint="eastAsia"/>
          <w:color w:val="auto"/>
        </w:rPr>
        <w:t>和TP</w:t>
      </w:r>
      <w:r>
        <w:rPr>
          <w:rFonts w:hint="eastAsia"/>
          <w:color w:val="auto"/>
          <w:lang w:eastAsia="zh-CN"/>
        </w:rPr>
        <w:t>，</w:t>
      </w:r>
      <w:r>
        <w:rPr>
          <w:rFonts w:hint="eastAsia"/>
          <w:color w:val="auto"/>
        </w:rPr>
        <w:t>确保出水达标。</w:t>
      </w:r>
    </w:p>
    <w:p w14:paraId="2A39E192">
      <w:pPr>
        <w:pageBreakBefore w:val="0"/>
        <w:wordWrap/>
        <w:bidi w:val="0"/>
        <w:adjustRightInd/>
        <w:snapToGrid/>
        <w:rPr>
          <w:rFonts w:hint="eastAsia"/>
          <w:color w:val="auto"/>
        </w:rPr>
      </w:pPr>
      <w:r>
        <w:rPr>
          <w:rFonts w:hint="eastAsia"/>
          <w:color w:val="auto"/>
        </w:rPr>
        <w:t>出水悬浮物的主要组成成分是活性污泥絮体，其本身的有机</w:t>
      </w:r>
      <w:r>
        <w:rPr>
          <w:rFonts w:hint="eastAsia"/>
          <w:color w:val="auto"/>
          <w:lang w:eastAsia="zh-CN"/>
        </w:rPr>
        <w:t>成分</w:t>
      </w:r>
      <w:r>
        <w:rPr>
          <w:rFonts w:hint="eastAsia"/>
          <w:color w:val="auto"/>
        </w:rPr>
        <w:t>高，而有机物含磷，较高的出水悬浮物SS会使得出水的BOD</w:t>
      </w:r>
      <w:r>
        <w:rPr>
          <w:rFonts w:hint="eastAsia"/>
          <w:color w:val="auto"/>
          <w:vertAlign w:val="subscript"/>
          <w:lang w:val="en-US" w:eastAsia="zh-CN"/>
        </w:rPr>
        <w:t>5</w:t>
      </w:r>
      <w:r>
        <w:rPr>
          <w:rFonts w:hint="eastAsia"/>
          <w:color w:val="auto"/>
        </w:rPr>
        <w:t>、CODcr和TP相应地增加。因此，降低SS值不只是单纯地使SS值指标合格，同时会减少污水中</w:t>
      </w:r>
      <w:r>
        <w:rPr>
          <w:rFonts w:hint="eastAsia"/>
          <w:color w:val="auto"/>
          <w:lang w:val="en-US" w:eastAsia="zh-CN"/>
        </w:rPr>
        <w:t>的</w:t>
      </w:r>
      <w:r>
        <w:rPr>
          <w:rFonts w:hint="eastAsia"/>
          <w:color w:val="auto"/>
        </w:rPr>
        <w:t>BOD</w:t>
      </w:r>
      <w:r>
        <w:rPr>
          <w:rFonts w:hint="eastAsia"/>
          <w:color w:val="auto"/>
          <w:vertAlign w:val="subscript"/>
          <w:lang w:val="en-US" w:eastAsia="zh-CN"/>
        </w:rPr>
        <w:t>5</w:t>
      </w:r>
      <w:r>
        <w:rPr>
          <w:rFonts w:hint="eastAsia"/>
          <w:color w:val="auto"/>
        </w:rPr>
        <w:t>、CODcr、TP及其他污染指标。同时，对色度较高的工业废水，生物处理去除率低，需通过混凝、沉淀、过滤去除。</w:t>
      </w:r>
    </w:p>
    <w:p w14:paraId="6DE6C7CB">
      <w:pPr>
        <w:pageBreakBefore w:val="0"/>
        <w:wordWrap/>
        <w:bidi w:val="0"/>
        <w:adjustRightInd/>
        <w:snapToGrid/>
        <w:rPr>
          <w:color w:val="auto"/>
        </w:rPr>
      </w:pPr>
      <w:r>
        <w:rPr>
          <w:rFonts w:hint="eastAsia"/>
          <w:color w:val="auto"/>
        </w:rPr>
        <w:t>所以，本工程深度处理应以SS和色度的去除作为重点目标。</w:t>
      </w:r>
    </w:p>
    <w:p w14:paraId="39EE014D">
      <w:pPr>
        <w:pStyle w:val="337"/>
        <w:pageBreakBefore w:val="0"/>
        <w:tabs>
          <w:tab w:val="left" w:pos="981"/>
        </w:tabs>
        <w:wordWrap/>
        <w:bidi w:val="0"/>
        <w:adjustRightInd/>
        <w:snapToGrid/>
        <w:ind w:firstLine="480"/>
        <w:rPr>
          <w:color w:val="auto"/>
        </w:rPr>
      </w:pPr>
      <w:r>
        <w:rPr>
          <w:rFonts w:hint="eastAsia"/>
          <w:color w:val="auto"/>
        </w:rPr>
        <w:t>从上表和前节论述中可以看到，混凝沉淀及过滤是去除SS、VSS的主要技术手段。污水经二级处理沉淀后，其出水</w:t>
      </w:r>
      <w:r>
        <w:rPr>
          <w:rFonts w:hint="eastAsia"/>
          <w:color w:val="auto"/>
          <w:lang w:eastAsia="zh-CN"/>
        </w:rPr>
        <w:t>（</w:t>
      </w:r>
      <w:r>
        <w:rPr>
          <w:rFonts w:hint="eastAsia"/>
          <w:color w:val="auto"/>
        </w:rPr>
        <w:t>即深度构筑物的进水</w:t>
      </w:r>
      <w:r>
        <w:rPr>
          <w:rFonts w:hint="eastAsia"/>
          <w:color w:val="auto"/>
          <w:lang w:eastAsia="zh-CN"/>
        </w:rPr>
        <w:t>）</w:t>
      </w:r>
      <w:r>
        <w:rPr>
          <w:rFonts w:hint="eastAsia"/>
          <w:color w:val="auto"/>
        </w:rPr>
        <w:t>悬浮物总体来说不高，根据众多</w:t>
      </w:r>
      <w:r>
        <w:rPr>
          <w:rFonts w:hint="eastAsia"/>
          <w:color w:val="auto"/>
          <w:lang w:eastAsia="zh-CN"/>
        </w:rPr>
        <w:t>污水处理厂</w:t>
      </w:r>
      <w:r>
        <w:rPr>
          <w:rFonts w:hint="eastAsia"/>
          <w:color w:val="auto"/>
        </w:rPr>
        <w:t>、给水厂的运行经验，采用直接过滤并辅以投加铁盐或铝盐的方式可达到有效去除悬浮物的目的。投加铁盐或铝盐后，形成磷酸盐沉淀物与其他胶体、悬浮物，被滤料一并吸附、截留，降低磷值。根据</w:t>
      </w:r>
      <w:r>
        <w:rPr>
          <w:rFonts w:hint="eastAsia"/>
          <w:color w:val="auto"/>
          <w:lang w:eastAsia="zh-CN"/>
        </w:rPr>
        <w:t>污水处理厂</w:t>
      </w:r>
      <w:r>
        <w:rPr>
          <w:rFonts w:hint="eastAsia"/>
          <w:color w:val="auto"/>
        </w:rPr>
        <w:t>、给水厂运行经验及类似实验介绍，低浊度进水直接絮凝过滤，其出水浊度可低于3NTU</w:t>
      </w:r>
      <w:r>
        <w:rPr>
          <w:rFonts w:hint="eastAsia"/>
          <w:color w:val="auto"/>
          <w:lang w:eastAsia="zh-CN"/>
        </w:rPr>
        <w:t>，</w:t>
      </w:r>
      <w:r>
        <w:rPr>
          <w:rFonts w:hint="eastAsia"/>
          <w:color w:val="auto"/>
        </w:rPr>
        <w:t>完全可以保证其出水悬浮物低于10mg/L。因此，本工程的深度处理工艺拟采用混凝沉淀+过滤工艺。混凝沉淀+过滤工艺常规处理效率见</w:t>
      </w:r>
      <w:r>
        <w:rPr>
          <w:rFonts w:hint="eastAsia"/>
          <w:color w:val="auto"/>
          <w:lang w:val="en-US" w:eastAsia="zh-CN"/>
        </w:rPr>
        <w:t>下表</w:t>
      </w:r>
      <w:r>
        <w:rPr>
          <w:rFonts w:hint="eastAsia"/>
          <w:color w:val="auto"/>
        </w:rPr>
        <w:t>。</w:t>
      </w:r>
    </w:p>
    <w:p w14:paraId="1C777374">
      <w:pPr>
        <w:pStyle w:val="19"/>
        <w:numPr>
          <w:ilvl w:val="0"/>
          <w:numId w:val="16"/>
        </w:numPr>
        <w:bidi w:val="0"/>
        <w:ind w:left="0" w:leftChars="0" w:firstLine="0" w:firstLineChars="0"/>
        <w:rPr>
          <w:color w:val="auto"/>
        </w:rPr>
      </w:pPr>
      <w:r>
        <w:rPr>
          <w:rFonts w:hint="eastAsia"/>
          <w:color w:val="auto"/>
        </w:rPr>
        <w:t>混凝沉淀过滤的处理效率</w:t>
      </w:r>
    </w:p>
    <w:tbl>
      <w:tblPr>
        <w:tblStyle w:val="5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097"/>
        <w:gridCol w:w="2359"/>
        <w:gridCol w:w="2351"/>
        <w:gridCol w:w="2610"/>
      </w:tblGrid>
      <w:tr w14:paraId="2A3717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2" w:type="pct"/>
            <w:vMerge w:val="restart"/>
            <w:tcBorders>
              <w:tl2br w:val="nil"/>
              <w:tr2bl w:val="nil"/>
            </w:tcBorders>
            <w:vAlign w:val="center"/>
          </w:tcPr>
          <w:p w14:paraId="26B80545">
            <w:pPr>
              <w:pStyle w:val="16"/>
              <w:pageBreakBefore w:val="0"/>
              <w:wordWrap/>
              <w:bidi w:val="0"/>
              <w:adjustRightInd/>
              <w:snapToGrid/>
              <w:rPr>
                <w:b/>
                <w:bCs/>
                <w:color w:val="auto"/>
              </w:rPr>
            </w:pPr>
            <w:r>
              <w:rPr>
                <w:b/>
                <w:bCs/>
                <w:color w:val="auto"/>
              </w:rPr>
              <w:t>项目</w:t>
            </w:r>
          </w:p>
        </w:tc>
        <w:tc>
          <w:tcPr>
            <w:tcW w:w="4347" w:type="pct"/>
            <w:gridSpan w:val="3"/>
            <w:tcBorders>
              <w:tl2br w:val="nil"/>
              <w:tr2bl w:val="nil"/>
            </w:tcBorders>
            <w:vAlign w:val="center"/>
          </w:tcPr>
          <w:p w14:paraId="7B8B338C">
            <w:pPr>
              <w:pStyle w:val="16"/>
              <w:pageBreakBefore w:val="0"/>
              <w:wordWrap/>
              <w:bidi w:val="0"/>
              <w:adjustRightInd/>
              <w:snapToGrid/>
              <w:rPr>
                <w:rFonts w:hint="eastAsia" w:eastAsia="宋体"/>
                <w:b/>
                <w:bCs/>
                <w:color w:val="auto"/>
                <w:lang w:eastAsia="zh-CN"/>
              </w:rPr>
            </w:pPr>
            <w:r>
              <w:rPr>
                <w:b/>
                <w:bCs/>
                <w:color w:val="auto"/>
              </w:rPr>
              <w:t>处理效果</w:t>
            </w:r>
            <w:r>
              <w:rPr>
                <w:rFonts w:hint="eastAsia"/>
                <w:b/>
                <w:bCs/>
                <w:color w:val="auto"/>
                <w:lang w:eastAsia="zh-CN"/>
              </w:rPr>
              <w:t>（</w:t>
            </w:r>
            <w:r>
              <w:rPr>
                <w:b/>
                <w:bCs/>
                <w:color w:val="auto"/>
              </w:rPr>
              <w:t>%</w:t>
            </w:r>
            <w:r>
              <w:rPr>
                <w:rFonts w:hint="eastAsia"/>
                <w:b/>
                <w:bCs/>
                <w:color w:val="auto"/>
                <w:lang w:eastAsia="zh-CN"/>
              </w:rPr>
              <w:t>）</w:t>
            </w:r>
          </w:p>
        </w:tc>
      </w:tr>
      <w:tr w14:paraId="6D9046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2" w:type="pct"/>
            <w:vMerge w:val="continue"/>
            <w:tcBorders>
              <w:tl2br w:val="nil"/>
              <w:tr2bl w:val="nil"/>
            </w:tcBorders>
            <w:vAlign w:val="center"/>
          </w:tcPr>
          <w:p w14:paraId="046921E0">
            <w:pPr>
              <w:pStyle w:val="16"/>
              <w:pageBreakBefore w:val="0"/>
              <w:wordWrap/>
              <w:bidi w:val="0"/>
              <w:adjustRightInd/>
              <w:snapToGrid/>
              <w:rPr>
                <w:b/>
                <w:bCs/>
                <w:color w:val="auto"/>
              </w:rPr>
            </w:pPr>
          </w:p>
        </w:tc>
        <w:tc>
          <w:tcPr>
            <w:tcW w:w="1401" w:type="pct"/>
            <w:tcBorders>
              <w:tl2br w:val="nil"/>
              <w:tr2bl w:val="nil"/>
            </w:tcBorders>
            <w:vAlign w:val="center"/>
          </w:tcPr>
          <w:p w14:paraId="0C161441">
            <w:pPr>
              <w:pStyle w:val="16"/>
              <w:pageBreakBefore w:val="0"/>
              <w:wordWrap/>
              <w:bidi w:val="0"/>
              <w:adjustRightInd/>
              <w:snapToGrid/>
              <w:rPr>
                <w:b/>
                <w:bCs/>
                <w:color w:val="auto"/>
              </w:rPr>
            </w:pPr>
            <w:r>
              <w:rPr>
                <w:b/>
                <w:bCs/>
                <w:color w:val="auto"/>
              </w:rPr>
              <w:t>混凝沉淀</w:t>
            </w:r>
          </w:p>
        </w:tc>
        <w:tc>
          <w:tcPr>
            <w:tcW w:w="1396" w:type="pct"/>
            <w:tcBorders>
              <w:tl2br w:val="nil"/>
              <w:tr2bl w:val="nil"/>
            </w:tcBorders>
            <w:vAlign w:val="center"/>
          </w:tcPr>
          <w:p w14:paraId="049BB02B">
            <w:pPr>
              <w:pStyle w:val="16"/>
              <w:pageBreakBefore w:val="0"/>
              <w:wordWrap/>
              <w:bidi w:val="0"/>
              <w:adjustRightInd/>
              <w:snapToGrid/>
              <w:rPr>
                <w:b/>
                <w:bCs/>
                <w:color w:val="auto"/>
              </w:rPr>
            </w:pPr>
            <w:r>
              <w:rPr>
                <w:b/>
                <w:bCs/>
                <w:color w:val="auto"/>
              </w:rPr>
              <w:t>过滤</w:t>
            </w:r>
          </w:p>
        </w:tc>
        <w:tc>
          <w:tcPr>
            <w:tcW w:w="1549" w:type="pct"/>
            <w:tcBorders>
              <w:tl2br w:val="nil"/>
              <w:tr2bl w:val="nil"/>
            </w:tcBorders>
            <w:vAlign w:val="center"/>
          </w:tcPr>
          <w:p w14:paraId="47EF7E65">
            <w:pPr>
              <w:pStyle w:val="16"/>
              <w:pageBreakBefore w:val="0"/>
              <w:wordWrap/>
              <w:bidi w:val="0"/>
              <w:adjustRightInd/>
              <w:snapToGrid/>
              <w:rPr>
                <w:b/>
                <w:bCs/>
                <w:color w:val="auto"/>
              </w:rPr>
            </w:pPr>
            <w:r>
              <w:rPr>
                <w:b/>
                <w:bCs/>
                <w:color w:val="auto"/>
              </w:rPr>
              <w:t>综合</w:t>
            </w:r>
          </w:p>
        </w:tc>
      </w:tr>
      <w:tr w14:paraId="3A267A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2" w:type="pct"/>
            <w:tcBorders>
              <w:tl2br w:val="nil"/>
              <w:tr2bl w:val="nil"/>
            </w:tcBorders>
            <w:vAlign w:val="center"/>
          </w:tcPr>
          <w:p w14:paraId="4A8B4946">
            <w:pPr>
              <w:pStyle w:val="16"/>
              <w:pageBreakBefore w:val="0"/>
              <w:wordWrap/>
              <w:bidi w:val="0"/>
              <w:adjustRightInd/>
              <w:snapToGrid/>
              <w:rPr>
                <w:color w:val="auto"/>
              </w:rPr>
            </w:pPr>
            <w:r>
              <w:rPr>
                <w:color w:val="auto"/>
              </w:rPr>
              <w:t>浊度</w:t>
            </w:r>
          </w:p>
        </w:tc>
        <w:tc>
          <w:tcPr>
            <w:tcW w:w="1401" w:type="pct"/>
            <w:tcBorders>
              <w:tl2br w:val="nil"/>
              <w:tr2bl w:val="nil"/>
            </w:tcBorders>
            <w:vAlign w:val="center"/>
          </w:tcPr>
          <w:p w14:paraId="2438527C">
            <w:pPr>
              <w:pStyle w:val="16"/>
              <w:pageBreakBefore w:val="0"/>
              <w:wordWrap/>
              <w:bidi w:val="0"/>
              <w:adjustRightInd/>
              <w:snapToGrid/>
              <w:rPr>
                <w:color w:val="auto"/>
              </w:rPr>
            </w:pPr>
            <w:r>
              <w:rPr>
                <w:color w:val="auto"/>
              </w:rPr>
              <w:t>50</w:t>
            </w:r>
            <w:r>
              <w:rPr>
                <w:rFonts w:hint="eastAsia"/>
                <w:color w:val="auto"/>
                <w:lang w:eastAsia="zh-CN"/>
              </w:rPr>
              <w:t>~</w:t>
            </w:r>
            <w:r>
              <w:rPr>
                <w:color w:val="auto"/>
              </w:rPr>
              <w:t>60</w:t>
            </w:r>
          </w:p>
        </w:tc>
        <w:tc>
          <w:tcPr>
            <w:tcW w:w="1396" w:type="pct"/>
            <w:tcBorders>
              <w:tl2br w:val="nil"/>
              <w:tr2bl w:val="nil"/>
            </w:tcBorders>
            <w:vAlign w:val="center"/>
          </w:tcPr>
          <w:p w14:paraId="37447FA8">
            <w:pPr>
              <w:pStyle w:val="16"/>
              <w:pageBreakBefore w:val="0"/>
              <w:wordWrap/>
              <w:bidi w:val="0"/>
              <w:adjustRightInd/>
              <w:snapToGrid/>
              <w:rPr>
                <w:color w:val="auto"/>
              </w:rPr>
            </w:pPr>
            <w:r>
              <w:rPr>
                <w:color w:val="auto"/>
              </w:rPr>
              <w:t>30</w:t>
            </w:r>
            <w:r>
              <w:rPr>
                <w:rFonts w:hint="eastAsia"/>
                <w:color w:val="auto"/>
                <w:lang w:eastAsia="zh-CN"/>
              </w:rPr>
              <w:t>~</w:t>
            </w:r>
            <w:r>
              <w:rPr>
                <w:color w:val="auto"/>
              </w:rPr>
              <w:t>50</w:t>
            </w:r>
          </w:p>
        </w:tc>
        <w:tc>
          <w:tcPr>
            <w:tcW w:w="1549" w:type="pct"/>
            <w:tcBorders>
              <w:tl2br w:val="nil"/>
              <w:tr2bl w:val="nil"/>
            </w:tcBorders>
            <w:vAlign w:val="center"/>
          </w:tcPr>
          <w:p w14:paraId="01EE0BDD">
            <w:pPr>
              <w:pStyle w:val="16"/>
              <w:pageBreakBefore w:val="0"/>
              <w:wordWrap/>
              <w:bidi w:val="0"/>
              <w:adjustRightInd/>
              <w:snapToGrid/>
              <w:rPr>
                <w:color w:val="auto"/>
              </w:rPr>
            </w:pPr>
            <w:r>
              <w:rPr>
                <w:color w:val="auto"/>
              </w:rPr>
              <w:t>70</w:t>
            </w:r>
            <w:r>
              <w:rPr>
                <w:rFonts w:hint="eastAsia"/>
                <w:color w:val="auto"/>
                <w:lang w:eastAsia="zh-CN"/>
              </w:rPr>
              <w:t>~</w:t>
            </w:r>
            <w:r>
              <w:rPr>
                <w:color w:val="auto"/>
              </w:rPr>
              <w:t>80</w:t>
            </w:r>
          </w:p>
        </w:tc>
      </w:tr>
      <w:tr w14:paraId="2E25D9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2" w:type="pct"/>
            <w:tcBorders>
              <w:tl2br w:val="nil"/>
              <w:tr2bl w:val="nil"/>
            </w:tcBorders>
            <w:vAlign w:val="center"/>
          </w:tcPr>
          <w:p w14:paraId="088FB904">
            <w:pPr>
              <w:pStyle w:val="16"/>
              <w:pageBreakBefore w:val="0"/>
              <w:wordWrap/>
              <w:bidi w:val="0"/>
              <w:adjustRightInd/>
              <w:snapToGrid/>
              <w:rPr>
                <w:color w:val="auto"/>
              </w:rPr>
            </w:pPr>
            <w:r>
              <w:rPr>
                <w:color w:val="auto"/>
              </w:rPr>
              <w:t>SS</w:t>
            </w:r>
          </w:p>
        </w:tc>
        <w:tc>
          <w:tcPr>
            <w:tcW w:w="1401" w:type="pct"/>
            <w:tcBorders>
              <w:tl2br w:val="nil"/>
              <w:tr2bl w:val="nil"/>
            </w:tcBorders>
            <w:vAlign w:val="center"/>
          </w:tcPr>
          <w:p w14:paraId="6F976558">
            <w:pPr>
              <w:pStyle w:val="16"/>
              <w:pageBreakBefore w:val="0"/>
              <w:wordWrap/>
              <w:bidi w:val="0"/>
              <w:adjustRightInd/>
              <w:snapToGrid/>
              <w:rPr>
                <w:color w:val="auto"/>
              </w:rPr>
            </w:pPr>
            <w:r>
              <w:rPr>
                <w:color w:val="auto"/>
              </w:rPr>
              <w:t>40</w:t>
            </w:r>
            <w:r>
              <w:rPr>
                <w:rFonts w:hint="eastAsia"/>
                <w:color w:val="auto"/>
                <w:lang w:eastAsia="zh-CN"/>
              </w:rPr>
              <w:t>~</w:t>
            </w:r>
            <w:r>
              <w:rPr>
                <w:color w:val="auto"/>
              </w:rPr>
              <w:t>60</w:t>
            </w:r>
          </w:p>
        </w:tc>
        <w:tc>
          <w:tcPr>
            <w:tcW w:w="1396" w:type="pct"/>
            <w:tcBorders>
              <w:tl2br w:val="nil"/>
              <w:tr2bl w:val="nil"/>
            </w:tcBorders>
            <w:vAlign w:val="center"/>
          </w:tcPr>
          <w:p w14:paraId="428B04DB">
            <w:pPr>
              <w:pStyle w:val="16"/>
              <w:pageBreakBefore w:val="0"/>
              <w:wordWrap/>
              <w:bidi w:val="0"/>
              <w:adjustRightInd/>
              <w:snapToGrid/>
              <w:rPr>
                <w:color w:val="auto"/>
              </w:rPr>
            </w:pPr>
            <w:r>
              <w:rPr>
                <w:color w:val="auto"/>
              </w:rPr>
              <w:t>40</w:t>
            </w:r>
            <w:r>
              <w:rPr>
                <w:rFonts w:hint="eastAsia"/>
                <w:color w:val="auto"/>
                <w:lang w:eastAsia="zh-CN"/>
              </w:rPr>
              <w:t>~</w:t>
            </w:r>
            <w:r>
              <w:rPr>
                <w:color w:val="auto"/>
              </w:rPr>
              <w:t>60</w:t>
            </w:r>
          </w:p>
        </w:tc>
        <w:tc>
          <w:tcPr>
            <w:tcW w:w="1549" w:type="pct"/>
            <w:tcBorders>
              <w:tl2br w:val="nil"/>
              <w:tr2bl w:val="nil"/>
            </w:tcBorders>
            <w:vAlign w:val="center"/>
          </w:tcPr>
          <w:p w14:paraId="2C516A38">
            <w:pPr>
              <w:pStyle w:val="16"/>
              <w:pageBreakBefore w:val="0"/>
              <w:wordWrap/>
              <w:bidi w:val="0"/>
              <w:adjustRightInd/>
              <w:snapToGrid/>
              <w:rPr>
                <w:color w:val="auto"/>
              </w:rPr>
            </w:pPr>
            <w:r>
              <w:rPr>
                <w:color w:val="auto"/>
              </w:rPr>
              <w:t>70</w:t>
            </w:r>
            <w:r>
              <w:rPr>
                <w:rFonts w:hint="eastAsia"/>
                <w:color w:val="auto"/>
                <w:lang w:eastAsia="zh-CN"/>
              </w:rPr>
              <w:t>~</w:t>
            </w:r>
            <w:r>
              <w:rPr>
                <w:color w:val="auto"/>
              </w:rPr>
              <w:t>80</w:t>
            </w:r>
          </w:p>
        </w:tc>
      </w:tr>
      <w:tr w14:paraId="104E00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2" w:type="pct"/>
            <w:tcBorders>
              <w:tl2br w:val="nil"/>
              <w:tr2bl w:val="nil"/>
            </w:tcBorders>
            <w:vAlign w:val="center"/>
          </w:tcPr>
          <w:p w14:paraId="2AB0D17C">
            <w:pPr>
              <w:pStyle w:val="16"/>
              <w:pageBreakBefore w:val="0"/>
              <w:wordWrap/>
              <w:bidi w:val="0"/>
              <w:adjustRightInd/>
              <w:snapToGrid/>
              <w:rPr>
                <w:color w:val="auto"/>
              </w:rPr>
            </w:pPr>
            <w:r>
              <w:rPr>
                <w:color w:val="auto"/>
              </w:rPr>
              <w:t>BOD₅</w:t>
            </w:r>
          </w:p>
        </w:tc>
        <w:tc>
          <w:tcPr>
            <w:tcW w:w="1401" w:type="pct"/>
            <w:tcBorders>
              <w:tl2br w:val="nil"/>
              <w:tr2bl w:val="nil"/>
            </w:tcBorders>
            <w:vAlign w:val="center"/>
          </w:tcPr>
          <w:p w14:paraId="2E2973A7">
            <w:pPr>
              <w:pStyle w:val="16"/>
              <w:pageBreakBefore w:val="0"/>
              <w:wordWrap/>
              <w:bidi w:val="0"/>
              <w:adjustRightInd/>
              <w:snapToGrid/>
              <w:rPr>
                <w:color w:val="auto"/>
              </w:rPr>
            </w:pPr>
            <w:r>
              <w:rPr>
                <w:color w:val="auto"/>
              </w:rPr>
              <w:t>30</w:t>
            </w:r>
            <w:r>
              <w:rPr>
                <w:rFonts w:hint="eastAsia"/>
                <w:color w:val="auto"/>
                <w:lang w:eastAsia="zh-CN"/>
              </w:rPr>
              <w:t>~</w:t>
            </w:r>
            <w:r>
              <w:rPr>
                <w:color w:val="auto"/>
              </w:rPr>
              <w:t>50</w:t>
            </w:r>
          </w:p>
        </w:tc>
        <w:tc>
          <w:tcPr>
            <w:tcW w:w="1396" w:type="pct"/>
            <w:tcBorders>
              <w:tl2br w:val="nil"/>
              <w:tr2bl w:val="nil"/>
            </w:tcBorders>
            <w:vAlign w:val="center"/>
          </w:tcPr>
          <w:p w14:paraId="7AA50401">
            <w:pPr>
              <w:pStyle w:val="16"/>
              <w:pageBreakBefore w:val="0"/>
              <w:wordWrap/>
              <w:bidi w:val="0"/>
              <w:adjustRightInd/>
              <w:snapToGrid/>
              <w:rPr>
                <w:color w:val="auto"/>
              </w:rPr>
            </w:pPr>
            <w:r>
              <w:rPr>
                <w:color w:val="auto"/>
              </w:rPr>
              <w:t>25</w:t>
            </w:r>
            <w:r>
              <w:rPr>
                <w:rFonts w:hint="eastAsia"/>
                <w:color w:val="auto"/>
                <w:lang w:eastAsia="zh-CN"/>
              </w:rPr>
              <w:t>~</w:t>
            </w:r>
            <w:r>
              <w:rPr>
                <w:color w:val="auto"/>
              </w:rPr>
              <w:t>50</w:t>
            </w:r>
          </w:p>
        </w:tc>
        <w:tc>
          <w:tcPr>
            <w:tcW w:w="1549" w:type="pct"/>
            <w:tcBorders>
              <w:tl2br w:val="nil"/>
              <w:tr2bl w:val="nil"/>
            </w:tcBorders>
            <w:vAlign w:val="center"/>
          </w:tcPr>
          <w:p w14:paraId="39519B10">
            <w:pPr>
              <w:pStyle w:val="16"/>
              <w:pageBreakBefore w:val="0"/>
              <w:wordWrap/>
              <w:bidi w:val="0"/>
              <w:adjustRightInd/>
              <w:snapToGrid/>
              <w:rPr>
                <w:color w:val="auto"/>
              </w:rPr>
            </w:pPr>
            <w:r>
              <w:rPr>
                <w:color w:val="auto"/>
              </w:rPr>
              <w:t>60</w:t>
            </w:r>
            <w:r>
              <w:rPr>
                <w:rFonts w:hint="eastAsia"/>
                <w:color w:val="auto"/>
                <w:lang w:eastAsia="zh-CN"/>
              </w:rPr>
              <w:t>~</w:t>
            </w:r>
            <w:r>
              <w:rPr>
                <w:color w:val="auto"/>
              </w:rPr>
              <w:t>70</w:t>
            </w:r>
          </w:p>
        </w:tc>
      </w:tr>
      <w:tr w14:paraId="31CACC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2" w:type="pct"/>
            <w:tcBorders>
              <w:tl2br w:val="nil"/>
              <w:tr2bl w:val="nil"/>
            </w:tcBorders>
            <w:vAlign w:val="center"/>
          </w:tcPr>
          <w:p w14:paraId="784BBE7C">
            <w:pPr>
              <w:pStyle w:val="16"/>
              <w:pageBreakBefore w:val="0"/>
              <w:wordWrap/>
              <w:bidi w:val="0"/>
              <w:adjustRightInd/>
              <w:snapToGrid/>
              <w:rPr>
                <w:color w:val="auto"/>
              </w:rPr>
            </w:pPr>
            <w:r>
              <w:rPr>
                <w:color w:val="auto"/>
              </w:rPr>
              <w:t>CODcr</w:t>
            </w:r>
          </w:p>
        </w:tc>
        <w:tc>
          <w:tcPr>
            <w:tcW w:w="1401" w:type="pct"/>
            <w:tcBorders>
              <w:tl2br w:val="nil"/>
              <w:tr2bl w:val="nil"/>
            </w:tcBorders>
            <w:vAlign w:val="center"/>
          </w:tcPr>
          <w:p w14:paraId="0EB31062">
            <w:pPr>
              <w:pStyle w:val="16"/>
              <w:pageBreakBefore w:val="0"/>
              <w:wordWrap/>
              <w:bidi w:val="0"/>
              <w:adjustRightInd/>
              <w:snapToGrid/>
              <w:rPr>
                <w:color w:val="auto"/>
              </w:rPr>
            </w:pPr>
            <w:r>
              <w:rPr>
                <w:color w:val="auto"/>
              </w:rPr>
              <w:t>25</w:t>
            </w:r>
            <w:r>
              <w:rPr>
                <w:rFonts w:hint="eastAsia"/>
                <w:color w:val="auto"/>
                <w:lang w:eastAsia="zh-CN"/>
              </w:rPr>
              <w:t>~</w:t>
            </w:r>
            <w:r>
              <w:rPr>
                <w:color w:val="auto"/>
              </w:rPr>
              <w:t>40</w:t>
            </w:r>
          </w:p>
        </w:tc>
        <w:tc>
          <w:tcPr>
            <w:tcW w:w="1396" w:type="pct"/>
            <w:tcBorders>
              <w:tl2br w:val="nil"/>
              <w:tr2bl w:val="nil"/>
            </w:tcBorders>
            <w:vAlign w:val="center"/>
          </w:tcPr>
          <w:p w14:paraId="1E6FDE01">
            <w:pPr>
              <w:pStyle w:val="16"/>
              <w:pageBreakBefore w:val="0"/>
              <w:wordWrap/>
              <w:bidi w:val="0"/>
              <w:adjustRightInd/>
              <w:snapToGrid/>
              <w:rPr>
                <w:color w:val="auto"/>
              </w:rPr>
            </w:pPr>
            <w:r>
              <w:rPr>
                <w:color w:val="auto"/>
              </w:rPr>
              <w:t>15</w:t>
            </w:r>
            <w:r>
              <w:rPr>
                <w:rFonts w:hint="eastAsia"/>
                <w:color w:val="auto"/>
                <w:lang w:eastAsia="zh-CN"/>
              </w:rPr>
              <w:t>~</w:t>
            </w:r>
            <w:r>
              <w:rPr>
                <w:color w:val="auto"/>
              </w:rPr>
              <w:t>25</w:t>
            </w:r>
          </w:p>
        </w:tc>
        <w:tc>
          <w:tcPr>
            <w:tcW w:w="1549" w:type="pct"/>
            <w:tcBorders>
              <w:tl2br w:val="nil"/>
              <w:tr2bl w:val="nil"/>
            </w:tcBorders>
            <w:vAlign w:val="center"/>
          </w:tcPr>
          <w:p w14:paraId="176F639A">
            <w:pPr>
              <w:pStyle w:val="16"/>
              <w:pageBreakBefore w:val="0"/>
              <w:wordWrap/>
              <w:bidi w:val="0"/>
              <w:adjustRightInd/>
              <w:snapToGrid/>
              <w:rPr>
                <w:color w:val="auto"/>
              </w:rPr>
            </w:pPr>
            <w:r>
              <w:rPr>
                <w:color w:val="auto"/>
              </w:rPr>
              <w:t>35</w:t>
            </w:r>
            <w:r>
              <w:rPr>
                <w:rFonts w:hint="eastAsia"/>
                <w:color w:val="auto"/>
                <w:lang w:eastAsia="zh-CN"/>
              </w:rPr>
              <w:t>~</w:t>
            </w:r>
            <w:r>
              <w:rPr>
                <w:color w:val="auto"/>
              </w:rPr>
              <w:t>60</w:t>
            </w:r>
          </w:p>
        </w:tc>
      </w:tr>
      <w:tr w14:paraId="141ABB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2" w:type="pct"/>
            <w:tcBorders>
              <w:tl2br w:val="nil"/>
              <w:tr2bl w:val="nil"/>
            </w:tcBorders>
            <w:vAlign w:val="center"/>
          </w:tcPr>
          <w:p w14:paraId="4788B358">
            <w:pPr>
              <w:pStyle w:val="16"/>
              <w:pageBreakBefore w:val="0"/>
              <w:wordWrap/>
              <w:bidi w:val="0"/>
              <w:adjustRightInd/>
              <w:snapToGrid/>
              <w:rPr>
                <w:color w:val="auto"/>
              </w:rPr>
            </w:pPr>
            <w:r>
              <w:rPr>
                <w:color w:val="auto"/>
              </w:rPr>
              <w:t>TN</w:t>
            </w:r>
          </w:p>
        </w:tc>
        <w:tc>
          <w:tcPr>
            <w:tcW w:w="1401" w:type="pct"/>
            <w:tcBorders>
              <w:tl2br w:val="nil"/>
              <w:tr2bl w:val="nil"/>
            </w:tcBorders>
            <w:vAlign w:val="center"/>
          </w:tcPr>
          <w:p w14:paraId="15BBB7DB">
            <w:pPr>
              <w:pStyle w:val="16"/>
              <w:pageBreakBefore w:val="0"/>
              <w:wordWrap/>
              <w:bidi w:val="0"/>
              <w:adjustRightInd/>
              <w:snapToGrid/>
              <w:rPr>
                <w:color w:val="auto"/>
              </w:rPr>
            </w:pPr>
            <w:r>
              <w:rPr>
                <w:color w:val="auto"/>
              </w:rPr>
              <w:t>5</w:t>
            </w:r>
            <w:r>
              <w:rPr>
                <w:rFonts w:hint="eastAsia"/>
                <w:color w:val="auto"/>
                <w:lang w:eastAsia="zh-CN"/>
              </w:rPr>
              <w:t>~</w:t>
            </w:r>
            <w:r>
              <w:rPr>
                <w:color w:val="auto"/>
              </w:rPr>
              <w:t>10</w:t>
            </w:r>
          </w:p>
        </w:tc>
        <w:tc>
          <w:tcPr>
            <w:tcW w:w="1396" w:type="pct"/>
            <w:tcBorders>
              <w:tl2br w:val="nil"/>
              <w:tr2bl w:val="nil"/>
            </w:tcBorders>
            <w:vAlign w:val="center"/>
          </w:tcPr>
          <w:p w14:paraId="3B7FB2DA">
            <w:pPr>
              <w:pStyle w:val="16"/>
              <w:pageBreakBefore w:val="0"/>
              <w:wordWrap/>
              <w:bidi w:val="0"/>
              <w:adjustRightInd/>
              <w:snapToGrid/>
              <w:rPr>
                <w:color w:val="auto"/>
              </w:rPr>
            </w:pPr>
            <w:r>
              <w:rPr>
                <w:color w:val="auto"/>
              </w:rPr>
              <w:t>5</w:t>
            </w:r>
            <w:r>
              <w:rPr>
                <w:rFonts w:hint="eastAsia"/>
                <w:color w:val="auto"/>
                <w:lang w:eastAsia="zh-CN"/>
              </w:rPr>
              <w:t>~</w:t>
            </w:r>
            <w:r>
              <w:rPr>
                <w:color w:val="auto"/>
              </w:rPr>
              <w:t>10</w:t>
            </w:r>
          </w:p>
        </w:tc>
        <w:tc>
          <w:tcPr>
            <w:tcW w:w="1549" w:type="pct"/>
            <w:tcBorders>
              <w:tl2br w:val="nil"/>
              <w:tr2bl w:val="nil"/>
            </w:tcBorders>
            <w:vAlign w:val="center"/>
          </w:tcPr>
          <w:p w14:paraId="6D142B45">
            <w:pPr>
              <w:pStyle w:val="16"/>
              <w:pageBreakBefore w:val="0"/>
              <w:wordWrap/>
              <w:bidi w:val="0"/>
              <w:adjustRightInd/>
              <w:snapToGrid/>
              <w:rPr>
                <w:color w:val="auto"/>
              </w:rPr>
            </w:pPr>
            <w:r>
              <w:rPr>
                <w:color w:val="auto"/>
              </w:rPr>
              <w:t>10</w:t>
            </w:r>
            <w:r>
              <w:rPr>
                <w:rFonts w:hint="eastAsia"/>
                <w:color w:val="auto"/>
                <w:lang w:eastAsia="zh-CN"/>
              </w:rPr>
              <w:t>~</w:t>
            </w:r>
            <w:r>
              <w:rPr>
                <w:color w:val="auto"/>
              </w:rPr>
              <w:t>20</w:t>
            </w:r>
          </w:p>
        </w:tc>
      </w:tr>
      <w:tr w14:paraId="6444D5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2" w:type="pct"/>
            <w:tcBorders>
              <w:tl2br w:val="nil"/>
              <w:tr2bl w:val="nil"/>
            </w:tcBorders>
            <w:vAlign w:val="center"/>
          </w:tcPr>
          <w:p w14:paraId="107231F9">
            <w:pPr>
              <w:pStyle w:val="16"/>
              <w:pageBreakBefore w:val="0"/>
              <w:wordWrap/>
              <w:bidi w:val="0"/>
              <w:adjustRightInd/>
              <w:snapToGrid/>
              <w:rPr>
                <w:color w:val="auto"/>
              </w:rPr>
            </w:pPr>
            <w:r>
              <w:rPr>
                <w:color w:val="auto"/>
              </w:rPr>
              <w:t>TP</w:t>
            </w:r>
          </w:p>
        </w:tc>
        <w:tc>
          <w:tcPr>
            <w:tcW w:w="1401" w:type="pct"/>
            <w:tcBorders>
              <w:tl2br w:val="nil"/>
              <w:tr2bl w:val="nil"/>
            </w:tcBorders>
            <w:vAlign w:val="center"/>
          </w:tcPr>
          <w:p w14:paraId="4E772F93">
            <w:pPr>
              <w:pStyle w:val="16"/>
              <w:pageBreakBefore w:val="0"/>
              <w:wordWrap/>
              <w:bidi w:val="0"/>
              <w:adjustRightInd/>
              <w:snapToGrid/>
              <w:rPr>
                <w:color w:val="auto"/>
              </w:rPr>
            </w:pPr>
            <w:r>
              <w:rPr>
                <w:color w:val="auto"/>
              </w:rPr>
              <w:t>40</w:t>
            </w:r>
            <w:r>
              <w:rPr>
                <w:rFonts w:hint="eastAsia"/>
                <w:color w:val="auto"/>
                <w:lang w:eastAsia="zh-CN"/>
              </w:rPr>
              <w:t>~</w:t>
            </w:r>
            <w:r>
              <w:rPr>
                <w:color w:val="auto"/>
              </w:rPr>
              <w:t>60</w:t>
            </w:r>
          </w:p>
        </w:tc>
        <w:tc>
          <w:tcPr>
            <w:tcW w:w="1396" w:type="pct"/>
            <w:tcBorders>
              <w:tl2br w:val="nil"/>
              <w:tr2bl w:val="nil"/>
            </w:tcBorders>
            <w:vAlign w:val="center"/>
          </w:tcPr>
          <w:p w14:paraId="163C4FE8">
            <w:pPr>
              <w:pStyle w:val="16"/>
              <w:pageBreakBefore w:val="0"/>
              <w:wordWrap/>
              <w:bidi w:val="0"/>
              <w:adjustRightInd/>
              <w:snapToGrid/>
              <w:rPr>
                <w:color w:val="auto"/>
              </w:rPr>
            </w:pPr>
            <w:r>
              <w:rPr>
                <w:color w:val="auto"/>
              </w:rPr>
              <w:t>20</w:t>
            </w:r>
            <w:r>
              <w:rPr>
                <w:rFonts w:hint="eastAsia"/>
                <w:color w:val="auto"/>
                <w:lang w:eastAsia="zh-CN"/>
              </w:rPr>
              <w:t>~</w:t>
            </w:r>
            <w:r>
              <w:rPr>
                <w:color w:val="auto"/>
              </w:rPr>
              <w:t>30</w:t>
            </w:r>
          </w:p>
        </w:tc>
        <w:tc>
          <w:tcPr>
            <w:tcW w:w="1549" w:type="pct"/>
            <w:tcBorders>
              <w:tl2br w:val="nil"/>
              <w:tr2bl w:val="nil"/>
            </w:tcBorders>
            <w:vAlign w:val="center"/>
          </w:tcPr>
          <w:p w14:paraId="5582022A">
            <w:pPr>
              <w:pStyle w:val="16"/>
              <w:pageBreakBefore w:val="0"/>
              <w:wordWrap/>
              <w:bidi w:val="0"/>
              <w:adjustRightInd/>
              <w:snapToGrid/>
              <w:rPr>
                <w:color w:val="auto"/>
              </w:rPr>
            </w:pPr>
            <w:r>
              <w:rPr>
                <w:color w:val="auto"/>
              </w:rPr>
              <w:t>60</w:t>
            </w:r>
            <w:r>
              <w:rPr>
                <w:rFonts w:hint="eastAsia"/>
                <w:color w:val="auto"/>
                <w:lang w:eastAsia="zh-CN"/>
              </w:rPr>
              <w:t>~</w:t>
            </w:r>
            <w:r>
              <w:rPr>
                <w:color w:val="auto"/>
              </w:rPr>
              <w:t>80</w:t>
            </w:r>
          </w:p>
        </w:tc>
      </w:tr>
    </w:tbl>
    <w:p w14:paraId="38430792">
      <w:pPr>
        <w:bidi w:val="0"/>
        <w:rPr>
          <w:rFonts w:hint="default"/>
          <w:b/>
          <w:bCs/>
          <w:color w:val="auto"/>
        </w:rPr>
      </w:pPr>
      <w:r>
        <w:rPr>
          <w:rFonts w:hint="default"/>
          <w:b/>
          <w:bCs/>
          <w:color w:val="auto"/>
          <w:lang w:val="en-US" w:eastAsia="zh-CN"/>
        </w:rPr>
        <w:t>4、</w:t>
      </w:r>
      <w:r>
        <w:rPr>
          <w:rFonts w:hint="default"/>
          <w:b/>
          <w:bCs/>
          <w:color w:val="auto"/>
        </w:rPr>
        <w:t>除磷工艺的选择</w:t>
      </w:r>
    </w:p>
    <w:p w14:paraId="5B22AF7A">
      <w:pPr>
        <w:bidi w:val="0"/>
        <w:rPr>
          <w:rFonts w:hint="default"/>
          <w:color w:val="auto"/>
        </w:rPr>
      </w:pPr>
      <w:r>
        <w:rPr>
          <w:rFonts w:hint="default"/>
          <w:color w:val="auto"/>
        </w:rPr>
        <w:t>污水处理技术有：使磷成为不溶性的固体沉淀物从污水中分离出去的化学除磷法和使磷以溶解态为微生物所摄取，与微生物成为一体，并随同微生物从污水中分离出去的生物除磷法。深度处理段通常采用的是化学除磷法。</w:t>
      </w:r>
    </w:p>
    <w:p w14:paraId="7BB971F4">
      <w:pPr>
        <w:bidi w:val="0"/>
        <w:rPr>
          <w:rFonts w:hint="default"/>
          <w:color w:val="auto"/>
        </w:rPr>
      </w:pPr>
      <w:r>
        <w:rPr>
          <w:rFonts w:hint="default"/>
          <w:color w:val="auto"/>
        </w:rPr>
        <w:t>化学除磷法主要有：化学沉淀除磷技术和晶体法除磷技术，应用广泛的是混凝沉淀除磷技术，主要有铝盐沉淀法、铁盐沉淀法、石灰沉淀法。根据本项目实际情况，建议采用铝盐沉淀法。下面就各种沉淀工艺进行论述。</w:t>
      </w:r>
    </w:p>
    <w:p w14:paraId="63D0955F">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1</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斜管沉淀技术</w:t>
      </w:r>
    </w:p>
    <w:p w14:paraId="71D075D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斜管</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斜板</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沉淀池的结构与一般沉淀池相同，是由进口、沉淀区、出口与集泥区四个部分组成，只是在沉淀区设置有许多斜管或斜板。在斜板斜管沉淀池中，按照水流流过斜板的方向，可分为上向流、下向流和平向流三种。水流由下向上通过斜管或斜板，沉淀物由上向下，它们的方向正好相反，这种形式称作上向流</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也称异向流</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。水流向下通过斜管或斜板与沉淀。物的流向相同，这种形式称作下向流</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也称同向流</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。水流以水平方向流动的方式，称为平向流</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也称横向流，仅适用于斜板</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。目前，电厂的水处理中多采用上向流，多以斜管作为组件组成斜管沉淀池。</w:t>
      </w:r>
    </w:p>
    <w:p w14:paraId="2396291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斜管</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斜板</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沉淀池的特点是：</w:t>
      </w:r>
    </w:p>
    <w:p w14:paraId="2C5285FE">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1</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利用了层流原理，水流在板间或管内流动，水力半径很小，所以雷诺数较低，一般情况下，雷诺数Re在200左右，水流呈现层流状态，对沉淀极为有利</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斜管内水流的弗劳德数约在1×10</w:t>
      </w:r>
      <w:r>
        <w:rPr>
          <w:rFonts w:hint="default" w:ascii="Times New Roman" w:hAnsi="Times New Roman" w:cs="Times New Roman" w:eastAsiaTheme="minorEastAsia"/>
          <w:color w:val="auto"/>
          <w:sz w:val="24"/>
          <w:szCs w:val="24"/>
          <w:vertAlign w:val="superscript"/>
        </w:rPr>
        <w:t>-</w:t>
      </w:r>
      <w:r>
        <w:rPr>
          <w:rFonts w:hint="default" w:ascii="Times New Roman" w:hAnsi="Times New Roman" w:cs="Times New Roman" w:eastAsiaTheme="minorEastAsia"/>
          <w:color w:val="auto"/>
          <w:sz w:val="24"/>
          <w:szCs w:val="24"/>
        </w:rPr>
        <w:t>³~1×10</w:t>
      </w:r>
      <w:r>
        <w:rPr>
          <w:rFonts w:hint="default" w:ascii="Times New Roman" w:hAnsi="Times New Roman" w:cs="Times New Roman" w:eastAsiaTheme="minorEastAsia"/>
          <w:color w:val="auto"/>
          <w:sz w:val="24"/>
          <w:szCs w:val="24"/>
          <w:vertAlign w:val="superscript"/>
        </w:rPr>
        <w:t>-</w:t>
      </w:r>
      <w:r>
        <w:rPr>
          <w:rFonts w:hint="default" w:ascii="Times New Roman" w:hAnsi="Times New Roman" w:cs="Times New Roman" w:eastAsiaTheme="minorEastAsia"/>
          <w:color w:val="auto"/>
          <w:sz w:val="24"/>
          <w:szCs w:val="24"/>
        </w:rPr>
        <w:t>⁴之间，水流呈稳定状态。</w:t>
      </w:r>
    </w:p>
    <w:p w14:paraId="2DDE828E">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2</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增加了沉淀池的面积，使沉淀效率提高。当然，由于斜板的具体布置、进出水的影响及板或管内流态的影响等，处理能力不可能达到理论倍数。实际提高的沉淀效率与理论沉淀效率比称为有效系数。</w:t>
      </w:r>
    </w:p>
    <w:p w14:paraId="13EE5687">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3</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缩短了颗粒沉淀距离，使沉淀时间</w:t>
      </w:r>
      <w:r>
        <w:rPr>
          <w:rFonts w:hint="eastAsia" w:cs="Times New Roman" w:eastAsiaTheme="minorEastAsia"/>
          <w:color w:val="auto"/>
          <w:sz w:val="24"/>
          <w:szCs w:val="24"/>
          <w:lang w:eastAsia="zh-CN"/>
        </w:rPr>
        <w:t>大幅</w:t>
      </w:r>
      <w:r>
        <w:rPr>
          <w:rFonts w:hint="default" w:ascii="Times New Roman" w:hAnsi="Times New Roman" w:cs="Times New Roman" w:eastAsiaTheme="minorEastAsia"/>
          <w:color w:val="auto"/>
          <w:sz w:val="24"/>
          <w:szCs w:val="24"/>
        </w:rPr>
        <w:t>缩短。</w:t>
      </w:r>
    </w:p>
    <w:p w14:paraId="140A77F5">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4</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斜板或斜管填料内絮状颗粒的再凝聚，促进了颗粒进一步长大，提高了沉淀效率。</w:t>
      </w:r>
    </w:p>
    <w:p w14:paraId="17B85C61">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缺点：</w:t>
      </w:r>
    </w:p>
    <w:p w14:paraId="7E7823F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1</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相对于高密度沉淀和磁混凝沉淀技术，其负荷低且停留时间长；</w:t>
      </w:r>
    </w:p>
    <w:p w14:paraId="7ED202C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2</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由于沉淀需要较长的水力停留时间，需配建较大的沉淀池，因此该工艺占地面积大、土建工程量大且施工周期较长；</w:t>
      </w:r>
    </w:p>
    <w:p w14:paraId="6EC3ECD2">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3</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因混凝沉淀是通过自然重力让絮体沉淀下来，有些比重不大的絮体由于沉淀时间不够长，导致不完全沉淀，部分随着水流流出导致出水水质不佳。</w:t>
      </w:r>
    </w:p>
    <w:p w14:paraId="7EFBACB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b/>
          <w:bCs/>
          <w:color w:val="auto"/>
          <w:sz w:val="24"/>
          <w:szCs w:val="24"/>
        </w:rPr>
        <w:t>2</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高密度沉淀技术</w:t>
      </w:r>
    </w:p>
    <w:p w14:paraId="460099DE">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eastAsia" w:cs="Times New Roman" w:eastAsiaTheme="minorEastAsia"/>
          <w:color w:val="auto"/>
          <w:sz w:val="24"/>
          <w:szCs w:val="24"/>
          <w:lang w:eastAsia="zh-CN"/>
        </w:rPr>
        <w:t>磁混凝沉淀池</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Densadeg</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是一种紧凑、高效、灵活的新型污水处理工艺，可以广泛地应用于各项领域。</w:t>
      </w:r>
    </w:p>
    <w:p w14:paraId="2BE54256">
      <w:pPr>
        <w:keepNext w:val="0"/>
        <w:keepLines w:val="0"/>
        <w:pageBreakBefore w:val="0"/>
        <w:widowControl/>
        <w:kinsoku w:val="0"/>
        <w:wordWrap/>
        <w:overflowPunct/>
        <w:topLinePunct w:val="0"/>
        <w:autoSpaceDE w:val="0"/>
        <w:autoSpaceDN w:val="0"/>
        <w:bidi w:val="0"/>
        <w:adjustRightInd/>
        <w:snapToGrid/>
        <w:spacing w:line="360" w:lineRule="auto"/>
        <w:ind w:left="0" w:leftChars="0" w:firstLine="0" w:firstLineChars="0"/>
        <w:jc w:val="center"/>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drawing>
          <wp:inline distT="0" distB="0" distL="0" distR="0">
            <wp:extent cx="4777740" cy="2766695"/>
            <wp:effectExtent l="0" t="0" r="3810" b="14605"/>
            <wp:docPr id="158" name="IM 36"/>
            <wp:cNvGraphicFramePr/>
            <a:graphic xmlns:a="http://schemas.openxmlformats.org/drawingml/2006/main">
              <a:graphicData uri="http://schemas.openxmlformats.org/drawingml/2006/picture">
                <pic:pic xmlns:pic="http://schemas.openxmlformats.org/drawingml/2006/picture">
                  <pic:nvPicPr>
                    <pic:cNvPr id="158" name="IM 36"/>
                    <pic:cNvPicPr/>
                  </pic:nvPicPr>
                  <pic:blipFill>
                    <a:blip r:embed="rId49"/>
                    <a:stretch>
                      <a:fillRect/>
                    </a:stretch>
                  </pic:blipFill>
                  <pic:spPr>
                    <a:xfrm>
                      <a:off x="0" y="0"/>
                      <a:ext cx="4777740" cy="2766695"/>
                    </a:xfrm>
                    <a:prstGeom prst="rect">
                      <a:avLst/>
                    </a:prstGeom>
                  </pic:spPr>
                </pic:pic>
              </a:graphicData>
            </a:graphic>
          </wp:inline>
        </w:drawing>
      </w:r>
    </w:p>
    <w:p w14:paraId="44F363E9">
      <w:pPr>
        <w:pStyle w:val="19"/>
        <w:numPr>
          <w:ilvl w:val="0"/>
          <w:numId w:val="0"/>
        </w:numPr>
        <w:tabs>
          <w:tab w:val="clear" w:pos="0"/>
        </w:tabs>
        <w:bidi w:val="0"/>
        <w:ind w:leftChars="0"/>
        <w:jc w:val="center"/>
        <w:rPr>
          <w:rFonts w:hint="default"/>
          <w:color w:val="auto"/>
        </w:rPr>
      </w:pPr>
      <w:r>
        <w:rPr>
          <w:color w:val="auto"/>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3</w:t>
      </w:r>
      <w:r>
        <w:rPr>
          <w:color w:val="auto"/>
        </w:rPr>
        <w:fldChar w:fldCharType="end"/>
      </w:r>
      <w:r>
        <w:rPr>
          <w:rFonts w:hint="eastAsia"/>
          <w:color w:val="auto"/>
          <w:lang w:val="en-US" w:eastAsia="zh-CN"/>
        </w:rPr>
        <w:t xml:space="preserve"> </w:t>
      </w:r>
      <w:r>
        <w:rPr>
          <w:rFonts w:hint="eastAsia"/>
          <w:color w:val="auto"/>
          <w:lang w:eastAsia="zh-CN"/>
        </w:rPr>
        <w:t>磁混凝沉淀池</w:t>
      </w:r>
      <w:r>
        <w:rPr>
          <w:rFonts w:hint="default"/>
          <w:color w:val="auto"/>
        </w:rPr>
        <w:t>的结构剖面图</w:t>
      </w:r>
    </w:p>
    <w:p w14:paraId="2435D94B">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lang w:eastAsia="zh-CN"/>
        </w:rPr>
      </w:pPr>
      <w:bookmarkStart w:id="80" w:name="bookmark66"/>
      <w:bookmarkEnd w:id="80"/>
      <w:r>
        <w:rPr>
          <w:rFonts w:hint="default" w:ascii="Times New Roman" w:hAnsi="Times New Roman" w:cs="Times New Roman" w:eastAsiaTheme="minorEastAsia"/>
          <w:b/>
          <w:bCs/>
          <w:color w:val="auto"/>
          <w:sz w:val="24"/>
          <w:szCs w:val="24"/>
        </w:rPr>
        <w:t>工艺流程</w:t>
      </w:r>
      <w:r>
        <w:rPr>
          <w:rFonts w:hint="default" w:ascii="Times New Roman" w:hAnsi="Times New Roman" w:cs="Times New Roman" w:eastAsiaTheme="minorEastAsia"/>
          <w:b/>
          <w:bCs/>
          <w:color w:val="auto"/>
          <w:sz w:val="24"/>
          <w:szCs w:val="24"/>
          <w:lang w:eastAsia="zh-CN"/>
        </w:rPr>
        <w:t>：</w:t>
      </w:r>
    </w:p>
    <w:p w14:paraId="4A885C64">
      <w:pPr>
        <w:pageBreakBefore w:val="0"/>
        <w:wordWrap/>
        <w:bidi w:val="0"/>
        <w:adjustRightInd/>
        <w:snapToGrid/>
        <w:rPr>
          <w:rFonts w:hint="default"/>
          <w:color w:val="auto"/>
        </w:rPr>
      </w:pPr>
      <w:r>
        <w:rPr>
          <w:rFonts w:hint="default"/>
          <w:color w:val="auto"/>
        </w:rPr>
        <w:t>在混合池内设置快速搅拌机，使投加的混凝剂快速分散，与池内原水充分混合均匀，用以形成小的絮体。混凝剂一般为氯化铁，主要作用是使悬浮颗粒脱稳</w:t>
      </w:r>
      <w:r>
        <w:rPr>
          <w:rFonts w:hint="default"/>
          <w:color w:val="auto"/>
          <w:lang w:eastAsia="zh-CN"/>
        </w:rPr>
        <w:t>。</w:t>
      </w:r>
      <w:r>
        <w:rPr>
          <w:rFonts w:hint="default"/>
          <w:color w:val="auto"/>
        </w:rPr>
        <w:t>经过预混凝的原水流至反应池内圆形导流筒的底部，原水、回流污泥和助凝剂由导流筒内的搅拌桨由下至上混合均匀。由慢速搅拌反应池和推流式反应池组成串联反应单元，</w:t>
      </w:r>
      <w:r>
        <w:rPr>
          <w:rFonts w:hint="eastAsia"/>
          <w:color w:val="auto"/>
          <w:lang w:eastAsia="zh-CN"/>
        </w:rPr>
        <w:t>以</w:t>
      </w:r>
      <w:r>
        <w:rPr>
          <w:rFonts w:hint="default"/>
          <w:color w:val="auto"/>
        </w:rPr>
        <w:t>获得较大的絮体，达到沉淀区内快速沉淀。带有污泥回流的快速絮凝，由快速搅拌器搅拌，以确保快速絮凝及絮凝所需要的能量。絮凝剂投加在搅拌器的下方。从污泥浓缩区到快速絮凝区进行连续的外部泥渣回流，极高的污泥浓度提高了絮凝的效果。絮凝矾花慢速地进入到沉淀区，这样可以避免矾花损坏。絮凝矾花在沉淀池下部汇集成污泥并浓缩。斜板设置在沉淀池的上部，用于去除多余的矾花，保证出水水质。部分浓缩污泥在浓缩区内由污泥循环泵送至反应池入口，另一部分剩余污泥由污泥泵抽出，送至污泥脱水间或进行其他处理。</w:t>
      </w:r>
    </w:p>
    <w:p w14:paraId="065B0B60">
      <w:pPr>
        <w:pageBreakBefore w:val="0"/>
        <w:wordWrap/>
        <w:bidi w:val="0"/>
        <w:adjustRightInd/>
        <w:snapToGrid/>
        <w:rPr>
          <w:rFonts w:hint="default"/>
          <w:color w:val="auto"/>
        </w:rPr>
      </w:pPr>
      <w:r>
        <w:rPr>
          <w:rFonts w:hint="default"/>
          <w:color w:val="auto"/>
        </w:rPr>
        <w:t>沉淀浓缩区保证了矾花增长所需的慢速絮凝，生成的矾花具有较高的密度。然后水慢速流至沉淀区以保证矾花的完整性。高密池底部刮泥机的连续刮扫促进了沉淀区污泥的浓缩。</w:t>
      </w:r>
    </w:p>
    <w:p w14:paraId="0838882C">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lang w:eastAsia="zh-CN"/>
        </w:rPr>
      </w:pPr>
      <w:r>
        <w:rPr>
          <w:rFonts w:hint="default" w:ascii="Times New Roman" w:hAnsi="Times New Roman" w:cs="Times New Roman" w:eastAsiaTheme="minorEastAsia"/>
          <w:b/>
          <w:bCs/>
          <w:color w:val="auto"/>
          <w:sz w:val="24"/>
          <w:szCs w:val="24"/>
        </w:rPr>
        <w:t>工艺特点</w:t>
      </w:r>
      <w:r>
        <w:rPr>
          <w:rFonts w:hint="default" w:ascii="Times New Roman" w:hAnsi="Times New Roman" w:cs="Times New Roman" w:eastAsiaTheme="minorEastAsia"/>
          <w:b/>
          <w:bCs/>
          <w:color w:val="auto"/>
          <w:sz w:val="24"/>
          <w:szCs w:val="24"/>
          <w:lang w:eastAsia="zh-CN"/>
        </w:rPr>
        <w:t>：</w:t>
      </w:r>
    </w:p>
    <w:p w14:paraId="2426FF4F">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1</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可产生较大的矾花，污泥回流可进一步增加矾花的密度和沉降性能，加快其沉淀速度。</w:t>
      </w:r>
    </w:p>
    <w:p w14:paraId="66CF435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2</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从慢速推流反应区到斜板沉淀区矾花能保持完整，并且产生的矾花颗粒大、密度高。</w:t>
      </w:r>
    </w:p>
    <w:p w14:paraId="6DFC8291">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3</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高效的斜板沉淀可保证沉淀区较高的上升流速</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可达10</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20m/h</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絮凝矾花可得到很好的沉淀。</w:t>
      </w:r>
    </w:p>
    <w:p w14:paraId="43107E6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4</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处理效率高。作为深度处理，出水TP可到0.2mg/L以下，SS可到10mg/L以下。</w:t>
      </w:r>
    </w:p>
    <w:p w14:paraId="64256FB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5</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集混凝、沉淀和浓缩功能为一体的水处理构筑物，结构紧凑，降低了土建造价并且节约了建设用地。</w:t>
      </w:r>
    </w:p>
    <w:p w14:paraId="10D9C36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6</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运行费用较高，因此需对药剂的投加进行优化控制，以使完整的运行费用降至最低。</w:t>
      </w:r>
    </w:p>
    <w:p w14:paraId="4401E5FE">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3</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微砂沉淀技术</w:t>
      </w:r>
    </w:p>
    <w:p w14:paraId="27A2178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微砂沉淀工艺与传统的水处理技术</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混凝、絮凝和沉淀</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原理很相似，都使用混凝剂脱稳，高分子絮凝剂聚集悬浮物，斜管</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管</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沉淀去除悬浮物。微砂沉淀工艺的改进是加入了微砂作为形成高密度絮体的</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种子</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和压载物，絮体从而具有较大的密度而更容易被沉淀去除。</w:t>
      </w:r>
    </w:p>
    <w:p w14:paraId="685B110A">
      <w:pPr>
        <w:keepNext w:val="0"/>
        <w:keepLines w:val="0"/>
        <w:pageBreakBefore w:val="0"/>
        <w:widowControl/>
        <w:kinsoku w:val="0"/>
        <w:wordWrap/>
        <w:overflowPunct/>
        <w:topLinePunct w:val="0"/>
        <w:autoSpaceDE w:val="0"/>
        <w:autoSpaceDN w:val="0"/>
        <w:bidi w:val="0"/>
        <w:adjustRightInd/>
        <w:snapToGrid/>
        <w:spacing w:line="360" w:lineRule="auto"/>
        <w:ind w:left="0" w:leftChars="0" w:firstLine="0" w:firstLineChars="0"/>
        <w:jc w:val="center"/>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rPr>
        <w:drawing>
          <wp:inline distT="0" distB="0" distL="114300" distR="114300">
            <wp:extent cx="5080000" cy="3035935"/>
            <wp:effectExtent l="0" t="0" r="6350" b="12065"/>
            <wp:docPr id="1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
                    <pic:cNvPicPr>
                      <a:picLocks noChangeAspect="1"/>
                    </pic:cNvPicPr>
                  </pic:nvPicPr>
                  <pic:blipFill>
                    <a:blip r:embed="rId50"/>
                    <a:stretch>
                      <a:fillRect/>
                    </a:stretch>
                  </pic:blipFill>
                  <pic:spPr>
                    <a:xfrm>
                      <a:off x="0" y="0"/>
                      <a:ext cx="5080000" cy="3035935"/>
                    </a:xfrm>
                    <a:prstGeom prst="rect">
                      <a:avLst/>
                    </a:prstGeom>
                    <a:noFill/>
                    <a:ln>
                      <a:noFill/>
                    </a:ln>
                  </pic:spPr>
                </pic:pic>
              </a:graphicData>
            </a:graphic>
          </wp:inline>
        </w:drawing>
      </w:r>
    </w:p>
    <w:p w14:paraId="611DE80B">
      <w:pPr>
        <w:pStyle w:val="19"/>
        <w:numPr>
          <w:ilvl w:val="0"/>
          <w:numId w:val="0"/>
        </w:numPr>
        <w:tabs>
          <w:tab w:val="clear" w:pos="0"/>
        </w:tabs>
        <w:bidi w:val="0"/>
        <w:ind w:leftChars="0"/>
        <w:jc w:val="center"/>
        <w:rPr>
          <w:rFonts w:hint="default"/>
          <w:color w:val="auto"/>
        </w:rPr>
      </w:pPr>
      <w:r>
        <w:rPr>
          <w:color w:val="auto"/>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4</w:t>
      </w:r>
      <w:r>
        <w:rPr>
          <w:color w:val="auto"/>
        </w:rPr>
        <w:fldChar w:fldCharType="end"/>
      </w:r>
      <w:r>
        <w:rPr>
          <w:rFonts w:hint="eastAsia"/>
          <w:color w:val="auto"/>
          <w:lang w:val="en-US" w:eastAsia="zh-CN"/>
        </w:rPr>
        <w:t xml:space="preserve"> </w:t>
      </w:r>
      <w:r>
        <w:rPr>
          <w:rFonts w:hint="default"/>
          <w:color w:val="auto"/>
        </w:rPr>
        <w:t>微砂絮凝沉淀工艺流程原理图</w:t>
      </w:r>
    </w:p>
    <w:p w14:paraId="1D41B472">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预混凝池</w:t>
      </w:r>
      <w:r>
        <w:rPr>
          <w:rFonts w:hint="default" w:ascii="Times New Roman" w:hAnsi="Times New Roman" w:cs="Times New Roman" w:eastAsiaTheme="minorEastAsia"/>
          <w:color w:val="auto"/>
          <w:sz w:val="24"/>
          <w:szCs w:val="24"/>
          <w:lang w:eastAsia="zh-CN"/>
        </w:rPr>
        <w:t>：</w:t>
      </w:r>
    </w:p>
    <w:p w14:paraId="14D8E29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原水进入集成设备的第一个混合池</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快速搅拌，预混凝池</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。投加混凝剂与原水进行充分的混合。</w:t>
      </w:r>
    </w:p>
    <w:p w14:paraId="760F37E8">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混凝池</w:t>
      </w:r>
      <w:r>
        <w:rPr>
          <w:rFonts w:hint="default" w:ascii="Times New Roman" w:hAnsi="Times New Roman" w:cs="Times New Roman" w:eastAsiaTheme="minorEastAsia"/>
          <w:color w:val="auto"/>
          <w:sz w:val="24"/>
          <w:szCs w:val="24"/>
          <w:lang w:eastAsia="zh-CN"/>
        </w:rPr>
        <w:t>：</w:t>
      </w:r>
    </w:p>
    <w:p w14:paraId="0D41576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混合后原水进入第二个混合池</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快速搅拌，混凝池</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。悬浮固体和胶体物质在这里脱稳并形成细小的矾花。</w:t>
      </w:r>
    </w:p>
    <w:p w14:paraId="4A8EDE5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絮凝池</w:t>
      </w:r>
      <w:r>
        <w:rPr>
          <w:rFonts w:hint="default" w:ascii="Times New Roman" w:hAnsi="Times New Roman" w:cs="Times New Roman" w:eastAsiaTheme="minorEastAsia"/>
          <w:color w:val="auto"/>
          <w:sz w:val="24"/>
          <w:szCs w:val="24"/>
          <w:lang w:eastAsia="zh-CN"/>
        </w:rPr>
        <w:t>：</w:t>
      </w:r>
    </w:p>
    <w:p w14:paraId="69E9029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混凝后出水进入第三个混合池</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慢速搅拌，絮凝池</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w:t>
      </w:r>
    </w:p>
    <w:p w14:paraId="377CF185">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投加微砂</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循环利用</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和絮凝剂，微砂形成絮体的致密核心，高分子絮凝剂用于微砂和脱稳颗粒之间的架桥作用，以形成高密度的矾花。连续温和的搅拌可以形成利于矾花长大的环境。搅拌器装有手动变频器，以在调试阶段选择合适的搅拌速度。</w:t>
      </w:r>
    </w:p>
    <w:p w14:paraId="7261633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微砂的主要作用如下：</w:t>
      </w:r>
    </w:p>
    <w:p w14:paraId="357C0A6F">
      <w:pPr>
        <w:keepNext w:val="0"/>
        <w:keepLines w:val="0"/>
        <w:pageBreakBefore w:val="0"/>
        <w:widowControl/>
        <w:numPr>
          <w:ilvl w:val="0"/>
          <w:numId w:val="19"/>
        </w:numPr>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微砂的较高的比表面积可以作为絮体形成的种子</w:t>
      </w:r>
      <w:r>
        <w:rPr>
          <w:rFonts w:hint="default" w:ascii="Times New Roman" w:hAnsi="Times New Roman" w:cs="Times New Roman" w:eastAsiaTheme="minorEastAsia"/>
          <w:color w:val="auto"/>
          <w:sz w:val="24"/>
          <w:szCs w:val="24"/>
          <w:lang w:eastAsia="zh-CN"/>
        </w:rPr>
        <w:t>。</w:t>
      </w:r>
    </w:p>
    <w:p w14:paraId="320BA8C0">
      <w:pPr>
        <w:keepNext w:val="0"/>
        <w:keepLines w:val="0"/>
        <w:pageBreakBefore w:val="0"/>
        <w:widowControl/>
        <w:numPr>
          <w:ilvl w:val="0"/>
          <w:numId w:val="19"/>
        </w:numPr>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微砂和聚合物提高了颗粒的捕捉，从而形成大和稳定的絮体。</w:t>
      </w:r>
    </w:p>
    <w:p w14:paraId="65A6DC4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3</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与传统工艺相比，使用微砂形成的絮体具有较大的密度和较高的稳定性。这些絮体具有更高的沉淀速度从而允许更高的上升流速。</w:t>
      </w:r>
    </w:p>
    <w:p w14:paraId="373C5E4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4</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较高的上升流速使微砂工艺的体积和占地面积更小，极大的减少了建筑成本。</w:t>
      </w:r>
    </w:p>
    <w:p w14:paraId="2E9C466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5</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高浓度的微砂极大的改善了原水的水质。</w:t>
      </w:r>
    </w:p>
    <w:p w14:paraId="3DE36D55">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6</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微砂不会发生化学反应，可以从污泥中分离并被循环使用。</w:t>
      </w:r>
    </w:p>
    <w:p w14:paraId="09949E15">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沉淀池</w:t>
      </w:r>
      <w:r>
        <w:rPr>
          <w:rFonts w:hint="default" w:ascii="Times New Roman" w:hAnsi="Times New Roman" w:cs="Times New Roman" w:eastAsiaTheme="minorEastAsia"/>
          <w:color w:val="auto"/>
          <w:sz w:val="24"/>
          <w:szCs w:val="24"/>
          <w:lang w:eastAsia="zh-CN"/>
        </w:rPr>
        <w:t>：</w:t>
      </w:r>
    </w:p>
    <w:p w14:paraId="12F3582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经过微砂加重的矾花从絮凝池离开，进入沉淀池。沉淀池中装有斜板模块，斜板长为0.8m</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倾斜角度60</w:t>
      </w:r>
      <w:r>
        <w:rPr>
          <w:rFonts w:hint="default" w:ascii="Times New Roman" w:hAnsi="Times New Roman" w:cs="Times New Roman" w:eastAsiaTheme="minorEastAsia"/>
          <w:color w:val="auto"/>
          <w:sz w:val="24"/>
          <w:szCs w:val="24"/>
          <w:lang w:val="en-US" w:eastAsia="zh-CN"/>
        </w:rPr>
        <w:t>°</w:t>
      </w:r>
      <w:r>
        <w:rPr>
          <w:rFonts w:hint="default" w:ascii="Times New Roman" w:hAnsi="Times New Roman" w:cs="Times New Roman" w:eastAsiaTheme="minorEastAsia"/>
          <w:color w:val="auto"/>
          <w:sz w:val="24"/>
          <w:szCs w:val="24"/>
        </w:rPr>
        <w:t>安装。</w:t>
      </w:r>
    </w:p>
    <w:p w14:paraId="4F88D33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由斜板组成的沉淀区帮助快速和有效的去除微砂和矾花形成的污泥。污泥沉淀在沉淀池底部的泥斗中被循环泵连续抽出。澄清的出水由安装在斜板上方长方形的集水槽收集排放，集水槽上装有高度可调的堰，用于保证水流的平均分配。</w:t>
      </w:r>
    </w:p>
    <w:p w14:paraId="4DFEE88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微砂循环泵</w:t>
      </w:r>
      <w:r>
        <w:rPr>
          <w:rFonts w:hint="default" w:ascii="Times New Roman" w:hAnsi="Times New Roman" w:cs="Times New Roman" w:eastAsiaTheme="minorEastAsia"/>
          <w:color w:val="auto"/>
          <w:sz w:val="24"/>
          <w:szCs w:val="24"/>
          <w:lang w:eastAsia="zh-CN"/>
        </w:rPr>
        <w:t>：</w:t>
      </w:r>
    </w:p>
    <w:p w14:paraId="26F8746F">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循环泵为离心泥浆泵，叶轮和泵壳都需要有橡胶内衬。该循环泵连续运行，由变频器控制。循环泵连续抽出沉淀池底部泥斗中的污泥</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微砂和絮体混合物</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以防止堵塞，然后送入水力旋流器。循环率意指循环的污泥/微砂和处理水量之间的比例，数值的多少依赖于进水水质的情况，大约9%进水量。</w:t>
      </w:r>
    </w:p>
    <w:p w14:paraId="209850B2">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水力旋流器</w:t>
      </w:r>
      <w:r>
        <w:rPr>
          <w:rFonts w:hint="default" w:ascii="Times New Roman" w:hAnsi="Times New Roman" w:cs="Times New Roman" w:eastAsiaTheme="minorEastAsia"/>
          <w:color w:val="auto"/>
          <w:sz w:val="24"/>
          <w:szCs w:val="24"/>
          <w:lang w:eastAsia="zh-CN"/>
        </w:rPr>
        <w:t>：</w:t>
      </w:r>
      <w:bookmarkStart w:id="81" w:name="bookmark67"/>
      <w:bookmarkEnd w:id="81"/>
    </w:p>
    <w:p w14:paraId="16715C11">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微砂和化学污泥组成的泥浆被循环泵送入水力旋流器。来自循环泵的能量被转化为离心力在水力旋流器的进口处形成涡流作用，作用在颗粒上的离心力使较轻的化学污泥和密度较高的微砂被分离。微砂颗粒的密度较高，在离心力的作用下被送往水力旋流器的外壁，然后从水力旋流器的下端排出，并回流至絮凝池，污泥颗粒则从水力旋流器的上部溢流而出，通常去浓缩处理。</w:t>
      </w:r>
    </w:p>
    <w:p w14:paraId="11F06BF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微砂的损失和补充</w:t>
      </w:r>
      <w:r>
        <w:rPr>
          <w:rFonts w:hint="default" w:ascii="Times New Roman" w:hAnsi="Times New Roman" w:cs="Times New Roman" w:eastAsiaTheme="minorEastAsia"/>
          <w:color w:val="auto"/>
          <w:sz w:val="24"/>
          <w:szCs w:val="24"/>
          <w:lang w:eastAsia="zh-CN"/>
        </w:rPr>
        <w:t>：</w:t>
      </w:r>
    </w:p>
    <w:p w14:paraId="09BB0B0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微砂的粒度系数和水力分离器的选择性能保证了微砂的分离和循环。通过水力分离器的溢流损失微砂量3</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5g/</w:t>
      </w:r>
      <w:r>
        <w:rPr>
          <w:rFonts w:hint="eastAsia" w:cs="Times New Roman" w:eastAsiaTheme="minorEastAsia"/>
          <w:color w:val="auto"/>
          <w:sz w:val="24"/>
          <w:szCs w:val="24"/>
          <w:lang w:val="en-US" w:eastAsia="zh-CN"/>
        </w:rPr>
        <w:t>m³</w:t>
      </w:r>
      <w:r>
        <w:rPr>
          <w:rFonts w:hint="default" w:ascii="Times New Roman" w:hAnsi="Times New Roman" w:cs="Times New Roman" w:eastAsiaTheme="minorEastAsia"/>
          <w:color w:val="auto"/>
          <w:sz w:val="24"/>
          <w:szCs w:val="24"/>
        </w:rPr>
        <w:t>处理水，这个损失可以定期进行投加补充。</w:t>
      </w:r>
    </w:p>
    <w:p w14:paraId="67A66FD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eastAsia" w:cs="Times New Roman" w:eastAsiaTheme="minorEastAsia"/>
          <w:color w:val="auto"/>
          <w:sz w:val="24"/>
          <w:szCs w:val="24"/>
          <w:lang w:eastAsia="zh-CN"/>
        </w:rPr>
        <w:t>排出</w:t>
      </w:r>
      <w:r>
        <w:rPr>
          <w:rFonts w:hint="default" w:ascii="Times New Roman" w:hAnsi="Times New Roman" w:cs="Times New Roman" w:eastAsiaTheme="minorEastAsia"/>
          <w:color w:val="auto"/>
          <w:sz w:val="24"/>
          <w:szCs w:val="24"/>
        </w:rPr>
        <w:t>的污泥中含有很少量的微砂，按照我们的经验，污泥中含有的微砂不会对污泥的性质和处理产生特别的影响。</w:t>
      </w:r>
    </w:p>
    <w:p w14:paraId="249D02C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磁混凝沉淀技术</w:t>
      </w:r>
      <w:r>
        <w:rPr>
          <w:rFonts w:hint="default" w:ascii="Times New Roman" w:hAnsi="Times New Roman" w:cs="Times New Roman" w:eastAsiaTheme="minorEastAsia"/>
          <w:color w:val="auto"/>
          <w:sz w:val="24"/>
          <w:szCs w:val="24"/>
          <w:lang w:eastAsia="zh-CN"/>
        </w:rPr>
        <w:t>：</w:t>
      </w:r>
    </w:p>
    <w:p w14:paraId="7CD7A580">
      <w:pPr>
        <w:bidi w:val="0"/>
        <w:rPr>
          <w:rFonts w:hint="default"/>
          <w:color w:val="auto"/>
        </w:rPr>
      </w:pPr>
      <w:r>
        <w:rPr>
          <w:rFonts w:hint="default"/>
          <w:color w:val="auto"/>
        </w:rPr>
        <w:t>磁混凝沉淀系统技术是以重介质加载沉淀技术为基础，利用常规的絮凝沉淀法，通过在混凝阶段投加高效可回收的磁介质提高絮体的沉降速度，并辅以污泥回流装置来提高混凝反应效果的技术。</w:t>
      </w:r>
    </w:p>
    <w:p w14:paraId="52E4B805">
      <w:pPr>
        <w:bidi w:val="0"/>
        <w:rPr>
          <w:rFonts w:hint="default"/>
          <w:color w:val="auto"/>
        </w:rPr>
      </w:pPr>
      <w:r>
        <w:rPr>
          <w:rFonts w:hint="default"/>
          <w:color w:val="auto"/>
        </w:rPr>
        <w:t>由于磁介质的比重较大，通过在絮凝反应过程中和絮体有效地进行结合，使絮体大而密实，可以有效提高絮体的比重，在澄清池中高速沉降，以此有效提高澄清池的处理效率。</w:t>
      </w:r>
    </w:p>
    <w:p w14:paraId="4950C762">
      <w:pPr>
        <w:bidi w:val="0"/>
        <w:ind w:left="0" w:leftChars="0" w:firstLine="0" w:firstLineChars="0"/>
        <w:jc w:val="center"/>
        <w:rPr>
          <w:rFonts w:hint="default" w:ascii="Times New Roman" w:hAnsi="Times New Roman" w:cs="Times New Roman" w:eastAsiaTheme="minorEastAsia"/>
          <w:color w:val="auto"/>
          <w:szCs w:val="24"/>
        </w:rPr>
      </w:pPr>
      <w:r>
        <w:rPr>
          <w:rFonts w:hint="default" w:ascii="Times New Roman" w:hAnsi="Times New Roman" w:cs="Times New Roman" w:eastAsiaTheme="minorEastAsia"/>
          <w:color w:val="auto"/>
          <w:szCs w:val="24"/>
        </w:rPr>
        <w:drawing>
          <wp:inline distT="0" distB="0" distL="0" distR="0">
            <wp:extent cx="4977765" cy="2393315"/>
            <wp:effectExtent l="0" t="0" r="13335" b="6985"/>
            <wp:docPr id="160" name="IM 38"/>
            <wp:cNvGraphicFramePr/>
            <a:graphic xmlns:a="http://schemas.openxmlformats.org/drawingml/2006/main">
              <a:graphicData uri="http://schemas.openxmlformats.org/drawingml/2006/picture">
                <pic:pic xmlns:pic="http://schemas.openxmlformats.org/drawingml/2006/picture">
                  <pic:nvPicPr>
                    <pic:cNvPr id="160" name="IM 38"/>
                    <pic:cNvPicPr/>
                  </pic:nvPicPr>
                  <pic:blipFill>
                    <a:blip r:embed="rId51"/>
                    <a:stretch>
                      <a:fillRect/>
                    </a:stretch>
                  </pic:blipFill>
                  <pic:spPr>
                    <a:xfrm>
                      <a:off x="0" y="0"/>
                      <a:ext cx="4978373" cy="2393931"/>
                    </a:xfrm>
                    <a:prstGeom prst="rect">
                      <a:avLst/>
                    </a:prstGeom>
                  </pic:spPr>
                </pic:pic>
              </a:graphicData>
            </a:graphic>
          </wp:inline>
        </w:drawing>
      </w:r>
    </w:p>
    <w:p w14:paraId="2A4E82A5">
      <w:pPr>
        <w:pStyle w:val="19"/>
        <w:numPr>
          <w:ilvl w:val="0"/>
          <w:numId w:val="0"/>
        </w:numPr>
        <w:tabs>
          <w:tab w:val="clear" w:pos="0"/>
        </w:tabs>
        <w:bidi w:val="0"/>
        <w:ind w:leftChars="0"/>
        <w:jc w:val="center"/>
        <w:rPr>
          <w:rFonts w:hint="default"/>
          <w:color w:val="auto"/>
        </w:rPr>
      </w:pPr>
      <w:r>
        <w:rPr>
          <w:color w:val="auto"/>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5</w:t>
      </w:r>
      <w:r>
        <w:rPr>
          <w:color w:val="auto"/>
        </w:rPr>
        <w:fldChar w:fldCharType="end"/>
      </w:r>
      <w:r>
        <w:rPr>
          <w:rFonts w:hint="eastAsia"/>
          <w:color w:val="auto"/>
          <w:lang w:val="en-US" w:eastAsia="zh-CN"/>
        </w:rPr>
        <w:t xml:space="preserve"> </w:t>
      </w:r>
      <w:r>
        <w:rPr>
          <w:rFonts w:hint="default"/>
          <w:color w:val="auto"/>
        </w:rPr>
        <w:t>磁混凝沉淀工艺流程图</w:t>
      </w:r>
    </w:p>
    <w:p w14:paraId="57F1BDA9">
      <w:pPr>
        <w:bidi w:val="0"/>
        <w:rPr>
          <w:rFonts w:hint="default"/>
          <w:color w:val="auto"/>
        </w:rPr>
      </w:pPr>
      <w:r>
        <w:rPr>
          <w:rFonts w:hint="default"/>
          <w:color w:val="auto"/>
        </w:rPr>
        <w:t>系统来水经配水井配水后进入混凝装置</w:t>
      </w:r>
      <w:r>
        <w:rPr>
          <w:rFonts w:hint="default"/>
          <w:color w:val="auto"/>
          <w:lang w:eastAsia="zh-CN"/>
        </w:rPr>
        <w:t>（</w:t>
      </w:r>
      <w:r>
        <w:rPr>
          <w:rFonts w:hint="default"/>
          <w:color w:val="auto"/>
        </w:rPr>
        <w:t>含磁介质混合反应池及絮凝反应池</w:t>
      </w:r>
      <w:r>
        <w:rPr>
          <w:rFonts w:hint="default"/>
          <w:color w:val="auto"/>
          <w:lang w:eastAsia="zh-CN"/>
        </w:rPr>
        <w:t>），</w:t>
      </w:r>
      <w:r>
        <w:rPr>
          <w:rFonts w:hint="default"/>
          <w:color w:val="auto"/>
        </w:rPr>
        <w:t>通过投加PAC、PAM、磁介质</w:t>
      </w:r>
      <w:r>
        <w:rPr>
          <w:rFonts w:hint="default"/>
          <w:color w:val="auto"/>
          <w:lang w:eastAsia="zh-CN"/>
        </w:rPr>
        <w:t>（</w:t>
      </w:r>
      <w:r>
        <w:rPr>
          <w:rFonts w:hint="default"/>
          <w:color w:val="auto"/>
        </w:rPr>
        <w:t>含回收磁介质</w:t>
      </w:r>
      <w:r>
        <w:rPr>
          <w:rFonts w:hint="default"/>
          <w:color w:val="auto"/>
          <w:lang w:eastAsia="zh-CN"/>
        </w:rPr>
        <w:t>）</w:t>
      </w:r>
      <w:r>
        <w:rPr>
          <w:rFonts w:hint="default"/>
          <w:color w:val="auto"/>
        </w:rPr>
        <w:t>进行混凝反应，生成大颗粒的</w:t>
      </w:r>
      <w:r>
        <w:rPr>
          <w:rFonts w:hint="eastAsia"/>
          <w:color w:val="auto"/>
          <w:lang w:eastAsia="zh-CN"/>
        </w:rPr>
        <w:t>“</w:t>
      </w:r>
      <w:r>
        <w:rPr>
          <w:rFonts w:hint="default"/>
          <w:color w:val="auto"/>
        </w:rPr>
        <w:t>磁性絮团</w:t>
      </w:r>
      <w:r>
        <w:rPr>
          <w:rFonts w:hint="eastAsia"/>
          <w:color w:val="auto"/>
          <w:lang w:eastAsia="zh-CN"/>
        </w:rPr>
        <w:t>”</w:t>
      </w:r>
      <w:r>
        <w:rPr>
          <w:rFonts w:hint="default"/>
          <w:color w:val="auto"/>
          <w:lang w:eastAsia="zh-CN"/>
        </w:rPr>
        <w:t>，</w:t>
      </w:r>
      <w:r>
        <w:rPr>
          <w:rFonts w:hint="default"/>
          <w:color w:val="auto"/>
        </w:rPr>
        <w:t>进入斜管澄清池。</w:t>
      </w:r>
    </w:p>
    <w:p w14:paraId="61AD5D8E">
      <w:pPr>
        <w:bidi w:val="0"/>
        <w:rPr>
          <w:rFonts w:hint="default"/>
          <w:color w:val="auto"/>
        </w:rPr>
      </w:pPr>
      <w:r>
        <w:rPr>
          <w:rFonts w:hint="default"/>
          <w:color w:val="auto"/>
        </w:rPr>
        <w:t>斜管澄清池结合传统斜管沉淀池原理，水流自下而上，通过斜管快速进行泥水分离，处理后的清水溢流至集水槽并排放出水，污泥通过斜管澄清池下的刮泥机收纳到泥斗。</w:t>
      </w:r>
    </w:p>
    <w:p w14:paraId="231EA699">
      <w:pPr>
        <w:bidi w:val="0"/>
        <w:rPr>
          <w:rFonts w:hint="default"/>
          <w:color w:val="auto"/>
        </w:rPr>
      </w:pPr>
      <w:r>
        <w:rPr>
          <w:rFonts w:hint="default"/>
          <w:color w:val="auto"/>
        </w:rPr>
        <w:t>澄清池泥斗内的污泥通过污泥泵提升，一部分通过回流污泥泵回流至混合反应池，剩余部分通过剩余污泥泵输送至磁回收机，通过磁回收机分离出污泥和磁介质，磁介质回流至磁介质混合反应池重复使用，不含磁介质的污泥排入厂区原有污泥处理系统。</w:t>
      </w:r>
    </w:p>
    <w:p w14:paraId="2F1E5859">
      <w:pPr>
        <w:bidi w:val="0"/>
        <w:rPr>
          <w:rFonts w:hint="default"/>
          <w:color w:val="auto"/>
          <w:lang w:eastAsia="zh-CN"/>
        </w:rPr>
      </w:pPr>
      <w:r>
        <w:rPr>
          <w:rFonts w:hint="default"/>
          <w:color w:val="auto"/>
        </w:rPr>
        <w:t>主要特点</w:t>
      </w:r>
      <w:r>
        <w:rPr>
          <w:rFonts w:hint="default"/>
          <w:color w:val="auto"/>
          <w:lang w:eastAsia="zh-CN"/>
        </w:rPr>
        <w:t>：</w:t>
      </w:r>
    </w:p>
    <w:p w14:paraId="7D7A3BA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1</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沉淀效率高。磁介质比重高达5</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其沉淀絮体比高于其他加载物沉淀絮体，极大加强絮体重力沉降性，沉降速度可达50m/h。</w:t>
      </w:r>
    </w:p>
    <w:p w14:paraId="5272C4A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2</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对SS、TP去除效果好，作为深度处理使用时，出水SS、TP分别可到5mg/L、0.1mg/L。</w:t>
      </w:r>
    </w:p>
    <w:p w14:paraId="128F8232">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3</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耐冲击负荷能力强，出水稳定可靠。沉淀磁泥部分回流，混凝池污泥浓度高，沉淀池表面负荷可达20</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50</w:t>
      </w:r>
      <w:r>
        <w:rPr>
          <w:rFonts w:hint="eastAsia" w:cs="Times New Roman" w:eastAsiaTheme="minorEastAsia"/>
          <w:color w:val="auto"/>
          <w:sz w:val="24"/>
          <w:szCs w:val="24"/>
          <w:lang w:eastAsia="zh-CN"/>
        </w:rPr>
        <w:t>m³</w:t>
      </w:r>
      <w:r>
        <w:rPr>
          <w:rFonts w:hint="default" w:ascii="Times New Roman" w:hAnsi="Times New Roman" w:cs="Times New Roman" w:eastAsiaTheme="minorEastAsia"/>
          <w:color w:val="auto"/>
          <w:sz w:val="24"/>
          <w:szCs w:val="24"/>
        </w:rPr>
        <w:t>/</w:t>
      </w:r>
      <w:r>
        <w:rPr>
          <w:rFonts w:hint="default" w:ascii="Times New Roman" w:hAnsi="Times New Roman" w:cs="Times New Roman" w:eastAsiaTheme="minorEastAsia"/>
          <w:color w:val="auto"/>
          <w:sz w:val="24"/>
          <w:szCs w:val="24"/>
          <w:lang w:eastAsia="zh-CN"/>
        </w:rPr>
        <w:t>（m²</w:t>
      </w:r>
      <w:r>
        <w:rPr>
          <w:rFonts w:hint="default" w:ascii="Times New Roman" w:hAnsi="Times New Roman" w:cs="Times New Roman" w:eastAsiaTheme="minorEastAsia"/>
          <w:color w:val="auto"/>
          <w:sz w:val="24"/>
          <w:szCs w:val="24"/>
        </w:rPr>
        <w:t>·h</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可接受原水SS2000mg/L的突然变化，保证出水效果。</w:t>
      </w:r>
    </w:p>
    <w:p w14:paraId="52054814">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4</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处理时间短。系统工艺简单，水力总停留时间小于20min。</w:t>
      </w:r>
    </w:p>
    <w:p w14:paraId="499A10D1">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5</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占地面积小，节约基础投资。占地省，土地利用率高，其沉淀池占地面积是斜管沉淀池或溶气气浮的1/5</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传统沉淀池的1/20</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大大降低工程基础投资。</w:t>
      </w:r>
    </w:p>
    <w:p w14:paraId="7A8722A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6</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运行成本低。磁介质循环利用，回收率高于99%</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磁介质损失极少；部分沉淀磁泥回流，充分提高混凝药剂使用效率，降低药剂投加量，节约运行成本。</w:t>
      </w:r>
    </w:p>
    <w:p w14:paraId="41059285">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7</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设备的使用寿命长。设备自动化程度高，运行管理简单。设备功率小，磨损小，使用寿命长。</w:t>
      </w:r>
    </w:p>
    <w:p w14:paraId="67D3C11C">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5</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混凝沉淀工艺选择</w:t>
      </w:r>
    </w:p>
    <w:p w14:paraId="0227A5FE">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混凝沉淀工艺的技术性能对比表如下所示：</w:t>
      </w:r>
    </w:p>
    <w:p w14:paraId="60378B15">
      <w:pPr>
        <w:pStyle w:val="19"/>
        <w:numPr>
          <w:ilvl w:val="0"/>
          <w:numId w:val="16"/>
        </w:numPr>
        <w:bidi w:val="0"/>
        <w:ind w:left="0" w:leftChars="0" w:firstLine="0" w:firstLineChars="0"/>
        <w:rPr>
          <w:rFonts w:hint="default"/>
          <w:color w:val="auto"/>
        </w:rPr>
      </w:pPr>
      <w:r>
        <w:rPr>
          <w:rFonts w:hint="default"/>
          <w:color w:val="auto"/>
        </w:rPr>
        <w:t>混凝沉淀技术性能对比表</w:t>
      </w:r>
    </w:p>
    <w:tbl>
      <w:tblPr>
        <w:tblStyle w:val="706"/>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31"/>
        <w:gridCol w:w="1326"/>
        <w:gridCol w:w="1561"/>
        <w:gridCol w:w="1778"/>
        <w:gridCol w:w="1551"/>
        <w:gridCol w:w="1556"/>
      </w:tblGrid>
      <w:tr w14:paraId="13DA28C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1687944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序号</w:t>
            </w:r>
          </w:p>
        </w:tc>
        <w:tc>
          <w:tcPr>
            <w:tcW w:w="798" w:type="pct"/>
            <w:tcBorders>
              <w:tl2br w:val="nil"/>
              <w:tr2bl w:val="nil"/>
            </w:tcBorders>
            <w:vAlign w:val="center"/>
          </w:tcPr>
          <w:p w14:paraId="4B8CC2A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对比指标</w:t>
            </w:r>
          </w:p>
        </w:tc>
        <w:tc>
          <w:tcPr>
            <w:tcW w:w="939" w:type="pct"/>
            <w:tcBorders>
              <w:tl2br w:val="nil"/>
              <w:tr2bl w:val="nil"/>
            </w:tcBorders>
            <w:vAlign w:val="center"/>
          </w:tcPr>
          <w:p w14:paraId="50A91E6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斜管沉淀技术</w:t>
            </w:r>
          </w:p>
        </w:tc>
        <w:tc>
          <w:tcPr>
            <w:tcW w:w="1070" w:type="pct"/>
            <w:tcBorders>
              <w:tl2br w:val="nil"/>
              <w:tr2bl w:val="nil"/>
            </w:tcBorders>
            <w:vAlign w:val="center"/>
          </w:tcPr>
          <w:p w14:paraId="2F6AB5E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高密度沉淀技术</w:t>
            </w:r>
          </w:p>
        </w:tc>
        <w:tc>
          <w:tcPr>
            <w:tcW w:w="933" w:type="pct"/>
            <w:tcBorders>
              <w:tl2br w:val="nil"/>
              <w:tr2bl w:val="nil"/>
            </w:tcBorders>
            <w:vAlign w:val="center"/>
          </w:tcPr>
          <w:p w14:paraId="0D2BF85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微砂沉淀技术</w:t>
            </w:r>
          </w:p>
        </w:tc>
        <w:tc>
          <w:tcPr>
            <w:tcW w:w="936" w:type="pct"/>
            <w:tcBorders>
              <w:tl2br w:val="nil"/>
              <w:tr2bl w:val="nil"/>
            </w:tcBorders>
            <w:vAlign w:val="center"/>
          </w:tcPr>
          <w:p w14:paraId="08125D6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磁混凝沉淀技术</w:t>
            </w:r>
          </w:p>
        </w:tc>
      </w:tr>
      <w:tr w14:paraId="267879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435E8AC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w:t>
            </w:r>
          </w:p>
        </w:tc>
        <w:tc>
          <w:tcPr>
            <w:tcW w:w="798" w:type="pct"/>
            <w:tcBorders>
              <w:tl2br w:val="nil"/>
              <w:tr2bl w:val="nil"/>
            </w:tcBorders>
            <w:vAlign w:val="center"/>
          </w:tcPr>
          <w:p w14:paraId="1E6EDD2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表面负荷</w:t>
            </w:r>
          </w:p>
        </w:tc>
        <w:tc>
          <w:tcPr>
            <w:tcW w:w="939" w:type="pct"/>
            <w:tcBorders>
              <w:tl2br w:val="nil"/>
              <w:tr2bl w:val="nil"/>
            </w:tcBorders>
            <w:vAlign w:val="center"/>
          </w:tcPr>
          <w:p w14:paraId="3C64230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w:t>
            </w:r>
            <w:r>
              <w:rPr>
                <w:rFonts w:hint="eastAsia" w:cs="Times New Roman" w:eastAsiaTheme="minorEastAsia"/>
                <w:color w:val="auto"/>
                <w:sz w:val="21"/>
                <w:szCs w:val="21"/>
                <w:lang w:eastAsia="zh-CN"/>
              </w:rPr>
              <w:t>m³</w:t>
            </w:r>
            <w:r>
              <w:rPr>
                <w:rFonts w:hint="default" w:ascii="Times New Roman" w:hAnsi="Times New Roman" w:cs="Times New Roman" w:eastAsiaTheme="minorEastAsia"/>
                <w:color w:val="auto"/>
                <w:sz w:val="21"/>
                <w:szCs w:val="21"/>
              </w:rPr>
              <w:t>/m²·h</w:t>
            </w:r>
          </w:p>
        </w:tc>
        <w:tc>
          <w:tcPr>
            <w:tcW w:w="1070" w:type="pct"/>
            <w:tcBorders>
              <w:tl2br w:val="nil"/>
              <w:tr2bl w:val="nil"/>
            </w:tcBorders>
            <w:vAlign w:val="center"/>
          </w:tcPr>
          <w:p w14:paraId="33E4938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10-20</w:t>
            </w:r>
            <w:r>
              <w:rPr>
                <w:rFonts w:hint="eastAsia" w:cs="Times New Roman" w:eastAsiaTheme="minorEastAsia"/>
                <w:color w:val="auto"/>
                <w:sz w:val="21"/>
                <w:szCs w:val="21"/>
                <w:lang w:eastAsia="zh-CN"/>
              </w:rPr>
              <w:t>m³</w:t>
            </w:r>
            <w:r>
              <w:rPr>
                <w:rFonts w:hint="default" w:ascii="Times New Roman" w:hAnsi="Times New Roman" w:cs="Times New Roman" w:eastAsiaTheme="minorEastAsia"/>
                <w:color w:val="auto"/>
                <w:sz w:val="21"/>
                <w:szCs w:val="21"/>
              </w:rPr>
              <w:t>/m²·h</w:t>
            </w:r>
          </w:p>
        </w:tc>
        <w:tc>
          <w:tcPr>
            <w:tcW w:w="933" w:type="pct"/>
            <w:tcBorders>
              <w:tl2br w:val="nil"/>
              <w:tr2bl w:val="nil"/>
            </w:tcBorders>
            <w:vAlign w:val="center"/>
          </w:tcPr>
          <w:p w14:paraId="51F4B69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20-40</w:t>
            </w:r>
            <w:r>
              <w:rPr>
                <w:rFonts w:hint="eastAsia" w:cs="Times New Roman" w:eastAsiaTheme="minorEastAsia"/>
                <w:color w:val="auto"/>
                <w:sz w:val="21"/>
                <w:szCs w:val="21"/>
                <w:lang w:eastAsia="zh-CN"/>
              </w:rPr>
              <w:t>m³</w:t>
            </w:r>
            <w:r>
              <w:rPr>
                <w:rFonts w:hint="default" w:ascii="Times New Roman" w:hAnsi="Times New Roman" w:cs="Times New Roman" w:eastAsiaTheme="minorEastAsia"/>
                <w:color w:val="auto"/>
                <w:sz w:val="21"/>
                <w:szCs w:val="21"/>
              </w:rPr>
              <w:t>/m²·h</w:t>
            </w:r>
          </w:p>
        </w:tc>
        <w:tc>
          <w:tcPr>
            <w:tcW w:w="936" w:type="pct"/>
            <w:tcBorders>
              <w:tl2br w:val="nil"/>
              <w:tr2bl w:val="nil"/>
            </w:tcBorders>
            <w:vAlign w:val="center"/>
          </w:tcPr>
          <w:p w14:paraId="410A279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20-40</w:t>
            </w:r>
            <w:r>
              <w:rPr>
                <w:rFonts w:hint="eastAsia" w:cs="Times New Roman" w:eastAsiaTheme="minorEastAsia"/>
                <w:color w:val="auto"/>
                <w:sz w:val="21"/>
                <w:szCs w:val="21"/>
                <w:lang w:eastAsia="zh-CN"/>
              </w:rPr>
              <w:t>m³</w:t>
            </w:r>
            <w:r>
              <w:rPr>
                <w:rFonts w:hint="default" w:ascii="Times New Roman" w:hAnsi="Times New Roman" w:cs="Times New Roman" w:eastAsiaTheme="minorEastAsia"/>
                <w:color w:val="auto"/>
                <w:sz w:val="21"/>
                <w:szCs w:val="21"/>
              </w:rPr>
              <w:t>/m²·h</w:t>
            </w:r>
          </w:p>
        </w:tc>
      </w:tr>
      <w:tr w14:paraId="1DF909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1A282B9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2</w:t>
            </w:r>
          </w:p>
        </w:tc>
        <w:tc>
          <w:tcPr>
            <w:tcW w:w="798" w:type="pct"/>
            <w:tcBorders>
              <w:tl2br w:val="nil"/>
              <w:tr2bl w:val="nil"/>
            </w:tcBorders>
            <w:vAlign w:val="center"/>
          </w:tcPr>
          <w:p w14:paraId="4E8377B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沉降速度</w:t>
            </w:r>
          </w:p>
        </w:tc>
        <w:tc>
          <w:tcPr>
            <w:tcW w:w="939" w:type="pct"/>
            <w:tcBorders>
              <w:tl2br w:val="nil"/>
              <w:tr2bl w:val="nil"/>
            </w:tcBorders>
            <w:vAlign w:val="center"/>
          </w:tcPr>
          <w:p w14:paraId="679B8A9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较慢</w:t>
            </w:r>
          </w:p>
        </w:tc>
        <w:tc>
          <w:tcPr>
            <w:tcW w:w="1070" w:type="pct"/>
            <w:tcBorders>
              <w:tl2br w:val="nil"/>
              <w:tr2bl w:val="nil"/>
            </w:tcBorders>
            <w:vAlign w:val="center"/>
          </w:tcPr>
          <w:p w14:paraId="59906F6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较快</w:t>
            </w:r>
          </w:p>
        </w:tc>
        <w:tc>
          <w:tcPr>
            <w:tcW w:w="933" w:type="pct"/>
            <w:tcBorders>
              <w:tl2br w:val="nil"/>
              <w:tr2bl w:val="nil"/>
            </w:tcBorders>
            <w:vAlign w:val="center"/>
          </w:tcPr>
          <w:p w14:paraId="42691E9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快</w:t>
            </w:r>
          </w:p>
        </w:tc>
        <w:tc>
          <w:tcPr>
            <w:tcW w:w="936" w:type="pct"/>
            <w:tcBorders>
              <w:tl2br w:val="nil"/>
              <w:tr2bl w:val="nil"/>
            </w:tcBorders>
            <w:vAlign w:val="center"/>
          </w:tcPr>
          <w:p w14:paraId="5768888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快</w:t>
            </w:r>
          </w:p>
        </w:tc>
      </w:tr>
      <w:tr w14:paraId="01B6F6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7468DAA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w:t>
            </w:r>
          </w:p>
        </w:tc>
        <w:tc>
          <w:tcPr>
            <w:tcW w:w="798" w:type="pct"/>
            <w:tcBorders>
              <w:tl2br w:val="nil"/>
              <w:tr2bl w:val="nil"/>
            </w:tcBorders>
            <w:vAlign w:val="center"/>
          </w:tcPr>
          <w:p w14:paraId="65B7973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进水SS</w:t>
            </w:r>
          </w:p>
        </w:tc>
        <w:tc>
          <w:tcPr>
            <w:tcW w:w="939" w:type="pct"/>
            <w:tcBorders>
              <w:tl2br w:val="nil"/>
              <w:tr2bl w:val="nil"/>
            </w:tcBorders>
            <w:vAlign w:val="center"/>
          </w:tcPr>
          <w:p w14:paraId="0728B90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&lt;50mg/L</w:t>
            </w:r>
          </w:p>
        </w:tc>
        <w:tc>
          <w:tcPr>
            <w:tcW w:w="1070" w:type="pct"/>
            <w:tcBorders>
              <w:tl2br w:val="nil"/>
              <w:tr2bl w:val="nil"/>
            </w:tcBorders>
            <w:vAlign w:val="center"/>
          </w:tcPr>
          <w:p w14:paraId="20F3348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&lt;50mg/L</w:t>
            </w:r>
          </w:p>
        </w:tc>
        <w:tc>
          <w:tcPr>
            <w:tcW w:w="933" w:type="pct"/>
            <w:tcBorders>
              <w:tl2br w:val="nil"/>
              <w:tr2bl w:val="nil"/>
            </w:tcBorders>
            <w:vAlign w:val="center"/>
          </w:tcPr>
          <w:p w14:paraId="7A90E7A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&lt;100mg/L</w:t>
            </w:r>
          </w:p>
        </w:tc>
        <w:tc>
          <w:tcPr>
            <w:tcW w:w="936" w:type="pct"/>
            <w:tcBorders>
              <w:tl2br w:val="nil"/>
              <w:tr2bl w:val="nil"/>
            </w:tcBorders>
            <w:vAlign w:val="center"/>
          </w:tcPr>
          <w:p w14:paraId="3D35692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&lt;100mg/L</w:t>
            </w:r>
          </w:p>
        </w:tc>
      </w:tr>
      <w:tr w14:paraId="4D92B1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43092B1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4</w:t>
            </w:r>
          </w:p>
        </w:tc>
        <w:tc>
          <w:tcPr>
            <w:tcW w:w="798" w:type="pct"/>
            <w:tcBorders>
              <w:tl2br w:val="nil"/>
              <w:tr2bl w:val="nil"/>
            </w:tcBorders>
            <w:vAlign w:val="center"/>
          </w:tcPr>
          <w:p w14:paraId="2A63FE0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出水SS</w:t>
            </w:r>
          </w:p>
        </w:tc>
        <w:tc>
          <w:tcPr>
            <w:tcW w:w="939" w:type="pct"/>
            <w:tcBorders>
              <w:tl2br w:val="nil"/>
              <w:tr2bl w:val="nil"/>
            </w:tcBorders>
            <w:vAlign w:val="center"/>
          </w:tcPr>
          <w:p w14:paraId="31A6ED5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&lt;10mg/L</w:t>
            </w:r>
          </w:p>
        </w:tc>
        <w:tc>
          <w:tcPr>
            <w:tcW w:w="1070" w:type="pct"/>
            <w:tcBorders>
              <w:tl2br w:val="nil"/>
              <w:tr2bl w:val="nil"/>
            </w:tcBorders>
            <w:vAlign w:val="center"/>
          </w:tcPr>
          <w:p w14:paraId="2F45C69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&lt;10mg/L</w:t>
            </w:r>
          </w:p>
        </w:tc>
        <w:tc>
          <w:tcPr>
            <w:tcW w:w="933" w:type="pct"/>
            <w:tcBorders>
              <w:tl2br w:val="nil"/>
              <w:tr2bl w:val="nil"/>
            </w:tcBorders>
            <w:vAlign w:val="center"/>
          </w:tcPr>
          <w:p w14:paraId="4381C89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&lt;10mg/L</w:t>
            </w:r>
          </w:p>
        </w:tc>
        <w:tc>
          <w:tcPr>
            <w:tcW w:w="936" w:type="pct"/>
            <w:tcBorders>
              <w:tl2br w:val="nil"/>
              <w:tr2bl w:val="nil"/>
            </w:tcBorders>
            <w:vAlign w:val="center"/>
          </w:tcPr>
          <w:p w14:paraId="20E2CEB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&lt;5mg/L</w:t>
            </w:r>
          </w:p>
        </w:tc>
      </w:tr>
      <w:tr w14:paraId="3533F1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7FFDA2A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5</w:t>
            </w:r>
          </w:p>
        </w:tc>
        <w:tc>
          <w:tcPr>
            <w:tcW w:w="798" w:type="pct"/>
            <w:tcBorders>
              <w:tl2br w:val="nil"/>
              <w:tr2bl w:val="nil"/>
            </w:tcBorders>
            <w:vAlign w:val="center"/>
          </w:tcPr>
          <w:p w14:paraId="1004C56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进水TP</w:t>
            </w:r>
          </w:p>
        </w:tc>
        <w:tc>
          <w:tcPr>
            <w:tcW w:w="939" w:type="pct"/>
            <w:tcBorders>
              <w:tl2br w:val="nil"/>
              <w:tr2bl w:val="nil"/>
            </w:tcBorders>
            <w:vAlign w:val="center"/>
          </w:tcPr>
          <w:p w14:paraId="5F2C744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&lt;2mg/L</w:t>
            </w:r>
          </w:p>
        </w:tc>
        <w:tc>
          <w:tcPr>
            <w:tcW w:w="1070" w:type="pct"/>
            <w:tcBorders>
              <w:tl2br w:val="nil"/>
              <w:tr2bl w:val="nil"/>
            </w:tcBorders>
            <w:vAlign w:val="center"/>
          </w:tcPr>
          <w:p w14:paraId="57A836B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&lt;2mg/L</w:t>
            </w:r>
          </w:p>
        </w:tc>
        <w:tc>
          <w:tcPr>
            <w:tcW w:w="933" w:type="pct"/>
            <w:tcBorders>
              <w:tl2br w:val="nil"/>
              <w:tr2bl w:val="nil"/>
            </w:tcBorders>
            <w:vAlign w:val="center"/>
          </w:tcPr>
          <w:p w14:paraId="7C86F75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&lt;2mg/L</w:t>
            </w:r>
          </w:p>
        </w:tc>
        <w:tc>
          <w:tcPr>
            <w:tcW w:w="936" w:type="pct"/>
            <w:tcBorders>
              <w:tl2br w:val="nil"/>
              <w:tr2bl w:val="nil"/>
            </w:tcBorders>
            <w:vAlign w:val="center"/>
          </w:tcPr>
          <w:p w14:paraId="7745C99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&lt;2mg/L</w:t>
            </w:r>
          </w:p>
        </w:tc>
      </w:tr>
      <w:tr w14:paraId="17E393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6EA8886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6</w:t>
            </w:r>
          </w:p>
        </w:tc>
        <w:tc>
          <w:tcPr>
            <w:tcW w:w="798" w:type="pct"/>
            <w:tcBorders>
              <w:tl2br w:val="nil"/>
              <w:tr2bl w:val="nil"/>
            </w:tcBorders>
            <w:vAlign w:val="center"/>
          </w:tcPr>
          <w:p w14:paraId="2812B09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出水TP</w:t>
            </w:r>
          </w:p>
        </w:tc>
        <w:tc>
          <w:tcPr>
            <w:tcW w:w="939" w:type="pct"/>
            <w:tcBorders>
              <w:tl2br w:val="nil"/>
              <w:tr2bl w:val="nil"/>
            </w:tcBorders>
            <w:vAlign w:val="center"/>
          </w:tcPr>
          <w:p w14:paraId="7491B946">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&lt;0.5mg/L</w:t>
            </w:r>
          </w:p>
        </w:tc>
        <w:tc>
          <w:tcPr>
            <w:tcW w:w="1070" w:type="pct"/>
            <w:tcBorders>
              <w:tl2br w:val="nil"/>
              <w:tr2bl w:val="nil"/>
            </w:tcBorders>
            <w:vAlign w:val="center"/>
          </w:tcPr>
          <w:p w14:paraId="48FCE576">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&lt;0.3mg/L</w:t>
            </w:r>
          </w:p>
        </w:tc>
        <w:tc>
          <w:tcPr>
            <w:tcW w:w="933" w:type="pct"/>
            <w:tcBorders>
              <w:tl2br w:val="nil"/>
              <w:tr2bl w:val="nil"/>
            </w:tcBorders>
            <w:vAlign w:val="center"/>
          </w:tcPr>
          <w:p w14:paraId="18FFC9F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&lt;0.1mg/L</w:t>
            </w:r>
          </w:p>
        </w:tc>
        <w:tc>
          <w:tcPr>
            <w:tcW w:w="936" w:type="pct"/>
            <w:tcBorders>
              <w:tl2br w:val="nil"/>
              <w:tr2bl w:val="nil"/>
            </w:tcBorders>
            <w:vAlign w:val="center"/>
          </w:tcPr>
          <w:p w14:paraId="74B8D65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&lt;0.1mg/L</w:t>
            </w:r>
          </w:p>
        </w:tc>
      </w:tr>
      <w:tr w14:paraId="27010F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5329D98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7</w:t>
            </w:r>
          </w:p>
        </w:tc>
        <w:tc>
          <w:tcPr>
            <w:tcW w:w="798" w:type="pct"/>
            <w:tcBorders>
              <w:tl2br w:val="nil"/>
              <w:tr2bl w:val="nil"/>
            </w:tcBorders>
            <w:vAlign w:val="center"/>
          </w:tcPr>
          <w:p w14:paraId="1A1C948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出水水质保证</w:t>
            </w:r>
          </w:p>
        </w:tc>
        <w:tc>
          <w:tcPr>
            <w:tcW w:w="939" w:type="pct"/>
            <w:tcBorders>
              <w:tl2br w:val="nil"/>
              <w:tr2bl w:val="nil"/>
            </w:tcBorders>
            <w:vAlign w:val="center"/>
          </w:tcPr>
          <w:p w14:paraId="1963698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一般</w:t>
            </w:r>
          </w:p>
        </w:tc>
        <w:tc>
          <w:tcPr>
            <w:tcW w:w="1070" w:type="pct"/>
            <w:tcBorders>
              <w:tl2br w:val="nil"/>
              <w:tr2bl w:val="nil"/>
            </w:tcBorders>
            <w:vAlign w:val="center"/>
          </w:tcPr>
          <w:p w14:paraId="03D92F9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一般</w:t>
            </w:r>
          </w:p>
        </w:tc>
        <w:tc>
          <w:tcPr>
            <w:tcW w:w="933" w:type="pct"/>
            <w:tcBorders>
              <w:tl2br w:val="nil"/>
              <w:tr2bl w:val="nil"/>
            </w:tcBorders>
            <w:vAlign w:val="center"/>
          </w:tcPr>
          <w:p w14:paraId="69ECBD9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好</w:t>
            </w:r>
          </w:p>
        </w:tc>
        <w:tc>
          <w:tcPr>
            <w:tcW w:w="936" w:type="pct"/>
            <w:tcBorders>
              <w:tl2br w:val="nil"/>
              <w:tr2bl w:val="nil"/>
            </w:tcBorders>
            <w:vAlign w:val="center"/>
          </w:tcPr>
          <w:p w14:paraId="155781F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好</w:t>
            </w:r>
          </w:p>
        </w:tc>
      </w:tr>
      <w:tr w14:paraId="39C2C0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7AA3C20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8</w:t>
            </w:r>
          </w:p>
        </w:tc>
        <w:tc>
          <w:tcPr>
            <w:tcW w:w="798" w:type="pct"/>
            <w:tcBorders>
              <w:tl2br w:val="nil"/>
              <w:tr2bl w:val="nil"/>
            </w:tcBorders>
            <w:vAlign w:val="center"/>
          </w:tcPr>
          <w:p w14:paraId="06C2D2A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耐水质冲击</w:t>
            </w:r>
          </w:p>
        </w:tc>
        <w:tc>
          <w:tcPr>
            <w:tcW w:w="939" w:type="pct"/>
            <w:tcBorders>
              <w:tl2br w:val="nil"/>
              <w:tr2bl w:val="nil"/>
            </w:tcBorders>
            <w:vAlign w:val="center"/>
          </w:tcPr>
          <w:p w14:paraId="2BA8C67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一般</w:t>
            </w:r>
          </w:p>
        </w:tc>
        <w:tc>
          <w:tcPr>
            <w:tcW w:w="1070" w:type="pct"/>
            <w:tcBorders>
              <w:tl2br w:val="nil"/>
              <w:tr2bl w:val="nil"/>
            </w:tcBorders>
            <w:vAlign w:val="center"/>
          </w:tcPr>
          <w:p w14:paraId="4FDCF36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好</w:t>
            </w:r>
          </w:p>
        </w:tc>
        <w:tc>
          <w:tcPr>
            <w:tcW w:w="933" w:type="pct"/>
            <w:tcBorders>
              <w:tl2br w:val="nil"/>
              <w:tr2bl w:val="nil"/>
            </w:tcBorders>
            <w:vAlign w:val="center"/>
          </w:tcPr>
          <w:p w14:paraId="21F41BC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好</w:t>
            </w:r>
          </w:p>
        </w:tc>
        <w:tc>
          <w:tcPr>
            <w:tcW w:w="936" w:type="pct"/>
            <w:tcBorders>
              <w:tl2br w:val="nil"/>
              <w:tr2bl w:val="nil"/>
            </w:tcBorders>
            <w:vAlign w:val="center"/>
          </w:tcPr>
          <w:p w14:paraId="4621828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极好</w:t>
            </w:r>
          </w:p>
        </w:tc>
      </w:tr>
      <w:tr w14:paraId="749CBD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215BD0E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9</w:t>
            </w:r>
          </w:p>
        </w:tc>
        <w:tc>
          <w:tcPr>
            <w:tcW w:w="798" w:type="pct"/>
            <w:tcBorders>
              <w:tl2br w:val="nil"/>
              <w:tr2bl w:val="nil"/>
            </w:tcBorders>
            <w:vAlign w:val="center"/>
          </w:tcPr>
          <w:p w14:paraId="2313F476">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加药除磷能力</w:t>
            </w:r>
          </w:p>
        </w:tc>
        <w:tc>
          <w:tcPr>
            <w:tcW w:w="939" w:type="pct"/>
            <w:tcBorders>
              <w:tl2br w:val="nil"/>
              <w:tr2bl w:val="nil"/>
            </w:tcBorders>
            <w:vAlign w:val="center"/>
          </w:tcPr>
          <w:p w14:paraId="38FE032C">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好</w:t>
            </w:r>
          </w:p>
        </w:tc>
        <w:tc>
          <w:tcPr>
            <w:tcW w:w="1070" w:type="pct"/>
            <w:tcBorders>
              <w:tl2br w:val="nil"/>
              <w:tr2bl w:val="nil"/>
            </w:tcBorders>
            <w:vAlign w:val="center"/>
          </w:tcPr>
          <w:p w14:paraId="5AEC3B6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好</w:t>
            </w:r>
          </w:p>
        </w:tc>
        <w:tc>
          <w:tcPr>
            <w:tcW w:w="933" w:type="pct"/>
            <w:tcBorders>
              <w:tl2br w:val="nil"/>
              <w:tr2bl w:val="nil"/>
            </w:tcBorders>
            <w:vAlign w:val="center"/>
          </w:tcPr>
          <w:p w14:paraId="400EE42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好</w:t>
            </w:r>
          </w:p>
        </w:tc>
        <w:tc>
          <w:tcPr>
            <w:tcW w:w="936" w:type="pct"/>
            <w:tcBorders>
              <w:tl2br w:val="nil"/>
              <w:tr2bl w:val="nil"/>
            </w:tcBorders>
            <w:vAlign w:val="center"/>
          </w:tcPr>
          <w:p w14:paraId="41D00FE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极好</w:t>
            </w:r>
          </w:p>
        </w:tc>
      </w:tr>
      <w:tr w14:paraId="445769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480FAF5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w:t>
            </w:r>
          </w:p>
        </w:tc>
        <w:tc>
          <w:tcPr>
            <w:tcW w:w="798" w:type="pct"/>
            <w:tcBorders>
              <w:tl2br w:val="nil"/>
              <w:tr2bl w:val="nil"/>
            </w:tcBorders>
            <w:vAlign w:val="center"/>
          </w:tcPr>
          <w:p w14:paraId="17111F9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工程造价</w:t>
            </w:r>
          </w:p>
        </w:tc>
        <w:tc>
          <w:tcPr>
            <w:tcW w:w="939" w:type="pct"/>
            <w:tcBorders>
              <w:tl2br w:val="nil"/>
              <w:tr2bl w:val="nil"/>
            </w:tcBorders>
            <w:vAlign w:val="center"/>
          </w:tcPr>
          <w:p w14:paraId="153DA5C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较高</w:t>
            </w:r>
          </w:p>
        </w:tc>
        <w:tc>
          <w:tcPr>
            <w:tcW w:w="1070" w:type="pct"/>
            <w:tcBorders>
              <w:tl2br w:val="nil"/>
              <w:tr2bl w:val="nil"/>
            </w:tcBorders>
            <w:vAlign w:val="center"/>
          </w:tcPr>
          <w:p w14:paraId="7197708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高</w:t>
            </w:r>
          </w:p>
        </w:tc>
        <w:tc>
          <w:tcPr>
            <w:tcW w:w="933" w:type="pct"/>
            <w:tcBorders>
              <w:tl2br w:val="nil"/>
              <w:tr2bl w:val="nil"/>
            </w:tcBorders>
            <w:vAlign w:val="center"/>
          </w:tcPr>
          <w:p w14:paraId="1825524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较高</w:t>
            </w:r>
          </w:p>
        </w:tc>
        <w:tc>
          <w:tcPr>
            <w:tcW w:w="936" w:type="pct"/>
            <w:tcBorders>
              <w:tl2br w:val="nil"/>
              <w:tr2bl w:val="nil"/>
            </w:tcBorders>
            <w:vAlign w:val="center"/>
          </w:tcPr>
          <w:p w14:paraId="0DC14E4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较高</w:t>
            </w:r>
          </w:p>
        </w:tc>
      </w:tr>
      <w:tr w14:paraId="00B3D0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066CB28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11</w:t>
            </w:r>
          </w:p>
        </w:tc>
        <w:tc>
          <w:tcPr>
            <w:tcW w:w="798" w:type="pct"/>
            <w:tcBorders>
              <w:tl2br w:val="nil"/>
              <w:tr2bl w:val="nil"/>
            </w:tcBorders>
            <w:vAlign w:val="center"/>
          </w:tcPr>
          <w:p w14:paraId="03CD804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征地费用</w:t>
            </w:r>
          </w:p>
        </w:tc>
        <w:tc>
          <w:tcPr>
            <w:tcW w:w="939" w:type="pct"/>
            <w:tcBorders>
              <w:tl2br w:val="nil"/>
              <w:tr2bl w:val="nil"/>
            </w:tcBorders>
            <w:vAlign w:val="center"/>
          </w:tcPr>
          <w:p w14:paraId="457F1C0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较高</w:t>
            </w:r>
          </w:p>
        </w:tc>
        <w:tc>
          <w:tcPr>
            <w:tcW w:w="1070" w:type="pct"/>
            <w:tcBorders>
              <w:tl2br w:val="nil"/>
              <w:tr2bl w:val="nil"/>
            </w:tcBorders>
            <w:vAlign w:val="center"/>
          </w:tcPr>
          <w:p w14:paraId="4F25675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高</w:t>
            </w:r>
          </w:p>
        </w:tc>
        <w:tc>
          <w:tcPr>
            <w:tcW w:w="933" w:type="pct"/>
            <w:tcBorders>
              <w:tl2br w:val="nil"/>
              <w:tr2bl w:val="nil"/>
            </w:tcBorders>
            <w:vAlign w:val="center"/>
          </w:tcPr>
          <w:p w14:paraId="6E18873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较低</w:t>
            </w:r>
          </w:p>
        </w:tc>
        <w:tc>
          <w:tcPr>
            <w:tcW w:w="936" w:type="pct"/>
            <w:tcBorders>
              <w:tl2br w:val="nil"/>
              <w:tr2bl w:val="nil"/>
            </w:tcBorders>
            <w:vAlign w:val="center"/>
          </w:tcPr>
          <w:p w14:paraId="61B095E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较低</w:t>
            </w:r>
          </w:p>
        </w:tc>
      </w:tr>
      <w:tr w14:paraId="752F85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261CA36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12</w:t>
            </w:r>
          </w:p>
        </w:tc>
        <w:tc>
          <w:tcPr>
            <w:tcW w:w="798" w:type="pct"/>
            <w:tcBorders>
              <w:tl2br w:val="nil"/>
              <w:tr2bl w:val="nil"/>
            </w:tcBorders>
            <w:vAlign w:val="center"/>
          </w:tcPr>
          <w:p w14:paraId="5972583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直接运行费用</w:t>
            </w:r>
          </w:p>
        </w:tc>
        <w:tc>
          <w:tcPr>
            <w:tcW w:w="939" w:type="pct"/>
            <w:tcBorders>
              <w:tl2br w:val="nil"/>
              <w:tr2bl w:val="nil"/>
            </w:tcBorders>
            <w:vAlign w:val="center"/>
          </w:tcPr>
          <w:p w14:paraId="26AFAB5C">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0.15-0.3元/吨水</w:t>
            </w:r>
          </w:p>
        </w:tc>
        <w:tc>
          <w:tcPr>
            <w:tcW w:w="1070" w:type="pct"/>
            <w:tcBorders>
              <w:tl2br w:val="nil"/>
              <w:tr2bl w:val="nil"/>
            </w:tcBorders>
            <w:vAlign w:val="center"/>
          </w:tcPr>
          <w:p w14:paraId="0CDCAF9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0.1-0.15元/吨水</w:t>
            </w:r>
          </w:p>
        </w:tc>
        <w:tc>
          <w:tcPr>
            <w:tcW w:w="933" w:type="pct"/>
            <w:tcBorders>
              <w:tl2br w:val="nil"/>
              <w:tr2bl w:val="nil"/>
            </w:tcBorders>
            <w:vAlign w:val="center"/>
          </w:tcPr>
          <w:p w14:paraId="48F7A66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0.15-0.20元/吨水</w:t>
            </w:r>
          </w:p>
        </w:tc>
        <w:tc>
          <w:tcPr>
            <w:tcW w:w="936" w:type="pct"/>
            <w:tcBorders>
              <w:tl2br w:val="nil"/>
              <w:tr2bl w:val="nil"/>
            </w:tcBorders>
            <w:vAlign w:val="center"/>
          </w:tcPr>
          <w:p w14:paraId="56870EC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0.05-0.12元/吨水</w:t>
            </w:r>
          </w:p>
        </w:tc>
      </w:tr>
      <w:tr w14:paraId="4B922D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20" w:type="pct"/>
            <w:tcBorders>
              <w:tl2br w:val="nil"/>
              <w:tr2bl w:val="nil"/>
            </w:tcBorders>
            <w:vAlign w:val="center"/>
          </w:tcPr>
          <w:p w14:paraId="4251CE1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13</w:t>
            </w:r>
          </w:p>
        </w:tc>
        <w:tc>
          <w:tcPr>
            <w:tcW w:w="798" w:type="pct"/>
            <w:tcBorders>
              <w:tl2br w:val="nil"/>
              <w:tr2bl w:val="nil"/>
            </w:tcBorders>
            <w:vAlign w:val="center"/>
          </w:tcPr>
          <w:p w14:paraId="5F1687E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设备维修损坏</w:t>
            </w:r>
          </w:p>
        </w:tc>
        <w:tc>
          <w:tcPr>
            <w:tcW w:w="939" w:type="pct"/>
            <w:tcBorders>
              <w:tl2br w:val="nil"/>
              <w:tr2bl w:val="nil"/>
            </w:tcBorders>
            <w:vAlign w:val="center"/>
          </w:tcPr>
          <w:p w14:paraId="6507498C">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少</w:t>
            </w:r>
          </w:p>
        </w:tc>
        <w:tc>
          <w:tcPr>
            <w:tcW w:w="1070" w:type="pct"/>
            <w:tcBorders>
              <w:tl2br w:val="nil"/>
              <w:tr2bl w:val="nil"/>
            </w:tcBorders>
            <w:vAlign w:val="center"/>
          </w:tcPr>
          <w:p w14:paraId="61496B9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较少</w:t>
            </w:r>
          </w:p>
        </w:tc>
        <w:tc>
          <w:tcPr>
            <w:tcW w:w="933" w:type="pct"/>
            <w:tcBorders>
              <w:tl2br w:val="nil"/>
              <w:tr2bl w:val="nil"/>
            </w:tcBorders>
            <w:vAlign w:val="center"/>
          </w:tcPr>
          <w:p w14:paraId="2380B65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较少</w:t>
            </w:r>
          </w:p>
        </w:tc>
        <w:tc>
          <w:tcPr>
            <w:tcW w:w="936" w:type="pct"/>
            <w:tcBorders>
              <w:tl2br w:val="nil"/>
              <w:tr2bl w:val="nil"/>
            </w:tcBorders>
            <w:vAlign w:val="center"/>
          </w:tcPr>
          <w:p w14:paraId="060C929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较少</w:t>
            </w:r>
          </w:p>
        </w:tc>
      </w:tr>
    </w:tbl>
    <w:p w14:paraId="1FF1D5D4">
      <w:pPr>
        <w:pageBreakBefore w:val="0"/>
        <w:wordWrap/>
        <w:bidi w:val="0"/>
        <w:adjustRightInd/>
        <w:snapToGrid/>
        <w:rPr>
          <w:rFonts w:hint="default"/>
          <w:b/>
          <w:bCs/>
          <w:color w:val="auto"/>
        </w:rPr>
      </w:pPr>
      <w:r>
        <w:rPr>
          <w:rFonts w:hint="default"/>
          <w:b/>
          <w:bCs/>
          <w:color w:val="auto"/>
        </w:rPr>
        <w:t>通过对比分析，磁混凝沉淀技术建设投资合理、运行效果更好、运行更加稳定、处理费用更低，所以选择磁混凝沉淀作为深度除TP的工艺。</w:t>
      </w:r>
    </w:p>
    <w:p w14:paraId="6DFBFE46">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val="en-US" w:eastAsia="zh-CN"/>
        </w:rPr>
        <w:t>7、</w:t>
      </w:r>
      <w:r>
        <w:rPr>
          <w:rFonts w:hint="default" w:ascii="Times New Roman" w:hAnsi="Times New Roman" w:cs="Times New Roman" w:eastAsiaTheme="minorEastAsia"/>
          <w:b/>
          <w:bCs/>
          <w:color w:val="auto"/>
          <w:sz w:val="24"/>
          <w:szCs w:val="24"/>
        </w:rPr>
        <w:t>滤池的选择</w:t>
      </w:r>
    </w:p>
    <w:p w14:paraId="4BFB37A1">
      <w:pPr>
        <w:pageBreakBefore w:val="0"/>
        <w:wordWrap/>
        <w:bidi w:val="0"/>
        <w:adjustRightInd/>
        <w:snapToGrid/>
        <w:rPr>
          <w:rFonts w:hint="default"/>
          <w:color w:val="auto"/>
        </w:rPr>
      </w:pPr>
      <w:r>
        <w:rPr>
          <w:rFonts w:hint="default"/>
          <w:color w:val="auto"/>
        </w:rPr>
        <w:t>常规的滤池有V型砂滤池、活性砂滤池、滤布滤池、反硝化滤池。而具有反硝化作用的就只有反硝化滤池。</w:t>
      </w:r>
    </w:p>
    <w:p w14:paraId="1035CDDF">
      <w:pPr>
        <w:pageBreakBefore w:val="0"/>
        <w:wordWrap/>
        <w:bidi w:val="0"/>
        <w:adjustRightInd/>
        <w:snapToGrid/>
        <w:rPr>
          <w:rFonts w:hint="default"/>
          <w:color w:val="auto"/>
        </w:rPr>
      </w:pPr>
      <w:r>
        <w:rPr>
          <w:rFonts w:hint="default"/>
          <w:color w:val="auto"/>
        </w:rPr>
        <w:t>反硝化滤池属于缺氧生物膜法工艺，生物膜法污泥浓度极高，缺氧生物膜法约为20000mg/L左右，远远高于常规活性污泥法的3000</w:t>
      </w:r>
      <w:r>
        <w:rPr>
          <w:rFonts w:hint="eastAsia"/>
          <w:color w:val="auto"/>
          <w:lang w:eastAsia="zh-CN"/>
        </w:rPr>
        <w:t>～</w:t>
      </w:r>
      <w:r>
        <w:rPr>
          <w:rFonts w:hint="default"/>
          <w:color w:val="auto"/>
        </w:rPr>
        <w:t>5000mg/L</w:t>
      </w:r>
      <w:r>
        <w:rPr>
          <w:rFonts w:hint="default"/>
          <w:color w:val="auto"/>
          <w:lang w:eastAsia="zh-CN"/>
        </w:rPr>
        <w:t>，</w:t>
      </w:r>
      <w:r>
        <w:rPr>
          <w:rFonts w:hint="default"/>
          <w:color w:val="auto"/>
        </w:rPr>
        <w:t>水流方向为降流式，从上而下经过生物填料层，具有推流生物反应器的特点，且生物附着于填料表面不断更新，不存在污泥流失等问题，也不存在泥龄等限制，这决定了该工艺的特点：反应效率高，具有高度的反硝化与脱氮功能；对水质水量的变化有较强的适应性；对低浓度的污水也能进行有效的处理；生物膜法工艺中脱落的生物膜，易于固液分离，沉淀池的处理效果良好，即使丝状菌异常增殖，也不像活性污泥法那样产生污泥膨胀现象；污泥产率低，节省污泥处理费用；负荷高，占地非常节省。</w:t>
      </w:r>
    </w:p>
    <w:p w14:paraId="569CC68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反硝化生物滤池由滤料床、曝气系统、脉冲反冲洗排泥系统、配水及出水收集系统组成。原水通过分配槽进入滤池底部，滤池底部设置的布气设施，水气上升过程中通过滤料阻力均匀分布，滤料表面附着大量的微生物降解部分有机物及氨氮，出水由上部排出。过滤进行时生物膜不断增厚，需要定期反冲洗。针对适用本厂规模等具体情况，生物滤池工艺方案采用深床反硝化滤池。在</w:t>
      </w:r>
      <w:r>
        <w:rPr>
          <w:rFonts w:hint="eastAsia" w:cs="Times New Roman" w:eastAsiaTheme="minorEastAsia"/>
          <w:color w:val="auto"/>
          <w:sz w:val="24"/>
          <w:szCs w:val="24"/>
          <w:lang w:eastAsia="zh-CN"/>
        </w:rPr>
        <w:t>磁混凝沉淀池</w:t>
      </w:r>
      <w:r>
        <w:rPr>
          <w:rFonts w:hint="default" w:ascii="Times New Roman" w:hAnsi="Times New Roman" w:cs="Times New Roman" w:eastAsiaTheme="minorEastAsia"/>
          <w:color w:val="auto"/>
          <w:sz w:val="24"/>
          <w:szCs w:val="24"/>
        </w:rPr>
        <w:t>基础上，确保深床反硝化滤池出水SS小于5mg/L</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同时具备反硝化功能。深床反硝化滤池运行操作简单，维护少，出水水质稳定。</w:t>
      </w:r>
    </w:p>
    <w:p w14:paraId="7283A6EE">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反硝化深床滤池是集生物脱氮及过滤功能合二为一的处理单元，是脱氮及过滤并举的先进处理工艺。滤池采用2</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3mm石英砂介质滤料，滤床深度通常为1.83m</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滤池可保证出水SS低于5mg/L以下。绝大多数滤池表层很容易堵塞或板结，很快失去水头，而反硝化深床滤池采用独特的均质石英砂允许固体杂质透过滤床的表层，深入滤池的滤料中，从而达到整个滤池纵深截留固体物的优异效果。</w:t>
      </w:r>
    </w:p>
    <w:p w14:paraId="74CBC9B9">
      <w:pPr>
        <w:keepNext w:val="0"/>
        <w:keepLines w:val="0"/>
        <w:pageBreakBefore w:val="0"/>
        <w:widowControl/>
        <w:kinsoku w:val="0"/>
        <w:wordWrap/>
        <w:overflowPunct/>
        <w:topLinePunct w:val="0"/>
        <w:autoSpaceDE w:val="0"/>
        <w:autoSpaceDN w:val="0"/>
        <w:bidi w:val="0"/>
        <w:adjustRightInd/>
        <w:snapToGrid/>
        <w:spacing w:line="360" w:lineRule="auto"/>
        <w:ind w:left="0" w:leftChars="0" w:firstLine="0" w:firstLineChars="0"/>
        <w:jc w:val="center"/>
        <w:textAlignment w:val="baseline"/>
        <w:rPr>
          <w:rFonts w:hint="default" w:ascii="Times New Roman" w:hAnsi="Times New Roman" w:cs="Times New Roman" w:eastAsiaTheme="minorEastAsia"/>
          <w:color w:val="auto"/>
          <w:sz w:val="24"/>
          <w:szCs w:val="24"/>
        </w:rPr>
      </w:pPr>
      <w:r>
        <w:rPr>
          <w:color w:val="auto"/>
        </w:rPr>
        <w:drawing>
          <wp:inline distT="0" distB="0" distL="114300" distR="114300">
            <wp:extent cx="5304155" cy="3522345"/>
            <wp:effectExtent l="0" t="0" r="10795" b="1905"/>
            <wp:docPr id="1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
                    <pic:cNvPicPr>
                      <a:picLocks noChangeAspect="1"/>
                    </pic:cNvPicPr>
                  </pic:nvPicPr>
                  <pic:blipFill>
                    <a:blip r:embed="rId52"/>
                    <a:stretch>
                      <a:fillRect/>
                    </a:stretch>
                  </pic:blipFill>
                  <pic:spPr>
                    <a:xfrm>
                      <a:off x="0" y="0"/>
                      <a:ext cx="5304155" cy="3522345"/>
                    </a:xfrm>
                    <a:prstGeom prst="rect">
                      <a:avLst/>
                    </a:prstGeom>
                    <a:noFill/>
                    <a:ln>
                      <a:noFill/>
                    </a:ln>
                  </pic:spPr>
                </pic:pic>
              </a:graphicData>
            </a:graphic>
          </wp:inline>
        </w:drawing>
      </w:r>
    </w:p>
    <w:p w14:paraId="58678B0F">
      <w:pPr>
        <w:pStyle w:val="19"/>
        <w:numPr>
          <w:ilvl w:val="0"/>
          <w:numId w:val="0"/>
        </w:numPr>
        <w:tabs>
          <w:tab w:val="clear" w:pos="0"/>
        </w:tabs>
        <w:bidi w:val="0"/>
        <w:ind w:leftChars="0"/>
        <w:jc w:val="center"/>
        <w:rPr>
          <w:rFonts w:hint="default"/>
          <w:color w:val="auto"/>
        </w:rPr>
      </w:pPr>
      <w:r>
        <w:rPr>
          <w:color w:val="auto"/>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6</w:t>
      </w:r>
      <w:r>
        <w:rPr>
          <w:color w:val="auto"/>
        </w:rPr>
        <w:fldChar w:fldCharType="end"/>
      </w:r>
      <w:r>
        <w:rPr>
          <w:rFonts w:hint="eastAsia"/>
          <w:color w:val="auto"/>
          <w:lang w:val="en-US" w:eastAsia="zh-CN"/>
        </w:rPr>
        <w:t xml:space="preserve"> </w:t>
      </w:r>
      <w:r>
        <w:rPr>
          <w:rFonts w:hint="default"/>
          <w:color w:val="auto"/>
        </w:rPr>
        <w:t>反硝化深床滤池工艺流程图</w:t>
      </w:r>
    </w:p>
    <w:p w14:paraId="7B14FA2A">
      <w:pPr>
        <w:pageBreakBefore w:val="0"/>
        <w:wordWrap/>
        <w:bidi w:val="0"/>
        <w:adjustRightInd/>
        <w:snapToGrid/>
        <w:rPr>
          <w:rFonts w:hint="default" w:ascii="Times New Roman" w:hAnsi="Times New Roman" w:cs="Times New Roman" w:eastAsiaTheme="minorEastAsia"/>
          <w:color w:val="auto"/>
          <w:sz w:val="24"/>
          <w:szCs w:val="24"/>
        </w:rPr>
      </w:pPr>
      <w:r>
        <w:rPr>
          <w:rFonts w:hint="default"/>
          <w:color w:val="auto"/>
        </w:rPr>
        <w:t>反硝化滤池采用特殊规格及形状的石英砂作为反硝化生物的挂膜介质，同时深床又是硝态氮</w:t>
      </w:r>
      <w:r>
        <w:rPr>
          <w:rFonts w:hint="default"/>
          <w:color w:val="auto"/>
          <w:lang w:eastAsia="zh-CN"/>
        </w:rPr>
        <w:t>（</w:t>
      </w:r>
      <w:r>
        <w:rPr>
          <w:rFonts w:hint="default"/>
          <w:color w:val="auto"/>
        </w:rPr>
        <w:t>NO</w:t>
      </w:r>
      <w:r>
        <w:rPr>
          <w:rFonts w:hint="default"/>
          <w:color w:val="auto"/>
          <w:vertAlign w:val="subscript"/>
        </w:rPr>
        <w:t>3</w:t>
      </w:r>
      <w:r>
        <w:rPr>
          <w:rFonts w:hint="default"/>
          <w:color w:val="auto"/>
        </w:rPr>
        <w:t>-N</w:t>
      </w:r>
      <w:r>
        <w:rPr>
          <w:rFonts w:hint="default"/>
          <w:color w:val="auto"/>
          <w:lang w:eastAsia="zh-CN"/>
        </w:rPr>
        <w:t>）</w:t>
      </w:r>
      <w:r>
        <w:rPr>
          <w:rFonts w:hint="default"/>
          <w:color w:val="auto"/>
        </w:rPr>
        <w:t>及悬浮物极好的去除构筑物。2</w:t>
      </w:r>
      <w:r>
        <w:rPr>
          <w:rFonts w:hint="eastAsia"/>
          <w:color w:val="auto"/>
          <w:lang w:eastAsia="zh-CN"/>
        </w:rPr>
        <w:t>～</w:t>
      </w:r>
      <w:r>
        <w:rPr>
          <w:rFonts w:hint="default"/>
          <w:color w:val="auto"/>
        </w:rPr>
        <w:t>3毫米介质的比表面积较大。1.83m深介质的滤床足以避免窜流或穿透现象，即使前段处理工艺发生污泥膨胀或异常情况也不会使滤床发生水力穿透。介质有极好的悬浮物截留功效，在反冲洗周期区间，每单位过滤面积能保证截留7.3kg的固体悬浮物。固体物负荷高的特性大大延长了滤池过滤周期，减少了反冲洗次数，并能轻松应对峰值</w:t>
      </w:r>
      <w:r>
        <w:rPr>
          <w:rFonts w:hint="default" w:ascii="Times New Roman" w:hAnsi="Times New Roman" w:cs="Times New Roman" w:eastAsiaTheme="minorEastAsia"/>
          <w:color w:val="auto"/>
          <w:sz w:val="24"/>
          <w:szCs w:val="24"/>
        </w:rPr>
        <w:t>流量或处理厂污泥膨胀等异常情况。</w:t>
      </w:r>
    </w:p>
    <w:p w14:paraId="204BF05C">
      <w:pPr>
        <w:bidi w:val="0"/>
        <w:rPr>
          <w:rFonts w:hint="default"/>
          <w:color w:val="auto"/>
        </w:rPr>
      </w:pPr>
      <w:r>
        <w:rPr>
          <w:rFonts w:hint="default"/>
          <w:color w:val="auto"/>
        </w:rPr>
        <w:t>悬浮物不断的被截留会增加水头损失，因此需要反冲洗来去除截留的固体物。由于固体物负荷高、床体深，因此需要高强度的反冲洗。反硝化滤池采用气、水协同进行反冲洗。反冲洗污水一般返回到前段生物处理单元。</w:t>
      </w:r>
    </w:p>
    <w:p w14:paraId="337E3BEB">
      <w:pPr>
        <w:bidi w:val="0"/>
        <w:rPr>
          <w:rFonts w:hint="default"/>
          <w:color w:val="auto"/>
        </w:rPr>
      </w:pPr>
      <w:r>
        <w:rPr>
          <w:rFonts w:hint="default"/>
          <w:color w:val="auto"/>
        </w:rPr>
        <w:t>滤池反冲洗流程通常需要三个阶段：气洗；气水联合反冲洗；水洗或漂洗。</w:t>
      </w:r>
    </w:p>
    <w:p w14:paraId="21BE1BDC">
      <w:pPr>
        <w:bidi w:val="0"/>
        <w:rPr>
          <w:rFonts w:hint="default"/>
          <w:color w:val="auto"/>
        </w:rPr>
      </w:pPr>
      <w:r>
        <w:rPr>
          <w:rFonts w:hint="default"/>
          <w:color w:val="auto"/>
        </w:rPr>
        <w:t>反硝化深床滤池主要功能：</w:t>
      </w:r>
    </w:p>
    <w:p w14:paraId="01CE0952">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反硝化深床滤池结构简单实用，集多种污染物去除功能于一个处理单元，对悬浮物、TN和TP均有相当好的去除效果。运行经验表明，在无需化学加药除磷的情况下，可以满足出水水质BOD&lt;5mg/L</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SS&lt;5mg/L</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TN&lt;10mg/L</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TP&lt;1mg/L。在进行化学除磷的情况下，出水TP&lt;0.3mg/L。</w:t>
      </w:r>
    </w:p>
    <w:p w14:paraId="5461F997">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去除TN</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利用适量优质碳源，附着生长在石英砂表面上的反硝化细菌把NOx-N转换成N₂完成脱氮反应过程。在反硝化过程中，由于硝态氮不断被还原为氮气，深床滤池中会集聚大量的氮气，增强微生物与水流的接触，同时也提高了过滤效率。</w:t>
      </w:r>
    </w:p>
    <w:p w14:paraId="4370E3B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去除SS</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每毫克SS中含BOD5约0.4~0.5毫克，因此去除出水中固体悬浮物的同时，也降低了出水中的BOD</w:t>
      </w:r>
      <w:r>
        <w:rPr>
          <w:rFonts w:hint="default" w:ascii="Times New Roman" w:hAnsi="Times New Roman" w:cs="Times New Roman" w:eastAsiaTheme="minorEastAsia"/>
          <w:color w:val="auto"/>
          <w:sz w:val="24"/>
          <w:szCs w:val="24"/>
          <w:vertAlign w:val="subscript"/>
        </w:rPr>
        <w:t>5</w:t>
      </w:r>
      <w:r>
        <w:rPr>
          <w:rFonts w:hint="default" w:ascii="Times New Roman" w:hAnsi="Times New Roman" w:cs="Times New Roman" w:eastAsiaTheme="minorEastAsia"/>
          <w:color w:val="auto"/>
          <w:sz w:val="24"/>
          <w:szCs w:val="24"/>
        </w:rPr>
        <w:t>。另外，出水中固体悬浮物含有氮、磷及其他重金属物质，去除固体悬浮物通常能降低1mg/L以上的上述杂质。</w:t>
      </w:r>
      <w:r>
        <w:rPr>
          <w:rFonts w:hint="default" w:ascii="Times New Roman" w:hAnsi="Times New Roman" w:cs="Times New Roman" w:eastAsiaTheme="minorEastAsia"/>
          <w:b/>
          <w:bCs/>
          <w:color w:val="auto"/>
          <w:sz w:val="24"/>
          <w:szCs w:val="24"/>
        </w:rPr>
        <w:t>配合适当的化学处理，能使出水总磷稳定降至0.3mg/L以下。反硝化滤池能轻松满足浊度&lt;2NTU或SS&lt;5mg/L的要求。</w:t>
      </w:r>
    </w:p>
    <w:p w14:paraId="348886D0">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eastAsia" w:cs="Times New Roman" w:eastAsiaTheme="minorEastAsia"/>
          <w:b/>
          <w:bCs/>
          <w:color w:val="auto"/>
          <w:sz w:val="24"/>
          <w:szCs w:val="24"/>
          <w:lang w:val="en-US" w:eastAsia="zh-CN"/>
        </w:rPr>
        <w:t>8、</w:t>
      </w:r>
      <w:r>
        <w:rPr>
          <w:rFonts w:hint="default" w:ascii="Times New Roman" w:hAnsi="Times New Roman" w:cs="Times New Roman" w:eastAsiaTheme="minorEastAsia"/>
          <w:b/>
          <w:bCs/>
          <w:color w:val="auto"/>
          <w:sz w:val="24"/>
          <w:szCs w:val="24"/>
        </w:rPr>
        <w:t>消毒工艺的选择</w:t>
      </w:r>
    </w:p>
    <w:p w14:paraId="46DAE3C8">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国家环保总局和国家市场监督管理总局颁布的《城镇污水处理厂污染物排放标准》</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GB18918-2002</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中，将处理后出水中的微生物指标列为基本控制指标，将粪大肠菌群列为基本控制项目。本处理厂执行该标准规定的一级A类标准，其粪便大肠菌群最高允许排放浓度不超过1000个/L</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以便使污水处理标准的病理指标与国际接轨。</w:t>
      </w:r>
    </w:p>
    <w:p w14:paraId="59A72682">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因此，要求处理后的出水必须进行消毒处理。</w:t>
      </w:r>
    </w:p>
    <w:p w14:paraId="54C7E653">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eastAsia" w:cs="Times New Roman" w:eastAsiaTheme="minorEastAsia"/>
          <w:b/>
          <w:bCs/>
          <w:color w:val="auto"/>
          <w:sz w:val="24"/>
          <w:szCs w:val="24"/>
          <w:lang w:eastAsia="zh-CN"/>
        </w:rPr>
        <w:t>（</w:t>
      </w:r>
      <w:r>
        <w:rPr>
          <w:rFonts w:hint="eastAsia" w:cs="Times New Roman" w:eastAsiaTheme="minorEastAsia"/>
          <w:b/>
          <w:bCs/>
          <w:color w:val="auto"/>
          <w:sz w:val="24"/>
          <w:szCs w:val="24"/>
          <w:lang w:val="en-US" w:eastAsia="zh-CN"/>
        </w:rPr>
        <w:t>1</w:t>
      </w:r>
      <w:r>
        <w:rPr>
          <w:rFonts w:hint="eastAsia"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消毒方法概述</w:t>
      </w:r>
    </w:p>
    <w:p w14:paraId="40E34FE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常用的消毒方法有氯消毒、ClO₂、紫外线、臭氧、热处理、膜过滤等。</w:t>
      </w:r>
    </w:p>
    <w:p w14:paraId="4D4F28E4">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1</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氯、ClO₂法</w:t>
      </w:r>
    </w:p>
    <w:p w14:paraId="3BF4F802">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加氯法主要是投加液氯或氯化合物。二氧化氯是迄今为止最常用的方法，其特点是液氯成本低、工艺成熟、效果稳定可靠。由于加氯法一般要求不少于30min的接触时间，接触池容积较大；氯气是剧毒危险品，存储氯气的钢瓶属高压容器，有潜在威胁，需要按安全规定兴建氯库和加氯间，需要设置漏氯吸收装置；液氯消毒将生成有害的有机氯化物，在国外和我国，污水采用液氯消毒往往是应急措施，只是季节性或疫病流行时使用。</w:t>
      </w:r>
    </w:p>
    <w:p w14:paraId="532CC29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含氯化合物包括次氯酸钠、漂白粉和二氧化氯等。其特点与液氯相似，但危险性小，对环境影响较小，但运行成本较高。二氧化氯发生器原理是采用盐酸和氯酸钠为原理经过负压曝气工艺制取复合二氧化氯消毒液。在法国，离海岸较近的部分污水排放口和南部的几个排河二级污水处理厂采用了二氧化氯消毒。</w:t>
      </w:r>
    </w:p>
    <w:p w14:paraId="627BFCA0">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2</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氧化法</w:t>
      </w:r>
    </w:p>
    <w:p w14:paraId="27588027">
      <w:pPr>
        <w:bidi w:val="0"/>
        <w:rPr>
          <w:rFonts w:hint="default"/>
          <w:color w:val="auto"/>
        </w:rPr>
      </w:pPr>
      <w:r>
        <w:rPr>
          <w:rFonts w:hint="default"/>
          <w:color w:val="auto"/>
        </w:rPr>
        <w:t>氧化剂可以作为二级处理出水的消毒剂，最常用的是臭氧。臭氧消毒是杀菌彻底可靠，危险性较小，对环境基本上无副作用，接触时间比加氯法小。缺点是基建投资大，运行成本高。目前，一般只用于</w:t>
      </w:r>
      <w:bookmarkStart w:id="82" w:name="bookmark68"/>
      <w:bookmarkEnd w:id="82"/>
      <w:r>
        <w:rPr>
          <w:rFonts w:hint="default"/>
          <w:color w:val="auto"/>
        </w:rPr>
        <w:t>游泳池水和饮用水的消毒。北美个别污水处理厂采用O₃消毒污水，德国有几个</w:t>
      </w:r>
      <w:r>
        <w:rPr>
          <w:rFonts w:hint="eastAsia"/>
          <w:color w:val="auto"/>
          <w:lang w:eastAsia="zh-CN"/>
        </w:rPr>
        <w:t>污水处理厂</w:t>
      </w:r>
      <w:r>
        <w:rPr>
          <w:rFonts w:hint="default"/>
          <w:color w:val="auto"/>
        </w:rPr>
        <w:t>在结合紫外线照射法做试验。</w:t>
      </w:r>
    </w:p>
    <w:p w14:paraId="7CD2717E">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3</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紫外线消毒法</w:t>
      </w:r>
    </w:p>
    <w:p w14:paraId="0349AD46">
      <w:pPr>
        <w:bidi w:val="0"/>
        <w:rPr>
          <w:rFonts w:hint="default"/>
          <w:color w:val="auto"/>
        </w:rPr>
      </w:pPr>
      <w:r>
        <w:rPr>
          <w:rFonts w:hint="default"/>
          <w:color w:val="auto"/>
        </w:rPr>
        <w:t>紫外线是近十多年来发展得最快的一种方法。在一些国家，紫外线有逐步取代氯消毒、成为污水处理厂主要消毒方式的趋势。</w:t>
      </w:r>
    </w:p>
    <w:p w14:paraId="5DBE1EE4">
      <w:pPr>
        <w:bidi w:val="0"/>
        <w:rPr>
          <w:rFonts w:hint="default"/>
          <w:color w:val="auto"/>
        </w:rPr>
      </w:pPr>
      <w:r>
        <w:rPr>
          <w:rFonts w:hint="default"/>
          <w:color w:val="auto"/>
        </w:rPr>
        <w:t>紫外线消毒的基本原理为：紫外线对微生物的遗传物质</w:t>
      </w:r>
      <w:r>
        <w:rPr>
          <w:rFonts w:hint="default"/>
          <w:color w:val="auto"/>
          <w:lang w:eastAsia="zh-CN"/>
        </w:rPr>
        <w:t>（</w:t>
      </w:r>
      <w:r>
        <w:rPr>
          <w:rFonts w:hint="default"/>
          <w:color w:val="auto"/>
        </w:rPr>
        <w:t>即DNA</w:t>
      </w:r>
      <w:r>
        <w:rPr>
          <w:rFonts w:hint="default"/>
          <w:color w:val="auto"/>
          <w:lang w:eastAsia="zh-CN"/>
        </w:rPr>
        <w:t>）</w:t>
      </w:r>
      <w:r>
        <w:rPr>
          <w:rFonts w:hint="default"/>
          <w:color w:val="auto"/>
        </w:rPr>
        <w:t>有畸变作用，在吸收了一定剂量的紫外线后，DNA的结合键断裂，细胞失去活力，无法进行繁殖，细菌数量大幅度减少，达到灭菌的目的。因为当紫外线的波长为254mm时，DNA对紫外线的吸收达到最大，在这一波长具有最大能量输出的低压水银弧灯被广泛使用，在水量较大时，也使用中压或高压水银弧灯。</w:t>
      </w:r>
    </w:p>
    <w:p w14:paraId="3A7FBDD0">
      <w:pPr>
        <w:bidi w:val="0"/>
        <w:rPr>
          <w:rFonts w:hint="default"/>
          <w:color w:val="auto"/>
        </w:rPr>
      </w:pPr>
      <w:r>
        <w:rPr>
          <w:rFonts w:hint="default"/>
          <w:color w:val="auto"/>
        </w:rPr>
        <w:t>紫外线消毒的主要优点是灭菌效率高，作用时间短，危险性小，无二次污染等。并且消毒时间短，不需建造较大的接触池，建消毒渠即可，占地面积和土建费用大大减少。缺点是设备投资高，灯管寿命短，运行费用高，管理维修麻烦，抗悬浮固体干扰的能力差，对水中SS浓度有严格要求。由于采用紫外线消毒方案危险性小，没有二次污染的特点，在国内的应用实例逐渐增多。</w:t>
      </w:r>
    </w:p>
    <w:p w14:paraId="4F2B1C35">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4</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热处理法</w:t>
      </w:r>
    </w:p>
    <w:p w14:paraId="3A1FC47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热处理法是最彻底的消毒方法，也是最昂贵的方法。为保证可靠的灭菌效果，废水要在高压、100℃以上的条件下加热一定时间，排放前又要降低到排放要求的温度，能耗很高。运行方式常为间歇运行方式，水量较大时也采用连续运行方式。一般都安装了热交换器，回收余热。目前，该法只用于一些要求高、危险性大的废水。在德国，热处理法用于医院、基因工程工厂、动物尸体销毁站的废水消毒。</w:t>
      </w:r>
    </w:p>
    <w:p w14:paraId="3F612764">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5</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膜过滤法</w:t>
      </w:r>
    </w:p>
    <w:p w14:paraId="546D8D37">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膜过滤法主要用于饮用水和特种工业用水的消毒处理，用于废水消毒的只有英国和澳大利亚，各有一个厂在运行，德国有几个厂在试验中。该法的特点是除消毒外，还可去除</w:t>
      </w:r>
      <w:r>
        <w:rPr>
          <w:rFonts w:hint="eastAsia" w:cs="Times New Roman" w:eastAsiaTheme="minorEastAsia"/>
          <w:color w:val="auto"/>
          <w:sz w:val="24"/>
          <w:szCs w:val="24"/>
          <w:lang w:eastAsia="zh-CN"/>
        </w:rPr>
        <w:t>其他杂质</w:t>
      </w:r>
      <w:r>
        <w:rPr>
          <w:rFonts w:hint="default" w:ascii="Times New Roman" w:hAnsi="Times New Roman" w:cs="Times New Roman" w:eastAsiaTheme="minorEastAsia"/>
          <w:color w:val="auto"/>
          <w:sz w:val="24"/>
          <w:szCs w:val="24"/>
        </w:rPr>
        <w:t>。由于孔易堵塞，膜易积垢且冲洗困难，能耗高，化学药昂贵，成本也高，目前无法推广。</w:t>
      </w:r>
    </w:p>
    <w:p w14:paraId="3891C397">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现将几种常用的消毒方法比较列于</w:t>
      </w:r>
      <w:r>
        <w:rPr>
          <w:rFonts w:hint="eastAsia" w:cs="Times New Roman" w:eastAsiaTheme="minorEastAsia"/>
          <w:color w:val="auto"/>
          <w:sz w:val="24"/>
          <w:szCs w:val="24"/>
          <w:lang w:val="en-US" w:eastAsia="zh-CN"/>
        </w:rPr>
        <w:t>下表</w:t>
      </w:r>
      <w:r>
        <w:rPr>
          <w:rFonts w:hint="default" w:ascii="Times New Roman" w:hAnsi="Times New Roman" w:cs="Times New Roman" w:eastAsiaTheme="minorEastAsia"/>
          <w:color w:val="auto"/>
          <w:sz w:val="24"/>
          <w:szCs w:val="24"/>
        </w:rPr>
        <w:t>中。</w:t>
      </w:r>
    </w:p>
    <w:p w14:paraId="6F3F10E4">
      <w:pPr>
        <w:pStyle w:val="19"/>
        <w:numPr>
          <w:ilvl w:val="0"/>
          <w:numId w:val="16"/>
        </w:numPr>
        <w:bidi w:val="0"/>
        <w:ind w:left="0" w:leftChars="0" w:firstLine="0" w:firstLineChars="0"/>
        <w:rPr>
          <w:rFonts w:hint="default"/>
          <w:color w:val="auto"/>
        </w:rPr>
      </w:pPr>
      <w:r>
        <w:rPr>
          <w:rFonts w:hint="default"/>
          <w:color w:val="auto"/>
        </w:rPr>
        <w:t>各种消毒技术的比较</w:t>
      </w:r>
    </w:p>
    <w:tbl>
      <w:tblPr>
        <w:tblStyle w:val="706"/>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718"/>
        <w:gridCol w:w="1040"/>
        <w:gridCol w:w="1187"/>
        <w:gridCol w:w="1075"/>
        <w:gridCol w:w="984"/>
        <w:gridCol w:w="1256"/>
        <w:gridCol w:w="906"/>
        <w:gridCol w:w="1137"/>
      </w:tblGrid>
      <w:tr w14:paraId="254F53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32" w:type="pct"/>
            <w:tcBorders>
              <w:tl2br w:val="nil"/>
              <w:tr2bl w:val="nil"/>
            </w:tcBorders>
            <w:vAlign w:val="center"/>
          </w:tcPr>
          <w:p w14:paraId="4E348F5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w:t>
            </w:r>
          </w:p>
        </w:tc>
        <w:tc>
          <w:tcPr>
            <w:tcW w:w="626" w:type="pct"/>
            <w:tcBorders>
              <w:tl2br w:val="nil"/>
              <w:tr2bl w:val="nil"/>
            </w:tcBorders>
            <w:vAlign w:val="center"/>
          </w:tcPr>
          <w:p w14:paraId="4BED52D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液氯</w:t>
            </w:r>
          </w:p>
        </w:tc>
        <w:tc>
          <w:tcPr>
            <w:tcW w:w="714" w:type="pct"/>
            <w:tcBorders>
              <w:tl2br w:val="nil"/>
              <w:tr2bl w:val="nil"/>
            </w:tcBorders>
            <w:vAlign w:val="center"/>
          </w:tcPr>
          <w:p w14:paraId="46EF2EC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二氧化氯</w:t>
            </w:r>
          </w:p>
        </w:tc>
        <w:tc>
          <w:tcPr>
            <w:tcW w:w="647" w:type="pct"/>
            <w:tcBorders>
              <w:tl2br w:val="nil"/>
              <w:tr2bl w:val="nil"/>
            </w:tcBorders>
            <w:vAlign w:val="center"/>
          </w:tcPr>
          <w:p w14:paraId="480D4A6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臭氧</w:t>
            </w:r>
          </w:p>
        </w:tc>
        <w:tc>
          <w:tcPr>
            <w:tcW w:w="592" w:type="pct"/>
            <w:tcBorders>
              <w:tl2br w:val="nil"/>
              <w:tr2bl w:val="nil"/>
            </w:tcBorders>
            <w:vAlign w:val="center"/>
          </w:tcPr>
          <w:p w14:paraId="57ED2C1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过醋酸</w:t>
            </w:r>
          </w:p>
        </w:tc>
        <w:tc>
          <w:tcPr>
            <w:tcW w:w="756" w:type="pct"/>
            <w:tcBorders>
              <w:tl2br w:val="nil"/>
              <w:tr2bl w:val="nil"/>
            </w:tcBorders>
            <w:vAlign w:val="center"/>
          </w:tcPr>
          <w:p w14:paraId="248B880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紫外线照射</w:t>
            </w:r>
          </w:p>
        </w:tc>
        <w:tc>
          <w:tcPr>
            <w:tcW w:w="545" w:type="pct"/>
            <w:tcBorders>
              <w:tl2br w:val="nil"/>
              <w:tr2bl w:val="nil"/>
            </w:tcBorders>
            <w:vAlign w:val="center"/>
          </w:tcPr>
          <w:p w14:paraId="3DAA8CF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热处理</w:t>
            </w:r>
          </w:p>
        </w:tc>
        <w:tc>
          <w:tcPr>
            <w:tcW w:w="684" w:type="pct"/>
            <w:tcBorders>
              <w:tl2br w:val="nil"/>
              <w:tr2bl w:val="nil"/>
            </w:tcBorders>
            <w:vAlign w:val="center"/>
          </w:tcPr>
          <w:p w14:paraId="05F3C57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膜过滤</w:t>
            </w:r>
          </w:p>
        </w:tc>
      </w:tr>
      <w:tr w14:paraId="1FBB94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32" w:type="pct"/>
            <w:tcBorders>
              <w:tl2br w:val="nil"/>
              <w:tr2bl w:val="nil"/>
            </w:tcBorders>
            <w:vAlign w:val="center"/>
          </w:tcPr>
          <w:p w14:paraId="1CBB4E2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应用范围</w:t>
            </w:r>
          </w:p>
        </w:tc>
        <w:tc>
          <w:tcPr>
            <w:tcW w:w="626" w:type="pct"/>
            <w:tcBorders>
              <w:tl2br w:val="nil"/>
              <w:tr2bl w:val="nil"/>
            </w:tcBorders>
            <w:vAlign w:val="center"/>
          </w:tcPr>
          <w:p w14:paraId="20ECBE5C">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自来水和各种废水</w:t>
            </w:r>
          </w:p>
        </w:tc>
        <w:tc>
          <w:tcPr>
            <w:tcW w:w="714" w:type="pct"/>
            <w:tcBorders>
              <w:tl2br w:val="nil"/>
              <w:tr2bl w:val="nil"/>
            </w:tcBorders>
            <w:vAlign w:val="center"/>
          </w:tcPr>
          <w:p w14:paraId="2574D71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自来水和各种废水</w:t>
            </w:r>
          </w:p>
        </w:tc>
        <w:tc>
          <w:tcPr>
            <w:tcW w:w="647" w:type="pct"/>
            <w:tcBorders>
              <w:tl2br w:val="nil"/>
              <w:tr2bl w:val="nil"/>
            </w:tcBorders>
            <w:vAlign w:val="center"/>
          </w:tcPr>
          <w:p w14:paraId="71A9986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饮用水和游泳池水</w:t>
            </w:r>
          </w:p>
        </w:tc>
        <w:tc>
          <w:tcPr>
            <w:tcW w:w="592" w:type="pct"/>
            <w:tcBorders>
              <w:tl2br w:val="nil"/>
              <w:tr2bl w:val="nil"/>
            </w:tcBorders>
            <w:vAlign w:val="center"/>
          </w:tcPr>
          <w:p w14:paraId="74879CB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各种废水</w:t>
            </w:r>
          </w:p>
        </w:tc>
        <w:tc>
          <w:tcPr>
            <w:tcW w:w="756" w:type="pct"/>
            <w:tcBorders>
              <w:tl2br w:val="nil"/>
              <w:tr2bl w:val="nil"/>
            </w:tcBorders>
            <w:vAlign w:val="center"/>
          </w:tcPr>
          <w:p w14:paraId="7A03782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自来水和经二级或三级处理的废水</w:t>
            </w:r>
          </w:p>
        </w:tc>
        <w:tc>
          <w:tcPr>
            <w:tcW w:w="545" w:type="pct"/>
            <w:tcBorders>
              <w:tl2br w:val="nil"/>
              <w:tr2bl w:val="nil"/>
            </w:tcBorders>
            <w:vAlign w:val="center"/>
          </w:tcPr>
          <w:p w14:paraId="2244EA6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医院、屠宰场等含病原菌的污水</w:t>
            </w:r>
          </w:p>
        </w:tc>
        <w:tc>
          <w:tcPr>
            <w:tcW w:w="684" w:type="pct"/>
            <w:tcBorders>
              <w:tl2br w:val="nil"/>
              <w:tr2bl w:val="nil"/>
            </w:tcBorders>
            <w:vAlign w:val="center"/>
          </w:tcPr>
          <w:p w14:paraId="104D551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饮用水和特种工业用水</w:t>
            </w:r>
          </w:p>
        </w:tc>
      </w:tr>
      <w:tr w14:paraId="46AB56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32" w:type="pct"/>
            <w:tcBorders>
              <w:tl2br w:val="nil"/>
              <w:tr2bl w:val="nil"/>
            </w:tcBorders>
            <w:vAlign w:val="center"/>
          </w:tcPr>
          <w:p w14:paraId="1EF7E31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优点</w:t>
            </w:r>
          </w:p>
        </w:tc>
        <w:tc>
          <w:tcPr>
            <w:tcW w:w="626" w:type="pct"/>
            <w:tcBorders>
              <w:tl2br w:val="nil"/>
              <w:tr2bl w:val="nil"/>
            </w:tcBorders>
            <w:vAlign w:val="center"/>
          </w:tcPr>
          <w:p w14:paraId="09E462F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工艺成熟、处理效果稳定，设备投资和运行费用低</w:t>
            </w:r>
          </w:p>
        </w:tc>
        <w:tc>
          <w:tcPr>
            <w:tcW w:w="714" w:type="pct"/>
            <w:tcBorders>
              <w:tl2br w:val="nil"/>
              <w:tr2bl w:val="nil"/>
            </w:tcBorders>
            <w:vAlign w:val="center"/>
          </w:tcPr>
          <w:p w14:paraId="4CEF5BCC">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处理效果稳定，设备投资少，对环境影响较液氯小</w:t>
            </w:r>
          </w:p>
        </w:tc>
        <w:tc>
          <w:tcPr>
            <w:tcW w:w="647" w:type="pct"/>
            <w:tcBorders>
              <w:tl2br w:val="nil"/>
              <w:tr2bl w:val="nil"/>
            </w:tcBorders>
            <w:vAlign w:val="center"/>
          </w:tcPr>
          <w:p w14:paraId="2D781CBC">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占地面积小，杀菌效率高，并有脱色和除臭效果，对环境影响小</w:t>
            </w:r>
          </w:p>
        </w:tc>
        <w:tc>
          <w:tcPr>
            <w:tcW w:w="592" w:type="pct"/>
            <w:tcBorders>
              <w:tl2br w:val="nil"/>
              <w:tr2bl w:val="nil"/>
            </w:tcBorders>
            <w:vAlign w:val="center"/>
          </w:tcPr>
          <w:p w14:paraId="3F240FD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占地面积小，杀菌效率高，并有除臭和控制污泥膨胀的效果</w:t>
            </w:r>
          </w:p>
        </w:tc>
        <w:tc>
          <w:tcPr>
            <w:tcW w:w="756" w:type="pct"/>
            <w:tcBorders>
              <w:tl2br w:val="nil"/>
              <w:tr2bl w:val="nil"/>
            </w:tcBorders>
            <w:vAlign w:val="center"/>
          </w:tcPr>
          <w:p w14:paraId="0A734A0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占地面积小，杀菌效率高，危险性小，无二次污染</w:t>
            </w:r>
          </w:p>
        </w:tc>
        <w:tc>
          <w:tcPr>
            <w:tcW w:w="545" w:type="pct"/>
            <w:tcBorders>
              <w:tl2br w:val="nil"/>
              <w:tr2bl w:val="nil"/>
            </w:tcBorders>
            <w:vAlign w:val="center"/>
          </w:tcPr>
          <w:p w14:paraId="4D03DDF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杀菌彻底</w:t>
            </w:r>
          </w:p>
        </w:tc>
        <w:tc>
          <w:tcPr>
            <w:tcW w:w="684" w:type="pct"/>
            <w:tcBorders>
              <w:tl2br w:val="nil"/>
              <w:tr2bl w:val="nil"/>
            </w:tcBorders>
            <w:vAlign w:val="center"/>
          </w:tcPr>
          <w:p w14:paraId="36CF3AD6">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可过滤其他杂质，无危险性，无副作用</w:t>
            </w:r>
          </w:p>
        </w:tc>
      </w:tr>
      <w:tr w14:paraId="680D81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32" w:type="pct"/>
            <w:tcBorders>
              <w:tl2br w:val="nil"/>
              <w:tr2bl w:val="nil"/>
            </w:tcBorders>
            <w:vAlign w:val="center"/>
          </w:tcPr>
          <w:p w14:paraId="1D1D933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缺点</w:t>
            </w:r>
          </w:p>
        </w:tc>
        <w:tc>
          <w:tcPr>
            <w:tcW w:w="626" w:type="pct"/>
            <w:tcBorders>
              <w:tl2br w:val="nil"/>
              <w:tr2bl w:val="nil"/>
            </w:tcBorders>
            <w:vAlign w:val="center"/>
          </w:tcPr>
          <w:p w14:paraId="2806615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占地面积大，有潜在危险性和二次污染</w:t>
            </w:r>
          </w:p>
        </w:tc>
        <w:tc>
          <w:tcPr>
            <w:tcW w:w="714" w:type="pct"/>
            <w:tcBorders>
              <w:tl2br w:val="nil"/>
              <w:tr2bl w:val="nil"/>
            </w:tcBorders>
            <w:vAlign w:val="center"/>
          </w:tcPr>
          <w:p w14:paraId="6502D36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占地面积大，运行费用比液氯略高，有二次污染</w:t>
            </w:r>
          </w:p>
        </w:tc>
        <w:tc>
          <w:tcPr>
            <w:tcW w:w="647" w:type="pct"/>
            <w:tcBorders>
              <w:tl2br w:val="nil"/>
              <w:tr2bl w:val="nil"/>
            </w:tcBorders>
            <w:vAlign w:val="center"/>
          </w:tcPr>
          <w:p w14:paraId="3BE8DED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设备投资大，运行费用高</w:t>
            </w:r>
          </w:p>
        </w:tc>
        <w:tc>
          <w:tcPr>
            <w:tcW w:w="592" w:type="pct"/>
            <w:tcBorders>
              <w:tl2br w:val="nil"/>
              <w:tr2bl w:val="nil"/>
            </w:tcBorders>
            <w:vAlign w:val="center"/>
          </w:tcPr>
          <w:p w14:paraId="4412D6D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运行费用高</w:t>
            </w:r>
          </w:p>
        </w:tc>
        <w:tc>
          <w:tcPr>
            <w:tcW w:w="756" w:type="pct"/>
            <w:tcBorders>
              <w:tl2br w:val="nil"/>
              <w:tr2bl w:val="nil"/>
            </w:tcBorders>
            <w:vAlign w:val="center"/>
          </w:tcPr>
          <w:p w14:paraId="5106ED6C">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设备费用高，运行费高，灯管寿命短，受水质影响大</w:t>
            </w:r>
          </w:p>
        </w:tc>
        <w:tc>
          <w:tcPr>
            <w:tcW w:w="545" w:type="pct"/>
            <w:tcBorders>
              <w:tl2br w:val="nil"/>
              <w:tr2bl w:val="nil"/>
            </w:tcBorders>
            <w:vAlign w:val="center"/>
          </w:tcPr>
          <w:p w14:paraId="139D625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能耗大，操作复杂</w:t>
            </w:r>
          </w:p>
        </w:tc>
        <w:tc>
          <w:tcPr>
            <w:tcW w:w="684" w:type="pct"/>
            <w:tcBorders>
              <w:tl2br w:val="nil"/>
              <w:tr2bl w:val="nil"/>
            </w:tcBorders>
            <w:vAlign w:val="center"/>
          </w:tcPr>
          <w:p w14:paraId="6D9E2D1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效果不稳定，操作复杂，运行费用高</w:t>
            </w:r>
          </w:p>
        </w:tc>
      </w:tr>
      <w:tr w14:paraId="472E29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32" w:type="pct"/>
            <w:tcBorders>
              <w:tl2br w:val="nil"/>
              <w:tr2bl w:val="nil"/>
            </w:tcBorders>
            <w:vAlign w:val="center"/>
          </w:tcPr>
          <w:p w14:paraId="7C14D83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基建投资</w:t>
            </w:r>
          </w:p>
        </w:tc>
        <w:tc>
          <w:tcPr>
            <w:tcW w:w="626" w:type="pct"/>
            <w:tcBorders>
              <w:tl2br w:val="nil"/>
              <w:tr2bl w:val="nil"/>
            </w:tcBorders>
            <w:vAlign w:val="center"/>
          </w:tcPr>
          <w:p w14:paraId="58819D4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w:t>
            </w:r>
          </w:p>
        </w:tc>
        <w:tc>
          <w:tcPr>
            <w:tcW w:w="714" w:type="pct"/>
            <w:tcBorders>
              <w:tl2br w:val="nil"/>
              <w:tr2bl w:val="nil"/>
            </w:tcBorders>
            <w:vAlign w:val="center"/>
          </w:tcPr>
          <w:p w14:paraId="2991EEE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低</w:t>
            </w:r>
          </w:p>
        </w:tc>
        <w:tc>
          <w:tcPr>
            <w:tcW w:w="647" w:type="pct"/>
            <w:tcBorders>
              <w:tl2br w:val="nil"/>
              <w:tr2bl w:val="nil"/>
            </w:tcBorders>
            <w:vAlign w:val="center"/>
          </w:tcPr>
          <w:p w14:paraId="6C9CB55C">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w:t>
            </w:r>
          </w:p>
        </w:tc>
        <w:tc>
          <w:tcPr>
            <w:tcW w:w="592" w:type="pct"/>
            <w:tcBorders>
              <w:tl2br w:val="nil"/>
              <w:tr2bl w:val="nil"/>
            </w:tcBorders>
            <w:vAlign w:val="center"/>
          </w:tcPr>
          <w:p w14:paraId="726B9DA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低</w:t>
            </w:r>
          </w:p>
        </w:tc>
        <w:tc>
          <w:tcPr>
            <w:tcW w:w="756" w:type="pct"/>
            <w:tcBorders>
              <w:tl2br w:val="nil"/>
              <w:tr2bl w:val="nil"/>
            </w:tcBorders>
            <w:vAlign w:val="center"/>
          </w:tcPr>
          <w:p w14:paraId="52046B7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w:t>
            </w:r>
          </w:p>
        </w:tc>
        <w:tc>
          <w:tcPr>
            <w:tcW w:w="545" w:type="pct"/>
            <w:tcBorders>
              <w:tl2br w:val="nil"/>
              <w:tr2bl w:val="nil"/>
            </w:tcBorders>
            <w:vAlign w:val="center"/>
          </w:tcPr>
          <w:p w14:paraId="3768268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w:t>
            </w:r>
          </w:p>
        </w:tc>
        <w:tc>
          <w:tcPr>
            <w:tcW w:w="684" w:type="pct"/>
            <w:tcBorders>
              <w:tl2br w:val="nil"/>
              <w:tr2bl w:val="nil"/>
            </w:tcBorders>
            <w:vAlign w:val="center"/>
          </w:tcPr>
          <w:p w14:paraId="4920966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w:t>
            </w:r>
          </w:p>
        </w:tc>
      </w:tr>
      <w:tr w14:paraId="57277B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32" w:type="pct"/>
            <w:tcBorders>
              <w:tl2br w:val="nil"/>
              <w:tr2bl w:val="nil"/>
            </w:tcBorders>
            <w:vAlign w:val="center"/>
          </w:tcPr>
          <w:p w14:paraId="5181EC5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运行费</w:t>
            </w:r>
          </w:p>
        </w:tc>
        <w:tc>
          <w:tcPr>
            <w:tcW w:w="626" w:type="pct"/>
            <w:tcBorders>
              <w:tl2br w:val="nil"/>
              <w:tr2bl w:val="nil"/>
            </w:tcBorders>
            <w:vAlign w:val="center"/>
          </w:tcPr>
          <w:p w14:paraId="795A5BA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低</w:t>
            </w:r>
          </w:p>
        </w:tc>
        <w:tc>
          <w:tcPr>
            <w:tcW w:w="714" w:type="pct"/>
            <w:tcBorders>
              <w:tl2br w:val="nil"/>
              <w:tr2bl w:val="nil"/>
            </w:tcBorders>
            <w:vAlign w:val="center"/>
          </w:tcPr>
          <w:p w14:paraId="236120A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w:t>
            </w:r>
          </w:p>
        </w:tc>
        <w:tc>
          <w:tcPr>
            <w:tcW w:w="647" w:type="pct"/>
            <w:tcBorders>
              <w:tl2br w:val="nil"/>
              <w:tr2bl w:val="nil"/>
            </w:tcBorders>
            <w:vAlign w:val="center"/>
          </w:tcPr>
          <w:p w14:paraId="60BAC14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w:t>
            </w:r>
          </w:p>
        </w:tc>
        <w:tc>
          <w:tcPr>
            <w:tcW w:w="592" w:type="pct"/>
            <w:tcBorders>
              <w:tl2br w:val="nil"/>
              <w:tr2bl w:val="nil"/>
            </w:tcBorders>
            <w:vAlign w:val="center"/>
          </w:tcPr>
          <w:p w14:paraId="2D064C5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w:t>
            </w:r>
          </w:p>
        </w:tc>
        <w:tc>
          <w:tcPr>
            <w:tcW w:w="756" w:type="pct"/>
            <w:tcBorders>
              <w:tl2br w:val="nil"/>
              <w:tr2bl w:val="nil"/>
            </w:tcBorders>
            <w:vAlign w:val="center"/>
          </w:tcPr>
          <w:p w14:paraId="46537BB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较高</w:t>
            </w:r>
          </w:p>
        </w:tc>
        <w:tc>
          <w:tcPr>
            <w:tcW w:w="545" w:type="pct"/>
            <w:tcBorders>
              <w:tl2br w:val="nil"/>
              <w:tr2bl w:val="nil"/>
            </w:tcBorders>
            <w:vAlign w:val="center"/>
          </w:tcPr>
          <w:p w14:paraId="2519BFE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w:t>
            </w:r>
          </w:p>
        </w:tc>
        <w:tc>
          <w:tcPr>
            <w:tcW w:w="684" w:type="pct"/>
            <w:tcBorders>
              <w:tl2br w:val="nil"/>
              <w:tr2bl w:val="nil"/>
            </w:tcBorders>
            <w:vAlign w:val="center"/>
          </w:tcPr>
          <w:p w14:paraId="520966C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高</w:t>
            </w:r>
          </w:p>
        </w:tc>
      </w:tr>
    </w:tbl>
    <w:p w14:paraId="7803400D">
      <w:pPr>
        <w:keepNext w:val="0"/>
        <w:keepLines w:val="0"/>
        <w:pageBreakBefore w:val="0"/>
        <w:widowControl/>
        <w:kinsoku w:val="0"/>
        <w:wordWrap/>
        <w:overflowPunct/>
        <w:topLinePunct w:val="0"/>
        <w:autoSpaceDE w:val="0"/>
        <w:autoSpaceDN w:val="0"/>
        <w:bidi w:val="0"/>
        <w:adjustRightInd/>
        <w:snapToGrid/>
        <w:spacing w:before="0" w:beforeLines="50"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eastAsia" w:cs="Times New Roman" w:eastAsiaTheme="minorEastAsia"/>
          <w:b/>
          <w:bCs/>
          <w:color w:val="auto"/>
          <w:sz w:val="24"/>
          <w:szCs w:val="24"/>
          <w:lang w:val="en-US" w:eastAsia="zh-CN"/>
        </w:rPr>
        <w:t>（2）</w:t>
      </w:r>
      <w:r>
        <w:rPr>
          <w:rFonts w:hint="default" w:ascii="Times New Roman" w:hAnsi="Times New Roman" w:cs="Times New Roman" w:eastAsiaTheme="minorEastAsia"/>
          <w:b/>
          <w:bCs/>
          <w:color w:val="auto"/>
          <w:sz w:val="24"/>
          <w:szCs w:val="24"/>
        </w:rPr>
        <w:t>消毒方案选择</w:t>
      </w:r>
    </w:p>
    <w:p w14:paraId="61F6911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从以上比较可以看出，二氧化氯消毒处理效果好，投资低，占地面积小，运行费用最低</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除液氯外</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同时考虑厂内中水回用对余氯指标也有一定的要求。根据可研及其批复，</w:t>
      </w:r>
      <w:r>
        <w:rPr>
          <w:rFonts w:hint="default" w:ascii="Times New Roman" w:hAnsi="Times New Roman" w:cs="Times New Roman" w:eastAsiaTheme="minorEastAsia"/>
          <w:b/>
          <w:bCs/>
          <w:color w:val="auto"/>
          <w:sz w:val="24"/>
          <w:szCs w:val="24"/>
        </w:rPr>
        <w:t>本工程消毒推荐紫外线消毒+次氯酸钠辅助消毒。</w:t>
      </w:r>
    </w:p>
    <w:p w14:paraId="44F634F3">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eastAsia" w:cs="Times New Roman" w:eastAsiaTheme="minorEastAsia"/>
          <w:b/>
          <w:bCs/>
          <w:color w:val="auto"/>
          <w:sz w:val="24"/>
          <w:szCs w:val="24"/>
          <w:lang w:val="en-US" w:eastAsia="zh-CN"/>
        </w:rPr>
        <w:t>9、</w:t>
      </w:r>
      <w:r>
        <w:rPr>
          <w:rFonts w:hint="default" w:ascii="Times New Roman" w:hAnsi="Times New Roman" w:cs="Times New Roman" w:eastAsiaTheme="minorEastAsia"/>
          <w:b/>
          <w:bCs/>
          <w:color w:val="auto"/>
          <w:sz w:val="24"/>
          <w:szCs w:val="24"/>
        </w:rPr>
        <w:t>污泥处理工艺方案</w:t>
      </w:r>
    </w:p>
    <w:p w14:paraId="51667F1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污水处理过程中大部分污染物质转化成污泥。生污泥含水率高、有机物含量较高，不稳定，还含有致病菌和寄生虫卵，若不妥善处理和处置，将造成二次污染。因此，必须对污泥进行处理和处置。</w:t>
      </w:r>
    </w:p>
    <w:p w14:paraId="581AEA6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污泥处理的目的是：分解有机物，杀灭致病菌和寄生虫卵，使污泥稳定化；降低水分，减少污泥体积，便于运输和处置；尽量利用污泥中的资源；避免磷的释放和污染。</w:t>
      </w:r>
    </w:p>
    <w:p w14:paraId="14F9C01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污水处理厂传统的污泥处理流程框图如下图所示。</w:t>
      </w:r>
    </w:p>
    <w:p w14:paraId="0013F563">
      <w:pPr>
        <w:keepNext w:val="0"/>
        <w:keepLines w:val="0"/>
        <w:pageBreakBefore w:val="0"/>
        <w:widowControl/>
        <w:kinsoku w:val="0"/>
        <w:wordWrap/>
        <w:overflowPunct/>
        <w:topLinePunct w:val="0"/>
        <w:autoSpaceDE w:val="0"/>
        <w:autoSpaceDN w:val="0"/>
        <w:bidi w:val="0"/>
        <w:adjustRightInd/>
        <w:snapToGrid/>
        <w:spacing w:line="360" w:lineRule="auto"/>
        <w:ind w:left="0" w:leftChars="0" w:firstLine="0" w:firstLineChars="0"/>
        <w:textAlignment w:val="baseline"/>
        <w:rPr>
          <w:rFonts w:hint="eastAsia" w:ascii="Times New Roman" w:hAnsi="Times New Roman" w:cs="Times New Roman" w:eastAsiaTheme="minorEastAsia"/>
          <w:color w:val="auto"/>
          <w:sz w:val="24"/>
          <w:szCs w:val="24"/>
          <w:lang w:eastAsia="zh-CN"/>
        </w:rPr>
      </w:pPr>
      <w:r>
        <w:rPr>
          <w:rFonts w:hint="eastAsia" w:ascii="Times New Roman" w:hAnsi="Times New Roman" w:cs="Times New Roman" w:eastAsiaTheme="minorEastAsia"/>
          <w:color w:val="auto"/>
          <w:sz w:val="24"/>
          <w:szCs w:val="24"/>
          <w:lang w:eastAsia="zh-CN"/>
        </w:rPr>
        <w:drawing>
          <wp:inline distT="0" distB="0" distL="114300" distR="114300">
            <wp:extent cx="5495925" cy="494030"/>
            <wp:effectExtent l="0" t="0" r="9525" b="1270"/>
            <wp:docPr id="162" name="图片 162" descr="1526f8fd60a32916db326e46d064a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1526f8fd60a32916db326e46d064a7b"/>
                    <pic:cNvPicPr>
                      <a:picLocks noChangeAspect="1"/>
                    </pic:cNvPicPr>
                  </pic:nvPicPr>
                  <pic:blipFill>
                    <a:blip r:embed="rId53"/>
                    <a:stretch>
                      <a:fillRect/>
                    </a:stretch>
                  </pic:blipFill>
                  <pic:spPr>
                    <a:xfrm>
                      <a:off x="0" y="0"/>
                      <a:ext cx="5495925" cy="494030"/>
                    </a:xfrm>
                    <a:prstGeom prst="rect">
                      <a:avLst/>
                    </a:prstGeom>
                  </pic:spPr>
                </pic:pic>
              </a:graphicData>
            </a:graphic>
          </wp:inline>
        </w:drawing>
      </w:r>
    </w:p>
    <w:p w14:paraId="34381F38">
      <w:pPr>
        <w:pStyle w:val="19"/>
        <w:numPr>
          <w:ilvl w:val="0"/>
          <w:numId w:val="0"/>
        </w:numPr>
        <w:tabs>
          <w:tab w:val="clear" w:pos="0"/>
        </w:tabs>
        <w:bidi w:val="0"/>
        <w:ind w:leftChars="0"/>
        <w:jc w:val="center"/>
        <w:rPr>
          <w:rFonts w:hint="default"/>
          <w:color w:val="auto"/>
        </w:rPr>
      </w:pPr>
      <w:r>
        <w:rPr>
          <w:color w:val="auto"/>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7</w:t>
      </w:r>
      <w:r>
        <w:rPr>
          <w:color w:val="auto"/>
        </w:rPr>
        <w:fldChar w:fldCharType="end"/>
      </w:r>
      <w:r>
        <w:rPr>
          <w:rFonts w:hint="default"/>
          <w:color w:val="auto"/>
          <w:lang w:val="en-US" w:eastAsia="zh-CN"/>
        </w:rPr>
        <w:t xml:space="preserve"> </w:t>
      </w:r>
      <w:r>
        <w:rPr>
          <w:rFonts w:hint="default"/>
          <w:color w:val="auto"/>
        </w:rPr>
        <w:t>污泥处理流程图</w:t>
      </w:r>
    </w:p>
    <w:p w14:paraId="76C01D4B">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eastAsia" w:cs="Times New Roman" w:eastAsiaTheme="minorEastAsia"/>
          <w:b/>
          <w:bCs/>
          <w:color w:val="auto"/>
          <w:sz w:val="24"/>
          <w:szCs w:val="24"/>
          <w:lang w:eastAsia="zh-CN"/>
        </w:rPr>
        <w:t>（</w:t>
      </w:r>
      <w:r>
        <w:rPr>
          <w:rFonts w:hint="eastAsia" w:cs="Times New Roman" w:eastAsiaTheme="minorEastAsia"/>
          <w:b/>
          <w:bCs/>
          <w:color w:val="auto"/>
          <w:sz w:val="24"/>
          <w:szCs w:val="24"/>
          <w:lang w:val="en-US" w:eastAsia="zh-CN"/>
        </w:rPr>
        <w:t>1</w:t>
      </w:r>
      <w:r>
        <w:rPr>
          <w:rFonts w:hint="eastAsia"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污泥产量</w:t>
      </w:r>
    </w:p>
    <w:p w14:paraId="3F92538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水中悬浮物质含量越多、溶解性污染浓度越高、污水的净化率越高，其产泥量也就越多。由于进水水质及处理效率在不断变化，难以精确计算污泥产生量。设计时往往根据有关公式计算污泥产量，再结合生产中污泥产量统计值，确定污泥产量。</w:t>
      </w:r>
    </w:p>
    <w:p w14:paraId="4DA0BF83">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eastAsia" w:cs="Times New Roman" w:eastAsiaTheme="minorEastAsia"/>
          <w:b/>
          <w:bCs/>
          <w:color w:val="auto"/>
          <w:sz w:val="24"/>
          <w:szCs w:val="24"/>
          <w:lang w:eastAsia="zh-CN"/>
        </w:rPr>
        <w:t>（</w:t>
      </w:r>
      <w:r>
        <w:rPr>
          <w:rFonts w:hint="eastAsia" w:cs="Times New Roman" w:eastAsiaTheme="minorEastAsia"/>
          <w:b/>
          <w:bCs/>
          <w:color w:val="auto"/>
          <w:sz w:val="24"/>
          <w:szCs w:val="24"/>
          <w:lang w:val="en-US" w:eastAsia="zh-CN"/>
        </w:rPr>
        <w:t>2</w:t>
      </w:r>
      <w:r>
        <w:rPr>
          <w:rFonts w:hint="eastAsia"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污泥消化工艺</w:t>
      </w:r>
    </w:p>
    <w:p w14:paraId="1F2EFEC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污泥的消化主要有厌氧消化和好氧消化。</w:t>
      </w:r>
    </w:p>
    <w:p w14:paraId="48EE957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1</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厌氧消化</w:t>
      </w:r>
    </w:p>
    <w:p w14:paraId="7C604C7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厌氧消化是最为普遍的污泥稳定处理工艺，一般分为常温消化</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不加热</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、中温消化</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消化温度约35℃</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和高温消化</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消化温度约55℃</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w:t>
      </w:r>
    </w:p>
    <w:p w14:paraId="3CFD180E">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污泥厌氧消化的处理费用相对适中，可以产生沼气。在大型污水处理厂中产生的沼气可以用于加热消化池、驱动鼓风机和发电。</w:t>
      </w:r>
    </w:p>
    <w:p w14:paraId="6D307CD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eastAsia"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厌氧消化的主要优点</w:t>
      </w:r>
      <w:r>
        <w:rPr>
          <w:rFonts w:hint="eastAsia" w:cs="Times New Roman" w:eastAsiaTheme="minorEastAsia"/>
          <w:color w:val="auto"/>
          <w:sz w:val="24"/>
          <w:szCs w:val="24"/>
          <w:lang w:eastAsia="zh-CN"/>
        </w:rPr>
        <w:t>：</w:t>
      </w:r>
    </w:p>
    <w:p w14:paraId="0249DAB5">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·可以产生甲烷</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超过消化加热所需数量</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即可以回收能源。</w:t>
      </w:r>
    </w:p>
    <w:p w14:paraId="0655BC0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·可以使污泥中有机物浓度降低</w:t>
      </w:r>
      <w:r>
        <w:rPr>
          <w:rFonts w:hint="eastAsia" w:cs="Times New Roman" w:eastAsiaTheme="minorEastAsia"/>
          <w:color w:val="auto"/>
          <w:sz w:val="24"/>
          <w:szCs w:val="24"/>
          <w:lang w:eastAsia="zh-CN"/>
        </w:rPr>
        <w:t>40%～60%</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减少污泥体积</w:t>
      </w:r>
      <w:r>
        <w:rPr>
          <w:rFonts w:hint="eastAsia" w:cs="Times New Roman" w:eastAsiaTheme="minorEastAsia"/>
          <w:color w:val="auto"/>
          <w:sz w:val="24"/>
          <w:szCs w:val="24"/>
          <w:lang w:eastAsia="zh-CN"/>
        </w:rPr>
        <w:t>30%～50%</w:t>
      </w:r>
      <w:r>
        <w:rPr>
          <w:rFonts w:hint="default" w:ascii="Times New Roman" w:hAnsi="Times New Roman" w:cs="Times New Roman" w:eastAsiaTheme="minorEastAsia"/>
          <w:color w:val="auto"/>
          <w:sz w:val="24"/>
          <w:szCs w:val="24"/>
        </w:rPr>
        <w:t>。</w:t>
      </w:r>
    </w:p>
    <w:p w14:paraId="402E1E9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·有利于污泥的脱水处理，进一步减少脱水污泥的体积。</w:t>
      </w:r>
    </w:p>
    <w:p w14:paraId="781F08A5">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·消化稳定后使污泥臭味减少。</w:t>
      </w:r>
    </w:p>
    <w:p w14:paraId="1E82A24F">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·采用加热高温消化的病原体去除率高。</w:t>
      </w:r>
    </w:p>
    <w:p w14:paraId="59EC58B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eastAsia"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厌氧消化的主要缺点</w:t>
      </w:r>
      <w:r>
        <w:rPr>
          <w:rFonts w:hint="eastAsia" w:cs="Times New Roman" w:eastAsiaTheme="minorEastAsia"/>
          <w:color w:val="auto"/>
          <w:sz w:val="24"/>
          <w:szCs w:val="24"/>
          <w:lang w:eastAsia="zh-CN"/>
        </w:rPr>
        <w:t>：</w:t>
      </w:r>
    </w:p>
    <w:p w14:paraId="4F87800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·基建费用高，机械设备多</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部分是沼气利用设备</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w:t>
      </w:r>
    </w:p>
    <w:p w14:paraId="1384A5B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·需要再次处理的量大</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例如对消化液需要进行除磷处理</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需要加热维持消化所需要的温度等。</w:t>
      </w:r>
    </w:p>
    <w:p w14:paraId="3E1CE85E">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·从火灾安全角度考虑，需要设置禁火区域，</w:t>
      </w:r>
      <w:r>
        <w:rPr>
          <w:rFonts w:hint="eastAsia" w:cs="Times New Roman" w:eastAsiaTheme="minorEastAsia"/>
          <w:color w:val="auto"/>
          <w:sz w:val="24"/>
          <w:szCs w:val="24"/>
          <w:lang w:eastAsia="zh-CN"/>
        </w:rPr>
        <w:t>使用</w:t>
      </w:r>
      <w:r>
        <w:rPr>
          <w:rFonts w:hint="default" w:ascii="Times New Roman" w:hAnsi="Times New Roman" w:cs="Times New Roman" w:eastAsiaTheme="minorEastAsia"/>
          <w:color w:val="auto"/>
          <w:sz w:val="24"/>
          <w:szCs w:val="24"/>
        </w:rPr>
        <w:t>范围进一步加大。</w:t>
      </w:r>
    </w:p>
    <w:p w14:paraId="16FCE02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·管理比较麻烦，运行费用高。</w:t>
      </w:r>
    </w:p>
    <w:p w14:paraId="73FF85B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从国内污水处理厂实际运行情况来看，由于消化产生沼气的甲烷含量不稳定，发的电亦不稳定，给并网和利用造成了困难，因此，大多数污水处理厂都不能很好地利用厌氧消化所产生的沼气。</w:t>
      </w:r>
    </w:p>
    <w:p w14:paraId="2CD00AE1">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研究和实测证明，中温消化对不稳定的污泥，有稳定和减量作用，但其无害化效果不明显。污泥在消化过程中产生的热量少，不能靠此来杀菌，要从外部加热消化池才能达到中温。当污泥温度大于53℃</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密闭30min以上时，才能使蛔虫卵100%死亡。当保持120min左右时，大肠菌群才为阴性。我国南方城市多采用常温消化，常温消化无法使污泥达到无害化，也难以达到完全稳定和取得较好的减量效果。</w:t>
      </w:r>
    </w:p>
    <w:p w14:paraId="2B0CD011">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2</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好氧消化</w:t>
      </w:r>
    </w:p>
    <w:p w14:paraId="0EA9557E">
      <w:pPr>
        <w:pageBreakBefore w:val="0"/>
        <w:wordWrap/>
        <w:bidi w:val="0"/>
        <w:adjustRightInd/>
        <w:snapToGrid/>
        <w:rPr>
          <w:rFonts w:hint="default"/>
          <w:color w:val="auto"/>
        </w:rPr>
      </w:pPr>
      <w:r>
        <w:rPr>
          <w:rFonts w:hint="default"/>
          <w:color w:val="auto"/>
        </w:rPr>
        <w:t>好氧消化主要用于小型污水处理厂中，与厌氧消化相比，该工艺的特点是初期投资较低，动力消耗较大，因为好氧消化需要靠充氧来维持。</w:t>
      </w:r>
    </w:p>
    <w:p w14:paraId="3354A64E">
      <w:pPr>
        <w:pageBreakBefore w:val="0"/>
        <w:wordWrap/>
        <w:bidi w:val="0"/>
        <w:adjustRightInd/>
        <w:snapToGrid/>
        <w:rPr>
          <w:rFonts w:hint="default"/>
          <w:color w:val="auto"/>
        </w:rPr>
      </w:pPr>
      <w:r>
        <w:rPr>
          <w:rFonts w:hint="default"/>
          <w:color w:val="auto"/>
        </w:rPr>
        <w:t>实际上在污水处理厂中，厌氧和好氧消化不一定是一种单独的污泥处理工艺，例如采用了泥龄很长的工艺时，水解池内厌氧微生物对去除污泥的水解作用和好氧池内微生物的内源呼吸作用，都使污泥已经部分达到了稳定的程度。由于该种方式总体效果较好，且污泥可直接脱水，故目前已在小型城市污水处理厂中得到广泛应用。</w:t>
      </w:r>
    </w:p>
    <w:p w14:paraId="4B1F0946">
      <w:pPr>
        <w:pageBreakBefore w:val="0"/>
        <w:wordWrap/>
        <w:bidi w:val="0"/>
        <w:adjustRightInd/>
        <w:snapToGrid/>
        <w:rPr>
          <w:rFonts w:hint="default"/>
          <w:color w:val="auto"/>
        </w:rPr>
      </w:pPr>
      <w:r>
        <w:rPr>
          <w:rFonts w:hint="default"/>
          <w:color w:val="auto"/>
        </w:rPr>
        <w:t>目前对污泥处理，国内已有共识，即对于规模小于10×10⁴</w:t>
      </w:r>
      <w:r>
        <w:rPr>
          <w:rFonts w:hint="eastAsia"/>
          <w:color w:val="auto"/>
          <w:lang w:eastAsia="zh-CN"/>
        </w:rPr>
        <w:t>m³</w:t>
      </w:r>
      <w:r>
        <w:rPr>
          <w:rFonts w:hint="default"/>
          <w:color w:val="auto"/>
        </w:rPr>
        <w:t>/d的</w:t>
      </w:r>
      <w:r>
        <w:rPr>
          <w:rFonts w:hint="eastAsia"/>
          <w:color w:val="auto"/>
          <w:lang w:eastAsia="zh-CN"/>
        </w:rPr>
        <w:t>污水处理厂</w:t>
      </w:r>
      <w:r>
        <w:rPr>
          <w:rFonts w:hint="default"/>
          <w:color w:val="auto"/>
        </w:rPr>
        <w:t>，污泥采用厌氧消化都是不经济的。在《城市污水处理工程项目建设标准》</w:t>
      </w:r>
      <w:r>
        <w:rPr>
          <w:rFonts w:hint="default"/>
          <w:color w:val="auto"/>
          <w:lang w:eastAsia="zh-CN"/>
        </w:rPr>
        <w:t>（</w:t>
      </w:r>
      <w:r>
        <w:rPr>
          <w:rFonts w:hint="default"/>
          <w:color w:val="auto"/>
        </w:rPr>
        <w:t>修订</w:t>
      </w:r>
      <w:r>
        <w:rPr>
          <w:rFonts w:hint="default"/>
          <w:color w:val="auto"/>
          <w:lang w:eastAsia="zh-CN"/>
        </w:rPr>
        <w:t>）</w:t>
      </w:r>
      <w:r>
        <w:rPr>
          <w:rFonts w:hint="default"/>
          <w:color w:val="auto"/>
        </w:rPr>
        <w:t>第三十五条对污泥的消化也指出</w:t>
      </w:r>
      <w:r>
        <w:rPr>
          <w:rFonts w:hint="eastAsia"/>
          <w:color w:val="auto"/>
          <w:lang w:eastAsia="zh-CN"/>
        </w:rPr>
        <w:t>“</w:t>
      </w:r>
      <w:r>
        <w:rPr>
          <w:rFonts w:hint="default"/>
          <w:color w:val="auto"/>
        </w:rPr>
        <w:t>Ⅲ类及以上规模的</w:t>
      </w:r>
      <w:r>
        <w:rPr>
          <w:rFonts w:hint="eastAsia"/>
          <w:color w:val="auto"/>
          <w:lang w:eastAsia="zh-CN"/>
        </w:rPr>
        <w:t>污水处理厂</w:t>
      </w:r>
      <w:r>
        <w:rPr>
          <w:rFonts w:hint="default"/>
          <w:color w:val="auto"/>
        </w:rPr>
        <w:t>宜采用中温厌氧消化</w:t>
      </w:r>
      <w:r>
        <w:rPr>
          <w:rFonts w:hint="eastAsia"/>
          <w:color w:val="auto"/>
          <w:lang w:eastAsia="zh-CN"/>
        </w:rPr>
        <w:t>”</w:t>
      </w:r>
      <w:r>
        <w:rPr>
          <w:rFonts w:hint="default"/>
          <w:color w:val="auto"/>
        </w:rPr>
        <w:t>。</w:t>
      </w:r>
    </w:p>
    <w:p w14:paraId="05AF6005">
      <w:pPr>
        <w:pageBreakBefore w:val="0"/>
        <w:wordWrap/>
        <w:bidi w:val="0"/>
        <w:adjustRightInd/>
        <w:snapToGrid/>
        <w:rPr>
          <w:rFonts w:hint="default"/>
          <w:color w:val="auto"/>
        </w:rPr>
      </w:pPr>
      <w:r>
        <w:rPr>
          <w:rFonts w:hint="default"/>
          <w:color w:val="auto"/>
        </w:rPr>
        <w:t>国外发达国家污泥均经厌氧消化，是由它们国情决定的：严格的环境保护要求和发达的经济水平。这与我国连污水处理费用尚不能保证是截然不同的。</w:t>
      </w:r>
    </w:p>
    <w:p w14:paraId="5017F9C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就本项目而言，由于规模不大，属V类污水厂，采用污泥消化的费效比相当低，且用地面积有限，污泥采用直接浓缩脱水，不经消化。</w:t>
      </w:r>
    </w:p>
    <w:p w14:paraId="28007D04">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eastAsia" w:cs="Times New Roman" w:eastAsiaTheme="minorEastAsia"/>
          <w:b/>
          <w:bCs/>
          <w:color w:val="auto"/>
          <w:sz w:val="24"/>
          <w:szCs w:val="24"/>
          <w:lang w:eastAsia="zh-CN"/>
        </w:rPr>
        <w:t>（</w:t>
      </w:r>
      <w:r>
        <w:rPr>
          <w:rFonts w:hint="eastAsia" w:cs="Times New Roman" w:eastAsiaTheme="minorEastAsia"/>
          <w:b/>
          <w:bCs/>
          <w:color w:val="auto"/>
          <w:sz w:val="24"/>
          <w:szCs w:val="24"/>
          <w:lang w:val="en-US" w:eastAsia="zh-CN"/>
        </w:rPr>
        <w:t>3</w:t>
      </w:r>
      <w:r>
        <w:rPr>
          <w:rFonts w:hint="eastAsia"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污泥浓缩脱水工艺</w:t>
      </w:r>
    </w:p>
    <w:p w14:paraId="48DDE792">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1</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污泥浓缩</w:t>
      </w:r>
    </w:p>
    <w:p w14:paraId="35B654C5">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污泥的浓缩是为了减容，为污泥的后续处理创造条件，故它是预处理作业，由于方法简单，成本低，又是必须的作业。</w:t>
      </w:r>
    </w:p>
    <w:p w14:paraId="310A78C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污泥浓缩的方法主要有三种：重力浓缩，气浮浓缩，离心浓缩。其中，应用最多的是重力浓缩。三种方法优缺点如下：</w:t>
      </w:r>
    </w:p>
    <w:p w14:paraId="059F894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a.重力浓缩法</w:t>
      </w:r>
    </w:p>
    <w:p w14:paraId="3DAE424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eastAsia"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操作简单，处理费用低；但占地面积大，效率低</w:t>
      </w:r>
      <w:r>
        <w:rPr>
          <w:rFonts w:hint="eastAsia" w:cs="Times New Roman" w:eastAsiaTheme="minorEastAsia"/>
          <w:color w:val="auto"/>
          <w:sz w:val="24"/>
          <w:szCs w:val="24"/>
          <w:lang w:eastAsia="zh-CN"/>
        </w:rPr>
        <w:t>。</w:t>
      </w:r>
    </w:p>
    <w:p w14:paraId="68045D4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bookmarkStart w:id="83" w:name="bookmark69"/>
      <w:bookmarkEnd w:id="83"/>
      <w:r>
        <w:rPr>
          <w:rFonts w:hint="default" w:ascii="Times New Roman" w:hAnsi="Times New Roman" w:cs="Times New Roman" w:eastAsiaTheme="minorEastAsia"/>
          <w:color w:val="auto"/>
          <w:sz w:val="24"/>
          <w:szCs w:val="24"/>
        </w:rPr>
        <w:t>b.气浮浓缩法</w:t>
      </w:r>
    </w:p>
    <w:p w14:paraId="2FD33E6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效率高，速度快</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时间为重力法的1/3</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污泥稳定性好</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混入了空气，不易腐败</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但基建费和操作费用高，管理复杂。</w:t>
      </w:r>
    </w:p>
    <w:p w14:paraId="59AADD77">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c.离心浓缩法</w:t>
      </w:r>
    </w:p>
    <w:p w14:paraId="175EB0B1">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效率高</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污泥可被浓缩到</w:t>
      </w:r>
      <w:r>
        <w:rPr>
          <w:rFonts w:hint="eastAsia" w:cs="Times New Roman" w:eastAsiaTheme="minorEastAsia"/>
          <w:color w:val="auto"/>
          <w:sz w:val="24"/>
          <w:szCs w:val="24"/>
          <w:lang w:eastAsia="zh-CN"/>
        </w:rPr>
        <w:t>74%～78%</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速度快</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螺旋卸料型，直径300</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400处理速度可达50</w:t>
      </w:r>
      <w:r>
        <w:rPr>
          <w:rFonts w:hint="eastAsia" w:cs="Times New Roman" w:eastAsiaTheme="minorEastAsia"/>
          <w:color w:val="auto"/>
          <w:sz w:val="24"/>
          <w:szCs w:val="24"/>
          <w:lang w:eastAsia="zh-CN"/>
        </w:rPr>
        <w:t>m³</w:t>
      </w:r>
      <w:r>
        <w:rPr>
          <w:rFonts w:hint="default" w:ascii="Times New Roman" w:hAnsi="Times New Roman" w:cs="Times New Roman" w:eastAsiaTheme="minorEastAsia"/>
          <w:color w:val="auto"/>
          <w:sz w:val="24"/>
          <w:szCs w:val="24"/>
        </w:rPr>
        <w:t>/h</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但动力和维修管理费高，一般不采用。</w:t>
      </w:r>
    </w:p>
    <w:p w14:paraId="302972DA">
      <w:pPr>
        <w:pStyle w:val="19"/>
        <w:numPr>
          <w:ilvl w:val="0"/>
          <w:numId w:val="16"/>
        </w:numPr>
        <w:bidi w:val="0"/>
        <w:ind w:left="0" w:leftChars="0" w:firstLine="0" w:firstLineChars="0"/>
        <w:rPr>
          <w:rFonts w:hint="default"/>
          <w:color w:val="auto"/>
        </w:rPr>
      </w:pPr>
      <w:r>
        <w:rPr>
          <w:rFonts w:hint="default"/>
          <w:color w:val="auto"/>
        </w:rPr>
        <w:t>常用污泥浓缩方法及比较</w:t>
      </w:r>
    </w:p>
    <w:tbl>
      <w:tblPr>
        <w:tblStyle w:val="706"/>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28" w:type="dxa"/>
          <w:bottom w:w="0" w:type="dxa"/>
          <w:right w:w="28" w:type="dxa"/>
        </w:tblCellMar>
      </w:tblPr>
      <w:tblGrid>
        <w:gridCol w:w="1129"/>
        <w:gridCol w:w="2019"/>
        <w:gridCol w:w="2331"/>
        <w:gridCol w:w="2880"/>
      </w:tblGrid>
      <w:tr w14:paraId="4CF07D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75" w:type="pct"/>
            <w:tcBorders>
              <w:tl2br w:val="nil"/>
              <w:tr2bl w:val="nil"/>
            </w:tcBorders>
            <w:vAlign w:val="center"/>
          </w:tcPr>
          <w:p w14:paraId="67E8AB6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浓缩方法</w:t>
            </w:r>
          </w:p>
        </w:tc>
        <w:tc>
          <w:tcPr>
            <w:tcW w:w="1207" w:type="pct"/>
            <w:tcBorders>
              <w:tl2br w:val="nil"/>
              <w:tr2bl w:val="nil"/>
            </w:tcBorders>
            <w:vAlign w:val="center"/>
          </w:tcPr>
          <w:p w14:paraId="44CD32C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优点</w:t>
            </w:r>
          </w:p>
        </w:tc>
        <w:tc>
          <w:tcPr>
            <w:tcW w:w="1394" w:type="pct"/>
            <w:tcBorders>
              <w:tl2br w:val="nil"/>
              <w:tr2bl w:val="nil"/>
            </w:tcBorders>
            <w:vAlign w:val="center"/>
          </w:tcPr>
          <w:p w14:paraId="3318F73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缺点</w:t>
            </w:r>
          </w:p>
        </w:tc>
        <w:tc>
          <w:tcPr>
            <w:tcW w:w="1722" w:type="pct"/>
            <w:tcBorders>
              <w:tl2br w:val="nil"/>
              <w:tr2bl w:val="nil"/>
            </w:tcBorders>
            <w:vAlign w:val="center"/>
          </w:tcPr>
          <w:p w14:paraId="290457F6">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适用范围</w:t>
            </w:r>
          </w:p>
        </w:tc>
      </w:tr>
      <w:tr w14:paraId="2818D8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75" w:type="pct"/>
            <w:tcBorders>
              <w:tl2br w:val="nil"/>
              <w:tr2bl w:val="nil"/>
            </w:tcBorders>
            <w:vAlign w:val="center"/>
          </w:tcPr>
          <w:p w14:paraId="15F3C67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重力浓缩法</w:t>
            </w:r>
          </w:p>
        </w:tc>
        <w:tc>
          <w:tcPr>
            <w:tcW w:w="1207" w:type="pct"/>
            <w:tcBorders>
              <w:tl2br w:val="nil"/>
              <w:tr2bl w:val="nil"/>
            </w:tcBorders>
            <w:vAlign w:val="center"/>
          </w:tcPr>
          <w:p w14:paraId="5959C88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贮泥能力强，动力消耗小；运行费用低，操作简便</w:t>
            </w:r>
          </w:p>
        </w:tc>
        <w:tc>
          <w:tcPr>
            <w:tcW w:w="1394" w:type="pct"/>
            <w:tcBorders>
              <w:tl2br w:val="nil"/>
              <w:tr2bl w:val="nil"/>
            </w:tcBorders>
            <w:vAlign w:val="center"/>
          </w:tcPr>
          <w:p w14:paraId="7F3F888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占地面积较大；浓缩效果较差，浓缩后污泥含水率高；易发酵</w:t>
            </w:r>
            <w:r>
              <w:rPr>
                <w:rFonts w:hint="eastAsia" w:cs="Times New Roman"/>
                <w:color w:val="auto"/>
                <w:sz w:val="21"/>
                <w:szCs w:val="21"/>
                <w:lang w:eastAsia="zh-CN"/>
              </w:rPr>
              <w:t>产生</w:t>
            </w:r>
            <w:r>
              <w:rPr>
                <w:rFonts w:hint="default" w:ascii="Times New Roman" w:hAnsi="Times New Roman" w:eastAsia="宋体" w:cs="Times New Roman"/>
                <w:color w:val="auto"/>
                <w:sz w:val="21"/>
                <w:szCs w:val="21"/>
              </w:rPr>
              <w:t>臭气</w:t>
            </w:r>
          </w:p>
        </w:tc>
        <w:tc>
          <w:tcPr>
            <w:tcW w:w="1722" w:type="pct"/>
            <w:tcBorders>
              <w:tl2br w:val="nil"/>
              <w:tr2bl w:val="nil"/>
            </w:tcBorders>
            <w:vAlign w:val="center"/>
          </w:tcPr>
          <w:p w14:paraId="0CDEF6D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主要用于浓缩初沉污泥；初沉污泥和剩余活性污泥的混合污泥浓缩脱水一体机</w:t>
            </w:r>
          </w:p>
        </w:tc>
      </w:tr>
      <w:tr w14:paraId="35635B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75" w:type="pct"/>
            <w:tcBorders>
              <w:tl2br w:val="nil"/>
              <w:tr2bl w:val="nil"/>
            </w:tcBorders>
            <w:vAlign w:val="center"/>
          </w:tcPr>
          <w:p w14:paraId="17B03CF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气浮浓缩法</w:t>
            </w:r>
          </w:p>
        </w:tc>
        <w:tc>
          <w:tcPr>
            <w:tcW w:w="1207" w:type="pct"/>
            <w:tcBorders>
              <w:tl2br w:val="nil"/>
              <w:tr2bl w:val="nil"/>
            </w:tcBorders>
            <w:vAlign w:val="center"/>
          </w:tcPr>
          <w:p w14:paraId="300DDFB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占地面积小；浓缩效果较好，浓缩后污泥含水率较低；能同时去除油脂，臭气较少</w:t>
            </w:r>
          </w:p>
        </w:tc>
        <w:tc>
          <w:tcPr>
            <w:tcW w:w="1394" w:type="pct"/>
            <w:tcBorders>
              <w:tl2br w:val="nil"/>
              <w:tr2bl w:val="nil"/>
            </w:tcBorders>
            <w:vAlign w:val="center"/>
          </w:tcPr>
          <w:p w14:paraId="31C65AB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占地面积、运行费用小于重力浓缩法；污泥贮存能力小于重力浓缩法；动力消耗、操作要求高于重力浓缩法</w:t>
            </w:r>
          </w:p>
        </w:tc>
        <w:tc>
          <w:tcPr>
            <w:tcW w:w="1722" w:type="pct"/>
            <w:tcBorders>
              <w:tl2br w:val="nil"/>
              <w:tr2bl w:val="nil"/>
            </w:tcBorders>
            <w:vAlign w:val="center"/>
          </w:tcPr>
          <w:p w14:paraId="02FAEBDC">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主要用于浓缩初沉污泥；初沉污泥和剩余活性污泥的混合污泥。特别适用于浓缩过程中易发生污泥膨胀、易发酵的剩余活性污泥和生物膜法污泥</w:t>
            </w:r>
          </w:p>
        </w:tc>
      </w:tr>
      <w:tr w14:paraId="3695E6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97" w:hRule="atLeast"/>
          <w:jc w:val="center"/>
        </w:trPr>
        <w:tc>
          <w:tcPr>
            <w:tcW w:w="675" w:type="pct"/>
            <w:tcBorders>
              <w:tl2br w:val="nil"/>
              <w:tr2bl w:val="nil"/>
            </w:tcBorders>
            <w:vAlign w:val="center"/>
          </w:tcPr>
          <w:p w14:paraId="0C0192A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离心浓缩法</w:t>
            </w:r>
          </w:p>
        </w:tc>
        <w:tc>
          <w:tcPr>
            <w:tcW w:w="1207" w:type="pct"/>
            <w:tcBorders>
              <w:tl2br w:val="nil"/>
              <w:tr2bl w:val="nil"/>
            </w:tcBorders>
            <w:vAlign w:val="center"/>
          </w:tcPr>
          <w:p w14:paraId="254B3AB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占地面积很小；处理能力大；浓缩后污泥含水率低，全封闭，无臭气发生</w:t>
            </w:r>
          </w:p>
        </w:tc>
        <w:tc>
          <w:tcPr>
            <w:tcW w:w="1394" w:type="pct"/>
            <w:tcBorders>
              <w:tl2br w:val="nil"/>
              <w:tr2bl w:val="nil"/>
            </w:tcBorders>
            <w:vAlign w:val="center"/>
          </w:tcPr>
          <w:p w14:paraId="5151DA3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专用离心机价格高；电耗是气浮法的10倍；操作管理要求高</w:t>
            </w:r>
          </w:p>
        </w:tc>
        <w:tc>
          <w:tcPr>
            <w:tcW w:w="1722" w:type="pct"/>
            <w:tcBorders>
              <w:tl2br w:val="nil"/>
              <w:tr2bl w:val="nil"/>
            </w:tcBorders>
            <w:vAlign w:val="center"/>
          </w:tcPr>
          <w:p w14:paraId="3E1C666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目前主要用于难以浓缩的剩余活性污泥和场地小，卫生要求高，浓缩后污泥含水率很低的场合</w:t>
            </w:r>
          </w:p>
        </w:tc>
      </w:tr>
    </w:tbl>
    <w:p w14:paraId="14771D36">
      <w:pPr>
        <w:pageBreakBefore w:val="0"/>
        <w:wordWrap/>
        <w:bidi w:val="0"/>
        <w:adjustRightInd/>
        <w:snapToGrid/>
        <w:rPr>
          <w:rFonts w:hint="default"/>
          <w:b/>
          <w:bCs/>
          <w:color w:val="auto"/>
        </w:rPr>
      </w:pPr>
      <w:r>
        <w:rPr>
          <w:rFonts w:hint="default"/>
          <w:b/>
          <w:bCs/>
          <w:color w:val="auto"/>
        </w:rPr>
        <w:t>由以上对比分析可知，并结合污水厂运行经验以及管理难易程度来考虑，本项目建议使用重力浓缩法或浓缩脱水一体机对污泥进行浓缩。</w:t>
      </w:r>
    </w:p>
    <w:p w14:paraId="7AF1929E">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2</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污泥脱水</w:t>
      </w:r>
    </w:p>
    <w:p w14:paraId="32EA716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污泥脱水的目的是进一步降低含水率，对污泥进行减容处理，污泥脱水的方法有自然干化、机械脱水、污泥烘干及焚烧等，目前，国内外普遍采用机械脱水。</w:t>
      </w:r>
    </w:p>
    <w:p w14:paraId="34305B82">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就机械脱水处理污泥而言，目前主要有三种方式：</w:t>
      </w:r>
    </w:p>
    <w:p w14:paraId="1A46165E">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a.带式污泥浓缩机+带式脱水机；</w:t>
      </w:r>
    </w:p>
    <w:p w14:paraId="0BDDA547">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b.离心浓缩+离心脱水机；</w:t>
      </w:r>
    </w:p>
    <w:p w14:paraId="06CDF765">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c.带式污泥浓缩机+板框脱水机。</w:t>
      </w:r>
    </w:p>
    <w:p w14:paraId="67B80A70">
      <w:pPr>
        <w:pStyle w:val="19"/>
        <w:numPr>
          <w:ilvl w:val="0"/>
          <w:numId w:val="16"/>
        </w:numPr>
        <w:bidi w:val="0"/>
        <w:ind w:left="0" w:leftChars="0" w:firstLine="0" w:firstLineChars="0"/>
        <w:rPr>
          <w:rFonts w:hint="default"/>
          <w:color w:val="auto"/>
        </w:rPr>
      </w:pPr>
      <w:r>
        <w:rPr>
          <w:rFonts w:hint="default"/>
          <w:color w:val="auto"/>
        </w:rPr>
        <w:t>干化工艺比较表</w:t>
      </w:r>
    </w:p>
    <w:tbl>
      <w:tblPr>
        <w:tblStyle w:val="706"/>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57" w:type="dxa"/>
          <w:bottom w:w="0" w:type="dxa"/>
          <w:right w:w="57" w:type="dxa"/>
        </w:tblCellMar>
      </w:tblPr>
      <w:tblGrid>
        <w:gridCol w:w="1022"/>
        <w:gridCol w:w="1617"/>
        <w:gridCol w:w="1386"/>
        <w:gridCol w:w="1737"/>
        <w:gridCol w:w="1401"/>
        <w:gridCol w:w="1252"/>
      </w:tblGrid>
      <w:tr w14:paraId="52B724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607" w:type="pct"/>
            <w:tcBorders>
              <w:tl2br w:val="nil"/>
              <w:tr2bl w:val="nil"/>
            </w:tcBorders>
            <w:vAlign w:val="center"/>
          </w:tcPr>
          <w:p w14:paraId="1C03981C">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比较项目</w:t>
            </w:r>
          </w:p>
        </w:tc>
        <w:tc>
          <w:tcPr>
            <w:tcW w:w="960" w:type="pct"/>
            <w:tcBorders>
              <w:tl2br w:val="nil"/>
              <w:tr2bl w:val="nil"/>
            </w:tcBorders>
            <w:vAlign w:val="center"/>
          </w:tcPr>
          <w:p w14:paraId="313432D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技术可靠性</w:t>
            </w:r>
          </w:p>
        </w:tc>
        <w:tc>
          <w:tcPr>
            <w:tcW w:w="823" w:type="pct"/>
            <w:tcBorders>
              <w:tl2br w:val="nil"/>
              <w:tr2bl w:val="nil"/>
            </w:tcBorders>
            <w:vAlign w:val="center"/>
          </w:tcPr>
          <w:p w14:paraId="1EF7D5D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占地和投资</w:t>
            </w:r>
          </w:p>
        </w:tc>
        <w:tc>
          <w:tcPr>
            <w:tcW w:w="1031" w:type="pct"/>
            <w:tcBorders>
              <w:tl2br w:val="nil"/>
              <w:tr2bl w:val="nil"/>
            </w:tcBorders>
            <w:vAlign w:val="center"/>
          </w:tcPr>
          <w:p w14:paraId="2F7B232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实施难度</w:t>
            </w:r>
          </w:p>
        </w:tc>
        <w:tc>
          <w:tcPr>
            <w:tcW w:w="832" w:type="pct"/>
            <w:tcBorders>
              <w:tl2br w:val="nil"/>
              <w:tr2bl w:val="nil"/>
            </w:tcBorders>
            <w:vAlign w:val="center"/>
          </w:tcPr>
          <w:p w14:paraId="5AD124C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环境影响</w:t>
            </w:r>
          </w:p>
        </w:tc>
        <w:tc>
          <w:tcPr>
            <w:tcW w:w="743" w:type="pct"/>
            <w:tcBorders>
              <w:tl2br w:val="nil"/>
              <w:tr2bl w:val="nil"/>
            </w:tcBorders>
            <w:vAlign w:val="center"/>
          </w:tcPr>
          <w:p w14:paraId="65EAC6C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处置成本</w:t>
            </w:r>
          </w:p>
        </w:tc>
      </w:tr>
      <w:tr w14:paraId="366BFC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607" w:type="pct"/>
            <w:tcBorders>
              <w:tl2br w:val="nil"/>
              <w:tr2bl w:val="nil"/>
            </w:tcBorders>
            <w:vAlign w:val="center"/>
          </w:tcPr>
          <w:p w14:paraId="33E15450">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带式或板框脱水</w:t>
            </w:r>
          </w:p>
        </w:tc>
        <w:tc>
          <w:tcPr>
            <w:tcW w:w="960" w:type="pct"/>
            <w:tcBorders>
              <w:tl2br w:val="nil"/>
              <w:tr2bl w:val="nil"/>
            </w:tcBorders>
            <w:vAlign w:val="center"/>
          </w:tcPr>
          <w:p w14:paraId="6965741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利用带式或板框式进行机械挤压干化，技术可靠</w:t>
            </w:r>
          </w:p>
        </w:tc>
        <w:tc>
          <w:tcPr>
            <w:tcW w:w="823" w:type="pct"/>
            <w:tcBorders>
              <w:tl2br w:val="nil"/>
              <w:tr2bl w:val="nil"/>
            </w:tcBorders>
            <w:vAlign w:val="center"/>
          </w:tcPr>
          <w:p w14:paraId="094BDC6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占地面积很大，工程总投资较小</w:t>
            </w:r>
          </w:p>
        </w:tc>
        <w:tc>
          <w:tcPr>
            <w:tcW w:w="1031" w:type="pct"/>
            <w:tcBorders>
              <w:tl2br w:val="nil"/>
              <w:tr2bl w:val="nil"/>
            </w:tcBorders>
            <w:vAlign w:val="center"/>
          </w:tcPr>
          <w:p w14:paraId="5E27D60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污泥减量能力有限，最终含水率在65-85%左右</w:t>
            </w:r>
          </w:p>
        </w:tc>
        <w:tc>
          <w:tcPr>
            <w:tcW w:w="832" w:type="pct"/>
            <w:tcBorders>
              <w:tl2br w:val="nil"/>
              <w:tr2bl w:val="nil"/>
            </w:tcBorders>
            <w:vAlign w:val="center"/>
          </w:tcPr>
          <w:p w14:paraId="5AE4317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产生脱水废水，需进一步处理</w:t>
            </w:r>
          </w:p>
        </w:tc>
        <w:tc>
          <w:tcPr>
            <w:tcW w:w="743" w:type="pct"/>
            <w:tcBorders>
              <w:tl2br w:val="nil"/>
              <w:tr2bl w:val="nil"/>
            </w:tcBorders>
            <w:vAlign w:val="center"/>
          </w:tcPr>
          <w:p w14:paraId="5B9856B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约250元/吨，成本较小</w:t>
            </w:r>
          </w:p>
        </w:tc>
      </w:tr>
      <w:tr w14:paraId="47BC72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607" w:type="pct"/>
            <w:tcBorders>
              <w:tl2br w:val="nil"/>
              <w:tr2bl w:val="nil"/>
            </w:tcBorders>
            <w:vAlign w:val="center"/>
          </w:tcPr>
          <w:p w14:paraId="3D594F5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离心脱水</w:t>
            </w:r>
          </w:p>
        </w:tc>
        <w:tc>
          <w:tcPr>
            <w:tcW w:w="960" w:type="pct"/>
            <w:tcBorders>
              <w:tl2br w:val="nil"/>
              <w:tr2bl w:val="nil"/>
            </w:tcBorders>
            <w:vAlign w:val="center"/>
          </w:tcPr>
          <w:p w14:paraId="3A5D900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利用高速旋转产生的离心力作用</w:t>
            </w:r>
          </w:p>
        </w:tc>
        <w:tc>
          <w:tcPr>
            <w:tcW w:w="823" w:type="pct"/>
            <w:tcBorders>
              <w:tl2br w:val="nil"/>
              <w:tr2bl w:val="nil"/>
            </w:tcBorders>
            <w:vAlign w:val="center"/>
          </w:tcPr>
          <w:p w14:paraId="5AAEA13C">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占地面积小，工程总投资较大</w:t>
            </w:r>
          </w:p>
        </w:tc>
        <w:tc>
          <w:tcPr>
            <w:tcW w:w="1031" w:type="pct"/>
            <w:tcBorders>
              <w:tl2br w:val="nil"/>
              <w:tr2bl w:val="nil"/>
            </w:tcBorders>
            <w:vAlign w:val="center"/>
          </w:tcPr>
          <w:p w14:paraId="7B117DA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污泥减量能力有限，最终含水率在70%左右</w:t>
            </w:r>
          </w:p>
        </w:tc>
        <w:tc>
          <w:tcPr>
            <w:tcW w:w="832" w:type="pct"/>
            <w:tcBorders>
              <w:tl2br w:val="nil"/>
              <w:tr2bl w:val="nil"/>
            </w:tcBorders>
            <w:vAlign w:val="center"/>
          </w:tcPr>
          <w:p w14:paraId="65AE314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产生脱水废水，需进一步处理</w:t>
            </w:r>
          </w:p>
        </w:tc>
        <w:tc>
          <w:tcPr>
            <w:tcW w:w="743" w:type="pct"/>
            <w:tcBorders>
              <w:tl2br w:val="nil"/>
              <w:tr2bl w:val="nil"/>
            </w:tcBorders>
            <w:vAlign w:val="center"/>
          </w:tcPr>
          <w:p w14:paraId="79DE43E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约300元/吨，成本中等</w:t>
            </w:r>
          </w:p>
        </w:tc>
      </w:tr>
    </w:tbl>
    <w:p w14:paraId="05513FAD">
      <w:pPr>
        <w:pageBreakBefore w:val="0"/>
        <w:wordWrap/>
        <w:bidi w:val="0"/>
        <w:adjustRightInd/>
        <w:snapToGrid/>
        <w:rPr>
          <w:rFonts w:hint="default"/>
          <w:b/>
          <w:bCs/>
          <w:color w:val="auto"/>
        </w:rPr>
      </w:pPr>
      <w:r>
        <w:rPr>
          <w:rFonts w:hint="default"/>
          <w:b/>
          <w:bCs/>
          <w:color w:val="auto"/>
        </w:rPr>
        <w:t>结合本工程情况，脱水污泥含水率需不高于60%</w:t>
      </w:r>
      <w:r>
        <w:rPr>
          <w:rFonts w:hint="default"/>
          <w:b/>
          <w:bCs/>
          <w:color w:val="auto"/>
          <w:lang w:eastAsia="zh-CN"/>
        </w:rPr>
        <w:t>，</w:t>
      </w:r>
      <w:r>
        <w:rPr>
          <w:rFonts w:hint="default"/>
          <w:b/>
          <w:bCs/>
          <w:color w:val="auto"/>
        </w:rPr>
        <w:t>因此最终拟采用带式浓缩脱水机+改良高效板框压滤机。</w:t>
      </w:r>
    </w:p>
    <w:p w14:paraId="11606F83">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eastAsia" w:cs="Times New Roman" w:eastAsiaTheme="minorEastAsia"/>
          <w:b/>
          <w:bCs/>
          <w:color w:val="auto"/>
          <w:sz w:val="24"/>
          <w:szCs w:val="24"/>
          <w:lang w:eastAsia="zh-CN"/>
        </w:rPr>
        <w:t>（</w:t>
      </w:r>
      <w:r>
        <w:rPr>
          <w:rFonts w:hint="eastAsia" w:cs="Times New Roman" w:eastAsiaTheme="minorEastAsia"/>
          <w:b/>
          <w:bCs/>
          <w:color w:val="auto"/>
          <w:sz w:val="24"/>
          <w:szCs w:val="24"/>
          <w:lang w:val="en-US" w:eastAsia="zh-CN"/>
        </w:rPr>
        <w:t>4</w:t>
      </w:r>
      <w:r>
        <w:rPr>
          <w:rFonts w:hint="eastAsia"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污泥最终处置</w:t>
      </w:r>
    </w:p>
    <w:p w14:paraId="4A4F184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目前我国城市污水处理厂污泥大都采用填埋方式处置，国外许多国家对污泥处置采用较多的方法是焚烧、卫生填埋、堆肥、干化利用和投海等。</w:t>
      </w:r>
    </w:p>
    <w:p w14:paraId="6ADF048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1</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污泥处置工艺概述</w:t>
      </w:r>
    </w:p>
    <w:p w14:paraId="6ACE5479">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eastAsia"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b/>
          <w:bCs/>
          <w:color w:val="auto"/>
          <w:sz w:val="24"/>
          <w:szCs w:val="24"/>
        </w:rPr>
        <w:t>焚烧处置</w:t>
      </w:r>
      <w:r>
        <w:rPr>
          <w:rFonts w:hint="eastAsia" w:cs="Times New Roman" w:eastAsiaTheme="minorEastAsia"/>
          <w:b/>
          <w:bCs/>
          <w:color w:val="auto"/>
          <w:sz w:val="24"/>
          <w:szCs w:val="24"/>
          <w:lang w:eastAsia="zh-CN"/>
        </w:rPr>
        <w:t>：</w:t>
      </w:r>
    </w:p>
    <w:p w14:paraId="09DF4FE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对污泥进行焚烧处置，可以做到污泥的无机化和无害化。</w:t>
      </w:r>
    </w:p>
    <w:p w14:paraId="0C5130B2">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用于污泥焚烧处理的焚烧炉有多层焚烧炉、流化床焚烧炉、电红外焚烧炉、复合床焚烧炉等，常用的是多层焚烧炉和流化床焚烧炉。</w:t>
      </w:r>
    </w:p>
    <w:p w14:paraId="403C39F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bookmarkStart w:id="84" w:name="bookmark72"/>
      <w:bookmarkEnd w:id="84"/>
      <w:bookmarkStart w:id="85" w:name="bookmark70"/>
      <w:bookmarkEnd w:id="85"/>
      <w:bookmarkStart w:id="86" w:name="bookmark71"/>
      <w:bookmarkEnd w:id="86"/>
      <w:r>
        <w:rPr>
          <w:rFonts w:hint="default" w:ascii="Times New Roman" w:hAnsi="Times New Roman" w:cs="Times New Roman" w:eastAsiaTheme="minorEastAsia"/>
          <w:color w:val="auto"/>
          <w:sz w:val="24"/>
          <w:szCs w:val="24"/>
        </w:rPr>
        <w:t>污泥焚烧是否需要外加燃料，取决于污泥本身的热值</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如有机物含量</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和污泥的含水率。含水率为</w:t>
      </w:r>
      <w:r>
        <w:rPr>
          <w:rFonts w:hint="eastAsia" w:cs="Times New Roman" w:eastAsiaTheme="minorEastAsia"/>
          <w:color w:val="auto"/>
          <w:sz w:val="24"/>
          <w:szCs w:val="24"/>
          <w:lang w:eastAsia="zh-CN"/>
        </w:rPr>
        <w:t>70%～80%</w:t>
      </w:r>
      <w:r>
        <w:rPr>
          <w:rFonts w:hint="default" w:ascii="Times New Roman" w:hAnsi="Times New Roman" w:cs="Times New Roman" w:eastAsiaTheme="minorEastAsia"/>
          <w:color w:val="auto"/>
          <w:sz w:val="24"/>
          <w:szCs w:val="24"/>
        </w:rPr>
        <w:t>的污泥进行焚烧时一般需要添加辅助燃料，污泥的热值为5×10³kJ/kgDS以上的污泥一般不需辅助燃料就可以焚烧。</w:t>
      </w:r>
    </w:p>
    <w:p w14:paraId="4F1EEDF4">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泥焚烧处置需要配套前处理和后续处理设施。重要的配套处理工艺包括三方面：对于焚烧前的污泥进行干化处理，以便使污泥能够自燃，从而减少辅助燃料的消耗量，降低运行成本；需要对尾气进行处理，以便达到规定的排放标准，保护大气；对废热进行回收利用等。</w:t>
      </w:r>
    </w:p>
    <w:p w14:paraId="0A9F8E7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①焚烧处置优点</w:t>
      </w:r>
    </w:p>
    <w:p w14:paraId="28FF076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对污泥处置迅速，减容量大</w:t>
      </w:r>
      <w:r>
        <w:rPr>
          <w:rFonts w:hint="default" w:ascii="Times New Roman" w:hAnsi="Times New Roman" w:cs="Times New Roman" w:eastAsiaTheme="minorEastAsia"/>
          <w:color w:val="auto"/>
          <w:sz w:val="24"/>
          <w:szCs w:val="24"/>
          <w:lang w:eastAsia="zh-CN"/>
        </w:rPr>
        <w:t>（</w:t>
      </w:r>
      <w:r>
        <w:rPr>
          <w:rFonts w:hint="eastAsia" w:cs="Times New Roman" w:eastAsiaTheme="minorEastAsia"/>
          <w:color w:val="auto"/>
          <w:sz w:val="24"/>
          <w:szCs w:val="24"/>
          <w:lang w:eastAsia="zh-CN"/>
        </w:rPr>
        <w:t>70%～90%</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无害化程度高，占地面积小。</w:t>
      </w:r>
    </w:p>
    <w:p w14:paraId="56B80FE7">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②焚烧处置缺点</w:t>
      </w:r>
    </w:p>
    <w:p w14:paraId="526B6FA4">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工艺复杂，一次性投资大；设备数量多，操作管理复杂，能耗高，运行管理费亦高；潜在的大气污染及二噁英危险。</w:t>
      </w:r>
    </w:p>
    <w:p w14:paraId="57946B9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焚烧法适于经济发达地区。</w:t>
      </w:r>
    </w:p>
    <w:p w14:paraId="56C09457">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eastAsia"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b/>
          <w:bCs/>
          <w:color w:val="auto"/>
          <w:sz w:val="24"/>
          <w:szCs w:val="24"/>
        </w:rPr>
        <w:t>堆肥</w:t>
      </w:r>
      <w:r>
        <w:rPr>
          <w:rFonts w:hint="eastAsia" w:cs="Times New Roman" w:eastAsiaTheme="minorEastAsia"/>
          <w:color w:val="auto"/>
          <w:sz w:val="24"/>
          <w:szCs w:val="24"/>
          <w:lang w:eastAsia="zh-CN"/>
        </w:rPr>
        <w:t>：</w:t>
      </w:r>
    </w:p>
    <w:p w14:paraId="1708EFB7">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泥与城市生活垃圾混合高温堆肥，污泥腐熟程度高，病原体和寄生虫卵去除较彻底。堆肥可以使富含氮、磷等元素的污泥用作肥料或者土壤改良剂。生污泥、消化污泥或经过化学稳定处理的污泥都可以进行堆肥处理。</w:t>
      </w:r>
    </w:p>
    <w:p w14:paraId="72C4C7A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常用的污泥堆肥方法有三种。</w:t>
      </w:r>
    </w:p>
    <w:p w14:paraId="2DEF8ADF">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①好氧静态堆肥</w:t>
      </w:r>
    </w:p>
    <w:p w14:paraId="199BFD35">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脱水泥饼与粗的填充剂如</w:t>
      </w:r>
      <w:r>
        <w:rPr>
          <w:rFonts w:hint="eastAsia" w:cs="Times New Roman" w:eastAsiaTheme="minorEastAsia"/>
          <w:color w:val="auto"/>
          <w:sz w:val="24"/>
          <w:szCs w:val="24"/>
          <w:lang w:eastAsia="zh-CN"/>
        </w:rPr>
        <w:t>木屑</w:t>
      </w:r>
      <w:r>
        <w:rPr>
          <w:rFonts w:hint="default" w:ascii="Times New Roman" w:hAnsi="Times New Roman" w:cs="Times New Roman" w:eastAsiaTheme="minorEastAsia"/>
          <w:color w:val="auto"/>
          <w:sz w:val="24"/>
          <w:szCs w:val="24"/>
        </w:rPr>
        <w:t>混合，混合物堆放在填料床上，填料床内设有风管，采用鼓风机进行供氧，空气流动方式可以是上流式或下流式。料堆表面用一层熟料覆盖，以便隔离和吸收臭气。堆肥过</w:t>
      </w:r>
      <w:bookmarkStart w:id="87" w:name="bookmark75"/>
      <w:bookmarkEnd w:id="87"/>
      <w:bookmarkStart w:id="88" w:name="bookmark76"/>
      <w:bookmarkEnd w:id="88"/>
      <w:bookmarkStart w:id="89" w:name="bookmark74"/>
      <w:bookmarkEnd w:id="89"/>
      <w:bookmarkStart w:id="90" w:name="bookmark73"/>
      <w:bookmarkEnd w:id="90"/>
      <w:r>
        <w:rPr>
          <w:rFonts w:hint="default" w:ascii="Times New Roman" w:hAnsi="Times New Roman" w:cs="Times New Roman" w:eastAsiaTheme="minorEastAsia"/>
          <w:color w:val="auto"/>
          <w:sz w:val="24"/>
          <w:szCs w:val="24"/>
        </w:rPr>
        <w:t>程完成后，可以将堆料打碎，采用筛分机把填充剂分离出来，以便再用。</w:t>
      </w:r>
    </w:p>
    <w:p w14:paraId="4473B9D5">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②好氧动态堆肥</w:t>
      </w:r>
    </w:p>
    <w:p w14:paraId="7AD9395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混合料被堆放成长条形，料堆应具有较大的比表面积，以便进行空气的对流与扩散。也可以进行强制鼓风。料堆由机械设备进行周期性的翻堆。还有一种DANO工艺，污泥在旋转的滚筒中进行好氧发酵，需氧由鼓风机供给。该法机械化程度高，周期短，环境条件好，是最先进的堆肥工艺。但动力消耗和维护工作量大。</w:t>
      </w:r>
    </w:p>
    <w:p w14:paraId="6F08C931">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③料仓堆肥</w:t>
      </w:r>
    </w:p>
    <w:p w14:paraId="6285377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混合料从堆肥仓的一端进入，向堆肥仓的出料端运动，达到足够的停留时间后离开堆肥仓。采用强制鼓风的方式使空气通过堆肥仓，混合料则可以以不进行扰动的推流方式或进行周期性混合的方式经过堆肥仓。</w:t>
      </w:r>
    </w:p>
    <w:p w14:paraId="453CFF4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在堆肥过程中，微生物活动需要氧气，产生二氧化碳、水蒸气和热量。虽然堆肥的温度可以超过70℃</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但是常用的堆肥温度为50~60℃</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经过3</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10d</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堆肥温度逐渐下降。在堆肥过程中除需要供氧外，还需要除去废气、水蒸气和热量。通气量可以控制堆肥温度和干化速率。</w:t>
      </w:r>
    </w:p>
    <w:p w14:paraId="21BB5A11">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堆肥过程可以除去水分，污泥的含固率可以由40%提高到55%。堆肥最大的缺点是生产周期较长，必须严格控制污泥中的重金属等有害物，堆肥产品受市场影响较大。</w:t>
      </w:r>
    </w:p>
    <w:p w14:paraId="5D7BE558">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eastAsia" w:ascii="Times New Roman" w:hAnsi="Times New Roman" w:cs="Times New Roman" w:eastAsiaTheme="minorEastAsia"/>
          <w:b/>
          <w:bCs/>
          <w:color w:val="auto"/>
          <w:sz w:val="24"/>
          <w:szCs w:val="24"/>
          <w:lang w:eastAsia="zh-CN"/>
        </w:rPr>
      </w:pPr>
      <w:r>
        <w:rPr>
          <w:rFonts w:hint="default" w:ascii="Times New Roman" w:hAnsi="Times New Roman" w:cs="Times New Roman" w:eastAsiaTheme="minorEastAsia"/>
          <w:b/>
          <w:bCs/>
          <w:color w:val="auto"/>
          <w:sz w:val="24"/>
          <w:szCs w:val="24"/>
        </w:rPr>
        <w:t>卫生填埋</w:t>
      </w:r>
      <w:r>
        <w:rPr>
          <w:rFonts w:hint="eastAsia" w:cs="Times New Roman" w:eastAsiaTheme="minorEastAsia"/>
          <w:b/>
          <w:bCs/>
          <w:color w:val="auto"/>
          <w:sz w:val="24"/>
          <w:szCs w:val="24"/>
          <w:lang w:eastAsia="zh-CN"/>
        </w:rPr>
        <w:t>：</w:t>
      </w:r>
    </w:p>
    <w:p w14:paraId="388FB41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污泥卫生填埋是把脱水污泥运到卫生填埋场与城市垃圾一起，按卫生填埋操作进行处置的工艺。常见的有厌氧和兼氧卫生填埋两种。</w:t>
      </w:r>
    </w:p>
    <w:p w14:paraId="640F763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bookmarkStart w:id="91" w:name="bookmark78"/>
      <w:bookmarkEnd w:id="91"/>
      <w:bookmarkStart w:id="92" w:name="bookmark77"/>
      <w:bookmarkEnd w:id="92"/>
      <w:r>
        <w:rPr>
          <w:rFonts w:hint="default" w:ascii="Times New Roman" w:hAnsi="Times New Roman" w:cs="Times New Roman" w:eastAsiaTheme="minorEastAsia"/>
          <w:color w:val="auto"/>
          <w:sz w:val="24"/>
          <w:szCs w:val="24"/>
        </w:rPr>
        <w:t>卫生填埋法处置具有处理量大、投资省、运行费低、操作简单、管理方便，对污泥适应能力强等优点。但亦具有占地大，渗滤液及臭气污染较重等缺点。</w:t>
      </w:r>
    </w:p>
    <w:p w14:paraId="08D68AB9">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卫生填埋法适宜于填埋场地容易选取、运距较近、有覆盖土的地方。迄今为止，卫生填埋法是国内外处理城市污水处理厂脱水污泥最常用的方法。</w:t>
      </w:r>
    </w:p>
    <w:p w14:paraId="3568BBBC">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eastAsia" w:ascii="Times New Roman" w:hAnsi="Times New Roman" w:cs="Times New Roman" w:eastAsiaTheme="minorEastAsia"/>
          <w:b/>
          <w:bCs/>
          <w:color w:val="auto"/>
          <w:sz w:val="24"/>
          <w:szCs w:val="24"/>
          <w:lang w:eastAsia="zh-CN"/>
        </w:rPr>
      </w:pPr>
      <w:r>
        <w:rPr>
          <w:rFonts w:hint="default" w:ascii="Times New Roman" w:hAnsi="Times New Roman" w:cs="Times New Roman" w:eastAsiaTheme="minorEastAsia"/>
          <w:b/>
          <w:bCs/>
          <w:color w:val="auto"/>
          <w:sz w:val="24"/>
          <w:szCs w:val="24"/>
        </w:rPr>
        <w:t>干化利用</w:t>
      </w:r>
      <w:r>
        <w:rPr>
          <w:rFonts w:hint="eastAsia" w:cs="Times New Roman" w:eastAsiaTheme="minorEastAsia"/>
          <w:b/>
          <w:bCs/>
          <w:color w:val="auto"/>
          <w:sz w:val="24"/>
          <w:szCs w:val="24"/>
          <w:lang w:eastAsia="zh-CN"/>
        </w:rPr>
        <w:t>：</w:t>
      </w:r>
    </w:p>
    <w:p w14:paraId="5EDC058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采用热干化工艺的产品一般含水率10%</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20%、粒径为1</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4mm的固体颗粒，污泥颗粒可直接用于农业、园林、燃料或进行填埋处置。</w:t>
      </w:r>
    </w:p>
    <w:p w14:paraId="4681992F">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2</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污泥处置工艺选择</w:t>
      </w:r>
    </w:p>
    <w:p w14:paraId="000A3AFC">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要确定适宜的污泥处置工艺，特别是要走污泥综合利用的道路，</w:t>
      </w:r>
    </w:p>
    <w:p w14:paraId="6DDB3644">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就应知道现有</w:t>
      </w:r>
      <w:r>
        <w:rPr>
          <w:rFonts w:hint="eastAsia" w:cs="Times New Roman" w:eastAsiaTheme="minorEastAsia"/>
          <w:color w:val="auto"/>
          <w:sz w:val="24"/>
          <w:szCs w:val="24"/>
          <w:lang w:eastAsia="zh-CN"/>
        </w:rPr>
        <w:t>污泥成分</w:t>
      </w:r>
      <w:r>
        <w:rPr>
          <w:rFonts w:hint="default" w:ascii="Times New Roman" w:hAnsi="Times New Roman" w:cs="Times New Roman" w:eastAsiaTheme="minorEastAsia"/>
          <w:color w:val="auto"/>
          <w:sz w:val="24"/>
          <w:szCs w:val="24"/>
        </w:rPr>
        <w:t>，并预测未来</w:t>
      </w:r>
      <w:r>
        <w:rPr>
          <w:rFonts w:hint="eastAsia" w:cs="Times New Roman" w:eastAsiaTheme="minorEastAsia"/>
          <w:color w:val="auto"/>
          <w:sz w:val="24"/>
          <w:szCs w:val="24"/>
          <w:lang w:eastAsia="zh-CN"/>
        </w:rPr>
        <w:t>污泥成分</w:t>
      </w:r>
      <w:r>
        <w:rPr>
          <w:rFonts w:hint="default" w:ascii="Times New Roman" w:hAnsi="Times New Roman" w:cs="Times New Roman" w:eastAsiaTheme="minorEastAsia"/>
          <w:color w:val="auto"/>
          <w:sz w:val="24"/>
          <w:szCs w:val="24"/>
        </w:rPr>
        <w:t>，才能收到良好的效果。</w:t>
      </w:r>
    </w:p>
    <w:p w14:paraId="7167FB54">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鉴于目前A在</w:t>
      </w:r>
      <w:r>
        <w:rPr>
          <w:rFonts w:hint="eastAsia" w:cs="Times New Roman" w:eastAsiaTheme="minorEastAsia"/>
          <w:color w:val="auto"/>
          <w:sz w:val="24"/>
          <w:szCs w:val="24"/>
          <w:lang w:eastAsia="zh-CN"/>
        </w:rPr>
        <w:t>污泥成分</w:t>
      </w:r>
      <w:r>
        <w:rPr>
          <w:rFonts w:hint="default" w:ascii="Times New Roman" w:hAnsi="Times New Roman" w:cs="Times New Roman" w:eastAsiaTheme="minorEastAsia"/>
          <w:color w:val="auto"/>
          <w:sz w:val="24"/>
          <w:szCs w:val="24"/>
        </w:rPr>
        <w:t>方面积累的资料有限，同时考虑到本</w:t>
      </w:r>
      <w:r>
        <w:rPr>
          <w:rFonts w:hint="eastAsia" w:cs="Times New Roman" w:eastAsiaTheme="minorEastAsia"/>
          <w:color w:val="auto"/>
          <w:sz w:val="24"/>
          <w:szCs w:val="24"/>
          <w:lang w:eastAsia="zh-CN"/>
        </w:rPr>
        <w:t>污水处理厂</w:t>
      </w:r>
      <w:r>
        <w:rPr>
          <w:rFonts w:hint="default" w:ascii="Times New Roman" w:hAnsi="Times New Roman" w:cs="Times New Roman" w:eastAsiaTheme="minorEastAsia"/>
          <w:color w:val="auto"/>
          <w:sz w:val="24"/>
          <w:szCs w:val="24"/>
        </w:rPr>
        <w:t>工业废水比例很大，</w:t>
      </w:r>
      <w:r>
        <w:rPr>
          <w:rFonts w:hint="eastAsia" w:cs="Times New Roman" w:eastAsiaTheme="minorEastAsia"/>
          <w:color w:val="auto"/>
          <w:sz w:val="24"/>
          <w:szCs w:val="24"/>
          <w:lang w:eastAsia="zh-CN"/>
        </w:rPr>
        <w:t>污泥成分</w:t>
      </w:r>
      <w:r>
        <w:rPr>
          <w:rFonts w:hint="default" w:ascii="Times New Roman" w:hAnsi="Times New Roman" w:cs="Times New Roman" w:eastAsiaTheme="minorEastAsia"/>
          <w:color w:val="auto"/>
          <w:sz w:val="24"/>
          <w:szCs w:val="24"/>
        </w:rPr>
        <w:t>复杂，不适宜用于堆肥处理；而焚烧处置则需要更大的工程投资。</w:t>
      </w:r>
      <w:r>
        <w:rPr>
          <w:rFonts w:hint="default" w:ascii="Times New Roman" w:hAnsi="Times New Roman" w:cs="Times New Roman" w:eastAsiaTheme="minorEastAsia"/>
          <w:b/>
          <w:bCs/>
          <w:color w:val="auto"/>
          <w:sz w:val="24"/>
          <w:szCs w:val="24"/>
        </w:rPr>
        <w:t>因此，</w:t>
      </w:r>
      <w:r>
        <w:rPr>
          <w:rFonts w:hint="eastAsia" w:cs="Times New Roman" w:eastAsiaTheme="minorEastAsia"/>
          <w:b/>
          <w:bCs/>
          <w:color w:val="auto"/>
          <w:sz w:val="24"/>
          <w:szCs w:val="24"/>
          <w:lang w:val="en-US" w:eastAsia="zh-CN"/>
        </w:rPr>
        <w:t>本项目</w:t>
      </w:r>
      <w:r>
        <w:rPr>
          <w:rFonts w:hint="default" w:ascii="Times New Roman" w:hAnsi="Times New Roman" w:cs="Times New Roman" w:eastAsiaTheme="minorEastAsia"/>
          <w:b/>
          <w:bCs/>
          <w:color w:val="auto"/>
          <w:sz w:val="24"/>
          <w:szCs w:val="24"/>
        </w:rPr>
        <w:t>污泥经浓缩后进入污泥脱水机房，污泥脱水后暂存于污泥池内，泥饼先按照</w:t>
      </w:r>
      <w:r>
        <w:rPr>
          <w:rFonts w:hint="eastAsia" w:cs="Times New Roman" w:eastAsiaTheme="minorEastAsia"/>
          <w:b/>
          <w:bCs/>
          <w:color w:val="auto"/>
          <w:sz w:val="24"/>
          <w:szCs w:val="24"/>
          <w:lang w:eastAsia="zh-CN"/>
        </w:rPr>
        <w:t>《危险废物鉴别标准 通则》（GB5085.7-2019）</w:t>
      </w:r>
      <w:r>
        <w:rPr>
          <w:rFonts w:hint="default" w:ascii="Times New Roman" w:hAnsi="Times New Roman" w:cs="Times New Roman" w:eastAsiaTheme="minorEastAsia"/>
          <w:b/>
          <w:bCs/>
          <w:color w:val="auto"/>
          <w:sz w:val="24"/>
          <w:szCs w:val="24"/>
        </w:rPr>
        <w:t>进行鉴定，如属于危险废物，则运至危废处置单位进行集中处置；如经鉴定污泥不具有危险特性，则外运至运送填埋场处置或</w:t>
      </w:r>
      <w:r>
        <w:rPr>
          <w:rFonts w:hint="eastAsia" w:cs="Times New Roman" w:eastAsiaTheme="minorEastAsia"/>
          <w:b/>
          <w:bCs/>
          <w:color w:val="auto"/>
          <w:sz w:val="24"/>
          <w:szCs w:val="24"/>
          <w:lang w:eastAsia="zh-CN"/>
        </w:rPr>
        <w:t>制砖厂烧砖</w:t>
      </w:r>
      <w:r>
        <w:rPr>
          <w:rFonts w:hint="default" w:ascii="Times New Roman" w:hAnsi="Times New Roman" w:cs="Times New Roman" w:eastAsiaTheme="minorEastAsia"/>
          <w:b/>
          <w:bCs/>
          <w:color w:val="auto"/>
          <w:sz w:val="24"/>
          <w:szCs w:val="24"/>
        </w:rPr>
        <w:t>。</w:t>
      </w:r>
    </w:p>
    <w:p w14:paraId="5C53A9B5">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eastAsia" w:cs="Times New Roman" w:eastAsiaTheme="minorEastAsia"/>
          <w:b/>
          <w:bCs/>
          <w:color w:val="auto"/>
          <w:sz w:val="24"/>
          <w:szCs w:val="24"/>
          <w:lang w:val="en-US" w:eastAsia="zh-CN"/>
        </w:rPr>
        <w:t>10、</w:t>
      </w:r>
      <w:r>
        <w:rPr>
          <w:rFonts w:hint="default" w:ascii="Times New Roman" w:hAnsi="Times New Roman" w:cs="Times New Roman" w:eastAsiaTheme="minorEastAsia"/>
          <w:b/>
          <w:bCs/>
          <w:color w:val="auto"/>
          <w:sz w:val="24"/>
          <w:szCs w:val="24"/>
        </w:rPr>
        <w:t>厂区除臭工艺方案</w:t>
      </w:r>
    </w:p>
    <w:p w14:paraId="40F439B7">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eastAsia" w:cs="Times New Roman" w:eastAsiaTheme="minorEastAsia"/>
          <w:b/>
          <w:bCs/>
          <w:color w:val="auto"/>
          <w:sz w:val="24"/>
          <w:szCs w:val="24"/>
          <w:lang w:eastAsia="zh-CN"/>
        </w:rPr>
        <w:t>（</w:t>
      </w:r>
      <w:r>
        <w:rPr>
          <w:rFonts w:hint="eastAsia" w:cs="Times New Roman" w:eastAsiaTheme="minorEastAsia"/>
          <w:b/>
          <w:bCs/>
          <w:color w:val="auto"/>
          <w:sz w:val="24"/>
          <w:szCs w:val="24"/>
          <w:lang w:val="en-US" w:eastAsia="zh-CN"/>
        </w:rPr>
        <w:t>一</w:t>
      </w:r>
      <w:r>
        <w:rPr>
          <w:rFonts w:hint="eastAsia"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污水处理设施中臭气的来源</w:t>
      </w:r>
      <w:r>
        <w:rPr>
          <w:rFonts w:hint="eastAsia" w:cs="Times New Roman" w:eastAsiaTheme="minorEastAsia"/>
          <w:b/>
          <w:bCs/>
          <w:color w:val="auto"/>
          <w:sz w:val="24"/>
          <w:szCs w:val="24"/>
          <w:lang w:eastAsia="zh-CN"/>
        </w:rPr>
        <w:t>与成分</w:t>
      </w:r>
    </w:p>
    <w:p w14:paraId="0E2FCDB3">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1</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臭气的来源</w:t>
      </w:r>
    </w:p>
    <w:p w14:paraId="78806E22">
      <w:pPr>
        <w:pageBreakBefore w:val="0"/>
        <w:wordWrap/>
        <w:bidi w:val="0"/>
        <w:adjustRightInd/>
        <w:snapToGrid/>
        <w:rPr>
          <w:rFonts w:hint="default"/>
          <w:color w:val="auto"/>
        </w:rPr>
      </w:pPr>
      <w:r>
        <w:rPr>
          <w:rFonts w:hint="default" w:ascii="Times New Roman" w:hAnsi="Times New Roman" w:cs="Times New Roman" w:eastAsiaTheme="minorEastAsia"/>
          <w:color w:val="auto"/>
          <w:sz w:val="24"/>
          <w:szCs w:val="24"/>
        </w:rPr>
        <w:t>污水处理设施中臭气的来源</w:t>
      </w:r>
      <w:r>
        <w:rPr>
          <w:rFonts w:hint="default"/>
          <w:color w:val="auto"/>
        </w:rPr>
        <w:t>主要是污水处理部分</w:t>
      </w:r>
      <w:r>
        <w:rPr>
          <w:rFonts w:hint="default"/>
          <w:color w:val="auto"/>
          <w:lang w:eastAsia="zh-CN"/>
        </w:rPr>
        <w:t>（</w:t>
      </w:r>
      <w:r>
        <w:rPr>
          <w:rFonts w:hint="default"/>
          <w:color w:val="auto"/>
        </w:rPr>
        <w:t>格栅井、水解酸化池、生化池</w:t>
      </w:r>
      <w:r>
        <w:rPr>
          <w:rFonts w:hint="default"/>
          <w:color w:val="auto"/>
          <w:lang w:eastAsia="zh-CN"/>
        </w:rPr>
        <w:t>）</w:t>
      </w:r>
      <w:r>
        <w:rPr>
          <w:rFonts w:hint="default"/>
          <w:color w:val="auto"/>
        </w:rPr>
        <w:t>和污泥处理部分</w:t>
      </w:r>
      <w:r>
        <w:rPr>
          <w:rFonts w:hint="default"/>
          <w:color w:val="auto"/>
          <w:lang w:eastAsia="zh-CN"/>
        </w:rPr>
        <w:t>（</w:t>
      </w:r>
      <w:r>
        <w:rPr>
          <w:rFonts w:hint="eastAsia"/>
          <w:color w:val="auto"/>
          <w:lang w:eastAsia="zh-CN"/>
        </w:rPr>
        <w:t>污泥池</w:t>
      </w:r>
      <w:r>
        <w:rPr>
          <w:rFonts w:hint="default"/>
          <w:color w:val="auto"/>
        </w:rPr>
        <w:t>、脱水间等</w:t>
      </w:r>
      <w:r>
        <w:rPr>
          <w:rFonts w:hint="default"/>
          <w:color w:val="auto"/>
          <w:lang w:eastAsia="zh-CN"/>
        </w:rPr>
        <w:t>），</w:t>
      </w:r>
      <w:r>
        <w:rPr>
          <w:rFonts w:hint="default"/>
          <w:color w:val="auto"/>
        </w:rPr>
        <w:t>是除臭的重点；曝气池负荷低，可适当考虑除臭措施。</w:t>
      </w:r>
    </w:p>
    <w:p w14:paraId="196A8A90">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2</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臭气的</w:t>
      </w:r>
      <w:r>
        <w:rPr>
          <w:rFonts w:hint="eastAsia" w:cs="Times New Roman" w:eastAsiaTheme="minorEastAsia"/>
          <w:b/>
          <w:bCs/>
          <w:color w:val="auto"/>
          <w:sz w:val="24"/>
          <w:szCs w:val="24"/>
          <w:lang w:eastAsia="zh-CN"/>
        </w:rPr>
        <w:t>成分</w:t>
      </w:r>
    </w:p>
    <w:p w14:paraId="2681F9F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几种主要臭气的</w:t>
      </w:r>
      <w:r>
        <w:rPr>
          <w:rFonts w:hint="eastAsia" w:cs="Times New Roman" w:eastAsiaTheme="minorEastAsia"/>
          <w:color w:val="auto"/>
          <w:sz w:val="24"/>
          <w:szCs w:val="24"/>
          <w:lang w:eastAsia="zh-CN"/>
        </w:rPr>
        <w:t>成分</w:t>
      </w:r>
      <w:r>
        <w:rPr>
          <w:rFonts w:hint="default" w:ascii="Times New Roman" w:hAnsi="Times New Roman" w:cs="Times New Roman" w:eastAsiaTheme="minorEastAsia"/>
          <w:color w:val="auto"/>
          <w:sz w:val="24"/>
          <w:szCs w:val="24"/>
        </w:rPr>
        <w:t>如</w:t>
      </w:r>
      <w:r>
        <w:rPr>
          <w:rFonts w:hint="eastAsia" w:cs="Times New Roman" w:eastAsiaTheme="minorEastAsia"/>
          <w:color w:val="auto"/>
          <w:sz w:val="24"/>
          <w:szCs w:val="24"/>
          <w:lang w:val="en-US" w:eastAsia="zh-CN"/>
        </w:rPr>
        <w:t>下表</w:t>
      </w:r>
      <w:r>
        <w:rPr>
          <w:rFonts w:hint="default" w:ascii="Times New Roman" w:hAnsi="Times New Roman" w:cs="Times New Roman" w:eastAsiaTheme="minorEastAsia"/>
          <w:color w:val="auto"/>
          <w:sz w:val="24"/>
          <w:szCs w:val="24"/>
        </w:rPr>
        <w:t>所示。</w:t>
      </w:r>
    </w:p>
    <w:p w14:paraId="0A6E99FF">
      <w:pPr>
        <w:pStyle w:val="19"/>
        <w:numPr>
          <w:ilvl w:val="0"/>
          <w:numId w:val="16"/>
        </w:numPr>
        <w:bidi w:val="0"/>
        <w:ind w:left="0" w:leftChars="0" w:firstLine="0" w:firstLineChars="0"/>
        <w:rPr>
          <w:rFonts w:hint="default"/>
          <w:color w:val="auto"/>
        </w:rPr>
      </w:pPr>
      <w:r>
        <w:rPr>
          <w:rFonts w:hint="default"/>
          <w:color w:val="auto"/>
        </w:rPr>
        <w:t>主要臭气</w:t>
      </w:r>
      <w:r>
        <w:rPr>
          <w:rFonts w:hint="eastAsia"/>
          <w:color w:val="auto"/>
          <w:lang w:eastAsia="zh-CN"/>
        </w:rPr>
        <w:t>成分表</w:t>
      </w:r>
    </w:p>
    <w:tbl>
      <w:tblPr>
        <w:tblStyle w:val="706"/>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044"/>
        <w:gridCol w:w="3954"/>
        <w:gridCol w:w="2306"/>
      </w:tblGrid>
      <w:tr w14:paraId="796942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3" w:hRule="atLeast"/>
          <w:jc w:val="center"/>
        </w:trPr>
        <w:tc>
          <w:tcPr>
            <w:tcW w:w="1231" w:type="pct"/>
            <w:tcBorders>
              <w:tl2br w:val="nil"/>
              <w:tr2bl w:val="nil"/>
            </w:tcBorders>
            <w:vAlign w:val="center"/>
          </w:tcPr>
          <w:p w14:paraId="57739935">
            <w:pPr>
              <w:pStyle w:val="16"/>
              <w:pageBreakBefore w:val="0"/>
              <w:wordWrap/>
              <w:bidi w:val="0"/>
              <w:adjustRightInd/>
              <w:snapToGrid/>
              <w:rPr>
                <w:rFonts w:hint="default"/>
                <w:b/>
                <w:bCs/>
                <w:color w:val="auto"/>
              </w:rPr>
            </w:pPr>
            <w:r>
              <w:rPr>
                <w:rFonts w:hint="default"/>
                <w:b/>
                <w:bCs/>
                <w:color w:val="auto"/>
              </w:rPr>
              <w:t>化合物</w:t>
            </w:r>
          </w:p>
        </w:tc>
        <w:tc>
          <w:tcPr>
            <w:tcW w:w="2380" w:type="pct"/>
            <w:tcBorders>
              <w:tl2br w:val="nil"/>
              <w:tr2bl w:val="nil"/>
            </w:tcBorders>
            <w:vAlign w:val="center"/>
          </w:tcPr>
          <w:p w14:paraId="1FD62025">
            <w:pPr>
              <w:pStyle w:val="16"/>
              <w:pageBreakBefore w:val="0"/>
              <w:wordWrap/>
              <w:bidi w:val="0"/>
              <w:adjustRightInd/>
              <w:snapToGrid/>
              <w:rPr>
                <w:rFonts w:hint="default"/>
                <w:b/>
                <w:bCs/>
                <w:color w:val="auto"/>
              </w:rPr>
            </w:pPr>
            <w:r>
              <w:rPr>
                <w:rFonts w:hint="default"/>
                <w:b/>
                <w:bCs/>
                <w:color w:val="auto"/>
              </w:rPr>
              <w:t>典型分子式</w:t>
            </w:r>
          </w:p>
        </w:tc>
        <w:tc>
          <w:tcPr>
            <w:tcW w:w="1388" w:type="pct"/>
            <w:tcBorders>
              <w:tl2br w:val="nil"/>
              <w:tr2bl w:val="nil"/>
            </w:tcBorders>
            <w:vAlign w:val="center"/>
          </w:tcPr>
          <w:p w14:paraId="30CF48E5">
            <w:pPr>
              <w:pStyle w:val="16"/>
              <w:pageBreakBefore w:val="0"/>
              <w:wordWrap/>
              <w:bidi w:val="0"/>
              <w:adjustRightInd/>
              <w:snapToGrid/>
              <w:rPr>
                <w:rFonts w:hint="default"/>
                <w:b/>
                <w:bCs/>
                <w:color w:val="auto"/>
              </w:rPr>
            </w:pPr>
            <w:r>
              <w:rPr>
                <w:rFonts w:hint="default"/>
                <w:b/>
                <w:bCs/>
                <w:color w:val="auto"/>
              </w:rPr>
              <w:t>特性</w:t>
            </w:r>
          </w:p>
        </w:tc>
      </w:tr>
      <w:tr w14:paraId="3A51EF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48" w:hRule="atLeast"/>
          <w:jc w:val="center"/>
        </w:trPr>
        <w:tc>
          <w:tcPr>
            <w:tcW w:w="1231" w:type="pct"/>
            <w:tcBorders>
              <w:tl2br w:val="nil"/>
              <w:tr2bl w:val="nil"/>
            </w:tcBorders>
            <w:vAlign w:val="center"/>
          </w:tcPr>
          <w:p w14:paraId="6819552A">
            <w:pPr>
              <w:pStyle w:val="16"/>
              <w:pageBreakBefore w:val="0"/>
              <w:wordWrap/>
              <w:bidi w:val="0"/>
              <w:adjustRightInd/>
              <w:snapToGrid/>
              <w:rPr>
                <w:rFonts w:hint="default"/>
                <w:color w:val="auto"/>
              </w:rPr>
            </w:pPr>
            <w:r>
              <w:rPr>
                <w:rFonts w:hint="default"/>
                <w:color w:val="auto"/>
              </w:rPr>
              <w:t>胺类</w:t>
            </w:r>
          </w:p>
        </w:tc>
        <w:tc>
          <w:tcPr>
            <w:tcW w:w="2380" w:type="pct"/>
            <w:tcBorders>
              <w:tl2br w:val="nil"/>
              <w:tr2bl w:val="nil"/>
            </w:tcBorders>
            <w:vAlign w:val="center"/>
          </w:tcPr>
          <w:p w14:paraId="52A4C821">
            <w:pPr>
              <w:pStyle w:val="16"/>
              <w:pageBreakBefore w:val="0"/>
              <w:wordWrap/>
              <w:bidi w:val="0"/>
              <w:adjustRightInd/>
              <w:snapToGrid/>
              <w:rPr>
                <w:rFonts w:hint="default"/>
                <w:color w:val="auto"/>
              </w:rPr>
            </w:pPr>
            <w:r>
              <w:rPr>
                <w:rFonts w:hint="default"/>
                <w:color w:val="auto"/>
              </w:rPr>
              <w:t>CH₃NH₂</w:t>
            </w:r>
            <w:r>
              <w:rPr>
                <w:rFonts w:hint="default"/>
                <w:color w:val="auto"/>
                <w:lang w:eastAsia="zh-CN"/>
              </w:rPr>
              <w:t>（</w:t>
            </w:r>
            <w:r>
              <w:rPr>
                <w:rFonts w:hint="default"/>
                <w:color w:val="auto"/>
              </w:rPr>
              <w:t>CH₃</w:t>
            </w:r>
            <w:r>
              <w:rPr>
                <w:rFonts w:hint="default"/>
                <w:color w:val="auto"/>
                <w:lang w:eastAsia="zh-CN"/>
              </w:rPr>
              <w:t>）</w:t>
            </w:r>
            <w:r>
              <w:rPr>
                <w:rFonts w:hint="default"/>
                <w:color w:val="auto"/>
              </w:rPr>
              <w:t>₃N</w:t>
            </w:r>
          </w:p>
        </w:tc>
        <w:tc>
          <w:tcPr>
            <w:tcW w:w="1388" w:type="pct"/>
            <w:tcBorders>
              <w:tl2br w:val="nil"/>
              <w:tr2bl w:val="nil"/>
            </w:tcBorders>
            <w:vAlign w:val="center"/>
          </w:tcPr>
          <w:p w14:paraId="142F2456">
            <w:pPr>
              <w:pStyle w:val="16"/>
              <w:pageBreakBefore w:val="0"/>
              <w:wordWrap/>
              <w:bidi w:val="0"/>
              <w:adjustRightInd/>
              <w:snapToGrid/>
              <w:rPr>
                <w:rFonts w:hint="default"/>
                <w:color w:val="auto"/>
              </w:rPr>
            </w:pPr>
            <w:r>
              <w:rPr>
                <w:rFonts w:hint="default"/>
                <w:color w:val="auto"/>
              </w:rPr>
              <w:t>鱼腥味</w:t>
            </w:r>
          </w:p>
        </w:tc>
      </w:tr>
      <w:tr w14:paraId="1C7706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9" w:hRule="atLeast"/>
          <w:jc w:val="center"/>
        </w:trPr>
        <w:tc>
          <w:tcPr>
            <w:tcW w:w="1231" w:type="pct"/>
            <w:tcBorders>
              <w:tl2br w:val="nil"/>
              <w:tr2bl w:val="nil"/>
            </w:tcBorders>
            <w:vAlign w:val="center"/>
          </w:tcPr>
          <w:p w14:paraId="04A0D80A">
            <w:pPr>
              <w:pStyle w:val="16"/>
              <w:pageBreakBefore w:val="0"/>
              <w:wordWrap/>
              <w:bidi w:val="0"/>
              <w:adjustRightInd/>
              <w:snapToGrid/>
              <w:rPr>
                <w:rFonts w:hint="default"/>
                <w:color w:val="auto"/>
              </w:rPr>
            </w:pPr>
            <w:r>
              <w:rPr>
                <w:rFonts w:hint="default"/>
                <w:color w:val="auto"/>
              </w:rPr>
              <w:t>氨</w:t>
            </w:r>
          </w:p>
        </w:tc>
        <w:tc>
          <w:tcPr>
            <w:tcW w:w="2380" w:type="pct"/>
            <w:tcBorders>
              <w:tl2br w:val="nil"/>
              <w:tr2bl w:val="nil"/>
            </w:tcBorders>
            <w:vAlign w:val="center"/>
          </w:tcPr>
          <w:p w14:paraId="2C012053">
            <w:pPr>
              <w:pStyle w:val="16"/>
              <w:pageBreakBefore w:val="0"/>
              <w:wordWrap/>
              <w:bidi w:val="0"/>
              <w:adjustRightInd/>
              <w:snapToGrid/>
              <w:rPr>
                <w:rFonts w:hint="default"/>
                <w:color w:val="auto"/>
              </w:rPr>
            </w:pPr>
            <w:r>
              <w:rPr>
                <w:rFonts w:hint="default"/>
                <w:color w:val="auto"/>
              </w:rPr>
              <w:t>NH₃</w:t>
            </w:r>
          </w:p>
        </w:tc>
        <w:tc>
          <w:tcPr>
            <w:tcW w:w="1388" w:type="pct"/>
            <w:tcBorders>
              <w:tl2br w:val="nil"/>
              <w:tr2bl w:val="nil"/>
            </w:tcBorders>
            <w:vAlign w:val="center"/>
          </w:tcPr>
          <w:p w14:paraId="3E8A830A">
            <w:pPr>
              <w:pStyle w:val="16"/>
              <w:pageBreakBefore w:val="0"/>
              <w:wordWrap/>
              <w:bidi w:val="0"/>
              <w:adjustRightInd/>
              <w:snapToGrid/>
              <w:rPr>
                <w:rFonts w:hint="default"/>
                <w:color w:val="auto"/>
              </w:rPr>
            </w:pPr>
            <w:r>
              <w:rPr>
                <w:rFonts w:hint="default"/>
                <w:color w:val="auto"/>
              </w:rPr>
              <w:t>氨味</w:t>
            </w:r>
          </w:p>
        </w:tc>
      </w:tr>
      <w:tr w14:paraId="79A4A9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49" w:hRule="atLeast"/>
          <w:jc w:val="center"/>
        </w:trPr>
        <w:tc>
          <w:tcPr>
            <w:tcW w:w="1231" w:type="pct"/>
            <w:tcBorders>
              <w:tl2br w:val="nil"/>
              <w:tr2bl w:val="nil"/>
            </w:tcBorders>
            <w:vAlign w:val="center"/>
          </w:tcPr>
          <w:p w14:paraId="0EEF6E1E">
            <w:pPr>
              <w:pStyle w:val="16"/>
              <w:pageBreakBefore w:val="0"/>
              <w:wordWrap/>
              <w:bidi w:val="0"/>
              <w:adjustRightInd/>
              <w:snapToGrid/>
              <w:rPr>
                <w:rFonts w:hint="default"/>
                <w:color w:val="auto"/>
              </w:rPr>
            </w:pPr>
            <w:r>
              <w:rPr>
                <w:rFonts w:hint="default"/>
                <w:color w:val="auto"/>
              </w:rPr>
              <w:t>二胺</w:t>
            </w:r>
          </w:p>
        </w:tc>
        <w:tc>
          <w:tcPr>
            <w:tcW w:w="2380" w:type="pct"/>
            <w:tcBorders>
              <w:tl2br w:val="nil"/>
              <w:tr2bl w:val="nil"/>
            </w:tcBorders>
            <w:vAlign w:val="center"/>
          </w:tcPr>
          <w:p w14:paraId="74A92A4A">
            <w:pPr>
              <w:pStyle w:val="16"/>
              <w:pageBreakBefore w:val="0"/>
              <w:wordWrap/>
              <w:bidi w:val="0"/>
              <w:adjustRightInd/>
              <w:snapToGrid/>
              <w:rPr>
                <w:rFonts w:hint="default"/>
                <w:color w:val="auto"/>
              </w:rPr>
            </w:pPr>
            <w:r>
              <w:rPr>
                <w:rFonts w:hint="default"/>
                <w:color w:val="auto"/>
              </w:rPr>
              <w:t>NH₂</w:t>
            </w:r>
            <w:r>
              <w:rPr>
                <w:rFonts w:hint="default"/>
                <w:color w:val="auto"/>
                <w:lang w:eastAsia="zh-CN"/>
              </w:rPr>
              <w:t>（</w:t>
            </w:r>
            <w:r>
              <w:rPr>
                <w:rFonts w:hint="default"/>
                <w:color w:val="auto"/>
              </w:rPr>
              <w:t>CH₂</w:t>
            </w:r>
            <w:r>
              <w:rPr>
                <w:rFonts w:hint="default"/>
                <w:color w:val="auto"/>
                <w:lang w:eastAsia="zh-CN"/>
              </w:rPr>
              <w:t>）</w:t>
            </w:r>
            <w:r>
              <w:rPr>
                <w:rFonts w:hint="default"/>
                <w:color w:val="auto"/>
              </w:rPr>
              <w:t>₄NH₂NH₂</w:t>
            </w:r>
            <w:r>
              <w:rPr>
                <w:rFonts w:hint="default"/>
                <w:color w:val="auto"/>
                <w:lang w:eastAsia="zh-CN"/>
              </w:rPr>
              <w:t>（</w:t>
            </w:r>
            <w:r>
              <w:rPr>
                <w:rFonts w:hint="default"/>
                <w:color w:val="auto"/>
              </w:rPr>
              <w:t>CH₂</w:t>
            </w:r>
            <w:r>
              <w:rPr>
                <w:rFonts w:hint="default"/>
                <w:color w:val="auto"/>
                <w:lang w:eastAsia="zh-CN"/>
              </w:rPr>
              <w:t>）</w:t>
            </w:r>
            <w:r>
              <w:rPr>
                <w:rFonts w:hint="default"/>
                <w:color w:val="auto"/>
              </w:rPr>
              <w:t>₅NH₂</w:t>
            </w:r>
          </w:p>
        </w:tc>
        <w:tc>
          <w:tcPr>
            <w:tcW w:w="1388" w:type="pct"/>
            <w:tcBorders>
              <w:tl2br w:val="nil"/>
              <w:tr2bl w:val="nil"/>
            </w:tcBorders>
            <w:vAlign w:val="center"/>
          </w:tcPr>
          <w:p w14:paraId="692F059D">
            <w:pPr>
              <w:pStyle w:val="16"/>
              <w:pageBreakBefore w:val="0"/>
              <w:wordWrap/>
              <w:bidi w:val="0"/>
              <w:adjustRightInd/>
              <w:snapToGrid/>
              <w:rPr>
                <w:rFonts w:hint="default"/>
                <w:color w:val="auto"/>
              </w:rPr>
            </w:pPr>
            <w:r>
              <w:rPr>
                <w:rFonts w:hint="default"/>
                <w:color w:val="auto"/>
              </w:rPr>
              <w:t>腐肉味</w:t>
            </w:r>
          </w:p>
        </w:tc>
      </w:tr>
      <w:tr w14:paraId="5606A8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8" w:hRule="atLeast"/>
          <w:jc w:val="center"/>
        </w:trPr>
        <w:tc>
          <w:tcPr>
            <w:tcW w:w="1231" w:type="pct"/>
            <w:tcBorders>
              <w:tl2br w:val="nil"/>
              <w:tr2bl w:val="nil"/>
            </w:tcBorders>
            <w:vAlign w:val="center"/>
          </w:tcPr>
          <w:p w14:paraId="56A4B70F">
            <w:pPr>
              <w:pStyle w:val="16"/>
              <w:pageBreakBefore w:val="0"/>
              <w:wordWrap/>
              <w:bidi w:val="0"/>
              <w:adjustRightInd/>
              <w:snapToGrid/>
              <w:rPr>
                <w:rFonts w:hint="default"/>
                <w:color w:val="auto"/>
              </w:rPr>
            </w:pPr>
            <w:r>
              <w:rPr>
                <w:rFonts w:hint="default"/>
                <w:color w:val="auto"/>
              </w:rPr>
              <w:t>硫化氢</w:t>
            </w:r>
          </w:p>
        </w:tc>
        <w:tc>
          <w:tcPr>
            <w:tcW w:w="2380" w:type="pct"/>
            <w:tcBorders>
              <w:tl2br w:val="nil"/>
              <w:tr2bl w:val="nil"/>
            </w:tcBorders>
            <w:vAlign w:val="center"/>
          </w:tcPr>
          <w:p w14:paraId="600F5223">
            <w:pPr>
              <w:pStyle w:val="16"/>
              <w:pageBreakBefore w:val="0"/>
              <w:wordWrap/>
              <w:bidi w:val="0"/>
              <w:adjustRightInd/>
              <w:snapToGrid/>
              <w:rPr>
                <w:rFonts w:hint="default"/>
                <w:color w:val="auto"/>
              </w:rPr>
            </w:pPr>
            <w:r>
              <w:rPr>
                <w:rFonts w:hint="default"/>
                <w:color w:val="auto"/>
              </w:rPr>
              <w:t>H₂S</w:t>
            </w:r>
          </w:p>
        </w:tc>
        <w:tc>
          <w:tcPr>
            <w:tcW w:w="1388" w:type="pct"/>
            <w:tcBorders>
              <w:tl2br w:val="nil"/>
              <w:tr2bl w:val="nil"/>
            </w:tcBorders>
            <w:vAlign w:val="center"/>
          </w:tcPr>
          <w:p w14:paraId="5C3B0A02">
            <w:pPr>
              <w:pStyle w:val="16"/>
              <w:pageBreakBefore w:val="0"/>
              <w:wordWrap/>
              <w:bidi w:val="0"/>
              <w:adjustRightInd/>
              <w:snapToGrid/>
              <w:rPr>
                <w:rFonts w:hint="default"/>
                <w:color w:val="auto"/>
              </w:rPr>
            </w:pPr>
            <w:r>
              <w:rPr>
                <w:rFonts w:hint="default"/>
                <w:color w:val="auto"/>
              </w:rPr>
              <w:t>臭鸡蛋味</w:t>
            </w:r>
          </w:p>
        </w:tc>
      </w:tr>
      <w:tr w14:paraId="6F72A3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49" w:hRule="atLeast"/>
          <w:jc w:val="center"/>
        </w:trPr>
        <w:tc>
          <w:tcPr>
            <w:tcW w:w="1231" w:type="pct"/>
            <w:tcBorders>
              <w:tl2br w:val="nil"/>
              <w:tr2bl w:val="nil"/>
            </w:tcBorders>
            <w:vAlign w:val="center"/>
          </w:tcPr>
          <w:p w14:paraId="055A99FD">
            <w:pPr>
              <w:pStyle w:val="16"/>
              <w:pageBreakBefore w:val="0"/>
              <w:wordWrap/>
              <w:bidi w:val="0"/>
              <w:adjustRightInd/>
              <w:snapToGrid/>
              <w:rPr>
                <w:rFonts w:hint="default"/>
                <w:color w:val="auto"/>
              </w:rPr>
            </w:pPr>
            <w:r>
              <w:rPr>
                <w:rFonts w:hint="default"/>
                <w:color w:val="auto"/>
              </w:rPr>
              <w:t>硫醇</w:t>
            </w:r>
          </w:p>
        </w:tc>
        <w:tc>
          <w:tcPr>
            <w:tcW w:w="2380" w:type="pct"/>
            <w:tcBorders>
              <w:tl2br w:val="nil"/>
              <w:tr2bl w:val="nil"/>
            </w:tcBorders>
            <w:vAlign w:val="center"/>
          </w:tcPr>
          <w:p w14:paraId="066001E3">
            <w:pPr>
              <w:pStyle w:val="16"/>
              <w:pageBreakBefore w:val="0"/>
              <w:wordWrap/>
              <w:bidi w:val="0"/>
              <w:adjustRightInd/>
              <w:snapToGrid/>
              <w:rPr>
                <w:rFonts w:hint="default"/>
                <w:color w:val="auto"/>
              </w:rPr>
            </w:pPr>
            <w:r>
              <w:rPr>
                <w:rFonts w:hint="default"/>
                <w:color w:val="auto"/>
              </w:rPr>
              <w:t>CH₃SHCH₃SSCH₃</w:t>
            </w:r>
          </w:p>
        </w:tc>
        <w:tc>
          <w:tcPr>
            <w:tcW w:w="1388" w:type="pct"/>
            <w:tcBorders>
              <w:tl2br w:val="nil"/>
              <w:tr2bl w:val="nil"/>
            </w:tcBorders>
            <w:vAlign w:val="center"/>
          </w:tcPr>
          <w:p w14:paraId="2585F894">
            <w:pPr>
              <w:pStyle w:val="16"/>
              <w:pageBreakBefore w:val="0"/>
              <w:wordWrap/>
              <w:bidi w:val="0"/>
              <w:adjustRightInd/>
              <w:snapToGrid/>
              <w:rPr>
                <w:rFonts w:hint="default"/>
                <w:color w:val="auto"/>
              </w:rPr>
            </w:pPr>
            <w:r>
              <w:rPr>
                <w:rFonts w:hint="default"/>
                <w:color w:val="auto"/>
              </w:rPr>
              <w:t>烂洋葱味</w:t>
            </w:r>
          </w:p>
        </w:tc>
      </w:tr>
      <w:tr w14:paraId="74DE99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3" w:hRule="atLeast"/>
          <w:jc w:val="center"/>
        </w:trPr>
        <w:tc>
          <w:tcPr>
            <w:tcW w:w="1231" w:type="pct"/>
            <w:tcBorders>
              <w:tl2br w:val="nil"/>
              <w:tr2bl w:val="nil"/>
            </w:tcBorders>
            <w:vAlign w:val="center"/>
          </w:tcPr>
          <w:p w14:paraId="7A032D7C">
            <w:pPr>
              <w:pStyle w:val="16"/>
              <w:pageBreakBefore w:val="0"/>
              <w:wordWrap/>
              <w:bidi w:val="0"/>
              <w:adjustRightInd/>
              <w:snapToGrid/>
              <w:rPr>
                <w:rFonts w:hint="default"/>
                <w:color w:val="auto"/>
              </w:rPr>
            </w:pPr>
            <w:r>
              <w:rPr>
                <w:rFonts w:hint="default"/>
                <w:color w:val="auto"/>
              </w:rPr>
              <w:t>粪臭素</w:t>
            </w:r>
          </w:p>
        </w:tc>
        <w:tc>
          <w:tcPr>
            <w:tcW w:w="2380" w:type="pct"/>
            <w:tcBorders>
              <w:tl2br w:val="nil"/>
              <w:tr2bl w:val="nil"/>
            </w:tcBorders>
            <w:vAlign w:val="center"/>
          </w:tcPr>
          <w:p w14:paraId="1B4C7CCC">
            <w:pPr>
              <w:pStyle w:val="16"/>
              <w:pageBreakBefore w:val="0"/>
              <w:wordWrap/>
              <w:bidi w:val="0"/>
              <w:adjustRightInd/>
              <w:snapToGrid/>
              <w:rPr>
                <w:rFonts w:hint="default"/>
                <w:color w:val="auto"/>
              </w:rPr>
            </w:pPr>
            <w:r>
              <w:rPr>
                <w:rFonts w:hint="default"/>
                <w:color w:val="auto"/>
              </w:rPr>
              <w:t>C₈H₅NHCH₃</w:t>
            </w:r>
          </w:p>
        </w:tc>
        <w:tc>
          <w:tcPr>
            <w:tcW w:w="1388" w:type="pct"/>
            <w:tcBorders>
              <w:tl2br w:val="nil"/>
              <w:tr2bl w:val="nil"/>
            </w:tcBorders>
            <w:vAlign w:val="center"/>
          </w:tcPr>
          <w:p w14:paraId="0F04BFC5">
            <w:pPr>
              <w:pStyle w:val="16"/>
              <w:pageBreakBefore w:val="0"/>
              <w:wordWrap/>
              <w:bidi w:val="0"/>
              <w:adjustRightInd/>
              <w:snapToGrid/>
              <w:rPr>
                <w:rFonts w:hint="default"/>
                <w:color w:val="auto"/>
              </w:rPr>
            </w:pPr>
            <w:r>
              <w:rPr>
                <w:rFonts w:hint="default"/>
                <w:color w:val="auto"/>
              </w:rPr>
              <w:t>粪便味</w:t>
            </w:r>
          </w:p>
        </w:tc>
      </w:tr>
    </w:tbl>
    <w:p w14:paraId="2549A358">
      <w:pPr>
        <w:pageBreakBefore w:val="0"/>
        <w:wordWrap/>
        <w:bidi w:val="0"/>
        <w:adjustRightInd/>
        <w:snapToGrid/>
        <w:rPr>
          <w:rFonts w:hint="default"/>
          <w:b/>
          <w:bCs/>
          <w:color w:val="auto"/>
        </w:rPr>
      </w:pPr>
      <w:r>
        <w:rPr>
          <w:rFonts w:hint="eastAsia"/>
          <w:b/>
          <w:bCs/>
          <w:color w:val="auto"/>
          <w:lang w:eastAsia="zh-CN"/>
        </w:rPr>
        <w:t>（</w:t>
      </w:r>
      <w:r>
        <w:rPr>
          <w:rFonts w:hint="eastAsia"/>
          <w:b/>
          <w:bCs/>
          <w:color w:val="auto"/>
          <w:lang w:val="en-US" w:eastAsia="zh-CN"/>
        </w:rPr>
        <w:t>二</w:t>
      </w:r>
      <w:r>
        <w:rPr>
          <w:rFonts w:hint="eastAsia"/>
          <w:b/>
          <w:bCs/>
          <w:color w:val="auto"/>
          <w:lang w:eastAsia="zh-CN"/>
        </w:rPr>
        <w:t>）</w:t>
      </w:r>
      <w:r>
        <w:rPr>
          <w:rFonts w:hint="default"/>
          <w:b/>
          <w:bCs/>
          <w:color w:val="auto"/>
        </w:rPr>
        <w:t>除臭方法</w:t>
      </w:r>
    </w:p>
    <w:p w14:paraId="01EE6CB6">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脱臭方法从最初采用的水洗法，逐步发展到效果较好的微生物脱臭法。常见的方法有水清洗和药液清洗法、活性炭吸附法、臭氧氧化法、土壤脱臭法、燃烧法、填充式微生物脱臭法等。</w:t>
      </w:r>
    </w:p>
    <w:p w14:paraId="7A65DC6E">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1</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水清洗和药液清洗法</w:t>
      </w:r>
    </w:p>
    <w:p w14:paraId="7FD57E4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水清洗是利用臭气中的某些物质能溶于水的特性，使臭气中氨气、硫化氢气体和水接触、溶解，达到脱臭的目的。</w:t>
      </w:r>
    </w:p>
    <w:p w14:paraId="75663C48">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药液清洗是利用臭气中的某些物质和药液产生中和反应的特性，如利用呈碱性的苛性钠和次氯酸钠溶液，去除臭气中硫化氢等酸性物质，利用盐酸等酸性溶液，去除臭气中的氨气等碱性物质。与活性炭</w:t>
      </w:r>
      <w:bookmarkStart w:id="93" w:name="bookmark80"/>
      <w:bookmarkEnd w:id="93"/>
      <w:r>
        <w:rPr>
          <w:rFonts w:hint="default" w:ascii="Times New Roman" w:hAnsi="Times New Roman" w:cs="Times New Roman" w:eastAsiaTheme="minorEastAsia"/>
          <w:color w:val="auto"/>
          <w:sz w:val="24"/>
          <w:szCs w:val="24"/>
        </w:rPr>
        <w:t>吸附法相比较，它必须配备较多的附属设施，如药液贮存装置、药液输送装置、排出装置等，运行管理较为复杂，与药液不反应的臭气较难去除，效率较低。</w:t>
      </w:r>
    </w:p>
    <w:p w14:paraId="6A753A06">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2</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活性炭吸附法</w:t>
      </w:r>
    </w:p>
    <w:p w14:paraId="39EBC7A4">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活性炭吸附法是利用活性炭能吸附臭气中致臭物质的特点，达到脱臭目的。为了有效地脱臭，通常利用各种不同性质的活性炭，在吸附塔内设置吸附酸性物质的活性炭，吸附碱性物质的活性炭和吸附中性物质的活性炭，臭气和各种活性炭接触后，排出吸附塔。该法与水清洗和药液清洗法相比较，具有较高的效率，但活性炭有一饱和期限，超过这一期限，就必须更换活性炭。这种方法常用于低浓度臭气和脱臭的后处理。</w:t>
      </w:r>
    </w:p>
    <w:p w14:paraId="3E93BCB0">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3</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臭氧氧化法</w:t>
      </w:r>
    </w:p>
    <w:p w14:paraId="0F6AACF0">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臭氧氧化法是利用臭氧强氧化剂，使臭气中的</w:t>
      </w:r>
      <w:r>
        <w:rPr>
          <w:rFonts w:hint="eastAsia" w:cs="Times New Roman" w:eastAsiaTheme="minorEastAsia"/>
          <w:color w:val="auto"/>
          <w:sz w:val="24"/>
          <w:szCs w:val="24"/>
          <w:lang w:eastAsia="zh-CN"/>
        </w:rPr>
        <w:t>化学成分</w:t>
      </w:r>
      <w:r>
        <w:rPr>
          <w:rFonts w:hint="default" w:ascii="Times New Roman" w:hAnsi="Times New Roman" w:cs="Times New Roman" w:eastAsiaTheme="minorEastAsia"/>
          <w:color w:val="auto"/>
          <w:sz w:val="24"/>
          <w:szCs w:val="24"/>
        </w:rPr>
        <w:t>氧化，达到脱臭的目的。臭氧氧化法有气相和液相之分，由于臭氧发生的化学反应较慢，一般先通过药液清洗法，去除大部分致臭物质，然后再进行臭氧氧化。</w:t>
      </w:r>
    </w:p>
    <w:p w14:paraId="03002BB2">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4</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土壤脱臭法</w:t>
      </w:r>
    </w:p>
    <w:p w14:paraId="57231BCB">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土壤脱臭法是利用土壤中微生物分解臭气中的</w:t>
      </w:r>
      <w:r>
        <w:rPr>
          <w:rFonts w:hint="eastAsia" w:cs="Times New Roman" w:eastAsiaTheme="minorEastAsia"/>
          <w:color w:val="auto"/>
          <w:sz w:val="24"/>
          <w:szCs w:val="24"/>
          <w:lang w:eastAsia="zh-CN"/>
        </w:rPr>
        <w:t>化学成分</w:t>
      </w:r>
      <w:r>
        <w:rPr>
          <w:rFonts w:hint="default" w:ascii="Times New Roman" w:hAnsi="Times New Roman" w:cs="Times New Roman" w:eastAsiaTheme="minorEastAsia"/>
          <w:color w:val="auto"/>
          <w:sz w:val="24"/>
          <w:szCs w:val="24"/>
        </w:rPr>
        <w:t>，达到脱臭目的。属于生物脱臭法的范畴。与前几种方法相比较，不需要加药等附属设施，运行管理费用较低，但需有宽阔的场地，定时进行场地修整，设置</w:t>
      </w:r>
      <w:r>
        <w:rPr>
          <w:rFonts w:hint="eastAsia" w:cs="Times New Roman" w:eastAsiaTheme="minorEastAsia"/>
          <w:color w:val="auto"/>
          <w:sz w:val="24"/>
          <w:szCs w:val="24"/>
          <w:lang w:eastAsia="zh-CN"/>
        </w:rPr>
        <w:t>洒水装置</w:t>
      </w:r>
      <w:r>
        <w:rPr>
          <w:rFonts w:hint="default" w:ascii="Times New Roman" w:hAnsi="Times New Roman" w:cs="Times New Roman" w:eastAsiaTheme="minorEastAsia"/>
          <w:color w:val="auto"/>
          <w:sz w:val="24"/>
          <w:szCs w:val="24"/>
        </w:rPr>
        <w:t>，以保持较好的运行状态，并且处理效果不够稳定、总体效率较低。</w:t>
      </w:r>
    </w:p>
    <w:p w14:paraId="1BA17BA2">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5</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生物过滤法</w:t>
      </w:r>
    </w:p>
    <w:p w14:paraId="424FC428">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生物滤池法除臭工艺是一种安全可靠的处理方法，除臭效率大于90%</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其原理是将臭气源散发的臭气经收集系统收集后集中送到生物</w:t>
      </w:r>
      <w:bookmarkStart w:id="94" w:name="bookmark81"/>
      <w:bookmarkEnd w:id="94"/>
      <w:r>
        <w:rPr>
          <w:rFonts w:hint="default" w:ascii="Times New Roman" w:hAnsi="Times New Roman" w:cs="Times New Roman" w:eastAsiaTheme="minorEastAsia"/>
          <w:color w:val="auto"/>
          <w:sz w:val="24"/>
          <w:szCs w:val="24"/>
        </w:rPr>
        <w:t>滤池除臭装置进行处理，臭气通过湿润、多孔和充满活性微生物的滤层，利用微生物细胞对恶臭物质的吸附、吸收和降解功能，微生物的细胞个体小、表面积大、吸附性强、代谢类型多样的特点，将恶臭物质吸附后分解成CO₂、H₂O、H₂SO4、HNO₃等简单无机物。</w:t>
      </w:r>
    </w:p>
    <w:p w14:paraId="5A0F71A7">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生物除臭主要有三个步骤：</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1</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水溶渗透；</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2</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生物吸收；</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3</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生物氧化。</w:t>
      </w:r>
    </w:p>
    <w:p w14:paraId="16FA6A9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jc w:val="center"/>
        <w:textAlignment w:val="baseline"/>
        <w:rPr>
          <w:rFonts w:hint="default" w:ascii="Times New Roman" w:hAnsi="Times New Roman" w:cs="Times New Roman" w:eastAsiaTheme="minorEastAsia"/>
          <w:color w:val="auto"/>
          <w:sz w:val="24"/>
          <w:szCs w:val="24"/>
        </w:rPr>
      </w:pPr>
      <w:r>
        <w:rPr>
          <w:color w:val="auto"/>
        </w:rPr>
        <w:drawing>
          <wp:inline distT="0" distB="0" distL="114300" distR="114300">
            <wp:extent cx="2447925" cy="1419225"/>
            <wp:effectExtent l="0" t="0" r="9525" b="9525"/>
            <wp:docPr id="1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
                    <pic:cNvPicPr>
                      <a:picLocks noChangeAspect="1"/>
                    </pic:cNvPicPr>
                  </pic:nvPicPr>
                  <pic:blipFill>
                    <a:blip r:embed="rId54"/>
                    <a:stretch>
                      <a:fillRect/>
                    </a:stretch>
                  </pic:blipFill>
                  <pic:spPr>
                    <a:xfrm>
                      <a:off x="0" y="0"/>
                      <a:ext cx="2447925" cy="1419225"/>
                    </a:xfrm>
                    <a:prstGeom prst="rect">
                      <a:avLst/>
                    </a:prstGeom>
                    <a:noFill/>
                    <a:ln>
                      <a:noFill/>
                    </a:ln>
                  </pic:spPr>
                </pic:pic>
              </a:graphicData>
            </a:graphic>
          </wp:inline>
        </w:drawing>
      </w:r>
    </w:p>
    <w:p w14:paraId="316E7985">
      <w:pPr>
        <w:pStyle w:val="19"/>
        <w:numPr>
          <w:ilvl w:val="0"/>
          <w:numId w:val="0"/>
        </w:numPr>
        <w:tabs>
          <w:tab w:val="clear" w:pos="0"/>
        </w:tabs>
        <w:bidi w:val="0"/>
        <w:ind w:leftChars="0"/>
        <w:jc w:val="center"/>
        <w:rPr>
          <w:rFonts w:hint="default"/>
          <w:color w:val="auto"/>
        </w:rPr>
      </w:pPr>
      <w:r>
        <w:rPr>
          <w:color w:val="auto"/>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8</w:t>
      </w:r>
      <w:r>
        <w:rPr>
          <w:color w:val="auto"/>
        </w:rPr>
        <w:fldChar w:fldCharType="end"/>
      </w:r>
      <w:r>
        <w:rPr>
          <w:rFonts w:hint="eastAsia"/>
          <w:color w:val="auto"/>
          <w:lang w:val="en-US" w:eastAsia="zh-CN"/>
        </w:rPr>
        <w:t xml:space="preserve"> </w:t>
      </w:r>
      <w:r>
        <w:rPr>
          <w:rFonts w:hint="default"/>
          <w:color w:val="auto"/>
        </w:rPr>
        <w:t>生物除臭原理示意图</w:t>
      </w:r>
    </w:p>
    <w:p w14:paraId="68B38DB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第一步：水溶渗透。滤料表面覆盖有水层，臭气中的化学物质与滤料接触后在表层溶解，并从气相转化为水相，以利于滤料中的细菌</w:t>
      </w:r>
      <w:r>
        <w:rPr>
          <w:rFonts w:hint="eastAsia" w:cs="Times New Roman" w:eastAsiaTheme="minorEastAsia"/>
          <w:color w:val="auto"/>
          <w:sz w:val="24"/>
          <w:szCs w:val="24"/>
          <w:lang w:eastAsia="zh-CN"/>
        </w:rPr>
        <w:t>做进一步</w:t>
      </w:r>
      <w:r>
        <w:rPr>
          <w:rFonts w:hint="default" w:ascii="Times New Roman" w:hAnsi="Times New Roman" w:cs="Times New Roman" w:eastAsiaTheme="minorEastAsia"/>
          <w:color w:val="auto"/>
          <w:sz w:val="24"/>
          <w:szCs w:val="24"/>
        </w:rPr>
        <w:t>的吸收和分解。另外，滤料的多孔性使其具有超大的比表面积，使气、水两相有更大的接触面积，有效增大了气相化学物质在水相中的传送扩散速率</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经实验测试所得，其产生的瞬时效应是化学清洗的好几百倍</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。所以，水溶渗透过程其实是</w:t>
      </w:r>
      <w:r>
        <w:rPr>
          <w:rFonts w:hint="eastAsia" w:cs="Times New Roman" w:eastAsiaTheme="minorEastAsia"/>
          <w:color w:val="auto"/>
          <w:sz w:val="24"/>
          <w:szCs w:val="24"/>
          <w:lang w:eastAsia="zh-CN"/>
        </w:rPr>
        <w:t>一个</w:t>
      </w:r>
      <w:r>
        <w:rPr>
          <w:rFonts w:hint="default" w:ascii="Times New Roman" w:hAnsi="Times New Roman" w:cs="Times New Roman" w:eastAsiaTheme="minorEastAsia"/>
          <w:color w:val="auto"/>
          <w:sz w:val="24"/>
          <w:szCs w:val="24"/>
        </w:rPr>
        <w:t>物理作用过程，高速的传送扩散意味着滤料可迅速将臭气的浓度降到极低的水平。</w:t>
      </w:r>
    </w:p>
    <w:p w14:paraId="2FEC7F1F">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第二步：水溶液中的恶臭成分被微生物吸附、吸收，恶臭成分从水中转移至微生物体内。</w:t>
      </w:r>
    </w:p>
    <w:p w14:paraId="02E810A7">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color w:val="auto"/>
        </w:rPr>
      </w:pPr>
      <w:r>
        <w:rPr>
          <w:rFonts w:hint="default" w:ascii="Times New Roman" w:hAnsi="Times New Roman" w:cs="Times New Roman" w:eastAsiaTheme="minorEastAsia"/>
          <w:color w:val="auto"/>
          <w:sz w:val="24"/>
          <w:szCs w:val="24"/>
        </w:rPr>
        <w:t>第三步：通过生物氧化来降解污染物的过程。滤料中的专性细菌</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根据臭源的类型筛选而得到的处理菌种</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将以污染物为食，把污染物转化为自身的营养物质，使碳、氢、氧、氮、硫等元素从化合物的</w:t>
      </w:r>
      <w:bookmarkStart w:id="95" w:name="bookmark82"/>
      <w:bookmarkEnd w:id="95"/>
      <w:r>
        <w:rPr>
          <w:rFonts w:hint="default" w:ascii="Times New Roman" w:hAnsi="Times New Roman" w:cs="Times New Roman" w:eastAsiaTheme="minorEastAsia"/>
          <w:color w:val="auto"/>
          <w:sz w:val="24"/>
          <w:szCs w:val="24"/>
        </w:rPr>
        <w:t>形式转化为游离态，进入微生物的自身循环过程，从而达到降解的目的。同时，专性细菌等微生物又可实现自身的繁殖，当作为食物的污染化合物与专性细菌的营养需要达到平衡，且水分、温度、酸碱度等条件均符合微生物所需时，专性细菌的代谢繁殖将会达到一个稳定平</w:t>
      </w:r>
      <w:r>
        <w:rPr>
          <w:rFonts w:hint="default"/>
          <w:color w:val="auto"/>
        </w:rPr>
        <w:t>衡，最终的产物是无污染的二氧化碳，水和盐，从而将污染物去除。</w:t>
      </w:r>
    </w:p>
    <w:p w14:paraId="31CCAE0D">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通过以上的分析，针对污水</w:t>
      </w:r>
      <w:r>
        <w:rPr>
          <w:rFonts w:hint="eastAsia" w:cs="Times New Roman" w:eastAsiaTheme="minorEastAsia"/>
          <w:color w:val="auto"/>
          <w:sz w:val="24"/>
          <w:szCs w:val="24"/>
          <w:lang w:eastAsia="zh-CN"/>
        </w:rPr>
        <w:t>处理厂</w:t>
      </w:r>
      <w:r>
        <w:rPr>
          <w:rFonts w:hint="default" w:ascii="Times New Roman" w:hAnsi="Times New Roman" w:cs="Times New Roman" w:eastAsiaTheme="minorEastAsia"/>
          <w:color w:val="auto"/>
          <w:sz w:val="24"/>
          <w:szCs w:val="24"/>
        </w:rPr>
        <w:t>这种污染气体，生物除臭法具有低投资，操作和维护费用低，运行、维护最少，且不产生二次污染。就目前我公司在以往除臭项目的运行状况来看，生物滤池表现出良好的臭气去除效果，且运行维护极其简单，运行费用低。</w:t>
      </w:r>
      <w:r>
        <w:rPr>
          <w:rFonts w:hint="default" w:ascii="Times New Roman" w:hAnsi="Times New Roman" w:cs="Times New Roman" w:eastAsiaTheme="minorEastAsia"/>
          <w:b/>
          <w:bCs/>
          <w:color w:val="auto"/>
          <w:sz w:val="24"/>
          <w:szCs w:val="24"/>
        </w:rPr>
        <w:t>所以本项目采取降温措施后采用生物除臭装置是经济、可靠的处理工艺。</w:t>
      </w:r>
    </w:p>
    <w:p w14:paraId="34D50CDA">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工艺流程如下：</w:t>
      </w:r>
    </w:p>
    <w:p w14:paraId="6D8742FB">
      <w:pPr>
        <w:keepNext w:val="0"/>
        <w:keepLines w:val="0"/>
        <w:pageBreakBefore w:val="0"/>
        <w:widowControl/>
        <w:kinsoku w:val="0"/>
        <w:wordWrap/>
        <w:overflowPunct/>
        <w:topLinePunct w:val="0"/>
        <w:autoSpaceDE w:val="0"/>
        <w:autoSpaceDN w:val="0"/>
        <w:bidi w:val="0"/>
        <w:adjustRightInd/>
        <w:snapToGrid/>
        <w:spacing w:line="360" w:lineRule="auto"/>
        <w:ind w:left="0" w:leftChars="0" w:firstLine="0" w:firstLineChars="0"/>
        <w:jc w:val="center"/>
        <w:textAlignment w:val="baseline"/>
        <w:rPr>
          <w:rFonts w:hint="default" w:ascii="Times New Roman" w:hAnsi="Times New Roman" w:cs="Times New Roman" w:eastAsiaTheme="minorEastAsia"/>
          <w:color w:val="auto"/>
          <w:sz w:val="24"/>
          <w:szCs w:val="24"/>
        </w:rPr>
      </w:pPr>
      <w:r>
        <w:rPr>
          <w:color w:val="auto"/>
        </w:rPr>
        <w:drawing>
          <wp:inline distT="0" distB="0" distL="114300" distR="114300">
            <wp:extent cx="5133975" cy="1809750"/>
            <wp:effectExtent l="0" t="0" r="9525" b="0"/>
            <wp:docPr id="16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4"/>
                    <pic:cNvPicPr>
                      <a:picLocks noChangeAspect="1"/>
                    </pic:cNvPicPr>
                  </pic:nvPicPr>
                  <pic:blipFill>
                    <a:blip r:embed="rId55"/>
                    <a:stretch>
                      <a:fillRect/>
                    </a:stretch>
                  </pic:blipFill>
                  <pic:spPr>
                    <a:xfrm>
                      <a:off x="0" y="0"/>
                      <a:ext cx="5133975" cy="1809750"/>
                    </a:xfrm>
                    <a:prstGeom prst="rect">
                      <a:avLst/>
                    </a:prstGeom>
                    <a:noFill/>
                    <a:ln>
                      <a:noFill/>
                    </a:ln>
                  </pic:spPr>
                </pic:pic>
              </a:graphicData>
            </a:graphic>
          </wp:inline>
        </w:drawing>
      </w:r>
    </w:p>
    <w:p w14:paraId="56498D3D">
      <w:pPr>
        <w:pStyle w:val="19"/>
        <w:numPr>
          <w:ilvl w:val="0"/>
          <w:numId w:val="0"/>
        </w:numPr>
        <w:tabs>
          <w:tab w:val="clear" w:pos="0"/>
        </w:tabs>
        <w:bidi w:val="0"/>
        <w:ind w:leftChars="0"/>
        <w:jc w:val="center"/>
        <w:rPr>
          <w:rFonts w:hint="default"/>
          <w:color w:val="auto"/>
        </w:rPr>
      </w:pPr>
      <w:r>
        <w:rPr>
          <w:color w:val="auto"/>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9</w:t>
      </w:r>
      <w:r>
        <w:rPr>
          <w:color w:val="auto"/>
        </w:rPr>
        <w:fldChar w:fldCharType="end"/>
      </w:r>
      <w:r>
        <w:rPr>
          <w:rFonts w:hint="eastAsia"/>
          <w:color w:val="auto"/>
          <w:lang w:val="en-US" w:eastAsia="zh-CN"/>
        </w:rPr>
        <w:t xml:space="preserve"> </w:t>
      </w:r>
      <w:r>
        <w:rPr>
          <w:rFonts w:hint="default"/>
          <w:color w:val="auto"/>
        </w:rPr>
        <w:t>生物除臭流程图</w:t>
      </w:r>
    </w:p>
    <w:p w14:paraId="20203AEE">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6</w:t>
      </w:r>
      <w:r>
        <w:rPr>
          <w:rFonts w:hint="default" w:ascii="Times New Roman" w:hAnsi="Times New Roman"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燃烧法</w:t>
      </w:r>
    </w:p>
    <w:p w14:paraId="2F301E98">
      <w:pPr>
        <w:pageBreakBefore w:val="0"/>
        <w:wordWrap/>
        <w:bidi w:val="0"/>
        <w:adjustRightInd/>
        <w:snapToGrid/>
        <w:rPr>
          <w:rFonts w:hint="default"/>
          <w:color w:val="auto"/>
        </w:rPr>
      </w:pPr>
      <w:r>
        <w:rPr>
          <w:rFonts w:hint="default"/>
          <w:color w:val="auto"/>
        </w:rPr>
        <w:t>燃烧法有直接燃烧法和</w:t>
      </w:r>
      <w:r>
        <w:rPr>
          <w:rFonts w:hint="eastAsia"/>
          <w:color w:val="auto"/>
          <w:lang w:eastAsia="zh-CN"/>
        </w:rPr>
        <w:t>触媒</w:t>
      </w:r>
      <w:r>
        <w:rPr>
          <w:rFonts w:hint="default"/>
          <w:color w:val="auto"/>
        </w:rPr>
        <w:t>燃烧法。根据臭气的特点，当温度达到648℃</w:t>
      </w:r>
      <w:r>
        <w:rPr>
          <w:rFonts w:hint="default"/>
          <w:color w:val="auto"/>
          <w:lang w:eastAsia="zh-CN"/>
        </w:rPr>
        <w:t>，</w:t>
      </w:r>
      <w:r>
        <w:rPr>
          <w:rFonts w:hint="default"/>
          <w:color w:val="auto"/>
        </w:rPr>
        <w:t>接触时间0.3s以上时，臭气会直接燃烧，达到脱臭的目的。在污水处理厂内，常利用污泥消化后产生的沼气，使一些强烈的臭气燃烧，但工程实例较少。</w:t>
      </w:r>
    </w:p>
    <w:p w14:paraId="0BB1164A">
      <w:pPr>
        <w:pageBreakBefore w:val="0"/>
        <w:wordWrap/>
        <w:bidi w:val="0"/>
        <w:adjustRightInd/>
        <w:snapToGrid/>
        <w:rPr>
          <w:rFonts w:hint="default"/>
          <w:color w:val="auto"/>
        </w:rPr>
      </w:pPr>
      <w:r>
        <w:rPr>
          <w:rFonts w:hint="default"/>
          <w:color w:val="auto"/>
        </w:rPr>
        <w:t>在工程设计中，单一选用上述的一种工艺，尚不能取得满意的效果，往往需要相互组合，更好地达到脱臭的目的。如水清洗药液清洗法和活性炭吸附法相结合，水清洗药液清洗法和土壤吸附法相结合。</w:t>
      </w:r>
    </w:p>
    <w:p w14:paraId="5311A635">
      <w:pPr>
        <w:pageBreakBefore w:val="0"/>
        <w:wordWrap/>
        <w:bidi w:val="0"/>
        <w:adjustRightInd/>
        <w:snapToGrid/>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所以必须根据当地的实际情况，选择合适的工艺流程。</w:t>
      </w:r>
    </w:p>
    <w:p w14:paraId="25730CCA">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b/>
          <w:bCs/>
          <w:color w:val="auto"/>
          <w:sz w:val="24"/>
          <w:szCs w:val="24"/>
        </w:rPr>
      </w:pPr>
      <w:bookmarkStart w:id="96" w:name="bookmark83"/>
      <w:bookmarkEnd w:id="96"/>
      <w:bookmarkStart w:id="97" w:name="bookmark84"/>
      <w:bookmarkEnd w:id="97"/>
      <w:r>
        <w:rPr>
          <w:rFonts w:hint="eastAsia" w:cs="Times New Roman" w:eastAsiaTheme="minorEastAsia"/>
          <w:b/>
          <w:bCs/>
          <w:color w:val="auto"/>
          <w:sz w:val="24"/>
          <w:szCs w:val="24"/>
          <w:lang w:eastAsia="zh-CN"/>
        </w:rPr>
        <w:t>（</w:t>
      </w:r>
      <w:r>
        <w:rPr>
          <w:rFonts w:hint="eastAsia" w:cs="Times New Roman" w:eastAsiaTheme="minorEastAsia"/>
          <w:b/>
          <w:bCs/>
          <w:color w:val="auto"/>
          <w:sz w:val="24"/>
          <w:szCs w:val="24"/>
          <w:lang w:val="en-US" w:eastAsia="zh-CN"/>
        </w:rPr>
        <w:t>三</w:t>
      </w:r>
      <w:r>
        <w:rPr>
          <w:rFonts w:hint="eastAsia" w:cs="Times New Roman" w:eastAsiaTheme="minorEastAsia"/>
          <w:b/>
          <w:bCs/>
          <w:color w:val="auto"/>
          <w:sz w:val="24"/>
          <w:szCs w:val="24"/>
          <w:lang w:eastAsia="zh-CN"/>
        </w:rPr>
        <w:t>）</w:t>
      </w:r>
      <w:r>
        <w:rPr>
          <w:rFonts w:hint="default" w:ascii="Times New Roman" w:hAnsi="Times New Roman" w:cs="Times New Roman" w:eastAsiaTheme="minorEastAsia"/>
          <w:b/>
          <w:bCs/>
          <w:color w:val="auto"/>
          <w:sz w:val="24"/>
          <w:szCs w:val="24"/>
        </w:rPr>
        <w:t>除臭方法的选择</w:t>
      </w:r>
    </w:p>
    <w:p w14:paraId="0FF9A903">
      <w:pPr>
        <w:keepNext w:val="0"/>
        <w:keepLines w:val="0"/>
        <w:pageBreakBefore w:val="0"/>
        <w:widowControl/>
        <w:kinsoku w:val="0"/>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如前所述，几种常见除臭方式如下所示：</w:t>
      </w:r>
    </w:p>
    <w:p w14:paraId="6AF7A73A">
      <w:pPr>
        <w:pStyle w:val="19"/>
        <w:numPr>
          <w:ilvl w:val="0"/>
          <w:numId w:val="16"/>
        </w:numPr>
        <w:bidi w:val="0"/>
        <w:ind w:left="0" w:leftChars="0" w:firstLine="0" w:firstLineChars="0"/>
        <w:rPr>
          <w:rFonts w:hint="default"/>
          <w:color w:val="auto"/>
        </w:rPr>
      </w:pPr>
      <w:r>
        <w:rPr>
          <w:rFonts w:hint="default"/>
          <w:color w:val="auto"/>
        </w:rPr>
        <w:t>除臭方式比较</w:t>
      </w:r>
    </w:p>
    <w:tbl>
      <w:tblPr>
        <w:tblStyle w:val="706"/>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38"/>
        <w:gridCol w:w="1556"/>
        <w:gridCol w:w="1292"/>
        <w:gridCol w:w="1234"/>
        <w:gridCol w:w="1264"/>
        <w:gridCol w:w="1551"/>
        <w:gridCol w:w="971"/>
      </w:tblGrid>
      <w:tr w14:paraId="186C2B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4" w:type="pct"/>
            <w:tcBorders>
              <w:tl2br w:val="nil"/>
              <w:tr2bl w:val="nil"/>
            </w:tcBorders>
            <w:vAlign w:val="center"/>
          </w:tcPr>
          <w:p w14:paraId="44A658F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处理方法</w:t>
            </w:r>
          </w:p>
        </w:tc>
        <w:tc>
          <w:tcPr>
            <w:tcW w:w="936" w:type="pct"/>
            <w:tcBorders>
              <w:tl2br w:val="nil"/>
              <w:tr2bl w:val="nil"/>
            </w:tcBorders>
            <w:vAlign w:val="center"/>
          </w:tcPr>
          <w:p w14:paraId="4C1E7BE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水清洗和药液清洗法</w:t>
            </w:r>
          </w:p>
        </w:tc>
        <w:tc>
          <w:tcPr>
            <w:tcW w:w="777" w:type="pct"/>
            <w:tcBorders>
              <w:tl2br w:val="nil"/>
              <w:tr2bl w:val="nil"/>
            </w:tcBorders>
            <w:vAlign w:val="center"/>
          </w:tcPr>
          <w:p w14:paraId="024CA6D6">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活性炭吸附法</w:t>
            </w:r>
          </w:p>
        </w:tc>
        <w:tc>
          <w:tcPr>
            <w:tcW w:w="742" w:type="pct"/>
            <w:tcBorders>
              <w:tl2br w:val="nil"/>
              <w:tr2bl w:val="nil"/>
            </w:tcBorders>
            <w:vAlign w:val="center"/>
          </w:tcPr>
          <w:p w14:paraId="018A307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臭氧氧化法</w:t>
            </w:r>
          </w:p>
        </w:tc>
        <w:tc>
          <w:tcPr>
            <w:tcW w:w="760" w:type="pct"/>
            <w:tcBorders>
              <w:tl2br w:val="nil"/>
              <w:tr2bl w:val="nil"/>
            </w:tcBorders>
            <w:vAlign w:val="center"/>
          </w:tcPr>
          <w:p w14:paraId="22466C9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土壤脱臭法</w:t>
            </w:r>
          </w:p>
        </w:tc>
        <w:tc>
          <w:tcPr>
            <w:tcW w:w="933" w:type="pct"/>
            <w:tcBorders>
              <w:tl2br w:val="nil"/>
              <w:tr2bl w:val="nil"/>
            </w:tcBorders>
            <w:shd w:val="clear" w:color="auto" w:fill="auto"/>
            <w:vAlign w:val="center"/>
          </w:tcPr>
          <w:p w14:paraId="625A51A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kern w:val="2"/>
                <w:sz w:val="21"/>
                <w:szCs w:val="21"/>
                <w:lang w:val="en-US" w:eastAsia="zh-CN" w:bidi="ar-SA"/>
              </w:rPr>
            </w:pPr>
            <w:r>
              <w:rPr>
                <w:rFonts w:hint="default" w:ascii="Times New Roman" w:hAnsi="Times New Roman" w:cs="Times New Roman" w:eastAsiaTheme="minorEastAsia"/>
                <w:b/>
                <w:bCs/>
                <w:color w:val="auto"/>
                <w:sz w:val="21"/>
                <w:szCs w:val="21"/>
              </w:rPr>
              <w:t>生物过滤法</w:t>
            </w:r>
          </w:p>
        </w:tc>
        <w:tc>
          <w:tcPr>
            <w:tcW w:w="584" w:type="pct"/>
            <w:tcBorders>
              <w:tl2br w:val="nil"/>
              <w:tr2bl w:val="nil"/>
            </w:tcBorders>
            <w:vAlign w:val="center"/>
          </w:tcPr>
          <w:p w14:paraId="156893C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燃烧法</w:t>
            </w:r>
          </w:p>
        </w:tc>
      </w:tr>
      <w:tr w14:paraId="53FFB2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4" w:type="pct"/>
            <w:tcBorders>
              <w:tl2br w:val="nil"/>
              <w:tr2bl w:val="nil"/>
            </w:tcBorders>
            <w:vAlign w:val="center"/>
          </w:tcPr>
          <w:p w14:paraId="3DFB5CE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处理原理</w:t>
            </w:r>
          </w:p>
        </w:tc>
        <w:tc>
          <w:tcPr>
            <w:tcW w:w="936" w:type="pct"/>
            <w:tcBorders>
              <w:tl2br w:val="nil"/>
              <w:tr2bl w:val="nil"/>
            </w:tcBorders>
            <w:vAlign w:val="center"/>
          </w:tcPr>
          <w:p w14:paraId="27E4045D">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利用臭气中的某些物质能溶于水的特性，使臭气中氨气、硫化氢气体和水接触、溶解，达到脱臭的目的</w:t>
            </w:r>
          </w:p>
        </w:tc>
        <w:tc>
          <w:tcPr>
            <w:tcW w:w="777" w:type="pct"/>
            <w:tcBorders>
              <w:tl2br w:val="nil"/>
              <w:tr2bl w:val="nil"/>
            </w:tcBorders>
            <w:vAlign w:val="center"/>
          </w:tcPr>
          <w:p w14:paraId="72CA025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活性炭吸附法是利用活性炭能吸附臭气中致臭物质的特点，达到脱臭目的</w:t>
            </w:r>
          </w:p>
        </w:tc>
        <w:tc>
          <w:tcPr>
            <w:tcW w:w="742" w:type="pct"/>
            <w:tcBorders>
              <w:tl2br w:val="nil"/>
              <w:tr2bl w:val="nil"/>
            </w:tcBorders>
            <w:vAlign w:val="center"/>
          </w:tcPr>
          <w:p w14:paraId="4376BB3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利用高温粒子流，对目标分子进行轰击，将要处理的物质打碎、氧化</w:t>
            </w:r>
          </w:p>
        </w:tc>
        <w:tc>
          <w:tcPr>
            <w:tcW w:w="760" w:type="pct"/>
            <w:tcBorders>
              <w:tl2br w:val="nil"/>
              <w:tr2bl w:val="nil"/>
            </w:tcBorders>
            <w:vAlign w:val="center"/>
          </w:tcPr>
          <w:p w14:paraId="2C1033F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土壤脱臭法是利用土壤中微生物分解臭气中的化学成分，达到脱臭目的</w:t>
            </w:r>
          </w:p>
        </w:tc>
        <w:tc>
          <w:tcPr>
            <w:tcW w:w="933" w:type="pct"/>
            <w:tcBorders>
              <w:tl2br w:val="nil"/>
              <w:tr2bl w:val="nil"/>
            </w:tcBorders>
            <w:shd w:val="clear" w:color="auto" w:fill="auto"/>
            <w:vAlign w:val="center"/>
          </w:tcPr>
          <w:p w14:paraId="2018526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利用特种微生物群以污染气体为营养源的特点，经过生物化学反应将污染物转化为简单的物质</w:t>
            </w:r>
          </w:p>
        </w:tc>
        <w:tc>
          <w:tcPr>
            <w:tcW w:w="584" w:type="pct"/>
            <w:tcBorders>
              <w:tl2br w:val="nil"/>
              <w:tr2bl w:val="nil"/>
            </w:tcBorders>
            <w:vAlign w:val="center"/>
          </w:tcPr>
          <w:p w14:paraId="29D2B75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利用高温下的氧化作用，将污染成分燃烧、分解</w:t>
            </w:r>
          </w:p>
        </w:tc>
      </w:tr>
      <w:tr w14:paraId="5FCA75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4" w:type="pct"/>
            <w:tcBorders>
              <w:tl2br w:val="nil"/>
              <w:tr2bl w:val="nil"/>
            </w:tcBorders>
            <w:vAlign w:val="center"/>
          </w:tcPr>
          <w:p w14:paraId="7DA2A8C1">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技术普遍性</w:t>
            </w:r>
          </w:p>
        </w:tc>
        <w:tc>
          <w:tcPr>
            <w:tcW w:w="936" w:type="pct"/>
            <w:tcBorders>
              <w:tl2br w:val="nil"/>
              <w:tr2bl w:val="nil"/>
            </w:tcBorders>
            <w:vAlign w:val="center"/>
          </w:tcPr>
          <w:p w14:paraId="503B3FD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eastAsia"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普遍</w:t>
            </w:r>
          </w:p>
        </w:tc>
        <w:tc>
          <w:tcPr>
            <w:tcW w:w="777" w:type="pct"/>
            <w:tcBorders>
              <w:tl2br w:val="nil"/>
              <w:tr2bl w:val="nil"/>
            </w:tcBorders>
            <w:vAlign w:val="center"/>
          </w:tcPr>
          <w:p w14:paraId="25A87A52">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bookmarkStart w:id="98" w:name="OLE_LINK4"/>
            <w:r>
              <w:rPr>
                <w:rFonts w:hint="default" w:ascii="Times New Roman" w:hAnsi="Times New Roman" w:cs="Times New Roman" w:eastAsiaTheme="minorEastAsia"/>
                <w:color w:val="auto"/>
                <w:sz w:val="21"/>
                <w:szCs w:val="21"/>
              </w:rPr>
              <w:t>普遍</w:t>
            </w:r>
            <w:bookmarkEnd w:id="98"/>
          </w:p>
        </w:tc>
        <w:tc>
          <w:tcPr>
            <w:tcW w:w="742" w:type="pct"/>
            <w:tcBorders>
              <w:tl2br w:val="nil"/>
              <w:tr2bl w:val="nil"/>
            </w:tcBorders>
            <w:vAlign w:val="center"/>
          </w:tcPr>
          <w:p w14:paraId="35DB7D4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普遍</w:t>
            </w:r>
          </w:p>
        </w:tc>
        <w:tc>
          <w:tcPr>
            <w:tcW w:w="760" w:type="pct"/>
            <w:tcBorders>
              <w:tl2br w:val="nil"/>
              <w:tr2bl w:val="nil"/>
            </w:tcBorders>
            <w:vAlign w:val="center"/>
          </w:tcPr>
          <w:p w14:paraId="32885E98">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开始使用</w:t>
            </w:r>
          </w:p>
        </w:tc>
        <w:tc>
          <w:tcPr>
            <w:tcW w:w="933" w:type="pct"/>
            <w:tcBorders>
              <w:tl2br w:val="nil"/>
              <w:tr2bl w:val="nil"/>
            </w:tcBorders>
            <w:shd w:val="clear" w:color="auto" w:fill="auto"/>
            <w:vAlign w:val="center"/>
          </w:tcPr>
          <w:p w14:paraId="3DB36C6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普遍</w:t>
            </w:r>
          </w:p>
        </w:tc>
        <w:tc>
          <w:tcPr>
            <w:tcW w:w="584" w:type="pct"/>
            <w:tcBorders>
              <w:tl2br w:val="nil"/>
              <w:tr2bl w:val="nil"/>
            </w:tcBorders>
            <w:vAlign w:val="center"/>
          </w:tcPr>
          <w:p w14:paraId="53AF131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eastAsia"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rPr>
              <w:t>常规</w:t>
            </w:r>
          </w:p>
        </w:tc>
      </w:tr>
      <w:tr w14:paraId="5CBAF4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4" w:type="pct"/>
            <w:tcBorders>
              <w:tl2br w:val="nil"/>
              <w:tr2bl w:val="nil"/>
            </w:tcBorders>
            <w:vAlign w:val="center"/>
          </w:tcPr>
          <w:p w14:paraId="24C42B8B">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优点</w:t>
            </w:r>
          </w:p>
        </w:tc>
        <w:tc>
          <w:tcPr>
            <w:tcW w:w="936" w:type="pct"/>
            <w:tcBorders>
              <w:tl2br w:val="nil"/>
              <w:tr2bl w:val="nil"/>
            </w:tcBorders>
            <w:vAlign w:val="center"/>
          </w:tcPr>
          <w:p w14:paraId="06C9362A">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eastAsia"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rPr>
              <w:t>选用不同的化学制剂，可快速彻底去除污染物</w:t>
            </w:r>
          </w:p>
        </w:tc>
        <w:tc>
          <w:tcPr>
            <w:tcW w:w="777" w:type="pct"/>
            <w:tcBorders>
              <w:tl2br w:val="nil"/>
              <w:tr2bl w:val="nil"/>
            </w:tcBorders>
            <w:vAlign w:val="center"/>
          </w:tcPr>
          <w:p w14:paraId="32F8A15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bookmarkStart w:id="99" w:name="OLE_LINK6"/>
            <w:r>
              <w:rPr>
                <w:rFonts w:hint="default" w:ascii="Times New Roman" w:hAnsi="Times New Roman" w:cs="Times New Roman" w:eastAsiaTheme="minorEastAsia"/>
                <w:color w:val="auto"/>
                <w:sz w:val="21"/>
                <w:szCs w:val="21"/>
              </w:rPr>
              <w:t>具有较高的效率</w:t>
            </w:r>
            <w:bookmarkEnd w:id="99"/>
          </w:p>
        </w:tc>
        <w:tc>
          <w:tcPr>
            <w:tcW w:w="742" w:type="pct"/>
            <w:tcBorders>
              <w:tl2br w:val="nil"/>
              <w:tr2bl w:val="nil"/>
            </w:tcBorders>
            <w:vAlign w:val="center"/>
          </w:tcPr>
          <w:p w14:paraId="656BA2D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具有较高的效率</w:t>
            </w:r>
          </w:p>
        </w:tc>
        <w:tc>
          <w:tcPr>
            <w:tcW w:w="760" w:type="pct"/>
            <w:tcBorders>
              <w:tl2br w:val="nil"/>
              <w:tr2bl w:val="nil"/>
            </w:tcBorders>
            <w:vAlign w:val="center"/>
          </w:tcPr>
          <w:p w14:paraId="4A548F5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不需要加药等附属设施，运行管理费用较低</w:t>
            </w:r>
          </w:p>
        </w:tc>
        <w:tc>
          <w:tcPr>
            <w:tcW w:w="933" w:type="pct"/>
            <w:tcBorders>
              <w:tl2br w:val="nil"/>
              <w:tr2bl w:val="nil"/>
            </w:tcBorders>
            <w:shd w:val="clear" w:color="auto" w:fill="auto"/>
            <w:vAlign w:val="center"/>
          </w:tcPr>
          <w:p w14:paraId="7397D0B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kern w:val="2"/>
                <w:sz w:val="21"/>
                <w:szCs w:val="21"/>
                <w:lang w:val="en-US" w:eastAsia="zh-CN" w:bidi="ar-SA"/>
              </w:rPr>
            </w:pPr>
            <w:bookmarkStart w:id="100" w:name="OLE_LINK5"/>
            <w:r>
              <w:rPr>
                <w:rFonts w:hint="default" w:ascii="Times New Roman" w:hAnsi="Times New Roman" w:cs="Times New Roman" w:eastAsiaTheme="minorEastAsia"/>
                <w:color w:val="auto"/>
                <w:sz w:val="21"/>
                <w:szCs w:val="21"/>
              </w:rPr>
              <w:t>运行和维护费用低，不产生二次污染</w:t>
            </w:r>
          </w:p>
        </w:tc>
        <w:tc>
          <w:tcPr>
            <w:tcW w:w="584" w:type="pct"/>
            <w:tcBorders>
              <w:tl2br w:val="nil"/>
              <w:tr2bl w:val="nil"/>
            </w:tcBorders>
            <w:vAlign w:val="center"/>
          </w:tcPr>
          <w:p w14:paraId="379AFA35">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对所有污染气体都能去除，处理量大</w:t>
            </w:r>
          </w:p>
          <w:bookmarkEnd w:id="100"/>
        </w:tc>
      </w:tr>
      <w:tr w14:paraId="44E177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4" w:type="pct"/>
            <w:tcBorders>
              <w:tl2br w:val="nil"/>
              <w:tr2bl w:val="nil"/>
            </w:tcBorders>
            <w:vAlign w:val="center"/>
          </w:tcPr>
          <w:p w14:paraId="770BA8B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缺点</w:t>
            </w:r>
          </w:p>
        </w:tc>
        <w:tc>
          <w:tcPr>
            <w:tcW w:w="936" w:type="pct"/>
            <w:tcBorders>
              <w:tl2br w:val="nil"/>
              <w:tr2bl w:val="nil"/>
            </w:tcBorders>
            <w:vAlign w:val="center"/>
          </w:tcPr>
          <w:p w14:paraId="3A154994">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运行管理较为复杂，与药液不反应的臭气较难去除，效率较低</w:t>
            </w:r>
          </w:p>
        </w:tc>
        <w:tc>
          <w:tcPr>
            <w:tcW w:w="777" w:type="pct"/>
            <w:tcBorders>
              <w:tl2br w:val="nil"/>
              <w:tr2bl w:val="nil"/>
            </w:tcBorders>
            <w:vAlign w:val="center"/>
          </w:tcPr>
          <w:p w14:paraId="09786857">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活性炭有一饱和期限，超过这一期限，就必须更换活性炭</w:t>
            </w:r>
          </w:p>
        </w:tc>
        <w:tc>
          <w:tcPr>
            <w:tcW w:w="742" w:type="pct"/>
            <w:tcBorders>
              <w:tl2br w:val="nil"/>
              <w:tr2bl w:val="nil"/>
            </w:tcBorders>
            <w:vAlign w:val="center"/>
          </w:tcPr>
          <w:p w14:paraId="7F86410F">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臭氧发生的化学反应较慢</w:t>
            </w:r>
          </w:p>
        </w:tc>
        <w:tc>
          <w:tcPr>
            <w:tcW w:w="760" w:type="pct"/>
            <w:tcBorders>
              <w:tl2br w:val="nil"/>
              <w:tr2bl w:val="nil"/>
            </w:tcBorders>
            <w:vAlign w:val="center"/>
          </w:tcPr>
          <w:p w14:paraId="5586CDC9">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间歇运行，运行成本略高，除臭效果不明显</w:t>
            </w:r>
          </w:p>
        </w:tc>
        <w:tc>
          <w:tcPr>
            <w:tcW w:w="933" w:type="pct"/>
            <w:tcBorders>
              <w:tl2br w:val="nil"/>
              <w:tr2bl w:val="nil"/>
            </w:tcBorders>
            <w:shd w:val="clear" w:color="auto" w:fill="auto"/>
            <w:vAlign w:val="center"/>
          </w:tcPr>
          <w:p w14:paraId="6D105A8E">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处理范围</w:t>
            </w:r>
            <w:r>
              <w:rPr>
                <w:rFonts w:hint="eastAsia" w:cs="Times New Roman" w:eastAsiaTheme="minorEastAsia"/>
                <w:color w:val="auto"/>
                <w:sz w:val="21"/>
                <w:szCs w:val="21"/>
                <w:lang w:eastAsia="zh-CN"/>
              </w:rPr>
              <w:t>受</w:t>
            </w:r>
            <w:r>
              <w:rPr>
                <w:rFonts w:hint="default" w:ascii="Times New Roman" w:hAnsi="Times New Roman" w:cs="Times New Roman" w:eastAsiaTheme="minorEastAsia"/>
                <w:color w:val="auto"/>
                <w:sz w:val="21"/>
                <w:szCs w:val="21"/>
              </w:rPr>
              <w:t>生物种群影响，受气候条件的影响比较大，前期投入比较大，占地面积大</w:t>
            </w:r>
          </w:p>
        </w:tc>
        <w:tc>
          <w:tcPr>
            <w:tcW w:w="584" w:type="pct"/>
            <w:tcBorders>
              <w:tl2br w:val="nil"/>
              <w:tr2bl w:val="nil"/>
            </w:tcBorders>
            <w:vAlign w:val="center"/>
          </w:tcPr>
          <w:p w14:paraId="0640BD63">
            <w:pPr>
              <w:keepNext w:val="0"/>
              <w:keepLines w:val="0"/>
              <w:pageBreakBefore w:val="0"/>
              <w:widowControl/>
              <w:kinsoku w:val="0"/>
              <w:wordWrap/>
              <w:overflowPunct/>
              <w:topLinePunct w:val="0"/>
              <w:autoSpaceDE w:val="0"/>
              <w:autoSpaceDN w:val="0"/>
              <w:bidi w:val="0"/>
              <w:adjustRightInd/>
              <w:snapToGrid/>
              <w:spacing w:line="240" w:lineRule="auto"/>
              <w:ind w:firstLine="0" w:firstLineChars="0"/>
              <w:jc w:val="center"/>
              <w:textAlignment w:val="baseline"/>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产生二次污染</w:t>
            </w:r>
          </w:p>
        </w:tc>
      </w:tr>
    </w:tbl>
    <w:p w14:paraId="013A6BF6">
      <w:pPr>
        <w:keepNext w:val="0"/>
        <w:keepLines w:val="0"/>
        <w:pageBreakBefore w:val="0"/>
        <w:widowControl/>
        <w:kinsoku w:val="0"/>
        <w:wordWrap/>
        <w:overflowPunct/>
        <w:topLinePunct w:val="0"/>
        <w:autoSpaceDE w:val="0"/>
        <w:autoSpaceDN w:val="0"/>
        <w:bidi w:val="0"/>
        <w:adjustRightInd/>
        <w:snapToGrid/>
        <w:spacing w:line="360" w:lineRule="auto"/>
        <w:ind w:firstLine="482" w:firstLineChars="200"/>
        <w:textAlignment w:val="baseline"/>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b/>
          <w:bCs/>
          <w:color w:val="auto"/>
          <w:sz w:val="24"/>
          <w:szCs w:val="24"/>
        </w:rPr>
        <w:t>根据比较，可根据本工程气量小，综合考虑设备投资、系统运行费等因素，建议选配生物滤池除臭处理工艺。</w:t>
      </w:r>
      <w:bookmarkStart w:id="101" w:name="bookmark85"/>
      <w:bookmarkEnd w:id="101"/>
    </w:p>
    <w:p w14:paraId="37D6DD22">
      <w:pPr>
        <w:pStyle w:val="5"/>
        <w:bidi w:val="0"/>
        <w:rPr>
          <w:rFonts w:hint="default"/>
          <w:color w:val="auto"/>
          <w:lang w:val="en-US"/>
        </w:rPr>
      </w:pPr>
      <w:r>
        <w:rPr>
          <w:rFonts w:hint="eastAsia"/>
          <w:color w:val="auto"/>
        </w:rPr>
        <w:t xml:space="preserve"> </w:t>
      </w:r>
      <w:r>
        <w:rPr>
          <w:rFonts w:hint="eastAsia"/>
          <w:color w:val="auto"/>
          <w:lang w:val="en-US" w:eastAsia="zh-CN"/>
        </w:rPr>
        <w:t>特征污染物识别分析</w:t>
      </w:r>
    </w:p>
    <w:p w14:paraId="6E1C748C">
      <w:pPr>
        <w:bidi w:val="0"/>
        <w:rPr>
          <w:rFonts w:hint="default"/>
          <w:color w:val="auto"/>
          <w:lang w:val="en-US" w:eastAsia="zh-CN"/>
        </w:rPr>
      </w:pPr>
      <w:r>
        <w:rPr>
          <w:rFonts w:hint="eastAsia"/>
          <w:color w:val="auto"/>
          <w:lang w:val="en-US" w:eastAsia="zh-CN"/>
        </w:rPr>
        <w:t>根据《四川巴中经济开发区规划修编环境影响报告书》，四川经济开发区-曾口区块主导产业为天然气化工和新能源新材料，本项目特征污染物分析如下：</w:t>
      </w:r>
    </w:p>
    <w:p w14:paraId="2B8F8861">
      <w:pPr>
        <w:bidi w:val="0"/>
        <w:rPr>
          <w:rFonts w:hint="default" w:eastAsia="宋体"/>
          <w:b/>
          <w:bCs/>
          <w:color w:val="auto"/>
          <w:lang w:val="en-US" w:eastAsia="zh-CN"/>
        </w:rPr>
      </w:pPr>
      <w:r>
        <w:rPr>
          <w:rFonts w:hint="eastAsia"/>
          <w:b/>
          <w:bCs/>
          <w:color w:val="auto"/>
          <w:lang w:val="en-US" w:eastAsia="zh-CN"/>
        </w:rPr>
        <w:t>1、天然气化工产业链</w:t>
      </w:r>
    </w:p>
    <w:p w14:paraId="1B68C109">
      <w:pPr>
        <w:bidi w:val="0"/>
        <w:rPr>
          <w:rFonts w:hint="eastAsia"/>
          <w:color w:val="auto"/>
        </w:rPr>
      </w:pPr>
      <w:r>
        <w:rPr>
          <w:rFonts w:hint="eastAsia"/>
          <w:color w:val="auto"/>
        </w:rPr>
        <w:t>以天然气部分氧化制乙炔为基础，打造市场前景较为广阔的乙炔系列精细化学品产品链，最终产品包括PTMEG（纺织原料）、差别化氨纶（弹性纤维）、PBAT（可降解材料）、PBT（工程塑料）、PBS（可降解塑料）、TPEE（弹性体）、NMP（电子级溶剂）等。该产业链总体工艺流程如下：</w:t>
      </w:r>
    </w:p>
    <w:p w14:paraId="1F8C2EE3">
      <w:pPr>
        <w:bidi w:val="0"/>
        <w:ind w:left="0" w:leftChars="0" w:firstLine="0" w:firstLineChars="0"/>
        <w:rPr>
          <w:color w:val="auto"/>
        </w:rPr>
      </w:pPr>
      <w:r>
        <w:rPr>
          <w:color w:val="auto"/>
        </w:rPr>
        <w:drawing>
          <wp:inline distT="0" distB="0" distL="114300" distR="114300">
            <wp:extent cx="5267960" cy="2431415"/>
            <wp:effectExtent l="0" t="0" r="8890" b="6985"/>
            <wp:docPr id="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0"/>
                    <pic:cNvPicPr>
                      <a:picLocks noChangeAspect="1"/>
                    </pic:cNvPicPr>
                  </pic:nvPicPr>
                  <pic:blipFill>
                    <a:blip r:embed="rId56"/>
                    <a:stretch>
                      <a:fillRect/>
                    </a:stretch>
                  </pic:blipFill>
                  <pic:spPr>
                    <a:xfrm>
                      <a:off x="0" y="0"/>
                      <a:ext cx="5267960" cy="2431415"/>
                    </a:xfrm>
                    <a:prstGeom prst="rect">
                      <a:avLst/>
                    </a:prstGeom>
                    <a:noFill/>
                    <a:ln>
                      <a:noFill/>
                    </a:ln>
                  </pic:spPr>
                </pic:pic>
              </a:graphicData>
            </a:graphic>
          </wp:inline>
        </w:drawing>
      </w:r>
    </w:p>
    <w:p w14:paraId="71805539">
      <w:pPr>
        <w:pStyle w:val="19"/>
        <w:numPr>
          <w:ilvl w:val="0"/>
          <w:numId w:val="0"/>
        </w:numPr>
        <w:tabs>
          <w:tab w:val="clear" w:pos="0"/>
        </w:tabs>
        <w:bidi w:val="0"/>
        <w:ind w:leftChars="0"/>
        <w:jc w:val="center"/>
        <w:rPr>
          <w:rFonts w:hint="eastAsia" w:eastAsia="宋体"/>
          <w:color w:val="auto"/>
          <w:lang w:val="en-US" w:eastAsia="zh-CN"/>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11</w:t>
      </w:r>
      <w:r>
        <w:rPr>
          <w:color w:val="auto"/>
        </w:rPr>
        <w:fldChar w:fldCharType="end"/>
      </w:r>
      <w:r>
        <w:rPr>
          <w:rFonts w:hint="eastAsia"/>
          <w:color w:val="auto"/>
          <w:lang w:val="en-US" w:eastAsia="zh-CN"/>
        </w:rPr>
        <w:t xml:space="preserve"> 曾口区块规划天然气化工产业链关联图</w:t>
      </w:r>
    </w:p>
    <w:p w14:paraId="3F60BB7B">
      <w:pPr>
        <w:bidi w:val="0"/>
        <w:rPr>
          <w:rFonts w:hint="eastAsia"/>
          <w:b/>
          <w:bCs/>
          <w:color w:val="auto"/>
        </w:rPr>
      </w:pPr>
      <w:r>
        <w:rPr>
          <w:rFonts w:hint="eastAsia"/>
          <w:b/>
          <w:bCs/>
          <w:color w:val="auto"/>
        </w:rPr>
        <w:t>对该条产业链进行工艺流程和产排污节点分析如下：</w:t>
      </w:r>
    </w:p>
    <w:p w14:paraId="637721C8">
      <w:pPr>
        <w:bidi w:val="0"/>
        <w:rPr>
          <w:rFonts w:hint="eastAsia"/>
          <w:color w:val="auto"/>
        </w:rPr>
      </w:pPr>
      <w:r>
        <w:rPr>
          <w:rFonts w:hint="eastAsia"/>
          <w:color w:val="auto"/>
        </w:rPr>
        <w:t>①生产工艺</w:t>
      </w:r>
    </w:p>
    <w:p w14:paraId="057FD8E1">
      <w:pPr>
        <w:bidi w:val="0"/>
        <w:rPr>
          <w:rFonts w:hint="eastAsia"/>
          <w:color w:val="auto"/>
        </w:rPr>
      </w:pPr>
      <w:r>
        <w:rPr>
          <w:rFonts w:hint="eastAsia"/>
          <w:color w:val="auto"/>
          <w:u w:val="single"/>
        </w:rPr>
        <w:t>天然气制乙炔：</w:t>
      </w:r>
      <w:r>
        <w:rPr>
          <w:rFonts w:hint="eastAsia"/>
          <w:color w:val="auto"/>
        </w:rPr>
        <w:t>天然气中的甲烷与氧气发生部分氧化反应，并发生甲烷的裂解反应生成乙炔，同时生成氢气、一氧化碳和水，以及少量的二氧化碳、丁二炔、乙烯基乙炔、其他烃类物质以及碳黑。</w:t>
      </w:r>
    </w:p>
    <w:p w14:paraId="31D4BBA2">
      <w:pPr>
        <w:bidi w:val="0"/>
        <w:rPr>
          <w:rFonts w:hint="eastAsia"/>
          <w:color w:val="auto"/>
        </w:rPr>
      </w:pPr>
      <w:r>
        <w:rPr>
          <w:rFonts w:hint="eastAsia"/>
          <w:color w:val="auto"/>
          <w:u w:val="single"/>
        </w:rPr>
        <w:t>甲醇制甲醛：</w:t>
      </w:r>
      <w:r>
        <w:rPr>
          <w:rFonts w:hint="eastAsia"/>
          <w:color w:val="auto"/>
        </w:rPr>
        <w:t>采用铁-钼氧化法生产甲醛，甲醇通过催化氧化制甲醛。</w:t>
      </w:r>
    </w:p>
    <w:p w14:paraId="3651890E">
      <w:pPr>
        <w:bidi w:val="0"/>
        <w:rPr>
          <w:rFonts w:hint="eastAsia"/>
          <w:color w:val="auto"/>
        </w:rPr>
      </w:pPr>
      <w:r>
        <w:rPr>
          <w:rFonts w:hint="eastAsia"/>
          <w:color w:val="auto"/>
          <w:u w:val="single"/>
        </w:rPr>
        <w:t>BDO工艺：</w:t>
      </w:r>
      <w:r>
        <w:rPr>
          <w:rFonts w:hint="eastAsia"/>
          <w:color w:val="auto"/>
        </w:rPr>
        <w:t>采取甲醛、乙炔在铜-铋催化剂作用下反应生成1，4-丁炔二醇（BYD）；BYD在镍催化剂作用下进一步加氢反应生成1，4-丁二醇（BDO）。</w:t>
      </w:r>
    </w:p>
    <w:p w14:paraId="6BBB8E74">
      <w:pPr>
        <w:bidi w:val="0"/>
        <w:rPr>
          <w:rFonts w:hint="eastAsia"/>
          <w:color w:val="auto"/>
        </w:rPr>
      </w:pPr>
      <w:r>
        <w:rPr>
          <w:rFonts w:hint="eastAsia"/>
          <w:color w:val="auto"/>
          <w:u w:val="single"/>
        </w:rPr>
        <w:t>PBAT装置工艺：</w:t>
      </w:r>
      <w:r>
        <w:rPr>
          <w:rFonts w:hint="eastAsia"/>
          <w:color w:val="auto"/>
        </w:rPr>
        <w:t>采用直接酯化法合成PBAT，主要是以对苯二甲酸（PTA）、1，6己二酸（AA）与1，4丁二醇（BDO）为主要原料，在催化剂的作用下直接进行酯化、缩聚反应而制得，副产THF。</w:t>
      </w:r>
    </w:p>
    <w:p w14:paraId="7339DB75">
      <w:pPr>
        <w:bidi w:val="0"/>
        <w:rPr>
          <w:rFonts w:hint="eastAsia"/>
          <w:color w:val="auto"/>
        </w:rPr>
      </w:pPr>
      <w:r>
        <w:rPr>
          <w:rFonts w:hint="eastAsia"/>
          <w:color w:val="auto"/>
          <w:u w:val="single"/>
        </w:rPr>
        <w:t>PTMEG装置工艺：</w:t>
      </w:r>
      <w:r>
        <w:rPr>
          <w:rFonts w:hint="eastAsia"/>
          <w:color w:val="auto"/>
        </w:rPr>
        <w:t>采用THF、醋酐为原料在催化剂的作用下反应聚合，再经脱色、酯化、精制等工段生产PTMEG。在不同工段采用不同的催化剂。在脱色工段加入氢气，酯化工段加入甲醇，产生的少量低聚合物和生成的不合格PTMEG产品在催化剂作用下分解处理，产生的THF循环使用。</w:t>
      </w:r>
    </w:p>
    <w:p w14:paraId="55DC522B">
      <w:pPr>
        <w:bidi w:val="0"/>
        <w:rPr>
          <w:rFonts w:hint="eastAsia"/>
          <w:color w:val="auto"/>
        </w:rPr>
      </w:pPr>
      <w:r>
        <w:rPr>
          <w:rFonts w:hint="eastAsia"/>
          <w:color w:val="auto"/>
          <w:u w:val="single"/>
        </w:rPr>
        <w:t>氨纶装置工艺：</w:t>
      </w:r>
      <w:r>
        <w:rPr>
          <w:rFonts w:hint="eastAsia"/>
          <w:color w:val="auto"/>
        </w:rPr>
        <w:t>采用PTMEG、MDI为原料连续聚合合成聚氨酯，使用干法纺丝技术，加工为聚氨酯纤维。</w:t>
      </w:r>
    </w:p>
    <w:p w14:paraId="215088DB">
      <w:pPr>
        <w:bidi w:val="0"/>
        <w:rPr>
          <w:rFonts w:hint="eastAsia"/>
          <w:color w:val="auto"/>
        </w:rPr>
      </w:pPr>
      <w:r>
        <w:rPr>
          <w:rFonts w:hint="eastAsia"/>
          <w:color w:val="auto"/>
          <w:u w:val="single"/>
        </w:rPr>
        <w:t>NMP装置工艺：</w:t>
      </w:r>
      <w:r>
        <w:rPr>
          <w:rFonts w:hint="eastAsia"/>
          <w:color w:val="auto"/>
        </w:rPr>
        <w:t>采用BDO为原料，催化脱氢生成γ-丁内脂，再与外购的单甲基胺反应合成N甲基吡咯烷酮。</w:t>
      </w:r>
    </w:p>
    <w:p w14:paraId="2FF6D668">
      <w:pPr>
        <w:bidi w:val="0"/>
        <w:rPr>
          <w:rFonts w:hint="eastAsia"/>
          <w:color w:val="auto"/>
        </w:rPr>
      </w:pPr>
      <w:r>
        <w:rPr>
          <w:rFonts w:hint="eastAsia"/>
          <w:color w:val="auto"/>
          <w:u w:val="single"/>
        </w:rPr>
        <w:t>TPEE装置工艺：</w:t>
      </w:r>
      <w:r>
        <w:rPr>
          <w:rFonts w:hint="eastAsia"/>
          <w:color w:val="auto"/>
        </w:rPr>
        <w:t>采用对苯二甲酸二甲酯（DMT）、BDO、PTMEG为原料，通过酯交换反应、缩聚反应制备TPEE。</w:t>
      </w:r>
    </w:p>
    <w:p w14:paraId="7CA3FDE3">
      <w:pPr>
        <w:bidi w:val="0"/>
        <w:rPr>
          <w:rFonts w:hint="eastAsia"/>
          <w:color w:val="auto"/>
        </w:rPr>
      </w:pPr>
      <w:r>
        <w:rPr>
          <w:rFonts w:hint="eastAsia"/>
          <w:color w:val="auto"/>
          <w:u w:val="single"/>
        </w:rPr>
        <w:t>PBS装置工艺：</w:t>
      </w:r>
      <w:r>
        <w:rPr>
          <w:rFonts w:hint="eastAsia"/>
          <w:color w:val="auto"/>
        </w:rPr>
        <w:t>采用丁二醇（BDO）、丁二酸酐/丁二酸为原料先经配比投料混合打浆后，浆料供应去进行酯化反应、在低真空条件下酯化反应生成酯化低聚物，低聚物在高真空条件下经预缩、终缩聚反应到终点后水下造粒、干燥脱水后得到产品PBS（聚丁二酸丁二醇酯）。</w:t>
      </w:r>
    </w:p>
    <w:p w14:paraId="5201D5F7">
      <w:pPr>
        <w:bidi w:val="0"/>
        <w:rPr>
          <w:rFonts w:hint="eastAsia"/>
          <w:color w:val="auto"/>
        </w:rPr>
      </w:pPr>
      <w:r>
        <w:rPr>
          <w:rFonts w:hint="eastAsia"/>
          <w:color w:val="auto"/>
          <w:u w:val="single"/>
        </w:rPr>
        <w:t>PBT装置工艺：</w:t>
      </w:r>
      <w:r>
        <w:rPr>
          <w:rFonts w:hint="eastAsia"/>
          <w:color w:val="auto"/>
        </w:rPr>
        <w:t>采用高纯度对苯二甲酸（PTA）与BDO直接酯化，再进行缩聚而制得PBT。酯化反应过程中产生水，BDO在高温下环化生成THF。</w:t>
      </w:r>
    </w:p>
    <w:p w14:paraId="2DECB3B9">
      <w:pPr>
        <w:bidi w:val="0"/>
        <w:rPr>
          <w:rFonts w:hint="eastAsia"/>
          <w:color w:val="auto"/>
        </w:rPr>
      </w:pPr>
      <w:r>
        <w:rPr>
          <w:rFonts w:hint="eastAsia"/>
          <w:color w:val="auto"/>
        </w:rPr>
        <w:t>②</w:t>
      </w:r>
      <w:r>
        <w:rPr>
          <w:rFonts w:hint="eastAsia"/>
          <w:color w:val="auto"/>
          <w:lang w:val="en-US" w:eastAsia="zh-CN"/>
        </w:rPr>
        <w:t>废水</w:t>
      </w:r>
      <w:r>
        <w:rPr>
          <w:rFonts w:hint="eastAsia"/>
          <w:color w:val="auto"/>
        </w:rPr>
        <w:t>主要产污</w:t>
      </w:r>
    </w:p>
    <w:p w14:paraId="5CCCAB29">
      <w:pPr>
        <w:bidi w:val="0"/>
        <w:rPr>
          <w:rFonts w:hint="eastAsia"/>
          <w:color w:val="auto"/>
        </w:rPr>
      </w:pPr>
      <w:r>
        <w:rPr>
          <w:rFonts w:hint="eastAsia"/>
          <w:color w:val="auto"/>
        </w:rPr>
        <w:t>废水可分为反应生成水、工艺物料洗涤水、工艺设备及管道清洗水、直接加热或作为反应介质的蒸汽冷凝水、地面冲洗水和生产区域污染雨水等，主要污染物包括pH、COD、SS、氨氮、氯离子、甲醛、石油类等。</w:t>
      </w:r>
    </w:p>
    <w:p w14:paraId="5684F166">
      <w:pPr>
        <w:numPr>
          <w:ilvl w:val="0"/>
          <w:numId w:val="20"/>
        </w:numPr>
        <w:bidi w:val="0"/>
        <w:rPr>
          <w:rFonts w:hint="eastAsia"/>
          <w:b/>
          <w:bCs/>
          <w:color w:val="auto"/>
          <w:lang w:val="en-US" w:eastAsia="zh-CN"/>
        </w:rPr>
      </w:pPr>
      <w:r>
        <w:rPr>
          <w:rFonts w:hint="eastAsia"/>
          <w:b/>
          <w:bCs/>
          <w:color w:val="auto"/>
          <w:lang w:val="en-US" w:eastAsia="zh-CN"/>
        </w:rPr>
        <w:t>新能源新材料</w:t>
      </w:r>
    </w:p>
    <w:p w14:paraId="49264DB1">
      <w:pPr>
        <w:bidi w:val="0"/>
        <w:rPr>
          <w:rFonts w:hint="default"/>
          <w:color w:val="auto"/>
          <w:lang w:val="en-US" w:eastAsia="zh-CN"/>
        </w:rPr>
      </w:pPr>
      <w:r>
        <w:rPr>
          <w:rFonts w:hint="default"/>
          <w:color w:val="auto"/>
          <w:lang w:val="en-US" w:eastAsia="zh-CN"/>
        </w:rPr>
        <w:t>主要包括以天然气液化制LNG的新能源和以石墨负极材料为代表的新能源材料、石墨烯新材料以及新能源动力电池产业等。</w:t>
      </w:r>
    </w:p>
    <w:p w14:paraId="2E5A9EAF">
      <w:pPr>
        <w:numPr>
          <w:ilvl w:val="0"/>
          <w:numId w:val="21"/>
        </w:numPr>
        <w:bidi w:val="0"/>
        <w:rPr>
          <w:rFonts w:hint="eastAsia"/>
          <w:color w:val="auto"/>
          <w:lang w:val="en-US" w:eastAsia="zh-CN"/>
        </w:rPr>
      </w:pPr>
      <w:r>
        <w:rPr>
          <w:rFonts w:hint="eastAsia"/>
          <w:color w:val="auto"/>
          <w:lang w:val="en-US" w:eastAsia="zh-CN"/>
        </w:rPr>
        <w:t>典型负极材料</w:t>
      </w:r>
    </w:p>
    <w:p w14:paraId="42854E24">
      <w:pPr>
        <w:numPr>
          <w:ilvl w:val="0"/>
          <w:numId w:val="0"/>
        </w:numPr>
        <w:bidi w:val="0"/>
        <w:jc w:val="center"/>
        <w:rPr>
          <w:rFonts w:hint="default"/>
          <w:color w:val="auto"/>
          <w:lang w:val="en-US" w:eastAsia="zh-CN"/>
        </w:rPr>
      </w:pPr>
      <w:r>
        <w:rPr>
          <w:color w:val="auto"/>
        </w:rPr>
        <w:drawing>
          <wp:inline distT="0" distB="0" distL="114300" distR="114300">
            <wp:extent cx="5265420" cy="3062605"/>
            <wp:effectExtent l="0" t="0" r="11430" b="4445"/>
            <wp:docPr id="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1"/>
                    <pic:cNvPicPr>
                      <a:picLocks noChangeAspect="1"/>
                    </pic:cNvPicPr>
                  </pic:nvPicPr>
                  <pic:blipFill>
                    <a:blip r:embed="rId57"/>
                    <a:stretch>
                      <a:fillRect/>
                    </a:stretch>
                  </pic:blipFill>
                  <pic:spPr>
                    <a:xfrm>
                      <a:off x="0" y="0"/>
                      <a:ext cx="5265420" cy="3062605"/>
                    </a:xfrm>
                    <a:prstGeom prst="rect">
                      <a:avLst/>
                    </a:prstGeom>
                    <a:noFill/>
                    <a:ln>
                      <a:noFill/>
                    </a:ln>
                  </pic:spPr>
                </pic:pic>
              </a:graphicData>
            </a:graphic>
          </wp:inline>
        </w:drawing>
      </w:r>
    </w:p>
    <w:p w14:paraId="113D0C3C">
      <w:pPr>
        <w:pStyle w:val="19"/>
        <w:numPr>
          <w:ilvl w:val="0"/>
          <w:numId w:val="0"/>
        </w:numPr>
        <w:tabs>
          <w:tab w:val="clear" w:pos="0"/>
        </w:tabs>
        <w:bidi w:val="0"/>
        <w:ind w:leftChars="0"/>
        <w:jc w:val="center"/>
        <w:rPr>
          <w:rFonts w:hint="eastAsia" w:eastAsia="宋体"/>
          <w:color w:val="auto"/>
          <w:lang w:val="en-US" w:eastAsia="zh-CN"/>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2.2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12</w:t>
      </w:r>
      <w:r>
        <w:rPr>
          <w:color w:val="auto"/>
        </w:rPr>
        <w:fldChar w:fldCharType="end"/>
      </w:r>
      <w:r>
        <w:rPr>
          <w:rFonts w:hint="eastAsia"/>
          <w:color w:val="auto"/>
          <w:lang w:val="en-US" w:eastAsia="zh-CN"/>
        </w:rPr>
        <w:t xml:space="preserve"> 典型负极材料工艺流程图</w:t>
      </w:r>
    </w:p>
    <w:p w14:paraId="6406E961">
      <w:pPr>
        <w:bidi w:val="0"/>
        <w:rPr>
          <w:rFonts w:hint="default"/>
          <w:color w:val="auto"/>
          <w:lang w:val="en-US" w:eastAsia="zh-CN"/>
        </w:rPr>
      </w:pPr>
      <w:r>
        <w:rPr>
          <w:rFonts w:hint="eastAsia"/>
          <w:color w:val="auto"/>
          <w:lang w:val="en-US" w:eastAsia="zh-CN"/>
        </w:rPr>
        <w:t>（2）石墨烯</w:t>
      </w:r>
    </w:p>
    <w:p w14:paraId="42E7EE33">
      <w:pPr>
        <w:bidi w:val="0"/>
        <w:rPr>
          <w:rFonts w:hint="eastAsia"/>
          <w:color w:val="auto"/>
        </w:rPr>
      </w:pPr>
      <w:r>
        <w:rPr>
          <w:rFonts w:hint="eastAsia"/>
          <w:color w:val="auto"/>
        </w:rPr>
        <w:t>石墨烯具有理想的单原子层二维晶体结构，由六边形晶格组成，这种特殊的结构赋予了石墨烯材料独特的热学、力学和电学性能。目前，已经将石墨烯应用于锂离子电池电极材料、超级电容器、太阳能电池电极材料、储氢材料、传感器、光学材料、药物载体等方面。用于工业化和规模化生产的石墨烯制备方法主要有化学氧化还原法、</w:t>
      </w:r>
      <w:r>
        <w:rPr>
          <w:rFonts w:hint="eastAsia"/>
          <w:color w:val="auto"/>
          <w:lang w:eastAsia="zh-CN"/>
        </w:rPr>
        <w:t>化学气相沉积法</w:t>
      </w:r>
      <w:r>
        <w:rPr>
          <w:rFonts w:hint="eastAsia"/>
          <w:color w:val="auto"/>
        </w:rPr>
        <w:t>、化学插层剥离法。</w:t>
      </w:r>
    </w:p>
    <w:p w14:paraId="18FC21AC">
      <w:pPr>
        <w:bidi w:val="0"/>
        <w:rPr>
          <w:rFonts w:hint="eastAsia"/>
          <w:color w:val="auto"/>
        </w:rPr>
      </w:pPr>
      <w:r>
        <w:rPr>
          <w:rFonts w:hint="eastAsia"/>
          <w:color w:val="auto"/>
        </w:rPr>
        <w:t>废水主要污染物为COD、BOD、SS、石油类、总磷、氨氮、挥发酚、苯并〔α〕芘等。</w:t>
      </w:r>
    </w:p>
    <w:p w14:paraId="3A3175C7">
      <w:pPr>
        <w:bidi w:val="0"/>
        <w:rPr>
          <w:rFonts w:hint="default" w:eastAsia="宋体"/>
          <w:color w:val="auto"/>
          <w:lang w:val="en-US" w:eastAsia="zh-CN"/>
        </w:rPr>
        <w:sectPr>
          <w:headerReference r:id="rId15" w:type="default"/>
          <w:footerReference r:id="rId16"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color w:val="auto"/>
          <w:lang w:val="en-US" w:eastAsia="zh-CN"/>
        </w:rPr>
        <w:t>同时，由于四川巴中经济开发区-曾口区块目前未引进企业，暂时也无意向拟引入的企业，根据规划曾口区块废水产生情况一览表，结合项目实际情况，确定本项目地表水特征污染物为石油类和甲醛。</w:t>
      </w:r>
    </w:p>
    <w:p w14:paraId="3F9A44B9">
      <w:pPr>
        <w:pStyle w:val="4"/>
        <w:pageBreakBefore w:val="0"/>
        <w:wordWrap/>
        <w:bidi w:val="0"/>
        <w:adjustRightInd/>
        <w:snapToGrid/>
        <w:rPr>
          <w:rFonts w:ascii="Times New Roman" w:hAnsi="Times New Roman" w:eastAsia="宋体"/>
          <w:color w:val="auto"/>
        </w:rPr>
      </w:pPr>
      <w:r>
        <w:rPr>
          <w:rFonts w:hint="eastAsia" w:ascii="Times New Roman" w:hAnsi="Times New Roman" w:eastAsia="宋体"/>
          <w:color w:val="auto"/>
        </w:rPr>
        <w:t xml:space="preserve"> </w:t>
      </w:r>
      <w:bookmarkStart w:id="102" w:name="_Toc23587"/>
      <w:r>
        <w:rPr>
          <w:rFonts w:ascii="Times New Roman" w:hAnsi="Times New Roman" w:eastAsia="宋体"/>
          <w:color w:val="auto"/>
        </w:rPr>
        <w:t>项目工程分析</w:t>
      </w:r>
      <w:bookmarkEnd w:id="77"/>
      <w:bookmarkEnd w:id="102"/>
    </w:p>
    <w:bookmarkEnd w:id="78"/>
    <w:p w14:paraId="7A78B65D">
      <w:pPr>
        <w:pStyle w:val="5"/>
        <w:pageBreakBefore w:val="0"/>
        <w:wordWrap/>
        <w:bidi w:val="0"/>
        <w:adjustRightInd/>
        <w:snapToGrid/>
        <w:spacing w:before="62" w:after="62"/>
        <w:ind w:left="0"/>
        <w:rPr>
          <w:rFonts w:eastAsia="宋体"/>
          <w:color w:val="auto"/>
        </w:rPr>
      </w:pPr>
      <w:r>
        <w:rPr>
          <w:rFonts w:hint="eastAsia"/>
          <w:color w:val="auto"/>
          <w:lang w:val="en-US" w:eastAsia="zh-CN"/>
        </w:rPr>
        <w:t xml:space="preserve"> </w:t>
      </w:r>
      <w:r>
        <w:rPr>
          <w:rFonts w:eastAsia="宋体"/>
          <w:color w:val="auto"/>
        </w:rPr>
        <w:t>施工期工程分析</w:t>
      </w:r>
    </w:p>
    <w:p w14:paraId="3E97B3F5">
      <w:pPr>
        <w:pageBreakBefore w:val="0"/>
        <w:wordWrap/>
        <w:bidi w:val="0"/>
        <w:adjustRightInd/>
        <w:snapToGrid/>
        <w:ind w:firstLine="480"/>
        <w:rPr>
          <w:color w:val="auto"/>
        </w:rPr>
      </w:pPr>
      <w:r>
        <w:rPr>
          <w:rFonts w:hint="eastAsia"/>
          <w:color w:val="auto"/>
        </w:rPr>
        <w:t>本工程属废水处理设施项目，具有较明显的环境效益和社会效益。但在施工期及营运期也不可避免地产生一些局部的环境问题。在污水处理厂设备正常运行的情况下，将产生废气、污泥、设备噪声及生活污水、生活垃圾等。</w:t>
      </w:r>
    </w:p>
    <w:p w14:paraId="250FE149">
      <w:pPr>
        <w:pStyle w:val="10"/>
        <w:bidi w:val="0"/>
        <w:rPr>
          <w:rFonts w:hint="default"/>
          <w:color w:val="auto"/>
          <w:lang w:val="en-US" w:eastAsia="zh-CN"/>
        </w:rPr>
      </w:pPr>
      <w:r>
        <w:rPr>
          <w:rFonts w:hint="eastAsia"/>
          <w:color w:val="auto"/>
          <w:lang w:val="en-US" w:eastAsia="zh-CN"/>
        </w:rPr>
        <w:t>污水处理厂施工</w:t>
      </w:r>
    </w:p>
    <w:p w14:paraId="05B045EA">
      <w:pPr>
        <w:pageBreakBefore w:val="0"/>
        <w:wordWrap/>
        <w:bidi w:val="0"/>
        <w:adjustRightInd/>
        <w:snapToGrid/>
        <w:ind w:firstLine="480"/>
        <w:rPr>
          <w:color w:val="auto"/>
        </w:rPr>
      </w:pPr>
      <w:r>
        <w:rPr>
          <w:rFonts w:hint="eastAsia"/>
          <w:color w:val="auto"/>
        </w:rPr>
        <w:t>污水处理厂主体工程及污染物来源：污水处理厂工程施工期间的基础工程、主体工程、装饰工程、设备安装等建设工程将产生噪声、扬尘、固体废弃物、施工废水等污染物，其排放量随施工期的内容不同而有所变化。施工期建设流程及产污位置见下图：</w:t>
      </w:r>
    </w:p>
    <w:p w14:paraId="40C93676">
      <w:pPr>
        <w:pageBreakBefore w:val="0"/>
        <w:wordWrap/>
        <w:bidi w:val="0"/>
        <w:adjustRightInd/>
        <w:snapToGrid/>
        <w:ind w:firstLine="0" w:firstLineChars="0"/>
        <w:jc w:val="center"/>
        <w:rPr>
          <w:color w:val="auto"/>
        </w:rPr>
      </w:pPr>
      <w:r>
        <w:rPr>
          <w:color w:val="auto"/>
        </w:rPr>
        <w:drawing>
          <wp:inline distT="0" distB="0" distL="114300" distR="114300">
            <wp:extent cx="4928870" cy="3071495"/>
            <wp:effectExtent l="0" t="0" r="5080" b="0"/>
            <wp:docPr id="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8"/>
                    <pic:cNvPicPr>
                      <a:picLocks noChangeAspect="1"/>
                    </pic:cNvPicPr>
                  </pic:nvPicPr>
                  <pic:blipFill>
                    <a:blip r:embed="rId58"/>
                    <a:stretch>
                      <a:fillRect/>
                    </a:stretch>
                  </pic:blipFill>
                  <pic:spPr>
                    <a:xfrm>
                      <a:off x="0" y="0"/>
                      <a:ext cx="4928870" cy="3071495"/>
                    </a:xfrm>
                    <a:prstGeom prst="rect">
                      <a:avLst/>
                    </a:prstGeom>
                    <a:noFill/>
                    <a:ln>
                      <a:noFill/>
                    </a:ln>
                  </pic:spPr>
                </pic:pic>
              </a:graphicData>
            </a:graphic>
          </wp:inline>
        </w:drawing>
      </w:r>
    </w:p>
    <w:p w14:paraId="6F7F95FA">
      <w:pPr>
        <w:pStyle w:val="19"/>
        <w:numPr>
          <w:ilvl w:val="0"/>
          <w:numId w:val="0"/>
        </w:numPr>
        <w:tabs>
          <w:tab w:val="clear" w:pos="0"/>
        </w:tabs>
        <w:bidi w:val="0"/>
        <w:ind w:leftChars="0"/>
        <w:jc w:val="center"/>
        <w:rPr>
          <w:color w:val="auto"/>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2.3</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1</w:t>
      </w:r>
      <w:r>
        <w:rPr>
          <w:color w:val="auto"/>
        </w:rPr>
        <w:fldChar w:fldCharType="end"/>
      </w:r>
      <w:r>
        <w:rPr>
          <w:color w:val="auto"/>
        </w:rPr>
        <w:t xml:space="preserve"> 施工期工艺流程及产污分析图</w:t>
      </w:r>
    </w:p>
    <w:p w14:paraId="373721E8">
      <w:pPr>
        <w:pageBreakBefore w:val="0"/>
        <w:wordWrap/>
        <w:bidi w:val="0"/>
        <w:adjustRightInd/>
        <w:snapToGrid/>
        <w:ind w:firstLine="482"/>
        <w:rPr>
          <w:rFonts w:hint="eastAsia"/>
          <w:b/>
          <w:bCs/>
          <w:color w:val="auto"/>
        </w:rPr>
      </w:pPr>
      <w:r>
        <w:rPr>
          <w:rFonts w:hint="eastAsia"/>
          <w:b/>
          <w:bCs/>
          <w:color w:val="auto"/>
          <w:lang w:val="en-US" w:eastAsia="zh-CN"/>
        </w:rPr>
        <w:t>1、</w:t>
      </w:r>
      <w:r>
        <w:rPr>
          <w:rFonts w:hint="eastAsia"/>
          <w:b/>
          <w:bCs/>
          <w:color w:val="auto"/>
        </w:rPr>
        <w:t>施工布置</w:t>
      </w:r>
    </w:p>
    <w:p w14:paraId="6B6987B8">
      <w:pPr>
        <w:bidi w:val="0"/>
        <w:rPr>
          <w:rFonts w:hint="eastAsia"/>
          <w:b/>
          <w:bCs/>
          <w:color w:val="auto"/>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rFonts w:hint="eastAsia"/>
          <w:b/>
          <w:bCs/>
          <w:color w:val="auto"/>
        </w:rPr>
        <w:t>施工场地</w:t>
      </w:r>
    </w:p>
    <w:p w14:paraId="13706BDE">
      <w:pPr>
        <w:bidi w:val="0"/>
        <w:rPr>
          <w:rFonts w:hint="eastAsia"/>
          <w:color w:val="auto"/>
        </w:rPr>
      </w:pPr>
      <w:r>
        <w:rPr>
          <w:rFonts w:hint="eastAsia"/>
          <w:color w:val="auto"/>
        </w:rPr>
        <w:t>本项目施工时先进行场地平整，这个过程由机械来完成，基本无需人工，机械可以直接停放在施工场地内；后期建构筑物施工时，项目部布设在厂区</w:t>
      </w:r>
      <w:r>
        <w:rPr>
          <w:rFonts w:hint="eastAsia"/>
          <w:color w:val="auto"/>
          <w:lang w:val="en-US" w:eastAsia="zh-CN"/>
        </w:rPr>
        <w:t>南</w:t>
      </w:r>
      <w:r>
        <w:rPr>
          <w:rFonts w:hint="eastAsia"/>
          <w:color w:val="auto"/>
        </w:rPr>
        <w:t>侧；材料及机械堆放场地布设厂区</w:t>
      </w:r>
      <w:r>
        <w:rPr>
          <w:rFonts w:hint="eastAsia"/>
          <w:color w:val="auto"/>
          <w:lang w:val="en-US" w:eastAsia="zh-CN"/>
        </w:rPr>
        <w:t>南</w:t>
      </w:r>
      <w:r>
        <w:rPr>
          <w:rFonts w:hint="eastAsia"/>
          <w:color w:val="auto"/>
        </w:rPr>
        <w:t>侧道路广场区域，工程施工时不布设现场</w:t>
      </w:r>
      <w:r>
        <w:rPr>
          <w:rFonts w:hint="eastAsia"/>
          <w:color w:val="auto"/>
          <w:lang w:eastAsia="zh-CN"/>
        </w:rPr>
        <w:t>拌和</w:t>
      </w:r>
      <w:r>
        <w:rPr>
          <w:rFonts w:hint="eastAsia"/>
          <w:color w:val="auto"/>
        </w:rPr>
        <w:t>站，直接购买商品砼。施工场地设置在厂区的绿化以及道路等区域，既方便材料堆放，又不影响工程施工。</w:t>
      </w:r>
    </w:p>
    <w:p w14:paraId="16366BC7">
      <w:pPr>
        <w:bidi w:val="0"/>
        <w:rPr>
          <w:rFonts w:hint="eastAsia"/>
          <w:b/>
          <w:bCs/>
          <w:color w:val="auto"/>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rFonts w:hint="eastAsia"/>
          <w:b/>
          <w:bCs/>
          <w:color w:val="auto"/>
        </w:rPr>
        <w:t>施工道路</w:t>
      </w:r>
    </w:p>
    <w:p w14:paraId="3D277279">
      <w:pPr>
        <w:bidi w:val="0"/>
        <w:rPr>
          <w:rFonts w:hint="eastAsia"/>
          <w:color w:val="auto"/>
        </w:rPr>
      </w:pPr>
      <w:r>
        <w:rPr>
          <w:rFonts w:hint="eastAsia"/>
          <w:color w:val="auto"/>
        </w:rPr>
        <w:t>根据现场踏勘及工程可研报告，本项目</w:t>
      </w:r>
      <w:r>
        <w:rPr>
          <w:rFonts w:hint="eastAsia"/>
          <w:color w:val="auto"/>
          <w:lang w:eastAsia="zh-CN"/>
        </w:rPr>
        <w:t>污水处理厂</w:t>
      </w:r>
      <w:r>
        <w:rPr>
          <w:rFonts w:hint="eastAsia"/>
          <w:color w:val="auto"/>
        </w:rPr>
        <w:t>周边，交通十分便利。管道敷设段，采用人工开挖回填方式，因此工程施工过程中不新增设施工便道，材料的运输利用现有道路。</w:t>
      </w:r>
    </w:p>
    <w:p w14:paraId="1190CA7A">
      <w:pPr>
        <w:bidi w:val="0"/>
        <w:rPr>
          <w:rFonts w:hint="eastAsia"/>
          <w:b/>
          <w:bCs/>
          <w:color w:val="auto"/>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rFonts w:hint="eastAsia"/>
          <w:b/>
          <w:bCs/>
          <w:color w:val="auto"/>
        </w:rPr>
        <w:t>表土临时堆放</w:t>
      </w:r>
    </w:p>
    <w:p w14:paraId="16ACDB48">
      <w:pPr>
        <w:bidi w:val="0"/>
        <w:rPr>
          <w:rFonts w:hint="eastAsia"/>
          <w:color w:val="auto"/>
        </w:rPr>
      </w:pPr>
      <w:r>
        <w:rPr>
          <w:rFonts w:hint="eastAsia"/>
          <w:color w:val="auto"/>
        </w:rPr>
        <w:t>根据污水处理厂施工时序，施工时先进行表土剥离，再进行场平工程，然后进行主体建设。根据现场情况以及工程平面布置，表土堆场布设在污水处理厂厂区北侧空地，不需要新增占地。</w:t>
      </w:r>
    </w:p>
    <w:p w14:paraId="0038620E">
      <w:pPr>
        <w:bidi w:val="0"/>
        <w:rPr>
          <w:rFonts w:hint="eastAsia"/>
          <w:b/>
          <w:bCs/>
          <w:color w:val="auto"/>
        </w:rPr>
      </w:pPr>
      <w:r>
        <w:rPr>
          <w:rFonts w:hint="eastAsia"/>
          <w:b/>
          <w:bCs/>
          <w:color w:val="auto"/>
          <w:lang w:val="en-US" w:eastAsia="zh-CN"/>
        </w:rPr>
        <w:t>2、</w:t>
      </w:r>
      <w:r>
        <w:rPr>
          <w:rFonts w:hint="eastAsia"/>
          <w:b/>
          <w:bCs/>
          <w:color w:val="auto"/>
        </w:rPr>
        <w:t>污水处理厂工程施工工艺和方法</w:t>
      </w:r>
    </w:p>
    <w:p w14:paraId="66F23377">
      <w:pPr>
        <w:bidi w:val="0"/>
        <w:rPr>
          <w:rFonts w:hint="eastAsia"/>
          <w:b/>
          <w:bCs/>
          <w:color w:val="auto"/>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rFonts w:hint="eastAsia"/>
          <w:b/>
          <w:bCs/>
          <w:color w:val="auto"/>
        </w:rPr>
        <w:t>施工时序和方法</w:t>
      </w:r>
    </w:p>
    <w:p w14:paraId="61DB2840">
      <w:pPr>
        <w:bidi w:val="0"/>
        <w:rPr>
          <w:rFonts w:hint="eastAsia"/>
          <w:color w:val="auto"/>
        </w:rPr>
      </w:pPr>
      <w:r>
        <w:rPr>
          <w:rFonts w:hint="eastAsia"/>
          <w:color w:val="auto"/>
        </w:rPr>
        <w:t>本项目污水处理厂施工采用以机械开挖为主，人工开挖为辅的施工方法。施工工序为：施工准备→表土剥离→场地平整→测量放线→基础开挖→建构筑物修筑→场地平整→厂区绿化→道路硬化。基础土方开挖主要采取挖掘机开挖，并辅以人工的方式进行开挖。建构筑物采用人工砌筑。</w:t>
      </w:r>
    </w:p>
    <w:p w14:paraId="4A7AD2F3">
      <w:pPr>
        <w:bidi w:val="0"/>
        <w:rPr>
          <w:rFonts w:hint="eastAsia"/>
          <w:b/>
          <w:bCs/>
          <w:color w:val="auto"/>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rFonts w:hint="eastAsia"/>
          <w:b/>
          <w:bCs/>
          <w:color w:val="auto"/>
        </w:rPr>
        <w:t>场地平整</w:t>
      </w:r>
    </w:p>
    <w:p w14:paraId="7AEE3094">
      <w:pPr>
        <w:bidi w:val="0"/>
        <w:rPr>
          <w:rFonts w:hint="eastAsia"/>
          <w:color w:val="auto"/>
        </w:rPr>
      </w:pPr>
      <w:r>
        <w:rPr>
          <w:rFonts w:hint="eastAsia"/>
          <w:color w:val="auto"/>
        </w:rPr>
        <w:t>本项目场平主要为污水处理厂区的场地平整，土石方工程为剥离表土和厂区内的挖填方。进行厂区回填时，土石方由下往上分层回填，用碾压机压实。填土前，应将基土上的洞穴或基底表面上的树根、垃圾等杂物都处理完毕，清除干净。</w:t>
      </w:r>
    </w:p>
    <w:p w14:paraId="4522118D">
      <w:pPr>
        <w:bidi w:val="0"/>
        <w:rPr>
          <w:rFonts w:hint="eastAsia"/>
          <w:b/>
          <w:bCs/>
          <w:color w:val="auto"/>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rFonts w:hint="eastAsia"/>
          <w:b/>
          <w:bCs/>
          <w:color w:val="auto"/>
        </w:rPr>
        <w:t>污水处理厂挡墙以及厂区排水工程</w:t>
      </w:r>
    </w:p>
    <w:p w14:paraId="3D1B9F2D">
      <w:pPr>
        <w:bidi w:val="0"/>
        <w:rPr>
          <w:rFonts w:hint="eastAsia"/>
          <w:color w:val="auto"/>
        </w:rPr>
      </w:pPr>
      <w:r>
        <w:rPr>
          <w:rFonts w:hint="eastAsia"/>
          <w:color w:val="auto"/>
        </w:rPr>
        <w:t>本项目厂区四周设计有挡土墙，挡土墙修建按照先拦后填的原则，施工时序为：测量放样——基坑开挖——墙体砌筑——墙后回填。</w:t>
      </w:r>
    </w:p>
    <w:p w14:paraId="56DA1F86">
      <w:pPr>
        <w:bidi w:val="0"/>
        <w:rPr>
          <w:rFonts w:hint="eastAsia"/>
          <w:color w:val="auto"/>
        </w:rPr>
      </w:pPr>
      <w:r>
        <w:rPr>
          <w:rFonts w:hint="eastAsia"/>
          <w:color w:val="auto"/>
        </w:rPr>
        <w:t>A</w:t>
      </w:r>
      <w:r>
        <w:rPr>
          <w:rFonts w:hint="eastAsia"/>
          <w:color w:val="auto"/>
          <w:lang w:eastAsia="zh-CN"/>
        </w:rPr>
        <w:t>.</w:t>
      </w:r>
      <w:r>
        <w:rPr>
          <w:rFonts w:hint="eastAsia"/>
          <w:color w:val="auto"/>
        </w:rPr>
        <w:t>基坑开挖：采用机械为主、人工为辅的方法进行开挖，先用机械开挖设计高程之上30cm左右，之后用人工挖至设计标高。</w:t>
      </w:r>
      <w:r>
        <w:rPr>
          <w:rFonts w:hint="eastAsia"/>
          <w:color w:val="auto"/>
          <w:lang w:eastAsia="zh-CN"/>
        </w:rPr>
        <w:t>基坑开挖</w:t>
      </w:r>
      <w:r>
        <w:rPr>
          <w:rFonts w:hint="eastAsia"/>
          <w:color w:val="auto"/>
        </w:rPr>
        <w:t>土方直接用作场地平整，严禁乱填乱倒。</w:t>
      </w:r>
    </w:p>
    <w:p w14:paraId="071D7AE2">
      <w:pPr>
        <w:bidi w:val="0"/>
        <w:rPr>
          <w:rFonts w:hint="eastAsia"/>
          <w:color w:val="auto"/>
        </w:rPr>
      </w:pPr>
      <w:r>
        <w:rPr>
          <w:rFonts w:hint="eastAsia"/>
          <w:color w:val="auto"/>
        </w:rPr>
        <w:t>B</w:t>
      </w:r>
      <w:r>
        <w:rPr>
          <w:rFonts w:hint="eastAsia"/>
          <w:color w:val="auto"/>
          <w:lang w:eastAsia="zh-CN"/>
        </w:rPr>
        <w:t>.</w:t>
      </w:r>
      <w:r>
        <w:rPr>
          <w:rFonts w:hint="eastAsia"/>
          <w:color w:val="auto"/>
        </w:rPr>
        <w:t>墙体砌筑：挡墙墙体采用人工进行砌筑。砌筑过程为人工选石、砌筑</w:t>
      </w:r>
      <w:r>
        <w:rPr>
          <w:rFonts w:hint="eastAsia"/>
          <w:color w:val="auto"/>
          <w:lang w:eastAsia="zh-CN"/>
        </w:rPr>
        <w:t>。</w:t>
      </w:r>
      <w:r>
        <w:rPr>
          <w:rFonts w:hint="eastAsia"/>
          <w:color w:val="auto"/>
        </w:rPr>
        <w:t>砌筑至设计高度后，采用混凝土进行压顶。</w:t>
      </w:r>
    </w:p>
    <w:p w14:paraId="71CCE2ED">
      <w:pPr>
        <w:bidi w:val="0"/>
        <w:rPr>
          <w:rFonts w:hint="eastAsia"/>
          <w:color w:val="auto"/>
        </w:rPr>
      </w:pPr>
      <w:r>
        <w:rPr>
          <w:rFonts w:hint="eastAsia"/>
          <w:color w:val="auto"/>
        </w:rPr>
        <w:t>C</w:t>
      </w:r>
      <w:r>
        <w:rPr>
          <w:rFonts w:hint="eastAsia"/>
          <w:color w:val="auto"/>
          <w:lang w:eastAsia="zh-CN"/>
        </w:rPr>
        <w:t>.</w:t>
      </w:r>
      <w:r>
        <w:rPr>
          <w:rFonts w:hint="eastAsia"/>
          <w:color w:val="auto"/>
        </w:rPr>
        <w:t>墙后回填：挡土墙墙后回填结合污水处理厂场平一起进行回填，采用机械施工，分层碾压回填。需要注意对挡土墙的保护。</w:t>
      </w:r>
    </w:p>
    <w:p w14:paraId="7AD67C8A">
      <w:pPr>
        <w:bidi w:val="0"/>
        <w:rPr>
          <w:rFonts w:hint="eastAsia"/>
          <w:color w:val="auto"/>
        </w:rPr>
      </w:pPr>
      <w:r>
        <w:rPr>
          <w:rFonts w:hint="eastAsia"/>
          <w:color w:val="auto"/>
        </w:rPr>
        <w:t>厂区排水工程主要包括地下排水管以及地表排水沟。地下排水管结合其所在的建构筑物以及道路进行修建。地面排水沟分布在建筑物周围，采用人工开挖及修筑。</w:t>
      </w:r>
    </w:p>
    <w:p w14:paraId="4C531774">
      <w:pPr>
        <w:bidi w:val="0"/>
        <w:rPr>
          <w:rFonts w:hint="eastAsia"/>
          <w:b/>
          <w:bCs/>
          <w:color w:val="auto"/>
        </w:rPr>
      </w:pPr>
      <w:r>
        <w:rPr>
          <w:rFonts w:hint="eastAsia"/>
          <w:b/>
          <w:bCs/>
          <w:color w:val="auto"/>
          <w:lang w:eastAsia="zh-CN"/>
        </w:rPr>
        <w:t>（</w:t>
      </w:r>
      <w:r>
        <w:rPr>
          <w:rFonts w:hint="eastAsia"/>
          <w:b/>
          <w:bCs/>
          <w:color w:val="auto"/>
          <w:lang w:val="en-US" w:eastAsia="zh-CN"/>
        </w:rPr>
        <w:t>4</w:t>
      </w:r>
      <w:r>
        <w:rPr>
          <w:rFonts w:hint="eastAsia"/>
          <w:b/>
          <w:bCs/>
          <w:color w:val="auto"/>
          <w:lang w:eastAsia="zh-CN"/>
        </w:rPr>
        <w:t>）</w:t>
      </w:r>
      <w:r>
        <w:rPr>
          <w:rFonts w:hint="eastAsia"/>
          <w:b/>
          <w:bCs/>
          <w:color w:val="auto"/>
        </w:rPr>
        <w:t>道路工程</w:t>
      </w:r>
    </w:p>
    <w:p w14:paraId="6B6919A0">
      <w:pPr>
        <w:bidi w:val="0"/>
        <w:rPr>
          <w:rFonts w:hint="eastAsia"/>
          <w:color w:val="auto"/>
        </w:rPr>
      </w:pPr>
      <w:r>
        <w:rPr>
          <w:rFonts w:hint="eastAsia"/>
          <w:color w:val="auto"/>
        </w:rPr>
        <w:t>本工程地质无不良地质条件，在修筑道路时采用推土机、平地机、光轮压路机、振动压路机等机械，再辅以人工联合作业方案进行。道路按设计要求铺筑砼。</w:t>
      </w:r>
    </w:p>
    <w:p w14:paraId="34407AFE">
      <w:pPr>
        <w:pStyle w:val="10"/>
        <w:bidi w:val="0"/>
        <w:rPr>
          <w:rFonts w:hint="eastAsia"/>
          <w:color w:val="auto"/>
        </w:rPr>
      </w:pPr>
      <w:r>
        <w:rPr>
          <w:rFonts w:hint="eastAsia"/>
          <w:color w:val="auto"/>
        </w:rPr>
        <w:t>污水管网工程</w:t>
      </w:r>
    </w:p>
    <w:p w14:paraId="1F9DEF42">
      <w:pPr>
        <w:bidi w:val="0"/>
        <w:rPr>
          <w:rFonts w:hint="eastAsia"/>
          <w:color w:val="auto"/>
        </w:rPr>
      </w:pPr>
      <w:r>
        <w:rPr>
          <w:rFonts w:hint="eastAsia"/>
          <w:color w:val="auto"/>
        </w:rPr>
        <w:t>根据</w:t>
      </w:r>
      <w:r>
        <w:rPr>
          <w:rFonts w:hint="eastAsia"/>
          <w:color w:val="auto"/>
          <w:lang w:val="en-US" w:eastAsia="zh-CN"/>
        </w:rPr>
        <w:t>项目初步设计说明书，本项目拟建设总长约550m的尾水排放管，管径DN600mm，尾水排入巴河。</w:t>
      </w:r>
    </w:p>
    <w:p w14:paraId="3BED8223">
      <w:pPr>
        <w:bidi w:val="0"/>
        <w:rPr>
          <w:rFonts w:hint="default"/>
          <w:b/>
          <w:bCs/>
          <w:color w:val="auto"/>
          <w:lang w:val="en-US" w:eastAsia="zh-CN"/>
        </w:rPr>
      </w:pPr>
      <w:r>
        <w:rPr>
          <w:rFonts w:hint="eastAsia"/>
          <w:b/>
          <w:bCs/>
          <w:color w:val="auto"/>
          <w:lang w:val="en-US" w:eastAsia="zh-CN"/>
        </w:rPr>
        <w:t>1、</w:t>
      </w:r>
      <w:r>
        <w:rPr>
          <w:rFonts w:hint="default"/>
          <w:b/>
          <w:bCs/>
          <w:color w:val="auto"/>
          <w:lang w:val="en-US" w:eastAsia="zh-CN"/>
        </w:rPr>
        <w:t>管网铺设流程</w:t>
      </w:r>
    </w:p>
    <w:p w14:paraId="7D6E2A5E">
      <w:pPr>
        <w:bidi w:val="0"/>
        <w:rPr>
          <w:rFonts w:hint="default"/>
          <w:color w:val="auto"/>
          <w:lang w:val="en-US" w:eastAsia="zh-CN"/>
        </w:rPr>
      </w:pPr>
      <w:r>
        <w:rPr>
          <w:rFonts w:hint="default"/>
          <w:color w:val="auto"/>
          <w:lang w:val="en-US" w:eastAsia="zh-CN"/>
        </w:rPr>
        <w:t>本项目施工期对环境造成的不利影响，表现为工程开挖对当地植被等生态环境的影响，以及由施工期车辆行驶噪声、汽车尾气和施工期噪声、施工产生的路面扬尘、工程现场形成的对沿线环境景观破坏的影响。施工期主要污染物产物位置分析如下图。</w:t>
      </w:r>
    </w:p>
    <w:p w14:paraId="66C30E57">
      <w:pPr>
        <w:adjustRightInd w:val="0"/>
        <w:snapToGrid w:val="0"/>
        <w:ind w:left="0" w:leftChars="0" w:firstLine="0" w:firstLineChars="0"/>
        <w:jc w:val="center"/>
        <w:rPr>
          <w:color w:val="auto"/>
        </w:rPr>
      </w:pPr>
      <w:r>
        <w:rPr>
          <w:rFonts w:hint="default" w:ascii="Times New Roman" w:hAnsi="Times New Roman" w:eastAsia="宋体" w:cs="Times New Roman"/>
          <w:color w:val="auto"/>
          <w:lang w:val="en-US" w:eastAsia="zh-CN"/>
        </w:rPr>
        <w:drawing>
          <wp:inline distT="0" distB="0" distL="114300" distR="114300">
            <wp:extent cx="5061585" cy="1868170"/>
            <wp:effectExtent l="0" t="0" r="5715" b="17780"/>
            <wp:docPr id="94" name="图片 10" descr="16339219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0" descr="1633921941(1)"/>
                    <pic:cNvPicPr>
                      <a:picLocks noChangeAspect="1"/>
                    </pic:cNvPicPr>
                  </pic:nvPicPr>
                  <pic:blipFill>
                    <a:blip r:embed="rId59"/>
                    <a:stretch>
                      <a:fillRect/>
                    </a:stretch>
                  </pic:blipFill>
                  <pic:spPr>
                    <a:xfrm>
                      <a:off x="0" y="0"/>
                      <a:ext cx="5061585" cy="1868170"/>
                    </a:xfrm>
                    <a:prstGeom prst="rect">
                      <a:avLst/>
                    </a:prstGeom>
                    <a:noFill/>
                    <a:ln>
                      <a:noFill/>
                    </a:ln>
                  </pic:spPr>
                </pic:pic>
              </a:graphicData>
            </a:graphic>
          </wp:inline>
        </w:drawing>
      </w:r>
    </w:p>
    <w:p w14:paraId="03F5DA44">
      <w:pPr>
        <w:pStyle w:val="19"/>
        <w:numPr>
          <w:ilvl w:val="0"/>
          <w:numId w:val="0"/>
        </w:numPr>
        <w:tabs>
          <w:tab w:val="clear" w:pos="0"/>
        </w:tabs>
        <w:bidi w:val="0"/>
        <w:ind w:leftChars="0"/>
        <w:jc w:val="center"/>
        <w:rPr>
          <w:color w:val="auto"/>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2.3</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2</w:t>
      </w:r>
      <w:r>
        <w:rPr>
          <w:color w:val="auto"/>
        </w:rPr>
        <w:fldChar w:fldCharType="end"/>
      </w:r>
      <w:r>
        <w:rPr>
          <w:rFonts w:hint="eastAsia"/>
          <w:color w:val="auto"/>
        </w:rPr>
        <w:t xml:space="preserve"> </w:t>
      </w:r>
      <w:r>
        <w:rPr>
          <w:color w:val="auto"/>
        </w:rPr>
        <w:t>管道施工期工艺流程及产污环节图</w:t>
      </w:r>
    </w:p>
    <w:p w14:paraId="6BB53F9E">
      <w:pPr>
        <w:bidi w:val="0"/>
        <w:rPr>
          <w:rFonts w:hint="default"/>
          <w:b/>
          <w:bCs/>
          <w:color w:val="auto"/>
          <w:lang w:val="en-US" w:eastAsia="zh-CN"/>
        </w:rPr>
      </w:pPr>
      <w:r>
        <w:rPr>
          <w:rFonts w:hint="eastAsia"/>
          <w:b/>
          <w:bCs/>
          <w:color w:val="auto"/>
          <w:lang w:val="en-US" w:eastAsia="zh-CN"/>
        </w:rPr>
        <w:t>（1）</w:t>
      </w:r>
      <w:r>
        <w:rPr>
          <w:rFonts w:hint="default"/>
          <w:b/>
          <w:bCs/>
          <w:color w:val="auto"/>
          <w:lang w:val="en-US" w:eastAsia="zh-CN"/>
        </w:rPr>
        <w:t>管道敷设与施工方案简述</w:t>
      </w:r>
    </w:p>
    <w:p w14:paraId="03928BE2">
      <w:pPr>
        <w:keepNext w:val="0"/>
        <w:keepLines w:val="0"/>
        <w:pageBreakBefore w:val="0"/>
        <w:widowControl w:val="0"/>
        <w:numPr>
          <w:ilvl w:val="0"/>
          <w:numId w:val="0"/>
        </w:numPr>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①</w:t>
      </w:r>
      <w:r>
        <w:rPr>
          <w:rFonts w:hint="eastAsia" w:ascii="Times New Roman" w:hAnsi="Times New Roman" w:eastAsia="宋体" w:cs="Times New Roman"/>
          <w:b/>
          <w:bCs/>
          <w:color w:val="auto"/>
          <w:lang w:val="en-US" w:eastAsia="zh-CN"/>
        </w:rPr>
        <w:t>放线</w:t>
      </w:r>
    </w:p>
    <w:p w14:paraId="1331E45D">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val="0"/>
          <w:bCs w:val="0"/>
          <w:color w:val="auto"/>
          <w:lang w:val="en-US" w:eastAsia="zh-CN"/>
        </w:rPr>
        <w:t>管沟开挖前测量放线，测量人员根据甲方提供的现场标准水准点和轴线控制点，根据管沟开挖先后顺序进行测量放线。管沟开挖前，应预先了解地下障碍物及管线的分布情况，以免施工时遭到破坏，现场查明附近地下所有管线的基本分布、走向及埋深。</w:t>
      </w:r>
    </w:p>
    <w:p w14:paraId="7C07EBDC">
      <w:pPr>
        <w:keepNext w:val="0"/>
        <w:keepLines w:val="0"/>
        <w:pageBreakBefore w:val="0"/>
        <w:widowControl w:val="0"/>
        <w:numPr>
          <w:ilvl w:val="0"/>
          <w:numId w:val="0"/>
        </w:numPr>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②沟管开挖</w:t>
      </w:r>
    </w:p>
    <w:p w14:paraId="0FF6D9EE">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A.</w:t>
      </w:r>
      <w:r>
        <w:rPr>
          <w:rFonts w:hint="default" w:ascii="Times New Roman" w:hAnsi="Times New Roman" w:eastAsia="宋体" w:cs="Times New Roman"/>
          <w:color w:val="auto"/>
          <w:lang w:val="en-US" w:eastAsia="zh-CN"/>
        </w:rPr>
        <w:t>本工程沟槽开挖施工，拟采用挖掘机进行开挖，人工配合清基平整。基坑开挖时按《槽底最小宽度表》开挖，并保持沟槽两侧土体稳定，以确保</w:t>
      </w:r>
      <w:r>
        <w:rPr>
          <w:rFonts w:hint="eastAsia" w:cs="Times New Roman"/>
          <w:color w:val="auto"/>
          <w:lang w:val="en-US" w:eastAsia="zh-CN"/>
        </w:rPr>
        <w:t>“</w:t>
      </w:r>
      <w:r>
        <w:rPr>
          <w:rFonts w:hint="default" w:ascii="Times New Roman" w:hAnsi="Times New Roman" w:eastAsia="宋体" w:cs="Times New Roman"/>
          <w:color w:val="auto"/>
          <w:lang w:val="en-US" w:eastAsia="zh-CN"/>
        </w:rPr>
        <w:t>管一土共同作用</w:t>
      </w:r>
      <w:r>
        <w:rPr>
          <w:rFonts w:hint="eastAsia" w:cs="Times New Roman"/>
          <w:color w:val="auto"/>
          <w:lang w:val="en-US" w:eastAsia="zh-CN"/>
        </w:rPr>
        <w:t>”</w:t>
      </w:r>
      <w:r>
        <w:rPr>
          <w:rFonts w:hint="default" w:ascii="Times New Roman" w:hAnsi="Times New Roman" w:eastAsia="宋体" w:cs="Times New Roman"/>
          <w:color w:val="auto"/>
          <w:lang w:val="en-US" w:eastAsia="zh-CN"/>
        </w:rPr>
        <w:t>；同时严格控制槽底高程，不超挖或扰动基面，开挖至槽底高以上大约0.2-0.3m时，即停挖，待下一工序开工时再用人工清理至设计标高。如果局部超挖或发生扰动，不回填泥土，并整平夯实。槽底如有坚硬物体立即清除，用砂石回填。</w:t>
      </w:r>
    </w:p>
    <w:p w14:paraId="3C5847B0">
      <w:pPr>
        <w:bidi w:val="0"/>
        <w:rPr>
          <w:rFonts w:hint="default" w:ascii="Times New Roman" w:hAnsi="Times New Roman" w:eastAsia="宋体" w:cs="Times New Roman"/>
          <w:color w:val="auto"/>
          <w:lang w:eastAsia="zh-CN"/>
        </w:rPr>
      </w:pPr>
      <w:r>
        <w:rPr>
          <w:rFonts w:hint="eastAsia" w:ascii="Times New Roman" w:hAnsi="Times New Roman" w:eastAsia="宋体" w:cs="Times New Roman"/>
          <w:color w:val="auto"/>
          <w:lang w:val="en-US" w:eastAsia="zh-CN"/>
        </w:rPr>
        <w:t>B.</w:t>
      </w:r>
      <w:r>
        <w:rPr>
          <w:rFonts w:hint="default" w:ascii="Times New Roman" w:hAnsi="Times New Roman" w:eastAsia="宋体" w:cs="Times New Roman"/>
          <w:color w:val="auto"/>
        </w:rPr>
        <w:t>管槽开挖过程中如遇坑底出现地下水及积水情况，立即将水抽出坑外，采用基坑内明沟排水</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明沟和集水井随着基坑的挖深而逐步加深。基坑挖至设计标高后，集水井的井壁加支护，积水深为1m左右，集水井底部用粗砂、细碎石、粗碎石</w:t>
      </w:r>
      <w:r>
        <w:rPr>
          <w:rFonts w:hint="eastAsia" w:cs="Times New Roman"/>
          <w:color w:val="auto"/>
          <w:lang w:eastAsia="zh-CN"/>
        </w:rPr>
        <w:t>做</w:t>
      </w:r>
      <w:r>
        <w:rPr>
          <w:rFonts w:hint="default" w:ascii="Times New Roman" w:hAnsi="Times New Roman" w:eastAsia="宋体" w:cs="Times New Roman"/>
          <w:color w:val="auto"/>
        </w:rPr>
        <w:t>反滤层，反滤层施工按规范做好，既防止集水井井壁坍塌，又避免泥沙堵塞管</w:t>
      </w:r>
      <w:r>
        <w:rPr>
          <w:rFonts w:hint="default" w:ascii="Times New Roman" w:hAnsi="Times New Roman" w:eastAsia="宋体" w:cs="Times New Roman"/>
          <w:color w:val="auto"/>
          <w:lang w:eastAsia="zh-CN"/>
        </w:rPr>
        <w:t>道。</w:t>
      </w:r>
    </w:p>
    <w:p w14:paraId="51F80C51">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C.</w:t>
      </w:r>
      <w:r>
        <w:rPr>
          <w:rFonts w:hint="default" w:ascii="Times New Roman" w:hAnsi="Times New Roman" w:eastAsia="宋体" w:cs="Times New Roman"/>
          <w:color w:val="auto"/>
          <w:lang w:val="en-US" w:eastAsia="zh-CN"/>
        </w:rPr>
        <w:t>开挖过程中产生的土石方临时堆放在管槽两侧，待后续回填，不设弃土场。</w:t>
      </w:r>
    </w:p>
    <w:p w14:paraId="774BB4CF">
      <w:pPr>
        <w:bidi w:val="0"/>
        <w:rPr>
          <w:rFonts w:hint="default" w:ascii="Times New Roman" w:hAnsi="Times New Roman" w:eastAsia="宋体" w:cs="Times New Roman"/>
          <w:color w:val="auto"/>
          <w:lang w:eastAsia="zh-CN"/>
        </w:rPr>
      </w:pPr>
      <w:r>
        <w:rPr>
          <w:rFonts w:hint="eastAsia" w:ascii="Times New Roman" w:hAnsi="Times New Roman" w:eastAsia="宋体" w:cs="Times New Roman"/>
          <w:color w:val="auto"/>
          <w:lang w:val="en-US" w:eastAsia="zh-CN"/>
        </w:rPr>
        <w:t>D.</w:t>
      </w:r>
      <w:r>
        <w:rPr>
          <w:rFonts w:hint="default" w:ascii="Times New Roman" w:hAnsi="Times New Roman" w:eastAsia="宋体" w:cs="Times New Roman"/>
          <w:color w:val="auto"/>
        </w:rPr>
        <w:t>施工连续进行尽快完成，以减少现场交通的阻碍，施工中防止地面水流入沟坑内造成塌方或基土的破坏。挖出的土方不在坑边堆放，远离基坑边线1.5m。另外挖出的土方不得覆盖、堵塞原地面排水沟或道路测量控制井位</w:t>
      </w:r>
      <w:r>
        <w:rPr>
          <w:rFonts w:hint="default" w:ascii="Times New Roman" w:hAnsi="Times New Roman" w:eastAsia="宋体" w:cs="Times New Roman"/>
          <w:color w:val="auto"/>
          <w:lang w:eastAsia="zh-CN"/>
        </w:rPr>
        <w:t>。</w:t>
      </w:r>
    </w:p>
    <w:p w14:paraId="604E5A53">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③管道连接安装</w:t>
      </w:r>
    </w:p>
    <w:p w14:paraId="093B496A">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在管道铺设前，对管材内外壁、承插口和橡胶圈进行验证，应清除管壁、承插口和密封圈上</w:t>
      </w:r>
      <w:r>
        <w:rPr>
          <w:rFonts w:hint="eastAsia" w:ascii="Times New Roman" w:hAnsi="Times New Roman" w:eastAsia="宋体" w:cs="Times New Roman"/>
          <w:color w:val="auto"/>
          <w:lang w:val="en-US" w:eastAsia="zh-CN"/>
        </w:rPr>
        <w:t>黏附</w:t>
      </w:r>
      <w:r>
        <w:rPr>
          <w:rFonts w:hint="default" w:ascii="Times New Roman" w:hAnsi="Times New Roman" w:eastAsia="宋体" w:cs="Times New Roman"/>
          <w:color w:val="auto"/>
          <w:lang w:val="en-US" w:eastAsia="zh-CN"/>
        </w:rPr>
        <w:t>的</w:t>
      </w:r>
      <w:r>
        <w:rPr>
          <w:rFonts w:hint="eastAsia" w:ascii="Times New Roman" w:hAnsi="Times New Roman" w:eastAsia="宋体" w:cs="Times New Roman"/>
          <w:color w:val="auto"/>
          <w:lang w:val="en-US" w:eastAsia="zh-CN"/>
        </w:rPr>
        <w:t>脏污和</w:t>
      </w:r>
      <w:r>
        <w:rPr>
          <w:rFonts w:hint="default" w:ascii="Times New Roman" w:hAnsi="Times New Roman" w:eastAsia="宋体" w:cs="Times New Roman"/>
          <w:color w:val="auto"/>
          <w:lang w:val="en-US" w:eastAsia="zh-CN"/>
        </w:rPr>
        <w:t>泥沙，发现有损伤的裂缝的管子不得使用。检验合格后，采用人工扒杆下管。为确保管道安全进行</w:t>
      </w:r>
      <w:r>
        <w:rPr>
          <w:rFonts w:hint="eastAsia" w:ascii="Times New Roman" w:hAnsi="Times New Roman" w:eastAsia="宋体" w:cs="Times New Roman"/>
          <w:color w:val="auto"/>
          <w:lang w:val="en-US" w:eastAsia="zh-CN"/>
        </w:rPr>
        <w:t>及</w:t>
      </w:r>
      <w:r>
        <w:rPr>
          <w:rFonts w:hint="default" w:ascii="Times New Roman" w:hAnsi="Times New Roman" w:eastAsia="宋体" w:cs="Times New Roman"/>
          <w:color w:val="auto"/>
          <w:lang w:val="en-US" w:eastAsia="zh-CN"/>
        </w:rPr>
        <w:t>使用寿命，</w:t>
      </w:r>
      <w:r>
        <w:rPr>
          <w:rFonts w:hint="default" w:ascii="Times New Roman" w:hAnsi="Times New Roman" w:eastAsia="宋体" w:cs="Times New Roman"/>
          <w:color w:val="auto"/>
          <w:lang w:eastAsia="zh-CN"/>
        </w:rPr>
        <w:t>钢管采用焊接方式拼装，</w:t>
      </w:r>
      <w:r>
        <w:rPr>
          <w:rFonts w:hint="default" w:ascii="Times New Roman" w:hAnsi="Times New Roman" w:eastAsia="宋体" w:cs="Times New Roman"/>
          <w:color w:val="auto"/>
          <w:lang w:val="en-US" w:eastAsia="zh-CN"/>
        </w:rPr>
        <w:t>管道需埋入地面以下不小于0.7m。</w:t>
      </w:r>
    </w:p>
    <w:p w14:paraId="08BE47A5">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④下管及铺管</w:t>
      </w:r>
    </w:p>
    <w:p w14:paraId="7481A70F">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下管：将管节从沟槽上运到沟槽下的过程。有人工和机械两种方法。</w:t>
      </w:r>
    </w:p>
    <w:p w14:paraId="55B6082E">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铺管：管道铺设过程为：管材放入沟槽-接口-部分回填-试压-全部回填。管材应平稳下沟，不得与沟壁或沟底激烈碰撞。</w:t>
      </w:r>
    </w:p>
    <w:p w14:paraId="38F42C56">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A.</w:t>
      </w:r>
      <w:r>
        <w:rPr>
          <w:rFonts w:hint="default" w:ascii="Times New Roman" w:hAnsi="Times New Roman" w:eastAsia="宋体" w:cs="Times New Roman"/>
          <w:color w:val="auto"/>
          <w:lang w:val="en-US" w:eastAsia="zh-CN"/>
        </w:rPr>
        <w:t>铺管宜由低向高处进行，铺设在平缓地面的承插口管道，承口一般朝来水方向，在斜坡地段，承口朝上坡。</w:t>
      </w:r>
    </w:p>
    <w:p w14:paraId="0DEE8B1B">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B.</w:t>
      </w:r>
      <w:r>
        <w:rPr>
          <w:rFonts w:hint="default" w:ascii="Times New Roman" w:hAnsi="Times New Roman" w:eastAsia="宋体" w:cs="Times New Roman"/>
          <w:color w:val="auto"/>
          <w:lang w:val="en-US" w:eastAsia="zh-CN"/>
        </w:rPr>
        <w:t>管道铺设或安装中断时，应用塞子临时堵塞管口，不得敞口搁置。</w:t>
      </w:r>
    </w:p>
    <w:p w14:paraId="407B963B">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C.</w:t>
      </w:r>
      <w:r>
        <w:rPr>
          <w:rFonts w:hint="default" w:ascii="Times New Roman" w:hAnsi="Times New Roman" w:eastAsia="宋体" w:cs="Times New Roman"/>
          <w:color w:val="auto"/>
          <w:lang w:val="en-US" w:eastAsia="zh-CN"/>
        </w:rPr>
        <w:t>管道在铺设过程中可有适当的弯曲，但幅度不能过大，弯曲半径不得小于管外径的300倍，并应浇筑固定管道弧度的混凝土或砖砌固定支墩。</w:t>
      </w:r>
    </w:p>
    <w:p w14:paraId="0AC8D8B1">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⑤焊接和探伤</w:t>
      </w:r>
    </w:p>
    <w:p w14:paraId="72E6F3C7">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A.</w:t>
      </w:r>
      <w:r>
        <w:rPr>
          <w:rFonts w:hint="default" w:ascii="Times New Roman" w:hAnsi="Times New Roman" w:eastAsia="宋体" w:cs="Times New Roman"/>
          <w:color w:val="auto"/>
          <w:lang w:val="en-US" w:eastAsia="zh-CN"/>
        </w:rPr>
        <w:t>焊接</w:t>
      </w:r>
    </w:p>
    <w:p w14:paraId="789D0ABF">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管道环向焊缝的焊接采用手工焊或半自动焊，为保证焊接质量，管道焊接采用下向焊焊接工艺，管道对口采用外对口器，根焊完成50%以上才可拆除，并且所完成的根焊均匀分布在整个圆周上。根焊完成后并尽快进行热焊。每层焊道焊完后，应认真清渣和打磨</w:t>
      </w:r>
      <w:r>
        <w:rPr>
          <w:rFonts w:hint="eastAsia" w:cs="Times New Roman"/>
          <w:color w:val="auto"/>
          <w:lang w:val="en-US" w:eastAsia="zh-CN"/>
        </w:rPr>
        <w:t>凸起</w:t>
      </w:r>
      <w:r>
        <w:rPr>
          <w:rFonts w:hint="default" w:ascii="Times New Roman" w:hAnsi="Times New Roman" w:eastAsia="宋体" w:cs="Times New Roman"/>
          <w:color w:val="auto"/>
          <w:lang w:val="en-US" w:eastAsia="zh-CN"/>
        </w:rPr>
        <w:t>部分以及表层缺陷，外观检查合格后进行下一层焊道焊接。根据现场的地形，采用沟上或沟下组装焊接。为保证焊接质量，现场的焊接应严格按现行标准《钢质管道焊接及验收》（GB/T31032-20</w:t>
      </w:r>
      <w:r>
        <w:rPr>
          <w:rFonts w:hint="eastAsia" w:cs="Times New Roman"/>
          <w:color w:val="auto"/>
          <w:lang w:val="en-US" w:eastAsia="zh-CN"/>
        </w:rPr>
        <w:t>23</w:t>
      </w:r>
      <w:r>
        <w:rPr>
          <w:rFonts w:hint="default" w:ascii="Times New Roman" w:hAnsi="Times New Roman" w:eastAsia="宋体" w:cs="Times New Roman"/>
          <w:color w:val="auto"/>
          <w:lang w:val="en-US" w:eastAsia="zh-CN"/>
        </w:rPr>
        <w:t>）执行。</w:t>
      </w:r>
    </w:p>
    <w:p w14:paraId="27CFBCEE">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B.</w:t>
      </w:r>
      <w:r>
        <w:rPr>
          <w:rFonts w:hint="default" w:ascii="Times New Roman" w:hAnsi="Times New Roman" w:eastAsia="宋体" w:cs="Times New Roman"/>
          <w:color w:val="auto"/>
          <w:lang w:val="en-US" w:eastAsia="zh-CN"/>
        </w:rPr>
        <w:t>焊口检查</w:t>
      </w:r>
    </w:p>
    <w:p w14:paraId="50B18AB4">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管道焊缝质量在外观检查合格后需进行无损探伤检查。本线路管道采用超声波和×射线探伤对焊口进行检查，探伤作业聘请专门机构进行。</w:t>
      </w:r>
    </w:p>
    <w:p w14:paraId="57E1D511">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eastAsia="zh-CN"/>
        </w:rPr>
        <w:t>⑥</w:t>
      </w:r>
      <w:r>
        <w:rPr>
          <w:rFonts w:hint="default" w:ascii="Times New Roman" w:hAnsi="Times New Roman" w:eastAsia="宋体" w:cs="Times New Roman"/>
          <w:b/>
          <w:bCs/>
          <w:color w:val="auto"/>
          <w:lang w:val="en-US" w:eastAsia="zh-CN"/>
        </w:rPr>
        <w:t>管道防腐</w:t>
      </w:r>
    </w:p>
    <w:p w14:paraId="5C54F839">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钢管内防腐采用防腐漆。本工程使用管道为经防腐处理的预制管道，施工现场仅对补口等进行防腐处理，不设置临时的防腐层施工场地。</w:t>
      </w:r>
    </w:p>
    <w:p w14:paraId="63EFB937">
      <w:pPr>
        <w:bidi w:val="0"/>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eastAsia="zh-CN"/>
        </w:rPr>
        <w:t>⑦管道试压</w:t>
      </w:r>
    </w:p>
    <w:p w14:paraId="3692C42E">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管道安装完毕后应进行水压试验，试压前应做好堵板、后背、加压设备和进、排水管路等准备工作。水压升至试验压力后恒压10min</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管身、接口无破损及漏水现象为合格，管道严密性试验其最大渗水量应符合《给水排水管道工程施工验收规范</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GB50268-</w:t>
      </w:r>
      <w:r>
        <w:rPr>
          <w:rFonts w:hint="default" w:ascii="Times New Roman" w:hAnsi="Times New Roman" w:eastAsia="宋体" w:cs="Times New Roman"/>
          <w:color w:val="auto"/>
          <w:lang w:val="en-US" w:eastAsia="zh-CN"/>
        </w:rPr>
        <w:t>2008</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》有关要求。给水管道试压合格后，应进行管内清扫和分段冲洗消毒，直至水质管理部门取样化验后交付使用。</w:t>
      </w:r>
    </w:p>
    <w:p w14:paraId="4729B556">
      <w:pPr>
        <w:bidi w:val="0"/>
        <w:rPr>
          <w:rFonts w:hint="default" w:ascii="Times New Roman" w:hAnsi="Times New Roman" w:eastAsia="宋体" w:cs="Times New Roman"/>
          <w:b/>
          <w:bCs/>
          <w:color w:val="auto"/>
          <w:lang w:eastAsia="zh-CN"/>
        </w:rPr>
      </w:pPr>
      <w:r>
        <w:rPr>
          <w:rFonts w:hint="eastAsia" w:ascii="宋体" w:hAnsi="宋体" w:eastAsia="宋体" w:cs="宋体"/>
          <w:b/>
          <w:bCs/>
          <w:color w:val="auto"/>
          <w:lang w:val="en-US" w:eastAsia="zh-CN"/>
        </w:rPr>
        <w:t>⑧</w:t>
      </w:r>
      <w:r>
        <w:rPr>
          <w:rFonts w:hint="default" w:ascii="Times New Roman" w:hAnsi="Times New Roman" w:eastAsia="宋体" w:cs="Times New Roman"/>
          <w:b/>
          <w:bCs/>
          <w:color w:val="auto"/>
          <w:lang w:eastAsia="zh-CN"/>
        </w:rPr>
        <w:t>管道的</w:t>
      </w:r>
      <w:r>
        <w:rPr>
          <w:rFonts w:hint="default" w:ascii="Times New Roman" w:hAnsi="Times New Roman" w:eastAsia="宋体" w:cs="Times New Roman"/>
          <w:b/>
          <w:bCs/>
          <w:color w:val="auto"/>
          <w:lang w:val="en-US" w:eastAsia="zh-CN"/>
        </w:rPr>
        <w:t>沟槽</w:t>
      </w:r>
      <w:r>
        <w:rPr>
          <w:rFonts w:hint="default" w:ascii="Times New Roman" w:hAnsi="Times New Roman" w:eastAsia="宋体" w:cs="Times New Roman"/>
          <w:b/>
          <w:bCs/>
          <w:color w:val="auto"/>
          <w:lang w:eastAsia="zh-CN"/>
        </w:rPr>
        <w:t>回填</w:t>
      </w:r>
    </w:p>
    <w:p w14:paraId="2C3F2CF9">
      <w:pPr>
        <w:bidi w:val="0"/>
        <w:rPr>
          <w:rFonts w:hint="default"/>
          <w:color w:val="auto"/>
        </w:rPr>
      </w:pPr>
      <w:r>
        <w:rPr>
          <w:rFonts w:hint="default" w:ascii="Times New Roman" w:hAnsi="Times New Roman" w:eastAsia="宋体" w:cs="Times New Roman"/>
          <w:color w:val="auto"/>
        </w:rPr>
        <w:t>沟槽回填应在管道安装验收合格后进行。回填前必须清除槽底及管身周围的杂物。回填时沟槽内不得有积水，严禁带水回填。凡具备回填条件，均应</w:t>
      </w:r>
      <w:r>
        <w:rPr>
          <w:rFonts w:hint="default"/>
          <w:color w:val="auto"/>
        </w:rPr>
        <w:t>及时回填，防止管道及沟槽长时间暴露造成管道损坏，边坡塌陷等。</w:t>
      </w:r>
    </w:p>
    <w:p w14:paraId="6151FCE5">
      <w:pPr>
        <w:bidi w:val="0"/>
        <w:rPr>
          <w:rFonts w:hint="default" w:ascii="Times New Roman" w:hAnsi="Times New Roman" w:eastAsia="宋体" w:cs="Times New Roman"/>
          <w:b w:val="0"/>
          <w:bCs w:val="0"/>
          <w:color w:val="auto"/>
          <w:lang w:val="en-US" w:eastAsia="zh-CN"/>
        </w:rPr>
      </w:pPr>
      <w:r>
        <w:rPr>
          <w:rFonts w:hint="default"/>
          <w:color w:val="auto"/>
        </w:rPr>
        <w:t>沟槽回填包括铺土、摊平和夯实等施工过程。槽底至管顶以上0.5m范围内的回填土，不得含有有机物、杂土</w:t>
      </w:r>
      <w:r>
        <w:rPr>
          <w:rFonts w:hint="eastAsia"/>
          <w:color w:val="auto"/>
          <w:lang w:eastAsia="zh-CN"/>
        </w:rPr>
        <w:t>，以及</w:t>
      </w:r>
      <w:r>
        <w:rPr>
          <w:rFonts w:hint="default"/>
          <w:color w:val="auto"/>
        </w:rPr>
        <w:t>大于50mm的砖石等硬块。回填时应按</w:t>
      </w:r>
      <w:r>
        <w:rPr>
          <w:rFonts w:hint="eastAsia"/>
          <w:color w:val="auto"/>
          <w:lang w:eastAsia="zh-CN"/>
        </w:rPr>
        <w:t>基坑排水</w:t>
      </w:r>
      <w:r>
        <w:rPr>
          <w:rFonts w:hint="default"/>
          <w:color w:val="auto"/>
        </w:rPr>
        <w:t>方向由上游向下游分层进行，沟槽底至管顶以上50mm范围内采用人工还土，管道两侧回填土应同时上升，每层虚铺厚度不应超过25cm</w:t>
      </w:r>
      <w:r>
        <w:rPr>
          <w:rFonts w:hint="default"/>
          <w:color w:val="auto"/>
          <w:lang w:eastAsia="zh-CN"/>
        </w:rPr>
        <w:t>，</w:t>
      </w:r>
      <w:r>
        <w:rPr>
          <w:rFonts w:hint="default"/>
          <w:color w:val="auto"/>
        </w:rPr>
        <w:t>人工摊平和压实。超过顶管50cm以上可</w:t>
      </w:r>
      <w:r>
        <w:rPr>
          <w:rFonts w:hint="default"/>
          <w:color w:val="auto"/>
          <w:lang w:val="en-US" w:eastAsia="zh-CN"/>
        </w:rPr>
        <w:t>采用推土机还土，每层虚铺厚度不应超过30cm。</w:t>
      </w:r>
    </w:p>
    <w:p w14:paraId="573CD7CB">
      <w:pPr>
        <w:bidi w:val="0"/>
        <w:rPr>
          <w:rFonts w:hint="default"/>
          <w:b/>
          <w:bCs/>
          <w:color w:val="auto"/>
          <w:lang w:val="en-US" w:eastAsia="zh-CN"/>
        </w:rPr>
      </w:pPr>
      <w:r>
        <w:rPr>
          <w:rFonts w:hint="eastAsia" w:ascii="宋体" w:hAnsi="宋体" w:eastAsia="宋体" w:cs="宋体"/>
          <w:b/>
          <w:bCs/>
          <w:color w:val="auto"/>
          <w:lang w:val="en-US" w:eastAsia="zh-CN"/>
        </w:rPr>
        <w:t>⑨</w:t>
      </w:r>
      <w:r>
        <w:rPr>
          <w:rFonts w:hint="default"/>
          <w:b/>
          <w:bCs/>
          <w:color w:val="auto"/>
          <w:lang w:val="en-US" w:eastAsia="zh-CN"/>
        </w:rPr>
        <w:t>基坑排水</w:t>
      </w:r>
    </w:p>
    <w:p w14:paraId="1AF455D3">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A.</w:t>
      </w:r>
      <w:r>
        <w:rPr>
          <w:rFonts w:hint="default" w:ascii="Times New Roman" w:hAnsi="Times New Roman" w:eastAsia="宋体" w:cs="Times New Roman"/>
          <w:color w:val="auto"/>
          <w:lang w:val="en-US" w:eastAsia="zh-CN"/>
        </w:rPr>
        <w:t>施工前应根据管线地质条件</w:t>
      </w:r>
      <w:r>
        <w:rPr>
          <w:rFonts w:hint="eastAsia" w:ascii="Times New Roman" w:hAnsi="Times New Roman" w:eastAsia="宋体" w:cs="Times New Roman"/>
          <w:color w:val="auto"/>
          <w:lang w:val="en-US" w:eastAsia="zh-CN"/>
        </w:rPr>
        <w:t>选择</w:t>
      </w:r>
      <w:r>
        <w:rPr>
          <w:rFonts w:hint="default" w:ascii="Times New Roman" w:hAnsi="Times New Roman" w:eastAsia="宋体" w:cs="Times New Roman"/>
          <w:color w:val="auto"/>
          <w:lang w:val="en-US" w:eastAsia="zh-CN"/>
        </w:rPr>
        <w:t>合理的排水方法，并采取必要的措施，防止地基</w:t>
      </w:r>
      <w:r>
        <w:rPr>
          <w:rFonts w:hint="eastAsia" w:ascii="Times New Roman" w:hAnsi="Times New Roman" w:eastAsia="宋体" w:cs="Times New Roman"/>
          <w:color w:val="auto"/>
          <w:lang w:val="en-US" w:eastAsia="zh-CN"/>
        </w:rPr>
        <w:t>破</w:t>
      </w:r>
      <w:r>
        <w:rPr>
          <w:rFonts w:hint="default" w:ascii="Times New Roman" w:hAnsi="Times New Roman" w:eastAsia="宋体" w:cs="Times New Roman"/>
          <w:color w:val="auto"/>
          <w:lang w:val="en-US" w:eastAsia="zh-CN"/>
        </w:rPr>
        <w:t>动或影响其他管线或建筑物。当土质为粘性土时，可采用排水沟、排水井排水。土层为淤泥质土或粘质砂土时应采用井点降水，防止出现</w:t>
      </w:r>
      <w:r>
        <w:rPr>
          <w:rFonts w:hint="eastAsia" w:cs="Times New Roman"/>
          <w:color w:val="auto"/>
          <w:lang w:val="en-US" w:eastAsia="zh-CN"/>
        </w:rPr>
        <w:t>流沙</w:t>
      </w:r>
      <w:r>
        <w:rPr>
          <w:rFonts w:hint="default" w:ascii="Times New Roman" w:hAnsi="Times New Roman" w:eastAsia="宋体" w:cs="Times New Roman"/>
          <w:color w:val="auto"/>
          <w:lang w:val="en-US" w:eastAsia="zh-CN"/>
        </w:rPr>
        <w:t>现象及基坑弹簧土现象。</w:t>
      </w:r>
    </w:p>
    <w:p w14:paraId="66426871">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B.</w:t>
      </w:r>
      <w:r>
        <w:rPr>
          <w:rFonts w:hint="default" w:ascii="Times New Roman" w:hAnsi="Times New Roman" w:eastAsia="宋体" w:cs="Times New Roman"/>
          <w:color w:val="auto"/>
          <w:lang w:val="en-US" w:eastAsia="zh-CN"/>
        </w:rPr>
        <w:t>施工排水应与其他工序紧密结合。排水应连续进行不得间断，严禁泡槽。排水应待沟槽回填夯实至地下水位以上时，方可停止排水。</w:t>
      </w:r>
    </w:p>
    <w:p w14:paraId="36CF57F6">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C.</w:t>
      </w:r>
      <w:r>
        <w:rPr>
          <w:rFonts w:hint="default" w:ascii="Times New Roman" w:hAnsi="Times New Roman" w:eastAsia="宋体" w:cs="Times New Roman"/>
          <w:color w:val="auto"/>
          <w:lang w:val="en-US" w:eastAsia="zh-CN"/>
        </w:rPr>
        <w:t>雨季施工时应尽量缩短开槽长度，并组织好雨水出路，严防地面雨水流入沟槽。</w:t>
      </w:r>
    </w:p>
    <w:p w14:paraId="509DDDB7">
      <w:pPr>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D.</w:t>
      </w:r>
      <w:r>
        <w:rPr>
          <w:rFonts w:hint="default" w:ascii="Times New Roman" w:hAnsi="Times New Roman" w:eastAsia="宋体" w:cs="Times New Roman"/>
          <w:color w:val="auto"/>
          <w:lang w:val="en-US" w:eastAsia="zh-CN"/>
        </w:rPr>
        <w:t>附近如果有建筑物先采用水泥搅拌桩等方法设隔水屏障，然后降低地下水位开挖基坑，如果有地下管线，采取保护措施后再施工管道。</w:t>
      </w:r>
    </w:p>
    <w:p w14:paraId="1DDEC048">
      <w:pPr>
        <w:bidi w:val="0"/>
        <w:rPr>
          <w:rFonts w:hint="default"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w:t>
      </w:r>
      <w:r>
        <w:rPr>
          <w:rFonts w:hint="eastAsia" w:cs="Times New Roman"/>
          <w:b/>
          <w:bCs/>
          <w:color w:val="auto"/>
          <w:lang w:val="en-US" w:eastAsia="zh-CN"/>
        </w:rPr>
        <w:t>2</w:t>
      </w:r>
      <w:r>
        <w:rPr>
          <w:rFonts w:hint="eastAsia" w:ascii="Times New Roman" w:hAnsi="Times New Roman" w:eastAsia="宋体" w:cs="Times New Roman"/>
          <w:b/>
          <w:bCs/>
          <w:color w:val="auto"/>
          <w:lang w:val="en-US" w:eastAsia="zh-CN"/>
        </w:rPr>
        <w:t>）</w:t>
      </w:r>
      <w:r>
        <w:rPr>
          <w:rFonts w:hint="default" w:ascii="Times New Roman" w:hAnsi="Times New Roman" w:eastAsia="宋体" w:cs="Times New Roman"/>
          <w:b/>
          <w:bCs/>
          <w:color w:val="auto"/>
          <w:lang w:val="en-US" w:eastAsia="zh-CN"/>
        </w:rPr>
        <w:t>穿越工程</w:t>
      </w:r>
    </w:p>
    <w:p w14:paraId="227650CE">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w:t>
      </w:r>
      <w:r>
        <w:rPr>
          <w:rFonts w:hint="eastAsia" w:cs="Times New Roman"/>
          <w:color w:val="auto"/>
          <w:lang w:val="en-US" w:eastAsia="zh-CN"/>
        </w:rPr>
        <w:t>尾水排放管接入曾口镇污水处理厂已建排口，排入巴河。曾口镇污水处理厂已建管道穿越S409省道，故本项目管道施工不涉及穿越工程。</w:t>
      </w:r>
    </w:p>
    <w:p w14:paraId="20D3BB50">
      <w:pPr>
        <w:pStyle w:val="10"/>
        <w:bidi w:val="0"/>
        <w:rPr>
          <w:color w:val="auto"/>
        </w:rPr>
      </w:pPr>
      <w:r>
        <w:rPr>
          <w:color w:val="auto"/>
        </w:rPr>
        <w:t>施工总平面布置</w:t>
      </w:r>
    </w:p>
    <w:p w14:paraId="79A5EFED">
      <w:pPr>
        <w:pageBreakBefore w:val="0"/>
        <w:wordWrap/>
        <w:bidi w:val="0"/>
        <w:adjustRightInd/>
        <w:snapToGrid/>
        <w:rPr>
          <w:color w:val="auto"/>
        </w:rPr>
      </w:pPr>
      <w:r>
        <w:rPr>
          <w:color w:val="auto"/>
        </w:rPr>
        <w:t>（1）施工总平面布置原则</w:t>
      </w:r>
    </w:p>
    <w:p w14:paraId="253A5CC7">
      <w:pPr>
        <w:pageBreakBefore w:val="0"/>
        <w:wordWrap/>
        <w:bidi w:val="0"/>
        <w:adjustRightInd/>
        <w:snapToGrid/>
        <w:rPr>
          <w:color w:val="auto"/>
        </w:rPr>
      </w:pPr>
      <w:r>
        <w:rPr>
          <w:color w:val="auto"/>
        </w:rPr>
        <w:t>为减轻施工期对环境的影响，特别是施工噪声对周围住户的环境影响，环评建议在布置施工总平面时应遵循以下原则：</w:t>
      </w:r>
    </w:p>
    <w:p w14:paraId="3E6EE60C">
      <w:pPr>
        <w:pageBreakBefore w:val="0"/>
        <w:wordWrap/>
        <w:bidi w:val="0"/>
        <w:adjustRightInd/>
        <w:snapToGrid/>
        <w:rPr>
          <w:color w:val="auto"/>
        </w:rPr>
      </w:pPr>
      <w:r>
        <w:rPr>
          <w:color w:val="auto"/>
        </w:rPr>
        <w:t>①车辆出入口服从现有道路流向与流量及现场条件，并经有关部门批准；</w:t>
      </w:r>
    </w:p>
    <w:p w14:paraId="4C96AAFE">
      <w:pPr>
        <w:pageBreakBefore w:val="0"/>
        <w:wordWrap/>
        <w:bidi w:val="0"/>
        <w:adjustRightInd/>
        <w:snapToGrid/>
        <w:rPr>
          <w:color w:val="auto"/>
        </w:rPr>
      </w:pPr>
      <w:r>
        <w:rPr>
          <w:color w:val="auto"/>
        </w:rPr>
        <w:t>②阶段平面布置与该时期的施工重点相适应；</w:t>
      </w:r>
    </w:p>
    <w:p w14:paraId="42A584A6">
      <w:pPr>
        <w:pageBreakBefore w:val="0"/>
        <w:wordWrap/>
        <w:bidi w:val="0"/>
        <w:adjustRightInd/>
        <w:snapToGrid/>
        <w:rPr>
          <w:color w:val="auto"/>
        </w:rPr>
      </w:pPr>
      <w:r>
        <w:rPr>
          <w:color w:val="auto"/>
        </w:rPr>
        <w:t>③划分施工区域和材料堆放场地，保证材料运输道路环环通畅，施工方便；</w:t>
      </w:r>
    </w:p>
    <w:p w14:paraId="7DEDC202">
      <w:pPr>
        <w:pageBreakBefore w:val="0"/>
        <w:wordWrap/>
        <w:bidi w:val="0"/>
        <w:adjustRightInd/>
        <w:snapToGrid/>
        <w:rPr>
          <w:color w:val="auto"/>
        </w:rPr>
      </w:pPr>
      <w:r>
        <w:rPr>
          <w:color w:val="auto"/>
        </w:rPr>
        <w:t>④符合工程施工流程要求，减少对专业工种和各工程方面的干扰；</w:t>
      </w:r>
    </w:p>
    <w:p w14:paraId="21D9BBBC">
      <w:pPr>
        <w:pageBreakBefore w:val="0"/>
        <w:wordWrap/>
        <w:bidi w:val="0"/>
        <w:adjustRightInd/>
        <w:snapToGrid/>
        <w:rPr>
          <w:color w:val="auto"/>
        </w:rPr>
      </w:pPr>
      <w:r>
        <w:rPr>
          <w:color w:val="auto"/>
        </w:rPr>
        <w:t>⑤施工场地布置时考虑文明施工创优的需要，做到简洁、美观；</w:t>
      </w:r>
    </w:p>
    <w:p w14:paraId="5BCAA688">
      <w:pPr>
        <w:pageBreakBefore w:val="0"/>
        <w:wordWrap/>
        <w:bidi w:val="0"/>
        <w:adjustRightInd/>
        <w:snapToGrid/>
        <w:rPr>
          <w:color w:val="auto"/>
        </w:rPr>
      </w:pPr>
      <w:r>
        <w:rPr>
          <w:color w:val="auto"/>
        </w:rPr>
        <w:t>⑥各种生产设施布置便于施工生产安排，且满足安全防火、劳动保护的要求；</w:t>
      </w:r>
    </w:p>
    <w:p w14:paraId="493EE02A">
      <w:pPr>
        <w:pageBreakBefore w:val="0"/>
        <w:wordWrap/>
        <w:bidi w:val="0"/>
        <w:adjustRightInd/>
        <w:snapToGrid/>
        <w:rPr>
          <w:color w:val="auto"/>
        </w:rPr>
      </w:pPr>
      <w:r>
        <w:rPr>
          <w:color w:val="auto"/>
        </w:rPr>
        <w:t>⑦临电电源、电线敷设要避开人员流量大的楼梯及安全出口，以及容易被坠落物体打击的范围，电线尽量采用暗敷方式；</w:t>
      </w:r>
    </w:p>
    <w:p w14:paraId="7549678F">
      <w:pPr>
        <w:pageBreakBefore w:val="0"/>
        <w:wordWrap/>
        <w:bidi w:val="0"/>
        <w:adjustRightInd/>
        <w:snapToGrid/>
        <w:rPr>
          <w:color w:val="auto"/>
          <w:kern w:val="0"/>
        </w:rPr>
      </w:pPr>
      <w:r>
        <w:rPr>
          <w:color w:val="auto"/>
        </w:rPr>
        <w:t>⑧施工产噪</w:t>
      </w:r>
      <w:r>
        <w:rPr>
          <w:color w:val="auto"/>
          <w:kern w:val="0"/>
        </w:rPr>
        <w:t>设备尽量远离项目周围敏感点布置，从而减缓施工噪声对项目外环境的影响。</w:t>
      </w:r>
    </w:p>
    <w:p w14:paraId="110D7552">
      <w:pPr>
        <w:pageBreakBefore w:val="0"/>
        <w:wordWrap/>
        <w:bidi w:val="0"/>
        <w:adjustRightInd/>
        <w:snapToGrid/>
        <w:rPr>
          <w:color w:val="auto"/>
        </w:rPr>
      </w:pPr>
      <w:r>
        <w:rPr>
          <w:color w:val="auto"/>
        </w:rPr>
        <w:t>（2）施工现场布置</w:t>
      </w:r>
    </w:p>
    <w:p w14:paraId="77B4ED76">
      <w:pPr>
        <w:pageBreakBefore w:val="0"/>
        <w:wordWrap/>
        <w:bidi w:val="0"/>
        <w:adjustRightInd/>
        <w:snapToGrid/>
        <w:rPr>
          <w:color w:val="auto"/>
        </w:rPr>
      </w:pPr>
      <w:r>
        <w:rPr>
          <w:color w:val="auto"/>
        </w:rPr>
        <w:t>①施工出入口设置上尽量避免影响周边交通，施工主出入口布置在项目南侧道路上，主出入口设置车辆冲洗平台、隔油池和沉淀池。</w:t>
      </w:r>
    </w:p>
    <w:p w14:paraId="252D1A0B">
      <w:pPr>
        <w:pageBreakBefore w:val="0"/>
        <w:wordWrap/>
        <w:bidi w:val="0"/>
        <w:adjustRightInd/>
        <w:snapToGrid/>
        <w:rPr>
          <w:color w:val="auto"/>
        </w:rPr>
      </w:pPr>
      <w:r>
        <w:rPr>
          <w:color w:val="auto"/>
        </w:rPr>
        <w:t>②工程施工现场周边设置2.5</w:t>
      </w:r>
      <w:r>
        <w:rPr>
          <w:rFonts w:hint="eastAsia"/>
          <w:color w:val="auto"/>
          <w:lang w:eastAsia="zh-CN"/>
        </w:rPr>
        <w:t>～</w:t>
      </w:r>
      <w:r>
        <w:rPr>
          <w:color w:val="auto"/>
        </w:rPr>
        <w:t>3m高连续、密闭的围墙或围栏；</w:t>
      </w:r>
    </w:p>
    <w:p w14:paraId="08DCE930">
      <w:pPr>
        <w:pageBreakBefore w:val="0"/>
        <w:wordWrap/>
        <w:bidi w:val="0"/>
        <w:adjustRightInd/>
        <w:snapToGrid/>
        <w:rPr>
          <w:color w:val="auto"/>
        </w:rPr>
      </w:pPr>
      <w:r>
        <w:rPr>
          <w:color w:val="auto"/>
        </w:rPr>
        <w:t>③根据现场调查，项目</w:t>
      </w:r>
      <w:r>
        <w:rPr>
          <w:rFonts w:hint="eastAsia"/>
          <w:color w:val="auto"/>
          <w:lang w:val="en-US" w:eastAsia="zh-CN"/>
        </w:rPr>
        <w:t>西侧</w:t>
      </w:r>
      <w:r>
        <w:rPr>
          <w:color w:val="auto"/>
        </w:rPr>
        <w:t>为已建</w:t>
      </w:r>
      <w:r>
        <w:rPr>
          <w:rFonts w:hint="eastAsia"/>
          <w:color w:val="auto"/>
          <w:lang w:val="en-US" w:eastAsia="zh-CN"/>
        </w:rPr>
        <w:t>曾口镇</w:t>
      </w:r>
      <w:r>
        <w:rPr>
          <w:color w:val="auto"/>
        </w:rPr>
        <w:t>污水处理厂，</w:t>
      </w:r>
      <w:r>
        <w:rPr>
          <w:rFonts w:hint="eastAsia"/>
          <w:color w:val="auto"/>
          <w:lang w:val="en-US" w:eastAsia="zh-CN"/>
        </w:rPr>
        <w:t>南侧</w:t>
      </w:r>
      <w:r>
        <w:rPr>
          <w:color w:val="auto"/>
        </w:rPr>
        <w:t>道路已经铺设了市政污水管网，因此施工人员生活污水可依托现有污水处理系统处理。</w:t>
      </w:r>
    </w:p>
    <w:p w14:paraId="69C3175B">
      <w:pPr>
        <w:pageBreakBefore w:val="0"/>
        <w:wordWrap/>
        <w:bidi w:val="0"/>
        <w:adjustRightInd/>
        <w:snapToGrid/>
        <w:rPr>
          <w:color w:val="auto"/>
        </w:rPr>
      </w:pPr>
      <w:r>
        <w:rPr>
          <w:color w:val="auto"/>
        </w:rPr>
        <w:t>④项目施工物料、土石方等运输依托现有的道路，无需再设置施工便道。</w:t>
      </w:r>
    </w:p>
    <w:p w14:paraId="3E02937F">
      <w:pPr>
        <w:pageBreakBefore w:val="0"/>
        <w:wordWrap/>
        <w:bidi w:val="0"/>
        <w:adjustRightInd/>
        <w:snapToGrid/>
        <w:rPr>
          <w:color w:val="auto"/>
        </w:rPr>
      </w:pPr>
      <w:r>
        <w:rPr>
          <w:color w:val="auto"/>
        </w:rPr>
        <w:t>⑤施工材料堆场与钢筋加工棚起始位置布设于施工场地的中央。</w:t>
      </w:r>
    </w:p>
    <w:p w14:paraId="2EFFF70E">
      <w:pPr>
        <w:pStyle w:val="5"/>
        <w:pageBreakBefore w:val="0"/>
        <w:wordWrap/>
        <w:bidi w:val="0"/>
        <w:adjustRightInd/>
        <w:snapToGrid/>
        <w:spacing w:before="62" w:after="62"/>
        <w:ind w:left="0"/>
        <w:rPr>
          <w:rFonts w:eastAsia="宋体"/>
          <w:color w:val="auto"/>
        </w:rPr>
      </w:pPr>
      <w:bookmarkStart w:id="103" w:name="_Toc505087350"/>
      <w:r>
        <w:rPr>
          <w:rFonts w:hint="eastAsia" w:eastAsia="宋体"/>
          <w:color w:val="auto"/>
        </w:rPr>
        <w:t xml:space="preserve"> </w:t>
      </w:r>
      <w:r>
        <w:rPr>
          <w:rFonts w:eastAsia="宋体"/>
          <w:color w:val="auto"/>
        </w:rPr>
        <w:t>营运期工程分析</w:t>
      </w:r>
      <w:bookmarkEnd w:id="103"/>
    </w:p>
    <w:p w14:paraId="5D518CEF">
      <w:pPr>
        <w:pageBreakBefore w:val="0"/>
        <w:wordWrap/>
        <w:bidi w:val="0"/>
        <w:adjustRightInd/>
        <w:snapToGrid/>
        <w:ind w:firstLine="480"/>
        <w:rPr>
          <w:color w:val="auto"/>
        </w:rPr>
      </w:pPr>
      <w:r>
        <w:rPr>
          <w:color w:val="auto"/>
        </w:rPr>
        <w:t>项目建成后主要污染物为废水、废气、噪声和固废。</w:t>
      </w:r>
    </w:p>
    <w:p w14:paraId="3B54FE00">
      <w:pPr>
        <w:pageBreakBefore w:val="0"/>
        <w:wordWrap/>
        <w:bidi w:val="0"/>
        <w:adjustRightInd/>
        <w:snapToGrid/>
        <w:ind w:firstLine="480"/>
        <w:rPr>
          <w:color w:val="auto"/>
        </w:rPr>
      </w:pPr>
      <w:r>
        <w:rPr>
          <w:color w:val="auto"/>
        </w:rPr>
        <w:t>本项目生产工艺流程见</w:t>
      </w:r>
      <w:r>
        <w:rPr>
          <w:rFonts w:hint="eastAsia"/>
          <w:color w:val="auto"/>
          <w:lang w:val="en-US" w:eastAsia="zh-CN"/>
        </w:rPr>
        <w:t>下图</w:t>
      </w:r>
      <w:r>
        <w:rPr>
          <w:color w:val="auto"/>
        </w:rPr>
        <w:t>。</w:t>
      </w:r>
    </w:p>
    <w:p w14:paraId="4F139A69">
      <w:pPr>
        <w:pageBreakBefore w:val="0"/>
        <w:wordWrap/>
        <w:bidi w:val="0"/>
        <w:adjustRightInd/>
        <w:snapToGrid/>
        <w:ind w:left="0" w:leftChars="0" w:firstLine="0" w:firstLineChars="0"/>
        <w:jc w:val="center"/>
        <w:rPr>
          <w:rFonts w:hint="eastAsia"/>
          <w:color w:val="auto"/>
        </w:rPr>
      </w:pPr>
      <w:r>
        <w:rPr>
          <w:rFonts w:ascii="Times New Roman" w:hAnsi="Times New Roman"/>
          <w:bCs/>
          <w:color w:val="auto"/>
          <w:sz w:val="24"/>
          <w:szCs w:val="24"/>
        </w:rPr>
        <w:object>
          <v:shape id="_x0000_i1027" o:spt="75" type="#_x0000_t75" style="height:383.05pt;width:415.75pt;" o:ole="t" filled="f" o:preferrelative="t" stroked="f" coordsize="21600,21600">
            <v:path/>
            <v:fill on="f" focussize="0,0"/>
            <v:stroke on="f"/>
            <v:imagedata r:id="rId61" o:title=""/>
            <o:lock v:ext="edit" aspectratio="t"/>
            <w10:wrap type="none"/>
            <w10:anchorlock/>
          </v:shape>
          <o:OLEObject Type="Embed" ProgID="Visio.Drawing.11" ShapeID="_x0000_i1027" DrawAspect="Content" ObjectID="_1468075727" r:id="rId60">
            <o:LockedField>false</o:LockedField>
          </o:OLEObject>
        </w:object>
      </w:r>
      <w:r>
        <w:rPr>
          <w:rStyle w:val="77"/>
          <w:rFonts w:hint="eastAsia"/>
          <w:color w:val="auto"/>
          <w:lang w:eastAsia="zh-CN"/>
        </w:rPr>
        <w:t>图</w:t>
      </w:r>
      <w:r>
        <w:rPr>
          <w:rStyle w:val="77"/>
          <w:color w:val="auto"/>
        </w:rPr>
        <w:fldChar w:fldCharType="begin"/>
      </w:r>
      <w:r>
        <w:rPr>
          <w:rStyle w:val="77"/>
          <w:color w:val="auto"/>
        </w:rPr>
        <w:instrText xml:space="preserve"> STYLEREF 2 \s </w:instrText>
      </w:r>
      <w:r>
        <w:rPr>
          <w:rStyle w:val="77"/>
          <w:color w:val="auto"/>
        </w:rPr>
        <w:fldChar w:fldCharType="separate"/>
      </w:r>
      <w:r>
        <w:rPr>
          <w:rStyle w:val="77"/>
          <w:color w:val="auto"/>
        </w:rPr>
        <w:t>2.3</w:t>
      </w:r>
      <w:r>
        <w:rPr>
          <w:rStyle w:val="77"/>
          <w:color w:val="auto"/>
        </w:rPr>
        <w:fldChar w:fldCharType="end"/>
      </w:r>
      <w:r>
        <w:rPr>
          <w:rStyle w:val="77"/>
          <w:rFonts w:hint="eastAsia"/>
          <w:color w:val="auto"/>
          <w:lang w:eastAsia="zh-CN"/>
        </w:rPr>
        <w:t>-</w:t>
      </w:r>
      <w:r>
        <w:rPr>
          <w:rStyle w:val="77"/>
          <w:color w:val="auto"/>
        </w:rPr>
        <w:fldChar w:fldCharType="begin"/>
      </w:r>
      <w:r>
        <w:rPr>
          <w:rStyle w:val="77"/>
          <w:color w:val="auto"/>
        </w:rPr>
        <w:instrText xml:space="preserve"> SEQ 图 \* ARABIC \s 2 </w:instrText>
      </w:r>
      <w:r>
        <w:rPr>
          <w:rStyle w:val="77"/>
          <w:color w:val="auto"/>
        </w:rPr>
        <w:fldChar w:fldCharType="separate"/>
      </w:r>
      <w:r>
        <w:rPr>
          <w:rStyle w:val="77"/>
          <w:color w:val="auto"/>
        </w:rPr>
        <w:t>3</w:t>
      </w:r>
      <w:r>
        <w:rPr>
          <w:rStyle w:val="77"/>
          <w:color w:val="auto"/>
        </w:rPr>
        <w:fldChar w:fldCharType="end"/>
      </w:r>
      <w:r>
        <w:rPr>
          <w:rStyle w:val="77"/>
          <w:color w:val="auto"/>
        </w:rPr>
        <w:t xml:space="preserve"> 项目工艺流程及产污分析</w:t>
      </w:r>
    </w:p>
    <w:p w14:paraId="2B565352">
      <w:pPr>
        <w:pageBreakBefore w:val="0"/>
        <w:wordWrap/>
        <w:bidi w:val="0"/>
        <w:adjustRightInd/>
        <w:snapToGrid/>
        <w:ind w:firstLine="480"/>
        <w:rPr>
          <w:rFonts w:hint="eastAsia"/>
          <w:color w:val="auto"/>
        </w:rPr>
      </w:pPr>
      <w:r>
        <w:rPr>
          <w:rFonts w:hint="eastAsia"/>
          <w:color w:val="auto"/>
        </w:rPr>
        <w:t>本项目采用的污水处理工艺如下：</w:t>
      </w:r>
    </w:p>
    <w:p w14:paraId="001F4027">
      <w:pPr>
        <w:pageBreakBefore w:val="0"/>
        <w:wordWrap/>
        <w:bidi w:val="0"/>
        <w:adjustRightInd/>
        <w:snapToGrid/>
        <w:rPr>
          <w:rFonts w:hint="eastAsia"/>
          <w:color w:val="auto"/>
        </w:rPr>
      </w:pPr>
      <w:r>
        <w:rPr>
          <w:rFonts w:hint="eastAsia"/>
          <w:color w:val="auto"/>
        </w:rPr>
        <w:t>本项目园区综合废水</w:t>
      </w:r>
      <w:r>
        <w:rPr>
          <w:rFonts w:hint="eastAsia"/>
          <w:color w:val="auto"/>
          <w:lang w:eastAsia="zh-CN"/>
        </w:rPr>
        <w:t>（</w:t>
      </w:r>
      <w:r>
        <w:rPr>
          <w:rFonts w:hint="eastAsia"/>
          <w:color w:val="auto"/>
        </w:rPr>
        <w:t>压力来水，一厂一管，专管排水</w:t>
      </w:r>
      <w:r>
        <w:rPr>
          <w:rFonts w:hint="eastAsia"/>
          <w:color w:val="auto"/>
          <w:lang w:eastAsia="zh-CN"/>
        </w:rPr>
        <w:t>）</w:t>
      </w:r>
      <w:r>
        <w:rPr>
          <w:rFonts w:hint="eastAsia"/>
          <w:color w:val="auto"/>
        </w:rPr>
        <w:t>首先进入超细格栅去除废水中的较细悬浮物和杂质，然后进入综合调节池进行均质均量，避免了由于原水水量和水质的变化对后续处理系统带来的冲击影响；经综合废水调节池调节后，废水进入高级氧化工艺段和水解酸化池，通过高级氧化段将难降解的污染物开环断链同时通过水解酸化作用提高污水的可生化性，进入到改良式A/</w:t>
      </w:r>
      <w:r>
        <w:rPr>
          <w:rFonts w:hint="eastAsia"/>
          <w:color w:val="auto"/>
          <w:lang w:val="en-US" w:eastAsia="zh-CN"/>
        </w:rPr>
        <w:t>O</w:t>
      </w:r>
      <w:r>
        <w:rPr>
          <w:rFonts w:hint="eastAsia"/>
          <w:color w:val="auto"/>
        </w:rPr>
        <w:t>生化池，经曝气生化池处理后，进水中的COD、氨氮、硝酸盐可得到有效去除，之后进入到沉淀池进行自然沉降。上清液自流进入到磁混凝沉淀池，经磁混凝沉淀池处理后，进水中的SS、总硬度可得到有效去除，之后进入到深床反硝化滤池，进水中的总磷可得到有效去除；至此水分两路，一路经高级氧化保证出水COD达标后再经紫外线消毒计量排入自然水体，另一路水进入回用水再生处理流程。</w:t>
      </w:r>
    </w:p>
    <w:p w14:paraId="0A436CFF">
      <w:pPr>
        <w:bidi w:val="0"/>
        <w:rPr>
          <w:color w:val="auto"/>
        </w:rPr>
      </w:pPr>
      <w:r>
        <w:rPr>
          <w:color w:val="auto"/>
        </w:rPr>
        <w:t>经分析，本项目正常运行过程中产生的</w:t>
      </w:r>
      <w:r>
        <w:rPr>
          <w:rFonts w:hint="eastAsia"/>
          <w:color w:val="auto"/>
          <w:lang w:eastAsia="zh-CN"/>
        </w:rPr>
        <w:t>“</w:t>
      </w:r>
      <w:r>
        <w:rPr>
          <w:color w:val="auto"/>
        </w:rPr>
        <w:t>三废</w:t>
      </w:r>
      <w:r>
        <w:rPr>
          <w:rFonts w:hint="eastAsia"/>
          <w:color w:val="auto"/>
          <w:lang w:eastAsia="zh-CN"/>
        </w:rPr>
        <w:t>”</w:t>
      </w:r>
      <w:r>
        <w:rPr>
          <w:color w:val="auto"/>
        </w:rPr>
        <w:t>污染物包括：</w:t>
      </w:r>
    </w:p>
    <w:p w14:paraId="0F6F8BFA">
      <w:pPr>
        <w:ind w:firstLine="480"/>
        <w:rPr>
          <w:color w:val="auto"/>
        </w:rPr>
      </w:pPr>
      <w:r>
        <w:rPr>
          <w:rFonts w:hint="eastAsia" w:ascii="宋体" w:hAnsi="宋体" w:cs="宋体"/>
          <w:color w:val="auto"/>
        </w:rPr>
        <w:t>①</w:t>
      </w:r>
      <w:r>
        <w:rPr>
          <w:color w:val="auto"/>
        </w:rPr>
        <w:t>废气：</w:t>
      </w:r>
      <w:r>
        <w:rPr>
          <w:rFonts w:hint="eastAsia"/>
          <w:color w:val="auto"/>
          <w:lang w:val="en-US" w:eastAsia="zh-CN"/>
        </w:rPr>
        <w:t>污水处理产生的恶臭G1</w:t>
      </w:r>
      <w:r>
        <w:rPr>
          <w:color w:val="auto"/>
        </w:rPr>
        <w:t>、厨房油烟废气。</w:t>
      </w:r>
    </w:p>
    <w:p w14:paraId="1180C99A">
      <w:pPr>
        <w:ind w:firstLine="480"/>
        <w:rPr>
          <w:color w:val="auto"/>
        </w:rPr>
      </w:pPr>
      <w:r>
        <w:rPr>
          <w:rFonts w:hint="eastAsia" w:ascii="宋体" w:hAnsi="宋体" w:cs="宋体"/>
          <w:color w:val="auto"/>
        </w:rPr>
        <w:t>②</w:t>
      </w:r>
      <w:r>
        <w:rPr>
          <w:color w:val="auto"/>
        </w:rPr>
        <w:t>废水：</w:t>
      </w:r>
      <w:r>
        <w:rPr>
          <w:rFonts w:hint="eastAsia" w:ascii="Times New Roman" w:hAnsi="Times New Roman"/>
          <w:color w:val="auto"/>
          <w:sz w:val="24"/>
        </w:rPr>
        <w:t>反硝化深床滤池产生</w:t>
      </w:r>
      <w:r>
        <w:rPr>
          <w:rFonts w:hint="eastAsia" w:ascii="Times New Roman" w:hAnsi="Times New Roman"/>
          <w:color w:val="auto"/>
          <w:sz w:val="24"/>
          <w:lang w:eastAsia="zh-CN"/>
        </w:rPr>
        <w:t>的</w:t>
      </w:r>
      <w:r>
        <w:rPr>
          <w:rFonts w:hint="eastAsia" w:ascii="Times New Roman" w:hAnsi="Times New Roman"/>
          <w:color w:val="auto"/>
          <w:sz w:val="24"/>
        </w:rPr>
        <w:t>反冲洗废水</w:t>
      </w:r>
      <w:r>
        <w:rPr>
          <w:rFonts w:hint="eastAsia" w:ascii="Times New Roman" w:hAnsi="Times New Roman"/>
          <w:color w:val="auto"/>
          <w:sz w:val="24"/>
          <w:lang w:val="en-US" w:eastAsia="zh-CN"/>
        </w:rPr>
        <w:t>W1、污泥压滤废水W2、化验室废液、生物除臭系统排水和生活污水</w:t>
      </w:r>
      <w:r>
        <w:rPr>
          <w:color w:val="auto"/>
        </w:rPr>
        <w:t>。</w:t>
      </w:r>
    </w:p>
    <w:p w14:paraId="04C5EA4A">
      <w:pPr>
        <w:ind w:firstLine="480"/>
        <w:rPr>
          <w:color w:val="auto"/>
        </w:rPr>
      </w:pPr>
      <w:r>
        <w:rPr>
          <w:rFonts w:hint="eastAsia" w:ascii="宋体" w:hAnsi="宋体" w:cs="宋体"/>
          <w:color w:val="auto"/>
        </w:rPr>
        <w:t>③</w:t>
      </w:r>
      <w:r>
        <w:rPr>
          <w:color w:val="auto"/>
        </w:rPr>
        <w:t>噪声：生产过程中的机器设备的噪声</w:t>
      </w:r>
      <w:r>
        <w:rPr>
          <w:rFonts w:hint="eastAsia"/>
          <w:color w:val="auto"/>
          <w:lang w:val="en-US" w:eastAsia="zh-CN"/>
        </w:rPr>
        <w:t>N1</w:t>
      </w:r>
      <w:r>
        <w:rPr>
          <w:color w:val="auto"/>
        </w:rPr>
        <w:t>。</w:t>
      </w:r>
    </w:p>
    <w:p w14:paraId="75464951">
      <w:pPr>
        <w:pageBreakBefore w:val="0"/>
        <w:wordWrap/>
        <w:bidi w:val="0"/>
        <w:adjustRightInd/>
        <w:snapToGrid/>
        <w:ind w:firstLine="480"/>
        <w:rPr>
          <w:b/>
          <w:bCs/>
          <w:color w:val="auto"/>
        </w:rPr>
      </w:pPr>
      <w:r>
        <w:rPr>
          <w:rFonts w:hint="eastAsia" w:ascii="宋体" w:hAnsi="宋体" w:cs="宋体"/>
          <w:color w:val="auto"/>
        </w:rPr>
        <w:t>④</w:t>
      </w:r>
      <w:r>
        <w:rPr>
          <w:color w:val="auto"/>
        </w:rPr>
        <w:t>固废：固废包括工业固废、生活办公垃圾等。其中，工业固废主要为废水预处理单元产生的</w:t>
      </w:r>
      <w:r>
        <w:rPr>
          <w:rFonts w:hint="eastAsia"/>
          <w:color w:val="auto"/>
          <w:lang w:val="en-US" w:eastAsia="zh-CN"/>
        </w:rPr>
        <w:t>超细格栅产生的栅渣S1</w:t>
      </w:r>
      <w:r>
        <w:rPr>
          <w:color w:val="auto"/>
        </w:rPr>
        <w:t>、沉淀池污泥（物化污泥）</w:t>
      </w:r>
      <w:r>
        <w:rPr>
          <w:rFonts w:hint="eastAsia"/>
          <w:color w:val="auto"/>
          <w:lang w:val="en-US" w:eastAsia="zh-CN"/>
        </w:rPr>
        <w:t>和</w:t>
      </w:r>
      <w:r>
        <w:rPr>
          <w:color w:val="auto"/>
        </w:rPr>
        <w:t>生化处理系统（</w:t>
      </w:r>
      <w:r>
        <w:rPr>
          <w:rFonts w:hint="eastAsia"/>
          <w:color w:val="auto"/>
          <w:lang w:val="en-US" w:eastAsia="zh-CN"/>
        </w:rPr>
        <w:t>生化池</w:t>
      </w:r>
      <w:r>
        <w:rPr>
          <w:color w:val="auto"/>
        </w:rPr>
        <w:t>）产生的生化污泥</w:t>
      </w:r>
      <w:r>
        <w:rPr>
          <w:rFonts w:hint="eastAsia"/>
          <w:color w:val="auto"/>
          <w:lang w:val="en-US" w:eastAsia="zh-CN"/>
        </w:rPr>
        <w:t>S2</w:t>
      </w:r>
      <w:r>
        <w:rPr>
          <w:color w:val="auto"/>
        </w:rPr>
        <w:t>，以及设备维修、更换等工序产生的废旧设备、废矿物油，加药车间产生的废旧包装材料</w:t>
      </w:r>
      <w:r>
        <w:rPr>
          <w:rFonts w:hint="eastAsia"/>
          <w:color w:val="auto"/>
          <w:lang w:eastAsia="zh-CN"/>
        </w:rPr>
        <w:t>，</w:t>
      </w:r>
      <w:r>
        <w:rPr>
          <w:rFonts w:hint="eastAsia"/>
          <w:color w:val="auto"/>
          <w:lang w:val="en-US" w:eastAsia="zh-CN"/>
        </w:rPr>
        <w:t>监测产生的废液，化验室产生的实验废液和废包装材料</w:t>
      </w:r>
      <w:r>
        <w:rPr>
          <w:color w:val="auto"/>
        </w:rPr>
        <w:t>等。为此，环评要求：分类收集、按质处理，属危废则交由具有相应危废处理资质单位进行处理，生活垃圾则由市政环卫部门定期清运、处置。</w:t>
      </w:r>
    </w:p>
    <w:p w14:paraId="6EDBEEDE">
      <w:pPr>
        <w:pStyle w:val="5"/>
        <w:keepNext w:val="0"/>
        <w:keepLines w:val="0"/>
        <w:tabs>
          <w:tab w:val="clear" w:pos="420"/>
        </w:tabs>
        <w:spacing w:before="0" w:after="0"/>
        <w:rPr>
          <w:rFonts w:ascii="Times New Roman" w:hAnsi="Times New Roman" w:eastAsia="宋体"/>
          <w:color w:val="auto"/>
          <w:sz w:val="24"/>
        </w:rPr>
      </w:pPr>
      <w:r>
        <w:rPr>
          <w:rFonts w:hint="eastAsia"/>
          <w:color w:val="auto"/>
          <w:lang w:val="en-US" w:eastAsia="zh-CN"/>
        </w:rPr>
        <w:t xml:space="preserve"> </w:t>
      </w:r>
      <w:r>
        <w:rPr>
          <w:rFonts w:hint="eastAsia" w:ascii="Times New Roman" w:hAnsi="Times New Roman" w:eastAsia="宋体"/>
          <w:color w:val="auto"/>
          <w:sz w:val="24"/>
        </w:rPr>
        <w:t>水平衡</w:t>
      </w:r>
    </w:p>
    <w:p w14:paraId="1045F120">
      <w:pPr>
        <w:spacing w:line="360" w:lineRule="auto"/>
        <w:ind w:firstLine="480" w:firstLineChars="200"/>
        <w:rPr>
          <w:rFonts w:ascii="Times New Roman" w:hAnsi="Times New Roman"/>
          <w:bCs/>
          <w:color w:val="auto"/>
          <w:sz w:val="24"/>
          <w:highlight w:val="none"/>
        </w:rPr>
      </w:pPr>
      <w:r>
        <w:rPr>
          <w:rFonts w:hint="eastAsia" w:ascii="Times New Roman" w:hAnsi="Times New Roman"/>
          <w:bCs/>
          <w:color w:val="auto"/>
          <w:sz w:val="24"/>
          <w:highlight w:val="none"/>
        </w:rPr>
        <w:t>根据本项目用水情况，本项目营运期用水主要包括生活用水、设备冲洗用水、生物除臭塔用水、绿化用水等，具体如下所示。</w:t>
      </w:r>
    </w:p>
    <w:p w14:paraId="38E978AB">
      <w:pPr>
        <w:spacing w:line="360" w:lineRule="auto"/>
        <w:ind w:firstLine="560"/>
        <w:rPr>
          <w:rFonts w:ascii="Times New Roman" w:hAnsi="Times New Roman"/>
          <w:b/>
          <w:bCs/>
          <w:color w:val="auto"/>
          <w:sz w:val="24"/>
          <w:highlight w:val="none"/>
        </w:rPr>
      </w:pPr>
      <w:r>
        <w:rPr>
          <w:rFonts w:ascii="Times New Roman" w:hAnsi="Times New Roman"/>
          <w:b/>
          <w:bCs/>
          <w:color w:val="auto"/>
          <w:sz w:val="24"/>
          <w:highlight w:val="none"/>
        </w:rPr>
        <w:t>1、生活</w:t>
      </w:r>
      <w:r>
        <w:rPr>
          <w:rFonts w:hint="eastAsia" w:ascii="Times New Roman" w:hAnsi="Times New Roman"/>
          <w:b/>
          <w:bCs/>
          <w:color w:val="auto"/>
          <w:sz w:val="24"/>
          <w:highlight w:val="none"/>
        </w:rPr>
        <w:t>用水</w:t>
      </w:r>
    </w:p>
    <w:p w14:paraId="3DD5573F">
      <w:pPr>
        <w:spacing w:line="360" w:lineRule="auto"/>
        <w:ind w:firstLine="560"/>
        <w:rPr>
          <w:rFonts w:hint="eastAsia" w:ascii="Times New Roman" w:hAnsi="Times New Roman"/>
          <w:color w:val="auto"/>
          <w:sz w:val="24"/>
          <w:highlight w:val="none"/>
        </w:rPr>
      </w:pPr>
      <w:r>
        <w:rPr>
          <w:rFonts w:hint="eastAsia" w:ascii="Times New Roman" w:hAnsi="Times New Roman"/>
          <w:color w:val="auto"/>
          <w:sz w:val="24"/>
          <w:highlight w:val="none"/>
        </w:rPr>
        <w:t>根据建设单位提供资料，本</w:t>
      </w:r>
      <w:r>
        <w:rPr>
          <w:rFonts w:ascii="Times New Roman" w:hAnsi="Times New Roman"/>
          <w:color w:val="auto"/>
          <w:sz w:val="24"/>
          <w:highlight w:val="none"/>
        </w:rPr>
        <w:t>项目劳动定员</w:t>
      </w:r>
      <w:r>
        <w:rPr>
          <w:rFonts w:hint="eastAsia" w:ascii="Times New Roman" w:hAnsi="Times New Roman"/>
          <w:color w:val="auto"/>
          <w:sz w:val="24"/>
          <w:highlight w:val="none"/>
          <w:lang w:val="en-US" w:eastAsia="zh-CN"/>
        </w:rPr>
        <w:t>18</w:t>
      </w:r>
      <w:r>
        <w:rPr>
          <w:rFonts w:ascii="Times New Roman" w:hAnsi="Times New Roman"/>
          <w:color w:val="auto"/>
          <w:sz w:val="24"/>
          <w:highlight w:val="none"/>
        </w:rPr>
        <w:t>人，</w:t>
      </w:r>
      <w:r>
        <w:rPr>
          <w:rFonts w:hint="eastAsia" w:ascii="Times New Roman" w:hAnsi="Times New Roman"/>
          <w:color w:val="auto"/>
          <w:sz w:val="24"/>
          <w:highlight w:val="none"/>
        </w:rPr>
        <w:t>项目设置有宿舍与食堂，根据《四川省用水定额》（川府函[</w:t>
      </w:r>
      <w:r>
        <w:rPr>
          <w:rFonts w:ascii="Times New Roman" w:hAnsi="Times New Roman"/>
          <w:color w:val="auto"/>
          <w:sz w:val="24"/>
          <w:highlight w:val="none"/>
        </w:rPr>
        <w:t>2021]8</w:t>
      </w:r>
      <w:r>
        <w:rPr>
          <w:rFonts w:hint="eastAsia" w:ascii="Times New Roman" w:hAnsi="Times New Roman"/>
          <w:color w:val="auto"/>
          <w:sz w:val="24"/>
          <w:highlight w:val="none"/>
        </w:rPr>
        <w:t>号），办公生活用水</w:t>
      </w:r>
      <w:r>
        <w:rPr>
          <w:rFonts w:ascii="Times New Roman" w:hAnsi="Times New Roman"/>
          <w:color w:val="auto"/>
          <w:kern w:val="0"/>
          <w:sz w:val="24"/>
          <w:highlight w:val="none"/>
        </w:rPr>
        <w:t>平均每人用水量按120L/d计，</w:t>
      </w:r>
      <w:r>
        <w:rPr>
          <w:rFonts w:hint="eastAsia" w:ascii="Times New Roman" w:hAnsi="Times New Roman"/>
          <w:color w:val="auto"/>
          <w:kern w:val="0"/>
          <w:sz w:val="24"/>
          <w:highlight w:val="none"/>
        </w:rPr>
        <w:t>食堂用水平均每人</w:t>
      </w:r>
      <w:r>
        <w:rPr>
          <w:rFonts w:hint="eastAsia"/>
          <w:color w:val="auto"/>
          <w:kern w:val="0"/>
          <w:sz w:val="24"/>
          <w:highlight w:val="none"/>
          <w:lang w:eastAsia="zh-CN"/>
        </w:rPr>
        <w:t>用水量</w:t>
      </w:r>
      <w:r>
        <w:rPr>
          <w:rFonts w:hint="eastAsia" w:ascii="Times New Roman" w:hAnsi="Times New Roman"/>
          <w:color w:val="auto"/>
          <w:kern w:val="0"/>
          <w:sz w:val="24"/>
          <w:highlight w:val="none"/>
        </w:rPr>
        <w:t>按4</w:t>
      </w:r>
      <w:r>
        <w:rPr>
          <w:rFonts w:ascii="Times New Roman" w:hAnsi="Times New Roman"/>
          <w:color w:val="auto"/>
          <w:kern w:val="0"/>
          <w:sz w:val="24"/>
          <w:highlight w:val="none"/>
        </w:rPr>
        <w:t>0L/d</w:t>
      </w:r>
      <w:r>
        <w:rPr>
          <w:rFonts w:hint="eastAsia" w:ascii="Times New Roman" w:hAnsi="Times New Roman"/>
          <w:color w:val="auto"/>
          <w:kern w:val="0"/>
          <w:sz w:val="24"/>
          <w:highlight w:val="none"/>
        </w:rPr>
        <w:t>计，则本项目</w:t>
      </w:r>
      <w:r>
        <w:rPr>
          <w:rFonts w:ascii="Times New Roman" w:hAnsi="Times New Roman"/>
          <w:color w:val="auto"/>
          <w:kern w:val="0"/>
          <w:sz w:val="24"/>
          <w:highlight w:val="none"/>
        </w:rPr>
        <w:t>每天</w:t>
      </w:r>
      <w:r>
        <w:rPr>
          <w:rFonts w:hint="eastAsia" w:ascii="Times New Roman" w:hAnsi="Times New Roman"/>
          <w:color w:val="auto"/>
          <w:kern w:val="0"/>
          <w:sz w:val="24"/>
          <w:highlight w:val="none"/>
          <w:lang w:val="en-US" w:eastAsia="zh-CN"/>
        </w:rPr>
        <w:t>生活</w:t>
      </w:r>
      <w:r>
        <w:rPr>
          <w:rFonts w:ascii="Times New Roman" w:hAnsi="Times New Roman"/>
          <w:color w:val="auto"/>
          <w:kern w:val="0"/>
          <w:sz w:val="24"/>
          <w:highlight w:val="none"/>
        </w:rPr>
        <w:t>用水量约为</w:t>
      </w:r>
      <w:r>
        <w:rPr>
          <w:rFonts w:hint="eastAsia" w:ascii="Times New Roman" w:hAnsi="Times New Roman"/>
          <w:color w:val="auto"/>
          <w:kern w:val="0"/>
          <w:sz w:val="24"/>
          <w:highlight w:val="none"/>
          <w:lang w:val="en-US" w:eastAsia="zh-CN"/>
        </w:rPr>
        <w:t>2.16</w:t>
      </w:r>
      <w:r>
        <w:rPr>
          <w:rFonts w:hint="eastAsia"/>
          <w:color w:val="auto"/>
          <w:kern w:val="0"/>
          <w:sz w:val="24"/>
          <w:highlight w:val="none"/>
          <w:lang w:eastAsia="zh-CN"/>
        </w:rPr>
        <w:t>m³</w:t>
      </w:r>
      <w:r>
        <w:rPr>
          <w:rFonts w:ascii="Times New Roman" w:hAnsi="Times New Roman"/>
          <w:color w:val="auto"/>
          <w:sz w:val="24"/>
          <w:highlight w:val="none"/>
        </w:rPr>
        <w:t>/d</w:t>
      </w:r>
      <w:r>
        <w:rPr>
          <w:rFonts w:hint="eastAsia" w:ascii="Times New Roman" w:hAnsi="Times New Roman"/>
          <w:color w:val="auto"/>
          <w:sz w:val="24"/>
          <w:highlight w:val="none"/>
          <w:lang w:eastAsia="zh-CN"/>
        </w:rPr>
        <w:t>（</w:t>
      </w:r>
      <w:r>
        <w:rPr>
          <w:rFonts w:hint="eastAsia" w:ascii="Times New Roman" w:hAnsi="Times New Roman"/>
          <w:color w:val="auto"/>
          <w:sz w:val="24"/>
          <w:highlight w:val="none"/>
          <w:lang w:val="en-US" w:eastAsia="zh-CN"/>
        </w:rPr>
        <w:t>788.4</w:t>
      </w:r>
      <w:r>
        <w:rPr>
          <w:rFonts w:hint="eastAsia"/>
          <w:color w:val="auto"/>
          <w:kern w:val="0"/>
          <w:sz w:val="24"/>
          <w:highlight w:val="none"/>
          <w:lang w:eastAsia="zh-CN"/>
        </w:rPr>
        <w:t>m³</w:t>
      </w:r>
      <w:r>
        <w:rPr>
          <w:rFonts w:ascii="Times New Roman" w:hAnsi="Times New Roman"/>
          <w:color w:val="auto"/>
          <w:sz w:val="24"/>
          <w:highlight w:val="none"/>
        </w:rPr>
        <w:t>/d</w:t>
      </w:r>
      <w:r>
        <w:rPr>
          <w:rFonts w:hint="eastAsia" w:ascii="Times New Roman" w:hAnsi="Times New Roman"/>
          <w:color w:val="auto"/>
          <w:sz w:val="24"/>
          <w:highlight w:val="none"/>
          <w:lang w:eastAsia="zh-CN"/>
        </w:rPr>
        <w:t>），</w:t>
      </w:r>
      <w:r>
        <w:rPr>
          <w:rFonts w:hint="eastAsia" w:ascii="Times New Roman" w:hAnsi="Times New Roman"/>
          <w:color w:val="auto"/>
          <w:sz w:val="24"/>
          <w:highlight w:val="none"/>
          <w:lang w:val="en-US" w:eastAsia="zh-CN"/>
        </w:rPr>
        <w:t>食堂用水约为</w:t>
      </w:r>
      <w:r>
        <w:rPr>
          <w:rFonts w:hint="eastAsia" w:ascii="Times New Roman" w:hAnsi="Times New Roman"/>
          <w:color w:val="auto"/>
          <w:kern w:val="0"/>
          <w:sz w:val="24"/>
          <w:highlight w:val="none"/>
          <w:lang w:val="en-US" w:eastAsia="zh-CN"/>
        </w:rPr>
        <w:t>0.72</w:t>
      </w:r>
      <w:r>
        <w:rPr>
          <w:rFonts w:hint="eastAsia"/>
          <w:color w:val="auto"/>
          <w:kern w:val="0"/>
          <w:sz w:val="24"/>
          <w:highlight w:val="none"/>
          <w:lang w:eastAsia="zh-CN"/>
        </w:rPr>
        <w:t>m³</w:t>
      </w:r>
      <w:r>
        <w:rPr>
          <w:rFonts w:ascii="Times New Roman" w:hAnsi="Times New Roman"/>
          <w:color w:val="auto"/>
          <w:sz w:val="24"/>
          <w:highlight w:val="none"/>
        </w:rPr>
        <w:t>/d</w:t>
      </w:r>
      <w:r>
        <w:rPr>
          <w:rFonts w:hint="eastAsia" w:ascii="Times New Roman" w:hAnsi="Times New Roman"/>
          <w:color w:val="auto"/>
          <w:sz w:val="24"/>
          <w:highlight w:val="none"/>
          <w:lang w:eastAsia="zh-CN"/>
        </w:rPr>
        <w:t>（</w:t>
      </w:r>
      <w:r>
        <w:rPr>
          <w:rFonts w:hint="eastAsia" w:ascii="Times New Roman" w:hAnsi="Times New Roman"/>
          <w:color w:val="auto"/>
          <w:sz w:val="24"/>
          <w:highlight w:val="none"/>
          <w:lang w:val="en-US" w:eastAsia="zh-CN"/>
        </w:rPr>
        <w:t>262.8</w:t>
      </w:r>
      <w:r>
        <w:rPr>
          <w:rFonts w:hint="eastAsia"/>
          <w:color w:val="auto"/>
          <w:kern w:val="0"/>
          <w:sz w:val="24"/>
          <w:highlight w:val="none"/>
          <w:lang w:eastAsia="zh-CN"/>
        </w:rPr>
        <w:t>m³</w:t>
      </w:r>
      <w:r>
        <w:rPr>
          <w:rFonts w:ascii="Times New Roman" w:hAnsi="Times New Roman"/>
          <w:color w:val="auto"/>
          <w:sz w:val="24"/>
          <w:highlight w:val="none"/>
        </w:rPr>
        <w:t>/d</w:t>
      </w:r>
      <w:r>
        <w:rPr>
          <w:rFonts w:hint="eastAsia" w:ascii="Times New Roman" w:hAnsi="Times New Roman"/>
          <w:color w:val="auto"/>
          <w:sz w:val="24"/>
          <w:highlight w:val="none"/>
          <w:lang w:eastAsia="zh-CN"/>
        </w:rPr>
        <w:t>）</w:t>
      </w:r>
      <w:r>
        <w:rPr>
          <w:rFonts w:ascii="Times New Roman" w:hAnsi="Times New Roman"/>
          <w:color w:val="auto"/>
          <w:kern w:val="0"/>
          <w:sz w:val="24"/>
          <w:highlight w:val="none"/>
        </w:rPr>
        <w:t>，排污系数取0</w:t>
      </w:r>
      <w:r>
        <w:rPr>
          <w:rFonts w:hint="eastAsia" w:ascii="Times New Roman" w:hAnsi="Times New Roman"/>
          <w:color w:val="auto"/>
          <w:kern w:val="0"/>
          <w:sz w:val="24"/>
          <w:highlight w:val="none"/>
          <w:lang w:val="en-US" w:eastAsia="zh-CN"/>
        </w:rPr>
        <w:t>.85</w:t>
      </w:r>
      <w:r>
        <w:rPr>
          <w:rFonts w:ascii="Times New Roman" w:hAnsi="Times New Roman"/>
          <w:color w:val="auto"/>
          <w:kern w:val="0"/>
          <w:sz w:val="24"/>
          <w:highlight w:val="none"/>
        </w:rPr>
        <w:t>，则</w:t>
      </w:r>
      <w:r>
        <w:rPr>
          <w:rFonts w:ascii="Times New Roman" w:hAnsi="Times New Roman"/>
          <w:color w:val="auto"/>
          <w:sz w:val="24"/>
          <w:highlight w:val="none"/>
        </w:rPr>
        <w:t>厂区生活污水产生量约</w:t>
      </w:r>
      <w:r>
        <w:rPr>
          <w:rFonts w:hint="eastAsia" w:ascii="Times New Roman" w:hAnsi="Times New Roman"/>
          <w:color w:val="auto"/>
          <w:sz w:val="24"/>
          <w:highlight w:val="none"/>
          <w:lang w:val="en-US" w:eastAsia="zh-CN"/>
        </w:rPr>
        <w:t>2.448</w:t>
      </w:r>
      <w:r>
        <w:rPr>
          <w:rFonts w:hint="eastAsia"/>
          <w:color w:val="auto"/>
          <w:sz w:val="24"/>
          <w:highlight w:val="none"/>
          <w:lang w:eastAsia="zh-CN"/>
        </w:rPr>
        <w:t>m³</w:t>
      </w:r>
      <w:r>
        <w:rPr>
          <w:rFonts w:ascii="Times New Roman" w:hAnsi="Times New Roman"/>
          <w:color w:val="auto"/>
          <w:sz w:val="24"/>
          <w:highlight w:val="none"/>
        </w:rPr>
        <w:t>/d，</w:t>
      </w:r>
      <w:r>
        <w:rPr>
          <w:rFonts w:hint="eastAsia" w:ascii="Times New Roman" w:hAnsi="Times New Roman"/>
          <w:color w:val="auto"/>
          <w:sz w:val="24"/>
          <w:highlight w:val="none"/>
          <w:lang w:val="en-US" w:eastAsia="zh-CN"/>
        </w:rPr>
        <w:t>893.52</w:t>
      </w:r>
      <w:r>
        <w:rPr>
          <w:rFonts w:hint="eastAsia"/>
          <w:color w:val="auto"/>
          <w:sz w:val="24"/>
          <w:highlight w:val="none"/>
          <w:lang w:eastAsia="zh-CN"/>
        </w:rPr>
        <w:t>m³</w:t>
      </w:r>
      <w:r>
        <w:rPr>
          <w:rFonts w:ascii="Times New Roman" w:hAnsi="Times New Roman"/>
          <w:color w:val="auto"/>
          <w:sz w:val="24"/>
          <w:highlight w:val="none"/>
        </w:rPr>
        <w:t>/a。</w:t>
      </w:r>
      <w:r>
        <w:rPr>
          <w:rFonts w:hint="eastAsia" w:ascii="Times New Roman" w:hAnsi="Times New Roman"/>
          <w:color w:val="auto"/>
          <w:sz w:val="24"/>
          <w:highlight w:val="none"/>
        </w:rPr>
        <w:t>食堂废水经新建隔油池处理后和生活污水一起经</w:t>
      </w:r>
      <w:r>
        <w:rPr>
          <w:rFonts w:hint="eastAsia" w:ascii="Times New Roman" w:hAnsi="Times New Roman"/>
          <w:color w:val="auto"/>
          <w:sz w:val="24"/>
          <w:highlight w:val="none"/>
          <w:lang w:val="en-US" w:eastAsia="zh-CN"/>
        </w:rPr>
        <w:t>本项目污水处理厂</w:t>
      </w:r>
      <w:r>
        <w:rPr>
          <w:rFonts w:hint="eastAsia" w:ascii="Times New Roman" w:hAnsi="Times New Roman"/>
          <w:color w:val="auto"/>
          <w:sz w:val="24"/>
          <w:highlight w:val="none"/>
        </w:rPr>
        <w:t>处理后排入</w:t>
      </w:r>
      <w:r>
        <w:rPr>
          <w:rFonts w:hint="eastAsia" w:ascii="Times New Roman" w:hAnsi="Times New Roman"/>
          <w:color w:val="auto"/>
          <w:sz w:val="24"/>
          <w:highlight w:val="none"/>
          <w:lang w:val="en-US" w:eastAsia="zh-CN"/>
        </w:rPr>
        <w:t>巴河</w:t>
      </w:r>
      <w:r>
        <w:rPr>
          <w:rFonts w:hint="eastAsia" w:ascii="Times New Roman" w:hAnsi="Times New Roman"/>
          <w:color w:val="auto"/>
          <w:sz w:val="24"/>
          <w:highlight w:val="none"/>
        </w:rPr>
        <w:t>。</w:t>
      </w:r>
    </w:p>
    <w:p w14:paraId="6E6760F1">
      <w:pPr>
        <w:spacing w:line="360" w:lineRule="auto"/>
        <w:ind w:firstLine="560"/>
        <w:rPr>
          <w:rFonts w:ascii="Times New Roman" w:hAnsi="Times New Roman"/>
          <w:b/>
          <w:bCs/>
          <w:color w:val="auto"/>
          <w:sz w:val="24"/>
          <w:highlight w:val="none"/>
        </w:rPr>
      </w:pPr>
      <w:r>
        <w:rPr>
          <w:rFonts w:ascii="Times New Roman" w:hAnsi="Times New Roman"/>
          <w:b/>
          <w:bCs/>
          <w:color w:val="auto"/>
          <w:sz w:val="24"/>
          <w:highlight w:val="none"/>
        </w:rPr>
        <w:t>2、</w:t>
      </w:r>
      <w:r>
        <w:rPr>
          <w:rFonts w:hint="eastAsia" w:ascii="Times New Roman" w:hAnsi="Times New Roman"/>
          <w:b/>
          <w:bCs/>
          <w:color w:val="auto"/>
          <w:sz w:val="24"/>
          <w:highlight w:val="none"/>
        </w:rPr>
        <w:t>反</w:t>
      </w:r>
      <w:r>
        <w:rPr>
          <w:rFonts w:ascii="Times New Roman" w:hAnsi="Times New Roman"/>
          <w:b/>
          <w:bCs/>
          <w:color w:val="auto"/>
          <w:sz w:val="24"/>
          <w:highlight w:val="none"/>
        </w:rPr>
        <w:t>冲洗</w:t>
      </w:r>
      <w:r>
        <w:rPr>
          <w:rFonts w:hint="eastAsia" w:ascii="Times New Roman" w:hAnsi="Times New Roman"/>
          <w:b/>
          <w:bCs/>
          <w:color w:val="auto"/>
          <w:sz w:val="24"/>
          <w:highlight w:val="none"/>
        </w:rPr>
        <w:t>用水</w:t>
      </w:r>
    </w:p>
    <w:p w14:paraId="73949659">
      <w:pPr>
        <w:pageBreakBefore w:val="0"/>
        <w:wordWrap/>
        <w:bidi w:val="0"/>
        <w:adjustRightInd/>
        <w:snapToGrid/>
        <w:ind w:firstLine="480"/>
        <w:rPr>
          <w:color w:val="auto"/>
          <w:highlight w:val="none"/>
        </w:rPr>
      </w:pPr>
      <w:r>
        <w:rPr>
          <w:color w:val="auto"/>
          <w:highlight w:val="none"/>
        </w:rPr>
        <w:t>为了保证滤池的有效运行，避免泥球和泥饼的出现，要对</w:t>
      </w:r>
      <w:r>
        <w:rPr>
          <w:rFonts w:hint="eastAsia"/>
          <w:color w:val="auto"/>
          <w:highlight w:val="none"/>
          <w:lang w:eastAsia="zh-CN"/>
        </w:rPr>
        <w:t>反硝化深床滤池</w:t>
      </w:r>
      <w:r>
        <w:rPr>
          <w:color w:val="auto"/>
          <w:highlight w:val="none"/>
        </w:rPr>
        <w:t>定期进行反冲洗。反冲洗水来自项目处理后的尾水，反冲洗水量以15</w:t>
      </w:r>
      <w:r>
        <w:rPr>
          <w:rFonts w:hint="eastAsia"/>
          <w:color w:val="auto"/>
          <w:highlight w:val="none"/>
          <w:lang w:eastAsia="zh-CN"/>
        </w:rPr>
        <w:t>m³</w:t>
      </w:r>
      <w:r>
        <w:rPr>
          <w:color w:val="auto"/>
          <w:highlight w:val="none"/>
        </w:rPr>
        <w:t>/</w:t>
      </w:r>
      <w:r>
        <w:rPr>
          <w:rFonts w:hint="eastAsia"/>
          <w:color w:val="auto"/>
          <w:highlight w:val="none"/>
          <w:lang w:eastAsia="zh-CN"/>
        </w:rPr>
        <w:t>m²</w:t>
      </w:r>
      <w:r>
        <w:rPr>
          <w:color w:val="auto"/>
          <w:highlight w:val="none"/>
        </w:rPr>
        <w:t>·h计，每格滤池面积</w:t>
      </w:r>
      <w:r>
        <w:rPr>
          <w:rFonts w:hint="eastAsia"/>
          <w:color w:val="auto"/>
          <w:highlight w:val="none"/>
          <w:lang w:val="en-US" w:eastAsia="zh-CN"/>
        </w:rPr>
        <w:t>23.8</w:t>
      </w:r>
      <w:r>
        <w:rPr>
          <w:color w:val="auto"/>
          <w:highlight w:val="none"/>
        </w:rPr>
        <w:t>m</w:t>
      </w:r>
      <w:r>
        <w:rPr>
          <w:color w:val="auto"/>
          <w:highlight w:val="none"/>
          <w:vertAlign w:val="superscript"/>
        </w:rPr>
        <w:t>2</w:t>
      </w:r>
      <w:r>
        <w:rPr>
          <w:color w:val="auto"/>
          <w:highlight w:val="none"/>
        </w:rPr>
        <w:t>，共</w:t>
      </w:r>
      <w:r>
        <w:rPr>
          <w:rFonts w:hint="eastAsia"/>
          <w:color w:val="auto"/>
          <w:highlight w:val="none"/>
          <w:lang w:val="en-US" w:eastAsia="zh-CN"/>
        </w:rPr>
        <w:t>2</w:t>
      </w:r>
      <w:r>
        <w:rPr>
          <w:color w:val="auto"/>
          <w:highlight w:val="none"/>
        </w:rPr>
        <w:t>格，冲洗时间为</w:t>
      </w:r>
      <w:r>
        <w:rPr>
          <w:rFonts w:hint="eastAsia"/>
          <w:color w:val="auto"/>
          <w:highlight w:val="none"/>
          <w:lang w:val="en-US" w:eastAsia="zh-CN"/>
        </w:rPr>
        <w:t>15</w:t>
      </w:r>
      <w:r>
        <w:rPr>
          <w:color w:val="auto"/>
          <w:highlight w:val="none"/>
        </w:rPr>
        <w:t>min/格，每格依次冲洗，反冲洗周期为24h，</w:t>
      </w:r>
      <w:r>
        <w:rPr>
          <w:rFonts w:hint="eastAsia"/>
          <w:color w:val="auto"/>
          <w:highlight w:val="none"/>
          <w:lang w:val="en-US" w:eastAsia="zh-CN"/>
        </w:rPr>
        <w:t>因</w:t>
      </w:r>
      <w:r>
        <w:rPr>
          <w:color w:val="auto"/>
          <w:highlight w:val="none"/>
        </w:rPr>
        <w:t>此会产生反冲洗废水</w:t>
      </w:r>
      <w:r>
        <w:rPr>
          <w:rFonts w:hint="eastAsia"/>
          <w:color w:val="auto"/>
          <w:highlight w:val="none"/>
          <w:lang w:val="en-US" w:eastAsia="zh-CN"/>
        </w:rPr>
        <w:t>178.5</w:t>
      </w:r>
      <w:r>
        <w:rPr>
          <w:rFonts w:hint="eastAsia"/>
          <w:color w:val="auto"/>
          <w:highlight w:val="none"/>
          <w:lang w:eastAsia="zh-CN"/>
        </w:rPr>
        <w:t>m³</w:t>
      </w:r>
      <w:r>
        <w:rPr>
          <w:color w:val="auto"/>
          <w:highlight w:val="none"/>
        </w:rPr>
        <w:t>/d，</w:t>
      </w:r>
    </w:p>
    <w:p w14:paraId="429D0B54">
      <w:pPr>
        <w:spacing w:line="360" w:lineRule="auto"/>
        <w:ind w:firstLine="560"/>
        <w:rPr>
          <w:rFonts w:ascii="Times New Roman" w:hAnsi="Times New Roman"/>
          <w:b/>
          <w:color w:val="auto"/>
          <w:sz w:val="24"/>
          <w:highlight w:val="none"/>
        </w:rPr>
      </w:pPr>
      <w:r>
        <w:rPr>
          <w:rFonts w:hint="eastAsia" w:ascii="Times New Roman" w:hAnsi="Times New Roman"/>
          <w:b/>
          <w:color w:val="auto"/>
          <w:sz w:val="24"/>
          <w:highlight w:val="none"/>
        </w:rPr>
        <w:t>3、污泥压缩机冲洗用水</w:t>
      </w:r>
    </w:p>
    <w:p w14:paraId="3655F939">
      <w:pPr>
        <w:spacing w:line="360" w:lineRule="auto"/>
        <w:ind w:firstLine="560"/>
        <w:rPr>
          <w:rFonts w:ascii="Times New Roman" w:hAnsi="Times New Roman"/>
          <w:color w:val="auto"/>
          <w:sz w:val="24"/>
          <w:highlight w:val="none"/>
        </w:rPr>
      </w:pPr>
      <w:r>
        <w:rPr>
          <w:rFonts w:hint="eastAsia" w:ascii="Times New Roman" w:hAnsi="Times New Roman"/>
          <w:bCs/>
          <w:color w:val="auto"/>
          <w:sz w:val="24"/>
          <w:highlight w:val="none"/>
        </w:rPr>
        <w:t>本项目设置有</w:t>
      </w:r>
      <w:r>
        <w:rPr>
          <w:rFonts w:hint="eastAsia" w:ascii="Times New Roman" w:hAnsi="Times New Roman"/>
          <w:color w:val="auto"/>
          <w:sz w:val="24"/>
          <w:highlight w:val="none"/>
          <w:lang w:eastAsia="zh-CN"/>
        </w:rPr>
        <w:t>转鼓浓缩机</w:t>
      </w:r>
      <w:r>
        <w:rPr>
          <w:rFonts w:hint="eastAsia" w:ascii="Times New Roman" w:hAnsi="Times New Roman"/>
          <w:color w:val="auto"/>
          <w:sz w:val="24"/>
          <w:highlight w:val="none"/>
        </w:rPr>
        <w:t>以及隔膜式板框压滤机进行污泥脱水，需进行冲洗，根据业主提供数据，每天冲洗用水约</w:t>
      </w:r>
      <w:r>
        <w:rPr>
          <w:rFonts w:hint="eastAsia" w:ascii="Times New Roman" w:hAnsi="Times New Roman"/>
          <w:color w:val="auto"/>
          <w:sz w:val="24"/>
          <w:highlight w:val="none"/>
          <w:lang w:val="en-US" w:eastAsia="zh-CN"/>
        </w:rPr>
        <w:t>6</w:t>
      </w:r>
      <w:r>
        <w:rPr>
          <w:rFonts w:hint="eastAsia" w:ascii="Times New Roman" w:hAnsi="Times New Roman"/>
          <w:color w:val="auto"/>
          <w:sz w:val="24"/>
          <w:highlight w:val="none"/>
          <w:lang w:eastAsia="zh-CN"/>
        </w:rPr>
        <w:t>m³</w:t>
      </w:r>
      <w:r>
        <w:rPr>
          <w:rFonts w:ascii="Times New Roman" w:hAnsi="Times New Roman"/>
          <w:color w:val="auto"/>
          <w:sz w:val="24"/>
          <w:highlight w:val="none"/>
        </w:rPr>
        <w:t>/d</w:t>
      </w:r>
      <w:r>
        <w:rPr>
          <w:rFonts w:hint="eastAsia" w:ascii="Times New Roman" w:hAnsi="Times New Roman"/>
          <w:color w:val="auto"/>
          <w:sz w:val="24"/>
          <w:highlight w:val="none"/>
        </w:rPr>
        <w:t>，废水产生量按0</w:t>
      </w:r>
      <w:r>
        <w:rPr>
          <w:rFonts w:ascii="Times New Roman" w:hAnsi="Times New Roman"/>
          <w:color w:val="auto"/>
          <w:sz w:val="24"/>
          <w:highlight w:val="none"/>
        </w:rPr>
        <w:t>.8</w:t>
      </w:r>
      <w:r>
        <w:rPr>
          <w:rFonts w:hint="eastAsia" w:ascii="Times New Roman" w:hAnsi="Times New Roman"/>
          <w:color w:val="auto"/>
          <w:sz w:val="24"/>
          <w:highlight w:val="none"/>
          <w:lang w:val="en-US" w:eastAsia="zh-CN"/>
        </w:rPr>
        <w:t>5</w:t>
      </w:r>
      <w:r>
        <w:rPr>
          <w:rFonts w:hint="eastAsia" w:ascii="Times New Roman" w:hAnsi="Times New Roman"/>
          <w:color w:val="auto"/>
          <w:sz w:val="24"/>
          <w:highlight w:val="none"/>
        </w:rPr>
        <w:t>计，则废水产生量约为</w:t>
      </w:r>
      <w:r>
        <w:rPr>
          <w:rFonts w:hint="eastAsia" w:ascii="Times New Roman" w:hAnsi="Times New Roman"/>
          <w:color w:val="auto"/>
          <w:sz w:val="24"/>
          <w:highlight w:val="none"/>
          <w:lang w:val="en-US" w:eastAsia="zh-CN"/>
        </w:rPr>
        <w:t>5.1</w:t>
      </w:r>
      <w:r>
        <w:rPr>
          <w:rFonts w:hint="eastAsia" w:ascii="Times New Roman" w:hAnsi="Times New Roman"/>
          <w:color w:val="auto"/>
          <w:sz w:val="24"/>
          <w:highlight w:val="none"/>
          <w:lang w:eastAsia="zh-CN"/>
        </w:rPr>
        <w:t>m³</w:t>
      </w:r>
      <w:r>
        <w:rPr>
          <w:rFonts w:ascii="Times New Roman" w:hAnsi="Times New Roman"/>
          <w:color w:val="auto"/>
          <w:sz w:val="24"/>
          <w:highlight w:val="none"/>
        </w:rPr>
        <w:t>/d</w:t>
      </w:r>
      <w:r>
        <w:rPr>
          <w:rFonts w:hint="eastAsia" w:ascii="Times New Roman" w:hAnsi="Times New Roman"/>
          <w:color w:val="auto"/>
          <w:sz w:val="24"/>
          <w:highlight w:val="none"/>
        </w:rPr>
        <w:t>，产生废水经收集后汇入</w:t>
      </w:r>
      <w:r>
        <w:rPr>
          <w:rFonts w:hint="eastAsia" w:ascii="Times New Roman" w:hAnsi="Times New Roman"/>
          <w:color w:val="auto"/>
          <w:sz w:val="24"/>
          <w:highlight w:val="none"/>
          <w:lang w:val="en-US" w:eastAsia="zh-CN"/>
        </w:rPr>
        <w:t>本</w:t>
      </w:r>
      <w:r>
        <w:rPr>
          <w:rFonts w:hint="eastAsia" w:ascii="Times New Roman" w:hAnsi="Times New Roman"/>
          <w:color w:val="auto"/>
          <w:sz w:val="24"/>
          <w:highlight w:val="none"/>
        </w:rPr>
        <w:t>污水处理厂</w:t>
      </w:r>
      <w:r>
        <w:rPr>
          <w:rFonts w:hint="eastAsia" w:ascii="Times New Roman" w:hAnsi="Times New Roman"/>
          <w:color w:val="auto"/>
          <w:sz w:val="24"/>
          <w:highlight w:val="none"/>
          <w:lang w:val="en-US" w:eastAsia="zh-CN"/>
        </w:rPr>
        <w:t>进行处理</w:t>
      </w:r>
      <w:r>
        <w:rPr>
          <w:rFonts w:hint="eastAsia" w:ascii="Times New Roman" w:hAnsi="Times New Roman"/>
          <w:color w:val="auto"/>
          <w:sz w:val="24"/>
          <w:highlight w:val="none"/>
        </w:rPr>
        <w:t>。</w:t>
      </w:r>
    </w:p>
    <w:p w14:paraId="6DF09A37">
      <w:pPr>
        <w:spacing w:line="360" w:lineRule="auto"/>
        <w:ind w:firstLine="560"/>
        <w:rPr>
          <w:rFonts w:ascii="Times New Roman" w:hAnsi="Times New Roman"/>
          <w:b/>
          <w:bCs/>
          <w:color w:val="auto"/>
          <w:sz w:val="24"/>
        </w:rPr>
      </w:pPr>
      <w:r>
        <w:rPr>
          <w:rFonts w:hint="eastAsia" w:ascii="Times New Roman" w:hAnsi="Times New Roman"/>
          <w:b/>
          <w:bCs/>
          <w:color w:val="auto"/>
          <w:sz w:val="24"/>
        </w:rPr>
        <w:t>4、栅渣含水</w:t>
      </w:r>
    </w:p>
    <w:p w14:paraId="1C30741F">
      <w:pPr>
        <w:spacing w:line="360" w:lineRule="auto"/>
        <w:ind w:firstLine="560"/>
        <w:rPr>
          <w:rFonts w:ascii="Times New Roman" w:hAnsi="Times New Roman"/>
          <w:color w:val="auto"/>
          <w:sz w:val="24"/>
        </w:rPr>
      </w:pPr>
      <w:r>
        <w:rPr>
          <w:rFonts w:hint="eastAsia" w:ascii="Times New Roman" w:hAnsi="Times New Roman"/>
          <w:color w:val="auto"/>
          <w:sz w:val="24"/>
        </w:rPr>
        <w:t>本项目粗细格栅会产生栅渣，产生量约为1t</w:t>
      </w:r>
      <w:r>
        <w:rPr>
          <w:rFonts w:ascii="Times New Roman" w:hAnsi="Times New Roman"/>
          <w:color w:val="auto"/>
          <w:sz w:val="24"/>
        </w:rPr>
        <w:t>/d</w:t>
      </w:r>
      <w:r>
        <w:rPr>
          <w:rFonts w:hint="eastAsia" w:ascii="Times New Roman" w:hAnsi="Times New Roman"/>
          <w:color w:val="auto"/>
          <w:sz w:val="24"/>
        </w:rPr>
        <w:t>，含水率约为</w:t>
      </w:r>
      <w:r>
        <w:rPr>
          <w:rFonts w:ascii="Times New Roman" w:hAnsi="Times New Roman"/>
          <w:color w:val="auto"/>
          <w:sz w:val="24"/>
        </w:rPr>
        <w:t>40%</w:t>
      </w:r>
      <w:r>
        <w:rPr>
          <w:rFonts w:hint="eastAsia" w:ascii="Times New Roman" w:hAnsi="Times New Roman"/>
          <w:color w:val="auto"/>
          <w:sz w:val="24"/>
        </w:rPr>
        <w:t>，栅渣含水量约为0</w:t>
      </w:r>
      <w:r>
        <w:rPr>
          <w:rFonts w:ascii="Times New Roman" w:hAnsi="Times New Roman"/>
          <w:color w:val="auto"/>
          <w:sz w:val="24"/>
        </w:rPr>
        <w:t>.4t</w:t>
      </w:r>
      <w:r>
        <w:rPr>
          <w:rFonts w:hint="eastAsia" w:ascii="Times New Roman" w:hAnsi="Times New Roman"/>
          <w:color w:val="auto"/>
          <w:sz w:val="24"/>
        </w:rPr>
        <w:t>，随栅渣集中收集后运往生活垃圾填埋场进行处理。</w:t>
      </w:r>
    </w:p>
    <w:p w14:paraId="3FE71DBD">
      <w:pPr>
        <w:spacing w:line="360" w:lineRule="auto"/>
        <w:ind w:firstLine="560"/>
        <w:rPr>
          <w:rFonts w:ascii="Times New Roman" w:hAnsi="Times New Roman"/>
          <w:b/>
          <w:bCs/>
          <w:color w:val="auto"/>
          <w:sz w:val="24"/>
          <w:highlight w:val="none"/>
        </w:rPr>
      </w:pPr>
      <w:r>
        <w:rPr>
          <w:rFonts w:hint="eastAsia" w:ascii="Times New Roman" w:hAnsi="Times New Roman"/>
          <w:b/>
          <w:bCs/>
          <w:color w:val="auto"/>
          <w:sz w:val="24"/>
          <w:highlight w:val="none"/>
          <w:lang w:val="en-US" w:eastAsia="zh-CN"/>
        </w:rPr>
        <w:t>5</w:t>
      </w:r>
      <w:r>
        <w:rPr>
          <w:rFonts w:ascii="Times New Roman" w:hAnsi="Times New Roman"/>
          <w:b/>
          <w:bCs/>
          <w:color w:val="auto"/>
          <w:sz w:val="24"/>
          <w:highlight w:val="none"/>
        </w:rPr>
        <w:t>、污泥</w:t>
      </w:r>
      <w:r>
        <w:rPr>
          <w:rFonts w:hint="eastAsia" w:ascii="Times New Roman" w:hAnsi="Times New Roman"/>
          <w:b/>
          <w:bCs/>
          <w:color w:val="auto"/>
          <w:sz w:val="24"/>
          <w:highlight w:val="none"/>
        </w:rPr>
        <w:t>含水</w:t>
      </w:r>
    </w:p>
    <w:p w14:paraId="72A4A71E">
      <w:pPr>
        <w:spacing w:line="360" w:lineRule="auto"/>
        <w:ind w:firstLine="480" w:firstLineChars="200"/>
        <w:rPr>
          <w:rFonts w:ascii="Times New Roman" w:hAnsi="Times New Roman"/>
          <w:bCs/>
          <w:color w:val="auto"/>
          <w:sz w:val="24"/>
          <w:highlight w:val="none"/>
        </w:rPr>
      </w:pPr>
      <w:r>
        <w:rPr>
          <w:rFonts w:ascii="Times New Roman" w:hAnsi="Times New Roman"/>
          <w:bCs/>
          <w:color w:val="auto"/>
          <w:sz w:val="24"/>
          <w:highlight w:val="none"/>
        </w:rPr>
        <w:t>本项目</w:t>
      </w:r>
      <w:r>
        <w:rPr>
          <w:rFonts w:hint="eastAsia" w:ascii="Times New Roman" w:hAnsi="Times New Roman"/>
          <w:bCs/>
          <w:color w:val="auto"/>
          <w:sz w:val="24"/>
          <w:highlight w:val="none"/>
        </w:rPr>
        <w:t>废水处理工序中会产生污泥，含水率约为9</w:t>
      </w:r>
      <w:r>
        <w:rPr>
          <w:rFonts w:ascii="Times New Roman" w:hAnsi="Times New Roman"/>
          <w:bCs/>
          <w:color w:val="auto"/>
          <w:sz w:val="24"/>
          <w:highlight w:val="none"/>
        </w:rPr>
        <w:t>9%</w:t>
      </w:r>
      <w:r>
        <w:rPr>
          <w:rFonts w:hint="eastAsia" w:ascii="Times New Roman" w:hAnsi="Times New Roman"/>
          <w:bCs/>
          <w:color w:val="auto"/>
          <w:sz w:val="24"/>
          <w:highlight w:val="none"/>
        </w:rPr>
        <w:t>，</w:t>
      </w:r>
      <w:r>
        <w:rPr>
          <w:rFonts w:ascii="Times New Roman" w:hAnsi="Times New Roman"/>
          <w:bCs/>
          <w:color w:val="auto"/>
          <w:sz w:val="24"/>
          <w:highlight w:val="none"/>
        </w:rPr>
        <w:t>产生的污泥经压缩脱水后定期外运填埋，此过程中会产生污泥脱水废水，污泥脱水前含水率为99%，脱水后污泥含水率为60%计，根据污泥产生量计算污泥</w:t>
      </w:r>
      <w:r>
        <w:rPr>
          <w:rFonts w:hint="eastAsia" w:ascii="Times New Roman" w:hAnsi="Times New Roman"/>
          <w:bCs/>
          <w:color w:val="auto"/>
          <w:sz w:val="24"/>
          <w:highlight w:val="none"/>
          <w:lang w:val="en-US" w:eastAsia="zh-CN"/>
        </w:rPr>
        <w:t>含水</w:t>
      </w:r>
      <w:r>
        <w:rPr>
          <w:rFonts w:hint="eastAsia" w:ascii="Times New Roman" w:hAnsi="Times New Roman"/>
          <w:bCs/>
          <w:color w:val="auto"/>
          <w:sz w:val="24"/>
          <w:highlight w:val="none"/>
        </w:rPr>
        <w:t>量约为</w:t>
      </w:r>
      <w:r>
        <w:rPr>
          <w:rFonts w:hint="eastAsia" w:ascii="Times New Roman" w:hAnsi="Times New Roman"/>
          <w:bCs/>
          <w:color w:val="auto"/>
          <w:sz w:val="24"/>
          <w:highlight w:val="none"/>
          <w:lang w:val="en-US" w:eastAsia="zh-CN"/>
        </w:rPr>
        <w:t>152.7</w:t>
      </w:r>
      <w:r>
        <w:rPr>
          <w:rFonts w:ascii="Times New Roman" w:hAnsi="Times New Roman"/>
          <w:bCs/>
          <w:color w:val="auto"/>
          <w:sz w:val="24"/>
          <w:highlight w:val="none"/>
        </w:rPr>
        <w:t>t/d</w:t>
      </w:r>
      <w:r>
        <w:rPr>
          <w:rFonts w:hint="eastAsia" w:ascii="Times New Roman" w:hAnsi="Times New Roman"/>
          <w:bCs/>
          <w:color w:val="auto"/>
          <w:sz w:val="24"/>
          <w:highlight w:val="none"/>
        </w:rPr>
        <w:t>，</w:t>
      </w:r>
      <w:r>
        <w:rPr>
          <w:rFonts w:ascii="Times New Roman" w:hAnsi="Times New Roman"/>
          <w:bCs/>
          <w:color w:val="auto"/>
          <w:sz w:val="24"/>
          <w:highlight w:val="none"/>
        </w:rPr>
        <w:t>脱水废水量约</w:t>
      </w:r>
      <w:r>
        <w:rPr>
          <w:rFonts w:hint="eastAsia" w:ascii="Times New Roman" w:hAnsi="Times New Roman"/>
          <w:bCs/>
          <w:color w:val="auto"/>
          <w:sz w:val="24"/>
          <w:highlight w:val="none"/>
          <w:lang w:val="en-US" w:eastAsia="zh-CN"/>
        </w:rPr>
        <w:t>101.8</w:t>
      </w:r>
      <w:r>
        <w:rPr>
          <w:rFonts w:hint="eastAsia" w:ascii="Times New Roman" w:hAnsi="Times New Roman"/>
          <w:bCs/>
          <w:color w:val="auto"/>
          <w:sz w:val="24"/>
          <w:highlight w:val="none"/>
          <w:lang w:eastAsia="zh-CN"/>
        </w:rPr>
        <w:t>m³</w:t>
      </w:r>
      <w:r>
        <w:rPr>
          <w:rFonts w:ascii="Times New Roman" w:hAnsi="Times New Roman"/>
          <w:bCs/>
          <w:color w:val="auto"/>
          <w:sz w:val="24"/>
          <w:highlight w:val="none"/>
        </w:rPr>
        <w:t>/d</w:t>
      </w:r>
      <w:r>
        <w:rPr>
          <w:rFonts w:hint="eastAsia" w:ascii="Times New Roman" w:hAnsi="Times New Roman"/>
          <w:bCs/>
          <w:color w:val="auto"/>
          <w:sz w:val="24"/>
          <w:highlight w:val="none"/>
        </w:rPr>
        <w:t>，</w:t>
      </w:r>
      <w:r>
        <w:rPr>
          <w:rFonts w:ascii="Times New Roman" w:hAnsi="Times New Roman"/>
          <w:bCs/>
          <w:color w:val="auto"/>
          <w:sz w:val="24"/>
          <w:highlight w:val="none"/>
        </w:rPr>
        <w:t>污泥脱水废水返回格栅进入污水处理厂处理。</w:t>
      </w:r>
    </w:p>
    <w:p w14:paraId="085E5378">
      <w:pPr>
        <w:bidi w:val="0"/>
        <w:rPr>
          <w:b/>
          <w:bCs/>
          <w:color w:val="auto"/>
        </w:rPr>
      </w:pPr>
      <w:r>
        <w:rPr>
          <w:rFonts w:hint="eastAsia"/>
          <w:b/>
          <w:bCs/>
          <w:color w:val="auto"/>
          <w:lang w:val="en-US" w:eastAsia="zh-CN"/>
        </w:rPr>
        <w:t>6</w:t>
      </w:r>
      <w:r>
        <w:rPr>
          <w:rFonts w:hint="eastAsia"/>
          <w:b/>
          <w:bCs/>
          <w:color w:val="auto"/>
        </w:rPr>
        <w:t>、生物除臭用水</w:t>
      </w:r>
    </w:p>
    <w:p w14:paraId="74921DA8">
      <w:pPr>
        <w:bidi w:val="0"/>
        <w:rPr>
          <w:color w:val="auto"/>
        </w:rPr>
      </w:pPr>
      <w:r>
        <w:rPr>
          <w:rFonts w:hint="eastAsia"/>
          <w:color w:val="auto"/>
        </w:rPr>
        <w:t>本项目</w:t>
      </w:r>
      <w:r>
        <w:rPr>
          <w:rFonts w:hint="eastAsia"/>
          <w:color w:val="auto"/>
          <w:lang w:val="en-US" w:eastAsia="zh-CN"/>
        </w:rPr>
        <w:t>设置生物滤池除臭</w:t>
      </w:r>
      <w:r>
        <w:rPr>
          <w:rFonts w:hint="eastAsia"/>
          <w:color w:val="auto"/>
        </w:rPr>
        <w:t>，</w:t>
      </w:r>
      <w:r>
        <w:rPr>
          <w:color w:val="auto"/>
        </w:rPr>
        <w:t>除臭系统会定期产生含有活性菌种的废弃滤液，</w:t>
      </w:r>
      <w:r>
        <w:rPr>
          <w:rFonts w:hint="eastAsia"/>
          <w:color w:val="auto"/>
          <w:lang w:val="en-US" w:eastAsia="zh-CN"/>
        </w:rPr>
        <w:t>根据建设单位提供资料，本项目生物滤池除臭系统内设置两个循环水箱，</w:t>
      </w:r>
      <w:r>
        <w:rPr>
          <w:rFonts w:hint="eastAsia"/>
          <w:color w:val="auto"/>
        </w:rPr>
        <w:t>用水量约为1</w:t>
      </w:r>
      <w:r>
        <w:rPr>
          <w:rFonts w:hint="eastAsia"/>
          <w:color w:val="auto"/>
          <w:lang w:val="en-US" w:eastAsia="zh-CN"/>
        </w:rPr>
        <w:t>.5</w:t>
      </w:r>
      <w:r>
        <w:rPr>
          <w:rFonts w:hint="eastAsia"/>
          <w:color w:val="auto"/>
          <w:lang w:eastAsia="zh-CN"/>
        </w:rPr>
        <w:t>m³</w:t>
      </w:r>
      <w:r>
        <w:rPr>
          <w:rFonts w:hint="eastAsia"/>
          <w:color w:val="auto"/>
        </w:rPr>
        <w:t>，水循环使用，每天补充用水为0</w:t>
      </w:r>
      <w:r>
        <w:rPr>
          <w:color w:val="auto"/>
        </w:rPr>
        <w:t>.</w:t>
      </w:r>
      <w:r>
        <w:rPr>
          <w:rFonts w:hint="eastAsia"/>
          <w:color w:val="auto"/>
          <w:lang w:val="en-US" w:eastAsia="zh-CN"/>
        </w:rPr>
        <w:t>1</w:t>
      </w:r>
      <w:r>
        <w:rPr>
          <w:rFonts w:hint="eastAsia"/>
          <w:color w:val="auto"/>
          <w:lang w:eastAsia="zh-CN"/>
        </w:rPr>
        <w:t>m³</w:t>
      </w:r>
      <w:r>
        <w:rPr>
          <w:color w:val="auto"/>
        </w:rPr>
        <w:t>/d</w:t>
      </w:r>
      <w:r>
        <w:rPr>
          <w:rFonts w:hint="eastAsia"/>
          <w:color w:val="auto"/>
        </w:rPr>
        <w:t>，</w:t>
      </w:r>
      <w:r>
        <w:rPr>
          <w:color w:val="auto"/>
        </w:rPr>
        <w:t>滤池的滤液更换频率为每月1次，每次废液产量为</w:t>
      </w:r>
      <w:r>
        <w:rPr>
          <w:rFonts w:hint="eastAsia"/>
          <w:color w:val="auto"/>
          <w:lang w:val="en-US" w:eastAsia="zh-CN"/>
        </w:rPr>
        <w:t>1.5</w:t>
      </w:r>
      <w:r>
        <w:rPr>
          <w:rFonts w:hint="eastAsia"/>
          <w:color w:val="auto"/>
          <w:lang w:eastAsia="zh-CN"/>
        </w:rPr>
        <w:t>m³，</w:t>
      </w:r>
      <w:r>
        <w:rPr>
          <w:rFonts w:hint="eastAsia"/>
          <w:color w:val="auto"/>
          <w:lang w:val="en-US" w:eastAsia="zh-CN"/>
        </w:rPr>
        <w:t>通</w:t>
      </w:r>
      <w:r>
        <w:rPr>
          <w:color w:val="auto"/>
        </w:rPr>
        <w:t>过管道排入本污水处理厂处理。</w:t>
      </w:r>
    </w:p>
    <w:p w14:paraId="12AE40D1">
      <w:pPr>
        <w:bidi w:val="0"/>
        <w:rPr>
          <w:b/>
          <w:bCs/>
          <w:color w:val="auto"/>
        </w:rPr>
      </w:pPr>
      <w:r>
        <w:rPr>
          <w:rFonts w:hint="eastAsia"/>
          <w:b/>
          <w:bCs/>
          <w:color w:val="auto"/>
          <w:lang w:val="en-US" w:eastAsia="zh-CN"/>
        </w:rPr>
        <w:t>7、</w:t>
      </w:r>
      <w:r>
        <w:rPr>
          <w:b/>
          <w:bCs/>
          <w:color w:val="auto"/>
        </w:rPr>
        <w:t>地坪冲洗废水</w:t>
      </w:r>
    </w:p>
    <w:p w14:paraId="5BF86079">
      <w:pPr>
        <w:bidi w:val="0"/>
        <w:rPr>
          <w:color w:val="auto"/>
        </w:rPr>
      </w:pPr>
      <w:r>
        <w:rPr>
          <w:color w:val="auto"/>
        </w:rPr>
        <w:t>项目运营期定期对</w:t>
      </w:r>
      <w:r>
        <w:rPr>
          <w:rFonts w:hint="eastAsia"/>
          <w:color w:val="auto"/>
          <w:lang w:eastAsia="zh-CN"/>
        </w:rPr>
        <w:t>污水处理厂</w:t>
      </w:r>
      <w:r>
        <w:rPr>
          <w:color w:val="auto"/>
        </w:rPr>
        <w:t>地坪进行冲洗，每天冲洗1次，冲洗废水约5</w:t>
      </w:r>
      <w:r>
        <w:rPr>
          <w:rFonts w:hint="eastAsia"/>
          <w:color w:val="auto"/>
          <w:lang w:eastAsia="zh-CN"/>
        </w:rPr>
        <w:t>m³</w:t>
      </w:r>
      <w:r>
        <w:rPr>
          <w:color w:val="auto"/>
        </w:rPr>
        <w:t>/d，通过管道排入本污水处理厂处理。</w:t>
      </w:r>
    </w:p>
    <w:p w14:paraId="328DA99C">
      <w:pPr>
        <w:bidi w:val="0"/>
        <w:rPr>
          <w:b/>
          <w:bCs/>
          <w:color w:val="auto"/>
        </w:rPr>
      </w:pPr>
      <w:r>
        <w:rPr>
          <w:rFonts w:hint="eastAsia"/>
          <w:b/>
          <w:bCs/>
          <w:color w:val="auto"/>
          <w:lang w:val="en-US" w:eastAsia="zh-CN"/>
        </w:rPr>
        <w:t>8</w:t>
      </w:r>
      <w:r>
        <w:rPr>
          <w:b/>
          <w:bCs/>
          <w:color w:val="auto"/>
        </w:rPr>
        <w:t>、绿化用水</w:t>
      </w:r>
    </w:p>
    <w:p w14:paraId="13DF620E">
      <w:pPr>
        <w:bidi w:val="0"/>
        <w:rPr>
          <w:color w:val="auto"/>
        </w:rPr>
      </w:pPr>
      <w:r>
        <w:rPr>
          <w:color w:val="auto"/>
        </w:rPr>
        <w:t>本项目绿化面积</w:t>
      </w:r>
      <w:r>
        <w:rPr>
          <w:rFonts w:hint="eastAsia"/>
          <w:color w:val="auto"/>
          <w:lang w:val="en-US" w:eastAsia="zh-CN"/>
        </w:rPr>
        <w:t>3853.8</w:t>
      </w:r>
      <w:r>
        <w:rPr>
          <w:color w:val="auto"/>
        </w:rPr>
        <w:t>m</w:t>
      </w:r>
      <w:r>
        <w:rPr>
          <w:rFonts w:hint="eastAsia"/>
          <w:color w:val="auto"/>
          <w:lang w:val="en-US" w:eastAsia="zh-CN"/>
        </w:rPr>
        <w:t>²</w:t>
      </w:r>
      <w:r>
        <w:rPr>
          <w:color w:val="auto"/>
        </w:rPr>
        <w:t>，绿化用水按2L/m</w:t>
      </w:r>
      <w:r>
        <w:rPr>
          <w:rFonts w:hint="eastAsia"/>
          <w:color w:val="auto"/>
          <w:lang w:val="en-US" w:eastAsia="zh-CN"/>
        </w:rPr>
        <w:t>²</w:t>
      </w:r>
      <w:r>
        <w:rPr>
          <w:color w:val="auto"/>
        </w:rPr>
        <w:t>计，则本项目绿化用水约为</w:t>
      </w:r>
      <w:r>
        <w:rPr>
          <w:rFonts w:hint="eastAsia"/>
          <w:color w:val="auto"/>
          <w:lang w:val="en-US" w:eastAsia="zh-CN"/>
        </w:rPr>
        <w:t>11.56</w:t>
      </w:r>
      <w:r>
        <w:rPr>
          <w:rFonts w:hint="eastAsia"/>
          <w:color w:val="auto"/>
          <w:lang w:eastAsia="zh-CN"/>
        </w:rPr>
        <w:t>m³</w:t>
      </w:r>
      <w:r>
        <w:rPr>
          <w:color w:val="auto"/>
        </w:rPr>
        <w:t>/d，绿化用水采用污水处理厂处理达标后的尾水。</w:t>
      </w:r>
    </w:p>
    <w:p w14:paraId="600B3BB4">
      <w:pPr>
        <w:spacing w:line="360" w:lineRule="auto"/>
        <w:ind w:firstLine="482" w:firstLineChars="200"/>
        <w:rPr>
          <w:rFonts w:ascii="Times New Roman" w:hAnsi="Times New Roman"/>
          <w:b/>
          <w:bCs/>
          <w:color w:val="auto"/>
          <w:sz w:val="24"/>
          <w:highlight w:val="none"/>
        </w:rPr>
      </w:pPr>
      <w:r>
        <w:rPr>
          <w:rFonts w:hint="eastAsia" w:ascii="Times New Roman" w:hAnsi="Times New Roman"/>
          <w:b/>
          <w:bCs/>
          <w:color w:val="auto"/>
          <w:sz w:val="24"/>
          <w:highlight w:val="none"/>
          <w:lang w:val="en-US" w:eastAsia="zh-CN"/>
        </w:rPr>
        <w:t>9</w:t>
      </w:r>
      <w:r>
        <w:rPr>
          <w:rFonts w:ascii="Times New Roman" w:hAnsi="Times New Roman"/>
          <w:b/>
          <w:bCs/>
          <w:color w:val="auto"/>
          <w:sz w:val="24"/>
          <w:highlight w:val="none"/>
        </w:rPr>
        <w:t>、污水处理厂</w:t>
      </w:r>
      <w:r>
        <w:rPr>
          <w:rFonts w:hint="eastAsia" w:ascii="Times New Roman" w:hAnsi="Times New Roman"/>
          <w:b/>
          <w:bCs/>
          <w:color w:val="auto"/>
          <w:sz w:val="24"/>
          <w:highlight w:val="none"/>
        </w:rPr>
        <w:t>接纳</w:t>
      </w:r>
      <w:r>
        <w:rPr>
          <w:rFonts w:ascii="Times New Roman" w:hAnsi="Times New Roman"/>
          <w:b/>
          <w:bCs/>
          <w:color w:val="auto"/>
          <w:sz w:val="24"/>
          <w:highlight w:val="none"/>
        </w:rPr>
        <w:t>废水</w:t>
      </w:r>
    </w:p>
    <w:p w14:paraId="182EF08C">
      <w:pPr>
        <w:spacing w:line="360" w:lineRule="auto"/>
        <w:ind w:firstLine="480" w:firstLineChars="200"/>
        <w:rPr>
          <w:rFonts w:ascii="Times New Roman" w:hAnsi="Times New Roman"/>
          <w:bCs/>
          <w:color w:val="auto"/>
          <w:sz w:val="24"/>
          <w:highlight w:val="none"/>
        </w:rPr>
      </w:pPr>
      <w:r>
        <w:rPr>
          <w:rFonts w:ascii="Times New Roman" w:hAnsi="Times New Roman"/>
          <w:bCs/>
          <w:color w:val="auto"/>
          <w:sz w:val="24"/>
          <w:highlight w:val="none"/>
        </w:rPr>
        <w:t>本项目污水处理规模为</w:t>
      </w:r>
      <w:r>
        <w:rPr>
          <w:rFonts w:hint="eastAsia" w:ascii="Times New Roman" w:hAnsi="Times New Roman"/>
          <w:bCs/>
          <w:color w:val="auto"/>
          <w:sz w:val="24"/>
          <w:highlight w:val="none"/>
          <w:lang w:val="en-US" w:eastAsia="zh-CN"/>
        </w:rPr>
        <w:t>0.3</w:t>
      </w:r>
      <w:r>
        <w:rPr>
          <w:rFonts w:ascii="Times New Roman" w:hAnsi="Times New Roman"/>
          <w:bCs/>
          <w:color w:val="auto"/>
          <w:sz w:val="24"/>
          <w:highlight w:val="none"/>
        </w:rPr>
        <w:t>万</w:t>
      </w:r>
      <w:r>
        <w:rPr>
          <w:rFonts w:hint="eastAsia" w:ascii="Times New Roman" w:hAnsi="Times New Roman"/>
          <w:bCs/>
          <w:color w:val="auto"/>
          <w:sz w:val="24"/>
          <w:highlight w:val="none"/>
          <w:lang w:eastAsia="zh-CN"/>
        </w:rPr>
        <w:t>m³</w:t>
      </w:r>
      <w:r>
        <w:rPr>
          <w:rFonts w:ascii="Times New Roman" w:hAnsi="Times New Roman"/>
          <w:bCs/>
          <w:color w:val="auto"/>
          <w:sz w:val="24"/>
          <w:highlight w:val="none"/>
        </w:rPr>
        <w:t>/d，污水接纳量为</w:t>
      </w:r>
      <w:r>
        <w:rPr>
          <w:rFonts w:hint="eastAsia" w:ascii="Times New Roman" w:hAnsi="Times New Roman"/>
          <w:bCs/>
          <w:color w:val="auto"/>
          <w:sz w:val="24"/>
          <w:highlight w:val="none"/>
          <w:lang w:val="en-US" w:eastAsia="zh-CN"/>
        </w:rPr>
        <w:t>0.3</w:t>
      </w:r>
      <w:r>
        <w:rPr>
          <w:rFonts w:ascii="Times New Roman" w:hAnsi="Times New Roman"/>
          <w:bCs/>
          <w:color w:val="auto"/>
          <w:sz w:val="24"/>
          <w:highlight w:val="none"/>
        </w:rPr>
        <w:t>万</w:t>
      </w:r>
      <w:r>
        <w:rPr>
          <w:rFonts w:hint="eastAsia" w:ascii="Times New Roman" w:hAnsi="Times New Roman"/>
          <w:bCs/>
          <w:color w:val="auto"/>
          <w:sz w:val="24"/>
          <w:highlight w:val="none"/>
          <w:lang w:eastAsia="zh-CN"/>
        </w:rPr>
        <w:t>m³</w:t>
      </w:r>
      <w:r>
        <w:rPr>
          <w:rFonts w:ascii="Times New Roman" w:hAnsi="Times New Roman"/>
          <w:bCs/>
          <w:color w:val="auto"/>
          <w:sz w:val="24"/>
          <w:highlight w:val="none"/>
        </w:rPr>
        <w:t>/d，剩余废水由尾水排放管道引至</w:t>
      </w:r>
      <w:r>
        <w:rPr>
          <w:rFonts w:hint="eastAsia" w:ascii="Times New Roman" w:hAnsi="Times New Roman"/>
          <w:bCs/>
          <w:color w:val="auto"/>
          <w:sz w:val="24"/>
          <w:highlight w:val="none"/>
          <w:lang w:val="en-US" w:eastAsia="zh-CN"/>
        </w:rPr>
        <w:t>巴河</w:t>
      </w:r>
      <w:r>
        <w:rPr>
          <w:rFonts w:ascii="Times New Roman" w:hAnsi="Times New Roman"/>
          <w:bCs/>
          <w:color w:val="auto"/>
          <w:sz w:val="24"/>
          <w:highlight w:val="none"/>
        </w:rPr>
        <w:t>进行排放。本项目水平衡图见下图所示。</w:t>
      </w:r>
    </w:p>
    <w:p w14:paraId="4C4EFC14">
      <w:pPr>
        <w:ind w:left="0" w:leftChars="0" w:firstLine="0" w:firstLineChars="0"/>
        <w:jc w:val="center"/>
        <w:rPr>
          <w:rFonts w:ascii="Times New Roman" w:hAnsi="Times New Roman"/>
          <w:bCs/>
          <w:color w:val="auto"/>
          <w:sz w:val="24"/>
          <w:highlight w:val="none"/>
        </w:rPr>
      </w:pPr>
      <w:r>
        <w:rPr>
          <w:rFonts w:ascii="Times New Roman" w:hAnsi="Times New Roman"/>
          <w:bCs/>
          <w:color w:val="auto"/>
          <w:sz w:val="24"/>
          <w:highlight w:val="none"/>
        </w:rPr>
        <w:object>
          <v:shape id="_x0000_i1028" o:spt="75" type="#_x0000_t75" style="height:315.7pt;width:398.85pt;" o:ole="t" filled="f" o:preferrelative="t" stroked="f" coordsize="21600,21600">
            <v:path/>
            <v:fill on="f" focussize="0,0"/>
            <v:stroke on="f"/>
            <v:imagedata r:id="rId63" o:title=""/>
            <o:lock v:ext="edit" aspectratio="t"/>
            <w10:wrap type="none"/>
            <w10:anchorlock/>
          </v:shape>
          <o:OLEObject Type="Embed" ProgID="Visio.Drawing.11" ShapeID="_x0000_i1028" DrawAspect="Content" ObjectID="_1468075728" r:id="rId62">
            <o:LockedField>false</o:LockedField>
          </o:OLEObject>
        </w:object>
      </w:r>
    </w:p>
    <w:p w14:paraId="2DE8797B">
      <w:pPr>
        <w:ind w:left="0" w:leftChars="0" w:firstLine="0" w:firstLineChars="0"/>
        <w:jc w:val="center"/>
        <w:rPr>
          <w:rStyle w:val="77"/>
          <w:color w:val="auto"/>
          <w:highlight w:val="none"/>
        </w:rPr>
      </w:pPr>
      <w:r>
        <w:rPr>
          <w:rStyle w:val="77"/>
          <w:color w:val="auto"/>
          <w:highlight w:val="none"/>
        </w:rPr>
        <w:t>图</w:t>
      </w:r>
      <w:r>
        <w:rPr>
          <w:rStyle w:val="77"/>
          <w:rFonts w:hint="eastAsia"/>
          <w:color w:val="auto"/>
          <w:highlight w:val="none"/>
          <w:lang w:val="en-US" w:eastAsia="zh-CN"/>
        </w:rPr>
        <w:t>2.3-4</w:t>
      </w:r>
      <w:r>
        <w:rPr>
          <w:rStyle w:val="77"/>
          <w:color w:val="auto"/>
          <w:highlight w:val="none"/>
        </w:rPr>
        <w:t xml:space="preserve"> 本项目水平衡图  单位：</w:t>
      </w:r>
      <w:r>
        <w:rPr>
          <w:rStyle w:val="77"/>
          <w:rFonts w:hint="eastAsia"/>
          <w:color w:val="auto"/>
          <w:highlight w:val="none"/>
          <w:lang w:eastAsia="zh-CN"/>
        </w:rPr>
        <w:t>m³</w:t>
      </w:r>
      <w:r>
        <w:rPr>
          <w:rStyle w:val="77"/>
          <w:color w:val="auto"/>
          <w:highlight w:val="none"/>
        </w:rPr>
        <w:t>/d</w:t>
      </w:r>
    </w:p>
    <w:p w14:paraId="262348E9">
      <w:pPr>
        <w:pStyle w:val="4"/>
        <w:pageBreakBefore w:val="0"/>
        <w:wordWrap/>
        <w:bidi w:val="0"/>
        <w:adjustRightInd/>
        <w:snapToGrid/>
        <w:rPr>
          <w:rFonts w:ascii="Times New Roman" w:hAnsi="Times New Roman" w:eastAsia="宋体"/>
          <w:color w:val="auto"/>
        </w:rPr>
      </w:pPr>
      <w:bookmarkStart w:id="104" w:name="_Toc32346"/>
      <w:r>
        <w:rPr>
          <w:rFonts w:hint="eastAsia" w:ascii="Times New Roman" w:hAnsi="Times New Roman" w:eastAsia="宋体"/>
          <w:color w:val="auto"/>
        </w:rPr>
        <w:t xml:space="preserve"> </w:t>
      </w:r>
      <w:bookmarkStart w:id="105" w:name="_Toc17909"/>
      <w:r>
        <w:rPr>
          <w:rFonts w:ascii="Times New Roman" w:hAnsi="Times New Roman" w:eastAsia="宋体"/>
          <w:color w:val="auto"/>
        </w:rPr>
        <w:t>施工期污染物排放及治理措施</w:t>
      </w:r>
      <w:bookmarkEnd w:id="104"/>
      <w:bookmarkEnd w:id="105"/>
    </w:p>
    <w:p w14:paraId="4B25A789">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施工期废水产生及治理措施</w:t>
      </w:r>
    </w:p>
    <w:p w14:paraId="02B424BA">
      <w:pPr>
        <w:pageBreakBefore w:val="0"/>
        <w:wordWrap/>
        <w:bidi w:val="0"/>
        <w:adjustRightInd/>
        <w:snapToGrid/>
        <w:ind w:firstLine="480"/>
        <w:rPr>
          <w:color w:val="auto"/>
        </w:rPr>
      </w:pPr>
      <w:r>
        <w:rPr>
          <w:color w:val="auto"/>
        </w:rPr>
        <w:t>施工期产生的废水主要为施工人员的生活污水以及施工过程中产生的施工废水。</w:t>
      </w:r>
    </w:p>
    <w:p w14:paraId="551A041C">
      <w:pPr>
        <w:pageBreakBefore w:val="0"/>
        <w:wordWrap/>
        <w:bidi w:val="0"/>
        <w:adjustRightInd/>
        <w:snapToGrid/>
        <w:ind w:firstLine="480"/>
        <w:rPr>
          <w:b/>
          <w:bCs/>
          <w:color w:val="auto"/>
        </w:rPr>
      </w:pPr>
      <w:r>
        <w:rPr>
          <w:b/>
          <w:bCs/>
          <w:color w:val="auto"/>
        </w:rPr>
        <w:t>（1）生活污水</w:t>
      </w:r>
    </w:p>
    <w:p w14:paraId="73F6F866">
      <w:pPr>
        <w:pageBreakBefore w:val="0"/>
        <w:wordWrap/>
        <w:bidi w:val="0"/>
        <w:adjustRightInd/>
        <w:snapToGrid/>
        <w:ind w:firstLine="480"/>
        <w:rPr>
          <w:color w:val="auto"/>
        </w:rPr>
      </w:pPr>
      <w:r>
        <w:rPr>
          <w:color w:val="auto"/>
        </w:rPr>
        <w:t>建设施工期间，高峰期使用民工及管理人员</w:t>
      </w:r>
      <w:r>
        <w:rPr>
          <w:rFonts w:hint="eastAsia"/>
          <w:color w:val="auto"/>
          <w:lang w:val="en-US" w:eastAsia="zh-CN"/>
        </w:rPr>
        <w:t>100</w:t>
      </w:r>
      <w:r>
        <w:rPr>
          <w:color w:val="auto"/>
        </w:rPr>
        <w:t>人。人均用水40L/d，则高峰生活用水量为</w:t>
      </w:r>
      <w:r>
        <w:rPr>
          <w:rFonts w:hint="eastAsia"/>
          <w:color w:val="auto"/>
          <w:lang w:val="en-US" w:eastAsia="zh-CN"/>
        </w:rPr>
        <w:t>4</w:t>
      </w:r>
      <w:r>
        <w:rPr>
          <w:rFonts w:hint="eastAsia"/>
          <w:color w:val="auto"/>
          <w:lang w:eastAsia="zh-CN"/>
        </w:rPr>
        <w:t>m³</w:t>
      </w:r>
      <w:r>
        <w:rPr>
          <w:color w:val="auto"/>
        </w:rPr>
        <w:t>/d，排污系数0.9，预计产生量</w:t>
      </w:r>
      <w:r>
        <w:rPr>
          <w:rFonts w:hint="eastAsia"/>
          <w:color w:val="auto"/>
          <w:lang w:val="en-US" w:eastAsia="zh-CN"/>
        </w:rPr>
        <w:t>3.6</w:t>
      </w:r>
      <w:r>
        <w:rPr>
          <w:rFonts w:hint="eastAsia"/>
          <w:color w:val="auto"/>
          <w:lang w:eastAsia="zh-CN"/>
        </w:rPr>
        <w:t>m³</w:t>
      </w:r>
      <w:r>
        <w:rPr>
          <w:color w:val="auto"/>
        </w:rPr>
        <w:t>/d。生活污水中主要含COD</w:t>
      </w:r>
      <w:r>
        <w:rPr>
          <w:color w:val="auto"/>
          <w:vertAlign w:val="subscript"/>
        </w:rPr>
        <w:t>Cr</w:t>
      </w:r>
      <w:r>
        <w:rPr>
          <w:color w:val="auto"/>
        </w:rPr>
        <w:t>、BOD</w:t>
      </w:r>
      <w:r>
        <w:rPr>
          <w:color w:val="auto"/>
          <w:vertAlign w:val="subscript"/>
        </w:rPr>
        <w:t>5</w:t>
      </w:r>
      <w:r>
        <w:rPr>
          <w:color w:val="auto"/>
        </w:rPr>
        <w:t>、NH</w:t>
      </w:r>
      <w:r>
        <w:rPr>
          <w:color w:val="auto"/>
          <w:vertAlign w:val="subscript"/>
        </w:rPr>
        <w:t>3</w:t>
      </w:r>
      <w:r>
        <w:rPr>
          <w:color w:val="auto"/>
        </w:rPr>
        <w:t>-N、SS等。</w:t>
      </w:r>
    </w:p>
    <w:p w14:paraId="53AD57A2">
      <w:pPr>
        <w:pageBreakBefore w:val="0"/>
        <w:wordWrap/>
        <w:bidi w:val="0"/>
        <w:adjustRightInd/>
        <w:snapToGrid/>
        <w:ind w:firstLine="480"/>
        <w:rPr>
          <w:color w:val="auto"/>
        </w:rPr>
      </w:pPr>
      <w:r>
        <w:rPr>
          <w:color w:val="auto"/>
        </w:rPr>
        <w:t>治理措施：由于本项目污水处理厂施工区</w:t>
      </w:r>
      <w:r>
        <w:rPr>
          <w:rFonts w:hint="eastAsia"/>
          <w:color w:val="auto"/>
          <w:lang w:val="en-US" w:eastAsia="zh-CN"/>
        </w:rPr>
        <w:t>位于曾口镇，场镇内已建曾口镇</w:t>
      </w:r>
      <w:r>
        <w:rPr>
          <w:color w:val="auto"/>
        </w:rPr>
        <w:t>污水处理厂</w:t>
      </w:r>
      <w:r>
        <w:rPr>
          <w:rFonts w:hint="eastAsia"/>
          <w:color w:val="auto"/>
          <w:lang w:eastAsia="zh-CN"/>
        </w:rPr>
        <w:t>，</w:t>
      </w:r>
      <w:r>
        <w:rPr>
          <w:color w:val="auto"/>
        </w:rPr>
        <w:t>相应废水处理设施完善，施工人员产生的少量生活污水</w:t>
      </w:r>
      <w:r>
        <w:rPr>
          <w:rFonts w:hint="eastAsia"/>
          <w:color w:val="auto"/>
          <w:lang w:val="en-US" w:eastAsia="zh-CN"/>
        </w:rPr>
        <w:t>依托周边农户已建化粪池处理后，管网</w:t>
      </w:r>
      <w:r>
        <w:rPr>
          <w:color w:val="auto"/>
        </w:rPr>
        <w:t>收集至</w:t>
      </w:r>
      <w:r>
        <w:rPr>
          <w:rFonts w:hint="eastAsia"/>
          <w:color w:val="auto"/>
          <w:lang w:val="en-US" w:eastAsia="zh-CN"/>
        </w:rPr>
        <w:t>曾口镇</w:t>
      </w:r>
      <w:r>
        <w:rPr>
          <w:color w:val="auto"/>
        </w:rPr>
        <w:t>污水处理厂进行处理，达标排放。</w:t>
      </w:r>
    </w:p>
    <w:p w14:paraId="4EF37684">
      <w:pPr>
        <w:pageBreakBefore w:val="0"/>
        <w:wordWrap/>
        <w:bidi w:val="0"/>
        <w:adjustRightInd/>
        <w:snapToGrid/>
        <w:ind w:firstLine="480"/>
        <w:rPr>
          <w:b/>
          <w:bCs/>
          <w:color w:val="auto"/>
        </w:rPr>
      </w:pPr>
      <w:r>
        <w:rPr>
          <w:b/>
          <w:bCs/>
          <w:color w:val="auto"/>
        </w:rPr>
        <w:t>（2）施工废水</w:t>
      </w:r>
    </w:p>
    <w:p w14:paraId="7D94BA79">
      <w:pPr>
        <w:pageBreakBefore w:val="0"/>
        <w:wordWrap/>
        <w:bidi w:val="0"/>
        <w:adjustRightInd/>
        <w:snapToGrid/>
        <w:ind w:firstLine="480"/>
        <w:rPr>
          <w:color w:val="auto"/>
        </w:rPr>
      </w:pPr>
      <w:r>
        <w:rPr>
          <w:color w:val="auto"/>
        </w:rPr>
        <w:t>包括基坑排水、施工机械冲洗水、混凝土养护水等，主要污染物为SS和石油类，约在500</w:t>
      </w:r>
      <w:r>
        <w:rPr>
          <w:rFonts w:hint="eastAsia"/>
          <w:color w:val="auto"/>
          <w:lang w:eastAsia="zh-CN"/>
        </w:rPr>
        <w:t>～</w:t>
      </w:r>
      <w:r>
        <w:rPr>
          <w:color w:val="auto"/>
        </w:rPr>
        <w:t>2000mg/L左右，呈弱酸性，并带有少量油污。</w:t>
      </w:r>
    </w:p>
    <w:p w14:paraId="27281FED">
      <w:pPr>
        <w:pageBreakBefore w:val="0"/>
        <w:wordWrap/>
        <w:bidi w:val="0"/>
        <w:adjustRightInd/>
        <w:snapToGrid/>
        <w:ind w:firstLine="482"/>
        <w:rPr>
          <w:color w:val="auto"/>
        </w:rPr>
      </w:pPr>
      <w:r>
        <w:rPr>
          <w:b w:val="0"/>
          <w:bCs w:val="0"/>
          <w:color w:val="auto"/>
        </w:rPr>
        <w:t>治理措施：</w:t>
      </w:r>
      <w:r>
        <w:rPr>
          <w:color w:val="auto"/>
        </w:rPr>
        <w:t>该废水经隔油、沉淀后全部循环使用，不外排。本工程施工高峰期按3</w:t>
      </w:r>
      <w:r>
        <w:rPr>
          <w:rFonts w:hint="eastAsia"/>
          <w:color w:val="auto"/>
          <w:lang w:eastAsia="zh-CN"/>
        </w:rPr>
        <w:t>～</w:t>
      </w:r>
      <w:r>
        <w:rPr>
          <w:color w:val="auto"/>
        </w:rPr>
        <w:t>4个作业点计，平均每个作业点产生施工废水2</w:t>
      </w:r>
      <w:r>
        <w:rPr>
          <w:rFonts w:hint="eastAsia"/>
          <w:color w:val="auto"/>
          <w:lang w:eastAsia="zh-CN"/>
        </w:rPr>
        <w:t>m³</w:t>
      </w:r>
      <w:r>
        <w:rPr>
          <w:color w:val="auto"/>
        </w:rPr>
        <w:t>/d，日产生施工废水8</w:t>
      </w:r>
      <w:r>
        <w:rPr>
          <w:rFonts w:hint="eastAsia"/>
          <w:color w:val="auto"/>
          <w:lang w:eastAsia="zh-CN"/>
        </w:rPr>
        <w:t>m³</w:t>
      </w:r>
      <w:r>
        <w:rPr>
          <w:color w:val="auto"/>
        </w:rPr>
        <w:t>/d。</w:t>
      </w:r>
    </w:p>
    <w:p w14:paraId="38C5C03C">
      <w:pPr>
        <w:pageBreakBefore w:val="0"/>
        <w:wordWrap/>
        <w:bidi w:val="0"/>
        <w:adjustRightInd/>
        <w:snapToGrid/>
        <w:ind w:firstLine="480"/>
        <w:rPr>
          <w:color w:val="auto"/>
        </w:rPr>
      </w:pPr>
      <w:r>
        <w:rPr>
          <w:color w:val="auto"/>
        </w:rPr>
        <w:t>施工废水产生及处置情况见下表。</w:t>
      </w:r>
    </w:p>
    <w:p w14:paraId="751AB288">
      <w:pPr>
        <w:pStyle w:val="19"/>
        <w:numPr>
          <w:ilvl w:val="0"/>
          <w:numId w:val="22"/>
        </w:numPr>
        <w:bidi w:val="0"/>
        <w:ind w:left="0" w:leftChars="0" w:firstLine="0" w:firstLineChars="0"/>
        <w:rPr>
          <w:color w:val="auto"/>
        </w:rPr>
      </w:pPr>
      <w:r>
        <w:rPr>
          <w:color w:val="auto"/>
        </w:rPr>
        <w:t>施工期废水产生及处置情况</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346"/>
        <w:gridCol w:w="879"/>
        <w:gridCol w:w="501"/>
        <w:gridCol w:w="956"/>
        <w:gridCol w:w="956"/>
        <w:gridCol w:w="956"/>
        <w:gridCol w:w="903"/>
        <w:gridCol w:w="2284"/>
      </w:tblGrid>
      <w:tr w14:paraId="120672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6" w:type="pct"/>
            <w:tcBorders>
              <w:tl2br w:val="nil"/>
              <w:tr2bl w:val="nil"/>
            </w:tcBorders>
            <w:noWrap w:val="0"/>
            <w:vAlign w:val="center"/>
          </w:tcPr>
          <w:p w14:paraId="74D25F01">
            <w:pPr>
              <w:pageBreakBefore w:val="0"/>
              <w:tabs>
                <w:tab w:val="left" w:pos="300"/>
              </w:tabs>
              <w:wordWrap/>
              <w:bidi w:val="0"/>
              <w:adjustRightInd/>
              <w:snapToGrid/>
              <w:spacing w:line="240" w:lineRule="auto"/>
              <w:ind w:firstLine="0" w:firstLineChars="0"/>
              <w:jc w:val="center"/>
              <w:rPr>
                <w:b/>
                <w:bCs/>
                <w:color w:val="auto"/>
                <w:sz w:val="21"/>
                <w:szCs w:val="21"/>
              </w:rPr>
            </w:pPr>
            <w:r>
              <w:rPr>
                <w:b/>
                <w:bCs/>
                <w:color w:val="auto"/>
                <w:sz w:val="21"/>
                <w:szCs w:val="21"/>
              </w:rPr>
              <w:t>废水名称</w:t>
            </w:r>
          </w:p>
        </w:tc>
        <w:tc>
          <w:tcPr>
            <w:tcW w:w="500" w:type="pct"/>
            <w:tcBorders>
              <w:tl2br w:val="nil"/>
              <w:tr2bl w:val="nil"/>
            </w:tcBorders>
            <w:noWrap w:val="0"/>
            <w:vAlign w:val="center"/>
          </w:tcPr>
          <w:p w14:paraId="40C9C0B8">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b/>
                <w:bCs/>
                <w:color w:val="auto"/>
                <w:sz w:val="21"/>
                <w:szCs w:val="21"/>
              </w:rPr>
              <w:t>废水量</w:t>
            </w:r>
            <w:r>
              <w:rPr>
                <w:rFonts w:hint="eastAsia"/>
                <w:b/>
                <w:bCs/>
                <w:color w:val="auto"/>
                <w:sz w:val="21"/>
                <w:szCs w:val="21"/>
                <w:lang w:eastAsia="zh-CN"/>
              </w:rPr>
              <w:t>（m³</w:t>
            </w:r>
            <w:r>
              <w:rPr>
                <w:b/>
                <w:bCs/>
                <w:color w:val="auto"/>
                <w:sz w:val="21"/>
                <w:szCs w:val="21"/>
              </w:rPr>
              <w:t>/d</w:t>
            </w:r>
            <w:r>
              <w:rPr>
                <w:rFonts w:hint="eastAsia"/>
                <w:b/>
                <w:bCs/>
                <w:color w:val="auto"/>
                <w:sz w:val="21"/>
                <w:szCs w:val="21"/>
                <w:lang w:eastAsia="zh-CN"/>
              </w:rPr>
              <w:t>）</w:t>
            </w:r>
          </w:p>
        </w:tc>
        <w:tc>
          <w:tcPr>
            <w:tcW w:w="285" w:type="pct"/>
            <w:tcBorders>
              <w:tl2br w:val="nil"/>
              <w:tr2bl w:val="nil"/>
            </w:tcBorders>
            <w:noWrap w:val="0"/>
            <w:vAlign w:val="center"/>
          </w:tcPr>
          <w:p w14:paraId="5566DC3E">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pH</w:t>
            </w:r>
          </w:p>
        </w:tc>
        <w:tc>
          <w:tcPr>
            <w:tcW w:w="544" w:type="pct"/>
            <w:tcBorders>
              <w:tl2br w:val="nil"/>
              <w:tr2bl w:val="nil"/>
            </w:tcBorders>
            <w:noWrap w:val="0"/>
            <w:vAlign w:val="center"/>
          </w:tcPr>
          <w:p w14:paraId="1B4236A8">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COD</w:t>
            </w:r>
            <w:r>
              <w:rPr>
                <w:b/>
                <w:bCs/>
                <w:color w:val="auto"/>
                <w:sz w:val="21"/>
                <w:szCs w:val="21"/>
                <w:vertAlign w:val="subscript"/>
              </w:rPr>
              <w:t>Cr</w:t>
            </w:r>
          </w:p>
          <w:p w14:paraId="2951F342">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rFonts w:hint="eastAsia"/>
                <w:b/>
                <w:bCs/>
                <w:color w:val="auto"/>
                <w:sz w:val="21"/>
                <w:szCs w:val="21"/>
                <w:lang w:eastAsia="zh-CN"/>
              </w:rPr>
              <w:t>（</w:t>
            </w:r>
            <w:r>
              <w:rPr>
                <w:b/>
                <w:bCs/>
                <w:color w:val="auto"/>
                <w:sz w:val="21"/>
                <w:szCs w:val="21"/>
              </w:rPr>
              <w:t>mg/L</w:t>
            </w:r>
            <w:r>
              <w:rPr>
                <w:rFonts w:hint="eastAsia"/>
                <w:b/>
                <w:bCs/>
                <w:color w:val="auto"/>
                <w:sz w:val="21"/>
                <w:szCs w:val="21"/>
                <w:lang w:eastAsia="zh-CN"/>
              </w:rPr>
              <w:t>）</w:t>
            </w:r>
          </w:p>
        </w:tc>
        <w:tc>
          <w:tcPr>
            <w:tcW w:w="544" w:type="pct"/>
            <w:tcBorders>
              <w:tl2br w:val="nil"/>
              <w:tr2bl w:val="nil"/>
            </w:tcBorders>
            <w:noWrap w:val="0"/>
            <w:vAlign w:val="center"/>
          </w:tcPr>
          <w:p w14:paraId="5DBD8B7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SS</w:t>
            </w:r>
          </w:p>
          <w:p w14:paraId="53F9490D">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rFonts w:hint="eastAsia"/>
                <w:b/>
                <w:bCs/>
                <w:color w:val="auto"/>
                <w:sz w:val="21"/>
                <w:szCs w:val="21"/>
                <w:lang w:eastAsia="zh-CN"/>
              </w:rPr>
              <w:t>（</w:t>
            </w:r>
            <w:r>
              <w:rPr>
                <w:b/>
                <w:bCs/>
                <w:color w:val="auto"/>
                <w:sz w:val="21"/>
                <w:szCs w:val="21"/>
              </w:rPr>
              <w:t>mg/L</w:t>
            </w:r>
            <w:r>
              <w:rPr>
                <w:rFonts w:hint="eastAsia"/>
                <w:b/>
                <w:bCs/>
                <w:color w:val="auto"/>
                <w:sz w:val="21"/>
                <w:szCs w:val="21"/>
                <w:lang w:eastAsia="zh-CN"/>
              </w:rPr>
              <w:t>）</w:t>
            </w:r>
          </w:p>
        </w:tc>
        <w:tc>
          <w:tcPr>
            <w:tcW w:w="544" w:type="pct"/>
            <w:tcBorders>
              <w:tl2br w:val="nil"/>
              <w:tr2bl w:val="nil"/>
            </w:tcBorders>
            <w:noWrap w:val="0"/>
            <w:vAlign w:val="center"/>
          </w:tcPr>
          <w:p w14:paraId="501DD497">
            <w:pPr>
              <w:pageBreakBefore w:val="0"/>
              <w:wordWrap/>
              <w:bidi w:val="0"/>
              <w:adjustRightInd/>
              <w:snapToGrid/>
              <w:spacing w:line="240" w:lineRule="auto"/>
              <w:ind w:firstLine="0" w:firstLineChars="0"/>
              <w:jc w:val="center"/>
              <w:rPr>
                <w:b/>
                <w:bCs/>
                <w:color w:val="auto"/>
                <w:sz w:val="21"/>
                <w:szCs w:val="21"/>
                <w:vertAlign w:val="subscript"/>
              </w:rPr>
            </w:pPr>
            <w:r>
              <w:rPr>
                <w:b/>
                <w:bCs/>
                <w:color w:val="auto"/>
                <w:sz w:val="21"/>
                <w:szCs w:val="21"/>
              </w:rPr>
              <w:t>BOD</w:t>
            </w:r>
            <w:r>
              <w:rPr>
                <w:b/>
                <w:bCs/>
                <w:color w:val="auto"/>
                <w:sz w:val="21"/>
                <w:szCs w:val="21"/>
                <w:vertAlign w:val="subscript"/>
              </w:rPr>
              <w:t>5</w:t>
            </w:r>
          </w:p>
          <w:p w14:paraId="454BA59F">
            <w:pPr>
              <w:pageBreakBefore w:val="0"/>
              <w:wordWrap/>
              <w:bidi w:val="0"/>
              <w:adjustRightInd/>
              <w:snapToGrid/>
              <w:spacing w:line="240" w:lineRule="auto"/>
              <w:ind w:firstLine="0" w:firstLineChars="0"/>
              <w:jc w:val="center"/>
              <w:rPr>
                <w:rFonts w:hint="eastAsia" w:eastAsia="宋体"/>
                <w:b/>
                <w:bCs/>
                <w:color w:val="auto"/>
                <w:sz w:val="21"/>
                <w:szCs w:val="21"/>
                <w:vertAlign w:val="subscript"/>
                <w:lang w:eastAsia="zh-CN"/>
              </w:rPr>
            </w:pPr>
            <w:r>
              <w:rPr>
                <w:rFonts w:hint="eastAsia"/>
                <w:b/>
                <w:bCs/>
                <w:color w:val="auto"/>
                <w:sz w:val="21"/>
                <w:szCs w:val="21"/>
                <w:lang w:eastAsia="zh-CN"/>
              </w:rPr>
              <w:t>（</w:t>
            </w:r>
            <w:r>
              <w:rPr>
                <w:b/>
                <w:bCs/>
                <w:color w:val="auto"/>
                <w:sz w:val="21"/>
                <w:szCs w:val="21"/>
              </w:rPr>
              <w:t>mg/L</w:t>
            </w:r>
            <w:r>
              <w:rPr>
                <w:rFonts w:hint="eastAsia"/>
                <w:b/>
                <w:bCs/>
                <w:color w:val="auto"/>
                <w:sz w:val="21"/>
                <w:szCs w:val="21"/>
                <w:lang w:eastAsia="zh-CN"/>
              </w:rPr>
              <w:t>）</w:t>
            </w:r>
          </w:p>
        </w:tc>
        <w:tc>
          <w:tcPr>
            <w:tcW w:w="514" w:type="pct"/>
            <w:tcBorders>
              <w:tl2br w:val="nil"/>
              <w:tr2bl w:val="nil"/>
            </w:tcBorders>
            <w:noWrap w:val="0"/>
            <w:vAlign w:val="center"/>
          </w:tcPr>
          <w:p w14:paraId="0106E99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石油类</w:t>
            </w:r>
          </w:p>
          <w:p w14:paraId="2C3EAA61">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rFonts w:hint="eastAsia"/>
                <w:b/>
                <w:bCs/>
                <w:color w:val="auto"/>
                <w:sz w:val="21"/>
                <w:szCs w:val="21"/>
                <w:lang w:eastAsia="zh-CN"/>
              </w:rPr>
              <w:t>（</w:t>
            </w:r>
            <w:r>
              <w:rPr>
                <w:b/>
                <w:bCs/>
                <w:color w:val="auto"/>
                <w:sz w:val="21"/>
                <w:szCs w:val="21"/>
              </w:rPr>
              <w:t>mg/L</w:t>
            </w:r>
            <w:r>
              <w:rPr>
                <w:rFonts w:hint="eastAsia"/>
                <w:b/>
                <w:bCs/>
                <w:color w:val="auto"/>
                <w:sz w:val="21"/>
                <w:szCs w:val="21"/>
                <w:lang w:eastAsia="zh-CN"/>
              </w:rPr>
              <w:t>）</w:t>
            </w:r>
          </w:p>
        </w:tc>
        <w:tc>
          <w:tcPr>
            <w:tcW w:w="1300" w:type="pct"/>
            <w:tcBorders>
              <w:tl2br w:val="nil"/>
              <w:tr2bl w:val="nil"/>
            </w:tcBorders>
            <w:noWrap w:val="0"/>
            <w:vAlign w:val="center"/>
          </w:tcPr>
          <w:p w14:paraId="61F48C7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处置措施</w:t>
            </w:r>
          </w:p>
        </w:tc>
      </w:tr>
      <w:tr w14:paraId="28C0EE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6" w:type="pct"/>
            <w:tcBorders>
              <w:tl2br w:val="nil"/>
              <w:tr2bl w:val="nil"/>
            </w:tcBorders>
            <w:noWrap w:val="0"/>
            <w:vAlign w:val="center"/>
          </w:tcPr>
          <w:p w14:paraId="4AD88E1B">
            <w:pPr>
              <w:pageBreakBefore w:val="0"/>
              <w:wordWrap/>
              <w:bidi w:val="0"/>
              <w:adjustRightInd/>
              <w:snapToGrid/>
              <w:spacing w:line="240" w:lineRule="auto"/>
              <w:ind w:firstLine="0" w:firstLineChars="0"/>
              <w:jc w:val="center"/>
              <w:rPr>
                <w:color w:val="auto"/>
                <w:sz w:val="21"/>
                <w:szCs w:val="21"/>
              </w:rPr>
            </w:pPr>
            <w:r>
              <w:rPr>
                <w:color w:val="auto"/>
                <w:sz w:val="21"/>
                <w:szCs w:val="21"/>
              </w:rPr>
              <w:t>民工生活污水</w:t>
            </w:r>
          </w:p>
        </w:tc>
        <w:tc>
          <w:tcPr>
            <w:tcW w:w="500" w:type="pct"/>
            <w:tcBorders>
              <w:tl2br w:val="nil"/>
              <w:tr2bl w:val="nil"/>
            </w:tcBorders>
            <w:noWrap w:val="0"/>
            <w:vAlign w:val="center"/>
          </w:tcPr>
          <w:p w14:paraId="719F384C">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3.6</w:t>
            </w:r>
          </w:p>
        </w:tc>
        <w:tc>
          <w:tcPr>
            <w:tcW w:w="285" w:type="pct"/>
            <w:tcBorders>
              <w:tl2br w:val="nil"/>
              <w:tr2bl w:val="nil"/>
            </w:tcBorders>
            <w:noWrap w:val="0"/>
            <w:vAlign w:val="center"/>
          </w:tcPr>
          <w:p w14:paraId="0571C702">
            <w:pPr>
              <w:pageBreakBefore w:val="0"/>
              <w:wordWrap/>
              <w:bidi w:val="0"/>
              <w:adjustRightInd/>
              <w:snapToGrid/>
              <w:spacing w:line="240" w:lineRule="auto"/>
              <w:ind w:firstLine="0" w:firstLineChars="0"/>
              <w:jc w:val="center"/>
              <w:rPr>
                <w:color w:val="auto"/>
                <w:sz w:val="21"/>
                <w:szCs w:val="21"/>
              </w:rPr>
            </w:pPr>
            <w:r>
              <w:rPr>
                <w:color w:val="auto"/>
                <w:sz w:val="21"/>
                <w:szCs w:val="21"/>
              </w:rPr>
              <w:t>6~9</w:t>
            </w:r>
          </w:p>
        </w:tc>
        <w:tc>
          <w:tcPr>
            <w:tcW w:w="544" w:type="pct"/>
            <w:tcBorders>
              <w:tl2br w:val="nil"/>
              <w:tr2bl w:val="nil"/>
            </w:tcBorders>
            <w:noWrap w:val="0"/>
            <w:vAlign w:val="center"/>
          </w:tcPr>
          <w:p w14:paraId="0FC7F8A8">
            <w:pPr>
              <w:pageBreakBefore w:val="0"/>
              <w:wordWrap/>
              <w:bidi w:val="0"/>
              <w:adjustRightInd/>
              <w:snapToGrid/>
              <w:spacing w:line="240" w:lineRule="auto"/>
              <w:ind w:firstLine="0" w:firstLineChars="0"/>
              <w:jc w:val="center"/>
              <w:rPr>
                <w:color w:val="auto"/>
                <w:sz w:val="21"/>
                <w:szCs w:val="21"/>
              </w:rPr>
            </w:pPr>
            <w:r>
              <w:rPr>
                <w:color w:val="auto"/>
                <w:sz w:val="21"/>
                <w:szCs w:val="21"/>
              </w:rPr>
              <w:t>350</w:t>
            </w:r>
          </w:p>
        </w:tc>
        <w:tc>
          <w:tcPr>
            <w:tcW w:w="544" w:type="pct"/>
            <w:tcBorders>
              <w:tl2br w:val="nil"/>
              <w:tr2bl w:val="nil"/>
            </w:tcBorders>
            <w:noWrap w:val="0"/>
            <w:vAlign w:val="center"/>
          </w:tcPr>
          <w:p w14:paraId="64FB4C33">
            <w:pPr>
              <w:pageBreakBefore w:val="0"/>
              <w:wordWrap/>
              <w:bidi w:val="0"/>
              <w:adjustRightInd/>
              <w:snapToGrid/>
              <w:spacing w:line="240" w:lineRule="auto"/>
              <w:ind w:firstLine="0" w:firstLineChars="0"/>
              <w:jc w:val="center"/>
              <w:rPr>
                <w:color w:val="auto"/>
                <w:sz w:val="21"/>
                <w:szCs w:val="21"/>
              </w:rPr>
            </w:pPr>
            <w:r>
              <w:rPr>
                <w:color w:val="auto"/>
                <w:sz w:val="21"/>
                <w:szCs w:val="21"/>
              </w:rPr>
              <w:t>250</w:t>
            </w:r>
          </w:p>
        </w:tc>
        <w:tc>
          <w:tcPr>
            <w:tcW w:w="544" w:type="pct"/>
            <w:tcBorders>
              <w:tl2br w:val="nil"/>
              <w:tr2bl w:val="nil"/>
            </w:tcBorders>
            <w:noWrap w:val="0"/>
            <w:vAlign w:val="center"/>
          </w:tcPr>
          <w:p w14:paraId="339EDDBF">
            <w:pPr>
              <w:pageBreakBefore w:val="0"/>
              <w:wordWrap/>
              <w:bidi w:val="0"/>
              <w:adjustRightInd/>
              <w:snapToGrid/>
              <w:spacing w:line="240" w:lineRule="auto"/>
              <w:ind w:firstLine="0" w:firstLineChars="0"/>
              <w:jc w:val="center"/>
              <w:rPr>
                <w:color w:val="auto"/>
                <w:sz w:val="21"/>
                <w:szCs w:val="21"/>
              </w:rPr>
            </w:pPr>
            <w:r>
              <w:rPr>
                <w:color w:val="auto"/>
                <w:sz w:val="21"/>
                <w:szCs w:val="21"/>
              </w:rPr>
              <w:t>200</w:t>
            </w:r>
          </w:p>
        </w:tc>
        <w:tc>
          <w:tcPr>
            <w:tcW w:w="514" w:type="pct"/>
            <w:tcBorders>
              <w:tl2br w:val="nil"/>
              <w:tr2bl w:val="nil"/>
            </w:tcBorders>
            <w:noWrap w:val="0"/>
            <w:vAlign w:val="center"/>
          </w:tcPr>
          <w:p w14:paraId="2A1782A6">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300" w:type="pct"/>
            <w:tcBorders>
              <w:tl2br w:val="nil"/>
              <w:tr2bl w:val="nil"/>
            </w:tcBorders>
            <w:noWrap w:val="0"/>
            <w:vAlign w:val="center"/>
          </w:tcPr>
          <w:p w14:paraId="4703E72A">
            <w:pPr>
              <w:pageBreakBefore w:val="0"/>
              <w:wordWrap/>
              <w:bidi w:val="0"/>
              <w:adjustRightInd/>
              <w:snapToGrid/>
              <w:spacing w:line="240" w:lineRule="auto"/>
              <w:ind w:firstLine="0" w:firstLineChars="0"/>
              <w:jc w:val="center"/>
              <w:rPr>
                <w:color w:val="auto"/>
                <w:sz w:val="21"/>
                <w:szCs w:val="21"/>
              </w:rPr>
            </w:pPr>
            <w:r>
              <w:rPr>
                <w:color w:val="auto"/>
                <w:sz w:val="21"/>
                <w:szCs w:val="21"/>
              </w:rPr>
              <w:t>依托</w:t>
            </w:r>
            <w:r>
              <w:rPr>
                <w:rFonts w:hint="eastAsia"/>
                <w:color w:val="auto"/>
                <w:sz w:val="21"/>
                <w:szCs w:val="21"/>
                <w:lang w:val="en-US" w:eastAsia="zh-CN"/>
              </w:rPr>
              <w:t>曾口镇污水处理厂</w:t>
            </w:r>
            <w:r>
              <w:rPr>
                <w:color w:val="auto"/>
                <w:sz w:val="21"/>
                <w:szCs w:val="21"/>
              </w:rPr>
              <w:t>处理，达标排放</w:t>
            </w:r>
          </w:p>
        </w:tc>
      </w:tr>
      <w:tr w14:paraId="345D2D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6" w:type="pct"/>
            <w:tcBorders>
              <w:tl2br w:val="nil"/>
              <w:tr2bl w:val="nil"/>
            </w:tcBorders>
            <w:noWrap w:val="0"/>
            <w:vAlign w:val="center"/>
          </w:tcPr>
          <w:p w14:paraId="5C504F6A">
            <w:pPr>
              <w:pageBreakBefore w:val="0"/>
              <w:wordWrap/>
              <w:bidi w:val="0"/>
              <w:adjustRightInd/>
              <w:snapToGrid/>
              <w:spacing w:line="240" w:lineRule="auto"/>
              <w:ind w:firstLine="0" w:firstLineChars="0"/>
              <w:jc w:val="center"/>
              <w:rPr>
                <w:color w:val="auto"/>
                <w:sz w:val="21"/>
                <w:szCs w:val="21"/>
              </w:rPr>
            </w:pPr>
            <w:r>
              <w:rPr>
                <w:color w:val="auto"/>
                <w:sz w:val="21"/>
                <w:szCs w:val="21"/>
              </w:rPr>
              <w:t>施工生产废水</w:t>
            </w:r>
          </w:p>
        </w:tc>
        <w:tc>
          <w:tcPr>
            <w:tcW w:w="500" w:type="pct"/>
            <w:tcBorders>
              <w:tl2br w:val="nil"/>
              <w:tr2bl w:val="nil"/>
            </w:tcBorders>
            <w:noWrap w:val="0"/>
            <w:vAlign w:val="center"/>
          </w:tcPr>
          <w:p w14:paraId="246DDF3F">
            <w:pPr>
              <w:pageBreakBefore w:val="0"/>
              <w:wordWrap/>
              <w:bidi w:val="0"/>
              <w:adjustRightInd/>
              <w:snapToGrid/>
              <w:spacing w:line="240" w:lineRule="auto"/>
              <w:ind w:firstLine="0" w:firstLineChars="0"/>
              <w:jc w:val="center"/>
              <w:rPr>
                <w:color w:val="auto"/>
                <w:sz w:val="21"/>
                <w:szCs w:val="21"/>
              </w:rPr>
            </w:pPr>
            <w:r>
              <w:rPr>
                <w:color w:val="auto"/>
                <w:sz w:val="21"/>
                <w:szCs w:val="21"/>
              </w:rPr>
              <w:t>8</w:t>
            </w:r>
          </w:p>
        </w:tc>
        <w:tc>
          <w:tcPr>
            <w:tcW w:w="285" w:type="pct"/>
            <w:tcBorders>
              <w:tl2br w:val="nil"/>
              <w:tr2bl w:val="nil"/>
            </w:tcBorders>
            <w:noWrap w:val="0"/>
            <w:vAlign w:val="center"/>
          </w:tcPr>
          <w:p w14:paraId="63A3FE40">
            <w:pPr>
              <w:pageBreakBefore w:val="0"/>
              <w:wordWrap/>
              <w:bidi w:val="0"/>
              <w:adjustRightInd/>
              <w:snapToGrid/>
              <w:spacing w:line="240" w:lineRule="auto"/>
              <w:ind w:firstLine="0" w:firstLineChars="0"/>
              <w:jc w:val="center"/>
              <w:rPr>
                <w:color w:val="auto"/>
                <w:sz w:val="21"/>
                <w:szCs w:val="21"/>
              </w:rPr>
            </w:pPr>
            <w:r>
              <w:rPr>
                <w:color w:val="auto"/>
                <w:sz w:val="21"/>
                <w:szCs w:val="21"/>
              </w:rPr>
              <w:t>6~7</w:t>
            </w:r>
          </w:p>
        </w:tc>
        <w:tc>
          <w:tcPr>
            <w:tcW w:w="544" w:type="pct"/>
            <w:tcBorders>
              <w:tl2br w:val="nil"/>
              <w:tr2bl w:val="nil"/>
            </w:tcBorders>
            <w:noWrap w:val="0"/>
            <w:vAlign w:val="center"/>
          </w:tcPr>
          <w:p w14:paraId="0C9CBD2B">
            <w:pPr>
              <w:pageBreakBefore w:val="0"/>
              <w:wordWrap/>
              <w:bidi w:val="0"/>
              <w:adjustRightInd/>
              <w:snapToGrid/>
              <w:spacing w:line="240" w:lineRule="auto"/>
              <w:ind w:firstLine="0" w:firstLineChars="0"/>
              <w:jc w:val="center"/>
              <w:rPr>
                <w:color w:val="auto"/>
                <w:sz w:val="21"/>
                <w:szCs w:val="21"/>
              </w:rPr>
            </w:pPr>
            <w:r>
              <w:rPr>
                <w:color w:val="auto"/>
                <w:sz w:val="21"/>
                <w:szCs w:val="21"/>
              </w:rPr>
              <w:t>80</w:t>
            </w:r>
          </w:p>
        </w:tc>
        <w:tc>
          <w:tcPr>
            <w:tcW w:w="544" w:type="pct"/>
            <w:tcBorders>
              <w:tl2br w:val="nil"/>
              <w:tr2bl w:val="nil"/>
            </w:tcBorders>
            <w:noWrap w:val="0"/>
            <w:vAlign w:val="center"/>
          </w:tcPr>
          <w:p w14:paraId="67960B42">
            <w:pPr>
              <w:pageBreakBefore w:val="0"/>
              <w:wordWrap/>
              <w:bidi w:val="0"/>
              <w:adjustRightInd/>
              <w:snapToGrid/>
              <w:spacing w:line="240" w:lineRule="auto"/>
              <w:ind w:firstLine="0" w:firstLineChars="0"/>
              <w:jc w:val="center"/>
              <w:rPr>
                <w:color w:val="auto"/>
                <w:sz w:val="21"/>
                <w:szCs w:val="21"/>
              </w:rPr>
            </w:pPr>
            <w:r>
              <w:rPr>
                <w:color w:val="auto"/>
                <w:sz w:val="21"/>
                <w:szCs w:val="21"/>
              </w:rPr>
              <w:t>1000</w:t>
            </w:r>
          </w:p>
        </w:tc>
        <w:tc>
          <w:tcPr>
            <w:tcW w:w="544" w:type="pct"/>
            <w:tcBorders>
              <w:tl2br w:val="nil"/>
              <w:tr2bl w:val="nil"/>
            </w:tcBorders>
            <w:noWrap w:val="0"/>
            <w:vAlign w:val="center"/>
          </w:tcPr>
          <w:p w14:paraId="2B5E4D85">
            <w:pPr>
              <w:pageBreakBefore w:val="0"/>
              <w:wordWrap/>
              <w:bidi w:val="0"/>
              <w:adjustRightInd/>
              <w:snapToGrid/>
              <w:spacing w:line="240" w:lineRule="auto"/>
              <w:ind w:firstLine="0" w:firstLineChars="0"/>
              <w:jc w:val="center"/>
              <w:rPr>
                <w:color w:val="auto"/>
                <w:sz w:val="21"/>
                <w:szCs w:val="21"/>
              </w:rPr>
            </w:pPr>
            <w:r>
              <w:rPr>
                <w:color w:val="auto"/>
                <w:sz w:val="21"/>
                <w:szCs w:val="21"/>
              </w:rPr>
              <w:t>10</w:t>
            </w:r>
          </w:p>
        </w:tc>
        <w:tc>
          <w:tcPr>
            <w:tcW w:w="514" w:type="pct"/>
            <w:tcBorders>
              <w:tl2br w:val="nil"/>
              <w:tr2bl w:val="nil"/>
            </w:tcBorders>
            <w:noWrap w:val="0"/>
            <w:vAlign w:val="center"/>
          </w:tcPr>
          <w:p w14:paraId="01ED7283">
            <w:pPr>
              <w:pageBreakBefore w:val="0"/>
              <w:wordWrap/>
              <w:bidi w:val="0"/>
              <w:adjustRightInd/>
              <w:snapToGrid/>
              <w:spacing w:line="240" w:lineRule="auto"/>
              <w:ind w:firstLine="0" w:firstLineChars="0"/>
              <w:jc w:val="center"/>
              <w:rPr>
                <w:color w:val="auto"/>
                <w:sz w:val="21"/>
                <w:szCs w:val="21"/>
              </w:rPr>
            </w:pPr>
            <w:r>
              <w:rPr>
                <w:color w:val="auto"/>
                <w:sz w:val="21"/>
                <w:szCs w:val="21"/>
              </w:rPr>
              <w:t>25</w:t>
            </w:r>
          </w:p>
        </w:tc>
        <w:tc>
          <w:tcPr>
            <w:tcW w:w="1300" w:type="pct"/>
            <w:tcBorders>
              <w:tl2br w:val="nil"/>
              <w:tr2bl w:val="nil"/>
            </w:tcBorders>
            <w:noWrap w:val="0"/>
            <w:vAlign w:val="center"/>
          </w:tcPr>
          <w:p w14:paraId="6A71C3FE">
            <w:pPr>
              <w:pageBreakBefore w:val="0"/>
              <w:wordWrap/>
              <w:bidi w:val="0"/>
              <w:adjustRightInd/>
              <w:snapToGrid/>
              <w:spacing w:line="240" w:lineRule="auto"/>
              <w:ind w:firstLine="0" w:firstLineChars="0"/>
              <w:jc w:val="center"/>
              <w:rPr>
                <w:color w:val="auto"/>
                <w:sz w:val="21"/>
                <w:szCs w:val="21"/>
              </w:rPr>
            </w:pPr>
            <w:r>
              <w:rPr>
                <w:color w:val="auto"/>
                <w:sz w:val="21"/>
                <w:szCs w:val="21"/>
              </w:rPr>
              <w:t>隔油沉淀处理后循环使用</w:t>
            </w:r>
          </w:p>
        </w:tc>
      </w:tr>
      <w:tr w14:paraId="1A5E6A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66" w:type="pct"/>
            <w:tcBorders>
              <w:tl2br w:val="nil"/>
              <w:tr2bl w:val="nil"/>
            </w:tcBorders>
            <w:noWrap w:val="0"/>
            <w:vAlign w:val="center"/>
          </w:tcPr>
          <w:p w14:paraId="17A4D182">
            <w:pPr>
              <w:pageBreakBefore w:val="0"/>
              <w:wordWrap/>
              <w:bidi w:val="0"/>
              <w:adjustRightInd/>
              <w:snapToGrid/>
              <w:spacing w:line="240" w:lineRule="auto"/>
              <w:ind w:firstLine="0" w:firstLineChars="0"/>
              <w:jc w:val="center"/>
              <w:rPr>
                <w:color w:val="auto"/>
                <w:sz w:val="21"/>
                <w:szCs w:val="21"/>
              </w:rPr>
            </w:pPr>
            <w:r>
              <w:rPr>
                <w:color w:val="auto"/>
                <w:sz w:val="21"/>
                <w:szCs w:val="21"/>
              </w:rPr>
              <w:t>合计</w:t>
            </w:r>
          </w:p>
        </w:tc>
        <w:tc>
          <w:tcPr>
            <w:tcW w:w="500" w:type="pct"/>
            <w:tcBorders>
              <w:tl2br w:val="nil"/>
              <w:tr2bl w:val="nil"/>
            </w:tcBorders>
            <w:noWrap w:val="0"/>
            <w:vAlign w:val="center"/>
          </w:tcPr>
          <w:p w14:paraId="487511EF">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11.6</w:t>
            </w:r>
          </w:p>
        </w:tc>
        <w:tc>
          <w:tcPr>
            <w:tcW w:w="285" w:type="pct"/>
            <w:tcBorders>
              <w:tl2br w:val="nil"/>
              <w:tr2bl w:val="nil"/>
            </w:tcBorders>
            <w:noWrap w:val="0"/>
            <w:vAlign w:val="center"/>
          </w:tcPr>
          <w:p w14:paraId="11F88DBD">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544" w:type="pct"/>
            <w:tcBorders>
              <w:tl2br w:val="nil"/>
              <w:tr2bl w:val="nil"/>
            </w:tcBorders>
            <w:noWrap w:val="0"/>
            <w:vAlign w:val="center"/>
          </w:tcPr>
          <w:p w14:paraId="7B0EC288">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544" w:type="pct"/>
            <w:tcBorders>
              <w:tl2br w:val="nil"/>
              <w:tr2bl w:val="nil"/>
            </w:tcBorders>
            <w:noWrap w:val="0"/>
            <w:vAlign w:val="center"/>
          </w:tcPr>
          <w:p w14:paraId="400B0D5F">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544" w:type="pct"/>
            <w:tcBorders>
              <w:tl2br w:val="nil"/>
              <w:tr2bl w:val="nil"/>
            </w:tcBorders>
            <w:noWrap w:val="0"/>
            <w:vAlign w:val="center"/>
          </w:tcPr>
          <w:p w14:paraId="59022FCE">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514" w:type="pct"/>
            <w:tcBorders>
              <w:tl2br w:val="nil"/>
              <w:tr2bl w:val="nil"/>
            </w:tcBorders>
            <w:noWrap w:val="0"/>
            <w:vAlign w:val="center"/>
          </w:tcPr>
          <w:p w14:paraId="02F3A079">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300" w:type="pct"/>
            <w:tcBorders>
              <w:tl2br w:val="nil"/>
              <w:tr2bl w:val="nil"/>
            </w:tcBorders>
            <w:noWrap w:val="0"/>
            <w:vAlign w:val="center"/>
          </w:tcPr>
          <w:p w14:paraId="74D3876E">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r>
    </w:tbl>
    <w:p w14:paraId="4A3DB740">
      <w:pPr>
        <w:pageBreakBefore w:val="0"/>
        <w:wordWrap/>
        <w:bidi w:val="0"/>
        <w:adjustRightInd/>
        <w:snapToGrid/>
        <w:spacing w:before="120" w:beforeLines="50"/>
        <w:ind w:firstLine="480"/>
        <w:rPr>
          <w:bCs/>
          <w:color w:val="auto"/>
          <w:kern w:val="0"/>
        </w:rPr>
      </w:pPr>
      <w:r>
        <w:rPr>
          <w:bCs/>
          <w:color w:val="auto"/>
          <w:kern w:val="0"/>
        </w:rPr>
        <w:t>施工过程产生的施工废水，如果防治措施不当，容易造成水环境污染。为此，本环评要求针对不同的废水采取不同的防治措施：</w:t>
      </w:r>
    </w:p>
    <w:p w14:paraId="67E33EBA">
      <w:pPr>
        <w:pageBreakBefore w:val="0"/>
        <w:wordWrap/>
        <w:bidi w:val="0"/>
        <w:adjustRightInd/>
        <w:snapToGrid/>
        <w:ind w:firstLine="480"/>
        <w:rPr>
          <w:color w:val="auto"/>
          <w:kern w:val="0"/>
        </w:rPr>
      </w:pPr>
      <w:r>
        <w:rPr>
          <w:color w:val="auto"/>
          <w:kern w:val="0"/>
        </w:rPr>
        <w:t>①砂石料冲洗废水。其悬浮物含量大，需建沉降池，悬浮物进行沉淀后排放。部分废水澄清后可用于建筑工地洒水防尘。人工运输水泥砂浆时，应避免泄漏，泄漏水泥砂浆应及时清理。运浆容器和搅拌用具尽量集中放置，及时清洗，冲洗水引入沉降池。</w:t>
      </w:r>
    </w:p>
    <w:p w14:paraId="2F9EF0E4">
      <w:pPr>
        <w:pageBreakBefore w:val="0"/>
        <w:wordWrap/>
        <w:bidi w:val="0"/>
        <w:adjustRightInd/>
        <w:snapToGrid/>
        <w:ind w:firstLine="480"/>
        <w:rPr>
          <w:color w:val="auto"/>
          <w:kern w:val="0"/>
        </w:rPr>
      </w:pPr>
      <w:r>
        <w:rPr>
          <w:color w:val="auto"/>
          <w:kern w:val="0"/>
        </w:rPr>
        <w:t>②混凝土养护废水。混凝土养护可以直接用薄膜或塑料溶液喷刷在混凝土表面，待溶液挥发后，与混凝土表面结合成一层塑料薄膜，使混凝土与空气隔离，封闭混凝土中水分不再蒸发外</w:t>
      </w:r>
      <w:r>
        <w:rPr>
          <w:rFonts w:hint="eastAsia"/>
          <w:color w:val="auto"/>
          <w:kern w:val="0"/>
          <w:lang w:eastAsia="zh-CN"/>
        </w:rPr>
        <w:t>溢</w:t>
      </w:r>
      <w:r>
        <w:rPr>
          <w:color w:val="auto"/>
          <w:kern w:val="0"/>
        </w:rPr>
        <w:t>，水泥依靠混凝土中水分完成水化作用。施工场地设不少于六座循环沉淀池，每座沉淀池有效容积不小于5.0</w:t>
      </w:r>
      <w:r>
        <w:rPr>
          <w:rFonts w:hint="eastAsia"/>
          <w:color w:val="auto"/>
          <w:kern w:val="0"/>
          <w:lang w:eastAsia="zh-CN"/>
        </w:rPr>
        <w:t>m³</w:t>
      </w:r>
      <w:r>
        <w:rPr>
          <w:color w:val="auto"/>
          <w:kern w:val="0"/>
        </w:rPr>
        <w:t>，施工废水经循环沉淀池后使用，禁止排放。</w:t>
      </w:r>
    </w:p>
    <w:p w14:paraId="393DEA5A">
      <w:pPr>
        <w:pageBreakBefore w:val="0"/>
        <w:wordWrap/>
        <w:bidi w:val="0"/>
        <w:adjustRightInd/>
        <w:snapToGrid/>
        <w:ind w:firstLine="480"/>
        <w:rPr>
          <w:color w:val="auto"/>
          <w:kern w:val="0"/>
        </w:rPr>
      </w:pPr>
      <w:r>
        <w:rPr>
          <w:color w:val="auto"/>
          <w:kern w:val="0"/>
        </w:rPr>
        <w:t>③</w:t>
      </w:r>
      <w:r>
        <w:rPr>
          <w:color w:val="auto"/>
          <w:kern w:val="0"/>
          <w:szCs w:val="28"/>
        </w:rPr>
        <w:t>机械和车辆冲洗废水。主要为含油废水，应要求施工机械和车辆到项目设置的专门清洗点或修理点进行清洗和修理，机械保养冲洗水、含油污水不得随意排放，要经过隔油沉淀池处理后回用</w:t>
      </w:r>
      <w:r>
        <w:rPr>
          <w:color w:val="auto"/>
          <w:kern w:val="0"/>
        </w:rPr>
        <w:t>，禁止将施工废水排放。</w:t>
      </w:r>
    </w:p>
    <w:p w14:paraId="08CB4A8B">
      <w:pPr>
        <w:pageBreakBefore w:val="0"/>
        <w:wordWrap/>
        <w:bidi w:val="0"/>
        <w:adjustRightInd/>
        <w:snapToGrid/>
        <w:ind w:firstLine="480"/>
        <w:rPr>
          <w:color w:val="auto"/>
          <w:kern w:val="0"/>
        </w:rPr>
      </w:pPr>
      <w:r>
        <w:rPr>
          <w:color w:val="auto"/>
          <w:kern w:val="0"/>
          <w:u w:val="single"/>
        </w:rPr>
        <w:t>综上所述，在采取上述措施治理后，</w:t>
      </w:r>
      <w:r>
        <w:rPr>
          <w:rFonts w:hint="eastAsia"/>
          <w:color w:val="auto"/>
          <w:kern w:val="0"/>
          <w:u w:val="single"/>
          <w:lang w:val="en-US" w:eastAsia="zh-CN"/>
        </w:rPr>
        <w:t>施工</w:t>
      </w:r>
      <w:r>
        <w:rPr>
          <w:color w:val="auto"/>
          <w:kern w:val="0"/>
          <w:u w:val="single"/>
        </w:rPr>
        <w:t>期间产生的废水不会对区域地表水环境产生明显影响</w:t>
      </w:r>
      <w:r>
        <w:rPr>
          <w:color w:val="auto"/>
          <w:kern w:val="0"/>
        </w:rPr>
        <w:t>。</w:t>
      </w:r>
    </w:p>
    <w:p w14:paraId="6D360803">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施工期废气产生及治理措施</w:t>
      </w:r>
    </w:p>
    <w:p w14:paraId="7CF10F9A">
      <w:pPr>
        <w:pageBreakBefore w:val="0"/>
        <w:numPr>
          <w:ilvl w:val="0"/>
          <w:numId w:val="23"/>
        </w:numPr>
        <w:wordWrap/>
        <w:bidi w:val="0"/>
        <w:adjustRightInd/>
        <w:snapToGrid/>
        <w:ind w:firstLine="482"/>
        <w:rPr>
          <w:b/>
          <w:color w:val="auto"/>
        </w:rPr>
      </w:pPr>
      <w:r>
        <w:rPr>
          <w:b/>
          <w:color w:val="auto"/>
        </w:rPr>
        <w:t>施工废气</w:t>
      </w:r>
    </w:p>
    <w:p w14:paraId="4AAA26F1">
      <w:pPr>
        <w:pageBreakBefore w:val="0"/>
        <w:wordWrap/>
        <w:bidi w:val="0"/>
        <w:adjustRightInd/>
        <w:snapToGrid/>
        <w:ind w:firstLine="480"/>
        <w:rPr>
          <w:color w:val="auto"/>
        </w:rPr>
      </w:pPr>
      <w:r>
        <w:rPr>
          <w:color w:val="auto"/>
        </w:rPr>
        <w:t>大气污染物主要是施工扬尘、施工机械等燃油燃烧时排放SO</w:t>
      </w:r>
      <w:r>
        <w:rPr>
          <w:color w:val="auto"/>
          <w:vertAlign w:val="subscript"/>
        </w:rPr>
        <w:t>2</w:t>
      </w:r>
      <w:r>
        <w:rPr>
          <w:color w:val="auto"/>
        </w:rPr>
        <w:t>、NOx、CO、烃类等污染物</w:t>
      </w:r>
      <w:r>
        <w:rPr>
          <w:rFonts w:hint="eastAsia"/>
          <w:color w:val="auto"/>
          <w:lang w:val="en-US" w:eastAsia="zh-CN"/>
        </w:rPr>
        <w:t>和</w:t>
      </w:r>
      <w:r>
        <w:rPr>
          <w:color w:val="auto"/>
        </w:rPr>
        <w:t>装修</w:t>
      </w:r>
      <w:r>
        <w:rPr>
          <w:rFonts w:hint="eastAsia"/>
          <w:color w:val="auto"/>
          <w:lang w:val="en-US" w:eastAsia="zh-CN"/>
        </w:rPr>
        <w:t>油漆</w:t>
      </w:r>
      <w:r>
        <w:rPr>
          <w:color w:val="auto"/>
        </w:rPr>
        <w:t>废气。</w:t>
      </w:r>
    </w:p>
    <w:p w14:paraId="4CFEA84B">
      <w:pPr>
        <w:pageBreakBefore w:val="0"/>
        <w:wordWrap/>
        <w:bidi w:val="0"/>
        <w:adjustRightInd/>
        <w:snapToGrid/>
        <w:ind w:firstLine="482"/>
        <w:rPr>
          <w:rFonts w:hint="eastAsia"/>
          <w:color w:val="auto"/>
        </w:rPr>
      </w:pPr>
      <w:r>
        <w:rPr>
          <w:rFonts w:hint="eastAsia"/>
          <w:b/>
          <w:bCs/>
          <w:color w:val="auto"/>
        </w:rPr>
        <w:t>（1）施工扬尘</w:t>
      </w:r>
    </w:p>
    <w:p w14:paraId="0746F47A">
      <w:pPr>
        <w:pageBreakBefore w:val="0"/>
        <w:wordWrap/>
        <w:bidi w:val="0"/>
        <w:adjustRightInd/>
        <w:snapToGrid/>
        <w:ind w:firstLine="480"/>
        <w:contextualSpacing/>
        <w:rPr>
          <w:rFonts w:hint="eastAsia"/>
          <w:color w:val="auto"/>
        </w:rPr>
      </w:pPr>
      <w:r>
        <w:rPr>
          <w:rFonts w:hint="eastAsia"/>
          <w:color w:val="auto"/>
        </w:rPr>
        <w:t>施工扬尘主要来源于</w:t>
      </w:r>
      <w:r>
        <w:rPr>
          <w:rFonts w:hint="eastAsia"/>
          <w:color w:val="auto"/>
          <w:lang w:eastAsia="zh-CN"/>
        </w:rPr>
        <w:t>基坑开挖</w:t>
      </w:r>
      <w:r>
        <w:rPr>
          <w:rFonts w:hint="eastAsia"/>
          <w:color w:val="auto"/>
        </w:rPr>
        <w:t>过程中产生的扬尘以及土方露天堆放产生的风力扬尘等；建筑材料的现场搬运及堆放扬尘；施工垃圾的清理及堆放扬尘；人来车往造成的现场道路扬尘。主要采取的措施为：</w:t>
      </w:r>
    </w:p>
    <w:p w14:paraId="4E6CA4BE">
      <w:pPr>
        <w:pageBreakBefore w:val="0"/>
        <w:wordWrap/>
        <w:bidi w:val="0"/>
        <w:adjustRightInd/>
        <w:snapToGrid/>
        <w:ind w:firstLine="480"/>
        <w:contextualSpacing/>
        <w:rPr>
          <w:rFonts w:hint="eastAsia"/>
          <w:color w:val="auto"/>
        </w:rPr>
      </w:pPr>
      <w:r>
        <w:rPr>
          <w:rFonts w:hint="eastAsia"/>
          <w:color w:val="auto"/>
        </w:rPr>
        <w:t>在施工过程中，施工单位必须严格依照城市扬尘防护规定进行施工，尽量减少扬尘对环境的影响程度，使周界外浓度低于1.0mg/</w:t>
      </w:r>
      <w:r>
        <w:rPr>
          <w:rFonts w:hint="eastAsia"/>
          <w:color w:val="auto"/>
          <w:lang w:eastAsia="zh-CN"/>
        </w:rPr>
        <w:t>m³</w:t>
      </w:r>
      <w:r>
        <w:rPr>
          <w:rFonts w:hint="eastAsia"/>
          <w:color w:val="auto"/>
        </w:rPr>
        <w:t>。根据《关于有效控制城市扬尘污染的通知》（国家环境保护总局环发〔2001〕56号）、《大气污染防治行动计划》（国发〔2013〕37号）以及《四川省打赢蓝天保卫战等九个实施方案的通知》（川府发〔2019〕4号）、《四川省建筑工程扬尘污染防治技术导则（试行）》及《四川省施工场地扬尘排放标准》（DB512682-2020）中</w:t>
      </w:r>
      <w:r>
        <w:rPr>
          <w:rFonts w:hint="eastAsia"/>
          <w:color w:val="auto"/>
          <w:lang w:val="en-US" w:eastAsia="zh-CN"/>
        </w:rPr>
        <w:t>巴中市</w:t>
      </w:r>
      <w:r>
        <w:rPr>
          <w:rFonts w:hint="eastAsia"/>
          <w:color w:val="auto"/>
        </w:rPr>
        <w:t>限值要求</w:t>
      </w:r>
      <w:r>
        <w:rPr>
          <w:rFonts w:hint="eastAsia"/>
          <w:color w:val="auto"/>
          <w:lang w:eastAsia="zh-CN"/>
        </w:rPr>
        <w:t>、</w:t>
      </w:r>
      <w:r>
        <w:rPr>
          <w:rFonts w:hint="default" w:ascii="Times New Roman" w:hAnsi="Times New Roman" w:cs="Times New Roman"/>
          <w:color w:val="auto"/>
        </w:rPr>
        <w:t>《四川省重污染天气应急预案》（川办函〔2018〕10号）</w:t>
      </w:r>
      <w:r>
        <w:rPr>
          <w:rFonts w:hint="eastAsia" w:ascii="Times New Roman" w:hAnsi="Times New Roman" w:cs="Times New Roman"/>
          <w:color w:val="auto"/>
          <w:lang w:val="en-US" w:eastAsia="zh-CN"/>
        </w:rPr>
        <w:t>和</w:t>
      </w:r>
      <w:r>
        <w:rPr>
          <w:rFonts w:hint="default" w:ascii="Times New Roman" w:hAnsi="Times New Roman" w:cs="Times New Roman"/>
          <w:color w:val="auto"/>
        </w:rPr>
        <w:t>《</w:t>
      </w:r>
      <w:r>
        <w:rPr>
          <w:rFonts w:hint="default" w:ascii="Times New Roman" w:hAnsi="Times New Roman" w:cs="Times New Roman"/>
          <w:color w:val="auto"/>
          <w:lang w:val="en-US" w:eastAsia="zh-CN"/>
        </w:rPr>
        <w:t>巴中市</w:t>
      </w:r>
      <w:r>
        <w:rPr>
          <w:rFonts w:hint="default" w:ascii="Times New Roman" w:hAnsi="Times New Roman" w:cs="Times New Roman"/>
          <w:color w:val="auto"/>
        </w:rPr>
        <w:t>重污染天气应急预案（202</w:t>
      </w:r>
      <w:r>
        <w:rPr>
          <w:rFonts w:hint="default" w:ascii="Times New Roman" w:hAnsi="Times New Roman" w:cs="Times New Roman"/>
          <w:color w:val="auto"/>
          <w:lang w:val="en-US" w:eastAsia="zh-CN"/>
        </w:rPr>
        <w:t>0</w:t>
      </w:r>
      <w:r>
        <w:rPr>
          <w:rFonts w:hint="default" w:ascii="Times New Roman" w:hAnsi="Times New Roman" w:cs="Times New Roman"/>
          <w:color w:val="auto"/>
        </w:rPr>
        <w:t>年修订）》（巴府办发〔2020〕25号）</w:t>
      </w:r>
      <w:r>
        <w:rPr>
          <w:rFonts w:hint="eastAsia"/>
          <w:color w:val="auto"/>
        </w:rPr>
        <w:t>，具体防治扬尘措施如下：</w:t>
      </w:r>
    </w:p>
    <w:p w14:paraId="25659590">
      <w:pPr>
        <w:pageBreakBefore w:val="0"/>
        <w:wordWrap/>
        <w:bidi w:val="0"/>
        <w:adjustRightInd/>
        <w:snapToGrid/>
        <w:ind w:firstLine="480"/>
        <w:contextualSpacing/>
        <w:rPr>
          <w:rFonts w:hint="eastAsia"/>
          <w:color w:val="auto"/>
        </w:rPr>
      </w:pPr>
      <w:r>
        <w:rPr>
          <w:rFonts w:hint="eastAsia"/>
          <w:color w:val="auto"/>
        </w:rPr>
        <w:t>①积极推行绿色施工、加强对扬尘的源头的管理，施工工地进行打围施工，对产生扬尘的环节通过洒水降尘等方式进行湿法作业，严禁超载、冒载，严禁未密闭的运渣车驶出施工工地。严格执行</w:t>
      </w:r>
      <w:r>
        <w:rPr>
          <w:rFonts w:hint="eastAsia"/>
          <w:color w:val="auto"/>
          <w:lang w:eastAsia="zh-CN"/>
        </w:rPr>
        <w:t>“</w:t>
      </w:r>
      <w:r>
        <w:rPr>
          <w:rFonts w:hint="eastAsia"/>
          <w:color w:val="auto"/>
        </w:rPr>
        <w:t>十必须、十不准</w:t>
      </w:r>
      <w:r>
        <w:rPr>
          <w:rFonts w:hint="eastAsia"/>
          <w:color w:val="auto"/>
          <w:lang w:eastAsia="zh-CN"/>
        </w:rPr>
        <w:t>”</w:t>
      </w:r>
      <w:r>
        <w:rPr>
          <w:rFonts w:hint="eastAsia"/>
          <w:color w:val="auto"/>
        </w:rPr>
        <w:t>的要求：必须规范打围，保持干净整洁；必须设置出场车辆高压冲洗设施；必须硬化主要施工道路、出入口；必须湿法作业；必须及时清运建筑垃圾；必须使用800目密目网覆盖裸土、建渣；必须分类有序堆码施工材料；必须规范张贴非道路移动机械环保标识；必须安装扬尘在线监测设备；必须安装高清视频监控设备。不准车辆带泥出门；不准运渣车辆冒顶装载；不准使用名录外运渣车；不准现场搅拌混凝土、砂浆；不准露天切割；不准高处抛洒建筑垃圾；不准场地积水、积泥、积尘；不准焚烧废弃物；不准干扰扬尘监测设备运行；不准干扰视频监控设备。</w:t>
      </w:r>
    </w:p>
    <w:p w14:paraId="37FA5CF8">
      <w:pPr>
        <w:pageBreakBefore w:val="0"/>
        <w:wordWrap/>
        <w:bidi w:val="0"/>
        <w:adjustRightInd/>
        <w:snapToGrid/>
        <w:ind w:firstLine="480"/>
        <w:contextualSpacing/>
        <w:rPr>
          <w:rFonts w:hint="eastAsia"/>
          <w:color w:val="auto"/>
        </w:rPr>
      </w:pPr>
      <w:r>
        <w:rPr>
          <w:rFonts w:hint="eastAsia"/>
          <w:color w:val="auto"/>
        </w:rPr>
        <w:t>②出场车辆应保持车身及轮胎干净整洁，无土、泥沙等物料附着。土石方运输车辆必须实施全覆盖，避免扬尘及撒漏。</w:t>
      </w:r>
    </w:p>
    <w:p w14:paraId="7EF99CB7">
      <w:pPr>
        <w:pageBreakBefore w:val="0"/>
        <w:wordWrap/>
        <w:bidi w:val="0"/>
        <w:adjustRightInd/>
        <w:snapToGrid/>
        <w:ind w:firstLine="480"/>
        <w:contextualSpacing/>
        <w:rPr>
          <w:rFonts w:hint="eastAsia"/>
          <w:color w:val="auto"/>
        </w:rPr>
      </w:pPr>
      <w:r>
        <w:rPr>
          <w:rFonts w:hint="eastAsia"/>
          <w:color w:val="auto"/>
        </w:rPr>
        <w:t>③材料运输车禁止超载，装高不得超过车厢板，并加盖篷布，防止沿途洒落；及时清理施工废弃物，暂时不能清运的应采取覆盖等措施；大风天气应加强施工场地洒水增湿作业。</w:t>
      </w:r>
    </w:p>
    <w:p w14:paraId="641CB8D9">
      <w:pPr>
        <w:pageBreakBefore w:val="0"/>
        <w:wordWrap/>
        <w:bidi w:val="0"/>
        <w:adjustRightInd/>
        <w:snapToGrid/>
        <w:ind w:firstLine="480"/>
        <w:contextualSpacing/>
        <w:rPr>
          <w:rFonts w:hint="eastAsia"/>
          <w:color w:val="auto"/>
        </w:rPr>
      </w:pPr>
      <w:r>
        <w:rPr>
          <w:rFonts w:hint="eastAsia"/>
          <w:color w:val="auto"/>
        </w:rPr>
        <w:t>④施工场地设置雾炮除尘机进行喷雾降尘，在晴天实时洒水，包括施工路段及主要运输道路，大风干燥天气应增加洒水频次。风速五级以上易产生扬尘时，建议施工单位应暂停土方开挖，同时采取覆盖临时表土堆。</w:t>
      </w:r>
    </w:p>
    <w:p w14:paraId="7A517FC0">
      <w:pPr>
        <w:pageBreakBefore w:val="0"/>
        <w:wordWrap/>
        <w:bidi w:val="0"/>
        <w:adjustRightInd/>
        <w:snapToGrid/>
        <w:ind w:firstLine="480"/>
        <w:contextualSpacing/>
        <w:rPr>
          <w:rFonts w:hint="eastAsia"/>
          <w:color w:val="auto"/>
        </w:rPr>
      </w:pPr>
      <w:r>
        <w:rPr>
          <w:rFonts w:hint="eastAsia"/>
          <w:color w:val="auto"/>
        </w:rPr>
        <w:t>⑤对土石方转运及材料运输车辆进出口设置防尘措施，避免对交通道路造成扬尘污染。</w:t>
      </w:r>
    </w:p>
    <w:p w14:paraId="18D3D15F">
      <w:pPr>
        <w:pageBreakBefore w:val="0"/>
        <w:wordWrap/>
        <w:bidi w:val="0"/>
        <w:adjustRightInd/>
        <w:snapToGrid/>
        <w:ind w:firstLine="480"/>
        <w:contextualSpacing/>
        <w:rPr>
          <w:rFonts w:hint="eastAsia"/>
          <w:color w:val="auto"/>
        </w:rPr>
      </w:pPr>
      <w:r>
        <w:rPr>
          <w:rFonts w:hint="eastAsia"/>
          <w:color w:val="auto"/>
        </w:rPr>
        <w:t>⑥运输车辆的运输时间和路线要按照当地城市管理相关部门的要求执行。</w:t>
      </w:r>
    </w:p>
    <w:p w14:paraId="754B94E5">
      <w:pPr>
        <w:pageBreakBefore w:val="0"/>
        <w:wordWrap/>
        <w:bidi w:val="0"/>
        <w:adjustRightInd/>
        <w:snapToGrid/>
        <w:ind w:firstLine="480"/>
        <w:contextualSpacing/>
        <w:rPr>
          <w:rFonts w:hint="eastAsia"/>
          <w:color w:val="auto"/>
        </w:rPr>
      </w:pPr>
      <w:r>
        <w:rPr>
          <w:rFonts w:hint="eastAsia"/>
          <w:color w:val="auto"/>
        </w:rPr>
        <w:t>⑦开挖后的土方尽快回填，开挖的表土采取薄膜覆盖措施，不回填的建筑弃渣等及时外运，运输车辆的车厢遮盖严密后方可运出场外。</w:t>
      </w:r>
    </w:p>
    <w:p w14:paraId="52350C92">
      <w:pPr>
        <w:pageBreakBefore w:val="0"/>
        <w:wordWrap/>
        <w:bidi w:val="0"/>
        <w:adjustRightInd/>
        <w:snapToGrid/>
        <w:ind w:firstLine="480"/>
        <w:contextualSpacing/>
        <w:rPr>
          <w:rFonts w:hint="eastAsia"/>
          <w:color w:val="auto"/>
        </w:rPr>
      </w:pPr>
      <w:r>
        <w:rPr>
          <w:rFonts w:hint="eastAsia"/>
          <w:color w:val="auto"/>
        </w:rPr>
        <w:t>⑧另外，施工单位在施工过程中还应满足《四川省建筑工程扬尘污染防治技术导则（试行）》及《四川省施工场地扬尘排放标准》（DB512682-2020）中</w:t>
      </w:r>
      <w:r>
        <w:rPr>
          <w:rFonts w:hint="eastAsia"/>
          <w:color w:val="auto"/>
          <w:lang w:eastAsia="zh-CN"/>
        </w:rPr>
        <w:t>巴中</w:t>
      </w:r>
      <w:r>
        <w:rPr>
          <w:rFonts w:hint="eastAsia"/>
          <w:color w:val="auto"/>
        </w:rPr>
        <w:t>市限值相关要求。</w:t>
      </w:r>
    </w:p>
    <w:p w14:paraId="53653014">
      <w:pPr>
        <w:pageBreakBefore w:val="0"/>
        <w:wordWrap/>
        <w:bidi w:val="0"/>
        <w:adjustRightInd/>
        <w:snapToGrid/>
        <w:ind w:firstLine="480"/>
        <w:contextualSpacing/>
        <w:rPr>
          <w:rFonts w:hint="eastAsia"/>
          <w:color w:val="auto"/>
        </w:rPr>
      </w:pPr>
      <w:r>
        <w:rPr>
          <w:rFonts w:hint="eastAsia"/>
          <w:color w:val="auto"/>
        </w:rPr>
        <w:t>⑨根据《四川省建筑工程扬尘污染防治技术导则（试行）》中</w:t>
      </w:r>
      <w:r>
        <w:rPr>
          <w:rFonts w:hint="eastAsia"/>
          <w:color w:val="auto"/>
          <w:lang w:eastAsia="zh-CN"/>
        </w:rPr>
        <w:t>“</w:t>
      </w:r>
      <w:r>
        <w:rPr>
          <w:rFonts w:hint="eastAsia"/>
          <w:color w:val="auto"/>
        </w:rPr>
        <w:t>7.1 房屋建筑工程</w:t>
      </w:r>
      <w:r>
        <w:rPr>
          <w:rFonts w:hint="eastAsia"/>
          <w:color w:val="auto"/>
          <w:lang w:eastAsia="zh-CN"/>
        </w:rPr>
        <w:t>”</w:t>
      </w:r>
      <w:r>
        <w:rPr>
          <w:rFonts w:hint="eastAsia"/>
          <w:color w:val="auto"/>
        </w:rPr>
        <w:t>明确指出：</w:t>
      </w:r>
    </w:p>
    <w:p w14:paraId="7837B1F6">
      <w:pPr>
        <w:pageBreakBefore w:val="0"/>
        <w:wordWrap/>
        <w:bidi w:val="0"/>
        <w:adjustRightInd/>
        <w:snapToGrid/>
        <w:ind w:firstLine="480"/>
        <w:rPr>
          <w:rFonts w:hint="eastAsia"/>
          <w:color w:val="auto"/>
        </w:rPr>
      </w:pPr>
      <w:r>
        <w:rPr>
          <w:rFonts w:hint="eastAsia"/>
          <w:color w:val="auto"/>
        </w:rPr>
        <w:t xml:space="preserve">7.1.2 基坑（土方）工程 </w:t>
      </w:r>
    </w:p>
    <w:p w14:paraId="4A63FE95">
      <w:pPr>
        <w:pageBreakBefore w:val="0"/>
        <w:wordWrap/>
        <w:bidi w:val="0"/>
        <w:adjustRightInd/>
        <w:snapToGrid/>
        <w:ind w:firstLine="480"/>
        <w:rPr>
          <w:rFonts w:hint="eastAsia"/>
          <w:color w:val="auto"/>
        </w:rPr>
      </w:pPr>
      <w:r>
        <w:rPr>
          <w:rFonts w:hint="eastAsia"/>
          <w:color w:val="auto"/>
        </w:rPr>
        <w:t>1）基坑土方开挖及回填时，应同步落实湿法作业措施，作业时应根据合理需要撤除覆盖，非作业范围保持覆盖完整。</w:t>
      </w:r>
    </w:p>
    <w:p w14:paraId="23D6E508">
      <w:pPr>
        <w:pageBreakBefore w:val="0"/>
        <w:wordWrap/>
        <w:bidi w:val="0"/>
        <w:adjustRightInd/>
        <w:snapToGrid/>
        <w:ind w:firstLine="480"/>
        <w:rPr>
          <w:rFonts w:hint="eastAsia"/>
          <w:color w:val="auto"/>
        </w:rPr>
      </w:pPr>
      <w:r>
        <w:rPr>
          <w:rFonts w:hint="eastAsia"/>
          <w:color w:val="auto"/>
        </w:rPr>
        <w:t>2）基坑护坡等喷射混凝土施工宜采用湿喷或水泥裹砂喷射工艺。</w:t>
      </w:r>
    </w:p>
    <w:p w14:paraId="2B40668A">
      <w:pPr>
        <w:pageBreakBefore w:val="0"/>
        <w:wordWrap/>
        <w:bidi w:val="0"/>
        <w:adjustRightInd/>
        <w:snapToGrid/>
        <w:ind w:firstLine="480"/>
        <w:rPr>
          <w:rFonts w:hint="eastAsia"/>
          <w:color w:val="auto"/>
        </w:rPr>
      </w:pPr>
      <w:r>
        <w:rPr>
          <w:rFonts w:hint="eastAsia"/>
          <w:color w:val="auto"/>
        </w:rPr>
        <w:t>3）土方运输车辆应保证密闭运输、车身干净、不带泥行驶等。</w:t>
      </w:r>
    </w:p>
    <w:p w14:paraId="15F89358">
      <w:pPr>
        <w:pageBreakBefore w:val="0"/>
        <w:wordWrap/>
        <w:bidi w:val="0"/>
        <w:adjustRightInd/>
        <w:snapToGrid/>
        <w:ind w:firstLine="480"/>
        <w:rPr>
          <w:rFonts w:hint="eastAsia"/>
          <w:color w:val="auto"/>
        </w:rPr>
      </w:pPr>
      <w:r>
        <w:rPr>
          <w:rFonts w:hint="eastAsia"/>
          <w:color w:val="auto"/>
        </w:rPr>
        <w:t>4）泥浆产生量较大的作业如盾构等宜设置泥浆处理工作站进行泥水分离，处理后的泥饼妥善处理并及时清运，不能及时清运的泥饼应采取覆盖等防尘措施，减少扬尘污染。</w:t>
      </w:r>
    </w:p>
    <w:p w14:paraId="09A469B1">
      <w:pPr>
        <w:pageBreakBefore w:val="0"/>
        <w:wordWrap/>
        <w:bidi w:val="0"/>
        <w:adjustRightInd/>
        <w:snapToGrid/>
        <w:ind w:firstLine="480"/>
        <w:rPr>
          <w:rFonts w:hint="eastAsia"/>
          <w:color w:val="auto"/>
        </w:rPr>
      </w:pPr>
      <w:r>
        <w:rPr>
          <w:rFonts w:hint="eastAsia"/>
          <w:color w:val="auto"/>
        </w:rPr>
        <w:t xml:space="preserve">5）风速四级以上天气时，建筑施工现场应停止土石方开挖、锚杆打孔、建筑垃圾清理和倒运等易产生扬尘的作业。 </w:t>
      </w:r>
    </w:p>
    <w:p w14:paraId="13913748">
      <w:pPr>
        <w:pageBreakBefore w:val="0"/>
        <w:wordWrap/>
        <w:bidi w:val="0"/>
        <w:adjustRightInd/>
        <w:snapToGrid/>
        <w:ind w:firstLine="480"/>
        <w:rPr>
          <w:rFonts w:hint="eastAsia"/>
          <w:color w:val="auto"/>
        </w:rPr>
      </w:pPr>
      <w:r>
        <w:rPr>
          <w:rFonts w:hint="eastAsia"/>
          <w:color w:val="auto"/>
        </w:rPr>
        <w:t>7.1.3 主体结构及装饰工程</w:t>
      </w:r>
    </w:p>
    <w:p w14:paraId="3BB584D0">
      <w:pPr>
        <w:pageBreakBefore w:val="0"/>
        <w:wordWrap/>
        <w:bidi w:val="0"/>
        <w:adjustRightInd/>
        <w:snapToGrid/>
        <w:ind w:firstLine="480"/>
        <w:rPr>
          <w:rFonts w:hint="eastAsia"/>
          <w:color w:val="auto"/>
        </w:rPr>
      </w:pPr>
      <w:r>
        <w:rPr>
          <w:rFonts w:hint="eastAsia"/>
          <w:color w:val="auto"/>
        </w:rPr>
        <w:t>1）建筑物主体作业层必须使用密目式安全立网或整体提升架进行全封闭施工，保持外立面整洁、完好。</w:t>
      </w:r>
    </w:p>
    <w:p w14:paraId="5BCDD203">
      <w:pPr>
        <w:pageBreakBefore w:val="0"/>
        <w:wordWrap/>
        <w:bidi w:val="0"/>
        <w:adjustRightInd/>
        <w:snapToGrid/>
        <w:ind w:firstLine="480"/>
        <w:rPr>
          <w:rFonts w:hint="eastAsia"/>
          <w:color w:val="auto"/>
        </w:rPr>
      </w:pPr>
      <w:r>
        <w:rPr>
          <w:rFonts w:hint="eastAsia"/>
          <w:color w:val="auto"/>
        </w:rPr>
        <w:t>2）主体结构和装饰装修工程用外脚手架应符合以下要求：</w:t>
      </w:r>
    </w:p>
    <w:p w14:paraId="5AB7B2D1">
      <w:pPr>
        <w:pageBreakBefore w:val="0"/>
        <w:wordWrap/>
        <w:bidi w:val="0"/>
        <w:adjustRightInd/>
        <w:snapToGrid/>
        <w:ind w:firstLine="480"/>
        <w:rPr>
          <w:rFonts w:hint="eastAsia"/>
          <w:color w:val="auto"/>
        </w:rPr>
      </w:pPr>
      <w:r>
        <w:rPr>
          <w:rFonts w:hint="eastAsia"/>
          <w:color w:val="auto"/>
        </w:rPr>
        <w:t>a.脚手架周边外侧应全部用密目式安全立网封闭，密目式安全立网应满足《安全网》（GB5725-2009）的要求；</w:t>
      </w:r>
    </w:p>
    <w:p w14:paraId="55FB5532">
      <w:pPr>
        <w:pageBreakBefore w:val="0"/>
        <w:wordWrap/>
        <w:bidi w:val="0"/>
        <w:adjustRightInd/>
        <w:snapToGrid/>
        <w:ind w:firstLine="480"/>
        <w:rPr>
          <w:rFonts w:hint="eastAsia"/>
          <w:color w:val="auto"/>
        </w:rPr>
      </w:pPr>
      <w:r>
        <w:rPr>
          <w:rFonts w:hint="eastAsia"/>
          <w:color w:val="auto"/>
        </w:rPr>
        <w:t>b.作业层脚手板应铺满、铺稳，铺实；</w:t>
      </w:r>
    </w:p>
    <w:p w14:paraId="79DAAAF9">
      <w:pPr>
        <w:pageBreakBefore w:val="0"/>
        <w:wordWrap/>
        <w:bidi w:val="0"/>
        <w:adjustRightInd/>
        <w:snapToGrid/>
        <w:ind w:firstLine="480"/>
        <w:rPr>
          <w:rFonts w:hint="eastAsia"/>
          <w:color w:val="auto"/>
        </w:rPr>
      </w:pPr>
      <w:r>
        <w:rPr>
          <w:rFonts w:hint="eastAsia"/>
          <w:color w:val="auto"/>
        </w:rPr>
        <w:t>c.悬挑脚手架在悬挑层下端应采用胶合板等水平封堵密实，或在满铺的脚手板下用密目式安全立网兜底防护；</w:t>
      </w:r>
    </w:p>
    <w:p w14:paraId="17CCB559">
      <w:pPr>
        <w:pageBreakBefore w:val="0"/>
        <w:wordWrap/>
        <w:bidi w:val="0"/>
        <w:adjustRightInd/>
        <w:snapToGrid/>
        <w:ind w:firstLine="480"/>
        <w:rPr>
          <w:rFonts w:hint="eastAsia"/>
          <w:color w:val="auto"/>
        </w:rPr>
      </w:pPr>
      <w:r>
        <w:rPr>
          <w:rFonts w:hint="eastAsia"/>
          <w:color w:val="auto"/>
        </w:rPr>
        <w:t>d.应及时清理脚手板上的建筑垃圾，清理时应提前洒水润湿，严禁采用掀起、拍打或吹风等方式清理，避免产生扬尘</w:t>
      </w:r>
    </w:p>
    <w:p w14:paraId="7DE79DA2">
      <w:pPr>
        <w:pageBreakBefore w:val="0"/>
        <w:wordWrap/>
        <w:bidi w:val="0"/>
        <w:adjustRightInd/>
        <w:snapToGrid/>
        <w:ind w:firstLine="480"/>
        <w:rPr>
          <w:rFonts w:hint="eastAsia"/>
          <w:color w:val="auto"/>
        </w:rPr>
      </w:pPr>
      <w:r>
        <w:rPr>
          <w:rFonts w:hint="eastAsia"/>
          <w:color w:val="auto"/>
        </w:rPr>
        <w:t>e.楼层密目安全网污损时应及时更换，保持整洁无破损。</w:t>
      </w:r>
    </w:p>
    <w:p w14:paraId="3FB026CF">
      <w:pPr>
        <w:pageBreakBefore w:val="0"/>
        <w:wordWrap/>
        <w:bidi w:val="0"/>
        <w:adjustRightInd/>
        <w:snapToGrid/>
        <w:ind w:firstLine="480"/>
        <w:rPr>
          <w:rFonts w:hint="eastAsia"/>
          <w:color w:val="auto"/>
        </w:rPr>
      </w:pPr>
      <w:r>
        <w:rPr>
          <w:rFonts w:hint="eastAsia"/>
          <w:color w:val="auto"/>
        </w:rPr>
        <w:t>3）主体结构及装饰装修施工时，应按本导则7.5.3条设置喷淋装置，施工现场进行清理、钻孔、铣刨、爆破、拆除、切割、开挖及现场搅拌等作业时，应在密闭空间进行或采取洒水喷淋等湿法作业法进行施工。</w:t>
      </w:r>
    </w:p>
    <w:p w14:paraId="39D51862">
      <w:pPr>
        <w:pageBreakBefore w:val="0"/>
        <w:wordWrap/>
        <w:bidi w:val="0"/>
        <w:adjustRightInd/>
        <w:snapToGrid/>
        <w:ind w:firstLine="480"/>
        <w:rPr>
          <w:rFonts w:hint="eastAsia"/>
          <w:color w:val="auto"/>
        </w:rPr>
      </w:pPr>
      <w:r>
        <w:rPr>
          <w:rFonts w:hint="eastAsia"/>
          <w:color w:val="auto"/>
        </w:rPr>
        <w:t>4）施工现场应采取湿法作业及时清扫建筑垃圾，保持施工现场整洁。高层建筑施工过程中，室内垃圾的装袋清运应采用塔吊、施工升降机等设备运输，或设置专用的垃圾处理系统进行密闭运输，严禁凌空抛掷。</w:t>
      </w:r>
    </w:p>
    <w:p w14:paraId="1137E769">
      <w:pPr>
        <w:pageBreakBefore w:val="0"/>
        <w:wordWrap/>
        <w:bidi w:val="0"/>
        <w:adjustRightInd/>
        <w:snapToGrid/>
        <w:ind w:firstLine="480"/>
        <w:rPr>
          <w:rFonts w:hint="eastAsia"/>
          <w:color w:val="auto"/>
        </w:rPr>
      </w:pPr>
      <w:r>
        <w:rPr>
          <w:rFonts w:hint="eastAsia"/>
          <w:color w:val="auto"/>
        </w:rPr>
        <w:t>5）施工现场应设建筑废料集中堆放点，分类堆放，及时清运，对水泥、腻子粉、石膏粉等扬尘污染的物料，应利用仓库、储藏罐、封闭或半封闭堆场等形式分类存放。</w:t>
      </w:r>
    </w:p>
    <w:p w14:paraId="55235523">
      <w:pPr>
        <w:pageBreakBefore w:val="0"/>
        <w:wordWrap/>
        <w:bidi w:val="0"/>
        <w:adjustRightInd/>
        <w:snapToGrid/>
        <w:ind w:firstLine="480"/>
        <w:rPr>
          <w:rFonts w:hint="eastAsia"/>
          <w:color w:val="auto"/>
        </w:rPr>
      </w:pPr>
      <w:r>
        <w:rPr>
          <w:rFonts w:hint="eastAsia"/>
          <w:color w:val="auto"/>
        </w:rPr>
        <w:t>6）建设工程应使用预拌混凝土和预拌砂浆，因特殊情况需现场搅拌的，必须设置密闭装置，采取降尘措施。</w:t>
      </w:r>
    </w:p>
    <w:p w14:paraId="006D4FFC">
      <w:pPr>
        <w:pageBreakBefore w:val="0"/>
        <w:wordWrap/>
        <w:bidi w:val="0"/>
        <w:adjustRightInd/>
        <w:snapToGrid/>
        <w:ind w:firstLine="480"/>
        <w:rPr>
          <w:rFonts w:hint="eastAsia"/>
          <w:color w:val="auto"/>
        </w:rPr>
      </w:pPr>
      <w:r>
        <w:rPr>
          <w:rFonts w:hint="eastAsia"/>
          <w:color w:val="auto"/>
        </w:rPr>
        <w:t>7）电焊烟气、进出场车辆及机械设备废气排放应符合国家有关环保标准要求；严禁在施工现场排放有毒烟尘和气体，不得在施工现场洗石灰、熬煎沥青、焚烧各类废弃物，工地生活燃料应符合相关规定。</w:t>
      </w:r>
    </w:p>
    <w:p w14:paraId="6EEFE698">
      <w:pPr>
        <w:pageBreakBefore w:val="0"/>
        <w:wordWrap/>
        <w:bidi w:val="0"/>
        <w:adjustRightInd/>
        <w:snapToGrid/>
        <w:ind w:firstLine="480"/>
        <w:rPr>
          <w:rFonts w:hint="eastAsia"/>
          <w:color w:val="auto"/>
        </w:rPr>
      </w:pPr>
      <w:r>
        <w:rPr>
          <w:rFonts w:hint="eastAsia"/>
          <w:color w:val="auto"/>
        </w:rPr>
        <w:t>7.1.4 总坪工程</w:t>
      </w:r>
    </w:p>
    <w:p w14:paraId="72F68AF2">
      <w:pPr>
        <w:pageBreakBefore w:val="0"/>
        <w:wordWrap/>
        <w:bidi w:val="0"/>
        <w:adjustRightInd/>
        <w:snapToGrid/>
        <w:ind w:firstLine="480"/>
        <w:rPr>
          <w:rFonts w:hint="eastAsia"/>
          <w:color w:val="auto"/>
        </w:rPr>
      </w:pPr>
      <w:r>
        <w:rPr>
          <w:rFonts w:hint="eastAsia"/>
          <w:color w:val="auto"/>
        </w:rPr>
        <w:t>1）管沟开挖应分段开挖，安装完毕并经质量验收合格后应立即回填，应落实湿法作业和裸土覆盖有关措施。</w:t>
      </w:r>
    </w:p>
    <w:p w14:paraId="00F67BA8">
      <w:pPr>
        <w:pageBreakBefore w:val="0"/>
        <w:wordWrap/>
        <w:bidi w:val="0"/>
        <w:adjustRightInd/>
        <w:snapToGrid/>
        <w:ind w:firstLine="480"/>
        <w:rPr>
          <w:rFonts w:hint="eastAsia"/>
          <w:color w:val="auto"/>
        </w:rPr>
      </w:pPr>
      <w:r>
        <w:rPr>
          <w:rFonts w:hint="eastAsia"/>
          <w:color w:val="auto"/>
        </w:rPr>
        <w:t>2）绿化土进场应及时使用，暂不使用的要进行覆盖。</w:t>
      </w:r>
    </w:p>
    <w:p w14:paraId="308CE70B">
      <w:pPr>
        <w:pageBreakBefore w:val="0"/>
        <w:wordWrap/>
        <w:bidi w:val="0"/>
        <w:adjustRightInd/>
        <w:snapToGrid/>
        <w:ind w:firstLine="480"/>
        <w:rPr>
          <w:rFonts w:hint="eastAsia"/>
          <w:color w:val="auto"/>
        </w:rPr>
      </w:pPr>
      <w:r>
        <w:rPr>
          <w:rFonts w:hint="eastAsia"/>
          <w:color w:val="auto"/>
        </w:rPr>
        <w:t>3）总坪平整场地后的裸土应及时覆盖、硬化或绿化。</w:t>
      </w:r>
    </w:p>
    <w:p w14:paraId="4E96F3C0">
      <w:pPr>
        <w:pageBreakBefore w:val="0"/>
        <w:wordWrap/>
        <w:bidi w:val="0"/>
        <w:adjustRightInd/>
        <w:snapToGrid/>
        <w:ind w:firstLine="480"/>
        <w:rPr>
          <w:rFonts w:hint="eastAsia"/>
          <w:color w:val="auto"/>
        </w:rPr>
      </w:pPr>
      <w:r>
        <w:rPr>
          <w:rFonts w:hint="eastAsia"/>
          <w:color w:val="auto"/>
        </w:rPr>
        <w:t xml:space="preserve">4）工程结束前不得拆除围挡，如因施工妨碍必须拆除时，应设置临时围挡。 </w:t>
      </w:r>
    </w:p>
    <w:p w14:paraId="5A90B3A1">
      <w:pPr>
        <w:pageBreakBefore w:val="0"/>
        <w:wordWrap/>
        <w:bidi w:val="0"/>
        <w:adjustRightInd/>
        <w:snapToGrid/>
        <w:ind w:firstLine="480"/>
        <w:rPr>
          <w:rFonts w:hint="eastAsia"/>
          <w:color w:val="auto"/>
        </w:rPr>
      </w:pPr>
      <w:r>
        <w:rPr>
          <w:rFonts w:hint="eastAsia"/>
          <w:color w:val="auto"/>
        </w:rPr>
        <w:t>⑩施工扬尘满足《四川省施工场地扬尘排放标准》（DB51/2682-2020）中</w:t>
      </w:r>
      <w:r>
        <w:rPr>
          <w:rFonts w:hint="eastAsia"/>
          <w:color w:val="auto"/>
          <w:lang w:eastAsia="zh-CN"/>
        </w:rPr>
        <w:t>巴中</w:t>
      </w:r>
      <w:r>
        <w:rPr>
          <w:rFonts w:hint="eastAsia"/>
          <w:color w:val="auto"/>
        </w:rPr>
        <w:t>市限值要求，即：自监测起连续15分钟，拆除工程/土方开挖土方回填阶段产生的扬尘≤0.6mg/</w:t>
      </w:r>
      <w:r>
        <w:rPr>
          <w:rFonts w:hint="eastAsia"/>
          <w:color w:val="auto"/>
          <w:lang w:eastAsia="zh-CN"/>
        </w:rPr>
        <w:t>m³</w:t>
      </w:r>
      <w:r>
        <w:rPr>
          <w:rFonts w:hint="eastAsia"/>
          <w:color w:val="auto"/>
        </w:rPr>
        <w:t>，其他工程阶段产生的扬尘≤0.25mg/</w:t>
      </w:r>
      <w:r>
        <w:rPr>
          <w:rFonts w:hint="eastAsia"/>
          <w:color w:val="auto"/>
          <w:lang w:eastAsia="zh-CN"/>
        </w:rPr>
        <w:t>m³</w:t>
      </w:r>
      <w:r>
        <w:rPr>
          <w:rFonts w:hint="eastAsia"/>
          <w:color w:val="auto"/>
        </w:rPr>
        <w:t>。综上所述，施工单位应严格按照相关要求采取扬尘防治措施，加强施工场地管理和组织秩序，确保施工期间做到文明施工、不扰民、少污染。</w:t>
      </w:r>
    </w:p>
    <w:p w14:paraId="0F9E34E7">
      <w:pPr>
        <w:pageBreakBefore w:val="0"/>
        <w:wordWrap/>
        <w:autoSpaceDE w:val="0"/>
        <w:autoSpaceDN w:val="0"/>
        <w:bidi w:val="0"/>
        <w:adjustRightInd/>
        <w:snapToGrid/>
        <w:ind w:firstLine="480"/>
        <w:jc w:val="left"/>
        <w:rPr>
          <w:color w:val="auto"/>
          <w:kern w:val="0"/>
          <w:szCs w:val="23"/>
        </w:rPr>
      </w:pPr>
      <w:r>
        <w:rPr>
          <w:color w:val="auto"/>
          <w:kern w:val="0"/>
          <w:szCs w:val="23"/>
        </w:rPr>
        <w:t>施工扬尘监测计划</w:t>
      </w:r>
      <w:r>
        <w:rPr>
          <w:rFonts w:hint="eastAsia"/>
          <w:color w:val="auto"/>
          <w:kern w:val="0"/>
          <w:szCs w:val="23"/>
          <w:lang w:eastAsia="zh-CN"/>
        </w:rPr>
        <w:t>见</w:t>
      </w:r>
      <w:r>
        <w:rPr>
          <w:rFonts w:hint="eastAsia"/>
          <w:color w:val="auto"/>
          <w:kern w:val="0"/>
          <w:szCs w:val="23"/>
          <w:lang w:val="en-US" w:eastAsia="zh-CN"/>
        </w:rPr>
        <w:t>下表</w:t>
      </w:r>
      <w:r>
        <w:rPr>
          <w:color w:val="auto"/>
          <w:kern w:val="0"/>
          <w:szCs w:val="23"/>
        </w:rPr>
        <w:t>。</w:t>
      </w:r>
    </w:p>
    <w:p w14:paraId="496ABE64">
      <w:pPr>
        <w:pStyle w:val="19"/>
        <w:numPr>
          <w:ilvl w:val="0"/>
          <w:numId w:val="22"/>
        </w:numPr>
        <w:bidi w:val="0"/>
        <w:ind w:left="0" w:leftChars="0" w:firstLine="0" w:firstLineChars="0"/>
        <w:rPr>
          <w:color w:val="auto"/>
        </w:rPr>
      </w:pPr>
      <w:r>
        <w:rPr>
          <w:color w:val="auto"/>
        </w:rPr>
        <w:t>施工扬尘监测计划</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676"/>
        <w:gridCol w:w="1834"/>
        <w:gridCol w:w="1205"/>
        <w:gridCol w:w="930"/>
        <w:gridCol w:w="3170"/>
        <w:gridCol w:w="1024"/>
      </w:tblGrid>
      <w:tr w14:paraId="433FD6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2" w:type="pct"/>
            <w:noWrap w:val="0"/>
            <w:vAlign w:val="center"/>
          </w:tcPr>
          <w:p w14:paraId="6E99A170">
            <w:pPr>
              <w:pStyle w:val="16"/>
              <w:pageBreakBefore w:val="0"/>
              <w:wordWrap/>
              <w:bidi w:val="0"/>
              <w:adjustRightInd/>
              <w:snapToGrid/>
              <w:rPr>
                <w:b/>
                <w:bCs/>
                <w:color w:val="auto"/>
              </w:rPr>
            </w:pPr>
            <w:r>
              <w:rPr>
                <w:b/>
                <w:bCs/>
                <w:color w:val="auto"/>
              </w:rPr>
              <w:t>监测项目</w:t>
            </w:r>
          </w:p>
        </w:tc>
        <w:tc>
          <w:tcPr>
            <w:tcW w:w="1037" w:type="pct"/>
            <w:noWrap w:val="0"/>
            <w:vAlign w:val="center"/>
          </w:tcPr>
          <w:p w14:paraId="745C32CA">
            <w:pPr>
              <w:pStyle w:val="16"/>
              <w:pageBreakBefore w:val="0"/>
              <w:wordWrap/>
              <w:bidi w:val="0"/>
              <w:adjustRightInd/>
              <w:snapToGrid/>
              <w:rPr>
                <w:b/>
                <w:bCs/>
                <w:color w:val="auto"/>
              </w:rPr>
            </w:pPr>
            <w:r>
              <w:rPr>
                <w:b/>
                <w:bCs/>
                <w:color w:val="auto"/>
              </w:rPr>
              <w:t>施工阶段</w:t>
            </w:r>
          </w:p>
        </w:tc>
        <w:tc>
          <w:tcPr>
            <w:tcW w:w="681" w:type="pct"/>
            <w:noWrap w:val="0"/>
            <w:vAlign w:val="center"/>
          </w:tcPr>
          <w:p w14:paraId="3C5A2715">
            <w:pPr>
              <w:pStyle w:val="16"/>
              <w:pageBreakBefore w:val="0"/>
              <w:wordWrap/>
              <w:bidi w:val="0"/>
              <w:adjustRightInd/>
              <w:snapToGrid/>
              <w:rPr>
                <w:b/>
                <w:bCs/>
                <w:color w:val="auto"/>
              </w:rPr>
            </w:pPr>
            <w:r>
              <w:rPr>
                <w:b/>
                <w:bCs/>
                <w:color w:val="auto"/>
              </w:rPr>
              <w:t>监测点排放限值</w:t>
            </w:r>
          </w:p>
        </w:tc>
        <w:tc>
          <w:tcPr>
            <w:tcW w:w="526" w:type="pct"/>
            <w:noWrap w:val="0"/>
            <w:vAlign w:val="center"/>
          </w:tcPr>
          <w:p w14:paraId="26EBD4F9">
            <w:pPr>
              <w:pStyle w:val="16"/>
              <w:pageBreakBefore w:val="0"/>
              <w:wordWrap/>
              <w:bidi w:val="0"/>
              <w:adjustRightInd/>
              <w:snapToGrid/>
              <w:rPr>
                <w:b/>
                <w:bCs/>
                <w:color w:val="auto"/>
              </w:rPr>
            </w:pPr>
            <w:r>
              <w:rPr>
                <w:b/>
                <w:bCs/>
                <w:color w:val="auto"/>
              </w:rPr>
              <w:t>监测时间</w:t>
            </w:r>
          </w:p>
        </w:tc>
        <w:tc>
          <w:tcPr>
            <w:tcW w:w="1792" w:type="pct"/>
            <w:noWrap w:val="0"/>
            <w:vAlign w:val="center"/>
          </w:tcPr>
          <w:p w14:paraId="7EF0FD33">
            <w:pPr>
              <w:pStyle w:val="16"/>
              <w:pageBreakBefore w:val="0"/>
              <w:wordWrap/>
              <w:bidi w:val="0"/>
              <w:adjustRightInd/>
              <w:snapToGrid/>
              <w:rPr>
                <w:b/>
                <w:bCs/>
                <w:color w:val="auto"/>
              </w:rPr>
            </w:pPr>
            <w:r>
              <w:rPr>
                <w:b/>
                <w:bCs/>
                <w:color w:val="auto"/>
              </w:rPr>
              <w:t>监测点位置</w:t>
            </w:r>
          </w:p>
        </w:tc>
        <w:tc>
          <w:tcPr>
            <w:tcW w:w="579" w:type="pct"/>
            <w:noWrap w:val="0"/>
            <w:vAlign w:val="center"/>
          </w:tcPr>
          <w:p w14:paraId="463EF7E4">
            <w:pPr>
              <w:pStyle w:val="16"/>
              <w:pageBreakBefore w:val="0"/>
              <w:wordWrap/>
              <w:bidi w:val="0"/>
              <w:adjustRightInd/>
              <w:snapToGrid/>
              <w:rPr>
                <w:b/>
                <w:bCs/>
                <w:color w:val="auto"/>
              </w:rPr>
            </w:pPr>
            <w:r>
              <w:rPr>
                <w:b/>
                <w:bCs/>
                <w:color w:val="auto"/>
              </w:rPr>
              <w:t>监测点数量</w:t>
            </w:r>
          </w:p>
        </w:tc>
      </w:tr>
      <w:tr w14:paraId="10EDB6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2" w:type="pct"/>
            <w:vMerge w:val="restart"/>
            <w:noWrap w:val="0"/>
            <w:vAlign w:val="center"/>
          </w:tcPr>
          <w:p w14:paraId="7BE4531E">
            <w:pPr>
              <w:pStyle w:val="16"/>
              <w:pageBreakBefore w:val="0"/>
              <w:wordWrap/>
              <w:bidi w:val="0"/>
              <w:adjustRightInd/>
              <w:snapToGrid/>
              <w:rPr>
                <w:color w:val="auto"/>
              </w:rPr>
            </w:pPr>
            <w:r>
              <w:rPr>
                <w:color w:val="auto"/>
              </w:rPr>
              <w:t>TSP</w:t>
            </w:r>
          </w:p>
        </w:tc>
        <w:tc>
          <w:tcPr>
            <w:tcW w:w="1037" w:type="pct"/>
            <w:noWrap w:val="0"/>
            <w:vAlign w:val="center"/>
          </w:tcPr>
          <w:p w14:paraId="3B8F5DB4">
            <w:pPr>
              <w:pStyle w:val="16"/>
              <w:pageBreakBefore w:val="0"/>
              <w:wordWrap/>
              <w:bidi w:val="0"/>
              <w:adjustRightInd/>
              <w:snapToGrid/>
              <w:rPr>
                <w:color w:val="auto"/>
              </w:rPr>
            </w:pPr>
            <w:r>
              <w:rPr>
                <w:color w:val="auto"/>
              </w:rPr>
              <w:t>拆除工程/土方开挖/土方回填阶段</w:t>
            </w:r>
          </w:p>
        </w:tc>
        <w:tc>
          <w:tcPr>
            <w:tcW w:w="681" w:type="pct"/>
            <w:noWrap w:val="0"/>
            <w:vAlign w:val="center"/>
          </w:tcPr>
          <w:p w14:paraId="2276C893">
            <w:pPr>
              <w:pStyle w:val="16"/>
              <w:pageBreakBefore w:val="0"/>
              <w:wordWrap/>
              <w:bidi w:val="0"/>
              <w:adjustRightInd/>
              <w:snapToGrid/>
              <w:rPr>
                <w:rFonts w:hint="eastAsia" w:eastAsia="宋体"/>
                <w:color w:val="auto"/>
                <w:lang w:eastAsia="zh-CN"/>
              </w:rPr>
            </w:pPr>
            <w:r>
              <w:rPr>
                <w:color w:val="auto"/>
              </w:rPr>
              <w:t>600μg/</w:t>
            </w:r>
            <w:r>
              <w:rPr>
                <w:rFonts w:hint="eastAsia"/>
                <w:color w:val="auto"/>
                <w:lang w:eastAsia="zh-CN"/>
              </w:rPr>
              <w:t>m³</w:t>
            </w:r>
          </w:p>
        </w:tc>
        <w:tc>
          <w:tcPr>
            <w:tcW w:w="526" w:type="pct"/>
            <w:vMerge w:val="restart"/>
            <w:noWrap w:val="0"/>
            <w:vAlign w:val="center"/>
          </w:tcPr>
          <w:p w14:paraId="5A7B1576">
            <w:pPr>
              <w:pStyle w:val="16"/>
              <w:pageBreakBefore w:val="0"/>
              <w:wordWrap/>
              <w:bidi w:val="0"/>
              <w:adjustRightInd/>
              <w:snapToGrid/>
              <w:rPr>
                <w:color w:val="auto"/>
              </w:rPr>
            </w:pPr>
            <w:r>
              <w:rPr>
                <w:color w:val="auto"/>
              </w:rPr>
              <w:t>自监测起连续15分钟</w:t>
            </w:r>
          </w:p>
        </w:tc>
        <w:tc>
          <w:tcPr>
            <w:tcW w:w="1792" w:type="pct"/>
            <w:vMerge w:val="restart"/>
            <w:noWrap w:val="0"/>
            <w:vAlign w:val="center"/>
          </w:tcPr>
          <w:p w14:paraId="6E1DDC7A">
            <w:pPr>
              <w:pStyle w:val="16"/>
              <w:pageBreakBefore w:val="0"/>
              <w:wordWrap/>
              <w:bidi w:val="0"/>
              <w:adjustRightInd/>
              <w:snapToGrid/>
              <w:rPr>
                <w:color w:val="auto"/>
              </w:rPr>
            </w:pPr>
            <w:r>
              <w:rPr>
                <w:rFonts w:hint="eastAsia"/>
                <w:color w:val="auto"/>
              </w:rPr>
              <w:t>监测</w:t>
            </w:r>
            <w:r>
              <w:rPr>
                <w:color w:val="auto"/>
              </w:rPr>
              <w:cr/>
            </w:r>
            <w:r>
              <w:rPr>
                <w:color w:val="auto"/>
              </w:rPr>
              <w:t>点位应设置于建筑工地施工区域围栏安全范围内，优先设置于车辆进出口处和工地下风向浓度最高点处，可直接监控施工现场主要施工活动的区域。</w:t>
            </w:r>
          </w:p>
        </w:tc>
        <w:tc>
          <w:tcPr>
            <w:tcW w:w="579" w:type="pct"/>
            <w:vMerge w:val="restart"/>
            <w:noWrap w:val="0"/>
            <w:vAlign w:val="center"/>
          </w:tcPr>
          <w:p w14:paraId="11952D44">
            <w:pPr>
              <w:pStyle w:val="16"/>
              <w:pageBreakBefore w:val="0"/>
              <w:wordWrap/>
              <w:bidi w:val="0"/>
              <w:adjustRightInd/>
              <w:snapToGrid/>
              <w:rPr>
                <w:color w:val="auto"/>
              </w:rPr>
            </w:pPr>
            <w:r>
              <w:rPr>
                <w:color w:val="auto"/>
              </w:rPr>
              <w:t>3个</w:t>
            </w:r>
          </w:p>
        </w:tc>
      </w:tr>
      <w:tr w14:paraId="452424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82" w:type="pct"/>
            <w:vMerge w:val="continue"/>
            <w:noWrap w:val="0"/>
            <w:vAlign w:val="center"/>
          </w:tcPr>
          <w:p w14:paraId="4BAF1C78">
            <w:pPr>
              <w:pStyle w:val="16"/>
              <w:pageBreakBefore w:val="0"/>
              <w:wordWrap/>
              <w:bidi w:val="0"/>
              <w:adjustRightInd/>
              <w:snapToGrid/>
              <w:rPr>
                <w:color w:val="auto"/>
              </w:rPr>
            </w:pPr>
          </w:p>
        </w:tc>
        <w:tc>
          <w:tcPr>
            <w:tcW w:w="1037" w:type="pct"/>
            <w:noWrap w:val="0"/>
            <w:vAlign w:val="center"/>
          </w:tcPr>
          <w:p w14:paraId="6C9EFD5F">
            <w:pPr>
              <w:pStyle w:val="16"/>
              <w:pageBreakBefore w:val="0"/>
              <w:wordWrap/>
              <w:bidi w:val="0"/>
              <w:adjustRightInd/>
              <w:snapToGrid/>
              <w:rPr>
                <w:color w:val="auto"/>
              </w:rPr>
            </w:pPr>
            <w:r>
              <w:rPr>
                <w:color w:val="auto"/>
              </w:rPr>
              <w:t>其他工程阶段</w:t>
            </w:r>
          </w:p>
        </w:tc>
        <w:tc>
          <w:tcPr>
            <w:tcW w:w="681" w:type="pct"/>
            <w:noWrap w:val="0"/>
            <w:vAlign w:val="center"/>
          </w:tcPr>
          <w:p w14:paraId="6F4B0703">
            <w:pPr>
              <w:pStyle w:val="16"/>
              <w:pageBreakBefore w:val="0"/>
              <w:wordWrap/>
              <w:bidi w:val="0"/>
              <w:adjustRightInd/>
              <w:snapToGrid/>
              <w:rPr>
                <w:rFonts w:hint="eastAsia" w:eastAsia="宋体"/>
                <w:color w:val="auto"/>
                <w:lang w:eastAsia="zh-CN"/>
              </w:rPr>
            </w:pPr>
            <w:r>
              <w:rPr>
                <w:color w:val="auto"/>
              </w:rPr>
              <w:t>250μg/</w:t>
            </w:r>
            <w:r>
              <w:rPr>
                <w:rFonts w:hint="eastAsia"/>
                <w:color w:val="auto"/>
                <w:lang w:eastAsia="zh-CN"/>
              </w:rPr>
              <w:t>m³</w:t>
            </w:r>
          </w:p>
        </w:tc>
        <w:tc>
          <w:tcPr>
            <w:tcW w:w="526" w:type="pct"/>
            <w:vMerge w:val="continue"/>
            <w:noWrap w:val="0"/>
            <w:vAlign w:val="center"/>
          </w:tcPr>
          <w:p w14:paraId="1CFC99D4">
            <w:pPr>
              <w:pStyle w:val="16"/>
              <w:pageBreakBefore w:val="0"/>
              <w:wordWrap/>
              <w:bidi w:val="0"/>
              <w:adjustRightInd/>
              <w:snapToGrid/>
              <w:rPr>
                <w:color w:val="auto"/>
              </w:rPr>
            </w:pPr>
          </w:p>
        </w:tc>
        <w:tc>
          <w:tcPr>
            <w:tcW w:w="1792" w:type="pct"/>
            <w:vMerge w:val="continue"/>
            <w:noWrap w:val="0"/>
            <w:vAlign w:val="center"/>
          </w:tcPr>
          <w:p w14:paraId="01AAA191">
            <w:pPr>
              <w:pStyle w:val="16"/>
              <w:pageBreakBefore w:val="0"/>
              <w:wordWrap/>
              <w:bidi w:val="0"/>
              <w:adjustRightInd/>
              <w:snapToGrid/>
              <w:rPr>
                <w:color w:val="auto"/>
              </w:rPr>
            </w:pPr>
          </w:p>
        </w:tc>
        <w:tc>
          <w:tcPr>
            <w:tcW w:w="579" w:type="pct"/>
            <w:vMerge w:val="continue"/>
            <w:noWrap w:val="0"/>
            <w:vAlign w:val="center"/>
          </w:tcPr>
          <w:p w14:paraId="00C62D49">
            <w:pPr>
              <w:pStyle w:val="16"/>
              <w:pageBreakBefore w:val="0"/>
              <w:wordWrap/>
              <w:bidi w:val="0"/>
              <w:adjustRightInd/>
              <w:snapToGrid/>
              <w:rPr>
                <w:color w:val="auto"/>
              </w:rPr>
            </w:pPr>
          </w:p>
        </w:tc>
      </w:tr>
    </w:tbl>
    <w:p w14:paraId="43E4B7FE">
      <w:pPr>
        <w:keepNext w:val="0"/>
        <w:keepLines w:val="0"/>
        <w:pageBreakBefore w:val="0"/>
        <w:widowControl w:val="0"/>
        <w:kinsoku/>
        <w:wordWrap/>
        <w:overflowPunct/>
        <w:topLinePunct w:val="0"/>
        <w:autoSpaceDE/>
        <w:autoSpaceDN/>
        <w:bidi w:val="0"/>
        <w:adjustRightInd/>
        <w:snapToGrid/>
        <w:spacing w:before="144" w:beforeLines="50"/>
        <w:textAlignment w:val="auto"/>
        <w:rPr>
          <w:rFonts w:hint="default" w:ascii="Times New Roman" w:hAnsi="Times New Roman" w:cs="Times New Roman"/>
          <w:color w:val="auto"/>
        </w:rPr>
      </w:pPr>
      <w:r>
        <w:rPr>
          <w:rFonts w:hint="default" w:ascii="Times New Roman" w:hAnsi="Times New Roman" w:cs="Times New Roman"/>
          <w:color w:val="auto"/>
        </w:rPr>
        <w:t>⑪建设单位和施工单位须按照《四川省重污染天气应急预案》（川办函〔2018〕10号）的要求施工，尤其是在重污染天气时应做好施工场地扬尘减排措施。若施工期遇重污染天气，建设单位和施工单位应严格落实《</w:t>
      </w:r>
      <w:r>
        <w:rPr>
          <w:rFonts w:hint="default" w:ascii="Times New Roman" w:hAnsi="Times New Roman" w:cs="Times New Roman"/>
          <w:color w:val="auto"/>
          <w:lang w:val="en-US" w:eastAsia="zh-CN"/>
        </w:rPr>
        <w:t>巴中市</w:t>
      </w:r>
      <w:r>
        <w:rPr>
          <w:rFonts w:hint="default" w:ascii="Times New Roman" w:hAnsi="Times New Roman" w:cs="Times New Roman"/>
          <w:color w:val="auto"/>
        </w:rPr>
        <w:t>重污染天气应急预案（202</w:t>
      </w:r>
      <w:r>
        <w:rPr>
          <w:rFonts w:hint="default" w:ascii="Times New Roman" w:hAnsi="Times New Roman" w:cs="Times New Roman"/>
          <w:color w:val="auto"/>
          <w:lang w:val="en-US" w:eastAsia="zh-CN"/>
        </w:rPr>
        <w:t>0</w:t>
      </w:r>
      <w:r>
        <w:rPr>
          <w:rFonts w:hint="default" w:ascii="Times New Roman" w:hAnsi="Times New Roman" w:cs="Times New Roman"/>
          <w:color w:val="auto"/>
        </w:rPr>
        <w:t>年修订）》（巴府办发〔2020〕25号）应急措施要求，根据不同预警等级，建设工地应采取相应的应急措施。</w:t>
      </w:r>
    </w:p>
    <w:p w14:paraId="573A0C99">
      <w:pPr>
        <w:bidi w:val="0"/>
        <w:rPr>
          <w:rFonts w:hint="default" w:ascii="Times New Roman" w:hAnsi="Times New Roman" w:cs="Times New Roman"/>
          <w:color w:val="auto"/>
        </w:rPr>
      </w:pPr>
      <w:r>
        <w:rPr>
          <w:rFonts w:hint="default" w:ascii="Times New Roman" w:hAnsi="Times New Roman" w:cs="Times New Roman"/>
          <w:b/>
          <w:bCs/>
          <w:color w:val="auto"/>
        </w:rPr>
        <w:t>黄色预警：</w:t>
      </w:r>
      <w:r>
        <w:rPr>
          <w:rFonts w:hint="default" w:ascii="Times New Roman" w:hAnsi="Times New Roman" w:cs="Times New Roman"/>
          <w:color w:val="auto"/>
        </w:rPr>
        <w:t>预测PM</w:t>
      </w:r>
      <w:r>
        <w:rPr>
          <w:rFonts w:hint="default" w:ascii="Times New Roman" w:hAnsi="Times New Roman" w:cs="Times New Roman"/>
          <w:color w:val="auto"/>
          <w:vertAlign w:val="subscript"/>
        </w:rPr>
        <w:t>2.5</w:t>
      </w:r>
      <w:r>
        <w:rPr>
          <w:rFonts w:hint="default" w:ascii="Times New Roman" w:hAnsi="Times New Roman" w:cs="Times New Roman"/>
          <w:color w:val="auto"/>
        </w:rPr>
        <w:t>浓度&gt;115微克/立方米将持续48小时及以上，且短时出现重度污染；或预测环境空气质量指数（AQI）除PM</w:t>
      </w:r>
      <w:r>
        <w:rPr>
          <w:rFonts w:hint="default" w:ascii="Times New Roman" w:hAnsi="Times New Roman" w:cs="Times New Roman"/>
          <w:color w:val="auto"/>
          <w:vertAlign w:val="subscript"/>
        </w:rPr>
        <w:t>2.5</w:t>
      </w:r>
      <w:r>
        <w:rPr>
          <w:rFonts w:hint="default" w:ascii="Times New Roman" w:hAnsi="Times New Roman" w:cs="Times New Roman"/>
          <w:color w:val="auto"/>
        </w:rPr>
        <w:t>以外的其他污染物〔可吸入颗粒物（PM</w:t>
      </w:r>
      <w:r>
        <w:rPr>
          <w:rFonts w:hint="default" w:ascii="Times New Roman" w:hAnsi="Times New Roman" w:cs="Times New Roman"/>
          <w:color w:val="auto"/>
          <w:vertAlign w:val="subscript"/>
        </w:rPr>
        <w:t>10</w:t>
      </w:r>
      <w:r>
        <w:rPr>
          <w:rFonts w:hint="default" w:ascii="Times New Roman" w:hAnsi="Times New Roman" w:cs="Times New Roman"/>
          <w:color w:val="auto"/>
        </w:rPr>
        <w:t>）、二氧化氮（NO</w:t>
      </w:r>
      <w:r>
        <w:rPr>
          <w:rFonts w:hint="default" w:ascii="Times New Roman" w:hAnsi="Times New Roman" w:cs="Times New Roman"/>
          <w:color w:val="auto"/>
          <w:vertAlign w:val="subscript"/>
        </w:rPr>
        <w:t>2</w:t>
      </w:r>
      <w:r>
        <w:rPr>
          <w:rFonts w:hint="default" w:ascii="Times New Roman" w:hAnsi="Times New Roman" w:cs="Times New Roman"/>
          <w:color w:val="auto"/>
        </w:rPr>
        <w:t>）、二氧化硫（S0</w:t>
      </w:r>
      <w:r>
        <w:rPr>
          <w:rFonts w:hint="default" w:ascii="Times New Roman" w:hAnsi="Times New Roman" w:cs="Times New Roman"/>
          <w:color w:val="auto"/>
          <w:vertAlign w:val="subscript"/>
        </w:rPr>
        <w:t>2</w:t>
      </w:r>
      <w:r>
        <w:rPr>
          <w:rFonts w:hint="default" w:ascii="Times New Roman" w:hAnsi="Times New Roman" w:cs="Times New Roman"/>
          <w:color w:val="auto"/>
        </w:rPr>
        <w:t>）、臭氧（O</w:t>
      </w:r>
      <w:r>
        <w:rPr>
          <w:rFonts w:hint="default" w:ascii="Times New Roman" w:hAnsi="Times New Roman" w:cs="Times New Roman"/>
          <w:color w:val="auto"/>
          <w:vertAlign w:val="subscript"/>
        </w:rPr>
        <w:t>3</w:t>
      </w:r>
      <w:r>
        <w:rPr>
          <w:rFonts w:hint="default" w:ascii="Times New Roman" w:hAnsi="Times New Roman" w:cs="Times New Roman"/>
          <w:color w:val="auto"/>
        </w:rPr>
        <w:t>）、一氧化碳（CO）〕日均值&gt;200将持续48小时及以上，且短时出现重度污染，未达到高级别预警条件。</w:t>
      </w:r>
    </w:p>
    <w:p w14:paraId="2D6A7E6C">
      <w:pPr>
        <w:bidi w:val="0"/>
        <w:rPr>
          <w:rFonts w:hint="eastAsia"/>
          <w:b/>
          <w:bCs/>
          <w:color w:val="auto"/>
        </w:rPr>
      </w:pPr>
      <w:r>
        <w:rPr>
          <w:rFonts w:hint="eastAsia"/>
          <w:b/>
          <w:bCs/>
          <w:color w:val="auto"/>
        </w:rPr>
        <w:t>强制性减排措施：</w:t>
      </w:r>
    </w:p>
    <w:p w14:paraId="56659911">
      <w:pPr>
        <w:bidi w:val="0"/>
        <w:rPr>
          <w:rFonts w:hint="eastAsia"/>
          <w:color w:val="auto"/>
        </w:rPr>
      </w:pPr>
      <w:r>
        <w:rPr>
          <w:rFonts w:hint="eastAsia"/>
          <w:color w:val="auto"/>
        </w:rPr>
        <w:t>①指导工业企业根据绩效分级指标，分类、分</w:t>
      </w:r>
      <w:r>
        <w:rPr>
          <w:rFonts w:hint="eastAsia"/>
          <w:color w:val="auto"/>
          <w:lang w:eastAsia="zh-CN"/>
        </w:rPr>
        <w:t>企业</w:t>
      </w:r>
      <w:r>
        <w:rPr>
          <w:rFonts w:hint="eastAsia"/>
          <w:color w:val="auto"/>
        </w:rPr>
        <w:t>、分装备、分生产线制定差异化减排措施，避免“一刀切”。工业企业按照重污染天气应急减排清单要求，通过停生产线或主要产排污环节（设备）、提高治污效率等方式，严格落实应急减排措施。</w:t>
      </w:r>
    </w:p>
    <w:p w14:paraId="72EA7678">
      <w:pPr>
        <w:bidi w:val="0"/>
        <w:rPr>
          <w:rFonts w:hint="eastAsia"/>
          <w:color w:val="auto"/>
        </w:rPr>
      </w:pPr>
      <w:r>
        <w:rPr>
          <w:rFonts w:hint="eastAsia"/>
          <w:color w:val="auto"/>
        </w:rPr>
        <w:t>②停止室外建筑拆除、喷涂、粉刷、切割、护坡喷浆作业。</w:t>
      </w:r>
    </w:p>
    <w:p w14:paraId="1EBA67BD">
      <w:pPr>
        <w:bidi w:val="0"/>
        <w:rPr>
          <w:rFonts w:hint="eastAsia"/>
          <w:color w:val="auto"/>
        </w:rPr>
      </w:pPr>
      <w:r>
        <w:rPr>
          <w:rFonts w:hint="eastAsia"/>
          <w:color w:val="auto"/>
        </w:rPr>
        <w:t>③除涉及重大民生工程、安全生产及应急抢险任务外，停止所有施工工地的土石方作业（包括停止土石方开挖、回填、场内倒运、掺拌石灰、混凝土剔凿等作业，停止建筑工程配套道路和管沟开挖作业）。</w:t>
      </w:r>
    </w:p>
    <w:p w14:paraId="74DA1371">
      <w:pPr>
        <w:bidi w:val="0"/>
        <w:rPr>
          <w:rFonts w:hint="eastAsia"/>
          <w:color w:val="auto"/>
        </w:rPr>
      </w:pPr>
      <w:r>
        <w:rPr>
          <w:rFonts w:hint="eastAsia"/>
          <w:color w:val="auto"/>
        </w:rPr>
        <w:t>④未安装密闭装置的煤炭、建筑垃圾、渣土、砂石料等运输车辆禁止上路行驶。</w:t>
      </w:r>
    </w:p>
    <w:p w14:paraId="7CA1EA3A">
      <w:pPr>
        <w:bidi w:val="0"/>
        <w:rPr>
          <w:rFonts w:hint="eastAsia"/>
          <w:color w:val="auto"/>
        </w:rPr>
      </w:pPr>
      <w:r>
        <w:rPr>
          <w:rFonts w:hint="eastAsia"/>
          <w:color w:val="auto"/>
        </w:rPr>
        <w:t>⑤各地应采取科学措施，根据空气温度及相对湿度，对辖区内主要道路适时调整湿法作业频次，降低湿法作业频次时应适当加大吸扫作业力度。</w:t>
      </w:r>
    </w:p>
    <w:p w14:paraId="2A21F375">
      <w:pPr>
        <w:bidi w:val="0"/>
        <w:rPr>
          <w:rFonts w:hint="eastAsia"/>
          <w:color w:val="auto"/>
        </w:rPr>
      </w:pPr>
      <w:r>
        <w:rPr>
          <w:rFonts w:hint="eastAsia"/>
          <w:color w:val="auto"/>
        </w:rPr>
        <w:t>⑥在条件允许时，实施人工影响天气作业。</w:t>
      </w:r>
    </w:p>
    <w:p w14:paraId="515AD0BB">
      <w:pPr>
        <w:bidi w:val="0"/>
        <w:rPr>
          <w:rFonts w:hint="eastAsia"/>
          <w:color w:val="auto"/>
        </w:rPr>
      </w:pPr>
      <w:r>
        <w:rPr>
          <w:rFonts w:hint="eastAsia"/>
          <w:color w:val="auto"/>
        </w:rPr>
        <w:t>⑦加大执法检查力度。查禁生产、加工、销售不符合国家规定质量标准的商品煤和不符合国家现行阶段标准的车用成品油的行为；查禁高污染燃料禁燃区内原煤散烧违法行为；查禁工地建筑垃圾、渣土、砂石运输等重型车辆驶出工地，沿途遗撒等违法行为；查处机动车行驶过程中排放黑烟等明显可视大气污染物的行为；查禁燃放烟花爆竹、露天烧烤；查禁焚烧垃圾、冥纸冥币、秸秆等行为。</w:t>
      </w:r>
    </w:p>
    <w:p w14:paraId="6DA78521">
      <w:pPr>
        <w:bidi w:val="0"/>
        <w:rPr>
          <w:rFonts w:hint="eastAsia"/>
          <w:color w:val="auto"/>
        </w:rPr>
      </w:pPr>
      <w:r>
        <w:rPr>
          <w:rFonts w:hint="eastAsia"/>
          <w:b/>
          <w:bCs/>
          <w:color w:val="auto"/>
        </w:rPr>
        <w:t>橙色预警：</w:t>
      </w:r>
      <w:r>
        <w:rPr>
          <w:rFonts w:hint="eastAsia"/>
          <w:color w:val="auto"/>
        </w:rPr>
        <w:t>预测PM</w:t>
      </w:r>
      <w:r>
        <w:rPr>
          <w:rFonts w:hint="eastAsia"/>
          <w:color w:val="auto"/>
          <w:vertAlign w:val="subscript"/>
        </w:rPr>
        <w:t>2.5</w:t>
      </w:r>
      <w:r>
        <w:rPr>
          <w:rFonts w:hint="eastAsia"/>
          <w:color w:val="auto"/>
        </w:rPr>
        <w:t>浓度&gt;115微克/立方米将持续72小时及以上且PM</w:t>
      </w:r>
      <w:r>
        <w:rPr>
          <w:rFonts w:hint="eastAsia"/>
          <w:color w:val="auto"/>
          <w:vertAlign w:val="subscript"/>
        </w:rPr>
        <w:t>2.5</w:t>
      </w:r>
      <w:r>
        <w:rPr>
          <w:rFonts w:hint="eastAsia"/>
          <w:color w:val="auto"/>
        </w:rPr>
        <w:t>浓度&gt;150微克/立方米将持续24小时及以上；或预测AQI（除PM</w:t>
      </w:r>
      <w:r>
        <w:rPr>
          <w:rFonts w:hint="eastAsia"/>
          <w:color w:val="auto"/>
          <w:vertAlign w:val="subscript"/>
        </w:rPr>
        <w:t>2.5</w:t>
      </w:r>
      <w:r>
        <w:rPr>
          <w:rFonts w:hint="eastAsia"/>
          <w:color w:val="auto"/>
        </w:rPr>
        <w:t>以外的其他污染物）日均值&gt;200将持续72小时及以上。</w:t>
      </w:r>
    </w:p>
    <w:p w14:paraId="51570343">
      <w:pPr>
        <w:bidi w:val="0"/>
        <w:rPr>
          <w:rFonts w:hint="eastAsia"/>
          <w:b/>
          <w:bCs/>
          <w:color w:val="auto"/>
        </w:rPr>
      </w:pPr>
      <w:r>
        <w:rPr>
          <w:rFonts w:hint="eastAsia"/>
          <w:b/>
          <w:bCs/>
          <w:color w:val="auto"/>
        </w:rPr>
        <w:t>建议性措施：</w:t>
      </w:r>
    </w:p>
    <w:p w14:paraId="57A9D251">
      <w:pPr>
        <w:bidi w:val="0"/>
        <w:rPr>
          <w:rFonts w:hint="eastAsia"/>
          <w:color w:val="auto"/>
        </w:rPr>
      </w:pPr>
      <w:r>
        <w:rPr>
          <w:rFonts w:hint="eastAsia"/>
          <w:color w:val="auto"/>
        </w:rPr>
        <w:t>①倡导公众绿色消费，尽量减少含挥发性有机物的涂料、油漆、溶剂等原材料及产品的使用。</w:t>
      </w:r>
    </w:p>
    <w:p w14:paraId="3AC40754">
      <w:pPr>
        <w:bidi w:val="0"/>
        <w:rPr>
          <w:rFonts w:hint="eastAsia"/>
          <w:color w:val="auto"/>
        </w:rPr>
      </w:pPr>
      <w:r>
        <w:rPr>
          <w:rFonts w:hint="eastAsia"/>
          <w:color w:val="auto"/>
        </w:rPr>
        <w:t>②倡导企事业单位根据重污染天气实际，采取调休、错峰上下班、远程办公等弹性工作制。</w:t>
      </w:r>
    </w:p>
    <w:p w14:paraId="5A7CF280">
      <w:pPr>
        <w:bidi w:val="0"/>
        <w:rPr>
          <w:rFonts w:hint="eastAsia"/>
          <w:color w:val="auto"/>
        </w:rPr>
      </w:pPr>
      <w:r>
        <w:rPr>
          <w:rFonts w:hint="eastAsia"/>
          <w:color w:val="auto"/>
        </w:rPr>
        <w:t>③增加公交运力保障，延长公交车收车时间1小时。</w:t>
      </w:r>
    </w:p>
    <w:p w14:paraId="00262D1C">
      <w:pPr>
        <w:bidi w:val="0"/>
        <w:rPr>
          <w:rFonts w:hint="eastAsia"/>
          <w:b/>
          <w:bCs/>
          <w:color w:val="auto"/>
        </w:rPr>
      </w:pPr>
      <w:r>
        <w:rPr>
          <w:rFonts w:hint="eastAsia"/>
          <w:b/>
          <w:bCs/>
          <w:color w:val="auto"/>
        </w:rPr>
        <w:t>强制性减排措施：</w:t>
      </w:r>
    </w:p>
    <w:p w14:paraId="5A45DB3A">
      <w:pPr>
        <w:bidi w:val="0"/>
        <w:rPr>
          <w:rFonts w:hint="eastAsia"/>
          <w:color w:val="auto"/>
        </w:rPr>
      </w:pPr>
      <w:r>
        <w:rPr>
          <w:rFonts w:hint="eastAsia"/>
          <w:color w:val="auto"/>
        </w:rPr>
        <w:t>①除涉及重大民生工程、安全生产及应急抢险任务外，施工工地、工业企业厂区和工业园区内，停止使用以柴油为燃料的非道路工程机械（含挖掘机、装载机、平地、铺路机、压路机、叉车等）；清洁能源和紧急检修作业机械除外。</w:t>
      </w:r>
    </w:p>
    <w:p w14:paraId="3BEE28A0">
      <w:pPr>
        <w:bidi w:val="0"/>
        <w:rPr>
          <w:rFonts w:hint="eastAsia"/>
          <w:color w:val="auto"/>
        </w:rPr>
      </w:pPr>
      <w:r>
        <w:rPr>
          <w:rFonts w:hint="eastAsia"/>
          <w:color w:val="auto"/>
        </w:rPr>
        <w:t>②水泥、建材、有色、化工、矿山等涉及大宗原材料及产品运输的重点用车企业以及港口码头，实行应急运输响应，原则上不允许重型柴油货车进出厂区（新能源汽车、达到国Ⅴ及以上排放标准的车辆除外）。</w:t>
      </w:r>
    </w:p>
    <w:p w14:paraId="725C6E6F">
      <w:pPr>
        <w:bidi w:val="0"/>
        <w:rPr>
          <w:rFonts w:hint="eastAsia"/>
          <w:color w:val="auto"/>
        </w:rPr>
      </w:pPr>
      <w:r>
        <w:rPr>
          <w:rFonts w:hint="eastAsia"/>
          <w:b/>
          <w:bCs/>
          <w:color w:val="auto"/>
        </w:rPr>
        <w:t>红色预警：</w:t>
      </w:r>
      <w:r>
        <w:rPr>
          <w:rFonts w:hint="eastAsia"/>
          <w:color w:val="auto"/>
        </w:rPr>
        <w:t>预测AQI日均值&gt;200将持续96小时及以上，且预测AQI日均值&gt;300将持续48小时及以上；或预测AQI日均值达到500。</w:t>
      </w:r>
    </w:p>
    <w:p w14:paraId="243B5824">
      <w:pPr>
        <w:bidi w:val="0"/>
        <w:rPr>
          <w:rFonts w:hint="eastAsia"/>
          <w:color w:val="auto"/>
        </w:rPr>
      </w:pPr>
      <w:r>
        <w:rPr>
          <w:rFonts w:hint="eastAsia"/>
          <w:color w:val="auto"/>
        </w:rPr>
        <w:t>在执行Ⅱ级应急响应措施的基础上，增加如下措施：</w:t>
      </w:r>
    </w:p>
    <w:p w14:paraId="35F34EFE">
      <w:pPr>
        <w:bidi w:val="0"/>
        <w:rPr>
          <w:rFonts w:hint="eastAsia"/>
          <w:b/>
          <w:bCs/>
          <w:color w:val="auto"/>
        </w:rPr>
      </w:pPr>
      <w:r>
        <w:rPr>
          <w:rFonts w:hint="eastAsia"/>
          <w:b/>
          <w:bCs/>
          <w:color w:val="auto"/>
        </w:rPr>
        <w:t>健康防护指引：</w:t>
      </w:r>
    </w:p>
    <w:p w14:paraId="1CCE6F7E">
      <w:pPr>
        <w:bidi w:val="0"/>
        <w:rPr>
          <w:rFonts w:hint="eastAsia"/>
          <w:color w:val="auto"/>
        </w:rPr>
      </w:pPr>
      <w:r>
        <w:rPr>
          <w:rFonts w:hint="eastAsia"/>
          <w:color w:val="auto"/>
        </w:rPr>
        <w:t>中小学、幼儿园采取弹性教学或停课等防护措施。</w:t>
      </w:r>
    </w:p>
    <w:p w14:paraId="3B6855F7">
      <w:pPr>
        <w:bidi w:val="0"/>
        <w:rPr>
          <w:rFonts w:hint="eastAsia"/>
          <w:b/>
          <w:bCs/>
          <w:color w:val="auto"/>
        </w:rPr>
      </w:pPr>
      <w:r>
        <w:rPr>
          <w:rFonts w:hint="eastAsia"/>
          <w:b/>
          <w:bCs/>
          <w:color w:val="auto"/>
        </w:rPr>
        <w:t>建议性措施：</w:t>
      </w:r>
    </w:p>
    <w:p w14:paraId="07711BA4">
      <w:pPr>
        <w:bidi w:val="0"/>
        <w:rPr>
          <w:rFonts w:hint="eastAsia"/>
          <w:color w:val="auto"/>
        </w:rPr>
      </w:pPr>
      <w:r>
        <w:rPr>
          <w:rFonts w:hint="eastAsia"/>
          <w:color w:val="auto"/>
        </w:rPr>
        <w:t>停止举办各类大型户外活动。</w:t>
      </w:r>
    </w:p>
    <w:p w14:paraId="3E818B45">
      <w:pPr>
        <w:bidi w:val="0"/>
        <w:rPr>
          <w:rFonts w:hint="eastAsia"/>
          <w:b/>
          <w:bCs/>
          <w:color w:val="auto"/>
        </w:rPr>
      </w:pPr>
      <w:r>
        <w:rPr>
          <w:rFonts w:hint="eastAsia"/>
          <w:b/>
          <w:bCs/>
          <w:color w:val="auto"/>
        </w:rPr>
        <w:t>强制性减排措施：</w:t>
      </w:r>
    </w:p>
    <w:p w14:paraId="297DEA52">
      <w:pPr>
        <w:bidi w:val="0"/>
        <w:rPr>
          <w:rFonts w:hint="eastAsia"/>
          <w:color w:val="auto"/>
        </w:rPr>
      </w:pPr>
      <w:r>
        <w:rPr>
          <w:rFonts w:hint="eastAsia"/>
          <w:color w:val="auto"/>
        </w:rPr>
        <w:t>①除涉及重大民生工程、安全生产及应急抢险任务外，停止全市可能产生大气污染的与建设工程有关的生产活动（塔吊、模板工程、钢筋工程、幕墙工程、地下施工等不产生大气污染的工序除外）。</w:t>
      </w:r>
    </w:p>
    <w:p w14:paraId="78269962">
      <w:pPr>
        <w:bidi w:val="0"/>
        <w:rPr>
          <w:rFonts w:hint="eastAsia"/>
          <w:color w:val="auto"/>
        </w:rPr>
      </w:pPr>
      <w:r>
        <w:rPr>
          <w:rFonts w:hint="eastAsia"/>
          <w:color w:val="auto"/>
        </w:rPr>
        <w:t>②增加白天公交运力保障，延长公交车收车时间1小时。</w:t>
      </w:r>
    </w:p>
    <w:p w14:paraId="02264E33">
      <w:pPr>
        <w:bidi w:val="0"/>
        <w:rPr>
          <w:b/>
          <w:bCs/>
          <w:color w:val="auto"/>
        </w:rPr>
      </w:pPr>
      <w:r>
        <w:rPr>
          <w:rFonts w:hint="eastAsia"/>
          <w:b/>
          <w:bCs/>
          <w:color w:val="auto"/>
        </w:rPr>
        <w:t>（2）施工机械废气</w:t>
      </w:r>
    </w:p>
    <w:p w14:paraId="4C76C5FE">
      <w:pPr>
        <w:pageBreakBefore w:val="0"/>
        <w:wordWrap/>
        <w:bidi w:val="0"/>
        <w:adjustRightInd/>
        <w:snapToGrid/>
        <w:ind w:firstLine="480"/>
        <w:rPr>
          <w:rFonts w:hint="eastAsia"/>
          <w:color w:val="auto"/>
        </w:rPr>
      </w:pPr>
      <w:r>
        <w:rPr>
          <w:rFonts w:hint="eastAsia"/>
          <w:color w:val="auto"/>
        </w:rPr>
        <w:t>施工机械设备排放的少量无组织废气等。</w:t>
      </w:r>
    </w:p>
    <w:p w14:paraId="1F60A77F">
      <w:pPr>
        <w:pageBreakBefore w:val="0"/>
        <w:wordWrap/>
        <w:bidi w:val="0"/>
        <w:adjustRightInd/>
        <w:snapToGrid/>
        <w:ind w:firstLine="480"/>
        <w:rPr>
          <w:rFonts w:hint="eastAsia"/>
          <w:color w:val="auto"/>
        </w:rPr>
      </w:pPr>
      <w:r>
        <w:rPr>
          <w:rFonts w:hint="eastAsia"/>
          <w:color w:val="auto"/>
        </w:rPr>
        <w:t>项目施工期间，使用机动车运送原材料、设备和建筑机械设备的运转，均会排放一定量的CO、NOx以及未完全燃烧的HC等，其特点是排放量小，且属间断性无组织排放，由于其这一特点，在加强施工机械和运输车辆管理和合理安排调度作业的前提下，加之施工场地开阔，扩散条件良好，因此对其不加处理也可达到相应的排放标准。此外，在施工期内应多加注意施工设备的维护，使其能够正常的运行，提高设备原料的利用率。</w:t>
      </w:r>
    </w:p>
    <w:p w14:paraId="0AAA5BBA">
      <w:pPr>
        <w:pageBreakBefore w:val="0"/>
        <w:wordWrap/>
        <w:bidi w:val="0"/>
        <w:adjustRightInd/>
        <w:snapToGrid/>
        <w:ind w:firstLine="482"/>
        <w:rPr>
          <w:rFonts w:hint="eastAsia"/>
          <w:b/>
          <w:bCs/>
          <w:color w:val="auto"/>
        </w:rPr>
      </w:pPr>
      <w:r>
        <w:rPr>
          <w:rFonts w:hint="eastAsia"/>
          <w:b/>
          <w:bCs/>
          <w:color w:val="auto"/>
        </w:rPr>
        <w:t>（3）油漆废气</w:t>
      </w:r>
    </w:p>
    <w:p w14:paraId="48F167C6">
      <w:pPr>
        <w:pageBreakBefore w:val="0"/>
        <w:wordWrap/>
        <w:bidi w:val="0"/>
        <w:adjustRightInd/>
        <w:snapToGrid/>
        <w:ind w:firstLine="480"/>
        <w:rPr>
          <w:rFonts w:hint="eastAsia"/>
          <w:color w:val="auto"/>
        </w:rPr>
      </w:pPr>
      <w:r>
        <w:rPr>
          <w:rFonts w:hint="eastAsia"/>
          <w:color w:val="auto"/>
        </w:rPr>
        <w:t>装饰工程施工如漆、涂、磨、刨、钻、砂等装饰作业以及使用某些装饰材料如油漆、人造板、某些有害物质（如苯系物、甲醛、酚等污染物）的涂料等形成扬尘和有机废气污染物。</w:t>
      </w:r>
    </w:p>
    <w:p w14:paraId="1B39F756">
      <w:pPr>
        <w:pageBreakBefore w:val="0"/>
        <w:wordWrap/>
        <w:bidi w:val="0"/>
        <w:adjustRightInd/>
        <w:snapToGrid/>
        <w:ind w:firstLine="480"/>
        <w:rPr>
          <w:rFonts w:hint="eastAsia"/>
          <w:color w:val="auto"/>
        </w:rPr>
      </w:pPr>
      <w:r>
        <w:rPr>
          <w:rFonts w:hint="eastAsia"/>
          <w:color w:val="auto"/>
        </w:rPr>
        <w:t>本项目内部装修的大气污染源主要来自漆、涂、磨、刨、砂等作业以及使用某些装饰材料如油漆、人造板、含有毒物质（如苯系物、甲醛、酚等污染物）的涂料等形成的有机废气污染物。油漆废气主要来自房屋装修阶段，该废气的排放属无组织排放，其主要污染因子为二甲苯和甲苯，此外还有极少量的汽油、丁醇和丙醇等。根据调查，每150</w:t>
      </w:r>
      <w:r>
        <w:rPr>
          <w:rFonts w:hint="eastAsia"/>
          <w:color w:val="auto"/>
          <w:lang w:eastAsia="zh-CN"/>
        </w:rPr>
        <w:t>m²</w:t>
      </w:r>
      <w:r>
        <w:rPr>
          <w:rFonts w:hint="eastAsia"/>
          <w:color w:val="auto"/>
        </w:rPr>
        <w:t>的房屋装修需耗15个</w:t>
      </w:r>
      <w:r>
        <w:rPr>
          <w:rFonts w:hint="eastAsia"/>
          <w:color w:val="auto"/>
          <w:lang w:eastAsia="zh-CN"/>
        </w:rPr>
        <w:t>组分</w:t>
      </w:r>
      <w:r>
        <w:rPr>
          <w:rFonts w:hint="eastAsia"/>
          <w:color w:val="auto"/>
        </w:rPr>
        <w:t>的涂料（包括地板漆、墙面漆、家具漆和内墙涂料等），每</w:t>
      </w:r>
      <w:r>
        <w:rPr>
          <w:rFonts w:hint="eastAsia"/>
          <w:color w:val="auto"/>
          <w:lang w:eastAsia="zh-CN"/>
        </w:rPr>
        <w:t>组分</w:t>
      </w:r>
      <w:r>
        <w:rPr>
          <w:rFonts w:hint="eastAsia"/>
          <w:color w:val="auto"/>
        </w:rPr>
        <w:t>涂料约为10kg，即约150kg。油漆在上漆后的挥发量约为涂料量的55%，含甲苯和二甲苯约20%。因此，在装修油漆期间应做好以下措施：</w:t>
      </w:r>
    </w:p>
    <w:p w14:paraId="0BDB915C">
      <w:pPr>
        <w:pageBreakBefore w:val="0"/>
        <w:wordWrap/>
        <w:bidi w:val="0"/>
        <w:adjustRightInd/>
        <w:snapToGrid/>
        <w:ind w:firstLine="480"/>
        <w:rPr>
          <w:rFonts w:hint="eastAsia"/>
          <w:color w:val="auto"/>
        </w:rPr>
      </w:pPr>
      <w:r>
        <w:rPr>
          <w:rFonts w:hint="eastAsia"/>
          <w:color w:val="auto"/>
        </w:rPr>
        <w:t>①明确项目建筑工程不得使用已经淘汰的非节能建筑技术和产品，应尽量采用环保型建筑和装饰材料，禁止使用有毒有害等超过国家标准的建筑和装饰材料，减少或控制挥发性有机污染物；</w:t>
      </w:r>
    </w:p>
    <w:p w14:paraId="5A5F0C85">
      <w:pPr>
        <w:pageBreakBefore w:val="0"/>
        <w:wordWrap/>
        <w:bidi w:val="0"/>
        <w:adjustRightInd/>
        <w:snapToGrid/>
        <w:ind w:firstLine="480"/>
        <w:rPr>
          <w:rFonts w:hint="eastAsia"/>
          <w:color w:val="auto"/>
        </w:rPr>
      </w:pPr>
      <w:r>
        <w:rPr>
          <w:rFonts w:hint="eastAsia"/>
          <w:color w:val="auto"/>
        </w:rPr>
        <w:t>②加强施工管理，最大限度地防止跑、冒、滴、漏现象发生，减少原材料浪费带来的废气排放；</w:t>
      </w:r>
    </w:p>
    <w:p w14:paraId="210AD4E8">
      <w:pPr>
        <w:pageBreakBefore w:val="0"/>
        <w:wordWrap/>
        <w:bidi w:val="0"/>
        <w:adjustRightInd/>
        <w:snapToGrid/>
        <w:ind w:firstLine="480"/>
        <w:rPr>
          <w:rFonts w:hint="eastAsia"/>
          <w:color w:val="auto"/>
        </w:rPr>
      </w:pPr>
      <w:r>
        <w:rPr>
          <w:rFonts w:hint="eastAsia"/>
          <w:color w:val="auto"/>
        </w:rPr>
        <w:t>③施工作业场所加强通风，保证空气流通，降低污染物浓度；</w:t>
      </w:r>
    </w:p>
    <w:p w14:paraId="32E90713">
      <w:pPr>
        <w:pageBreakBefore w:val="0"/>
        <w:wordWrap/>
        <w:bidi w:val="0"/>
        <w:adjustRightInd/>
        <w:snapToGrid/>
        <w:ind w:firstLine="480"/>
        <w:rPr>
          <w:rFonts w:hint="eastAsia"/>
          <w:color w:val="auto"/>
        </w:rPr>
      </w:pPr>
      <w:r>
        <w:rPr>
          <w:rFonts w:hint="eastAsia"/>
          <w:color w:val="auto"/>
        </w:rPr>
        <w:t>④施工作业人员佩戴防毒面罩和口罩；</w:t>
      </w:r>
    </w:p>
    <w:p w14:paraId="1CCB86B7">
      <w:pPr>
        <w:pageBreakBefore w:val="0"/>
        <w:wordWrap/>
        <w:bidi w:val="0"/>
        <w:adjustRightInd/>
        <w:snapToGrid/>
        <w:ind w:firstLine="480"/>
        <w:rPr>
          <w:rFonts w:hint="eastAsia"/>
          <w:color w:val="auto"/>
        </w:rPr>
      </w:pPr>
      <w:r>
        <w:rPr>
          <w:rFonts w:hint="eastAsia"/>
          <w:color w:val="auto"/>
        </w:rPr>
        <w:t>⑤装修须采用符合国家要求的环保材料，装修工程中注意室内通风，减少挥发性有机污染物排放。</w:t>
      </w:r>
    </w:p>
    <w:p w14:paraId="39D8632A">
      <w:pPr>
        <w:pageBreakBefore w:val="0"/>
        <w:wordWrap/>
        <w:bidi w:val="0"/>
        <w:adjustRightInd/>
        <w:snapToGrid/>
        <w:ind w:firstLine="480"/>
        <w:rPr>
          <w:rFonts w:hint="eastAsia"/>
          <w:color w:val="auto"/>
        </w:rPr>
      </w:pPr>
      <w:r>
        <w:rPr>
          <w:rFonts w:hint="eastAsia"/>
          <w:color w:val="auto"/>
        </w:rPr>
        <w:t>在进行以上防治措施后，本项目装修施工产生的油漆废气可达标排放。</w:t>
      </w:r>
    </w:p>
    <w:p w14:paraId="6F55E777">
      <w:pPr>
        <w:pageBreakBefore w:val="0"/>
        <w:wordWrap/>
        <w:bidi w:val="0"/>
        <w:adjustRightInd/>
        <w:snapToGrid/>
        <w:ind w:firstLine="480"/>
        <w:rPr>
          <w:color w:val="auto"/>
          <w:kern w:val="0"/>
        </w:rPr>
      </w:pPr>
      <w:r>
        <w:rPr>
          <w:color w:val="auto"/>
          <w:kern w:val="0"/>
          <w:u w:val="single"/>
        </w:rPr>
        <w:t>综上所述，在采取上述措施治理后，实施期间产生的</w:t>
      </w:r>
      <w:r>
        <w:rPr>
          <w:rFonts w:hint="eastAsia"/>
          <w:color w:val="auto"/>
          <w:kern w:val="0"/>
          <w:u w:val="single"/>
          <w:lang w:val="en-US" w:eastAsia="zh-CN"/>
        </w:rPr>
        <w:t>废气</w:t>
      </w:r>
      <w:r>
        <w:rPr>
          <w:color w:val="auto"/>
          <w:kern w:val="0"/>
          <w:u w:val="single"/>
        </w:rPr>
        <w:t>不会对区域</w:t>
      </w:r>
      <w:r>
        <w:rPr>
          <w:rFonts w:hint="eastAsia"/>
          <w:color w:val="auto"/>
          <w:kern w:val="0"/>
          <w:u w:val="single"/>
          <w:lang w:val="en-US" w:eastAsia="zh-CN"/>
        </w:rPr>
        <w:t>大气</w:t>
      </w:r>
      <w:r>
        <w:rPr>
          <w:color w:val="auto"/>
          <w:kern w:val="0"/>
          <w:u w:val="single"/>
        </w:rPr>
        <w:t>环境产生明显影响</w:t>
      </w:r>
      <w:r>
        <w:rPr>
          <w:color w:val="auto"/>
          <w:kern w:val="0"/>
        </w:rPr>
        <w:t>。</w:t>
      </w:r>
    </w:p>
    <w:p w14:paraId="06F33F9B">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施工期噪声产生及治理措施</w:t>
      </w:r>
    </w:p>
    <w:p w14:paraId="43840E88">
      <w:pPr>
        <w:pageBreakBefore w:val="0"/>
        <w:wordWrap/>
        <w:bidi w:val="0"/>
        <w:adjustRightInd/>
        <w:snapToGrid/>
        <w:ind w:firstLine="480"/>
        <w:rPr>
          <w:color w:val="auto"/>
        </w:rPr>
      </w:pPr>
      <w:r>
        <w:rPr>
          <w:color w:val="auto"/>
        </w:rPr>
        <w:t>施工期的噪声主要来源于现场施工时的各类机械设备噪声，不同施工阶段和不同施工机械发出的噪声水平是不同的，且有大量设备交互作业，因此施工作业噪声将会对项目内外环境带来一定的影响，项目施工期噪声执行《建筑施工场界环境噪声排放标准》（GB12523-2011）标准。项目施工期各阶段的主要噪声源及其声级见</w:t>
      </w:r>
      <w:r>
        <w:rPr>
          <w:rFonts w:hint="eastAsia"/>
          <w:color w:val="auto"/>
          <w:lang w:val="en-US" w:eastAsia="zh-CN"/>
        </w:rPr>
        <w:t>下表</w:t>
      </w:r>
      <w:r>
        <w:rPr>
          <w:color w:val="auto"/>
        </w:rPr>
        <w:t>。</w:t>
      </w:r>
    </w:p>
    <w:p w14:paraId="05651D9B">
      <w:pPr>
        <w:pStyle w:val="19"/>
        <w:numPr>
          <w:ilvl w:val="0"/>
          <w:numId w:val="22"/>
        </w:numPr>
        <w:bidi w:val="0"/>
        <w:ind w:left="0" w:leftChars="0" w:firstLine="0" w:firstLineChars="0"/>
        <w:rPr>
          <w:color w:val="auto"/>
        </w:rPr>
      </w:pPr>
      <w:r>
        <w:rPr>
          <w:color w:val="auto"/>
        </w:rPr>
        <w:t>施工期主要噪声源及其声级值</w:t>
      </w:r>
    </w:p>
    <w:p w14:paraId="20075C9D">
      <w:pPr>
        <w:pageBreakBefore w:val="0"/>
        <w:wordWrap/>
        <w:bidi w:val="0"/>
        <w:adjustRightInd/>
        <w:snapToGrid/>
        <w:spacing w:before="8" w:line="10" w:lineRule="exact"/>
        <w:ind w:firstLine="20"/>
        <w:jc w:val="left"/>
        <w:rPr>
          <w:color w:val="auto"/>
          <w:kern w:val="0"/>
          <w:sz w:val="1"/>
          <w:szCs w:val="1"/>
        </w:rPr>
      </w:pPr>
    </w:p>
    <w:tbl>
      <w:tblPr>
        <w:tblStyle w:val="52"/>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fixed"/>
        <w:tblCellMar>
          <w:top w:w="0" w:type="dxa"/>
          <w:left w:w="28" w:type="dxa"/>
          <w:bottom w:w="0" w:type="dxa"/>
          <w:right w:w="28" w:type="dxa"/>
        </w:tblCellMar>
      </w:tblPr>
      <w:tblGrid>
        <w:gridCol w:w="951"/>
        <w:gridCol w:w="2506"/>
        <w:gridCol w:w="2857"/>
        <w:gridCol w:w="2472"/>
      </w:tblGrid>
      <w:tr w14:paraId="6FF5C19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509ED8C9">
            <w:pPr>
              <w:pageBreakBefore w:val="0"/>
              <w:wordWrap/>
              <w:autoSpaceDE w:val="0"/>
              <w:autoSpaceDN w:val="0"/>
              <w:bidi w:val="0"/>
              <w:adjustRightInd/>
              <w:snapToGrid/>
              <w:spacing w:line="300" w:lineRule="exact"/>
              <w:ind w:firstLine="0" w:firstLineChars="0"/>
              <w:jc w:val="center"/>
              <w:textAlignment w:val="baseline"/>
              <w:rPr>
                <w:b/>
                <w:bCs/>
                <w:color w:val="auto"/>
                <w:kern w:val="0"/>
                <w:sz w:val="21"/>
                <w:szCs w:val="21"/>
              </w:rPr>
            </w:pPr>
            <w:r>
              <w:rPr>
                <w:b/>
                <w:bCs/>
                <w:color w:val="auto"/>
                <w:kern w:val="0"/>
                <w:sz w:val="21"/>
                <w:szCs w:val="21"/>
              </w:rPr>
              <w:t>序号</w:t>
            </w:r>
          </w:p>
        </w:tc>
        <w:tc>
          <w:tcPr>
            <w:tcW w:w="2506" w:type="dxa"/>
            <w:tcBorders>
              <w:tl2br w:val="nil"/>
              <w:tr2bl w:val="nil"/>
            </w:tcBorders>
            <w:noWrap w:val="0"/>
            <w:vAlign w:val="center"/>
          </w:tcPr>
          <w:p w14:paraId="104C44D9">
            <w:pPr>
              <w:pageBreakBefore w:val="0"/>
              <w:wordWrap/>
              <w:autoSpaceDE w:val="0"/>
              <w:autoSpaceDN w:val="0"/>
              <w:bidi w:val="0"/>
              <w:adjustRightInd/>
              <w:snapToGrid/>
              <w:spacing w:line="300" w:lineRule="exact"/>
              <w:ind w:firstLine="0" w:firstLineChars="0"/>
              <w:jc w:val="center"/>
              <w:textAlignment w:val="baseline"/>
              <w:rPr>
                <w:b/>
                <w:bCs/>
                <w:color w:val="auto"/>
                <w:kern w:val="0"/>
                <w:sz w:val="21"/>
                <w:szCs w:val="21"/>
              </w:rPr>
            </w:pPr>
            <w:r>
              <w:rPr>
                <w:b/>
                <w:bCs/>
                <w:color w:val="auto"/>
                <w:kern w:val="0"/>
                <w:sz w:val="21"/>
                <w:szCs w:val="21"/>
              </w:rPr>
              <w:t>设备名称型号</w:t>
            </w:r>
          </w:p>
        </w:tc>
        <w:tc>
          <w:tcPr>
            <w:tcW w:w="2857" w:type="dxa"/>
            <w:tcBorders>
              <w:tl2br w:val="nil"/>
              <w:tr2bl w:val="nil"/>
            </w:tcBorders>
            <w:noWrap w:val="0"/>
            <w:vAlign w:val="center"/>
          </w:tcPr>
          <w:p w14:paraId="63629A98">
            <w:pPr>
              <w:pageBreakBefore w:val="0"/>
              <w:wordWrap/>
              <w:autoSpaceDE w:val="0"/>
              <w:autoSpaceDN w:val="0"/>
              <w:bidi w:val="0"/>
              <w:adjustRightInd/>
              <w:snapToGrid/>
              <w:spacing w:line="300" w:lineRule="exact"/>
              <w:ind w:firstLine="0" w:firstLineChars="0"/>
              <w:jc w:val="center"/>
              <w:textAlignment w:val="baseline"/>
              <w:rPr>
                <w:b/>
                <w:bCs/>
                <w:color w:val="auto"/>
                <w:kern w:val="0"/>
                <w:sz w:val="21"/>
                <w:szCs w:val="21"/>
              </w:rPr>
            </w:pPr>
            <w:r>
              <w:rPr>
                <w:b/>
                <w:bCs/>
                <w:color w:val="auto"/>
                <w:kern w:val="0"/>
                <w:sz w:val="21"/>
                <w:szCs w:val="21"/>
              </w:rPr>
              <w:t>产噪特征</w:t>
            </w:r>
          </w:p>
        </w:tc>
        <w:tc>
          <w:tcPr>
            <w:tcW w:w="2472" w:type="dxa"/>
            <w:tcBorders>
              <w:tl2br w:val="nil"/>
              <w:tr2bl w:val="nil"/>
            </w:tcBorders>
            <w:noWrap w:val="0"/>
            <w:vAlign w:val="center"/>
          </w:tcPr>
          <w:p w14:paraId="3B9E4CB8">
            <w:pPr>
              <w:pageBreakBefore w:val="0"/>
              <w:wordWrap/>
              <w:autoSpaceDE w:val="0"/>
              <w:autoSpaceDN w:val="0"/>
              <w:bidi w:val="0"/>
              <w:adjustRightInd/>
              <w:snapToGrid/>
              <w:spacing w:line="300" w:lineRule="exact"/>
              <w:ind w:firstLine="0" w:firstLineChars="0"/>
              <w:jc w:val="center"/>
              <w:textAlignment w:val="baseline"/>
              <w:rPr>
                <w:rFonts w:hint="eastAsia" w:eastAsia="宋体"/>
                <w:b/>
                <w:bCs/>
                <w:color w:val="auto"/>
                <w:kern w:val="0"/>
                <w:sz w:val="21"/>
                <w:szCs w:val="21"/>
                <w:lang w:eastAsia="zh-CN"/>
              </w:rPr>
            </w:pPr>
            <w:r>
              <w:rPr>
                <w:b/>
                <w:bCs/>
                <w:color w:val="auto"/>
                <w:kern w:val="0"/>
                <w:sz w:val="21"/>
                <w:szCs w:val="21"/>
              </w:rPr>
              <w:t>声源强</w:t>
            </w:r>
            <w:r>
              <w:rPr>
                <w:rFonts w:hint="eastAsia"/>
                <w:b/>
                <w:bCs/>
                <w:color w:val="auto"/>
                <w:kern w:val="0"/>
                <w:sz w:val="21"/>
                <w:szCs w:val="21"/>
                <w:lang w:eastAsia="zh-CN"/>
              </w:rPr>
              <w:t>度</w:t>
            </w:r>
            <w:r>
              <w:rPr>
                <w:b/>
                <w:bCs/>
                <w:color w:val="auto"/>
                <w:kern w:val="0"/>
                <w:sz w:val="21"/>
                <w:szCs w:val="21"/>
              </w:rPr>
              <w:t>dB</w:t>
            </w:r>
            <w:r>
              <w:rPr>
                <w:rFonts w:hint="eastAsia"/>
                <w:b/>
                <w:bCs/>
                <w:color w:val="auto"/>
                <w:kern w:val="0"/>
                <w:sz w:val="21"/>
                <w:szCs w:val="21"/>
                <w:lang w:eastAsia="zh-CN"/>
              </w:rPr>
              <w:t>（</w:t>
            </w:r>
            <w:r>
              <w:rPr>
                <w:b/>
                <w:bCs/>
                <w:color w:val="auto"/>
                <w:kern w:val="0"/>
                <w:sz w:val="21"/>
                <w:szCs w:val="21"/>
              </w:rPr>
              <w:t>A</w:t>
            </w:r>
            <w:r>
              <w:rPr>
                <w:rFonts w:hint="eastAsia"/>
                <w:b/>
                <w:bCs/>
                <w:color w:val="auto"/>
                <w:kern w:val="0"/>
                <w:sz w:val="21"/>
                <w:szCs w:val="21"/>
                <w:lang w:eastAsia="zh-CN"/>
              </w:rPr>
              <w:t>）</w:t>
            </w:r>
          </w:p>
        </w:tc>
      </w:tr>
      <w:tr w14:paraId="5A7C074A">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06F6C35A">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w:t>
            </w:r>
          </w:p>
        </w:tc>
        <w:tc>
          <w:tcPr>
            <w:tcW w:w="2506" w:type="dxa"/>
            <w:tcBorders>
              <w:tl2br w:val="nil"/>
              <w:tr2bl w:val="nil"/>
            </w:tcBorders>
            <w:noWrap w:val="0"/>
            <w:vAlign w:val="center"/>
          </w:tcPr>
          <w:p w14:paraId="1C4BBB52">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挖土机</w:t>
            </w:r>
          </w:p>
        </w:tc>
        <w:tc>
          <w:tcPr>
            <w:tcW w:w="2857" w:type="dxa"/>
            <w:tcBorders>
              <w:tl2br w:val="nil"/>
              <w:tr2bl w:val="nil"/>
            </w:tcBorders>
            <w:noWrap w:val="0"/>
            <w:vAlign w:val="center"/>
          </w:tcPr>
          <w:p w14:paraId="4A74200D">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间断</w:t>
            </w:r>
          </w:p>
        </w:tc>
        <w:tc>
          <w:tcPr>
            <w:tcW w:w="2472" w:type="dxa"/>
            <w:tcBorders>
              <w:tl2br w:val="nil"/>
              <w:tr2bl w:val="nil"/>
            </w:tcBorders>
            <w:noWrap w:val="0"/>
            <w:vAlign w:val="center"/>
          </w:tcPr>
          <w:p w14:paraId="3AD1734F">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78-96</w:t>
            </w:r>
          </w:p>
        </w:tc>
      </w:tr>
      <w:tr w14:paraId="32B035BF">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1354A92D">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2</w:t>
            </w:r>
          </w:p>
        </w:tc>
        <w:tc>
          <w:tcPr>
            <w:tcW w:w="2506" w:type="dxa"/>
            <w:tcBorders>
              <w:tl2br w:val="nil"/>
              <w:tr2bl w:val="nil"/>
            </w:tcBorders>
            <w:noWrap w:val="0"/>
            <w:vAlign w:val="center"/>
          </w:tcPr>
          <w:p w14:paraId="0E6C4241">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冲击机</w:t>
            </w:r>
          </w:p>
        </w:tc>
        <w:tc>
          <w:tcPr>
            <w:tcW w:w="2857" w:type="dxa"/>
            <w:tcBorders>
              <w:tl2br w:val="nil"/>
              <w:tr2bl w:val="nil"/>
            </w:tcBorders>
            <w:noWrap w:val="0"/>
            <w:vAlign w:val="center"/>
          </w:tcPr>
          <w:p w14:paraId="41344897">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间断</w:t>
            </w:r>
          </w:p>
        </w:tc>
        <w:tc>
          <w:tcPr>
            <w:tcW w:w="2472" w:type="dxa"/>
            <w:tcBorders>
              <w:tl2br w:val="nil"/>
              <w:tr2bl w:val="nil"/>
            </w:tcBorders>
            <w:noWrap w:val="0"/>
            <w:vAlign w:val="center"/>
          </w:tcPr>
          <w:p w14:paraId="17F57AC6">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95</w:t>
            </w:r>
          </w:p>
        </w:tc>
      </w:tr>
      <w:tr w14:paraId="3B6CDFCB">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6970B903">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3</w:t>
            </w:r>
          </w:p>
        </w:tc>
        <w:tc>
          <w:tcPr>
            <w:tcW w:w="2506" w:type="dxa"/>
            <w:tcBorders>
              <w:tl2br w:val="nil"/>
              <w:tr2bl w:val="nil"/>
            </w:tcBorders>
            <w:noWrap w:val="0"/>
            <w:vAlign w:val="center"/>
          </w:tcPr>
          <w:p w14:paraId="7E8CCEC4">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卷扬机</w:t>
            </w:r>
          </w:p>
        </w:tc>
        <w:tc>
          <w:tcPr>
            <w:tcW w:w="2857" w:type="dxa"/>
            <w:tcBorders>
              <w:tl2br w:val="nil"/>
              <w:tr2bl w:val="nil"/>
            </w:tcBorders>
            <w:noWrap w:val="0"/>
            <w:vAlign w:val="center"/>
          </w:tcPr>
          <w:p w14:paraId="27632211">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间断</w:t>
            </w:r>
          </w:p>
        </w:tc>
        <w:tc>
          <w:tcPr>
            <w:tcW w:w="2472" w:type="dxa"/>
            <w:tcBorders>
              <w:tl2br w:val="nil"/>
              <w:tr2bl w:val="nil"/>
            </w:tcBorders>
            <w:noWrap w:val="0"/>
            <w:vAlign w:val="center"/>
          </w:tcPr>
          <w:p w14:paraId="716C2422">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90-105</w:t>
            </w:r>
          </w:p>
        </w:tc>
      </w:tr>
      <w:tr w14:paraId="2C36AC2D">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255915D3">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4</w:t>
            </w:r>
          </w:p>
        </w:tc>
        <w:tc>
          <w:tcPr>
            <w:tcW w:w="2506" w:type="dxa"/>
            <w:tcBorders>
              <w:tl2br w:val="nil"/>
              <w:tr2bl w:val="nil"/>
            </w:tcBorders>
            <w:noWrap w:val="0"/>
            <w:vAlign w:val="center"/>
          </w:tcPr>
          <w:p w14:paraId="48F4F192">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混凝土搅拌机</w:t>
            </w:r>
          </w:p>
        </w:tc>
        <w:tc>
          <w:tcPr>
            <w:tcW w:w="2857" w:type="dxa"/>
            <w:tcBorders>
              <w:tl2br w:val="nil"/>
              <w:tr2bl w:val="nil"/>
            </w:tcBorders>
            <w:noWrap w:val="0"/>
            <w:vAlign w:val="center"/>
          </w:tcPr>
          <w:p w14:paraId="331552B2">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连续</w:t>
            </w:r>
          </w:p>
        </w:tc>
        <w:tc>
          <w:tcPr>
            <w:tcW w:w="2472" w:type="dxa"/>
            <w:tcBorders>
              <w:tl2br w:val="nil"/>
              <w:tr2bl w:val="nil"/>
            </w:tcBorders>
            <w:noWrap w:val="0"/>
            <w:vAlign w:val="center"/>
          </w:tcPr>
          <w:p w14:paraId="2009619C">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95</w:t>
            </w:r>
          </w:p>
        </w:tc>
      </w:tr>
      <w:tr w14:paraId="15BA659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20E3AD84">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5</w:t>
            </w:r>
          </w:p>
        </w:tc>
        <w:tc>
          <w:tcPr>
            <w:tcW w:w="2506" w:type="dxa"/>
            <w:tcBorders>
              <w:tl2br w:val="nil"/>
              <w:tr2bl w:val="nil"/>
            </w:tcBorders>
            <w:noWrap w:val="0"/>
            <w:vAlign w:val="center"/>
          </w:tcPr>
          <w:p w14:paraId="2ACA5D7F">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振捣棒</w:t>
            </w:r>
          </w:p>
        </w:tc>
        <w:tc>
          <w:tcPr>
            <w:tcW w:w="2857" w:type="dxa"/>
            <w:tcBorders>
              <w:tl2br w:val="nil"/>
              <w:tr2bl w:val="nil"/>
            </w:tcBorders>
            <w:noWrap w:val="0"/>
            <w:vAlign w:val="center"/>
          </w:tcPr>
          <w:p w14:paraId="077A481A">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间断</w:t>
            </w:r>
          </w:p>
        </w:tc>
        <w:tc>
          <w:tcPr>
            <w:tcW w:w="2472" w:type="dxa"/>
            <w:tcBorders>
              <w:tl2br w:val="nil"/>
              <w:tr2bl w:val="nil"/>
            </w:tcBorders>
            <w:noWrap w:val="0"/>
            <w:vAlign w:val="center"/>
          </w:tcPr>
          <w:p w14:paraId="419D6722">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100-105</w:t>
            </w:r>
          </w:p>
        </w:tc>
      </w:tr>
      <w:tr w14:paraId="6BF5C83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0C883223">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6</w:t>
            </w:r>
          </w:p>
        </w:tc>
        <w:tc>
          <w:tcPr>
            <w:tcW w:w="2506" w:type="dxa"/>
            <w:tcBorders>
              <w:tl2br w:val="nil"/>
              <w:tr2bl w:val="nil"/>
            </w:tcBorders>
            <w:noWrap w:val="0"/>
            <w:vAlign w:val="center"/>
          </w:tcPr>
          <w:p w14:paraId="112264DF">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电锯</w:t>
            </w:r>
          </w:p>
        </w:tc>
        <w:tc>
          <w:tcPr>
            <w:tcW w:w="2857" w:type="dxa"/>
            <w:tcBorders>
              <w:tl2br w:val="nil"/>
              <w:tr2bl w:val="nil"/>
            </w:tcBorders>
            <w:noWrap w:val="0"/>
            <w:vAlign w:val="center"/>
          </w:tcPr>
          <w:p w14:paraId="2AD8F756">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间断</w:t>
            </w:r>
          </w:p>
        </w:tc>
        <w:tc>
          <w:tcPr>
            <w:tcW w:w="2472" w:type="dxa"/>
            <w:tcBorders>
              <w:tl2br w:val="nil"/>
              <w:tr2bl w:val="nil"/>
            </w:tcBorders>
            <w:noWrap w:val="0"/>
            <w:vAlign w:val="center"/>
          </w:tcPr>
          <w:p w14:paraId="4E6DDAC8">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100-105</w:t>
            </w:r>
          </w:p>
        </w:tc>
      </w:tr>
      <w:tr w14:paraId="5DF08C0E">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3130F471">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7</w:t>
            </w:r>
          </w:p>
        </w:tc>
        <w:tc>
          <w:tcPr>
            <w:tcW w:w="2506" w:type="dxa"/>
            <w:tcBorders>
              <w:tl2br w:val="nil"/>
              <w:tr2bl w:val="nil"/>
            </w:tcBorders>
            <w:noWrap w:val="0"/>
            <w:vAlign w:val="center"/>
          </w:tcPr>
          <w:p w14:paraId="2497E26F">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电焊机</w:t>
            </w:r>
          </w:p>
        </w:tc>
        <w:tc>
          <w:tcPr>
            <w:tcW w:w="2857" w:type="dxa"/>
            <w:tcBorders>
              <w:tl2br w:val="nil"/>
              <w:tr2bl w:val="nil"/>
            </w:tcBorders>
            <w:noWrap w:val="0"/>
            <w:vAlign w:val="center"/>
          </w:tcPr>
          <w:p w14:paraId="0FD809AF">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连续</w:t>
            </w:r>
          </w:p>
        </w:tc>
        <w:tc>
          <w:tcPr>
            <w:tcW w:w="2472" w:type="dxa"/>
            <w:tcBorders>
              <w:tl2br w:val="nil"/>
              <w:tr2bl w:val="nil"/>
            </w:tcBorders>
            <w:noWrap w:val="0"/>
            <w:vAlign w:val="center"/>
          </w:tcPr>
          <w:p w14:paraId="34FA53C9">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90-95</w:t>
            </w:r>
          </w:p>
        </w:tc>
      </w:tr>
      <w:tr w14:paraId="33D626FC">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1D25B3C0">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8</w:t>
            </w:r>
          </w:p>
        </w:tc>
        <w:tc>
          <w:tcPr>
            <w:tcW w:w="2506" w:type="dxa"/>
            <w:tcBorders>
              <w:tl2br w:val="nil"/>
              <w:tr2bl w:val="nil"/>
            </w:tcBorders>
            <w:noWrap w:val="0"/>
            <w:vAlign w:val="center"/>
          </w:tcPr>
          <w:p w14:paraId="702AFAB6">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电钻</w:t>
            </w:r>
          </w:p>
        </w:tc>
        <w:tc>
          <w:tcPr>
            <w:tcW w:w="2857" w:type="dxa"/>
            <w:tcBorders>
              <w:tl2br w:val="nil"/>
              <w:tr2bl w:val="nil"/>
            </w:tcBorders>
            <w:noWrap w:val="0"/>
            <w:vAlign w:val="center"/>
          </w:tcPr>
          <w:p w14:paraId="0638CB47">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连续</w:t>
            </w:r>
          </w:p>
        </w:tc>
        <w:tc>
          <w:tcPr>
            <w:tcW w:w="2472" w:type="dxa"/>
            <w:tcBorders>
              <w:tl2br w:val="nil"/>
              <w:tr2bl w:val="nil"/>
            </w:tcBorders>
            <w:noWrap w:val="0"/>
            <w:vAlign w:val="center"/>
          </w:tcPr>
          <w:p w14:paraId="1C9BB393">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100-105</w:t>
            </w:r>
          </w:p>
        </w:tc>
      </w:tr>
      <w:tr w14:paraId="3508C02F">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1A403506">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9</w:t>
            </w:r>
          </w:p>
        </w:tc>
        <w:tc>
          <w:tcPr>
            <w:tcW w:w="2506" w:type="dxa"/>
            <w:tcBorders>
              <w:tl2br w:val="nil"/>
              <w:tr2bl w:val="nil"/>
            </w:tcBorders>
            <w:noWrap w:val="0"/>
            <w:vAlign w:val="center"/>
          </w:tcPr>
          <w:p w14:paraId="301DC5D9">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混凝土泵</w:t>
            </w:r>
          </w:p>
        </w:tc>
        <w:tc>
          <w:tcPr>
            <w:tcW w:w="2857" w:type="dxa"/>
            <w:tcBorders>
              <w:tl2br w:val="nil"/>
              <w:tr2bl w:val="nil"/>
            </w:tcBorders>
            <w:noWrap w:val="0"/>
            <w:vAlign w:val="center"/>
          </w:tcPr>
          <w:p w14:paraId="58EA6B88">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连续</w:t>
            </w:r>
          </w:p>
        </w:tc>
        <w:tc>
          <w:tcPr>
            <w:tcW w:w="2472" w:type="dxa"/>
            <w:tcBorders>
              <w:tl2br w:val="nil"/>
              <w:tr2bl w:val="nil"/>
            </w:tcBorders>
            <w:noWrap w:val="0"/>
            <w:vAlign w:val="center"/>
          </w:tcPr>
          <w:p w14:paraId="504F9C17">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80</w:t>
            </w:r>
          </w:p>
        </w:tc>
      </w:tr>
      <w:tr w14:paraId="3912E791">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209F9920">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10</w:t>
            </w:r>
          </w:p>
        </w:tc>
        <w:tc>
          <w:tcPr>
            <w:tcW w:w="2506" w:type="dxa"/>
            <w:tcBorders>
              <w:tl2br w:val="nil"/>
              <w:tr2bl w:val="nil"/>
            </w:tcBorders>
            <w:noWrap w:val="0"/>
            <w:vAlign w:val="center"/>
          </w:tcPr>
          <w:p w14:paraId="160A50C9">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混凝土</w:t>
            </w:r>
            <w:r>
              <w:rPr>
                <w:rFonts w:hint="eastAsia"/>
                <w:color w:val="auto"/>
                <w:kern w:val="0"/>
                <w:sz w:val="21"/>
                <w:szCs w:val="21"/>
                <w:lang w:eastAsia="zh-CN"/>
              </w:rPr>
              <w:t>振捣器</w:t>
            </w:r>
          </w:p>
        </w:tc>
        <w:tc>
          <w:tcPr>
            <w:tcW w:w="2857" w:type="dxa"/>
            <w:tcBorders>
              <w:tl2br w:val="nil"/>
              <w:tr2bl w:val="nil"/>
            </w:tcBorders>
            <w:noWrap w:val="0"/>
            <w:vAlign w:val="center"/>
          </w:tcPr>
          <w:p w14:paraId="4E8C04FA">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连续</w:t>
            </w:r>
          </w:p>
        </w:tc>
        <w:tc>
          <w:tcPr>
            <w:tcW w:w="2472" w:type="dxa"/>
            <w:tcBorders>
              <w:tl2br w:val="nil"/>
              <w:tr2bl w:val="nil"/>
            </w:tcBorders>
            <w:noWrap w:val="0"/>
            <w:vAlign w:val="center"/>
          </w:tcPr>
          <w:p w14:paraId="52C2ED91">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80</w:t>
            </w:r>
          </w:p>
        </w:tc>
      </w:tr>
      <w:tr w14:paraId="06C7ED1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430D4EA4">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11</w:t>
            </w:r>
          </w:p>
        </w:tc>
        <w:tc>
          <w:tcPr>
            <w:tcW w:w="2506" w:type="dxa"/>
            <w:tcBorders>
              <w:tl2br w:val="nil"/>
              <w:tr2bl w:val="nil"/>
            </w:tcBorders>
            <w:noWrap w:val="0"/>
            <w:vAlign w:val="center"/>
          </w:tcPr>
          <w:p w14:paraId="7ACF6A3D">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摇臂式起重机</w:t>
            </w:r>
          </w:p>
        </w:tc>
        <w:tc>
          <w:tcPr>
            <w:tcW w:w="2857" w:type="dxa"/>
            <w:tcBorders>
              <w:tl2br w:val="nil"/>
              <w:tr2bl w:val="nil"/>
            </w:tcBorders>
            <w:noWrap w:val="0"/>
            <w:vAlign w:val="center"/>
          </w:tcPr>
          <w:p w14:paraId="0B3E9DE9">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间断、非稳态</w:t>
            </w:r>
          </w:p>
        </w:tc>
        <w:tc>
          <w:tcPr>
            <w:tcW w:w="2472" w:type="dxa"/>
            <w:tcBorders>
              <w:tl2br w:val="nil"/>
              <w:tr2bl w:val="nil"/>
            </w:tcBorders>
            <w:noWrap w:val="0"/>
            <w:vAlign w:val="center"/>
          </w:tcPr>
          <w:p w14:paraId="6C7671ED">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87</w:t>
            </w:r>
          </w:p>
        </w:tc>
      </w:tr>
      <w:tr w14:paraId="28F60679">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2A05CBDE">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12</w:t>
            </w:r>
          </w:p>
        </w:tc>
        <w:tc>
          <w:tcPr>
            <w:tcW w:w="2506" w:type="dxa"/>
            <w:tcBorders>
              <w:tl2br w:val="nil"/>
              <w:tr2bl w:val="nil"/>
            </w:tcBorders>
            <w:noWrap w:val="0"/>
            <w:vAlign w:val="center"/>
          </w:tcPr>
          <w:p w14:paraId="4C9A1438">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轮式装载机</w:t>
            </w:r>
          </w:p>
        </w:tc>
        <w:tc>
          <w:tcPr>
            <w:tcW w:w="2857" w:type="dxa"/>
            <w:tcBorders>
              <w:tl2br w:val="nil"/>
              <w:tr2bl w:val="nil"/>
            </w:tcBorders>
            <w:noWrap w:val="0"/>
            <w:vAlign w:val="center"/>
          </w:tcPr>
          <w:p w14:paraId="67F32ECA">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间断、非稳态</w:t>
            </w:r>
          </w:p>
        </w:tc>
        <w:tc>
          <w:tcPr>
            <w:tcW w:w="2472" w:type="dxa"/>
            <w:tcBorders>
              <w:tl2br w:val="nil"/>
              <w:tr2bl w:val="nil"/>
            </w:tcBorders>
            <w:noWrap w:val="0"/>
            <w:vAlign w:val="center"/>
          </w:tcPr>
          <w:p w14:paraId="7FD3D2B9">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90</w:t>
            </w:r>
          </w:p>
        </w:tc>
      </w:tr>
      <w:tr w14:paraId="41FEAC85">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7BB295F0">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13</w:t>
            </w:r>
          </w:p>
        </w:tc>
        <w:tc>
          <w:tcPr>
            <w:tcW w:w="2506" w:type="dxa"/>
            <w:tcBorders>
              <w:tl2br w:val="nil"/>
              <w:tr2bl w:val="nil"/>
            </w:tcBorders>
            <w:noWrap w:val="0"/>
            <w:vAlign w:val="center"/>
          </w:tcPr>
          <w:p w14:paraId="29A420F6">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铆枪</w:t>
            </w:r>
          </w:p>
        </w:tc>
        <w:tc>
          <w:tcPr>
            <w:tcW w:w="2857" w:type="dxa"/>
            <w:tcBorders>
              <w:tl2br w:val="nil"/>
              <w:tr2bl w:val="nil"/>
            </w:tcBorders>
            <w:noWrap w:val="0"/>
            <w:vAlign w:val="center"/>
          </w:tcPr>
          <w:p w14:paraId="192EDF3D">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间断</w:t>
            </w:r>
          </w:p>
        </w:tc>
        <w:tc>
          <w:tcPr>
            <w:tcW w:w="2472" w:type="dxa"/>
            <w:tcBorders>
              <w:tl2br w:val="nil"/>
              <w:tr2bl w:val="nil"/>
            </w:tcBorders>
            <w:noWrap w:val="0"/>
            <w:vAlign w:val="center"/>
          </w:tcPr>
          <w:p w14:paraId="1C15C499">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90</w:t>
            </w:r>
          </w:p>
        </w:tc>
      </w:tr>
      <w:tr w14:paraId="360EA01F">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6286342B">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14</w:t>
            </w:r>
          </w:p>
        </w:tc>
        <w:tc>
          <w:tcPr>
            <w:tcW w:w="2506" w:type="dxa"/>
            <w:tcBorders>
              <w:tl2br w:val="nil"/>
              <w:tr2bl w:val="nil"/>
            </w:tcBorders>
            <w:noWrap w:val="0"/>
            <w:vAlign w:val="center"/>
          </w:tcPr>
          <w:p w14:paraId="6E683EC9">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夯土机</w:t>
            </w:r>
          </w:p>
        </w:tc>
        <w:tc>
          <w:tcPr>
            <w:tcW w:w="2857" w:type="dxa"/>
            <w:tcBorders>
              <w:tl2br w:val="nil"/>
              <w:tr2bl w:val="nil"/>
            </w:tcBorders>
            <w:noWrap w:val="0"/>
            <w:vAlign w:val="center"/>
          </w:tcPr>
          <w:p w14:paraId="61DAECF6">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间断</w:t>
            </w:r>
          </w:p>
        </w:tc>
        <w:tc>
          <w:tcPr>
            <w:tcW w:w="2472" w:type="dxa"/>
            <w:tcBorders>
              <w:tl2br w:val="nil"/>
              <w:tr2bl w:val="nil"/>
            </w:tcBorders>
            <w:noWrap w:val="0"/>
            <w:vAlign w:val="center"/>
          </w:tcPr>
          <w:p w14:paraId="7F7A96CE">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87</w:t>
            </w:r>
          </w:p>
        </w:tc>
      </w:tr>
      <w:tr w14:paraId="7940CC29">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2EF3AE04">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15</w:t>
            </w:r>
          </w:p>
        </w:tc>
        <w:tc>
          <w:tcPr>
            <w:tcW w:w="2506" w:type="dxa"/>
            <w:tcBorders>
              <w:tl2br w:val="nil"/>
              <w:tr2bl w:val="nil"/>
            </w:tcBorders>
            <w:noWrap w:val="0"/>
            <w:vAlign w:val="center"/>
          </w:tcPr>
          <w:p w14:paraId="07013643">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轮胎式液压挖掘机</w:t>
            </w:r>
          </w:p>
        </w:tc>
        <w:tc>
          <w:tcPr>
            <w:tcW w:w="2857" w:type="dxa"/>
            <w:tcBorders>
              <w:tl2br w:val="nil"/>
              <w:tr2bl w:val="nil"/>
            </w:tcBorders>
            <w:noWrap w:val="0"/>
            <w:vAlign w:val="center"/>
          </w:tcPr>
          <w:p w14:paraId="5CB45471">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间断、非稳态</w:t>
            </w:r>
          </w:p>
        </w:tc>
        <w:tc>
          <w:tcPr>
            <w:tcW w:w="2472" w:type="dxa"/>
            <w:tcBorders>
              <w:tl2br w:val="nil"/>
              <w:tr2bl w:val="nil"/>
            </w:tcBorders>
            <w:noWrap w:val="0"/>
            <w:vAlign w:val="center"/>
          </w:tcPr>
          <w:p w14:paraId="2B88D907">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85-100</w:t>
            </w:r>
          </w:p>
        </w:tc>
      </w:tr>
      <w:tr w14:paraId="0B5286C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trHeight w:val="397" w:hRule="atLeast"/>
          <w:jc w:val="center"/>
        </w:trPr>
        <w:tc>
          <w:tcPr>
            <w:tcW w:w="951" w:type="dxa"/>
            <w:tcBorders>
              <w:tl2br w:val="nil"/>
              <w:tr2bl w:val="nil"/>
            </w:tcBorders>
            <w:noWrap w:val="0"/>
            <w:vAlign w:val="center"/>
          </w:tcPr>
          <w:p w14:paraId="10040804">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16</w:t>
            </w:r>
          </w:p>
        </w:tc>
        <w:tc>
          <w:tcPr>
            <w:tcW w:w="2506" w:type="dxa"/>
            <w:tcBorders>
              <w:tl2br w:val="nil"/>
              <w:tr2bl w:val="nil"/>
            </w:tcBorders>
            <w:noWrap w:val="0"/>
            <w:vAlign w:val="center"/>
          </w:tcPr>
          <w:p w14:paraId="7E761750">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卡车</w:t>
            </w:r>
          </w:p>
        </w:tc>
        <w:tc>
          <w:tcPr>
            <w:tcW w:w="2857" w:type="dxa"/>
            <w:tcBorders>
              <w:tl2br w:val="nil"/>
              <w:tr2bl w:val="nil"/>
            </w:tcBorders>
            <w:noWrap w:val="0"/>
            <w:vAlign w:val="center"/>
          </w:tcPr>
          <w:p w14:paraId="3AC72577">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连续</w:t>
            </w:r>
          </w:p>
        </w:tc>
        <w:tc>
          <w:tcPr>
            <w:tcW w:w="2472" w:type="dxa"/>
            <w:tcBorders>
              <w:tl2br w:val="nil"/>
              <w:tr2bl w:val="nil"/>
            </w:tcBorders>
            <w:noWrap w:val="0"/>
            <w:vAlign w:val="center"/>
          </w:tcPr>
          <w:p w14:paraId="6B1D85A1">
            <w:pPr>
              <w:pageBreakBefore w:val="0"/>
              <w:wordWrap/>
              <w:autoSpaceDE w:val="0"/>
              <w:autoSpaceDN w:val="0"/>
              <w:bidi w:val="0"/>
              <w:adjustRightInd/>
              <w:snapToGrid/>
              <w:spacing w:line="300" w:lineRule="exact"/>
              <w:ind w:firstLine="0" w:firstLineChars="0"/>
              <w:jc w:val="center"/>
              <w:textAlignment w:val="baseline"/>
              <w:rPr>
                <w:color w:val="auto"/>
                <w:kern w:val="0"/>
                <w:sz w:val="21"/>
                <w:szCs w:val="21"/>
              </w:rPr>
            </w:pPr>
            <w:r>
              <w:rPr>
                <w:color w:val="auto"/>
                <w:kern w:val="0"/>
                <w:sz w:val="21"/>
                <w:szCs w:val="21"/>
              </w:rPr>
              <w:t>83</w:t>
            </w:r>
          </w:p>
        </w:tc>
      </w:tr>
    </w:tbl>
    <w:p w14:paraId="2602FB60">
      <w:pPr>
        <w:pageBreakBefore w:val="0"/>
        <w:tabs>
          <w:tab w:val="left" w:pos="2310"/>
        </w:tabs>
        <w:wordWrap/>
        <w:bidi w:val="0"/>
        <w:adjustRightInd/>
        <w:snapToGrid/>
        <w:spacing w:before="120" w:beforeLines="50"/>
        <w:ind w:firstLine="480"/>
        <w:rPr>
          <w:color w:val="auto"/>
        </w:rPr>
      </w:pPr>
      <w:r>
        <w:rPr>
          <w:color w:val="auto"/>
        </w:rPr>
        <w:t>根据现场踏勘，本</w:t>
      </w:r>
      <w:r>
        <w:rPr>
          <w:rFonts w:hint="eastAsia"/>
          <w:color w:val="auto"/>
          <w:lang w:val="en-US" w:eastAsia="zh-CN"/>
        </w:rPr>
        <w:t>项目</w:t>
      </w:r>
      <w:r>
        <w:rPr>
          <w:color w:val="auto"/>
        </w:rPr>
        <w:t>周边200m范围内</w:t>
      </w:r>
      <w:r>
        <w:rPr>
          <w:rFonts w:hint="eastAsia"/>
          <w:color w:val="auto"/>
          <w:lang w:val="en-US" w:eastAsia="zh-CN"/>
        </w:rPr>
        <w:t>有散居居民，尤其东侧和北侧居民较多</w:t>
      </w:r>
      <w:r>
        <w:rPr>
          <w:rFonts w:hint="eastAsia"/>
          <w:color w:val="auto"/>
          <w:lang w:eastAsia="zh-CN"/>
        </w:rPr>
        <w:t>，</w:t>
      </w:r>
      <w:r>
        <w:rPr>
          <w:rFonts w:hint="eastAsia"/>
          <w:color w:val="auto"/>
          <w:lang w:val="en-US" w:eastAsia="zh-CN"/>
        </w:rPr>
        <w:t>本项目应合理进行施工平面布置，合理安排工序，尽量对高噪声源采用一定的围护结构对其进行隔声处理，严格控制各种强噪声施工机械的作业时间。</w:t>
      </w:r>
      <w:r>
        <w:rPr>
          <w:b/>
          <w:color w:val="auto"/>
        </w:rPr>
        <w:t>为降低项目施工期噪声对声环境造成的影响，本环评要求施工方加强管理，采取如下噪声控制措施：</w:t>
      </w:r>
    </w:p>
    <w:p w14:paraId="5DF8B0FE">
      <w:pPr>
        <w:pageBreakBefore w:val="0"/>
        <w:tabs>
          <w:tab w:val="left" w:pos="2310"/>
        </w:tabs>
        <w:wordWrap/>
        <w:bidi w:val="0"/>
        <w:adjustRightInd/>
        <w:snapToGrid/>
        <w:ind w:firstLine="480"/>
        <w:rPr>
          <w:bCs/>
          <w:color w:val="auto"/>
        </w:rPr>
      </w:pPr>
      <w:r>
        <w:rPr>
          <w:rFonts w:hint="eastAsia"/>
          <w:bCs/>
          <w:color w:val="auto"/>
        </w:rPr>
        <w:t>（1）</w:t>
      </w:r>
      <w:r>
        <w:rPr>
          <w:color w:val="auto"/>
        </w:rPr>
        <w:t>合理安排作业时间：由于施工阶段一般为露天作业，除修筑施工围墙进行隔声降噪外，无特殊隔声与削减措施，故噪声传播较远，受影响面较大，施工方应合理安排施工时间，将倾倒打桩、卵石料等强噪声作业尽量安排在白天进行，</w:t>
      </w:r>
      <w:r>
        <w:rPr>
          <w:b/>
          <w:color w:val="auto"/>
        </w:rPr>
        <w:t>严禁夜间施工</w:t>
      </w:r>
      <w:r>
        <w:rPr>
          <w:color w:val="auto"/>
        </w:rPr>
        <w:t>，杜绝夜间（22</w:t>
      </w:r>
      <w:r>
        <w:rPr>
          <w:rFonts w:hint="eastAsia"/>
          <w:color w:val="auto"/>
          <w:lang w:eastAsia="zh-CN"/>
        </w:rPr>
        <w:t>：</w:t>
      </w:r>
      <w:r>
        <w:rPr>
          <w:color w:val="auto"/>
        </w:rPr>
        <w:t>00</w:t>
      </w:r>
      <w:r>
        <w:rPr>
          <w:rFonts w:hint="eastAsia"/>
          <w:color w:val="auto"/>
          <w:lang w:val="en-US" w:eastAsia="zh-CN"/>
        </w:rPr>
        <w:t>-</w:t>
      </w:r>
      <w:r>
        <w:rPr>
          <w:color w:val="auto"/>
        </w:rPr>
        <w:t>6</w:t>
      </w:r>
      <w:r>
        <w:rPr>
          <w:rFonts w:hint="eastAsia"/>
          <w:color w:val="auto"/>
          <w:lang w:eastAsia="zh-CN"/>
        </w:rPr>
        <w:t>：</w:t>
      </w:r>
      <w:r>
        <w:rPr>
          <w:color w:val="auto"/>
        </w:rPr>
        <w:t>00）施工噪声扰民。</w:t>
      </w:r>
      <w:r>
        <w:rPr>
          <w:bCs/>
          <w:color w:val="auto"/>
        </w:rPr>
        <w:t>对施工材料、弃土弃渣的运输尽量安排在白天进行，以减小载重汽车噪声对周围环境的影响；</w:t>
      </w:r>
    </w:p>
    <w:p w14:paraId="52E2580F">
      <w:pPr>
        <w:pageBreakBefore w:val="0"/>
        <w:tabs>
          <w:tab w:val="left" w:pos="2310"/>
        </w:tabs>
        <w:wordWrap/>
        <w:bidi w:val="0"/>
        <w:adjustRightInd/>
        <w:snapToGrid/>
        <w:ind w:firstLine="480"/>
        <w:rPr>
          <w:rFonts w:hint="eastAsia"/>
          <w:bCs/>
          <w:color w:val="auto"/>
        </w:rPr>
      </w:pPr>
      <w:r>
        <w:rPr>
          <w:rFonts w:hint="eastAsia"/>
          <w:bCs/>
          <w:color w:val="auto"/>
        </w:rPr>
        <w:t>（2）选用低噪声设备和工艺，选用环保型机械设备，所有设备必须符合项目噪声控制要求。对于噪声较大的设备，如空压机，应采取吸声、隔声、隔振和阻尼等声学处理方法降低噪声，必要时设立专用工作间，以降低噪声。项目施工现场应采用屏蔽外脚手架，尽量屏蔽主体施工噪声。</w:t>
      </w:r>
    </w:p>
    <w:p w14:paraId="5D2FE377">
      <w:pPr>
        <w:pageBreakBefore w:val="0"/>
        <w:tabs>
          <w:tab w:val="left" w:pos="2310"/>
        </w:tabs>
        <w:wordWrap/>
        <w:bidi w:val="0"/>
        <w:adjustRightInd/>
        <w:snapToGrid/>
        <w:ind w:firstLine="480"/>
        <w:rPr>
          <w:rFonts w:hint="eastAsia"/>
          <w:bCs/>
          <w:color w:val="auto"/>
        </w:rPr>
      </w:pPr>
      <w:r>
        <w:rPr>
          <w:rFonts w:hint="eastAsia"/>
          <w:bCs/>
          <w:color w:val="auto"/>
        </w:rPr>
        <w:t>（3）加强施工机械的维修保养，缩短维修保养周期，施工过程中严禁机械设备超负荷运转，确保机械设备处于完好的技术状态，减少非正常情况下的强噪声排放；加强设备检查，一旦发现产生的噪声增加应及时维修或更换，使噪声影响降低到最小范围。</w:t>
      </w:r>
    </w:p>
    <w:p w14:paraId="6B8B5798">
      <w:pPr>
        <w:pageBreakBefore w:val="0"/>
        <w:tabs>
          <w:tab w:val="left" w:pos="2310"/>
        </w:tabs>
        <w:wordWrap/>
        <w:bidi w:val="0"/>
        <w:adjustRightInd/>
        <w:snapToGrid/>
        <w:ind w:firstLine="480"/>
        <w:rPr>
          <w:color w:val="auto"/>
        </w:rPr>
      </w:pPr>
      <w:r>
        <w:rPr>
          <w:rFonts w:hint="eastAsia"/>
          <w:bCs/>
          <w:color w:val="auto"/>
        </w:rPr>
        <w:t>（4）</w:t>
      </w:r>
      <w:r>
        <w:rPr>
          <w:bCs/>
          <w:color w:val="auto"/>
        </w:rPr>
        <w:t>根据施工噪声的污染特点，</w:t>
      </w:r>
      <w:r>
        <w:rPr>
          <w:color w:val="auto"/>
        </w:rPr>
        <w:t>施工中应加强管理，杜绝人为制造高噪声污染并选用低噪声设备，按照操作规范操作机械设备等过程中减少碰撞噪声，并对工人进行环保教育，</w:t>
      </w:r>
      <w:r>
        <w:rPr>
          <w:rFonts w:hint="eastAsia"/>
          <w:color w:val="auto"/>
          <w:lang w:eastAsia="zh-CN"/>
        </w:rPr>
        <w:t>尽量减少</w:t>
      </w:r>
      <w:r>
        <w:rPr>
          <w:color w:val="auto"/>
        </w:rPr>
        <w:t>哨、笛、钟等指挥作业，尽可能采用外加工材料。对动力机械设备进行定期的维修、养护，</w:t>
      </w:r>
      <w:r>
        <w:rPr>
          <w:rFonts w:hint="eastAsia"/>
          <w:color w:val="auto"/>
          <w:lang w:val="en-US" w:eastAsia="zh-CN"/>
        </w:rPr>
        <w:t>减少因</w:t>
      </w:r>
      <w:r>
        <w:rPr>
          <w:color w:val="auto"/>
        </w:rPr>
        <w:t>维护不良的设备常因松动部件的振动或消声器的损坏而增加其工作时的噪声级，闲置不用的设备应立即关闭；施工场地的施工车辆出入地点应尽量远离敏感点，车辆出入现场时应低速、禁鸣；</w:t>
      </w:r>
    </w:p>
    <w:p w14:paraId="2123E00D">
      <w:pPr>
        <w:pageBreakBefore w:val="0"/>
        <w:tabs>
          <w:tab w:val="left" w:pos="2310"/>
        </w:tabs>
        <w:wordWrap/>
        <w:bidi w:val="0"/>
        <w:adjustRightInd/>
        <w:snapToGrid/>
        <w:ind w:firstLine="480"/>
        <w:rPr>
          <w:rFonts w:hint="eastAsia"/>
          <w:bCs/>
          <w:color w:val="auto"/>
        </w:rPr>
      </w:pPr>
      <w:r>
        <w:rPr>
          <w:rFonts w:hint="eastAsia"/>
          <w:bCs/>
          <w:color w:val="auto"/>
        </w:rPr>
        <w:t>（5）车辆噪声采取保持技术状态完好和适当减低速度的方法进行控制；尽量压缩施工区汽车数量和行车密度，控制汽车鸣笛；合理安排原材料及建渣等运输路线及时间周期，尽量减小对运输路线及周围学校、集中住宅区及医院现有建筑等环境敏感点的影响。</w:t>
      </w:r>
    </w:p>
    <w:p w14:paraId="1DDCFFB1">
      <w:pPr>
        <w:pageBreakBefore w:val="0"/>
        <w:tabs>
          <w:tab w:val="left" w:pos="2310"/>
        </w:tabs>
        <w:wordWrap/>
        <w:bidi w:val="0"/>
        <w:adjustRightInd/>
        <w:snapToGrid/>
        <w:ind w:firstLine="480"/>
        <w:rPr>
          <w:rFonts w:hint="eastAsia"/>
          <w:bCs/>
          <w:color w:val="auto"/>
        </w:rPr>
      </w:pPr>
      <w:r>
        <w:rPr>
          <w:rFonts w:hint="eastAsia"/>
          <w:bCs/>
          <w:color w:val="auto"/>
        </w:rPr>
        <w:t>（6）合理布置施工总平面，结合周边环境敏感点分布情况，合理安排施工机械安放位置，以充分利用施工场地的距离衰减缓解噪声污染。</w:t>
      </w:r>
      <w:r>
        <w:rPr>
          <w:color w:val="auto"/>
        </w:rPr>
        <w:t>合理设计施工总平面图，将木工房、钢筋加工间等产生高噪声的作业点置于项目中央</w:t>
      </w:r>
      <w:r>
        <w:rPr>
          <w:rFonts w:hint="eastAsia"/>
          <w:color w:val="auto"/>
          <w:lang w:val="en-US" w:eastAsia="zh-CN"/>
        </w:rPr>
        <w:t>或西南侧</w:t>
      </w:r>
      <w:r>
        <w:rPr>
          <w:color w:val="auto"/>
        </w:rPr>
        <w:t>位置，以有效利用施工场地的距离衰减作用，减少对项目周边</w:t>
      </w:r>
      <w:r>
        <w:rPr>
          <w:rFonts w:hint="eastAsia"/>
          <w:color w:val="auto"/>
          <w:lang w:val="en-US" w:eastAsia="zh-CN"/>
        </w:rPr>
        <w:t>居民</w:t>
      </w:r>
      <w:r>
        <w:rPr>
          <w:color w:val="auto"/>
        </w:rPr>
        <w:t>的影响；</w:t>
      </w:r>
    </w:p>
    <w:p w14:paraId="55F9CDCE">
      <w:pPr>
        <w:pageBreakBefore w:val="0"/>
        <w:tabs>
          <w:tab w:val="left" w:pos="2310"/>
        </w:tabs>
        <w:wordWrap/>
        <w:bidi w:val="0"/>
        <w:adjustRightInd/>
        <w:snapToGrid/>
        <w:ind w:firstLine="480"/>
        <w:rPr>
          <w:color w:val="auto"/>
        </w:rPr>
      </w:pPr>
      <w:r>
        <w:rPr>
          <w:color w:val="auto"/>
          <w:u w:val="single"/>
        </w:rPr>
        <w:t>通过采取以上措施后，项目施工期产生的噪声对周围环境的影响能够</w:t>
      </w:r>
      <w:r>
        <w:rPr>
          <w:rFonts w:hint="eastAsia"/>
          <w:color w:val="auto"/>
          <w:u w:val="single"/>
          <w:lang w:eastAsia="zh-CN"/>
        </w:rPr>
        <w:t>降到</w:t>
      </w:r>
      <w:r>
        <w:rPr>
          <w:color w:val="auto"/>
          <w:u w:val="single"/>
        </w:rPr>
        <w:t>最低。由于项目为分段施工，各施工段施工时间较短，影响也将随着施工的结束而得到消除，因此项目施工噪声对周围环境影响较小</w:t>
      </w:r>
      <w:r>
        <w:rPr>
          <w:color w:val="auto"/>
        </w:rPr>
        <w:t>。</w:t>
      </w:r>
    </w:p>
    <w:p w14:paraId="6584DA43">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施工期固体废弃物产生及治理措施</w:t>
      </w:r>
    </w:p>
    <w:p w14:paraId="5CDC7A84">
      <w:pPr>
        <w:pageBreakBefore w:val="0"/>
        <w:wordWrap/>
        <w:bidi w:val="0"/>
        <w:adjustRightInd/>
        <w:snapToGrid/>
        <w:ind w:firstLine="480"/>
        <w:rPr>
          <w:color w:val="auto"/>
          <w:kern w:val="0"/>
        </w:rPr>
      </w:pPr>
      <w:r>
        <w:rPr>
          <w:color w:val="auto"/>
        </w:rPr>
        <w:t>工程在建设过程产生的主要固体废物为施工建筑垃圾、生活垃圾、土石方弃土以及建筑材料等。在开挖土石方时，遇降雨容易形成水土流失而造成对受纳水道的影响。因此，要求在进行开挖土石方作业时，一是在堆放场地周围设置排水沟及沉淀池，二是在雨季不进行开挖作业或只进行小规模作业，尽可能减少堆放土形成水土流失现象。</w:t>
      </w:r>
      <w:r>
        <w:rPr>
          <w:color w:val="auto"/>
          <w:kern w:val="0"/>
        </w:rPr>
        <w:t>施工单位应按照国家和</w:t>
      </w:r>
      <w:r>
        <w:rPr>
          <w:rFonts w:hint="eastAsia"/>
          <w:color w:val="auto"/>
          <w:kern w:val="0"/>
          <w:lang w:eastAsia="zh-CN"/>
        </w:rPr>
        <w:t>巴中市</w:t>
      </w:r>
      <w:r>
        <w:rPr>
          <w:color w:val="auto"/>
          <w:kern w:val="0"/>
        </w:rPr>
        <w:t>有关建筑垃圾和工程渣土处置管理规定，及时清运至指定的堆放场所。在施工期固体废物的处置过程中，采取如下管理措施：</w:t>
      </w:r>
    </w:p>
    <w:p w14:paraId="4CA73D10">
      <w:pPr>
        <w:pageBreakBefore w:val="0"/>
        <w:wordWrap/>
        <w:autoSpaceDE w:val="0"/>
        <w:autoSpaceDN w:val="0"/>
        <w:bidi w:val="0"/>
        <w:adjustRightInd/>
        <w:snapToGrid/>
        <w:ind w:firstLine="480"/>
        <w:rPr>
          <w:rFonts w:hint="eastAsia" w:eastAsia="宋体"/>
          <w:color w:val="auto"/>
          <w:kern w:val="0"/>
          <w:szCs w:val="23"/>
          <w:lang w:val="en-US" w:eastAsia="zh-CN"/>
        </w:rPr>
      </w:pPr>
      <w:r>
        <w:rPr>
          <w:b/>
          <w:color w:val="auto"/>
          <w:szCs w:val="28"/>
        </w:rPr>
        <w:t>（1）建筑垃圾</w:t>
      </w:r>
      <w:r>
        <w:rPr>
          <w:color w:val="auto"/>
          <w:szCs w:val="28"/>
        </w:rPr>
        <w:t>：</w:t>
      </w:r>
      <w:r>
        <w:rPr>
          <w:color w:val="auto"/>
          <w:kern w:val="0"/>
          <w:szCs w:val="23"/>
        </w:rPr>
        <w:t>施工期产生的建筑垃圾主要为各类设备的包装材料以及建筑废渣（如水泥袋、铁质废料、木材弃料等）。参照《环境统计手册》，单位面积施工固体废物的产生系数为144kg/</w:t>
      </w:r>
      <w:r>
        <w:rPr>
          <w:rFonts w:hint="eastAsia"/>
          <w:color w:val="auto"/>
          <w:kern w:val="0"/>
          <w:szCs w:val="23"/>
          <w:lang w:eastAsia="zh-CN"/>
        </w:rPr>
        <w:t>m²</w:t>
      </w:r>
      <w:r>
        <w:rPr>
          <w:color w:val="auto"/>
          <w:kern w:val="0"/>
          <w:szCs w:val="23"/>
        </w:rPr>
        <w:t>，本项目总建筑面积为</w:t>
      </w:r>
      <w:r>
        <w:rPr>
          <w:rFonts w:hint="eastAsia"/>
          <w:color w:val="auto"/>
          <w:kern w:val="0"/>
          <w:szCs w:val="23"/>
        </w:rPr>
        <w:t>8628.02</w:t>
      </w:r>
      <w:r>
        <w:rPr>
          <w:rFonts w:hint="eastAsia"/>
          <w:color w:val="auto"/>
          <w:kern w:val="0"/>
          <w:szCs w:val="23"/>
          <w:lang w:eastAsia="zh-CN"/>
        </w:rPr>
        <w:t>m²</w:t>
      </w:r>
      <w:r>
        <w:rPr>
          <w:color w:val="auto"/>
          <w:kern w:val="0"/>
          <w:szCs w:val="23"/>
        </w:rPr>
        <w:t>，则工程施工将产生的建筑垃圾约为</w:t>
      </w:r>
      <w:r>
        <w:rPr>
          <w:rFonts w:hint="eastAsia"/>
          <w:color w:val="auto"/>
          <w:kern w:val="0"/>
          <w:szCs w:val="23"/>
          <w:lang w:val="en-US" w:eastAsia="zh-CN"/>
        </w:rPr>
        <w:t>1242.4</w:t>
      </w:r>
      <w:r>
        <w:rPr>
          <w:color w:val="auto"/>
          <w:kern w:val="0"/>
          <w:szCs w:val="23"/>
        </w:rPr>
        <w:t>t。</w:t>
      </w:r>
    </w:p>
    <w:p w14:paraId="43AA8D4B">
      <w:pPr>
        <w:pageBreakBefore w:val="0"/>
        <w:wordWrap/>
        <w:autoSpaceDE w:val="0"/>
        <w:autoSpaceDN w:val="0"/>
        <w:bidi w:val="0"/>
        <w:adjustRightInd/>
        <w:snapToGrid/>
        <w:ind w:firstLine="480"/>
        <w:rPr>
          <w:color w:val="auto"/>
          <w:kern w:val="0"/>
          <w:szCs w:val="23"/>
        </w:rPr>
      </w:pPr>
      <w:r>
        <w:rPr>
          <w:color w:val="auto"/>
          <w:kern w:val="0"/>
          <w:szCs w:val="23"/>
        </w:rPr>
        <w:t>环评要求：建设单位应在施工现场设置建筑垃圾临时堆场，并树立标示牌，临时堆场布置于地块</w:t>
      </w:r>
      <w:r>
        <w:rPr>
          <w:rFonts w:hint="eastAsia"/>
          <w:color w:val="auto"/>
          <w:kern w:val="0"/>
          <w:szCs w:val="23"/>
          <w:lang w:val="en-US" w:eastAsia="zh-CN"/>
        </w:rPr>
        <w:t>南侧</w:t>
      </w:r>
      <w:r>
        <w:rPr>
          <w:color w:val="auto"/>
          <w:kern w:val="0"/>
          <w:szCs w:val="23"/>
        </w:rPr>
        <w:t>。</w:t>
      </w:r>
      <w:r>
        <w:rPr>
          <w:color w:val="auto"/>
          <w:kern w:val="0"/>
          <w:szCs w:val="22"/>
        </w:rPr>
        <w:t>对于</w:t>
      </w:r>
      <w:r>
        <w:rPr>
          <w:color w:val="auto"/>
          <w:kern w:val="0"/>
          <w:szCs w:val="23"/>
        </w:rPr>
        <w:t>施工期间产生的可回收利用的废料（如钢筋、钢板、木材等下</w:t>
      </w:r>
      <w:r>
        <w:rPr>
          <w:rFonts w:hint="eastAsia"/>
          <w:color w:val="auto"/>
          <w:kern w:val="0"/>
          <w:szCs w:val="23"/>
        </w:rPr>
        <w:t>脚</w:t>
      </w:r>
      <w:r>
        <w:rPr>
          <w:color w:val="auto"/>
          <w:kern w:val="0"/>
          <w:szCs w:val="23"/>
        </w:rPr>
        <w:t>料）通过分类收集后交废物收购站处理；对不能回收的建筑垃圾（如混凝土废料、含砖、石、砂的杂土等）应及时清运至政府部门指定的建筑垃圾堆放场所。同时，为确保建筑垃圾处置措施落实，建设单位或施工总承包单位在与建筑垃圾清运公司签订运输合同时，应要求承包公司提供废弃物去向的证明材料，严禁随意倾倒、填埋，不得出现超载、撒漏、不到指定地点卸货等现象。严禁建筑垃圾倾倒至项目周边地表水体内。</w:t>
      </w:r>
    </w:p>
    <w:p w14:paraId="26B6EBD6">
      <w:pPr>
        <w:pageBreakBefore w:val="0"/>
        <w:numPr>
          <w:ilvl w:val="0"/>
          <w:numId w:val="24"/>
        </w:numPr>
        <w:wordWrap/>
        <w:autoSpaceDE w:val="0"/>
        <w:autoSpaceDN w:val="0"/>
        <w:bidi w:val="0"/>
        <w:adjustRightInd/>
        <w:snapToGrid/>
        <w:ind w:firstLine="480"/>
        <w:rPr>
          <w:color w:val="auto"/>
          <w:szCs w:val="28"/>
        </w:rPr>
      </w:pPr>
      <w:r>
        <w:rPr>
          <w:b/>
          <w:color w:val="auto"/>
          <w:szCs w:val="28"/>
        </w:rPr>
        <w:t>装修垃圾</w:t>
      </w:r>
      <w:r>
        <w:rPr>
          <w:color w:val="auto"/>
          <w:szCs w:val="28"/>
        </w:rPr>
        <w:t>：</w:t>
      </w:r>
      <w:r>
        <w:rPr>
          <w:color w:val="auto"/>
        </w:rPr>
        <w:t>在主体工程完工后，进行室内装修阶段，</w:t>
      </w:r>
      <w:r>
        <w:rPr>
          <w:color w:val="auto"/>
          <w:szCs w:val="28"/>
        </w:rPr>
        <w:t>装修垃圾一般有废砖头、砂、水泥及木屑等，会产生扬尘，因此不能随意倾倒，而应用编织袋包装后运出屋外，放在指定地点，由环卫部门统一清运处理。外运以上各种建筑垃圾时，出场前一律清洗轮胎，用毡布覆盖，尽量避免轮胎上的泥土掉落至路面而造成扬尘。</w:t>
      </w:r>
    </w:p>
    <w:p w14:paraId="5F9D4E47">
      <w:pPr>
        <w:pageBreakBefore w:val="0"/>
        <w:wordWrap/>
        <w:bidi w:val="0"/>
        <w:adjustRightInd/>
        <w:snapToGrid/>
        <w:rPr>
          <w:color w:val="auto"/>
        </w:rPr>
      </w:pPr>
      <w:r>
        <w:rPr>
          <w:rFonts w:hint="eastAsia"/>
          <w:color w:val="auto"/>
          <w:lang w:val="en-US" w:eastAsia="zh-CN"/>
        </w:rPr>
        <w:t>装修阶段还</w:t>
      </w:r>
      <w:r>
        <w:rPr>
          <w:color w:val="auto"/>
        </w:rPr>
        <w:t>会使用大量的乳胶漆等，因此装修过程中将会产生大量的漆桶，本次评价要求在装修阶段，设置临时漆桶暂存间（建议利用移动板房设置，并在板房内设置托盘，施工期间产生的漆桶临时存放至该暂存间内，定期委托有资质的单位进行处置）。</w:t>
      </w:r>
    </w:p>
    <w:p w14:paraId="35EDB134">
      <w:pPr>
        <w:pageBreakBefore w:val="0"/>
        <w:wordWrap/>
        <w:autoSpaceDE w:val="0"/>
        <w:autoSpaceDN w:val="0"/>
        <w:bidi w:val="0"/>
        <w:adjustRightInd/>
        <w:snapToGrid/>
        <w:ind w:firstLine="480"/>
        <w:rPr>
          <w:color w:val="auto"/>
          <w:kern w:val="0"/>
          <w:szCs w:val="23"/>
        </w:rPr>
      </w:pPr>
      <w:r>
        <w:rPr>
          <w:b/>
          <w:color w:val="auto"/>
          <w:szCs w:val="28"/>
        </w:rPr>
        <w:t>（3）生活垃圾</w:t>
      </w:r>
      <w:r>
        <w:rPr>
          <w:color w:val="auto"/>
          <w:szCs w:val="28"/>
        </w:rPr>
        <w:t>：</w:t>
      </w:r>
      <w:r>
        <w:rPr>
          <w:color w:val="auto"/>
          <w:kern w:val="0"/>
          <w:szCs w:val="23"/>
        </w:rPr>
        <w:t>本项目不设施工营地，不住宿，生活垃圾主要为办公生活垃圾。本项目施工高峰期人数为</w:t>
      </w:r>
      <w:r>
        <w:rPr>
          <w:rFonts w:hint="eastAsia"/>
          <w:color w:val="auto"/>
          <w:kern w:val="0"/>
          <w:szCs w:val="23"/>
          <w:lang w:val="en-US" w:eastAsia="zh-CN"/>
        </w:rPr>
        <w:t>100</w:t>
      </w:r>
      <w:r>
        <w:rPr>
          <w:color w:val="auto"/>
          <w:kern w:val="0"/>
          <w:szCs w:val="23"/>
        </w:rPr>
        <w:t>人，生活垃圾产生量按0.5kg/人·d计，施工期生活垃圾产生量为</w:t>
      </w:r>
      <w:r>
        <w:rPr>
          <w:rFonts w:hint="eastAsia"/>
          <w:color w:val="auto"/>
          <w:kern w:val="0"/>
          <w:szCs w:val="23"/>
          <w:lang w:val="en-US" w:eastAsia="zh-CN"/>
        </w:rPr>
        <w:t>50</w:t>
      </w:r>
      <w:r>
        <w:rPr>
          <w:color w:val="auto"/>
          <w:kern w:val="0"/>
          <w:szCs w:val="23"/>
        </w:rPr>
        <w:t>kg/d。生活垃圾经袋装收集后，由环卫部门统一运送到垃圾</w:t>
      </w:r>
      <w:r>
        <w:rPr>
          <w:rFonts w:hint="eastAsia"/>
          <w:color w:val="auto"/>
          <w:kern w:val="0"/>
          <w:szCs w:val="23"/>
        </w:rPr>
        <w:t>处理厂</w:t>
      </w:r>
      <w:r>
        <w:rPr>
          <w:color w:val="auto"/>
          <w:kern w:val="0"/>
          <w:szCs w:val="23"/>
        </w:rPr>
        <w:t>集中处理，严禁就地填埋或焚烧，以避免对区域环境空气和水环境质量构成潜在的影响。</w:t>
      </w:r>
    </w:p>
    <w:p w14:paraId="21BE3A8D">
      <w:pPr>
        <w:pageBreakBefore w:val="0"/>
        <w:wordWrap/>
        <w:bidi w:val="0"/>
        <w:adjustRightInd/>
        <w:snapToGrid/>
        <w:ind w:firstLine="482"/>
        <w:rPr>
          <w:color w:val="auto"/>
        </w:rPr>
      </w:pPr>
      <w:r>
        <w:rPr>
          <w:b/>
          <w:color w:val="auto"/>
          <w:szCs w:val="28"/>
        </w:rPr>
        <w:t>（4）土石方：</w:t>
      </w:r>
      <w:r>
        <w:rPr>
          <w:rFonts w:hint="eastAsia"/>
          <w:b w:val="0"/>
          <w:bCs/>
          <w:color w:val="auto"/>
          <w:szCs w:val="28"/>
          <w:lang w:val="en-US" w:eastAsia="zh-CN"/>
        </w:rPr>
        <w:t>根据项目初步设计说明书，本项目土石方开挖量为25944m³，填方量为14685m³，废气土石方量为11259m³。</w:t>
      </w:r>
      <w:r>
        <w:rPr>
          <w:color w:val="auto"/>
          <w:szCs w:val="28"/>
        </w:rPr>
        <w:t>为避免项目土石方开挖及堆放过程中产生不利影响，</w:t>
      </w:r>
      <w:r>
        <w:rPr>
          <w:b/>
          <w:color w:val="auto"/>
          <w:szCs w:val="28"/>
        </w:rPr>
        <w:t>本环评要求采取以下防治措施：</w:t>
      </w:r>
      <w:r>
        <w:rPr>
          <w:color w:val="auto"/>
          <w:szCs w:val="28"/>
        </w:rPr>
        <w:t>合理安排土方开挖和回填作业，开挖土石方经临时堆土场堆放后，需及时进行回填处理，必须做好围护工作，防止形成新的水土流失；建设单位施工期做好水土保持方案，在施工场地及临时土方堆场周围修筑一定围护设施，防止形成的泥浆水外溢；</w:t>
      </w:r>
      <w:r>
        <w:rPr>
          <w:color w:val="auto"/>
        </w:rPr>
        <w:t>控制外借土石房和开挖回填土临时堆放场占地面积和堆放量，并在土石堆上覆盖塑料薄膜，以及在临时堆放场地周围设置导流明渠，将雨水引导到沉淀池后再排入园区雨水管网；借方运输车辆应进行对土方进行遮盖处理，避免造成撒漏和产生扬尘。运输车辆尽量不行走市区道路，避免给沿线地区增加车流量、造成交通堵塞。另外，运输车辆的运输时间应该避开上下班的高峰期及人流物流的高峰时间。</w:t>
      </w:r>
    </w:p>
    <w:p w14:paraId="42A7E3B0">
      <w:pPr>
        <w:pageBreakBefore w:val="0"/>
        <w:wordWrap/>
        <w:bidi w:val="0"/>
        <w:adjustRightInd/>
        <w:snapToGrid/>
        <w:ind w:firstLine="480"/>
        <w:rPr>
          <w:color w:val="auto"/>
          <w:szCs w:val="28"/>
        </w:rPr>
      </w:pPr>
      <w:r>
        <w:rPr>
          <w:color w:val="auto"/>
          <w:szCs w:val="28"/>
          <w:u w:val="single"/>
        </w:rPr>
        <w:t>综上所述，项目施工期在严格落实了本环评提出的上述措施后，其施工期的固体废弃物可实现清洁处理和处置，不致造成二次污染</w:t>
      </w:r>
      <w:r>
        <w:rPr>
          <w:color w:val="auto"/>
          <w:szCs w:val="28"/>
        </w:rPr>
        <w:t>。</w:t>
      </w:r>
    </w:p>
    <w:p w14:paraId="410CAE54">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生态保护措施</w:t>
      </w:r>
    </w:p>
    <w:p w14:paraId="47BCA486">
      <w:pPr>
        <w:pageBreakBefore w:val="0"/>
        <w:wordWrap/>
        <w:bidi w:val="0"/>
        <w:adjustRightInd/>
        <w:snapToGrid/>
        <w:ind w:firstLine="480"/>
        <w:rPr>
          <w:color w:val="auto"/>
        </w:rPr>
      </w:pPr>
      <w:r>
        <w:rPr>
          <w:color w:val="auto"/>
        </w:rPr>
        <w:t>根据现场勘查，项目所在区域内无天然珍稀野生动植物分布，无古稀树木和保护树种，项目周围主要以建设用地</w:t>
      </w:r>
      <w:r>
        <w:rPr>
          <w:rFonts w:hint="eastAsia"/>
          <w:color w:val="auto"/>
          <w:lang w:val="en-US" w:eastAsia="zh-CN"/>
        </w:rPr>
        <w:t>和林地</w:t>
      </w:r>
      <w:r>
        <w:rPr>
          <w:color w:val="auto"/>
        </w:rPr>
        <w:t>为主，区域缺少生物物种的种群源。项目施工区目前为预留空地，不存在植被破坏问题。工程施工过程将改变、压埋或损坏原有植被、地貌，对原有水土保持设施造成损坏，改变原有水土保持功能，对当地生态环境造成一定程度的破坏，表层土抗蚀能力减弱，加剧原有的水土流失。在土石方的开挖或填方，常造成开挖面及填方处边坡裸露，被雨水冲蚀，易产生冲蚀、滑坡等，加重区域的水土流失；同时施工中弃土、弃石随意堆放，易产生水土流失。为了控制和减少项目建设中的新增水土流失，保护水土资源和改善生态环境，本环评针对工程建设过程中的水土流失特点和防治要求，提出以下几点水土保持措施：</w:t>
      </w:r>
    </w:p>
    <w:p w14:paraId="6B810B50">
      <w:pPr>
        <w:pageBreakBefore w:val="0"/>
        <w:wordWrap/>
        <w:bidi w:val="0"/>
        <w:adjustRightInd/>
        <w:snapToGrid/>
        <w:ind w:firstLine="480"/>
        <w:rPr>
          <w:color w:val="auto"/>
        </w:rPr>
      </w:pPr>
      <w:r>
        <w:rPr>
          <w:color w:val="auto"/>
        </w:rPr>
        <w:t>①合理选择施工工期，尽量避免在</w:t>
      </w:r>
      <w:r>
        <w:rPr>
          <w:rFonts w:hint="eastAsia"/>
          <w:color w:val="auto"/>
          <w:lang w:eastAsia="zh-CN"/>
        </w:rPr>
        <w:t>雨季</w:t>
      </w:r>
      <w:r>
        <w:rPr>
          <w:color w:val="auto"/>
        </w:rPr>
        <w:t>开挖作业。施工结束后，拆除临时建筑，打扫地面，开挖路面进行硬覆盖，重新疏松被碾压后变的密实的土壤，洼地要覆土填平并及时对裸露土地进行绿化，排水管网上方道路周围进行乔、灌木结合绿化，减少水土流失。</w:t>
      </w:r>
    </w:p>
    <w:p w14:paraId="01A948FA">
      <w:pPr>
        <w:pageBreakBefore w:val="0"/>
        <w:wordWrap/>
        <w:bidi w:val="0"/>
        <w:adjustRightInd/>
        <w:snapToGrid/>
        <w:ind w:firstLine="480"/>
        <w:rPr>
          <w:color w:val="auto"/>
        </w:rPr>
      </w:pPr>
      <w:r>
        <w:rPr>
          <w:color w:val="auto"/>
        </w:rPr>
        <w:t>②合理选择施工工序，做好项目挖填土方的合理调配工作，尽量缩短临时土石料堆放的时间；在堆放土石时，把易产生水土流失的土料堆放在场地中间，块石堆放在其周围，起临时拦挡作用，严格控制土石料的运输流失。建立水保方案实施的领导管理机构，强化工作人员水保意识，并实行水保施工监理制度和档案管理制度。在保证施工质量的前提下，必须采用最短的建设工期。土石方运输要严格遵守作业制度，避免松散土石方随地堆放并严禁随意倾倒。施工机械和施工人员要按照规划进行操作，施工机械、土石</w:t>
      </w:r>
      <w:r>
        <w:rPr>
          <w:rFonts w:hint="eastAsia"/>
          <w:color w:val="auto"/>
          <w:lang w:eastAsia="zh-CN"/>
        </w:rPr>
        <w:t>及其他</w:t>
      </w:r>
      <w:r>
        <w:rPr>
          <w:color w:val="auto"/>
        </w:rPr>
        <w:t>建筑物材料不能乱停乱放，加剧水土流失。施工期</w:t>
      </w:r>
      <w:r>
        <w:rPr>
          <w:rFonts w:hint="eastAsia"/>
          <w:color w:val="auto"/>
          <w:lang w:eastAsia="zh-CN"/>
        </w:rPr>
        <w:t>做好</w:t>
      </w:r>
      <w:r>
        <w:rPr>
          <w:color w:val="auto"/>
        </w:rPr>
        <w:t>临时工程措施设计，工程结束后及时进行植物措施设计。</w:t>
      </w:r>
    </w:p>
    <w:p w14:paraId="58FA0D0C">
      <w:pPr>
        <w:pageBreakBefore w:val="0"/>
        <w:wordWrap/>
        <w:bidi w:val="0"/>
        <w:adjustRightInd/>
        <w:snapToGrid/>
        <w:ind w:firstLine="480"/>
        <w:rPr>
          <w:color w:val="auto"/>
        </w:rPr>
      </w:pPr>
      <w:r>
        <w:rPr>
          <w:color w:val="auto"/>
        </w:rPr>
        <w:t>③施工期需进一步完善场地周边临时排水沟系统，尽量避免低洼地积水，避免施工场地地表层的大面积破坏。在场地周围修建临时排水系统，将雨水顺畅的引入附近的沟渠，排水沟采用直接开挖方式，夯实沟底后不加衬砌，施工简单且易于后期恢复，在施工临时场地排水沟的下游建造沉淀池，待施工结束后，对临时沉淀池和临时排水沟进行平整、压实。</w:t>
      </w:r>
    </w:p>
    <w:p w14:paraId="5274BB9E">
      <w:pPr>
        <w:pageBreakBefore w:val="0"/>
        <w:wordWrap/>
        <w:bidi w:val="0"/>
        <w:adjustRightInd/>
        <w:snapToGrid/>
        <w:ind w:firstLine="480"/>
        <w:rPr>
          <w:color w:val="auto"/>
        </w:rPr>
      </w:pPr>
      <w:r>
        <w:rPr>
          <w:color w:val="auto"/>
        </w:rPr>
        <w:t>④施工结束后，应尽快恢复植被，全面进行绿化，绿化可起到调节小气候、涵蓄雨水等目的，起到很好的防治水土流失的作用。</w:t>
      </w:r>
    </w:p>
    <w:p w14:paraId="4DE99AA6">
      <w:pPr>
        <w:pStyle w:val="4"/>
        <w:pageBreakBefore w:val="0"/>
        <w:wordWrap/>
        <w:bidi w:val="0"/>
        <w:adjustRightInd/>
        <w:snapToGrid/>
        <w:rPr>
          <w:rFonts w:ascii="Times New Roman" w:hAnsi="Times New Roman" w:eastAsia="宋体"/>
          <w:color w:val="auto"/>
        </w:rPr>
        <w:sectPr>
          <w:pgSz w:w="11906" w:h="16838"/>
          <w:pgMar w:top="1440" w:right="1588" w:bottom="1440" w:left="1588" w:header="720" w:footer="720" w:gutter="0"/>
          <w:pgBorders>
            <w:top w:val="none" w:sz="0" w:space="0"/>
            <w:left w:val="none" w:sz="0" w:space="0"/>
            <w:bottom w:val="none" w:sz="0" w:space="0"/>
            <w:right w:val="none" w:sz="0" w:space="0"/>
          </w:pgBorders>
          <w:pgNumType w:fmt="decimal"/>
          <w:cols w:space="720" w:num="1"/>
          <w:docGrid w:linePitch="286" w:charSpace="0"/>
        </w:sectPr>
      </w:pPr>
      <w:bookmarkStart w:id="106" w:name="_Toc22223"/>
    </w:p>
    <w:p w14:paraId="06512F5F">
      <w:pPr>
        <w:pStyle w:val="4"/>
        <w:pageBreakBefore w:val="0"/>
        <w:wordWrap/>
        <w:bidi w:val="0"/>
        <w:adjustRightInd/>
        <w:snapToGrid/>
        <w:rPr>
          <w:rFonts w:ascii="Times New Roman" w:hAnsi="Times New Roman" w:eastAsia="宋体"/>
          <w:color w:val="auto"/>
        </w:rPr>
      </w:pPr>
      <w:r>
        <w:rPr>
          <w:rFonts w:hint="eastAsia" w:ascii="Times New Roman" w:hAnsi="Times New Roman" w:eastAsia="宋体"/>
          <w:color w:val="auto"/>
        </w:rPr>
        <w:t xml:space="preserve"> </w:t>
      </w:r>
      <w:bookmarkStart w:id="107" w:name="_Toc11748"/>
      <w:r>
        <w:rPr>
          <w:rFonts w:ascii="Times New Roman" w:hAnsi="Times New Roman" w:eastAsia="宋体"/>
          <w:color w:val="auto"/>
        </w:rPr>
        <w:t>营运期污染物产生及治理措施</w:t>
      </w:r>
      <w:bookmarkEnd w:id="106"/>
      <w:bookmarkEnd w:id="107"/>
    </w:p>
    <w:p w14:paraId="1302C567">
      <w:pPr>
        <w:pStyle w:val="5"/>
        <w:pageBreakBefore w:val="0"/>
        <w:wordWrap/>
        <w:bidi w:val="0"/>
        <w:adjustRightInd/>
        <w:snapToGrid/>
        <w:spacing w:before="48" w:after="48"/>
        <w:ind w:left="0"/>
        <w:rPr>
          <w:rFonts w:eastAsia="宋体"/>
          <w:b w:val="0"/>
          <w:bCs w:val="0"/>
          <w:color w:val="auto"/>
          <w:sz w:val="24"/>
          <w:szCs w:val="24"/>
        </w:rPr>
      </w:pPr>
      <w:r>
        <w:rPr>
          <w:rFonts w:hint="eastAsia" w:eastAsia="宋体"/>
          <w:color w:val="auto"/>
        </w:rPr>
        <w:t xml:space="preserve"> </w:t>
      </w:r>
      <w:r>
        <w:rPr>
          <w:rFonts w:eastAsia="宋体"/>
          <w:color w:val="auto"/>
        </w:rPr>
        <w:t>废水污染物产生及治理措施</w:t>
      </w:r>
    </w:p>
    <w:p w14:paraId="79616F97">
      <w:pPr>
        <w:pStyle w:val="10"/>
        <w:bidi w:val="0"/>
        <w:rPr>
          <w:color w:val="auto"/>
        </w:rPr>
      </w:pPr>
      <w:r>
        <w:rPr>
          <w:color w:val="auto"/>
        </w:rPr>
        <w:t>废水污染源分析</w:t>
      </w:r>
    </w:p>
    <w:p w14:paraId="038C155B">
      <w:pPr>
        <w:pageBreakBefore w:val="0"/>
        <w:wordWrap/>
        <w:bidi w:val="0"/>
        <w:adjustRightInd/>
        <w:snapToGrid/>
        <w:ind w:firstLine="480"/>
        <w:rPr>
          <w:color w:val="auto"/>
        </w:rPr>
      </w:pPr>
      <w:r>
        <w:rPr>
          <w:color w:val="auto"/>
        </w:rPr>
        <w:t>本项目产生的废水主要以污水处理厂尾水为主，同时有厂区工作人员生活污水和生产废水（污泥处理设施产生的</w:t>
      </w:r>
      <w:r>
        <w:rPr>
          <w:rFonts w:hint="eastAsia"/>
          <w:color w:val="auto"/>
          <w:lang w:val="en-US" w:eastAsia="zh-CN"/>
        </w:rPr>
        <w:t>废液</w:t>
      </w:r>
      <w:r>
        <w:rPr>
          <w:color w:val="auto"/>
        </w:rPr>
        <w:t>、</w:t>
      </w:r>
      <w:r>
        <w:rPr>
          <w:rFonts w:hint="eastAsia"/>
          <w:color w:val="auto"/>
          <w:lang w:val="en-US" w:eastAsia="zh-CN"/>
        </w:rPr>
        <w:t>反冲洗废水、</w:t>
      </w:r>
      <w:r>
        <w:rPr>
          <w:color w:val="auto"/>
        </w:rPr>
        <w:t>除臭装置废水、地坪冲洗废水和化验废水</w:t>
      </w:r>
      <w:r>
        <w:rPr>
          <w:rFonts w:hint="eastAsia"/>
          <w:color w:val="auto"/>
          <w:lang w:val="en-US" w:eastAsia="zh-CN"/>
        </w:rPr>
        <w:t>等</w:t>
      </w:r>
      <w:r>
        <w:rPr>
          <w:color w:val="auto"/>
        </w:rPr>
        <w:t>），其中生活污水和生产废水一并纳入污水处理厂处理。</w:t>
      </w:r>
    </w:p>
    <w:p w14:paraId="48D883E5">
      <w:pPr>
        <w:spacing w:line="360" w:lineRule="auto"/>
        <w:ind w:firstLine="560"/>
        <w:rPr>
          <w:rFonts w:ascii="Times New Roman" w:hAnsi="Times New Roman"/>
          <w:b/>
          <w:bCs/>
          <w:color w:val="auto"/>
          <w:sz w:val="24"/>
          <w:highlight w:val="none"/>
        </w:rPr>
      </w:pPr>
      <w:r>
        <w:rPr>
          <w:rFonts w:ascii="Times New Roman" w:hAnsi="Times New Roman"/>
          <w:b/>
          <w:bCs/>
          <w:color w:val="auto"/>
          <w:sz w:val="24"/>
          <w:highlight w:val="none"/>
        </w:rPr>
        <w:t>1、生活</w:t>
      </w:r>
      <w:r>
        <w:rPr>
          <w:rFonts w:hint="eastAsia" w:ascii="Times New Roman" w:hAnsi="Times New Roman"/>
          <w:b/>
          <w:bCs/>
          <w:color w:val="auto"/>
          <w:sz w:val="24"/>
          <w:highlight w:val="none"/>
        </w:rPr>
        <w:t>用水</w:t>
      </w:r>
    </w:p>
    <w:p w14:paraId="134B8ECF">
      <w:pPr>
        <w:spacing w:line="360" w:lineRule="auto"/>
        <w:ind w:firstLine="560"/>
        <w:rPr>
          <w:rFonts w:hint="eastAsia" w:ascii="Times New Roman" w:hAnsi="Times New Roman"/>
          <w:color w:val="auto"/>
          <w:sz w:val="24"/>
          <w:highlight w:val="none"/>
        </w:rPr>
      </w:pPr>
      <w:r>
        <w:rPr>
          <w:rFonts w:hint="eastAsia" w:ascii="Times New Roman" w:hAnsi="Times New Roman"/>
          <w:color w:val="auto"/>
          <w:sz w:val="24"/>
          <w:highlight w:val="none"/>
        </w:rPr>
        <w:t>根据建设单位提供资料，本</w:t>
      </w:r>
      <w:r>
        <w:rPr>
          <w:rFonts w:ascii="Times New Roman" w:hAnsi="Times New Roman"/>
          <w:color w:val="auto"/>
          <w:sz w:val="24"/>
          <w:highlight w:val="none"/>
        </w:rPr>
        <w:t>项目劳动定员</w:t>
      </w:r>
      <w:r>
        <w:rPr>
          <w:rFonts w:hint="eastAsia" w:ascii="Times New Roman" w:hAnsi="Times New Roman"/>
          <w:color w:val="auto"/>
          <w:sz w:val="24"/>
          <w:highlight w:val="none"/>
          <w:lang w:val="en-US" w:eastAsia="zh-CN"/>
        </w:rPr>
        <w:t>18</w:t>
      </w:r>
      <w:r>
        <w:rPr>
          <w:rFonts w:ascii="Times New Roman" w:hAnsi="Times New Roman"/>
          <w:color w:val="auto"/>
          <w:sz w:val="24"/>
          <w:highlight w:val="none"/>
        </w:rPr>
        <w:t>人，</w:t>
      </w:r>
      <w:r>
        <w:rPr>
          <w:rFonts w:hint="eastAsia" w:ascii="Times New Roman" w:hAnsi="Times New Roman"/>
          <w:color w:val="auto"/>
          <w:sz w:val="24"/>
          <w:highlight w:val="none"/>
        </w:rPr>
        <w:t>项目设置有宿舍与食堂，根据《四川省用水定额》（川府函[</w:t>
      </w:r>
      <w:r>
        <w:rPr>
          <w:rFonts w:ascii="Times New Roman" w:hAnsi="Times New Roman"/>
          <w:color w:val="auto"/>
          <w:sz w:val="24"/>
          <w:highlight w:val="none"/>
        </w:rPr>
        <w:t>2021]8</w:t>
      </w:r>
      <w:r>
        <w:rPr>
          <w:rFonts w:hint="eastAsia" w:ascii="Times New Roman" w:hAnsi="Times New Roman"/>
          <w:color w:val="auto"/>
          <w:sz w:val="24"/>
          <w:highlight w:val="none"/>
        </w:rPr>
        <w:t>号），办公生活用水</w:t>
      </w:r>
      <w:r>
        <w:rPr>
          <w:rFonts w:ascii="Times New Roman" w:hAnsi="Times New Roman"/>
          <w:color w:val="auto"/>
          <w:kern w:val="0"/>
          <w:sz w:val="24"/>
          <w:highlight w:val="none"/>
        </w:rPr>
        <w:t>平均每人用水量按120L/d计，</w:t>
      </w:r>
      <w:r>
        <w:rPr>
          <w:rFonts w:hint="eastAsia" w:ascii="Times New Roman" w:hAnsi="Times New Roman"/>
          <w:color w:val="auto"/>
          <w:kern w:val="0"/>
          <w:sz w:val="24"/>
          <w:highlight w:val="none"/>
        </w:rPr>
        <w:t>食堂用水平均每人</w:t>
      </w:r>
      <w:r>
        <w:rPr>
          <w:rFonts w:hint="eastAsia"/>
          <w:color w:val="auto"/>
          <w:kern w:val="0"/>
          <w:sz w:val="24"/>
          <w:highlight w:val="none"/>
          <w:lang w:eastAsia="zh-CN"/>
        </w:rPr>
        <w:t>用水量</w:t>
      </w:r>
      <w:r>
        <w:rPr>
          <w:rFonts w:hint="eastAsia" w:ascii="Times New Roman" w:hAnsi="Times New Roman"/>
          <w:color w:val="auto"/>
          <w:kern w:val="0"/>
          <w:sz w:val="24"/>
          <w:highlight w:val="none"/>
        </w:rPr>
        <w:t>按4</w:t>
      </w:r>
      <w:r>
        <w:rPr>
          <w:rFonts w:ascii="Times New Roman" w:hAnsi="Times New Roman"/>
          <w:color w:val="auto"/>
          <w:kern w:val="0"/>
          <w:sz w:val="24"/>
          <w:highlight w:val="none"/>
        </w:rPr>
        <w:t>0L/d</w:t>
      </w:r>
      <w:r>
        <w:rPr>
          <w:rFonts w:hint="eastAsia" w:ascii="Times New Roman" w:hAnsi="Times New Roman"/>
          <w:color w:val="auto"/>
          <w:kern w:val="0"/>
          <w:sz w:val="24"/>
          <w:highlight w:val="none"/>
        </w:rPr>
        <w:t>计，则本项目</w:t>
      </w:r>
      <w:r>
        <w:rPr>
          <w:rFonts w:ascii="Times New Roman" w:hAnsi="Times New Roman"/>
          <w:color w:val="auto"/>
          <w:kern w:val="0"/>
          <w:sz w:val="24"/>
          <w:highlight w:val="none"/>
        </w:rPr>
        <w:t>每天</w:t>
      </w:r>
      <w:r>
        <w:rPr>
          <w:rFonts w:hint="eastAsia" w:ascii="Times New Roman" w:hAnsi="Times New Roman"/>
          <w:color w:val="auto"/>
          <w:kern w:val="0"/>
          <w:sz w:val="24"/>
          <w:highlight w:val="none"/>
          <w:lang w:val="en-US" w:eastAsia="zh-CN"/>
        </w:rPr>
        <w:t>生活</w:t>
      </w:r>
      <w:r>
        <w:rPr>
          <w:rFonts w:ascii="Times New Roman" w:hAnsi="Times New Roman"/>
          <w:color w:val="auto"/>
          <w:kern w:val="0"/>
          <w:sz w:val="24"/>
          <w:highlight w:val="none"/>
        </w:rPr>
        <w:t>用水量约为</w:t>
      </w:r>
      <w:r>
        <w:rPr>
          <w:rFonts w:hint="eastAsia" w:ascii="Times New Roman" w:hAnsi="Times New Roman"/>
          <w:color w:val="auto"/>
          <w:kern w:val="0"/>
          <w:sz w:val="24"/>
          <w:highlight w:val="none"/>
          <w:lang w:val="en-US" w:eastAsia="zh-CN"/>
        </w:rPr>
        <w:t>2.16</w:t>
      </w:r>
      <w:r>
        <w:rPr>
          <w:rFonts w:hint="eastAsia"/>
          <w:color w:val="auto"/>
          <w:kern w:val="0"/>
          <w:sz w:val="24"/>
          <w:highlight w:val="none"/>
          <w:lang w:eastAsia="zh-CN"/>
        </w:rPr>
        <w:t>m³</w:t>
      </w:r>
      <w:r>
        <w:rPr>
          <w:rFonts w:ascii="Times New Roman" w:hAnsi="Times New Roman"/>
          <w:color w:val="auto"/>
          <w:sz w:val="24"/>
          <w:highlight w:val="none"/>
        </w:rPr>
        <w:t>/d</w:t>
      </w:r>
      <w:r>
        <w:rPr>
          <w:rFonts w:hint="eastAsia" w:ascii="Times New Roman" w:hAnsi="Times New Roman"/>
          <w:color w:val="auto"/>
          <w:sz w:val="24"/>
          <w:highlight w:val="none"/>
          <w:lang w:eastAsia="zh-CN"/>
        </w:rPr>
        <w:t>（</w:t>
      </w:r>
      <w:r>
        <w:rPr>
          <w:rFonts w:hint="eastAsia" w:ascii="Times New Roman" w:hAnsi="Times New Roman"/>
          <w:color w:val="auto"/>
          <w:sz w:val="24"/>
          <w:highlight w:val="none"/>
          <w:lang w:val="en-US" w:eastAsia="zh-CN"/>
        </w:rPr>
        <w:t>788.4</w:t>
      </w:r>
      <w:r>
        <w:rPr>
          <w:rFonts w:hint="eastAsia"/>
          <w:color w:val="auto"/>
          <w:kern w:val="0"/>
          <w:sz w:val="24"/>
          <w:highlight w:val="none"/>
          <w:lang w:eastAsia="zh-CN"/>
        </w:rPr>
        <w:t>m³</w:t>
      </w:r>
      <w:r>
        <w:rPr>
          <w:rFonts w:ascii="Times New Roman" w:hAnsi="Times New Roman"/>
          <w:color w:val="auto"/>
          <w:sz w:val="24"/>
          <w:highlight w:val="none"/>
        </w:rPr>
        <w:t>/d</w:t>
      </w:r>
      <w:r>
        <w:rPr>
          <w:rFonts w:hint="eastAsia" w:ascii="Times New Roman" w:hAnsi="Times New Roman"/>
          <w:color w:val="auto"/>
          <w:sz w:val="24"/>
          <w:highlight w:val="none"/>
          <w:lang w:eastAsia="zh-CN"/>
        </w:rPr>
        <w:t>），</w:t>
      </w:r>
      <w:r>
        <w:rPr>
          <w:rFonts w:hint="eastAsia" w:ascii="Times New Roman" w:hAnsi="Times New Roman"/>
          <w:color w:val="auto"/>
          <w:sz w:val="24"/>
          <w:highlight w:val="none"/>
          <w:lang w:val="en-US" w:eastAsia="zh-CN"/>
        </w:rPr>
        <w:t>食堂用水约为</w:t>
      </w:r>
      <w:r>
        <w:rPr>
          <w:rFonts w:hint="eastAsia" w:ascii="Times New Roman" w:hAnsi="Times New Roman"/>
          <w:color w:val="auto"/>
          <w:kern w:val="0"/>
          <w:sz w:val="24"/>
          <w:highlight w:val="none"/>
          <w:lang w:val="en-US" w:eastAsia="zh-CN"/>
        </w:rPr>
        <w:t>0.72</w:t>
      </w:r>
      <w:r>
        <w:rPr>
          <w:rFonts w:hint="eastAsia"/>
          <w:color w:val="auto"/>
          <w:kern w:val="0"/>
          <w:sz w:val="24"/>
          <w:highlight w:val="none"/>
          <w:lang w:eastAsia="zh-CN"/>
        </w:rPr>
        <w:t>m³</w:t>
      </w:r>
      <w:r>
        <w:rPr>
          <w:rFonts w:ascii="Times New Roman" w:hAnsi="Times New Roman"/>
          <w:color w:val="auto"/>
          <w:sz w:val="24"/>
          <w:highlight w:val="none"/>
        </w:rPr>
        <w:t>/d</w:t>
      </w:r>
      <w:r>
        <w:rPr>
          <w:rFonts w:hint="eastAsia" w:ascii="Times New Roman" w:hAnsi="Times New Roman"/>
          <w:color w:val="auto"/>
          <w:sz w:val="24"/>
          <w:highlight w:val="none"/>
          <w:lang w:eastAsia="zh-CN"/>
        </w:rPr>
        <w:t>（</w:t>
      </w:r>
      <w:r>
        <w:rPr>
          <w:rFonts w:hint="eastAsia" w:ascii="Times New Roman" w:hAnsi="Times New Roman"/>
          <w:color w:val="auto"/>
          <w:sz w:val="24"/>
          <w:highlight w:val="none"/>
          <w:lang w:val="en-US" w:eastAsia="zh-CN"/>
        </w:rPr>
        <w:t>262.8</w:t>
      </w:r>
      <w:r>
        <w:rPr>
          <w:rFonts w:hint="eastAsia"/>
          <w:color w:val="auto"/>
          <w:kern w:val="0"/>
          <w:sz w:val="24"/>
          <w:highlight w:val="none"/>
          <w:lang w:eastAsia="zh-CN"/>
        </w:rPr>
        <w:t>m³</w:t>
      </w:r>
      <w:r>
        <w:rPr>
          <w:rFonts w:ascii="Times New Roman" w:hAnsi="Times New Roman"/>
          <w:color w:val="auto"/>
          <w:sz w:val="24"/>
          <w:highlight w:val="none"/>
        </w:rPr>
        <w:t>/d</w:t>
      </w:r>
      <w:r>
        <w:rPr>
          <w:rFonts w:hint="eastAsia" w:ascii="Times New Roman" w:hAnsi="Times New Roman"/>
          <w:color w:val="auto"/>
          <w:sz w:val="24"/>
          <w:highlight w:val="none"/>
          <w:lang w:eastAsia="zh-CN"/>
        </w:rPr>
        <w:t>）</w:t>
      </w:r>
      <w:r>
        <w:rPr>
          <w:rFonts w:ascii="Times New Roman" w:hAnsi="Times New Roman"/>
          <w:color w:val="auto"/>
          <w:kern w:val="0"/>
          <w:sz w:val="24"/>
          <w:highlight w:val="none"/>
        </w:rPr>
        <w:t>，排污系数取0</w:t>
      </w:r>
      <w:r>
        <w:rPr>
          <w:rFonts w:hint="eastAsia" w:ascii="Times New Roman" w:hAnsi="Times New Roman"/>
          <w:color w:val="auto"/>
          <w:kern w:val="0"/>
          <w:sz w:val="24"/>
          <w:highlight w:val="none"/>
          <w:lang w:val="en-US" w:eastAsia="zh-CN"/>
        </w:rPr>
        <w:t>.85</w:t>
      </w:r>
      <w:r>
        <w:rPr>
          <w:rFonts w:ascii="Times New Roman" w:hAnsi="Times New Roman"/>
          <w:color w:val="auto"/>
          <w:kern w:val="0"/>
          <w:sz w:val="24"/>
          <w:highlight w:val="none"/>
        </w:rPr>
        <w:t>，则</w:t>
      </w:r>
      <w:r>
        <w:rPr>
          <w:rFonts w:ascii="Times New Roman" w:hAnsi="Times New Roman"/>
          <w:color w:val="auto"/>
          <w:sz w:val="24"/>
          <w:highlight w:val="none"/>
        </w:rPr>
        <w:t>厂区生活污水产生量约</w:t>
      </w:r>
      <w:r>
        <w:rPr>
          <w:rFonts w:hint="eastAsia" w:ascii="Times New Roman" w:hAnsi="Times New Roman"/>
          <w:color w:val="auto"/>
          <w:sz w:val="24"/>
          <w:highlight w:val="none"/>
          <w:lang w:val="en-US" w:eastAsia="zh-CN"/>
        </w:rPr>
        <w:t>2.448</w:t>
      </w:r>
      <w:r>
        <w:rPr>
          <w:rFonts w:hint="eastAsia"/>
          <w:color w:val="auto"/>
          <w:sz w:val="24"/>
          <w:highlight w:val="none"/>
          <w:lang w:eastAsia="zh-CN"/>
        </w:rPr>
        <w:t>m³</w:t>
      </w:r>
      <w:r>
        <w:rPr>
          <w:rFonts w:ascii="Times New Roman" w:hAnsi="Times New Roman"/>
          <w:color w:val="auto"/>
          <w:sz w:val="24"/>
          <w:highlight w:val="none"/>
        </w:rPr>
        <w:t>/d，</w:t>
      </w:r>
      <w:r>
        <w:rPr>
          <w:rFonts w:hint="eastAsia" w:ascii="Times New Roman" w:hAnsi="Times New Roman"/>
          <w:color w:val="auto"/>
          <w:sz w:val="24"/>
          <w:highlight w:val="none"/>
          <w:lang w:val="en-US" w:eastAsia="zh-CN"/>
        </w:rPr>
        <w:t>893.52</w:t>
      </w:r>
      <w:r>
        <w:rPr>
          <w:rFonts w:hint="eastAsia"/>
          <w:color w:val="auto"/>
          <w:sz w:val="24"/>
          <w:highlight w:val="none"/>
          <w:lang w:eastAsia="zh-CN"/>
        </w:rPr>
        <w:t>m³</w:t>
      </w:r>
      <w:r>
        <w:rPr>
          <w:rFonts w:ascii="Times New Roman" w:hAnsi="Times New Roman"/>
          <w:color w:val="auto"/>
          <w:sz w:val="24"/>
          <w:highlight w:val="none"/>
        </w:rPr>
        <w:t>/a。</w:t>
      </w:r>
      <w:r>
        <w:rPr>
          <w:rFonts w:hint="eastAsia" w:ascii="Times New Roman" w:hAnsi="Times New Roman"/>
          <w:color w:val="auto"/>
          <w:sz w:val="24"/>
          <w:highlight w:val="none"/>
        </w:rPr>
        <w:t>食堂废水经新建隔油池处理后和生活污水一起经</w:t>
      </w:r>
      <w:r>
        <w:rPr>
          <w:rFonts w:hint="eastAsia" w:ascii="Times New Roman" w:hAnsi="Times New Roman"/>
          <w:color w:val="auto"/>
          <w:sz w:val="24"/>
          <w:highlight w:val="none"/>
          <w:lang w:val="en-US" w:eastAsia="zh-CN"/>
        </w:rPr>
        <w:t>本项目污水处理厂</w:t>
      </w:r>
      <w:r>
        <w:rPr>
          <w:rFonts w:hint="eastAsia" w:ascii="Times New Roman" w:hAnsi="Times New Roman"/>
          <w:color w:val="auto"/>
          <w:sz w:val="24"/>
          <w:highlight w:val="none"/>
        </w:rPr>
        <w:t>处理后排入</w:t>
      </w:r>
      <w:r>
        <w:rPr>
          <w:rFonts w:hint="eastAsia" w:ascii="Times New Roman" w:hAnsi="Times New Roman"/>
          <w:color w:val="auto"/>
          <w:sz w:val="24"/>
          <w:highlight w:val="none"/>
          <w:lang w:val="en-US" w:eastAsia="zh-CN"/>
        </w:rPr>
        <w:t>巴河</w:t>
      </w:r>
      <w:r>
        <w:rPr>
          <w:rFonts w:hint="eastAsia" w:ascii="Times New Roman" w:hAnsi="Times New Roman"/>
          <w:color w:val="auto"/>
          <w:sz w:val="24"/>
          <w:highlight w:val="none"/>
        </w:rPr>
        <w:t>。</w:t>
      </w:r>
    </w:p>
    <w:p w14:paraId="37BB2E1F">
      <w:pPr>
        <w:spacing w:line="360" w:lineRule="auto"/>
        <w:ind w:firstLine="560"/>
        <w:rPr>
          <w:rFonts w:hint="eastAsia" w:ascii="Times New Roman" w:hAnsi="Times New Roman" w:eastAsia="宋体"/>
          <w:b/>
          <w:bCs/>
          <w:color w:val="auto"/>
          <w:sz w:val="24"/>
          <w:highlight w:val="none"/>
          <w:lang w:eastAsia="zh-CN"/>
        </w:rPr>
      </w:pPr>
      <w:r>
        <w:rPr>
          <w:rFonts w:ascii="Times New Roman" w:hAnsi="Times New Roman"/>
          <w:b/>
          <w:bCs/>
          <w:color w:val="auto"/>
          <w:sz w:val="24"/>
          <w:highlight w:val="none"/>
        </w:rPr>
        <w:t>2、</w:t>
      </w:r>
      <w:r>
        <w:rPr>
          <w:rFonts w:hint="eastAsia" w:ascii="Times New Roman" w:hAnsi="Times New Roman"/>
          <w:b/>
          <w:bCs/>
          <w:color w:val="auto"/>
          <w:sz w:val="24"/>
          <w:highlight w:val="none"/>
        </w:rPr>
        <w:t>反</w:t>
      </w:r>
      <w:r>
        <w:rPr>
          <w:rFonts w:ascii="Times New Roman" w:hAnsi="Times New Roman"/>
          <w:b/>
          <w:bCs/>
          <w:color w:val="auto"/>
          <w:sz w:val="24"/>
          <w:highlight w:val="none"/>
        </w:rPr>
        <w:t>冲洗</w:t>
      </w:r>
      <w:r>
        <w:rPr>
          <w:rFonts w:hint="eastAsia" w:ascii="Times New Roman" w:hAnsi="Times New Roman"/>
          <w:b/>
          <w:bCs/>
          <w:color w:val="auto"/>
          <w:sz w:val="24"/>
          <w:highlight w:val="none"/>
          <w:lang w:val="en-US" w:eastAsia="zh-CN"/>
        </w:rPr>
        <w:t>废水</w:t>
      </w:r>
    </w:p>
    <w:p w14:paraId="03DAA43A">
      <w:pPr>
        <w:pageBreakBefore w:val="0"/>
        <w:wordWrap/>
        <w:bidi w:val="0"/>
        <w:adjustRightInd/>
        <w:snapToGrid/>
        <w:ind w:firstLine="480"/>
        <w:rPr>
          <w:color w:val="auto"/>
          <w:highlight w:val="none"/>
        </w:rPr>
      </w:pPr>
      <w:r>
        <w:rPr>
          <w:color w:val="auto"/>
          <w:highlight w:val="none"/>
        </w:rPr>
        <w:t>为了保证滤池的有效运行，避免泥球和泥饼的出现，要对</w:t>
      </w:r>
      <w:r>
        <w:rPr>
          <w:rFonts w:hint="eastAsia"/>
          <w:color w:val="auto"/>
          <w:highlight w:val="none"/>
          <w:lang w:eastAsia="zh-CN"/>
        </w:rPr>
        <w:t>反硝化深床滤池</w:t>
      </w:r>
      <w:r>
        <w:rPr>
          <w:color w:val="auto"/>
          <w:highlight w:val="none"/>
        </w:rPr>
        <w:t>定期进行反冲洗。反冲洗水来自项目处理后的尾水，反冲洗水量以15</w:t>
      </w:r>
      <w:r>
        <w:rPr>
          <w:rFonts w:hint="eastAsia"/>
          <w:color w:val="auto"/>
          <w:highlight w:val="none"/>
          <w:lang w:eastAsia="zh-CN"/>
        </w:rPr>
        <w:t>m³</w:t>
      </w:r>
      <w:r>
        <w:rPr>
          <w:color w:val="auto"/>
          <w:highlight w:val="none"/>
        </w:rPr>
        <w:t>/</w:t>
      </w:r>
      <w:r>
        <w:rPr>
          <w:rFonts w:hint="eastAsia"/>
          <w:color w:val="auto"/>
          <w:highlight w:val="none"/>
          <w:lang w:eastAsia="zh-CN"/>
        </w:rPr>
        <w:t>m²</w:t>
      </w:r>
      <w:r>
        <w:rPr>
          <w:color w:val="auto"/>
          <w:highlight w:val="none"/>
        </w:rPr>
        <w:t>·h计，每格滤池面积</w:t>
      </w:r>
      <w:r>
        <w:rPr>
          <w:rFonts w:hint="eastAsia"/>
          <w:color w:val="auto"/>
          <w:highlight w:val="none"/>
          <w:lang w:val="en-US" w:eastAsia="zh-CN"/>
        </w:rPr>
        <w:t>23.8</w:t>
      </w:r>
      <w:r>
        <w:rPr>
          <w:color w:val="auto"/>
          <w:highlight w:val="none"/>
        </w:rPr>
        <w:t>m</w:t>
      </w:r>
      <w:r>
        <w:rPr>
          <w:color w:val="auto"/>
          <w:highlight w:val="none"/>
          <w:vertAlign w:val="superscript"/>
        </w:rPr>
        <w:t>2</w:t>
      </w:r>
      <w:r>
        <w:rPr>
          <w:color w:val="auto"/>
          <w:highlight w:val="none"/>
        </w:rPr>
        <w:t>，共</w:t>
      </w:r>
      <w:r>
        <w:rPr>
          <w:rFonts w:hint="eastAsia"/>
          <w:color w:val="auto"/>
          <w:highlight w:val="none"/>
          <w:lang w:val="en-US" w:eastAsia="zh-CN"/>
        </w:rPr>
        <w:t>2</w:t>
      </w:r>
      <w:r>
        <w:rPr>
          <w:color w:val="auto"/>
          <w:highlight w:val="none"/>
        </w:rPr>
        <w:t>格，冲洗时间为</w:t>
      </w:r>
      <w:r>
        <w:rPr>
          <w:rFonts w:hint="eastAsia"/>
          <w:color w:val="auto"/>
          <w:highlight w:val="none"/>
          <w:lang w:val="en-US" w:eastAsia="zh-CN"/>
        </w:rPr>
        <w:t>15</w:t>
      </w:r>
      <w:r>
        <w:rPr>
          <w:color w:val="auto"/>
          <w:highlight w:val="none"/>
        </w:rPr>
        <w:t>min/格，每格依次冲洗，反冲洗周期为24h，</w:t>
      </w:r>
      <w:r>
        <w:rPr>
          <w:rFonts w:hint="eastAsia"/>
          <w:color w:val="auto"/>
          <w:highlight w:val="none"/>
          <w:lang w:val="en-US" w:eastAsia="zh-CN"/>
        </w:rPr>
        <w:t>因</w:t>
      </w:r>
      <w:r>
        <w:rPr>
          <w:color w:val="auto"/>
          <w:highlight w:val="none"/>
        </w:rPr>
        <w:t>此会产生反冲洗废水</w:t>
      </w:r>
      <w:r>
        <w:rPr>
          <w:rFonts w:hint="eastAsia"/>
          <w:color w:val="auto"/>
          <w:highlight w:val="none"/>
          <w:lang w:val="en-US" w:eastAsia="zh-CN"/>
        </w:rPr>
        <w:t>178.5</w:t>
      </w:r>
      <w:r>
        <w:rPr>
          <w:rFonts w:hint="eastAsia"/>
          <w:color w:val="auto"/>
          <w:highlight w:val="none"/>
          <w:lang w:eastAsia="zh-CN"/>
        </w:rPr>
        <w:t>m³</w:t>
      </w:r>
      <w:r>
        <w:rPr>
          <w:color w:val="auto"/>
          <w:highlight w:val="none"/>
        </w:rPr>
        <w:t>/d，</w:t>
      </w:r>
    </w:p>
    <w:p w14:paraId="6A9578BF">
      <w:pPr>
        <w:spacing w:line="360" w:lineRule="auto"/>
        <w:ind w:firstLine="560"/>
        <w:rPr>
          <w:rFonts w:hint="eastAsia" w:ascii="Times New Roman" w:hAnsi="Times New Roman" w:eastAsia="宋体"/>
          <w:b/>
          <w:color w:val="auto"/>
          <w:sz w:val="24"/>
          <w:highlight w:val="none"/>
          <w:lang w:val="en-US" w:eastAsia="zh-CN"/>
        </w:rPr>
      </w:pPr>
      <w:r>
        <w:rPr>
          <w:rFonts w:hint="eastAsia" w:ascii="Times New Roman" w:hAnsi="Times New Roman"/>
          <w:b/>
          <w:color w:val="auto"/>
          <w:sz w:val="24"/>
          <w:highlight w:val="none"/>
        </w:rPr>
        <w:t>3、污泥压缩机冲洗</w:t>
      </w:r>
      <w:r>
        <w:rPr>
          <w:rFonts w:hint="eastAsia" w:ascii="Times New Roman" w:hAnsi="Times New Roman"/>
          <w:b/>
          <w:color w:val="auto"/>
          <w:sz w:val="24"/>
          <w:highlight w:val="none"/>
          <w:lang w:val="en-US" w:eastAsia="zh-CN"/>
        </w:rPr>
        <w:t>废水</w:t>
      </w:r>
    </w:p>
    <w:p w14:paraId="1D24DBD0">
      <w:pPr>
        <w:spacing w:line="360" w:lineRule="auto"/>
        <w:ind w:firstLine="560"/>
        <w:rPr>
          <w:rFonts w:ascii="Times New Roman" w:hAnsi="Times New Roman"/>
          <w:color w:val="auto"/>
          <w:sz w:val="24"/>
          <w:highlight w:val="none"/>
        </w:rPr>
      </w:pPr>
      <w:r>
        <w:rPr>
          <w:rFonts w:hint="eastAsia" w:ascii="Times New Roman" w:hAnsi="Times New Roman"/>
          <w:bCs/>
          <w:color w:val="auto"/>
          <w:sz w:val="24"/>
          <w:highlight w:val="none"/>
        </w:rPr>
        <w:t>本项目设置有</w:t>
      </w:r>
      <w:r>
        <w:rPr>
          <w:rFonts w:hint="eastAsia" w:ascii="Times New Roman" w:hAnsi="Times New Roman"/>
          <w:color w:val="auto"/>
          <w:sz w:val="24"/>
          <w:highlight w:val="none"/>
          <w:lang w:eastAsia="zh-CN"/>
        </w:rPr>
        <w:t>转鼓浓缩机</w:t>
      </w:r>
      <w:r>
        <w:rPr>
          <w:rFonts w:hint="eastAsia" w:ascii="Times New Roman" w:hAnsi="Times New Roman"/>
          <w:color w:val="auto"/>
          <w:sz w:val="24"/>
          <w:highlight w:val="none"/>
        </w:rPr>
        <w:t>以及隔膜式板框压滤机进行污泥脱水，需进行冲洗，根据业主提供数据，每天冲洗用水约</w:t>
      </w:r>
      <w:r>
        <w:rPr>
          <w:rFonts w:hint="eastAsia" w:ascii="Times New Roman" w:hAnsi="Times New Roman"/>
          <w:color w:val="auto"/>
          <w:sz w:val="24"/>
          <w:highlight w:val="none"/>
          <w:lang w:val="en-US" w:eastAsia="zh-CN"/>
        </w:rPr>
        <w:t>6</w:t>
      </w:r>
      <w:r>
        <w:rPr>
          <w:rFonts w:hint="eastAsia" w:ascii="Times New Roman" w:hAnsi="Times New Roman"/>
          <w:color w:val="auto"/>
          <w:sz w:val="24"/>
          <w:highlight w:val="none"/>
          <w:lang w:eastAsia="zh-CN"/>
        </w:rPr>
        <w:t>m³</w:t>
      </w:r>
      <w:r>
        <w:rPr>
          <w:rFonts w:ascii="Times New Roman" w:hAnsi="Times New Roman"/>
          <w:color w:val="auto"/>
          <w:sz w:val="24"/>
          <w:highlight w:val="none"/>
        </w:rPr>
        <w:t>/d</w:t>
      </w:r>
      <w:r>
        <w:rPr>
          <w:rFonts w:hint="eastAsia" w:ascii="Times New Roman" w:hAnsi="Times New Roman"/>
          <w:color w:val="auto"/>
          <w:sz w:val="24"/>
          <w:highlight w:val="none"/>
        </w:rPr>
        <w:t>，废水产生量按0</w:t>
      </w:r>
      <w:r>
        <w:rPr>
          <w:rFonts w:ascii="Times New Roman" w:hAnsi="Times New Roman"/>
          <w:color w:val="auto"/>
          <w:sz w:val="24"/>
          <w:highlight w:val="none"/>
        </w:rPr>
        <w:t>.8</w:t>
      </w:r>
      <w:r>
        <w:rPr>
          <w:rFonts w:hint="eastAsia" w:ascii="Times New Roman" w:hAnsi="Times New Roman"/>
          <w:color w:val="auto"/>
          <w:sz w:val="24"/>
          <w:highlight w:val="none"/>
          <w:lang w:val="en-US" w:eastAsia="zh-CN"/>
        </w:rPr>
        <w:t>5</w:t>
      </w:r>
      <w:r>
        <w:rPr>
          <w:rFonts w:hint="eastAsia" w:ascii="Times New Roman" w:hAnsi="Times New Roman"/>
          <w:color w:val="auto"/>
          <w:sz w:val="24"/>
          <w:highlight w:val="none"/>
        </w:rPr>
        <w:t>计，则废水产生量约为</w:t>
      </w:r>
      <w:r>
        <w:rPr>
          <w:rFonts w:hint="eastAsia" w:ascii="Times New Roman" w:hAnsi="Times New Roman"/>
          <w:color w:val="auto"/>
          <w:sz w:val="24"/>
          <w:highlight w:val="none"/>
          <w:lang w:val="en-US" w:eastAsia="zh-CN"/>
        </w:rPr>
        <w:t>5.1</w:t>
      </w:r>
      <w:r>
        <w:rPr>
          <w:rFonts w:hint="eastAsia" w:ascii="Times New Roman" w:hAnsi="Times New Roman"/>
          <w:color w:val="auto"/>
          <w:sz w:val="24"/>
          <w:highlight w:val="none"/>
          <w:lang w:eastAsia="zh-CN"/>
        </w:rPr>
        <w:t>m³</w:t>
      </w:r>
      <w:r>
        <w:rPr>
          <w:rFonts w:ascii="Times New Roman" w:hAnsi="Times New Roman"/>
          <w:color w:val="auto"/>
          <w:sz w:val="24"/>
          <w:highlight w:val="none"/>
        </w:rPr>
        <w:t>/d</w:t>
      </w:r>
      <w:r>
        <w:rPr>
          <w:rFonts w:hint="eastAsia" w:ascii="Times New Roman" w:hAnsi="Times New Roman"/>
          <w:color w:val="auto"/>
          <w:sz w:val="24"/>
          <w:highlight w:val="none"/>
        </w:rPr>
        <w:t>，产生废水经收集后汇入</w:t>
      </w:r>
      <w:r>
        <w:rPr>
          <w:rFonts w:hint="eastAsia" w:ascii="Times New Roman" w:hAnsi="Times New Roman"/>
          <w:color w:val="auto"/>
          <w:sz w:val="24"/>
          <w:highlight w:val="none"/>
          <w:lang w:val="en-US" w:eastAsia="zh-CN"/>
        </w:rPr>
        <w:t>本</w:t>
      </w:r>
      <w:r>
        <w:rPr>
          <w:rFonts w:hint="eastAsia" w:ascii="Times New Roman" w:hAnsi="Times New Roman"/>
          <w:color w:val="auto"/>
          <w:sz w:val="24"/>
          <w:highlight w:val="none"/>
        </w:rPr>
        <w:t>污水处理厂</w:t>
      </w:r>
      <w:r>
        <w:rPr>
          <w:rFonts w:hint="eastAsia" w:ascii="Times New Roman" w:hAnsi="Times New Roman"/>
          <w:color w:val="auto"/>
          <w:sz w:val="24"/>
          <w:highlight w:val="none"/>
          <w:lang w:val="en-US" w:eastAsia="zh-CN"/>
        </w:rPr>
        <w:t>进行处理</w:t>
      </w:r>
      <w:r>
        <w:rPr>
          <w:rFonts w:hint="eastAsia" w:ascii="Times New Roman" w:hAnsi="Times New Roman"/>
          <w:color w:val="auto"/>
          <w:sz w:val="24"/>
          <w:highlight w:val="none"/>
        </w:rPr>
        <w:t>。</w:t>
      </w:r>
    </w:p>
    <w:p w14:paraId="575AF6F4">
      <w:pPr>
        <w:spacing w:line="360" w:lineRule="auto"/>
        <w:ind w:firstLine="560"/>
        <w:rPr>
          <w:rFonts w:hint="default" w:ascii="Times New Roman" w:hAnsi="Times New Roman" w:eastAsia="宋体"/>
          <w:b/>
          <w:bCs/>
          <w:color w:val="auto"/>
          <w:sz w:val="24"/>
          <w:highlight w:val="none"/>
          <w:lang w:val="en-US" w:eastAsia="zh-CN"/>
        </w:rPr>
      </w:pPr>
      <w:r>
        <w:rPr>
          <w:rFonts w:hint="eastAsia" w:ascii="Times New Roman" w:hAnsi="Times New Roman"/>
          <w:b/>
          <w:bCs/>
          <w:color w:val="auto"/>
          <w:sz w:val="24"/>
          <w:highlight w:val="none"/>
          <w:lang w:val="en-US" w:eastAsia="zh-CN"/>
        </w:rPr>
        <w:t>4</w:t>
      </w:r>
      <w:r>
        <w:rPr>
          <w:rFonts w:ascii="Times New Roman" w:hAnsi="Times New Roman"/>
          <w:b/>
          <w:bCs/>
          <w:color w:val="auto"/>
          <w:sz w:val="24"/>
          <w:highlight w:val="none"/>
        </w:rPr>
        <w:t>、污泥</w:t>
      </w:r>
      <w:r>
        <w:rPr>
          <w:rFonts w:hint="eastAsia" w:ascii="Times New Roman" w:hAnsi="Times New Roman"/>
          <w:b/>
          <w:bCs/>
          <w:color w:val="auto"/>
          <w:sz w:val="24"/>
          <w:highlight w:val="none"/>
          <w:lang w:val="en-US" w:eastAsia="zh-CN"/>
        </w:rPr>
        <w:t>脱水滤液</w:t>
      </w:r>
    </w:p>
    <w:p w14:paraId="640795CB">
      <w:pPr>
        <w:spacing w:line="360" w:lineRule="auto"/>
        <w:ind w:firstLine="480" w:firstLineChars="200"/>
        <w:rPr>
          <w:rFonts w:ascii="Times New Roman" w:hAnsi="Times New Roman"/>
          <w:bCs/>
          <w:color w:val="auto"/>
          <w:sz w:val="24"/>
          <w:highlight w:val="none"/>
        </w:rPr>
      </w:pPr>
      <w:r>
        <w:rPr>
          <w:rFonts w:ascii="Times New Roman" w:hAnsi="Times New Roman"/>
          <w:bCs/>
          <w:color w:val="auto"/>
          <w:sz w:val="24"/>
          <w:highlight w:val="none"/>
        </w:rPr>
        <w:t>本项目</w:t>
      </w:r>
      <w:r>
        <w:rPr>
          <w:rFonts w:hint="eastAsia" w:ascii="Times New Roman" w:hAnsi="Times New Roman"/>
          <w:bCs/>
          <w:color w:val="auto"/>
          <w:sz w:val="24"/>
          <w:highlight w:val="none"/>
        </w:rPr>
        <w:t>废水处理工序中会产生污泥，含水率约为9</w:t>
      </w:r>
      <w:r>
        <w:rPr>
          <w:rFonts w:ascii="Times New Roman" w:hAnsi="Times New Roman"/>
          <w:bCs/>
          <w:color w:val="auto"/>
          <w:sz w:val="24"/>
          <w:highlight w:val="none"/>
        </w:rPr>
        <w:t>9%</w:t>
      </w:r>
      <w:r>
        <w:rPr>
          <w:rFonts w:hint="eastAsia" w:ascii="Times New Roman" w:hAnsi="Times New Roman"/>
          <w:bCs/>
          <w:color w:val="auto"/>
          <w:sz w:val="24"/>
          <w:highlight w:val="none"/>
        </w:rPr>
        <w:t>，</w:t>
      </w:r>
      <w:r>
        <w:rPr>
          <w:rFonts w:ascii="Times New Roman" w:hAnsi="Times New Roman"/>
          <w:bCs/>
          <w:color w:val="auto"/>
          <w:sz w:val="24"/>
          <w:highlight w:val="none"/>
        </w:rPr>
        <w:t>产生的污泥经压缩脱水后定期外运填埋，此过程中会产生污泥脱水废水，污泥脱水前含水率为99%，脱水后污泥含水率为60%计，根据污泥产生量计算污泥</w:t>
      </w:r>
      <w:r>
        <w:rPr>
          <w:rFonts w:hint="eastAsia" w:ascii="Times New Roman" w:hAnsi="Times New Roman"/>
          <w:bCs/>
          <w:color w:val="auto"/>
          <w:sz w:val="24"/>
          <w:highlight w:val="none"/>
          <w:lang w:val="en-US" w:eastAsia="zh-CN"/>
        </w:rPr>
        <w:t>含水</w:t>
      </w:r>
      <w:r>
        <w:rPr>
          <w:rFonts w:hint="eastAsia" w:ascii="Times New Roman" w:hAnsi="Times New Roman"/>
          <w:bCs/>
          <w:color w:val="auto"/>
          <w:sz w:val="24"/>
          <w:highlight w:val="none"/>
        </w:rPr>
        <w:t>量约为</w:t>
      </w:r>
      <w:r>
        <w:rPr>
          <w:rFonts w:hint="eastAsia" w:ascii="Times New Roman" w:hAnsi="Times New Roman"/>
          <w:bCs/>
          <w:color w:val="auto"/>
          <w:sz w:val="24"/>
          <w:highlight w:val="none"/>
          <w:lang w:val="en-US" w:eastAsia="zh-CN"/>
        </w:rPr>
        <w:t>152.7</w:t>
      </w:r>
      <w:r>
        <w:rPr>
          <w:rFonts w:ascii="Times New Roman" w:hAnsi="Times New Roman"/>
          <w:bCs/>
          <w:color w:val="auto"/>
          <w:sz w:val="24"/>
          <w:highlight w:val="none"/>
        </w:rPr>
        <w:t>t/d</w:t>
      </w:r>
      <w:r>
        <w:rPr>
          <w:rFonts w:hint="eastAsia" w:ascii="Times New Roman" w:hAnsi="Times New Roman"/>
          <w:bCs/>
          <w:color w:val="auto"/>
          <w:sz w:val="24"/>
          <w:highlight w:val="none"/>
        </w:rPr>
        <w:t>，</w:t>
      </w:r>
      <w:r>
        <w:rPr>
          <w:rFonts w:ascii="Times New Roman" w:hAnsi="Times New Roman"/>
          <w:bCs/>
          <w:color w:val="auto"/>
          <w:sz w:val="24"/>
          <w:highlight w:val="none"/>
        </w:rPr>
        <w:t>脱水废水量约</w:t>
      </w:r>
      <w:r>
        <w:rPr>
          <w:rFonts w:hint="eastAsia" w:ascii="Times New Roman" w:hAnsi="Times New Roman"/>
          <w:bCs/>
          <w:color w:val="auto"/>
          <w:sz w:val="24"/>
          <w:highlight w:val="none"/>
          <w:lang w:val="en-US" w:eastAsia="zh-CN"/>
        </w:rPr>
        <w:t>101.8</w:t>
      </w:r>
      <w:r>
        <w:rPr>
          <w:rFonts w:hint="eastAsia" w:ascii="Times New Roman" w:hAnsi="Times New Roman"/>
          <w:bCs/>
          <w:color w:val="auto"/>
          <w:sz w:val="24"/>
          <w:highlight w:val="none"/>
          <w:lang w:eastAsia="zh-CN"/>
        </w:rPr>
        <w:t>m³</w:t>
      </w:r>
      <w:r>
        <w:rPr>
          <w:rFonts w:ascii="Times New Roman" w:hAnsi="Times New Roman"/>
          <w:bCs/>
          <w:color w:val="auto"/>
          <w:sz w:val="24"/>
          <w:highlight w:val="none"/>
        </w:rPr>
        <w:t>/d</w:t>
      </w:r>
      <w:r>
        <w:rPr>
          <w:rFonts w:hint="eastAsia" w:ascii="Times New Roman" w:hAnsi="Times New Roman"/>
          <w:bCs/>
          <w:color w:val="auto"/>
          <w:sz w:val="24"/>
          <w:highlight w:val="none"/>
        </w:rPr>
        <w:t>，</w:t>
      </w:r>
      <w:r>
        <w:rPr>
          <w:rFonts w:ascii="Times New Roman" w:hAnsi="Times New Roman"/>
          <w:bCs/>
          <w:color w:val="auto"/>
          <w:sz w:val="24"/>
          <w:highlight w:val="none"/>
        </w:rPr>
        <w:t>污泥脱水废水返回格栅进入污水处理厂处理。</w:t>
      </w:r>
    </w:p>
    <w:p w14:paraId="26D26347">
      <w:pPr>
        <w:bidi w:val="0"/>
        <w:rPr>
          <w:rFonts w:hint="eastAsia" w:eastAsia="宋体"/>
          <w:b/>
          <w:bCs/>
          <w:color w:val="auto"/>
          <w:lang w:eastAsia="zh-CN"/>
        </w:rPr>
      </w:pPr>
      <w:r>
        <w:rPr>
          <w:rFonts w:hint="eastAsia"/>
          <w:b/>
          <w:bCs/>
          <w:color w:val="auto"/>
          <w:lang w:val="en-US" w:eastAsia="zh-CN"/>
        </w:rPr>
        <w:t>5</w:t>
      </w:r>
      <w:r>
        <w:rPr>
          <w:rFonts w:hint="eastAsia"/>
          <w:b/>
          <w:bCs/>
          <w:color w:val="auto"/>
        </w:rPr>
        <w:t>、生物除臭</w:t>
      </w:r>
      <w:r>
        <w:rPr>
          <w:rFonts w:hint="eastAsia"/>
          <w:b/>
          <w:bCs/>
          <w:color w:val="auto"/>
          <w:lang w:val="en-US" w:eastAsia="zh-CN"/>
        </w:rPr>
        <w:t>废水</w:t>
      </w:r>
    </w:p>
    <w:p w14:paraId="3D80CCE9">
      <w:pPr>
        <w:bidi w:val="0"/>
        <w:rPr>
          <w:color w:val="auto"/>
        </w:rPr>
      </w:pPr>
      <w:r>
        <w:rPr>
          <w:rFonts w:hint="eastAsia"/>
          <w:color w:val="auto"/>
        </w:rPr>
        <w:t>本项目</w:t>
      </w:r>
      <w:r>
        <w:rPr>
          <w:rFonts w:hint="eastAsia"/>
          <w:color w:val="auto"/>
          <w:lang w:val="en-US" w:eastAsia="zh-CN"/>
        </w:rPr>
        <w:t>设置生物滤池除臭</w:t>
      </w:r>
      <w:r>
        <w:rPr>
          <w:rFonts w:hint="eastAsia"/>
          <w:color w:val="auto"/>
        </w:rPr>
        <w:t>，</w:t>
      </w:r>
      <w:r>
        <w:rPr>
          <w:color w:val="auto"/>
        </w:rPr>
        <w:t>除臭系统会定期产生含有活性菌种的废弃滤液，</w:t>
      </w:r>
      <w:r>
        <w:rPr>
          <w:rFonts w:hint="eastAsia"/>
          <w:color w:val="auto"/>
          <w:lang w:val="en-US" w:eastAsia="zh-CN"/>
        </w:rPr>
        <w:t>根据建设单位提供资料，本项目生物滤池除臭系统内设置两个循环水箱，</w:t>
      </w:r>
      <w:r>
        <w:rPr>
          <w:rFonts w:hint="eastAsia"/>
          <w:color w:val="auto"/>
        </w:rPr>
        <w:t>用水量约为1</w:t>
      </w:r>
      <w:r>
        <w:rPr>
          <w:rFonts w:hint="eastAsia"/>
          <w:color w:val="auto"/>
          <w:lang w:val="en-US" w:eastAsia="zh-CN"/>
        </w:rPr>
        <w:t>.5</w:t>
      </w:r>
      <w:r>
        <w:rPr>
          <w:rFonts w:hint="eastAsia"/>
          <w:color w:val="auto"/>
          <w:lang w:eastAsia="zh-CN"/>
        </w:rPr>
        <w:t>m³</w:t>
      </w:r>
      <w:r>
        <w:rPr>
          <w:rFonts w:hint="eastAsia"/>
          <w:color w:val="auto"/>
        </w:rPr>
        <w:t>，水循环使用，每天补充用水为0</w:t>
      </w:r>
      <w:r>
        <w:rPr>
          <w:color w:val="auto"/>
        </w:rPr>
        <w:t>.</w:t>
      </w:r>
      <w:r>
        <w:rPr>
          <w:rFonts w:hint="eastAsia"/>
          <w:color w:val="auto"/>
          <w:lang w:val="en-US" w:eastAsia="zh-CN"/>
        </w:rPr>
        <w:t>1</w:t>
      </w:r>
      <w:r>
        <w:rPr>
          <w:rFonts w:hint="eastAsia"/>
          <w:color w:val="auto"/>
          <w:lang w:eastAsia="zh-CN"/>
        </w:rPr>
        <w:t>m³</w:t>
      </w:r>
      <w:r>
        <w:rPr>
          <w:color w:val="auto"/>
        </w:rPr>
        <w:t>/d</w:t>
      </w:r>
      <w:r>
        <w:rPr>
          <w:rFonts w:hint="eastAsia"/>
          <w:color w:val="auto"/>
        </w:rPr>
        <w:t>，</w:t>
      </w:r>
      <w:r>
        <w:rPr>
          <w:color w:val="auto"/>
        </w:rPr>
        <w:t>滤池的滤液更换频率为每月1次，每次废液产量为</w:t>
      </w:r>
      <w:r>
        <w:rPr>
          <w:rFonts w:hint="eastAsia"/>
          <w:color w:val="auto"/>
          <w:lang w:val="en-US" w:eastAsia="zh-CN"/>
        </w:rPr>
        <w:t>1.5</w:t>
      </w:r>
      <w:r>
        <w:rPr>
          <w:rFonts w:hint="eastAsia"/>
          <w:color w:val="auto"/>
          <w:lang w:eastAsia="zh-CN"/>
        </w:rPr>
        <w:t>m³，</w:t>
      </w:r>
      <w:r>
        <w:rPr>
          <w:rFonts w:hint="eastAsia"/>
          <w:color w:val="auto"/>
          <w:lang w:val="en-US" w:eastAsia="zh-CN"/>
        </w:rPr>
        <w:t>通</w:t>
      </w:r>
      <w:r>
        <w:rPr>
          <w:color w:val="auto"/>
        </w:rPr>
        <w:t>过管道排入本污水处理厂处理。</w:t>
      </w:r>
    </w:p>
    <w:p w14:paraId="23198C63">
      <w:pPr>
        <w:pageBreakBefore w:val="0"/>
        <w:wordWrap/>
        <w:bidi w:val="0"/>
        <w:adjustRightInd/>
        <w:snapToGrid/>
        <w:ind w:firstLine="480"/>
        <w:rPr>
          <w:rFonts w:hint="eastAsia" w:eastAsia="宋体"/>
          <w:b/>
          <w:bCs/>
          <w:color w:val="auto"/>
          <w:lang w:val="en-US" w:eastAsia="zh-CN"/>
        </w:rPr>
      </w:pPr>
      <w:r>
        <w:rPr>
          <w:rFonts w:hint="eastAsia"/>
          <w:b/>
          <w:bCs/>
          <w:color w:val="auto"/>
          <w:lang w:val="en-US" w:eastAsia="zh-CN"/>
        </w:rPr>
        <w:t>6、</w:t>
      </w:r>
      <w:r>
        <w:rPr>
          <w:b/>
          <w:bCs/>
          <w:color w:val="auto"/>
        </w:rPr>
        <w:t>化验室废水</w:t>
      </w:r>
    </w:p>
    <w:p w14:paraId="41B800EB">
      <w:pPr>
        <w:bidi w:val="0"/>
        <w:rPr>
          <w:color w:val="auto"/>
        </w:rPr>
      </w:pPr>
      <w:r>
        <w:rPr>
          <w:color w:val="auto"/>
        </w:rPr>
        <w:t>设置1间化验室，用于对进水水质的分析。进水水质化验采取水样后在化验室内进行化验，化验废水及试剂瓶的前三次的清洗废液（HW49）作为危险废物交由有资质单位进行处理，其余不作为危废处理的清洁废水由化验室管道引至污水处理厂进水管中，纳入污水处理厂处理。通过类比调查统计，污水处理厂化验室废液总量0.3t/a，清洗废水约0.015</w:t>
      </w:r>
      <w:r>
        <w:rPr>
          <w:rFonts w:hint="eastAsia"/>
          <w:color w:val="auto"/>
          <w:lang w:eastAsia="zh-CN"/>
        </w:rPr>
        <w:t>m³</w:t>
      </w:r>
      <w:r>
        <w:rPr>
          <w:color w:val="auto"/>
        </w:rPr>
        <w:t>/d。</w:t>
      </w:r>
    </w:p>
    <w:p w14:paraId="7E59C1F5">
      <w:pPr>
        <w:bidi w:val="0"/>
        <w:rPr>
          <w:b/>
          <w:bCs/>
          <w:color w:val="auto"/>
        </w:rPr>
      </w:pPr>
      <w:r>
        <w:rPr>
          <w:rFonts w:hint="eastAsia"/>
          <w:b/>
          <w:bCs/>
          <w:color w:val="auto"/>
          <w:lang w:val="en-US" w:eastAsia="zh-CN"/>
        </w:rPr>
        <w:t>7</w:t>
      </w:r>
      <w:r>
        <w:rPr>
          <w:b/>
          <w:bCs/>
          <w:color w:val="auto"/>
        </w:rPr>
        <w:t>、污水处理厂</w:t>
      </w:r>
      <w:r>
        <w:rPr>
          <w:rFonts w:hint="eastAsia"/>
          <w:b/>
          <w:bCs/>
          <w:color w:val="auto"/>
        </w:rPr>
        <w:t>接纳</w:t>
      </w:r>
      <w:r>
        <w:rPr>
          <w:b/>
          <w:bCs/>
          <w:color w:val="auto"/>
        </w:rPr>
        <w:t>废水</w:t>
      </w:r>
    </w:p>
    <w:p w14:paraId="10604BDD">
      <w:pPr>
        <w:bidi w:val="0"/>
        <w:rPr>
          <w:color w:val="auto"/>
        </w:rPr>
      </w:pPr>
      <w:r>
        <w:rPr>
          <w:color w:val="auto"/>
        </w:rPr>
        <w:t>本项目污水处理规模为</w:t>
      </w:r>
      <w:r>
        <w:rPr>
          <w:rFonts w:hint="eastAsia"/>
          <w:color w:val="auto"/>
          <w:lang w:val="en-US" w:eastAsia="zh-CN"/>
        </w:rPr>
        <w:t>0.3</w:t>
      </w:r>
      <w:r>
        <w:rPr>
          <w:color w:val="auto"/>
        </w:rPr>
        <w:t>万</w:t>
      </w:r>
      <w:r>
        <w:rPr>
          <w:rFonts w:hint="eastAsia"/>
          <w:color w:val="auto"/>
          <w:lang w:eastAsia="zh-CN"/>
        </w:rPr>
        <w:t>m³</w:t>
      </w:r>
      <w:r>
        <w:rPr>
          <w:color w:val="auto"/>
        </w:rPr>
        <w:t>/d，污水接纳量为</w:t>
      </w:r>
      <w:r>
        <w:rPr>
          <w:rFonts w:hint="eastAsia"/>
          <w:color w:val="auto"/>
          <w:lang w:val="en-US" w:eastAsia="zh-CN"/>
        </w:rPr>
        <w:t>0.3</w:t>
      </w:r>
      <w:r>
        <w:rPr>
          <w:color w:val="auto"/>
        </w:rPr>
        <w:t>万</w:t>
      </w:r>
      <w:r>
        <w:rPr>
          <w:rFonts w:hint="eastAsia"/>
          <w:color w:val="auto"/>
          <w:lang w:eastAsia="zh-CN"/>
        </w:rPr>
        <w:t>m³</w:t>
      </w:r>
      <w:r>
        <w:rPr>
          <w:color w:val="auto"/>
        </w:rPr>
        <w:t>/d，剩余废水由尾水排放管道引至</w:t>
      </w:r>
      <w:r>
        <w:rPr>
          <w:rFonts w:hint="eastAsia"/>
          <w:color w:val="auto"/>
          <w:lang w:val="en-US" w:eastAsia="zh-CN"/>
        </w:rPr>
        <w:t>巴河</w:t>
      </w:r>
      <w:r>
        <w:rPr>
          <w:color w:val="auto"/>
        </w:rPr>
        <w:t>进行排放。</w:t>
      </w:r>
    </w:p>
    <w:p w14:paraId="3E891EA8">
      <w:pPr>
        <w:bidi w:val="0"/>
        <w:rPr>
          <w:color w:val="auto"/>
        </w:rPr>
      </w:pPr>
      <w:r>
        <w:rPr>
          <w:rFonts w:hint="eastAsia"/>
          <w:color w:val="auto"/>
        </w:rPr>
        <w:t>综上，本项目产生的生产性废水和生活污水可直接进入污水处理厂的污水处理系统</w:t>
      </w:r>
      <w:r>
        <w:rPr>
          <w:rFonts w:hint="eastAsia"/>
          <w:color w:val="auto"/>
          <w:lang w:val="en-US" w:eastAsia="zh-CN"/>
        </w:rPr>
        <w:t>达到</w:t>
      </w:r>
      <w:r>
        <w:rPr>
          <w:rFonts w:hint="eastAsia"/>
          <w:color w:val="auto"/>
        </w:rPr>
        <w:t>《城镇污水处理厂污染物排放标准》（GB18918-2002）一级A标准</w:t>
      </w:r>
      <w:r>
        <w:rPr>
          <w:rFonts w:hint="eastAsia"/>
          <w:color w:val="auto"/>
          <w:lang w:val="en-US" w:eastAsia="zh-CN"/>
        </w:rPr>
        <w:t>后</w:t>
      </w:r>
      <w:r>
        <w:rPr>
          <w:rFonts w:hint="eastAsia"/>
          <w:color w:val="auto"/>
          <w:lang w:eastAsia="zh-CN"/>
        </w:rPr>
        <w:t>，</w:t>
      </w:r>
      <w:r>
        <w:rPr>
          <w:color w:val="auto"/>
        </w:rPr>
        <w:t>排入</w:t>
      </w:r>
      <w:r>
        <w:rPr>
          <w:rFonts w:hint="eastAsia"/>
          <w:color w:val="auto"/>
          <w:lang w:eastAsia="zh-CN"/>
        </w:rPr>
        <w:t>巴河</w:t>
      </w:r>
      <w:r>
        <w:rPr>
          <w:color w:val="auto"/>
        </w:rPr>
        <w:t>。</w:t>
      </w:r>
    </w:p>
    <w:p w14:paraId="79509D22">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营运期废气产生及治理措施</w:t>
      </w:r>
    </w:p>
    <w:p w14:paraId="5544765A">
      <w:pPr>
        <w:pageBreakBefore w:val="0"/>
        <w:wordWrap/>
        <w:bidi w:val="0"/>
        <w:adjustRightInd/>
        <w:snapToGrid/>
        <w:ind w:firstLine="480"/>
        <w:rPr>
          <w:color w:val="auto"/>
        </w:rPr>
      </w:pPr>
      <w:r>
        <w:rPr>
          <w:color w:val="auto"/>
        </w:rPr>
        <w:t>本项目营运期废气主要为生产废气（污水及污泥处理过程中的恶臭气体）和生活废气（食堂油烟）。</w:t>
      </w:r>
    </w:p>
    <w:p w14:paraId="0BDE9AB1">
      <w:pPr>
        <w:bidi w:val="0"/>
        <w:rPr>
          <w:b/>
          <w:bCs/>
          <w:color w:val="auto"/>
        </w:rPr>
      </w:pPr>
      <w:r>
        <w:rPr>
          <w:rFonts w:hint="eastAsia"/>
          <w:b/>
          <w:bCs/>
          <w:color w:val="auto"/>
          <w:lang w:val="en-US" w:eastAsia="zh-CN"/>
        </w:rPr>
        <w:t>1、</w:t>
      </w:r>
      <w:r>
        <w:rPr>
          <w:b/>
          <w:bCs/>
          <w:color w:val="auto"/>
        </w:rPr>
        <w:t>生产废气</w:t>
      </w:r>
    </w:p>
    <w:p w14:paraId="48C41B5F">
      <w:pPr>
        <w:pageBreakBefore w:val="0"/>
        <w:wordWrap/>
        <w:bidi w:val="0"/>
        <w:adjustRightInd/>
        <w:snapToGrid/>
        <w:ind w:firstLine="480"/>
        <w:rPr>
          <w:color w:val="auto"/>
        </w:rPr>
      </w:pPr>
      <w:r>
        <w:rPr>
          <w:color w:val="auto"/>
        </w:rPr>
        <w:t>污水中含有大量的有机物和无机物，这些物质在微生物的降解作用时会产生恶臭，根据</w:t>
      </w:r>
      <w:r>
        <w:rPr>
          <w:rFonts w:hint="eastAsia"/>
          <w:color w:val="auto"/>
          <w:lang w:eastAsia="zh-CN"/>
        </w:rPr>
        <w:t>其他</w:t>
      </w:r>
      <w:r>
        <w:rPr>
          <w:color w:val="auto"/>
        </w:rPr>
        <w:t>采用类似工艺的污水厂分析，确定恶臭的位置主要为污水预处理部分（包括主工艺系统</w:t>
      </w:r>
      <w:r>
        <w:rPr>
          <w:rFonts w:hint="eastAsia"/>
          <w:color w:val="auto"/>
          <w:lang w:val="en-US" w:eastAsia="zh-CN"/>
        </w:rPr>
        <w:t>超细格栅、调节池、水解酸化池</w:t>
      </w:r>
      <w:r>
        <w:rPr>
          <w:color w:val="auto"/>
        </w:rPr>
        <w:t>等预处理单元）、生化池</w:t>
      </w:r>
      <w:r>
        <w:rPr>
          <w:rFonts w:hint="eastAsia"/>
          <w:color w:val="auto"/>
          <w:lang w:eastAsia="zh-CN"/>
        </w:rPr>
        <w:t>、</w:t>
      </w:r>
      <w:r>
        <w:rPr>
          <w:rFonts w:hint="eastAsia"/>
          <w:color w:val="auto"/>
          <w:lang w:val="en-US" w:eastAsia="zh-CN"/>
        </w:rPr>
        <w:t>反硝化深床滤池</w:t>
      </w:r>
      <w:r>
        <w:rPr>
          <w:color w:val="auto"/>
        </w:rPr>
        <w:t>以及污泥处理部分（</w:t>
      </w:r>
      <w:r>
        <w:rPr>
          <w:rFonts w:hint="eastAsia"/>
          <w:color w:val="auto"/>
          <w:lang w:val="en-US" w:eastAsia="zh-CN"/>
        </w:rPr>
        <w:t>沉淀池、污泥池、污泥</w:t>
      </w:r>
      <w:r>
        <w:rPr>
          <w:color w:val="auto"/>
        </w:rPr>
        <w:t>脱水间等）单元，其</w:t>
      </w:r>
      <w:r>
        <w:rPr>
          <w:rFonts w:hint="eastAsia"/>
          <w:color w:val="auto"/>
          <w:lang w:eastAsia="zh-CN"/>
        </w:rPr>
        <w:t>成分</w:t>
      </w:r>
      <w:r>
        <w:rPr>
          <w:color w:val="auto"/>
        </w:rPr>
        <w:t>主要是生化分解和反应过程中产生的氨、硫化氢、甲烷、硫醇、硫醚等混合物，产污单位相对集中，为降低臭气对周围环境的影响，要求建设单位对主要恶臭源进行密闭、加盖等收集后送生物除臭系统进行集中处置，少量未被收集部分属无组织排放源，其产量受水温、pH值、构筑物设计参数等多种因素的影响。</w:t>
      </w:r>
    </w:p>
    <w:p w14:paraId="37825E64">
      <w:pPr>
        <w:pageBreakBefore w:val="0"/>
        <w:wordWrap/>
        <w:bidi w:val="0"/>
        <w:adjustRightInd/>
        <w:snapToGrid/>
        <w:ind w:firstLine="482"/>
        <w:rPr>
          <w:rFonts w:hint="default" w:eastAsia="宋体"/>
          <w:b/>
          <w:color w:val="auto"/>
          <w:lang w:val="en-US" w:eastAsia="zh-CN"/>
        </w:rPr>
      </w:pPr>
      <w:r>
        <w:rPr>
          <w:b/>
          <w:color w:val="auto"/>
        </w:rPr>
        <w:t>（1）</w:t>
      </w:r>
      <w:r>
        <w:rPr>
          <w:rFonts w:hint="eastAsia"/>
          <w:b/>
          <w:color w:val="auto"/>
          <w:lang w:val="en-US" w:eastAsia="zh-CN"/>
        </w:rPr>
        <w:t>产生源强</w:t>
      </w:r>
    </w:p>
    <w:p w14:paraId="3E5ABE0B">
      <w:pPr>
        <w:pageBreakBefore w:val="0"/>
        <w:wordWrap/>
        <w:bidi w:val="0"/>
        <w:adjustRightInd/>
        <w:snapToGrid/>
        <w:ind w:firstLine="480"/>
        <w:rPr>
          <w:color w:val="auto"/>
        </w:rPr>
      </w:pPr>
      <w:r>
        <w:rPr>
          <w:color w:val="auto"/>
        </w:rPr>
        <w:t>根据</w:t>
      </w:r>
      <w:r>
        <w:rPr>
          <w:rFonts w:hint="eastAsia"/>
          <w:color w:val="auto"/>
        </w:rPr>
        <w:t>《污水处理厂恶臭防治对策及环境影响评价的研究》</w:t>
      </w:r>
      <w:r>
        <w:rPr>
          <w:rFonts w:hint="eastAsia"/>
          <w:color w:val="auto"/>
          <w:lang w:eastAsia="zh-CN"/>
        </w:rPr>
        <w:t>（</w:t>
      </w:r>
      <w:r>
        <w:rPr>
          <w:rFonts w:hint="eastAsia"/>
          <w:color w:val="auto"/>
        </w:rPr>
        <w:t>薛松，和慧，邓丽蕊，孙晶晶</w:t>
      </w:r>
      <w:r>
        <w:rPr>
          <w:rFonts w:hint="eastAsia"/>
          <w:color w:val="auto"/>
          <w:lang w:eastAsia="zh-CN"/>
        </w:rPr>
        <w:t>）</w:t>
      </w:r>
      <w:r>
        <w:rPr>
          <w:rFonts w:hint="eastAsia"/>
          <w:color w:val="auto"/>
        </w:rPr>
        <w:t>和《城市污水处理厂恶臭气体及控制技术的研究》</w:t>
      </w:r>
      <w:r>
        <w:rPr>
          <w:rFonts w:hint="eastAsia"/>
          <w:color w:val="auto"/>
          <w:lang w:eastAsia="zh-CN"/>
        </w:rPr>
        <w:t>（</w:t>
      </w:r>
      <w:r>
        <w:rPr>
          <w:rFonts w:hint="eastAsia"/>
          <w:color w:val="auto"/>
        </w:rPr>
        <w:t>张少梅，沈晋明</w:t>
      </w:r>
      <w:r>
        <w:rPr>
          <w:rFonts w:hint="eastAsia"/>
          <w:color w:val="auto"/>
          <w:lang w:eastAsia="zh-CN"/>
        </w:rPr>
        <w:t>）</w:t>
      </w:r>
      <w:r>
        <w:rPr>
          <w:rFonts w:hint="eastAsia"/>
          <w:color w:val="auto"/>
        </w:rPr>
        <w:t>中的数据，并参照《恶臭污染测试与控制技术》（化学工业出版社）中“污水处理厂恶臭环境影响评价”中相关内容，确定污水处理厂各处理单元氨气和硫化氢排放系数如下：</w:t>
      </w:r>
    </w:p>
    <w:p w14:paraId="20477D6B">
      <w:pPr>
        <w:pStyle w:val="19"/>
        <w:numPr>
          <w:ilvl w:val="0"/>
          <w:numId w:val="25"/>
        </w:numPr>
        <w:bidi w:val="0"/>
        <w:ind w:left="0" w:leftChars="0" w:firstLine="0" w:firstLineChars="0"/>
        <w:rPr>
          <w:color w:val="auto"/>
        </w:rPr>
      </w:pPr>
      <w:r>
        <w:rPr>
          <w:color w:val="auto"/>
        </w:rPr>
        <w:t>本项目各臭气收集装置处理前源强</w:t>
      </w:r>
      <w:r>
        <w:rPr>
          <w:rFonts w:hint="eastAsia"/>
          <w:color w:val="auto"/>
          <w:lang w:val="en-US" w:eastAsia="zh-CN"/>
        </w:rPr>
        <w:t xml:space="preserve">  </w:t>
      </w:r>
    </w:p>
    <w:tbl>
      <w:tblPr>
        <w:tblStyle w:val="5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76"/>
        <w:gridCol w:w="3765"/>
        <w:gridCol w:w="2479"/>
      </w:tblGrid>
      <w:tr w14:paraId="3175FD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76" w:type="dxa"/>
            <w:vMerge w:val="restart"/>
            <w:tcBorders>
              <w:tl2br w:val="nil"/>
              <w:tr2bl w:val="nil"/>
            </w:tcBorders>
            <w:noWrap w:val="0"/>
            <w:vAlign w:val="center"/>
          </w:tcPr>
          <w:p w14:paraId="072BEC3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项目</w:t>
            </w:r>
          </w:p>
        </w:tc>
        <w:tc>
          <w:tcPr>
            <w:tcW w:w="6244" w:type="dxa"/>
            <w:gridSpan w:val="2"/>
            <w:tcBorders>
              <w:tl2br w:val="nil"/>
              <w:tr2bl w:val="nil"/>
            </w:tcBorders>
            <w:noWrap w:val="0"/>
            <w:vAlign w:val="center"/>
          </w:tcPr>
          <w:p w14:paraId="723E4641">
            <w:pPr>
              <w:pageBreakBefore w:val="0"/>
              <w:wordWrap/>
              <w:bidi w:val="0"/>
              <w:adjustRightInd/>
              <w:snapToGrid/>
              <w:spacing w:line="240" w:lineRule="auto"/>
              <w:ind w:firstLine="0" w:firstLineChars="0"/>
              <w:jc w:val="center"/>
              <w:rPr>
                <w:rFonts w:hint="eastAsia" w:eastAsia="宋体"/>
                <w:b/>
                <w:bCs/>
                <w:color w:val="auto"/>
                <w:sz w:val="21"/>
                <w:szCs w:val="21"/>
                <w:lang w:val="en-US" w:eastAsia="zh-CN"/>
              </w:rPr>
            </w:pPr>
            <w:r>
              <w:rPr>
                <w:rFonts w:hint="eastAsia"/>
                <w:b/>
                <w:bCs/>
                <w:color w:val="auto"/>
                <w:sz w:val="21"/>
                <w:szCs w:val="21"/>
                <w:lang w:val="en-US" w:eastAsia="zh-CN"/>
              </w:rPr>
              <w:t>排放系数：</w:t>
            </w:r>
            <w:r>
              <w:rPr>
                <w:rFonts w:ascii="Times New Roman" w:hAnsi="Times New Roman" w:eastAsia="Times New Roman" w:cs="Times New Roman"/>
                <w:b/>
                <w:bCs/>
                <w:color w:val="auto"/>
                <w:spacing w:val="-2"/>
              </w:rPr>
              <w:t>mg/s·m</w:t>
            </w:r>
            <w:r>
              <w:rPr>
                <w:rFonts w:hint="eastAsia" w:ascii="Times New Roman" w:hAnsi="Times New Roman" w:eastAsia="宋体" w:cs="Times New Roman"/>
                <w:b/>
                <w:bCs/>
                <w:color w:val="auto"/>
                <w:spacing w:val="-2"/>
                <w:lang w:val="en-US" w:eastAsia="zh-CN"/>
              </w:rPr>
              <w:t>²</w:t>
            </w:r>
          </w:p>
        </w:tc>
      </w:tr>
      <w:tr w14:paraId="57CDD0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76" w:type="dxa"/>
            <w:vMerge w:val="continue"/>
            <w:tcBorders>
              <w:tl2br w:val="nil"/>
              <w:tr2bl w:val="nil"/>
            </w:tcBorders>
            <w:noWrap w:val="0"/>
            <w:vAlign w:val="center"/>
          </w:tcPr>
          <w:p w14:paraId="5B73ED40">
            <w:pPr>
              <w:pageBreakBefore w:val="0"/>
              <w:wordWrap/>
              <w:bidi w:val="0"/>
              <w:adjustRightInd/>
              <w:snapToGrid/>
              <w:spacing w:line="240" w:lineRule="auto"/>
              <w:ind w:firstLine="0" w:firstLineChars="0"/>
              <w:jc w:val="center"/>
              <w:rPr>
                <w:color w:val="auto"/>
              </w:rPr>
            </w:pPr>
          </w:p>
        </w:tc>
        <w:tc>
          <w:tcPr>
            <w:tcW w:w="3765" w:type="dxa"/>
            <w:tcBorders>
              <w:tl2br w:val="nil"/>
              <w:tr2bl w:val="nil"/>
            </w:tcBorders>
            <w:noWrap w:val="0"/>
            <w:vAlign w:val="center"/>
          </w:tcPr>
          <w:p w14:paraId="5DE6A7BE">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NH</w:t>
            </w:r>
            <w:r>
              <w:rPr>
                <w:b/>
                <w:bCs/>
                <w:color w:val="auto"/>
                <w:sz w:val="21"/>
                <w:szCs w:val="21"/>
                <w:vertAlign w:val="subscript"/>
              </w:rPr>
              <w:t>3</w:t>
            </w:r>
          </w:p>
        </w:tc>
        <w:tc>
          <w:tcPr>
            <w:tcW w:w="2479" w:type="dxa"/>
            <w:tcBorders>
              <w:tl2br w:val="nil"/>
              <w:tr2bl w:val="nil"/>
            </w:tcBorders>
            <w:noWrap w:val="0"/>
            <w:vAlign w:val="center"/>
          </w:tcPr>
          <w:p w14:paraId="6CED157D">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H</w:t>
            </w:r>
            <w:r>
              <w:rPr>
                <w:b/>
                <w:bCs/>
                <w:color w:val="auto"/>
                <w:sz w:val="21"/>
                <w:szCs w:val="21"/>
                <w:vertAlign w:val="subscript"/>
              </w:rPr>
              <w:t>2</w:t>
            </w:r>
            <w:r>
              <w:rPr>
                <w:b/>
                <w:bCs/>
                <w:color w:val="auto"/>
                <w:sz w:val="21"/>
                <w:szCs w:val="21"/>
              </w:rPr>
              <w:t>S</w:t>
            </w:r>
          </w:p>
        </w:tc>
      </w:tr>
      <w:tr w14:paraId="73ED74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76" w:type="dxa"/>
            <w:tcBorders>
              <w:tl2br w:val="nil"/>
              <w:tr2bl w:val="nil"/>
            </w:tcBorders>
            <w:noWrap w:val="0"/>
            <w:vAlign w:val="center"/>
          </w:tcPr>
          <w:p w14:paraId="7E846E93">
            <w:pPr>
              <w:pageBreakBefore w:val="0"/>
              <w:wordWrap/>
              <w:bidi w:val="0"/>
              <w:adjustRightInd/>
              <w:snapToGrid/>
              <w:spacing w:line="240" w:lineRule="auto"/>
              <w:ind w:firstLine="0" w:firstLineChars="0"/>
              <w:jc w:val="center"/>
              <w:rPr>
                <w:color w:val="auto"/>
                <w:sz w:val="21"/>
                <w:szCs w:val="21"/>
              </w:rPr>
            </w:pPr>
            <w:r>
              <w:rPr>
                <w:color w:val="auto"/>
                <w:sz w:val="21"/>
                <w:szCs w:val="21"/>
              </w:rPr>
              <w:t>预处理单元</w:t>
            </w:r>
          </w:p>
        </w:tc>
        <w:tc>
          <w:tcPr>
            <w:tcW w:w="3765" w:type="dxa"/>
            <w:tcBorders>
              <w:tl2br w:val="nil"/>
              <w:tr2bl w:val="nil"/>
            </w:tcBorders>
            <w:noWrap w:val="0"/>
            <w:vAlign w:val="center"/>
          </w:tcPr>
          <w:p w14:paraId="580736B0">
            <w:pPr>
              <w:pageBreakBefore w:val="0"/>
              <w:wordWrap/>
              <w:bidi w:val="0"/>
              <w:adjustRightInd/>
              <w:snapToGrid/>
              <w:spacing w:line="240" w:lineRule="auto"/>
              <w:ind w:firstLine="0" w:firstLineChars="0"/>
              <w:jc w:val="center"/>
              <w:rPr>
                <w:color w:val="auto"/>
                <w:sz w:val="21"/>
                <w:szCs w:val="21"/>
              </w:rPr>
            </w:pPr>
            <w:r>
              <w:rPr>
                <w:color w:val="auto"/>
                <w:sz w:val="21"/>
                <w:szCs w:val="21"/>
              </w:rPr>
              <w:t>0.092</w:t>
            </w:r>
          </w:p>
        </w:tc>
        <w:tc>
          <w:tcPr>
            <w:tcW w:w="2479" w:type="dxa"/>
            <w:tcBorders>
              <w:tl2br w:val="nil"/>
              <w:tr2bl w:val="nil"/>
            </w:tcBorders>
            <w:noWrap w:val="0"/>
            <w:vAlign w:val="center"/>
          </w:tcPr>
          <w:p w14:paraId="5A7B17D1">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kern w:val="0"/>
                <w:sz w:val="21"/>
                <w:szCs w:val="21"/>
                <w:lang w:val="en-US" w:eastAsia="zh-CN"/>
              </w:rPr>
              <w:t>0.93</w:t>
            </w:r>
            <w:r>
              <w:rPr>
                <w:color w:val="auto"/>
                <w:kern w:val="0"/>
                <w:sz w:val="21"/>
                <w:szCs w:val="21"/>
              </w:rPr>
              <w:t>×10</w:t>
            </w:r>
            <w:r>
              <w:rPr>
                <w:color w:val="auto"/>
                <w:kern w:val="0"/>
                <w:sz w:val="21"/>
                <w:szCs w:val="21"/>
                <w:vertAlign w:val="superscript"/>
              </w:rPr>
              <w:t>-</w:t>
            </w:r>
            <w:r>
              <w:rPr>
                <w:rFonts w:hint="eastAsia"/>
                <w:color w:val="auto"/>
                <w:kern w:val="0"/>
                <w:sz w:val="21"/>
                <w:szCs w:val="21"/>
                <w:vertAlign w:val="superscript"/>
                <w:lang w:val="en-US" w:eastAsia="zh-CN"/>
              </w:rPr>
              <w:t>3</w:t>
            </w:r>
          </w:p>
        </w:tc>
      </w:tr>
      <w:tr w14:paraId="54D650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76" w:type="dxa"/>
            <w:tcBorders>
              <w:tl2br w:val="nil"/>
              <w:tr2bl w:val="nil"/>
            </w:tcBorders>
            <w:noWrap w:val="0"/>
            <w:vAlign w:val="center"/>
          </w:tcPr>
          <w:p w14:paraId="5C700E19">
            <w:pPr>
              <w:pageBreakBefore w:val="0"/>
              <w:wordWrap/>
              <w:bidi w:val="0"/>
              <w:adjustRightInd/>
              <w:snapToGrid/>
              <w:spacing w:line="240" w:lineRule="auto"/>
              <w:ind w:firstLine="0" w:firstLineChars="0"/>
              <w:jc w:val="center"/>
              <w:rPr>
                <w:color w:val="auto"/>
                <w:sz w:val="21"/>
                <w:szCs w:val="21"/>
              </w:rPr>
            </w:pPr>
            <w:r>
              <w:rPr>
                <w:color w:val="auto"/>
                <w:sz w:val="21"/>
                <w:szCs w:val="21"/>
              </w:rPr>
              <w:t>生化处理单元</w:t>
            </w:r>
          </w:p>
        </w:tc>
        <w:tc>
          <w:tcPr>
            <w:tcW w:w="3765" w:type="dxa"/>
            <w:tcBorders>
              <w:tl2br w:val="nil"/>
              <w:tr2bl w:val="nil"/>
            </w:tcBorders>
            <w:noWrap w:val="0"/>
            <w:vAlign w:val="center"/>
          </w:tcPr>
          <w:p w14:paraId="0E0942DE">
            <w:pPr>
              <w:pageBreakBefore w:val="0"/>
              <w:wordWrap/>
              <w:bidi w:val="0"/>
              <w:adjustRightInd/>
              <w:snapToGrid/>
              <w:spacing w:line="240" w:lineRule="auto"/>
              <w:ind w:firstLine="0" w:firstLineChars="0"/>
              <w:jc w:val="center"/>
              <w:rPr>
                <w:color w:val="auto"/>
                <w:sz w:val="21"/>
                <w:szCs w:val="21"/>
              </w:rPr>
            </w:pPr>
            <w:r>
              <w:rPr>
                <w:color w:val="auto"/>
                <w:sz w:val="21"/>
                <w:szCs w:val="21"/>
              </w:rPr>
              <w:t>0.018</w:t>
            </w:r>
          </w:p>
        </w:tc>
        <w:tc>
          <w:tcPr>
            <w:tcW w:w="2479" w:type="dxa"/>
            <w:tcBorders>
              <w:tl2br w:val="nil"/>
              <w:tr2bl w:val="nil"/>
            </w:tcBorders>
            <w:noWrap w:val="0"/>
            <w:vAlign w:val="center"/>
          </w:tcPr>
          <w:p w14:paraId="1AD15DB7">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kern w:val="0"/>
                <w:sz w:val="21"/>
                <w:szCs w:val="21"/>
                <w:lang w:val="en-US" w:eastAsia="zh-CN"/>
              </w:rPr>
              <w:t>0.45</w:t>
            </w:r>
            <w:r>
              <w:rPr>
                <w:color w:val="auto"/>
                <w:kern w:val="0"/>
                <w:sz w:val="21"/>
                <w:szCs w:val="21"/>
              </w:rPr>
              <w:t>×10</w:t>
            </w:r>
            <w:r>
              <w:rPr>
                <w:color w:val="auto"/>
                <w:kern w:val="0"/>
                <w:sz w:val="21"/>
                <w:szCs w:val="21"/>
                <w:vertAlign w:val="superscript"/>
              </w:rPr>
              <w:t>-</w:t>
            </w:r>
            <w:r>
              <w:rPr>
                <w:rFonts w:hint="eastAsia"/>
                <w:color w:val="auto"/>
                <w:kern w:val="0"/>
                <w:sz w:val="21"/>
                <w:szCs w:val="21"/>
                <w:vertAlign w:val="superscript"/>
                <w:lang w:val="en-US" w:eastAsia="zh-CN"/>
              </w:rPr>
              <w:t>3</w:t>
            </w:r>
          </w:p>
        </w:tc>
      </w:tr>
      <w:tr w14:paraId="5B9916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76" w:type="dxa"/>
            <w:tcBorders>
              <w:tl2br w:val="nil"/>
              <w:tr2bl w:val="nil"/>
            </w:tcBorders>
            <w:noWrap w:val="0"/>
            <w:vAlign w:val="center"/>
          </w:tcPr>
          <w:p w14:paraId="32B32E5E">
            <w:pPr>
              <w:pageBreakBefore w:val="0"/>
              <w:wordWrap/>
              <w:bidi w:val="0"/>
              <w:adjustRightInd/>
              <w:snapToGrid/>
              <w:spacing w:line="240" w:lineRule="auto"/>
              <w:ind w:firstLine="0" w:firstLineChars="0"/>
              <w:jc w:val="center"/>
              <w:rPr>
                <w:color w:val="auto"/>
                <w:sz w:val="21"/>
                <w:szCs w:val="21"/>
              </w:rPr>
            </w:pPr>
            <w:r>
              <w:rPr>
                <w:color w:val="auto"/>
                <w:sz w:val="21"/>
                <w:szCs w:val="21"/>
              </w:rPr>
              <w:t>污泥处理单元</w:t>
            </w:r>
          </w:p>
        </w:tc>
        <w:tc>
          <w:tcPr>
            <w:tcW w:w="3765" w:type="dxa"/>
            <w:tcBorders>
              <w:tl2br w:val="nil"/>
              <w:tr2bl w:val="nil"/>
            </w:tcBorders>
            <w:noWrap w:val="0"/>
            <w:vAlign w:val="center"/>
          </w:tcPr>
          <w:p w14:paraId="1469EEA8">
            <w:pPr>
              <w:pageBreakBefore w:val="0"/>
              <w:wordWrap/>
              <w:bidi w:val="0"/>
              <w:adjustRightInd/>
              <w:snapToGrid/>
              <w:spacing w:line="240" w:lineRule="auto"/>
              <w:ind w:firstLine="0" w:firstLineChars="0"/>
              <w:jc w:val="center"/>
              <w:rPr>
                <w:color w:val="auto"/>
                <w:sz w:val="21"/>
                <w:szCs w:val="21"/>
              </w:rPr>
            </w:pPr>
            <w:r>
              <w:rPr>
                <w:color w:val="auto"/>
                <w:sz w:val="21"/>
                <w:szCs w:val="21"/>
              </w:rPr>
              <w:t>0.085</w:t>
            </w:r>
          </w:p>
        </w:tc>
        <w:tc>
          <w:tcPr>
            <w:tcW w:w="2479" w:type="dxa"/>
            <w:tcBorders>
              <w:tl2br w:val="nil"/>
              <w:tr2bl w:val="nil"/>
            </w:tcBorders>
            <w:noWrap w:val="0"/>
            <w:vAlign w:val="center"/>
          </w:tcPr>
          <w:p w14:paraId="6310EBC5">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color w:val="auto"/>
                <w:kern w:val="0"/>
                <w:sz w:val="21"/>
                <w:szCs w:val="21"/>
              </w:rPr>
              <w:t>2.38×10</w:t>
            </w:r>
            <w:r>
              <w:rPr>
                <w:color w:val="auto"/>
                <w:kern w:val="0"/>
                <w:sz w:val="21"/>
                <w:szCs w:val="21"/>
                <w:vertAlign w:val="superscript"/>
              </w:rPr>
              <w:t>-3</w:t>
            </w:r>
          </w:p>
        </w:tc>
      </w:tr>
    </w:tbl>
    <w:p w14:paraId="4725B815">
      <w:pPr>
        <w:pStyle w:val="19"/>
        <w:keepNext w:val="0"/>
        <w:keepLines w:val="0"/>
        <w:pageBreakBefore w:val="0"/>
        <w:widowControl w:val="0"/>
        <w:numPr>
          <w:ilvl w:val="0"/>
          <w:numId w:val="25"/>
        </w:numPr>
        <w:kinsoku/>
        <w:wordWrap/>
        <w:overflowPunct/>
        <w:topLinePunct w:val="0"/>
        <w:autoSpaceDE/>
        <w:autoSpaceDN/>
        <w:bidi w:val="0"/>
        <w:adjustRightInd/>
        <w:snapToGrid/>
        <w:spacing w:before="144" w:beforeLines="50"/>
        <w:ind w:left="0" w:leftChars="0" w:firstLine="0" w:firstLineChars="0"/>
        <w:textAlignment w:val="auto"/>
        <w:rPr>
          <w:color w:val="auto"/>
        </w:rPr>
      </w:pPr>
      <w:r>
        <w:rPr>
          <w:color w:val="auto"/>
        </w:rPr>
        <w:t xml:space="preserve"> 本项目恶臭污染物产生情况</w:t>
      </w:r>
    </w:p>
    <w:tbl>
      <w:tblPr>
        <w:tblStyle w:val="706"/>
        <w:tblW w:w="4998"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1451"/>
        <w:gridCol w:w="2958"/>
        <w:gridCol w:w="1130"/>
        <w:gridCol w:w="737"/>
        <w:gridCol w:w="735"/>
        <w:gridCol w:w="929"/>
        <w:gridCol w:w="787"/>
      </w:tblGrid>
      <w:tr w14:paraId="433CE2D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1" w:type="pct"/>
            <w:vMerge w:val="restart"/>
            <w:tcBorders>
              <w:tl2br w:val="nil"/>
              <w:tr2bl w:val="nil"/>
            </w:tcBorders>
            <w:shd w:val="clear" w:color="auto" w:fill="D8D8D8"/>
            <w:vAlign w:val="center"/>
          </w:tcPr>
          <w:p w14:paraId="04A4092A">
            <w:pPr>
              <w:pStyle w:val="16"/>
              <w:pageBreakBefore w:val="0"/>
              <w:wordWrap/>
              <w:bidi w:val="0"/>
              <w:adjustRightInd/>
              <w:snapToGrid/>
              <w:rPr>
                <w:rFonts w:hint="default" w:eastAsia="宋体"/>
                <w:b/>
                <w:bCs/>
                <w:color w:val="auto"/>
                <w:lang w:val="en-US" w:eastAsia="zh-CN"/>
              </w:rPr>
            </w:pPr>
            <w:r>
              <w:rPr>
                <w:rFonts w:hint="eastAsia"/>
                <w:b/>
                <w:bCs/>
                <w:color w:val="auto"/>
                <w:lang w:val="en-US" w:eastAsia="zh-CN"/>
              </w:rPr>
              <w:t>分区</w:t>
            </w:r>
          </w:p>
        </w:tc>
        <w:tc>
          <w:tcPr>
            <w:tcW w:w="1694" w:type="pct"/>
            <w:vMerge w:val="restart"/>
            <w:tcBorders>
              <w:tl2br w:val="nil"/>
              <w:tr2bl w:val="nil"/>
            </w:tcBorders>
            <w:shd w:val="clear" w:color="auto" w:fill="D8D8D8"/>
            <w:vAlign w:val="center"/>
          </w:tcPr>
          <w:p w14:paraId="086207A2">
            <w:pPr>
              <w:pStyle w:val="16"/>
              <w:pageBreakBefore w:val="0"/>
              <w:wordWrap/>
              <w:bidi w:val="0"/>
              <w:adjustRightInd/>
              <w:snapToGrid/>
              <w:rPr>
                <w:rFonts w:hint="default" w:eastAsia="宋体"/>
                <w:b/>
                <w:bCs/>
                <w:color w:val="auto"/>
                <w:lang w:val="en-US" w:eastAsia="zh-CN"/>
              </w:rPr>
            </w:pPr>
            <w:r>
              <w:rPr>
                <w:rFonts w:hint="eastAsia"/>
                <w:b/>
                <w:bCs/>
                <w:color w:val="auto"/>
                <w:lang w:val="en-US" w:eastAsia="zh-CN"/>
              </w:rPr>
              <w:t>构筑物单元</w:t>
            </w:r>
          </w:p>
        </w:tc>
        <w:tc>
          <w:tcPr>
            <w:tcW w:w="647" w:type="pct"/>
            <w:vMerge w:val="restart"/>
            <w:tcBorders>
              <w:tl2br w:val="nil"/>
              <w:tr2bl w:val="nil"/>
            </w:tcBorders>
            <w:shd w:val="clear" w:color="auto" w:fill="D8D8D8"/>
            <w:vAlign w:val="center"/>
          </w:tcPr>
          <w:p w14:paraId="4DB56287">
            <w:pPr>
              <w:pStyle w:val="16"/>
              <w:pageBreakBefore w:val="0"/>
              <w:wordWrap/>
              <w:bidi w:val="0"/>
              <w:adjustRightInd/>
              <w:snapToGrid/>
              <w:rPr>
                <w:b/>
                <w:bCs/>
                <w:color w:val="auto"/>
              </w:rPr>
            </w:pPr>
            <w:r>
              <w:rPr>
                <w:b/>
                <w:bCs/>
                <w:color w:val="auto"/>
              </w:rPr>
              <w:t>面积（</w:t>
            </w:r>
            <w:r>
              <w:rPr>
                <w:rFonts w:hint="eastAsia"/>
                <w:b/>
                <w:bCs/>
                <w:color w:val="auto"/>
                <w:lang w:val="en-US" w:eastAsia="zh-CN"/>
              </w:rPr>
              <w:t>m²</w:t>
            </w:r>
            <w:r>
              <w:rPr>
                <w:b/>
                <w:bCs/>
                <w:color w:val="auto"/>
              </w:rPr>
              <w:t>）</w:t>
            </w:r>
          </w:p>
        </w:tc>
        <w:tc>
          <w:tcPr>
            <w:tcW w:w="843" w:type="pct"/>
            <w:gridSpan w:val="2"/>
            <w:tcBorders>
              <w:tl2br w:val="nil"/>
              <w:tr2bl w:val="nil"/>
            </w:tcBorders>
            <w:shd w:val="clear" w:color="auto" w:fill="D8D8D8"/>
            <w:vAlign w:val="center"/>
          </w:tcPr>
          <w:p w14:paraId="6C3C76F0">
            <w:pPr>
              <w:pStyle w:val="16"/>
              <w:pageBreakBefore w:val="0"/>
              <w:wordWrap/>
              <w:bidi w:val="0"/>
              <w:adjustRightInd/>
              <w:snapToGrid/>
              <w:rPr>
                <w:b/>
                <w:bCs/>
                <w:color w:val="auto"/>
              </w:rPr>
            </w:pPr>
            <w:r>
              <w:rPr>
                <w:b/>
                <w:bCs/>
                <w:color w:val="auto"/>
              </w:rPr>
              <w:t>氨气产生情况</w:t>
            </w:r>
          </w:p>
        </w:tc>
        <w:tc>
          <w:tcPr>
            <w:tcW w:w="983" w:type="pct"/>
            <w:gridSpan w:val="2"/>
            <w:tcBorders>
              <w:tl2br w:val="nil"/>
              <w:tr2bl w:val="nil"/>
            </w:tcBorders>
            <w:shd w:val="clear" w:color="auto" w:fill="D8D8D8"/>
            <w:vAlign w:val="center"/>
          </w:tcPr>
          <w:p w14:paraId="66E35567">
            <w:pPr>
              <w:pStyle w:val="16"/>
              <w:pageBreakBefore w:val="0"/>
              <w:wordWrap/>
              <w:bidi w:val="0"/>
              <w:adjustRightInd/>
              <w:snapToGrid/>
              <w:rPr>
                <w:b/>
                <w:bCs/>
                <w:color w:val="auto"/>
              </w:rPr>
            </w:pPr>
            <w:r>
              <w:rPr>
                <w:b/>
                <w:bCs/>
                <w:color w:val="auto"/>
              </w:rPr>
              <w:t>硫化氢产生情况</w:t>
            </w:r>
          </w:p>
        </w:tc>
      </w:tr>
      <w:tr w14:paraId="6EB8B9E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1" w:type="pct"/>
            <w:vMerge w:val="continue"/>
            <w:tcBorders>
              <w:tl2br w:val="nil"/>
              <w:tr2bl w:val="nil"/>
            </w:tcBorders>
            <w:vAlign w:val="center"/>
          </w:tcPr>
          <w:p w14:paraId="3444D73D">
            <w:pPr>
              <w:pStyle w:val="16"/>
              <w:pageBreakBefore w:val="0"/>
              <w:wordWrap/>
              <w:bidi w:val="0"/>
              <w:adjustRightInd/>
              <w:snapToGrid/>
              <w:rPr>
                <w:b/>
                <w:bCs/>
                <w:color w:val="auto"/>
              </w:rPr>
            </w:pPr>
          </w:p>
        </w:tc>
        <w:tc>
          <w:tcPr>
            <w:tcW w:w="1694" w:type="pct"/>
            <w:vMerge w:val="continue"/>
            <w:tcBorders>
              <w:tl2br w:val="nil"/>
              <w:tr2bl w:val="nil"/>
            </w:tcBorders>
            <w:vAlign w:val="center"/>
          </w:tcPr>
          <w:p w14:paraId="73F2FFCD">
            <w:pPr>
              <w:pStyle w:val="16"/>
              <w:pageBreakBefore w:val="0"/>
              <w:wordWrap/>
              <w:bidi w:val="0"/>
              <w:adjustRightInd/>
              <w:snapToGrid/>
              <w:rPr>
                <w:b/>
                <w:bCs/>
                <w:color w:val="auto"/>
              </w:rPr>
            </w:pPr>
          </w:p>
        </w:tc>
        <w:tc>
          <w:tcPr>
            <w:tcW w:w="647" w:type="pct"/>
            <w:vMerge w:val="continue"/>
            <w:tcBorders>
              <w:tl2br w:val="nil"/>
              <w:tr2bl w:val="nil"/>
            </w:tcBorders>
            <w:vAlign w:val="center"/>
          </w:tcPr>
          <w:p w14:paraId="1B034AEA">
            <w:pPr>
              <w:pStyle w:val="16"/>
              <w:pageBreakBefore w:val="0"/>
              <w:wordWrap/>
              <w:bidi w:val="0"/>
              <w:adjustRightInd/>
              <w:snapToGrid/>
              <w:rPr>
                <w:b/>
                <w:bCs/>
                <w:color w:val="auto"/>
              </w:rPr>
            </w:pPr>
          </w:p>
        </w:tc>
        <w:tc>
          <w:tcPr>
            <w:tcW w:w="422" w:type="pct"/>
            <w:tcBorders>
              <w:tl2br w:val="nil"/>
              <w:tr2bl w:val="nil"/>
            </w:tcBorders>
            <w:shd w:val="clear" w:color="auto" w:fill="D8D8D8"/>
            <w:vAlign w:val="center"/>
          </w:tcPr>
          <w:p w14:paraId="605B331A">
            <w:pPr>
              <w:pStyle w:val="16"/>
              <w:pageBreakBefore w:val="0"/>
              <w:wordWrap/>
              <w:bidi w:val="0"/>
              <w:adjustRightInd/>
              <w:snapToGrid/>
              <w:rPr>
                <w:b/>
                <w:bCs/>
                <w:color w:val="auto"/>
              </w:rPr>
            </w:pPr>
            <w:r>
              <w:rPr>
                <w:b/>
                <w:bCs/>
                <w:color w:val="auto"/>
              </w:rPr>
              <w:t>kg/h</w:t>
            </w:r>
          </w:p>
        </w:tc>
        <w:tc>
          <w:tcPr>
            <w:tcW w:w="421" w:type="pct"/>
            <w:tcBorders>
              <w:tl2br w:val="nil"/>
              <w:tr2bl w:val="nil"/>
            </w:tcBorders>
            <w:shd w:val="clear" w:color="auto" w:fill="D8D8D8"/>
            <w:vAlign w:val="center"/>
          </w:tcPr>
          <w:p w14:paraId="22F010AD">
            <w:pPr>
              <w:pStyle w:val="16"/>
              <w:pageBreakBefore w:val="0"/>
              <w:wordWrap/>
              <w:bidi w:val="0"/>
              <w:adjustRightInd/>
              <w:snapToGrid/>
              <w:rPr>
                <w:b/>
                <w:bCs/>
                <w:color w:val="auto"/>
              </w:rPr>
            </w:pPr>
            <w:r>
              <w:rPr>
                <w:b/>
                <w:bCs/>
                <w:color w:val="auto"/>
              </w:rPr>
              <w:t>t/a</w:t>
            </w:r>
          </w:p>
        </w:tc>
        <w:tc>
          <w:tcPr>
            <w:tcW w:w="532" w:type="pct"/>
            <w:tcBorders>
              <w:tl2br w:val="nil"/>
              <w:tr2bl w:val="nil"/>
            </w:tcBorders>
            <w:shd w:val="clear" w:color="auto" w:fill="D8D8D8"/>
            <w:vAlign w:val="center"/>
          </w:tcPr>
          <w:p w14:paraId="30B0062E">
            <w:pPr>
              <w:pStyle w:val="16"/>
              <w:pageBreakBefore w:val="0"/>
              <w:wordWrap/>
              <w:bidi w:val="0"/>
              <w:adjustRightInd/>
              <w:snapToGrid/>
              <w:rPr>
                <w:b/>
                <w:bCs/>
                <w:color w:val="auto"/>
              </w:rPr>
            </w:pPr>
            <w:r>
              <w:rPr>
                <w:b/>
                <w:bCs/>
                <w:color w:val="auto"/>
              </w:rPr>
              <w:t>kg/h</w:t>
            </w:r>
          </w:p>
        </w:tc>
        <w:tc>
          <w:tcPr>
            <w:tcW w:w="450" w:type="pct"/>
            <w:tcBorders>
              <w:tl2br w:val="nil"/>
              <w:tr2bl w:val="nil"/>
            </w:tcBorders>
            <w:shd w:val="clear" w:color="auto" w:fill="D8D8D8"/>
            <w:vAlign w:val="center"/>
          </w:tcPr>
          <w:p w14:paraId="184F4374">
            <w:pPr>
              <w:pStyle w:val="16"/>
              <w:pageBreakBefore w:val="0"/>
              <w:wordWrap/>
              <w:bidi w:val="0"/>
              <w:adjustRightInd/>
              <w:snapToGrid/>
              <w:rPr>
                <w:b/>
                <w:bCs/>
                <w:color w:val="auto"/>
              </w:rPr>
            </w:pPr>
            <w:r>
              <w:rPr>
                <w:b/>
                <w:bCs/>
                <w:color w:val="auto"/>
              </w:rPr>
              <w:t>t/a</w:t>
            </w:r>
          </w:p>
        </w:tc>
      </w:tr>
      <w:tr w14:paraId="4A76597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1" w:type="pct"/>
            <w:vMerge w:val="restart"/>
            <w:tcBorders>
              <w:tl2br w:val="nil"/>
              <w:tr2bl w:val="nil"/>
            </w:tcBorders>
            <w:vAlign w:val="center"/>
          </w:tcPr>
          <w:p w14:paraId="3487086B">
            <w:pPr>
              <w:pStyle w:val="16"/>
              <w:pageBreakBefore w:val="0"/>
              <w:wordWrap/>
              <w:bidi w:val="0"/>
              <w:adjustRightInd/>
              <w:snapToGrid/>
              <w:rPr>
                <w:rFonts w:hint="default" w:eastAsia="宋体"/>
                <w:color w:val="auto"/>
                <w:lang w:val="en-US" w:eastAsia="zh-CN"/>
              </w:rPr>
            </w:pPr>
            <w:r>
              <w:rPr>
                <w:rFonts w:hint="eastAsia"/>
                <w:color w:val="auto"/>
                <w:lang w:val="en-US" w:eastAsia="zh-CN"/>
              </w:rPr>
              <w:t>预处理单元</w:t>
            </w:r>
          </w:p>
        </w:tc>
        <w:tc>
          <w:tcPr>
            <w:tcW w:w="1694" w:type="pct"/>
            <w:tcBorders>
              <w:tl2br w:val="nil"/>
              <w:tr2bl w:val="nil"/>
            </w:tcBorders>
            <w:vAlign w:val="center"/>
          </w:tcPr>
          <w:p w14:paraId="7E808466">
            <w:pPr>
              <w:pStyle w:val="16"/>
              <w:pageBreakBefore w:val="0"/>
              <w:wordWrap/>
              <w:bidi w:val="0"/>
              <w:adjustRightInd/>
              <w:snapToGrid/>
              <w:rPr>
                <w:color w:val="auto"/>
              </w:rPr>
            </w:pPr>
            <w:r>
              <w:rPr>
                <w:rFonts w:hint="eastAsia"/>
                <w:color w:val="auto"/>
                <w:lang w:val="en-US" w:eastAsia="zh-CN"/>
              </w:rPr>
              <w:t>超细格栅</w:t>
            </w:r>
          </w:p>
        </w:tc>
        <w:tc>
          <w:tcPr>
            <w:tcW w:w="647" w:type="pct"/>
            <w:tcBorders>
              <w:tl2br w:val="nil"/>
              <w:tr2bl w:val="nil"/>
            </w:tcBorders>
            <w:vAlign w:val="center"/>
          </w:tcPr>
          <w:p w14:paraId="6B40613A">
            <w:pPr>
              <w:pStyle w:val="16"/>
              <w:pageBreakBefore w:val="0"/>
              <w:wordWrap/>
              <w:bidi w:val="0"/>
              <w:adjustRightInd/>
              <w:snapToGrid/>
              <w:rPr>
                <w:rFonts w:hint="default" w:eastAsia="宋体"/>
                <w:color w:val="auto"/>
                <w:lang w:val="en-US" w:eastAsia="zh-CN"/>
              </w:rPr>
            </w:pPr>
            <w:r>
              <w:rPr>
                <w:rFonts w:hint="eastAsia"/>
                <w:color w:val="auto"/>
                <w:lang w:val="en-US" w:eastAsia="zh-CN"/>
              </w:rPr>
              <w:t>26.95</w:t>
            </w:r>
          </w:p>
        </w:tc>
        <w:tc>
          <w:tcPr>
            <w:tcW w:w="422" w:type="pct"/>
            <w:tcBorders>
              <w:tl2br w:val="nil"/>
              <w:tr2bl w:val="nil"/>
            </w:tcBorders>
            <w:vAlign w:val="center"/>
          </w:tcPr>
          <w:p w14:paraId="168B4A55">
            <w:pPr>
              <w:pStyle w:val="16"/>
              <w:pageBreakBefore w:val="0"/>
              <w:wordWrap/>
              <w:bidi w:val="0"/>
              <w:adjustRightInd/>
              <w:snapToGrid/>
              <w:rPr>
                <w:color w:val="auto"/>
              </w:rPr>
            </w:pPr>
            <w:r>
              <w:rPr>
                <w:rFonts w:hint="default"/>
                <w:color w:val="auto"/>
                <w:lang w:val="en-US" w:eastAsia="zh-CN"/>
              </w:rPr>
              <w:t xml:space="preserve">0.0089 </w:t>
            </w:r>
          </w:p>
        </w:tc>
        <w:tc>
          <w:tcPr>
            <w:tcW w:w="421" w:type="pct"/>
            <w:tcBorders>
              <w:tl2br w:val="nil"/>
              <w:tr2bl w:val="nil"/>
            </w:tcBorders>
            <w:vAlign w:val="center"/>
          </w:tcPr>
          <w:p w14:paraId="26779FC8">
            <w:pPr>
              <w:pStyle w:val="16"/>
              <w:pageBreakBefore w:val="0"/>
              <w:wordWrap/>
              <w:bidi w:val="0"/>
              <w:adjustRightInd/>
              <w:snapToGrid/>
              <w:rPr>
                <w:color w:val="auto"/>
              </w:rPr>
            </w:pPr>
            <w:r>
              <w:rPr>
                <w:rFonts w:hint="default"/>
                <w:color w:val="auto"/>
                <w:lang w:val="en-US" w:eastAsia="zh-CN"/>
              </w:rPr>
              <w:t xml:space="preserve">0.0782 </w:t>
            </w:r>
          </w:p>
        </w:tc>
        <w:tc>
          <w:tcPr>
            <w:tcW w:w="532" w:type="pct"/>
            <w:tcBorders>
              <w:tl2br w:val="nil"/>
              <w:tr2bl w:val="nil"/>
            </w:tcBorders>
            <w:vAlign w:val="center"/>
          </w:tcPr>
          <w:p w14:paraId="222644BB">
            <w:pPr>
              <w:pStyle w:val="16"/>
              <w:pageBreakBefore w:val="0"/>
              <w:wordWrap/>
              <w:bidi w:val="0"/>
              <w:adjustRightInd/>
              <w:snapToGrid/>
              <w:rPr>
                <w:color w:val="auto"/>
              </w:rPr>
            </w:pPr>
            <w:r>
              <w:rPr>
                <w:rFonts w:hint="default"/>
                <w:color w:val="auto"/>
                <w:lang w:val="en-US" w:eastAsia="zh-CN"/>
              </w:rPr>
              <w:t xml:space="preserve">0.00009 </w:t>
            </w:r>
          </w:p>
        </w:tc>
        <w:tc>
          <w:tcPr>
            <w:tcW w:w="450" w:type="pct"/>
            <w:tcBorders>
              <w:tl2br w:val="nil"/>
              <w:tr2bl w:val="nil"/>
            </w:tcBorders>
            <w:vAlign w:val="center"/>
          </w:tcPr>
          <w:p w14:paraId="6363B236">
            <w:pPr>
              <w:pStyle w:val="16"/>
              <w:pageBreakBefore w:val="0"/>
              <w:wordWrap/>
              <w:bidi w:val="0"/>
              <w:adjustRightInd/>
              <w:snapToGrid/>
              <w:rPr>
                <w:color w:val="auto"/>
              </w:rPr>
            </w:pPr>
            <w:r>
              <w:rPr>
                <w:rFonts w:hint="default"/>
                <w:color w:val="auto"/>
                <w:lang w:val="en-US" w:eastAsia="zh-CN"/>
              </w:rPr>
              <w:t xml:space="preserve">0.0008 </w:t>
            </w:r>
          </w:p>
        </w:tc>
      </w:tr>
      <w:tr w14:paraId="3F7F827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1" w:type="pct"/>
            <w:vMerge w:val="continue"/>
            <w:tcBorders>
              <w:tl2br w:val="nil"/>
              <w:tr2bl w:val="nil"/>
            </w:tcBorders>
            <w:vAlign w:val="center"/>
          </w:tcPr>
          <w:p w14:paraId="41B4828F">
            <w:pPr>
              <w:pStyle w:val="16"/>
              <w:pageBreakBefore w:val="0"/>
              <w:wordWrap/>
              <w:bidi w:val="0"/>
              <w:adjustRightInd/>
              <w:snapToGrid/>
              <w:rPr>
                <w:color w:val="auto"/>
              </w:rPr>
            </w:pPr>
          </w:p>
        </w:tc>
        <w:tc>
          <w:tcPr>
            <w:tcW w:w="1694" w:type="pct"/>
            <w:tcBorders>
              <w:tl2br w:val="nil"/>
              <w:tr2bl w:val="nil"/>
            </w:tcBorders>
            <w:vAlign w:val="center"/>
          </w:tcPr>
          <w:p w14:paraId="56E587E7">
            <w:pPr>
              <w:pStyle w:val="16"/>
              <w:pageBreakBefore w:val="0"/>
              <w:wordWrap/>
              <w:bidi w:val="0"/>
              <w:adjustRightInd/>
              <w:snapToGrid/>
              <w:rPr>
                <w:color w:val="auto"/>
              </w:rPr>
            </w:pPr>
            <w:r>
              <w:rPr>
                <w:rFonts w:hint="eastAsia"/>
                <w:color w:val="auto"/>
                <w:lang w:eastAsia="zh-CN"/>
              </w:rPr>
              <w:t>污水处理厂</w:t>
            </w:r>
            <w:r>
              <w:rPr>
                <w:rFonts w:hint="eastAsia"/>
                <w:color w:val="auto"/>
              </w:rPr>
              <w:t>调节池</w:t>
            </w:r>
          </w:p>
        </w:tc>
        <w:tc>
          <w:tcPr>
            <w:tcW w:w="647" w:type="pct"/>
            <w:tcBorders>
              <w:tl2br w:val="nil"/>
              <w:tr2bl w:val="nil"/>
            </w:tcBorders>
            <w:vAlign w:val="center"/>
          </w:tcPr>
          <w:p w14:paraId="6D63A7B9">
            <w:pPr>
              <w:pStyle w:val="16"/>
              <w:pageBreakBefore w:val="0"/>
              <w:wordWrap/>
              <w:bidi w:val="0"/>
              <w:adjustRightInd/>
              <w:snapToGrid/>
              <w:rPr>
                <w:rFonts w:hint="default" w:eastAsia="宋体"/>
                <w:color w:val="auto"/>
                <w:lang w:val="en-US" w:eastAsia="zh-CN"/>
              </w:rPr>
            </w:pPr>
            <w:r>
              <w:rPr>
                <w:rFonts w:hint="eastAsia"/>
                <w:color w:val="auto"/>
                <w:lang w:val="en-US" w:eastAsia="zh-CN"/>
              </w:rPr>
              <w:t>736.44</w:t>
            </w:r>
          </w:p>
        </w:tc>
        <w:tc>
          <w:tcPr>
            <w:tcW w:w="422" w:type="pct"/>
            <w:tcBorders>
              <w:tl2br w:val="nil"/>
              <w:tr2bl w:val="nil"/>
            </w:tcBorders>
            <w:vAlign w:val="center"/>
          </w:tcPr>
          <w:p w14:paraId="3352A586">
            <w:pPr>
              <w:pStyle w:val="16"/>
              <w:pageBreakBefore w:val="0"/>
              <w:wordWrap/>
              <w:bidi w:val="0"/>
              <w:adjustRightInd/>
              <w:snapToGrid/>
              <w:rPr>
                <w:color w:val="auto"/>
              </w:rPr>
            </w:pPr>
            <w:r>
              <w:rPr>
                <w:rFonts w:hint="default"/>
                <w:color w:val="auto"/>
                <w:lang w:val="en-US" w:eastAsia="zh-CN"/>
              </w:rPr>
              <w:t xml:space="preserve">0.2439 </w:t>
            </w:r>
          </w:p>
        </w:tc>
        <w:tc>
          <w:tcPr>
            <w:tcW w:w="421" w:type="pct"/>
            <w:tcBorders>
              <w:tl2br w:val="nil"/>
              <w:tr2bl w:val="nil"/>
            </w:tcBorders>
            <w:vAlign w:val="center"/>
          </w:tcPr>
          <w:p w14:paraId="7CB52A81">
            <w:pPr>
              <w:pStyle w:val="16"/>
              <w:pageBreakBefore w:val="0"/>
              <w:wordWrap/>
              <w:bidi w:val="0"/>
              <w:adjustRightInd/>
              <w:snapToGrid/>
              <w:rPr>
                <w:color w:val="auto"/>
              </w:rPr>
            </w:pPr>
            <w:r>
              <w:rPr>
                <w:rFonts w:hint="default"/>
                <w:color w:val="auto"/>
                <w:lang w:val="en-US" w:eastAsia="zh-CN"/>
              </w:rPr>
              <w:t xml:space="preserve">2.1366 </w:t>
            </w:r>
          </w:p>
        </w:tc>
        <w:tc>
          <w:tcPr>
            <w:tcW w:w="532" w:type="pct"/>
            <w:tcBorders>
              <w:tl2br w:val="nil"/>
              <w:tr2bl w:val="nil"/>
            </w:tcBorders>
            <w:vAlign w:val="center"/>
          </w:tcPr>
          <w:p w14:paraId="0D7D4A33">
            <w:pPr>
              <w:pStyle w:val="16"/>
              <w:pageBreakBefore w:val="0"/>
              <w:wordWrap/>
              <w:bidi w:val="0"/>
              <w:adjustRightInd/>
              <w:snapToGrid/>
              <w:rPr>
                <w:color w:val="auto"/>
              </w:rPr>
            </w:pPr>
            <w:r>
              <w:rPr>
                <w:rFonts w:hint="default"/>
                <w:color w:val="auto"/>
                <w:lang w:val="en-US" w:eastAsia="zh-CN"/>
              </w:rPr>
              <w:t xml:space="preserve">0.00247 </w:t>
            </w:r>
          </w:p>
        </w:tc>
        <w:tc>
          <w:tcPr>
            <w:tcW w:w="450" w:type="pct"/>
            <w:tcBorders>
              <w:tl2br w:val="nil"/>
              <w:tr2bl w:val="nil"/>
            </w:tcBorders>
            <w:vAlign w:val="center"/>
          </w:tcPr>
          <w:p w14:paraId="204E132F">
            <w:pPr>
              <w:pStyle w:val="16"/>
              <w:pageBreakBefore w:val="0"/>
              <w:wordWrap/>
              <w:bidi w:val="0"/>
              <w:adjustRightInd/>
              <w:snapToGrid/>
              <w:rPr>
                <w:color w:val="auto"/>
              </w:rPr>
            </w:pPr>
            <w:r>
              <w:rPr>
                <w:rFonts w:hint="default"/>
                <w:color w:val="auto"/>
                <w:lang w:val="en-US" w:eastAsia="zh-CN"/>
              </w:rPr>
              <w:t xml:space="preserve">0.0216 </w:t>
            </w:r>
          </w:p>
        </w:tc>
      </w:tr>
      <w:tr w14:paraId="5C63B9F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1" w:type="pct"/>
            <w:vMerge w:val="continue"/>
            <w:tcBorders>
              <w:tl2br w:val="nil"/>
              <w:tr2bl w:val="nil"/>
            </w:tcBorders>
            <w:vAlign w:val="center"/>
          </w:tcPr>
          <w:p w14:paraId="52B8810A">
            <w:pPr>
              <w:pStyle w:val="16"/>
              <w:pageBreakBefore w:val="0"/>
              <w:wordWrap/>
              <w:bidi w:val="0"/>
              <w:adjustRightInd/>
              <w:snapToGrid/>
              <w:rPr>
                <w:color w:val="auto"/>
              </w:rPr>
            </w:pPr>
          </w:p>
        </w:tc>
        <w:tc>
          <w:tcPr>
            <w:tcW w:w="1694" w:type="pct"/>
            <w:tcBorders>
              <w:tl2br w:val="nil"/>
              <w:tr2bl w:val="nil"/>
            </w:tcBorders>
            <w:vAlign w:val="center"/>
          </w:tcPr>
          <w:p w14:paraId="00EA1E3D">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水解酸化池</w:t>
            </w:r>
          </w:p>
        </w:tc>
        <w:tc>
          <w:tcPr>
            <w:tcW w:w="647" w:type="pct"/>
            <w:tcBorders>
              <w:tl2br w:val="nil"/>
              <w:tr2bl w:val="nil"/>
            </w:tcBorders>
            <w:vAlign w:val="center"/>
          </w:tcPr>
          <w:p w14:paraId="454673FD">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278.88</w:t>
            </w:r>
          </w:p>
        </w:tc>
        <w:tc>
          <w:tcPr>
            <w:tcW w:w="422" w:type="pct"/>
            <w:tcBorders>
              <w:tl2br w:val="nil"/>
              <w:tr2bl w:val="nil"/>
            </w:tcBorders>
            <w:vAlign w:val="center"/>
          </w:tcPr>
          <w:p w14:paraId="11367DFE">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default"/>
                <w:color w:val="auto"/>
                <w:lang w:val="en-US" w:eastAsia="zh-CN"/>
              </w:rPr>
              <w:t xml:space="preserve">0.0924 </w:t>
            </w:r>
          </w:p>
        </w:tc>
        <w:tc>
          <w:tcPr>
            <w:tcW w:w="421" w:type="pct"/>
            <w:tcBorders>
              <w:tl2br w:val="nil"/>
              <w:tr2bl w:val="nil"/>
            </w:tcBorders>
            <w:vAlign w:val="center"/>
          </w:tcPr>
          <w:p w14:paraId="7AD1A606">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default"/>
                <w:color w:val="auto"/>
                <w:lang w:val="en-US" w:eastAsia="zh-CN"/>
              </w:rPr>
              <w:t xml:space="preserve">0.8091 </w:t>
            </w:r>
          </w:p>
        </w:tc>
        <w:tc>
          <w:tcPr>
            <w:tcW w:w="532" w:type="pct"/>
            <w:tcBorders>
              <w:tl2br w:val="nil"/>
              <w:tr2bl w:val="nil"/>
            </w:tcBorders>
            <w:vAlign w:val="center"/>
          </w:tcPr>
          <w:p w14:paraId="675EBFDA">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default"/>
                <w:color w:val="auto"/>
                <w:lang w:val="en-US" w:eastAsia="zh-CN"/>
              </w:rPr>
              <w:t xml:space="preserve">0.00093 </w:t>
            </w:r>
          </w:p>
        </w:tc>
        <w:tc>
          <w:tcPr>
            <w:tcW w:w="450" w:type="pct"/>
            <w:tcBorders>
              <w:tl2br w:val="nil"/>
              <w:tr2bl w:val="nil"/>
            </w:tcBorders>
            <w:vAlign w:val="center"/>
          </w:tcPr>
          <w:p w14:paraId="40551E21">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default"/>
                <w:color w:val="auto"/>
                <w:lang w:val="en-US" w:eastAsia="zh-CN"/>
              </w:rPr>
              <w:t xml:space="preserve">0.0082 </w:t>
            </w:r>
          </w:p>
        </w:tc>
      </w:tr>
      <w:tr w14:paraId="7078D4C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1" w:type="pct"/>
            <w:vMerge w:val="restart"/>
            <w:tcBorders>
              <w:tl2br w:val="nil"/>
              <w:tr2bl w:val="nil"/>
            </w:tcBorders>
            <w:vAlign w:val="center"/>
          </w:tcPr>
          <w:p w14:paraId="061759C8">
            <w:pPr>
              <w:pStyle w:val="16"/>
              <w:pageBreakBefore w:val="0"/>
              <w:wordWrap/>
              <w:bidi w:val="0"/>
              <w:adjustRightInd/>
              <w:snapToGrid/>
              <w:rPr>
                <w:rFonts w:hint="default" w:eastAsia="宋体"/>
                <w:color w:val="auto"/>
                <w:lang w:val="en-US" w:eastAsia="zh-CN"/>
              </w:rPr>
            </w:pPr>
            <w:r>
              <w:rPr>
                <w:rFonts w:hint="eastAsia"/>
                <w:color w:val="auto"/>
                <w:lang w:val="en-US" w:eastAsia="zh-CN"/>
              </w:rPr>
              <w:t>生化处理单元</w:t>
            </w:r>
          </w:p>
        </w:tc>
        <w:tc>
          <w:tcPr>
            <w:tcW w:w="1694" w:type="pct"/>
            <w:tcBorders>
              <w:tl2br w:val="nil"/>
              <w:tr2bl w:val="nil"/>
            </w:tcBorders>
            <w:vAlign w:val="center"/>
          </w:tcPr>
          <w:p w14:paraId="62B65544">
            <w:pPr>
              <w:pStyle w:val="16"/>
              <w:pageBreakBefore w:val="0"/>
              <w:wordWrap/>
              <w:bidi w:val="0"/>
              <w:adjustRightInd/>
              <w:snapToGrid/>
              <w:rPr>
                <w:rFonts w:hint="eastAsia" w:eastAsia="宋体"/>
                <w:color w:val="auto"/>
                <w:lang w:val="en-US" w:eastAsia="zh-CN"/>
              </w:rPr>
            </w:pPr>
            <w:r>
              <w:rPr>
                <w:rFonts w:hint="eastAsia"/>
                <w:color w:val="auto"/>
                <w:lang w:val="en-US" w:eastAsia="zh-CN"/>
              </w:rPr>
              <w:t>EBIS生化池</w:t>
            </w:r>
          </w:p>
        </w:tc>
        <w:tc>
          <w:tcPr>
            <w:tcW w:w="647" w:type="pct"/>
            <w:tcBorders>
              <w:tl2br w:val="nil"/>
              <w:tr2bl w:val="nil"/>
            </w:tcBorders>
            <w:vAlign w:val="center"/>
          </w:tcPr>
          <w:p w14:paraId="1C283A6E">
            <w:pPr>
              <w:pStyle w:val="16"/>
              <w:pageBreakBefore w:val="0"/>
              <w:wordWrap/>
              <w:bidi w:val="0"/>
              <w:adjustRightInd/>
              <w:snapToGrid/>
              <w:rPr>
                <w:rFonts w:hint="default" w:eastAsia="宋体"/>
                <w:color w:val="auto"/>
                <w:lang w:val="en-US" w:eastAsia="zh-CN"/>
              </w:rPr>
            </w:pPr>
            <w:r>
              <w:rPr>
                <w:rFonts w:hint="eastAsia"/>
                <w:color w:val="auto"/>
                <w:lang w:val="en-US" w:eastAsia="zh-CN"/>
              </w:rPr>
              <w:t>680.16</w:t>
            </w:r>
          </w:p>
        </w:tc>
        <w:tc>
          <w:tcPr>
            <w:tcW w:w="422" w:type="pct"/>
            <w:tcBorders>
              <w:tl2br w:val="nil"/>
              <w:tr2bl w:val="nil"/>
            </w:tcBorders>
            <w:vAlign w:val="center"/>
          </w:tcPr>
          <w:p w14:paraId="53885F01">
            <w:pPr>
              <w:pStyle w:val="16"/>
              <w:pageBreakBefore w:val="0"/>
              <w:wordWrap/>
              <w:bidi w:val="0"/>
              <w:adjustRightInd/>
              <w:snapToGrid/>
              <w:rPr>
                <w:color w:val="auto"/>
              </w:rPr>
            </w:pPr>
            <w:r>
              <w:rPr>
                <w:rFonts w:hint="default"/>
                <w:color w:val="auto"/>
                <w:lang w:val="en-US" w:eastAsia="zh-CN"/>
              </w:rPr>
              <w:t xml:space="preserve">0.0441 </w:t>
            </w:r>
          </w:p>
        </w:tc>
        <w:tc>
          <w:tcPr>
            <w:tcW w:w="421" w:type="pct"/>
            <w:tcBorders>
              <w:tl2br w:val="nil"/>
              <w:tr2bl w:val="nil"/>
            </w:tcBorders>
            <w:vAlign w:val="center"/>
          </w:tcPr>
          <w:p w14:paraId="133017A1">
            <w:pPr>
              <w:pStyle w:val="16"/>
              <w:pageBreakBefore w:val="0"/>
              <w:wordWrap/>
              <w:bidi w:val="0"/>
              <w:adjustRightInd/>
              <w:snapToGrid/>
              <w:rPr>
                <w:color w:val="auto"/>
              </w:rPr>
            </w:pPr>
            <w:r>
              <w:rPr>
                <w:rFonts w:hint="default"/>
                <w:color w:val="auto"/>
                <w:lang w:val="en-US" w:eastAsia="zh-CN"/>
              </w:rPr>
              <w:t xml:space="preserve">0.3861 </w:t>
            </w:r>
          </w:p>
        </w:tc>
        <w:tc>
          <w:tcPr>
            <w:tcW w:w="532" w:type="pct"/>
            <w:tcBorders>
              <w:tl2br w:val="nil"/>
              <w:tr2bl w:val="nil"/>
            </w:tcBorders>
            <w:vAlign w:val="center"/>
          </w:tcPr>
          <w:p w14:paraId="476E0FCA">
            <w:pPr>
              <w:pStyle w:val="16"/>
              <w:pageBreakBefore w:val="0"/>
              <w:wordWrap/>
              <w:bidi w:val="0"/>
              <w:adjustRightInd/>
              <w:snapToGrid/>
              <w:rPr>
                <w:color w:val="auto"/>
              </w:rPr>
            </w:pPr>
            <w:r>
              <w:rPr>
                <w:rFonts w:hint="default"/>
                <w:color w:val="auto"/>
                <w:lang w:val="en-US" w:eastAsia="zh-CN"/>
              </w:rPr>
              <w:t xml:space="preserve">0.00110 </w:t>
            </w:r>
          </w:p>
        </w:tc>
        <w:tc>
          <w:tcPr>
            <w:tcW w:w="450" w:type="pct"/>
            <w:tcBorders>
              <w:tl2br w:val="nil"/>
              <w:tr2bl w:val="nil"/>
            </w:tcBorders>
            <w:vAlign w:val="center"/>
          </w:tcPr>
          <w:p w14:paraId="7015272F">
            <w:pPr>
              <w:pStyle w:val="16"/>
              <w:pageBreakBefore w:val="0"/>
              <w:wordWrap/>
              <w:bidi w:val="0"/>
              <w:adjustRightInd/>
              <w:snapToGrid/>
              <w:rPr>
                <w:color w:val="auto"/>
              </w:rPr>
            </w:pPr>
            <w:r>
              <w:rPr>
                <w:rFonts w:hint="default"/>
                <w:color w:val="auto"/>
                <w:lang w:val="en-US" w:eastAsia="zh-CN"/>
              </w:rPr>
              <w:t xml:space="preserve">0.0097 </w:t>
            </w:r>
          </w:p>
        </w:tc>
      </w:tr>
      <w:tr w14:paraId="5229FC7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1" w:type="pct"/>
            <w:vMerge w:val="continue"/>
            <w:tcBorders>
              <w:tl2br w:val="nil"/>
              <w:tr2bl w:val="nil"/>
            </w:tcBorders>
            <w:vAlign w:val="center"/>
          </w:tcPr>
          <w:p w14:paraId="5AD00AB0">
            <w:pPr>
              <w:pStyle w:val="16"/>
              <w:pageBreakBefore w:val="0"/>
              <w:wordWrap/>
              <w:bidi w:val="0"/>
              <w:adjustRightInd/>
              <w:snapToGrid/>
              <w:rPr>
                <w:color w:val="auto"/>
              </w:rPr>
            </w:pPr>
          </w:p>
        </w:tc>
        <w:tc>
          <w:tcPr>
            <w:tcW w:w="1694" w:type="pct"/>
            <w:tcBorders>
              <w:tl2br w:val="nil"/>
              <w:tr2bl w:val="nil"/>
            </w:tcBorders>
            <w:shd w:val="clear" w:color="auto" w:fill="auto"/>
            <w:vAlign w:val="center"/>
          </w:tcPr>
          <w:p w14:paraId="71B8C1CB">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磁混凝沉淀池</w:t>
            </w:r>
          </w:p>
        </w:tc>
        <w:tc>
          <w:tcPr>
            <w:tcW w:w="647" w:type="pct"/>
            <w:tcBorders>
              <w:tl2br w:val="nil"/>
              <w:tr2bl w:val="nil"/>
            </w:tcBorders>
            <w:shd w:val="clear" w:color="auto" w:fill="auto"/>
            <w:vAlign w:val="center"/>
          </w:tcPr>
          <w:p w14:paraId="4F6924DA">
            <w:pPr>
              <w:pStyle w:val="16"/>
              <w:pageBreakBefore w:val="0"/>
              <w:wordWrap/>
              <w:bidi w:val="0"/>
              <w:adjustRightInd/>
              <w:snapToGrid/>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230.4</w:t>
            </w:r>
          </w:p>
        </w:tc>
        <w:tc>
          <w:tcPr>
            <w:tcW w:w="422" w:type="pct"/>
            <w:tcBorders>
              <w:tl2br w:val="nil"/>
              <w:tr2bl w:val="nil"/>
            </w:tcBorders>
            <w:shd w:val="clear" w:color="auto" w:fill="auto"/>
            <w:vAlign w:val="center"/>
          </w:tcPr>
          <w:p w14:paraId="4B8ABE4B">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default"/>
                <w:color w:val="auto"/>
                <w:lang w:val="en-US" w:eastAsia="zh-CN"/>
              </w:rPr>
              <w:t xml:space="preserve">0.0705 </w:t>
            </w:r>
          </w:p>
        </w:tc>
        <w:tc>
          <w:tcPr>
            <w:tcW w:w="421" w:type="pct"/>
            <w:tcBorders>
              <w:tl2br w:val="nil"/>
              <w:tr2bl w:val="nil"/>
            </w:tcBorders>
            <w:shd w:val="clear" w:color="auto" w:fill="auto"/>
            <w:vAlign w:val="center"/>
          </w:tcPr>
          <w:p w14:paraId="74BD987D">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default"/>
                <w:color w:val="auto"/>
                <w:lang w:val="en-US" w:eastAsia="zh-CN"/>
              </w:rPr>
              <w:t xml:space="preserve">0.6176 </w:t>
            </w:r>
          </w:p>
        </w:tc>
        <w:tc>
          <w:tcPr>
            <w:tcW w:w="532" w:type="pct"/>
            <w:tcBorders>
              <w:tl2br w:val="nil"/>
              <w:tr2bl w:val="nil"/>
            </w:tcBorders>
            <w:shd w:val="clear" w:color="auto" w:fill="auto"/>
            <w:vAlign w:val="center"/>
          </w:tcPr>
          <w:p w14:paraId="402D9F0A">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default"/>
                <w:color w:val="auto"/>
                <w:lang w:val="en-US" w:eastAsia="zh-CN"/>
              </w:rPr>
              <w:t xml:space="preserve">0.00197 </w:t>
            </w:r>
          </w:p>
        </w:tc>
        <w:tc>
          <w:tcPr>
            <w:tcW w:w="450" w:type="pct"/>
            <w:tcBorders>
              <w:tl2br w:val="nil"/>
              <w:tr2bl w:val="nil"/>
            </w:tcBorders>
            <w:shd w:val="clear" w:color="auto" w:fill="auto"/>
            <w:vAlign w:val="center"/>
          </w:tcPr>
          <w:p w14:paraId="0C3BADAB">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default"/>
                <w:color w:val="auto"/>
                <w:lang w:val="en-US" w:eastAsia="zh-CN"/>
              </w:rPr>
              <w:t xml:space="preserve">0.0173 </w:t>
            </w:r>
          </w:p>
        </w:tc>
      </w:tr>
      <w:tr w14:paraId="6EA2042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1" w:type="pct"/>
            <w:vMerge w:val="continue"/>
            <w:tcBorders>
              <w:tl2br w:val="nil"/>
              <w:tr2bl w:val="nil"/>
            </w:tcBorders>
            <w:vAlign w:val="center"/>
          </w:tcPr>
          <w:p w14:paraId="4017CA1A">
            <w:pPr>
              <w:pStyle w:val="16"/>
              <w:pageBreakBefore w:val="0"/>
              <w:wordWrap/>
              <w:bidi w:val="0"/>
              <w:adjustRightInd/>
              <w:snapToGrid/>
              <w:rPr>
                <w:color w:val="auto"/>
              </w:rPr>
            </w:pPr>
          </w:p>
        </w:tc>
        <w:tc>
          <w:tcPr>
            <w:tcW w:w="1694" w:type="pct"/>
            <w:tcBorders>
              <w:tl2br w:val="nil"/>
              <w:tr2bl w:val="nil"/>
            </w:tcBorders>
            <w:vAlign w:val="center"/>
          </w:tcPr>
          <w:p w14:paraId="296B58AC">
            <w:pPr>
              <w:pStyle w:val="16"/>
              <w:pageBreakBefore w:val="0"/>
              <w:wordWrap/>
              <w:bidi w:val="0"/>
              <w:adjustRightInd/>
              <w:snapToGrid/>
              <w:rPr>
                <w:rFonts w:hint="default" w:eastAsia="宋体"/>
                <w:color w:val="auto"/>
                <w:lang w:val="en-US" w:eastAsia="zh-CN"/>
              </w:rPr>
            </w:pPr>
            <w:r>
              <w:rPr>
                <w:rFonts w:hint="eastAsia"/>
                <w:color w:val="auto"/>
                <w:lang w:val="en-US" w:eastAsia="zh-CN"/>
              </w:rPr>
              <w:t>反硝化深床滤池</w:t>
            </w:r>
          </w:p>
        </w:tc>
        <w:tc>
          <w:tcPr>
            <w:tcW w:w="647" w:type="pct"/>
            <w:tcBorders>
              <w:tl2br w:val="nil"/>
              <w:tr2bl w:val="nil"/>
            </w:tcBorders>
            <w:vAlign w:val="center"/>
          </w:tcPr>
          <w:p w14:paraId="7ECE630B">
            <w:pPr>
              <w:pStyle w:val="16"/>
              <w:pageBreakBefore w:val="0"/>
              <w:wordWrap/>
              <w:bidi w:val="0"/>
              <w:adjustRightInd/>
              <w:snapToGrid/>
              <w:rPr>
                <w:color w:val="auto"/>
              </w:rPr>
            </w:pPr>
            <w:r>
              <w:rPr>
                <w:rFonts w:hint="eastAsia"/>
                <w:color w:val="auto"/>
                <w:lang w:val="en-US" w:eastAsia="zh-CN"/>
              </w:rPr>
              <w:t>319.74</w:t>
            </w:r>
          </w:p>
        </w:tc>
        <w:tc>
          <w:tcPr>
            <w:tcW w:w="422" w:type="pct"/>
            <w:tcBorders>
              <w:tl2br w:val="nil"/>
              <w:tr2bl w:val="nil"/>
            </w:tcBorders>
            <w:vAlign w:val="center"/>
          </w:tcPr>
          <w:p w14:paraId="559C84C8">
            <w:pPr>
              <w:pStyle w:val="16"/>
              <w:pageBreakBefore w:val="0"/>
              <w:wordWrap/>
              <w:bidi w:val="0"/>
              <w:adjustRightInd/>
              <w:snapToGrid/>
              <w:rPr>
                <w:color w:val="auto"/>
              </w:rPr>
            </w:pPr>
            <w:r>
              <w:rPr>
                <w:rFonts w:hint="default"/>
                <w:color w:val="auto"/>
                <w:lang w:val="en-US" w:eastAsia="zh-CN"/>
              </w:rPr>
              <w:t xml:space="preserve">0.0207 </w:t>
            </w:r>
          </w:p>
        </w:tc>
        <w:tc>
          <w:tcPr>
            <w:tcW w:w="421" w:type="pct"/>
            <w:tcBorders>
              <w:tl2br w:val="nil"/>
              <w:tr2bl w:val="nil"/>
            </w:tcBorders>
            <w:vAlign w:val="center"/>
          </w:tcPr>
          <w:p w14:paraId="5D4A2E55">
            <w:pPr>
              <w:pStyle w:val="16"/>
              <w:pageBreakBefore w:val="0"/>
              <w:wordWrap/>
              <w:bidi w:val="0"/>
              <w:adjustRightInd/>
              <w:snapToGrid/>
              <w:rPr>
                <w:color w:val="auto"/>
              </w:rPr>
            </w:pPr>
            <w:r>
              <w:rPr>
                <w:rFonts w:hint="default"/>
                <w:color w:val="auto"/>
                <w:lang w:val="en-US" w:eastAsia="zh-CN"/>
              </w:rPr>
              <w:t xml:space="preserve">0.1815 </w:t>
            </w:r>
          </w:p>
        </w:tc>
        <w:tc>
          <w:tcPr>
            <w:tcW w:w="532" w:type="pct"/>
            <w:tcBorders>
              <w:tl2br w:val="nil"/>
              <w:tr2bl w:val="nil"/>
            </w:tcBorders>
            <w:vAlign w:val="center"/>
          </w:tcPr>
          <w:p w14:paraId="2E3DDA21">
            <w:pPr>
              <w:pStyle w:val="16"/>
              <w:pageBreakBefore w:val="0"/>
              <w:wordWrap/>
              <w:bidi w:val="0"/>
              <w:adjustRightInd/>
              <w:snapToGrid/>
              <w:rPr>
                <w:color w:val="auto"/>
              </w:rPr>
            </w:pPr>
            <w:r>
              <w:rPr>
                <w:rFonts w:hint="default"/>
                <w:color w:val="auto"/>
                <w:lang w:val="en-US" w:eastAsia="zh-CN"/>
              </w:rPr>
              <w:t xml:space="preserve">0.00052 </w:t>
            </w:r>
          </w:p>
        </w:tc>
        <w:tc>
          <w:tcPr>
            <w:tcW w:w="450" w:type="pct"/>
            <w:tcBorders>
              <w:tl2br w:val="nil"/>
              <w:tr2bl w:val="nil"/>
            </w:tcBorders>
            <w:vAlign w:val="center"/>
          </w:tcPr>
          <w:p w14:paraId="7A86659D">
            <w:pPr>
              <w:pStyle w:val="16"/>
              <w:pageBreakBefore w:val="0"/>
              <w:wordWrap/>
              <w:bidi w:val="0"/>
              <w:adjustRightInd/>
              <w:snapToGrid/>
              <w:rPr>
                <w:color w:val="auto"/>
              </w:rPr>
            </w:pPr>
            <w:r>
              <w:rPr>
                <w:rFonts w:hint="default"/>
                <w:color w:val="auto"/>
                <w:lang w:val="en-US" w:eastAsia="zh-CN"/>
              </w:rPr>
              <w:t xml:space="preserve">0.0045 </w:t>
            </w:r>
          </w:p>
        </w:tc>
      </w:tr>
      <w:tr w14:paraId="126DBB7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1" w:type="pct"/>
            <w:vMerge w:val="continue"/>
            <w:tcBorders>
              <w:tl2br w:val="nil"/>
              <w:tr2bl w:val="nil"/>
            </w:tcBorders>
            <w:vAlign w:val="center"/>
          </w:tcPr>
          <w:p w14:paraId="6C61FB11">
            <w:pPr>
              <w:pStyle w:val="16"/>
              <w:pageBreakBefore w:val="0"/>
              <w:wordWrap/>
              <w:bidi w:val="0"/>
              <w:adjustRightInd/>
              <w:snapToGrid/>
              <w:rPr>
                <w:rFonts w:hint="default" w:eastAsia="宋体"/>
                <w:color w:val="auto"/>
                <w:lang w:val="en-US" w:eastAsia="zh-CN"/>
              </w:rPr>
            </w:pPr>
          </w:p>
        </w:tc>
        <w:tc>
          <w:tcPr>
            <w:tcW w:w="1694" w:type="pct"/>
            <w:tcBorders>
              <w:tl2br w:val="nil"/>
              <w:tr2bl w:val="nil"/>
            </w:tcBorders>
            <w:vAlign w:val="center"/>
          </w:tcPr>
          <w:p w14:paraId="20CFEF9A">
            <w:pPr>
              <w:pStyle w:val="16"/>
              <w:pageBreakBefore w:val="0"/>
              <w:wordWrap/>
              <w:bidi w:val="0"/>
              <w:adjustRightInd/>
              <w:snapToGrid/>
              <w:rPr>
                <w:rFonts w:hint="default" w:eastAsia="宋体"/>
                <w:color w:val="auto"/>
                <w:lang w:val="en-US" w:eastAsia="zh-CN"/>
              </w:rPr>
            </w:pPr>
            <w:r>
              <w:rPr>
                <w:rFonts w:hint="eastAsia"/>
                <w:color w:val="auto"/>
                <w:lang w:val="en-US" w:eastAsia="zh-CN"/>
              </w:rPr>
              <w:t>高级氧化深度处理</w:t>
            </w:r>
          </w:p>
        </w:tc>
        <w:tc>
          <w:tcPr>
            <w:tcW w:w="647" w:type="pct"/>
            <w:tcBorders>
              <w:tl2br w:val="nil"/>
              <w:tr2bl w:val="nil"/>
            </w:tcBorders>
            <w:vAlign w:val="center"/>
          </w:tcPr>
          <w:p w14:paraId="02B8E0F9">
            <w:pPr>
              <w:pStyle w:val="16"/>
              <w:pageBreakBefore w:val="0"/>
              <w:wordWrap/>
              <w:bidi w:val="0"/>
              <w:adjustRightInd/>
              <w:snapToGrid/>
              <w:rPr>
                <w:rFonts w:hint="default" w:eastAsia="宋体"/>
                <w:color w:val="auto"/>
                <w:lang w:val="en-US" w:eastAsia="zh-CN"/>
              </w:rPr>
            </w:pPr>
            <w:r>
              <w:rPr>
                <w:rFonts w:hint="eastAsia"/>
                <w:color w:val="auto"/>
                <w:lang w:val="en-US" w:eastAsia="zh-CN"/>
              </w:rPr>
              <w:t>40</w:t>
            </w:r>
          </w:p>
        </w:tc>
        <w:tc>
          <w:tcPr>
            <w:tcW w:w="422" w:type="pct"/>
            <w:tcBorders>
              <w:tl2br w:val="nil"/>
              <w:tr2bl w:val="nil"/>
            </w:tcBorders>
            <w:vAlign w:val="center"/>
          </w:tcPr>
          <w:p w14:paraId="32AE03A6">
            <w:pPr>
              <w:pStyle w:val="16"/>
              <w:pageBreakBefore w:val="0"/>
              <w:wordWrap/>
              <w:bidi w:val="0"/>
              <w:adjustRightInd/>
              <w:snapToGrid/>
              <w:rPr>
                <w:color w:val="auto"/>
              </w:rPr>
            </w:pPr>
            <w:r>
              <w:rPr>
                <w:rFonts w:hint="default"/>
                <w:color w:val="auto"/>
                <w:lang w:val="en-US" w:eastAsia="zh-CN"/>
              </w:rPr>
              <w:t xml:space="preserve">0.0026 </w:t>
            </w:r>
          </w:p>
        </w:tc>
        <w:tc>
          <w:tcPr>
            <w:tcW w:w="421" w:type="pct"/>
            <w:tcBorders>
              <w:tl2br w:val="nil"/>
              <w:tr2bl w:val="nil"/>
            </w:tcBorders>
            <w:vAlign w:val="center"/>
          </w:tcPr>
          <w:p w14:paraId="0D8B1145">
            <w:pPr>
              <w:pStyle w:val="16"/>
              <w:pageBreakBefore w:val="0"/>
              <w:wordWrap/>
              <w:bidi w:val="0"/>
              <w:adjustRightInd/>
              <w:snapToGrid/>
              <w:rPr>
                <w:color w:val="auto"/>
              </w:rPr>
            </w:pPr>
            <w:r>
              <w:rPr>
                <w:rFonts w:hint="default"/>
                <w:color w:val="auto"/>
                <w:lang w:val="en-US" w:eastAsia="zh-CN"/>
              </w:rPr>
              <w:t xml:space="preserve">0.0227 </w:t>
            </w:r>
          </w:p>
        </w:tc>
        <w:tc>
          <w:tcPr>
            <w:tcW w:w="532" w:type="pct"/>
            <w:tcBorders>
              <w:tl2br w:val="nil"/>
              <w:tr2bl w:val="nil"/>
            </w:tcBorders>
            <w:vAlign w:val="center"/>
          </w:tcPr>
          <w:p w14:paraId="19F138F9">
            <w:pPr>
              <w:pStyle w:val="16"/>
              <w:pageBreakBefore w:val="0"/>
              <w:wordWrap/>
              <w:bidi w:val="0"/>
              <w:adjustRightInd/>
              <w:snapToGrid/>
              <w:rPr>
                <w:color w:val="auto"/>
              </w:rPr>
            </w:pPr>
            <w:r>
              <w:rPr>
                <w:rFonts w:hint="default"/>
                <w:color w:val="auto"/>
                <w:lang w:val="en-US" w:eastAsia="zh-CN"/>
              </w:rPr>
              <w:t xml:space="preserve">0.00006 </w:t>
            </w:r>
          </w:p>
        </w:tc>
        <w:tc>
          <w:tcPr>
            <w:tcW w:w="450" w:type="pct"/>
            <w:tcBorders>
              <w:tl2br w:val="nil"/>
              <w:tr2bl w:val="nil"/>
            </w:tcBorders>
            <w:vAlign w:val="center"/>
          </w:tcPr>
          <w:p w14:paraId="06C016D0">
            <w:pPr>
              <w:pStyle w:val="16"/>
              <w:pageBreakBefore w:val="0"/>
              <w:wordWrap/>
              <w:bidi w:val="0"/>
              <w:adjustRightInd/>
              <w:snapToGrid/>
              <w:rPr>
                <w:color w:val="auto"/>
              </w:rPr>
            </w:pPr>
            <w:r>
              <w:rPr>
                <w:rFonts w:hint="default"/>
                <w:color w:val="auto"/>
                <w:lang w:val="en-US" w:eastAsia="zh-CN"/>
              </w:rPr>
              <w:t xml:space="preserve">0.0006 </w:t>
            </w:r>
          </w:p>
        </w:tc>
      </w:tr>
      <w:tr w14:paraId="4DC96FE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1" w:type="pct"/>
            <w:vMerge w:val="restart"/>
            <w:tcBorders>
              <w:tl2br w:val="nil"/>
              <w:tr2bl w:val="nil"/>
            </w:tcBorders>
            <w:vAlign w:val="center"/>
          </w:tcPr>
          <w:p w14:paraId="22856202">
            <w:pPr>
              <w:pStyle w:val="16"/>
              <w:pageBreakBefore w:val="0"/>
              <w:wordWrap/>
              <w:bidi w:val="0"/>
              <w:adjustRightInd/>
              <w:snapToGrid/>
              <w:rPr>
                <w:rFonts w:hint="default" w:eastAsia="宋体"/>
                <w:color w:val="auto"/>
                <w:lang w:val="en-US" w:eastAsia="zh-CN"/>
              </w:rPr>
            </w:pPr>
            <w:r>
              <w:rPr>
                <w:rFonts w:hint="eastAsia"/>
                <w:color w:val="auto"/>
                <w:lang w:val="en-US" w:eastAsia="zh-CN"/>
              </w:rPr>
              <w:t>污泥处理单元</w:t>
            </w:r>
          </w:p>
        </w:tc>
        <w:tc>
          <w:tcPr>
            <w:tcW w:w="1694" w:type="pct"/>
            <w:tcBorders>
              <w:tl2br w:val="nil"/>
              <w:tr2bl w:val="nil"/>
            </w:tcBorders>
            <w:shd w:val="clear" w:color="auto" w:fill="auto"/>
            <w:vAlign w:val="center"/>
          </w:tcPr>
          <w:p w14:paraId="4EEE5C97">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污泥池</w:t>
            </w:r>
          </w:p>
        </w:tc>
        <w:tc>
          <w:tcPr>
            <w:tcW w:w="647" w:type="pct"/>
            <w:tcBorders>
              <w:tl2br w:val="nil"/>
              <w:tr2bl w:val="nil"/>
            </w:tcBorders>
            <w:shd w:val="clear" w:color="auto" w:fill="auto"/>
            <w:vAlign w:val="center"/>
          </w:tcPr>
          <w:p w14:paraId="22D22525">
            <w:pPr>
              <w:pStyle w:val="16"/>
              <w:pageBreakBefore w:val="0"/>
              <w:wordWrap/>
              <w:bidi w:val="0"/>
              <w:adjustRightInd/>
              <w:snapToGrid/>
              <w:ind w:left="0" w:leftChars="0" w:firstLine="0" w:firstLineChars="0"/>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41.5</w:t>
            </w:r>
          </w:p>
        </w:tc>
        <w:tc>
          <w:tcPr>
            <w:tcW w:w="422" w:type="pct"/>
            <w:tcBorders>
              <w:tl2br w:val="nil"/>
              <w:tr2bl w:val="nil"/>
            </w:tcBorders>
            <w:shd w:val="clear" w:color="auto" w:fill="auto"/>
            <w:vAlign w:val="center"/>
          </w:tcPr>
          <w:p w14:paraId="259D25D3">
            <w:pPr>
              <w:pStyle w:val="16"/>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rFonts w:hint="default"/>
                <w:color w:val="auto"/>
                <w:lang w:val="en-US" w:eastAsia="zh-CN"/>
              </w:rPr>
              <w:t xml:space="preserve">0.0127 </w:t>
            </w:r>
          </w:p>
        </w:tc>
        <w:tc>
          <w:tcPr>
            <w:tcW w:w="421" w:type="pct"/>
            <w:tcBorders>
              <w:tl2br w:val="nil"/>
              <w:tr2bl w:val="nil"/>
            </w:tcBorders>
            <w:shd w:val="clear" w:color="auto" w:fill="auto"/>
            <w:vAlign w:val="center"/>
          </w:tcPr>
          <w:p w14:paraId="0237098F">
            <w:pPr>
              <w:pStyle w:val="16"/>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rFonts w:hint="default"/>
                <w:color w:val="auto"/>
                <w:lang w:val="en-US" w:eastAsia="zh-CN"/>
              </w:rPr>
              <w:t xml:space="preserve">0.1112 </w:t>
            </w:r>
          </w:p>
        </w:tc>
        <w:tc>
          <w:tcPr>
            <w:tcW w:w="532" w:type="pct"/>
            <w:tcBorders>
              <w:tl2br w:val="nil"/>
              <w:tr2bl w:val="nil"/>
            </w:tcBorders>
            <w:shd w:val="clear" w:color="auto" w:fill="auto"/>
            <w:vAlign w:val="center"/>
          </w:tcPr>
          <w:p w14:paraId="6B226594">
            <w:pPr>
              <w:pStyle w:val="16"/>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rFonts w:hint="default"/>
                <w:color w:val="auto"/>
                <w:lang w:val="en-US" w:eastAsia="zh-CN"/>
              </w:rPr>
              <w:t xml:space="preserve">0.00036 </w:t>
            </w:r>
          </w:p>
        </w:tc>
        <w:tc>
          <w:tcPr>
            <w:tcW w:w="450" w:type="pct"/>
            <w:tcBorders>
              <w:tl2br w:val="nil"/>
              <w:tr2bl w:val="nil"/>
            </w:tcBorders>
            <w:shd w:val="clear" w:color="auto" w:fill="auto"/>
            <w:vAlign w:val="center"/>
          </w:tcPr>
          <w:p w14:paraId="672E3D14">
            <w:pPr>
              <w:pStyle w:val="16"/>
              <w:pageBreakBefore w:val="0"/>
              <w:wordWrap/>
              <w:bidi w:val="0"/>
              <w:adjustRightInd/>
              <w:snapToGrid/>
              <w:ind w:left="0" w:leftChars="0" w:firstLine="0" w:firstLineChars="0"/>
              <w:rPr>
                <w:rFonts w:ascii="Times New Roman" w:hAnsi="Times New Roman" w:eastAsia="宋体" w:cs="Times New Roman"/>
                <w:color w:val="auto"/>
                <w:kern w:val="2"/>
                <w:sz w:val="21"/>
                <w:szCs w:val="24"/>
                <w:lang w:val="en-US" w:eastAsia="zh-CN" w:bidi="ar-SA"/>
              </w:rPr>
            </w:pPr>
            <w:r>
              <w:rPr>
                <w:rFonts w:hint="default"/>
                <w:color w:val="auto"/>
                <w:lang w:val="en-US" w:eastAsia="zh-CN"/>
              </w:rPr>
              <w:t xml:space="preserve">0.0031 </w:t>
            </w:r>
          </w:p>
        </w:tc>
      </w:tr>
      <w:tr w14:paraId="06A0930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1" w:type="pct"/>
            <w:vMerge w:val="continue"/>
            <w:tcBorders>
              <w:tl2br w:val="nil"/>
              <w:tr2bl w:val="nil"/>
            </w:tcBorders>
            <w:vAlign w:val="center"/>
          </w:tcPr>
          <w:p w14:paraId="7AD16915">
            <w:pPr>
              <w:pStyle w:val="16"/>
              <w:pageBreakBefore w:val="0"/>
              <w:wordWrap/>
              <w:bidi w:val="0"/>
              <w:adjustRightInd/>
              <w:snapToGrid/>
              <w:rPr>
                <w:color w:val="auto"/>
              </w:rPr>
            </w:pPr>
          </w:p>
        </w:tc>
        <w:tc>
          <w:tcPr>
            <w:tcW w:w="1694" w:type="pct"/>
            <w:tcBorders>
              <w:tl2br w:val="nil"/>
              <w:tr2bl w:val="nil"/>
            </w:tcBorders>
            <w:vAlign w:val="center"/>
          </w:tcPr>
          <w:p w14:paraId="6B914FA5">
            <w:pPr>
              <w:pStyle w:val="16"/>
              <w:pageBreakBefore w:val="0"/>
              <w:wordWrap/>
              <w:bidi w:val="0"/>
              <w:adjustRightInd/>
              <w:snapToGrid/>
              <w:rPr>
                <w:color w:val="auto"/>
              </w:rPr>
            </w:pPr>
            <w:r>
              <w:rPr>
                <w:rFonts w:hint="eastAsia"/>
                <w:color w:val="auto"/>
                <w:lang w:val="en-US" w:eastAsia="zh-CN"/>
              </w:rPr>
              <w:t>污泥脱水车间</w:t>
            </w:r>
          </w:p>
        </w:tc>
        <w:tc>
          <w:tcPr>
            <w:tcW w:w="647" w:type="pct"/>
            <w:tcBorders>
              <w:tl2br w:val="nil"/>
              <w:tr2bl w:val="nil"/>
            </w:tcBorders>
            <w:vAlign w:val="center"/>
          </w:tcPr>
          <w:p w14:paraId="73A89021">
            <w:pPr>
              <w:pStyle w:val="16"/>
              <w:pageBreakBefore w:val="0"/>
              <w:wordWrap/>
              <w:bidi w:val="0"/>
              <w:adjustRightInd/>
              <w:snapToGrid/>
              <w:rPr>
                <w:rFonts w:hint="default" w:eastAsia="宋体"/>
                <w:color w:val="auto"/>
                <w:lang w:val="en-US" w:eastAsia="zh-CN"/>
              </w:rPr>
            </w:pPr>
            <w:r>
              <w:rPr>
                <w:rFonts w:hint="eastAsia"/>
                <w:color w:val="auto"/>
                <w:lang w:val="en-US" w:eastAsia="zh-CN"/>
              </w:rPr>
              <w:t>301.44</w:t>
            </w:r>
          </w:p>
        </w:tc>
        <w:tc>
          <w:tcPr>
            <w:tcW w:w="422" w:type="pct"/>
            <w:tcBorders>
              <w:tl2br w:val="nil"/>
              <w:tr2bl w:val="nil"/>
            </w:tcBorders>
            <w:vAlign w:val="center"/>
          </w:tcPr>
          <w:p w14:paraId="0AD1E8FC">
            <w:pPr>
              <w:pStyle w:val="16"/>
              <w:pageBreakBefore w:val="0"/>
              <w:wordWrap/>
              <w:bidi w:val="0"/>
              <w:adjustRightInd/>
              <w:snapToGrid/>
              <w:rPr>
                <w:color w:val="auto"/>
              </w:rPr>
            </w:pPr>
            <w:r>
              <w:rPr>
                <w:rFonts w:hint="default"/>
                <w:color w:val="auto"/>
                <w:lang w:val="en-US" w:eastAsia="zh-CN"/>
              </w:rPr>
              <w:t xml:space="preserve">0.0922 </w:t>
            </w:r>
          </w:p>
        </w:tc>
        <w:tc>
          <w:tcPr>
            <w:tcW w:w="421" w:type="pct"/>
            <w:tcBorders>
              <w:tl2br w:val="nil"/>
              <w:tr2bl w:val="nil"/>
            </w:tcBorders>
            <w:vAlign w:val="center"/>
          </w:tcPr>
          <w:p w14:paraId="554FA2C3">
            <w:pPr>
              <w:pStyle w:val="16"/>
              <w:pageBreakBefore w:val="0"/>
              <w:wordWrap/>
              <w:bidi w:val="0"/>
              <w:adjustRightInd/>
              <w:snapToGrid/>
              <w:rPr>
                <w:color w:val="auto"/>
              </w:rPr>
            </w:pPr>
            <w:r>
              <w:rPr>
                <w:rFonts w:hint="default"/>
                <w:color w:val="auto"/>
                <w:lang w:val="en-US" w:eastAsia="zh-CN"/>
              </w:rPr>
              <w:t xml:space="preserve">0.8080 </w:t>
            </w:r>
          </w:p>
        </w:tc>
        <w:tc>
          <w:tcPr>
            <w:tcW w:w="532" w:type="pct"/>
            <w:tcBorders>
              <w:tl2br w:val="nil"/>
              <w:tr2bl w:val="nil"/>
            </w:tcBorders>
            <w:vAlign w:val="center"/>
          </w:tcPr>
          <w:p w14:paraId="3662D8FB">
            <w:pPr>
              <w:pStyle w:val="16"/>
              <w:pageBreakBefore w:val="0"/>
              <w:wordWrap/>
              <w:bidi w:val="0"/>
              <w:adjustRightInd/>
              <w:snapToGrid/>
              <w:rPr>
                <w:color w:val="auto"/>
              </w:rPr>
            </w:pPr>
            <w:r>
              <w:rPr>
                <w:rFonts w:hint="default"/>
                <w:color w:val="auto"/>
                <w:lang w:val="en-US" w:eastAsia="zh-CN"/>
              </w:rPr>
              <w:t xml:space="preserve">0.00258 </w:t>
            </w:r>
          </w:p>
        </w:tc>
        <w:tc>
          <w:tcPr>
            <w:tcW w:w="450" w:type="pct"/>
            <w:tcBorders>
              <w:tl2br w:val="nil"/>
              <w:tr2bl w:val="nil"/>
            </w:tcBorders>
            <w:vAlign w:val="center"/>
          </w:tcPr>
          <w:p w14:paraId="770A3A96">
            <w:pPr>
              <w:pStyle w:val="16"/>
              <w:pageBreakBefore w:val="0"/>
              <w:wordWrap/>
              <w:bidi w:val="0"/>
              <w:adjustRightInd/>
              <w:snapToGrid/>
              <w:rPr>
                <w:color w:val="auto"/>
              </w:rPr>
            </w:pPr>
            <w:r>
              <w:rPr>
                <w:rFonts w:hint="default"/>
                <w:color w:val="auto"/>
                <w:lang w:val="en-US" w:eastAsia="zh-CN"/>
              </w:rPr>
              <w:t xml:space="preserve">0.0226 </w:t>
            </w:r>
          </w:p>
        </w:tc>
      </w:tr>
    </w:tbl>
    <w:p w14:paraId="06ECEBF6">
      <w:pPr>
        <w:keepNext w:val="0"/>
        <w:keepLines w:val="0"/>
        <w:pageBreakBefore w:val="0"/>
        <w:widowControl w:val="0"/>
        <w:kinsoku/>
        <w:wordWrap/>
        <w:overflowPunct/>
        <w:topLinePunct w:val="0"/>
        <w:autoSpaceDE/>
        <w:autoSpaceDN/>
        <w:bidi w:val="0"/>
        <w:adjustRightInd/>
        <w:snapToGrid/>
        <w:spacing w:before="144" w:beforeLines="50"/>
        <w:ind w:firstLine="480"/>
        <w:textAlignment w:val="auto"/>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rFonts w:hint="eastAsia"/>
          <w:b/>
          <w:bCs/>
          <w:color w:val="auto"/>
          <w:lang w:val="en-US" w:eastAsia="zh-CN"/>
        </w:rPr>
        <w:t>臭气收集及治理措施</w:t>
      </w:r>
    </w:p>
    <w:p w14:paraId="53FDE04E">
      <w:pPr>
        <w:pageBreakBefore w:val="0"/>
        <w:wordWrap/>
        <w:bidi w:val="0"/>
        <w:adjustRightInd/>
        <w:snapToGrid/>
        <w:rPr>
          <w:rFonts w:hint="eastAsia"/>
          <w:color w:val="auto"/>
          <w:lang w:val="en-US" w:eastAsia="zh-CN"/>
        </w:rPr>
      </w:pPr>
      <w:r>
        <w:rPr>
          <w:rFonts w:hint="eastAsia"/>
          <w:b/>
          <w:bCs/>
          <w:color w:val="auto"/>
          <w:lang w:val="en-US" w:eastAsia="zh-CN"/>
        </w:rPr>
        <w:t>收集措施：</w:t>
      </w:r>
      <w:r>
        <w:rPr>
          <w:rFonts w:hint="eastAsia"/>
          <w:color w:val="auto"/>
          <w:lang w:val="en-US" w:eastAsia="zh-CN"/>
        </w:rPr>
        <w:t>本项目为地下式污水处理厂，各污水处理构筑物均置于地下，具有良好的密闭性；本项目拟对预处理区（超细格栅、调节池及水解酸化池），生化池、磁混凝沉淀池和反硝化深床滤除等水处理构筑物，污泥池、污泥脱水车间等污泥处理单元等区域进行密闭，并设置机械排风系统，通过负压风机整体抽风收集臭气，臭气收集后通过管道输送至除臭系统处理；其中预处理区（超细格栅、调节池及水解酸化池）、污泥干化脱水机房等区域按换气次数不小于6-12次/小时设计，生化池等区域按换气次数不小于6次/小时设计。</w:t>
      </w:r>
    </w:p>
    <w:p w14:paraId="27E439CD">
      <w:pPr>
        <w:pageBreakBefore w:val="0"/>
        <w:wordWrap/>
        <w:bidi w:val="0"/>
        <w:adjustRightInd/>
        <w:snapToGrid/>
        <w:rPr>
          <w:rFonts w:hint="eastAsia"/>
          <w:color w:val="auto"/>
          <w:lang w:val="en-US" w:eastAsia="zh-CN"/>
        </w:rPr>
      </w:pPr>
      <w:r>
        <w:rPr>
          <w:rFonts w:hint="eastAsia"/>
          <w:color w:val="auto"/>
          <w:lang w:val="en-US" w:eastAsia="zh-CN"/>
        </w:rPr>
        <w:t>同时为保持封闭式污水处理厂处于一个舒适的工作环境，除臭气源/区封闭收集臭气处理外，对车间内各处理区也同时进行通风换气，地面设置风井排风口进行通排风，未被收集和除臭系统漏损的恶臭废气主要通过地面通风井排放，少量通过人员出入楼梯间和地下车辆出入口逸散。</w:t>
      </w:r>
    </w:p>
    <w:p w14:paraId="10A70B6E">
      <w:pPr>
        <w:pageBreakBefore w:val="0"/>
        <w:wordWrap/>
        <w:bidi w:val="0"/>
        <w:adjustRightInd/>
        <w:snapToGrid/>
        <w:rPr>
          <w:rFonts w:hint="eastAsia"/>
          <w:color w:val="auto"/>
          <w:lang w:val="en-US" w:eastAsia="zh-CN"/>
        </w:rPr>
      </w:pPr>
      <w:r>
        <w:rPr>
          <w:rFonts w:hint="eastAsia"/>
          <w:b/>
          <w:bCs/>
          <w:color w:val="auto"/>
          <w:lang w:val="en-US" w:eastAsia="zh-CN"/>
        </w:rPr>
        <w:t>治理措施：</w:t>
      </w:r>
    </w:p>
    <w:p w14:paraId="0C47E73B">
      <w:pPr>
        <w:pageBreakBefore w:val="0"/>
        <w:wordWrap/>
        <w:bidi w:val="0"/>
        <w:adjustRightInd/>
        <w:snapToGrid/>
        <w:rPr>
          <w:rFonts w:hint="eastAsia" w:eastAsia="宋体"/>
          <w:color w:val="auto"/>
          <w:lang w:eastAsia="zh-CN"/>
        </w:rPr>
      </w:pPr>
      <w:r>
        <w:rPr>
          <w:rFonts w:hint="eastAsia"/>
          <w:color w:val="auto"/>
        </w:rPr>
        <w:t>项目恶臭末端治理采用生物</w:t>
      </w:r>
      <w:r>
        <w:rPr>
          <w:rFonts w:hint="eastAsia"/>
          <w:color w:val="auto"/>
          <w:lang w:val="en-US" w:eastAsia="zh-CN"/>
        </w:rPr>
        <w:t>滤池</w:t>
      </w:r>
      <w:r>
        <w:rPr>
          <w:rFonts w:hint="eastAsia"/>
          <w:color w:val="auto"/>
        </w:rPr>
        <w:t>除臭，生物法的工艺流程为：臭气收集→风管输送→排风机→生物除臭设备→排气。对各臭气源进行加盖、加罩密封，通过风管收集系统将各抽气源产生的臭气收集并输送到生物除臭设备中，臭气通过湿润、多孔和充满活性微生物的滤层，利用微生物细胞对恶臭物质的吸附、吸收和降解功能，微生物的细胞个体小、表面积大、吸附性强、代谢类型多样的特点，将恶臭物质吸附后分解成CO</w:t>
      </w:r>
      <w:r>
        <w:rPr>
          <w:rFonts w:hint="eastAsia"/>
          <w:color w:val="auto"/>
          <w:vertAlign w:val="subscript"/>
          <w:lang w:val="en-US" w:eastAsia="zh-CN"/>
        </w:rPr>
        <w:t>2</w:t>
      </w:r>
      <w:r>
        <w:rPr>
          <w:rFonts w:hint="eastAsia"/>
          <w:color w:val="auto"/>
        </w:rPr>
        <w:t>、H</w:t>
      </w:r>
      <w:r>
        <w:rPr>
          <w:rFonts w:hint="eastAsia"/>
          <w:color w:val="auto"/>
          <w:vertAlign w:val="subscript"/>
          <w:lang w:val="en-US" w:eastAsia="zh-CN"/>
        </w:rPr>
        <w:t>2</w:t>
      </w:r>
      <w:r>
        <w:rPr>
          <w:rFonts w:hint="eastAsia"/>
          <w:color w:val="auto"/>
        </w:rPr>
        <w:t>O、H</w:t>
      </w:r>
      <w:r>
        <w:rPr>
          <w:rFonts w:hint="eastAsia"/>
          <w:color w:val="auto"/>
          <w:vertAlign w:val="subscript"/>
          <w:lang w:val="en-US" w:eastAsia="zh-CN"/>
        </w:rPr>
        <w:t>2</w:t>
      </w:r>
      <w:r>
        <w:rPr>
          <w:rFonts w:hint="eastAsia"/>
          <w:color w:val="auto"/>
        </w:rPr>
        <w:t>SO</w:t>
      </w:r>
      <w:r>
        <w:rPr>
          <w:rFonts w:hint="eastAsia"/>
          <w:color w:val="auto"/>
          <w:vertAlign w:val="subscript"/>
        </w:rPr>
        <w:t>4</w:t>
      </w:r>
      <w:r>
        <w:rPr>
          <w:rFonts w:hint="eastAsia"/>
          <w:color w:val="auto"/>
        </w:rPr>
        <w:t>、HNO</w:t>
      </w:r>
      <w:r>
        <w:rPr>
          <w:rFonts w:hint="eastAsia"/>
          <w:color w:val="auto"/>
          <w:vertAlign w:val="subscript"/>
          <w:lang w:val="en-US" w:eastAsia="zh-CN"/>
        </w:rPr>
        <w:t>3</w:t>
      </w:r>
      <w:r>
        <w:rPr>
          <w:rFonts w:hint="eastAsia"/>
          <w:color w:val="auto"/>
        </w:rPr>
        <w:t>等简单无机物</w:t>
      </w:r>
      <w:r>
        <w:rPr>
          <w:rFonts w:hint="eastAsia"/>
          <w:color w:val="auto"/>
          <w:lang w:eastAsia="zh-CN"/>
        </w:rPr>
        <w:t>。</w:t>
      </w:r>
    </w:p>
    <w:p w14:paraId="4578650D">
      <w:pPr>
        <w:pageBreakBefore w:val="0"/>
        <w:wordWrap/>
        <w:bidi w:val="0"/>
        <w:adjustRightInd/>
        <w:snapToGrid/>
        <w:rPr>
          <w:rFonts w:hint="eastAsia" w:eastAsia="宋体"/>
          <w:color w:val="auto"/>
          <w:lang w:val="en-US" w:eastAsia="zh-CN"/>
        </w:rPr>
      </w:pPr>
      <w:r>
        <w:rPr>
          <w:rFonts w:hint="eastAsia"/>
          <w:color w:val="auto"/>
        </w:rPr>
        <w:t>本工程拟设置</w:t>
      </w:r>
      <w:r>
        <w:rPr>
          <w:rFonts w:hint="eastAsia"/>
          <w:color w:val="auto"/>
          <w:lang w:val="en-US" w:eastAsia="zh-CN"/>
        </w:rPr>
        <w:t>1</w:t>
      </w:r>
      <w:r>
        <w:rPr>
          <w:rFonts w:hint="eastAsia"/>
          <w:color w:val="auto"/>
        </w:rPr>
        <w:t>套生物滤池除臭系统，处理污水处理单元及污泥处理单元产生的臭气</w:t>
      </w:r>
      <w:r>
        <w:rPr>
          <w:rFonts w:hint="eastAsia"/>
          <w:color w:val="auto"/>
          <w:lang w:eastAsia="zh-CN"/>
        </w:rPr>
        <w:t>，</w:t>
      </w:r>
      <w:r>
        <w:rPr>
          <w:rFonts w:hint="eastAsia"/>
          <w:color w:val="auto"/>
        </w:rPr>
        <w:t>单套设备除臭风量为</w:t>
      </w:r>
      <w:r>
        <w:rPr>
          <w:rFonts w:hint="eastAsia"/>
          <w:color w:val="auto"/>
          <w:lang w:val="en-US" w:eastAsia="zh-CN"/>
        </w:rPr>
        <w:t>2</w:t>
      </w:r>
      <w:r>
        <w:rPr>
          <w:rFonts w:hint="eastAsia"/>
          <w:color w:val="auto"/>
        </w:rPr>
        <w:t>0000m³/h</w:t>
      </w:r>
      <w:r>
        <w:rPr>
          <w:rFonts w:hint="eastAsia"/>
          <w:color w:val="auto"/>
          <w:lang w:eastAsia="zh-CN"/>
        </w:rPr>
        <w:t>，</w:t>
      </w:r>
      <w:r>
        <w:rPr>
          <w:rFonts w:hint="eastAsia"/>
          <w:color w:val="auto"/>
          <w:lang w:val="en-US" w:eastAsia="zh-CN"/>
        </w:rPr>
        <w:t>位于厂区西侧，应急事故池旁</w:t>
      </w:r>
      <w:r>
        <w:rPr>
          <w:rFonts w:hint="eastAsia"/>
          <w:color w:val="auto"/>
          <w:lang w:eastAsia="zh-CN"/>
        </w:rPr>
        <w:t>。</w:t>
      </w:r>
    </w:p>
    <w:p w14:paraId="03EF59A5">
      <w:pPr>
        <w:pageBreakBefore w:val="0"/>
        <w:wordWrap/>
        <w:bidi w:val="0"/>
        <w:adjustRightInd/>
        <w:snapToGrid/>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rFonts w:hint="eastAsia"/>
          <w:b/>
          <w:bCs/>
          <w:color w:val="auto"/>
          <w:lang w:val="en-US" w:eastAsia="zh-CN"/>
        </w:rPr>
        <w:t>达标分析</w:t>
      </w:r>
    </w:p>
    <w:p w14:paraId="2F34D913">
      <w:pPr>
        <w:pageBreakBefore w:val="0"/>
        <w:wordWrap/>
        <w:bidi w:val="0"/>
        <w:adjustRightInd/>
        <w:snapToGrid/>
        <w:rPr>
          <w:color w:val="auto"/>
        </w:rPr>
      </w:pPr>
      <w:r>
        <w:rPr>
          <w:rFonts w:hint="eastAsia"/>
          <w:color w:val="auto"/>
        </w:rPr>
        <w:t>根据《污水处理厂恶臭防治对策及环境影响评价的研究》</w:t>
      </w:r>
      <w:r>
        <w:rPr>
          <w:rFonts w:hint="eastAsia"/>
          <w:color w:val="auto"/>
          <w:lang w:eastAsia="zh-CN"/>
        </w:rPr>
        <w:t>（</w:t>
      </w:r>
      <w:r>
        <w:rPr>
          <w:rFonts w:hint="eastAsia"/>
          <w:color w:val="auto"/>
        </w:rPr>
        <w:t>薛松、和慧等，青岛理工大学学报，2012年</w:t>
      </w:r>
      <w:r>
        <w:rPr>
          <w:rFonts w:hint="eastAsia"/>
          <w:color w:val="auto"/>
          <w:lang w:eastAsia="zh-CN"/>
        </w:rPr>
        <w:t>）</w:t>
      </w:r>
      <w:r>
        <w:rPr>
          <w:rFonts w:hint="eastAsia"/>
          <w:color w:val="auto"/>
        </w:rPr>
        <w:t>以及建设单位提供的资料，污水处理厂各臭气排放设施加盖后对臭气的收集率按95%计</w:t>
      </w:r>
      <w:r>
        <w:rPr>
          <w:color w:val="auto"/>
        </w:rPr>
        <w:t>；根据相同处理工艺的经验数据，生物滤池除臭工艺对于氨的去除率可以达到</w:t>
      </w:r>
      <w:r>
        <w:rPr>
          <w:rFonts w:hint="eastAsia"/>
          <w:color w:val="auto"/>
          <w:lang w:val="en-US" w:eastAsia="zh-CN"/>
        </w:rPr>
        <w:t>80</w:t>
      </w:r>
      <w:r>
        <w:rPr>
          <w:color w:val="auto"/>
        </w:rPr>
        <w:t>%以上，对于</w:t>
      </w:r>
      <w:r>
        <w:rPr>
          <w:rFonts w:hint="eastAsia"/>
          <w:color w:val="auto"/>
          <w:lang w:val="en-US" w:eastAsia="zh-CN"/>
        </w:rPr>
        <w:t>硫化氢</w:t>
      </w:r>
      <w:r>
        <w:rPr>
          <w:color w:val="auto"/>
        </w:rPr>
        <w:t>的去除率可以达到</w:t>
      </w:r>
      <w:r>
        <w:rPr>
          <w:rFonts w:hint="eastAsia"/>
          <w:color w:val="auto"/>
          <w:lang w:val="en-US" w:eastAsia="zh-CN"/>
        </w:rPr>
        <w:t>95</w:t>
      </w:r>
      <w:r>
        <w:rPr>
          <w:color w:val="auto"/>
        </w:rPr>
        <w:t>%以上</w:t>
      </w:r>
      <w:r>
        <w:rPr>
          <w:rFonts w:hint="eastAsia"/>
          <w:color w:val="auto"/>
          <w:lang w:eastAsia="zh-CN"/>
        </w:rPr>
        <w:t>，</w:t>
      </w:r>
      <w:r>
        <w:rPr>
          <w:color w:val="auto"/>
        </w:rPr>
        <w:t>则污水处理厂各臭气收集装置收集的臭气经生物滤池除臭后，生物滤池排气筒硫化氢和氨的排放情况见下表。</w:t>
      </w:r>
    </w:p>
    <w:p w14:paraId="38D29EB4">
      <w:pPr>
        <w:pStyle w:val="19"/>
        <w:numPr>
          <w:ilvl w:val="0"/>
          <w:numId w:val="25"/>
        </w:numPr>
        <w:bidi w:val="0"/>
        <w:ind w:left="0" w:leftChars="0" w:firstLine="0" w:firstLineChars="0"/>
        <w:rPr>
          <w:color w:val="auto"/>
        </w:rPr>
      </w:pPr>
      <w:r>
        <w:rPr>
          <w:color w:val="auto"/>
        </w:rPr>
        <w:t>污水处理厂臭气有组织排放一览表</w:t>
      </w:r>
    </w:p>
    <w:tbl>
      <w:tblPr>
        <w:tblStyle w:val="5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28" w:type="dxa"/>
          <w:bottom w:w="0" w:type="dxa"/>
          <w:right w:w="28" w:type="dxa"/>
        </w:tblCellMar>
      </w:tblPr>
      <w:tblGrid>
        <w:gridCol w:w="1379"/>
        <w:gridCol w:w="1143"/>
        <w:gridCol w:w="851"/>
        <w:gridCol w:w="660"/>
        <w:gridCol w:w="735"/>
        <w:gridCol w:w="809"/>
        <w:gridCol w:w="1247"/>
        <w:gridCol w:w="965"/>
        <w:gridCol w:w="997"/>
      </w:tblGrid>
      <w:tr w14:paraId="6A7F9A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28" w:type="dxa"/>
            <w:bottom w:w="0" w:type="dxa"/>
            <w:right w:w="28" w:type="dxa"/>
          </w:tblCellMar>
        </w:tblPrEx>
        <w:trPr>
          <w:trHeight w:val="340" w:hRule="atLeast"/>
          <w:jc w:val="center"/>
        </w:trPr>
        <w:tc>
          <w:tcPr>
            <w:tcW w:w="784" w:type="pct"/>
            <w:tcBorders>
              <w:tl2br w:val="nil"/>
              <w:tr2bl w:val="nil"/>
            </w:tcBorders>
            <w:shd w:val="clear" w:color="auto" w:fill="auto"/>
            <w:noWrap/>
            <w:vAlign w:val="center"/>
          </w:tcPr>
          <w:p w14:paraId="469674A8">
            <w:pPr>
              <w:pStyle w:val="16"/>
              <w:bidi w:val="0"/>
              <w:rPr>
                <w:rFonts w:hint="eastAsia"/>
                <w:color w:val="auto"/>
                <w:sz w:val="21"/>
                <w:szCs w:val="21"/>
              </w:rPr>
            </w:pPr>
            <w:r>
              <w:rPr>
                <w:rFonts w:hint="eastAsia"/>
                <w:color w:val="auto"/>
                <w:sz w:val="21"/>
                <w:szCs w:val="21"/>
                <w:lang w:val="en-US" w:eastAsia="zh-CN"/>
              </w:rPr>
              <w:t>污染源</w:t>
            </w:r>
          </w:p>
        </w:tc>
        <w:tc>
          <w:tcPr>
            <w:tcW w:w="650" w:type="pct"/>
            <w:tcBorders>
              <w:tl2br w:val="nil"/>
              <w:tr2bl w:val="nil"/>
            </w:tcBorders>
            <w:shd w:val="clear" w:color="auto" w:fill="auto"/>
            <w:vAlign w:val="center"/>
          </w:tcPr>
          <w:p w14:paraId="73517509">
            <w:pPr>
              <w:pStyle w:val="16"/>
              <w:bidi w:val="0"/>
              <w:rPr>
                <w:rFonts w:hint="eastAsia"/>
                <w:color w:val="auto"/>
                <w:sz w:val="21"/>
                <w:szCs w:val="21"/>
              </w:rPr>
            </w:pPr>
            <w:r>
              <w:rPr>
                <w:rFonts w:hint="eastAsia"/>
                <w:color w:val="auto"/>
                <w:sz w:val="21"/>
                <w:szCs w:val="21"/>
                <w:lang w:val="en-US" w:eastAsia="zh-CN"/>
              </w:rPr>
              <w:t>污染物</w:t>
            </w:r>
          </w:p>
        </w:tc>
        <w:tc>
          <w:tcPr>
            <w:tcW w:w="484" w:type="pct"/>
            <w:tcBorders>
              <w:tl2br w:val="nil"/>
              <w:tr2bl w:val="nil"/>
            </w:tcBorders>
            <w:shd w:val="clear" w:color="auto" w:fill="auto"/>
            <w:vAlign w:val="center"/>
          </w:tcPr>
          <w:p w14:paraId="78EFF193">
            <w:pPr>
              <w:pStyle w:val="16"/>
              <w:bidi w:val="0"/>
              <w:rPr>
                <w:rFonts w:hint="eastAsia"/>
                <w:color w:val="auto"/>
                <w:sz w:val="21"/>
                <w:szCs w:val="21"/>
              </w:rPr>
            </w:pPr>
            <w:r>
              <w:rPr>
                <w:rFonts w:hint="eastAsia"/>
                <w:color w:val="auto"/>
                <w:sz w:val="21"/>
                <w:szCs w:val="21"/>
                <w:lang w:val="en-US" w:eastAsia="zh-CN"/>
              </w:rPr>
              <w:t>产生量（kg/h）</w:t>
            </w:r>
          </w:p>
        </w:tc>
        <w:tc>
          <w:tcPr>
            <w:tcW w:w="375" w:type="pct"/>
            <w:tcBorders>
              <w:tl2br w:val="nil"/>
              <w:tr2bl w:val="nil"/>
            </w:tcBorders>
            <w:shd w:val="clear" w:color="auto" w:fill="auto"/>
            <w:vAlign w:val="center"/>
          </w:tcPr>
          <w:p w14:paraId="5A207FB6">
            <w:pPr>
              <w:pStyle w:val="16"/>
              <w:bidi w:val="0"/>
              <w:rPr>
                <w:rFonts w:hint="eastAsia"/>
                <w:color w:val="auto"/>
                <w:sz w:val="21"/>
                <w:szCs w:val="21"/>
              </w:rPr>
            </w:pPr>
            <w:r>
              <w:rPr>
                <w:rFonts w:hint="eastAsia"/>
                <w:color w:val="auto"/>
                <w:sz w:val="21"/>
                <w:szCs w:val="21"/>
                <w:lang w:val="en-US" w:eastAsia="zh-CN"/>
              </w:rPr>
              <w:t>收集效率</w:t>
            </w:r>
          </w:p>
        </w:tc>
        <w:tc>
          <w:tcPr>
            <w:tcW w:w="418" w:type="pct"/>
            <w:tcBorders>
              <w:tl2br w:val="nil"/>
              <w:tr2bl w:val="nil"/>
            </w:tcBorders>
            <w:shd w:val="clear" w:color="auto" w:fill="auto"/>
            <w:vAlign w:val="center"/>
          </w:tcPr>
          <w:p w14:paraId="0B162491">
            <w:pPr>
              <w:pStyle w:val="16"/>
              <w:bidi w:val="0"/>
              <w:rPr>
                <w:rFonts w:hint="eastAsia"/>
                <w:color w:val="auto"/>
                <w:sz w:val="21"/>
                <w:szCs w:val="21"/>
              </w:rPr>
            </w:pPr>
            <w:r>
              <w:rPr>
                <w:rFonts w:hint="eastAsia"/>
                <w:color w:val="auto"/>
                <w:sz w:val="21"/>
                <w:szCs w:val="21"/>
                <w:lang w:val="en-US" w:eastAsia="zh-CN"/>
              </w:rPr>
              <w:t>处理效率</w:t>
            </w:r>
          </w:p>
        </w:tc>
        <w:tc>
          <w:tcPr>
            <w:tcW w:w="460" w:type="pct"/>
            <w:tcBorders>
              <w:tl2br w:val="nil"/>
              <w:tr2bl w:val="nil"/>
            </w:tcBorders>
            <w:shd w:val="clear" w:color="auto" w:fill="auto"/>
            <w:vAlign w:val="center"/>
          </w:tcPr>
          <w:p w14:paraId="59E7C4C0">
            <w:pPr>
              <w:pStyle w:val="16"/>
              <w:bidi w:val="0"/>
              <w:rPr>
                <w:rFonts w:hint="eastAsia"/>
                <w:color w:val="auto"/>
                <w:sz w:val="21"/>
                <w:szCs w:val="21"/>
              </w:rPr>
            </w:pPr>
            <w:r>
              <w:rPr>
                <w:rFonts w:hint="eastAsia"/>
                <w:color w:val="auto"/>
                <w:sz w:val="21"/>
                <w:szCs w:val="21"/>
                <w:lang w:val="en-US" w:eastAsia="zh-CN"/>
              </w:rPr>
              <w:t>排放方式</w:t>
            </w:r>
          </w:p>
        </w:tc>
        <w:tc>
          <w:tcPr>
            <w:tcW w:w="709" w:type="pct"/>
            <w:tcBorders>
              <w:tl2br w:val="nil"/>
              <w:tr2bl w:val="nil"/>
            </w:tcBorders>
            <w:shd w:val="clear" w:color="auto" w:fill="auto"/>
            <w:vAlign w:val="center"/>
          </w:tcPr>
          <w:p w14:paraId="1F3BE845">
            <w:pPr>
              <w:pStyle w:val="16"/>
              <w:bidi w:val="0"/>
              <w:rPr>
                <w:rFonts w:hint="eastAsia"/>
                <w:color w:val="auto"/>
                <w:sz w:val="21"/>
                <w:szCs w:val="21"/>
              </w:rPr>
            </w:pPr>
            <w:r>
              <w:rPr>
                <w:rFonts w:hint="eastAsia"/>
                <w:color w:val="auto"/>
                <w:sz w:val="21"/>
                <w:szCs w:val="21"/>
                <w:lang w:val="en-US" w:eastAsia="zh-CN"/>
              </w:rPr>
              <w:t>排放速率（kg/h）</w:t>
            </w:r>
          </w:p>
        </w:tc>
        <w:tc>
          <w:tcPr>
            <w:tcW w:w="549" w:type="pct"/>
            <w:tcBorders>
              <w:tl2br w:val="nil"/>
              <w:tr2bl w:val="nil"/>
            </w:tcBorders>
            <w:shd w:val="clear" w:color="auto" w:fill="auto"/>
            <w:vAlign w:val="center"/>
          </w:tcPr>
          <w:p w14:paraId="4205EFD0">
            <w:pPr>
              <w:pStyle w:val="16"/>
              <w:bidi w:val="0"/>
              <w:rPr>
                <w:rFonts w:hint="eastAsia"/>
                <w:color w:val="auto"/>
                <w:sz w:val="21"/>
                <w:szCs w:val="21"/>
              </w:rPr>
            </w:pPr>
            <w:r>
              <w:rPr>
                <w:rFonts w:hint="eastAsia"/>
                <w:color w:val="auto"/>
                <w:sz w:val="21"/>
                <w:szCs w:val="21"/>
                <w:lang w:val="en-US" w:eastAsia="zh-CN"/>
              </w:rPr>
              <w:t>排放量（t/a）</w:t>
            </w:r>
          </w:p>
        </w:tc>
        <w:tc>
          <w:tcPr>
            <w:tcW w:w="567" w:type="pct"/>
            <w:tcBorders>
              <w:tl2br w:val="nil"/>
              <w:tr2bl w:val="nil"/>
            </w:tcBorders>
            <w:shd w:val="clear" w:color="auto" w:fill="auto"/>
            <w:vAlign w:val="center"/>
          </w:tcPr>
          <w:p w14:paraId="3D4256A5">
            <w:pPr>
              <w:pStyle w:val="16"/>
              <w:bidi w:val="0"/>
              <w:rPr>
                <w:rFonts w:hint="eastAsia"/>
                <w:color w:val="auto"/>
                <w:sz w:val="21"/>
                <w:szCs w:val="21"/>
              </w:rPr>
            </w:pPr>
            <w:r>
              <w:rPr>
                <w:rFonts w:hint="eastAsia"/>
                <w:color w:val="auto"/>
                <w:sz w:val="21"/>
                <w:szCs w:val="21"/>
                <w:lang w:val="en-US" w:eastAsia="zh-CN"/>
              </w:rPr>
              <w:t>排放浓度</w:t>
            </w:r>
          </w:p>
        </w:tc>
      </w:tr>
      <w:tr w14:paraId="021543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restart"/>
            <w:tcBorders>
              <w:tl2br w:val="nil"/>
              <w:tr2bl w:val="nil"/>
            </w:tcBorders>
            <w:shd w:val="clear" w:color="auto" w:fill="auto"/>
            <w:noWrap/>
            <w:vAlign w:val="center"/>
          </w:tcPr>
          <w:p w14:paraId="6172C14C">
            <w:pPr>
              <w:pStyle w:val="16"/>
              <w:bidi w:val="0"/>
              <w:rPr>
                <w:rFonts w:hint="eastAsia"/>
                <w:color w:val="auto"/>
                <w:sz w:val="21"/>
                <w:szCs w:val="21"/>
              </w:rPr>
            </w:pPr>
            <w:r>
              <w:rPr>
                <w:rFonts w:hint="eastAsia"/>
                <w:color w:val="auto"/>
                <w:sz w:val="21"/>
                <w:szCs w:val="21"/>
                <w:lang w:val="en-US" w:eastAsia="zh-CN"/>
              </w:rPr>
              <w:t>超细格栅</w:t>
            </w:r>
          </w:p>
        </w:tc>
        <w:tc>
          <w:tcPr>
            <w:tcW w:w="650" w:type="pct"/>
            <w:vMerge w:val="restart"/>
            <w:tcBorders>
              <w:tl2br w:val="nil"/>
              <w:tr2bl w:val="nil"/>
            </w:tcBorders>
            <w:shd w:val="clear" w:color="auto" w:fill="auto"/>
            <w:vAlign w:val="center"/>
          </w:tcPr>
          <w:p w14:paraId="4271FDAE">
            <w:pPr>
              <w:pStyle w:val="16"/>
              <w:bidi w:val="0"/>
              <w:rPr>
                <w:rFonts w:hint="default"/>
                <w:color w:val="auto"/>
                <w:sz w:val="21"/>
                <w:szCs w:val="21"/>
              </w:rPr>
            </w:pPr>
            <w:r>
              <w:rPr>
                <w:rFonts w:hint="default"/>
                <w:color w:val="auto"/>
                <w:sz w:val="21"/>
                <w:szCs w:val="21"/>
                <w:lang w:val="en-US" w:eastAsia="zh-CN"/>
              </w:rPr>
              <w:t>NH</w:t>
            </w:r>
            <w:r>
              <w:rPr>
                <w:rFonts w:hint="default"/>
                <w:color w:val="auto"/>
                <w:sz w:val="21"/>
                <w:szCs w:val="21"/>
                <w:vertAlign w:val="subscript"/>
                <w:lang w:val="en-US" w:eastAsia="zh-CN"/>
              </w:rPr>
              <w:t>3</w:t>
            </w:r>
          </w:p>
        </w:tc>
        <w:tc>
          <w:tcPr>
            <w:tcW w:w="484" w:type="pct"/>
            <w:vMerge w:val="restart"/>
            <w:tcBorders>
              <w:tl2br w:val="nil"/>
              <w:tr2bl w:val="nil"/>
            </w:tcBorders>
            <w:shd w:val="clear" w:color="auto" w:fill="auto"/>
            <w:vAlign w:val="center"/>
          </w:tcPr>
          <w:p w14:paraId="053B77CE">
            <w:pPr>
              <w:pStyle w:val="16"/>
              <w:bidi w:val="0"/>
              <w:rPr>
                <w:rFonts w:hint="default"/>
                <w:color w:val="auto"/>
                <w:sz w:val="21"/>
                <w:szCs w:val="21"/>
              </w:rPr>
            </w:pPr>
            <w:r>
              <w:rPr>
                <w:rFonts w:hint="default"/>
                <w:color w:val="auto"/>
                <w:sz w:val="21"/>
                <w:szCs w:val="21"/>
                <w:lang w:val="en-US" w:eastAsia="zh-CN"/>
              </w:rPr>
              <w:t>0.0089</w:t>
            </w:r>
          </w:p>
        </w:tc>
        <w:tc>
          <w:tcPr>
            <w:tcW w:w="375" w:type="pct"/>
            <w:vMerge w:val="restart"/>
            <w:tcBorders>
              <w:tl2br w:val="nil"/>
              <w:tr2bl w:val="nil"/>
            </w:tcBorders>
            <w:shd w:val="clear" w:color="auto" w:fill="auto"/>
            <w:vAlign w:val="center"/>
          </w:tcPr>
          <w:p w14:paraId="673BA4FE">
            <w:pPr>
              <w:pStyle w:val="16"/>
              <w:bidi w:val="0"/>
              <w:rPr>
                <w:rFonts w:hint="eastAsia"/>
                <w:color w:val="auto"/>
                <w:sz w:val="21"/>
                <w:szCs w:val="21"/>
              </w:rPr>
            </w:pPr>
            <w:r>
              <w:rPr>
                <w:rFonts w:hint="eastAsia"/>
                <w:color w:val="auto"/>
                <w:sz w:val="21"/>
                <w:szCs w:val="21"/>
                <w:lang w:val="en-US" w:eastAsia="zh-CN"/>
              </w:rPr>
              <w:t>95%</w:t>
            </w:r>
          </w:p>
        </w:tc>
        <w:tc>
          <w:tcPr>
            <w:tcW w:w="418" w:type="pct"/>
            <w:tcBorders>
              <w:tl2br w:val="nil"/>
              <w:tr2bl w:val="nil"/>
            </w:tcBorders>
            <w:shd w:val="clear" w:color="auto" w:fill="auto"/>
            <w:vAlign w:val="center"/>
          </w:tcPr>
          <w:p w14:paraId="34F966B5">
            <w:pPr>
              <w:pStyle w:val="16"/>
              <w:bidi w:val="0"/>
              <w:rPr>
                <w:rFonts w:hint="eastAsia"/>
                <w:color w:val="auto"/>
                <w:sz w:val="21"/>
                <w:szCs w:val="21"/>
              </w:rPr>
            </w:pPr>
            <w:r>
              <w:rPr>
                <w:rFonts w:hint="eastAsia"/>
                <w:color w:val="auto"/>
                <w:sz w:val="21"/>
                <w:szCs w:val="21"/>
                <w:lang w:val="en-US" w:eastAsia="zh-CN"/>
              </w:rPr>
              <w:t>80%</w:t>
            </w:r>
          </w:p>
        </w:tc>
        <w:tc>
          <w:tcPr>
            <w:tcW w:w="460" w:type="pct"/>
            <w:tcBorders>
              <w:tl2br w:val="nil"/>
              <w:tr2bl w:val="nil"/>
            </w:tcBorders>
            <w:shd w:val="clear" w:color="auto" w:fill="auto"/>
            <w:vAlign w:val="center"/>
          </w:tcPr>
          <w:p w14:paraId="0F38674E">
            <w:pPr>
              <w:pStyle w:val="16"/>
              <w:bidi w:val="0"/>
              <w:rPr>
                <w:rFonts w:hint="eastAsia"/>
                <w:color w:val="auto"/>
                <w:sz w:val="21"/>
                <w:szCs w:val="21"/>
              </w:rPr>
            </w:pPr>
            <w:r>
              <w:rPr>
                <w:rFonts w:hint="eastAsia"/>
                <w:color w:val="auto"/>
                <w:sz w:val="21"/>
                <w:szCs w:val="21"/>
                <w:lang w:val="en-US" w:eastAsia="zh-CN"/>
              </w:rPr>
              <w:t>有组织</w:t>
            </w:r>
          </w:p>
        </w:tc>
        <w:tc>
          <w:tcPr>
            <w:tcW w:w="709" w:type="pct"/>
            <w:tcBorders>
              <w:tl2br w:val="nil"/>
              <w:tr2bl w:val="nil"/>
            </w:tcBorders>
            <w:shd w:val="clear" w:color="auto" w:fill="auto"/>
            <w:vAlign w:val="center"/>
          </w:tcPr>
          <w:p w14:paraId="6DF1D740">
            <w:pPr>
              <w:pStyle w:val="16"/>
              <w:bidi w:val="0"/>
              <w:rPr>
                <w:rFonts w:hint="default"/>
                <w:color w:val="auto"/>
                <w:sz w:val="21"/>
                <w:szCs w:val="21"/>
              </w:rPr>
            </w:pPr>
            <w:r>
              <w:rPr>
                <w:rFonts w:hint="default"/>
                <w:color w:val="auto"/>
                <w:sz w:val="21"/>
                <w:szCs w:val="21"/>
                <w:lang w:val="en-US" w:eastAsia="zh-CN"/>
              </w:rPr>
              <w:t>0.001691</w:t>
            </w:r>
          </w:p>
        </w:tc>
        <w:tc>
          <w:tcPr>
            <w:tcW w:w="549" w:type="pct"/>
            <w:tcBorders>
              <w:tl2br w:val="nil"/>
              <w:tr2bl w:val="nil"/>
            </w:tcBorders>
            <w:shd w:val="clear" w:color="auto" w:fill="auto"/>
            <w:vAlign w:val="center"/>
          </w:tcPr>
          <w:p w14:paraId="06049B2C">
            <w:pPr>
              <w:pStyle w:val="16"/>
              <w:bidi w:val="0"/>
              <w:rPr>
                <w:rFonts w:hint="default"/>
                <w:color w:val="auto"/>
                <w:sz w:val="21"/>
                <w:szCs w:val="21"/>
              </w:rPr>
            </w:pPr>
            <w:r>
              <w:rPr>
                <w:rFonts w:hint="default"/>
                <w:color w:val="auto"/>
                <w:sz w:val="21"/>
                <w:szCs w:val="21"/>
                <w:lang w:val="en-US" w:eastAsia="zh-CN"/>
              </w:rPr>
              <w:t xml:space="preserve">0.0148 </w:t>
            </w:r>
          </w:p>
        </w:tc>
        <w:tc>
          <w:tcPr>
            <w:tcW w:w="567" w:type="pct"/>
            <w:tcBorders>
              <w:tl2br w:val="nil"/>
              <w:tr2bl w:val="nil"/>
            </w:tcBorders>
            <w:shd w:val="clear" w:color="auto" w:fill="auto"/>
            <w:vAlign w:val="center"/>
          </w:tcPr>
          <w:p w14:paraId="58D7F17B">
            <w:pPr>
              <w:pStyle w:val="16"/>
              <w:bidi w:val="0"/>
              <w:rPr>
                <w:rFonts w:hint="default"/>
                <w:color w:val="auto"/>
                <w:sz w:val="21"/>
                <w:szCs w:val="21"/>
              </w:rPr>
            </w:pPr>
            <w:r>
              <w:rPr>
                <w:rFonts w:hint="default"/>
                <w:color w:val="auto"/>
                <w:sz w:val="21"/>
                <w:szCs w:val="21"/>
                <w:lang w:val="en-US" w:eastAsia="zh-CN"/>
              </w:rPr>
              <w:t>/</w:t>
            </w:r>
          </w:p>
        </w:tc>
      </w:tr>
      <w:tr w14:paraId="65878C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0792F274">
            <w:pPr>
              <w:pStyle w:val="16"/>
              <w:bidi w:val="0"/>
              <w:rPr>
                <w:rFonts w:hint="eastAsia"/>
                <w:color w:val="auto"/>
                <w:sz w:val="21"/>
                <w:szCs w:val="21"/>
              </w:rPr>
            </w:pPr>
          </w:p>
        </w:tc>
        <w:tc>
          <w:tcPr>
            <w:tcW w:w="650" w:type="pct"/>
            <w:vMerge w:val="continue"/>
            <w:tcBorders>
              <w:tl2br w:val="nil"/>
              <w:tr2bl w:val="nil"/>
            </w:tcBorders>
            <w:shd w:val="clear" w:color="auto" w:fill="auto"/>
            <w:vAlign w:val="center"/>
          </w:tcPr>
          <w:p w14:paraId="6EB7E022">
            <w:pPr>
              <w:pStyle w:val="16"/>
              <w:bidi w:val="0"/>
              <w:rPr>
                <w:rFonts w:hint="default"/>
                <w:color w:val="auto"/>
                <w:sz w:val="21"/>
                <w:szCs w:val="21"/>
              </w:rPr>
            </w:pPr>
          </w:p>
        </w:tc>
        <w:tc>
          <w:tcPr>
            <w:tcW w:w="484" w:type="pct"/>
            <w:vMerge w:val="continue"/>
            <w:tcBorders>
              <w:tl2br w:val="nil"/>
              <w:tr2bl w:val="nil"/>
            </w:tcBorders>
            <w:shd w:val="clear" w:color="auto" w:fill="auto"/>
            <w:vAlign w:val="center"/>
          </w:tcPr>
          <w:p w14:paraId="767895DB">
            <w:pPr>
              <w:pStyle w:val="16"/>
              <w:bidi w:val="0"/>
              <w:rPr>
                <w:rFonts w:hint="default"/>
                <w:color w:val="auto"/>
                <w:sz w:val="21"/>
                <w:szCs w:val="21"/>
              </w:rPr>
            </w:pPr>
          </w:p>
        </w:tc>
        <w:tc>
          <w:tcPr>
            <w:tcW w:w="375" w:type="pct"/>
            <w:vMerge w:val="continue"/>
            <w:tcBorders>
              <w:tl2br w:val="nil"/>
              <w:tr2bl w:val="nil"/>
            </w:tcBorders>
            <w:shd w:val="clear" w:color="auto" w:fill="auto"/>
            <w:vAlign w:val="center"/>
          </w:tcPr>
          <w:p w14:paraId="7AFCBBE4">
            <w:pPr>
              <w:pStyle w:val="16"/>
              <w:bidi w:val="0"/>
              <w:rPr>
                <w:rFonts w:hint="eastAsia"/>
                <w:color w:val="auto"/>
                <w:sz w:val="21"/>
                <w:szCs w:val="21"/>
              </w:rPr>
            </w:pPr>
          </w:p>
        </w:tc>
        <w:tc>
          <w:tcPr>
            <w:tcW w:w="418" w:type="pct"/>
            <w:tcBorders>
              <w:tl2br w:val="nil"/>
              <w:tr2bl w:val="nil"/>
            </w:tcBorders>
            <w:shd w:val="clear" w:color="auto" w:fill="auto"/>
            <w:vAlign w:val="center"/>
          </w:tcPr>
          <w:p w14:paraId="4BD28CEB">
            <w:pPr>
              <w:pStyle w:val="16"/>
              <w:bidi w:val="0"/>
              <w:rPr>
                <w:rFonts w:hint="eastAsia"/>
                <w:color w:val="auto"/>
                <w:sz w:val="21"/>
                <w:szCs w:val="21"/>
              </w:rPr>
            </w:pPr>
            <w:r>
              <w:rPr>
                <w:rFonts w:hint="eastAsia"/>
                <w:color w:val="auto"/>
                <w:sz w:val="21"/>
                <w:szCs w:val="21"/>
                <w:lang w:val="en-US" w:eastAsia="zh-CN"/>
              </w:rPr>
              <w:t>95%</w:t>
            </w:r>
          </w:p>
        </w:tc>
        <w:tc>
          <w:tcPr>
            <w:tcW w:w="460" w:type="pct"/>
            <w:tcBorders>
              <w:tl2br w:val="nil"/>
              <w:tr2bl w:val="nil"/>
            </w:tcBorders>
            <w:shd w:val="clear" w:color="auto" w:fill="auto"/>
            <w:vAlign w:val="center"/>
          </w:tcPr>
          <w:p w14:paraId="15E5133D">
            <w:pPr>
              <w:pStyle w:val="16"/>
              <w:bidi w:val="0"/>
              <w:rPr>
                <w:rFonts w:hint="eastAsia"/>
                <w:color w:val="auto"/>
                <w:sz w:val="21"/>
                <w:szCs w:val="21"/>
              </w:rPr>
            </w:pPr>
            <w:r>
              <w:rPr>
                <w:rFonts w:hint="eastAsia"/>
                <w:color w:val="auto"/>
                <w:sz w:val="21"/>
                <w:szCs w:val="21"/>
                <w:lang w:val="en-US" w:eastAsia="zh-CN"/>
              </w:rPr>
              <w:t>无组织</w:t>
            </w:r>
          </w:p>
        </w:tc>
        <w:tc>
          <w:tcPr>
            <w:tcW w:w="709" w:type="pct"/>
            <w:tcBorders>
              <w:tl2br w:val="nil"/>
              <w:tr2bl w:val="nil"/>
            </w:tcBorders>
            <w:shd w:val="clear" w:color="auto" w:fill="auto"/>
            <w:vAlign w:val="center"/>
          </w:tcPr>
          <w:p w14:paraId="233C8B53">
            <w:pPr>
              <w:pStyle w:val="16"/>
              <w:bidi w:val="0"/>
              <w:rPr>
                <w:rFonts w:hint="default"/>
                <w:color w:val="auto"/>
                <w:sz w:val="21"/>
                <w:szCs w:val="21"/>
              </w:rPr>
            </w:pPr>
            <w:r>
              <w:rPr>
                <w:rFonts w:hint="default"/>
                <w:color w:val="auto"/>
                <w:sz w:val="21"/>
                <w:szCs w:val="21"/>
                <w:lang w:val="en-US" w:eastAsia="zh-CN"/>
              </w:rPr>
              <w:t>0.000445</w:t>
            </w:r>
          </w:p>
        </w:tc>
        <w:tc>
          <w:tcPr>
            <w:tcW w:w="549" w:type="pct"/>
            <w:tcBorders>
              <w:tl2br w:val="nil"/>
              <w:tr2bl w:val="nil"/>
            </w:tcBorders>
            <w:shd w:val="clear" w:color="auto" w:fill="auto"/>
            <w:vAlign w:val="center"/>
          </w:tcPr>
          <w:p w14:paraId="1DC29438">
            <w:pPr>
              <w:pStyle w:val="16"/>
              <w:bidi w:val="0"/>
              <w:rPr>
                <w:rFonts w:hint="default"/>
                <w:color w:val="auto"/>
                <w:sz w:val="21"/>
                <w:szCs w:val="21"/>
              </w:rPr>
            </w:pPr>
            <w:r>
              <w:rPr>
                <w:rFonts w:hint="default"/>
                <w:color w:val="auto"/>
                <w:sz w:val="21"/>
                <w:szCs w:val="21"/>
                <w:lang w:val="en-US" w:eastAsia="zh-CN"/>
              </w:rPr>
              <w:t xml:space="preserve">0.0039 </w:t>
            </w:r>
          </w:p>
        </w:tc>
        <w:tc>
          <w:tcPr>
            <w:tcW w:w="567" w:type="pct"/>
            <w:tcBorders>
              <w:tl2br w:val="nil"/>
              <w:tr2bl w:val="nil"/>
            </w:tcBorders>
            <w:shd w:val="clear" w:color="auto" w:fill="auto"/>
            <w:vAlign w:val="center"/>
          </w:tcPr>
          <w:p w14:paraId="1EAA3B24">
            <w:pPr>
              <w:pStyle w:val="16"/>
              <w:bidi w:val="0"/>
              <w:rPr>
                <w:rFonts w:hint="default"/>
                <w:color w:val="auto"/>
                <w:sz w:val="21"/>
                <w:szCs w:val="21"/>
              </w:rPr>
            </w:pPr>
            <w:r>
              <w:rPr>
                <w:rFonts w:hint="default"/>
                <w:color w:val="auto"/>
                <w:sz w:val="21"/>
                <w:szCs w:val="21"/>
                <w:lang w:val="en-US" w:eastAsia="zh-CN"/>
              </w:rPr>
              <w:t>/</w:t>
            </w:r>
          </w:p>
        </w:tc>
      </w:tr>
      <w:tr w14:paraId="071613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7666E26B">
            <w:pPr>
              <w:pStyle w:val="16"/>
              <w:bidi w:val="0"/>
              <w:rPr>
                <w:rFonts w:hint="eastAsia"/>
                <w:color w:val="auto"/>
                <w:sz w:val="21"/>
                <w:szCs w:val="21"/>
              </w:rPr>
            </w:pPr>
          </w:p>
        </w:tc>
        <w:tc>
          <w:tcPr>
            <w:tcW w:w="650" w:type="pct"/>
            <w:vMerge w:val="restart"/>
            <w:tcBorders>
              <w:tl2br w:val="nil"/>
              <w:tr2bl w:val="nil"/>
            </w:tcBorders>
            <w:shd w:val="clear" w:color="auto" w:fill="auto"/>
            <w:vAlign w:val="center"/>
          </w:tcPr>
          <w:p w14:paraId="3697FD79">
            <w:pPr>
              <w:pStyle w:val="16"/>
              <w:bidi w:val="0"/>
              <w:rPr>
                <w:rFonts w:hint="default"/>
                <w:color w:val="auto"/>
                <w:sz w:val="21"/>
                <w:szCs w:val="21"/>
              </w:rPr>
            </w:pPr>
            <w:r>
              <w:rPr>
                <w:rFonts w:hint="default"/>
                <w:color w:val="auto"/>
                <w:sz w:val="21"/>
                <w:szCs w:val="21"/>
                <w:lang w:val="en-US" w:eastAsia="zh-CN"/>
              </w:rPr>
              <w:t>H</w:t>
            </w:r>
            <w:r>
              <w:rPr>
                <w:rFonts w:hint="default"/>
                <w:color w:val="auto"/>
                <w:sz w:val="21"/>
                <w:szCs w:val="21"/>
                <w:vertAlign w:val="subscript"/>
                <w:lang w:val="en-US" w:eastAsia="zh-CN"/>
              </w:rPr>
              <w:t>2</w:t>
            </w:r>
            <w:r>
              <w:rPr>
                <w:rFonts w:hint="default"/>
                <w:color w:val="auto"/>
                <w:sz w:val="21"/>
                <w:szCs w:val="21"/>
                <w:lang w:val="en-US" w:eastAsia="zh-CN"/>
              </w:rPr>
              <w:t>S</w:t>
            </w:r>
          </w:p>
        </w:tc>
        <w:tc>
          <w:tcPr>
            <w:tcW w:w="484" w:type="pct"/>
            <w:vMerge w:val="restart"/>
            <w:tcBorders>
              <w:tl2br w:val="nil"/>
              <w:tr2bl w:val="nil"/>
            </w:tcBorders>
            <w:shd w:val="clear" w:color="auto" w:fill="auto"/>
            <w:vAlign w:val="center"/>
          </w:tcPr>
          <w:p w14:paraId="7BD201A3">
            <w:pPr>
              <w:pStyle w:val="16"/>
              <w:bidi w:val="0"/>
              <w:rPr>
                <w:rFonts w:hint="default"/>
                <w:color w:val="auto"/>
                <w:sz w:val="21"/>
                <w:szCs w:val="21"/>
              </w:rPr>
            </w:pPr>
            <w:r>
              <w:rPr>
                <w:rFonts w:hint="default"/>
                <w:color w:val="auto"/>
                <w:sz w:val="21"/>
                <w:szCs w:val="21"/>
                <w:lang w:val="en-US" w:eastAsia="zh-CN"/>
              </w:rPr>
              <w:t>0.00009</w:t>
            </w:r>
          </w:p>
        </w:tc>
        <w:tc>
          <w:tcPr>
            <w:tcW w:w="375" w:type="pct"/>
            <w:vMerge w:val="restart"/>
            <w:tcBorders>
              <w:tl2br w:val="nil"/>
              <w:tr2bl w:val="nil"/>
            </w:tcBorders>
            <w:shd w:val="clear" w:color="auto" w:fill="auto"/>
            <w:vAlign w:val="center"/>
          </w:tcPr>
          <w:p w14:paraId="70384435">
            <w:pPr>
              <w:pStyle w:val="16"/>
              <w:bidi w:val="0"/>
              <w:rPr>
                <w:rFonts w:hint="eastAsia"/>
                <w:color w:val="auto"/>
                <w:sz w:val="21"/>
                <w:szCs w:val="21"/>
              </w:rPr>
            </w:pPr>
            <w:r>
              <w:rPr>
                <w:rFonts w:hint="eastAsia"/>
                <w:color w:val="auto"/>
                <w:sz w:val="21"/>
                <w:szCs w:val="21"/>
                <w:lang w:val="en-US" w:eastAsia="zh-CN"/>
              </w:rPr>
              <w:t>95%</w:t>
            </w:r>
          </w:p>
        </w:tc>
        <w:tc>
          <w:tcPr>
            <w:tcW w:w="418" w:type="pct"/>
            <w:tcBorders>
              <w:tl2br w:val="nil"/>
              <w:tr2bl w:val="nil"/>
            </w:tcBorders>
            <w:shd w:val="clear" w:color="auto" w:fill="auto"/>
            <w:vAlign w:val="center"/>
          </w:tcPr>
          <w:p w14:paraId="1CBD7B70">
            <w:pPr>
              <w:pStyle w:val="16"/>
              <w:bidi w:val="0"/>
              <w:rPr>
                <w:rFonts w:hint="eastAsia"/>
                <w:color w:val="auto"/>
                <w:sz w:val="21"/>
                <w:szCs w:val="21"/>
              </w:rPr>
            </w:pPr>
            <w:r>
              <w:rPr>
                <w:rFonts w:hint="eastAsia"/>
                <w:color w:val="auto"/>
                <w:sz w:val="21"/>
                <w:szCs w:val="21"/>
                <w:lang w:val="en-US" w:eastAsia="zh-CN"/>
              </w:rPr>
              <w:t>80%</w:t>
            </w:r>
          </w:p>
        </w:tc>
        <w:tc>
          <w:tcPr>
            <w:tcW w:w="460" w:type="pct"/>
            <w:tcBorders>
              <w:tl2br w:val="nil"/>
              <w:tr2bl w:val="nil"/>
            </w:tcBorders>
            <w:shd w:val="clear" w:color="auto" w:fill="auto"/>
            <w:vAlign w:val="center"/>
          </w:tcPr>
          <w:p w14:paraId="497AF3ED">
            <w:pPr>
              <w:pStyle w:val="16"/>
              <w:bidi w:val="0"/>
              <w:rPr>
                <w:rFonts w:hint="eastAsia"/>
                <w:color w:val="auto"/>
                <w:sz w:val="21"/>
                <w:szCs w:val="21"/>
              </w:rPr>
            </w:pPr>
            <w:r>
              <w:rPr>
                <w:rFonts w:hint="eastAsia"/>
                <w:color w:val="auto"/>
                <w:sz w:val="21"/>
                <w:szCs w:val="21"/>
                <w:lang w:val="en-US" w:eastAsia="zh-CN"/>
              </w:rPr>
              <w:t>有组织</w:t>
            </w:r>
          </w:p>
        </w:tc>
        <w:tc>
          <w:tcPr>
            <w:tcW w:w="709" w:type="pct"/>
            <w:tcBorders>
              <w:tl2br w:val="nil"/>
              <w:tr2bl w:val="nil"/>
            </w:tcBorders>
            <w:shd w:val="clear" w:color="auto" w:fill="auto"/>
            <w:vAlign w:val="center"/>
          </w:tcPr>
          <w:p w14:paraId="643B68EB">
            <w:pPr>
              <w:pStyle w:val="16"/>
              <w:bidi w:val="0"/>
              <w:rPr>
                <w:rFonts w:hint="default"/>
                <w:color w:val="auto"/>
                <w:sz w:val="21"/>
                <w:szCs w:val="21"/>
              </w:rPr>
            </w:pPr>
            <w:r>
              <w:rPr>
                <w:rFonts w:hint="default"/>
                <w:color w:val="auto"/>
                <w:sz w:val="21"/>
                <w:szCs w:val="21"/>
                <w:lang w:val="en-US" w:eastAsia="zh-CN"/>
              </w:rPr>
              <w:t>0.0000171</w:t>
            </w:r>
          </w:p>
        </w:tc>
        <w:tc>
          <w:tcPr>
            <w:tcW w:w="549" w:type="pct"/>
            <w:tcBorders>
              <w:tl2br w:val="nil"/>
              <w:tr2bl w:val="nil"/>
            </w:tcBorders>
            <w:shd w:val="clear" w:color="auto" w:fill="auto"/>
            <w:vAlign w:val="center"/>
          </w:tcPr>
          <w:p w14:paraId="0253BC8F">
            <w:pPr>
              <w:pStyle w:val="16"/>
              <w:bidi w:val="0"/>
              <w:rPr>
                <w:rFonts w:hint="default"/>
                <w:color w:val="auto"/>
                <w:sz w:val="21"/>
                <w:szCs w:val="21"/>
              </w:rPr>
            </w:pPr>
            <w:r>
              <w:rPr>
                <w:rFonts w:hint="default"/>
                <w:color w:val="auto"/>
                <w:sz w:val="21"/>
                <w:szCs w:val="21"/>
                <w:lang w:val="en-US" w:eastAsia="zh-CN"/>
              </w:rPr>
              <w:t xml:space="preserve">0.0001 </w:t>
            </w:r>
          </w:p>
        </w:tc>
        <w:tc>
          <w:tcPr>
            <w:tcW w:w="567" w:type="pct"/>
            <w:tcBorders>
              <w:tl2br w:val="nil"/>
              <w:tr2bl w:val="nil"/>
            </w:tcBorders>
            <w:shd w:val="clear" w:color="auto" w:fill="auto"/>
            <w:vAlign w:val="center"/>
          </w:tcPr>
          <w:p w14:paraId="4E7CC90D">
            <w:pPr>
              <w:pStyle w:val="16"/>
              <w:bidi w:val="0"/>
              <w:rPr>
                <w:rFonts w:hint="default"/>
                <w:color w:val="auto"/>
                <w:sz w:val="21"/>
                <w:szCs w:val="21"/>
              </w:rPr>
            </w:pPr>
            <w:r>
              <w:rPr>
                <w:rFonts w:hint="default"/>
                <w:color w:val="auto"/>
                <w:sz w:val="21"/>
                <w:szCs w:val="21"/>
                <w:lang w:val="en-US" w:eastAsia="zh-CN"/>
              </w:rPr>
              <w:t>/</w:t>
            </w:r>
          </w:p>
        </w:tc>
      </w:tr>
      <w:tr w14:paraId="09F901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3FD282D2">
            <w:pPr>
              <w:pStyle w:val="16"/>
              <w:bidi w:val="0"/>
              <w:rPr>
                <w:rFonts w:hint="eastAsia"/>
                <w:color w:val="auto"/>
                <w:sz w:val="21"/>
                <w:szCs w:val="21"/>
              </w:rPr>
            </w:pPr>
          </w:p>
        </w:tc>
        <w:tc>
          <w:tcPr>
            <w:tcW w:w="650" w:type="pct"/>
            <w:vMerge w:val="continue"/>
            <w:tcBorders>
              <w:tl2br w:val="nil"/>
              <w:tr2bl w:val="nil"/>
            </w:tcBorders>
            <w:shd w:val="clear" w:color="auto" w:fill="auto"/>
            <w:vAlign w:val="center"/>
          </w:tcPr>
          <w:p w14:paraId="2D898C27">
            <w:pPr>
              <w:pStyle w:val="16"/>
              <w:bidi w:val="0"/>
              <w:rPr>
                <w:rFonts w:hint="default"/>
                <w:color w:val="auto"/>
                <w:sz w:val="21"/>
                <w:szCs w:val="21"/>
              </w:rPr>
            </w:pPr>
          </w:p>
        </w:tc>
        <w:tc>
          <w:tcPr>
            <w:tcW w:w="484" w:type="pct"/>
            <w:vMerge w:val="continue"/>
            <w:tcBorders>
              <w:tl2br w:val="nil"/>
              <w:tr2bl w:val="nil"/>
            </w:tcBorders>
            <w:shd w:val="clear" w:color="auto" w:fill="auto"/>
            <w:vAlign w:val="center"/>
          </w:tcPr>
          <w:p w14:paraId="69650845">
            <w:pPr>
              <w:pStyle w:val="16"/>
              <w:bidi w:val="0"/>
              <w:rPr>
                <w:rFonts w:hint="default"/>
                <w:color w:val="auto"/>
                <w:sz w:val="21"/>
                <w:szCs w:val="21"/>
              </w:rPr>
            </w:pPr>
          </w:p>
        </w:tc>
        <w:tc>
          <w:tcPr>
            <w:tcW w:w="375" w:type="pct"/>
            <w:vMerge w:val="continue"/>
            <w:tcBorders>
              <w:tl2br w:val="nil"/>
              <w:tr2bl w:val="nil"/>
            </w:tcBorders>
            <w:shd w:val="clear" w:color="auto" w:fill="auto"/>
            <w:vAlign w:val="center"/>
          </w:tcPr>
          <w:p w14:paraId="3C5D54D2">
            <w:pPr>
              <w:pStyle w:val="16"/>
              <w:bidi w:val="0"/>
              <w:rPr>
                <w:rFonts w:hint="eastAsia"/>
                <w:color w:val="auto"/>
                <w:sz w:val="21"/>
                <w:szCs w:val="21"/>
              </w:rPr>
            </w:pPr>
          </w:p>
        </w:tc>
        <w:tc>
          <w:tcPr>
            <w:tcW w:w="418" w:type="pct"/>
            <w:tcBorders>
              <w:tl2br w:val="nil"/>
              <w:tr2bl w:val="nil"/>
            </w:tcBorders>
            <w:shd w:val="clear" w:color="auto" w:fill="auto"/>
            <w:vAlign w:val="center"/>
          </w:tcPr>
          <w:p w14:paraId="046F5137">
            <w:pPr>
              <w:pStyle w:val="16"/>
              <w:bidi w:val="0"/>
              <w:rPr>
                <w:rFonts w:hint="eastAsia"/>
                <w:color w:val="auto"/>
                <w:sz w:val="21"/>
                <w:szCs w:val="21"/>
              </w:rPr>
            </w:pPr>
            <w:r>
              <w:rPr>
                <w:rFonts w:hint="eastAsia"/>
                <w:color w:val="auto"/>
                <w:sz w:val="21"/>
                <w:szCs w:val="21"/>
                <w:lang w:val="en-US" w:eastAsia="zh-CN"/>
              </w:rPr>
              <w:t>95%</w:t>
            </w:r>
          </w:p>
        </w:tc>
        <w:tc>
          <w:tcPr>
            <w:tcW w:w="460" w:type="pct"/>
            <w:tcBorders>
              <w:tl2br w:val="nil"/>
              <w:tr2bl w:val="nil"/>
            </w:tcBorders>
            <w:shd w:val="clear" w:color="auto" w:fill="auto"/>
            <w:vAlign w:val="center"/>
          </w:tcPr>
          <w:p w14:paraId="19C10059">
            <w:pPr>
              <w:pStyle w:val="16"/>
              <w:bidi w:val="0"/>
              <w:rPr>
                <w:rFonts w:hint="eastAsia"/>
                <w:color w:val="auto"/>
                <w:sz w:val="21"/>
                <w:szCs w:val="21"/>
              </w:rPr>
            </w:pPr>
            <w:r>
              <w:rPr>
                <w:rFonts w:hint="eastAsia"/>
                <w:color w:val="auto"/>
                <w:sz w:val="21"/>
                <w:szCs w:val="21"/>
                <w:lang w:val="en-US" w:eastAsia="zh-CN"/>
              </w:rPr>
              <w:t>无组织</w:t>
            </w:r>
          </w:p>
        </w:tc>
        <w:tc>
          <w:tcPr>
            <w:tcW w:w="709" w:type="pct"/>
            <w:tcBorders>
              <w:tl2br w:val="nil"/>
              <w:tr2bl w:val="nil"/>
            </w:tcBorders>
            <w:shd w:val="clear" w:color="auto" w:fill="auto"/>
            <w:vAlign w:val="center"/>
          </w:tcPr>
          <w:p w14:paraId="6475A0D3">
            <w:pPr>
              <w:pStyle w:val="16"/>
              <w:bidi w:val="0"/>
              <w:rPr>
                <w:rFonts w:hint="default"/>
                <w:color w:val="auto"/>
                <w:sz w:val="21"/>
                <w:szCs w:val="21"/>
              </w:rPr>
            </w:pPr>
            <w:r>
              <w:rPr>
                <w:rFonts w:hint="default"/>
                <w:color w:val="auto"/>
                <w:sz w:val="21"/>
                <w:szCs w:val="21"/>
                <w:lang w:val="en-US" w:eastAsia="zh-CN"/>
              </w:rPr>
              <w:t>0.0000045</w:t>
            </w:r>
          </w:p>
        </w:tc>
        <w:tc>
          <w:tcPr>
            <w:tcW w:w="549" w:type="pct"/>
            <w:tcBorders>
              <w:tl2br w:val="nil"/>
              <w:tr2bl w:val="nil"/>
            </w:tcBorders>
            <w:shd w:val="clear" w:color="auto" w:fill="auto"/>
            <w:vAlign w:val="center"/>
          </w:tcPr>
          <w:p w14:paraId="4783F4F1">
            <w:pPr>
              <w:pStyle w:val="16"/>
              <w:bidi w:val="0"/>
              <w:rPr>
                <w:rFonts w:hint="default"/>
                <w:color w:val="auto"/>
                <w:sz w:val="21"/>
                <w:szCs w:val="21"/>
              </w:rPr>
            </w:pPr>
            <w:r>
              <w:rPr>
                <w:rFonts w:hint="default"/>
                <w:color w:val="auto"/>
                <w:sz w:val="21"/>
                <w:szCs w:val="21"/>
                <w:lang w:val="en-US" w:eastAsia="zh-CN"/>
              </w:rPr>
              <w:t xml:space="preserve">0.0000 </w:t>
            </w:r>
          </w:p>
        </w:tc>
        <w:tc>
          <w:tcPr>
            <w:tcW w:w="567" w:type="pct"/>
            <w:tcBorders>
              <w:tl2br w:val="nil"/>
              <w:tr2bl w:val="nil"/>
            </w:tcBorders>
            <w:shd w:val="clear" w:color="auto" w:fill="auto"/>
            <w:vAlign w:val="center"/>
          </w:tcPr>
          <w:p w14:paraId="36BDCD85">
            <w:pPr>
              <w:pStyle w:val="16"/>
              <w:bidi w:val="0"/>
              <w:rPr>
                <w:rFonts w:hint="default"/>
                <w:color w:val="auto"/>
                <w:sz w:val="21"/>
                <w:szCs w:val="21"/>
              </w:rPr>
            </w:pPr>
            <w:r>
              <w:rPr>
                <w:rFonts w:hint="default"/>
                <w:color w:val="auto"/>
                <w:sz w:val="21"/>
                <w:szCs w:val="21"/>
                <w:lang w:val="en-US" w:eastAsia="zh-CN"/>
              </w:rPr>
              <w:t>/</w:t>
            </w:r>
          </w:p>
        </w:tc>
      </w:tr>
      <w:tr w14:paraId="3FFDD55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restart"/>
            <w:tcBorders>
              <w:tl2br w:val="nil"/>
              <w:tr2bl w:val="nil"/>
            </w:tcBorders>
            <w:shd w:val="clear" w:color="auto" w:fill="auto"/>
            <w:noWrap/>
            <w:vAlign w:val="center"/>
          </w:tcPr>
          <w:p w14:paraId="39FD6E7E">
            <w:pPr>
              <w:pStyle w:val="16"/>
              <w:bidi w:val="0"/>
              <w:rPr>
                <w:rFonts w:hint="eastAsia"/>
                <w:color w:val="auto"/>
                <w:sz w:val="21"/>
                <w:szCs w:val="21"/>
              </w:rPr>
            </w:pPr>
            <w:r>
              <w:rPr>
                <w:rFonts w:hint="eastAsia"/>
                <w:color w:val="auto"/>
                <w:sz w:val="21"/>
                <w:szCs w:val="21"/>
                <w:lang w:val="en-US" w:eastAsia="zh-CN"/>
              </w:rPr>
              <w:t>调节池</w:t>
            </w:r>
          </w:p>
        </w:tc>
        <w:tc>
          <w:tcPr>
            <w:tcW w:w="650" w:type="pct"/>
            <w:vMerge w:val="restart"/>
            <w:tcBorders>
              <w:tl2br w:val="nil"/>
              <w:tr2bl w:val="nil"/>
            </w:tcBorders>
            <w:shd w:val="clear" w:color="auto" w:fill="auto"/>
            <w:vAlign w:val="center"/>
          </w:tcPr>
          <w:p w14:paraId="3376CCFB">
            <w:pPr>
              <w:pStyle w:val="16"/>
              <w:bidi w:val="0"/>
              <w:ind w:left="0" w:leftChars="0" w:firstLine="0" w:firstLineChars="0"/>
              <w:rPr>
                <w:rFonts w:hint="default"/>
                <w:color w:val="auto"/>
                <w:sz w:val="21"/>
                <w:szCs w:val="21"/>
              </w:rPr>
            </w:pPr>
            <w:r>
              <w:rPr>
                <w:rFonts w:hint="default"/>
                <w:color w:val="auto"/>
                <w:sz w:val="21"/>
                <w:szCs w:val="21"/>
                <w:lang w:val="en-US" w:eastAsia="zh-CN"/>
              </w:rPr>
              <w:t>NH</w:t>
            </w:r>
            <w:r>
              <w:rPr>
                <w:rFonts w:hint="default"/>
                <w:color w:val="auto"/>
                <w:sz w:val="21"/>
                <w:szCs w:val="21"/>
                <w:vertAlign w:val="subscript"/>
                <w:lang w:val="en-US" w:eastAsia="zh-CN"/>
              </w:rPr>
              <w:t>3</w:t>
            </w:r>
          </w:p>
        </w:tc>
        <w:tc>
          <w:tcPr>
            <w:tcW w:w="484" w:type="pct"/>
            <w:vMerge w:val="restart"/>
            <w:tcBorders>
              <w:tl2br w:val="nil"/>
              <w:tr2bl w:val="nil"/>
            </w:tcBorders>
            <w:shd w:val="clear" w:color="auto" w:fill="auto"/>
            <w:vAlign w:val="center"/>
          </w:tcPr>
          <w:p w14:paraId="308B57B1">
            <w:pPr>
              <w:pStyle w:val="16"/>
              <w:bidi w:val="0"/>
              <w:rPr>
                <w:rFonts w:hint="default"/>
                <w:color w:val="auto"/>
                <w:sz w:val="21"/>
                <w:szCs w:val="21"/>
              </w:rPr>
            </w:pPr>
            <w:r>
              <w:rPr>
                <w:rFonts w:hint="default"/>
                <w:color w:val="auto"/>
                <w:sz w:val="21"/>
                <w:szCs w:val="21"/>
                <w:lang w:val="en-US" w:eastAsia="zh-CN"/>
              </w:rPr>
              <w:t>0.2439</w:t>
            </w:r>
          </w:p>
        </w:tc>
        <w:tc>
          <w:tcPr>
            <w:tcW w:w="375" w:type="pct"/>
            <w:vMerge w:val="restart"/>
            <w:tcBorders>
              <w:tl2br w:val="nil"/>
              <w:tr2bl w:val="nil"/>
            </w:tcBorders>
            <w:shd w:val="clear" w:color="auto" w:fill="auto"/>
            <w:vAlign w:val="center"/>
          </w:tcPr>
          <w:p w14:paraId="6375C52F">
            <w:pPr>
              <w:pStyle w:val="16"/>
              <w:bidi w:val="0"/>
              <w:rPr>
                <w:rFonts w:hint="eastAsia"/>
                <w:color w:val="auto"/>
                <w:sz w:val="21"/>
                <w:szCs w:val="21"/>
              </w:rPr>
            </w:pPr>
            <w:r>
              <w:rPr>
                <w:rFonts w:hint="eastAsia"/>
                <w:color w:val="auto"/>
                <w:sz w:val="21"/>
                <w:szCs w:val="21"/>
                <w:lang w:val="en-US" w:eastAsia="zh-CN"/>
              </w:rPr>
              <w:t>95%</w:t>
            </w:r>
          </w:p>
        </w:tc>
        <w:tc>
          <w:tcPr>
            <w:tcW w:w="418" w:type="pct"/>
            <w:tcBorders>
              <w:tl2br w:val="nil"/>
              <w:tr2bl w:val="nil"/>
            </w:tcBorders>
            <w:shd w:val="clear" w:color="auto" w:fill="auto"/>
            <w:vAlign w:val="center"/>
          </w:tcPr>
          <w:p w14:paraId="108D7C18">
            <w:pPr>
              <w:pStyle w:val="16"/>
              <w:bidi w:val="0"/>
              <w:rPr>
                <w:rFonts w:hint="eastAsia"/>
                <w:color w:val="auto"/>
                <w:sz w:val="21"/>
                <w:szCs w:val="21"/>
              </w:rPr>
            </w:pPr>
            <w:r>
              <w:rPr>
                <w:rFonts w:hint="eastAsia"/>
                <w:color w:val="auto"/>
                <w:sz w:val="21"/>
                <w:szCs w:val="21"/>
                <w:lang w:val="en-US" w:eastAsia="zh-CN"/>
              </w:rPr>
              <w:t>80%</w:t>
            </w:r>
          </w:p>
        </w:tc>
        <w:tc>
          <w:tcPr>
            <w:tcW w:w="460" w:type="pct"/>
            <w:tcBorders>
              <w:tl2br w:val="nil"/>
              <w:tr2bl w:val="nil"/>
            </w:tcBorders>
            <w:shd w:val="clear" w:color="auto" w:fill="auto"/>
            <w:vAlign w:val="center"/>
          </w:tcPr>
          <w:p w14:paraId="68FB0EA8">
            <w:pPr>
              <w:pStyle w:val="16"/>
              <w:bidi w:val="0"/>
              <w:rPr>
                <w:rFonts w:hint="eastAsia"/>
                <w:color w:val="auto"/>
                <w:sz w:val="21"/>
                <w:szCs w:val="21"/>
              </w:rPr>
            </w:pPr>
            <w:r>
              <w:rPr>
                <w:rFonts w:hint="eastAsia"/>
                <w:color w:val="auto"/>
                <w:sz w:val="21"/>
                <w:szCs w:val="21"/>
                <w:lang w:val="en-US" w:eastAsia="zh-CN"/>
              </w:rPr>
              <w:t>有组织</w:t>
            </w:r>
          </w:p>
        </w:tc>
        <w:tc>
          <w:tcPr>
            <w:tcW w:w="709" w:type="pct"/>
            <w:tcBorders>
              <w:tl2br w:val="nil"/>
              <w:tr2bl w:val="nil"/>
            </w:tcBorders>
            <w:shd w:val="clear" w:color="auto" w:fill="auto"/>
            <w:vAlign w:val="center"/>
          </w:tcPr>
          <w:p w14:paraId="02C05738">
            <w:pPr>
              <w:pStyle w:val="16"/>
              <w:bidi w:val="0"/>
              <w:rPr>
                <w:rFonts w:hint="default"/>
                <w:color w:val="auto"/>
                <w:sz w:val="21"/>
                <w:szCs w:val="21"/>
              </w:rPr>
            </w:pPr>
            <w:r>
              <w:rPr>
                <w:rFonts w:hint="default"/>
                <w:color w:val="auto"/>
                <w:sz w:val="21"/>
                <w:szCs w:val="21"/>
                <w:lang w:val="en-US" w:eastAsia="zh-CN"/>
              </w:rPr>
              <w:t>0.046341</w:t>
            </w:r>
          </w:p>
        </w:tc>
        <w:tc>
          <w:tcPr>
            <w:tcW w:w="549" w:type="pct"/>
            <w:tcBorders>
              <w:tl2br w:val="nil"/>
              <w:tr2bl w:val="nil"/>
            </w:tcBorders>
            <w:shd w:val="clear" w:color="auto" w:fill="auto"/>
            <w:vAlign w:val="center"/>
          </w:tcPr>
          <w:p w14:paraId="6081377F">
            <w:pPr>
              <w:pStyle w:val="16"/>
              <w:bidi w:val="0"/>
              <w:rPr>
                <w:rFonts w:hint="default"/>
                <w:color w:val="auto"/>
                <w:sz w:val="21"/>
                <w:szCs w:val="21"/>
              </w:rPr>
            </w:pPr>
            <w:r>
              <w:rPr>
                <w:rFonts w:hint="default"/>
                <w:color w:val="auto"/>
                <w:sz w:val="21"/>
                <w:szCs w:val="21"/>
                <w:lang w:val="en-US" w:eastAsia="zh-CN"/>
              </w:rPr>
              <w:t xml:space="preserve">0.4059 </w:t>
            </w:r>
          </w:p>
        </w:tc>
        <w:tc>
          <w:tcPr>
            <w:tcW w:w="567" w:type="pct"/>
            <w:tcBorders>
              <w:tl2br w:val="nil"/>
              <w:tr2bl w:val="nil"/>
            </w:tcBorders>
            <w:shd w:val="clear" w:color="auto" w:fill="auto"/>
            <w:vAlign w:val="center"/>
          </w:tcPr>
          <w:p w14:paraId="6EE4C87E">
            <w:pPr>
              <w:pStyle w:val="16"/>
              <w:bidi w:val="0"/>
              <w:rPr>
                <w:rFonts w:hint="default"/>
                <w:color w:val="auto"/>
                <w:sz w:val="21"/>
                <w:szCs w:val="21"/>
              </w:rPr>
            </w:pPr>
            <w:r>
              <w:rPr>
                <w:rFonts w:hint="default"/>
                <w:color w:val="auto"/>
                <w:sz w:val="21"/>
                <w:szCs w:val="21"/>
                <w:lang w:val="en-US" w:eastAsia="zh-CN"/>
              </w:rPr>
              <w:t>/</w:t>
            </w:r>
          </w:p>
        </w:tc>
      </w:tr>
      <w:tr w14:paraId="4BC253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315FECAF">
            <w:pPr>
              <w:pStyle w:val="16"/>
              <w:bidi w:val="0"/>
              <w:rPr>
                <w:rFonts w:hint="eastAsia"/>
                <w:color w:val="auto"/>
                <w:sz w:val="21"/>
                <w:szCs w:val="21"/>
              </w:rPr>
            </w:pPr>
          </w:p>
        </w:tc>
        <w:tc>
          <w:tcPr>
            <w:tcW w:w="650" w:type="pct"/>
            <w:vMerge w:val="continue"/>
            <w:tcBorders>
              <w:tl2br w:val="nil"/>
              <w:tr2bl w:val="nil"/>
            </w:tcBorders>
            <w:shd w:val="clear" w:color="auto" w:fill="auto"/>
            <w:vAlign w:val="center"/>
          </w:tcPr>
          <w:p w14:paraId="31B44ACC">
            <w:pPr>
              <w:pStyle w:val="16"/>
              <w:bidi w:val="0"/>
              <w:rPr>
                <w:rFonts w:hint="default"/>
                <w:color w:val="auto"/>
                <w:sz w:val="21"/>
                <w:szCs w:val="21"/>
              </w:rPr>
            </w:pPr>
          </w:p>
        </w:tc>
        <w:tc>
          <w:tcPr>
            <w:tcW w:w="484" w:type="pct"/>
            <w:vMerge w:val="continue"/>
            <w:tcBorders>
              <w:tl2br w:val="nil"/>
              <w:tr2bl w:val="nil"/>
            </w:tcBorders>
            <w:shd w:val="clear" w:color="auto" w:fill="auto"/>
            <w:vAlign w:val="center"/>
          </w:tcPr>
          <w:p w14:paraId="3C63DF73">
            <w:pPr>
              <w:pStyle w:val="16"/>
              <w:bidi w:val="0"/>
              <w:rPr>
                <w:rFonts w:hint="default"/>
                <w:color w:val="auto"/>
                <w:sz w:val="21"/>
                <w:szCs w:val="21"/>
              </w:rPr>
            </w:pPr>
          </w:p>
        </w:tc>
        <w:tc>
          <w:tcPr>
            <w:tcW w:w="375" w:type="pct"/>
            <w:vMerge w:val="continue"/>
            <w:tcBorders>
              <w:tl2br w:val="nil"/>
              <w:tr2bl w:val="nil"/>
            </w:tcBorders>
            <w:shd w:val="clear" w:color="auto" w:fill="auto"/>
            <w:vAlign w:val="center"/>
          </w:tcPr>
          <w:p w14:paraId="7D2AB758">
            <w:pPr>
              <w:pStyle w:val="16"/>
              <w:bidi w:val="0"/>
              <w:rPr>
                <w:rFonts w:hint="eastAsia"/>
                <w:color w:val="auto"/>
                <w:sz w:val="21"/>
                <w:szCs w:val="21"/>
              </w:rPr>
            </w:pPr>
          </w:p>
        </w:tc>
        <w:tc>
          <w:tcPr>
            <w:tcW w:w="418" w:type="pct"/>
            <w:tcBorders>
              <w:tl2br w:val="nil"/>
              <w:tr2bl w:val="nil"/>
            </w:tcBorders>
            <w:shd w:val="clear" w:color="auto" w:fill="auto"/>
            <w:vAlign w:val="center"/>
          </w:tcPr>
          <w:p w14:paraId="6FBF14C1">
            <w:pPr>
              <w:pStyle w:val="16"/>
              <w:bidi w:val="0"/>
              <w:rPr>
                <w:rFonts w:hint="eastAsia"/>
                <w:color w:val="auto"/>
                <w:sz w:val="21"/>
                <w:szCs w:val="21"/>
              </w:rPr>
            </w:pPr>
            <w:r>
              <w:rPr>
                <w:rFonts w:hint="eastAsia"/>
                <w:color w:val="auto"/>
                <w:sz w:val="21"/>
                <w:szCs w:val="21"/>
                <w:lang w:val="en-US" w:eastAsia="zh-CN"/>
              </w:rPr>
              <w:t>95%</w:t>
            </w:r>
          </w:p>
        </w:tc>
        <w:tc>
          <w:tcPr>
            <w:tcW w:w="460" w:type="pct"/>
            <w:tcBorders>
              <w:tl2br w:val="nil"/>
              <w:tr2bl w:val="nil"/>
            </w:tcBorders>
            <w:shd w:val="clear" w:color="auto" w:fill="auto"/>
            <w:vAlign w:val="center"/>
          </w:tcPr>
          <w:p w14:paraId="0D4E3911">
            <w:pPr>
              <w:pStyle w:val="16"/>
              <w:bidi w:val="0"/>
              <w:rPr>
                <w:rFonts w:hint="eastAsia"/>
                <w:color w:val="auto"/>
                <w:sz w:val="21"/>
                <w:szCs w:val="21"/>
              </w:rPr>
            </w:pPr>
            <w:r>
              <w:rPr>
                <w:rFonts w:hint="eastAsia"/>
                <w:color w:val="auto"/>
                <w:sz w:val="21"/>
                <w:szCs w:val="21"/>
                <w:lang w:val="en-US" w:eastAsia="zh-CN"/>
              </w:rPr>
              <w:t>无组织</w:t>
            </w:r>
          </w:p>
        </w:tc>
        <w:tc>
          <w:tcPr>
            <w:tcW w:w="709" w:type="pct"/>
            <w:tcBorders>
              <w:tl2br w:val="nil"/>
              <w:tr2bl w:val="nil"/>
            </w:tcBorders>
            <w:shd w:val="clear" w:color="auto" w:fill="auto"/>
            <w:vAlign w:val="center"/>
          </w:tcPr>
          <w:p w14:paraId="0C9A87BA">
            <w:pPr>
              <w:pStyle w:val="16"/>
              <w:bidi w:val="0"/>
              <w:rPr>
                <w:rFonts w:hint="default"/>
                <w:color w:val="auto"/>
                <w:sz w:val="21"/>
                <w:szCs w:val="21"/>
              </w:rPr>
            </w:pPr>
            <w:r>
              <w:rPr>
                <w:rFonts w:hint="default"/>
                <w:color w:val="auto"/>
                <w:sz w:val="21"/>
                <w:szCs w:val="21"/>
                <w:lang w:val="en-US" w:eastAsia="zh-CN"/>
              </w:rPr>
              <w:t>0.012195</w:t>
            </w:r>
          </w:p>
        </w:tc>
        <w:tc>
          <w:tcPr>
            <w:tcW w:w="549" w:type="pct"/>
            <w:tcBorders>
              <w:tl2br w:val="nil"/>
              <w:tr2bl w:val="nil"/>
            </w:tcBorders>
            <w:shd w:val="clear" w:color="auto" w:fill="auto"/>
            <w:vAlign w:val="center"/>
          </w:tcPr>
          <w:p w14:paraId="24A23900">
            <w:pPr>
              <w:pStyle w:val="16"/>
              <w:bidi w:val="0"/>
              <w:rPr>
                <w:rFonts w:hint="default"/>
                <w:color w:val="auto"/>
                <w:sz w:val="21"/>
                <w:szCs w:val="21"/>
              </w:rPr>
            </w:pPr>
            <w:r>
              <w:rPr>
                <w:rFonts w:hint="default"/>
                <w:color w:val="auto"/>
                <w:sz w:val="21"/>
                <w:szCs w:val="21"/>
                <w:lang w:val="en-US" w:eastAsia="zh-CN"/>
              </w:rPr>
              <w:t xml:space="preserve">0.1068 </w:t>
            </w:r>
          </w:p>
        </w:tc>
        <w:tc>
          <w:tcPr>
            <w:tcW w:w="567" w:type="pct"/>
            <w:tcBorders>
              <w:tl2br w:val="nil"/>
              <w:tr2bl w:val="nil"/>
            </w:tcBorders>
            <w:shd w:val="clear" w:color="auto" w:fill="auto"/>
            <w:vAlign w:val="center"/>
          </w:tcPr>
          <w:p w14:paraId="2725AFC9">
            <w:pPr>
              <w:pStyle w:val="16"/>
              <w:bidi w:val="0"/>
              <w:rPr>
                <w:rFonts w:hint="default"/>
                <w:color w:val="auto"/>
                <w:sz w:val="21"/>
                <w:szCs w:val="21"/>
              </w:rPr>
            </w:pPr>
            <w:r>
              <w:rPr>
                <w:rFonts w:hint="default"/>
                <w:color w:val="auto"/>
                <w:sz w:val="21"/>
                <w:szCs w:val="21"/>
                <w:lang w:val="en-US" w:eastAsia="zh-CN"/>
              </w:rPr>
              <w:t>/</w:t>
            </w:r>
          </w:p>
        </w:tc>
      </w:tr>
      <w:tr w14:paraId="646225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192CB200">
            <w:pPr>
              <w:pStyle w:val="16"/>
              <w:bidi w:val="0"/>
              <w:rPr>
                <w:rFonts w:hint="eastAsia"/>
                <w:color w:val="auto"/>
                <w:sz w:val="21"/>
                <w:szCs w:val="21"/>
              </w:rPr>
            </w:pPr>
          </w:p>
        </w:tc>
        <w:tc>
          <w:tcPr>
            <w:tcW w:w="650" w:type="pct"/>
            <w:vMerge w:val="restart"/>
            <w:tcBorders>
              <w:tl2br w:val="nil"/>
              <w:tr2bl w:val="nil"/>
            </w:tcBorders>
            <w:shd w:val="clear" w:color="auto" w:fill="auto"/>
            <w:vAlign w:val="center"/>
          </w:tcPr>
          <w:p w14:paraId="186C9993">
            <w:pPr>
              <w:pStyle w:val="16"/>
              <w:bidi w:val="0"/>
              <w:ind w:left="0" w:leftChars="0" w:firstLine="0" w:firstLineChars="0"/>
              <w:rPr>
                <w:rFonts w:hint="default"/>
                <w:color w:val="auto"/>
                <w:sz w:val="21"/>
                <w:szCs w:val="21"/>
              </w:rPr>
            </w:pPr>
            <w:r>
              <w:rPr>
                <w:rFonts w:hint="default"/>
                <w:color w:val="auto"/>
                <w:sz w:val="21"/>
                <w:szCs w:val="21"/>
                <w:lang w:val="en-US" w:eastAsia="zh-CN"/>
              </w:rPr>
              <w:t>H</w:t>
            </w:r>
            <w:r>
              <w:rPr>
                <w:rFonts w:hint="default"/>
                <w:color w:val="auto"/>
                <w:sz w:val="21"/>
                <w:szCs w:val="21"/>
                <w:vertAlign w:val="subscript"/>
                <w:lang w:val="en-US" w:eastAsia="zh-CN"/>
              </w:rPr>
              <w:t>2</w:t>
            </w:r>
            <w:r>
              <w:rPr>
                <w:rFonts w:hint="default"/>
                <w:color w:val="auto"/>
                <w:sz w:val="21"/>
                <w:szCs w:val="21"/>
                <w:lang w:val="en-US" w:eastAsia="zh-CN"/>
              </w:rPr>
              <w:t>S</w:t>
            </w:r>
          </w:p>
        </w:tc>
        <w:tc>
          <w:tcPr>
            <w:tcW w:w="484" w:type="pct"/>
            <w:vMerge w:val="restart"/>
            <w:tcBorders>
              <w:tl2br w:val="nil"/>
              <w:tr2bl w:val="nil"/>
            </w:tcBorders>
            <w:shd w:val="clear" w:color="auto" w:fill="auto"/>
            <w:vAlign w:val="center"/>
          </w:tcPr>
          <w:p w14:paraId="1FF89B44">
            <w:pPr>
              <w:pStyle w:val="16"/>
              <w:bidi w:val="0"/>
              <w:rPr>
                <w:rFonts w:hint="default"/>
                <w:color w:val="auto"/>
                <w:sz w:val="21"/>
                <w:szCs w:val="21"/>
              </w:rPr>
            </w:pPr>
            <w:r>
              <w:rPr>
                <w:rFonts w:hint="default"/>
                <w:color w:val="auto"/>
                <w:sz w:val="21"/>
                <w:szCs w:val="21"/>
                <w:lang w:val="en-US" w:eastAsia="zh-CN"/>
              </w:rPr>
              <w:t>0.00247</w:t>
            </w:r>
          </w:p>
        </w:tc>
        <w:tc>
          <w:tcPr>
            <w:tcW w:w="375" w:type="pct"/>
            <w:vMerge w:val="restart"/>
            <w:tcBorders>
              <w:tl2br w:val="nil"/>
              <w:tr2bl w:val="nil"/>
            </w:tcBorders>
            <w:shd w:val="clear" w:color="auto" w:fill="auto"/>
            <w:vAlign w:val="center"/>
          </w:tcPr>
          <w:p w14:paraId="2EBB4568">
            <w:pPr>
              <w:pStyle w:val="16"/>
              <w:bidi w:val="0"/>
              <w:rPr>
                <w:rFonts w:hint="eastAsia"/>
                <w:color w:val="auto"/>
                <w:sz w:val="21"/>
                <w:szCs w:val="21"/>
              </w:rPr>
            </w:pPr>
            <w:r>
              <w:rPr>
                <w:rFonts w:hint="eastAsia"/>
                <w:color w:val="auto"/>
                <w:sz w:val="21"/>
                <w:szCs w:val="21"/>
                <w:lang w:val="en-US" w:eastAsia="zh-CN"/>
              </w:rPr>
              <w:t>95%</w:t>
            </w:r>
          </w:p>
        </w:tc>
        <w:tc>
          <w:tcPr>
            <w:tcW w:w="418" w:type="pct"/>
            <w:tcBorders>
              <w:tl2br w:val="nil"/>
              <w:tr2bl w:val="nil"/>
            </w:tcBorders>
            <w:shd w:val="clear" w:color="auto" w:fill="auto"/>
            <w:vAlign w:val="center"/>
          </w:tcPr>
          <w:p w14:paraId="28E70896">
            <w:pPr>
              <w:pStyle w:val="16"/>
              <w:bidi w:val="0"/>
              <w:rPr>
                <w:rFonts w:hint="eastAsia"/>
                <w:color w:val="auto"/>
                <w:sz w:val="21"/>
                <w:szCs w:val="21"/>
              </w:rPr>
            </w:pPr>
            <w:r>
              <w:rPr>
                <w:rFonts w:hint="eastAsia"/>
                <w:color w:val="auto"/>
                <w:sz w:val="21"/>
                <w:szCs w:val="21"/>
                <w:lang w:val="en-US" w:eastAsia="zh-CN"/>
              </w:rPr>
              <w:t>80%</w:t>
            </w:r>
          </w:p>
        </w:tc>
        <w:tc>
          <w:tcPr>
            <w:tcW w:w="460" w:type="pct"/>
            <w:tcBorders>
              <w:tl2br w:val="nil"/>
              <w:tr2bl w:val="nil"/>
            </w:tcBorders>
            <w:shd w:val="clear" w:color="auto" w:fill="auto"/>
            <w:vAlign w:val="center"/>
          </w:tcPr>
          <w:p w14:paraId="7DAFEB66">
            <w:pPr>
              <w:pStyle w:val="16"/>
              <w:bidi w:val="0"/>
              <w:rPr>
                <w:rFonts w:hint="eastAsia"/>
                <w:color w:val="auto"/>
                <w:sz w:val="21"/>
                <w:szCs w:val="21"/>
              </w:rPr>
            </w:pPr>
            <w:r>
              <w:rPr>
                <w:rFonts w:hint="eastAsia"/>
                <w:color w:val="auto"/>
                <w:sz w:val="21"/>
                <w:szCs w:val="21"/>
                <w:lang w:val="en-US" w:eastAsia="zh-CN"/>
              </w:rPr>
              <w:t>有组织</w:t>
            </w:r>
          </w:p>
        </w:tc>
        <w:tc>
          <w:tcPr>
            <w:tcW w:w="709" w:type="pct"/>
            <w:tcBorders>
              <w:tl2br w:val="nil"/>
              <w:tr2bl w:val="nil"/>
            </w:tcBorders>
            <w:shd w:val="clear" w:color="auto" w:fill="auto"/>
            <w:vAlign w:val="center"/>
          </w:tcPr>
          <w:p w14:paraId="06B20C36">
            <w:pPr>
              <w:pStyle w:val="16"/>
              <w:bidi w:val="0"/>
              <w:rPr>
                <w:rFonts w:hint="default"/>
                <w:color w:val="auto"/>
                <w:sz w:val="21"/>
                <w:szCs w:val="21"/>
              </w:rPr>
            </w:pPr>
            <w:r>
              <w:rPr>
                <w:rFonts w:hint="default"/>
                <w:color w:val="auto"/>
                <w:sz w:val="21"/>
                <w:szCs w:val="21"/>
                <w:lang w:val="en-US" w:eastAsia="zh-CN"/>
              </w:rPr>
              <w:t>0.0004693</w:t>
            </w:r>
          </w:p>
        </w:tc>
        <w:tc>
          <w:tcPr>
            <w:tcW w:w="549" w:type="pct"/>
            <w:tcBorders>
              <w:tl2br w:val="nil"/>
              <w:tr2bl w:val="nil"/>
            </w:tcBorders>
            <w:shd w:val="clear" w:color="auto" w:fill="auto"/>
            <w:vAlign w:val="center"/>
          </w:tcPr>
          <w:p w14:paraId="5C191035">
            <w:pPr>
              <w:pStyle w:val="16"/>
              <w:bidi w:val="0"/>
              <w:rPr>
                <w:rFonts w:hint="default"/>
                <w:color w:val="auto"/>
                <w:sz w:val="21"/>
                <w:szCs w:val="21"/>
              </w:rPr>
            </w:pPr>
            <w:r>
              <w:rPr>
                <w:rFonts w:hint="default"/>
                <w:color w:val="auto"/>
                <w:sz w:val="21"/>
                <w:szCs w:val="21"/>
                <w:lang w:val="en-US" w:eastAsia="zh-CN"/>
              </w:rPr>
              <w:t xml:space="preserve">0.0041 </w:t>
            </w:r>
          </w:p>
        </w:tc>
        <w:tc>
          <w:tcPr>
            <w:tcW w:w="567" w:type="pct"/>
            <w:tcBorders>
              <w:tl2br w:val="nil"/>
              <w:tr2bl w:val="nil"/>
            </w:tcBorders>
            <w:shd w:val="clear" w:color="auto" w:fill="auto"/>
            <w:vAlign w:val="center"/>
          </w:tcPr>
          <w:p w14:paraId="233F47AD">
            <w:pPr>
              <w:pStyle w:val="16"/>
              <w:bidi w:val="0"/>
              <w:rPr>
                <w:rFonts w:hint="default"/>
                <w:color w:val="auto"/>
                <w:sz w:val="21"/>
                <w:szCs w:val="21"/>
              </w:rPr>
            </w:pPr>
            <w:r>
              <w:rPr>
                <w:rFonts w:hint="default"/>
                <w:color w:val="auto"/>
                <w:sz w:val="21"/>
                <w:szCs w:val="21"/>
                <w:lang w:val="en-US" w:eastAsia="zh-CN"/>
              </w:rPr>
              <w:t>/</w:t>
            </w:r>
          </w:p>
        </w:tc>
      </w:tr>
      <w:tr w14:paraId="40BDF8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69F40675">
            <w:pPr>
              <w:pStyle w:val="16"/>
              <w:bidi w:val="0"/>
              <w:rPr>
                <w:rFonts w:hint="eastAsia"/>
                <w:color w:val="auto"/>
                <w:sz w:val="21"/>
                <w:szCs w:val="21"/>
              </w:rPr>
            </w:pPr>
          </w:p>
        </w:tc>
        <w:tc>
          <w:tcPr>
            <w:tcW w:w="650" w:type="pct"/>
            <w:vMerge w:val="continue"/>
            <w:tcBorders>
              <w:tl2br w:val="nil"/>
              <w:tr2bl w:val="nil"/>
            </w:tcBorders>
            <w:shd w:val="clear" w:color="auto" w:fill="auto"/>
            <w:vAlign w:val="center"/>
          </w:tcPr>
          <w:p w14:paraId="26FDD1CB">
            <w:pPr>
              <w:pStyle w:val="16"/>
              <w:bidi w:val="0"/>
              <w:rPr>
                <w:rFonts w:hint="default"/>
                <w:color w:val="auto"/>
                <w:sz w:val="21"/>
                <w:szCs w:val="21"/>
              </w:rPr>
            </w:pPr>
          </w:p>
        </w:tc>
        <w:tc>
          <w:tcPr>
            <w:tcW w:w="484" w:type="pct"/>
            <w:vMerge w:val="continue"/>
            <w:tcBorders>
              <w:tl2br w:val="nil"/>
              <w:tr2bl w:val="nil"/>
            </w:tcBorders>
            <w:shd w:val="clear" w:color="auto" w:fill="auto"/>
            <w:vAlign w:val="center"/>
          </w:tcPr>
          <w:p w14:paraId="388C18A2">
            <w:pPr>
              <w:pStyle w:val="16"/>
              <w:bidi w:val="0"/>
              <w:rPr>
                <w:rFonts w:hint="default"/>
                <w:color w:val="auto"/>
                <w:sz w:val="21"/>
                <w:szCs w:val="21"/>
              </w:rPr>
            </w:pPr>
          </w:p>
        </w:tc>
        <w:tc>
          <w:tcPr>
            <w:tcW w:w="375" w:type="pct"/>
            <w:vMerge w:val="continue"/>
            <w:tcBorders>
              <w:tl2br w:val="nil"/>
              <w:tr2bl w:val="nil"/>
            </w:tcBorders>
            <w:shd w:val="clear" w:color="auto" w:fill="auto"/>
            <w:vAlign w:val="center"/>
          </w:tcPr>
          <w:p w14:paraId="744C657F">
            <w:pPr>
              <w:pStyle w:val="16"/>
              <w:bidi w:val="0"/>
              <w:rPr>
                <w:rFonts w:hint="eastAsia"/>
                <w:color w:val="auto"/>
                <w:sz w:val="21"/>
                <w:szCs w:val="21"/>
              </w:rPr>
            </w:pPr>
          </w:p>
        </w:tc>
        <w:tc>
          <w:tcPr>
            <w:tcW w:w="418" w:type="pct"/>
            <w:tcBorders>
              <w:tl2br w:val="nil"/>
              <w:tr2bl w:val="nil"/>
            </w:tcBorders>
            <w:shd w:val="clear" w:color="auto" w:fill="auto"/>
            <w:vAlign w:val="center"/>
          </w:tcPr>
          <w:p w14:paraId="0A241A7F">
            <w:pPr>
              <w:pStyle w:val="16"/>
              <w:bidi w:val="0"/>
              <w:rPr>
                <w:rFonts w:hint="eastAsia"/>
                <w:color w:val="auto"/>
                <w:sz w:val="21"/>
                <w:szCs w:val="21"/>
              </w:rPr>
            </w:pPr>
            <w:r>
              <w:rPr>
                <w:rFonts w:hint="eastAsia"/>
                <w:color w:val="auto"/>
                <w:sz w:val="21"/>
                <w:szCs w:val="21"/>
                <w:lang w:val="en-US" w:eastAsia="zh-CN"/>
              </w:rPr>
              <w:t>95%</w:t>
            </w:r>
          </w:p>
        </w:tc>
        <w:tc>
          <w:tcPr>
            <w:tcW w:w="460" w:type="pct"/>
            <w:tcBorders>
              <w:tl2br w:val="nil"/>
              <w:tr2bl w:val="nil"/>
            </w:tcBorders>
            <w:shd w:val="clear" w:color="auto" w:fill="auto"/>
            <w:vAlign w:val="center"/>
          </w:tcPr>
          <w:p w14:paraId="37958CBC">
            <w:pPr>
              <w:pStyle w:val="16"/>
              <w:bidi w:val="0"/>
              <w:rPr>
                <w:rFonts w:hint="eastAsia"/>
                <w:color w:val="auto"/>
                <w:sz w:val="21"/>
                <w:szCs w:val="21"/>
              </w:rPr>
            </w:pPr>
            <w:r>
              <w:rPr>
                <w:rFonts w:hint="eastAsia"/>
                <w:color w:val="auto"/>
                <w:sz w:val="21"/>
                <w:szCs w:val="21"/>
                <w:lang w:val="en-US" w:eastAsia="zh-CN"/>
              </w:rPr>
              <w:t>无组织</w:t>
            </w:r>
          </w:p>
        </w:tc>
        <w:tc>
          <w:tcPr>
            <w:tcW w:w="709" w:type="pct"/>
            <w:tcBorders>
              <w:tl2br w:val="nil"/>
              <w:tr2bl w:val="nil"/>
            </w:tcBorders>
            <w:shd w:val="clear" w:color="auto" w:fill="auto"/>
            <w:vAlign w:val="center"/>
          </w:tcPr>
          <w:p w14:paraId="7B09FF41">
            <w:pPr>
              <w:pStyle w:val="16"/>
              <w:bidi w:val="0"/>
              <w:rPr>
                <w:rFonts w:hint="default"/>
                <w:color w:val="auto"/>
                <w:sz w:val="21"/>
                <w:szCs w:val="21"/>
              </w:rPr>
            </w:pPr>
            <w:r>
              <w:rPr>
                <w:rFonts w:hint="default"/>
                <w:color w:val="auto"/>
                <w:sz w:val="21"/>
                <w:szCs w:val="21"/>
                <w:lang w:val="en-US" w:eastAsia="zh-CN"/>
              </w:rPr>
              <w:t>0.0001235</w:t>
            </w:r>
          </w:p>
        </w:tc>
        <w:tc>
          <w:tcPr>
            <w:tcW w:w="549" w:type="pct"/>
            <w:tcBorders>
              <w:tl2br w:val="nil"/>
              <w:tr2bl w:val="nil"/>
            </w:tcBorders>
            <w:shd w:val="clear" w:color="auto" w:fill="auto"/>
            <w:vAlign w:val="center"/>
          </w:tcPr>
          <w:p w14:paraId="0A07DF61">
            <w:pPr>
              <w:pStyle w:val="16"/>
              <w:bidi w:val="0"/>
              <w:rPr>
                <w:rFonts w:hint="default"/>
                <w:color w:val="auto"/>
                <w:sz w:val="21"/>
                <w:szCs w:val="21"/>
              </w:rPr>
            </w:pPr>
            <w:r>
              <w:rPr>
                <w:rFonts w:hint="default"/>
                <w:color w:val="auto"/>
                <w:sz w:val="21"/>
                <w:szCs w:val="21"/>
                <w:lang w:val="en-US" w:eastAsia="zh-CN"/>
              </w:rPr>
              <w:t xml:space="preserve">0.0011 </w:t>
            </w:r>
          </w:p>
        </w:tc>
        <w:tc>
          <w:tcPr>
            <w:tcW w:w="567" w:type="pct"/>
            <w:tcBorders>
              <w:tl2br w:val="nil"/>
              <w:tr2bl w:val="nil"/>
            </w:tcBorders>
            <w:shd w:val="clear" w:color="auto" w:fill="auto"/>
            <w:vAlign w:val="center"/>
          </w:tcPr>
          <w:p w14:paraId="46DFFD2A">
            <w:pPr>
              <w:pStyle w:val="16"/>
              <w:bidi w:val="0"/>
              <w:rPr>
                <w:rFonts w:hint="default"/>
                <w:color w:val="auto"/>
                <w:sz w:val="21"/>
                <w:szCs w:val="21"/>
              </w:rPr>
            </w:pPr>
            <w:r>
              <w:rPr>
                <w:rFonts w:hint="default"/>
                <w:color w:val="auto"/>
                <w:sz w:val="21"/>
                <w:szCs w:val="21"/>
                <w:lang w:val="en-US" w:eastAsia="zh-CN"/>
              </w:rPr>
              <w:t>/</w:t>
            </w:r>
          </w:p>
        </w:tc>
      </w:tr>
      <w:tr w14:paraId="2940AA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restart"/>
            <w:tcBorders>
              <w:tl2br w:val="nil"/>
              <w:tr2bl w:val="nil"/>
            </w:tcBorders>
            <w:shd w:val="clear" w:color="auto" w:fill="auto"/>
            <w:noWrap/>
            <w:vAlign w:val="center"/>
          </w:tcPr>
          <w:p w14:paraId="1EB6B45C">
            <w:pPr>
              <w:pStyle w:val="16"/>
              <w:bidi w:val="0"/>
              <w:rPr>
                <w:rFonts w:hint="eastAsia"/>
                <w:color w:val="auto"/>
                <w:sz w:val="21"/>
                <w:szCs w:val="21"/>
              </w:rPr>
            </w:pPr>
            <w:r>
              <w:rPr>
                <w:rFonts w:hint="eastAsia"/>
                <w:color w:val="auto"/>
                <w:sz w:val="21"/>
                <w:szCs w:val="21"/>
                <w:lang w:val="en-US" w:eastAsia="zh-CN"/>
              </w:rPr>
              <w:t>水解酸化池</w:t>
            </w:r>
          </w:p>
        </w:tc>
        <w:tc>
          <w:tcPr>
            <w:tcW w:w="650" w:type="pct"/>
            <w:vMerge w:val="restart"/>
            <w:tcBorders>
              <w:tl2br w:val="nil"/>
              <w:tr2bl w:val="nil"/>
            </w:tcBorders>
            <w:shd w:val="clear" w:color="auto" w:fill="auto"/>
            <w:vAlign w:val="center"/>
          </w:tcPr>
          <w:p w14:paraId="3EC30369">
            <w:pPr>
              <w:pStyle w:val="16"/>
              <w:bidi w:val="0"/>
              <w:ind w:left="0" w:leftChars="0" w:firstLine="0" w:firstLineChars="0"/>
              <w:rPr>
                <w:rFonts w:hint="default"/>
                <w:color w:val="auto"/>
                <w:sz w:val="21"/>
                <w:szCs w:val="21"/>
              </w:rPr>
            </w:pPr>
            <w:r>
              <w:rPr>
                <w:rFonts w:hint="default"/>
                <w:color w:val="auto"/>
                <w:sz w:val="21"/>
                <w:szCs w:val="21"/>
                <w:lang w:val="en-US" w:eastAsia="zh-CN"/>
              </w:rPr>
              <w:t>NH</w:t>
            </w:r>
            <w:r>
              <w:rPr>
                <w:rFonts w:hint="default"/>
                <w:color w:val="auto"/>
                <w:sz w:val="21"/>
                <w:szCs w:val="21"/>
                <w:vertAlign w:val="subscript"/>
                <w:lang w:val="en-US" w:eastAsia="zh-CN"/>
              </w:rPr>
              <w:t>3</w:t>
            </w:r>
          </w:p>
        </w:tc>
        <w:tc>
          <w:tcPr>
            <w:tcW w:w="484" w:type="pct"/>
            <w:vMerge w:val="restart"/>
            <w:tcBorders>
              <w:tl2br w:val="nil"/>
              <w:tr2bl w:val="nil"/>
            </w:tcBorders>
            <w:shd w:val="clear" w:color="auto" w:fill="auto"/>
            <w:vAlign w:val="center"/>
          </w:tcPr>
          <w:p w14:paraId="5D35677C">
            <w:pPr>
              <w:pStyle w:val="16"/>
              <w:bidi w:val="0"/>
              <w:rPr>
                <w:rFonts w:hint="default"/>
                <w:color w:val="auto"/>
                <w:sz w:val="21"/>
                <w:szCs w:val="21"/>
              </w:rPr>
            </w:pPr>
            <w:r>
              <w:rPr>
                <w:rFonts w:hint="default"/>
                <w:color w:val="auto"/>
                <w:sz w:val="21"/>
                <w:szCs w:val="21"/>
                <w:lang w:val="en-US" w:eastAsia="zh-CN"/>
              </w:rPr>
              <w:t>0.0924</w:t>
            </w:r>
          </w:p>
        </w:tc>
        <w:tc>
          <w:tcPr>
            <w:tcW w:w="375" w:type="pct"/>
            <w:vMerge w:val="restart"/>
            <w:tcBorders>
              <w:tl2br w:val="nil"/>
              <w:tr2bl w:val="nil"/>
            </w:tcBorders>
            <w:shd w:val="clear" w:color="auto" w:fill="auto"/>
            <w:vAlign w:val="center"/>
          </w:tcPr>
          <w:p w14:paraId="2D7884EE">
            <w:pPr>
              <w:pStyle w:val="16"/>
              <w:bidi w:val="0"/>
              <w:rPr>
                <w:rFonts w:hint="eastAsia"/>
                <w:color w:val="auto"/>
                <w:sz w:val="21"/>
                <w:szCs w:val="21"/>
              </w:rPr>
            </w:pPr>
            <w:r>
              <w:rPr>
                <w:rFonts w:hint="eastAsia"/>
                <w:color w:val="auto"/>
                <w:sz w:val="21"/>
                <w:szCs w:val="21"/>
                <w:lang w:val="en-US" w:eastAsia="zh-CN"/>
              </w:rPr>
              <w:t>95%</w:t>
            </w:r>
          </w:p>
        </w:tc>
        <w:tc>
          <w:tcPr>
            <w:tcW w:w="418" w:type="pct"/>
            <w:tcBorders>
              <w:tl2br w:val="nil"/>
              <w:tr2bl w:val="nil"/>
            </w:tcBorders>
            <w:shd w:val="clear" w:color="auto" w:fill="auto"/>
            <w:vAlign w:val="center"/>
          </w:tcPr>
          <w:p w14:paraId="41607804">
            <w:pPr>
              <w:pStyle w:val="16"/>
              <w:bidi w:val="0"/>
              <w:rPr>
                <w:rFonts w:hint="eastAsia"/>
                <w:color w:val="auto"/>
                <w:sz w:val="21"/>
                <w:szCs w:val="21"/>
              </w:rPr>
            </w:pPr>
            <w:r>
              <w:rPr>
                <w:rFonts w:hint="eastAsia"/>
                <w:color w:val="auto"/>
                <w:sz w:val="21"/>
                <w:szCs w:val="21"/>
                <w:lang w:val="en-US" w:eastAsia="zh-CN"/>
              </w:rPr>
              <w:t>80%</w:t>
            </w:r>
          </w:p>
        </w:tc>
        <w:tc>
          <w:tcPr>
            <w:tcW w:w="460" w:type="pct"/>
            <w:tcBorders>
              <w:tl2br w:val="nil"/>
              <w:tr2bl w:val="nil"/>
            </w:tcBorders>
            <w:shd w:val="clear" w:color="auto" w:fill="auto"/>
            <w:vAlign w:val="center"/>
          </w:tcPr>
          <w:p w14:paraId="09ADD059">
            <w:pPr>
              <w:pStyle w:val="16"/>
              <w:bidi w:val="0"/>
              <w:rPr>
                <w:rFonts w:hint="eastAsia"/>
                <w:color w:val="auto"/>
                <w:sz w:val="21"/>
                <w:szCs w:val="21"/>
              </w:rPr>
            </w:pPr>
            <w:r>
              <w:rPr>
                <w:rFonts w:hint="eastAsia"/>
                <w:color w:val="auto"/>
                <w:sz w:val="21"/>
                <w:szCs w:val="21"/>
                <w:lang w:val="en-US" w:eastAsia="zh-CN"/>
              </w:rPr>
              <w:t>有组织</w:t>
            </w:r>
          </w:p>
        </w:tc>
        <w:tc>
          <w:tcPr>
            <w:tcW w:w="709" w:type="pct"/>
            <w:tcBorders>
              <w:tl2br w:val="nil"/>
              <w:tr2bl w:val="nil"/>
            </w:tcBorders>
            <w:shd w:val="clear" w:color="auto" w:fill="auto"/>
            <w:vAlign w:val="center"/>
          </w:tcPr>
          <w:p w14:paraId="67721F6A">
            <w:pPr>
              <w:pStyle w:val="16"/>
              <w:bidi w:val="0"/>
              <w:rPr>
                <w:rFonts w:hint="default"/>
                <w:color w:val="auto"/>
                <w:sz w:val="21"/>
                <w:szCs w:val="21"/>
              </w:rPr>
            </w:pPr>
            <w:r>
              <w:rPr>
                <w:rFonts w:hint="default"/>
                <w:color w:val="auto"/>
                <w:sz w:val="21"/>
                <w:szCs w:val="21"/>
                <w:lang w:val="en-US" w:eastAsia="zh-CN"/>
              </w:rPr>
              <w:t>0.017556</w:t>
            </w:r>
          </w:p>
        </w:tc>
        <w:tc>
          <w:tcPr>
            <w:tcW w:w="549" w:type="pct"/>
            <w:tcBorders>
              <w:tl2br w:val="nil"/>
              <w:tr2bl w:val="nil"/>
            </w:tcBorders>
            <w:shd w:val="clear" w:color="auto" w:fill="auto"/>
            <w:vAlign w:val="center"/>
          </w:tcPr>
          <w:p w14:paraId="38FB2409">
            <w:pPr>
              <w:pStyle w:val="16"/>
              <w:bidi w:val="0"/>
              <w:rPr>
                <w:rFonts w:hint="default"/>
                <w:color w:val="auto"/>
                <w:sz w:val="21"/>
                <w:szCs w:val="21"/>
              </w:rPr>
            </w:pPr>
            <w:r>
              <w:rPr>
                <w:rFonts w:hint="default"/>
                <w:color w:val="auto"/>
                <w:sz w:val="21"/>
                <w:szCs w:val="21"/>
                <w:lang w:val="en-US" w:eastAsia="zh-CN"/>
              </w:rPr>
              <w:t xml:space="preserve">0.1538 </w:t>
            </w:r>
          </w:p>
        </w:tc>
        <w:tc>
          <w:tcPr>
            <w:tcW w:w="567" w:type="pct"/>
            <w:tcBorders>
              <w:tl2br w:val="nil"/>
              <w:tr2bl w:val="nil"/>
            </w:tcBorders>
            <w:shd w:val="clear" w:color="auto" w:fill="auto"/>
            <w:vAlign w:val="center"/>
          </w:tcPr>
          <w:p w14:paraId="544C3CE4">
            <w:pPr>
              <w:pStyle w:val="16"/>
              <w:bidi w:val="0"/>
              <w:rPr>
                <w:rFonts w:hint="default"/>
                <w:color w:val="auto"/>
                <w:sz w:val="21"/>
                <w:szCs w:val="21"/>
              </w:rPr>
            </w:pPr>
            <w:r>
              <w:rPr>
                <w:rFonts w:hint="default"/>
                <w:color w:val="auto"/>
                <w:sz w:val="21"/>
                <w:szCs w:val="21"/>
                <w:lang w:val="en-US" w:eastAsia="zh-CN"/>
              </w:rPr>
              <w:t>/</w:t>
            </w:r>
          </w:p>
        </w:tc>
      </w:tr>
      <w:tr w14:paraId="4098816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60597624">
            <w:pPr>
              <w:pStyle w:val="16"/>
              <w:bidi w:val="0"/>
              <w:rPr>
                <w:rFonts w:hint="eastAsia"/>
                <w:color w:val="auto"/>
                <w:sz w:val="21"/>
                <w:szCs w:val="21"/>
              </w:rPr>
            </w:pPr>
          </w:p>
        </w:tc>
        <w:tc>
          <w:tcPr>
            <w:tcW w:w="650" w:type="pct"/>
            <w:vMerge w:val="continue"/>
            <w:tcBorders>
              <w:tl2br w:val="nil"/>
              <w:tr2bl w:val="nil"/>
            </w:tcBorders>
            <w:shd w:val="clear" w:color="auto" w:fill="auto"/>
            <w:vAlign w:val="center"/>
          </w:tcPr>
          <w:p w14:paraId="7C493571">
            <w:pPr>
              <w:pStyle w:val="16"/>
              <w:bidi w:val="0"/>
              <w:rPr>
                <w:rFonts w:hint="default"/>
                <w:color w:val="auto"/>
                <w:sz w:val="21"/>
                <w:szCs w:val="21"/>
              </w:rPr>
            </w:pPr>
          </w:p>
        </w:tc>
        <w:tc>
          <w:tcPr>
            <w:tcW w:w="484" w:type="pct"/>
            <w:vMerge w:val="continue"/>
            <w:tcBorders>
              <w:tl2br w:val="nil"/>
              <w:tr2bl w:val="nil"/>
            </w:tcBorders>
            <w:shd w:val="clear" w:color="auto" w:fill="auto"/>
            <w:vAlign w:val="center"/>
          </w:tcPr>
          <w:p w14:paraId="2B69032A">
            <w:pPr>
              <w:pStyle w:val="16"/>
              <w:bidi w:val="0"/>
              <w:rPr>
                <w:rFonts w:hint="default"/>
                <w:color w:val="auto"/>
                <w:sz w:val="21"/>
                <w:szCs w:val="21"/>
              </w:rPr>
            </w:pPr>
          </w:p>
        </w:tc>
        <w:tc>
          <w:tcPr>
            <w:tcW w:w="375" w:type="pct"/>
            <w:vMerge w:val="continue"/>
            <w:tcBorders>
              <w:tl2br w:val="nil"/>
              <w:tr2bl w:val="nil"/>
            </w:tcBorders>
            <w:shd w:val="clear" w:color="auto" w:fill="auto"/>
            <w:vAlign w:val="center"/>
          </w:tcPr>
          <w:p w14:paraId="5B75EFCA">
            <w:pPr>
              <w:pStyle w:val="16"/>
              <w:bidi w:val="0"/>
              <w:rPr>
                <w:rFonts w:hint="eastAsia"/>
                <w:color w:val="auto"/>
                <w:sz w:val="21"/>
                <w:szCs w:val="21"/>
              </w:rPr>
            </w:pPr>
          </w:p>
        </w:tc>
        <w:tc>
          <w:tcPr>
            <w:tcW w:w="418" w:type="pct"/>
            <w:tcBorders>
              <w:tl2br w:val="nil"/>
              <w:tr2bl w:val="nil"/>
            </w:tcBorders>
            <w:shd w:val="clear" w:color="auto" w:fill="auto"/>
            <w:vAlign w:val="center"/>
          </w:tcPr>
          <w:p w14:paraId="38B204CF">
            <w:pPr>
              <w:pStyle w:val="16"/>
              <w:bidi w:val="0"/>
              <w:rPr>
                <w:rFonts w:hint="eastAsia"/>
                <w:color w:val="auto"/>
                <w:sz w:val="21"/>
                <w:szCs w:val="21"/>
              </w:rPr>
            </w:pPr>
            <w:r>
              <w:rPr>
                <w:rFonts w:hint="eastAsia"/>
                <w:color w:val="auto"/>
                <w:sz w:val="21"/>
                <w:szCs w:val="21"/>
                <w:lang w:val="en-US" w:eastAsia="zh-CN"/>
              </w:rPr>
              <w:t>95%</w:t>
            </w:r>
          </w:p>
        </w:tc>
        <w:tc>
          <w:tcPr>
            <w:tcW w:w="460" w:type="pct"/>
            <w:tcBorders>
              <w:tl2br w:val="nil"/>
              <w:tr2bl w:val="nil"/>
            </w:tcBorders>
            <w:shd w:val="clear" w:color="auto" w:fill="auto"/>
            <w:vAlign w:val="center"/>
          </w:tcPr>
          <w:p w14:paraId="549F03DD">
            <w:pPr>
              <w:pStyle w:val="16"/>
              <w:bidi w:val="0"/>
              <w:rPr>
                <w:rFonts w:hint="eastAsia"/>
                <w:color w:val="auto"/>
                <w:sz w:val="21"/>
                <w:szCs w:val="21"/>
              </w:rPr>
            </w:pPr>
            <w:r>
              <w:rPr>
                <w:rFonts w:hint="eastAsia"/>
                <w:color w:val="auto"/>
                <w:sz w:val="21"/>
                <w:szCs w:val="21"/>
                <w:lang w:val="en-US" w:eastAsia="zh-CN"/>
              </w:rPr>
              <w:t>无组织</w:t>
            </w:r>
          </w:p>
        </w:tc>
        <w:tc>
          <w:tcPr>
            <w:tcW w:w="709" w:type="pct"/>
            <w:tcBorders>
              <w:tl2br w:val="nil"/>
              <w:tr2bl w:val="nil"/>
            </w:tcBorders>
            <w:shd w:val="clear" w:color="auto" w:fill="auto"/>
            <w:vAlign w:val="center"/>
          </w:tcPr>
          <w:p w14:paraId="242BF9B7">
            <w:pPr>
              <w:pStyle w:val="16"/>
              <w:bidi w:val="0"/>
              <w:rPr>
                <w:rFonts w:hint="default"/>
                <w:color w:val="auto"/>
                <w:sz w:val="21"/>
                <w:szCs w:val="21"/>
              </w:rPr>
            </w:pPr>
            <w:r>
              <w:rPr>
                <w:rFonts w:hint="default"/>
                <w:color w:val="auto"/>
                <w:sz w:val="21"/>
                <w:szCs w:val="21"/>
                <w:lang w:val="en-US" w:eastAsia="zh-CN"/>
              </w:rPr>
              <w:t>0.00462</w:t>
            </w:r>
          </w:p>
        </w:tc>
        <w:tc>
          <w:tcPr>
            <w:tcW w:w="549" w:type="pct"/>
            <w:tcBorders>
              <w:tl2br w:val="nil"/>
              <w:tr2bl w:val="nil"/>
            </w:tcBorders>
            <w:shd w:val="clear" w:color="auto" w:fill="auto"/>
            <w:vAlign w:val="center"/>
          </w:tcPr>
          <w:p w14:paraId="1B4017AE">
            <w:pPr>
              <w:pStyle w:val="16"/>
              <w:bidi w:val="0"/>
              <w:rPr>
                <w:rFonts w:hint="default"/>
                <w:color w:val="auto"/>
                <w:sz w:val="21"/>
                <w:szCs w:val="21"/>
              </w:rPr>
            </w:pPr>
            <w:r>
              <w:rPr>
                <w:rFonts w:hint="default"/>
                <w:color w:val="auto"/>
                <w:sz w:val="21"/>
                <w:szCs w:val="21"/>
                <w:lang w:val="en-US" w:eastAsia="zh-CN"/>
              </w:rPr>
              <w:t xml:space="preserve">0.0405 </w:t>
            </w:r>
          </w:p>
        </w:tc>
        <w:tc>
          <w:tcPr>
            <w:tcW w:w="567" w:type="pct"/>
            <w:tcBorders>
              <w:tl2br w:val="nil"/>
              <w:tr2bl w:val="nil"/>
            </w:tcBorders>
            <w:shd w:val="clear" w:color="auto" w:fill="auto"/>
            <w:vAlign w:val="center"/>
          </w:tcPr>
          <w:p w14:paraId="11906EEA">
            <w:pPr>
              <w:pStyle w:val="16"/>
              <w:bidi w:val="0"/>
              <w:rPr>
                <w:rFonts w:hint="default"/>
                <w:color w:val="auto"/>
                <w:sz w:val="21"/>
                <w:szCs w:val="21"/>
              </w:rPr>
            </w:pPr>
            <w:r>
              <w:rPr>
                <w:rFonts w:hint="default"/>
                <w:color w:val="auto"/>
                <w:sz w:val="21"/>
                <w:szCs w:val="21"/>
                <w:lang w:val="en-US" w:eastAsia="zh-CN"/>
              </w:rPr>
              <w:t>/</w:t>
            </w:r>
          </w:p>
        </w:tc>
      </w:tr>
      <w:tr w14:paraId="02030D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725E06F9">
            <w:pPr>
              <w:pStyle w:val="16"/>
              <w:bidi w:val="0"/>
              <w:rPr>
                <w:rFonts w:hint="eastAsia"/>
                <w:color w:val="auto"/>
                <w:sz w:val="21"/>
                <w:szCs w:val="21"/>
              </w:rPr>
            </w:pPr>
          </w:p>
        </w:tc>
        <w:tc>
          <w:tcPr>
            <w:tcW w:w="650" w:type="pct"/>
            <w:vMerge w:val="restart"/>
            <w:tcBorders>
              <w:tl2br w:val="nil"/>
              <w:tr2bl w:val="nil"/>
            </w:tcBorders>
            <w:shd w:val="clear" w:color="auto" w:fill="auto"/>
            <w:vAlign w:val="center"/>
          </w:tcPr>
          <w:p w14:paraId="3FA4E2FF">
            <w:pPr>
              <w:pStyle w:val="16"/>
              <w:bidi w:val="0"/>
              <w:ind w:left="0" w:leftChars="0" w:firstLine="0" w:firstLineChars="0"/>
              <w:rPr>
                <w:rFonts w:hint="default"/>
                <w:color w:val="auto"/>
                <w:sz w:val="21"/>
                <w:szCs w:val="21"/>
              </w:rPr>
            </w:pPr>
            <w:r>
              <w:rPr>
                <w:rFonts w:hint="default"/>
                <w:color w:val="auto"/>
                <w:sz w:val="21"/>
                <w:szCs w:val="21"/>
                <w:lang w:val="en-US" w:eastAsia="zh-CN"/>
              </w:rPr>
              <w:t>H</w:t>
            </w:r>
            <w:r>
              <w:rPr>
                <w:rFonts w:hint="default"/>
                <w:color w:val="auto"/>
                <w:sz w:val="21"/>
                <w:szCs w:val="21"/>
                <w:vertAlign w:val="subscript"/>
                <w:lang w:val="en-US" w:eastAsia="zh-CN"/>
              </w:rPr>
              <w:t>2</w:t>
            </w:r>
            <w:r>
              <w:rPr>
                <w:rFonts w:hint="default"/>
                <w:color w:val="auto"/>
                <w:sz w:val="21"/>
                <w:szCs w:val="21"/>
                <w:lang w:val="en-US" w:eastAsia="zh-CN"/>
              </w:rPr>
              <w:t>S</w:t>
            </w:r>
          </w:p>
        </w:tc>
        <w:tc>
          <w:tcPr>
            <w:tcW w:w="484" w:type="pct"/>
            <w:vMerge w:val="restart"/>
            <w:tcBorders>
              <w:tl2br w:val="nil"/>
              <w:tr2bl w:val="nil"/>
            </w:tcBorders>
            <w:shd w:val="clear" w:color="auto" w:fill="auto"/>
            <w:vAlign w:val="center"/>
          </w:tcPr>
          <w:p w14:paraId="49658056">
            <w:pPr>
              <w:pStyle w:val="16"/>
              <w:bidi w:val="0"/>
              <w:rPr>
                <w:rFonts w:hint="default"/>
                <w:color w:val="auto"/>
                <w:sz w:val="21"/>
                <w:szCs w:val="21"/>
              </w:rPr>
            </w:pPr>
            <w:r>
              <w:rPr>
                <w:rFonts w:hint="default"/>
                <w:color w:val="auto"/>
                <w:sz w:val="21"/>
                <w:szCs w:val="21"/>
                <w:lang w:val="en-US" w:eastAsia="zh-CN"/>
              </w:rPr>
              <w:t>0.0093</w:t>
            </w:r>
          </w:p>
        </w:tc>
        <w:tc>
          <w:tcPr>
            <w:tcW w:w="375" w:type="pct"/>
            <w:vMerge w:val="restart"/>
            <w:tcBorders>
              <w:tl2br w:val="nil"/>
              <w:tr2bl w:val="nil"/>
            </w:tcBorders>
            <w:shd w:val="clear" w:color="auto" w:fill="auto"/>
            <w:vAlign w:val="center"/>
          </w:tcPr>
          <w:p w14:paraId="7DD160A4">
            <w:pPr>
              <w:pStyle w:val="16"/>
              <w:bidi w:val="0"/>
              <w:rPr>
                <w:rFonts w:hint="eastAsia"/>
                <w:color w:val="auto"/>
                <w:sz w:val="21"/>
                <w:szCs w:val="21"/>
              </w:rPr>
            </w:pPr>
            <w:r>
              <w:rPr>
                <w:rFonts w:hint="eastAsia"/>
                <w:color w:val="auto"/>
                <w:sz w:val="21"/>
                <w:szCs w:val="21"/>
                <w:lang w:val="en-US" w:eastAsia="zh-CN"/>
              </w:rPr>
              <w:t>95%</w:t>
            </w:r>
          </w:p>
        </w:tc>
        <w:tc>
          <w:tcPr>
            <w:tcW w:w="418" w:type="pct"/>
            <w:tcBorders>
              <w:tl2br w:val="nil"/>
              <w:tr2bl w:val="nil"/>
            </w:tcBorders>
            <w:shd w:val="clear" w:color="auto" w:fill="auto"/>
            <w:vAlign w:val="center"/>
          </w:tcPr>
          <w:p w14:paraId="34A9D3C9">
            <w:pPr>
              <w:pStyle w:val="16"/>
              <w:bidi w:val="0"/>
              <w:rPr>
                <w:rFonts w:hint="eastAsia"/>
                <w:color w:val="auto"/>
                <w:sz w:val="21"/>
                <w:szCs w:val="21"/>
              </w:rPr>
            </w:pPr>
            <w:r>
              <w:rPr>
                <w:rFonts w:hint="eastAsia"/>
                <w:color w:val="auto"/>
                <w:sz w:val="21"/>
                <w:szCs w:val="21"/>
                <w:lang w:val="en-US" w:eastAsia="zh-CN"/>
              </w:rPr>
              <w:t>80%</w:t>
            </w:r>
          </w:p>
        </w:tc>
        <w:tc>
          <w:tcPr>
            <w:tcW w:w="460" w:type="pct"/>
            <w:tcBorders>
              <w:tl2br w:val="nil"/>
              <w:tr2bl w:val="nil"/>
            </w:tcBorders>
            <w:shd w:val="clear" w:color="auto" w:fill="auto"/>
            <w:vAlign w:val="center"/>
          </w:tcPr>
          <w:p w14:paraId="7CC5F240">
            <w:pPr>
              <w:pStyle w:val="16"/>
              <w:bidi w:val="0"/>
              <w:rPr>
                <w:rFonts w:hint="eastAsia"/>
                <w:color w:val="auto"/>
                <w:sz w:val="21"/>
                <w:szCs w:val="21"/>
              </w:rPr>
            </w:pPr>
            <w:r>
              <w:rPr>
                <w:rFonts w:hint="eastAsia"/>
                <w:color w:val="auto"/>
                <w:sz w:val="21"/>
                <w:szCs w:val="21"/>
                <w:lang w:val="en-US" w:eastAsia="zh-CN"/>
              </w:rPr>
              <w:t>有组织</w:t>
            </w:r>
          </w:p>
        </w:tc>
        <w:tc>
          <w:tcPr>
            <w:tcW w:w="709" w:type="pct"/>
            <w:tcBorders>
              <w:tl2br w:val="nil"/>
              <w:tr2bl w:val="nil"/>
            </w:tcBorders>
            <w:shd w:val="clear" w:color="auto" w:fill="auto"/>
            <w:vAlign w:val="center"/>
          </w:tcPr>
          <w:p w14:paraId="58856349">
            <w:pPr>
              <w:pStyle w:val="16"/>
              <w:bidi w:val="0"/>
              <w:rPr>
                <w:rFonts w:hint="default"/>
                <w:color w:val="auto"/>
                <w:sz w:val="21"/>
                <w:szCs w:val="21"/>
              </w:rPr>
            </w:pPr>
            <w:r>
              <w:rPr>
                <w:rFonts w:hint="default"/>
                <w:color w:val="auto"/>
                <w:sz w:val="21"/>
                <w:szCs w:val="21"/>
                <w:lang w:val="en-US" w:eastAsia="zh-CN"/>
              </w:rPr>
              <w:t>0.001767</w:t>
            </w:r>
          </w:p>
        </w:tc>
        <w:tc>
          <w:tcPr>
            <w:tcW w:w="549" w:type="pct"/>
            <w:tcBorders>
              <w:tl2br w:val="nil"/>
              <w:tr2bl w:val="nil"/>
            </w:tcBorders>
            <w:shd w:val="clear" w:color="auto" w:fill="auto"/>
            <w:vAlign w:val="center"/>
          </w:tcPr>
          <w:p w14:paraId="63FD7800">
            <w:pPr>
              <w:pStyle w:val="16"/>
              <w:bidi w:val="0"/>
              <w:rPr>
                <w:rFonts w:hint="default"/>
                <w:color w:val="auto"/>
                <w:sz w:val="21"/>
                <w:szCs w:val="21"/>
              </w:rPr>
            </w:pPr>
            <w:r>
              <w:rPr>
                <w:rFonts w:hint="default"/>
                <w:color w:val="auto"/>
                <w:sz w:val="21"/>
                <w:szCs w:val="21"/>
                <w:lang w:val="en-US" w:eastAsia="zh-CN"/>
              </w:rPr>
              <w:t xml:space="preserve">0.0155 </w:t>
            </w:r>
          </w:p>
        </w:tc>
        <w:tc>
          <w:tcPr>
            <w:tcW w:w="567" w:type="pct"/>
            <w:tcBorders>
              <w:tl2br w:val="nil"/>
              <w:tr2bl w:val="nil"/>
            </w:tcBorders>
            <w:shd w:val="clear" w:color="auto" w:fill="auto"/>
            <w:vAlign w:val="center"/>
          </w:tcPr>
          <w:p w14:paraId="74BA2A96">
            <w:pPr>
              <w:pStyle w:val="16"/>
              <w:bidi w:val="0"/>
              <w:rPr>
                <w:rFonts w:hint="default"/>
                <w:color w:val="auto"/>
                <w:sz w:val="21"/>
                <w:szCs w:val="21"/>
              </w:rPr>
            </w:pPr>
            <w:r>
              <w:rPr>
                <w:rFonts w:hint="default"/>
                <w:color w:val="auto"/>
                <w:sz w:val="21"/>
                <w:szCs w:val="21"/>
                <w:lang w:val="en-US" w:eastAsia="zh-CN"/>
              </w:rPr>
              <w:t>/</w:t>
            </w:r>
          </w:p>
        </w:tc>
      </w:tr>
      <w:tr w14:paraId="6A598B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3ADAC3D4">
            <w:pPr>
              <w:pStyle w:val="16"/>
              <w:bidi w:val="0"/>
              <w:rPr>
                <w:rFonts w:hint="eastAsia"/>
                <w:color w:val="auto"/>
                <w:sz w:val="21"/>
                <w:szCs w:val="21"/>
              </w:rPr>
            </w:pPr>
          </w:p>
        </w:tc>
        <w:tc>
          <w:tcPr>
            <w:tcW w:w="650" w:type="pct"/>
            <w:vMerge w:val="continue"/>
            <w:tcBorders>
              <w:tl2br w:val="nil"/>
              <w:tr2bl w:val="nil"/>
            </w:tcBorders>
            <w:shd w:val="clear" w:color="auto" w:fill="auto"/>
            <w:vAlign w:val="center"/>
          </w:tcPr>
          <w:p w14:paraId="5743B09B">
            <w:pPr>
              <w:pStyle w:val="16"/>
              <w:bidi w:val="0"/>
              <w:rPr>
                <w:rFonts w:hint="default"/>
                <w:color w:val="auto"/>
                <w:sz w:val="21"/>
                <w:szCs w:val="21"/>
              </w:rPr>
            </w:pPr>
          </w:p>
        </w:tc>
        <w:tc>
          <w:tcPr>
            <w:tcW w:w="484" w:type="pct"/>
            <w:vMerge w:val="continue"/>
            <w:tcBorders>
              <w:tl2br w:val="nil"/>
              <w:tr2bl w:val="nil"/>
            </w:tcBorders>
            <w:shd w:val="clear" w:color="auto" w:fill="auto"/>
            <w:vAlign w:val="center"/>
          </w:tcPr>
          <w:p w14:paraId="3DCCBBF4">
            <w:pPr>
              <w:pStyle w:val="16"/>
              <w:bidi w:val="0"/>
              <w:rPr>
                <w:rFonts w:hint="default"/>
                <w:color w:val="auto"/>
                <w:sz w:val="21"/>
                <w:szCs w:val="21"/>
              </w:rPr>
            </w:pPr>
          </w:p>
        </w:tc>
        <w:tc>
          <w:tcPr>
            <w:tcW w:w="375" w:type="pct"/>
            <w:vMerge w:val="continue"/>
            <w:tcBorders>
              <w:tl2br w:val="nil"/>
              <w:tr2bl w:val="nil"/>
            </w:tcBorders>
            <w:shd w:val="clear" w:color="auto" w:fill="auto"/>
            <w:vAlign w:val="center"/>
          </w:tcPr>
          <w:p w14:paraId="6F320BE2">
            <w:pPr>
              <w:pStyle w:val="16"/>
              <w:bidi w:val="0"/>
              <w:rPr>
                <w:rFonts w:hint="eastAsia"/>
                <w:color w:val="auto"/>
                <w:sz w:val="21"/>
                <w:szCs w:val="21"/>
              </w:rPr>
            </w:pPr>
          </w:p>
        </w:tc>
        <w:tc>
          <w:tcPr>
            <w:tcW w:w="418" w:type="pct"/>
            <w:tcBorders>
              <w:tl2br w:val="nil"/>
              <w:tr2bl w:val="nil"/>
            </w:tcBorders>
            <w:shd w:val="clear" w:color="auto" w:fill="auto"/>
            <w:vAlign w:val="center"/>
          </w:tcPr>
          <w:p w14:paraId="2B86CC7E">
            <w:pPr>
              <w:pStyle w:val="16"/>
              <w:bidi w:val="0"/>
              <w:rPr>
                <w:rFonts w:hint="eastAsia"/>
                <w:color w:val="auto"/>
                <w:sz w:val="21"/>
                <w:szCs w:val="21"/>
              </w:rPr>
            </w:pPr>
            <w:r>
              <w:rPr>
                <w:rFonts w:hint="eastAsia"/>
                <w:color w:val="auto"/>
                <w:sz w:val="21"/>
                <w:szCs w:val="21"/>
                <w:lang w:val="en-US" w:eastAsia="zh-CN"/>
              </w:rPr>
              <w:t>95%</w:t>
            </w:r>
          </w:p>
        </w:tc>
        <w:tc>
          <w:tcPr>
            <w:tcW w:w="460" w:type="pct"/>
            <w:tcBorders>
              <w:tl2br w:val="nil"/>
              <w:tr2bl w:val="nil"/>
            </w:tcBorders>
            <w:shd w:val="clear" w:color="auto" w:fill="auto"/>
            <w:vAlign w:val="center"/>
          </w:tcPr>
          <w:p w14:paraId="30D84EF1">
            <w:pPr>
              <w:pStyle w:val="16"/>
              <w:bidi w:val="0"/>
              <w:rPr>
                <w:rFonts w:hint="eastAsia"/>
                <w:color w:val="auto"/>
                <w:sz w:val="21"/>
                <w:szCs w:val="21"/>
              </w:rPr>
            </w:pPr>
            <w:r>
              <w:rPr>
                <w:rFonts w:hint="eastAsia"/>
                <w:color w:val="auto"/>
                <w:sz w:val="21"/>
                <w:szCs w:val="21"/>
                <w:lang w:val="en-US" w:eastAsia="zh-CN"/>
              </w:rPr>
              <w:t>无组织</w:t>
            </w:r>
          </w:p>
        </w:tc>
        <w:tc>
          <w:tcPr>
            <w:tcW w:w="709" w:type="pct"/>
            <w:tcBorders>
              <w:tl2br w:val="nil"/>
              <w:tr2bl w:val="nil"/>
            </w:tcBorders>
            <w:shd w:val="clear" w:color="auto" w:fill="auto"/>
            <w:vAlign w:val="center"/>
          </w:tcPr>
          <w:p w14:paraId="342576AB">
            <w:pPr>
              <w:pStyle w:val="16"/>
              <w:bidi w:val="0"/>
              <w:rPr>
                <w:rFonts w:hint="default"/>
                <w:color w:val="auto"/>
                <w:sz w:val="21"/>
                <w:szCs w:val="21"/>
              </w:rPr>
            </w:pPr>
            <w:r>
              <w:rPr>
                <w:rFonts w:hint="default"/>
                <w:color w:val="auto"/>
                <w:sz w:val="21"/>
                <w:szCs w:val="21"/>
                <w:lang w:val="en-US" w:eastAsia="zh-CN"/>
              </w:rPr>
              <w:t>0.000465</w:t>
            </w:r>
          </w:p>
        </w:tc>
        <w:tc>
          <w:tcPr>
            <w:tcW w:w="549" w:type="pct"/>
            <w:tcBorders>
              <w:tl2br w:val="nil"/>
              <w:tr2bl w:val="nil"/>
            </w:tcBorders>
            <w:shd w:val="clear" w:color="auto" w:fill="auto"/>
            <w:vAlign w:val="center"/>
          </w:tcPr>
          <w:p w14:paraId="7F10D3E8">
            <w:pPr>
              <w:pStyle w:val="16"/>
              <w:bidi w:val="0"/>
              <w:rPr>
                <w:rFonts w:hint="default"/>
                <w:color w:val="auto"/>
                <w:sz w:val="21"/>
                <w:szCs w:val="21"/>
              </w:rPr>
            </w:pPr>
            <w:r>
              <w:rPr>
                <w:rFonts w:hint="default"/>
                <w:color w:val="auto"/>
                <w:sz w:val="21"/>
                <w:szCs w:val="21"/>
                <w:lang w:val="en-US" w:eastAsia="zh-CN"/>
              </w:rPr>
              <w:t xml:space="preserve">0.0041 </w:t>
            </w:r>
          </w:p>
        </w:tc>
        <w:tc>
          <w:tcPr>
            <w:tcW w:w="567" w:type="pct"/>
            <w:tcBorders>
              <w:tl2br w:val="nil"/>
              <w:tr2bl w:val="nil"/>
            </w:tcBorders>
            <w:shd w:val="clear" w:color="auto" w:fill="auto"/>
            <w:vAlign w:val="center"/>
          </w:tcPr>
          <w:p w14:paraId="5A04F289">
            <w:pPr>
              <w:pStyle w:val="16"/>
              <w:bidi w:val="0"/>
              <w:rPr>
                <w:rFonts w:hint="default"/>
                <w:color w:val="auto"/>
                <w:sz w:val="21"/>
                <w:szCs w:val="21"/>
              </w:rPr>
            </w:pPr>
            <w:r>
              <w:rPr>
                <w:rFonts w:hint="default"/>
                <w:color w:val="auto"/>
                <w:sz w:val="21"/>
                <w:szCs w:val="21"/>
                <w:lang w:val="en-US" w:eastAsia="zh-CN"/>
              </w:rPr>
              <w:t>/</w:t>
            </w:r>
          </w:p>
        </w:tc>
      </w:tr>
      <w:tr w14:paraId="6A5C2F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restart"/>
            <w:tcBorders>
              <w:tl2br w:val="nil"/>
              <w:tr2bl w:val="nil"/>
            </w:tcBorders>
            <w:shd w:val="clear" w:color="auto" w:fill="auto"/>
            <w:noWrap/>
            <w:vAlign w:val="center"/>
          </w:tcPr>
          <w:p w14:paraId="06A9C7DB">
            <w:pPr>
              <w:pStyle w:val="16"/>
              <w:bidi w:val="0"/>
              <w:rPr>
                <w:rFonts w:hint="eastAsia"/>
                <w:color w:val="auto"/>
                <w:sz w:val="21"/>
                <w:szCs w:val="21"/>
              </w:rPr>
            </w:pPr>
            <w:r>
              <w:rPr>
                <w:rFonts w:hint="eastAsia"/>
                <w:color w:val="auto"/>
                <w:sz w:val="21"/>
                <w:szCs w:val="21"/>
                <w:lang w:val="en-US" w:eastAsia="zh-CN"/>
              </w:rPr>
              <w:t>EBIS生化池</w:t>
            </w:r>
          </w:p>
        </w:tc>
        <w:tc>
          <w:tcPr>
            <w:tcW w:w="650" w:type="pct"/>
            <w:vMerge w:val="restart"/>
            <w:tcBorders>
              <w:tl2br w:val="nil"/>
              <w:tr2bl w:val="nil"/>
            </w:tcBorders>
            <w:shd w:val="clear" w:color="auto" w:fill="auto"/>
            <w:vAlign w:val="center"/>
          </w:tcPr>
          <w:p w14:paraId="576FE7F3">
            <w:pPr>
              <w:pStyle w:val="16"/>
              <w:bidi w:val="0"/>
              <w:ind w:left="0" w:leftChars="0" w:firstLine="0" w:firstLineChars="0"/>
              <w:rPr>
                <w:rFonts w:hint="default"/>
                <w:color w:val="auto"/>
                <w:sz w:val="21"/>
                <w:szCs w:val="21"/>
              </w:rPr>
            </w:pPr>
            <w:r>
              <w:rPr>
                <w:rFonts w:hint="default"/>
                <w:color w:val="auto"/>
                <w:sz w:val="21"/>
                <w:szCs w:val="21"/>
                <w:lang w:val="en-US" w:eastAsia="zh-CN"/>
              </w:rPr>
              <w:t>NH</w:t>
            </w:r>
            <w:r>
              <w:rPr>
                <w:rFonts w:hint="default"/>
                <w:color w:val="auto"/>
                <w:sz w:val="21"/>
                <w:szCs w:val="21"/>
                <w:vertAlign w:val="subscript"/>
                <w:lang w:val="en-US" w:eastAsia="zh-CN"/>
              </w:rPr>
              <w:t>3</w:t>
            </w:r>
          </w:p>
        </w:tc>
        <w:tc>
          <w:tcPr>
            <w:tcW w:w="484" w:type="pct"/>
            <w:vMerge w:val="restart"/>
            <w:tcBorders>
              <w:tl2br w:val="nil"/>
              <w:tr2bl w:val="nil"/>
            </w:tcBorders>
            <w:shd w:val="clear" w:color="auto" w:fill="auto"/>
            <w:vAlign w:val="center"/>
          </w:tcPr>
          <w:p w14:paraId="2ACCB0CB">
            <w:pPr>
              <w:pStyle w:val="16"/>
              <w:bidi w:val="0"/>
              <w:rPr>
                <w:rFonts w:hint="default"/>
                <w:color w:val="auto"/>
                <w:sz w:val="21"/>
                <w:szCs w:val="21"/>
              </w:rPr>
            </w:pPr>
            <w:r>
              <w:rPr>
                <w:rFonts w:hint="default"/>
                <w:color w:val="auto"/>
                <w:sz w:val="21"/>
                <w:szCs w:val="21"/>
                <w:lang w:val="en-US" w:eastAsia="zh-CN"/>
              </w:rPr>
              <w:t>0.0441</w:t>
            </w:r>
          </w:p>
        </w:tc>
        <w:tc>
          <w:tcPr>
            <w:tcW w:w="375" w:type="pct"/>
            <w:vMerge w:val="restart"/>
            <w:tcBorders>
              <w:tl2br w:val="nil"/>
              <w:tr2bl w:val="nil"/>
            </w:tcBorders>
            <w:shd w:val="clear" w:color="auto" w:fill="auto"/>
            <w:vAlign w:val="center"/>
          </w:tcPr>
          <w:p w14:paraId="427855E7">
            <w:pPr>
              <w:pStyle w:val="16"/>
              <w:bidi w:val="0"/>
              <w:rPr>
                <w:rFonts w:hint="eastAsia"/>
                <w:color w:val="auto"/>
                <w:sz w:val="21"/>
                <w:szCs w:val="21"/>
              </w:rPr>
            </w:pPr>
            <w:r>
              <w:rPr>
                <w:rFonts w:hint="eastAsia"/>
                <w:color w:val="auto"/>
                <w:sz w:val="21"/>
                <w:szCs w:val="21"/>
                <w:lang w:val="en-US" w:eastAsia="zh-CN"/>
              </w:rPr>
              <w:t>95%</w:t>
            </w:r>
          </w:p>
        </w:tc>
        <w:tc>
          <w:tcPr>
            <w:tcW w:w="418" w:type="pct"/>
            <w:tcBorders>
              <w:tl2br w:val="nil"/>
              <w:tr2bl w:val="nil"/>
            </w:tcBorders>
            <w:shd w:val="clear" w:color="auto" w:fill="auto"/>
            <w:vAlign w:val="center"/>
          </w:tcPr>
          <w:p w14:paraId="78275B79">
            <w:pPr>
              <w:pStyle w:val="16"/>
              <w:bidi w:val="0"/>
              <w:rPr>
                <w:rFonts w:hint="eastAsia"/>
                <w:color w:val="auto"/>
                <w:sz w:val="21"/>
                <w:szCs w:val="21"/>
              </w:rPr>
            </w:pPr>
            <w:r>
              <w:rPr>
                <w:rFonts w:hint="eastAsia"/>
                <w:color w:val="auto"/>
                <w:sz w:val="21"/>
                <w:szCs w:val="21"/>
                <w:lang w:val="en-US" w:eastAsia="zh-CN"/>
              </w:rPr>
              <w:t>80%</w:t>
            </w:r>
          </w:p>
        </w:tc>
        <w:tc>
          <w:tcPr>
            <w:tcW w:w="460" w:type="pct"/>
            <w:tcBorders>
              <w:tl2br w:val="nil"/>
              <w:tr2bl w:val="nil"/>
            </w:tcBorders>
            <w:shd w:val="clear" w:color="auto" w:fill="auto"/>
            <w:vAlign w:val="center"/>
          </w:tcPr>
          <w:p w14:paraId="0DC0CFFF">
            <w:pPr>
              <w:pStyle w:val="16"/>
              <w:bidi w:val="0"/>
              <w:rPr>
                <w:rFonts w:hint="eastAsia"/>
                <w:color w:val="auto"/>
                <w:sz w:val="21"/>
                <w:szCs w:val="21"/>
              </w:rPr>
            </w:pPr>
            <w:r>
              <w:rPr>
                <w:rFonts w:hint="eastAsia"/>
                <w:color w:val="auto"/>
                <w:sz w:val="21"/>
                <w:szCs w:val="21"/>
                <w:lang w:val="en-US" w:eastAsia="zh-CN"/>
              </w:rPr>
              <w:t>有组织</w:t>
            </w:r>
          </w:p>
        </w:tc>
        <w:tc>
          <w:tcPr>
            <w:tcW w:w="709" w:type="pct"/>
            <w:tcBorders>
              <w:tl2br w:val="nil"/>
              <w:tr2bl w:val="nil"/>
            </w:tcBorders>
            <w:shd w:val="clear" w:color="auto" w:fill="auto"/>
            <w:vAlign w:val="center"/>
          </w:tcPr>
          <w:p w14:paraId="00C98044">
            <w:pPr>
              <w:pStyle w:val="16"/>
              <w:bidi w:val="0"/>
              <w:rPr>
                <w:rFonts w:hint="default"/>
                <w:color w:val="auto"/>
                <w:sz w:val="21"/>
                <w:szCs w:val="21"/>
              </w:rPr>
            </w:pPr>
            <w:r>
              <w:rPr>
                <w:rFonts w:hint="default"/>
                <w:color w:val="auto"/>
                <w:sz w:val="21"/>
                <w:szCs w:val="21"/>
                <w:lang w:val="en-US" w:eastAsia="zh-CN"/>
              </w:rPr>
              <w:t>0.008379</w:t>
            </w:r>
          </w:p>
        </w:tc>
        <w:tc>
          <w:tcPr>
            <w:tcW w:w="549" w:type="pct"/>
            <w:tcBorders>
              <w:tl2br w:val="nil"/>
              <w:tr2bl w:val="nil"/>
            </w:tcBorders>
            <w:shd w:val="clear" w:color="auto" w:fill="auto"/>
            <w:vAlign w:val="center"/>
          </w:tcPr>
          <w:p w14:paraId="046064DC">
            <w:pPr>
              <w:pStyle w:val="16"/>
              <w:bidi w:val="0"/>
              <w:rPr>
                <w:rFonts w:hint="default"/>
                <w:color w:val="auto"/>
                <w:sz w:val="21"/>
                <w:szCs w:val="21"/>
              </w:rPr>
            </w:pPr>
            <w:r>
              <w:rPr>
                <w:rFonts w:hint="default"/>
                <w:color w:val="auto"/>
                <w:sz w:val="21"/>
                <w:szCs w:val="21"/>
                <w:lang w:val="en-US" w:eastAsia="zh-CN"/>
              </w:rPr>
              <w:t xml:space="preserve">0.0734 </w:t>
            </w:r>
          </w:p>
        </w:tc>
        <w:tc>
          <w:tcPr>
            <w:tcW w:w="567" w:type="pct"/>
            <w:tcBorders>
              <w:tl2br w:val="nil"/>
              <w:tr2bl w:val="nil"/>
            </w:tcBorders>
            <w:shd w:val="clear" w:color="auto" w:fill="auto"/>
            <w:vAlign w:val="center"/>
          </w:tcPr>
          <w:p w14:paraId="1DF94D3E">
            <w:pPr>
              <w:pStyle w:val="16"/>
              <w:bidi w:val="0"/>
              <w:rPr>
                <w:rFonts w:hint="default"/>
                <w:color w:val="auto"/>
                <w:sz w:val="21"/>
                <w:szCs w:val="21"/>
              </w:rPr>
            </w:pPr>
            <w:r>
              <w:rPr>
                <w:rFonts w:hint="default"/>
                <w:color w:val="auto"/>
                <w:sz w:val="21"/>
                <w:szCs w:val="21"/>
                <w:lang w:val="en-US" w:eastAsia="zh-CN"/>
              </w:rPr>
              <w:t>/</w:t>
            </w:r>
          </w:p>
        </w:tc>
      </w:tr>
      <w:tr w14:paraId="2303E05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762F7A9E">
            <w:pPr>
              <w:pStyle w:val="16"/>
              <w:bidi w:val="0"/>
              <w:rPr>
                <w:rFonts w:hint="eastAsia"/>
                <w:color w:val="auto"/>
                <w:sz w:val="21"/>
                <w:szCs w:val="21"/>
              </w:rPr>
            </w:pPr>
          </w:p>
        </w:tc>
        <w:tc>
          <w:tcPr>
            <w:tcW w:w="650" w:type="pct"/>
            <w:vMerge w:val="continue"/>
            <w:tcBorders>
              <w:tl2br w:val="nil"/>
              <w:tr2bl w:val="nil"/>
            </w:tcBorders>
            <w:shd w:val="clear" w:color="auto" w:fill="auto"/>
            <w:vAlign w:val="center"/>
          </w:tcPr>
          <w:p w14:paraId="3BFC7C13">
            <w:pPr>
              <w:pStyle w:val="16"/>
              <w:bidi w:val="0"/>
              <w:rPr>
                <w:rFonts w:hint="default"/>
                <w:color w:val="auto"/>
                <w:sz w:val="21"/>
                <w:szCs w:val="21"/>
              </w:rPr>
            </w:pPr>
          </w:p>
        </w:tc>
        <w:tc>
          <w:tcPr>
            <w:tcW w:w="484" w:type="pct"/>
            <w:vMerge w:val="continue"/>
            <w:tcBorders>
              <w:tl2br w:val="nil"/>
              <w:tr2bl w:val="nil"/>
            </w:tcBorders>
            <w:shd w:val="clear" w:color="auto" w:fill="auto"/>
            <w:vAlign w:val="center"/>
          </w:tcPr>
          <w:p w14:paraId="06608D97">
            <w:pPr>
              <w:pStyle w:val="16"/>
              <w:bidi w:val="0"/>
              <w:rPr>
                <w:rFonts w:hint="default"/>
                <w:color w:val="auto"/>
                <w:sz w:val="21"/>
                <w:szCs w:val="21"/>
              </w:rPr>
            </w:pPr>
          </w:p>
        </w:tc>
        <w:tc>
          <w:tcPr>
            <w:tcW w:w="375" w:type="pct"/>
            <w:vMerge w:val="continue"/>
            <w:tcBorders>
              <w:tl2br w:val="nil"/>
              <w:tr2bl w:val="nil"/>
            </w:tcBorders>
            <w:shd w:val="clear" w:color="auto" w:fill="auto"/>
            <w:vAlign w:val="center"/>
          </w:tcPr>
          <w:p w14:paraId="6473E756">
            <w:pPr>
              <w:pStyle w:val="16"/>
              <w:bidi w:val="0"/>
              <w:rPr>
                <w:rFonts w:hint="eastAsia"/>
                <w:color w:val="auto"/>
                <w:sz w:val="21"/>
                <w:szCs w:val="21"/>
              </w:rPr>
            </w:pPr>
          </w:p>
        </w:tc>
        <w:tc>
          <w:tcPr>
            <w:tcW w:w="418" w:type="pct"/>
            <w:tcBorders>
              <w:tl2br w:val="nil"/>
              <w:tr2bl w:val="nil"/>
            </w:tcBorders>
            <w:shd w:val="clear" w:color="auto" w:fill="auto"/>
            <w:vAlign w:val="center"/>
          </w:tcPr>
          <w:p w14:paraId="1C2262A2">
            <w:pPr>
              <w:pStyle w:val="16"/>
              <w:bidi w:val="0"/>
              <w:rPr>
                <w:rFonts w:hint="eastAsia"/>
                <w:color w:val="auto"/>
                <w:sz w:val="21"/>
                <w:szCs w:val="21"/>
              </w:rPr>
            </w:pPr>
            <w:r>
              <w:rPr>
                <w:rFonts w:hint="eastAsia"/>
                <w:color w:val="auto"/>
                <w:sz w:val="21"/>
                <w:szCs w:val="21"/>
                <w:lang w:val="en-US" w:eastAsia="zh-CN"/>
              </w:rPr>
              <w:t>95%</w:t>
            </w:r>
          </w:p>
        </w:tc>
        <w:tc>
          <w:tcPr>
            <w:tcW w:w="460" w:type="pct"/>
            <w:tcBorders>
              <w:tl2br w:val="nil"/>
              <w:tr2bl w:val="nil"/>
            </w:tcBorders>
            <w:shd w:val="clear" w:color="auto" w:fill="auto"/>
            <w:vAlign w:val="center"/>
          </w:tcPr>
          <w:p w14:paraId="1F8F2B48">
            <w:pPr>
              <w:pStyle w:val="16"/>
              <w:bidi w:val="0"/>
              <w:rPr>
                <w:rFonts w:hint="eastAsia"/>
                <w:color w:val="auto"/>
                <w:sz w:val="21"/>
                <w:szCs w:val="21"/>
              </w:rPr>
            </w:pPr>
            <w:r>
              <w:rPr>
                <w:rFonts w:hint="eastAsia"/>
                <w:color w:val="auto"/>
                <w:sz w:val="21"/>
                <w:szCs w:val="21"/>
                <w:lang w:val="en-US" w:eastAsia="zh-CN"/>
              </w:rPr>
              <w:t>无组织</w:t>
            </w:r>
          </w:p>
        </w:tc>
        <w:tc>
          <w:tcPr>
            <w:tcW w:w="709" w:type="pct"/>
            <w:tcBorders>
              <w:tl2br w:val="nil"/>
              <w:tr2bl w:val="nil"/>
            </w:tcBorders>
            <w:shd w:val="clear" w:color="auto" w:fill="auto"/>
            <w:vAlign w:val="center"/>
          </w:tcPr>
          <w:p w14:paraId="489C5F4E">
            <w:pPr>
              <w:pStyle w:val="16"/>
              <w:bidi w:val="0"/>
              <w:rPr>
                <w:rFonts w:hint="default"/>
                <w:color w:val="auto"/>
                <w:sz w:val="21"/>
                <w:szCs w:val="21"/>
              </w:rPr>
            </w:pPr>
            <w:r>
              <w:rPr>
                <w:rFonts w:hint="default"/>
                <w:color w:val="auto"/>
                <w:sz w:val="21"/>
                <w:szCs w:val="21"/>
                <w:lang w:val="en-US" w:eastAsia="zh-CN"/>
              </w:rPr>
              <w:t>0.002205</w:t>
            </w:r>
          </w:p>
        </w:tc>
        <w:tc>
          <w:tcPr>
            <w:tcW w:w="549" w:type="pct"/>
            <w:tcBorders>
              <w:tl2br w:val="nil"/>
              <w:tr2bl w:val="nil"/>
            </w:tcBorders>
            <w:shd w:val="clear" w:color="auto" w:fill="auto"/>
            <w:vAlign w:val="center"/>
          </w:tcPr>
          <w:p w14:paraId="00ABEAAD">
            <w:pPr>
              <w:pStyle w:val="16"/>
              <w:bidi w:val="0"/>
              <w:rPr>
                <w:rFonts w:hint="default"/>
                <w:color w:val="auto"/>
                <w:sz w:val="21"/>
                <w:szCs w:val="21"/>
              </w:rPr>
            </w:pPr>
            <w:r>
              <w:rPr>
                <w:rFonts w:hint="default"/>
                <w:color w:val="auto"/>
                <w:sz w:val="21"/>
                <w:szCs w:val="21"/>
                <w:lang w:val="en-US" w:eastAsia="zh-CN"/>
              </w:rPr>
              <w:t xml:space="preserve">0.0193 </w:t>
            </w:r>
          </w:p>
        </w:tc>
        <w:tc>
          <w:tcPr>
            <w:tcW w:w="567" w:type="pct"/>
            <w:tcBorders>
              <w:tl2br w:val="nil"/>
              <w:tr2bl w:val="nil"/>
            </w:tcBorders>
            <w:shd w:val="clear" w:color="auto" w:fill="auto"/>
            <w:vAlign w:val="center"/>
          </w:tcPr>
          <w:p w14:paraId="3996ED40">
            <w:pPr>
              <w:pStyle w:val="16"/>
              <w:bidi w:val="0"/>
              <w:rPr>
                <w:rFonts w:hint="default"/>
                <w:color w:val="auto"/>
                <w:sz w:val="21"/>
                <w:szCs w:val="21"/>
              </w:rPr>
            </w:pPr>
            <w:r>
              <w:rPr>
                <w:rFonts w:hint="default"/>
                <w:color w:val="auto"/>
                <w:sz w:val="21"/>
                <w:szCs w:val="21"/>
                <w:lang w:val="en-US" w:eastAsia="zh-CN"/>
              </w:rPr>
              <w:t>/</w:t>
            </w:r>
          </w:p>
        </w:tc>
      </w:tr>
      <w:tr w14:paraId="6B61AC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277B5DB5">
            <w:pPr>
              <w:pStyle w:val="16"/>
              <w:bidi w:val="0"/>
              <w:rPr>
                <w:rFonts w:hint="eastAsia"/>
                <w:color w:val="auto"/>
                <w:sz w:val="21"/>
                <w:szCs w:val="21"/>
              </w:rPr>
            </w:pPr>
          </w:p>
        </w:tc>
        <w:tc>
          <w:tcPr>
            <w:tcW w:w="650" w:type="pct"/>
            <w:vMerge w:val="restart"/>
            <w:tcBorders>
              <w:tl2br w:val="nil"/>
              <w:tr2bl w:val="nil"/>
            </w:tcBorders>
            <w:shd w:val="clear" w:color="auto" w:fill="auto"/>
            <w:vAlign w:val="center"/>
          </w:tcPr>
          <w:p w14:paraId="4EFA7A89">
            <w:pPr>
              <w:pStyle w:val="16"/>
              <w:bidi w:val="0"/>
              <w:ind w:left="0" w:leftChars="0" w:firstLine="0" w:firstLineChars="0"/>
              <w:rPr>
                <w:rFonts w:hint="default"/>
                <w:color w:val="auto"/>
                <w:sz w:val="21"/>
                <w:szCs w:val="21"/>
              </w:rPr>
            </w:pPr>
            <w:r>
              <w:rPr>
                <w:rFonts w:hint="default"/>
                <w:color w:val="auto"/>
                <w:sz w:val="21"/>
                <w:szCs w:val="21"/>
                <w:lang w:val="en-US" w:eastAsia="zh-CN"/>
              </w:rPr>
              <w:t>H</w:t>
            </w:r>
            <w:r>
              <w:rPr>
                <w:rFonts w:hint="default"/>
                <w:color w:val="auto"/>
                <w:sz w:val="21"/>
                <w:szCs w:val="21"/>
                <w:vertAlign w:val="subscript"/>
                <w:lang w:val="en-US" w:eastAsia="zh-CN"/>
              </w:rPr>
              <w:t>2</w:t>
            </w:r>
            <w:r>
              <w:rPr>
                <w:rFonts w:hint="default"/>
                <w:color w:val="auto"/>
                <w:sz w:val="21"/>
                <w:szCs w:val="21"/>
                <w:lang w:val="en-US" w:eastAsia="zh-CN"/>
              </w:rPr>
              <w:t>S</w:t>
            </w:r>
          </w:p>
        </w:tc>
        <w:tc>
          <w:tcPr>
            <w:tcW w:w="484" w:type="pct"/>
            <w:vMerge w:val="restart"/>
            <w:tcBorders>
              <w:tl2br w:val="nil"/>
              <w:tr2bl w:val="nil"/>
            </w:tcBorders>
            <w:shd w:val="clear" w:color="auto" w:fill="auto"/>
            <w:vAlign w:val="center"/>
          </w:tcPr>
          <w:p w14:paraId="6AE4313A">
            <w:pPr>
              <w:pStyle w:val="16"/>
              <w:bidi w:val="0"/>
              <w:rPr>
                <w:rFonts w:hint="default"/>
                <w:color w:val="auto"/>
                <w:sz w:val="21"/>
                <w:szCs w:val="21"/>
              </w:rPr>
            </w:pPr>
            <w:r>
              <w:rPr>
                <w:rFonts w:hint="default"/>
                <w:color w:val="auto"/>
                <w:sz w:val="21"/>
                <w:szCs w:val="21"/>
                <w:lang w:val="en-US" w:eastAsia="zh-CN"/>
              </w:rPr>
              <w:t>0.0011</w:t>
            </w:r>
          </w:p>
        </w:tc>
        <w:tc>
          <w:tcPr>
            <w:tcW w:w="375" w:type="pct"/>
            <w:vMerge w:val="restart"/>
            <w:tcBorders>
              <w:tl2br w:val="nil"/>
              <w:tr2bl w:val="nil"/>
            </w:tcBorders>
            <w:shd w:val="clear" w:color="auto" w:fill="auto"/>
            <w:vAlign w:val="center"/>
          </w:tcPr>
          <w:p w14:paraId="271E203C">
            <w:pPr>
              <w:pStyle w:val="16"/>
              <w:bidi w:val="0"/>
              <w:rPr>
                <w:rFonts w:hint="eastAsia"/>
                <w:color w:val="auto"/>
                <w:sz w:val="21"/>
                <w:szCs w:val="21"/>
              </w:rPr>
            </w:pPr>
            <w:r>
              <w:rPr>
                <w:rFonts w:hint="eastAsia"/>
                <w:color w:val="auto"/>
                <w:sz w:val="21"/>
                <w:szCs w:val="21"/>
                <w:lang w:val="en-US" w:eastAsia="zh-CN"/>
              </w:rPr>
              <w:t>95%</w:t>
            </w:r>
          </w:p>
        </w:tc>
        <w:tc>
          <w:tcPr>
            <w:tcW w:w="418" w:type="pct"/>
            <w:tcBorders>
              <w:tl2br w:val="nil"/>
              <w:tr2bl w:val="nil"/>
            </w:tcBorders>
            <w:shd w:val="clear" w:color="auto" w:fill="auto"/>
            <w:vAlign w:val="center"/>
          </w:tcPr>
          <w:p w14:paraId="277B37FB">
            <w:pPr>
              <w:pStyle w:val="16"/>
              <w:bidi w:val="0"/>
              <w:rPr>
                <w:rFonts w:hint="eastAsia"/>
                <w:color w:val="auto"/>
                <w:sz w:val="21"/>
                <w:szCs w:val="21"/>
              </w:rPr>
            </w:pPr>
            <w:r>
              <w:rPr>
                <w:rFonts w:hint="eastAsia"/>
                <w:color w:val="auto"/>
                <w:sz w:val="21"/>
                <w:szCs w:val="21"/>
                <w:lang w:val="en-US" w:eastAsia="zh-CN"/>
              </w:rPr>
              <w:t>80%</w:t>
            </w:r>
          </w:p>
        </w:tc>
        <w:tc>
          <w:tcPr>
            <w:tcW w:w="460" w:type="pct"/>
            <w:tcBorders>
              <w:tl2br w:val="nil"/>
              <w:tr2bl w:val="nil"/>
            </w:tcBorders>
            <w:shd w:val="clear" w:color="auto" w:fill="auto"/>
            <w:vAlign w:val="center"/>
          </w:tcPr>
          <w:p w14:paraId="0FEA3A84">
            <w:pPr>
              <w:pStyle w:val="16"/>
              <w:bidi w:val="0"/>
              <w:rPr>
                <w:rFonts w:hint="eastAsia"/>
                <w:color w:val="auto"/>
                <w:sz w:val="21"/>
                <w:szCs w:val="21"/>
              </w:rPr>
            </w:pPr>
            <w:r>
              <w:rPr>
                <w:rFonts w:hint="eastAsia"/>
                <w:color w:val="auto"/>
                <w:sz w:val="21"/>
                <w:szCs w:val="21"/>
                <w:lang w:val="en-US" w:eastAsia="zh-CN"/>
              </w:rPr>
              <w:t>有组织</w:t>
            </w:r>
          </w:p>
        </w:tc>
        <w:tc>
          <w:tcPr>
            <w:tcW w:w="709" w:type="pct"/>
            <w:tcBorders>
              <w:tl2br w:val="nil"/>
              <w:tr2bl w:val="nil"/>
            </w:tcBorders>
            <w:shd w:val="clear" w:color="auto" w:fill="auto"/>
            <w:vAlign w:val="center"/>
          </w:tcPr>
          <w:p w14:paraId="3C926D93">
            <w:pPr>
              <w:pStyle w:val="16"/>
              <w:bidi w:val="0"/>
              <w:rPr>
                <w:rFonts w:hint="default"/>
                <w:color w:val="auto"/>
                <w:sz w:val="21"/>
                <w:szCs w:val="21"/>
              </w:rPr>
            </w:pPr>
            <w:r>
              <w:rPr>
                <w:rFonts w:hint="default"/>
                <w:color w:val="auto"/>
                <w:sz w:val="21"/>
                <w:szCs w:val="21"/>
                <w:lang w:val="en-US" w:eastAsia="zh-CN"/>
              </w:rPr>
              <w:t>0.000209</w:t>
            </w:r>
          </w:p>
        </w:tc>
        <w:tc>
          <w:tcPr>
            <w:tcW w:w="549" w:type="pct"/>
            <w:tcBorders>
              <w:tl2br w:val="nil"/>
              <w:tr2bl w:val="nil"/>
            </w:tcBorders>
            <w:shd w:val="clear" w:color="auto" w:fill="auto"/>
            <w:vAlign w:val="center"/>
          </w:tcPr>
          <w:p w14:paraId="2B28C302">
            <w:pPr>
              <w:pStyle w:val="16"/>
              <w:bidi w:val="0"/>
              <w:rPr>
                <w:rFonts w:hint="default"/>
                <w:color w:val="auto"/>
                <w:sz w:val="21"/>
                <w:szCs w:val="21"/>
              </w:rPr>
            </w:pPr>
            <w:r>
              <w:rPr>
                <w:rFonts w:hint="default"/>
                <w:color w:val="auto"/>
                <w:sz w:val="21"/>
                <w:szCs w:val="21"/>
                <w:lang w:val="en-US" w:eastAsia="zh-CN"/>
              </w:rPr>
              <w:t xml:space="preserve">0.0018 </w:t>
            </w:r>
          </w:p>
        </w:tc>
        <w:tc>
          <w:tcPr>
            <w:tcW w:w="567" w:type="pct"/>
            <w:tcBorders>
              <w:tl2br w:val="nil"/>
              <w:tr2bl w:val="nil"/>
            </w:tcBorders>
            <w:shd w:val="clear" w:color="auto" w:fill="auto"/>
            <w:vAlign w:val="center"/>
          </w:tcPr>
          <w:p w14:paraId="0F1B3B4F">
            <w:pPr>
              <w:pStyle w:val="16"/>
              <w:bidi w:val="0"/>
              <w:rPr>
                <w:rFonts w:hint="default"/>
                <w:color w:val="auto"/>
                <w:sz w:val="21"/>
                <w:szCs w:val="21"/>
              </w:rPr>
            </w:pPr>
            <w:r>
              <w:rPr>
                <w:rFonts w:hint="default"/>
                <w:color w:val="auto"/>
                <w:sz w:val="21"/>
                <w:szCs w:val="21"/>
                <w:lang w:val="en-US" w:eastAsia="zh-CN"/>
              </w:rPr>
              <w:t>/</w:t>
            </w:r>
          </w:p>
        </w:tc>
      </w:tr>
      <w:tr w14:paraId="69818B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659D0DE8">
            <w:pPr>
              <w:pStyle w:val="16"/>
              <w:bidi w:val="0"/>
              <w:rPr>
                <w:rFonts w:hint="eastAsia"/>
                <w:color w:val="auto"/>
                <w:sz w:val="21"/>
                <w:szCs w:val="21"/>
              </w:rPr>
            </w:pPr>
          </w:p>
        </w:tc>
        <w:tc>
          <w:tcPr>
            <w:tcW w:w="650" w:type="pct"/>
            <w:vMerge w:val="continue"/>
            <w:tcBorders>
              <w:tl2br w:val="nil"/>
              <w:tr2bl w:val="nil"/>
            </w:tcBorders>
            <w:shd w:val="clear" w:color="auto" w:fill="auto"/>
            <w:vAlign w:val="center"/>
          </w:tcPr>
          <w:p w14:paraId="7A7FA43A">
            <w:pPr>
              <w:pStyle w:val="16"/>
              <w:bidi w:val="0"/>
              <w:rPr>
                <w:rFonts w:hint="default"/>
                <w:color w:val="auto"/>
                <w:sz w:val="21"/>
                <w:szCs w:val="21"/>
              </w:rPr>
            </w:pPr>
          </w:p>
        </w:tc>
        <w:tc>
          <w:tcPr>
            <w:tcW w:w="484" w:type="pct"/>
            <w:vMerge w:val="continue"/>
            <w:tcBorders>
              <w:tl2br w:val="nil"/>
              <w:tr2bl w:val="nil"/>
            </w:tcBorders>
            <w:shd w:val="clear" w:color="auto" w:fill="auto"/>
            <w:vAlign w:val="center"/>
          </w:tcPr>
          <w:p w14:paraId="34D9323F">
            <w:pPr>
              <w:pStyle w:val="16"/>
              <w:bidi w:val="0"/>
              <w:rPr>
                <w:rFonts w:hint="default"/>
                <w:color w:val="auto"/>
                <w:sz w:val="21"/>
                <w:szCs w:val="21"/>
              </w:rPr>
            </w:pPr>
          </w:p>
        </w:tc>
        <w:tc>
          <w:tcPr>
            <w:tcW w:w="375" w:type="pct"/>
            <w:vMerge w:val="continue"/>
            <w:tcBorders>
              <w:tl2br w:val="nil"/>
              <w:tr2bl w:val="nil"/>
            </w:tcBorders>
            <w:shd w:val="clear" w:color="auto" w:fill="auto"/>
            <w:vAlign w:val="center"/>
          </w:tcPr>
          <w:p w14:paraId="17C20603">
            <w:pPr>
              <w:pStyle w:val="16"/>
              <w:bidi w:val="0"/>
              <w:rPr>
                <w:rFonts w:hint="eastAsia"/>
                <w:color w:val="auto"/>
                <w:sz w:val="21"/>
                <w:szCs w:val="21"/>
              </w:rPr>
            </w:pPr>
          </w:p>
        </w:tc>
        <w:tc>
          <w:tcPr>
            <w:tcW w:w="418" w:type="pct"/>
            <w:tcBorders>
              <w:tl2br w:val="nil"/>
              <w:tr2bl w:val="nil"/>
            </w:tcBorders>
            <w:shd w:val="clear" w:color="auto" w:fill="auto"/>
            <w:vAlign w:val="center"/>
          </w:tcPr>
          <w:p w14:paraId="5BC763E6">
            <w:pPr>
              <w:pStyle w:val="16"/>
              <w:bidi w:val="0"/>
              <w:rPr>
                <w:rFonts w:hint="eastAsia"/>
                <w:color w:val="auto"/>
                <w:sz w:val="21"/>
                <w:szCs w:val="21"/>
              </w:rPr>
            </w:pPr>
            <w:r>
              <w:rPr>
                <w:rFonts w:hint="eastAsia"/>
                <w:color w:val="auto"/>
                <w:sz w:val="21"/>
                <w:szCs w:val="21"/>
                <w:lang w:val="en-US" w:eastAsia="zh-CN"/>
              </w:rPr>
              <w:t>95%</w:t>
            </w:r>
          </w:p>
        </w:tc>
        <w:tc>
          <w:tcPr>
            <w:tcW w:w="460" w:type="pct"/>
            <w:tcBorders>
              <w:tl2br w:val="nil"/>
              <w:tr2bl w:val="nil"/>
            </w:tcBorders>
            <w:shd w:val="clear" w:color="auto" w:fill="auto"/>
            <w:vAlign w:val="center"/>
          </w:tcPr>
          <w:p w14:paraId="35CFA596">
            <w:pPr>
              <w:pStyle w:val="16"/>
              <w:bidi w:val="0"/>
              <w:rPr>
                <w:rFonts w:hint="eastAsia"/>
                <w:color w:val="auto"/>
                <w:sz w:val="21"/>
                <w:szCs w:val="21"/>
              </w:rPr>
            </w:pPr>
            <w:r>
              <w:rPr>
                <w:rFonts w:hint="eastAsia"/>
                <w:color w:val="auto"/>
                <w:sz w:val="21"/>
                <w:szCs w:val="21"/>
                <w:lang w:val="en-US" w:eastAsia="zh-CN"/>
              </w:rPr>
              <w:t>无组织</w:t>
            </w:r>
          </w:p>
        </w:tc>
        <w:tc>
          <w:tcPr>
            <w:tcW w:w="709" w:type="pct"/>
            <w:tcBorders>
              <w:tl2br w:val="nil"/>
              <w:tr2bl w:val="nil"/>
            </w:tcBorders>
            <w:shd w:val="clear" w:color="auto" w:fill="auto"/>
            <w:vAlign w:val="center"/>
          </w:tcPr>
          <w:p w14:paraId="3A427088">
            <w:pPr>
              <w:pStyle w:val="16"/>
              <w:bidi w:val="0"/>
              <w:rPr>
                <w:rFonts w:hint="default"/>
                <w:color w:val="auto"/>
                <w:sz w:val="21"/>
                <w:szCs w:val="21"/>
              </w:rPr>
            </w:pPr>
            <w:r>
              <w:rPr>
                <w:rFonts w:hint="default"/>
                <w:color w:val="auto"/>
                <w:sz w:val="21"/>
                <w:szCs w:val="21"/>
                <w:lang w:val="en-US" w:eastAsia="zh-CN"/>
              </w:rPr>
              <w:t>0.000055</w:t>
            </w:r>
          </w:p>
        </w:tc>
        <w:tc>
          <w:tcPr>
            <w:tcW w:w="549" w:type="pct"/>
            <w:tcBorders>
              <w:tl2br w:val="nil"/>
              <w:tr2bl w:val="nil"/>
            </w:tcBorders>
            <w:shd w:val="clear" w:color="auto" w:fill="auto"/>
            <w:vAlign w:val="center"/>
          </w:tcPr>
          <w:p w14:paraId="61D0B1BB">
            <w:pPr>
              <w:pStyle w:val="16"/>
              <w:bidi w:val="0"/>
              <w:rPr>
                <w:rFonts w:hint="default"/>
                <w:color w:val="auto"/>
                <w:sz w:val="21"/>
                <w:szCs w:val="21"/>
              </w:rPr>
            </w:pPr>
            <w:r>
              <w:rPr>
                <w:rFonts w:hint="default"/>
                <w:color w:val="auto"/>
                <w:sz w:val="21"/>
                <w:szCs w:val="21"/>
                <w:lang w:val="en-US" w:eastAsia="zh-CN"/>
              </w:rPr>
              <w:t xml:space="preserve">0.0005 </w:t>
            </w:r>
          </w:p>
        </w:tc>
        <w:tc>
          <w:tcPr>
            <w:tcW w:w="567" w:type="pct"/>
            <w:tcBorders>
              <w:tl2br w:val="nil"/>
              <w:tr2bl w:val="nil"/>
            </w:tcBorders>
            <w:shd w:val="clear" w:color="auto" w:fill="auto"/>
            <w:vAlign w:val="center"/>
          </w:tcPr>
          <w:p w14:paraId="36859C8A">
            <w:pPr>
              <w:pStyle w:val="16"/>
              <w:bidi w:val="0"/>
              <w:rPr>
                <w:rFonts w:hint="default"/>
                <w:color w:val="auto"/>
                <w:sz w:val="21"/>
                <w:szCs w:val="21"/>
              </w:rPr>
            </w:pPr>
            <w:r>
              <w:rPr>
                <w:rFonts w:hint="default"/>
                <w:color w:val="auto"/>
                <w:sz w:val="21"/>
                <w:szCs w:val="21"/>
                <w:lang w:val="en-US" w:eastAsia="zh-CN"/>
              </w:rPr>
              <w:t>/</w:t>
            </w:r>
          </w:p>
        </w:tc>
      </w:tr>
      <w:tr w14:paraId="62228C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restart"/>
            <w:tcBorders>
              <w:tl2br w:val="nil"/>
              <w:tr2bl w:val="nil"/>
            </w:tcBorders>
            <w:shd w:val="clear" w:color="auto" w:fill="auto"/>
            <w:vAlign w:val="center"/>
          </w:tcPr>
          <w:p w14:paraId="292B4A91">
            <w:pPr>
              <w:pStyle w:val="16"/>
              <w:bidi w:val="0"/>
              <w:rPr>
                <w:rFonts w:hint="eastAsia"/>
                <w:color w:val="auto"/>
                <w:sz w:val="21"/>
                <w:szCs w:val="21"/>
              </w:rPr>
            </w:pPr>
            <w:r>
              <w:rPr>
                <w:rFonts w:hint="eastAsia"/>
                <w:color w:val="auto"/>
                <w:sz w:val="21"/>
                <w:szCs w:val="21"/>
                <w:lang w:val="en-US" w:eastAsia="zh-CN"/>
              </w:rPr>
              <w:t>磁混凝沉淀池</w:t>
            </w:r>
          </w:p>
        </w:tc>
        <w:tc>
          <w:tcPr>
            <w:tcW w:w="650" w:type="pct"/>
            <w:vMerge w:val="restart"/>
            <w:tcBorders>
              <w:tl2br w:val="nil"/>
              <w:tr2bl w:val="nil"/>
            </w:tcBorders>
            <w:shd w:val="clear" w:color="auto" w:fill="auto"/>
            <w:vAlign w:val="center"/>
          </w:tcPr>
          <w:p w14:paraId="386846D1">
            <w:pPr>
              <w:pStyle w:val="16"/>
              <w:bidi w:val="0"/>
              <w:ind w:left="0" w:leftChars="0" w:firstLine="0" w:firstLineChars="0"/>
              <w:rPr>
                <w:rFonts w:hint="default"/>
                <w:color w:val="auto"/>
                <w:sz w:val="21"/>
                <w:szCs w:val="21"/>
              </w:rPr>
            </w:pPr>
            <w:r>
              <w:rPr>
                <w:rFonts w:hint="default"/>
                <w:color w:val="auto"/>
                <w:sz w:val="21"/>
                <w:szCs w:val="21"/>
                <w:lang w:val="en-US" w:eastAsia="zh-CN"/>
              </w:rPr>
              <w:t>NH</w:t>
            </w:r>
            <w:r>
              <w:rPr>
                <w:rFonts w:hint="default"/>
                <w:color w:val="auto"/>
                <w:sz w:val="21"/>
                <w:szCs w:val="21"/>
                <w:vertAlign w:val="subscript"/>
                <w:lang w:val="en-US" w:eastAsia="zh-CN"/>
              </w:rPr>
              <w:t>3</w:t>
            </w:r>
          </w:p>
        </w:tc>
        <w:tc>
          <w:tcPr>
            <w:tcW w:w="484" w:type="pct"/>
            <w:vMerge w:val="restart"/>
            <w:tcBorders>
              <w:tl2br w:val="nil"/>
              <w:tr2bl w:val="nil"/>
            </w:tcBorders>
            <w:shd w:val="clear" w:color="auto" w:fill="auto"/>
            <w:vAlign w:val="center"/>
          </w:tcPr>
          <w:p w14:paraId="0207AAAC">
            <w:pPr>
              <w:pStyle w:val="16"/>
              <w:bidi w:val="0"/>
              <w:rPr>
                <w:rFonts w:hint="default"/>
                <w:color w:val="auto"/>
                <w:sz w:val="21"/>
                <w:szCs w:val="21"/>
              </w:rPr>
            </w:pPr>
            <w:r>
              <w:rPr>
                <w:rFonts w:hint="default"/>
                <w:color w:val="auto"/>
                <w:sz w:val="21"/>
                <w:szCs w:val="21"/>
                <w:lang w:val="en-US" w:eastAsia="zh-CN"/>
              </w:rPr>
              <w:t>0.0705</w:t>
            </w:r>
          </w:p>
        </w:tc>
        <w:tc>
          <w:tcPr>
            <w:tcW w:w="375" w:type="pct"/>
            <w:vMerge w:val="restart"/>
            <w:tcBorders>
              <w:tl2br w:val="nil"/>
              <w:tr2bl w:val="nil"/>
            </w:tcBorders>
            <w:shd w:val="clear" w:color="auto" w:fill="auto"/>
            <w:vAlign w:val="center"/>
          </w:tcPr>
          <w:p w14:paraId="74EC97E3">
            <w:pPr>
              <w:pStyle w:val="16"/>
              <w:bidi w:val="0"/>
              <w:rPr>
                <w:rFonts w:hint="eastAsia"/>
                <w:color w:val="auto"/>
                <w:sz w:val="21"/>
                <w:szCs w:val="21"/>
              </w:rPr>
            </w:pPr>
            <w:r>
              <w:rPr>
                <w:rFonts w:hint="eastAsia"/>
                <w:color w:val="auto"/>
                <w:sz w:val="21"/>
                <w:szCs w:val="21"/>
                <w:lang w:val="en-US" w:eastAsia="zh-CN"/>
              </w:rPr>
              <w:t>95%</w:t>
            </w:r>
          </w:p>
        </w:tc>
        <w:tc>
          <w:tcPr>
            <w:tcW w:w="418" w:type="pct"/>
            <w:tcBorders>
              <w:tl2br w:val="nil"/>
              <w:tr2bl w:val="nil"/>
            </w:tcBorders>
            <w:shd w:val="clear" w:color="auto" w:fill="auto"/>
            <w:vAlign w:val="center"/>
          </w:tcPr>
          <w:p w14:paraId="38F62F84">
            <w:pPr>
              <w:pStyle w:val="16"/>
              <w:bidi w:val="0"/>
              <w:rPr>
                <w:rFonts w:hint="eastAsia"/>
                <w:color w:val="auto"/>
                <w:sz w:val="21"/>
                <w:szCs w:val="21"/>
              </w:rPr>
            </w:pPr>
            <w:r>
              <w:rPr>
                <w:rFonts w:hint="eastAsia"/>
                <w:color w:val="auto"/>
                <w:sz w:val="21"/>
                <w:szCs w:val="21"/>
                <w:lang w:val="en-US" w:eastAsia="zh-CN"/>
              </w:rPr>
              <w:t>80%</w:t>
            </w:r>
          </w:p>
        </w:tc>
        <w:tc>
          <w:tcPr>
            <w:tcW w:w="460" w:type="pct"/>
            <w:tcBorders>
              <w:tl2br w:val="nil"/>
              <w:tr2bl w:val="nil"/>
            </w:tcBorders>
            <w:shd w:val="clear" w:color="auto" w:fill="auto"/>
            <w:vAlign w:val="center"/>
          </w:tcPr>
          <w:p w14:paraId="2E674A18">
            <w:pPr>
              <w:pStyle w:val="16"/>
              <w:bidi w:val="0"/>
              <w:rPr>
                <w:rFonts w:hint="eastAsia"/>
                <w:color w:val="auto"/>
                <w:sz w:val="21"/>
                <w:szCs w:val="21"/>
              </w:rPr>
            </w:pPr>
            <w:r>
              <w:rPr>
                <w:rFonts w:hint="eastAsia"/>
                <w:color w:val="auto"/>
                <w:sz w:val="21"/>
                <w:szCs w:val="21"/>
                <w:lang w:val="en-US" w:eastAsia="zh-CN"/>
              </w:rPr>
              <w:t>有组织</w:t>
            </w:r>
          </w:p>
        </w:tc>
        <w:tc>
          <w:tcPr>
            <w:tcW w:w="709" w:type="pct"/>
            <w:tcBorders>
              <w:tl2br w:val="nil"/>
              <w:tr2bl w:val="nil"/>
            </w:tcBorders>
            <w:shd w:val="clear" w:color="auto" w:fill="auto"/>
            <w:vAlign w:val="center"/>
          </w:tcPr>
          <w:p w14:paraId="01EF6AF6">
            <w:pPr>
              <w:pStyle w:val="16"/>
              <w:bidi w:val="0"/>
              <w:rPr>
                <w:rFonts w:hint="default"/>
                <w:color w:val="auto"/>
                <w:sz w:val="21"/>
                <w:szCs w:val="21"/>
              </w:rPr>
            </w:pPr>
            <w:r>
              <w:rPr>
                <w:rFonts w:hint="default"/>
                <w:color w:val="auto"/>
                <w:sz w:val="21"/>
                <w:szCs w:val="21"/>
                <w:lang w:val="en-US" w:eastAsia="zh-CN"/>
              </w:rPr>
              <w:t>0.013395</w:t>
            </w:r>
          </w:p>
        </w:tc>
        <w:tc>
          <w:tcPr>
            <w:tcW w:w="549" w:type="pct"/>
            <w:tcBorders>
              <w:tl2br w:val="nil"/>
              <w:tr2bl w:val="nil"/>
            </w:tcBorders>
            <w:shd w:val="clear" w:color="auto" w:fill="auto"/>
            <w:vAlign w:val="center"/>
          </w:tcPr>
          <w:p w14:paraId="0A67FA56">
            <w:pPr>
              <w:pStyle w:val="16"/>
              <w:bidi w:val="0"/>
              <w:rPr>
                <w:rFonts w:hint="default"/>
                <w:color w:val="auto"/>
                <w:sz w:val="21"/>
                <w:szCs w:val="21"/>
              </w:rPr>
            </w:pPr>
            <w:r>
              <w:rPr>
                <w:rFonts w:hint="default"/>
                <w:color w:val="auto"/>
                <w:sz w:val="21"/>
                <w:szCs w:val="21"/>
                <w:lang w:val="en-US" w:eastAsia="zh-CN"/>
              </w:rPr>
              <w:t xml:space="preserve">0.1173 </w:t>
            </w:r>
          </w:p>
        </w:tc>
        <w:tc>
          <w:tcPr>
            <w:tcW w:w="567" w:type="pct"/>
            <w:tcBorders>
              <w:tl2br w:val="nil"/>
              <w:tr2bl w:val="nil"/>
            </w:tcBorders>
            <w:shd w:val="clear" w:color="auto" w:fill="auto"/>
            <w:vAlign w:val="center"/>
          </w:tcPr>
          <w:p w14:paraId="13F0F0FF">
            <w:pPr>
              <w:pStyle w:val="16"/>
              <w:bidi w:val="0"/>
              <w:rPr>
                <w:rFonts w:hint="default"/>
                <w:color w:val="auto"/>
                <w:sz w:val="21"/>
                <w:szCs w:val="21"/>
              </w:rPr>
            </w:pPr>
            <w:r>
              <w:rPr>
                <w:rFonts w:hint="default"/>
                <w:color w:val="auto"/>
                <w:sz w:val="21"/>
                <w:szCs w:val="21"/>
                <w:lang w:val="en-US" w:eastAsia="zh-CN"/>
              </w:rPr>
              <w:t>/</w:t>
            </w:r>
          </w:p>
        </w:tc>
      </w:tr>
      <w:tr w14:paraId="4FDA2E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vAlign w:val="center"/>
          </w:tcPr>
          <w:p w14:paraId="2115658C">
            <w:pPr>
              <w:pStyle w:val="16"/>
              <w:bidi w:val="0"/>
              <w:rPr>
                <w:rFonts w:hint="eastAsia"/>
                <w:color w:val="auto"/>
                <w:sz w:val="21"/>
                <w:szCs w:val="21"/>
              </w:rPr>
            </w:pPr>
          </w:p>
        </w:tc>
        <w:tc>
          <w:tcPr>
            <w:tcW w:w="650" w:type="pct"/>
            <w:vMerge w:val="continue"/>
            <w:tcBorders>
              <w:tl2br w:val="nil"/>
              <w:tr2bl w:val="nil"/>
            </w:tcBorders>
            <w:shd w:val="clear" w:color="auto" w:fill="auto"/>
            <w:vAlign w:val="center"/>
          </w:tcPr>
          <w:p w14:paraId="53934A37">
            <w:pPr>
              <w:pStyle w:val="16"/>
              <w:bidi w:val="0"/>
              <w:rPr>
                <w:rFonts w:hint="default"/>
                <w:color w:val="auto"/>
                <w:sz w:val="21"/>
                <w:szCs w:val="21"/>
              </w:rPr>
            </w:pPr>
          </w:p>
        </w:tc>
        <w:tc>
          <w:tcPr>
            <w:tcW w:w="484" w:type="pct"/>
            <w:vMerge w:val="continue"/>
            <w:tcBorders>
              <w:tl2br w:val="nil"/>
              <w:tr2bl w:val="nil"/>
            </w:tcBorders>
            <w:shd w:val="clear" w:color="auto" w:fill="auto"/>
            <w:vAlign w:val="center"/>
          </w:tcPr>
          <w:p w14:paraId="031A2358">
            <w:pPr>
              <w:pStyle w:val="16"/>
              <w:bidi w:val="0"/>
              <w:rPr>
                <w:rFonts w:hint="default"/>
                <w:color w:val="auto"/>
                <w:sz w:val="21"/>
                <w:szCs w:val="21"/>
              </w:rPr>
            </w:pPr>
          </w:p>
        </w:tc>
        <w:tc>
          <w:tcPr>
            <w:tcW w:w="375" w:type="pct"/>
            <w:vMerge w:val="continue"/>
            <w:tcBorders>
              <w:tl2br w:val="nil"/>
              <w:tr2bl w:val="nil"/>
            </w:tcBorders>
            <w:shd w:val="clear" w:color="auto" w:fill="auto"/>
            <w:vAlign w:val="center"/>
          </w:tcPr>
          <w:p w14:paraId="56EF0FB4">
            <w:pPr>
              <w:pStyle w:val="16"/>
              <w:bidi w:val="0"/>
              <w:rPr>
                <w:rFonts w:hint="eastAsia"/>
                <w:color w:val="auto"/>
                <w:sz w:val="21"/>
                <w:szCs w:val="21"/>
              </w:rPr>
            </w:pPr>
          </w:p>
        </w:tc>
        <w:tc>
          <w:tcPr>
            <w:tcW w:w="418" w:type="pct"/>
            <w:tcBorders>
              <w:tl2br w:val="nil"/>
              <w:tr2bl w:val="nil"/>
            </w:tcBorders>
            <w:shd w:val="clear" w:color="auto" w:fill="auto"/>
            <w:vAlign w:val="center"/>
          </w:tcPr>
          <w:p w14:paraId="4DFE0507">
            <w:pPr>
              <w:pStyle w:val="16"/>
              <w:bidi w:val="0"/>
              <w:rPr>
                <w:rFonts w:hint="eastAsia"/>
                <w:color w:val="auto"/>
                <w:sz w:val="21"/>
                <w:szCs w:val="21"/>
              </w:rPr>
            </w:pPr>
            <w:r>
              <w:rPr>
                <w:rFonts w:hint="eastAsia"/>
                <w:color w:val="auto"/>
                <w:sz w:val="21"/>
                <w:szCs w:val="21"/>
                <w:lang w:val="en-US" w:eastAsia="zh-CN"/>
              </w:rPr>
              <w:t>95%</w:t>
            </w:r>
          </w:p>
        </w:tc>
        <w:tc>
          <w:tcPr>
            <w:tcW w:w="460" w:type="pct"/>
            <w:tcBorders>
              <w:tl2br w:val="nil"/>
              <w:tr2bl w:val="nil"/>
            </w:tcBorders>
            <w:shd w:val="clear" w:color="auto" w:fill="auto"/>
            <w:vAlign w:val="center"/>
          </w:tcPr>
          <w:p w14:paraId="7B8240AE">
            <w:pPr>
              <w:pStyle w:val="16"/>
              <w:bidi w:val="0"/>
              <w:rPr>
                <w:rFonts w:hint="eastAsia"/>
                <w:color w:val="auto"/>
                <w:sz w:val="21"/>
                <w:szCs w:val="21"/>
              </w:rPr>
            </w:pPr>
            <w:r>
              <w:rPr>
                <w:rFonts w:hint="eastAsia"/>
                <w:color w:val="auto"/>
                <w:sz w:val="21"/>
                <w:szCs w:val="21"/>
                <w:lang w:val="en-US" w:eastAsia="zh-CN"/>
              </w:rPr>
              <w:t>无组织</w:t>
            </w:r>
          </w:p>
        </w:tc>
        <w:tc>
          <w:tcPr>
            <w:tcW w:w="709" w:type="pct"/>
            <w:tcBorders>
              <w:tl2br w:val="nil"/>
              <w:tr2bl w:val="nil"/>
            </w:tcBorders>
            <w:shd w:val="clear" w:color="auto" w:fill="auto"/>
            <w:vAlign w:val="center"/>
          </w:tcPr>
          <w:p w14:paraId="0FDEFD98">
            <w:pPr>
              <w:pStyle w:val="16"/>
              <w:bidi w:val="0"/>
              <w:rPr>
                <w:rFonts w:hint="default"/>
                <w:color w:val="auto"/>
                <w:sz w:val="21"/>
                <w:szCs w:val="21"/>
              </w:rPr>
            </w:pPr>
            <w:r>
              <w:rPr>
                <w:rFonts w:hint="default"/>
                <w:color w:val="auto"/>
                <w:sz w:val="21"/>
                <w:szCs w:val="21"/>
                <w:lang w:val="en-US" w:eastAsia="zh-CN"/>
              </w:rPr>
              <w:t>0.003525</w:t>
            </w:r>
          </w:p>
        </w:tc>
        <w:tc>
          <w:tcPr>
            <w:tcW w:w="549" w:type="pct"/>
            <w:tcBorders>
              <w:tl2br w:val="nil"/>
              <w:tr2bl w:val="nil"/>
            </w:tcBorders>
            <w:shd w:val="clear" w:color="auto" w:fill="auto"/>
            <w:vAlign w:val="center"/>
          </w:tcPr>
          <w:p w14:paraId="7F4586EE">
            <w:pPr>
              <w:pStyle w:val="16"/>
              <w:bidi w:val="0"/>
              <w:rPr>
                <w:rFonts w:hint="default"/>
                <w:color w:val="auto"/>
                <w:sz w:val="21"/>
                <w:szCs w:val="21"/>
              </w:rPr>
            </w:pPr>
            <w:r>
              <w:rPr>
                <w:rFonts w:hint="default"/>
                <w:color w:val="auto"/>
                <w:sz w:val="21"/>
                <w:szCs w:val="21"/>
                <w:lang w:val="en-US" w:eastAsia="zh-CN"/>
              </w:rPr>
              <w:t xml:space="preserve">0.0309 </w:t>
            </w:r>
          </w:p>
        </w:tc>
        <w:tc>
          <w:tcPr>
            <w:tcW w:w="567" w:type="pct"/>
            <w:tcBorders>
              <w:tl2br w:val="nil"/>
              <w:tr2bl w:val="nil"/>
            </w:tcBorders>
            <w:shd w:val="clear" w:color="auto" w:fill="auto"/>
            <w:vAlign w:val="center"/>
          </w:tcPr>
          <w:p w14:paraId="15F5D8D0">
            <w:pPr>
              <w:pStyle w:val="16"/>
              <w:bidi w:val="0"/>
              <w:rPr>
                <w:rFonts w:hint="default"/>
                <w:color w:val="auto"/>
                <w:sz w:val="21"/>
                <w:szCs w:val="21"/>
              </w:rPr>
            </w:pPr>
            <w:r>
              <w:rPr>
                <w:rFonts w:hint="default"/>
                <w:color w:val="auto"/>
                <w:sz w:val="21"/>
                <w:szCs w:val="21"/>
                <w:lang w:val="en-US" w:eastAsia="zh-CN"/>
              </w:rPr>
              <w:t>/</w:t>
            </w:r>
          </w:p>
        </w:tc>
      </w:tr>
      <w:tr w14:paraId="34C18B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vAlign w:val="center"/>
          </w:tcPr>
          <w:p w14:paraId="1CC792E6">
            <w:pPr>
              <w:pStyle w:val="16"/>
              <w:bidi w:val="0"/>
              <w:rPr>
                <w:rFonts w:hint="eastAsia"/>
                <w:color w:val="auto"/>
                <w:sz w:val="21"/>
                <w:szCs w:val="21"/>
              </w:rPr>
            </w:pPr>
          </w:p>
        </w:tc>
        <w:tc>
          <w:tcPr>
            <w:tcW w:w="650" w:type="pct"/>
            <w:vMerge w:val="restart"/>
            <w:tcBorders>
              <w:tl2br w:val="nil"/>
              <w:tr2bl w:val="nil"/>
            </w:tcBorders>
            <w:shd w:val="clear" w:color="auto" w:fill="auto"/>
            <w:vAlign w:val="center"/>
          </w:tcPr>
          <w:p w14:paraId="5503FBCA">
            <w:pPr>
              <w:pStyle w:val="16"/>
              <w:bidi w:val="0"/>
              <w:ind w:left="0" w:leftChars="0" w:firstLine="0" w:firstLineChars="0"/>
              <w:rPr>
                <w:rFonts w:hint="default"/>
                <w:color w:val="auto"/>
                <w:sz w:val="21"/>
                <w:szCs w:val="21"/>
              </w:rPr>
            </w:pPr>
            <w:r>
              <w:rPr>
                <w:rFonts w:hint="default"/>
                <w:color w:val="auto"/>
                <w:sz w:val="21"/>
                <w:szCs w:val="21"/>
                <w:lang w:val="en-US" w:eastAsia="zh-CN"/>
              </w:rPr>
              <w:t>H</w:t>
            </w:r>
            <w:r>
              <w:rPr>
                <w:rFonts w:hint="default"/>
                <w:color w:val="auto"/>
                <w:sz w:val="21"/>
                <w:szCs w:val="21"/>
                <w:vertAlign w:val="subscript"/>
                <w:lang w:val="en-US" w:eastAsia="zh-CN"/>
              </w:rPr>
              <w:t>2</w:t>
            </w:r>
            <w:r>
              <w:rPr>
                <w:rFonts w:hint="default"/>
                <w:color w:val="auto"/>
                <w:sz w:val="21"/>
                <w:szCs w:val="21"/>
                <w:lang w:val="en-US" w:eastAsia="zh-CN"/>
              </w:rPr>
              <w:t>S</w:t>
            </w:r>
          </w:p>
        </w:tc>
        <w:tc>
          <w:tcPr>
            <w:tcW w:w="484" w:type="pct"/>
            <w:vMerge w:val="restart"/>
            <w:tcBorders>
              <w:tl2br w:val="nil"/>
              <w:tr2bl w:val="nil"/>
            </w:tcBorders>
            <w:shd w:val="clear" w:color="auto" w:fill="auto"/>
            <w:vAlign w:val="center"/>
          </w:tcPr>
          <w:p w14:paraId="4599B642">
            <w:pPr>
              <w:pStyle w:val="16"/>
              <w:bidi w:val="0"/>
              <w:rPr>
                <w:rFonts w:hint="default"/>
                <w:color w:val="auto"/>
                <w:sz w:val="21"/>
                <w:szCs w:val="21"/>
              </w:rPr>
            </w:pPr>
            <w:r>
              <w:rPr>
                <w:rFonts w:hint="default"/>
                <w:color w:val="auto"/>
                <w:sz w:val="21"/>
                <w:szCs w:val="21"/>
                <w:lang w:val="en-US" w:eastAsia="zh-CN"/>
              </w:rPr>
              <w:t>0.00197</w:t>
            </w:r>
          </w:p>
        </w:tc>
        <w:tc>
          <w:tcPr>
            <w:tcW w:w="375" w:type="pct"/>
            <w:vMerge w:val="restart"/>
            <w:tcBorders>
              <w:tl2br w:val="nil"/>
              <w:tr2bl w:val="nil"/>
            </w:tcBorders>
            <w:shd w:val="clear" w:color="auto" w:fill="auto"/>
            <w:vAlign w:val="center"/>
          </w:tcPr>
          <w:p w14:paraId="4FF7308B">
            <w:pPr>
              <w:pStyle w:val="16"/>
              <w:bidi w:val="0"/>
              <w:rPr>
                <w:rFonts w:hint="eastAsia"/>
                <w:color w:val="auto"/>
                <w:sz w:val="21"/>
                <w:szCs w:val="21"/>
              </w:rPr>
            </w:pPr>
            <w:r>
              <w:rPr>
                <w:rFonts w:hint="eastAsia"/>
                <w:color w:val="auto"/>
                <w:sz w:val="21"/>
                <w:szCs w:val="21"/>
                <w:lang w:val="en-US" w:eastAsia="zh-CN"/>
              </w:rPr>
              <w:t>95%</w:t>
            </w:r>
          </w:p>
        </w:tc>
        <w:tc>
          <w:tcPr>
            <w:tcW w:w="418" w:type="pct"/>
            <w:tcBorders>
              <w:tl2br w:val="nil"/>
              <w:tr2bl w:val="nil"/>
            </w:tcBorders>
            <w:shd w:val="clear" w:color="auto" w:fill="auto"/>
            <w:vAlign w:val="center"/>
          </w:tcPr>
          <w:p w14:paraId="169C7E00">
            <w:pPr>
              <w:pStyle w:val="16"/>
              <w:bidi w:val="0"/>
              <w:rPr>
                <w:rFonts w:hint="eastAsia"/>
                <w:color w:val="auto"/>
                <w:sz w:val="21"/>
                <w:szCs w:val="21"/>
              </w:rPr>
            </w:pPr>
            <w:r>
              <w:rPr>
                <w:rFonts w:hint="eastAsia"/>
                <w:color w:val="auto"/>
                <w:sz w:val="21"/>
                <w:szCs w:val="21"/>
                <w:lang w:val="en-US" w:eastAsia="zh-CN"/>
              </w:rPr>
              <w:t>80%</w:t>
            </w:r>
          </w:p>
        </w:tc>
        <w:tc>
          <w:tcPr>
            <w:tcW w:w="460" w:type="pct"/>
            <w:tcBorders>
              <w:tl2br w:val="nil"/>
              <w:tr2bl w:val="nil"/>
            </w:tcBorders>
            <w:shd w:val="clear" w:color="auto" w:fill="auto"/>
            <w:vAlign w:val="center"/>
          </w:tcPr>
          <w:p w14:paraId="08AD3E8D">
            <w:pPr>
              <w:pStyle w:val="16"/>
              <w:bidi w:val="0"/>
              <w:rPr>
                <w:rFonts w:hint="eastAsia"/>
                <w:color w:val="auto"/>
                <w:sz w:val="21"/>
                <w:szCs w:val="21"/>
              </w:rPr>
            </w:pPr>
            <w:r>
              <w:rPr>
                <w:rFonts w:hint="eastAsia"/>
                <w:color w:val="auto"/>
                <w:sz w:val="21"/>
                <w:szCs w:val="21"/>
                <w:lang w:val="en-US" w:eastAsia="zh-CN"/>
              </w:rPr>
              <w:t>有组织</w:t>
            </w:r>
          </w:p>
        </w:tc>
        <w:tc>
          <w:tcPr>
            <w:tcW w:w="709" w:type="pct"/>
            <w:tcBorders>
              <w:tl2br w:val="nil"/>
              <w:tr2bl w:val="nil"/>
            </w:tcBorders>
            <w:shd w:val="clear" w:color="auto" w:fill="auto"/>
            <w:vAlign w:val="center"/>
          </w:tcPr>
          <w:p w14:paraId="7F5192B8">
            <w:pPr>
              <w:pStyle w:val="16"/>
              <w:bidi w:val="0"/>
              <w:rPr>
                <w:rFonts w:hint="default"/>
                <w:color w:val="auto"/>
                <w:sz w:val="21"/>
                <w:szCs w:val="21"/>
              </w:rPr>
            </w:pPr>
            <w:r>
              <w:rPr>
                <w:rFonts w:hint="default"/>
                <w:color w:val="auto"/>
                <w:sz w:val="21"/>
                <w:szCs w:val="21"/>
                <w:lang w:val="en-US" w:eastAsia="zh-CN"/>
              </w:rPr>
              <w:t>0.0003743</w:t>
            </w:r>
          </w:p>
        </w:tc>
        <w:tc>
          <w:tcPr>
            <w:tcW w:w="549" w:type="pct"/>
            <w:tcBorders>
              <w:tl2br w:val="nil"/>
              <w:tr2bl w:val="nil"/>
            </w:tcBorders>
            <w:shd w:val="clear" w:color="auto" w:fill="auto"/>
            <w:vAlign w:val="center"/>
          </w:tcPr>
          <w:p w14:paraId="24CE9175">
            <w:pPr>
              <w:pStyle w:val="16"/>
              <w:bidi w:val="0"/>
              <w:rPr>
                <w:rFonts w:hint="default"/>
                <w:color w:val="auto"/>
                <w:sz w:val="21"/>
                <w:szCs w:val="21"/>
              </w:rPr>
            </w:pPr>
            <w:r>
              <w:rPr>
                <w:rFonts w:hint="default"/>
                <w:color w:val="auto"/>
                <w:sz w:val="21"/>
                <w:szCs w:val="21"/>
                <w:lang w:val="en-US" w:eastAsia="zh-CN"/>
              </w:rPr>
              <w:t xml:space="preserve">0.0033 </w:t>
            </w:r>
          </w:p>
        </w:tc>
        <w:tc>
          <w:tcPr>
            <w:tcW w:w="567" w:type="pct"/>
            <w:tcBorders>
              <w:tl2br w:val="nil"/>
              <w:tr2bl w:val="nil"/>
            </w:tcBorders>
            <w:shd w:val="clear" w:color="auto" w:fill="auto"/>
            <w:vAlign w:val="center"/>
          </w:tcPr>
          <w:p w14:paraId="020DB441">
            <w:pPr>
              <w:pStyle w:val="16"/>
              <w:bidi w:val="0"/>
              <w:rPr>
                <w:rFonts w:hint="default"/>
                <w:color w:val="auto"/>
                <w:sz w:val="21"/>
                <w:szCs w:val="21"/>
              </w:rPr>
            </w:pPr>
            <w:r>
              <w:rPr>
                <w:rFonts w:hint="default"/>
                <w:color w:val="auto"/>
                <w:sz w:val="21"/>
                <w:szCs w:val="21"/>
                <w:lang w:val="en-US" w:eastAsia="zh-CN"/>
              </w:rPr>
              <w:t>/</w:t>
            </w:r>
          </w:p>
        </w:tc>
      </w:tr>
      <w:tr w14:paraId="612841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vAlign w:val="center"/>
          </w:tcPr>
          <w:p w14:paraId="79B5C9D7">
            <w:pPr>
              <w:pStyle w:val="16"/>
              <w:bidi w:val="0"/>
              <w:rPr>
                <w:rFonts w:hint="eastAsia"/>
                <w:color w:val="auto"/>
                <w:sz w:val="21"/>
                <w:szCs w:val="21"/>
              </w:rPr>
            </w:pPr>
          </w:p>
        </w:tc>
        <w:tc>
          <w:tcPr>
            <w:tcW w:w="650" w:type="pct"/>
            <w:vMerge w:val="continue"/>
            <w:tcBorders>
              <w:tl2br w:val="nil"/>
              <w:tr2bl w:val="nil"/>
            </w:tcBorders>
            <w:shd w:val="clear" w:color="auto" w:fill="auto"/>
            <w:vAlign w:val="center"/>
          </w:tcPr>
          <w:p w14:paraId="5E991F28">
            <w:pPr>
              <w:pStyle w:val="16"/>
              <w:bidi w:val="0"/>
              <w:rPr>
                <w:rFonts w:hint="default"/>
                <w:color w:val="auto"/>
                <w:sz w:val="21"/>
                <w:szCs w:val="21"/>
              </w:rPr>
            </w:pPr>
          </w:p>
        </w:tc>
        <w:tc>
          <w:tcPr>
            <w:tcW w:w="484" w:type="pct"/>
            <w:vMerge w:val="continue"/>
            <w:tcBorders>
              <w:tl2br w:val="nil"/>
              <w:tr2bl w:val="nil"/>
            </w:tcBorders>
            <w:shd w:val="clear" w:color="auto" w:fill="auto"/>
            <w:vAlign w:val="center"/>
          </w:tcPr>
          <w:p w14:paraId="2615FC1F">
            <w:pPr>
              <w:pStyle w:val="16"/>
              <w:bidi w:val="0"/>
              <w:rPr>
                <w:rFonts w:hint="default"/>
                <w:color w:val="auto"/>
                <w:sz w:val="21"/>
                <w:szCs w:val="21"/>
              </w:rPr>
            </w:pPr>
          </w:p>
        </w:tc>
        <w:tc>
          <w:tcPr>
            <w:tcW w:w="375" w:type="pct"/>
            <w:vMerge w:val="continue"/>
            <w:tcBorders>
              <w:tl2br w:val="nil"/>
              <w:tr2bl w:val="nil"/>
            </w:tcBorders>
            <w:shd w:val="clear" w:color="auto" w:fill="auto"/>
            <w:vAlign w:val="center"/>
          </w:tcPr>
          <w:p w14:paraId="2B2B9326">
            <w:pPr>
              <w:pStyle w:val="16"/>
              <w:bidi w:val="0"/>
              <w:rPr>
                <w:rFonts w:hint="eastAsia"/>
                <w:color w:val="auto"/>
                <w:sz w:val="21"/>
                <w:szCs w:val="21"/>
              </w:rPr>
            </w:pPr>
          </w:p>
        </w:tc>
        <w:tc>
          <w:tcPr>
            <w:tcW w:w="418" w:type="pct"/>
            <w:tcBorders>
              <w:tl2br w:val="nil"/>
              <w:tr2bl w:val="nil"/>
            </w:tcBorders>
            <w:shd w:val="clear" w:color="auto" w:fill="auto"/>
            <w:vAlign w:val="center"/>
          </w:tcPr>
          <w:p w14:paraId="4EAA7640">
            <w:pPr>
              <w:pStyle w:val="16"/>
              <w:bidi w:val="0"/>
              <w:rPr>
                <w:rFonts w:hint="eastAsia"/>
                <w:color w:val="auto"/>
                <w:sz w:val="21"/>
                <w:szCs w:val="21"/>
              </w:rPr>
            </w:pPr>
            <w:r>
              <w:rPr>
                <w:rFonts w:hint="eastAsia"/>
                <w:color w:val="auto"/>
                <w:sz w:val="21"/>
                <w:szCs w:val="21"/>
                <w:lang w:val="en-US" w:eastAsia="zh-CN"/>
              </w:rPr>
              <w:t>95%</w:t>
            </w:r>
          </w:p>
        </w:tc>
        <w:tc>
          <w:tcPr>
            <w:tcW w:w="460" w:type="pct"/>
            <w:tcBorders>
              <w:tl2br w:val="nil"/>
              <w:tr2bl w:val="nil"/>
            </w:tcBorders>
            <w:shd w:val="clear" w:color="auto" w:fill="auto"/>
            <w:vAlign w:val="center"/>
          </w:tcPr>
          <w:p w14:paraId="19FCA4F5">
            <w:pPr>
              <w:pStyle w:val="16"/>
              <w:bidi w:val="0"/>
              <w:rPr>
                <w:rFonts w:hint="eastAsia"/>
                <w:color w:val="auto"/>
                <w:sz w:val="21"/>
                <w:szCs w:val="21"/>
              </w:rPr>
            </w:pPr>
            <w:r>
              <w:rPr>
                <w:rFonts w:hint="eastAsia"/>
                <w:color w:val="auto"/>
                <w:sz w:val="21"/>
                <w:szCs w:val="21"/>
                <w:lang w:val="en-US" w:eastAsia="zh-CN"/>
              </w:rPr>
              <w:t>无组织</w:t>
            </w:r>
          </w:p>
        </w:tc>
        <w:tc>
          <w:tcPr>
            <w:tcW w:w="709" w:type="pct"/>
            <w:tcBorders>
              <w:tl2br w:val="nil"/>
              <w:tr2bl w:val="nil"/>
            </w:tcBorders>
            <w:shd w:val="clear" w:color="auto" w:fill="auto"/>
            <w:vAlign w:val="center"/>
          </w:tcPr>
          <w:p w14:paraId="6A8071A4">
            <w:pPr>
              <w:pStyle w:val="16"/>
              <w:bidi w:val="0"/>
              <w:rPr>
                <w:rFonts w:hint="default"/>
                <w:color w:val="auto"/>
                <w:sz w:val="21"/>
                <w:szCs w:val="21"/>
              </w:rPr>
            </w:pPr>
            <w:r>
              <w:rPr>
                <w:rFonts w:hint="default"/>
                <w:color w:val="auto"/>
                <w:sz w:val="21"/>
                <w:szCs w:val="21"/>
                <w:lang w:val="en-US" w:eastAsia="zh-CN"/>
              </w:rPr>
              <w:t>9.85E-05</w:t>
            </w:r>
          </w:p>
        </w:tc>
        <w:tc>
          <w:tcPr>
            <w:tcW w:w="549" w:type="pct"/>
            <w:tcBorders>
              <w:tl2br w:val="nil"/>
              <w:tr2bl w:val="nil"/>
            </w:tcBorders>
            <w:shd w:val="clear" w:color="auto" w:fill="auto"/>
            <w:vAlign w:val="center"/>
          </w:tcPr>
          <w:p w14:paraId="5D158CF5">
            <w:pPr>
              <w:pStyle w:val="16"/>
              <w:bidi w:val="0"/>
              <w:rPr>
                <w:rFonts w:hint="default"/>
                <w:color w:val="auto"/>
                <w:sz w:val="21"/>
                <w:szCs w:val="21"/>
              </w:rPr>
            </w:pPr>
            <w:r>
              <w:rPr>
                <w:rFonts w:hint="default"/>
                <w:color w:val="auto"/>
                <w:sz w:val="21"/>
                <w:szCs w:val="21"/>
                <w:lang w:val="en-US" w:eastAsia="zh-CN"/>
              </w:rPr>
              <w:t xml:space="preserve">0.0009 </w:t>
            </w:r>
          </w:p>
        </w:tc>
        <w:tc>
          <w:tcPr>
            <w:tcW w:w="567" w:type="pct"/>
            <w:tcBorders>
              <w:tl2br w:val="nil"/>
              <w:tr2bl w:val="nil"/>
            </w:tcBorders>
            <w:shd w:val="clear" w:color="auto" w:fill="auto"/>
            <w:vAlign w:val="center"/>
          </w:tcPr>
          <w:p w14:paraId="32ABE1CD">
            <w:pPr>
              <w:pStyle w:val="16"/>
              <w:bidi w:val="0"/>
              <w:rPr>
                <w:rFonts w:hint="default"/>
                <w:color w:val="auto"/>
                <w:sz w:val="21"/>
                <w:szCs w:val="21"/>
              </w:rPr>
            </w:pPr>
            <w:r>
              <w:rPr>
                <w:rFonts w:hint="default"/>
                <w:color w:val="auto"/>
                <w:sz w:val="21"/>
                <w:szCs w:val="21"/>
                <w:lang w:val="en-US" w:eastAsia="zh-CN"/>
              </w:rPr>
              <w:t>/</w:t>
            </w:r>
          </w:p>
        </w:tc>
      </w:tr>
      <w:tr w14:paraId="12574A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restart"/>
            <w:tcBorders>
              <w:tl2br w:val="nil"/>
              <w:tr2bl w:val="nil"/>
            </w:tcBorders>
            <w:shd w:val="clear" w:color="auto" w:fill="auto"/>
            <w:noWrap/>
            <w:vAlign w:val="center"/>
          </w:tcPr>
          <w:p w14:paraId="5607422F">
            <w:pPr>
              <w:pStyle w:val="16"/>
              <w:bidi w:val="0"/>
              <w:rPr>
                <w:rFonts w:hint="eastAsia"/>
                <w:color w:val="auto"/>
                <w:sz w:val="21"/>
                <w:szCs w:val="21"/>
              </w:rPr>
            </w:pPr>
            <w:r>
              <w:rPr>
                <w:rFonts w:hint="eastAsia"/>
                <w:color w:val="auto"/>
                <w:sz w:val="21"/>
                <w:szCs w:val="21"/>
                <w:lang w:val="en-US" w:eastAsia="zh-CN"/>
              </w:rPr>
              <w:t>反硝化深床滤池</w:t>
            </w:r>
          </w:p>
        </w:tc>
        <w:tc>
          <w:tcPr>
            <w:tcW w:w="650" w:type="pct"/>
            <w:vMerge w:val="restart"/>
            <w:tcBorders>
              <w:tl2br w:val="nil"/>
              <w:tr2bl w:val="nil"/>
            </w:tcBorders>
            <w:shd w:val="clear" w:color="auto" w:fill="auto"/>
            <w:vAlign w:val="center"/>
          </w:tcPr>
          <w:p w14:paraId="77B02BD1">
            <w:pPr>
              <w:pStyle w:val="16"/>
              <w:bidi w:val="0"/>
              <w:ind w:left="0" w:leftChars="0" w:firstLine="0" w:firstLineChars="0"/>
              <w:rPr>
                <w:rFonts w:hint="default"/>
                <w:color w:val="auto"/>
                <w:sz w:val="21"/>
                <w:szCs w:val="21"/>
              </w:rPr>
            </w:pPr>
            <w:r>
              <w:rPr>
                <w:rFonts w:hint="default"/>
                <w:color w:val="auto"/>
                <w:sz w:val="21"/>
                <w:szCs w:val="21"/>
                <w:lang w:val="en-US" w:eastAsia="zh-CN"/>
              </w:rPr>
              <w:t>NH</w:t>
            </w:r>
            <w:r>
              <w:rPr>
                <w:rFonts w:hint="default"/>
                <w:color w:val="auto"/>
                <w:sz w:val="21"/>
                <w:szCs w:val="21"/>
                <w:vertAlign w:val="subscript"/>
                <w:lang w:val="en-US" w:eastAsia="zh-CN"/>
              </w:rPr>
              <w:t>3</w:t>
            </w:r>
          </w:p>
        </w:tc>
        <w:tc>
          <w:tcPr>
            <w:tcW w:w="484" w:type="pct"/>
            <w:vMerge w:val="restart"/>
            <w:tcBorders>
              <w:tl2br w:val="nil"/>
              <w:tr2bl w:val="nil"/>
            </w:tcBorders>
            <w:shd w:val="clear" w:color="auto" w:fill="auto"/>
            <w:vAlign w:val="center"/>
          </w:tcPr>
          <w:p w14:paraId="5760922F">
            <w:pPr>
              <w:pStyle w:val="16"/>
              <w:bidi w:val="0"/>
              <w:rPr>
                <w:rFonts w:hint="default"/>
                <w:color w:val="auto"/>
                <w:sz w:val="21"/>
                <w:szCs w:val="21"/>
              </w:rPr>
            </w:pPr>
            <w:r>
              <w:rPr>
                <w:rFonts w:hint="default"/>
                <w:color w:val="auto"/>
                <w:sz w:val="21"/>
                <w:szCs w:val="21"/>
                <w:lang w:val="en-US" w:eastAsia="zh-CN"/>
              </w:rPr>
              <w:t>0.0207</w:t>
            </w:r>
          </w:p>
        </w:tc>
        <w:tc>
          <w:tcPr>
            <w:tcW w:w="375" w:type="pct"/>
            <w:vMerge w:val="restart"/>
            <w:tcBorders>
              <w:tl2br w:val="nil"/>
              <w:tr2bl w:val="nil"/>
            </w:tcBorders>
            <w:shd w:val="clear" w:color="auto" w:fill="auto"/>
            <w:vAlign w:val="center"/>
          </w:tcPr>
          <w:p w14:paraId="66EE071B">
            <w:pPr>
              <w:pStyle w:val="16"/>
              <w:bidi w:val="0"/>
              <w:rPr>
                <w:rFonts w:hint="eastAsia"/>
                <w:color w:val="auto"/>
                <w:sz w:val="21"/>
                <w:szCs w:val="21"/>
              </w:rPr>
            </w:pPr>
            <w:r>
              <w:rPr>
                <w:rFonts w:hint="eastAsia"/>
                <w:color w:val="auto"/>
                <w:sz w:val="21"/>
                <w:szCs w:val="21"/>
                <w:lang w:val="en-US" w:eastAsia="zh-CN"/>
              </w:rPr>
              <w:t>95%</w:t>
            </w:r>
          </w:p>
        </w:tc>
        <w:tc>
          <w:tcPr>
            <w:tcW w:w="418" w:type="pct"/>
            <w:tcBorders>
              <w:tl2br w:val="nil"/>
              <w:tr2bl w:val="nil"/>
            </w:tcBorders>
            <w:shd w:val="clear" w:color="auto" w:fill="auto"/>
            <w:vAlign w:val="center"/>
          </w:tcPr>
          <w:p w14:paraId="7AE68BDD">
            <w:pPr>
              <w:pStyle w:val="16"/>
              <w:bidi w:val="0"/>
              <w:rPr>
                <w:rFonts w:hint="eastAsia"/>
                <w:color w:val="auto"/>
                <w:sz w:val="21"/>
                <w:szCs w:val="21"/>
              </w:rPr>
            </w:pPr>
            <w:r>
              <w:rPr>
                <w:rFonts w:hint="eastAsia"/>
                <w:color w:val="auto"/>
                <w:sz w:val="21"/>
                <w:szCs w:val="21"/>
                <w:lang w:val="en-US" w:eastAsia="zh-CN"/>
              </w:rPr>
              <w:t>80%</w:t>
            </w:r>
          </w:p>
        </w:tc>
        <w:tc>
          <w:tcPr>
            <w:tcW w:w="460" w:type="pct"/>
            <w:tcBorders>
              <w:tl2br w:val="nil"/>
              <w:tr2bl w:val="nil"/>
            </w:tcBorders>
            <w:shd w:val="clear" w:color="auto" w:fill="auto"/>
            <w:vAlign w:val="center"/>
          </w:tcPr>
          <w:p w14:paraId="0D60995F">
            <w:pPr>
              <w:pStyle w:val="16"/>
              <w:bidi w:val="0"/>
              <w:rPr>
                <w:rFonts w:hint="eastAsia"/>
                <w:color w:val="auto"/>
                <w:sz w:val="21"/>
                <w:szCs w:val="21"/>
              </w:rPr>
            </w:pPr>
            <w:r>
              <w:rPr>
                <w:rFonts w:hint="eastAsia"/>
                <w:color w:val="auto"/>
                <w:sz w:val="21"/>
                <w:szCs w:val="21"/>
                <w:lang w:val="en-US" w:eastAsia="zh-CN"/>
              </w:rPr>
              <w:t>有组织</w:t>
            </w:r>
          </w:p>
        </w:tc>
        <w:tc>
          <w:tcPr>
            <w:tcW w:w="709" w:type="pct"/>
            <w:tcBorders>
              <w:tl2br w:val="nil"/>
              <w:tr2bl w:val="nil"/>
            </w:tcBorders>
            <w:shd w:val="clear" w:color="auto" w:fill="auto"/>
            <w:vAlign w:val="center"/>
          </w:tcPr>
          <w:p w14:paraId="2C2066F0">
            <w:pPr>
              <w:pStyle w:val="16"/>
              <w:bidi w:val="0"/>
              <w:rPr>
                <w:rFonts w:hint="default"/>
                <w:color w:val="auto"/>
                <w:sz w:val="21"/>
                <w:szCs w:val="21"/>
              </w:rPr>
            </w:pPr>
            <w:r>
              <w:rPr>
                <w:rFonts w:hint="default"/>
                <w:color w:val="auto"/>
                <w:sz w:val="21"/>
                <w:szCs w:val="21"/>
                <w:lang w:val="en-US" w:eastAsia="zh-CN"/>
              </w:rPr>
              <w:t>0.003933</w:t>
            </w:r>
          </w:p>
        </w:tc>
        <w:tc>
          <w:tcPr>
            <w:tcW w:w="549" w:type="pct"/>
            <w:tcBorders>
              <w:tl2br w:val="nil"/>
              <w:tr2bl w:val="nil"/>
            </w:tcBorders>
            <w:shd w:val="clear" w:color="auto" w:fill="auto"/>
            <w:vAlign w:val="center"/>
          </w:tcPr>
          <w:p w14:paraId="01B9D9B3">
            <w:pPr>
              <w:pStyle w:val="16"/>
              <w:bidi w:val="0"/>
              <w:rPr>
                <w:rFonts w:hint="default"/>
                <w:color w:val="auto"/>
                <w:sz w:val="21"/>
                <w:szCs w:val="21"/>
              </w:rPr>
            </w:pPr>
            <w:r>
              <w:rPr>
                <w:rFonts w:hint="default"/>
                <w:color w:val="auto"/>
                <w:sz w:val="21"/>
                <w:szCs w:val="21"/>
                <w:lang w:val="en-US" w:eastAsia="zh-CN"/>
              </w:rPr>
              <w:t xml:space="preserve">0.0345 </w:t>
            </w:r>
          </w:p>
        </w:tc>
        <w:tc>
          <w:tcPr>
            <w:tcW w:w="567" w:type="pct"/>
            <w:tcBorders>
              <w:tl2br w:val="nil"/>
              <w:tr2bl w:val="nil"/>
            </w:tcBorders>
            <w:shd w:val="clear" w:color="auto" w:fill="auto"/>
            <w:vAlign w:val="center"/>
          </w:tcPr>
          <w:p w14:paraId="3DE75B6E">
            <w:pPr>
              <w:pStyle w:val="16"/>
              <w:bidi w:val="0"/>
              <w:rPr>
                <w:rFonts w:hint="default"/>
                <w:color w:val="auto"/>
                <w:sz w:val="21"/>
                <w:szCs w:val="21"/>
              </w:rPr>
            </w:pPr>
            <w:r>
              <w:rPr>
                <w:rFonts w:hint="default"/>
                <w:color w:val="auto"/>
                <w:sz w:val="21"/>
                <w:szCs w:val="21"/>
                <w:lang w:val="en-US" w:eastAsia="zh-CN"/>
              </w:rPr>
              <w:t>/</w:t>
            </w:r>
          </w:p>
        </w:tc>
      </w:tr>
      <w:tr w14:paraId="63D8605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5755243C">
            <w:pPr>
              <w:pStyle w:val="16"/>
              <w:bidi w:val="0"/>
              <w:rPr>
                <w:rFonts w:hint="eastAsia"/>
                <w:color w:val="auto"/>
                <w:sz w:val="21"/>
                <w:szCs w:val="21"/>
              </w:rPr>
            </w:pPr>
          </w:p>
        </w:tc>
        <w:tc>
          <w:tcPr>
            <w:tcW w:w="650" w:type="pct"/>
            <w:vMerge w:val="continue"/>
            <w:tcBorders>
              <w:tl2br w:val="nil"/>
              <w:tr2bl w:val="nil"/>
            </w:tcBorders>
            <w:shd w:val="clear" w:color="auto" w:fill="auto"/>
            <w:vAlign w:val="center"/>
          </w:tcPr>
          <w:p w14:paraId="196544C9">
            <w:pPr>
              <w:pStyle w:val="16"/>
              <w:bidi w:val="0"/>
              <w:rPr>
                <w:rFonts w:hint="default"/>
                <w:color w:val="auto"/>
                <w:sz w:val="21"/>
                <w:szCs w:val="21"/>
              </w:rPr>
            </w:pPr>
          </w:p>
        </w:tc>
        <w:tc>
          <w:tcPr>
            <w:tcW w:w="484" w:type="pct"/>
            <w:vMerge w:val="continue"/>
            <w:tcBorders>
              <w:tl2br w:val="nil"/>
              <w:tr2bl w:val="nil"/>
            </w:tcBorders>
            <w:shd w:val="clear" w:color="auto" w:fill="auto"/>
            <w:vAlign w:val="center"/>
          </w:tcPr>
          <w:p w14:paraId="7A7470F1">
            <w:pPr>
              <w:pStyle w:val="16"/>
              <w:bidi w:val="0"/>
              <w:rPr>
                <w:rFonts w:hint="default"/>
                <w:color w:val="auto"/>
                <w:sz w:val="21"/>
                <w:szCs w:val="21"/>
              </w:rPr>
            </w:pPr>
          </w:p>
        </w:tc>
        <w:tc>
          <w:tcPr>
            <w:tcW w:w="375" w:type="pct"/>
            <w:vMerge w:val="continue"/>
            <w:tcBorders>
              <w:tl2br w:val="nil"/>
              <w:tr2bl w:val="nil"/>
            </w:tcBorders>
            <w:shd w:val="clear" w:color="auto" w:fill="auto"/>
            <w:vAlign w:val="center"/>
          </w:tcPr>
          <w:p w14:paraId="3CFEBBEB">
            <w:pPr>
              <w:pStyle w:val="16"/>
              <w:bidi w:val="0"/>
              <w:rPr>
                <w:rFonts w:hint="eastAsia"/>
                <w:color w:val="auto"/>
                <w:sz w:val="21"/>
                <w:szCs w:val="21"/>
              </w:rPr>
            </w:pPr>
          </w:p>
        </w:tc>
        <w:tc>
          <w:tcPr>
            <w:tcW w:w="418" w:type="pct"/>
            <w:tcBorders>
              <w:tl2br w:val="nil"/>
              <w:tr2bl w:val="nil"/>
            </w:tcBorders>
            <w:shd w:val="clear" w:color="auto" w:fill="auto"/>
            <w:vAlign w:val="center"/>
          </w:tcPr>
          <w:p w14:paraId="26AB56BC">
            <w:pPr>
              <w:pStyle w:val="16"/>
              <w:bidi w:val="0"/>
              <w:rPr>
                <w:rFonts w:hint="eastAsia"/>
                <w:color w:val="auto"/>
                <w:sz w:val="21"/>
                <w:szCs w:val="21"/>
              </w:rPr>
            </w:pPr>
            <w:r>
              <w:rPr>
                <w:rFonts w:hint="eastAsia"/>
                <w:color w:val="auto"/>
                <w:sz w:val="21"/>
                <w:szCs w:val="21"/>
                <w:lang w:val="en-US" w:eastAsia="zh-CN"/>
              </w:rPr>
              <w:t>95%</w:t>
            </w:r>
          </w:p>
        </w:tc>
        <w:tc>
          <w:tcPr>
            <w:tcW w:w="460" w:type="pct"/>
            <w:tcBorders>
              <w:tl2br w:val="nil"/>
              <w:tr2bl w:val="nil"/>
            </w:tcBorders>
            <w:shd w:val="clear" w:color="auto" w:fill="auto"/>
            <w:vAlign w:val="center"/>
          </w:tcPr>
          <w:p w14:paraId="3412BCE0">
            <w:pPr>
              <w:pStyle w:val="16"/>
              <w:bidi w:val="0"/>
              <w:rPr>
                <w:rFonts w:hint="eastAsia"/>
                <w:color w:val="auto"/>
                <w:sz w:val="21"/>
                <w:szCs w:val="21"/>
              </w:rPr>
            </w:pPr>
            <w:r>
              <w:rPr>
                <w:rFonts w:hint="eastAsia"/>
                <w:color w:val="auto"/>
                <w:sz w:val="21"/>
                <w:szCs w:val="21"/>
                <w:lang w:val="en-US" w:eastAsia="zh-CN"/>
              </w:rPr>
              <w:t>无组织</w:t>
            </w:r>
          </w:p>
        </w:tc>
        <w:tc>
          <w:tcPr>
            <w:tcW w:w="709" w:type="pct"/>
            <w:tcBorders>
              <w:tl2br w:val="nil"/>
              <w:tr2bl w:val="nil"/>
            </w:tcBorders>
            <w:shd w:val="clear" w:color="auto" w:fill="auto"/>
            <w:vAlign w:val="center"/>
          </w:tcPr>
          <w:p w14:paraId="38AC9A6D">
            <w:pPr>
              <w:pStyle w:val="16"/>
              <w:bidi w:val="0"/>
              <w:rPr>
                <w:rFonts w:hint="default"/>
                <w:color w:val="auto"/>
                <w:sz w:val="21"/>
                <w:szCs w:val="21"/>
              </w:rPr>
            </w:pPr>
            <w:r>
              <w:rPr>
                <w:rFonts w:hint="default"/>
                <w:color w:val="auto"/>
                <w:sz w:val="21"/>
                <w:szCs w:val="21"/>
                <w:lang w:val="en-US" w:eastAsia="zh-CN"/>
              </w:rPr>
              <w:t>0.001035</w:t>
            </w:r>
          </w:p>
        </w:tc>
        <w:tc>
          <w:tcPr>
            <w:tcW w:w="549" w:type="pct"/>
            <w:tcBorders>
              <w:tl2br w:val="nil"/>
              <w:tr2bl w:val="nil"/>
            </w:tcBorders>
            <w:shd w:val="clear" w:color="auto" w:fill="auto"/>
            <w:vAlign w:val="center"/>
          </w:tcPr>
          <w:p w14:paraId="608EFDC0">
            <w:pPr>
              <w:pStyle w:val="16"/>
              <w:bidi w:val="0"/>
              <w:rPr>
                <w:rFonts w:hint="default"/>
                <w:color w:val="auto"/>
                <w:sz w:val="21"/>
                <w:szCs w:val="21"/>
              </w:rPr>
            </w:pPr>
            <w:r>
              <w:rPr>
                <w:rFonts w:hint="default"/>
                <w:color w:val="auto"/>
                <w:sz w:val="21"/>
                <w:szCs w:val="21"/>
                <w:lang w:val="en-US" w:eastAsia="zh-CN"/>
              </w:rPr>
              <w:t xml:space="preserve">0.0091 </w:t>
            </w:r>
          </w:p>
        </w:tc>
        <w:tc>
          <w:tcPr>
            <w:tcW w:w="567" w:type="pct"/>
            <w:tcBorders>
              <w:tl2br w:val="nil"/>
              <w:tr2bl w:val="nil"/>
            </w:tcBorders>
            <w:shd w:val="clear" w:color="auto" w:fill="auto"/>
            <w:vAlign w:val="center"/>
          </w:tcPr>
          <w:p w14:paraId="27478146">
            <w:pPr>
              <w:pStyle w:val="16"/>
              <w:bidi w:val="0"/>
              <w:rPr>
                <w:rFonts w:hint="default"/>
                <w:color w:val="auto"/>
                <w:sz w:val="21"/>
                <w:szCs w:val="21"/>
              </w:rPr>
            </w:pPr>
            <w:r>
              <w:rPr>
                <w:rFonts w:hint="default"/>
                <w:color w:val="auto"/>
                <w:sz w:val="21"/>
                <w:szCs w:val="21"/>
                <w:lang w:val="en-US" w:eastAsia="zh-CN"/>
              </w:rPr>
              <w:t>/</w:t>
            </w:r>
          </w:p>
        </w:tc>
      </w:tr>
      <w:tr w14:paraId="70AC696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6B2E0702">
            <w:pPr>
              <w:pStyle w:val="16"/>
              <w:bidi w:val="0"/>
              <w:rPr>
                <w:rFonts w:hint="eastAsia"/>
                <w:color w:val="auto"/>
                <w:sz w:val="21"/>
                <w:szCs w:val="21"/>
              </w:rPr>
            </w:pPr>
          </w:p>
        </w:tc>
        <w:tc>
          <w:tcPr>
            <w:tcW w:w="650" w:type="pct"/>
            <w:vMerge w:val="restart"/>
            <w:tcBorders>
              <w:tl2br w:val="nil"/>
              <w:tr2bl w:val="nil"/>
            </w:tcBorders>
            <w:shd w:val="clear" w:color="auto" w:fill="auto"/>
            <w:vAlign w:val="center"/>
          </w:tcPr>
          <w:p w14:paraId="2C0A8C23">
            <w:pPr>
              <w:pStyle w:val="16"/>
              <w:bidi w:val="0"/>
              <w:ind w:left="0" w:leftChars="0" w:firstLine="0" w:firstLineChars="0"/>
              <w:rPr>
                <w:rFonts w:hint="default"/>
                <w:color w:val="auto"/>
                <w:sz w:val="21"/>
                <w:szCs w:val="21"/>
              </w:rPr>
            </w:pPr>
            <w:r>
              <w:rPr>
                <w:rFonts w:hint="default"/>
                <w:color w:val="auto"/>
                <w:sz w:val="21"/>
                <w:szCs w:val="21"/>
                <w:lang w:val="en-US" w:eastAsia="zh-CN"/>
              </w:rPr>
              <w:t>H</w:t>
            </w:r>
            <w:r>
              <w:rPr>
                <w:rFonts w:hint="default"/>
                <w:color w:val="auto"/>
                <w:sz w:val="21"/>
                <w:szCs w:val="21"/>
                <w:vertAlign w:val="subscript"/>
                <w:lang w:val="en-US" w:eastAsia="zh-CN"/>
              </w:rPr>
              <w:t>2</w:t>
            </w:r>
            <w:r>
              <w:rPr>
                <w:rFonts w:hint="default"/>
                <w:color w:val="auto"/>
                <w:sz w:val="21"/>
                <w:szCs w:val="21"/>
                <w:lang w:val="en-US" w:eastAsia="zh-CN"/>
              </w:rPr>
              <w:t>S</w:t>
            </w:r>
          </w:p>
        </w:tc>
        <w:tc>
          <w:tcPr>
            <w:tcW w:w="484" w:type="pct"/>
            <w:vMerge w:val="restart"/>
            <w:tcBorders>
              <w:tl2br w:val="nil"/>
              <w:tr2bl w:val="nil"/>
            </w:tcBorders>
            <w:shd w:val="clear" w:color="auto" w:fill="auto"/>
            <w:vAlign w:val="center"/>
          </w:tcPr>
          <w:p w14:paraId="0EDF753A">
            <w:pPr>
              <w:pStyle w:val="16"/>
              <w:bidi w:val="0"/>
              <w:rPr>
                <w:rFonts w:hint="default"/>
                <w:color w:val="auto"/>
                <w:sz w:val="21"/>
                <w:szCs w:val="21"/>
              </w:rPr>
            </w:pPr>
            <w:r>
              <w:rPr>
                <w:rFonts w:hint="default"/>
                <w:color w:val="auto"/>
                <w:sz w:val="21"/>
                <w:szCs w:val="21"/>
                <w:lang w:val="en-US" w:eastAsia="zh-CN"/>
              </w:rPr>
              <w:t>0.00052</w:t>
            </w:r>
          </w:p>
        </w:tc>
        <w:tc>
          <w:tcPr>
            <w:tcW w:w="375" w:type="pct"/>
            <w:vMerge w:val="restart"/>
            <w:tcBorders>
              <w:tl2br w:val="nil"/>
              <w:tr2bl w:val="nil"/>
            </w:tcBorders>
            <w:shd w:val="clear" w:color="auto" w:fill="auto"/>
            <w:vAlign w:val="center"/>
          </w:tcPr>
          <w:p w14:paraId="4906C972">
            <w:pPr>
              <w:pStyle w:val="16"/>
              <w:bidi w:val="0"/>
              <w:rPr>
                <w:rFonts w:hint="eastAsia"/>
                <w:color w:val="auto"/>
                <w:sz w:val="21"/>
                <w:szCs w:val="21"/>
              </w:rPr>
            </w:pPr>
            <w:r>
              <w:rPr>
                <w:rFonts w:hint="eastAsia"/>
                <w:color w:val="auto"/>
                <w:sz w:val="21"/>
                <w:szCs w:val="21"/>
                <w:lang w:val="en-US" w:eastAsia="zh-CN"/>
              </w:rPr>
              <w:t>95%</w:t>
            </w:r>
          </w:p>
        </w:tc>
        <w:tc>
          <w:tcPr>
            <w:tcW w:w="418" w:type="pct"/>
            <w:tcBorders>
              <w:tl2br w:val="nil"/>
              <w:tr2bl w:val="nil"/>
            </w:tcBorders>
            <w:shd w:val="clear" w:color="auto" w:fill="auto"/>
            <w:vAlign w:val="center"/>
          </w:tcPr>
          <w:p w14:paraId="185AD8A7">
            <w:pPr>
              <w:pStyle w:val="16"/>
              <w:bidi w:val="0"/>
              <w:rPr>
                <w:rFonts w:hint="eastAsia"/>
                <w:color w:val="auto"/>
                <w:sz w:val="21"/>
                <w:szCs w:val="21"/>
              </w:rPr>
            </w:pPr>
            <w:r>
              <w:rPr>
                <w:rFonts w:hint="eastAsia"/>
                <w:color w:val="auto"/>
                <w:sz w:val="21"/>
                <w:szCs w:val="21"/>
                <w:lang w:val="en-US" w:eastAsia="zh-CN"/>
              </w:rPr>
              <w:t>80%</w:t>
            </w:r>
          </w:p>
        </w:tc>
        <w:tc>
          <w:tcPr>
            <w:tcW w:w="460" w:type="pct"/>
            <w:tcBorders>
              <w:tl2br w:val="nil"/>
              <w:tr2bl w:val="nil"/>
            </w:tcBorders>
            <w:shd w:val="clear" w:color="auto" w:fill="auto"/>
            <w:vAlign w:val="center"/>
          </w:tcPr>
          <w:p w14:paraId="1577D25B">
            <w:pPr>
              <w:pStyle w:val="16"/>
              <w:bidi w:val="0"/>
              <w:rPr>
                <w:rFonts w:hint="eastAsia"/>
                <w:color w:val="auto"/>
                <w:sz w:val="21"/>
                <w:szCs w:val="21"/>
              </w:rPr>
            </w:pPr>
            <w:r>
              <w:rPr>
                <w:rFonts w:hint="eastAsia"/>
                <w:color w:val="auto"/>
                <w:sz w:val="21"/>
                <w:szCs w:val="21"/>
                <w:lang w:val="en-US" w:eastAsia="zh-CN"/>
              </w:rPr>
              <w:t>有组织</w:t>
            </w:r>
          </w:p>
        </w:tc>
        <w:tc>
          <w:tcPr>
            <w:tcW w:w="709" w:type="pct"/>
            <w:tcBorders>
              <w:tl2br w:val="nil"/>
              <w:tr2bl w:val="nil"/>
            </w:tcBorders>
            <w:shd w:val="clear" w:color="auto" w:fill="auto"/>
            <w:vAlign w:val="center"/>
          </w:tcPr>
          <w:p w14:paraId="588E95FC">
            <w:pPr>
              <w:pStyle w:val="16"/>
              <w:bidi w:val="0"/>
              <w:rPr>
                <w:rFonts w:hint="default"/>
                <w:color w:val="auto"/>
                <w:sz w:val="21"/>
                <w:szCs w:val="21"/>
              </w:rPr>
            </w:pPr>
            <w:r>
              <w:rPr>
                <w:rFonts w:hint="default"/>
                <w:color w:val="auto"/>
                <w:sz w:val="21"/>
                <w:szCs w:val="21"/>
                <w:lang w:val="en-US" w:eastAsia="zh-CN"/>
              </w:rPr>
              <w:t>0.0000988</w:t>
            </w:r>
          </w:p>
        </w:tc>
        <w:tc>
          <w:tcPr>
            <w:tcW w:w="549" w:type="pct"/>
            <w:tcBorders>
              <w:tl2br w:val="nil"/>
              <w:tr2bl w:val="nil"/>
            </w:tcBorders>
            <w:shd w:val="clear" w:color="auto" w:fill="auto"/>
            <w:vAlign w:val="center"/>
          </w:tcPr>
          <w:p w14:paraId="0EBE7E6E">
            <w:pPr>
              <w:pStyle w:val="16"/>
              <w:bidi w:val="0"/>
              <w:rPr>
                <w:rFonts w:hint="default"/>
                <w:color w:val="auto"/>
                <w:sz w:val="21"/>
                <w:szCs w:val="21"/>
              </w:rPr>
            </w:pPr>
            <w:r>
              <w:rPr>
                <w:rFonts w:hint="default"/>
                <w:color w:val="auto"/>
                <w:sz w:val="21"/>
                <w:szCs w:val="21"/>
                <w:lang w:val="en-US" w:eastAsia="zh-CN"/>
              </w:rPr>
              <w:t xml:space="preserve">0.0009 </w:t>
            </w:r>
          </w:p>
        </w:tc>
        <w:tc>
          <w:tcPr>
            <w:tcW w:w="567" w:type="pct"/>
            <w:tcBorders>
              <w:tl2br w:val="nil"/>
              <w:tr2bl w:val="nil"/>
            </w:tcBorders>
            <w:shd w:val="clear" w:color="auto" w:fill="auto"/>
            <w:vAlign w:val="center"/>
          </w:tcPr>
          <w:p w14:paraId="5845B2B8">
            <w:pPr>
              <w:pStyle w:val="16"/>
              <w:bidi w:val="0"/>
              <w:rPr>
                <w:rFonts w:hint="default"/>
                <w:color w:val="auto"/>
                <w:sz w:val="21"/>
                <w:szCs w:val="21"/>
              </w:rPr>
            </w:pPr>
            <w:r>
              <w:rPr>
                <w:rFonts w:hint="default"/>
                <w:color w:val="auto"/>
                <w:sz w:val="21"/>
                <w:szCs w:val="21"/>
                <w:lang w:val="en-US" w:eastAsia="zh-CN"/>
              </w:rPr>
              <w:t>/</w:t>
            </w:r>
          </w:p>
        </w:tc>
      </w:tr>
      <w:tr w14:paraId="40F537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5AAA68BF">
            <w:pPr>
              <w:pStyle w:val="16"/>
              <w:bidi w:val="0"/>
              <w:rPr>
                <w:rFonts w:hint="eastAsia"/>
                <w:color w:val="auto"/>
                <w:sz w:val="21"/>
                <w:szCs w:val="21"/>
              </w:rPr>
            </w:pPr>
          </w:p>
        </w:tc>
        <w:tc>
          <w:tcPr>
            <w:tcW w:w="650" w:type="pct"/>
            <w:vMerge w:val="continue"/>
            <w:tcBorders>
              <w:tl2br w:val="nil"/>
              <w:tr2bl w:val="nil"/>
            </w:tcBorders>
            <w:shd w:val="clear" w:color="auto" w:fill="auto"/>
            <w:vAlign w:val="center"/>
          </w:tcPr>
          <w:p w14:paraId="6EF0AD39">
            <w:pPr>
              <w:pStyle w:val="16"/>
              <w:bidi w:val="0"/>
              <w:rPr>
                <w:rFonts w:hint="default"/>
                <w:color w:val="auto"/>
                <w:sz w:val="21"/>
                <w:szCs w:val="21"/>
              </w:rPr>
            </w:pPr>
          </w:p>
        </w:tc>
        <w:tc>
          <w:tcPr>
            <w:tcW w:w="484" w:type="pct"/>
            <w:vMerge w:val="continue"/>
            <w:tcBorders>
              <w:tl2br w:val="nil"/>
              <w:tr2bl w:val="nil"/>
            </w:tcBorders>
            <w:shd w:val="clear" w:color="auto" w:fill="auto"/>
            <w:vAlign w:val="center"/>
          </w:tcPr>
          <w:p w14:paraId="530597B5">
            <w:pPr>
              <w:pStyle w:val="16"/>
              <w:bidi w:val="0"/>
              <w:rPr>
                <w:rFonts w:hint="default"/>
                <w:color w:val="auto"/>
                <w:sz w:val="21"/>
                <w:szCs w:val="21"/>
              </w:rPr>
            </w:pPr>
          </w:p>
        </w:tc>
        <w:tc>
          <w:tcPr>
            <w:tcW w:w="375" w:type="pct"/>
            <w:vMerge w:val="continue"/>
            <w:tcBorders>
              <w:tl2br w:val="nil"/>
              <w:tr2bl w:val="nil"/>
            </w:tcBorders>
            <w:shd w:val="clear" w:color="auto" w:fill="auto"/>
            <w:vAlign w:val="center"/>
          </w:tcPr>
          <w:p w14:paraId="55A7BD3B">
            <w:pPr>
              <w:pStyle w:val="16"/>
              <w:bidi w:val="0"/>
              <w:rPr>
                <w:rFonts w:hint="eastAsia"/>
                <w:color w:val="auto"/>
                <w:sz w:val="21"/>
                <w:szCs w:val="21"/>
              </w:rPr>
            </w:pPr>
          </w:p>
        </w:tc>
        <w:tc>
          <w:tcPr>
            <w:tcW w:w="418" w:type="pct"/>
            <w:tcBorders>
              <w:tl2br w:val="nil"/>
              <w:tr2bl w:val="nil"/>
            </w:tcBorders>
            <w:shd w:val="clear" w:color="auto" w:fill="auto"/>
            <w:vAlign w:val="center"/>
          </w:tcPr>
          <w:p w14:paraId="6DFC0C03">
            <w:pPr>
              <w:pStyle w:val="16"/>
              <w:bidi w:val="0"/>
              <w:rPr>
                <w:rFonts w:hint="eastAsia"/>
                <w:color w:val="auto"/>
                <w:sz w:val="21"/>
                <w:szCs w:val="21"/>
              </w:rPr>
            </w:pPr>
            <w:r>
              <w:rPr>
                <w:rFonts w:hint="eastAsia"/>
                <w:color w:val="auto"/>
                <w:sz w:val="21"/>
                <w:szCs w:val="21"/>
                <w:lang w:val="en-US" w:eastAsia="zh-CN"/>
              </w:rPr>
              <w:t>95%</w:t>
            </w:r>
          </w:p>
        </w:tc>
        <w:tc>
          <w:tcPr>
            <w:tcW w:w="460" w:type="pct"/>
            <w:tcBorders>
              <w:tl2br w:val="nil"/>
              <w:tr2bl w:val="nil"/>
            </w:tcBorders>
            <w:shd w:val="clear" w:color="auto" w:fill="auto"/>
            <w:vAlign w:val="center"/>
          </w:tcPr>
          <w:p w14:paraId="2AE8CFE1">
            <w:pPr>
              <w:pStyle w:val="16"/>
              <w:bidi w:val="0"/>
              <w:rPr>
                <w:rFonts w:hint="eastAsia"/>
                <w:color w:val="auto"/>
                <w:sz w:val="21"/>
                <w:szCs w:val="21"/>
              </w:rPr>
            </w:pPr>
            <w:r>
              <w:rPr>
                <w:rFonts w:hint="eastAsia"/>
                <w:color w:val="auto"/>
                <w:sz w:val="21"/>
                <w:szCs w:val="21"/>
                <w:lang w:val="en-US" w:eastAsia="zh-CN"/>
              </w:rPr>
              <w:t>无组织</w:t>
            </w:r>
          </w:p>
        </w:tc>
        <w:tc>
          <w:tcPr>
            <w:tcW w:w="709" w:type="pct"/>
            <w:tcBorders>
              <w:tl2br w:val="nil"/>
              <w:tr2bl w:val="nil"/>
            </w:tcBorders>
            <w:shd w:val="clear" w:color="auto" w:fill="auto"/>
            <w:vAlign w:val="center"/>
          </w:tcPr>
          <w:p w14:paraId="738B6F82">
            <w:pPr>
              <w:pStyle w:val="16"/>
              <w:bidi w:val="0"/>
              <w:rPr>
                <w:rFonts w:hint="default"/>
                <w:color w:val="auto"/>
                <w:sz w:val="21"/>
                <w:szCs w:val="21"/>
              </w:rPr>
            </w:pPr>
            <w:r>
              <w:rPr>
                <w:rFonts w:hint="default"/>
                <w:color w:val="auto"/>
                <w:sz w:val="21"/>
                <w:szCs w:val="21"/>
                <w:lang w:val="en-US" w:eastAsia="zh-CN"/>
              </w:rPr>
              <w:t>0.000026</w:t>
            </w:r>
          </w:p>
        </w:tc>
        <w:tc>
          <w:tcPr>
            <w:tcW w:w="549" w:type="pct"/>
            <w:tcBorders>
              <w:tl2br w:val="nil"/>
              <w:tr2bl w:val="nil"/>
            </w:tcBorders>
            <w:shd w:val="clear" w:color="auto" w:fill="auto"/>
            <w:vAlign w:val="center"/>
          </w:tcPr>
          <w:p w14:paraId="1C760092">
            <w:pPr>
              <w:pStyle w:val="16"/>
              <w:bidi w:val="0"/>
              <w:rPr>
                <w:rFonts w:hint="default"/>
                <w:color w:val="auto"/>
                <w:sz w:val="21"/>
                <w:szCs w:val="21"/>
              </w:rPr>
            </w:pPr>
            <w:r>
              <w:rPr>
                <w:rFonts w:hint="default"/>
                <w:color w:val="auto"/>
                <w:sz w:val="21"/>
                <w:szCs w:val="21"/>
                <w:lang w:val="en-US" w:eastAsia="zh-CN"/>
              </w:rPr>
              <w:t xml:space="preserve">0.0002 </w:t>
            </w:r>
          </w:p>
        </w:tc>
        <w:tc>
          <w:tcPr>
            <w:tcW w:w="567" w:type="pct"/>
            <w:tcBorders>
              <w:tl2br w:val="nil"/>
              <w:tr2bl w:val="nil"/>
            </w:tcBorders>
            <w:shd w:val="clear" w:color="auto" w:fill="auto"/>
            <w:vAlign w:val="center"/>
          </w:tcPr>
          <w:p w14:paraId="1E54F69A">
            <w:pPr>
              <w:pStyle w:val="16"/>
              <w:bidi w:val="0"/>
              <w:rPr>
                <w:rFonts w:hint="default"/>
                <w:color w:val="auto"/>
                <w:sz w:val="21"/>
                <w:szCs w:val="21"/>
              </w:rPr>
            </w:pPr>
            <w:r>
              <w:rPr>
                <w:rFonts w:hint="default"/>
                <w:color w:val="auto"/>
                <w:sz w:val="21"/>
                <w:szCs w:val="21"/>
                <w:lang w:val="en-US" w:eastAsia="zh-CN"/>
              </w:rPr>
              <w:t>/</w:t>
            </w:r>
          </w:p>
        </w:tc>
      </w:tr>
      <w:tr w14:paraId="1F2AFC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restart"/>
            <w:tcBorders>
              <w:tl2br w:val="nil"/>
              <w:tr2bl w:val="nil"/>
            </w:tcBorders>
            <w:shd w:val="clear" w:color="auto" w:fill="auto"/>
            <w:noWrap/>
            <w:vAlign w:val="center"/>
          </w:tcPr>
          <w:p w14:paraId="039301D9">
            <w:pPr>
              <w:pStyle w:val="16"/>
              <w:bidi w:val="0"/>
              <w:rPr>
                <w:rFonts w:hint="eastAsia"/>
                <w:color w:val="auto"/>
                <w:sz w:val="21"/>
                <w:szCs w:val="21"/>
              </w:rPr>
            </w:pPr>
            <w:r>
              <w:rPr>
                <w:rFonts w:hint="eastAsia"/>
                <w:color w:val="auto"/>
                <w:sz w:val="21"/>
                <w:szCs w:val="21"/>
                <w:lang w:val="en-US" w:eastAsia="zh-CN"/>
              </w:rPr>
              <w:t>高级氧化深度处理</w:t>
            </w:r>
          </w:p>
        </w:tc>
        <w:tc>
          <w:tcPr>
            <w:tcW w:w="650" w:type="pct"/>
            <w:vMerge w:val="restart"/>
            <w:tcBorders>
              <w:tl2br w:val="nil"/>
              <w:tr2bl w:val="nil"/>
            </w:tcBorders>
            <w:shd w:val="clear" w:color="auto" w:fill="auto"/>
            <w:vAlign w:val="center"/>
          </w:tcPr>
          <w:p w14:paraId="38DBAC13">
            <w:pPr>
              <w:pStyle w:val="16"/>
              <w:bidi w:val="0"/>
              <w:ind w:left="0" w:leftChars="0" w:firstLine="0" w:firstLineChars="0"/>
              <w:rPr>
                <w:rFonts w:hint="default"/>
                <w:color w:val="auto"/>
                <w:sz w:val="21"/>
                <w:szCs w:val="21"/>
              </w:rPr>
            </w:pPr>
            <w:r>
              <w:rPr>
                <w:rFonts w:hint="default"/>
                <w:color w:val="auto"/>
                <w:sz w:val="21"/>
                <w:szCs w:val="21"/>
                <w:lang w:val="en-US" w:eastAsia="zh-CN"/>
              </w:rPr>
              <w:t>NH</w:t>
            </w:r>
            <w:r>
              <w:rPr>
                <w:rFonts w:hint="default"/>
                <w:color w:val="auto"/>
                <w:sz w:val="21"/>
                <w:szCs w:val="21"/>
                <w:vertAlign w:val="subscript"/>
                <w:lang w:val="en-US" w:eastAsia="zh-CN"/>
              </w:rPr>
              <w:t>3</w:t>
            </w:r>
          </w:p>
        </w:tc>
        <w:tc>
          <w:tcPr>
            <w:tcW w:w="484" w:type="pct"/>
            <w:vMerge w:val="restart"/>
            <w:tcBorders>
              <w:tl2br w:val="nil"/>
              <w:tr2bl w:val="nil"/>
            </w:tcBorders>
            <w:shd w:val="clear" w:color="auto" w:fill="auto"/>
            <w:vAlign w:val="center"/>
          </w:tcPr>
          <w:p w14:paraId="3663DBEF">
            <w:pPr>
              <w:pStyle w:val="16"/>
              <w:bidi w:val="0"/>
              <w:rPr>
                <w:rFonts w:hint="default"/>
                <w:color w:val="auto"/>
                <w:sz w:val="21"/>
                <w:szCs w:val="21"/>
              </w:rPr>
            </w:pPr>
            <w:r>
              <w:rPr>
                <w:rFonts w:hint="default"/>
                <w:color w:val="auto"/>
                <w:sz w:val="21"/>
                <w:szCs w:val="21"/>
                <w:lang w:val="en-US" w:eastAsia="zh-CN"/>
              </w:rPr>
              <w:t>0.0026</w:t>
            </w:r>
          </w:p>
        </w:tc>
        <w:tc>
          <w:tcPr>
            <w:tcW w:w="375" w:type="pct"/>
            <w:vMerge w:val="restart"/>
            <w:tcBorders>
              <w:tl2br w:val="nil"/>
              <w:tr2bl w:val="nil"/>
            </w:tcBorders>
            <w:shd w:val="clear" w:color="auto" w:fill="auto"/>
            <w:vAlign w:val="center"/>
          </w:tcPr>
          <w:p w14:paraId="16DCB009">
            <w:pPr>
              <w:pStyle w:val="16"/>
              <w:bidi w:val="0"/>
              <w:rPr>
                <w:rFonts w:hint="eastAsia"/>
                <w:color w:val="auto"/>
                <w:sz w:val="21"/>
                <w:szCs w:val="21"/>
              </w:rPr>
            </w:pPr>
            <w:r>
              <w:rPr>
                <w:rFonts w:hint="eastAsia"/>
                <w:color w:val="auto"/>
                <w:sz w:val="21"/>
                <w:szCs w:val="21"/>
                <w:lang w:val="en-US" w:eastAsia="zh-CN"/>
              </w:rPr>
              <w:t>95%</w:t>
            </w:r>
          </w:p>
        </w:tc>
        <w:tc>
          <w:tcPr>
            <w:tcW w:w="418" w:type="pct"/>
            <w:tcBorders>
              <w:tl2br w:val="nil"/>
              <w:tr2bl w:val="nil"/>
            </w:tcBorders>
            <w:shd w:val="clear" w:color="auto" w:fill="auto"/>
            <w:vAlign w:val="center"/>
          </w:tcPr>
          <w:p w14:paraId="17704B02">
            <w:pPr>
              <w:pStyle w:val="16"/>
              <w:bidi w:val="0"/>
              <w:rPr>
                <w:rFonts w:hint="eastAsia"/>
                <w:color w:val="auto"/>
                <w:sz w:val="21"/>
                <w:szCs w:val="21"/>
              </w:rPr>
            </w:pPr>
            <w:r>
              <w:rPr>
                <w:rFonts w:hint="eastAsia"/>
                <w:color w:val="auto"/>
                <w:sz w:val="21"/>
                <w:szCs w:val="21"/>
                <w:lang w:val="en-US" w:eastAsia="zh-CN"/>
              </w:rPr>
              <w:t>80%</w:t>
            </w:r>
          </w:p>
        </w:tc>
        <w:tc>
          <w:tcPr>
            <w:tcW w:w="460" w:type="pct"/>
            <w:tcBorders>
              <w:tl2br w:val="nil"/>
              <w:tr2bl w:val="nil"/>
            </w:tcBorders>
            <w:shd w:val="clear" w:color="auto" w:fill="auto"/>
            <w:vAlign w:val="center"/>
          </w:tcPr>
          <w:p w14:paraId="1EED3120">
            <w:pPr>
              <w:pStyle w:val="16"/>
              <w:bidi w:val="0"/>
              <w:rPr>
                <w:rFonts w:hint="eastAsia"/>
                <w:color w:val="auto"/>
                <w:sz w:val="21"/>
                <w:szCs w:val="21"/>
              </w:rPr>
            </w:pPr>
            <w:r>
              <w:rPr>
                <w:rFonts w:hint="eastAsia"/>
                <w:color w:val="auto"/>
                <w:sz w:val="21"/>
                <w:szCs w:val="21"/>
                <w:lang w:val="en-US" w:eastAsia="zh-CN"/>
              </w:rPr>
              <w:t>有组织</w:t>
            </w:r>
          </w:p>
        </w:tc>
        <w:tc>
          <w:tcPr>
            <w:tcW w:w="709" w:type="pct"/>
            <w:tcBorders>
              <w:tl2br w:val="nil"/>
              <w:tr2bl w:val="nil"/>
            </w:tcBorders>
            <w:shd w:val="clear" w:color="auto" w:fill="auto"/>
            <w:vAlign w:val="center"/>
          </w:tcPr>
          <w:p w14:paraId="3234A6D1">
            <w:pPr>
              <w:pStyle w:val="16"/>
              <w:bidi w:val="0"/>
              <w:rPr>
                <w:rFonts w:hint="default"/>
                <w:color w:val="auto"/>
                <w:sz w:val="21"/>
                <w:szCs w:val="21"/>
              </w:rPr>
            </w:pPr>
            <w:r>
              <w:rPr>
                <w:rFonts w:hint="default"/>
                <w:color w:val="auto"/>
                <w:sz w:val="21"/>
                <w:szCs w:val="21"/>
                <w:lang w:val="en-US" w:eastAsia="zh-CN"/>
              </w:rPr>
              <w:t>0.000494</w:t>
            </w:r>
          </w:p>
        </w:tc>
        <w:tc>
          <w:tcPr>
            <w:tcW w:w="549" w:type="pct"/>
            <w:tcBorders>
              <w:tl2br w:val="nil"/>
              <w:tr2bl w:val="nil"/>
            </w:tcBorders>
            <w:shd w:val="clear" w:color="auto" w:fill="auto"/>
            <w:vAlign w:val="center"/>
          </w:tcPr>
          <w:p w14:paraId="19B94EE6">
            <w:pPr>
              <w:pStyle w:val="16"/>
              <w:bidi w:val="0"/>
              <w:rPr>
                <w:rFonts w:hint="default"/>
                <w:color w:val="auto"/>
                <w:sz w:val="21"/>
                <w:szCs w:val="21"/>
              </w:rPr>
            </w:pPr>
            <w:r>
              <w:rPr>
                <w:rFonts w:hint="default"/>
                <w:color w:val="auto"/>
                <w:sz w:val="21"/>
                <w:szCs w:val="21"/>
                <w:lang w:val="en-US" w:eastAsia="zh-CN"/>
              </w:rPr>
              <w:t xml:space="preserve">0.0043 </w:t>
            </w:r>
          </w:p>
        </w:tc>
        <w:tc>
          <w:tcPr>
            <w:tcW w:w="567" w:type="pct"/>
            <w:tcBorders>
              <w:tl2br w:val="nil"/>
              <w:tr2bl w:val="nil"/>
            </w:tcBorders>
            <w:shd w:val="clear" w:color="auto" w:fill="auto"/>
            <w:vAlign w:val="center"/>
          </w:tcPr>
          <w:p w14:paraId="35351FA3">
            <w:pPr>
              <w:pStyle w:val="16"/>
              <w:bidi w:val="0"/>
              <w:rPr>
                <w:rFonts w:hint="default"/>
                <w:color w:val="auto"/>
                <w:sz w:val="21"/>
                <w:szCs w:val="21"/>
              </w:rPr>
            </w:pPr>
            <w:r>
              <w:rPr>
                <w:rFonts w:hint="default"/>
                <w:color w:val="auto"/>
                <w:sz w:val="21"/>
                <w:szCs w:val="21"/>
                <w:lang w:val="en-US" w:eastAsia="zh-CN"/>
              </w:rPr>
              <w:t>/</w:t>
            </w:r>
          </w:p>
        </w:tc>
      </w:tr>
      <w:tr w14:paraId="2B882B8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03593746">
            <w:pPr>
              <w:pStyle w:val="16"/>
              <w:bidi w:val="0"/>
              <w:rPr>
                <w:rFonts w:hint="eastAsia"/>
                <w:color w:val="auto"/>
                <w:sz w:val="21"/>
                <w:szCs w:val="21"/>
              </w:rPr>
            </w:pPr>
          </w:p>
        </w:tc>
        <w:tc>
          <w:tcPr>
            <w:tcW w:w="650" w:type="pct"/>
            <w:vMerge w:val="continue"/>
            <w:tcBorders>
              <w:tl2br w:val="nil"/>
              <w:tr2bl w:val="nil"/>
            </w:tcBorders>
            <w:shd w:val="clear" w:color="auto" w:fill="auto"/>
            <w:vAlign w:val="center"/>
          </w:tcPr>
          <w:p w14:paraId="63AAFF99">
            <w:pPr>
              <w:pStyle w:val="16"/>
              <w:bidi w:val="0"/>
              <w:rPr>
                <w:rFonts w:hint="default"/>
                <w:color w:val="auto"/>
                <w:sz w:val="21"/>
                <w:szCs w:val="21"/>
              </w:rPr>
            </w:pPr>
          </w:p>
        </w:tc>
        <w:tc>
          <w:tcPr>
            <w:tcW w:w="484" w:type="pct"/>
            <w:vMerge w:val="continue"/>
            <w:tcBorders>
              <w:tl2br w:val="nil"/>
              <w:tr2bl w:val="nil"/>
            </w:tcBorders>
            <w:shd w:val="clear" w:color="auto" w:fill="auto"/>
            <w:vAlign w:val="center"/>
          </w:tcPr>
          <w:p w14:paraId="3A4B83CE">
            <w:pPr>
              <w:pStyle w:val="16"/>
              <w:bidi w:val="0"/>
              <w:rPr>
                <w:rFonts w:hint="default"/>
                <w:color w:val="auto"/>
                <w:sz w:val="21"/>
                <w:szCs w:val="21"/>
              </w:rPr>
            </w:pPr>
          </w:p>
        </w:tc>
        <w:tc>
          <w:tcPr>
            <w:tcW w:w="375" w:type="pct"/>
            <w:vMerge w:val="continue"/>
            <w:tcBorders>
              <w:tl2br w:val="nil"/>
              <w:tr2bl w:val="nil"/>
            </w:tcBorders>
            <w:shd w:val="clear" w:color="auto" w:fill="auto"/>
            <w:vAlign w:val="center"/>
          </w:tcPr>
          <w:p w14:paraId="2279F211">
            <w:pPr>
              <w:pStyle w:val="16"/>
              <w:bidi w:val="0"/>
              <w:rPr>
                <w:rFonts w:hint="eastAsia"/>
                <w:color w:val="auto"/>
                <w:sz w:val="21"/>
                <w:szCs w:val="21"/>
              </w:rPr>
            </w:pPr>
          </w:p>
        </w:tc>
        <w:tc>
          <w:tcPr>
            <w:tcW w:w="418" w:type="pct"/>
            <w:tcBorders>
              <w:tl2br w:val="nil"/>
              <w:tr2bl w:val="nil"/>
            </w:tcBorders>
            <w:shd w:val="clear" w:color="auto" w:fill="auto"/>
            <w:vAlign w:val="center"/>
          </w:tcPr>
          <w:p w14:paraId="0F0AB703">
            <w:pPr>
              <w:pStyle w:val="16"/>
              <w:bidi w:val="0"/>
              <w:rPr>
                <w:rFonts w:hint="eastAsia"/>
                <w:color w:val="auto"/>
                <w:sz w:val="21"/>
                <w:szCs w:val="21"/>
              </w:rPr>
            </w:pPr>
            <w:r>
              <w:rPr>
                <w:rFonts w:hint="eastAsia"/>
                <w:color w:val="auto"/>
                <w:sz w:val="21"/>
                <w:szCs w:val="21"/>
                <w:lang w:val="en-US" w:eastAsia="zh-CN"/>
              </w:rPr>
              <w:t>95%</w:t>
            </w:r>
          </w:p>
        </w:tc>
        <w:tc>
          <w:tcPr>
            <w:tcW w:w="460" w:type="pct"/>
            <w:tcBorders>
              <w:tl2br w:val="nil"/>
              <w:tr2bl w:val="nil"/>
            </w:tcBorders>
            <w:shd w:val="clear" w:color="auto" w:fill="auto"/>
            <w:vAlign w:val="center"/>
          </w:tcPr>
          <w:p w14:paraId="16D7F83A">
            <w:pPr>
              <w:pStyle w:val="16"/>
              <w:bidi w:val="0"/>
              <w:rPr>
                <w:rFonts w:hint="eastAsia"/>
                <w:color w:val="auto"/>
                <w:sz w:val="21"/>
                <w:szCs w:val="21"/>
              </w:rPr>
            </w:pPr>
            <w:r>
              <w:rPr>
                <w:rFonts w:hint="eastAsia"/>
                <w:color w:val="auto"/>
                <w:sz w:val="21"/>
                <w:szCs w:val="21"/>
                <w:lang w:val="en-US" w:eastAsia="zh-CN"/>
              </w:rPr>
              <w:t>无组织</w:t>
            </w:r>
          </w:p>
        </w:tc>
        <w:tc>
          <w:tcPr>
            <w:tcW w:w="709" w:type="pct"/>
            <w:tcBorders>
              <w:tl2br w:val="nil"/>
              <w:tr2bl w:val="nil"/>
            </w:tcBorders>
            <w:shd w:val="clear" w:color="auto" w:fill="auto"/>
            <w:vAlign w:val="center"/>
          </w:tcPr>
          <w:p w14:paraId="55141BCE">
            <w:pPr>
              <w:pStyle w:val="16"/>
              <w:bidi w:val="0"/>
              <w:rPr>
                <w:rFonts w:hint="default"/>
                <w:color w:val="auto"/>
                <w:sz w:val="21"/>
                <w:szCs w:val="21"/>
              </w:rPr>
            </w:pPr>
            <w:r>
              <w:rPr>
                <w:rFonts w:hint="default"/>
                <w:color w:val="auto"/>
                <w:sz w:val="21"/>
                <w:szCs w:val="21"/>
                <w:lang w:val="en-US" w:eastAsia="zh-CN"/>
              </w:rPr>
              <w:t>0.00013</w:t>
            </w:r>
          </w:p>
        </w:tc>
        <w:tc>
          <w:tcPr>
            <w:tcW w:w="549" w:type="pct"/>
            <w:tcBorders>
              <w:tl2br w:val="nil"/>
              <w:tr2bl w:val="nil"/>
            </w:tcBorders>
            <w:shd w:val="clear" w:color="auto" w:fill="auto"/>
            <w:vAlign w:val="center"/>
          </w:tcPr>
          <w:p w14:paraId="4F7DABA9">
            <w:pPr>
              <w:pStyle w:val="16"/>
              <w:bidi w:val="0"/>
              <w:rPr>
                <w:rFonts w:hint="default"/>
                <w:color w:val="auto"/>
                <w:sz w:val="21"/>
                <w:szCs w:val="21"/>
              </w:rPr>
            </w:pPr>
            <w:r>
              <w:rPr>
                <w:rFonts w:hint="default"/>
                <w:color w:val="auto"/>
                <w:sz w:val="21"/>
                <w:szCs w:val="21"/>
                <w:lang w:val="en-US" w:eastAsia="zh-CN"/>
              </w:rPr>
              <w:t xml:space="preserve">0.0011 </w:t>
            </w:r>
          </w:p>
        </w:tc>
        <w:tc>
          <w:tcPr>
            <w:tcW w:w="567" w:type="pct"/>
            <w:tcBorders>
              <w:tl2br w:val="nil"/>
              <w:tr2bl w:val="nil"/>
            </w:tcBorders>
            <w:shd w:val="clear" w:color="auto" w:fill="auto"/>
            <w:vAlign w:val="center"/>
          </w:tcPr>
          <w:p w14:paraId="62F08C2A">
            <w:pPr>
              <w:pStyle w:val="16"/>
              <w:bidi w:val="0"/>
              <w:rPr>
                <w:rFonts w:hint="default"/>
                <w:color w:val="auto"/>
                <w:sz w:val="21"/>
                <w:szCs w:val="21"/>
              </w:rPr>
            </w:pPr>
            <w:r>
              <w:rPr>
                <w:rFonts w:hint="default"/>
                <w:color w:val="auto"/>
                <w:sz w:val="21"/>
                <w:szCs w:val="21"/>
                <w:lang w:val="en-US" w:eastAsia="zh-CN"/>
              </w:rPr>
              <w:t>/</w:t>
            </w:r>
          </w:p>
        </w:tc>
      </w:tr>
      <w:tr w14:paraId="542AED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56C6A72B">
            <w:pPr>
              <w:pStyle w:val="16"/>
              <w:bidi w:val="0"/>
              <w:rPr>
                <w:rFonts w:hint="eastAsia"/>
                <w:color w:val="auto"/>
                <w:sz w:val="21"/>
                <w:szCs w:val="21"/>
              </w:rPr>
            </w:pPr>
          </w:p>
        </w:tc>
        <w:tc>
          <w:tcPr>
            <w:tcW w:w="650" w:type="pct"/>
            <w:vMerge w:val="restart"/>
            <w:tcBorders>
              <w:tl2br w:val="nil"/>
              <w:tr2bl w:val="nil"/>
            </w:tcBorders>
            <w:shd w:val="clear" w:color="auto" w:fill="auto"/>
            <w:vAlign w:val="center"/>
          </w:tcPr>
          <w:p w14:paraId="322788A5">
            <w:pPr>
              <w:pStyle w:val="16"/>
              <w:bidi w:val="0"/>
              <w:ind w:left="0" w:leftChars="0" w:firstLine="0" w:firstLineChars="0"/>
              <w:rPr>
                <w:rFonts w:hint="default"/>
                <w:color w:val="auto"/>
                <w:sz w:val="21"/>
                <w:szCs w:val="21"/>
              </w:rPr>
            </w:pPr>
            <w:r>
              <w:rPr>
                <w:rFonts w:hint="default"/>
                <w:color w:val="auto"/>
                <w:sz w:val="21"/>
                <w:szCs w:val="21"/>
                <w:lang w:val="en-US" w:eastAsia="zh-CN"/>
              </w:rPr>
              <w:t>H</w:t>
            </w:r>
            <w:r>
              <w:rPr>
                <w:rFonts w:hint="default"/>
                <w:color w:val="auto"/>
                <w:sz w:val="21"/>
                <w:szCs w:val="21"/>
                <w:vertAlign w:val="subscript"/>
                <w:lang w:val="en-US" w:eastAsia="zh-CN"/>
              </w:rPr>
              <w:t>2</w:t>
            </w:r>
            <w:r>
              <w:rPr>
                <w:rFonts w:hint="default"/>
                <w:color w:val="auto"/>
                <w:sz w:val="21"/>
                <w:szCs w:val="21"/>
                <w:lang w:val="en-US" w:eastAsia="zh-CN"/>
              </w:rPr>
              <w:t>S</w:t>
            </w:r>
          </w:p>
        </w:tc>
        <w:tc>
          <w:tcPr>
            <w:tcW w:w="484" w:type="pct"/>
            <w:vMerge w:val="restart"/>
            <w:tcBorders>
              <w:tl2br w:val="nil"/>
              <w:tr2bl w:val="nil"/>
            </w:tcBorders>
            <w:shd w:val="clear" w:color="auto" w:fill="auto"/>
            <w:vAlign w:val="center"/>
          </w:tcPr>
          <w:p w14:paraId="3B85708F">
            <w:pPr>
              <w:pStyle w:val="16"/>
              <w:bidi w:val="0"/>
              <w:rPr>
                <w:rFonts w:hint="default"/>
                <w:color w:val="auto"/>
                <w:sz w:val="21"/>
                <w:szCs w:val="21"/>
              </w:rPr>
            </w:pPr>
            <w:r>
              <w:rPr>
                <w:rFonts w:hint="default"/>
                <w:color w:val="auto"/>
                <w:sz w:val="21"/>
                <w:szCs w:val="21"/>
                <w:lang w:val="en-US" w:eastAsia="zh-CN"/>
              </w:rPr>
              <w:t>0.00006</w:t>
            </w:r>
          </w:p>
        </w:tc>
        <w:tc>
          <w:tcPr>
            <w:tcW w:w="375" w:type="pct"/>
            <w:vMerge w:val="restart"/>
            <w:tcBorders>
              <w:tl2br w:val="nil"/>
              <w:tr2bl w:val="nil"/>
            </w:tcBorders>
            <w:shd w:val="clear" w:color="auto" w:fill="auto"/>
            <w:vAlign w:val="center"/>
          </w:tcPr>
          <w:p w14:paraId="1E5F707A">
            <w:pPr>
              <w:pStyle w:val="16"/>
              <w:bidi w:val="0"/>
              <w:rPr>
                <w:rFonts w:hint="eastAsia"/>
                <w:color w:val="auto"/>
                <w:sz w:val="21"/>
                <w:szCs w:val="21"/>
              </w:rPr>
            </w:pPr>
            <w:r>
              <w:rPr>
                <w:rFonts w:hint="eastAsia"/>
                <w:color w:val="auto"/>
                <w:sz w:val="21"/>
                <w:szCs w:val="21"/>
                <w:lang w:val="en-US" w:eastAsia="zh-CN"/>
              </w:rPr>
              <w:t>95%</w:t>
            </w:r>
          </w:p>
        </w:tc>
        <w:tc>
          <w:tcPr>
            <w:tcW w:w="418" w:type="pct"/>
            <w:tcBorders>
              <w:tl2br w:val="nil"/>
              <w:tr2bl w:val="nil"/>
            </w:tcBorders>
            <w:shd w:val="clear" w:color="auto" w:fill="auto"/>
            <w:vAlign w:val="center"/>
          </w:tcPr>
          <w:p w14:paraId="4B28AA16">
            <w:pPr>
              <w:pStyle w:val="16"/>
              <w:bidi w:val="0"/>
              <w:rPr>
                <w:rFonts w:hint="eastAsia"/>
                <w:color w:val="auto"/>
                <w:sz w:val="21"/>
                <w:szCs w:val="21"/>
              </w:rPr>
            </w:pPr>
            <w:r>
              <w:rPr>
                <w:rFonts w:hint="eastAsia"/>
                <w:color w:val="auto"/>
                <w:sz w:val="21"/>
                <w:szCs w:val="21"/>
                <w:lang w:val="en-US" w:eastAsia="zh-CN"/>
              </w:rPr>
              <w:t>80%</w:t>
            </w:r>
          </w:p>
        </w:tc>
        <w:tc>
          <w:tcPr>
            <w:tcW w:w="460" w:type="pct"/>
            <w:tcBorders>
              <w:tl2br w:val="nil"/>
              <w:tr2bl w:val="nil"/>
            </w:tcBorders>
            <w:shd w:val="clear" w:color="auto" w:fill="auto"/>
            <w:vAlign w:val="center"/>
          </w:tcPr>
          <w:p w14:paraId="274CE9EB">
            <w:pPr>
              <w:pStyle w:val="16"/>
              <w:bidi w:val="0"/>
              <w:rPr>
                <w:rFonts w:hint="eastAsia"/>
                <w:color w:val="auto"/>
                <w:sz w:val="21"/>
                <w:szCs w:val="21"/>
              </w:rPr>
            </w:pPr>
            <w:r>
              <w:rPr>
                <w:rFonts w:hint="eastAsia"/>
                <w:color w:val="auto"/>
                <w:sz w:val="21"/>
                <w:szCs w:val="21"/>
                <w:lang w:val="en-US" w:eastAsia="zh-CN"/>
              </w:rPr>
              <w:t>有组织</w:t>
            </w:r>
          </w:p>
        </w:tc>
        <w:tc>
          <w:tcPr>
            <w:tcW w:w="709" w:type="pct"/>
            <w:tcBorders>
              <w:tl2br w:val="nil"/>
              <w:tr2bl w:val="nil"/>
            </w:tcBorders>
            <w:shd w:val="clear" w:color="auto" w:fill="auto"/>
            <w:vAlign w:val="center"/>
          </w:tcPr>
          <w:p w14:paraId="5F6B27A4">
            <w:pPr>
              <w:pStyle w:val="16"/>
              <w:bidi w:val="0"/>
              <w:rPr>
                <w:rFonts w:hint="default"/>
                <w:color w:val="auto"/>
                <w:sz w:val="21"/>
                <w:szCs w:val="21"/>
              </w:rPr>
            </w:pPr>
            <w:r>
              <w:rPr>
                <w:rFonts w:hint="default"/>
                <w:color w:val="auto"/>
                <w:sz w:val="21"/>
                <w:szCs w:val="21"/>
                <w:lang w:val="en-US" w:eastAsia="zh-CN"/>
              </w:rPr>
              <w:t>0.0000114</w:t>
            </w:r>
          </w:p>
        </w:tc>
        <w:tc>
          <w:tcPr>
            <w:tcW w:w="549" w:type="pct"/>
            <w:tcBorders>
              <w:tl2br w:val="nil"/>
              <w:tr2bl w:val="nil"/>
            </w:tcBorders>
            <w:shd w:val="clear" w:color="auto" w:fill="auto"/>
            <w:vAlign w:val="center"/>
          </w:tcPr>
          <w:p w14:paraId="145DD5E7">
            <w:pPr>
              <w:pStyle w:val="16"/>
              <w:bidi w:val="0"/>
              <w:rPr>
                <w:rFonts w:hint="default"/>
                <w:color w:val="auto"/>
                <w:sz w:val="21"/>
                <w:szCs w:val="21"/>
              </w:rPr>
            </w:pPr>
            <w:r>
              <w:rPr>
                <w:rFonts w:hint="default"/>
                <w:color w:val="auto"/>
                <w:sz w:val="21"/>
                <w:szCs w:val="21"/>
                <w:lang w:val="en-US" w:eastAsia="zh-CN"/>
              </w:rPr>
              <w:t xml:space="preserve">0.0001 </w:t>
            </w:r>
          </w:p>
        </w:tc>
        <w:tc>
          <w:tcPr>
            <w:tcW w:w="567" w:type="pct"/>
            <w:tcBorders>
              <w:tl2br w:val="nil"/>
              <w:tr2bl w:val="nil"/>
            </w:tcBorders>
            <w:shd w:val="clear" w:color="auto" w:fill="auto"/>
            <w:vAlign w:val="center"/>
          </w:tcPr>
          <w:p w14:paraId="03E08700">
            <w:pPr>
              <w:pStyle w:val="16"/>
              <w:bidi w:val="0"/>
              <w:rPr>
                <w:rFonts w:hint="default"/>
                <w:color w:val="auto"/>
                <w:sz w:val="21"/>
                <w:szCs w:val="21"/>
              </w:rPr>
            </w:pPr>
            <w:r>
              <w:rPr>
                <w:rFonts w:hint="default"/>
                <w:color w:val="auto"/>
                <w:sz w:val="21"/>
                <w:szCs w:val="21"/>
                <w:lang w:val="en-US" w:eastAsia="zh-CN"/>
              </w:rPr>
              <w:t>/</w:t>
            </w:r>
          </w:p>
        </w:tc>
      </w:tr>
      <w:tr w14:paraId="032EF9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1538040D">
            <w:pPr>
              <w:pStyle w:val="16"/>
              <w:bidi w:val="0"/>
              <w:rPr>
                <w:rFonts w:hint="eastAsia"/>
                <w:color w:val="auto"/>
                <w:sz w:val="21"/>
                <w:szCs w:val="21"/>
              </w:rPr>
            </w:pPr>
          </w:p>
        </w:tc>
        <w:tc>
          <w:tcPr>
            <w:tcW w:w="650" w:type="pct"/>
            <w:vMerge w:val="continue"/>
            <w:tcBorders>
              <w:tl2br w:val="nil"/>
              <w:tr2bl w:val="nil"/>
            </w:tcBorders>
            <w:shd w:val="clear" w:color="auto" w:fill="auto"/>
            <w:vAlign w:val="center"/>
          </w:tcPr>
          <w:p w14:paraId="338F5B25">
            <w:pPr>
              <w:pStyle w:val="16"/>
              <w:bidi w:val="0"/>
              <w:rPr>
                <w:rFonts w:hint="default"/>
                <w:color w:val="auto"/>
                <w:sz w:val="21"/>
                <w:szCs w:val="21"/>
              </w:rPr>
            </w:pPr>
          </w:p>
        </w:tc>
        <w:tc>
          <w:tcPr>
            <w:tcW w:w="484" w:type="pct"/>
            <w:vMerge w:val="continue"/>
            <w:tcBorders>
              <w:tl2br w:val="nil"/>
              <w:tr2bl w:val="nil"/>
            </w:tcBorders>
            <w:shd w:val="clear" w:color="auto" w:fill="auto"/>
            <w:vAlign w:val="center"/>
          </w:tcPr>
          <w:p w14:paraId="460957CC">
            <w:pPr>
              <w:pStyle w:val="16"/>
              <w:bidi w:val="0"/>
              <w:rPr>
                <w:rFonts w:hint="default"/>
                <w:color w:val="auto"/>
                <w:sz w:val="21"/>
                <w:szCs w:val="21"/>
              </w:rPr>
            </w:pPr>
          </w:p>
        </w:tc>
        <w:tc>
          <w:tcPr>
            <w:tcW w:w="375" w:type="pct"/>
            <w:vMerge w:val="continue"/>
            <w:tcBorders>
              <w:tl2br w:val="nil"/>
              <w:tr2bl w:val="nil"/>
            </w:tcBorders>
            <w:shd w:val="clear" w:color="auto" w:fill="auto"/>
            <w:vAlign w:val="center"/>
          </w:tcPr>
          <w:p w14:paraId="2790C33E">
            <w:pPr>
              <w:pStyle w:val="16"/>
              <w:bidi w:val="0"/>
              <w:rPr>
                <w:rFonts w:hint="eastAsia"/>
                <w:color w:val="auto"/>
                <w:sz w:val="21"/>
                <w:szCs w:val="21"/>
              </w:rPr>
            </w:pPr>
          </w:p>
        </w:tc>
        <w:tc>
          <w:tcPr>
            <w:tcW w:w="418" w:type="pct"/>
            <w:tcBorders>
              <w:tl2br w:val="nil"/>
              <w:tr2bl w:val="nil"/>
            </w:tcBorders>
            <w:shd w:val="clear" w:color="auto" w:fill="auto"/>
            <w:vAlign w:val="center"/>
          </w:tcPr>
          <w:p w14:paraId="1D51F9B8">
            <w:pPr>
              <w:pStyle w:val="16"/>
              <w:bidi w:val="0"/>
              <w:rPr>
                <w:rFonts w:hint="eastAsia"/>
                <w:color w:val="auto"/>
                <w:sz w:val="21"/>
                <w:szCs w:val="21"/>
              </w:rPr>
            </w:pPr>
            <w:r>
              <w:rPr>
                <w:rFonts w:hint="eastAsia"/>
                <w:color w:val="auto"/>
                <w:sz w:val="21"/>
                <w:szCs w:val="21"/>
                <w:lang w:val="en-US" w:eastAsia="zh-CN"/>
              </w:rPr>
              <w:t>95%</w:t>
            </w:r>
          </w:p>
        </w:tc>
        <w:tc>
          <w:tcPr>
            <w:tcW w:w="460" w:type="pct"/>
            <w:tcBorders>
              <w:tl2br w:val="nil"/>
              <w:tr2bl w:val="nil"/>
            </w:tcBorders>
            <w:shd w:val="clear" w:color="auto" w:fill="auto"/>
            <w:vAlign w:val="center"/>
          </w:tcPr>
          <w:p w14:paraId="3EC8E98E">
            <w:pPr>
              <w:pStyle w:val="16"/>
              <w:bidi w:val="0"/>
              <w:rPr>
                <w:rFonts w:hint="eastAsia"/>
                <w:color w:val="auto"/>
                <w:sz w:val="21"/>
                <w:szCs w:val="21"/>
              </w:rPr>
            </w:pPr>
            <w:r>
              <w:rPr>
                <w:rFonts w:hint="eastAsia"/>
                <w:color w:val="auto"/>
                <w:sz w:val="21"/>
                <w:szCs w:val="21"/>
                <w:lang w:val="en-US" w:eastAsia="zh-CN"/>
              </w:rPr>
              <w:t>无组织</w:t>
            </w:r>
          </w:p>
        </w:tc>
        <w:tc>
          <w:tcPr>
            <w:tcW w:w="709" w:type="pct"/>
            <w:tcBorders>
              <w:tl2br w:val="nil"/>
              <w:tr2bl w:val="nil"/>
            </w:tcBorders>
            <w:shd w:val="clear" w:color="auto" w:fill="auto"/>
            <w:vAlign w:val="center"/>
          </w:tcPr>
          <w:p w14:paraId="578F1940">
            <w:pPr>
              <w:pStyle w:val="16"/>
              <w:bidi w:val="0"/>
              <w:rPr>
                <w:rFonts w:hint="default"/>
                <w:color w:val="auto"/>
                <w:sz w:val="21"/>
                <w:szCs w:val="21"/>
              </w:rPr>
            </w:pPr>
            <w:r>
              <w:rPr>
                <w:rFonts w:hint="default"/>
                <w:color w:val="auto"/>
                <w:sz w:val="21"/>
                <w:szCs w:val="21"/>
                <w:lang w:val="en-US" w:eastAsia="zh-CN"/>
              </w:rPr>
              <w:t>0.000003</w:t>
            </w:r>
          </w:p>
        </w:tc>
        <w:tc>
          <w:tcPr>
            <w:tcW w:w="549" w:type="pct"/>
            <w:tcBorders>
              <w:tl2br w:val="nil"/>
              <w:tr2bl w:val="nil"/>
            </w:tcBorders>
            <w:shd w:val="clear" w:color="auto" w:fill="auto"/>
            <w:vAlign w:val="center"/>
          </w:tcPr>
          <w:p w14:paraId="52BDA806">
            <w:pPr>
              <w:pStyle w:val="16"/>
              <w:bidi w:val="0"/>
              <w:rPr>
                <w:rFonts w:hint="default"/>
                <w:color w:val="auto"/>
                <w:sz w:val="21"/>
                <w:szCs w:val="21"/>
              </w:rPr>
            </w:pPr>
            <w:r>
              <w:rPr>
                <w:rFonts w:hint="default"/>
                <w:color w:val="auto"/>
                <w:sz w:val="21"/>
                <w:szCs w:val="21"/>
                <w:lang w:val="en-US" w:eastAsia="zh-CN"/>
              </w:rPr>
              <w:t xml:space="preserve">0.0000 </w:t>
            </w:r>
          </w:p>
        </w:tc>
        <w:tc>
          <w:tcPr>
            <w:tcW w:w="567" w:type="pct"/>
            <w:tcBorders>
              <w:tl2br w:val="nil"/>
              <w:tr2bl w:val="nil"/>
            </w:tcBorders>
            <w:shd w:val="clear" w:color="auto" w:fill="auto"/>
            <w:vAlign w:val="center"/>
          </w:tcPr>
          <w:p w14:paraId="64ECEFEB">
            <w:pPr>
              <w:pStyle w:val="16"/>
              <w:bidi w:val="0"/>
              <w:rPr>
                <w:rFonts w:hint="default"/>
                <w:color w:val="auto"/>
                <w:sz w:val="21"/>
                <w:szCs w:val="21"/>
              </w:rPr>
            </w:pPr>
            <w:r>
              <w:rPr>
                <w:rFonts w:hint="default"/>
                <w:color w:val="auto"/>
                <w:sz w:val="21"/>
                <w:szCs w:val="21"/>
                <w:lang w:val="en-US" w:eastAsia="zh-CN"/>
              </w:rPr>
              <w:t>/</w:t>
            </w:r>
          </w:p>
        </w:tc>
      </w:tr>
      <w:tr w14:paraId="672C8A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restart"/>
            <w:tcBorders>
              <w:tl2br w:val="nil"/>
              <w:tr2bl w:val="nil"/>
            </w:tcBorders>
            <w:shd w:val="clear" w:color="auto" w:fill="auto"/>
            <w:noWrap/>
            <w:vAlign w:val="center"/>
          </w:tcPr>
          <w:p w14:paraId="01704388">
            <w:pPr>
              <w:pStyle w:val="16"/>
              <w:bidi w:val="0"/>
              <w:rPr>
                <w:rFonts w:hint="eastAsia"/>
                <w:color w:val="auto"/>
                <w:sz w:val="21"/>
                <w:szCs w:val="21"/>
              </w:rPr>
            </w:pPr>
            <w:r>
              <w:rPr>
                <w:rFonts w:hint="eastAsia"/>
                <w:color w:val="auto"/>
                <w:sz w:val="21"/>
                <w:szCs w:val="21"/>
                <w:lang w:val="en-US" w:eastAsia="zh-CN"/>
              </w:rPr>
              <w:t>污泥池</w:t>
            </w:r>
          </w:p>
        </w:tc>
        <w:tc>
          <w:tcPr>
            <w:tcW w:w="650" w:type="pct"/>
            <w:vMerge w:val="restart"/>
            <w:tcBorders>
              <w:tl2br w:val="nil"/>
              <w:tr2bl w:val="nil"/>
            </w:tcBorders>
            <w:shd w:val="clear" w:color="auto" w:fill="auto"/>
            <w:vAlign w:val="center"/>
          </w:tcPr>
          <w:p w14:paraId="2FFF9C62">
            <w:pPr>
              <w:pStyle w:val="16"/>
              <w:bidi w:val="0"/>
              <w:ind w:left="0" w:leftChars="0" w:firstLine="0" w:firstLineChars="0"/>
              <w:rPr>
                <w:rFonts w:hint="default"/>
                <w:color w:val="auto"/>
                <w:sz w:val="21"/>
                <w:szCs w:val="21"/>
              </w:rPr>
            </w:pPr>
            <w:r>
              <w:rPr>
                <w:rFonts w:hint="default"/>
                <w:color w:val="auto"/>
                <w:sz w:val="21"/>
                <w:szCs w:val="21"/>
                <w:lang w:val="en-US" w:eastAsia="zh-CN"/>
              </w:rPr>
              <w:t>NH</w:t>
            </w:r>
            <w:r>
              <w:rPr>
                <w:rFonts w:hint="default"/>
                <w:color w:val="auto"/>
                <w:sz w:val="21"/>
                <w:szCs w:val="21"/>
                <w:vertAlign w:val="subscript"/>
                <w:lang w:val="en-US" w:eastAsia="zh-CN"/>
              </w:rPr>
              <w:t>3</w:t>
            </w:r>
          </w:p>
        </w:tc>
        <w:tc>
          <w:tcPr>
            <w:tcW w:w="484" w:type="pct"/>
            <w:vMerge w:val="restart"/>
            <w:tcBorders>
              <w:tl2br w:val="nil"/>
              <w:tr2bl w:val="nil"/>
            </w:tcBorders>
            <w:shd w:val="clear" w:color="auto" w:fill="auto"/>
            <w:noWrap/>
            <w:vAlign w:val="center"/>
          </w:tcPr>
          <w:p w14:paraId="292CABB7">
            <w:pPr>
              <w:pStyle w:val="16"/>
              <w:bidi w:val="0"/>
              <w:rPr>
                <w:rFonts w:hint="eastAsia"/>
                <w:color w:val="auto"/>
                <w:sz w:val="21"/>
                <w:szCs w:val="21"/>
              </w:rPr>
            </w:pPr>
            <w:r>
              <w:rPr>
                <w:rFonts w:hint="eastAsia"/>
                <w:color w:val="auto"/>
                <w:sz w:val="21"/>
                <w:szCs w:val="21"/>
                <w:lang w:val="en-US" w:eastAsia="zh-CN"/>
              </w:rPr>
              <w:t>0.0127</w:t>
            </w:r>
          </w:p>
        </w:tc>
        <w:tc>
          <w:tcPr>
            <w:tcW w:w="375" w:type="pct"/>
            <w:vMerge w:val="restart"/>
            <w:tcBorders>
              <w:tl2br w:val="nil"/>
              <w:tr2bl w:val="nil"/>
            </w:tcBorders>
            <w:shd w:val="clear" w:color="auto" w:fill="auto"/>
            <w:vAlign w:val="center"/>
          </w:tcPr>
          <w:p w14:paraId="7B74C162">
            <w:pPr>
              <w:pStyle w:val="16"/>
              <w:bidi w:val="0"/>
              <w:rPr>
                <w:rFonts w:hint="eastAsia"/>
                <w:color w:val="auto"/>
                <w:sz w:val="21"/>
                <w:szCs w:val="21"/>
              </w:rPr>
            </w:pPr>
            <w:r>
              <w:rPr>
                <w:rFonts w:hint="eastAsia"/>
                <w:color w:val="auto"/>
                <w:sz w:val="21"/>
                <w:szCs w:val="21"/>
                <w:lang w:val="en-US" w:eastAsia="zh-CN"/>
              </w:rPr>
              <w:t>95%</w:t>
            </w:r>
          </w:p>
        </w:tc>
        <w:tc>
          <w:tcPr>
            <w:tcW w:w="418" w:type="pct"/>
            <w:tcBorders>
              <w:tl2br w:val="nil"/>
              <w:tr2bl w:val="nil"/>
            </w:tcBorders>
            <w:shd w:val="clear" w:color="auto" w:fill="auto"/>
            <w:vAlign w:val="center"/>
          </w:tcPr>
          <w:p w14:paraId="36DD27BB">
            <w:pPr>
              <w:pStyle w:val="16"/>
              <w:bidi w:val="0"/>
              <w:rPr>
                <w:rFonts w:hint="eastAsia"/>
                <w:color w:val="auto"/>
                <w:sz w:val="21"/>
                <w:szCs w:val="21"/>
              </w:rPr>
            </w:pPr>
            <w:r>
              <w:rPr>
                <w:rFonts w:hint="eastAsia"/>
                <w:color w:val="auto"/>
                <w:sz w:val="21"/>
                <w:szCs w:val="21"/>
                <w:lang w:val="en-US" w:eastAsia="zh-CN"/>
              </w:rPr>
              <w:t>80%</w:t>
            </w:r>
          </w:p>
        </w:tc>
        <w:tc>
          <w:tcPr>
            <w:tcW w:w="460" w:type="pct"/>
            <w:tcBorders>
              <w:tl2br w:val="nil"/>
              <w:tr2bl w:val="nil"/>
            </w:tcBorders>
            <w:shd w:val="clear" w:color="auto" w:fill="auto"/>
            <w:vAlign w:val="center"/>
          </w:tcPr>
          <w:p w14:paraId="23254A43">
            <w:pPr>
              <w:pStyle w:val="16"/>
              <w:bidi w:val="0"/>
              <w:rPr>
                <w:rFonts w:hint="eastAsia"/>
                <w:color w:val="auto"/>
                <w:sz w:val="21"/>
                <w:szCs w:val="21"/>
              </w:rPr>
            </w:pPr>
            <w:r>
              <w:rPr>
                <w:rFonts w:hint="eastAsia"/>
                <w:color w:val="auto"/>
                <w:sz w:val="21"/>
                <w:szCs w:val="21"/>
                <w:lang w:val="en-US" w:eastAsia="zh-CN"/>
              </w:rPr>
              <w:t>有组织</w:t>
            </w:r>
          </w:p>
        </w:tc>
        <w:tc>
          <w:tcPr>
            <w:tcW w:w="709" w:type="pct"/>
            <w:tcBorders>
              <w:tl2br w:val="nil"/>
              <w:tr2bl w:val="nil"/>
            </w:tcBorders>
            <w:shd w:val="clear" w:color="auto" w:fill="auto"/>
            <w:vAlign w:val="center"/>
          </w:tcPr>
          <w:p w14:paraId="3AA5A081">
            <w:pPr>
              <w:pStyle w:val="16"/>
              <w:bidi w:val="0"/>
              <w:rPr>
                <w:rFonts w:hint="default"/>
                <w:color w:val="auto"/>
                <w:sz w:val="21"/>
                <w:szCs w:val="21"/>
              </w:rPr>
            </w:pPr>
            <w:r>
              <w:rPr>
                <w:rFonts w:hint="default"/>
                <w:color w:val="auto"/>
                <w:sz w:val="21"/>
                <w:szCs w:val="21"/>
                <w:lang w:val="en-US" w:eastAsia="zh-CN"/>
              </w:rPr>
              <w:t>0.002413</w:t>
            </w:r>
          </w:p>
        </w:tc>
        <w:tc>
          <w:tcPr>
            <w:tcW w:w="549" w:type="pct"/>
            <w:tcBorders>
              <w:tl2br w:val="nil"/>
              <w:tr2bl w:val="nil"/>
            </w:tcBorders>
            <w:shd w:val="clear" w:color="auto" w:fill="auto"/>
            <w:vAlign w:val="center"/>
          </w:tcPr>
          <w:p w14:paraId="09AF5717">
            <w:pPr>
              <w:pStyle w:val="16"/>
              <w:bidi w:val="0"/>
              <w:rPr>
                <w:rFonts w:hint="default"/>
                <w:color w:val="auto"/>
                <w:sz w:val="21"/>
                <w:szCs w:val="21"/>
              </w:rPr>
            </w:pPr>
            <w:r>
              <w:rPr>
                <w:rFonts w:hint="default"/>
                <w:color w:val="auto"/>
                <w:sz w:val="21"/>
                <w:szCs w:val="21"/>
                <w:lang w:val="en-US" w:eastAsia="zh-CN"/>
              </w:rPr>
              <w:t xml:space="preserve">0.0211 </w:t>
            </w:r>
          </w:p>
        </w:tc>
        <w:tc>
          <w:tcPr>
            <w:tcW w:w="567" w:type="pct"/>
            <w:tcBorders>
              <w:tl2br w:val="nil"/>
              <w:tr2bl w:val="nil"/>
            </w:tcBorders>
            <w:shd w:val="clear" w:color="auto" w:fill="auto"/>
            <w:vAlign w:val="center"/>
          </w:tcPr>
          <w:p w14:paraId="2AD956D3">
            <w:pPr>
              <w:pStyle w:val="16"/>
              <w:bidi w:val="0"/>
              <w:rPr>
                <w:rFonts w:hint="default"/>
                <w:color w:val="auto"/>
                <w:sz w:val="21"/>
                <w:szCs w:val="21"/>
              </w:rPr>
            </w:pPr>
            <w:r>
              <w:rPr>
                <w:rFonts w:hint="default"/>
                <w:color w:val="auto"/>
                <w:sz w:val="21"/>
                <w:szCs w:val="21"/>
                <w:lang w:val="en-US" w:eastAsia="zh-CN"/>
              </w:rPr>
              <w:t>/</w:t>
            </w:r>
          </w:p>
        </w:tc>
      </w:tr>
      <w:tr w14:paraId="1EB963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655242E4">
            <w:pPr>
              <w:pStyle w:val="16"/>
              <w:bidi w:val="0"/>
              <w:rPr>
                <w:rFonts w:hint="eastAsia"/>
                <w:color w:val="auto"/>
                <w:sz w:val="21"/>
                <w:szCs w:val="21"/>
              </w:rPr>
            </w:pPr>
          </w:p>
        </w:tc>
        <w:tc>
          <w:tcPr>
            <w:tcW w:w="650" w:type="pct"/>
            <w:vMerge w:val="continue"/>
            <w:tcBorders>
              <w:tl2br w:val="nil"/>
              <w:tr2bl w:val="nil"/>
            </w:tcBorders>
            <w:shd w:val="clear" w:color="auto" w:fill="auto"/>
            <w:vAlign w:val="center"/>
          </w:tcPr>
          <w:p w14:paraId="30BB4E0B">
            <w:pPr>
              <w:pStyle w:val="16"/>
              <w:bidi w:val="0"/>
              <w:rPr>
                <w:rFonts w:hint="default"/>
                <w:color w:val="auto"/>
                <w:sz w:val="21"/>
                <w:szCs w:val="21"/>
              </w:rPr>
            </w:pPr>
          </w:p>
        </w:tc>
        <w:tc>
          <w:tcPr>
            <w:tcW w:w="484" w:type="pct"/>
            <w:vMerge w:val="continue"/>
            <w:tcBorders>
              <w:tl2br w:val="nil"/>
              <w:tr2bl w:val="nil"/>
            </w:tcBorders>
            <w:shd w:val="clear" w:color="auto" w:fill="auto"/>
            <w:noWrap/>
            <w:vAlign w:val="center"/>
          </w:tcPr>
          <w:p w14:paraId="7C1E2A77">
            <w:pPr>
              <w:pStyle w:val="16"/>
              <w:bidi w:val="0"/>
              <w:rPr>
                <w:rFonts w:hint="eastAsia"/>
                <w:color w:val="auto"/>
                <w:sz w:val="21"/>
                <w:szCs w:val="21"/>
              </w:rPr>
            </w:pPr>
          </w:p>
        </w:tc>
        <w:tc>
          <w:tcPr>
            <w:tcW w:w="375" w:type="pct"/>
            <w:vMerge w:val="continue"/>
            <w:tcBorders>
              <w:tl2br w:val="nil"/>
              <w:tr2bl w:val="nil"/>
            </w:tcBorders>
            <w:shd w:val="clear" w:color="auto" w:fill="auto"/>
            <w:vAlign w:val="center"/>
          </w:tcPr>
          <w:p w14:paraId="14D3D99E">
            <w:pPr>
              <w:pStyle w:val="16"/>
              <w:bidi w:val="0"/>
              <w:rPr>
                <w:rFonts w:hint="eastAsia"/>
                <w:color w:val="auto"/>
                <w:sz w:val="21"/>
                <w:szCs w:val="21"/>
              </w:rPr>
            </w:pPr>
          </w:p>
        </w:tc>
        <w:tc>
          <w:tcPr>
            <w:tcW w:w="418" w:type="pct"/>
            <w:tcBorders>
              <w:tl2br w:val="nil"/>
              <w:tr2bl w:val="nil"/>
            </w:tcBorders>
            <w:shd w:val="clear" w:color="auto" w:fill="auto"/>
            <w:vAlign w:val="center"/>
          </w:tcPr>
          <w:p w14:paraId="02D9F370">
            <w:pPr>
              <w:pStyle w:val="16"/>
              <w:bidi w:val="0"/>
              <w:rPr>
                <w:rFonts w:hint="eastAsia"/>
                <w:color w:val="auto"/>
                <w:sz w:val="21"/>
                <w:szCs w:val="21"/>
              </w:rPr>
            </w:pPr>
            <w:r>
              <w:rPr>
                <w:rFonts w:hint="eastAsia"/>
                <w:color w:val="auto"/>
                <w:sz w:val="21"/>
                <w:szCs w:val="21"/>
                <w:lang w:val="en-US" w:eastAsia="zh-CN"/>
              </w:rPr>
              <w:t>95%</w:t>
            </w:r>
          </w:p>
        </w:tc>
        <w:tc>
          <w:tcPr>
            <w:tcW w:w="460" w:type="pct"/>
            <w:tcBorders>
              <w:tl2br w:val="nil"/>
              <w:tr2bl w:val="nil"/>
            </w:tcBorders>
            <w:shd w:val="clear" w:color="auto" w:fill="auto"/>
            <w:vAlign w:val="center"/>
          </w:tcPr>
          <w:p w14:paraId="6C9F3866">
            <w:pPr>
              <w:pStyle w:val="16"/>
              <w:bidi w:val="0"/>
              <w:rPr>
                <w:rFonts w:hint="eastAsia"/>
                <w:color w:val="auto"/>
                <w:sz w:val="21"/>
                <w:szCs w:val="21"/>
              </w:rPr>
            </w:pPr>
            <w:r>
              <w:rPr>
                <w:rFonts w:hint="eastAsia"/>
                <w:color w:val="auto"/>
                <w:sz w:val="21"/>
                <w:szCs w:val="21"/>
                <w:lang w:val="en-US" w:eastAsia="zh-CN"/>
              </w:rPr>
              <w:t>无组织</w:t>
            </w:r>
          </w:p>
        </w:tc>
        <w:tc>
          <w:tcPr>
            <w:tcW w:w="709" w:type="pct"/>
            <w:tcBorders>
              <w:tl2br w:val="nil"/>
              <w:tr2bl w:val="nil"/>
            </w:tcBorders>
            <w:shd w:val="clear" w:color="auto" w:fill="auto"/>
            <w:vAlign w:val="center"/>
          </w:tcPr>
          <w:p w14:paraId="657B1A93">
            <w:pPr>
              <w:pStyle w:val="16"/>
              <w:bidi w:val="0"/>
              <w:rPr>
                <w:rFonts w:hint="default"/>
                <w:color w:val="auto"/>
                <w:sz w:val="21"/>
                <w:szCs w:val="21"/>
              </w:rPr>
            </w:pPr>
            <w:r>
              <w:rPr>
                <w:rFonts w:hint="eastAsia"/>
                <w:color w:val="auto"/>
                <w:sz w:val="21"/>
                <w:szCs w:val="21"/>
                <w:lang w:val="en-US" w:eastAsia="zh-CN"/>
              </w:rPr>
              <w:t>0.0041</w:t>
            </w:r>
            <w:r>
              <w:rPr>
                <w:rFonts w:hint="default"/>
                <w:color w:val="auto"/>
                <w:sz w:val="21"/>
                <w:szCs w:val="21"/>
                <w:lang w:val="en-US" w:eastAsia="zh-CN"/>
              </w:rPr>
              <w:t>5</w:t>
            </w:r>
          </w:p>
        </w:tc>
        <w:tc>
          <w:tcPr>
            <w:tcW w:w="549" w:type="pct"/>
            <w:tcBorders>
              <w:tl2br w:val="nil"/>
              <w:tr2bl w:val="nil"/>
            </w:tcBorders>
            <w:shd w:val="clear" w:color="auto" w:fill="auto"/>
            <w:vAlign w:val="center"/>
          </w:tcPr>
          <w:p w14:paraId="15690F0F">
            <w:pPr>
              <w:pStyle w:val="16"/>
              <w:bidi w:val="0"/>
              <w:rPr>
                <w:rFonts w:hint="default"/>
                <w:color w:val="auto"/>
                <w:sz w:val="21"/>
                <w:szCs w:val="21"/>
              </w:rPr>
            </w:pPr>
            <w:r>
              <w:rPr>
                <w:rFonts w:hint="default"/>
                <w:color w:val="auto"/>
                <w:sz w:val="21"/>
                <w:szCs w:val="21"/>
                <w:lang w:val="en-US" w:eastAsia="zh-CN"/>
              </w:rPr>
              <w:t xml:space="preserve">0.0056 </w:t>
            </w:r>
          </w:p>
        </w:tc>
        <w:tc>
          <w:tcPr>
            <w:tcW w:w="567" w:type="pct"/>
            <w:tcBorders>
              <w:tl2br w:val="nil"/>
              <w:tr2bl w:val="nil"/>
            </w:tcBorders>
            <w:shd w:val="clear" w:color="auto" w:fill="auto"/>
            <w:vAlign w:val="center"/>
          </w:tcPr>
          <w:p w14:paraId="7AF01175">
            <w:pPr>
              <w:pStyle w:val="16"/>
              <w:bidi w:val="0"/>
              <w:rPr>
                <w:rFonts w:hint="default"/>
                <w:color w:val="auto"/>
                <w:sz w:val="21"/>
                <w:szCs w:val="21"/>
              </w:rPr>
            </w:pPr>
            <w:r>
              <w:rPr>
                <w:rFonts w:hint="default"/>
                <w:color w:val="auto"/>
                <w:sz w:val="21"/>
                <w:szCs w:val="21"/>
                <w:lang w:val="en-US" w:eastAsia="zh-CN"/>
              </w:rPr>
              <w:t>/</w:t>
            </w:r>
          </w:p>
        </w:tc>
      </w:tr>
      <w:tr w14:paraId="4C06C2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440B86CC">
            <w:pPr>
              <w:pStyle w:val="16"/>
              <w:bidi w:val="0"/>
              <w:rPr>
                <w:rFonts w:hint="eastAsia"/>
                <w:color w:val="auto"/>
                <w:sz w:val="21"/>
                <w:szCs w:val="21"/>
              </w:rPr>
            </w:pPr>
          </w:p>
        </w:tc>
        <w:tc>
          <w:tcPr>
            <w:tcW w:w="650" w:type="pct"/>
            <w:vMerge w:val="restart"/>
            <w:tcBorders>
              <w:tl2br w:val="nil"/>
              <w:tr2bl w:val="nil"/>
            </w:tcBorders>
            <w:shd w:val="clear" w:color="auto" w:fill="auto"/>
            <w:vAlign w:val="center"/>
          </w:tcPr>
          <w:p w14:paraId="5AA1E3AF">
            <w:pPr>
              <w:pStyle w:val="16"/>
              <w:bidi w:val="0"/>
              <w:ind w:left="0" w:leftChars="0" w:firstLine="0" w:firstLineChars="0"/>
              <w:rPr>
                <w:rFonts w:hint="default"/>
                <w:color w:val="auto"/>
                <w:sz w:val="21"/>
                <w:szCs w:val="21"/>
              </w:rPr>
            </w:pPr>
            <w:r>
              <w:rPr>
                <w:rFonts w:hint="default"/>
                <w:color w:val="auto"/>
                <w:sz w:val="21"/>
                <w:szCs w:val="21"/>
                <w:lang w:val="en-US" w:eastAsia="zh-CN"/>
              </w:rPr>
              <w:t>H</w:t>
            </w:r>
            <w:r>
              <w:rPr>
                <w:rFonts w:hint="default"/>
                <w:color w:val="auto"/>
                <w:sz w:val="21"/>
                <w:szCs w:val="21"/>
                <w:vertAlign w:val="subscript"/>
                <w:lang w:val="en-US" w:eastAsia="zh-CN"/>
              </w:rPr>
              <w:t>2</w:t>
            </w:r>
            <w:r>
              <w:rPr>
                <w:rFonts w:hint="default"/>
                <w:color w:val="auto"/>
                <w:sz w:val="21"/>
                <w:szCs w:val="21"/>
                <w:lang w:val="en-US" w:eastAsia="zh-CN"/>
              </w:rPr>
              <w:t>S</w:t>
            </w:r>
          </w:p>
        </w:tc>
        <w:tc>
          <w:tcPr>
            <w:tcW w:w="484" w:type="pct"/>
            <w:vMerge w:val="restart"/>
            <w:tcBorders>
              <w:tl2br w:val="nil"/>
              <w:tr2bl w:val="nil"/>
            </w:tcBorders>
            <w:shd w:val="clear" w:color="auto" w:fill="auto"/>
            <w:noWrap/>
            <w:vAlign w:val="center"/>
          </w:tcPr>
          <w:p w14:paraId="79217D62">
            <w:pPr>
              <w:pStyle w:val="16"/>
              <w:bidi w:val="0"/>
              <w:rPr>
                <w:rFonts w:hint="eastAsia"/>
                <w:color w:val="auto"/>
                <w:sz w:val="21"/>
                <w:szCs w:val="21"/>
              </w:rPr>
            </w:pPr>
            <w:r>
              <w:rPr>
                <w:rFonts w:hint="eastAsia"/>
                <w:color w:val="auto"/>
                <w:sz w:val="21"/>
                <w:szCs w:val="21"/>
                <w:lang w:val="en-US" w:eastAsia="zh-CN"/>
              </w:rPr>
              <w:t>0.00036</w:t>
            </w:r>
          </w:p>
        </w:tc>
        <w:tc>
          <w:tcPr>
            <w:tcW w:w="375" w:type="pct"/>
            <w:vMerge w:val="restart"/>
            <w:tcBorders>
              <w:tl2br w:val="nil"/>
              <w:tr2bl w:val="nil"/>
            </w:tcBorders>
            <w:shd w:val="clear" w:color="auto" w:fill="auto"/>
            <w:vAlign w:val="center"/>
          </w:tcPr>
          <w:p w14:paraId="740ED3D3">
            <w:pPr>
              <w:pStyle w:val="16"/>
              <w:bidi w:val="0"/>
              <w:rPr>
                <w:rFonts w:hint="eastAsia"/>
                <w:color w:val="auto"/>
                <w:sz w:val="21"/>
                <w:szCs w:val="21"/>
              </w:rPr>
            </w:pPr>
            <w:r>
              <w:rPr>
                <w:rFonts w:hint="eastAsia"/>
                <w:color w:val="auto"/>
                <w:sz w:val="21"/>
                <w:szCs w:val="21"/>
                <w:lang w:val="en-US" w:eastAsia="zh-CN"/>
              </w:rPr>
              <w:t>95%</w:t>
            </w:r>
          </w:p>
        </w:tc>
        <w:tc>
          <w:tcPr>
            <w:tcW w:w="418" w:type="pct"/>
            <w:tcBorders>
              <w:tl2br w:val="nil"/>
              <w:tr2bl w:val="nil"/>
            </w:tcBorders>
            <w:shd w:val="clear" w:color="auto" w:fill="auto"/>
            <w:vAlign w:val="center"/>
          </w:tcPr>
          <w:p w14:paraId="72C4463B">
            <w:pPr>
              <w:pStyle w:val="16"/>
              <w:bidi w:val="0"/>
              <w:rPr>
                <w:rFonts w:hint="eastAsia"/>
                <w:color w:val="auto"/>
                <w:sz w:val="21"/>
                <w:szCs w:val="21"/>
              </w:rPr>
            </w:pPr>
            <w:r>
              <w:rPr>
                <w:rFonts w:hint="eastAsia"/>
                <w:color w:val="auto"/>
                <w:sz w:val="21"/>
                <w:szCs w:val="21"/>
                <w:lang w:val="en-US" w:eastAsia="zh-CN"/>
              </w:rPr>
              <w:t>80%</w:t>
            </w:r>
          </w:p>
        </w:tc>
        <w:tc>
          <w:tcPr>
            <w:tcW w:w="460" w:type="pct"/>
            <w:tcBorders>
              <w:tl2br w:val="nil"/>
              <w:tr2bl w:val="nil"/>
            </w:tcBorders>
            <w:shd w:val="clear" w:color="auto" w:fill="auto"/>
            <w:vAlign w:val="center"/>
          </w:tcPr>
          <w:p w14:paraId="5C1ADB26">
            <w:pPr>
              <w:pStyle w:val="16"/>
              <w:bidi w:val="0"/>
              <w:rPr>
                <w:rFonts w:hint="eastAsia"/>
                <w:color w:val="auto"/>
                <w:sz w:val="21"/>
                <w:szCs w:val="21"/>
              </w:rPr>
            </w:pPr>
            <w:r>
              <w:rPr>
                <w:rFonts w:hint="eastAsia"/>
                <w:color w:val="auto"/>
                <w:sz w:val="21"/>
                <w:szCs w:val="21"/>
                <w:lang w:val="en-US" w:eastAsia="zh-CN"/>
              </w:rPr>
              <w:t>有组织</w:t>
            </w:r>
          </w:p>
        </w:tc>
        <w:tc>
          <w:tcPr>
            <w:tcW w:w="709" w:type="pct"/>
            <w:tcBorders>
              <w:tl2br w:val="nil"/>
              <w:tr2bl w:val="nil"/>
            </w:tcBorders>
            <w:shd w:val="clear" w:color="auto" w:fill="auto"/>
            <w:vAlign w:val="center"/>
          </w:tcPr>
          <w:p w14:paraId="05CD7CCF">
            <w:pPr>
              <w:pStyle w:val="16"/>
              <w:bidi w:val="0"/>
              <w:rPr>
                <w:rFonts w:hint="default"/>
                <w:color w:val="auto"/>
                <w:sz w:val="21"/>
                <w:szCs w:val="21"/>
              </w:rPr>
            </w:pPr>
            <w:r>
              <w:rPr>
                <w:rFonts w:hint="default"/>
                <w:color w:val="auto"/>
                <w:sz w:val="21"/>
                <w:szCs w:val="21"/>
                <w:lang w:val="en-US" w:eastAsia="zh-CN"/>
              </w:rPr>
              <w:t>0.0000684</w:t>
            </w:r>
          </w:p>
        </w:tc>
        <w:tc>
          <w:tcPr>
            <w:tcW w:w="549" w:type="pct"/>
            <w:tcBorders>
              <w:tl2br w:val="nil"/>
              <w:tr2bl w:val="nil"/>
            </w:tcBorders>
            <w:shd w:val="clear" w:color="auto" w:fill="auto"/>
            <w:vAlign w:val="center"/>
          </w:tcPr>
          <w:p w14:paraId="74BF98CE">
            <w:pPr>
              <w:pStyle w:val="16"/>
              <w:bidi w:val="0"/>
              <w:rPr>
                <w:rFonts w:hint="default"/>
                <w:color w:val="auto"/>
                <w:sz w:val="21"/>
                <w:szCs w:val="21"/>
              </w:rPr>
            </w:pPr>
            <w:r>
              <w:rPr>
                <w:rFonts w:hint="default"/>
                <w:color w:val="auto"/>
                <w:sz w:val="21"/>
                <w:szCs w:val="21"/>
                <w:lang w:val="en-US" w:eastAsia="zh-CN"/>
              </w:rPr>
              <w:t xml:space="preserve">0.0006 </w:t>
            </w:r>
          </w:p>
        </w:tc>
        <w:tc>
          <w:tcPr>
            <w:tcW w:w="567" w:type="pct"/>
            <w:tcBorders>
              <w:tl2br w:val="nil"/>
              <w:tr2bl w:val="nil"/>
            </w:tcBorders>
            <w:shd w:val="clear" w:color="auto" w:fill="auto"/>
            <w:vAlign w:val="center"/>
          </w:tcPr>
          <w:p w14:paraId="21BB4C22">
            <w:pPr>
              <w:pStyle w:val="16"/>
              <w:bidi w:val="0"/>
              <w:rPr>
                <w:rFonts w:hint="default"/>
                <w:color w:val="auto"/>
                <w:sz w:val="21"/>
                <w:szCs w:val="21"/>
              </w:rPr>
            </w:pPr>
            <w:r>
              <w:rPr>
                <w:rFonts w:hint="default"/>
                <w:color w:val="auto"/>
                <w:sz w:val="21"/>
                <w:szCs w:val="21"/>
                <w:lang w:val="en-US" w:eastAsia="zh-CN"/>
              </w:rPr>
              <w:t>/</w:t>
            </w:r>
          </w:p>
        </w:tc>
      </w:tr>
      <w:tr w14:paraId="5D7DE3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2BF23AF8">
            <w:pPr>
              <w:pStyle w:val="16"/>
              <w:bidi w:val="0"/>
              <w:rPr>
                <w:rFonts w:hint="eastAsia"/>
                <w:color w:val="auto"/>
                <w:sz w:val="21"/>
                <w:szCs w:val="21"/>
              </w:rPr>
            </w:pPr>
          </w:p>
        </w:tc>
        <w:tc>
          <w:tcPr>
            <w:tcW w:w="650" w:type="pct"/>
            <w:vMerge w:val="continue"/>
            <w:tcBorders>
              <w:tl2br w:val="nil"/>
              <w:tr2bl w:val="nil"/>
            </w:tcBorders>
            <w:shd w:val="clear" w:color="auto" w:fill="auto"/>
            <w:vAlign w:val="center"/>
          </w:tcPr>
          <w:p w14:paraId="6B69547F">
            <w:pPr>
              <w:pStyle w:val="16"/>
              <w:bidi w:val="0"/>
              <w:rPr>
                <w:rFonts w:hint="default"/>
                <w:color w:val="auto"/>
                <w:sz w:val="21"/>
                <w:szCs w:val="21"/>
              </w:rPr>
            </w:pPr>
          </w:p>
        </w:tc>
        <w:tc>
          <w:tcPr>
            <w:tcW w:w="484" w:type="pct"/>
            <w:vMerge w:val="continue"/>
            <w:tcBorders>
              <w:tl2br w:val="nil"/>
              <w:tr2bl w:val="nil"/>
            </w:tcBorders>
            <w:shd w:val="clear" w:color="auto" w:fill="auto"/>
            <w:noWrap/>
            <w:vAlign w:val="center"/>
          </w:tcPr>
          <w:p w14:paraId="2CA3C9A1">
            <w:pPr>
              <w:pStyle w:val="16"/>
              <w:bidi w:val="0"/>
              <w:rPr>
                <w:rFonts w:hint="eastAsia"/>
                <w:color w:val="auto"/>
                <w:sz w:val="21"/>
                <w:szCs w:val="21"/>
              </w:rPr>
            </w:pPr>
          </w:p>
        </w:tc>
        <w:tc>
          <w:tcPr>
            <w:tcW w:w="375" w:type="pct"/>
            <w:vMerge w:val="continue"/>
            <w:tcBorders>
              <w:tl2br w:val="nil"/>
              <w:tr2bl w:val="nil"/>
            </w:tcBorders>
            <w:shd w:val="clear" w:color="auto" w:fill="auto"/>
            <w:vAlign w:val="center"/>
          </w:tcPr>
          <w:p w14:paraId="493DECE4">
            <w:pPr>
              <w:pStyle w:val="16"/>
              <w:bidi w:val="0"/>
              <w:rPr>
                <w:rFonts w:hint="eastAsia"/>
                <w:color w:val="auto"/>
                <w:sz w:val="21"/>
                <w:szCs w:val="21"/>
              </w:rPr>
            </w:pPr>
          </w:p>
        </w:tc>
        <w:tc>
          <w:tcPr>
            <w:tcW w:w="418" w:type="pct"/>
            <w:tcBorders>
              <w:tl2br w:val="nil"/>
              <w:tr2bl w:val="nil"/>
            </w:tcBorders>
            <w:shd w:val="clear" w:color="auto" w:fill="auto"/>
            <w:vAlign w:val="center"/>
          </w:tcPr>
          <w:p w14:paraId="59F546C8">
            <w:pPr>
              <w:pStyle w:val="16"/>
              <w:bidi w:val="0"/>
              <w:rPr>
                <w:rFonts w:hint="eastAsia"/>
                <w:color w:val="auto"/>
                <w:sz w:val="21"/>
                <w:szCs w:val="21"/>
              </w:rPr>
            </w:pPr>
            <w:r>
              <w:rPr>
                <w:rFonts w:hint="eastAsia"/>
                <w:color w:val="auto"/>
                <w:sz w:val="21"/>
                <w:szCs w:val="21"/>
                <w:lang w:val="en-US" w:eastAsia="zh-CN"/>
              </w:rPr>
              <w:t>95%</w:t>
            </w:r>
          </w:p>
        </w:tc>
        <w:tc>
          <w:tcPr>
            <w:tcW w:w="460" w:type="pct"/>
            <w:tcBorders>
              <w:tl2br w:val="nil"/>
              <w:tr2bl w:val="nil"/>
            </w:tcBorders>
            <w:shd w:val="clear" w:color="auto" w:fill="auto"/>
            <w:vAlign w:val="center"/>
          </w:tcPr>
          <w:p w14:paraId="324C2317">
            <w:pPr>
              <w:pStyle w:val="16"/>
              <w:bidi w:val="0"/>
              <w:rPr>
                <w:rFonts w:hint="eastAsia"/>
                <w:color w:val="auto"/>
                <w:sz w:val="21"/>
                <w:szCs w:val="21"/>
              </w:rPr>
            </w:pPr>
            <w:r>
              <w:rPr>
                <w:rFonts w:hint="eastAsia"/>
                <w:color w:val="auto"/>
                <w:sz w:val="21"/>
                <w:szCs w:val="21"/>
                <w:lang w:val="en-US" w:eastAsia="zh-CN"/>
              </w:rPr>
              <w:t>无组织</w:t>
            </w:r>
          </w:p>
        </w:tc>
        <w:tc>
          <w:tcPr>
            <w:tcW w:w="709" w:type="pct"/>
            <w:tcBorders>
              <w:tl2br w:val="nil"/>
              <w:tr2bl w:val="nil"/>
            </w:tcBorders>
            <w:shd w:val="clear" w:color="auto" w:fill="auto"/>
            <w:vAlign w:val="center"/>
          </w:tcPr>
          <w:p w14:paraId="01DF9A0D">
            <w:pPr>
              <w:pStyle w:val="16"/>
              <w:bidi w:val="0"/>
              <w:rPr>
                <w:rFonts w:hint="default"/>
                <w:color w:val="auto"/>
                <w:sz w:val="21"/>
                <w:szCs w:val="21"/>
              </w:rPr>
            </w:pPr>
            <w:r>
              <w:rPr>
                <w:rFonts w:hint="default"/>
                <w:color w:val="auto"/>
                <w:sz w:val="21"/>
                <w:szCs w:val="21"/>
                <w:lang w:val="en-US" w:eastAsia="zh-CN"/>
              </w:rPr>
              <w:t>0.000018</w:t>
            </w:r>
          </w:p>
        </w:tc>
        <w:tc>
          <w:tcPr>
            <w:tcW w:w="549" w:type="pct"/>
            <w:tcBorders>
              <w:tl2br w:val="nil"/>
              <w:tr2bl w:val="nil"/>
            </w:tcBorders>
            <w:shd w:val="clear" w:color="auto" w:fill="auto"/>
            <w:vAlign w:val="center"/>
          </w:tcPr>
          <w:p w14:paraId="01334E3F">
            <w:pPr>
              <w:pStyle w:val="16"/>
              <w:bidi w:val="0"/>
              <w:rPr>
                <w:rFonts w:hint="default"/>
                <w:color w:val="auto"/>
                <w:sz w:val="21"/>
                <w:szCs w:val="21"/>
              </w:rPr>
            </w:pPr>
            <w:r>
              <w:rPr>
                <w:rFonts w:hint="default"/>
                <w:color w:val="auto"/>
                <w:sz w:val="21"/>
                <w:szCs w:val="21"/>
                <w:lang w:val="en-US" w:eastAsia="zh-CN"/>
              </w:rPr>
              <w:t xml:space="preserve">0.0002 </w:t>
            </w:r>
          </w:p>
        </w:tc>
        <w:tc>
          <w:tcPr>
            <w:tcW w:w="567" w:type="pct"/>
            <w:tcBorders>
              <w:tl2br w:val="nil"/>
              <w:tr2bl w:val="nil"/>
            </w:tcBorders>
            <w:shd w:val="clear" w:color="auto" w:fill="auto"/>
            <w:vAlign w:val="center"/>
          </w:tcPr>
          <w:p w14:paraId="2D49C936">
            <w:pPr>
              <w:pStyle w:val="16"/>
              <w:bidi w:val="0"/>
              <w:rPr>
                <w:rFonts w:hint="default"/>
                <w:color w:val="auto"/>
                <w:sz w:val="21"/>
                <w:szCs w:val="21"/>
              </w:rPr>
            </w:pPr>
            <w:r>
              <w:rPr>
                <w:rFonts w:hint="default"/>
                <w:color w:val="auto"/>
                <w:sz w:val="21"/>
                <w:szCs w:val="21"/>
                <w:lang w:val="en-US" w:eastAsia="zh-CN"/>
              </w:rPr>
              <w:t>/</w:t>
            </w:r>
          </w:p>
        </w:tc>
      </w:tr>
      <w:tr w14:paraId="65B88B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restart"/>
            <w:tcBorders>
              <w:tl2br w:val="nil"/>
              <w:tr2bl w:val="nil"/>
            </w:tcBorders>
            <w:shd w:val="clear" w:color="auto" w:fill="auto"/>
            <w:noWrap/>
            <w:vAlign w:val="center"/>
          </w:tcPr>
          <w:p w14:paraId="46F44CFC">
            <w:pPr>
              <w:pStyle w:val="16"/>
              <w:bidi w:val="0"/>
              <w:rPr>
                <w:rFonts w:hint="eastAsia"/>
                <w:color w:val="auto"/>
                <w:sz w:val="21"/>
                <w:szCs w:val="21"/>
              </w:rPr>
            </w:pPr>
            <w:r>
              <w:rPr>
                <w:rFonts w:hint="eastAsia"/>
                <w:color w:val="auto"/>
                <w:sz w:val="21"/>
                <w:szCs w:val="21"/>
                <w:lang w:val="en-US" w:eastAsia="zh-CN"/>
              </w:rPr>
              <w:t>污泥脱水车间</w:t>
            </w:r>
          </w:p>
        </w:tc>
        <w:tc>
          <w:tcPr>
            <w:tcW w:w="650" w:type="pct"/>
            <w:vMerge w:val="restart"/>
            <w:tcBorders>
              <w:tl2br w:val="nil"/>
              <w:tr2bl w:val="nil"/>
            </w:tcBorders>
            <w:shd w:val="clear" w:color="auto" w:fill="auto"/>
            <w:vAlign w:val="center"/>
          </w:tcPr>
          <w:p w14:paraId="3366CB82">
            <w:pPr>
              <w:pStyle w:val="16"/>
              <w:bidi w:val="0"/>
              <w:ind w:left="0" w:leftChars="0" w:firstLine="0" w:firstLineChars="0"/>
              <w:rPr>
                <w:rFonts w:hint="default"/>
                <w:color w:val="auto"/>
                <w:sz w:val="21"/>
                <w:szCs w:val="21"/>
              </w:rPr>
            </w:pPr>
            <w:r>
              <w:rPr>
                <w:rFonts w:hint="default"/>
                <w:color w:val="auto"/>
                <w:sz w:val="21"/>
                <w:szCs w:val="21"/>
                <w:lang w:val="en-US" w:eastAsia="zh-CN"/>
              </w:rPr>
              <w:t>NH</w:t>
            </w:r>
            <w:r>
              <w:rPr>
                <w:rFonts w:hint="default"/>
                <w:color w:val="auto"/>
                <w:sz w:val="21"/>
                <w:szCs w:val="21"/>
                <w:vertAlign w:val="subscript"/>
                <w:lang w:val="en-US" w:eastAsia="zh-CN"/>
              </w:rPr>
              <w:t>3</w:t>
            </w:r>
          </w:p>
        </w:tc>
        <w:tc>
          <w:tcPr>
            <w:tcW w:w="484" w:type="pct"/>
            <w:vMerge w:val="restart"/>
            <w:tcBorders>
              <w:tl2br w:val="nil"/>
              <w:tr2bl w:val="nil"/>
            </w:tcBorders>
            <w:shd w:val="clear" w:color="auto" w:fill="auto"/>
            <w:noWrap/>
            <w:vAlign w:val="center"/>
          </w:tcPr>
          <w:p w14:paraId="61AA0827">
            <w:pPr>
              <w:pStyle w:val="16"/>
              <w:bidi w:val="0"/>
              <w:rPr>
                <w:rFonts w:hint="eastAsia"/>
                <w:color w:val="auto"/>
                <w:sz w:val="21"/>
                <w:szCs w:val="21"/>
              </w:rPr>
            </w:pPr>
            <w:r>
              <w:rPr>
                <w:rFonts w:hint="eastAsia"/>
                <w:color w:val="auto"/>
                <w:sz w:val="21"/>
                <w:szCs w:val="21"/>
                <w:lang w:val="en-US" w:eastAsia="zh-CN"/>
              </w:rPr>
              <w:t>0.0922</w:t>
            </w:r>
          </w:p>
        </w:tc>
        <w:tc>
          <w:tcPr>
            <w:tcW w:w="375" w:type="pct"/>
            <w:vMerge w:val="restart"/>
            <w:tcBorders>
              <w:tl2br w:val="nil"/>
              <w:tr2bl w:val="nil"/>
            </w:tcBorders>
            <w:shd w:val="clear" w:color="auto" w:fill="auto"/>
            <w:vAlign w:val="center"/>
          </w:tcPr>
          <w:p w14:paraId="558A5B47">
            <w:pPr>
              <w:pStyle w:val="16"/>
              <w:bidi w:val="0"/>
              <w:rPr>
                <w:rFonts w:hint="eastAsia"/>
                <w:color w:val="auto"/>
                <w:sz w:val="21"/>
                <w:szCs w:val="21"/>
              </w:rPr>
            </w:pPr>
            <w:r>
              <w:rPr>
                <w:rFonts w:hint="eastAsia"/>
                <w:color w:val="auto"/>
                <w:sz w:val="21"/>
                <w:szCs w:val="21"/>
                <w:lang w:val="en-US" w:eastAsia="zh-CN"/>
              </w:rPr>
              <w:t>95%</w:t>
            </w:r>
          </w:p>
        </w:tc>
        <w:tc>
          <w:tcPr>
            <w:tcW w:w="418" w:type="pct"/>
            <w:tcBorders>
              <w:tl2br w:val="nil"/>
              <w:tr2bl w:val="nil"/>
            </w:tcBorders>
            <w:shd w:val="clear" w:color="auto" w:fill="auto"/>
            <w:vAlign w:val="center"/>
          </w:tcPr>
          <w:p w14:paraId="562B7FC9">
            <w:pPr>
              <w:pStyle w:val="16"/>
              <w:bidi w:val="0"/>
              <w:rPr>
                <w:rFonts w:hint="eastAsia"/>
                <w:color w:val="auto"/>
                <w:sz w:val="21"/>
                <w:szCs w:val="21"/>
              </w:rPr>
            </w:pPr>
            <w:r>
              <w:rPr>
                <w:rFonts w:hint="eastAsia"/>
                <w:color w:val="auto"/>
                <w:sz w:val="21"/>
                <w:szCs w:val="21"/>
                <w:lang w:val="en-US" w:eastAsia="zh-CN"/>
              </w:rPr>
              <w:t>80%</w:t>
            </w:r>
          </w:p>
        </w:tc>
        <w:tc>
          <w:tcPr>
            <w:tcW w:w="460" w:type="pct"/>
            <w:tcBorders>
              <w:tl2br w:val="nil"/>
              <w:tr2bl w:val="nil"/>
            </w:tcBorders>
            <w:shd w:val="clear" w:color="auto" w:fill="auto"/>
            <w:vAlign w:val="center"/>
          </w:tcPr>
          <w:p w14:paraId="00C03748">
            <w:pPr>
              <w:pStyle w:val="16"/>
              <w:bidi w:val="0"/>
              <w:rPr>
                <w:rFonts w:hint="eastAsia"/>
                <w:color w:val="auto"/>
                <w:sz w:val="21"/>
                <w:szCs w:val="21"/>
              </w:rPr>
            </w:pPr>
            <w:r>
              <w:rPr>
                <w:rFonts w:hint="eastAsia"/>
                <w:color w:val="auto"/>
                <w:sz w:val="21"/>
                <w:szCs w:val="21"/>
                <w:lang w:val="en-US" w:eastAsia="zh-CN"/>
              </w:rPr>
              <w:t>有组织</w:t>
            </w:r>
          </w:p>
        </w:tc>
        <w:tc>
          <w:tcPr>
            <w:tcW w:w="709" w:type="pct"/>
            <w:tcBorders>
              <w:tl2br w:val="nil"/>
              <w:tr2bl w:val="nil"/>
            </w:tcBorders>
            <w:shd w:val="clear" w:color="auto" w:fill="auto"/>
            <w:vAlign w:val="center"/>
          </w:tcPr>
          <w:p w14:paraId="290427EC">
            <w:pPr>
              <w:pStyle w:val="16"/>
              <w:bidi w:val="0"/>
              <w:rPr>
                <w:rFonts w:hint="default"/>
                <w:color w:val="auto"/>
                <w:sz w:val="21"/>
                <w:szCs w:val="21"/>
              </w:rPr>
            </w:pPr>
            <w:r>
              <w:rPr>
                <w:rFonts w:hint="default"/>
                <w:color w:val="auto"/>
                <w:sz w:val="21"/>
                <w:szCs w:val="21"/>
                <w:lang w:val="en-US" w:eastAsia="zh-CN"/>
              </w:rPr>
              <w:t>0.017518</w:t>
            </w:r>
          </w:p>
        </w:tc>
        <w:tc>
          <w:tcPr>
            <w:tcW w:w="549" w:type="pct"/>
            <w:tcBorders>
              <w:tl2br w:val="nil"/>
              <w:tr2bl w:val="nil"/>
            </w:tcBorders>
            <w:shd w:val="clear" w:color="auto" w:fill="auto"/>
            <w:vAlign w:val="center"/>
          </w:tcPr>
          <w:p w14:paraId="2F262B4D">
            <w:pPr>
              <w:pStyle w:val="16"/>
              <w:bidi w:val="0"/>
              <w:rPr>
                <w:rFonts w:hint="default"/>
                <w:color w:val="auto"/>
                <w:sz w:val="21"/>
                <w:szCs w:val="21"/>
              </w:rPr>
            </w:pPr>
            <w:r>
              <w:rPr>
                <w:rFonts w:hint="default"/>
                <w:color w:val="auto"/>
                <w:sz w:val="21"/>
                <w:szCs w:val="21"/>
                <w:lang w:val="en-US" w:eastAsia="zh-CN"/>
              </w:rPr>
              <w:t xml:space="preserve">0.1535 </w:t>
            </w:r>
          </w:p>
        </w:tc>
        <w:tc>
          <w:tcPr>
            <w:tcW w:w="567" w:type="pct"/>
            <w:tcBorders>
              <w:tl2br w:val="nil"/>
              <w:tr2bl w:val="nil"/>
            </w:tcBorders>
            <w:shd w:val="clear" w:color="auto" w:fill="auto"/>
            <w:vAlign w:val="center"/>
          </w:tcPr>
          <w:p w14:paraId="6DDAAF63">
            <w:pPr>
              <w:pStyle w:val="16"/>
              <w:bidi w:val="0"/>
              <w:rPr>
                <w:rFonts w:hint="default"/>
                <w:color w:val="auto"/>
                <w:sz w:val="21"/>
                <w:szCs w:val="21"/>
              </w:rPr>
            </w:pPr>
            <w:r>
              <w:rPr>
                <w:rFonts w:hint="default"/>
                <w:color w:val="auto"/>
                <w:sz w:val="21"/>
                <w:szCs w:val="21"/>
                <w:lang w:val="en-US" w:eastAsia="zh-CN"/>
              </w:rPr>
              <w:t>/</w:t>
            </w:r>
          </w:p>
        </w:tc>
      </w:tr>
      <w:tr w14:paraId="632D5D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6863EDD7">
            <w:pPr>
              <w:pStyle w:val="16"/>
              <w:bidi w:val="0"/>
              <w:rPr>
                <w:rFonts w:hint="eastAsia"/>
                <w:color w:val="auto"/>
                <w:sz w:val="21"/>
                <w:szCs w:val="21"/>
              </w:rPr>
            </w:pPr>
          </w:p>
        </w:tc>
        <w:tc>
          <w:tcPr>
            <w:tcW w:w="650" w:type="pct"/>
            <w:vMerge w:val="continue"/>
            <w:tcBorders>
              <w:tl2br w:val="nil"/>
              <w:tr2bl w:val="nil"/>
            </w:tcBorders>
            <w:shd w:val="clear" w:color="auto" w:fill="auto"/>
            <w:vAlign w:val="center"/>
          </w:tcPr>
          <w:p w14:paraId="45A3719B">
            <w:pPr>
              <w:pStyle w:val="16"/>
              <w:bidi w:val="0"/>
              <w:rPr>
                <w:rFonts w:hint="default"/>
                <w:color w:val="auto"/>
                <w:sz w:val="21"/>
                <w:szCs w:val="21"/>
              </w:rPr>
            </w:pPr>
          </w:p>
        </w:tc>
        <w:tc>
          <w:tcPr>
            <w:tcW w:w="484" w:type="pct"/>
            <w:vMerge w:val="continue"/>
            <w:tcBorders>
              <w:tl2br w:val="nil"/>
              <w:tr2bl w:val="nil"/>
            </w:tcBorders>
            <w:shd w:val="clear" w:color="auto" w:fill="auto"/>
            <w:noWrap/>
            <w:vAlign w:val="center"/>
          </w:tcPr>
          <w:p w14:paraId="782E5750">
            <w:pPr>
              <w:pStyle w:val="16"/>
              <w:bidi w:val="0"/>
              <w:rPr>
                <w:rFonts w:hint="eastAsia"/>
                <w:color w:val="auto"/>
                <w:sz w:val="21"/>
                <w:szCs w:val="21"/>
              </w:rPr>
            </w:pPr>
          </w:p>
        </w:tc>
        <w:tc>
          <w:tcPr>
            <w:tcW w:w="375" w:type="pct"/>
            <w:vMerge w:val="continue"/>
            <w:tcBorders>
              <w:tl2br w:val="nil"/>
              <w:tr2bl w:val="nil"/>
            </w:tcBorders>
            <w:shd w:val="clear" w:color="auto" w:fill="auto"/>
            <w:vAlign w:val="center"/>
          </w:tcPr>
          <w:p w14:paraId="656B4DF3">
            <w:pPr>
              <w:pStyle w:val="16"/>
              <w:bidi w:val="0"/>
              <w:rPr>
                <w:rFonts w:hint="eastAsia"/>
                <w:color w:val="auto"/>
                <w:sz w:val="21"/>
                <w:szCs w:val="21"/>
              </w:rPr>
            </w:pPr>
          </w:p>
        </w:tc>
        <w:tc>
          <w:tcPr>
            <w:tcW w:w="418" w:type="pct"/>
            <w:tcBorders>
              <w:tl2br w:val="nil"/>
              <w:tr2bl w:val="nil"/>
            </w:tcBorders>
            <w:shd w:val="clear" w:color="auto" w:fill="auto"/>
            <w:vAlign w:val="center"/>
          </w:tcPr>
          <w:p w14:paraId="3B034042">
            <w:pPr>
              <w:pStyle w:val="16"/>
              <w:bidi w:val="0"/>
              <w:rPr>
                <w:rFonts w:hint="eastAsia"/>
                <w:color w:val="auto"/>
                <w:sz w:val="21"/>
                <w:szCs w:val="21"/>
              </w:rPr>
            </w:pPr>
            <w:r>
              <w:rPr>
                <w:rFonts w:hint="eastAsia"/>
                <w:color w:val="auto"/>
                <w:sz w:val="21"/>
                <w:szCs w:val="21"/>
                <w:lang w:val="en-US" w:eastAsia="zh-CN"/>
              </w:rPr>
              <w:t>95%</w:t>
            </w:r>
          </w:p>
        </w:tc>
        <w:tc>
          <w:tcPr>
            <w:tcW w:w="460" w:type="pct"/>
            <w:tcBorders>
              <w:tl2br w:val="nil"/>
              <w:tr2bl w:val="nil"/>
            </w:tcBorders>
            <w:shd w:val="clear" w:color="auto" w:fill="auto"/>
            <w:vAlign w:val="center"/>
          </w:tcPr>
          <w:p w14:paraId="35033821">
            <w:pPr>
              <w:pStyle w:val="16"/>
              <w:bidi w:val="0"/>
              <w:rPr>
                <w:rFonts w:hint="eastAsia"/>
                <w:color w:val="auto"/>
                <w:sz w:val="21"/>
                <w:szCs w:val="21"/>
              </w:rPr>
            </w:pPr>
            <w:r>
              <w:rPr>
                <w:rFonts w:hint="eastAsia"/>
                <w:color w:val="auto"/>
                <w:sz w:val="21"/>
                <w:szCs w:val="21"/>
                <w:lang w:val="en-US" w:eastAsia="zh-CN"/>
              </w:rPr>
              <w:t>无组织</w:t>
            </w:r>
          </w:p>
        </w:tc>
        <w:tc>
          <w:tcPr>
            <w:tcW w:w="709" w:type="pct"/>
            <w:tcBorders>
              <w:tl2br w:val="nil"/>
              <w:tr2bl w:val="nil"/>
            </w:tcBorders>
            <w:shd w:val="clear" w:color="auto" w:fill="auto"/>
            <w:vAlign w:val="center"/>
          </w:tcPr>
          <w:p w14:paraId="1DF5F8A7">
            <w:pPr>
              <w:pStyle w:val="16"/>
              <w:bidi w:val="0"/>
              <w:rPr>
                <w:rFonts w:hint="default"/>
                <w:color w:val="auto"/>
                <w:sz w:val="21"/>
                <w:szCs w:val="21"/>
              </w:rPr>
            </w:pPr>
            <w:r>
              <w:rPr>
                <w:rFonts w:hint="default"/>
                <w:color w:val="auto"/>
                <w:sz w:val="21"/>
                <w:szCs w:val="21"/>
                <w:lang w:val="en-US" w:eastAsia="zh-CN"/>
              </w:rPr>
              <w:t>0.00461</w:t>
            </w:r>
          </w:p>
        </w:tc>
        <w:tc>
          <w:tcPr>
            <w:tcW w:w="549" w:type="pct"/>
            <w:tcBorders>
              <w:tl2br w:val="nil"/>
              <w:tr2bl w:val="nil"/>
            </w:tcBorders>
            <w:shd w:val="clear" w:color="auto" w:fill="auto"/>
            <w:vAlign w:val="center"/>
          </w:tcPr>
          <w:p w14:paraId="06DE3ACA">
            <w:pPr>
              <w:pStyle w:val="16"/>
              <w:bidi w:val="0"/>
              <w:rPr>
                <w:rFonts w:hint="default"/>
                <w:color w:val="auto"/>
                <w:sz w:val="21"/>
                <w:szCs w:val="21"/>
              </w:rPr>
            </w:pPr>
            <w:r>
              <w:rPr>
                <w:rFonts w:hint="default"/>
                <w:color w:val="auto"/>
                <w:sz w:val="21"/>
                <w:szCs w:val="21"/>
                <w:lang w:val="en-US" w:eastAsia="zh-CN"/>
              </w:rPr>
              <w:t xml:space="preserve">0.0404 </w:t>
            </w:r>
          </w:p>
        </w:tc>
        <w:tc>
          <w:tcPr>
            <w:tcW w:w="567" w:type="pct"/>
            <w:tcBorders>
              <w:tl2br w:val="nil"/>
              <w:tr2bl w:val="nil"/>
            </w:tcBorders>
            <w:shd w:val="clear" w:color="auto" w:fill="auto"/>
            <w:vAlign w:val="center"/>
          </w:tcPr>
          <w:p w14:paraId="09459A82">
            <w:pPr>
              <w:pStyle w:val="16"/>
              <w:bidi w:val="0"/>
              <w:rPr>
                <w:rFonts w:hint="default"/>
                <w:color w:val="auto"/>
                <w:sz w:val="21"/>
                <w:szCs w:val="21"/>
              </w:rPr>
            </w:pPr>
            <w:r>
              <w:rPr>
                <w:rFonts w:hint="default"/>
                <w:color w:val="auto"/>
                <w:sz w:val="21"/>
                <w:szCs w:val="21"/>
                <w:lang w:val="en-US" w:eastAsia="zh-CN"/>
              </w:rPr>
              <w:t>/</w:t>
            </w:r>
          </w:p>
        </w:tc>
      </w:tr>
      <w:tr w14:paraId="4734F4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4F4BB376">
            <w:pPr>
              <w:pStyle w:val="16"/>
              <w:bidi w:val="0"/>
              <w:rPr>
                <w:rFonts w:hint="eastAsia"/>
                <w:color w:val="auto"/>
                <w:sz w:val="21"/>
                <w:szCs w:val="21"/>
              </w:rPr>
            </w:pPr>
          </w:p>
        </w:tc>
        <w:tc>
          <w:tcPr>
            <w:tcW w:w="650" w:type="pct"/>
            <w:vMerge w:val="restart"/>
            <w:tcBorders>
              <w:tl2br w:val="nil"/>
              <w:tr2bl w:val="nil"/>
            </w:tcBorders>
            <w:shd w:val="clear" w:color="auto" w:fill="auto"/>
            <w:vAlign w:val="center"/>
          </w:tcPr>
          <w:p w14:paraId="0201EDA0">
            <w:pPr>
              <w:pStyle w:val="16"/>
              <w:bidi w:val="0"/>
              <w:ind w:left="0" w:leftChars="0" w:firstLine="0" w:firstLineChars="0"/>
              <w:rPr>
                <w:rFonts w:hint="default"/>
                <w:color w:val="auto"/>
                <w:sz w:val="21"/>
                <w:szCs w:val="21"/>
              </w:rPr>
            </w:pPr>
            <w:r>
              <w:rPr>
                <w:rFonts w:hint="default"/>
                <w:color w:val="auto"/>
                <w:sz w:val="21"/>
                <w:szCs w:val="21"/>
                <w:lang w:val="en-US" w:eastAsia="zh-CN"/>
              </w:rPr>
              <w:t>H</w:t>
            </w:r>
            <w:r>
              <w:rPr>
                <w:rFonts w:hint="default"/>
                <w:color w:val="auto"/>
                <w:sz w:val="21"/>
                <w:szCs w:val="21"/>
                <w:vertAlign w:val="subscript"/>
                <w:lang w:val="en-US" w:eastAsia="zh-CN"/>
              </w:rPr>
              <w:t>2</w:t>
            </w:r>
            <w:r>
              <w:rPr>
                <w:rFonts w:hint="default"/>
                <w:color w:val="auto"/>
                <w:sz w:val="21"/>
                <w:szCs w:val="21"/>
                <w:lang w:val="en-US" w:eastAsia="zh-CN"/>
              </w:rPr>
              <w:t>S</w:t>
            </w:r>
          </w:p>
        </w:tc>
        <w:tc>
          <w:tcPr>
            <w:tcW w:w="484" w:type="pct"/>
            <w:vMerge w:val="restart"/>
            <w:tcBorders>
              <w:tl2br w:val="nil"/>
              <w:tr2bl w:val="nil"/>
            </w:tcBorders>
            <w:shd w:val="clear" w:color="auto" w:fill="auto"/>
            <w:noWrap/>
            <w:vAlign w:val="center"/>
          </w:tcPr>
          <w:p w14:paraId="382F3061">
            <w:pPr>
              <w:pStyle w:val="16"/>
              <w:bidi w:val="0"/>
              <w:rPr>
                <w:rFonts w:hint="eastAsia"/>
                <w:color w:val="auto"/>
                <w:sz w:val="21"/>
                <w:szCs w:val="21"/>
              </w:rPr>
            </w:pPr>
            <w:r>
              <w:rPr>
                <w:rFonts w:hint="eastAsia"/>
                <w:color w:val="auto"/>
                <w:sz w:val="21"/>
                <w:szCs w:val="21"/>
                <w:lang w:val="en-US" w:eastAsia="zh-CN"/>
              </w:rPr>
              <w:t>0.00258</w:t>
            </w:r>
          </w:p>
        </w:tc>
        <w:tc>
          <w:tcPr>
            <w:tcW w:w="375" w:type="pct"/>
            <w:vMerge w:val="restart"/>
            <w:tcBorders>
              <w:tl2br w:val="nil"/>
              <w:tr2bl w:val="nil"/>
            </w:tcBorders>
            <w:shd w:val="clear" w:color="auto" w:fill="auto"/>
            <w:vAlign w:val="center"/>
          </w:tcPr>
          <w:p w14:paraId="77345525">
            <w:pPr>
              <w:pStyle w:val="16"/>
              <w:bidi w:val="0"/>
              <w:rPr>
                <w:rFonts w:hint="eastAsia"/>
                <w:color w:val="auto"/>
                <w:sz w:val="21"/>
                <w:szCs w:val="21"/>
              </w:rPr>
            </w:pPr>
            <w:r>
              <w:rPr>
                <w:rFonts w:hint="eastAsia"/>
                <w:color w:val="auto"/>
                <w:sz w:val="21"/>
                <w:szCs w:val="21"/>
                <w:lang w:val="en-US" w:eastAsia="zh-CN"/>
              </w:rPr>
              <w:t>95%</w:t>
            </w:r>
          </w:p>
        </w:tc>
        <w:tc>
          <w:tcPr>
            <w:tcW w:w="418" w:type="pct"/>
            <w:tcBorders>
              <w:tl2br w:val="nil"/>
              <w:tr2bl w:val="nil"/>
            </w:tcBorders>
            <w:shd w:val="clear" w:color="auto" w:fill="auto"/>
            <w:vAlign w:val="center"/>
          </w:tcPr>
          <w:p w14:paraId="4387DD65">
            <w:pPr>
              <w:pStyle w:val="16"/>
              <w:bidi w:val="0"/>
              <w:rPr>
                <w:rFonts w:hint="eastAsia"/>
                <w:color w:val="auto"/>
                <w:sz w:val="21"/>
                <w:szCs w:val="21"/>
              </w:rPr>
            </w:pPr>
            <w:r>
              <w:rPr>
                <w:rFonts w:hint="eastAsia"/>
                <w:color w:val="auto"/>
                <w:sz w:val="21"/>
                <w:szCs w:val="21"/>
                <w:lang w:val="en-US" w:eastAsia="zh-CN"/>
              </w:rPr>
              <w:t>80%</w:t>
            </w:r>
          </w:p>
        </w:tc>
        <w:tc>
          <w:tcPr>
            <w:tcW w:w="460" w:type="pct"/>
            <w:tcBorders>
              <w:tl2br w:val="nil"/>
              <w:tr2bl w:val="nil"/>
            </w:tcBorders>
            <w:shd w:val="clear" w:color="auto" w:fill="auto"/>
            <w:vAlign w:val="center"/>
          </w:tcPr>
          <w:p w14:paraId="70E31CDF">
            <w:pPr>
              <w:pStyle w:val="16"/>
              <w:bidi w:val="0"/>
              <w:rPr>
                <w:rFonts w:hint="eastAsia"/>
                <w:color w:val="auto"/>
                <w:sz w:val="21"/>
                <w:szCs w:val="21"/>
              </w:rPr>
            </w:pPr>
            <w:r>
              <w:rPr>
                <w:rFonts w:hint="eastAsia"/>
                <w:color w:val="auto"/>
                <w:sz w:val="21"/>
                <w:szCs w:val="21"/>
                <w:lang w:val="en-US" w:eastAsia="zh-CN"/>
              </w:rPr>
              <w:t>有组织</w:t>
            </w:r>
          </w:p>
        </w:tc>
        <w:tc>
          <w:tcPr>
            <w:tcW w:w="709" w:type="pct"/>
            <w:tcBorders>
              <w:tl2br w:val="nil"/>
              <w:tr2bl w:val="nil"/>
            </w:tcBorders>
            <w:shd w:val="clear" w:color="auto" w:fill="auto"/>
            <w:vAlign w:val="center"/>
          </w:tcPr>
          <w:p w14:paraId="16D92393">
            <w:pPr>
              <w:pStyle w:val="16"/>
              <w:bidi w:val="0"/>
              <w:rPr>
                <w:rFonts w:hint="default"/>
                <w:color w:val="auto"/>
                <w:sz w:val="21"/>
                <w:szCs w:val="21"/>
              </w:rPr>
            </w:pPr>
            <w:r>
              <w:rPr>
                <w:rFonts w:hint="default"/>
                <w:color w:val="auto"/>
                <w:sz w:val="21"/>
                <w:szCs w:val="21"/>
                <w:lang w:val="en-US" w:eastAsia="zh-CN"/>
              </w:rPr>
              <w:t>0.0004902</w:t>
            </w:r>
          </w:p>
        </w:tc>
        <w:tc>
          <w:tcPr>
            <w:tcW w:w="549" w:type="pct"/>
            <w:tcBorders>
              <w:tl2br w:val="nil"/>
              <w:tr2bl w:val="nil"/>
            </w:tcBorders>
            <w:shd w:val="clear" w:color="auto" w:fill="auto"/>
            <w:vAlign w:val="center"/>
          </w:tcPr>
          <w:p w14:paraId="1FC47F7A">
            <w:pPr>
              <w:pStyle w:val="16"/>
              <w:bidi w:val="0"/>
              <w:rPr>
                <w:rFonts w:hint="default"/>
                <w:color w:val="auto"/>
                <w:sz w:val="21"/>
                <w:szCs w:val="21"/>
              </w:rPr>
            </w:pPr>
            <w:r>
              <w:rPr>
                <w:rFonts w:hint="default"/>
                <w:color w:val="auto"/>
                <w:sz w:val="21"/>
                <w:szCs w:val="21"/>
                <w:lang w:val="en-US" w:eastAsia="zh-CN"/>
              </w:rPr>
              <w:t xml:space="preserve">0.0043 </w:t>
            </w:r>
          </w:p>
        </w:tc>
        <w:tc>
          <w:tcPr>
            <w:tcW w:w="567" w:type="pct"/>
            <w:tcBorders>
              <w:tl2br w:val="nil"/>
              <w:tr2bl w:val="nil"/>
            </w:tcBorders>
            <w:shd w:val="clear" w:color="auto" w:fill="auto"/>
            <w:vAlign w:val="center"/>
          </w:tcPr>
          <w:p w14:paraId="4C761EBC">
            <w:pPr>
              <w:pStyle w:val="16"/>
              <w:bidi w:val="0"/>
              <w:rPr>
                <w:rFonts w:hint="default"/>
                <w:color w:val="auto"/>
                <w:sz w:val="21"/>
                <w:szCs w:val="21"/>
              </w:rPr>
            </w:pPr>
            <w:r>
              <w:rPr>
                <w:rFonts w:hint="default"/>
                <w:color w:val="auto"/>
                <w:sz w:val="21"/>
                <w:szCs w:val="21"/>
                <w:lang w:val="en-US" w:eastAsia="zh-CN"/>
              </w:rPr>
              <w:t>/</w:t>
            </w:r>
          </w:p>
        </w:tc>
      </w:tr>
      <w:tr w14:paraId="39CEE4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0E2AFC20">
            <w:pPr>
              <w:pStyle w:val="16"/>
              <w:bidi w:val="0"/>
              <w:rPr>
                <w:rFonts w:hint="eastAsia"/>
                <w:color w:val="auto"/>
                <w:sz w:val="21"/>
                <w:szCs w:val="21"/>
              </w:rPr>
            </w:pPr>
          </w:p>
        </w:tc>
        <w:tc>
          <w:tcPr>
            <w:tcW w:w="650" w:type="pct"/>
            <w:vMerge w:val="continue"/>
            <w:tcBorders>
              <w:tl2br w:val="nil"/>
              <w:tr2bl w:val="nil"/>
            </w:tcBorders>
            <w:shd w:val="clear" w:color="auto" w:fill="auto"/>
            <w:vAlign w:val="center"/>
          </w:tcPr>
          <w:p w14:paraId="4DDE3ED8">
            <w:pPr>
              <w:pStyle w:val="16"/>
              <w:bidi w:val="0"/>
              <w:rPr>
                <w:rFonts w:hint="default"/>
                <w:color w:val="auto"/>
                <w:sz w:val="21"/>
                <w:szCs w:val="21"/>
              </w:rPr>
            </w:pPr>
          </w:p>
        </w:tc>
        <w:tc>
          <w:tcPr>
            <w:tcW w:w="484" w:type="pct"/>
            <w:vMerge w:val="continue"/>
            <w:tcBorders>
              <w:tl2br w:val="nil"/>
              <w:tr2bl w:val="nil"/>
            </w:tcBorders>
            <w:shd w:val="clear" w:color="auto" w:fill="auto"/>
            <w:noWrap/>
            <w:vAlign w:val="center"/>
          </w:tcPr>
          <w:p w14:paraId="4B052061">
            <w:pPr>
              <w:pStyle w:val="16"/>
              <w:bidi w:val="0"/>
              <w:rPr>
                <w:rFonts w:hint="eastAsia"/>
                <w:color w:val="auto"/>
                <w:sz w:val="21"/>
                <w:szCs w:val="21"/>
              </w:rPr>
            </w:pPr>
          </w:p>
        </w:tc>
        <w:tc>
          <w:tcPr>
            <w:tcW w:w="375" w:type="pct"/>
            <w:vMerge w:val="continue"/>
            <w:tcBorders>
              <w:tl2br w:val="nil"/>
              <w:tr2bl w:val="nil"/>
            </w:tcBorders>
            <w:shd w:val="clear" w:color="auto" w:fill="auto"/>
            <w:vAlign w:val="center"/>
          </w:tcPr>
          <w:p w14:paraId="25233A6A">
            <w:pPr>
              <w:pStyle w:val="16"/>
              <w:bidi w:val="0"/>
              <w:rPr>
                <w:rFonts w:hint="eastAsia"/>
                <w:color w:val="auto"/>
                <w:sz w:val="21"/>
                <w:szCs w:val="21"/>
              </w:rPr>
            </w:pPr>
          </w:p>
        </w:tc>
        <w:tc>
          <w:tcPr>
            <w:tcW w:w="418" w:type="pct"/>
            <w:tcBorders>
              <w:tl2br w:val="nil"/>
              <w:tr2bl w:val="nil"/>
            </w:tcBorders>
            <w:shd w:val="clear" w:color="auto" w:fill="auto"/>
            <w:vAlign w:val="center"/>
          </w:tcPr>
          <w:p w14:paraId="5F1BEB3B">
            <w:pPr>
              <w:pStyle w:val="16"/>
              <w:bidi w:val="0"/>
              <w:rPr>
                <w:rFonts w:hint="eastAsia"/>
                <w:color w:val="auto"/>
                <w:sz w:val="21"/>
                <w:szCs w:val="21"/>
              </w:rPr>
            </w:pPr>
            <w:r>
              <w:rPr>
                <w:rFonts w:hint="eastAsia"/>
                <w:color w:val="auto"/>
                <w:sz w:val="21"/>
                <w:szCs w:val="21"/>
                <w:lang w:val="en-US" w:eastAsia="zh-CN"/>
              </w:rPr>
              <w:t>95%</w:t>
            </w:r>
          </w:p>
        </w:tc>
        <w:tc>
          <w:tcPr>
            <w:tcW w:w="460" w:type="pct"/>
            <w:tcBorders>
              <w:tl2br w:val="nil"/>
              <w:tr2bl w:val="nil"/>
            </w:tcBorders>
            <w:shd w:val="clear" w:color="auto" w:fill="auto"/>
            <w:vAlign w:val="center"/>
          </w:tcPr>
          <w:p w14:paraId="0228CC61">
            <w:pPr>
              <w:pStyle w:val="16"/>
              <w:bidi w:val="0"/>
              <w:rPr>
                <w:rFonts w:hint="eastAsia"/>
                <w:color w:val="auto"/>
                <w:sz w:val="21"/>
                <w:szCs w:val="21"/>
              </w:rPr>
            </w:pPr>
            <w:r>
              <w:rPr>
                <w:rFonts w:hint="eastAsia"/>
                <w:color w:val="auto"/>
                <w:sz w:val="21"/>
                <w:szCs w:val="21"/>
                <w:lang w:val="en-US" w:eastAsia="zh-CN"/>
              </w:rPr>
              <w:t>无组织</w:t>
            </w:r>
          </w:p>
        </w:tc>
        <w:tc>
          <w:tcPr>
            <w:tcW w:w="709" w:type="pct"/>
            <w:tcBorders>
              <w:tl2br w:val="nil"/>
              <w:tr2bl w:val="nil"/>
            </w:tcBorders>
            <w:shd w:val="clear" w:color="auto" w:fill="auto"/>
            <w:vAlign w:val="center"/>
          </w:tcPr>
          <w:p w14:paraId="66C2EB6A">
            <w:pPr>
              <w:pStyle w:val="16"/>
              <w:bidi w:val="0"/>
              <w:rPr>
                <w:rFonts w:hint="default"/>
                <w:color w:val="auto"/>
                <w:sz w:val="21"/>
                <w:szCs w:val="21"/>
              </w:rPr>
            </w:pPr>
            <w:r>
              <w:rPr>
                <w:rFonts w:hint="default"/>
                <w:color w:val="auto"/>
                <w:sz w:val="21"/>
                <w:szCs w:val="21"/>
                <w:lang w:val="en-US" w:eastAsia="zh-CN"/>
              </w:rPr>
              <w:t>0.000129</w:t>
            </w:r>
          </w:p>
        </w:tc>
        <w:tc>
          <w:tcPr>
            <w:tcW w:w="549" w:type="pct"/>
            <w:tcBorders>
              <w:tl2br w:val="nil"/>
              <w:tr2bl w:val="nil"/>
            </w:tcBorders>
            <w:shd w:val="clear" w:color="auto" w:fill="auto"/>
            <w:vAlign w:val="center"/>
          </w:tcPr>
          <w:p w14:paraId="58AE9F98">
            <w:pPr>
              <w:pStyle w:val="16"/>
              <w:bidi w:val="0"/>
              <w:rPr>
                <w:rFonts w:hint="default"/>
                <w:color w:val="auto"/>
                <w:sz w:val="21"/>
                <w:szCs w:val="21"/>
              </w:rPr>
            </w:pPr>
            <w:r>
              <w:rPr>
                <w:rFonts w:hint="default"/>
                <w:color w:val="auto"/>
                <w:sz w:val="21"/>
                <w:szCs w:val="21"/>
                <w:lang w:val="en-US" w:eastAsia="zh-CN"/>
              </w:rPr>
              <w:t xml:space="preserve">0.0011 </w:t>
            </w:r>
          </w:p>
        </w:tc>
        <w:tc>
          <w:tcPr>
            <w:tcW w:w="567" w:type="pct"/>
            <w:tcBorders>
              <w:tl2br w:val="nil"/>
              <w:tr2bl w:val="nil"/>
            </w:tcBorders>
            <w:shd w:val="clear" w:color="auto" w:fill="auto"/>
            <w:vAlign w:val="center"/>
          </w:tcPr>
          <w:p w14:paraId="4F4CE8F8">
            <w:pPr>
              <w:pStyle w:val="16"/>
              <w:bidi w:val="0"/>
              <w:rPr>
                <w:rFonts w:hint="default"/>
                <w:color w:val="auto"/>
                <w:sz w:val="21"/>
                <w:szCs w:val="21"/>
              </w:rPr>
            </w:pPr>
            <w:r>
              <w:rPr>
                <w:rFonts w:hint="default"/>
                <w:color w:val="auto"/>
                <w:sz w:val="21"/>
                <w:szCs w:val="21"/>
                <w:lang w:val="en-US" w:eastAsia="zh-CN"/>
              </w:rPr>
              <w:t>/</w:t>
            </w:r>
          </w:p>
        </w:tc>
      </w:tr>
      <w:tr w14:paraId="642575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restart"/>
            <w:tcBorders>
              <w:tl2br w:val="nil"/>
              <w:tr2bl w:val="nil"/>
            </w:tcBorders>
            <w:shd w:val="clear" w:color="auto" w:fill="auto"/>
            <w:noWrap/>
            <w:vAlign w:val="center"/>
          </w:tcPr>
          <w:p w14:paraId="27E31A84">
            <w:pPr>
              <w:pStyle w:val="16"/>
              <w:bidi w:val="0"/>
              <w:rPr>
                <w:rFonts w:hint="eastAsia"/>
                <w:color w:val="auto"/>
                <w:sz w:val="21"/>
                <w:szCs w:val="21"/>
              </w:rPr>
            </w:pPr>
            <w:r>
              <w:rPr>
                <w:rFonts w:hint="eastAsia"/>
                <w:color w:val="auto"/>
                <w:sz w:val="21"/>
                <w:szCs w:val="21"/>
                <w:lang w:val="en-US" w:eastAsia="zh-CN"/>
              </w:rPr>
              <w:t>合计</w:t>
            </w:r>
          </w:p>
        </w:tc>
        <w:tc>
          <w:tcPr>
            <w:tcW w:w="650" w:type="pct"/>
            <w:vMerge w:val="restart"/>
            <w:tcBorders>
              <w:tl2br w:val="nil"/>
              <w:tr2bl w:val="nil"/>
            </w:tcBorders>
            <w:shd w:val="clear" w:color="auto" w:fill="auto"/>
            <w:vAlign w:val="center"/>
          </w:tcPr>
          <w:p w14:paraId="33670A26">
            <w:pPr>
              <w:pStyle w:val="16"/>
              <w:bidi w:val="0"/>
              <w:ind w:left="0" w:leftChars="0" w:firstLine="0" w:firstLineChars="0"/>
              <w:rPr>
                <w:rFonts w:hint="default"/>
                <w:color w:val="auto"/>
                <w:sz w:val="21"/>
                <w:szCs w:val="21"/>
              </w:rPr>
            </w:pPr>
            <w:r>
              <w:rPr>
                <w:rFonts w:hint="default"/>
                <w:color w:val="auto"/>
                <w:sz w:val="21"/>
                <w:szCs w:val="21"/>
                <w:lang w:val="en-US" w:eastAsia="zh-CN"/>
              </w:rPr>
              <w:t>NH</w:t>
            </w:r>
            <w:r>
              <w:rPr>
                <w:rFonts w:hint="default"/>
                <w:color w:val="auto"/>
                <w:sz w:val="21"/>
                <w:szCs w:val="21"/>
                <w:vertAlign w:val="subscript"/>
                <w:lang w:val="en-US" w:eastAsia="zh-CN"/>
              </w:rPr>
              <w:t>3</w:t>
            </w:r>
          </w:p>
        </w:tc>
        <w:tc>
          <w:tcPr>
            <w:tcW w:w="484" w:type="pct"/>
            <w:vMerge w:val="restart"/>
            <w:tcBorders>
              <w:tl2br w:val="nil"/>
              <w:tr2bl w:val="nil"/>
            </w:tcBorders>
            <w:shd w:val="clear" w:color="auto" w:fill="auto"/>
            <w:noWrap/>
            <w:vAlign w:val="center"/>
          </w:tcPr>
          <w:p w14:paraId="3FC04344">
            <w:pPr>
              <w:pStyle w:val="16"/>
              <w:bidi w:val="0"/>
              <w:rPr>
                <w:rFonts w:hint="eastAsia"/>
                <w:color w:val="auto"/>
                <w:sz w:val="21"/>
                <w:szCs w:val="21"/>
              </w:rPr>
            </w:pPr>
            <w:r>
              <w:rPr>
                <w:rFonts w:hint="eastAsia"/>
                <w:color w:val="auto"/>
                <w:sz w:val="21"/>
                <w:szCs w:val="21"/>
                <w:lang w:val="en-US" w:eastAsia="zh-CN"/>
              </w:rPr>
              <w:t>0.901</w:t>
            </w:r>
          </w:p>
        </w:tc>
        <w:tc>
          <w:tcPr>
            <w:tcW w:w="375" w:type="pct"/>
            <w:vMerge w:val="restart"/>
            <w:tcBorders>
              <w:tl2br w:val="nil"/>
              <w:tr2bl w:val="nil"/>
            </w:tcBorders>
            <w:shd w:val="clear" w:color="auto" w:fill="auto"/>
            <w:vAlign w:val="center"/>
          </w:tcPr>
          <w:p w14:paraId="1D4ABC9F">
            <w:pPr>
              <w:pStyle w:val="16"/>
              <w:bidi w:val="0"/>
              <w:rPr>
                <w:rFonts w:hint="eastAsia"/>
                <w:color w:val="auto"/>
                <w:sz w:val="21"/>
                <w:szCs w:val="21"/>
              </w:rPr>
            </w:pPr>
            <w:r>
              <w:rPr>
                <w:rFonts w:hint="eastAsia"/>
                <w:color w:val="auto"/>
                <w:sz w:val="21"/>
                <w:szCs w:val="21"/>
                <w:lang w:val="en-US" w:eastAsia="zh-CN"/>
              </w:rPr>
              <w:t>95%</w:t>
            </w:r>
          </w:p>
        </w:tc>
        <w:tc>
          <w:tcPr>
            <w:tcW w:w="418" w:type="pct"/>
            <w:tcBorders>
              <w:tl2br w:val="nil"/>
              <w:tr2bl w:val="nil"/>
            </w:tcBorders>
            <w:shd w:val="clear" w:color="auto" w:fill="auto"/>
            <w:vAlign w:val="center"/>
          </w:tcPr>
          <w:p w14:paraId="78364253">
            <w:pPr>
              <w:pStyle w:val="16"/>
              <w:bidi w:val="0"/>
              <w:rPr>
                <w:rFonts w:hint="eastAsia"/>
                <w:color w:val="auto"/>
                <w:sz w:val="21"/>
                <w:szCs w:val="21"/>
              </w:rPr>
            </w:pPr>
            <w:r>
              <w:rPr>
                <w:rFonts w:hint="eastAsia"/>
                <w:color w:val="auto"/>
                <w:sz w:val="21"/>
                <w:szCs w:val="21"/>
                <w:lang w:val="en-US" w:eastAsia="zh-CN"/>
              </w:rPr>
              <w:t>80%</w:t>
            </w:r>
          </w:p>
        </w:tc>
        <w:tc>
          <w:tcPr>
            <w:tcW w:w="460" w:type="pct"/>
            <w:tcBorders>
              <w:tl2br w:val="nil"/>
              <w:tr2bl w:val="nil"/>
            </w:tcBorders>
            <w:shd w:val="clear" w:color="auto" w:fill="auto"/>
            <w:vAlign w:val="center"/>
          </w:tcPr>
          <w:p w14:paraId="052BECF6">
            <w:pPr>
              <w:pStyle w:val="16"/>
              <w:bidi w:val="0"/>
              <w:rPr>
                <w:rFonts w:hint="eastAsia"/>
                <w:color w:val="auto"/>
                <w:sz w:val="21"/>
                <w:szCs w:val="21"/>
              </w:rPr>
            </w:pPr>
            <w:r>
              <w:rPr>
                <w:rFonts w:hint="eastAsia"/>
                <w:color w:val="auto"/>
                <w:sz w:val="21"/>
                <w:szCs w:val="21"/>
                <w:lang w:val="en-US" w:eastAsia="zh-CN"/>
              </w:rPr>
              <w:t>有组织</w:t>
            </w:r>
          </w:p>
        </w:tc>
        <w:tc>
          <w:tcPr>
            <w:tcW w:w="1247" w:type="dxa"/>
            <w:tcBorders>
              <w:tl2br w:val="nil"/>
              <w:tr2bl w:val="nil"/>
            </w:tcBorders>
            <w:shd w:val="clear" w:color="auto" w:fill="auto"/>
            <w:noWrap/>
            <w:vAlign w:val="center"/>
          </w:tcPr>
          <w:p w14:paraId="03943D18">
            <w:pPr>
              <w:pStyle w:val="16"/>
              <w:bidi w:val="0"/>
              <w:rPr>
                <w:rFonts w:hint="eastAsia"/>
                <w:color w:val="auto"/>
              </w:rPr>
            </w:pPr>
            <w:r>
              <w:rPr>
                <w:rFonts w:hint="default"/>
                <w:color w:val="auto"/>
                <w:lang w:val="en-US" w:eastAsia="zh-CN"/>
              </w:rPr>
              <w:t xml:space="preserve">0.1117 </w:t>
            </w:r>
          </w:p>
        </w:tc>
        <w:tc>
          <w:tcPr>
            <w:tcW w:w="965" w:type="dxa"/>
            <w:tcBorders>
              <w:tl2br w:val="nil"/>
              <w:tr2bl w:val="nil"/>
            </w:tcBorders>
            <w:shd w:val="clear" w:color="auto" w:fill="auto"/>
            <w:noWrap/>
            <w:vAlign w:val="center"/>
          </w:tcPr>
          <w:p w14:paraId="24C7ED8C">
            <w:pPr>
              <w:pStyle w:val="16"/>
              <w:bidi w:val="0"/>
              <w:rPr>
                <w:rFonts w:hint="eastAsia"/>
                <w:color w:val="auto"/>
              </w:rPr>
            </w:pPr>
            <w:r>
              <w:rPr>
                <w:rFonts w:hint="default"/>
                <w:color w:val="auto"/>
                <w:lang w:val="en-US" w:eastAsia="zh-CN"/>
              </w:rPr>
              <w:t xml:space="preserve">0.9786 </w:t>
            </w:r>
          </w:p>
        </w:tc>
        <w:tc>
          <w:tcPr>
            <w:tcW w:w="997" w:type="dxa"/>
            <w:tcBorders>
              <w:tl2br w:val="nil"/>
              <w:tr2bl w:val="nil"/>
            </w:tcBorders>
            <w:shd w:val="clear" w:color="auto" w:fill="auto"/>
            <w:noWrap/>
            <w:vAlign w:val="center"/>
          </w:tcPr>
          <w:p w14:paraId="71F25FF0">
            <w:pPr>
              <w:pStyle w:val="16"/>
              <w:bidi w:val="0"/>
              <w:rPr>
                <w:rFonts w:hint="eastAsia"/>
                <w:color w:val="auto"/>
              </w:rPr>
            </w:pPr>
            <w:r>
              <w:rPr>
                <w:rFonts w:hint="default"/>
                <w:color w:val="auto"/>
                <w:lang w:val="en-US" w:eastAsia="zh-CN"/>
              </w:rPr>
              <w:t xml:space="preserve">5.5860 </w:t>
            </w:r>
          </w:p>
        </w:tc>
      </w:tr>
      <w:tr w14:paraId="2E1B72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125B6302">
            <w:pPr>
              <w:pStyle w:val="16"/>
              <w:bidi w:val="0"/>
              <w:rPr>
                <w:rFonts w:hint="eastAsia"/>
                <w:color w:val="auto"/>
                <w:sz w:val="21"/>
                <w:szCs w:val="21"/>
              </w:rPr>
            </w:pPr>
          </w:p>
        </w:tc>
        <w:tc>
          <w:tcPr>
            <w:tcW w:w="650" w:type="pct"/>
            <w:vMerge w:val="continue"/>
            <w:tcBorders>
              <w:tl2br w:val="nil"/>
              <w:tr2bl w:val="nil"/>
            </w:tcBorders>
            <w:shd w:val="clear" w:color="auto" w:fill="auto"/>
            <w:vAlign w:val="center"/>
          </w:tcPr>
          <w:p w14:paraId="002594F4">
            <w:pPr>
              <w:pStyle w:val="16"/>
              <w:bidi w:val="0"/>
              <w:rPr>
                <w:rFonts w:hint="default"/>
                <w:color w:val="auto"/>
                <w:sz w:val="21"/>
                <w:szCs w:val="21"/>
              </w:rPr>
            </w:pPr>
          </w:p>
        </w:tc>
        <w:tc>
          <w:tcPr>
            <w:tcW w:w="484" w:type="pct"/>
            <w:vMerge w:val="continue"/>
            <w:tcBorders>
              <w:tl2br w:val="nil"/>
              <w:tr2bl w:val="nil"/>
            </w:tcBorders>
            <w:shd w:val="clear" w:color="auto" w:fill="auto"/>
            <w:noWrap/>
            <w:vAlign w:val="center"/>
          </w:tcPr>
          <w:p w14:paraId="734E0971">
            <w:pPr>
              <w:pStyle w:val="16"/>
              <w:bidi w:val="0"/>
              <w:rPr>
                <w:rFonts w:hint="eastAsia"/>
                <w:color w:val="auto"/>
                <w:sz w:val="21"/>
                <w:szCs w:val="21"/>
              </w:rPr>
            </w:pPr>
          </w:p>
        </w:tc>
        <w:tc>
          <w:tcPr>
            <w:tcW w:w="375" w:type="pct"/>
            <w:vMerge w:val="continue"/>
            <w:tcBorders>
              <w:tl2br w:val="nil"/>
              <w:tr2bl w:val="nil"/>
            </w:tcBorders>
            <w:shd w:val="clear" w:color="auto" w:fill="auto"/>
            <w:vAlign w:val="center"/>
          </w:tcPr>
          <w:p w14:paraId="0AC29E02">
            <w:pPr>
              <w:pStyle w:val="16"/>
              <w:bidi w:val="0"/>
              <w:rPr>
                <w:rFonts w:hint="eastAsia"/>
                <w:color w:val="auto"/>
                <w:sz w:val="21"/>
                <w:szCs w:val="21"/>
              </w:rPr>
            </w:pPr>
          </w:p>
        </w:tc>
        <w:tc>
          <w:tcPr>
            <w:tcW w:w="418" w:type="pct"/>
            <w:tcBorders>
              <w:tl2br w:val="nil"/>
              <w:tr2bl w:val="nil"/>
            </w:tcBorders>
            <w:shd w:val="clear" w:color="auto" w:fill="auto"/>
            <w:vAlign w:val="center"/>
          </w:tcPr>
          <w:p w14:paraId="7653A217">
            <w:pPr>
              <w:pStyle w:val="16"/>
              <w:bidi w:val="0"/>
              <w:rPr>
                <w:rFonts w:hint="eastAsia"/>
                <w:color w:val="auto"/>
                <w:sz w:val="21"/>
                <w:szCs w:val="21"/>
              </w:rPr>
            </w:pPr>
            <w:r>
              <w:rPr>
                <w:rFonts w:hint="eastAsia"/>
                <w:color w:val="auto"/>
                <w:sz w:val="21"/>
                <w:szCs w:val="21"/>
                <w:lang w:val="en-US" w:eastAsia="zh-CN"/>
              </w:rPr>
              <w:t>95%</w:t>
            </w:r>
          </w:p>
        </w:tc>
        <w:tc>
          <w:tcPr>
            <w:tcW w:w="460" w:type="pct"/>
            <w:tcBorders>
              <w:tl2br w:val="nil"/>
              <w:tr2bl w:val="nil"/>
            </w:tcBorders>
            <w:shd w:val="clear" w:color="auto" w:fill="auto"/>
            <w:vAlign w:val="center"/>
          </w:tcPr>
          <w:p w14:paraId="60B10483">
            <w:pPr>
              <w:pStyle w:val="16"/>
              <w:bidi w:val="0"/>
              <w:rPr>
                <w:rFonts w:hint="eastAsia"/>
                <w:color w:val="auto"/>
                <w:sz w:val="21"/>
                <w:szCs w:val="21"/>
              </w:rPr>
            </w:pPr>
            <w:r>
              <w:rPr>
                <w:rFonts w:hint="eastAsia"/>
                <w:color w:val="auto"/>
                <w:sz w:val="21"/>
                <w:szCs w:val="21"/>
                <w:lang w:val="en-US" w:eastAsia="zh-CN"/>
              </w:rPr>
              <w:t>无组织</w:t>
            </w:r>
          </w:p>
        </w:tc>
        <w:tc>
          <w:tcPr>
            <w:tcW w:w="1247" w:type="dxa"/>
            <w:tcBorders>
              <w:tl2br w:val="nil"/>
              <w:tr2bl w:val="nil"/>
            </w:tcBorders>
            <w:shd w:val="clear" w:color="auto" w:fill="auto"/>
            <w:noWrap/>
            <w:vAlign w:val="center"/>
          </w:tcPr>
          <w:p w14:paraId="412961A2">
            <w:pPr>
              <w:pStyle w:val="16"/>
              <w:bidi w:val="0"/>
              <w:rPr>
                <w:rFonts w:hint="eastAsia"/>
                <w:color w:val="auto"/>
              </w:rPr>
            </w:pPr>
            <w:r>
              <w:rPr>
                <w:rFonts w:hint="default"/>
                <w:color w:val="auto"/>
                <w:lang w:val="en-US" w:eastAsia="zh-CN"/>
              </w:rPr>
              <w:t xml:space="preserve">0.0329 </w:t>
            </w:r>
          </w:p>
        </w:tc>
        <w:tc>
          <w:tcPr>
            <w:tcW w:w="965" w:type="dxa"/>
            <w:tcBorders>
              <w:tl2br w:val="nil"/>
              <w:tr2bl w:val="nil"/>
            </w:tcBorders>
            <w:shd w:val="clear" w:color="auto" w:fill="auto"/>
            <w:noWrap/>
            <w:vAlign w:val="center"/>
          </w:tcPr>
          <w:p w14:paraId="5F69E42A">
            <w:pPr>
              <w:pStyle w:val="16"/>
              <w:bidi w:val="0"/>
              <w:rPr>
                <w:rFonts w:hint="eastAsia"/>
                <w:color w:val="auto"/>
              </w:rPr>
            </w:pPr>
            <w:r>
              <w:rPr>
                <w:rFonts w:hint="default"/>
                <w:color w:val="auto"/>
                <w:lang w:val="en-US" w:eastAsia="zh-CN"/>
              </w:rPr>
              <w:t xml:space="preserve">0.2576 </w:t>
            </w:r>
          </w:p>
        </w:tc>
        <w:tc>
          <w:tcPr>
            <w:tcW w:w="997" w:type="dxa"/>
            <w:tcBorders>
              <w:tl2br w:val="nil"/>
              <w:tr2bl w:val="nil"/>
            </w:tcBorders>
            <w:shd w:val="clear" w:color="auto" w:fill="auto"/>
            <w:noWrap/>
            <w:vAlign w:val="center"/>
          </w:tcPr>
          <w:p w14:paraId="0AD07FBE">
            <w:pPr>
              <w:pStyle w:val="16"/>
              <w:bidi w:val="0"/>
              <w:rPr>
                <w:rFonts w:hint="eastAsia"/>
                <w:color w:val="auto"/>
              </w:rPr>
            </w:pPr>
            <w:r>
              <w:rPr>
                <w:rFonts w:hint="default"/>
                <w:color w:val="auto"/>
                <w:lang w:val="en-US" w:eastAsia="zh-CN"/>
              </w:rPr>
              <w:t>/</w:t>
            </w:r>
          </w:p>
        </w:tc>
      </w:tr>
      <w:tr w14:paraId="106153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68A38CE6">
            <w:pPr>
              <w:pStyle w:val="16"/>
              <w:bidi w:val="0"/>
              <w:rPr>
                <w:rFonts w:hint="eastAsia"/>
                <w:color w:val="auto"/>
                <w:sz w:val="21"/>
                <w:szCs w:val="21"/>
              </w:rPr>
            </w:pPr>
          </w:p>
        </w:tc>
        <w:tc>
          <w:tcPr>
            <w:tcW w:w="650" w:type="pct"/>
            <w:vMerge w:val="restart"/>
            <w:tcBorders>
              <w:tl2br w:val="nil"/>
              <w:tr2bl w:val="nil"/>
            </w:tcBorders>
            <w:shd w:val="clear" w:color="auto" w:fill="auto"/>
            <w:vAlign w:val="center"/>
          </w:tcPr>
          <w:p w14:paraId="2527E2EF">
            <w:pPr>
              <w:pStyle w:val="16"/>
              <w:bidi w:val="0"/>
              <w:ind w:left="0" w:leftChars="0" w:firstLine="0" w:firstLineChars="0"/>
              <w:rPr>
                <w:rFonts w:hint="default"/>
                <w:color w:val="auto"/>
                <w:sz w:val="21"/>
                <w:szCs w:val="21"/>
              </w:rPr>
            </w:pPr>
            <w:r>
              <w:rPr>
                <w:rFonts w:hint="default"/>
                <w:color w:val="auto"/>
                <w:sz w:val="21"/>
                <w:szCs w:val="21"/>
                <w:lang w:val="en-US" w:eastAsia="zh-CN"/>
              </w:rPr>
              <w:t>H</w:t>
            </w:r>
            <w:r>
              <w:rPr>
                <w:rFonts w:hint="default"/>
                <w:color w:val="auto"/>
                <w:sz w:val="21"/>
                <w:szCs w:val="21"/>
                <w:vertAlign w:val="subscript"/>
                <w:lang w:val="en-US" w:eastAsia="zh-CN"/>
              </w:rPr>
              <w:t>2</w:t>
            </w:r>
            <w:r>
              <w:rPr>
                <w:rFonts w:hint="default"/>
                <w:color w:val="auto"/>
                <w:sz w:val="21"/>
                <w:szCs w:val="21"/>
                <w:lang w:val="en-US" w:eastAsia="zh-CN"/>
              </w:rPr>
              <w:t>S</w:t>
            </w:r>
          </w:p>
        </w:tc>
        <w:tc>
          <w:tcPr>
            <w:tcW w:w="484" w:type="pct"/>
            <w:vMerge w:val="restart"/>
            <w:tcBorders>
              <w:tl2br w:val="nil"/>
              <w:tr2bl w:val="nil"/>
            </w:tcBorders>
            <w:shd w:val="clear" w:color="auto" w:fill="auto"/>
            <w:noWrap/>
            <w:vAlign w:val="center"/>
          </w:tcPr>
          <w:p w14:paraId="5B4047BE">
            <w:pPr>
              <w:pStyle w:val="16"/>
              <w:bidi w:val="0"/>
              <w:rPr>
                <w:rFonts w:hint="eastAsia"/>
                <w:color w:val="auto"/>
                <w:sz w:val="21"/>
                <w:szCs w:val="21"/>
              </w:rPr>
            </w:pPr>
            <w:r>
              <w:rPr>
                <w:rFonts w:hint="eastAsia"/>
                <w:color w:val="auto"/>
                <w:sz w:val="21"/>
                <w:szCs w:val="21"/>
                <w:lang w:val="en-US" w:eastAsia="zh-CN"/>
              </w:rPr>
              <w:t>0.02161</w:t>
            </w:r>
          </w:p>
        </w:tc>
        <w:tc>
          <w:tcPr>
            <w:tcW w:w="375" w:type="pct"/>
            <w:vMerge w:val="restart"/>
            <w:tcBorders>
              <w:tl2br w:val="nil"/>
              <w:tr2bl w:val="nil"/>
            </w:tcBorders>
            <w:shd w:val="clear" w:color="auto" w:fill="auto"/>
            <w:vAlign w:val="center"/>
          </w:tcPr>
          <w:p w14:paraId="6F90154E">
            <w:pPr>
              <w:pStyle w:val="16"/>
              <w:bidi w:val="0"/>
              <w:rPr>
                <w:rFonts w:hint="eastAsia"/>
                <w:color w:val="auto"/>
                <w:sz w:val="21"/>
                <w:szCs w:val="21"/>
              </w:rPr>
            </w:pPr>
            <w:r>
              <w:rPr>
                <w:rFonts w:hint="eastAsia"/>
                <w:color w:val="auto"/>
                <w:sz w:val="21"/>
                <w:szCs w:val="21"/>
                <w:lang w:val="en-US" w:eastAsia="zh-CN"/>
              </w:rPr>
              <w:t>95%</w:t>
            </w:r>
          </w:p>
        </w:tc>
        <w:tc>
          <w:tcPr>
            <w:tcW w:w="418" w:type="pct"/>
            <w:tcBorders>
              <w:tl2br w:val="nil"/>
              <w:tr2bl w:val="nil"/>
            </w:tcBorders>
            <w:shd w:val="clear" w:color="auto" w:fill="auto"/>
            <w:vAlign w:val="center"/>
          </w:tcPr>
          <w:p w14:paraId="4B9884FC">
            <w:pPr>
              <w:pStyle w:val="16"/>
              <w:bidi w:val="0"/>
              <w:rPr>
                <w:rFonts w:hint="eastAsia"/>
                <w:color w:val="auto"/>
                <w:sz w:val="21"/>
                <w:szCs w:val="21"/>
              </w:rPr>
            </w:pPr>
            <w:r>
              <w:rPr>
                <w:rFonts w:hint="eastAsia"/>
                <w:color w:val="auto"/>
                <w:sz w:val="21"/>
                <w:szCs w:val="21"/>
                <w:lang w:val="en-US" w:eastAsia="zh-CN"/>
              </w:rPr>
              <w:t>80%</w:t>
            </w:r>
          </w:p>
        </w:tc>
        <w:tc>
          <w:tcPr>
            <w:tcW w:w="460" w:type="pct"/>
            <w:tcBorders>
              <w:tl2br w:val="nil"/>
              <w:tr2bl w:val="nil"/>
            </w:tcBorders>
            <w:shd w:val="clear" w:color="auto" w:fill="auto"/>
            <w:vAlign w:val="center"/>
          </w:tcPr>
          <w:p w14:paraId="0A7CC48A">
            <w:pPr>
              <w:pStyle w:val="16"/>
              <w:bidi w:val="0"/>
              <w:rPr>
                <w:rFonts w:hint="eastAsia"/>
                <w:color w:val="auto"/>
                <w:sz w:val="21"/>
                <w:szCs w:val="21"/>
              </w:rPr>
            </w:pPr>
            <w:r>
              <w:rPr>
                <w:rFonts w:hint="eastAsia"/>
                <w:color w:val="auto"/>
                <w:sz w:val="21"/>
                <w:szCs w:val="21"/>
                <w:lang w:val="en-US" w:eastAsia="zh-CN"/>
              </w:rPr>
              <w:t>有组织</w:t>
            </w:r>
          </w:p>
        </w:tc>
        <w:tc>
          <w:tcPr>
            <w:tcW w:w="1247" w:type="dxa"/>
            <w:tcBorders>
              <w:tl2br w:val="nil"/>
              <w:tr2bl w:val="nil"/>
            </w:tcBorders>
            <w:shd w:val="clear" w:color="auto" w:fill="auto"/>
            <w:noWrap/>
            <w:vAlign w:val="center"/>
          </w:tcPr>
          <w:p w14:paraId="2DD10AD4">
            <w:pPr>
              <w:pStyle w:val="16"/>
              <w:bidi w:val="0"/>
              <w:rPr>
                <w:rFonts w:hint="eastAsia"/>
                <w:color w:val="auto"/>
              </w:rPr>
            </w:pPr>
            <w:r>
              <w:rPr>
                <w:rFonts w:hint="default"/>
                <w:color w:val="auto"/>
                <w:lang w:val="en-US" w:eastAsia="zh-CN"/>
              </w:rPr>
              <w:t xml:space="preserve">0.0035 </w:t>
            </w:r>
          </w:p>
        </w:tc>
        <w:tc>
          <w:tcPr>
            <w:tcW w:w="965" w:type="dxa"/>
            <w:tcBorders>
              <w:tl2br w:val="nil"/>
              <w:tr2bl w:val="nil"/>
            </w:tcBorders>
            <w:shd w:val="clear" w:color="auto" w:fill="auto"/>
            <w:noWrap/>
            <w:vAlign w:val="center"/>
          </w:tcPr>
          <w:p w14:paraId="5BE819EE">
            <w:pPr>
              <w:pStyle w:val="16"/>
              <w:bidi w:val="0"/>
              <w:rPr>
                <w:rFonts w:hint="eastAsia"/>
                <w:color w:val="auto"/>
              </w:rPr>
            </w:pPr>
            <w:r>
              <w:rPr>
                <w:rFonts w:hint="default"/>
                <w:color w:val="auto"/>
                <w:lang w:val="en-US" w:eastAsia="zh-CN"/>
              </w:rPr>
              <w:t xml:space="preserve">0.0307 </w:t>
            </w:r>
          </w:p>
        </w:tc>
        <w:tc>
          <w:tcPr>
            <w:tcW w:w="997" w:type="dxa"/>
            <w:tcBorders>
              <w:tl2br w:val="nil"/>
              <w:tr2bl w:val="nil"/>
            </w:tcBorders>
            <w:shd w:val="clear" w:color="auto" w:fill="auto"/>
            <w:noWrap/>
            <w:vAlign w:val="center"/>
          </w:tcPr>
          <w:p w14:paraId="27322A67">
            <w:pPr>
              <w:pStyle w:val="16"/>
              <w:bidi w:val="0"/>
              <w:rPr>
                <w:rFonts w:hint="eastAsia"/>
                <w:color w:val="auto"/>
              </w:rPr>
            </w:pPr>
            <w:r>
              <w:rPr>
                <w:rFonts w:hint="default"/>
                <w:color w:val="auto"/>
                <w:lang w:val="en-US" w:eastAsia="zh-CN"/>
              </w:rPr>
              <w:t xml:space="preserve">0.1753 </w:t>
            </w:r>
          </w:p>
        </w:tc>
      </w:tr>
      <w:tr w14:paraId="55879D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784" w:type="pct"/>
            <w:vMerge w:val="continue"/>
            <w:tcBorders>
              <w:tl2br w:val="nil"/>
              <w:tr2bl w:val="nil"/>
            </w:tcBorders>
            <w:shd w:val="clear" w:color="auto" w:fill="auto"/>
            <w:noWrap/>
            <w:vAlign w:val="center"/>
          </w:tcPr>
          <w:p w14:paraId="76D89940">
            <w:pPr>
              <w:pStyle w:val="16"/>
              <w:bidi w:val="0"/>
              <w:rPr>
                <w:rFonts w:hint="eastAsia"/>
                <w:color w:val="auto"/>
                <w:sz w:val="21"/>
                <w:szCs w:val="21"/>
              </w:rPr>
            </w:pPr>
          </w:p>
        </w:tc>
        <w:tc>
          <w:tcPr>
            <w:tcW w:w="650" w:type="pct"/>
            <w:vMerge w:val="continue"/>
            <w:tcBorders>
              <w:tl2br w:val="nil"/>
              <w:tr2bl w:val="nil"/>
            </w:tcBorders>
            <w:shd w:val="clear" w:color="auto" w:fill="auto"/>
            <w:vAlign w:val="center"/>
          </w:tcPr>
          <w:p w14:paraId="45CEF9C0">
            <w:pPr>
              <w:pStyle w:val="16"/>
              <w:bidi w:val="0"/>
              <w:rPr>
                <w:rFonts w:hint="default"/>
                <w:color w:val="auto"/>
                <w:sz w:val="21"/>
                <w:szCs w:val="21"/>
              </w:rPr>
            </w:pPr>
          </w:p>
        </w:tc>
        <w:tc>
          <w:tcPr>
            <w:tcW w:w="484" w:type="pct"/>
            <w:vMerge w:val="continue"/>
            <w:tcBorders>
              <w:tl2br w:val="nil"/>
              <w:tr2bl w:val="nil"/>
            </w:tcBorders>
            <w:shd w:val="clear" w:color="auto" w:fill="auto"/>
            <w:noWrap/>
            <w:vAlign w:val="center"/>
          </w:tcPr>
          <w:p w14:paraId="02A83484">
            <w:pPr>
              <w:pStyle w:val="16"/>
              <w:bidi w:val="0"/>
              <w:rPr>
                <w:rFonts w:hint="eastAsia"/>
                <w:color w:val="auto"/>
                <w:sz w:val="21"/>
                <w:szCs w:val="21"/>
              </w:rPr>
            </w:pPr>
          </w:p>
        </w:tc>
        <w:tc>
          <w:tcPr>
            <w:tcW w:w="375" w:type="pct"/>
            <w:vMerge w:val="continue"/>
            <w:tcBorders>
              <w:tl2br w:val="nil"/>
              <w:tr2bl w:val="nil"/>
            </w:tcBorders>
            <w:shd w:val="clear" w:color="auto" w:fill="auto"/>
            <w:vAlign w:val="center"/>
          </w:tcPr>
          <w:p w14:paraId="2416CBBE">
            <w:pPr>
              <w:pStyle w:val="16"/>
              <w:bidi w:val="0"/>
              <w:rPr>
                <w:rFonts w:hint="eastAsia"/>
                <w:color w:val="auto"/>
                <w:sz w:val="21"/>
                <w:szCs w:val="21"/>
              </w:rPr>
            </w:pPr>
          </w:p>
        </w:tc>
        <w:tc>
          <w:tcPr>
            <w:tcW w:w="418" w:type="pct"/>
            <w:tcBorders>
              <w:tl2br w:val="nil"/>
              <w:tr2bl w:val="nil"/>
            </w:tcBorders>
            <w:shd w:val="clear" w:color="auto" w:fill="auto"/>
            <w:vAlign w:val="center"/>
          </w:tcPr>
          <w:p w14:paraId="2D6AE828">
            <w:pPr>
              <w:pStyle w:val="16"/>
              <w:bidi w:val="0"/>
              <w:rPr>
                <w:rFonts w:hint="eastAsia"/>
                <w:color w:val="auto"/>
                <w:sz w:val="21"/>
                <w:szCs w:val="21"/>
              </w:rPr>
            </w:pPr>
            <w:r>
              <w:rPr>
                <w:rFonts w:hint="eastAsia"/>
                <w:color w:val="auto"/>
                <w:sz w:val="21"/>
                <w:szCs w:val="21"/>
                <w:lang w:val="en-US" w:eastAsia="zh-CN"/>
              </w:rPr>
              <w:t>95%</w:t>
            </w:r>
          </w:p>
        </w:tc>
        <w:tc>
          <w:tcPr>
            <w:tcW w:w="460" w:type="pct"/>
            <w:tcBorders>
              <w:tl2br w:val="nil"/>
              <w:tr2bl w:val="nil"/>
            </w:tcBorders>
            <w:shd w:val="clear" w:color="auto" w:fill="auto"/>
            <w:vAlign w:val="center"/>
          </w:tcPr>
          <w:p w14:paraId="44787B55">
            <w:pPr>
              <w:pStyle w:val="16"/>
              <w:bidi w:val="0"/>
              <w:rPr>
                <w:rFonts w:hint="eastAsia"/>
                <w:color w:val="auto"/>
                <w:sz w:val="21"/>
                <w:szCs w:val="21"/>
              </w:rPr>
            </w:pPr>
            <w:r>
              <w:rPr>
                <w:rFonts w:hint="eastAsia"/>
                <w:color w:val="auto"/>
                <w:sz w:val="21"/>
                <w:szCs w:val="21"/>
                <w:lang w:val="en-US" w:eastAsia="zh-CN"/>
              </w:rPr>
              <w:t>无组织</w:t>
            </w:r>
          </w:p>
        </w:tc>
        <w:tc>
          <w:tcPr>
            <w:tcW w:w="1247" w:type="dxa"/>
            <w:tcBorders>
              <w:tl2br w:val="nil"/>
              <w:tr2bl w:val="nil"/>
            </w:tcBorders>
            <w:shd w:val="clear" w:color="auto" w:fill="auto"/>
            <w:noWrap/>
            <w:vAlign w:val="center"/>
          </w:tcPr>
          <w:p w14:paraId="5F5D48D5">
            <w:pPr>
              <w:pStyle w:val="16"/>
              <w:bidi w:val="0"/>
              <w:rPr>
                <w:rFonts w:hint="eastAsia"/>
                <w:color w:val="auto"/>
              </w:rPr>
            </w:pPr>
            <w:r>
              <w:rPr>
                <w:rFonts w:hint="default"/>
                <w:color w:val="auto"/>
                <w:lang w:val="en-US" w:eastAsia="zh-CN"/>
              </w:rPr>
              <w:t xml:space="preserve">0.0009 </w:t>
            </w:r>
          </w:p>
        </w:tc>
        <w:tc>
          <w:tcPr>
            <w:tcW w:w="965" w:type="dxa"/>
            <w:tcBorders>
              <w:tl2br w:val="nil"/>
              <w:tr2bl w:val="nil"/>
            </w:tcBorders>
            <w:shd w:val="clear" w:color="auto" w:fill="auto"/>
            <w:noWrap/>
            <w:vAlign w:val="center"/>
          </w:tcPr>
          <w:p w14:paraId="4144E666">
            <w:pPr>
              <w:pStyle w:val="16"/>
              <w:bidi w:val="0"/>
              <w:rPr>
                <w:rFonts w:hint="eastAsia"/>
                <w:color w:val="auto"/>
              </w:rPr>
            </w:pPr>
            <w:r>
              <w:rPr>
                <w:rFonts w:hint="default"/>
                <w:color w:val="auto"/>
                <w:lang w:val="en-US" w:eastAsia="zh-CN"/>
              </w:rPr>
              <w:t xml:space="preserve">0.0081 </w:t>
            </w:r>
          </w:p>
        </w:tc>
        <w:tc>
          <w:tcPr>
            <w:tcW w:w="997" w:type="dxa"/>
            <w:tcBorders>
              <w:tl2br w:val="nil"/>
              <w:tr2bl w:val="nil"/>
            </w:tcBorders>
            <w:shd w:val="clear" w:color="auto" w:fill="auto"/>
            <w:noWrap/>
            <w:vAlign w:val="center"/>
          </w:tcPr>
          <w:p w14:paraId="54A60748">
            <w:pPr>
              <w:pStyle w:val="16"/>
              <w:bidi w:val="0"/>
              <w:rPr>
                <w:rFonts w:hint="eastAsia"/>
                <w:color w:val="auto"/>
              </w:rPr>
            </w:pPr>
            <w:r>
              <w:rPr>
                <w:rFonts w:hint="default"/>
                <w:color w:val="auto"/>
                <w:lang w:val="en-US" w:eastAsia="zh-CN"/>
              </w:rPr>
              <w:t>/</w:t>
            </w:r>
          </w:p>
        </w:tc>
      </w:tr>
    </w:tbl>
    <w:p w14:paraId="2FBA0B34">
      <w:pPr>
        <w:keepNext w:val="0"/>
        <w:keepLines w:val="0"/>
        <w:pageBreakBefore w:val="0"/>
        <w:widowControl w:val="0"/>
        <w:kinsoku/>
        <w:wordWrap/>
        <w:overflowPunct/>
        <w:topLinePunct w:val="0"/>
        <w:autoSpaceDE/>
        <w:autoSpaceDN/>
        <w:bidi w:val="0"/>
        <w:adjustRightInd/>
        <w:snapToGrid/>
        <w:spacing w:before="144" w:beforeLines="50"/>
        <w:ind w:firstLine="480"/>
        <w:textAlignment w:val="auto"/>
        <w:rPr>
          <w:color w:val="auto"/>
        </w:rPr>
      </w:pPr>
      <w:r>
        <w:rPr>
          <w:color w:val="auto"/>
        </w:rPr>
        <w:t>由上表可知，污水处理厂</w:t>
      </w:r>
      <w:r>
        <w:rPr>
          <w:rFonts w:hint="eastAsia"/>
          <w:color w:val="auto"/>
          <w:lang w:val="en-US" w:eastAsia="zh-CN"/>
        </w:rPr>
        <w:t>废气经</w:t>
      </w:r>
      <w:r>
        <w:rPr>
          <w:color w:val="auto"/>
        </w:rPr>
        <w:t>生物滤池</w:t>
      </w:r>
      <w:r>
        <w:rPr>
          <w:rFonts w:hint="eastAsia"/>
          <w:color w:val="auto"/>
          <w:lang w:val="en-US" w:eastAsia="zh-CN"/>
        </w:rPr>
        <w:t>除臭处理后，经15m高</w:t>
      </w:r>
      <w:r>
        <w:rPr>
          <w:color w:val="auto"/>
        </w:rPr>
        <w:t>排气筒</w:t>
      </w:r>
      <w:r>
        <w:rPr>
          <w:rFonts w:hint="eastAsia"/>
          <w:color w:val="auto"/>
          <w:lang w:val="en-US" w:eastAsia="zh-CN"/>
        </w:rPr>
        <w:t>排放，</w:t>
      </w:r>
      <w:r>
        <w:rPr>
          <w:color w:val="auto"/>
        </w:rPr>
        <w:t>NH</w:t>
      </w:r>
      <w:r>
        <w:rPr>
          <w:color w:val="auto"/>
          <w:vertAlign w:val="subscript"/>
        </w:rPr>
        <w:t>3</w:t>
      </w:r>
      <w:r>
        <w:rPr>
          <w:color w:val="auto"/>
        </w:rPr>
        <w:t>和H</w:t>
      </w:r>
      <w:r>
        <w:rPr>
          <w:color w:val="auto"/>
          <w:vertAlign w:val="subscript"/>
        </w:rPr>
        <w:t>2</w:t>
      </w:r>
      <w:r>
        <w:rPr>
          <w:color w:val="auto"/>
        </w:rPr>
        <w:t>S的排放速率均能够满足《恶臭污染物排放标准》</w:t>
      </w:r>
      <w:r>
        <w:rPr>
          <w:rFonts w:hint="eastAsia"/>
          <w:color w:val="auto"/>
          <w:lang w:eastAsia="zh-CN"/>
        </w:rPr>
        <w:t>（</w:t>
      </w:r>
      <w:r>
        <w:rPr>
          <w:color w:val="auto"/>
        </w:rPr>
        <w:t>GB14554-93</w:t>
      </w:r>
      <w:r>
        <w:rPr>
          <w:rFonts w:hint="eastAsia"/>
          <w:color w:val="auto"/>
          <w:lang w:eastAsia="zh-CN"/>
        </w:rPr>
        <w:t>）</w:t>
      </w:r>
      <w:r>
        <w:rPr>
          <w:color w:val="auto"/>
        </w:rPr>
        <w:t>表2中二级排放标准的要求，达标排放。</w:t>
      </w:r>
    </w:p>
    <w:p w14:paraId="562F9703">
      <w:pPr>
        <w:bidi w:val="0"/>
        <w:rPr>
          <w:color w:val="auto"/>
        </w:rPr>
      </w:pPr>
      <w:r>
        <w:rPr>
          <w:rFonts w:hint="eastAsia"/>
          <w:b/>
          <w:bCs/>
          <w:color w:val="auto"/>
          <w:lang w:val="en-US" w:eastAsia="zh-CN"/>
        </w:rPr>
        <w:t>2、食堂油烟</w:t>
      </w:r>
    </w:p>
    <w:p w14:paraId="6E07159D">
      <w:pPr>
        <w:bidi w:val="0"/>
        <w:rPr>
          <w:color w:val="auto"/>
        </w:rPr>
      </w:pPr>
      <w:r>
        <w:rPr>
          <w:color w:val="auto"/>
        </w:rPr>
        <w:t>（1）产生源强</w:t>
      </w:r>
    </w:p>
    <w:p w14:paraId="2A3D2F48">
      <w:pPr>
        <w:bidi w:val="0"/>
        <w:rPr>
          <w:color w:val="auto"/>
        </w:rPr>
      </w:pPr>
      <w:r>
        <w:rPr>
          <w:color w:val="auto"/>
        </w:rPr>
        <w:t>本项目在综合楼第1F设置有员工食堂，供全厂职工就餐。食堂烹饪过程会产生油烟废气，根据第二次全国污染源普查《排放源统计调查产排污核算方法和系数手册</w:t>
      </w:r>
      <w:r>
        <w:rPr>
          <w:rFonts w:hint="eastAsia"/>
          <w:color w:val="auto"/>
        </w:rPr>
        <w:t>-生活污染源产排污系数手册</w:t>
      </w:r>
      <w:r>
        <w:rPr>
          <w:color w:val="auto"/>
        </w:rPr>
        <w:t>》，四川属于</w:t>
      </w:r>
      <w:r>
        <w:rPr>
          <w:rFonts w:hint="eastAsia"/>
          <w:color w:val="auto"/>
          <w:lang w:val="en-US" w:eastAsia="zh-CN"/>
        </w:rPr>
        <w:t>三</w:t>
      </w:r>
      <w:r>
        <w:rPr>
          <w:color w:val="auto"/>
        </w:rPr>
        <w:t>区，餐饮油烟排污系数为</w:t>
      </w:r>
      <w:r>
        <w:rPr>
          <w:rFonts w:hint="eastAsia"/>
          <w:color w:val="auto"/>
          <w:lang w:val="en-US" w:eastAsia="zh-CN"/>
        </w:rPr>
        <w:t>301</w:t>
      </w:r>
      <w:r>
        <w:rPr>
          <w:color w:val="auto"/>
        </w:rPr>
        <w:t>g/人•年，本项目用餐人数为</w:t>
      </w:r>
      <w:r>
        <w:rPr>
          <w:rFonts w:hint="eastAsia"/>
          <w:color w:val="auto"/>
          <w:lang w:val="en-US" w:eastAsia="zh-CN"/>
        </w:rPr>
        <w:t>18</w:t>
      </w:r>
      <w:r>
        <w:rPr>
          <w:color w:val="auto"/>
        </w:rPr>
        <w:t>人，则本项目食堂油烟产生量为</w:t>
      </w:r>
      <w:r>
        <w:rPr>
          <w:rFonts w:hint="eastAsia"/>
          <w:color w:val="auto"/>
          <w:lang w:val="en-US" w:eastAsia="zh-CN"/>
        </w:rPr>
        <w:t>5.418</w:t>
      </w:r>
      <w:r>
        <w:rPr>
          <w:color w:val="auto"/>
        </w:rPr>
        <w:t>kg/a。</w:t>
      </w:r>
    </w:p>
    <w:p w14:paraId="55B1F1D5">
      <w:pPr>
        <w:pageBreakBefore w:val="0"/>
        <w:wordWrap/>
        <w:bidi w:val="0"/>
        <w:adjustRightInd/>
        <w:snapToGrid/>
        <w:rPr>
          <w:b/>
          <w:bCs/>
          <w:color w:val="auto"/>
        </w:rPr>
      </w:pPr>
      <w:r>
        <w:rPr>
          <w:b/>
          <w:bCs/>
          <w:color w:val="auto"/>
        </w:rPr>
        <w:t>（2）治理措施</w:t>
      </w:r>
    </w:p>
    <w:p w14:paraId="548E6AC4">
      <w:pPr>
        <w:pageBreakBefore w:val="0"/>
        <w:wordWrap/>
        <w:bidi w:val="0"/>
        <w:adjustRightInd/>
        <w:snapToGrid/>
        <w:rPr>
          <w:color w:val="auto"/>
        </w:rPr>
      </w:pPr>
      <w:r>
        <w:rPr>
          <w:color w:val="auto"/>
        </w:rPr>
        <w:t>拟在灶台上方设集气罩（处理风量3000</w:t>
      </w:r>
      <w:r>
        <w:rPr>
          <w:rFonts w:hint="eastAsia"/>
          <w:color w:val="auto"/>
          <w:lang w:eastAsia="zh-CN"/>
        </w:rPr>
        <w:t>m³</w:t>
      </w:r>
      <w:r>
        <w:rPr>
          <w:color w:val="auto"/>
        </w:rPr>
        <w:t>/h），油烟经集气罩收集后经油烟净化器（</w:t>
      </w:r>
      <w:r>
        <w:rPr>
          <w:rFonts w:hint="eastAsia"/>
          <w:color w:val="auto"/>
          <w:lang w:val="en-US" w:eastAsia="zh-CN"/>
        </w:rPr>
        <w:t>收集效率90%，</w:t>
      </w:r>
      <w:r>
        <w:rPr>
          <w:color w:val="auto"/>
        </w:rPr>
        <w:t>净化效率以</w:t>
      </w:r>
      <w:r>
        <w:rPr>
          <w:rFonts w:hint="eastAsia"/>
          <w:color w:val="auto"/>
          <w:lang w:val="en-US" w:eastAsia="zh-CN"/>
        </w:rPr>
        <w:t>60</w:t>
      </w:r>
      <w:r>
        <w:rPr>
          <w:color w:val="auto"/>
        </w:rPr>
        <w:t>%计）处理后，最后经排气筒引至综合楼楼顶排放。</w:t>
      </w:r>
      <w:r>
        <w:rPr>
          <w:rFonts w:hint="eastAsia"/>
          <w:color w:val="auto"/>
          <w:lang w:val="en-US" w:eastAsia="zh-CN"/>
        </w:rPr>
        <w:t>食堂油烟集中排放时间约为6h（按每天3餐，每餐2h），则</w:t>
      </w:r>
      <w:r>
        <w:rPr>
          <w:color w:val="auto"/>
        </w:rPr>
        <w:t>采取以上措施处理后食堂油烟排放量为0.00</w:t>
      </w:r>
      <w:r>
        <w:rPr>
          <w:rFonts w:hint="eastAsia"/>
          <w:color w:val="auto"/>
          <w:lang w:val="en-US" w:eastAsia="zh-CN"/>
        </w:rPr>
        <w:t>53kg</w:t>
      </w:r>
      <w:r>
        <w:rPr>
          <w:color w:val="auto"/>
        </w:rPr>
        <w:t>/</w:t>
      </w:r>
      <w:r>
        <w:rPr>
          <w:rFonts w:hint="eastAsia"/>
          <w:color w:val="auto"/>
          <w:lang w:val="en-US" w:eastAsia="zh-CN"/>
        </w:rPr>
        <w:t>d</w:t>
      </w:r>
      <w:r>
        <w:rPr>
          <w:rFonts w:hint="eastAsia"/>
          <w:color w:val="auto"/>
          <w:lang w:eastAsia="zh-CN"/>
        </w:rPr>
        <w:t>，</w:t>
      </w:r>
      <w:r>
        <w:rPr>
          <w:rFonts w:hint="eastAsia"/>
          <w:color w:val="auto"/>
          <w:lang w:val="en-US" w:eastAsia="zh-CN"/>
        </w:rPr>
        <w:t>0.297</w:t>
      </w:r>
      <w:r>
        <w:rPr>
          <w:color w:val="auto"/>
        </w:rPr>
        <w:t>mg/m</w:t>
      </w:r>
      <w:r>
        <w:rPr>
          <w:rFonts w:hint="eastAsia"/>
          <w:color w:val="auto"/>
          <w:lang w:val="en-US" w:eastAsia="zh-CN"/>
        </w:rPr>
        <w:t>³</w:t>
      </w:r>
      <w:r>
        <w:rPr>
          <w:color w:val="auto"/>
        </w:rPr>
        <w:t>，能够满足《饮食业油烟排放标准（试行）》（GB18483-2001）标准要求（油烟排放浓度不得超过2.0mg/m</w:t>
      </w:r>
      <w:r>
        <w:rPr>
          <w:rFonts w:hint="eastAsia"/>
          <w:color w:val="auto"/>
          <w:lang w:val="en-US" w:eastAsia="zh-CN"/>
        </w:rPr>
        <w:t>³</w:t>
      </w:r>
      <w:r>
        <w:rPr>
          <w:color w:val="auto"/>
        </w:rPr>
        <w:t>）。</w:t>
      </w:r>
    </w:p>
    <w:p w14:paraId="7DBC78E7">
      <w:pPr>
        <w:pStyle w:val="5"/>
        <w:pageBreakBefore w:val="0"/>
        <w:wordWrap/>
        <w:bidi w:val="0"/>
        <w:adjustRightInd/>
        <w:snapToGrid/>
        <w:spacing w:before="48" w:after="48"/>
        <w:ind w:left="0"/>
        <w:rPr>
          <w:rFonts w:eastAsia="宋体"/>
          <w:color w:val="auto"/>
        </w:rPr>
      </w:pPr>
      <w:r>
        <w:rPr>
          <w:rFonts w:hint="eastAsia"/>
          <w:color w:val="auto"/>
          <w:lang w:val="en-US" w:eastAsia="zh-CN"/>
        </w:rPr>
        <w:t xml:space="preserve"> </w:t>
      </w:r>
      <w:r>
        <w:rPr>
          <w:rFonts w:eastAsia="宋体"/>
          <w:color w:val="auto"/>
        </w:rPr>
        <w:t>营运期噪声产生及治理措施</w:t>
      </w:r>
      <w:r>
        <w:rPr>
          <w:rFonts w:hint="eastAsia"/>
          <w:color w:val="auto"/>
          <w:lang w:val="en-US" w:eastAsia="zh-CN"/>
        </w:rPr>
        <w:t xml:space="preserve"> </w:t>
      </w:r>
    </w:p>
    <w:p w14:paraId="2B69DFCF">
      <w:pPr>
        <w:pageBreakBefore w:val="0"/>
        <w:widowControl/>
        <w:wordWrap/>
        <w:bidi w:val="0"/>
        <w:adjustRightInd/>
        <w:snapToGrid/>
        <w:ind w:firstLine="480"/>
        <w:jc w:val="left"/>
        <w:rPr>
          <w:color w:val="auto"/>
          <w:kern w:val="0"/>
          <w:lang w:bidi="ar"/>
        </w:rPr>
      </w:pPr>
      <w:r>
        <w:rPr>
          <w:color w:val="auto"/>
          <w:kern w:val="0"/>
          <w:lang w:bidi="ar"/>
        </w:rPr>
        <w:t>项目噪声源主要来源于各类水泵、鼓风机、污泥脱水机等，</w:t>
      </w:r>
      <w:r>
        <w:rPr>
          <w:rFonts w:hint="eastAsia"/>
          <w:color w:val="auto"/>
          <w:kern w:val="0"/>
          <w:lang w:val="en-US" w:eastAsia="zh-CN" w:bidi="ar"/>
        </w:rPr>
        <w:t>水泵和设备等均位于室内或池体内，均视为位于室内，</w:t>
      </w:r>
      <w:r>
        <w:rPr>
          <w:color w:val="auto"/>
          <w:kern w:val="0"/>
          <w:lang w:bidi="ar"/>
        </w:rPr>
        <w:t>噪声源强</w:t>
      </w:r>
      <w:r>
        <w:rPr>
          <w:rFonts w:hint="eastAsia"/>
          <w:color w:val="auto"/>
          <w:kern w:val="0"/>
          <w:lang w:val="en-US" w:eastAsia="zh-CN" w:bidi="ar"/>
        </w:rPr>
        <w:t>75</w:t>
      </w:r>
      <w:r>
        <w:rPr>
          <w:color w:val="auto"/>
          <w:kern w:val="0"/>
          <w:lang w:bidi="ar"/>
        </w:rPr>
        <w:t>~</w:t>
      </w:r>
      <w:r>
        <w:rPr>
          <w:rFonts w:hint="eastAsia"/>
          <w:color w:val="auto"/>
          <w:kern w:val="0"/>
          <w:lang w:val="en-US" w:eastAsia="zh-CN" w:bidi="ar"/>
        </w:rPr>
        <w:t>90</w:t>
      </w:r>
      <w:r>
        <w:rPr>
          <w:color w:val="auto"/>
          <w:kern w:val="0"/>
          <w:lang w:bidi="ar"/>
        </w:rPr>
        <w:t>dB</w:t>
      </w:r>
      <w:r>
        <w:rPr>
          <w:rFonts w:hint="eastAsia"/>
          <w:color w:val="auto"/>
          <w:kern w:val="0"/>
          <w:lang w:eastAsia="zh-CN" w:bidi="ar"/>
        </w:rPr>
        <w:t>（</w:t>
      </w:r>
      <w:r>
        <w:rPr>
          <w:color w:val="auto"/>
          <w:kern w:val="0"/>
          <w:lang w:bidi="ar"/>
        </w:rPr>
        <w:t>A</w:t>
      </w:r>
      <w:r>
        <w:rPr>
          <w:rFonts w:hint="eastAsia"/>
          <w:color w:val="auto"/>
          <w:kern w:val="0"/>
          <w:lang w:eastAsia="zh-CN" w:bidi="ar"/>
        </w:rPr>
        <w:t>）</w:t>
      </w:r>
      <w:r>
        <w:rPr>
          <w:color w:val="auto"/>
          <w:kern w:val="0"/>
          <w:lang w:bidi="ar"/>
        </w:rPr>
        <w:t>之间。项目各类噪声源源强、拟采取的治理措施及治理后的声级值如下：</w:t>
      </w:r>
    </w:p>
    <w:p w14:paraId="7374AACF">
      <w:pPr>
        <w:pStyle w:val="47"/>
        <w:pageBreakBefore w:val="0"/>
        <w:wordWrap/>
        <w:bidi w:val="0"/>
        <w:adjustRightInd/>
        <w:snapToGrid/>
        <w:rPr>
          <w:color w:val="auto"/>
          <w:kern w:val="0"/>
          <w:lang w:bidi="ar"/>
        </w:rPr>
        <w:sectPr>
          <w:pgSz w:w="11906" w:h="16838"/>
          <w:pgMar w:top="1440" w:right="1588" w:bottom="1440" w:left="1588" w:header="720" w:footer="720" w:gutter="0"/>
          <w:pgBorders>
            <w:top w:val="none" w:sz="0" w:space="0"/>
            <w:left w:val="none" w:sz="0" w:space="0"/>
            <w:bottom w:val="none" w:sz="0" w:space="0"/>
            <w:right w:val="none" w:sz="0" w:space="0"/>
          </w:pgBorders>
          <w:pgNumType w:fmt="decimal"/>
          <w:cols w:space="720" w:num="1"/>
          <w:docGrid w:linePitch="286" w:charSpace="0"/>
        </w:sectPr>
      </w:pPr>
    </w:p>
    <w:p w14:paraId="52843AAF">
      <w:pPr>
        <w:pStyle w:val="19"/>
        <w:numPr>
          <w:ilvl w:val="0"/>
          <w:numId w:val="25"/>
        </w:numPr>
        <w:bidi w:val="0"/>
        <w:ind w:left="0" w:leftChars="0" w:firstLine="0" w:firstLineChars="0"/>
        <w:rPr>
          <w:color w:val="auto"/>
        </w:rPr>
      </w:pPr>
      <w:r>
        <w:rPr>
          <w:rFonts w:hint="eastAsia"/>
          <w:color w:val="auto"/>
          <w:lang w:val="en-US" w:eastAsia="zh-CN"/>
        </w:rPr>
        <w:t xml:space="preserve"> </w:t>
      </w:r>
      <w:r>
        <w:rPr>
          <w:color w:val="auto"/>
        </w:rPr>
        <w:t>工业企业噪声源强调查清单（室内声源）</w:t>
      </w:r>
    </w:p>
    <w:tbl>
      <w:tblPr>
        <w:tblStyle w:val="706"/>
        <w:tblW w:w="4997"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453"/>
        <w:gridCol w:w="528"/>
        <w:gridCol w:w="1743"/>
        <w:gridCol w:w="799"/>
        <w:gridCol w:w="1039"/>
        <w:gridCol w:w="1039"/>
        <w:gridCol w:w="595"/>
        <w:gridCol w:w="592"/>
        <w:gridCol w:w="601"/>
        <w:gridCol w:w="939"/>
        <w:gridCol w:w="1218"/>
        <w:gridCol w:w="735"/>
        <w:gridCol w:w="1296"/>
        <w:gridCol w:w="791"/>
        <w:gridCol w:w="796"/>
        <w:gridCol w:w="786"/>
      </w:tblGrid>
      <w:tr w14:paraId="39175D5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vMerge w:val="restart"/>
            <w:tcBorders>
              <w:tl2br w:val="nil"/>
              <w:tr2bl w:val="nil"/>
            </w:tcBorders>
            <w:shd w:val="clear" w:color="auto" w:fill="D8D8D8"/>
            <w:vAlign w:val="center"/>
          </w:tcPr>
          <w:p w14:paraId="0AF8D1DC">
            <w:pPr>
              <w:pStyle w:val="16"/>
              <w:pageBreakBefore w:val="0"/>
              <w:wordWrap/>
              <w:bidi w:val="0"/>
              <w:adjustRightInd/>
              <w:snapToGrid/>
              <w:rPr>
                <w:b/>
                <w:bCs/>
                <w:color w:val="auto"/>
                <w:sz w:val="21"/>
                <w:szCs w:val="21"/>
              </w:rPr>
            </w:pPr>
            <w:r>
              <w:rPr>
                <w:b/>
                <w:bCs/>
                <w:color w:val="auto"/>
                <w:sz w:val="21"/>
                <w:szCs w:val="21"/>
              </w:rPr>
              <w:t>序号</w:t>
            </w:r>
          </w:p>
        </w:tc>
        <w:tc>
          <w:tcPr>
            <w:tcW w:w="189" w:type="pct"/>
            <w:vMerge w:val="restart"/>
            <w:tcBorders>
              <w:tl2br w:val="nil"/>
              <w:tr2bl w:val="nil"/>
            </w:tcBorders>
            <w:shd w:val="clear" w:color="auto" w:fill="D8D8D8"/>
            <w:vAlign w:val="center"/>
          </w:tcPr>
          <w:p w14:paraId="05462E1E">
            <w:pPr>
              <w:pStyle w:val="16"/>
              <w:pageBreakBefore w:val="0"/>
              <w:wordWrap/>
              <w:bidi w:val="0"/>
              <w:adjustRightInd/>
              <w:snapToGrid/>
              <w:rPr>
                <w:b/>
                <w:bCs/>
                <w:color w:val="auto"/>
                <w:sz w:val="21"/>
                <w:szCs w:val="21"/>
              </w:rPr>
            </w:pPr>
            <w:r>
              <w:rPr>
                <w:b/>
                <w:bCs/>
                <w:color w:val="auto"/>
                <w:sz w:val="21"/>
                <w:szCs w:val="21"/>
              </w:rPr>
              <w:t>工序位置</w:t>
            </w:r>
          </w:p>
        </w:tc>
        <w:tc>
          <w:tcPr>
            <w:tcW w:w="624" w:type="pct"/>
            <w:vMerge w:val="restart"/>
            <w:tcBorders>
              <w:tl2br w:val="nil"/>
              <w:tr2bl w:val="nil"/>
            </w:tcBorders>
            <w:shd w:val="clear" w:color="auto" w:fill="D8D8D8"/>
            <w:vAlign w:val="center"/>
          </w:tcPr>
          <w:p w14:paraId="36079A22">
            <w:pPr>
              <w:pStyle w:val="16"/>
              <w:pageBreakBefore w:val="0"/>
              <w:wordWrap/>
              <w:bidi w:val="0"/>
              <w:adjustRightInd/>
              <w:snapToGrid/>
              <w:rPr>
                <w:b/>
                <w:bCs/>
                <w:color w:val="auto"/>
                <w:sz w:val="21"/>
                <w:szCs w:val="21"/>
              </w:rPr>
            </w:pPr>
            <w:r>
              <w:rPr>
                <w:b/>
                <w:bCs/>
                <w:color w:val="auto"/>
                <w:sz w:val="21"/>
                <w:szCs w:val="21"/>
              </w:rPr>
              <w:t>设备名称</w:t>
            </w:r>
          </w:p>
        </w:tc>
        <w:tc>
          <w:tcPr>
            <w:tcW w:w="286" w:type="pct"/>
            <w:vMerge w:val="restart"/>
            <w:tcBorders>
              <w:tl2br w:val="nil"/>
              <w:tr2bl w:val="nil"/>
            </w:tcBorders>
            <w:shd w:val="clear" w:color="auto" w:fill="D8D8D8"/>
            <w:vAlign w:val="center"/>
          </w:tcPr>
          <w:p w14:paraId="7F4B6992">
            <w:pPr>
              <w:pStyle w:val="16"/>
              <w:pageBreakBefore w:val="0"/>
              <w:wordWrap/>
              <w:bidi w:val="0"/>
              <w:adjustRightInd/>
              <w:snapToGrid/>
              <w:rPr>
                <w:rFonts w:hint="eastAsia" w:eastAsia="宋体"/>
                <w:b/>
                <w:bCs/>
                <w:color w:val="auto"/>
                <w:sz w:val="21"/>
                <w:szCs w:val="21"/>
                <w:lang w:eastAsia="zh-CN"/>
              </w:rPr>
            </w:pPr>
            <w:r>
              <w:rPr>
                <w:rFonts w:hint="eastAsia"/>
                <w:b/>
                <w:bCs/>
                <w:color w:val="auto"/>
                <w:sz w:val="21"/>
                <w:szCs w:val="21"/>
                <w:lang w:val="en-US" w:eastAsia="zh-CN"/>
              </w:rPr>
              <w:t>数量</w:t>
            </w:r>
          </w:p>
        </w:tc>
        <w:tc>
          <w:tcPr>
            <w:tcW w:w="372" w:type="pct"/>
            <w:vMerge w:val="restart"/>
            <w:tcBorders>
              <w:tl2br w:val="nil"/>
              <w:tr2bl w:val="nil"/>
            </w:tcBorders>
            <w:shd w:val="clear" w:color="auto" w:fill="D8D8D8"/>
            <w:vAlign w:val="center"/>
          </w:tcPr>
          <w:p w14:paraId="45662017">
            <w:pPr>
              <w:pStyle w:val="16"/>
              <w:pageBreakBefore w:val="0"/>
              <w:wordWrap/>
              <w:bidi w:val="0"/>
              <w:adjustRightInd/>
              <w:snapToGrid/>
              <w:rPr>
                <w:b/>
                <w:bCs/>
                <w:color w:val="auto"/>
                <w:sz w:val="21"/>
                <w:szCs w:val="21"/>
              </w:rPr>
            </w:pPr>
            <w:r>
              <w:rPr>
                <w:b/>
                <w:bCs/>
                <w:color w:val="auto"/>
                <w:sz w:val="21"/>
                <w:szCs w:val="21"/>
              </w:rPr>
              <w:t>声源源强 /dB（A）</w:t>
            </w:r>
          </w:p>
        </w:tc>
        <w:tc>
          <w:tcPr>
            <w:tcW w:w="372" w:type="pct"/>
            <w:vMerge w:val="restart"/>
            <w:tcBorders>
              <w:tl2br w:val="nil"/>
              <w:tr2bl w:val="nil"/>
            </w:tcBorders>
            <w:shd w:val="clear" w:color="auto" w:fill="D8D8D8"/>
            <w:vAlign w:val="center"/>
          </w:tcPr>
          <w:p w14:paraId="176EA022">
            <w:pPr>
              <w:pStyle w:val="16"/>
              <w:pageBreakBefore w:val="0"/>
              <w:wordWrap/>
              <w:bidi w:val="0"/>
              <w:adjustRightInd/>
              <w:snapToGrid/>
              <w:rPr>
                <w:b/>
                <w:bCs/>
                <w:color w:val="auto"/>
                <w:sz w:val="21"/>
                <w:szCs w:val="21"/>
              </w:rPr>
            </w:pPr>
            <w:r>
              <w:rPr>
                <w:b/>
                <w:bCs/>
                <w:color w:val="auto"/>
                <w:sz w:val="21"/>
                <w:szCs w:val="21"/>
              </w:rPr>
              <w:t>声源控制措施</w:t>
            </w:r>
          </w:p>
        </w:tc>
        <w:tc>
          <w:tcPr>
            <w:tcW w:w="640" w:type="pct"/>
            <w:gridSpan w:val="3"/>
            <w:tcBorders>
              <w:tl2br w:val="nil"/>
              <w:tr2bl w:val="nil"/>
            </w:tcBorders>
            <w:shd w:val="clear" w:color="auto" w:fill="D8D8D8"/>
            <w:vAlign w:val="center"/>
          </w:tcPr>
          <w:p w14:paraId="55F91C4F">
            <w:pPr>
              <w:pStyle w:val="16"/>
              <w:pageBreakBefore w:val="0"/>
              <w:wordWrap/>
              <w:bidi w:val="0"/>
              <w:adjustRightInd/>
              <w:snapToGrid/>
              <w:rPr>
                <w:b/>
                <w:bCs/>
                <w:color w:val="auto"/>
                <w:sz w:val="21"/>
                <w:szCs w:val="21"/>
              </w:rPr>
            </w:pPr>
            <w:r>
              <w:rPr>
                <w:b/>
                <w:bCs/>
                <w:color w:val="auto"/>
                <w:sz w:val="21"/>
                <w:szCs w:val="21"/>
              </w:rPr>
              <w:t>空间相对位置/m</w:t>
            </w:r>
          </w:p>
        </w:tc>
        <w:tc>
          <w:tcPr>
            <w:tcW w:w="336" w:type="pct"/>
            <w:vMerge w:val="restart"/>
            <w:tcBorders>
              <w:tl2br w:val="nil"/>
              <w:tr2bl w:val="nil"/>
            </w:tcBorders>
            <w:shd w:val="clear" w:color="auto" w:fill="D8D8D8"/>
            <w:vAlign w:val="center"/>
          </w:tcPr>
          <w:p w14:paraId="557A7472">
            <w:pPr>
              <w:pStyle w:val="16"/>
              <w:pageBreakBefore w:val="0"/>
              <w:wordWrap/>
              <w:bidi w:val="0"/>
              <w:adjustRightInd/>
              <w:snapToGrid/>
              <w:rPr>
                <w:b/>
                <w:bCs/>
                <w:color w:val="auto"/>
                <w:sz w:val="21"/>
                <w:szCs w:val="21"/>
              </w:rPr>
            </w:pPr>
            <w:r>
              <w:rPr>
                <w:b/>
                <w:bCs/>
                <w:color w:val="auto"/>
                <w:sz w:val="21"/>
                <w:szCs w:val="21"/>
              </w:rPr>
              <w:t>距室内边界距离/m</w:t>
            </w:r>
          </w:p>
        </w:tc>
        <w:tc>
          <w:tcPr>
            <w:tcW w:w="436" w:type="pct"/>
            <w:vMerge w:val="restart"/>
            <w:tcBorders>
              <w:tl2br w:val="nil"/>
              <w:tr2bl w:val="nil"/>
            </w:tcBorders>
            <w:shd w:val="clear" w:color="auto" w:fill="D8D8D8"/>
            <w:vAlign w:val="center"/>
          </w:tcPr>
          <w:p w14:paraId="0ED86F59">
            <w:pPr>
              <w:pStyle w:val="16"/>
              <w:pageBreakBefore w:val="0"/>
              <w:wordWrap/>
              <w:bidi w:val="0"/>
              <w:adjustRightInd/>
              <w:snapToGrid/>
              <w:rPr>
                <w:b/>
                <w:bCs/>
                <w:color w:val="auto"/>
                <w:sz w:val="21"/>
                <w:szCs w:val="21"/>
              </w:rPr>
            </w:pPr>
            <w:r>
              <w:rPr>
                <w:b/>
                <w:bCs/>
                <w:color w:val="auto"/>
                <w:sz w:val="21"/>
                <w:szCs w:val="21"/>
              </w:rPr>
              <w:t>室内边界声级/dB（A）</w:t>
            </w:r>
          </w:p>
        </w:tc>
        <w:tc>
          <w:tcPr>
            <w:tcW w:w="263" w:type="pct"/>
            <w:vMerge w:val="restart"/>
            <w:tcBorders>
              <w:tl2br w:val="nil"/>
              <w:tr2bl w:val="nil"/>
            </w:tcBorders>
            <w:shd w:val="clear" w:color="auto" w:fill="D8D8D8"/>
            <w:vAlign w:val="center"/>
          </w:tcPr>
          <w:p w14:paraId="2462A130">
            <w:pPr>
              <w:pStyle w:val="16"/>
              <w:pageBreakBefore w:val="0"/>
              <w:wordWrap/>
              <w:bidi w:val="0"/>
              <w:adjustRightInd/>
              <w:snapToGrid/>
              <w:rPr>
                <w:b/>
                <w:bCs/>
                <w:color w:val="auto"/>
                <w:sz w:val="21"/>
                <w:szCs w:val="21"/>
              </w:rPr>
            </w:pPr>
            <w:r>
              <w:rPr>
                <w:b/>
                <w:bCs/>
                <w:color w:val="auto"/>
                <w:sz w:val="21"/>
                <w:szCs w:val="21"/>
              </w:rPr>
              <w:t>运行时段</w:t>
            </w:r>
          </w:p>
        </w:tc>
        <w:tc>
          <w:tcPr>
            <w:tcW w:w="464" w:type="pct"/>
            <w:vMerge w:val="restart"/>
            <w:tcBorders>
              <w:tl2br w:val="nil"/>
              <w:tr2bl w:val="nil"/>
            </w:tcBorders>
            <w:shd w:val="clear" w:color="auto" w:fill="D8D8D8"/>
            <w:vAlign w:val="center"/>
          </w:tcPr>
          <w:p w14:paraId="4303F4FE">
            <w:pPr>
              <w:pStyle w:val="16"/>
              <w:pageBreakBefore w:val="0"/>
              <w:wordWrap/>
              <w:bidi w:val="0"/>
              <w:adjustRightInd/>
              <w:snapToGrid/>
              <w:rPr>
                <w:b/>
                <w:bCs/>
                <w:color w:val="auto"/>
                <w:sz w:val="21"/>
                <w:szCs w:val="21"/>
              </w:rPr>
            </w:pPr>
            <w:r>
              <w:rPr>
                <w:b/>
                <w:bCs/>
                <w:color w:val="auto"/>
                <w:sz w:val="21"/>
                <w:szCs w:val="21"/>
              </w:rPr>
              <w:t>建筑物插入损 失/dB（A）</w:t>
            </w:r>
          </w:p>
        </w:tc>
        <w:tc>
          <w:tcPr>
            <w:tcW w:w="568" w:type="pct"/>
            <w:gridSpan w:val="2"/>
            <w:tcBorders>
              <w:tl2br w:val="nil"/>
              <w:tr2bl w:val="nil"/>
            </w:tcBorders>
            <w:shd w:val="clear" w:color="auto" w:fill="D8D8D8"/>
            <w:vAlign w:val="center"/>
          </w:tcPr>
          <w:p w14:paraId="68426B68">
            <w:pPr>
              <w:pStyle w:val="16"/>
              <w:pageBreakBefore w:val="0"/>
              <w:wordWrap/>
              <w:bidi w:val="0"/>
              <w:adjustRightInd/>
              <w:snapToGrid/>
              <w:rPr>
                <w:b/>
                <w:bCs/>
                <w:color w:val="auto"/>
                <w:sz w:val="21"/>
                <w:szCs w:val="21"/>
              </w:rPr>
            </w:pPr>
            <w:r>
              <w:rPr>
                <w:b/>
                <w:bCs/>
                <w:color w:val="auto"/>
                <w:sz w:val="21"/>
                <w:szCs w:val="21"/>
              </w:rPr>
              <w:t>建筑物外噪声</w:t>
            </w:r>
          </w:p>
        </w:tc>
        <w:tc>
          <w:tcPr>
            <w:tcW w:w="281" w:type="pct"/>
            <w:vMerge w:val="restart"/>
            <w:tcBorders>
              <w:tl2br w:val="nil"/>
              <w:tr2bl w:val="nil"/>
            </w:tcBorders>
            <w:shd w:val="clear" w:color="auto" w:fill="D8D8D8"/>
            <w:vAlign w:val="center"/>
          </w:tcPr>
          <w:p w14:paraId="68D91A79">
            <w:pPr>
              <w:pStyle w:val="16"/>
              <w:pageBreakBefore w:val="0"/>
              <w:wordWrap/>
              <w:bidi w:val="0"/>
              <w:adjustRightInd/>
              <w:snapToGrid/>
              <w:rPr>
                <w:b/>
                <w:bCs/>
                <w:color w:val="auto"/>
                <w:sz w:val="21"/>
                <w:szCs w:val="21"/>
              </w:rPr>
            </w:pPr>
          </w:p>
          <w:p w14:paraId="6B900ED5">
            <w:pPr>
              <w:pStyle w:val="16"/>
              <w:pageBreakBefore w:val="0"/>
              <w:wordWrap/>
              <w:bidi w:val="0"/>
              <w:adjustRightInd/>
              <w:snapToGrid/>
              <w:rPr>
                <w:b/>
                <w:bCs/>
                <w:color w:val="auto"/>
                <w:sz w:val="21"/>
                <w:szCs w:val="21"/>
              </w:rPr>
            </w:pPr>
            <w:r>
              <w:rPr>
                <w:b/>
                <w:bCs/>
                <w:color w:val="auto"/>
                <w:sz w:val="21"/>
                <w:szCs w:val="21"/>
              </w:rPr>
              <w:t>备注</w:t>
            </w:r>
          </w:p>
        </w:tc>
      </w:tr>
      <w:tr w14:paraId="3A154D9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vMerge w:val="continue"/>
            <w:tcBorders>
              <w:tl2br w:val="nil"/>
              <w:tr2bl w:val="nil"/>
            </w:tcBorders>
            <w:vAlign w:val="center"/>
          </w:tcPr>
          <w:p w14:paraId="53F7C261">
            <w:pPr>
              <w:pStyle w:val="16"/>
              <w:pageBreakBefore w:val="0"/>
              <w:wordWrap/>
              <w:bidi w:val="0"/>
              <w:adjustRightInd/>
              <w:snapToGrid/>
              <w:rPr>
                <w:color w:val="auto"/>
                <w:sz w:val="21"/>
                <w:szCs w:val="21"/>
              </w:rPr>
            </w:pPr>
          </w:p>
        </w:tc>
        <w:tc>
          <w:tcPr>
            <w:tcW w:w="189" w:type="pct"/>
            <w:vMerge w:val="continue"/>
            <w:tcBorders>
              <w:tl2br w:val="nil"/>
              <w:tr2bl w:val="nil"/>
            </w:tcBorders>
            <w:vAlign w:val="center"/>
          </w:tcPr>
          <w:p w14:paraId="491B5A44">
            <w:pPr>
              <w:pStyle w:val="16"/>
              <w:pageBreakBefore w:val="0"/>
              <w:wordWrap/>
              <w:bidi w:val="0"/>
              <w:adjustRightInd/>
              <w:snapToGrid/>
              <w:rPr>
                <w:color w:val="auto"/>
                <w:sz w:val="21"/>
                <w:szCs w:val="21"/>
              </w:rPr>
            </w:pPr>
          </w:p>
        </w:tc>
        <w:tc>
          <w:tcPr>
            <w:tcW w:w="624" w:type="pct"/>
            <w:vMerge w:val="continue"/>
            <w:tcBorders>
              <w:tl2br w:val="nil"/>
              <w:tr2bl w:val="nil"/>
            </w:tcBorders>
            <w:vAlign w:val="center"/>
          </w:tcPr>
          <w:p w14:paraId="05D67F68">
            <w:pPr>
              <w:pStyle w:val="16"/>
              <w:pageBreakBefore w:val="0"/>
              <w:wordWrap/>
              <w:bidi w:val="0"/>
              <w:adjustRightInd/>
              <w:snapToGrid/>
              <w:rPr>
                <w:color w:val="auto"/>
                <w:sz w:val="21"/>
                <w:szCs w:val="21"/>
              </w:rPr>
            </w:pPr>
          </w:p>
        </w:tc>
        <w:tc>
          <w:tcPr>
            <w:tcW w:w="286" w:type="pct"/>
            <w:vMerge w:val="continue"/>
            <w:tcBorders>
              <w:tl2br w:val="nil"/>
              <w:tr2bl w:val="nil"/>
            </w:tcBorders>
            <w:vAlign w:val="center"/>
          </w:tcPr>
          <w:p w14:paraId="410C8FC2">
            <w:pPr>
              <w:pStyle w:val="16"/>
              <w:pageBreakBefore w:val="0"/>
              <w:wordWrap/>
              <w:bidi w:val="0"/>
              <w:adjustRightInd/>
              <w:snapToGrid/>
              <w:rPr>
                <w:color w:val="auto"/>
                <w:sz w:val="21"/>
                <w:szCs w:val="21"/>
              </w:rPr>
            </w:pPr>
          </w:p>
        </w:tc>
        <w:tc>
          <w:tcPr>
            <w:tcW w:w="372" w:type="pct"/>
            <w:vMerge w:val="continue"/>
            <w:tcBorders>
              <w:tl2br w:val="nil"/>
              <w:tr2bl w:val="nil"/>
            </w:tcBorders>
            <w:vAlign w:val="center"/>
          </w:tcPr>
          <w:p w14:paraId="1F4ABDE1">
            <w:pPr>
              <w:pStyle w:val="16"/>
              <w:pageBreakBefore w:val="0"/>
              <w:wordWrap/>
              <w:bidi w:val="0"/>
              <w:adjustRightInd/>
              <w:snapToGrid/>
              <w:rPr>
                <w:color w:val="auto"/>
                <w:sz w:val="21"/>
                <w:szCs w:val="21"/>
              </w:rPr>
            </w:pPr>
          </w:p>
        </w:tc>
        <w:tc>
          <w:tcPr>
            <w:tcW w:w="372" w:type="pct"/>
            <w:vMerge w:val="continue"/>
            <w:tcBorders>
              <w:tl2br w:val="nil"/>
              <w:tr2bl w:val="nil"/>
            </w:tcBorders>
            <w:vAlign w:val="center"/>
          </w:tcPr>
          <w:p w14:paraId="14970831">
            <w:pPr>
              <w:pStyle w:val="16"/>
              <w:pageBreakBefore w:val="0"/>
              <w:wordWrap/>
              <w:bidi w:val="0"/>
              <w:adjustRightInd/>
              <w:snapToGrid/>
              <w:rPr>
                <w:color w:val="auto"/>
                <w:sz w:val="21"/>
                <w:szCs w:val="21"/>
              </w:rPr>
            </w:pPr>
          </w:p>
        </w:tc>
        <w:tc>
          <w:tcPr>
            <w:tcW w:w="213" w:type="pct"/>
            <w:tcBorders>
              <w:tl2br w:val="nil"/>
              <w:tr2bl w:val="nil"/>
            </w:tcBorders>
            <w:shd w:val="clear" w:color="auto" w:fill="D8D8D8"/>
            <w:vAlign w:val="center"/>
          </w:tcPr>
          <w:p w14:paraId="7821A5BE">
            <w:pPr>
              <w:pStyle w:val="16"/>
              <w:pageBreakBefore w:val="0"/>
              <w:wordWrap/>
              <w:bidi w:val="0"/>
              <w:adjustRightInd/>
              <w:snapToGrid/>
              <w:rPr>
                <w:b/>
                <w:bCs/>
                <w:color w:val="auto"/>
                <w:sz w:val="21"/>
                <w:szCs w:val="21"/>
              </w:rPr>
            </w:pPr>
            <w:r>
              <w:rPr>
                <w:b/>
                <w:bCs/>
                <w:color w:val="auto"/>
                <w:sz w:val="21"/>
                <w:szCs w:val="21"/>
              </w:rPr>
              <w:t>X</w:t>
            </w:r>
          </w:p>
        </w:tc>
        <w:tc>
          <w:tcPr>
            <w:tcW w:w="212" w:type="pct"/>
            <w:tcBorders>
              <w:tl2br w:val="nil"/>
              <w:tr2bl w:val="nil"/>
            </w:tcBorders>
            <w:shd w:val="clear" w:color="auto" w:fill="D8D8D8"/>
            <w:vAlign w:val="center"/>
          </w:tcPr>
          <w:p w14:paraId="37A24D8F">
            <w:pPr>
              <w:pStyle w:val="16"/>
              <w:pageBreakBefore w:val="0"/>
              <w:wordWrap/>
              <w:bidi w:val="0"/>
              <w:adjustRightInd/>
              <w:snapToGrid/>
              <w:rPr>
                <w:b/>
                <w:bCs/>
                <w:color w:val="auto"/>
                <w:sz w:val="21"/>
                <w:szCs w:val="21"/>
              </w:rPr>
            </w:pPr>
            <w:r>
              <w:rPr>
                <w:b/>
                <w:bCs/>
                <w:color w:val="auto"/>
                <w:sz w:val="21"/>
                <w:szCs w:val="21"/>
              </w:rPr>
              <w:t>Y</w:t>
            </w:r>
          </w:p>
        </w:tc>
        <w:tc>
          <w:tcPr>
            <w:tcW w:w="215" w:type="pct"/>
            <w:tcBorders>
              <w:tl2br w:val="nil"/>
              <w:tr2bl w:val="nil"/>
            </w:tcBorders>
            <w:shd w:val="clear" w:color="auto" w:fill="D8D8D8"/>
            <w:vAlign w:val="center"/>
          </w:tcPr>
          <w:p w14:paraId="1D9E26D0">
            <w:pPr>
              <w:pStyle w:val="16"/>
              <w:pageBreakBefore w:val="0"/>
              <w:wordWrap/>
              <w:bidi w:val="0"/>
              <w:adjustRightInd/>
              <w:snapToGrid/>
              <w:rPr>
                <w:b/>
                <w:bCs/>
                <w:color w:val="auto"/>
                <w:sz w:val="21"/>
                <w:szCs w:val="21"/>
              </w:rPr>
            </w:pPr>
            <w:r>
              <w:rPr>
                <w:b/>
                <w:bCs/>
                <w:color w:val="auto"/>
                <w:sz w:val="21"/>
                <w:szCs w:val="21"/>
              </w:rPr>
              <w:t>Z</w:t>
            </w:r>
          </w:p>
        </w:tc>
        <w:tc>
          <w:tcPr>
            <w:tcW w:w="336" w:type="pct"/>
            <w:vMerge w:val="continue"/>
            <w:tcBorders>
              <w:tl2br w:val="nil"/>
              <w:tr2bl w:val="nil"/>
            </w:tcBorders>
            <w:vAlign w:val="center"/>
          </w:tcPr>
          <w:p w14:paraId="209E07C1">
            <w:pPr>
              <w:pStyle w:val="16"/>
              <w:pageBreakBefore w:val="0"/>
              <w:wordWrap/>
              <w:bidi w:val="0"/>
              <w:adjustRightInd/>
              <w:snapToGrid/>
              <w:rPr>
                <w:b/>
                <w:bCs/>
                <w:color w:val="auto"/>
                <w:sz w:val="21"/>
                <w:szCs w:val="21"/>
              </w:rPr>
            </w:pPr>
          </w:p>
        </w:tc>
        <w:tc>
          <w:tcPr>
            <w:tcW w:w="436" w:type="pct"/>
            <w:vMerge w:val="continue"/>
            <w:tcBorders>
              <w:tl2br w:val="nil"/>
              <w:tr2bl w:val="nil"/>
            </w:tcBorders>
            <w:vAlign w:val="center"/>
          </w:tcPr>
          <w:p w14:paraId="22471CBA">
            <w:pPr>
              <w:pStyle w:val="16"/>
              <w:pageBreakBefore w:val="0"/>
              <w:wordWrap/>
              <w:bidi w:val="0"/>
              <w:adjustRightInd/>
              <w:snapToGrid/>
              <w:rPr>
                <w:b/>
                <w:bCs/>
                <w:color w:val="auto"/>
                <w:sz w:val="21"/>
                <w:szCs w:val="21"/>
              </w:rPr>
            </w:pPr>
          </w:p>
        </w:tc>
        <w:tc>
          <w:tcPr>
            <w:tcW w:w="263" w:type="pct"/>
            <w:vMerge w:val="continue"/>
            <w:tcBorders>
              <w:tl2br w:val="nil"/>
              <w:tr2bl w:val="nil"/>
            </w:tcBorders>
            <w:vAlign w:val="center"/>
          </w:tcPr>
          <w:p w14:paraId="110A3357">
            <w:pPr>
              <w:pStyle w:val="16"/>
              <w:pageBreakBefore w:val="0"/>
              <w:wordWrap/>
              <w:bidi w:val="0"/>
              <w:adjustRightInd/>
              <w:snapToGrid/>
              <w:rPr>
                <w:b/>
                <w:bCs/>
                <w:color w:val="auto"/>
                <w:sz w:val="21"/>
                <w:szCs w:val="21"/>
              </w:rPr>
            </w:pPr>
          </w:p>
        </w:tc>
        <w:tc>
          <w:tcPr>
            <w:tcW w:w="464" w:type="pct"/>
            <w:vMerge w:val="continue"/>
            <w:tcBorders>
              <w:tl2br w:val="nil"/>
              <w:tr2bl w:val="nil"/>
            </w:tcBorders>
            <w:vAlign w:val="center"/>
          </w:tcPr>
          <w:p w14:paraId="58E927BB">
            <w:pPr>
              <w:pStyle w:val="16"/>
              <w:pageBreakBefore w:val="0"/>
              <w:wordWrap/>
              <w:bidi w:val="0"/>
              <w:adjustRightInd/>
              <w:snapToGrid/>
              <w:rPr>
                <w:b/>
                <w:bCs/>
                <w:color w:val="auto"/>
                <w:sz w:val="21"/>
                <w:szCs w:val="21"/>
              </w:rPr>
            </w:pPr>
          </w:p>
        </w:tc>
        <w:tc>
          <w:tcPr>
            <w:tcW w:w="283" w:type="pct"/>
            <w:tcBorders>
              <w:tl2br w:val="nil"/>
              <w:tr2bl w:val="nil"/>
            </w:tcBorders>
            <w:shd w:val="clear" w:color="auto" w:fill="D8D8D8"/>
            <w:vAlign w:val="center"/>
          </w:tcPr>
          <w:p w14:paraId="3543494C">
            <w:pPr>
              <w:pStyle w:val="16"/>
              <w:pageBreakBefore w:val="0"/>
              <w:wordWrap/>
              <w:bidi w:val="0"/>
              <w:adjustRightInd/>
              <w:snapToGrid/>
              <w:rPr>
                <w:b/>
                <w:bCs/>
                <w:color w:val="auto"/>
                <w:sz w:val="21"/>
                <w:szCs w:val="21"/>
              </w:rPr>
            </w:pPr>
            <w:r>
              <w:rPr>
                <w:b/>
                <w:bCs/>
                <w:color w:val="auto"/>
                <w:sz w:val="21"/>
                <w:szCs w:val="21"/>
              </w:rPr>
              <w:t>声压级/dB（A）</w:t>
            </w:r>
          </w:p>
        </w:tc>
        <w:tc>
          <w:tcPr>
            <w:tcW w:w="285" w:type="pct"/>
            <w:tcBorders>
              <w:tl2br w:val="nil"/>
              <w:tr2bl w:val="nil"/>
            </w:tcBorders>
            <w:shd w:val="clear" w:color="auto" w:fill="D8D8D8"/>
            <w:vAlign w:val="center"/>
          </w:tcPr>
          <w:p w14:paraId="1FFE0201">
            <w:pPr>
              <w:pStyle w:val="16"/>
              <w:pageBreakBefore w:val="0"/>
              <w:wordWrap/>
              <w:bidi w:val="0"/>
              <w:adjustRightInd/>
              <w:snapToGrid/>
              <w:rPr>
                <w:b/>
                <w:bCs/>
                <w:color w:val="auto"/>
                <w:sz w:val="21"/>
                <w:szCs w:val="21"/>
              </w:rPr>
            </w:pPr>
            <w:r>
              <w:rPr>
                <w:b/>
                <w:bCs/>
                <w:color w:val="auto"/>
                <w:sz w:val="21"/>
                <w:szCs w:val="21"/>
              </w:rPr>
              <w:t>建筑物 外距离</w:t>
            </w:r>
          </w:p>
        </w:tc>
        <w:tc>
          <w:tcPr>
            <w:tcW w:w="281" w:type="pct"/>
            <w:vMerge w:val="continue"/>
            <w:tcBorders>
              <w:tl2br w:val="nil"/>
              <w:tr2bl w:val="nil"/>
            </w:tcBorders>
            <w:vAlign w:val="center"/>
          </w:tcPr>
          <w:p w14:paraId="1EAED6C1">
            <w:pPr>
              <w:pStyle w:val="16"/>
              <w:pageBreakBefore w:val="0"/>
              <w:wordWrap/>
              <w:bidi w:val="0"/>
              <w:adjustRightInd/>
              <w:snapToGrid/>
              <w:rPr>
                <w:color w:val="auto"/>
                <w:sz w:val="21"/>
                <w:szCs w:val="21"/>
              </w:rPr>
            </w:pPr>
          </w:p>
        </w:tc>
      </w:tr>
      <w:tr w14:paraId="146022A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8372309">
            <w:pPr>
              <w:pStyle w:val="16"/>
              <w:pageBreakBefore w:val="0"/>
              <w:wordWrap/>
              <w:bidi w:val="0"/>
              <w:adjustRightInd/>
              <w:snapToGrid/>
              <w:ind w:left="0" w:leftChars="0" w:firstLine="0" w:firstLineChars="0"/>
              <w:rPr>
                <w:rFonts w:hint="eastAsia"/>
                <w:color w:val="auto"/>
                <w:sz w:val="21"/>
                <w:szCs w:val="21"/>
                <w:lang w:val="en-US" w:eastAsia="zh-CN"/>
              </w:rPr>
            </w:pPr>
            <w:r>
              <w:rPr>
                <w:color w:val="auto"/>
                <w:sz w:val="21"/>
                <w:szCs w:val="21"/>
              </w:rPr>
              <w:t>1</w:t>
            </w:r>
          </w:p>
        </w:tc>
        <w:tc>
          <w:tcPr>
            <w:tcW w:w="189" w:type="pct"/>
            <w:vMerge w:val="restart"/>
            <w:tcBorders>
              <w:tl2br w:val="nil"/>
              <w:tr2bl w:val="nil"/>
            </w:tcBorders>
            <w:vAlign w:val="center"/>
          </w:tcPr>
          <w:p w14:paraId="7A69B62B">
            <w:pPr>
              <w:pageBreakBefore w:val="0"/>
              <w:wordWrap/>
              <w:bidi w:val="0"/>
              <w:adjustRightInd/>
              <w:snapToGrid/>
              <w:ind w:left="0" w:leftChars="0" w:firstLine="0" w:firstLineChars="0"/>
              <w:jc w:val="center"/>
              <w:rPr>
                <w:rFonts w:hint="eastAsia"/>
                <w:color w:val="auto"/>
                <w:sz w:val="21"/>
                <w:szCs w:val="21"/>
                <w:lang w:val="en-US" w:eastAsia="zh-CN"/>
              </w:rPr>
            </w:pPr>
            <w:r>
              <w:rPr>
                <w:rFonts w:hint="eastAsia"/>
                <w:color w:val="auto"/>
                <w:sz w:val="21"/>
                <w:szCs w:val="21"/>
                <w:lang w:val="en-US" w:eastAsia="zh-CN"/>
              </w:rPr>
              <w:t>超细格栅</w:t>
            </w:r>
          </w:p>
        </w:tc>
        <w:tc>
          <w:tcPr>
            <w:tcW w:w="624" w:type="pct"/>
            <w:tcBorders>
              <w:tl2br w:val="nil"/>
              <w:tr2bl w:val="nil"/>
            </w:tcBorders>
            <w:vAlign w:val="center"/>
          </w:tcPr>
          <w:p w14:paraId="05DA270A">
            <w:pPr>
              <w:pStyle w:val="16"/>
              <w:pageBreakBefore w:val="0"/>
              <w:wordWrap/>
              <w:bidi w:val="0"/>
              <w:adjustRightInd/>
              <w:snapToGrid/>
              <w:ind w:left="0" w:leftChars="0" w:firstLine="0" w:firstLineChars="0"/>
              <w:rPr>
                <w:color w:val="auto"/>
                <w:sz w:val="21"/>
                <w:szCs w:val="21"/>
              </w:rPr>
            </w:pPr>
            <w:r>
              <w:rPr>
                <w:color w:val="auto"/>
                <w:sz w:val="21"/>
                <w:szCs w:val="21"/>
              </w:rPr>
              <w:t>螺旋压榨机</w:t>
            </w:r>
          </w:p>
        </w:tc>
        <w:tc>
          <w:tcPr>
            <w:tcW w:w="286" w:type="pct"/>
            <w:tcBorders>
              <w:tl2br w:val="nil"/>
              <w:tr2bl w:val="nil"/>
            </w:tcBorders>
            <w:vAlign w:val="center"/>
          </w:tcPr>
          <w:p w14:paraId="113D491C">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372" w:type="pct"/>
            <w:tcBorders>
              <w:tl2br w:val="nil"/>
              <w:tr2bl w:val="nil"/>
            </w:tcBorders>
            <w:vAlign w:val="center"/>
          </w:tcPr>
          <w:p w14:paraId="085AD7D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372" w:type="pct"/>
            <w:vMerge w:val="restart"/>
            <w:tcBorders>
              <w:tl2br w:val="nil"/>
              <w:tr2bl w:val="nil"/>
            </w:tcBorders>
            <w:vAlign w:val="center"/>
          </w:tcPr>
          <w:p w14:paraId="675B50DC">
            <w:pPr>
              <w:pStyle w:val="16"/>
              <w:pageBreakBefore w:val="0"/>
              <w:wordWrap/>
              <w:bidi w:val="0"/>
              <w:adjustRightInd/>
              <w:snapToGrid/>
              <w:rPr>
                <w:color w:val="auto"/>
                <w:sz w:val="21"/>
                <w:szCs w:val="21"/>
              </w:rPr>
            </w:pPr>
            <w:r>
              <w:rPr>
                <w:color w:val="auto"/>
                <w:kern w:val="0"/>
                <w:sz w:val="21"/>
                <w:szCs w:val="21"/>
                <w:lang w:bidi="ar"/>
              </w:rPr>
              <w:t>选择低噪声机型，布置地下</w:t>
            </w:r>
            <w:r>
              <w:rPr>
                <w:rFonts w:hint="eastAsia"/>
                <w:color w:val="auto"/>
                <w:kern w:val="0"/>
                <w:sz w:val="21"/>
                <w:szCs w:val="21"/>
                <w:lang w:eastAsia="zh-CN" w:bidi="ar"/>
              </w:rPr>
              <w:t>，</w:t>
            </w:r>
            <w:r>
              <w:rPr>
                <w:color w:val="auto"/>
                <w:sz w:val="21"/>
                <w:szCs w:val="21"/>
              </w:rPr>
              <w:t>基础减振，隔声</w:t>
            </w:r>
          </w:p>
        </w:tc>
        <w:tc>
          <w:tcPr>
            <w:tcW w:w="213" w:type="pct"/>
            <w:tcBorders>
              <w:tl2br w:val="nil"/>
              <w:tr2bl w:val="nil"/>
            </w:tcBorders>
            <w:vAlign w:val="center"/>
          </w:tcPr>
          <w:p w14:paraId="10D6D46B">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27.4</w:t>
            </w:r>
          </w:p>
        </w:tc>
        <w:tc>
          <w:tcPr>
            <w:tcW w:w="212" w:type="pct"/>
            <w:tcBorders>
              <w:tl2br w:val="nil"/>
              <w:tr2bl w:val="nil"/>
            </w:tcBorders>
            <w:vAlign w:val="center"/>
          </w:tcPr>
          <w:p w14:paraId="78626E0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79.6</w:t>
            </w:r>
          </w:p>
        </w:tc>
        <w:tc>
          <w:tcPr>
            <w:tcW w:w="215" w:type="pct"/>
            <w:tcBorders>
              <w:tl2br w:val="nil"/>
              <w:tr2bl w:val="nil"/>
            </w:tcBorders>
            <w:vAlign w:val="center"/>
          </w:tcPr>
          <w:p w14:paraId="610B6243">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-2</w:t>
            </w:r>
          </w:p>
        </w:tc>
        <w:tc>
          <w:tcPr>
            <w:tcW w:w="336" w:type="pct"/>
            <w:tcBorders>
              <w:tl2br w:val="nil"/>
              <w:tr2bl w:val="nil"/>
            </w:tcBorders>
            <w:vAlign w:val="center"/>
          </w:tcPr>
          <w:p w14:paraId="5FF41B04">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299A9CE5">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263" w:type="pct"/>
            <w:vMerge w:val="restart"/>
            <w:tcBorders>
              <w:tl2br w:val="nil"/>
              <w:tr2bl w:val="nil"/>
            </w:tcBorders>
            <w:vAlign w:val="center"/>
          </w:tcPr>
          <w:p w14:paraId="750953C8">
            <w:pPr>
              <w:pStyle w:val="16"/>
              <w:pageBreakBefore w:val="0"/>
              <w:wordWrap/>
              <w:bidi w:val="0"/>
              <w:adjustRightInd/>
              <w:snapToGrid/>
              <w:rPr>
                <w:color w:val="auto"/>
                <w:sz w:val="21"/>
                <w:szCs w:val="21"/>
              </w:rPr>
            </w:pPr>
            <w:r>
              <w:rPr>
                <w:color w:val="auto"/>
                <w:sz w:val="21"/>
                <w:szCs w:val="21"/>
              </w:rPr>
              <w:t>昼夜连续运行</w:t>
            </w:r>
          </w:p>
        </w:tc>
        <w:tc>
          <w:tcPr>
            <w:tcW w:w="464" w:type="pct"/>
            <w:tcBorders>
              <w:tl2br w:val="nil"/>
              <w:tr2bl w:val="nil"/>
            </w:tcBorders>
            <w:vAlign w:val="center"/>
          </w:tcPr>
          <w:p w14:paraId="76AFF61D">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2705293C">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1C590949">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281" w:type="pct"/>
            <w:vMerge w:val="restart"/>
            <w:tcBorders>
              <w:tl2br w:val="nil"/>
              <w:tr2bl w:val="nil"/>
            </w:tcBorders>
            <w:vAlign w:val="center"/>
          </w:tcPr>
          <w:p w14:paraId="695A879B">
            <w:pPr>
              <w:pStyle w:val="16"/>
              <w:pageBreakBefore w:val="0"/>
              <w:wordWrap/>
              <w:bidi w:val="0"/>
              <w:adjustRightInd/>
              <w:snapToGrid/>
              <w:rPr>
                <w:rFonts w:hint="default"/>
                <w:color w:val="auto"/>
                <w:sz w:val="21"/>
                <w:szCs w:val="21"/>
                <w:lang w:val="en-US" w:eastAsia="zh-CN"/>
              </w:rPr>
            </w:pPr>
            <w:r>
              <w:rPr>
                <w:rFonts w:hint="eastAsia"/>
                <w:color w:val="auto"/>
                <w:sz w:val="21"/>
                <w:szCs w:val="21"/>
                <w:lang w:val="en-US" w:eastAsia="zh-CN"/>
              </w:rPr>
              <w:t>新增</w:t>
            </w:r>
          </w:p>
        </w:tc>
      </w:tr>
      <w:tr w14:paraId="70F3FE1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3521F6F">
            <w:pPr>
              <w:pStyle w:val="16"/>
              <w:pageBreakBefore w:val="0"/>
              <w:wordWrap/>
              <w:bidi w:val="0"/>
              <w:adjustRightInd/>
              <w:snapToGrid/>
              <w:ind w:left="0" w:leftChars="0" w:firstLine="0" w:firstLineChars="0"/>
              <w:rPr>
                <w:rFonts w:hint="eastAsia"/>
                <w:color w:val="auto"/>
                <w:sz w:val="21"/>
                <w:szCs w:val="21"/>
                <w:lang w:val="en-US" w:eastAsia="zh-CN"/>
              </w:rPr>
            </w:pPr>
            <w:r>
              <w:rPr>
                <w:color w:val="auto"/>
                <w:sz w:val="21"/>
                <w:szCs w:val="21"/>
              </w:rPr>
              <w:t>2</w:t>
            </w:r>
          </w:p>
        </w:tc>
        <w:tc>
          <w:tcPr>
            <w:tcW w:w="189" w:type="pct"/>
            <w:vMerge w:val="continue"/>
            <w:tcBorders>
              <w:tl2br w:val="nil"/>
              <w:tr2bl w:val="nil"/>
            </w:tcBorders>
            <w:vAlign w:val="center"/>
          </w:tcPr>
          <w:p w14:paraId="57722610">
            <w:pPr>
              <w:pageBreakBefore w:val="0"/>
              <w:wordWrap/>
              <w:bidi w:val="0"/>
              <w:adjustRightInd/>
              <w:snapToGrid/>
              <w:ind w:firstLine="420" w:firstLineChars="200"/>
              <w:rPr>
                <w:rFonts w:hint="eastAsia"/>
                <w:color w:val="auto"/>
                <w:sz w:val="21"/>
                <w:szCs w:val="21"/>
                <w:lang w:val="en-US" w:eastAsia="zh-CN"/>
              </w:rPr>
            </w:pPr>
          </w:p>
        </w:tc>
        <w:tc>
          <w:tcPr>
            <w:tcW w:w="624" w:type="pct"/>
            <w:tcBorders>
              <w:tl2br w:val="nil"/>
              <w:tr2bl w:val="nil"/>
            </w:tcBorders>
            <w:vAlign w:val="center"/>
          </w:tcPr>
          <w:p w14:paraId="3C1131AE">
            <w:pPr>
              <w:pStyle w:val="16"/>
              <w:pageBreakBefore w:val="0"/>
              <w:wordWrap/>
              <w:bidi w:val="0"/>
              <w:adjustRightInd/>
              <w:snapToGrid/>
              <w:ind w:left="0" w:leftChars="0" w:firstLine="0" w:firstLineChars="0"/>
              <w:rPr>
                <w:color w:val="auto"/>
                <w:sz w:val="21"/>
                <w:szCs w:val="21"/>
              </w:rPr>
            </w:pPr>
            <w:r>
              <w:rPr>
                <w:color w:val="auto"/>
                <w:sz w:val="21"/>
                <w:szCs w:val="21"/>
              </w:rPr>
              <w:t>高压冲洗水泵</w:t>
            </w:r>
          </w:p>
        </w:tc>
        <w:tc>
          <w:tcPr>
            <w:tcW w:w="286" w:type="pct"/>
            <w:tcBorders>
              <w:tl2br w:val="nil"/>
              <w:tr2bl w:val="nil"/>
            </w:tcBorders>
            <w:vAlign w:val="center"/>
          </w:tcPr>
          <w:p w14:paraId="2C6BCAC0">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2</w:t>
            </w:r>
          </w:p>
        </w:tc>
        <w:tc>
          <w:tcPr>
            <w:tcW w:w="372" w:type="pct"/>
            <w:tcBorders>
              <w:tl2br w:val="nil"/>
              <w:tr2bl w:val="nil"/>
            </w:tcBorders>
            <w:vAlign w:val="center"/>
          </w:tcPr>
          <w:p w14:paraId="7D099DF6">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0136EC4B">
            <w:pPr>
              <w:pStyle w:val="16"/>
              <w:pageBreakBefore w:val="0"/>
              <w:wordWrap/>
              <w:bidi w:val="0"/>
              <w:adjustRightInd/>
              <w:snapToGrid/>
              <w:rPr>
                <w:color w:val="auto"/>
                <w:sz w:val="21"/>
                <w:szCs w:val="21"/>
              </w:rPr>
            </w:pPr>
          </w:p>
        </w:tc>
        <w:tc>
          <w:tcPr>
            <w:tcW w:w="213" w:type="pct"/>
            <w:tcBorders>
              <w:tl2br w:val="nil"/>
              <w:tr2bl w:val="nil"/>
            </w:tcBorders>
            <w:vAlign w:val="center"/>
          </w:tcPr>
          <w:p w14:paraId="02B53612">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29.3</w:t>
            </w:r>
          </w:p>
        </w:tc>
        <w:tc>
          <w:tcPr>
            <w:tcW w:w="212" w:type="pct"/>
            <w:tcBorders>
              <w:tl2br w:val="nil"/>
              <w:tr2bl w:val="nil"/>
            </w:tcBorders>
            <w:vAlign w:val="center"/>
          </w:tcPr>
          <w:p w14:paraId="4CC4A34E">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74.6</w:t>
            </w:r>
          </w:p>
        </w:tc>
        <w:tc>
          <w:tcPr>
            <w:tcW w:w="215" w:type="pct"/>
            <w:tcBorders>
              <w:tl2br w:val="nil"/>
              <w:tr2bl w:val="nil"/>
            </w:tcBorders>
            <w:vAlign w:val="center"/>
          </w:tcPr>
          <w:p w14:paraId="228D390B">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-2</w:t>
            </w:r>
          </w:p>
        </w:tc>
        <w:tc>
          <w:tcPr>
            <w:tcW w:w="336" w:type="pct"/>
            <w:tcBorders>
              <w:tl2br w:val="nil"/>
              <w:tr2bl w:val="nil"/>
            </w:tcBorders>
            <w:vAlign w:val="center"/>
          </w:tcPr>
          <w:p w14:paraId="5CD4F94E">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12CABE27">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263" w:type="pct"/>
            <w:vMerge w:val="continue"/>
            <w:tcBorders>
              <w:tl2br w:val="nil"/>
              <w:tr2bl w:val="nil"/>
            </w:tcBorders>
            <w:vAlign w:val="center"/>
          </w:tcPr>
          <w:p w14:paraId="3EB73093">
            <w:pPr>
              <w:pStyle w:val="16"/>
              <w:pageBreakBefore w:val="0"/>
              <w:wordWrap/>
              <w:bidi w:val="0"/>
              <w:adjustRightInd/>
              <w:snapToGrid/>
              <w:rPr>
                <w:color w:val="auto"/>
                <w:sz w:val="21"/>
                <w:szCs w:val="21"/>
              </w:rPr>
            </w:pPr>
          </w:p>
        </w:tc>
        <w:tc>
          <w:tcPr>
            <w:tcW w:w="464" w:type="pct"/>
            <w:tcBorders>
              <w:tl2br w:val="nil"/>
              <w:tr2bl w:val="nil"/>
            </w:tcBorders>
            <w:vAlign w:val="center"/>
          </w:tcPr>
          <w:p w14:paraId="0C1CC118">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19A40A62">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2D77364D">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050D4FBC">
            <w:pPr>
              <w:pStyle w:val="16"/>
              <w:pageBreakBefore w:val="0"/>
              <w:wordWrap/>
              <w:bidi w:val="0"/>
              <w:adjustRightInd/>
              <w:snapToGrid/>
              <w:rPr>
                <w:rFonts w:hint="eastAsia"/>
                <w:color w:val="auto"/>
                <w:sz w:val="21"/>
                <w:szCs w:val="21"/>
                <w:lang w:val="en-US" w:eastAsia="zh-CN"/>
              </w:rPr>
            </w:pPr>
          </w:p>
        </w:tc>
      </w:tr>
      <w:tr w14:paraId="4466658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A787DD1">
            <w:pPr>
              <w:pStyle w:val="16"/>
              <w:pageBreakBefore w:val="0"/>
              <w:wordWrap/>
              <w:bidi w:val="0"/>
              <w:adjustRightInd/>
              <w:snapToGrid/>
              <w:ind w:left="0" w:leftChars="0" w:firstLine="0" w:firstLineChars="0"/>
              <w:rPr>
                <w:rFonts w:hint="eastAsia"/>
                <w:color w:val="auto"/>
                <w:sz w:val="21"/>
                <w:szCs w:val="21"/>
                <w:lang w:val="en-US" w:eastAsia="zh-CN"/>
              </w:rPr>
            </w:pPr>
            <w:r>
              <w:rPr>
                <w:color w:val="auto"/>
                <w:sz w:val="21"/>
                <w:szCs w:val="21"/>
              </w:rPr>
              <w:t>3</w:t>
            </w:r>
          </w:p>
        </w:tc>
        <w:tc>
          <w:tcPr>
            <w:tcW w:w="189" w:type="pct"/>
            <w:vMerge w:val="restart"/>
            <w:tcBorders>
              <w:tl2br w:val="nil"/>
              <w:tr2bl w:val="nil"/>
            </w:tcBorders>
            <w:vAlign w:val="center"/>
          </w:tcPr>
          <w:p w14:paraId="75D4F771">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rPr>
              <w:t>调节池-厂区事故池</w:t>
            </w:r>
          </w:p>
        </w:tc>
        <w:tc>
          <w:tcPr>
            <w:tcW w:w="624" w:type="pct"/>
            <w:tcBorders>
              <w:tl2br w:val="nil"/>
              <w:tr2bl w:val="nil"/>
            </w:tcBorders>
            <w:vAlign w:val="center"/>
          </w:tcPr>
          <w:p w14:paraId="53E3FCF4">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潜污泵</w:t>
            </w:r>
          </w:p>
        </w:tc>
        <w:tc>
          <w:tcPr>
            <w:tcW w:w="286" w:type="pct"/>
            <w:tcBorders>
              <w:tl2br w:val="nil"/>
              <w:tr2bl w:val="nil"/>
            </w:tcBorders>
            <w:vAlign w:val="center"/>
          </w:tcPr>
          <w:p w14:paraId="4D09AE20">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2用2备</w:t>
            </w:r>
          </w:p>
        </w:tc>
        <w:tc>
          <w:tcPr>
            <w:tcW w:w="372" w:type="pct"/>
            <w:tcBorders>
              <w:tl2br w:val="nil"/>
              <w:tr2bl w:val="nil"/>
            </w:tcBorders>
            <w:vAlign w:val="center"/>
          </w:tcPr>
          <w:p w14:paraId="2F656935">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04A57675">
            <w:pPr>
              <w:pStyle w:val="16"/>
              <w:pageBreakBefore w:val="0"/>
              <w:wordWrap/>
              <w:bidi w:val="0"/>
              <w:adjustRightInd/>
              <w:snapToGrid/>
              <w:rPr>
                <w:color w:val="auto"/>
                <w:sz w:val="21"/>
                <w:szCs w:val="21"/>
              </w:rPr>
            </w:pPr>
          </w:p>
        </w:tc>
        <w:tc>
          <w:tcPr>
            <w:tcW w:w="213" w:type="pct"/>
            <w:tcBorders>
              <w:tl2br w:val="nil"/>
              <w:tr2bl w:val="nil"/>
            </w:tcBorders>
            <w:vAlign w:val="center"/>
          </w:tcPr>
          <w:p w14:paraId="2EC2086D">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66.5</w:t>
            </w:r>
          </w:p>
        </w:tc>
        <w:tc>
          <w:tcPr>
            <w:tcW w:w="212" w:type="pct"/>
            <w:tcBorders>
              <w:tl2br w:val="nil"/>
              <w:tr2bl w:val="nil"/>
            </w:tcBorders>
            <w:vAlign w:val="center"/>
          </w:tcPr>
          <w:p w14:paraId="16B103D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21</w:t>
            </w:r>
          </w:p>
        </w:tc>
        <w:tc>
          <w:tcPr>
            <w:tcW w:w="215" w:type="pct"/>
            <w:tcBorders>
              <w:tl2br w:val="nil"/>
              <w:tr2bl w:val="nil"/>
            </w:tcBorders>
            <w:vAlign w:val="center"/>
          </w:tcPr>
          <w:p w14:paraId="3CF6E77B">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-6.8</w:t>
            </w:r>
          </w:p>
        </w:tc>
        <w:tc>
          <w:tcPr>
            <w:tcW w:w="336" w:type="pct"/>
            <w:tcBorders>
              <w:tl2br w:val="nil"/>
              <w:tr2bl w:val="nil"/>
            </w:tcBorders>
            <w:vAlign w:val="center"/>
          </w:tcPr>
          <w:p w14:paraId="14FC08AD">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5D1DB1E5">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263" w:type="pct"/>
            <w:vMerge w:val="continue"/>
            <w:tcBorders>
              <w:tl2br w:val="nil"/>
              <w:tr2bl w:val="nil"/>
            </w:tcBorders>
            <w:vAlign w:val="center"/>
          </w:tcPr>
          <w:p w14:paraId="77445C61">
            <w:pPr>
              <w:pStyle w:val="16"/>
              <w:pageBreakBefore w:val="0"/>
              <w:wordWrap/>
              <w:bidi w:val="0"/>
              <w:adjustRightInd/>
              <w:snapToGrid/>
              <w:rPr>
                <w:color w:val="auto"/>
                <w:sz w:val="21"/>
                <w:szCs w:val="21"/>
              </w:rPr>
            </w:pPr>
          </w:p>
        </w:tc>
        <w:tc>
          <w:tcPr>
            <w:tcW w:w="464" w:type="pct"/>
            <w:tcBorders>
              <w:tl2br w:val="nil"/>
              <w:tr2bl w:val="nil"/>
            </w:tcBorders>
            <w:vAlign w:val="center"/>
          </w:tcPr>
          <w:p w14:paraId="741CEBE0">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7962E843">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2717FB2A">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55F503EC">
            <w:pPr>
              <w:pStyle w:val="16"/>
              <w:pageBreakBefore w:val="0"/>
              <w:wordWrap/>
              <w:bidi w:val="0"/>
              <w:adjustRightInd/>
              <w:snapToGrid/>
              <w:rPr>
                <w:rFonts w:hint="eastAsia"/>
                <w:color w:val="auto"/>
                <w:sz w:val="21"/>
                <w:szCs w:val="21"/>
                <w:lang w:val="en-US" w:eastAsia="zh-CN"/>
              </w:rPr>
            </w:pPr>
          </w:p>
        </w:tc>
      </w:tr>
      <w:tr w14:paraId="150992A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3B766B61">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w:t>
            </w:r>
          </w:p>
        </w:tc>
        <w:tc>
          <w:tcPr>
            <w:tcW w:w="189" w:type="pct"/>
            <w:vMerge w:val="continue"/>
            <w:tcBorders>
              <w:tl2br w:val="nil"/>
              <w:tr2bl w:val="nil"/>
            </w:tcBorders>
            <w:vAlign w:val="center"/>
          </w:tcPr>
          <w:p w14:paraId="630107A3">
            <w:pPr>
              <w:pStyle w:val="16"/>
              <w:pageBreakBefore w:val="0"/>
              <w:wordWrap/>
              <w:bidi w:val="0"/>
              <w:adjustRightInd/>
              <w:snapToGrid/>
              <w:ind w:left="0" w:leftChars="0" w:firstLine="0" w:firstLineChars="0"/>
              <w:rPr>
                <w:rFonts w:hint="eastAsia"/>
                <w:color w:val="auto"/>
                <w:sz w:val="21"/>
                <w:szCs w:val="21"/>
                <w:lang w:val="en-US" w:eastAsia="zh-CN"/>
              </w:rPr>
            </w:pPr>
          </w:p>
        </w:tc>
        <w:tc>
          <w:tcPr>
            <w:tcW w:w="624" w:type="pct"/>
            <w:tcBorders>
              <w:tl2br w:val="nil"/>
              <w:tr2bl w:val="nil"/>
            </w:tcBorders>
            <w:vAlign w:val="center"/>
          </w:tcPr>
          <w:p w14:paraId="36E60851">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潜水搅拌机</w:t>
            </w:r>
          </w:p>
        </w:tc>
        <w:tc>
          <w:tcPr>
            <w:tcW w:w="286" w:type="pct"/>
            <w:tcBorders>
              <w:tl2br w:val="nil"/>
              <w:tr2bl w:val="nil"/>
            </w:tcBorders>
            <w:vAlign w:val="center"/>
          </w:tcPr>
          <w:p w14:paraId="5734FA90">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15</w:t>
            </w:r>
          </w:p>
        </w:tc>
        <w:tc>
          <w:tcPr>
            <w:tcW w:w="372" w:type="pct"/>
            <w:tcBorders>
              <w:tl2br w:val="nil"/>
              <w:tr2bl w:val="nil"/>
            </w:tcBorders>
            <w:vAlign w:val="center"/>
          </w:tcPr>
          <w:p w14:paraId="3778A31E">
            <w:pPr>
              <w:pStyle w:val="16"/>
              <w:pageBreakBefore w:val="0"/>
              <w:wordWrap/>
              <w:bidi w:val="0"/>
              <w:adjustRightInd/>
              <w:snapToGrid/>
              <w:ind w:left="0" w:leftChars="0" w:firstLine="0" w:firstLineChars="0"/>
              <w:rPr>
                <w:rFonts w:hint="default"/>
                <w:color w:val="auto"/>
                <w:sz w:val="21"/>
                <w:szCs w:val="21"/>
                <w:lang w:val="en-US" w:eastAsia="zh-CN"/>
              </w:rPr>
            </w:pPr>
            <w:r>
              <w:rPr>
                <w:rFonts w:hint="eastAsia"/>
                <w:color w:val="auto"/>
                <w:sz w:val="21"/>
                <w:szCs w:val="21"/>
                <w:lang w:val="en-US" w:eastAsia="zh-CN"/>
              </w:rPr>
              <w:t>75</w:t>
            </w:r>
          </w:p>
        </w:tc>
        <w:tc>
          <w:tcPr>
            <w:tcW w:w="372" w:type="pct"/>
            <w:vMerge w:val="continue"/>
            <w:tcBorders>
              <w:tl2br w:val="nil"/>
              <w:tr2bl w:val="nil"/>
            </w:tcBorders>
            <w:vAlign w:val="center"/>
          </w:tcPr>
          <w:p w14:paraId="64383CC1">
            <w:pPr>
              <w:pStyle w:val="16"/>
              <w:pageBreakBefore w:val="0"/>
              <w:wordWrap/>
              <w:bidi w:val="0"/>
              <w:adjustRightInd/>
              <w:snapToGrid/>
              <w:rPr>
                <w:color w:val="auto"/>
                <w:sz w:val="21"/>
                <w:szCs w:val="21"/>
              </w:rPr>
            </w:pPr>
          </w:p>
        </w:tc>
        <w:tc>
          <w:tcPr>
            <w:tcW w:w="213" w:type="pct"/>
            <w:tcBorders>
              <w:tl2br w:val="nil"/>
              <w:tr2bl w:val="nil"/>
            </w:tcBorders>
            <w:vAlign w:val="center"/>
          </w:tcPr>
          <w:p w14:paraId="2F6713DE">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69.6</w:t>
            </w:r>
          </w:p>
        </w:tc>
        <w:tc>
          <w:tcPr>
            <w:tcW w:w="212" w:type="pct"/>
            <w:tcBorders>
              <w:tl2br w:val="nil"/>
              <w:tr2bl w:val="nil"/>
            </w:tcBorders>
            <w:vAlign w:val="center"/>
          </w:tcPr>
          <w:p w14:paraId="4D5FF4AD">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w:t>
            </w:r>
          </w:p>
        </w:tc>
        <w:tc>
          <w:tcPr>
            <w:tcW w:w="215" w:type="pct"/>
            <w:tcBorders>
              <w:tl2br w:val="nil"/>
              <w:tr2bl w:val="nil"/>
            </w:tcBorders>
            <w:vAlign w:val="center"/>
          </w:tcPr>
          <w:p w14:paraId="57102BAB">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-6.8</w:t>
            </w:r>
          </w:p>
        </w:tc>
        <w:tc>
          <w:tcPr>
            <w:tcW w:w="336" w:type="pct"/>
            <w:tcBorders>
              <w:tl2br w:val="nil"/>
              <w:tr2bl w:val="nil"/>
            </w:tcBorders>
            <w:vAlign w:val="center"/>
          </w:tcPr>
          <w:p w14:paraId="6B1BD619">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3D7F5DF3">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263" w:type="pct"/>
            <w:vMerge w:val="continue"/>
            <w:tcBorders>
              <w:tl2br w:val="nil"/>
              <w:tr2bl w:val="nil"/>
            </w:tcBorders>
            <w:vAlign w:val="center"/>
          </w:tcPr>
          <w:p w14:paraId="6560D1F3">
            <w:pPr>
              <w:pStyle w:val="16"/>
              <w:pageBreakBefore w:val="0"/>
              <w:wordWrap/>
              <w:bidi w:val="0"/>
              <w:adjustRightInd/>
              <w:snapToGrid/>
              <w:rPr>
                <w:color w:val="auto"/>
                <w:sz w:val="21"/>
                <w:szCs w:val="21"/>
              </w:rPr>
            </w:pPr>
          </w:p>
        </w:tc>
        <w:tc>
          <w:tcPr>
            <w:tcW w:w="464" w:type="pct"/>
            <w:tcBorders>
              <w:tl2br w:val="nil"/>
              <w:tr2bl w:val="nil"/>
            </w:tcBorders>
            <w:vAlign w:val="center"/>
          </w:tcPr>
          <w:p w14:paraId="7330467A">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15C2EF00">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1A25C63B">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6EEC682B">
            <w:pPr>
              <w:pStyle w:val="16"/>
              <w:pageBreakBefore w:val="0"/>
              <w:wordWrap/>
              <w:bidi w:val="0"/>
              <w:adjustRightInd/>
              <w:snapToGrid/>
              <w:rPr>
                <w:rFonts w:hint="eastAsia"/>
                <w:color w:val="auto"/>
                <w:sz w:val="21"/>
                <w:szCs w:val="21"/>
                <w:lang w:val="en-US" w:eastAsia="zh-CN"/>
              </w:rPr>
            </w:pPr>
          </w:p>
        </w:tc>
      </w:tr>
      <w:tr w14:paraId="7977E11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720C07D">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5</w:t>
            </w:r>
          </w:p>
        </w:tc>
        <w:tc>
          <w:tcPr>
            <w:tcW w:w="189" w:type="pct"/>
            <w:vMerge w:val="continue"/>
            <w:tcBorders>
              <w:tl2br w:val="nil"/>
              <w:tr2bl w:val="nil"/>
            </w:tcBorders>
            <w:vAlign w:val="center"/>
          </w:tcPr>
          <w:p w14:paraId="074952CE">
            <w:pPr>
              <w:pStyle w:val="16"/>
              <w:pageBreakBefore w:val="0"/>
              <w:wordWrap/>
              <w:bidi w:val="0"/>
              <w:adjustRightInd/>
              <w:snapToGrid/>
              <w:ind w:left="0" w:leftChars="0" w:firstLine="0" w:firstLineChars="0"/>
              <w:rPr>
                <w:rFonts w:hint="eastAsia"/>
                <w:color w:val="auto"/>
                <w:sz w:val="21"/>
                <w:szCs w:val="21"/>
                <w:lang w:val="en-US" w:eastAsia="zh-CN"/>
              </w:rPr>
            </w:pPr>
          </w:p>
        </w:tc>
        <w:tc>
          <w:tcPr>
            <w:tcW w:w="624" w:type="pct"/>
            <w:tcBorders>
              <w:tl2br w:val="nil"/>
              <w:tr2bl w:val="nil"/>
            </w:tcBorders>
            <w:vAlign w:val="center"/>
          </w:tcPr>
          <w:p w14:paraId="110D2F33">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电动葫芦</w:t>
            </w:r>
          </w:p>
        </w:tc>
        <w:tc>
          <w:tcPr>
            <w:tcW w:w="286" w:type="pct"/>
            <w:tcBorders>
              <w:tl2br w:val="nil"/>
              <w:tr2bl w:val="nil"/>
            </w:tcBorders>
            <w:vAlign w:val="center"/>
          </w:tcPr>
          <w:p w14:paraId="78D2E999">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2</w:t>
            </w:r>
          </w:p>
        </w:tc>
        <w:tc>
          <w:tcPr>
            <w:tcW w:w="372" w:type="pct"/>
            <w:tcBorders>
              <w:tl2br w:val="nil"/>
              <w:tr2bl w:val="nil"/>
            </w:tcBorders>
            <w:vAlign w:val="center"/>
          </w:tcPr>
          <w:p w14:paraId="00B7E55C">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75</w:t>
            </w:r>
          </w:p>
        </w:tc>
        <w:tc>
          <w:tcPr>
            <w:tcW w:w="372" w:type="pct"/>
            <w:vMerge w:val="continue"/>
            <w:tcBorders>
              <w:tl2br w:val="nil"/>
              <w:tr2bl w:val="nil"/>
            </w:tcBorders>
            <w:vAlign w:val="center"/>
          </w:tcPr>
          <w:p w14:paraId="4ADA2E2C">
            <w:pPr>
              <w:pStyle w:val="16"/>
              <w:pageBreakBefore w:val="0"/>
              <w:wordWrap/>
              <w:bidi w:val="0"/>
              <w:adjustRightInd/>
              <w:snapToGrid/>
              <w:rPr>
                <w:color w:val="auto"/>
                <w:sz w:val="21"/>
                <w:szCs w:val="21"/>
              </w:rPr>
            </w:pPr>
          </w:p>
        </w:tc>
        <w:tc>
          <w:tcPr>
            <w:tcW w:w="213" w:type="pct"/>
            <w:tcBorders>
              <w:tl2br w:val="nil"/>
              <w:tr2bl w:val="nil"/>
            </w:tcBorders>
            <w:vAlign w:val="center"/>
          </w:tcPr>
          <w:p w14:paraId="58788BB5">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69.6</w:t>
            </w:r>
          </w:p>
        </w:tc>
        <w:tc>
          <w:tcPr>
            <w:tcW w:w="212" w:type="pct"/>
            <w:tcBorders>
              <w:tl2br w:val="nil"/>
              <w:tr2bl w:val="nil"/>
            </w:tcBorders>
            <w:vAlign w:val="center"/>
          </w:tcPr>
          <w:p w14:paraId="1F5D3977">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w:t>
            </w:r>
          </w:p>
        </w:tc>
        <w:tc>
          <w:tcPr>
            <w:tcW w:w="215" w:type="pct"/>
            <w:tcBorders>
              <w:tl2br w:val="nil"/>
              <w:tr2bl w:val="nil"/>
            </w:tcBorders>
            <w:vAlign w:val="center"/>
          </w:tcPr>
          <w:p w14:paraId="7005A215">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2C9E36B5">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5F3AFB3B">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75</w:t>
            </w:r>
          </w:p>
        </w:tc>
        <w:tc>
          <w:tcPr>
            <w:tcW w:w="263" w:type="pct"/>
            <w:vMerge w:val="continue"/>
            <w:tcBorders>
              <w:tl2br w:val="nil"/>
              <w:tr2bl w:val="nil"/>
            </w:tcBorders>
            <w:vAlign w:val="center"/>
          </w:tcPr>
          <w:p w14:paraId="7CE97439">
            <w:pPr>
              <w:pStyle w:val="16"/>
              <w:pageBreakBefore w:val="0"/>
              <w:wordWrap/>
              <w:bidi w:val="0"/>
              <w:adjustRightInd/>
              <w:snapToGrid/>
              <w:rPr>
                <w:color w:val="auto"/>
                <w:sz w:val="21"/>
                <w:szCs w:val="21"/>
              </w:rPr>
            </w:pPr>
          </w:p>
        </w:tc>
        <w:tc>
          <w:tcPr>
            <w:tcW w:w="464" w:type="pct"/>
            <w:tcBorders>
              <w:tl2br w:val="nil"/>
              <w:tr2bl w:val="nil"/>
            </w:tcBorders>
            <w:vAlign w:val="center"/>
          </w:tcPr>
          <w:p w14:paraId="0B241791">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20D1910C">
            <w:pPr>
              <w:pStyle w:val="16"/>
              <w:bidi w:val="0"/>
              <w:rPr>
                <w:rFonts w:hint="default"/>
                <w:color w:val="auto"/>
                <w:lang w:val="en-US" w:eastAsia="zh-CN"/>
              </w:rPr>
            </w:pPr>
            <w:r>
              <w:rPr>
                <w:rFonts w:hint="default"/>
                <w:color w:val="auto"/>
                <w:lang w:val="en-US" w:eastAsia="zh-CN"/>
              </w:rPr>
              <w:t>30.2</w:t>
            </w:r>
          </w:p>
        </w:tc>
        <w:tc>
          <w:tcPr>
            <w:tcW w:w="285" w:type="pct"/>
            <w:tcBorders>
              <w:tl2br w:val="nil"/>
              <w:tr2bl w:val="nil"/>
            </w:tcBorders>
            <w:vAlign w:val="center"/>
          </w:tcPr>
          <w:p w14:paraId="15A57D05">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2CE9EC1D">
            <w:pPr>
              <w:pStyle w:val="16"/>
              <w:pageBreakBefore w:val="0"/>
              <w:wordWrap/>
              <w:bidi w:val="0"/>
              <w:adjustRightInd/>
              <w:snapToGrid/>
              <w:rPr>
                <w:rFonts w:hint="eastAsia"/>
                <w:color w:val="auto"/>
                <w:sz w:val="21"/>
                <w:szCs w:val="21"/>
                <w:lang w:val="en-US" w:eastAsia="zh-CN"/>
              </w:rPr>
            </w:pPr>
          </w:p>
        </w:tc>
      </w:tr>
      <w:tr w14:paraId="536B97A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CED50D6">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6</w:t>
            </w:r>
          </w:p>
        </w:tc>
        <w:tc>
          <w:tcPr>
            <w:tcW w:w="189" w:type="pct"/>
            <w:vMerge w:val="restart"/>
            <w:tcBorders>
              <w:tl2br w:val="nil"/>
              <w:tr2bl w:val="nil"/>
            </w:tcBorders>
            <w:vAlign w:val="center"/>
          </w:tcPr>
          <w:p w14:paraId="022B8D1B">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水解酸化池</w:t>
            </w:r>
          </w:p>
        </w:tc>
        <w:tc>
          <w:tcPr>
            <w:tcW w:w="624" w:type="pct"/>
            <w:tcBorders>
              <w:tl2br w:val="nil"/>
              <w:tr2bl w:val="nil"/>
            </w:tcBorders>
            <w:vAlign w:val="center"/>
          </w:tcPr>
          <w:p w14:paraId="0D92DC23">
            <w:pPr>
              <w:pStyle w:val="16"/>
              <w:pageBreakBefore w:val="0"/>
              <w:wordWrap/>
              <w:bidi w:val="0"/>
              <w:adjustRightInd/>
              <w:snapToGrid/>
              <w:ind w:left="0" w:leftChars="0" w:firstLine="0" w:firstLineChars="0"/>
              <w:rPr>
                <w:color w:val="auto"/>
                <w:sz w:val="21"/>
                <w:szCs w:val="21"/>
              </w:rPr>
            </w:pPr>
            <w:r>
              <w:rPr>
                <w:color w:val="auto"/>
                <w:sz w:val="21"/>
                <w:szCs w:val="21"/>
              </w:rPr>
              <w:t>污泥泵</w:t>
            </w:r>
          </w:p>
        </w:tc>
        <w:tc>
          <w:tcPr>
            <w:tcW w:w="286" w:type="pct"/>
            <w:tcBorders>
              <w:tl2br w:val="nil"/>
              <w:tr2bl w:val="nil"/>
            </w:tcBorders>
            <w:vAlign w:val="center"/>
          </w:tcPr>
          <w:p w14:paraId="21648D19">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8用2备</w:t>
            </w:r>
          </w:p>
        </w:tc>
        <w:tc>
          <w:tcPr>
            <w:tcW w:w="372" w:type="pct"/>
            <w:tcBorders>
              <w:tl2br w:val="nil"/>
              <w:tr2bl w:val="nil"/>
            </w:tcBorders>
            <w:vAlign w:val="center"/>
          </w:tcPr>
          <w:p w14:paraId="3308AAF5">
            <w:pPr>
              <w:pStyle w:val="16"/>
              <w:pageBreakBefore w:val="0"/>
              <w:wordWrap/>
              <w:bidi w:val="0"/>
              <w:adjustRightInd/>
              <w:snapToGrid/>
              <w:ind w:left="0" w:leftChars="0" w:firstLine="0" w:firstLineChars="0"/>
              <w:rPr>
                <w:rFonts w:hint="default"/>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3D3DF81B">
            <w:pPr>
              <w:pStyle w:val="16"/>
              <w:pageBreakBefore w:val="0"/>
              <w:wordWrap/>
              <w:bidi w:val="0"/>
              <w:adjustRightInd/>
              <w:snapToGrid/>
              <w:rPr>
                <w:color w:val="auto"/>
                <w:sz w:val="21"/>
                <w:szCs w:val="21"/>
              </w:rPr>
            </w:pPr>
          </w:p>
        </w:tc>
        <w:tc>
          <w:tcPr>
            <w:tcW w:w="213" w:type="pct"/>
            <w:tcBorders>
              <w:tl2br w:val="nil"/>
              <w:tr2bl w:val="nil"/>
            </w:tcBorders>
            <w:vAlign w:val="center"/>
          </w:tcPr>
          <w:p w14:paraId="5A016181">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90.6</w:t>
            </w:r>
          </w:p>
        </w:tc>
        <w:tc>
          <w:tcPr>
            <w:tcW w:w="212" w:type="pct"/>
            <w:tcBorders>
              <w:tl2br w:val="nil"/>
              <w:tr2bl w:val="nil"/>
            </w:tcBorders>
            <w:vAlign w:val="center"/>
          </w:tcPr>
          <w:p w14:paraId="626CD63D">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-6.1</w:t>
            </w:r>
          </w:p>
        </w:tc>
        <w:tc>
          <w:tcPr>
            <w:tcW w:w="215" w:type="pct"/>
            <w:tcBorders>
              <w:tl2br w:val="nil"/>
              <w:tr2bl w:val="nil"/>
            </w:tcBorders>
            <w:vAlign w:val="center"/>
          </w:tcPr>
          <w:p w14:paraId="6CA96B73">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-6.5</w:t>
            </w:r>
          </w:p>
        </w:tc>
        <w:tc>
          <w:tcPr>
            <w:tcW w:w="336" w:type="pct"/>
            <w:tcBorders>
              <w:tl2br w:val="nil"/>
              <w:tr2bl w:val="nil"/>
            </w:tcBorders>
            <w:vAlign w:val="center"/>
          </w:tcPr>
          <w:p w14:paraId="143B48C9">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562EC7FD">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263" w:type="pct"/>
            <w:vMerge w:val="continue"/>
            <w:tcBorders>
              <w:tl2br w:val="nil"/>
              <w:tr2bl w:val="nil"/>
            </w:tcBorders>
            <w:vAlign w:val="center"/>
          </w:tcPr>
          <w:p w14:paraId="4BD5CC9D">
            <w:pPr>
              <w:pStyle w:val="16"/>
              <w:pageBreakBefore w:val="0"/>
              <w:wordWrap/>
              <w:bidi w:val="0"/>
              <w:adjustRightInd/>
              <w:snapToGrid/>
              <w:rPr>
                <w:color w:val="auto"/>
                <w:sz w:val="21"/>
                <w:szCs w:val="21"/>
              </w:rPr>
            </w:pPr>
          </w:p>
        </w:tc>
        <w:tc>
          <w:tcPr>
            <w:tcW w:w="464" w:type="pct"/>
            <w:tcBorders>
              <w:tl2br w:val="nil"/>
              <w:tr2bl w:val="nil"/>
            </w:tcBorders>
            <w:vAlign w:val="center"/>
          </w:tcPr>
          <w:p w14:paraId="3C6B6D7C">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35B401B4">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520F39A7">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5960AB79">
            <w:pPr>
              <w:pStyle w:val="16"/>
              <w:pageBreakBefore w:val="0"/>
              <w:wordWrap/>
              <w:bidi w:val="0"/>
              <w:adjustRightInd/>
              <w:snapToGrid/>
              <w:rPr>
                <w:rFonts w:hint="eastAsia"/>
                <w:color w:val="auto"/>
                <w:sz w:val="21"/>
                <w:szCs w:val="21"/>
                <w:lang w:val="en-US" w:eastAsia="zh-CN"/>
              </w:rPr>
            </w:pPr>
          </w:p>
        </w:tc>
      </w:tr>
      <w:tr w14:paraId="421FFCC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6C567CB4">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7</w:t>
            </w:r>
          </w:p>
        </w:tc>
        <w:tc>
          <w:tcPr>
            <w:tcW w:w="189" w:type="pct"/>
            <w:vMerge w:val="continue"/>
            <w:tcBorders>
              <w:tl2br w:val="nil"/>
              <w:tr2bl w:val="nil"/>
            </w:tcBorders>
            <w:vAlign w:val="center"/>
          </w:tcPr>
          <w:p w14:paraId="29E411BA">
            <w:pPr>
              <w:pageBreakBefore w:val="0"/>
              <w:wordWrap/>
              <w:bidi w:val="0"/>
              <w:adjustRightInd/>
              <w:snapToGrid/>
              <w:spacing w:line="240" w:lineRule="auto"/>
              <w:ind w:firstLine="0" w:firstLineChars="0"/>
              <w:jc w:val="center"/>
              <w:rPr>
                <w:rFonts w:hint="eastAsia"/>
                <w:color w:val="auto"/>
                <w:sz w:val="21"/>
                <w:szCs w:val="21"/>
                <w:lang w:val="en-US" w:eastAsia="zh-CN"/>
              </w:rPr>
            </w:pPr>
          </w:p>
        </w:tc>
        <w:tc>
          <w:tcPr>
            <w:tcW w:w="624" w:type="pct"/>
            <w:tcBorders>
              <w:tl2br w:val="nil"/>
              <w:tr2bl w:val="nil"/>
            </w:tcBorders>
            <w:vAlign w:val="center"/>
          </w:tcPr>
          <w:p w14:paraId="40FFAF74">
            <w:pPr>
              <w:pStyle w:val="16"/>
              <w:pageBreakBefore w:val="0"/>
              <w:wordWrap/>
              <w:bidi w:val="0"/>
              <w:adjustRightInd/>
              <w:snapToGrid/>
              <w:ind w:left="0" w:leftChars="0" w:firstLine="0" w:firstLineChars="0"/>
              <w:rPr>
                <w:color w:val="auto"/>
                <w:sz w:val="21"/>
                <w:szCs w:val="21"/>
              </w:rPr>
            </w:pPr>
            <w:r>
              <w:rPr>
                <w:color w:val="auto"/>
                <w:sz w:val="21"/>
                <w:szCs w:val="21"/>
              </w:rPr>
              <w:t>低速潜水推流器</w:t>
            </w:r>
          </w:p>
        </w:tc>
        <w:tc>
          <w:tcPr>
            <w:tcW w:w="286" w:type="pct"/>
            <w:tcBorders>
              <w:tl2br w:val="nil"/>
              <w:tr2bl w:val="nil"/>
            </w:tcBorders>
            <w:vAlign w:val="center"/>
          </w:tcPr>
          <w:p w14:paraId="6901BD5D">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4</w:t>
            </w:r>
          </w:p>
        </w:tc>
        <w:tc>
          <w:tcPr>
            <w:tcW w:w="372" w:type="pct"/>
            <w:tcBorders>
              <w:tl2br w:val="nil"/>
              <w:tr2bl w:val="nil"/>
            </w:tcBorders>
            <w:vAlign w:val="center"/>
          </w:tcPr>
          <w:p w14:paraId="4911BC70">
            <w:pPr>
              <w:pStyle w:val="16"/>
              <w:pageBreakBefore w:val="0"/>
              <w:wordWrap/>
              <w:bidi w:val="0"/>
              <w:adjustRightInd/>
              <w:snapToGrid/>
              <w:ind w:left="0" w:leftChars="0" w:firstLine="0" w:firstLineChars="0"/>
              <w:rPr>
                <w:rFonts w:hint="default"/>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21363BE2">
            <w:pPr>
              <w:pStyle w:val="16"/>
              <w:pageBreakBefore w:val="0"/>
              <w:wordWrap/>
              <w:bidi w:val="0"/>
              <w:adjustRightInd/>
              <w:snapToGrid/>
              <w:rPr>
                <w:color w:val="auto"/>
                <w:sz w:val="21"/>
                <w:szCs w:val="21"/>
              </w:rPr>
            </w:pPr>
          </w:p>
        </w:tc>
        <w:tc>
          <w:tcPr>
            <w:tcW w:w="213" w:type="pct"/>
            <w:tcBorders>
              <w:tl2br w:val="nil"/>
              <w:tr2bl w:val="nil"/>
            </w:tcBorders>
            <w:vAlign w:val="center"/>
          </w:tcPr>
          <w:p w14:paraId="7F8A5B53">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90.6</w:t>
            </w:r>
          </w:p>
        </w:tc>
        <w:tc>
          <w:tcPr>
            <w:tcW w:w="212" w:type="pct"/>
            <w:tcBorders>
              <w:tl2br w:val="nil"/>
              <w:tr2bl w:val="nil"/>
            </w:tcBorders>
            <w:vAlign w:val="center"/>
          </w:tcPr>
          <w:p w14:paraId="4CCD40BF">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-6.1</w:t>
            </w:r>
          </w:p>
        </w:tc>
        <w:tc>
          <w:tcPr>
            <w:tcW w:w="215" w:type="pct"/>
            <w:tcBorders>
              <w:tl2br w:val="nil"/>
              <w:tr2bl w:val="nil"/>
            </w:tcBorders>
            <w:vAlign w:val="center"/>
          </w:tcPr>
          <w:p w14:paraId="3F961CE3">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-6</w:t>
            </w:r>
          </w:p>
        </w:tc>
        <w:tc>
          <w:tcPr>
            <w:tcW w:w="336" w:type="pct"/>
            <w:tcBorders>
              <w:tl2br w:val="nil"/>
              <w:tr2bl w:val="nil"/>
            </w:tcBorders>
            <w:vAlign w:val="center"/>
          </w:tcPr>
          <w:p w14:paraId="5AAAE2E4">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6D246642">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263" w:type="pct"/>
            <w:vMerge w:val="continue"/>
            <w:tcBorders>
              <w:tl2br w:val="nil"/>
              <w:tr2bl w:val="nil"/>
            </w:tcBorders>
            <w:vAlign w:val="center"/>
          </w:tcPr>
          <w:p w14:paraId="4C639311">
            <w:pPr>
              <w:pStyle w:val="16"/>
              <w:pageBreakBefore w:val="0"/>
              <w:wordWrap/>
              <w:bidi w:val="0"/>
              <w:adjustRightInd/>
              <w:snapToGrid/>
              <w:rPr>
                <w:color w:val="auto"/>
                <w:sz w:val="21"/>
                <w:szCs w:val="21"/>
              </w:rPr>
            </w:pPr>
          </w:p>
        </w:tc>
        <w:tc>
          <w:tcPr>
            <w:tcW w:w="464" w:type="pct"/>
            <w:tcBorders>
              <w:tl2br w:val="nil"/>
              <w:tr2bl w:val="nil"/>
            </w:tcBorders>
            <w:vAlign w:val="center"/>
          </w:tcPr>
          <w:p w14:paraId="4F45C8B0">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5F54ED17">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09A2686A">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6A2F772B">
            <w:pPr>
              <w:pStyle w:val="16"/>
              <w:pageBreakBefore w:val="0"/>
              <w:wordWrap/>
              <w:bidi w:val="0"/>
              <w:adjustRightInd/>
              <w:snapToGrid/>
              <w:rPr>
                <w:rFonts w:hint="eastAsia"/>
                <w:color w:val="auto"/>
                <w:sz w:val="21"/>
                <w:szCs w:val="21"/>
                <w:lang w:val="en-US" w:eastAsia="zh-CN"/>
              </w:rPr>
            </w:pPr>
          </w:p>
        </w:tc>
      </w:tr>
      <w:tr w14:paraId="77F59FA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E9FB79A">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8</w:t>
            </w:r>
          </w:p>
        </w:tc>
        <w:tc>
          <w:tcPr>
            <w:tcW w:w="189" w:type="pct"/>
            <w:vMerge w:val="restart"/>
            <w:tcBorders>
              <w:tl2br w:val="nil"/>
              <w:tr2bl w:val="nil"/>
            </w:tcBorders>
            <w:vAlign w:val="center"/>
          </w:tcPr>
          <w:p w14:paraId="01F58676">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生化池</w:t>
            </w:r>
          </w:p>
        </w:tc>
        <w:tc>
          <w:tcPr>
            <w:tcW w:w="624" w:type="pct"/>
            <w:tcBorders>
              <w:tl2br w:val="nil"/>
              <w:tr2bl w:val="nil"/>
            </w:tcBorders>
            <w:vAlign w:val="center"/>
          </w:tcPr>
          <w:p w14:paraId="3A097A7D">
            <w:pPr>
              <w:pStyle w:val="16"/>
              <w:pageBreakBefore w:val="0"/>
              <w:wordWrap/>
              <w:bidi w:val="0"/>
              <w:adjustRightInd/>
              <w:snapToGrid/>
              <w:ind w:left="0" w:leftChars="0" w:firstLine="0" w:firstLineChars="0"/>
              <w:rPr>
                <w:color w:val="auto"/>
                <w:sz w:val="21"/>
                <w:szCs w:val="21"/>
              </w:rPr>
            </w:pPr>
            <w:r>
              <w:rPr>
                <w:color w:val="auto"/>
                <w:sz w:val="21"/>
                <w:szCs w:val="21"/>
              </w:rPr>
              <w:t>空气推流器</w:t>
            </w:r>
          </w:p>
        </w:tc>
        <w:tc>
          <w:tcPr>
            <w:tcW w:w="286" w:type="pct"/>
            <w:tcBorders>
              <w:tl2br w:val="nil"/>
              <w:tr2bl w:val="nil"/>
            </w:tcBorders>
            <w:vAlign w:val="center"/>
          </w:tcPr>
          <w:p w14:paraId="22F3CC55">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7</w:t>
            </w:r>
          </w:p>
        </w:tc>
        <w:tc>
          <w:tcPr>
            <w:tcW w:w="372" w:type="pct"/>
            <w:tcBorders>
              <w:tl2br w:val="nil"/>
              <w:tr2bl w:val="nil"/>
            </w:tcBorders>
            <w:vAlign w:val="center"/>
          </w:tcPr>
          <w:p w14:paraId="0C1FB5F3">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76305F06">
            <w:pPr>
              <w:pStyle w:val="16"/>
              <w:pageBreakBefore w:val="0"/>
              <w:wordWrap/>
              <w:bidi w:val="0"/>
              <w:adjustRightInd/>
              <w:snapToGrid/>
              <w:rPr>
                <w:color w:val="auto"/>
                <w:sz w:val="21"/>
                <w:szCs w:val="21"/>
              </w:rPr>
            </w:pPr>
          </w:p>
        </w:tc>
        <w:tc>
          <w:tcPr>
            <w:tcW w:w="213" w:type="pct"/>
            <w:tcBorders>
              <w:tl2br w:val="nil"/>
              <w:tr2bl w:val="nil"/>
            </w:tcBorders>
            <w:vAlign w:val="center"/>
          </w:tcPr>
          <w:p w14:paraId="08D0093D">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109.4</w:t>
            </w:r>
          </w:p>
        </w:tc>
        <w:tc>
          <w:tcPr>
            <w:tcW w:w="212" w:type="pct"/>
            <w:tcBorders>
              <w:tl2br w:val="nil"/>
              <w:tr2bl w:val="nil"/>
            </w:tcBorders>
            <w:vAlign w:val="center"/>
          </w:tcPr>
          <w:p w14:paraId="61EA51D2">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-18.4</w:t>
            </w:r>
          </w:p>
        </w:tc>
        <w:tc>
          <w:tcPr>
            <w:tcW w:w="215" w:type="pct"/>
            <w:tcBorders>
              <w:tl2br w:val="nil"/>
              <w:tr2bl w:val="nil"/>
            </w:tcBorders>
            <w:vAlign w:val="center"/>
          </w:tcPr>
          <w:p w14:paraId="5A1DB311">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-6.3</w:t>
            </w:r>
          </w:p>
        </w:tc>
        <w:tc>
          <w:tcPr>
            <w:tcW w:w="336" w:type="pct"/>
            <w:tcBorders>
              <w:tl2br w:val="nil"/>
              <w:tr2bl w:val="nil"/>
            </w:tcBorders>
            <w:vAlign w:val="center"/>
          </w:tcPr>
          <w:p w14:paraId="6192414E">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34F3388D">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263" w:type="pct"/>
            <w:vMerge w:val="continue"/>
            <w:tcBorders>
              <w:tl2br w:val="nil"/>
              <w:tr2bl w:val="nil"/>
            </w:tcBorders>
            <w:vAlign w:val="center"/>
          </w:tcPr>
          <w:p w14:paraId="5131F30C">
            <w:pPr>
              <w:pStyle w:val="16"/>
              <w:pageBreakBefore w:val="0"/>
              <w:wordWrap/>
              <w:bidi w:val="0"/>
              <w:adjustRightInd/>
              <w:snapToGrid/>
              <w:rPr>
                <w:color w:val="auto"/>
                <w:sz w:val="21"/>
                <w:szCs w:val="21"/>
              </w:rPr>
            </w:pPr>
          </w:p>
        </w:tc>
        <w:tc>
          <w:tcPr>
            <w:tcW w:w="464" w:type="pct"/>
            <w:tcBorders>
              <w:tl2br w:val="nil"/>
              <w:tr2bl w:val="nil"/>
            </w:tcBorders>
            <w:vAlign w:val="center"/>
          </w:tcPr>
          <w:p w14:paraId="6B0C07ED">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4A50B271">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6483ACBA">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281" w:type="pct"/>
            <w:vMerge w:val="continue"/>
            <w:tcBorders>
              <w:tl2br w:val="nil"/>
              <w:tr2bl w:val="nil"/>
            </w:tcBorders>
            <w:vAlign w:val="center"/>
          </w:tcPr>
          <w:p w14:paraId="49C0AED3">
            <w:pPr>
              <w:pStyle w:val="16"/>
              <w:pageBreakBefore w:val="0"/>
              <w:wordWrap/>
              <w:bidi w:val="0"/>
              <w:adjustRightInd/>
              <w:snapToGrid/>
              <w:rPr>
                <w:rFonts w:hint="eastAsia"/>
                <w:color w:val="auto"/>
                <w:sz w:val="21"/>
                <w:szCs w:val="21"/>
                <w:lang w:val="en-US" w:eastAsia="zh-CN"/>
              </w:rPr>
            </w:pPr>
          </w:p>
        </w:tc>
      </w:tr>
      <w:tr w14:paraId="72D254B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81FE0E9">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9</w:t>
            </w:r>
          </w:p>
        </w:tc>
        <w:tc>
          <w:tcPr>
            <w:tcW w:w="189" w:type="pct"/>
            <w:vMerge w:val="continue"/>
            <w:tcBorders>
              <w:tl2br w:val="nil"/>
              <w:tr2bl w:val="nil"/>
            </w:tcBorders>
            <w:vAlign w:val="center"/>
          </w:tcPr>
          <w:p w14:paraId="577CC654">
            <w:pPr>
              <w:pStyle w:val="16"/>
              <w:pageBreakBefore w:val="0"/>
              <w:wordWrap/>
              <w:bidi w:val="0"/>
              <w:adjustRightInd/>
              <w:snapToGrid/>
              <w:ind w:left="0" w:leftChars="0" w:firstLine="0" w:firstLineChars="0"/>
              <w:rPr>
                <w:rFonts w:hint="eastAsia"/>
                <w:color w:val="auto"/>
                <w:sz w:val="21"/>
                <w:szCs w:val="21"/>
                <w:lang w:val="en-US" w:eastAsia="zh-CN"/>
              </w:rPr>
            </w:pPr>
          </w:p>
        </w:tc>
        <w:tc>
          <w:tcPr>
            <w:tcW w:w="624" w:type="pct"/>
            <w:tcBorders>
              <w:tl2br w:val="nil"/>
              <w:tr2bl w:val="nil"/>
            </w:tcBorders>
            <w:vAlign w:val="center"/>
          </w:tcPr>
          <w:p w14:paraId="7F743795">
            <w:pPr>
              <w:pStyle w:val="16"/>
              <w:pageBreakBefore w:val="0"/>
              <w:wordWrap/>
              <w:bidi w:val="0"/>
              <w:adjustRightInd/>
              <w:snapToGrid/>
              <w:ind w:left="0" w:leftChars="0" w:firstLine="0" w:firstLineChars="0"/>
              <w:rPr>
                <w:color w:val="auto"/>
                <w:sz w:val="21"/>
                <w:szCs w:val="21"/>
              </w:rPr>
            </w:pPr>
            <w:r>
              <w:rPr>
                <w:color w:val="auto"/>
                <w:sz w:val="21"/>
                <w:szCs w:val="21"/>
              </w:rPr>
              <w:t>污泥回流泵</w:t>
            </w:r>
          </w:p>
        </w:tc>
        <w:tc>
          <w:tcPr>
            <w:tcW w:w="286" w:type="pct"/>
            <w:tcBorders>
              <w:tl2br w:val="nil"/>
              <w:tr2bl w:val="nil"/>
            </w:tcBorders>
            <w:vAlign w:val="center"/>
          </w:tcPr>
          <w:p w14:paraId="790C741C">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4</w:t>
            </w:r>
            <w:r>
              <w:rPr>
                <w:color w:val="auto"/>
                <w:sz w:val="21"/>
                <w:szCs w:val="21"/>
              </w:rPr>
              <w:t>用</w:t>
            </w:r>
            <w:r>
              <w:rPr>
                <w:rFonts w:hint="eastAsia"/>
                <w:color w:val="auto"/>
                <w:sz w:val="21"/>
                <w:szCs w:val="21"/>
                <w:lang w:eastAsia="zh-CN"/>
              </w:rPr>
              <w:t>1</w:t>
            </w:r>
            <w:r>
              <w:rPr>
                <w:color w:val="auto"/>
                <w:sz w:val="21"/>
                <w:szCs w:val="21"/>
              </w:rPr>
              <w:t>备</w:t>
            </w:r>
          </w:p>
        </w:tc>
        <w:tc>
          <w:tcPr>
            <w:tcW w:w="372" w:type="pct"/>
            <w:tcBorders>
              <w:tl2br w:val="nil"/>
              <w:tr2bl w:val="nil"/>
            </w:tcBorders>
            <w:vAlign w:val="center"/>
          </w:tcPr>
          <w:p w14:paraId="72DD6B27">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0894E494">
            <w:pPr>
              <w:pStyle w:val="16"/>
              <w:pageBreakBefore w:val="0"/>
              <w:wordWrap/>
              <w:bidi w:val="0"/>
              <w:adjustRightInd/>
              <w:snapToGrid/>
              <w:rPr>
                <w:color w:val="auto"/>
                <w:sz w:val="21"/>
                <w:szCs w:val="21"/>
              </w:rPr>
            </w:pPr>
          </w:p>
        </w:tc>
        <w:tc>
          <w:tcPr>
            <w:tcW w:w="213" w:type="pct"/>
            <w:tcBorders>
              <w:tl2br w:val="nil"/>
              <w:tr2bl w:val="nil"/>
            </w:tcBorders>
            <w:vAlign w:val="center"/>
          </w:tcPr>
          <w:p w14:paraId="2CCC9931">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110.9</w:t>
            </w:r>
          </w:p>
        </w:tc>
        <w:tc>
          <w:tcPr>
            <w:tcW w:w="212" w:type="pct"/>
            <w:tcBorders>
              <w:tl2br w:val="nil"/>
              <w:tr2bl w:val="nil"/>
            </w:tcBorders>
            <w:vAlign w:val="center"/>
          </w:tcPr>
          <w:p w14:paraId="6035C782">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-19.8</w:t>
            </w:r>
          </w:p>
        </w:tc>
        <w:tc>
          <w:tcPr>
            <w:tcW w:w="215" w:type="pct"/>
            <w:tcBorders>
              <w:tl2br w:val="nil"/>
              <w:tr2bl w:val="nil"/>
            </w:tcBorders>
            <w:vAlign w:val="center"/>
          </w:tcPr>
          <w:p w14:paraId="78E739EF">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-6.3</w:t>
            </w:r>
          </w:p>
        </w:tc>
        <w:tc>
          <w:tcPr>
            <w:tcW w:w="336" w:type="pct"/>
            <w:tcBorders>
              <w:tl2br w:val="nil"/>
              <w:tr2bl w:val="nil"/>
            </w:tcBorders>
            <w:vAlign w:val="center"/>
          </w:tcPr>
          <w:p w14:paraId="001A0543">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73A00BE1">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263" w:type="pct"/>
            <w:vMerge w:val="continue"/>
            <w:tcBorders>
              <w:tl2br w:val="nil"/>
              <w:tr2bl w:val="nil"/>
            </w:tcBorders>
            <w:vAlign w:val="center"/>
          </w:tcPr>
          <w:p w14:paraId="35852DF4">
            <w:pPr>
              <w:pStyle w:val="16"/>
              <w:pageBreakBefore w:val="0"/>
              <w:wordWrap/>
              <w:bidi w:val="0"/>
              <w:adjustRightInd/>
              <w:snapToGrid/>
              <w:rPr>
                <w:color w:val="auto"/>
                <w:sz w:val="21"/>
                <w:szCs w:val="21"/>
              </w:rPr>
            </w:pPr>
          </w:p>
        </w:tc>
        <w:tc>
          <w:tcPr>
            <w:tcW w:w="464" w:type="pct"/>
            <w:tcBorders>
              <w:tl2br w:val="nil"/>
              <w:tr2bl w:val="nil"/>
            </w:tcBorders>
            <w:vAlign w:val="center"/>
          </w:tcPr>
          <w:p w14:paraId="5DDFD36D">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550D6A60">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42A63C47">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13F70752">
            <w:pPr>
              <w:pStyle w:val="16"/>
              <w:pageBreakBefore w:val="0"/>
              <w:wordWrap/>
              <w:bidi w:val="0"/>
              <w:adjustRightInd/>
              <w:snapToGrid/>
              <w:rPr>
                <w:rFonts w:hint="eastAsia"/>
                <w:color w:val="auto"/>
                <w:sz w:val="21"/>
                <w:szCs w:val="21"/>
                <w:lang w:val="en-US" w:eastAsia="zh-CN"/>
              </w:rPr>
            </w:pPr>
          </w:p>
        </w:tc>
      </w:tr>
      <w:tr w14:paraId="779FF55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10791D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10</w:t>
            </w:r>
          </w:p>
        </w:tc>
        <w:tc>
          <w:tcPr>
            <w:tcW w:w="189" w:type="pct"/>
            <w:vMerge w:val="continue"/>
            <w:tcBorders>
              <w:tl2br w:val="nil"/>
              <w:tr2bl w:val="nil"/>
            </w:tcBorders>
            <w:vAlign w:val="center"/>
          </w:tcPr>
          <w:p w14:paraId="4CA0AC09">
            <w:pPr>
              <w:pStyle w:val="16"/>
              <w:pageBreakBefore w:val="0"/>
              <w:wordWrap/>
              <w:bidi w:val="0"/>
              <w:adjustRightInd/>
              <w:snapToGrid/>
              <w:ind w:left="0" w:leftChars="0" w:firstLine="0" w:firstLineChars="0"/>
              <w:rPr>
                <w:rFonts w:hint="eastAsia"/>
                <w:color w:val="auto"/>
                <w:sz w:val="21"/>
                <w:szCs w:val="21"/>
                <w:lang w:val="en-US" w:eastAsia="zh-CN"/>
              </w:rPr>
            </w:pPr>
          </w:p>
        </w:tc>
        <w:tc>
          <w:tcPr>
            <w:tcW w:w="624" w:type="pct"/>
            <w:tcBorders>
              <w:tl2br w:val="nil"/>
              <w:tr2bl w:val="nil"/>
            </w:tcBorders>
            <w:vAlign w:val="center"/>
          </w:tcPr>
          <w:p w14:paraId="3DFDB4BE">
            <w:pPr>
              <w:pStyle w:val="16"/>
              <w:pageBreakBefore w:val="0"/>
              <w:wordWrap/>
              <w:bidi w:val="0"/>
              <w:adjustRightInd/>
              <w:snapToGrid/>
              <w:ind w:left="0" w:leftChars="0" w:firstLine="0" w:firstLineChars="0"/>
              <w:rPr>
                <w:color w:val="auto"/>
                <w:sz w:val="21"/>
                <w:szCs w:val="21"/>
              </w:rPr>
            </w:pPr>
            <w:r>
              <w:rPr>
                <w:color w:val="auto"/>
                <w:sz w:val="21"/>
                <w:szCs w:val="21"/>
              </w:rPr>
              <w:t>潜水搅拌器</w:t>
            </w:r>
          </w:p>
        </w:tc>
        <w:tc>
          <w:tcPr>
            <w:tcW w:w="286" w:type="pct"/>
            <w:tcBorders>
              <w:tl2br w:val="nil"/>
              <w:tr2bl w:val="nil"/>
            </w:tcBorders>
            <w:vAlign w:val="center"/>
          </w:tcPr>
          <w:p w14:paraId="11692194">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7</w:t>
            </w:r>
          </w:p>
        </w:tc>
        <w:tc>
          <w:tcPr>
            <w:tcW w:w="372" w:type="pct"/>
            <w:tcBorders>
              <w:tl2br w:val="nil"/>
              <w:tr2bl w:val="nil"/>
            </w:tcBorders>
            <w:vAlign w:val="center"/>
          </w:tcPr>
          <w:p w14:paraId="68496634">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469D52F7">
            <w:pPr>
              <w:pStyle w:val="16"/>
              <w:pageBreakBefore w:val="0"/>
              <w:wordWrap/>
              <w:bidi w:val="0"/>
              <w:adjustRightInd/>
              <w:snapToGrid/>
              <w:rPr>
                <w:color w:val="auto"/>
                <w:sz w:val="21"/>
                <w:szCs w:val="21"/>
              </w:rPr>
            </w:pPr>
          </w:p>
        </w:tc>
        <w:tc>
          <w:tcPr>
            <w:tcW w:w="213" w:type="pct"/>
            <w:tcBorders>
              <w:tl2br w:val="nil"/>
              <w:tr2bl w:val="nil"/>
            </w:tcBorders>
            <w:vAlign w:val="center"/>
          </w:tcPr>
          <w:p w14:paraId="10EE79A3">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116.1</w:t>
            </w:r>
          </w:p>
        </w:tc>
        <w:tc>
          <w:tcPr>
            <w:tcW w:w="212" w:type="pct"/>
            <w:tcBorders>
              <w:tl2br w:val="nil"/>
              <w:tr2bl w:val="nil"/>
            </w:tcBorders>
            <w:vAlign w:val="center"/>
          </w:tcPr>
          <w:p w14:paraId="6AA305F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-23.6</w:t>
            </w:r>
          </w:p>
        </w:tc>
        <w:tc>
          <w:tcPr>
            <w:tcW w:w="215" w:type="pct"/>
            <w:tcBorders>
              <w:tl2br w:val="nil"/>
              <w:tr2bl w:val="nil"/>
            </w:tcBorders>
            <w:vAlign w:val="center"/>
          </w:tcPr>
          <w:p w14:paraId="13607FA7">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-6.3</w:t>
            </w:r>
          </w:p>
        </w:tc>
        <w:tc>
          <w:tcPr>
            <w:tcW w:w="336" w:type="pct"/>
            <w:tcBorders>
              <w:tl2br w:val="nil"/>
              <w:tr2bl w:val="nil"/>
            </w:tcBorders>
            <w:vAlign w:val="center"/>
          </w:tcPr>
          <w:p w14:paraId="1BFD88F7">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631E2065">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263" w:type="pct"/>
            <w:vMerge w:val="continue"/>
            <w:tcBorders>
              <w:tl2br w:val="nil"/>
              <w:tr2bl w:val="nil"/>
            </w:tcBorders>
            <w:vAlign w:val="center"/>
          </w:tcPr>
          <w:p w14:paraId="258FDA88">
            <w:pPr>
              <w:pStyle w:val="16"/>
              <w:pageBreakBefore w:val="0"/>
              <w:wordWrap/>
              <w:bidi w:val="0"/>
              <w:adjustRightInd/>
              <w:snapToGrid/>
              <w:rPr>
                <w:color w:val="auto"/>
                <w:sz w:val="21"/>
                <w:szCs w:val="21"/>
              </w:rPr>
            </w:pPr>
          </w:p>
        </w:tc>
        <w:tc>
          <w:tcPr>
            <w:tcW w:w="464" w:type="pct"/>
            <w:tcBorders>
              <w:tl2br w:val="nil"/>
              <w:tr2bl w:val="nil"/>
            </w:tcBorders>
            <w:vAlign w:val="center"/>
          </w:tcPr>
          <w:p w14:paraId="51EBB9AE">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42E31ADE">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60B7A1C3">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35AE6E2D">
            <w:pPr>
              <w:pStyle w:val="16"/>
              <w:pageBreakBefore w:val="0"/>
              <w:wordWrap/>
              <w:bidi w:val="0"/>
              <w:adjustRightInd/>
              <w:snapToGrid/>
              <w:rPr>
                <w:rFonts w:hint="eastAsia"/>
                <w:color w:val="auto"/>
                <w:sz w:val="21"/>
                <w:szCs w:val="21"/>
                <w:lang w:val="en-US" w:eastAsia="zh-CN"/>
              </w:rPr>
            </w:pPr>
          </w:p>
        </w:tc>
      </w:tr>
      <w:tr w14:paraId="3372DBC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3C84C8CD">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11</w:t>
            </w:r>
          </w:p>
        </w:tc>
        <w:tc>
          <w:tcPr>
            <w:tcW w:w="189" w:type="pct"/>
            <w:vMerge w:val="restart"/>
            <w:tcBorders>
              <w:tl2br w:val="nil"/>
              <w:tr2bl w:val="nil"/>
            </w:tcBorders>
            <w:vAlign w:val="center"/>
          </w:tcPr>
          <w:p w14:paraId="558A295A">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磁混凝沉淀池</w:t>
            </w:r>
          </w:p>
        </w:tc>
        <w:tc>
          <w:tcPr>
            <w:tcW w:w="624" w:type="pct"/>
            <w:tcBorders>
              <w:tl2br w:val="nil"/>
              <w:tr2bl w:val="nil"/>
            </w:tcBorders>
            <w:vAlign w:val="center"/>
          </w:tcPr>
          <w:p w14:paraId="4E196F05">
            <w:pPr>
              <w:pStyle w:val="16"/>
              <w:pageBreakBefore w:val="0"/>
              <w:wordWrap/>
              <w:bidi w:val="0"/>
              <w:adjustRightInd/>
              <w:snapToGrid/>
              <w:ind w:left="0" w:leftChars="0" w:firstLine="0" w:firstLineChars="0"/>
              <w:rPr>
                <w:color w:val="auto"/>
                <w:sz w:val="21"/>
                <w:szCs w:val="21"/>
              </w:rPr>
            </w:pPr>
            <w:r>
              <w:rPr>
                <w:color w:val="auto"/>
                <w:sz w:val="21"/>
                <w:szCs w:val="21"/>
              </w:rPr>
              <w:t>磁介质混凝反应器</w:t>
            </w:r>
          </w:p>
        </w:tc>
        <w:tc>
          <w:tcPr>
            <w:tcW w:w="286" w:type="pct"/>
            <w:tcBorders>
              <w:tl2br w:val="nil"/>
              <w:tr2bl w:val="nil"/>
            </w:tcBorders>
            <w:vAlign w:val="center"/>
          </w:tcPr>
          <w:p w14:paraId="778A87FB">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372" w:type="pct"/>
            <w:tcBorders>
              <w:tl2br w:val="nil"/>
              <w:tr2bl w:val="nil"/>
            </w:tcBorders>
            <w:vAlign w:val="center"/>
          </w:tcPr>
          <w:p w14:paraId="5B18BE27">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75</w:t>
            </w:r>
          </w:p>
        </w:tc>
        <w:tc>
          <w:tcPr>
            <w:tcW w:w="372" w:type="pct"/>
            <w:vMerge w:val="continue"/>
            <w:tcBorders>
              <w:tl2br w:val="nil"/>
              <w:tr2bl w:val="nil"/>
            </w:tcBorders>
            <w:vAlign w:val="center"/>
          </w:tcPr>
          <w:p w14:paraId="0FAC0742">
            <w:pPr>
              <w:pStyle w:val="16"/>
              <w:pageBreakBefore w:val="0"/>
              <w:wordWrap/>
              <w:bidi w:val="0"/>
              <w:adjustRightInd/>
              <w:snapToGrid/>
              <w:rPr>
                <w:color w:val="auto"/>
                <w:sz w:val="21"/>
                <w:szCs w:val="21"/>
              </w:rPr>
            </w:pPr>
          </w:p>
        </w:tc>
        <w:tc>
          <w:tcPr>
            <w:tcW w:w="213" w:type="pct"/>
            <w:tcBorders>
              <w:tl2br w:val="nil"/>
              <w:tr2bl w:val="nil"/>
            </w:tcBorders>
            <w:vAlign w:val="center"/>
          </w:tcPr>
          <w:p w14:paraId="518820BF">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126.6</w:t>
            </w:r>
          </w:p>
        </w:tc>
        <w:tc>
          <w:tcPr>
            <w:tcW w:w="212" w:type="pct"/>
            <w:tcBorders>
              <w:tl2br w:val="nil"/>
              <w:tr2bl w:val="nil"/>
            </w:tcBorders>
            <w:vAlign w:val="center"/>
          </w:tcPr>
          <w:p w14:paraId="688FAF20">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21.5</w:t>
            </w:r>
          </w:p>
        </w:tc>
        <w:tc>
          <w:tcPr>
            <w:tcW w:w="215" w:type="pct"/>
            <w:tcBorders>
              <w:tl2br w:val="nil"/>
              <w:tr2bl w:val="nil"/>
            </w:tcBorders>
            <w:vAlign w:val="center"/>
          </w:tcPr>
          <w:p w14:paraId="13E7D669">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-10</w:t>
            </w:r>
          </w:p>
        </w:tc>
        <w:tc>
          <w:tcPr>
            <w:tcW w:w="336" w:type="pct"/>
            <w:tcBorders>
              <w:tl2br w:val="nil"/>
              <w:tr2bl w:val="nil"/>
            </w:tcBorders>
            <w:vAlign w:val="center"/>
          </w:tcPr>
          <w:p w14:paraId="7A823224">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0680B0C0">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75</w:t>
            </w:r>
          </w:p>
        </w:tc>
        <w:tc>
          <w:tcPr>
            <w:tcW w:w="263" w:type="pct"/>
            <w:vMerge w:val="continue"/>
            <w:tcBorders>
              <w:tl2br w:val="nil"/>
              <w:tr2bl w:val="nil"/>
            </w:tcBorders>
            <w:vAlign w:val="center"/>
          </w:tcPr>
          <w:p w14:paraId="2C6BBD7B">
            <w:pPr>
              <w:pStyle w:val="16"/>
              <w:pageBreakBefore w:val="0"/>
              <w:wordWrap/>
              <w:bidi w:val="0"/>
              <w:adjustRightInd/>
              <w:snapToGrid/>
              <w:rPr>
                <w:color w:val="auto"/>
                <w:sz w:val="21"/>
                <w:szCs w:val="21"/>
              </w:rPr>
            </w:pPr>
          </w:p>
        </w:tc>
        <w:tc>
          <w:tcPr>
            <w:tcW w:w="464" w:type="pct"/>
            <w:tcBorders>
              <w:tl2br w:val="nil"/>
              <w:tr2bl w:val="nil"/>
            </w:tcBorders>
            <w:vAlign w:val="center"/>
          </w:tcPr>
          <w:p w14:paraId="52EEEA0F">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6B339BAE">
            <w:pPr>
              <w:pStyle w:val="16"/>
              <w:bidi w:val="0"/>
              <w:rPr>
                <w:rFonts w:hint="default"/>
                <w:color w:val="auto"/>
                <w:lang w:val="en-US" w:eastAsia="zh-CN"/>
              </w:rPr>
            </w:pPr>
            <w:r>
              <w:rPr>
                <w:rFonts w:hint="default"/>
                <w:color w:val="auto"/>
                <w:lang w:val="en-US" w:eastAsia="zh-CN"/>
              </w:rPr>
              <w:t>30.2</w:t>
            </w:r>
          </w:p>
        </w:tc>
        <w:tc>
          <w:tcPr>
            <w:tcW w:w="285" w:type="pct"/>
            <w:tcBorders>
              <w:tl2br w:val="nil"/>
              <w:tr2bl w:val="nil"/>
            </w:tcBorders>
            <w:vAlign w:val="center"/>
          </w:tcPr>
          <w:p w14:paraId="3D989AA8">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12527C8C">
            <w:pPr>
              <w:pStyle w:val="16"/>
              <w:pageBreakBefore w:val="0"/>
              <w:wordWrap/>
              <w:bidi w:val="0"/>
              <w:adjustRightInd/>
              <w:snapToGrid/>
              <w:rPr>
                <w:rFonts w:hint="eastAsia"/>
                <w:color w:val="auto"/>
                <w:sz w:val="21"/>
                <w:szCs w:val="21"/>
                <w:lang w:val="en-US" w:eastAsia="zh-CN"/>
              </w:rPr>
            </w:pPr>
          </w:p>
        </w:tc>
      </w:tr>
      <w:tr w14:paraId="241DCC0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F2FB72C">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12</w:t>
            </w:r>
          </w:p>
        </w:tc>
        <w:tc>
          <w:tcPr>
            <w:tcW w:w="189" w:type="pct"/>
            <w:vMerge w:val="continue"/>
            <w:tcBorders>
              <w:tl2br w:val="nil"/>
              <w:tr2bl w:val="nil"/>
            </w:tcBorders>
            <w:vAlign w:val="center"/>
          </w:tcPr>
          <w:p w14:paraId="56873A65">
            <w:pPr>
              <w:pStyle w:val="16"/>
              <w:pageBreakBefore w:val="0"/>
              <w:wordWrap/>
              <w:bidi w:val="0"/>
              <w:adjustRightInd/>
              <w:snapToGrid/>
              <w:ind w:left="0" w:leftChars="0" w:firstLine="0" w:firstLineChars="0"/>
              <w:rPr>
                <w:rFonts w:hint="eastAsia"/>
                <w:color w:val="auto"/>
                <w:sz w:val="21"/>
                <w:szCs w:val="21"/>
                <w:lang w:val="en-US" w:eastAsia="zh-CN"/>
              </w:rPr>
            </w:pPr>
          </w:p>
        </w:tc>
        <w:tc>
          <w:tcPr>
            <w:tcW w:w="624" w:type="pct"/>
            <w:tcBorders>
              <w:tl2br w:val="nil"/>
              <w:tr2bl w:val="nil"/>
            </w:tcBorders>
            <w:vAlign w:val="center"/>
          </w:tcPr>
          <w:p w14:paraId="5E574054">
            <w:pPr>
              <w:pStyle w:val="16"/>
              <w:pageBreakBefore w:val="0"/>
              <w:wordWrap/>
              <w:bidi w:val="0"/>
              <w:adjustRightInd/>
              <w:snapToGrid/>
              <w:ind w:left="0" w:leftChars="0" w:firstLine="0" w:firstLineChars="0"/>
              <w:rPr>
                <w:color w:val="auto"/>
                <w:sz w:val="21"/>
                <w:szCs w:val="21"/>
              </w:rPr>
            </w:pPr>
            <w:r>
              <w:rPr>
                <w:color w:val="auto"/>
                <w:sz w:val="21"/>
                <w:szCs w:val="21"/>
              </w:rPr>
              <w:t>磁介质混合搅拌机</w:t>
            </w:r>
          </w:p>
        </w:tc>
        <w:tc>
          <w:tcPr>
            <w:tcW w:w="286" w:type="pct"/>
            <w:tcBorders>
              <w:tl2br w:val="nil"/>
              <w:tr2bl w:val="nil"/>
            </w:tcBorders>
            <w:vAlign w:val="center"/>
          </w:tcPr>
          <w:p w14:paraId="6A7A7DBA">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372" w:type="pct"/>
            <w:tcBorders>
              <w:tl2br w:val="nil"/>
              <w:tr2bl w:val="nil"/>
            </w:tcBorders>
            <w:vAlign w:val="center"/>
          </w:tcPr>
          <w:p w14:paraId="288448D2">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16A209BD">
            <w:pPr>
              <w:pStyle w:val="16"/>
              <w:pageBreakBefore w:val="0"/>
              <w:wordWrap/>
              <w:bidi w:val="0"/>
              <w:adjustRightInd/>
              <w:snapToGrid/>
              <w:rPr>
                <w:color w:val="auto"/>
                <w:sz w:val="21"/>
                <w:szCs w:val="21"/>
              </w:rPr>
            </w:pPr>
          </w:p>
        </w:tc>
        <w:tc>
          <w:tcPr>
            <w:tcW w:w="213" w:type="pct"/>
            <w:tcBorders>
              <w:tl2br w:val="nil"/>
              <w:tr2bl w:val="nil"/>
            </w:tcBorders>
            <w:vAlign w:val="center"/>
          </w:tcPr>
          <w:p w14:paraId="68FE0741">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126.6</w:t>
            </w:r>
          </w:p>
        </w:tc>
        <w:tc>
          <w:tcPr>
            <w:tcW w:w="212" w:type="pct"/>
            <w:tcBorders>
              <w:tl2br w:val="nil"/>
              <w:tr2bl w:val="nil"/>
            </w:tcBorders>
            <w:vAlign w:val="center"/>
          </w:tcPr>
          <w:p w14:paraId="133347C1">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21.5</w:t>
            </w:r>
          </w:p>
        </w:tc>
        <w:tc>
          <w:tcPr>
            <w:tcW w:w="215" w:type="pct"/>
            <w:tcBorders>
              <w:tl2br w:val="nil"/>
              <w:tr2bl w:val="nil"/>
            </w:tcBorders>
            <w:vAlign w:val="center"/>
          </w:tcPr>
          <w:p w14:paraId="466E34BB">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-10</w:t>
            </w:r>
          </w:p>
        </w:tc>
        <w:tc>
          <w:tcPr>
            <w:tcW w:w="336" w:type="pct"/>
            <w:tcBorders>
              <w:tl2br w:val="nil"/>
              <w:tr2bl w:val="nil"/>
            </w:tcBorders>
            <w:vAlign w:val="center"/>
          </w:tcPr>
          <w:p w14:paraId="53AE6EA7">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4C5F0491">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263" w:type="pct"/>
            <w:vMerge w:val="continue"/>
            <w:tcBorders>
              <w:tl2br w:val="nil"/>
              <w:tr2bl w:val="nil"/>
            </w:tcBorders>
            <w:vAlign w:val="center"/>
          </w:tcPr>
          <w:p w14:paraId="59B6EFEB">
            <w:pPr>
              <w:pStyle w:val="16"/>
              <w:pageBreakBefore w:val="0"/>
              <w:wordWrap/>
              <w:bidi w:val="0"/>
              <w:adjustRightInd/>
              <w:snapToGrid/>
              <w:rPr>
                <w:color w:val="auto"/>
                <w:sz w:val="21"/>
                <w:szCs w:val="21"/>
              </w:rPr>
            </w:pPr>
          </w:p>
        </w:tc>
        <w:tc>
          <w:tcPr>
            <w:tcW w:w="464" w:type="pct"/>
            <w:tcBorders>
              <w:tl2br w:val="nil"/>
              <w:tr2bl w:val="nil"/>
            </w:tcBorders>
            <w:vAlign w:val="center"/>
          </w:tcPr>
          <w:p w14:paraId="10D88921">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3055ABC1">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21BE0AD2">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018097EE">
            <w:pPr>
              <w:pStyle w:val="16"/>
              <w:pageBreakBefore w:val="0"/>
              <w:wordWrap/>
              <w:bidi w:val="0"/>
              <w:adjustRightInd/>
              <w:snapToGrid/>
              <w:rPr>
                <w:rFonts w:hint="eastAsia"/>
                <w:color w:val="auto"/>
                <w:sz w:val="21"/>
                <w:szCs w:val="21"/>
                <w:lang w:val="en-US" w:eastAsia="zh-CN"/>
              </w:rPr>
            </w:pPr>
          </w:p>
        </w:tc>
      </w:tr>
      <w:tr w14:paraId="30DF65B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9D0160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13</w:t>
            </w:r>
          </w:p>
        </w:tc>
        <w:tc>
          <w:tcPr>
            <w:tcW w:w="189" w:type="pct"/>
            <w:vMerge w:val="continue"/>
            <w:tcBorders>
              <w:tl2br w:val="nil"/>
              <w:tr2bl w:val="nil"/>
            </w:tcBorders>
            <w:vAlign w:val="center"/>
          </w:tcPr>
          <w:p w14:paraId="79FE0264">
            <w:pPr>
              <w:pStyle w:val="16"/>
              <w:pageBreakBefore w:val="0"/>
              <w:wordWrap/>
              <w:bidi w:val="0"/>
              <w:adjustRightInd/>
              <w:snapToGrid/>
              <w:ind w:left="0" w:leftChars="0" w:firstLine="0" w:firstLineChars="0"/>
              <w:rPr>
                <w:rFonts w:hint="eastAsia"/>
                <w:color w:val="auto"/>
                <w:sz w:val="21"/>
                <w:szCs w:val="21"/>
                <w:lang w:val="en-US" w:eastAsia="zh-CN"/>
              </w:rPr>
            </w:pPr>
          </w:p>
        </w:tc>
        <w:tc>
          <w:tcPr>
            <w:tcW w:w="624" w:type="pct"/>
            <w:tcBorders>
              <w:tl2br w:val="nil"/>
              <w:tr2bl w:val="nil"/>
            </w:tcBorders>
            <w:vAlign w:val="center"/>
          </w:tcPr>
          <w:p w14:paraId="744587DA">
            <w:pPr>
              <w:pStyle w:val="16"/>
              <w:pageBreakBefore w:val="0"/>
              <w:wordWrap/>
              <w:bidi w:val="0"/>
              <w:adjustRightInd/>
              <w:snapToGrid/>
              <w:ind w:left="0" w:leftChars="0" w:firstLine="0" w:firstLineChars="0"/>
              <w:rPr>
                <w:color w:val="auto"/>
                <w:sz w:val="21"/>
                <w:szCs w:val="21"/>
              </w:rPr>
            </w:pPr>
            <w:r>
              <w:rPr>
                <w:color w:val="auto"/>
                <w:sz w:val="21"/>
                <w:szCs w:val="21"/>
              </w:rPr>
              <w:t>絮凝反应搅拌机</w:t>
            </w:r>
          </w:p>
        </w:tc>
        <w:tc>
          <w:tcPr>
            <w:tcW w:w="286" w:type="pct"/>
            <w:tcBorders>
              <w:tl2br w:val="nil"/>
              <w:tr2bl w:val="nil"/>
            </w:tcBorders>
            <w:vAlign w:val="center"/>
          </w:tcPr>
          <w:p w14:paraId="784D43B8">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372" w:type="pct"/>
            <w:tcBorders>
              <w:tl2br w:val="nil"/>
              <w:tr2bl w:val="nil"/>
            </w:tcBorders>
            <w:vAlign w:val="center"/>
          </w:tcPr>
          <w:p w14:paraId="10886E15">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76098FDF">
            <w:pPr>
              <w:pStyle w:val="16"/>
              <w:pageBreakBefore w:val="0"/>
              <w:wordWrap/>
              <w:bidi w:val="0"/>
              <w:adjustRightInd/>
              <w:snapToGrid/>
              <w:rPr>
                <w:color w:val="auto"/>
                <w:sz w:val="21"/>
                <w:szCs w:val="21"/>
              </w:rPr>
            </w:pPr>
          </w:p>
        </w:tc>
        <w:tc>
          <w:tcPr>
            <w:tcW w:w="213" w:type="pct"/>
            <w:tcBorders>
              <w:tl2br w:val="nil"/>
              <w:tr2bl w:val="nil"/>
            </w:tcBorders>
            <w:vAlign w:val="center"/>
          </w:tcPr>
          <w:p w14:paraId="064DC470">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126.6</w:t>
            </w:r>
          </w:p>
        </w:tc>
        <w:tc>
          <w:tcPr>
            <w:tcW w:w="212" w:type="pct"/>
            <w:tcBorders>
              <w:tl2br w:val="nil"/>
              <w:tr2bl w:val="nil"/>
            </w:tcBorders>
            <w:vAlign w:val="center"/>
          </w:tcPr>
          <w:p w14:paraId="198A6646">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21.5</w:t>
            </w:r>
          </w:p>
        </w:tc>
        <w:tc>
          <w:tcPr>
            <w:tcW w:w="215" w:type="pct"/>
            <w:tcBorders>
              <w:tl2br w:val="nil"/>
              <w:tr2bl w:val="nil"/>
            </w:tcBorders>
            <w:vAlign w:val="center"/>
          </w:tcPr>
          <w:p w14:paraId="3F36539F">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-10</w:t>
            </w:r>
          </w:p>
        </w:tc>
        <w:tc>
          <w:tcPr>
            <w:tcW w:w="336" w:type="pct"/>
            <w:tcBorders>
              <w:tl2br w:val="nil"/>
              <w:tr2bl w:val="nil"/>
            </w:tcBorders>
            <w:vAlign w:val="center"/>
          </w:tcPr>
          <w:p w14:paraId="56AB8E3A">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093B5051">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263" w:type="pct"/>
            <w:vMerge w:val="continue"/>
            <w:tcBorders>
              <w:tl2br w:val="nil"/>
              <w:tr2bl w:val="nil"/>
            </w:tcBorders>
            <w:vAlign w:val="center"/>
          </w:tcPr>
          <w:p w14:paraId="6F44015A">
            <w:pPr>
              <w:pStyle w:val="16"/>
              <w:pageBreakBefore w:val="0"/>
              <w:wordWrap/>
              <w:bidi w:val="0"/>
              <w:adjustRightInd/>
              <w:snapToGrid/>
              <w:rPr>
                <w:color w:val="auto"/>
                <w:sz w:val="21"/>
                <w:szCs w:val="21"/>
              </w:rPr>
            </w:pPr>
          </w:p>
        </w:tc>
        <w:tc>
          <w:tcPr>
            <w:tcW w:w="464" w:type="pct"/>
            <w:tcBorders>
              <w:tl2br w:val="nil"/>
              <w:tr2bl w:val="nil"/>
            </w:tcBorders>
            <w:vAlign w:val="center"/>
          </w:tcPr>
          <w:p w14:paraId="543E4899">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77854CA0">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4AF4B670">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11AED97C">
            <w:pPr>
              <w:pStyle w:val="16"/>
              <w:pageBreakBefore w:val="0"/>
              <w:wordWrap/>
              <w:bidi w:val="0"/>
              <w:adjustRightInd/>
              <w:snapToGrid/>
              <w:rPr>
                <w:rFonts w:hint="eastAsia"/>
                <w:color w:val="auto"/>
                <w:sz w:val="21"/>
                <w:szCs w:val="21"/>
                <w:lang w:val="en-US" w:eastAsia="zh-CN"/>
              </w:rPr>
            </w:pPr>
          </w:p>
        </w:tc>
      </w:tr>
      <w:tr w14:paraId="618D348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26C028C">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14</w:t>
            </w:r>
          </w:p>
        </w:tc>
        <w:tc>
          <w:tcPr>
            <w:tcW w:w="189" w:type="pct"/>
            <w:vMerge w:val="continue"/>
            <w:tcBorders>
              <w:tl2br w:val="nil"/>
              <w:tr2bl w:val="nil"/>
            </w:tcBorders>
            <w:vAlign w:val="center"/>
          </w:tcPr>
          <w:p w14:paraId="5BCDA1B6">
            <w:pPr>
              <w:pStyle w:val="16"/>
              <w:pageBreakBefore w:val="0"/>
              <w:wordWrap/>
              <w:bidi w:val="0"/>
              <w:adjustRightInd/>
              <w:snapToGrid/>
              <w:ind w:left="0" w:leftChars="0" w:firstLine="0" w:firstLineChars="0"/>
              <w:rPr>
                <w:rFonts w:hint="eastAsia"/>
                <w:color w:val="auto"/>
                <w:sz w:val="21"/>
                <w:szCs w:val="21"/>
                <w:lang w:val="en-US" w:eastAsia="zh-CN"/>
              </w:rPr>
            </w:pPr>
          </w:p>
        </w:tc>
        <w:tc>
          <w:tcPr>
            <w:tcW w:w="624" w:type="pct"/>
            <w:tcBorders>
              <w:tl2br w:val="nil"/>
              <w:tr2bl w:val="nil"/>
            </w:tcBorders>
            <w:vAlign w:val="center"/>
          </w:tcPr>
          <w:p w14:paraId="5A0F20BF">
            <w:pPr>
              <w:pStyle w:val="16"/>
              <w:pageBreakBefore w:val="0"/>
              <w:wordWrap/>
              <w:bidi w:val="0"/>
              <w:adjustRightInd/>
              <w:snapToGrid/>
              <w:ind w:left="0" w:leftChars="0" w:firstLine="0" w:firstLineChars="0"/>
              <w:rPr>
                <w:color w:val="auto"/>
                <w:sz w:val="21"/>
                <w:szCs w:val="21"/>
              </w:rPr>
            </w:pPr>
            <w:r>
              <w:rPr>
                <w:color w:val="auto"/>
                <w:sz w:val="21"/>
                <w:szCs w:val="21"/>
              </w:rPr>
              <w:t>CT</w:t>
            </w:r>
            <w:r>
              <w:rPr>
                <w:rFonts w:hint="eastAsia"/>
                <w:color w:val="auto"/>
                <w:sz w:val="21"/>
                <w:szCs w:val="21"/>
                <w:lang w:eastAsia="zh-CN"/>
              </w:rPr>
              <w:t>，</w:t>
            </w:r>
            <w:r>
              <w:rPr>
                <w:color w:val="auto"/>
                <w:sz w:val="21"/>
                <w:szCs w:val="21"/>
              </w:rPr>
              <w:t>中心传动刮泥机</w:t>
            </w:r>
          </w:p>
        </w:tc>
        <w:tc>
          <w:tcPr>
            <w:tcW w:w="286" w:type="pct"/>
            <w:tcBorders>
              <w:tl2br w:val="nil"/>
              <w:tr2bl w:val="nil"/>
            </w:tcBorders>
            <w:vAlign w:val="center"/>
          </w:tcPr>
          <w:p w14:paraId="3FDB79CD">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372" w:type="pct"/>
            <w:tcBorders>
              <w:tl2br w:val="nil"/>
              <w:tr2bl w:val="nil"/>
            </w:tcBorders>
            <w:vAlign w:val="center"/>
          </w:tcPr>
          <w:p w14:paraId="2C63E42C">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39053A0C">
            <w:pPr>
              <w:pStyle w:val="16"/>
              <w:pageBreakBefore w:val="0"/>
              <w:wordWrap/>
              <w:bidi w:val="0"/>
              <w:adjustRightInd/>
              <w:snapToGrid/>
              <w:rPr>
                <w:color w:val="auto"/>
                <w:sz w:val="21"/>
                <w:szCs w:val="21"/>
              </w:rPr>
            </w:pPr>
          </w:p>
        </w:tc>
        <w:tc>
          <w:tcPr>
            <w:tcW w:w="213" w:type="pct"/>
            <w:tcBorders>
              <w:tl2br w:val="nil"/>
              <w:tr2bl w:val="nil"/>
            </w:tcBorders>
            <w:vAlign w:val="center"/>
          </w:tcPr>
          <w:p w14:paraId="4F294DD4">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140</w:t>
            </w:r>
          </w:p>
        </w:tc>
        <w:tc>
          <w:tcPr>
            <w:tcW w:w="212" w:type="pct"/>
            <w:tcBorders>
              <w:tl2br w:val="nil"/>
              <w:tr2bl w:val="nil"/>
            </w:tcBorders>
            <w:vAlign w:val="center"/>
          </w:tcPr>
          <w:p w14:paraId="0BC5E964">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14</w:t>
            </w:r>
          </w:p>
        </w:tc>
        <w:tc>
          <w:tcPr>
            <w:tcW w:w="215" w:type="pct"/>
            <w:tcBorders>
              <w:tl2br w:val="nil"/>
              <w:tr2bl w:val="nil"/>
            </w:tcBorders>
            <w:vAlign w:val="center"/>
          </w:tcPr>
          <w:p w14:paraId="715CF372">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-9</w:t>
            </w:r>
          </w:p>
        </w:tc>
        <w:tc>
          <w:tcPr>
            <w:tcW w:w="336" w:type="pct"/>
            <w:tcBorders>
              <w:tl2br w:val="nil"/>
              <w:tr2bl w:val="nil"/>
            </w:tcBorders>
            <w:vAlign w:val="center"/>
          </w:tcPr>
          <w:p w14:paraId="7E52D7BA">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32176FBB">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263" w:type="pct"/>
            <w:vMerge w:val="continue"/>
            <w:tcBorders>
              <w:tl2br w:val="nil"/>
              <w:tr2bl w:val="nil"/>
            </w:tcBorders>
            <w:vAlign w:val="center"/>
          </w:tcPr>
          <w:p w14:paraId="1651FAAA">
            <w:pPr>
              <w:pStyle w:val="16"/>
              <w:pageBreakBefore w:val="0"/>
              <w:wordWrap/>
              <w:bidi w:val="0"/>
              <w:adjustRightInd/>
              <w:snapToGrid/>
              <w:rPr>
                <w:color w:val="auto"/>
                <w:sz w:val="21"/>
                <w:szCs w:val="21"/>
              </w:rPr>
            </w:pPr>
          </w:p>
        </w:tc>
        <w:tc>
          <w:tcPr>
            <w:tcW w:w="464" w:type="pct"/>
            <w:tcBorders>
              <w:tl2br w:val="nil"/>
              <w:tr2bl w:val="nil"/>
            </w:tcBorders>
            <w:vAlign w:val="center"/>
          </w:tcPr>
          <w:p w14:paraId="21012C25">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75D0EFF0">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7B53BB1C">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145B7488">
            <w:pPr>
              <w:pStyle w:val="16"/>
              <w:pageBreakBefore w:val="0"/>
              <w:wordWrap/>
              <w:bidi w:val="0"/>
              <w:adjustRightInd/>
              <w:snapToGrid/>
              <w:rPr>
                <w:rFonts w:hint="eastAsia"/>
                <w:color w:val="auto"/>
                <w:sz w:val="21"/>
                <w:szCs w:val="21"/>
                <w:lang w:val="en-US" w:eastAsia="zh-CN"/>
              </w:rPr>
            </w:pPr>
          </w:p>
        </w:tc>
      </w:tr>
      <w:tr w14:paraId="126F6D1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6D575F7">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15</w:t>
            </w:r>
          </w:p>
        </w:tc>
        <w:tc>
          <w:tcPr>
            <w:tcW w:w="189" w:type="pct"/>
            <w:vMerge w:val="continue"/>
            <w:tcBorders>
              <w:tl2br w:val="nil"/>
              <w:tr2bl w:val="nil"/>
            </w:tcBorders>
            <w:vAlign w:val="center"/>
          </w:tcPr>
          <w:p w14:paraId="102799D3">
            <w:pPr>
              <w:pStyle w:val="16"/>
              <w:pageBreakBefore w:val="0"/>
              <w:wordWrap/>
              <w:bidi w:val="0"/>
              <w:adjustRightInd/>
              <w:snapToGrid/>
              <w:ind w:left="0" w:leftChars="0" w:firstLine="0" w:firstLineChars="0"/>
              <w:rPr>
                <w:rFonts w:hint="eastAsia"/>
                <w:color w:val="auto"/>
                <w:sz w:val="21"/>
                <w:szCs w:val="21"/>
                <w:lang w:val="en-US" w:eastAsia="zh-CN"/>
              </w:rPr>
            </w:pPr>
          </w:p>
        </w:tc>
        <w:tc>
          <w:tcPr>
            <w:tcW w:w="624" w:type="pct"/>
            <w:tcBorders>
              <w:tl2br w:val="nil"/>
              <w:tr2bl w:val="nil"/>
            </w:tcBorders>
            <w:vAlign w:val="center"/>
          </w:tcPr>
          <w:p w14:paraId="77A8E6B9">
            <w:pPr>
              <w:pStyle w:val="16"/>
              <w:pageBreakBefore w:val="0"/>
              <w:wordWrap/>
              <w:bidi w:val="0"/>
              <w:adjustRightInd/>
              <w:snapToGrid/>
              <w:ind w:left="0" w:leftChars="0" w:firstLine="0" w:firstLineChars="0"/>
              <w:rPr>
                <w:color w:val="auto"/>
                <w:sz w:val="21"/>
                <w:szCs w:val="21"/>
              </w:rPr>
            </w:pPr>
            <w:r>
              <w:rPr>
                <w:color w:val="auto"/>
                <w:sz w:val="21"/>
                <w:szCs w:val="21"/>
              </w:rPr>
              <w:t>污泥回流泵</w:t>
            </w:r>
          </w:p>
        </w:tc>
        <w:tc>
          <w:tcPr>
            <w:tcW w:w="286" w:type="pct"/>
            <w:tcBorders>
              <w:tl2br w:val="nil"/>
              <w:tr2bl w:val="nil"/>
            </w:tcBorders>
            <w:vAlign w:val="center"/>
          </w:tcPr>
          <w:p w14:paraId="799F2216">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372" w:type="pct"/>
            <w:tcBorders>
              <w:tl2br w:val="nil"/>
              <w:tr2bl w:val="nil"/>
            </w:tcBorders>
            <w:vAlign w:val="center"/>
          </w:tcPr>
          <w:p w14:paraId="35E63F10">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1C6EFC78">
            <w:pPr>
              <w:pStyle w:val="16"/>
              <w:pageBreakBefore w:val="0"/>
              <w:wordWrap/>
              <w:bidi w:val="0"/>
              <w:adjustRightInd/>
              <w:snapToGrid/>
              <w:rPr>
                <w:color w:val="auto"/>
                <w:sz w:val="21"/>
                <w:szCs w:val="21"/>
              </w:rPr>
            </w:pPr>
          </w:p>
        </w:tc>
        <w:tc>
          <w:tcPr>
            <w:tcW w:w="213" w:type="pct"/>
            <w:tcBorders>
              <w:tl2br w:val="nil"/>
              <w:tr2bl w:val="nil"/>
            </w:tcBorders>
            <w:vAlign w:val="center"/>
          </w:tcPr>
          <w:p w14:paraId="4D39321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152.8</w:t>
            </w:r>
          </w:p>
        </w:tc>
        <w:tc>
          <w:tcPr>
            <w:tcW w:w="212" w:type="pct"/>
            <w:tcBorders>
              <w:tl2br w:val="nil"/>
              <w:tr2bl w:val="nil"/>
            </w:tcBorders>
            <w:vAlign w:val="center"/>
          </w:tcPr>
          <w:p w14:paraId="663D94D7">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14.9</w:t>
            </w:r>
          </w:p>
        </w:tc>
        <w:tc>
          <w:tcPr>
            <w:tcW w:w="215" w:type="pct"/>
            <w:tcBorders>
              <w:tl2br w:val="nil"/>
              <w:tr2bl w:val="nil"/>
            </w:tcBorders>
            <w:vAlign w:val="center"/>
          </w:tcPr>
          <w:p w14:paraId="7E8047FA">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-10</w:t>
            </w:r>
          </w:p>
        </w:tc>
        <w:tc>
          <w:tcPr>
            <w:tcW w:w="336" w:type="pct"/>
            <w:tcBorders>
              <w:tl2br w:val="nil"/>
              <w:tr2bl w:val="nil"/>
            </w:tcBorders>
            <w:vAlign w:val="center"/>
          </w:tcPr>
          <w:p w14:paraId="3442F58C">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468E8627">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263" w:type="pct"/>
            <w:vMerge w:val="continue"/>
            <w:tcBorders>
              <w:tl2br w:val="nil"/>
              <w:tr2bl w:val="nil"/>
            </w:tcBorders>
            <w:vAlign w:val="center"/>
          </w:tcPr>
          <w:p w14:paraId="36AF246F">
            <w:pPr>
              <w:pStyle w:val="16"/>
              <w:pageBreakBefore w:val="0"/>
              <w:wordWrap/>
              <w:bidi w:val="0"/>
              <w:adjustRightInd/>
              <w:snapToGrid/>
              <w:rPr>
                <w:color w:val="auto"/>
                <w:sz w:val="21"/>
                <w:szCs w:val="21"/>
              </w:rPr>
            </w:pPr>
          </w:p>
        </w:tc>
        <w:tc>
          <w:tcPr>
            <w:tcW w:w="464" w:type="pct"/>
            <w:tcBorders>
              <w:tl2br w:val="nil"/>
              <w:tr2bl w:val="nil"/>
            </w:tcBorders>
            <w:vAlign w:val="center"/>
          </w:tcPr>
          <w:p w14:paraId="26826568">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6A40A437">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7AE18027">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281" w:type="pct"/>
            <w:vMerge w:val="continue"/>
            <w:tcBorders>
              <w:tl2br w:val="nil"/>
              <w:tr2bl w:val="nil"/>
            </w:tcBorders>
            <w:vAlign w:val="center"/>
          </w:tcPr>
          <w:p w14:paraId="5929BF94">
            <w:pPr>
              <w:pStyle w:val="16"/>
              <w:pageBreakBefore w:val="0"/>
              <w:wordWrap/>
              <w:bidi w:val="0"/>
              <w:adjustRightInd/>
              <w:snapToGrid/>
              <w:rPr>
                <w:rFonts w:hint="eastAsia"/>
                <w:color w:val="auto"/>
                <w:sz w:val="21"/>
                <w:szCs w:val="21"/>
                <w:lang w:val="en-US" w:eastAsia="zh-CN"/>
              </w:rPr>
            </w:pPr>
          </w:p>
        </w:tc>
      </w:tr>
      <w:tr w14:paraId="6A741DB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5814FF5">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16</w:t>
            </w:r>
          </w:p>
        </w:tc>
        <w:tc>
          <w:tcPr>
            <w:tcW w:w="189" w:type="pct"/>
            <w:vMerge w:val="continue"/>
            <w:tcBorders>
              <w:tl2br w:val="nil"/>
              <w:tr2bl w:val="nil"/>
            </w:tcBorders>
            <w:vAlign w:val="center"/>
          </w:tcPr>
          <w:p w14:paraId="56FCF0AB">
            <w:pPr>
              <w:pStyle w:val="16"/>
              <w:pageBreakBefore w:val="0"/>
              <w:wordWrap/>
              <w:bidi w:val="0"/>
              <w:adjustRightInd/>
              <w:snapToGrid/>
              <w:ind w:left="0" w:leftChars="0" w:firstLine="0" w:firstLineChars="0"/>
              <w:rPr>
                <w:rFonts w:hint="eastAsia"/>
                <w:color w:val="auto"/>
                <w:sz w:val="21"/>
                <w:szCs w:val="21"/>
                <w:lang w:val="en-US" w:eastAsia="zh-CN"/>
              </w:rPr>
            </w:pPr>
          </w:p>
        </w:tc>
        <w:tc>
          <w:tcPr>
            <w:tcW w:w="624" w:type="pct"/>
            <w:tcBorders>
              <w:tl2br w:val="nil"/>
              <w:tr2bl w:val="nil"/>
            </w:tcBorders>
            <w:vAlign w:val="center"/>
          </w:tcPr>
          <w:p w14:paraId="79959C8A">
            <w:pPr>
              <w:pStyle w:val="16"/>
              <w:pageBreakBefore w:val="0"/>
              <w:wordWrap/>
              <w:bidi w:val="0"/>
              <w:adjustRightInd/>
              <w:snapToGrid/>
              <w:ind w:left="0" w:leftChars="0" w:firstLine="0" w:firstLineChars="0"/>
              <w:rPr>
                <w:color w:val="auto"/>
                <w:sz w:val="21"/>
                <w:szCs w:val="21"/>
              </w:rPr>
            </w:pPr>
            <w:r>
              <w:rPr>
                <w:color w:val="auto"/>
                <w:sz w:val="21"/>
                <w:szCs w:val="21"/>
              </w:rPr>
              <w:t>剩余污泥泵</w:t>
            </w:r>
          </w:p>
        </w:tc>
        <w:tc>
          <w:tcPr>
            <w:tcW w:w="286" w:type="pct"/>
            <w:tcBorders>
              <w:tl2br w:val="nil"/>
              <w:tr2bl w:val="nil"/>
            </w:tcBorders>
            <w:vAlign w:val="center"/>
          </w:tcPr>
          <w:p w14:paraId="36C74F0E">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372" w:type="pct"/>
            <w:tcBorders>
              <w:tl2br w:val="nil"/>
              <w:tr2bl w:val="nil"/>
            </w:tcBorders>
            <w:vAlign w:val="center"/>
          </w:tcPr>
          <w:p w14:paraId="1055BE85">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32578D1D">
            <w:pPr>
              <w:pStyle w:val="16"/>
              <w:pageBreakBefore w:val="0"/>
              <w:wordWrap/>
              <w:bidi w:val="0"/>
              <w:adjustRightInd/>
              <w:snapToGrid/>
              <w:rPr>
                <w:color w:val="auto"/>
                <w:sz w:val="21"/>
                <w:szCs w:val="21"/>
              </w:rPr>
            </w:pPr>
          </w:p>
        </w:tc>
        <w:tc>
          <w:tcPr>
            <w:tcW w:w="213" w:type="pct"/>
            <w:tcBorders>
              <w:tl2br w:val="nil"/>
              <w:tr2bl w:val="nil"/>
            </w:tcBorders>
            <w:vAlign w:val="center"/>
          </w:tcPr>
          <w:p w14:paraId="064A1125">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152.8</w:t>
            </w:r>
          </w:p>
        </w:tc>
        <w:tc>
          <w:tcPr>
            <w:tcW w:w="212" w:type="pct"/>
            <w:tcBorders>
              <w:tl2br w:val="nil"/>
              <w:tr2bl w:val="nil"/>
            </w:tcBorders>
            <w:vAlign w:val="center"/>
          </w:tcPr>
          <w:p w14:paraId="2CF2FA56">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14.9</w:t>
            </w:r>
          </w:p>
        </w:tc>
        <w:tc>
          <w:tcPr>
            <w:tcW w:w="215" w:type="pct"/>
            <w:tcBorders>
              <w:tl2br w:val="nil"/>
              <w:tr2bl w:val="nil"/>
            </w:tcBorders>
            <w:vAlign w:val="center"/>
          </w:tcPr>
          <w:p w14:paraId="208CE0D2">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-10</w:t>
            </w:r>
          </w:p>
        </w:tc>
        <w:tc>
          <w:tcPr>
            <w:tcW w:w="336" w:type="pct"/>
            <w:tcBorders>
              <w:tl2br w:val="nil"/>
              <w:tr2bl w:val="nil"/>
            </w:tcBorders>
            <w:vAlign w:val="center"/>
          </w:tcPr>
          <w:p w14:paraId="027FEED7">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65C94B9D">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263" w:type="pct"/>
            <w:vMerge w:val="continue"/>
            <w:tcBorders>
              <w:tl2br w:val="nil"/>
              <w:tr2bl w:val="nil"/>
            </w:tcBorders>
            <w:vAlign w:val="center"/>
          </w:tcPr>
          <w:p w14:paraId="4BF4DF2E">
            <w:pPr>
              <w:pStyle w:val="16"/>
              <w:pageBreakBefore w:val="0"/>
              <w:wordWrap/>
              <w:bidi w:val="0"/>
              <w:adjustRightInd/>
              <w:snapToGrid/>
              <w:rPr>
                <w:color w:val="auto"/>
                <w:sz w:val="21"/>
                <w:szCs w:val="21"/>
              </w:rPr>
            </w:pPr>
          </w:p>
        </w:tc>
        <w:tc>
          <w:tcPr>
            <w:tcW w:w="464" w:type="pct"/>
            <w:tcBorders>
              <w:tl2br w:val="nil"/>
              <w:tr2bl w:val="nil"/>
            </w:tcBorders>
            <w:vAlign w:val="center"/>
          </w:tcPr>
          <w:p w14:paraId="217B0752">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126EA859">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440581FC">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549964AB">
            <w:pPr>
              <w:pStyle w:val="16"/>
              <w:pageBreakBefore w:val="0"/>
              <w:wordWrap/>
              <w:bidi w:val="0"/>
              <w:adjustRightInd/>
              <w:snapToGrid/>
              <w:rPr>
                <w:rFonts w:hint="eastAsia"/>
                <w:color w:val="auto"/>
                <w:sz w:val="21"/>
                <w:szCs w:val="21"/>
                <w:lang w:val="en-US" w:eastAsia="zh-CN"/>
              </w:rPr>
            </w:pPr>
          </w:p>
        </w:tc>
      </w:tr>
      <w:tr w14:paraId="6538FB7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2D84D15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17</w:t>
            </w:r>
          </w:p>
        </w:tc>
        <w:tc>
          <w:tcPr>
            <w:tcW w:w="189" w:type="pct"/>
            <w:vMerge w:val="continue"/>
            <w:tcBorders>
              <w:tl2br w:val="nil"/>
              <w:tr2bl w:val="nil"/>
            </w:tcBorders>
            <w:vAlign w:val="center"/>
          </w:tcPr>
          <w:p w14:paraId="4B43E644">
            <w:pPr>
              <w:pStyle w:val="16"/>
              <w:pageBreakBefore w:val="0"/>
              <w:wordWrap/>
              <w:bidi w:val="0"/>
              <w:adjustRightInd/>
              <w:snapToGrid/>
              <w:ind w:left="0" w:leftChars="0" w:firstLine="0" w:firstLineChars="0"/>
              <w:rPr>
                <w:rFonts w:hint="eastAsia"/>
                <w:color w:val="auto"/>
                <w:sz w:val="21"/>
                <w:szCs w:val="21"/>
                <w:lang w:val="en-US" w:eastAsia="zh-CN"/>
              </w:rPr>
            </w:pPr>
          </w:p>
        </w:tc>
        <w:tc>
          <w:tcPr>
            <w:tcW w:w="624" w:type="pct"/>
            <w:tcBorders>
              <w:tl2br w:val="nil"/>
              <w:tr2bl w:val="nil"/>
            </w:tcBorders>
            <w:vAlign w:val="center"/>
          </w:tcPr>
          <w:p w14:paraId="57D329BB">
            <w:pPr>
              <w:pStyle w:val="16"/>
              <w:pageBreakBefore w:val="0"/>
              <w:wordWrap/>
              <w:bidi w:val="0"/>
              <w:adjustRightInd/>
              <w:snapToGrid/>
              <w:ind w:left="0" w:leftChars="0" w:firstLine="0" w:firstLineChars="0"/>
              <w:rPr>
                <w:color w:val="auto"/>
                <w:sz w:val="21"/>
                <w:szCs w:val="21"/>
              </w:rPr>
            </w:pPr>
            <w:r>
              <w:rPr>
                <w:color w:val="auto"/>
                <w:sz w:val="21"/>
                <w:szCs w:val="21"/>
              </w:rPr>
              <w:t>污泥泵</w:t>
            </w:r>
          </w:p>
        </w:tc>
        <w:tc>
          <w:tcPr>
            <w:tcW w:w="286" w:type="pct"/>
            <w:tcBorders>
              <w:tl2br w:val="nil"/>
              <w:tr2bl w:val="nil"/>
            </w:tcBorders>
            <w:vAlign w:val="center"/>
          </w:tcPr>
          <w:p w14:paraId="6824FC60">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372" w:type="pct"/>
            <w:tcBorders>
              <w:tl2br w:val="nil"/>
              <w:tr2bl w:val="nil"/>
            </w:tcBorders>
            <w:vAlign w:val="center"/>
          </w:tcPr>
          <w:p w14:paraId="3DB4AE74">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69B11F28">
            <w:pPr>
              <w:pStyle w:val="16"/>
              <w:pageBreakBefore w:val="0"/>
              <w:wordWrap/>
              <w:bidi w:val="0"/>
              <w:adjustRightInd/>
              <w:snapToGrid/>
              <w:rPr>
                <w:color w:val="auto"/>
                <w:sz w:val="21"/>
                <w:szCs w:val="21"/>
              </w:rPr>
            </w:pPr>
          </w:p>
        </w:tc>
        <w:tc>
          <w:tcPr>
            <w:tcW w:w="213" w:type="pct"/>
            <w:tcBorders>
              <w:tl2br w:val="nil"/>
              <w:tr2bl w:val="nil"/>
            </w:tcBorders>
            <w:vAlign w:val="center"/>
          </w:tcPr>
          <w:p w14:paraId="67B4FF7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152.8</w:t>
            </w:r>
          </w:p>
        </w:tc>
        <w:tc>
          <w:tcPr>
            <w:tcW w:w="212" w:type="pct"/>
            <w:tcBorders>
              <w:tl2br w:val="nil"/>
              <w:tr2bl w:val="nil"/>
            </w:tcBorders>
            <w:vAlign w:val="center"/>
          </w:tcPr>
          <w:p w14:paraId="51C20B8F">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14.9</w:t>
            </w:r>
          </w:p>
        </w:tc>
        <w:tc>
          <w:tcPr>
            <w:tcW w:w="215" w:type="pct"/>
            <w:tcBorders>
              <w:tl2br w:val="nil"/>
              <w:tr2bl w:val="nil"/>
            </w:tcBorders>
            <w:vAlign w:val="center"/>
          </w:tcPr>
          <w:p w14:paraId="7A0C60FE">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-10</w:t>
            </w:r>
          </w:p>
        </w:tc>
        <w:tc>
          <w:tcPr>
            <w:tcW w:w="336" w:type="pct"/>
            <w:tcBorders>
              <w:tl2br w:val="nil"/>
              <w:tr2bl w:val="nil"/>
            </w:tcBorders>
            <w:vAlign w:val="center"/>
          </w:tcPr>
          <w:p w14:paraId="29038F5D">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64202A74">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263" w:type="pct"/>
            <w:vMerge w:val="continue"/>
            <w:tcBorders>
              <w:tl2br w:val="nil"/>
              <w:tr2bl w:val="nil"/>
            </w:tcBorders>
            <w:vAlign w:val="center"/>
          </w:tcPr>
          <w:p w14:paraId="26B5CD6C">
            <w:pPr>
              <w:pStyle w:val="16"/>
              <w:pageBreakBefore w:val="0"/>
              <w:wordWrap/>
              <w:bidi w:val="0"/>
              <w:adjustRightInd/>
              <w:snapToGrid/>
              <w:rPr>
                <w:color w:val="auto"/>
                <w:sz w:val="21"/>
                <w:szCs w:val="21"/>
              </w:rPr>
            </w:pPr>
          </w:p>
        </w:tc>
        <w:tc>
          <w:tcPr>
            <w:tcW w:w="464" w:type="pct"/>
            <w:tcBorders>
              <w:tl2br w:val="nil"/>
              <w:tr2bl w:val="nil"/>
            </w:tcBorders>
            <w:vAlign w:val="center"/>
          </w:tcPr>
          <w:p w14:paraId="2CEFD8F1">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3222F0E6">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7C894008">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1BAD58AE">
            <w:pPr>
              <w:pStyle w:val="16"/>
              <w:pageBreakBefore w:val="0"/>
              <w:wordWrap/>
              <w:bidi w:val="0"/>
              <w:adjustRightInd/>
              <w:snapToGrid/>
              <w:rPr>
                <w:rFonts w:hint="eastAsia"/>
                <w:color w:val="auto"/>
                <w:sz w:val="21"/>
                <w:szCs w:val="21"/>
                <w:lang w:val="en-US" w:eastAsia="zh-CN"/>
              </w:rPr>
            </w:pPr>
          </w:p>
        </w:tc>
      </w:tr>
      <w:tr w14:paraId="670BF09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02E5B2D">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18</w:t>
            </w:r>
          </w:p>
        </w:tc>
        <w:tc>
          <w:tcPr>
            <w:tcW w:w="189" w:type="pct"/>
            <w:vMerge w:val="continue"/>
            <w:tcBorders>
              <w:tl2br w:val="nil"/>
              <w:tr2bl w:val="nil"/>
            </w:tcBorders>
            <w:vAlign w:val="center"/>
          </w:tcPr>
          <w:p w14:paraId="2EC90284">
            <w:pPr>
              <w:pStyle w:val="16"/>
              <w:pageBreakBefore w:val="0"/>
              <w:wordWrap/>
              <w:bidi w:val="0"/>
              <w:adjustRightInd/>
              <w:snapToGrid/>
              <w:ind w:left="0" w:leftChars="0" w:firstLine="0" w:firstLineChars="0"/>
              <w:rPr>
                <w:rFonts w:hint="eastAsia"/>
                <w:color w:val="auto"/>
                <w:sz w:val="21"/>
                <w:szCs w:val="21"/>
                <w:lang w:val="en-US" w:eastAsia="zh-CN"/>
              </w:rPr>
            </w:pPr>
          </w:p>
        </w:tc>
        <w:tc>
          <w:tcPr>
            <w:tcW w:w="624" w:type="pct"/>
            <w:tcBorders>
              <w:tl2br w:val="nil"/>
              <w:tr2bl w:val="nil"/>
            </w:tcBorders>
            <w:vAlign w:val="center"/>
          </w:tcPr>
          <w:p w14:paraId="0BDCC69D">
            <w:pPr>
              <w:pStyle w:val="16"/>
              <w:pageBreakBefore w:val="0"/>
              <w:wordWrap/>
              <w:bidi w:val="0"/>
              <w:adjustRightInd/>
              <w:snapToGrid/>
              <w:ind w:left="0" w:leftChars="0" w:firstLine="0" w:firstLineChars="0"/>
              <w:rPr>
                <w:color w:val="auto"/>
                <w:sz w:val="21"/>
                <w:szCs w:val="21"/>
              </w:rPr>
            </w:pPr>
            <w:r>
              <w:rPr>
                <w:color w:val="auto"/>
                <w:sz w:val="21"/>
                <w:szCs w:val="21"/>
              </w:rPr>
              <w:t>清水自吸泵</w:t>
            </w:r>
          </w:p>
        </w:tc>
        <w:tc>
          <w:tcPr>
            <w:tcW w:w="286" w:type="pct"/>
            <w:tcBorders>
              <w:tl2br w:val="nil"/>
              <w:tr2bl w:val="nil"/>
            </w:tcBorders>
            <w:vAlign w:val="center"/>
          </w:tcPr>
          <w:p w14:paraId="55C900D6">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372" w:type="pct"/>
            <w:tcBorders>
              <w:tl2br w:val="nil"/>
              <w:tr2bl w:val="nil"/>
            </w:tcBorders>
            <w:vAlign w:val="center"/>
          </w:tcPr>
          <w:p w14:paraId="1BDB2716">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13AF887F">
            <w:pPr>
              <w:pStyle w:val="16"/>
              <w:pageBreakBefore w:val="0"/>
              <w:wordWrap/>
              <w:bidi w:val="0"/>
              <w:adjustRightInd/>
              <w:snapToGrid/>
              <w:rPr>
                <w:color w:val="auto"/>
                <w:sz w:val="21"/>
                <w:szCs w:val="21"/>
              </w:rPr>
            </w:pPr>
          </w:p>
        </w:tc>
        <w:tc>
          <w:tcPr>
            <w:tcW w:w="213" w:type="pct"/>
            <w:tcBorders>
              <w:tl2br w:val="nil"/>
              <w:tr2bl w:val="nil"/>
            </w:tcBorders>
            <w:vAlign w:val="center"/>
          </w:tcPr>
          <w:p w14:paraId="4F9141A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152.8</w:t>
            </w:r>
          </w:p>
        </w:tc>
        <w:tc>
          <w:tcPr>
            <w:tcW w:w="212" w:type="pct"/>
            <w:tcBorders>
              <w:tl2br w:val="nil"/>
              <w:tr2bl w:val="nil"/>
            </w:tcBorders>
            <w:vAlign w:val="center"/>
          </w:tcPr>
          <w:p w14:paraId="1BE7985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14.9</w:t>
            </w:r>
          </w:p>
        </w:tc>
        <w:tc>
          <w:tcPr>
            <w:tcW w:w="215" w:type="pct"/>
            <w:tcBorders>
              <w:tl2br w:val="nil"/>
              <w:tr2bl w:val="nil"/>
            </w:tcBorders>
            <w:vAlign w:val="center"/>
          </w:tcPr>
          <w:p w14:paraId="2A37FAA3">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-10</w:t>
            </w:r>
          </w:p>
        </w:tc>
        <w:tc>
          <w:tcPr>
            <w:tcW w:w="336" w:type="pct"/>
            <w:tcBorders>
              <w:tl2br w:val="nil"/>
              <w:tr2bl w:val="nil"/>
            </w:tcBorders>
            <w:vAlign w:val="center"/>
          </w:tcPr>
          <w:p w14:paraId="598C94A4">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589CA4D3">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263" w:type="pct"/>
            <w:vMerge w:val="continue"/>
            <w:tcBorders>
              <w:tl2br w:val="nil"/>
              <w:tr2bl w:val="nil"/>
            </w:tcBorders>
            <w:vAlign w:val="center"/>
          </w:tcPr>
          <w:p w14:paraId="2D54565B">
            <w:pPr>
              <w:pStyle w:val="16"/>
              <w:pageBreakBefore w:val="0"/>
              <w:wordWrap/>
              <w:bidi w:val="0"/>
              <w:adjustRightInd/>
              <w:snapToGrid/>
              <w:rPr>
                <w:color w:val="auto"/>
                <w:sz w:val="21"/>
                <w:szCs w:val="21"/>
              </w:rPr>
            </w:pPr>
          </w:p>
        </w:tc>
        <w:tc>
          <w:tcPr>
            <w:tcW w:w="464" w:type="pct"/>
            <w:tcBorders>
              <w:tl2br w:val="nil"/>
              <w:tr2bl w:val="nil"/>
            </w:tcBorders>
            <w:vAlign w:val="center"/>
          </w:tcPr>
          <w:p w14:paraId="7B6D1962">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11A2A3FD">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698A363A">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777A2B84">
            <w:pPr>
              <w:pStyle w:val="16"/>
              <w:pageBreakBefore w:val="0"/>
              <w:wordWrap/>
              <w:bidi w:val="0"/>
              <w:adjustRightInd/>
              <w:snapToGrid/>
              <w:rPr>
                <w:rFonts w:hint="eastAsia"/>
                <w:color w:val="auto"/>
                <w:sz w:val="21"/>
                <w:szCs w:val="21"/>
                <w:lang w:val="en-US" w:eastAsia="zh-CN"/>
              </w:rPr>
            </w:pPr>
          </w:p>
        </w:tc>
      </w:tr>
      <w:tr w14:paraId="57E6F6C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9241FB6">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19</w:t>
            </w:r>
          </w:p>
        </w:tc>
        <w:tc>
          <w:tcPr>
            <w:tcW w:w="189" w:type="pct"/>
            <w:vMerge w:val="continue"/>
            <w:tcBorders>
              <w:tl2br w:val="nil"/>
              <w:tr2bl w:val="nil"/>
            </w:tcBorders>
            <w:vAlign w:val="center"/>
          </w:tcPr>
          <w:p w14:paraId="433F9612">
            <w:pPr>
              <w:pStyle w:val="16"/>
              <w:pageBreakBefore w:val="0"/>
              <w:wordWrap/>
              <w:bidi w:val="0"/>
              <w:adjustRightInd/>
              <w:snapToGrid/>
              <w:ind w:left="0" w:leftChars="0" w:firstLine="0" w:firstLineChars="0"/>
              <w:rPr>
                <w:rFonts w:hint="eastAsia"/>
                <w:color w:val="auto"/>
                <w:sz w:val="21"/>
                <w:szCs w:val="21"/>
                <w:lang w:val="en-US" w:eastAsia="zh-CN"/>
              </w:rPr>
            </w:pPr>
          </w:p>
        </w:tc>
        <w:tc>
          <w:tcPr>
            <w:tcW w:w="624" w:type="pct"/>
            <w:tcBorders>
              <w:tl2br w:val="nil"/>
              <w:tr2bl w:val="nil"/>
            </w:tcBorders>
            <w:vAlign w:val="center"/>
          </w:tcPr>
          <w:p w14:paraId="0B8D1AEB">
            <w:pPr>
              <w:pStyle w:val="16"/>
              <w:pageBreakBefore w:val="0"/>
              <w:wordWrap/>
              <w:bidi w:val="0"/>
              <w:adjustRightInd/>
              <w:snapToGrid/>
              <w:ind w:left="0" w:leftChars="0" w:firstLine="0" w:firstLineChars="0"/>
              <w:rPr>
                <w:color w:val="auto"/>
                <w:sz w:val="21"/>
                <w:szCs w:val="21"/>
              </w:rPr>
            </w:pPr>
            <w:r>
              <w:rPr>
                <w:color w:val="auto"/>
                <w:sz w:val="21"/>
                <w:szCs w:val="21"/>
              </w:rPr>
              <w:t>PAC计量泵</w:t>
            </w:r>
          </w:p>
        </w:tc>
        <w:tc>
          <w:tcPr>
            <w:tcW w:w="286" w:type="pct"/>
            <w:tcBorders>
              <w:tl2br w:val="nil"/>
              <w:tr2bl w:val="nil"/>
            </w:tcBorders>
            <w:vAlign w:val="center"/>
          </w:tcPr>
          <w:p w14:paraId="5A4F5802">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r>
              <w:rPr>
                <w:color w:val="auto"/>
                <w:sz w:val="21"/>
                <w:szCs w:val="21"/>
              </w:rPr>
              <w:t>用</w:t>
            </w:r>
            <w:r>
              <w:rPr>
                <w:rFonts w:hint="eastAsia"/>
                <w:color w:val="auto"/>
                <w:sz w:val="21"/>
                <w:szCs w:val="21"/>
                <w:lang w:eastAsia="zh-CN"/>
              </w:rPr>
              <w:t>1</w:t>
            </w:r>
            <w:r>
              <w:rPr>
                <w:color w:val="auto"/>
                <w:sz w:val="21"/>
                <w:szCs w:val="21"/>
              </w:rPr>
              <w:t>备</w:t>
            </w:r>
          </w:p>
        </w:tc>
        <w:tc>
          <w:tcPr>
            <w:tcW w:w="372" w:type="pct"/>
            <w:tcBorders>
              <w:tl2br w:val="nil"/>
              <w:tr2bl w:val="nil"/>
            </w:tcBorders>
            <w:vAlign w:val="center"/>
          </w:tcPr>
          <w:p w14:paraId="1F98C4D7">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7A71B025">
            <w:pPr>
              <w:pStyle w:val="16"/>
              <w:pageBreakBefore w:val="0"/>
              <w:wordWrap/>
              <w:bidi w:val="0"/>
              <w:adjustRightInd/>
              <w:snapToGrid/>
              <w:rPr>
                <w:color w:val="auto"/>
                <w:sz w:val="21"/>
                <w:szCs w:val="21"/>
              </w:rPr>
            </w:pPr>
          </w:p>
        </w:tc>
        <w:tc>
          <w:tcPr>
            <w:tcW w:w="213" w:type="pct"/>
            <w:tcBorders>
              <w:tl2br w:val="nil"/>
              <w:tr2bl w:val="nil"/>
            </w:tcBorders>
            <w:vAlign w:val="center"/>
          </w:tcPr>
          <w:p w14:paraId="6ED57D6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152.8</w:t>
            </w:r>
          </w:p>
        </w:tc>
        <w:tc>
          <w:tcPr>
            <w:tcW w:w="212" w:type="pct"/>
            <w:tcBorders>
              <w:tl2br w:val="nil"/>
              <w:tr2bl w:val="nil"/>
            </w:tcBorders>
            <w:vAlign w:val="center"/>
          </w:tcPr>
          <w:p w14:paraId="3BD51A72">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14.9</w:t>
            </w:r>
          </w:p>
        </w:tc>
        <w:tc>
          <w:tcPr>
            <w:tcW w:w="215" w:type="pct"/>
            <w:tcBorders>
              <w:tl2br w:val="nil"/>
              <w:tr2bl w:val="nil"/>
            </w:tcBorders>
            <w:vAlign w:val="center"/>
          </w:tcPr>
          <w:p w14:paraId="35618A57">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-10</w:t>
            </w:r>
          </w:p>
        </w:tc>
        <w:tc>
          <w:tcPr>
            <w:tcW w:w="336" w:type="pct"/>
            <w:tcBorders>
              <w:tl2br w:val="nil"/>
              <w:tr2bl w:val="nil"/>
            </w:tcBorders>
            <w:vAlign w:val="center"/>
          </w:tcPr>
          <w:p w14:paraId="6678AD7B">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51089547">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263" w:type="pct"/>
            <w:vMerge w:val="continue"/>
            <w:tcBorders>
              <w:tl2br w:val="nil"/>
              <w:tr2bl w:val="nil"/>
            </w:tcBorders>
            <w:vAlign w:val="center"/>
          </w:tcPr>
          <w:p w14:paraId="56AF90E9">
            <w:pPr>
              <w:pStyle w:val="16"/>
              <w:pageBreakBefore w:val="0"/>
              <w:wordWrap/>
              <w:bidi w:val="0"/>
              <w:adjustRightInd/>
              <w:snapToGrid/>
              <w:rPr>
                <w:color w:val="auto"/>
                <w:sz w:val="21"/>
                <w:szCs w:val="21"/>
              </w:rPr>
            </w:pPr>
          </w:p>
        </w:tc>
        <w:tc>
          <w:tcPr>
            <w:tcW w:w="464" w:type="pct"/>
            <w:tcBorders>
              <w:tl2br w:val="nil"/>
              <w:tr2bl w:val="nil"/>
            </w:tcBorders>
            <w:vAlign w:val="center"/>
          </w:tcPr>
          <w:p w14:paraId="13ED922B">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70E5A204">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44E93996">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6947765A">
            <w:pPr>
              <w:pStyle w:val="16"/>
              <w:pageBreakBefore w:val="0"/>
              <w:wordWrap/>
              <w:bidi w:val="0"/>
              <w:adjustRightInd/>
              <w:snapToGrid/>
              <w:rPr>
                <w:rFonts w:hint="eastAsia"/>
                <w:color w:val="auto"/>
                <w:sz w:val="21"/>
                <w:szCs w:val="21"/>
                <w:lang w:val="en-US" w:eastAsia="zh-CN"/>
              </w:rPr>
            </w:pPr>
          </w:p>
        </w:tc>
      </w:tr>
      <w:tr w14:paraId="02940B1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3EB9BDB">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20</w:t>
            </w:r>
          </w:p>
        </w:tc>
        <w:tc>
          <w:tcPr>
            <w:tcW w:w="189" w:type="pct"/>
            <w:vMerge w:val="continue"/>
            <w:tcBorders>
              <w:tl2br w:val="nil"/>
              <w:tr2bl w:val="nil"/>
            </w:tcBorders>
            <w:vAlign w:val="center"/>
          </w:tcPr>
          <w:p w14:paraId="632D3EAE">
            <w:pPr>
              <w:pStyle w:val="16"/>
              <w:pageBreakBefore w:val="0"/>
              <w:wordWrap/>
              <w:bidi w:val="0"/>
              <w:adjustRightInd/>
              <w:snapToGrid/>
              <w:ind w:left="0" w:leftChars="0" w:firstLine="0" w:firstLineChars="0"/>
              <w:rPr>
                <w:rFonts w:hint="eastAsia"/>
                <w:color w:val="auto"/>
                <w:sz w:val="21"/>
                <w:szCs w:val="21"/>
                <w:lang w:val="en-US" w:eastAsia="zh-CN"/>
              </w:rPr>
            </w:pPr>
          </w:p>
        </w:tc>
        <w:tc>
          <w:tcPr>
            <w:tcW w:w="624" w:type="pct"/>
            <w:tcBorders>
              <w:tl2br w:val="nil"/>
              <w:tr2bl w:val="nil"/>
            </w:tcBorders>
            <w:vAlign w:val="center"/>
          </w:tcPr>
          <w:p w14:paraId="314C1437">
            <w:pPr>
              <w:pStyle w:val="16"/>
              <w:pageBreakBefore w:val="0"/>
              <w:wordWrap/>
              <w:bidi w:val="0"/>
              <w:adjustRightInd/>
              <w:snapToGrid/>
              <w:ind w:left="0" w:leftChars="0" w:firstLine="0" w:firstLineChars="0"/>
              <w:rPr>
                <w:color w:val="auto"/>
                <w:sz w:val="21"/>
                <w:szCs w:val="21"/>
              </w:rPr>
            </w:pPr>
            <w:r>
              <w:rPr>
                <w:color w:val="auto"/>
                <w:sz w:val="21"/>
                <w:szCs w:val="21"/>
              </w:rPr>
              <w:t>PAM计量泵</w:t>
            </w:r>
          </w:p>
        </w:tc>
        <w:tc>
          <w:tcPr>
            <w:tcW w:w="286" w:type="pct"/>
            <w:tcBorders>
              <w:tl2br w:val="nil"/>
              <w:tr2bl w:val="nil"/>
            </w:tcBorders>
            <w:vAlign w:val="center"/>
          </w:tcPr>
          <w:p w14:paraId="48B83717">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r>
              <w:rPr>
                <w:color w:val="auto"/>
                <w:sz w:val="21"/>
                <w:szCs w:val="21"/>
              </w:rPr>
              <w:t>用</w:t>
            </w:r>
            <w:r>
              <w:rPr>
                <w:rFonts w:hint="eastAsia"/>
                <w:color w:val="auto"/>
                <w:sz w:val="21"/>
                <w:szCs w:val="21"/>
                <w:lang w:eastAsia="zh-CN"/>
              </w:rPr>
              <w:t>1</w:t>
            </w:r>
            <w:r>
              <w:rPr>
                <w:color w:val="auto"/>
                <w:sz w:val="21"/>
                <w:szCs w:val="21"/>
              </w:rPr>
              <w:t>备</w:t>
            </w:r>
          </w:p>
        </w:tc>
        <w:tc>
          <w:tcPr>
            <w:tcW w:w="372" w:type="pct"/>
            <w:tcBorders>
              <w:tl2br w:val="nil"/>
              <w:tr2bl w:val="nil"/>
            </w:tcBorders>
            <w:vAlign w:val="center"/>
          </w:tcPr>
          <w:p w14:paraId="26CCC2B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5F8C0820">
            <w:pPr>
              <w:pStyle w:val="16"/>
              <w:pageBreakBefore w:val="0"/>
              <w:wordWrap/>
              <w:bidi w:val="0"/>
              <w:adjustRightInd/>
              <w:snapToGrid/>
              <w:rPr>
                <w:color w:val="auto"/>
                <w:sz w:val="21"/>
                <w:szCs w:val="21"/>
              </w:rPr>
            </w:pPr>
          </w:p>
        </w:tc>
        <w:tc>
          <w:tcPr>
            <w:tcW w:w="213" w:type="pct"/>
            <w:tcBorders>
              <w:tl2br w:val="nil"/>
              <w:tr2bl w:val="nil"/>
            </w:tcBorders>
            <w:vAlign w:val="center"/>
          </w:tcPr>
          <w:p w14:paraId="14CA0DD9">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152.8</w:t>
            </w:r>
          </w:p>
        </w:tc>
        <w:tc>
          <w:tcPr>
            <w:tcW w:w="212" w:type="pct"/>
            <w:tcBorders>
              <w:tl2br w:val="nil"/>
              <w:tr2bl w:val="nil"/>
            </w:tcBorders>
            <w:vAlign w:val="center"/>
          </w:tcPr>
          <w:p w14:paraId="49DDC483">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14.9</w:t>
            </w:r>
          </w:p>
        </w:tc>
        <w:tc>
          <w:tcPr>
            <w:tcW w:w="215" w:type="pct"/>
            <w:tcBorders>
              <w:tl2br w:val="nil"/>
              <w:tr2bl w:val="nil"/>
            </w:tcBorders>
            <w:vAlign w:val="center"/>
          </w:tcPr>
          <w:p w14:paraId="1FF9AFF9">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-10</w:t>
            </w:r>
          </w:p>
        </w:tc>
        <w:tc>
          <w:tcPr>
            <w:tcW w:w="336" w:type="pct"/>
            <w:tcBorders>
              <w:tl2br w:val="nil"/>
              <w:tr2bl w:val="nil"/>
            </w:tcBorders>
            <w:vAlign w:val="center"/>
          </w:tcPr>
          <w:p w14:paraId="5B3B2916">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664DA2F0">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263" w:type="pct"/>
            <w:vMerge w:val="continue"/>
            <w:tcBorders>
              <w:tl2br w:val="nil"/>
              <w:tr2bl w:val="nil"/>
            </w:tcBorders>
            <w:vAlign w:val="center"/>
          </w:tcPr>
          <w:p w14:paraId="70C5D1F2">
            <w:pPr>
              <w:pStyle w:val="16"/>
              <w:pageBreakBefore w:val="0"/>
              <w:wordWrap/>
              <w:bidi w:val="0"/>
              <w:adjustRightInd/>
              <w:snapToGrid/>
              <w:rPr>
                <w:color w:val="auto"/>
                <w:sz w:val="21"/>
                <w:szCs w:val="21"/>
              </w:rPr>
            </w:pPr>
          </w:p>
        </w:tc>
        <w:tc>
          <w:tcPr>
            <w:tcW w:w="464" w:type="pct"/>
            <w:tcBorders>
              <w:tl2br w:val="nil"/>
              <w:tr2bl w:val="nil"/>
            </w:tcBorders>
            <w:vAlign w:val="center"/>
          </w:tcPr>
          <w:p w14:paraId="63A14329">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67A7597A">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448107DA">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42E024A6">
            <w:pPr>
              <w:pStyle w:val="16"/>
              <w:pageBreakBefore w:val="0"/>
              <w:wordWrap/>
              <w:bidi w:val="0"/>
              <w:adjustRightInd/>
              <w:snapToGrid/>
              <w:rPr>
                <w:rFonts w:hint="eastAsia"/>
                <w:color w:val="auto"/>
                <w:sz w:val="21"/>
                <w:szCs w:val="21"/>
                <w:lang w:val="en-US" w:eastAsia="zh-CN"/>
              </w:rPr>
            </w:pPr>
          </w:p>
        </w:tc>
      </w:tr>
      <w:tr w14:paraId="07FCE5F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CB6A397">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21</w:t>
            </w:r>
          </w:p>
        </w:tc>
        <w:tc>
          <w:tcPr>
            <w:tcW w:w="189" w:type="pct"/>
            <w:vMerge w:val="continue"/>
            <w:tcBorders>
              <w:tl2br w:val="nil"/>
              <w:tr2bl w:val="nil"/>
            </w:tcBorders>
            <w:vAlign w:val="center"/>
          </w:tcPr>
          <w:p w14:paraId="1BFD20C2">
            <w:pPr>
              <w:pStyle w:val="16"/>
              <w:pageBreakBefore w:val="0"/>
              <w:wordWrap/>
              <w:bidi w:val="0"/>
              <w:adjustRightInd/>
              <w:snapToGrid/>
              <w:ind w:left="0" w:leftChars="0" w:firstLine="0" w:firstLineChars="0"/>
              <w:rPr>
                <w:rFonts w:hint="eastAsia"/>
                <w:color w:val="auto"/>
                <w:sz w:val="21"/>
                <w:szCs w:val="21"/>
                <w:lang w:val="en-US" w:eastAsia="zh-CN"/>
              </w:rPr>
            </w:pPr>
          </w:p>
        </w:tc>
        <w:tc>
          <w:tcPr>
            <w:tcW w:w="624" w:type="pct"/>
            <w:tcBorders>
              <w:tl2br w:val="nil"/>
              <w:tr2bl w:val="nil"/>
            </w:tcBorders>
            <w:vAlign w:val="center"/>
          </w:tcPr>
          <w:p w14:paraId="46A22F83">
            <w:pPr>
              <w:pStyle w:val="16"/>
              <w:pageBreakBefore w:val="0"/>
              <w:wordWrap/>
              <w:bidi w:val="0"/>
              <w:adjustRightInd/>
              <w:snapToGrid/>
              <w:ind w:left="0" w:leftChars="0" w:firstLine="0" w:firstLineChars="0"/>
              <w:rPr>
                <w:color w:val="auto"/>
                <w:sz w:val="21"/>
                <w:szCs w:val="21"/>
              </w:rPr>
            </w:pPr>
            <w:r>
              <w:rPr>
                <w:color w:val="auto"/>
                <w:sz w:val="21"/>
                <w:szCs w:val="21"/>
              </w:rPr>
              <w:t>污泥回流泵</w:t>
            </w:r>
          </w:p>
        </w:tc>
        <w:tc>
          <w:tcPr>
            <w:tcW w:w="286" w:type="pct"/>
            <w:tcBorders>
              <w:tl2br w:val="nil"/>
              <w:tr2bl w:val="nil"/>
            </w:tcBorders>
            <w:vAlign w:val="center"/>
          </w:tcPr>
          <w:p w14:paraId="2CFAAA5E">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372" w:type="pct"/>
            <w:tcBorders>
              <w:tl2br w:val="nil"/>
              <w:tr2bl w:val="nil"/>
            </w:tcBorders>
            <w:vAlign w:val="center"/>
          </w:tcPr>
          <w:p w14:paraId="4A2DF9FB">
            <w:pPr>
              <w:pStyle w:val="16"/>
              <w:pageBreakBefore w:val="0"/>
              <w:wordWrap/>
              <w:bidi w:val="0"/>
              <w:adjustRightInd/>
              <w:snapToGrid/>
              <w:ind w:left="0" w:leftChars="0" w:firstLine="0" w:firstLineChars="0"/>
              <w:rPr>
                <w:rFonts w:hint="default"/>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5DEDBFE9">
            <w:pPr>
              <w:pStyle w:val="16"/>
              <w:pageBreakBefore w:val="0"/>
              <w:wordWrap/>
              <w:bidi w:val="0"/>
              <w:adjustRightInd/>
              <w:snapToGrid/>
              <w:rPr>
                <w:color w:val="auto"/>
                <w:sz w:val="21"/>
                <w:szCs w:val="21"/>
              </w:rPr>
            </w:pPr>
          </w:p>
        </w:tc>
        <w:tc>
          <w:tcPr>
            <w:tcW w:w="213" w:type="pct"/>
            <w:tcBorders>
              <w:tl2br w:val="nil"/>
              <w:tr2bl w:val="nil"/>
            </w:tcBorders>
            <w:vAlign w:val="center"/>
          </w:tcPr>
          <w:p w14:paraId="53CC49CB">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145.4</w:t>
            </w:r>
          </w:p>
        </w:tc>
        <w:tc>
          <w:tcPr>
            <w:tcW w:w="212" w:type="pct"/>
            <w:tcBorders>
              <w:tl2br w:val="nil"/>
              <w:tr2bl w:val="nil"/>
            </w:tcBorders>
            <w:vAlign w:val="center"/>
          </w:tcPr>
          <w:p w14:paraId="3B9E88C7">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24</w:t>
            </w:r>
          </w:p>
        </w:tc>
        <w:tc>
          <w:tcPr>
            <w:tcW w:w="215" w:type="pct"/>
            <w:tcBorders>
              <w:tl2br w:val="nil"/>
              <w:tr2bl w:val="nil"/>
            </w:tcBorders>
            <w:vAlign w:val="center"/>
          </w:tcPr>
          <w:p w14:paraId="3823B307">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0815361D">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0B41F806">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75</w:t>
            </w:r>
          </w:p>
        </w:tc>
        <w:tc>
          <w:tcPr>
            <w:tcW w:w="263" w:type="pct"/>
            <w:vMerge w:val="continue"/>
            <w:tcBorders>
              <w:tl2br w:val="nil"/>
              <w:tr2bl w:val="nil"/>
            </w:tcBorders>
            <w:vAlign w:val="center"/>
          </w:tcPr>
          <w:p w14:paraId="5579997D">
            <w:pPr>
              <w:pStyle w:val="16"/>
              <w:pageBreakBefore w:val="0"/>
              <w:wordWrap/>
              <w:bidi w:val="0"/>
              <w:adjustRightInd/>
              <w:snapToGrid/>
              <w:rPr>
                <w:color w:val="auto"/>
                <w:sz w:val="21"/>
                <w:szCs w:val="21"/>
              </w:rPr>
            </w:pPr>
          </w:p>
        </w:tc>
        <w:tc>
          <w:tcPr>
            <w:tcW w:w="464" w:type="pct"/>
            <w:tcBorders>
              <w:tl2br w:val="nil"/>
              <w:tr2bl w:val="nil"/>
            </w:tcBorders>
            <w:vAlign w:val="center"/>
          </w:tcPr>
          <w:p w14:paraId="56C5A3C6">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56B5CEB1">
            <w:pPr>
              <w:pStyle w:val="16"/>
              <w:bidi w:val="0"/>
              <w:rPr>
                <w:rFonts w:hint="default"/>
                <w:color w:val="auto"/>
                <w:lang w:val="en-US" w:eastAsia="zh-CN"/>
              </w:rPr>
            </w:pPr>
            <w:r>
              <w:rPr>
                <w:rFonts w:hint="default"/>
                <w:color w:val="auto"/>
                <w:lang w:val="en-US" w:eastAsia="zh-CN"/>
              </w:rPr>
              <w:t>30.2</w:t>
            </w:r>
          </w:p>
        </w:tc>
        <w:tc>
          <w:tcPr>
            <w:tcW w:w="285" w:type="pct"/>
            <w:tcBorders>
              <w:tl2br w:val="nil"/>
              <w:tr2bl w:val="nil"/>
            </w:tcBorders>
            <w:vAlign w:val="center"/>
          </w:tcPr>
          <w:p w14:paraId="0ACD95BC">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30220836">
            <w:pPr>
              <w:pStyle w:val="16"/>
              <w:pageBreakBefore w:val="0"/>
              <w:wordWrap/>
              <w:bidi w:val="0"/>
              <w:adjustRightInd/>
              <w:snapToGrid/>
              <w:rPr>
                <w:rFonts w:hint="eastAsia"/>
                <w:color w:val="auto"/>
                <w:sz w:val="21"/>
                <w:szCs w:val="21"/>
                <w:lang w:val="en-US" w:eastAsia="zh-CN"/>
              </w:rPr>
            </w:pPr>
          </w:p>
        </w:tc>
      </w:tr>
      <w:tr w14:paraId="161561E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B4055E1">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22</w:t>
            </w:r>
          </w:p>
        </w:tc>
        <w:tc>
          <w:tcPr>
            <w:tcW w:w="189" w:type="pct"/>
            <w:vMerge w:val="restart"/>
            <w:tcBorders>
              <w:tl2br w:val="nil"/>
              <w:tr2bl w:val="nil"/>
            </w:tcBorders>
            <w:vAlign w:val="center"/>
          </w:tcPr>
          <w:p w14:paraId="13B0946D">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反硝化滤池</w:t>
            </w:r>
          </w:p>
        </w:tc>
        <w:tc>
          <w:tcPr>
            <w:tcW w:w="624" w:type="pct"/>
            <w:tcBorders>
              <w:tl2br w:val="nil"/>
              <w:tr2bl w:val="nil"/>
            </w:tcBorders>
            <w:vAlign w:val="center"/>
          </w:tcPr>
          <w:p w14:paraId="733CE19B">
            <w:pPr>
              <w:pStyle w:val="16"/>
              <w:pageBreakBefore w:val="0"/>
              <w:wordWrap/>
              <w:bidi w:val="0"/>
              <w:adjustRightInd/>
              <w:snapToGrid/>
              <w:ind w:left="0" w:leftChars="0" w:firstLine="0" w:firstLineChars="0"/>
              <w:rPr>
                <w:color w:val="auto"/>
                <w:sz w:val="21"/>
                <w:szCs w:val="21"/>
              </w:rPr>
            </w:pPr>
            <w:r>
              <w:rPr>
                <w:color w:val="auto"/>
                <w:sz w:val="21"/>
                <w:szCs w:val="21"/>
              </w:rPr>
              <w:t>快速搅拌机</w:t>
            </w:r>
          </w:p>
        </w:tc>
        <w:tc>
          <w:tcPr>
            <w:tcW w:w="286" w:type="pct"/>
            <w:tcBorders>
              <w:tl2br w:val="nil"/>
              <w:tr2bl w:val="nil"/>
            </w:tcBorders>
            <w:vAlign w:val="center"/>
          </w:tcPr>
          <w:p w14:paraId="75382156">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372" w:type="pct"/>
            <w:tcBorders>
              <w:tl2br w:val="nil"/>
              <w:tr2bl w:val="nil"/>
            </w:tcBorders>
            <w:vAlign w:val="center"/>
          </w:tcPr>
          <w:p w14:paraId="4B29A3FB">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61FFBF54">
            <w:pPr>
              <w:pStyle w:val="16"/>
              <w:pageBreakBefore w:val="0"/>
              <w:wordWrap/>
              <w:bidi w:val="0"/>
              <w:adjustRightInd/>
              <w:snapToGrid/>
              <w:rPr>
                <w:color w:val="auto"/>
                <w:sz w:val="21"/>
                <w:szCs w:val="21"/>
              </w:rPr>
            </w:pPr>
          </w:p>
        </w:tc>
        <w:tc>
          <w:tcPr>
            <w:tcW w:w="213" w:type="pct"/>
            <w:tcBorders>
              <w:tl2br w:val="nil"/>
              <w:tr2bl w:val="nil"/>
            </w:tcBorders>
            <w:vAlign w:val="center"/>
          </w:tcPr>
          <w:p w14:paraId="2B7C0AE1">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97</w:t>
            </w:r>
          </w:p>
        </w:tc>
        <w:tc>
          <w:tcPr>
            <w:tcW w:w="212" w:type="pct"/>
            <w:tcBorders>
              <w:tl2br w:val="nil"/>
              <w:tr2bl w:val="nil"/>
            </w:tcBorders>
            <w:vAlign w:val="center"/>
          </w:tcPr>
          <w:p w14:paraId="0287FF15">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-41.5</w:t>
            </w:r>
          </w:p>
        </w:tc>
        <w:tc>
          <w:tcPr>
            <w:tcW w:w="215" w:type="pct"/>
            <w:tcBorders>
              <w:tl2br w:val="nil"/>
              <w:tr2bl w:val="nil"/>
            </w:tcBorders>
            <w:vAlign w:val="center"/>
          </w:tcPr>
          <w:p w14:paraId="5BDCAB7C">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w:t>
            </w:r>
          </w:p>
        </w:tc>
        <w:tc>
          <w:tcPr>
            <w:tcW w:w="336" w:type="pct"/>
            <w:tcBorders>
              <w:tl2br w:val="nil"/>
              <w:tr2bl w:val="nil"/>
            </w:tcBorders>
            <w:vAlign w:val="center"/>
          </w:tcPr>
          <w:p w14:paraId="59DBB28F">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44F027C6">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263" w:type="pct"/>
            <w:vMerge w:val="continue"/>
            <w:tcBorders>
              <w:tl2br w:val="nil"/>
              <w:tr2bl w:val="nil"/>
            </w:tcBorders>
            <w:vAlign w:val="center"/>
          </w:tcPr>
          <w:p w14:paraId="70697412">
            <w:pPr>
              <w:pStyle w:val="16"/>
              <w:pageBreakBefore w:val="0"/>
              <w:wordWrap/>
              <w:bidi w:val="0"/>
              <w:adjustRightInd/>
              <w:snapToGrid/>
              <w:rPr>
                <w:color w:val="auto"/>
                <w:sz w:val="21"/>
                <w:szCs w:val="21"/>
              </w:rPr>
            </w:pPr>
          </w:p>
        </w:tc>
        <w:tc>
          <w:tcPr>
            <w:tcW w:w="464" w:type="pct"/>
            <w:tcBorders>
              <w:tl2br w:val="nil"/>
              <w:tr2bl w:val="nil"/>
            </w:tcBorders>
            <w:vAlign w:val="center"/>
          </w:tcPr>
          <w:p w14:paraId="557FC9B1">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3BEB0204">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7FD8308E">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281" w:type="pct"/>
            <w:vMerge w:val="continue"/>
            <w:tcBorders>
              <w:tl2br w:val="nil"/>
              <w:tr2bl w:val="nil"/>
            </w:tcBorders>
            <w:vAlign w:val="center"/>
          </w:tcPr>
          <w:p w14:paraId="77D330EA">
            <w:pPr>
              <w:pStyle w:val="16"/>
              <w:pageBreakBefore w:val="0"/>
              <w:wordWrap/>
              <w:bidi w:val="0"/>
              <w:adjustRightInd/>
              <w:snapToGrid/>
              <w:rPr>
                <w:rFonts w:hint="eastAsia"/>
                <w:color w:val="auto"/>
                <w:sz w:val="21"/>
                <w:szCs w:val="21"/>
                <w:lang w:val="en-US" w:eastAsia="zh-CN"/>
              </w:rPr>
            </w:pPr>
          </w:p>
        </w:tc>
      </w:tr>
      <w:tr w14:paraId="46E4D4B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66FC2BC0">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23</w:t>
            </w:r>
          </w:p>
        </w:tc>
        <w:tc>
          <w:tcPr>
            <w:tcW w:w="189" w:type="pct"/>
            <w:vMerge w:val="continue"/>
            <w:tcBorders>
              <w:tl2br w:val="nil"/>
              <w:tr2bl w:val="nil"/>
            </w:tcBorders>
            <w:vAlign w:val="center"/>
          </w:tcPr>
          <w:p w14:paraId="02D31D04">
            <w:pPr>
              <w:pageBreakBefore w:val="0"/>
              <w:wordWrap/>
              <w:bidi w:val="0"/>
              <w:adjustRightInd/>
              <w:snapToGrid/>
              <w:spacing w:line="240" w:lineRule="auto"/>
              <w:ind w:firstLine="0" w:firstLineChars="0"/>
              <w:jc w:val="center"/>
              <w:rPr>
                <w:rFonts w:hint="eastAsia"/>
                <w:color w:val="auto"/>
                <w:sz w:val="21"/>
                <w:szCs w:val="21"/>
                <w:lang w:val="en-US" w:eastAsia="zh-CN"/>
              </w:rPr>
            </w:pPr>
          </w:p>
        </w:tc>
        <w:tc>
          <w:tcPr>
            <w:tcW w:w="624" w:type="pct"/>
            <w:tcBorders>
              <w:tl2br w:val="nil"/>
              <w:tr2bl w:val="nil"/>
            </w:tcBorders>
            <w:vAlign w:val="center"/>
          </w:tcPr>
          <w:p w14:paraId="102A21D7">
            <w:pPr>
              <w:pStyle w:val="16"/>
              <w:pageBreakBefore w:val="0"/>
              <w:wordWrap/>
              <w:bidi w:val="0"/>
              <w:adjustRightInd/>
              <w:snapToGrid/>
              <w:ind w:left="0" w:leftChars="0" w:firstLine="0" w:firstLineChars="0"/>
              <w:rPr>
                <w:color w:val="auto"/>
                <w:sz w:val="21"/>
                <w:szCs w:val="21"/>
              </w:rPr>
            </w:pPr>
            <w:r>
              <w:rPr>
                <w:color w:val="auto"/>
                <w:sz w:val="21"/>
                <w:szCs w:val="21"/>
              </w:rPr>
              <w:t>反冲洗罗茨鼓风机</w:t>
            </w:r>
          </w:p>
        </w:tc>
        <w:tc>
          <w:tcPr>
            <w:tcW w:w="286" w:type="pct"/>
            <w:tcBorders>
              <w:tl2br w:val="nil"/>
              <w:tr2bl w:val="nil"/>
            </w:tcBorders>
            <w:vAlign w:val="center"/>
          </w:tcPr>
          <w:p w14:paraId="49C5A6C4">
            <w:pPr>
              <w:pStyle w:val="16"/>
              <w:pageBreakBefore w:val="0"/>
              <w:wordWrap/>
              <w:bidi w:val="0"/>
              <w:adjustRightInd/>
              <w:snapToGrid/>
              <w:ind w:left="0" w:leftChars="0" w:firstLine="0" w:firstLineChars="0"/>
              <w:rPr>
                <w:color w:val="auto"/>
                <w:sz w:val="21"/>
                <w:szCs w:val="21"/>
              </w:rPr>
            </w:pPr>
            <w:r>
              <w:rPr>
                <w:rFonts w:hint="eastAsia"/>
                <w:color w:val="auto"/>
                <w:sz w:val="21"/>
                <w:szCs w:val="21"/>
                <w:lang w:eastAsia="zh-CN"/>
              </w:rPr>
              <w:t>1</w:t>
            </w:r>
            <w:r>
              <w:rPr>
                <w:color w:val="auto"/>
                <w:sz w:val="21"/>
                <w:szCs w:val="21"/>
              </w:rPr>
              <w:t>用</w:t>
            </w:r>
            <w:r>
              <w:rPr>
                <w:rFonts w:hint="eastAsia"/>
                <w:color w:val="auto"/>
                <w:sz w:val="21"/>
                <w:szCs w:val="21"/>
                <w:lang w:eastAsia="zh-CN"/>
              </w:rPr>
              <w:t>1</w:t>
            </w:r>
            <w:r>
              <w:rPr>
                <w:color w:val="auto"/>
                <w:sz w:val="21"/>
                <w:szCs w:val="21"/>
              </w:rPr>
              <w:t>备</w:t>
            </w:r>
          </w:p>
        </w:tc>
        <w:tc>
          <w:tcPr>
            <w:tcW w:w="372" w:type="pct"/>
            <w:tcBorders>
              <w:tl2br w:val="nil"/>
              <w:tr2bl w:val="nil"/>
            </w:tcBorders>
            <w:vAlign w:val="center"/>
          </w:tcPr>
          <w:p w14:paraId="4F695B62">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627144AB">
            <w:pPr>
              <w:pStyle w:val="16"/>
              <w:pageBreakBefore w:val="0"/>
              <w:wordWrap/>
              <w:bidi w:val="0"/>
              <w:adjustRightInd/>
              <w:snapToGrid/>
              <w:rPr>
                <w:color w:val="auto"/>
                <w:sz w:val="21"/>
                <w:szCs w:val="21"/>
              </w:rPr>
            </w:pPr>
          </w:p>
        </w:tc>
        <w:tc>
          <w:tcPr>
            <w:tcW w:w="213" w:type="pct"/>
            <w:tcBorders>
              <w:tl2br w:val="nil"/>
              <w:tr2bl w:val="nil"/>
            </w:tcBorders>
            <w:vAlign w:val="center"/>
          </w:tcPr>
          <w:p w14:paraId="70DAEBDC">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92.4</w:t>
            </w:r>
          </w:p>
        </w:tc>
        <w:tc>
          <w:tcPr>
            <w:tcW w:w="212" w:type="pct"/>
            <w:tcBorders>
              <w:tl2br w:val="nil"/>
              <w:tr2bl w:val="nil"/>
            </w:tcBorders>
            <w:vAlign w:val="center"/>
          </w:tcPr>
          <w:p w14:paraId="10E33BB6">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-46.6</w:t>
            </w:r>
          </w:p>
        </w:tc>
        <w:tc>
          <w:tcPr>
            <w:tcW w:w="215" w:type="pct"/>
            <w:tcBorders>
              <w:tl2br w:val="nil"/>
              <w:tr2bl w:val="nil"/>
            </w:tcBorders>
            <w:vAlign w:val="center"/>
          </w:tcPr>
          <w:p w14:paraId="416E0AAC">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7E1090B7">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2CDA7EE5">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263" w:type="pct"/>
            <w:vMerge w:val="continue"/>
            <w:tcBorders>
              <w:tl2br w:val="nil"/>
              <w:tr2bl w:val="nil"/>
            </w:tcBorders>
            <w:vAlign w:val="center"/>
          </w:tcPr>
          <w:p w14:paraId="19E2D9A9">
            <w:pPr>
              <w:pStyle w:val="16"/>
              <w:pageBreakBefore w:val="0"/>
              <w:wordWrap/>
              <w:bidi w:val="0"/>
              <w:adjustRightInd/>
              <w:snapToGrid/>
              <w:rPr>
                <w:color w:val="auto"/>
                <w:sz w:val="21"/>
                <w:szCs w:val="21"/>
              </w:rPr>
            </w:pPr>
          </w:p>
        </w:tc>
        <w:tc>
          <w:tcPr>
            <w:tcW w:w="464" w:type="pct"/>
            <w:tcBorders>
              <w:tl2br w:val="nil"/>
              <w:tr2bl w:val="nil"/>
            </w:tcBorders>
            <w:vAlign w:val="center"/>
          </w:tcPr>
          <w:p w14:paraId="46B70213">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1ECA485B">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5522BE3B">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0597F90C">
            <w:pPr>
              <w:pStyle w:val="16"/>
              <w:pageBreakBefore w:val="0"/>
              <w:wordWrap/>
              <w:bidi w:val="0"/>
              <w:adjustRightInd/>
              <w:snapToGrid/>
              <w:rPr>
                <w:rFonts w:hint="eastAsia"/>
                <w:color w:val="auto"/>
                <w:sz w:val="21"/>
                <w:szCs w:val="21"/>
                <w:lang w:val="en-US" w:eastAsia="zh-CN"/>
              </w:rPr>
            </w:pPr>
          </w:p>
        </w:tc>
      </w:tr>
      <w:tr w14:paraId="29A0236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5C521A4">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24</w:t>
            </w:r>
          </w:p>
        </w:tc>
        <w:tc>
          <w:tcPr>
            <w:tcW w:w="189" w:type="pct"/>
            <w:vMerge w:val="continue"/>
            <w:tcBorders>
              <w:tl2br w:val="nil"/>
              <w:tr2bl w:val="nil"/>
            </w:tcBorders>
            <w:vAlign w:val="center"/>
          </w:tcPr>
          <w:p w14:paraId="1EB79713">
            <w:pPr>
              <w:pageBreakBefore w:val="0"/>
              <w:wordWrap/>
              <w:bidi w:val="0"/>
              <w:adjustRightInd/>
              <w:snapToGrid/>
              <w:spacing w:line="240" w:lineRule="auto"/>
              <w:ind w:firstLine="0" w:firstLineChars="0"/>
              <w:jc w:val="center"/>
              <w:rPr>
                <w:rFonts w:hint="eastAsia"/>
                <w:color w:val="auto"/>
                <w:sz w:val="21"/>
                <w:szCs w:val="21"/>
                <w:lang w:val="en-US" w:eastAsia="zh-CN"/>
              </w:rPr>
            </w:pPr>
          </w:p>
        </w:tc>
        <w:tc>
          <w:tcPr>
            <w:tcW w:w="624" w:type="pct"/>
            <w:tcBorders>
              <w:tl2br w:val="nil"/>
              <w:tr2bl w:val="nil"/>
            </w:tcBorders>
            <w:vAlign w:val="center"/>
          </w:tcPr>
          <w:p w14:paraId="37CFDDF9">
            <w:pPr>
              <w:pStyle w:val="16"/>
              <w:pageBreakBefore w:val="0"/>
              <w:wordWrap/>
              <w:bidi w:val="0"/>
              <w:adjustRightInd/>
              <w:snapToGrid/>
              <w:ind w:left="0" w:leftChars="0" w:firstLine="0" w:firstLineChars="0"/>
              <w:rPr>
                <w:color w:val="auto"/>
                <w:sz w:val="21"/>
                <w:szCs w:val="21"/>
              </w:rPr>
            </w:pPr>
            <w:r>
              <w:rPr>
                <w:color w:val="auto"/>
                <w:sz w:val="21"/>
                <w:szCs w:val="21"/>
              </w:rPr>
              <w:t>反冲洗水泵</w:t>
            </w:r>
          </w:p>
        </w:tc>
        <w:tc>
          <w:tcPr>
            <w:tcW w:w="286" w:type="pct"/>
            <w:tcBorders>
              <w:tl2br w:val="nil"/>
              <w:tr2bl w:val="nil"/>
            </w:tcBorders>
            <w:vAlign w:val="center"/>
          </w:tcPr>
          <w:p w14:paraId="6979536F">
            <w:pPr>
              <w:pStyle w:val="16"/>
              <w:pageBreakBefore w:val="0"/>
              <w:wordWrap/>
              <w:bidi w:val="0"/>
              <w:adjustRightInd/>
              <w:snapToGrid/>
              <w:ind w:left="0" w:leftChars="0" w:firstLine="0" w:firstLineChars="0"/>
              <w:rPr>
                <w:color w:val="auto"/>
                <w:sz w:val="21"/>
                <w:szCs w:val="21"/>
              </w:rPr>
            </w:pPr>
            <w:r>
              <w:rPr>
                <w:rFonts w:hint="eastAsia"/>
                <w:color w:val="auto"/>
                <w:sz w:val="21"/>
                <w:szCs w:val="21"/>
                <w:lang w:eastAsia="zh-CN"/>
              </w:rPr>
              <w:t>1</w:t>
            </w:r>
            <w:r>
              <w:rPr>
                <w:color w:val="auto"/>
                <w:sz w:val="21"/>
                <w:szCs w:val="21"/>
              </w:rPr>
              <w:t>用</w:t>
            </w:r>
            <w:r>
              <w:rPr>
                <w:rFonts w:hint="eastAsia"/>
                <w:color w:val="auto"/>
                <w:sz w:val="21"/>
                <w:szCs w:val="21"/>
                <w:lang w:eastAsia="zh-CN"/>
              </w:rPr>
              <w:t>1</w:t>
            </w:r>
            <w:r>
              <w:rPr>
                <w:color w:val="auto"/>
                <w:sz w:val="21"/>
                <w:szCs w:val="21"/>
              </w:rPr>
              <w:t>备</w:t>
            </w:r>
          </w:p>
        </w:tc>
        <w:tc>
          <w:tcPr>
            <w:tcW w:w="372" w:type="pct"/>
            <w:tcBorders>
              <w:tl2br w:val="nil"/>
              <w:tr2bl w:val="nil"/>
            </w:tcBorders>
            <w:vAlign w:val="center"/>
          </w:tcPr>
          <w:p w14:paraId="772416B3">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45BEB4CA">
            <w:pPr>
              <w:pStyle w:val="16"/>
              <w:pageBreakBefore w:val="0"/>
              <w:wordWrap/>
              <w:bidi w:val="0"/>
              <w:adjustRightInd/>
              <w:snapToGrid/>
              <w:rPr>
                <w:color w:val="auto"/>
                <w:sz w:val="21"/>
                <w:szCs w:val="21"/>
              </w:rPr>
            </w:pPr>
          </w:p>
        </w:tc>
        <w:tc>
          <w:tcPr>
            <w:tcW w:w="213" w:type="pct"/>
            <w:tcBorders>
              <w:tl2br w:val="nil"/>
              <w:tr2bl w:val="nil"/>
            </w:tcBorders>
            <w:vAlign w:val="center"/>
          </w:tcPr>
          <w:p w14:paraId="7E4BA459">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92.4</w:t>
            </w:r>
          </w:p>
        </w:tc>
        <w:tc>
          <w:tcPr>
            <w:tcW w:w="212" w:type="pct"/>
            <w:tcBorders>
              <w:tl2br w:val="nil"/>
              <w:tr2bl w:val="nil"/>
            </w:tcBorders>
            <w:vAlign w:val="center"/>
          </w:tcPr>
          <w:p w14:paraId="5DC65095">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-46.6</w:t>
            </w:r>
          </w:p>
        </w:tc>
        <w:tc>
          <w:tcPr>
            <w:tcW w:w="215" w:type="pct"/>
            <w:tcBorders>
              <w:tl2br w:val="nil"/>
              <w:tr2bl w:val="nil"/>
            </w:tcBorders>
            <w:vAlign w:val="center"/>
          </w:tcPr>
          <w:p w14:paraId="7B3C17EC">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w:t>
            </w:r>
          </w:p>
        </w:tc>
        <w:tc>
          <w:tcPr>
            <w:tcW w:w="336" w:type="pct"/>
            <w:tcBorders>
              <w:tl2br w:val="nil"/>
              <w:tr2bl w:val="nil"/>
            </w:tcBorders>
            <w:vAlign w:val="center"/>
          </w:tcPr>
          <w:p w14:paraId="74F0AA76">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4E2F117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263" w:type="pct"/>
            <w:vMerge w:val="continue"/>
            <w:tcBorders>
              <w:tl2br w:val="nil"/>
              <w:tr2bl w:val="nil"/>
            </w:tcBorders>
            <w:vAlign w:val="center"/>
          </w:tcPr>
          <w:p w14:paraId="2693A088">
            <w:pPr>
              <w:pStyle w:val="16"/>
              <w:pageBreakBefore w:val="0"/>
              <w:wordWrap/>
              <w:bidi w:val="0"/>
              <w:adjustRightInd/>
              <w:snapToGrid/>
              <w:rPr>
                <w:color w:val="auto"/>
                <w:sz w:val="21"/>
                <w:szCs w:val="21"/>
              </w:rPr>
            </w:pPr>
          </w:p>
        </w:tc>
        <w:tc>
          <w:tcPr>
            <w:tcW w:w="464" w:type="pct"/>
            <w:tcBorders>
              <w:tl2br w:val="nil"/>
              <w:tr2bl w:val="nil"/>
            </w:tcBorders>
            <w:vAlign w:val="center"/>
          </w:tcPr>
          <w:p w14:paraId="02861CFB">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78259B7B">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4D359F5B">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1A16FE34">
            <w:pPr>
              <w:pStyle w:val="16"/>
              <w:pageBreakBefore w:val="0"/>
              <w:wordWrap/>
              <w:bidi w:val="0"/>
              <w:adjustRightInd/>
              <w:snapToGrid/>
              <w:rPr>
                <w:rFonts w:hint="eastAsia"/>
                <w:color w:val="auto"/>
                <w:sz w:val="21"/>
                <w:szCs w:val="21"/>
                <w:lang w:val="en-US" w:eastAsia="zh-CN"/>
              </w:rPr>
            </w:pPr>
          </w:p>
        </w:tc>
      </w:tr>
      <w:tr w14:paraId="28F8156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A243C47">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25</w:t>
            </w:r>
          </w:p>
        </w:tc>
        <w:tc>
          <w:tcPr>
            <w:tcW w:w="189" w:type="pct"/>
            <w:vMerge w:val="continue"/>
            <w:tcBorders>
              <w:tl2br w:val="nil"/>
              <w:tr2bl w:val="nil"/>
            </w:tcBorders>
            <w:vAlign w:val="center"/>
          </w:tcPr>
          <w:p w14:paraId="70C4766B">
            <w:pPr>
              <w:pageBreakBefore w:val="0"/>
              <w:wordWrap/>
              <w:bidi w:val="0"/>
              <w:adjustRightInd/>
              <w:snapToGrid/>
              <w:spacing w:line="240" w:lineRule="auto"/>
              <w:ind w:firstLine="0" w:firstLineChars="0"/>
              <w:jc w:val="center"/>
              <w:rPr>
                <w:rFonts w:hint="eastAsia"/>
                <w:color w:val="auto"/>
                <w:sz w:val="21"/>
                <w:szCs w:val="21"/>
                <w:lang w:val="en-US" w:eastAsia="zh-CN"/>
              </w:rPr>
            </w:pPr>
          </w:p>
        </w:tc>
        <w:tc>
          <w:tcPr>
            <w:tcW w:w="624" w:type="pct"/>
            <w:tcBorders>
              <w:tl2br w:val="nil"/>
              <w:tr2bl w:val="nil"/>
            </w:tcBorders>
            <w:vAlign w:val="center"/>
          </w:tcPr>
          <w:p w14:paraId="58C84741">
            <w:pPr>
              <w:pStyle w:val="16"/>
              <w:pageBreakBefore w:val="0"/>
              <w:wordWrap/>
              <w:bidi w:val="0"/>
              <w:adjustRightInd/>
              <w:snapToGrid/>
              <w:ind w:left="0" w:leftChars="0" w:firstLine="0" w:firstLineChars="0"/>
              <w:rPr>
                <w:color w:val="auto"/>
                <w:sz w:val="21"/>
                <w:szCs w:val="21"/>
              </w:rPr>
            </w:pPr>
            <w:r>
              <w:rPr>
                <w:color w:val="auto"/>
                <w:sz w:val="21"/>
                <w:szCs w:val="21"/>
              </w:rPr>
              <w:t>反冲洗废水泵</w:t>
            </w:r>
          </w:p>
        </w:tc>
        <w:tc>
          <w:tcPr>
            <w:tcW w:w="286" w:type="pct"/>
            <w:tcBorders>
              <w:tl2br w:val="nil"/>
              <w:tr2bl w:val="nil"/>
            </w:tcBorders>
            <w:vAlign w:val="center"/>
          </w:tcPr>
          <w:p w14:paraId="34AB0F6F">
            <w:pPr>
              <w:pStyle w:val="16"/>
              <w:pageBreakBefore w:val="0"/>
              <w:wordWrap/>
              <w:bidi w:val="0"/>
              <w:adjustRightInd/>
              <w:snapToGrid/>
              <w:ind w:left="0" w:leftChars="0" w:firstLine="0" w:firstLineChars="0"/>
              <w:rPr>
                <w:color w:val="auto"/>
                <w:sz w:val="21"/>
                <w:szCs w:val="21"/>
              </w:rPr>
            </w:pPr>
            <w:r>
              <w:rPr>
                <w:rFonts w:hint="eastAsia"/>
                <w:color w:val="auto"/>
                <w:sz w:val="21"/>
                <w:szCs w:val="21"/>
                <w:lang w:eastAsia="zh-CN"/>
              </w:rPr>
              <w:t>1</w:t>
            </w:r>
            <w:r>
              <w:rPr>
                <w:color w:val="auto"/>
                <w:sz w:val="21"/>
                <w:szCs w:val="21"/>
              </w:rPr>
              <w:t>用</w:t>
            </w:r>
            <w:r>
              <w:rPr>
                <w:rFonts w:hint="eastAsia"/>
                <w:color w:val="auto"/>
                <w:sz w:val="21"/>
                <w:szCs w:val="21"/>
                <w:lang w:eastAsia="zh-CN"/>
              </w:rPr>
              <w:t>1</w:t>
            </w:r>
            <w:r>
              <w:rPr>
                <w:color w:val="auto"/>
                <w:sz w:val="21"/>
                <w:szCs w:val="21"/>
              </w:rPr>
              <w:t>备</w:t>
            </w:r>
          </w:p>
        </w:tc>
        <w:tc>
          <w:tcPr>
            <w:tcW w:w="372" w:type="pct"/>
            <w:tcBorders>
              <w:tl2br w:val="nil"/>
              <w:tr2bl w:val="nil"/>
            </w:tcBorders>
            <w:vAlign w:val="center"/>
          </w:tcPr>
          <w:p w14:paraId="624310CC">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55DE03F7">
            <w:pPr>
              <w:pStyle w:val="16"/>
              <w:pageBreakBefore w:val="0"/>
              <w:wordWrap/>
              <w:bidi w:val="0"/>
              <w:adjustRightInd/>
              <w:snapToGrid/>
              <w:rPr>
                <w:color w:val="auto"/>
                <w:sz w:val="21"/>
                <w:szCs w:val="21"/>
              </w:rPr>
            </w:pPr>
          </w:p>
        </w:tc>
        <w:tc>
          <w:tcPr>
            <w:tcW w:w="213" w:type="pct"/>
            <w:tcBorders>
              <w:tl2br w:val="nil"/>
              <w:tr2bl w:val="nil"/>
            </w:tcBorders>
            <w:vAlign w:val="center"/>
          </w:tcPr>
          <w:p w14:paraId="28F7B51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92.4</w:t>
            </w:r>
          </w:p>
        </w:tc>
        <w:tc>
          <w:tcPr>
            <w:tcW w:w="212" w:type="pct"/>
            <w:tcBorders>
              <w:tl2br w:val="nil"/>
              <w:tr2bl w:val="nil"/>
            </w:tcBorders>
            <w:vAlign w:val="center"/>
          </w:tcPr>
          <w:p w14:paraId="64FCA70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-46.6</w:t>
            </w:r>
          </w:p>
        </w:tc>
        <w:tc>
          <w:tcPr>
            <w:tcW w:w="215" w:type="pct"/>
            <w:tcBorders>
              <w:tl2br w:val="nil"/>
              <w:tr2bl w:val="nil"/>
            </w:tcBorders>
            <w:vAlign w:val="center"/>
          </w:tcPr>
          <w:p w14:paraId="792CD216">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w:t>
            </w:r>
          </w:p>
        </w:tc>
        <w:tc>
          <w:tcPr>
            <w:tcW w:w="336" w:type="pct"/>
            <w:tcBorders>
              <w:tl2br w:val="nil"/>
              <w:tr2bl w:val="nil"/>
            </w:tcBorders>
            <w:vAlign w:val="center"/>
          </w:tcPr>
          <w:p w14:paraId="4A6DFD77">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5B1401FD">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263" w:type="pct"/>
            <w:vMerge w:val="continue"/>
            <w:tcBorders>
              <w:tl2br w:val="nil"/>
              <w:tr2bl w:val="nil"/>
            </w:tcBorders>
            <w:vAlign w:val="center"/>
          </w:tcPr>
          <w:p w14:paraId="25355CBE">
            <w:pPr>
              <w:pStyle w:val="16"/>
              <w:pageBreakBefore w:val="0"/>
              <w:wordWrap/>
              <w:bidi w:val="0"/>
              <w:adjustRightInd/>
              <w:snapToGrid/>
              <w:rPr>
                <w:color w:val="auto"/>
                <w:sz w:val="21"/>
                <w:szCs w:val="21"/>
              </w:rPr>
            </w:pPr>
          </w:p>
        </w:tc>
        <w:tc>
          <w:tcPr>
            <w:tcW w:w="464" w:type="pct"/>
            <w:tcBorders>
              <w:tl2br w:val="nil"/>
              <w:tr2bl w:val="nil"/>
            </w:tcBorders>
            <w:vAlign w:val="center"/>
          </w:tcPr>
          <w:p w14:paraId="7D3A9A46">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5B3AFC6F">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09D3CE9D">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7B81CA64">
            <w:pPr>
              <w:pStyle w:val="16"/>
              <w:pageBreakBefore w:val="0"/>
              <w:wordWrap/>
              <w:bidi w:val="0"/>
              <w:adjustRightInd/>
              <w:snapToGrid/>
              <w:rPr>
                <w:rFonts w:hint="eastAsia"/>
                <w:color w:val="auto"/>
                <w:sz w:val="21"/>
                <w:szCs w:val="21"/>
                <w:lang w:val="en-US" w:eastAsia="zh-CN"/>
              </w:rPr>
            </w:pPr>
          </w:p>
        </w:tc>
      </w:tr>
      <w:tr w14:paraId="19617D5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5B049F0">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26</w:t>
            </w:r>
          </w:p>
        </w:tc>
        <w:tc>
          <w:tcPr>
            <w:tcW w:w="189" w:type="pct"/>
            <w:vMerge w:val="continue"/>
            <w:tcBorders>
              <w:tl2br w:val="nil"/>
              <w:tr2bl w:val="nil"/>
            </w:tcBorders>
            <w:vAlign w:val="center"/>
          </w:tcPr>
          <w:p w14:paraId="1FE1C17F">
            <w:pPr>
              <w:pageBreakBefore w:val="0"/>
              <w:wordWrap/>
              <w:bidi w:val="0"/>
              <w:adjustRightInd/>
              <w:snapToGrid/>
              <w:spacing w:line="240" w:lineRule="auto"/>
              <w:ind w:firstLine="0" w:firstLineChars="0"/>
              <w:jc w:val="center"/>
              <w:rPr>
                <w:rFonts w:hint="eastAsia"/>
                <w:color w:val="auto"/>
                <w:sz w:val="21"/>
                <w:szCs w:val="21"/>
                <w:lang w:val="en-US" w:eastAsia="zh-CN"/>
              </w:rPr>
            </w:pPr>
          </w:p>
        </w:tc>
        <w:tc>
          <w:tcPr>
            <w:tcW w:w="624" w:type="pct"/>
            <w:tcBorders>
              <w:tl2br w:val="nil"/>
              <w:tr2bl w:val="nil"/>
            </w:tcBorders>
            <w:vAlign w:val="center"/>
          </w:tcPr>
          <w:p w14:paraId="670366F9">
            <w:pPr>
              <w:pStyle w:val="16"/>
              <w:pageBreakBefore w:val="0"/>
              <w:wordWrap/>
              <w:bidi w:val="0"/>
              <w:adjustRightInd/>
              <w:snapToGrid/>
              <w:ind w:left="0" w:leftChars="0" w:firstLine="0" w:firstLineChars="0"/>
              <w:rPr>
                <w:color w:val="auto"/>
                <w:sz w:val="21"/>
                <w:szCs w:val="21"/>
              </w:rPr>
            </w:pPr>
            <w:r>
              <w:rPr>
                <w:color w:val="auto"/>
                <w:sz w:val="21"/>
                <w:szCs w:val="21"/>
              </w:rPr>
              <w:t>管廊底坑排水泵</w:t>
            </w:r>
          </w:p>
        </w:tc>
        <w:tc>
          <w:tcPr>
            <w:tcW w:w="286" w:type="pct"/>
            <w:tcBorders>
              <w:tl2br w:val="nil"/>
              <w:tr2bl w:val="nil"/>
            </w:tcBorders>
            <w:vAlign w:val="center"/>
          </w:tcPr>
          <w:p w14:paraId="35A0D792">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372" w:type="pct"/>
            <w:tcBorders>
              <w:tl2br w:val="nil"/>
              <w:tr2bl w:val="nil"/>
            </w:tcBorders>
            <w:vAlign w:val="center"/>
          </w:tcPr>
          <w:p w14:paraId="5B2CC384">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5705876C">
            <w:pPr>
              <w:pStyle w:val="16"/>
              <w:pageBreakBefore w:val="0"/>
              <w:wordWrap/>
              <w:bidi w:val="0"/>
              <w:adjustRightInd/>
              <w:snapToGrid/>
              <w:rPr>
                <w:color w:val="auto"/>
                <w:sz w:val="21"/>
                <w:szCs w:val="21"/>
              </w:rPr>
            </w:pPr>
          </w:p>
        </w:tc>
        <w:tc>
          <w:tcPr>
            <w:tcW w:w="213" w:type="pct"/>
            <w:tcBorders>
              <w:tl2br w:val="nil"/>
              <w:tr2bl w:val="nil"/>
            </w:tcBorders>
            <w:vAlign w:val="center"/>
          </w:tcPr>
          <w:p w14:paraId="4DB7578F">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92.4</w:t>
            </w:r>
          </w:p>
        </w:tc>
        <w:tc>
          <w:tcPr>
            <w:tcW w:w="212" w:type="pct"/>
            <w:tcBorders>
              <w:tl2br w:val="nil"/>
              <w:tr2bl w:val="nil"/>
            </w:tcBorders>
            <w:vAlign w:val="center"/>
          </w:tcPr>
          <w:p w14:paraId="086D5FEF">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-46.6</w:t>
            </w:r>
          </w:p>
        </w:tc>
        <w:tc>
          <w:tcPr>
            <w:tcW w:w="215" w:type="pct"/>
            <w:tcBorders>
              <w:tl2br w:val="nil"/>
              <w:tr2bl w:val="nil"/>
            </w:tcBorders>
            <w:vAlign w:val="center"/>
          </w:tcPr>
          <w:p w14:paraId="3A05AF5B">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w:t>
            </w:r>
          </w:p>
        </w:tc>
        <w:tc>
          <w:tcPr>
            <w:tcW w:w="336" w:type="pct"/>
            <w:tcBorders>
              <w:tl2br w:val="nil"/>
              <w:tr2bl w:val="nil"/>
            </w:tcBorders>
            <w:vAlign w:val="center"/>
          </w:tcPr>
          <w:p w14:paraId="6852C5AB">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0D9CF9E5">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263" w:type="pct"/>
            <w:vMerge w:val="continue"/>
            <w:tcBorders>
              <w:tl2br w:val="nil"/>
              <w:tr2bl w:val="nil"/>
            </w:tcBorders>
            <w:vAlign w:val="center"/>
          </w:tcPr>
          <w:p w14:paraId="3EEEEA22">
            <w:pPr>
              <w:pStyle w:val="16"/>
              <w:pageBreakBefore w:val="0"/>
              <w:wordWrap/>
              <w:bidi w:val="0"/>
              <w:adjustRightInd/>
              <w:snapToGrid/>
              <w:rPr>
                <w:color w:val="auto"/>
                <w:sz w:val="21"/>
                <w:szCs w:val="21"/>
              </w:rPr>
            </w:pPr>
          </w:p>
        </w:tc>
        <w:tc>
          <w:tcPr>
            <w:tcW w:w="464" w:type="pct"/>
            <w:tcBorders>
              <w:tl2br w:val="nil"/>
              <w:tr2bl w:val="nil"/>
            </w:tcBorders>
            <w:vAlign w:val="center"/>
          </w:tcPr>
          <w:p w14:paraId="039D8D49">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4B2CA6D0">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2D4C8BB9">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7D25FAD2">
            <w:pPr>
              <w:pStyle w:val="16"/>
              <w:pageBreakBefore w:val="0"/>
              <w:wordWrap/>
              <w:bidi w:val="0"/>
              <w:adjustRightInd/>
              <w:snapToGrid/>
              <w:rPr>
                <w:rFonts w:hint="eastAsia"/>
                <w:color w:val="auto"/>
                <w:sz w:val="21"/>
                <w:szCs w:val="21"/>
                <w:lang w:val="en-US" w:eastAsia="zh-CN"/>
              </w:rPr>
            </w:pPr>
          </w:p>
        </w:tc>
      </w:tr>
      <w:tr w14:paraId="5FBA04D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1D1E660">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27</w:t>
            </w:r>
          </w:p>
        </w:tc>
        <w:tc>
          <w:tcPr>
            <w:tcW w:w="189" w:type="pct"/>
            <w:vMerge w:val="continue"/>
            <w:tcBorders>
              <w:tl2br w:val="nil"/>
              <w:tr2bl w:val="nil"/>
            </w:tcBorders>
            <w:vAlign w:val="center"/>
          </w:tcPr>
          <w:p w14:paraId="1B354FC4">
            <w:pPr>
              <w:pageBreakBefore w:val="0"/>
              <w:wordWrap/>
              <w:bidi w:val="0"/>
              <w:adjustRightInd/>
              <w:snapToGrid/>
              <w:spacing w:line="240" w:lineRule="auto"/>
              <w:ind w:firstLine="0" w:firstLineChars="0"/>
              <w:jc w:val="center"/>
              <w:rPr>
                <w:rFonts w:hint="eastAsia"/>
                <w:color w:val="auto"/>
                <w:sz w:val="21"/>
                <w:szCs w:val="21"/>
                <w:lang w:val="en-US" w:eastAsia="zh-CN"/>
              </w:rPr>
            </w:pPr>
          </w:p>
        </w:tc>
        <w:tc>
          <w:tcPr>
            <w:tcW w:w="624" w:type="pct"/>
            <w:tcBorders>
              <w:tl2br w:val="nil"/>
              <w:tr2bl w:val="nil"/>
            </w:tcBorders>
            <w:vAlign w:val="center"/>
          </w:tcPr>
          <w:p w14:paraId="12FD9C96">
            <w:pPr>
              <w:pStyle w:val="16"/>
              <w:pageBreakBefore w:val="0"/>
              <w:wordWrap/>
              <w:bidi w:val="0"/>
              <w:adjustRightInd/>
              <w:snapToGrid/>
              <w:ind w:left="0" w:leftChars="0" w:firstLine="0" w:firstLineChars="0"/>
              <w:rPr>
                <w:color w:val="auto"/>
                <w:sz w:val="21"/>
                <w:szCs w:val="21"/>
              </w:rPr>
            </w:pPr>
            <w:r>
              <w:rPr>
                <w:color w:val="auto"/>
                <w:sz w:val="21"/>
                <w:szCs w:val="21"/>
              </w:rPr>
              <w:t>空压机</w:t>
            </w:r>
          </w:p>
        </w:tc>
        <w:tc>
          <w:tcPr>
            <w:tcW w:w="286" w:type="pct"/>
            <w:tcBorders>
              <w:tl2br w:val="nil"/>
              <w:tr2bl w:val="nil"/>
            </w:tcBorders>
            <w:vAlign w:val="center"/>
          </w:tcPr>
          <w:p w14:paraId="71585C10">
            <w:pPr>
              <w:pStyle w:val="16"/>
              <w:pageBreakBefore w:val="0"/>
              <w:wordWrap/>
              <w:bidi w:val="0"/>
              <w:adjustRightInd/>
              <w:snapToGrid/>
              <w:ind w:left="0" w:leftChars="0" w:firstLine="0" w:firstLineChars="0"/>
              <w:rPr>
                <w:color w:val="auto"/>
                <w:sz w:val="21"/>
                <w:szCs w:val="21"/>
              </w:rPr>
            </w:pPr>
            <w:r>
              <w:rPr>
                <w:rFonts w:hint="eastAsia"/>
                <w:color w:val="auto"/>
                <w:sz w:val="21"/>
                <w:szCs w:val="21"/>
                <w:lang w:eastAsia="zh-CN"/>
              </w:rPr>
              <w:t>1</w:t>
            </w:r>
            <w:r>
              <w:rPr>
                <w:color w:val="auto"/>
                <w:sz w:val="21"/>
                <w:szCs w:val="21"/>
              </w:rPr>
              <w:t>用</w:t>
            </w:r>
            <w:r>
              <w:rPr>
                <w:rFonts w:hint="eastAsia"/>
                <w:color w:val="auto"/>
                <w:sz w:val="21"/>
                <w:szCs w:val="21"/>
                <w:lang w:eastAsia="zh-CN"/>
              </w:rPr>
              <w:t>1</w:t>
            </w:r>
            <w:r>
              <w:rPr>
                <w:color w:val="auto"/>
                <w:sz w:val="21"/>
                <w:szCs w:val="21"/>
              </w:rPr>
              <w:t>备</w:t>
            </w:r>
          </w:p>
        </w:tc>
        <w:tc>
          <w:tcPr>
            <w:tcW w:w="372" w:type="pct"/>
            <w:tcBorders>
              <w:tl2br w:val="nil"/>
              <w:tr2bl w:val="nil"/>
            </w:tcBorders>
            <w:vAlign w:val="center"/>
          </w:tcPr>
          <w:p w14:paraId="5C549D02">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90</w:t>
            </w:r>
          </w:p>
        </w:tc>
        <w:tc>
          <w:tcPr>
            <w:tcW w:w="372" w:type="pct"/>
            <w:vMerge w:val="continue"/>
            <w:tcBorders>
              <w:tl2br w:val="nil"/>
              <w:tr2bl w:val="nil"/>
            </w:tcBorders>
            <w:vAlign w:val="center"/>
          </w:tcPr>
          <w:p w14:paraId="39D5417E">
            <w:pPr>
              <w:pStyle w:val="16"/>
              <w:pageBreakBefore w:val="0"/>
              <w:wordWrap/>
              <w:bidi w:val="0"/>
              <w:adjustRightInd/>
              <w:snapToGrid/>
              <w:rPr>
                <w:color w:val="auto"/>
                <w:sz w:val="21"/>
                <w:szCs w:val="21"/>
              </w:rPr>
            </w:pPr>
          </w:p>
        </w:tc>
        <w:tc>
          <w:tcPr>
            <w:tcW w:w="213" w:type="pct"/>
            <w:tcBorders>
              <w:tl2br w:val="nil"/>
              <w:tr2bl w:val="nil"/>
            </w:tcBorders>
            <w:vAlign w:val="center"/>
          </w:tcPr>
          <w:p w14:paraId="703A922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92.4</w:t>
            </w:r>
          </w:p>
        </w:tc>
        <w:tc>
          <w:tcPr>
            <w:tcW w:w="212" w:type="pct"/>
            <w:tcBorders>
              <w:tl2br w:val="nil"/>
              <w:tr2bl w:val="nil"/>
            </w:tcBorders>
            <w:vAlign w:val="center"/>
          </w:tcPr>
          <w:p w14:paraId="60C9A0C6">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-46.6</w:t>
            </w:r>
          </w:p>
        </w:tc>
        <w:tc>
          <w:tcPr>
            <w:tcW w:w="215" w:type="pct"/>
            <w:tcBorders>
              <w:tl2br w:val="nil"/>
              <w:tr2bl w:val="nil"/>
            </w:tcBorders>
            <w:vAlign w:val="center"/>
          </w:tcPr>
          <w:p w14:paraId="75A9DD63">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0A37A024">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3A506320">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90</w:t>
            </w:r>
          </w:p>
        </w:tc>
        <w:tc>
          <w:tcPr>
            <w:tcW w:w="263" w:type="pct"/>
            <w:vMerge w:val="continue"/>
            <w:tcBorders>
              <w:tl2br w:val="nil"/>
              <w:tr2bl w:val="nil"/>
            </w:tcBorders>
            <w:vAlign w:val="center"/>
          </w:tcPr>
          <w:p w14:paraId="4460AF67">
            <w:pPr>
              <w:pStyle w:val="16"/>
              <w:pageBreakBefore w:val="0"/>
              <w:wordWrap/>
              <w:bidi w:val="0"/>
              <w:adjustRightInd/>
              <w:snapToGrid/>
              <w:rPr>
                <w:color w:val="auto"/>
                <w:sz w:val="21"/>
                <w:szCs w:val="21"/>
              </w:rPr>
            </w:pPr>
          </w:p>
        </w:tc>
        <w:tc>
          <w:tcPr>
            <w:tcW w:w="464" w:type="pct"/>
            <w:tcBorders>
              <w:tl2br w:val="nil"/>
              <w:tr2bl w:val="nil"/>
            </w:tcBorders>
            <w:vAlign w:val="center"/>
          </w:tcPr>
          <w:p w14:paraId="7150AE02">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5CE857C6">
            <w:pPr>
              <w:pStyle w:val="16"/>
              <w:bidi w:val="0"/>
              <w:rPr>
                <w:rFonts w:hint="default"/>
                <w:color w:val="auto"/>
                <w:lang w:val="en-US" w:eastAsia="zh-CN"/>
              </w:rPr>
            </w:pPr>
            <w:r>
              <w:rPr>
                <w:rFonts w:hint="default"/>
                <w:color w:val="auto"/>
                <w:lang w:val="en-US" w:eastAsia="zh-CN"/>
              </w:rPr>
              <w:t>45.2</w:t>
            </w:r>
          </w:p>
        </w:tc>
        <w:tc>
          <w:tcPr>
            <w:tcW w:w="285" w:type="pct"/>
            <w:tcBorders>
              <w:tl2br w:val="nil"/>
              <w:tr2bl w:val="nil"/>
            </w:tcBorders>
            <w:vAlign w:val="center"/>
          </w:tcPr>
          <w:p w14:paraId="4528A10D">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798E544C">
            <w:pPr>
              <w:pStyle w:val="16"/>
              <w:pageBreakBefore w:val="0"/>
              <w:wordWrap/>
              <w:bidi w:val="0"/>
              <w:adjustRightInd/>
              <w:snapToGrid/>
              <w:rPr>
                <w:rFonts w:hint="eastAsia"/>
                <w:color w:val="auto"/>
                <w:sz w:val="21"/>
                <w:szCs w:val="21"/>
                <w:lang w:val="en-US" w:eastAsia="zh-CN"/>
              </w:rPr>
            </w:pPr>
          </w:p>
        </w:tc>
      </w:tr>
      <w:tr w14:paraId="1D9F0DE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4AFC91B1">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28</w:t>
            </w:r>
          </w:p>
        </w:tc>
        <w:tc>
          <w:tcPr>
            <w:tcW w:w="189" w:type="pct"/>
            <w:vMerge w:val="continue"/>
            <w:tcBorders>
              <w:tl2br w:val="nil"/>
              <w:tr2bl w:val="nil"/>
            </w:tcBorders>
            <w:vAlign w:val="center"/>
          </w:tcPr>
          <w:p w14:paraId="25731345">
            <w:pPr>
              <w:pageBreakBefore w:val="0"/>
              <w:wordWrap/>
              <w:bidi w:val="0"/>
              <w:adjustRightInd/>
              <w:snapToGrid/>
              <w:spacing w:line="240" w:lineRule="auto"/>
              <w:ind w:firstLine="0" w:firstLineChars="0"/>
              <w:jc w:val="center"/>
              <w:rPr>
                <w:rFonts w:hint="eastAsia"/>
                <w:color w:val="auto"/>
                <w:sz w:val="21"/>
                <w:szCs w:val="21"/>
                <w:lang w:val="en-US" w:eastAsia="zh-CN"/>
              </w:rPr>
            </w:pPr>
          </w:p>
        </w:tc>
        <w:tc>
          <w:tcPr>
            <w:tcW w:w="624" w:type="pct"/>
            <w:tcBorders>
              <w:tl2br w:val="nil"/>
              <w:tr2bl w:val="nil"/>
            </w:tcBorders>
            <w:vAlign w:val="center"/>
          </w:tcPr>
          <w:p w14:paraId="1C0DCD1B">
            <w:pPr>
              <w:pStyle w:val="16"/>
              <w:pageBreakBefore w:val="0"/>
              <w:wordWrap/>
              <w:bidi w:val="0"/>
              <w:adjustRightInd/>
              <w:snapToGrid/>
              <w:ind w:left="0" w:leftChars="0" w:firstLine="0" w:firstLineChars="0"/>
              <w:rPr>
                <w:color w:val="auto"/>
                <w:sz w:val="21"/>
                <w:szCs w:val="21"/>
              </w:rPr>
            </w:pPr>
            <w:r>
              <w:rPr>
                <w:color w:val="auto"/>
                <w:sz w:val="21"/>
                <w:szCs w:val="21"/>
              </w:rPr>
              <w:t>轴流风机</w:t>
            </w:r>
          </w:p>
        </w:tc>
        <w:tc>
          <w:tcPr>
            <w:tcW w:w="286" w:type="pct"/>
            <w:tcBorders>
              <w:tl2br w:val="nil"/>
              <w:tr2bl w:val="nil"/>
            </w:tcBorders>
            <w:vAlign w:val="center"/>
          </w:tcPr>
          <w:p w14:paraId="09993D73">
            <w:pPr>
              <w:pStyle w:val="16"/>
              <w:pageBreakBefore w:val="0"/>
              <w:wordWrap/>
              <w:bidi w:val="0"/>
              <w:adjustRightInd/>
              <w:snapToGrid/>
              <w:ind w:left="0" w:leftChars="0" w:firstLine="0" w:firstLineChars="0"/>
              <w:rPr>
                <w:color w:val="auto"/>
                <w:sz w:val="21"/>
                <w:szCs w:val="21"/>
              </w:rPr>
            </w:pPr>
            <w:r>
              <w:rPr>
                <w:color w:val="auto"/>
                <w:sz w:val="21"/>
                <w:szCs w:val="21"/>
              </w:rPr>
              <w:t>7</w:t>
            </w:r>
          </w:p>
        </w:tc>
        <w:tc>
          <w:tcPr>
            <w:tcW w:w="372" w:type="pct"/>
            <w:tcBorders>
              <w:tl2br w:val="nil"/>
              <w:tr2bl w:val="nil"/>
            </w:tcBorders>
            <w:vAlign w:val="center"/>
          </w:tcPr>
          <w:p w14:paraId="20053D2F">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2B57B8BE">
            <w:pPr>
              <w:pStyle w:val="16"/>
              <w:pageBreakBefore w:val="0"/>
              <w:wordWrap/>
              <w:bidi w:val="0"/>
              <w:adjustRightInd/>
              <w:snapToGrid/>
              <w:rPr>
                <w:color w:val="auto"/>
                <w:sz w:val="21"/>
                <w:szCs w:val="21"/>
              </w:rPr>
            </w:pPr>
          </w:p>
        </w:tc>
        <w:tc>
          <w:tcPr>
            <w:tcW w:w="213" w:type="pct"/>
            <w:tcBorders>
              <w:tl2br w:val="nil"/>
              <w:tr2bl w:val="nil"/>
            </w:tcBorders>
            <w:vAlign w:val="center"/>
          </w:tcPr>
          <w:p w14:paraId="24303EAC">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92.4</w:t>
            </w:r>
          </w:p>
        </w:tc>
        <w:tc>
          <w:tcPr>
            <w:tcW w:w="212" w:type="pct"/>
            <w:tcBorders>
              <w:tl2br w:val="nil"/>
              <w:tr2bl w:val="nil"/>
            </w:tcBorders>
            <w:vAlign w:val="center"/>
          </w:tcPr>
          <w:p w14:paraId="22973D8D">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-46.6</w:t>
            </w:r>
          </w:p>
        </w:tc>
        <w:tc>
          <w:tcPr>
            <w:tcW w:w="215" w:type="pct"/>
            <w:tcBorders>
              <w:tl2br w:val="nil"/>
              <w:tr2bl w:val="nil"/>
            </w:tcBorders>
            <w:vAlign w:val="center"/>
          </w:tcPr>
          <w:p w14:paraId="26D81B6D">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52F89F16">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2D65DBA9">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263" w:type="pct"/>
            <w:vMerge w:val="continue"/>
            <w:tcBorders>
              <w:tl2br w:val="nil"/>
              <w:tr2bl w:val="nil"/>
            </w:tcBorders>
            <w:vAlign w:val="center"/>
          </w:tcPr>
          <w:p w14:paraId="27AE4450">
            <w:pPr>
              <w:pStyle w:val="16"/>
              <w:pageBreakBefore w:val="0"/>
              <w:wordWrap/>
              <w:bidi w:val="0"/>
              <w:adjustRightInd/>
              <w:snapToGrid/>
              <w:rPr>
                <w:color w:val="auto"/>
                <w:sz w:val="21"/>
                <w:szCs w:val="21"/>
              </w:rPr>
            </w:pPr>
          </w:p>
        </w:tc>
        <w:tc>
          <w:tcPr>
            <w:tcW w:w="464" w:type="pct"/>
            <w:tcBorders>
              <w:tl2br w:val="nil"/>
              <w:tr2bl w:val="nil"/>
            </w:tcBorders>
            <w:vAlign w:val="center"/>
          </w:tcPr>
          <w:p w14:paraId="3F6A4606">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62DF9B6A">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55930FC9">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4ED85C92">
            <w:pPr>
              <w:pStyle w:val="16"/>
              <w:pageBreakBefore w:val="0"/>
              <w:wordWrap/>
              <w:bidi w:val="0"/>
              <w:adjustRightInd/>
              <w:snapToGrid/>
              <w:rPr>
                <w:rFonts w:hint="eastAsia"/>
                <w:color w:val="auto"/>
                <w:sz w:val="21"/>
                <w:szCs w:val="21"/>
                <w:lang w:val="en-US" w:eastAsia="zh-CN"/>
              </w:rPr>
            </w:pPr>
          </w:p>
        </w:tc>
      </w:tr>
      <w:tr w14:paraId="2864E03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699583D4">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29</w:t>
            </w:r>
          </w:p>
        </w:tc>
        <w:tc>
          <w:tcPr>
            <w:tcW w:w="189" w:type="pct"/>
            <w:vMerge w:val="continue"/>
            <w:tcBorders>
              <w:tl2br w:val="nil"/>
              <w:tr2bl w:val="nil"/>
            </w:tcBorders>
            <w:vAlign w:val="center"/>
          </w:tcPr>
          <w:p w14:paraId="244B1BC7">
            <w:pPr>
              <w:pageBreakBefore w:val="0"/>
              <w:wordWrap/>
              <w:bidi w:val="0"/>
              <w:adjustRightInd/>
              <w:snapToGrid/>
              <w:spacing w:line="240" w:lineRule="auto"/>
              <w:ind w:firstLine="0" w:firstLineChars="0"/>
              <w:jc w:val="center"/>
              <w:rPr>
                <w:rFonts w:hint="eastAsia"/>
                <w:color w:val="auto"/>
                <w:sz w:val="21"/>
                <w:szCs w:val="21"/>
                <w:lang w:val="en-US" w:eastAsia="zh-CN"/>
              </w:rPr>
            </w:pPr>
          </w:p>
        </w:tc>
        <w:tc>
          <w:tcPr>
            <w:tcW w:w="624" w:type="pct"/>
            <w:tcBorders>
              <w:tl2br w:val="nil"/>
              <w:tr2bl w:val="nil"/>
            </w:tcBorders>
            <w:vAlign w:val="center"/>
          </w:tcPr>
          <w:p w14:paraId="4B891235">
            <w:pPr>
              <w:pStyle w:val="16"/>
              <w:pageBreakBefore w:val="0"/>
              <w:wordWrap/>
              <w:bidi w:val="0"/>
              <w:adjustRightInd/>
              <w:snapToGrid/>
              <w:ind w:left="0" w:leftChars="0" w:firstLine="0" w:firstLineChars="0"/>
              <w:rPr>
                <w:color w:val="auto"/>
                <w:sz w:val="21"/>
                <w:szCs w:val="21"/>
              </w:rPr>
            </w:pPr>
            <w:r>
              <w:rPr>
                <w:color w:val="auto"/>
                <w:sz w:val="21"/>
                <w:szCs w:val="21"/>
              </w:rPr>
              <w:t>电动单梁悬挂式起重机</w:t>
            </w:r>
          </w:p>
        </w:tc>
        <w:tc>
          <w:tcPr>
            <w:tcW w:w="286" w:type="pct"/>
            <w:tcBorders>
              <w:tl2br w:val="nil"/>
              <w:tr2bl w:val="nil"/>
            </w:tcBorders>
            <w:vAlign w:val="center"/>
          </w:tcPr>
          <w:p w14:paraId="284F47CF">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372" w:type="pct"/>
            <w:tcBorders>
              <w:tl2br w:val="nil"/>
              <w:tr2bl w:val="nil"/>
            </w:tcBorders>
            <w:vAlign w:val="center"/>
          </w:tcPr>
          <w:p w14:paraId="1C7CC42A">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75</w:t>
            </w:r>
          </w:p>
        </w:tc>
        <w:tc>
          <w:tcPr>
            <w:tcW w:w="372" w:type="pct"/>
            <w:vMerge w:val="continue"/>
            <w:tcBorders>
              <w:tl2br w:val="nil"/>
              <w:tr2bl w:val="nil"/>
            </w:tcBorders>
            <w:vAlign w:val="center"/>
          </w:tcPr>
          <w:p w14:paraId="31102E76">
            <w:pPr>
              <w:pStyle w:val="16"/>
              <w:pageBreakBefore w:val="0"/>
              <w:wordWrap/>
              <w:bidi w:val="0"/>
              <w:adjustRightInd/>
              <w:snapToGrid/>
              <w:rPr>
                <w:color w:val="auto"/>
                <w:sz w:val="21"/>
                <w:szCs w:val="21"/>
              </w:rPr>
            </w:pPr>
          </w:p>
        </w:tc>
        <w:tc>
          <w:tcPr>
            <w:tcW w:w="213" w:type="pct"/>
            <w:tcBorders>
              <w:tl2br w:val="nil"/>
              <w:tr2bl w:val="nil"/>
            </w:tcBorders>
            <w:vAlign w:val="center"/>
          </w:tcPr>
          <w:p w14:paraId="1CD87145">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105.6</w:t>
            </w:r>
          </w:p>
        </w:tc>
        <w:tc>
          <w:tcPr>
            <w:tcW w:w="212" w:type="pct"/>
            <w:tcBorders>
              <w:tl2br w:val="nil"/>
              <w:tr2bl w:val="nil"/>
            </w:tcBorders>
            <w:vAlign w:val="center"/>
          </w:tcPr>
          <w:p w14:paraId="46984242">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-49.4</w:t>
            </w:r>
          </w:p>
        </w:tc>
        <w:tc>
          <w:tcPr>
            <w:tcW w:w="215" w:type="pct"/>
            <w:tcBorders>
              <w:tl2br w:val="nil"/>
              <w:tr2bl w:val="nil"/>
            </w:tcBorders>
            <w:vAlign w:val="center"/>
          </w:tcPr>
          <w:p w14:paraId="2A0B4EB7">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04B1B5C0">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5A287859">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75</w:t>
            </w:r>
          </w:p>
        </w:tc>
        <w:tc>
          <w:tcPr>
            <w:tcW w:w="263" w:type="pct"/>
            <w:vMerge w:val="continue"/>
            <w:tcBorders>
              <w:tl2br w:val="nil"/>
              <w:tr2bl w:val="nil"/>
            </w:tcBorders>
            <w:vAlign w:val="center"/>
          </w:tcPr>
          <w:p w14:paraId="0D4E76D6">
            <w:pPr>
              <w:pStyle w:val="16"/>
              <w:pageBreakBefore w:val="0"/>
              <w:wordWrap/>
              <w:bidi w:val="0"/>
              <w:adjustRightInd/>
              <w:snapToGrid/>
              <w:rPr>
                <w:color w:val="auto"/>
                <w:sz w:val="21"/>
                <w:szCs w:val="21"/>
              </w:rPr>
            </w:pPr>
          </w:p>
        </w:tc>
        <w:tc>
          <w:tcPr>
            <w:tcW w:w="464" w:type="pct"/>
            <w:tcBorders>
              <w:tl2br w:val="nil"/>
              <w:tr2bl w:val="nil"/>
            </w:tcBorders>
            <w:vAlign w:val="center"/>
          </w:tcPr>
          <w:p w14:paraId="3A6684F7">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55D32241">
            <w:pPr>
              <w:pStyle w:val="16"/>
              <w:bidi w:val="0"/>
              <w:rPr>
                <w:rFonts w:hint="default"/>
                <w:color w:val="auto"/>
                <w:lang w:val="en-US" w:eastAsia="zh-CN"/>
              </w:rPr>
            </w:pPr>
            <w:r>
              <w:rPr>
                <w:rFonts w:hint="default"/>
                <w:color w:val="auto"/>
                <w:lang w:val="en-US" w:eastAsia="zh-CN"/>
              </w:rPr>
              <w:t>30.2</w:t>
            </w:r>
          </w:p>
        </w:tc>
        <w:tc>
          <w:tcPr>
            <w:tcW w:w="285" w:type="pct"/>
            <w:tcBorders>
              <w:tl2br w:val="nil"/>
              <w:tr2bl w:val="nil"/>
            </w:tcBorders>
            <w:vAlign w:val="center"/>
          </w:tcPr>
          <w:p w14:paraId="089F3F7D">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281" w:type="pct"/>
            <w:vMerge w:val="continue"/>
            <w:tcBorders>
              <w:tl2br w:val="nil"/>
              <w:tr2bl w:val="nil"/>
            </w:tcBorders>
            <w:vAlign w:val="center"/>
          </w:tcPr>
          <w:p w14:paraId="6BCBA169">
            <w:pPr>
              <w:pStyle w:val="16"/>
              <w:pageBreakBefore w:val="0"/>
              <w:wordWrap/>
              <w:bidi w:val="0"/>
              <w:adjustRightInd/>
              <w:snapToGrid/>
              <w:rPr>
                <w:rFonts w:hint="eastAsia"/>
                <w:color w:val="auto"/>
                <w:sz w:val="21"/>
                <w:szCs w:val="21"/>
                <w:lang w:val="en-US" w:eastAsia="zh-CN"/>
              </w:rPr>
            </w:pPr>
          </w:p>
        </w:tc>
      </w:tr>
      <w:tr w14:paraId="30F1523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2E34B20B">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30</w:t>
            </w:r>
          </w:p>
        </w:tc>
        <w:tc>
          <w:tcPr>
            <w:tcW w:w="189" w:type="pct"/>
            <w:vMerge w:val="continue"/>
            <w:tcBorders>
              <w:tl2br w:val="nil"/>
              <w:tr2bl w:val="nil"/>
            </w:tcBorders>
            <w:vAlign w:val="center"/>
          </w:tcPr>
          <w:p w14:paraId="7C1E83E2">
            <w:pPr>
              <w:pageBreakBefore w:val="0"/>
              <w:wordWrap/>
              <w:bidi w:val="0"/>
              <w:adjustRightInd/>
              <w:snapToGrid/>
              <w:spacing w:line="240" w:lineRule="auto"/>
              <w:ind w:firstLine="0" w:firstLineChars="0"/>
              <w:jc w:val="center"/>
              <w:rPr>
                <w:rFonts w:hint="eastAsia"/>
                <w:color w:val="auto"/>
                <w:sz w:val="21"/>
                <w:szCs w:val="21"/>
                <w:lang w:val="en-US" w:eastAsia="zh-CN"/>
              </w:rPr>
            </w:pPr>
          </w:p>
        </w:tc>
        <w:tc>
          <w:tcPr>
            <w:tcW w:w="624" w:type="pct"/>
            <w:tcBorders>
              <w:tl2br w:val="nil"/>
              <w:tr2bl w:val="nil"/>
            </w:tcBorders>
            <w:vAlign w:val="center"/>
          </w:tcPr>
          <w:p w14:paraId="06375A1E">
            <w:pPr>
              <w:pStyle w:val="16"/>
              <w:pageBreakBefore w:val="0"/>
              <w:wordWrap/>
              <w:bidi w:val="0"/>
              <w:adjustRightInd/>
              <w:snapToGrid/>
              <w:ind w:left="0" w:leftChars="0" w:firstLine="0" w:firstLineChars="0"/>
              <w:rPr>
                <w:color w:val="auto"/>
                <w:sz w:val="21"/>
                <w:szCs w:val="21"/>
              </w:rPr>
            </w:pPr>
            <w:r>
              <w:rPr>
                <w:color w:val="auto"/>
                <w:sz w:val="21"/>
                <w:szCs w:val="21"/>
              </w:rPr>
              <w:t>潜水搅拌机</w:t>
            </w:r>
          </w:p>
        </w:tc>
        <w:tc>
          <w:tcPr>
            <w:tcW w:w="286" w:type="pct"/>
            <w:tcBorders>
              <w:tl2br w:val="nil"/>
              <w:tr2bl w:val="nil"/>
            </w:tcBorders>
            <w:vAlign w:val="center"/>
          </w:tcPr>
          <w:p w14:paraId="464341F6">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372" w:type="pct"/>
            <w:tcBorders>
              <w:tl2br w:val="nil"/>
              <w:tr2bl w:val="nil"/>
            </w:tcBorders>
            <w:vAlign w:val="center"/>
          </w:tcPr>
          <w:p w14:paraId="1484C73D">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0E701D56">
            <w:pPr>
              <w:pStyle w:val="16"/>
              <w:pageBreakBefore w:val="0"/>
              <w:wordWrap/>
              <w:bidi w:val="0"/>
              <w:adjustRightInd/>
              <w:snapToGrid/>
              <w:rPr>
                <w:color w:val="auto"/>
                <w:sz w:val="21"/>
                <w:szCs w:val="21"/>
              </w:rPr>
            </w:pPr>
          </w:p>
        </w:tc>
        <w:tc>
          <w:tcPr>
            <w:tcW w:w="213" w:type="pct"/>
            <w:tcBorders>
              <w:tl2br w:val="nil"/>
              <w:tr2bl w:val="nil"/>
            </w:tcBorders>
            <w:vAlign w:val="center"/>
          </w:tcPr>
          <w:p w14:paraId="3508F63C">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105.6</w:t>
            </w:r>
          </w:p>
        </w:tc>
        <w:tc>
          <w:tcPr>
            <w:tcW w:w="212" w:type="pct"/>
            <w:tcBorders>
              <w:tl2br w:val="nil"/>
              <w:tr2bl w:val="nil"/>
            </w:tcBorders>
            <w:vAlign w:val="center"/>
          </w:tcPr>
          <w:p w14:paraId="3F9BA927">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-49.4</w:t>
            </w:r>
          </w:p>
        </w:tc>
        <w:tc>
          <w:tcPr>
            <w:tcW w:w="215" w:type="pct"/>
            <w:tcBorders>
              <w:tl2br w:val="nil"/>
              <w:tr2bl w:val="nil"/>
            </w:tcBorders>
            <w:vAlign w:val="center"/>
          </w:tcPr>
          <w:p w14:paraId="141B2B1C">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w:t>
            </w:r>
          </w:p>
        </w:tc>
        <w:tc>
          <w:tcPr>
            <w:tcW w:w="336" w:type="pct"/>
            <w:tcBorders>
              <w:tl2br w:val="nil"/>
              <w:tr2bl w:val="nil"/>
            </w:tcBorders>
            <w:vAlign w:val="center"/>
          </w:tcPr>
          <w:p w14:paraId="4ACF8C3E">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2BCDA3FE">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263" w:type="pct"/>
            <w:vMerge w:val="continue"/>
            <w:tcBorders>
              <w:tl2br w:val="nil"/>
              <w:tr2bl w:val="nil"/>
            </w:tcBorders>
            <w:vAlign w:val="center"/>
          </w:tcPr>
          <w:p w14:paraId="5A8C6804">
            <w:pPr>
              <w:pStyle w:val="16"/>
              <w:pageBreakBefore w:val="0"/>
              <w:wordWrap/>
              <w:bidi w:val="0"/>
              <w:adjustRightInd/>
              <w:snapToGrid/>
              <w:rPr>
                <w:color w:val="auto"/>
                <w:sz w:val="21"/>
                <w:szCs w:val="21"/>
              </w:rPr>
            </w:pPr>
          </w:p>
        </w:tc>
        <w:tc>
          <w:tcPr>
            <w:tcW w:w="464" w:type="pct"/>
            <w:tcBorders>
              <w:tl2br w:val="nil"/>
              <w:tr2bl w:val="nil"/>
            </w:tcBorders>
            <w:vAlign w:val="center"/>
          </w:tcPr>
          <w:p w14:paraId="55EA4D89">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0FD75737">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20F53C8A">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4C6A04D8">
            <w:pPr>
              <w:pStyle w:val="16"/>
              <w:pageBreakBefore w:val="0"/>
              <w:wordWrap/>
              <w:bidi w:val="0"/>
              <w:adjustRightInd/>
              <w:snapToGrid/>
              <w:rPr>
                <w:rFonts w:hint="eastAsia"/>
                <w:color w:val="auto"/>
                <w:sz w:val="21"/>
                <w:szCs w:val="21"/>
                <w:lang w:val="en-US" w:eastAsia="zh-CN"/>
              </w:rPr>
            </w:pPr>
          </w:p>
        </w:tc>
      </w:tr>
      <w:tr w14:paraId="5D5AB3F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251C9DF5">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s="Times New Roman"/>
                <w:color w:val="auto"/>
                <w:kern w:val="2"/>
                <w:sz w:val="21"/>
                <w:szCs w:val="21"/>
                <w:lang w:val="en-US" w:eastAsia="zh-CN" w:bidi="ar-SA"/>
              </w:rPr>
              <w:t>31</w:t>
            </w:r>
          </w:p>
        </w:tc>
        <w:tc>
          <w:tcPr>
            <w:tcW w:w="189" w:type="pct"/>
            <w:vMerge w:val="continue"/>
            <w:tcBorders>
              <w:tl2br w:val="nil"/>
              <w:tr2bl w:val="nil"/>
            </w:tcBorders>
            <w:vAlign w:val="center"/>
          </w:tcPr>
          <w:p w14:paraId="5DEB362F">
            <w:pPr>
              <w:pageBreakBefore w:val="0"/>
              <w:wordWrap/>
              <w:bidi w:val="0"/>
              <w:adjustRightInd/>
              <w:snapToGrid/>
              <w:spacing w:line="240" w:lineRule="auto"/>
              <w:ind w:firstLine="0" w:firstLineChars="0"/>
              <w:jc w:val="center"/>
              <w:rPr>
                <w:rFonts w:hint="eastAsia"/>
                <w:color w:val="auto"/>
                <w:sz w:val="21"/>
                <w:szCs w:val="21"/>
                <w:lang w:val="en-US" w:eastAsia="zh-CN"/>
              </w:rPr>
            </w:pPr>
          </w:p>
        </w:tc>
        <w:tc>
          <w:tcPr>
            <w:tcW w:w="624" w:type="pct"/>
            <w:tcBorders>
              <w:tl2br w:val="nil"/>
              <w:tr2bl w:val="nil"/>
            </w:tcBorders>
            <w:vAlign w:val="center"/>
          </w:tcPr>
          <w:p w14:paraId="0AF59C74">
            <w:pPr>
              <w:pStyle w:val="16"/>
              <w:pageBreakBefore w:val="0"/>
              <w:wordWrap/>
              <w:bidi w:val="0"/>
              <w:adjustRightInd/>
              <w:snapToGrid/>
              <w:ind w:left="0" w:leftChars="0" w:firstLine="0" w:firstLineChars="0"/>
              <w:rPr>
                <w:color w:val="auto"/>
                <w:sz w:val="21"/>
                <w:szCs w:val="21"/>
              </w:rPr>
            </w:pPr>
            <w:r>
              <w:rPr>
                <w:color w:val="auto"/>
                <w:sz w:val="21"/>
                <w:szCs w:val="21"/>
              </w:rPr>
              <w:t>提升泵</w:t>
            </w:r>
          </w:p>
        </w:tc>
        <w:tc>
          <w:tcPr>
            <w:tcW w:w="286" w:type="pct"/>
            <w:tcBorders>
              <w:tl2br w:val="nil"/>
              <w:tr2bl w:val="nil"/>
            </w:tcBorders>
            <w:vAlign w:val="center"/>
          </w:tcPr>
          <w:p w14:paraId="0B4D572D">
            <w:pPr>
              <w:pStyle w:val="16"/>
              <w:pageBreakBefore w:val="0"/>
              <w:wordWrap/>
              <w:bidi w:val="0"/>
              <w:adjustRightInd/>
              <w:snapToGrid/>
              <w:ind w:left="0" w:leftChars="0" w:firstLine="0" w:firstLineChars="0"/>
              <w:rPr>
                <w:color w:val="auto"/>
                <w:sz w:val="21"/>
                <w:szCs w:val="21"/>
              </w:rPr>
            </w:pPr>
            <w:r>
              <w:rPr>
                <w:rFonts w:hint="eastAsia"/>
                <w:color w:val="auto"/>
                <w:sz w:val="21"/>
                <w:szCs w:val="21"/>
                <w:lang w:eastAsia="zh-CN"/>
              </w:rPr>
              <w:t>1</w:t>
            </w:r>
            <w:r>
              <w:rPr>
                <w:color w:val="auto"/>
                <w:sz w:val="21"/>
                <w:szCs w:val="21"/>
              </w:rPr>
              <w:t>用</w:t>
            </w:r>
            <w:r>
              <w:rPr>
                <w:rFonts w:hint="eastAsia"/>
                <w:color w:val="auto"/>
                <w:sz w:val="21"/>
                <w:szCs w:val="21"/>
                <w:lang w:eastAsia="zh-CN"/>
              </w:rPr>
              <w:t>1</w:t>
            </w:r>
            <w:r>
              <w:rPr>
                <w:color w:val="auto"/>
                <w:sz w:val="21"/>
                <w:szCs w:val="21"/>
              </w:rPr>
              <w:t>备</w:t>
            </w:r>
          </w:p>
        </w:tc>
        <w:tc>
          <w:tcPr>
            <w:tcW w:w="372" w:type="pct"/>
            <w:tcBorders>
              <w:tl2br w:val="nil"/>
              <w:tr2bl w:val="nil"/>
            </w:tcBorders>
            <w:vAlign w:val="center"/>
          </w:tcPr>
          <w:p w14:paraId="29A3ED50">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2068D631">
            <w:pPr>
              <w:pStyle w:val="16"/>
              <w:pageBreakBefore w:val="0"/>
              <w:wordWrap/>
              <w:bidi w:val="0"/>
              <w:adjustRightInd/>
              <w:snapToGrid/>
              <w:rPr>
                <w:color w:val="auto"/>
                <w:sz w:val="21"/>
                <w:szCs w:val="21"/>
              </w:rPr>
            </w:pPr>
          </w:p>
        </w:tc>
        <w:tc>
          <w:tcPr>
            <w:tcW w:w="213" w:type="pct"/>
            <w:tcBorders>
              <w:tl2br w:val="nil"/>
              <w:tr2bl w:val="nil"/>
            </w:tcBorders>
            <w:vAlign w:val="center"/>
          </w:tcPr>
          <w:p w14:paraId="77460B1B">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92.4</w:t>
            </w:r>
          </w:p>
        </w:tc>
        <w:tc>
          <w:tcPr>
            <w:tcW w:w="212" w:type="pct"/>
            <w:tcBorders>
              <w:tl2br w:val="nil"/>
              <w:tr2bl w:val="nil"/>
            </w:tcBorders>
            <w:vAlign w:val="center"/>
          </w:tcPr>
          <w:p w14:paraId="6FCE2704">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-46.6</w:t>
            </w:r>
          </w:p>
        </w:tc>
        <w:tc>
          <w:tcPr>
            <w:tcW w:w="215" w:type="pct"/>
            <w:tcBorders>
              <w:tl2br w:val="nil"/>
              <w:tr2bl w:val="nil"/>
            </w:tcBorders>
            <w:vAlign w:val="center"/>
          </w:tcPr>
          <w:p w14:paraId="6ED99A8A">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w:t>
            </w:r>
          </w:p>
        </w:tc>
        <w:tc>
          <w:tcPr>
            <w:tcW w:w="336" w:type="pct"/>
            <w:tcBorders>
              <w:tl2br w:val="nil"/>
              <w:tr2bl w:val="nil"/>
            </w:tcBorders>
            <w:vAlign w:val="center"/>
          </w:tcPr>
          <w:p w14:paraId="32237A19">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584A8355">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263" w:type="pct"/>
            <w:vMerge w:val="continue"/>
            <w:tcBorders>
              <w:tl2br w:val="nil"/>
              <w:tr2bl w:val="nil"/>
            </w:tcBorders>
            <w:vAlign w:val="center"/>
          </w:tcPr>
          <w:p w14:paraId="4B4C9830">
            <w:pPr>
              <w:pStyle w:val="16"/>
              <w:pageBreakBefore w:val="0"/>
              <w:wordWrap/>
              <w:bidi w:val="0"/>
              <w:adjustRightInd/>
              <w:snapToGrid/>
              <w:rPr>
                <w:color w:val="auto"/>
                <w:sz w:val="21"/>
                <w:szCs w:val="21"/>
              </w:rPr>
            </w:pPr>
          </w:p>
        </w:tc>
        <w:tc>
          <w:tcPr>
            <w:tcW w:w="464" w:type="pct"/>
            <w:tcBorders>
              <w:tl2br w:val="nil"/>
              <w:tr2bl w:val="nil"/>
            </w:tcBorders>
            <w:vAlign w:val="center"/>
          </w:tcPr>
          <w:p w14:paraId="30A09153">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3A7A0DE5">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7E6DD5A4">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4368709A">
            <w:pPr>
              <w:pStyle w:val="16"/>
              <w:pageBreakBefore w:val="0"/>
              <w:wordWrap/>
              <w:bidi w:val="0"/>
              <w:adjustRightInd/>
              <w:snapToGrid/>
              <w:rPr>
                <w:rFonts w:hint="eastAsia"/>
                <w:color w:val="auto"/>
                <w:sz w:val="21"/>
                <w:szCs w:val="21"/>
                <w:lang w:val="en-US" w:eastAsia="zh-CN"/>
              </w:rPr>
            </w:pPr>
          </w:p>
        </w:tc>
      </w:tr>
      <w:tr w14:paraId="187DF17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4B4BDC1D">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32</w:t>
            </w:r>
          </w:p>
        </w:tc>
        <w:tc>
          <w:tcPr>
            <w:tcW w:w="189" w:type="pct"/>
            <w:tcBorders>
              <w:tl2br w:val="nil"/>
              <w:tr2bl w:val="nil"/>
            </w:tcBorders>
            <w:vAlign w:val="center"/>
          </w:tcPr>
          <w:p w14:paraId="4280835D">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b w:val="0"/>
                <w:bCs w:val="0"/>
                <w:color w:val="auto"/>
                <w:sz w:val="21"/>
                <w:szCs w:val="21"/>
                <w:lang w:eastAsia="zh-CN"/>
              </w:rPr>
              <w:t>污泥池</w:t>
            </w:r>
          </w:p>
        </w:tc>
        <w:tc>
          <w:tcPr>
            <w:tcW w:w="624" w:type="pct"/>
            <w:tcBorders>
              <w:tl2br w:val="nil"/>
              <w:tr2bl w:val="nil"/>
            </w:tcBorders>
            <w:vAlign w:val="center"/>
          </w:tcPr>
          <w:p w14:paraId="2DBB2177">
            <w:pPr>
              <w:pStyle w:val="16"/>
              <w:pageBreakBefore w:val="0"/>
              <w:wordWrap/>
              <w:bidi w:val="0"/>
              <w:adjustRightInd/>
              <w:snapToGrid/>
              <w:ind w:left="0" w:leftChars="0" w:firstLine="0" w:firstLineChars="0"/>
              <w:rPr>
                <w:color w:val="auto"/>
                <w:sz w:val="21"/>
                <w:szCs w:val="21"/>
              </w:rPr>
            </w:pPr>
            <w:r>
              <w:rPr>
                <w:color w:val="auto"/>
                <w:sz w:val="21"/>
                <w:szCs w:val="21"/>
              </w:rPr>
              <w:t>浓缩脱水系统加药泵</w:t>
            </w:r>
          </w:p>
        </w:tc>
        <w:tc>
          <w:tcPr>
            <w:tcW w:w="286" w:type="pct"/>
            <w:tcBorders>
              <w:tl2br w:val="nil"/>
              <w:tr2bl w:val="nil"/>
            </w:tcBorders>
            <w:vAlign w:val="center"/>
          </w:tcPr>
          <w:p w14:paraId="11EE35FE">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2</w:t>
            </w:r>
          </w:p>
        </w:tc>
        <w:tc>
          <w:tcPr>
            <w:tcW w:w="372" w:type="pct"/>
            <w:tcBorders>
              <w:tl2br w:val="nil"/>
              <w:tr2bl w:val="nil"/>
            </w:tcBorders>
            <w:vAlign w:val="center"/>
          </w:tcPr>
          <w:p w14:paraId="61017A5E">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75</w:t>
            </w:r>
          </w:p>
        </w:tc>
        <w:tc>
          <w:tcPr>
            <w:tcW w:w="372" w:type="pct"/>
            <w:vMerge w:val="continue"/>
            <w:tcBorders>
              <w:tl2br w:val="nil"/>
              <w:tr2bl w:val="nil"/>
            </w:tcBorders>
            <w:vAlign w:val="center"/>
          </w:tcPr>
          <w:p w14:paraId="3F78F55E">
            <w:pPr>
              <w:pStyle w:val="16"/>
              <w:pageBreakBefore w:val="0"/>
              <w:wordWrap/>
              <w:bidi w:val="0"/>
              <w:adjustRightInd/>
              <w:snapToGrid/>
              <w:rPr>
                <w:color w:val="auto"/>
                <w:sz w:val="21"/>
                <w:szCs w:val="21"/>
              </w:rPr>
            </w:pPr>
          </w:p>
        </w:tc>
        <w:tc>
          <w:tcPr>
            <w:tcW w:w="213" w:type="pct"/>
            <w:tcBorders>
              <w:tl2br w:val="nil"/>
              <w:tr2bl w:val="nil"/>
            </w:tcBorders>
            <w:vAlign w:val="center"/>
          </w:tcPr>
          <w:p w14:paraId="7859E0B3">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118.9</w:t>
            </w:r>
          </w:p>
        </w:tc>
        <w:tc>
          <w:tcPr>
            <w:tcW w:w="212" w:type="pct"/>
            <w:tcBorders>
              <w:tl2br w:val="nil"/>
              <w:tr2bl w:val="nil"/>
            </w:tcBorders>
            <w:vAlign w:val="center"/>
          </w:tcPr>
          <w:p w14:paraId="3BE59CB0">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39</w:t>
            </w:r>
          </w:p>
        </w:tc>
        <w:tc>
          <w:tcPr>
            <w:tcW w:w="215" w:type="pct"/>
            <w:tcBorders>
              <w:tl2br w:val="nil"/>
              <w:tr2bl w:val="nil"/>
            </w:tcBorders>
            <w:vAlign w:val="center"/>
          </w:tcPr>
          <w:p w14:paraId="4F3F612E">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-5</w:t>
            </w:r>
          </w:p>
        </w:tc>
        <w:tc>
          <w:tcPr>
            <w:tcW w:w="336" w:type="pct"/>
            <w:tcBorders>
              <w:tl2br w:val="nil"/>
              <w:tr2bl w:val="nil"/>
            </w:tcBorders>
            <w:vAlign w:val="center"/>
          </w:tcPr>
          <w:p w14:paraId="6F0A4D91">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7EBE77ED">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75</w:t>
            </w:r>
          </w:p>
        </w:tc>
        <w:tc>
          <w:tcPr>
            <w:tcW w:w="263" w:type="pct"/>
            <w:vMerge w:val="continue"/>
            <w:tcBorders>
              <w:tl2br w:val="nil"/>
              <w:tr2bl w:val="nil"/>
            </w:tcBorders>
            <w:vAlign w:val="center"/>
          </w:tcPr>
          <w:p w14:paraId="5ACE3413">
            <w:pPr>
              <w:pStyle w:val="16"/>
              <w:pageBreakBefore w:val="0"/>
              <w:wordWrap/>
              <w:bidi w:val="0"/>
              <w:adjustRightInd/>
              <w:snapToGrid/>
              <w:rPr>
                <w:color w:val="auto"/>
                <w:sz w:val="21"/>
                <w:szCs w:val="21"/>
              </w:rPr>
            </w:pPr>
          </w:p>
        </w:tc>
        <w:tc>
          <w:tcPr>
            <w:tcW w:w="464" w:type="pct"/>
            <w:tcBorders>
              <w:tl2br w:val="nil"/>
              <w:tr2bl w:val="nil"/>
            </w:tcBorders>
            <w:vAlign w:val="center"/>
          </w:tcPr>
          <w:p w14:paraId="44035452">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57564EB2">
            <w:pPr>
              <w:pStyle w:val="16"/>
              <w:bidi w:val="0"/>
              <w:rPr>
                <w:rFonts w:hint="default"/>
                <w:color w:val="auto"/>
                <w:lang w:val="en-US" w:eastAsia="zh-CN"/>
              </w:rPr>
            </w:pPr>
            <w:r>
              <w:rPr>
                <w:rFonts w:hint="default"/>
                <w:color w:val="auto"/>
                <w:lang w:val="en-US" w:eastAsia="zh-CN"/>
              </w:rPr>
              <w:t>30.2</w:t>
            </w:r>
          </w:p>
        </w:tc>
        <w:tc>
          <w:tcPr>
            <w:tcW w:w="285" w:type="pct"/>
            <w:tcBorders>
              <w:tl2br w:val="nil"/>
              <w:tr2bl w:val="nil"/>
            </w:tcBorders>
            <w:vAlign w:val="center"/>
          </w:tcPr>
          <w:p w14:paraId="36B21E99">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137818DD">
            <w:pPr>
              <w:pStyle w:val="16"/>
              <w:pageBreakBefore w:val="0"/>
              <w:wordWrap/>
              <w:bidi w:val="0"/>
              <w:adjustRightInd/>
              <w:snapToGrid/>
              <w:rPr>
                <w:rFonts w:hint="eastAsia"/>
                <w:color w:val="auto"/>
                <w:sz w:val="21"/>
                <w:szCs w:val="21"/>
                <w:lang w:val="en-US" w:eastAsia="zh-CN"/>
              </w:rPr>
            </w:pPr>
          </w:p>
        </w:tc>
      </w:tr>
      <w:tr w14:paraId="718F1EC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4D2E083">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33</w:t>
            </w:r>
          </w:p>
        </w:tc>
        <w:tc>
          <w:tcPr>
            <w:tcW w:w="189" w:type="pct"/>
            <w:vMerge w:val="restart"/>
            <w:tcBorders>
              <w:tl2br w:val="nil"/>
              <w:tr2bl w:val="nil"/>
            </w:tcBorders>
            <w:vAlign w:val="center"/>
          </w:tcPr>
          <w:p w14:paraId="28E4C749">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除臭系统</w:t>
            </w:r>
          </w:p>
        </w:tc>
        <w:tc>
          <w:tcPr>
            <w:tcW w:w="624" w:type="pct"/>
            <w:tcBorders>
              <w:tl2br w:val="nil"/>
              <w:tr2bl w:val="nil"/>
            </w:tcBorders>
            <w:vAlign w:val="center"/>
          </w:tcPr>
          <w:p w14:paraId="205D61C3">
            <w:pPr>
              <w:pStyle w:val="16"/>
              <w:pageBreakBefore w:val="0"/>
              <w:wordWrap/>
              <w:bidi w:val="0"/>
              <w:adjustRightInd/>
              <w:snapToGrid/>
              <w:ind w:left="0" w:leftChars="0" w:firstLine="0" w:firstLineChars="0"/>
              <w:rPr>
                <w:color w:val="auto"/>
                <w:sz w:val="21"/>
                <w:szCs w:val="21"/>
              </w:rPr>
            </w:pPr>
            <w:r>
              <w:rPr>
                <w:color w:val="auto"/>
                <w:sz w:val="21"/>
                <w:szCs w:val="21"/>
              </w:rPr>
              <w:t>酸液洗涤塔</w:t>
            </w:r>
          </w:p>
        </w:tc>
        <w:tc>
          <w:tcPr>
            <w:tcW w:w="286" w:type="pct"/>
            <w:tcBorders>
              <w:tl2br w:val="nil"/>
              <w:tr2bl w:val="nil"/>
            </w:tcBorders>
            <w:vAlign w:val="center"/>
          </w:tcPr>
          <w:p w14:paraId="767AD995">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2</w:t>
            </w:r>
          </w:p>
        </w:tc>
        <w:tc>
          <w:tcPr>
            <w:tcW w:w="372" w:type="pct"/>
            <w:tcBorders>
              <w:tl2br w:val="nil"/>
              <w:tr2bl w:val="nil"/>
            </w:tcBorders>
            <w:vAlign w:val="center"/>
          </w:tcPr>
          <w:p w14:paraId="61A54B66">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75</w:t>
            </w:r>
          </w:p>
        </w:tc>
        <w:tc>
          <w:tcPr>
            <w:tcW w:w="372" w:type="pct"/>
            <w:vMerge w:val="continue"/>
            <w:tcBorders>
              <w:tl2br w:val="nil"/>
              <w:tr2bl w:val="nil"/>
            </w:tcBorders>
            <w:vAlign w:val="center"/>
          </w:tcPr>
          <w:p w14:paraId="1ED54E66">
            <w:pPr>
              <w:pStyle w:val="16"/>
              <w:pageBreakBefore w:val="0"/>
              <w:wordWrap/>
              <w:bidi w:val="0"/>
              <w:adjustRightInd/>
              <w:snapToGrid/>
              <w:rPr>
                <w:color w:val="auto"/>
                <w:sz w:val="21"/>
                <w:szCs w:val="21"/>
              </w:rPr>
            </w:pPr>
          </w:p>
        </w:tc>
        <w:tc>
          <w:tcPr>
            <w:tcW w:w="213" w:type="pct"/>
            <w:tcBorders>
              <w:tl2br w:val="nil"/>
              <w:tr2bl w:val="nil"/>
            </w:tcBorders>
            <w:vAlign w:val="center"/>
          </w:tcPr>
          <w:p w14:paraId="2A8C2793">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49</w:t>
            </w:r>
          </w:p>
        </w:tc>
        <w:tc>
          <w:tcPr>
            <w:tcW w:w="212" w:type="pct"/>
            <w:tcBorders>
              <w:tl2br w:val="nil"/>
              <w:tr2bl w:val="nil"/>
            </w:tcBorders>
            <w:vAlign w:val="center"/>
          </w:tcPr>
          <w:p w14:paraId="3825BD57">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37</w:t>
            </w:r>
          </w:p>
        </w:tc>
        <w:tc>
          <w:tcPr>
            <w:tcW w:w="215" w:type="pct"/>
            <w:tcBorders>
              <w:tl2br w:val="nil"/>
              <w:tr2bl w:val="nil"/>
            </w:tcBorders>
            <w:vAlign w:val="center"/>
          </w:tcPr>
          <w:p w14:paraId="04830321">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7D4E0120">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23639FF3">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75</w:t>
            </w:r>
          </w:p>
        </w:tc>
        <w:tc>
          <w:tcPr>
            <w:tcW w:w="263" w:type="pct"/>
            <w:vMerge w:val="continue"/>
            <w:tcBorders>
              <w:tl2br w:val="nil"/>
              <w:tr2bl w:val="nil"/>
            </w:tcBorders>
            <w:vAlign w:val="center"/>
          </w:tcPr>
          <w:p w14:paraId="587D49A4">
            <w:pPr>
              <w:pStyle w:val="16"/>
              <w:pageBreakBefore w:val="0"/>
              <w:wordWrap/>
              <w:bidi w:val="0"/>
              <w:adjustRightInd/>
              <w:snapToGrid/>
              <w:rPr>
                <w:color w:val="auto"/>
                <w:sz w:val="21"/>
                <w:szCs w:val="21"/>
              </w:rPr>
            </w:pPr>
          </w:p>
        </w:tc>
        <w:tc>
          <w:tcPr>
            <w:tcW w:w="464" w:type="pct"/>
            <w:tcBorders>
              <w:tl2br w:val="nil"/>
              <w:tr2bl w:val="nil"/>
            </w:tcBorders>
            <w:vAlign w:val="center"/>
          </w:tcPr>
          <w:p w14:paraId="467F2C8B">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7815DA3B">
            <w:pPr>
              <w:pStyle w:val="16"/>
              <w:bidi w:val="0"/>
              <w:rPr>
                <w:rFonts w:hint="default"/>
                <w:color w:val="auto"/>
                <w:lang w:val="en-US" w:eastAsia="zh-CN"/>
              </w:rPr>
            </w:pPr>
            <w:r>
              <w:rPr>
                <w:rFonts w:hint="default"/>
                <w:color w:val="auto"/>
                <w:lang w:val="en-US" w:eastAsia="zh-CN"/>
              </w:rPr>
              <w:t>30.2</w:t>
            </w:r>
          </w:p>
        </w:tc>
        <w:tc>
          <w:tcPr>
            <w:tcW w:w="285" w:type="pct"/>
            <w:tcBorders>
              <w:tl2br w:val="nil"/>
              <w:tr2bl w:val="nil"/>
            </w:tcBorders>
            <w:vAlign w:val="center"/>
          </w:tcPr>
          <w:p w14:paraId="50C48EC6">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4E534B08">
            <w:pPr>
              <w:pStyle w:val="16"/>
              <w:pageBreakBefore w:val="0"/>
              <w:wordWrap/>
              <w:bidi w:val="0"/>
              <w:adjustRightInd/>
              <w:snapToGrid/>
              <w:rPr>
                <w:rFonts w:hint="eastAsia"/>
                <w:color w:val="auto"/>
                <w:sz w:val="21"/>
                <w:szCs w:val="21"/>
                <w:lang w:val="en-US" w:eastAsia="zh-CN"/>
              </w:rPr>
            </w:pPr>
          </w:p>
        </w:tc>
      </w:tr>
      <w:tr w14:paraId="43C1ECD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610135A3">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34</w:t>
            </w:r>
          </w:p>
        </w:tc>
        <w:tc>
          <w:tcPr>
            <w:tcW w:w="189" w:type="pct"/>
            <w:vMerge w:val="continue"/>
            <w:tcBorders>
              <w:tl2br w:val="nil"/>
              <w:tr2bl w:val="nil"/>
            </w:tcBorders>
            <w:vAlign w:val="center"/>
          </w:tcPr>
          <w:p w14:paraId="1D62F7E7">
            <w:pPr>
              <w:pageBreakBefore w:val="0"/>
              <w:wordWrap/>
              <w:bidi w:val="0"/>
              <w:adjustRightInd/>
              <w:snapToGrid/>
              <w:spacing w:line="240" w:lineRule="auto"/>
              <w:ind w:firstLine="0" w:firstLineChars="0"/>
              <w:jc w:val="center"/>
              <w:rPr>
                <w:rFonts w:hint="eastAsia"/>
                <w:color w:val="auto"/>
                <w:sz w:val="21"/>
                <w:szCs w:val="21"/>
                <w:lang w:val="en-US" w:eastAsia="zh-CN"/>
              </w:rPr>
            </w:pPr>
          </w:p>
        </w:tc>
        <w:tc>
          <w:tcPr>
            <w:tcW w:w="624" w:type="pct"/>
            <w:tcBorders>
              <w:tl2br w:val="nil"/>
              <w:tr2bl w:val="nil"/>
            </w:tcBorders>
            <w:vAlign w:val="center"/>
          </w:tcPr>
          <w:p w14:paraId="25D7C89D">
            <w:pPr>
              <w:pStyle w:val="16"/>
              <w:pageBreakBefore w:val="0"/>
              <w:wordWrap/>
              <w:bidi w:val="0"/>
              <w:adjustRightInd/>
              <w:snapToGrid/>
              <w:ind w:left="0" w:leftChars="0" w:firstLine="0" w:firstLineChars="0"/>
              <w:rPr>
                <w:color w:val="auto"/>
                <w:sz w:val="21"/>
                <w:szCs w:val="21"/>
              </w:rPr>
            </w:pPr>
            <w:r>
              <w:rPr>
                <w:color w:val="auto"/>
                <w:sz w:val="21"/>
                <w:szCs w:val="21"/>
              </w:rPr>
              <w:t>循环泵</w:t>
            </w:r>
          </w:p>
        </w:tc>
        <w:tc>
          <w:tcPr>
            <w:tcW w:w="286" w:type="pct"/>
            <w:tcBorders>
              <w:tl2br w:val="nil"/>
              <w:tr2bl w:val="nil"/>
            </w:tcBorders>
            <w:vAlign w:val="center"/>
          </w:tcPr>
          <w:p w14:paraId="1107851E">
            <w:pPr>
              <w:pStyle w:val="16"/>
              <w:pageBreakBefore w:val="0"/>
              <w:wordWrap/>
              <w:bidi w:val="0"/>
              <w:adjustRightInd/>
              <w:snapToGrid/>
              <w:ind w:left="0" w:leftChars="0" w:firstLine="0" w:firstLineChars="0"/>
              <w:rPr>
                <w:color w:val="auto"/>
                <w:sz w:val="21"/>
                <w:szCs w:val="21"/>
              </w:rPr>
            </w:pPr>
            <w:r>
              <w:rPr>
                <w:color w:val="auto"/>
                <w:sz w:val="21"/>
                <w:szCs w:val="21"/>
              </w:rPr>
              <w:t>2用</w:t>
            </w:r>
            <w:r>
              <w:rPr>
                <w:rFonts w:hint="eastAsia"/>
                <w:color w:val="auto"/>
                <w:sz w:val="21"/>
                <w:szCs w:val="21"/>
                <w:lang w:val="en-US" w:eastAsia="zh-CN"/>
              </w:rPr>
              <w:t>2</w:t>
            </w:r>
            <w:r>
              <w:rPr>
                <w:color w:val="auto"/>
                <w:sz w:val="21"/>
                <w:szCs w:val="21"/>
              </w:rPr>
              <w:t>备</w:t>
            </w:r>
          </w:p>
        </w:tc>
        <w:tc>
          <w:tcPr>
            <w:tcW w:w="372" w:type="pct"/>
            <w:tcBorders>
              <w:tl2br w:val="nil"/>
              <w:tr2bl w:val="nil"/>
            </w:tcBorders>
            <w:vAlign w:val="center"/>
          </w:tcPr>
          <w:p w14:paraId="25A804CA">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7BACA852">
            <w:pPr>
              <w:pStyle w:val="16"/>
              <w:pageBreakBefore w:val="0"/>
              <w:wordWrap/>
              <w:bidi w:val="0"/>
              <w:adjustRightInd/>
              <w:snapToGrid/>
              <w:rPr>
                <w:color w:val="auto"/>
                <w:sz w:val="21"/>
                <w:szCs w:val="21"/>
              </w:rPr>
            </w:pPr>
          </w:p>
        </w:tc>
        <w:tc>
          <w:tcPr>
            <w:tcW w:w="213" w:type="pct"/>
            <w:tcBorders>
              <w:tl2br w:val="nil"/>
              <w:tr2bl w:val="nil"/>
            </w:tcBorders>
            <w:vAlign w:val="center"/>
          </w:tcPr>
          <w:p w14:paraId="55E4A79D">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49</w:t>
            </w:r>
          </w:p>
        </w:tc>
        <w:tc>
          <w:tcPr>
            <w:tcW w:w="212" w:type="pct"/>
            <w:tcBorders>
              <w:tl2br w:val="nil"/>
              <w:tr2bl w:val="nil"/>
            </w:tcBorders>
            <w:vAlign w:val="center"/>
          </w:tcPr>
          <w:p w14:paraId="59526CC2">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37</w:t>
            </w:r>
          </w:p>
        </w:tc>
        <w:tc>
          <w:tcPr>
            <w:tcW w:w="215" w:type="pct"/>
            <w:tcBorders>
              <w:tl2br w:val="nil"/>
              <w:tr2bl w:val="nil"/>
            </w:tcBorders>
            <w:vAlign w:val="center"/>
          </w:tcPr>
          <w:p w14:paraId="0ACCECC2">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7E5F2CD4">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4A28032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263" w:type="pct"/>
            <w:vMerge w:val="continue"/>
            <w:tcBorders>
              <w:tl2br w:val="nil"/>
              <w:tr2bl w:val="nil"/>
            </w:tcBorders>
            <w:vAlign w:val="center"/>
          </w:tcPr>
          <w:p w14:paraId="75F236A5">
            <w:pPr>
              <w:pStyle w:val="16"/>
              <w:pageBreakBefore w:val="0"/>
              <w:wordWrap/>
              <w:bidi w:val="0"/>
              <w:adjustRightInd/>
              <w:snapToGrid/>
              <w:rPr>
                <w:color w:val="auto"/>
                <w:sz w:val="21"/>
                <w:szCs w:val="21"/>
              </w:rPr>
            </w:pPr>
          </w:p>
        </w:tc>
        <w:tc>
          <w:tcPr>
            <w:tcW w:w="464" w:type="pct"/>
            <w:tcBorders>
              <w:tl2br w:val="nil"/>
              <w:tr2bl w:val="nil"/>
            </w:tcBorders>
            <w:vAlign w:val="center"/>
          </w:tcPr>
          <w:p w14:paraId="4727E9A4">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7F71142A">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2E590279">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579EABA7">
            <w:pPr>
              <w:pStyle w:val="16"/>
              <w:pageBreakBefore w:val="0"/>
              <w:wordWrap/>
              <w:bidi w:val="0"/>
              <w:adjustRightInd/>
              <w:snapToGrid/>
              <w:rPr>
                <w:rFonts w:hint="eastAsia"/>
                <w:color w:val="auto"/>
                <w:sz w:val="21"/>
                <w:szCs w:val="21"/>
                <w:lang w:val="en-US" w:eastAsia="zh-CN"/>
              </w:rPr>
            </w:pPr>
          </w:p>
        </w:tc>
      </w:tr>
      <w:tr w14:paraId="74F54DC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1147330">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35</w:t>
            </w:r>
          </w:p>
        </w:tc>
        <w:tc>
          <w:tcPr>
            <w:tcW w:w="189" w:type="pct"/>
            <w:vMerge w:val="continue"/>
            <w:tcBorders>
              <w:tl2br w:val="nil"/>
              <w:tr2bl w:val="nil"/>
            </w:tcBorders>
            <w:vAlign w:val="center"/>
          </w:tcPr>
          <w:p w14:paraId="0E4F46AF">
            <w:pPr>
              <w:pageBreakBefore w:val="0"/>
              <w:wordWrap/>
              <w:bidi w:val="0"/>
              <w:adjustRightInd/>
              <w:snapToGrid/>
              <w:spacing w:line="240" w:lineRule="auto"/>
              <w:ind w:firstLine="0" w:firstLineChars="0"/>
              <w:jc w:val="center"/>
              <w:rPr>
                <w:rFonts w:hint="eastAsia"/>
                <w:color w:val="auto"/>
                <w:sz w:val="21"/>
                <w:szCs w:val="21"/>
                <w:lang w:val="en-US" w:eastAsia="zh-CN"/>
              </w:rPr>
            </w:pPr>
          </w:p>
        </w:tc>
        <w:tc>
          <w:tcPr>
            <w:tcW w:w="624" w:type="pct"/>
            <w:tcBorders>
              <w:tl2br w:val="nil"/>
              <w:tr2bl w:val="nil"/>
            </w:tcBorders>
            <w:vAlign w:val="center"/>
          </w:tcPr>
          <w:p w14:paraId="05079F99">
            <w:pPr>
              <w:pStyle w:val="16"/>
              <w:pageBreakBefore w:val="0"/>
              <w:wordWrap/>
              <w:bidi w:val="0"/>
              <w:adjustRightInd/>
              <w:snapToGrid/>
              <w:ind w:left="0" w:leftChars="0" w:firstLine="0" w:firstLineChars="0"/>
              <w:rPr>
                <w:color w:val="auto"/>
                <w:sz w:val="21"/>
                <w:szCs w:val="21"/>
              </w:rPr>
            </w:pPr>
            <w:r>
              <w:rPr>
                <w:color w:val="auto"/>
                <w:sz w:val="21"/>
                <w:szCs w:val="21"/>
              </w:rPr>
              <w:t>加药泵</w:t>
            </w:r>
          </w:p>
        </w:tc>
        <w:tc>
          <w:tcPr>
            <w:tcW w:w="286" w:type="pct"/>
            <w:tcBorders>
              <w:tl2br w:val="nil"/>
              <w:tr2bl w:val="nil"/>
            </w:tcBorders>
            <w:vAlign w:val="center"/>
          </w:tcPr>
          <w:p w14:paraId="138ED78E">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2</w:t>
            </w:r>
          </w:p>
        </w:tc>
        <w:tc>
          <w:tcPr>
            <w:tcW w:w="372" w:type="pct"/>
            <w:tcBorders>
              <w:tl2br w:val="nil"/>
              <w:tr2bl w:val="nil"/>
            </w:tcBorders>
            <w:vAlign w:val="center"/>
          </w:tcPr>
          <w:p w14:paraId="5A91886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42E55170">
            <w:pPr>
              <w:pStyle w:val="16"/>
              <w:pageBreakBefore w:val="0"/>
              <w:wordWrap/>
              <w:bidi w:val="0"/>
              <w:adjustRightInd/>
              <w:snapToGrid/>
              <w:rPr>
                <w:color w:val="auto"/>
                <w:sz w:val="21"/>
                <w:szCs w:val="21"/>
              </w:rPr>
            </w:pPr>
          </w:p>
        </w:tc>
        <w:tc>
          <w:tcPr>
            <w:tcW w:w="213" w:type="pct"/>
            <w:tcBorders>
              <w:tl2br w:val="nil"/>
              <w:tr2bl w:val="nil"/>
            </w:tcBorders>
            <w:vAlign w:val="center"/>
          </w:tcPr>
          <w:p w14:paraId="4CC3BA9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49</w:t>
            </w:r>
          </w:p>
        </w:tc>
        <w:tc>
          <w:tcPr>
            <w:tcW w:w="212" w:type="pct"/>
            <w:tcBorders>
              <w:tl2br w:val="nil"/>
              <w:tr2bl w:val="nil"/>
            </w:tcBorders>
            <w:vAlign w:val="center"/>
          </w:tcPr>
          <w:p w14:paraId="2B188CED">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37</w:t>
            </w:r>
          </w:p>
        </w:tc>
        <w:tc>
          <w:tcPr>
            <w:tcW w:w="215" w:type="pct"/>
            <w:tcBorders>
              <w:tl2br w:val="nil"/>
              <w:tr2bl w:val="nil"/>
            </w:tcBorders>
            <w:vAlign w:val="center"/>
          </w:tcPr>
          <w:p w14:paraId="3C81B479">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0F55460A">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3AB82E58">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263" w:type="pct"/>
            <w:vMerge w:val="continue"/>
            <w:tcBorders>
              <w:tl2br w:val="nil"/>
              <w:tr2bl w:val="nil"/>
            </w:tcBorders>
            <w:vAlign w:val="center"/>
          </w:tcPr>
          <w:p w14:paraId="21D4A048">
            <w:pPr>
              <w:pStyle w:val="16"/>
              <w:pageBreakBefore w:val="0"/>
              <w:wordWrap/>
              <w:bidi w:val="0"/>
              <w:adjustRightInd/>
              <w:snapToGrid/>
              <w:rPr>
                <w:color w:val="auto"/>
                <w:sz w:val="21"/>
                <w:szCs w:val="21"/>
              </w:rPr>
            </w:pPr>
          </w:p>
        </w:tc>
        <w:tc>
          <w:tcPr>
            <w:tcW w:w="464" w:type="pct"/>
            <w:tcBorders>
              <w:tl2br w:val="nil"/>
              <w:tr2bl w:val="nil"/>
            </w:tcBorders>
            <w:vAlign w:val="center"/>
          </w:tcPr>
          <w:p w14:paraId="4BF70A20">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107F1C05">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0F43A2AD">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6BF603B2">
            <w:pPr>
              <w:pStyle w:val="16"/>
              <w:pageBreakBefore w:val="0"/>
              <w:wordWrap/>
              <w:bidi w:val="0"/>
              <w:adjustRightInd/>
              <w:snapToGrid/>
              <w:rPr>
                <w:rFonts w:hint="eastAsia"/>
                <w:color w:val="auto"/>
                <w:sz w:val="21"/>
                <w:szCs w:val="21"/>
                <w:lang w:val="en-US" w:eastAsia="zh-CN"/>
              </w:rPr>
            </w:pPr>
          </w:p>
        </w:tc>
      </w:tr>
      <w:tr w14:paraId="45454F6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2DAE82EC">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36</w:t>
            </w:r>
          </w:p>
        </w:tc>
        <w:tc>
          <w:tcPr>
            <w:tcW w:w="189" w:type="pct"/>
            <w:vMerge w:val="continue"/>
            <w:tcBorders>
              <w:tl2br w:val="nil"/>
              <w:tr2bl w:val="nil"/>
            </w:tcBorders>
            <w:vAlign w:val="center"/>
          </w:tcPr>
          <w:p w14:paraId="7D71A50A">
            <w:pPr>
              <w:pageBreakBefore w:val="0"/>
              <w:wordWrap/>
              <w:bidi w:val="0"/>
              <w:adjustRightInd/>
              <w:snapToGrid/>
              <w:spacing w:line="240" w:lineRule="auto"/>
              <w:ind w:firstLine="0" w:firstLineChars="0"/>
              <w:jc w:val="center"/>
              <w:rPr>
                <w:rFonts w:hint="eastAsia"/>
                <w:color w:val="auto"/>
                <w:sz w:val="21"/>
                <w:szCs w:val="21"/>
                <w:lang w:val="en-US" w:eastAsia="zh-CN"/>
              </w:rPr>
            </w:pPr>
          </w:p>
        </w:tc>
        <w:tc>
          <w:tcPr>
            <w:tcW w:w="624" w:type="pct"/>
            <w:tcBorders>
              <w:tl2br w:val="nil"/>
              <w:tr2bl w:val="nil"/>
            </w:tcBorders>
            <w:vAlign w:val="center"/>
          </w:tcPr>
          <w:p w14:paraId="081E4985">
            <w:pPr>
              <w:pStyle w:val="16"/>
              <w:pageBreakBefore w:val="0"/>
              <w:wordWrap/>
              <w:bidi w:val="0"/>
              <w:adjustRightInd/>
              <w:snapToGrid/>
              <w:ind w:left="0" w:leftChars="0" w:firstLine="0" w:firstLineChars="0"/>
              <w:rPr>
                <w:color w:val="auto"/>
                <w:sz w:val="21"/>
                <w:szCs w:val="21"/>
              </w:rPr>
            </w:pPr>
            <w:r>
              <w:rPr>
                <w:color w:val="auto"/>
                <w:sz w:val="21"/>
                <w:szCs w:val="21"/>
              </w:rPr>
              <w:t>离心风机</w:t>
            </w:r>
          </w:p>
        </w:tc>
        <w:tc>
          <w:tcPr>
            <w:tcW w:w="286" w:type="pct"/>
            <w:tcBorders>
              <w:tl2br w:val="nil"/>
              <w:tr2bl w:val="nil"/>
            </w:tcBorders>
            <w:vAlign w:val="center"/>
          </w:tcPr>
          <w:p w14:paraId="4355A636">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372" w:type="pct"/>
            <w:tcBorders>
              <w:tl2br w:val="nil"/>
              <w:tr2bl w:val="nil"/>
            </w:tcBorders>
            <w:vAlign w:val="center"/>
          </w:tcPr>
          <w:p w14:paraId="66E468A2">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6CC3B31E">
            <w:pPr>
              <w:pStyle w:val="16"/>
              <w:pageBreakBefore w:val="0"/>
              <w:wordWrap/>
              <w:bidi w:val="0"/>
              <w:adjustRightInd/>
              <w:snapToGrid/>
              <w:rPr>
                <w:color w:val="auto"/>
                <w:sz w:val="21"/>
                <w:szCs w:val="21"/>
              </w:rPr>
            </w:pPr>
          </w:p>
        </w:tc>
        <w:tc>
          <w:tcPr>
            <w:tcW w:w="213" w:type="pct"/>
            <w:tcBorders>
              <w:tl2br w:val="nil"/>
              <w:tr2bl w:val="nil"/>
            </w:tcBorders>
            <w:vAlign w:val="center"/>
          </w:tcPr>
          <w:p w14:paraId="165323A5">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49</w:t>
            </w:r>
          </w:p>
        </w:tc>
        <w:tc>
          <w:tcPr>
            <w:tcW w:w="212" w:type="pct"/>
            <w:tcBorders>
              <w:tl2br w:val="nil"/>
              <w:tr2bl w:val="nil"/>
            </w:tcBorders>
            <w:vAlign w:val="center"/>
          </w:tcPr>
          <w:p w14:paraId="0589C0BF">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37</w:t>
            </w:r>
          </w:p>
        </w:tc>
        <w:tc>
          <w:tcPr>
            <w:tcW w:w="215" w:type="pct"/>
            <w:tcBorders>
              <w:tl2br w:val="nil"/>
              <w:tr2bl w:val="nil"/>
            </w:tcBorders>
            <w:vAlign w:val="center"/>
          </w:tcPr>
          <w:p w14:paraId="0942BD24">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31272419">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31DC26E6">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80</w:t>
            </w:r>
          </w:p>
        </w:tc>
        <w:tc>
          <w:tcPr>
            <w:tcW w:w="263" w:type="pct"/>
            <w:vMerge w:val="continue"/>
            <w:tcBorders>
              <w:tl2br w:val="nil"/>
              <w:tr2bl w:val="nil"/>
            </w:tcBorders>
            <w:vAlign w:val="center"/>
          </w:tcPr>
          <w:p w14:paraId="33F090BE">
            <w:pPr>
              <w:pStyle w:val="16"/>
              <w:pageBreakBefore w:val="0"/>
              <w:wordWrap/>
              <w:bidi w:val="0"/>
              <w:adjustRightInd/>
              <w:snapToGrid/>
              <w:rPr>
                <w:color w:val="auto"/>
                <w:sz w:val="21"/>
                <w:szCs w:val="21"/>
              </w:rPr>
            </w:pPr>
          </w:p>
        </w:tc>
        <w:tc>
          <w:tcPr>
            <w:tcW w:w="464" w:type="pct"/>
            <w:tcBorders>
              <w:tl2br w:val="nil"/>
              <w:tr2bl w:val="nil"/>
            </w:tcBorders>
            <w:vAlign w:val="center"/>
          </w:tcPr>
          <w:p w14:paraId="29011A91">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71B8654C">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30B334EA">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281" w:type="pct"/>
            <w:vMerge w:val="continue"/>
            <w:tcBorders>
              <w:tl2br w:val="nil"/>
              <w:tr2bl w:val="nil"/>
            </w:tcBorders>
            <w:vAlign w:val="center"/>
          </w:tcPr>
          <w:p w14:paraId="178BC347">
            <w:pPr>
              <w:pStyle w:val="16"/>
              <w:pageBreakBefore w:val="0"/>
              <w:wordWrap/>
              <w:bidi w:val="0"/>
              <w:adjustRightInd/>
              <w:snapToGrid/>
              <w:rPr>
                <w:rFonts w:hint="eastAsia"/>
                <w:color w:val="auto"/>
                <w:sz w:val="21"/>
                <w:szCs w:val="21"/>
                <w:lang w:val="en-US" w:eastAsia="zh-CN"/>
              </w:rPr>
            </w:pPr>
          </w:p>
        </w:tc>
      </w:tr>
      <w:tr w14:paraId="0F88232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65246FB4">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37</w:t>
            </w:r>
          </w:p>
        </w:tc>
        <w:tc>
          <w:tcPr>
            <w:tcW w:w="189" w:type="pct"/>
            <w:vMerge w:val="continue"/>
            <w:tcBorders>
              <w:tl2br w:val="nil"/>
              <w:tr2bl w:val="nil"/>
            </w:tcBorders>
            <w:vAlign w:val="center"/>
          </w:tcPr>
          <w:p w14:paraId="2838FE32">
            <w:pPr>
              <w:pageBreakBefore w:val="0"/>
              <w:wordWrap/>
              <w:bidi w:val="0"/>
              <w:adjustRightInd/>
              <w:snapToGrid/>
              <w:spacing w:line="240" w:lineRule="auto"/>
              <w:ind w:firstLine="0" w:firstLineChars="0"/>
              <w:jc w:val="center"/>
              <w:rPr>
                <w:rFonts w:hint="eastAsia"/>
                <w:color w:val="auto"/>
                <w:sz w:val="21"/>
                <w:szCs w:val="21"/>
                <w:lang w:val="en-US" w:eastAsia="zh-CN"/>
              </w:rPr>
            </w:pPr>
          </w:p>
        </w:tc>
        <w:tc>
          <w:tcPr>
            <w:tcW w:w="624" w:type="pct"/>
            <w:tcBorders>
              <w:tl2br w:val="nil"/>
              <w:tr2bl w:val="nil"/>
            </w:tcBorders>
            <w:vAlign w:val="center"/>
          </w:tcPr>
          <w:p w14:paraId="4138BB53">
            <w:pPr>
              <w:pStyle w:val="16"/>
              <w:pageBreakBefore w:val="0"/>
              <w:wordWrap/>
              <w:bidi w:val="0"/>
              <w:adjustRightInd/>
              <w:snapToGrid/>
              <w:ind w:left="0" w:leftChars="0" w:firstLine="0" w:firstLineChars="0"/>
              <w:rPr>
                <w:color w:val="auto"/>
                <w:sz w:val="21"/>
                <w:szCs w:val="21"/>
              </w:rPr>
            </w:pPr>
            <w:r>
              <w:rPr>
                <w:color w:val="auto"/>
                <w:sz w:val="21"/>
                <w:szCs w:val="21"/>
              </w:rPr>
              <w:t>循环水泵</w:t>
            </w:r>
          </w:p>
        </w:tc>
        <w:tc>
          <w:tcPr>
            <w:tcW w:w="286" w:type="pct"/>
            <w:tcBorders>
              <w:tl2br w:val="nil"/>
              <w:tr2bl w:val="nil"/>
            </w:tcBorders>
            <w:vAlign w:val="center"/>
          </w:tcPr>
          <w:p w14:paraId="6BF66824">
            <w:pPr>
              <w:pStyle w:val="16"/>
              <w:pageBreakBefore w:val="0"/>
              <w:wordWrap/>
              <w:bidi w:val="0"/>
              <w:adjustRightInd/>
              <w:snapToGrid/>
              <w:ind w:left="0" w:leftChars="0" w:firstLine="0" w:firstLineChars="0"/>
              <w:rPr>
                <w:color w:val="auto"/>
                <w:sz w:val="21"/>
                <w:szCs w:val="21"/>
              </w:rPr>
            </w:pPr>
            <w:r>
              <w:rPr>
                <w:color w:val="auto"/>
                <w:sz w:val="21"/>
                <w:szCs w:val="21"/>
              </w:rPr>
              <w:t>2用</w:t>
            </w:r>
            <w:r>
              <w:rPr>
                <w:rFonts w:hint="eastAsia"/>
                <w:color w:val="auto"/>
                <w:sz w:val="21"/>
                <w:szCs w:val="21"/>
                <w:lang w:eastAsia="zh-CN"/>
              </w:rPr>
              <w:t>1</w:t>
            </w:r>
            <w:r>
              <w:rPr>
                <w:color w:val="auto"/>
                <w:sz w:val="21"/>
                <w:szCs w:val="21"/>
              </w:rPr>
              <w:t>备</w:t>
            </w:r>
          </w:p>
        </w:tc>
        <w:tc>
          <w:tcPr>
            <w:tcW w:w="372" w:type="pct"/>
            <w:tcBorders>
              <w:tl2br w:val="nil"/>
              <w:tr2bl w:val="nil"/>
            </w:tcBorders>
            <w:vAlign w:val="center"/>
          </w:tcPr>
          <w:p w14:paraId="3AB6B55B">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70F846CA">
            <w:pPr>
              <w:pStyle w:val="16"/>
              <w:pageBreakBefore w:val="0"/>
              <w:wordWrap/>
              <w:bidi w:val="0"/>
              <w:adjustRightInd/>
              <w:snapToGrid/>
              <w:rPr>
                <w:color w:val="auto"/>
                <w:sz w:val="21"/>
                <w:szCs w:val="21"/>
              </w:rPr>
            </w:pPr>
          </w:p>
        </w:tc>
        <w:tc>
          <w:tcPr>
            <w:tcW w:w="213" w:type="pct"/>
            <w:tcBorders>
              <w:tl2br w:val="nil"/>
              <w:tr2bl w:val="nil"/>
            </w:tcBorders>
            <w:vAlign w:val="center"/>
          </w:tcPr>
          <w:p w14:paraId="56D1A2E7">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49</w:t>
            </w:r>
          </w:p>
        </w:tc>
        <w:tc>
          <w:tcPr>
            <w:tcW w:w="212" w:type="pct"/>
            <w:tcBorders>
              <w:tl2br w:val="nil"/>
              <w:tr2bl w:val="nil"/>
            </w:tcBorders>
            <w:vAlign w:val="center"/>
          </w:tcPr>
          <w:p w14:paraId="26B78E75">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37</w:t>
            </w:r>
          </w:p>
        </w:tc>
        <w:tc>
          <w:tcPr>
            <w:tcW w:w="215" w:type="pct"/>
            <w:tcBorders>
              <w:tl2br w:val="nil"/>
              <w:tr2bl w:val="nil"/>
            </w:tcBorders>
            <w:vAlign w:val="center"/>
          </w:tcPr>
          <w:p w14:paraId="7450718A">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46252705">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436" w:type="pct"/>
            <w:tcBorders>
              <w:tl2br w:val="nil"/>
              <w:tr2bl w:val="nil"/>
            </w:tcBorders>
            <w:vAlign w:val="center"/>
          </w:tcPr>
          <w:p w14:paraId="1B3251A0">
            <w:pPr>
              <w:pStyle w:val="16"/>
              <w:pageBreakBefore w:val="0"/>
              <w:wordWrap/>
              <w:bidi w:val="0"/>
              <w:adjustRightInd/>
              <w:snapToGrid/>
              <w:ind w:left="0" w:leftChars="0" w:firstLine="0" w:firstLineChars="0"/>
              <w:rPr>
                <w:rFonts w:hint="eastAsia"/>
                <w:color w:val="auto"/>
                <w:sz w:val="21"/>
                <w:szCs w:val="21"/>
                <w:lang w:val="en-US" w:eastAsia="zh-CN"/>
              </w:rPr>
            </w:pPr>
            <w:r>
              <w:rPr>
                <w:rFonts w:hint="eastAsia"/>
                <w:color w:val="auto"/>
                <w:sz w:val="21"/>
                <w:szCs w:val="21"/>
                <w:lang w:val="en-US" w:eastAsia="zh-CN"/>
              </w:rPr>
              <w:t>85</w:t>
            </w:r>
          </w:p>
        </w:tc>
        <w:tc>
          <w:tcPr>
            <w:tcW w:w="263" w:type="pct"/>
            <w:vMerge w:val="continue"/>
            <w:tcBorders>
              <w:tl2br w:val="nil"/>
              <w:tr2bl w:val="nil"/>
            </w:tcBorders>
            <w:vAlign w:val="center"/>
          </w:tcPr>
          <w:p w14:paraId="3290C655">
            <w:pPr>
              <w:pStyle w:val="16"/>
              <w:pageBreakBefore w:val="0"/>
              <w:wordWrap/>
              <w:bidi w:val="0"/>
              <w:adjustRightInd/>
              <w:snapToGrid/>
              <w:rPr>
                <w:color w:val="auto"/>
                <w:sz w:val="21"/>
                <w:szCs w:val="21"/>
              </w:rPr>
            </w:pPr>
          </w:p>
        </w:tc>
        <w:tc>
          <w:tcPr>
            <w:tcW w:w="464" w:type="pct"/>
            <w:tcBorders>
              <w:tl2br w:val="nil"/>
              <w:tr2bl w:val="nil"/>
            </w:tcBorders>
            <w:vAlign w:val="center"/>
          </w:tcPr>
          <w:p w14:paraId="28A4C1E1">
            <w:pPr>
              <w:pStyle w:val="16"/>
              <w:bidi w:val="0"/>
              <w:ind w:left="0" w:leftChars="0" w:firstLine="0" w:firstLineChars="0"/>
              <w:rPr>
                <w:rFonts w:hint="eastAsia"/>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4F88D4EE">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100669AF">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281" w:type="pct"/>
            <w:vMerge w:val="continue"/>
            <w:tcBorders>
              <w:tl2br w:val="nil"/>
              <w:tr2bl w:val="nil"/>
            </w:tcBorders>
            <w:vAlign w:val="center"/>
          </w:tcPr>
          <w:p w14:paraId="28D8D058">
            <w:pPr>
              <w:pStyle w:val="16"/>
              <w:pageBreakBefore w:val="0"/>
              <w:wordWrap/>
              <w:bidi w:val="0"/>
              <w:adjustRightInd/>
              <w:snapToGrid/>
              <w:rPr>
                <w:rFonts w:hint="eastAsia"/>
                <w:color w:val="auto"/>
                <w:sz w:val="21"/>
                <w:szCs w:val="21"/>
                <w:lang w:val="en-US" w:eastAsia="zh-CN"/>
              </w:rPr>
            </w:pPr>
          </w:p>
        </w:tc>
      </w:tr>
      <w:tr w14:paraId="334EB33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11EB002A">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38</w:t>
            </w:r>
          </w:p>
        </w:tc>
        <w:tc>
          <w:tcPr>
            <w:tcW w:w="189" w:type="pct"/>
            <w:vMerge w:val="restart"/>
            <w:tcBorders>
              <w:tl2br w:val="nil"/>
              <w:tr2bl w:val="nil"/>
            </w:tcBorders>
            <w:vAlign w:val="center"/>
          </w:tcPr>
          <w:p w14:paraId="28192362">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污泥脱水车间</w:t>
            </w:r>
          </w:p>
        </w:tc>
        <w:tc>
          <w:tcPr>
            <w:tcW w:w="624" w:type="pct"/>
            <w:tcBorders>
              <w:tl2br w:val="nil"/>
              <w:tr2bl w:val="nil"/>
            </w:tcBorders>
            <w:vAlign w:val="center"/>
          </w:tcPr>
          <w:p w14:paraId="0520C984">
            <w:pPr>
              <w:pStyle w:val="16"/>
              <w:pageBreakBefore w:val="0"/>
              <w:wordWrap/>
              <w:bidi w:val="0"/>
              <w:adjustRightInd/>
              <w:snapToGrid/>
              <w:ind w:left="0" w:leftChars="0" w:firstLine="0" w:firstLineChars="0"/>
              <w:rPr>
                <w:color w:val="auto"/>
                <w:sz w:val="21"/>
                <w:szCs w:val="21"/>
              </w:rPr>
            </w:pPr>
            <w:r>
              <w:rPr>
                <w:color w:val="auto"/>
                <w:sz w:val="21"/>
                <w:szCs w:val="21"/>
              </w:rPr>
              <w:t>污泥进料螺杆泵</w:t>
            </w:r>
          </w:p>
        </w:tc>
        <w:tc>
          <w:tcPr>
            <w:tcW w:w="286" w:type="pct"/>
            <w:tcBorders>
              <w:tl2br w:val="nil"/>
              <w:tr2bl w:val="nil"/>
            </w:tcBorders>
            <w:vAlign w:val="center"/>
          </w:tcPr>
          <w:p w14:paraId="2B15B880">
            <w:pPr>
              <w:pStyle w:val="16"/>
              <w:pageBreakBefore w:val="0"/>
              <w:wordWrap/>
              <w:bidi w:val="0"/>
              <w:adjustRightInd/>
              <w:snapToGrid/>
              <w:ind w:left="0" w:leftChars="0" w:firstLine="0" w:firstLineChars="0"/>
              <w:rPr>
                <w:color w:val="auto"/>
                <w:sz w:val="21"/>
                <w:szCs w:val="21"/>
              </w:rPr>
            </w:pPr>
            <w:r>
              <w:rPr>
                <w:color w:val="auto"/>
                <w:sz w:val="21"/>
                <w:szCs w:val="21"/>
              </w:rPr>
              <w:t>2用</w:t>
            </w:r>
            <w:r>
              <w:rPr>
                <w:rFonts w:hint="eastAsia"/>
                <w:color w:val="auto"/>
                <w:sz w:val="21"/>
                <w:szCs w:val="21"/>
                <w:lang w:eastAsia="zh-CN"/>
              </w:rPr>
              <w:t>1</w:t>
            </w:r>
            <w:r>
              <w:rPr>
                <w:color w:val="auto"/>
                <w:sz w:val="21"/>
                <w:szCs w:val="21"/>
              </w:rPr>
              <w:t>备</w:t>
            </w:r>
          </w:p>
        </w:tc>
        <w:tc>
          <w:tcPr>
            <w:tcW w:w="372" w:type="pct"/>
            <w:tcBorders>
              <w:tl2br w:val="nil"/>
              <w:tr2bl w:val="nil"/>
            </w:tcBorders>
            <w:vAlign w:val="center"/>
          </w:tcPr>
          <w:p w14:paraId="192B105E">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85</w:t>
            </w:r>
          </w:p>
        </w:tc>
        <w:tc>
          <w:tcPr>
            <w:tcW w:w="372" w:type="pct"/>
            <w:vMerge w:val="restart"/>
            <w:tcBorders>
              <w:tl2br w:val="nil"/>
              <w:tr2bl w:val="nil"/>
            </w:tcBorders>
            <w:vAlign w:val="center"/>
          </w:tcPr>
          <w:p w14:paraId="63CE46A3">
            <w:pPr>
              <w:pStyle w:val="16"/>
              <w:pageBreakBefore w:val="0"/>
              <w:wordWrap/>
              <w:bidi w:val="0"/>
              <w:adjustRightInd/>
              <w:snapToGrid/>
              <w:rPr>
                <w:color w:val="auto"/>
                <w:sz w:val="21"/>
                <w:szCs w:val="21"/>
              </w:rPr>
            </w:pPr>
            <w:r>
              <w:rPr>
                <w:color w:val="auto"/>
                <w:sz w:val="21"/>
                <w:szCs w:val="21"/>
              </w:rPr>
              <w:t>选用低噪声设备；振动设备设减振器；总图合理布置，防止噪声叠加和干扰，利用距离衰减或减振装置</w:t>
            </w:r>
          </w:p>
        </w:tc>
        <w:tc>
          <w:tcPr>
            <w:tcW w:w="213" w:type="pct"/>
            <w:tcBorders>
              <w:tl2br w:val="nil"/>
              <w:tr2bl w:val="nil"/>
            </w:tcBorders>
            <w:vAlign w:val="center"/>
          </w:tcPr>
          <w:p w14:paraId="45B0AF86">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151.5</w:t>
            </w:r>
          </w:p>
        </w:tc>
        <w:tc>
          <w:tcPr>
            <w:tcW w:w="212" w:type="pct"/>
            <w:tcBorders>
              <w:tl2br w:val="nil"/>
              <w:tr2bl w:val="nil"/>
            </w:tcBorders>
            <w:vAlign w:val="center"/>
          </w:tcPr>
          <w:p w14:paraId="4D0A1BD0">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12.4</w:t>
            </w:r>
          </w:p>
        </w:tc>
        <w:tc>
          <w:tcPr>
            <w:tcW w:w="215" w:type="pct"/>
            <w:tcBorders>
              <w:tl2br w:val="nil"/>
              <w:tr2bl w:val="nil"/>
            </w:tcBorders>
            <w:vAlign w:val="center"/>
          </w:tcPr>
          <w:p w14:paraId="63A55359">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0.5</w:t>
            </w:r>
          </w:p>
        </w:tc>
        <w:tc>
          <w:tcPr>
            <w:tcW w:w="336" w:type="pct"/>
            <w:tcBorders>
              <w:tl2br w:val="nil"/>
              <w:tr2bl w:val="nil"/>
            </w:tcBorders>
            <w:vAlign w:val="center"/>
          </w:tcPr>
          <w:p w14:paraId="16A46E5C">
            <w:pPr>
              <w:pStyle w:val="16"/>
              <w:pageBreakBefore w:val="0"/>
              <w:wordWrap/>
              <w:bidi w:val="0"/>
              <w:adjustRightInd/>
              <w:snapToGrid/>
              <w:rPr>
                <w:color w:val="auto"/>
                <w:sz w:val="21"/>
                <w:szCs w:val="21"/>
              </w:rPr>
            </w:pPr>
            <w:r>
              <w:rPr>
                <w:color w:val="auto"/>
                <w:sz w:val="21"/>
                <w:szCs w:val="21"/>
              </w:rPr>
              <w:t>1</w:t>
            </w:r>
          </w:p>
        </w:tc>
        <w:tc>
          <w:tcPr>
            <w:tcW w:w="436" w:type="pct"/>
            <w:tcBorders>
              <w:tl2br w:val="nil"/>
              <w:tr2bl w:val="nil"/>
            </w:tcBorders>
            <w:vAlign w:val="center"/>
          </w:tcPr>
          <w:p w14:paraId="7B3CD0DD">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85</w:t>
            </w:r>
          </w:p>
        </w:tc>
        <w:tc>
          <w:tcPr>
            <w:tcW w:w="263" w:type="pct"/>
            <w:vMerge w:val="restart"/>
            <w:tcBorders>
              <w:tl2br w:val="nil"/>
              <w:tr2bl w:val="nil"/>
            </w:tcBorders>
            <w:vAlign w:val="center"/>
          </w:tcPr>
          <w:p w14:paraId="62D8B3CB">
            <w:pPr>
              <w:pStyle w:val="16"/>
              <w:pageBreakBefore w:val="0"/>
              <w:wordWrap/>
              <w:bidi w:val="0"/>
              <w:adjustRightInd/>
              <w:snapToGrid/>
              <w:rPr>
                <w:color w:val="auto"/>
                <w:sz w:val="21"/>
                <w:szCs w:val="21"/>
              </w:rPr>
            </w:pPr>
            <w:r>
              <w:rPr>
                <w:color w:val="auto"/>
                <w:sz w:val="21"/>
                <w:szCs w:val="21"/>
              </w:rPr>
              <w:t>昼夜连 续运行</w:t>
            </w:r>
          </w:p>
        </w:tc>
        <w:tc>
          <w:tcPr>
            <w:tcW w:w="464" w:type="pct"/>
            <w:tcBorders>
              <w:tl2br w:val="nil"/>
              <w:tr2bl w:val="nil"/>
            </w:tcBorders>
            <w:vAlign w:val="center"/>
          </w:tcPr>
          <w:p w14:paraId="2104801E">
            <w:pPr>
              <w:pStyle w:val="16"/>
              <w:pageBreakBefore w:val="0"/>
              <w:wordWrap/>
              <w:bidi w:val="0"/>
              <w:adjustRightInd/>
              <w:snapToGrid/>
              <w:ind w:left="0" w:leftChars="0" w:firstLine="0" w:firstLineChars="0"/>
              <w:rPr>
                <w:rFonts w:hint="default" w:eastAsia="宋体"/>
                <w:color w:val="auto"/>
                <w:sz w:val="21"/>
                <w:szCs w:val="21"/>
                <w:lang w:val="en-US" w:eastAsia="zh-CN"/>
              </w:rPr>
            </w:pPr>
            <w:r>
              <w:rPr>
                <w:rFonts w:hint="eastAsia"/>
                <w:color w:val="auto"/>
                <w:sz w:val="21"/>
                <w:szCs w:val="21"/>
                <w:lang w:val="en-US" w:eastAsia="zh-CN"/>
              </w:rPr>
              <w:t>44.8</w:t>
            </w:r>
          </w:p>
        </w:tc>
        <w:tc>
          <w:tcPr>
            <w:tcW w:w="791" w:type="dxa"/>
            <w:tcBorders>
              <w:tl2br w:val="nil"/>
              <w:tr2bl w:val="nil"/>
            </w:tcBorders>
            <w:vAlign w:val="center"/>
          </w:tcPr>
          <w:p w14:paraId="5625519F">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78EF7128">
            <w:pPr>
              <w:pStyle w:val="16"/>
              <w:pageBreakBefore w:val="0"/>
              <w:wordWrap/>
              <w:bidi w:val="0"/>
              <w:adjustRightInd/>
              <w:snapToGrid/>
              <w:rPr>
                <w:color w:val="auto"/>
                <w:sz w:val="21"/>
                <w:szCs w:val="21"/>
              </w:rPr>
            </w:pPr>
            <w:r>
              <w:rPr>
                <w:color w:val="auto"/>
                <w:sz w:val="21"/>
                <w:szCs w:val="21"/>
              </w:rPr>
              <w:t>1</w:t>
            </w:r>
          </w:p>
        </w:tc>
        <w:tc>
          <w:tcPr>
            <w:tcW w:w="281" w:type="pct"/>
            <w:vMerge w:val="restart"/>
            <w:tcBorders>
              <w:tl2br w:val="nil"/>
              <w:tr2bl w:val="nil"/>
            </w:tcBorders>
            <w:vAlign w:val="center"/>
          </w:tcPr>
          <w:p w14:paraId="377B896C">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新增</w:t>
            </w:r>
          </w:p>
        </w:tc>
      </w:tr>
      <w:tr w14:paraId="53241C2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4B6D010A">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39</w:t>
            </w:r>
          </w:p>
        </w:tc>
        <w:tc>
          <w:tcPr>
            <w:tcW w:w="189" w:type="pct"/>
            <w:vMerge w:val="continue"/>
            <w:tcBorders>
              <w:tl2br w:val="nil"/>
              <w:tr2bl w:val="nil"/>
            </w:tcBorders>
            <w:vAlign w:val="center"/>
          </w:tcPr>
          <w:p w14:paraId="78AE6EDB">
            <w:pPr>
              <w:pStyle w:val="16"/>
              <w:pageBreakBefore w:val="0"/>
              <w:wordWrap/>
              <w:bidi w:val="0"/>
              <w:adjustRightInd/>
              <w:snapToGrid/>
              <w:rPr>
                <w:color w:val="auto"/>
                <w:sz w:val="21"/>
                <w:szCs w:val="21"/>
              </w:rPr>
            </w:pPr>
          </w:p>
        </w:tc>
        <w:tc>
          <w:tcPr>
            <w:tcW w:w="624" w:type="pct"/>
            <w:tcBorders>
              <w:tl2br w:val="nil"/>
              <w:tr2bl w:val="nil"/>
            </w:tcBorders>
            <w:vAlign w:val="center"/>
          </w:tcPr>
          <w:p w14:paraId="7E36676E">
            <w:pPr>
              <w:pStyle w:val="16"/>
              <w:pageBreakBefore w:val="0"/>
              <w:wordWrap/>
              <w:bidi w:val="0"/>
              <w:adjustRightInd/>
              <w:snapToGrid/>
              <w:ind w:left="0" w:leftChars="0" w:firstLine="0" w:firstLineChars="0"/>
              <w:rPr>
                <w:color w:val="auto"/>
                <w:sz w:val="21"/>
                <w:szCs w:val="21"/>
              </w:rPr>
            </w:pPr>
            <w:r>
              <w:rPr>
                <w:color w:val="auto"/>
                <w:sz w:val="21"/>
                <w:szCs w:val="21"/>
              </w:rPr>
              <w:t>转鼓浓缩机</w:t>
            </w:r>
          </w:p>
        </w:tc>
        <w:tc>
          <w:tcPr>
            <w:tcW w:w="286" w:type="pct"/>
            <w:tcBorders>
              <w:tl2br w:val="nil"/>
              <w:tr2bl w:val="nil"/>
            </w:tcBorders>
            <w:vAlign w:val="center"/>
          </w:tcPr>
          <w:p w14:paraId="78827809">
            <w:pPr>
              <w:pStyle w:val="16"/>
              <w:pageBreakBefore w:val="0"/>
              <w:wordWrap/>
              <w:bidi w:val="0"/>
              <w:adjustRightInd/>
              <w:snapToGrid/>
              <w:ind w:left="0" w:leftChars="0" w:firstLine="0" w:firstLineChars="0"/>
              <w:rPr>
                <w:color w:val="auto"/>
                <w:sz w:val="21"/>
                <w:szCs w:val="21"/>
              </w:rPr>
            </w:pPr>
            <w:r>
              <w:rPr>
                <w:color w:val="auto"/>
                <w:sz w:val="21"/>
                <w:szCs w:val="21"/>
              </w:rPr>
              <w:t>2</w:t>
            </w:r>
          </w:p>
        </w:tc>
        <w:tc>
          <w:tcPr>
            <w:tcW w:w="372" w:type="pct"/>
            <w:tcBorders>
              <w:tl2br w:val="nil"/>
              <w:tr2bl w:val="nil"/>
            </w:tcBorders>
            <w:vAlign w:val="center"/>
          </w:tcPr>
          <w:p w14:paraId="78F44667">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13904094">
            <w:pPr>
              <w:pStyle w:val="16"/>
              <w:pageBreakBefore w:val="0"/>
              <w:wordWrap/>
              <w:bidi w:val="0"/>
              <w:adjustRightInd/>
              <w:snapToGrid/>
              <w:rPr>
                <w:color w:val="auto"/>
                <w:sz w:val="21"/>
                <w:szCs w:val="21"/>
              </w:rPr>
            </w:pPr>
          </w:p>
        </w:tc>
        <w:tc>
          <w:tcPr>
            <w:tcW w:w="213" w:type="pct"/>
            <w:tcBorders>
              <w:tl2br w:val="nil"/>
              <w:tr2bl w:val="nil"/>
            </w:tcBorders>
            <w:vAlign w:val="center"/>
          </w:tcPr>
          <w:p w14:paraId="5CAFEF83">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151.5</w:t>
            </w:r>
          </w:p>
        </w:tc>
        <w:tc>
          <w:tcPr>
            <w:tcW w:w="212" w:type="pct"/>
            <w:tcBorders>
              <w:tl2br w:val="nil"/>
              <w:tr2bl w:val="nil"/>
            </w:tcBorders>
            <w:vAlign w:val="center"/>
          </w:tcPr>
          <w:p w14:paraId="321DD28E">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12.4</w:t>
            </w:r>
          </w:p>
        </w:tc>
        <w:tc>
          <w:tcPr>
            <w:tcW w:w="215" w:type="pct"/>
            <w:tcBorders>
              <w:tl2br w:val="nil"/>
              <w:tr2bl w:val="nil"/>
            </w:tcBorders>
            <w:vAlign w:val="center"/>
          </w:tcPr>
          <w:p w14:paraId="56C91C42">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34D22A93">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436" w:type="pct"/>
            <w:tcBorders>
              <w:tl2br w:val="nil"/>
              <w:tr2bl w:val="nil"/>
            </w:tcBorders>
            <w:vAlign w:val="center"/>
          </w:tcPr>
          <w:p w14:paraId="02F3E64F">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80</w:t>
            </w:r>
          </w:p>
        </w:tc>
        <w:tc>
          <w:tcPr>
            <w:tcW w:w="263" w:type="pct"/>
            <w:vMerge w:val="continue"/>
            <w:tcBorders>
              <w:tl2br w:val="nil"/>
              <w:tr2bl w:val="nil"/>
            </w:tcBorders>
            <w:vAlign w:val="center"/>
          </w:tcPr>
          <w:p w14:paraId="3B4F0BD7">
            <w:pPr>
              <w:pStyle w:val="16"/>
              <w:pageBreakBefore w:val="0"/>
              <w:wordWrap/>
              <w:bidi w:val="0"/>
              <w:adjustRightInd/>
              <w:snapToGrid/>
              <w:rPr>
                <w:color w:val="auto"/>
                <w:sz w:val="21"/>
                <w:szCs w:val="21"/>
              </w:rPr>
            </w:pPr>
          </w:p>
        </w:tc>
        <w:tc>
          <w:tcPr>
            <w:tcW w:w="464" w:type="pct"/>
            <w:tcBorders>
              <w:tl2br w:val="nil"/>
              <w:tr2bl w:val="nil"/>
            </w:tcBorders>
            <w:vAlign w:val="center"/>
          </w:tcPr>
          <w:p w14:paraId="6F9CC6F4">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72D97C54">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597C0ABC">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281" w:type="pct"/>
            <w:vMerge w:val="continue"/>
            <w:tcBorders>
              <w:tl2br w:val="nil"/>
              <w:tr2bl w:val="nil"/>
            </w:tcBorders>
            <w:vAlign w:val="center"/>
          </w:tcPr>
          <w:p w14:paraId="4BD1C32F">
            <w:pPr>
              <w:pStyle w:val="16"/>
              <w:pageBreakBefore w:val="0"/>
              <w:wordWrap/>
              <w:bidi w:val="0"/>
              <w:adjustRightInd/>
              <w:snapToGrid/>
              <w:rPr>
                <w:color w:val="auto"/>
                <w:sz w:val="21"/>
                <w:szCs w:val="21"/>
              </w:rPr>
            </w:pPr>
          </w:p>
        </w:tc>
      </w:tr>
      <w:tr w14:paraId="106C742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1B6490FC">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40</w:t>
            </w:r>
          </w:p>
        </w:tc>
        <w:tc>
          <w:tcPr>
            <w:tcW w:w="189" w:type="pct"/>
            <w:vMerge w:val="continue"/>
            <w:tcBorders>
              <w:tl2br w:val="nil"/>
              <w:tr2bl w:val="nil"/>
            </w:tcBorders>
            <w:vAlign w:val="center"/>
          </w:tcPr>
          <w:p w14:paraId="1A2A7ECF">
            <w:pPr>
              <w:pStyle w:val="16"/>
              <w:pageBreakBefore w:val="0"/>
              <w:wordWrap/>
              <w:bidi w:val="0"/>
              <w:adjustRightInd/>
              <w:snapToGrid/>
              <w:rPr>
                <w:color w:val="auto"/>
                <w:sz w:val="21"/>
                <w:szCs w:val="21"/>
              </w:rPr>
            </w:pPr>
          </w:p>
        </w:tc>
        <w:tc>
          <w:tcPr>
            <w:tcW w:w="624" w:type="pct"/>
            <w:tcBorders>
              <w:tl2br w:val="nil"/>
              <w:tr2bl w:val="nil"/>
            </w:tcBorders>
            <w:vAlign w:val="center"/>
          </w:tcPr>
          <w:p w14:paraId="3FBE5A4D">
            <w:pPr>
              <w:pStyle w:val="16"/>
              <w:pageBreakBefore w:val="0"/>
              <w:wordWrap/>
              <w:bidi w:val="0"/>
              <w:adjustRightInd/>
              <w:snapToGrid/>
              <w:ind w:left="0" w:leftChars="0" w:firstLine="0" w:firstLineChars="0"/>
              <w:rPr>
                <w:color w:val="auto"/>
                <w:sz w:val="21"/>
                <w:szCs w:val="21"/>
              </w:rPr>
            </w:pPr>
            <w:r>
              <w:rPr>
                <w:color w:val="auto"/>
                <w:sz w:val="21"/>
                <w:szCs w:val="21"/>
              </w:rPr>
              <w:t>高压进料泵</w:t>
            </w:r>
          </w:p>
        </w:tc>
        <w:tc>
          <w:tcPr>
            <w:tcW w:w="286" w:type="pct"/>
            <w:tcBorders>
              <w:tl2br w:val="nil"/>
              <w:tr2bl w:val="nil"/>
            </w:tcBorders>
            <w:vAlign w:val="center"/>
          </w:tcPr>
          <w:p w14:paraId="10BF7BCA">
            <w:pPr>
              <w:pStyle w:val="16"/>
              <w:pageBreakBefore w:val="0"/>
              <w:wordWrap/>
              <w:bidi w:val="0"/>
              <w:adjustRightInd/>
              <w:snapToGrid/>
              <w:ind w:left="0" w:leftChars="0" w:firstLine="0" w:firstLineChars="0"/>
              <w:rPr>
                <w:color w:val="auto"/>
                <w:sz w:val="21"/>
                <w:szCs w:val="21"/>
              </w:rPr>
            </w:pPr>
            <w:r>
              <w:rPr>
                <w:color w:val="auto"/>
                <w:sz w:val="21"/>
                <w:szCs w:val="21"/>
              </w:rPr>
              <w:t>2用</w:t>
            </w:r>
            <w:r>
              <w:rPr>
                <w:rFonts w:hint="eastAsia"/>
                <w:color w:val="auto"/>
                <w:sz w:val="21"/>
                <w:szCs w:val="21"/>
                <w:lang w:eastAsia="zh-CN"/>
              </w:rPr>
              <w:t>1</w:t>
            </w:r>
            <w:r>
              <w:rPr>
                <w:color w:val="auto"/>
                <w:sz w:val="21"/>
                <w:szCs w:val="21"/>
              </w:rPr>
              <w:t>备</w:t>
            </w:r>
          </w:p>
        </w:tc>
        <w:tc>
          <w:tcPr>
            <w:tcW w:w="372" w:type="pct"/>
            <w:tcBorders>
              <w:tl2br w:val="nil"/>
              <w:tr2bl w:val="nil"/>
            </w:tcBorders>
            <w:vAlign w:val="center"/>
          </w:tcPr>
          <w:p w14:paraId="06766ED9">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45F373DD">
            <w:pPr>
              <w:pStyle w:val="16"/>
              <w:pageBreakBefore w:val="0"/>
              <w:wordWrap/>
              <w:bidi w:val="0"/>
              <w:adjustRightInd/>
              <w:snapToGrid/>
              <w:rPr>
                <w:color w:val="auto"/>
                <w:sz w:val="21"/>
                <w:szCs w:val="21"/>
              </w:rPr>
            </w:pPr>
          </w:p>
        </w:tc>
        <w:tc>
          <w:tcPr>
            <w:tcW w:w="213" w:type="pct"/>
            <w:tcBorders>
              <w:tl2br w:val="nil"/>
              <w:tr2bl w:val="nil"/>
            </w:tcBorders>
            <w:vAlign w:val="center"/>
          </w:tcPr>
          <w:p w14:paraId="7F4BB15E">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151.5</w:t>
            </w:r>
          </w:p>
        </w:tc>
        <w:tc>
          <w:tcPr>
            <w:tcW w:w="212" w:type="pct"/>
            <w:tcBorders>
              <w:tl2br w:val="nil"/>
              <w:tr2bl w:val="nil"/>
            </w:tcBorders>
            <w:vAlign w:val="center"/>
          </w:tcPr>
          <w:p w14:paraId="73560DFB">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12.4</w:t>
            </w:r>
          </w:p>
        </w:tc>
        <w:tc>
          <w:tcPr>
            <w:tcW w:w="215" w:type="pct"/>
            <w:tcBorders>
              <w:tl2br w:val="nil"/>
              <w:tr2bl w:val="nil"/>
            </w:tcBorders>
            <w:vAlign w:val="center"/>
          </w:tcPr>
          <w:p w14:paraId="7DCF2585">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0.5</w:t>
            </w:r>
          </w:p>
        </w:tc>
        <w:tc>
          <w:tcPr>
            <w:tcW w:w="336" w:type="pct"/>
            <w:tcBorders>
              <w:tl2br w:val="nil"/>
              <w:tr2bl w:val="nil"/>
            </w:tcBorders>
            <w:vAlign w:val="center"/>
          </w:tcPr>
          <w:p w14:paraId="7DFBC27B">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436" w:type="pct"/>
            <w:tcBorders>
              <w:tl2br w:val="nil"/>
              <w:tr2bl w:val="nil"/>
            </w:tcBorders>
            <w:vAlign w:val="center"/>
          </w:tcPr>
          <w:p w14:paraId="674F6A27">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85</w:t>
            </w:r>
          </w:p>
        </w:tc>
        <w:tc>
          <w:tcPr>
            <w:tcW w:w="263" w:type="pct"/>
            <w:vMerge w:val="continue"/>
            <w:tcBorders>
              <w:tl2br w:val="nil"/>
              <w:tr2bl w:val="nil"/>
            </w:tcBorders>
            <w:vAlign w:val="center"/>
          </w:tcPr>
          <w:p w14:paraId="3AE0F825">
            <w:pPr>
              <w:pStyle w:val="16"/>
              <w:pageBreakBefore w:val="0"/>
              <w:wordWrap/>
              <w:bidi w:val="0"/>
              <w:adjustRightInd/>
              <w:snapToGrid/>
              <w:rPr>
                <w:color w:val="auto"/>
                <w:sz w:val="21"/>
                <w:szCs w:val="21"/>
              </w:rPr>
            </w:pPr>
          </w:p>
        </w:tc>
        <w:tc>
          <w:tcPr>
            <w:tcW w:w="464" w:type="pct"/>
            <w:tcBorders>
              <w:tl2br w:val="nil"/>
              <w:tr2bl w:val="nil"/>
            </w:tcBorders>
            <w:vAlign w:val="center"/>
          </w:tcPr>
          <w:p w14:paraId="6AB3FC88">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13DC6B80">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5C8A9C31">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w:t>
            </w:r>
          </w:p>
        </w:tc>
        <w:tc>
          <w:tcPr>
            <w:tcW w:w="281" w:type="pct"/>
            <w:vMerge w:val="continue"/>
            <w:tcBorders>
              <w:tl2br w:val="nil"/>
              <w:tr2bl w:val="nil"/>
            </w:tcBorders>
            <w:vAlign w:val="center"/>
          </w:tcPr>
          <w:p w14:paraId="7D6D87CD">
            <w:pPr>
              <w:pStyle w:val="16"/>
              <w:pageBreakBefore w:val="0"/>
              <w:wordWrap/>
              <w:bidi w:val="0"/>
              <w:adjustRightInd/>
              <w:snapToGrid/>
              <w:rPr>
                <w:color w:val="auto"/>
                <w:sz w:val="21"/>
                <w:szCs w:val="21"/>
              </w:rPr>
            </w:pPr>
          </w:p>
        </w:tc>
      </w:tr>
      <w:tr w14:paraId="5EFB449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12CB4A52">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41</w:t>
            </w:r>
          </w:p>
        </w:tc>
        <w:tc>
          <w:tcPr>
            <w:tcW w:w="189" w:type="pct"/>
            <w:vMerge w:val="continue"/>
            <w:tcBorders>
              <w:tl2br w:val="nil"/>
              <w:tr2bl w:val="nil"/>
            </w:tcBorders>
            <w:vAlign w:val="center"/>
          </w:tcPr>
          <w:p w14:paraId="2F09105D">
            <w:pPr>
              <w:pStyle w:val="16"/>
              <w:pageBreakBefore w:val="0"/>
              <w:wordWrap/>
              <w:bidi w:val="0"/>
              <w:adjustRightInd/>
              <w:snapToGrid/>
              <w:rPr>
                <w:color w:val="auto"/>
                <w:sz w:val="21"/>
                <w:szCs w:val="21"/>
              </w:rPr>
            </w:pPr>
          </w:p>
        </w:tc>
        <w:tc>
          <w:tcPr>
            <w:tcW w:w="624" w:type="pct"/>
            <w:tcBorders>
              <w:tl2br w:val="nil"/>
              <w:tr2bl w:val="nil"/>
            </w:tcBorders>
            <w:vAlign w:val="center"/>
          </w:tcPr>
          <w:p w14:paraId="4E4A6AC9">
            <w:pPr>
              <w:pStyle w:val="16"/>
              <w:pageBreakBefore w:val="0"/>
              <w:wordWrap/>
              <w:bidi w:val="0"/>
              <w:adjustRightInd/>
              <w:snapToGrid/>
              <w:ind w:left="0" w:leftChars="0" w:firstLine="0" w:firstLineChars="0"/>
              <w:rPr>
                <w:color w:val="auto"/>
                <w:sz w:val="21"/>
                <w:szCs w:val="21"/>
              </w:rPr>
            </w:pPr>
            <w:r>
              <w:rPr>
                <w:color w:val="auto"/>
                <w:sz w:val="21"/>
                <w:szCs w:val="21"/>
              </w:rPr>
              <w:t>隔膜式板框压滤机</w:t>
            </w:r>
          </w:p>
        </w:tc>
        <w:tc>
          <w:tcPr>
            <w:tcW w:w="286" w:type="pct"/>
            <w:tcBorders>
              <w:tl2br w:val="nil"/>
              <w:tr2bl w:val="nil"/>
            </w:tcBorders>
            <w:vAlign w:val="center"/>
          </w:tcPr>
          <w:p w14:paraId="414D185A">
            <w:pPr>
              <w:pStyle w:val="16"/>
              <w:pageBreakBefore w:val="0"/>
              <w:wordWrap/>
              <w:bidi w:val="0"/>
              <w:adjustRightInd/>
              <w:snapToGrid/>
              <w:ind w:left="0" w:leftChars="0" w:firstLine="0" w:firstLineChars="0"/>
              <w:rPr>
                <w:color w:val="auto"/>
                <w:sz w:val="21"/>
                <w:szCs w:val="21"/>
              </w:rPr>
            </w:pPr>
            <w:r>
              <w:rPr>
                <w:color w:val="auto"/>
                <w:sz w:val="21"/>
                <w:szCs w:val="21"/>
              </w:rPr>
              <w:t>2</w:t>
            </w:r>
          </w:p>
        </w:tc>
        <w:tc>
          <w:tcPr>
            <w:tcW w:w="372" w:type="pct"/>
            <w:tcBorders>
              <w:tl2br w:val="nil"/>
              <w:tr2bl w:val="nil"/>
            </w:tcBorders>
            <w:vAlign w:val="center"/>
          </w:tcPr>
          <w:p w14:paraId="3BE06A66">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703F6B0C">
            <w:pPr>
              <w:pStyle w:val="16"/>
              <w:pageBreakBefore w:val="0"/>
              <w:wordWrap/>
              <w:bidi w:val="0"/>
              <w:adjustRightInd/>
              <w:snapToGrid/>
              <w:rPr>
                <w:color w:val="auto"/>
                <w:sz w:val="21"/>
                <w:szCs w:val="21"/>
              </w:rPr>
            </w:pPr>
          </w:p>
        </w:tc>
        <w:tc>
          <w:tcPr>
            <w:tcW w:w="213" w:type="pct"/>
            <w:tcBorders>
              <w:tl2br w:val="nil"/>
              <w:tr2bl w:val="nil"/>
            </w:tcBorders>
            <w:vAlign w:val="center"/>
          </w:tcPr>
          <w:p w14:paraId="045ABAC6">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143.8</w:t>
            </w:r>
          </w:p>
        </w:tc>
        <w:tc>
          <w:tcPr>
            <w:tcW w:w="212" w:type="pct"/>
            <w:tcBorders>
              <w:tl2br w:val="nil"/>
              <w:tr2bl w:val="nil"/>
            </w:tcBorders>
            <w:vAlign w:val="center"/>
          </w:tcPr>
          <w:p w14:paraId="0C41DDCB">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18.5</w:t>
            </w:r>
          </w:p>
        </w:tc>
        <w:tc>
          <w:tcPr>
            <w:tcW w:w="215" w:type="pct"/>
            <w:tcBorders>
              <w:tl2br w:val="nil"/>
              <w:tr2bl w:val="nil"/>
            </w:tcBorders>
            <w:vAlign w:val="center"/>
          </w:tcPr>
          <w:p w14:paraId="22A841C5">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3C67C90D">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436" w:type="pct"/>
            <w:tcBorders>
              <w:tl2br w:val="nil"/>
              <w:tr2bl w:val="nil"/>
            </w:tcBorders>
            <w:vAlign w:val="center"/>
          </w:tcPr>
          <w:p w14:paraId="46D39C31">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80</w:t>
            </w:r>
          </w:p>
        </w:tc>
        <w:tc>
          <w:tcPr>
            <w:tcW w:w="263" w:type="pct"/>
            <w:vMerge w:val="continue"/>
            <w:tcBorders>
              <w:tl2br w:val="nil"/>
              <w:tr2bl w:val="nil"/>
            </w:tcBorders>
            <w:vAlign w:val="center"/>
          </w:tcPr>
          <w:p w14:paraId="35D4A3CA">
            <w:pPr>
              <w:pStyle w:val="16"/>
              <w:pageBreakBefore w:val="0"/>
              <w:wordWrap/>
              <w:bidi w:val="0"/>
              <w:adjustRightInd/>
              <w:snapToGrid/>
              <w:rPr>
                <w:color w:val="auto"/>
                <w:sz w:val="21"/>
                <w:szCs w:val="21"/>
              </w:rPr>
            </w:pPr>
          </w:p>
        </w:tc>
        <w:tc>
          <w:tcPr>
            <w:tcW w:w="464" w:type="pct"/>
            <w:tcBorders>
              <w:tl2br w:val="nil"/>
              <w:tr2bl w:val="nil"/>
            </w:tcBorders>
            <w:vAlign w:val="center"/>
          </w:tcPr>
          <w:p w14:paraId="63A5492E">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149D915E">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68D6167B">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w:t>
            </w:r>
          </w:p>
        </w:tc>
        <w:tc>
          <w:tcPr>
            <w:tcW w:w="281" w:type="pct"/>
            <w:vMerge w:val="continue"/>
            <w:tcBorders>
              <w:tl2br w:val="nil"/>
              <w:tr2bl w:val="nil"/>
            </w:tcBorders>
            <w:vAlign w:val="center"/>
          </w:tcPr>
          <w:p w14:paraId="129D5AD7">
            <w:pPr>
              <w:pStyle w:val="16"/>
              <w:pageBreakBefore w:val="0"/>
              <w:wordWrap/>
              <w:bidi w:val="0"/>
              <w:adjustRightInd/>
              <w:snapToGrid/>
              <w:rPr>
                <w:color w:val="auto"/>
                <w:sz w:val="21"/>
                <w:szCs w:val="21"/>
              </w:rPr>
            </w:pPr>
          </w:p>
        </w:tc>
      </w:tr>
      <w:tr w14:paraId="02EEF1E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BEB166F">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42</w:t>
            </w:r>
          </w:p>
        </w:tc>
        <w:tc>
          <w:tcPr>
            <w:tcW w:w="189" w:type="pct"/>
            <w:vMerge w:val="continue"/>
            <w:tcBorders>
              <w:tl2br w:val="nil"/>
              <w:tr2bl w:val="nil"/>
            </w:tcBorders>
            <w:vAlign w:val="center"/>
          </w:tcPr>
          <w:p w14:paraId="485D4151">
            <w:pPr>
              <w:pStyle w:val="16"/>
              <w:pageBreakBefore w:val="0"/>
              <w:wordWrap/>
              <w:bidi w:val="0"/>
              <w:adjustRightInd/>
              <w:snapToGrid/>
              <w:rPr>
                <w:color w:val="auto"/>
                <w:sz w:val="21"/>
                <w:szCs w:val="21"/>
              </w:rPr>
            </w:pPr>
          </w:p>
        </w:tc>
        <w:tc>
          <w:tcPr>
            <w:tcW w:w="624" w:type="pct"/>
            <w:tcBorders>
              <w:tl2br w:val="nil"/>
              <w:tr2bl w:val="nil"/>
            </w:tcBorders>
            <w:vAlign w:val="center"/>
          </w:tcPr>
          <w:p w14:paraId="4E4C32EE">
            <w:pPr>
              <w:pStyle w:val="16"/>
              <w:pageBreakBefore w:val="0"/>
              <w:wordWrap/>
              <w:bidi w:val="0"/>
              <w:adjustRightInd/>
              <w:snapToGrid/>
              <w:ind w:left="0" w:leftChars="0" w:firstLine="0" w:firstLineChars="0"/>
              <w:rPr>
                <w:color w:val="auto"/>
                <w:sz w:val="21"/>
                <w:szCs w:val="21"/>
              </w:rPr>
            </w:pPr>
            <w:r>
              <w:rPr>
                <w:color w:val="auto"/>
                <w:sz w:val="21"/>
                <w:szCs w:val="21"/>
              </w:rPr>
              <w:t>电动单梁悬挂起重机</w:t>
            </w:r>
          </w:p>
        </w:tc>
        <w:tc>
          <w:tcPr>
            <w:tcW w:w="286" w:type="pct"/>
            <w:tcBorders>
              <w:tl2br w:val="nil"/>
              <w:tr2bl w:val="nil"/>
            </w:tcBorders>
            <w:vAlign w:val="center"/>
          </w:tcPr>
          <w:p w14:paraId="241B38F7">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372" w:type="pct"/>
            <w:tcBorders>
              <w:tl2br w:val="nil"/>
              <w:tr2bl w:val="nil"/>
            </w:tcBorders>
            <w:vAlign w:val="center"/>
          </w:tcPr>
          <w:p w14:paraId="094202A4">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3C73BA0C">
            <w:pPr>
              <w:pStyle w:val="16"/>
              <w:pageBreakBefore w:val="0"/>
              <w:wordWrap/>
              <w:bidi w:val="0"/>
              <w:adjustRightInd/>
              <w:snapToGrid/>
              <w:rPr>
                <w:color w:val="auto"/>
                <w:sz w:val="21"/>
                <w:szCs w:val="21"/>
              </w:rPr>
            </w:pPr>
          </w:p>
        </w:tc>
        <w:tc>
          <w:tcPr>
            <w:tcW w:w="213" w:type="pct"/>
            <w:tcBorders>
              <w:tl2br w:val="nil"/>
              <w:tr2bl w:val="nil"/>
            </w:tcBorders>
            <w:vAlign w:val="center"/>
          </w:tcPr>
          <w:p w14:paraId="113384C5">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136.4</w:t>
            </w:r>
          </w:p>
        </w:tc>
        <w:tc>
          <w:tcPr>
            <w:tcW w:w="212" w:type="pct"/>
            <w:tcBorders>
              <w:tl2br w:val="nil"/>
              <w:tr2bl w:val="nil"/>
            </w:tcBorders>
            <w:vAlign w:val="center"/>
          </w:tcPr>
          <w:p w14:paraId="47C71EA9">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23</w:t>
            </w:r>
          </w:p>
        </w:tc>
        <w:tc>
          <w:tcPr>
            <w:tcW w:w="215" w:type="pct"/>
            <w:tcBorders>
              <w:tl2br w:val="nil"/>
              <w:tr2bl w:val="nil"/>
            </w:tcBorders>
            <w:vAlign w:val="center"/>
          </w:tcPr>
          <w:p w14:paraId="58FBD088">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2</w:t>
            </w:r>
          </w:p>
        </w:tc>
        <w:tc>
          <w:tcPr>
            <w:tcW w:w="336" w:type="pct"/>
            <w:tcBorders>
              <w:tl2br w:val="nil"/>
              <w:tr2bl w:val="nil"/>
            </w:tcBorders>
            <w:vAlign w:val="center"/>
          </w:tcPr>
          <w:p w14:paraId="3F17362F">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436" w:type="pct"/>
            <w:tcBorders>
              <w:tl2br w:val="nil"/>
              <w:tr2bl w:val="nil"/>
            </w:tcBorders>
            <w:vAlign w:val="center"/>
          </w:tcPr>
          <w:p w14:paraId="2F8E399A">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80</w:t>
            </w:r>
          </w:p>
        </w:tc>
        <w:tc>
          <w:tcPr>
            <w:tcW w:w="263" w:type="pct"/>
            <w:vMerge w:val="continue"/>
            <w:tcBorders>
              <w:tl2br w:val="nil"/>
              <w:tr2bl w:val="nil"/>
            </w:tcBorders>
            <w:vAlign w:val="center"/>
          </w:tcPr>
          <w:p w14:paraId="54528C5D">
            <w:pPr>
              <w:pStyle w:val="16"/>
              <w:pageBreakBefore w:val="0"/>
              <w:wordWrap/>
              <w:bidi w:val="0"/>
              <w:adjustRightInd/>
              <w:snapToGrid/>
              <w:rPr>
                <w:color w:val="auto"/>
                <w:sz w:val="21"/>
                <w:szCs w:val="21"/>
              </w:rPr>
            </w:pPr>
          </w:p>
        </w:tc>
        <w:tc>
          <w:tcPr>
            <w:tcW w:w="464" w:type="pct"/>
            <w:tcBorders>
              <w:tl2br w:val="nil"/>
              <w:tr2bl w:val="nil"/>
            </w:tcBorders>
            <w:vAlign w:val="center"/>
          </w:tcPr>
          <w:p w14:paraId="2CC12C7D">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51F457D5">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4E8ACA61">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281" w:type="pct"/>
            <w:vMerge w:val="continue"/>
            <w:tcBorders>
              <w:tl2br w:val="nil"/>
              <w:tr2bl w:val="nil"/>
            </w:tcBorders>
            <w:vAlign w:val="center"/>
          </w:tcPr>
          <w:p w14:paraId="2915FF67">
            <w:pPr>
              <w:pStyle w:val="16"/>
              <w:pageBreakBefore w:val="0"/>
              <w:wordWrap/>
              <w:bidi w:val="0"/>
              <w:adjustRightInd/>
              <w:snapToGrid/>
              <w:rPr>
                <w:color w:val="auto"/>
                <w:sz w:val="21"/>
                <w:szCs w:val="21"/>
              </w:rPr>
            </w:pPr>
          </w:p>
        </w:tc>
      </w:tr>
      <w:tr w14:paraId="1C6F9B9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3282D4C">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43</w:t>
            </w:r>
          </w:p>
        </w:tc>
        <w:tc>
          <w:tcPr>
            <w:tcW w:w="189" w:type="pct"/>
            <w:vMerge w:val="continue"/>
            <w:tcBorders>
              <w:tl2br w:val="nil"/>
              <w:tr2bl w:val="nil"/>
            </w:tcBorders>
            <w:vAlign w:val="center"/>
          </w:tcPr>
          <w:p w14:paraId="441301F1">
            <w:pPr>
              <w:pStyle w:val="16"/>
              <w:pageBreakBefore w:val="0"/>
              <w:wordWrap/>
              <w:bidi w:val="0"/>
              <w:adjustRightInd/>
              <w:snapToGrid/>
              <w:rPr>
                <w:color w:val="auto"/>
                <w:sz w:val="21"/>
                <w:szCs w:val="21"/>
              </w:rPr>
            </w:pPr>
          </w:p>
        </w:tc>
        <w:tc>
          <w:tcPr>
            <w:tcW w:w="624" w:type="pct"/>
            <w:tcBorders>
              <w:tl2br w:val="nil"/>
              <w:tr2bl w:val="nil"/>
            </w:tcBorders>
            <w:vAlign w:val="center"/>
          </w:tcPr>
          <w:p w14:paraId="2286D743">
            <w:pPr>
              <w:pStyle w:val="16"/>
              <w:pageBreakBefore w:val="0"/>
              <w:wordWrap/>
              <w:bidi w:val="0"/>
              <w:adjustRightInd/>
              <w:snapToGrid/>
              <w:ind w:left="0" w:leftChars="0" w:firstLine="0" w:firstLineChars="0"/>
              <w:rPr>
                <w:color w:val="auto"/>
                <w:sz w:val="21"/>
                <w:szCs w:val="21"/>
              </w:rPr>
            </w:pPr>
            <w:r>
              <w:rPr>
                <w:color w:val="auto"/>
                <w:sz w:val="21"/>
                <w:szCs w:val="21"/>
              </w:rPr>
              <w:t>电动葫芦</w:t>
            </w:r>
          </w:p>
        </w:tc>
        <w:tc>
          <w:tcPr>
            <w:tcW w:w="286" w:type="pct"/>
            <w:tcBorders>
              <w:tl2br w:val="nil"/>
              <w:tr2bl w:val="nil"/>
            </w:tcBorders>
            <w:vAlign w:val="center"/>
          </w:tcPr>
          <w:p w14:paraId="35C7E787">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372" w:type="pct"/>
            <w:tcBorders>
              <w:tl2br w:val="nil"/>
              <w:tr2bl w:val="nil"/>
            </w:tcBorders>
            <w:vAlign w:val="center"/>
          </w:tcPr>
          <w:p w14:paraId="58B35DB6">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75</w:t>
            </w:r>
          </w:p>
        </w:tc>
        <w:tc>
          <w:tcPr>
            <w:tcW w:w="372" w:type="pct"/>
            <w:vMerge w:val="continue"/>
            <w:tcBorders>
              <w:tl2br w:val="nil"/>
              <w:tr2bl w:val="nil"/>
            </w:tcBorders>
            <w:vAlign w:val="center"/>
          </w:tcPr>
          <w:p w14:paraId="290153E5">
            <w:pPr>
              <w:pStyle w:val="16"/>
              <w:pageBreakBefore w:val="0"/>
              <w:wordWrap/>
              <w:bidi w:val="0"/>
              <w:adjustRightInd/>
              <w:snapToGrid/>
              <w:rPr>
                <w:color w:val="auto"/>
                <w:sz w:val="21"/>
                <w:szCs w:val="21"/>
              </w:rPr>
            </w:pPr>
          </w:p>
        </w:tc>
        <w:tc>
          <w:tcPr>
            <w:tcW w:w="213" w:type="pct"/>
            <w:tcBorders>
              <w:tl2br w:val="nil"/>
              <w:tr2bl w:val="nil"/>
            </w:tcBorders>
            <w:vAlign w:val="center"/>
          </w:tcPr>
          <w:p w14:paraId="1E0FC553">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155.7</w:t>
            </w:r>
          </w:p>
        </w:tc>
        <w:tc>
          <w:tcPr>
            <w:tcW w:w="212" w:type="pct"/>
            <w:tcBorders>
              <w:tl2br w:val="nil"/>
              <w:tr2bl w:val="nil"/>
            </w:tcBorders>
            <w:vAlign w:val="center"/>
          </w:tcPr>
          <w:p w14:paraId="156EB7EF">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19.5</w:t>
            </w:r>
          </w:p>
        </w:tc>
        <w:tc>
          <w:tcPr>
            <w:tcW w:w="215" w:type="pct"/>
            <w:tcBorders>
              <w:tl2br w:val="nil"/>
              <w:tr2bl w:val="nil"/>
            </w:tcBorders>
            <w:vAlign w:val="center"/>
          </w:tcPr>
          <w:p w14:paraId="21FC4846">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2</w:t>
            </w:r>
          </w:p>
        </w:tc>
        <w:tc>
          <w:tcPr>
            <w:tcW w:w="336" w:type="pct"/>
            <w:tcBorders>
              <w:tl2br w:val="nil"/>
              <w:tr2bl w:val="nil"/>
            </w:tcBorders>
            <w:vAlign w:val="center"/>
          </w:tcPr>
          <w:p w14:paraId="69F030E6">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436" w:type="pct"/>
            <w:tcBorders>
              <w:tl2br w:val="nil"/>
              <w:tr2bl w:val="nil"/>
            </w:tcBorders>
            <w:vAlign w:val="center"/>
          </w:tcPr>
          <w:p w14:paraId="3470BB6E">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75</w:t>
            </w:r>
          </w:p>
        </w:tc>
        <w:tc>
          <w:tcPr>
            <w:tcW w:w="263" w:type="pct"/>
            <w:vMerge w:val="continue"/>
            <w:tcBorders>
              <w:tl2br w:val="nil"/>
              <w:tr2bl w:val="nil"/>
            </w:tcBorders>
            <w:vAlign w:val="center"/>
          </w:tcPr>
          <w:p w14:paraId="772FDDAC">
            <w:pPr>
              <w:pStyle w:val="16"/>
              <w:pageBreakBefore w:val="0"/>
              <w:wordWrap/>
              <w:bidi w:val="0"/>
              <w:adjustRightInd/>
              <w:snapToGrid/>
              <w:rPr>
                <w:color w:val="auto"/>
                <w:sz w:val="21"/>
                <w:szCs w:val="21"/>
              </w:rPr>
            </w:pPr>
          </w:p>
        </w:tc>
        <w:tc>
          <w:tcPr>
            <w:tcW w:w="464" w:type="pct"/>
            <w:tcBorders>
              <w:tl2br w:val="nil"/>
              <w:tr2bl w:val="nil"/>
            </w:tcBorders>
            <w:vAlign w:val="center"/>
          </w:tcPr>
          <w:p w14:paraId="077128F4">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37819F62">
            <w:pPr>
              <w:pStyle w:val="16"/>
              <w:bidi w:val="0"/>
              <w:rPr>
                <w:rFonts w:hint="default"/>
                <w:color w:val="auto"/>
                <w:lang w:val="en-US" w:eastAsia="zh-CN"/>
              </w:rPr>
            </w:pPr>
            <w:r>
              <w:rPr>
                <w:rFonts w:hint="default"/>
                <w:color w:val="auto"/>
                <w:lang w:val="en-US" w:eastAsia="zh-CN"/>
              </w:rPr>
              <w:t>30.2</w:t>
            </w:r>
          </w:p>
        </w:tc>
        <w:tc>
          <w:tcPr>
            <w:tcW w:w="285" w:type="pct"/>
            <w:tcBorders>
              <w:tl2br w:val="nil"/>
              <w:tr2bl w:val="nil"/>
            </w:tcBorders>
            <w:vAlign w:val="center"/>
          </w:tcPr>
          <w:p w14:paraId="71D24445">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281" w:type="pct"/>
            <w:vMerge w:val="continue"/>
            <w:tcBorders>
              <w:tl2br w:val="nil"/>
              <w:tr2bl w:val="nil"/>
            </w:tcBorders>
            <w:vAlign w:val="center"/>
          </w:tcPr>
          <w:p w14:paraId="0EDBDF6B">
            <w:pPr>
              <w:pStyle w:val="16"/>
              <w:pageBreakBefore w:val="0"/>
              <w:wordWrap/>
              <w:bidi w:val="0"/>
              <w:adjustRightInd/>
              <w:snapToGrid/>
              <w:rPr>
                <w:color w:val="auto"/>
                <w:sz w:val="21"/>
                <w:szCs w:val="21"/>
              </w:rPr>
            </w:pPr>
          </w:p>
        </w:tc>
      </w:tr>
      <w:tr w14:paraId="134710F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B5B3E69">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44</w:t>
            </w:r>
          </w:p>
        </w:tc>
        <w:tc>
          <w:tcPr>
            <w:tcW w:w="189" w:type="pct"/>
            <w:vMerge w:val="continue"/>
            <w:tcBorders>
              <w:tl2br w:val="nil"/>
              <w:tr2bl w:val="nil"/>
            </w:tcBorders>
            <w:vAlign w:val="center"/>
          </w:tcPr>
          <w:p w14:paraId="41A05218">
            <w:pPr>
              <w:pStyle w:val="16"/>
              <w:pageBreakBefore w:val="0"/>
              <w:wordWrap/>
              <w:bidi w:val="0"/>
              <w:adjustRightInd/>
              <w:snapToGrid/>
              <w:rPr>
                <w:color w:val="auto"/>
                <w:sz w:val="21"/>
                <w:szCs w:val="21"/>
              </w:rPr>
            </w:pPr>
          </w:p>
        </w:tc>
        <w:tc>
          <w:tcPr>
            <w:tcW w:w="624" w:type="pct"/>
            <w:tcBorders>
              <w:tl2br w:val="nil"/>
              <w:tr2bl w:val="nil"/>
            </w:tcBorders>
            <w:vAlign w:val="center"/>
          </w:tcPr>
          <w:p w14:paraId="69176DB3">
            <w:pPr>
              <w:pStyle w:val="16"/>
              <w:pageBreakBefore w:val="0"/>
              <w:wordWrap/>
              <w:bidi w:val="0"/>
              <w:adjustRightInd/>
              <w:snapToGrid/>
              <w:ind w:left="0" w:leftChars="0" w:firstLine="0" w:firstLineChars="0"/>
              <w:rPr>
                <w:color w:val="auto"/>
                <w:sz w:val="21"/>
                <w:szCs w:val="21"/>
              </w:rPr>
            </w:pPr>
            <w:r>
              <w:rPr>
                <w:color w:val="auto"/>
                <w:sz w:val="21"/>
                <w:szCs w:val="21"/>
              </w:rPr>
              <w:t>挤压水泵</w:t>
            </w:r>
          </w:p>
        </w:tc>
        <w:tc>
          <w:tcPr>
            <w:tcW w:w="286" w:type="pct"/>
            <w:tcBorders>
              <w:tl2br w:val="nil"/>
              <w:tr2bl w:val="nil"/>
            </w:tcBorders>
            <w:vAlign w:val="center"/>
          </w:tcPr>
          <w:p w14:paraId="19091FA2">
            <w:pPr>
              <w:pStyle w:val="16"/>
              <w:pageBreakBefore w:val="0"/>
              <w:wordWrap/>
              <w:bidi w:val="0"/>
              <w:adjustRightInd/>
              <w:snapToGrid/>
              <w:ind w:left="0" w:leftChars="0" w:firstLine="0" w:firstLineChars="0"/>
              <w:rPr>
                <w:color w:val="auto"/>
                <w:sz w:val="21"/>
                <w:szCs w:val="21"/>
              </w:rPr>
            </w:pPr>
            <w:r>
              <w:rPr>
                <w:color w:val="auto"/>
                <w:sz w:val="21"/>
                <w:szCs w:val="21"/>
              </w:rPr>
              <w:t>2</w:t>
            </w:r>
          </w:p>
        </w:tc>
        <w:tc>
          <w:tcPr>
            <w:tcW w:w="372" w:type="pct"/>
            <w:tcBorders>
              <w:tl2br w:val="nil"/>
              <w:tr2bl w:val="nil"/>
            </w:tcBorders>
            <w:vAlign w:val="center"/>
          </w:tcPr>
          <w:p w14:paraId="2F7E72C7">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4CCEA147">
            <w:pPr>
              <w:pStyle w:val="16"/>
              <w:pageBreakBefore w:val="0"/>
              <w:wordWrap/>
              <w:bidi w:val="0"/>
              <w:adjustRightInd/>
              <w:snapToGrid/>
              <w:rPr>
                <w:color w:val="auto"/>
                <w:sz w:val="21"/>
                <w:szCs w:val="21"/>
              </w:rPr>
            </w:pPr>
          </w:p>
        </w:tc>
        <w:tc>
          <w:tcPr>
            <w:tcW w:w="213" w:type="pct"/>
            <w:tcBorders>
              <w:tl2br w:val="nil"/>
              <w:tr2bl w:val="nil"/>
            </w:tcBorders>
            <w:vAlign w:val="center"/>
          </w:tcPr>
          <w:p w14:paraId="7752FA76">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151.5</w:t>
            </w:r>
          </w:p>
        </w:tc>
        <w:tc>
          <w:tcPr>
            <w:tcW w:w="212" w:type="pct"/>
            <w:tcBorders>
              <w:tl2br w:val="nil"/>
              <w:tr2bl w:val="nil"/>
            </w:tcBorders>
            <w:vAlign w:val="center"/>
          </w:tcPr>
          <w:p w14:paraId="4BA9D86E">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12.4</w:t>
            </w:r>
          </w:p>
        </w:tc>
        <w:tc>
          <w:tcPr>
            <w:tcW w:w="215" w:type="pct"/>
            <w:tcBorders>
              <w:tl2br w:val="nil"/>
              <w:tr2bl w:val="nil"/>
            </w:tcBorders>
            <w:vAlign w:val="center"/>
          </w:tcPr>
          <w:p w14:paraId="4925C27A">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0.5</w:t>
            </w:r>
          </w:p>
        </w:tc>
        <w:tc>
          <w:tcPr>
            <w:tcW w:w="336" w:type="pct"/>
            <w:tcBorders>
              <w:tl2br w:val="nil"/>
              <w:tr2bl w:val="nil"/>
            </w:tcBorders>
            <w:vAlign w:val="center"/>
          </w:tcPr>
          <w:p w14:paraId="24C721E3">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436" w:type="pct"/>
            <w:tcBorders>
              <w:tl2br w:val="nil"/>
              <w:tr2bl w:val="nil"/>
            </w:tcBorders>
            <w:vAlign w:val="center"/>
          </w:tcPr>
          <w:p w14:paraId="3C4B1243">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85</w:t>
            </w:r>
          </w:p>
        </w:tc>
        <w:tc>
          <w:tcPr>
            <w:tcW w:w="263" w:type="pct"/>
            <w:vMerge w:val="continue"/>
            <w:tcBorders>
              <w:tl2br w:val="nil"/>
              <w:tr2bl w:val="nil"/>
            </w:tcBorders>
            <w:vAlign w:val="center"/>
          </w:tcPr>
          <w:p w14:paraId="70656B29">
            <w:pPr>
              <w:pStyle w:val="16"/>
              <w:pageBreakBefore w:val="0"/>
              <w:wordWrap/>
              <w:bidi w:val="0"/>
              <w:adjustRightInd/>
              <w:snapToGrid/>
              <w:rPr>
                <w:color w:val="auto"/>
                <w:sz w:val="21"/>
                <w:szCs w:val="21"/>
              </w:rPr>
            </w:pPr>
          </w:p>
        </w:tc>
        <w:tc>
          <w:tcPr>
            <w:tcW w:w="464" w:type="pct"/>
            <w:tcBorders>
              <w:tl2br w:val="nil"/>
              <w:tr2bl w:val="nil"/>
            </w:tcBorders>
            <w:vAlign w:val="center"/>
          </w:tcPr>
          <w:p w14:paraId="50E90932">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3FDE2057">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70842C6C">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281" w:type="pct"/>
            <w:vMerge w:val="continue"/>
            <w:tcBorders>
              <w:tl2br w:val="nil"/>
              <w:tr2bl w:val="nil"/>
            </w:tcBorders>
            <w:vAlign w:val="center"/>
          </w:tcPr>
          <w:p w14:paraId="07089F2F">
            <w:pPr>
              <w:pStyle w:val="16"/>
              <w:pageBreakBefore w:val="0"/>
              <w:wordWrap/>
              <w:bidi w:val="0"/>
              <w:adjustRightInd/>
              <w:snapToGrid/>
              <w:rPr>
                <w:color w:val="auto"/>
                <w:sz w:val="21"/>
                <w:szCs w:val="21"/>
              </w:rPr>
            </w:pPr>
          </w:p>
        </w:tc>
      </w:tr>
      <w:tr w14:paraId="6B4169E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EDC5C63">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45</w:t>
            </w:r>
          </w:p>
        </w:tc>
        <w:tc>
          <w:tcPr>
            <w:tcW w:w="189" w:type="pct"/>
            <w:vMerge w:val="continue"/>
            <w:tcBorders>
              <w:tl2br w:val="nil"/>
              <w:tr2bl w:val="nil"/>
            </w:tcBorders>
            <w:vAlign w:val="center"/>
          </w:tcPr>
          <w:p w14:paraId="7C2D7180">
            <w:pPr>
              <w:pStyle w:val="16"/>
              <w:pageBreakBefore w:val="0"/>
              <w:wordWrap/>
              <w:bidi w:val="0"/>
              <w:adjustRightInd/>
              <w:snapToGrid/>
              <w:rPr>
                <w:color w:val="auto"/>
                <w:sz w:val="21"/>
                <w:szCs w:val="21"/>
              </w:rPr>
            </w:pPr>
          </w:p>
        </w:tc>
        <w:tc>
          <w:tcPr>
            <w:tcW w:w="624" w:type="pct"/>
            <w:tcBorders>
              <w:tl2br w:val="nil"/>
              <w:tr2bl w:val="nil"/>
            </w:tcBorders>
            <w:vAlign w:val="center"/>
          </w:tcPr>
          <w:p w14:paraId="7BBD8A6A">
            <w:pPr>
              <w:pStyle w:val="16"/>
              <w:pageBreakBefore w:val="0"/>
              <w:wordWrap/>
              <w:bidi w:val="0"/>
              <w:adjustRightInd/>
              <w:snapToGrid/>
              <w:ind w:left="0" w:leftChars="0" w:firstLine="0" w:firstLineChars="0"/>
              <w:rPr>
                <w:color w:val="auto"/>
                <w:sz w:val="21"/>
                <w:szCs w:val="21"/>
              </w:rPr>
            </w:pPr>
            <w:r>
              <w:rPr>
                <w:color w:val="auto"/>
                <w:sz w:val="21"/>
                <w:szCs w:val="21"/>
              </w:rPr>
              <w:t>水洗高压柱塞泵</w:t>
            </w:r>
          </w:p>
        </w:tc>
        <w:tc>
          <w:tcPr>
            <w:tcW w:w="286" w:type="pct"/>
            <w:tcBorders>
              <w:tl2br w:val="nil"/>
              <w:tr2bl w:val="nil"/>
            </w:tcBorders>
            <w:vAlign w:val="center"/>
          </w:tcPr>
          <w:p w14:paraId="41651433">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r>
              <w:rPr>
                <w:color w:val="auto"/>
                <w:sz w:val="21"/>
                <w:szCs w:val="21"/>
              </w:rPr>
              <w:t>用</w:t>
            </w:r>
            <w:r>
              <w:rPr>
                <w:rFonts w:hint="eastAsia"/>
                <w:color w:val="auto"/>
                <w:sz w:val="21"/>
                <w:szCs w:val="21"/>
                <w:lang w:eastAsia="zh-CN"/>
              </w:rPr>
              <w:t>1</w:t>
            </w:r>
            <w:r>
              <w:rPr>
                <w:color w:val="auto"/>
                <w:sz w:val="21"/>
                <w:szCs w:val="21"/>
              </w:rPr>
              <w:t>备</w:t>
            </w:r>
          </w:p>
        </w:tc>
        <w:tc>
          <w:tcPr>
            <w:tcW w:w="372" w:type="pct"/>
            <w:tcBorders>
              <w:tl2br w:val="nil"/>
              <w:tr2bl w:val="nil"/>
            </w:tcBorders>
            <w:vAlign w:val="center"/>
          </w:tcPr>
          <w:p w14:paraId="0A139AE5">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5E36A228">
            <w:pPr>
              <w:pStyle w:val="16"/>
              <w:pageBreakBefore w:val="0"/>
              <w:wordWrap/>
              <w:bidi w:val="0"/>
              <w:adjustRightInd/>
              <w:snapToGrid/>
              <w:rPr>
                <w:color w:val="auto"/>
                <w:sz w:val="21"/>
                <w:szCs w:val="21"/>
              </w:rPr>
            </w:pPr>
          </w:p>
        </w:tc>
        <w:tc>
          <w:tcPr>
            <w:tcW w:w="213" w:type="pct"/>
            <w:tcBorders>
              <w:tl2br w:val="nil"/>
              <w:tr2bl w:val="nil"/>
            </w:tcBorders>
            <w:vAlign w:val="center"/>
          </w:tcPr>
          <w:p w14:paraId="48AC150A">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151.5</w:t>
            </w:r>
          </w:p>
        </w:tc>
        <w:tc>
          <w:tcPr>
            <w:tcW w:w="212" w:type="pct"/>
            <w:tcBorders>
              <w:tl2br w:val="nil"/>
              <w:tr2bl w:val="nil"/>
            </w:tcBorders>
            <w:vAlign w:val="center"/>
          </w:tcPr>
          <w:p w14:paraId="06B86F5D">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12.4</w:t>
            </w:r>
          </w:p>
        </w:tc>
        <w:tc>
          <w:tcPr>
            <w:tcW w:w="215" w:type="pct"/>
            <w:tcBorders>
              <w:tl2br w:val="nil"/>
              <w:tr2bl w:val="nil"/>
            </w:tcBorders>
            <w:vAlign w:val="center"/>
          </w:tcPr>
          <w:p w14:paraId="533DB00A">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0.5</w:t>
            </w:r>
          </w:p>
        </w:tc>
        <w:tc>
          <w:tcPr>
            <w:tcW w:w="336" w:type="pct"/>
            <w:tcBorders>
              <w:tl2br w:val="nil"/>
              <w:tr2bl w:val="nil"/>
            </w:tcBorders>
            <w:vAlign w:val="center"/>
          </w:tcPr>
          <w:p w14:paraId="451125FF">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436" w:type="pct"/>
            <w:tcBorders>
              <w:tl2br w:val="nil"/>
              <w:tr2bl w:val="nil"/>
            </w:tcBorders>
            <w:vAlign w:val="center"/>
          </w:tcPr>
          <w:p w14:paraId="5041217F">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85</w:t>
            </w:r>
          </w:p>
        </w:tc>
        <w:tc>
          <w:tcPr>
            <w:tcW w:w="263" w:type="pct"/>
            <w:vMerge w:val="continue"/>
            <w:tcBorders>
              <w:tl2br w:val="nil"/>
              <w:tr2bl w:val="nil"/>
            </w:tcBorders>
            <w:vAlign w:val="center"/>
          </w:tcPr>
          <w:p w14:paraId="6E71875E">
            <w:pPr>
              <w:pStyle w:val="16"/>
              <w:pageBreakBefore w:val="0"/>
              <w:wordWrap/>
              <w:bidi w:val="0"/>
              <w:adjustRightInd/>
              <w:snapToGrid/>
              <w:rPr>
                <w:color w:val="auto"/>
                <w:sz w:val="21"/>
                <w:szCs w:val="21"/>
              </w:rPr>
            </w:pPr>
          </w:p>
        </w:tc>
        <w:tc>
          <w:tcPr>
            <w:tcW w:w="464" w:type="pct"/>
            <w:tcBorders>
              <w:tl2br w:val="nil"/>
              <w:tr2bl w:val="nil"/>
            </w:tcBorders>
            <w:vAlign w:val="center"/>
          </w:tcPr>
          <w:p w14:paraId="7C2CF126">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009F0600">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38FECAAA">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281" w:type="pct"/>
            <w:vMerge w:val="continue"/>
            <w:tcBorders>
              <w:tl2br w:val="nil"/>
              <w:tr2bl w:val="nil"/>
            </w:tcBorders>
            <w:vAlign w:val="center"/>
          </w:tcPr>
          <w:p w14:paraId="11959892">
            <w:pPr>
              <w:pStyle w:val="16"/>
              <w:pageBreakBefore w:val="0"/>
              <w:wordWrap/>
              <w:bidi w:val="0"/>
              <w:adjustRightInd/>
              <w:snapToGrid/>
              <w:rPr>
                <w:color w:val="auto"/>
                <w:sz w:val="21"/>
                <w:szCs w:val="21"/>
              </w:rPr>
            </w:pPr>
          </w:p>
        </w:tc>
      </w:tr>
      <w:tr w14:paraId="456D759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5FC228E">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46</w:t>
            </w:r>
          </w:p>
        </w:tc>
        <w:tc>
          <w:tcPr>
            <w:tcW w:w="189" w:type="pct"/>
            <w:vMerge w:val="continue"/>
            <w:tcBorders>
              <w:tl2br w:val="nil"/>
              <w:tr2bl w:val="nil"/>
            </w:tcBorders>
            <w:vAlign w:val="center"/>
          </w:tcPr>
          <w:p w14:paraId="75C2A7A4">
            <w:pPr>
              <w:pStyle w:val="16"/>
              <w:pageBreakBefore w:val="0"/>
              <w:wordWrap/>
              <w:bidi w:val="0"/>
              <w:adjustRightInd/>
              <w:snapToGrid/>
              <w:rPr>
                <w:color w:val="auto"/>
                <w:sz w:val="21"/>
                <w:szCs w:val="21"/>
              </w:rPr>
            </w:pPr>
          </w:p>
        </w:tc>
        <w:tc>
          <w:tcPr>
            <w:tcW w:w="624" w:type="pct"/>
            <w:tcBorders>
              <w:tl2br w:val="nil"/>
              <w:tr2bl w:val="nil"/>
            </w:tcBorders>
            <w:vAlign w:val="center"/>
          </w:tcPr>
          <w:p w14:paraId="6464554A">
            <w:pPr>
              <w:pStyle w:val="16"/>
              <w:pageBreakBefore w:val="0"/>
              <w:wordWrap/>
              <w:bidi w:val="0"/>
              <w:adjustRightInd/>
              <w:snapToGrid/>
              <w:ind w:left="0" w:leftChars="0" w:firstLine="0" w:firstLineChars="0"/>
              <w:rPr>
                <w:color w:val="auto"/>
                <w:sz w:val="21"/>
                <w:szCs w:val="21"/>
              </w:rPr>
            </w:pPr>
            <w:r>
              <w:rPr>
                <w:color w:val="auto"/>
                <w:sz w:val="21"/>
                <w:szCs w:val="21"/>
              </w:rPr>
              <w:t>冲洗水泵</w:t>
            </w:r>
          </w:p>
        </w:tc>
        <w:tc>
          <w:tcPr>
            <w:tcW w:w="286" w:type="pct"/>
            <w:tcBorders>
              <w:tl2br w:val="nil"/>
              <w:tr2bl w:val="nil"/>
            </w:tcBorders>
            <w:vAlign w:val="center"/>
          </w:tcPr>
          <w:p w14:paraId="7C18701F">
            <w:pPr>
              <w:pStyle w:val="16"/>
              <w:pageBreakBefore w:val="0"/>
              <w:wordWrap/>
              <w:bidi w:val="0"/>
              <w:adjustRightInd/>
              <w:snapToGrid/>
              <w:ind w:left="0" w:leftChars="0" w:firstLine="0" w:firstLineChars="0"/>
              <w:rPr>
                <w:color w:val="auto"/>
                <w:sz w:val="21"/>
                <w:szCs w:val="21"/>
              </w:rPr>
            </w:pPr>
            <w:r>
              <w:rPr>
                <w:color w:val="auto"/>
                <w:sz w:val="21"/>
                <w:szCs w:val="21"/>
              </w:rPr>
              <w:t>2</w:t>
            </w:r>
          </w:p>
        </w:tc>
        <w:tc>
          <w:tcPr>
            <w:tcW w:w="372" w:type="pct"/>
            <w:tcBorders>
              <w:tl2br w:val="nil"/>
              <w:tr2bl w:val="nil"/>
            </w:tcBorders>
            <w:vAlign w:val="center"/>
          </w:tcPr>
          <w:p w14:paraId="2EA01095">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4E45FE7B">
            <w:pPr>
              <w:pStyle w:val="16"/>
              <w:pageBreakBefore w:val="0"/>
              <w:wordWrap/>
              <w:bidi w:val="0"/>
              <w:adjustRightInd/>
              <w:snapToGrid/>
              <w:rPr>
                <w:color w:val="auto"/>
                <w:sz w:val="21"/>
                <w:szCs w:val="21"/>
              </w:rPr>
            </w:pPr>
          </w:p>
        </w:tc>
        <w:tc>
          <w:tcPr>
            <w:tcW w:w="213" w:type="pct"/>
            <w:tcBorders>
              <w:tl2br w:val="nil"/>
              <w:tr2bl w:val="nil"/>
            </w:tcBorders>
            <w:vAlign w:val="center"/>
          </w:tcPr>
          <w:p w14:paraId="32621AC1">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151.5</w:t>
            </w:r>
          </w:p>
        </w:tc>
        <w:tc>
          <w:tcPr>
            <w:tcW w:w="212" w:type="pct"/>
            <w:tcBorders>
              <w:tl2br w:val="nil"/>
              <w:tr2bl w:val="nil"/>
            </w:tcBorders>
            <w:vAlign w:val="center"/>
          </w:tcPr>
          <w:p w14:paraId="105E46C3">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12.4</w:t>
            </w:r>
          </w:p>
        </w:tc>
        <w:tc>
          <w:tcPr>
            <w:tcW w:w="215" w:type="pct"/>
            <w:tcBorders>
              <w:tl2br w:val="nil"/>
              <w:tr2bl w:val="nil"/>
            </w:tcBorders>
            <w:vAlign w:val="center"/>
          </w:tcPr>
          <w:p w14:paraId="64FF3B7E">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0.5</w:t>
            </w:r>
          </w:p>
        </w:tc>
        <w:tc>
          <w:tcPr>
            <w:tcW w:w="336" w:type="pct"/>
            <w:tcBorders>
              <w:tl2br w:val="nil"/>
              <w:tr2bl w:val="nil"/>
            </w:tcBorders>
            <w:vAlign w:val="center"/>
          </w:tcPr>
          <w:p w14:paraId="396DF7A4">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436" w:type="pct"/>
            <w:tcBorders>
              <w:tl2br w:val="nil"/>
              <w:tr2bl w:val="nil"/>
            </w:tcBorders>
            <w:vAlign w:val="center"/>
          </w:tcPr>
          <w:p w14:paraId="61B7DBCB">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85</w:t>
            </w:r>
          </w:p>
        </w:tc>
        <w:tc>
          <w:tcPr>
            <w:tcW w:w="263" w:type="pct"/>
            <w:vMerge w:val="continue"/>
            <w:tcBorders>
              <w:tl2br w:val="nil"/>
              <w:tr2bl w:val="nil"/>
            </w:tcBorders>
            <w:vAlign w:val="center"/>
          </w:tcPr>
          <w:p w14:paraId="2441B6B0">
            <w:pPr>
              <w:pStyle w:val="16"/>
              <w:pageBreakBefore w:val="0"/>
              <w:wordWrap/>
              <w:bidi w:val="0"/>
              <w:adjustRightInd/>
              <w:snapToGrid/>
              <w:rPr>
                <w:color w:val="auto"/>
                <w:sz w:val="21"/>
                <w:szCs w:val="21"/>
              </w:rPr>
            </w:pPr>
          </w:p>
        </w:tc>
        <w:tc>
          <w:tcPr>
            <w:tcW w:w="464" w:type="pct"/>
            <w:tcBorders>
              <w:tl2br w:val="nil"/>
              <w:tr2bl w:val="nil"/>
            </w:tcBorders>
            <w:vAlign w:val="center"/>
          </w:tcPr>
          <w:p w14:paraId="203BB65B">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0DFECD65">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3776B31F">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281" w:type="pct"/>
            <w:vMerge w:val="continue"/>
            <w:tcBorders>
              <w:tl2br w:val="nil"/>
              <w:tr2bl w:val="nil"/>
            </w:tcBorders>
            <w:vAlign w:val="center"/>
          </w:tcPr>
          <w:p w14:paraId="46F5FDA7">
            <w:pPr>
              <w:pStyle w:val="16"/>
              <w:pageBreakBefore w:val="0"/>
              <w:wordWrap/>
              <w:bidi w:val="0"/>
              <w:adjustRightInd/>
              <w:snapToGrid/>
              <w:rPr>
                <w:color w:val="auto"/>
                <w:sz w:val="21"/>
                <w:szCs w:val="21"/>
              </w:rPr>
            </w:pPr>
          </w:p>
        </w:tc>
      </w:tr>
      <w:tr w14:paraId="43118C7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14E3747F">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47</w:t>
            </w:r>
          </w:p>
        </w:tc>
        <w:tc>
          <w:tcPr>
            <w:tcW w:w="189" w:type="pct"/>
            <w:vMerge w:val="continue"/>
            <w:tcBorders>
              <w:tl2br w:val="nil"/>
              <w:tr2bl w:val="nil"/>
            </w:tcBorders>
            <w:vAlign w:val="center"/>
          </w:tcPr>
          <w:p w14:paraId="6473F191">
            <w:pPr>
              <w:pStyle w:val="16"/>
              <w:pageBreakBefore w:val="0"/>
              <w:wordWrap/>
              <w:bidi w:val="0"/>
              <w:adjustRightInd/>
              <w:snapToGrid/>
              <w:rPr>
                <w:color w:val="auto"/>
                <w:sz w:val="21"/>
                <w:szCs w:val="21"/>
              </w:rPr>
            </w:pPr>
          </w:p>
        </w:tc>
        <w:tc>
          <w:tcPr>
            <w:tcW w:w="624" w:type="pct"/>
            <w:tcBorders>
              <w:tl2br w:val="nil"/>
              <w:tr2bl w:val="nil"/>
            </w:tcBorders>
            <w:vAlign w:val="center"/>
          </w:tcPr>
          <w:p w14:paraId="5430ED9F">
            <w:pPr>
              <w:pStyle w:val="16"/>
              <w:pageBreakBefore w:val="0"/>
              <w:wordWrap/>
              <w:bidi w:val="0"/>
              <w:adjustRightInd/>
              <w:snapToGrid/>
              <w:ind w:left="0" w:leftChars="0" w:firstLine="0" w:firstLineChars="0"/>
              <w:rPr>
                <w:color w:val="auto"/>
                <w:sz w:val="21"/>
                <w:szCs w:val="21"/>
              </w:rPr>
            </w:pPr>
            <w:r>
              <w:rPr>
                <w:color w:val="auto"/>
                <w:sz w:val="21"/>
                <w:szCs w:val="21"/>
              </w:rPr>
              <w:t>絮凝剂投加泵</w:t>
            </w:r>
          </w:p>
        </w:tc>
        <w:tc>
          <w:tcPr>
            <w:tcW w:w="286" w:type="pct"/>
            <w:tcBorders>
              <w:tl2br w:val="nil"/>
              <w:tr2bl w:val="nil"/>
            </w:tcBorders>
            <w:vAlign w:val="center"/>
          </w:tcPr>
          <w:p w14:paraId="5E99CF07">
            <w:pPr>
              <w:pStyle w:val="16"/>
              <w:pageBreakBefore w:val="0"/>
              <w:wordWrap/>
              <w:bidi w:val="0"/>
              <w:adjustRightInd/>
              <w:snapToGrid/>
              <w:ind w:left="0" w:leftChars="0" w:firstLine="0" w:firstLineChars="0"/>
              <w:rPr>
                <w:color w:val="auto"/>
                <w:sz w:val="21"/>
                <w:szCs w:val="21"/>
              </w:rPr>
            </w:pPr>
            <w:r>
              <w:rPr>
                <w:color w:val="auto"/>
                <w:sz w:val="21"/>
                <w:szCs w:val="21"/>
              </w:rPr>
              <w:t>2</w:t>
            </w:r>
          </w:p>
        </w:tc>
        <w:tc>
          <w:tcPr>
            <w:tcW w:w="372" w:type="pct"/>
            <w:tcBorders>
              <w:tl2br w:val="nil"/>
              <w:tr2bl w:val="nil"/>
            </w:tcBorders>
            <w:vAlign w:val="center"/>
          </w:tcPr>
          <w:p w14:paraId="7EB5B010">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5529507B">
            <w:pPr>
              <w:pStyle w:val="16"/>
              <w:pageBreakBefore w:val="0"/>
              <w:wordWrap/>
              <w:bidi w:val="0"/>
              <w:adjustRightInd/>
              <w:snapToGrid/>
              <w:rPr>
                <w:color w:val="auto"/>
                <w:sz w:val="21"/>
                <w:szCs w:val="21"/>
              </w:rPr>
            </w:pPr>
          </w:p>
        </w:tc>
        <w:tc>
          <w:tcPr>
            <w:tcW w:w="213" w:type="pct"/>
            <w:tcBorders>
              <w:tl2br w:val="nil"/>
              <w:tr2bl w:val="nil"/>
            </w:tcBorders>
            <w:vAlign w:val="center"/>
          </w:tcPr>
          <w:p w14:paraId="36157D5F">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151.5</w:t>
            </w:r>
          </w:p>
        </w:tc>
        <w:tc>
          <w:tcPr>
            <w:tcW w:w="212" w:type="pct"/>
            <w:tcBorders>
              <w:tl2br w:val="nil"/>
              <w:tr2bl w:val="nil"/>
            </w:tcBorders>
            <w:vAlign w:val="center"/>
          </w:tcPr>
          <w:p w14:paraId="5CF74505">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12.4</w:t>
            </w:r>
          </w:p>
        </w:tc>
        <w:tc>
          <w:tcPr>
            <w:tcW w:w="215" w:type="pct"/>
            <w:tcBorders>
              <w:tl2br w:val="nil"/>
              <w:tr2bl w:val="nil"/>
            </w:tcBorders>
            <w:vAlign w:val="center"/>
          </w:tcPr>
          <w:p w14:paraId="2EF6154D">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0.5</w:t>
            </w:r>
          </w:p>
        </w:tc>
        <w:tc>
          <w:tcPr>
            <w:tcW w:w="336" w:type="pct"/>
            <w:tcBorders>
              <w:tl2br w:val="nil"/>
              <w:tr2bl w:val="nil"/>
            </w:tcBorders>
            <w:vAlign w:val="center"/>
          </w:tcPr>
          <w:p w14:paraId="54BF9F84">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436" w:type="pct"/>
            <w:tcBorders>
              <w:tl2br w:val="nil"/>
              <w:tr2bl w:val="nil"/>
            </w:tcBorders>
            <w:vAlign w:val="center"/>
          </w:tcPr>
          <w:p w14:paraId="0C9952D0">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85</w:t>
            </w:r>
          </w:p>
        </w:tc>
        <w:tc>
          <w:tcPr>
            <w:tcW w:w="263" w:type="pct"/>
            <w:vMerge w:val="continue"/>
            <w:tcBorders>
              <w:tl2br w:val="nil"/>
              <w:tr2bl w:val="nil"/>
            </w:tcBorders>
            <w:vAlign w:val="center"/>
          </w:tcPr>
          <w:p w14:paraId="1206898B">
            <w:pPr>
              <w:pStyle w:val="16"/>
              <w:pageBreakBefore w:val="0"/>
              <w:wordWrap/>
              <w:bidi w:val="0"/>
              <w:adjustRightInd/>
              <w:snapToGrid/>
              <w:rPr>
                <w:color w:val="auto"/>
                <w:sz w:val="21"/>
                <w:szCs w:val="21"/>
              </w:rPr>
            </w:pPr>
          </w:p>
        </w:tc>
        <w:tc>
          <w:tcPr>
            <w:tcW w:w="464" w:type="pct"/>
            <w:tcBorders>
              <w:tl2br w:val="nil"/>
              <w:tr2bl w:val="nil"/>
            </w:tcBorders>
            <w:vAlign w:val="center"/>
          </w:tcPr>
          <w:p w14:paraId="3F6C28B2">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3BDD97A9">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21C103C3">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281" w:type="pct"/>
            <w:vMerge w:val="continue"/>
            <w:tcBorders>
              <w:tl2br w:val="nil"/>
              <w:tr2bl w:val="nil"/>
            </w:tcBorders>
            <w:vAlign w:val="center"/>
          </w:tcPr>
          <w:p w14:paraId="2480C8FB">
            <w:pPr>
              <w:pStyle w:val="16"/>
              <w:pageBreakBefore w:val="0"/>
              <w:wordWrap/>
              <w:bidi w:val="0"/>
              <w:adjustRightInd/>
              <w:snapToGrid/>
              <w:rPr>
                <w:color w:val="auto"/>
                <w:sz w:val="21"/>
                <w:szCs w:val="21"/>
              </w:rPr>
            </w:pPr>
          </w:p>
        </w:tc>
      </w:tr>
      <w:tr w14:paraId="29A31EA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2336726">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48</w:t>
            </w:r>
          </w:p>
        </w:tc>
        <w:tc>
          <w:tcPr>
            <w:tcW w:w="189" w:type="pct"/>
            <w:vMerge w:val="continue"/>
            <w:tcBorders>
              <w:tl2br w:val="nil"/>
              <w:tr2bl w:val="nil"/>
            </w:tcBorders>
            <w:vAlign w:val="center"/>
          </w:tcPr>
          <w:p w14:paraId="06D1CFBB">
            <w:pPr>
              <w:pStyle w:val="16"/>
              <w:pageBreakBefore w:val="0"/>
              <w:wordWrap/>
              <w:bidi w:val="0"/>
              <w:adjustRightInd/>
              <w:snapToGrid/>
              <w:rPr>
                <w:color w:val="auto"/>
                <w:sz w:val="21"/>
                <w:szCs w:val="21"/>
              </w:rPr>
            </w:pPr>
          </w:p>
        </w:tc>
        <w:tc>
          <w:tcPr>
            <w:tcW w:w="624" w:type="pct"/>
            <w:tcBorders>
              <w:tl2br w:val="nil"/>
              <w:tr2bl w:val="nil"/>
            </w:tcBorders>
            <w:vAlign w:val="center"/>
          </w:tcPr>
          <w:p w14:paraId="76D6EAD4">
            <w:pPr>
              <w:pStyle w:val="16"/>
              <w:pageBreakBefore w:val="0"/>
              <w:wordWrap/>
              <w:bidi w:val="0"/>
              <w:adjustRightInd/>
              <w:snapToGrid/>
              <w:ind w:left="0" w:leftChars="0" w:firstLine="0" w:firstLineChars="0"/>
              <w:rPr>
                <w:color w:val="auto"/>
                <w:sz w:val="21"/>
                <w:szCs w:val="21"/>
              </w:rPr>
            </w:pPr>
            <w:r>
              <w:rPr>
                <w:color w:val="auto"/>
                <w:sz w:val="21"/>
                <w:szCs w:val="21"/>
              </w:rPr>
              <w:t>倾斜螺旋输送机</w:t>
            </w:r>
          </w:p>
        </w:tc>
        <w:tc>
          <w:tcPr>
            <w:tcW w:w="286" w:type="pct"/>
            <w:tcBorders>
              <w:tl2br w:val="nil"/>
              <w:tr2bl w:val="nil"/>
            </w:tcBorders>
            <w:vAlign w:val="center"/>
          </w:tcPr>
          <w:p w14:paraId="1910F8C9">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p>
        </w:tc>
        <w:tc>
          <w:tcPr>
            <w:tcW w:w="372" w:type="pct"/>
            <w:tcBorders>
              <w:tl2br w:val="nil"/>
              <w:tr2bl w:val="nil"/>
            </w:tcBorders>
            <w:vAlign w:val="center"/>
          </w:tcPr>
          <w:p w14:paraId="3B50B8D6">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39E375EF">
            <w:pPr>
              <w:pStyle w:val="16"/>
              <w:pageBreakBefore w:val="0"/>
              <w:wordWrap/>
              <w:bidi w:val="0"/>
              <w:adjustRightInd/>
              <w:snapToGrid/>
              <w:rPr>
                <w:color w:val="auto"/>
                <w:sz w:val="21"/>
                <w:szCs w:val="21"/>
              </w:rPr>
            </w:pPr>
          </w:p>
        </w:tc>
        <w:tc>
          <w:tcPr>
            <w:tcW w:w="213" w:type="pct"/>
            <w:tcBorders>
              <w:tl2br w:val="nil"/>
              <w:tr2bl w:val="nil"/>
            </w:tcBorders>
            <w:vAlign w:val="center"/>
          </w:tcPr>
          <w:p w14:paraId="6DEDA099">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133.5</w:t>
            </w:r>
          </w:p>
        </w:tc>
        <w:tc>
          <w:tcPr>
            <w:tcW w:w="212" w:type="pct"/>
            <w:tcBorders>
              <w:tl2br w:val="nil"/>
              <w:tr2bl w:val="nil"/>
            </w:tcBorders>
            <w:vAlign w:val="center"/>
          </w:tcPr>
          <w:p w14:paraId="7DD523A4">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19</w:t>
            </w:r>
          </w:p>
        </w:tc>
        <w:tc>
          <w:tcPr>
            <w:tcW w:w="215" w:type="pct"/>
            <w:tcBorders>
              <w:tl2br w:val="nil"/>
              <w:tr2bl w:val="nil"/>
            </w:tcBorders>
            <w:vAlign w:val="center"/>
          </w:tcPr>
          <w:p w14:paraId="54D8555C">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798632E9">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436" w:type="pct"/>
            <w:tcBorders>
              <w:tl2br w:val="nil"/>
              <w:tr2bl w:val="nil"/>
            </w:tcBorders>
            <w:vAlign w:val="center"/>
          </w:tcPr>
          <w:p w14:paraId="6EBF7079">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80</w:t>
            </w:r>
          </w:p>
        </w:tc>
        <w:tc>
          <w:tcPr>
            <w:tcW w:w="263" w:type="pct"/>
            <w:vMerge w:val="continue"/>
            <w:tcBorders>
              <w:tl2br w:val="nil"/>
              <w:tr2bl w:val="nil"/>
            </w:tcBorders>
            <w:vAlign w:val="center"/>
          </w:tcPr>
          <w:p w14:paraId="6D80A473">
            <w:pPr>
              <w:pStyle w:val="16"/>
              <w:pageBreakBefore w:val="0"/>
              <w:wordWrap/>
              <w:bidi w:val="0"/>
              <w:adjustRightInd/>
              <w:snapToGrid/>
              <w:rPr>
                <w:color w:val="auto"/>
                <w:sz w:val="21"/>
                <w:szCs w:val="21"/>
              </w:rPr>
            </w:pPr>
          </w:p>
        </w:tc>
        <w:tc>
          <w:tcPr>
            <w:tcW w:w="464" w:type="pct"/>
            <w:tcBorders>
              <w:tl2br w:val="nil"/>
              <w:tr2bl w:val="nil"/>
            </w:tcBorders>
            <w:vAlign w:val="center"/>
          </w:tcPr>
          <w:p w14:paraId="36D1A0FD">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29638702">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6A5753F6">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281" w:type="pct"/>
            <w:vMerge w:val="continue"/>
            <w:tcBorders>
              <w:tl2br w:val="nil"/>
              <w:tr2bl w:val="nil"/>
            </w:tcBorders>
            <w:vAlign w:val="center"/>
          </w:tcPr>
          <w:p w14:paraId="5B6C3E49">
            <w:pPr>
              <w:pStyle w:val="16"/>
              <w:pageBreakBefore w:val="0"/>
              <w:wordWrap/>
              <w:bidi w:val="0"/>
              <w:adjustRightInd/>
              <w:snapToGrid/>
              <w:rPr>
                <w:color w:val="auto"/>
                <w:sz w:val="21"/>
                <w:szCs w:val="21"/>
              </w:rPr>
            </w:pPr>
          </w:p>
        </w:tc>
      </w:tr>
      <w:tr w14:paraId="4BFB628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1263F97">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49</w:t>
            </w:r>
          </w:p>
        </w:tc>
        <w:tc>
          <w:tcPr>
            <w:tcW w:w="189" w:type="pct"/>
            <w:vMerge w:val="continue"/>
            <w:tcBorders>
              <w:tl2br w:val="nil"/>
              <w:tr2bl w:val="nil"/>
            </w:tcBorders>
            <w:vAlign w:val="center"/>
          </w:tcPr>
          <w:p w14:paraId="79F638D9">
            <w:pPr>
              <w:pStyle w:val="16"/>
              <w:pageBreakBefore w:val="0"/>
              <w:wordWrap/>
              <w:bidi w:val="0"/>
              <w:adjustRightInd/>
              <w:snapToGrid/>
              <w:rPr>
                <w:color w:val="auto"/>
                <w:sz w:val="21"/>
                <w:szCs w:val="21"/>
              </w:rPr>
            </w:pPr>
          </w:p>
        </w:tc>
        <w:tc>
          <w:tcPr>
            <w:tcW w:w="624" w:type="pct"/>
            <w:tcBorders>
              <w:tl2br w:val="nil"/>
              <w:tr2bl w:val="nil"/>
            </w:tcBorders>
            <w:vAlign w:val="center"/>
          </w:tcPr>
          <w:p w14:paraId="1C6B4639">
            <w:pPr>
              <w:pStyle w:val="16"/>
              <w:pageBreakBefore w:val="0"/>
              <w:wordWrap/>
              <w:bidi w:val="0"/>
              <w:adjustRightInd/>
              <w:snapToGrid/>
              <w:ind w:left="0" w:leftChars="0" w:firstLine="0" w:firstLineChars="0"/>
              <w:rPr>
                <w:color w:val="auto"/>
                <w:sz w:val="21"/>
                <w:szCs w:val="21"/>
              </w:rPr>
            </w:pPr>
            <w:r>
              <w:rPr>
                <w:color w:val="auto"/>
                <w:sz w:val="21"/>
                <w:szCs w:val="21"/>
              </w:rPr>
              <w:t>石灰乳泵</w:t>
            </w:r>
          </w:p>
        </w:tc>
        <w:tc>
          <w:tcPr>
            <w:tcW w:w="286" w:type="pct"/>
            <w:tcBorders>
              <w:tl2br w:val="nil"/>
              <w:tr2bl w:val="nil"/>
            </w:tcBorders>
            <w:vAlign w:val="center"/>
          </w:tcPr>
          <w:p w14:paraId="19CE9E58">
            <w:pPr>
              <w:pStyle w:val="16"/>
              <w:pageBreakBefore w:val="0"/>
              <w:wordWrap/>
              <w:bidi w:val="0"/>
              <w:adjustRightInd/>
              <w:snapToGrid/>
              <w:ind w:left="0" w:leftChars="0" w:firstLine="0" w:firstLineChars="0"/>
              <w:rPr>
                <w:color w:val="auto"/>
                <w:sz w:val="21"/>
                <w:szCs w:val="21"/>
              </w:rPr>
            </w:pPr>
            <w:r>
              <w:rPr>
                <w:color w:val="auto"/>
                <w:sz w:val="21"/>
                <w:szCs w:val="21"/>
              </w:rPr>
              <w:t>2</w:t>
            </w:r>
          </w:p>
        </w:tc>
        <w:tc>
          <w:tcPr>
            <w:tcW w:w="372" w:type="pct"/>
            <w:tcBorders>
              <w:tl2br w:val="nil"/>
              <w:tr2bl w:val="nil"/>
            </w:tcBorders>
            <w:vAlign w:val="center"/>
          </w:tcPr>
          <w:p w14:paraId="6F091810">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405740BC">
            <w:pPr>
              <w:pStyle w:val="16"/>
              <w:pageBreakBefore w:val="0"/>
              <w:wordWrap/>
              <w:bidi w:val="0"/>
              <w:adjustRightInd/>
              <w:snapToGrid/>
              <w:rPr>
                <w:color w:val="auto"/>
                <w:sz w:val="21"/>
                <w:szCs w:val="21"/>
              </w:rPr>
            </w:pPr>
          </w:p>
        </w:tc>
        <w:tc>
          <w:tcPr>
            <w:tcW w:w="213" w:type="pct"/>
            <w:tcBorders>
              <w:tl2br w:val="nil"/>
              <w:tr2bl w:val="nil"/>
            </w:tcBorders>
            <w:vAlign w:val="center"/>
          </w:tcPr>
          <w:p w14:paraId="66BE480B">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151.5</w:t>
            </w:r>
          </w:p>
        </w:tc>
        <w:tc>
          <w:tcPr>
            <w:tcW w:w="212" w:type="pct"/>
            <w:tcBorders>
              <w:tl2br w:val="nil"/>
              <w:tr2bl w:val="nil"/>
            </w:tcBorders>
            <w:vAlign w:val="center"/>
          </w:tcPr>
          <w:p w14:paraId="7B8E7652">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12.4</w:t>
            </w:r>
          </w:p>
        </w:tc>
        <w:tc>
          <w:tcPr>
            <w:tcW w:w="215" w:type="pct"/>
            <w:tcBorders>
              <w:tl2br w:val="nil"/>
              <w:tr2bl w:val="nil"/>
            </w:tcBorders>
            <w:vAlign w:val="center"/>
          </w:tcPr>
          <w:p w14:paraId="2FBFD8D8">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0.5</w:t>
            </w:r>
          </w:p>
        </w:tc>
        <w:tc>
          <w:tcPr>
            <w:tcW w:w="336" w:type="pct"/>
            <w:tcBorders>
              <w:tl2br w:val="nil"/>
              <w:tr2bl w:val="nil"/>
            </w:tcBorders>
            <w:vAlign w:val="center"/>
          </w:tcPr>
          <w:p w14:paraId="47BBD378">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436" w:type="pct"/>
            <w:tcBorders>
              <w:tl2br w:val="nil"/>
              <w:tr2bl w:val="nil"/>
            </w:tcBorders>
            <w:vAlign w:val="center"/>
          </w:tcPr>
          <w:p w14:paraId="13E86DD1">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85</w:t>
            </w:r>
          </w:p>
        </w:tc>
        <w:tc>
          <w:tcPr>
            <w:tcW w:w="263" w:type="pct"/>
            <w:vMerge w:val="continue"/>
            <w:tcBorders>
              <w:tl2br w:val="nil"/>
              <w:tr2bl w:val="nil"/>
            </w:tcBorders>
            <w:vAlign w:val="center"/>
          </w:tcPr>
          <w:p w14:paraId="2685FEE2">
            <w:pPr>
              <w:pStyle w:val="16"/>
              <w:pageBreakBefore w:val="0"/>
              <w:wordWrap/>
              <w:bidi w:val="0"/>
              <w:adjustRightInd/>
              <w:snapToGrid/>
              <w:rPr>
                <w:color w:val="auto"/>
                <w:sz w:val="21"/>
                <w:szCs w:val="21"/>
              </w:rPr>
            </w:pPr>
          </w:p>
        </w:tc>
        <w:tc>
          <w:tcPr>
            <w:tcW w:w="464" w:type="pct"/>
            <w:tcBorders>
              <w:tl2br w:val="nil"/>
              <w:tr2bl w:val="nil"/>
            </w:tcBorders>
            <w:vAlign w:val="center"/>
          </w:tcPr>
          <w:p w14:paraId="4FAC3352">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53E1464F">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12E4C526">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281" w:type="pct"/>
            <w:vMerge w:val="continue"/>
            <w:tcBorders>
              <w:tl2br w:val="nil"/>
              <w:tr2bl w:val="nil"/>
            </w:tcBorders>
            <w:vAlign w:val="center"/>
          </w:tcPr>
          <w:p w14:paraId="5616CEDD">
            <w:pPr>
              <w:pStyle w:val="16"/>
              <w:pageBreakBefore w:val="0"/>
              <w:wordWrap/>
              <w:bidi w:val="0"/>
              <w:adjustRightInd/>
              <w:snapToGrid/>
              <w:rPr>
                <w:color w:val="auto"/>
                <w:sz w:val="21"/>
                <w:szCs w:val="21"/>
              </w:rPr>
            </w:pPr>
          </w:p>
        </w:tc>
      </w:tr>
      <w:tr w14:paraId="6C97643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387F212">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50</w:t>
            </w:r>
          </w:p>
        </w:tc>
        <w:tc>
          <w:tcPr>
            <w:tcW w:w="189" w:type="pct"/>
            <w:vMerge w:val="continue"/>
            <w:tcBorders>
              <w:tl2br w:val="nil"/>
              <w:tr2bl w:val="nil"/>
            </w:tcBorders>
            <w:vAlign w:val="center"/>
          </w:tcPr>
          <w:p w14:paraId="6F0AA9B0">
            <w:pPr>
              <w:pStyle w:val="16"/>
              <w:pageBreakBefore w:val="0"/>
              <w:wordWrap/>
              <w:bidi w:val="0"/>
              <w:adjustRightInd/>
              <w:snapToGrid/>
              <w:rPr>
                <w:color w:val="auto"/>
                <w:sz w:val="21"/>
                <w:szCs w:val="21"/>
              </w:rPr>
            </w:pPr>
          </w:p>
        </w:tc>
        <w:tc>
          <w:tcPr>
            <w:tcW w:w="624" w:type="pct"/>
            <w:tcBorders>
              <w:tl2br w:val="nil"/>
              <w:tr2bl w:val="nil"/>
            </w:tcBorders>
            <w:vAlign w:val="center"/>
          </w:tcPr>
          <w:p w14:paraId="61BDEF6B">
            <w:pPr>
              <w:pStyle w:val="16"/>
              <w:pageBreakBefore w:val="0"/>
              <w:wordWrap/>
              <w:bidi w:val="0"/>
              <w:adjustRightInd/>
              <w:snapToGrid/>
              <w:ind w:left="0" w:leftChars="0" w:firstLine="0" w:firstLineChars="0"/>
              <w:rPr>
                <w:color w:val="auto"/>
                <w:sz w:val="21"/>
                <w:szCs w:val="21"/>
              </w:rPr>
            </w:pPr>
            <w:r>
              <w:rPr>
                <w:color w:val="auto"/>
                <w:sz w:val="21"/>
                <w:szCs w:val="21"/>
              </w:rPr>
              <w:t>铁盐计量泵</w:t>
            </w:r>
          </w:p>
        </w:tc>
        <w:tc>
          <w:tcPr>
            <w:tcW w:w="286" w:type="pct"/>
            <w:tcBorders>
              <w:tl2br w:val="nil"/>
              <w:tr2bl w:val="nil"/>
            </w:tcBorders>
            <w:vAlign w:val="center"/>
          </w:tcPr>
          <w:p w14:paraId="714C5744">
            <w:pPr>
              <w:pStyle w:val="16"/>
              <w:pageBreakBefore w:val="0"/>
              <w:wordWrap/>
              <w:bidi w:val="0"/>
              <w:adjustRightInd/>
              <w:snapToGrid/>
              <w:ind w:left="0" w:leftChars="0" w:firstLine="0" w:firstLineChars="0"/>
              <w:rPr>
                <w:color w:val="auto"/>
                <w:sz w:val="21"/>
                <w:szCs w:val="21"/>
              </w:rPr>
            </w:pPr>
            <w:r>
              <w:rPr>
                <w:color w:val="auto"/>
                <w:sz w:val="21"/>
                <w:szCs w:val="21"/>
              </w:rPr>
              <w:t>2</w:t>
            </w:r>
          </w:p>
        </w:tc>
        <w:tc>
          <w:tcPr>
            <w:tcW w:w="372" w:type="pct"/>
            <w:tcBorders>
              <w:tl2br w:val="nil"/>
              <w:tr2bl w:val="nil"/>
            </w:tcBorders>
            <w:vAlign w:val="center"/>
          </w:tcPr>
          <w:p w14:paraId="24373EE8">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7C2E23F9">
            <w:pPr>
              <w:pStyle w:val="16"/>
              <w:pageBreakBefore w:val="0"/>
              <w:wordWrap/>
              <w:bidi w:val="0"/>
              <w:adjustRightInd/>
              <w:snapToGrid/>
              <w:rPr>
                <w:color w:val="auto"/>
                <w:sz w:val="21"/>
                <w:szCs w:val="21"/>
              </w:rPr>
            </w:pPr>
          </w:p>
        </w:tc>
        <w:tc>
          <w:tcPr>
            <w:tcW w:w="213" w:type="pct"/>
            <w:tcBorders>
              <w:tl2br w:val="nil"/>
              <w:tr2bl w:val="nil"/>
            </w:tcBorders>
            <w:vAlign w:val="center"/>
          </w:tcPr>
          <w:p w14:paraId="64076D38">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151.5</w:t>
            </w:r>
          </w:p>
        </w:tc>
        <w:tc>
          <w:tcPr>
            <w:tcW w:w="212" w:type="pct"/>
            <w:tcBorders>
              <w:tl2br w:val="nil"/>
              <w:tr2bl w:val="nil"/>
            </w:tcBorders>
            <w:vAlign w:val="center"/>
          </w:tcPr>
          <w:p w14:paraId="5A16886B">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12.4</w:t>
            </w:r>
          </w:p>
        </w:tc>
        <w:tc>
          <w:tcPr>
            <w:tcW w:w="215" w:type="pct"/>
            <w:tcBorders>
              <w:tl2br w:val="nil"/>
              <w:tr2bl w:val="nil"/>
            </w:tcBorders>
            <w:vAlign w:val="center"/>
          </w:tcPr>
          <w:p w14:paraId="4ED6D9E7">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0.5</w:t>
            </w:r>
          </w:p>
        </w:tc>
        <w:tc>
          <w:tcPr>
            <w:tcW w:w="336" w:type="pct"/>
            <w:tcBorders>
              <w:tl2br w:val="nil"/>
              <w:tr2bl w:val="nil"/>
            </w:tcBorders>
            <w:vAlign w:val="center"/>
          </w:tcPr>
          <w:p w14:paraId="68675A77">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436" w:type="pct"/>
            <w:tcBorders>
              <w:tl2br w:val="nil"/>
              <w:tr2bl w:val="nil"/>
            </w:tcBorders>
            <w:vAlign w:val="center"/>
          </w:tcPr>
          <w:p w14:paraId="158C3768">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85</w:t>
            </w:r>
          </w:p>
        </w:tc>
        <w:tc>
          <w:tcPr>
            <w:tcW w:w="263" w:type="pct"/>
            <w:vMerge w:val="continue"/>
            <w:tcBorders>
              <w:tl2br w:val="nil"/>
              <w:tr2bl w:val="nil"/>
            </w:tcBorders>
            <w:vAlign w:val="center"/>
          </w:tcPr>
          <w:p w14:paraId="319798C3">
            <w:pPr>
              <w:pStyle w:val="16"/>
              <w:pageBreakBefore w:val="0"/>
              <w:wordWrap/>
              <w:bidi w:val="0"/>
              <w:adjustRightInd/>
              <w:snapToGrid/>
              <w:rPr>
                <w:color w:val="auto"/>
                <w:sz w:val="21"/>
                <w:szCs w:val="21"/>
              </w:rPr>
            </w:pPr>
          </w:p>
        </w:tc>
        <w:tc>
          <w:tcPr>
            <w:tcW w:w="464" w:type="pct"/>
            <w:tcBorders>
              <w:tl2br w:val="nil"/>
              <w:tr2bl w:val="nil"/>
            </w:tcBorders>
            <w:vAlign w:val="center"/>
          </w:tcPr>
          <w:p w14:paraId="291A5E16">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5727AE28">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26356312">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281" w:type="pct"/>
            <w:vMerge w:val="continue"/>
            <w:tcBorders>
              <w:tl2br w:val="nil"/>
              <w:tr2bl w:val="nil"/>
            </w:tcBorders>
            <w:vAlign w:val="center"/>
          </w:tcPr>
          <w:p w14:paraId="14BB43B3">
            <w:pPr>
              <w:pStyle w:val="16"/>
              <w:pageBreakBefore w:val="0"/>
              <w:wordWrap/>
              <w:bidi w:val="0"/>
              <w:adjustRightInd/>
              <w:snapToGrid/>
              <w:rPr>
                <w:color w:val="auto"/>
                <w:sz w:val="21"/>
                <w:szCs w:val="21"/>
              </w:rPr>
            </w:pPr>
          </w:p>
        </w:tc>
      </w:tr>
      <w:tr w14:paraId="2FDEAF2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4D296420">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51</w:t>
            </w:r>
          </w:p>
        </w:tc>
        <w:tc>
          <w:tcPr>
            <w:tcW w:w="189" w:type="pct"/>
            <w:vMerge w:val="continue"/>
            <w:tcBorders>
              <w:tl2br w:val="nil"/>
              <w:tr2bl w:val="nil"/>
            </w:tcBorders>
            <w:vAlign w:val="center"/>
          </w:tcPr>
          <w:p w14:paraId="66F45B7B">
            <w:pPr>
              <w:pStyle w:val="16"/>
              <w:pageBreakBefore w:val="0"/>
              <w:wordWrap/>
              <w:bidi w:val="0"/>
              <w:adjustRightInd/>
              <w:snapToGrid/>
              <w:rPr>
                <w:color w:val="auto"/>
                <w:sz w:val="21"/>
                <w:szCs w:val="21"/>
              </w:rPr>
            </w:pPr>
          </w:p>
        </w:tc>
        <w:tc>
          <w:tcPr>
            <w:tcW w:w="624" w:type="pct"/>
            <w:tcBorders>
              <w:tl2br w:val="nil"/>
              <w:tr2bl w:val="nil"/>
            </w:tcBorders>
            <w:vAlign w:val="center"/>
          </w:tcPr>
          <w:p w14:paraId="495B1B79">
            <w:pPr>
              <w:pStyle w:val="16"/>
              <w:pageBreakBefore w:val="0"/>
              <w:wordWrap/>
              <w:bidi w:val="0"/>
              <w:adjustRightInd/>
              <w:snapToGrid/>
              <w:ind w:left="0" w:leftChars="0" w:firstLine="0" w:firstLineChars="0"/>
              <w:rPr>
                <w:color w:val="auto"/>
                <w:sz w:val="21"/>
                <w:szCs w:val="21"/>
              </w:rPr>
            </w:pPr>
            <w:r>
              <w:rPr>
                <w:color w:val="auto"/>
                <w:sz w:val="21"/>
                <w:szCs w:val="21"/>
              </w:rPr>
              <w:t>铁盐卸药泵</w:t>
            </w:r>
          </w:p>
        </w:tc>
        <w:tc>
          <w:tcPr>
            <w:tcW w:w="286" w:type="pct"/>
            <w:tcBorders>
              <w:tl2br w:val="nil"/>
              <w:tr2bl w:val="nil"/>
            </w:tcBorders>
            <w:vAlign w:val="center"/>
          </w:tcPr>
          <w:p w14:paraId="4235076A">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372" w:type="pct"/>
            <w:tcBorders>
              <w:tl2br w:val="nil"/>
              <w:tr2bl w:val="nil"/>
            </w:tcBorders>
            <w:vAlign w:val="center"/>
          </w:tcPr>
          <w:p w14:paraId="49299E23">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2E133135">
            <w:pPr>
              <w:pStyle w:val="16"/>
              <w:pageBreakBefore w:val="0"/>
              <w:wordWrap/>
              <w:bidi w:val="0"/>
              <w:adjustRightInd/>
              <w:snapToGrid/>
              <w:rPr>
                <w:color w:val="auto"/>
                <w:sz w:val="21"/>
                <w:szCs w:val="21"/>
              </w:rPr>
            </w:pPr>
          </w:p>
        </w:tc>
        <w:tc>
          <w:tcPr>
            <w:tcW w:w="213" w:type="pct"/>
            <w:tcBorders>
              <w:tl2br w:val="nil"/>
              <w:tr2bl w:val="nil"/>
            </w:tcBorders>
            <w:vAlign w:val="center"/>
          </w:tcPr>
          <w:p w14:paraId="4CFF50EA">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151.5</w:t>
            </w:r>
          </w:p>
        </w:tc>
        <w:tc>
          <w:tcPr>
            <w:tcW w:w="212" w:type="pct"/>
            <w:tcBorders>
              <w:tl2br w:val="nil"/>
              <w:tr2bl w:val="nil"/>
            </w:tcBorders>
            <w:vAlign w:val="center"/>
          </w:tcPr>
          <w:p w14:paraId="5286CEC3">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12.4</w:t>
            </w:r>
          </w:p>
        </w:tc>
        <w:tc>
          <w:tcPr>
            <w:tcW w:w="215" w:type="pct"/>
            <w:tcBorders>
              <w:tl2br w:val="nil"/>
              <w:tr2bl w:val="nil"/>
            </w:tcBorders>
            <w:vAlign w:val="center"/>
          </w:tcPr>
          <w:p w14:paraId="346449E4">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0.5</w:t>
            </w:r>
          </w:p>
        </w:tc>
        <w:tc>
          <w:tcPr>
            <w:tcW w:w="336" w:type="pct"/>
            <w:tcBorders>
              <w:tl2br w:val="nil"/>
              <w:tr2bl w:val="nil"/>
            </w:tcBorders>
            <w:vAlign w:val="center"/>
          </w:tcPr>
          <w:p w14:paraId="7099443B">
            <w:pPr>
              <w:pStyle w:val="16"/>
              <w:pageBreakBefore w:val="0"/>
              <w:wordWrap/>
              <w:bidi w:val="0"/>
              <w:adjustRightInd/>
              <w:snapToGrid/>
              <w:rPr>
                <w:color w:val="auto"/>
                <w:sz w:val="21"/>
                <w:szCs w:val="21"/>
              </w:rPr>
            </w:pPr>
            <w:r>
              <w:rPr>
                <w:color w:val="auto"/>
                <w:sz w:val="21"/>
                <w:szCs w:val="21"/>
              </w:rPr>
              <w:t>1</w:t>
            </w:r>
          </w:p>
        </w:tc>
        <w:tc>
          <w:tcPr>
            <w:tcW w:w="436" w:type="pct"/>
            <w:tcBorders>
              <w:tl2br w:val="nil"/>
              <w:tr2bl w:val="nil"/>
            </w:tcBorders>
            <w:vAlign w:val="center"/>
          </w:tcPr>
          <w:p w14:paraId="2EF9CA34">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85</w:t>
            </w:r>
          </w:p>
        </w:tc>
        <w:tc>
          <w:tcPr>
            <w:tcW w:w="263" w:type="pct"/>
            <w:vMerge w:val="continue"/>
            <w:tcBorders>
              <w:tl2br w:val="nil"/>
              <w:tr2bl w:val="nil"/>
            </w:tcBorders>
            <w:vAlign w:val="center"/>
          </w:tcPr>
          <w:p w14:paraId="7AED0475">
            <w:pPr>
              <w:pStyle w:val="16"/>
              <w:pageBreakBefore w:val="0"/>
              <w:wordWrap/>
              <w:bidi w:val="0"/>
              <w:adjustRightInd/>
              <w:snapToGrid/>
              <w:rPr>
                <w:color w:val="auto"/>
                <w:sz w:val="21"/>
                <w:szCs w:val="21"/>
              </w:rPr>
            </w:pPr>
          </w:p>
        </w:tc>
        <w:tc>
          <w:tcPr>
            <w:tcW w:w="464" w:type="pct"/>
            <w:tcBorders>
              <w:tl2br w:val="nil"/>
              <w:tr2bl w:val="nil"/>
            </w:tcBorders>
            <w:vAlign w:val="center"/>
          </w:tcPr>
          <w:p w14:paraId="42252B12">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28196C18">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55C8DD61">
            <w:pPr>
              <w:pStyle w:val="16"/>
              <w:pageBreakBefore w:val="0"/>
              <w:wordWrap/>
              <w:bidi w:val="0"/>
              <w:adjustRightInd/>
              <w:snapToGrid/>
              <w:rPr>
                <w:color w:val="auto"/>
                <w:sz w:val="21"/>
                <w:szCs w:val="21"/>
              </w:rPr>
            </w:pPr>
            <w:r>
              <w:rPr>
                <w:color w:val="auto"/>
                <w:sz w:val="21"/>
                <w:szCs w:val="21"/>
              </w:rPr>
              <w:t>1</w:t>
            </w:r>
          </w:p>
        </w:tc>
        <w:tc>
          <w:tcPr>
            <w:tcW w:w="281" w:type="pct"/>
            <w:vMerge w:val="continue"/>
            <w:tcBorders>
              <w:tl2br w:val="nil"/>
              <w:tr2bl w:val="nil"/>
            </w:tcBorders>
            <w:vAlign w:val="center"/>
          </w:tcPr>
          <w:p w14:paraId="3440BA12">
            <w:pPr>
              <w:pStyle w:val="16"/>
              <w:pageBreakBefore w:val="0"/>
              <w:wordWrap/>
              <w:bidi w:val="0"/>
              <w:adjustRightInd/>
              <w:snapToGrid/>
              <w:rPr>
                <w:color w:val="auto"/>
                <w:sz w:val="21"/>
                <w:szCs w:val="21"/>
              </w:rPr>
            </w:pPr>
          </w:p>
        </w:tc>
      </w:tr>
      <w:tr w14:paraId="36AFC4A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2CB39034">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52</w:t>
            </w:r>
          </w:p>
        </w:tc>
        <w:tc>
          <w:tcPr>
            <w:tcW w:w="189" w:type="pct"/>
            <w:vMerge w:val="continue"/>
            <w:tcBorders>
              <w:tl2br w:val="nil"/>
              <w:tr2bl w:val="nil"/>
            </w:tcBorders>
            <w:vAlign w:val="center"/>
          </w:tcPr>
          <w:p w14:paraId="6CC28056">
            <w:pPr>
              <w:pStyle w:val="16"/>
              <w:pageBreakBefore w:val="0"/>
              <w:wordWrap/>
              <w:bidi w:val="0"/>
              <w:adjustRightInd/>
              <w:snapToGrid/>
              <w:rPr>
                <w:color w:val="auto"/>
                <w:sz w:val="21"/>
                <w:szCs w:val="21"/>
              </w:rPr>
            </w:pPr>
          </w:p>
        </w:tc>
        <w:tc>
          <w:tcPr>
            <w:tcW w:w="624" w:type="pct"/>
            <w:tcBorders>
              <w:tl2br w:val="nil"/>
              <w:tr2bl w:val="nil"/>
            </w:tcBorders>
            <w:vAlign w:val="center"/>
          </w:tcPr>
          <w:p w14:paraId="15BC8D56">
            <w:pPr>
              <w:pStyle w:val="16"/>
              <w:pageBreakBefore w:val="0"/>
              <w:wordWrap/>
              <w:bidi w:val="0"/>
              <w:adjustRightInd/>
              <w:snapToGrid/>
              <w:ind w:left="0" w:leftChars="0" w:firstLine="0" w:firstLineChars="0"/>
              <w:rPr>
                <w:color w:val="auto"/>
                <w:sz w:val="21"/>
                <w:szCs w:val="21"/>
              </w:rPr>
            </w:pPr>
            <w:r>
              <w:rPr>
                <w:color w:val="auto"/>
                <w:sz w:val="21"/>
                <w:szCs w:val="21"/>
              </w:rPr>
              <w:t>空气压缩机</w:t>
            </w:r>
          </w:p>
        </w:tc>
        <w:tc>
          <w:tcPr>
            <w:tcW w:w="286" w:type="pct"/>
            <w:tcBorders>
              <w:tl2br w:val="nil"/>
              <w:tr2bl w:val="nil"/>
            </w:tcBorders>
            <w:vAlign w:val="center"/>
          </w:tcPr>
          <w:p w14:paraId="42B88F96">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372" w:type="pct"/>
            <w:tcBorders>
              <w:tl2br w:val="nil"/>
              <w:tr2bl w:val="nil"/>
            </w:tcBorders>
            <w:vAlign w:val="center"/>
          </w:tcPr>
          <w:p w14:paraId="0950666B">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90</w:t>
            </w:r>
          </w:p>
        </w:tc>
        <w:tc>
          <w:tcPr>
            <w:tcW w:w="372" w:type="pct"/>
            <w:vMerge w:val="continue"/>
            <w:tcBorders>
              <w:tl2br w:val="nil"/>
              <w:tr2bl w:val="nil"/>
            </w:tcBorders>
            <w:vAlign w:val="center"/>
          </w:tcPr>
          <w:p w14:paraId="37A3111B">
            <w:pPr>
              <w:pStyle w:val="16"/>
              <w:pageBreakBefore w:val="0"/>
              <w:wordWrap/>
              <w:bidi w:val="0"/>
              <w:adjustRightInd/>
              <w:snapToGrid/>
              <w:rPr>
                <w:color w:val="auto"/>
                <w:sz w:val="21"/>
                <w:szCs w:val="21"/>
              </w:rPr>
            </w:pPr>
          </w:p>
        </w:tc>
        <w:tc>
          <w:tcPr>
            <w:tcW w:w="213" w:type="pct"/>
            <w:tcBorders>
              <w:tl2br w:val="nil"/>
              <w:tr2bl w:val="nil"/>
            </w:tcBorders>
            <w:vAlign w:val="center"/>
          </w:tcPr>
          <w:p w14:paraId="2C6797E1">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151.5</w:t>
            </w:r>
          </w:p>
        </w:tc>
        <w:tc>
          <w:tcPr>
            <w:tcW w:w="212" w:type="pct"/>
            <w:tcBorders>
              <w:tl2br w:val="nil"/>
              <w:tr2bl w:val="nil"/>
            </w:tcBorders>
            <w:vAlign w:val="center"/>
          </w:tcPr>
          <w:p w14:paraId="39349E77">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13</w:t>
            </w:r>
          </w:p>
        </w:tc>
        <w:tc>
          <w:tcPr>
            <w:tcW w:w="215" w:type="pct"/>
            <w:tcBorders>
              <w:tl2br w:val="nil"/>
              <w:tr2bl w:val="nil"/>
            </w:tcBorders>
            <w:vAlign w:val="center"/>
          </w:tcPr>
          <w:p w14:paraId="07B46569">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276CF517">
            <w:pPr>
              <w:pStyle w:val="16"/>
              <w:pageBreakBefore w:val="0"/>
              <w:wordWrap/>
              <w:bidi w:val="0"/>
              <w:adjustRightInd/>
              <w:snapToGrid/>
              <w:rPr>
                <w:color w:val="auto"/>
                <w:sz w:val="21"/>
                <w:szCs w:val="21"/>
              </w:rPr>
            </w:pPr>
            <w:r>
              <w:rPr>
                <w:color w:val="auto"/>
                <w:sz w:val="21"/>
                <w:szCs w:val="21"/>
              </w:rPr>
              <w:t>1</w:t>
            </w:r>
          </w:p>
        </w:tc>
        <w:tc>
          <w:tcPr>
            <w:tcW w:w="436" w:type="pct"/>
            <w:tcBorders>
              <w:tl2br w:val="nil"/>
              <w:tr2bl w:val="nil"/>
            </w:tcBorders>
            <w:vAlign w:val="center"/>
          </w:tcPr>
          <w:p w14:paraId="193F9FE3">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90</w:t>
            </w:r>
          </w:p>
        </w:tc>
        <w:tc>
          <w:tcPr>
            <w:tcW w:w="263" w:type="pct"/>
            <w:vMerge w:val="continue"/>
            <w:tcBorders>
              <w:tl2br w:val="nil"/>
              <w:tr2bl w:val="nil"/>
            </w:tcBorders>
            <w:vAlign w:val="center"/>
          </w:tcPr>
          <w:p w14:paraId="4FFC1467">
            <w:pPr>
              <w:pStyle w:val="16"/>
              <w:pageBreakBefore w:val="0"/>
              <w:wordWrap/>
              <w:bidi w:val="0"/>
              <w:adjustRightInd/>
              <w:snapToGrid/>
              <w:rPr>
                <w:color w:val="auto"/>
                <w:sz w:val="21"/>
                <w:szCs w:val="21"/>
              </w:rPr>
            </w:pPr>
          </w:p>
        </w:tc>
        <w:tc>
          <w:tcPr>
            <w:tcW w:w="464" w:type="pct"/>
            <w:tcBorders>
              <w:tl2br w:val="nil"/>
              <w:tr2bl w:val="nil"/>
            </w:tcBorders>
            <w:vAlign w:val="center"/>
          </w:tcPr>
          <w:p w14:paraId="0E71AADA">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00B0483A">
            <w:pPr>
              <w:pStyle w:val="16"/>
              <w:bidi w:val="0"/>
              <w:rPr>
                <w:rFonts w:hint="default"/>
                <w:color w:val="auto"/>
                <w:lang w:val="en-US" w:eastAsia="zh-CN"/>
              </w:rPr>
            </w:pPr>
            <w:r>
              <w:rPr>
                <w:rFonts w:hint="default"/>
                <w:color w:val="auto"/>
                <w:lang w:val="en-US" w:eastAsia="zh-CN"/>
              </w:rPr>
              <w:t>45.2</w:t>
            </w:r>
          </w:p>
        </w:tc>
        <w:tc>
          <w:tcPr>
            <w:tcW w:w="285" w:type="pct"/>
            <w:tcBorders>
              <w:tl2br w:val="nil"/>
              <w:tr2bl w:val="nil"/>
            </w:tcBorders>
            <w:vAlign w:val="center"/>
          </w:tcPr>
          <w:p w14:paraId="60EDB53A">
            <w:pPr>
              <w:pStyle w:val="16"/>
              <w:pageBreakBefore w:val="0"/>
              <w:wordWrap/>
              <w:bidi w:val="0"/>
              <w:adjustRightInd/>
              <w:snapToGrid/>
              <w:rPr>
                <w:color w:val="auto"/>
                <w:sz w:val="21"/>
                <w:szCs w:val="21"/>
              </w:rPr>
            </w:pPr>
            <w:r>
              <w:rPr>
                <w:color w:val="auto"/>
                <w:sz w:val="21"/>
                <w:szCs w:val="21"/>
              </w:rPr>
              <w:t>1</w:t>
            </w:r>
          </w:p>
        </w:tc>
        <w:tc>
          <w:tcPr>
            <w:tcW w:w="281" w:type="pct"/>
            <w:vMerge w:val="continue"/>
            <w:tcBorders>
              <w:tl2br w:val="nil"/>
              <w:tr2bl w:val="nil"/>
            </w:tcBorders>
            <w:vAlign w:val="center"/>
          </w:tcPr>
          <w:p w14:paraId="09B1157D">
            <w:pPr>
              <w:pStyle w:val="16"/>
              <w:pageBreakBefore w:val="0"/>
              <w:wordWrap/>
              <w:bidi w:val="0"/>
              <w:adjustRightInd/>
              <w:snapToGrid/>
              <w:rPr>
                <w:color w:val="auto"/>
                <w:sz w:val="21"/>
                <w:szCs w:val="21"/>
              </w:rPr>
            </w:pPr>
          </w:p>
        </w:tc>
      </w:tr>
      <w:tr w14:paraId="07B5EFB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8E371B5">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53</w:t>
            </w:r>
          </w:p>
        </w:tc>
        <w:tc>
          <w:tcPr>
            <w:tcW w:w="189" w:type="pct"/>
            <w:vMerge w:val="continue"/>
            <w:tcBorders>
              <w:tl2br w:val="nil"/>
              <w:tr2bl w:val="nil"/>
            </w:tcBorders>
            <w:vAlign w:val="center"/>
          </w:tcPr>
          <w:p w14:paraId="3A9ADD45">
            <w:pPr>
              <w:pStyle w:val="16"/>
              <w:pageBreakBefore w:val="0"/>
              <w:wordWrap/>
              <w:bidi w:val="0"/>
              <w:adjustRightInd/>
              <w:snapToGrid/>
              <w:rPr>
                <w:color w:val="auto"/>
                <w:sz w:val="21"/>
                <w:szCs w:val="21"/>
              </w:rPr>
            </w:pPr>
          </w:p>
        </w:tc>
        <w:tc>
          <w:tcPr>
            <w:tcW w:w="624" w:type="pct"/>
            <w:tcBorders>
              <w:tl2br w:val="nil"/>
              <w:tr2bl w:val="nil"/>
            </w:tcBorders>
            <w:vAlign w:val="center"/>
          </w:tcPr>
          <w:p w14:paraId="3B9DF0B3">
            <w:pPr>
              <w:pStyle w:val="16"/>
              <w:pageBreakBefore w:val="0"/>
              <w:wordWrap/>
              <w:bidi w:val="0"/>
              <w:adjustRightInd/>
              <w:snapToGrid/>
              <w:ind w:left="0" w:leftChars="0" w:firstLine="0" w:firstLineChars="0"/>
              <w:rPr>
                <w:color w:val="auto"/>
                <w:sz w:val="21"/>
                <w:szCs w:val="21"/>
              </w:rPr>
            </w:pPr>
            <w:r>
              <w:rPr>
                <w:color w:val="auto"/>
                <w:sz w:val="21"/>
                <w:szCs w:val="21"/>
              </w:rPr>
              <w:t>冷干机</w:t>
            </w:r>
          </w:p>
        </w:tc>
        <w:tc>
          <w:tcPr>
            <w:tcW w:w="286" w:type="pct"/>
            <w:tcBorders>
              <w:tl2br w:val="nil"/>
              <w:tr2bl w:val="nil"/>
            </w:tcBorders>
            <w:vAlign w:val="center"/>
          </w:tcPr>
          <w:p w14:paraId="75BB2308">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372" w:type="pct"/>
            <w:tcBorders>
              <w:tl2br w:val="nil"/>
              <w:tr2bl w:val="nil"/>
            </w:tcBorders>
            <w:vAlign w:val="center"/>
          </w:tcPr>
          <w:p w14:paraId="0BDF665B">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75</w:t>
            </w:r>
          </w:p>
        </w:tc>
        <w:tc>
          <w:tcPr>
            <w:tcW w:w="372" w:type="pct"/>
            <w:vMerge w:val="continue"/>
            <w:tcBorders>
              <w:tl2br w:val="nil"/>
              <w:tr2bl w:val="nil"/>
            </w:tcBorders>
            <w:vAlign w:val="center"/>
          </w:tcPr>
          <w:p w14:paraId="0412AA30">
            <w:pPr>
              <w:pStyle w:val="16"/>
              <w:pageBreakBefore w:val="0"/>
              <w:wordWrap/>
              <w:bidi w:val="0"/>
              <w:adjustRightInd/>
              <w:snapToGrid/>
              <w:rPr>
                <w:color w:val="auto"/>
                <w:sz w:val="21"/>
                <w:szCs w:val="21"/>
              </w:rPr>
            </w:pPr>
          </w:p>
        </w:tc>
        <w:tc>
          <w:tcPr>
            <w:tcW w:w="213" w:type="pct"/>
            <w:tcBorders>
              <w:tl2br w:val="nil"/>
              <w:tr2bl w:val="nil"/>
            </w:tcBorders>
            <w:vAlign w:val="center"/>
          </w:tcPr>
          <w:p w14:paraId="7CA97BD6">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151.5</w:t>
            </w:r>
          </w:p>
        </w:tc>
        <w:tc>
          <w:tcPr>
            <w:tcW w:w="212" w:type="pct"/>
            <w:tcBorders>
              <w:tl2br w:val="nil"/>
              <w:tr2bl w:val="nil"/>
            </w:tcBorders>
            <w:vAlign w:val="center"/>
          </w:tcPr>
          <w:p w14:paraId="4607A091">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13</w:t>
            </w:r>
          </w:p>
        </w:tc>
        <w:tc>
          <w:tcPr>
            <w:tcW w:w="215" w:type="pct"/>
            <w:tcBorders>
              <w:tl2br w:val="nil"/>
              <w:tr2bl w:val="nil"/>
            </w:tcBorders>
            <w:vAlign w:val="center"/>
          </w:tcPr>
          <w:p w14:paraId="09243278">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0642FF10">
            <w:pPr>
              <w:pStyle w:val="16"/>
              <w:pageBreakBefore w:val="0"/>
              <w:wordWrap/>
              <w:bidi w:val="0"/>
              <w:adjustRightInd/>
              <w:snapToGrid/>
              <w:rPr>
                <w:color w:val="auto"/>
                <w:sz w:val="21"/>
                <w:szCs w:val="21"/>
              </w:rPr>
            </w:pPr>
            <w:r>
              <w:rPr>
                <w:color w:val="auto"/>
                <w:sz w:val="21"/>
                <w:szCs w:val="21"/>
              </w:rPr>
              <w:t>1</w:t>
            </w:r>
          </w:p>
        </w:tc>
        <w:tc>
          <w:tcPr>
            <w:tcW w:w="436" w:type="pct"/>
            <w:tcBorders>
              <w:tl2br w:val="nil"/>
              <w:tr2bl w:val="nil"/>
            </w:tcBorders>
            <w:vAlign w:val="center"/>
          </w:tcPr>
          <w:p w14:paraId="03CC407C">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75</w:t>
            </w:r>
          </w:p>
        </w:tc>
        <w:tc>
          <w:tcPr>
            <w:tcW w:w="263" w:type="pct"/>
            <w:vMerge w:val="continue"/>
            <w:tcBorders>
              <w:tl2br w:val="nil"/>
              <w:tr2bl w:val="nil"/>
            </w:tcBorders>
            <w:vAlign w:val="center"/>
          </w:tcPr>
          <w:p w14:paraId="04A6BA12">
            <w:pPr>
              <w:pStyle w:val="16"/>
              <w:pageBreakBefore w:val="0"/>
              <w:wordWrap/>
              <w:bidi w:val="0"/>
              <w:adjustRightInd/>
              <w:snapToGrid/>
              <w:rPr>
                <w:color w:val="auto"/>
                <w:sz w:val="21"/>
                <w:szCs w:val="21"/>
              </w:rPr>
            </w:pPr>
          </w:p>
        </w:tc>
        <w:tc>
          <w:tcPr>
            <w:tcW w:w="464" w:type="pct"/>
            <w:tcBorders>
              <w:tl2br w:val="nil"/>
              <w:tr2bl w:val="nil"/>
            </w:tcBorders>
            <w:vAlign w:val="center"/>
          </w:tcPr>
          <w:p w14:paraId="60F2E0DA">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4325822A">
            <w:pPr>
              <w:pStyle w:val="16"/>
              <w:bidi w:val="0"/>
              <w:rPr>
                <w:rFonts w:hint="default"/>
                <w:color w:val="auto"/>
                <w:lang w:val="en-US" w:eastAsia="zh-CN"/>
              </w:rPr>
            </w:pPr>
            <w:r>
              <w:rPr>
                <w:rFonts w:hint="default"/>
                <w:color w:val="auto"/>
                <w:lang w:val="en-US" w:eastAsia="zh-CN"/>
              </w:rPr>
              <w:t>30.2</w:t>
            </w:r>
          </w:p>
        </w:tc>
        <w:tc>
          <w:tcPr>
            <w:tcW w:w="285" w:type="pct"/>
            <w:tcBorders>
              <w:tl2br w:val="nil"/>
              <w:tr2bl w:val="nil"/>
            </w:tcBorders>
            <w:vAlign w:val="center"/>
          </w:tcPr>
          <w:p w14:paraId="6388CA39">
            <w:pPr>
              <w:pStyle w:val="16"/>
              <w:pageBreakBefore w:val="0"/>
              <w:wordWrap/>
              <w:bidi w:val="0"/>
              <w:adjustRightInd/>
              <w:snapToGrid/>
              <w:rPr>
                <w:color w:val="auto"/>
                <w:sz w:val="21"/>
                <w:szCs w:val="21"/>
              </w:rPr>
            </w:pPr>
            <w:r>
              <w:rPr>
                <w:color w:val="auto"/>
                <w:sz w:val="21"/>
                <w:szCs w:val="21"/>
              </w:rPr>
              <w:t>1</w:t>
            </w:r>
          </w:p>
        </w:tc>
        <w:tc>
          <w:tcPr>
            <w:tcW w:w="281" w:type="pct"/>
            <w:vMerge w:val="continue"/>
            <w:tcBorders>
              <w:tl2br w:val="nil"/>
              <w:tr2bl w:val="nil"/>
            </w:tcBorders>
            <w:vAlign w:val="center"/>
          </w:tcPr>
          <w:p w14:paraId="6185168D">
            <w:pPr>
              <w:pStyle w:val="16"/>
              <w:pageBreakBefore w:val="0"/>
              <w:wordWrap/>
              <w:bidi w:val="0"/>
              <w:adjustRightInd/>
              <w:snapToGrid/>
              <w:rPr>
                <w:color w:val="auto"/>
                <w:sz w:val="21"/>
                <w:szCs w:val="21"/>
              </w:rPr>
            </w:pPr>
          </w:p>
        </w:tc>
      </w:tr>
      <w:tr w14:paraId="2EBE468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D7A17BC">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54</w:t>
            </w:r>
          </w:p>
        </w:tc>
        <w:tc>
          <w:tcPr>
            <w:tcW w:w="189" w:type="pct"/>
            <w:vMerge w:val="continue"/>
            <w:tcBorders>
              <w:tl2br w:val="nil"/>
              <w:tr2bl w:val="nil"/>
            </w:tcBorders>
            <w:vAlign w:val="center"/>
          </w:tcPr>
          <w:p w14:paraId="0C70559A">
            <w:pPr>
              <w:pStyle w:val="16"/>
              <w:pageBreakBefore w:val="0"/>
              <w:wordWrap/>
              <w:bidi w:val="0"/>
              <w:adjustRightInd/>
              <w:snapToGrid/>
              <w:rPr>
                <w:color w:val="auto"/>
                <w:sz w:val="21"/>
                <w:szCs w:val="21"/>
              </w:rPr>
            </w:pPr>
          </w:p>
        </w:tc>
        <w:tc>
          <w:tcPr>
            <w:tcW w:w="624" w:type="pct"/>
            <w:tcBorders>
              <w:tl2br w:val="nil"/>
              <w:tr2bl w:val="nil"/>
            </w:tcBorders>
            <w:vAlign w:val="center"/>
          </w:tcPr>
          <w:p w14:paraId="6AFE1A59">
            <w:pPr>
              <w:pStyle w:val="16"/>
              <w:pageBreakBefore w:val="0"/>
              <w:wordWrap/>
              <w:bidi w:val="0"/>
              <w:adjustRightInd/>
              <w:snapToGrid/>
              <w:ind w:left="0" w:leftChars="0" w:firstLine="0" w:firstLineChars="0"/>
              <w:rPr>
                <w:color w:val="auto"/>
                <w:sz w:val="21"/>
                <w:szCs w:val="21"/>
              </w:rPr>
            </w:pPr>
            <w:r>
              <w:rPr>
                <w:color w:val="auto"/>
                <w:sz w:val="21"/>
                <w:szCs w:val="21"/>
              </w:rPr>
              <w:t>调理池搅拌机</w:t>
            </w:r>
          </w:p>
        </w:tc>
        <w:tc>
          <w:tcPr>
            <w:tcW w:w="286" w:type="pct"/>
            <w:tcBorders>
              <w:tl2br w:val="nil"/>
              <w:tr2bl w:val="nil"/>
            </w:tcBorders>
            <w:vAlign w:val="center"/>
          </w:tcPr>
          <w:p w14:paraId="65117862">
            <w:pPr>
              <w:pStyle w:val="16"/>
              <w:pageBreakBefore w:val="0"/>
              <w:wordWrap/>
              <w:bidi w:val="0"/>
              <w:adjustRightInd/>
              <w:snapToGrid/>
              <w:ind w:left="0" w:leftChars="0" w:firstLine="0" w:firstLineChars="0"/>
              <w:rPr>
                <w:color w:val="auto"/>
                <w:sz w:val="21"/>
                <w:szCs w:val="21"/>
              </w:rPr>
            </w:pPr>
            <w:r>
              <w:rPr>
                <w:color w:val="auto"/>
                <w:sz w:val="21"/>
                <w:szCs w:val="21"/>
              </w:rPr>
              <w:t>2</w:t>
            </w:r>
          </w:p>
        </w:tc>
        <w:tc>
          <w:tcPr>
            <w:tcW w:w="372" w:type="pct"/>
            <w:tcBorders>
              <w:tl2br w:val="nil"/>
              <w:tr2bl w:val="nil"/>
            </w:tcBorders>
            <w:vAlign w:val="center"/>
          </w:tcPr>
          <w:p w14:paraId="7FB6AE57">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6B0B70FC">
            <w:pPr>
              <w:pStyle w:val="16"/>
              <w:pageBreakBefore w:val="0"/>
              <w:wordWrap/>
              <w:bidi w:val="0"/>
              <w:adjustRightInd/>
              <w:snapToGrid/>
              <w:rPr>
                <w:color w:val="auto"/>
                <w:sz w:val="21"/>
                <w:szCs w:val="21"/>
              </w:rPr>
            </w:pPr>
          </w:p>
        </w:tc>
        <w:tc>
          <w:tcPr>
            <w:tcW w:w="213" w:type="pct"/>
            <w:tcBorders>
              <w:tl2br w:val="nil"/>
              <w:tr2bl w:val="nil"/>
            </w:tcBorders>
            <w:vAlign w:val="center"/>
          </w:tcPr>
          <w:p w14:paraId="3F8F02A7">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143.5</w:t>
            </w:r>
          </w:p>
        </w:tc>
        <w:tc>
          <w:tcPr>
            <w:tcW w:w="212" w:type="pct"/>
            <w:tcBorders>
              <w:tl2br w:val="nil"/>
              <w:tr2bl w:val="nil"/>
            </w:tcBorders>
            <w:vAlign w:val="center"/>
          </w:tcPr>
          <w:p w14:paraId="3E35EC49">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16.7</w:t>
            </w:r>
          </w:p>
        </w:tc>
        <w:tc>
          <w:tcPr>
            <w:tcW w:w="215" w:type="pct"/>
            <w:tcBorders>
              <w:tl2br w:val="nil"/>
              <w:tr2bl w:val="nil"/>
            </w:tcBorders>
            <w:vAlign w:val="center"/>
          </w:tcPr>
          <w:p w14:paraId="548E5311">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1577448F">
            <w:pPr>
              <w:pStyle w:val="16"/>
              <w:pageBreakBefore w:val="0"/>
              <w:wordWrap/>
              <w:bidi w:val="0"/>
              <w:adjustRightInd/>
              <w:snapToGrid/>
              <w:rPr>
                <w:color w:val="auto"/>
                <w:sz w:val="21"/>
                <w:szCs w:val="21"/>
              </w:rPr>
            </w:pPr>
            <w:r>
              <w:rPr>
                <w:color w:val="auto"/>
                <w:sz w:val="21"/>
                <w:szCs w:val="21"/>
              </w:rPr>
              <w:t>1</w:t>
            </w:r>
          </w:p>
        </w:tc>
        <w:tc>
          <w:tcPr>
            <w:tcW w:w="436" w:type="pct"/>
            <w:tcBorders>
              <w:tl2br w:val="nil"/>
              <w:tr2bl w:val="nil"/>
            </w:tcBorders>
            <w:vAlign w:val="center"/>
          </w:tcPr>
          <w:p w14:paraId="6D8905C0">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80</w:t>
            </w:r>
          </w:p>
        </w:tc>
        <w:tc>
          <w:tcPr>
            <w:tcW w:w="263" w:type="pct"/>
            <w:vMerge w:val="continue"/>
            <w:tcBorders>
              <w:tl2br w:val="nil"/>
              <w:tr2bl w:val="nil"/>
            </w:tcBorders>
            <w:vAlign w:val="center"/>
          </w:tcPr>
          <w:p w14:paraId="67F4C10A">
            <w:pPr>
              <w:pStyle w:val="16"/>
              <w:pageBreakBefore w:val="0"/>
              <w:wordWrap/>
              <w:bidi w:val="0"/>
              <w:adjustRightInd/>
              <w:snapToGrid/>
              <w:rPr>
                <w:color w:val="auto"/>
                <w:sz w:val="21"/>
                <w:szCs w:val="21"/>
              </w:rPr>
            </w:pPr>
          </w:p>
        </w:tc>
        <w:tc>
          <w:tcPr>
            <w:tcW w:w="464" w:type="pct"/>
            <w:tcBorders>
              <w:tl2br w:val="nil"/>
              <w:tr2bl w:val="nil"/>
            </w:tcBorders>
            <w:vAlign w:val="center"/>
          </w:tcPr>
          <w:p w14:paraId="17619DBD">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6DD6B5B5">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5801C86C">
            <w:pPr>
              <w:pStyle w:val="16"/>
              <w:pageBreakBefore w:val="0"/>
              <w:wordWrap/>
              <w:bidi w:val="0"/>
              <w:adjustRightInd/>
              <w:snapToGrid/>
              <w:rPr>
                <w:color w:val="auto"/>
                <w:sz w:val="21"/>
                <w:szCs w:val="21"/>
              </w:rPr>
            </w:pPr>
            <w:r>
              <w:rPr>
                <w:color w:val="auto"/>
                <w:sz w:val="21"/>
                <w:szCs w:val="21"/>
              </w:rPr>
              <w:t>1</w:t>
            </w:r>
          </w:p>
        </w:tc>
        <w:tc>
          <w:tcPr>
            <w:tcW w:w="281" w:type="pct"/>
            <w:vMerge w:val="continue"/>
            <w:tcBorders>
              <w:tl2br w:val="nil"/>
              <w:tr2bl w:val="nil"/>
            </w:tcBorders>
            <w:vAlign w:val="center"/>
          </w:tcPr>
          <w:p w14:paraId="1BC92D33">
            <w:pPr>
              <w:pStyle w:val="16"/>
              <w:pageBreakBefore w:val="0"/>
              <w:wordWrap/>
              <w:bidi w:val="0"/>
              <w:adjustRightInd/>
              <w:snapToGrid/>
              <w:rPr>
                <w:color w:val="auto"/>
                <w:sz w:val="21"/>
                <w:szCs w:val="21"/>
              </w:rPr>
            </w:pPr>
          </w:p>
        </w:tc>
      </w:tr>
      <w:tr w14:paraId="1D51613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29806202">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55</w:t>
            </w:r>
          </w:p>
        </w:tc>
        <w:tc>
          <w:tcPr>
            <w:tcW w:w="189" w:type="pct"/>
            <w:vMerge w:val="continue"/>
            <w:tcBorders>
              <w:tl2br w:val="nil"/>
              <w:tr2bl w:val="nil"/>
            </w:tcBorders>
            <w:vAlign w:val="center"/>
          </w:tcPr>
          <w:p w14:paraId="01EA8AA2">
            <w:pPr>
              <w:pStyle w:val="16"/>
              <w:pageBreakBefore w:val="0"/>
              <w:wordWrap/>
              <w:bidi w:val="0"/>
              <w:adjustRightInd/>
              <w:snapToGrid/>
              <w:rPr>
                <w:color w:val="auto"/>
                <w:sz w:val="21"/>
                <w:szCs w:val="21"/>
              </w:rPr>
            </w:pPr>
          </w:p>
        </w:tc>
        <w:tc>
          <w:tcPr>
            <w:tcW w:w="624" w:type="pct"/>
            <w:tcBorders>
              <w:tl2br w:val="nil"/>
              <w:tr2bl w:val="nil"/>
            </w:tcBorders>
            <w:vAlign w:val="center"/>
          </w:tcPr>
          <w:p w14:paraId="209861FF">
            <w:pPr>
              <w:pStyle w:val="16"/>
              <w:pageBreakBefore w:val="0"/>
              <w:wordWrap/>
              <w:bidi w:val="0"/>
              <w:adjustRightInd/>
              <w:snapToGrid/>
              <w:ind w:left="0" w:leftChars="0" w:firstLine="0" w:firstLineChars="0"/>
              <w:rPr>
                <w:color w:val="auto"/>
                <w:sz w:val="21"/>
                <w:szCs w:val="21"/>
              </w:rPr>
            </w:pPr>
            <w:r>
              <w:rPr>
                <w:color w:val="auto"/>
                <w:sz w:val="21"/>
                <w:szCs w:val="21"/>
              </w:rPr>
              <w:t>电动单梁悬挂起重机</w:t>
            </w:r>
          </w:p>
        </w:tc>
        <w:tc>
          <w:tcPr>
            <w:tcW w:w="286" w:type="pct"/>
            <w:tcBorders>
              <w:tl2br w:val="nil"/>
              <w:tr2bl w:val="nil"/>
            </w:tcBorders>
            <w:vAlign w:val="center"/>
          </w:tcPr>
          <w:p w14:paraId="5A392926">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372" w:type="pct"/>
            <w:tcBorders>
              <w:tl2br w:val="nil"/>
              <w:tr2bl w:val="nil"/>
            </w:tcBorders>
            <w:vAlign w:val="center"/>
          </w:tcPr>
          <w:p w14:paraId="7E269EA2">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773B2CD6">
            <w:pPr>
              <w:pStyle w:val="16"/>
              <w:pageBreakBefore w:val="0"/>
              <w:wordWrap/>
              <w:bidi w:val="0"/>
              <w:adjustRightInd/>
              <w:snapToGrid/>
              <w:rPr>
                <w:color w:val="auto"/>
                <w:sz w:val="21"/>
                <w:szCs w:val="21"/>
              </w:rPr>
            </w:pPr>
          </w:p>
        </w:tc>
        <w:tc>
          <w:tcPr>
            <w:tcW w:w="213" w:type="pct"/>
            <w:tcBorders>
              <w:tl2br w:val="nil"/>
              <w:tr2bl w:val="nil"/>
            </w:tcBorders>
            <w:vAlign w:val="center"/>
          </w:tcPr>
          <w:p w14:paraId="7B29A0F2">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136.4</w:t>
            </w:r>
          </w:p>
        </w:tc>
        <w:tc>
          <w:tcPr>
            <w:tcW w:w="212" w:type="pct"/>
            <w:tcBorders>
              <w:tl2br w:val="nil"/>
              <w:tr2bl w:val="nil"/>
            </w:tcBorders>
            <w:vAlign w:val="center"/>
          </w:tcPr>
          <w:p w14:paraId="64C76286">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23</w:t>
            </w:r>
          </w:p>
        </w:tc>
        <w:tc>
          <w:tcPr>
            <w:tcW w:w="215" w:type="pct"/>
            <w:tcBorders>
              <w:tl2br w:val="nil"/>
              <w:tr2bl w:val="nil"/>
            </w:tcBorders>
            <w:vAlign w:val="center"/>
          </w:tcPr>
          <w:p w14:paraId="237D99A0">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2</w:t>
            </w:r>
          </w:p>
        </w:tc>
        <w:tc>
          <w:tcPr>
            <w:tcW w:w="336" w:type="pct"/>
            <w:tcBorders>
              <w:tl2br w:val="nil"/>
              <w:tr2bl w:val="nil"/>
            </w:tcBorders>
            <w:vAlign w:val="center"/>
          </w:tcPr>
          <w:p w14:paraId="08A51C0A">
            <w:pPr>
              <w:pStyle w:val="16"/>
              <w:pageBreakBefore w:val="0"/>
              <w:wordWrap/>
              <w:bidi w:val="0"/>
              <w:adjustRightInd/>
              <w:snapToGrid/>
              <w:rPr>
                <w:color w:val="auto"/>
                <w:sz w:val="21"/>
                <w:szCs w:val="21"/>
              </w:rPr>
            </w:pPr>
            <w:r>
              <w:rPr>
                <w:color w:val="auto"/>
                <w:sz w:val="21"/>
                <w:szCs w:val="21"/>
              </w:rPr>
              <w:t>1</w:t>
            </w:r>
          </w:p>
        </w:tc>
        <w:tc>
          <w:tcPr>
            <w:tcW w:w="436" w:type="pct"/>
            <w:tcBorders>
              <w:tl2br w:val="nil"/>
              <w:tr2bl w:val="nil"/>
            </w:tcBorders>
            <w:vAlign w:val="center"/>
          </w:tcPr>
          <w:p w14:paraId="604A1B82">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80</w:t>
            </w:r>
          </w:p>
        </w:tc>
        <w:tc>
          <w:tcPr>
            <w:tcW w:w="263" w:type="pct"/>
            <w:vMerge w:val="continue"/>
            <w:tcBorders>
              <w:tl2br w:val="nil"/>
              <w:tr2bl w:val="nil"/>
            </w:tcBorders>
            <w:vAlign w:val="center"/>
          </w:tcPr>
          <w:p w14:paraId="200CC3C3">
            <w:pPr>
              <w:pStyle w:val="16"/>
              <w:pageBreakBefore w:val="0"/>
              <w:wordWrap/>
              <w:bidi w:val="0"/>
              <w:adjustRightInd/>
              <w:snapToGrid/>
              <w:rPr>
                <w:color w:val="auto"/>
                <w:sz w:val="21"/>
                <w:szCs w:val="21"/>
              </w:rPr>
            </w:pPr>
          </w:p>
        </w:tc>
        <w:tc>
          <w:tcPr>
            <w:tcW w:w="464" w:type="pct"/>
            <w:tcBorders>
              <w:tl2br w:val="nil"/>
              <w:tr2bl w:val="nil"/>
            </w:tcBorders>
            <w:vAlign w:val="center"/>
          </w:tcPr>
          <w:p w14:paraId="2C1A25C8">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39F480D7">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302F09A0">
            <w:pPr>
              <w:pStyle w:val="16"/>
              <w:pageBreakBefore w:val="0"/>
              <w:wordWrap/>
              <w:bidi w:val="0"/>
              <w:adjustRightInd/>
              <w:snapToGrid/>
              <w:rPr>
                <w:color w:val="auto"/>
                <w:sz w:val="21"/>
                <w:szCs w:val="21"/>
              </w:rPr>
            </w:pPr>
            <w:r>
              <w:rPr>
                <w:color w:val="auto"/>
                <w:sz w:val="21"/>
                <w:szCs w:val="21"/>
              </w:rPr>
              <w:t>1</w:t>
            </w:r>
          </w:p>
        </w:tc>
        <w:tc>
          <w:tcPr>
            <w:tcW w:w="281" w:type="pct"/>
            <w:vMerge w:val="continue"/>
            <w:tcBorders>
              <w:tl2br w:val="nil"/>
              <w:tr2bl w:val="nil"/>
            </w:tcBorders>
            <w:vAlign w:val="center"/>
          </w:tcPr>
          <w:p w14:paraId="5C78DBCC">
            <w:pPr>
              <w:pStyle w:val="16"/>
              <w:pageBreakBefore w:val="0"/>
              <w:wordWrap/>
              <w:bidi w:val="0"/>
              <w:adjustRightInd/>
              <w:snapToGrid/>
              <w:rPr>
                <w:color w:val="auto"/>
                <w:sz w:val="21"/>
                <w:szCs w:val="21"/>
              </w:rPr>
            </w:pPr>
          </w:p>
        </w:tc>
      </w:tr>
      <w:tr w14:paraId="3C675B0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7D761AD0">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56</w:t>
            </w:r>
          </w:p>
        </w:tc>
        <w:tc>
          <w:tcPr>
            <w:tcW w:w="189" w:type="pct"/>
            <w:vMerge w:val="continue"/>
            <w:tcBorders>
              <w:tl2br w:val="nil"/>
              <w:tr2bl w:val="nil"/>
            </w:tcBorders>
            <w:vAlign w:val="center"/>
          </w:tcPr>
          <w:p w14:paraId="3320E186">
            <w:pPr>
              <w:pStyle w:val="16"/>
              <w:pageBreakBefore w:val="0"/>
              <w:wordWrap/>
              <w:bidi w:val="0"/>
              <w:adjustRightInd/>
              <w:snapToGrid/>
              <w:rPr>
                <w:color w:val="auto"/>
                <w:sz w:val="21"/>
                <w:szCs w:val="21"/>
              </w:rPr>
            </w:pPr>
          </w:p>
        </w:tc>
        <w:tc>
          <w:tcPr>
            <w:tcW w:w="624" w:type="pct"/>
            <w:tcBorders>
              <w:tl2br w:val="nil"/>
              <w:tr2bl w:val="nil"/>
            </w:tcBorders>
            <w:vAlign w:val="center"/>
          </w:tcPr>
          <w:p w14:paraId="2D1B7612">
            <w:pPr>
              <w:pStyle w:val="16"/>
              <w:pageBreakBefore w:val="0"/>
              <w:wordWrap/>
              <w:bidi w:val="0"/>
              <w:adjustRightInd/>
              <w:snapToGrid/>
              <w:ind w:left="0" w:leftChars="0" w:firstLine="0" w:firstLineChars="0"/>
              <w:rPr>
                <w:color w:val="auto"/>
                <w:sz w:val="21"/>
                <w:szCs w:val="21"/>
              </w:rPr>
            </w:pPr>
            <w:r>
              <w:rPr>
                <w:color w:val="auto"/>
                <w:sz w:val="21"/>
                <w:szCs w:val="21"/>
              </w:rPr>
              <w:t>电动葫芦</w:t>
            </w:r>
          </w:p>
        </w:tc>
        <w:tc>
          <w:tcPr>
            <w:tcW w:w="286" w:type="pct"/>
            <w:tcBorders>
              <w:tl2br w:val="nil"/>
              <w:tr2bl w:val="nil"/>
            </w:tcBorders>
            <w:vAlign w:val="center"/>
          </w:tcPr>
          <w:p w14:paraId="05190C51">
            <w:pPr>
              <w:pStyle w:val="16"/>
              <w:pageBreakBefore w:val="0"/>
              <w:wordWrap/>
              <w:bidi w:val="0"/>
              <w:adjustRightInd/>
              <w:snapToGrid/>
              <w:ind w:left="0" w:leftChars="0" w:firstLine="0" w:firstLineChars="0"/>
              <w:rPr>
                <w:color w:val="auto"/>
                <w:sz w:val="21"/>
                <w:szCs w:val="21"/>
              </w:rPr>
            </w:pPr>
            <w:r>
              <w:rPr>
                <w:color w:val="auto"/>
                <w:sz w:val="21"/>
                <w:szCs w:val="21"/>
              </w:rPr>
              <w:t>1</w:t>
            </w:r>
          </w:p>
        </w:tc>
        <w:tc>
          <w:tcPr>
            <w:tcW w:w="372" w:type="pct"/>
            <w:tcBorders>
              <w:tl2br w:val="nil"/>
              <w:tr2bl w:val="nil"/>
            </w:tcBorders>
            <w:vAlign w:val="center"/>
          </w:tcPr>
          <w:p w14:paraId="04E74AD2">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75</w:t>
            </w:r>
          </w:p>
        </w:tc>
        <w:tc>
          <w:tcPr>
            <w:tcW w:w="372" w:type="pct"/>
            <w:vMerge w:val="continue"/>
            <w:tcBorders>
              <w:tl2br w:val="nil"/>
              <w:tr2bl w:val="nil"/>
            </w:tcBorders>
            <w:vAlign w:val="center"/>
          </w:tcPr>
          <w:p w14:paraId="441AE4A2">
            <w:pPr>
              <w:pStyle w:val="16"/>
              <w:pageBreakBefore w:val="0"/>
              <w:wordWrap/>
              <w:bidi w:val="0"/>
              <w:adjustRightInd/>
              <w:snapToGrid/>
              <w:rPr>
                <w:color w:val="auto"/>
                <w:sz w:val="21"/>
                <w:szCs w:val="21"/>
              </w:rPr>
            </w:pPr>
          </w:p>
        </w:tc>
        <w:tc>
          <w:tcPr>
            <w:tcW w:w="213" w:type="pct"/>
            <w:tcBorders>
              <w:tl2br w:val="nil"/>
              <w:tr2bl w:val="nil"/>
            </w:tcBorders>
            <w:vAlign w:val="center"/>
          </w:tcPr>
          <w:p w14:paraId="422857EC">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155.7</w:t>
            </w:r>
          </w:p>
        </w:tc>
        <w:tc>
          <w:tcPr>
            <w:tcW w:w="212" w:type="pct"/>
            <w:tcBorders>
              <w:tl2br w:val="nil"/>
              <w:tr2bl w:val="nil"/>
            </w:tcBorders>
            <w:vAlign w:val="center"/>
          </w:tcPr>
          <w:p w14:paraId="64020FAD">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19.5</w:t>
            </w:r>
          </w:p>
        </w:tc>
        <w:tc>
          <w:tcPr>
            <w:tcW w:w="215" w:type="pct"/>
            <w:tcBorders>
              <w:tl2br w:val="nil"/>
              <w:tr2bl w:val="nil"/>
            </w:tcBorders>
            <w:vAlign w:val="center"/>
          </w:tcPr>
          <w:p w14:paraId="11E92411">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76F6A29A">
            <w:pPr>
              <w:pStyle w:val="16"/>
              <w:pageBreakBefore w:val="0"/>
              <w:wordWrap/>
              <w:bidi w:val="0"/>
              <w:adjustRightInd/>
              <w:snapToGrid/>
              <w:rPr>
                <w:color w:val="auto"/>
                <w:sz w:val="21"/>
                <w:szCs w:val="21"/>
              </w:rPr>
            </w:pPr>
            <w:r>
              <w:rPr>
                <w:color w:val="auto"/>
                <w:sz w:val="21"/>
                <w:szCs w:val="21"/>
              </w:rPr>
              <w:t>1</w:t>
            </w:r>
          </w:p>
        </w:tc>
        <w:tc>
          <w:tcPr>
            <w:tcW w:w="436" w:type="pct"/>
            <w:tcBorders>
              <w:tl2br w:val="nil"/>
              <w:tr2bl w:val="nil"/>
            </w:tcBorders>
            <w:vAlign w:val="center"/>
          </w:tcPr>
          <w:p w14:paraId="17E1C444">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75</w:t>
            </w:r>
          </w:p>
        </w:tc>
        <w:tc>
          <w:tcPr>
            <w:tcW w:w="263" w:type="pct"/>
            <w:vMerge w:val="continue"/>
            <w:tcBorders>
              <w:tl2br w:val="nil"/>
              <w:tr2bl w:val="nil"/>
            </w:tcBorders>
            <w:vAlign w:val="center"/>
          </w:tcPr>
          <w:p w14:paraId="459D7EF9">
            <w:pPr>
              <w:pStyle w:val="16"/>
              <w:pageBreakBefore w:val="0"/>
              <w:wordWrap/>
              <w:bidi w:val="0"/>
              <w:adjustRightInd/>
              <w:snapToGrid/>
              <w:rPr>
                <w:color w:val="auto"/>
                <w:sz w:val="21"/>
                <w:szCs w:val="21"/>
              </w:rPr>
            </w:pPr>
          </w:p>
        </w:tc>
        <w:tc>
          <w:tcPr>
            <w:tcW w:w="464" w:type="pct"/>
            <w:tcBorders>
              <w:tl2br w:val="nil"/>
              <w:tr2bl w:val="nil"/>
            </w:tcBorders>
            <w:vAlign w:val="center"/>
          </w:tcPr>
          <w:p w14:paraId="00945D5D">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4B24B841">
            <w:pPr>
              <w:pStyle w:val="16"/>
              <w:bidi w:val="0"/>
              <w:rPr>
                <w:rFonts w:hint="default"/>
                <w:color w:val="auto"/>
                <w:lang w:val="en-US" w:eastAsia="zh-CN"/>
              </w:rPr>
            </w:pPr>
            <w:r>
              <w:rPr>
                <w:rFonts w:hint="default"/>
                <w:color w:val="auto"/>
                <w:lang w:val="en-US" w:eastAsia="zh-CN"/>
              </w:rPr>
              <w:t>30.2</w:t>
            </w:r>
          </w:p>
        </w:tc>
        <w:tc>
          <w:tcPr>
            <w:tcW w:w="285" w:type="pct"/>
            <w:tcBorders>
              <w:tl2br w:val="nil"/>
              <w:tr2bl w:val="nil"/>
            </w:tcBorders>
            <w:vAlign w:val="center"/>
          </w:tcPr>
          <w:p w14:paraId="534A0D1E">
            <w:pPr>
              <w:pStyle w:val="16"/>
              <w:pageBreakBefore w:val="0"/>
              <w:wordWrap/>
              <w:bidi w:val="0"/>
              <w:adjustRightInd/>
              <w:snapToGrid/>
              <w:rPr>
                <w:color w:val="auto"/>
                <w:sz w:val="21"/>
                <w:szCs w:val="21"/>
              </w:rPr>
            </w:pPr>
            <w:r>
              <w:rPr>
                <w:color w:val="auto"/>
                <w:sz w:val="21"/>
                <w:szCs w:val="21"/>
              </w:rPr>
              <w:t>1</w:t>
            </w:r>
          </w:p>
        </w:tc>
        <w:tc>
          <w:tcPr>
            <w:tcW w:w="281" w:type="pct"/>
            <w:vMerge w:val="continue"/>
            <w:tcBorders>
              <w:tl2br w:val="nil"/>
              <w:tr2bl w:val="nil"/>
            </w:tcBorders>
            <w:vAlign w:val="center"/>
          </w:tcPr>
          <w:p w14:paraId="6B0421D9">
            <w:pPr>
              <w:pStyle w:val="16"/>
              <w:pageBreakBefore w:val="0"/>
              <w:wordWrap/>
              <w:bidi w:val="0"/>
              <w:adjustRightInd/>
              <w:snapToGrid/>
              <w:rPr>
                <w:color w:val="auto"/>
                <w:sz w:val="21"/>
                <w:szCs w:val="21"/>
              </w:rPr>
            </w:pPr>
          </w:p>
        </w:tc>
      </w:tr>
      <w:tr w14:paraId="51FF453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0997F55B">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57</w:t>
            </w:r>
          </w:p>
        </w:tc>
        <w:tc>
          <w:tcPr>
            <w:tcW w:w="189" w:type="pct"/>
            <w:vMerge w:val="restart"/>
            <w:tcBorders>
              <w:tl2br w:val="nil"/>
              <w:tr2bl w:val="nil"/>
            </w:tcBorders>
            <w:vAlign w:val="center"/>
          </w:tcPr>
          <w:p w14:paraId="4660D765">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回用泵房</w:t>
            </w:r>
          </w:p>
        </w:tc>
        <w:tc>
          <w:tcPr>
            <w:tcW w:w="624" w:type="pct"/>
            <w:tcBorders>
              <w:tl2br w:val="nil"/>
              <w:tr2bl w:val="nil"/>
            </w:tcBorders>
            <w:vAlign w:val="center"/>
          </w:tcPr>
          <w:p w14:paraId="4C5A22BA">
            <w:pPr>
              <w:pStyle w:val="16"/>
              <w:pageBreakBefore w:val="0"/>
              <w:wordWrap/>
              <w:bidi w:val="0"/>
              <w:adjustRightInd/>
              <w:snapToGrid/>
              <w:ind w:left="0" w:leftChars="0" w:firstLine="0" w:firstLineChars="0"/>
              <w:rPr>
                <w:color w:val="auto"/>
                <w:sz w:val="21"/>
                <w:szCs w:val="21"/>
              </w:rPr>
            </w:pPr>
            <w:r>
              <w:rPr>
                <w:color w:val="auto"/>
                <w:sz w:val="21"/>
                <w:szCs w:val="21"/>
              </w:rPr>
              <w:t>单级单吸立式离心泵</w:t>
            </w:r>
          </w:p>
        </w:tc>
        <w:tc>
          <w:tcPr>
            <w:tcW w:w="286" w:type="pct"/>
            <w:tcBorders>
              <w:tl2br w:val="nil"/>
              <w:tr2bl w:val="nil"/>
            </w:tcBorders>
            <w:vAlign w:val="center"/>
          </w:tcPr>
          <w:p w14:paraId="6235D2EE">
            <w:pPr>
              <w:pStyle w:val="16"/>
              <w:pageBreakBefore w:val="0"/>
              <w:wordWrap/>
              <w:bidi w:val="0"/>
              <w:adjustRightInd/>
              <w:snapToGrid/>
              <w:ind w:left="0" w:leftChars="0" w:firstLine="0" w:firstLineChars="0"/>
              <w:rPr>
                <w:color w:val="auto"/>
                <w:sz w:val="21"/>
                <w:szCs w:val="21"/>
              </w:rPr>
            </w:pPr>
            <w:r>
              <w:rPr>
                <w:color w:val="auto"/>
                <w:sz w:val="21"/>
                <w:szCs w:val="21"/>
              </w:rPr>
              <w:t>2用</w:t>
            </w:r>
            <w:r>
              <w:rPr>
                <w:rFonts w:hint="eastAsia"/>
                <w:color w:val="auto"/>
                <w:sz w:val="21"/>
                <w:szCs w:val="21"/>
                <w:lang w:eastAsia="zh-CN"/>
              </w:rPr>
              <w:t>1</w:t>
            </w:r>
            <w:r>
              <w:rPr>
                <w:color w:val="auto"/>
                <w:sz w:val="21"/>
                <w:szCs w:val="21"/>
              </w:rPr>
              <w:t>备</w:t>
            </w:r>
          </w:p>
        </w:tc>
        <w:tc>
          <w:tcPr>
            <w:tcW w:w="372" w:type="pct"/>
            <w:tcBorders>
              <w:tl2br w:val="nil"/>
              <w:tr2bl w:val="nil"/>
            </w:tcBorders>
            <w:vAlign w:val="center"/>
          </w:tcPr>
          <w:p w14:paraId="3C4852AB">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0A164838">
            <w:pPr>
              <w:pStyle w:val="16"/>
              <w:pageBreakBefore w:val="0"/>
              <w:wordWrap/>
              <w:bidi w:val="0"/>
              <w:adjustRightInd/>
              <w:snapToGrid/>
              <w:rPr>
                <w:color w:val="auto"/>
                <w:sz w:val="21"/>
                <w:szCs w:val="21"/>
              </w:rPr>
            </w:pPr>
          </w:p>
        </w:tc>
        <w:tc>
          <w:tcPr>
            <w:tcW w:w="213" w:type="pct"/>
            <w:tcBorders>
              <w:tl2br w:val="nil"/>
              <w:tr2bl w:val="nil"/>
            </w:tcBorders>
            <w:vAlign w:val="center"/>
          </w:tcPr>
          <w:p w14:paraId="491F7864">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44</w:t>
            </w:r>
          </w:p>
        </w:tc>
        <w:tc>
          <w:tcPr>
            <w:tcW w:w="212" w:type="pct"/>
            <w:tcBorders>
              <w:tl2br w:val="nil"/>
              <w:tr2bl w:val="nil"/>
            </w:tcBorders>
            <w:vAlign w:val="center"/>
          </w:tcPr>
          <w:p w14:paraId="7E87DD77">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67.3</w:t>
            </w:r>
          </w:p>
        </w:tc>
        <w:tc>
          <w:tcPr>
            <w:tcW w:w="215" w:type="pct"/>
            <w:tcBorders>
              <w:tl2br w:val="nil"/>
              <w:tr2bl w:val="nil"/>
            </w:tcBorders>
            <w:vAlign w:val="center"/>
          </w:tcPr>
          <w:p w14:paraId="1A678583">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0.5</w:t>
            </w:r>
          </w:p>
        </w:tc>
        <w:tc>
          <w:tcPr>
            <w:tcW w:w="336" w:type="pct"/>
            <w:tcBorders>
              <w:tl2br w:val="nil"/>
              <w:tr2bl w:val="nil"/>
            </w:tcBorders>
            <w:vAlign w:val="center"/>
          </w:tcPr>
          <w:p w14:paraId="1F59111F">
            <w:pPr>
              <w:pStyle w:val="16"/>
              <w:pageBreakBefore w:val="0"/>
              <w:wordWrap/>
              <w:bidi w:val="0"/>
              <w:adjustRightInd/>
              <w:snapToGrid/>
              <w:rPr>
                <w:color w:val="auto"/>
                <w:sz w:val="21"/>
                <w:szCs w:val="21"/>
              </w:rPr>
            </w:pPr>
            <w:r>
              <w:rPr>
                <w:color w:val="auto"/>
                <w:sz w:val="21"/>
                <w:szCs w:val="21"/>
              </w:rPr>
              <w:t>1</w:t>
            </w:r>
          </w:p>
        </w:tc>
        <w:tc>
          <w:tcPr>
            <w:tcW w:w="436" w:type="pct"/>
            <w:tcBorders>
              <w:tl2br w:val="nil"/>
              <w:tr2bl w:val="nil"/>
            </w:tcBorders>
            <w:vAlign w:val="center"/>
          </w:tcPr>
          <w:p w14:paraId="04593B04">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85</w:t>
            </w:r>
          </w:p>
        </w:tc>
        <w:tc>
          <w:tcPr>
            <w:tcW w:w="263" w:type="pct"/>
            <w:vMerge w:val="continue"/>
            <w:tcBorders>
              <w:tl2br w:val="nil"/>
              <w:tr2bl w:val="nil"/>
            </w:tcBorders>
            <w:vAlign w:val="center"/>
          </w:tcPr>
          <w:p w14:paraId="2D01DDB1">
            <w:pPr>
              <w:pStyle w:val="16"/>
              <w:pageBreakBefore w:val="0"/>
              <w:wordWrap/>
              <w:bidi w:val="0"/>
              <w:adjustRightInd/>
              <w:snapToGrid/>
              <w:rPr>
                <w:color w:val="auto"/>
                <w:sz w:val="21"/>
                <w:szCs w:val="21"/>
              </w:rPr>
            </w:pPr>
          </w:p>
        </w:tc>
        <w:tc>
          <w:tcPr>
            <w:tcW w:w="464" w:type="pct"/>
            <w:tcBorders>
              <w:tl2br w:val="nil"/>
              <w:tr2bl w:val="nil"/>
            </w:tcBorders>
            <w:vAlign w:val="center"/>
          </w:tcPr>
          <w:p w14:paraId="53BC9393">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436B73EC">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53D5563A">
            <w:pPr>
              <w:pStyle w:val="16"/>
              <w:pageBreakBefore w:val="0"/>
              <w:wordWrap/>
              <w:bidi w:val="0"/>
              <w:adjustRightInd/>
              <w:snapToGrid/>
              <w:rPr>
                <w:color w:val="auto"/>
                <w:sz w:val="21"/>
                <w:szCs w:val="21"/>
              </w:rPr>
            </w:pPr>
            <w:r>
              <w:rPr>
                <w:color w:val="auto"/>
                <w:sz w:val="21"/>
                <w:szCs w:val="21"/>
              </w:rPr>
              <w:t>1</w:t>
            </w:r>
          </w:p>
        </w:tc>
        <w:tc>
          <w:tcPr>
            <w:tcW w:w="281" w:type="pct"/>
            <w:vMerge w:val="continue"/>
            <w:tcBorders>
              <w:tl2br w:val="nil"/>
              <w:tr2bl w:val="nil"/>
            </w:tcBorders>
            <w:vAlign w:val="center"/>
          </w:tcPr>
          <w:p w14:paraId="7B8E3C69">
            <w:pPr>
              <w:pStyle w:val="16"/>
              <w:pageBreakBefore w:val="0"/>
              <w:wordWrap/>
              <w:bidi w:val="0"/>
              <w:adjustRightInd/>
              <w:snapToGrid/>
              <w:rPr>
                <w:color w:val="auto"/>
                <w:sz w:val="21"/>
                <w:szCs w:val="21"/>
              </w:rPr>
            </w:pPr>
          </w:p>
        </w:tc>
      </w:tr>
      <w:tr w14:paraId="369A4C4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48D58052">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58</w:t>
            </w:r>
          </w:p>
        </w:tc>
        <w:tc>
          <w:tcPr>
            <w:tcW w:w="189" w:type="pct"/>
            <w:vMerge w:val="continue"/>
            <w:tcBorders>
              <w:tl2br w:val="nil"/>
              <w:tr2bl w:val="nil"/>
            </w:tcBorders>
            <w:vAlign w:val="center"/>
          </w:tcPr>
          <w:p w14:paraId="0DE96B3F">
            <w:pPr>
              <w:pStyle w:val="16"/>
              <w:pageBreakBefore w:val="0"/>
              <w:wordWrap/>
              <w:bidi w:val="0"/>
              <w:adjustRightInd/>
              <w:snapToGrid/>
              <w:rPr>
                <w:color w:val="auto"/>
                <w:sz w:val="21"/>
                <w:szCs w:val="21"/>
              </w:rPr>
            </w:pPr>
          </w:p>
        </w:tc>
        <w:tc>
          <w:tcPr>
            <w:tcW w:w="624" w:type="pct"/>
            <w:tcBorders>
              <w:tl2br w:val="nil"/>
              <w:tr2bl w:val="nil"/>
            </w:tcBorders>
            <w:vAlign w:val="center"/>
          </w:tcPr>
          <w:p w14:paraId="09E0B930">
            <w:pPr>
              <w:pStyle w:val="16"/>
              <w:pageBreakBefore w:val="0"/>
              <w:wordWrap/>
              <w:bidi w:val="0"/>
              <w:adjustRightInd/>
              <w:snapToGrid/>
              <w:ind w:left="0" w:leftChars="0" w:firstLine="0" w:firstLineChars="0"/>
              <w:rPr>
                <w:color w:val="auto"/>
                <w:sz w:val="21"/>
                <w:szCs w:val="21"/>
              </w:rPr>
            </w:pPr>
            <w:r>
              <w:rPr>
                <w:color w:val="auto"/>
                <w:sz w:val="21"/>
                <w:szCs w:val="21"/>
              </w:rPr>
              <w:t>加药计量泵</w:t>
            </w:r>
          </w:p>
        </w:tc>
        <w:tc>
          <w:tcPr>
            <w:tcW w:w="286" w:type="pct"/>
            <w:tcBorders>
              <w:tl2br w:val="nil"/>
              <w:tr2bl w:val="nil"/>
            </w:tcBorders>
            <w:vAlign w:val="center"/>
          </w:tcPr>
          <w:p w14:paraId="186A4C71">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w:t>
            </w:r>
            <w:r>
              <w:rPr>
                <w:color w:val="auto"/>
                <w:sz w:val="21"/>
                <w:szCs w:val="21"/>
              </w:rPr>
              <w:t>用</w:t>
            </w:r>
            <w:r>
              <w:rPr>
                <w:rFonts w:hint="eastAsia"/>
                <w:color w:val="auto"/>
                <w:sz w:val="21"/>
                <w:szCs w:val="21"/>
                <w:lang w:eastAsia="zh-CN"/>
              </w:rPr>
              <w:t>1</w:t>
            </w:r>
            <w:r>
              <w:rPr>
                <w:color w:val="auto"/>
                <w:sz w:val="21"/>
                <w:szCs w:val="21"/>
              </w:rPr>
              <w:t>备</w:t>
            </w:r>
          </w:p>
        </w:tc>
        <w:tc>
          <w:tcPr>
            <w:tcW w:w="372" w:type="pct"/>
            <w:tcBorders>
              <w:tl2br w:val="nil"/>
              <w:tr2bl w:val="nil"/>
            </w:tcBorders>
            <w:vAlign w:val="center"/>
          </w:tcPr>
          <w:p w14:paraId="51DB98E2">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59597852">
            <w:pPr>
              <w:pStyle w:val="16"/>
              <w:pageBreakBefore w:val="0"/>
              <w:wordWrap/>
              <w:bidi w:val="0"/>
              <w:adjustRightInd/>
              <w:snapToGrid/>
              <w:rPr>
                <w:color w:val="auto"/>
                <w:sz w:val="21"/>
                <w:szCs w:val="21"/>
              </w:rPr>
            </w:pPr>
          </w:p>
        </w:tc>
        <w:tc>
          <w:tcPr>
            <w:tcW w:w="213" w:type="pct"/>
            <w:tcBorders>
              <w:tl2br w:val="nil"/>
              <w:tr2bl w:val="nil"/>
            </w:tcBorders>
            <w:vAlign w:val="center"/>
          </w:tcPr>
          <w:p w14:paraId="5E143AD0">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44</w:t>
            </w:r>
          </w:p>
        </w:tc>
        <w:tc>
          <w:tcPr>
            <w:tcW w:w="212" w:type="pct"/>
            <w:tcBorders>
              <w:tl2br w:val="nil"/>
              <w:tr2bl w:val="nil"/>
            </w:tcBorders>
            <w:vAlign w:val="center"/>
          </w:tcPr>
          <w:p w14:paraId="1A37C0F0">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67.3</w:t>
            </w:r>
          </w:p>
        </w:tc>
        <w:tc>
          <w:tcPr>
            <w:tcW w:w="215" w:type="pct"/>
            <w:tcBorders>
              <w:tl2br w:val="nil"/>
              <w:tr2bl w:val="nil"/>
            </w:tcBorders>
            <w:vAlign w:val="center"/>
          </w:tcPr>
          <w:p w14:paraId="358FD721">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0.5</w:t>
            </w:r>
          </w:p>
        </w:tc>
        <w:tc>
          <w:tcPr>
            <w:tcW w:w="336" w:type="pct"/>
            <w:tcBorders>
              <w:tl2br w:val="nil"/>
              <w:tr2bl w:val="nil"/>
            </w:tcBorders>
            <w:vAlign w:val="center"/>
          </w:tcPr>
          <w:p w14:paraId="55904F9D">
            <w:pPr>
              <w:pStyle w:val="16"/>
              <w:pageBreakBefore w:val="0"/>
              <w:wordWrap/>
              <w:bidi w:val="0"/>
              <w:adjustRightInd/>
              <w:snapToGrid/>
              <w:rPr>
                <w:color w:val="auto"/>
                <w:sz w:val="21"/>
                <w:szCs w:val="21"/>
              </w:rPr>
            </w:pPr>
            <w:r>
              <w:rPr>
                <w:color w:val="auto"/>
                <w:sz w:val="21"/>
                <w:szCs w:val="21"/>
              </w:rPr>
              <w:t>1</w:t>
            </w:r>
          </w:p>
        </w:tc>
        <w:tc>
          <w:tcPr>
            <w:tcW w:w="436" w:type="pct"/>
            <w:tcBorders>
              <w:tl2br w:val="nil"/>
              <w:tr2bl w:val="nil"/>
            </w:tcBorders>
            <w:vAlign w:val="center"/>
          </w:tcPr>
          <w:p w14:paraId="18335BFE">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85</w:t>
            </w:r>
          </w:p>
        </w:tc>
        <w:tc>
          <w:tcPr>
            <w:tcW w:w="263" w:type="pct"/>
            <w:vMerge w:val="continue"/>
            <w:tcBorders>
              <w:tl2br w:val="nil"/>
              <w:tr2bl w:val="nil"/>
            </w:tcBorders>
            <w:vAlign w:val="center"/>
          </w:tcPr>
          <w:p w14:paraId="54EFC191">
            <w:pPr>
              <w:pStyle w:val="16"/>
              <w:pageBreakBefore w:val="0"/>
              <w:wordWrap/>
              <w:bidi w:val="0"/>
              <w:adjustRightInd/>
              <w:snapToGrid/>
              <w:rPr>
                <w:color w:val="auto"/>
                <w:sz w:val="21"/>
                <w:szCs w:val="21"/>
              </w:rPr>
            </w:pPr>
          </w:p>
        </w:tc>
        <w:tc>
          <w:tcPr>
            <w:tcW w:w="464" w:type="pct"/>
            <w:tcBorders>
              <w:tl2br w:val="nil"/>
              <w:tr2bl w:val="nil"/>
            </w:tcBorders>
            <w:vAlign w:val="center"/>
          </w:tcPr>
          <w:p w14:paraId="147D1735">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072F11E6">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4014B2C0">
            <w:pPr>
              <w:pStyle w:val="16"/>
              <w:pageBreakBefore w:val="0"/>
              <w:wordWrap/>
              <w:bidi w:val="0"/>
              <w:adjustRightInd/>
              <w:snapToGrid/>
              <w:rPr>
                <w:color w:val="auto"/>
                <w:sz w:val="21"/>
                <w:szCs w:val="21"/>
              </w:rPr>
            </w:pPr>
            <w:r>
              <w:rPr>
                <w:color w:val="auto"/>
                <w:sz w:val="21"/>
                <w:szCs w:val="21"/>
              </w:rPr>
              <w:t>1</w:t>
            </w:r>
          </w:p>
        </w:tc>
        <w:tc>
          <w:tcPr>
            <w:tcW w:w="281" w:type="pct"/>
            <w:vMerge w:val="continue"/>
            <w:tcBorders>
              <w:tl2br w:val="nil"/>
              <w:tr2bl w:val="nil"/>
            </w:tcBorders>
            <w:vAlign w:val="center"/>
          </w:tcPr>
          <w:p w14:paraId="758E61B2">
            <w:pPr>
              <w:pStyle w:val="16"/>
              <w:pageBreakBefore w:val="0"/>
              <w:wordWrap/>
              <w:bidi w:val="0"/>
              <w:adjustRightInd/>
              <w:snapToGrid/>
              <w:rPr>
                <w:color w:val="auto"/>
                <w:sz w:val="21"/>
                <w:szCs w:val="21"/>
              </w:rPr>
            </w:pPr>
          </w:p>
        </w:tc>
      </w:tr>
      <w:tr w14:paraId="1DAC420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31941CAF">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59</w:t>
            </w:r>
          </w:p>
        </w:tc>
        <w:tc>
          <w:tcPr>
            <w:tcW w:w="189" w:type="pct"/>
            <w:vMerge w:val="continue"/>
            <w:tcBorders>
              <w:tl2br w:val="nil"/>
              <w:tr2bl w:val="nil"/>
            </w:tcBorders>
            <w:vAlign w:val="center"/>
          </w:tcPr>
          <w:p w14:paraId="15FB1BD0">
            <w:pPr>
              <w:pStyle w:val="16"/>
              <w:pageBreakBefore w:val="0"/>
              <w:wordWrap/>
              <w:bidi w:val="0"/>
              <w:adjustRightInd/>
              <w:snapToGrid/>
              <w:rPr>
                <w:color w:val="auto"/>
                <w:sz w:val="21"/>
                <w:szCs w:val="21"/>
              </w:rPr>
            </w:pPr>
          </w:p>
        </w:tc>
        <w:tc>
          <w:tcPr>
            <w:tcW w:w="624" w:type="pct"/>
            <w:tcBorders>
              <w:tl2br w:val="nil"/>
              <w:tr2bl w:val="nil"/>
            </w:tcBorders>
            <w:vAlign w:val="center"/>
          </w:tcPr>
          <w:p w14:paraId="026283C1">
            <w:pPr>
              <w:pStyle w:val="16"/>
              <w:pageBreakBefore w:val="0"/>
              <w:wordWrap/>
              <w:bidi w:val="0"/>
              <w:adjustRightInd/>
              <w:snapToGrid/>
              <w:ind w:left="0" w:leftChars="0" w:firstLine="0" w:firstLineChars="0"/>
              <w:rPr>
                <w:color w:val="auto"/>
                <w:sz w:val="21"/>
                <w:szCs w:val="21"/>
              </w:rPr>
            </w:pPr>
            <w:r>
              <w:rPr>
                <w:color w:val="auto"/>
                <w:sz w:val="21"/>
                <w:szCs w:val="21"/>
              </w:rPr>
              <w:t>轴流风机</w:t>
            </w:r>
          </w:p>
        </w:tc>
        <w:tc>
          <w:tcPr>
            <w:tcW w:w="286" w:type="pct"/>
            <w:tcBorders>
              <w:tl2br w:val="nil"/>
              <w:tr2bl w:val="nil"/>
            </w:tcBorders>
            <w:vAlign w:val="center"/>
          </w:tcPr>
          <w:p w14:paraId="3B9E339C">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2</w:t>
            </w:r>
          </w:p>
        </w:tc>
        <w:tc>
          <w:tcPr>
            <w:tcW w:w="372" w:type="pct"/>
            <w:tcBorders>
              <w:tl2br w:val="nil"/>
              <w:tr2bl w:val="nil"/>
            </w:tcBorders>
            <w:vAlign w:val="center"/>
          </w:tcPr>
          <w:p w14:paraId="35D95690">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6AD89497">
            <w:pPr>
              <w:pStyle w:val="16"/>
              <w:pageBreakBefore w:val="0"/>
              <w:wordWrap/>
              <w:bidi w:val="0"/>
              <w:adjustRightInd/>
              <w:snapToGrid/>
              <w:rPr>
                <w:color w:val="auto"/>
                <w:sz w:val="21"/>
                <w:szCs w:val="21"/>
              </w:rPr>
            </w:pPr>
          </w:p>
        </w:tc>
        <w:tc>
          <w:tcPr>
            <w:tcW w:w="213" w:type="pct"/>
            <w:tcBorders>
              <w:tl2br w:val="nil"/>
              <w:tr2bl w:val="nil"/>
            </w:tcBorders>
            <w:vAlign w:val="center"/>
          </w:tcPr>
          <w:p w14:paraId="2E05191A">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44</w:t>
            </w:r>
          </w:p>
        </w:tc>
        <w:tc>
          <w:tcPr>
            <w:tcW w:w="212" w:type="pct"/>
            <w:tcBorders>
              <w:tl2br w:val="nil"/>
              <w:tr2bl w:val="nil"/>
            </w:tcBorders>
            <w:vAlign w:val="center"/>
          </w:tcPr>
          <w:p w14:paraId="656615F6">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67.3</w:t>
            </w:r>
          </w:p>
        </w:tc>
        <w:tc>
          <w:tcPr>
            <w:tcW w:w="215" w:type="pct"/>
            <w:tcBorders>
              <w:tl2br w:val="nil"/>
              <w:tr2bl w:val="nil"/>
            </w:tcBorders>
            <w:vAlign w:val="center"/>
          </w:tcPr>
          <w:p w14:paraId="5D601B0E">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37DF77EE">
            <w:pPr>
              <w:pStyle w:val="16"/>
              <w:pageBreakBefore w:val="0"/>
              <w:wordWrap/>
              <w:bidi w:val="0"/>
              <w:adjustRightInd/>
              <w:snapToGrid/>
              <w:rPr>
                <w:color w:val="auto"/>
                <w:sz w:val="21"/>
                <w:szCs w:val="21"/>
              </w:rPr>
            </w:pPr>
            <w:r>
              <w:rPr>
                <w:color w:val="auto"/>
                <w:sz w:val="21"/>
                <w:szCs w:val="21"/>
              </w:rPr>
              <w:t>1</w:t>
            </w:r>
          </w:p>
        </w:tc>
        <w:tc>
          <w:tcPr>
            <w:tcW w:w="436" w:type="pct"/>
            <w:tcBorders>
              <w:tl2br w:val="nil"/>
              <w:tr2bl w:val="nil"/>
            </w:tcBorders>
            <w:vAlign w:val="center"/>
          </w:tcPr>
          <w:p w14:paraId="54EC82A0">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85</w:t>
            </w:r>
          </w:p>
        </w:tc>
        <w:tc>
          <w:tcPr>
            <w:tcW w:w="263" w:type="pct"/>
            <w:vMerge w:val="continue"/>
            <w:tcBorders>
              <w:tl2br w:val="nil"/>
              <w:tr2bl w:val="nil"/>
            </w:tcBorders>
            <w:vAlign w:val="center"/>
          </w:tcPr>
          <w:p w14:paraId="0BC9589B">
            <w:pPr>
              <w:pStyle w:val="16"/>
              <w:pageBreakBefore w:val="0"/>
              <w:wordWrap/>
              <w:bidi w:val="0"/>
              <w:adjustRightInd/>
              <w:snapToGrid/>
              <w:rPr>
                <w:color w:val="auto"/>
                <w:sz w:val="21"/>
                <w:szCs w:val="21"/>
              </w:rPr>
            </w:pPr>
          </w:p>
        </w:tc>
        <w:tc>
          <w:tcPr>
            <w:tcW w:w="464" w:type="pct"/>
            <w:tcBorders>
              <w:tl2br w:val="nil"/>
              <w:tr2bl w:val="nil"/>
            </w:tcBorders>
            <w:vAlign w:val="center"/>
          </w:tcPr>
          <w:p w14:paraId="50AD0BBA">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5F6EDA73">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6B2DE168">
            <w:pPr>
              <w:pStyle w:val="16"/>
              <w:pageBreakBefore w:val="0"/>
              <w:wordWrap/>
              <w:bidi w:val="0"/>
              <w:adjustRightInd/>
              <w:snapToGrid/>
              <w:rPr>
                <w:color w:val="auto"/>
                <w:sz w:val="21"/>
                <w:szCs w:val="21"/>
              </w:rPr>
            </w:pPr>
            <w:r>
              <w:rPr>
                <w:color w:val="auto"/>
                <w:sz w:val="21"/>
                <w:szCs w:val="21"/>
              </w:rPr>
              <w:t>1</w:t>
            </w:r>
          </w:p>
        </w:tc>
        <w:tc>
          <w:tcPr>
            <w:tcW w:w="281" w:type="pct"/>
            <w:vMerge w:val="continue"/>
            <w:tcBorders>
              <w:tl2br w:val="nil"/>
              <w:tr2bl w:val="nil"/>
            </w:tcBorders>
            <w:vAlign w:val="center"/>
          </w:tcPr>
          <w:p w14:paraId="1A5C66AB">
            <w:pPr>
              <w:pStyle w:val="16"/>
              <w:pageBreakBefore w:val="0"/>
              <w:wordWrap/>
              <w:bidi w:val="0"/>
              <w:adjustRightInd/>
              <w:snapToGrid/>
              <w:rPr>
                <w:color w:val="auto"/>
                <w:sz w:val="21"/>
                <w:szCs w:val="21"/>
              </w:rPr>
            </w:pPr>
          </w:p>
        </w:tc>
      </w:tr>
      <w:tr w14:paraId="60C4A22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30A77FF0">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60</w:t>
            </w:r>
          </w:p>
        </w:tc>
        <w:tc>
          <w:tcPr>
            <w:tcW w:w="189" w:type="pct"/>
            <w:vMerge w:val="restart"/>
            <w:tcBorders>
              <w:tl2br w:val="nil"/>
              <w:tr2bl w:val="nil"/>
            </w:tcBorders>
            <w:vAlign w:val="center"/>
          </w:tcPr>
          <w:p w14:paraId="4682573A">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风机房</w:t>
            </w:r>
          </w:p>
        </w:tc>
        <w:tc>
          <w:tcPr>
            <w:tcW w:w="624" w:type="pct"/>
            <w:tcBorders>
              <w:tl2br w:val="nil"/>
              <w:tr2bl w:val="nil"/>
            </w:tcBorders>
            <w:vAlign w:val="center"/>
          </w:tcPr>
          <w:p w14:paraId="5FA7188A">
            <w:pPr>
              <w:pStyle w:val="16"/>
              <w:pageBreakBefore w:val="0"/>
              <w:wordWrap/>
              <w:bidi w:val="0"/>
              <w:adjustRightInd/>
              <w:snapToGrid/>
              <w:ind w:left="0" w:leftChars="0" w:firstLine="0" w:firstLineChars="0"/>
              <w:rPr>
                <w:color w:val="auto"/>
                <w:sz w:val="21"/>
                <w:szCs w:val="21"/>
              </w:rPr>
            </w:pPr>
            <w:r>
              <w:rPr>
                <w:color w:val="auto"/>
                <w:sz w:val="21"/>
                <w:szCs w:val="21"/>
              </w:rPr>
              <w:t>空气悬浮鼓风机</w:t>
            </w:r>
          </w:p>
        </w:tc>
        <w:tc>
          <w:tcPr>
            <w:tcW w:w="286" w:type="pct"/>
            <w:tcBorders>
              <w:tl2br w:val="nil"/>
              <w:tr2bl w:val="nil"/>
            </w:tcBorders>
            <w:vAlign w:val="center"/>
          </w:tcPr>
          <w:p w14:paraId="754EC4EE">
            <w:pPr>
              <w:pStyle w:val="16"/>
              <w:pageBreakBefore w:val="0"/>
              <w:wordWrap/>
              <w:bidi w:val="0"/>
              <w:adjustRightInd/>
              <w:snapToGrid/>
              <w:rPr>
                <w:color w:val="auto"/>
                <w:sz w:val="21"/>
                <w:szCs w:val="21"/>
              </w:rPr>
            </w:pPr>
            <w:r>
              <w:rPr>
                <w:rFonts w:hint="eastAsia"/>
                <w:color w:val="auto"/>
                <w:sz w:val="21"/>
                <w:szCs w:val="21"/>
                <w:lang w:val="en-US" w:eastAsia="zh-CN"/>
              </w:rPr>
              <w:t>3</w:t>
            </w:r>
            <w:r>
              <w:rPr>
                <w:color w:val="auto"/>
                <w:sz w:val="21"/>
                <w:szCs w:val="21"/>
              </w:rPr>
              <w:t>用</w:t>
            </w:r>
            <w:r>
              <w:rPr>
                <w:rFonts w:hint="eastAsia"/>
                <w:color w:val="auto"/>
                <w:sz w:val="21"/>
                <w:szCs w:val="21"/>
                <w:lang w:eastAsia="zh-CN"/>
              </w:rPr>
              <w:t>1</w:t>
            </w:r>
            <w:r>
              <w:rPr>
                <w:color w:val="auto"/>
                <w:sz w:val="21"/>
                <w:szCs w:val="21"/>
              </w:rPr>
              <w:t>备</w:t>
            </w:r>
          </w:p>
        </w:tc>
        <w:tc>
          <w:tcPr>
            <w:tcW w:w="372" w:type="pct"/>
            <w:tcBorders>
              <w:tl2br w:val="nil"/>
              <w:tr2bl w:val="nil"/>
            </w:tcBorders>
            <w:vAlign w:val="center"/>
          </w:tcPr>
          <w:p w14:paraId="4C134074">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5920806E">
            <w:pPr>
              <w:pStyle w:val="16"/>
              <w:pageBreakBefore w:val="0"/>
              <w:wordWrap/>
              <w:bidi w:val="0"/>
              <w:adjustRightInd/>
              <w:snapToGrid/>
              <w:rPr>
                <w:color w:val="auto"/>
                <w:sz w:val="21"/>
                <w:szCs w:val="21"/>
              </w:rPr>
            </w:pPr>
          </w:p>
        </w:tc>
        <w:tc>
          <w:tcPr>
            <w:tcW w:w="213" w:type="pct"/>
            <w:tcBorders>
              <w:tl2br w:val="nil"/>
              <w:tr2bl w:val="nil"/>
            </w:tcBorders>
            <w:vAlign w:val="center"/>
          </w:tcPr>
          <w:p w14:paraId="444A7D37">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164.7</w:t>
            </w:r>
          </w:p>
        </w:tc>
        <w:tc>
          <w:tcPr>
            <w:tcW w:w="212" w:type="pct"/>
            <w:tcBorders>
              <w:tl2br w:val="nil"/>
              <w:tr2bl w:val="nil"/>
            </w:tcBorders>
            <w:vAlign w:val="center"/>
          </w:tcPr>
          <w:p w14:paraId="50020595">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-2</w:t>
            </w:r>
          </w:p>
        </w:tc>
        <w:tc>
          <w:tcPr>
            <w:tcW w:w="215" w:type="pct"/>
            <w:tcBorders>
              <w:tl2br w:val="nil"/>
              <w:tr2bl w:val="nil"/>
            </w:tcBorders>
            <w:vAlign w:val="center"/>
          </w:tcPr>
          <w:p w14:paraId="7DD872B1">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3B7437F6">
            <w:pPr>
              <w:pStyle w:val="16"/>
              <w:pageBreakBefore w:val="0"/>
              <w:wordWrap/>
              <w:bidi w:val="0"/>
              <w:adjustRightInd/>
              <w:snapToGrid/>
              <w:rPr>
                <w:color w:val="auto"/>
                <w:sz w:val="21"/>
                <w:szCs w:val="21"/>
              </w:rPr>
            </w:pPr>
            <w:r>
              <w:rPr>
                <w:color w:val="auto"/>
                <w:sz w:val="21"/>
                <w:szCs w:val="21"/>
              </w:rPr>
              <w:t>1</w:t>
            </w:r>
          </w:p>
        </w:tc>
        <w:tc>
          <w:tcPr>
            <w:tcW w:w="436" w:type="pct"/>
            <w:tcBorders>
              <w:tl2br w:val="nil"/>
              <w:tr2bl w:val="nil"/>
            </w:tcBorders>
            <w:vAlign w:val="center"/>
          </w:tcPr>
          <w:p w14:paraId="09397DEA">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85</w:t>
            </w:r>
          </w:p>
        </w:tc>
        <w:tc>
          <w:tcPr>
            <w:tcW w:w="263" w:type="pct"/>
            <w:vMerge w:val="restart"/>
            <w:tcBorders>
              <w:tl2br w:val="nil"/>
              <w:tr2bl w:val="nil"/>
            </w:tcBorders>
            <w:vAlign w:val="center"/>
          </w:tcPr>
          <w:p w14:paraId="15D421AA">
            <w:pPr>
              <w:pStyle w:val="16"/>
              <w:pageBreakBefore w:val="0"/>
              <w:wordWrap/>
              <w:bidi w:val="0"/>
              <w:adjustRightInd/>
              <w:snapToGrid/>
              <w:rPr>
                <w:color w:val="auto"/>
                <w:sz w:val="21"/>
                <w:szCs w:val="21"/>
              </w:rPr>
            </w:pPr>
          </w:p>
        </w:tc>
        <w:tc>
          <w:tcPr>
            <w:tcW w:w="464" w:type="pct"/>
            <w:tcBorders>
              <w:tl2br w:val="nil"/>
              <w:tr2bl w:val="nil"/>
            </w:tcBorders>
            <w:vAlign w:val="center"/>
          </w:tcPr>
          <w:p w14:paraId="3117434B">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6AB28F5D">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5B90315D">
            <w:pPr>
              <w:pStyle w:val="16"/>
              <w:pageBreakBefore w:val="0"/>
              <w:wordWrap/>
              <w:bidi w:val="0"/>
              <w:adjustRightInd/>
              <w:snapToGrid/>
              <w:rPr>
                <w:color w:val="auto"/>
                <w:sz w:val="21"/>
                <w:szCs w:val="21"/>
              </w:rPr>
            </w:pPr>
            <w:r>
              <w:rPr>
                <w:color w:val="auto"/>
                <w:sz w:val="21"/>
                <w:szCs w:val="21"/>
              </w:rPr>
              <w:t>1</w:t>
            </w:r>
          </w:p>
        </w:tc>
        <w:tc>
          <w:tcPr>
            <w:tcW w:w="281" w:type="pct"/>
            <w:vMerge w:val="continue"/>
            <w:tcBorders>
              <w:tl2br w:val="nil"/>
              <w:tr2bl w:val="nil"/>
            </w:tcBorders>
            <w:vAlign w:val="center"/>
          </w:tcPr>
          <w:p w14:paraId="7DFBD582">
            <w:pPr>
              <w:pStyle w:val="16"/>
              <w:pageBreakBefore w:val="0"/>
              <w:wordWrap/>
              <w:bidi w:val="0"/>
              <w:adjustRightInd/>
              <w:snapToGrid/>
              <w:rPr>
                <w:color w:val="auto"/>
                <w:sz w:val="21"/>
                <w:szCs w:val="21"/>
              </w:rPr>
            </w:pPr>
          </w:p>
        </w:tc>
      </w:tr>
      <w:tr w14:paraId="2440BB8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17528BD6">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61</w:t>
            </w:r>
          </w:p>
        </w:tc>
        <w:tc>
          <w:tcPr>
            <w:tcW w:w="189" w:type="pct"/>
            <w:vMerge w:val="continue"/>
            <w:tcBorders>
              <w:tl2br w:val="nil"/>
              <w:tr2bl w:val="nil"/>
            </w:tcBorders>
            <w:vAlign w:val="center"/>
          </w:tcPr>
          <w:p w14:paraId="2D13226D">
            <w:pPr>
              <w:pStyle w:val="16"/>
              <w:pageBreakBefore w:val="0"/>
              <w:wordWrap/>
              <w:bidi w:val="0"/>
              <w:adjustRightInd/>
              <w:snapToGrid/>
              <w:rPr>
                <w:color w:val="auto"/>
                <w:sz w:val="21"/>
                <w:szCs w:val="21"/>
              </w:rPr>
            </w:pPr>
          </w:p>
        </w:tc>
        <w:tc>
          <w:tcPr>
            <w:tcW w:w="624" w:type="pct"/>
            <w:tcBorders>
              <w:tl2br w:val="nil"/>
              <w:tr2bl w:val="nil"/>
            </w:tcBorders>
            <w:vAlign w:val="center"/>
          </w:tcPr>
          <w:p w14:paraId="184DB6AF">
            <w:pPr>
              <w:pStyle w:val="16"/>
              <w:pageBreakBefore w:val="0"/>
              <w:wordWrap/>
              <w:bidi w:val="0"/>
              <w:adjustRightInd/>
              <w:snapToGrid/>
              <w:ind w:left="0" w:leftChars="0" w:firstLine="0" w:firstLineChars="0"/>
              <w:rPr>
                <w:color w:val="auto"/>
                <w:sz w:val="21"/>
                <w:szCs w:val="21"/>
              </w:rPr>
            </w:pPr>
            <w:r>
              <w:rPr>
                <w:color w:val="auto"/>
                <w:sz w:val="21"/>
                <w:szCs w:val="21"/>
              </w:rPr>
              <w:t>轴流通风机</w:t>
            </w:r>
          </w:p>
        </w:tc>
        <w:tc>
          <w:tcPr>
            <w:tcW w:w="286" w:type="pct"/>
            <w:tcBorders>
              <w:tl2br w:val="nil"/>
              <w:tr2bl w:val="nil"/>
            </w:tcBorders>
            <w:vAlign w:val="center"/>
          </w:tcPr>
          <w:p w14:paraId="40B3DE28">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8</w:t>
            </w:r>
          </w:p>
        </w:tc>
        <w:tc>
          <w:tcPr>
            <w:tcW w:w="372" w:type="pct"/>
            <w:tcBorders>
              <w:tl2br w:val="nil"/>
              <w:tr2bl w:val="nil"/>
            </w:tcBorders>
            <w:vAlign w:val="center"/>
          </w:tcPr>
          <w:p w14:paraId="355784DD">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21B3DF0A">
            <w:pPr>
              <w:pStyle w:val="16"/>
              <w:pageBreakBefore w:val="0"/>
              <w:wordWrap/>
              <w:bidi w:val="0"/>
              <w:adjustRightInd/>
              <w:snapToGrid/>
              <w:rPr>
                <w:color w:val="auto"/>
                <w:sz w:val="21"/>
                <w:szCs w:val="21"/>
              </w:rPr>
            </w:pPr>
          </w:p>
        </w:tc>
        <w:tc>
          <w:tcPr>
            <w:tcW w:w="213" w:type="pct"/>
            <w:tcBorders>
              <w:tl2br w:val="nil"/>
              <w:tr2bl w:val="nil"/>
            </w:tcBorders>
            <w:vAlign w:val="center"/>
          </w:tcPr>
          <w:p w14:paraId="5F83F133">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164.7</w:t>
            </w:r>
          </w:p>
        </w:tc>
        <w:tc>
          <w:tcPr>
            <w:tcW w:w="212" w:type="pct"/>
            <w:tcBorders>
              <w:tl2br w:val="nil"/>
              <w:tr2bl w:val="nil"/>
            </w:tcBorders>
            <w:vAlign w:val="center"/>
          </w:tcPr>
          <w:p w14:paraId="56720E75">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-2</w:t>
            </w:r>
          </w:p>
        </w:tc>
        <w:tc>
          <w:tcPr>
            <w:tcW w:w="215" w:type="pct"/>
            <w:tcBorders>
              <w:tl2br w:val="nil"/>
              <w:tr2bl w:val="nil"/>
            </w:tcBorders>
            <w:vAlign w:val="center"/>
          </w:tcPr>
          <w:p w14:paraId="476B69C6">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0747D576">
            <w:pPr>
              <w:pStyle w:val="16"/>
              <w:pageBreakBefore w:val="0"/>
              <w:wordWrap/>
              <w:bidi w:val="0"/>
              <w:adjustRightInd/>
              <w:snapToGrid/>
              <w:rPr>
                <w:color w:val="auto"/>
                <w:sz w:val="21"/>
                <w:szCs w:val="21"/>
              </w:rPr>
            </w:pPr>
            <w:r>
              <w:rPr>
                <w:color w:val="auto"/>
                <w:sz w:val="21"/>
                <w:szCs w:val="21"/>
              </w:rPr>
              <w:t>1</w:t>
            </w:r>
          </w:p>
        </w:tc>
        <w:tc>
          <w:tcPr>
            <w:tcW w:w="436" w:type="pct"/>
            <w:tcBorders>
              <w:tl2br w:val="nil"/>
              <w:tr2bl w:val="nil"/>
            </w:tcBorders>
            <w:vAlign w:val="center"/>
          </w:tcPr>
          <w:p w14:paraId="05418A29">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80</w:t>
            </w:r>
          </w:p>
        </w:tc>
        <w:tc>
          <w:tcPr>
            <w:tcW w:w="263" w:type="pct"/>
            <w:vMerge w:val="continue"/>
            <w:tcBorders>
              <w:tl2br w:val="nil"/>
              <w:tr2bl w:val="nil"/>
            </w:tcBorders>
            <w:vAlign w:val="center"/>
          </w:tcPr>
          <w:p w14:paraId="7B62B248">
            <w:pPr>
              <w:pStyle w:val="16"/>
              <w:pageBreakBefore w:val="0"/>
              <w:wordWrap/>
              <w:bidi w:val="0"/>
              <w:adjustRightInd/>
              <w:snapToGrid/>
              <w:rPr>
                <w:color w:val="auto"/>
                <w:sz w:val="21"/>
                <w:szCs w:val="21"/>
              </w:rPr>
            </w:pPr>
          </w:p>
        </w:tc>
        <w:tc>
          <w:tcPr>
            <w:tcW w:w="464" w:type="pct"/>
            <w:tcBorders>
              <w:tl2br w:val="nil"/>
              <w:tr2bl w:val="nil"/>
            </w:tcBorders>
            <w:vAlign w:val="center"/>
          </w:tcPr>
          <w:p w14:paraId="5A3D03DF">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02C3BD0C">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2273F751">
            <w:pPr>
              <w:pStyle w:val="16"/>
              <w:pageBreakBefore w:val="0"/>
              <w:wordWrap/>
              <w:bidi w:val="0"/>
              <w:adjustRightInd/>
              <w:snapToGrid/>
              <w:rPr>
                <w:color w:val="auto"/>
                <w:sz w:val="21"/>
                <w:szCs w:val="21"/>
              </w:rPr>
            </w:pPr>
            <w:r>
              <w:rPr>
                <w:color w:val="auto"/>
                <w:sz w:val="21"/>
                <w:szCs w:val="21"/>
              </w:rPr>
              <w:t>1</w:t>
            </w:r>
          </w:p>
        </w:tc>
        <w:tc>
          <w:tcPr>
            <w:tcW w:w="281" w:type="pct"/>
            <w:vMerge w:val="continue"/>
            <w:tcBorders>
              <w:tl2br w:val="nil"/>
              <w:tr2bl w:val="nil"/>
            </w:tcBorders>
            <w:vAlign w:val="center"/>
          </w:tcPr>
          <w:p w14:paraId="2F0B9D82">
            <w:pPr>
              <w:pStyle w:val="16"/>
              <w:pageBreakBefore w:val="0"/>
              <w:wordWrap/>
              <w:bidi w:val="0"/>
              <w:adjustRightInd/>
              <w:snapToGrid/>
              <w:rPr>
                <w:color w:val="auto"/>
                <w:sz w:val="21"/>
                <w:szCs w:val="21"/>
              </w:rPr>
            </w:pPr>
          </w:p>
        </w:tc>
      </w:tr>
      <w:tr w14:paraId="10C0012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26DDC4D5">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62</w:t>
            </w:r>
          </w:p>
        </w:tc>
        <w:tc>
          <w:tcPr>
            <w:tcW w:w="189" w:type="pct"/>
            <w:vMerge w:val="continue"/>
            <w:tcBorders>
              <w:tl2br w:val="nil"/>
              <w:tr2bl w:val="nil"/>
            </w:tcBorders>
            <w:vAlign w:val="center"/>
          </w:tcPr>
          <w:p w14:paraId="3EF93306">
            <w:pPr>
              <w:pStyle w:val="16"/>
              <w:pageBreakBefore w:val="0"/>
              <w:wordWrap/>
              <w:bidi w:val="0"/>
              <w:adjustRightInd/>
              <w:snapToGrid/>
              <w:rPr>
                <w:color w:val="auto"/>
                <w:sz w:val="21"/>
                <w:szCs w:val="21"/>
              </w:rPr>
            </w:pPr>
          </w:p>
        </w:tc>
        <w:tc>
          <w:tcPr>
            <w:tcW w:w="624" w:type="pct"/>
            <w:tcBorders>
              <w:tl2br w:val="nil"/>
              <w:tr2bl w:val="nil"/>
            </w:tcBorders>
            <w:vAlign w:val="center"/>
          </w:tcPr>
          <w:p w14:paraId="7A81AA6B">
            <w:pPr>
              <w:pStyle w:val="16"/>
              <w:pageBreakBefore w:val="0"/>
              <w:wordWrap/>
              <w:bidi w:val="0"/>
              <w:adjustRightInd/>
              <w:snapToGrid/>
              <w:ind w:left="0" w:leftChars="0" w:firstLine="0" w:firstLineChars="0"/>
              <w:rPr>
                <w:color w:val="auto"/>
                <w:sz w:val="21"/>
                <w:szCs w:val="21"/>
              </w:rPr>
            </w:pPr>
            <w:r>
              <w:rPr>
                <w:color w:val="auto"/>
                <w:sz w:val="21"/>
                <w:szCs w:val="21"/>
              </w:rPr>
              <w:t>电动单梁悬挂起重机</w:t>
            </w:r>
          </w:p>
        </w:tc>
        <w:tc>
          <w:tcPr>
            <w:tcW w:w="286" w:type="pct"/>
            <w:tcBorders>
              <w:tl2br w:val="nil"/>
              <w:tr2bl w:val="nil"/>
            </w:tcBorders>
            <w:vAlign w:val="center"/>
          </w:tcPr>
          <w:p w14:paraId="2B8BB311">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372" w:type="pct"/>
            <w:tcBorders>
              <w:tl2br w:val="nil"/>
              <w:tr2bl w:val="nil"/>
            </w:tcBorders>
            <w:vAlign w:val="center"/>
          </w:tcPr>
          <w:p w14:paraId="5012E718">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75</w:t>
            </w:r>
          </w:p>
        </w:tc>
        <w:tc>
          <w:tcPr>
            <w:tcW w:w="372" w:type="pct"/>
            <w:vMerge w:val="continue"/>
            <w:tcBorders>
              <w:tl2br w:val="nil"/>
              <w:tr2bl w:val="nil"/>
            </w:tcBorders>
            <w:vAlign w:val="center"/>
          </w:tcPr>
          <w:p w14:paraId="53369B63">
            <w:pPr>
              <w:pStyle w:val="16"/>
              <w:pageBreakBefore w:val="0"/>
              <w:wordWrap/>
              <w:bidi w:val="0"/>
              <w:adjustRightInd/>
              <w:snapToGrid/>
              <w:rPr>
                <w:color w:val="auto"/>
                <w:sz w:val="21"/>
                <w:szCs w:val="21"/>
              </w:rPr>
            </w:pPr>
          </w:p>
        </w:tc>
        <w:tc>
          <w:tcPr>
            <w:tcW w:w="213" w:type="pct"/>
            <w:tcBorders>
              <w:tl2br w:val="nil"/>
              <w:tr2bl w:val="nil"/>
            </w:tcBorders>
            <w:vAlign w:val="center"/>
          </w:tcPr>
          <w:p w14:paraId="6FB6E3F4">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164.7</w:t>
            </w:r>
          </w:p>
        </w:tc>
        <w:tc>
          <w:tcPr>
            <w:tcW w:w="212" w:type="pct"/>
            <w:tcBorders>
              <w:tl2br w:val="nil"/>
              <w:tr2bl w:val="nil"/>
            </w:tcBorders>
            <w:vAlign w:val="center"/>
          </w:tcPr>
          <w:p w14:paraId="222D0D71">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-2</w:t>
            </w:r>
          </w:p>
        </w:tc>
        <w:tc>
          <w:tcPr>
            <w:tcW w:w="215" w:type="pct"/>
            <w:tcBorders>
              <w:tl2br w:val="nil"/>
              <w:tr2bl w:val="nil"/>
            </w:tcBorders>
            <w:vAlign w:val="center"/>
          </w:tcPr>
          <w:p w14:paraId="17E8E7B1">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2</w:t>
            </w:r>
          </w:p>
        </w:tc>
        <w:tc>
          <w:tcPr>
            <w:tcW w:w="336" w:type="pct"/>
            <w:tcBorders>
              <w:tl2br w:val="nil"/>
              <w:tr2bl w:val="nil"/>
            </w:tcBorders>
            <w:vAlign w:val="center"/>
          </w:tcPr>
          <w:p w14:paraId="2F61B81A">
            <w:pPr>
              <w:pStyle w:val="16"/>
              <w:pageBreakBefore w:val="0"/>
              <w:wordWrap/>
              <w:bidi w:val="0"/>
              <w:adjustRightInd/>
              <w:snapToGrid/>
              <w:rPr>
                <w:color w:val="auto"/>
                <w:sz w:val="21"/>
                <w:szCs w:val="21"/>
              </w:rPr>
            </w:pPr>
            <w:r>
              <w:rPr>
                <w:color w:val="auto"/>
                <w:sz w:val="21"/>
                <w:szCs w:val="21"/>
              </w:rPr>
              <w:t>1</w:t>
            </w:r>
          </w:p>
        </w:tc>
        <w:tc>
          <w:tcPr>
            <w:tcW w:w="436" w:type="pct"/>
            <w:tcBorders>
              <w:tl2br w:val="nil"/>
              <w:tr2bl w:val="nil"/>
            </w:tcBorders>
            <w:vAlign w:val="center"/>
          </w:tcPr>
          <w:p w14:paraId="2076885E">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75</w:t>
            </w:r>
          </w:p>
        </w:tc>
        <w:tc>
          <w:tcPr>
            <w:tcW w:w="263" w:type="pct"/>
            <w:vMerge w:val="continue"/>
            <w:tcBorders>
              <w:tl2br w:val="nil"/>
              <w:tr2bl w:val="nil"/>
            </w:tcBorders>
            <w:vAlign w:val="center"/>
          </w:tcPr>
          <w:p w14:paraId="374E709E">
            <w:pPr>
              <w:pStyle w:val="16"/>
              <w:pageBreakBefore w:val="0"/>
              <w:wordWrap/>
              <w:bidi w:val="0"/>
              <w:adjustRightInd/>
              <w:snapToGrid/>
              <w:rPr>
                <w:color w:val="auto"/>
                <w:sz w:val="21"/>
                <w:szCs w:val="21"/>
              </w:rPr>
            </w:pPr>
          </w:p>
        </w:tc>
        <w:tc>
          <w:tcPr>
            <w:tcW w:w="464" w:type="pct"/>
            <w:tcBorders>
              <w:tl2br w:val="nil"/>
              <w:tr2bl w:val="nil"/>
            </w:tcBorders>
            <w:vAlign w:val="center"/>
          </w:tcPr>
          <w:p w14:paraId="3A9A7475">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2D11BB20">
            <w:pPr>
              <w:pStyle w:val="16"/>
              <w:bidi w:val="0"/>
              <w:rPr>
                <w:rFonts w:hint="default"/>
                <w:color w:val="auto"/>
                <w:lang w:val="en-US" w:eastAsia="zh-CN"/>
              </w:rPr>
            </w:pPr>
            <w:r>
              <w:rPr>
                <w:rFonts w:hint="default"/>
                <w:color w:val="auto"/>
                <w:lang w:val="en-US" w:eastAsia="zh-CN"/>
              </w:rPr>
              <w:t>30.2</w:t>
            </w:r>
          </w:p>
        </w:tc>
        <w:tc>
          <w:tcPr>
            <w:tcW w:w="285" w:type="pct"/>
            <w:tcBorders>
              <w:tl2br w:val="nil"/>
              <w:tr2bl w:val="nil"/>
            </w:tcBorders>
            <w:vAlign w:val="center"/>
          </w:tcPr>
          <w:p w14:paraId="251C61DA">
            <w:pPr>
              <w:pStyle w:val="16"/>
              <w:pageBreakBefore w:val="0"/>
              <w:wordWrap/>
              <w:bidi w:val="0"/>
              <w:adjustRightInd/>
              <w:snapToGrid/>
              <w:rPr>
                <w:color w:val="auto"/>
                <w:sz w:val="21"/>
                <w:szCs w:val="21"/>
              </w:rPr>
            </w:pPr>
            <w:r>
              <w:rPr>
                <w:color w:val="auto"/>
                <w:sz w:val="21"/>
                <w:szCs w:val="21"/>
              </w:rPr>
              <w:t>1</w:t>
            </w:r>
          </w:p>
        </w:tc>
        <w:tc>
          <w:tcPr>
            <w:tcW w:w="281" w:type="pct"/>
            <w:vMerge w:val="continue"/>
            <w:tcBorders>
              <w:tl2br w:val="nil"/>
              <w:tr2bl w:val="nil"/>
            </w:tcBorders>
            <w:vAlign w:val="center"/>
          </w:tcPr>
          <w:p w14:paraId="3BA30BAF">
            <w:pPr>
              <w:pStyle w:val="16"/>
              <w:pageBreakBefore w:val="0"/>
              <w:wordWrap/>
              <w:bidi w:val="0"/>
              <w:adjustRightInd/>
              <w:snapToGrid/>
              <w:rPr>
                <w:color w:val="auto"/>
                <w:sz w:val="21"/>
                <w:szCs w:val="21"/>
              </w:rPr>
            </w:pPr>
          </w:p>
        </w:tc>
      </w:tr>
      <w:tr w14:paraId="3D94461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1848038B">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63</w:t>
            </w:r>
          </w:p>
        </w:tc>
        <w:tc>
          <w:tcPr>
            <w:tcW w:w="189" w:type="pct"/>
            <w:vMerge w:val="restart"/>
            <w:tcBorders>
              <w:tl2br w:val="nil"/>
              <w:tr2bl w:val="nil"/>
            </w:tcBorders>
            <w:vAlign w:val="center"/>
          </w:tcPr>
          <w:p w14:paraId="64AC6440">
            <w:pPr>
              <w:pageBreakBefore w:val="0"/>
              <w:wordWrap/>
              <w:bidi w:val="0"/>
              <w:adjustRightInd/>
              <w:snapToGrid/>
              <w:spacing w:line="240" w:lineRule="auto"/>
              <w:ind w:firstLine="0" w:firstLineChars="0"/>
              <w:jc w:val="center"/>
              <w:rPr>
                <w:color w:val="auto"/>
                <w:sz w:val="21"/>
                <w:szCs w:val="21"/>
              </w:rPr>
            </w:pPr>
            <w:r>
              <w:rPr>
                <w:b w:val="0"/>
                <w:bCs w:val="0"/>
                <w:color w:val="auto"/>
                <w:sz w:val="21"/>
                <w:szCs w:val="21"/>
              </w:rPr>
              <w:t>机修危废间</w:t>
            </w:r>
          </w:p>
        </w:tc>
        <w:tc>
          <w:tcPr>
            <w:tcW w:w="624" w:type="pct"/>
            <w:tcBorders>
              <w:tl2br w:val="nil"/>
              <w:tr2bl w:val="nil"/>
            </w:tcBorders>
            <w:vAlign w:val="center"/>
          </w:tcPr>
          <w:p w14:paraId="4B8F60BD">
            <w:pPr>
              <w:pStyle w:val="16"/>
              <w:pageBreakBefore w:val="0"/>
              <w:wordWrap/>
              <w:bidi w:val="0"/>
              <w:adjustRightInd/>
              <w:snapToGrid/>
              <w:ind w:left="0" w:leftChars="0" w:firstLine="0" w:firstLineChars="0"/>
              <w:rPr>
                <w:color w:val="auto"/>
                <w:sz w:val="21"/>
                <w:szCs w:val="21"/>
              </w:rPr>
            </w:pPr>
            <w:r>
              <w:rPr>
                <w:color w:val="auto"/>
                <w:sz w:val="21"/>
                <w:szCs w:val="21"/>
              </w:rPr>
              <w:t>电动单梁悬挂起重机</w:t>
            </w:r>
          </w:p>
        </w:tc>
        <w:tc>
          <w:tcPr>
            <w:tcW w:w="286" w:type="pct"/>
            <w:tcBorders>
              <w:tl2br w:val="nil"/>
              <w:tr2bl w:val="nil"/>
            </w:tcBorders>
            <w:vAlign w:val="center"/>
          </w:tcPr>
          <w:p w14:paraId="4272358D">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372" w:type="pct"/>
            <w:tcBorders>
              <w:tl2br w:val="nil"/>
              <w:tr2bl w:val="nil"/>
            </w:tcBorders>
            <w:vAlign w:val="center"/>
          </w:tcPr>
          <w:p w14:paraId="5DFE2D57">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75</w:t>
            </w:r>
          </w:p>
        </w:tc>
        <w:tc>
          <w:tcPr>
            <w:tcW w:w="372" w:type="pct"/>
            <w:vMerge w:val="continue"/>
            <w:tcBorders>
              <w:tl2br w:val="nil"/>
              <w:tr2bl w:val="nil"/>
            </w:tcBorders>
            <w:vAlign w:val="center"/>
          </w:tcPr>
          <w:p w14:paraId="3DC45D7F">
            <w:pPr>
              <w:pStyle w:val="16"/>
              <w:pageBreakBefore w:val="0"/>
              <w:wordWrap/>
              <w:bidi w:val="0"/>
              <w:adjustRightInd/>
              <w:snapToGrid/>
              <w:rPr>
                <w:color w:val="auto"/>
                <w:sz w:val="21"/>
                <w:szCs w:val="21"/>
              </w:rPr>
            </w:pPr>
          </w:p>
        </w:tc>
        <w:tc>
          <w:tcPr>
            <w:tcW w:w="213" w:type="pct"/>
            <w:tcBorders>
              <w:tl2br w:val="nil"/>
              <w:tr2bl w:val="nil"/>
            </w:tcBorders>
            <w:vAlign w:val="center"/>
          </w:tcPr>
          <w:p w14:paraId="57373E42">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188</w:t>
            </w:r>
          </w:p>
        </w:tc>
        <w:tc>
          <w:tcPr>
            <w:tcW w:w="212" w:type="pct"/>
            <w:tcBorders>
              <w:tl2br w:val="nil"/>
              <w:tr2bl w:val="nil"/>
            </w:tcBorders>
            <w:vAlign w:val="center"/>
          </w:tcPr>
          <w:p w14:paraId="33000A86">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0.7</w:t>
            </w:r>
          </w:p>
        </w:tc>
        <w:tc>
          <w:tcPr>
            <w:tcW w:w="215" w:type="pct"/>
            <w:tcBorders>
              <w:tl2br w:val="nil"/>
              <w:tr2bl w:val="nil"/>
            </w:tcBorders>
            <w:vAlign w:val="center"/>
          </w:tcPr>
          <w:p w14:paraId="4E916A94">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2</w:t>
            </w:r>
          </w:p>
        </w:tc>
        <w:tc>
          <w:tcPr>
            <w:tcW w:w="336" w:type="pct"/>
            <w:tcBorders>
              <w:tl2br w:val="nil"/>
              <w:tr2bl w:val="nil"/>
            </w:tcBorders>
            <w:vAlign w:val="center"/>
          </w:tcPr>
          <w:p w14:paraId="510A94DD">
            <w:pPr>
              <w:pStyle w:val="16"/>
              <w:pageBreakBefore w:val="0"/>
              <w:wordWrap/>
              <w:bidi w:val="0"/>
              <w:adjustRightInd/>
              <w:snapToGrid/>
              <w:rPr>
                <w:color w:val="auto"/>
                <w:sz w:val="21"/>
                <w:szCs w:val="21"/>
              </w:rPr>
            </w:pPr>
            <w:r>
              <w:rPr>
                <w:color w:val="auto"/>
                <w:sz w:val="21"/>
                <w:szCs w:val="21"/>
              </w:rPr>
              <w:t>1</w:t>
            </w:r>
          </w:p>
        </w:tc>
        <w:tc>
          <w:tcPr>
            <w:tcW w:w="436" w:type="pct"/>
            <w:tcBorders>
              <w:tl2br w:val="nil"/>
              <w:tr2bl w:val="nil"/>
            </w:tcBorders>
            <w:vAlign w:val="center"/>
          </w:tcPr>
          <w:p w14:paraId="7AEBBF92">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75</w:t>
            </w:r>
          </w:p>
        </w:tc>
        <w:tc>
          <w:tcPr>
            <w:tcW w:w="263" w:type="pct"/>
            <w:vMerge w:val="continue"/>
            <w:tcBorders>
              <w:tl2br w:val="nil"/>
              <w:tr2bl w:val="nil"/>
            </w:tcBorders>
            <w:vAlign w:val="center"/>
          </w:tcPr>
          <w:p w14:paraId="26537E8D">
            <w:pPr>
              <w:pStyle w:val="16"/>
              <w:pageBreakBefore w:val="0"/>
              <w:wordWrap/>
              <w:bidi w:val="0"/>
              <w:adjustRightInd/>
              <w:snapToGrid/>
              <w:rPr>
                <w:color w:val="auto"/>
                <w:sz w:val="21"/>
                <w:szCs w:val="21"/>
              </w:rPr>
            </w:pPr>
          </w:p>
        </w:tc>
        <w:tc>
          <w:tcPr>
            <w:tcW w:w="464" w:type="pct"/>
            <w:tcBorders>
              <w:tl2br w:val="nil"/>
              <w:tr2bl w:val="nil"/>
            </w:tcBorders>
            <w:vAlign w:val="center"/>
          </w:tcPr>
          <w:p w14:paraId="0832BE27">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6A615D42">
            <w:pPr>
              <w:pStyle w:val="16"/>
              <w:bidi w:val="0"/>
              <w:rPr>
                <w:rFonts w:hint="default"/>
                <w:color w:val="auto"/>
                <w:lang w:val="en-US" w:eastAsia="zh-CN"/>
              </w:rPr>
            </w:pPr>
            <w:r>
              <w:rPr>
                <w:rFonts w:hint="default"/>
                <w:color w:val="auto"/>
                <w:lang w:val="en-US" w:eastAsia="zh-CN"/>
              </w:rPr>
              <w:t>30.2</w:t>
            </w:r>
          </w:p>
        </w:tc>
        <w:tc>
          <w:tcPr>
            <w:tcW w:w="285" w:type="pct"/>
            <w:tcBorders>
              <w:tl2br w:val="nil"/>
              <w:tr2bl w:val="nil"/>
            </w:tcBorders>
            <w:vAlign w:val="center"/>
          </w:tcPr>
          <w:p w14:paraId="2FAEC454">
            <w:pPr>
              <w:pStyle w:val="16"/>
              <w:pageBreakBefore w:val="0"/>
              <w:wordWrap/>
              <w:bidi w:val="0"/>
              <w:adjustRightInd/>
              <w:snapToGrid/>
              <w:rPr>
                <w:color w:val="auto"/>
                <w:sz w:val="21"/>
                <w:szCs w:val="21"/>
              </w:rPr>
            </w:pPr>
            <w:r>
              <w:rPr>
                <w:color w:val="auto"/>
                <w:sz w:val="21"/>
                <w:szCs w:val="21"/>
              </w:rPr>
              <w:t>1</w:t>
            </w:r>
          </w:p>
        </w:tc>
        <w:tc>
          <w:tcPr>
            <w:tcW w:w="281" w:type="pct"/>
            <w:vMerge w:val="continue"/>
            <w:tcBorders>
              <w:tl2br w:val="nil"/>
              <w:tr2bl w:val="nil"/>
            </w:tcBorders>
            <w:vAlign w:val="center"/>
          </w:tcPr>
          <w:p w14:paraId="705C9CDD">
            <w:pPr>
              <w:pStyle w:val="16"/>
              <w:pageBreakBefore w:val="0"/>
              <w:wordWrap/>
              <w:bidi w:val="0"/>
              <w:adjustRightInd/>
              <w:snapToGrid/>
              <w:rPr>
                <w:color w:val="auto"/>
                <w:sz w:val="21"/>
                <w:szCs w:val="21"/>
              </w:rPr>
            </w:pPr>
          </w:p>
        </w:tc>
      </w:tr>
      <w:tr w14:paraId="5EE8F82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3315408E">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64</w:t>
            </w:r>
          </w:p>
        </w:tc>
        <w:tc>
          <w:tcPr>
            <w:tcW w:w="189" w:type="pct"/>
            <w:vMerge w:val="continue"/>
            <w:tcBorders>
              <w:tl2br w:val="nil"/>
              <w:tr2bl w:val="nil"/>
            </w:tcBorders>
            <w:vAlign w:val="center"/>
          </w:tcPr>
          <w:p w14:paraId="7A3CD3D5">
            <w:pPr>
              <w:pageBreakBefore w:val="0"/>
              <w:wordWrap/>
              <w:bidi w:val="0"/>
              <w:adjustRightInd/>
              <w:snapToGrid/>
              <w:spacing w:line="240" w:lineRule="auto"/>
              <w:ind w:firstLine="0" w:firstLineChars="0"/>
              <w:jc w:val="center"/>
              <w:rPr>
                <w:color w:val="auto"/>
                <w:sz w:val="21"/>
                <w:szCs w:val="21"/>
              </w:rPr>
            </w:pPr>
          </w:p>
        </w:tc>
        <w:tc>
          <w:tcPr>
            <w:tcW w:w="624" w:type="pct"/>
            <w:tcBorders>
              <w:tl2br w:val="nil"/>
              <w:tr2bl w:val="nil"/>
            </w:tcBorders>
            <w:vAlign w:val="center"/>
          </w:tcPr>
          <w:p w14:paraId="15239875">
            <w:pPr>
              <w:pStyle w:val="16"/>
              <w:pageBreakBefore w:val="0"/>
              <w:wordWrap/>
              <w:bidi w:val="0"/>
              <w:adjustRightInd/>
              <w:snapToGrid/>
              <w:ind w:left="0" w:leftChars="0" w:firstLine="0" w:firstLineChars="0"/>
              <w:rPr>
                <w:color w:val="auto"/>
                <w:sz w:val="21"/>
                <w:szCs w:val="21"/>
              </w:rPr>
            </w:pPr>
            <w:r>
              <w:rPr>
                <w:color w:val="auto"/>
                <w:sz w:val="21"/>
                <w:szCs w:val="21"/>
              </w:rPr>
              <w:t>玻璃钢轴流通风机</w:t>
            </w:r>
          </w:p>
        </w:tc>
        <w:tc>
          <w:tcPr>
            <w:tcW w:w="286" w:type="pct"/>
            <w:tcBorders>
              <w:tl2br w:val="nil"/>
              <w:tr2bl w:val="nil"/>
            </w:tcBorders>
            <w:vAlign w:val="center"/>
          </w:tcPr>
          <w:p w14:paraId="11DBDAFF">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8</w:t>
            </w:r>
          </w:p>
        </w:tc>
        <w:tc>
          <w:tcPr>
            <w:tcW w:w="372" w:type="pct"/>
            <w:tcBorders>
              <w:tl2br w:val="nil"/>
              <w:tr2bl w:val="nil"/>
            </w:tcBorders>
            <w:vAlign w:val="center"/>
          </w:tcPr>
          <w:p w14:paraId="5C53F78A">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0594754A">
            <w:pPr>
              <w:pStyle w:val="16"/>
              <w:pageBreakBefore w:val="0"/>
              <w:wordWrap/>
              <w:bidi w:val="0"/>
              <w:adjustRightInd/>
              <w:snapToGrid/>
              <w:rPr>
                <w:color w:val="auto"/>
                <w:sz w:val="21"/>
                <w:szCs w:val="21"/>
              </w:rPr>
            </w:pPr>
          </w:p>
        </w:tc>
        <w:tc>
          <w:tcPr>
            <w:tcW w:w="213" w:type="pct"/>
            <w:tcBorders>
              <w:tl2br w:val="nil"/>
              <w:tr2bl w:val="nil"/>
            </w:tcBorders>
            <w:vAlign w:val="center"/>
          </w:tcPr>
          <w:p w14:paraId="0B9F7CC7">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188</w:t>
            </w:r>
          </w:p>
        </w:tc>
        <w:tc>
          <w:tcPr>
            <w:tcW w:w="212" w:type="pct"/>
            <w:tcBorders>
              <w:tl2br w:val="nil"/>
              <w:tr2bl w:val="nil"/>
            </w:tcBorders>
            <w:vAlign w:val="center"/>
          </w:tcPr>
          <w:p w14:paraId="29015ED0">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0.7</w:t>
            </w:r>
          </w:p>
        </w:tc>
        <w:tc>
          <w:tcPr>
            <w:tcW w:w="215" w:type="pct"/>
            <w:tcBorders>
              <w:tl2br w:val="nil"/>
              <w:tr2bl w:val="nil"/>
            </w:tcBorders>
            <w:vAlign w:val="center"/>
          </w:tcPr>
          <w:p w14:paraId="60CA3D6C">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4A5D8F03">
            <w:pPr>
              <w:pStyle w:val="16"/>
              <w:pageBreakBefore w:val="0"/>
              <w:wordWrap/>
              <w:bidi w:val="0"/>
              <w:adjustRightInd/>
              <w:snapToGrid/>
              <w:rPr>
                <w:color w:val="auto"/>
                <w:sz w:val="21"/>
                <w:szCs w:val="21"/>
              </w:rPr>
            </w:pPr>
            <w:r>
              <w:rPr>
                <w:color w:val="auto"/>
                <w:sz w:val="21"/>
                <w:szCs w:val="21"/>
              </w:rPr>
              <w:t>1</w:t>
            </w:r>
          </w:p>
        </w:tc>
        <w:tc>
          <w:tcPr>
            <w:tcW w:w="436" w:type="pct"/>
            <w:tcBorders>
              <w:tl2br w:val="nil"/>
              <w:tr2bl w:val="nil"/>
            </w:tcBorders>
            <w:vAlign w:val="center"/>
          </w:tcPr>
          <w:p w14:paraId="10A7C610">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80</w:t>
            </w:r>
          </w:p>
        </w:tc>
        <w:tc>
          <w:tcPr>
            <w:tcW w:w="263" w:type="pct"/>
            <w:vMerge w:val="continue"/>
            <w:tcBorders>
              <w:tl2br w:val="nil"/>
              <w:tr2bl w:val="nil"/>
            </w:tcBorders>
            <w:vAlign w:val="center"/>
          </w:tcPr>
          <w:p w14:paraId="76501545">
            <w:pPr>
              <w:pStyle w:val="16"/>
              <w:pageBreakBefore w:val="0"/>
              <w:wordWrap/>
              <w:bidi w:val="0"/>
              <w:adjustRightInd/>
              <w:snapToGrid/>
              <w:rPr>
                <w:color w:val="auto"/>
                <w:sz w:val="21"/>
                <w:szCs w:val="21"/>
              </w:rPr>
            </w:pPr>
          </w:p>
        </w:tc>
        <w:tc>
          <w:tcPr>
            <w:tcW w:w="464" w:type="pct"/>
            <w:tcBorders>
              <w:tl2br w:val="nil"/>
              <w:tr2bl w:val="nil"/>
            </w:tcBorders>
            <w:vAlign w:val="center"/>
          </w:tcPr>
          <w:p w14:paraId="1C646E5C">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1156909D">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4DB473E8">
            <w:pPr>
              <w:pStyle w:val="16"/>
              <w:pageBreakBefore w:val="0"/>
              <w:wordWrap/>
              <w:bidi w:val="0"/>
              <w:adjustRightInd/>
              <w:snapToGrid/>
              <w:rPr>
                <w:color w:val="auto"/>
                <w:sz w:val="21"/>
                <w:szCs w:val="21"/>
              </w:rPr>
            </w:pPr>
            <w:r>
              <w:rPr>
                <w:color w:val="auto"/>
                <w:sz w:val="21"/>
                <w:szCs w:val="21"/>
              </w:rPr>
              <w:t>1</w:t>
            </w:r>
          </w:p>
        </w:tc>
        <w:tc>
          <w:tcPr>
            <w:tcW w:w="281" w:type="pct"/>
            <w:vMerge w:val="continue"/>
            <w:tcBorders>
              <w:tl2br w:val="nil"/>
              <w:tr2bl w:val="nil"/>
            </w:tcBorders>
            <w:vAlign w:val="center"/>
          </w:tcPr>
          <w:p w14:paraId="518346C9">
            <w:pPr>
              <w:pStyle w:val="16"/>
              <w:pageBreakBefore w:val="0"/>
              <w:wordWrap/>
              <w:bidi w:val="0"/>
              <w:adjustRightInd/>
              <w:snapToGrid/>
              <w:rPr>
                <w:color w:val="auto"/>
                <w:sz w:val="21"/>
                <w:szCs w:val="21"/>
              </w:rPr>
            </w:pPr>
          </w:p>
        </w:tc>
      </w:tr>
      <w:tr w14:paraId="5B30488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1337B6ED">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65</w:t>
            </w:r>
          </w:p>
        </w:tc>
        <w:tc>
          <w:tcPr>
            <w:tcW w:w="189" w:type="pct"/>
            <w:vMerge w:val="restart"/>
            <w:tcBorders>
              <w:tl2br w:val="nil"/>
              <w:tr2bl w:val="nil"/>
            </w:tcBorders>
            <w:vAlign w:val="center"/>
          </w:tcPr>
          <w:p w14:paraId="49B77651">
            <w:pPr>
              <w:pageBreakBefore w:val="0"/>
              <w:wordWrap/>
              <w:bidi w:val="0"/>
              <w:adjustRightInd/>
              <w:snapToGrid/>
              <w:spacing w:line="240" w:lineRule="auto"/>
              <w:ind w:firstLine="0" w:firstLineChars="0"/>
              <w:jc w:val="center"/>
              <w:rPr>
                <w:color w:val="auto"/>
                <w:sz w:val="21"/>
                <w:szCs w:val="21"/>
              </w:rPr>
            </w:pPr>
            <w:r>
              <w:rPr>
                <w:b w:val="0"/>
                <w:bCs w:val="0"/>
                <w:color w:val="auto"/>
                <w:sz w:val="21"/>
                <w:szCs w:val="21"/>
              </w:rPr>
              <w:t>在线监测间</w:t>
            </w:r>
          </w:p>
        </w:tc>
        <w:tc>
          <w:tcPr>
            <w:tcW w:w="624" w:type="pct"/>
            <w:tcBorders>
              <w:tl2br w:val="nil"/>
              <w:tr2bl w:val="nil"/>
            </w:tcBorders>
            <w:vAlign w:val="center"/>
          </w:tcPr>
          <w:p w14:paraId="3DADEE7D">
            <w:pPr>
              <w:pStyle w:val="16"/>
              <w:pageBreakBefore w:val="0"/>
              <w:wordWrap/>
              <w:bidi w:val="0"/>
              <w:adjustRightInd/>
              <w:snapToGrid/>
              <w:ind w:left="0" w:leftChars="0" w:firstLine="0" w:firstLineChars="0"/>
              <w:rPr>
                <w:color w:val="auto"/>
                <w:sz w:val="21"/>
                <w:szCs w:val="21"/>
              </w:rPr>
            </w:pPr>
            <w:r>
              <w:rPr>
                <w:color w:val="auto"/>
                <w:sz w:val="21"/>
                <w:szCs w:val="21"/>
              </w:rPr>
              <w:t>轴流通风机</w:t>
            </w:r>
          </w:p>
        </w:tc>
        <w:tc>
          <w:tcPr>
            <w:tcW w:w="286" w:type="pct"/>
            <w:tcBorders>
              <w:tl2br w:val="nil"/>
              <w:tr2bl w:val="nil"/>
            </w:tcBorders>
            <w:vAlign w:val="center"/>
          </w:tcPr>
          <w:p w14:paraId="60DEB7D3">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2</w:t>
            </w:r>
          </w:p>
        </w:tc>
        <w:tc>
          <w:tcPr>
            <w:tcW w:w="372" w:type="pct"/>
            <w:tcBorders>
              <w:tl2br w:val="nil"/>
              <w:tr2bl w:val="nil"/>
            </w:tcBorders>
            <w:vAlign w:val="center"/>
          </w:tcPr>
          <w:p w14:paraId="70CA6473">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80</w:t>
            </w:r>
          </w:p>
        </w:tc>
        <w:tc>
          <w:tcPr>
            <w:tcW w:w="372" w:type="pct"/>
            <w:vMerge w:val="continue"/>
            <w:tcBorders>
              <w:tl2br w:val="nil"/>
              <w:tr2bl w:val="nil"/>
            </w:tcBorders>
            <w:vAlign w:val="center"/>
          </w:tcPr>
          <w:p w14:paraId="72973630">
            <w:pPr>
              <w:pStyle w:val="16"/>
              <w:pageBreakBefore w:val="0"/>
              <w:wordWrap/>
              <w:bidi w:val="0"/>
              <w:adjustRightInd/>
              <w:snapToGrid/>
              <w:rPr>
                <w:color w:val="auto"/>
                <w:sz w:val="21"/>
                <w:szCs w:val="21"/>
              </w:rPr>
            </w:pPr>
          </w:p>
        </w:tc>
        <w:tc>
          <w:tcPr>
            <w:tcW w:w="213" w:type="pct"/>
            <w:tcBorders>
              <w:tl2br w:val="nil"/>
              <w:tr2bl w:val="nil"/>
            </w:tcBorders>
            <w:vAlign w:val="center"/>
          </w:tcPr>
          <w:p w14:paraId="7EE05AED">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18.8</w:t>
            </w:r>
          </w:p>
        </w:tc>
        <w:tc>
          <w:tcPr>
            <w:tcW w:w="212" w:type="pct"/>
            <w:tcBorders>
              <w:tl2br w:val="nil"/>
              <w:tr2bl w:val="nil"/>
            </w:tcBorders>
            <w:vAlign w:val="center"/>
          </w:tcPr>
          <w:p w14:paraId="68DAF682">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6.8</w:t>
            </w:r>
          </w:p>
        </w:tc>
        <w:tc>
          <w:tcPr>
            <w:tcW w:w="215" w:type="pct"/>
            <w:tcBorders>
              <w:tl2br w:val="nil"/>
              <w:tr2bl w:val="nil"/>
            </w:tcBorders>
            <w:vAlign w:val="center"/>
          </w:tcPr>
          <w:p w14:paraId="78DFD784">
            <w:pPr>
              <w:pStyle w:val="16"/>
              <w:pageBreakBefore w:val="0"/>
              <w:wordWrap/>
              <w:bidi w:val="0"/>
              <w:adjustRightInd/>
              <w:snapToGrid/>
              <w:rPr>
                <w:rFonts w:hint="eastAsia" w:eastAsia="宋体"/>
                <w:color w:val="auto"/>
                <w:sz w:val="21"/>
                <w:szCs w:val="21"/>
                <w:lang w:val="en-US" w:eastAsia="zh-CN"/>
              </w:rPr>
            </w:pPr>
            <w:r>
              <w:rPr>
                <w:rFonts w:hint="eastAsia"/>
                <w:color w:val="auto"/>
                <w:sz w:val="21"/>
                <w:szCs w:val="21"/>
                <w:lang w:val="en-US" w:eastAsia="zh-CN"/>
              </w:rPr>
              <w:t>1</w:t>
            </w:r>
          </w:p>
        </w:tc>
        <w:tc>
          <w:tcPr>
            <w:tcW w:w="336" w:type="pct"/>
            <w:tcBorders>
              <w:tl2br w:val="nil"/>
              <w:tr2bl w:val="nil"/>
            </w:tcBorders>
            <w:vAlign w:val="center"/>
          </w:tcPr>
          <w:p w14:paraId="2033144D">
            <w:pPr>
              <w:pStyle w:val="16"/>
              <w:pageBreakBefore w:val="0"/>
              <w:wordWrap/>
              <w:bidi w:val="0"/>
              <w:adjustRightInd/>
              <w:snapToGrid/>
              <w:rPr>
                <w:color w:val="auto"/>
                <w:sz w:val="21"/>
                <w:szCs w:val="21"/>
              </w:rPr>
            </w:pPr>
            <w:r>
              <w:rPr>
                <w:color w:val="auto"/>
                <w:sz w:val="21"/>
                <w:szCs w:val="21"/>
              </w:rPr>
              <w:t>1</w:t>
            </w:r>
          </w:p>
        </w:tc>
        <w:tc>
          <w:tcPr>
            <w:tcW w:w="436" w:type="pct"/>
            <w:tcBorders>
              <w:tl2br w:val="nil"/>
              <w:tr2bl w:val="nil"/>
            </w:tcBorders>
            <w:vAlign w:val="center"/>
          </w:tcPr>
          <w:p w14:paraId="36F5A09A">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80</w:t>
            </w:r>
          </w:p>
        </w:tc>
        <w:tc>
          <w:tcPr>
            <w:tcW w:w="263" w:type="pct"/>
            <w:vMerge w:val="continue"/>
            <w:tcBorders>
              <w:tl2br w:val="nil"/>
              <w:tr2bl w:val="nil"/>
            </w:tcBorders>
            <w:vAlign w:val="center"/>
          </w:tcPr>
          <w:p w14:paraId="3CCF09F2">
            <w:pPr>
              <w:pStyle w:val="16"/>
              <w:pageBreakBefore w:val="0"/>
              <w:wordWrap/>
              <w:bidi w:val="0"/>
              <w:adjustRightInd/>
              <w:snapToGrid/>
              <w:rPr>
                <w:color w:val="auto"/>
                <w:sz w:val="21"/>
                <w:szCs w:val="21"/>
              </w:rPr>
            </w:pPr>
          </w:p>
        </w:tc>
        <w:tc>
          <w:tcPr>
            <w:tcW w:w="464" w:type="pct"/>
            <w:tcBorders>
              <w:tl2br w:val="nil"/>
              <w:tr2bl w:val="nil"/>
            </w:tcBorders>
            <w:vAlign w:val="center"/>
          </w:tcPr>
          <w:p w14:paraId="5155E54F">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6D74171D">
            <w:pPr>
              <w:pStyle w:val="16"/>
              <w:bidi w:val="0"/>
              <w:rPr>
                <w:rFonts w:hint="default"/>
                <w:color w:val="auto"/>
                <w:lang w:val="en-US" w:eastAsia="zh-CN"/>
              </w:rPr>
            </w:pPr>
            <w:r>
              <w:rPr>
                <w:rFonts w:hint="default"/>
                <w:color w:val="auto"/>
                <w:lang w:val="en-US" w:eastAsia="zh-CN"/>
              </w:rPr>
              <w:t>35.2</w:t>
            </w:r>
          </w:p>
        </w:tc>
        <w:tc>
          <w:tcPr>
            <w:tcW w:w="285" w:type="pct"/>
            <w:tcBorders>
              <w:tl2br w:val="nil"/>
              <w:tr2bl w:val="nil"/>
            </w:tcBorders>
            <w:vAlign w:val="center"/>
          </w:tcPr>
          <w:p w14:paraId="0D85F5FC">
            <w:pPr>
              <w:pStyle w:val="16"/>
              <w:pageBreakBefore w:val="0"/>
              <w:wordWrap/>
              <w:bidi w:val="0"/>
              <w:adjustRightInd/>
              <w:snapToGrid/>
              <w:rPr>
                <w:color w:val="auto"/>
                <w:sz w:val="21"/>
                <w:szCs w:val="21"/>
              </w:rPr>
            </w:pPr>
            <w:r>
              <w:rPr>
                <w:color w:val="auto"/>
                <w:sz w:val="21"/>
                <w:szCs w:val="21"/>
              </w:rPr>
              <w:t>1</w:t>
            </w:r>
          </w:p>
        </w:tc>
        <w:tc>
          <w:tcPr>
            <w:tcW w:w="281" w:type="pct"/>
            <w:vMerge w:val="continue"/>
            <w:tcBorders>
              <w:tl2br w:val="nil"/>
              <w:tr2bl w:val="nil"/>
            </w:tcBorders>
            <w:vAlign w:val="center"/>
          </w:tcPr>
          <w:p w14:paraId="3338504A">
            <w:pPr>
              <w:pStyle w:val="16"/>
              <w:pageBreakBefore w:val="0"/>
              <w:wordWrap/>
              <w:bidi w:val="0"/>
              <w:adjustRightInd/>
              <w:snapToGrid/>
              <w:rPr>
                <w:color w:val="auto"/>
                <w:sz w:val="21"/>
                <w:szCs w:val="21"/>
              </w:rPr>
            </w:pPr>
          </w:p>
        </w:tc>
      </w:tr>
      <w:tr w14:paraId="2872CFB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2" w:type="pct"/>
            <w:tcBorders>
              <w:tl2br w:val="nil"/>
              <w:tr2bl w:val="nil"/>
            </w:tcBorders>
            <w:vAlign w:val="center"/>
          </w:tcPr>
          <w:p w14:paraId="5A151CA9">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66</w:t>
            </w:r>
          </w:p>
        </w:tc>
        <w:tc>
          <w:tcPr>
            <w:tcW w:w="189" w:type="pct"/>
            <w:vMerge w:val="continue"/>
            <w:tcBorders>
              <w:tl2br w:val="nil"/>
              <w:tr2bl w:val="nil"/>
            </w:tcBorders>
            <w:vAlign w:val="center"/>
          </w:tcPr>
          <w:p w14:paraId="118AE86A">
            <w:pPr>
              <w:pageBreakBefore w:val="0"/>
              <w:wordWrap/>
              <w:bidi w:val="0"/>
              <w:adjustRightInd/>
              <w:snapToGrid/>
              <w:spacing w:line="240" w:lineRule="auto"/>
              <w:ind w:firstLine="0" w:firstLineChars="0"/>
              <w:jc w:val="center"/>
              <w:rPr>
                <w:color w:val="auto"/>
                <w:sz w:val="21"/>
                <w:szCs w:val="21"/>
              </w:rPr>
            </w:pPr>
          </w:p>
        </w:tc>
        <w:tc>
          <w:tcPr>
            <w:tcW w:w="624" w:type="pct"/>
            <w:tcBorders>
              <w:tl2br w:val="nil"/>
              <w:tr2bl w:val="nil"/>
            </w:tcBorders>
            <w:vAlign w:val="center"/>
          </w:tcPr>
          <w:p w14:paraId="22C7C8B6">
            <w:pPr>
              <w:pStyle w:val="16"/>
              <w:pageBreakBefore w:val="0"/>
              <w:wordWrap/>
              <w:bidi w:val="0"/>
              <w:adjustRightInd/>
              <w:snapToGrid/>
              <w:ind w:left="0" w:leftChars="0" w:firstLine="0" w:firstLineChars="0"/>
              <w:rPr>
                <w:color w:val="auto"/>
                <w:sz w:val="21"/>
                <w:szCs w:val="21"/>
              </w:rPr>
            </w:pPr>
            <w:r>
              <w:rPr>
                <w:color w:val="auto"/>
                <w:sz w:val="21"/>
                <w:szCs w:val="21"/>
              </w:rPr>
              <w:t>取样泵</w:t>
            </w:r>
          </w:p>
        </w:tc>
        <w:tc>
          <w:tcPr>
            <w:tcW w:w="286" w:type="pct"/>
            <w:tcBorders>
              <w:tl2br w:val="nil"/>
              <w:tr2bl w:val="nil"/>
            </w:tcBorders>
            <w:vAlign w:val="center"/>
          </w:tcPr>
          <w:p w14:paraId="086CDAAD">
            <w:pPr>
              <w:pStyle w:val="16"/>
              <w:pageBreakBefore w:val="0"/>
              <w:wordWrap/>
              <w:bidi w:val="0"/>
              <w:adjustRightInd/>
              <w:snapToGrid/>
              <w:rPr>
                <w:color w:val="auto"/>
                <w:sz w:val="21"/>
                <w:szCs w:val="21"/>
              </w:rPr>
            </w:pPr>
            <w:r>
              <w:rPr>
                <w:color w:val="auto"/>
                <w:sz w:val="21"/>
                <w:szCs w:val="21"/>
              </w:rPr>
              <w:t>2用</w:t>
            </w:r>
            <w:r>
              <w:rPr>
                <w:rFonts w:hint="eastAsia"/>
                <w:color w:val="auto"/>
                <w:sz w:val="21"/>
                <w:szCs w:val="21"/>
                <w:lang w:val="en-US" w:eastAsia="zh-CN"/>
              </w:rPr>
              <w:t>2</w:t>
            </w:r>
            <w:r>
              <w:rPr>
                <w:color w:val="auto"/>
                <w:sz w:val="21"/>
                <w:szCs w:val="21"/>
              </w:rPr>
              <w:t>备</w:t>
            </w:r>
          </w:p>
        </w:tc>
        <w:tc>
          <w:tcPr>
            <w:tcW w:w="372" w:type="pct"/>
            <w:tcBorders>
              <w:tl2br w:val="nil"/>
              <w:tr2bl w:val="nil"/>
            </w:tcBorders>
            <w:vAlign w:val="center"/>
          </w:tcPr>
          <w:p w14:paraId="263A3221">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85</w:t>
            </w:r>
          </w:p>
        </w:tc>
        <w:tc>
          <w:tcPr>
            <w:tcW w:w="372" w:type="pct"/>
            <w:vMerge w:val="continue"/>
            <w:tcBorders>
              <w:tl2br w:val="nil"/>
              <w:tr2bl w:val="nil"/>
            </w:tcBorders>
            <w:vAlign w:val="center"/>
          </w:tcPr>
          <w:p w14:paraId="6C7C66A5">
            <w:pPr>
              <w:pStyle w:val="16"/>
              <w:pageBreakBefore w:val="0"/>
              <w:wordWrap/>
              <w:bidi w:val="0"/>
              <w:adjustRightInd/>
              <w:snapToGrid/>
              <w:rPr>
                <w:color w:val="auto"/>
                <w:sz w:val="21"/>
                <w:szCs w:val="21"/>
              </w:rPr>
            </w:pPr>
          </w:p>
        </w:tc>
        <w:tc>
          <w:tcPr>
            <w:tcW w:w="213" w:type="pct"/>
            <w:tcBorders>
              <w:tl2br w:val="nil"/>
              <w:tr2bl w:val="nil"/>
            </w:tcBorders>
            <w:vAlign w:val="center"/>
          </w:tcPr>
          <w:p w14:paraId="4B825A68">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18.8</w:t>
            </w:r>
          </w:p>
        </w:tc>
        <w:tc>
          <w:tcPr>
            <w:tcW w:w="212" w:type="pct"/>
            <w:tcBorders>
              <w:tl2br w:val="nil"/>
              <w:tr2bl w:val="nil"/>
            </w:tcBorders>
            <w:vAlign w:val="center"/>
          </w:tcPr>
          <w:p w14:paraId="258F9A84">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6.8</w:t>
            </w:r>
          </w:p>
        </w:tc>
        <w:tc>
          <w:tcPr>
            <w:tcW w:w="215" w:type="pct"/>
            <w:tcBorders>
              <w:tl2br w:val="nil"/>
              <w:tr2bl w:val="nil"/>
            </w:tcBorders>
            <w:vAlign w:val="center"/>
          </w:tcPr>
          <w:p w14:paraId="389E32EC">
            <w:pPr>
              <w:pStyle w:val="16"/>
              <w:pageBreakBefore w:val="0"/>
              <w:wordWrap/>
              <w:bidi w:val="0"/>
              <w:adjustRightInd/>
              <w:snapToGrid/>
              <w:rPr>
                <w:rFonts w:hint="default" w:eastAsia="宋体"/>
                <w:color w:val="auto"/>
                <w:sz w:val="21"/>
                <w:szCs w:val="21"/>
                <w:lang w:val="en-US" w:eastAsia="zh-CN"/>
              </w:rPr>
            </w:pPr>
            <w:r>
              <w:rPr>
                <w:rFonts w:hint="eastAsia"/>
                <w:color w:val="auto"/>
                <w:sz w:val="21"/>
                <w:szCs w:val="21"/>
                <w:lang w:val="en-US" w:eastAsia="zh-CN"/>
              </w:rPr>
              <w:t>0.5</w:t>
            </w:r>
          </w:p>
        </w:tc>
        <w:tc>
          <w:tcPr>
            <w:tcW w:w="336" w:type="pct"/>
            <w:tcBorders>
              <w:tl2br w:val="nil"/>
              <w:tr2bl w:val="nil"/>
            </w:tcBorders>
            <w:vAlign w:val="center"/>
          </w:tcPr>
          <w:p w14:paraId="613C4E29">
            <w:pPr>
              <w:pStyle w:val="16"/>
              <w:pageBreakBefore w:val="0"/>
              <w:wordWrap/>
              <w:bidi w:val="0"/>
              <w:adjustRightInd/>
              <w:snapToGrid/>
              <w:rPr>
                <w:color w:val="auto"/>
                <w:sz w:val="21"/>
                <w:szCs w:val="21"/>
              </w:rPr>
            </w:pPr>
            <w:r>
              <w:rPr>
                <w:color w:val="auto"/>
                <w:sz w:val="21"/>
                <w:szCs w:val="21"/>
              </w:rPr>
              <w:t>1</w:t>
            </w:r>
          </w:p>
        </w:tc>
        <w:tc>
          <w:tcPr>
            <w:tcW w:w="436" w:type="pct"/>
            <w:tcBorders>
              <w:tl2br w:val="nil"/>
              <w:tr2bl w:val="nil"/>
            </w:tcBorders>
            <w:vAlign w:val="center"/>
          </w:tcPr>
          <w:p w14:paraId="3D94B456">
            <w:pPr>
              <w:pStyle w:val="16"/>
              <w:pageBreakBefore w:val="0"/>
              <w:wordWrap/>
              <w:bidi w:val="0"/>
              <w:adjustRightInd/>
              <w:snapToGrid/>
              <w:ind w:left="0" w:leftChars="0" w:firstLine="0" w:firstLineChars="0"/>
              <w:rPr>
                <w:color w:val="auto"/>
                <w:sz w:val="21"/>
                <w:szCs w:val="21"/>
              </w:rPr>
            </w:pPr>
            <w:r>
              <w:rPr>
                <w:rFonts w:hint="eastAsia"/>
                <w:color w:val="auto"/>
                <w:sz w:val="21"/>
                <w:szCs w:val="21"/>
                <w:lang w:val="en-US" w:eastAsia="zh-CN"/>
              </w:rPr>
              <w:t>85</w:t>
            </w:r>
          </w:p>
        </w:tc>
        <w:tc>
          <w:tcPr>
            <w:tcW w:w="263" w:type="pct"/>
            <w:vMerge w:val="continue"/>
            <w:tcBorders>
              <w:tl2br w:val="nil"/>
              <w:tr2bl w:val="nil"/>
            </w:tcBorders>
            <w:vAlign w:val="center"/>
          </w:tcPr>
          <w:p w14:paraId="4E8A23D6">
            <w:pPr>
              <w:pStyle w:val="16"/>
              <w:pageBreakBefore w:val="0"/>
              <w:wordWrap/>
              <w:bidi w:val="0"/>
              <w:adjustRightInd/>
              <w:snapToGrid/>
              <w:rPr>
                <w:color w:val="auto"/>
                <w:sz w:val="21"/>
                <w:szCs w:val="21"/>
              </w:rPr>
            </w:pPr>
          </w:p>
        </w:tc>
        <w:tc>
          <w:tcPr>
            <w:tcW w:w="464" w:type="pct"/>
            <w:tcBorders>
              <w:tl2br w:val="nil"/>
              <w:tr2bl w:val="nil"/>
            </w:tcBorders>
            <w:vAlign w:val="center"/>
          </w:tcPr>
          <w:p w14:paraId="2503498B">
            <w:pPr>
              <w:pStyle w:val="16"/>
              <w:bidi w:val="0"/>
              <w:rPr>
                <w:color w:val="auto"/>
                <w:sz w:val="21"/>
                <w:szCs w:val="21"/>
              </w:rPr>
            </w:pPr>
            <w:r>
              <w:rPr>
                <w:rFonts w:hint="eastAsia"/>
                <w:color w:val="auto"/>
                <w:sz w:val="21"/>
                <w:szCs w:val="21"/>
                <w:lang w:val="en-US" w:eastAsia="zh-CN"/>
              </w:rPr>
              <w:t>44.8</w:t>
            </w:r>
          </w:p>
        </w:tc>
        <w:tc>
          <w:tcPr>
            <w:tcW w:w="791" w:type="dxa"/>
            <w:tcBorders>
              <w:tl2br w:val="nil"/>
              <w:tr2bl w:val="nil"/>
            </w:tcBorders>
            <w:vAlign w:val="center"/>
          </w:tcPr>
          <w:p w14:paraId="70BB2F64">
            <w:pPr>
              <w:pStyle w:val="16"/>
              <w:bidi w:val="0"/>
              <w:rPr>
                <w:rFonts w:hint="default"/>
                <w:color w:val="auto"/>
                <w:lang w:val="en-US" w:eastAsia="zh-CN"/>
              </w:rPr>
            </w:pPr>
            <w:r>
              <w:rPr>
                <w:rFonts w:hint="default"/>
                <w:color w:val="auto"/>
                <w:lang w:val="en-US" w:eastAsia="zh-CN"/>
              </w:rPr>
              <w:t>40.2</w:t>
            </w:r>
          </w:p>
        </w:tc>
        <w:tc>
          <w:tcPr>
            <w:tcW w:w="285" w:type="pct"/>
            <w:tcBorders>
              <w:tl2br w:val="nil"/>
              <w:tr2bl w:val="nil"/>
            </w:tcBorders>
            <w:vAlign w:val="center"/>
          </w:tcPr>
          <w:p w14:paraId="660A7437">
            <w:pPr>
              <w:pStyle w:val="16"/>
              <w:pageBreakBefore w:val="0"/>
              <w:wordWrap/>
              <w:bidi w:val="0"/>
              <w:adjustRightInd/>
              <w:snapToGrid/>
              <w:rPr>
                <w:color w:val="auto"/>
                <w:sz w:val="21"/>
                <w:szCs w:val="21"/>
              </w:rPr>
            </w:pPr>
            <w:r>
              <w:rPr>
                <w:color w:val="auto"/>
                <w:sz w:val="21"/>
                <w:szCs w:val="21"/>
              </w:rPr>
              <w:t>1</w:t>
            </w:r>
          </w:p>
        </w:tc>
        <w:tc>
          <w:tcPr>
            <w:tcW w:w="281" w:type="pct"/>
            <w:vMerge w:val="continue"/>
            <w:tcBorders>
              <w:tl2br w:val="nil"/>
              <w:tr2bl w:val="nil"/>
            </w:tcBorders>
            <w:vAlign w:val="center"/>
          </w:tcPr>
          <w:p w14:paraId="3DD416B3">
            <w:pPr>
              <w:pStyle w:val="16"/>
              <w:pageBreakBefore w:val="0"/>
              <w:wordWrap/>
              <w:bidi w:val="0"/>
              <w:adjustRightInd/>
              <w:snapToGrid/>
              <w:rPr>
                <w:color w:val="auto"/>
                <w:sz w:val="21"/>
                <w:szCs w:val="21"/>
              </w:rPr>
            </w:pPr>
          </w:p>
        </w:tc>
      </w:tr>
    </w:tbl>
    <w:p w14:paraId="1103569A">
      <w:pPr>
        <w:pStyle w:val="17"/>
        <w:keepNext w:val="0"/>
        <w:keepLines w:val="0"/>
        <w:pageBreakBefore w:val="0"/>
        <w:widowControl w:val="0"/>
        <w:kinsoku/>
        <w:wordWrap/>
        <w:overflowPunct/>
        <w:topLinePunct w:val="0"/>
        <w:autoSpaceDE/>
        <w:autoSpaceDN/>
        <w:bidi w:val="0"/>
        <w:adjustRightInd/>
        <w:snapToGrid/>
        <w:spacing w:before="144" w:beforeLines="50"/>
        <w:jc w:val="left"/>
        <w:textAlignment w:val="auto"/>
        <w:rPr>
          <w:rFonts w:hint="default" w:eastAsia="宋体"/>
          <w:color w:val="auto"/>
          <w:lang w:val="en-US" w:eastAsia="zh-CN"/>
        </w:rPr>
      </w:pPr>
      <w:r>
        <w:rPr>
          <w:rFonts w:hint="eastAsia"/>
          <w:color w:val="auto"/>
          <w:lang w:val="en-US" w:eastAsia="zh-CN"/>
        </w:rPr>
        <w:t>注：本项目以西南侧边界角作为坐标原点，Z值负数代表设备位于地面以下。</w:t>
      </w:r>
    </w:p>
    <w:p w14:paraId="6D18F199">
      <w:pPr>
        <w:pStyle w:val="17"/>
        <w:pageBreakBefore w:val="0"/>
        <w:wordWrap/>
        <w:bidi w:val="0"/>
        <w:adjustRightInd/>
        <w:snapToGrid/>
        <w:rPr>
          <w:color w:val="auto"/>
        </w:rPr>
      </w:pPr>
    </w:p>
    <w:p w14:paraId="30A4041E">
      <w:pPr>
        <w:pStyle w:val="17"/>
        <w:pageBreakBefore w:val="0"/>
        <w:wordWrap/>
        <w:bidi w:val="0"/>
        <w:adjustRightInd/>
        <w:snapToGrid/>
        <w:rPr>
          <w:color w:val="auto"/>
        </w:rPr>
      </w:pPr>
    </w:p>
    <w:p w14:paraId="25412050">
      <w:pPr>
        <w:pStyle w:val="17"/>
        <w:pageBreakBefore w:val="0"/>
        <w:wordWrap/>
        <w:bidi w:val="0"/>
        <w:adjustRightInd/>
        <w:snapToGrid/>
        <w:rPr>
          <w:color w:val="auto"/>
        </w:rPr>
      </w:pPr>
    </w:p>
    <w:p w14:paraId="651D2E5A">
      <w:pPr>
        <w:pageBreakBefore w:val="0"/>
        <w:wordWrap/>
        <w:bidi w:val="0"/>
        <w:adjustRightInd/>
        <w:snapToGrid/>
        <w:spacing w:line="20" w:lineRule="exact"/>
        <w:ind w:firstLine="40"/>
        <w:jc w:val="left"/>
        <w:rPr>
          <w:color w:val="auto"/>
          <w:kern w:val="0"/>
          <w:sz w:val="2"/>
          <w:szCs w:val="2"/>
        </w:rPr>
      </w:pPr>
    </w:p>
    <w:p w14:paraId="0B9589D5">
      <w:pPr>
        <w:pStyle w:val="5"/>
        <w:pageBreakBefore w:val="0"/>
        <w:numPr>
          <w:ilvl w:val="2"/>
          <w:numId w:val="0"/>
        </w:numPr>
        <w:wordWrap/>
        <w:bidi w:val="0"/>
        <w:adjustRightInd/>
        <w:snapToGrid/>
        <w:spacing w:before="48" w:after="48"/>
        <w:rPr>
          <w:rFonts w:eastAsia="宋体"/>
          <w:color w:val="auto"/>
        </w:rPr>
        <w:sectPr>
          <w:headerReference r:id="rId17" w:type="default"/>
          <w:footerReference r:id="rId18" w:type="default"/>
          <w:pgSz w:w="16838" w:h="11906" w:orient="landscape"/>
          <w:pgMar w:top="1588" w:right="1440" w:bottom="1588" w:left="1440" w:header="720" w:footer="720" w:gutter="0"/>
          <w:pgBorders>
            <w:top w:val="none" w:sz="0" w:space="0"/>
            <w:left w:val="none" w:sz="0" w:space="0"/>
            <w:bottom w:val="none" w:sz="0" w:space="0"/>
            <w:right w:val="none" w:sz="0" w:space="0"/>
          </w:pgBorders>
          <w:pgNumType w:fmt="decimal"/>
          <w:cols w:space="720" w:num="1"/>
          <w:docGrid w:linePitch="286" w:charSpace="0"/>
        </w:sectPr>
      </w:pPr>
    </w:p>
    <w:p w14:paraId="6F4964A9">
      <w:pPr>
        <w:pageBreakBefore w:val="0"/>
        <w:wordWrap/>
        <w:bidi w:val="0"/>
        <w:adjustRightInd/>
        <w:snapToGrid/>
        <w:rPr>
          <w:color w:val="auto"/>
        </w:rPr>
      </w:pPr>
      <w:r>
        <w:rPr>
          <w:color w:val="auto"/>
        </w:rPr>
        <w:t>项目拟采取的具体噪声控制措施如下：</w:t>
      </w:r>
    </w:p>
    <w:p w14:paraId="0B44E547">
      <w:pPr>
        <w:keepNext/>
        <w:adjustRightInd w:val="0"/>
        <w:snapToGrid w:val="0"/>
        <w:spacing w:line="360" w:lineRule="auto"/>
        <w:ind w:firstLine="480" w:firstLineChars="200"/>
        <w:rPr>
          <w:color w:val="auto"/>
          <w:sz w:val="24"/>
          <w:szCs w:val="24"/>
        </w:rPr>
      </w:pPr>
      <w:r>
        <w:rPr>
          <w:color w:val="auto"/>
          <w:sz w:val="24"/>
          <w:szCs w:val="24"/>
        </w:rPr>
        <w:t>本项目为全地埋式污水处理厂，将所有设备布设于地下，采取如下措施进行控制：</w:t>
      </w:r>
    </w:p>
    <w:p w14:paraId="5E7E1A64">
      <w:pPr>
        <w:keepNext/>
        <w:adjustRightInd w:val="0"/>
        <w:snapToGrid w:val="0"/>
        <w:spacing w:line="360" w:lineRule="auto"/>
        <w:ind w:firstLine="480" w:firstLineChars="200"/>
        <w:rPr>
          <w:color w:val="auto"/>
          <w:sz w:val="24"/>
          <w:szCs w:val="24"/>
        </w:rPr>
      </w:pPr>
      <w:r>
        <w:rPr>
          <w:rFonts w:hint="eastAsia" w:ascii="宋体" w:hAnsi="宋体" w:cs="宋体"/>
          <w:color w:val="auto"/>
          <w:sz w:val="24"/>
          <w:szCs w:val="24"/>
        </w:rPr>
        <w:t>①</w:t>
      </w:r>
      <w:r>
        <w:rPr>
          <w:color w:val="auto"/>
        </w:rPr>
        <w:t>选用低噪声设备：项目设备选型时应优先选用先进的低噪设备，并通过提高生产设备的安装质量和精度，从源头减轻设备的噪声量</w:t>
      </w:r>
      <w:r>
        <w:rPr>
          <w:color w:val="auto"/>
          <w:sz w:val="24"/>
          <w:szCs w:val="24"/>
        </w:rPr>
        <w:t>。</w:t>
      </w:r>
    </w:p>
    <w:p w14:paraId="233FAE69">
      <w:pPr>
        <w:keepNext/>
        <w:adjustRightInd w:val="0"/>
        <w:snapToGrid w:val="0"/>
        <w:spacing w:line="360" w:lineRule="auto"/>
        <w:ind w:firstLine="480" w:firstLineChars="200"/>
        <w:rPr>
          <w:rFonts w:hint="eastAsia" w:ascii="宋体" w:hAnsi="宋体" w:cs="宋体"/>
          <w:color w:val="auto"/>
          <w:sz w:val="24"/>
          <w:szCs w:val="24"/>
        </w:rPr>
      </w:pPr>
      <w:r>
        <w:rPr>
          <w:rFonts w:hint="eastAsia" w:ascii="宋体" w:hAnsi="宋体" w:cs="宋体"/>
          <w:color w:val="auto"/>
          <w:sz w:val="24"/>
          <w:szCs w:val="24"/>
        </w:rPr>
        <w:t>②</w:t>
      </w:r>
      <w:r>
        <w:rPr>
          <w:color w:val="auto"/>
        </w:rPr>
        <w:t>合理布局：将高噪声设备布置于专门的设备房内，如鼓风机，隔声量大于15dB（A）；同时，本环评要求在布设噪声设备时，注意尽量将设备集中布置，并尽可能靠近厂区中部位置进行布设，以有效利用噪声距离衰减作用；</w:t>
      </w:r>
    </w:p>
    <w:p w14:paraId="12FF7384">
      <w:pPr>
        <w:keepNext/>
        <w:adjustRightInd w:val="0"/>
        <w:snapToGrid w:val="0"/>
        <w:spacing w:line="360" w:lineRule="auto"/>
        <w:ind w:firstLine="480" w:firstLineChars="200"/>
        <w:rPr>
          <w:color w:val="auto"/>
          <w:sz w:val="24"/>
          <w:szCs w:val="24"/>
        </w:rPr>
      </w:pPr>
      <w:r>
        <w:rPr>
          <w:rFonts w:hint="eastAsia" w:ascii="宋体" w:hAnsi="宋体" w:cs="宋体"/>
          <w:color w:val="auto"/>
          <w:sz w:val="24"/>
          <w:szCs w:val="24"/>
        </w:rPr>
        <w:t>③</w:t>
      </w:r>
      <w:r>
        <w:rPr>
          <w:color w:val="auto"/>
          <w:sz w:val="24"/>
          <w:szCs w:val="24"/>
        </w:rPr>
        <w:t>隔声</w:t>
      </w:r>
      <w:r>
        <w:rPr>
          <w:rFonts w:hint="eastAsia"/>
          <w:color w:val="auto"/>
          <w:sz w:val="24"/>
          <w:szCs w:val="24"/>
          <w:lang w:eastAsia="zh-CN"/>
        </w:rPr>
        <w:t>：</w:t>
      </w:r>
      <w:r>
        <w:rPr>
          <w:rFonts w:hint="eastAsia"/>
          <w:color w:val="auto"/>
          <w:sz w:val="24"/>
          <w:szCs w:val="24"/>
          <w:lang w:val="en-US" w:eastAsia="zh-CN"/>
        </w:rPr>
        <w:t>主要的产噪设备位于地下，鼓风机房</w:t>
      </w:r>
      <w:r>
        <w:rPr>
          <w:color w:val="auto"/>
          <w:sz w:val="24"/>
          <w:szCs w:val="24"/>
        </w:rPr>
        <w:t>、</w:t>
      </w:r>
      <w:r>
        <w:rPr>
          <w:rFonts w:hint="eastAsia"/>
          <w:color w:val="auto"/>
          <w:sz w:val="24"/>
          <w:szCs w:val="24"/>
          <w:lang w:val="en-US" w:eastAsia="zh-CN"/>
        </w:rPr>
        <w:t>配变电室和泵房建筑物等</w:t>
      </w:r>
      <w:r>
        <w:rPr>
          <w:color w:val="auto"/>
          <w:sz w:val="24"/>
          <w:szCs w:val="24"/>
        </w:rPr>
        <w:t>采用封闭性结构，窗户采用隔声窗，阻断噪声的传播。机房内部风机等加装隔声罩（其降噪量在10～40dB(A)）。</w:t>
      </w:r>
    </w:p>
    <w:p w14:paraId="2DDB3A3C">
      <w:pPr>
        <w:keepNext/>
        <w:adjustRightInd w:val="0"/>
        <w:snapToGrid w:val="0"/>
        <w:spacing w:line="360" w:lineRule="auto"/>
        <w:ind w:firstLine="480" w:firstLineChars="200"/>
        <w:rPr>
          <w:color w:val="auto"/>
          <w:sz w:val="24"/>
          <w:szCs w:val="24"/>
        </w:rPr>
      </w:pPr>
      <w:r>
        <w:rPr>
          <w:rFonts w:hint="eastAsia" w:ascii="宋体" w:hAnsi="宋体" w:cs="宋体"/>
          <w:color w:val="auto"/>
          <w:sz w:val="24"/>
          <w:szCs w:val="24"/>
        </w:rPr>
        <w:t>④</w:t>
      </w:r>
      <w:r>
        <w:rPr>
          <w:color w:val="auto"/>
          <w:sz w:val="24"/>
          <w:szCs w:val="24"/>
        </w:rPr>
        <w:t>吸声。风机房采用吸声墙面和吸声吊顶，与外界连通的大门后贴吸声材料，风机放置在隔声罩内。</w:t>
      </w:r>
    </w:p>
    <w:p w14:paraId="148BCE7B">
      <w:pPr>
        <w:keepNext/>
        <w:adjustRightInd w:val="0"/>
        <w:snapToGrid w:val="0"/>
        <w:spacing w:line="360" w:lineRule="auto"/>
        <w:ind w:firstLine="480" w:firstLineChars="200"/>
        <w:rPr>
          <w:color w:val="auto"/>
          <w:sz w:val="24"/>
          <w:szCs w:val="24"/>
        </w:rPr>
      </w:pPr>
      <w:r>
        <w:rPr>
          <w:rFonts w:hint="eastAsia" w:ascii="宋体" w:hAnsi="宋体" w:cs="宋体"/>
          <w:color w:val="auto"/>
          <w:sz w:val="24"/>
          <w:szCs w:val="24"/>
        </w:rPr>
        <w:t>⑤</w:t>
      </w:r>
      <w:r>
        <w:rPr>
          <w:color w:val="auto"/>
          <w:sz w:val="24"/>
          <w:szCs w:val="24"/>
        </w:rPr>
        <w:t>消声。在风机风管上，加装阻抗复合消声器，可使气流噪声降低20～40dB(A)。</w:t>
      </w:r>
    </w:p>
    <w:p w14:paraId="2CA8D358">
      <w:pPr>
        <w:keepNext/>
        <w:adjustRightInd w:val="0"/>
        <w:snapToGrid w:val="0"/>
        <w:spacing w:line="360" w:lineRule="auto"/>
        <w:ind w:firstLine="480" w:firstLineChars="200"/>
        <w:rPr>
          <w:color w:val="auto"/>
          <w:sz w:val="24"/>
          <w:szCs w:val="24"/>
        </w:rPr>
      </w:pPr>
      <w:r>
        <w:rPr>
          <w:rFonts w:hint="eastAsia" w:cs="宋体"/>
          <w:color w:val="auto"/>
          <w:szCs w:val="24"/>
        </w:rPr>
        <w:t>⑥</w:t>
      </w:r>
      <w:r>
        <w:rPr>
          <w:color w:val="auto"/>
          <w:sz w:val="24"/>
          <w:szCs w:val="24"/>
        </w:rPr>
        <w:t>隔振。</w:t>
      </w:r>
      <w:r>
        <w:rPr>
          <w:color w:val="auto"/>
        </w:rPr>
        <w:t>采取相应的降噪措施，设备安装基础</w:t>
      </w:r>
      <w:r>
        <w:rPr>
          <w:rFonts w:hint="eastAsia"/>
          <w:color w:val="auto"/>
          <w:lang w:eastAsia="zh-CN"/>
        </w:rPr>
        <w:t>减振</w:t>
      </w:r>
      <w:r>
        <w:rPr>
          <w:color w:val="auto"/>
        </w:rPr>
        <w:t>，风机设备安装消声器</w:t>
      </w:r>
      <w:r>
        <w:rPr>
          <w:rFonts w:hint="eastAsia"/>
          <w:color w:val="auto"/>
          <w:lang w:eastAsia="zh-CN"/>
        </w:rPr>
        <w:t>，</w:t>
      </w:r>
      <w:r>
        <w:rPr>
          <w:color w:val="auto"/>
          <w:sz w:val="24"/>
          <w:szCs w:val="24"/>
        </w:rPr>
        <w:t>在水泵出水管上，加装可挠曲橡胶接头，阻隔与水泵相连的管道传递振动，降低辐射噪声。</w:t>
      </w:r>
    </w:p>
    <w:p w14:paraId="60578BDB">
      <w:pPr>
        <w:pageBreakBefore w:val="0"/>
        <w:wordWrap/>
        <w:bidi w:val="0"/>
        <w:adjustRightInd/>
        <w:snapToGrid/>
        <w:rPr>
          <w:color w:val="auto"/>
        </w:rPr>
      </w:pPr>
      <w:r>
        <w:rPr>
          <w:rFonts w:hint="eastAsia" w:cs="宋体"/>
          <w:color w:val="auto"/>
          <w:kern w:val="2"/>
          <w:szCs w:val="24"/>
          <w:lang w:bidi="ar"/>
        </w:rPr>
        <w:t>⑦</w:t>
      </w:r>
      <w:r>
        <w:rPr>
          <w:rFonts w:ascii="Times New Roman" w:hAnsi="Times New Roman"/>
          <w:color w:val="auto"/>
          <w:szCs w:val="24"/>
        </w:rPr>
        <w:t>绿化。</w:t>
      </w:r>
      <w:r>
        <w:rPr>
          <w:color w:val="auto"/>
        </w:rPr>
        <w:t>项目厂界围墙采用实体墙体，同时在厂区内种植</w:t>
      </w:r>
      <w:r>
        <w:rPr>
          <w:rFonts w:hint="eastAsia"/>
          <w:color w:val="auto"/>
          <w:lang w:eastAsia="zh-CN"/>
        </w:rPr>
        <w:t>常</w:t>
      </w:r>
      <w:r>
        <w:rPr>
          <w:color w:val="auto"/>
        </w:rPr>
        <w:t>绿乔木构成隔声绿化带，以减轻设备运行噪声对外环境的影响。</w:t>
      </w:r>
    </w:p>
    <w:p w14:paraId="662C01C3">
      <w:pPr>
        <w:pStyle w:val="48"/>
        <w:widowControl w:val="0"/>
        <w:adjustRightInd w:val="0"/>
        <w:spacing w:before="0" w:beforeAutospacing="0" w:after="0" w:afterAutospacing="0" w:line="360" w:lineRule="auto"/>
        <w:ind w:firstLine="480" w:firstLineChars="200"/>
        <w:rPr>
          <w:rFonts w:ascii="Times New Roman" w:hAnsi="Times New Roman"/>
          <w:color w:val="auto"/>
          <w:lang w:bidi="ar"/>
        </w:rPr>
      </w:pPr>
      <w:r>
        <w:rPr>
          <w:rFonts w:hint="eastAsia"/>
          <w:color w:val="auto"/>
        </w:rPr>
        <w:t>⑧</w:t>
      </w:r>
      <w:r>
        <w:rPr>
          <w:color w:val="auto"/>
        </w:rPr>
        <w:t>加强管理</w:t>
      </w:r>
      <w:r>
        <w:rPr>
          <w:rFonts w:ascii="Times New Roman" w:hAnsi="Times New Roman"/>
          <w:color w:val="auto"/>
          <w:lang w:bidi="ar"/>
        </w:rPr>
        <w:t>：建立设备定期维护、保养管理制度，</w:t>
      </w:r>
      <w:r>
        <w:rPr>
          <w:rFonts w:ascii="Times New Roman" w:hAnsi="Times New Roman"/>
          <w:color w:val="auto"/>
        </w:rPr>
        <w:t>定期对运行设备进行检修和维护，保持设备正常运行，</w:t>
      </w:r>
      <w:r>
        <w:rPr>
          <w:rFonts w:ascii="Times New Roman" w:hAnsi="Times New Roman"/>
          <w:color w:val="auto"/>
          <w:lang w:bidi="ar"/>
        </w:rPr>
        <w:t>以防止设备故障形成的非正常生产噪声，杜绝因设备不正常运转时产生的高噪声现象，同时确保环保措施发挥最佳效用；加强职工环保意识教育，倡导文明生产，减少人为噪声。</w:t>
      </w:r>
    </w:p>
    <w:p w14:paraId="64A8B6EA">
      <w:pPr>
        <w:pageBreakBefore w:val="0"/>
        <w:wordWrap/>
        <w:bidi w:val="0"/>
        <w:adjustRightInd/>
        <w:snapToGrid/>
        <w:rPr>
          <w:color w:val="auto"/>
        </w:rPr>
      </w:pPr>
      <w:r>
        <w:rPr>
          <w:color w:val="auto"/>
        </w:rPr>
        <w:t>根据本次评价</w:t>
      </w:r>
      <w:r>
        <w:rPr>
          <w:rFonts w:hint="eastAsia"/>
          <w:color w:val="auto"/>
          <w:lang w:val="en-US" w:eastAsia="zh-CN"/>
        </w:rPr>
        <w:t>4.2.3</w:t>
      </w:r>
      <w:r>
        <w:rPr>
          <w:color w:val="auto"/>
        </w:rPr>
        <w:t>营运期声环境影响分析结果，本项目建成后厂界噪声达标，敏感点噪声达标。因此建设单位只要严格采取降噪、隔声等措施，设备噪声可实现达标排放，不会改变评价区域声环境质量功能，可做到噪声不扰民，不存在需要补充完善的措施。</w:t>
      </w:r>
    </w:p>
    <w:p w14:paraId="2339C556">
      <w:pPr>
        <w:pStyle w:val="5"/>
        <w:pageBreakBefore w:val="0"/>
        <w:wordWrap/>
        <w:bidi w:val="0"/>
        <w:adjustRightInd/>
        <w:snapToGrid/>
        <w:spacing w:before="48" w:after="48"/>
        <w:ind w:left="0"/>
        <w:rPr>
          <w:rFonts w:eastAsia="宋体"/>
          <w:color w:val="auto"/>
        </w:rPr>
      </w:pPr>
      <w:r>
        <w:rPr>
          <w:rFonts w:hint="eastAsia"/>
          <w:color w:val="auto"/>
          <w:lang w:val="en-US" w:eastAsia="zh-CN"/>
        </w:rPr>
        <w:t xml:space="preserve"> </w:t>
      </w:r>
      <w:r>
        <w:rPr>
          <w:rFonts w:eastAsia="宋体"/>
          <w:color w:val="auto"/>
        </w:rPr>
        <w:t>营运期固体废弃物产生及治理措施</w:t>
      </w:r>
    </w:p>
    <w:p w14:paraId="1A94E374">
      <w:pPr>
        <w:pageBreakBefore w:val="0"/>
        <w:wordWrap/>
        <w:bidi w:val="0"/>
        <w:adjustRightInd/>
        <w:snapToGrid/>
        <w:rPr>
          <w:color w:val="auto"/>
        </w:rPr>
      </w:pPr>
      <w:r>
        <w:rPr>
          <w:color w:val="auto"/>
        </w:rPr>
        <w:t>本项目营运期间固体废物主要是格栅产生的栅渣，水解酸化池、</w:t>
      </w:r>
      <w:r>
        <w:rPr>
          <w:rFonts w:hint="eastAsia"/>
          <w:color w:val="auto"/>
          <w:lang w:val="en-US" w:eastAsia="zh-CN"/>
        </w:rPr>
        <w:t>磁混凝沉淀池</w:t>
      </w:r>
      <w:r>
        <w:rPr>
          <w:color w:val="auto"/>
        </w:rPr>
        <w:t>、</w:t>
      </w:r>
      <w:r>
        <w:rPr>
          <w:rFonts w:hint="eastAsia"/>
          <w:color w:val="auto"/>
          <w:lang w:val="en-US" w:eastAsia="zh-CN"/>
        </w:rPr>
        <w:t>生化池等产生</w:t>
      </w:r>
      <w:r>
        <w:rPr>
          <w:color w:val="auto"/>
        </w:rPr>
        <w:t>的污泥，生物除臭系统废弃填料，维修产生的废矿物油，化验室废液，废包装材料和员工生活垃圾。</w:t>
      </w:r>
    </w:p>
    <w:p w14:paraId="00169A17">
      <w:pPr>
        <w:pageBreakBefore w:val="0"/>
        <w:wordWrap/>
        <w:bidi w:val="0"/>
        <w:adjustRightInd/>
        <w:snapToGrid/>
        <w:ind w:firstLine="480"/>
        <w:rPr>
          <w:rFonts w:hint="default" w:eastAsia="宋体"/>
          <w:b/>
          <w:bCs/>
          <w:color w:val="auto"/>
          <w:lang w:val="en-US" w:eastAsia="zh-CN"/>
        </w:rPr>
      </w:pPr>
      <w:r>
        <w:rPr>
          <w:rFonts w:hint="eastAsia"/>
          <w:b/>
          <w:bCs/>
          <w:color w:val="auto"/>
          <w:lang w:val="en-US" w:eastAsia="zh-CN"/>
        </w:rPr>
        <w:t>（一）一般固废</w:t>
      </w:r>
    </w:p>
    <w:p w14:paraId="530F308F">
      <w:pPr>
        <w:pageBreakBefore w:val="0"/>
        <w:wordWrap/>
        <w:bidi w:val="0"/>
        <w:adjustRightInd/>
        <w:snapToGrid/>
        <w:ind w:firstLine="480"/>
        <w:rPr>
          <w:b/>
          <w:bCs/>
          <w:color w:val="auto"/>
        </w:rPr>
      </w:pPr>
      <w:r>
        <w:rPr>
          <w:b/>
          <w:bCs/>
          <w:color w:val="auto"/>
        </w:rPr>
        <w:t>（</w:t>
      </w:r>
      <w:r>
        <w:rPr>
          <w:rFonts w:hint="eastAsia"/>
          <w:b/>
          <w:bCs/>
          <w:color w:val="auto"/>
          <w:lang w:val="en-US" w:eastAsia="zh-CN"/>
        </w:rPr>
        <w:t>1</w:t>
      </w:r>
      <w:r>
        <w:rPr>
          <w:b/>
          <w:bCs/>
          <w:color w:val="auto"/>
        </w:rPr>
        <w:t>）生活垃圾</w:t>
      </w:r>
    </w:p>
    <w:p w14:paraId="354D9236">
      <w:pPr>
        <w:pageBreakBefore w:val="0"/>
        <w:wordWrap/>
        <w:bidi w:val="0"/>
        <w:adjustRightInd/>
        <w:snapToGrid/>
        <w:ind w:firstLine="480"/>
        <w:rPr>
          <w:color w:val="auto"/>
        </w:rPr>
      </w:pPr>
      <w:r>
        <w:rPr>
          <w:color w:val="auto"/>
        </w:rPr>
        <w:t>项目污水处理厂劳动定员</w:t>
      </w:r>
      <w:r>
        <w:rPr>
          <w:rFonts w:hint="eastAsia"/>
          <w:color w:val="auto"/>
          <w:lang w:val="en-US" w:eastAsia="zh-CN"/>
        </w:rPr>
        <w:t>18</w:t>
      </w:r>
      <w:r>
        <w:rPr>
          <w:color w:val="auto"/>
        </w:rPr>
        <w:t>人，生活垃圾产生量按0.5kg/人·d计，为</w:t>
      </w:r>
      <w:r>
        <w:rPr>
          <w:rFonts w:hint="eastAsia"/>
          <w:color w:val="auto"/>
          <w:lang w:val="en-US" w:eastAsia="zh-CN"/>
        </w:rPr>
        <w:t>9</w:t>
      </w:r>
      <w:r>
        <w:rPr>
          <w:color w:val="auto"/>
        </w:rPr>
        <w:t>kg/d，年工作时间约365d，故生活垃圾产生量约为</w:t>
      </w:r>
      <w:r>
        <w:rPr>
          <w:rFonts w:hint="eastAsia"/>
          <w:color w:val="auto"/>
          <w:lang w:val="en-US" w:eastAsia="zh-CN"/>
        </w:rPr>
        <w:t>3.285</w:t>
      </w:r>
      <w:r>
        <w:rPr>
          <w:color w:val="auto"/>
        </w:rPr>
        <w:t>t/a。生活垃圾经分类收集后，由当地环卫部门统一收集后处置。</w:t>
      </w:r>
    </w:p>
    <w:p w14:paraId="7095A2BB">
      <w:pPr>
        <w:pageBreakBefore w:val="0"/>
        <w:kinsoku/>
        <w:wordWrap/>
        <w:overflowPunct/>
        <w:bidi w:val="0"/>
        <w:adjustRightInd/>
        <w:snapToGrid/>
        <w:ind w:firstLine="482"/>
        <w:rPr>
          <w:b/>
          <w:bCs/>
          <w:color w:val="auto"/>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b/>
          <w:bCs/>
          <w:color w:val="auto"/>
        </w:rPr>
        <w:t>食堂餐厨垃圾</w:t>
      </w:r>
    </w:p>
    <w:p w14:paraId="35F341C7">
      <w:pPr>
        <w:pStyle w:val="708"/>
        <w:pageBreakBefore w:val="0"/>
        <w:kinsoku/>
        <w:wordWrap/>
        <w:overflowPunct/>
        <w:bidi w:val="0"/>
        <w:adjustRightInd/>
        <w:snapToGrid/>
        <w:ind w:firstLine="480"/>
        <w:rPr>
          <w:color w:val="auto"/>
        </w:rPr>
      </w:pPr>
      <w:r>
        <w:rPr>
          <w:color w:val="auto"/>
        </w:rPr>
        <w:t>项目食堂营运过程中会产生一定量的餐厨垃圾及隔油池浮油，本项目每天食堂就餐人数为</w:t>
      </w:r>
      <w:r>
        <w:rPr>
          <w:rFonts w:hint="eastAsia"/>
          <w:color w:val="auto"/>
          <w:lang w:val="en-US" w:eastAsia="zh-CN"/>
        </w:rPr>
        <w:t>18</w:t>
      </w:r>
      <w:r>
        <w:rPr>
          <w:color w:val="auto"/>
        </w:rPr>
        <w:t>人，餐厨垃圾及隔油池浮油按照每天0.2kg/人计，则项目产生的餐厨垃圾及隔油池浮油量为</w:t>
      </w:r>
      <w:r>
        <w:rPr>
          <w:rFonts w:hint="eastAsia"/>
          <w:color w:val="auto"/>
          <w:lang w:val="en-US" w:eastAsia="zh-CN"/>
        </w:rPr>
        <w:t>1.314</w:t>
      </w:r>
      <w:r>
        <w:rPr>
          <w:color w:val="auto"/>
        </w:rPr>
        <w:t>t/a。</w:t>
      </w:r>
      <w:r>
        <w:rPr>
          <w:color w:val="auto"/>
          <w:kern w:val="0"/>
        </w:rPr>
        <w:t>采用塑料桶收集后</w:t>
      </w:r>
      <w:r>
        <w:rPr>
          <w:color w:val="auto"/>
        </w:rPr>
        <w:t>定期交由有相应处理能力的单位清运处置。</w:t>
      </w:r>
    </w:p>
    <w:p w14:paraId="1CFE1EBE">
      <w:pPr>
        <w:pageBreakBefore w:val="0"/>
        <w:wordWrap/>
        <w:bidi w:val="0"/>
        <w:adjustRightInd/>
        <w:snapToGrid/>
        <w:rPr>
          <w:rFonts w:hint="default"/>
          <w:b/>
          <w:bCs/>
          <w:color w:val="auto"/>
          <w:lang w:val="en-US" w:eastAsia="zh-CN"/>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rFonts w:hint="eastAsia"/>
          <w:b/>
          <w:bCs/>
          <w:color w:val="auto"/>
          <w:lang w:val="en-US" w:eastAsia="zh-CN"/>
        </w:rPr>
        <w:t>废包装材料</w:t>
      </w:r>
    </w:p>
    <w:p w14:paraId="72B3AF39">
      <w:pPr>
        <w:pageBreakBefore w:val="0"/>
        <w:wordWrap/>
        <w:bidi w:val="0"/>
        <w:adjustRightInd/>
        <w:snapToGrid/>
        <w:rPr>
          <w:rFonts w:hint="default" w:eastAsia="宋体"/>
          <w:color w:val="auto"/>
          <w:lang w:val="en-US" w:eastAsia="zh-CN"/>
        </w:rPr>
      </w:pPr>
      <w:r>
        <w:rPr>
          <w:rFonts w:hint="eastAsia"/>
          <w:color w:val="auto"/>
          <w:lang w:val="en-US" w:eastAsia="zh-CN"/>
        </w:rPr>
        <w:t>本项目PAC、PAM等原辅料药剂会产生废包装材料，产生量约0.5t/a。集中收集后暂存于一般固废暂存间，定期外售废品回收站。</w:t>
      </w:r>
    </w:p>
    <w:p w14:paraId="137559FD">
      <w:pPr>
        <w:pageBreakBefore w:val="0"/>
        <w:wordWrap/>
        <w:bidi w:val="0"/>
        <w:adjustRightInd/>
        <w:snapToGrid/>
        <w:rPr>
          <w:b/>
          <w:bCs/>
          <w:color w:val="auto"/>
        </w:rPr>
      </w:pPr>
      <w:r>
        <w:rPr>
          <w:b/>
          <w:bCs/>
          <w:color w:val="auto"/>
        </w:rPr>
        <w:t>（</w:t>
      </w:r>
      <w:r>
        <w:rPr>
          <w:rFonts w:hint="eastAsia"/>
          <w:b/>
          <w:bCs/>
          <w:color w:val="auto"/>
          <w:lang w:val="en-US" w:eastAsia="zh-CN"/>
        </w:rPr>
        <w:t>4</w:t>
      </w:r>
      <w:r>
        <w:rPr>
          <w:b/>
          <w:bCs/>
          <w:color w:val="auto"/>
        </w:rPr>
        <w:t>）栅渣</w:t>
      </w:r>
    </w:p>
    <w:p w14:paraId="3A7732C8">
      <w:pPr>
        <w:pageBreakBefore w:val="0"/>
        <w:wordWrap/>
        <w:bidi w:val="0"/>
        <w:adjustRightInd/>
        <w:snapToGrid/>
        <w:rPr>
          <w:color w:val="auto"/>
        </w:rPr>
      </w:pPr>
      <w:r>
        <w:rPr>
          <w:color w:val="auto"/>
        </w:rPr>
        <w:t>污水预处理阶段，由格栅井分离出一定量的栅渣，主要是较大块状物、枝状物、软性物质和软塑料等粗、细垃圾和悬浮或</w:t>
      </w:r>
      <w:r>
        <w:rPr>
          <w:rFonts w:hint="eastAsia"/>
          <w:color w:val="auto"/>
          <w:lang w:eastAsia="zh-CN"/>
        </w:rPr>
        <w:t>漂浮</w:t>
      </w:r>
      <w:r>
        <w:rPr>
          <w:color w:val="auto"/>
        </w:rPr>
        <w:t>状态的杂物，性状类似生活垃圾。</w:t>
      </w:r>
    </w:p>
    <w:p w14:paraId="63DC1810">
      <w:pPr>
        <w:pageBreakBefore w:val="0"/>
        <w:wordWrap/>
        <w:bidi w:val="0"/>
        <w:adjustRightInd/>
        <w:snapToGrid/>
        <w:rPr>
          <w:color w:val="auto"/>
        </w:rPr>
      </w:pPr>
      <w:r>
        <w:rPr>
          <w:color w:val="auto"/>
        </w:rPr>
        <w:t>本项目需经格栅处理的为经预处理后的一般工业废水和</w:t>
      </w:r>
      <w:r>
        <w:rPr>
          <w:rFonts w:hint="eastAsia"/>
          <w:color w:val="auto"/>
          <w:lang w:eastAsia="zh-CN"/>
        </w:rPr>
        <w:t>生活污水</w:t>
      </w:r>
      <w:r>
        <w:rPr>
          <w:color w:val="auto"/>
        </w:rPr>
        <w:t>，废水量为</w:t>
      </w:r>
      <w:r>
        <w:rPr>
          <w:rFonts w:hint="eastAsia"/>
          <w:color w:val="auto"/>
          <w:lang w:val="en-US" w:eastAsia="zh-CN"/>
        </w:rPr>
        <w:t>3</w:t>
      </w:r>
      <w:r>
        <w:rPr>
          <w:color w:val="auto"/>
        </w:rPr>
        <w:t>000</w:t>
      </w:r>
      <w:r>
        <w:rPr>
          <w:rFonts w:hint="eastAsia"/>
          <w:color w:val="auto"/>
          <w:lang w:val="en-US" w:eastAsia="zh-CN"/>
        </w:rPr>
        <w:t>m³</w:t>
      </w:r>
      <w:r>
        <w:rPr>
          <w:color w:val="auto"/>
        </w:rPr>
        <w:t>/d，通过类比同类污水厂，经格栅间隔分离出来的滤渣量，栅渣产生量约 0.03</w:t>
      </w:r>
      <w:r>
        <w:rPr>
          <w:rFonts w:hint="eastAsia"/>
          <w:color w:val="auto"/>
          <w:lang w:eastAsia="zh-CN"/>
        </w:rPr>
        <w:t>m³</w:t>
      </w:r>
      <w:r>
        <w:rPr>
          <w:color w:val="auto"/>
        </w:rPr>
        <w:t>/1000</w:t>
      </w:r>
      <w:r>
        <w:rPr>
          <w:rFonts w:hint="eastAsia"/>
          <w:color w:val="auto"/>
          <w:lang w:eastAsia="zh-CN"/>
        </w:rPr>
        <w:t>m³</w:t>
      </w:r>
      <w:r>
        <w:rPr>
          <w:color w:val="auto"/>
        </w:rPr>
        <w:t>，含水率80%，容重960kg/</w:t>
      </w:r>
      <w:r>
        <w:rPr>
          <w:rFonts w:hint="eastAsia"/>
          <w:color w:val="auto"/>
          <w:lang w:eastAsia="zh-CN"/>
        </w:rPr>
        <w:t>m³</w:t>
      </w:r>
      <w:r>
        <w:rPr>
          <w:color w:val="auto"/>
        </w:rPr>
        <w:t>。按此估算，则本项目近期预计产生栅渣0.</w:t>
      </w:r>
      <w:r>
        <w:rPr>
          <w:rFonts w:hint="eastAsia"/>
          <w:color w:val="auto"/>
          <w:lang w:val="en-US" w:eastAsia="zh-CN"/>
        </w:rPr>
        <w:t>0864</w:t>
      </w:r>
      <w:r>
        <w:rPr>
          <w:color w:val="auto"/>
        </w:rPr>
        <w:t>t/d（</w:t>
      </w:r>
      <w:r>
        <w:rPr>
          <w:rFonts w:hint="eastAsia"/>
          <w:color w:val="auto"/>
          <w:lang w:val="en-US" w:eastAsia="zh-CN"/>
        </w:rPr>
        <w:t>31.536</w:t>
      </w:r>
      <w:r>
        <w:rPr>
          <w:color w:val="auto"/>
        </w:rPr>
        <w:t>t/a）。</w:t>
      </w:r>
    </w:p>
    <w:p w14:paraId="63691EB2">
      <w:pPr>
        <w:pageBreakBefore w:val="0"/>
        <w:wordWrap/>
        <w:bidi w:val="0"/>
        <w:adjustRightInd/>
        <w:snapToGrid/>
        <w:rPr>
          <w:rFonts w:hint="eastAsia" w:eastAsia="宋体"/>
          <w:color w:val="auto"/>
          <w:lang w:eastAsia="zh-CN"/>
        </w:rPr>
      </w:pPr>
      <w:r>
        <w:rPr>
          <w:rFonts w:hint="eastAsia"/>
          <w:color w:val="auto"/>
          <w:lang w:val="en-US" w:eastAsia="zh-CN"/>
        </w:rPr>
        <w:t>栅渣</w:t>
      </w:r>
      <w:r>
        <w:rPr>
          <w:color w:val="auto"/>
        </w:rPr>
        <w:t>属一般固体废物，经收集、简单脱水处理后，暂存于厂内的固废暂存区，</w:t>
      </w:r>
      <w:r>
        <w:rPr>
          <w:rFonts w:hint="eastAsia"/>
          <w:color w:val="auto"/>
          <w:lang w:val="en-US" w:eastAsia="zh-CN"/>
        </w:rPr>
        <w:t>由市政环卫部门</w:t>
      </w:r>
      <w:r>
        <w:rPr>
          <w:color w:val="auto"/>
        </w:rPr>
        <w:t>定期</w:t>
      </w:r>
      <w:r>
        <w:rPr>
          <w:rFonts w:hint="eastAsia"/>
          <w:color w:val="auto"/>
        </w:rPr>
        <w:t>送至</w:t>
      </w:r>
      <w:r>
        <w:rPr>
          <w:rFonts w:ascii="宋体" w:hAnsi="宋体" w:eastAsia="宋体" w:cs="宋体"/>
          <w:color w:val="auto"/>
          <w:spacing w:val="-3"/>
          <w:sz w:val="24"/>
          <w:szCs w:val="24"/>
        </w:rPr>
        <w:t>当地政府</w:t>
      </w:r>
      <w:r>
        <w:rPr>
          <w:rFonts w:ascii="宋体" w:hAnsi="宋体" w:eastAsia="宋体" w:cs="宋体"/>
          <w:color w:val="auto"/>
          <w:spacing w:val="-2"/>
          <w:sz w:val="24"/>
          <w:szCs w:val="24"/>
        </w:rPr>
        <w:t>指定处理场所进行妥善处理，例如垃圾填埋场</w:t>
      </w:r>
      <w:r>
        <w:rPr>
          <w:rFonts w:ascii="宋体" w:hAnsi="宋体" w:eastAsia="宋体" w:cs="宋体"/>
          <w:color w:val="auto"/>
          <w:spacing w:val="-3"/>
          <w:sz w:val="24"/>
          <w:szCs w:val="24"/>
        </w:rPr>
        <w:t>等</w:t>
      </w:r>
      <w:r>
        <w:rPr>
          <w:rFonts w:hint="eastAsia" w:ascii="宋体" w:hAnsi="宋体" w:eastAsia="宋体" w:cs="宋体"/>
          <w:color w:val="auto"/>
          <w:spacing w:val="-3"/>
          <w:sz w:val="24"/>
          <w:szCs w:val="24"/>
          <w:lang w:eastAsia="zh-CN"/>
        </w:rPr>
        <w:t>。</w:t>
      </w:r>
    </w:p>
    <w:p w14:paraId="48EA8B5D">
      <w:pPr>
        <w:pageBreakBefore w:val="0"/>
        <w:wordWrap/>
        <w:bidi w:val="0"/>
        <w:adjustRightInd/>
        <w:snapToGrid/>
        <w:ind w:firstLine="480"/>
        <w:rPr>
          <w:b/>
          <w:bCs/>
          <w:color w:val="auto"/>
        </w:rPr>
      </w:pPr>
      <w:r>
        <w:rPr>
          <w:b/>
          <w:bCs/>
          <w:color w:val="auto"/>
        </w:rPr>
        <w:t>（</w:t>
      </w:r>
      <w:r>
        <w:rPr>
          <w:rFonts w:hint="eastAsia"/>
          <w:b/>
          <w:bCs/>
          <w:color w:val="auto"/>
          <w:lang w:val="en-US" w:eastAsia="zh-CN"/>
        </w:rPr>
        <w:t>5</w:t>
      </w:r>
      <w:r>
        <w:rPr>
          <w:b/>
          <w:bCs/>
          <w:color w:val="auto"/>
        </w:rPr>
        <w:t>）生物除臭系统废弃生物填料</w:t>
      </w:r>
    </w:p>
    <w:p w14:paraId="769A8828">
      <w:pPr>
        <w:pageBreakBefore w:val="0"/>
        <w:wordWrap/>
        <w:bidi w:val="0"/>
        <w:adjustRightInd/>
        <w:snapToGrid/>
        <w:ind w:firstLine="480"/>
        <w:rPr>
          <w:rFonts w:hint="default" w:eastAsia="宋体"/>
          <w:color w:val="auto"/>
          <w:lang w:val="en-US" w:eastAsia="zh-CN"/>
        </w:rPr>
      </w:pPr>
      <w:r>
        <w:rPr>
          <w:color w:val="auto"/>
        </w:rPr>
        <w:t>项目生物除臭系统每隔3</w:t>
      </w:r>
      <w:r>
        <w:rPr>
          <w:rFonts w:hint="eastAsia"/>
          <w:color w:val="auto"/>
          <w:lang w:eastAsia="zh-CN"/>
        </w:rPr>
        <w:t>～</w:t>
      </w:r>
      <w:r>
        <w:rPr>
          <w:color w:val="auto"/>
        </w:rPr>
        <w:t>5年更换填料，产生的废弃填料主要成分为树皮、珍珠岩、沸石等，根据其他</w:t>
      </w:r>
      <w:r>
        <w:rPr>
          <w:rFonts w:hint="eastAsia"/>
          <w:color w:val="auto"/>
          <w:lang w:eastAsia="zh-CN"/>
        </w:rPr>
        <w:t>污水处理厂</w:t>
      </w:r>
      <w:r>
        <w:rPr>
          <w:color w:val="auto"/>
        </w:rPr>
        <w:t>实际运行情况的类比分析，该生物系统废弃填料产生量约为4.6t/a，属一般固体废物</w:t>
      </w:r>
      <w:r>
        <w:rPr>
          <w:rFonts w:hint="eastAsia"/>
          <w:color w:val="auto"/>
          <w:lang w:eastAsia="zh-CN"/>
        </w:rPr>
        <w:t>，</w:t>
      </w:r>
      <w:r>
        <w:rPr>
          <w:rFonts w:hint="eastAsia"/>
          <w:color w:val="auto"/>
          <w:lang w:val="en-US" w:eastAsia="zh-CN"/>
        </w:rPr>
        <w:t>一般由生产厂家统一回收，不在厂内暂存。</w:t>
      </w:r>
    </w:p>
    <w:p w14:paraId="053A5B1B">
      <w:pPr>
        <w:pageBreakBefore w:val="0"/>
        <w:wordWrap/>
        <w:bidi w:val="0"/>
        <w:adjustRightInd/>
        <w:snapToGrid/>
        <w:ind w:firstLine="480"/>
        <w:rPr>
          <w:b/>
          <w:bCs/>
          <w:color w:val="auto"/>
        </w:rPr>
      </w:pPr>
      <w:r>
        <w:rPr>
          <w:b/>
          <w:bCs/>
          <w:color w:val="auto"/>
        </w:rPr>
        <w:t>（</w:t>
      </w:r>
      <w:r>
        <w:rPr>
          <w:rFonts w:hint="eastAsia"/>
          <w:b/>
          <w:bCs/>
          <w:color w:val="auto"/>
          <w:lang w:val="en-US" w:eastAsia="zh-CN"/>
        </w:rPr>
        <w:t>二</w:t>
      </w:r>
      <w:r>
        <w:rPr>
          <w:b/>
          <w:bCs/>
          <w:color w:val="auto"/>
        </w:rPr>
        <w:t>）污泥</w:t>
      </w:r>
    </w:p>
    <w:p w14:paraId="1332A9AA">
      <w:pPr>
        <w:pageBreakBefore w:val="0"/>
        <w:wordWrap/>
        <w:bidi w:val="0"/>
        <w:adjustRightInd/>
        <w:snapToGrid/>
        <w:ind w:firstLine="480"/>
        <w:rPr>
          <w:rFonts w:hint="eastAsia"/>
          <w:color w:val="auto"/>
          <w:lang w:val="en-US" w:eastAsia="zh-CN"/>
        </w:rPr>
      </w:pPr>
      <w:r>
        <w:rPr>
          <w:rFonts w:hint="eastAsia"/>
          <w:color w:val="auto"/>
          <w:lang w:val="en-US" w:eastAsia="zh-CN"/>
        </w:rPr>
        <w:t>本项目在沉淀池运行过程中会产生污泥，本项目污泥产生量参考《集中式污染治理设施产排污系数手册》（环境保护部华南环境科学研究所，2010年修订）中工业废水集中处理设施污泥核算公式，计算公式如下所示：</w:t>
      </w:r>
    </w:p>
    <w:p w14:paraId="605A6FD0">
      <w:pPr>
        <w:pageBreakBefore w:val="0"/>
        <w:wordWrap/>
        <w:bidi w:val="0"/>
        <w:adjustRightInd/>
        <w:snapToGrid/>
        <w:ind w:firstLine="480"/>
        <w:jc w:val="center"/>
        <w:rPr>
          <w:rFonts w:hint="eastAsia"/>
          <w:color w:val="auto"/>
          <w:lang w:val="en-US" w:eastAsia="zh-CN"/>
        </w:rPr>
      </w:pPr>
      <w:r>
        <w:rPr>
          <w:rFonts w:ascii="Times New Roman" w:hAnsi="Times New Roman"/>
          <w:color w:val="auto"/>
          <w:position w:val="-12"/>
          <w:sz w:val="24"/>
          <w:szCs w:val="24"/>
        </w:rPr>
        <w:object>
          <v:shape id="_x0000_i1029" o:spt="75" type="#_x0000_t75" style="height:24pt;width:98.95pt;" o:ole="t" filled="f" o:preferrelative="t" stroked="f" coordsize="21600,21600">
            <v:path/>
            <v:fill on="f" focussize="0,0"/>
            <v:stroke on="f"/>
            <v:imagedata r:id="rId65" o:title=""/>
            <o:lock v:ext="edit" aspectratio="t"/>
            <w10:wrap type="none"/>
            <w10:anchorlock/>
          </v:shape>
          <o:OLEObject Type="Embed" ProgID="Equation.3" ShapeID="_x0000_i1029" DrawAspect="Content" ObjectID="_1468075729" r:id="rId64">
            <o:LockedField>false</o:LockedField>
          </o:OLEObject>
        </w:object>
      </w:r>
    </w:p>
    <w:p w14:paraId="637C3162">
      <w:pPr>
        <w:pageBreakBefore w:val="0"/>
        <w:wordWrap/>
        <w:bidi w:val="0"/>
        <w:adjustRightInd/>
        <w:snapToGrid/>
        <w:ind w:firstLine="480"/>
        <w:rPr>
          <w:rFonts w:hint="eastAsia"/>
          <w:color w:val="auto"/>
          <w:lang w:val="en-US" w:eastAsia="zh-CN"/>
        </w:rPr>
      </w:pPr>
      <w:r>
        <w:rPr>
          <w:rFonts w:hint="eastAsia"/>
          <w:color w:val="auto"/>
          <w:lang w:val="en-US" w:eastAsia="zh-CN"/>
        </w:rPr>
        <w:t>式中：S—污水处理厂污泥产生量（含水率按80%计），t/a；</w:t>
      </w:r>
    </w:p>
    <w:p w14:paraId="4E06F7C7">
      <w:pPr>
        <w:pageBreakBefore w:val="0"/>
        <w:wordWrap/>
        <w:bidi w:val="0"/>
        <w:adjustRightInd/>
        <w:snapToGrid/>
        <w:ind w:firstLine="480"/>
        <w:rPr>
          <w:rFonts w:hint="eastAsia"/>
          <w:color w:val="auto"/>
          <w:lang w:val="en-US" w:eastAsia="zh-CN"/>
        </w:rPr>
      </w:pPr>
      <w:r>
        <w:rPr>
          <w:rFonts w:hint="eastAsia"/>
          <w:color w:val="auto"/>
          <w:lang w:val="en-US" w:eastAsia="zh-CN"/>
        </w:rPr>
        <w:t xml:space="preserve">      k3—化学污泥产生系数，t/t-絮凝剂使用量；</w:t>
      </w:r>
    </w:p>
    <w:p w14:paraId="4EA2F06E">
      <w:pPr>
        <w:pageBreakBefore w:val="0"/>
        <w:wordWrap/>
        <w:bidi w:val="0"/>
        <w:adjustRightInd/>
        <w:snapToGrid/>
        <w:ind w:firstLine="480"/>
        <w:rPr>
          <w:rFonts w:hint="eastAsia"/>
          <w:color w:val="auto"/>
          <w:lang w:val="en-US" w:eastAsia="zh-CN"/>
        </w:rPr>
      </w:pPr>
      <w:r>
        <w:rPr>
          <w:rFonts w:hint="eastAsia"/>
          <w:color w:val="auto"/>
          <w:lang w:val="en-US" w:eastAsia="zh-CN"/>
        </w:rPr>
        <w:t xml:space="preserve">      k4—污泥与生化污泥综合产生系数，t/万t-废水处理量；</w:t>
      </w:r>
    </w:p>
    <w:p w14:paraId="109B7CBB">
      <w:pPr>
        <w:pageBreakBefore w:val="0"/>
        <w:wordWrap/>
        <w:bidi w:val="0"/>
        <w:adjustRightInd/>
        <w:snapToGrid/>
        <w:ind w:firstLine="480"/>
        <w:rPr>
          <w:rFonts w:hint="eastAsia"/>
          <w:color w:val="auto"/>
          <w:lang w:val="en-US" w:eastAsia="zh-CN"/>
        </w:rPr>
      </w:pPr>
      <w:r>
        <w:rPr>
          <w:rFonts w:hint="eastAsia"/>
          <w:color w:val="auto"/>
          <w:lang w:val="en-US" w:eastAsia="zh-CN"/>
        </w:rPr>
        <w:t xml:space="preserve">      Q—污水处理厂的实际污水处理量，万t/年；</w:t>
      </w:r>
    </w:p>
    <w:p w14:paraId="614E7F43">
      <w:pPr>
        <w:pageBreakBefore w:val="0"/>
        <w:wordWrap/>
        <w:bidi w:val="0"/>
        <w:adjustRightInd/>
        <w:snapToGrid/>
        <w:ind w:firstLine="480"/>
        <w:rPr>
          <w:rFonts w:hint="eastAsia"/>
          <w:color w:val="auto"/>
          <w:lang w:val="en-US" w:eastAsia="zh-CN"/>
        </w:rPr>
      </w:pPr>
      <w:r>
        <w:rPr>
          <w:rFonts w:hint="eastAsia"/>
          <w:color w:val="auto"/>
          <w:lang w:val="en-US" w:eastAsia="zh-CN"/>
        </w:rPr>
        <w:t xml:space="preserve">      C—污水处理厂的无机絮凝剂使用量，t/a；</w:t>
      </w:r>
    </w:p>
    <w:p w14:paraId="127502A2">
      <w:pPr>
        <w:pageBreakBefore w:val="0"/>
        <w:wordWrap/>
        <w:bidi w:val="0"/>
        <w:adjustRightInd/>
        <w:snapToGrid/>
        <w:ind w:firstLine="480"/>
        <w:rPr>
          <w:rFonts w:hint="eastAsia"/>
          <w:color w:val="auto"/>
          <w:lang w:val="en-US" w:eastAsia="zh-CN"/>
        </w:rPr>
      </w:pPr>
      <w:r>
        <w:rPr>
          <w:rFonts w:hint="eastAsia"/>
          <w:color w:val="auto"/>
          <w:lang w:val="en-US" w:eastAsia="zh-CN"/>
        </w:rPr>
        <w:t>根据《集中式污染治理设施产排污系数手册》推荐系数选取，本项目k3取值4.53，k4取值6.0；根据公式计算出含水率为80%污泥产生量约为205.65/a，本项目污泥产生工序含水率约为99%，则计算本项目99%含水率污泥产生量约为254.5t/a，本项目采用转鼓浓缩机+隔膜式板框压滤机进行脱水，脱水污泥含水率按60%计，则计算最终污泥产生量约为152.7t/a，0.42t/d。</w:t>
      </w:r>
    </w:p>
    <w:p w14:paraId="2B69C766">
      <w:pPr>
        <w:pageBreakBefore w:val="0"/>
        <w:wordWrap/>
        <w:bidi w:val="0"/>
        <w:adjustRightInd/>
        <w:snapToGrid/>
        <w:rPr>
          <w:rFonts w:hint="eastAsia"/>
          <w:color w:val="auto"/>
        </w:rPr>
      </w:pPr>
      <w:r>
        <w:rPr>
          <w:rFonts w:hint="eastAsia"/>
          <w:b/>
          <w:bCs/>
          <w:color w:val="auto"/>
        </w:rPr>
        <w:t>治理措施</w:t>
      </w:r>
      <w:r>
        <w:rPr>
          <w:rFonts w:hint="eastAsia"/>
          <w:b/>
          <w:bCs/>
          <w:color w:val="auto"/>
          <w:lang w:eastAsia="zh-CN"/>
        </w:rPr>
        <w:t>：</w:t>
      </w:r>
      <w:r>
        <w:rPr>
          <w:rFonts w:hint="eastAsia"/>
          <w:color w:val="auto"/>
        </w:rPr>
        <w:t>根据《关于污</w:t>
      </w:r>
      <w:r>
        <w:rPr>
          <w:rFonts w:hint="eastAsia"/>
          <w:color w:val="auto"/>
          <w:lang w:eastAsia="zh-CN"/>
        </w:rPr>
        <w:t>（</w:t>
      </w:r>
      <w:r>
        <w:rPr>
          <w:rFonts w:hint="eastAsia"/>
          <w:color w:val="auto"/>
        </w:rPr>
        <w:t>废</w:t>
      </w:r>
      <w:r>
        <w:rPr>
          <w:rFonts w:hint="eastAsia"/>
          <w:color w:val="auto"/>
          <w:lang w:eastAsia="zh-CN"/>
        </w:rPr>
        <w:t>）</w:t>
      </w:r>
      <w:r>
        <w:rPr>
          <w:rFonts w:hint="eastAsia"/>
          <w:color w:val="auto"/>
        </w:rPr>
        <w:t>水处理设施产生污泥危险特性鉴别有关意见的函》</w:t>
      </w:r>
      <w:r>
        <w:rPr>
          <w:rFonts w:hint="eastAsia"/>
          <w:color w:val="auto"/>
          <w:lang w:eastAsia="zh-CN"/>
        </w:rPr>
        <w:t>（</w:t>
      </w:r>
      <w:r>
        <w:rPr>
          <w:rFonts w:hint="eastAsia"/>
          <w:color w:val="auto"/>
        </w:rPr>
        <w:t>环境保护部，环函[2010]129号</w:t>
      </w:r>
      <w:r>
        <w:rPr>
          <w:rFonts w:hint="eastAsia"/>
          <w:color w:val="auto"/>
          <w:lang w:eastAsia="zh-CN"/>
        </w:rPr>
        <w:t>）：</w:t>
      </w:r>
      <w:r>
        <w:rPr>
          <w:rFonts w:hint="eastAsia"/>
          <w:color w:val="auto"/>
        </w:rPr>
        <w:t>“二、专门处理工业废水</w:t>
      </w:r>
      <w:r>
        <w:rPr>
          <w:rFonts w:hint="eastAsia"/>
          <w:color w:val="auto"/>
          <w:lang w:eastAsia="zh-CN"/>
        </w:rPr>
        <w:t>（</w:t>
      </w:r>
      <w:r>
        <w:rPr>
          <w:rFonts w:hint="eastAsia"/>
          <w:color w:val="auto"/>
        </w:rPr>
        <w:t>或同时处理少量生活污水</w:t>
      </w:r>
      <w:r>
        <w:rPr>
          <w:rFonts w:hint="eastAsia"/>
          <w:color w:val="auto"/>
          <w:lang w:eastAsia="zh-CN"/>
        </w:rPr>
        <w:t>）</w:t>
      </w:r>
      <w:r>
        <w:rPr>
          <w:rFonts w:hint="eastAsia"/>
          <w:color w:val="auto"/>
        </w:rPr>
        <w:t>的处理设施产生的污泥，可能具有危险特性，应按《国家危险废物名录》、国家环境保护标准《危险废物鉴别技术规范》</w:t>
      </w:r>
      <w:r>
        <w:rPr>
          <w:rFonts w:hint="eastAsia"/>
          <w:color w:val="auto"/>
          <w:lang w:eastAsia="zh-CN"/>
        </w:rPr>
        <w:t>（HJ298</w:t>
      </w:r>
      <w:r>
        <w:rPr>
          <w:rFonts w:hint="eastAsia"/>
          <w:color w:val="auto"/>
          <w:lang w:val="en-US" w:eastAsia="zh-CN"/>
        </w:rPr>
        <w:t>-</w:t>
      </w:r>
      <w:r>
        <w:rPr>
          <w:rFonts w:hint="eastAsia"/>
          <w:color w:val="auto"/>
          <w:lang w:eastAsia="zh-CN"/>
        </w:rPr>
        <w:t>2019）</w:t>
      </w:r>
      <w:r>
        <w:rPr>
          <w:rFonts w:hint="eastAsia"/>
          <w:color w:val="auto"/>
        </w:rPr>
        <w:t>和危险废物鉴别标准的规定，对污泥进行危险特性鉴别。”本项目剩余污泥经浓缩后进入污泥脱水机房，污泥脱水后暂存于</w:t>
      </w:r>
      <w:r>
        <w:rPr>
          <w:rFonts w:hint="eastAsia"/>
          <w:color w:val="auto"/>
          <w:lang w:val="en-US" w:eastAsia="zh-CN"/>
        </w:rPr>
        <w:t>污泥池</w:t>
      </w:r>
      <w:r>
        <w:rPr>
          <w:rFonts w:hint="eastAsia"/>
          <w:color w:val="auto"/>
        </w:rPr>
        <w:t>内，泥饼先按照</w:t>
      </w:r>
      <w:r>
        <w:rPr>
          <w:rFonts w:hint="eastAsia"/>
          <w:color w:val="auto"/>
          <w:lang w:eastAsia="zh-CN"/>
        </w:rPr>
        <w:t>《危险废物鉴别标准 通则》（GB5085.7-2019）</w:t>
      </w:r>
      <w:r>
        <w:rPr>
          <w:rFonts w:hint="eastAsia"/>
          <w:color w:val="auto"/>
        </w:rPr>
        <w:t>进行鉴定，如属于危险废物，则运至危废处置单位进行集中处置</w:t>
      </w:r>
      <w:r>
        <w:rPr>
          <w:rFonts w:hint="eastAsia"/>
          <w:color w:val="auto"/>
          <w:lang w:eastAsia="zh-CN"/>
        </w:rPr>
        <w:t>；</w:t>
      </w:r>
      <w:r>
        <w:rPr>
          <w:rFonts w:hint="eastAsia"/>
          <w:color w:val="auto"/>
        </w:rPr>
        <w:t>如经鉴定污泥不具有危险特性，则外运至</w:t>
      </w:r>
      <w:r>
        <w:rPr>
          <w:rFonts w:hint="eastAsia"/>
          <w:color w:val="auto"/>
          <w:lang w:val="en-US" w:eastAsia="zh-CN"/>
        </w:rPr>
        <w:t>填埋场处置或制砖厂烧砖</w:t>
      </w:r>
      <w:r>
        <w:rPr>
          <w:rFonts w:hint="eastAsia"/>
          <w:color w:val="auto"/>
        </w:rPr>
        <w:t>。</w:t>
      </w:r>
    </w:p>
    <w:p w14:paraId="43E0DAA0">
      <w:pPr>
        <w:pageBreakBefore w:val="0"/>
        <w:wordWrap/>
        <w:bidi w:val="0"/>
        <w:adjustRightInd/>
        <w:snapToGrid/>
        <w:ind w:firstLine="480"/>
        <w:rPr>
          <w:color w:val="auto"/>
        </w:rPr>
      </w:pPr>
      <w:r>
        <w:rPr>
          <w:rFonts w:hint="eastAsia"/>
          <w:b/>
          <w:bCs/>
          <w:color w:val="auto"/>
        </w:rPr>
        <w:t>环评要求：</w:t>
      </w:r>
      <w:r>
        <w:rPr>
          <w:rFonts w:hint="eastAsia"/>
          <w:color w:val="auto"/>
        </w:rPr>
        <w:t>①在污泥脱水间等室内部分，</w:t>
      </w:r>
      <w:r>
        <w:rPr>
          <w:rFonts w:hint="eastAsia"/>
          <w:color w:val="auto"/>
          <w:lang w:val="en-US" w:eastAsia="zh-CN"/>
        </w:rPr>
        <w:t>机械抽风收集后进入生化滤池处理</w:t>
      </w:r>
      <w:r>
        <w:rPr>
          <w:rFonts w:hint="eastAsia"/>
          <w:color w:val="auto"/>
        </w:rPr>
        <w:t>，减少臭气影响；②运输车辆密闭，避开运输高峰期，尽量减少臭气对运输线路附近大气环境的影响；③采取必要的减臭措施，污泥处理设施应设在非完全敞开式的建筑内；④污水处理厂运行过程中要加强管理，控制污泥发酵。污泥脱水后要及时清运，定时清洗污泥脱水机；避免一切固体废弃物在厂内长时间堆放；⑤在各构筑物停产修理时，池底积泥会暴露出来散发臭气，</w:t>
      </w:r>
      <w:r>
        <w:rPr>
          <w:rFonts w:hint="eastAsia"/>
          <w:color w:val="auto"/>
          <w:lang w:eastAsia="zh-CN"/>
        </w:rPr>
        <w:t>采取</w:t>
      </w:r>
      <w:r>
        <w:rPr>
          <w:rFonts w:hint="eastAsia"/>
          <w:color w:val="auto"/>
        </w:rPr>
        <w:t>及时清除积泥的措施来防止臭气的影响；⑥项目厂区需设置绿化带。以上措施属目前污水处理厂恶臭处理的主要措施，在大、中、小型污水处理厂（站）均得到广泛应用，取得良好的效果。</w:t>
      </w:r>
    </w:p>
    <w:p w14:paraId="1765184F">
      <w:pPr>
        <w:pageBreakBefore w:val="0"/>
        <w:wordWrap/>
        <w:bidi w:val="0"/>
        <w:adjustRightInd/>
        <w:snapToGrid/>
        <w:ind w:firstLine="480"/>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三</w:t>
      </w:r>
      <w:r>
        <w:rPr>
          <w:rFonts w:hint="eastAsia"/>
          <w:b/>
          <w:bCs/>
          <w:color w:val="auto"/>
          <w:lang w:eastAsia="zh-CN"/>
        </w:rPr>
        <w:t>）</w:t>
      </w:r>
      <w:r>
        <w:rPr>
          <w:rFonts w:hint="eastAsia"/>
          <w:b/>
          <w:bCs/>
          <w:color w:val="auto"/>
          <w:lang w:val="en-US" w:eastAsia="zh-CN"/>
        </w:rPr>
        <w:t>危险废物</w:t>
      </w:r>
    </w:p>
    <w:p w14:paraId="2B2E180C">
      <w:pPr>
        <w:pageBreakBefore w:val="0"/>
        <w:wordWrap/>
        <w:bidi w:val="0"/>
        <w:adjustRightInd/>
        <w:snapToGrid/>
        <w:ind w:firstLine="480"/>
        <w:rPr>
          <w:rFonts w:hint="eastAsia"/>
          <w:b/>
          <w:bCs/>
          <w:color w:val="auto"/>
          <w:lang w:val="en-US" w:eastAsia="zh-CN"/>
        </w:rPr>
      </w:pPr>
      <w:r>
        <w:rPr>
          <w:b/>
          <w:bCs/>
          <w:color w:val="auto"/>
        </w:rPr>
        <w:t>（</w:t>
      </w:r>
      <w:r>
        <w:rPr>
          <w:rFonts w:hint="eastAsia"/>
          <w:b/>
          <w:bCs/>
          <w:color w:val="auto"/>
          <w:lang w:val="en-US" w:eastAsia="zh-CN"/>
        </w:rPr>
        <w:t>1</w:t>
      </w:r>
      <w:r>
        <w:rPr>
          <w:b/>
          <w:bCs/>
          <w:color w:val="auto"/>
        </w:rPr>
        <w:t>）</w:t>
      </w:r>
      <w:r>
        <w:rPr>
          <w:rFonts w:hint="eastAsia"/>
          <w:b/>
          <w:bCs/>
          <w:color w:val="auto"/>
          <w:lang w:val="en-US" w:eastAsia="zh-CN"/>
        </w:rPr>
        <w:t>机修间废机油</w:t>
      </w:r>
    </w:p>
    <w:p w14:paraId="4C794B8C">
      <w:pPr>
        <w:pageBreakBefore w:val="0"/>
        <w:wordWrap/>
        <w:bidi w:val="0"/>
        <w:adjustRightInd/>
        <w:snapToGrid/>
        <w:ind w:firstLine="480"/>
        <w:rPr>
          <w:color w:val="auto"/>
        </w:rPr>
      </w:pPr>
      <w:r>
        <w:rPr>
          <w:color w:val="auto"/>
        </w:rPr>
        <w:t>项目</w:t>
      </w:r>
      <w:r>
        <w:rPr>
          <w:rFonts w:hint="eastAsia"/>
          <w:color w:val="auto"/>
          <w:lang w:val="en-US" w:eastAsia="zh-CN"/>
        </w:rPr>
        <w:t>设置机修间，</w:t>
      </w:r>
      <w:r>
        <w:rPr>
          <w:color w:val="auto"/>
        </w:rPr>
        <w:t>正常运行过程中为了维持工况良好、正常，</w:t>
      </w:r>
      <w:r>
        <w:rPr>
          <w:rFonts w:hint="eastAsia"/>
          <w:color w:val="auto"/>
          <w:lang w:val="en-US" w:eastAsia="zh-CN"/>
        </w:rPr>
        <w:t>需</w:t>
      </w:r>
      <w:r>
        <w:rPr>
          <w:color w:val="auto"/>
        </w:rPr>
        <w:t>定期检修、维护</w:t>
      </w:r>
      <w:r>
        <w:rPr>
          <w:rFonts w:hint="eastAsia"/>
          <w:color w:val="auto"/>
          <w:lang w:val="en-US" w:eastAsia="zh-CN"/>
        </w:rPr>
        <w:t>设备，该</w:t>
      </w:r>
      <w:r>
        <w:rPr>
          <w:color w:val="auto"/>
        </w:rPr>
        <w:t>过程中</w:t>
      </w:r>
      <w:r>
        <w:rPr>
          <w:rFonts w:hint="eastAsia"/>
          <w:color w:val="auto"/>
          <w:lang w:val="en-US" w:eastAsia="zh-CN"/>
        </w:rPr>
        <w:t>会</w:t>
      </w:r>
      <w:r>
        <w:rPr>
          <w:color w:val="auto"/>
        </w:rPr>
        <w:t>产生</w:t>
      </w:r>
      <w:r>
        <w:rPr>
          <w:rFonts w:hint="eastAsia"/>
          <w:color w:val="auto"/>
          <w:lang w:val="en-US" w:eastAsia="zh-CN"/>
        </w:rPr>
        <w:t>废机油</w:t>
      </w:r>
      <w:r>
        <w:rPr>
          <w:color w:val="auto"/>
        </w:rPr>
        <w:t>。</w:t>
      </w:r>
    </w:p>
    <w:p w14:paraId="7CBB9C69">
      <w:pPr>
        <w:pageBreakBefore w:val="0"/>
        <w:wordWrap/>
        <w:bidi w:val="0"/>
        <w:adjustRightInd/>
        <w:snapToGrid/>
        <w:ind w:firstLine="480"/>
        <w:rPr>
          <w:rFonts w:hint="eastAsia"/>
          <w:color w:val="auto"/>
        </w:rPr>
      </w:pPr>
      <w:r>
        <w:rPr>
          <w:rFonts w:hint="eastAsia"/>
          <w:color w:val="auto"/>
          <w:lang w:val="en-US" w:eastAsia="zh-CN"/>
        </w:rPr>
        <w:t>废机油</w:t>
      </w:r>
      <w:r>
        <w:rPr>
          <w:color w:val="auto"/>
        </w:rPr>
        <w:t>年产生量约0.</w:t>
      </w:r>
      <w:r>
        <w:rPr>
          <w:rFonts w:hint="eastAsia"/>
          <w:color w:val="auto"/>
          <w:lang w:val="en-US" w:eastAsia="zh-CN"/>
        </w:rPr>
        <w:t>0</w:t>
      </w:r>
      <w:r>
        <w:rPr>
          <w:color w:val="auto"/>
        </w:rPr>
        <w:t>1t/a</w:t>
      </w:r>
      <w:r>
        <w:rPr>
          <w:rFonts w:hint="eastAsia"/>
          <w:color w:val="auto"/>
          <w:lang w:eastAsia="zh-CN"/>
        </w:rPr>
        <w:t>，</w:t>
      </w:r>
      <w:r>
        <w:rPr>
          <w:rFonts w:hint="eastAsia"/>
          <w:color w:val="auto"/>
        </w:rPr>
        <w:t>废润滑油属于《国家危险废物名录》（2021年版）中HW08废矿物油与含矿物油废物，非特定行业，其废物代码：900-21</w:t>
      </w:r>
      <w:r>
        <w:rPr>
          <w:rFonts w:hint="eastAsia"/>
          <w:color w:val="auto"/>
          <w:lang w:val="en-US" w:eastAsia="zh-CN"/>
        </w:rPr>
        <w:t>4</w:t>
      </w:r>
      <w:r>
        <w:rPr>
          <w:rFonts w:hint="eastAsia"/>
          <w:color w:val="auto"/>
        </w:rPr>
        <w:t>-08（车辆、轮船</w:t>
      </w:r>
      <w:r>
        <w:rPr>
          <w:rFonts w:hint="eastAsia"/>
          <w:color w:val="auto"/>
          <w:lang w:eastAsia="zh-CN"/>
        </w:rPr>
        <w:t>及其他</w:t>
      </w:r>
      <w:r>
        <w:rPr>
          <w:rFonts w:hint="eastAsia"/>
          <w:color w:val="auto"/>
        </w:rPr>
        <w:t>机械维修过程中产生的废发动机油、制动器油、自动变速器油、齿轮油等废润滑油）</w:t>
      </w:r>
      <w:r>
        <w:rPr>
          <w:rFonts w:hint="eastAsia"/>
          <w:color w:val="auto"/>
          <w:lang w:val="en-US" w:eastAsia="zh-CN"/>
        </w:rPr>
        <w:t>。</w:t>
      </w:r>
    </w:p>
    <w:p w14:paraId="47F463F8">
      <w:pPr>
        <w:pageBreakBefore w:val="0"/>
        <w:wordWrap/>
        <w:bidi w:val="0"/>
        <w:adjustRightInd/>
        <w:snapToGrid/>
        <w:ind w:firstLine="480"/>
        <w:rPr>
          <w:color w:val="auto"/>
        </w:rPr>
      </w:pPr>
      <w:r>
        <w:rPr>
          <w:rFonts w:hint="eastAsia"/>
          <w:color w:val="auto"/>
          <w:lang w:val="en-US" w:eastAsia="zh-CN"/>
        </w:rPr>
        <w:t>分类收集</w:t>
      </w:r>
      <w:r>
        <w:rPr>
          <w:rFonts w:hint="eastAsia"/>
          <w:color w:val="auto"/>
        </w:rPr>
        <w:t>后</w:t>
      </w:r>
      <w:r>
        <w:rPr>
          <w:rFonts w:hint="eastAsia"/>
          <w:color w:val="auto"/>
          <w:lang w:val="en-US" w:eastAsia="zh-CN"/>
        </w:rPr>
        <w:t>暂存于危废暂存间，</w:t>
      </w:r>
      <w:r>
        <w:rPr>
          <w:color w:val="auto"/>
        </w:rPr>
        <w:t>交由具有危废处理资质单位处置。</w:t>
      </w:r>
    </w:p>
    <w:p w14:paraId="4AAC6C4B">
      <w:pPr>
        <w:pageBreakBefore w:val="0"/>
        <w:wordWrap/>
        <w:bidi w:val="0"/>
        <w:adjustRightInd/>
        <w:snapToGrid/>
        <w:ind w:firstLine="480"/>
        <w:rPr>
          <w:rFonts w:hint="default" w:eastAsia="宋体"/>
          <w:b/>
          <w:bCs/>
          <w:color w:val="auto"/>
          <w:lang w:val="en-US" w:eastAsia="zh-CN"/>
        </w:rPr>
      </w:pPr>
      <w:r>
        <w:rPr>
          <w:b/>
          <w:bCs/>
          <w:color w:val="auto"/>
        </w:rPr>
        <w:t>（</w:t>
      </w:r>
      <w:r>
        <w:rPr>
          <w:rFonts w:hint="eastAsia"/>
          <w:b/>
          <w:bCs/>
          <w:color w:val="auto"/>
          <w:lang w:val="en-US" w:eastAsia="zh-CN"/>
        </w:rPr>
        <w:t>2</w:t>
      </w:r>
      <w:r>
        <w:rPr>
          <w:b/>
          <w:bCs/>
          <w:color w:val="auto"/>
        </w:rPr>
        <w:t>）</w:t>
      </w:r>
      <w:r>
        <w:rPr>
          <w:rFonts w:hint="eastAsia"/>
          <w:b/>
          <w:bCs/>
          <w:color w:val="auto"/>
          <w:lang w:val="en-US" w:eastAsia="zh-CN"/>
        </w:rPr>
        <w:t>废机油桶</w:t>
      </w:r>
    </w:p>
    <w:p w14:paraId="47A677E8">
      <w:pPr>
        <w:pageBreakBefore w:val="0"/>
        <w:wordWrap/>
        <w:bidi w:val="0"/>
        <w:adjustRightInd/>
        <w:snapToGrid/>
        <w:ind w:firstLine="480"/>
        <w:rPr>
          <w:color w:val="auto"/>
        </w:rPr>
      </w:pPr>
      <w:r>
        <w:rPr>
          <w:color w:val="auto"/>
        </w:rPr>
        <w:t>项目</w:t>
      </w:r>
      <w:r>
        <w:rPr>
          <w:rFonts w:hint="eastAsia"/>
          <w:color w:val="auto"/>
          <w:lang w:val="en-US" w:eastAsia="zh-CN"/>
        </w:rPr>
        <w:t>设置机修间，</w:t>
      </w:r>
      <w:r>
        <w:rPr>
          <w:color w:val="auto"/>
        </w:rPr>
        <w:t>正常运行过程中为了维持工况良好、正常，</w:t>
      </w:r>
      <w:r>
        <w:rPr>
          <w:rFonts w:hint="eastAsia"/>
          <w:color w:val="auto"/>
          <w:lang w:val="en-US" w:eastAsia="zh-CN"/>
        </w:rPr>
        <w:t>需</w:t>
      </w:r>
      <w:r>
        <w:rPr>
          <w:color w:val="auto"/>
        </w:rPr>
        <w:t>定期检修、维护</w:t>
      </w:r>
      <w:r>
        <w:rPr>
          <w:rFonts w:hint="eastAsia"/>
          <w:color w:val="auto"/>
          <w:lang w:val="en-US" w:eastAsia="zh-CN"/>
        </w:rPr>
        <w:t>设备，使用机油</w:t>
      </w:r>
      <w:r>
        <w:rPr>
          <w:color w:val="auto"/>
        </w:rPr>
        <w:t>过程中</w:t>
      </w:r>
      <w:r>
        <w:rPr>
          <w:rFonts w:hint="eastAsia"/>
          <w:color w:val="auto"/>
          <w:lang w:val="en-US" w:eastAsia="zh-CN"/>
        </w:rPr>
        <w:t>会</w:t>
      </w:r>
      <w:r>
        <w:rPr>
          <w:color w:val="auto"/>
        </w:rPr>
        <w:t>产生</w:t>
      </w:r>
      <w:r>
        <w:rPr>
          <w:rFonts w:hint="eastAsia"/>
          <w:color w:val="auto"/>
          <w:lang w:val="en-US" w:eastAsia="zh-CN"/>
        </w:rPr>
        <w:t>废机油桶</w:t>
      </w:r>
      <w:r>
        <w:rPr>
          <w:color w:val="auto"/>
        </w:rPr>
        <w:t>。</w:t>
      </w:r>
    </w:p>
    <w:p w14:paraId="62E05670">
      <w:pPr>
        <w:pageBreakBefore w:val="0"/>
        <w:wordWrap/>
        <w:bidi w:val="0"/>
        <w:adjustRightInd/>
        <w:snapToGrid/>
        <w:ind w:firstLine="480"/>
        <w:rPr>
          <w:rFonts w:hint="eastAsia"/>
          <w:color w:val="auto"/>
        </w:rPr>
      </w:pPr>
      <w:r>
        <w:rPr>
          <w:rFonts w:hint="eastAsia"/>
          <w:color w:val="auto"/>
          <w:lang w:val="en-US" w:eastAsia="zh-CN"/>
        </w:rPr>
        <w:t>废机油桶</w:t>
      </w:r>
      <w:r>
        <w:rPr>
          <w:color w:val="auto"/>
        </w:rPr>
        <w:t>年产生量约0.</w:t>
      </w:r>
      <w:r>
        <w:rPr>
          <w:rFonts w:hint="eastAsia"/>
          <w:color w:val="auto"/>
          <w:lang w:val="en-US" w:eastAsia="zh-CN"/>
        </w:rPr>
        <w:t>1</w:t>
      </w:r>
      <w:r>
        <w:rPr>
          <w:color w:val="auto"/>
        </w:rPr>
        <w:t>t/a</w:t>
      </w:r>
      <w:r>
        <w:rPr>
          <w:rFonts w:hint="eastAsia"/>
          <w:color w:val="auto"/>
          <w:lang w:eastAsia="zh-CN"/>
        </w:rPr>
        <w:t>，</w:t>
      </w:r>
      <w:r>
        <w:rPr>
          <w:rFonts w:hint="eastAsia"/>
          <w:color w:val="auto"/>
        </w:rPr>
        <w:t>废油桶属于《国家危险废物名录》（2021年版）中HW08废矿物油与含矿物油废物，非特定行业，其废物代码：900-249-08（其他生产、销售、使用过程中产生的废矿物油及沾染矿物油的废弃包装物）</w:t>
      </w:r>
      <w:r>
        <w:rPr>
          <w:rFonts w:hint="eastAsia"/>
          <w:color w:val="auto"/>
          <w:lang w:val="en-US" w:eastAsia="zh-CN"/>
        </w:rPr>
        <w:t>。</w:t>
      </w:r>
    </w:p>
    <w:p w14:paraId="4C1E9A38">
      <w:pPr>
        <w:pageBreakBefore w:val="0"/>
        <w:wordWrap/>
        <w:bidi w:val="0"/>
        <w:adjustRightInd/>
        <w:snapToGrid/>
        <w:ind w:firstLine="480"/>
        <w:rPr>
          <w:color w:val="auto"/>
        </w:rPr>
      </w:pPr>
      <w:r>
        <w:rPr>
          <w:rFonts w:hint="eastAsia"/>
          <w:color w:val="auto"/>
          <w:lang w:val="en-US" w:eastAsia="zh-CN"/>
        </w:rPr>
        <w:t>分类收集</w:t>
      </w:r>
      <w:r>
        <w:rPr>
          <w:rFonts w:hint="eastAsia"/>
          <w:color w:val="auto"/>
        </w:rPr>
        <w:t>后</w:t>
      </w:r>
      <w:r>
        <w:rPr>
          <w:rFonts w:hint="eastAsia"/>
          <w:color w:val="auto"/>
          <w:lang w:val="en-US" w:eastAsia="zh-CN"/>
        </w:rPr>
        <w:t>暂存于危废暂存间，</w:t>
      </w:r>
      <w:r>
        <w:rPr>
          <w:color w:val="auto"/>
        </w:rPr>
        <w:t>交由具有危废处理资质单位处置。</w:t>
      </w:r>
    </w:p>
    <w:p w14:paraId="10EB0161">
      <w:pPr>
        <w:pageBreakBefore w:val="0"/>
        <w:wordWrap/>
        <w:bidi w:val="0"/>
        <w:adjustRightInd/>
        <w:snapToGrid/>
        <w:ind w:firstLine="480"/>
        <w:rPr>
          <w:rFonts w:hint="default" w:eastAsia="宋体"/>
          <w:b/>
          <w:bCs/>
          <w:color w:val="auto"/>
          <w:lang w:val="en-US" w:eastAsia="zh-CN"/>
        </w:rPr>
      </w:pPr>
      <w:r>
        <w:rPr>
          <w:b/>
          <w:bCs/>
          <w:color w:val="auto"/>
        </w:rPr>
        <w:t>（</w:t>
      </w:r>
      <w:r>
        <w:rPr>
          <w:rFonts w:hint="eastAsia"/>
          <w:b/>
          <w:bCs/>
          <w:color w:val="auto"/>
          <w:lang w:val="en-US" w:eastAsia="zh-CN"/>
        </w:rPr>
        <w:t>3</w:t>
      </w:r>
      <w:r>
        <w:rPr>
          <w:b/>
          <w:bCs/>
          <w:color w:val="auto"/>
        </w:rPr>
        <w:t>）</w:t>
      </w:r>
      <w:r>
        <w:rPr>
          <w:rFonts w:hint="eastAsia"/>
          <w:b/>
          <w:bCs/>
          <w:color w:val="auto"/>
          <w:lang w:val="en-US" w:eastAsia="zh-CN"/>
        </w:rPr>
        <w:t>含油棉纱手套</w:t>
      </w:r>
    </w:p>
    <w:p w14:paraId="1A4A0F9F">
      <w:pPr>
        <w:pageBreakBefore w:val="0"/>
        <w:wordWrap/>
        <w:bidi w:val="0"/>
        <w:adjustRightInd/>
        <w:snapToGrid/>
        <w:ind w:firstLine="480"/>
        <w:rPr>
          <w:rFonts w:hint="eastAsia" w:eastAsia="宋体"/>
          <w:color w:val="auto"/>
          <w:lang w:eastAsia="zh-CN"/>
        </w:rPr>
      </w:pPr>
      <w:r>
        <w:rPr>
          <w:color w:val="auto"/>
        </w:rPr>
        <w:t>拟建项目在设备维护时产生的</w:t>
      </w:r>
      <w:r>
        <w:rPr>
          <w:rFonts w:hint="eastAsia"/>
          <w:color w:val="auto"/>
          <w:lang w:val="en-US" w:eastAsia="zh-CN"/>
        </w:rPr>
        <w:t>含油棉纱手套</w:t>
      </w:r>
      <w:r>
        <w:rPr>
          <w:color w:val="auto"/>
        </w:rPr>
        <w:t>等</w:t>
      </w:r>
      <w:r>
        <w:rPr>
          <w:rFonts w:hint="eastAsia"/>
          <w:color w:val="auto"/>
          <w:lang w:val="en-US" w:eastAsia="zh-CN"/>
        </w:rPr>
        <w:t>也</w:t>
      </w:r>
      <w:r>
        <w:rPr>
          <w:color w:val="auto"/>
        </w:rPr>
        <w:t>属于危险废物，年产生量约0.</w:t>
      </w:r>
      <w:r>
        <w:rPr>
          <w:rFonts w:hint="eastAsia"/>
          <w:color w:val="auto"/>
          <w:lang w:val="en-US" w:eastAsia="zh-CN"/>
        </w:rPr>
        <w:t>0</w:t>
      </w:r>
      <w:r>
        <w:rPr>
          <w:color w:val="auto"/>
        </w:rPr>
        <w:t>1t/a。</w:t>
      </w:r>
      <w:r>
        <w:rPr>
          <w:rFonts w:hint="eastAsia"/>
          <w:color w:val="auto"/>
        </w:rPr>
        <w:t>含油手套和抹布属于《国家危险废物名录》（2021年版）中HW49其他废物，非特定行业，其废物代码：900-041-49（含有或沾染毒性、感染性危险废物的废弃包装物、容器、过滤吸附介质）</w:t>
      </w:r>
      <w:r>
        <w:rPr>
          <w:rFonts w:hint="eastAsia"/>
          <w:color w:val="auto"/>
          <w:lang w:eastAsia="zh-CN"/>
        </w:rPr>
        <w:t>。</w:t>
      </w:r>
    </w:p>
    <w:p w14:paraId="12BD8E96">
      <w:pPr>
        <w:pageBreakBefore w:val="0"/>
        <w:wordWrap/>
        <w:bidi w:val="0"/>
        <w:adjustRightInd/>
        <w:snapToGrid/>
        <w:ind w:firstLine="480"/>
        <w:rPr>
          <w:color w:val="auto"/>
        </w:rPr>
      </w:pPr>
      <w:r>
        <w:rPr>
          <w:rFonts w:hint="eastAsia"/>
          <w:color w:val="auto"/>
          <w:lang w:val="en-US" w:eastAsia="zh-CN"/>
        </w:rPr>
        <w:t>分类收集</w:t>
      </w:r>
      <w:r>
        <w:rPr>
          <w:rFonts w:hint="eastAsia"/>
          <w:color w:val="auto"/>
        </w:rPr>
        <w:t>后</w:t>
      </w:r>
      <w:r>
        <w:rPr>
          <w:rFonts w:hint="eastAsia"/>
          <w:color w:val="auto"/>
          <w:lang w:val="en-US" w:eastAsia="zh-CN"/>
        </w:rPr>
        <w:t>危废暂存间暂存后，</w:t>
      </w:r>
      <w:r>
        <w:rPr>
          <w:color w:val="auto"/>
        </w:rPr>
        <w:t>交由具有危废处理资质单位处置。</w:t>
      </w:r>
    </w:p>
    <w:p w14:paraId="554CB996">
      <w:pPr>
        <w:pageBreakBefore w:val="0"/>
        <w:wordWrap/>
        <w:bidi w:val="0"/>
        <w:adjustRightInd/>
        <w:snapToGrid/>
        <w:ind w:firstLine="480"/>
        <w:rPr>
          <w:rFonts w:hint="default"/>
          <w:b/>
          <w:bCs/>
          <w:color w:val="auto"/>
          <w:lang w:val="en-US"/>
        </w:rPr>
      </w:pPr>
      <w:r>
        <w:rPr>
          <w:b/>
          <w:bCs/>
          <w:color w:val="auto"/>
        </w:rPr>
        <w:t>（</w:t>
      </w:r>
      <w:r>
        <w:rPr>
          <w:rFonts w:hint="eastAsia"/>
          <w:b/>
          <w:bCs/>
          <w:color w:val="auto"/>
          <w:lang w:val="en-US" w:eastAsia="zh-CN"/>
        </w:rPr>
        <w:t>4</w:t>
      </w:r>
      <w:r>
        <w:rPr>
          <w:b/>
          <w:bCs/>
          <w:color w:val="auto"/>
        </w:rPr>
        <w:t>）</w:t>
      </w:r>
      <w:r>
        <w:rPr>
          <w:rFonts w:hint="eastAsia"/>
          <w:b/>
          <w:bCs/>
          <w:color w:val="auto"/>
          <w:lang w:val="en-US" w:eastAsia="zh-CN"/>
        </w:rPr>
        <w:t>化验废液（含化验室化验废液、在线监测废液、实验器皿前三次清洗废水）</w:t>
      </w:r>
    </w:p>
    <w:p w14:paraId="7EECCA45">
      <w:pPr>
        <w:pageBreakBefore w:val="0"/>
        <w:wordWrap/>
        <w:bidi w:val="0"/>
        <w:adjustRightInd/>
        <w:snapToGrid/>
        <w:rPr>
          <w:color w:val="auto"/>
        </w:rPr>
      </w:pPr>
      <w:r>
        <w:rPr>
          <w:rFonts w:hint="eastAsia"/>
          <w:color w:val="auto"/>
          <w:lang w:val="en-US" w:eastAsia="zh-CN"/>
        </w:rPr>
        <w:t>本项目化验室和监测站会产生化验废液，</w:t>
      </w:r>
      <w:r>
        <w:rPr>
          <w:color w:val="auto"/>
        </w:rPr>
        <w:t>化验室检测项目为T-P、T-N、BOD</w:t>
      </w:r>
      <w:r>
        <w:rPr>
          <w:color w:val="auto"/>
          <w:vertAlign w:val="subscript"/>
        </w:rPr>
        <w:t>5</w:t>
      </w:r>
      <w:r>
        <w:rPr>
          <w:color w:val="auto"/>
        </w:rPr>
        <w:t>、COD</w:t>
      </w:r>
      <w:r>
        <w:rPr>
          <w:color w:val="auto"/>
          <w:vertAlign w:val="subscript"/>
        </w:rPr>
        <w:t>Cr</w:t>
      </w:r>
      <w:r>
        <w:rPr>
          <w:color w:val="auto"/>
        </w:rPr>
        <w:t>、NH</w:t>
      </w:r>
      <w:r>
        <w:rPr>
          <w:color w:val="auto"/>
          <w:vertAlign w:val="subscript"/>
        </w:rPr>
        <w:t>3</w:t>
      </w:r>
      <w:r>
        <w:rPr>
          <w:color w:val="auto"/>
        </w:rPr>
        <w:t>-N、SS和pH值、在线监测项目为COD</w:t>
      </w:r>
      <w:r>
        <w:rPr>
          <w:color w:val="auto"/>
          <w:vertAlign w:val="subscript"/>
        </w:rPr>
        <w:t>Cr</w:t>
      </w:r>
      <w:r>
        <w:rPr>
          <w:color w:val="auto"/>
        </w:rPr>
        <w:t>、NH</w:t>
      </w:r>
      <w:r>
        <w:rPr>
          <w:color w:val="auto"/>
          <w:vertAlign w:val="subscript"/>
        </w:rPr>
        <w:t>3</w:t>
      </w:r>
      <w:r>
        <w:rPr>
          <w:color w:val="auto"/>
        </w:rPr>
        <w:t>-N和pH值。化验废液约0.</w:t>
      </w:r>
      <w:r>
        <w:rPr>
          <w:rFonts w:hint="eastAsia"/>
          <w:color w:val="auto"/>
          <w:lang w:val="en-US" w:eastAsia="zh-CN"/>
        </w:rPr>
        <w:t>1m³</w:t>
      </w:r>
      <w:r>
        <w:rPr>
          <w:color w:val="auto"/>
        </w:rPr>
        <w:t>/d，</w:t>
      </w:r>
      <w:r>
        <w:rPr>
          <w:rFonts w:hint="eastAsia"/>
          <w:color w:val="auto"/>
        </w:rPr>
        <w:t>属于《国家危险废物名录》（2021年版）中HW49其他废物，非特定行业，其废物代码：900-04</w:t>
      </w:r>
      <w:r>
        <w:rPr>
          <w:rFonts w:hint="eastAsia"/>
          <w:color w:val="auto"/>
          <w:lang w:val="en-US" w:eastAsia="zh-CN"/>
        </w:rPr>
        <w:t>7</w:t>
      </w:r>
      <w:r>
        <w:rPr>
          <w:rFonts w:hint="eastAsia"/>
          <w:color w:val="auto"/>
        </w:rPr>
        <w:t>-49</w:t>
      </w:r>
      <w:r>
        <w:rPr>
          <w:color w:val="auto"/>
        </w:rPr>
        <w:t>。</w:t>
      </w:r>
    </w:p>
    <w:p w14:paraId="46990042">
      <w:pPr>
        <w:pageBreakBefore w:val="0"/>
        <w:wordWrap/>
        <w:bidi w:val="0"/>
        <w:adjustRightInd/>
        <w:snapToGrid/>
        <w:rPr>
          <w:color w:val="auto"/>
        </w:rPr>
      </w:pPr>
      <w:r>
        <w:rPr>
          <w:rFonts w:hint="eastAsia"/>
          <w:color w:val="auto"/>
          <w:lang w:val="en-US" w:eastAsia="zh-CN"/>
        </w:rPr>
        <w:t>分类收集</w:t>
      </w:r>
      <w:r>
        <w:rPr>
          <w:rFonts w:hint="eastAsia"/>
          <w:color w:val="auto"/>
        </w:rPr>
        <w:t>后暂存于危废暂存间，定期送有资质的单位处置。</w:t>
      </w:r>
    </w:p>
    <w:p w14:paraId="40681A01">
      <w:pPr>
        <w:pageBreakBefore w:val="0"/>
        <w:wordWrap/>
        <w:bidi w:val="0"/>
        <w:adjustRightInd/>
        <w:snapToGrid/>
        <w:ind w:firstLine="480"/>
        <w:rPr>
          <w:rFonts w:hint="default" w:eastAsia="宋体"/>
          <w:b/>
          <w:bCs/>
          <w:color w:val="auto"/>
          <w:lang w:val="en-US" w:eastAsia="zh-CN"/>
        </w:rPr>
      </w:pPr>
      <w:r>
        <w:rPr>
          <w:b/>
          <w:bCs/>
          <w:color w:val="auto"/>
        </w:rPr>
        <w:t>（</w:t>
      </w:r>
      <w:r>
        <w:rPr>
          <w:rFonts w:hint="eastAsia"/>
          <w:b/>
          <w:bCs/>
          <w:color w:val="auto"/>
          <w:lang w:val="en-US" w:eastAsia="zh-CN"/>
        </w:rPr>
        <w:t>5</w:t>
      </w:r>
      <w:r>
        <w:rPr>
          <w:b/>
          <w:bCs/>
          <w:color w:val="auto"/>
        </w:rPr>
        <w:t>）</w:t>
      </w:r>
      <w:r>
        <w:rPr>
          <w:rFonts w:hint="eastAsia"/>
          <w:b/>
          <w:bCs/>
          <w:color w:val="auto"/>
          <w:lang w:val="en-US" w:eastAsia="zh-CN"/>
        </w:rPr>
        <w:t>废化学试剂瓶</w:t>
      </w:r>
    </w:p>
    <w:p w14:paraId="4BE1B71B">
      <w:pPr>
        <w:pageBreakBefore w:val="0"/>
        <w:wordWrap/>
        <w:bidi w:val="0"/>
        <w:adjustRightInd/>
        <w:snapToGrid/>
        <w:rPr>
          <w:color w:val="auto"/>
        </w:rPr>
      </w:pPr>
      <w:r>
        <w:rPr>
          <w:color w:val="auto"/>
        </w:rPr>
        <w:t>本项目</w:t>
      </w:r>
      <w:r>
        <w:rPr>
          <w:rFonts w:hint="eastAsia"/>
          <w:color w:val="auto"/>
        </w:rPr>
        <w:t>检测将产生废试剂瓶，产生量约为0.5t/a，属于《国家危险废物名录》（2021年版）中HW49其他废物，非特定行业，其废物代码：900-04</w:t>
      </w:r>
      <w:r>
        <w:rPr>
          <w:rFonts w:hint="eastAsia"/>
          <w:color w:val="auto"/>
          <w:lang w:val="en-US" w:eastAsia="zh-CN"/>
        </w:rPr>
        <w:t>1</w:t>
      </w:r>
      <w:r>
        <w:rPr>
          <w:rFonts w:hint="eastAsia"/>
          <w:color w:val="auto"/>
        </w:rPr>
        <w:t>-49（含有或沾染毒性、感染性危险废物的废弃包装物、容器、过滤吸附介质）</w:t>
      </w:r>
      <w:r>
        <w:rPr>
          <w:color w:val="auto"/>
        </w:rPr>
        <w:t>。</w:t>
      </w:r>
    </w:p>
    <w:p w14:paraId="5DA55F28">
      <w:pPr>
        <w:pageBreakBefore w:val="0"/>
        <w:wordWrap/>
        <w:bidi w:val="0"/>
        <w:adjustRightInd/>
        <w:snapToGrid/>
        <w:rPr>
          <w:color w:val="auto"/>
        </w:rPr>
      </w:pPr>
      <w:r>
        <w:rPr>
          <w:color w:val="auto"/>
        </w:rPr>
        <w:t>由专用收集</w:t>
      </w:r>
      <w:r>
        <w:rPr>
          <w:rFonts w:hint="eastAsia"/>
          <w:color w:val="auto"/>
          <w:lang w:val="en-US" w:eastAsia="zh-CN"/>
        </w:rPr>
        <w:t>容器</w:t>
      </w:r>
      <w:r>
        <w:rPr>
          <w:color w:val="auto"/>
        </w:rPr>
        <w:t>收集并送危废暂存间暂存，定期交由资质的单位处置。</w:t>
      </w:r>
    </w:p>
    <w:p w14:paraId="153646C3">
      <w:pPr>
        <w:spacing w:line="360" w:lineRule="auto"/>
        <w:ind w:firstLine="482" w:firstLineChars="200"/>
        <w:rPr>
          <w:rFonts w:ascii="Times New Roman" w:hAnsi="Times New Roman"/>
          <w:b/>
          <w:bCs/>
          <w:color w:val="auto"/>
          <w:sz w:val="24"/>
        </w:rPr>
      </w:pPr>
      <w:r>
        <w:rPr>
          <w:rFonts w:hint="eastAsia" w:ascii="Times New Roman" w:hAnsi="Times New Roman"/>
          <w:b/>
          <w:bCs/>
          <w:color w:val="auto"/>
          <w:sz w:val="24"/>
          <w:lang w:eastAsia="zh-CN"/>
        </w:rPr>
        <w:t>（</w:t>
      </w:r>
      <w:r>
        <w:rPr>
          <w:rFonts w:hint="eastAsia" w:ascii="Times New Roman" w:hAnsi="Times New Roman"/>
          <w:b/>
          <w:bCs/>
          <w:color w:val="auto"/>
          <w:sz w:val="24"/>
          <w:lang w:val="en-US" w:eastAsia="zh-CN"/>
        </w:rPr>
        <w:t>6</w:t>
      </w:r>
      <w:r>
        <w:rPr>
          <w:rFonts w:hint="eastAsia" w:ascii="Times New Roman" w:hAnsi="Times New Roman"/>
          <w:b/>
          <w:bCs/>
          <w:color w:val="auto"/>
          <w:sz w:val="24"/>
          <w:lang w:eastAsia="zh-CN"/>
        </w:rPr>
        <w:t>）</w:t>
      </w:r>
      <w:r>
        <w:rPr>
          <w:rFonts w:hint="eastAsia" w:ascii="Times New Roman" w:hAnsi="Times New Roman"/>
          <w:b/>
          <w:bCs/>
          <w:color w:val="auto"/>
          <w:sz w:val="24"/>
        </w:rPr>
        <w:t>废紫外线灯管</w:t>
      </w:r>
    </w:p>
    <w:p w14:paraId="6597FFE8">
      <w:pPr>
        <w:spacing w:line="360" w:lineRule="auto"/>
        <w:ind w:firstLine="480" w:firstLineChars="200"/>
        <w:rPr>
          <w:rFonts w:ascii="Times New Roman" w:hAnsi="Times New Roman"/>
          <w:color w:val="auto"/>
          <w:sz w:val="24"/>
        </w:rPr>
      </w:pPr>
      <w:r>
        <w:rPr>
          <w:rFonts w:hint="eastAsia" w:ascii="Times New Roman" w:hAnsi="Times New Roman"/>
          <w:color w:val="auto"/>
          <w:sz w:val="24"/>
        </w:rPr>
        <w:t>本</w:t>
      </w:r>
      <w:r>
        <w:rPr>
          <w:rFonts w:hint="eastAsia" w:ascii="Times New Roman" w:hAnsi="Times New Roman"/>
          <w:color w:val="auto"/>
          <w:sz w:val="24"/>
          <w:lang w:val="en-US" w:eastAsia="zh-CN"/>
        </w:rPr>
        <w:t>项目有</w:t>
      </w:r>
      <w:r>
        <w:rPr>
          <w:rFonts w:hint="eastAsia" w:ascii="Times New Roman" w:hAnsi="Times New Roman"/>
          <w:color w:val="auto"/>
          <w:sz w:val="24"/>
        </w:rPr>
        <w:t>紫外线消毒工序，项目运行过程中会产生废紫外线灯管，产生量约为0</w:t>
      </w:r>
      <w:r>
        <w:rPr>
          <w:rFonts w:ascii="Times New Roman" w:hAnsi="Times New Roman"/>
          <w:color w:val="auto"/>
          <w:sz w:val="24"/>
        </w:rPr>
        <w:t>.1t/a</w:t>
      </w:r>
      <w:r>
        <w:rPr>
          <w:rFonts w:hint="eastAsia" w:ascii="Times New Roman" w:hAnsi="Times New Roman"/>
          <w:color w:val="auto"/>
          <w:sz w:val="24"/>
        </w:rPr>
        <w:t>，</w:t>
      </w:r>
      <w:r>
        <w:rPr>
          <w:rFonts w:hint="eastAsia" w:ascii="Times New Roman" w:hAnsi="Times New Roman"/>
          <w:color w:val="auto"/>
          <w:sz w:val="24"/>
          <w:szCs w:val="24"/>
        </w:rPr>
        <w:t>根据《国家危险废物名录（2</w:t>
      </w:r>
      <w:r>
        <w:rPr>
          <w:rFonts w:ascii="Times New Roman" w:hAnsi="Times New Roman"/>
          <w:color w:val="auto"/>
          <w:sz w:val="24"/>
          <w:szCs w:val="24"/>
        </w:rPr>
        <w:t>021</w:t>
      </w:r>
      <w:r>
        <w:rPr>
          <w:rFonts w:hint="eastAsia" w:ascii="Times New Roman" w:hAnsi="Times New Roman"/>
          <w:color w:val="auto"/>
          <w:sz w:val="24"/>
          <w:szCs w:val="24"/>
        </w:rPr>
        <w:t>年版）》，该类固废属于危险废物，</w:t>
      </w:r>
      <w:r>
        <w:rPr>
          <w:rFonts w:ascii="Times New Roman" w:hAnsi="Times New Roman"/>
          <w:color w:val="auto"/>
          <w:sz w:val="24"/>
          <w:szCs w:val="24"/>
        </w:rPr>
        <w:t>危废类</w:t>
      </w:r>
      <w:r>
        <w:rPr>
          <w:rFonts w:hint="eastAsia" w:ascii="Times New Roman" w:hAnsi="Times New Roman"/>
          <w:color w:val="auto"/>
          <w:sz w:val="24"/>
          <w:szCs w:val="24"/>
        </w:rPr>
        <w:t>别为</w:t>
      </w:r>
      <w:r>
        <w:rPr>
          <w:rFonts w:ascii="Times New Roman" w:hAnsi="Times New Roman"/>
          <w:color w:val="auto"/>
          <w:sz w:val="24"/>
          <w:szCs w:val="24"/>
        </w:rPr>
        <w:t>HW29</w:t>
      </w:r>
      <w:r>
        <w:rPr>
          <w:rFonts w:hint="eastAsia" w:ascii="Times New Roman" w:hAnsi="Times New Roman"/>
          <w:color w:val="auto"/>
          <w:sz w:val="24"/>
          <w:szCs w:val="24"/>
        </w:rPr>
        <w:t>含汞废物</w:t>
      </w:r>
      <w:r>
        <w:rPr>
          <w:rFonts w:ascii="Times New Roman" w:hAnsi="Times New Roman"/>
          <w:color w:val="auto"/>
          <w:sz w:val="24"/>
          <w:szCs w:val="24"/>
        </w:rPr>
        <w:t>，废物代码为900-023-29</w:t>
      </w:r>
      <w:r>
        <w:rPr>
          <w:rFonts w:hint="eastAsia" w:ascii="Times New Roman" w:hAnsi="Times New Roman"/>
          <w:color w:val="auto"/>
          <w:sz w:val="24"/>
          <w:szCs w:val="24"/>
        </w:rPr>
        <w:t>，</w:t>
      </w:r>
      <w:r>
        <w:rPr>
          <w:rFonts w:hint="eastAsia" w:ascii="Times New Roman" w:hAnsi="Times New Roman"/>
          <w:color w:val="auto"/>
          <w:sz w:val="24"/>
        </w:rPr>
        <w:t>采用危废袋集中收集存放于危废暂存间，交由有资质单位处置。</w:t>
      </w:r>
    </w:p>
    <w:p w14:paraId="635D7A6C">
      <w:pPr>
        <w:pageBreakBefore w:val="0"/>
        <w:wordWrap/>
        <w:bidi w:val="0"/>
        <w:adjustRightInd/>
        <w:snapToGrid/>
        <w:ind w:firstLine="480"/>
        <w:rPr>
          <w:color w:val="auto"/>
        </w:rPr>
      </w:pPr>
      <w:r>
        <w:rPr>
          <w:color w:val="auto"/>
        </w:rPr>
        <w:t>项目产生固废产生及处理情况见</w:t>
      </w:r>
      <w:r>
        <w:rPr>
          <w:rFonts w:hint="eastAsia"/>
          <w:color w:val="auto"/>
          <w:lang w:val="en-US" w:eastAsia="zh-CN"/>
        </w:rPr>
        <w:t>下表</w:t>
      </w:r>
      <w:r>
        <w:rPr>
          <w:color w:val="auto"/>
        </w:rPr>
        <w:t>。</w:t>
      </w:r>
    </w:p>
    <w:p w14:paraId="0E83430F">
      <w:pPr>
        <w:pageBreakBefore w:val="0"/>
        <w:wordWrap/>
        <w:bidi w:val="0"/>
        <w:adjustRightInd/>
        <w:snapToGrid/>
        <w:ind w:firstLine="480"/>
        <w:rPr>
          <w:color w:val="auto"/>
        </w:rPr>
        <w:sectPr>
          <w:pgSz w:w="11906" w:h="16838"/>
          <w:pgMar w:top="1440" w:right="1588" w:bottom="1440" w:left="1588" w:header="720" w:footer="720" w:gutter="0"/>
          <w:pgBorders>
            <w:top w:val="none" w:sz="0" w:space="0"/>
            <w:left w:val="none" w:sz="0" w:space="0"/>
            <w:bottom w:val="none" w:sz="0" w:space="0"/>
            <w:right w:val="none" w:sz="0" w:space="0"/>
          </w:pgBorders>
          <w:pgNumType w:fmt="decimal"/>
          <w:cols w:space="720" w:num="1"/>
          <w:docGrid w:linePitch="286" w:charSpace="0"/>
        </w:sectPr>
      </w:pPr>
    </w:p>
    <w:p w14:paraId="110965D5">
      <w:pPr>
        <w:pStyle w:val="19"/>
        <w:numPr>
          <w:ilvl w:val="0"/>
          <w:numId w:val="25"/>
        </w:numPr>
        <w:bidi w:val="0"/>
        <w:ind w:left="0" w:leftChars="0" w:firstLine="0" w:firstLineChars="0"/>
        <w:rPr>
          <w:color w:val="auto"/>
        </w:rPr>
      </w:pPr>
      <w:r>
        <w:rPr>
          <w:color w:val="auto"/>
        </w:rPr>
        <w:t>项目固废产生及处理情况</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515"/>
        <w:gridCol w:w="1422"/>
        <w:gridCol w:w="1481"/>
        <w:gridCol w:w="1276"/>
        <w:gridCol w:w="1532"/>
        <w:gridCol w:w="865"/>
        <w:gridCol w:w="1197"/>
        <w:gridCol w:w="1622"/>
        <w:gridCol w:w="983"/>
        <w:gridCol w:w="769"/>
        <w:gridCol w:w="2402"/>
      </w:tblGrid>
      <w:tr w14:paraId="058756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3" w:type="pct"/>
            <w:tcBorders>
              <w:tl2br w:val="nil"/>
              <w:tr2bl w:val="nil"/>
            </w:tcBorders>
            <w:noWrap w:val="0"/>
            <w:vAlign w:val="center"/>
          </w:tcPr>
          <w:p w14:paraId="4717062B">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编号</w:t>
            </w:r>
          </w:p>
        </w:tc>
        <w:tc>
          <w:tcPr>
            <w:tcW w:w="505" w:type="pct"/>
            <w:tcBorders>
              <w:tl2br w:val="nil"/>
              <w:tr2bl w:val="nil"/>
            </w:tcBorders>
            <w:noWrap w:val="0"/>
            <w:vAlign w:val="center"/>
          </w:tcPr>
          <w:p w14:paraId="73145A72">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名称</w:t>
            </w:r>
          </w:p>
        </w:tc>
        <w:tc>
          <w:tcPr>
            <w:tcW w:w="526" w:type="pct"/>
            <w:tcBorders>
              <w:tl2br w:val="nil"/>
              <w:tr2bl w:val="nil"/>
            </w:tcBorders>
            <w:noWrap w:val="0"/>
            <w:vAlign w:val="center"/>
          </w:tcPr>
          <w:p w14:paraId="0AFF01C6">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废物类别</w:t>
            </w:r>
          </w:p>
        </w:tc>
        <w:tc>
          <w:tcPr>
            <w:tcW w:w="453" w:type="pct"/>
            <w:tcBorders>
              <w:tl2br w:val="nil"/>
              <w:tr2bl w:val="nil"/>
            </w:tcBorders>
            <w:noWrap w:val="0"/>
            <w:vAlign w:val="center"/>
          </w:tcPr>
          <w:p w14:paraId="2AA54FC4">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废物代码</w:t>
            </w:r>
          </w:p>
        </w:tc>
        <w:tc>
          <w:tcPr>
            <w:tcW w:w="544" w:type="pct"/>
            <w:tcBorders>
              <w:tl2br w:val="nil"/>
              <w:tr2bl w:val="nil"/>
            </w:tcBorders>
            <w:noWrap w:val="0"/>
            <w:vAlign w:val="center"/>
          </w:tcPr>
          <w:p w14:paraId="3EBDA9A0">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主要成分</w:t>
            </w:r>
          </w:p>
        </w:tc>
        <w:tc>
          <w:tcPr>
            <w:tcW w:w="307" w:type="pct"/>
            <w:tcBorders>
              <w:tl2br w:val="nil"/>
              <w:tr2bl w:val="nil"/>
            </w:tcBorders>
            <w:noWrap w:val="0"/>
            <w:vAlign w:val="center"/>
          </w:tcPr>
          <w:p w14:paraId="34D97230">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性状</w:t>
            </w:r>
          </w:p>
        </w:tc>
        <w:tc>
          <w:tcPr>
            <w:tcW w:w="425" w:type="pct"/>
            <w:tcBorders>
              <w:tl2br w:val="nil"/>
              <w:tr2bl w:val="nil"/>
            </w:tcBorders>
            <w:noWrap w:val="0"/>
            <w:vAlign w:val="center"/>
          </w:tcPr>
          <w:p w14:paraId="07576B15">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产生数量（t/a）</w:t>
            </w:r>
          </w:p>
        </w:tc>
        <w:tc>
          <w:tcPr>
            <w:tcW w:w="576" w:type="pct"/>
            <w:tcBorders>
              <w:tl2br w:val="nil"/>
              <w:tr2bl w:val="nil"/>
            </w:tcBorders>
            <w:noWrap w:val="0"/>
            <w:vAlign w:val="center"/>
          </w:tcPr>
          <w:p w14:paraId="54E5FA85">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产生工序及装置</w:t>
            </w:r>
          </w:p>
        </w:tc>
        <w:tc>
          <w:tcPr>
            <w:tcW w:w="349" w:type="pct"/>
            <w:tcBorders>
              <w:tl2br w:val="nil"/>
              <w:tr2bl w:val="nil"/>
            </w:tcBorders>
            <w:noWrap w:val="0"/>
            <w:vAlign w:val="center"/>
          </w:tcPr>
          <w:p w14:paraId="5BE19A1E">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产生周期</w:t>
            </w:r>
          </w:p>
        </w:tc>
        <w:tc>
          <w:tcPr>
            <w:tcW w:w="273" w:type="pct"/>
            <w:tcBorders>
              <w:tl2br w:val="nil"/>
              <w:tr2bl w:val="nil"/>
            </w:tcBorders>
            <w:noWrap w:val="0"/>
            <w:vAlign w:val="center"/>
          </w:tcPr>
          <w:p w14:paraId="6F4187C0">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危险特性</w:t>
            </w:r>
          </w:p>
        </w:tc>
        <w:tc>
          <w:tcPr>
            <w:tcW w:w="853" w:type="pct"/>
            <w:tcBorders>
              <w:tl2br w:val="nil"/>
              <w:tr2bl w:val="nil"/>
            </w:tcBorders>
            <w:noWrap w:val="0"/>
            <w:vAlign w:val="center"/>
          </w:tcPr>
          <w:p w14:paraId="3B9B1CE5">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处置方式</w:t>
            </w:r>
          </w:p>
        </w:tc>
      </w:tr>
      <w:tr w14:paraId="0F57DD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3" w:type="pct"/>
            <w:tcBorders>
              <w:tl2br w:val="nil"/>
              <w:tr2bl w:val="nil"/>
            </w:tcBorders>
            <w:noWrap w:val="0"/>
            <w:vAlign w:val="center"/>
          </w:tcPr>
          <w:p w14:paraId="71047257">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1</w:t>
            </w:r>
          </w:p>
        </w:tc>
        <w:tc>
          <w:tcPr>
            <w:tcW w:w="505" w:type="pct"/>
            <w:tcBorders>
              <w:tl2br w:val="nil"/>
              <w:tr2bl w:val="nil"/>
            </w:tcBorders>
            <w:noWrap w:val="0"/>
            <w:vAlign w:val="center"/>
          </w:tcPr>
          <w:p w14:paraId="7C534A1F">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生活垃圾</w:t>
            </w:r>
          </w:p>
        </w:tc>
        <w:tc>
          <w:tcPr>
            <w:tcW w:w="526" w:type="pct"/>
            <w:tcBorders>
              <w:tl2br w:val="nil"/>
              <w:tr2bl w:val="nil"/>
            </w:tcBorders>
            <w:noWrap w:val="0"/>
            <w:vAlign w:val="center"/>
          </w:tcPr>
          <w:p w14:paraId="16B12B35">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生活垃圾</w:t>
            </w:r>
          </w:p>
        </w:tc>
        <w:tc>
          <w:tcPr>
            <w:tcW w:w="453" w:type="pct"/>
            <w:tcBorders>
              <w:tl2br w:val="nil"/>
              <w:tr2bl w:val="nil"/>
            </w:tcBorders>
            <w:noWrap w:val="0"/>
            <w:vAlign w:val="center"/>
          </w:tcPr>
          <w:p w14:paraId="24AA084F">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544" w:type="pct"/>
            <w:tcBorders>
              <w:tl2br w:val="nil"/>
              <w:tr2bl w:val="nil"/>
            </w:tcBorders>
            <w:noWrap w:val="0"/>
            <w:vAlign w:val="center"/>
          </w:tcPr>
          <w:p w14:paraId="20E99181">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307" w:type="pct"/>
            <w:tcBorders>
              <w:tl2br w:val="nil"/>
              <w:tr2bl w:val="nil"/>
            </w:tcBorders>
            <w:noWrap w:val="0"/>
            <w:vAlign w:val="center"/>
          </w:tcPr>
          <w:p w14:paraId="1316B256">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固态</w:t>
            </w:r>
          </w:p>
        </w:tc>
        <w:tc>
          <w:tcPr>
            <w:tcW w:w="425" w:type="pct"/>
            <w:tcBorders>
              <w:tl2br w:val="nil"/>
              <w:tr2bl w:val="nil"/>
            </w:tcBorders>
            <w:noWrap w:val="0"/>
            <w:vAlign w:val="center"/>
          </w:tcPr>
          <w:p w14:paraId="289559EB">
            <w:pPr>
              <w:pStyle w:val="498"/>
              <w:pageBreakBefore w:val="0"/>
              <w:wordWrap/>
              <w:bidi w:val="0"/>
              <w:adjustRightInd/>
              <w:snapToGrid/>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3.285</w:t>
            </w:r>
          </w:p>
        </w:tc>
        <w:tc>
          <w:tcPr>
            <w:tcW w:w="576" w:type="pct"/>
            <w:tcBorders>
              <w:tl2br w:val="nil"/>
              <w:tr2bl w:val="nil"/>
            </w:tcBorders>
            <w:noWrap w:val="0"/>
            <w:vAlign w:val="center"/>
          </w:tcPr>
          <w:p w14:paraId="0CCD75EF">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员工办公生活</w:t>
            </w:r>
          </w:p>
        </w:tc>
        <w:tc>
          <w:tcPr>
            <w:tcW w:w="349" w:type="pct"/>
            <w:tcBorders>
              <w:tl2br w:val="nil"/>
              <w:tr2bl w:val="nil"/>
            </w:tcBorders>
            <w:noWrap w:val="0"/>
            <w:vAlign w:val="center"/>
          </w:tcPr>
          <w:p w14:paraId="6D6F40EF">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间歇</w:t>
            </w:r>
          </w:p>
        </w:tc>
        <w:tc>
          <w:tcPr>
            <w:tcW w:w="273" w:type="pct"/>
            <w:tcBorders>
              <w:tl2br w:val="nil"/>
              <w:tr2bl w:val="nil"/>
            </w:tcBorders>
            <w:noWrap w:val="0"/>
            <w:vAlign w:val="center"/>
          </w:tcPr>
          <w:p w14:paraId="5740E245">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853" w:type="pct"/>
            <w:tcBorders>
              <w:tl2br w:val="nil"/>
              <w:tr2bl w:val="nil"/>
            </w:tcBorders>
            <w:noWrap w:val="0"/>
            <w:vAlign w:val="center"/>
          </w:tcPr>
          <w:p w14:paraId="14C1DD50">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环卫清运</w:t>
            </w:r>
          </w:p>
        </w:tc>
      </w:tr>
      <w:tr w14:paraId="0FF846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3" w:type="pct"/>
            <w:tcBorders>
              <w:tl2br w:val="nil"/>
              <w:tr2bl w:val="nil"/>
            </w:tcBorders>
            <w:noWrap w:val="0"/>
            <w:vAlign w:val="center"/>
          </w:tcPr>
          <w:p w14:paraId="6B2E6BC2">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2</w:t>
            </w:r>
          </w:p>
        </w:tc>
        <w:tc>
          <w:tcPr>
            <w:tcW w:w="505" w:type="pct"/>
            <w:tcBorders>
              <w:tl2br w:val="nil"/>
              <w:tr2bl w:val="nil"/>
            </w:tcBorders>
            <w:noWrap w:val="0"/>
            <w:vAlign w:val="center"/>
          </w:tcPr>
          <w:p w14:paraId="7B8BCED2">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食堂餐厨垃圾</w:t>
            </w:r>
          </w:p>
        </w:tc>
        <w:tc>
          <w:tcPr>
            <w:tcW w:w="526" w:type="pct"/>
            <w:tcBorders>
              <w:tl2br w:val="nil"/>
              <w:tr2bl w:val="nil"/>
            </w:tcBorders>
            <w:noWrap w:val="0"/>
            <w:vAlign w:val="center"/>
          </w:tcPr>
          <w:p w14:paraId="11737D42">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生活垃圾</w:t>
            </w:r>
          </w:p>
        </w:tc>
        <w:tc>
          <w:tcPr>
            <w:tcW w:w="453" w:type="pct"/>
            <w:tcBorders>
              <w:tl2br w:val="nil"/>
              <w:tr2bl w:val="nil"/>
            </w:tcBorders>
            <w:noWrap w:val="0"/>
            <w:vAlign w:val="center"/>
          </w:tcPr>
          <w:p w14:paraId="5237D851">
            <w:pPr>
              <w:pStyle w:val="498"/>
              <w:pageBreakBefore w:val="0"/>
              <w:wordWrap/>
              <w:bidi w:val="0"/>
              <w:adjustRightInd/>
              <w:snapToGrid/>
              <w:ind w:firstLine="0" w:firstLineChars="0"/>
              <w:jc w:val="center"/>
              <w:rPr>
                <w:color w:val="auto"/>
                <w:sz w:val="21"/>
                <w:szCs w:val="21"/>
              </w:rPr>
            </w:pPr>
            <w:r>
              <w:rPr>
                <w:color w:val="auto"/>
                <w:sz w:val="21"/>
                <w:szCs w:val="21"/>
              </w:rPr>
              <w:t>/</w:t>
            </w:r>
          </w:p>
        </w:tc>
        <w:tc>
          <w:tcPr>
            <w:tcW w:w="544" w:type="pct"/>
            <w:tcBorders>
              <w:tl2br w:val="nil"/>
              <w:tr2bl w:val="nil"/>
            </w:tcBorders>
            <w:noWrap w:val="0"/>
            <w:vAlign w:val="center"/>
          </w:tcPr>
          <w:p w14:paraId="553C6C42">
            <w:pPr>
              <w:pStyle w:val="498"/>
              <w:pageBreakBefore w:val="0"/>
              <w:wordWrap/>
              <w:bidi w:val="0"/>
              <w:adjustRightInd/>
              <w:snapToGrid/>
              <w:ind w:firstLine="0" w:firstLineChars="0"/>
              <w:jc w:val="center"/>
              <w:rPr>
                <w:color w:val="auto"/>
                <w:sz w:val="21"/>
                <w:szCs w:val="21"/>
              </w:rPr>
            </w:pPr>
            <w:r>
              <w:rPr>
                <w:color w:val="auto"/>
                <w:sz w:val="21"/>
                <w:szCs w:val="21"/>
              </w:rPr>
              <w:t>/</w:t>
            </w:r>
          </w:p>
        </w:tc>
        <w:tc>
          <w:tcPr>
            <w:tcW w:w="307" w:type="pct"/>
            <w:tcBorders>
              <w:tl2br w:val="nil"/>
              <w:tr2bl w:val="nil"/>
            </w:tcBorders>
            <w:noWrap w:val="0"/>
            <w:vAlign w:val="center"/>
          </w:tcPr>
          <w:p w14:paraId="6F35CAE2">
            <w:pPr>
              <w:pStyle w:val="498"/>
              <w:pageBreakBefore w:val="0"/>
              <w:wordWrap/>
              <w:bidi w:val="0"/>
              <w:adjustRightInd/>
              <w:snapToGrid/>
              <w:ind w:firstLine="0" w:firstLineChars="0"/>
              <w:jc w:val="center"/>
              <w:rPr>
                <w:color w:val="auto"/>
                <w:sz w:val="21"/>
                <w:szCs w:val="21"/>
              </w:rPr>
            </w:pPr>
            <w:r>
              <w:rPr>
                <w:color w:val="auto"/>
                <w:sz w:val="21"/>
                <w:szCs w:val="21"/>
              </w:rPr>
              <w:t>固态</w:t>
            </w:r>
          </w:p>
        </w:tc>
        <w:tc>
          <w:tcPr>
            <w:tcW w:w="425" w:type="pct"/>
            <w:tcBorders>
              <w:tl2br w:val="nil"/>
              <w:tr2bl w:val="nil"/>
            </w:tcBorders>
            <w:noWrap w:val="0"/>
            <w:vAlign w:val="center"/>
          </w:tcPr>
          <w:p w14:paraId="1A22FB49">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1.314</w:t>
            </w:r>
          </w:p>
        </w:tc>
        <w:tc>
          <w:tcPr>
            <w:tcW w:w="576" w:type="pct"/>
            <w:tcBorders>
              <w:tl2br w:val="nil"/>
              <w:tr2bl w:val="nil"/>
            </w:tcBorders>
            <w:noWrap w:val="0"/>
            <w:vAlign w:val="center"/>
          </w:tcPr>
          <w:p w14:paraId="7DDDDD7B">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食堂</w:t>
            </w:r>
          </w:p>
        </w:tc>
        <w:tc>
          <w:tcPr>
            <w:tcW w:w="349" w:type="pct"/>
            <w:tcBorders>
              <w:tl2br w:val="nil"/>
              <w:tr2bl w:val="nil"/>
            </w:tcBorders>
            <w:noWrap w:val="0"/>
            <w:vAlign w:val="center"/>
          </w:tcPr>
          <w:p w14:paraId="61E0899F">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间歇</w:t>
            </w:r>
          </w:p>
        </w:tc>
        <w:tc>
          <w:tcPr>
            <w:tcW w:w="273" w:type="pct"/>
            <w:tcBorders>
              <w:tl2br w:val="nil"/>
              <w:tr2bl w:val="nil"/>
            </w:tcBorders>
            <w:noWrap w:val="0"/>
            <w:vAlign w:val="center"/>
          </w:tcPr>
          <w:p w14:paraId="02F9C736">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c>
          <w:tcPr>
            <w:tcW w:w="853" w:type="pct"/>
            <w:tcBorders>
              <w:tl2br w:val="nil"/>
              <w:tr2bl w:val="nil"/>
            </w:tcBorders>
            <w:noWrap w:val="0"/>
            <w:vAlign w:val="center"/>
          </w:tcPr>
          <w:p w14:paraId="22F10C12">
            <w:pPr>
              <w:pStyle w:val="498"/>
              <w:pageBreakBefore w:val="0"/>
              <w:wordWrap/>
              <w:bidi w:val="0"/>
              <w:adjustRightInd/>
              <w:snapToGrid/>
              <w:ind w:firstLine="0" w:firstLineChars="0"/>
              <w:jc w:val="center"/>
              <w:rPr>
                <w:color w:val="auto"/>
                <w:sz w:val="21"/>
                <w:szCs w:val="21"/>
              </w:rPr>
            </w:pPr>
            <w:r>
              <w:rPr>
                <w:rFonts w:hint="eastAsia"/>
                <w:color w:val="auto"/>
                <w:sz w:val="21"/>
                <w:szCs w:val="21"/>
              </w:rPr>
              <w:t>有相应处理能力的单位清运处置</w:t>
            </w:r>
          </w:p>
        </w:tc>
      </w:tr>
      <w:tr w14:paraId="52126C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3" w:type="pct"/>
            <w:tcBorders>
              <w:tl2br w:val="nil"/>
              <w:tr2bl w:val="nil"/>
            </w:tcBorders>
            <w:noWrap w:val="0"/>
            <w:vAlign w:val="center"/>
          </w:tcPr>
          <w:p w14:paraId="7794100F">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3</w:t>
            </w:r>
          </w:p>
        </w:tc>
        <w:tc>
          <w:tcPr>
            <w:tcW w:w="505" w:type="pct"/>
            <w:tcBorders>
              <w:tl2br w:val="nil"/>
              <w:tr2bl w:val="nil"/>
            </w:tcBorders>
            <w:noWrap w:val="0"/>
            <w:vAlign w:val="center"/>
          </w:tcPr>
          <w:p w14:paraId="47C5AAEB">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废包装材料</w:t>
            </w:r>
          </w:p>
        </w:tc>
        <w:tc>
          <w:tcPr>
            <w:tcW w:w="526" w:type="pct"/>
            <w:tcBorders>
              <w:tl2br w:val="nil"/>
              <w:tr2bl w:val="nil"/>
            </w:tcBorders>
            <w:noWrap w:val="0"/>
            <w:vAlign w:val="center"/>
          </w:tcPr>
          <w:p w14:paraId="7B9DB982">
            <w:pPr>
              <w:pStyle w:val="498"/>
              <w:pageBreakBefore w:val="0"/>
              <w:wordWrap/>
              <w:bidi w:val="0"/>
              <w:adjustRightInd/>
              <w:snapToGrid/>
              <w:ind w:firstLine="0" w:firstLineChars="0"/>
              <w:jc w:val="center"/>
              <w:rPr>
                <w:color w:val="auto"/>
                <w:sz w:val="21"/>
                <w:szCs w:val="21"/>
              </w:rPr>
            </w:pPr>
            <w:r>
              <w:rPr>
                <w:color w:val="auto"/>
                <w:sz w:val="21"/>
                <w:szCs w:val="21"/>
              </w:rPr>
              <w:t>一般工业固废</w:t>
            </w:r>
          </w:p>
        </w:tc>
        <w:tc>
          <w:tcPr>
            <w:tcW w:w="453" w:type="pct"/>
            <w:tcBorders>
              <w:tl2br w:val="nil"/>
              <w:tr2bl w:val="nil"/>
            </w:tcBorders>
            <w:noWrap w:val="0"/>
            <w:vAlign w:val="center"/>
          </w:tcPr>
          <w:p w14:paraId="25809BDD">
            <w:pPr>
              <w:pStyle w:val="498"/>
              <w:pageBreakBefore w:val="0"/>
              <w:wordWrap/>
              <w:bidi w:val="0"/>
              <w:adjustRightInd/>
              <w:snapToGrid/>
              <w:ind w:firstLine="0" w:firstLineChars="0"/>
              <w:jc w:val="center"/>
              <w:rPr>
                <w:color w:val="auto"/>
                <w:sz w:val="21"/>
                <w:szCs w:val="21"/>
              </w:rPr>
            </w:pPr>
            <w:r>
              <w:rPr>
                <w:color w:val="auto"/>
                <w:sz w:val="21"/>
                <w:szCs w:val="21"/>
              </w:rPr>
              <w:t>/</w:t>
            </w:r>
          </w:p>
        </w:tc>
        <w:tc>
          <w:tcPr>
            <w:tcW w:w="544" w:type="pct"/>
            <w:tcBorders>
              <w:tl2br w:val="nil"/>
              <w:tr2bl w:val="nil"/>
            </w:tcBorders>
            <w:noWrap w:val="0"/>
            <w:vAlign w:val="center"/>
          </w:tcPr>
          <w:p w14:paraId="75573D76">
            <w:pPr>
              <w:pStyle w:val="498"/>
              <w:pageBreakBefore w:val="0"/>
              <w:wordWrap/>
              <w:bidi w:val="0"/>
              <w:adjustRightInd/>
              <w:snapToGrid/>
              <w:ind w:firstLine="0" w:firstLineChars="0"/>
              <w:jc w:val="center"/>
              <w:rPr>
                <w:color w:val="auto"/>
                <w:sz w:val="21"/>
                <w:szCs w:val="21"/>
              </w:rPr>
            </w:pPr>
            <w:r>
              <w:rPr>
                <w:color w:val="auto"/>
                <w:sz w:val="21"/>
                <w:szCs w:val="21"/>
              </w:rPr>
              <w:t>/</w:t>
            </w:r>
          </w:p>
        </w:tc>
        <w:tc>
          <w:tcPr>
            <w:tcW w:w="307" w:type="pct"/>
            <w:tcBorders>
              <w:tl2br w:val="nil"/>
              <w:tr2bl w:val="nil"/>
            </w:tcBorders>
            <w:noWrap w:val="0"/>
            <w:vAlign w:val="center"/>
          </w:tcPr>
          <w:p w14:paraId="1DD3DE65">
            <w:pPr>
              <w:pStyle w:val="498"/>
              <w:pageBreakBefore w:val="0"/>
              <w:wordWrap/>
              <w:bidi w:val="0"/>
              <w:adjustRightInd/>
              <w:snapToGrid/>
              <w:ind w:firstLine="0" w:firstLineChars="0"/>
              <w:jc w:val="center"/>
              <w:rPr>
                <w:color w:val="auto"/>
                <w:sz w:val="21"/>
                <w:szCs w:val="21"/>
              </w:rPr>
            </w:pPr>
            <w:r>
              <w:rPr>
                <w:color w:val="auto"/>
                <w:sz w:val="21"/>
                <w:szCs w:val="21"/>
              </w:rPr>
              <w:t>固态</w:t>
            </w:r>
          </w:p>
        </w:tc>
        <w:tc>
          <w:tcPr>
            <w:tcW w:w="425" w:type="pct"/>
            <w:tcBorders>
              <w:tl2br w:val="nil"/>
              <w:tr2bl w:val="nil"/>
            </w:tcBorders>
            <w:noWrap w:val="0"/>
            <w:vAlign w:val="center"/>
          </w:tcPr>
          <w:p w14:paraId="2A158F37">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0.5</w:t>
            </w:r>
          </w:p>
        </w:tc>
        <w:tc>
          <w:tcPr>
            <w:tcW w:w="576" w:type="pct"/>
            <w:tcBorders>
              <w:tl2br w:val="nil"/>
              <w:tr2bl w:val="nil"/>
            </w:tcBorders>
            <w:noWrap w:val="0"/>
            <w:vAlign w:val="center"/>
          </w:tcPr>
          <w:p w14:paraId="2DE7AB7C">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加药间等</w:t>
            </w:r>
          </w:p>
        </w:tc>
        <w:tc>
          <w:tcPr>
            <w:tcW w:w="349" w:type="pct"/>
            <w:tcBorders>
              <w:tl2br w:val="nil"/>
              <w:tr2bl w:val="nil"/>
            </w:tcBorders>
            <w:noWrap w:val="0"/>
            <w:vAlign w:val="center"/>
          </w:tcPr>
          <w:p w14:paraId="2D5E3122">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间歇</w:t>
            </w:r>
          </w:p>
        </w:tc>
        <w:tc>
          <w:tcPr>
            <w:tcW w:w="273" w:type="pct"/>
            <w:tcBorders>
              <w:tl2br w:val="nil"/>
              <w:tr2bl w:val="nil"/>
            </w:tcBorders>
            <w:noWrap w:val="0"/>
            <w:vAlign w:val="center"/>
          </w:tcPr>
          <w:p w14:paraId="753FAE39">
            <w:pPr>
              <w:pStyle w:val="498"/>
              <w:pageBreakBefore w:val="0"/>
              <w:wordWrap/>
              <w:bidi w:val="0"/>
              <w:adjustRightInd/>
              <w:snapToGrid/>
              <w:ind w:firstLine="0" w:firstLineChars="0"/>
              <w:jc w:val="center"/>
              <w:rPr>
                <w:color w:val="auto"/>
                <w:sz w:val="21"/>
                <w:szCs w:val="21"/>
              </w:rPr>
            </w:pPr>
            <w:r>
              <w:rPr>
                <w:color w:val="auto"/>
                <w:sz w:val="21"/>
                <w:szCs w:val="21"/>
              </w:rPr>
              <w:t>/</w:t>
            </w:r>
          </w:p>
        </w:tc>
        <w:tc>
          <w:tcPr>
            <w:tcW w:w="853" w:type="pct"/>
            <w:tcBorders>
              <w:tl2br w:val="nil"/>
              <w:tr2bl w:val="nil"/>
            </w:tcBorders>
            <w:noWrap w:val="0"/>
            <w:vAlign w:val="center"/>
          </w:tcPr>
          <w:p w14:paraId="7056CC1E">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外售废品回收站</w:t>
            </w:r>
          </w:p>
        </w:tc>
      </w:tr>
      <w:tr w14:paraId="198509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3" w:type="pct"/>
            <w:tcBorders>
              <w:tl2br w:val="nil"/>
              <w:tr2bl w:val="nil"/>
            </w:tcBorders>
            <w:noWrap w:val="0"/>
            <w:vAlign w:val="center"/>
          </w:tcPr>
          <w:p w14:paraId="296805CB">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4</w:t>
            </w:r>
          </w:p>
        </w:tc>
        <w:tc>
          <w:tcPr>
            <w:tcW w:w="505" w:type="pct"/>
            <w:tcBorders>
              <w:tl2br w:val="nil"/>
              <w:tr2bl w:val="nil"/>
            </w:tcBorders>
            <w:noWrap w:val="0"/>
            <w:vAlign w:val="center"/>
          </w:tcPr>
          <w:p w14:paraId="6876CBE2">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栅渣</w:t>
            </w:r>
          </w:p>
        </w:tc>
        <w:tc>
          <w:tcPr>
            <w:tcW w:w="526" w:type="pct"/>
            <w:tcBorders>
              <w:tl2br w:val="nil"/>
              <w:tr2bl w:val="nil"/>
            </w:tcBorders>
            <w:noWrap w:val="0"/>
            <w:vAlign w:val="center"/>
          </w:tcPr>
          <w:p w14:paraId="7ACA9899">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一般工业固废</w:t>
            </w:r>
          </w:p>
        </w:tc>
        <w:tc>
          <w:tcPr>
            <w:tcW w:w="453" w:type="pct"/>
            <w:tcBorders>
              <w:tl2br w:val="nil"/>
              <w:tr2bl w:val="nil"/>
            </w:tcBorders>
            <w:noWrap w:val="0"/>
            <w:vAlign w:val="center"/>
          </w:tcPr>
          <w:p w14:paraId="0B767DFD">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544" w:type="pct"/>
            <w:tcBorders>
              <w:tl2br w:val="nil"/>
              <w:tr2bl w:val="nil"/>
            </w:tcBorders>
            <w:noWrap w:val="0"/>
            <w:vAlign w:val="center"/>
          </w:tcPr>
          <w:p w14:paraId="6430E056">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307" w:type="pct"/>
            <w:tcBorders>
              <w:tl2br w:val="nil"/>
              <w:tr2bl w:val="nil"/>
            </w:tcBorders>
            <w:noWrap w:val="0"/>
            <w:vAlign w:val="center"/>
          </w:tcPr>
          <w:p w14:paraId="023F3468">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固态</w:t>
            </w:r>
          </w:p>
        </w:tc>
        <w:tc>
          <w:tcPr>
            <w:tcW w:w="425" w:type="pct"/>
            <w:tcBorders>
              <w:tl2br w:val="nil"/>
              <w:tr2bl w:val="nil"/>
            </w:tcBorders>
            <w:noWrap w:val="0"/>
            <w:vAlign w:val="center"/>
          </w:tcPr>
          <w:p w14:paraId="7793E2C4">
            <w:pPr>
              <w:pStyle w:val="498"/>
              <w:pageBreakBefore w:val="0"/>
              <w:wordWrap/>
              <w:bidi w:val="0"/>
              <w:adjustRightInd/>
              <w:snapToGrid/>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31.536</w:t>
            </w:r>
          </w:p>
        </w:tc>
        <w:tc>
          <w:tcPr>
            <w:tcW w:w="576" w:type="pct"/>
            <w:tcBorders>
              <w:tl2br w:val="nil"/>
              <w:tr2bl w:val="nil"/>
            </w:tcBorders>
            <w:noWrap w:val="0"/>
            <w:vAlign w:val="center"/>
          </w:tcPr>
          <w:p w14:paraId="78DBF49E">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格栅</w:t>
            </w:r>
          </w:p>
        </w:tc>
        <w:tc>
          <w:tcPr>
            <w:tcW w:w="349" w:type="pct"/>
            <w:tcBorders>
              <w:tl2br w:val="nil"/>
              <w:tr2bl w:val="nil"/>
            </w:tcBorders>
            <w:noWrap w:val="0"/>
            <w:vAlign w:val="center"/>
          </w:tcPr>
          <w:p w14:paraId="33D0EC21">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间歇</w:t>
            </w:r>
          </w:p>
        </w:tc>
        <w:tc>
          <w:tcPr>
            <w:tcW w:w="273" w:type="pct"/>
            <w:tcBorders>
              <w:tl2br w:val="nil"/>
              <w:tr2bl w:val="nil"/>
            </w:tcBorders>
            <w:noWrap w:val="0"/>
            <w:vAlign w:val="center"/>
          </w:tcPr>
          <w:p w14:paraId="0283CDB7">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853" w:type="pct"/>
            <w:tcBorders>
              <w:tl2br w:val="nil"/>
              <w:tr2bl w:val="nil"/>
            </w:tcBorders>
            <w:noWrap w:val="0"/>
            <w:vAlign w:val="center"/>
          </w:tcPr>
          <w:p w14:paraId="059A24B5">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环卫部门清运</w:t>
            </w:r>
          </w:p>
        </w:tc>
      </w:tr>
      <w:tr w14:paraId="373AD2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3" w:type="pct"/>
            <w:tcBorders>
              <w:tl2br w:val="nil"/>
              <w:tr2bl w:val="nil"/>
            </w:tcBorders>
            <w:noWrap w:val="0"/>
            <w:vAlign w:val="center"/>
          </w:tcPr>
          <w:p w14:paraId="31448965">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5</w:t>
            </w:r>
          </w:p>
        </w:tc>
        <w:tc>
          <w:tcPr>
            <w:tcW w:w="505" w:type="pct"/>
            <w:tcBorders>
              <w:tl2br w:val="nil"/>
              <w:tr2bl w:val="nil"/>
            </w:tcBorders>
            <w:noWrap w:val="0"/>
            <w:vAlign w:val="center"/>
          </w:tcPr>
          <w:p w14:paraId="044F65EE">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污泥</w:t>
            </w:r>
          </w:p>
        </w:tc>
        <w:tc>
          <w:tcPr>
            <w:tcW w:w="526" w:type="pct"/>
            <w:tcBorders>
              <w:tl2br w:val="nil"/>
              <w:tr2bl w:val="nil"/>
            </w:tcBorders>
            <w:noWrap w:val="0"/>
            <w:vAlign w:val="center"/>
          </w:tcPr>
          <w:p w14:paraId="49A9967E">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根据鉴定结果判别</w:t>
            </w:r>
          </w:p>
        </w:tc>
        <w:tc>
          <w:tcPr>
            <w:tcW w:w="453" w:type="pct"/>
            <w:tcBorders>
              <w:tl2br w:val="nil"/>
              <w:tr2bl w:val="nil"/>
            </w:tcBorders>
            <w:noWrap w:val="0"/>
            <w:vAlign w:val="center"/>
          </w:tcPr>
          <w:p w14:paraId="563B4611">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544" w:type="pct"/>
            <w:tcBorders>
              <w:tl2br w:val="nil"/>
              <w:tr2bl w:val="nil"/>
            </w:tcBorders>
            <w:noWrap w:val="0"/>
            <w:vAlign w:val="center"/>
          </w:tcPr>
          <w:p w14:paraId="3FBBA95D">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307" w:type="pct"/>
            <w:tcBorders>
              <w:tl2br w:val="nil"/>
              <w:tr2bl w:val="nil"/>
            </w:tcBorders>
            <w:noWrap w:val="0"/>
            <w:vAlign w:val="center"/>
          </w:tcPr>
          <w:p w14:paraId="18100268">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固态</w:t>
            </w:r>
          </w:p>
        </w:tc>
        <w:tc>
          <w:tcPr>
            <w:tcW w:w="425" w:type="pct"/>
            <w:tcBorders>
              <w:tl2br w:val="nil"/>
              <w:tr2bl w:val="nil"/>
            </w:tcBorders>
            <w:noWrap w:val="0"/>
            <w:vAlign w:val="center"/>
          </w:tcPr>
          <w:p w14:paraId="310139B0">
            <w:pPr>
              <w:pStyle w:val="498"/>
              <w:pageBreakBefore w:val="0"/>
              <w:wordWrap/>
              <w:bidi w:val="0"/>
              <w:adjustRightInd/>
              <w:snapToGrid/>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152.7</w:t>
            </w:r>
          </w:p>
        </w:tc>
        <w:tc>
          <w:tcPr>
            <w:tcW w:w="576" w:type="pct"/>
            <w:tcBorders>
              <w:tl2br w:val="nil"/>
              <w:tr2bl w:val="nil"/>
            </w:tcBorders>
            <w:noWrap w:val="0"/>
            <w:vAlign w:val="center"/>
          </w:tcPr>
          <w:p w14:paraId="107C855D">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水解酸化池、</w:t>
            </w:r>
            <w:r>
              <w:rPr>
                <w:rFonts w:hint="eastAsia"/>
                <w:color w:val="auto"/>
                <w:sz w:val="21"/>
                <w:szCs w:val="21"/>
                <w:lang w:val="en-US" w:eastAsia="zh-CN"/>
              </w:rPr>
              <w:t>生化池、</w:t>
            </w:r>
            <w:r>
              <w:rPr>
                <w:color w:val="auto"/>
                <w:sz w:val="21"/>
                <w:szCs w:val="21"/>
              </w:rPr>
              <w:t>二沉池、</w:t>
            </w:r>
            <w:r>
              <w:rPr>
                <w:rFonts w:hint="eastAsia"/>
                <w:color w:val="auto"/>
                <w:sz w:val="21"/>
                <w:szCs w:val="21"/>
                <w:lang w:val="en-US" w:eastAsia="zh-CN"/>
              </w:rPr>
              <w:t>磁混凝</w:t>
            </w:r>
            <w:r>
              <w:rPr>
                <w:color w:val="auto"/>
                <w:sz w:val="21"/>
                <w:szCs w:val="21"/>
              </w:rPr>
              <w:t>沉淀池</w:t>
            </w:r>
          </w:p>
        </w:tc>
        <w:tc>
          <w:tcPr>
            <w:tcW w:w="349" w:type="pct"/>
            <w:tcBorders>
              <w:tl2br w:val="nil"/>
              <w:tr2bl w:val="nil"/>
            </w:tcBorders>
            <w:noWrap w:val="0"/>
            <w:vAlign w:val="center"/>
          </w:tcPr>
          <w:p w14:paraId="7191EB8C">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间歇</w:t>
            </w:r>
          </w:p>
        </w:tc>
        <w:tc>
          <w:tcPr>
            <w:tcW w:w="273" w:type="pct"/>
            <w:tcBorders>
              <w:tl2br w:val="nil"/>
              <w:tr2bl w:val="nil"/>
            </w:tcBorders>
            <w:noWrap w:val="0"/>
            <w:vAlign w:val="center"/>
          </w:tcPr>
          <w:p w14:paraId="6E7B24E7">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853" w:type="pct"/>
            <w:tcBorders>
              <w:tl2br w:val="nil"/>
              <w:tr2bl w:val="nil"/>
            </w:tcBorders>
            <w:noWrap w:val="0"/>
            <w:vAlign w:val="center"/>
          </w:tcPr>
          <w:p w14:paraId="1E8A57F2">
            <w:pPr>
              <w:pageBreakBefore w:val="0"/>
              <w:widowControl/>
              <w:wordWrap/>
              <w:bidi w:val="0"/>
              <w:adjustRightInd/>
              <w:snapToGrid/>
              <w:spacing w:line="240" w:lineRule="auto"/>
              <w:ind w:firstLine="0" w:firstLineChars="0"/>
              <w:jc w:val="left"/>
              <w:rPr>
                <w:color w:val="auto"/>
                <w:sz w:val="21"/>
                <w:szCs w:val="21"/>
              </w:rPr>
            </w:pPr>
            <w:r>
              <w:rPr>
                <w:color w:val="auto"/>
                <w:kern w:val="0"/>
                <w:sz w:val="21"/>
                <w:szCs w:val="21"/>
                <w:lang w:bidi="ar"/>
              </w:rPr>
              <w:t xml:space="preserve">根据鉴定结果，确定最终处置方式。 </w:t>
            </w:r>
          </w:p>
          <w:p w14:paraId="389346F6">
            <w:pPr>
              <w:pageBreakBefore w:val="0"/>
              <w:widowControl/>
              <w:wordWrap/>
              <w:bidi w:val="0"/>
              <w:adjustRightInd/>
              <w:snapToGrid/>
              <w:spacing w:line="240" w:lineRule="auto"/>
              <w:ind w:firstLine="0" w:firstLineChars="0"/>
              <w:jc w:val="left"/>
              <w:rPr>
                <w:rFonts w:ascii="Times New Roman" w:hAnsi="Times New Roman" w:eastAsia="宋体" w:cs="Times New Roman"/>
                <w:color w:val="auto"/>
                <w:kern w:val="2"/>
                <w:sz w:val="21"/>
                <w:szCs w:val="21"/>
                <w:lang w:val="en-US" w:eastAsia="zh-CN" w:bidi="ar-SA"/>
              </w:rPr>
            </w:pPr>
            <w:r>
              <w:rPr>
                <w:color w:val="auto"/>
                <w:kern w:val="0"/>
                <w:sz w:val="21"/>
                <w:szCs w:val="21"/>
                <w:lang w:bidi="ar"/>
              </w:rPr>
              <w:t>若属危废→危废处置单位；若不属危废→</w:t>
            </w:r>
            <w:r>
              <w:rPr>
                <w:rFonts w:hint="eastAsia"/>
                <w:color w:val="auto"/>
                <w:kern w:val="0"/>
                <w:sz w:val="21"/>
                <w:szCs w:val="21"/>
                <w:lang w:bidi="ar"/>
              </w:rPr>
              <w:t>外运至填埋场处置或</w:t>
            </w:r>
            <w:r>
              <w:rPr>
                <w:rFonts w:hint="eastAsia"/>
                <w:color w:val="auto"/>
                <w:kern w:val="0"/>
                <w:sz w:val="21"/>
                <w:szCs w:val="21"/>
                <w:lang w:eastAsia="zh-CN" w:bidi="ar"/>
              </w:rPr>
              <w:t>制砖厂烧砖</w:t>
            </w:r>
          </w:p>
        </w:tc>
      </w:tr>
      <w:tr w14:paraId="36619B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3" w:type="pct"/>
            <w:tcBorders>
              <w:tl2br w:val="nil"/>
              <w:tr2bl w:val="nil"/>
            </w:tcBorders>
            <w:noWrap w:val="0"/>
            <w:vAlign w:val="center"/>
          </w:tcPr>
          <w:p w14:paraId="4BC35734">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6</w:t>
            </w:r>
          </w:p>
        </w:tc>
        <w:tc>
          <w:tcPr>
            <w:tcW w:w="505" w:type="pct"/>
            <w:tcBorders>
              <w:tl2br w:val="nil"/>
              <w:tr2bl w:val="nil"/>
            </w:tcBorders>
            <w:noWrap w:val="0"/>
            <w:vAlign w:val="center"/>
          </w:tcPr>
          <w:p w14:paraId="15C123F7">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生物除臭系统废弃填料</w:t>
            </w:r>
          </w:p>
        </w:tc>
        <w:tc>
          <w:tcPr>
            <w:tcW w:w="526" w:type="pct"/>
            <w:tcBorders>
              <w:tl2br w:val="nil"/>
              <w:tr2bl w:val="nil"/>
            </w:tcBorders>
            <w:noWrap w:val="0"/>
            <w:vAlign w:val="center"/>
          </w:tcPr>
          <w:p w14:paraId="7B268A79">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一般工业固废</w:t>
            </w:r>
          </w:p>
        </w:tc>
        <w:tc>
          <w:tcPr>
            <w:tcW w:w="453" w:type="pct"/>
            <w:tcBorders>
              <w:tl2br w:val="nil"/>
              <w:tr2bl w:val="nil"/>
            </w:tcBorders>
            <w:noWrap w:val="0"/>
            <w:vAlign w:val="center"/>
          </w:tcPr>
          <w:p w14:paraId="22806C40">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544" w:type="pct"/>
            <w:tcBorders>
              <w:tl2br w:val="nil"/>
              <w:tr2bl w:val="nil"/>
            </w:tcBorders>
            <w:noWrap w:val="0"/>
            <w:vAlign w:val="center"/>
          </w:tcPr>
          <w:p w14:paraId="6F97E03E">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307" w:type="pct"/>
            <w:tcBorders>
              <w:tl2br w:val="nil"/>
              <w:tr2bl w:val="nil"/>
            </w:tcBorders>
            <w:noWrap w:val="0"/>
            <w:vAlign w:val="center"/>
          </w:tcPr>
          <w:p w14:paraId="42D7A530">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固态</w:t>
            </w:r>
          </w:p>
        </w:tc>
        <w:tc>
          <w:tcPr>
            <w:tcW w:w="425" w:type="pct"/>
            <w:tcBorders>
              <w:tl2br w:val="nil"/>
              <w:tr2bl w:val="nil"/>
            </w:tcBorders>
            <w:noWrap w:val="0"/>
            <w:vAlign w:val="center"/>
          </w:tcPr>
          <w:p w14:paraId="01AC221E">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4.6</w:t>
            </w:r>
          </w:p>
        </w:tc>
        <w:tc>
          <w:tcPr>
            <w:tcW w:w="576" w:type="pct"/>
            <w:tcBorders>
              <w:tl2br w:val="nil"/>
              <w:tr2bl w:val="nil"/>
            </w:tcBorders>
            <w:noWrap w:val="0"/>
            <w:vAlign w:val="center"/>
          </w:tcPr>
          <w:p w14:paraId="0EBF3B3E">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生物除臭系统</w:t>
            </w:r>
          </w:p>
        </w:tc>
        <w:tc>
          <w:tcPr>
            <w:tcW w:w="349" w:type="pct"/>
            <w:tcBorders>
              <w:tl2br w:val="nil"/>
              <w:tr2bl w:val="nil"/>
            </w:tcBorders>
            <w:noWrap w:val="0"/>
            <w:vAlign w:val="center"/>
          </w:tcPr>
          <w:p w14:paraId="02DCCFC0">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间歇</w:t>
            </w:r>
          </w:p>
        </w:tc>
        <w:tc>
          <w:tcPr>
            <w:tcW w:w="273" w:type="pct"/>
            <w:tcBorders>
              <w:tl2br w:val="nil"/>
              <w:tr2bl w:val="nil"/>
            </w:tcBorders>
            <w:noWrap w:val="0"/>
            <w:vAlign w:val="center"/>
          </w:tcPr>
          <w:p w14:paraId="61C60080">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853" w:type="pct"/>
            <w:tcBorders>
              <w:tl2br w:val="nil"/>
              <w:tr2bl w:val="nil"/>
            </w:tcBorders>
            <w:noWrap w:val="0"/>
            <w:vAlign w:val="center"/>
          </w:tcPr>
          <w:p w14:paraId="5267A3E3">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厂家回收</w:t>
            </w:r>
          </w:p>
        </w:tc>
      </w:tr>
      <w:tr w14:paraId="24F2C0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3" w:type="pct"/>
            <w:tcBorders>
              <w:tl2br w:val="nil"/>
              <w:tr2bl w:val="nil"/>
            </w:tcBorders>
            <w:noWrap w:val="0"/>
            <w:vAlign w:val="center"/>
          </w:tcPr>
          <w:p w14:paraId="7DF5E304">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7</w:t>
            </w:r>
          </w:p>
        </w:tc>
        <w:tc>
          <w:tcPr>
            <w:tcW w:w="505" w:type="pct"/>
            <w:tcBorders>
              <w:tl2br w:val="nil"/>
              <w:tr2bl w:val="nil"/>
            </w:tcBorders>
            <w:noWrap w:val="0"/>
            <w:vAlign w:val="center"/>
          </w:tcPr>
          <w:p w14:paraId="25637EEF">
            <w:pPr>
              <w:pStyle w:val="498"/>
              <w:pageBreakBefore w:val="0"/>
              <w:wordWrap/>
              <w:bidi w:val="0"/>
              <w:adjustRightInd/>
              <w:snapToGrid/>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废机油</w:t>
            </w:r>
          </w:p>
        </w:tc>
        <w:tc>
          <w:tcPr>
            <w:tcW w:w="526" w:type="pct"/>
            <w:tcBorders>
              <w:tl2br w:val="nil"/>
              <w:tr2bl w:val="nil"/>
            </w:tcBorders>
            <w:noWrap w:val="0"/>
            <w:vAlign w:val="center"/>
          </w:tcPr>
          <w:p w14:paraId="2A6565F2">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HW08</w:t>
            </w:r>
          </w:p>
        </w:tc>
        <w:tc>
          <w:tcPr>
            <w:tcW w:w="453" w:type="pct"/>
            <w:tcBorders>
              <w:tl2br w:val="nil"/>
              <w:tr2bl w:val="nil"/>
            </w:tcBorders>
            <w:noWrap w:val="0"/>
            <w:vAlign w:val="center"/>
          </w:tcPr>
          <w:p w14:paraId="0B45981B">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900-2</w:t>
            </w:r>
            <w:r>
              <w:rPr>
                <w:rFonts w:hint="eastAsia"/>
                <w:color w:val="auto"/>
                <w:sz w:val="21"/>
                <w:szCs w:val="21"/>
                <w:lang w:val="en-US" w:eastAsia="zh-CN"/>
              </w:rPr>
              <w:t>14</w:t>
            </w:r>
            <w:r>
              <w:rPr>
                <w:color w:val="auto"/>
                <w:sz w:val="21"/>
                <w:szCs w:val="21"/>
              </w:rPr>
              <w:t>-08</w:t>
            </w:r>
          </w:p>
        </w:tc>
        <w:tc>
          <w:tcPr>
            <w:tcW w:w="544" w:type="pct"/>
            <w:tcBorders>
              <w:tl2br w:val="nil"/>
              <w:tr2bl w:val="nil"/>
            </w:tcBorders>
            <w:noWrap w:val="0"/>
            <w:vAlign w:val="center"/>
          </w:tcPr>
          <w:p w14:paraId="2388C3AF">
            <w:pPr>
              <w:pStyle w:val="498"/>
              <w:pageBreakBefore w:val="0"/>
              <w:wordWrap/>
              <w:bidi w:val="0"/>
              <w:adjustRightInd/>
              <w:snapToGrid/>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矿物油</w:t>
            </w:r>
          </w:p>
        </w:tc>
        <w:tc>
          <w:tcPr>
            <w:tcW w:w="307" w:type="pct"/>
            <w:tcBorders>
              <w:tl2br w:val="nil"/>
              <w:tr2bl w:val="nil"/>
            </w:tcBorders>
            <w:noWrap w:val="0"/>
            <w:vAlign w:val="center"/>
          </w:tcPr>
          <w:p w14:paraId="2B804019">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液态</w:t>
            </w:r>
          </w:p>
        </w:tc>
        <w:tc>
          <w:tcPr>
            <w:tcW w:w="425" w:type="pct"/>
            <w:tcBorders>
              <w:tl2br w:val="nil"/>
              <w:tr2bl w:val="nil"/>
            </w:tcBorders>
            <w:noWrap w:val="0"/>
            <w:vAlign w:val="center"/>
          </w:tcPr>
          <w:p w14:paraId="71C34A14">
            <w:pPr>
              <w:pStyle w:val="498"/>
              <w:pageBreakBefore w:val="0"/>
              <w:wordWrap/>
              <w:bidi w:val="0"/>
              <w:adjustRightInd/>
              <w:snapToGrid/>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0.01</w:t>
            </w:r>
          </w:p>
        </w:tc>
        <w:tc>
          <w:tcPr>
            <w:tcW w:w="576" w:type="pct"/>
            <w:tcBorders>
              <w:tl2br w:val="nil"/>
              <w:tr2bl w:val="nil"/>
            </w:tcBorders>
            <w:noWrap w:val="0"/>
            <w:vAlign w:val="center"/>
          </w:tcPr>
          <w:p w14:paraId="6FBE6F6A">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设备维护</w:t>
            </w:r>
          </w:p>
        </w:tc>
        <w:tc>
          <w:tcPr>
            <w:tcW w:w="349" w:type="pct"/>
            <w:tcBorders>
              <w:tl2br w:val="nil"/>
              <w:tr2bl w:val="nil"/>
            </w:tcBorders>
            <w:noWrap w:val="0"/>
            <w:vAlign w:val="center"/>
          </w:tcPr>
          <w:p w14:paraId="1880CD3B">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间歇</w:t>
            </w:r>
          </w:p>
        </w:tc>
        <w:tc>
          <w:tcPr>
            <w:tcW w:w="273" w:type="pct"/>
            <w:tcBorders>
              <w:tl2br w:val="nil"/>
              <w:tr2bl w:val="nil"/>
            </w:tcBorders>
            <w:noWrap w:val="0"/>
            <w:vAlign w:val="center"/>
          </w:tcPr>
          <w:p w14:paraId="30443813">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T/I</w:t>
            </w:r>
          </w:p>
        </w:tc>
        <w:tc>
          <w:tcPr>
            <w:tcW w:w="853" w:type="pct"/>
            <w:vMerge w:val="restart"/>
            <w:tcBorders>
              <w:tl2br w:val="nil"/>
              <w:tr2bl w:val="nil"/>
            </w:tcBorders>
            <w:noWrap w:val="0"/>
            <w:vAlign w:val="center"/>
          </w:tcPr>
          <w:p w14:paraId="1C703F3D">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分类收集后暂存于危废暂存间，</w:t>
            </w:r>
            <w:r>
              <w:rPr>
                <w:color w:val="auto"/>
                <w:sz w:val="21"/>
                <w:szCs w:val="21"/>
              </w:rPr>
              <w:t>委托有资质单位</w:t>
            </w:r>
            <w:r>
              <w:rPr>
                <w:rFonts w:hint="eastAsia"/>
                <w:color w:val="auto"/>
                <w:sz w:val="21"/>
                <w:szCs w:val="21"/>
                <w:lang w:val="en-US" w:eastAsia="zh-CN"/>
              </w:rPr>
              <w:t>处置</w:t>
            </w:r>
          </w:p>
        </w:tc>
      </w:tr>
      <w:tr w14:paraId="1B7CE0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3" w:type="pct"/>
            <w:tcBorders>
              <w:tl2br w:val="nil"/>
              <w:tr2bl w:val="nil"/>
            </w:tcBorders>
            <w:noWrap w:val="0"/>
            <w:vAlign w:val="center"/>
          </w:tcPr>
          <w:p w14:paraId="608F03BC">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8</w:t>
            </w:r>
          </w:p>
        </w:tc>
        <w:tc>
          <w:tcPr>
            <w:tcW w:w="505" w:type="pct"/>
            <w:tcBorders>
              <w:tl2br w:val="nil"/>
              <w:tr2bl w:val="nil"/>
            </w:tcBorders>
            <w:noWrap w:val="0"/>
            <w:vAlign w:val="center"/>
          </w:tcPr>
          <w:p w14:paraId="6AA860E8">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废机油桶</w:t>
            </w:r>
          </w:p>
        </w:tc>
        <w:tc>
          <w:tcPr>
            <w:tcW w:w="526" w:type="pct"/>
            <w:tcBorders>
              <w:tl2br w:val="nil"/>
              <w:tr2bl w:val="nil"/>
            </w:tcBorders>
            <w:noWrap w:val="0"/>
            <w:vAlign w:val="center"/>
          </w:tcPr>
          <w:p w14:paraId="17D3A749">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HW08</w:t>
            </w:r>
          </w:p>
        </w:tc>
        <w:tc>
          <w:tcPr>
            <w:tcW w:w="453" w:type="pct"/>
            <w:tcBorders>
              <w:tl2br w:val="nil"/>
              <w:tr2bl w:val="nil"/>
            </w:tcBorders>
            <w:noWrap w:val="0"/>
            <w:vAlign w:val="center"/>
          </w:tcPr>
          <w:p w14:paraId="1AA54CB8">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900-249-08</w:t>
            </w:r>
          </w:p>
        </w:tc>
        <w:tc>
          <w:tcPr>
            <w:tcW w:w="544" w:type="pct"/>
            <w:tcBorders>
              <w:tl2br w:val="nil"/>
              <w:tr2bl w:val="nil"/>
            </w:tcBorders>
            <w:noWrap w:val="0"/>
            <w:vAlign w:val="center"/>
          </w:tcPr>
          <w:p w14:paraId="3C452AD9">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c>
          <w:tcPr>
            <w:tcW w:w="307" w:type="pct"/>
            <w:tcBorders>
              <w:tl2br w:val="nil"/>
              <w:tr2bl w:val="nil"/>
            </w:tcBorders>
            <w:noWrap w:val="0"/>
            <w:vAlign w:val="center"/>
          </w:tcPr>
          <w:p w14:paraId="50134E6D">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固态</w:t>
            </w:r>
          </w:p>
        </w:tc>
        <w:tc>
          <w:tcPr>
            <w:tcW w:w="425" w:type="pct"/>
            <w:tcBorders>
              <w:tl2br w:val="nil"/>
              <w:tr2bl w:val="nil"/>
            </w:tcBorders>
            <w:noWrap w:val="0"/>
            <w:vAlign w:val="center"/>
          </w:tcPr>
          <w:p w14:paraId="63C3C670">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0.01</w:t>
            </w:r>
          </w:p>
        </w:tc>
        <w:tc>
          <w:tcPr>
            <w:tcW w:w="576" w:type="pct"/>
            <w:tcBorders>
              <w:tl2br w:val="nil"/>
              <w:tr2bl w:val="nil"/>
            </w:tcBorders>
            <w:noWrap w:val="0"/>
            <w:vAlign w:val="center"/>
          </w:tcPr>
          <w:p w14:paraId="03D31FDE">
            <w:pPr>
              <w:pStyle w:val="498"/>
              <w:pageBreakBefore w:val="0"/>
              <w:wordWrap/>
              <w:bidi w:val="0"/>
              <w:adjustRightInd/>
              <w:snapToGrid/>
              <w:ind w:firstLine="0" w:firstLineChars="0"/>
              <w:jc w:val="center"/>
              <w:rPr>
                <w:color w:val="auto"/>
                <w:sz w:val="21"/>
                <w:szCs w:val="21"/>
              </w:rPr>
            </w:pPr>
            <w:r>
              <w:rPr>
                <w:color w:val="auto"/>
                <w:sz w:val="21"/>
                <w:szCs w:val="21"/>
              </w:rPr>
              <w:t>设备维护</w:t>
            </w:r>
          </w:p>
        </w:tc>
        <w:tc>
          <w:tcPr>
            <w:tcW w:w="349" w:type="pct"/>
            <w:tcBorders>
              <w:tl2br w:val="nil"/>
              <w:tr2bl w:val="nil"/>
            </w:tcBorders>
            <w:noWrap w:val="0"/>
            <w:vAlign w:val="center"/>
          </w:tcPr>
          <w:p w14:paraId="1BD89AF5">
            <w:pPr>
              <w:pStyle w:val="498"/>
              <w:pageBreakBefore w:val="0"/>
              <w:wordWrap/>
              <w:bidi w:val="0"/>
              <w:adjustRightInd/>
              <w:snapToGrid/>
              <w:ind w:firstLine="0" w:firstLineChars="0"/>
              <w:jc w:val="center"/>
              <w:rPr>
                <w:color w:val="auto"/>
                <w:sz w:val="21"/>
                <w:szCs w:val="21"/>
              </w:rPr>
            </w:pPr>
            <w:r>
              <w:rPr>
                <w:color w:val="auto"/>
                <w:sz w:val="21"/>
                <w:szCs w:val="21"/>
              </w:rPr>
              <w:t>间歇</w:t>
            </w:r>
          </w:p>
        </w:tc>
        <w:tc>
          <w:tcPr>
            <w:tcW w:w="273" w:type="pct"/>
            <w:tcBorders>
              <w:tl2br w:val="nil"/>
              <w:tr2bl w:val="nil"/>
            </w:tcBorders>
            <w:noWrap w:val="0"/>
            <w:vAlign w:val="center"/>
          </w:tcPr>
          <w:p w14:paraId="403E6C49">
            <w:pPr>
              <w:pStyle w:val="498"/>
              <w:pageBreakBefore w:val="0"/>
              <w:wordWrap/>
              <w:bidi w:val="0"/>
              <w:adjustRightInd/>
              <w:snapToGrid/>
              <w:ind w:firstLine="0" w:firstLineChars="0"/>
              <w:jc w:val="center"/>
              <w:rPr>
                <w:color w:val="auto"/>
                <w:sz w:val="21"/>
                <w:szCs w:val="21"/>
              </w:rPr>
            </w:pPr>
            <w:r>
              <w:rPr>
                <w:color w:val="auto"/>
                <w:sz w:val="21"/>
                <w:szCs w:val="21"/>
              </w:rPr>
              <w:t>T/I</w:t>
            </w:r>
          </w:p>
        </w:tc>
        <w:tc>
          <w:tcPr>
            <w:tcW w:w="853" w:type="pct"/>
            <w:vMerge w:val="continue"/>
            <w:tcBorders>
              <w:tl2br w:val="nil"/>
              <w:tr2bl w:val="nil"/>
            </w:tcBorders>
            <w:noWrap w:val="0"/>
            <w:vAlign w:val="center"/>
          </w:tcPr>
          <w:p w14:paraId="26258668">
            <w:pPr>
              <w:pStyle w:val="498"/>
              <w:pageBreakBefore w:val="0"/>
              <w:wordWrap/>
              <w:bidi w:val="0"/>
              <w:adjustRightInd/>
              <w:snapToGrid/>
              <w:ind w:firstLine="0" w:firstLineChars="0"/>
              <w:jc w:val="center"/>
              <w:rPr>
                <w:color w:val="auto"/>
                <w:sz w:val="21"/>
                <w:szCs w:val="21"/>
              </w:rPr>
            </w:pPr>
          </w:p>
        </w:tc>
      </w:tr>
      <w:tr w14:paraId="3987AF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3" w:type="pct"/>
            <w:tcBorders>
              <w:tl2br w:val="nil"/>
              <w:tr2bl w:val="nil"/>
            </w:tcBorders>
            <w:noWrap w:val="0"/>
            <w:vAlign w:val="center"/>
          </w:tcPr>
          <w:p w14:paraId="3E1987B2">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9</w:t>
            </w:r>
          </w:p>
        </w:tc>
        <w:tc>
          <w:tcPr>
            <w:tcW w:w="505" w:type="pct"/>
            <w:tcBorders>
              <w:tl2br w:val="nil"/>
              <w:tr2bl w:val="nil"/>
            </w:tcBorders>
            <w:noWrap w:val="0"/>
            <w:vAlign w:val="center"/>
          </w:tcPr>
          <w:p w14:paraId="08C09DC3">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含油棉纱手套</w:t>
            </w:r>
          </w:p>
        </w:tc>
        <w:tc>
          <w:tcPr>
            <w:tcW w:w="526" w:type="pct"/>
            <w:tcBorders>
              <w:tl2br w:val="nil"/>
              <w:tr2bl w:val="nil"/>
            </w:tcBorders>
            <w:noWrap w:val="0"/>
            <w:vAlign w:val="center"/>
          </w:tcPr>
          <w:p w14:paraId="7CEC7184">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HW49</w:t>
            </w:r>
          </w:p>
        </w:tc>
        <w:tc>
          <w:tcPr>
            <w:tcW w:w="453" w:type="pct"/>
            <w:tcBorders>
              <w:tl2br w:val="nil"/>
              <w:tr2bl w:val="nil"/>
            </w:tcBorders>
            <w:noWrap w:val="0"/>
            <w:vAlign w:val="center"/>
          </w:tcPr>
          <w:p w14:paraId="3566E306">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900-041-49</w:t>
            </w:r>
          </w:p>
        </w:tc>
        <w:tc>
          <w:tcPr>
            <w:tcW w:w="544" w:type="pct"/>
            <w:tcBorders>
              <w:tl2br w:val="nil"/>
              <w:tr2bl w:val="nil"/>
            </w:tcBorders>
            <w:noWrap w:val="0"/>
            <w:vAlign w:val="center"/>
          </w:tcPr>
          <w:p w14:paraId="7C962AF8">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c>
          <w:tcPr>
            <w:tcW w:w="307" w:type="pct"/>
            <w:tcBorders>
              <w:tl2br w:val="nil"/>
              <w:tr2bl w:val="nil"/>
            </w:tcBorders>
            <w:noWrap w:val="0"/>
            <w:vAlign w:val="center"/>
          </w:tcPr>
          <w:p w14:paraId="6BD02BFC">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固态</w:t>
            </w:r>
          </w:p>
        </w:tc>
        <w:tc>
          <w:tcPr>
            <w:tcW w:w="425" w:type="pct"/>
            <w:tcBorders>
              <w:tl2br w:val="nil"/>
              <w:tr2bl w:val="nil"/>
            </w:tcBorders>
            <w:noWrap w:val="0"/>
            <w:vAlign w:val="center"/>
          </w:tcPr>
          <w:p w14:paraId="1647AC02">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0.01</w:t>
            </w:r>
          </w:p>
        </w:tc>
        <w:tc>
          <w:tcPr>
            <w:tcW w:w="576" w:type="pct"/>
            <w:tcBorders>
              <w:tl2br w:val="nil"/>
              <w:tr2bl w:val="nil"/>
            </w:tcBorders>
            <w:noWrap w:val="0"/>
            <w:vAlign w:val="center"/>
          </w:tcPr>
          <w:p w14:paraId="7DA15D55">
            <w:pPr>
              <w:pStyle w:val="498"/>
              <w:pageBreakBefore w:val="0"/>
              <w:wordWrap/>
              <w:bidi w:val="0"/>
              <w:adjustRightInd/>
              <w:snapToGrid/>
              <w:ind w:firstLine="0" w:firstLineChars="0"/>
              <w:jc w:val="center"/>
              <w:rPr>
                <w:color w:val="auto"/>
                <w:sz w:val="21"/>
                <w:szCs w:val="21"/>
              </w:rPr>
            </w:pPr>
            <w:r>
              <w:rPr>
                <w:color w:val="auto"/>
                <w:sz w:val="21"/>
                <w:szCs w:val="21"/>
              </w:rPr>
              <w:t>设备维护</w:t>
            </w:r>
          </w:p>
        </w:tc>
        <w:tc>
          <w:tcPr>
            <w:tcW w:w="349" w:type="pct"/>
            <w:tcBorders>
              <w:tl2br w:val="nil"/>
              <w:tr2bl w:val="nil"/>
            </w:tcBorders>
            <w:noWrap w:val="0"/>
            <w:vAlign w:val="center"/>
          </w:tcPr>
          <w:p w14:paraId="79409B98">
            <w:pPr>
              <w:pStyle w:val="498"/>
              <w:pageBreakBefore w:val="0"/>
              <w:wordWrap/>
              <w:bidi w:val="0"/>
              <w:adjustRightInd/>
              <w:snapToGrid/>
              <w:ind w:firstLine="0" w:firstLineChars="0"/>
              <w:jc w:val="center"/>
              <w:rPr>
                <w:color w:val="auto"/>
                <w:sz w:val="21"/>
                <w:szCs w:val="21"/>
              </w:rPr>
            </w:pPr>
            <w:r>
              <w:rPr>
                <w:color w:val="auto"/>
                <w:sz w:val="21"/>
                <w:szCs w:val="21"/>
              </w:rPr>
              <w:t>间歇</w:t>
            </w:r>
          </w:p>
        </w:tc>
        <w:tc>
          <w:tcPr>
            <w:tcW w:w="273" w:type="pct"/>
            <w:tcBorders>
              <w:tl2br w:val="nil"/>
              <w:tr2bl w:val="nil"/>
            </w:tcBorders>
            <w:noWrap w:val="0"/>
            <w:vAlign w:val="center"/>
          </w:tcPr>
          <w:p w14:paraId="34D594CB">
            <w:pPr>
              <w:pStyle w:val="498"/>
              <w:pageBreakBefore w:val="0"/>
              <w:wordWrap/>
              <w:bidi w:val="0"/>
              <w:adjustRightInd/>
              <w:snapToGrid/>
              <w:ind w:firstLine="0" w:firstLineChars="0"/>
              <w:jc w:val="center"/>
              <w:rPr>
                <w:color w:val="auto"/>
                <w:sz w:val="21"/>
                <w:szCs w:val="21"/>
              </w:rPr>
            </w:pPr>
            <w:r>
              <w:rPr>
                <w:rFonts w:hint="eastAsia"/>
                <w:color w:val="auto"/>
                <w:sz w:val="21"/>
                <w:szCs w:val="21"/>
              </w:rPr>
              <w:t>T/In</w:t>
            </w:r>
          </w:p>
        </w:tc>
        <w:tc>
          <w:tcPr>
            <w:tcW w:w="853" w:type="pct"/>
            <w:vMerge w:val="continue"/>
            <w:tcBorders>
              <w:tl2br w:val="nil"/>
              <w:tr2bl w:val="nil"/>
            </w:tcBorders>
            <w:noWrap w:val="0"/>
            <w:vAlign w:val="center"/>
          </w:tcPr>
          <w:p w14:paraId="4D72EB27">
            <w:pPr>
              <w:pStyle w:val="498"/>
              <w:pageBreakBefore w:val="0"/>
              <w:wordWrap/>
              <w:bidi w:val="0"/>
              <w:adjustRightInd/>
              <w:snapToGrid/>
              <w:ind w:firstLine="0" w:firstLineChars="0"/>
              <w:jc w:val="center"/>
              <w:rPr>
                <w:color w:val="auto"/>
                <w:sz w:val="21"/>
                <w:szCs w:val="21"/>
              </w:rPr>
            </w:pPr>
          </w:p>
        </w:tc>
      </w:tr>
      <w:tr w14:paraId="015883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3" w:type="pct"/>
            <w:tcBorders>
              <w:tl2br w:val="nil"/>
              <w:tr2bl w:val="nil"/>
            </w:tcBorders>
            <w:noWrap w:val="0"/>
            <w:vAlign w:val="center"/>
          </w:tcPr>
          <w:p w14:paraId="5076D250">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10</w:t>
            </w:r>
          </w:p>
        </w:tc>
        <w:tc>
          <w:tcPr>
            <w:tcW w:w="505" w:type="pct"/>
            <w:tcBorders>
              <w:tl2br w:val="nil"/>
              <w:tr2bl w:val="nil"/>
            </w:tcBorders>
            <w:noWrap w:val="0"/>
            <w:vAlign w:val="center"/>
          </w:tcPr>
          <w:p w14:paraId="3D194003">
            <w:pPr>
              <w:pStyle w:val="498"/>
              <w:pageBreakBefore w:val="0"/>
              <w:wordWrap/>
              <w:bidi w:val="0"/>
              <w:adjustRightInd/>
              <w:snapToGrid/>
              <w:ind w:firstLine="0" w:firstLineChars="0"/>
              <w:jc w:val="center"/>
              <w:rPr>
                <w:color w:val="auto"/>
                <w:sz w:val="21"/>
                <w:szCs w:val="21"/>
              </w:rPr>
            </w:pPr>
            <w:r>
              <w:rPr>
                <w:color w:val="auto"/>
                <w:sz w:val="21"/>
                <w:szCs w:val="21"/>
              </w:rPr>
              <w:t>化验废液</w:t>
            </w:r>
          </w:p>
        </w:tc>
        <w:tc>
          <w:tcPr>
            <w:tcW w:w="526" w:type="pct"/>
            <w:tcBorders>
              <w:tl2br w:val="nil"/>
              <w:tr2bl w:val="nil"/>
            </w:tcBorders>
            <w:noWrap w:val="0"/>
            <w:vAlign w:val="center"/>
          </w:tcPr>
          <w:p w14:paraId="3F99BFE1">
            <w:pPr>
              <w:pStyle w:val="498"/>
              <w:pageBreakBefore w:val="0"/>
              <w:wordWrap/>
              <w:bidi w:val="0"/>
              <w:adjustRightInd/>
              <w:snapToGrid/>
              <w:ind w:firstLine="0" w:firstLineChars="0"/>
              <w:jc w:val="center"/>
              <w:rPr>
                <w:color w:val="auto"/>
                <w:sz w:val="21"/>
                <w:szCs w:val="21"/>
              </w:rPr>
            </w:pPr>
            <w:r>
              <w:rPr>
                <w:color w:val="auto"/>
                <w:sz w:val="21"/>
                <w:szCs w:val="21"/>
              </w:rPr>
              <w:t>HW49</w:t>
            </w:r>
          </w:p>
        </w:tc>
        <w:tc>
          <w:tcPr>
            <w:tcW w:w="453" w:type="pct"/>
            <w:tcBorders>
              <w:tl2br w:val="nil"/>
              <w:tr2bl w:val="nil"/>
            </w:tcBorders>
            <w:noWrap w:val="0"/>
            <w:vAlign w:val="center"/>
          </w:tcPr>
          <w:p w14:paraId="7B85FABB">
            <w:pPr>
              <w:pStyle w:val="498"/>
              <w:pageBreakBefore w:val="0"/>
              <w:wordWrap/>
              <w:bidi w:val="0"/>
              <w:adjustRightInd/>
              <w:snapToGrid/>
              <w:ind w:firstLine="0" w:firstLineChars="0"/>
              <w:jc w:val="center"/>
              <w:rPr>
                <w:color w:val="auto"/>
                <w:sz w:val="21"/>
                <w:szCs w:val="21"/>
              </w:rPr>
            </w:pPr>
            <w:r>
              <w:rPr>
                <w:color w:val="auto"/>
                <w:sz w:val="21"/>
                <w:szCs w:val="21"/>
              </w:rPr>
              <w:t>900-047-49</w:t>
            </w:r>
          </w:p>
        </w:tc>
        <w:tc>
          <w:tcPr>
            <w:tcW w:w="544" w:type="pct"/>
            <w:tcBorders>
              <w:tl2br w:val="nil"/>
              <w:tr2bl w:val="nil"/>
            </w:tcBorders>
            <w:noWrap w:val="0"/>
            <w:vAlign w:val="center"/>
          </w:tcPr>
          <w:p w14:paraId="022F9D14">
            <w:pPr>
              <w:pStyle w:val="498"/>
              <w:pageBreakBefore w:val="0"/>
              <w:wordWrap/>
              <w:bidi w:val="0"/>
              <w:adjustRightInd/>
              <w:snapToGrid/>
              <w:ind w:firstLine="0" w:firstLineChars="0"/>
              <w:jc w:val="center"/>
              <w:rPr>
                <w:color w:val="auto"/>
                <w:sz w:val="21"/>
                <w:szCs w:val="21"/>
              </w:rPr>
            </w:pPr>
            <w:r>
              <w:rPr>
                <w:color w:val="auto"/>
                <w:sz w:val="21"/>
                <w:szCs w:val="21"/>
              </w:rPr>
              <w:t>/</w:t>
            </w:r>
          </w:p>
        </w:tc>
        <w:tc>
          <w:tcPr>
            <w:tcW w:w="307" w:type="pct"/>
            <w:tcBorders>
              <w:tl2br w:val="nil"/>
              <w:tr2bl w:val="nil"/>
            </w:tcBorders>
            <w:noWrap w:val="0"/>
            <w:vAlign w:val="center"/>
          </w:tcPr>
          <w:p w14:paraId="6E65FBF6">
            <w:pPr>
              <w:pStyle w:val="498"/>
              <w:pageBreakBefore w:val="0"/>
              <w:wordWrap/>
              <w:bidi w:val="0"/>
              <w:adjustRightInd/>
              <w:snapToGrid/>
              <w:ind w:firstLine="0" w:firstLineChars="0"/>
              <w:jc w:val="center"/>
              <w:rPr>
                <w:color w:val="auto"/>
                <w:sz w:val="21"/>
                <w:szCs w:val="21"/>
              </w:rPr>
            </w:pPr>
            <w:r>
              <w:rPr>
                <w:color w:val="auto"/>
                <w:sz w:val="21"/>
                <w:szCs w:val="21"/>
              </w:rPr>
              <w:t>液态</w:t>
            </w:r>
          </w:p>
        </w:tc>
        <w:tc>
          <w:tcPr>
            <w:tcW w:w="425" w:type="pct"/>
            <w:tcBorders>
              <w:tl2br w:val="nil"/>
              <w:tr2bl w:val="nil"/>
            </w:tcBorders>
            <w:noWrap w:val="0"/>
            <w:vAlign w:val="center"/>
          </w:tcPr>
          <w:p w14:paraId="1E91DE68">
            <w:pPr>
              <w:pStyle w:val="498"/>
              <w:pageBreakBefore w:val="0"/>
              <w:wordWrap/>
              <w:bidi w:val="0"/>
              <w:adjustRightInd/>
              <w:snapToGrid/>
              <w:ind w:firstLine="0" w:firstLineChars="0"/>
              <w:jc w:val="center"/>
              <w:rPr>
                <w:rFonts w:hint="eastAsia" w:eastAsia="宋体"/>
                <w:color w:val="auto"/>
                <w:sz w:val="21"/>
                <w:szCs w:val="21"/>
                <w:lang w:val="en-US" w:eastAsia="zh-CN"/>
              </w:rPr>
            </w:pPr>
            <w:r>
              <w:rPr>
                <w:color w:val="auto"/>
                <w:sz w:val="21"/>
                <w:szCs w:val="21"/>
              </w:rPr>
              <w:t>0.</w:t>
            </w:r>
            <w:r>
              <w:rPr>
                <w:rFonts w:hint="eastAsia"/>
                <w:color w:val="auto"/>
                <w:sz w:val="21"/>
                <w:szCs w:val="21"/>
                <w:lang w:val="en-US" w:eastAsia="zh-CN"/>
              </w:rPr>
              <w:t>1</w:t>
            </w:r>
          </w:p>
        </w:tc>
        <w:tc>
          <w:tcPr>
            <w:tcW w:w="576" w:type="pct"/>
            <w:tcBorders>
              <w:tl2br w:val="nil"/>
              <w:tr2bl w:val="nil"/>
            </w:tcBorders>
            <w:noWrap w:val="0"/>
            <w:vAlign w:val="center"/>
          </w:tcPr>
          <w:p w14:paraId="1D4A9514">
            <w:pPr>
              <w:pStyle w:val="498"/>
              <w:pageBreakBefore w:val="0"/>
              <w:wordWrap/>
              <w:bidi w:val="0"/>
              <w:adjustRightInd/>
              <w:snapToGrid/>
              <w:ind w:firstLine="0" w:firstLineChars="0"/>
              <w:jc w:val="center"/>
              <w:rPr>
                <w:rFonts w:hint="eastAsia" w:eastAsia="宋体"/>
                <w:color w:val="auto"/>
                <w:sz w:val="21"/>
                <w:szCs w:val="21"/>
                <w:lang w:eastAsia="zh-CN"/>
              </w:rPr>
            </w:pPr>
            <w:r>
              <w:rPr>
                <w:rFonts w:hint="eastAsia"/>
                <w:color w:val="auto"/>
                <w:sz w:val="21"/>
                <w:szCs w:val="21"/>
                <w:lang w:val="en-US" w:eastAsia="zh-CN"/>
              </w:rPr>
              <w:t>化验室</w:t>
            </w:r>
          </w:p>
        </w:tc>
        <w:tc>
          <w:tcPr>
            <w:tcW w:w="349" w:type="pct"/>
            <w:tcBorders>
              <w:tl2br w:val="nil"/>
              <w:tr2bl w:val="nil"/>
            </w:tcBorders>
            <w:noWrap w:val="0"/>
            <w:vAlign w:val="center"/>
          </w:tcPr>
          <w:p w14:paraId="4B33F0D5">
            <w:pPr>
              <w:pStyle w:val="498"/>
              <w:pageBreakBefore w:val="0"/>
              <w:wordWrap/>
              <w:bidi w:val="0"/>
              <w:adjustRightInd/>
              <w:snapToGrid/>
              <w:ind w:firstLine="0" w:firstLineChars="0"/>
              <w:jc w:val="center"/>
              <w:rPr>
                <w:color w:val="auto"/>
                <w:sz w:val="21"/>
                <w:szCs w:val="21"/>
              </w:rPr>
            </w:pPr>
            <w:r>
              <w:rPr>
                <w:color w:val="auto"/>
                <w:sz w:val="21"/>
                <w:szCs w:val="21"/>
              </w:rPr>
              <w:t>间歇</w:t>
            </w:r>
          </w:p>
        </w:tc>
        <w:tc>
          <w:tcPr>
            <w:tcW w:w="273" w:type="pct"/>
            <w:tcBorders>
              <w:tl2br w:val="nil"/>
              <w:tr2bl w:val="nil"/>
            </w:tcBorders>
            <w:noWrap w:val="0"/>
            <w:vAlign w:val="center"/>
          </w:tcPr>
          <w:p w14:paraId="1798052E">
            <w:pPr>
              <w:pStyle w:val="498"/>
              <w:pageBreakBefore w:val="0"/>
              <w:wordWrap/>
              <w:bidi w:val="0"/>
              <w:adjustRightInd/>
              <w:snapToGrid/>
              <w:ind w:firstLine="0" w:firstLineChars="0"/>
              <w:jc w:val="center"/>
              <w:rPr>
                <w:color w:val="auto"/>
                <w:sz w:val="21"/>
                <w:szCs w:val="21"/>
              </w:rPr>
            </w:pPr>
            <w:r>
              <w:rPr>
                <w:rFonts w:hint="eastAsia"/>
                <w:color w:val="auto"/>
                <w:sz w:val="21"/>
                <w:szCs w:val="21"/>
              </w:rPr>
              <w:t>T/C/I/R</w:t>
            </w:r>
          </w:p>
        </w:tc>
        <w:tc>
          <w:tcPr>
            <w:tcW w:w="853" w:type="pct"/>
            <w:vMerge w:val="continue"/>
            <w:tcBorders>
              <w:tl2br w:val="nil"/>
              <w:tr2bl w:val="nil"/>
            </w:tcBorders>
            <w:noWrap w:val="0"/>
            <w:vAlign w:val="center"/>
          </w:tcPr>
          <w:p w14:paraId="0D85976F">
            <w:pPr>
              <w:pStyle w:val="498"/>
              <w:pageBreakBefore w:val="0"/>
              <w:wordWrap/>
              <w:bidi w:val="0"/>
              <w:adjustRightInd/>
              <w:snapToGrid/>
              <w:ind w:firstLine="0" w:firstLineChars="0"/>
              <w:jc w:val="center"/>
              <w:rPr>
                <w:color w:val="auto"/>
                <w:sz w:val="21"/>
                <w:szCs w:val="21"/>
              </w:rPr>
            </w:pPr>
          </w:p>
        </w:tc>
      </w:tr>
      <w:tr w14:paraId="0E2F87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3" w:type="pct"/>
            <w:tcBorders>
              <w:tl2br w:val="nil"/>
              <w:tr2bl w:val="nil"/>
            </w:tcBorders>
            <w:noWrap w:val="0"/>
            <w:vAlign w:val="center"/>
          </w:tcPr>
          <w:p w14:paraId="71B9C54A">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11</w:t>
            </w:r>
          </w:p>
        </w:tc>
        <w:tc>
          <w:tcPr>
            <w:tcW w:w="505" w:type="pct"/>
            <w:tcBorders>
              <w:tl2br w:val="nil"/>
              <w:tr2bl w:val="nil"/>
            </w:tcBorders>
            <w:noWrap w:val="0"/>
            <w:vAlign w:val="center"/>
          </w:tcPr>
          <w:p w14:paraId="6C73FC46">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废化学试剂瓶</w:t>
            </w:r>
          </w:p>
        </w:tc>
        <w:tc>
          <w:tcPr>
            <w:tcW w:w="526" w:type="pct"/>
            <w:tcBorders>
              <w:tl2br w:val="nil"/>
              <w:tr2bl w:val="nil"/>
            </w:tcBorders>
            <w:noWrap w:val="0"/>
            <w:vAlign w:val="center"/>
          </w:tcPr>
          <w:p w14:paraId="14E4EE49">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HW49</w:t>
            </w:r>
          </w:p>
        </w:tc>
        <w:tc>
          <w:tcPr>
            <w:tcW w:w="453" w:type="pct"/>
            <w:tcBorders>
              <w:tl2br w:val="nil"/>
              <w:tr2bl w:val="nil"/>
            </w:tcBorders>
            <w:noWrap w:val="0"/>
            <w:vAlign w:val="center"/>
          </w:tcPr>
          <w:p w14:paraId="7281052A">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900-041-49</w:t>
            </w:r>
          </w:p>
        </w:tc>
        <w:tc>
          <w:tcPr>
            <w:tcW w:w="544" w:type="pct"/>
            <w:tcBorders>
              <w:tl2br w:val="nil"/>
              <w:tr2bl w:val="nil"/>
            </w:tcBorders>
            <w:noWrap w:val="0"/>
            <w:vAlign w:val="center"/>
          </w:tcPr>
          <w:p w14:paraId="45EB448E">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w:t>
            </w:r>
          </w:p>
        </w:tc>
        <w:tc>
          <w:tcPr>
            <w:tcW w:w="307" w:type="pct"/>
            <w:tcBorders>
              <w:tl2br w:val="nil"/>
              <w:tr2bl w:val="nil"/>
            </w:tcBorders>
            <w:noWrap w:val="0"/>
            <w:vAlign w:val="center"/>
          </w:tcPr>
          <w:p w14:paraId="35781D7D">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固态</w:t>
            </w:r>
          </w:p>
        </w:tc>
        <w:tc>
          <w:tcPr>
            <w:tcW w:w="425" w:type="pct"/>
            <w:tcBorders>
              <w:tl2br w:val="nil"/>
              <w:tr2bl w:val="nil"/>
            </w:tcBorders>
            <w:noWrap w:val="0"/>
            <w:vAlign w:val="center"/>
          </w:tcPr>
          <w:p w14:paraId="3B4E789F">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0.5</w:t>
            </w:r>
          </w:p>
        </w:tc>
        <w:tc>
          <w:tcPr>
            <w:tcW w:w="576" w:type="pct"/>
            <w:tcBorders>
              <w:tl2br w:val="nil"/>
              <w:tr2bl w:val="nil"/>
            </w:tcBorders>
            <w:noWrap w:val="0"/>
            <w:vAlign w:val="center"/>
          </w:tcPr>
          <w:p w14:paraId="4FC789D4">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化验室</w:t>
            </w:r>
          </w:p>
        </w:tc>
        <w:tc>
          <w:tcPr>
            <w:tcW w:w="349" w:type="pct"/>
            <w:tcBorders>
              <w:tl2br w:val="nil"/>
              <w:tr2bl w:val="nil"/>
            </w:tcBorders>
            <w:noWrap w:val="0"/>
            <w:vAlign w:val="center"/>
          </w:tcPr>
          <w:p w14:paraId="1BB32D2E">
            <w:pPr>
              <w:pStyle w:val="498"/>
              <w:pageBreakBefore w:val="0"/>
              <w:wordWrap/>
              <w:bidi w:val="0"/>
              <w:adjustRightInd/>
              <w:snapToGrid/>
              <w:ind w:firstLine="0" w:firstLineChars="0"/>
              <w:jc w:val="center"/>
              <w:rPr>
                <w:color w:val="auto"/>
                <w:sz w:val="21"/>
                <w:szCs w:val="21"/>
              </w:rPr>
            </w:pPr>
            <w:r>
              <w:rPr>
                <w:color w:val="auto"/>
                <w:sz w:val="21"/>
                <w:szCs w:val="21"/>
              </w:rPr>
              <w:t>间歇</w:t>
            </w:r>
          </w:p>
        </w:tc>
        <w:tc>
          <w:tcPr>
            <w:tcW w:w="273" w:type="pct"/>
            <w:tcBorders>
              <w:tl2br w:val="nil"/>
              <w:tr2bl w:val="nil"/>
            </w:tcBorders>
            <w:noWrap w:val="0"/>
            <w:vAlign w:val="center"/>
          </w:tcPr>
          <w:p w14:paraId="2AFA2E02">
            <w:pPr>
              <w:pStyle w:val="498"/>
              <w:pageBreakBefore w:val="0"/>
              <w:wordWrap/>
              <w:bidi w:val="0"/>
              <w:adjustRightInd/>
              <w:snapToGrid/>
              <w:ind w:firstLine="0" w:firstLineChars="0"/>
              <w:jc w:val="center"/>
              <w:rPr>
                <w:color w:val="auto"/>
                <w:sz w:val="21"/>
                <w:szCs w:val="21"/>
              </w:rPr>
            </w:pPr>
            <w:r>
              <w:rPr>
                <w:rFonts w:hint="eastAsia"/>
                <w:color w:val="auto"/>
                <w:sz w:val="21"/>
                <w:szCs w:val="21"/>
              </w:rPr>
              <w:t>T/In</w:t>
            </w:r>
          </w:p>
        </w:tc>
        <w:tc>
          <w:tcPr>
            <w:tcW w:w="853" w:type="pct"/>
            <w:vMerge w:val="continue"/>
            <w:tcBorders>
              <w:tl2br w:val="nil"/>
              <w:tr2bl w:val="nil"/>
            </w:tcBorders>
            <w:noWrap w:val="0"/>
            <w:vAlign w:val="center"/>
          </w:tcPr>
          <w:p w14:paraId="448BDDEB">
            <w:pPr>
              <w:pStyle w:val="498"/>
              <w:pageBreakBefore w:val="0"/>
              <w:wordWrap/>
              <w:bidi w:val="0"/>
              <w:adjustRightInd/>
              <w:snapToGrid/>
              <w:ind w:firstLine="0" w:firstLineChars="0"/>
              <w:jc w:val="center"/>
              <w:rPr>
                <w:color w:val="auto"/>
                <w:sz w:val="21"/>
                <w:szCs w:val="21"/>
              </w:rPr>
            </w:pPr>
          </w:p>
        </w:tc>
      </w:tr>
      <w:tr w14:paraId="6C1AD5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3" w:type="pct"/>
            <w:tcBorders>
              <w:tl2br w:val="nil"/>
              <w:tr2bl w:val="nil"/>
            </w:tcBorders>
            <w:noWrap w:val="0"/>
            <w:vAlign w:val="center"/>
          </w:tcPr>
          <w:p w14:paraId="23491670">
            <w:pPr>
              <w:pStyle w:val="498"/>
              <w:pageBreakBefore w:val="0"/>
              <w:wordWrap/>
              <w:bidi w:val="0"/>
              <w:adjustRightInd/>
              <w:snapToGrid/>
              <w:ind w:firstLine="0" w:firstLineChars="0"/>
              <w:jc w:val="center"/>
              <w:rPr>
                <w:rFonts w:hint="default"/>
                <w:color w:val="auto"/>
                <w:sz w:val="21"/>
                <w:szCs w:val="21"/>
                <w:lang w:val="en-US" w:eastAsia="zh-CN"/>
              </w:rPr>
            </w:pPr>
            <w:r>
              <w:rPr>
                <w:rFonts w:hint="eastAsia"/>
                <w:color w:val="auto"/>
                <w:sz w:val="21"/>
                <w:szCs w:val="21"/>
                <w:lang w:val="en-US" w:eastAsia="zh-CN"/>
              </w:rPr>
              <w:t>12</w:t>
            </w:r>
          </w:p>
        </w:tc>
        <w:tc>
          <w:tcPr>
            <w:tcW w:w="505" w:type="pct"/>
            <w:tcBorders>
              <w:tl2br w:val="nil"/>
              <w:tr2bl w:val="nil"/>
            </w:tcBorders>
            <w:noWrap w:val="0"/>
            <w:vAlign w:val="center"/>
          </w:tcPr>
          <w:p w14:paraId="54623C2B">
            <w:pPr>
              <w:pStyle w:val="498"/>
              <w:pageBreakBefore w:val="0"/>
              <w:wordWrap/>
              <w:bidi w:val="0"/>
              <w:adjustRightInd/>
              <w:snapToGrid/>
              <w:ind w:firstLine="0" w:firstLineChars="0"/>
              <w:jc w:val="center"/>
              <w:rPr>
                <w:rFonts w:hint="default"/>
                <w:color w:val="auto"/>
                <w:sz w:val="21"/>
                <w:szCs w:val="21"/>
                <w:lang w:val="en-US" w:eastAsia="zh-CN"/>
              </w:rPr>
            </w:pPr>
            <w:r>
              <w:rPr>
                <w:rFonts w:hint="eastAsia"/>
                <w:color w:val="auto"/>
                <w:sz w:val="21"/>
                <w:szCs w:val="21"/>
                <w:lang w:val="en-US" w:eastAsia="zh-CN"/>
              </w:rPr>
              <w:t>废紫外线灯管</w:t>
            </w:r>
          </w:p>
        </w:tc>
        <w:tc>
          <w:tcPr>
            <w:tcW w:w="526" w:type="pct"/>
            <w:tcBorders>
              <w:tl2br w:val="nil"/>
              <w:tr2bl w:val="nil"/>
            </w:tcBorders>
            <w:noWrap w:val="0"/>
            <w:vAlign w:val="center"/>
          </w:tcPr>
          <w:p w14:paraId="05AED119">
            <w:pPr>
              <w:pStyle w:val="498"/>
              <w:pageBreakBefore w:val="0"/>
              <w:wordWrap/>
              <w:bidi w:val="0"/>
              <w:adjustRightInd/>
              <w:snapToGrid/>
              <w:ind w:firstLine="0" w:firstLineChars="0"/>
              <w:jc w:val="center"/>
              <w:rPr>
                <w:rFonts w:hint="default"/>
                <w:color w:val="auto"/>
                <w:sz w:val="21"/>
                <w:szCs w:val="21"/>
                <w:lang w:val="en-US" w:eastAsia="zh-CN"/>
              </w:rPr>
            </w:pPr>
            <w:r>
              <w:rPr>
                <w:rFonts w:hint="eastAsia"/>
                <w:color w:val="auto"/>
                <w:sz w:val="21"/>
                <w:szCs w:val="21"/>
                <w:lang w:val="en-US" w:eastAsia="zh-CN"/>
              </w:rPr>
              <w:t>HW29</w:t>
            </w:r>
          </w:p>
        </w:tc>
        <w:tc>
          <w:tcPr>
            <w:tcW w:w="453" w:type="pct"/>
            <w:tcBorders>
              <w:tl2br w:val="nil"/>
              <w:tr2bl w:val="nil"/>
            </w:tcBorders>
            <w:noWrap w:val="0"/>
            <w:vAlign w:val="center"/>
          </w:tcPr>
          <w:p w14:paraId="525C6901">
            <w:pPr>
              <w:pStyle w:val="498"/>
              <w:pageBreakBefore w:val="0"/>
              <w:wordWrap/>
              <w:bidi w:val="0"/>
              <w:adjustRightInd/>
              <w:snapToGrid/>
              <w:ind w:firstLine="0" w:firstLineChars="0"/>
              <w:jc w:val="center"/>
              <w:rPr>
                <w:rFonts w:hint="eastAsia"/>
                <w:color w:val="auto"/>
                <w:sz w:val="21"/>
                <w:szCs w:val="21"/>
                <w:lang w:val="en-US" w:eastAsia="zh-CN"/>
              </w:rPr>
            </w:pPr>
            <w:r>
              <w:rPr>
                <w:rFonts w:hint="eastAsia"/>
                <w:color w:val="auto"/>
                <w:sz w:val="21"/>
                <w:szCs w:val="21"/>
                <w:lang w:val="en-US" w:eastAsia="zh-CN"/>
              </w:rPr>
              <w:t>900-023-29</w:t>
            </w:r>
          </w:p>
        </w:tc>
        <w:tc>
          <w:tcPr>
            <w:tcW w:w="544" w:type="pct"/>
            <w:tcBorders>
              <w:tl2br w:val="nil"/>
              <w:tr2bl w:val="nil"/>
            </w:tcBorders>
            <w:noWrap w:val="0"/>
            <w:vAlign w:val="center"/>
          </w:tcPr>
          <w:p w14:paraId="03F1E09B">
            <w:pPr>
              <w:pStyle w:val="498"/>
              <w:pageBreakBefore w:val="0"/>
              <w:wordWrap/>
              <w:bidi w:val="0"/>
              <w:adjustRightInd/>
              <w:snapToGrid/>
              <w:ind w:firstLine="0" w:firstLineChars="0"/>
              <w:jc w:val="center"/>
              <w:rPr>
                <w:rFonts w:hint="default"/>
                <w:color w:val="auto"/>
                <w:sz w:val="21"/>
                <w:szCs w:val="21"/>
                <w:lang w:val="en-US" w:eastAsia="zh-CN"/>
              </w:rPr>
            </w:pPr>
            <w:r>
              <w:rPr>
                <w:rFonts w:hint="eastAsia"/>
                <w:color w:val="auto"/>
                <w:sz w:val="21"/>
                <w:szCs w:val="21"/>
                <w:lang w:val="en-US" w:eastAsia="zh-CN"/>
              </w:rPr>
              <w:t>含汞废物</w:t>
            </w:r>
          </w:p>
        </w:tc>
        <w:tc>
          <w:tcPr>
            <w:tcW w:w="307" w:type="pct"/>
            <w:tcBorders>
              <w:tl2br w:val="nil"/>
              <w:tr2bl w:val="nil"/>
            </w:tcBorders>
            <w:noWrap w:val="0"/>
            <w:vAlign w:val="center"/>
          </w:tcPr>
          <w:p w14:paraId="28336617">
            <w:pPr>
              <w:pStyle w:val="498"/>
              <w:pageBreakBefore w:val="0"/>
              <w:wordWrap/>
              <w:bidi w:val="0"/>
              <w:adjustRightInd/>
              <w:snapToGrid/>
              <w:ind w:firstLine="0" w:firstLineChars="0"/>
              <w:jc w:val="center"/>
              <w:rPr>
                <w:rFonts w:hint="eastAsia"/>
                <w:color w:val="auto"/>
                <w:sz w:val="21"/>
                <w:szCs w:val="21"/>
                <w:lang w:val="en-US" w:eastAsia="zh-CN"/>
              </w:rPr>
            </w:pPr>
            <w:r>
              <w:rPr>
                <w:rFonts w:hint="eastAsia"/>
                <w:color w:val="auto"/>
                <w:sz w:val="21"/>
                <w:szCs w:val="21"/>
                <w:lang w:val="en-US" w:eastAsia="zh-CN"/>
              </w:rPr>
              <w:t>固态</w:t>
            </w:r>
          </w:p>
        </w:tc>
        <w:tc>
          <w:tcPr>
            <w:tcW w:w="425" w:type="pct"/>
            <w:tcBorders>
              <w:tl2br w:val="nil"/>
              <w:tr2bl w:val="nil"/>
            </w:tcBorders>
            <w:noWrap w:val="0"/>
            <w:vAlign w:val="center"/>
          </w:tcPr>
          <w:p w14:paraId="3EFF7874">
            <w:pPr>
              <w:pStyle w:val="498"/>
              <w:pageBreakBefore w:val="0"/>
              <w:wordWrap/>
              <w:bidi w:val="0"/>
              <w:adjustRightInd/>
              <w:snapToGrid/>
              <w:ind w:firstLine="0" w:firstLineChars="0"/>
              <w:jc w:val="center"/>
              <w:rPr>
                <w:rFonts w:hint="default"/>
                <w:color w:val="auto"/>
                <w:sz w:val="21"/>
                <w:szCs w:val="21"/>
                <w:lang w:val="en-US" w:eastAsia="zh-CN"/>
              </w:rPr>
            </w:pPr>
            <w:r>
              <w:rPr>
                <w:rFonts w:hint="eastAsia"/>
                <w:color w:val="auto"/>
                <w:sz w:val="21"/>
                <w:szCs w:val="21"/>
                <w:lang w:val="en-US" w:eastAsia="zh-CN"/>
              </w:rPr>
              <w:t>0.1</w:t>
            </w:r>
          </w:p>
        </w:tc>
        <w:tc>
          <w:tcPr>
            <w:tcW w:w="576" w:type="pct"/>
            <w:tcBorders>
              <w:tl2br w:val="nil"/>
              <w:tr2bl w:val="nil"/>
            </w:tcBorders>
            <w:noWrap w:val="0"/>
            <w:vAlign w:val="center"/>
          </w:tcPr>
          <w:p w14:paraId="3AD2A69A">
            <w:pPr>
              <w:pStyle w:val="498"/>
              <w:pageBreakBefore w:val="0"/>
              <w:wordWrap/>
              <w:bidi w:val="0"/>
              <w:adjustRightInd/>
              <w:snapToGrid/>
              <w:ind w:firstLine="0" w:firstLineChars="0"/>
              <w:jc w:val="center"/>
              <w:rPr>
                <w:rFonts w:hint="default"/>
                <w:color w:val="auto"/>
                <w:sz w:val="21"/>
                <w:szCs w:val="21"/>
                <w:lang w:val="en-US" w:eastAsia="zh-CN"/>
              </w:rPr>
            </w:pPr>
            <w:r>
              <w:rPr>
                <w:rFonts w:hint="eastAsia"/>
                <w:color w:val="auto"/>
                <w:sz w:val="21"/>
                <w:szCs w:val="21"/>
                <w:lang w:val="en-US" w:eastAsia="zh-CN"/>
              </w:rPr>
              <w:t>紫外消毒</w:t>
            </w:r>
          </w:p>
        </w:tc>
        <w:tc>
          <w:tcPr>
            <w:tcW w:w="349" w:type="pct"/>
            <w:tcBorders>
              <w:tl2br w:val="nil"/>
              <w:tr2bl w:val="nil"/>
            </w:tcBorders>
            <w:noWrap w:val="0"/>
            <w:vAlign w:val="center"/>
          </w:tcPr>
          <w:p w14:paraId="0A4559E6">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间歇</w:t>
            </w:r>
          </w:p>
        </w:tc>
        <w:tc>
          <w:tcPr>
            <w:tcW w:w="273" w:type="pct"/>
            <w:tcBorders>
              <w:tl2br w:val="nil"/>
              <w:tr2bl w:val="nil"/>
            </w:tcBorders>
            <w:noWrap w:val="0"/>
            <w:vAlign w:val="center"/>
          </w:tcPr>
          <w:p w14:paraId="18B6B221">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T</w:t>
            </w:r>
          </w:p>
        </w:tc>
        <w:tc>
          <w:tcPr>
            <w:tcW w:w="853" w:type="pct"/>
            <w:vMerge w:val="continue"/>
            <w:tcBorders>
              <w:tl2br w:val="nil"/>
              <w:tr2bl w:val="nil"/>
            </w:tcBorders>
            <w:noWrap w:val="0"/>
            <w:vAlign w:val="center"/>
          </w:tcPr>
          <w:p w14:paraId="2D7CEAEF">
            <w:pPr>
              <w:pStyle w:val="498"/>
              <w:pageBreakBefore w:val="0"/>
              <w:wordWrap/>
              <w:bidi w:val="0"/>
              <w:adjustRightInd/>
              <w:snapToGrid/>
              <w:ind w:firstLine="0" w:firstLineChars="0"/>
              <w:jc w:val="center"/>
              <w:rPr>
                <w:color w:val="auto"/>
                <w:sz w:val="21"/>
                <w:szCs w:val="21"/>
              </w:rPr>
            </w:pPr>
          </w:p>
        </w:tc>
      </w:tr>
      <w:tr w14:paraId="421CEE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3" w:type="pct"/>
            <w:tcBorders>
              <w:tl2br w:val="nil"/>
              <w:tr2bl w:val="nil"/>
            </w:tcBorders>
            <w:noWrap w:val="0"/>
            <w:vAlign w:val="center"/>
          </w:tcPr>
          <w:p w14:paraId="417E71F7">
            <w:pPr>
              <w:pStyle w:val="498"/>
              <w:pageBreakBefore w:val="0"/>
              <w:wordWrap/>
              <w:bidi w:val="0"/>
              <w:adjustRightInd/>
              <w:snapToGrid/>
              <w:ind w:firstLine="0" w:firstLineChars="0"/>
              <w:jc w:val="center"/>
              <w:rPr>
                <w:color w:val="auto"/>
                <w:sz w:val="21"/>
                <w:szCs w:val="21"/>
              </w:rPr>
            </w:pPr>
            <w:r>
              <w:rPr>
                <w:color w:val="auto"/>
                <w:sz w:val="21"/>
                <w:szCs w:val="21"/>
              </w:rPr>
              <w:t>合计</w:t>
            </w:r>
          </w:p>
        </w:tc>
        <w:tc>
          <w:tcPr>
            <w:tcW w:w="505" w:type="pct"/>
            <w:tcBorders>
              <w:tl2br w:val="nil"/>
              <w:tr2bl w:val="nil"/>
            </w:tcBorders>
            <w:noWrap w:val="0"/>
            <w:vAlign w:val="center"/>
          </w:tcPr>
          <w:p w14:paraId="7B5A785B">
            <w:pPr>
              <w:pStyle w:val="498"/>
              <w:pageBreakBefore w:val="0"/>
              <w:wordWrap/>
              <w:bidi w:val="0"/>
              <w:adjustRightInd/>
              <w:snapToGrid/>
              <w:ind w:firstLine="0" w:firstLineChars="0"/>
              <w:jc w:val="center"/>
              <w:rPr>
                <w:color w:val="auto"/>
                <w:sz w:val="21"/>
                <w:szCs w:val="21"/>
              </w:rPr>
            </w:pPr>
            <w:r>
              <w:rPr>
                <w:color w:val="auto"/>
                <w:sz w:val="21"/>
                <w:szCs w:val="21"/>
              </w:rPr>
              <w:t>/</w:t>
            </w:r>
          </w:p>
        </w:tc>
        <w:tc>
          <w:tcPr>
            <w:tcW w:w="526" w:type="pct"/>
            <w:tcBorders>
              <w:tl2br w:val="nil"/>
              <w:tr2bl w:val="nil"/>
            </w:tcBorders>
            <w:noWrap w:val="0"/>
            <w:vAlign w:val="center"/>
          </w:tcPr>
          <w:p w14:paraId="5E93AE70">
            <w:pPr>
              <w:pStyle w:val="498"/>
              <w:pageBreakBefore w:val="0"/>
              <w:wordWrap/>
              <w:bidi w:val="0"/>
              <w:adjustRightInd/>
              <w:snapToGrid/>
              <w:ind w:firstLine="0" w:firstLineChars="0"/>
              <w:jc w:val="center"/>
              <w:rPr>
                <w:color w:val="auto"/>
                <w:sz w:val="21"/>
                <w:szCs w:val="21"/>
              </w:rPr>
            </w:pPr>
            <w:r>
              <w:rPr>
                <w:color w:val="auto"/>
                <w:sz w:val="21"/>
                <w:szCs w:val="21"/>
              </w:rPr>
              <w:t>/</w:t>
            </w:r>
          </w:p>
        </w:tc>
        <w:tc>
          <w:tcPr>
            <w:tcW w:w="453" w:type="pct"/>
            <w:tcBorders>
              <w:tl2br w:val="nil"/>
              <w:tr2bl w:val="nil"/>
            </w:tcBorders>
            <w:noWrap w:val="0"/>
            <w:vAlign w:val="center"/>
          </w:tcPr>
          <w:p w14:paraId="787C208D">
            <w:pPr>
              <w:pStyle w:val="498"/>
              <w:pageBreakBefore w:val="0"/>
              <w:wordWrap/>
              <w:bidi w:val="0"/>
              <w:adjustRightInd/>
              <w:snapToGrid/>
              <w:ind w:firstLine="0" w:firstLineChars="0"/>
              <w:jc w:val="center"/>
              <w:rPr>
                <w:color w:val="auto"/>
                <w:sz w:val="21"/>
                <w:szCs w:val="21"/>
              </w:rPr>
            </w:pPr>
            <w:r>
              <w:rPr>
                <w:color w:val="auto"/>
                <w:sz w:val="21"/>
                <w:szCs w:val="21"/>
              </w:rPr>
              <w:t>/</w:t>
            </w:r>
          </w:p>
        </w:tc>
        <w:tc>
          <w:tcPr>
            <w:tcW w:w="544" w:type="pct"/>
            <w:tcBorders>
              <w:tl2br w:val="nil"/>
              <w:tr2bl w:val="nil"/>
            </w:tcBorders>
            <w:noWrap w:val="0"/>
            <w:vAlign w:val="center"/>
          </w:tcPr>
          <w:p w14:paraId="79AD52BA">
            <w:pPr>
              <w:pStyle w:val="498"/>
              <w:pageBreakBefore w:val="0"/>
              <w:wordWrap/>
              <w:bidi w:val="0"/>
              <w:adjustRightInd/>
              <w:snapToGrid/>
              <w:ind w:firstLine="0" w:firstLineChars="0"/>
              <w:jc w:val="center"/>
              <w:rPr>
                <w:color w:val="auto"/>
                <w:sz w:val="21"/>
                <w:szCs w:val="21"/>
              </w:rPr>
            </w:pPr>
            <w:r>
              <w:rPr>
                <w:color w:val="auto"/>
                <w:sz w:val="21"/>
                <w:szCs w:val="21"/>
              </w:rPr>
              <w:t>/</w:t>
            </w:r>
          </w:p>
        </w:tc>
        <w:tc>
          <w:tcPr>
            <w:tcW w:w="307" w:type="pct"/>
            <w:tcBorders>
              <w:tl2br w:val="nil"/>
              <w:tr2bl w:val="nil"/>
            </w:tcBorders>
            <w:noWrap w:val="0"/>
            <w:vAlign w:val="center"/>
          </w:tcPr>
          <w:p w14:paraId="4E1D8FE9">
            <w:pPr>
              <w:pStyle w:val="498"/>
              <w:pageBreakBefore w:val="0"/>
              <w:wordWrap/>
              <w:bidi w:val="0"/>
              <w:adjustRightInd/>
              <w:snapToGrid/>
              <w:ind w:firstLine="0" w:firstLineChars="0"/>
              <w:jc w:val="center"/>
              <w:rPr>
                <w:color w:val="auto"/>
                <w:sz w:val="21"/>
                <w:szCs w:val="21"/>
              </w:rPr>
            </w:pPr>
            <w:r>
              <w:rPr>
                <w:color w:val="auto"/>
                <w:sz w:val="21"/>
                <w:szCs w:val="21"/>
              </w:rPr>
              <w:t>/</w:t>
            </w:r>
          </w:p>
        </w:tc>
        <w:tc>
          <w:tcPr>
            <w:tcW w:w="425" w:type="pct"/>
            <w:tcBorders>
              <w:tl2br w:val="nil"/>
              <w:tr2bl w:val="nil"/>
            </w:tcBorders>
            <w:noWrap w:val="0"/>
            <w:vAlign w:val="center"/>
          </w:tcPr>
          <w:p w14:paraId="2D6EFE09">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194.665</w:t>
            </w:r>
          </w:p>
        </w:tc>
        <w:tc>
          <w:tcPr>
            <w:tcW w:w="576" w:type="pct"/>
            <w:tcBorders>
              <w:tl2br w:val="nil"/>
              <w:tr2bl w:val="nil"/>
            </w:tcBorders>
            <w:noWrap w:val="0"/>
            <w:vAlign w:val="center"/>
          </w:tcPr>
          <w:p w14:paraId="0C56AAA0">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349" w:type="pct"/>
            <w:tcBorders>
              <w:tl2br w:val="nil"/>
              <w:tr2bl w:val="nil"/>
            </w:tcBorders>
            <w:noWrap w:val="0"/>
            <w:vAlign w:val="center"/>
          </w:tcPr>
          <w:p w14:paraId="5FF313A3">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273" w:type="pct"/>
            <w:tcBorders>
              <w:tl2br w:val="nil"/>
              <w:tr2bl w:val="nil"/>
            </w:tcBorders>
            <w:noWrap w:val="0"/>
            <w:vAlign w:val="center"/>
          </w:tcPr>
          <w:p w14:paraId="41AF102E">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853" w:type="pct"/>
            <w:tcBorders>
              <w:tl2br w:val="nil"/>
              <w:tr2bl w:val="nil"/>
            </w:tcBorders>
            <w:noWrap w:val="0"/>
            <w:vAlign w:val="center"/>
          </w:tcPr>
          <w:p w14:paraId="79D9CBB5">
            <w:pPr>
              <w:pStyle w:val="498"/>
              <w:pageBreakBefore w:val="0"/>
              <w:wordWrap/>
              <w:bidi w:val="0"/>
              <w:adjustRightInd/>
              <w:snapToGrid/>
              <w:ind w:firstLine="0" w:firstLineChars="0"/>
              <w:jc w:val="center"/>
              <w:rPr>
                <w:color w:val="auto"/>
                <w:sz w:val="21"/>
                <w:szCs w:val="21"/>
              </w:rPr>
            </w:pPr>
            <w:r>
              <w:rPr>
                <w:color w:val="auto"/>
                <w:sz w:val="21"/>
                <w:szCs w:val="21"/>
              </w:rPr>
              <w:t>/</w:t>
            </w:r>
          </w:p>
        </w:tc>
      </w:tr>
    </w:tbl>
    <w:p w14:paraId="723B8948">
      <w:pPr>
        <w:pageBreakBefore w:val="0"/>
        <w:wordWrap/>
        <w:bidi w:val="0"/>
        <w:adjustRightInd/>
        <w:snapToGrid/>
        <w:ind w:firstLine="480"/>
        <w:rPr>
          <w:color w:val="auto"/>
        </w:rPr>
        <w:sectPr>
          <w:pgSz w:w="16838" w:h="11906" w:orient="landscape"/>
          <w:pgMar w:top="1588" w:right="1440" w:bottom="1588" w:left="1440" w:header="720" w:footer="720" w:gutter="0"/>
          <w:pgBorders>
            <w:top w:val="none" w:sz="0" w:space="0"/>
            <w:left w:val="none" w:sz="0" w:space="0"/>
            <w:bottom w:val="none" w:sz="0" w:space="0"/>
            <w:right w:val="none" w:sz="0" w:space="0"/>
          </w:pgBorders>
          <w:pgNumType w:fmt="decimal"/>
          <w:cols w:space="720" w:num="1"/>
          <w:docGrid w:linePitch="286" w:charSpace="0"/>
        </w:sectPr>
      </w:pPr>
    </w:p>
    <w:p w14:paraId="03D30D85">
      <w:pPr>
        <w:pStyle w:val="5"/>
        <w:bidi w:val="0"/>
        <w:rPr>
          <w:color w:val="auto"/>
        </w:rPr>
      </w:pPr>
      <w:r>
        <w:rPr>
          <w:rFonts w:hint="eastAsia"/>
          <w:color w:val="auto"/>
        </w:rPr>
        <w:t xml:space="preserve"> </w:t>
      </w:r>
      <w:r>
        <w:rPr>
          <w:color w:val="auto"/>
        </w:rPr>
        <w:t>地下水</w:t>
      </w:r>
      <w:r>
        <w:rPr>
          <w:rFonts w:hint="eastAsia"/>
          <w:color w:val="auto"/>
          <w:lang w:val="en-US" w:eastAsia="zh-CN"/>
        </w:rPr>
        <w:t>产生</w:t>
      </w:r>
      <w:r>
        <w:rPr>
          <w:color w:val="auto"/>
        </w:rPr>
        <w:t>及防渗措施</w:t>
      </w:r>
    </w:p>
    <w:p w14:paraId="558F4748">
      <w:pPr>
        <w:bidi w:val="0"/>
        <w:rPr>
          <w:rFonts w:hint="eastAsia" w:eastAsia="宋体"/>
          <w:b/>
          <w:bCs/>
          <w:color w:val="auto"/>
          <w:lang w:val="en-US" w:eastAsia="zh-CN"/>
        </w:rPr>
      </w:pPr>
      <w:bookmarkStart w:id="108" w:name="_Hlk49123097"/>
      <w:r>
        <w:rPr>
          <w:rFonts w:hint="eastAsia"/>
          <w:b/>
          <w:bCs/>
          <w:color w:val="auto"/>
          <w:lang w:val="en-US" w:eastAsia="zh-CN"/>
        </w:rPr>
        <w:t>1、项目污染源项识别及污染因子识别</w:t>
      </w:r>
    </w:p>
    <w:p w14:paraId="2970B07A">
      <w:pPr>
        <w:bidi w:val="0"/>
        <w:rPr>
          <w:color w:val="auto"/>
        </w:rPr>
      </w:pPr>
      <w:r>
        <w:rPr>
          <w:color w:val="auto"/>
        </w:rPr>
        <w:t>本项目为</w:t>
      </w:r>
      <w:r>
        <w:rPr>
          <w:rFonts w:hint="eastAsia"/>
          <w:color w:val="auto"/>
        </w:rPr>
        <w:t>新建污水处理厂及配套尾水排放管网</w:t>
      </w:r>
      <w:r>
        <w:rPr>
          <w:color w:val="auto"/>
        </w:rPr>
        <w:t>，</w:t>
      </w:r>
      <w:r>
        <w:rPr>
          <w:rFonts w:hint="eastAsia"/>
          <w:color w:val="auto"/>
        </w:rPr>
        <w:t>同步建设园区环境监测站，</w:t>
      </w:r>
      <w:r>
        <w:rPr>
          <w:color w:val="auto"/>
        </w:rPr>
        <w:t>占地</w:t>
      </w:r>
      <w:r>
        <w:rPr>
          <w:rFonts w:hint="eastAsia"/>
          <w:color w:val="auto"/>
        </w:rPr>
        <w:t>面积40490.09m²</w:t>
      </w:r>
      <w:r>
        <w:rPr>
          <w:color w:val="auto"/>
        </w:rPr>
        <w:t>，</w:t>
      </w:r>
      <w:r>
        <w:rPr>
          <w:rFonts w:hint="eastAsia"/>
          <w:color w:val="auto"/>
        </w:rPr>
        <w:t>总建设规模为1.6万m³/d，本次主要设计按照一期规模0.3万m³/d进行建设。</w:t>
      </w:r>
      <w:r>
        <w:rPr>
          <w:color w:val="auto"/>
        </w:rPr>
        <w:t>根据前述潜在污染源和污染途径分析，本项目可能对地下水环境产生影响的构筑物主要包括：</w:t>
      </w:r>
    </w:p>
    <w:p w14:paraId="44B1E396">
      <w:pPr>
        <w:bidi w:val="0"/>
        <w:rPr>
          <w:color w:val="auto"/>
        </w:rPr>
      </w:pPr>
      <w:r>
        <w:rPr>
          <w:rFonts w:hint="eastAsia"/>
          <w:color w:val="auto"/>
        </w:rPr>
        <w:t>①主体工程</w:t>
      </w:r>
    </w:p>
    <w:p w14:paraId="52DF6B2F">
      <w:pPr>
        <w:bidi w:val="0"/>
        <w:rPr>
          <w:color w:val="auto"/>
        </w:rPr>
      </w:pPr>
      <w:r>
        <w:rPr>
          <w:rFonts w:hint="eastAsia"/>
          <w:color w:val="auto"/>
        </w:rPr>
        <w:t>一级处理单元</w:t>
      </w:r>
      <w:r>
        <w:rPr>
          <w:color w:val="auto"/>
        </w:rPr>
        <w:t>：</w:t>
      </w:r>
      <w:r>
        <w:rPr>
          <w:rFonts w:hint="eastAsia"/>
          <w:color w:val="auto"/>
        </w:rPr>
        <w:t>超细格栅池</w:t>
      </w:r>
      <w:r>
        <w:rPr>
          <w:color w:val="auto"/>
        </w:rPr>
        <w:t>、</w:t>
      </w:r>
      <w:r>
        <w:rPr>
          <w:rFonts w:hint="eastAsia"/>
          <w:color w:val="auto"/>
        </w:rPr>
        <w:t>调节池、水解酸化池；</w:t>
      </w:r>
    </w:p>
    <w:p w14:paraId="69F78EEE">
      <w:pPr>
        <w:bidi w:val="0"/>
        <w:rPr>
          <w:color w:val="auto"/>
        </w:rPr>
      </w:pPr>
      <w:r>
        <w:rPr>
          <w:rFonts w:hint="eastAsia"/>
          <w:color w:val="auto"/>
        </w:rPr>
        <w:t>二级处理单元</w:t>
      </w:r>
      <w:r>
        <w:rPr>
          <w:color w:val="auto"/>
        </w:rPr>
        <w:t>：</w:t>
      </w:r>
      <w:r>
        <w:rPr>
          <w:rFonts w:hint="eastAsia"/>
          <w:color w:val="auto"/>
        </w:rPr>
        <w:t>微氧低循环生化池</w:t>
      </w:r>
      <w:r>
        <w:rPr>
          <w:color w:val="auto"/>
        </w:rPr>
        <w:t>、</w:t>
      </w:r>
      <w:r>
        <w:rPr>
          <w:rFonts w:hint="eastAsia"/>
          <w:color w:val="auto"/>
        </w:rPr>
        <w:t>反硝化深床滤池；</w:t>
      </w:r>
    </w:p>
    <w:p w14:paraId="0C6B1739">
      <w:pPr>
        <w:bidi w:val="0"/>
        <w:rPr>
          <w:color w:val="auto"/>
        </w:rPr>
      </w:pPr>
      <w:r>
        <w:rPr>
          <w:rFonts w:hint="eastAsia"/>
          <w:color w:val="auto"/>
        </w:rPr>
        <w:t>深度处理单元：高级氧化撬装设备；</w:t>
      </w:r>
    </w:p>
    <w:p w14:paraId="7A50304A">
      <w:pPr>
        <w:bidi w:val="0"/>
        <w:rPr>
          <w:color w:val="auto"/>
        </w:rPr>
      </w:pPr>
      <w:r>
        <w:rPr>
          <w:rFonts w:hint="eastAsia"/>
          <w:color w:val="auto"/>
        </w:rPr>
        <w:t>②配套</w:t>
      </w:r>
      <w:r>
        <w:rPr>
          <w:color w:val="auto"/>
        </w:rPr>
        <w:t>工程</w:t>
      </w:r>
    </w:p>
    <w:p w14:paraId="34AC5C81">
      <w:pPr>
        <w:bidi w:val="0"/>
        <w:rPr>
          <w:color w:val="auto"/>
        </w:rPr>
      </w:pPr>
      <w:r>
        <w:rPr>
          <w:rFonts w:hint="eastAsia"/>
          <w:color w:val="auto"/>
        </w:rPr>
        <w:t>污泥处理单元：磁混凝沉淀池、污泥池；</w:t>
      </w:r>
    </w:p>
    <w:p w14:paraId="4DDE633E">
      <w:pPr>
        <w:bidi w:val="0"/>
        <w:rPr>
          <w:color w:val="auto"/>
        </w:rPr>
      </w:pPr>
      <w:r>
        <w:rPr>
          <w:rFonts w:hint="eastAsia"/>
          <w:color w:val="auto"/>
        </w:rPr>
        <w:t>③辅助</w:t>
      </w:r>
      <w:r>
        <w:rPr>
          <w:color w:val="auto"/>
        </w:rPr>
        <w:t>工程</w:t>
      </w:r>
    </w:p>
    <w:p w14:paraId="5C621B92">
      <w:pPr>
        <w:bidi w:val="0"/>
        <w:rPr>
          <w:color w:val="auto"/>
        </w:rPr>
      </w:pPr>
      <w:r>
        <w:rPr>
          <w:rFonts w:hint="eastAsia"/>
          <w:color w:val="auto"/>
        </w:rPr>
        <w:t>机修间、</w:t>
      </w:r>
      <w:r>
        <w:rPr>
          <w:color w:val="auto"/>
        </w:rPr>
        <w:t>危废暂存间</w:t>
      </w:r>
      <w:r>
        <w:rPr>
          <w:rFonts w:hint="eastAsia"/>
          <w:color w:val="auto"/>
        </w:rPr>
        <w:t>、事故池、园区事故应急池。</w:t>
      </w:r>
    </w:p>
    <w:p w14:paraId="18B69277">
      <w:pPr>
        <w:bidi w:val="0"/>
        <w:rPr>
          <w:color w:val="auto"/>
        </w:rPr>
      </w:pPr>
      <w:r>
        <w:rPr>
          <w:color w:val="auto"/>
        </w:rPr>
        <w:t>根据《环境影响评价技术导则</w:t>
      </w:r>
      <w:r>
        <w:rPr>
          <w:rFonts w:hint="eastAsia"/>
          <w:color w:val="auto"/>
          <w:lang w:val="en-US" w:eastAsia="zh-CN"/>
        </w:rPr>
        <w:t xml:space="preserve"> </w:t>
      </w:r>
      <w:r>
        <w:rPr>
          <w:color w:val="auto"/>
        </w:rPr>
        <w:t>地下水环境》（HJ610-2016）及《危险废物贮存污染控制标准》（GB18597），以上构筑物均需进行重点防渗。在采取防渗措施后，正常状况，以上构筑物运行过程中对地下水环境影响较小。非正常运行状态下，受</w:t>
      </w:r>
      <w:r>
        <w:rPr>
          <w:rFonts w:hint="eastAsia"/>
          <w:color w:val="auto"/>
        </w:rPr>
        <w:t>池体</w:t>
      </w:r>
      <w:r>
        <w:rPr>
          <w:color w:val="auto"/>
        </w:rPr>
        <w:t>老化及防渗系统腐蚀等因素影响，本项目</w:t>
      </w:r>
      <w:r>
        <w:rPr>
          <w:rFonts w:hint="eastAsia"/>
          <w:color w:val="auto"/>
        </w:rPr>
        <w:t>处理的</w:t>
      </w:r>
      <w:r>
        <w:rPr>
          <w:color w:val="auto"/>
        </w:rPr>
        <w:t>废水泄漏并部分入渗含水层，将会对区内地下水水质造成影响。</w:t>
      </w:r>
    </w:p>
    <w:p w14:paraId="5E76B41F">
      <w:pPr>
        <w:ind w:firstLine="480"/>
        <w:rPr>
          <w:rFonts w:hint="eastAsia" w:eastAsia="宋体" w:cs="Times New Roman"/>
          <w:b/>
          <w:bCs/>
          <w:color w:val="auto"/>
          <w:lang w:val="en-US" w:eastAsia="zh-CN"/>
        </w:rPr>
      </w:pPr>
      <w:r>
        <w:rPr>
          <w:rFonts w:hint="eastAsia" w:eastAsia="宋体" w:cs="Times New Roman"/>
          <w:b/>
          <w:bCs/>
          <w:color w:val="auto"/>
          <w:lang w:val="en-US" w:eastAsia="zh-CN"/>
        </w:rPr>
        <w:t>2、地下水环境保护措施</w:t>
      </w:r>
    </w:p>
    <w:p w14:paraId="30F6015E">
      <w:pPr>
        <w:ind w:firstLine="480"/>
        <w:rPr>
          <w:rFonts w:cs="Times New Roman"/>
          <w:color w:val="auto"/>
        </w:rPr>
      </w:pPr>
      <w:r>
        <w:rPr>
          <w:rFonts w:eastAsia="宋体" w:cs="Times New Roman"/>
          <w:color w:val="auto"/>
        </w:rPr>
        <w:t>为防止项目运行</w:t>
      </w:r>
      <w:r>
        <w:rPr>
          <w:rFonts w:hint="eastAsia" w:eastAsia="宋体" w:cs="Times New Roman"/>
          <w:color w:val="auto"/>
        </w:rPr>
        <w:t>中处理的</w:t>
      </w:r>
      <w:r>
        <w:rPr>
          <w:rFonts w:eastAsia="宋体" w:cs="Times New Roman"/>
          <w:color w:val="auto"/>
        </w:rPr>
        <w:t>废水下渗污染地下水，本项目厂区设置重点防渗区、一般防渗区和简单防渗区</w:t>
      </w:r>
      <w:r>
        <w:rPr>
          <w:rFonts w:hint="eastAsia" w:eastAsia="宋体" w:cs="Times New Roman"/>
          <w:color w:val="auto"/>
        </w:rPr>
        <w:t>。</w:t>
      </w:r>
    </w:p>
    <w:p w14:paraId="34B79555">
      <w:pPr>
        <w:ind w:firstLine="482"/>
        <w:rPr>
          <w:rFonts w:hint="eastAsia" w:eastAsia="宋体" w:cs="Times New Roman"/>
          <w:b/>
          <w:bCs/>
          <w:snapToGrid w:val="0"/>
          <w:color w:val="auto"/>
          <w:szCs w:val="24"/>
          <w:lang w:eastAsia="zh-CN"/>
        </w:rPr>
      </w:pPr>
      <w:r>
        <w:rPr>
          <w:rFonts w:eastAsia="宋体" w:cs="Times New Roman"/>
          <w:b/>
          <w:bCs/>
          <w:snapToGrid w:val="0"/>
          <w:color w:val="auto"/>
          <w:szCs w:val="24"/>
        </w:rPr>
        <w:t>重点防渗区</w:t>
      </w:r>
      <w:r>
        <w:rPr>
          <w:rFonts w:hint="eastAsia" w:eastAsia="宋体" w:cs="Times New Roman"/>
          <w:b/>
          <w:bCs/>
          <w:snapToGrid w:val="0"/>
          <w:color w:val="auto"/>
          <w:szCs w:val="24"/>
          <w:lang w:eastAsia="zh-CN"/>
        </w:rPr>
        <w:t>：</w:t>
      </w:r>
    </w:p>
    <w:p w14:paraId="094178FF">
      <w:pPr>
        <w:ind w:firstLine="480"/>
        <w:rPr>
          <w:rFonts w:cs="Times New Roman"/>
          <w:color w:val="auto"/>
        </w:rPr>
      </w:pPr>
      <w:r>
        <w:rPr>
          <w:rFonts w:cs="Times New Roman"/>
          <w:color w:val="auto"/>
        </w:rPr>
        <w:t>（1）危废暂存间</w:t>
      </w:r>
      <w:r>
        <w:rPr>
          <w:rFonts w:hint="eastAsia" w:cs="Times New Roman"/>
          <w:color w:val="auto"/>
        </w:rPr>
        <w:t>和机修间</w:t>
      </w:r>
    </w:p>
    <w:p w14:paraId="6E4B5801">
      <w:pPr>
        <w:ind w:firstLine="480"/>
        <w:rPr>
          <w:rFonts w:cs="Times New Roman"/>
          <w:color w:val="auto"/>
        </w:rPr>
      </w:pPr>
      <w:r>
        <w:rPr>
          <w:rFonts w:cs="Times New Roman"/>
          <w:color w:val="auto"/>
        </w:rPr>
        <w:t>由于</w:t>
      </w:r>
      <w:r>
        <w:rPr>
          <w:rFonts w:hint="eastAsia" w:cs="Times New Roman"/>
          <w:color w:val="auto"/>
        </w:rPr>
        <w:t>机修间和</w:t>
      </w:r>
      <w:r>
        <w:rPr>
          <w:rFonts w:cs="Times New Roman"/>
          <w:color w:val="auto"/>
        </w:rPr>
        <w:t>危废暂存间</w:t>
      </w:r>
      <w:r>
        <w:rPr>
          <w:rFonts w:hint="eastAsia" w:cs="Times New Roman"/>
          <w:color w:val="auto"/>
        </w:rPr>
        <w:t>为合建建筑</w:t>
      </w:r>
      <w:r>
        <w:rPr>
          <w:rFonts w:cs="Times New Roman"/>
          <w:color w:val="auto"/>
        </w:rPr>
        <w:t>，按照《危险废物贮存污染控制标准》（GB 18597-2023）对危废暂存间</w:t>
      </w:r>
      <w:r>
        <w:rPr>
          <w:rFonts w:hint="eastAsia" w:cs="Times New Roman"/>
          <w:color w:val="auto"/>
        </w:rPr>
        <w:t>和机修间厂房</w:t>
      </w:r>
      <w:r>
        <w:rPr>
          <w:rFonts w:cs="Times New Roman"/>
          <w:color w:val="auto"/>
        </w:rPr>
        <w:t>基础进行防渗处理，其防渗层的防渗性能不低于6.0m厚渗透系数为1.0×10</w:t>
      </w:r>
      <w:r>
        <w:rPr>
          <w:rFonts w:cs="Times New Roman"/>
          <w:color w:val="auto"/>
          <w:vertAlign w:val="superscript"/>
        </w:rPr>
        <w:t>-7</w:t>
      </w:r>
      <w:r>
        <w:rPr>
          <w:rFonts w:cs="Times New Roman"/>
          <w:color w:val="auto"/>
        </w:rPr>
        <w:t>cm/s的粘土层的防渗性能，或2mm厚高密度聚乙烯，或至少2mm厚的其他人工材料（渗透系数不大于1.0×10</w:t>
      </w:r>
      <w:r>
        <w:rPr>
          <w:rFonts w:cs="Times New Roman"/>
          <w:color w:val="auto"/>
          <w:vertAlign w:val="superscript"/>
        </w:rPr>
        <w:t>-10</w:t>
      </w:r>
      <w:r>
        <w:rPr>
          <w:rFonts w:cs="Times New Roman"/>
          <w:color w:val="auto"/>
        </w:rPr>
        <w:t>cm/s）。</w:t>
      </w:r>
    </w:p>
    <w:p w14:paraId="126D1C26">
      <w:pPr>
        <w:ind w:firstLine="480"/>
        <w:rPr>
          <w:rFonts w:cs="Times New Roman"/>
          <w:color w:val="auto"/>
        </w:rPr>
      </w:pPr>
      <w:r>
        <w:rPr>
          <w:rFonts w:cs="Times New Roman"/>
          <w:color w:val="auto"/>
        </w:rPr>
        <w:t>本报告建议采用刚性+柔性防渗措施，即采用P8等级混凝土+2mmHDPE膜防渗结构。暂存间内设置与</w:t>
      </w:r>
      <w:r>
        <w:rPr>
          <w:rFonts w:hint="eastAsia" w:cs="Times New Roman"/>
          <w:color w:val="auto"/>
        </w:rPr>
        <w:t>最大液态废物容器容积或液态废物总储量1/10（二者取较大者）容积</w:t>
      </w:r>
      <w:r>
        <w:rPr>
          <w:rFonts w:cs="Times New Roman"/>
          <w:color w:val="auto"/>
        </w:rPr>
        <w:t>相当的围堰，围堰采用以P8等级混凝土为主体的防渗结构。</w:t>
      </w:r>
      <w:r>
        <w:rPr>
          <w:rFonts w:cs="Times New Roman"/>
          <w:color w:val="auto"/>
          <w:kern w:val="0"/>
        </w:rPr>
        <w:t>建议地坪及裙角防渗结构</w:t>
      </w:r>
      <w:r>
        <w:rPr>
          <w:rFonts w:cs="Times New Roman"/>
          <w:color w:val="auto"/>
        </w:rPr>
        <w:t>由上至下依次为：水泥基渗透结晶型防渗涂层（≥0.8mm）、抗渗混凝土面层（厚度20cm，抗渗等级为P8）、600g/m</w:t>
      </w:r>
      <w:r>
        <w:rPr>
          <w:rFonts w:cs="Times New Roman"/>
          <w:color w:val="auto"/>
          <w:vertAlign w:val="superscript"/>
        </w:rPr>
        <w:t>2</w:t>
      </w:r>
      <w:r>
        <w:rPr>
          <w:rFonts w:cs="Times New Roman"/>
          <w:color w:val="auto"/>
        </w:rPr>
        <w:t>长丝无纺土工布、1.5mm厚HDPE防渗膜、600g/m</w:t>
      </w:r>
      <w:r>
        <w:rPr>
          <w:rFonts w:cs="Times New Roman"/>
          <w:color w:val="auto"/>
          <w:vertAlign w:val="superscript"/>
        </w:rPr>
        <w:t>2</w:t>
      </w:r>
      <w:r>
        <w:rPr>
          <w:rFonts w:cs="Times New Roman"/>
          <w:color w:val="auto"/>
        </w:rPr>
        <w:t>长丝无纺土工布、抗渗混凝土基层（厚度10cm，抗渗等级为P8）。围堰环墙采用强度C30，厚20cm抗渗钢筋混凝土（抗渗等级P8）进行防渗。</w:t>
      </w:r>
    </w:p>
    <w:p w14:paraId="51EA4AEC">
      <w:pPr>
        <w:snapToGrid w:val="0"/>
        <w:spacing w:before="163" w:beforeLines="50" w:line="240" w:lineRule="auto"/>
        <w:ind w:firstLine="0" w:firstLineChars="0"/>
        <w:jc w:val="center"/>
        <w:rPr>
          <w:rFonts w:cs="Times New Roman"/>
          <w:color w:val="auto"/>
        </w:rPr>
      </w:pPr>
      <w:r>
        <w:rPr>
          <w:rFonts w:cs="Times New Roman"/>
          <w:color w:val="auto"/>
        </w:rPr>
        <w:drawing>
          <wp:inline distT="0" distB="0" distL="0" distR="0">
            <wp:extent cx="3771900" cy="3214370"/>
            <wp:effectExtent l="0" t="0" r="0" b="5080"/>
            <wp:docPr id="98" name="图片 98" descr="C:\Users\luopeng0808\Desktop\防渗\重点防渗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C:\Users\luopeng0808\Desktop\防渗\重点防渗区1.jpg"/>
                    <pic:cNvPicPr>
                      <a:picLocks noChangeAspect="1" noChangeArrowheads="1"/>
                    </pic:cNvPicPr>
                  </pic:nvPicPr>
                  <pic:blipFill>
                    <a:blip r:embed="rId66" cstate="print">
                      <a:extLst>
                        <a:ext uri="{28A0092B-C50C-407E-A947-70E740481C1C}">
                          <a14:useLocalDpi xmlns:a14="http://schemas.microsoft.com/office/drawing/2010/main" val="0"/>
                        </a:ext>
                      </a:extLst>
                    </a:blip>
                    <a:srcRect l="7035" t="840" r="8965" b="2223"/>
                    <a:stretch>
                      <a:fillRect/>
                    </a:stretch>
                  </pic:blipFill>
                  <pic:spPr>
                    <a:xfrm>
                      <a:off x="0" y="0"/>
                      <a:ext cx="3812710" cy="3249470"/>
                    </a:xfrm>
                    <a:prstGeom prst="rect">
                      <a:avLst/>
                    </a:prstGeom>
                    <a:ln>
                      <a:noFill/>
                    </a:ln>
                  </pic:spPr>
                </pic:pic>
              </a:graphicData>
            </a:graphic>
          </wp:inline>
        </w:drawing>
      </w:r>
    </w:p>
    <w:p w14:paraId="4E7D9E5B">
      <w:pPr>
        <w:snapToGrid w:val="0"/>
        <w:spacing w:before="163" w:beforeLines="50"/>
        <w:ind w:firstLine="422"/>
        <w:jc w:val="center"/>
        <w:rPr>
          <w:rFonts w:eastAsia="宋体" w:cs="Times New Roman"/>
          <w:b/>
          <w:color w:val="auto"/>
          <w:sz w:val="21"/>
        </w:rPr>
      </w:pPr>
      <w:r>
        <w:rPr>
          <w:rFonts w:eastAsia="宋体" w:cs="Times New Roman"/>
          <w:b/>
          <w:color w:val="auto"/>
          <w:sz w:val="21"/>
        </w:rPr>
        <w:t>图</w:t>
      </w:r>
      <w:r>
        <w:rPr>
          <w:rFonts w:hint="eastAsia" w:eastAsia="宋体" w:cs="Times New Roman"/>
          <w:b/>
          <w:color w:val="auto"/>
          <w:sz w:val="21"/>
          <w:lang w:val="en-US" w:eastAsia="zh-CN"/>
        </w:rPr>
        <w:t>2.5-1</w:t>
      </w:r>
      <w:r>
        <w:rPr>
          <w:rFonts w:eastAsia="宋体" w:cs="Times New Roman"/>
          <w:b/>
          <w:color w:val="auto"/>
          <w:sz w:val="21"/>
        </w:rPr>
        <w:t xml:space="preserve"> </w:t>
      </w:r>
      <w:r>
        <w:rPr>
          <w:rFonts w:hint="eastAsia" w:eastAsia="宋体" w:cs="Times New Roman"/>
          <w:b/>
          <w:color w:val="auto"/>
          <w:sz w:val="21"/>
          <w:lang w:val="en-US" w:eastAsia="zh-CN"/>
        </w:rPr>
        <w:t xml:space="preserve"> </w:t>
      </w:r>
      <w:r>
        <w:rPr>
          <w:rFonts w:eastAsia="宋体" w:cs="Times New Roman"/>
          <w:b/>
          <w:color w:val="auto"/>
          <w:sz w:val="21"/>
        </w:rPr>
        <w:t>危险废物暂存间</w:t>
      </w:r>
      <w:r>
        <w:rPr>
          <w:rFonts w:hint="eastAsia" w:eastAsia="宋体" w:cs="Times New Roman"/>
          <w:b/>
          <w:color w:val="auto"/>
          <w:sz w:val="21"/>
        </w:rPr>
        <w:t>地面</w:t>
      </w:r>
      <w:r>
        <w:rPr>
          <w:rFonts w:eastAsia="宋体" w:cs="Times New Roman"/>
          <w:b/>
          <w:color w:val="auto"/>
          <w:sz w:val="21"/>
        </w:rPr>
        <w:t>防渗结构示意图</w:t>
      </w:r>
    </w:p>
    <w:p w14:paraId="7DC6F86F">
      <w:pPr>
        <w:pStyle w:val="714"/>
        <w:rPr>
          <w:rFonts w:cs="Times New Roman"/>
          <w:color w:val="auto"/>
          <w:kern w:val="0"/>
        </w:rPr>
      </w:pPr>
      <w:r>
        <w:rPr>
          <w:rFonts w:cs="Times New Roman"/>
          <w:color w:val="auto"/>
        </w:rPr>
        <w:drawing>
          <wp:inline distT="0" distB="0" distL="0" distR="0">
            <wp:extent cx="3162300" cy="2655570"/>
            <wp:effectExtent l="0" t="0" r="0" b="1143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67"/>
                    <a:stretch>
                      <a:fillRect/>
                    </a:stretch>
                  </pic:blipFill>
                  <pic:spPr>
                    <a:xfrm>
                      <a:off x="0" y="0"/>
                      <a:ext cx="3199876" cy="2687494"/>
                    </a:xfrm>
                    <a:prstGeom prst="rect">
                      <a:avLst/>
                    </a:prstGeom>
                    <a:ln>
                      <a:noFill/>
                    </a:ln>
                  </pic:spPr>
                </pic:pic>
              </a:graphicData>
            </a:graphic>
          </wp:inline>
        </w:drawing>
      </w:r>
    </w:p>
    <w:p w14:paraId="3ED0DAA1">
      <w:pPr>
        <w:ind w:firstLine="0" w:firstLineChars="0"/>
        <w:jc w:val="center"/>
        <w:rPr>
          <w:rFonts w:eastAsia="宋体" w:cs="Times New Roman"/>
          <w:snapToGrid w:val="0"/>
          <w:color w:val="auto"/>
          <w:szCs w:val="24"/>
        </w:rPr>
      </w:pPr>
      <w:r>
        <w:rPr>
          <w:rFonts w:eastAsia="宋体" w:cs="Times New Roman"/>
          <w:b/>
          <w:color w:val="auto"/>
          <w:sz w:val="21"/>
        </w:rPr>
        <w:t>图</w:t>
      </w:r>
      <w:r>
        <w:rPr>
          <w:rFonts w:hint="eastAsia" w:eastAsia="宋体" w:cs="Times New Roman"/>
          <w:b/>
          <w:color w:val="auto"/>
          <w:sz w:val="21"/>
          <w:lang w:val="en-US" w:eastAsia="zh-CN"/>
        </w:rPr>
        <w:t>2.5</w:t>
      </w:r>
      <w:r>
        <w:rPr>
          <w:rFonts w:eastAsia="宋体" w:cs="Times New Roman"/>
          <w:b/>
          <w:color w:val="auto"/>
          <w:sz w:val="21"/>
        </w:rPr>
        <w:t>-2  导流边沟</w:t>
      </w:r>
      <w:r>
        <w:rPr>
          <w:rFonts w:hint="eastAsia" w:eastAsia="宋体" w:cs="Times New Roman"/>
          <w:b/>
          <w:color w:val="auto"/>
          <w:sz w:val="21"/>
        </w:rPr>
        <w:t>及事故坑</w:t>
      </w:r>
      <w:r>
        <w:rPr>
          <w:rFonts w:eastAsia="宋体" w:cs="Times New Roman"/>
          <w:b/>
          <w:color w:val="auto"/>
          <w:sz w:val="21"/>
        </w:rPr>
        <w:t>刚性+柔性防渗示意图</w:t>
      </w:r>
    </w:p>
    <w:p w14:paraId="79AAE380">
      <w:pPr>
        <w:ind w:firstLine="480"/>
        <w:rPr>
          <w:rFonts w:cs="Times New Roman"/>
          <w:color w:val="auto"/>
        </w:rPr>
      </w:pPr>
      <w:r>
        <w:rPr>
          <w:rFonts w:eastAsia="宋体" w:cs="Times New Roman"/>
          <w:color w:val="auto"/>
        </w:rPr>
        <w:t>（</w:t>
      </w:r>
      <w:r>
        <w:rPr>
          <w:rFonts w:hint="eastAsia" w:eastAsia="宋体" w:cs="Times New Roman"/>
          <w:color w:val="auto"/>
        </w:rPr>
        <w:t>2</w:t>
      </w:r>
      <w:r>
        <w:rPr>
          <w:rFonts w:eastAsia="宋体" w:cs="Times New Roman"/>
          <w:color w:val="auto"/>
        </w:rPr>
        <w:t>）</w:t>
      </w:r>
      <w:r>
        <w:rPr>
          <w:rFonts w:hint="eastAsia" w:cs="Times New Roman"/>
          <w:color w:val="auto"/>
        </w:rPr>
        <w:t>超细格栅池、</w:t>
      </w:r>
      <w:r>
        <w:rPr>
          <w:rFonts w:hint="eastAsia" w:cs="Times New Roman"/>
          <w:color w:val="auto"/>
          <w:lang w:eastAsia="zh-CN"/>
        </w:rPr>
        <w:t>污水处理厂</w:t>
      </w:r>
      <w:r>
        <w:rPr>
          <w:rFonts w:hint="eastAsia" w:cs="Times New Roman"/>
          <w:color w:val="auto"/>
        </w:rPr>
        <w:t>调节池-事故应急池、水解酸化池、生化池、反硝化深床滤池、高级氧化深度处理系统、污泥脱水车间-磁混凝沉淀池、污泥池、紫外线消毒-出水计量渠、进出水在线监测间、园区应急事故池等所有池体</w:t>
      </w:r>
    </w:p>
    <w:p w14:paraId="7724C90E">
      <w:pPr>
        <w:widowControl/>
        <w:ind w:firstLine="480"/>
        <w:rPr>
          <w:rFonts w:cs="Times New Roman"/>
          <w:color w:val="auto"/>
        </w:rPr>
      </w:pPr>
      <w:r>
        <w:rPr>
          <w:rFonts w:hint="eastAsia" w:cs="Times New Roman"/>
          <w:color w:val="auto"/>
        </w:rPr>
        <w:t>超细格栅池、</w:t>
      </w:r>
      <w:r>
        <w:rPr>
          <w:rFonts w:hint="eastAsia" w:cs="Times New Roman"/>
          <w:color w:val="auto"/>
          <w:lang w:eastAsia="zh-CN"/>
        </w:rPr>
        <w:t>污水处理厂</w:t>
      </w:r>
      <w:r>
        <w:rPr>
          <w:rFonts w:hint="eastAsia" w:cs="Times New Roman"/>
          <w:color w:val="auto"/>
        </w:rPr>
        <w:t>调节池-事故应急池、水解酸化池、生化池、反硝化深床滤池、高级氧化深度处理系统、污泥脱水车间-磁混凝沉淀池、污泥池、紫外线消毒-出水计量渠、进出水在线监测间、园区应急事故池等所有池体</w:t>
      </w:r>
      <w:r>
        <w:rPr>
          <w:rFonts w:cs="Times New Roman"/>
          <w:color w:val="auto"/>
        </w:rPr>
        <w:t>两侧均需延伸1.0m范围地坪，池体及周边地坪均采用30cm厚P8等级混凝土刚性防渗结构，其防渗性能与厚度Mb≥6.0m，渗透系数K≤1×10</w:t>
      </w:r>
      <w:r>
        <w:rPr>
          <w:rFonts w:cs="Times New Roman"/>
          <w:color w:val="auto"/>
          <w:vertAlign w:val="superscript"/>
        </w:rPr>
        <w:t>-7</w:t>
      </w:r>
      <w:r>
        <w:rPr>
          <w:rFonts w:cs="Times New Roman"/>
          <w:color w:val="auto"/>
        </w:rPr>
        <w:t>cm/s粘土防渗层等效。具体防渗结构如下：水泥基渗透结晶型防渗涂层（≥1.0mm）、抗渗混凝土面层（厚度300mm，抗渗等级为P8）、原土压（夯）实。</w:t>
      </w:r>
    </w:p>
    <w:p w14:paraId="12CD397C">
      <w:pPr>
        <w:widowControl/>
        <w:adjustRightInd w:val="0"/>
        <w:snapToGrid w:val="0"/>
        <w:ind w:firstLine="0" w:firstLineChars="0"/>
        <w:jc w:val="center"/>
        <w:rPr>
          <w:rFonts w:cs="Times New Roman"/>
          <w:color w:val="auto"/>
        </w:rPr>
      </w:pPr>
      <w:r>
        <w:rPr>
          <w:rFonts w:cs="Times New Roman"/>
          <w:color w:val="auto"/>
        </w:rPr>
        <w:drawing>
          <wp:inline distT="0" distB="0" distL="0" distR="0">
            <wp:extent cx="3967480" cy="2886075"/>
            <wp:effectExtent l="0" t="0" r="13970" b="9525"/>
            <wp:docPr id="107" name="图片 107" descr="C:\Users\luopeng0808\Desktop\防渗\重点防渗区（池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C:\Users\luopeng0808\Desktop\防渗\重点防渗区（池体）.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4029361" cy="2930900"/>
                    </a:xfrm>
                    <a:prstGeom prst="rect">
                      <a:avLst/>
                    </a:prstGeom>
                    <a:noFill/>
                    <a:ln>
                      <a:noFill/>
                    </a:ln>
                  </pic:spPr>
                </pic:pic>
              </a:graphicData>
            </a:graphic>
          </wp:inline>
        </w:drawing>
      </w:r>
    </w:p>
    <w:p w14:paraId="1982FFEB">
      <w:pPr>
        <w:snapToGrid w:val="0"/>
        <w:ind w:firstLine="198" w:firstLineChars="94"/>
        <w:jc w:val="center"/>
        <w:rPr>
          <w:rFonts w:cs="Times New Roman"/>
          <w:color w:val="auto"/>
        </w:rPr>
      </w:pPr>
      <w:r>
        <w:rPr>
          <w:rFonts w:cs="Times New Roman"/>
          <w:b/>
          <w:bCs/>
          <w:color w:val="auto"/>
          <w:sz w:val="21"/>
          <w:szCs w:val="20"/>
        </w:rPr>
        <w:t>图6.5-</w:t>
      </w:r>
      <w:r>
        <w:rPr>
          <w:rFonts w:hint="eastAsia" w:cs="Times New Roman"/>
          <w:b/>
          <w:bCs/>
          <w:color w:val="auto"/>
          <w:sz w:val="21"/>
          <w:szCs w:val="20"/>
        </w:rPr>
        <w:t>3</w:t>
      </w:r>
      <w:r>
        <w:rPr>
          <w:rFonts w:cs="Times New Roman"/>
          <w:b/>
          <w:bCs/>
          <w:color w:val="auto"/>
          <w:sz w:val="21"/>
          <w:szCs w:val="20"/>
        </w:rPr>
        <w:t xml:space="preserve"> </w:t>
      </w:r>
      <w:r>
        <w:rPr>
          <w:rFonts w:cs="Times New Roman"/>
          <w:b/>
          <w:bCs/>
          <w:color w:val="auto"/>
          <w:sz w:val="21"/>
        </w:rPr>
        <w:t>废水处理站各</w:t>
      </w:r>
      <w:r>
        <w:rPr>
          <w:rFonts w:cs="Times New Roman"/>
          <w:b/>
          <w:bCs/>
          <w:color w:val="auto"/>
          <w:sz w:val="21"/>
          <w:szCs w:val="20"/>
        </w:rPr>
        <w:t>池体重点防渗结构示意图</w:t>
      </w:r>
    </w:p>
    <w:p w14:paraId="4AD9AD38">
      <w:pPr>
        <w:ind w:firstLine="482"/>
        <w:rPr>
          <w:rFonts w:hint="eastAsia" w:eastAsia="宋体" w:cs="Times New Roman"/>
          <w:b/>
          <w:bCs/>
          <w:snapToGrid w:val="0"/>
          <w:color w:val="auto"/>
          <w:szCs w:val="24"/>
          <w:lang w:eastAsia="zh-CN"/>
        </w:rPr>
      </w:pPr>
      <w:r>
        <w:rPr>
          <w:rFonts w:eastAsia="宋体" w:cs="Times New Roman"/>
          <w:b/>
          <w:bCs/>
          <w:snapToGrid w:val="0"/>
          <w:color w:val="auto"/>
          <w:szCs w:val="24"/>
        </w:rPr>
        <w:t>一般防渗区</w:t>
      </w:r>
      <w:r>
        <w:rPr>
          <w:rFonts w:hint="eastAsia" w:eastAsia="宋体" w:cs="Times New Roman"/>
          <w:b/>
          <w:bCs/>
          <w:snapToGrid w:val="0"/>
          <w:color w:val="auto"/>
          <w:szCs w:val="24"/>
          <w:lang w:eastAsia="zh-CN"/>
        </w:rPr>
        <w:t>：</w:t>
      </w:r>
    </w:p>
    <w:p w14:paraId="75A542C1">
      <w:pPr>
        <w:widowControl/>
        <w:ind w:firstLine="480"/>
        <w:rPr>
          <w:rFonts w:cs="Times New Roman"/>
          <w:color w:val="auto"/>
        </w:rPr>
      </w:pPr>
      <w:r>
        <w:rPr>
          <w:rFonts w:hint="eastAsia" w:cs="Times New Roman"/>
          <w:color w:val="auto"/>
        </w:rPr>
        <w:t>回用水池及泵房、变配电室及鼓风机房、加药间、园区环境监测</w:t>
      </w:r>
      <w:r>
        <w:rPr>
          <w:rFonts w:hint="eastAsia" w:eastAsia="宋体" w:cs="Times New Roman"/>
          <w:color w:val="auto"/>
        </w:rPr>
        <w:t>站</w:t>
      </w:r>
      <w:r>
        <w:rPr>
          <w:rFonts w:eastAsia="宋体" w:cs="Times New Roman"/>
          <w:color w:val="auto"/>
        </w:rPr>
        <w:t>等依据</w:t>
      </w:r>
      <w:r>
        <w:rPr>
          <w:rFonts w:cs="Times New Roman"/>
          <w:color w:val="auto"/>
          <w:szCs w:val="24"/>
        </w:rPr>
        <w:t>《环境影响评价技术导则</w:t>
      </w:r>
      <w:r>
        <w:rPr>
          <w:rFonts w:hint="eastAsia" w:cs="Times New Roman"/>
          <w:color w:val="auto"/>
          <w:szCs w:val="24"/>
          <w:lang w:val="en-US" w:eastAsia="zh-CN"/>
        </w:rPr>
        <w:t xml:space="preserve"> </w:t>
      </w:r>
      <w:r>
        <w:rPr>
          <w:rFonts w:cs="Times New Roman"/>
          <w:color w:val="auto"/>
          <w:szCs w:val="24"/>
        </w:rPr>
        <w:t>地下水环境》（HJ610-2016），</w:t>
      </w:r>
      <w:r>
        <w:rPr>
          <w:rFonts w:cs="Times New Roman"/>
          <w:color w:val="auto"/>
        </w:rPr>
        <w:t>其防渗层的防渗性能不低于厚度Mb≥1.5m，渗透系数K≤1×10</w:t>
      </w:r>
      <w:r>
        <w:rPr>
          <w:rFonts w:cs="Times New Roman"/>
          <w:color w:val="auto"/>
          <w:vertAlign w:val="superscript"/>
        </w:rPr>
        <w:t>-7</w:t>
      </w:r>
      <w:r>
        <w:rPr>
          <w:rFonts w:cs="Times New Roman"/>
          <w:color w:val="auto"/>
        </w:rPr>
        <w:t>cm/s粘土防渗层防渗性能。本次环评建议采用厚度不低于20cm、抗渗等级为P6（渗透系数≤0.49×10</w:t>
      </w:r>
      <w:r>
        <w:rPr>
          <w:rFonts w:cs="Times New Roman"/>
          <w:color w:val="auto"/>
          <w:vertAlign w:val="superscript"/>
        </w:rPr>
        <w:t>-8</w:t>
      </w:r>
      <w:r>
        <w:rPr>
          <w:rFonts w:cs="Times New Roman"/>
          <w:color w:val="auto"/>
        </w:rPr>
        <w:t>cm/s）的混凝土防渗结构。</w:t>
      </w:r>
    </w:p>
    <w:p w14:paraId="77FA6755">
      <w:pPr>
        <w:ind w:firstLine="482"/>
        <w:rPr>
          <w:rFonts w:hint="eastAsia" w:eastAsia="宋体" w:cs="Times New Roman"/>
          <w:b/>
          <w:bCs/>
          <w:color w:val="auto"/>
          <w:lang w:eastAsia="zh-CN"/>
        </w:rPr>
      </w:pPr>
      <w:r>
        <w:rPr>
          <w:rFonts w:cs="Times New Roman"/>
          <w:b/>
          <w:bCs/>
          <w:color w:val="auto"/>
        </w:rPr>
        <w:t>简单防渗区</w:t>
      </w:r>
      <w:r>
        <w:rPr>
          <w:rFonts w:hint="eastAsia" w:cs="Times New Roman"/>
          <w:b/>
          <w:bCs/>
          <w:color w:val="auto"/>
          <w:lang w:eastAsia="zh-CN"/>
        </w:rPr>
        <w:t>：</w:t>
      </w:r>
    </w:p>
    <w:p w14:paraId="067F7FC7">
      <w:pPr>
        <w:ind w:firstLine="480"/>
        <w:rPr>
          <w:rFonts w:eastAsia="宋体" w:cs="Times New Roman"/>
          <w:color w:val="auto"/>
        </w:rPr>
      </w:pPr>
      <w:r>
        <w:rPr>
          <w:rFonts w:hint="eastAsia" w:cs="Times New Roman"/>
          <w:color w:val="auto"/>
        </w:rPr>
        <w:t>综合办公楼</w:t>
      </w:r>
      <w:r>
        <w:rPr>
          <w:rFonts w:cs="Times New Roman"/>
          <w:color w:val="auto"/>
        </w:rPr>
        <w:t>、</w:t>
      </w:r>
      <w:r>
        <w:rPr>
          <w:rFonts w:hint="eastAsia" w:cs="Times New Roman"/>
          <w:color w:val="auto"/>
        </w:rPr>
        <w:t>门卫室</w:t>
      </w:r>
      <w:r>
        <w:rPr>
          <w:rFonts w:cs="Times New Roman"/>
          <w:color w:val="auto"/>
        </w:rPr>
        <w:t>等无持</w:t>
      </w:r>
      <w:r>
        <w:rPr>
          <w:rFonts w:eastAsia="宋体" w:cs="Times New Roman"/>
          <w:color w:val="auto"/>
          <w:szCs w:val="24"/>
        </w:rPr>
        <w:t>续产生地下水污染物的水力条件或不产生地下水污染物，可采取</w:t>
      </w:r>
      <w:r>
        <w:rPr>
          <w:rFonts w:cs="Times New Roman"/>
          <w:color w:val="auto"/>
        </w:rPr>
        <w:t>简单</w:t>
      </w:r>
      <w:r>
        <w:rPr>
          <w:rFonts w:hint="eastAsia" w:cs="Times New Roman"/>
          <w:color w:val="auto"/>
        </w:rPr>
        <w:t>一般</w:t>
      </w:r>
      <w:r>
        <w:rPr>
          <w:rFonts w:cs="Times New Roman"/>
          <w:color w:val="auto"/>
        </w:rPr>
        <w:t>地面硬化</w:t>
      </w:r>
      <w:r>
        <w:rPr>
          <w:rFonts w:hint="eastAsia" w:cs="Times New Roman"/>
          <w:color w:val="auto"/>
        </w:rPr>
        <w:t>即可</w:t>
      </w:r>
      <w:r>
        <w:rPr>
          <w:rFonts w:cs="Times New Roman"/>
          <w:color w:val="auto"/>
        </w:rPr>
        <w:t>。</w:t>
      </w:r>
    </w:p>
    <w:p w14:paraId="43E84A8F">
      <w:pPr>
        <w:ind w:firstLine="456"/>
        <w:rPr>
          <w:rFonts w:eastAsia="宋体" w:cs="Times New Roman"/>
          <w:bCs/>
          <w:color w:val="auto"/>
          <w:spacing w:val="-6"/>
          <w:szCs w:val="28"/>
        </w:rPr>
      </w:pPr>
      <w:r>
        <w:rPr>
          <w:rFonts w:eastAsia="宋体" w:cs="Times New Roman"/>
          <w:bCs/>
          <w:color w:val="auto"/>
          <w:spacing w:val="-6"/>
          <w:szCs w:val="28"/>
        </w:rPr>
        <w:t>各防渗分区的防渗结构具体应由专业设计单位根据相关要求进行设计，但不应低于环评提出的防渗级别和要求。</w:t>
      </w:r>
    </w:p>
    <w:p w14:paraId="4EE32B30">
      <w:pPr>
        <w:bidi w:val="0"/>
        <w:rPr>
          <w:b/>
          <w:bCs/>
          <w:color w:val="auto"/>
        </w:rPr>
      </w:pPr>
      <w:r>
        <w:rPr>
          <w:rFonts w:hint="eastAsia"/>
          <w:b/>
          <w:bCs/>
          <w:color w:val="auto"/>
          <w:lang w:val="en-US" w:eastAsia="zh-CN"/>
        </w:rPr>
        <w:t>3、</w:t>
      </w:r>
      <w:r>
        <w:rPr>
          <w:b/>
          <w:bCs/>
          <w:color w:val="auto"/>
        </w:rPr>
        <w:t>其他相关措施</w:t>
      </w:r>
    </w:p>
    <w:p w14:paraId="03A98765">
      <w:pPr>
        <w:bidi w:val="0"/>
        <w:rPr>
          <w:color w:val="auto"/>
        </w:rPr>
      </w:pPr>
      <w:r>
        <w:rPr>
          <w:color w:val="auto"/>
        </w:rPr>
        <w:t>（1）根据本项目产污特征</w:t>
      </w:r>
      <w:r>
        <w:rPr>
          <w:rFonts w:hint="eastAsia"/>
          <w:color w:val="auto"/>
          <w:lang w:eastAsia="zh-CN"/>
        </w:rPr>
        <w:t>，</w:t>
      </w:r>
      <w:r>
        <w:rPr>
          <w:color w:val="auto"/>
        </w:rPr>
        <w:t>环评要求本项目运行过程中布设3个地下水水质监测点对评价区地下水水质进行动态监测。</w:t>
      </w:r>
    </w:p>
    <w:p w14:paraId="7E4A255B">
      <w:pPr>
        <w:bidi w:val="0"/>
        <w:rPr>
          <w:color w:val="auto"/>
        </w:rPr>
      </w:pPr>
      <w:r>
        <w:rPr>
          <w:color w:val="auto"/>
        </w:rPr>
        <w:t>（2）项目运行过程中，严格按照环评要求对地下水水质监测井进行监测，一旦发现水质异常，立刻采取有效措施（如采用水动力隔离技术）阻止污染羽的扩散迁移，将地下水控制在局部范围，避免对项目厂区下游地下水造成污染。</w:t>
      </w:r>
    </w:p>
    <w:p w14:paraId="3441FFCB">
      <w:pPr>
        <w:bidi w:val="0"/>
        <w:rPr>
          <w:color w:val="auto"/>
        </w:rPr>
      </w:pPr>
      <w:r>
        <w:rPr>
          <w:color w:val="auto"/>
        </w:rPr>
        <w:t>（3）加强污水处理站管路的检修，避免生产</w:t>
      </w:r>
      <w:r>
        <w:rPr>
          <w:rFonts w:hint="eastAsia"/>
          <w:color w:val="auto"/>
        </w:rPr>
        <w:t>管线</w:t>
      </w:r>
      <w:r>
        <w:rPr>
          <w:color w:val="auto"/>
        </w:rPr>
        <w:t>中</w:t>
      </w:r>
      <w:r>
        <w:rPr>
          <w:rFonts w:hint="eastAsia"/>
          <w:color w:val="auto"/>
        </w:rPr>
        <w:t>废水</w:t>
      </w:r>
      <w:r>
        <w:rPr>
          <w:color w:val="auto"/>
        </w:rPr>
        <w:t>的</w:t>
      </w:r>
      <w:r>
        <w:rPr>
          <w:rFonts w:hint="eastAsia"/>
          <w:color w:val="auto"/>
        </w:rPr>
        <w:t>跑冒</w:t>
      </w:r>
      <w:r>
        <w:rPr>
          <w:color w:val="auto"/>
        </w:rPr>
        <w:t>滴漏。</w:t>
      </w:r>
    </w:p>
    <w:p w14:paraId="7474F832">
      <w:pPr>
        <w:bidi w:val="0"/>
        <w:rPr>
          <w:color w:val="auto"/>
        </w:rPr>
      </w:pPr>
      <w:r>
        <w:rPr>
          <w:color w:val="auto"/>
        </w:rPr>
        <w:t>（</w:t>
      </w:r>
      <w:r>
        <w:rPr>
          <w:rFonts w:hint="eastAsia"/>
          <w:color w:val="auto"/>
        </w:rPr>
        <w:t>4</w:t>
      </w:r>
      <w:r>
        <w:rPr>
          <w:color w:val="auto"/>
        </w:rPr>
        <w:t>）避免雨污混排，实行“清污分流”。</w:t>
      </w:r>
    </w:p>
    <w:bookmarkEnd w:id="108"/>
    <w:p w14:paraId="5EC3D940">
      <w:pPr>
        <w:pStyle w:val="5"/>
        <w:pageBreakBefore w:val="0"/>
        <w:wordWrap/>
        <w:bidi w:val="0"/>
        <w:adjustRightInd/>
        <w:snapToGrid/>
        <w:spacing w:before="120" w:beforeLines="50" w:after="48"/>
        <w:ind w:left="0"/>
        <w:rPr>
          <w:rFonts w:eastAsia="宋体"/>
          <w:color w:val="auto"/>
        </w:rPr>
      </w:pPr>
      <w:r>
        <w:rPr>
          <w:rFonts w:hint="eastAsia" w:eastAsia="宋体"/>
          <w:color w:val="auto"/>
        </w:rPr>
        <w:t xml:space="preserve"> </w:t>
      </w:r>
      <w:r>
        <w:rPr>
          <w:rFonts w:eastAsia="宋体"/>
          <w:color w:val="auto"/>
        </w:rPr>
        <w:t>非正常排放污染源分析</w:t>
      </w:r>
    </w:p>
    <w:p w14:paraId="2225EB8B">
      <w:pPr>
        <w:pageBreakBefore w:val="0"/>
        <w:wordWrap/>
        <w:bidi w:val="0"/>
        <w:adjustRightInd/>
        <w:snapToGrid/>
        <w:ind w:firstLine="480"/>
        <w:rPr>
          <w:color w:val="auto"/>
        </w:rPr>
      </w:pPr>
      <w:r>
        <w:rPr>
          <w:color w:val="auto"/>
        </w:rPr>
        <w:t>本项目可能出现的非正常污染物排放情况是污水处理设备和废气处理设备非正常运行时。</w:t>
      </w:r>
    </w:p>
    <w:p w14:paraId="4B827E97">
      <w:pPr>
        <w:pageBreakBefore w:val="0"/>
        <w:wordWrap/>
        <w:bidi w:val="0"/>
        <w:adjustRightInd/>
        <w:snapToGrid/>
        <w:ind w:firstLine="480"/>
        <w:rPr>
          <w:color w:val="auto"/>
        </w:rPr>
      </w:pPr>
      <w:r>
        <w:rPr>
          <w:color w:val="auto"/>
        </w:rPr>
        <w:t>1、非正常工况废水排放情况</w:t>
      </w:r>
    </w:p>
    <w:p w14:paraId="3A571121">
      <w:pPr>
        <w:pageBreakBefore w:val="0"/>
        <w:wordWrap/>
        <w:bidi w:val="0"/>
        <w:adjustRightInd/>
        <w:snapToGrid/>
        <w:ind w:firstLine="480"/>
        <w:rPr>
          <w:color w:val="auto"/>
        </w:rPr>
      </w:pPr>
      <w:r>
        <w:rPr>
          <w:color w:val="auto"/>
        </w:rPr>
        <w:t>本项目可能出现的非正常情况（事故）下的排放废水情况为：废水处理设备非正常运行。项目污水处理厂内的处理工艺、加药系统和流量控制系统均安装在线自动化检测仪器，发生故障时，可及时报警并停止向外排放废水。在事故排水情况下废水排入事故应急处理池（有效容积</w:t>
      </w:r>
      <w:r>
        <w:rPr>
          <w:rFonts w:hint="eastAsia"/>
          <w:color w:val="auto"/>
          <w:lang w:val="en-US" w:eastAsia="zh-CN"/>
        </w:rPr>
        <w:t>3000</w:t>
      </w:r>
      <w:r>
        <w:rPr>
          <w:rFonts w:hint="eastAsia"/>
          <w:color w:val="auto"/>
          <w:lang w:eastAsia="zh-CN"/>
        </w:rPr>
        <w:t>m³</w:t>
      </w:r>
      <w:r>
        <w:rPr>
          <w:color w:val="auto"/>
        </w:rPr>
        <w:t>），经处理达标后</w:t>
      </w:r>
      <w:r>
        <w:rPr>
          <w:rFonts w:hint="eastAsia"/>
          <w:color w:val="auto"/>
          <w:lang w:eastAsia="zh-CN"/>
        </w:rPr>
        <w:t>排入巴河</w:t>
      </w:r>
      <w:r>
        <w:rPr>
          <w:color w:val="auto"/>
        </w:rPr>
        <w:t>，使废水在非正常工况下具有一定的缓冲能力，因此，不会直接排入</w:t>
      </w:r>
      <w:r>
        <w:rPr>
          <w:rFonts w:hint="eastAsia"/>
          <w:color w:val="auto"/>
          <w:lang w:eastAsia="zh-CN"/>
        </w:rPr>
        <w:t>巴河</w:t>
      </w:r>
      <w:r>
        <w:rPr>
          <w:color w:val="auto"/>
        </w:rPr>
        <w:t>。</w:t>
      </w:r>
    </w:p>
    <w:p w14:paraId="53131447">
      <w:pPr>
        <w:pageBreakBefore w:val="0"/>
        <w:wordWrap/>
        <w:bidi w:val="0"/>
        <w:adjustRightInd/>
        <w:snapToGrid/>
        <w:ind w:firstLine="480"/>
        <w:rPr>
          <w:color w:val="auto"/>
        </w:rPr>
      </w:pPr>
      <w:r>
        <w:rPr>
          <w:color w:val="auto"/>
        </w:rPr>
        <w:t>2、非正常工况废气排放情况</w:t>
      </w:r>
    </w:p>
    <w:p w14:paraId="41131E59">
      <w:pPr>
        <w:pageBreakBefore w:val="0"/>
        <w:wordWrap/>
        <w:bidi w:val="0"/>
        <w:adjustRightInd/>
        <w:snapToGrid/>
        <w:ind w:firstLine="480"/>
        <w:rPr>
          <w:color w:val="auto"/>
        </w:rPr>
      </w:pPr>
      <w:r>
        <w:rPr>
          <w:color w:val="auto"/>
        </w:rPr>
        <w:t>废气处理系统和排风机均设有保安电源。当废气处理设备出现故障时，工艺生产过程排放的废气将未经处理直接排入大气，造成非正常排放。</w:t>
      </w:r>
    </w:p>
    <w:p w14:paraId="3A19ADF2">
      <w:pPr>
        <w:pageBreakBefore w:val="0"/>
        <w:wordWrap/>
        <w:bidi w:val="0"/>
        <w:adjustRightInd/>
        <w:snapToGrid/>
        <w:ind w:firstLine="480"/>
        <w:rPr>
          <w:color w:val="auto"/>
        </w:rPr>
      </w:pPr>
      <w:r>
        <w:rPr>
          <w:color w:val="auto"/>
        </w:rPr>
        <w:t>本工程排风系统均设有安全保护电源和报警系统，设备每年检修一次，基本上能保证无故障运行。日常运行中，若出现故障，检修人员可立即</w:t>
      </w:r>
      <w:r>
        <w:rPr>
          <w:rFonts w:hint="eastAsia"/>
          <w:color w:val="auto"/>
          <w:lang w:eastAsia="zh-CN"/>
        </w:rPr>
        <w:t>赶到</w:t>
      </w:r>
      <w:r>
        <w:rPr>
          <w:color w:val="auto"/>
        </w:rPr>
        <w:t>现场进行维修，一般操作在60分钟内基本上可以完成；最长不会超过120分钟。</w:t>
      </w:r>
    </w:p>
    <w:p w14:paraId="6A6640E9">
      <w:pPr>
        <w:pStyle w:val="4"/>
        <w:pageBreakBefore w:val="0"/>
        <w:wordWrap/>
        <w:bidi w:val="0"/>
        <w:adjustRightInd/>
        <w:snapToGrid/>
        <w:rPr>
          <w:rFonts w:ascii="Times New Roman" w:hAnsi="Times New Roman" w:eastAsia="宋体"/>
          <w:color w:val="auto"/>
        </w:rPr>
      </w:pPr>
      <w:bookmarkStart w:id="109" w:name="_Toc22706"/>
      <w:r>
        <w:rPr>
          <w:rFonts w:hint="eastAsia" w:ascii="Times New Roman" w:hAnsi="Times New Roman" w:eastAsia="宋体"/>
          <w:color w:val="auto"/>
        </w:rPr>
        <w:t xml:space="preserve"> </w:t>
      </w:r>
      <w:bookmarkStart w:id="110" w:name="_Toc18612"/>
      <w:r>
        <w:rPr>
          <w:rFonts w:ascii="Times New Roman" w:hAnsi="Times New Roman" w:eastAsia="宋体"/>
          <w:color w:val="auto"/>
        </w:rPr>
        <w:t>污染源源强核算结果及相关参数</w:t>
      </w:r>
      <w:bookmarkEnd w:id="109"/>
      <w:bookmarkEnd w:id="110"/>
    </w:p>
    <w:p w14:paraId="21F23FEE">
      <w:pPr>
        <w:pageBreakBefore w:val="0"/>
        <w:wordWrap/>
        <w:bidi w:val="0"/>
        <w:adjustRightInd/>
        <w:snapToGrid/>
        <w:ind w:firstLine="480"/>
        <w:rPr>
          <w:bCs/>
          <w:color w:val="auto"/>
        </w:rPr>
      </w:pPr>
      <w:r>
        <w:rPr>
          <w:bCs/>
          <w:color w:val="auto"/>
        </w:rPr>
        <w:t>根据《污染源源强核算技术指南 准则》（HJ884-2018）要求，对项目废气、噪声及固废污染源源强核算结果及相关参数进行汇总，详见</w:t>
      </w:r>
      <w:r>
        <w:rPr>
          <w:rFonts w:hint="eastAsia"/>
          <w:bCs/>
          <w:color w:val="auto"/>
          <w:lang w:val="en-US" w:eastAsia="zh-CN"/>
        </w:rPr>
        <w:t>下表</w:t>
      </w:r>
      <w:r>
        <w:rPr>
          <w:bCs/>
          <w:color w:val="auto"/>
        </w:rPr>
        <w:t>。</w:t>
      </w:r>
    </w:p>
    <w:p w14:paraId="33FBC8C0">
      <w:pPr>
        <w:pageBreakBefore w:val="0"/>
        <w:wordWrap/>
        <w:bidi w:val="0"/>
        <w:adjustRightInd/>
        <w:snapToGrid/>
        <w:ind w:firstLine="480"/>
        <w:rPr>
          <w:bCs/>
          <w:color w:val="auto"/>
        </w:rPr>
        <w:sectPr>
          <w:pgSz w:w="11906" w:h="16838"/>
          <w:pgMar w:top="1440" w:right="1588" w:bottom="1440" w:left="1588" w:header="720" w:footer="720" w:gutter="0"/>
          <w:pgBorders>
            <w:top w:val="none" w:sz="0" w:space="0"/>
            <w:left w:val="none" w:sz="0" w:space="0"/>
            <w:bottom w:val="none" w:sz="0" w:space="0"/>
            <w:right w:val="none" w:sz="0" w:space="0"/>
          </w:pgBorders>
          <w:pgNumType w:fmt="decimal"/>
          <w:cols w:space="720" w:num="1"/>
          <w:docGrid w:linePitch="286" w:charSpace="0"/>
        </w:sectPr>
      </w:pPr>
    </w:p>
    <w:p w14:paraId="05A557BC">
      <w:pPr>
        <w:pStyle w:val="5"/>
        <w:pageBreakBefore w:val="0"/>
        <w:wordWrap/>
        <w:bidi w:val="0"/>
        <w:adjustRightInd/>
        <w:snapToGrid/>
        <w:spacing w:before="48" w:after="48"/>
        <w:ind w:left="0"/>
        <w:rPr>
          <w:rFonts w:hint="eastAsia" w:eastAsia="宋体"/>
          <w:color w:val="auto"/>
        </w:rPr>
      </w:pPr>
      <w:r>
        <w:rPr>
          <w:rFonts w:hint="eastAsia" w:eastAsia="宋体"/>
          <w:color w:val="auto"/>
          <w:lang w:val="en-US" w:eastAsia="zh-CN"/>
        </w:rPr>
        <w:t xml:space="preserve"> </w:t>
      </w:r>
      <w:r>
        <w:rPr>
          <w:rFonts w:eastAsia="宋体"/>
          <w:color w:val="auto"/>
        </w:rPr>
        <w:t>项目</w:t>
      </w:r>
      <w:r>
        <w:rPr>
          <w:rFonts w:hint="eastAsia" w:eastAsia="宋体"/>
          <w:color w:val="auto"/>
        </w:rPr>
        <w:t>废气</w:t>
      </w:r>
      <w:r>
        <w:rPr>
          <w:rFonts w:eastAsia="宋体"/>
          <w:color w:val="auto"/>
        </w:rPr>
        <w:t>污染源强核算汇总</w:t>
      </w:r>
    </w:p>
    <w:p w14:paraId="243148C1">
      <w:pPr>
        <w:pStyle w:val="19"/>
        <w:numPr>
          <w:ilvl w:val="0"/>
          <w:numId w:val="26"/>
        </w:numPr>
        <w:bidi w:val="0"/>
        <w:ind w:left="0" w:leftChars="0" w:firstLine="0" w:firstLineChars="0"/>
        <w:rPr>
          <w:color w:val="auto"/>
        </w:rPr>
      </w:pPr>
      <w:r>
        <w:rPr>
          <w:color w:val="auto"/>
        </w:rPr>
        <w:t>废气污染源源强核算结果及相关参数一览表</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745"/>
        <w:gridCol w:w="677"/>
        <w:gridCol w:w="810"/>
        <w:gridCol w:w="684"/>
        <w:gridCol w:w="863"/>
        <w:gridCol w:w="934"/>
        <w:gridCol w:w="875"/>
        <w:gridCol w:w="1110"/>
        <w:gridCol w:w="832"/>
        <w:gridCol w:w="516"/>
        <w:gridCol w:w="572"/>
        <w:gridCol w:w="782"/>
        <w:gridCol w:w="934"/>
        <w:gridCol w:w="981"/>
        <w:gridCol w:w="1107"/>
        <w:gridCol w:w="715"/>
        <w:gridCol w:w="869"/>
      </w:tblGrid>
      <w:tr w14:paraId="275C12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6" w:type="pct"/>
            <w:vMerge w:val="restart"/>
            <w:tcBorders>
              <w:tl2br w:val="nil"/>
              <w:tr2bl w:val="nil"/>
            </w:tcBorders>
            <w:noWrap w:val="0"/>
            <w:vAlign w:val="center"/>
          </w:tcPr>
          <w:p w14:paraId="67F06085">
            <w:pPr>
              <w:pStyle w:val="16"/>
              <w:bidi w:val="0"/>
              <w:rPr>
                <w:b/>
                <w:bCs/>
                <w:color w:val="auto"/>
              </w:rPr>
            </w:pPr>
            <w:r>
              <w:rPr>
                <w:b/>
                <w:bCs/>
                <w:color w:val="auto"/>
              </w:rPr>
              <w:t>生产线</w:t>
            </w:r>
          </w:p>
        </w:tc>
        <w:tc>
          <w:tcPr>
            <w:tcW w:w="242" w:type="pct"/>
            <w:vMerge w:val="restart"/>
            <w:tcBorders>
              <w:tl2br w:val="nil"/>
              <w:tr2bl w:val="nil"/>
            </w:tcBorders>
            <w:noWrap w:val="0"/>
            <w:vAlign w:val="center"/>
          </w:tcPr>
          <w:p w14:paraId="0DCF43F9">
            <w:pPr>
              <w:pStyle w:val="16"/>
              <w:bidi w:val="0"/>
              <w:rPr>
                <w:b/>
                <w:bCs/>
                <w:color w:val="auto"/>
              </w:rPr>
            </w:pPr>
            <w:r>
              <w:rPr>
                <w:b/>
                <w:bCs/>
                <w:color w:val="auto"/>
              </w:rPr>
              <w:t>工序</w:t>
            </w:r>
          </w:p>
        </w:tc>
        <w:tc>
          <w:tcPr>
            <w:tcW w:w="289" w:type="pct"/>
            <w:vMerge w:val="restart"/>
            <w:tcBorders>
              <w:tl2br w:val="nil"/>
              <w:tr2bl w:val="nil"/>
            </w:tcBorders>
            <w:noWrap w:val="0"/>
            <w:vAlign w:val="center"/>
          </w:tcPr>
          <w:p w14:paraId="7D47C3AA">
            <w:pPr>
              <w:pStyle w:val="16"/>
              <w:bidi w:val="0"/>
              <w:rPr>
                <w:b/>
                <w:bCs/>
                <w:color w:val="auto"/>
              </w:rPr>
            </w:pPr>
            <w:r>
              <w:rPr>
                <w:b/>
                <w:bCs/>
                <w:color w:val="auto"/>
              </w:rPr>
              <w:t>污染源</w:t>
            </w:r>
          </w:p>
        </w:tc>
        <w:tc>
          <w:tcPr>
            <w:tcW w:w="244" w:type="pct"/>
            <w:vMerge w:val="restart"/>
            <w:tcBorders>
              <w:tl2br w:val="nil"/>
              <w:tr2bl w:val="nil"/>
            </w:tcBorders>
            <w:noWrap w:val="0"/>
            <w:vAlign w:val="center"/>
          </w:tcPr>
          <w:p w14:paraId="62D0F811">
            <w:pPr>
              <w:pStyle w:val="16"/>
              <w:bidi w:val="0"/>
              <w:rPr>
                <w:b/>
                <w:bCs/>
                <w:color w:val="auto"/>
              </w:rPr>
            </w:pPr>
            <w:r>
              <w:rPr>
                <w:b/>
                <w:bCs/>
                <w:color w:val="auto"/>
              </w:rPr>
              <w:t>污染物</w:t>
            </w:r>
          </w:p>
        </w:tc>
        <w:tc>
          <w:tcPr>
            <w:tcW w:w="1349" w:type="pct"/>
            <w:gridSpan w:val="4"/>
            <w:tcBorders>
              <w:tl2br w:val="nil"/>
              <w:tr2bl w:val="nil"/>
            </w:tcBorders>
            <w:noWrap w:val="0"/>
            <w:vAlign w:val="center"/>
          </w:tcPr>
          <w:p w14:paraId="00F49737">
            <w:pPr>
              <w:pStyle w:val="16"/>
              <w:bidi w:val="0"/>
              <w:rPr>
                <w:b/>
                <w:bCs/>
                <w:color w:val="auto"/>
              </w:rPr>
            </w:pPr>
            <w:r>
              <w:rPr>
                <w:b/>
                <w:bCs/>
                <w:color w:val="auto"/>
              </w:rPr>
              <w:t>污染物产生</w:t>
            </w:r>
          </w:p>
        </w:tc>
        <w:tc>
          <w:tcPr>
            <w:tcW w:w="685" w:type="pct"/>
            <w:gridSpan w:val="3"/>
            <w:tcBorders>
              <w:tl2br w:val="nil"/>
              <w:tr2bl w:val="nil"/>
            </w:tcBorders>
            <w:noWrap w:val="0"/>
            <w:vAlign w:val="center"/>
          </w:tcPr>
          <w:p w14:paraId="5FE088FD">
            <w:pPr>
              <w:pStyle w:val="16"/>
              <w:bidi w:val="0"/>
              <w:rPr>
                <w:b/>
                <w:bCs/>
                <w:color w:val="auto"/>
              </w:rPr>
            </w:pPr>
            <w:r>
              <w:rPr>
                <w:b/>
                <w:bCs/>
                <w:color w:val="auto"/>
              </w:rPr>
              <w:t>治理措施</w:t>
            </w:r>
          </w:p>
        </w:tc>
        <w:tc>
          <w:tcPr>
            <w:tcW w:w="1357" w:type="pct"/>
            <w:gridSpan w:val="4"/>
            <w:tcBorders>
              <w:tl2br w:val="nil"/>
              <w:tr2bl w:val="nil"/>
            </w:tcBorders>
            <w:noWrap w:val="0"/>
            <w:vAlign w:val="center"/>
          </w:tcPr>
          <w:p w14:paraId="4FE6A57A">
            <w:pPr>
              <w:pStyle w:val="16"/>
              <w:bidi w:val="0"/>
              <w:rPr>
                <w:b/>
                <w:bCs/>
                <w:color w:val="auto"/>
              </w:rPr>
            </w:pPr>
            <w:r>
              <w:rPr>
                <w:b/>
                <w:bCs/>
                <w:color w:val="auto"/>
              </w:rPr>
              <w:t>污染物排放</w:t>
            </w:r>
          </w:p>
        </w:tc>
        <w:tc>
          <w:tcPr>
            <w:tcW w:w="255" w:type="pct"/>
            <w:vMerge w:val="restart"/>
            <w:tcBorders>
              <w:tl2br w:val="nil"/>
              <w:tr2bl w:val="nil"/>
            </w:tcBorders>
            <w:noWrap w:val="0"/>
            <w:vAlign w:val="center"/>
          </w:tcPr>
          <w:p w14:paraId="11F6D61C">
            <w:pPr>
              <w:pStyle w:val="16"/>
              <w:bidi w:val="0"/>
              <w:rPr>
                <w:b/>
                <w:bCs/>
                <w:color w:val="auto"/>
              </w:rPr>
            </w:pPr>
            <w:r>
              <w:rPr>
                <w:b/>
                <w:bCs/>
                <w:color w:val="auto"/>
              </w:rPr>
              <w:t>排放时间h/a</w:t>
            </w:r>
          </w:p>
        </w:tc>
        <w:tc>
          <w:tcPr>
            <w:tcW w:w="310" w:type="pct"/>
            <w:vMerge w:val="restart"/>
            <w:tcBorders>
              <w:tl2br w:val="nil"/>
              <w:tr2bl w:val="nil"/>
            </w:tcBorders>
            <w:noWrap w:val="0"/>
            <w:vAlign w:val="center"/>
          </w:tcPr>
          <w:p w14:paraId="370D0FDA">
            <w:pPr>
              <w:pStyle w:val="16"/>
              <w:bidi w:val="0"/>
              <w:rPr>
                <w:b/>
                <w:bCs/>
                <w:color w:val="auto"/>
              </w:rPr>
            </w:pPr>
            <w:r>
              <w:rPr>
                <w:b/>
                <w:bCs/>
                <w:color w:val="auto"/>
              </w:rPr>
              <w:t>污染物年排放量/（t/a）</w:t>
            </w:r>
          </w:p>
        </w:tc>
      </w:tr>
      <w:tr w14:paraId="03AC1A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6" w:type="pct"/>
            <w:vMerge w:val="continue"/>
            <w:tcBorders>
              <w:tl2br w:val="nil"/>
              <w:tr2bl w:val="nil"/>
            </w:tcBorders>
            <w:noWrap w:val="0"/>
            <w:vAlign w:val="center"/>
          </w:tcPr>
          <w:p w14:paraId="1A817040">
            <w:pPr>
              <w:pStyle w:val="16"/>
              <w:bidi w:val="0"/>
              <w:rPr>
                <w:color w:val="auto"/>
              </w:rPr>
            </w:pPr>
          </w:p>
        </w:tc>
        <w:tc>
          <w:tcPr>
            <w:tcW w:w="242" w:type="pct"/>
            <w:vMerge w:val="continue"/>
            <w:tcBorders>
              <w:tl2br w:val="nil"/>
              <w:tr2bl w:val="nil"/>
            </w:tcBorders>
            <w:noWrap w:val="0"/>
            <w:vAlign w:val="center"/>
          </w:tcPr>
          <w:p w14:paraId="1416BF3A">
            <w:pPr>
              <w:pStyle w:val="16"/>
              <w:bidi w:val="0"/>
              <w:rPr>
                <w:color w:val="auto"/>
              </w:rPr>
            </w:pPr>
          </w:p>
        </w:tc>
        <w:tc>
          <w:tcPr>
            <w:tcW w:w="289" w:type="pct"/>
            <w:vMerge w:val="continue"/>
            <w:tcBorders>
              <w:tl2br w:val="nil"/>
              <w:tr2bl w:val="nil"/>
            </w:tcBorders>
            <w:noWrap w:val="0"/>
            <w:vAlign w:val="center"/>
          </w:tcPr>
          <w:p w14:paraId="1624940E">
            <w:pPr>
              <w:pStyle w:val="16"/>
              <w:bidi w:val="0"/>
              <w:rPr>
                <w:color w:val="auto"/>
              </w:rPr>
            </w:pPr>
          </w:p>
        </w:tc>
        <w:tc>
          <w:tcPr>
            <w:tcW w:w="244" w:type="pct"/>
            <w:vMerge w:val="continue"/>
            <w:tcBorders>
              <w:tl2br w:val="nil"/>
              <w:tr2bl w:val="nil"/>
            </w:tcBorders>
            <w:noWrap w:val="0"/>
            <w:vAlign w:val="center"/>
          </w:tcPr>
          <w:p w14:paraId="3432E3F0">
            <w:pPr>
              <w:pStyle w:val="16"/>
              <w:bidi w:val="0"/>
              <w:rPr>
                <w:color w:val="auto"/>
              </w:rPr>
            </w:pPr>
          </w:p>
        </w:tc>
        <w:tc>
          <w:tcPr>
            <w:tcW w:w="308" w:type="pct"/>
            <w:tcBorders>
              <w:tl2br w:val="nil"/>
              <w:tr2bl w:val="nil"/>
            </w:tcBorders>
            <w:noWrap w:val="0"/>
            <w:vAlign w:val="center"/>
          </w:tcPr>
          <w:p w14:paraId="6CAE4F7F">
            <w:pPr>
              <w:pStyle w:val="16"/>
              <w:bidi w:val="0"/>
              <w:rPr>
                <w:b/>
                <w:bCs/>
                <w:color w:val="auto"/>
              </w:rPr>
            </w:pPr>
            <w:r>
              <w:rPr>
                <w:b/>
                <w:bCs/>
                <w:color w:val="auto"/>
              </w:rPr>
              <w:t>核算方法</w:t>
            </w:r>
          </w:p>
        </w:tc>
        <w:tc>
          <w:tcPr>
            <w:tcW w:w="333" w:type="pct"/>
            <w:tcBorders>
              <w:tl2br w:val="nil"/>
              <w:tr2bl w:val="nil"/>
            </w:tcBorders>
            <w:noWrap w:val="0"/>
            <w:vAlign w:val="center"/>
          </w:tcPr>
          <w:p w14:paraId="69783E4D">
            <w:pPr>
              <w:pStyle w:val="16"/>
              <w:bidi w:val="0"/>
              <w:rPr>
                <w:b/>
                <w:bCs/>
                <w:color w:val="auto"/>
              </w:rPr>
            </w:pPr>
            <w:r>
              <w:rPr>
                <w:b/>
                <w:bCs/>
                <w:color w:val="auto"/>
              </w:rPr>
              <w:t>废气产生量/（</w:t>
            </w:r>
            <w:r>
              <w:rPr>
                <w:rFonts w:hint="eastAsia"/>
                <w:b/>
                <w:bCs/>
                <w:color w:val="auto"/>
                <w:lang w:eastAsia="zh-CN"/>
              </w:rPr>
              <w:t>m³</w:t>
            </w:r>
            <w:r>
              <w:rPr>
                <w:b/>
                <w:bCs/>
                <w:color w:val="auto"/>
              </w:rPr>
              <w:t>/h）</w:t>
            </w:r>
          </w:p>
        </w:tc>
        <w:tc>
          <w:tcPr>
            <w:tcW w:w="312" w:type="pct"/>
            <w:tcBorders>
              <w:tl2br w:val="nil"/>
              <w:tr2bl w:val="nil"/>
            </w:tcBorders>
            <w:noWrap w:val="0"/>
            <w:vAlign w:val="center"/>
          </w:tcPr>
          <w:p w14:paraId="260BAED6">
            <w:pPr>
              <w:pStyle w:val="16"/>
              <w:bidi w:val="0"/>
              <w:rPr>
                <w:b/>
                <w:bCs/>
                <w:color w:val="auto"/>
              </w:rPr>
            </w:pPr>
            <w:r>
              <w:rPr>
                <w:b/>
                <w:bCs/>
                <w:color w:val="auto"/>
              </w:rPr>
              <w:t>产生速率/（kg/h）</w:t>
            </w:r>
          </w:p>
        </w:tc>
        <w:tc>
          <w:tcPr>
            <w:tcW w:w="395" w:type="pct"/>
            <w:tcBorders>
              <w:tl2br w:val="nil"/>
              <w:tr2bl w:val="nil"/>
            </w:tcBorders>
            <w:noWrap w:val="0"/>
            <w:vAlign w:val="center"/>
          </w:tcPr>
          <w:p w14:paraId="2092E222">
            <w:pPr>
              <w:pStyle w:val="16"/>
              <w:bidi w:val="0"/>
              <w:rPr>
                <w:b/>
                <w:bCs/>
                <w:color w:val="auto"/>
              </w:rPr>
            </w:pPr>
            <w:r>
              <w:rPr>
                <w:b/>
                <w:bCs/>
                <w:color w:val="auto"/>
              </w:rPr>
              <w:t>产生浓度/（mg/</w:t>
            </w:r>
            <w:r>
              <w:rPr>
                <w:rFonts w:hint="eastAsia"/>
                <w:b/>
                <w:bCs/>
                <w:color w:val="auto"/>
                <w:lang w:eastAsia="zh-CN"/>
              </w:rPr>
              <w:t>m³</w:t>
            </w:r>
            <w:r>
              <w:rPr>
                <w:b/>
                <w:bCs/>
                <w:color w:val="auto"/>
              </w:rPr>
              <w:t>）</w:t>
            </w:r>
          </w:p>
        </w:tc>
        <w:tc>
          <w:tcPr>
            <w:tcW w:w="297" w:type="pct"/>
            <w:tcBorders>
              <w:tl2br w:val="nil"/>
              <w:tr2bl w:val="nil"/>
            </w:tcBorders>
            <w:noWrap w:val="0"/>
            <w:vAlign w:val="center"/>
          </w:tcPr>
          <w:p w14:paraId="37638480">
            <w:pPr>
              <w:pStyle w:val="16"/>
              <w:bidi w:val="0"/>
              <w:rPr>
                <w:b/>
                <w:bCs/>
                <w:color w:val="auto"/>
              </w:rPr>
            </w:pPr>
            <w:r>
              <w:rPr>
                <w:b/>
                <w:bCs/>
                <w:color w:val="auto"/>
              </w:rPr>
              <w:t>工艺</w:t>
            </w:r>
          </w:p>
        </w:tc>
        <w:tc>
          <w:tcPr>
            <w:tcW w:w="184" w:type="pct"/>
            <w:tcBorders>
              <w:tl2br w:val="nil"/>
              <w:tr2bl w:val="nil"/>
            </w:tcBorders>
            <w:noWrap w:val="0"/>
            <w:vAlign w:val="center"/>
          </w:tcPr>
          <w:p w14:paraId="38CAE6AE">
            <w:pPr>
              <w:pStyle w:val="16"/>
              <w:bidi w:val="0"/>
              <w:rPr>
                <w:b/>
                <w:bCs/>
                <w:color w:val="auto"/>
              </w:rPr>
            </w:pPr>
            <w:r>
              <w:rPr>
                <w:b/>
                <w:bCs/>
                <w:color w:val="auto"/>
              </w:rPr>
              <w:t>收集效率/%</w:t>
            </w:r>
          </w:p>
        </w:tc>
        <w:tc>
          <w:tcPr>
            <w:tcW w:w="204" w:type="pct"/>
            <w:tcBorders>
              <w:tl2br w:val="nil"/>
              <w:tr2bl w:val="nil"/>
            </w:tcBorders>
            <w:noWrap w:val="0"/>
            <w:vAlign w:val="center"/>
          </w:tcPr>
          <w:p w14:paraId="50AE9948">
            <w:pPr>
              <w:pStyle w:val="16"/>
              <w:bidi w:val="0"/>
              <w:rPr>
                <w:b/>
                <w:bCs/>
                <w:color w:val="auto"/>
              </w:rPr>
            </w:pPr>
            <w:r>
              <w:rPr>
                <w:b/>
                <w:bCs/>
                <w:color w:val="auto"/>
              </w:rPr>
              <w:t>处理效率/%</w:t>
            </w:r>
          </w:p>
        </w:tc>
        <w:tc>
          <w:tcPr>
            <w:tcW w:w="279" w:type="pct"/>
            <w:tcBorders>
              <w:tl2br w:val="nil"/>
              <w:tr2bl w:val="nil"/>
            </w:tcBorders>
            <w:noWrap w:val="0"/>
            <w:vAlign w:val="center"/>
          </w:tcPr>
          <w:p w14:paraId="6BA056F2">
            <w:pPr>
              <w:pStyle w:val="16"/>
              <w:bidi w:val="0"/>
              <w:rPr>
                <w:b/>
                <w:bCs/>
                <w:color w:val="auto"/>
              </w:rPr>
            </w:pPr>
            <w:r>
              <w:rPr>
                <w:b/>
                <w:bCs/>
                <w:color w:val="auto"/>
              </w:rPr>
              <w:t>核算方法</w:t>
            </w:r>
          </w:p>
        </w:tc>
        <w:tc>
          <w:tcPr>
            <w:tcW w:w="333" w:type="pct"/>
            <w:tcBorders>
              <w:tl2br w:val="nil"/>
              <w:tr2bl w:val="nil"/>
            </w:tcBorders>
            <w:noWrap w:val="0"/>
            <w:vAlign w:val="center"/>
          </w:tcPr>
          <w:p w14:paraId="20FAC622">
            <w:pPr>
              <w:pStyle w:val="16"/>
              <w:bidi w:val="0"/>
              <w:rPr>
                <w:b/>
                <w:bCs/>
                <w:color w:val="auto"/>
              </w:rPr>
            </w:pPr>
            <w:r>
              <w:rPr>
                <w:b/>
                <w:bCs/>
                <w:color w:val="auto"/>
              </w:rPr>
              <w:t>废气排放量/（</w:t>
            </w:r>
            <w:r>
              <w:rPr>
                <w:rFonts w:hint="eastAsia"/>
                <w:b/>
                <w:bCs/>
                <w:color w:val="auto"/>
                <w:lang w:eastAsia="zh-CN"/>
              </w:rPr>
              <w:t>m³</w:t>
            </w:r>
            <w:r>
              <w:rPr>
                <w:b/>
                <w:bCs/>
                <w:color w:val="auto"/>
              </w:rPr>
              <w:t>/h）</w:t>
            </w:r>
          </w:p>
        </w:tc>
        <w:tc>
          <w:tcPr>
            <w:tcW w:w="350" w:type="pct"/>
            <w:tcBorders>
              <w:tl2br w:val="nil"/>
              <w:tr2bl w:val="nil"/>
            </w:tcBorders>
            <w:noWrap w:val="0"/>
            <w:vAlign w:val="center"/>
          </w:tcPr>
          <w:p w14:paraId="3275B840">
            <w:pPr>
              <w:pStyle w:val="16"/>
              <w:bidi w:val="0"/>
              <w:rPr>
                <w:b/>
                <w:bCs/>
                <w:color w:val="auto"/>
              </w:rPr>
            </w:pPr>
            <w:r>
              <w:rPr>
                <w:b/>
                <w:bCs/>
                <w:color w:val="auto"/>
              </w:rPr>
              <w:t>排放速率/（kg/h）</w:t>
            </w:r>
          </w:p>
        </w:tc>
        <w:tc>
          <w:tcPr>
            <w:tcW w:w="395" w:type="pct"/>
            <w:tcBorders>
              <w:tl2br w:val="nil"/>
              <w:tr2bl w:val="nil"/>
            </w:tcBorders>
            <w:noWrap w:val="0"/>
            <w:vAlign w:val="center"/>
          </w:tcPr>
          <w:p w14:paraId="65A47B6A">
            <w:pPr>
              <w:pStyle w:val="16"/>
              <w:bidi w:val="0"/>
              <w:rPr>
                <w:b/>
                <w:bCs/>
                <w:color w:val="auto"/>
              </w:rPr>
            </w:pPr>
            <w:r>
              <w:rPr>
                <w:b/>
                <w:bCs/>
                <w:color w:val="auto"/>
              </w:rPr>
              <w:t>排放浓度/（mg/</w:t>
            </w:r>
            <w:r>
              <w:rPr>
                <w:rFonts w:hint="eastAsia"/>
                <w:b/>
                <w:bCs/>
                <w:color w:val="auto"/>
                <w:lang w:eastAsia="zh-CN"/>
              </w:rPr>
              <w:t>m³</w:t>
            </w:r>
            <w:r>
              <w:rPr>
                <w:b/>
                <w:bCs/>
                <w:color w:val="auto"/>
              </w:rPr>
              <w:t>）</w:t>
            </w:r>
          </w:p>
        </w:tc>
        <w:tc>
          <w:tcPr>
            <w:tcW w:w="255" w:type="pct"/>
            <w:vMerge w:val="continue"/>
            <w:tcBorders>
              <w:tl2br w:val="nil"/>
              <w:tr2bl w:val="nil"/>
            </w:tcBorders>
            <w:noWrap w:val="0"/>
            <w:vAlign w:val="center"/>
          </w:tcPr>
          <w:p w14:paraId="7FC9F988">
            <w:pPr>
              <w:pStyle w:val="16"/>
              <w:bidi w:val="0"/>
              <w:rPr>
                <w:color w:val="auto"/>
              </w:rPr>
            </w:pPr>
          </w:p>
        </w:tc>
        <w:tc>
          <w:tcPr>
            <w:tcW w:w="310" w:type="pct"/>
            <w:vMerge w:val="continue"/>
            <w:tcBorders>
              <w:tl2br w:val="nil"/>
              <w:tr2bl w:val="nil"/>
            </w:tcBorders>
            <w:noWrap w:val="0"/>
            <w:vAlign w:val="center"/>
          </w:tcPr>
          <w:p w14:paraId="338CE892">
            <w:pPr>
              <w:pStyle w:val="16"/>
              <w:bidi w:val="0"/>
              <w:rPr>
                <w:color w:val="auto"/>
              </w:rPr>
            </w:pPr>
          </w:p>
        </w:tc>
      </w:tr>
      <w:tr w14:paraId="28ACCF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6" w:type="pct"/>
            <w:vMerge w:val="restart"/>
            <w:tcBorders>
              <w:tl2br w:val="nil"/>
              <w:tr2bl w:val="nil"/>
            </w:tcBorders>
            <w:noWrap w:val="0"/>
            <w:vAlign w:val="center"/>
          </w:tcPr>
          <w:p w14:paraId="6F4A4BC6">
            <w:pPr>
              <w:pStyle w:val="16"/>
              <w:bidi w:val="0"/>
              <w:rPr>
                <w:rFonts w:hint="default"/>
                <w:color w:val="auto"/>
                <w:lang w:val="en-US" w:eastAsia="zh-CN"/>
              </w:rPr>
            </w:pPr>
            <w:r>
              <w:rPr>
                <w:rFonts w:hint="eastAsia"/>
                <w:color w:val="auto"/>
                <w:lang w:val="en-US" w:eastAsia="zh-CN"/>
              </w:rPr>
              <w:t>预处理、生化处理、污泥处理</w:t>
            </w:r>
          </w:p>
        </w:tc>
        <w:tc>
          <w:tcPr>
            <w:tcW w:w="242" w:type="pct"/>
            <w:vMerge w:val="restart"/>
            <w:tcBorders>
              <w:tl2br w:val="nil"/>
              <w:tr2bl w:val="nil"/>
            </w:tcBorders>
            <w:noWrap w:val="0"/>
            <w:vAlign w:val="center"/>
          </w:tcPr>
          <w:p w14:paraId="317B5745">
            <w:pPr>
              <w:pStyle w:val="16"/>
              <w:bidi w:val="0"/>
              <w:rPr>
                <w:color w:val="auto"/>
              </w:rPr>
            </w:pPr>
            <w:r>
              <w:rPr>
                <w:color w:val="auto"/>
              </w:rPr>
              <w:t>水质调</w:t>
            </w:r>
            <w:r>
              <w:rPr>
                <w:rFonts w:hint="eastAsia"/>
                <w:color w:val="auto"/>
              </w:rPr>
              <w:t>节</w:t>
            </w:r>
          </w:p>
        </w:tc>
        <w:tc>
          <w:tcPr>
            <w:tcW w:w="289" w:type="pct"/>
            <w:vMerge w:val="restart"/>
            <w:tcBorders>
              <w:tl2br w:val="nil"/>
              <w:tr2bl w:val="nil"/>
            </w:tcBorders>
            <w:noWrap w:val="0"/>
            <w:vAlign w:val="center"/>
          </w:tcPr>
          <w:p w14:paraId="40CA5400">
            <w:pPr>
              <w:pStyle w:val="16"/>
              <w:bidi w:val="0"/>
              <w:rPr>
                <w:rFonts w:hint="default"/>
                <w:color w:val="auto"/>
                <w:lang w:val="en-US" w:eastAsia="zh-CN"/>
              </w:rPr>
            </w:pPr>
            <w:r>
              <w:rPr>
                <w:rFonts w:hint="eastAsia"/>
                <w:color w:val="auto"/>
                <w:lang w:val="en-US" w:eastAsia="zh-CN"/>
              </w:rPr>
              <w:t>格栅、调节池、生化池、水解酸化池等等</w:t>
            </w:r>
          </w:p>
        </w:tc>
        <w:tc>
          <w:tcPr>
            <w:tcW w:w="244" w:type="pct"/>
            <w:tcBorders>
              <w:tl2br w:val="nil"/>
              <w:tr2bl w:val="nil"/>
            </w:tcBorders>
            <w:noWrap w:val="0"/>
            <w:vAlign w:val="center"/>
          </w:tcPr>
          <w:p w14:paraId="63894D14">
            <w:pPr>
              <w:pStyle w:val="16"/>
              <w:bidi w:val="0"/>
              <w:rPr>
                <w:color w:val="auto"/>
              </w:rPr>
            </w:pPr>
            <w:r>
              <w:rPr>
                <w:color w:val="auto"/>
              </w:rPr>
              <w:t>NH</w:t>
            </w:r>
            <w:r>
              <w:rPr>
                <w:color w:val="auto"/>
                <w:vertAlign w:val="subscript"/>
              </w:rPr>
              <w:t>3</w:t>
            </w:r>
          </w:p>
        </w:tc>
        <w:tc>
          <w:tcPr>
            <w:tcW w:w="308" w:type="pct"/>
            <w:tcBorders>
              <w:tl2br w:val="nil"/>
              <w:tr2bl w:val="nil"/>
            </w:tcBorders>
            <w:noWrap w:val="0"/>
            <w:vAlign w:val="center"/>
          </w:tcPr>
          <w:p w14:paraId="1B06CF34">
            <w:pPr>
              <w:pStyle w:val="16"/>
              <w:bidi w:val="0"/>
              <w:rPr>
                <w:color w:val="auto"/>
              </w:rPr>
            </w:pPr>
            <w:r>
              <w:rPr>
                <w:color w:val="auto"/>
              </w:rPr>
              <w:t>产污系数法</w:t>
            </w:r>
          </w:p>
        </w:tc>
        <w:tc>
          <w:tcPr>
            <w:tcW w:w="333" w:type="pct"/>
            <w:vMerge w:val="restart"/>
            <w:tcBorders>
              <w:tl2br w:val="nil"/>
              <w:tr2bl w:val="nil"/>
            </w:tcBorders>
            <w:noWrap w:val="0"/>
            <w:vAlign w:val="center"/>
          </w:tcPr>
          <w:p w14:paraId="18693461">
            <w:pPr>
              <w:pStyle w:val="16"/>
              <w:bidi w:val="0"/>
              <w:rPr>
                <w:rFonts w:hint="default" w:eastAsia="宋体"/>
                <w:color w:val="auto"/>
                <w:lang w:val="en-US" w:eastAsia="zh-CN"/>
              </w:rPr>
            </w:pPr>
            <w:r>
              <w:rPr>
                <w:rFonts w:hint="eastAsia"/>
                <w:color w:val="auto"/>
                <w:lang w:val="en-US" w:eastAsia="zh-CN"/>
              </w:rPr>
              <w:t>20000</w:t>
            </w:r>
          </w:p>
        </w:tc>
        <w:tc>
          <w:tcPr>
            <w:tcW w:w="312" w:type="pct"/>
            <w:tcBorders>
              <w:tl2br w:val="nil"/>
              <w:tr2bl w:val="nil"/>
            </w:tcBorders>
            <w:noWrap w:val="0"/>
            <w:vAlign w:val="center"/>
          </w:tcPr>
          <w:p w14:paraId="495282A6">
            <w:pPr>
              <w:pStyle w:val="16"/>
              <w:bidi w:val="0"/>
              <w:rPr>
                <w:rFonts w:hint="default" w:eastAsia="宋体"/>
                <w:color w:val="auto"/>
                <w:lang w:val="en-US" w:eastAsia="zh-CN"/>
              </w:rPr>
            </w:pPr>
            <w:r>
              <w:rPr>
                <w:rFonts w:hint="eastAsia"/>
                <w:color w:val="auto"/>
                <w:lang w:val="en-US" w:eastAsia="zh-CN"/>
              </w:rPr>
              <w:t>0.901</w:t>
            </w:r>
          </w:p>
        </w:tc>
        <w:tc>
          <w:tcPr>
            <w:tcW w:w="395" w:type="pct"/>
            <w:tcBorders>
              <w:tl2br w:val="nil"/>
              <w:tr2bl w:val="nil"/>
            </w:tcBorders>
            <w:noWrap w:val="0"/>
            <w:vAlign w:val="center"/>
          </w:tcPr>
          <w:p w14:paraId="5C600853">
            <w:pPr>
              <w:pStyle w:val="16"/>
              <w:bidi w:val="0"/>
              <w:rPr>
                <w:rFonts w:hint="default" w:eastAsia="宋体"/>
                <w:color w:val="auto"/>
                <w:lang w:val="en-US" w:eastAsia="zh-CN"/>
              </w:rPr>
            </w:pPr>
            <w:r>
              <w:rPr>
                <w:rFonts w:hint="eastAsia"/>
                <w:color w:val="auto"/>
                <w:lang w:val="en-US" w:eastAsia="zh-CN"/>
              </w:rPr>
              <w:t>45.05</w:t>
            </w:r>
          </w:p>
        </w:tc>
        <w:tc>
          <w:tcPr>
            <w:tcW w:w="297" w:type="pct"/>
            <w:vMerge w:val="restart"/>
            <w:tcBorders>
              <w:tl2br w:val="nil"/>
              <w:tr2bl w:val="nil"/>
            </w:tcBorders>
            <w:noWrap w:val="0"/>
            <w:vAlign w:val="center"/>
          </w:tcPr>
          <w:p w14:paraId="2D6E94B1">
            <w:pPr>
              <w:pStyle w:val="16"/>
              <w:bidi w:val="0"/>
              <w:rPr>
                <w:rFonts w:hint="default" w:eastAsia="宋体"/>
                <w:color w:val="auto"/>
                <w:lang w:val="en-US" w:eastAsia="zh-CN"/>
              </w:rPr>
            </w:pPr>
            <w:r>
              <w:rPr>
                <w:rFonts w:hint="eastAsia"/>
                <w:color w:val="auto"/>
                <w:lang w:val="en-US" w:eastAsia="zh-CN"/>
              </w:rPr>
              <w:t>生物滤池除臭</w:t>
            </w:r>
          </w:p>
        </w:tc>
        <w:tc>
          <w:tcPr>
            <w:tcW w:w="184" w:type="pct"/>
            <w:vMerge w:val="restart"/>
            <w:tcBorders>
              <w:tl2br w:val="nil"/>
              <w:tr2bl w:val="nil"/>
            </w:tcBorders>
            <w:noWrap w:val="0"/>
            <w:vAlign w:val="center"/>
          </w:tcPr>
          <w:p w14:paraId="5E7455B6">
            <w:pPr>
              <w:pStyle w:val="16"/>
              <w:bidi w:val="0"/>
              <w:rPr>
                <w:rFonts w:hint="eastAsia"/>
                <w:color w:val="auto"/>
              </w:rPr>
            </w:pPr>
            <w:r>
              <w:rPr>
                <w:color w:val="auto"/>
              </w:rPr>
              <w:t>9</w:t>
            </w:r>
            <w:r>
              <w:rPr>
                <w:rFonts w:hint="eastAsia"/>
                <w:color w:val="auto"/>
              </w:rPr>
              <w:t>5</w:t>
            </w:r>
          </w:p>
        </w:tc>
        <w:tc>
          <w:tcPr>
            <w:tcW w:w="204" w:type="pct"/>
            <w:tcBorders>
              <w:tl2br w:val="nil"/>
              <w:tr2bl w:val="nil"/>
            </w:tcBorders>
            <w:noWrap w:val="0"/>
            <w:vAlign w:val="center"/>
          </w:tcPr>
          <w:p w14:paraId="1DEF891E">
            <w:pPr>
              <w:pStyle w:val="16"/>
              <w:bidi w:val="0"/>
              <w:rPr>
                <w:rFonts w:hint="default" w:eastAsia="宋体"/>
                <w:color w:val="auto"/>
                <w:lang w:val="en-US" w:eastAsia="zh-CN"/>
              </w:rPr>
            </w:pPr>
            <w:r>
              <w:rPr>
                <w:rFonts w:hint="eastAsia"/>
                <w:color w:val="auto"/>
                <w:lang w:val="en-US" w:eastAsia="zh-CN"/>
              </w:rPr>
              <w:t>80</w:t>
            </w:r>
          </w:p>
        </w:tc>
        <w:tc>
          <w:tcPr>
            <w:tcW w:w="279" w:type="pct"/>
            <w:tcBorders>
              <w:tl2br w:val="nil"/>
              <w:tr2bl w:val="nil"/>
            </w:tcBorders>
            <w:noWrap w:val="0"/>
            <w:vAlign w:val="center"/>
          </w:tcPr>
          <w:p w14:paraId="50A90539">
            <w:pPr>
              <w:pStyle w:val="16"/>
              <w:bidi w:val="0"/>
              <w:rPr>
                <w:color w:val="auto"/>
              </w:rPr>
            </w:pPr>
            <w:r>
              <w:rPr>
                <w:color w:val="auto"/>
              </w:rPr>
              <w:t>产污系数法</w:t>
            </w:r>
          </w:p>
        </w:tc>
        <w:tc>
          <w:tcPr>
            <w:tcW w:w="333" w:type="pct"/>
            <w:vMerge w:val="restart"/>
            <w:tcBorders>
              <w:tl2br w:val="nil"/>
              <w:tr2bl w:val="nil"/>
            </w:tcBorders>
            <w:noWrap w:val="0"/>
            <w:vAlign w:val="center"/>
          </w:tcPr>
          <w:p w14:paraId="6CC63E58">
            <w:pPr>
              <w:pStyle w:val="16"/>
              <w:bidi w:val="0"/>
              <w:rPr>
                <w:rFonts w:hint="default" w:eastAsia="宋体"/>
                <w:color w:val="auto"/>
                <w:lang w:val="en-US" w:eastAsia="zh-CN"/>
              </w:rPr>
            </w:pPr>
            <w:r>
              <w:rPr>
                <w:rFonts w:hint="eastAsia"/>
                <w:color w:val="auto"/>
                <w:lang w:val="en-US" w:eastAsia="zh-CN"/>
              </w:rPr>
              <w:t>20000</w:t>
            </w:r>
          </w:p>
        </w:tc>
        <w:tc>
          <w:tcPr>
            <w:tcW w:w="350" w:type="pct"/>
            <w:tcBorders>
              <w:tl2br w:val="nil"/>
              <w:tr2bl w:val="nil"/>
            </w:tcBorders>
            <w:noWrap w:val="0"/>
            <w:vAlign w:val="center"/>
          </w:tcPr>
          <w:p w14:paraId="2701233F">
            <w:pPr>
              <w:pStyle w:val="16"/>
              <w:bidi w:val="0"/>
              <w:rPr>
                <w:rFonts w:hint="default" w:eastAsia="宋体"/>
                <w:color w:val="auto"/>
                <w:lang w:val="en-US" w:eastAsia="zh-CN"/>
              </w:rPr>
            </w:pPr>
            <w:r>
              <w:rPr>
                <w:rFonts w:hint="eastAsia"/>
                <w:color w:val="auto"/>
                <w:lang w:val="en-US" w:eastAsia="zh-CN"/>
              </w:rPr>
              <w:t>0.1117</w:t>
            </w:r>
          </w:p>
        </w:tc>
        <w:tc>
          <w:tcPr>
            <w:tcW w:w="395" w:type="pct"/>
            <w:tcBorders>
              <w:tl2br w:val="nil"/>
              <w:tr2bl w:val="nil"/>
            </w:tcBorders>
            <w:noWrap w:val="0"/>
            <w:vAlign w:val="center"/>
          </w:tcPr>
          <w:p w14:paraId="33B94D5F">
            <w:pPr>
              <w:pStyle w:val="16"/>
              <w:bidi w:val="0"/>
              <w:rPr>
                <w:rFonts w:hint="default" w:eastAsia="宋体"/>
                <w:color w:val="auto"/>
                <w:lang w:val="en-US" w:eastAsia="zh-CN"/>
              </w:rPr>
            </w:pPr>
            <w:r>
              <w:rPr>
                <w:rFonts w:hint="eastAsia"/>
                <w:color w:val="auto"/>
                <w:lang w:val="en-US" w:eastAsia="zh-CN"/>
              </w:rPr>
              <w:t>5.586</w:t>
            </w:r>
          </w:p>
        </w:tc>
        <w:tc>
          <w:tcPr>
            <w:tcW w:w="255" w:type="pct"/>
            <w:tcBorders>
              <w:tl2br w:val="nil"/>
              <w:tr2bl w:val="nil"/>
            </w:tcBorders>
            <w:noWrap w:val="0"/>
            <w:vAlign w:val="center"/>
          </w:tcPr>
          <w:p w14:paraId="7066BA14">
            <w:pPr>
              <w:pStyle w:val="16"/>
              <w:bidi w:val="0"/>
              <w:rPr>
                <w:color w:val="auto"/>
              </w:rPr>
            </w:pPr>
            <w:r>
              <w:rPr>
                <w:color w:val="auto"/>
              </w:rPr>
              <w:t>8760</w:t>
            </w:r>
          </w:p>
        </w:tc>
        <w:tc>
          <w:tcPr>
            <w:tcW w:w="310" w:type="pct"/>
            <w:tcBorders>
              <w:tl2br w:val="nil"/>
              <w:tr2bl w:val="nil"/>
            </w:tcBorders>
            <w:noWrap w:val="0"/>
            <w:vAlign w:val="center"/>
          </w:tcPr>
          <w:p w14:paraId="1EEC8DB0">
            <w:pPr>
              <w:pStyle w:val="16"/>
              <w:bidi w:val="0"/>
              <w:rPr>
                <w:rFonts w:hint="default" w:eastAsia="宋体"/>
                <w:color w:val="auto"/>
                <w:lang w:val="en-US" w:eastAsia="zh-CN"/>
              </w:rPr>
            </w:pPr>
            <w:r>
              <w:rPr>
                <w:rFonts w:hint="eastAsia"/>
                <w:color w:val="auto"/>
                <w:lang w:val="en-US" w:eastAsia="zh-CN"/>
              </w:rPr>
              <w:t>0.9786</w:t>
            </w:r>
          </w:p>
        </w:tc>
      </w:tr>
      <w:tr w14:paraId="3A82DF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6" w:type="pct"/>
            <w:vMerge w:val="continue"/>
            <w:tcBorders>
              <w:tl2br w:val="nil"/>
              <w:tr2bl w:val="nil"/>
            </w:tcBorders>
            <w:noWrap w:val="0"/>
            <w:vAlign w:val="center"/>
          </w:tcPr>
          <w:p w14:paraId="376766ED">
            <w:pPr>
              <w:pStyle w:val="16"/>
              <w:bidi w:val="0"/>
              <w:rPr>
                <w:color w:val="auto"/>
              </w:rPr>
            </w:pPr>
          </w:p>
        </w:tc>
        <w:tc>
          <w:tcPr>
            <w:tcW w:w="242" w:type="pct"/>
            <w:vMerge w:val="continue"/>
            <w:tcBorders>
              <w:tl2br w:val="nil"/>
              <w:tr2bl w:val="nil"/>
            </w:tcBorders>
            <w:noWrap w:val="0"/>
            <w:vAlign w:val="center"/>
          </w:tcPr>
          <w:p w14:paraId="58FDC9C5">
            <w:pPr>
              <w:pStyle w:val="16"/>
              <w:bidi w:val="0"/>
              <w:rPr>
                <w:color w:val="auto"/>
              </w:rPr>
            </w:pPr>
          </w:p>
        </w:tc>
        <w:tc>
          <w:tcPr>
            <w:tcW w:w="289" w:type="pct"/>
            <w:vMerge w:val="continue"/>
            <w:tcBorders>
              <w:tl2br w:val="nil"/>
              <w:tr2bl w:val="nil"/>
            </w:tcBorders>
            <w:noWrap w:val="0"/>
            <w:vAlign w:val="center"/>
          </w:tcPr>
          <w:p w14:paraId="7230B33F">
            <w:pPr>
              <w:pStyle w:val="16"/>
              <w:bidi w:val="0"/>
              <w:rPr>
                <w:color w:val="auto"/>
              </w:rPr>
            </w:pPr>
          </w:p>
        </w:tc>
        <w:tc>
          <w:tcPr>
            <w:tcW w:w="244" w:type="pct"/>
            <w:tcBorders>
              <w:tl2br w:val="nil"/>
              <w:tr2bl w:val="nil"/>
            </w:tcBorders>
            <w:noWrap w:val="0"/>
            <w:vAlign w:val="center"/>
          </w:tcPr>
          <w:p w14:paraId="3BC944F8">
            <w:pPr>
              <w:pStyle w:val="16"/>
              <w:bidi w:val="0"/>
              <w:rPr>
                <w:color w:val="auto"/>
              </w:rPr>
            </w:pPr>
            <w:r>
              <w:rPr>
                <w:color w:val="auto"/>
              </w:rPr>
              <w:t>H</w:t>
            </w:r>
            <w:r>
              <w:rPr>
                <w:color w:val="auto"/>
                <w:vertAlign w:val="subscript"/>
              </w:rPr>
              <w:t>2</w:t>
            </w:r>
            <w:r>
              <w:rPr>
                <w:color w:val="auto"/>
              </w:rPr>
              <w:t>S</w:t>
            </w:r>
          </w:p>
        </w:tc>
        <w:tc>
          <w:tcPr>
            <w:tcW w:w="308" w:type="pct"/>
            <w:tcBorders>
              <w:tl2br w:val="nil"/>
              <w:tr2bl w:val="nil"/>
            </w:tcBorders>
            <w:noWrap w:val="0"/>
            <w:vAlign w:val="center"/>
          </w:tcPr>
          <w:p w14:paraId="7D5AE58E">
            <w:pPr>
              <w:pStyle w:val="16"/>
              <w:bidi w:val="0"/>
              <w:rPr>
                <w:color w:val="auto"/>
              </w:rPr>
            </w:pPr>
            <w:r>
              <w:rPr>
                <w:color w:val="auto"/>
              </w:rPr>
              <w:t>产污系数法</w:t>
            </w:r>
          </w:p>
        </w:tc>
        <w:tc>
          <w:tcPr>
            <w:tcW w:w="333" w:type="pct"/>
            <w:vMerge w:val="continue"/>
            <w:tcBorders>
              <w:tl2br w:val="nil"/>
              <w:tr2bl w:val="nil"/>
            </w:tcBorders>
            <w:noWrap w:val="0"/>
            <w:vAlign w:val="center"/>
          </w:tcPr>
          <w:p w14:paraId="62774645">
            <w:pPr>
              <w:pStyle w:val="16"/>
              <w:bidi w:val="0"/>
              <w:rPr>
                <w:color w:val="auto"/>
              </w:rPr>
            </w:pPr>
          </w:p>
        </w:tc>
        <w:tc>
          <w:tcPr>
            <w:tcW w:w="312" w:type="pct"/>
            <w:tcBorders>
              <w:tl2br w:val="nil"/>
              <w:tr2bl w:val="nil"/>
            </w:tcBorders>
            <w:noWrap w:val="0"/>
            <w:vAlign w:val="center"/>
          </w:tcPr>
          <w:p w14:paraId="1DF54FC7">
            <w:pPr>
              <w:pStyle w:val="16"/>
              <w:bidi w:val="0"/>
              <w:rPr>
                <w:rFonts w:hint="default" w:eastAsia="宋体"/>
                <w:color w:val="auto"/>
                <w:lang w:val="en-US" w:eastAsia="zh-CN"/>
              </w:rPr>
            </w:pPr>
            <w:r>
              <w:rPr>
                <w:rFonts w:hint="eastAsia"/>
                <w:color w:val="auto"/>
                <w:lang w:val="en-US" w:eastAsia="zh-CN"/>
              </w:rPr>
              <w:t>0.013</w:t>
            </w:r>
          </w:p>
        </w:tc>
        <w:tc>
          <w:tcPr>
            <w:tcW w:w="395" w:type="pct"/>
            <w:tcBorders>
              <w:tl2br w:val="nil"/>
              <w:tr2bl w:val="nil"/>
            </w:tcBorders>
            <w:noWrap w:val="0"/>
            <w:vAlign w:val="center"/>
          </w:tcPr>
          <w:p w14:paraId="79D4964E">
            <w:pPr>
              <w:pStyle w:val="16"/>
              <w:bidi w:val="0"/>
              <w:rPr>
                <w:rFonts w:hint="default" w:eastAsia="宋体"/>
                <w:color w:val="auto"/>
                <w:lang w:val="en-US" w:eastAsia="zh-CN"/>
              </w:rPr>
            </w:pPr>
            <w:r>
              <w:rPr>
                <w:rFonts w:hint="eastAsia"/>
                <w:color w:val="auto"/>
                <w:lang w:val="en-US" w:eastAsia="zh-CN"/>
              </w:rPr>
              <w:t>0.66</w:t>
            </w:r>
          </w:p>
        </w:tc>
        <w:tc>
          <w:tcPr>
            <w:tcW w:w="297" w:type="pct"/>
            <w:vMerge w:val="continue"/>
            <w:tcBorders>
              <w:tl2br w:val="nil"/>
              <w:tr2bl w:val="nil"/>
            </w:tcBorders>
            <w:noWrap w:val="0"/>
            <w:vAlign w:val="center"/>
          </w:tcPr>
          <w:p w14:paraId="1FB3E0E3">
            <w:pPr>
              <w:pStyle w:val="16"/>
              <w:bidi w:val="0"/>
              <w:rPr>
                <w:color w:val="auto"/>
              </w:rPr>
            </w:pPr>
          </w:p>
        </w:tc>
        <w:tc>
          <w:tcPr>
            <w:tcW w:w="184" w:type="pct"/>
            <w:vMerge w:val="continue"/>
            <w:tcBorders>
              <w:tl2br w:val="nil"/>
              <w:tr2bl w:val="nil"/>
            </w:tcBorders>
            <w:noWrap w:val="0"/>
            <w:vAlign w:val="center"/>
          </w:tcPr>
          <w:p w14:paraId="5F1B61D1">
            <w:pPr>
              <w:pStyle w:val="16"/>
              <w:bidi w:val="0"/>
              <w:rPr>
                <w:color w:val="auto"/>
              </w:rPr>
            </w:pPr>
          </w:p>
        </w:tc>
        <w:tc>
          <w:tcPr>
            <w:tcW w:w="204" w:type="pct"/>
            <w:tcBorders>
              <w:tl2br w:val="nil"/>
              <w:tr2bl w:val="nil"/>
            </w:tcBorders>
            <w:noWrap w:val="0"/>
            <w:vAlign w:val="center"/>
          </w:tcPr>
          <w:p w14:paraId="45D309D6">
            <w:pPr>
              <w:pStyle w:val="16"/>
              <w:bidi w:val="0"/>
              <w:rPr>
                <w:rFonts w:hint="default" w:eastAsia="宋体"/>
                <w:color w:val="auto"/>
                <w:lang w:val="en-US" w:eastAsia="zh-CN"/>
              </w:rPr>
            </w:pPr>
            <w:r>
              <w:rPr>
                <w:rFonts w:hint="eastAsia"/>
                <w:color w:val="auto"/>
                <w:lang w:val="en-US" w:eastAsia="zh-CN"/>
              </w:rPr>
              <w:t>95</w:t>
            </w:r>
          </w:p>
        </w:tc>
        <w:tc>
          <w:tcPr>
            <w:tcW w:w="279" w:type="pct"/>
            <w:tcBorders>
              <w:tl2br w:val="nil"/>
              <w:tr2bl w:val="nil"/>
            </w:tcBorders>
            <w:noWrap w:val="0"/>
            <w:vAlign w:val="center"/>
          </w:tcPr>
          <w:p w14:paraId="1971C2D1">
            <w:pPr>
              <w:pStyle w:val="16"/>
              <w:bidi w:val="0"/>
              <w:rPr>
                <w:color w:val="auto"/>
              </w:rPr>
            </w:pPr>
            <w:r>
              <w:rPr>
                <w:color w:val="auto"/>
              </w:rPr>
              <w:t>产污系数法</w:t>
            </w:r>
          </w:p>
        </w:tc>
        <w:tc>
          <w:tcPr>
            <w:tcW w:w="333" w:type="pct"/>
            <w:vMerge w:val="continue"/>
            <w:tcBorders>
              <w:tl2br w:val="nil"/>
              <w:tr2bl w:val="nil"/>
            </w:tcBorders>
            <w:noWrap w:val="0"/>
            <w:vAlign w:val="center"/>
          </w:tcPr>
          <w:p w14:paraId="0F204262">
            <w:pPr>
              <w:pStyle w:val="16"/>
              <w:bidi w:val="0"/>
              <w:rPr>
                <w:color w:val="auto"/>
              </w:rPr>
            </w:pPr>
          </w:p>
        </w:tc>
        <w:tc>
          <w:tcPr>
            <w:tcW w:w="350" w:type="pct"/>
            <w:tcBorders>
              <w:tl2br w:val="nil"/>
              <w:tr2bl w:val="nil"/>
            </w:tcBorders>
            <w:noWrap w:val="0"/>
            <w:vAlign w:val="center"/>
          </w:tcPr>
          <w:p w14:paraId="0815A23C">
            <w:pPr>
              <w:pStyle w:val="16"/>
              <w:bidi w:val="0"/>
              <w:rPr>
                <w:rFonts w:hint="default" w:eastAsia="宋体"/>
                <w:color w:val="auto"/>
                <w:lang w:val="en-US" w:eastAsia="zh-CN"/>
              </w:rPr>
            </w:pPr>
            <w:r>
              <w:rPr>
                <w:rFonts w:hint="eastAsia"/>
                <w:color w:val="auto"/>
                <w:lang w:val="en-US" w:eastAsia="zh-CN"/>
              </w:rPr>
              <w:t>0.0035</w:t>
            </w:r>
          </w:p>
        </w:tc>
        <w:tc>
          <w:tcPr>
            <w:tcW w:w="395" w:type="pct"/>
            <w:tcBorders>
              <w:tl2br w:val="nil"/>
              <w:tr2bl w:val="nil"/>
            </w:tcBorders>
            <w:noWrap w:val="0"/>
            <w:vAlign w:val="center"/>
          </w:tcPr>
          <w:p w14:paraId="4D516225">
            <w:pPr>
              <w:pStyle w:val="16"/>
              <w:bidi w:val="0"/>
              <w:rPr>
                <w:rFonts w:hint="default" w:eastAsia="宋体"/>
                <w:color w:val="auto"/>
                <w:lang w:val="en-US" w:eastAsia="zh-CN"/>
              </w:rPr>
            </w:pPr>
            <w:r>
              <w:rPr>
                <w:rFonts w:hint="eastAsia"/>
                <w:color w:val="auto"/>
                <w:lang w:val="en-US" w:eastAsia="zh-CN"/>
              </w:rPr>
              <w:t>0.1753</w:t>
            </w:r>
          </w:p>
        </w:tc>
        <w:tc>
          <w:tcPr>
            <w:tcW w:w="255" w:type="pct"/>
            <w:tcBorders>
              <w:tl2br w:val="nil"/>
              <w:tr2bl w:val="nil"/>
            </w:tcBorders>
            <w:noWrap w:val="0"/>
            <w:vAlign w:val="center"/>
          </w:tcPr>
          <w:p w14:paraId="116FC570">
            <w:pPr>
              <w:pStyle w:val="16"/>
              <w:bidi w:val="0"/>
              <w:rPr>
                <w:color w:val="auto"/>
              </w:rPr>
            </w:pPr>
            <w:r>
              <w:rPr>
                <w:color w:val="auto"/>
              </w:rPr>
              <w:t>8760</w:t>
            </w:r>
          </w:p>
        </w:tc>
        <w:tc>
          <w:tcPr>
            <w:tcW w:w="310" w:type="pct"/>
            <w:tcBorders>
              <w:tl2br w:val="nil"/>
              <w:tr2bl w:val="nil"/>
            </w:tcBorders>
            <w:noWrap w:val="0"/>
            <w:vAlign w:val="center"/>
          </w:tcPr>
          <w:p w14:paraId="6B2B9469">
            <w:pPr>
              <w:pStyle w:val="16"/>
              <w:bidi w:val="0"/>
              <w:rPr>
                <w:rFonts w:hint="default" w:eastAsia="宋体"/>
                <w:color w:val="auto"/>
                <w:lang w:val="en-US" w:eastAsia="zh-CN"/>
              </w:rPr>
            </w:pPr>
            <w:r>
              <w:rPr>
                <w:rFonts w:hint="eastAsia"/>
                <w:color w:val="auto"/>
                <w:lang w:val="en-US" w:eastAsia="zh-CN"/>
              </w:rPr>
              <w:t>0.0307</w:t>
            </w:r>
          </w:p>
        </w:tc>
      </w:tr>
      <w:tr w14:paraId="2015A9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66" w:type="pct"/>
            <w:tcBorders>
              <w:tl2br w:val="nil"/>
              <w:tr2bl w:val="nil"/>
            </w:tcBorders>
            <w:noWrap w:val="0"/>
            <w:vAlign w:val="center"/>
          </w:tcPr>
          <w:p w14:paraId="0B565E30">
            <w:pPr>
              <w:pStyle w:val="16"/>
              <w:bidi w:val="0"/>
              <w:rPr>
                <w:rFonts w:hint="eastAsia" w:eastAsia="宋体"/>
                <w:color w:val="auto"/>
                <w:lang w:val="en-US" w:eastAsia="zh-CN"/>
              </w:rPr>
            </w:pPr>
            <w:r>
              <w:rPr>
                <w:rFonts w:hint="eastAsia"/>
                <w:color w:val="auto"/>
                <w:lang w:val="en-US" w:eastAsia="zh-CN"/>
              </w:rPr>
              <w:t>食堂</w:t>
            </w:r>
          </w:p>
        </w:tc>
        <w:tc>
          <w:tcPr>
            <w:tcW w:w="242" w:type="pct"/>
            <w:tcBorders>
              <w:tl2br w:val="nil"/>
              <w:tr2bl w:val="nil"/>
            </w:tcBorders>
            <w:noWrap w:val="0"/>
            <w:vAlign w:val="center"/>
          </w:tcPr>
          <w:p w14:paraId="32FFDC19">
            <w:pPr>
              <w:pStyle w:val="16"/>
              <w:bidi w:val="0"/>
              <w:rPr>
                <w:rFonts w:hint="eastAsia" w:eastAsia="宋体"/>
                <w:color w:val="auto"/>
                <w:lang w:val="en-US" w:eastAsia="zh-CN"/>
              </w:rPr>
            </w:pPr>
            <w:r>
              <w:rPr>
                <w:rFonts w:hint="eastAsia"/>
                <w:color w:val="auto"/>
                <w:lang w:val="en-US" w:eastAsia="zh-CN"/>
              </w:rPr>
              <w:t>用餐</w:t>
            </w:r>
          </w:p>
        </w:tc>
        <w:tc>
          <w:tcPr>
            <w:tcW w:w="533" w:type="pct"/>
            <w:gridSpan w:val="2"/>
            <w:tcBorders>
              <w:tl2br w:val="nil"/>
              <w:tr2bl w:val="nil"/>
            </w:tcBorders>
            <w:noWrap w:val="0"/>
            <w:vAlign w:val="center"/>
          </w:tcPr>
          <w:p w14:paraId="76F9C659">
            <w:pPr>
              <w:pStyle w:val="16"/>
              <w:bidi w:val="0"/>
              <w:rPr>
                <w:color w:val="auto"/>
              </w:rPr>
            </w:pPr>
            <w:r>
              <w:rPr>
                <w:rFonts w:hint="eastAsia"/>
                <w:color w:val="auto"/>
                <w:lang w:val="en-US" w:eastAsia="zh-CN"/>
              </w:rPr>
              <w:t>食堂油烟</w:t>
            </w:r>
          </w:p>
        </w:tc>
        <w:tc>
          <w:tcPr>
            <w:tcW w:w="308" w:type="pct"/>
            <w:tcBorders>
              <w:tl2br w:val="nil"/>
              <w:tr2bl w:val="nil"/>
            </w:tcBorders>
            <w:noWrap w:val="0"/>
            <w:vAlign w:val="center"/>
          </w:tcPr>
          <w:p w14:paraId="1F841CB8">
            <w:pPr>
              <w:pStyle w:val="16"/>
              <w:bidi w:val="0"/>
              <w:rPr>
                <w:rFonts w:hint="default" w:eastAsia="宋体"/>
                <w:color w:val="auto"/>
                <w:lang w:val="en-US" w:eastAsia="zh-CN"/>
              </w:rPr>
            </w:pPr>
            <w:r>
              <w:rPr>
                <w:rFonts w:hint="eastAsia"/>
                <w:color w:val="auto"/>
                <w:lang w:val="en-US" w:eastAsia="zh-CN"/>
              </w:rPr>
              <w:t>产污系数法</w:t>
            </w:r>
          </w:p>
        </w:tc>
        <w:tc>
          <w:tcPr>
            <w:tcW w:w="333" w:type="pct"/>
            <w:tcBorders>
              <w:tl2br w:val="nil"/>
              <w:tr2bl w:val="nil"/>
            </w:tcBorders>
            <w:noWrap w:val="0"/>
            <w:vAlign w:val="center"/>
          </w:tcPr>
          <w:p w14:paraId="5B41C835">
            <w:pPr>
              <w:pStyle w:val="16"/>
              <w:bidi w:val="0"/>
              <w:rPr>
                <w:rFonts w:hint="default" w:eastAsia="宋体"/>
                <w:color w:val="auto"/>
                <w:lang w:val="en-US" w:eastAsia="zh-CN"/>
              </w:rPr>
            </w:pPr>
            <w:r>
              <w:rPr>
                <w:rFonts w:hint="eastAsia"/>
                <w:color w:val="auto"/>
                <w:lang w:val="en-US" w:eastAsia="zh-CN"/>
              </w:rPr>
              <w:t>3000</w:t>
            </w:r>
          </w:p>
        </w:tc>
        <w:tc>
          <w:tcPr>
            <w:tcW w:w="312" w:type="pct"/>
            <w:tcBorders>
              <w:tl2br w:val="nil"/>
              <w:tr2bl w:val="nil"/>
            </w:tcBorders>
            <w:noWrap w:val="0"/>
            <w:vAlign w:val="center"/>
          </w:tcPr>
          <w:p w14:paraId="0FC6080A">
            <w:pPr>
              <w:pStyle w:val="16"/>
              <w:bidi w:val="0"/>
              <w:rPr>
                <w:rFonts w:hint="default" w:eastAsia="宋体"/>
                <w:color w:val="auto"/>
                <w:lang w:val="en-US" w:eastAsia="zh-CN"/>
              </w:rPr>
            </w:pPr>
            <w:r>
              <w:rPr>
                <w:rFonts w:hint="eastAsia"/>
                <w:color w:val="auto"/>
                <w:lang w:val="en-US" w:eastAsia="zh-CN"/>
              </w:rPr>
              <w:t>0.0025</w:t>
            </w:r>
          </w:p>
        </w:tc>
        <w:tc>
          <w:tcPr>
            <w:tcW w:w="395" w:type="pct"/>
            <w:tcBorders>
              <w:tl2br w:val="nil"/>
              <w:tr2bl w:val="nil"/>
            </w:tcBorders>
            <w:noWrap w:val="0"/>
            <w:vAlign w:val="center"/>
          </w:tcPr>
          <w:p w14:paraId="48D891EA">
            <w:pPr>
              <w:pStyle w:val="16"/>
              <w:bidi w:val="0"/>
              <w:rPr>
                <w:rFonts w:hint="default" w:eastAsia="宋体"/>
                <w:color w:val="auto"/>
                <w:lang w:val="en-US" w:eastAsia="zh-CN"/>
              </w:rPr>
            </w:pPr>
            <w:r>
              <w:rPr>
                <w:rFonts w:hint="eastAsia"/>
                <w:color w:val="auto"/>
                <w:lang w:val="en-US" w:eastAsia="zh-CN"/>
              </w:rPr>
              <w:t>0.82</w:t>
            </w:r>
          </w:p>
        </w:tc>
        <w:tc>
          <w:tcPr>
            <w:tcW w:w="297" w:type="pct"/>
            <w:tcBorders>
              <w:tl2br w:val="nil"/>
              <w:tr2bl w:val="nil"/>
            </w:tcBorders>
            <w:noWrap w:val="0"/>
            <w:vAlign w:val="center"/>
          </w:tcPr>
          <w:p w14:paraId="6A261E84">
            <w:pPr>
              <w:pStyle w:val="16"/>
              <w:bidi w:val="0"/>
              <w:rPr>
                <w:rFonts w:hint="eastAsia" w:eastAsia="宋体"/>
                <w:color w:val="auto"/>
                <w:lang w:val="en-US" w:eastAsia="zh-CN"/>
              </w:rPr>
            </w:pPr>
            <w:r>
              <w:rPr>
                <w:rFonts w:hint="eastAsia"/>
                <w:color w:val="auto"/>
                <w:lang w:val="en-US" w:eastAsia="zh-CN"/>
              </w:rPr>
              <w:t>油烟净化器</w:t>
            </w:r>
          </w:p>
        </w:tc>
        <w:tc>
          <w:tcPr>
            <w:tcW w:w="184" w:type="pct"/>
            <w:tcBorders>
              <w:tl2br w:val="nil"/>
              <w:tr2bl w:val="nil"/>
            </w:tcBorders>
            <w:noWrap w:val="0"/>
            <w:vAlign w:val="center"/>
          </w:tcPr>
          <w:p w14:paraId="0DE2F782">
            <w:pPr>
              <w:pStyle w:val="16"/>
              <w:bidi w:val="0"/>
              <w:rPr>
                <w:rFonts w:hint="default" w:eastAsia="宋体"/>
                <w:color w:val="auto"/>
                <w:lang w:val="en-US" w:eastAsia="zh-CN"/>
              </w:rPr>
            </w:pPr>
            <w:r>
              <w:rPr>
                <w:rFonts w:hint="eastAsia"/>
                <w:color w:val="auto"/>
                <w:lang w:val="en-US" w:eastAsia="zh-CN"/>
              </w:rPr>
              <w:t>90</w:t>
            </w:r>
          </w:p>
        </w:tc>
        <w:tc>
          <w:tcPr>
            <w:tcW w:w="204" w:type="pct"/>
            <w:tcBorders>
              <w:tl2br w:val="nil"/>
              <w:tr2bl w:val="nil"/>
            </w:tcBorders>
            <w:noWrap w:val="0"/>
            <w:vAlign w:val="center"/>
          </w:tcPr>
          <w:p w14:paraId="4822F76F">
            <w:pPr>
              <w:pStyle w:val="16"/>
              <w:bidi w:val="0"/>
              <w:rPr>
                <w:rFonts w:hint="default" w:eastAsia="宋体"/>
                <w:color w:val="auto"/>
                <w:lang w:val="en-US" w:eastAsia="zh-CN"/>
              </w:rPr>
            </w:pPr>
            <w:r>
              <w:rPr>
                <w:rFonts w:hint="eastAsia"/>
                <w:color w:val="auto"/>
                <w:lang w:val="en-US" w:eastAsia="zh-CN"/>
              </w:rPr>
              <w:t>60</w:t>
            </w:r>
          </w:p>
        </w:tc>
        <w:tc>
          <w:tcPr>
            <w:tcW w:w="279" w:type="pct"/>
            <w:tcBorders>
              <w:tl2br w:val="nil"/>
              <w:tr2bl w:val="nil"/>
            </w:tcBorders>
            <w:noWrap w:val="0"/>
            <w:vAlign w:val="center"/>
          </w:tcPr>
          <w:p w14:paraId="02A6A13E">
            <w:pPr>
              <w:pStyle w:val="16"/>
              <w:bidi w:val="0"/>
              <w:rPr>
                <w:color w:val="auto"/>
              </w:rPr>
            </w:pPr>
            <w:r>
              <w:rPr>
                <w:color w:val="auto"/>
              </w:rPr>
              <w:t>产污系数法</w:t>
            </w:r>
          </w:p>
        </w:tc>
        <w:tc>
          <w:tcPr>
            <w:tcW w:w="333" w:type="pct"/>
            <w:tcBorders>
              <w:tl2br w:val="nil"/>
              <w:tr2bl w:val="nil"/>
            </w:tcBorders>
            <w:noWrap w:val="0"/>
            <w:vAlign w:val="center"/>
          </w:tcPr>
          <w:p w14:paraId="09E98AFB">
            <w:pPr>
              <w:pStyle w:val="16"/>
              <w:bidi w:val="0"/>
              <w:rPr>
                <w:rFonts w:hint="default" w:eastAsia="宋体"/>
                <w:color w:val="auto"/>
                <w:lang w:val="en-US" w:eastAsia="zh-CN"/>
              </w:rPr>
            </w:pPr>
            <w:r>
              <w:rPr>
                <w:rFonts w:hint="eastAsia"/>
                <w:color w:val="auto"/>
                <w:lang w:val="en-US" w:eastAsia="zh-CN"/>
              </w:rPr>
              <w:t>2000</w:t>
            </w:r>
          </w:p>
        </w:tc>
        <w:tc>
          <w:tcPr>
            <w:tcW w:w="350" w:type="pct"/>
            <w:tcBorders>
              <w:tl2br w:val="nil"/>
              <w:tr2bl w:val="nil"/>
            </w:tcBorders>
            <w:noWrap w:val="0"/>
            <w:vAlign w:val="center"/>
          </w:tcPr>
          <w:p w14:paraId="51C7A789">
            <w:pPr>
              <w:pStyle w:val="16"/>
              <w:bidi w:val="0"/>
              <w:rPr>
                <w:rFonts w:hint="default" w:eastAsia="宋体"/>
                <w:color w:val="auto"/>
                <w:lang w:val="en-US" w:eastAsia="zh-CN"/>
              </w:rPr>
            </w:pPr>
            <w:r>
              <w:rPr>
                <w:rFonts w:hint="eastAsia"/>
                <w:color w:val="auto"/>
                <w:lang w:val="en-US" w:eastAsia="zh-CN"/>
              </w:rPr>
              <w:t>0.0009</w:t>
            </w:r>
          </w:p>
        </w:tc>
        <w:tc>
          <w:tcPr>
            <w:tcW w:w="395" w:type="pct"/>
            <w:tcBorders>
              <w:tl2br w:val="nil"/>
              <w:tr2bl w:val="nil"/>
            </w:tcBorders>
            <w:noWrap w:val="0"/>
            <w:vAlign w:val="center"/>
          </w:tcPr>
          <w:p w14:paraId="29C4850B">
            <w:pPr>
              <w:pStyle w:val="16"/>
              <w:bidi w:val="0"/>
              <w:rPr>
                <w:rFonts w:hint="default" w:eastAsia="宋体"/>
                <w:color w:val="auto"/>
                <w:lang w:val="en-US" w:eastAsia="zh-CN"/>
              </w:rPr>
            </w:pPr>
            <w:r>
              <w:rPr>
                <w:rFonts w:hint="eastAsia"/>
                <w:color w:val="auto"/>
                <w:lang w:val="en-US" w:eastAsia="zh-CN"/>
              </w:rPr>
              <w:t>0.297</w:t>
            </w:r>
          </w:p>
        </w:tc>
        <w:tc>
          <w:tcPr>
            <w:tcW w:w="255" w:type="pct"/>
            <w:tcBorders>
              <w:tl2br w:val="nil"/>
              <w:tr2bl w:val="nil"/>
            </w:tcBorders>
            <w:noWrap w:val="0"/>
            <w:vAlign w:val="center"/>
          </w:tcPr>
          <w:p w14:paraId="2728CA05">
            <w:pPr>
              <w:pStyle w:val="16"/>
              <w:bidi w:val="0"/>
              <w:rPr>
                <w:rFonts w:hint="default" w:eastAsia="宋体"/>
                <w:color w:val="auto"/>
                <w:lang w:val="en-US" w:eastAsia="zh-CN"/>
              </w:rPr>
            </w:pPr>
            <w:r>
              <w:rPr>
                <w:rFonts w:hint="eastAsia"/>
                <w:color w:val="auto"/>
                <w:lang w:val="en-US" w:eastAsia="zh-CN"/>
              </w:rPr>
              <w:t>2190</w:t>
            </w:r>
          </w:p>
        </w:tc>
        <w:tc>
          <w:tcPr>
            <w:tcW w:w="310" w:type="pct"/>
            <w:tcBorders>
              <w:tl2br w:val="nil"/>
              <w:tr2bl w:val="nil"/>
            </w:tcBorders>
            <w:noWrap w:val="0"/>
            <w:vAlign w:val="center"/>
          </w:tcPr>
          <w:p w14:paraId="61B1FD47">
            <w:pPr>
              <w:pStyle w:val="16"/>
              <w:bidi w:val="0"/>
              <w:rPr>
                <w:rFonts w:hint="default" w:eastAsia="宋体"/>
                <w:color w:val="auto"/>
                <w:lang w:val="en-US" w:eastAsia="zh-CN"/>
              </w:rPr>
            </w:pPr>
            <w:r>
              <w:rPr>
                <w:rFonts w:hint="eastAsia"/>
                <w:color w:val="auto"/>
                <w:lang w:val="en-US" w:eastAsia="zh-CN"/>
              </w:rPr>
              <w:t>0.00195</w:t>
            </w:r>
          </w:p>
        </w:tc>
      </w:tr>
    </w:tbl>
    <w:p w14:paraId="77E1C6BE">
      <w:pPr>
        <w:pStyle w:val="5"/>
        <w:bidi w:val="0"/>
        <w:rPr>
          <w:color w:val="auto"/>
        </w:rPr>
      </w:pPr>
      <w:r>
        <w:rPr>
          <w:rFonts w:hint="eastAsia"/>
          <w:color w:val="auto"/>
          <w:lang w:val="en-US" w:eastAsia="zh-CN"/>
        </w:rPr>
        <w:t xml:space="preserve"> </w:t>
      </w:r>
      <w:r>
        <w:rPr>
          <w:color w:val="auto"/>
        </w:rPr>
        <w:t>项目废水污染源强核算汇总</w:t>
      </w:r>
    </w:p>
    <w:p w14:paraId="3BB751A9">
      <w:pPr>
        <w:pStyle w:val="19"/>
        <w:numPr>
          <w:ilvl w:val="0"/>
          <w:numId w:val="26"/>
        </w:numPr>
        <w:bidi w:val="0"/>
        <w:ind w:left="0" w:leftChars="0" w:firstLine="0" w:firstLineChars="0"/>
        <w:rPr>
          <w:color w:val="auto"/>
        </w:rPr>
      </w:pPr>
      <w:r>
        <w:rPr>
          <w:color w:val="auto"/>
        </w:rPr>
        <w:t>废水污染源源强核算结果及相关参数一览表</w:t>
      </w:r>
    </w:p>
    <w:tbl>
      <w:tblPr>
        <w:tblStyle w:val="52"/>
        <w:tblW w:w="1417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841"/>
        <w:gridCol w:w="1043"/>
        <w:gridCol w:w="891"/>
        <w:gridCol w:w="928"/>
        <w:gridCol w:w="895"/>
        <w:gridCol w:w="978"/>
        <w:gridCol w:w="875"/>
        <w:gridCol w:w="1054"/>
        <w:gridCol w:w="593"/>
        <w:gridCol w:w="592"/>
        <w:gridCol w:w="889"/>
        <w:gridCol w:w="1032"/>
        <w:gridCol w:w="931"/>
        <w:gridCol w:w="70"/>
        <w:gridCol w:w="964"/>
        <w:gridCol w:w="806"/>
        <w:gridCol w:w="793"/>
      </w:tblGrid>
      <w:tr w14:paraId="78DC22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restart"/>
            <w:tcBorders>
              <w:tl2br w:val="nil"/>
              <w:tr2bl w:val="nil"/>
            </w:tcBorders>
            <w:noWrap w:val="0"/>
            <w:vAlign w:val="center"/>
          </w:tcPr>
          <w:p w14:paraId="54985212">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工序/生产线</w:t>
            </w:r>
          </w:p>
        </w:tc>
        <w:tc>
          <w:tcPr>
            <w:tcW w:w="1043" w:type="dxa"/>
            <w:vMerge w:val="restart"/>
            <w:tcBorders>
              <w:tl2br w:val="nil"/>
              <w:tr2bl w:val="nil"/>
            </w:tcBorders>
            <w:noWrap w:val="0"/>
            <w:vAlign w:val="center"/>
          </w:tcPr>
          <w:p w14:paraId="45512447">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污染源</w:t>
            </w:r>
          </w:p>
        </w:tc>
        <w:tc>
          <w:tcPr>
            <w:tcW w:w="891" w:type="dxa"/>
            <w:vMerge w:val="restart"/>
            <w:tcBorders>
              <w:tl2br w:val="nil"/>
              <w:tr2bl w:val="nil"/>
            </w:tcBorders>
            <w:noWrap w:val="0"/>
            <w:vAlign w:val="center"/>
          </w:tcPr>
          <w:p w14:paraId="32307535">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污染物</w:t>
            </w:r>
          </w:p>
        </w:tc>
        <w:tc>
          <w:tcPr>
            <w:tcW w:w="3676" w:type="dxa"/>
            <w:gridSpan w:val="4"/>
            <w:tcBorders>
              <w:tl2br w:val="nil"/>
              <w:tr2bl w:val="nil"/>
            </w:tcBorders>
            <w:noWrap w:val="0"/>
            <w:vAlign w:val="center"/>
          </w:tcPr>
          <w:p w14:paraId="47B13FB4">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污染物产生</w:t>
            </w:r>
          </w:p>
        </w:tc>
        <w:tc>
          <w:tcPr>
            <w:tcW w:w="2239" w:type="dxa"/>
            <w:gridSpan w:val="3"/>
            <w:tcBorders>
              <w:tl2br w:val="nil"/>
              <w:tr2bl w:val="nil"/>
            </w:tcBorders>
            <w:noWrap w:val="0"/>
            <w:vAlign w:val="center"/>
          </w:tcPr>
          <w:p w14:paraId="34B3B8D1">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治理措施</w:t>
            </w:r>
          </w:p>
        </w:tc>
        <w:tc>
          <w:tcPr>
            <w:tcW w:w="3886" w:type="dxa"/>
            <w:gridSpan w:val="5"/>
            <w:tcBorders>
              <w:tl2br w:val="nil"/>
              <w:tr2bl w:val="nil"/>
            </w:tcBorders>
            <w:noWrap w:val="0"/>
            <w:vAlign w:val="center"/>
          </w:tcPr>
          <w:p w14:paraId="408811D9">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污染物排放</w:t>
            </w:r>
          </w:p>
        </w:tc>
        <w:tc>
          <w:tcPr>
            <w:tcW w:w="806" w:type="dxa"/>
            <w:vMerge w:val="restart"/>
            <w:tcBorders>
              <w:tl2br w:val="nil"/>
              <w:tr2bl w:val="nil"/>
            </w:tcBorders>
            <w:noWrap w:val="0"/>
            <w:vAlign w:val="center"/>
          </w:tcPr>
          <w:p w14:paraId="61BCE00E">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排放时间/d</w:t>
            </w:r>
          </w:p>
        </w:tc>
        <w:tc>
          <w:tcPr>
            <w:tcW w:w="793" w:type="dxa"/>
            <w:vMerge w:val="restart"/>
            <w:tcBorders>
              <w:tl2br w:val="nil"/>
              <w:tr2bl w:val="nil"/>
            </w:tcBorders>
            <w:noWrap w:val="0"/>
            <w:vAlign w:val="center"/>
          </w:tcPr>
          <w:p w14:paraId="51CE1E4A">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污染物年排放量/（t/a）</w:t>
            </w:r>
          </w:p>
        </w:tc>
      </w:tr>
      <w:tr w14:paraId="3593FB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continue"/>
            <w:tcBorders>
              <w:tl2br w:val="nil"/>
              <w:tr2bl w:val="nil"/>
            </w:tcBorders>
            <w:noWrap w:val="0"/>
            <w:vAlign w:val="center"/>
          </w:tcPr>
          <w:p w14:paraId="01EF7ECF">
            <w:pPr>
              <w:pageBreakBefore w:val="0"/>
              <w:wordWrap/>
              <w:bidi w:val="0"/>
              <w:adjustRightInd/>
              <w:snapToGrid/>
              <w:spacing w:line="240" w:lineRule="auto"/>
              <w:ind w:firstLine="0" w:firstLineChars="0"/>
              <w:jc w:val="center"/>
              <w:rPr>
                <w:bCs/>
                <w:color w:val="auto"/>
                <w:sz w:val="21"/>
                <w:szCs w:val="21"/>
              </w:rPr>
            </w:pPr>
          </w:p>
        </w:tc>
        <w:tc>
          <w:tcPr>
            <w:tcW w:w="1043" w:type="dxa"/>
            <w:vMerge w:val="continue"/>
            <w:tcBorders>
              <w:tl2br w:val="nil"/>
              <w:tr2bl w:val="nil"/>
            </w:tcBorders>
            <w:noWrap w:val="0"/>
            <w:vAlign w:val="center"/>
          </w:tcPr>
          <w:p w14:paraId="02C95C0F">
            <w:pPr>
              <w:pageBreakBefore w:val="0"/>
              <w:wordWrap/>
              <w:bidi w:val="0"/>
              <w:adjustRightInd/>
              <w:snapToGrid/>
              <w:spacing w:line="240" w:lineRule="auto"/>
              <w:ind w:firstLine="0" w:firstLineChars="0"/>
              <w:jc w:val="center"/>
              <w:rPr>
                <w:bCs/>
                <w:color w:val="auto"/>
                <w:sz w:val="21"/>
                <w:szCs w:val="21"/>
              </w:rPr>
            </w:pPr>
          </w:p>
        </w:tc>
        <w:tc>
          <w:tcPr>
            <w:tcW w:w="891" w:type="dxa"/>
            <w:vMerge w:val="continue"/>
            <w:tcBorders>
              <w:tl2br w:val="nil"/>
              <w:tr2bl w:val="nil"/>
            </w:tcBorders>
            <w:noWrap w:val="0"/>
            <w:vAlign w:val="center"/>
          </w:tcPr>
          <w:p w14:paraId="24BE63A9">
            <w:pPr>
              <w:pageBreakBefore w:val="0"/>
              <w:wordWrap/>
              <w:bidi w:val="0"/>
              <w:adjustRightInd/>
              <w:snapToGrid/>
              <w:spacing w:line="240" w:lineRule="auto"/>
              <w:ind w:firstLine="0" w:firstLineChars="0"/>
              <w:jc w:val="center"/>
              <w:rPr>
                <w:bCs/>
                <w:color w:val="auto"/>
                <w:sz w:val="21"/>
                <w:szCs w:val="21"/>
              </w:rPr>
            </w:pPr>
          </w:p>
        </w:tc>
        <w:tc>
          <w:tcPr>
            <w:tcW w:w="928" w:type="dxa"/>
            <w:tcBorders>
              <w:tl2br w:val="nil"/>
              <w:tr2bl w:val="nil"/>
            </w:tcBorders>
            <w:noWrap w:val="0"/>
            <w:vAlign w:val="center"/>
          </w:tcPr>
          <w:p w14:paraId="520154D7">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核算方法</w:t>
            </w:r>
          </w:p>
        </w:tc>
        <w:tc>
          <w:tcPr>
            <w:tcW w:w="895" w:type="dxa"/>
            <w:tcBorders>
              <w:tl2br w:val="nil"/>
              <w:tr2bl w:val="nil"/>
            </w:tcBorders>
            <w:noWrap w:val="0"/>
            <w:vAlign w:val="center"/>
          </w:tcPr>
          <w:p w14:paraId="4031C754">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废水产生量/（</w:t>
            </w:r>
            <w:r>
              <w:rPr>
                <w:rFonts w:hint="eastAsia"/>
                <w:b/>
                <w:bCs w:val="0"/>
                <w:color w:val="auto"/>
                <w:sz w:val="21"/>
                <w:szCs w:val="21"/>
                <w:lang w:eastAsia="zh-CN"/>
              </w:rPr>
              <w:t>m³</w:t>
            </w:r>
            <w:r>
              <w:rPr>
                <w:b/>
                <w:bCs w:val="0"/>
                <w:color w:val="auto"/>
                <w:sz w:val="21"/>
                <w:szCs w:val="21"/>
              </w:rPr>
              <w:t>/d）</w:t>
            </w:r>
          </w:p>
        </w:tc>
        <w:tc>
          <w:tcPr>
            <w:tcW w:w="978" w:type="dxa"/>
            <w:tcBorders>
              <w:tl2br w:val="nil"/>
              <w:tr2bl w:val="nil"/>
            </w:tcBorders>
            <w:noWrap w:val="0"/>
            <w:vAlign w:val="center"/>
          </w:tcPr>
          <w:p w14:paraId="766A05C3">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污染物产生浓度/（mg/L）</w:t>
            </w:r>
          </w:p>
        </w:tc>
        <w:tc>
          <w:tcPr>
            <w:tcW w:w="875" w:type="dxa"/>
            <w:tcBorders>
              <w:tl2br w:val="nil"/>
              <w:tr2bl w:val="nil"/>
            </w:tcBorders>
            <w:noWrap w:val="0"/>
            <w:vAlign w:val="center"/>
          </w:tcPr>
          <w:p w14:paraId="4F2891E8">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污染物产生量/（</w:t>
            </w:r>
            <w:r>
              <w:rPr>
                <w:rFonts w:hint="eastAsia"/>
                <w:b/>
                <w:bCs w:val="0"/>
                <w:color w:val="auto"/>
                <w:sz w:val="21"/>
                <w:szCs w:val="21"/>
                <w:lang w:val="en-US" w:eastAsia="zh-CN"/>
              </w:rPr>
              <w:t>t/a</w:t>
            </w:r>
            <w:r>
              <w:rPr>
                <w:b/>
                <w:bCs w:val="0"/>
                <w:color w:val="auto"/>
                <w:sz w:val="21"/>
                <w:szCs w:val="21"/>
              </w:rPr>
              <w:t>）</w:t>
            </w:r>
          </w:p>
        </w:tc>
        <w:tc>
          <w:tcPr>
            <w:tcW w:w="1054" w:type="dxa"/>
            <w:tcBorders>
              <w:tl2br w:val="nil"/>
              <w:tr2bl w:val="nil"/>
            </w:tcBorders>
            <w:noWrap w:val="0"/>
            <w:vAlign w:val="center"/>
          </w:tcPr>
          <w:p w14:paraId="00BA39CC">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工艺</w:t>
            </w:r>
          </w:p>
        </w:tc>
        <w:tc>
          <w:tcPr>
            <w:tcW w:w="593" w:type="dxa"/>
            <w:tcBorders>
              <w:tl2br w:val="nil"/>
              <w:tr2bl w:val="nil"/>
            </w:tcBorders>
            <w:noWrap w:val="0"/>
            <w:vAlign w:val="center"/>
          </w:tcPr>
          <w:p w14:paraId="42F42FC5">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收集效率/%</w:t>
            </w:r>
          </w:p>
        </w:tc>
        <w:tc>
          <w:tcPr>
            <w:tcW w:w="592" w:type="dxa"/>
            <w:tcBorders>
              <w:tl2br w:val="nil"/>
              <w:tr2bl w:val="nil"/>
            </w:tcBorders>
            <w:noWrap w:val="0"/>
            <w:vAlign w:val="center"/>
          </w:tcPr>
          <w:p w14:paraId="745D531B">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处理效率/%</w:t>
            </w:r>
          </w:p>
        </w:tc>
        <w:tc>
          <w:tcPr>
            <w:tcW w:w="889" w:type="dxa"/>
            <w:tcBorders>
              <w:tl2br w:val="nil"/>
              <w:tr2bl w:val="nil"/>
            </w:tcBorders>
            <w:noWrap w:val="0"/>
            <w:vAlign w:val="center"/>
          </w:tcPr>
          <w:p w14:paraId="4AA39A42">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核算方法</w:t>
            </w:r>
          </w:p>
        </w:tc>
        <w:tc>
          <w:tcPr>
            <w:tcW w:w="1032" w:type="dxa"/>
            <w:tcBorders>
              <w:tl2br w:val="nil"/>
              <w:tr2bl w:val="nil"/>
            </w:tcBorders>
            <w:noWrap w:val="0"/>
            <w:vAlign w:val="center"/>
          </w:tcPr>
          <w:p w14:paraId="43A659CB">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废水排放量/（</w:t>
            </w:r>
            <w:r>
              <w:rPr>
                <w:rFonts w:hint="eastAsia"/>
                <w:b/>
                <w:bCs w:val="0"/>
                <w:color w:val="auto"/>
                <w:sz w:val="21"/>
                <w:szCs w:val="21"/>
                <w:lang w:eastAsia="zh-CN"/>
              </w:rPr>
              <w:t>m³</w:t>
            </w:r>
            <w:r>
              <w:rPr>
                <w:b/>
                <w:bCs w:val="0"/>
                <w:color w:val="auto"/>
                <w:sz w:val="21"/>
                <w:szCs w:val="21"/>
              </w:rPr>
              <w:t>/d）</w:t>
            </w:r>
          </w:p>
        </w:tc>
        <w:tc>
          <w:tcPr>
            <w:tcW w:w="1001" w:type="dxa"/>
            <w:gridSpan w:val="2"/>
            <w:tcBorders>
              <w:tl2br w:val="nil"/>
              <w:tr2bl w:val="nil"/>
            </w:tcBorders>
            <w:noWrap w:val="0"/>
            <w:vAlign w:val="center"/>
          </w:tcPr>
          <w:p w14:paraId="7E58E2C6">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污染物排放浓度/（mg/L）</w:t>
            </w:r>
          </w:p>
        </w:tc>
        <w:tc>
          <w:tcPr>
            <w:tcW w:w="964" w:type="dxa"/>
            <w:tcBorders>
              <w:tl2br w:val="nil"/>
              <w:tr2bl w:val="nil"/>
            </w:tcBorders>
            <w:noWrap w:val="0"/>
            <w:vAlign w:val="center"/>
          </w:tcPr>
          <w:p w14:paraId="4AEEC1A7">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污染物排放量/（</w:t>
            </w:r>
            <w:r>
              <w:rPr>
                <w:rFonts w:hint="eastAsia"/>
                <w:b/>
                <w:bCs w:val="0"/>
                <w:color w:val="auto"/>
                <w:sz w:val="21"/>
                <w:szCs w:val="21"/>
                <w:lang w:val="en-US" w:eastAsia="zh-CN"/>
              </w:rPr>
              <w:t>t/a</w:t>
            </w:r>
            <w:r>
              <w:rPr>
                <w:b/>
                <w:bCs w:val="0"/>
                <w:color w:val="auto"/>
                <w:sz w:val="21"/>
                <w:szCs w:val="21"/>
              </w:rPr>
              <w:t>）</w:t>
            </w:r>
          </w:p>
        </w:tc>
        <w:tc>
          <w:tcPr>
            <w:tcW w:w="806" w:type="dxa"/>
            <w:vMerge w:val="continue"/>
            <w:tcBorders>
              <w:tl2br w:val="nil"/>
              <w:tr2bl w:val="nil"/>
            </w:tcBorders>
            <w:noWrap w:val="0"/>
            <w:vAlign w:val="center"/>
          </w:tcPr>
          <w:p w14:paraId="5C702FC6">
            <w:pPr>
              <w:pageBreakBefore w:val="0"/>
              <w:wordWrap/>
              <w:bidi w:val="0"/>
              <w:adjustRightInd/>
              <w:snapToGrid/>
              <w:spacing w:line="240" w:lineRule="auto"/>
              <w:ind w:firstLine="0" w:firstLineChars="0"/>
              <w:jc w:val="center"/>
              <w:rPr>
                <w:bCs/>
                <w:color w:val="auto"/>
                <w:sz w:val="21"/>
                <w:szCs w:val="21"/>
              </w:rPr>
            </w:pPr>
          </w:p>
        </w:tc>
        <w:tc>
          <w:tcPr>
            <w:tcW w:w="793" w:type="dxa"/>
            <w:vMerge w:val="continue"/>
            <w:tcBorders>
              <w:tl2br w:val="nil"/>
              <w:tr2bl w:val="nil"/>
            </w:tcBorders>
            <w:noWrap w:val="0"/>
            <w:vAlign w:val="center"/>
          </w:tcPr>
          <w:p w14:paraId="3FEB5E14">
            <w:pPr>
              <w:pageBreakBefore w:val="0"/>
              <w:wordWrap/>
              <w:bidi w:val="0"/>
              <w:adjustRightInd/>
              <w:snapToGrid/>
              <w:spacing w:line="240" w:lineRule="auto"/>
              <w:ind w:firstLine="0" w:firstLineChars="0"/>
              <w:jc w:val="center"/>
              <w:rPr>
                <w:bCs/>
                <w:color w:val="auto"/>
                <w:sz w:val="21"/>
                <w:szCs w:val="21"/>
              </w:rPr>
            </w:pPr>
          </w:p>
        </w:tc>
      </w:tr>
      <w:tr w14:paraId="68E2DA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restart"/>
            <w:tcBorders>
              <w:tl2br w:val="nil"/>
              <w:tr2bl w:val="nil"/>
            </w:tcBorders>
            <w:noWrap w:val="0"/>
            <w:vAlign w:val="center"/>
          </w:tcPr>
          <w:p w14:paraId="746EE780">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收集废水</w:t>
            </w:r>
          </w:p>
        </w:tc>
        <w:tc>
          <w:tcPr>
            <w:tcW w:w="1043" w:type="dxa"/>
            <w:vMerge w:val="restart"/>
            <w:tcBorders>
              <w:tl2br w:val="nil"/>
              <w:tr2bl w:val="nil"/>
            </w:tcBorders>
            <w:noWrap w:val="0"/>
            <w:vAlign w:val="center"/>
          </w:tcPr>
          <w:p w14:paraId="0502F8DA">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服务范围收集水</w:t>
            </w:r>
          </w:p>
        </w:tc>
        <w:tc>
          <w:tcPr>
            <w:tcW w:w="891" w:type="dxa"/>
            <w:tcBorders>
              <w:tl2br w:val="nil"/>
              <w:tr2bl w:val="nil"/>
            </w:tcBorders>
            <w:noWrap w:val="0"/>
            <w:vAlign w:val="center"/>
          </w:tcPr>
          <w:p w14:paraId="2F9B95A7">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pH</w:t>
            </w:r>
          </w:p>
        </w:tc>
        <w:tc>
          <w:tcPr>
            <w:tcW w:w="928" w:type="dxa"/>
            <w:tcBorders>
              <w:tl2br w:val="nil"/>
              <w:tr2bl w:val="nil"/>
            </w:tcBorders>
            <w:noWrap w:val="0"/>
            <w:vAlign w:val="center"/>
          </w:tcPr>
          <w:p w14:paraId="40713908">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895" w:type="dxa"/>
            <w:vMerge w:val="restart"/>
            <w:tcBorders>
              <w:tl2br w:val="nil"/>
              <w:tr2bl w:val="nil"/>
            </w:tcBorders>
            <w:noWrap w:val="0"/>
            <w:vAlign w:val="center"/>
          </w:tcPr>
          <w:p w14:paraId="2541ABBF">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3000</w:t>
            </w:r>
          </w:p>
        </w:tc>
        <w:tc>
          <w:tcPr>
            <w:tcW w:w="1853" w:type="dxa"/>
            <w:gridSpan w:val="2"/>
            <w:tcBorders>
              <w:tl2br w:val="nil"/>
              <w:tr2bl w:val="nil"/>
            </w:tcBorders>
            <w:noWrap w:val="0"/>
            <w:vAlign w:val="center"/>
          </w:tcPr>
          <w:p w14:paraId="2B7FACF6">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6.0-9.0</w:t>
            </w:r>
          </w:p>
        </w:tc>
        <w:tc>
          <w:tcPr>
            <w:tcW w:w="1054" w:type="dxa"/>
            <w:vMerge w:val="restart"/>
            <w:tcBorders>
              <w:tl2br w:val="nil"/>
              <w:tr2bl w:val="nil"/>
            </w:tcBorders>
            <w:noWrap w:val="0"/>
            <w:vAlign w:val="center"/>
          </w:tcPr>
          <w:p w14:paraId="7B0301DE">
            <w:pPr>
              <w:pageBreakBefore w:val="0"/>
              <w:wordWrap/>
              <w:bidi w:val="0"/>
              <w:adjustRightInd/>
              <w:snapToGrid/>
              <w:spacing w:line="240" w:lineRule="auto"/>
              <w:ind w:firstLine="0" w:firstLineChars="0"/>
              <w:jc w:val="center"/>
              <w:rPr>
                <w:bCs/>
                <w:color w:val="auto"/>
                <w:sz w:val="21"/>
                <w:szCs w:val="21"/>
              </w:rPr>
            </w:pPr>
            <w:r>
              <w:rPr>
                <w:rFonts w:hint="eastAsia"/>
                <w:bCs/>
                <w:color w:val="auto"/>
                <w:sz w:val="21"/>
                <w:szCs w:val="21"/>
              </w:rPr>
              <w:t>超细格栅+调节池+水解酸化池+生化池+二沉池+磁混凝沉淀池+深床反硝化+高级氧化深度处理+紫外线消毒</w:t>
            </w:r>
          </w:p>
        </w:tc>
        <w:tc>
          <w:tcPr>
            <w:tcW w:w="593" w:type="dxa"/>
            <w:tcBorders>
              <w:tl2br w:val="nil"/>
              <w:tr2bl w:val="nil"/>
            </w:tcBorders>
            <w:noWrap w:val="0"/>
            <w:vAlign w:val="center"/>
          </w:tcPr>
          <w:p w14:paraId="4A72C2FF">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100</w:t>
            </w:r>
          </w:p>
        </w:tc>
        <w:tc>
          <w:tcPr>
            <w:tcW w:w="592" w:type="dxa"/>
            <w:tcBorders>
              <w:tl2br w:val="nil"/>
              <w:tr2bl w:val="nil"/>
            </w:tcBorders>
            <w:noWrap w:val="0"/>
            <w:vAlign w:val="center"/>
          </w:tcPr>
          <w:p w14:paraId="7E1A9FFA">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w:t>
            </w:r>
          </w:p>
        </w:tc>
        <w:tc>
          <w:tcPr>
            <w:tcW w:w="889" w:type="dxa"/>
            <w:tcBorders>
              <w:tl2br w:val="nil"/>
              <w:tr2bl w:val="nil"/>
            </w:tcBorders>
            <w:noWrap w:val="0"/>
            <w:vAlign w:val="center"/>
          </w:tcPr>
          <w:p w14:paraId="611CCDDC">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1032" w:type="dxa"/>
            <w:vMerge w:val="restart"/>
            <w:tcBorders>
              <w:tl2br w:val="nil"/>
              <w:tr2bl w:val="nil"/>
            </w:tcBorders>
            <w:noWrap w:val="0"/>
            <w:vAlign w:val="center"/>
          </w:tcPr>
          <w:p w14:paraId="7DE999AF">
            <w:pPr>
              <w:pageBreakBefore w:val="0"/>
              <w:wordWrap/>
              <w:bidi w:val="0"/>
              <w:adjustRightInd/>
              <w:snapToGrid/>
              <w:spacing w:line="240" w:lineRule="auto"/>
              <w:ind w:firstLine="0" w:firstLineChars="0"/>
              <w:jc w:val="center"/>
              <w:rPr>
                <w:bCs/>
                <w:color w:val="auto"/>
                <w:kern w:val="0"/>
                <w:sz w:val="21"/>
                <w:szCs w:val="21"/>
              </w:rPr>
            </w:pPr>
            <w:r>
              <w:rPr>
                <w:bCs/>
                <w:color w:val="auto"/>
                <w:sz w:val="21"/>
                <w:szCs w:val="21"/>
              </w:rPr>
              <w:t>80000</w:t>
            </w:r>
          </w:p>
        </w:tc>
        <w:tc>
          <w:tcPr>
            <w:tcW w:w="1965" w:type="dxa"/>
            <w:gridSpan w:val="3"/>
            <w:tcBorders>
              <w:tl2br w:val="nil"/>
              <w:tr2bl w:val="nil"/>
            </w:tcBorders>
            <w:noWrap w:val="0"/>
            <w:vAlign w:val="center"/>
          </w:tcPr>
          <w:p w14:paraId="62F79D76">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6.0-9.0</w:t>
            </w:r>
          </w:p>
        </w:tc>
        <w:tc>
          <w:tcPr>
            <w:tcW w:w="806" w:type="dxa"/>
            <w:vMerge w:val="restart"/>
            <w:tcBorders>
              <w:tl2br w:val="nil"/>
              <w:tr2bl w:val="nil"/>
            </w:tcBorders>
            <w:noWrap w:val="0"/>
            <w:vAlign w:val="center"/>
          </w:tcPr>
          <w:p w14:paraId="2CB3B18C">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24h</w:t>
            </w:r>
          </w:p>
        </w:tc>
        <w:tc>
          <w:tcPr>
            <w:tcW w:w="793" w:type="dxa"/>
            <w:tcBorders>
              <w:tl2br w:val="nil"/>
              <w:tr2bl w:val="nil"/>
            </w:tcBorders>
            <w:noWrap w:val="0"/>
            <w:vAlign w:val="center"/>
          </w:tcPr>
          <w:p w14:paraId="478123FE">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w:t>
            </w:r>
          </w:p>
        </w:tc>
      </w:tr>
      <w:tr w14:paraId="21B342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continue"/>
            <w:tcBorders>
              <w:tl2br w:val="nil"/>
              <w:tr2bl w:val="nil"/>
            </w:tcBorders>
            <w:noWrap w:val="0"/>
            <w:vAlign w:val="center"/>
          </w:tcPr>
          <w:p w14:paraId="45366B59">
            <w:pPr>
              <w:pageBreakBefore w:val="0"/>
              <w:wordWrap/>
              <w:bidi w:val="0"/>
              <w:adjustRightInd/>
              <w:snapToGrid/>
              <w:spacing w:line="240" w:lineRule="auto"/>
              <w:ind w:firstLine="0" w:firstLineChars="0"/>
              <w:jc w:val="center"/>
              <w:rPr>
                <w:bCs/>
                <w:color w:val="auto"/>
                <w:sz w:val="21"/>
                <w:szCs w:val="21"/>
              </w:rPr>
            </w:pPr>
          </w:p>
        </w:tc>
        <w:tc>
          <w:tcPr>
            <w:tcW w:w="1043" w:type="dxa"/>
            <w:vMerge w:val="continue"/>
            <w:tcBorders>
              <w:tl2br w:val="nil"/>
              <w:tr2bl w:val="nil"/>
            </w:tcBorders>
            <w:noWrap w:val="0"/>
            <w:vAlign w:val="center"/>
          </w:tcPr>
          <w:p w14:paraId="734B918F">
            <w:pPr>
              <w:pageBreakBefore w:val="0"/>
              <w:wordWrap/>
              <w:bidi w:val="0"/>
              <w:adjustRightInd/>
              <w:snapToGrid/>
              <w:spacing w:line="240" w:lineRule="auto"/>
              <w:ind w:firstLine="0" w:firstLineChars="0"/>
              <w:jc w:val="center"/>
              <w:rPr>
                <w:bCs/>
                <w:color w:val="auto"/>
                <w:sz w:val="21"/>
                <w:szCs w:val="21"/>
              </w:rPr>
            </w:pPr>
          </w:p>
        </w:tc>
        <w:tc>
          <w:tcPr>
            <w:tcW w:w="891" w:type="dxa"/>
            <w:tcBorders>
              <w:tl2br w:val="nil"/>
              <w:tr2bl w:val="nil"/>
            </w:tcBorders>
            <w:noWrap w:val="0"/>
            <w:vAlign w:val="center"/>
          </w:tcPr>
          <w:p w14:paraId="50704185">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COD</w:t>
            </w:r>
          </w:p>
        </w:tc>
        <w:tc>
          <w:tcPr>
            <w:tcW w:w="928" w:type="dxa"/>
            <w:tcBorders>
              <w:tl2br w:val="nil"/>
              <w:tr2bl w:val="nil"/>
            </w:tcBorders>
            <w:noWrap w:val="0"/>
            <w:vAlign w:val="center"/>
          </w:tcPr>
          <w:p w14:paraId="07BF7D8B">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895" w:type="dxa"/>
            <w:vMerge w:val="continue"/>
            <w:tcBorders>
              <w:tl2br w:val="nil"/>
              <w:tr2bl w:val="nil"/>
            </w:tcBorders>
            <w:noWrap w:val="0"/>
            <w:vAlign w:val="center"/>
          </w:tcPr>
          <w:p w14:paraId="642728EA">
            <w:pPr>
              <w:pageBreakBefore w:val="0"/>
              <w:wordWrap/>
              <w:bidi w:val="0"/>
              <w:adjustRightInd/>
              <w:snapToGrid/>
              <w:spacing w:line="240" w:lineRule="auto"/>
              <w:ind w:firstLine="0" w:firstLineChars="0"/>
              <w:jc w:val="center"/>
              <w:rPr>
                <w:bCs/>
                <w:color w:val="auto"/>
                <w:sz w:val="21"/>
                <w:szCs w:val="21"/>
              </w:rPr>
            </w:pPr>
          </w:p>
        </w:tc>
        <w:tc>
          <w:tcPr>
            <w:tcW w:w="978" w:type="dxa"/>
            <w:tcBorders>
              <w:tl2br w:val="nil"/>
              <w:tr2bl w:val="nil"/>
            </w:tcBorders>
            <w:noWrap w:val="0"/>
            <w:vAlign w:val="center"/>
          </w:tcPr>
          <w:p w14:paraId="6EACDCCD">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350</w:t>
            </w:r>
          </w:p>
        </w:tc>
        <w:tc>
          <w:tcPr>
            <w:tcW w:w="875" w:type="dxa"/>
            <w:tcBorders>
              <w:tl2br w:val="nil"/>
              <w:tr2bl w:val="nil"/>
            </w:tcBorders>
            <w:noWrap w:val="0"/>
            <w:vAlign w:val="center"/>
          </w:tcPr>
          <w:p w14:paraId="5A4B7443">
            <w:pPr>
              <w:pageBreakBefore w:val="0"/>
              <w:widowControl/>
              <w:wordWrap/>
              <w:bidi w:val="0"/>
              <w:adjustRightInd/>
              <w:snapToGrid/>
              <w:spacing w:line="240" w:lineRule="auto"/>
              <w:ind w:firstLine="0" w:firstLineChars="0"/>
              <w:jc w:val="center"/>
              <w:textAlignment w:val="center"/>
              <w:rPr>
                <w:rFonts w:hint="default" w:eastAsia="宋体"/>
                <w:bCs/>
                <w:color w:val="auto"/>
                <w:sz w:val="21"/>
                <w:szCs w:val="21"/>
                <w:lang w:val="en-US" w:eastAsia="zh-CN"/>
              </w:rPr>
            </w:pPr>
            <w:r>
              <w:rPr>
                <w:rFonts w:hint="eastAsia"/>
                <w:bCs/>
                <w:color w:val="auto"/>
                <w:sz w:val="21"/>
                <w:szCs w:val="21"/>
                <w:lang w:val="en-US" w:eastAsia="zh-CN"/>
              </w:rPr>
              <w:t>383.25</w:t>
            </w:r>
          </w:p>
        </w:tc>
        <w:tc>
          <w:tcPr>
            <w:tcW w:w="1054" w:type="dxa"/>
            <w:vMerge w:val="continue"/>
            <w:tcBorders>
              <w:tl2br w:val="nil"/>
              <w:tr2bl w:val="nil"/>
            </w:tcBorders>
            <w:noWrap w:val="0"/>
            <w:vAlign w:val="center"/>
          </w:tcPr>
          <w:p w14:paraId="7A527D60">
            <w:pPr>
              <w:pageBreakBefore w:val="0"/>
              <w:wordWrap/>
              <w:bidi w:val="0"/>
              <w:adjustRightInd/>
              <w:snapToGrid/>
              <w:spacing w:line="240" w:lineRule="auto"/>
              <w:ind w:firstLine="0" w:firstLineChars="0"/>
              <w:jc w:val="center"/>
              <w:rPr>
                <w:bCs/>
                <w:color w:val="auto"/>
                <w:sz w:val="21"/>
                <w:szCs w:val="21"/>
              </w:rPr>
            </w:pPr>
          </w:p>
        </w:tc>
        <w:tc>
          <w:tcPr>
            <w:tcW w:w="593" w:type="dxa"/>
            <w:tcBorders>
              <w:tl2br w:val="nil"/>
              <w:tr2bl w:val="nil"/>
            </w:tcBorders>
            <w:noWrap w:val="0"/>
            <w:vAlign w:val="center"/>
          </w:tcPr>
          <w:p w14:paraId="1227896B">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100</w:t>
            </w:r>
          </w:p>
        </w:tc>
        <w:tc>
          <w:tcPr>
            <w:tcW w:w="592" w:type="dxa"/>
            <w:tcBorders>
              <w:tl2br w:val="nil"/>
              <w:tr2bl w:val="nil"/>
            </w:tcBorders>
            <w:noWrap w:val="0"/>
            <w:vAlign w:val="center"/>
          </w:tcPr>
          <w:p w14:paraId="1B44562F">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85.7</w:t>
            </w:r>
          </w:p>
        </w:tc>
        <w:tc>
          <w:tcPr>
            <w:tcW w:w="889" w:type="dxa"/>
            <w:tcBorders>
              <w:tl2br w:val="nil"/>
              <w:tr2bl w:val="nil"/>
            </w:tcBorders>
            <w:noWrap w:val="0"/>
            <w:vAlign w:val="center"/>
          </w:tcPr>
          <w:p w14:paraId="0A268177">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1032" w:type="dxa"/>
            <w:vMerge w:val="continue"/>
            <w:tcBorders>
              <w:tl2br w:val="nil"/>
              <w:tr2bl w:val="nil"/>
            </w:tcBorders>
            <w:noWrap w:val="0"/>
            <w:vAlign w:val="center"/>
          </w:tcPr>
          <w:p w14:paraId="28A6AB9A">
            <w:pPr>
              <w:pageBreakBefore w:val="0"/>
              <w:wordWrap/>
              <w:bidi w:val="0"/>
              <w:adjustRightInd/>
              <w:snapToGrid/>
              <w:spacing w:line="240" w:lineRule="auto"/>
              <w:ind w:firstLine="0" w:firstLineChars="0"/>
              <w:jc w:val="center"/>
              <w:rPr>
                <w:bCs/>
                <w:color w:val="auto"/>
                <w:kern w:val="0"/>
                <w:sz w:val="21"/>
                <w:szCs w:val="21"/>
              </w:rPr>
            </w:pPr>
          </w:p>
        </w:tc>
        <w:tc>
          <w:tcPr>
            <w:tcW w:w="931" w:type="dxa"/>
            <w:tcBorders>
              <w:tl2br w:val="nil"/>
              <w:tr2bl w:val="nil"/>
            </w:tcBorders>
            <w:noWrap w:val="0"/>
            <w:vAlign w:val="center"/>
          </w:tcPr>
          <w:p w14:paraId="2D4CD8E1">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50</w:t>
            </w:r>
          </w:p>
        </w:tc>
        <w:tc>
          <w:tcPr>
            <w:tcW w:w="1034" w:type="dxa"/>
            <w:gridSpan w:val="2"/>
            <w:tcBorders>
              <w:tl2br w:val="nil"/>
              <w:tr2bl w:val="nil"/>
            </w:tcBorders>
            <w:noWrap w:val="0"/>
            <w:vAlign w:val="center"/>
          </w:tcPr>
          <w:p w14:paraId="4A266865">
            <w:pPr>
              <w:pageBreakBefore w:val="0"/>
              <w:widowControl/>
              <w:wordWrap/>
              <w:bidi w:val="0"/>
              <w:adjustRightInd/>
              <w:snapToGrid/>
              <w:spacing w:line="240" w:lineRule="auto"/>
              <w:ind w:firstLine="0" w:firstLineChars="0"/>
              <w:jc w:val="center"/>
              <w:textAlignment w:val="center"/>
              <w:rPr>
                <w:rFonts w:hint="default" w:eastAsia="宋体"/>
                <w:bCs/>
                <w:color w:val="auto"/>
                <w:sz w:val="21"/>
                <w:szCs w:val="21"/>
                <w:lang w:val="en-US" w:eastAsia="zh-CN"/>
              </w:rPr>
            </w:pPr>
            <w:r>
              <w:rPr>
                <w:rFonts w:hint="eastAsia"/>
                <w:bCs/>
                <w:color w:val="auto"/>
                <w:sz w:val="21"/>
                <w:szCs w:val="21"/>
                <w:lang w:val="en-US" w:eastAsia="zh-CN"/>
              </w:rPr>
              <w:t>54.75</w:t>
            </w:r>
          </w:p>
        </w:tc>
        <w:tc>
          <w:tcPr>
            <w:tcW w:w="806" w:type="dxa"/>
            <w:vMerge w:val="continue"/>
            <w:tcBorders>
              <w:tl2br w:val="nil"/>
              <w:tr2bl w:val="nil"/>
            </w:tcBorders>
            <w:noWrap w:val="0"/>
            <w:vAlign w:val="center"/>
          </w:tcPr>
          <w:p w14:paraId="3A904AE8">
            <w:pPr>
              <w:pageBreakBefore w:val="0"/>
              <w:wordWrap/>
              <w:bidi w:val="0"/>
              <w:adjustRightInd/>
              <w:snapToGrid/>
              <w:spacing w:line="240" w:lineRule="auto"/>
              <w:ind w:firstLine="0" w:firstLineChars="0"/>
              <w:jc w:val="center"/>
              <w:rPr>
                <w:bCs/>
                <w:color w:val="auto"/>
                <w:sz w:val="21"/>
                <w:szCs w:val="21"/>
              </w:rPr>
            </w:pPr>
          </w:p>
        </w:tc>
        <w:tc>
          <w:tcPr>
            <w:tcW w:w="793" w:type="dxa"/>
            <w:tcBorders>
              <w:tl2br w:val="nil"/>
              <w:tr2bl w:val="nil"/>
            </w:tcBorders>
            <w:noWrap w:val="0"/>
            <w:vAlign w:val="center"/>
          </w:tcPr>
          <w:p w14:paraId="0E1A9990">
            <w:pPr>
              <w:pageBreakBefore w:val="0"/>
              <w:widowControl/>
              <w:wordWrap/>
              <w:bidi w:val="0"/>
              <w:adjustRightInd/>
              <w:snapToGrid/>
              <w:spacing w:line="240" w:lineRule="auto"/>
              <w:ind w:firstLine="0" w:firstLineChars="0"/>
              <w:jc w:val="center"/>
              <w:textAlignment w:val="center"/>
              <w:rPr>
                <w:bCs/>
                <w:color w:val="auto"/>
                <w:sz w:val="21"/>
                <w:szCs w:val="21"/>
              </w:rPr>
            </w:pPr>
            <w:r>
              <w:rPr>
                <w:rFonts w:hint="eastAsia"/>
                <w:bCs/>
                <w:color w:val="auto"/>
                <w:sz w:val="21"/>
                <w:szCs w:val="21"/>
                <w:lang w:val="en-US" w:eastAsia="zh-CN"/>
              </w:rPr>
              <w:t>54.75</w:t>
            </w:r>
          </w:p>
        </w:tc>
      </w:tr>
      <w:tr w14:paraId="69FAFE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continue"/>
            <w:tcBorders>
              <w:tl2br w:val="nil"/>
              <w:tr2bl w:val="nil"/>
            </w:tcBorders>
            <w:noWrap w:val="0"/>
            <w:vAlign w:val="center"/>
          </w:tcPr>
          <w:p w14:paraId="12C6E53B">
            <w:pPr>
              <w:pageBreakBefore w:val="0"/>
              <w:wordWrap/>
              <w:bidi w:val="0"/>
              <w:adjustRightInd/>
              <w:snapToGrid/>
              <w:spacing w:line="240" w:lineRule="auto"/>
              <w:ind w:firstLine="0" w:firstLineChars="0"/>
              <w:jc w:val="center"/>
              <w:rPr>
                <w:bCs/>
                <w:color w:val="auto"/>
                <w:sz w:val="21"/>
                <w:szCs w:val="21"/>
              </w:rPr>
            </w:pPr>
          </w:p>
        </w:tc>
        <w:tc>
          <w:tcPr>
            <w:tcW w:w="1043" w:type="dxa"/>
            <w:vMerge w:val="continue"/>
            <w:tcBorders>
              <w:tl2br w:val="nil"/>
              <w:tr2bl w:val="nil"/>
            </w:tcBorders>
            <w:noWrap w:val="0"/>
            <w:vAlign w:val="center"/>
          </w:tcPr>
          <w:p w14:paraId="22EFA3B4">
            <w:pPr>
              <w:pageBreakBefore w:val="0"/>
              <w:wordWrap/>
              <w:bidi w:val="0"/>
              <w:adjustRightInd/>
              <w:snapToGrid/>
              <w:spacing w:line="240" w:lineRule="auto"/>
              <w:ind w:firstLine="0" w:firstLineChars="0"/>
              <w:jc w:val="center"/>
              <w:rPr>
                <w:bCs/>
                <w:color w:val="auto"/>
                <w:sz w:val="21"/>
                <w:szCs w:val="21"/>
              </w:rPr>
            </w:pPr>
          </w:p>
        </w:tc>
        <w:tc>
          <w:tcPr>
            <w:tcW w:w="891" w:type="dxa"/>
            <w:tcBorders>
              <w:tl2br w:val="nil"/>
              <w:tr2bl w:val="nil"/>
            </w:tcBorders>
            <w:noWrap w:val="0"/>
            <w:vAlign w:val="center"/>
          </w:tcPr>
          <w:p w14:paraId="7EBA99F2">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BOD</w:t>
            </w:r>
            <w:r>
              <w:rPr>
                <w:bCs/>
                <w:color w:val="auto"/>
                <w:sz w:val="21"/>
                <w:szCs w:val="21"/>
                <w:vertAlign w:val="subscript"/>
              </w:rPr>
              <w:t>5</w:t>
            </w:r>
          </w:p>
        </w:tc>
        <w:tc>
          <w:tcPr>
            <w:tcW w:w="928" w:type="dxa"/>
            <w:tcBorders>
              <w:tl2br w:val="nil"/>
              <w:tr2bl w:val="nil"/>
            </w:tcBorders>
            <w:noWrap w:val="0"/>
            <w:vAlign w:val="center"/>
          </w:tcPr>
          <w:p w14:paraId="4F1967A7">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895" w:type="dxa"/>
            <w:vMerge w:val="continue"/>
            <w:tcBorders>
              <w:tl2br w:val="nil"/>
              <w:tr2bl w:val="nil"/>
            </w:tcBorders>
            <w:noWrap w:val="0"/>
            <w:vAlign w:val="center"/>
          </w:tcPr>
          <w:p w14:paraId="56491F63">
            <w:pPr>
              <w:pageBreakBefore w:val="0"/>
              <w:wordWrap/>
              <w:bidi w:val="0"/>
              <w:adjustRightInd/>
              <w:snapToGrid/>
              <w:spacing w:line="240" w:lineRule="auto"/>
              <w:ind w:firstLine="0" w:firstLineChars="0"/>
              <w:jc w:val="center"/>
              <w:rPr>
                <w:bCs/>
                <w:color w:val="auto"/>
                <w:sz w:val="21"/>
                <w:szCs w:val="21"/>
              </w:rPr>
            </w:pPr>
          </w:p>
        </w:tc>
        <w:tc>
          <w:tcPr>
            <w:tcW w:w="978" w:type="dxa"/>
            <w:tcBorders>
              <w:tl2br w:val="nil"/>
              <w:tr2bl w:val="nil"/>
            </w:tcBorders>
            <w:noWrap w:val="0"/>
            <w:vAlign w:val="center"/>
          </w:tcPr>
          <w:p w14:paraId="28C11546">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150</w:t>
            </w:r>
          </w:p>
        </w:tc>
        <w:tc>
          <w:tcPr>
            <w:tcW w:w="875" w:type="dxa"/>
            <w:tcBorders>
              <w:tl2br w:val="nil"/>
              <w:tr2bl w:val="nil"/>
            </w:tcBorders>
            <w:noWrap w:val="0"/>
            <w:vAlign w:val="center"/>
          </w:tcPr>
          <w:p w14:paraId="7F8BA118">
            <w:pPr>
              <w:pageBreakBefore w:val="0"/>
              <w:widowControl/>
              <w:wordWrap/>
              <w:bidi w:val="0"/>
              <w:adjustRightInd/>
              <w:snapToGrid/>
              <w:spacing w:line="240" w:lineRule="auto"/>
              <w:ind w:firstLine="0" w:firstLineChars="0"/>
              <w:jc w:val="center"/>
              <w:textAlignment w:val="center"/>
              <w:rPr>
                <w:rFonts w:hint="default" w:eastAsia="宋体"/>
                <w:bCs/>
                <w:color w:val="auto"/>
                <w:sz w:val="21"/>
                <w:szCs w:val="21"/>
                <w:lang w:val="en-US" w:eastAsia="zh-CN"/>
              </w:rPr>
            </w:pPr>
            <w:r>
              <w:rPr>
                <w:rFonts w:hint="eastAsia"/>
                <w:bCs/>
                <w:color w:val="auto"/>
                <w:sz w:val="21"/>
                <w:szCs w:val="21"/>
                <w:lang w:val="en-US" w:eastAsia="zh-CN"/>
              </w:rPr>
              <w:t>164.25</w:t>
            </w:r>
          </w:p>
        </w:tc>
        <w:tc>
          <w:tcPr>
            <w:tcW w:w="1054" w:type="dxa"/>
            <w:vMerge w:val="continue"/>
            <w:tcBorders>
              <w:tl2br w:val="nil"/>
              <w:tr2bl w:val="nil"/>
            </w:tcBorders>
            <w:noWrap w:val="0"/>
            <w:vAlign w:val="center"/>
          </w:tcPr>
          <w:p w14:paraId="46E2D829">
            <w:pPr>
              <w:pageBreakBefore w:val="0"/>
              <w:wordWrap/>
              <w:bidi w:val="0"/>
              <w:adjustRightInd/>
              <w:snapToGrid/>
              <w:spacing w:line="240" w:lineRule="auto"/>
              <w:ind w:firstLine="0" w:firstLineChars="0"/>
              <w:jc w:val="center"/>
              <w:rPr>
                <w:bCs/>
                <w:color w:val="auto"/>
                <w:sz w:val="21"/>
                <w:szCs w:val="21"/>
              </w:rPr>
            </w:pPr>
          </w:p>
        </w:tc>
        <w:tc>
          <w:tcPr>
            <w:tcW w:w="593" w:type="dxa"/>
            <w:tcBorders>
              <w:tl2br w:val="nil"/>
              <w:tr2bl w:val="nil"/>
            </w:tcBorders>
            <w:noWrap w:val="0"/>
            <w:vAlign w:val="center"/>
          </w:tcPr>
          <w:p w14:paraId="266E5CE8">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100</w:t>
            </w:r>
          </w:p>
        </w:tc>
        <w:tc>
          <w:tcPr>
            <w:tcW w:w="592" w:type="dxa"/>
            <w:tcBorders>
              <w:tl2br w:val="nil"/>
              <w:tr2bl w:val="nil"/>
            </w:tcBorders>
            <w:noWrap w:val="0"/>
            <w:vAlign w:val="center"/>
          </w:tcPr>
          <w:p w14:paraId="7E8CC415">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93.3</w:t>
            </w:r>
          </w:p>
        </w:tc>
        <w:tc>
          <w:tcPr>
            <w:tcW w:w="889" w:type="dxa"/>
            <w:tcBorders>
              <w:tl2br w:val="nil"/>
              <w:tr2bl w:val="nil"/>
            </w:tcBorders>
            <w:noWrap w:val="0"/>
            <w:vAlign w:val="center"/>
          </w:tcPr>
          <w:p w14:paraId="016E1262">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1032" w:type="dxa"/>
            <w:vMerge w:val="continue"/>
            <w:tcBorders>
              <w:tl2br w:val="nil"/>
              <w:tr2bl w:val="nil"/>
            </w:tcBorders>
            <w:noWrap w:val="0"/>
            <w:vAlign w:val="center"/>
          </w:tcPr>
          <w:p w14:paraId="037A95A2">
            <w:pPr>
              <w:pageBreakBefore w:val="0"/>
              <w:wordWrap/>
              <w:bidi w:val="0"/>
              <w:adjustRightInd/>
              <w:snapToGrid/>
              <w:spacing w:line="240" w:lineRule="auto"/>
              <w:ind w:firstLine="0" w:firstLineChars="0"/>
              <w:jc w:val="center"/>
              <w:rPr>
                <w:bCs/>
                <w:color w:val="auto"/>
                <w:kern w:val="0"/>
                <w:sz w:val="21"/>
                <w:szCs w:val="21"/>
              </w:rPr>
            </w:pPr>
          </w:p>
        </w:tc>
        <w:tc>
          <w:tcPr>
            <w:tcW w:w="931" w:type="dxa"/>
            <w:tcBorders>
              <w:tl2br w:val="nil"/>
              <w:tr2bl w:val="nil"/>
            </w:tcBorders>
            <w:noWrap w:val="0"/>
            <w:vAlign w:val="center"/>
          </w:tcPr>
          <w:p w14:paraId="064A0584">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10</w:t>
            </w:r>
          </w:p>
        </w:tc>
        <w:tc>
          <w:tcPr>
            <w:tcW w:w="1034" w:type="dxa"/>
            <w:gridSpan w:val="2"/>
            <w:tcBorders>
              <w:tl2br w:val="nil"/>
              <w:tr2bl w:val="nil"/>
            </w:tcBorders>
            <w:noWrap w:val="0"/>
            <w:vAlign w:val="center"/>
          </w:tcPr>
          <w:p w14:paraId="10AC7839">
            <w:pPr>
              <w:pageBreakBefore w:val="0"/>
              <w:widowControl/>
              <w:wordWrap/>
              <w:bidi w:val="0"/>
              <w:adjustRightInd/>
              <w:snapToGrid/>
              <w:spacing w:line="240" w:lineRule="auto"/>
              <w:ind w:firstLine="0" w:firstLineChars="0"/>
              <w:jc w:val="center"/>
              <w:textAlignment w:val="center"/>
              <w:rPr>
                <w:rFonts w:hint="default" w:eastAsia="宋体"/>
                <w:bCs/>
                <w:color w:val="auto"/>
                <w:sz w:val="21"/>
                <w:szCs w:val="21"/>
                <w:lang w:val="en-US" w:eastAsia="zh-CN"/>
              </w:rPr>
            </w:pPr>
            <w:r>
              <w:rPr>
                <w:rFonts w:hint="eastAsia"/>
                <w:bCs/>
                <w:color w:val="auto"/>
                <w:sz w:val="21"/>
                <w:szCs w:val="21"/>
                <w:lang w:val="en-US" w:eastAsia="zh-CN"/>
              </w:rPr>
              <w:t>10.95</w:t>
            </w:r>
          </w:p>
        </w:tc>
        <w:tc>
          <w:tcPr>
            <w:tcW w:w="806" w:type="dxa"/>
            <w:vMerge w:val="continue"/>
            <w:tcBorders>
              <w:tl2br w:val="nil"/>
              <w:tr2bl w:val="nil"/>
            </w:tcBorders>
            <w:noWrap w:val="0"/>
            <w:vAlign w:val="center"/>
          </w:tcPr>
          <w:p w14:paraId="144FE751">
            <w:pPr>
              <w:pageBreakBefore w:val="0"/>
              <w:wordWrap/>
              <w:bidi w:val="0"/>
              <w:adjustRightInd/>
              <w:snapToGrid/>
              <w:spacing w:line="240" w:lineRule="auto"/>
              <w:ind w:firstLine="0" w:firstLineChars="0"/>
              <w:jc w:val="center"/>
              <w:rPr>
                <w:bCs/>
                <w:color w:val="auto"/>
                <w:sz w:val="21"/>
                <w:szCs w:val="21"/>
              </w:rPr>
            </w:pPr>
          </w:p>
        </w:tc>
        <w:tc>
          <w:tcPr>
            <w:tcW w:w="793" w:type="dxa"/>
            <w:tcBorders>
              <w:tl2br w:val="nil"/>
              <w:tr2bl w:val="nil"/>
            </w:tcBorders>
            <w:noWrap w:val="0"/>
            <w:vAlign w:val="center"/>
          </w:tcPr>
          <w:p w14:paraId="62207C9B">
            <w:pPr>
              <w:pageBreakBefore w:val="0"/>
              <w:widowControl/>
              <w:wordWrap/>
              <w:bidi w:val="0"/>
              <w:adjustRightInd/>
              <w:snapToGrid/>
              <w:spacing w:line="240" w:lineRule="auto"/>
              <w:ind w:firstLine="0" w:firstLineChars="0"/>
              <w:jc w:val="center"/>
              <w:textAlignment w:val="center"/>
              <w:rPr>
                <w:bCs/>
                <w:color w:val="auto"/>
                <w:sz w:val="21"/>
                <w:szCs w:val="21"/>
              </w:rPr>
            </w:pPr>
            <w:r>
              <w:rPr>
                <w:rFonts w:hint="eastAsia"/>
                <w:bCs/>
                <w:color w:val="auto"/>
                <w:sz w:val="21"/>
                <w:szCs w:val="21"/>
                <w:lang w:val="en-US" w:eastAsia="zh-CN"/>
              </w:rPr>
              <w:t>10.95</w:t>
            </w:r>
          </w:p>
        </w:tc>
      </w:tr>
      <w:tr w14:paraId="3B3745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continue"/>
            <w:tcBorders>
              <w:tl2br w:val="nil"/>
              <w:tr2bl w:val="nil"/>
            </w:tcBorders>
            <w:noWrap w:val="0"/>
            <w:vAlign w:val="center"/>
          </w:tcPr>
          <w:p w14:paraId="25015FE3">
            <w:pPr>
              <w:pageBreakBefore w:val="0"/>
              <w:wordWrap/>
              <w:bidi w:val="0"/>
              <w:adjustRightInd/>
              <w:snapToGrid/>
              <w:spacing w:line="240" w:lineRule="auto"/>
              <w:ind w:firstLine="0" w:firstLineChars="0"/>
              <w:jc w:val="center"/>
              <w:rPr>
                <w:bCs/>
                <w:color w:val="auto"/>
                <w:sz w:val="21"/>
                <w:szCs w:val="21"/>
              </w:rPr>
            </w:pPr>
          </w:p>
        </w:tc>
        <w:tc>
          <w:tcPr>
            <w:tcW w:w="1043" w:type="dxa"/>
            <w:vMerge w:val="continue"/>
            <w:tcBorders>
              <w:tl2br w:val="nil"/>
              <w:tr2bl w:val="nil"/>
            </w:tcBorders>
            <w:noWrap w:val="0"/>
            <w:vAlign w:val="center"/>
          </w:tcPr>
          <w:p w14:paraId="74613625">
            <w:pPr>
              <w:pageBreakBefore w:val="0"/>
              <w:wordWrap/>
              <w:bidi w:val="0"/>
              <w:adjustRightInd/>
              <w:snapToGrid/>
              <w:spacing w:line="240" w:lineRule="auto"/>
              <w:ind w:firstLine="0" w:firstLineChars="0"/>
              <w:jc w:val="center"/>
              <w:rPr>
                <w:bCs/>
                <w:color w:val="auto"/>
                <w:sz w:val="21"/>
                <w:szCs w:val="21"/>
              </w:rPr>
            </w:pPr>
          </w:p>
        </w:tc>
        <w:tc>
          <w:tcPr>
            <w:tcW w:w="891" w:type="dxa"/>
            <w:tcBorders>
              <w:tl2br w:val="nil"/>
              <w:tr2bl w:val="nil"/>
            </w:tcBorders>
            <w:noWrap w:val="0"/>
            <w:vAlign w:val="center"/>
          </w:tcPr>
          <w:p w14:paraId="4CA9579D">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SS</w:t>
            </w:r>
          </w:p>
        </w:tc>
        <w:tc>
          <w:tcPr>
            <w:tcW w:w="928" w:type="dxa"/>
            <w:tcBorders>
              <w:tl2br w:val="nil"/>
              <w:tr2bl w:val="nil"/>
            </w:tcBorders>
            <w:noWrap w:val="0"/>
            <w:vAlign w:val="center"/>
          </w:tcPr>
          <w:p w14:paraId="2C862FD1">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895" w:type="dxa"/>
            <w:vMerge w:val="continue"/>
            <w:tcBorders>
              <w:tl2br w:val="nil"/>
              <w:tr2bl w:val="nil"/>
            </w:tcBorders>
            <w:noWrap w:val="0"/>
            <w:vAlign w:val="center"/>
          </w:tcPr>
          <w:p w14:paraId="03C67B85">
            <w:pPr>
              <w:pageBreakBefore w:val="0"/>
              <w:wordWrap/>
              <w:bidi w:val="0"/>
              <w:adjustRightInd/>
              <w:snapToGrid/>
              <w:spacing w:line="240" w:lineRule="auto"/>
              <w:ind w:firstLine="0" w:firstLineChars="0"/>
              <w:jc w:val="center"/>
              <w:rPr>
                <w:bCs/>
                <w:color w:val="auto"/>
                <w:sz w:val="21"/>
                <w:szCs w:val="21"/>
              </w:rPr>
            </w:pPr>
          </w:p>
        </w:tc>
        <w:tc>
          <w:tcPr>
            <w:tcW w:w="978" w:type="dxa"/>
            <w:tcBorders>
              <w:tl2br w:val="nil"/>
              <w:tr2bl w:val="nil"/>
            </w:tcBorders>
            <w:noWrap w:val="0"/>
            <w:vAlign w:val="center"/>
          </w:tcPr>
          <w:p w14:paraId="5DD2931F">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400</w:t>
            </w:r>
          </w:p>
        </w:tc>
        <w:tc>
          <w:tcPr>
            <w:tcW w:w="875" w:type="dxa"/>
            <w:tcBorders>
              <w:tl2br w:val="nil"/>
              <w:tr2bl w:val="nil"/>
            </w:tcBorders>
            <w:noWrap w:val="0"/>
            <w:vAlign w:val="center"/>
          </w:tcPr>
          <w:p w14:paraId="554BF792">
            <w:pPr>
              <w:pageBreakBefore w:val="0"/>
              <w:widowControl/>
              <w:wordWrap/>
              <w:bidi w:val="0"/>
              <w:adjustRightInd/>
              <w:snapToGrid/>
              <w:spacing w:line="240" w:lineRule="auto"/>
              <w:ind w:firstLine="0" w:firstLineChars="0"/>
              <w:jc w:val="center"/>
              <w:textAlignment w:val="center"/>
              <w:rPr>
                <w:rFonts w:hint="default" w:eastAsia="宋体"/>
                <w:bCs/>
                <w:color w:val="auto"/>
                <w:sz w:val="21"/>
                <w:szCs w:val="21"/>
                <w:lang w:val="en-US" w:eastAsia="zh-CN"/>
              </w:rPr>
            </w:pPr>
            <w:r>
              <w:rPr>
                <w:rFonts w:hint="eastAsia"/>
                <w:bCs/>
                <w:color w:val="auto"/>
                <w:sz w:val="21"/>
                <w:szCs w:val="21"/>
                <w:lang w:val="en-US" w:eastAsia="zh-CN"/>
              </w:rPr>
              <w:t>438</w:t>
            </w:r>
          </w:p>
        </w:tc>
        <w:tc>
          <w:tcPr>
            <w:tcW w:w="1054" w:type="dxa"/>
            <w:vMerge w:val="continue"/>
            <w:tcBorders>
              <w:tl2br w:val="nil"/>
              <w:tr2bl w:val="nil"/>
            </w:tcBorders>
            <w:noWrap w:val="0"/>
            <w:vAlign w:val="center"/>
          </w:tcPr>
          <w:p w14:paraId="097BEF23">
            <w:pPr>
              <w:pageBreakBefore w:val="0"/>
              <w:wordWrap/>
              <w:bidi w:val="0"/>
              <w:adjustRightInd/>
              <w:snapToGrid/>
              <w:spacing w:line="240" w:lineRule="auto"/>
              <w:ind w:firstLine="0" w:firstLineChars="0"/>
              <w:jc w:val="center"/>
              <w:rPr>
                <w:bCs/>
                <w:color w:val="auto"/>
                <w:sz w:val="21"/>
                <w:szCs w:val="21"/>
              </w:rPr>
            </w:pPr>
          </w:p>
        </w:tc>
        <w:tc>
          <w:tcPr>
            <w:tcW w:w="593" w:type="dxa"/>
            <w:tcBorders>
              <w:tl2br w:val="nil"/>
              <w:tr2bl w:val="nil"/>
            </w:tcBorders>
            <w:noWrap w:val="0"/>
            <w:vAlign w:val="center"/>
          </w:tcPr>
          <w:p w14:paraId="346E535F">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100</w:t>
            </w:r>
          </w:p>
        </w:tc>
        <w:tc>
          <w:tcPr>
            <w:tcW w:w="592" w:type="dxa"/>
            <w:tcBorders>
              <w:tl2br w:val="nil"/>
              <w:tr2bl w:val="nil"/>
            </w:tcBorders>
            <w:noWrap w:val="0"/>
            <w:vAlign w:val="center"/>
          </w:tcPr>
          <w:p w14:paraId="6E519367">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97.5</w:t>
            </w:r>
          </w:p>
        </w:tc>
        <w:tc>
          <w:tcPr>
            <w:tcW w:w="889" w:type="dxa"/>
            <w:tcBorders>
              <w:tl2br w:val="nil"/>
              <w:tr2bl w:val="nil"/>
            </w:tcBorders>
            <w:noWrap w:val="0"/>
            <w:vAlign w:val="center"/>
          </w:tcPr>
          <w:p w14:paraId="5DB00D7C">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1032" w:type="dxa"/>
            <w:vMerge w:val="continue"/>
            <w:tcBorders>
              <w:tl2br w:val="nil"/>
              <w:tr2bl w:val="nil"/>
            </w:tcBorders>
            <w:noWrap w:val="0"/>
            <w:vAlign w:val="center"/>
          </w:tcPr>
          <w:p w14:paraId="1EA759DF">
            <w:pPr>
              <w:pageBreakBefore w:val="0"/>
              <w:wordWrap/>
              <w:bidi w:val="0"/>
              <w:adjustRightInd/>
              <w:snapToGrid/>
              <w:spacing w:line="240" w:lineRule="auto"/>
              <w:ind w:firstLine="0" w:firstLineChars="0"/>
              <w:jc w:val="center"/>
              <w:rPr>
                <w:bCs/>
                <w:color w:val="auto"/>
                <w:kern w:val="0"/>
                <w:sz w:val="21"/>
                <w:szCs w:val="21"/>
              </w:rPr>
            </w:pPr>
          </w:p>
        </w:tc>
        <w:tc>
          <w:tcPr>
            <w:tcW w:w="931" w:type="dxa"/>
            <w:tcBorders>
              <w:tl2br w:val="nil"/>
              <w:tr2bl w:val="nil"/>
            </w:tcBorders>
            <w:noWrap w:val="0"/>
            <w:vAlign w:val="center"/>
          </w:tcPr>
          <w:p w14:paraId="65DC8D5E">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10</w:t>
            </w:r>
          </w:p>
        </w:tc>
        <w:tc>
          <w:tcPr>
            <w:tcW w:w="1034" w:type="dxa"/>
            <w:gridSpan w:val="2"/>
            <w:tcBorders>
              <w:tl2br w:val="nil"/>
              <w:tr2bl w:val="nil"/>
            </w:tcBorders>
            <w:noWrap w:val="0"/>
            <w:vAlign w:val="center"/>
          </w:tcPr>
          <w:p w14:paraId="4A0519ED">
            <w:pPr>
              <w:pageBreakBefore w:val="0"/>
              <w:widowControl/>
              <w:wordWrap/>
              <w:bidi w:val="0"/>
              <w:adjustRightInd/>
              <w:snapToGrid/>
              <w:spacing w:line="240" w:lineRule="auto"/>
              <w:ind w:firstLine="0" w:firstLineChars="0"/>
              <w:jc w:val="center"/>
              <w:textAlignment w:val="center"/>
              <w:rPr>
                <w:rFonts w:hint="default" w:eastAsia="宋体"/>
                <w:bCs/>
                <w:color w:val="auto"/>
                <w:sz w:val="21"/>
                <w:szCs w:val="21"/>
                <w:lang w:val="en-US" w:eastAsia="zh-CN"/>
              </w:rPr>
            </w:pPr>
            <w:r>
              <w:rPr>
                <w:rFonts w:hint="eastAsia"/>
                <w:bCs/>
                <w:color w:val="auto"/>
                <w:sz w:val="21"/>
                <w:szCs w:val="21"/>
                <w:lang w:val="en-US" w:eastAsia="zh-CN"/>
              </w:rPr>
              <w:t>10.95</w:t>
            </w:r>
          </w:p>
        </w:tc>
        <w:tc>
          <w:tcPr>
            <w:tcW w:w="806" w:type="dxa"/>
            <w:vMerge w:val="continue"/>
            <w:tcBorders>
              <w:tl2br w:val="nil"/>
              <w:tr2bl w:val="nil"/>
            </w:tcBorders>
            <w:noWrap w:val="0"/>
            <w:vAlign w:val="center"/>
          </w:tcPr>
          <w:p w14:paraId="4AA28760">
            <w:pPr>
              <w:pageBreakBefore w:val="0"/>
              <w:wordWrap/>
              <w:bidi w:val="0"/>
              <w:adjustRightInd/>
              <w:snapToGrid/>
              <w:spacing w:line="240" w:lineRule="auto"/>
              <w:ind w:firstLine="0" w:firstLineChars="0"/>
              <w:jc w:val="center"/>
              <w:rPr>
                <w:bCs/>
                <w:color w:val="auto"/>
                <w:sz w:val="21"/>
                <w:szCs w:val="21"/>
              </w:rPr>
            </w:pPr>
          </w:p>
        </w:tc>
        <w:tc>
          <w:tcPr>
            <w:tcW w:w="793" w:type="dxa"/>
            <w:tcBorders>
              <w:tl2br w:val="nil"/>
              <w:tr2bl w:val="nil"/>
            </w:tcBorders>
            <w:noWrap w:val="0"/>
            <w:vAlign w:val="center"/>
          </w:tcPr>
          <w:p w14:paraId="762B0F8F">
            <w:pPr>
              <w:pageBreakBefore w:val="0"/>
              <w:widowControl/>
              <w:wordWrap/>
              <w:bidi w:val="0"/>
              <w:adjustRightInd/>
              <w:snapToGrid/>
              <w:spacing w:line="240" w:lineRule="auto"/>
              <w:ind w:firstLine="0" w:firstLineChars="0"/>
              <w:jc w:val="center"/>
              <w:textAlignment w:val="center"/>
              <w:rPr>
                <w:bCs/>
                <w:color w:val="auto"/>
                <w:sz w:val="21"/>
                <w:szCs w:val="21"/>
              </w:rPr>
            </w:pPr>
            <w:r>
              <w:rPr>
                <w:rFonts w:hint="eastAsia"/>
                <w:bCs/>
                <w:color w:val="auto"/>
                <w:sz w:val="21"/>
                <w:szCs w:val="21"/>
                <w:lang w:val="en-US" w:eastAsia="zh-CN"/>
              </w:rPr>
              <w:t>10.95</w:t>
            </w:r>
          </w:p>
        </w:tc>
      </w:tr>
      <w:tr w14:paraId="58E8CC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continue"/>
            <w:tcBorders>
              <w:tl2br w:val="nil"/>
              <w:tr2bl w:val="nil"/>
            </w:tcBorders>
            <w:noWrap w:val="0"/>
            <w:vAlign w:val="center"/>
          </w:tcPr>
          <w:p w14:paraId="46683460">
            <w:pPr>
              <w:pageBreakBefore w:val="0"/>
              <w:wordWrap/>
              <w:bidi w:val="0"/>
              <w:adjustRightInd/>
              <w:snapToGrid/>
              <w:spacing w:line="240" w:lineRule="auto"/>
              <w:ind w:firstLine="0" w:firstLineChars="0"/>
              <w:jc w:val="center"/>
              <w:rPr>
                <w:bCs/>
                <w:color w:val="auto"/>
                <w:sz w:val="21"/>
                <w:szCs w:val="21"/>
              </w:rPr>
            </w:pPr>
          </w:p>
        </w:tc>
        <w:tc>
          <w:tcPr>
            <w:tcW w:w="1043" w:type="dxa"/>
            <w:vMerge w:val="continue"/>
            <w:tcBorders>
              <w:tl2br w:val="nil"/>
              <w:tr2bl w:val="nil"/>
            </w:tcBorders>
            <w:noWrap w:val="0"/>
            <w:vAlign w:val="center"/>
          </w:tcPr>
          <w:p w14:paraId="68C61D6C">
            <w:pPr>
              <w:pageBreakBefore w:val="0"/>
              <w:wordWrap/>
              <w:bidi w:val="0"/>
              <w:adjustRightInd/>
              <w:snapToGrid/>
              <w:spacing w:line="240" w:lineRule="auto"/>
              <w:ind w:firstLine="0" w:firstLineChars="0"/>
              <w:jc w:val="center"/>
              <w:rPr>
                <w:bCs/>
                <w:color w:val="auto"/>
                <w:sz w:val="21"/>
                <w:szCs w:val="21"/>
              </w:rPr>
            </w:pPr>
          </w:p>
        </w:tc>
        <w:tc>
          <w:tcPr>
            <w:tcW w:w="891" w:type="dxa"/>
            <w:tcBorders>
              <w:tl2br w:val="nil"/>
              <w:tr2bl w:val="nil"/>
            </w:tcBorders>
            <w:noWrap w:val="0"/>
            <w:vAlign w:val="center"/>
          </w:tcPr>
          <w:p w14:paraId="27ACB18F">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NH</w:t>
            </w:r>
            <w:r>
              <w:rPr>
                <w:bCs/>
                <w:color w:val="auto"/>
                <w:sz w:val="21"/>
                <w:szCs w:val="21"/>
                <w:vertAlign w:val="subscript"/>
              </w:rPr>
              <w:t>3</w:t>
            </w:r>
            <w:r>
              <w:rPr>
                <w:bCs/>
                <w:color w:val="auto"/>
                <w:sz w:val="21"/>
                <w:szCs w:val="21"/>
              </w:rPr>
              <w:t>-N</w:t>
            </w:r>
          </w:p>
        </w:tc>
        <w:tc>
          <w:tcPr>
            <w:tcW w:w="928" w:type="dxa"/>
            <w:tcBorders>
              <w:tl2br w:val="nil"/>
              <w:tr2bl w:val="nil"/>
            </w:tcBorders>
            <w:noWrap w:val="0"/>
            <w:vAlign w:val="center"/>
          </w:tcPr>
          <w:p w14:paraId="36CA87DE">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895" w:type="dxa"/>
            <w:vMerge w:val="continue"/>
            <w:tcBorders>
              <w:tl2br w:val="nil"/>
              <w:tr2bl w:val="nil"/>
            </w:tcBorders>
            <w:noWrap w:val="0"/>
            <w:vAlign w:val="center"/>
          </w:tcPr>
          <w:p w14:paraId="27EF9C3F">
            <w:pPr>
              <w:pageBreakBefore w:val="0"/>
              <w:wordWrap/>
              <w:bidi w:val="0"/>
              <w:adjustRightInd/>
              <w:snapToGrid/>
              <w:spacing w:line="240" w:lineRule="auto"/>
              <w:ind w:firstLine="0" w:firstLineChars="0"/>
              <w:jc w:val="center"/>
              <w:rPr>
                <w:bCs/>
                <w:color w:val="auto"/>
                <w:sz w:val="21"/>
                <w:szCs w:val="21"/>
              </w:rPr>
            </w:pPr>
          </w:p>
        </w:tc>
        <w:tc>
          <w:tcPr>
            <w:tcW w:w="978" w:type="dxa"/>
            <w:tcBorders>
              <w:tl2br w:val="nil"/>
              <w:tr2bl w:val="nil"/>
            </w:tcBorders>
            <w:noWrap w:val="0"/>
            <w:vAlign w:val="center"/>
          </w:tcPr>
          <w:p w14:paraId="58FAFE33">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50</w:t>
            </w:r>
          </w:p>
        </w:tc>
        <w:tc>
          <w:tcPr>
            <w:tcW w:w="875" w:type="dxa"/>
            <w:tcBorders>
              <w:tl2br w:val="nil"/>
              <w:tr2bl w:val="nil"/>
            </w:tcBorders>
            <w:noWrap w:val="0"/>
            <w:vAlign w:val="center"/>
          </w:tcPr>
          <w:p w14:paraId="58948228">
            <w:pPr>
              <w:pageBreakBefore w:val="0"/>
              <w:widowControl/>
              <w:wordWrap/>
              <w:bidi w:val="0"/>
              <w:adjustRightInd/>
              <w:snapToGrid/>
              <w:spacing w:line="240" w:lineRule="auto"/>
              <w:ind w:firstLine="0" w:firstLineChars="0"/>
              <w:jc w:val="center"/>
              <w:textAlignment w:val="center"/>
              <w:rPr>
                <w:rFonts w:hint="default" w:eastAsia="宋体"/>
                <w:bCs/>
                <w:color w:val="auto"/>
                <w:sz w:val="21"/>
                <w:szCs w:val="21"/>
                <w:lang w:val="en-US" w:eastAsia="zh-CN"/>
              </w:rPr>
            </w:pPr>
            <w:r>
              <w:rPr>
                <w:rFonts w:hint="eastAsia"/>
                <w:bCs/>
                <w:color w:val="auto"/>
                <w:sz w:val="21"/>
                <w:szCs w:val="21"/>
                <w:lang w:val="en-US" w:eastAsia="zh-CN"/>
              </w:rPr>
              <w:t>54.75</w:t>
            </w:r>
          </w:p>
        </w:tc>
        <w:tc>
          <w:tcPr>
            <w:tcW w:w="1054" w:type="dxa"/>
            <w:vMerge w:val="continue"/>
            <w:tcBorders>
              <w:tl2br w:val="nil"/>
              <w:tr2bl w:val="nil"/>
            </w:tcBorders>
            <w:noWrap w:val="0"/>
            <w:vAlign w:val="center"/>
          </w:tcPr>
          <w:p w14:paraId="7F782639">
            <w:pPr>
              <w:pageBreakBefore w:val="0"/>
              <w:wordWrap/>
              <w:bidi w:val="0"/>
              <w:adjustRightInd/>
              <w:snapToGrid/>
              <w:spacing w:line="240" w:lineRule="auto"/>
              <w:ind w:firstLine="0" w:firstLineChars="0"/>
              <w:jc w:val="center"/>
              <w:rPr>
                <w:bCs/>
                <w:color w:val="auto"/>
                <w:sz w:val="21"/>
                <w:szCs w:val="21"/>
              </w:rPr>
            </w:pPr>
          </w:p>
        </w:tc>
        <w:tc>
          <w:tcPr>
            <w:tcW w:w="593" w:type="dxa"/>
            <w:tcBorders>
              <w:tl2br w:val="nil"/>
              <w:tr2bl w:val="nil"/>
            </w:tcBorders>
            <w:noWrap w:val="0"/>
            <w:vAlign w:val="center"/>
          </w:tcPr>
          <w:p w14:paraId="19282FC1">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100</w:t>
            </w:r>
          </w:p>
        </w:tc>
        <w:tc>
          <w:tcPr>
            <w:tcW w:w="592" w:type="dxa"/>
            <w:tcBorders>
              <w:tl2br w:val="nil"/>
              <w:tr2bl w:val="nil"/>
            </w:tcBorders>
            <w:noWrap w:val="0"/>
            <w:vAlign w:val="center"/>
          </w:tcPr>
          <w:p w14:paraId="004986D6">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90</w:t>
            </w:r>
          </w:p>
        </w:tc>
        <w:tc>
          <w:tcPr>
            <w:tcW w:w="889" w:type="dxa"/>
            <w:tcBorders>
              <w:tl2br w:val="nil"/>
              <w:tr2bl w:val="nil"/>
            </w:tcBorders>
            <w:noWrap w:val="0"/>
            <w:vAlign w:val="center"/>
          </w:tcPr>
          <w:p w14:paraId="1099D3B3">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1032" w:type="dxa"/>
            <w:vMerge w:val="continue"/>
            <w:tcBorders>
              <w:tl2br w:val="nil"/>
              <w:tr2bl w:val="nil"/>
            </w:tcBorders>
            <w:noWrap w:val="0"/>
            <w:vAlign w:val="center"/>
          </w:tcPr>
          <w:p w14:paraId="27254967">
            <w:pPr>
              <w:pageBreakBefore w:val="0"/>
              <w:wordWrap/>
              <w:bidi w:val="0"/>
              <w:adjustRightInd/>
              <w:snapToGrid/>
              <w:spacing w:line="240" w:lineRule="auto"/>
              <w:ind w:firstLine="0" w:firstLineChars="0"/>
              <w:jc w:val="center"/>
              <w:rPr>
                <w:bCs/>
                <w:color w:val="auto"/>
                <w:sz w:val="21"/>
                <w:szCs w:val="21"/>
              </w:rPr>
            </w:pPr>
          </w:p>
        </w:tc>
        <w:tc>
          <w:tcPr>
            <w:tcW w:w="931" w:type="dxa"/>
            <w:tcBorders>
              <w:tl2br w:val="nil"/>
              <w:tr2bl w:val="nil"/>
            </w:tcBorders>
            <w:noWrap w:val="0"/>
            <w:vAlign w:val="center"/>
          </w:tcPr>
          <w:p w14:paraId="016D9F98">
            <w:pPr>
              <w:pageBreakBefore w:val="0"/>
              <w:wordWrap/>
              <w:bidi w:val="0"/>
              <w:adjustRightInd/>
              <w:snapToGrid/>
              <w:spacing w:line="240" w:lineRule="auto"/>
              <w:ind w:firstLine="0" w:firstLineChars="0"/>
              <w:jc w:val="center"/>
              <w:rPr>
                <w:rFonts w:hint="eastAsia" w:eastAsia="宋体"/>
                <w:bCs/>
                <w:color w:val="auto"/>
                <w:sz w:val="21"/>
                <w:szCs w:val="21"/>
                <w:lang w:val="en-US" w:eastAsia="zh-CN"/>
              </w:rPr>
            </w:pPr>
            <w:r>
              <w:rPr>
                <w:rFonts w:hint="eastAsia"/>
                <w:bCs/>
                <w:color w:val="auto"/>
                <w:sz w:val="21"/>
                <w:szCs w:val="21"/>
                <w:lang w:val="en-US" w:eastAsia="zh-CN"/>
              </w:rPr>
              <w:t>5</w:t>
            </w:r>
          </w:p>
        </w:tc>
        <w:tc>
          <w:tcPr>
            <w:tcW w:w="1034" w:type="dxa"/>
            <w:gridSpan w:val="2"/>
            <w:tcBorders>
              <w:tl2br w:val="nil"/>
              <w:tr2bl w:val="nil"/>
            </w:tcBorders>
            <w:noWrap w:val="0"/>
            <w:vAlign w:val="center"/>
          </w:tcPr>
          <w:p w14:paraId="33648145">
            <w:pPr>
              <w:pageBreakBefore w:val="0"/>
              <w:widowControl/>
              <w:wordWrap/>
              <w:bidi w:val="0"/>
              <w:adjustRightInd/>
              <w:snapToGrid/>
              <w:spacing w:line="240" w:lineRule="auto"/>
              <w:ind w:firstLine="0" w:firstLineChars="0"/>
              <w:jc w:val="center"/>
              <w:textAlignment w:val="center"/>
              <w:rPr>
                <w:rFonts w:hint="default" w:eastAsia="宋体"/>
                <w:bCs/>
                <w:color w:val="auto"/>
                <w:sz w:val="21"/>
                <w:szCs w:val="21"/>
                <w:lang w:val="en-US" w:eastAsia="zh-CN"/>
              </w:rPr>
            </w:pPr>
            <w:r>
              <w:rPr>
                <w:rFonts w:hint="eastAsia"/>
                <w:bCs/>
                <w:color w:val="auto"/>
                <w:sz w:val="21"/>
                <w:szCs w:val="21"/>
                <w:lang w:val="en-US" w:eastAsia="zh-CN"/>
              </w:rPr>
              <w:t>5.475</w:t>
            </w:r>
          </w:p>
        </w:tc>
        <w:tc>
          <w:tcPr>
            <w:tcW w:w="806" w:type="dxa"/>
            <w:vMerge w:val="continue"/>
            <w:tcBorders>
              <w:tl2br w:val="nil"/>
              <w:tr2bl w:val="nil"/>
            </w:tcBorders>
            <w:noWrap w:val="0"/>
            <w:vAlign w:val="center"/>
          </w:tcPr>
          <w:p w14:paraId="4FCD97D4">
            <w:pPr>
              <w:pageBreakBefore w:val="0"/>
              <w:wordWrap/>
              <w:bidi w:val="0"/>
              <w:adjustRightInd/>
              <w:snapToGrid/>
              <w:spacing w:line="240" w:lineRule="auto"/>
              <w:ind w:firstLine="0" w:firstLineChars="0"/>
              <w:jc w:val="center"/>
              <w:rPr>
                <w:bCs/>
                <w:color w:val="auto"/>
                <w:sz w:val="21"/>
                <w:szCs w:val="21"/>
              </w:rPr>
            </w:pPr>
          </w:p>
        </w:tc>
        <w:tc>
          <w:tcPr>
            <w:tcW w:w="793" w:type="dxa"/>
            <w:tcBorders>
              <w:tl2br w:val="nil"/>
              <w:tr2bl w:val="nil"/>
            </w:tcBorders>
            <w:noWrap w:val="0"/>
            <w:vAlign w:val="center"/>
          </w:tcPr>
          <w:p w14:paraId="44487408">
            <w:pPr>
              <w:pageBreakBefore w:val="0"/>
              <w:widowControl/>
              <w:wordWrap/>
              <w:bidi w:val="0"/>
              <w:adjustRightInd/>
              <w:snapToGrid/>
              <w:spacing w:line="240" w:lineRule="auto"/>
              <w:ind w:firstLine="0" w:firstLineChars="0"/>
              <w:jc w:val="center"/>
              <w:textAlignment w:val="center"/>
              <w:rPr>
                <w:bCs/>
                <w:color w:val="auto"/>
                <w:sz w:val="21"/>
                <w:szCs w:val="21"/>
              </w:rPr>
            </w:pPr>
            <w:r>
              <w:rPr>
                <w:rFonts w:hint="eastAsia"/>
                <w:bCs/>
                <w:color w:val="auto"/>
                <w:sz w:val="21"/>
                <w:szCs w:val="21"/>
                <w:lang w:val="en-US" w:eastAsia="zh-CN"/>
              </w:rPr>
              <w:t>5.475</w:t>
            </w:r>
          </w:p>
        </w:tc>
      </w:tr>
      <w:tr w14:paraId="445707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continue"/>
            <w:tcBorders>
              <w:tl2br w:val="nil"/>
              <w:tr2bl w:val="nil"/>
            </w:tcBorders>
            <w:noWrap w:val="0"/>
            <w:vAlign w:val="center"/>
          </w:tcPr>
          <w:p w14:paraId="72A7E5C3">
            <w:pPr>
              <w:pageBreakBefore w:val="0"/>
              <w:wordWrap/>
              <w:bidi w:val="0"/>
              <w:adjustRightInd/>
              <w:snapToGrid/>
              <w:spacing w:line="240" w:lineRule="auto"/>
              <w:ind w:firstLine="0" w:firstLineChars="0"/>
              <w:jc w:val="center"/>
              <w:rPr>
                <w:bCs/>
                <w:color w:val="auto"/>
                <w:sz w:val="21"/>
                <w:szCs w:val="21"/>
              </w:rPr>
            </w:pPr>
          </w:p>
        </w:tc>
        <w:tc>
          <w:tcPr>
            <w:tcW w:w="1043" w:type="dxa"/>
            <w:vMerge w:val="continue"/>
            <w:tcBorders>
              <w:tl2br w:val="nil"/>
              <w:tr2bl w:val="nil"/>
            </w:tcBorders>
            <w:noWrap w:val="0"/>
            <w:vAlign w:val="center"/>
          </w:tcPr>
          <w:p w14:paraId="6F050294">
            <w:pPr>
              <w:pageBreakBefore w:val="0"/>
              <w:wordWrap/>
              <w:bidi w:val="0"/>
              <w:adjustRightInd/>
              <w:snapToGrid/>
              <w:spacing w:line="240" w:lineRule="auto"/>
              <w:ind w:firstLine="0" w:firstLineChars="0"/>
              <w:jc w:val="center"/>
              <w:rPr>
                <w:bCs/>
                <w:color w:val="auto"/>
                <w:sz w:val="21"/>
                <w:szCs w:val="21"/>
              </w:rPr>
            </w:pPr>
          </w:p>
        </w:tc>
        <w:tc>
          <w:tcPr>
            <w:tcW w:w="891" w:type="dxa"/>
            <w:tcBorders>
              <w:tl2br w:val="nil"/>
              <w:tr2bl w:val="nil"/>
            </w:tcBorders>
            <w:noWrap w:val="0"/>
            <w:vAlign w:val="center"/>
          </w:tcPr>
          <w:p w14:paraId="3C50794E">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TP</w:t>
            </w:r>
          </w:p>
        </w:tc>
        <w:tc>
          <w:tcPr>
            <w:tcW w:w="928" w:type="dxa"/>
            <w:tcBorders>
              <w:tl2br w:val="nil"/>
              <w:tr2bl w:val="nil"/>
            </w:tcBorders>
            <w:noWrap w:val="0"/>
            <w:vAlign w:val="center"/>
          </w:tcPr>
          <w:p w14:paraId="3D18A8F2">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895" w:type="dxa"/>
            <w:vMerge w:val="continue"/>
            <w:tcBorders>
              <w:tl2br w:val="nil"/>
              <w:tr2bl w:val="nil"/>
            </w:tcBorders>
            <w:noWrap w:val="0"/>
            <w:vAlign w:val="center"/>
          </w:tcPr>
          <w:p w14:paraId="5126C8EE">
            <w:pPr>
              <w:pageBreakBefore w:val="0"/>
              <w:wordWrap/>
              <w:bidi w:val="0"/>
              <w:adjustRightInd/>
              <w:snapToGrid/>
              <w:spacing w:line="240" w:lineRule="auto"/>
              <w:ind w:firstLine="0" w:firstLineChars="0"/>
              <w:jc w:val="center"/>
              <w:rPr>
                <w:bCs/>
                <w:color w:val="auto"/>
                <w:kern w:val="0"/>
                <w:sz w:val="21"/>
                <w:szCs w:val="21"/>
              </w:rPr>
            </w:pPr>
          </w:p>
        </w:tc>
        <w:tc>
          <w:tcPr>
            <w:tcW w:w="978" w:type="dxa"/>
            <w:tcBorders>
              <w:tl2br w:val="nil"/>
              <w:tr2bl w:val="nil"/>
            </w:tcBorders>
            <w:noWrap w:val="0"/>
            <w:vAlign w:val="center"/>
          </w:tcPr>
          <w:p w14:paraId="230BC99B">
            <w:pPr>
              <w:pageBreakBefore w:val="0"/>
              <w:widowControl/>
              <w:wordWrap/>
              <w:bidi w:val="0"/>
              <w:adjustRightInd/>
              <w:snapToGrid/>
              <w:spacing w:line="240" w:lineRule="auto"/>
              <w:ind w:firstLine="0" w:firstLineChars="0"/>
              <w:jc w:val="center"/>
              <w:textAlignment w:val="center"/>
              <w:rPr>
                <w:rFonts w:hint="eastAsia" w:eastAsia="宋体"/>
                <w:bCs/>
                <w:color w:val="auto"/>
                <w:kern w:val="0"/>
                <w:sz w:val="21"/>
                <w:szCs w:val="21"/>
                <w:lang w:eastAsia="zh-CN" w:bidi="ar"/>
              </w:rPr>
            </w:pPr>
            <w:r>
              <w:rPr>
                <w:rFonts w:hint="eastAsia"/>
                <w:bCs/>
                <w:color w:val="auto"/>
                <w:sz w:val="21"/>
                <w:szCs w:val="21"/>
                <w:lang w:val="en-US" w:eastAsia="zh-CN"/>
              </w:rPr>
              <w:t>4</w:t>
            </w:r>
          </w:p>
        </w:tc>
        <w:tc>
          <w:tcPr>
            <w:tcW w:w="875" w:type="dxa"/>
            <w:tcBorders>
              <w:tl2br w:val="nil"/>
              <w:tr2bl w:val="nil"/>
            </w:tcBorders>
            <w:noWrap w:val="0"/>
            <w:vAlign w:val="center"/>
          </w:tcPr>
          <w:p w14:paraId="263D466A">
            <w:pPr>
              <w:pageBreakBefore w:val="0"/>
              <w:widowControl/>
              <w:wordWrap/>
              <w:bidi w:val="0"/>
              <w:adjustRightInd/>
              <w:snapToGrid/>
              <w:spacing w:line="240" w:lineRule="auto"/>
              <w:ind w:firstLine="0" w:firstLineChars="0"/>
              <w:jc w:val="center"/>
              <w:textAlignment w:val="center"/>
              <w:rPr>
                <w:rFonts w:hint="default" w:eastAsia="宋体"/>
                <w:bCs/>
                <w:color w:val="auto"/>
                <w:kern w:val="0"/>
                <w:sz w:val="21"/>
                <w:szCs w:val="21"/>
                <w:lang w:val="en-US" w:eastAsia="zh-CN" w:bidi="ar"/>
              </w:rPr>
            </w:pPr>
            <w:r>
              <w:rPr>
                <w:rFonts w:hint="eastAsia"/>
                <w:bCs/>
                <w:color w:val="auto"/>
                <w:kern w:val="0"/>
                <w:sz w:val="21"/>
                <w:szCs w:val="21"/>
                <w:lang w:val="en-US" w:eastAsia="zh-CN" w:bidi="ar"/>
              </w:rPr>
              <w:t>4.38</w:t>
            </w:r>
          </w:p>
        </w:tc>
        <w:tc>
          <w:tcPr>
            <w:tcW w:w="1054" w:type="dxa"/>
            <w:vMerge w:val="continue"/>
            <w:tcBorders>
              <w:tl2br w:val="nil"/>
              <w:tr2bl w:val="nil"/>
            </w:tcBorders>
            <w:noWrap w:val="0"/>
            <w:vAlign w:val="center"/>
          </w:tcPr>
          <w:p w14:paraId="7E9EDABF">
            <w:pPr>
              <w:pageBreakBefore w:val="0"/>
              <w:widowControl/>
              <w:wordWrap/>
              <w:bidi w:val="0"/>
              <w:adjustRightInd/>
              <w:snapToGrid/>
              <w:spacing w:line="240" w:lineRule="auto"/>
              <w:ind w:firstLine="0" w:firstLineChars="0"/>
              <w:jc w:val="center"/>
              <w:rPr>
                <w:bCs/>
                <w:color w:val="auto"/>
                <w:sz w:val="21"/>
                <w:szCs w:val="21"/>
              </w:rPr>
            </w:pPr>
          </w:p>
        </w:tc>
        <w:tc>
          <w:tcPr>
            <w:tcW w:w="593" w:type="dxa"/>
            <w:tcBorders>
              <w:tl2br w:val="nil"/>
              <w:tr2bl w:val="nil"/>
            </w:tcBorders>
            <w:noWrap w:val="0"/>
            <w:vAlign w:val="center"/>
          </w:tcPr>
          <w:p w14:paraId="308E53C6">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100</w:t>
            </w:r>
          </w:p>
        </w:tc>
        <w:tc>
          <w:tcPr>
            <w:tcW w:w="592" w:type="dxa"/>
            <w:tcBorders>
              <w:tl2br w:val="nil"/>
              <w:tr2bl w:val="nil"/>
            </w:tcBorders>
            <w:noWrap w:val="0"/>
            <w:vAlign w:val="center"/>
          </w:tcPr>
          <w:p w14:paraId="2D75E0DB">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87.5</w:t>
            </w:r>
          </w:p>
        </w:tc>
        <w:tc>
          <w:tcPr>
            <w:tcW w:w="889" w:type="dxa"/>
            <w:tcBorders>
              <w:tl2br w:val="nil"/>
              <w:tr2bl w:val="nil"/>
            </w:tcBorders>
            <w:noWrap w:val="0"/>
            <w:vAlign w:val="center"/>
          </w:tcPr>
          <w:p w14:paraId="4057C2D4">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1032" w:type="dxa"/>
            <w:vMerge w:val="continue"/>
            <w:tcBorders>
              <w:tl2br w:val="nil"/>
              <w:tr2bl w:val="nil"/>
            </w:tcBorders>
            <w:noWrap w:val="0"/>
            <w:vAlign w:val="center"/>
          </w:tcPr>
          <w:p w14:paraId="1EBE1CB6">
            <w:pPr>
              <w:pageBreakBefore w:val="0"/>
              <w:widowControl/>
              <w:wordWrap/>
              <w:bidi w:val="0"/>
              <w:adjustRightInd/>
              <w:snapToGrid/>
              <w:spacing w:line="240" w:lineRule="auto"/>
              <w:ind w:firstLine="0" w:firstLineChars="0"/>
              <w:jc w:val="center"/>
              <w:rPr>
                <w:bCs/>
                <w:color w:val="auto"/>
                <w:sz w:val="21"/>
                <w:szCs w:val="21"/>
              </w:rPr>
            </w:pPr>
          </w:p>
        </w:tc>
        <w:tc>
          <w:tcPr>
            <w:tcW w:w="931" w:type="dxa"/>
            <w:tcBorders>
              <w:tl2br w:val="nil"/>
              <w:tr2bl w:val="nil"/>
            </w:tcBorders>
            <w:noWrap w:val="0"/>
            <w:vAlign w:val="center"/>
          </w:tcPr>
          <w:p w14:paraId="2ED1FFC2">
            <w:pPr>
              <w:pageBreakBefore w:val="0"/>
              <w:widowControl/>
              <w:wordWrap/>
              <w:bidi w:val="0"/>
              <w:adjustRightInd/>
              <w:snapToGrid/>
              <w:spacing w:line="240" w:lineRule="auto"/>
              <w:ind w:firstLine="0" w:firstLineChars="0"/>
              <w:jc w:val="center"/>
              <w:textAlignment w:val="center"/>
              <w:rPr>
                <w:rFonts w:hint="default" w:eastAsia="宋体"/>
                <w:bCs/>
                <w:color w:val="auto"/>
                <w:kern w:val="0"/>
                <w:sz w:val="21"/>
                <w:szCs w:val="21"/>
                <w:lang w:val="en-US" w:eastAsia="zh-CN" w:bidi="ar"/>
              </w:rPr>
            </w:pPr>
            <w:r>
              <w:rPr>
                <w:rFonts w:hint="eastAsia"/>
                <w:bCs/>
                <w:color w:val="auto"/>
                <w:kern w:val="0"/>
                <w:sz w:val="21"/>
                <w:szCs w:val="21"/>
                <w:lang w:val="en-US" w:eastAsia="zh-CN" w:bidi="ar"/>
              </w:rPr>
              <w:t>0.5</w:t>
            </w:r>
          </w:p>
        </w:tc>
        <w:tc>
          <w:tcPr>
            <w:tcW w:w="1034" w:type="dxa"/>
            <w:gridSpan w:val="2"/>
            <w:tcBorders>
              <w:tl2br w:val="nil"/>
              <w:tr2bl w:val="nil"/>
            </w:tcBorders>
            <w:noWrap w:val="0"/>
            <w:vAlign w:val="center"/>
          </w:tcPr>
          <w:p w14:paraId="05B56051">
            <w:pPr>
              <w:pageBreakBefore w:val="0"/>
              <w:widowControl/>
              <w:wordWrap/>
              <w:bidi w:val="0"/>
              <w:adjustRightInd/>
              <w:snapToGrid/>
              <w:spacing w:line="240" w:lineRule="auto"/>
              <w:ind w:firstLine="0" w:firstLineChars="0"/>
              <w:jc w:val="center"/>
              <w:textAlignment w:val="center"/>
              <w:rPr>
                <w:rFonts w:hint="default" w:eastAsia="宋体"/>
                <w:bCs/>
                <w:color w:val="auto"/>
                <w:kern w:val="0"/>
                <w:sz w:val="21"/>
                <w:szCs w:val="21"/>
                <w:lang w:val="en-US" w:eastAsia="zh-CN" w:bidi="ar"/>
              </w:rPr>
            </w:pPr>
            <w:r>
              <w:rPr>
                <w:rFonts w:hint="eastAsia"/>
                <w:bCs/>
                <w:color w:val="auto"/>
                <w:kern w:val="0"/>
                <w:sz w:val="21"/>
                <w:szCs w:val="21"/>
                <w:lang w:val="en-US" w:eastAsia="zh-CN" w:bidi="ar"/>
              </w:rPr>
              <w:t>0.5475</w:t>
            </w:r>
          </w:p>
        </w:tc>
        <w:tc>
          <w:tcPr>
            <w:tcW w:w="806" w:type="dxa"/>
            <w:vMerge w:val="continue"/>
            <w:tcBorders>
              <w:tl2br w:val="nil"/>
              <w:tr2bl w:val="nil"/>
            </w:tcBorders>
            <w:noWrap w:val="0"/>
            <w:vAlign w:val="center"/>
          </w:tcPr>
          <w:p w14:paraId="5F77FA23">
            <w:pPr>
              <w:pageBreakBefore w:val="0"/>
              <w:wordWrap/>
              <w:bidi w:val="0"/>
              <w:adjustRightInd/>
              <w:snapToGrid/>
              <w:spacing w:line="240" w:lineRule="auto"/>
              <w:ind w:firstLine="0" w:firstLineChars="0"/>
              <w:jc w:val="center"/>
              <w:rPr>
                <w:bCs/>
                <w:color w:val="auto"/>
                <w:sz w:val="21"/>
                <w:szCs w:val="21"/>
              </w:rPr>
            </w:pPr>
          </w:p>
        </w:tc>
        <w:tc>
          <w:tcPr>
            <w:tcW w:w="793" w:type="dxa"/>
            <w:tcBorders>
              <w:tl2br w:val="nil"/>
              <w:tr2bl w:val="nil"/>
            </w:tcBorders>
            <w:noWrap w:val="0"/>
            <w:vAlign w:val="center"/>
          </w:tcPr>
          <w:p w14:paraId="0F233E38">
            <w:pPr>
              <w:pageBreakBefore w:val="0"/>
              <w:widowControl/>
              <w:wordWrap/>
              <w:bidi w:val="0"/>
              <w:adjustRightInd/>
              <w:snapToGrid/>
              <w:spacing w:line="240" w:lineRule="auto"/>
              <w:ind w:firstLine="0" w:firstLineChars="0"/>
              <w:jc w:val="center"/>
              <w:textAlignment w:val="center"/>
              <w:rPr>
                <w:bCs/>
                <w:color w:val="auto"/>
                <w:kern w:val="0"/>
                <w:sz w:val="21"/>
                <w:szCs w:val="21"/>
                <w:lang w:bidi="ar"/>
              </w:rPr>
            </w:pPr>
            <w:r>
              <w:rPr>
                <w:rFonts w:hint="eastAsia"/>
                <w:bCs/>
                <w:color w:val="auto"/>
                <w:kern w:val="0"/>
                <w:sz w:val="21"/>
                <w:szCs w:val="21"/>
                <w:lang w:val="en-US" w:eastAsia="zh-CN" w:bidi="ar"/>
              </w:rPr>
              <w:t>0.5475</w:t>
            </w:r>
          </w:p>
        </w:tc>
      </w:tr>
      <w:tr w14:paraId="6D9A3C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continue"/>
            <w:tcBorders>
              <w:tl2br w:val="nil"/>
              <w:tr2bl w:val="nil"/>
            </w:tcBorders>
            <w:noWrap w:val="0"/>
            <w:vAlign w:val="center"/>
          </w:tcPr>
          <w:p w14:paraId="04B691E5">
            <w:pPr>
              <w:pageBreakBefore w:val="0"/>
              <w:wordWrap/>
              <w:bidi w:val="0"/>
              <w:adjustRightInd/>
              <w:snapToGrid/>
              <w:spacing w:line="240" w:lineRule="auto"/>
              <w:ind w:firstLine="0" w:firstLineChars="0"/>
              <w:jc w:val="center"/>
              <w:rPr>
                <w:bCs/>
                <w:color w:val="auto"/>
                <w:sz w:val="21"/>
                <w:szCs w:val="21"/>
              </w:rPr>
            </w:pPr>
          </w:p>
        </w:tc>
        <w:tc>
          <w:tcPr>
            <w:tcW w:w="1043" w:type="dxa"/>
            <w:vMerge w:val="continue"/>
            <w:tcBorders>
              <w:tl2br w:val="nil"/>
              <w:tr2bl w:val="nil"/>
            </w:tcBorders>
            <w:noWrap w:val="0"/>
            <w:vAlign w:val="center"/>
          </w:tcPr>
          <w:p w14:paraId="6C03E063">
            <w:pPr>
              <w:pageBreakBefore w:val="0"/>
              <w:wordWrap/>
              <w:bidi w:val="0"/>
              <w:adjustRightInd/>
              <w:snapToGrid/>
              <w:spacing w:line="240" w:lineRule="auto"/>
              <w:ind w:firstLine="0" w:firstLineChars="0"/>
              <w:jc w:val="center"/>
              <w:rPr>
                <w:bCs/>
                <w:color w:val="auto"/>
                <w:sz w:val="21"/>
                <w:szCs w:val="21"/>
              </w:rPr>
            </w:pPr>
          </w:p>
        </w:tc>
        <w:tc>
          <w:tcPr>
            <w:tcW w:w="891" w:type="dxa"/>
            <w:tcBorders>
              <w:tl2br w:val="nil"/>
              <w:tr2bl w:val="nil"/>
            </w:tcBorders>
            <w:noWrap w:val="0"/>
            <w:vAlign w:val="center"/>
          </w:tcPr>
          <w:p w14:paraId="252FF35C">
            <w:pPr>
              <w:pageBreakBefore w:val="0"/>
              <w:wordWrap/>
              <w:bidi w:val="0"/>
              <w:adjustRightInd/>
              <w:snapToGrid/>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r>
              <w:rPr>
                <w:bCs/>
                <w:color w:val="auto"/>
                <w:sz w:val="21"/>
                <w:szCs w:val="21"/>
              </w:rPr>
              <w:t>TN</w:t>
            </w:r>
          </w:p>
        </w:tc>
        <w:tc>
          <w:tcPr>
            <w:tcW w:w="928" w:type="dxa"/>
            <w:tcBorders>
              <w:tl2br w:val="nil"/>
              <w:tr2bl w:val="nil"/>
            </w:tcBorders>
            <w:noWrap w:val="0"/>
            <w:vAlign w:val="center"/>
          </w:tcPr>
          <w:p w14:paraId="657D6F1C">
            <w:pPr>
              <w:pageBreakBefore w:val="0"/>
              <w:wordWrap/>
              <w:bidi w:val="0"/>
              <w:adjustRightInd/>
              <w:snapToGrid/>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r>
              <w:rPr>
                <w:bCs/>
                <w:color w:val="auto"/>
                <w:sz w:val="21"/>
                <w:szCs w:val="21"/>
              </w:rPr>
              <w:t>类比法</w:t>
            </w:r>
          </w:p>
        </w:tc>
        <w:tc>
          <w:tcPr>
            <w:tcW w:w="895" w:type="dxa"/>
            <w:vMerge w:val="continue"/>
            <w:tcBorders>
              <w:tl2br w:val="nil"/>
              <w:tr2bl w:val="nil"/>
            </w:tcBorders>
            <w:noWrap w:val="0"/>
            <w:vAlign w:val="center"/>
          </w:tcPr>
          <w:p w14:paraId="108314AB">
            <w:pPr>
              <w:pageBreakBefore w:val="0"/>
              <w:wordWrap/>
              <w:bidi w:val="0"/>
              <w:adjustRightInd/>
              <w:snapToGrid/>
              <w:spacing w:line="240" w:lineRule="auto"/>
              <w:ind w:firstLine="0" w:firstLineChars="0"/>
              <w:jc w:val="center"/>
              <w:rPr>
                <w:rFonts w:ascii="Times New Roman" w:hAnsi="Times New Roman" w:eastAsia="宋体" w:cs="Times New Roman"/>
                <w:bCs/>
                <w:color w:val="auto"/>
                <w:kern w:val="0"/>
                <w:sz w:val="21"/>
                <w:szCs w:val="21"/>
                <w:lang w:val="en-US" w:eastAsia="zh-CN" w:bidi="ar-SA"/>
              </w:rPr>
            </w:pPr>
          </w:p>
        </w:tc>
        <w:tc>
          <w:tcPr>
            <w:tcW w:w="978" w:type="dxa"/>
            <w:tcBorders>
              <w:tl2br w:val="nil"/>
              <w:tr2bl w:val="nil"/>
            </w:tcBorders>
            <w:noWrap w:val="0"/>
            <w:vAlign w:val="center"/>
          </w:tcPr>
          <w:p w14:paraId="506FC8F3">
            <w:pPr>
              <w:pageBreakBefore w:val="0"/>
              <w:widowControl/>
              <w:wordWrap/>
              <w:bidi w:val="0"/>
              <w:adjustRightInd/>
              <w:snapToGrid/>
              <w:spacing w:line="240" w:lineRule="auto"/>
              <w:ind w:firstLine="0" w:firstLineChars="0"/>
              <w:jc w:val="center"/>
              <w:textAlignment w:val="center"/>
              <w:rPr>
                <w:rFonts w:hint="eastAsia" w:ascii="Times New Roman" w:hAnsi="Times New Roman" w:eastAsia="宋体" w:cs="Times New Roman"/>
                <w:bCs/>
                <w:color w:val="auto"/>
                <w:kern w:val="2"/>
                <w:sz w:val="21"/>
                <w:szCs w:val="21"/>
                <w:lang w:val="en-US" w:eastAsia="zh-CN" w:bidi="ar-SA"/>
              </w:rPr>
            </w:pPr>
            <w:r>
              <w:rPr>
                <w:rFonts w:hint="eastAsia"/>
                <w:bCs/>
                <w:color w:val="auto"/>
                <w:sz w:val="21"/>
                <w:szCs w:val="21"/>
                <w:lang w:val="en-US" w:eastAsia="zh-CN"/>
              </w:rPr>
              <w:t>80</w:t>
            </w:r>
          </w:p>
        </w:tc>
        <w:tc>
          <w:tcPr>
            <w:tcW w:w="875" w:type="dxa"/>
            <w:tcBorders>
              <w:tl2br w:val="nil"/>
              <w:tr2bl w:val="nil"/>
            </w:tcBorders>
            <w:noWrap w:val="0"/>
            <w:vAlign w:val="center"/>
          </w:tcPr>
          <w:p w14:paraId="49DD5552">
            <w:pPr>
              <w:pageBreakBefore w:val="0"/>
              <w:widowControl/>
              <w:wordWrap/>
              <w:bidi w:val="0"/>
              <w:adjustRightInd/>
              <w:snapToGrid/>
              <w:spacing w:line="240" w:lineRule="auto"/>
              <w:ind w:firstLine="0" w:firstLineChars="0"/>
              <w:jc w:val="center"/>
              <w:textAlignment w:val="center"/>
              <w:rPr>
                <w:rFonts w:hint="eastAsia" w:ascii="Times New Roman" w:hAnsi="Times New Roman" w:eastAsia="宋体" w:cs="Times New Roman"/>
                <w:bCs/>
                <w:color w:val="auto"/>
                <w:kern w:val="0"/>
                <w:sz w:val="21"/>
                <w:szCs w:val="21"/>
                <w:lang w:val="en-US" w:eastAsia="zh-CN" w:bidi="ar"/>
              </w:rPr>
            </w:pPr>
            <w:r>
              <w:rPr>
                <w:rFonts w:hint="eastAsia"/>
                <w:bCs/>
                <w:color w:val="auto"/>
                <w:kern w:val="0"/>
                <w:sz w:val="21"/>
                <w:szCs w:val="21"/>
                <w:lang w:val="en-US" w:eastAsia="zh-CN" w:bidi="ar"/>
              </w:rPr>
              <w:t>87.6</w:t>
            </w:r>
          </w:p>
        </w:tc>
        <w:tc>
          <w:tcPr>
            <w:tcW w:w="1054" w:type="dxa"/>
            <w:vMerge w:val="continue"/>
            <w:tcBorders>
              <w:tl2br w:val="nil"/>
              <w:tr2bl w:val="nil"/>
            </w:tcBorders>
            <w:noWrap w:val="0"/>
            <w:vAlign w:val="center"/>
          </w:tcPr>
          <w:p w14:paraId="00AE3A70">
            <w:pPr>
              <w:pageBreakBefore w:val="0"/>
              <w:widowControl/>
              <w:wordWrap/>
              <w:bidi w:val="0"/>
              <w:adjustRightInd/>
              <w:snapToGrid/>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p>
        </w:tc>
        <w:tc>
          <w:tcPr>
            <w:tcW w:w="593" w:type="dxa"/>
            <w:tcBorders>
              <w:tl2br w:val="nil"/>
              <w:tr2bl w:val="nil"/>
            </w:tcBorders>
            <w:noWrap w:val="0"/>
            <w:vAlign w:val="center"/>
          </w:tcPr>
          <w:p w14:paraId="684F969E">
            <w:pPr>
              <w:pageBreakBefore w:val="0"/>
              <w:wordWrap/>
              <w:bidi w:val="0"/>
              <w:adjustRightInd/>
              <w:snapToGrid/>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r>
              <w:rPr>
                <w:bCs/>
                <w:color w:val="auto"/>
                <w:sz w:val="21"/>
                <w:szCs w:val="21"/>
              </w:rPr>
              <w:t>100</w:t>
            </w:r>
          </w:p>
        </w:tc>
        <w:tc>
          <w:tcPr>
            <w:tcW w:w="592" w:type="dxa"/>
            <w:tcBorders>
              <w:tl2br w:val="nil"/>
              <w:tr2bl w:val="nil"/>
            </w:tcBorders>
            <w:noWrap w:val="0"/>
            <w:vAlign w:val="center"/>
          </w:tcPr>
          <w:p w14:paraId="31E11055">
            <w:pPr>
              <w:pageBreakBefore w:val="0"/>
              <w:wordWrap/>
              <w:bidi w:val="0"/>
              <w:adjustRightInd/>
              <w:snapToGrid/>
              <w:spacing w:line="240" w:lineRule="auto"/>
              <w:ind w:firstLine="0" w:firstLineChars="0"/>
              <w:jc w:val="center"/>
              <w:rPr>
                <w:rFonts w:hint="eastAsia" w:ascii="Times New Roman" w:hAnsi="Times New Roman" w:eastAsia="宋体" w:cs="Times New Roman"/>
                <w:bCs/>
                <w:color w:val="auto"/>
                <w:kern w:val="2"/>
                <w:sz w:val="21"/>
                <w:szCs w:val="21"/>
                <w:lang w:val="en-US" w:eastAsia="zh-CN" w:bidi="ar-SA"/>
              </w:rPr>
            </w:pPr>
            <w:r>
              <w:rPr>
                <w:rFonts w:hint="eastAsia"/>
                <w:bCs/>
                <w:color w:val="auto"/>
                <w:sz w:val="21"/>
                <w:szCs w:val="21"/>
                <w:lang w:val="en-US" w:eastAsia="zh-CN"/>
              </w:rPr>
              <w:t>81.25</w:t>
            </w:r>
          </w:p>
        </w:tc>
        <w:tc>
          <w:tcPr>
            <w:tcW w:w="889" w:type="dxa"/>
            <w:tcBorders>
              <w:tl2br w:val="nil"/>
              <w:tr2bl w:val="nil"/>
            </w:tcBorders>
            <w:noWrap w:val="0"/>
            <w:vAlign w:val="center"/>
          </w:tcPr>
          <w:p w14:paraId="60039B60">
            <w:pPr>
              <w:pageBreakBefore w:val="0"/>
              <w:wordWrap/>
              <w:bidi w:val="0"/>
              <w:adjustRightInd/>
              <w:snapToGrid/>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r>
              <w:rPr>
                <w:bCs/>
                <w:color w:val="auto"/>
                <w:sz w:val="21"/>
                <w:szCs w:val="21"/>
              </w:rPr>
              <w:t>类比法</w:t>
            </w:r>
          </w:p>
        </w:tc>
        <w:tc>
          <w:tcPr>
            <w:tcW w:w="1032" w:type="dxa"/>
            <w:vMerge w:val="continue"/>
            <w:tcBorders>
              <w:tl2br w:val="nil"/>
              <w:tr2bl w:val="nil"/>
            </w:tcBorders>
            <w:noWrap w:val="0"/>
            <w:vAlign w:val="center"/>
          </w:tcPr>
          <w:p w14:paraId="76447379">
            <w:pPr>
              <w:pageBreakBefore w:val="0"/>
              <w:widowControl/>
              <w:wordWrap/>
              <w:bidi w:val="0"/>
              <w:adjustRightInd/>
              <w:snapToGrid/>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p>
        </w:tc>
        <w:tc>
          <w:tcPr>
            <w:tcW w:w="931" w:type="dxa"/>
            <w:tcBorders>
              <w:tl2br w:val="nil"/>
              <w:tr2bl w:val="nil"/>
            </w:tcBorders>
            <w:noWrap w:val="0"/>
            <w:vAlign w:val="center"/>
          </w:tcPr>
          <w:p w14:paraId="4D2C3AF0">
            <w:pPr>
              <w:pageBreakBefore w:val="0"/>
              <w:widowControl/>
              <w:wordWrap/>
              <w:bidi w:val="0"/>
              <w:adjustRightInd/>
              <w:snapToGrid/>
              <w:spacing w:line="240" w:lineRule="auto"/>
              <w:ind w:firstLine="0" w:firstLineChars="0"/>
              <w:jc w:val="center"/>
              <w:textAlignment w:val="center"/>
              <w:rPr>
                <w:rFonts w:hint="eastAsia" w:ascii="Times New Roman" w:hAnsi="Times New Roman" w:eastAsia="宋体" w:cs="Times New Roman"/>
                <w:bCs/>
                <w:color w:val="auto"/>
                <w:kern w:val="0"/>
                <w:sz w:val="21"/>
                <w:szCs w:val="21"/>
                <w:lang w:val="en-US" w:eastAsia="zh-CN" w:bidi="ar"/>
              </w:rPr>
            </w:pPr>
            <w:r>
              <w:rPr>
                <w:rFonts w:hint="eastAsia"/>
                <w:bCs/>
                <w:color w:val="auto"/>
                <w:kern w:val="0"/>
                <w:sz w:val="21"/>
                <w:szCs w:val="21"/>
                <w:lang w:val="en-US" w:eastAsia="zh-CN" w:bidi="ar"/>
              </w:rPr>
              <w:t>15</w:t>
            </w:r>
          </w:p>
        </w:tc>
        <w:tc>
          <w:tcPr>
            <w:tcW w:w="1034" w:type="dxa"/>
            <w:gridSpan w:val="2"/>
            <w:tcBorders>
              <w:tl2br w:val="nil"/>
              <w:tr2bl w:val="nil"/>
            </w:tcBorders>
            <w:noWrap w:val="0"/>
            <w:vAlign w:val="center"/>
          </w:tcPr>
          <w:p w14:paraId="0B1DEB75">
            <w:pPr>
              <w:pageBreakBefore w:val="0"/>
              <w:widowControl/>
              <w:wordWrap/>
              <w:bidi w:val="0"/>
              <w:adjustRightInd/>
              <w:snapToGrid/>
              <w:spacing w:line="240" w:lineRule="auto"/>
              <w:ind w:firstLine="0" w:firstLineChars="0"/>
              <w:jc w:val="center"/>
              <w:textAlignment w:val="center"/>
              <w:rPr>
                <w:rFonts w:hint="eastAsia" w:ascii="Times New Roman" w:hAnsi="Times New Roman" w:eastAsia="宋体" w:cs="Times New Roman"/>
                <w:bCs/>
                <w:color w:val="auto"/>
                <w:kern w:val="0"/>
                <w:sz w:val="21"/>
                <w:szCs w:val="21"/>
                <w:lang w:val="en-US" w:eastAsia="zh-CN" w:bidi="ar"/>
              </w:rPr>
            </w:pPr>
            <w:r>
              <w:rPr>
                <w:rFonts w:hint="eastAsia"/>
                <w:bCs/>
                <w:color w:val="auto"/>
                <w:kern w:val="0"/>
                <w:sz w:val="21"/>
                <w:szCs w:val="21"/>
                <w:lang w:val="en-US" w:eastAsia="zh-CN" w:bidi="ar"/>
              </w:rPr>
              <w:t>16.425</w:t>
            </w:r>
          </w:p>
        </w:tc>
        <w:tc>
          <w:tcPr>
            <w:tcW w:w="806" w:type="dxa"/>
            <w:vMerge w:val="continue"/>
            <w:tcBorders>
              <w:tl2br w:val="nil"/>
              <w:tr2bl w:val="nil"/>
            </w:tcBorders>
            <w:noWrap w:val="0"/>
            <w:vAlign w:val="center"/>
          </w:tcPr>
          <w:p w14:paraId="7EC44E82">
            <w:pPr>
              <w:pageBreakBefore w:val="0"/>
              <w:wordWrap/>
              <w:bidi w:val="0"/>
              <w:adjustRightInd/>
              <w:snapToGrid/>
              <w:spacing w:line="240" w:lineRule="auto"/>
              <w:ind w:firstLine="0" w:firstLineChars="0"/>
              <w:jc w:val="center"/>
              <w:rPr>
                <w:rFonts w:ascii="Times New Roman" w:hAnsi="Times New Roman" w:eastAsia="宋体" w:cs="Times New Roman"/>
                <w:bCs/>
                <w:color w:val="auto"/>
                <w:kern w:val="2"/>
                <w:sz w:val="21"/>
                <w:szCs w:val="21"/>
                <w:lang w:val="en-US" w:eastAsia="zh-CN" w:bidi="ar-SA"/>
              </w:rPr>
            </w:pPr>
          </w:p>
        </w:tc>
        <w:tc>
          <w:tcPr>
            <w:tcW w:w="793" w:type="dxa"/>
            <w:tcBorders>
              <w:tl2br w:val="nil"/>
              <w:tr2bl w:val="nil"/>
            </w:tcBorders>
            <w:noWrap w:val="0"/>
            <w:vAlign w:val="center"/>
          </w:tcPr>
          <w:p w14:paraId="6EE82670">
            <w:pPr>
              <w:pageBreakBefore w:val="0"/>
              <w:widowControl/>
              <w:wordWrap/>
              <w:bidi w:val="0"/>
              <w:adjustRightInd/>
              <w:snapToGrid/>
              <w:spacing w:line="240" w:lineRule="auto"/>
              <w:ind w:firstLine="0" w:firstLineChars="0"/>
              <w:jc w:val="center"/>
              <w:textAlignment w:val="center"/>
              <w:rPr>
                <w:rFonts w:hint="eastAsia" w:ascii="Times New Roman" w:hAnsi="Times New Roman" w:eastAsia="宋体" w:cs="Times New Roman"/>
                <w:bCs/>
                <w:color w:val="auto"/>
                <w:kern w:val="0"/>
                <w:sz w:val="21"/>
                <w:szCs w:val="21"/>
                <w:lang w:val="en-US" w:eastAsia="zh-CN" w:bidi="ar"/>
              </w:rPr>
            </w:pPr>
            <w:r>
              <w:rPr>
                <w:rFonts w:hint="eastAsia"/>
                <w:bCs/>
                <w:color w:val="auto"/>
                <w:kern w:val="0"/>
                <w:sz w:val="21"/>
                <w:szCs w:val="21"/>
                <w:lang w:val="en-US" w:eastAsia="zh-CN" w:bidi="ar"/>
              </w:rPr>
              <w:t>16.425</w:t>
            </w:r>
          </w:p>
        </w:tc>
      </w:tr>
      <w:tr w14:paraId="77815A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continue"/>
            <w:tcBorders>
              <w:tl2br w:val="nil"/>
              <w:tr2bl w:val="nil"/>
            </w:tcBorders>
            <w:noWrap w:val="0"/>
            <w:vAlign w:val="center"/>
          </w:tcPr>
          <w:p w14:paraId="74B45ACA">
            <w:pPr>
              <w:pageBreakBefore w:val="0"/>
              <w:wordWrap/>
              <w:bidi w:val="0"/>
              <w:adjustRightInd/>
              <w:snapToGrid/>
              <w:spacing w:line="240" w:lineRule="auto"/>
              <w:ind w:firstLine="0" w:firstLineChars="0"/>
              <w:jc w:val="center"/>
              <w:rPr>
                <w:bCs/>
                <w:color w:val="auto"/>
                <w:sz w:val="21"/>
                <w:szCs w:val="21"/>
              </w:rPr>
            </w:pPr>
          </w:p>
        </w:tc>
        <w:tc>
          <w:tcPr>
            <w:tcW w:w="1043" w:type="dxa"/>
            <w:vMerge w:val="continue"/>
            <w:tcBorders>
              <w:tl2br w:val="nil"/>
              <w:tr2bl w:val="nil"/>
            </w:tcBorders>
            <w:noWrap w:val="0"/>
            <w:vAlign w:val="center"/>
          </w:tcPr>
          <w:p w14:paraId="04247168">
            <w:pPr>
              <w:pageBreakBefore w:val="0"/>
              <w:wordWrap/>
              <w:bidi w:val="0"/>
              <w:adjustRightInd/>
              <w:snapToGrid/>
              <w:spacing w:line="240" w:lineRule="auto"/>
              <w:ind w:firstLine="0" w:firstLineChars="0"/>
              <w:jc w:val="center"/>
              <w:rPr>
                <w:bCs/>
                <w:color w:val="auto"/>
                <w:sz w:val="21"/>
                <w:szCs w:val="21"/>
              </w:rPr>
            </w:pPr>
          </w:p>
        </w:tc>
        <w:tc>
          <w:tcPr>
            <w:tcW w:w="891" w:type="dxa"/>
            <w:tcBorders>
              <w:tl2br w:val="nil"/>
              <w:tr2bl w:val="nil"/>
            </w:tcBorders>
            <w:noWrap w:val="0"/>
            <w:vAlign w:val="center"/>
          </w:tcPr>
          <w:p w14:paraId="0E5EC888">
            <w:pPr>
              <w:pageBreakBefore w:val="0"/>
              <w:wordWrap/>
              <w:bidi w:val="0"/>
              <w:adjustRightInd/>
              <w:snapToGrid/>
              <w:spacing w:line="240" w:lineRule="auto"/>
              <w:ind w:firstLine="0" w:firstLineChars="0"/>
              <w:jc w:val="center"/>
              <w:rPr>
                <w:rFonts w:hint="eastAsia" w:eastAsia="宋体"/>
                <w:bCs/>
                <w:color w:val="auto"/>
                <w:sz w:val="21"/>
                <w:szCs w:val="21"/>
                <w:lang w:val="en-US" w:eastAsia="zh-CN"/>
              </w:rPr>
            </w:pPr>
            <w:r>
              <w:rPr>
                <w:rFonts w:hint="eastAsia"/>
                <w:bCs/>
                <w:color w:val="auto"/>
                <w:sz w:val="21"/>
                <w:szCs w:val="21"/>
                <w:lang w:val="en-US" w:eastAsia="zh-CN"/>
              </w:rPr>
              <w:t>石油类</w:t>
            </w:r>
          </w:p>
        </w:tc>
        <w:tc>
          <w:tcPr>
            <w:tcW w:w="928" w:type="dxa"/>
            <w:tcBorders>
              <w:tl2br w:val="nil"/>
              <w:tr2bl w:val="nil"/>
            </w:tcBorders>
            <w:noWrap w:val="0"/>
            <w:vAlign w:val="center"/>
          </w:tcPr>
          <w:p w14:paraId="210F6E40">
            <w:pPr>
              <w:pageBreakBefore w:val="0"/>
              <w:wordWrap/>
              <w:bidi w:val="0"/>
              <w:adjustRightInd/>
              <w:snapToGrid/>
              <w:spacing w:line="240" w:lineRule="auto"/>
              <w:ind w:firstLine="0" w:firstLineChars="0"/>
              <w:jc w:val="center"/>
              <w:rPr>
                <w:rFonts w:hint="eastAsia" w:eastAsia="宋体"/>
                <w:bCs/>
                <w:color w:val="auto"/>
                <w:sz w:val="21"/>
                <w:szCs w:val="21"/>
                <w:lang w:val="en-US" w:eastAsia="zh-CN"/>
              </w:rPr>
            </w:pPr>
            <w:r>
              <w:rPr>
                <w:rFonts w:hint="eastAsia"/>
                <w:bCs/>
                <w:color w:val="auto"/>
                <w:sz w:val="21"/>
                <w:szCs w:val="21"/>
                <w:lang w:val="en-US" w:eastAsia="zh-CN"/>
              </w:rPr>
              <w:t>类比法</w:t>
            </w:r>
          </w:p>
        </w:tc>
        <w:tc>
          <w:tcPr>
            <w:tcW w:w="895" w:type="dxa"/>
            <w:vMerge w:val="continue"/>
            <w:tcBorders>
              <w:tl2br w:val="nil"/>
              <w:tr2bl w:val="nil"/>
            </w:tcBorders>
            <w:noWrap w:val="0"/>
            <w:vAlign w:val="center"/>
          </w:tcPr>
          <w:p w14:paraId="7DBB3460">
            <w:pPr>
              <w:pageBreakBefore w:val="0"/>
              <w:wordWrap/>
              <w:bidi w:val="0"/>
              <w:adjustRightInd/>
              <w:snapToGrid/>
              <w:spacing w:line="240" w:lineRule="auto"/>
              <w:ind w:firstLine="0" w:firstLineChars="0"/>
              <w:jc w:val="center"/>
              <w:rPr>
                <w:bCs/>
                <w:color w:val="auto"/>
                <w:kern w:val="0"/>
                <w:sz w:val="21"/>
                <w:szCs w:val="21"/>
              </w:rPr>
            </w:pPr>
          </w:p>
        </w:tc>
        <w:tc>
          <w:tcPr>
            <w:tcW w:w="978" w:type="dxa"/>
            <w:tcBorders>
              <w:tl2br w:val="nil"/>
              <w:tr2bl w:val="nil"/>
            </w:tcBorders>
            <w:noWrap w:val="0"/>
            <w:vAlign w:val="center"/>
          </w:tcPr>
          <w:p w14:paraId="29E8DCBF">
            <w:pPr>
              <w:pageBreakBefore w:val="0"/>
              <w:widowControl/>
              <w:wordWrap/>
              <w:bidi w:val="0"/>
              <w:adjustRightInd/>
              <w:snapToGrid/>
              <w:spacing w:line="240" w:lineRule="auto"/>
              <w:ind w:firstLine="0" w:firstLineChars="0"/>
              <w:jc w:val="center"/>
              <w:textAlignment w:val="center"/>
              <w:rPr>
                <w:rFonts w:hint="default"/>
                <w:bCs/>
                <w:color w:val="auto"/>
                <w:sz w:val="21"/>
                <w:szCs w:val="21"/>
                <w:lang w:val="en-US" w:eastAsia="zh-CN"/>
              </w:rPr>
            </w:pPr>
            <w:r>
              <w:rPr>
                <w:rFonts w:hint="eastAsia"/>
                <w:bCs/>
                <w:color w:val="auto"/>
                <w:sz w:val="21"/>
                <w:szCs w:val="21"/>
                <w:lang w:val="en-US" w:eastAsia="zh-CN"/>
              </w:rPr>
              <w:t>1</w:t>
            </w:r>
          </w:p>
        </w:tc>
        <w:tc>
          <w:tcPr>
            <w:tcW w:w="875" w:type="dxa"/>
            <w:tcBorders>
              <w:tl2br w:val="nil"/>
              <w:tr2bl w:val="nil"/>
            </w:tcBorders>
            <w:noWrap w:val="0"/>
            <w:vAlign w:val="center"/>
          </w:tcPr>
          <w:p w14:paraId="0C56990E">
            <w:pPr>
              <w:pStyle w:val="16"/>
              <w:bidi w:val="0"/>
              <w:rPr>
                <w:rFonts w:hint="eastAsia"/>
                <w:color w:val="auto"/>
                <w:lang w:val="en-US" w:eastAsia="zh-CN"/>
              </w:rPr>
            </w:pPr>
            <w:r>
              <w:rPr>
                <w:rFonts w:hint="eastAsia"/>
                <w:color w:val="auto"/>
                <w:lang w:val="en-US" w:eastAsia="zh-CN"/>
              </w:rPr>
              <w:t>1.095</w:t>
            </w:r>
          </w:p>
        </w:tc>
        <w:tc>
          <w:tcPr>
            <w:tcW w:w="1054" w:type="dxa"/>
            <w:vMerge w:val="continue"/>
            <w:tcBorders>
              <w:tl2br w:val="nil"/>
              <w:tr2bl w:val="nil"/>
            </w:tcBorders>
            <w:noWrap w:val="0"/>
            <w:vAlign w:val="center"/>
          </w:tcPr>
          <w:p w14:paraId="4BD6791C">
            <w:pPr>
              <w:pageBreakBefore w:val="0"/>
              <w:widowControl/>
              <w:wordWrap/>
              <w:bidi w:val="0"/>
              <w:adjustRightInd/>
              <w:snapToGrid/>
              <w:spacing w:line="240" w:lineRule="auto"/>
              <w:ind w:firstLine="0" w:firstLineChars="0"/>
              <w:jc w:val="center"/>
              <w:rPr>
                <w:bCs/>
                <w:color w:val="auto"/>
                <w:sz w:val="21"/>
                <w:szCs w:val="21"/>
              </w:rPr>
            </w:pPr>
          </w:p>
        </w:tc>
        <w:tc>
          <w:tcPr>
            <w:tcW w:w="593" w:type="dxa"/>
            <w:tcBorders>
              <w:tl2br w:val="nil"/>
              <w:tr2bl w:val="nil"/>
            </w:tcBorders>
            <w:noWrap w:val="0"/>
            <w:vAlign w:val="center"/>
          </w:tcPr>
          <w:p w14:paraId="12E1742E">
            <w:pPr>
              <w:pageBreakBefore w:val="0"/>
              <w:tabs>
                <w:tab w:val="left" w:pos="373"/>
              </w:tabs>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100</w:t>
            </w:r>
          </w:p>
        </w:tc>
        <w:tc>
          <w:tcPr>
            <w:tcW w:w="592" w:type="dxa"/>
            <w:tcBorders>
              <w:tl2br w:val="nil"/>
              <w:tr2bl w:val="nil"/>
            </w:tcBorders>
            <w:noWrap w:val="0"/>
            <w:vAlign w:val="center"/>
          </w:tcPr>
          <w:p w14:paraId="0178AA7C">
            <w:pPr>
              <w:pageBreakBefore w:val="0"/>
              <w:wordWrap/>
              <w:bidi w:val="0"/>
              <w:adjustRightInd/>
              <w:snapToGrid/>
              <w:spacing w:line="240" w:lineRule="auto"/>
              <w:ind w:firstLine="0" w:firstLineChars="0"/>
              <w:jc w:val="center"/>
              <w:rPr>
                <w:rFonts w:hint="default"/>
                <w:bCs/>
                <w:color w:val="auto"/>
                <w:sz w:val="21"/>
                <w:szCs w:val="21"/>
                <w:lang w:val="en-US" w:eastAsia="zh-CN"/>
              </w:rPr>
            </w:pPr>
            <w:r>
              <w:rPr>
                <w:rFonts w:hint="eastAsia"/>
                <w:bCs/>
                <w:color w:val="auto"/>
                <w:sz w:val="21"/>
                <w:szCs w:val="21"/>
                <w:lang w:val="en-US" w:eastAsia="zh-CN"/>
              </w:rPr>
              <w:t>/</w:t>
            </w:r>
          </w:p>
        </w:tc>
        <w:tc>
          <w:tcPr>
            <w:tcW w:w="889" w:type="dxa"/>
            <w:tcBorders>
              <w:tl2br w:val="nil"/>
              <w:tr2bl w:val="nil"/>
            </w:tcBorders>
            <w:noWrap w:val="0"/>
            <w:vAlign w:val="center"/>
          </w:tcPr>
          <w:p w14:paraId="1C14AE86">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1032" w:type="dxa"/>
            <w:vMerge w:val="continue"/>
            <w:tcBorders>
              <w:tl2br w:val="nil"/>
              <w:tr2bl w:val="nil"/>
            </w:tcBorders>
            <w:noWrap w:val="0"/>
            <w:vAlign w:val="center"/>
          </w:tcPr>
          <w:p w14:paraId="3A23982B">
            <w:pPr>
              <w:pageBreakBefore w:val="0"/>
              <w:widowControl/>
              <w:wordWrap/>
              <w:bidi w:val="0"/>
              <w:adjustRightInd/>
              <w:snapToGrid/>
              <w:spacing w:line="240" w:lineRule="auto"/>
              <w:ind w:firstLine="0" w:firstLineChars="0"/>
              <w:jc w:val="center"/>
              <w:rPr>
                <w:bCs/>
                <w:color w:val="auto"/>
                <w:sz w:val="21"/>
                <w:szCs w:val="21"/>
              </w:rPr>
            </w:pPr>
          </w:p>
        </w:tc>
        <w:tc>
          <w:tcPr>
            <w:tcW w:w="931" w:type="dxa"/>
            <w:tcBorders>
              <w:tl2br w:val="nil"/>
              <w:tr2bl w:val="nil"/>
            </w:tcBorders>
            <w:noWrap w:val="0"/>
            <w:vAlign w:val="center"/>
          </w:tcPr>
          <w:p w14:paraId="36A99176">
            <w:pPr>
              <w:pageBreakBefore w:val="0"/>
              <w:widowControl/>
              <w:wordWrap/>
              <w:bidi w:val="0"/>
              <w:adjustRightInd/>
              <w:snapToGrid/>
              <w:spacing w:line="240" w:lineRule="auto"/>
              <w:ind w:firstLine="0" w:firstLineChars="0"/>
              <w:jc w:val="center"/>
              <w:textAlignment w:val="center"/>
              <w:rPr>
                <w:rFonts w:hint="eastAsia"/>
                <w:bCs/>
                <w:color w:val="auto"/>
                <w:kern w:val="0"/>
                <w:sz w:val="21"/>
                <w:szCs w:val="21"/>
                <w:lang w:val="en-US" w:eastAsia="zh-CN" w:bidi="ar"/>
              </w:rPr>
            </w:pPr>
            <w:r>
              <w:rPr>
                <w:rFonts w:hint="eastAsia"/>
                <w:bCs/>
                <w:color w:val="auto"/>
                <w:sz w:val="21"/>
                <w:szCs w:val="21"/>
                <w:lang w:val="en-US" w:eastAsia="zh-CN"/>
              </w:rPr>
              <w:t>1</w:t>
            </w:r>
          </w:p>
        </w:tc>
        <w:tc>
          <w:tcPr>
            <w:tcW w:w="1034" w:type="dxa"/>
            <w:gridSpan w:val="2"/>
            <w:tcBorders>
              <w:tl2br w:val="nil"/>
              <w:tr2bl w:val="nil"/>
            </w:tcBorders>
            <w:noWrap w:val="0"/>
            <w:vAlign w:val="center"/>
          </w:tcPr>
          <w:p w14:paraId="43990387">
            <w:pPr>
              <w:pStyle w:val="16"/>
              <w:bidi w:val="0"/>
              <w:ind w:left="0" w:leftChars="0" w:firstLine="0" w:firstLineChars="0"/>
              <w:rPr>
                <w:rFonts w:hint="eastAsia"/>
                <w:bCs/>
                <w:color w:val="auto"/>
                <w:kern w:val="0"/>
                <w:sz w:val="21"/>
                <w:szCs w:val="21"/>
                <w:lang w:val="en-US" w:eastAsia="zh-CN" w:bidi="ar"/>
              </w:rPr>
            </w:pPr>
            <w:r>
              <w:rPr>
                <w:rFonts w:hint="eastAsia"/>
                <w:color w:val="auto"/>
                <w:lang w:val="en-US" w:eastAsia="zh-CN"/>
              </w:rPr>
              <w:t>1.095</w:t>
            </w:r>
          </w:p>
        </w:tc>
        <w:tc>
          <w:tcPr>
            <w:tcW w:w="806" w:type="dxa"/>
            <w:vMerge w:val="continue"/>
            <w:tcBorders>
              <w:tl2br w:val="nil"/>
              <w:tr2bl w:val="nil"/>
            </w:tcBorders>
            <w:noWrap w:val="0"/>
            <w:vAlign w:val="center"/>
          </w:tcPr>
          <w:p w14:paraId="66B59A3A">
            <w:pPr>
              <w:pageBreakBefore w:val="0"/>
              <w:wordWrap/>
              <w:bidi w:val="0"/>
              <w:adjustRightInd/>
              <w:snapToGrid/>
              <w:spacing w:line="240" w:lineRule="auto"/>
              <w:ind w:firstLine="0" w:firstLineChars="0"/>
              <w:jc w:val="center"/>
              <w:rPr>
                <w:bCs/>
                <w:color w:val="auto"/>
                <w:sz w:val="21"/>
                <w:szCs w:val="21"/>
              </w:rPr>
            </w:pPr>
          </w:p>
        </w:tc>
        <w:tc>
          <w:tcPr>
            <w:tcW w:w="793" w:type="dxa"/>
            <w:tcBorders>
              <w:tl2br w:val="nil"/>
              <w:tr2bl w:val="nil"/>
            </w:tcBorders>
            <w:noWrap w:val="0"/>
            <w:vAlign w:val="center"/>
          </w:tcPr>
          <w:p w14:paraId="3D50AEEE">
            <w:pPr>
              <w:pStyle w:val="16"/>
              <w:bidi w:val="0"/>
              <w:ind w:left="0" w:leftChars="0" w:firstLine="0" w:firstLineChars="0"/>
              <w:rPr>
                <w:rFonts w:hint="eastAsia"/>
                <w:bCs/>
                <w:color w:val="auto"/>
                <w:kern w:val="0"/>
                <w:sz w:val="21"/>
                <w:szCs w:val="21"/>
                <w:lang w:val="en-US" w:eastAsia="zh-CN" w:bidi="ar"/>
              </w:rPr>
            </w:pPr>
            <w:r>
              <w:rPr>
                <w:rFonts w:hint="eastAsia"/>
                <w:color w:val="auto"/>
                <w:lang w:val="en-US" w:eastAsia="zh-CN"/>
              </w:rPr>
              <w:t>1.095</w:t>
            </w:r>
          </w:p>
        </w:tc>
      </w:tr>
      <w:tr w14:paraId="74D15F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41" w:type="dxa"/>
            <w:vMerge w:val="continue"/>
            <w:tcBorders>
              <w:tl2br w:val="nil"/>
              <w:tr2bl w:val="nil"/>
            </w:tcBorders>
            <w:noWrap w:val="0"/>
            <w:vAlign w:val="center"/>
          </w:tcPr>
          <w:p w14:paraId="06CAF567">
            <w:pPr>
              <w:pageBreakBefore w:val="0"/>
              <w:wordWrap/>
              <w:bidi w:val="0"/>
              <w:adjustRightInd/>
              <w:snapToGrid/>
              <w:spacing w:line="240" w:lineRule="auto"/>
              <w:ind w:firstLine="0" w:firstLineChars="0"/>
              <w:jc w:val="center"/>
              <w:rPr>
                <w:bCs/>
                <w:color w:val="auto"/>
                <w:sz w:val="21"/>
                <w:szCs w:val="21"/>
              </w:rPr>
            </w:pPr>
          </w:p>
        </w:tc>
        <w:tc>
          <w:tcPr>
            <w:tcW w:w="1043" w:type="dxa"/>
            <w:vMerge w:val="continue"/>
            <w:tcBorders>
              <w:tl2br w:val="nil"/>
              <w:tr2bl w:val="nil"/>
            </w:tcBorders>
            <w:noWrap w:val="0"/>
            <w:vAlign w:val="center"/>
          </w:tcPr>
          <w:p w14:paraId="0B830A1A">
            <w:pPr>
              <w:pageBreakBefore w:val="0"/>
              <w:wordWrap/>
              <w:bidi w:val="0"/>
              <w:adjustRightInd/>
              <w:snapToGrid/>
              <w:spacing w:line="240" w:lineRule="auto"/>
              <w:ind w:firstLine="0" w:firstLineChars="0"/>
              <w:jc w:val="center"/>
              <w:rPr>
                <w:bCs/>
                <w:color w:val="auto"/>
                <w:sz w:val="21"/>
                <w:szCs w:val="21"/>
              </w:rPr>
            </w:pPr>
          </w:p>
        </w:tc>
        <w:tc>
          <w:tcPr>
            <w:tcW w:w="891" w:type="dxa"/>
            <w:tcBorders>
              <w:tl2br w:val="nil"/>
              <w:tr2bl w:val="nil"/>
            </w:tcBorders>
            <w:noWrap w:val="0"/>
            <w:vAlign w:val="center"/>
          </w:tcPr>
          <w:p w14:paraId="44A5405E">
            <w:pPr>
              <w:pageBreakBefore w:val="0"/>
              <w:wordWrap/>
              <w:bidi w:val="0"/>
              <w:adjustRightInd/>
              <w:snapToGrid/>
              <w:spacing w:line="240" w:lineRule="auto"/>
              <w:ind w:firstLine="0" w:firstLineChars="0"/>
              <w:jc w:val="center"/>
              <w:rPr>
                <w:rFonts w:hint="eastAsia" w:eastAsia="宋体"/>
                <w:bCs/>
                <w:color w:val="auto"/>
                <w:sz w:val="21"/>
                <w:szCs w:val="21"/>
                <w:lang w:val="en-US" w:eastAsia="zh-CN"/>
              </w:rPr>
            </w:pPr>
            <w:r>
              <w:rPr>
                <w:rFonts w:hint="eastAsia"/>
                <w:bCs/>
                <w:color w:val="auto"/>
                <w:sz w:val="21"/>
                <w:szCs w:val="21"/>
                <w:lang w:val="en-US" w:eastAsia="zh-CN"/>
              </w:rPr>
              <w:t>甲醛</w:t>
            </w:r>
          </w:p>
        </w:tc>
        <w:tc>
          <w:tcPr>
            <w:tcW w:w="928" w:type="dxa"/>
            <w:tcBorders>
              <w:tl2br w:val="nil"/>
              <w:tr2bl w:val="nil"/>
            </w:tcBorders>
            <w:noWrap w:val="0"/>
            <w:vAlign w:val="center"/>
          </w:tcPr>
          <w:p w14:paraId="2861E0F5">
            <w:pPr>
              <w:pageBreakBefore w:val="0"/>
              <w:wordWrap/>
              <w:bidi w:val="0"/>
              <w:adjustRightInd/>
              <w:snapToGrid/>
              <w:spacing w:line="240" w:lineRule="auto"/>
              <w:ind w:firstLine="0" w:firstLineChars="0"/>
              <w:jc w:val="center"/>
              <w:rPr>
                <w:rFonts w:hint="eastAsia" w:eastAsia="宋体"/>
                <w:bCs/>
                <w:color w:val="auto"/>
                <w:sz w:val="21"/>
                <w:szCs w:val="21"/>
                <w:lang w:val="en-US" w:eastAsia="zh-CN"/>
              </w:rPr>
            </w:pPr>
            <w:r>
              <w:rPr>
                <w:rFonts w:hint="eastAsia"/>
                <w:bCs/>
                <w:color w:val="auto"/>
                <w:sz w:val="21"/>
                <w:szCs w:val="21"/>
                <w:lang w:val="en-US" w:eastAsia="zh-CN"/>
              </w:rPr>
              <w:t>类比法</w:t>
            </w:r>
          </w:p>
        </w:tc>
        <w:tc>
          <w:tcPr>
            <w:tcW w:w="895" w:type="dxa"/>
            <w:vMerge w:val="continue"/>
            <w:tcBorders>
              <w:tl2br w:val="nil"/>
              <w:tr2bl w:val="nil"/>
            </w:tcBorders>
            <w:noWrap w:val="0"/>
            <w:vAlign w:val="center"/>
          </w:tcPr>
          <w:p w14:paraId="1B4EB2C4">
            <w:pPr>
              <w:pageBreakBefore w:val="0"/>
              <w:wordWrap/>
              <w:bidi w:val="0"/>
              <w:adjustRightInd/>
              <w:snapToGrid/>
              <w:spacing w:line="240" w:lineRule="auto"/>
              <w:ind w:firstLine="0" w:firstLineChars="0"/>
              <w:jc w:val="center"/>
              <w:rPr>
                <w:bCs/>
                <w:color w:val="auto"/>
                <w:kern w:val="0"/>
                <w:sz w:val="21"/>
                <w:szCs w:val="21"/>
              </w:rPr>
            </w:pPr>
          </w:p>
        </w:tc>
        <w:tc>
          <w:tcPr>
            <w:tcW w:w="978" w:type="dxa"/>
            <w:tcBorders>
              <w:tl2br w:val="nil"/>
              <w:tr2bl w:val="nil"/>
            </w:tcBorders>
            <w:noWrap w:val="0"/>
            <w:vAlign w:val="center"/>
          </w:tcPr>
          <w:p w14:paraId="70645112">
            <w:pPr>
              <w:pageBreakBefore w:val="0"/>
              <w:widowControl/>
              <w:wordWrap/>
              <w:bidi w:val="0"/>
              <w:adjustRightInd/>
              <w:snapToGrid/>
              <w:spacing w:line="240" w:lineRule="auto"/>
              <w:ind w:firstLine="0" w:firstLineChars="0"/>
              <w:jc w:val="center"/>
              <w:textAlignment w:val="center"/>
              <w:rPr>
                <w:rFonts w:hint="default" w:eastAsia="宋体"/>
                <w:bCs/>
                <w:color w:val="auto"/>
                <w:sz w:val="21"/>
                <w:szCs w:val="21"/>
                <w:lang w:val="en-US" w:eastAsia="zh-CN"/>
              </w:rPr>
            </w:pPr>
            <w:r>
              <w:rPr>
                <w:rFonts w:hint="eastAsia"/>
                <w:bCs/>
                <w:color w:val="auto"/>
                <w:sz w:val="21"/>
                <w:szCs w:val="21"/>
                <w:lang w:val="en-US" w:eastAsia="zh-CN"/>
              </w:rPr>
              <w:t>1</w:t>
            </w:r>
          </w:p>
        </w:tc>
        <w:tc>
          <w:tcPr>
            <w:tcW w:w="875" w:type="dxa"/>
            <w:tcBorders>
              <w:tl2br w:val="nil"/>
              <w:tr2bl w:val="nil"/>
            </w:tcBorders>
            <w:noWrap w:val="0"/>
            <w:vAlign w:val="center"/>
          </w:tcPr>
          <w:p w14:paraId="3007D7E2">
            <w:pPr>
              <w:pStyle w:val="16"/>
              <w:bidi w:val="0"/>
              <w:rPr>
                <w:rFonts w:hint="default"/>
                <w:color w:val="auto"/>
                <w:lang w:val="en-US" w:eastAsia="zh-CN"/>
              </w:rPr>
            </w:pPr>
            <w:r>
              <w:rPr>
                <w:rFonts w:hint="eastAsia"/>
                <w:color w:val="auto"/>
                <w:lang w:val="en-US" w:eastAsia="zh-CN"/>
              </w:rPr>
              <w:t>1.095</w:t>
            </w:r>
          </w:p>
        </w:tc>
        <w:tc>
          <w:tcPr>
            <w:tcW w:w="1054" w:type="dxa"/>
            <w:vMerge w:val="continue"/>
            <w:tcBorders>
              <w:tl2br w:val="nil"/>
              <w:tr2bl w:val="nil"/>
            </w:tcBorders>
            <w:noWrap w:val="0"/>
            <w:vAlign w:val="center"/>
          </w:tcPr>
          <w:p w14:paraId="5E04417D">
            <w:pPr>
              <w:pageBreakBefore w:val="0"/>
              <w:widowControl/>
              <w:wordWrap/>
              <w:bidi w:val="0"/>
              <w:adjustRightInd/>
              <w:snapToGrid/>
              <w:spacing w:line="240" w:lineRule="auto"/>
              <w:ind w:firstLine="0" w:firstLineChars="0"/>
              <w:jc w:val="center"/>
              <w:rPr>
                <w:bCs/>
                <w:color w:val="auto"/>
                <w:sz w:val="21"/>
                <w:szCs w:val="21"/>
              </w:rPr>
            </w:pPr>
          </w:p>
        </w:tc>
        <w:tc>
          <w:tcPr>
            <w:tcW w:w="593" w:type="dxa"/>
            <w:tcBorders>
              <w:tl2br w:val="nil"/>
              <w:tr2bl w:val="nil"/>
            </w:tcBorders>
            <w:noWrap w:val="0"/>
            <w:vAlign w:val="center"/>
          </w:tcPr>
          <w:p w14:paraId="3750D105">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100</w:t>
            </w:r>
          </w:p>
        </w:tc>
        <w:tc>
          <w:tcPr>
            <w:tcW w:w="592" w:type="dxa"/>
            <w:tcBorders>
              <w:tl2br w:val="nil"/>
              <w:tr2bl w:val="nil"/>
            </w:tcBorders>
            <w:noWrap w:val="0"/>
            <w:vAlign w:val="center"/>
          </w:tcPr>
          <w:p w14:paraId="287E3EFC">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w:t>
            </w:r>
          </w:p>
        </w:tc>
        <w:tc>
          <w:tcPr>
            <w:tcW w:w="889" w:type="dxa"/>
            <w:tcBorders>
              <w:tl2br w:val="nil"/>
              <w:tr2bl w:val="nil"/>
            </w:tcBorders>
            <w:noWrap w:val="0"/>
            <w:vAlign w:val="center"/>
          </w:tcPr>
          <w:p w14:paraId="4249FFF3">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1032" w:type="dxa"/>
            <w:vMerge w:val="continue"/>
            <w:tcBorders>
              <w:tl2br w:val="nil"/>
              <w:tr2bl w:val="nil"/>
            </w:tcBorders>
            <w:noWrap w:val="0"/>
            <w:vAlign w:val="center"/>
          </w:tcPr>
          <w:p w14:paraId="5409DFC8">
            <w:pPr>
              <w:pageBreakBefore w:val="0"/>
              <w:widowControl/>
              <w:wordWrap/>
              <w:bidi w:val="0"/>
              <w:adjustRightInd/>
              <w:snapToGrid/>
              <w:spacing w:line="240" w:lineRule="auto"/>
              <w:ind w:firstLine="0" w:firstLineChars="0"/>
              <w:jc w:val="center"/>
              <w:rPr>
                <w:bCs/>
                <w:color w:val="auto"/>
                <w:sz w:val="21"/>
                <w:szCs w:val="21"/>
              </w:rPr>
            </w:pPr>
          </w:p>
        </w:tc>
        <w:tc>
          <w:tcPr>
            <w:tcW w:w="931" w:type="dxa"/>
            <w:tcBorders>
              <w:tl2br w:val="nil"/>
              <w:tr2bl w:val="nil"/>
            </w:tcBorders>
            <w:noWrap w:val="0"/>
            <w:vAlign w:val="center"/>
          </w:tcPr>
          <w:p w14:paraId="4650BDC8">
            <w:pPr>
              <w:pageBreakBefore w:val="0"/>
              <w:widowControl/>
              <w:wordWrap/>
              <w:bidi w:val="0"/>
              <w:adjustRightInd/>
              <w:snapToGrid/>
              <w:spacing w:line="240" w:lineRule="auto"/>
              <w:ind w:firstLine="0" w:firstLineChars="0"/>
              <w:jc w:val="center"/>
              <w:textAlignment w:val="center"/>
              <w:rPr>
                <w:rFonts w:hint="default" w:eastAsia="宋体"/>
                <w:bCs/>
                <w:color w:val="auto"/>
                <w:kern w:val="0"/>
                <w:sz w:val="21"/>
                <w:szCs w:val="21"/>
                <w:lang w:val="en-US" w:eastAsia="zh-CN" w:bidi="ar"/>
              </w:rPr>
            </w:pPr>
            <w:r>
              <w:rPr>
                <w:rFonts w:hint="eastAsia"/>
                <w:bCs/>
                <w:color w:val="auto"/>
                <w:sz w:val="21"/>
                <w:szCs w:val="21"/>
                <w:lang w:val="en-US" w:eastAsia="zh-CN"/>
              </w:rPr>
              <w:t>1</w:t>
            </w:r>
          </w:p>
        </w:tc>
        <w:tc>
          <w:tcPr>
            <w:tcW w:w="1034" w:type="dxa"/>
            <w:gridSpan w:val="2"/>
            <w:tcBorders>
              <w:tl2br w:val="nil"/>
              <w:tr2bl w:val="nil"/>
            </w:tcBorders>
            <w:noWrap w:val="0"/>
            <w:vAlign w:val="center"/>
          </w:tcPr>
          <w:p w14:paraId="2B953723">
            <w:pPr>
              <w:pStyle w:val="16"/>
              <w:bidi w:val="0"/>
              <w:ind w:left="0" w:leftChars="0" w:firstLine="0" w:firstLineChars="0"/>
              <w:rPr>
                <w:rFonts w:hint="default" w:eastAsia="宋体"/>
                <w:bCs/>
                <w:color w:val="auto"/>
                <w:kern w:val="0"/>
                <w:sz w:val="21"/>
                <w:szCs w:val="21"/>
                <w:lang w:val="en-US" w:eastAsia="zh-CN" w:bidi="ar"/>
              </w:rPr>
            </w:pPr>
            <w:r>
              <w:rPr>
                <w:rFonts w:hint="eastAsia"/>
                <w:color w:val="auto"/>
                <w:lang w:val="en-US" w:eastAsia="zh-CN"/>
              </w:rPr>
              <w:t>1.095</w:t>
            </w:r>
          </w:p>
        </w:tc>
        <w:tc>
          <w:tcPr>
            <w:tcW w:w="806" w:type="dxa"/>
            <w:vMerge w:val="continue"/>
            <w:tcBorders>
              <w:tl2br w:val="nil"/>
              <w:tr2bl w:val="nil"/>
            </w:tcBorders>
            <w:noWrap w:val="0"/>
            <w:vAlign w:val="center"/>
          </w:tcPr>
          <w:p w14:paraId="1A211BE2">
            <w:pPr>
              <w:pageBreakBefore w:val="0"/>
              <w:wordWrap/>
              <w:bidi w:val="0"/>
              <w:adjustRightInd/>
              <w:snapToGrid/>
              <w:spacing w:line="240" w:lineRule="auto"/>
              <w:ind w:firstLine="0" w:firstLineChars="0"/>
              <w:jc w:val="center"/>
              <w:rPr>
                <w:bCs/>
                <w:color w:val="auto"/>
                <w:sz w:val="21"/>
                <w:szCs w:val="21"/>
              </w:rPr>
            </w:pPr>
          </w:p>
        </w:tc>
        <w:tc>
          <w:tcPr>
            <w:tcW w:w="793" w:type="dxa"/>
            <w:tcBorders>
              <w:tl2br w:val="nil"/>
              <w:tr2bl w:val="nil"/>
            </w:tcBorders>
            <w:noWrap w:val="0"/>
            <w:vAlign w:val="center"/>
          </w:tcPr>
          <w:p w14:paraId="0440C008">
            <w:pPr>
              <w:pStyle w:val="16"/>
              <w:bidi w:val="0"/>
              <w:ind w:left="0" w:leftChars="0" w:firstLine="0" w:firstLineChars="0"/>
              <w:rPr>
                <w:bCs/>
                <w:color w:val="auto"/>
                <w:kern w:val="0"/>
                <w:sz w:val="21"/>
                <w:szCs w:val="21"/>
                <w:lang w:bidi="ar"/>
              </w:rPr>
            </w:pPr>
            <w:r>
              <w:rPr>
                <w:rFonts w:hint="eastAsia"/>
                <w:color w:val="auto"/>
                <w:lang w:val="en-US" w:eastAsia="zh-CN"/>
              </w:rPr>
              <w:t>1.095</w:t>
            </w:r>
          </w:p>
        </w:tc>
      </w:tr>
    </w:tbl>
    <w:p w14:paraId="46CD189B">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项目噪声污染源强核算汇总</w:t>
      </w:r>
    </w:p>
    <w:p w14:paraId="16FED66D">
      <w:pPr>
        <w:bidi w:val="0"/>
        <w:rPr>
          <w:color w:val="auto"/>
        </w:rPr>
      </w:pPr>
      <w:r>
        <w:rPr>
          <w:color w:val="auto"/>
        </w:rPr>
        <w:t>考虑到项目设备运行时降噪措施以降噪、隔振、设备基础防振措施为主，且主要在设备安装时</w:t>
      </w:r>
      <w:r>
        <w:rPr>
          <w:rFonts w:hint="eastAsia"/>
          <w:color w:val="auto"/>
          <w:lang w:eastAsia="zh-CN"/>
        </w:rPr>
        <w:t>具有</w:t>
      </w:r>
      <w:r>
        <w:rPr>
          <w:color w:val="auto"/>
        </w:rPr>
        <w:t>以上措施，故环评噪声分析暂不考虑后续降噪效果，故认为排放值即为源强。</w:t>
      </w:r>
    </w:p>
    <w:p w14:paraId="1429CC9E">
      <w:pPr>
        <w:pStyle w:val="19"/>
        <w:numPr>
          <w:ilvl w:val="0"/>
          <w:numId w:val="26"/>
        </w:numPr>
        <w:bidi w:val="0"/>
        <w:ind w:left="0" w:leftChars="0" w:firstLine="0" w:firstLineChars="0"/>
        <w:rPr>
          <w:color w:val="auto"/>
        </w:rPr>
      </w:pPr>
      <w:r>
        <w:rPr>
          <w:color w:val="auto"/>
        </w:rPr>
        <w:t>噪声污染源源强核算结果及相关参数一览表</w:t>
      </w:r>
    </w:p>
    <w:tbl>
      <w:tblPr>
        <w:tblStyle w:val="52"/>
        <w:tblW w:w="1410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108"/>
        <w:gridCol w:w="1456"/>
        <w:gridCol w:w="1476"/>
        <w:gridCol w:w="1664"/>
        <w:gridCol w:w="983"/>
        <w:gridCol w:w="1402"/>
        <w:gridCol w:w="1475"/>
        <w:gridCol w:w="1095"/>
        <w:gridCol w:w="1230"/>
        <w:gridCol w:w="1105"/>
        <w:gridCol w:w="1112"/>
      </w:tblGrid>
      <w:tr w14:paraId="198855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8" w:type="dxa"/>
            <w:vMerge w:val="restart"/>
            <w:tcBorders>
              <w:tl2br w:val="nil"/>
              <w:tr2bl w:val="nil"/>
            </w:tcBorders>
            <w:noWrap w:val="0"/>
            <w:vAlign w:val="center"/>
          </w:tcPr>
          <w:p w14:paraId="3720B36B">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工序/生产线</w:t>
            </w:r>
          </w:p>
        </w:tc>
        <w:tc>
          <w:tcPr>
            <w:tcW w:w="1456" w:type="dxa"/>
            <w:vMerge w:val="restart"/>
            <w:tcBorders>
              <w:tl2br w:val="nil"/>
              <w:tr2bl w:val="nil"/>
            </w:tcBorders>
            <w:noWrap w:val="0"/>
            <w:vAlign w:val="center"/>
          </w:tcPr>
          <w:p w14:paraId="363EA95F">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装置</w:t>
            </w:r>
          </w:p>
        </w:tc>
        <w:tc>
          <w:tcPr>
            <w:tcW w:w="1476" w:type="dxa"/>
            <w:vMerge w:val="restart"/>
            <w:tcBorders>
              <w:tl2br w:val="nil"/>
              <w:tr2bl w:val="nil"/>
            </w:tcBorders>
            <w:noWrap w:val="0"/>
            <w:vAlign w:val="center"/>
          </w:tcPr>
          <w:p w14:paraId="1A6F162C">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噪声源</w:t>
            </w:r>
          </w:p>
        </w:tc>
        <w:tc>
          <w:tcPr>
            <w:tcW w:w="1664" w:type="dxa"/>
            <w:vMerge w:val="restart"/>
            <w:tcBorders>
              <w:tl2br w:val="nil"/>
              <w:tr2bl w:val="nil"/>
            </w:tcBorders>
            <w:noWrap w:val="0"/>
            <w:vAlign w:val="center"/>
          </w:tcPr>
          <w:p w14:paraId="1116DEBD">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声源类型（频发、偶发等）</w:t>
            </w:r>
          </w:p>
        </w:tc>
        <w:tc>
          <w:tcPr>
            <w:tcW w:w="2385" w:type="dxa"/>
            <w:gridSpan w:val="2"/>
            <w:tcBorders>
              <w:tl2br w:val="nil"/>
              <w:tr2bl w:val="nil"/>
            </w:tcBorders>
            <w:noWrap w:val="0"/>
            <w:vAlign w:val="center"/>
          </w:tcPr>
          <w:p w14:paraId="24A0BF99">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噪声源强</w:t>
            </w:r>
          </w:p>
        </w:tc>
        <w:tc>
          <w:tcPr>
            <w:tcW w:w="2570" w:type="dxa"/>
            <w:gridSpan w:val="2"/>
            <w:tcBorders>
              <w:tl2br w:val="nil"/>
              <w:tr2bl w:val="nil"/>
            </w:tcBorders>
            <w:noWrap w:val="0"/>
            <w:vAlign w:val="center"/>
          </w:tcPr>
          <w:p w14:paraId="42C50F5D">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降噪措施</w:t>
            </w:r>
          </w:p>
        </w:tc>
        <w:tc>
          <w:tcPr>
            <w:tcW w:w="2335" w:type="dxa"/>
            <w:gridSpan w:val="2"/>
            <w:tcBorders>
              <w:tl2br w:val="nil"/>
              <w:tr2bl w:val="nil"/>
            </w:tcBorders>
            <w:noWrap w:val="0"/>
            <w:vAlign w:val="center"/>
          </w:tcPr>
          <w:p w14:paraId="36F29483">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噪声排放值</w:t>
            </w:r>
          </w:p>
        </w:tc>
        <w:tc>
          <w:tcPr>
            <w:tcW w:w="1112" w:type="dxa"/>
            <w:vMerge w:val="restart"/>
            <w:tcBorders>
              <w:tl2br w:val="nil"/>
              <w:tr2bl w:val="nil"/>
            </w:tcBorders>
            <w:noWrap w:val="0"/>
            <w:vAlign w:val="center"/>
          </w:tcPr>
          <w:p w14:paraId="7DB591F2">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持续时间/h</w:t>
            </w:r>
          </w:p>
        </w:tc>
      </w:tr>
      <w:tr w14:paraId="370F2D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8" w:type="dxa"/>
            <w:vMerge w:val="continue"/>
            <w:tcBorders>
              <w:tl2br w:val="nil"/>
              <w:tr2bl w:val="nil"/>
            </w:tcBorders>
            <w:noWrap w:val="0"/>
            <w:vAlign w:val="center"/>
          </w:tcPr>
          <w:p w14:paraId="4C52450A">
            <w:pPr>
              <w:pageBreakBefore w:val="0"/>
              <w:wordWrap/>
              <w:bidi w:val="0"/>
              <w:adjustRightInd/>
              <w:snapToGrid/>
              <w:spacing w:line="240" w:lineRule="auto"/>
              <w:ind w:firstLine="0" w:firstLineChars="0"/>
              <w:jc w:val="center"/>
              <w:rPr>
                <w:bCs/>
                <w:color w:val="auto"/>
                <w:sz w:val="21"/>
                <w:szCs w:val="21"/>
              </w:rPr>
            </w:pPr>
          </w:p>
        </w:tc>
        <w:tc>
          <w:tcPr>
            <w:tcW w:w="1456" w:type="dxa"/>
            <w:vMerge w:val="continue"/>
            <w:tcBorders>
              <w:tl2br w:val="nil"/>
              <w:tr2bl w:val="nil"/>
            </w:tcBorders>
            <w:noWrap w:val="0"/>
            <w:vAlign w:val="center"/>
          </w:tcPr>
          <w:p w14:paraId="75208E66">
            <w:pPr>
              <w:pageBreakBefore w:val="0"/>
              <w:wordWrap/>
              <w:bidi w:val="0"/>
              <w:adjustRightInd/>
              <w:snapToGrid/>
              <w:spacing w:line="240" w:lineRule="auto"/>
              <w:ind w:firstLine="0" w:firstLineChars="0"/>
              <w:jc w:val="center"/>
              <w:rPr>
                <w:bCs/>
                <w:color w:val="auto"/>
                <w:sz w:val="21"/>
                <w:szCs w:val="21"/>
              </w:rPr>
            </w:pPr>
          </w:p>
        </w:tc>
        <w:tc>
          <w:tcPr>
            <w:tcW w:w="1476" w:type="dxa"/>
            <w:vMerge w:val="continue"/>
            <w:tcBorders>
              <w:tl2br w:val="nil"/>
              <w:tr2bl w:val="nil"/>
            </w:tcBorders>
            <w:noWrap w:val="0"/>
            <w:vAlign w:val="center"/>
          </w:tcPr>
          <w:p w14:paraId="24439A6F">
            <w:pPr>
              <w:pageBreakBefore w:val="0"/>
              <w:wordWrap/>
              <w:bidi w:val="0"/>
              <w:adjustRightInd/>
              <w:snapToGrid/>
              <w:spacing w:line="240" w:lineRule="auto"/>
              <w:ind w:firstLine="0" w:firstLineChars="0"/>
              <w:jc w:val="center"/>
              <w:rPr>
                <w:bCs/>
                <w:color w:val="auto"/>
                <w:sz w:val="21"/>
                <w:szCs w:val="21"/>
              </w:rPr>
            </w:pPr>
          </w:p>
        </w:tc>
        <w:tc>
          <w:tcPr>
            <w:tcW w:w="1664" w:type="dxa"/>
            <w:vMerge w:val="continue"/>
            <w:tcBorders>
              <w:tl2br w:val="nil"/>
              <w:tr2bl w:val="nil"/>
            </w:tcBorders>
            <w:noWrap w:val="0"/>
            <w:vAlign w:val="center"/>
          </w:tcPr>
          <w:p w14:paraId="180E0C36">
            <w:pPr>
              <w:pageBreakBefore w:val="0"/>
              <w:wordWrap/>
              <w:bidi w:val="0"/>
              <w:adjustRightInd/>
              <w:snapToGrid/>
              <w:spacing w:line="240" w:lineRule="auto"/>
              <w:ind w:firstLine="0" w:firstLineChars="0"/>
              <w:jc w:val="center"/>
              <w:rPr>
                <w:bCs/>
                <w:color w:val="auto"/>
                <w:sz w:val="21"/>
                <w:szCs w:val="21"/>
              </w:rPr>
            </w:pPr>
          </w:p>
        </w:tc>
        <w:tc>
          <w:tcPr>
            <w:tcW w:w="983" w:type="dxa"/>
            <w:tcBorders>
              <w:tl2br w:val="nil"/>
              <w:tr2bl w:val="nil"/>
            </w:tcBorders>
            <w:noWrap w:val="0"/>
            <w:vAlign w:val="center"/>
          </w:tcPr>
          <w:p w14:paraId="1CBDD32A">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核算方法</w:t>
            </w:r>
          </w:p>
        </w:tc>
        <w:tc>
          <w:tcPr>
            <w:tcW w:w="1402" w:type="dxa"/>
            <w:tcBorders>
              <w:tl2br w:val="nil"/>
              <w:tr2bl w:val="nil"/>
            </w:tcBorders>
            <w:noWrap w:val="0"/>
            <w:vAlign w:val="center"/>
          </w:tcPr>
          <w:p w14:paraId="60F01411">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噪声值/</w:t>
            </w:r>
            <w:r>
              <w:rPr>
                <w:b/>
                <w:bCs w:val="0"/>
                <w:color w:val="auto"/>
                <w:kern w:val="0"/>
                <w:position w:val="-2"/>
                <w:sz w:val="21"/>
                <w:szCs w:val="21"/>
              </w:rPr>
              <w:t>dB</w:t>
            </w:r>
            <w:r>
              <w:rPr>
                <w:rFonts w:hint="eastAsia"/>
                <w:b/>
                <w:bCs w:val="0"/>
                <w:color w:val="auto"/>
                <w:kern w:val="0"/>
                <w:position w:val="-2"/>
                <w:sz w:val="21"/>
                <w:szCs w:val="21"/>
                <w:lang w:eastAsia="zh-CN"/>
              </w:rPr>
              <w:t>（</w:t>
            </w:r>
            <w:r>
              <w:rPr>
                <w:b/>
                <w:bCs w:val="0"/>
                <w:color w:val="auto"/>
                <w:kern w:val="0"/>
                <w:position w:val="-2"/>
                <w:sz w:val="21"/>
                <w:szCs w:val="21"/>
              </w:rPr>
              <w:t>A）</w:t>
            </w:r>
          </w:p>
        </w:tc>
        <w:tc>
          <w:tcPr>
            <w:tcW w:w="1475" w:type="dxa"/>
            <w:tcBorders>
              <w:tl2br w:val="nil"/>
              <w:tr2bl w:val="nil"/>
            </w:tcBorders>
            <w:noWrap w:val="0"/>
            <w:vAlign w:val="center"/>
          </w:tcPr>
          <w:p w14:paraId="3D11502A">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工艺</w:t>
            </w:r>
          </w:p>
        </w:tc>
        <w:tc>
          <w:tcPr>
            <w:tcW w:w="1095" w:type="dxa"/>
            <w:tcBorders>
              <w:tl2br w:val="nil"/>
              <w:tr2bl w:val="nil"/>
            </w:tcBorders>
            <w:noWrap w:val="0"/>
            <w:vAlign w:val="center"/>
          </w:tcPr>
          <w:p w14:paraId="74A4EE38">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降噪效果</w:t>
            </w:r>
          </w:p>
        </w:tc>
        <w:tc>
          <w:tcPr>
            <w:tcW w:w="1230" w:type="dxa"/>
            <w:tcBorders>
              <w:tl2br w:val="nil"/>
              <w:tr2bl w:val="nil"/>
            </w:tcBorders>
            <w:noWrap w:val="0"/>
            <w:vAlign w:val="center"/>
          </w:tcPr>
          <w:p w14:paraId="0F905AD6">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核算方法</w:t>
            </w:r>
          </w:p>
        </w:tc>
        <w:tc>
          <w:tcPr>
            <w:tcW w:w="1105" w:type="dxa"/>
            <w:tcBorders>
              <w:tl2br w:val="nil"/>
              <w:tr2bl w:val="nil"/>
            </w:tcBorders>
            <w:noWrap w:val="0"/>
            <w:vAlign w:val="center"/>
          </w:tcPr>
          <w:p w14:paraId="213DCAB5">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噪声值/</w:t>
            </w:r>
            <w:r>
              <w:rPr>
                <w:b/>
                <w:bCs w:val="0"/>
                <w:color w:val="auto"/>
                <w:kern w:val="0"/>
                <w:position w:val="-2"/>
                <w:sz w:val="21"/>
                <w:szCs w:val="21"/>
              </w:rPr>
              <w:t>dB</w:t>
            </w:r>
            <w:r>
              <w:rPr>
                <w:rFonts w:hint="eastAsia"/>
                <w:b/>
                <w:bCs w:val="0"/>
                <w:color w:val="auto"/>
                <w:kern w:val="0"/>
                <w:position w:val="-2"/>
                <w:sz w:val="21"/>
                <w:szCs w:val="21"/>
                <w:lang w:eastAsia="zh-CN"/>
              </w:rPr>
              <w:t>（</w:t>
            </w:r>
            <w:r>
              <w:rPr>
                <w:b/>
                <w:bCs w:val="0"/>
                <w:color w:val="auto"/>
                <w:kern w:val="0"/>
                <w:position w:val="-2"/>
                <w:sz w:val="21"/>
                <w:szCs w:val="21"/>
              </w:rPr>
              <w:t>A）</w:t>
            </w:r>
          </w:p>
        </w:tc>
        <w:tc>
          <w:tcPr>
            <w:tcW w:w="1112" w:type="dxa"/>
            <w:vMerge w:val="continue"/>
            <w:tcBorders>
              <w:tl2br w:val="nil"/>
              <w:tr2bl w:val="nil"/>
            </w:tcBorders>
            <w:noWrap w:val="0"/>
            <w:vAlign w:val="center"/>
          </w:tcPr>
          <w:p w14:paraId="782520DE">
            <w:pPr>
              <w:pageBreakBefore w:val="0"/>
              <w:wordWrap/>
              <w:bidi w:val="0"/>
              <w:adjustRightInd/>
              <w:snapToGrid/>
              <w:spacing w:line="240" w:lineRule="auto"/>
              <w:ind w:firstLine="0" w:firstLineChars="0"/>
              <w:jc w:val="center"/>
              <w:rPr>
                <w:bCs/>
                <w:color w:val="auto"/>
                <w:sz w:val="21"/>
                <w:szCs w:val="21"/>
              </w:rPr>
            </w:pPr>
          </w:p>
        </w:tc>
      </w:tr>
      <w:tr w14:paraId="367CE8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8" w:type="dxa"/>
            <w:tcBorders>
              <w:tl2br w:val="nil"/>
              <w:tr2bl w:val="nil"/>
            </w:tcBorders>
            <w:noWrap w:val="0"/>
            <w:vAlign w:val="center"/>
          </w:tcPr>
          <w:p w14:paraId="1B74B014">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预处理区</w:t>
            </w:r>
          </w:p>
        </w:tc>
        <w:tc>
          <w:tcPr>
            <w:tcW w:w="1456" w:type="dxa"/>
            <w:tcBorders>
              <w:tl2br w:val="nil"/>
              <w:tr2bl w:val="nil"/>
            </w:tcBorders>
            <w:noWrap w:val="0"/>
            <w:vAlign w:val="center"/>
          </w:tcPr>
          <w:p w14:paraId="4C45D908">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鼓风机、提升泵、各类水泵</w:t>
            </w:r>
          </w:p>
        </w:tc>
        <w:tc>
          <w:tcPr>
            <w:tcW w:w="1476" w:type="dxa"/>
            <w:tcBorders>
              <w:tl2br w:val="nil"/>
              <w:tr2bl w:val="nil"/>
            </w:tcBorders>
            <w:noWrap w:val="0"/>
            <w:vAlign w:val="center"/>
          </w:tcPr>
          <w:p w14:paraId="18D09139">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鼓风机、提升泵、各类水泵</w:t>
            </w:r>
          </w:p>
        </w:tc>
        <w:tc>
          <w:tcPr>
            <w:tcW w:w="1664" w:type="dxa"/>
            <w:tcBorders>
              <w:tl2br w:val="nil"/>
              <w:tr2bl w:val="nil"/>
            </w:tcBorders>
            <w:noWrap w:val="0"/>
            <w:vAlign w:val="center"/>
          </w:tcPr>
          <w:p w14:paraId="6762C831">
            <w:pPr>
              <w:pageBreakBefore w:val="0"/>
              <w:widowControl/>
              <w:wordWrap/>
              <w:bidi w:val="0"/>
              <w:adjustRightInd/>
              <w:snapToGrid/>
              <w:spacing w:line="240" w:lineRule="auto"/>
              <w:ind w:firstLine="0" w:firstLineChars="0"/>
              <w:jc w:val="center"/>
              <w:rPr>
                <w:bCs/>
                <w:color w:val="auto"/>
                <w:sz w:val="21"/>
                <w:szCs w:val="21"/>
              </w:rPr>
            </w:pPr>
            <w:r>
              <w:rPr>
                <w:bCs/>
                <w:color w:val="auto"/>
                <w:sz w:val="21"/>
                <w:szCs w:val="21"/>
              </w:rPr>
              <w:t>频发</w:t>
            </w:r>
          </w:p>
        </w:tc>
        <w:tc>
          <w:tcPr>
            <w:tcW w:w="983" w:type="dxa"/>
            <w:tcBorders>
              <w:tl2br w:val="nil"/>
              <w:tr2bl w:val="nil"/>
            </w:tcBorders>
            <w:noWrap w:val="0"/>
            <w:vAlign w:val="center"/>
          </w:tcPr>
          <w:p w14:paraId="71E1A0D4">
            <w:pPr>
              <w:pageBreakBefore w:val="0"/>
              <w:widowControl/>
              <w:wordWrap/>
              <w:bidi w:val="0"/>
              <w:adjustRightInd/>
              <w:snapToGrid/>
              <w:spacing w:line="240" w:lineRule="auto"/>
              <w:ind w:firstLine="0" w:firstLineChars="0"/>
              <w:jc w:val="center"/>
              <w:rPr>
                <w:bCs/>
                <w:color w:val="auto"/>
                <w:kern w:val="0"/>
                <w:sz w:val="21"/>
                <w:szCs w:val="21"/>
              </w:rPr>
            </w:pPr>
            <w:r>
              <w:rPr>
                <w:bCs/>
                <w:color w:val="auto"/>
                <w:kern w:val="0"/>
                <w:sz w:val="21"/>
                <w:szCs w:val="21"/>
              </w:rPr>
              <w:t>类比法</w:t>
            </w:r>
          </w:p>
        </w:tc>
        <w:tc>
          <w:tcPr>
            <w:tcW w:w="1402" w:type="dxa"/>
            <w:tcBorders>
              <w:tl2br w:val="nil"/>
              <w:tr2bl w:val="nil"/>
            </w:tcBorders>
            <w:noWrap w:val="0"/>
            <w:vAlign w:val="center"/>
          </w:tcPr>
          <w:p w14:paraId="4038F1D7">
            <w:pPr>
              <w:pageBreakBefore w:val="0"/>
              <w:wordWrap/>
              <w:bidi w:val="0"/>
              <w:adjustRightInd/>
              <w:snapToGrid/>
              <w:spacing w:line="240" w:lineRule="auto"/>
              <w:ind w:firstLine="0" w:firstLineChars="0"/>
              <w:jc w:val="center"/>
              <w:rPr>
                <w:rFonts w:hint="default" w:eastAsia="宋体"/>
                <w:bCs/>
                <w:color w:val="auto"/>
                <w:kern w:val="0"/>
                <w:sz w:val="21"/>
                <w:szCs w:val="21"/>
                <w:lang w:val="en-US" w:eastAsia="zh-CN"/>
              </w:rPr>
            </w:pPr>
            <w:r>
              <w:rPr>
                <w:bCs/>
                <w:color w:val="auto"/>
                <w:kern w:val="0"/>
                <w:sz w:val="21"/>
                <w:szCs w:val="21"/>
              </w:rPr>
              <w:t>75-</w:t>
            </w:r>
            <w:r>
              <w:rPr>
                <w:rFonts w:hint="eastAsia"/>
                <w:bCs/>
                <w:color w:val="auto"/>
                <w:kern w:val="0"/>
                <w:sz w:val="21"/>
                <w:szCs w:val="21"/>
                <w:lang w:val="en-US" w:eastAsia="zh-CN"/>
              </w:rPr>
              <w:t>90</w:t>
            </w:r>
          </w:p>
        </w:tc>
        <w:tc>
          <w:tcPr>
            <w:tcW w:w="1475" w:type="dxa"/>
            <w:vMerge w:val="restart"/>
            <w:tcBorders>
              <w:tl2br w:val="nil"/>
              <w:tr2bl w:val="nil"/>
            </w:tcBorders>
            <w:noWrap w:val="0"/>
            <w:vAlign w:val="center"/>
          </w:tcPr>
          <w:p w14:paraId="18803386">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降噪、隔振、设备基础、防振措施</w:t>
            </w:r>
          </w:p>
        </w:tc>
        <w:tc>
          <w:tcPr>
            <w:tcW w:w="1095" w:type="dxa"/>
            <w:tcBorders>
              <w:tl2br w:val="nil"/>
              <w:tr2bl w:val="nil"/>
            </w:tcBorders>
            <w:noWrap w:val="0"/>
            <w:vAlign w:val="center"/>
          </w:tcPr>
          <w:p w14:paraId="4DADAF2C">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w:t>
            </w:r>
          </w:p>
        </w:tc>
        <w:tc>
          <w:tcPr>
            <w:tcW w:w="1230" w:type="dxa"/>
            <w:tcBorders>
              <w:tl2br w:val="nil"/>
              <w:tr2bl w:val="nil"/>
            </w:tcBorders>
            <w:noWrap w:val="0"/>
            <w:vAlign w:val="center"/>
          </w:tcPr>
          <w:p w14:paraId="5492F2FD">
            <w:pPr>
              <w:pageBreakBefore w:val="0"/>
              <w:wordWrap/>
              <w:bidi w:val="0"/>
              <w:adjustRightInd/>
              <w:snapToGrid/>
              <w:spacing w:line="240" w:lineRule="auto"/>
              <w:ind w:firstLine="0" w:firstLineChars="0"/>
              <w:jc w:val="center"/>
              <w:rPr>
                <w:bCs/>
                <w:color w:val="auto"/>
                <w:kern w:val="0"/>
                <w:sz w:val="21"/>
                <w:szCs w:val="21"/>
              </w:rPr>
            </w:pPr>
            <w:r>
              <w:rPr>
                <w:bCs/>
                <w:color w:val="auto"/>
                <w:kern w:val="0"/>
                <w:sz w:val="21"/>
                <w:szCs w:val="21"/>
              </w:rPr>
              <w:t>类比法</w:t>
            </w:r>
          </w:p>
        </w:tc>
        <w:tc>
          <w:tcPr>
            <w:tcW w:w="1105" w:type="dxa"/>
            <w:tcBorders>
              <w:tl2br w:val="nil"/>
              <w:tr2bl w:val="nil"/>
            </w:tcBorders>
            <w:noWrap w:val="0"/>
            <w:vAlign w:val="center"/>
          </w:tcPr>
          <w:p w14:paraId="61124A92">
            <w:pPr>
              <w:pageBreakBefore w:val="0"/>
              <w:wordWrap/>
              <w:bidi w:val="0"/>
              <w:adjustRightInd/>
              <w:snapToGrid/>
              <w:spacing w:line="240" w:lineRule="auto"/>
              <w:ind w:firstLine="0" w:firstLineChars="0"/>
              <w:jc w:val="center"/>
              <w:rPr>
                <w:rFonts w:hint="default" w:eastAsia="宋体"/>
                <w:bCs/>
                <w:color w:val="auto"/>
                <w:kern w:val="0"/>
                <w:sz w:val="21"/>
                <w:szCs w:val="21"/>
                <w:lang w:val="en-US" w:eastAsia="zh-CN"/>
              </w:rPr>
            </w:pPr>
            <w:r>
              <w:rPr>
                <w:rFonts w:hint="eastAsia"/>
                <w:bCs/>
                <w:color w:val="auto"/>
                <w:kern w:val="0"/>
                <w:sz w:val="21"/>
                <w:szCs w:val="21"/>
                <w:lang w:val="en-US" w:eastAsia="zh-CN"/>
              </w:rPr>
              <w:t>55-65</w:t>
            </w:r>
          </w:p>
        </w:tc>
        <w:tc>
          <w:tcPr>
            <w:tcW w:w="1112" w:type="dxa"/>
            <w:tcBorders>
              <w:tl2br w:val="nil"/>
              <w:tr2bl w:val="nil"/>
            </w:tcBorders>
            <w:noWrap w:val="0"/>
            <w:vAlign w:val="center"/>
          </w:tcPr>
          <w:p w14:paraId="6522F1BD">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8760</w:t>
            </w:r>
          </w:p>
        </w:tc>
      </w:tr>
      <w:tr w14:paraId="3A57C0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8" w:type="dxa"/>
            <w:tcBorders>
              <w:tl2br w:val="nil"/>
              <w:tr2bl w:val="nil"/>
            </w:tcBorders>
            <w:noWrap w:val="0"/>
            <w:vAlign w:val="center"/>
          </w:tcPr>
          <w:p w14:paraId="3DC9B6D1">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生化系统</w:t>
            </w:r>
          </w:p>
        </w:tc>
        <w:tc>
          <w:tcPr>
            <w:tcW w:w="1456" w:type="dxa"/>
            <w:tcBorders>
              <w:tl2br w:val="nil"/>
              <w:tr2bl w:val="nil"/>
            </w:tcBorders>
            <w:noWrap w:val="0"/>
            <w:vAlign w:val="center"/>
          </w:tcPr>
          <w:p w14:paraId="6F6D5425">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鼓风机、提升泵、各类水泵</w:t>
            </w:r>
          </w:p>
        </w:tc>
        <w:tc>
          <w:tcPr>
            <w:tcW w:w="1476" w:type="dxa"/>
            <w:tcBorders>
              <w:tl2br w:val="nil"/>
              <w:tr2bl w:val="nil"/>
            </w:tcBorders>
            <w:noWrap w:val="0"/>
            <w:vAlign w:val="center"/>
          </w:tcPr>
          <w:p w14:paraId="57D903E5">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鼓风机、提升泵、各类水泵</w:t>
            </w:r>
          </w:p>
        </w:tc>
        <w:tc>
          <w:tcPr>
            <w:tcW w:w="1664" w:type="dxa"/>
            <w:tcBorders>
              <w:tl2br w:val="nil"/>
              <w:tr2bl w:val="nil"/>
            </w:tcBorders>
            <w:noWrap w:val="0"/>
            <w:vAlign w:val="center"/>
          </w:tcPr>
          <w:p w14:paraId="054C7DBF">
            <w:pPr>
              <w:pageBreakBefore w:val="0"/>
              <w:widowControl/>
              <w:wordWrap/>
              <w:bidi w:val="0"/>
              <w:adjustRightInd/>
              <w:snapToGrid/>
              <w:spacing w:line="240" w:lineRule="auto"/>
              <w:ind w:firstLine="0" w:firstLineChars="0"/>
              <w:jc w:val="center"/>
              <w:rPr>
                <w:bCs/>
                <w:color w:val="auto"/>
                <w:sz w:val="21"/>
                <w:szCs w:val="21"/>
              </w:rPr>
            </w:pPr>
            <w:r>
              <w:rPr>
                <w:bCs/>
                <w:color w:val="auto"/>
                <w:sz w:val="21"/>
                <w:szCs w:val="21"/>
              </w:rPr>
              <w:t>频发</w:t>
            </w:r>
          </w:p>
        </w:tc>
        <w:tc>
          <w:tcPr>
            <w:tcW w:w="983" w:type="dxa"/>
            <w:tcBorders>
              <w:tl2br w:val="nil"/>
              <w:tr2bl w:val="nil"/>
            </w:tcBorders>
            <w:noWrap w:val="0"/>
            <w:vAlign w:val="center"/>
          </w:tcPr>
          <w:p w14:paraId="54F4BEFA">
            <w:pPr>
              <w:pageBreakBefore w:val="0"/>
              <w:widowControl/>
              <w:wordWrap/>
              <w:bidi w:val="0"/>
              <w:adjustRightInd/>
              <w:snapToGrid/>
              <w:spacing w:line="240" w:lineRule="auto"/>
              <w:ind w:firstLine="0" w:firstLineChars="0"/>
              <w:jc w:val="center"/>
              <w:rPr>
                <w:bCs/>
                <w:color w:val="auto"/>
                <w:kern w:val="0"/>
                <w:sz w:val="21"/>
                <w:szCs w:val="21"/>
              </w:rPr>
            </w:pPr>
            <w:r>
              <w:rPr>
                <w:bCs/>
                <w:color w:val="auto"/>
                <w:kern w:val="0"/>
                <w:sz w:val="21"/>
                <w:szCs w:val="21"/>
              </w:rPr>
              <w:t>类比法</w:t>
            </w:r>
          </w:p>
        </w:tc>
        <w:tc>
          <w:tcPr>
            <w:tcW w:w="1402" w:type="dxa"/>
            <w:tcBorders>
              <w:tl2br w:val="nil"/>
              <w:tr2bl w:val="nil"/>
            </w:tcBorders>
            <w:noWrap w:val="0"/>
            <w:vAlign w:val="center"/>
          </w:tcPr>
          <w:p w14:paraId="18E105E8">
            <w:pPr>
              <w:pageBreakBefore w:val="0"/>
              <w:wordWrap/>
              <w:bidi w:val="0"/>
              <w:adjustRightInd/>
              <w:snapToGrid/>
              <w:spacing w:line="240" w:lineRule="auto"/>
              <w:ind w:firstLine="0" w:firstLineChars="0"/>
              <w:jc w:val="center"/>
              <w:rPr>
                <w:rFonts w:hint="default" w:eastAsia="宋体"/>
                <w:bCs/>
                <w:color w:val="auto"/>
                <w:kern w:val="0"/>
                <w:sz w:val="21"/>
                <w:szCs w:val="21"/>
                <w:lang w:val="en-US" w:eastAsia="zh-CN"/>
              </w:rPr>
            </w:pPr>
            <w:r>
              <w:rPr>
                <w:bCs/>
                <w:color w:val="auto"/>
                <w:kern w:val="0"/>
                <w:sz w:val="21"/>
                <w:szCs w:val="21"/>
              </w:rPr>
              <w:t>75-</w:t>
            </w:r>
            <w:r>
              <w:rPr>
                <w:rFonts w:hint="eastAsia"/>
                <w:bCs/>
                <w:color w:val="auto"/>
                <w:kern w:val="0"/>
                <w:sz w:val="21"/>
                <w:szCs w:val="21"/>
                <w:lang w:val="en-US" w:eastAsia="zh-CN"/>
              </w:rPr>
              <w:t>90</w:t>
            </w:r>
          </w:p>
        </w:tc>
        <w:tc>
          <w:tcPr>
            <w:tcW w:w="1475" w:type="dxa"/>
            <w:vMerge w:val="continue"/>
            <w:tcBorders>
              <w:tl2br w:val="nil"/>
              <w:tr2bl w:val="nil"/>
            </w:tcBorders>
            <w:noWrap w:val="0"/>
            <w:vAlign w:val="center"/>
          </w:tcPr>
          <w:p w14:paraId="02154B8C">
            <w:pPr>
              <w:pageBreakBefore w:val="0"/>
              <w:wordWrap/>
              <w:bidi w:val="0"/>
              <w:adjustRightInd/>
              <w:snapToGrid/>
              <w:spacing w:line="240" w:lineRule="auto"/>
              <w:ind w:firstLine="0" w:firstLineChars="0"/>
              <w:jc w:val="center"/>
              <w:rPr>
                <w:bCs/>
                <w:color w:val="auto"/>
                <w:sz w:val="21"/>
                <w:szCs w:val="21"/>
              </w:rPr>
            </w:pPr>
          </w:p>
        </w:tc>
        <w:tc>
          <w:tcPr>
            <w:tcW w:w="1095" w:type="dxa"/>
            <w:tcBorders>
              <w:tl2br w:val="nil"/>
              <w:tr2bl w:val="nil"/>
            </w:tcBorders>
            <w:noWrap w:val="0"/>
            <w:vAlign w:val="center"/>
          </w:tcPr>
          <w:p w14:paraId="3CAB41A0">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w:t>
            </w:r>
          </w:p>
        </w:tc>
        <w:tc>
          <w:tcPr>
            <w:tcW w:w="1230" w:type="dxa"/>
            <w:tcBorders>
              <w:tl2br w:val="nil"/>
              <w:tr2bl w:val="nil"/>
            </w:tcBorders>
            <w:noWrap w:val="0"/>
            <w:vAlign w:val="center"/>
          </w:tcPr>
          <w:p w14:paraId="59718206">
            <w:pPr>
              <w:pageBreakBefore w:val="0"/>
              <w:wordWrap/>
              <w:bidi w:val="0"/>
              <w:adjustRightInd/>
              <w:snapToGrid/>
              <w:spacing w:line="240" w:lineRule="auto"/>
              <w:ind w:firstLine="0" w:firstLineChars="0"/>
              <w:jc w:val="center"/>
              <w:rPr>
                <w:bCs/>
                <w:color w:val="auto"/>
                <w:sz w:val="21"/>
                <w:szCs w:val="21"/>
              </w:rPr>
            </w:pPr>
            <w:r>
              <w:rPr>
                <w:bCs/>
                <w:color w:val="auto"/>
                <w:kern w:val="0"/>
                <w:sz w:val="21"/>
                <w:szCs w:val="21"/>
              </w:rPr>
              <w:t>类比法</w:t>
            </w:r>
          </w:p>
        </w:tc>
        <w:tc>
          <w:tcPr>
            <w:tcW w:w="1105" w:type="dxa"/>
            <w:vMerge w:val="restart"/>
            <w:tcBorders>
              <w:tl2br w:val="nil"/>
              <w:tr2bl w:val="nil"/>
            </w:tcBorders>
            <w:noWrap w:val="0"/>
            <w:vAlign w:val="center"/>
          </w:tcPr>
          <w:p w14:paraId="37EA0835">
            <w:pPr>
              <w:pageBreakBefore w:val="0"/>
              <w:wordWrap/>
              <w:bidi w:val="0"/>
              <w:adjustRightInd/>
              <w:snapToGrid/>
              <w:spacing w:line="240" w:lineRule="auto"/>
              <w:ind w:firstLine="0" w:firstLineChars="0"/>
              <w:jc w:val="center"/>
              <w:rPr>
                <w:rFonts w:hint="default" w:eastAsia="宋体"/>
                <w:bCs/>
                <w:color w:val="auto"/>
                <w:kern w:val="0"/>
                <w:sz w:val="21"/>
                <w:szCs w:val="21"/>
                <w:lang w:val="en-US" w:eastAsia="zh-CN"/>
              </w:rPr>
            </w:pPr>
            <w:r>
              <w:rPr>
                <w:rFonts w:hint="eastAsia"/>
                <w:bCs/>
                <w:color w:val="auto"/>
                <w:kern w:val="0"/>
                <w:sz w:val="21"/>
                <w:szCs w:val="21"/>
                <w:lang w:val="en-US" w:eastAsia="zh-CN"/>
              </w:rPr>
              <w:t>55-65</w:t>
            </w:r>
          </w:p>
        </w:tc>
        <w:tc>
          <w:tcPr>
            <w:tcW w:w="1112" w:type="dxa"/>
            <w:tcBorders>
              <w:tl2br w:val="nil"/>
              <w:tr2bl w:val="nil"/>
            </w:tcBorders>
            <w:noWrap w:val="0"/>
            <w:vAlign w:val="center"/>
          </w:tcPr>
          <w:p w14:paraId="7A3902CE">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8760</w:t>
            </w:r>
          </w:p>
        </w:tc>
      </w:tr>
      <w:tr w14:paraId="65E7E1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108" w:type="dxa"/>
            <w:tcBorders>
              <w:tl2br w:val="nil"/>
              <w:tr2bl w:val="nil"/>
            </w:tcBorders>
            <w:noWrap w:val="0"/>
            <w:vAlign w:val="center"/>
          </w:tcPr>
          <w:p w14:paraId="461F31BD">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污泥处置区</w:t>
            </w:r>
          </w:p>
        </w:tc>
        <w:tc>
          <w:tcPr>
            <w:tcW w:w="1456" w:type="dxa"/>
            <w:tcBorders>
              <w:tl2br w:val="nil"/>
              <w:tr2bl w:val="nil"/>
            </w:tcBorders>
            <w:noWrap w:val="0"/>
            <w:vAlign w:val="center"/>
          </w:tcPr>
          <w:p w14:paraId="6118A1EE">
            <w:pPr>
              <w:pageBreakBefore w:val="0"/>
              <w:wordWrap/>
              <w:bidi w:val="0"/>
              <w:adjustRightInd/>
              <w:snapToGrid/>
              <w:spacing w:line="240" w:lineRule="auto"/>
              <w:ind w:firstLine="0" w:firstLineChars="0"/>
              <w:jc w:val="center"/>
              <w:rPr>
                <w:rFonts w:hint="eastAsia" w:eastAsia="宋体"/>
                <w:bCs/>
                <w:color w:val="auto"/>
                <w:sz w:val="21"/>
                <w:szCs w:val="21"/>
                <w:lang w:val="en-US" w:eastAsia="zh-CN"/>
              </w:rPr>
            </w:pPr>
            <w:r>
              <w:rPr>
                <w:bCs/>
                <w:color w:val="auto"/>
                <w:sz w:val="21"/>
                <w:szCs w:val="21"/>
              </w:rPr>
              <w:t>污泥脱水机</w:t>
            </w:r>
            <w:r>
              <w:rPr>
                <w:rFonts w:hint="eastAsia"/>
                <w:bCs/>
                <w:color w:val="auto"/>
                <w:sz w:val="21"/>
                <w:szCs w:val="21"/>
                <w:lang w:val="en-US" w:eastAsia="zh-CN"/>
              </w:rPr>
              <w:t>等</w:t>
            </w:r>
          </w:p>
        </w:tc>
        <w:tc>
          <w:tcPr>
            <w:tcW w:w="1476" w:type="dxa"/>
            <w:tcBorders>
              <w:tl2br w:val="nil"/>
              <w:tr2bl w:val="nil"/>
            </w:tcBorders>
            <w:noWrap w:val="0"/>
            <w:vAlign w:val="center"/>
          </w:tcPr>
          <w:p w14:paraId="5DE3A168">
            <w:pPr>
              <w:pageBreakBefore w:val="0"/>
              <w:wordWrap/>
              <w:bidi w:val="0"/>
              <w:adjustRightInd/>
              <w:snapToGrid/>
              <w:spacing w:line="240" w:lineRule="auto"/>
              <w:ind w:firstLine="0" w:firstLineChars="0"/>
              <w:jc w:val="center"/>
              <w:rPr>
                <w:rFonts w:hint="eastAsia" w:eastAsia="宋体"/>
                <w:bCs/>
                <w:color w:val="auto"/>
                <w:sz w:val="21"/>
                <w:szCs w:val="21"/>
                <w:lang w:val="en-US" w:eastAsia="zh-CN"/>
              </w:rPr>
            </w:pPr>
            <w:r>
              <w:rPr>
                <w:bCs/>
                <w:color w:val="auto"/>
                <w:sz w:val="21"/>
                <w:szCs w:val="21"/>
              </w:rPr>
              <w:t>污泥脱水机</w:t>
            </w:r>
            <w:r>
              <w:rPr>
                <w:rFonts w:hint="eastAsia"/>
                <w:bCs/>
                <w:color w:val="auto"/>
                <w:sz w:val="21"/>
                <w:szCs w:val="21"/>
                <w:lang w:val="en-US" w:eastAsia="zh-CN"/>
              </w:rPr>
              <w:t>等</w:t>
            </w:r>
          </w:p>
        </w:tc>
        <w:tc>
          <w:tcPr>
            <w:tcW w:w="1664" w:type="dxa"/>
            <w:tcBorders>
              <w:tl2br w:val="nil"/>
              <w:tr2bl w:val="nil"/>
            </w:tcBorders>
            <w:noWrap w:val="0"/>
            <w:vAlign w:val="center"/>
          </w:tcPr>
          <w:p w14:paraId="464EF2A1">
            <w:pPr>
              <w:pageBreakBefore w:val="0"/>
              <w:widowControl/>
              <w:wordWrap/>
              <w:bidi w:val="0"/>
              <w:adjustRightInd/>
              <w:snapToGrid/>
              <w:spacing w:line="240" w:lineRule="auto"/>
              <w:ind w:firstLine="0" w:firstLineChars="0"/>
              <w:jc w:val="center"/>
              <w:rPr>
                <w:bCs/>
                <w:color w:val="auto"/>
                <w:sz w:val="21"/>
                <w:szCs w:val="21"/>
              </w:rPr>
            </w:pPr>
            <w:r>
              <w:rPr>
                <w:bCs/>
                <w:color w:val="auto"/>
                <w:sz w:val="21"/>
                <w:szCs w:val="21"/>
              </w:rPr>
              <w:t>频发</w:t>
            </w:r>
          </w:p>
        </w:tc>
        <w:tc>
          <w:tcPr>
            <w:tcW w:w="983" w:type="dxa"/>
            <w:tcBorders>
              <w:tl2br w:val="nil"/>
              <w:tr2bl w:val="nil"/>
            </w:tcBorders>
            <w:noWrap w:val="0"/>
            <w:vAlign w:val="center"/>
          </w:tcPr>
          <w:p w14:paraId="06AD67A9">
            <w:pPr>
              <w:pageBreakBefore w:val="0"/>
              <w:widowControl/>
              <w:wordWrap/>
              <w:bidi w:val="0"/>
              <w:adjustRightInd/>
              <w:snapToGrid/>
              <w:spacing w:line="240" w:lineRule="auto"/>
              <w:ind w:firstLine="0" w:firstLineChars="0"/>
              <w:jc w:val="center"/>
              <w:rPr>
                <w:bCs/>
                <w:color w:val="auto"/>
                <w:kern w:val="0"/>
                <w:sz w:val="21"/>
                <w:szCs w:val="21"/>
              </w:rPr>
            </w:pPr>
            <w:r>
              <w:rPr>
                <w:bCs/>
                <w:color w:val="auto"/>
                <w:kern w:val="0"/>
                <w:sz w:val="21"/>
                <w:szCs w:val="21"/>
              </w:rPr>
              <w:t>类比法</w:t>
            </w:r>
          </w:p>
        </w:tc>
        <w:tc>
          <w:tcPr>
            <w:tcW w:w="1402" w:type="dxa"/>
            <w:tcBorders>
              <w:tl2br w:val="nil"/>
              <w:tr2bl w:val="nil"/>
            </w:tcBorders>
            <w:noWrap w:val="0"/>
            <w:vAlign w:val="center"/>
          </w:tcPr>
          <w:p w14:paraId="3E5E877B">
            <w:pPr>
              <w:pageBreakBefore w:val="0"/>
              <w:wordWrap/>
              <w:bidi w:val="0"/>
              <w:adjustRightInd/>
              <w:snapToGrid/>
              <w:spacing w:line="240" w:lineRule="auto"/>
              <w:ind w:firstLine="0" w:firstLineChars="0"/>
              <w:jc w:val="center"/>
              <w:rPr>
                <w:rFonts w:hint="default" w:eastAsia="宋体"/>
                <w:bCs/>
                <w:color w:val="auto"/>
                <w:kern w:val="0"/>
                <w:sz w:val="21"/>
                <w:szCs w:val="21"/>
                <w:lang w:val="en-US" w:eastAsia="zh-CN"/>
              </w:rPr>
            </w:pPr>
            <w:r>
              <w:rPr>
                <w:bCs/>
                <w:color w:val="auto"/>
                <w:kern w:val="0"/>
                <w:sz w:val="21"/>
                <w:szCs w:val="21"/>
              </w:rPr>
              <w:t>75-</w:t>
            </w:r>
            <w:r>
              <w:rPr>
                <w:rFonts w:hint="eastAsia"/>
                <w:bCs/>
                <w:color w:val="auto"/>
                <w:kern w:val="0"/>
                <w:sz w:val="21"/>
                <w:szCs w:val="21"/>
                <w:lang w:val="en-US" w:eastAsia="zh-CN"/>
              </w:rPr>
              <w:t>90</w:t>
            </w:r>
          </w:p>
        </w:tc>
        <w:tc>
          <w:tcPr>
            <w:tcW w:w="1475" w:type="dxa"/>
            <w:vMerge w:val="continue"/>
            <w:tcBorders>
              <w:tl2br w:val="nil"/>
              <w:tr2bl w:val="nil"/>
            </w:tcBorders>
            <w:noWrap w:val="0"/>
            <w:vAlign w:val="center"/>
          </w:tcPr>
          <w:p w14:paraId="76F44931">
            <w:pPr>
              <w:pageBreakBefore w:val="0"/>
              <w:wordWrap/>
              <w:bidi w:val="0"/>
              <w:adjustRightInd/>
              <w:snapToGrid/>
              <w:spacing w:line="240" w:lineRule="auto"/>
              <w:ind w:firstLine="0" w:firstLineChars="0"/>
              <w:jc w:val="center"/>
              <w:rPr>
                <w:bCs/>
                <w:color w:val="auto"/>
                <w:sz w:val="21"/>
                <w:szCs w:val="21"/>
              </w:rPr>
            </w:pPr>
          </w:p>
        </w:tc>
        <w:tc>
          <w:tcPr>
            <w:tcW w:w="1095" w:type="dxa"/>
            <w:tcBorders>
              <w:tl2br w:val="nil"/>
              <w:tr2bl w:val="nil"/>
            </w:tcBorders>
            <w:noWrap w:val="0"/>
            <w:vAlign w:val="center"/>
          </w:tcPr>
          <w:p w14:paraId="6000E071">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w:t>
            </w:r>
          </w:p>
        </w:tc>
        <w:tc>
          <w:tcPr>
            <w:tcW w:w="1230" w:type="dxa"/>
            <w:tcBorders>
              <w:tl2br w:val="nil"/>
              <w:tr2bl w:val="nil"/>
            </w:tcBorders>
            <w:noWrap w:val="0"/>
            <w:vAlign w:val="center"/>
          </w:tcPr>
          <w:p w14:paraId="28E3DC5B">
            <w:pPr>
              <w:pageBreakBefore w:val="0"/>
              <w:wordWrap/>
              <w:bidi w:val="0"/>
              <w:adjustRightInd/>
              <w:snapToGrid/>
              <w:spacing w:line="240" w:lineRule="auto"/>
              <w:ind w:firstLine="0" w:firstLineChars="0"/>
              <w:jc w:val="center"/>
              <w:rPr>
                <w:bCs/>
                <w:color w:val="auto"/>
                <w:sz w:val="21"/>
                <w:szCs w:val="21"/>
              </w:rPr>
            </w:pPr>
            <w:r>
              <w:rPr>
                <w:bCs/>
                <w:color w:val="auto"/>
                <w:kern w:val="0"/>
                <w:sz w:val="21"/>
                <w:szCs w:val="21"/>
              </w:rPr>
              <w:t>类比法</w:t>
            </w:r>
          </w:p>
        </w:tc>
        <w:tc>
          <w:tcPr>
            <w:tcW w:w="1105" w:type="dxa"/>
            <w:vMerge w:val="continue"/>
            <w:tcBorders>
              <w:tl2br w:val="nil"/>
              <w:tr2bl w:val="nil"/>
            </w:tcBorders>
            <w:noWrap w:val="0"/>
            <w:vAlign w:val="center"/>
          </w:tcPr>
          <w:p w14:paraId="2C5E793B">
            <w:pPr>
              <w:pageBreakBefore w:val="0"/>
              <w:wordWrap/>
              <w:bidi w:val="0"/>
              <w:adjustRightInd/>
              <w:snapToGrid/>
              <w:spacing w:line="240" w:lineRule="auto"/>
              <w:ind w:firstLine="0" w:firstLineChars="0"/>
              <w:jc w:val="center"/>
              <w:rPr>
                <w:bCs/>
                <w:color w:val="auto"/>
                <w:kern w:val="0"/>
                <w:sz w:val="21"/>
                <w:szCs w:val="21"/>
              </w:rPr>
            </w:pPr>
          </w:p>
        </w:tc>
        <w:tc>
          <w:tcPr>
            <w:tcW w:w="1112" w:type="dxa"/>
            <w:tcBorders>
              <w:tl2br w:val="nil"/>
              <w:tr2bl w:val="nil"/>
            </w:tcBorders>
            <w:noWrap w:val="0"/>
            <w:vAlign w:val="center"/>
          </w:tcPr>
          <w:p w14:paraId="03C149B6">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4380</w:t>
            </w:r>
          </w:p>
        </w:tc>
      </w:tr>
    </w:tbl>
    <w:p w14:paraId="20607A77">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项目固体废物污染源强核算汇总</w:t>
      </w:r>
    </w:p>
    <w:p w14:paraId="7F7F4F73">
      <w:pPr>
        <w:pStyle w:val="19"/>
        <w:numPr>
          <w:ilvl w:val="0"/>
          <w:numId w:val="26"/>
        </w:numPr>
        <w:bidi w:val="0"/>
        <w:ind w:left="0" w:leftChars="0" w:firstLine="0" w:firstLineChars="0"/>
        <w:rPr>
          <w:color w:val="auto"/>
        </w:rPr>
      </w:pPr>
      <w:r>
        <w:rPr>
          <w:color w:val="auto"/>
        </w:rPr>
        <w:t>固体废物污染源源强核算结果及相关参数一览表</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083"/>
        <w:gridCol w:w="1579"/>
        <w:gridCol w:w="1688"/>
        <w:gridCol w:w="1216"/>
        <w:gridCol w:w="1570"/>
        <w:gridCol w:w="3931"/>
        <w:gridCol w:w="1441"/>
        <w:gridCol w:w="1556"/>
      </w:tblGrid>
      <w:tr w14:paraId="6A33C2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vMerge w:val="restart"/>
            <w:tcBorders>
              <w:tl2br w:val="nil"/>
              <w:tr2bl w:val="nil"/>
            </w:tcBorders>
            <w:noWrap w:val="0"/>
            <w:vAlign w:val="center"/>
          </w:tcPr>
          <w:p w14:paraId="49D2C8E7">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工序/生产线</w:t>
            </w:r>
          </w:p>
        </w:tc>
        <w:tc>
          <w:tcPr>
            <w:tcW w:w="561" w:type="pct"/>
            <w:vMerge w:val="restart"/>
            <w:tcBorders>
              <w:tl2br w:val="nil"/>
              <w:tr2bl w:val="nil"/>
            </w:tcBorders>
            <w:noWrap w:val="0"/>
            <w:vAlign w:val="center"/>
          </w:tcPr>
          <w:p w14:paraId="0AEDE4DB">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固体废物名称</w:t>
            </w:r>
          </w:p>
        </w:tc>
        <w:tc>
          <w:tcPr>
            <w:tcW w:w="600" w:type="pct"/>
            <w:vMerge w:val="restart"/>
            <w:tcBorders>
              <w:tl2br w:val="nil"/>
              <w:tr2bl w:val="nil"/>
            </w:tcBorders>
            <w:noWrap w:val="0"/>
            <w:vAlign w:val="center"/>
          </w:tcPr>
          <w:p w14:paraId="0FC675F7">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固体废物属性</w:t>
            </w:r>
          </w:p>
        </w:tc>
        <w:tc>
          <w:tcPr>
            <w:tcW w:w="990" w:type="pct"/>
            <w:gridSpan w:val="2"/>
            <w:tcBorders>
              <w:tl2br w:val="nil"/>
              <w:tr2bl w:val="nil"/>
            </w:tcBorders>
            <w:noWrap w:val="0"/>
            <w:vAlign w:val="center"/>
          </w:tcPr>
          <w:p w14:paraId="78636F9F">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产生情况</w:t>
            </w:r>
          </w:p>
        </w:tc>
        <w:tc>
          <w:tcPr>
            <w:tcW w:w="1909" w:type="pct"/>
            <w:gridSpan w:val="2"/>
            <w:tcBorders>
              <w:tl2br w:val="nil"/>
              <w:tr2bl w:val="nil"/>
            </w:tcBorders>
            <w:noWrap w:val="0"/>
            <w:vAlign w:val="center"/>
          </w:tcPr>
          <w:p w14:paraId="4C574AFB">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处置措施</w:t>
            </w:r>
          </w:p>
        </w:tc>
        <w:tc>
          <w:tcPr>
            <w:tcW w:w="553" w:type="pct"/>
            <w:vMerge w:val="restart"/>
            <w:tcBorders>
              <w:tl2br w:val="nil"/>
              <w:tr2bl w:val="nil"/>
            </w:tcBorders>
            <w:noWrap w:val="0"/>
            <w:vAlign w:val="center"/>
          </w:tcPr>
          <w:p w14:paraId="2546AB6E">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最终去向</w:t>
            </w:r>
          </w:p>
        </w:tc>
      </w:tr>
      <w:tr w14:paraId="5F75E8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vMerge w:val="continue"/>
            <w:tcBorders>
              <w:tl2br w:val="nil"/>
              <w:tr2bl w:val="nil"/>
            </w:tcBorders>
            <w:noWrap w:val="0"/>
            <w:vAlign w:val="center"/>
          </w:tcPr>
          <w:p w14:paraId="10CDBF40">
            <w:pPr>
              <w:pageBreakBefore w:val="0"/>
              <w:wordWrap/>
              <w:bidi w:val="0"/>
              <w:adjustRightInd/>
              <w:snapToGrid/>
              <w:spacing w:line="240" w:lineRule="auto"/>
              <w:ind w:firstLine="0" w:firstLineChars="0"/>
              <w:jc w:val="center"/>
              <w:rPr>
                <w:bCs/>
                <w:color w:val="auto"/>
                <w:sz w:val="21"/>
                <w:szCs w:val="21"/>
              </w:rPr>
            </w:pPr>
          </w:p>
        </w:tc>
        <w:tc>
          <w:tcPr>
            <w:tcW w:w="561" w:type="pct"/>
            <w:vMerge w:val="continue"/>
            <w:tcBorders>
              <w:tl2br w:val="nil"/>
              <w:tr2bl w:val="nil"/>
            </w:tcBorders>
            <w:noWrap w:val="0"/>
            <w:vAlign w:val="center"/>
          </w:tcPr>
          <w:p w14:paraId="59D1AE8C">
            <w:pPr>
              <w:pageBreakBefore w:val="0"/>
              <w:wordWrap/>
              <w:bidi w:val="0"/>
              <w:adjustRightInd/>
              <w:snapToGrid/>
              <w:spacing w:line="240" w:lineRule="auto"/>
              <w:ind w:firstLine="0" w:firstLineChars="0"/>
              <w:jc w:val="center"/>
              <w:rPr>
                <w:bCs/>
                <w:color w:val="auto"/>
                <w:sz w:val="21"/>
                <w:szCs w:val="21"/>
              </w:rPr>
            </w:pPr>
          </w:p>
        </w:tc>
        <w:tc>
          <w:tcPr>
            <w:tcW w:w="600" w:type="pct"/>
            <w:vMerge w:val="continue"/>
            <w:tcBorders>
              <w:tl2br w:val="nil"/>
              <w:tr2bl w:val="nil"/>
            </w:tcBorders>
            <w:noWrap w:val="0"/>
            <w:vAlign w:val="center"/>
          </w:tcPr>
          <w:p w14:paraId="0EA9B3C8">
            <w:pPr>
              <w:pageBreakBefore w:val="0"/>
              <w:wordWrap/>
              <w:bidi w:val="0"/>
              <w:adjustRightInd/>
              <w:snapToGrid/>
              <w:spacing w:line="240" w:lineRule="auto"/>
              <w:ind w:firstLine="0" w:firstLineChars="0"/>
              <w:jc w:val="center"/>
              <w:rPr>
                <w:bCs/>
                <w:color w:val="auto"/>
                <w:sz w:val="21"/>
                <w:szCs w:val="21"/>
              </w:rPr>
            </w:pPr>
          </w:p>
        </w:tc>
        <w:tc>
          <w:tcPr>
            <w:tcW w:w="432" w:type="pct"/>
            <w:tcBorders>
              <w:tl2br w:val="nil"/>
              <w:tr2bl w:val="nil"/>
            </w:tcBorders>
            <w:noWrap w:val="0"/>
            <w:vAlign w:val="center"/>
          </w:tcPr>
          <w:p w14:paraId="741527AE">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核算方法</w:t>
            </w:r>
          </w:p>
        </w:tc>
        <w:tc>
          <w:tcPr>
            <w:tcW w:w="558" w:type="pct"/>
            <w:tcBorders>
              <w:tl2br w:val="nil"/>
              <w:tr2bl w:val="nil"/>
            </w:tcBorders>
            <w:noWrap w:val="0"/>
            <w:vAlign w:val="center"/>
          </w:tcPr>
          <w:p w14:paraId="1CB4AEB6">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产生量（t/a）</w:t>
            </w:r>
          </w:p>
        </w:tc>
        <w:tc>
          <w:tcPr>
            <w:tcW w:w="1397" w:type="pct"/>
            <w:tcBorders>
              <w:tl2br w:val="nil"/>
              <w:tr2bl w:val="nil"/>
            </w:tcBorders>
            <w:noWrap w:val="0"/>
            <w:vAlign w:val="center"/>
          </w:tcPr>
          <w:p w14:paraId="6E57112D">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工艺</w:t>
            </w:r>
          </w:p>
        </w:tc>
        <w:tc>
          <w:tcPr>
            <w:tcW w:w="512" w:type="pct"/>
            <w:tcBorders>
              <w:tl2br w:val="nil"/>
              <w:tr2bl w:val="nil"/>
            </w:tcBorders>
            <w:noWrap w:val="0"/>
            <w:vAlign w:val="center"/>
          </w:tcPr>
          <w:p w14:paraId="303FBCE3">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处置量（t/a）</w:t>
            </w:r>
          </w:p>
        </w:tc>
        <w:tc>
          <w:tcPr>
            <w:tcW w:w="553" w:type="pct"/>
            <w:vMerge w:val="continue"/>
            <w:tcBorders>
              <w:tl2br w:val="nil"/>
              <w:tr2bl w:val="nil"/>
            </w:tcBorders>
            <w:noWrap w:val="0"/>
            <w:vAlign w:val="center"/>
          </w:tcPr>
          <w:p w14:paraId="7F30E188">
            <w:pPr>
              <w:pageBreakBefore w:val="0"/>
              <w:wordWrap/>
              <w:bidi w:val="0"/>
              <w:adjustRightInd/>
              <w:snapToGrid/>
              <w:spacing w:line="240" w:lineRule="auto"/>
              <w:ind w:firstLine="0" w:firstLineChars="0"/>
              <w:jc w:val="center"/>
              <w:rPr>
                <w:bCs/>
                <w:color w:val="auto"/>
                <w:sz w:val="21"/>
                <w:szCs w:val="21"/>
              </w:rPr>
            </w:pPr>
          </w:p>
        </w:tc>
      </w:tr>
      <w:tr w14:paraId="0A2818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tcBorders>
              <w:tl2br w:val="nil"/>
              <w:tr2bl w:val="nil"/>
            </w:tcBorders>
            <w:noWrap w:val="0"/>
            <w:vAlign w:val="center"/>
          </w:tcPr>
          <w:p w14:paraId="47EAF6C1">
            <w:pPr>
              <w:pStyle w:val="498"/>
              <w:pageBreakBefore w:val="0"/>
              <w:wordWrap/>
              <w:bidi w:val="0"/>
              <w:adjustRightInd/>
              <w:snapToGrid/>
              <w:ind w:firstLine="0" w:firstLineChars="0"/>
              <w:jc w:val="center"/>
              <w:rPr>
                <w:bCs/>
                <w:color w:val="auto"/>
                <w:sz w:val="21"/>
                <w:szCs w:val="21"/>
              </w:rPr>
            </w:pPr>
            <w:r>
              <w:rPr>
                <w:color w:val="auto"/>
                <w:sz w:val="21"/>
                <w:szCs w:val="21"/>
              </w:rPr>
              <w:t>员工办公生活</w:t>
            </w:r>
          </w:p>
        </w:tc>
        <w:tc>
          <w:tcPr>
            <w:tcW w:w="561" w:type="pct"/>
            <w:tcBorders>
              <w:tl2br w:val="nil"/>
              <w:tr2bl w:val="nil"/>
            </w:tcBorders>
            <w:noWrap w:val="0"/>
            <w:vAlign w:val="center"/>
          </w:tcPr>
          <w:p w14:paraId="48DC78BF">
            <w:pPr>
              <w:pStyle w:val="498"/>
              <w:pageBreakBefore w:val="0"/>
              <w:wordWrap/>
              <w:bidi w:val="0"/>
              <w:adjustRightInd/>
              <w:snapToGrid/>
              <w:ind w:firstLine="0" w:firstLineChars="0"/>
              <w:jc w:val="center"/>
              <w:rPr>
                <w:bCs/>
                <w:color w:val="auto"/>
                <w:sz w:val="21"/>
                <w:szCs w:val="21"/>
              </w:rPr>
            </w:pPr>
            <w:r>
              <w:rPr>
                <w:color w:val="auto"/>
                <w:sz w:val="21"/>
                <w:szCs w:val="21"/>
              </w:rPr>
              <w:t>生活垃圾</w:t>
            </w:r>
          </w:p>
        </w:tc>
        <w:tc>
          <w:tcPr>
            <w:tcW w:w="600" w:type="pct"/>
            <w:tcBorders>
              <w:tl2br w:val="nil"/>
              <w:tr2bl w:val="nil"/>
            </w:tcBorders>
            <w:noWrap w:val="0"/>
            <w:vAlign w:val="center"/>
          </w:tcPr>
          <w:p w14:paraId="4D14F858">
            <w:pPr>
              <w:pStyle w:val="498"/>
              <w:pageBreakBefore w:val="0"/>
              <w:wordWrap/>
              <w:bidi w:val="0"/>
              <w:adjustRightInd/>
              <w:snapToGrid/>
              <w:ind w:firstLine="0" w:firstLineChars="0"/>
              <w:jc w:val="center"/>
              <w:rPr>
                <w:bCs/>
                <w:color w:val="auto"/>
                <w:sz w:val="21"/>
                <w:szCs w:val="21"/>
              </w:rPr>
            </w:pPr>
            <w:r>
              <w:rPr>
                <w:color w:val="auto"/>
                <w:sz w:val="21"/>
                <w:szCs w:val="21"/>
              </w:rPr>
              <w:t>生活垃圾</w:t>
            </w:r>
          </w:p>
        </w:tc>
        <w:tc>
          <w:tcPr>
            <w:tcW w:w="432" w:type="pct"/>
            <w:tcBorders>
              <w:tl2br w:val="nil"/>
              <w:tr2bl w:val="nil"/>
            </w:tcBorders>
            <w:noWrap w:val="0"/>
            <w:vAlign w:val="center"/>
          </w:tcPr>
          <w:p w14:paraId="3F3F2756">
            <w:pPr>
              <w:pageBreakBefore w:val="0"/>
              <w:widowControl/>
              <w:wordWrap/>
              <w:bidi w:val="0"/>
              <w:adjustRightInd/>
              <w:snapToGrid/>
              <w:spacing w:line="240" w:lineRule="auto"/>
              <w:ind w:firstLine="0" w:firstLineChars="0"/>
              <w:jc w:val="center"/>
              <w:rPr>
                <w:bCs/>
                <w:color w:val="auto"/>
                <w:kern w:val="0"/>
                <w:sz w:val="21"/>
                <w:szCs w:val="21"/>
              </w:rPr>
            </w:pPr>
            <w:r>
              <w:rPr>
                <w:bCs/>
                <w:color w:val="auto"/>
                <w:sz w:val="21"/>
                <w:szCs w:val="21"/>
              </w:rPr>
              <w:t>类比法</w:t>
            </w:r>
          </w:p>
        </w:tc>
        <w:tc>
          <w:tcPr>
            <w:tcW w:w="558" w:type="pct"/>
            <w:tcBorders>
              <w:tl2br w:val="nil"/>
              <w:tr2bl w:val="nil"/>
            </w:tcBorders>
            <w:noWrap w:val="0"/>
            <w:vAlign w:val="center"/>
          </w:tcPr>
          <w:p w14:paraId="0ED34162">
            <w:pPr>
              <w:pStyle w:val="498"/>
              <w:pageBreakBefore w:val="0"/>
              <w:wordWrap/>
              <w:bidi w:val="0"/>
              <w:adjustRightInd/>
              <w:snapToGrid/>
              <w:ind w:firstLine="0" w:firstLineChars="0"/>
              <w:jc w:val="center"/>
              <w:rPr>
                <w:bCs/>
                <w:color w:val="auto"/>
                <w:sz w:val="21"/>
                <w:szCs w:val="21"/>
              </w:rPr>
            </w:pPr>
            <w:r>
              <w:rPr>
                <w:rFonts w:hint="eastAsia" w:cs="Times New Roman"/>
                <w:color w:val="auto"/>
                <w:kern w:val="2"/>
                <w:sz w:val="21"/>
                <w:szCs w:val="21"/>
                <w:lang w:val="en-US" w:eastAsia="zh-CN" w:bidi="ar-SA"/>
              </w:rPr>
              <w:t>3.285</w:t>
            </w:r>
          </w:p>
        </w:tc>
        <w:tc>
          <w:tcPr>
            <w:tcW w:w="1397" w:type="pct"/>
            <w:tcBorders>
              <w:tl2br w:val="nil"/>
              <w:tr2bl w:val="nil"/>
            </w:tcBorders>
            <w:noWrap w:val="0"/>
            <w:vAlign w:val="center"/>
          </w:tcPr>
          <w:p w14:paraId="5DBB6252">
            <w:pPr>
              <w:pStyle w:val="498"/>
              <w:pageBreakBefore w:val="0"/>
              <w:wordWrap/>
              <w:bidi w:val="0"/>
              <w:adjustRightInd/>
              <w:snapToGrid/>
              <w:ind w:firstLine="0" w:firstLineChars="0"/>
              <w:jc w:val="center"/>
              <w:rPr>
                <w:bCs/>
                <w:color w:val="auto"/>
                <w:sz w:val="21"/>
                <w:szCs w:val="21"/>
              </w:rPr>
            </w:pPr>
            <w:r>
              <w:rPr>
                <w:color w:val="auto"/>
                <w:sz w:val="21"/>
                <w:szCs w:val="21"/>
              </w:rPr>
              <w:t>环卫清运</w:t>
            </w:r>
          </w:p>
        </w:tc>
        <w:tc>
          <w:tcPr>
            <w:tcW w:w="512" w:type="pct"/>
            <w:tcBorders>
              <w:tl2br w:val="nil"/>
              <w:tr2bl w:val="nil"/>
            </w:tcBorders>
            <w:noWrap w:val="0"/>
            <w:vAlign w:val="center"/>
          </w:tcPr>
          <w:p w14:paraId="0850965D">
            <w:pPr>
              <w:pStyle w:val="498"/>
              <w:pageBreakBefore w:val="0"/>
              <w:wordWrap/>
              <w:bidi w:val="0"/>
              <w:adjustRightInd/>
              <w:snapToGrid/>
              <w:ind w:firstLine="0" w:firstLineChars="0"/>
              <w:jc w:val="center"/>
              <w:rPr>
                <w:bCs/>
                <w:color w:val="auto"/>
                <w:sz w:val="21"/>
                <w:szCs w:val="21"/>
              </w:rPr>
            </w:pPr>
            <w:r>
              <w:rPr>
                <w:rFonts w:hint="eastAsia" w:cs="Times New Roman"/>
                <w:color w:val="auto"/>
                <w:kern w:val="2"/>
                <w:sz w:val="21"/>
                <w:szCs w:val="21"/>
                <w:lang w:val="en-US" w:eastAsia="zh-CN" w:bidi="ar-SA"/>
              </w:rPr>
              <w:t>3.285</w:t>
            </w:r>
          </w:p>
        </w:tc>
        <w:tc>
          <w:tcPr>
            <w:tcW w:w="553" w:type="pct"/>
            <w:tcBorders>
              <w:tl2br w:val="nil"/>
              <w:tr2bl w:val="nil"/>
            </w:tcBorders>
            <w:noWrap w:val="0"/>
            <w:vAlign w:val="center"/>
          </w:tcPr>
          <w:p w14:paraId="2EDB23F0">
            <w:pPr>
              <w:pageBreakBefore w:val="0"/>
              <w:wordWrap/>
              <w:bidi w:val="0"/>
              <w:adjustRightInd/>
              <w:snapToGrid/>
              <w:spacing w:line="240" w:lineRule="auto"/>
              <w:ind w:firstLine="0" w:firstLineChars="0"/>
              <w:jc w:val="center"/>
              <w:rPr>
                <w:rFonts w:hint="eastAsia" w:eastAsia="宋体"/>
                <w:bCs/>
                <w:color w:val="auto"/>
                <w:sz w:val="21"/>
                <w:szCs w:val="21"/>
                <w:lang w:eastAsia="zh-CN"/>
              </w:rPr>
            </w:pPr>
            <w:r>
              <w:rPr>
                <w:rFonts w:hint="eastAsia"/>
                <w:bCs/>
                <w:color w:val="auto"/>
                <w:sz w:val="21"/>
                <w:szCs w:val="21"/>
                <w:lang w:val="en-US" w:eastAsia="zh-CN"/>
              </w:rPr>
              <w:t>填埋场</w:t>
            </w:r>
          </w:p>
        </w:tc>
      </w:tr>
      <w:tr w14:paraId="0C628E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tcBorders>
              <w:tl2br w:val="nil"/>
              <w:tr2bl w:val="nil"/>
            </w:tcBorders>
            <w:noWrap w:val="0"/>
            <w:vAlign w:val="center"/>
          </w:tcPr>
          <w:p w14:paraId="37BEBD57">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食堂</w:t>
            </w:r>
          </w:p>
        </w:tc>
        <w:tc>
          <w:tcPr>
            <w:tcW w:w="561" w:type="pct"/>
            <w:tcBorders>
              <w:tl2br w:val="nil"/>
              <w:tr2bl w:val="nil"/>
            </w:tcBorders>
            <w:noWrap w:val="0"/>
            <w:vAlign w:val="center"/>
          </w:tcPr>
          <w:p w14:paraId="7A7E9CCB">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食堂餐厨垃圾</w:t>
            </w:r>
          </w:p>
        </w:tc>
        <w:tc>
          <w:tcPr>
            <w:tcW w:w="600" w:type="pct"/>
            <w:tcBorders>
              <w:tl2br w:val="nil"/>
              <w:tr2bl w:val="nil"/>
            </w:tcBorders>
            <w:noWrap w:val="0"/>
            <w:vAlign w:val="center"/>
          </w:tcPr>
          <w:p w14:paraId="7C4C060E">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生活垃圾</w:t>
            </w:r>
          </w:p>
        </w:tc>
        <w:tc>
          <w:tcPr>
            <w:tcW w:w="432" w:type="pct"/>
            <w:tcBorders>
              <w:tl2br w:val="nil"/>
              <w:tr2bl w:val="nil"/>
            </w:tcBorders>
            <w:noWrap w:val="0"/>
            <w:vAlign w:val="center"/>
          </w:tcPr>
          <w:p w14:paraId="064D4442">
            <w:pPr>
              <w:pageBreakBefore w:val="0"/>
              <w:widowControl/>
              <w:wordWrap/>
              <w:bidi w:val="0"/>
              <w:adjustRightInd/>
              <w:snapToGrid/>
              <w:spacing w:line="240" w:lineRule="auto"/>
              <w:ind w:firstLine="0" w:firstLineChars="0"/>
              <w:jc w:val="center"/>
              <w:rPr>
                <w:bCs/>
                <w:color w:val="auto"/>
                <w:kern w:val="0"/>
                <w:sz w:val="21"/>
                <w:szCs w:val="21"/>
              </w:rPr>
            </w:pPr>
            <w:r>
              <w:rPr>
                <w:bCs/>
                <w:color w:val="auto"/>
                <w:sz w:val="21"/>
                <w:szCs w:val="21"/>
              </w:rPr>
              <w:t>类比法</w:t>
            </w:r>
          </w:p>
        </w:tc>
        <w:tc>
          <w:tcPr>
            <w:tcW w:w="558" w:type="pct"/>
            <w:tcBorders>
              <w:tl2br w:val="nil"/>
              <w:tr2bl w:val="nil"/>
            </w:tcBorders>
            <w:noWrap w:val="0"/>
            <w:vAlign w:val="center"/>
          </w:tcPr>
          <w:p w14:paraId="243E5B0D">
            <w:pPr>
              <w:pStyle w:val="498"/>
              <w:pageBreakBefore w:val="0"/>
              <w:wordWrap/>
              <w:bidi w:val="0"/>
              <w:adjustRightInd/>
              <w:snapToGrid/>
              <w:ind w:firstLine="0" w:firstLineChars="0"/>
              <w:jc w:val="center"/>
              <w:rPr>
                <w:bCs/>
                <w:color w:val="auto"/>
                <w:kern w:val="0"/>
                <w:sz w:val="21"/>
                <w:szCs w:val="21"/>
              </w:rPr>
            </w:pPr>
            <w:r>
              <w:rPr>
                <w:rFonts w:hint="eastAsia"/>
                <w:color w:val="auto"/>
                <w:sz w:val="21"/>
                <w:szCs w:val="21"/>
                <w:lang w:val="en-US" w:eastAsia="zh-CN"/>
              </w:rPr>
              <w:t>1.314</w:t>
            </w:r>
          </w:p>
        </w:tc>
        <w:tc>
          <w:tcPr>
            <w:tcW w:w="1397" w:type="pct"/>
            <w:tcBorders>
              <w:tl2br w:val="nil"/>
              <w:tr2bl w:val="nil"/>
            </w:tcBorders>
            <w:noWrap w:val="0"/>
            <w:vAlign w:val="center"/>
          </w:tcPr>
          <w:p w14:paraId="45C42021">
            <w:pPr>
              <w:pStyle w:val="498"/>
              <w:pageBreakBefore w:val="0"/>
              <w:wordWrap/>
              <w:bidi w:val="0"/>
              <w:adjustRightInd/>
              <w:snapToGrid/>
              <w:ind w:firstLine="0" w:firstLineChars="0"/>
              <w:jc w:val="center"/>
              <w:rPr>
                <w:bCs/>
                <w:color w:val="auto"/>
                <w:sz w:val="21"/>
                <w:szCs w:val="21"/>
              </w:rPr>
            </w:pPr>
            <w:r>
              <w:rPr>
                <w:rFonts w:hint="eastAsia"/>
                <w:color w:val="auto"/>
                <w:sz w:val="21"/>
                <w:szCs w:val="21"/>
              </w:rPr>
              <w:t>有相应处理能力的单位清运处置</w:t>
            </w:r>
          </w:p>
        </w:tc>
        <w:tc>
          <w:tcPr>
            <w:tcW w:w="512" w:type="pct"/>
            <w:tcBorders>
              <w:tl2br w:val="nil"/>
              <w:tr2bl w:val="nil"/>
            </w:tcBorders>
            <w:noWrap w:val="0"/>
            <w:vAlign w:val="center"/>
          </w:tcPr>
          <w:p w14:paraId="54884FB1">
            <w:pPr>
              <w:pStyle w:val="498"/>
              <w:pageBreakBefore w:val="0"/>
              <w:wordWrap/>
              <w:bidi w:val="0"/>
              <w:adjustRightInd/>
              <w:snapToGrid/>
              <w:ind w:firstLine="0" w:firstLineChars="0"/>
              <w:jc w:val="center"/>
              <w:rPr>
                <w:bCs/>
                <w:color w:val="auto"/>
                <w:kern w:val="0"/>
                <w:sz w:val="21"/>
                <w:szCs w:val="21"/>
              </w:rPr>
            </w:pPr>
            <w:r>
              <w:rPr>
                <w:rFonts w:hint="eastAsia"/>
                <w:color w:val="auto"/>
                <w:sz w:val="21"/>
                <w:szCs w:val="21"/>
                <w:lang w:val="en-US" w:eastAsia="zh-CN"/>
              </w:rPr>
              <w:t>1.314</w:t>
            </w:r>
          </w:p>
        </w:tc>
        <w:tc>
          <w:tcPr>
            <w:tcW w:w="553" w:type="pct"/>
            <w:tcBorders>
              <w:tl2br w:val="nil"/>
              <w:tr2bl w:val="nil"/>
            </w:tcBorders>
            <w:noWrap w:val="0"/>
            <w:vAlign w:val="center"/>
          </w:tcPr>
          <w:p w14:paraId="4234808D">
            <w:pPr>
              <w:pageBreakBefore w:val="0"/>
              <w:wordWrap/>
              <w:bidi w:val="0"/>
              <w:adjustRightInd/>
              <w:snapToGrid/>
              <w:spacing w:line="240" w:lineRule="auto"/>
              <w:ind w:firstLine="0" w:firstLineChars="0"/>
              <w:jc w:val="center"/>
              <w:rPr>
                <w:bCs/>
                <w:color w:val="auto"/>
                <w:sz w:val="21"/>
                <w:szCs w:val="21"/>
              </w:rPr>
            </w:pPr>
            <w:r>
              <w:rPr>
                <w:rFonts w:hint="eastAsia"/>
                <w:color w:val="auto"/>
                <w:sz w:val="21"/>
                <w:szCs w:val="21"/>
              </w:rPr>
              <w:t>有相应处理能力的单位</w:t>
            </w:r>
          </w:p>
        </w:tc>
      </w:tr>
      <w:tr w14:paraId="0F7710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tcBorders>
              <w:tl2br w:val="nil"/>
              <w:tr2bl w:val="nil"/>
            </w:tcBorders>
            <w:noWrap w:val="0"/>
            <w:vAlign w:val="center"/>
          </w:tcPr>
          <w:p w14:paraId="44FF2B08">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加药间等</w:t>
            </w:r>
          </w:p>
        </w:tc>
        <w:tc>
          <w:tcPr>
            <w:tcW w:w="561" w:type="pct"/>
            <w:tcBorders>
              <w:tl2br w:val="nil"/>
              <w:tr2bl w:val="nil"/>
            </w:tcBorders>
            <w:noWrap w:val="0"/>
            <w:vAlign w:val="center"/>
          </w:tcPr>
          <w:p w14:paraId="7E7E8F3E">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废包装材料</w:t>
            </w:r>
          </w:p>
        </w:tc>
        <w:tc>
          <w:tcPr>
            <w:tcW w:w="600" w:type="pct"/>
            <w:tcBorders>
              <w:tl2br w:val="nil"/>
              <w:tr2bl w:val="nil"/>
            </w:tcBorders>
            <w:noWrap w:val="0"/>
            <w:vAlign w:val="center"/>
          </w:tcPr>
          <w:p w14:paraId="1B32822C">
            <w:pPr>
              <w:pStyle w:val="498"/>
              <w:pageBreakBefore w:val="0"/>
              <w:wordWrap/>
              <w:bidi w:val="0"/>
              <w:adjustRightInd/>
              <w:snapToGrid/>
              <w:ind w:firstLine="0" w:firstLineChars="0"/>
              <w:jc w:val="center"/>
              <w:rPr>
                <w:bCs/>
                <w:color w:val="auto"/>
                <w:sz w:val="21"/>
                <w:szCs w:val="21"/>
              </w:rPr>
            </w:pPr>
            <w:r>
              <w:rPr>
                <w:color w:val="auto"/>
                <w:sz w:val="21"/>
                <w:szCs w:val="21"/>
              </w:rPr>
              <w:t>一般工业固废</w:t>
            </w:r>
          </w:p>
        </w:tc>
        <w:tc>
          <w:tcPr>
            <w:tcW w:w="432" w:type="pct"/>
            <w:tcBorders>
              <w:tl2br w:val="nil"/>
              <w:tr2bl w:val="nil"/>
            </w:tcBorders>
            <w:noWrap w:val="0"/>
            <w:vAlign w:val="center"/>
          </w:tcPr>
          <w:p w14:paraId="1D919811">
            <w:pPr>
              <w:pageBreakBefore w:val="0"/>
              <w:widowControl/>
              <w:wordWrap/>
              <w:bidi w:val="0"/>
              <w:adjustRightInd/>
              <w:snapToGrid/>
              <w:spacing w:line="240" w:lineRule="auto"/>
              <w:ind w:firstLine="0" w:firstLineChars="0"/>
              <w:jc w:val="center"/>
              <w:rPr>
                <w:bCs/>
                <w:color w:val="auto"/>
                <w:kern w:val="0"/>
                <w:sz w:val="21"/>
                <w:szCs w:val="21"/>
              </w:rPr>
            </w:pPr>
            <w:r>
              <w:rPr>
                <w:bCs/>
                <w:color w:val="auto"/>
                <w:sz w:val="21"/>
                <w:szCs w:val="21"/>
              </w:rPr>
              <w:t>类比法</w:t>
            </w:r>
          </w:p>
        </w:tc>
        <w:tc>
          <w:tcPr>
            <w:tcW w:w="558" w:type="pct"/>
            <w:tcBorders>
              <w:tl2br w:val="nil"/>
              <w:tr2bl w:val="nil"/>
            </w:tcBorders>
            <w:noWrap w:val="0"/>
            <w:vAlign w:val="center"/>
          </w:tcPr>
          <w:p w14:paraId="3034A81D">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0.5</w:t>
            </w:r>
          </w:p>
        </w:tc>
        <w:tc>
          <w:tcPr>
            <w:tcW w:w="1397" w:type="pct"/>
            <w:tcBorders>
              <w:tl2br w:val="nil"/>
              <w:tr2bl w:val="nil"/>
            </w:tcBorders>
            <w:noWrap w:val="0"/>
            <w:vAlign w:val="center"/>
          </w:tcPr>
          <w:p w14:paraId="632366FA">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外售废品回收站</w:t>
            </w:r>
          </w:p>
        </w:tc>
        <w:tc>
          <w:tcPr>
            <w:tcW w:w="512" w:type="pct"/>
            <w:tcBorders>
              <w:tl2br w:val="nil"/>
              <w:tr2bl w:val="nil"/>
            </w:tcBorders>
            <w:noWrap w:val="0"/>
            <w:vAlign w:val="center"/>
          </w:tcPr>
          <w:p w14:paraId="3DBB47FB">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0.5</w:t>
            </w:r>
          </w:p>
        </w:tc>
        <w:tc>
          <w:tcPr>
            <w:tcW w:w="553" w:type="pct"/>
            <w:tcBorders>
              <w:tl2br w:val="nil"/>
              <w:tr2bl w:val="nil"/>
            </w:tcBorders>
            <w:noWrap w:val="0"/>
            <w:vAlign w:val="center"/>
          </w:tcPr>
          <w:p w14:paraId="6C31CAD7">
            <w:pPr>
              <w:pageBreakBefore w:val="0"/>
              <w:wordWrap/>
              <w:bidi w:val="0"/>
              <w:adjustRightInd/>
              <w:snapToGrid/>
              <w:spacing w:line="240" w:lineRule="auto"/>
              <w:ind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废品回收站</w:t>
            </w:r>
          </w:p>
        </w:tc>
      </w:tr>
      <w:tr w14:paraId="65840F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tcBorders>
              <w:tl2br w:val="nil"/>
              <w:tr2bl w:val="nil"/>
            </w:tcBorders>
            <w:noWrap w:val="0"/>
            <w:vAlign w:val="center"/>
          </w:tcPr>
          <w:p w14:paraId="6D0E1292">
            <w:pPr>
              <w:pStyle w:val="498"/>
              <w:pageBreakBefore w:val="0"/>
              <w:wordWrap/>
              <w:bidi w:val="0"/>
              <w:adjustRightInd/>
              <w:snapToGrid/>
              <w:ind w:firstLine="0" w:firstLineChars="0"/>
              <w:jc w:val="center"/>
              <w:rPr>
                <w:bCs/>
                <w:color w:val="auto"/>
                <w:sz w:val="21"/>
                <w:szCs w:val="21"/>
              </w:rPr>
            </w:pPr>
            <w:r>
              <w:rPr>
                <w:color w:val="auto"/>
                <w:sz w:val="21"/>
                <w:szCs w:val="21"/>
              </w:rPr>
              <w:t>格栅</w:t>
            </w:r>
          </w:p>
        </w:tc>
        <w:tc>
          <w:tcPr>
            <w:tcW w:w="561" w:type="pct"/>
            <w:tcBorders>
              <w:tl2br w:val="nil"/>
              <w:tr2bl w:val="nil"/>
            </w:tcBorders>
            <w:noWrap w:val="0"/>
            <w:vAlign w:val="center"/>
          </w:tcPr>
          <w:p w14:paraId="400ADA8A">
            <w:pPr>
              <w:pStyle w:val="498"/>
              <w:pageBreakBefore w:val="0"/>
              <w:wordWrap/>
              <w:bidi w:val="0"/>
              <w:adjustRightInd/>
              <w:snapToGrid/>
              <w:ind w:firstLine="0" w:firstLineChars="0"/>
              <w:jc w:val="center"/>
              <w:rPr>
                <w:bCs/>
                <w:color w:val="auto"/>
                <w:sz w:val="21"/>
                <w:szCs w:val="21"/>
              </w:rPr>
            </w:pPr>
            <w:r>
              <w:rPr>
                <w:color w:val="auto"/>
                <w:sz w:val="21"/>
                <w:szCs w:val="21"/>
              </w:rPr>
              <w:t>栅渣</w:t>
            </w:r>
          </w:p>
        </w:tc>
        <w:tc>
          <w:tcPr>
            <w:tcW w:w="600" w:type="pct"/>
            <w:tcBorders>
              <w:tl2br w:val="nil"/>
              <w:tr2bl w:val="nil"/>
            </w:tcBorders>
            <w:noWrap w:val="0"/>
            <w:vAlign w:val="center"/>
          </w:tcPr>
          <w:p w14:paraId="3261008B">
            <w:pPr>
              <w:pStyle w:val="498"/>
              <w:pageBreakBefore w:val="0"/>
              <w:wordWrap/>
              <w:bidi w:val="0"/>
              <w:adjustRightInd/>
              <w:snapToGrid/>
              <w:ind w:firstLine="0" w:firstLineChars="0"/>
              <w:jc w:val="center"/>
              <w:rPr>
                <w:bCs/>
                <w:color w:val="auto"/>
                <w:sz w:val="21"/>
                <w:szCs w:val="21"/>
              </w:rPr>
            </w:pPr>
            <w:r>
              <w:rPr>
                <w:color w:val="auto"/>
                <w:sz w:val="21"/>
                <w:szCs w:val="21"/>
              </w:rPr>
              <w:t>一般工业固废</w:t>
            </w:r>
          </w:p>
        </w:tc>
        <w:tc>
          <w:tcPr>
            <w:tcW w:w="432" w:type="pct"/>
            <w:tcBorders>
              <w:tl2br w:val="nil"/>
              <w:tr2bl w:val="nil"/>
            </w:tcBorders>
            <w:noWrap w:val="0"/>
            <w:vAlign w:val="center"/>
          </w:tcPr>
          <w:p w14:paraId="7B27E15A">
            <w:pPr>
              <w:pageBreakBefore w:val="0"/>
              <w:widowControl/>
              <w:wordWrap/>
              <w:bidi w:val="0"/>
              <w:adjustRightInd/>
              <w:snapToGrid/>
              <w:spacing w:line="240" w:lineRule="auto"/>
              <w:ind w:firstLine="0" w:firstLineChars="0"/>
              <w:jc w:val="center"/>
              <w:rPr>
                <w:bCs/>
                <w:color w:val="auto"/>
                <w:kern w:val="0"/>
                <w:sz w:val="21"/>
                <w:szCs w:val="21"/>
              </w:rPr>
            </w:pPr>
            <w:r>
              <w:rPr>
                <w:bCs/>
                <w:color w:val="auto"/>
                <w:sz w:val="21"/>
                <w:szCs w:val="21"/>
              </w:rPr>
              <w:t>类比法</w:t>
            </w:r>
          </w:p>
        </w:tc>
        <w:tc>
          <w:tcPr>
            <w:tcW w:w="558" w:type="pct"/>
            <w:tcBorders>
              <w:tl2br w:val="nil"/>
              <w:tr2bl w:val="nil"/>
            </w:tcBorders>
            <w:noWrap w:val="0"/>
            <w:vAlign w:val="center"/>
          </w:tcPr>
          <w:p w14:paraId="169D2E63">
            <w:pPr>
              <w:pStyle w:val="498"/>
              <w:pageBreakBefore w:val="0"/>
              <w:wordWrap/>
              <w:bidi w:val="0"/>
              <w:adjustRightInd/>
              <w:snapToGrid/>
              <w:ind w:firstLine="0" w:firstLineChars="0"/>
              <w:jc w:val="center"/>
              <w:rPr>
                <w:bCs/>
                <w:color w:val="auto"/>
                <w:sz w:val="21"/>
                <w:szCs w:val="21"/>
              </w:rPr>
            </w:pPr>
            <w:r>
              <w:rPr>
                <w:rFonts w:hint="eastAsia" w:cs="Times New Roman"/>
                <w:color w:val="auto"/>
                <w:kern w:val="2"/>
                <w:sz w:val="21"/>
                <w:szCs w:val="21"/>
                <w:lang w:val="en-US" w:eastAsia="zh-CN" w:bidi="ar-SA"/>
              </w:rPr>
              <w:t>31.536</w:t>
            </w:r>
          </w:p>
        </w:tc>
        <w:tc>
          <w:tcPr>
            <w:tcW w:w="1397" w:type="pct"/>
            <w:tcBorders>
              <w:tl2br w:val="nil"/>
              <w:tr2bl w:val="nil"/>
            </w:tcBorders>
            <w:noWrap w:val="0"/>
            <w:vAlign w:val="center"/>
          </w:tcPr>
          <w:p w14:paraId="745B3EF7">
            <w:pPr>
              <w:pStyle w:val="498"/>
              <w:pageBreakBefore w:val="0"/>
              <w:wordWrap/>
              <w:bidi w:val="0"/>
              <w:adjustRightInd/>
              <w:snapToGrid/>
              <w:ind w:firstLine="0" w:firstLineChars="0"/>
              <w:jc w:val="center"/>
              <w:rPr>
                <w:bCs/>
                <w:color w:val="auto"/>
                <w:sz w:val="21"/>
                <w:szCs w:val="21"/>
              </w:rPr>
            </w:pPr>
            <w:r>
              <w:rPr>
                <w:color w:val="auto"/>
                <w:sz w:val="21"/>
                <w:szCs w:val="21"/>
              </w:rPr>
              <w:t>环卫部门清运</w:t>
            </w:r>
          </w:p>
        </w:tc>
        <w:tc>
          <w:tcPr>
            <w:tcW w:w="512" w:type="pct"/>
            <w:tcBorders>
              <w:tl2br w:val="nil"/>
              <w:tr2bl w:val="nil"/>
            </w:tcBorders>
            <w:noWrap w:val="0"/>
            <w:vAlign w:val="center"/>
          </w:tcPr>
          <w:p w14:paraId="69D7B128">
            <w:pPr>
              <w:pStyle w:val="498"/>
              <w:pageBreakBefore w:val="0"/>
              <w:wordWrap/>
              <w:bidi w:val="0"/>
              <w:adjustRightInd/>
              <w:snapToGrid/>
              <w:ind w:firstLine="0" w:firstLineChars="0"/>
              <w:jc w:val="center"/>
              <w:rPr>
                <w:bCs/>
                <w:color w:val="auto"/>
                <w:sz w:val="21"/>
                <w:szCs w:val="21"/>
              </w:rPr>
            </w:pPr>
            <w:r>
              <w:rPr>
                <w:rFonts w:hint="eastAsia" w:cs="Times New Roman"/>
                <w:color w:val="auto"/>
                <w:kern w:val="2"/>
                <w:sz w:val="21"/>
                <w:szCs w:val="21"/>
                <w:lang w:val="en-US" w:eastAsia="zh-CN" w:bidi="ar-SA"/>
              </w:rPr>
              <w:t>31.536</w:t>
            </w:r>
          </w:p>
        </w:tc>
        <w:tc>
          <w:tcPr>
            <w:tcW w:w="553" w:type="pct"/>
            <w:tcBorders>
              <w:tl2br w:val="nil"/>
              <w:tr2bl w:val="nil"/>
            </w:tcBorders>
            <w:noWrap w:val="0"/>
            <w:vAlign w:val="center"/>
          </w:tcPr>
          <w:p w14:paraId="601260D6">
            <w:pPr>
              <w:pageBreakBefore w:val="0"/>
              <w:wordWrap/>
              <w:bidi w:val="0"/>
              <w:adjustRightInd/>
              <w:snapToGrid/>
              <w:spacing w:line="240" w:lineRule="auto"/>
              <w:ind w:firstLine="0" w:firstLineChars="0"/>
              <w:jc w:val="center"/>
              <w:rPr>
                <w:rFonts w:hint="eastAsia" w:eastAsia="宋体"/>
                <w:bCs/>
                <w:color w:val="auto"/>
                <w:sz w:val="21"/>
                <w:szCs w:val="21"/>
                <w:lang w:eastAsia="zh-CN"/>
              </w:rPr>
            </w:pPr>
            <w:r>
              <w:rPr>
                <w:rFonts w:hint="eastAsia"/>
                <w:bCs/>
                <w:color w:val="auto"/>
                <w:sz w:val="21"/>
                <w:szCs w:val="21"/>
                <w:lang w:val="en-US" w:eastAsia="zh-CN"/>
              </w:rPr>
              <w:t>填埋场</w:t>
            </w:r>
          </w:p>
        </w:tc>
      </w:tr>
      <w:tr w14:paraId="25C6EC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tcBorders>
              <w:tl2br w:val="nil"/>
              <w:tr2bl w:val="nil"/>
            </w:tcBorders>
            <w:noWrap w:val="0"/>
            <w:vAlign w:val="center"/>
          </w:tcPr>
          <w:p w14:paraId="54E2C8EE">
            <w:pPr>
              <w:pStyle w:val="498"/>
              <w:pageBreakBefore w:val="0"/>
              <w:wordWrap/>
              <w:bidi w:val="0"/>
              <w:adjustRightInd/>
              <w:snapToGrid/>
              <w:ind w:firstLine="0" w:firstLineChars="0"/>
              <w:jc w:val="center"/>
              <w:rPr>
                <w:bCs/>
                <w:color w:val="auto"/>
                <w:sz w:val="21"/>
                <w:szCs w:val="21"/>
              </w:rPr>
            </w:pPr>
            <w:r>
              <w:rPr>
                <w:color w:val="auto"/>
                <w:sz w:val="21"/>
                <w:szCs w:val="21"/>
              </w:rPr>
              <w:t>水解酸化池、</w:t>
            </w:r>
            <w:r>
              <w:rPr>
                <w:rFonts w:hint="eastAsia"/>
                <w:color w:val="auto"/>
                <w:sz w:val="21"/>
                <w:szCs w:val="21"/>
                <w:lang w:val="en-US" w:eastAsia="zh-CN"/>
              </w:rPr>
              <w:t>生化池、</w:t>
            </w:r>
            <w:r>
              <w:rPr>
                <w:color w:val="auto"/>
                <w:sz w:val="21"/>
                <w:szCs w:val="21"/>
              </w:rPr>
              <w:t>二沉池、</w:t>
            </w:r>
            <w:r>
              <w:rPr>
                <w:rFonts w:hint="eastAsia"/>
                <w:color w:val="auto"/>
                <w:sz w:val="21"/>
                <w:szCs w:val="21"/>
                <w:lang w:val="en-US" w:eastAsia="zh-CN"/>
              </w:rPr>
              <w:t>磁混凝</w:t>
            </w:r>
            <w:r>
              <w:rPr>
                <w:color w:val="auto"/>
                <w:sz w:val="21"/>
                <w:szCs w:val="21"/>
              </w:rPr>
              <w:t>沉淀池</w:t>
            </w:r>
          </w:p>
        </w:tc>
        <w:tc>
          <w:tcPr>
            <w:tcW w:w="561" w:type="pct"/>
            <w:tcBorders>
              <w:tl2br w:val="nil"/>
              <w:tr2bl w:val="nil"/>
            </w:tcBorders>
            <w:noWrap w:val="0"/>
            <w:vAlign w:val="center"/>
          </w:tcPr>
          <w:p w14:paraId="47432B7E">
            <w:pPr>
              <w:pStyle w:val="498"/>
              <w:pageBreakBefore w:val="0"/>
              <w:wordWrap/>
              <w:bidi w:val="0"/>
              <w:adjustRightInd/>
              <w:snapToGrid/>
              <w:ind w:firstLine="0" w:firstLineChars="0"/>
              <w:jc w:val="center"/>
              <w:rPr>
                <w:bCs/>
                <w:color w:val="auto"/>
                <w:sz w:val="21"/>
                <w:szCs w:val="21"/>
              </w:rPr>
            </w:pPr>
            <w:r>
              <w:rPr>
                <w:color w:val="auto"/>
                <w:sz w:val="21"/>
                <w:szCs w:val="21"/>
              </w:rPr>
              <w:t>污泥</w:t>
            </w:r>
          </w:p>
        </w:tc>
        <w:tc>
          <w:tcPr>
            <w:tcW w:w="600" w:type="pct"/>
            <w:tcBorders>
              <w:tl2br w:val="nil"/>
              <w:tr2bl w:val="nil"/>
            </w:tcBorders>
            <w:noWrap w:val="0"/>
            <w:vAlign w:val="center"/>
          </w:tcPr>
          <w:p w14:paraId="798A31BF">
            <w:pPr>
              <w:pStyle w:val="498"/>
              <w:pageBreakBefore w:val="0"/>
              <w:wordWrap/>
              <w:bidi w:val="0"/>
              <w:adjustRightInd/>
              <w:snapToGrid/>
              <w:ind w:firstLine="0" w:firstLineChars="0"/>
              <w:jc w:val="center"/>
              <w:rPr>
                <w:bCs/>
                <w:color w:val="auto"/>
                <w:sz w:val="21"/>
                <w:szCs w:val="21"/>
              </w:rPr>
            </w:pPr>
            <w:r>
              <w:rPr>
                <w:color w:val="auto"/>
                <w:sz w:val="21"/>
                <w:szCs w:val="21"/>
              </w:rPr>
              <w:t>根据鉴定结果判别</w:t>
            </w:r>
          </w:p>
        </w:tc>
        <w:tc>
          <w:tcPr>
            <w:tcW w:w="432" w:type="pct"/>
            <w:tcBorders>
              <w:tl2br w:val="nil"/>
              <w:tr2bl w:val="nil"/>
            </w:tcBorders>
            <w:noWrap w:val="0"/>
            <w:vAlign w:val="center"/>
          </w:tcPr>
          <w:p w14:paraId="740135C8">
            <w:pPr>
              <w:pageBreakBefore w:val="0"/>
              <w:widowControl/>
              <w:wordWrap/>
              <w:bidi w:val="0"/>
              <w:adjustRightInd/>
              <w:snapToGrid/>
              <w:spacing w:line="240" w:lineRule="auto"/>
              <w:ind w:firstLine="0" w:firstLineChars="0"/>
              <w:jc w:val="center"/>
              <w:rPr>
                <w:bCs/>
                <w:color w:val="auto"/>
                <w:kern w:val="0"/>
                <w:sz w:val="21"/>
                <w:szCs w:val="21"/>
              </w:rPr>
            </w:pPr>
            <w:r>
              <w:rPr>
                <w:bCs/>
                <w:color w:val="auto"/>
                <w:kern w:val="0"/>
                <w:sz w:val="21"/>
                <w:szCs w:val="21"/>
              </w:rPr>
              <w:t>类比法</w:t>
            </w:r>
          </w:p>
        </w:tc>
        <w:tc>
          <w:tcPr>
            <w:tcW w:w="558" w:type="pct"/>
            <w:tcBorders>
              <w:tl2br w:val="nil"/>
              <w:tr2bl w:val="nil"/>
            </w:tcBorders>
            <w:noWrap w:val="0"/>
            <w:vAlign w:val="center"/>
          </w:tcPr>
          <w:p w14:paraId="5F22952F">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152.7</w:t>
            </w:r>
          </w:p>
        </w:tc>
        <w:tc>
          <w:tcPr>
            <w:tcW w:w="1397" w:type="pct"/>
            <w:tcBorders>
              <w:tl2br w:val="nil"/>
              <w:tr2bl w:val="nil"/>
            </w:tcBorders>
            <w:noWrap w:val="0"/>
            <w:vAlign w:val="center"/>
          </w:tcPr>
          <w:p w14:paraId="38C4DFFC">
            <w:pPr>
              <w:pageBreakBefore w:val="0"/>
              <w:widowControl/>
              <w:wordWrap/>
              <w:bidi w:val="0"/>
              <w:adjustRightInd/>
              <w:snapToGrid/>
              <w:spacing w:line="240" w:lineRule="auto"/>
              <w:ind w:firstLine="0" w:firstLineChars="0"/>
              <w:jc w:val="left"/>
              <w:rPr>
                <w:color w:val="auto"/>
                <w:sz w:val="21"/>
                <w:szCs w:val="21"/>
              </w:rPr>
            </w:pPr>
            <w:r>
              <w:rPr>
                <w:color w:val="auto"/>
                <w:kern w:val="0"/>
                <w:sz w:val="21"/>
                <w:szCs w:val="21"/>
                <w:lang w:bidi="ar"/>
              </w:rPr>
              <w:t xml:space="preserve">根据鉴定结果，确定最终处置方式。 </w:t>
            </w:r>
          </w:p>
          <w:p w14:paraId="527515FE">
            <w:pPr>
              <w:pageBreakBefore w:val="0"/>
              <w:widowControl/>
              <w:wordWrap/>
              <w:bidi w:val="0"/>
              <w:adjustRightInd/>
              <w:snapToGrid/>
              <w:spacing w:line="240" w:lineRule="auto"/>
              <w:ind w:firstLine="0" w:firstLineChars="0"/>
              <w:jc w:val="left"/>
              <w:rPr>
                <w:color w:val="auto"/>
                <w:kern w:val="0"/>
                <w:sz w:val="21"/>
                <w:szCs w:val="21"/>
                <w:lang w:bidi="ar"/>
              </w:rPr>
            </w:pPr>
            <w:r>
              <w:rPr>
                <w:color w:val="auto"/>
                <w:kern w:val="0"/>
                <w:sz w:val="21"/>
                <w:szCs w:val="21"/>
                <w:lang w:bidi="ar"/>
              </w:rPr>
              <w:t>若属危废→危废处置单位；</w:t>
            </w:r>
          </w:p>
          <w:p w14:paraId="4F0548CB">
            <w:pPr>
              <w:pageBreakBefore w:val="0"/>
              <w:widowControl/>
              <w:wordWrap/>
              <w:bidi w:val="0"/>
              <w:adjustRightInd/>
              <w:snapToGrid/>
              <w:spacing w:line="240" w:lineRule="auto"/>
              <w:ind w:firstLine="0" w:firstLineChars="0"/>
              <w:jc w:val="left"/>
              <w:rPr>
                <w:rFonts w:hint="eastAsia" w:eastAsia="宋体"/>
                <w:bCs/>
                <w:color w:val="auto"/>
                <w:sz w:val="21"/>
                <w:szCs w:val="21"/>
                <w:lang w:eastAsia="zh-CN"/>
              </w:rPr>
            </w:pPr>
            <w:r>
              <w:rPr>
                <w:color w:val="auto"/>
                <w:kern w:val="0"/>
                <w:sz w:val="21"/>
                <w:szCs w:val="21"/>
                <w:lang w:bidi="ar"/>
              </w:rPr>
              <w:t>若不属危废→</w:t>
            </w:r>
            <w:r>
              <w:rPr>
                <w:rFonts w:hint="eastAsia"/>
                <w:color w:val="auto"/>
                <w:kern w:val="0"/>
                <w:sz w:val="21"/>
                <w:szCs w:val="21"/>
                <w:lang w:bidi="ar"/>
              </w:rPr>
              <w:t>外运至填埋场处置或</w:t>
            </w:r>
            <w:r>
              <w:rPr>
                <w:rFonts w:hint="eastAsia"/>
                <w:color w:val="auto"/>
                <w:kern w:val="0"/>
                <w:sz w:val="21"/>
                <w:szCs w:val="21"/>
                <w:lang w:eastAsia="zh-CN" w:bidi="ar"/>
              </w:rPr>
              <w:t>制砖厂烧砖</w:t>
            </w:r>
          </w:p>
        </w:tc>
        <w:tc>
          <w:tcPr>
            <w:tcW w:w="512" w:type="pct"/>
            <w:tcBorders>
              <w:tl2br w:val="nil"/>
              <w:tr2bl w:val="nil"/>
            </w:tcBorders>
            <w:noWrap w:val="0"/>
            <w:vAlign w:val="center"/>
          </w:tcPr>
          <w:p w14:paraId="7E072F02">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152.7</w:t>
            </w:r>
          </w:p>
        </w:tc>
        <w:tc>
          <w:tcPr>
            <w:tcW w:w="553" w:type="pct"/>
            <w:tcBorders>
              <w:tl2br w:val="nil"/>
              <w:tr2bl w:val="nil"/>
            </w:tcBorders>
            <w:noWrap w:val="0"/>
            <w:vAlign w:val="center"/>
          </w:tcPr>
          <w:p w14:paraId="3047FE9C">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根据鉴定结果确定</w:t>
            </w:r>
          </w:p>
        </w:tc>
      </w:tr>
      <w:tr w14:paraId="68AF4F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tcBorders>
              <w:tl2br w:val="nil"/>
              <w:tr2bl w:val="nil"/>
            </w:tcBorders>
            <w:noWrap w:val="0"/>
            <w:vAlign w:val="center"/>
          </w:tcPr>
          <w:p w14:paraId="7B318587">
            <w:pPr>
              <w:pStyle w:val="498"/>
              <w:pageBreakBefore w:val="0"/>
              <w:wordWrap/>
              <w:bidi w:val="0"/>
              <w:adjustRightInd/>
              <w:snapToGrid/>
              <w:ind w:firstLine="0" w:firstLineChars="0"/>
              <w:jc w:val="center"/>
              <w:rPr>
                <w:bCs/>
                <w:color w:val="auto"/>
                <w:sz w:val="21"/>
                <w:szCs w:val="21"/>
              </w:rPr>
            </w:pPr>
            <w:r>
              <w:rPr>
                <w:color w:val="auto"/>
                <w:sz w:val="21"/>
                <w:szCs w:val="21"/>
              </w:rPr>
              <w:t>生物除臭系统</w:t>
            </w:r>
          </w:p>
        </w:tc>
        <w:tc>
          <w:tcPr>
            <w:tcW w:w="561" w:type="pct"/>
            <w:tcBorders>
              <w:tl2br w:val="nil"/>
              <w:tr2bl w:val="nil"/>
            </w:tcBorders>
            <w:noWrap w:val="0"/>
            <w:vAlign w:val="center"/>
          </w:tcPr>
          <w:p w14:paraId="28910838">
            <w:pPr>
              <w:pStyle w:val="498"/>
              <w:pageBreakBefore w:val="0"/>
              <w:wordWrap/>
              <w:bidi w:val="0"/>
              <w:adjustRightInd/>
              <w:snapToGrid/>
              <w:ind w:firstLine="0" w:firstLineChars="0"/>
              <w:jc w:val="center"/>
              <w:rPr>
                <w:bCs/>
                <w:color w:val="auto"/>
                <w:sz w:val="21"/>
                <w:szCs w:val="21"/>
              </w:rPr>
            </w:pPr>
            <w:r>
              <w:rPr>
                <w:color w:val="auto"/>
                <w:sz w:val="21"/>
                <w:szCs w:val="21"/>
              </w:rPr>
              <w:t>生物除臭系统废弃填料</w:t>
            </w:r>
          </w:p>
        </w:tc>
        <w:tc>
          <w:tcPr>
            <w:tcW w:w="600" w:type="pct"/>
            <w:tcBorders>
              <w:tl2br w:val="nil"/>
              <w:tr2bl w:val="nil"/>
            </w:tcBorders>
            <w:noWrap w:val="0"/>
            <w:vAlign w:val="center"/>
          </w:tcPr>
          <w:p w14:paraId="5DF5440A">
            <w:pPr>
              <w:pStyle w:val="498"/>
              <w:pageBreakBefore w:val="0"/>
              <w:wordWrap/>
              <w:bidi w:val="0"/>
              <w:adjustRightInd/>
              <w:snapToGrid/>
              <w:ind w:firstLine="0" w:firstLineChars="0"/>
              <w:jc w:val="center"/>
              <w:rPr>
                <w:bCs/>
                <w:color w:val="auto"/>
                <w:sz w:val="21"/>
                <w:szCs w:val="21"/>
              </w:rPr>
            </w:pPr>
            <w:r>
              <w:rPr>
                <w:color w:val="auto"/>
                <w:sz w:val="21"/>
                <w:szCs w:val="21"/>
              </w:rPr>
              <w:t>一般工业固废</w:t>
            </w:r>
          </w:p>
        </w:tc>
        <w:tc>
          <w:tcPr>
            <w:tcW w:w="432" w:type="pct"/>
            <w:tcBorders>
              <w:tl2br w:val="nil"/>
              <w:tr2bl w:val="nil"/>
            </w:tcBorders>
            <w:noWrap w:val="0"/>
            <w:vAlign w:val="center"/>
          </w:tcPr>
          <w:p w14:paraId="24CD16C8">
            <w:pPr>
              <w:pageBreakBefore w:val="0"/>
              <w:widowControl/>
              <w:wordWrap/>
              <w:bidi w:val="0"/>
              <w:adjustRightInd/>
              <w:snapToGrid/>
              <w:spacing w:line="240" w:lineRule="auto"/>
              <w:ind w:firstLine="0" w:firstLineChars="0"/>
              <w:jc w:val="center"/>
              <w:rPr>
                <w:bCs/>
                <w:color w:val="auto"/>
                <w:kern w:val="0"/>
                <w:sz w:val="21"/>
                <w:szCs w:val="21"/>
              </w:rPr>
            </w:pPr>
            <w:r>
              <w:rPr>
                <w:bCs/>
                <w:color w:val="auto"/>
                <w:kern w:val="0"/>
                <w:sz w:val="21"/>
                <w:szCs w:val="21"/>
              </w:rPr>
              <w:t>类比法</w:t>
            </w:r>
          </w:p>
        </w:tc>
        <w:tc>
          <w:tcPr>
            <w:tcW w:w="558" w:type="pct"/>
            <w:tcBorders>
              <w:tl2br w:val="nil"/>
              <w:tr2bl w:val="nil"/>
            </w:tcBorders>
            <w:noWrap w:val="0"/>
            <w:vAlign w:val="center"/>
          </w:tcPr>
          <w:p w14:paraId="666239C5">
            <w:pPr>
              <w:pStyle w:val="498"/>
              <w:pageBreakBefore w:val="0"/>
              <w:wordWrap/>
              <w:bidi w:val="0"/>
              <w:adjustRightInd/>
              <w:snapToGrid/>
              <w:ind w:firstLine="0" w:firstLineChars="0"/>
              <w:jc w:val="center"/>
              <w:rPr>
                <w:bCs/>
                <w:color w:val="auto"/>
                <w:sz w:val="21"/>
                <w:szCs w:val="21"/>
              </w:rPr>
            </w:pPr>
            <w:r>
              <w:rPr>
                <w:color w:val="auto"/>
                <w:sz w:val="21"/>
                <w:szCs w:val="21"/>
              </w:rPr>
              <w:t>4.6</w:t>
            </w:r>
          </w:p>
        </w:tc>
        <w:tc>
          <w:tcPr>
            <w:tcW w:w="1397" w:type="pct"/>
            <w:tcBorders>
              <w:tl2br w:val="nil"/>
              <w:tr2bl w:val="nil"/>
            </w:tcBorders>
            <w:noWrap w:val="0"/>
            <w:vAlign w:val="center"/>
          </w:tcPr>
          <w:p w14:paraId="6718C0B8">
            <w:pPr>
              <w:pStyle w:val="498"/>
              <w:pageBreakBefore w:val="0"/>
              <w:wordWrap/>
              <w:bidi w:val="0"/>
              <w:adjustRightInd/>
              <w:snapToGrid/>
              <w:ind w:firstLine="0" w:firstLineChars="0"/>
              <w:jc w:val="center"/>
              <w:rPr>
                <w:bCs/>
                <w:color w:val="auto"/>
                <w:kern w:val="0"/>
                <w:sz w:val="21"/>
                <w:szCs w:val="21"/>
                <w:lang w:bidi="ar"/>
              </w:rPr>
            </w:pPr>
            <w:r>
              <w:rPr>
                <w:color w:val="auto"/>
                <w:sz w:val="21"/>
                <w:szCs w:val="21"/>
              </w:rPr>
              <w:t>厂家回收</w:t>
            </w:r>
          </w:p>
        </w:tc>
        <w:tc>
          <w:tcPr>
            <w:tcW w:w="512" w:type="pct"/>
            <w:tcBorders>
              <w:tl2br w:val="nil"/>
              <w:tr2bl w:val="nil"/>
            </w:tcBorders>
            <w:noWrap w:val="0"/>
            <w:vAlign w:val="center"/>
          </w:tcPr>
          <w:p w14:paraId="3C1FA004">
            <w:pPr>
              <w:pStyle w:val="498"/>
              <w:pageBreakBefore w:val="0"/>
              <w:wordWrap/>
              <w:bidi w:val="0"/>
              <w:adjustRightInd/>
              <w:snapToGrid/>
              <w:ind w:firstLine="0" w:firstLineChars="0"/>
              <w:jc w:val="center"/>
              <w:rPr>
                <w:bCs/>
                <w:color w:val="auto"/>
                <w:sz w:val="21"/>
                <w:szCs w:val="21"/>
              </w:rPr>
            </w:pPr>
            <w:r>
              <w:rPr>
                <w:color w:val="auto"/>
                <w:sz w:val="21"/>
                <w:szCs w:val="21"/>
              </w:rPr>
              <w:t>4.6</w:t>
            </w:r>
          </w:p>
        </w:tc>
        <w:tc>
          <w:tcPr>
            <w:tcW w:w="553" w:type="pct"/>
            <w:tcBorders>
              <w:tl2br w:val="nil"/>
              <w:tr2bl w:val="nil"/>
            </w:tcBorders>
            <w:noWrap w:val="0"/>
            <w:vAlign w:val="center"/>
          </w:tcPr>
          <w:p w14:paraId="29DA27E2">
            <w:pPr>
              <w:pageBreakBefore w:val="0"/>
              <w:wordWrap/>
              <w:bidi w:val="0"/>
              <w:adjustRightInd/>
              <w:snapToGrid/>
              <w:spacing w:line="240" w:lineRule="auto"/>
              <w:ind w:firstLine="0" w:firstLineChars="0"/>
              <w:jc w:val="center"/>
              <w:rPr>
                <w:rFonts w:hint="eastAsia" w:eastAsia="宋体"/>
                <w:bCs/>
                <w:color w:val="auto"/>
                <w:sz w:val="21"/>
                <w:szCs w:val="21"/>
                <w:lang w:eastAsia="zh-CN"/>
              </w:rPr>
            </w:pPr>
            <w:r>
              <w:rPr>
                <w:rFonts w:hint="eastAsia"/>
                <w:bCs/>
                <w:color w:val="auto"/>
                <w:sz w:val="21"/>
                <w:szCs w:val="21"/>
                <w:lang w:val="en-US" w:eastAsia="zh-CN"/>
              </w:rPr>
              <w:t>设备厂家</w:t>
            </w:r>
          </w:p>
        </w:tc>
      </w:tr>
      <w:tr w14:paraId="155034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vMerge w:val="restart"/>
            <w:tcBorders>
              <w:tl2br w:val="nil"/>
              <w:tr2bl w:val="nil"/>
            </w:tcBorders>
            <w:noWrap w:val="0"/>
            <w:vAlign w:val="center"/>
          </w:tcPr>
          <w:p w14:paraId="28EB73BB">
            <w:pPr>
              <w:pStyle w:val="498"/>
              <w:pageBreakBefore w:val="0"/>
              <w:wordWrap/>
              <w:bidi w:val="0"/>
              <w:adjustRightInd/>
              <w:snapToGrid/>
              <w:ind w:firstLine="0" w:firstLineChars="0"/>
              <w:jc w:val="center"/>
              <w:rPr>
                <w:bCs/>
                <w:color w:val="auto"/>
                <w:sz w:val="21"/>
                <w:szCs w:val="21"/>
              </w:rPr>
            </w:pPr>
            <w:r>
              <w:rPr>
                <w:color w:val="auto"/>
                <w:sz w:val="21"/>
                <w:szCs w:val="21"/>
              </w:rPr>
              <w:t>设备维护</w:t>
            </w:r>
          </w:p>
        </w:tc>
        <w:tc>
          <w:tcPr>
            <w:tcW w:w="561" w:type="pct"/>
            <w:tcBorders>
              <w:tl2br w:val="nil"/>
              <w:tr2bl w:val="nil"/>
            </w:tcBorders>
            <w:noWrap w:val="0"/>
            <w:vAlign w:val="center"/>
          </w:tcPr>
          <w:p w14:paraId="2AC92279">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废机油</w:t>
            </w:r>
          </w:p>
        </w:tc>
        <w:tc>
          <w:tcPr>
            <w:tcW w:w="600" w:type="pct"/>
            <w:tcBorders>
              <w:tl2br w:val="nil"/>
              <w:tr2bl w:val="nil"/>
            </w:tcBorders>
            <w:noWrap w:val="0"/>
            <w:vAlign w:val="center"/>
          </w:tcPr>
          <w:p w14:paraId="5D7A2D9E">
            <w:pPr>
              <w:pStyle w:val="498"/>
              <w:pageBreakBefore w:val="0"/>
              <w:wordWrap/>
              <w:bidi w:val="0"/>
              <w:adjustRightInd/>
              <w:snapToGrid/>
              <w:ind w:firstLine="0" w:firstLineChars="0"/>
              <w:jc w:val="center"/>
              <w:rPr>
                <w:bCs/>
                <w:color w:val="auto"/>
                <w:sz w:val="21"/>
                <w:szCs w:val="21"/>
              </w:rPr>
            </w:pPr>
            <w:r>
              <w:rPr>
                <w:color w:val="auto"/>
                <w:sz w:val="21"/>
                <w:szCs w:val="21"/>
              </w:rPr>
              <w:t>HW08</w:t>
            </w:r>
          </w:p>
        </w:tc>
        <w:tc>
          <w:tcPr>
            <w:tcW w:w="432" w:type="pct"/>
            <w:tcBorders>
              <w:tl2br w:val="nil"/>
              <w:tr2bl w:val="nil"/>
            </w:tcBorders>
            <w:noWrap w:val="0"/>
            <w:vAlign w:val="center"/>
          </w:tcPr>
          <w:p w14:paraId="6081C967">
            <w:pPr>
              <w:pageBreakBefore w:val="0"/>
              <w:widowControl/>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558" w:type="pct"/>
            <w:tcBorders>
              <w:tl2br w:val="nil"/>
              <w:tr2bl w:val="nil"/>
            </w:tcBorders>
            <w:noWrap w:val="0"/>
            <w:vAlign w:val="center"/>
          </w:tcPr>
          <w:p w14:paraId="1AE480EC">
            <w:pPr>
              <w:pStyle w:val="498"/>
              <w:pageBreakBefore w:val="0"/>
              <w:wordWrap/>
              <w:bidi w:val="0"/>
              <w:adjustRightInd/>
              <w:snapToGrid/>
              <w:ind w:firstLine="0" w:firstLineChars="0"/>
              <w:jc w:val="center"/>
              <w:rPr>
                <w:bCs/>
                <w:color w:val="auto"/>
                <w:kern w:val="0"/>
                <w:sz w:val="21"/>
                <w:szCs w:val="21"/>
              </w:rPr>
            </w:pPr>
            <w:r>
              <w:rPr>
                <w:rFonts w:hint="eastAsia"/>
                <w:color w:val="auto"/>
                <w:sz w:val="21"/>
                <w:szCs w:val="21"/>
                <w:lang w:val="en-US" w:eastAsia="zh-CN"/>
              </w:rPr>
              <w:t>0.01</w:t>
            </w:r>
          </w:p>
        </w:tc>
        <w:tc>
          <w:tcPr>
            <w:tcW w:w="1397" w:type="pct"/>
            <w:vMerge w:val="restart"/>
            <w:tcBorders>
              <w:tl2br w:val="nil"/>
              <w:tr2bl w:val="nil"/>
            </w:tcBorders>
            <w:noWrap w:val="0"/>
            <w:vAlign w:val="center"/>
          </w:tcPr>
          <w:p w14:paraId="0A2CF08E">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分类收集后暂存于危废暂存间，</w:t>
            </w:r>
            <w:r>
              <w:rPr>
                <w:color w:val="auto"/>
                <w:sz w:val="21"/>
                <w:szCs w:val="21"/>
              </w:rPr>
              <w:t>委托有资质单位</w:t>
            </w:r>
            <w:r>
              <w:rPr>
                <w:rFonts w:hint="eastAsia"/>
                <w:color w:val="auto"/>
                <w:sz w:val="21"/>
                <w:szCs w:val="21"/>
                <w:lang w:val="en-US" w:eastAsia="zh-CN"/>
              </w:rPr>
              <w:t>处置</w:t>
            </w:r>
          </w:p>
        </w:tc>
        <w:tc>
          <w:tcPr>
            <w:tcW w:w="512" w:type="pct"/>
            <w:tcBorders>
              <w:tl2br w:val="nil"/>
              <w:tr2bl w:val="nil"/>
            </w:tcBorders>
            <w:noWrap w:val="0"/>
            <w:vAlign w:val="center"/>
          </w:tcPr>
          <w:p w14:paraId="54C0A9CD">
            <w:pPr>
              <w:pStyle w:val="498"/>
              <w:pageBreakBefore w:val="0"/>
              <w:wordWrap/>
              <w:bidi w:val="0"/>
              <w:adjustRightInd/>
              <w:snapToGrid/>
              <w:ind w:firstLine="0" w:firstLineChars="0"/>
              <w:jc w:val="center"/>
              <w:rPr>
                <w:bCs/>
                <w:color w:val="auto"/>
                <w:kern w:val="0"/>
                <w:sz w:val="21"/>
                <w:szCs w:val="21"/>
              </w:rPr>
            </w:pPr>
            <w:r>
              <w:rPr>
                <w:rFonts w:hint="eastAsia"/>
                <w:color w:val="auto"/>
                <w:sz w:val="21"/>
                <w:szCs w:val="21"/>
                <w:lang w:val="en-US" w:eastAsia="zh-CN"/>
              </w:rPr>
              <w:t>0.01</w:t>
            </w:r>
          </w:p>
        </w:tc>
        <w:tc>
          <w:tcPr>
            <w:tcW w:w="553" w:type="pct"/>
            <w:vMerge w:val="restart"/>
            <w:tcBorders>
              <w:tl2br w:val="nil"/>
              <w:tr2bl w:val="nil"/>
            </w:tcBorders>
            <w:noWrap w:val="0"/>
            <w:vAlign w:val="center"/>
          </w:tcPr>
          <w:p w14:paraId="6DED9AB5">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危废处置单位</w:t>
            </w:r>
          </w:p>
        </w:tc>
      </w:tr>
      <w:tr w14:paraId="55596F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vMerge w:val="continue"/>
            <w:tcBorders>
              <w:tl2br w:val="nil"/>
              <w:tr2bl w:val="nil"/>
            </w:tcBorders>
            <w:noWrap w:val="0"/>
            <w:vAlign w:val="center"/>
          </w:tcPr>
          <w:p w14:paraId="26075E9D">
            <w:pPr>
              <w:pStyle w:val="498"/>
              <w:pageBreakBefore w:val="0"/>
              <w:wordWrap/>
              <w:bidi w:val="0"/>
              <w:adjustRightInd/>
              <w:snapToGrid/>
              <w:ind w:firstLine="0" w:firstLineChars="0"/>
              <w:jc w:val="center"/>
              <w:rPr>
                <w:bCs/>
                <w:color w:val="auto"/>
                <w:sz w:val="21"/>
                <w:szCs w:val="21"/>
              </w:rPr>
            </w:pPr>
          </w:p>
        </w:tc>
        <w:tc>
          <w:tcPr>
            <w:tcW w:w="561" w:type="pct"/>
            <w:tcBorders>
              <w:tl2br w:val="nil"/>
              <w:tr2bl w:val="nil"/>
            </w:tcBorders>
            <w:noWrap w:val="0"/>
            <w:vAlign w:val="center"/>
          </w:tcPr>
          <w:p w14:paraId="2AF298EB">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废机油桶</w:t>
            </w:r>
          </w:p>
        </w:tc>
        <w:tc>
          <w:tcPr>
            <w:tcW w:w="600" w:type="pct"/>
            <w:tcBorders>
              <w:tl2br w:val="nil"/>
              <w:tr2bl w:val="nil"/>
            </w:tcBorders>
            <w:noWrap w:val="0"/>
            <w:vAlign w:val="center"/>
          </w:tcPr>
          <w:p w14:paraId="2481EDEE">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HW08</w:t>
            </w:r>
          </w:p>
        </w:tc>
        <w:tc>
          <w:tcPr>
            <w:tcW w:w="432" w:type="pct"/>
            <w:tcBorders>
              <w:tl2br w:val="nil"/>
              <w:tr2bl w:val="nil"/>
            </w:tcBorders>
            <w:noWrap w:val="0"/>
            <w:vAlign w:val="center"/>
          </w:tcPr>
          <w:p w14:paraId="4E850685">
            <w:pPr>
              <w:pageBreakBefore w:val="0"/>
              <w:widowControl/>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558" w:type="pct"/>
            <w:tcBorders>
              <w:tl2br w:val="nil"/>
              <w:tr2bl w:val="nil"/>
            </w:tcBorders>
            <w:noWrap w:val="0"/>
            <w:vAlign w:val="center"/>
          </w:tcPr>
          <w:p w14:paraId="38C0BF20">
            <w:pPr>
              <w:pStyle w:val="498"/>
              <w:pageBreakBefore w:val="0"/>
              <w:wordWrap/>
              <w:bidi w:val="0"/>
              <w:adjustRightInd/>
              <w:snapToGrid/>
              <w:ind w:firstLine="0" w:firstLineChars="0"/>
              <w:jc w:val="center"/>
              <w:rPr>
                <w:bCs/>
                <w:color w:val="auto"/>
                <w:kern w:val="0"/>
                <w:sz w:val="21"/>
                <w:szCs w:val="21"/>
              </w:rPr>
            </w:pPr>
            <w:r>
              <w:rPr>
                <w:rFonts w:hint="eastAsia"/>
                <w:color w:val="auto"/>
                <w:sz w:val="21"/>
                <w:szCs w:val="21"/>
                <w:lang w:val="en-US" w:eastAsia="zh-CN"/>
              </w:rPr>
              <w:t>0.01</w:t>
            </w:r>
          </w:p>
        </w:tc>
        <w:tc>
          <w:tcPr>
            <w:tcW w:w="1397" w:type="pct"/>
            <w:vMerge w:val="continue"/>
            <w:tcBorders>
              <w:tl2br w:val="nil"/>
              <w:tr2bl w:val="nil"/>
            </w:tcBorders>
            <w:noWrap w:val="0"/>
            <w:vAlign w:val="center"/>
          </w:tcPr>
          <w:p w14:paraId="1F1535C3">
            <w:pPr>
              <w:pStyle w:val="498"/>
              <w:pageBreakBefore w:val="0"/>
              <w:wordWrap/>
              <w:bidi w:val="0"/>
              <w:adjustRightInd/>
              <w:snapToGrid/>
              <w:ind w:firstLine="0" w:firstLineChars="0"/>
              <w:jc w:val="center"/>
              <w:rPr>
                <w:bCs/>
                <w:color w:val="auto"/>
                <w:sz w:val="21"/>
                <w:szCs w:val="21"/>
              </w:rPr>
            </w:pPr>
          </w:p>
        </w:tc>
        <w:tc>
          <w:tcPr>
            <w:tcW w:w="512" w:type="pct"/>
            <w:tcBorders>
              <w:tl2br w:val="nil"/>
              <w:tr2bl w:val="nil"/>
            </w:tcBorders>
            <w:noWrap w:val="0"/>
            <w:vAlign w:val="center"/>
          </w:tcPr>
          <w:p w14:paraId="79ABC5B0">
            <w:pPr>
              <w:pStyle w:val="498"/>
              <w:pageBreakBefore w:val="0"/>
              <w:wordWrap/>
              <w:bidi w:val="0"/>
              <w:adjustRightInd/>
              <w:snapToGrid/>
              <w:ind w:firstLine="0" w:firstLineChars="0"/>
              <w:jc w:val="center"/>
              <w:rPr>
                <w:bCs/>
                <w:color w:val="auto"/>
                <w:kern w:val="0"/>
                <w:sz w:val="21"/>
                <w:szCs w:val="21"/>
              </w:rPr>
            </w:pPr>
            <w:r>
              <w:rPr>
                <w:rFonts w:hint="eastAsia"/>
                <w:color w:val="auto"/>
                <w:sz w:val="21"/>
                <w:szCs w:val="21"/>
                <w:lang w:val="en-US" w:eastAsia="zh-CN"/>
              </w:rPr>
              <w:t>0.01</w:t>
            </w:r>
          </w:p>
        </w:tc>
        <w:tc>
          <w:tcPr>
            <w:tcW w:w="553" w:type="pct"/>
            <w:vMerge w:val="continue"/>
            <w:tcBorders>
              <w:tl2br w:val="nil"/>
              <w:tr2bl w:val="nil"/>
            </w:tcBorders>
            <w:noWrap w:val="0"/>
            <w:vAlign w:val="center"/>
          </w:tcPr>
          <w:p w14:paraId="27B0D51E">
            <w:pPr>
              <w:pageBreakBefore w:val="0"/>
              <w:wordWrap/>
              <w:bidi w:val="0"/>
              <w:adjustRightInd/>
              <w:snapToGrid/>
              <w:spacing w:line="240" w:lineRule="auto"/>
              <w:ind w:firstLine="0" w:firstLineChars="0"/>
              <w:jc w:val="center"/>
              <w:rPr>
                <w:bCs/>
                <w:color w:val="auto"/>
                <w:sz w:val="21"/>
                <w:szCs w:val="21"/>
              </w:rPr>
            </w:pPr>
          </w:p>
        </w:tc>
      </w:tr>
      <w:tr w14:paraId="47A4EF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vMerge w:val="continue"/>
            <w:tcBorders>
              <w:tl2br w:val="nil"/>
              <w:tr2bl w:val="nil"/>
            </w:tcBorders>
            <w:noWrap w:val="0"/>
            <w:vAlign w:val="center"/>
          </w:tcPr>
          <w:p w14:paraId="4B980847">
            <w:pPr>
              <w:pStyle w:val="498"/>
              <w:pageBreakBefore w:val="0"/>
              <w:wordWrap/>
              <w:bidi w:val="0"/>
              <w:adjustRightInd/>
              <w:snapToGrid/>
              <w:ind w:firstLine="0" w:firstLineChars="0"/>
              <w:jc w:val="center"/>
              <w:rPr>
                <w:bCs/>
                <w:color w:val="auto"/>
                <w:sz w:val="21"/>
                <w:szCs w:val="21"/>
              </w:rPr>
            </w:pPr>
          </w:p>
        </w:tc>
        <w:tc>
          <w:tcPr>
            <w:tcW w:w="561" w:type="pct"/>
            <w:tcBorders>
              <w:tl2br w:val="nil"/>
              <w:tr2bl w:val="nil"/>
            </w:tcBorders>
            <w:noWrap w:val="0"/>
            <w:vAlign w:val="center"/>
          </w:tcPr>
          <w:p w14:paraId="4A1FCD96">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含油棉纱手套</w:t>
            </w:r>
          </w:p>
        </w:tc>
        <w:tc>
          <w:tcPr>
            <w:tcW w:w="600" w:type="pct"/>
            <w:tcBorders>
              <w:tl2br w:val="nil"/>
              <w:tr2bl w:val="nil"/>
            </w:tcBorders>
            <w:noWrap w:val="0"/>
            <w:vAlign w:val="center"/>
          </w:tcPr>
          <w:p w14:paraId="495AB9BE">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HW49</w:t>
            </w:r>
          </w:p>
        </w:tc>
        <w:tc>
          <w:tcPr>
            <w:tcW w:w="432" w:type="pct"/>
            <w:tcBorders>
              <w:tl2br w:val="nil"/>
              <w:tr2bl w:val="nil"/>
            </w:tcBorders>
            <w:noWrap w:val="0"/>
            <w:vAlign w:val="center"/>
          </w:tcPr>
          <w:p w14:paraId="5751E1A6">
            <w:pPr>
              <w:pageBreakBefore w:val="0"/>
              <w:widowControl/>
              <w:wordWrap/>
              <w:bidi w:val="0"/>
              <w:adjustRightInd/>
              <w:snapToGrid/>
              <w:spacing w:line="240" w:lineRule="auto"/>
              <w:ind w:firstLine="0" w:firstLineChars="0"/>
              <w:jc w:val="center"/>
              <w:rPr>
                <w:bCs/>
                <w:color w:val="auto"/>
                <w:sz w:val="21"/>
                <w:szCs w:val="21"/>
              </w:rPr>
            </w:pPr>
            <w:r>
              <w:rPr>
                <w:bCs/>
                <w:color w:val="auto"/>
                <w:kern w:val="0"/>
                <w:sz w:val="21"/>
                <w:szCs w:val="21"/>
              </w:rPr>
              <w:t>类比法</w:t>
            </w:r>
          </w:p>
        </w:tc>
        <w:tc>
          <w:tcPr>
            <w:tcW w:w="558" w:type="pct"/>
            <w:tcBorders>
              <w:tl2br w:val="nil"/>
              <w:tr2bl w:val="nil"/>
            </w:tcBorders>
            <w:noWrap w:val="0"/>
            <w:vAlign w:val="center"/>
          </w:tcPr>
          <w:p w14:paraId="10AE9F6D">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0.01</w:t>
            </w:r>
          </w:p>
        </w:tc>
        <w:tc>
          <w:tcPr>
            <w:tcW w:w="1397" w:type="pct"/>
            <w:vMerge w:val="continue"/>
            <w:tcBorders>
              <w:tl2br w:val="nil"/>
              <w:tr2bl w:val="nil"/>
            </w:tcBorders>
            <w:noWrap w:val="0"/>
            <w:vAlign w:val="center"/>
          </w:tcPr>
          <w:p w14:paraId="564EE7F7">
            <w:pPr>
              <w:pStyle w:val="498"/>
              <w:pageBreakBefore w:val="0"/>
              <w:wordWrap/>
              <w:bidi w:val="0"/>
              <w:adjustRightInd/>
              <w:snapToGrid/>
              <w:ind w:firstLine="0" w:firstLineChars="0"/>
              <w:jc w:val="center"/>
              <w:rPr>
                <w:bCs/>
                <w:color w:val="auto"/>
                <w:sz w:val="21"/>
                <w:szCs w:val="21"/>
              </w:rPr>
            </w:pPr>
          </w:p>
        </w:tc>
        <w:tc>
          <w:tcPr>
            <w:tcW w:w="512" w:type="pct"/>
            <w:tcBorders>
              <w:tl2br w:val="nil"/>
              <w:tr2bl w:val="nil"/>
            </w:tcBorders>
            <w:noWrap w:val="0"/>
            <w:vAlign w:val="center"/>
          </w:tcPr>
          <w:p w14:paraId="0E191044">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0.01</w:t>
            </w:r>
          </w:p>
        </w:tc>
        <w:tc>
          <w:tcPr>
            <w:tcW w:w="553" w:type="pct"/>
            <w:vMerge w:val="continue"/>
            <w:tcBorders>
              <w:tl2br w:val="nil"/>
              <w:tr2bl w:val="nil"/>
            </w:tcBorders>
            <w:noWrap w:val="0"/>
            <w:vAlign w:val="center"/>
          </w:tcPr>
          <w:p w14:paraId="66AD2B3D">
            <w:pPr>
              <w:pageBreakBefore w:val="0"/>
              <w:wordWrap/>
              <w:bidi w:val="0"/>
              <w:adjustRightInd/>
              <w:snapToGrid/>
              <w:spacing w:line="240" w:lineRule="auto"/>
              <w:ind w:firstLine="0" w:firstLineChars="0"/>
              <w:jc w:val="center"/>
              <w:rPr>
                <w:bCs/>
                <w:color w:val="auto"/>
                <w:sz w:val="21"/>
                <w:szCs w:val="21"/>
              </w:rPr>
            </w:pPr>
          </w:p>
        </w:tc>
      </w:tr>
      <w:tr w14:paraId="0ABCCD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vMerge w:val="restart"/>
            <w:tcBorders>
              <w:tl2br w:val="nil"/>
              <w:tr2bl w:val="nil"/>
            </w:tcBorders>
            <w:noWrap w:val="0"/>
            <w:vAlign w:val="center"/>
          </w:tcPr>
          <w:p w14:paraId="319CE276">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化验室</w:t>
            </w:r>
          </w:p>
        </w:tc>
        <w:tc>
          <w:tcPr>
            <w:tcW w:w="561" w:type="pct"/>
            <w:tcBorders>
              <w:tl2br w:val="nil"/>
              <w:tr2bl w:val="nil"/>
            </w:tcBorders>
            <w:noWrap w:val="0"/>
            <w:vAlign w:val="center"/>
          </w:tcPr>
          <w:p w14:paraId="6C230E1A">
            <w:pPr>
              <w:pStyle w:val="498"/>
              <w:pageBreakBefore w:val="0"/>
              <w:wordWrap/>
              <w:bidi w:val="0"/>
              <w:adjustRightInd/>
              <w:snapToGrid/>
              <w:ind w:firstLine="0" w:firstLineChars="0"/>
              <w:jc w:val="center"/>
              <w:rPr>
                <w:bCs/>
                <w:color w:val="auto"/>
                <w:sz w:val="21"/>
                <w:szCs w:val="21"/>
              </w:rPr>
            </w:pPr>
            <w:r>
              <w:rPr>
                <w:color w:val="auto"/>
                <w:sz w:val="21"/>
                <w:szCs w:val="21"/>
              </w:rPr>
              <w:t>化验废液</w:t>
            </w:r>
          </w:p>
        </w:tc>
        <w:tc>
          <w:tcPr>
            <w:tcW w:w="600" w:type="pct"/>
            <w:tcBorders>
              <w:tl2br w:val="nil"/>
              <w:tr2bl w:val="nil"/>
            </w:tcBorders>
            <w:noWrap w:val="0"/>
            <w:vAlign w:val="center"/>
          </w:tcPr>
          <w:p w14:paraId="6F3E555D">
            <w:pPr>
              <w:pStyle w:val="498"/>
              <w:pageBreakBefore w:val="0"/>
              <w:wordWrap/>
              <w:bidi w:val="0"/>
              <w:adjustRightInd/>
              <w:snapToGrid/>
              <w:ind w:firstLine="0" w:firstLineChars="0"/>
              <w:jc w:val="center"/>
              <w:rPr>
                <w:bCs/>
                <w:color w:val="auto"/>
                <w:sz w:val="21"/>
                <w:szCs w:val="21"/>
              </w:rPr>
            </w:pPr>
            <w:r>
              <w:rPr>
                <w:color w:val="auto"/>
                <w:sz w:val="21"/>
                <w:szCs w:val="21"/>
              </w:rPr>
              <w:t>HW49</w:t>
            </w:r>
          </w:p>
        </w:tc>
        <w:tc>
          <w:tcPr>
            <w:tcW w:w="432" w:type="pct"/>
            <w:tcBorders>
              <w:tl2br w:val="nil"/>
              <w:tr2bl w:val="nil"/>
            </w:tcBorders>
            <w:noWrap w:val="0"/>
            <w:vAlign w:val="center"/>
          </w:tcPr>
          <w:p w14:paraId="154C3BFB">
            <w:pPr>
              <w:pageBreakBefore w:val="0"/>
              <w:widowControl/>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558" w:type="pct"/>
            <w:tcBorders>
              <w:tl2br w:val="nil"/>
              <w:tr2bl w:val="nil"/>
            </w:tcBorders>
            <w:noWrap w:val="0"/>
            <w:vAlign w:val="center"/>
          </w:tcPr>
          <w:p w14:paraId="54C89540">
            <w:pPr>
              <w:pStyle w:val="498"/>
              <w:pageBreakBefore w:val="0"/>
              <w:wordWrap/>
              <w:bidi w:val="0"/>
              <w:adjustRightInd/>
              <w:snapToGrid/>
              <w:ind w:firstLine="0" w:firstLineChars="0"/>
              <w:jc w:val="center"/>
              <w:rPr>
                <w:bCs/>
                <w:color w:val="auto"/>
                <w:sz w:val="21"/>
                <w:szCs w:val="21"/>
              </w:rPr>
            </w:pPr>
            <w:r>
              <w:rPr>
                <w:color w:val="auto"/>
                <w:sz w:val="21"/>
                <w:szCs w:val="21"/>
              </w:rPr>
              <w:t>0.</w:t>
            </w:r>
            <w:r>
              <w:rPr>
                <w:rFonts w:hint="eastAsia"/>
                <w:color w:val="auto"/>
                <w:sz w:val="21"/>
                <w:szCs w:val="21"/>
                <w:lang w:val="en-US" w:eastAsia="zh-CN"/>
              </w:rPr>
              <w:t>1</w:t>
            </w:r>
          </w:p>
        </w:tc>
        <w:tc>
          <w:tcPr>
            <w:tcW w:w="1397" w:type="pct"/>
            <w:vMerge w:val="continue"/>
            <w:tcBorders>
              <w:tl2br w:val="nil"/>
              <w:tr2bl w:val="nil"/>
            </w:tcBorders>
            <w:noWrap w:val="0"/>
            <w:vAlign w:val="center"/>
          </w:tcPr>
          <w:p w14:paraId="69028028">
            <w:pPr>
              <w:pStyle w:val="498"/>
              <w:pageBreakBefore w:val="0"/>
              <w:wordWrap/>
              <w:bidi w:val="0"/>
              <w:adjustRightInd/>
              <w:snapToGrid/>
              <w:ind w:firstLine="0" w:firstLineChars="0"/>
              <w:jc w:val="center"/>
              <w:rPr>
                <w:bCs/>
                <w:color w:val="auto"/>
                <w:sz w:val="21"/>
                <w:szCs w:val="21"/>
              </w:rPr>
            </w:pPr>
          </w:p>
        </w:tc>
        <w:tc>
          <w:tcPr>
            <w:tcW w:w="512" w:type="pct"/>
            <w:tcBorders>
              <w:tl2br w:val="nil"/>
              <w:tr2bl w:val="nil"/>
            </w:tcBorders>
            <w:noWrap w:val="0"/>
            <w:vAlign w:val="center"/>
          </w:tcPr>
          <w:p w14:paraId="788D61A1">
            <w:pPr>
              <w:pStyle w:val="498"/>
              <w:pageBreakBefore w:val="0"/>
              <w:wordWrap/>
              <w:bidi w:val="0"/>
              <w:adjustRightInd/>
              <w:snapToGrid/>
              <w:ind w:firstLine="0" w:firstLineChars="0"/>
              <w:jc w:val="center"/>
              <w:rPr>
                <w:bCs/>
                <w:color w:val="auto"/>
                <w:sz w:val="21"/>
                <w:szCs w:val="21"/>
              </w:rPr>
            </w:pPr>
            <w:r>
              <w:rPr>
                <w:color w:val="auto"/>
                <w:sz w:val="21"/>
                <w:szCs w:val="21"/>
              </w:rPr>
              <w:t>0.</w:t>
            </w:r>
            <w:r>
              <w:rPr>
                <w:rFonts w:hint="eastAsia"/>
                <w:color w:val="auto"/>
                <w:sz w:val="21"/>
                <w:szCs w:val="21"/>
                <w:lang w:val="en-US" w:eastAsia="zh-CN"/>
              </w:rPr>
              <w:t>1</w:t>
            </w:r>
          </w:p>
        </w:tc>
        <w:tc>
          <w:tcPr>
            <w:tcW w:w="553" w:type="pct"/>
            <w:vMerge w:val="continue"/>
            <w:tcBorders>
              <w:tl2br w:val="nil"/>
              <w:tr2bl w:val="nil"/>
            </w:tcBorders>
            <w:noWrap w:val="0"/>
            <w:vAlign w:val="center"/>
          </w:tcPr>
          <w:p w14:paraId="30C88E3D">
            <w:pPr>
              <w:pageBreakBefore w:val="0"/>
              <w:wordWrap/>
              <w:bidi w:val="0"/>
              <w:adjustRightInd/>
              <w:snapToGrid/>
              <w:spacing w:line="240" w:lineRule="auto"/>
              <w:ind w:firstLine="0" w:firstLineChars="0"/>
              <w:jc w:val="center"/>
              <w:rPr>
                <w:bCs/>
                <w:color w:val="auto"/>
                <w:sz w:val="21"/>
                <w:szCs w:val="21"/>
              </w:rPr>
            </w:pPr>
          </w:p>
        </w:tc>
      </w:tr>
      <w:tr w14:paraId="7DB8FA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vMerge w:val="continue"/>
            <w:tcBorders>
              <w:tl2br w:val="nil"/>
              <w:tr2bl w:val="nil"/>
            </w:tcBorders>
            <w:noWrap w:val="0"/>
            <w:vAlign w:val="center"/>
          </w:tcPr>
          <w:p w14:paraId="69FABAE8">
            <w:pPr>
              <w:pStyle w:val="498"/>
              <w:pageBreakBefore w:val="0"/>
              <w:wordWrap/>
              <w:bidi w:val="0"/>
              <w:adjustRightInd/>
              <w:snapToGrid/>
              <w:ind w:firstLine="0" w:firstLineChars="0"/>
              <w:jc w:val="center"/>
              <w:rPr>
                <w:bCs/>
                <w:color w:val="auto"/>
                <w:sz w:val="21"/>
                <w:szCs w:val="21"/>
              </w:rPr>
            </w:pPr>
          </w:p>
        </w:tc>
        <w:tc>
          <w:tcPr>
            <w:tcW w:w="561" w:type="pct"/>
            <w:tcBorders>
              <w:tl2br w:val="nil"/>
              <w:tr2bl w:val="nil"/>
            </w:tcBorders>
            <w:noWrap w:val="0"/>
            <w:vAlign w:val="center"/>
          </w:tcPr>
          <w:p w14:paraId="3C45103B">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废化学试剂瓶</w:t>
            </w:r>
          </w:p>
        </w:tc>
        <w:tc>
          <w:tcPr>
            <w:tcW w:w="600" w:type="pct"/>
            <w:tcBorders>
              <w:tl2br w:val="nil"/>
              <w:tr2bl w:val="nil"/>
            </w:tcBorders>
            <w:noWrap w:val="0"/>
            <w:vAlign w:val="center"/>
          </w:tcPr>
          <w:p w14:paraId="6FB21903">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HW49</w:t>
            </w:r>
          </w:p>
        </w:tc>
        <w:tc>
          <w:tcPr>
            <w:tcW w:w="432" w:type="pct"/>
            <w:tcBorders>
              <w:tl2br w:val="nil"/>
              <w:tr2bl w:val="nil"/>
            </w:tcBorders>
            <w:noWrap w:val="0"/>
            <w:vAlign w:val="center"/>
          </w:tcPr>
          <w:p w14:paraId="2F48C92F">
            <w:pPr>
              <w:pageBreakBefore w:val="0"/>
              <w:widowControl/>
              <w:wordWrap/>
              <w:bidi w:val="0"/>
              <w:adjustRightInd/>
              <w:snapToGrid/>
              <w:spacing w:line="240" w:lineRule="auto"/>
              <w:ind w:firstLine="0" w:firstLineChars="0"/>
              <w:jc w:val="center"/>
              <w:rPr>
                <w:bCs/>
                <w:color w:val="auto"/>
                <w:sz w:val="21"/>
                <w:szCs w:val="21"/>
              </w:rPr>
            </w:pPr>
            <w:r>
              <w:rPr>
                <w:bCs/>
                <w:color w:val="auto"/>
                <w:sz w:val="21"/>
                <w:szCs w:val="21"/>
              </w:rPr>
              <w:t>类比法</w:t>
            </w:r>
          </w:p>
        </w:tc>
        <w:tc>
          <w:tcPr>
            <w:tcW w:w="558" w:type="pct"/>
            <w:tcBorders>
              <w:tl2br w:val="nil"/>
              <w:tr2bl w:val="nil"/>
            </w:tcBorders>
            <w:noWrap w:val="0"/>
            <w:vAlign w:val="center"/>
          </w:tcPr>
          <w:p w14:paraId="144FD6CE">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0.5</w:t>
            </w:r>
          </w:p>
        </w:tc>
        <w:tc>
          <w:tcPr>
            <w:tcW w:w="1397" w:type="pct"/>
            <w:vMerge w:val="continue"/>
            <w:tcBorders>
              <w:tl2br w:val="nil"/>
              <w:tr2bl w:val="nil"/>
            </w:tcBorders>
            <w:noWrap w:val="0"/>
            <w:vAlign w:val="center"/>
          </w:tcPr>
          <w:p w14:paraId="323471A3">
            <w:pPr>
              <w:pStyle w:val="498"/>
              <w:pageBreakBefore w:val="0"/>
              <w:wordWrap/>
              <w:bidi w:val="0"/>
              <w:adjustRightInd/>
              <w:snapToGrid/>
              <w:ind w:firstLine="0" w:firstLineChars="0"/>
              <w:jc w:val="center"/>
              <w:rPr>
                <w:bCs/>
                <w:color w:val="auto"/>
                <w:sz w:val="21"/>
                <w:szCs w:val="21"/>
              </w:rPr>
            </w:pPr>
          </w:p>
        </w:tc>
        <w:tc>
          <w:tcPr>
            <w:tcW w:w="512" w:type="pct"/>
            <w:tcBorders>
              <w:tl2br w:val="nil"/>
              <w:tr2bl w:val="nil"/>
            </w:tcBorders>
            <w:noWrap w:val="0"/>
            <w:vAlign w:val="center"/>
          </w:tcPr>
          <w:p w14:paraId="39DC7B1E">
            <w:pPr>
              <w:pStyle w:val="498"/>
              <w:pageBreakBefore w:val="0"/>
              <w:wordWrap/>
              <w:bidi w:val="0"/>
              <w:adjustRightInd/>
              <w:snapToGrid/>
              <w:ind w:firstLine="0" w:firstLineChars="0"/>
              <w:jc w:val="center"/>
              <w:rPr>
                <w:bCs/>
                <w:color w:val="auto"/>
                <w:sz w:val="21"/>
                <w:szCs w:val="21"/>
              </w:rPr>
            </w:pPr>
            <w:r>
              <w:rPr>
                <w:rFonts w:hint="eastAsia"/>
                <w:color w:val="auto"/>
                <w:sz w:val="21"/>
                <w:szCs w:val="21"/>
                <w:lang w:val="en-US" w:eastAsia="zh-CN"/>
              </w:rPr>
              <w:t>0.5</w:t>
            </w:r>
          </w:p>
        </w:tc>
        <w:tc>
          <w:tcPr>
            <w:tcW w:w="553" w:type="pct"/>
            <w:vMerge w:val="continue"/>
            <w:tcBorders>
              <w:tl2br w:val="nil"/>
              <w:tr2bl w:val="nil"/>
            </w:tcBorders>
            <w:noWrap w:val="0"/>
            <w:vAlign w:val="center"/>
          </w:tcPr>
          <w:p w14:paraId="49FA78A8">
            <w:pPr>
              <w:pageBreakBefore w:val="0"/>
              <w:wordWrap/>
              <w:bidi w:val="0"/>
              <w:adjustRightInd/>
              <w:snapToGrid/>
              <w:spacing w:line="240" w:lineRule="auto"/>
              <w:ind w:firstLine="0" w:firstLineChars="0"/>
              <w:jc w:val="center"/>
              <w:rPr>
                <w:bCs/>
                <w:color w:val="auto"/>
                <w:sz w:val="21"/>
                <w:szCs w:val="21"/>
              </w:rPr>
            </w:pPr>
          </w:p>
        </w:tc>
      </w:tr>
      <w:tr w14:paraId="09BEDF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385" w:type="pct"/>
            <w:tcBorders>
              <w:tl2br w:val="nil"/>
              <w:tr2bl w:val="nil"/>
            </w:tcBorders>
            <w:noWrap w:val="0"/>
            <w:vAlign w:val="center"/>
          </w:tcPr>
          <w:p w14:paraId="4655C336">
            <w:pPr>
              <w:pStyle w:val="498"/>
              <w:pageBreakBefore w:val="0"/>
              <w:wordWrap/>
              <w:bidi w:val="0"/>
              <w:adjustRightInd/>
              <w:snapToGrid/>
              <w:ind w:firstLine="0" w:firstLineChars="0"/>
              <w:jc w:val="center"/>
              <w:rPr>
                <w:rFonts w:hint="eastAsia" w:eastAsia="宋体"/>
                <w:bCs/>
                <w:color w:val="auto"/>
                <w:sz w:val="21"/>
                <w:szCs w:val="21"/>
                <w:lang w:val="en-US" w:eastAsia="zh-CN"/>
              </w:rPr>
            </w:pPr>
            <w:bookmarkStart w:id="111" w:name="_Toc3255"/>
            <w:r>
              <w:rPr>
                <w:rFonts w:hint="eastAsia"/>
                <w:bCs/>
                <w:color w:val="auto"/>
                <w:sz w:val="21"/>
                <w:szCs w:val="21"/>
                <w:lang w:val="en-US" w:eastAsia="zh-CN"/>
              </w:rPr>
              <w:t>紫外消毒</w:t>
            </w:r>
          </w:p>
        </w:tc>
        <w:tc>
          <w:tcPr>
            <w:tcW w:w="561" w:type="pct"/>
            <w:tcBorders>
              <w:tl2br w:val="nil"/>
              <w:tr2bl w:val="nil"/>
            </w:tcBorders>
            <w:noWrap w:val="0"/>
            <w:vAlign w:val="center"/>
          </w:tcPr>
          <w:p w14:paraId="2762E83C">
            <w:pPr>
              <w:pStyle w:val="498"/>
              <w:pageBreakBefore w:val="0"/>
              <w:wordWrap/>
              <w:bidi w:val="0"/>
              <w:adjustRightInd/>
              <w:snapToGrid/>
              <w:ind w:firstLine="0" w:firstLineChars="0"/>
              <w:jc w:val="center"/>
              <w:rPr>
                <w:rFonts w:hint="eastAsia"/>
                <w:color w:val="auto"/>
                <w:sz w:val="21"/>
                <w:szCs w:val="21"/>
                <w:lang w:val="en-US" w:eastAsia="zh-CN"/>
              </w:rPr>
            </w:pPr>
            <w:r>
              <w:rPr>
                <w:rFonts w:hint="eastAsia"/>
                <w:color w:val="auto"/>
                <w:sz w:val="21"/>
                <w:szCs w:val="21"/>
                <w:lang w:val="en-US" w:eastAsia="zh-CN"/>
              </w:rPr>
              <w:t>废紫外线灯管</w:t>
            </w:r>
          </w:p>
        </w:tc>
        <w:tc>
          <w:tcPr>
            <w:tcW w:w="600" w:type="pct"/>
            <w:tcBorders>
              <w:tl2br w:val="nil"/>
              <w:tr2bl w:val="nil"/>
            </w:tcBorders>
            <w:noWrap w:val="0"/>
            <w:vAlign w:val="center"/>
          </w:tcPr>
          <w:p w14:paraId="60FC9642">
            <w:pPr>
              <w:pStyle w:val="498"/>
              <w:pageBreakBefore w:val="0"/>
              <w:wordWrap/>
              <w:bidi w:val="0"/>
              <w:adjustRightInd/>
              <w:snapToGrid/>
              <w:ind w:firstLine="0" w:firstLineChars="0"/>
              <w:jc w:val="center"/>
              <w:rPr>
                <w:rFonts w:hint="default"/>
                <w:color w:val="auto"/>
                <w:sz w:val="21"/>
                <w:szCs w:val="21"/>
                <w:lang w:val="en-US" w:eastAsia="zh-CN"/>
              </w:rPr>
            </w:pPr>
            <w:r>
              <w:rPr>
                <w:rFonts w:hint="eastAsia"/>
                <w:color w:val="auto"/>
                <w:sz w:val="21"/>
                <w:szCs w:val="21"/>
                <w:lang w:val="en-US" w:eastAsia="zh-CN"/>
              </w:rPr>
              <w:t>HW29</w:t>
            </w:r>
          </w:p>
        </w:tc>
        <w:tc>
          <w:tcPr>
            <w:tcW w:w="432" w:type="pct"/>
            <w:tcBorders>
              <w:tl2br w:val="nil"/>
              <w:tr2bl w:val="nil"/>
            </w:tcBorders>
            <w:noWrap w:val="0"/>
            <w:vAlign w:val="center"/>
          </w:tcPr>
          <w:p w14:paraId="7A1865F1">
            <w:pPr>
              <w:pageBreakBefore w:val="0"/>
              <w:widowControl/>
              <w:wordWrap/>
              <w:bidi w:val="0"/>
              <w:adjustRightInd/>
              <w:snapToGrid/>
              <w:spacing w:line="240" w:lineRule="auto"/>
              <w:ind w:firstLine="0" w:firstLineChars="0"/>
              <w:jc w:val="center"/>
              <w:rPr>
                <w:rFonts w:hint="eastAsia" w:eastAsia="宋体"/>
                <w:bCs/>
                <w:color w:val="auto"/>
                <w:sz w:val="21"/>
                <w:szCs w:val="21"/>
                <w:lang w:val="en-US" w:eastAsia="zh-CN"/>
              </w:rPr>
            </w:pPr>
            <w:r>
              <w:rPr>
                <w:rFonts w:hint="eastAsia"/>
                <w:bCs/>
                <w:color w:val="auto"/>
                <w:sz w:val="21"/>
                <w:szCs w:val="21"/>
                <w:lang w:val="en-US" w:eastAsia="zh-CN"/>
              </w:rPr>
              <w:t>类比法</w:t>
            </w:r>
          </w:p>
        </w:tc>
        <w:tc>
          <w:tcPr>
            <w:tcW w:w="558" w:type="pct"/>
            <w:tcBorders>
              <w:tl2br w:val="nil"/>
              <w:tr2bl w:val="nil"/>
            </w:tcBorders>
            <w:noWrap w:val="0"/>
            <w:vAlign w:val="center"/>
          </w:tcPr>
          <w:p w14:paraId="59D2EA14">
            <w:pPr>
              <w:pStyle w:val="498"/>
              <w:pageBreakBefore w:val="0"/>
              <w:wordWrap/>
              <w:bidi w:val="0"/>
              <w:adjustRightInd/>
              <w:snapToGrid/>
              <w:ind w:firstLine="0" w:firstLineChars="0"/>
              <w:jc w:val="center"/>
              <w:rPr>
                <w:rFonts w:hint="default"/>
                <w:color w:val="auto"/>
                <w:sz w:val="21"/>
                <w:szCs w:val="21"/>
                <w:lang w:val="en-US" w:eastAsia="zh-CN"/>
              </w:rPr>
            </w:pPr>
            <w:r>
              <w:rPr>
                <w:rFonts w:hint="eastAsia"/>
                <w:color w:val="auto"/>
                <w:sz w:val="21"/>
                <w:szCs w:val="21"/>
                <w:lang w:val="en-US" w:eastAsia="zh-CN"/>
              </w:rPr>
              <w:t>0.1</w:t>
            </w:r>
          </w:p>
        </w:tc>
        <w:tc>
          <w:tcPr>
            <w:tcW w:w="1397" w:type="pct"/>
            <w:vMerge w:val="continue"/>
            <w:tcBorders>
              <w:tl2br w:val="nil"/>
              <w:tr2bl w:val="nil"/>
            </w:tcBorders>
            <w:noWrap w:val="0"/>
            <w:vAlign w:val="center"/>
          </w:tcPr>
          <w:p w14:paraId="11E59150">
            <w:pPr>
              <w:pStyle w:val="498"/>
              <w:pageBreakBefore w:val="0"/>
              <w:wordWrap/>
              <w:bidi w:val="0"/>
              <w:adjustRightInd/>
              <w:snapToGrid/>
              <w:ind w:firstLine="0" w:firstLineChars="0"/>
              <w:jc w:val="center"/>
              <w:rPr>
                <w:bCs/>
                <w:color w:val="auto"/>
                <w:sz w:val="21"/>
                <w:szCs w:val="21"/>
              </w:rPr>
            </w:pPr>
          </w:p>
        </w:tc>
        <w:tc>
          <w:tcPr>
            <w:tcW w:w="512" w:type="pct"/>
            <w:tcBorders>
              <w:tl2br w:val="nil"/>
              <w:tr2bl w:val="nil"/>
            </w:tcBorders>
            <w:noWrap w:val="0"/>
            <w:vAlign w:val="center"/>
          </w:tcPr>
          <w:p w14:paraId="3FE01485">
            <w:pPr>
              <w:pStyle w:val="498"/>
              <w:pageBreakBefore w:val="0"/>
              <w:wordWrap/>
              <w:bidi w:val="0"/>
              <w:adjustRightInd/>
              <w:snapToGrid/>
              <w:ind w:firstLine="0" w:firstLineChars="0"/>
              <w:jc w:val="center"/>
              <w:rPr>
                <w:rFonts w:hint="default"/>
                <w:color w:val="auto"/>
                <w:sz w:val="21"/>
                <w:szCs w:val="21"/>
                <w:lang w:val="en-US" w:eastAsia="zh-CN"/>
              </w:rPr>
            </w:pPr>
            <w:r>
              <w:rPr>
                <w:rFonts w:hint="eastAsia"/>
                <w:color w:val="auto"/>
                <w:sz w:val="21"/>
                <w:szCs w:val="21"/>
                <w:lang w:val="en-US" w:eastAsia="zh-CN"/>
              </w:rPr>
              <w:t>0.1</w:t>
            </w:r>
          </w:p>
        </w:tc>
        <w:tc>
          <w:tcPr>
            <w:tcW w:w="553" w:type="pct"/>
            <w:vMerge w:val="continue"/>
            <w:tcBorders>
              <w:tl2br w:val="nil"/>
              <w:tr2bl w:val="nil"/>
            </w:tcBorders>
            <w:noWrap w:val="0"/>
            <w:vAlign w:val="center"/>
          </w:tcPr>
          <w:p w14:paraId="35A1400D">
            <w:pPr>
              <w:pageBreakBefore w:val="0"/>
              <w:wordWrap/>
              <w:bidi w:val="0"/>
              <w:adjustRightInd/>
              <w:snapToGrid/>
              <w:spacing w:line="240" w:lineRule="auto"/>
              <w:ind w:firstLine="0" w:firstLineChars="0"/>
              <w:jc w:val="center"/>
              <w:rPr>
                <w:bCs/>
                <w:color w:val="auto"/>
                <w:sz w:val="21"/>
                <w:szCs w:val="21"/>
              </w:rPr>
            </w:pPr>
          </w:p>
        </w:tc>
      </w:tr>
    </w:tbl>
    <w:p w14:paraId="503D5BC4">
      <w:pPr>
        <w:pStyle w:val="4"/>
        <w:bidi w:val="0"/>
        <w:rPr>
          <w:color w:val="auto"/>
        </w:rPr>
      </w:pPr>
      <w:r>
        <w:rPr>
          <w:rFonts w:hint="eastAsia"/>
          <w:color w:val="auto"/>
          <w:lang w:val="en-US" w:eastAsia="zh-CN"/>
        </w:rPr>
        <w:t xml:space="preserve"> </w:t>
      </w:r>
      <w:bookmarkStart w:id="112" w:name="_Toc8484"/>
      <w:r>
        <w:rPr>
          <w:color w:val="auto"/>
        </w:rPr>
        <w:t>营运期</w:t>
      </w:r>
      <w:r>
        <w:rPr>
          <w:rFonts w:hint="eastAsia"/>
          <w:color w:val="auto"/>
          <w:lang w:eastAsia="zh-CN"/>
        </w:rPr>
        <w:t>“</w:t>
      </w:r>
      <w:r>
        <w:rPr>
          <w:color w:val="auto"/>
        </w:rPr>
        <w:t>三废</w:t>
      </w:r>
      <w:r>
        <w:rPr>
          <w:rFonts w:hint="eastAsia"/>
          <w:color w:val="auto"/>
          <w:lang w:eastAsia="zh-CN"/>
        </w:rPr>
        <w:t>”</w:t>
      </w:r>
      <w:r>
        <w:rPr>
          <w:color w:val="auto"/>
        </w:rPr>
        <w:t>产生及排放情况统计</w:t>
      </w:r>
      <w:bookmarkEnd w:id="111"/>
      <w:bookmarkEnd w:id="112"/>
    </w:p>
    <w:p w14:paraId="50CF6E1C">
      <w:pPr>
        <w:bidi w:val="0"/>
        <w:rPr>
          <w:color w:val="auto"/>
        </w:rPr>
      </w:pPr>
      <w:r>
        <w:rPr>
          <w:color w:val="auto"/>
        </w:rPr>
        <w:t>项目运营期</w:t>
      </w:r>
      <w:r>
        <w:rPr>
          <w:rFonts w:hint="eastAsia"/>
          <w:color w:val="auto"/>
          <w:lang w:eastAsia="zh-CN"/>
        </w:rPr>
        <w:t>“</w:t>
      </w:r>
      <w:r>
        <w:rPr>
          <w:color w:val="auto"/>
        </w:rPr>
        <w:t>三废</w:t>
      </w:r>
      <w:r>
        <w:rPr>
          <w:rFonts w:hint="eastAsia"/>
          <w:color w:val="auto"/>
          <w:lang w:eastAsia="zh-CN"/>
        </w:rPr>
        <w:t>”</w:t>
      </w:r>
      <w:r>
        <w:rPr>
          <w:color w:val="auto"/>
        </w:rPr>
        <w:t>排放情况统计见</w:t>
      </w:r>
      <w:r>
        <w:rPr>
          <w:rFonts w:hint="eastAsia"/>
          <w:color w:val="auto"/>
          <w:lang w:val="en-US" w:eastAsia="zh-CN"/>
        </w:rPr>
        <w:t>下表</w:t>
      </w:r>
      <w:r>
        <w:rPr>
          <w:color w:val="auto"/>
        </w:rPr>
        <w:t>。</w:t>
      </w:r>
    </w:p>
    <w:p w14:paraId="619C9C4D">
      <w:pPr>
        <w:pStyle w:val="19"/>
        <w:numPr>
          <w:ilvl w:val="0"/>
          <w:numId w:val="27"/>
        </w:numPr>
        <w:bidi w:val="0"/>
        <w:ind w:left="0" w:leftChars="0" w:firstLine="0" w:firstLineChars="0"/>
        <w:rPr>
          <w:color w:val="auto"/>
        </w:rPr>
      </w:pPr>
      <w:r>
        <w:rPr>
          <w:color w:val="auto"/>
        </w:rPr>
        <w:t>本项目</w:t>
      </w:r>
      <w:r>
        <w:rPr>
          <w:rFonts w:hint="eastAsia"/>
          <w:color w:val="auto"/>
          <w:lang w:eastAsia="zh-CN"/>
        </w:rPr>
        <w:t>“</w:t>
      </w:r>
      <w:r>
        <w:rPr>
          <w:color w:val="auto"/>
        </w:rPr>
        <w:t>三废</w:t>
      </w:r>
      <w:r>
        <w:rPr>
          <w:rFonts w:hint="eastAsia"/>
          <w:color w:val="auto"/>
          <w:lang w:eastAsia="zh-CN"/>
        </w:rPr>
        <w:t>”</w:t>
      </w:r>
      <w:r>
        <w:rPr>
          <w:color w:val="auto"/>
        </w:rPr>
        <w:t>排放情况统计表</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552"/>
        <w:gridCol w:w="1817"/>
        <w:gridCol w:w="1459"/>
        <w:gridCol w:w="3180"/>
        <w:gridCol w:w="2726"/>
        <w:gridCol w:w="2741"/>
        <w:gridCol w:w="1597"/>
      </w:tblGrid>
      <w:tr w14:paraId="0EBE05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tcBorders>
              <w:tl2br w:val="nil"/>
              <w:tr2bl w:val="nil"/>
            </w:tcBorders>
            <w:noWrap w:val="0"/>
            <w:vAlign w:val="center"/>
          </w:tcPr>
          <w:p w14:paraId="360E226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类型</w:t>
            </w:r>
          </w:p>
        </w:tc>
        <w:tc>
          <w:tcPr>
            <w:tcW w:w="645" w:type="pct"/>
            <w:tcBorders>
              <w:tl2br w:val="nil"/>
              <w:tr2bl w:val="nil"/>
            </w:tcBorders>
            <w:noWrap w:val="0"/>
            <w:vAlign w:val="center"/>
          </w:tcPr>
          <w:p w14:paraId="03E3D05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产污源点</w:t>
            </w:r>
          </w:p>
        </w:tc>
        <w:tc>
          <w:tcPr>
            <w:tcW w:w="518" w:type="pct"/>
            <w:tcBorders>
              <w:tl2br w:val="nil"/>
              <w:tr2bl w:val="nil"/>
            </w:tcBorders>
            <w:noWrap w:val="0"/>
            <w:vAlign w:val="center"/>
          </w:tcPr>
          <w:p w14:paraId="488575EB">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w:t>
            </w:r>
          </w:p>
        </w:tc>
        <w:tc>
          <w:tcPr>
            <w:tcW w:w="1129" w:type="pct"/>
            <w:tcBorders>
              <w:tl2br w:val="nil"/>
              <w:tr2bl w:val="nil"/>
            </w:tcBorders>
            <w:noWrap w:val="0"/>
            <w:vAlign w:val="center"/>
          </w:tcPr>
          <w:p w14:paraId="621873A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处理前产生量及浓度</w:t>
            </w:r>
          </w:p>
        </w:tc>
        <w:tc>
          <w:tcPr>
            <w:tcW w:w="968" w:type="pct"/>
            <w:tcBorders>
              <w:tl2br w:val="nil"/>
              <w:tr2bl w:val="nil"/>
            </w:tcBorders>
            <w:noWrap w:val="0"/>
            <w:vAlign w:val="center"/>
          </w:tcPr>
          <w:p w14:paraId="7C42A1D8">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处置方式</w:t>
            </w:r>
          </w:p>
        </w:tc>
        <w:tc>
          <w:tcPr>
            <w:tcW w:w="973" w:type="pct"/>
            <w:tcBorders>
              <w:tl2br w:val="nil"/>
              <w:tr2bl w:val="nil"/>
            </w:tcBorders>
            <w:noWrap w:val="0"/>
            <w:vAlign w:val="center"/>
          </w:tcPr>
          <w:p w14:paraId="6278EDA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处理后排放量及浓度</w:t>
            </w:r>
          </w:p>
        </w:tc>
        <w:tc>
          <w:tcPr>
            <w:tcW w:w="567" w:type="pct"/>
            <w:tcBorders>
              <w:tl2br w:val="nil"/>
              <w:tr2bl w:val="nil"/>
            </w:tcBorders>
            <w:noWrap w:val="0"/>
            <w:vAlign w:val="center"/>
          </w:tcPr>
          <w:p w14:paraId="6354C94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排放去向</w:t>
            </w:r>
          </w:p>
        </w:tc>
      </w:tr>
      <w:tr w14:paraId="242907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restart"/>
            <w:tcBorders>
              <w:tl2br w:val="nil"/>
              <w:tr2bl w:val="nil"/>
            </w:tcBorders>
            <w:noWrap w:val="0"/>
            <w:vAlign w:val="center"/>
          </w:tcPr>
          <w:p w14:paraId="2331B062">
            <w:pPr>
              <w:pageBreakBefore w:val="0"/>
              <w:wordWrap/>
              <w:bidi w:val="0"/>
              <w:adjustRightInd/>
              <w:snapToGrid/>
              <w:spacing w:line="240" w:lineRule="auto"/>
              <w:ind w:firstLine="0" w:firstLineChars="0"/>
              <w:jc w:val="center"/>
              <w:rPr>
                <w:color w:val="auto"/>
                <w:sz w:val="21"/>
                <w:szCs w:val="21"/>
              </w:rPr>
            </w:pPr>
            <w:r>
              <w:rPr>
                <w:color w:val="auto"/>
                <w:sz w:val="21"/>
                <w:szCs w:val="21"/>
              </w:rPr>
              <w:t>废气</w:t>
            </w:r>
          </w:p>
        </w:tc>
        <w:tc>
          <w:tcPr>
            <w:tcW w:w="645" w:type="pct"/>
            <w:tcBorders>
              <w:tl2br w:val="nil"/>
              <w:tr2bl w:val="nil"/>
            </w:tcBorders>
            <w:noWrap w:val="0"/>
            <w:vAlign w:val="center"/>
          </w:tcPr>
          <w:p w14:paraId="0FE6209C">
            <w:pPr>
              <w:pStyle w:val="16"/>
              <w:bidi w:val="0"/>
              <w:rPr>
                <w:rFonts w:hint="eastAsia"/>
                <w:color w:val="auto"/>
                <w:lang w:eastAsia="zh-CN"/>
              </w:rPr>
            </w:pPr>
            <w:r>
              <w:rPr>
                <w:color w:val="auto"/>
              </w:rPr>
              <w:t>预处理区</w:t>
            </w:r>
            <w:r>
              <w:rPr>
                <w:rFonts w:hint="eastAsia"/>
                <w:color w:val="auto"/>
                <w:lang w:eastAsia="zh-CN"/>
              </w:rPr>
              <w:t>、</w:t>
            </w:r>
            <w:r>
              <w:rPr>
                <w:color w:val="auto"/>
              </w:rPr>
              <w:t>生化区</w:t>
            </w:r>
            <w:r>
              <w:rPr>
                <w:rFonts w:hint="eastAsia"/>
                <w:color w:val="auto"/>
                <w:lang w:eastAsia="zh-CN"/>
              </w:rPr>
              <w:t>、</w:t>
            </w:r>
            <w:r>
              <w:rPr>
                <w:color w:val="auto"/>
              </w:rPr>
              <w:t>污泥处置区</w:t>
            </w:r>
          </w:p>
        </w:tc>
        <w:tc>
          <w:tcPr>
            <w:tcW w:w="518" w:type="pct"/>
            <w:tcBorders>
              <w:tl2br w:val="nil"/>
              <w:tr2bl w:val="nil"/>
            </w:tcBorders>
            <w:noWrap w:val="0"/>
            <w:vAlign w:val="center"/>
          </w:tcPr>
          <w:p w14:paraId="6E49ADC4">
            <w:pPr>
              <w:pStyle w:val="16"/>
              <w:bidi w:val="0"/>
              <w:rPr>
                <w:color w:val="auto"/>
              </w:rPr>
            </w:pPr>
            <w:r>
              <w:rPr>
                <w:color w:val="auto"/>
              </w:rPr>
              <w:t>NH</w:t>
            </w:r>
            <w:r>
              <w:rPr>
                <w:color w:val="auto"/>
                <w:vertAlign w:val="subscript"/>
              </w:rPr>
              <w:t>3</w:t>
            </w:r>
            <w:r>
              <w:rPr>
                <w:color w:val="auto"/>
              </w:rPr>
              <w:t>、H</w:t>
            </w:r>
            <w:r>
              <w:rPr>
                <w:color w:val="auto"/>
                <w:vertAlign w:val="subscript"/>
              </w:rPr>
              <w:t>2</w:t>
            </w:r>
            <w:r>
              <w:rPr>
                <w:color w:val="auto"/>
              </w:rPr>
              <w:t>S</w:t>
            </w:r>
          </w:p>
        </w:tc>
        <w:tc>
          <w:tcPr>
            <w:tcW w:w="1129" w:type="pct"/>
            <w:tcBorders>
              <w:tl2br w:val="nil"/>
              <w:tr2bl w:val="nil"/>
            </w:tcBorders>
            <w:noWrap w:val="0"/>
            <w:vAlign w:val="center"/>
          </w:tcPr>
          <w:p w14:paraId="67AB53F7">
            <w:pPr>
              <w:pStyle w:val="16"/>
              <w:bidi w:val="0"/>
              <w:rPr>
                <w:color w:val="auto"/>
              </w:rPr>
            </w:pPr>
            <w:r>
              <w:rPr>
                <w:color w:val="auto"/>
              </w:rPr>
              <w:t>NH</w:t>
            </w:r>
            <w:r>
              <w:rPr>
                <w:color w:val="auto"/>
                <w:vertAlign w:val="subscript"/>
              </w:rPr>
              <w:t>3</w:t>
            </w:r>
            <w:r>
              <w:rPr>
                <w:rFonts w:hint="eastAsia"/>
                <w:color w:val="auto"/>
                <w:lang w:eastAsia="zh-CN"/>
              </w:rPr>
              <w:t>：</w:t>
            </w:r>
            <w:r>
              <w:rPr>
                <w:color w:val="auto"/>
              </w:rPr>
              <w:t>0.</w:t>
            </w:r>
            <w:r>
              <w:rPr>
                <w:rFonts w:hint="eastAsia"/>
                <w:color w:val="auto"/>
                <w:lang w:val="en-US" w:eastAsia="zh-CN"/>
              </w:rPr>
              <w:t>901</w:t>
            </w:r>
            <w:r>
              <w:rPr>
                <w:color w:val="auto"/>
              </w:rPr>
              <w:t>kg/h、H</w:t>
            </w:r>
            <w:r>
              <w:rPr>
                <w:color w:val="auto"/>
                <w:vertAlign w:val="subscript"/>
              </w:rPr>
              <w:t>2</w:t>
            </w:r>
            <w:r>
              <w:rPr>
                <w:color w:val="auto"/>
              </w:rPr>
              <w:t>S：0.</w:t>
            </w:r>
            <w:r>
              <w:rPr>
                <w:rFonts w:hint="eastAsia"/>
                <w:color w:val="auto"/>
                <w:lang w:val="en-US" w:eastAsia="zh-CN"/>
              </w:rPr>
              <w:t>013</w:t>
            </w:r>
            <w:r>
              <w:rPr>
                <w:color w:val="auto"/>
              </w:rPr>
              <w:t>kg/h</w:t>
            </w:r>
          </w:p>
        </w:tc>
        <w:tc>
          <w:tcPr>
            <w:tcW w:w="968" w:type="pct"/>
            <w:tcBorders>
              <w:tl2br w:val="nil"/>
              <w:tr2bl w:val="nil"/>
            </w:tcBorders>
            <w:noWrap w:val="0"/>
            <w:vAlign w:val="center"/>
          </w:tcPr>
          <w:p w14:paraId="0FC10E67">
            <w:pPr>
              <w:pStyle w:val="16"/>
              <w:bidi w:val="0"/>
              <w:rPr>
                <w:rFonts w:hint="default" w:eastAsia="宋体"/>
                <w:color w:val="auto"/>
                <w:lang w:val="en-US" w:eastAsia="zh-CN"/>
              </w:rPr>
            </w:pPr>
            <w:r>
              <w:rPr>
                <w:rFonts w:hint="eastAsia"/>
                <w:color w:val="auto"/>
                <w:lang w:val="en-US" w:eastAsia="zh-CN"/>
              </w:rPr>
              <w:t>生物滤池除臭</w:t>
            </w:r>
          </w:p>
        </w:tc>
        <w:tc>
          <w:tcPr>
            <w:tcW w:w="973" w:type="pct"/>
            <w:tcBorders>
              <w:tl2br w:val="nil"/>
              <w:tr2bl w:val="nil"/>
            </w:tcBorders>
            <w:noWrap w:val="0"/>
            <w:vAlign w:val="center"/>
          </w:tcPr>
          <w:p w14:paraId="1709A130">
            <w:pPr>
              <w:pStyle w:val="16"/>
              <w:bidi w:val="0"/>
              <w:rPr>
                <w:color w:val="auto"/>
              </w:rPr>
            </w:pPr>
            <w:r>
              <w:rPr>
                <w:color w:val="auto"/>
              </w:rPr>
              <w:t>NH</w:t>
            </w:r>
            <w:r>
              <w:rPr>
                <w:color w:val="auto"/>
                <w:vertAlign w:val="subscript"/>
              </w:rPr>
              <w:t>3</w:t>
            </w:r>
            <w:r>
              <w:rPr>
                <w:rFonts w:hint="eastAsia"/>
                <w:color w:val="auto"/>
                <w:lang w:eastAsia="zh-CN"/>
              </w:rPr>
              <w:t>：0.1117</w:t>
            </w:r>
            <w:r>
              <w:rPr>
                <w:color w:val="auto"/>
              </w:rPr>
              <w:t>kg/h、H</w:t>
            </w:r>
            <w:r>
              <w:rPr>
                <w:color w:val="auto"/>
                <w:vertAlign w:val="subscript"/>
              </w:rPr>
              <w:t>2</w:t>
            </w:r>
            <w:r>
              <w:rPr>
                <w:color w:val="auto"/>
              </w:rPr>
              <w:t>S：</w:t>
            </w:r>
            <w:r>
              <w:rPr>
                <w:rFonts w:hint="eastAsia"/>
                <w:color w:val="auto"/>
                <w:lang w:eastAsia="zh-CN"/>
              </w:rPr>
              <w:t>0.00</w:t>
            </w:r>
            <w:r>
              <w:rPr>
                <w:rFonts w:hint="eastAsia"/>
                <w:color w:val="auto"/>
                <w:lang w:val="en-US" w:eastAsia="zh-CN"/>
              </w:rPr>
              <w:t>35</w:t>
            </w:r>
            <w:r>
              <w:rPr>
                <w:color w:val="auto"/>
              </w:rPr>
              <w:t>kg/h</w:t>
            </w:r>
          </w:p>
        </w:tc>
        <w:tc>
          <w:tcPr>
            <w:tcW w:w="567" w:type="pct"/>
            <w:vMerge w:val="restart"/>
            <w:tcBorders>
              <w:tl2br w:val="nil"/>
              <w:tr2bl w:val="nil"/>
            </w:tcBorders>
            <w:noWrap w:val="0"/>
            <w:vAlign w:val="center"/>
          </w:tcPr>
          <w:p w14:paraId="4197CD80">
            <w:pPr>
              <w:pageBreakBefore w:val="0"/>
              <w:wordWrap/>
              <w:bidi w:val="0"/>
              <w:adjustRightInd/>
              <w:snapToGrid/>
              <w:spacing w:line="240" w:lineRule="auto"/>
              <w:ind w:firstLine="0" w:firstLineChars="0"/>
              <w:jc w:val="center"/>
              <w:rPr>
                <w:color w:val="auto"/>
                <w:sz w:val="21"/>
                <w:szCs w:val="21"/>
              </w:rPr>
            </w:pPr>
            <w:r>
              <w:rPr>
                <w:color w:val="auto"/>
                <w:sz w:val="21"/>
                <w:szCs w:val="21"/>
              </w:rPr>
              <w:t>大气环境</w:t>
            </w:r>
          </w:p>
        </w:tc>
      </w:tr>
      <w:tr w14:paraId="37816F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4913B3D4">
            <w:pPr>
              <w:pageBreakBefore w:val="0"/>
              <w:wordWrap/>
              <w:bidi w:val="0"/>
              <w:adjustRightInd/>
              <w:snapToGrid/>
              <w:spacing w:line="240" w:lineRule="auto"/>
              <w:ind w:firstLine="0" w:firstLineChars="0"/>
              <w:jc w:val="center"/>
              <w:rPr>
                <w:color w:val="auto"/>
                <w:sz w:val="21"/>
                <w:szCs w:val="21"/>
              </w:rPr>
            </w:pPr>
          </w:p>
        </w:tc>
        <w:tc>
          <w:tcPr>
            <w:tcW w:w="645" w:type="pct"/>
            <w:tcBorders>
              <w:tl2br w:val="nil"/>
              <w:tr2bl w:val="nil"/>
            </w:tcBorders>
            <w:noWrap w:val="0"/>
            <w:vAlign w:val="center"/>
          </w:tcPr>
          <w:p w14:paraId="266DDA50">
            <w:pPr>
              <w:pStyle w:val="16"/>
              <w:bidi w:val="0"/>
              <w:rPr>
                <w:rFonts w:hint="eastAsia"/>
                <w:color w:val="auto"/>
                <w:lang w:val="en-US" w:eastAsia="zh-CN"/>
              </w:rPr>
            </w:pPr>
            <w:r>
              <w:rPr>
                <w:rFonts w:hint="eastAsia"/>
                <w:color w:val="auto"/>
                <w:lang w:val="en-US" w:eastAsia="zh-CN"/>
              </w:rPr>
              <w:t>食堂</w:t>
            </w:r>
          </w:p>
        </w:tc>
        <w:tc>
          <w:tcPr>
            <w:tcW w:w="518" w:type="pct"/>
            <w:tcBorders>
              <w:tl2br w:val="nil"/>
              <w:tr2bl w:val="nil"/>
            </w:tcBorders>
            <w:noWrap w:val="0"/>
            <w:vAlign w:val="center"/>
          </w:tcPr>
          <w:p w14:paraId="1FDA21F0">
            <w:pPr>
              <w:pStyle w:val="16"/>
              <w:bidi w:val="0"/>
              <w:rPr>
                <w:rFonts w:hint="default"/>
                <w:color w:val="auto"/>
                <w:lang w:val="en-US" w:eastAsia="zh-CN"/>
              </w:rPr>
            </w:pPr>
            <w:r>
              <w:rPr>
                <w:rFonts w:hint="eastAsia"/>
                <w:color w:val="auto"/>
                <w:lang w:val="en-US" w:eastAsia="zh-CN"/>
              </w:rPr>
              <w:t>食堂油烟</w:t>
            </w:r>
          </w:p>
        </w:tc>
        <w:tc>
          <w:tcPr>
            <w:tcW w:w="1129" w:type="pct"/>
            <w:tcBorders>
              <w:tl2br w:val="nil"/>
              <w:tr2bl w:val="nil"/>
            </w:tcBorders>
            <w:noWrap w:val="0"/>
            <w:vAlign w:val="center"/>
          </w:tcPr>
          <w:p w14:paraId="65BB9418">
            <w:pPr>
              <w:pStyle w:val="16"/>
              <w:bidi w:val="0"/>
              <w:rPr>
                <w:rFonts w:hint="default"/>
                <w:color w:val="auto"/>
                <w:lang w:val="en-US" w:eastAsia="zh-CN"/>
              </w:rPr>
            </w:pPr>
            <w:r>
              <w:rPr>
                <w:rFonts w:hint="eastAsia"/>
                <w:color w:val="auto"/>
                <w:lang w:val="en-US" w:eastAsia="zh-CN"/>
              </w:rPr>
              <w:t>0.0025</w:t>
            </w:r>
            <w:r>
              <w:rPr>
                <w:color w:val="auto"/>
              </w:rPr>
              <w:t>kg/h</w:t>
            </w:r>
          </w:p>
        </w:tc>
        <w:tc>
          <w:tcPr>
            <w:tcW w:w="968" w:type="pct"/>
            <w:tcBorders>
              <w:tl2br w:val="nil"/>
              <w:tr2bl w:val="nil"/>
            </w:tcBorders>
            <w:noWrap w:val="0"/>
            <w:vAlign w:val="center"/>
          </w:tcPr>
          <w:p w14:paraId="6A9ADFD1">
            <w:pPr>
              <w:pStyle w:val="16"/>
              <w:bidi w:val="0"/>
              <w:rPr>
                <w:rFonts w:hint="default"/>
                <w:color w:val="auto"/>
                <w:lang w:val="en-US" w:eastAsia="zh-CN"/>
              </w:rPr>
            </w:pPr>
            <w:r>
              <w:rPr>
                <w:rFonts w:hint="eastAsia"/>
                <w:color w:val="auto"/>
                <w:lang w:val="en-US" w:eastAsia="zh-CN"/>
              </w:rPr>
              <w:t>油烟净化器</w:t>
            </w:r>
          </w:p>
        </w:tc>
        <w:tc>
          <w:tcPr>
            <w:tcW w:w="973" w:type="pct"/>
            <w:tcBorders>
              <w:tl2br w:val="nil"/>
              <w:tr2bl w:val="nil"/>
            </w:tcBorders>
            <w:noWrap w:val="0"/>
            <w:vAlign w:val="center"/>
          </w:tcPr>
          <w:p w14:paraId="6B1E8DC7">
            <w:pPr>
              <w:pStyle w:val="16"/>
              <w:bidi w:val="0"/>
              <w:rPr>
                <w:rFonts w:hint="default" w:eastAsia="宋体"/>
                <w:bCs/>
                <w:color w:val="auto"/>
                <w:szCs w:val="21"/>
                <w:lang w:val="en-US" w:eastAsia="zh-CN"/>
              </w:rPr>
            </w:pPr>
            <w:r>
              <w:rPr>
                <w:rFonts w:hint="eastAsia"/>
                <w:color w:val="auto"/>
                <w:lang w:val="en-US" w:eastAsia="zh-CN"/>
              </w:rPr>
              <w:t>0.0009</w:t>
            </w:r>
            <w:r>
              <w:rPr>
                <w:color w:val="auto"/>
              </w:rPr>
              <w:t>kg/h</w:t>
            </w:r>
          </w:p>
        </w:tc>
        <w:tc>
          <w:tcPr>
            <w:tcW w:w="567" w:type="pct"/>
            <w:vMerge w:val="continue"/>
            <w:tcBorders>
              <w:tl2br w:val="nil"/>
              <w:tr2bl w:val="nil"/>
            </w:tcBorders>
            <w:noWrap w:val="0"/>
            <w:vAlign w:val="center"/>
          </w:tcPr>
          <w:p w14:paraId="2DAE1C7D">
            <w:pPr>
              <w:pageBreakBefore w:val="0"/>
              <w:wordWrap/>
              <w:bidi w:val="0"/>
              <w:adjustRightInd/>
              <w:snapToGrid/>
              <w:spacing w:line="240" w:lineRule="auto"/>
              <w:ind w:firstLine="0" w:firstLineChars="0"/>
              <w:jc w:val="center"/>
              <w:rPr>
                <w:color w:val="auto"/>
                <w:sz w:val="21"/>
                <w:szCs w:val="21"/>
              </w:rPr>
            </w:pPr>
          </w:p>
        </w:tc>
      </w:tr>
      <w:tr w14:paraId="735DF1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tcBorders>
              <w:tl2br w:val="nil"/>
              <w:tr2bl w:val="nil"/>
            </w:tcBorders>
            <w:noWrap w:val="0"/>
            <w:vAlign w:val="center"/>
          </w:tcPr>
          <w:p w14:paraId="37923028">
            <w:pPr>
              <w:pageBreakBefore w:val="0"/>
              <w:wordWrap/>
              <w:bidi w:val="0"/>
              <w:adjustRightInd/>
              <w:snapToGrid/>
              <w:spacing w:line="240" w:lineRule="auto"/>
              <w:ind w:firstLine="0" w:firstLineChars="0"/>
              <w:jc w:val="center"/>
              <w:rPr>
                <w:color w:val="auto"/>
                <w:sz w:val="21"/>
                <w:szCs w:val="21"/>
              </w:rPr>
            </w:pPr>
            <w:r>
              <w:rPr>
                <w:color w:val="auto"/>
                <w:sz w:val="21"/>
                <w:szCs w:val="21"/>
              </w:rPr>
              <w:t>废水</w:t>
            </w:r>
          </w:p>
        </w:tc>
        <w:tc>
          <w:tcPr>
            <w:tcW w:w="645" w:type="pct"/>
            <w:tcBorders>
              <w:tl2br w:val="nil"/>
              <w:tr2bl w:val="nil"/>
            </w:tcBorders>
            <w:noWrap w:val="0"/>
            <w:vAlign w:val="center"/>
          </w:tcPr>
          <w:p w14:paraId="317FCCEF">
            <w:pPr>
              <w:pageBreakBefore w:val="0"/>
              <w:wordWrap/>
              <w:bidi w:val="0"/>
              <w:adjustRightInd/>
              <w:snapToGrid/>
              <w:spacing w:line="240" w:lineRule="auto"/>
              <w:ind w:firstLine="0" w:firstLineChars="0"/>
              <w:jc w:val="center"/>
              <w:rPr>
                <w:snapToGrid w:val="0"/>
                <w:color w:val="auto"/>
                <w:sz w:val="21"/>
                <w:szCs w:val="21"/>
              </w:rPr>
            </w:pPr>
            <w:r>
              <w:rPr>
                <w:color w:val="auto"/>
                <w:sz w:val="21"/>
                <w:szCs w:val="21"/>
              </w:rPr>
              <w:t>综合污水</w:t>
            </w:r>
          </w:p>
        </w:tc>
        <w:tc>
          <w:tcPr>
            <w:tcW w:w="518" w:type="pct"/>
            <w:tcBorders>
              <w:tl2br w:val="nil"/>
              <w:tr2bl w:val="nil"/>
            </w:tcBorders>
            <w:noWrap w:val="0"/>
            <w:vAlign w:val="center"/>
          </w:tcPr>
          <w:p w14:paraId="236847E0">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eastAsia="宋体"/>
                <w:color w:val="auto"/>
                <w:sz w:val="21"/>
                <w:szCs w:val="21"/>
                <w:lang w:eastAsia="zh-CN"/>
              </w:rPr>
              <w:t>pH</w:t>
            </w:r>
            <w:r>
              <w:rPr>
                <w:rFonts w:hint="eastAsia"/>
                <w:color w:val="auto"/>
                <w:sz w:val="21"/>
                <w:szCs w:val="21"/>
                <w:lang w:eastAsia="zh-CN"/>
              </w:rPr>
              <w:t>、</w:t>
            </w:r>
            <w:r>
              <w:rPr>
                <w:rFonts w:hint="eastAsia" w:eastAsia="宋体"/>
                <w:color w:val="auto"/>
                <w:sz w:val="21"/>
                <w:szCs w:val="21"/>
                <w:lang w:eastAsia="zh-CN"/>
              </w:rPr>
              <w:t>COD</w:t>
            </w:r>
            <w:r>
              <w:rPr>
                <w:rFonts w:hint="eastAsia"/>
                <w:color w:val="auto"/>
                <w:sz w:val="21"/>
                <w:szCs w:val="21"/>
                <w:lang w:eastAsia="zh-CN"/>
              </w:rPr>
              <w:t>、</w:t>
            </w:r>
            <w:r>
              <w:rPr>
                <w:rFonts w:hint="eastAsia" w:eastAsia="宋体"/>
                <w:color w:val="auto"/>
                <w:sz w:val="21"/>
                <w:szCs w:val="21"/>
                <w:lang w:eastAsia="zh-CN"/>
              </w:rPr>
              <w:t>BOD</w:t>
            </w:r>
            <w:r>
              <w:rPr>
                <w:rFonts w:hint="eastAsia" w:eastAsia="宋体"/>
                <w:color w:val="auto"/>
                <w:sz w:val="21"/>
                <w:szCs w:val="21"/>
                <w:vertAlign w:val="subscript"/>
                <w:lang w:eastAsia="zh-CN"/>
              </w:rPr>
              <w:t>5</w:t>
            </w:r>
            <w:r>
              <w:rPr>
                <w:rFonts w:hint="eastAsia"/>
                <w:color w:val="auto"/>
                <w:sz w:val="21"/>
                <w:szCs w:val="21"/>
                <w:lang w:eastAsia="zh-CN"/>
              </w:rPr>
              <w:t>、</w:t>
            </w:r>
            <w:r>
              <w:rPr>
                <w:rFonts w:hint="eastAsia" w:eastAsia="宋体"/>
                <w:color w:val="auto"/>
                <w:sz w:val="21"/>
                <w:szCs w:val="21"/>
                <w:lang w:eastAsia="zh-CN"/>
              </w:rPr>
              <w:t>SS</w:t>
            </w:r>
            <w:r>
              <w:rPr>
                <w:rFonts w:hint="eastAsia"/>
                <w:color w:val="auto"/>
                <w:sz w:val="21"/>
                <w:szCs w:val="21"/>
                <w:lang w:eastAsia="zh-CN"/>
              </w:rPr>
              <w:t>、</w:t>
            </w:r>
            <w:r>
              <w:rPr>
                <w:rFonts w:hint="eastAsia" w:eastAsia="宋体"/>
                <w:color w:val="auto"/>
                <w:sz w:val="21"/>
                <w:szCs w:val="21"/>
                <w:lang w:eastAsia="zh-CN"/>
              </w:rPr>
              <w:t>NH</w:t>
            </w:r>
            <w:r>
              <w:rPr>
                <w:rFonts w:hint="eastAsia" w:eastAsia="宋体"/>
                <w:color w:val="auto"/>
                <w:sz w:val="21"/>
                <w:szCs w:val="21"/>
                <w:vertAlign w:val="subscript"/>
                <w:lang w:eastAsia="zh-CN"/>
              </w:rPr>
              <w:t>3</w:t>
            </w:r>
            <w:r>
              <w:rPr>
                <w:rFonts w:hint="eastAsia" w:eastAsia="宋体"/>
                <w:color w:val="auto"/>
                <w:sz w:val="21"/>
                <w:szCs w:val="21"/>
                <w:lang w:eastAsia="zh-CN"/>
              </w:rPr>
              <w:t>-N</w:t>
            </w:r>
            <w:r>
              <w:rPr>
                <w:rFonts w:hint="eastAsia"/>
                <w:color w:val="auto"/>
                <w:sz w:val="21"/>
                <w:szCs w:val="21"/>
                <w:lang w:eastAsia="zh-CN"/>
              </w:rPr>
              <w:t>、</w:t>
            </w:r>
            <w:r>
              <w:rPr>
                <w:rFonts w:hint="eastAsia" w:eastAsia="宋体"/>
                <w:color w:val="auto"/>
                <w:sz w:val="21"/>
                <w:szCs w:val="21"/>
                <w:lang w:eastAsia="zh-CN"/>
              </w:rPr>
              <w:t>TP</w:t>
            </w:r>
            <w:r>
              <w:rPr>
                <w:rFonts w:hint="eastAsia"/>
                <w:color w:val="auto"/>
                <w:sz w:val="21"/>
                <w:szCs w:val="21"/>
                <w:lang w:eastAsia="zh-CN"/>
              </w:rPr>
              <w:t>、</w:t>
            </w:r>
            <w:r>
              <w:rPr>
                <w:rFonts w:hint="eastAsia" w:eastAsia="宋体"/>
                <w:color w:val="auto"/>
                <w:sz w:val="21"/>
                <w:szCs w:val="21"/>
                <w:lang w:eastAsia="zh-CN"/>
              </w:rPr>
              <w:t>TN</w:t>
            </w:r>
            <w:r>
              <w:rPr>
                <w:rFonts w:hint="eastAsia"/>
                <w:color w:val="auto"/>
                <w:sz w:val="21"/>
                <w:szCs w:val="21"/>
                <w:lang w:eastAsia="zh-CN"/>
              </w:rPr>
              <w:t>、</w:t>
            </w:r>
          </w:p>
        </w:tc>
        <w:tc>
          <w:tcPr>
            <w:tcW w:w="1129" w:type="pct"/>
            <w:tcBorders>
              <w:tl2br w:val="nil"/>
              <w:tr2bl w:val="nil"/>
            </w:tcBorders>
            <w:noWrap w:val="0"/>
            <w:vAlign w:val="center"/>
          </w:tcPr>
          <w:p w14:paraId="0B71CFF7">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lang w:val="en-US" w:eastAsia="zh-CN"/>
              </w:rPr>
              <w:t>水量：3000</w:t>
            </w:r>
            <w:r>
              <w:rPr>
                <w:rFonts w:hint="eastAsia"/>
                <w:color w:val="auto"/>
                <w:sz w:val="21"/>
                <w:szCs w:val="21"/>
                <w:lang w:eastAsia="zh-CN"/>
              </w:rPr>
              <w:t>m³</w:t>
            </w:r>
            <w:r>
              <w:rPr>
                <w:color w:val="auto"/>
                <w:sz w:val="21"/>
                <w:szCs w:val="21"/>
              </w:rPr>
              <w:t>/d</w:t>
            </w:r>
          </w:p>
          <w:p w14:paraId="44AC038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COD</w:t>
            </w:r>
            <w:r>
              <w:rPr>
                <w:rFonts w:hint="eastAsia"/>
                <w:color w:val="auto"/>
                <w:sz w:val="21"/>
                <w:szCs w:val="21"/>
                <w:lang w:eastAsia="zh-CN"/>
              </w:rPr>
              <w:t>：</w:t>
            </w:r>
            <w:r>
              <w:rPr>
                <w:rFonts w:hint="eastAsia"/>
                <w:color w:val="auto"/>
                <w:sz w:val="21"/>
                <w:szCs w:val="21"/>
                <w:lang w:val="en-US" w:eastAsia="zh-CN"/>
              </w:rPr>
              <w:t>350</w:t>
            </w:r>
            <w:r>
              <w:rPr>
                <w:color w:val="auto"/>
                <w:sz w:val="21"/>
                <w:szCs w:val="21"/>
              </w:rPr>
              <w:t>mg/L</w:t>
            </w:r>
            <w:r>
              <w:rPr>
                <w:rFonts w:hint="eastAsia"/>
                <w:color w:val="auto"/>
                <w:sz w:val="21"/>
                <w:szCs w:val="21"/>
                <w:lang w:eastAsia="zh-CN"/>
              </w:rPr>
              <w:t>，</w:t>
            </w:r>
            <w:r>
              <w:rPr>
                <w:rFonts w:hint="eastAsia"/>
                <w:color w:val="auto"/>
                <w:sz w:val="21"/>
                <w:szCs w:val="21"/>
                <w:lang w:val="en-US" w:eastAsia="zh-CN"/>
              </w:rPr>
              <w:t>383.25</w:t>
            </w:r>
            <w:r>
              <w:rPr>
                <w:color w:val="auto"/>
                <w:sz w:val="21"/>
                <w:szCs w:val="21"/>
              </w:rPr>
              <w:t>t/a</w:t>
            </w:r>
            <w:r>
              <w:rPr>
                <w:rFonts w:hint="eastAsia"/>
                <w:color w:val="auto"/>
                <w:sz w:val="21"/>
                <w:szCs w:val="21"/>
                <w:lang w:eastAsia="zh-CN"/>
              </w:rPr>
              <w:t>；</w:t>
            </w:r>
          </w:p>
          <w:p w14:paraId="0A6EBC33">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BOD</w:t>
            </w:r>
            <w:r>
              <w:rPr>
                <w:rFonts w:hint="eastAsia" w:eastAsia="宋体"/>
                <w:color w:val="auto"/>
                <w:sz w:val="21"/>
                <w:szCs w:val="21"/>
                <w:vertAlign w:val="subscript"/>
                <w:lang w:eastAsia="zh-CN"/>
              </w:rPr>
              <w:t>5</w:t>
            </w:r>
            <w:r>
              <w:rPr>
                <w:rFonts w:hint="eastAsia"/>
                <w:color w:val="auto"/>
                <w:sz w:val="21"/>
                <w:szCs w:val="21"/>
                <w:vertAlign w:val="baseline"/>
                <w:lang w:eastAsia="zh-CN"/>
              </w:rPr>
              <w:t>：</w:t>
            </w:r>
            <w:r>
              <w:rPr>
                <w:rFonts w:hint="eastAsia"/>
                <w:color w:val="auto"/>
                <w:sz w:val="21"/>
                <w:szCs w:val="21"/>
                <w:vertAlign w:val="baseline"/>
                <w:lang w:val="en-US" w:eastAsia="zh-CN"/>
              </w:rPr>
              <w:t>150</w:t>
            </w:r>
            <w:r>
              <w:rPr>
                <w:color w:val="auto"/>
                <w:sz w:val="21"/>
                <w:szCs w:val="21"/>
              </w:rPr>
              <w:t>mg/L</w:t>
            </w:r>
            <w:r>
              <w:rPr>
                <w:rFonts w:hint="eastAsia"/>
                <w:color w:val="auto"/>
                <w:sz w:val="21"/>
                <w:szCs w:val="21"/>
                <w:lang w:eastAsia="zh-CN"/>
              </w:rPr>
              <w:t>，</w:t>
            </w:r>
            <w:r>
              <w:rPr>
                <w:rFonts w:hint="eastAsia"/>
                <w:color w:val="auto"/>
                <w:sz w:val="21"/>
                <w:szCs w:val="21"/>
                <w:lang w:val="en-US" w:eastAsia="zh-CN"/>
              </w:rPr>
              <w:t>164.25</w:t>
            </w:r>
            <w:r>
              <w:rPr>
                <w:color w:val="auto"/>
                <w:sz w:val="21"/>
                <w:szCs w:val="21"/>
              </w:rPr>
              <w:t>t/a</w:t>
            </w:r>
            <w:r>
              <w:rPr>
                <w:rFonts w:hint="eastAsia"/>
                <w:color w:val="auto"/>
                <w:sz w:val="21"/>
                <w:szCs w:val="21"/>
                <w:lang w:eastAsia="zh-CN"/>
              </w:rPr>
              <w:t>；</w:t>
            </w:r>
          </w:p>
          <w:p w14:paraId="6D303A85">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SS</w:t>
            </w:r>
            <w:r>
              <w:rPr>
                <w:rFonts w:hint="eastAsia"/>
                <w:color w:val="auto"/>
                <w:sz w:val="21"/>
                <w:szCs w:val="21"/>
                <w:lang w:val="en-US" w:eastAsia="zh-CN"/>
              </w:rPr>
              <w:t>：400</w:t>
            </w:r>
            <w:r>
              <w:rPr>
                <w:color w:val="auto"/>
                <w:sz w:val="21"/>
                <w:szCs w:val="21"/>
              </w:rPr>
              <w:t>mg/L</w:t>
            </w:r>
            <w:r>
              <w:rPr>
                <w:rFonts w:hint="eastAsia"/>
                <w:color w:val="auto"/>
                <w:sz w:val="21"/>
                <w:szCs w:val="21"/>
                <w:lang w:eastAsia="zh-CN"/>
              </w:rPr>
              <w:t>，</w:t>
            </w:r>
            <w:r>
              <w:rPr>
                <w:rFonts w:hint="eastAsia"/>
                <w:color w:val="auto"/>
                <w:sz w:val="21"/>
                <w:szCs w:val="21"/>
                <w:lang w:val="en-US" w:eastAsia="zh-CN"/>
              </w:rPr>
              <w:t>438</w:t>
            </w:r>
            <w:r>
              <w:rPr>
                <w:color w:val="auto"/>
                <w:sz w:val="21"/>
                <w:szCs w:val="21"/>
              </w:rPr>
              <w:t>t/a</w:t>
            </w:r>
            <w:r>
              <w:rPr>
                <w:rFonts w:hint="eastAsia"/>
                <w:color w:val="auto"/>
                <w:sz w:val="21"/>
                <w:szCs w:val="21"/>
                <w:lang w:eastAsia="zh-CN"/>
              </w:rPr>
              <w:t>；</w:t>
            </w:r>
          </w:p>
          <w:p w14:paraId="32E87EAA">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NH</w:t>
            </w:r>
            <w:r>
              <w:rPr>
                <w:rFonts w:hint="eastAsia" w:eastAsia="宋体"/>
                <w:color w:val="auto"/>
                <w:sz w:val="21"/>
                <w:szCs w:val="21"/>
                <w:vertAlign w:val="subscript"/>
                <w:lang w:eastAsia="zh-CN"/>
              </w:rPr>
              <w:t>3</w:t>
            </w:r>
            <w:r>
              <w:rPr>
                <w:rFonts w:hint="eastAsia" w:eastAsia="宋体"/>
                <w:color w:val="auto"/>
                <w:sz w:val="21"/>
                <w:szCs w:val="21"/>
                <w:lang w:eastAsia="zh-CN"/>
              </w:rPr>
              <w:t>-N</w:t>
            </w:r>
            <w:r>
              <w:rPr>
                <w:rFonts w:hint="eastAsia"/>
                <w:color w:val="auto"/>
                <w:sz w:val="21"/>
                <w:szCs w:val="21"/>
                <w:lang w:val="en-US" w:eastAsia="zh-CN"/>
              </w:rPr>
              <w:t>：50</w:t>
            </w:r>
            <w:r>
              <w:rPr>
                <w:color w:val="auto"/>
                <w:sz w:val="21"/>
                <w:szCs w:val="21"/>
              </w:rPr>
              <w:t>mg/L</w:t>
            </w:r>
            <w:r>
              <w:rPr>
                <w:rFonts w:hint="eastAsia"/>
                <w:color w:val="auto"/>
                <w:sz w:val="21"/>
                <w:szCs w:val="21"/>
                <w:lang w:eastAsia="zh-CN"/>
              </w:rPr>
              <w:t>，</w:t>
            </w:r>
            <w:r>
              <w:rPr>
                <w:rFonts w:hint="eastAsia"/>
                <w:color w:val="auto"/>
                <w:sz w:val="21"/>
                <w:szCs w:val="21"/>
                <w:lang w:val="en-US" w:eastAsia="zh-CN"/>
              </w:rPr>
              <w:t>54.75</w:t>
            </w:r>
            <w:r>
              <w:rPr>
                <w:color w:val="auto"/>
                <w:sz w:val="21"/>
                <w:szCs w:val="21"/>
              </w:rPr>
              <w:t>t/a</w:t>
            </w:r>
            <w:r>
              <w:rPr>
                <w:rFonts w:hint="eastAsia"/>
                <w:color w:val="auto"/>
                <w:sz w:val="21"/>
                <w:szCs w:val="21"/>
                <w:lang w:eastAsia="zh-CN"/>
              </w:rPr>
              <w:t>；</w:t>
            </w:r>
          </w:p>
          <w:p w14:paraId="6FE073EA">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TP</w:t>
            </w:r>
            <w:r>
              <w:rPr>
                <w:rFonts w:hint="eastAsia"/>
                <w:color w:val="auto"/>
                <w:sz w:val="21"/>
                <w:szCs w:val="21"/>
                <w:lang w:val="en-US" w:eastAsia="zh-CN"/>
              </w:rPr>
              <w:t>：4</w:t>
            </w:r>
            <w:r>
              <w:rPr>
                <w:color w:val="auto"/>
                <w:sz w:val="21"/>
                <w:szCs w:val="21"/>
              </w:rPr>
              <w:t>mg/L</w:t>
            </w:r>
            <w:r>
              <w:rPr>
                <w:rFonts w:hint="eastAsia"/>
                <w:color w:val="auto"/>
                <w:sz w:val="21"/>
                <w:szCs w:val="21"/>
                <w:lang w:eastAsia="zh-CN"/>
              </w:rPr>
              <w:t>，</w:t>
            </w:r>
            <w:r>
              <w:rPr>
                <w:rFonts w:hint="eastAsia"/>
                <w:color w:val="auto"/>
                <w:sz w:val="21"/>
                <w:szCs w:val="21"/>
                <w:lang w:val="en-US" w:eastAsia="zh-CN"/>
              </w:rPr>
              <w:t>4.38</w:t>
            </w:r>
            <w:r>
              <w:rPr>
                <w:color w:val="auto"/>
                <w:sz w:val="21"/>
                <w:szCs w:val="21"/>
              </w:rPr>
              <w:t>t/a</w:t>
            </w:r>
            <w:r>
              <w:rPr>
                <w:rFonts w:hint="eastAsia"/>
                <w:color w:val="auto"/>
                <w:sz w:val="21"/>
                <w:szCs w:val="21"/>
                <w:lang w:eastAsia="zh-CN"/>
              </w:rPr>
              <w:t>；</w:t>
            </w:r>
          </w:p>
          <w:p w14:paraId="30C877EC">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eastAsia="宋体"/>
                <w:color w:val="auto"/>
                <w:sz w:val="21"/>
                <w:szCs w:val="21"/>
                <w:lang w:eastAsia="zh-CN"/>
              </w:rPr>
              <w:t>TN</w:t>
            </w:r>
            <w:r>
              <w:rPr>
                <w:rFonts w:hint="eastAsia"/>
                <w:color w:val="auto"/>
                <w:sz w:val="21"/>
                <w:szCs w:val="21"/>
                <w:lang w:eastAsia="zh-CN"/>
              </w:rPr>
              <w:t>：</w:t>
            </w:r>
            <w:r>
              <w:rPr>
                <w:rFonts w:hint="eastAsia"/>
                <w:color w:val="auto"/>
                <w:sz w:val="21"/>
                <w:szCs w:val="21"/>
                <w:lang w:val="en-US" w:eastAsia="zh-CN"/>
              </w:rPr>
              <w:t>80</w:t>
            </w:r>
            <w:r>
              <w:rPr>
                <w:color w:val="auto"/>
                <w:sz w:val="21"/>
                <w:szCs w:val="21"/>
              </w:rPr>
              <w:t>mg/L</w:t>
            </w:r>
            <w:r>
              <w:rPr>
                <w:rFonts w:hint="eastAsia"/>
                <w:color w:val="auto"/>
                <w:sz w:val="21"/>
                <w:szCs w:val="21"/>
                <w:lang w:eastAsia="zh-CN"/>
              </w:rPr>
              <w:t>，</w:t>
            </w:r>
            <w:r>
              <w:rPr>
                <w:rFonts w:hint="eastAsia"/>
                <w:color w:val="auto"/>
                <w:sz w:val="21"/>
                <w:szCs w:val="21"/>
                <w:lang w:val="en-US" w:eastAsia="zh-CN"/>
              </w:rPr>
              <w:t>87.6</w:t>
            </w:r>
            <w:r>
              <w:rPr>
                <w:color w:val="auto"/>
                <w:sz w:val="21"/>
                <w:szCs w:val="21"/>
              </w:rPr>
              <w:t>t/a</w:t>
            </w:r>
            <w:r>
              <w:rPr>
                <w:rFonts w:hint="eastAsia"/>
                <w:color w:val="auto"/>
                <w:sz w:val="21"/>
                <w:szCs w:val="21"/>
                <w:lang w:eastAsia="zh-CN"/>
              </w:rPr>
              <w:t>；</w:t>
            </w:r>
          </w:p>
          <w:p w14:paraId="32D92085">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石油类</w:t>
            </w:r>
            <w:r>
              <w:rPr>
                <w:rFonts w:hint="eastAsia"/>
                <w:color w:val="auto"/>
                <w:sz w:val="21"/>
                <w:szCs w:val="21"/>
                <w:lang w:eastAsia="zh-CN"/>
              </w:rPr>
              <w:t>：</w:t>
            </w:r>
            <w:r>
              <w:rPr>
                <w:rFonts w:hint="eastAsia"/>
                <w:color w:val="auto"/>
                <w:sz w:val="21"/>
                <w:szCs w:val="21"/>
                <w:lang w:val="en-US" w:eastAsia="zh-CN"/>
              </w:rPr>
              <w:t>1</w:t>
            </w:r>
            <w:r>
              <w:rPr>
                <w:color w:val="auto"/>
                <w:sz w:val="21"/>
                <w:szCs w:val="21"/>
              </w:rPr>
              <w:t>mg/L</w:t>
            </w:r>
            <w:r>
              <w:rPr>
                <w:rFonts w:hint="eastAsia"/>
                <w:color w:val="auto"/>
                <w:sz w:val="21"/>
                <w:szCs w:val="21"/>
                <w:lang w:eastAsia="zh-CN"/>
              </w:rPr>
              <w:t>，</w:t>
            </w:r>
            <w:r>
              <w:rPr>
                <w:rFonts w:hint="eastAsia"/>
                <w:color w:val="auto"/>
                <w:sz w:val="21"/>
                <w:szCs w:val="21"/>
                <w:lang w:val="en-US" w:eastAsia="zh-CN"/>
              </w:rPr>
              <w:t>1.095</w:t>
            </w:r>
            <w:r>
              <w:rPr>
                <w:color w:val="auto"/>
                <w:sz w:val="21"/>
                <w:szCs w:val="21"/>
              </w:rPr>
              <w:t>t/a</w:t>
            </w:r>
            <w:r>
              <w:rPr>
                <w:rFonts w:hint="eastAsia"/>
                <w:color w:val="auto"/>
                <w:sz w:val="21"/>
                <w:szCs w:val="21"/>
                <w:lang w:eastAsia="zh-CN"/>
              </w:rPr>
              <w:t>；</w:t>
            </w:r>
          </w:p>
          <w:p w14:paraId="13742D4E">
            <w:pPr>
              <w:pageBreakBefore w:val="0"/>
              <w:wordWrap/>
              <w:bidi w:val="0"/>
              <w:adjustRightInd/>
              <w:snapToGrid/>
              <w:spacing w:line="240" w:lineRule="auto"/>
              <w:ind w:firstLine="0" w:firstLineChars="0"/>
              <w:jc w:val="center"/>
              <w:rPr>
                <w:rFonts w:hint="default"/>
                <w:color w:val="auto"/>
                <w:lang w:val="en-US"/>
              </w:rPr>
            </w:pPr>
            <w:r>
              <w:rPr>
                <w:rFonts w:hint="eastAsia" w:eastAsia="宋体"/>
                <w:color w:val="auto"/>
                <w:sz w:val="21"/>
                <w:szCs w:val="21"/>
                <w:lang w:val="en-US" w:eastAsia="zh-CN"/>
              </w:rPr>
              <w:t>甲醛</w:t>
            </w:r>
            <w:r>
              <w:rPr>
                <w:rFonts w:hint="eastAsia"/>
                <w:color w:val="auto"/>
                <w:sz w:val="21"/>
                <w:szCs w:val="21"/>
                <w:lang w:eastAsia="zh-CN"/>
              </w:rPr>
              <w:t>：</w:t>
            </w:r>
            <w:r>
              <w:rPr>
                <w:rFonts w:hint="eastAsia"/>
                <w:color w:val="auto"/>
                <w:sz w:val="21"/>
                <w:szCs w:val="21"/>
                <w:lang w:val="en-US" w:eastAsia="zh-CN"/>
              </w:rPr>
              <w:t>1</w:t>
            </w:r>
            <w:r>
              <w:rPr>
                <w:color w:val="auto"/>
                <w:sz w:val="21"/>
                <w:szCs w:val="21"/>
              </w:rPr>
              <w:t>mg/L</w:t>
            </w:r>
            <w:r>
              <w:rPr>
                <w:rFonts w:hint="eastAsia"/>
                <w:color w:val="auto"/>
                <w:sz w:val="21"/>
                <w:szCs w:val="21"/>
                <w:lang w:eastAsia="zh-CN"/>
              </w:rPr>
              <w:t>，</w:t>
            </w:r>
            <w:r>
              <w:rPr>
                <w:rFonts w:hint="eastAsia"/>
                <w:color w:val="auto"/>
                <w:sz w:val="21"/>
                <w:szCs w:val="21"/>
                <w:lang w:val="en-US" w:eastAsia="zh-CN"/>
              </w:rPr>
              <w:t>1.095</w:t>
            </w:r>
            <w:r>
              <w:rPr>
                <w:color w:val="auto"/>
                <w:sz w:val="21"/>
                <w:szCs w:val="21"/>
              </w:rPr>
              <w:t>t/a</w:t>
            </w:r>
          </w:p>
        </w:tc>
        <w:tc>
          <w:tcPr>
            <w:tcW w:w="968" w:type="pct"/>
            <w:tcBorders>
              <w:tl2br w:val="nil"/>
              <w:tr2bl w:val="nil"/>
            </w:tcBorders>
            <w:noWrap w:val="0"/>
            <w:vAlign w:val="center"/>
          </w:tcPr>
          <w:p w14:paraId="39282EDE">
            <w:pPr>
              <w:pageBreakBefore w:val="0"/>
              <w:wordWrap/>
              <w:bidi w:val="0"/>
              <w:adjustRightInd/>
              <w:snapToGrid/>
              <w:spacing w:line="240" w:lineRule="auto"/>
              <w:ind w:firstLine="0" w:firstLineChars="0"/>
              <w:jc w:val="center"/>
              <w:rPr>
                <w:color w:val="auto"/>
                <w:sz w:val="21"/>
                <w:szCs w:val="21"/>
              </w:rPr>
            </w:pPr>
            <w:r>
              <w:rPr>
                <w:rFonts w:hint="eastAsia"/>
                <w:bCs/>
                <w:color w:val="auto"/>
                <w:sz w:val="21"/>
                <w:szCs w:val="21"/>
              </w:rPr>
              <w:t>超细格栅+调节池+水解酸化池+生化池+二沉池+磁混凝沉淀池+深床反硝化+高级氧化深度处理+紫外线消毒</w:t>
            </w:r>
          </w:p>
        </w:tc>
        <w:tc>
          <w:tcPr>
            <w:tcW w:w="973" w:type="pct"/>
            <w:tcBorders>
              <w:tl2br w:val="nil"/>
              <w:tr2bl w:val="nil"/>
            </w:tcBorders>
            <w:noWrap w:val="0"/>
            <w:vAlign w:val="center"/>
          </w:tcPr>
          <w:p w14:paraId="0AF4F77A">
            <w:pPr>
              <w:pageBreakBefore w:val="0"/>
              <w:wordWrap/>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水量：3000</w:t>
            </w:r>
            <w:r>
              <w:rPr>
                <w:rFonts w:hint="eastAsia"/>
                <w:color w:val="auto"/>
                <w:sz w:val="21"/>
                <w:szCs w:val="21"/>
                <w:lang w:eastAsia="zh-CN"/>
              </w:rPr>
              <w:t>m³</w:t>
            </w:r>
            <w:r>
              <w:rPr>
                <w:color w:val="auto"/>
                <w:sz w:val="21"/>
                <w:szCs w:val="21"/>
              </w:rPr>
              <w:t>/d</w:t>
            </w:r>
          </w:p>
          <w:p w14:paraId="6D32464A">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COD</w:t>
            </w:r>
            <w:r>
              <w:rPr>
                <w:rFonts w:hint="eastAsia"/>
                <w:color w:val="auto"/>
                <w:sz w:val="21"/>
                <w:szCs w:val="21"/>
                <w:lang w:eastAsia="zh-CN"/>
              </w:rPr>
              <w:t>：</w:t>
            </w:r>
            <w:r>
              <w:rPr>
                <w:rFonts w:hint="eastAsia"/>
                <w:color w:val="auto"/>
                <w:sz w:val="21"/>
                <w:szCs w:val="21"/>
                <w:lang w:val="en-US" w:eastAsia="zh-CN"/>
              </w:rPr>
              <w:t>50</w:t>
            </w:r>
            <w:r>
              <w:rPr>
                <w:color w:val="auto"/>
                <w:sz w:val="21"/>
                <w:szCs w:val="21"/>
              </w:rPr>
              <w:t>mg/L</w:t>
            </w:r>
            <w:r>
              <w:rPr>
                <w:rFonts w:hint="eastAsia"/>
                <w:color w:val="auto"/>
                <w:sz w:val="21"/>
                <w:szCs w:val="21"/>
                <w:lang w:eastAsia="zh-CN"/>
              </w:rPr>
              <w:t>，</w:t>
            </w:r>
            <w:r>
              <w:rPr>
                <w:rFonts w:hint="eastAsia"/>
                <w:color w:val="auto"/>
                <w:sz w:val="21"/>
                <w:szCs w:val="21"/>
                <w:lang w:val="en-US" w:eastAsia="zh-CN"/>
              </w:rPr>
              <w:t>54.75</w:t>
            </w:r>
            <w:r>
              <w:rPr>
                <w:color w:val="auto"/>
                <w:sz w:val="21"/>
                <w:szCs w:val="21"/>
              </w:rPr>
              <w:t>t/a</w:t>
            </w:r>
            <w:r>
              <w:rPr>
                <w:rFonts w:hint="eastAsia"/>
                <w:color w:val="auto"/>
                <w:sz w:val="21"/>
                <w:szCs w:val="21"/>
                <w:lang w:eastAsia="zh-CN"/>
              </w:rPr>
              <w:t>；</w:t>
            </w:r>
          </w:p>
          <w:p w14:paraId="4535971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BOD</w:t>
            </w:r>
            <w:r>
              <w:rPr>
                <w:rFonts w:hint="eastAsia" w:eastAsia="宋体"/>
                <w:color w:val="auto"/>
                <w:sz w:val="21"/>
                <w:szCs w:val="21"/>
                <w:vertAlign w:val="subscript"/>
                <w:lang w:eastAsia="zh-CN"/>
              </w:rPr>
              <w:t>5</w:t>
            </w:r>
            <w:r>
              <w:rPr>
                <w:rFonts w:hint="eastAsia"/>
                <w:color w:val="auto"/>
                <w:sz w:val="21"/>
                <w:szCs w:val="21"/>
                <w:vertAlign w:val="baseline"/>
                <w:lang w:eastAsia="zh-CN"/>
              </w:rPr>
              <w:t>：</w:t>
            </w:r>
            <w:r>
              <w:rPr>
                <w:rFonts w:hint="eastAsia"/>
                <w:color w:val="auto"/>
                <w:sz w:val="21"/>
                <w:szCs w:val="21"/>
                <w:vertAlign w:val="baseline"/>
                <w:lang w:val="en-US" w:eastAsia="zh-CN"/>
              </w:rPr>
              <w:t>10</w:t>
            </w:r>
            <w:r>
              <w:rPr>
                <w:color w:val="auto"/>
                <w:sz w:val="21"/>
                <w:szCs w:val="21"/>
              </w:rPr>
              <w:t>mg/L</w:t>
            </w:r>
            <w:r>
              <w:rPr>
                <w:rFonts w:hint="eastAsia"/>
                <w:color w:val="auto"/>
                <w:sz w:val="21"/>
                <w:szCs w:val="21"/>
                <w:lang w:eastAsia="zh-CN"/>
              </w:rPr>
              <w:t>，</w:t>
            </w:r>
            <w:r>
              <w:rPr>
                <w:rFonts w:hint="eastAsia"/>
                <w:color w:val="auto"/>
                <w:sz w:val="21"/>
                <w:szCs w:val="21"/>
                <w:lang w:val="en-US" w:eastAsia="zh-CN"/>
              </w:rPr>
              <w:t>10.95</w:t>
            </w:r>
            <w:r>
              <w:rPr>
                <w:color w:val="auto"/>
                <w:sz w:val="21"/>
                <w:szCs w:val="21"/>
              </w:rPr>
              <w:t>t/a</w:t>
            </w:r>
            <w:r>
              <w:rPr>
                <w:rFonts w:hint="eastAsia"/>
                <w:color w:val="auto"/>
                <w:sz w:val="21"/>
                <w:szCs w:val="21"/>
                <w:lang w:eastAsia="zh-CN"/>
              </w:rPr>
              <w:t>；</w:t>
            </w:r>
          </w:p>
          <w:p w14:paraId="3B9CCD7F">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SS</w:t>
            </w:r>
            <w:r>
              <w:rPr>
                <w:rFonts w:hint="eastAsia"/>
                <w:color w:val="auto"/>
                <w:sz w:val="21"/>
                <w:szCs w:val="21"/>
                <w:lang w:val="en-US" w:eastAsia="zh-CN"/>
              </w:rPr>
              <w:t>：10</w:t>
            </w:r>
            <w:r>
              <w:rPr>
                <w:color w:val="auto"/>
                <w:sz w:val="21"/>
                <w:szCs w:val="21"/>
              </w:rPr>
              <w:t>mg/L</w:t>
            </w:r>
            <w:r>
              <w:rPr>
                <w:rFonts w:hint="eastAsia"/>
                <w:color w:val="auto"/>
                <w:sz w:val="21"/>
                <w:szCs w:val="21"/>
                <w:lang w:eastAsia="zh-CN"/>
              </w:rPr>
              <w:t>，</w:t>
            </w:r>
            <w:r>
              <w:rPr>
                <w:rFonts w:hint="eastAsia"/>
                <w:color w:val="auto"/>
                <w:sz w:val="21"/>
                <w:szCs w:val="21"/>
                <w:lang w:val="en-US" w:eastAsia="zh-CN"/>
              </w:rPr>
              <w:t>10.95</w:t>
            </w:r>
            <w:r>
              <w:rPr>
                <w:color w:val="auto"/>
                <w:sz w:val="21"/>
                <w:szCs w:val="21"/>
              </w:rPr>
              <w:t>t/a</w:t>
            </w:r>
            <w:r>
              <w:rPr>
                <w:rFonts w:hint="eastAsia"/>
                <w:color w:val="auto"/>
                <w:sz w:val="21"/>
                <w:szCs w:val="21"/>
                <w:lang w:eastAsia="zh-CN"/>
              </w:rPr>
              <w:t>；</w:t>
            </w:r>
          </w:p>
          <w:p w14:paraId="369CE7A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NH</w:t>
            </w:r>
            <w:r>
              <w:rPr>
                <w:rFonts w:hint="eastAsia" w:eastAsia="宋体"/>
                <w:color w:val="auto"/>
                <w:sz w:val="21"/>
                <w:szCs w:val="21"/>
                <w:vertAlign w:val="subscript"/>
                <w:lang w:eastAsia="zh-CN"/>
              </w:rPr>
              <w:t>3</w:t>
            </w:r>
            <w:r>
              <w:rPr>
                <w:rFonts w:hint="eastAsia" w:eastAsia="宋体"/>
                <w:color w:val="auto"/>
                <w:sz w:val="21"/>
                <w:szCs w:val="21"/>
                <w:lang w:eastAsia="zh-CN"/>
              </w:rPr>
              <w:t>-N</w:t>
            </w:r>
            <w:r>
              <w:rPr>
                <w:rFonts w:hint="eastAsia"/>
                <w:color w:val="auto"/>
                <w:sz w:val="21"/>
                <w:szCs w:val="21"/>
                <w:lang w:val="en-US" w:eastAsia="zh-CN"/>
              </w:rPr>
              <w:t>：5</w:t>
            </w:r>
            <w:r>
              <w:rPr>
                <w:color w:val="auto"/>
                <w:sz w:val="21"/>
                <w:szCs w:val="21"/>
              </w:rPr>
              <w:t>mg/L</w:t>
            </w:r>
            <w:r>
              <w:rPr>
                <w:rFonts w:hint="eastAsia"/>
                <w:color w:val="auto"/>
                <w:sz w:val="21"/>
                <w:szCs w:val="21"/>
                <w:lang w:eastAsia="zh-CN"/>
              </w:rPr>
              <w:t>，</w:t>
            </w:r>
            <w:r>
              <w:rPr>
                <w:rFonts w:hint="eastAsia"/>
                <w:color w:val="auto"/>
                <w:sz w:val="21"/>
                <w:szCs w:val="21"/>
                <w:lang w:val="en-US" w:eastAsia="zh-CN"/>
              </w:rPr>
              <w:t>5.475</w:t>
            </w:r>
            <w:r>
              <w:rPr>
                <w:color w:val="auto"/>
                <w:sz w:val="21"/>
                <w:szCs w:val="21"/>
              </w:rPr>
              <w:t>t/a</w:t>
            </w:r>
            <w:r>
              <w:rPr>
                <w:rFonts w:hint="eastAsia"/>
                <w:color w:val="auto"/>
                <w:sz w:val="21"/>
                <w:szCs w:val="21"/>
                <w:lang w:eastAsia="zh-CN"/>
              </w:rPr>
              <w:t>；</w:t>
            </w:r>
          </w:p>
          <w:p w14:paraId="3499F56B">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eastAsia="宋体"/>
                <w:color w:val="auto"/>
                <w:sz w:val="21"/>
                <w:szCs w:val="21"/>
                <w:lang w:eastAsia="zh-CN"/>
              </w:rPr>
              <w:t>TP</w:t>
            </w:r>
            <w:r>
              <w:rPr>
                <w:rFonts w:hint="eastAsia"/>
                <w:color w:val="auto"/>
                <w:sz w:val="21"/>
                <w:szCs w:val="21"/>
                <w:lang w:val="en-US" w:eastAsia="zh-CN"/>
              </w:rPr>
              <w:t>：0.5</w:t>
            </w:r>
            <w:r>
              <w:rPr>
                <w:color w:val="auto"/>
                <w:sz w:val="21"/>
                <w:szCs w:val="21"/>
              </w:rPr>
              <w:t>mg/L</w:t>
            </w:r>
            <w:r>
              <w:rPr>
                <w:rFonts w:hint="eastAsia"/>
                <w:color w:val="auto"/>
                <w:sz w:val="21"/>
                <w:szCs w:val="21"/>
                <w:lang w:eastAsia="zh-CN"/>
              </w:rPr>
              <w:t>，</w:t>
            </w:r>
            <w:r>
              <w:rPr>
                <w:rFonts w:hint="eastAsia"/>
                <w:color w:val="auto"/>
                <w:sz w:val="21"/>
                <w:szCs w:val="21"/>
                <w:lang w:val="en-US" w:eastAsia="zh-CN"/>
              </w:rPr>
              <w:t>0.5475</w:t>
            </w:r>
            <w:r>
              <w:rPr>
                <w:color w:val="auto"/>
                <w:sz w:val="21"/>
                <w:szCs w:val="21"/>
              </w:rPr>
              <w:t>t/a</w:t>
            </w:r>
            <w:r>
              <w:rPr>
                <w:rFonts w:hint="eastAsia"/>
                <w:color w:val="auto"/>
                <w:sz w:val="21"/>
                <w:szCs w:val="21"/>
                <w:lang w:eastAsia="zh-CN"/>
              </w:rPr>
              <w:t>；</w:t>
            </w:r>
          </w:p>
          <w:p w14:paraId="244532B6">
            <w:pPr>
              <w:pageBreakBefore w:val="0"/>
              <w:wordWrap/>
              <w:bidi w:val="0"/>
              <w:adjustRightInd/>
              <w:snapToGrid/>
              <w:spacing w:line="240" w:lineRule="auto"/>
              <w:ind w:firstLine="0" w:firstLineChars="0"/>
              <w:jc w:val="center"/>
              <w:rPr>
                <w:rFonts w:hint="eastAsia"/>
                <w:color w:val="auto"/>
                <w:sz w:val="21"/>
                <w:szCs w:val="21"/>
                <w:lang w:eastAsia="zh-CN"/>
              </w:rPr>
            </w:pPr>
            <w:r>
              <w:rPr>
                <w:rFonts w:hint="eastAsia" w:eastAsia="宋体"/>
                <w:color w:val="auto"/>
                <w:sz w:val="21"/>
                <w:szCs w:val="21"/>
                <w:lang w:eastAsia="zh-CN"/>
              </w:rPr>
              <w:t>TN</w:t>
            </w:r>
            <w:r>
              <w:rPr>
                <w:rFonts w:hint="eastAsia"/>
                <w:color w:val="auto"/>
                <w:sz w:val="21"/>
                <w:szCs w:val="21"/>
                <w:lang w:eastAsia="zh-CN"/>
              </w:rPr>
              <w:t>：</w:t>
            </w:r>
            <w:r>
              <w:rPr>
                <w:rFonts w:hint="eastAsia"/>
                <w:color w:val="auto"/>
                <w:sz w:val="21"/>
                <w:szCs w:val="21"/>
                <w:lang w:val="en-US" w:eastAsia="zh-CN"/>
              </w:rPr>
              <w:t>15</w:t>
            </w:r>
            <w:r>
              <w:rPr>
                <w:color w:val="auto"/>
                <w:sz w:val="21"/>
                <w:szCs w:val="21"/>
              </w:rPr>
              <w:t>mg/L</w:t>
            </w:r>
            <w:r>
              <w:rPr>
                <w:rFonts w:hint="eastAsia"/>
                <w:color w:val="auto"/>
                <w:sz w:val="21"/>
                <w:szCs w:val="21"/>
                <w:lang w:eastAsia="zh-CN"/>
              </w:rPr>
              <w:t>，</w:t>
            </w:r>
            <w:r>
              <w:rPr>
                <w:rFonts w:hint="eastAsia"/>
                <w:color w:val="auto"/>
                <w:sz w:val="21"/>
                <w:szCs w:val="21"/>
                <w:lang w:val="en-US" w:eastAsia="zh-CN"/>
              </w:rPr>
              <w:t>16.425</w:t>
            </w:r>
            <w:r>
              <w:rPr>
                <w:color w:val="auto"/>
                <w:sz w:val="21"/>
                <w:szCs w:val="21"/>
              </w:rPr>
              <w:t>t/a</w:t>
            </w:r>
            <w:r>
              <w:rPr>
                <w:rFonts w:hint="eastAsia"/>
                <w:color w:val="auto"/>
                <w:sz w:val="21"/>
                <w:szCs w:val="21"/>
                <w:lang w:eastAsia="zh-CN"/>
              </w:rPr>
              <w:t>；</w:t>
            </w:r>
          </w:p>
          <w:p w14:paraId="602EB669">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石油类</w:t>
            </w:r>
            <w:r>
              <w:rPr>
                <w:rFonts w:hint="eastAsia"/>
                <w:color w:val="auto"/>
                <w:sz w:val="21"/>
                <w:szCs w:val="21"/>
                <w:lang w:eastAsia="zh-CN"/>
              </w:rPr>
              <w:t>：</w:t>
            </w:r>
            <w:r>
              <w:rPr>
                <w:rFonts w:hint="eastAsia"/>
                <w:color w:val="auto"/>
                <w:sz w:val="21"/>
                <w:szCs w:val="21"/>
                <w:lang w:val="en-US" w:eastAsia="zh-CN"/>
              </w:rPr>
              <w:t>1</w:t>
            </w:r>
            <w:r>
              <w:rPr>
                <w:color w:val="auto"/>
                <w:sz w:val="21"/>
                <w:szCs w:val="21"/>
              </w:rPr>
              <w:t>mg/L</w:t>
            </w:r>
            <w:r>
              <w:rPr>
                <w:rFonts w:hint="eastAsia"/>
                <w:color w:val="auto"/>
                <w:sz w:val="21"/>
                <w:szCs w:val="21"/>
                <w:lang w:eastAsia="zh-CN"/>
              </w:rPr>
              <w:t>，</w:t>
            </w:r>
            <w:r>
              <w:rPr>
                <w:rFonts w:hint="eastAsia"/>
                <w:color w:val="auto"/>
                <w:sz w:val="21"/>
                <w:szCs w:val="21"/>
                <w:lang w:val="en-US" w:eastAsia="zh-CN"/>
              </w:rPr>
              <w:t>1.095</w:t>
            </w:r>
            <w:r>
              <w:rPr>
                <w:color w:val="auto"/>
                <w:sz w:val="21"/>
                <w:szCs w:val="21"/>
              </w:rPr>
              <w:t>t/a</w:t>
            </w:r>
            <w:r>
              <w:rPr>
                <w:rFonts w:hint="eastAsia"/>
                <w:color w:val="auto"/>
                <w:sz w:val="21"/>
                <w:szCs w:val="21"/>
                <w:lang w:eastAsia="zh-CN"/>
              </w:rPr>
              <w:t>；</w:t>
            </w:r>
          </w:p>
          <w:p w14:paraId="22192371">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eastAsia="宋体"/>
                <w:color w:val="auto"/>
                <w:sz w:val="21"/>
                <w:szCs w:val="21"/>
                <w:lang w:val="en-US" w:eastAsia="zh-CN"/>
              </w:rPr>
              <w:t>甲醛</w:t>
            </w:r>
            <w:r>
              <w:rPr>
                <w:rFonts w:hint="eastAsia"/>
                <w:color w:val="auto"/>
                <w:sz w:val="21"/>
                <w:szCs w:val="21"/>
                <w:lang w:eastAsia="zh-CN"/>
              </w:rPr>
              <w:t>：</w:t>
            </w:r>
            <w:r>
              <w:rPr>
                <w:rFonts w:hint="eastAsia"/>
                <w:color w:val="auto"/>
                <w:sz w:val="21"/>
                <w:szCs w:val="21"/>
                <w:lang w:val="en-US" w:eastAsia="zh-CN"/>
              </w:rPr>
              <w:t>1</w:t>
            </w:r>
            <w:r>
              <w:rPr>
                <w:color w:val="auto"/>
                <w:sz w:val="21"/>
                <w:szCs w:val="21"/>
              </w:rPr>
              <w:t>mg/L</w:t>
            </w:r>
            <w:r>
              <w:rPr>
                <w:rFonts w:hint="eastAsia"/>
                <w:color w:val="auto"/>
                <w:sz w:val="21"/>
                <w:szCs w:val="21"/>
                <w:lang w:eastAsia="zh-CN"/>
              </w:rPr>
              <w:t>，</w:t>
            </w:r>
            <w:r>
              <w:rPr>
                <w:rFonts w:hint="eastAsia"/>
                <w:color w:val="auto"/>
                <w:sz w:val="21"/>
                <w:szCs w:val="21"/>
                <w:lang w:val="en-US" w:eastAsia="zh-CN"/>
              </w:rPr>
              <w:t>1.095</w:t>
            </w:r>
            <w:r>
              <w:rPr>
                <w:color w:val="auto"/>
                <w:sz w:val="21"/>
                <w:szCs w:val="21"/>
              </w:rPr>
              <w:t>t/a</w:t>
            </w:r>
          </w:p>
        </w:tc>
        <w:tc>
          <w:tcPr>
            <w:tcW w:w="567" w:type="pct"/>
            <w:tcBorders>
              <w:tl2br w:val="nil"/>
              <w:tr2bl w:val="nil"/>
            </w:tcBorders>
            <w:noWrap w:val="0"/>
            <w:vAlign w:val="center"/>
          </w:tcPr>
          <w:p w14:paraId="358D9C57">
            <w:pPr>
              <w:pageBreakBefore w:val="0"/>
              <w:wordWrap/>
              <w:bidi w:val="0"/>
              <w:adjustRightInd/>
              <w:snapToGrid/>
              <w:spacing w:line="240" w:lineRule="auto"/>
              <w:ind w:firstLine="0" w:firstLineChars="0"/>
              <w:jc w:val="center"/>
              <w:rPr>
                <w:rFonts w:hint="eastAsia" w:eastAsia="宋体"/>
                <w:color w:val="auto"/>
                <w:kern w:val="0"/>
                <w:sz w:val="21"/>
                <w:szCs w:val="21"/>
                <w:lang w:eastAsia="zh-CN"/>
              </w:rPr>
            </w:pPr>
            <w:r>
              <w:rPr>
                <w:rFonts w:hint="eastAsia"/>
                <w:color w:val="auto"/>
                <w:kern w:val="0"/>
                <w:sz w:val="21"/>
                <w:szCs w:val="21"/>
                <w:lang w:eastAsia="zh-CN"/>
              </w:rPr>
              <w:t>巴河</w:t>
            </w:r>
          </w:p>
        </w:tc>
      </w:tr>
      <w:tr w14:paraId="1FEE67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restart"/>
            <w:tcBorders>
              <w:tl2br w:val="nil"/>
              <w:tr2bl w:val="nil"/>
            </w:tcBorders>
            <w:noWrap w:val="0"/>
            <w:vAlign w:val="center"/>
          </w:tcPr>
          <w:p w14:paraId="06EA3F2C">
            <w:pPr>
              <w:pageBreakBefore w:val="0"/>
              <w:wordWrap/>
              <w:bidi w:val="0"/>
              <w:adjustRightInd/>
              <w:snapToGrid/>
              <w:spacing w:line="240" w:lineRule="auto"/>
              <w:ind w:firstLine="0" w:firstLineChars="0"/>
              <w:jc w:val="center"/>
              <w:rPr>
                <w:color w:val="auto"/>
                <w:sz w:val="21"/>
                <w:szCs w:val="21"/>
              </w:rPr>
            </w:pPr>
            <w:r>
              <w:rPr>
                <w:color w:val="auto"/>
                <w:sz w:val="21"/>
                <w:szCs w:val="21"/>
              </w:rPr>
              <w:t>固废</w:t>
            </w:r>
          </w:p>
        </w:tc>
        <w:tc>
          <w:tcPr>
            <w:tcW w:w="645" w:type="pct"/>
            <w:tcBorders>
              <w:tl2br w:val="nil"/>
              <w:tr2bl w:val="nil"/>
            </w:tcBorders>
            <w:noWrap w:val="0"/>
            <w:vAlign w:val="center"/>
          </w:tcPr>
          <w:p w14:paraId="722A9B3B">
            <w:pPr>
              <w:pStyle w:val="498"/>
              <w:pageBreakBefore w:val="0"/>
              <w:wordWrap/>
              <w:bidi w:val="0"/>
              <w:adjustRightInd/>
              <w:snapToGrid/>
              <w:ind w:firstLine="0" w:firstLineChars="0"/>
              <w:jc w:val="center"/>
              <w:rPr>
                <w:color w:val="auto"/>
                <w:sz w:val="21"/>
                <w:szCs w:val="21"/>
              </w:rPr>
            </w:pPr>
            <w:r>
              <w:rPr>
                <w:color w:val="auto"/>
                <w:sz w:val="21"/>
                <w:szCs w:val="21"/>
              </w:rPr>
              <w:t>员工办公生活</w:t>
            </w:r>
          </w:p>
        </w:tc>
        <w:tc>
          <w:tcPr>
            <w:tcW w:w="518" w:type="pct"/>
            <w:tcBorders>
              <w:tl2br w:val="nil"/>
              <w:tr2bl w:val="nil"/>
            </w:tcBorders>
            <w:noWrap w:val="0"/>
            <w:vAlign w:val="center"/>
          </w:tcPr>
          <w:p w14:paraId="0B1CE317">
            <w:pPr>
              <w:pStyle w:val="498"/>
              <w:pageBreakBefore w:val="0"/>
              <w:wordWrap/>
              <w:bidi w:val="0"/>
              <w:adjustRightInd/>
              <w:snapToGrid/>
              <w:ind w:firstLine="0" w:firstLineChars="0"/>
              <w:jc w:val="center"/>
              <w:rPr>
                <w:color w:val="auto"/>
                <w:sz w:val="21"/>
                <w:szCs w:val="21"/>
              </w:rPr>
            </w:pPr>
            <w:r>
              <w:rPr>
                <w:color w:val="auto"/>
                <w:sz w:val="21"/>
                <w:szCs w:val="21"/>
              </w:rPr>
              <w:t>生活垃圾</w:t>
            </w:r>
          </w:p>
        </w:tc>
        <w:tc>
          <w:tcPr>
            <w:tcW w:w="1129" w:type="pct"/>
            <w:tcBorders>
              <w:tl2br w:val="nil"/>
              <w:tr2bl w:val="nil"/>
            </w:tcBorders>
            <w:noWrap w:val="0"/>
            <w:vAlign w:val="center"/>
          </w:tcPr>
          <w:p w14:paraId="7D03CCF5">
            <w:pPr>
              <w:pStyle w:val="498"/>
              <w:pageBreakBefore w:val="0"/>
              <w:wordWrap/>
              <w:bidi w:val="0"/>
              <w:adjustRightInd/>
              <w:snapToGrid/>
              <w:ind w:firstLine="0" w:firstLineChars="0"/>
              <w:jc w:val="center"/>
              <w:rPr>
                <w:rFonts w:hint="default"/>
                <w:color w:val="auto"/>
                <w:sz w:val="21"/>
                <w:szCs w:val="21"/>
                <w:lang w:val="en-US"/>
              </w:rPr>
            </w:pPr>
            <w:r>
              <w:rPr>
                <w:rFonts w:hint="eastAsia" w:cs="Times New Roman"/>
                <w:color w:val="auto"/>
                <w:kern w:val="2"/>
                <w:sz w:val="21"/>
                <w:szCs w:val="21"/>
                <w:lang w:val="en-US" w:eastAsia="zh-CN" w:bidi="ar-SA"/>
              </w:rPr>
              <w:t>3.285t/a</w:t>
            </w:r>
          </w:p>
        </w:tc>
        <w:tc>
          <w:tcPr>
            <w:tcW w:w="968" w:type="pct"/>
            <w:tcBorders>
              <w:tl2br w:val="nil"/>
              <w:tr2bl w:val="nil"/>
            </w:tcBorders>
            <w:noWrap w:val="0"/>
            <w:vAlign w:val="center"/>
          </w:tcPr>
          <w:p w14:paraId="6B65C0F7">
            <w:pPr>
              <w:pStyle w:val="498"/>
              <w:pageBreakBefore w:val="0"/>
              <w:wordWrap/>
              <w:bidi w:val="0"/>
              <w:adjustRightInd/>
              <w:snapToGrid/>
              <w:ind w:firstLine="0" w:firstLineChars="0"/>
              <w:jc w:val="center"/>
              <w:rPr>
                <w:color w:val="auto"/>
                <w:kern w:val="0"/>
                <w:position w:val="-2"/>
                <w:sz w:val="21"/>
                <w:szCs w:val="21"/>
              </w:rPr>
            </w:pPr>
            <w:r>
              <w:rPr>
                <w:color w:val="auto"/>
                <w:sz w:val="21"/>
                <w:szCs w:val="21"/>
              </w:rPr>
              <w:t>环卫清运</w:t>
            </w:r>
          </w:p>
        </w:tc>
        <w:tc>
          <w:tcPr>
            <w:tcW w:w="973" w:type="pct"/>
            <w:tcBorders>
              <w:tl2br w:val="nil"/>
              <w:tr2bl w:val="nil"/>
            </w:tcBorders>
            <w:noWrap w:val="0"/>
            <w:vAlign w:val="center"/>
          </w:tcPr>
          <w:p w14:paraId="264DBE03">
            <w:pPr>
              <w:pageBreakBefore w:val="0"/>
              <w:wordWrap/>
              <w:bidi w:val="0"/>
              <w:adjustRightInd/>
              <w:snapToGrid/>
              <w:spacing w:line="240" w:lineRule="auto"/>
              <w:ind w:firstLine="0" w:firstLineChars="0"/>
              <w:jc w:val="center"/>
              <w:rPr>
                <w:color w:val="auto"/>
                <w:sz w:val="21"/>
                <w:szCs w:val="21"/>
              </w:rPr>
            </w:pPr>
            <w:r>
              <w:rPr>
                <w:color w:val="auto"/>
                <w:sz w:val="21"/>
                <w:szCs w:val="21"/>
              </w:rPr>
              <w:t>0</w:t>
            </w:r>
          </w:p>
        </w:tc>
        <w:tc>
          <w:tcPr>
            <w:tcW w:w="567" w:type="pct"/>
            <w:tcBorders>
              <w:tl2br w:val="nil"/>
              <w:tr2bl w:val="nil"/>
            </w:tcBorders>
            <w:noWrap w:val="0"/>
            <w:vAlign w:val="center"/>
          </w:tcPr>
          <w:p w14:paraId="22C788FD">
            <w:pPr>
              <w:pageBreakBefore w:val="0"/>
              <w:wordWrap/>
              <w:bidi w:val="0"/>
              <w:adjustRightInd/>
              <w:snapToGrid/>
              <w:spacing w:line="240" w:lineRule="auto"/>
              <w:ind w:firstLine="0" w:firstLineChars="0"/>
              <w:jc w:val="center"/>
              <w:rPr>
                <w:color w:val="auto"/>
                <w:sz w:val="21"/>
                <w:szCs w:val="21"/>
              </w:rPr>
            </w:pPr>
            <w:r>
              <w:rPr>
                <w:rFonts w:hint="eastAsia"/>
                <w:bCs/>
                <w:color w:val="auto"/>
                <w:sz w:val="21"/>
                <w:szCs w:val="21"/>
                <w:lang w:val="en-US" w:eastAsia="zh-CN"/>
              </w:rPr>
              <w:t>填埋场</w:t>
            </w:r>
          </w:p>
        </w:tc>
      </w:tr>
      <w:tr w14:paraId="3701F4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45EF7B3C">
            <w:pPr>
              <w:pageBreakBefore w:val="0"/>
              <w:wordWrap/>
              <w:bidi w:val="0"/>
              <w:adjustRightInd/>
              <w:snapToGrid/>
              <w:spacing w:line="240" w:lineRule="auto"/>
              <w:ind w:firstLine="0" w:firstLineChars="0"/>
              <w:jc w:val="center"/>
              <w:rPr>
                <w:color w:val="auto"/>
                <w:sz w:val="21"/>
                <w:szCs w:val="21"/>
              </w:rPr>
            </w:pPr>
          </w:p>
        </w:tc>
        <w:tc>
          <w:tcPr>
            <w:tcW w:w="645" w:type="pct"/>
            <w:tcBorders>
              <w:tl2br w:val="nil"/>
              <w:tr2bl w:val="nil"/>
            </w:tcBorders>
            <w:noWrap w:val="0"/>
            <w:vAlign w:val="center"/>
          </w:tcPr>
          <w:p w14:paraId="7390B9D8">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食堂</w:t>
            </w:r>
          </w:p>
        </w:tc>
        <w:tc>
          <w:tcPr>
            <w:tcW w:w="518" w:type="pct"/>
            <w:tcBorders>
              <w:tl2br w:val="nil"/>
              <w:tr2bl w:val="nil"/>
            </w:tcBorders>
            <w:noWrap w:val="0"/>
            <w:vAlign w:val="center"/>
          </w:tcPr>
          <w:p w14:paraId="11720100">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食堂餐厨垃圾</w:t>
            </w:r>
          </w:p>
        </w:tc>
        <w:tc>
          <w:tcPr>
            <w:tcW w:w="1129" w:type="pct"/>
            <w:tcBorders>
              <w:tl2br w:val="nil"/>
              <w:tr2bl w:val="nil"/>
            </w:tcBorders>
            <w:noWrap w:val="0"/>
            <w:vAlign w:val="center"/>
          </w:tcPr>
          <w:p w14:paraId="63ADFE11">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1.314</w:t>
            </w:r>
            <w:r>
              <w:rPr>
                <w:rFonts w:hint="eastAsia" w:cs="Times New Roman"/>
                <w:color w:val="auto"/>
                <w:kern w:val="2"/>
                <w:sz w:val="21"/>
                <w:szCs w:val="21"/>
                <w:lang w:val="en-US" w:eastAsia="zh-CN" w:bidi="ar-SA"/>
              </w:rPr>
              <w:t>t/a</w:t>
            </w:r>
          </w:p>
        </w:tc>
        <w:tc>
          <w:tcPr>
            <w:tcW w:w="968" w:type="pct"/>
            <w:tcBorders>
              <w:tl2br w:val="nil"/>
              <w:tr2bl w:val="nil"/>
            </w:tcBorders>
            <w:noWrap w:val="0"/>
            <w:vAlign w:val="center"/>
          </w:tcPr>
          <w:p w14:paraId="77AAF2D3">
            <w:pPr>
              <w:pStyle w:val="498"/>
              <w:pageBreakBefore w:val="0"/>
              <w:wordWrap/>
              <w:bidi w:val="0"/>
              <w:adjustRightInd/>
              <w:snapToGrid/>
              <w:ind w:firstLine="0" w:firstLineChars="0"/>
              <w:jc w:val="center"/>
              <w:rPr>
                <w:color w:val="auto"/>
                <w:kern w:val="0"/>
                <w:position w:val="-2"/>
                <w:sz w:val="21"/>
                <w:szCs w:val="21"/>
              </w:rPr>
            </w:pPr>
            <w:r>
              <w:rPr>
                <w:rFonts w:hint="eastAsia"/>
                <w:color w:val="auto"/>
                <w:sz w:val="21"/>
                <w:szCs w:val="21"/>
              </w:rPr>
              <w:t>有相应处理能力的单位清运处置</w:t>
            </w:r>
          </w:p>
        </w:tc>
        <w:tc>
          <w:tcPr>
            <w:tcW w:w="973" w:type="pct"/>
            <w:tcBorders>
              <w:tl2br w:val="nil"/>
              <w:tr2bl w:val="nil"/>
            </w:tcBorders>
            <w:noWrap w:val="0"/>
            <w:vAlign w:val="center"/>
          </w:tcPr>
          <w:p w14:paraId="34224D4D">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0</w:t>
            </w:r>
          </w:p>
        </w:tc>
        <w:tc>
          <w:tcPr>
            <w:tcW w:w="567" w:type="pct"/>
            <w:tcBorders>
              <w:tl2br w:val="nil"/>
              <w:tr2bl w:val="nil"/>
            </w:tcBorders>
            <w:noWrap w:val="0"/>
            <w:vAlign w:val="center"/>
          </w:tcPr>
          <w:p w14:paraId="14A9C46F">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rPr>
              <w:t>有相应处理能力的单位</w:t>
            </w:r>
          </w:p>
        </w:tc>
      </w:tr>
      <w:tr w14:paraId="401B50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63BF9235">
            <w:pPr>
              <w:pageBreakBefore w:val="0"/>
              <w:wordWrap/>
              <w:bidi w:val="0"/>
              <w:adjustRightInd/>
              <w:snapToGrid/>
              <w:spacing w:line="240" w:lineRule="auto"/>
              <w:ind w:firstLine="0" w:firstLineChars="0"/>
              <w:jc w:val="center"/>
              <w:rPr>
                <w:color w:val="auto"/>
                <w:sz w:val="21"/>
                <w:szCs w:val="21"/>
              </w:rPr>
            </w:pPr>
          </w:p>
        </w:tc>
        <w:tc>
          <w:tcPr>
            <w:tcW w:w="645" w:type="pct"/>
            <w:tcBorders>
              <w:tl2br w:val="nil"/>
              <w:tr2bl w:val="nil"/>
            </w:tcBorders>
            <w:noWrap w:val="0"/>
            <w:vAlign w:val="center"/>
          </w:tcPr>
          <w:p w14:paraId="241953B4">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加药间等</w:t>
            </w:r>
          </w:p>
        </w:tc>
        <w:tc>
          <w:tcPr>
            <w:tcW w:w="518" w:type="pct"/>
            <w:tcBorders>
              <w:tl2br w:val="nil"/>
              <w:tr2bl w:val="nil"/>
            </w:tcBorders>
            <w:noWrap w:val="0"/>
            <w:vAlign w:val="center"/>
          </w:tcPr>
          <w:p w14:paraId="6299062A">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废包装材料</w:t>
            </w:r>
          </w:p>
        </w:tc>
        <w:tc>
          <w:tcPr>
            <w:tcW w:w="1129" w:type="pct"/>
            <w:tcBorders>
              <w:tl2br w:val="nil"/>
              <w:tr2bl w:val="nil"/>
            </w:tcBorders>
            <w:noWrap w:val="0"/>
            <w:vAlign w:val="center"/>
          </w:tcPr>
          <w:p w14:paraId="2316B286">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0.5</w:t>
            </w:r>
            <w:r>
              <w:rPr>
                <w:rFonts w:hint="eastAsia" w:cs="Times New Roman"/>
                <w:color w:val="auto"/>
                <w:kern w:val="2"/>
                <w:sz w:val="21"/>
                <w:szCs w:val="21"/>
                <w:lang w:val="en-US" w:eastAsia="zh-CN" w:bidi="ar-SA"/>
              </w:rPr>
              <w:t>t/a</w:t>
            </w:r>
          </w:p>
        </w:tc>
        <w:tc>
          <w:tcPr>
            <w:tcW w:w="968" w:type="pct"/>
            <w:tcBorders>
              <w:tl2br w:val="nil"/>
              <w:tr2bl w:val="nil"/>
            </w:tcBorders>
            <w:noWrap w:val="0"/>
            <w:vAlign w:val="center"/>
          </w:tcPr>
          <w:p w14:paraId="516CF098">
            <w:pPr>
              <w:pStyle w:val="498"/>
              <w:pageBreakBefore w:val="0"/>
              <w:wordWrap/>
              <w:bidi w:val="0"/>
              <w:adjustRightInd/>
              <w:snapToGrid/>
              <w:ind w:firstLine="0" w:firstLineChars="0"/>
              <w:jc w:val="center"/>
              <w:rPr>
                <w:color w:val="auto"/>
                <w:kern w:val="0"/>
                <w:position w:val="-2"/>
                <w:sz w:val="21"/>
                <w:szCs w:val="21"/>
              </w:rPr>
            </w:pPr>
            <w:r>
              <w:rPr>
                <w:rFonts w:hint="eastAsia"/>
                <w:color w:val="auto"/>
                <w:sz w:val="21"/>
                <w:szCs w:val="21"/>
                <w:lang w:val="en-US" w:eastAsia="zh-CN"/>
              </w:rPr>
              <w:t>外售废品回收站</w:t>
            </w:r>
          </w:p>
        </w:tc>
        <w:tc>
          <w:tcPr>
            <w:tcW w:w="973" w:type="pct"/>
            <w:tcBorders>
              <w:tl2br w:val="nil"/>
              <w:tr2bl w:val="nil"/>
            </w:tcBorders>
            <w:noWrap w:val="0"/>
            <w:vAlign w:val="center"/>
          </w:tcPr>
          <w:p w14:paraId="40BDAE9E">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0</w:t>
            </w:r>
          </w:p>
        </w:tc>
        <w:tc>
          <w:tcPr>
            <w:tcW w:w="567" w:type="pct"/>
            <w:tcBorders>
              <w:tl2br w:val="nil"/>
              <w:tr2bl w:val="nil"/>
            </w:tcBorders>
            <w:noWrap w:val="0"/>
            <w:vAlign w:val="center"/>
          </w:tcPr>
          <w:p w14:paraId="15E21463">
            <w:pPr>
              <w:pageBreakBefore w:val="0"/>
              <w:wordWrap/>
              <w:bidi w:val="0"/>
              <w:adjustRightInd/>
              <w:snapToGrid/>
              <w:spacing w:line="240" w:lineRule="auto"/>
              <w:ind w:firstLine="0" w:firstLineChars="0"/>
              <w:jc w:val="center"/>
              <w:rPr>
                <w:color w:val="auto"/>
                <w:sz w:val="21"/>
                <w:szCs w:val="21"/>
              </w:rPr>
            </w:pPr>
            <w:r>
              <w:rPr>
                <w:rFonts w:hint="eastAsia"/>
                <w:bCs/>
                <w:color w:val="auto"/>
                <w:sz w:val="21"/>
                <w:szCs w:val="21"/>
                <w:lang w:val="en-US" w:eastAsia="zh-CN"/>
              </w:rPr>
              <w:t>废品回收站</w:t>
            </w:r>
          </w:p>
        </w:tc>
      </w:tr>
      <w:tr w14:paraId="68FEAA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66A237E4">
            <w:pPr>
              <w:pageBreakBefore w:val="0"/>
              <w:wordWrap/>
              <w:bidi w:val="0"/>
              <w:adjustRightInd/>
              <w:snapToGrid/>
              <w:spacing w:line="240" w:lineRule="auto"/>
              <w:ind w:firstLine="0" w:firstLineChars="0"/>
              <w:jc w:val="center"/>
              <w:rPr>
                <w:color w:val="auto"/>
                <w:sz w:val="21"/>
                <w:szCs w:val="21"/>
              </w:rPr>
            </w:pPr>
          </w:p>
        </w:tc>
        <w:tc>
          <w:tcPr>
            <w:tcW w:w="645" w:type="pct"/>
            <w:tcBorders>
              <w:tl2br w:val="nil"/>
              <w:tr2bl w:val="nil"/>
            </w:tcBorders>
            <w:noWrap w:val="0"/>
            <w:vAlign w:val="center"/>
          </w:tcPr>
          <w:p w14:paraId="77CF9212">
            <w:pPr>
              <w:pStyle w:val="498"/>
              <w:pageBreakBefore w:val="0"/>
              <w:wordWrap/>
              <w:bidi w:val="0"/>
              <w:adjustRightInd/>
              <w:snapToGrid/>
              <w:ind w:firstLine="0" w:firstLineChars="0"/>
              <w:jc w:val="center"/>
              <w:rPr>
                <w:color w:val="auto"/>
                <w:sz w:val="21"/>
                <w:szCs w:val="21"/>
              </w:rPr>
            </w:pPr>
            <w:r>
              <w:rPr>
                <w:color w:val="auto"/>
                <w:sz w:val="21"/>
                <w:szCs w:val="21"/>
              </w:rPr>
              <w:t>格栅</w:t>
            </w:r>
          </w:p>
        </w:tc>
        <w:tc>
          <w:tcPr>
            <w:tcW w:w="518" w:type="pct"/>
            <w:tcBorders>
              <w:tl2br w:val="nil"/>
              <w:tr2bl w:val="nil"/>
            </w:tcBorders>
            <w:noWrap w:val="0"/>
            <w:vAlign w:val="center"/>
          </w:tcPr>
          <w:p w14:paraId="562DF54B">
            <w:pPr>
              <w:pStyle w:val="498"/>
              <w:pageBreakBefore w:val="0"/>
              <w:wordWrap/>
              <w:bidi w:val="0"/>
              <w:adjustRightInd/>
              <w:snapToGrid/>
              <w:ind w:firstLine="0" w:firstLineChars="0"/>
              <w:jc w:val="center"/>
              <w:rPr>
                <w:color w:val="auto"/>
                <w:sz w:val="21"/>
                <w:szCs w:val="21"/>
              </w:rPr>
            </w:pPr>
            <w:r>
              <w:rPr>
                <w:color w:val="auto"/>
                <w:sz w:val="21"/>
                <w:szCs w:val="21"/>
              </w:rPr>
              <w:t>栅渣</w:t>
            </w:r>
          </w:p>
        </w:tc>
        <w:tc>
          <w:tcPr>
            <w:tcW w:w="1129" w:type="pct"/>
            <w:tcBorders>
              <w:tl2br w:val="nil"/>
              <w:tr2bl w:val="nil"/>
            </w:tcBorders>
            <w:noWrap w:val="0"/>
            <w:vAlign w:val="center"/>
          </w:tcPr>
          <w:p w14:paraId="5013B734">
            <w:pPr>
              <w:pStyle w:val="498"/>
              <w:pageBreakBefore w:val="0"/>
              <w:wordWrap/>
              <w:bidi w:val="0"/>
              <w:adjustRightInd/>
              <w:snapToGrid/>
              <w:ind w:firstLine="0" w:firstLineChars="0"/>
              <w:jc w:val="center"/>
              <w:rPr>
                <w:color w:val="auto"/>
                <w:sz w:val="21"/>
                <w:szCs w:val="21"/>
              </w:rPr>
            </w:pPr>
            <w:r>
              <w:rPr>
                <w:rFonts w:hint="eastAsia" w:cs="Times New Roman"/>
                <w:color w:val="auto"/>
                <w:kern w:val="2"/>
                <w:sz w:val="21"/>
                <w:szCs w:val="21"/>
                <w:lang w:val="en-US" w:eastAsia="zh-CN" w:bidi="ar-SA"/>
              </w:rPr>
              <w:t>31.536t/a</w:t>
            </w:r>
          </w:p>
        </w:tc>
        <w:tc>
          <w:tcPr>
            <w:tcW w:w="968" w:type="pct"/>
            <w:tcBorders>
              <w:tl2br w:val="nil"/>
              <w:tr2bl w:val="nil"/>
            </w:tcBorders>
            <w:noWrap w:val="0"/>
            <w:vAlign w:val="center"/>
          </w:tcPr>
          <w:p w14:paraId="5B283DEE">
            <w:pPr>
              <w:pStyle w:val="498"/>
              <w:pageBreakBefore w:val="0"/>
              <w:wordWrap/>
              <w:bidi w:val="0"/>
              <w:adjustRightInd/>
              <w:snapToGrid/>
              <w:ind w:firstLine="0" w:firstLineChars="0"/>
              <w:jc w:val="center"/>
              <w:rPr>
                <w:color w:val="auto"/>
                <w:kern w:val="0"/>
                <w:position w:val="-2"/>
                <w:sz w:val="21"/>
                <w:szCs w:val="21"/>
              </w:rPr>
            </w:pPr>
            <w:r>
              <w:rPr>
                <w:color w:val="auto"/>
                <w:sz w:val="21"/>
                <w:szCs w:val="21"/>
              </w:rPr>
              <w:t>环卫部门清运</w:t>
            </w:r>
          </w:p>
        </w:tc>
        <w:tc>
          <w:tcPr>
            <w:tcW w:w="973" w:type="pct"/>
            <w:tcBorders>
              <w:tl2br w:val="nil"/>
              <w:tr2bl w:val="nil"/>
            </w:tcBorders>
            <w:noWrap w:val="0"/>
            <w:vAlign w:val="center"/>
          </w:tcPr>
          <w:p w14:paraId="053EA5D5">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0</w:t>
            </w:r>
          </w:p>
        </w:tc>
        <w:tc>
          <w:tcPr>
            <w:tcW w:w="567" w:type="pct"/>
            <w:tcBorders>
              <w:tl2br w:val="nil"/>
              <w:tr2bl w:val="nil"/>
            </w:tcBorders>
            <w:noWrap w:val="0"/>
            <w:vAlign w:val="center"/>
          </w:tcPr>
          <w:p w14:paraId="14E8C949">
            <w:pPr>
              <w:pageBreakBefore w:val="0"/>
              <w:wordWrap/>
              <w:bidi w:val="0"/>
              <w:adjustRightInd/>
              <w:snapToGrid/>
              <w:spacing w:line="240" w:lineRule="auto"/>
              <w:ind w:firstLine="0" w:firstLineChars="0"/>
              <w:jc w:val="center"/>
              <w:rPr>
                <w:color w:val="auto"/>
                <w:sz w:val="21"/>
                <w:szCs w:val="21"/>
              </w:rPr>
            </w:pPr>
            <w:r>
              <w:rPr>
                <w:rFonts w:hint="eastAsia"/>
                <w:bCs/>
                <w:color w:val="auto"/>
                <w:sz w:val="21"/>
                <w:szCs w:val="21"/>
                <w:lang w:val="en-US" w:eastAsia="zh-CN"/>
              </w:rPr>
              <w:t>填埋场</w:t>
            </w:r>
          </w:p>
        </w:tc>
      </w:tr>
      <w:tr w14:paraId="69CCB3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13FF002E">
            <w:pPr>
              <w:pageBreakBefore w:val="0"/>
              <w:wordWrap/>
              <w:bidi w:val="0"/>
              <w:adjustRightInd/>
              <w:snapToGrid/>
              <w:spacing w:line="240" w:lineRule="auto"/>
              <w:ind w:firstLine="0" w:firstLineChars="0"/>
              <w:jc w:val="center"/>
              <w:rPr>
                <w:color w:val="auto"/>
                <w:sz w:val="21"/>
                <w:szCs w:val="21"/>
              </w:rPr>
            </w:pPr>
          </w:p>
        </w:tc>
        <w:tc>
          <w:tcPr>
            <w:tcW w:w="645" w:type="pct"/>
            <w:tcBorders>
              <w:tl2br w:val="nil"/>
              <w:tr2bl w:val="nil"/>
            </w:tcBorders>
            <w:noWrap w:val="0"/>
            <w:vAlign w:val="center"/>
          </w:tcPr>
          <w:p w14:paraId="7A3DE99B">
            <w:pPr>
              <w:pStyle w:val="498"/>
              <w:pageBreakBefore w:val="0"/>
              <w:wordWrap/>
              <w:bidi w:val="0"/>
              <w:adjustRightInd/>
              <w:snapToGrid/>
              <w:ind w:firstLine="0" w:firstLineChars="0"/>
              <w:jc w:val="center"/>
              <w:rPr>
                <w:color w:val="auto"/>
                <w:sz w:val="21"/>
                <w:szCs w:val="21"/>
              </w:rPr>
            </w:pPr>
            <w:r>
              <w:rPr>
                <w:color w:val="auto"/>
                <w:sz w:val="21"/>
                <w:szCs w:val="21"/>
              </w:rPr>
              <w:t>水解酸化池、</w:t>
            </w:r>
            <w:r>
              <w:rPr>
                <w:rFonts w:hint="eastAsia"/>
                <w:color w:val="auto"/>
                <w:sz w:val="21"/>
                <w:szCs w:val="21"/>
                <w:lang w:val="en-US" w:eastAsia="zh-CN"/>
              </w:rPr>
              <w:t>生化池、</w:t>
            </w:r>
            <w:r>
              <w:rPr>
                <w:color w:val="auto"/>
                <w:sz w:val="21"/>
                <w:szCs w:val="21"/>
              </w:rPr>
              <w:t>二沉池、</w:t>
            </w:r>
            <w:r>
              <w:rPr>
                <w:rFonts w:hint="eastAsia"/>
                <w:color w:val="auto"/>
                <w:sz w:val="21"/>
                <w:szCs w:val="21"/>
                <w:lang w:val="en-US" w:eastAsia="zh-CN"/>
              </w:rPr>
              <w:t>磁混凝</w:t>
            </w:r>
            <w:r>
              <w:rPr>
                <w:color w:val="auto"/>
                <w:sz w:val="21"/>
                <w:szCs w:val="21"/>
              </w:rPr>
              <w:t>沉淀池</w:t>
            </w:r>
          </w:p>
        </w:tc>
        <w:tc>
          <w:tcPr>
            <w:tcW w:w="518" w:type="pct"/>
            <w:tcBorders>
              <w:tl2br w:val="nil"/>
              <w:tr2bl w:val="nil"/>
            </w:tcBorders>
            <w:noWrap w:val="0"/>
            <w:vAlign w:val="center"/>
          </w:tcPr>
          <w:p w14:paraId="4FF14099">
            <w:pPr>
              <w:pStyle w:val="498"/>
              <w:pageBreakBefore w:val="0"/>
              <w:wordWrap/>
              <w:bidi w:val="0"/>
              <w:adjustRightInd/>
              <w:snapToGrid/>
              <w:ind w:firstLine="0" w:firstLineChars="0"/>
              <w:jc w:val="center"/>
              <w:rPr>
                <w:color w:val="auto"/>
                <w:sz w:val="21"/>
                <w:szCs w:val="21"/>
              </w:rPr>
            </w:pPr>
            <w:r>
              <w:rPr>
                <w:color w:val="auto"/>
                <w:sz w:val="21"/>
                <w:szCs w:val="21"/>
              </w:rPr>
              <w:t>污泥</w:t>
            </w:r>
          </w:p>
        </w:tc>
        <w:tc>
          <w:tcPr>
            <w:tcW w:w="1129" w:type="pct"/>
            <w:tcBorders>
              <w:tl2br w:val="nil"/>
              <w:tr2bl w:val="nil"/>
            </w:tcBorders>
            <w:noWrap w:val="0"/>
            <w:vAlign w:val="center"/>
          </w:tcPr>
          <w:p w14:paraId="195D517C">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152.7</w:t>
            </w:r>
            <w:r>
              <w:rPr>
                <w:rFonts w:hint="eastAsia" w:cs="Times New Roman"/>
                <w:color w:val="auto"/>
                <w:kern w:val="2"/>
                <w:sz w:val="21"/>
                <w:szCs w:val="21"/>
                <w:lang w:val="en-US" w:eastAsia="zh-CN" w:bidi="ar-SA"/>
              </w:rPr>
              <w:t>t/a</w:t>
            </w:r>
          </w:p>
        </w:tc>
        <w:tc>
          <w:tcPr>
            <w:tcW w:w="968" w:type="pct"/>
            <w:tcBorders>
              <w:tl2br w:val="nil"/>
              <w:tr2bl w:val="nil"/>
            </w:tcBorders>
            <w:noWrap w:val="0"/>
            <w:vAlign w:val="center"/>
          </w:tcPr>
          <w:p w14:paraId="52B808EC">
            <w:pPr>
              <w:pageBreakBefore w:val="0"/>
              <w:widowControl/>
              <w:wordWrap/>
              <w:bidi w:val="0"/>
              <w:adjustRightInd/>
              <w:snapToGrid/>
              <w:spacing w:line="240" w:lineRule="auto"/>
              <w:ind w:firstLine="0" w:firstLineChars="0"/>
              <w:jc w:val="left"/>
              <w:rPr>
                <w:color w:val="auto"/>
                <w:sz w:val="21"/>
                <w:szCs w:val="21"/>
              </w:rPr>
            </w:pPr>
            <w:r>
              <w:rPr>
                <w:color w:val="auto"/>
                <w:kern w:val="0"/>
                <w:sz w:val="21"/>
                <w:szCs w:val="21"/>
                <w:lang w:bidi="ar"/>
              </w:rPr>
              <w:t>根据鉴定结果，确定最终处置方式。</w:t>
            </w:r>
          </w:p>
          <w:p w14:paraId="22919E03">
            <w:pPr>
              <w:pageBreakBefore w:val="0"/>
              <w:widowControl/>
              <w:wordWrap/>
              <w:bidi w:val="0"/>
              <w:adjustRightInd/>
              <w:snapToGrid/>
              <w:spacing w:line="240" w:lineRule="auto"/>
              <w:ind w:firstLine="0" w:firstLineChars="0"/>
              <w:jc w:val="left"/>
              <w:rPr>
                <w:rFonts w:hint="eastAsia" w:eastAsia="宋体"/>
                <w:color w:val="auto"/>
                <w:kern w:val="0"/>
                <w:position w:val="-2"/>
                <w:sz w:val="21"/>
                <w:szCs w:val="21"/>
                <w:lang w:eastAsia="zh-CN"/>
              </w:rPr>
            </w:pPr>
            <w:r>
              <w:rPr>
                <w:color w:val="auto"/>
                <w:kern w:val="0"/>
                <w:sz w:val="21"/>
                <w:szCs w:val="21"/>
                <w:lang w:bidi="ar"/>
              </w:rPr>
              <w:t>若属危废→危废处置单位；若不属危废→</w:t>
            </w:r>
            <w:r>
              <w:rPr>
                <w:rFonts w:hint="eastAsia"/>
                <w:color w:val="auto"/>
                <w:kern w:val="0"/>
                <w:sz w:val="21"/>
                <w:szCs w:val="21"/>
                <w:lang w:bidi="ar"/>
              </w:rPr>
              <w:t>外运至填埋场处置或</w:t>
            </w:r>
            <w:r>
              <w:rPr>
                <w:rFonts w:hint="eastAsia"/>
                <w:color w:val="auto"/>
                <w:kern w:val="0"/>
                <w:sz w:val="21"/>
                <w:szCs w:val="21"/>
                <w:lang w:eastAsia="zh-CN" w:bidi="ar"/>
              </w:rPr>
              <w:t>制砖厂烧砖</w:t>
            </w:r>
          </w:p>
        </w:tc>
        <w:tc>
          <w:tcPr>
            <w:tcW w:w="973" w:type="pct"/>
            <w:tcBorders>
              <w:tl2br w:val="nil"/>
              <w:tr2bl w:val="nil"/>
            </w:tcBorders>
            <w:noWrap w:val="0"/>
            <w:vAlign w:val="center"/>
          </w:tcPr>
          <w:p w14:paraId="294B859C">
            <w:pPr>
              <w:pageBreakBefore w:val="0"/>
              <w:wordWrap/>
              <w:bidi w:val="0"/>
              <w:adjustRightInd/>
              <w:snapToGrid/>
              <w:spacing w:line="240" w:lineRule="auto"/>
              <w:ind w:firstLine="0" w:firstLineChars="0"/>
              <w:jc w:val="center"/>
              <w:rPr>
                <w:color w:val="auto"/>
                <w:sz w:val="21"/>
                <w:szCs w:val="21"/>
              </w:rPr>
            </w:pPr>
            <w:r>
              <w:rPr>
                <w:color w:val="auto"/>
                <w:sz w:val="21"/>
                <w:szCs w:val="21"/>
              </w:rPr>
              <w:t>0</w:t>
            </w:r>
          </w:p>
        </w:tc>
        <w:tc>
          <w:tcPr>
            <w:tcW w:w="567" w:type="pct"/>
            <w:tcBorders>
              <w:tl2br w:val="nil"/>
              <w:tr2bl w:val="nil"/>
            </w:tcBorders>
            <w:noWrap w:val="0"/>
            <w:vAlign w:val="center"/>
          </w:tcPr>
          <w:p w14:paraId="2E26B2BC">
            <w:pPr>
              <w:pageBreakBefore w:val="0"/>
              <w:wordWrap/>
              <w:bidi w:val="0"/>
              <w:adjustRightInd/>
              <w:snapToGrid/>
              <w:spacing w:line="240" w:lineRule="auto"/>
              <w:ind w:firstLine="0" w:firstLineChars="0"/>
              <w:jc w:val="center"/>
              <w:rPr>
                <w:color w:val="auto"/>
                <w:kern w:val="0"/>
                <w:position w:val="-2"/>
                <w:sz w:val="21"/>
                <w:szCs w:val="21"/>
              </w:rPr>
            </w:pPr>
            <w:r>
              <w:rPr>
                <w:bCs/>
                <w:color w:val="auto"/>
                <w:sz w:val="21"/>
                <w:szCs w:val="21"/>
              </w:rPr>
              <w:t>根据鉴定结果确定</w:t>
            </w:r>
          </w:p>
        </w:tc>
      </w:tr>
      <w:tr w14:paraId="176387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114F6229">
            <w:pPr>
              <w:pageBreakBefore w:val="0"/>
              <w:wordWrap/>
              <w:bidi w:val="0"/>
              <w:adjustRightInd/>
              <w:snapToGrid/>
              <w:spacing w:line="240" w:lineRule="auto"/>
              <w:ind w:firstLine="0" w:firstLineChars="0"/>
              <w:jc w:val="center"/>
              <w:rPr>
                <w:color w:val="auto"/>
                <w:sz w:val="21"/>
                <w:szCs w:val="21"/>
              </w:rPr>
            </w:pPr>
          </w:p>
        </w:tc>
        <w:tc>
          <w:tcPr>
            <w:tcW w:w="645" w:type="pct"/>
            <w:tcBorders>
              <w:tl2br w:val="nil"/>
              <w:tr2bl w:val="nil"/>
            </w:tcBorders>
            <w:noWrap w:val="0"/>
            <w:vAlign w:val="center"/>
          </w:tcPr>
          <w:p w14:paraId="148FF6F8">
            <w:pPr>
              <w:pStyle w:val="498"/>
              <w:pageBreakBefore w:val="0"/>
              <w:wordWrap/>
              <w:bidi w:val="0"/>
              <w:adjustRightInd/>
              <w:snapToGrid/>
              <w:ind w:firstLine="0" w:firstLineChars="0"/>
              <w:jc w:val="center"/>
              <w:rPr>
                <w:color w:val="auto"/>
                <w:sz w:val="21"/>
                <w:szCs w:val="21"/>
              </w:rPr>
            </w:pPr>
            <w:r>
              <w:rPr>
                <w:color w:val="auto"/>
                <w:sz w:val="21"/>
                <w:szCs w:val="21"/>
              </w:rPr>
              <w:t>生物除臭系统</w:t>
            </w:r>
          </w:p>
        </w:tc>
        <w:tc>
          <w:tcPr>
            <w:tcW w:w="518" w:type="pct"/>
            <w:tcBorders>
              <w:tl2br w:val="nil"/>
              <w:tr2bl w:val="nil"/>
            </w:tcBorders>
            <w:noWrap w:val="0"/>
            <w:vAlign w:val="center"/>
          </w:tcPr>
          <w:p w14:paraId="43467FF6">
            <w:pPr>
              <w:pStyle w:val="498"/>
              <w:pageBreakBefore w:val="0"/>
              <w:wordWrap/>
              <w:bidi w:val="0"/>
              <w:adjustRightInd/>
              <w:snapToGrid/>
              <w:ind w:firstLine="0" w:firstLineChars="0"/>
              <w:jc w:val="center"/>
              <w:rPr>
                <w:color w:val="auto"/>
                <w:sz w:val="21"/>
                <w:szCs w:val="21"/>
              </w:rPr>
            </w:pPr>
            <w:r>
              <w:rPr>
                <w:color w:val="auto"/>
                <w:sz w:val="21"/>
                <w:szCs w:val="21"/>
              </w:rPr>
              <w:t>生物除臭系统废弃填料</w:t>
            </w:r>
          </w:p>
        </w:tc>
        <w:tc>
          <w:tcPr>
            <w:tcW w:w="1129" w:type="pct"/>
            <w:tcBorders>
              <w:tl2br w:val="nil"/>
              <w:tr2bl w:val="nil"/>
            </w:tcBorders>
            <w:noWrap w:val="0"/>
            <w:vAlign w:val="center"/>
          </w:tcPr>
          <w:p w14:paraId="11A86F1A">
            <w:pPr>
              <w:pStyle w:val="498"/>
              <w:pageBreakBefore w:val="0"/>
              <w:wordWrap/>
              <w:bidi w:val="0"/>
              <w:adjustRightInd/>
              <w:snapToGrid/>
              <w:ind w:firstLine="0" w:firstLineChars="0"/>
              <w:jc w:val="center"/>
              <w:rPr>
                <w:color w:val="auto"/>
                <w:sz w:val="21"/>
                <w:szCs w:val="21"/>
              </w:rPr>
            </w:pPr>
            <w:r>
              <w:rPr>
                <w:color w:val="auto"/>
                <w:sz w:val="21"/>
                <w:szCs w:val="21"/>
              </w:rPr>
              <w:t>4.6</w:t>
            </w:r>
            <w:r>
              <w:rPr>
                <w:rFonts w:hint="eastAsia" w:cs="Times New Roman"/>
                <w:color w:val="auto"/>
                <w:kern w:val="2"/>
                <w:sz w:val="21"/>
                <w:szCs w:val="21"/>
                <w:lang w:val="en-US" w:eastAsia="zh-CN" w:bidi="ar-SA"/>
              </w:rPr>
              <w:t>t/a</w:t>
            </w:r>
          </w:p>
        </w:tc>
        <w:tc>
          <w:tcPr>
            <w:tcW w:w="968" w:type="pct"/>
            <w:tcBorders>
              <w:tl2br w:val="nil"/>
              <w:tr2bl w:val="nil"/>
            </w:tcBorders>
            <w:noWrap w:val="0"/>
            <w:vAlign w:val="center"/>
          </w:tcPr>
          <w:p w14:paraId="29594576">
            <w:pPr>
              <w:pStyle w:val="498"/>
              <w:pageBreakBefore w:val="0"/>
              <w:wordWrap/>
              <w:bidi w:val="0"/>
              <w:adjustRightInd/>
              <w:snapToGrid/>
              <w:ind w:firstLine="0" w:firstLineChars="0"/>
              <w:jc w:val="center"/>
              <w:rPr>
                <w:color w:val="auto"/>
                <w:kern w:val="0"/>
                <w:position w:val="-2"/>
                <w:sz w:val="21"/>
                <w:szCs w:val="21"/>
              </w:rPr>
            </w:pPr>
            <w:r>
              <w:rPr>
                <w:color w:val="auto"/>
                <w:sz w:val="21"/>
                <w:szCs w:val="21"/>
              </w:rPr>
              <w:t>厂家回收</w:t>
            </w:r>
          </w:p>
        </w:tc>
        <w:tc>
          <w:tcPr>
            <w:tcW w:w="973" w:type="pct"/>
            <w:tcBorders>
              <w:tl2br w:val="nil"/>
              <w:tr2bl w:val="nil"/>
            </w:tcBorders>
            <w:noWrap w:val="0"/>
            <w:vAlign w:val="center"/>
          </w:tcPr>
          <w:p w14:paraId="37DC9EEE">
            <w:pPr>
              <w:pageBreakBefore w:val="0"/>
              <w:wordWrap/>
              <w:bidi w:val="0"/>
              <w:adjustRightInd/>
              <w:snapToGrid/>
              <w:spacing w:line="240" w:lineRule="auto"/>
              <w:ind w:firstLine="0" w:firstLineChars="0"/>
              <w:jc w:val="center"/>
              <w:rPr>
                <w:color w:val="auto"/>
                <w:sz w:val="21"/>
                <w:szCs w:val="21"/>
              </w:rPr>
            </w:pPr>
            <w:r>
              <w:rPr>
                <w:color w:val="auto"/>
                <w:sz w:val="21"/>
                <w:szCs w:val="21"/>
              </w:rPr>
              <w:t>0</w:t>
            </w:r>
          </w:p>
        </w:tc>
        <w:tc>
          <w:tcPr>
            <w:tcW w:w="567" w:type="pct"/>
            <w:tcBorders>
              <w:tl2br w:val="nil"/>
              <w:tr2bl w:val="nil"/>
            </w:tcBorders>
            <w:noWrap w:val="0"/>
            <w:vAlign w:val="center"/>
          </w:tcPr>
          <w:p w14:paraId="4FBA932F">
            <w:pPr>
              <w:pageBreakBefore w:val="0"/>
              <w:wordWrap/>
              <w:bidi w:val="0"/>
              <w:adjustRightInd/>
              <w:snapToGrid/>
              <w:spacing w:line="240" w:lineRule="auto"/>
              <w:ind w:firstLine="0" w:firstLineChars="0"/>
              <w:jc w:val="center"/>
              <w:rPr>
                <w:color w:val="auto"/>
                <w:kern w:val="0"/>
                <w:position w:val="-2"/>
                <w:sz w:val="21"/>
                <w:szCs w:val="21"/>
              </w:rPr>
            </w:pPr>
            <w:r>
              <w:rPr>
                <w:rFonts w:hint="eastAsia"/>
                <w:bCs/>
                <w:color w:val="auto"/>
                <w:sz w:val="21"/>
                <w:szCs w:val="21"/>
                <w:lang w:val="en-US" w:eastAsia="zh-CN"/>
              </w:rPr>
              <w:t>设备厂家</w:t>
            </w:r>
          </w:p>
        </w:tc>
      </w:tr>
      <w:tr w14:paraId="6329EC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1F8C3523">
            <w:pPr>
              <w:pageBreakBefore w:val="0"/>
              <w:wordWrap/>
              <w:bidi w:val="0"/>
              <w:adjustRightInd/>
              <w:snapToGrid/>
              <w:spacing w:line="240" w:lineRule="auto"/>
              <w:ind w:firstLine="0" w:firstLineChars="0"/>
              <w:jc w:val="center"/>
              <w:rPr>
                <w:color w:val="auto"/>
                <w:sz w:val="21"/>
                <w:szCs w:val="21"/>
              </w:rPr>
            </w:pPr>
          </w:p>
        </w:tc>
        <w:tc>
          <w:tcPr>
            <w:tcW w:w="645" w:type="pct"/>
            <w:vMerge w:val="restart"/>
            <w:tcBorders>
              <w:tl2br w:val="nil"/>
              <w:tr2bl w:val="nil"/>
            </w:tcBorders>
            <w:noWrap w:val="0"/>
            <w:vAlign w:val="center"/>
          </w:tcPr>
          <w:p w14:paraId="026A5E44">
            <w:pPr>
              <w:pStyle w:val="498"/>
              <w:pageBreakBefore w:val="0"/>
              <w:wordWrap/>
              <w:bidi w:val="0"/>
              <w:adjustRightInd/>
              <w:snapToGrid/>
              <w:ind w:firstLine="0" w:firstLineChars="0"/>
              <w:jc w:val="center"/>
              <w:rPr>
                <w:color w:val="auto"/>
                <w:sz w:val="21"/>
                <w:szCs w:val="21"/>
              </w:rPr>
            </w:pPr>
            <w:r>
              <w:rPr>
                <w:color w:val="auto"/>
                <w:sz w:val="21"/>
                <w:szCs w:val="21"/>
              </w:rPr>
              <w:t>设备维护</w:t>
            </w:r>
          </w:p>
        </w:tc>
        <w:tc>
          <w:tcPr>
            <w:tcW w:w="518" w:type="pct"/>
            <w:tcBorders>
              <w:tl2br w:val="nil"/>
              <w:tr2bl w:val="nil"/>
            </w:tcBorders>
            <w:noWrap w:val="0"/>
            <w:vAlign w:val="center"/>
          </w:tcPr>
          <w:p w14:paraId="26FE69C6">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废机油</w:t>
            </w:r>
          </w:p>
        </w:tc>
        <w:tc>
          <w:tcPr>
            <w:tcW w:w="1129" w:type="pct"/>
            <w:tcBorders>
              <w:tl2br w:val="nil"/>
              <w:tr2bl w:val="nil"/>
            </w:tcBorders>
            <w:noWrap w:val="0"/>
            <w:vAlign w:val="center"/>
          </w:tcPr>
          <w:p w14:paraId="5135BA50">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0.01</w:t>
            </w:r>
            <w:r>
              <w:rPr>
                <w:rFonts w:hint="eastAsia" w:cs="Times New Roman"/>
                <w:color w:val="auto"/>
                <w:kern w:val="2"/>
                <w:sz w:val="21"/>
                <w:szCs w:val="21"/>
                <w:lang w:val="en-US" w:eastAsia="zh-CN" w:bidi="ar-SA"/>
              </w:rPr>
              <w:t>t/a</w:t>
            </w:r>
          </w:p>
        </w:tc>
        <w:tc>
          <w:tcPr>
            <w:tcW w:w="968" w:type="pct"/>
            <w:vMerge w:val="restart"/>
            <w:tcBorders>
              <w:tl2br w:val="nil"/>
              <w:tr2bl w:val="nil"/>
            </w:tcBorders>
            <w:noWrap w:val="0"/>
            <w:vAlign w:val="center"/>
          </w:tcPr>
          <w:p w14:paraId="4B4281A5">
            <w:pPr>
              <w:pStyle w:val="498"/>
              <w:pageBreakBefore w:val="0"/>
              <w:wordWrap/>
              <w:bidi w:val="0"/>
              <w:adjustRightInd/>
              <w:snapToGrid/>
              <w:ind w:firstLine="0" w:firstLineChars="0"/>
              <w:jc w:val="center"/>
              <w:rPr>
                <w:color w:val="auto"/>
                <w:kern w:val="0"/>
                <w:position w:val="-2"/>
                <w:sz w:val="21"/>
                <w:szCs w:val="21"/>
              </w:rPr>
            </w:pPr>
            <w:r>
              <w:rPr>
                <w:rFonts w:hint="eastAsia"/>
                <w:color w:val="auto"/>
                <w:sz w:val="21"/>
                <w:szCs w:val="21"/>
                <w:lang w:val="en-US" w:eastAsia="zh-CN"/>
              </w:rPr>
              <w:t>分类收集后暂存于危废暂存间，</w:t>
            </w:r>
            <w:r>
              <w:rPr>
                <w:color w:val="auto"/>
                <w:sz w:val="21"/>
                <w:szCs w:val="21"/>
              </w:rPr>
              <w:t>委托有资质单位</w:t>
            </w:r>
            <w:r>
              <w:rPr>
                <w:rFonts w:hint="eastAsia"/>
                <w:color w:val="auto"/>
                <w:sz w:val="21"/>
                <w:szCs w:val="21"/>
                <w:lang w:val="en-US" w:eastAsia="zh-CN"/>
              </w:rPr>
              <w:t>处置</w:t>
            </w:r>
          </w:p>
        </w:tc>
        <w:tc>
          <w:tcPr>
            <w:tcW w:w="973" w:type="pct"/>
            <w:tcBorders>
              <w:tl2br w:val="nil"/>
              <w:tr2bl w:val="nil"/>
            </w:tcBorders>
            <w:noWrap w:val="0"/>
            <w:vAlign w:val="center"/>
          </w:tcPr>
          <w:p w14:paraId="50733412">
            <w:pPr>
              <w:pageBreakBefore w:val="0"/>
              <w:wordWrap/>
              <w:bidi w:val="0"/>
              <w:adjustRightInd/>
              <w:snapToGrid/>
              <w:spacing w:line="240" w:lineRule="auto"/>
              <w:ind w:firstLine="0" w:firstLineChars="0"/>
              <w:jc w:val="center"/>
              <w:rPr>
                <w:color w:val="auto"/>
                <w:sz w:val="21"/>
                <w:szCs w:val="21"/>
              </w:rPr>
            </w:pPr>
            <w:r>
              <w:rPr>
                <w:color w:val="auto"/>
                <w:sz w:val="21"/>
                <w:szCs w:val="21"/>
              </w:rPr>
              <w:t>0</w:t>
            </w:r>
          </w:p>
        </w:tc>
        <w:tc>
          <w:tcPr>
            <w:tcW w:w="567" w:type="pct"/>
            <w:vMerge w:val="restart"/>
            <w:tcBorders>
              <w:tl2br w:val="nil"/>
              <w:tr2bl w:val="nil"/>
            </w:tcBorders>
            <w:noWrap w:val="0"/>
            <w:vAlign w:val="center"/>
          </w:tcPr>
          <w:p w14:paraId="48F02075">
            <w:pPr>
              <w:pageBreakBefore w:val="0"/>
              <w:wordWrap/>
              <w:bidi w:val="0"/>
              <w:adjustRightInd/>
              <w:snapToGrid/>
              <w:spacing w:line="240" w:lineRule="auto"/>
              <w:ind w:firstLine="0" w:firstLineChars="0"/>
              <w:jc w:val="center"/>
              <w:rPr>
                <w:color w:val="auto"/>
                <w:kern w:val="0"/>
                <w:position w:val="-2"/>
                <w:sz w:val="21"/>
                <w:szCs w:val="21"/>
              </w:rPr>
            </w:pPr>
            <w:r>
              <w:rPr>
                <w:bCs/>
                <w:color w:val="auto"/>
                <w:sz w:val="21"/>
                <w:szCs w:val="21"/>
              </w:rPr>
              <w:t>危废处置单位</w:t>
            </w:r>
          </w:p>
        </w:tc>
      </w:tr>
      <w:tr w14:paraId="7606BA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06CBAE56">
            <w:pPr>
              <w:pageBreakBefore w:val="0"/>
              <w:wordWrap/>
              <w:bidi w:val="0"/>
              <w:adjustRightInd/>
              <w:snapToGrid/>
              <w:spacing w:line="240" w:lineRule="auto"/>
              <w:ind w:firstLine="0" w:firstLineChars="0"/>
              <w:jc w:val="center"/>
              <w:rPr>
                <w:color w:val="auto"/>
                <w:sz w:val="21"/>
                <w:szCs w:val="21"/>
              </w:rPr>
            </w:pPr>
          </w:p>
        </w:tc>
        <w:tc>
          <w:tcPr>
            <w:tcW w:w="645" w:type="pct"/>
            <w:vMerge w:val="continue"/>
            <w:tcBorders>
              <w:tl2br w:val="nil"/>
              <w:tr2bl w:val="nil"/>
            </w:tcBorders>
            <w:noWrap w:val="0"/>
            <w:vAlign w:val="center"/>
          </w:tcPr>
          <w:p w14:paraId="7F887C9B">
            <w:pPr>
              <w:pStyle w:val="498"/>
              <w:pageBreakBefore w:val="0"/>
              <w:wordWrap/>
              <w:bidi w:val="0"/>
              <w:adjustRightInd/>
              <w:snapToGrid/>
              <w:ind w:firstLine="0" w:firstLineChars="0"/>
              <w:jc w:val="center"/>
              <w:rPr>
                <w:color w:val="auto"/>
                <w:sz w:val="21"/>
                <w:szCs w:val="21"/>
              </w:rPr>
            </w:pPr>
          </w:p>
        </w:tc>
        <w:tc>
          <w:tcPr>
            <w:tcW w:w="518" w:type="pct"/>
            <w:tcBorders>
              <w:tl2br w:val="nil"/>
              <w:tr2bl w:val="nil"/>
            </w:tcBorders>
            <w:noWrap w:val="0"/>
            <w:vAlign w:val="center"/>
          </w:tcPr>
          <w:p w14:paraId="3973CA75">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废机油桶</w:t>
            </w:r>
          </w:p>
        </w:tc>
        <w:tc>
          <w:tcPr>
            <w:tcW w:w="1129" w:type="pct"/>
            <w:tcBorders>
              <w:tl2br w:val="nil"/>
              <w:tr2bl w:val="nil"/>
            </w:tcBorders>
            <w:noWrap w:val="0"/>
            <w:vAlign w:val="center"/>
          </w:tcPr>
          <w:p w14:paraId="1011E5A8">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0.01</w:t>
            </w:r>
            <w:r>
              <w:rPr>
                <w:rFonts w:hint="eastAsia" w:cs="Times New Roman"/>
                <w:color w:val="auto"/>
                <w:kern w:val="2"/>
                <w:sz w:val="21"/>
                <w:szCs w:val="21"/>
                <w:lang w:val="en-US" w:eastAsia="zh-CN" w:bidi="ar-SA"/>
              </w:rPr>
              <w:t>t/a</w:t>
            </w:r>
          </w:p>
        </w:tc>
        <w:tc>
          <w:tcPr>
            <w:tcW w:w="968" w:type="pct"/>
            <w:vMerge w:val="continue"/>
            <w:tcBorders>
              <w:tl2br w:val="nil"/>
              <w:tr2bl w:val="nil"/>
            </w:tcBorders>
            <w:noWrap w:val="0"/>
            <w:vAlign w:val="center"/>
          </w:tcPr>
          <w:p w14:paraId="239AF8C9">
            <w:pPr>
              <w:pageBreakBefore w:val="0"/>
              <w:tabs>
                <w:tab w:val="left" w:pos="4200"/>
              </w:tabs>
              <w:wordWrap/>
              <w:bidi w:val="0"/>
              <w:adjustRightInd/>
              <w:snapToGrid/>
              <w:spacing w:line="240" w:lineRule="auto"/>
              <w:ind w:firstLine="0" w:firstLineChars="0"/>
              <w:jc w:val="center"/>
              <w:rPr>
                <w:color w:val="auto"/>
                <w:kern w:val="0"/>
                <w:position w:val="-2"/>
                <w:sz w:val="21"/>
                <w:szCs w:val="21"/>
              </w:rPr>
            </w:pPr>
          </w:p>
        </w:tc>
        <w:tc>
          <w:tcPr>
            <w:tcW w:w="973" w:type="pct"/>
            <w:tcBorders>
              <w:tl2br w:val="nil"/>
              <w:tr2bl w:val="nil"/>
            </w:tcBorders>
            <w:noWrap w:val="0"/>
            <w:vAlign w:val="center"/>
          </w:tcPr>
          <w:p w14:paraId="1DF004C1">
            <w:pPr>
              <w:pageBreakBefore w:val="0"/>
              <w:wordWrap/>
              <w:bidi w:val="0"/>
              <w:adjustRightInd/>
              <w:snapToGrid/>
              <w:spacing w:line="240" w:lineRule="auto"/>
              <w:ind w:firstLine="0" w:firstLineChars="0"/>
              <w:jc w:val="center"/>
              <w:rPr>
                <w:color w:val="auto"/>
                <w:sz w:val="21"/>
                <w:szCs w:val="21"/>
              </w:rPr>
            </w:pPr>
            <w:r>
              <w:rPr>
                <w:color w:val="auto"/>
                <w:sz w:val="21"/>
                <w:szCs w:val="21"/>
              </w:rPr>
              <w:t>0</w:t>
            </w:r>
          </w:p>
        </w:tc>
        <w:tc>
          <w:tcPr>
            <w:tcW w:w="567" w:type="pct"/>
            <w:vMerge w:val="continue"/>
            <w:tcBorders>
              <w:tl2br w:val="nil"/>
              <w:tr2bl w:val="nil"/>
            </w:tcBorders>
            <w:noWrap w:val="0"/>
            <w:vAlign w:val="center"/>
          </w:tcPr>
          <w:p w14:paraId="7C6CB1F8">
            <w:pPr>
              <w:pageBreakBefore w:val="0"/>
              <w:wordWrap/>
              <w:bidi w:val="0"/>
              <w:adjustRightInd/>
              <w:snapToGrid/>
              <w:spacing w:line="240" w:lineRule="auto"/>
              <w:ind w:firstLine="0" w:firstLineChars="0"/>
              <w:jc w:val="center"/>
              <w:rPr>
                <w:color w:val="auto"/>
                <w:kern w:val="0"/>
                <w:position w:val="-2"/>
                <w:sz w:val="21"/>
                <w:szCs w:val="21"/>
              </w:rPr>
            </w:pPr>
          </w:p>
        </w:tc>
      </w:tr>
      <w:tr w14:paraId="1F88F8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2628DB28">
            <w:pPr>
              <w:pageBreakBefore w:val="0"/>
              <w:wordWrap/>
              <w:bidi w:val="0"/>
              <w:adjustRightInd/>
              <w:snapToGrid/>
              <w:spacing w:line="240" w:lineRule="auto"/>
              <w:ind w:firstLine="0" w:firstLineChars="0"/>
              <w:jc w:val="center"/>
              <w:rPr>
                <w:color w:val="auto"/>
                <w:sz w:val="21"/>
                <w:szCs w:val="21"/>
              </w:rPr>
            </w:pPr>
          </w:p>
        </w:tc>
        <w:tc>
          <w:tcPr>
            <w:tcW w:w="645" w:type="pct"/>
            <w:vMerge w:val="continue"/>
            <w:tcBorders>
              <w:tl2br w:val="nil"/>
              <w:tr2bl w:val="nil"/>
            </w:tcBorders>
            <w:noWrap w:val="0"/>
            <w:vAlign w:val="center"/>
          </w:tcPr>
          <w:p w14:paraId="0E8FD6BE">
            <w:pPr>
              <w:pStyle w:val="498"/>
              <w:pageBreakBefore w:val="0"/>
              <w:wordWrap/>
              <w:bidi w:val="0"/>
              <w:adjustRightInd/>
              <w:snapToGrid/>
              <w:ind w:firstLine="0" w:firstLineChars="0"/>
              <w:jc w:val="center"/>
              <w:rPr>
                <w:color w:val="auto"/>
                <w:sz w:val="21"/>
                <w:szCs w:val="21"/>
              </w:rPr>
            </w:pPr>
          </w:p>
        </w:tc>
        <w:tc>
          <w:tcPr>
            <w:tcW w:w="518" w:type="pct"/>
            <w:tcBorders>
              <w:tl2br w:val="nil"/>
              <w:tr2bl w:val="nil"/>
            </w:tcBorders>
            <w:noWrap w:val="0"/>
            <w:vAlign w:val="center"/>
          </w:tcPr>
          <w:p w14:paraId="6CB4BD51">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含油棉纱手套</w:t>
            </w:r>
          </w:p>
        </w:tc>
        <w:tc>
          <w:tcPr>
            <w:tcW w:w="1129" w:type="pct"/>
            <w:tcBorders>
              <w:tl2br w:val="nil"/>
              <w:tr2bl w:val="nil"/>
            </w:tcBorders>
            <w:noWrap w:val="0"/>
            <w:vAlign w:val="center"/>
          </w:tcPr>
          <w:p w14:paraId="4161E648">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0.01</w:t>
            </w:r>
            <w:r>
              <w:rPr>
                <w:rFonts w:hint="eastAsia" w:cs="Times New Roman"/>
                <w:color w:val="auto"/>
                <w:kern w:val="2"/>
                <w:sz w:val="21"/>
                <w:szCs w:val="21"/>
                <w:lang w:val="en-US" w:eastAsia="zh-CN" w:bidi="ar-SA"/>
              </w:rPr>
              <w:t>t/a</w:t>
            </w:r>
          </w:p>
        </w:tc>
        <w:tc>
          <w:tcPr>
            <w:tcW w:w="968" w:type="pct"/>
            <w:vMerge w:val="continue"/>
            <w:tcBorders>
              <w:tl2br w:val="nil"/>
              <w:tr2bl w:val="nil"/>
            </w:tcBorders>
            <w:noWrap w:val="0"/>
            <w:vAlign w:val="center"/>
          </w:tcPr>
          <w:p w14:paraId="00E5C39C">
            <w:pPr>
              <w:pageBreakBefore w:val="0"/>
              <w:tabs>
                <w:tab w:val="left" w:pos="4200"/>
              </w:tabs>
              <w:wordWrap/>
              <w:bidi w:val="0"/>
              <w:adjustRightInd/>
              <w:snapToGrid/>
              <w:spacing w:line="240" w:lineRule="auto"/>
              <w:ind w:firstLine="0" w:firstLineChars="0"/>
              <w:jc w:val="center"/>
              <w:rPr>
                <w:color w:val="auto"/>
                <w:kern w:val="0"/>
                <w:position w:val="-2"/>
                <w:sz w:val="21"/>
                <w:szCs w:val="21"/>
              </w:rPr>
            </w:pPr>
          </w:p>
        </w:tc>
        <w:tc>
          <w:tcPr>
            <w:tcW w:w="973" w:type="pct"/>
            <w:tcBorders>
              <w:tl2br w:val="nil"/>
              <w:tr2bl w:val="nil"/>
            </w:tcBorders>
            <w:noWrap w:val="0"/>
            <w:vAlign w:val="center"/>
          </w:tcPr>
          <w:p w14:paraId="600A2EAC">
            <w:pPr>
              <w:pageBreakBefore w:val="0"/>
              <w:wordWrap/>
              <w:bidi w:val="0"/>
              <w:adjustRightInd/>
              <w:snapToGrid/>
              <w:spacing w:line="240" w:lineRule="auto"/>
              <w:ind w:firstLine="0" w:firstLineChars="0"/>
              <w:jc w:val="center"/>
              <w:rPr>
                <w:color w:val="auto"/>
                <w:sz w:val="21"/>
                <w:szCs w:val="21"/>
              </w:rPr>
            </w:pPr>
            <w:r>
              <w:rPr>
                <w:color w:val="auto"/>
                <w:sz w:val="21"/>
                <w:szCs w:val="21"/>
              </w:rPr>
              <w:t>0</w:t>
            </w:r>
          </w:p>
        </w:tc>
        <w:tc>
          <w:tcPr>
            <w:tcW w:w="567" w:type="pct"/>
            <w:vMerge w:val="continue"/>
            <w:tcBorders>
              <w:tl2br w:val="nil"/>
              <w:tr2bl w:val="nil"/>
            </w:tcBorders>
            <w:noWrap w:val="0"/>
            <w:vAlign w:val="center"/>
          </w:tcPr>
          <w:p w14:paraId="0E142B20">
            <w:pPr>
              <w:pageBreakBefore w:val="0"/>
              <w:wordWrap/>
              <w:bidi w:val="0"/>
              <w:adjustRightInd/>
              <w:snapToGrid/>
              <w:spacing w:line="240" w:lineRule="auto"/>
              <w:ind w:firstLine="0" w:firstLineChars="0"/>
              <w:jc w:val="center"/>
              <w:rPr>
                <w:color w:val="auto"/>
                <w:sz w:val="21"/>
                <w:szCs w:val="21"/>
              </w:rPr>
            </w:pPr>
          </w:p>
        </w:tc>
      </w:tr>
      <w:tr w14:paraId="2DDC67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6A3C273E">
            <w:pPr>
              <w:pageBreakBefore w:val="0"/>
              <w:wordWrap/>
              <w:bidi w:val="0"/>
              <w:adjustRightInd/>
              <w:snapToGrid/>
              <w:spacing w:line="240" w:lineRule="auto"/>
              <w:ind w:firstLine="0" w:firstLineChars="0"/>
              <w:jc w:val="center"/>
              <w:rPr>
                <w:color w:val="auto"/>
                <w:sz w:val="21"/>
                <w:szCs w:val="21"/>
              </w:rPr>
            </w:pPr>
          </w:p>
        </w:tc>
        <w:tc>
          <w:tcPr>
            <w:tcW w:w="645" w:type="pct"/>
            <w:vMerge w:val="restart"/>
            <w:tcBorders>
              <w:tl2br w:val="nil"/>
              <w:tr2bl w:val="nil"/>
            </w:tcBorders>
            <w:noWrap w:val="0"/>
            <w:vAlign w:val="center"/>
          </w:tcPr>
          <w:p w14:paraId="6AB0A928">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化验室</w:t>
            </w:r>
          </w:p>
        </w:tc>
        <w:tc>
          <w:tcPr>
            <w:tcW w:w="518" w:type="pct"/>
            <w:tcBorders>
              <w:tl2br w:val="nil"/>
              <w:tr2bl w:val="nil"/>
            </w:tcBorders>
            <w:noWrap w:val="0"/>
            <w:vAlign w:val="center"/>
          </w:tcPr>
          <w:p w14:paraId="0648744B">
            <w:pPr>
              <w:pStyle w:val="498"/>
              <w:pageBreakBefore w:val="0"/>
              <w:wordWrap/>
              <w:bidi w:val="0"/>
              <w:adjustRightInd/>
              <w:snapToGrid/>
              <w:ind w:firstLine="0" w:firstLineChars="0"/>
              <w:jc w:val="center"/>
              <w:rPr>
                <w:color w:val="auto"/>
                <w:sz w:val="21"/>
                <w:szCs w:val="21"/>
              </w:rPr>
            </w:pPr>
            <w:r>
              <w:rPr>
                <w:color w:val="auto"/>
                <w:sz w:val="21"/>
                <w:szCs w:val="21"/>
              </w:rPr>
              <w:t>化验废液</w:t>
            </w:r>
          </w:p>
        </w:tc>
        <w:tc>
          <w:tcPr>
            <w:tcW w:w="1129" w:type="pct"/>
            <w:tcBorders>
              <w:tl2br w:val="nil"/>
              <w:tr2bl w:val="nil"/>
            </w:tcBorders>
            <w:noWrap w:val="0"/>
            <w:vAlign w:val="center"/>
          </w:tcPr>
          <w:p w14:paraId="01064FD2">
            <w:pPr>
              <w:pStyle w:val="498"/>
              <w:pageBreakBefore w:val="0"/>
              <w:wordWrap/>
              <w:bidi w:val="0"/>
              <w:adjustRightInd/>
              <w:snapToGrid/>
              <w:ind w:firstLine="0" w:firstLineChars="0"/>
              <w:jc w:val="center"/>
              <w:rPr>
                <w:rFonts w:hint="default"/>
                <w:color w:val="auto"/>
                <w:sz w:val="21"/>
                <w:szCs w:val="21"/>
                <w:lang w:val="en-US"/>
              </w:rPr>
            </w:pPr>
            <w:r>
              <w:rPr>
                <w:color w:val="auto"/>
                <w:sz w:val="21"/>
                <w:szCs w:val="21"/>
              </w:rPr>
              <w:t>0.</w:t>
            </w:r>
            <w:r>
              <w:rPr>
                <w:rFonts w:hint="eastAsia"/>
                <w:color w:val="auto"/>
                <w:sz w:val="21"/>
                <w:szCs w:val="21"/>
                <w:lang w:val="en-US" w:eastAsia="zh-CN"/>
              </w:rPr>
              <w:t>1t/a</w:t>
            </w:r>
          </w:p>
        </w:tc>
        <w:tc>
          <w:tcPr>
            <w:tcW w:w="968" w:type="pct"/>
            <w:vMerge w:val="continue"/>
            <w:tcBorders>
              <w:tl2br w:val="nil"/>
              <w:tr2bl w:val="nil"/>
            </w:tcBorders>
            <w:noWrap w:val="0"/>
            <w:vAlign w:val="center"/>
          </w:tcPr>
          <w:p w14:paraId="0C5FFB5E">
            <w:pPr>
              <w:pageBreakBefore w:val="0"/>
              <w:tabs>
                <w:tab w:val="left" w:pos="4200"/>
              </w:tabs>
              <w:wordWrap/>
              <w:bidi w:val="0"/>
              <w:adjustRightInd/>
              <w:snapToGrid/>
              <w:spacing w:line="240" w:lineRule="auto"/>
              <w:ind w:firstLine="0" w:firstLineChars="0"/>
              <w:jc w:val="center"/>
              <w:rPr>
                <w:color w:val="auto"/>
                <w:kern w:val="0"/>
                <w:position w:val="-2"/>
                <w:sz w:val="21"/>
                <w:szCs w:val="21"/>
              </w:rPr>
            </w:pPr>
          </w:p>
        </w:tc>
        <w:tc>
          <w:tcPr>
            <w:tcW w:w="973" w:type="pct"/>
            <w:tcBorders>
              <w:tl2br w:val="nil"/>
              <w:tr2bl w:val="nil"/>
            </w:tcBorders>
            <w:noWrap w:val="0"/>
            <w:vAlign w:val="center"/>
          </w:tcPr>
          <w:p w14:paraId="170C2AE6">
            <w:pPr>
              <w:pageBreakBefore w:val="0"/>
              <w:wordWrap/>
              <w:bidi w:val="0"/>
              <w:adjustRightInd/>
              <w:snapToGrid/>
              <w:spacing w:line="240" w:lineRule="auto"/>
              <w:ind w:firstLine="0" w:firstLineChars="0"/>
              <w:jc w:val="center"/>
              <w:rPr>
                <w:color w:val="auto"/>
                <w:sz w:val="21"/>
                <w:szCs w:val="21"/>
              </w:rPr>
            </w:pPr>
            <w:r>
              <w:rPr>
                <w:color w:val="auto"/>
                <w:sz w:val="21"/>
                <w:szCs w:val="21"/>
              </w:rPr>
              <w:t>0</w:t>
            </w:r>
          </w:p>
        </w:tc>
        <w:tc>
          <w:tcPr>
            <w:tcW w:w="567" w:type="pct"/>
            <w:vMerge w:val="continue"/>
            <w:tcBorders>
              <w:tl2br w:val="nil"/>
              <w:tr2bl w:val="nil"/>
            </w:tcBorders>
            <w:noWrap w:val="0"/>
            <w:vAlign w:val="center"/>
          </w:tcPr>
          <w:p w14:paraId="48346609">
            <w:pPr>
              <w:pageBreakBefore w:val="0"/>
              <w:wordWrap/>
              <w:bidi w:val="0"/>
              <w:adjustRightInd/>
              <w:snapToGrid/>
              <w:spacing w:line="240" w:lineRule="auto"/>
              <w:ind w:firstLine="0" w:firstLineChars="0"/>
              <w:jc w:val="center"/>
              <w:rPr>
                <w:color w:val="auto"/>
                <w:sz w:val="21"/>
                <w:szCs w:val="21"/>
              </w:rPr>
            </w:pPr>
          </w:p>
        </w:tc>
      </w:tr>
      <w:tr w14:paraId="148944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363DEF1C">
            <w:pPr>
              <w:pageBreakBefore w:val="0"/>
              <w:wordWrap/>
              <w:bidi w:val="0"/>
              <w:adjustRightInd/>
              <w:snapToGrid/>
              <w:spacing w:line="240" w:lineRule="auto"/>
              <w:ind w:firstLine="0" w:firstLineChars="0"/>
              <w:jc w:val="center"/>
              <w:rPr>
                <w:color w:val="auto"/>
                <w:sz w:val="21"/>
                <w:szCs w:val="21"/>
              </w:rPr>
            </w:pPr>
          </w:p>
        </w:tc>
        <w:tc>
          <w:tcPr>
            <w:tcW w:w="645" w:type="pct"/>
            <w:vMerge w:val="continue"/>
            <w:tcBorders>
              <w:tl2br w:val="nil"/>
              <w:tr2bl w:val="nil"/>
            </w:tcBorders>
            <w:noWrap w:val="0"/>
            <w:vAlign w:val="center"/>
          </w:tcPr>
          <w:p w14:paraId="16C9D1DC">
            <w:pPr>
              <w:pStyle w:val="498"/>
              <w:pageBreakBefore w:val="0"/>
              <w:wordWrap/>
              <w:bidi w:val="0"/>
              <w:adjustRightInd/>
              <w:snapToGrid/>
              <w:ind w:firstLine="0" w:firstLineChars="0"/>
              <w:jc w:val="center"/>
              <w:rPr>
                <w:color w:val="auto"/>
                <w:sz w:val="21"/>
                <w:szCs w:val="21"/>
              </w:rPr>
            </w:pPr>
          </w:p>
        </w:tc>
        <w:tc>
          <w:tcPr>
            <w:tcW w:w="518" w:type="pct"/>
            <w:tcBorders>
              <w:tl2br w:val="nil"/>
              <w:tr2bl w:val="nil"/>
            </w:tcBorders>
            <w:noWrap w:val="0"/>
            <w:vAlign w:val="center"/>
          </w:tcPr>
          <w:p w14:paraId="5329854D">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废化学试剂瓶</w:t>
            </w:r>
          </w:p>
        </w:tc>
        <w:tc>
          <w:tcPr>
            <w:tcW w:w="1129" w:type="pct"/>
            <w:tcBorders>
              <w:tl2br w:val="nil"/>
              <w:tr2bl w:val="nil"/>
            </w:tcBorders>
            <w:noWrap w:val="0"/>
            <w:vAlign w:val="center"/>
          </w:tcPr>
          <w:p w14:paraId="52A66922">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0.5t/a</w:t>
            </w:r>
          </w:p>
        </w:tc>
        <w:tc>
          <w:tcPr>
            <w:tcW w:w="968" w:type="pct"/>
            <w:vMerge w:val="continue"/>
            <w:tcBorders>
              <w:tl2br w:val="nil"/>
              <w:tr2bl w:val="nil"/>
            </w:tcBorders>
            <w:noWrap w:val="0"/>
            <w:vAlign w:val="center"/>
          </w:tcPr>
          <w:p w14:paraId="1B6602B7">
            <w:pPr>
              <w:pageBreakBefore w:val="0"/>
              <w:wordWrap/>
              <w:bidi w:val="0"/>
              <w:adjustRightInd/>
              <w:snapToGrid/>
              <w:spacing w:line="240" w:lineRule="auto"/>
              <w:ind w:firstLine="0" w:firstLineChars="0"/>
              <w:jc w:val="center"/>
              <w:rPr>
                <w:color w:val="auto"/>
                <w:sz w:val="21"/>
                <w:szCs w:val="21"/>
              </w:rPr>
            </w:pPr>
          </w:p>
        </w:tc>
        <w:tc>
          <w:tcPr>
            <w:tcW w:w="973" w:type="pct"/>
            <w:tcBorders>
              <w:tl2br w:val="nil"/>
              <w:tr2bl w:val="nil"/>
            </w:tcBorders>
            <w:noWrap w:val="0"/>
            <w:vAlign w:val="center"/>
          </w:tcPr>
          <w:p w14:paraId="56FC1DBB">
            <w:pPr>
              <w:pageBreakBefore w:val="0"/>
              <w:wordWrap/>
              <w:bidi w:val="0"/>
              <w:adjustRightInd/>
              <w:snapToGrid/>
              <w:spacing w:line="240" w:lineRule="auto"/>
              <w:ind w:firstLine="0" w:firstLineChars="0"/>
              <w:jc w:val="center"/>
              <w:rPr>
                <w:color w:val="auto"/>
                <w:sz w:val="21"/>
                <w:szCs w:val="21"/>
              </w:rPr>
            </w:pPr>
            <w:r>
              <w:rPr>
                <w:color w:val="auto"/>
                <w:sz w:val="21"/>
                <w:szCs w:val="21"/>
              </w:rPr>
              <w:t>0</w:t>
            </w:r>
          </w:p>
        </w:tc>
        <w:tc>
          <w:tcPr>
            <w:tcW w:w="567" w:type="pct"/>
            <w:vMerge w:val="continue"/>
            <w:tcBorders>
              <w:tl2br w:val="nil"/>
              <w:tr2bl w:val="nil"/>
            </w:tcBorders>
            <w:noWrap w:val="0"/>
            <w:vAlign w:val="center"/>
          </w:tcPr>
          <w:p w14:paraId="272373A0">
            <w:pPr>
              <w:pageBreakBefore w:val="0"/>
              <w:wordWrap/>
              <w:bidi w:val="0"/>
              <w:adjustRightInd/>
              <w:snapToGrid/>
              <w:spacing w:line="240" w:lineRule="auto"/>
              <w:ind w:firstLine="0" w:firstLineChars="0"/>
              <w:jc w:val="center"/>
              <w:rPr>
                <w:color w:val="auto"/>
                <w:sz w:val="21"/>
                <w:szCs w:val="21"/>
              </w:rPr>
            </w:pPr>
          </w:p>
        </w:tc>
      </w:tr>
      <w:tr w14:paraId="156DA1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96" w:type="pct"/>
            <w:vMerge w:val="continue"/>
            <w:tcBorders>
              <w:tl2br w:val="nil"/>
              <w:tr2bl w:val="nil"/>
            </w:tcBorders>
            <w:noWrap w:val="0"/>
            <w:vAlign w:val="center"/>
          </w:tcPr>
          <w:p w14:paraId="433B9E8F">
            <w:pPr>
              <w:pageBreakBefore w:val="0"/>
              <w:wordWrap/>
              <w:bidi w:val="0"/>
              <w:adjustRightInd/>
              <w:snapToGrid/>
              <w:spacing w:line="240" w:lineRule="auto"/>
              <w:ind w:firstLine="0" w:firstLineChars="0"/>
              <w:jc w:val="center"/>
              <w:rPr>
                <w:color w:val="auto"/>
                <w:sz w:val="21"/>
                <w:szCs w:val="21"/>
              </w:rPr>
            </w:pPr>
            <w:bookmarkStart w:id="113" w:name="_Toc30883"/>
          </w:p>
        </w:tc>
        <w:tc>
          <w:tcPr>
            <w:tcW w:w="645" w:type="pct"/>
            <w:tcBorders>
              <w:tl2br w:val="nil"/>
              <w:tr2bl w:val="nil"/>
            </w:tcBorders>
            <w:noWrap w:val="0"/>
            <w:vAlign w:val="center"/>
          </w:tcPr>
          <w:p w14:paraId="784895F9">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紫外消毒</w:t>
            </w:r>
          </w:p>
        </w:tc>
        <w:tc>
          <w:tcPr>
            <w:tcW w:w="518" w:type="pct"/>
            <w:tcBorders>
              <w:tl2br w:val="nil"/>
              <w:tr2bl w:val="nil"/>
            </w:tcBorders>
            <w:noWrap w:val="0"/>
            <w:vAlign w:val="center"/>
          </w:tcPr>
          <w:p w14:paraId="4E75FFD2">
            <w:pPr>
              <w:pStyle w:val="498"/>
              <w:pageBreakBefore w:val="0"/>
              <w:wordWrap/>
              <w:bidi w:val="0"/>
              <w:adjustRightInd/>
              <w:snapToGrid/>
              <w:ind w:firstLine="0" w:firstLineChars="0"/>
              <w:jc w:val="center"/>
              <w:rPr>
                <w:rFonts w:hint="eastAsia"/>
                <w:color w:val="auto"/>
                <w:sz w:val="21"/>
                <w:szCs w:val="21"/>
                <w:lang w:val="en-US" w:eastAsia="zh-CN"/>
              </w:rPr>
            </w:pPr>
            <w:r>
              <w:rPr>
                <w:rFonts w:hint="eastAsia"/>
                <w:color w:val="auto"/>
                <w:sz w:val="21"/>
                <w:szCs w:val="21"/>
                <w:lang w:val="en-US" w:eastAsia="zh-CN"/>
              </w:rPr>
              <w:t>废紫外线灯管</w:t>
            </w:r>
          </w:p>
        </w:tc>
        <w:tc>
          <w:tcPr>
            <w:tcW w:w="1129" w:type="pct"/>
            <w:tcBorders>
              <w:tl2br w:val="nil"/>
              <w:tr2bl w:val="nil"/>
            </w:tcBorders>
            <w:noWrap w:val="0"/>
            <w:vAlign w:val="center"/>
          </w:tcPr>
          <w:p w14:paraId="3CB03BCE">
            <w:pPr>
              <w:pStyle w:val="498"/>
              <w:pageBreakBefore w:val="0"/>
              <w:wordWrap/>
              <w:bidi w:val="0"/>
              <w:adjustRightInd/>
              <w:snapToGrid/>
              <w:ind w:firstLine="0" w:firstLineChars="0"/>
              <w:jc w:val="center"/>
              <w:rPr>
                <w:rFonts w:hint="default"/>
                <w:color w:val="auto"/>
                <w:sz w:val="21"/>
                <w:szCs w:val="21"/>
                <w:lang w:val="en-US" w:eastAsia="zh-CN"/>
              </w:rPr>
            </w:pPr>
            <w:r>
              <w:rPr>
                <w:rFonts w:hint="eastAsia"/>
                <w:color w:val="auto"/>
                <w:sz w:val="21"/>
                <w:szCs w:val="21"/>
                <w:lang w:val="en-US" w:eastAsia="zh-CN"/>
              </w:rPr>
              <w:t>0.1t/a</w:t>
            </w:r>
          </w:p>
        </w:tc>
        <w:tc>
          <w:tcPr>
            <w:tcW w:w="968" w:type="pct"/>
            <w:vMerge w:val="continue"/>
            <w:tcBorders>
              <w:tl2br w:val="nil"/>
              <w:tr2bl w:val="nil"/>
            </w:tcBorders>
            <w:noWrap w:val="0"/>
            <w:vAlign w:val="center"/>
          </w:tcPr>
          <w:p w14:paraId="14D8A6BF">
            <w:pPr>
              <w:pageBreakBefore w:val="0"/>
              <w:wordWrap/>
              <w:bidi w:val="0"/>
              <w:adjustRightInd/>
              <w:snapToGrid/>
              <w:spacing w:line="240" w:lineRule="auto"/>
              <w:ind w:firstLine="0" w:firstLineChars="0"/>
              <w:jc w:val="center"/>
              <w:rPr>
                <w:color w:val="auto"/>
                <w:sz w:val="21"/>
                <w:szCs w:val="21"/>
              </w:rPr>
            </w:pPr>
          </w:p>
        </w:tc>
        <w:tc>
          <w:tcPr>
            <w:tcW w:w="973" w:type="pct"/>
            <w:tcBorders>
              <w:tl2br w:val="nil"/>
              <w:tr2bl w:val="nil"/>
            </w:tcBorders>
            <w:noWrap w:val="0"/>
            <w:vAlign w:val="center"/>
          </w:tcPr>
          <w:p w14:paraId="4386A631">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0</w:t>
            </w:r>
          </w:p>
        </w:tc>
        <w:tc>
          <w:tcPr>
            <w:tcW w:w="567" w:type="pct"/>
            <w:vMerge w:val="continue"/>
            <w:tcBorders>
              <w:tl2br w:val="nil"/>
              <w:tr2bl w:val="nil"/>
            </w:tcBorders>
            <w:noWrap w:val="0"/>
            <w:vAlign w:val="center"/>
          </w:tcPr>
          <w:p w14:paraId="6A396671">
            <w:pPr>
              <w:pageBreakBefore w:val="0"/>
              <w:wordWrap/>
              <w:bidi w:val="0"/>
              <w:adjustRightInd/>
              <w:snapToGrid/>
              <w:spacing w:line="240" w:lineRule="auto"/>
              <w:ind w:firstLine="0" w:firstLineChars="0"/>
              <w:jc w:val="center"/>
              <w:rPr>
                <w:color w:val="auto"/>
                <w:sz w:val="21"/>
                <w:szCs w:val="21"/>
              </w:rPr>
            </w:pPr>
          </w:p>
        </w:tc>
      </w:tr>
    </w:tbl>
    <w:p w14:paraId="0FD6703A">
      <w:pPr>
        <w:pStyle w:val="4"/>
        <w:pageBreakBefore w:val="0"/>
        <w:wordWrap/>
        <w:bidi w:val="0"/>
        <w:adjustRightInd/>
        <w:snapToGrid/>
        <w:rPr>
          <w:rFonts w:ascii="Times New Roman" w:hAnsi="Times New Roman" w:eastAsia="宋体"/>
          <w:color w:val="auto"/>
        </w:rPr>
        <w:sectPr>
          <w:pgSz w:w="16838" w:h="11906" w:orient="landscape"/>
          <w:pgMar w:top="1588" w:right="1440" w:bottom="1588" w:left="1440" w:header="851" w:footer="992" w:gutter="0"/>
          <w:pgBorders>
            <w:top w:val="none" w:sz="0" w:space="0"/>
            <w:left w:val="none" w:sz="0" w:space="0"/>
            <w:bottom w:val="none" w:sz="0" w:space="0"/>
            <w:right w:val="none" w:sz="0" w:space="0"/>
          </w:pgBorders>
          <w:pgNumType w:fmt="decimal"/>
          <w:cols w:space="720" w:num="1"/>
          <w:docGrid w:linePitch="286" w:charSpace="0"/>
        </w:sectPr>
      </w:pPr>
      <w:bookmarkStart w:id="114" w:name="_Toc29000"/>
      <w:bookmarkEnd w:id="114"/>
    </w:p>
    <w:bookmarkEnd w:id="113"/>
    <w:p w14:paraId="01A479B2">
      <w:pPr>
        <w:pStyle w:val="4"/>
        <w:pageBreakBefore w:val="0"/>
        <w:wordWrap/>
        <w:bidi w:val="0"/>
        <w:adjustRightInd/>
        <w:snapToGrid/>
        <w:rPr>
          <w:rFonts w:ascii="Times New Roman" w:hAnsi="Times New Roman" w:eastAsia="宋体"/>
          <w:color w:val="auto"/>
        </w:rPr>
      </w:pPr>
      <w:bookmarkStart w:id="115" w:name="_Toc24221"/>
      <w:r>
        <w:rPr>
          <w:rFonts w:hint="eastAsia" w:ascii="Times New Roman" w:hAnsi="Times New Roman" w:eastAsia="宋体"/>
          <w:color w:val="auto"/>
          <w:lang w:val="en-US" w:eastAsia="zh-CN"/>
        </w:rPr>
        <w:t xml:space="preserve"> </w:t>
      </w:r>
      <w:bookmarkStart w:id="116" w:name="_Toc29528"/>
      <w:r>
        <w:rPr>
          <w:rFonts w:ascii="Times New Roman" w:hAnsi="Times New Roman" w:eastAsia="宋体"/>
          <w:color w:val="auto"/>
        </w:rPr>
        <w:t>总量控制指标</w:t>
      </w:r>
      <w:bookmarkEnd w:id="115"/>
      <w:bookmarkEnd w:id="116"/>
    </w:p>
    <w:p w14:paraId="7317A3DF">
      <w:pPr>
        <w:bidi w:val="0"/>
        <w:rPr>
          <w:color w:val="auto"/>
        </w:rPr>
      </w:pPr>
      <w:bookmarkStart w:id="117" w:name="_Toc505087363"/>
      <w:r>
        <w:rPr>
          <w:color w:val="auto"/>
        </w:rPr>
        <w:t>依据《建设项目主要污染物排放总量指标审核及管理暂行办法》（环[2014]197号）以及《四川省环境保护厅办公室关于贯彻落实&lt;建设项目主要污染物排放总量指标审核及管理暂行办法&gt;的通知》（川环办发</w:t>
      </w:r>
      <w:r>
        <w:rPr>
          <w:rFonts w:hint="eastAsia"/>
          <w:color w:val="auto"/>
          <w:lang w:eastAsia="zh-CN"/>
        </w:rPr>
        <w:t>〔</w:t>
      </w:r>
      <w:r>
        <w:rPr>
          <w:color w:val="auto"/>
        </w:rPr>
        <w:t>2015</w:t>
      </w:r>
      <w:r>
        <w:rPr>
          <w:rFonts w:hint="eastAsia"/>
          <w:color w:val="auto"/>
          <w:lang w:eastAsia="zh-CN"/>
        </w:rPr>
        <w:t>〕</w:t>
      </w:r>
      <w:r>
        <w:rPr>
          <w:color w:val="auto"/>
        </w:rPr>
        <w:t>333号）中相关规定对本项目污染物总量控制指标核定排放量计算过程如下：</w:t>
      </w:r>
    </w:p>
    <w:bookmarkEnd w:id="117"/>
    <w:p w14:paraId="100681B5">
      <w:pPr>
        <w:bidi w:val="0"/>
        <w:rPr>
          <w:color w:val="auto"/>
        </w:rPr>
      </w:pPr>
      <w:r>
        <w:rPr>
          <w:color w:val="auto"/>
        </w:rPr>
        <w:t>经分析，本项目选址位于</w:t>
      </w:r>
      <w:r>
        <w:rPr>
          <w:rFonts w:hint="eastAsia"/>
          <w:color w:val="auto"/>
          <w:lang w:eastAsia="zh-CN"/>
        </w:rPr>
        <w:t>巴中巴州区四川巴中经济开发区</w:t>
      </w:r>
      <w:r>
        <w:rPr>
          <w:color w:val="auto"/>
        </w:rPr>
        <w:t>规划用地范围内，根据地方环保部门相关要求排水</w:t>
      </w:r>
      <w:r>
        <w:rPr>
          <w:rFonts w:hint="eastAsia"/>
          <w:color w:val="auto"/>
          <w:lang w:val="en-US" w:eastAsia="zh-CN"/>
        </w:rPr>
        <w:t>达到</w:t>
      </w:r>
      <w:r>
        <w:rPr>
          <w:rFonts w:hint="eastAsia"/>
          <w:color w:val="auto"/>
        </w:rPr>
        <w:t>《城镇污水处理厂污染物排放标准》（GB18918-2002）一级A标准</w:t>
      </w:r>
      <w:r>
        <w:rPr>
          <w:rFonts w:hint="eastAsia"/>
          <w:color w:val="auto"/>
          <w:lang w:val="en-US" w:eastAsia="zh-CN"/>
        </w:rPr>
        <w:t>后</w:t>
      </w:r>
      <w:r>
        <w:rPr>
          <w:color w:val="auto"/>
        </w:rPr>
        <w:t>排入</w:t>
      </w:r>
      <w:r>
        <w:rPr>
          <w:rFonts w:hint="eastAsia"/>
          <w:color w:val="auto"/>
          <w:lang w:eastAsia="zh-CN"/>
        </w:rPr>
        <w:t>巴河</w:t>
      </w:r>
      <w:r>
        <w:rPr>
          <w:color w:val="auto"/>
        </w:rPr>
        <w:t>。</w:t>
      </w:r>
    </w:p>
    <w:p w14:paraId="358A39EB">
      <w:pPr>
        <w:pageBreakBefore w:val="0"/>
        <w:wordWrap/>
        <w:bidi w:val="0"/>
        <w:adjustRightInd/>
        <w:snapToGrid/>
        <w:ind w:firstLine="480"/>
        <w:jc w:val="left"/>
        <w:rPr>
          <w:color w:val="auto"/>
        </w:rPr>
      </w:pPr>
      <w:r>
        <w:rPr>
          <w:color w:val="auto"/>
        </w:rPr>
        <w:t>因此，本项目水污染物总量控制指标的核算过程如下：</w:t>
      </w:r>
    </w:p>
    <w:p w14:paraId="29E50473">
      <w:pPr>
        <w:pageBreakBefore w:val="0"/>
        <w:wordWrap/>
        <w:bidi w:val="0"/>
        <w:adjustRightInd/>
        <w:snapToGrid/>
        <w:ind w:firstLine="480"/>
        <w:jc w:val="left"/>
        <w:rPr>
          <w:color w:val="auto"/>
        </w:rPr>
      </w:pPr>
      <w:r>
        <w:rPr>
          <w:color w:val="auto"/>
        </w:rPr>
        <w:t>COD</w:t>
      </w:r>
      <w:r>
        <w:rPr>
          <w:color w:val="auto"/>
          <w:vertAlign w:val="subscript"/>
        </w:rPr>
        <w:t>Cr</w:t>
      </w:r>
      <w:r>
        <w:rPr>
          <w:rFonts w:hint="eastAsia"/>
          <w:color w:val="auto"/>
          <w:lang w:eastAsia="zh-CN"/>
        </w:rPr>
        <w:t>、</w:t>
      </w:r>
      <w:r>
        <w:rPr>
          <w:color w:val="auto"/>
        </w:rPr>
        <w:t>NH</w:t>
      </w:r>
      <w:r>
        <w:rPr>
          <w:color w:val="auto"/>
          <w:vertAlign w:val="subscript"/>
        </w:rPr>
        <w:t>3</w:t>
      </w:r>
      <w:r>
        <w:rPr>
          <w:color w:val="auto"/>
        </w:rPr>
        <w:t>-N</w:t>
      </w:r>
      <w:r>
        <w:rPr>
          <w:rFonts w:hint="eastAsia"/>
          <w:color w:val="auto"/>
          <w:lang w:val="en-US" w:eastAsia="zh-CN"/>
        </w:rPr>
        <w:t>和TP</w:t>
      </w:r>
      <w:r>
        <w:rPr>
          <w:color w:val="auto"/>
        </w:rPr>
        <w:t>核定排放总量指标=设计水量×运行时间</w:t>
      </w:r>
      <w:r>
        <w:rPr>
          <w:color w:val="auto"/>
          <w:lang w:val="fr-FR"/>
        </w:rPr>
        <w:t>×</w:t>
      </w:r>
      <w:r>
        <w:rPr>
          <w:color w:val="auto"/>
        </w:rPr>
        <w:t>排放浓度</w:t>
      </w:r>
    </w:p>
    <w:p w14:paraId="7E785BFC">
      <w:pPr>
        <w:pageBreakBefore w:val="0"/>
        <w:wordWrap/>
        <w:bidi w:val="0"/>
        <w:adjustRightInd/>
        <w:snapToGrid/>
        <w:ind w:firstLine="480"/>
        <w:jc w:val="left"/>
        <w:rPr>
          <w:color w:val="auto"/>
          <w:lang w:val="fr-FR"/>
        </w:rPr>
      </w:pPr>
      <w:r>
        <w:rPr>
          <w:color w:val="auto"/>
        </w:rPr>
        <w:t>COD</w:t>
      </w:r>
      <w:r>
        <w:rPr>
          <w:color w:val="auto"/>
          <w:vertAlign w:val="subscript"/>
        </w:rPr>
        <w:t>Cr</w:t>
      </w:r>
      <w:r>
        <w:rPr>
          <w:color w:val="auto"/>
        </w:rPr>
        <w:t>核定总量指标</w:t>
      </w:r>
      <w:r>
        <w:rPr>
          <w:color w:val="auto"/>
          <w:lang w:val="fr-FR"/>
        </w:rPr>
        <w:t>=</w:t>
      </w:r>
      <w:r>
        <w:rPr>
          <w:rFonts w:hint="eastAsia"/>
          <w:color w:val="auto"/>
          <w:lang w:val="en-US" w:eastAsia="zh-CN"/>
        </w:rPr>
        <w:t>3000</w:t>
      </w:r>
      <w:r>
        <w:rPr>
          <w:rFonts w:hint="eastAsia"/>
          <w:color w:val="auto"/>
          <w:lang w:val="fr-FR" w:eastAsia="zh-CN"/>
        </w:rPr>
        <w:t>m³</w:t>
      </w:r>
      <w:r>
        <w:rPr>
          <w:color w:val="auto"/>
          <w:lang w:val="fr-FR"/>
        </w:rPr>
        <w:t>/d×3</w:t>
      </w:r>
      <w:r>
        <w:rPr>
          <w:rFonts w:hint="eastAsia"/>
          <w:color w:val="auto"/>
          <w:lang w:val="en-US" w:eastAsia="zh-CN"/>
        </w:rPr>
        <w:t>65</w:t>
      </w:r>
      <w:r>
        <w:rPr>
          <w:color w:val="auto"/>
          <w:lang w:val="fr-FR"/>
        </w:rPr>
        <w:t>d/a×</w:t>
      </w:r>
      <w:r>
        <w:rPr>
          <w:rFonts w:hint="eastAsia"/>
          <w:color w:val="auto"/>
          <w:lang w:val="en-US" w:eastAsia="zh-CN"/>
        </w:rPr>
        <w:t>50</w:t>
      </w:r>
      <w:r>
        <w:rPr>
          <w:color w:val="auto"/>
          <w:lang w:val="fr-FR"/>
        </w:rPr>
        <w:t>mg/L×</w:t>
      </w:r>
      <w:r>
        <w:rPr>
          <w:color w:val="auto"/>
        </w:rPr>
        <w:t>10</w:t>
      </w:r>
      <w:r>
        <w:rPr>
          <w:color w:val="auto"/>
          <w:vertAlign w:val="superscript"/>
        </w:rPr>
        <w:t>-6</w:t>
      </w:r>
      <w:r>
        <w:rPr>
          <w:color w:val="auto"/>
          <w:lang w:val="fr-FR"/>
        </w:rPr>
        <w:t>=</w:t>
      </w:r>
      <w:r>
        <w:rPr>
          <w:rFonts w:hint="eastAsia"/>
          <w:color w:val="auto"/>
          <w:lang w:val="en-US" w:eastAsia="zh-CN"/>
        </w:rPr>
        <w:t>54.75</w:t>
      </w:r>
      <w:r>
        <w:rPr>
          <w:color w:val="auto"/>
          <w:lang w:val="fr-FR"/>
        </w:rPr>
        <w:t>t/a</w:t>
      </w:r>
    </w:p>
    <w:p w14:paraId="65832617">
      <w:pPr>
        <w:pageBreakBefore w:val="0"/>
        <w:wordWrap/>
        <w:bidi w:val="0"/>
        <w:adjustRightInd/>
        <w:snapToGrid/>
        <w:ind w:firstLine="480"/>
        <w:jc w:val="left"/>
        <w:rPr>
          <w:color w:val="auto"/>
          <w:lang w:val="fr-FR"/>
        </w:rPr>
      </w:pPr>
      <w:r>
        <w:rPr>
          <w:color w:val="auto"/>
          <w:lang w:val="fr-FR"/>
        </w:rPr>
        <w:t>NH</w:t>
      </w:r>
      <w:r>
        <w:rPr>
          <w:color w:val="auto"/>
          <w:vertAlign w:val="subscript"/>
          <w:lang w:val="fr-FR"/>
        </w:rPr>
        <w:t>3</w:t>
      </w:r>
      <w:r>
        <w:rPr>
          <w:color w:val="auto"/>
          <w:lang w:val="fr-FR"/>
        </w:rPr>
        <w:t>-N</w:t>
      </w:r>
      <w:r>
        <w:rPr>
          <w:color w:val="auto"/>
        </w:rPr>
        <w:t>核定总量指标</w:t>
      </w:r>
      <w:r>
        <w:rPr>
          <w:color w:val="auto"/>
          <w:lang w:val="fr-FR"/>
        </w:rPr>
        <w:t>=</w:t>
      </w:r>
      <w:r>
        <w:rPr>
          <w:rFonts w:hint="eastAsia"/>
          <w:color w:val="auto"/>
          <w:lang w:val="en-US" w:eastAsia="zh-CN"/>
        </w:rPr>
        <w:t>3000</w:t>
      </w:r>
      <w:r>
        <w:rPr>
          <w:rFonts w:hint="eastAsia"/>
          <w:color w:val="auto"/>
          <w:lang w:val="fr-FR" w:eastAsia="zh-CN"/>
        </w:rPr>
        <w:t>m³</w:t>
      </w:r>
      <w:r>
        <w:rPr>
          <w:color w:val="auto"/>
          <w:lang w:val="fr-FR"/>
        </w:rPr>
        <w:t>/d×3</w:t>
      </w:r>
      <w:r>
        <w:rPr>
          <w:rFonts w:hint="eastAsia"/>
          <w:color w:val="auto"/>
          <w:lang w:val="en-US" w:eastAsia="zh-CN"/>
        </w:rPr>
        <w:t>65</w:t>
      </w:r>
      <w:r>
        <w:rPr>
          <w:color w:val="auto"/>
          <w:lang w:val="fr-FR"/>
        </w:rPr>
        <w:t>d/a×</w:t>
      </w:r>
      <w:r>
        <w:rPr>
          <w:rFonts w:hint="eastAsia"/>
          <w:color w:val="auto"/>
          <w:lang w:val="en-US" w:eastAsia="zh-CN"/>
        </w:rPr>
        <w:t>5</w:t>
      </w:r>
      <w:r>
        <w:rPr>
          <w:color w:val="auto"/>
          <w:lang w:val="fr-FR"/>
        </w:rPr>
        <w:t>mg/L×10</w:t>
      </w:r>
      <w:r>
        <w:rPr>
          <w:color w:val="auto"/>
          <w:vertAlign w:val="superscript"/>
          <w:lang w:val="fr-FR"/>
        </w:rPr>
        <w:t>-6</w:t>
      </w:r>
      <w:r>
        <w:rPr>
          <w:color w:val="auto"/>
          <w:lang w:val="fr-FR"/>
        </w:rPr>
        <w:t>=</w:t>
      </w:r>
      <w:r>
        <w:rPr>
          <w:rFonts w:hint="eastAsia"/>
          <w:color w:val="auto"/>
          <w:lang w:val="en-US" w:eastAsia="zh-CN"/>
        </w:rPr>
        <w:t>5.475</w:t>
      </w:r>
      <w:r>
        <w:rPr>
          <w:color w:val="auto"/>
          <w:lang w:val="fr-FR"/>
        </w:rPr>
        <w:t>t/a</w:t>
      </w:r>
    </w:p>
    <w:p w14:paraId="613195A4">
      <w:pPr>
        <w:pageBreakBefore w:val="0"/>
        <w:wordWrap/>
        <w:bidi w:val="0"/>
        <w:adjustRightInd/>
        <w:snapToGrid/>
        <w:ind w:firstLine="480"/>
        <w:jc w:val="left"/>
        <w:rPr>
          <w:color w:val="auto"/>
          <w:lang w:val="fr-FR"/>
        </w:rPr>
      </w:pPr>
      <w:r>
        <w:rPr>
          <w:color w:val="auto"/>
          <w:lang w:val="fr-FR"/>
        </w:rPr>
        <w:t>TP</w:t>
      </w:r>
      <w:r>
        <w:rPr>
          <w:color w:val="auto"/>
        </w:rPr>
        <w:t>核定总量指标</w:t>
      </w:r>
      <w:r>
        <w:rPr>
          <w:color w:val="auto"/>
          <w:lang w:val="fr-FR"/>
        </w:rPr>
        <w:t>=</w:t>
      </w:r>
      <w:r>
        <w:rPr>
          <w:rFonts w:hint="eastAsia"/>
          <w:color w:val="auto"/>
          <w:lang w:val="en-US" w:eastAsia="zh-CN"/>
        </w:rPr>
        <w:t>3000</w:t>
      </w:r>
      <w:r>
        <w:rPr>
          <w:rFonts w:hint="eastAsia"/>
          <w:color w:val="auto"/>
          <w:lang w:val="fr-FR" w:eastAsia="zh-CN"/>
        </w:rPr>
        <w:t>m³</w:t>
      </w:r>
      <w:r>
        <w:rPr>
          <w:color w:val="auto"/>
          <w:lang w:val="fr-FR"/>
        </w:rPr>
        <w:t>/d×3</w:t>
      </w:r>
      <w:r>
        <w:rPr>
          <w:rFonts w:hint="eastAsia"/>
          <w:color w:val="auto"/>
          <w:lang w:val="en-US" w:eastAsia="zh-CN"/>
        </w:rPr>
        <w:t>65</w:t>
      </w:r>
      <w:r>
        <w:rPr>
          <w:color w:val="auto"/>
          <w:lang w:val="fr-FR"/>
        </w:rPr>
        <w:t>d/a×0.5mg/L×10</w:t>
      </w:r>
      <w:r>
        <w:rPr>
          <w:color w:val="auto"/>
          <w:vertAlign w:val="superscript"/>
          <w:lang w:val="fr-FR"/>
        </w:rPr>
        <w:t>-6</w:t>
      </w:r>
      <w:r>
        <w:rPr>
          <w:color w:val="auto"/>
          <w:lang w:val="fr-FR"/>
        </w:rPr>
        <w:t>=</w:t>
      </w:r>
      <w:r>
        <w:rPr>
          <w:rFonts w:hint="eastAsia"/>
          <w:color w:val="auto"/>
          <w:lang w:val="en-US" w:eastAsia="zh-CN"/>
        </w:rPr>
        <w:t>0.5475</w:t>
      </w:r>
      <w:r>
        <w:rPr>
          <w:color w:val="auto"/>
          <w:lang w:val="fr-FR"/>
        </w:rPr>
        <w:t>t/a</w:t>
      </w:r>
    </w:p>
    <w:p w14:paraId="7A183FEE">
      <w:pPr>
        <w:pageBreakBefore w:val="0"/>
        <w:wordWrap/>
        <w:bidi w:val="0"/>
        <w:adjustRightInd/>
        <w:snapToGrid/>
        <w:ind w:firstLine="480"/>
        <w:jc w:val="left"/>
        <w:rPr>
          <w:color w:val="auto"/>
          <w:lang w:val="fr-FR"/>
        </w:rPr>
      </w:pPr>
      <w:r>
        <w:rPr>
          <w:color w:val="auto"/>
          <w:lang w:val="fr-FR"/>
        </w:rPr>
        <w:t>经分析，</w:t>
      </w:r>
      <w:r>
        <w:rPr>
          <w:color w:val="auto"/>
        </w:rPr>
        <w:t>本项目属于污水处理厂建设项目，作为区域水污染减排设施。</w:t>
      </w:r>
      <w:r>
        <w:rPr>
          <w:color w:val="auto"/>
          <w:lang w:val="fr-FR"/>
        </w:rPr>
        <w:t>同时，污水处理厂所需能源主要依靠市政电力供应（设备驱动能源为电能），不涉及主要大气污染物控制指标。</w:t>
      </w:r>
    </w:p>
    <w:p w14:paraId="44AE947E">
      <w:pPr>
        <w:pageBreakBefore w:val="0"/>
        <w:wordWrap/>
        <w:bidi w:val="0"/>
        <w:adjustRightInd/>
        <w:snapToGrid/>
        <w:ind w:firstLine="480"/>
        <w:rPr>
          <w:color w:val="auto"/>
          <w:lang w:val="fr-FR"/>
        </w:rPr>
      </w:pPr>
      <w:r>
        <w:rPr>
          <w:color w:val="auto"/>
          <w:lang w:val="fr-FR"/>
        </w:rPr>
        <w:t>因此，本项目主要污染总量指标详见下表。</w:t>
      </w:r>
    </w:p>
    <w:p w14:paraId="0B9082CE">
      <w:pPr>
        <w:pStyle w:val="17"/>
        <w:pageBreakBefore w:val="0"/>
        <w:wordWrap/>
        <w:bidi w:val="0"/>
        <w:adjustRightInd/>
        <w:snapToGrid/>
        <w:rPr>
          <w:color w:val="auto"/>
          <w:lang w:val="fr-FR"/>
        </w:rPr>
      </w:pPr>
      <w:r>
        <w:rPr>
          <w:color w:val="auto"/>
        </w:rPr>
        <w:t>表2.</w:t>
      </w:r>
      <w:r>
        <w:rPr>
          <w:rFonts w:hint="eastAsia"/>
          <w:color w:val="auto"/>
          <w:lang w:val="en-US" w:eastAsia="zh-CN"/>
        </w:rPr>
        <w:t>9</w:t>
      </w:r>
      <w:r>
        <w:rPr>
          <w:color w:val="auto"/>
        </w:rPr>
        <w:t>-</w:t>
      </w:r>
      <w:r>
        <w:rPr>
          <w:rFonts w:hint="eastAsia"/>
          <w:color w:val="auto"/>
          <w:lang w:eastAsia="zh-CN"/>
        </w:rPr>
        <w:t>1</w:t>
      </w:r>
      <w:r>
        <w:rPr>
          <w:color w:val="auto"/>
        </w:rPr>
        <w:t>本项目总量控制指标 单位：</w:t>
      </w:r>
      <w:r>
        <w:rPr>
          <w:color w:val="auto"/>
          <w:lang w:val="fr-FR"/>
        </w:rPr>
        <w:t>t/a</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28" w:type="dxa"/>
          <w:bottom w:w="0" w:type="dxa"/>
          <w:right w:w="28" w:type="dxa"/>
        </w:tblCellMar>
      </w:tblPr>
      <w:tblGrid>
        <w:gridCol w:w="2818"/>
        <w:gridCol w:w="1781"/>
        <w:gridCol w:w="2106"/>
        <w:gridCol w:w="2076"/>
      </w:tblGrid>
      <w:tr w14:paraId="4F3BBD9A">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cantSplit/>
          <w:trHeight w:val="397" w:hRule="atLeast"/>
          <w:jc w:val="center"/>
        </w:trPr>
        <w:tc>
          <w:tcPr>
            <w:tcW w:w="1604" w:type="pct"/>
            <w:vMerge w:val="restart"/>
            <w:tcBorders>
              <w:tl2br w:val="nil"/>
              <w:tr2bl w:val="nil"/>
            </w:tcBorders>
            <w:noWrap w:val="0"/>
            <w:vAlign w:val="center"/>
          </w:tcPr>
          <w:p w14:paraId="3174F82A">
            <w:pPr>
              <w:pageBreakBefore w:val="0"/>
              <w:wordWrap/>
              <w:bidi w:val="0"/>
              <w:adjustRightInd/>
              <w:snapToGrid/>
              <w:spacing w:line="240" w:lineRule="auto"/>
              <w:ind w:firstLine="0" w:firstLineChars="0"/>
              <w:jc w:val="center"/>
              <w:rPr>
                <w:b/>
                <w:bCs/>
                <w:color w:val="auto"/>
                <w:sz w:val="21"/>
                <w:szCs w:val="21"/>
                <w:lang w:val="fr-FR"/>
              </w:rPr>
            </w:pPr>
            <w:r>
              <w:rPr>
                <w:b/>
                <w:bCs/>
                <w:color w:val="auto"/>
                <w:sz w:val="21"/>
                <w:szCs w:val="21"/>
              </w:rPr>
              <w:t>项目指标</w:t>
            </w:r>
          </w:p>
        </w:tc>
        <w:tc>
          <w:tcPr>
            <w:tcW w:w="3395" w:type="pct"/>
            <w:gridSpan w:val="3"/>
            <w:tcBorders>
              <w:tl2br w:val="nil"/>
              <w:tr2bl w:val="nil"/>
            </w:tcBorders>
            <w:noWrap w:val="0"/>
            <w:vAlign w:val="center"/>
          </w:tcPr>
          <w:p w14:paraId="0DFB2042">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废水</w:t>
            </w:r>
          </w:p>
        </w:tc>
      </w:tr>
      <w:tr w14:paraId="153A8681">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cantSplit/>
          <w:trHeight w:val="397" w:hRule="atLeast"/>
          <w:jc w:val="center"/>
        </w:trPr>
        <w:tc>
          <w:tcPr>
            <w:tcW w:w="1604" w:type="pct"/>
            <w:vMerge w:val="continue"/>
            <w:tcBorders>
              <w:tl2br w:val="nil"/>
              <w:tr2bl w:val="nil"/>
            </w:tcBorders>
            <w:noWrap w:val="0"/>
            <w:vAlign w:val="center"/>
          </w:tcPr>
          <w:p w14:paraId="27B5C3BA">
            <w:pPr>
              <w:pageBreakBefore w:val="0"/>
              <w:wordWrap/>
              <w:bidi w:val="0"/>
              <w:adjustRightInd/>
              <w:snapToGrid/>
              <w:spacing w:line="240" w:lineRule="auto"/>
              <w:ind w:firstLine="0" w:firstLineChars="0"/>
              <w:jc w:val="center"/>
              <w:rPr>
                <w:b/>
                <w:bCs/>
                <w:color w:val="auto"/>
                <w:sz w:val="21"/>
                <w:szCs w:val="21"/>
                <w:lang w:val="fr-FR"/>
              </w:rPr>
            </w:pPr>
          </w:p>
        </w:tc>
        <w:tc>
          <w:tcPr>
            <w:tcW w:w="1014" w:type="pct"/>
            <w:tcBorders>
              <w:tl2br w:val="nil"/>
              <w:tr2bl w:val="nil"/>
            </w:tcBorders>
            <w:noWrap w:val="0"/>
            <w:vAlign w:val="center"/>
          </w:tcPr>
          <w:p w14:paraId="768753DE">
            <w:pPr>
              <w:pageBreakBefore w:val="0"/>
              <w:wordWrap/>
              <w:bidi w:val="0"/>
              <w:adjustRightInd/>
              <w:snapToGrid/>
              <w:spacing w:line="240" w:lineRule="auto"/>
              <w:ind w:firstLine="0" w:firstLineChars="0"/>
              <w:jc w:val="center"/>
              <w:rPr>
                <w:b/>
                <w:bCs/>
                <w:color w:val="auto"/>
                <w:sz w:val="21"/>
                <w:szCs w:val="21"/>
                <w:lang w:val="fr-FR"/>
              </w:rPr>
            </w:pPr>
            <w:r>
              <w:rPr>
                <w:b/>
                <w:bCs/>
                <w:color w:val="auto"/>
                <w:sz w:val="21"/>
                <w:szCs w:val="21"/>
                <w:lang w:val="fr-FR"/>
              </w:rPr>
              <w:t>COD</w:t>
            </w:r>
            <w:r>
              <w:rPr>
                <w:b/>
                <w:bCs/>
                <w:color w:val="auto"/>
                <w:sz w:val="21"/>
                <w:szCs w:val="21"/>
                <w:vertAlign w:val="subscript"/>
                <w:lang w:val="fr-FR"/>
              </w:rPr>
              <w:t>Cr</w:t>
            </w:r>
          </w:p>
        </w:tc>
        <w:tc>
          <w:tcPr>
            <w:tcW w:w="1199" w:type="pct"/>
            <w:tcBorders>
              <w:tl2br w:val="nil"/>
              <w:tr2bl w:val="nil"/>
            </w:tcBorders>
            <w:noWrap w:val="0"/>
            <w:vAlign w:val="center"/>
          </w:tcPr>
          <w:p w14:paraId="7B601063">
            <w:pPr>
              <w:pageBreakBefore w:val="0"/>
              <w:wordWrap/>
              <w:bidi w:val="0"/>
              <w:adjustRightInd/>
              <w:snapToGrid/>
              <w:spacing w:line="240" w:lineRule="auto"/>
              <w:ind w:firstLine="0" w:firstLineChars="0"/>
              <w:jc w:val="center"/>
              <w:rPr>
                <w:b/>
                <w:bCs/>
                <w:color w:val="auto"/>
                <w:sz w:val="21"/>
                <w:szCs w:val="21"/>
                <w:lang w:val="fr-FR"/>
              </w:rPr>
            </w:pPr>
            <w:r>
              <w:rPr>
                <w:b/>
                <w:bCs/>
                <w:color w:val="auto"/>
                <w:sz w:val="21"/>
                <w:szCs w:val="21"/>
                <w:lang w:val="fr-FR"/>
              </w:rPr>
              <w:t>NH</w:t>
            </w:r>
            <w:r>
              <w:rPr>
                <w:b/>
                <w:bCs/>
                <w:color w:val="auto"/>
                <w:sz w:val="21"/>
                <w:szCs w:val="21"/>
                <w:vertAlign w:val="subscript"/>
                <w:lang w:val="fr-FR"/>
              </w:rPr>
              <w:t>3</w:t>
            </w:r>
            <w:r>
              <w:rPr>
                <w:b/>
                <w:bCs/>
                <w:color w:val="auto"/>
                <w:sz w:val="21"/>
                <w:szCs w:val="21"/>
                <w:lang w:val="fr-FR"/>
              </w:rPr>
              <w:t>-N</w:t>
            </w:r>
          </w:p>
        </w:tc>
        <w:tc>
          <w:tcPr>
            <w:tcW w:w="1181" w:type="pct"/>
            <w:tcBorders>
              <w:tl2br w:val="nil"/>
              <w:tr2bl w:val="nil"/>
            </w:tcBorders>
            <w:noWrap w:val="0"/>
            <w:vAlign w:val="center"/>
          </w:tcPr>
          <w:p w14:paraId="1A2D7B6E">
            <w:pPr>
              <w:pageBreakBefore w:val="0"/>
              <w:wordWrap/>
              <w:bidi w:val="0"/>
              <w:adjustRightInd/>
              <w:snapToGrid/>
              <w:spacing w:line="240" w:lineRule="auto"/>
              <w:ind w:firstLine="0" w:firstLineChars="0"/>
              <w:jc w:val="center"/>
              <w:rPr>
                <w:b/>
                <w:bCs/>
                <w:color w:val="auto"/>
                <w:sz w:val="21"/>
                <w:szCs w:val="21"/>
                <w:lang w:val="fr-FR"/>
              </w:rPr>
            </w:pPr>
            <w:r>
              <w:rPr>
                <w:b/>
                <w:bCs/>
                <w:color w:val="auto"/>
                <w:sz w:val="21"/>
                <w:szCs w:val="21"/>
                <w:lang w:val="fr-FR"/>
              </w:rPr>
              <w:t>TP</w:t>
            </w:r>
          </w:p>
        </w:tc>
      </w:tr>
      <w:tr w14:paraId="256B05D5">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cantSplit/>
          <w:trHeight w:val="397" w:hRule="atLeast"/>
          <w:jc w:val="center"/>
        </w:trPr>
        <w:tc>
          <w:tcPr>
            <w:tcW w:w="1604" w:type="pct"/>
            <w:tcBorders>
              <w:tl2br w:val="nil"/>
              <w:tr2bl w:val="nil"/>
            </w:tcBorders>
            <w:noWrap w:val="0"/>
            <w:vAlign w:val="center"/>
          </w:tcPr>
          <w:p w14:paraId="4A55458B">
            <w:pPr>
              <w:pageBreakBefore w:val="0"/>
              <w:wordWrap/>
              <w:bidi w:val="0"/>
              <w:adjustRightInd/>
              <w:snapToGrid/>
              <w:spacing w:line="240" w:lineRule="auto"/>
              <w:ind w:firstLine="0" w:firstLineChars="0"/>
              <w:jc w:val="center"/>
              <w:rPr>
                <w:color w:val="auto"/>
                <w:sz w:val="21"/>
                <w:szCs w:val="21"/>
                <w:lang w:val="fr-FR"/>
              </w:rPr>
            </w:pPr>
            <w:r>
              <w:rPr>
                <w:color w:val="auto"/>
                <w:sz w:val="21"/>
                <w:szCs w:val="21"/>
              </w:rPr>
              <w:t>预测总量</w:t>
            </w:r>
          </w:p>
        </w:tc>
        <w:tc>
          <w:tcPr>
            <w:tcW w:w="1014" w:type="pct"/>
            <w:tcBorders>
              <w:tl2br w:val="nil"/>
              <w:tr2bl w:val="nil"/>
            </w:tcBorders>
            <w:noWrap w:val="0"/>
            <w:vAlign w:val="center"/>
          </w:tcPr>
          <w:p w14:paraId="1AE23F3A">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54.75</w:t>
            </w:r>
          </w:p>
        </w:tc>
        <w:tc>
          <w:tcPr>
            <w:tcW w:w="1199" w:type="pct"/>
            <w:tcBorders>
              <w:tl2br w:val="nil"/>
              <w:tr2bl w:val="nil"/>
            </w:tcBorders>
            <w:noWrap w:val="0"/>
            <w:vAlign w:val="center"/>
          </w:tcPr>
          <w:p w14:paraId="579231D2">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lang w:val="en-US" w:eastAsia="zh-CN"/>
              </w:rPr>
              <w:t>5.475</w:t>
            </w:r>
          </w:p>
        </w:tc>
        <w:tc>
          <w:tcPr>
            <w:tcW w:w="1181" w:type="pct"/>
            <w:tcBorders>
              <w:tl2br w:val="nil"/>
              <w:tr2bl w:val="nil"/>
            </w:tcBorders>
            <w:noWrap w:val="0"/>
            <w:vAlign w:val="center"/>
          </w:tcPr>
          <w:p w14:paraId="25499BF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0.5475</w:t>
            </w:r>
          </w:p>
        </w:tc>
      </w:tr>
      <w:tr w14:paraId="1B73522E">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28" w:type="dxa"/>
            <w:bottom w:w="0" w:type="dxa"/>
            <w:right w:w="28" w:type="dxa"/>
          </w:tblCellMar>
        </w:tblPrEx>
        <w:trPr>
          <w:cantSplit/>
          <w:trHeight w:val="397" w:hRule="atLeast"/>
          <w:jc w:val="center"/>
        </w:trPr>
        <w:tc>
          <w:tcPr>
            <w:tcW w:w="1604" w:type="pct"/>
            <w:tcBorders>
              <w:tl2br w:val="nil"/>
              <w:tr2bl w:val="nil"/>
            </w:tcBorders>
            <w:noWrap w:val="0"/>
            <w:vAlign w:val="center"/>
          </w:tcPr>
          <w:p w14:paraId="021B3615">
            <w:pPr>
              <w:pageBreakBefore w:val="0"/>
              <w:wordWrap/>
              <w:bidi w:val="0"/>
              <w:adjustRightInd/>
              <w:snapToGrid/>
              <w:spacing w:line="240" w:lineRule="auto"/>
              <w:ind w:firstLine="0" w:firstLineChars="0"/>
              <w:jc w:val="center"/>
              <w:rPr>
                <w:color w:val="auto"/>
                <w:sz w:val="21"/>
                <w:szCs w:val="21"/>
              </w:rPr>
            </w:pPr>
            <w:r>
              <w:rPr>
                <w:color w:val="auto"/>
                <w:sz w:val="21"/>
                <w:szCs w:val="21"/>
              </w:rPr>
              <w:t>核定总量</w:t>
            </w:r>
          </w:p>
        </w:tc>
        <w:tc>
          <w:tcPr>
            <w:tcW w:w="1014" w:type="pct"/>
            <w:tcBorders>
              <w:tl2br w:val="nil"/>
              <w:tr2bl w:val="nil"/>
            </w:tcBorders>
            <w:noWrap w:val="0"/>
            <w:vAlign w:val="center"/>
          </w:tcPr>
          <w:p w14:paraId="352F0CEB">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54.75</w:t>
            </w:r>
          </w:p>
        </w:tc>
        <w:tc>
          <w:tcPr>
            <w:tcW w:w="1199" w:type="pct"/>
            <w:tcBorders>
              <w:tl2br w:val="nil"/>
              <w:tr2bl w:val="nil"/>
            </w:tcBorders>
            <w:noWrap w:val="0"/>
            <w:vAlign w:val="center"/>
          </w:tcPr>
          <w:p w14:paraId="7DDDB533">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5.475</w:t>
            </w:r>
          </w:p>
        </w:tc>
        <w:tc>
          <w:tcPr>
            <w:tcW w:w="1181" w:type="pct"/>
            <w:tcBorders>
              <w:tl2br w:val="nil"/>
              <w:tr2bl w:val="nil"/>
            </w:tcBorders>
            <w:noWrap w:val="0"/>
            <w:vAlign w:val="center"/>
          </w:tcPr>
          <w:p w14:paraId="6969203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0.5475</w:t>
            </w:r>
          </w:p>
        </w:tc>
      </w:tr>
    </w:tbl>
    <w:p w14:paraId="0C5DA0C4">
      <w:pPr>
        <w:keepNext w:val="0"/>
        <w:keepLines w:val="0"/>
        <w:pageBreakBefore w:val="0"/>
        <w:widowControl w:val="0"/>
        <w:kinsoku/>
        <w:wordWrap/>
        <w:overflowPunct/>
        <w:topLinePunct w:val="0"/>
        <w:autoSpaceDE/>
        <w:autoSpaceDN/>
        <w:bidi w:val="0"/>
        <w:adjustRightInd/>
        <w:snapToGrid/>
        <w:spacing w:before="144" w:beforeLines="50"/>
        <w:textAlignment w:val="auto"/>
        <w:rPr>
          <w:color w:val="auto"/>
        </w:rPr>
      </w:pPr>
      <w:r>
        <w:rPr>
          <w:color w:val="auto"/>
        </w:rPr>
        <w:t>综上，本项目的建设有利于完善</w:t>
      </w:r>
      <w:r>
        <w:rPr>
          <w:rFonts w:hint="eastAsia"/>
          <w:color w:val="auto"/>
          <w:lang w:val="en-US" w:eastAsia="zh-CN"/>
        </w:rPr>
        <w:t>曾口片区</w:t>
      </w:r>
      <w:r>
        <w:rPr>
          <w:color w:val="auto"/>
        </w:rPr>
        <w:t>污水处理设施建设规划，提高污水处理水平，有利于改善区域地表水环境质量现状，满足区域社会、经济以及环境保护等发展需求。本期工程建成后总量控制建议指标为：</w:t>
      </w:r>
    </w:p>
    <w:p w14:paraId="6DF47ED2">
      <w:pPr>
        <w:bidi w:val="0"/>
        <w:rPr>
          <w:color w:val="auto"/>
        </w:rPr>
      </w:pPr>
      <w:r>
        <w:rPr>
          <w:color w:val="auto"/>
        </w:rPr>
        <w:t>COD</w:t>
      </w:r>
      <w:r>
        <w:rPr>
          <w:color w:val="auto"/>
          <w:vertAlign w:val="subscript"/>
        </w:rPr>
        <w:t>Cr</w:t>
      </w:r>
      <w:r>
        <w:rPr>
          <w:rFonts w:hint="eastAsia"/>
          <w:color w:val="auto"/>
          <w:lang w:eastAsia="zh-CN"/>
        </w:rPr>
        <w:t>：</w:t>
      </w:r>
      <w:r>
        <w:rPr>
          <w:rFonts w:hint="eastAsia"/>
          <w:color w:val="auto"/>
          <w:lang w:val="en-US" w:eastAsia="zh-CN"/>
        </w:rPr>
        <w:t>54.75</w:t>
      </w:r>
      <w:r>
        <w:rPr>
          <w:color w:val="auto"/>
        </w:rPr>
        <w:t>t/a、氨氮</w:t>
      </w:r>
      <w:r>
        <w:rPr>
          <w:rFonts w:hint="eastAsia"/>
          <w:color w:val="auto"/>
          <w:lang w:eastAsia="zh-CN"/>
        </w:rPr>
        <w:t>：</w:t>
      </w:r>
      <w:r>
        <w:rPr>
          <w:rFonts w:hint="eastAsia"/>
          <w:color w:val="auto"/>
          <w:lang w:val="en-US" w:eastAsia="zh-CN"/>
        </w:rPr>
        <w:t>5.475</w:t>
      </w:r>
      <w:r>
        <w:rPr>
          <w:color w:val="auto"/>
        </w:rPr>
        <w:t>t/a、TP</w:t>
      </w:r>
      <w:r>
        <w:rPr>
          <w:rFonts w:hint="eastAsia"/>
          <w:color w:val="auto"/>
          <w:lang w:eastAsia="zh-CN"/>
        </w:rPr>
        <w:t>：</w:t>
      </w:r>
      <w:r>
        <w:rPr>
          <w:rFonts w:hint="eastAsia"/>
          <w:color w:val="auto"/>
          <w:lang w:val="en-US" w:eastAsia="zh-CN"/>
        </w:rPr>
        <w:t>0.5475</w:t>
      </w:r>
      <w:r>
        <w:rPr>
          <w:color w:val="auto"/>
        </w:rPr>
        <w:t>t/a。</w:t>
      </w:r>
    </w:p>
    <w:p w14:paraId="0713802D">
      <w:pPr>
        <w:pStyle w:val="144"/>
        <w:pageBreakBefore w:val="0"/>
        <w:wordWrap/>
        <w:bidi w:val="0"/>
        <w:adjustRightInd/>
        <w:snapToGrid/>
        <w:spacing w:line="360" w:lineRule="auto"/>
        <w:rPr>
          <w:color w:val="auto"/>
          <w:kern w:val="2"/>
          <w:szCs w:val="24"/>
        </w:rPr>
      </w:pPr>
    </w:p>
    <w:bookmarkEnd w:id="68"/>
    <w:bookmarkEnd w:id="69"/>
    <w:p w14:paraId="07C5373F">
      <w:pPr>
        <w:pStyle w:val="144"/>
        <w:pageBreakBefore w:val="0"/>
        <w:wordWrap/>
        <w:bidi w:val="0"/>
        <w:adjustRightInd/>
        <w:snapToGrid/>
        <w:spacing w:line="360" w:lineRule="auto"/>
        <w:rPr>
          <w:color w:val="auto"/>
          <w:kern w:val="2"/>
          <w:szCs w:val="24"/>
        </w:rPr>
        <w:sectPr>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docGrid w:linePitch="286" w:charSpace="0"/>
        </w:sectPr>
      </w:pPr>
    </w:p>
    <w:p w14:paraId="2DC7658C">
      <w:pPr>
        <w:pStyle w:val="3"/>
        <w:pageBreakBefore w:val="0"/>
        <w:wordWrap/>
        <w:bidi w:val="0"/>
        <w:adjustRightInd/>
        <w:snapToGrid/>
        <w:rPr>
          <w:rFonts w:eastAsia="宋体"/>
          <w:color w:val="auto"/>
        </w:rPr>
      </w:pPr>
      <w:bookmarkStart w:id="118" w:name="_Toc15877"/>
      <w:bookmarkStart w:id="119" w:name="_Toc9988"/>
      <w:bookmarkStart w:id="120" w:name="_Toc39925200"/>
      <w:r>
        <w:rPr>
          <w:rFonts w:eastAsia="宋体"/>
          <w:color w:val="auto"/>
        </w:rPr>
        <w:t>环境现状调查与评价</w:t>
      </w:r>
      <w:bookmarkEnd w:id="118"/>
      <w:bookmarkEnd w:id="119"/>
    </w:p>
    <w:bookmarkEnd w:id="120"/>
    <w:p w14:paraId="09A21426">
      <w:pPr>
        <w:pStyle w:val="4"/>
        <w:bidi w:val="0"/>
        <w:rPr>
          <w:color w:val="auto"/>
        </w:rPr>
      </w:pPr>
      <w:bookmarkStart w:id="121" w:name="_Toc505087353"/>
      <w:bookmarkStart w:id="122" w:name="_Toc374627750"/>
      <w:bookmarkStart w:id="123" w:name="_Toc25284"/>
      <w:bookmarkStart w:id="124" w:name="_Toc362082734"/>
      <w:bookmarkStart w:id="125" w:name="_Toc286999127"/>
      <w:bookmarkStart w:id="126" w:name="_Toc374627785"/>
      <w:bookmarkStart w:id="127" w:name="_Toc362082743"/>
      <w:bookmarkStart w:id="128" w:name="_Toc7274"/>
      <w:bookmarkStart w:id="129" w:name="_Toc505087358"/>
      <w:r>
        <w:rPr>
          <w:rFonts w:hint="eastAsia"/>
          <w:color w:val="auto"/>
        </w:rPr>
        <w:t xml:space="preserve"> </w:t>
      </w:r>
      <w:bookmarkStart w:id="130" w:name="_Toc12913"/>
      <w:r>
        <w:rPr>
          <w:color w:val="auto"/>
        </w:rPr>
        <w:t>自然环境现状调查与评价</w:t>
      </w:r>
      <w:bookmarkEnd w:id="121"/>
      <w:bookmarkEnd w:id="122"/>
      <w:bookmarkEnd w:id="123"/>
      <w:bookmarkEnd w:id="124"/>
      <w:bookmarkEnd w:id="125"/>
      <w:bookmarkEnd w:id="130"/>
      <w:bookmarkStart w:id="131" w:name="_Toc11611"/>
      <w:bookmarkStart w:id="132" w:name="_Toc374627751"/>
      <w:bookmarkStart w:id="133" w:name="_Toc39925199"/>
    </w:p>
    <w:p w14:paraId="40E635FC">
      <w:pPr>
        <w:pStyle w:val="5"/>
        <w:bidi w:val="0"/>
        <w:rPr>
          <w:color w:val="auto"/>
        </w:rPr>
      </w:pPr>
      <w:r>
        <w:rPr>
          <w:rFonts w:hint="eastAsia"/>
          <w:color w:val="auto"/>
          <w:lang w:val="en-US" w:eastAsia="zh-CN"/>
        </w:rPr>
        <w:t xml:space="preserve"> </w:t>
      </w:r>
      <w:r>
        <w:rPr>
          <w:color w:val="auto"/>
        </w:rPr>
        <w:t>地理位置</w:t>
      </w:r>
    </w:p>
    <w:p w14:paraId="7C4FC7B9">
      <w:pPr>
        <w:bidi w:val="0"/>
        <w:rPr>
          <w:rFonts w:hint="eastAsia"/>
          <w:color w:val="auto"/>
          <w:lang w:eastAsia="zh-CN"/>
        </w:rPr>
      </w:pPr>
      <w:r>
        <w:rPr>
          <w:rFonts w:hint="eastAsia"/>
          <w:color w:val="auto"/>
          <w:lang w:eastAsia="zh-CN"/>
        </w:rPr>
        <w:t>巴中位于成都、重庆、西安三大城市几何中心，承东启西、南北交汇，恩阳机场、高速公路通达四方，汉巴南高铁正加速建设，是四川北向东向开放的桥头堡，联结“一带一路”和成渝——关天经济区的重要节点。</w:t>
      </w:r>
    </w:p>
    <w:p w14:paraId="3A313F36">
      <w:pPr>
        <w:bidi w:val="0"/>
        <w:rPr>
          <w:rFonts w:hint="eastAsia"/>
          <w:color w:val="auto"/>
          <w:lang w:eastAsia="zh-CN"/>
        </w:rPr>
      </w:pPr>
      <w:r>
        <w:rPr>
          <w:rFonts w:hint="eastAsia"/>
          <w:color w:val="auto"/>
          <w:lang w:eastAsia="zh-CN"/>
        </w:rPr>
        <w:t>巴中市位于四川盆地东北边缘大巴山系米仓山南麓，东邻达州，南接南充，西抵广元，北与陕西省汉中市接壤。处于东经</w:t>
      </w:r>
      <w:r>
        <w:rPr>
          <w:rFonts w:hint="default"/>
          <w:color w:val="auto"/>
          <w:lang w:eastAsia="zh-CN"/>
        </w:rPr>
        <w:t>106°20'~107°49'，31°15'</w:t>
      </w:r>
      <w:r>
        <w:rPr>
          <w:rFonts w:hint="eastAsia"/>
          <w:color w:val="auto"/>
          <w:lang w:val="en-US" w:eastAsia="zh-CN"/>
        </w:rPr>
        <w:t>~</w:t>
      </w:r>
      <w:r>
        <w:rPr>
          <w:rFonts w:hint="default"/>
          <w:color w:val="auto"/>
          <w:lang w:eastAsia="zh-CN"/>
        </w:rPr>
        <w:t>32°45'</w:t>
      </w:r>
      <w:r>
        <w:rPr>
          <w:rFonts w:hint="eastAsia"/>
          <w:color w:val="auto"/>
          <w:lang w:eastAsia="zh-CN"/>
        </w:rPr>
        <w:t>，东西宽126公里，南北长165公里，辖三县两区（巴州区、恩阳区、平昌县、通江县、南江县），辐员面积12325平方公里。</w:t>
      </w:r>
    </w:p>
    <w:p w14:paraId="25AE8106">
      <w:pPr>
        <w:bidi w:val="0"/>
        <w:rPr>
          <w:rFonts w:hint="eastAsia"/>
          <w:color w:val="auto"/>
          <w:lang w:eastAsia="zh-CN"/>
        </w:rPr>
      </w:pPr>
      <w:r>
        <w:rPr>
          <w:rFonts w:hint="eastAsia"/>
          <w:color w:val="auto"/>
          <w:lang w:eastAsia="zh-CN"/>
        </w:rPr>
        <w:t>曾口区块位于曾口镇，位于巴中市主城区东南部。依托广巴达铁路、汉巴南快速铁路，构建对外铁路通道。绵巴万高速、南巴汉高速、汉巴渝高速和广巴达高速在曾口附近共同形成“两纵两横成双环”的高速公路网络。曾口距巴中机场约30公里。</w:t>
      </w:r>
    </w:p>
    <w:p w14:paraId="15F101AA">
      <w:pPr>
        <w:pageBreakBefore w:val="0"/>
        <w:wordWrap/>
        <w:bidi w:val="0"/>
        <w:adjustRightInd/>
        <w:snapToGrid/>
        <w:ind w:firstLine="480"/>
        <w:rPr>
          <w:color w:val="auto"/>
        </w:rPr>
      </w:pPr>
      <w:r>
        <w:rPr>
          <w:color w:val="auto"/>
        </w:rPr>
        <w:t>本项目选址于</w:t>
      </w:r>
      <w:r>
        <w:rPr>
          <w:rFonts w:hint="eastAsia"/>
          <w:color w:val="auto"/>
        </w:rPr>
        <w:t>巴中市巴州区曾口镇寿星村13组</w:t>
      </w:r>
      <w:r>
        <w:rPr>
          <w:color w:val="auto"/>
        </w:rPr>
        <w:t>，交通便利。本项目地理位置详见附图1。</w:t>
      </w:r>
    </w:p>
    <w:p w14:paraId="5B1E87CB">
      <w:pPr>
        <w:pStyle w:val="5"/>
        <w:bidi w:val="0"/>
        <w:rPr>
          <w:color w:val="auto"/>
        </w:rPr>
      </w:pPr>
      <w:r>
        <w:rPr>
          <w:rFonts w:hint="eastAsia"/>
          <w:color w:val="auto"/>
          <w:lang w:val="en-US" w:eastAsia="zh-CN"/>
        </w:rPr>
        <w:t xml:space="preserve"> </w:t>
      </w:r>
      <w:r>
        <w:rPr>
          <w:color w:val="auto"/>
        </w:rPr>
        <w:t>地形</w:t>
      </w:r>
      <w:r>
        <w:rPr>
          <w:rStyle w:val="70"/>
          <w:b/>
          <w:bCs/>
          <w:color w:val="auto"/>
        </w:rPr>
        <w:t>、</w:t>
      </w:r>
      <w:r>
        <w:rPr>
          <w:color w:val="auto"/>
        </w:rPr>
        <w:t>地貌</w:t>
      </w:r>
    </w:p>
    <w:p w14:paraId="7B3B9504">
      <w:pPr>
        <w:pageBreakBefore w:val="0"/>
        <w:wordWrap/>
        <w:bidi w:val="0"/>
        <w:adjustRightInd/>
        <w:snapToGrid/>
        <w:ind w:firstLine="480"/>
        <w:rPr>
          <w:b/>
          <w:bCs/>
          <w:color w:val="auto"/>
        </w:rPr>
      </w:pPr>
      <w:r>
        <w:rPr>
          <w:rFonts w:hint="eastAsia"/>
          <w:b/>
          <w:bCs/>
          <w:color w:val="auto"/>
          <w:lang w:val="en-US" w:eastAsia="zh-CN"/>
        </w:rPr>
        <w:t>1、</w:t>
      </w:r>
      <w:r>
        <w:rPr>
          <w:b/>
          <w:bCs/>
          <w:color w:val="auto"/>
        </w:rPr>
        <w:t>地形地貌</w:t>
      </w:r>
    </w:p>
    <w:p w14:paraId="2FF1D2B0">
      <w:pPr>
        <w:pageBreakBefore w:val="0"/>
        <w:wordWrap/>
        <w:bidi w:val="0"/>
        <w:adjustRightInd/>
        <w:snapToGrid/>
        <w:ind w:firstLine="480"/>
        <w:jc w:val="left"/>
        <w:rPr>
          <w:rFonts w:hint="eastAsia"/>
          <w:color w:val="auto"/>
          <w:lang w:eastAsia="zh-CN"/>
        </w:rPr>
      </w:pPr>
      <w:r>
        <w:rPr>
          <w:rFonts w:hint="eastAsia"/>
          <w:color w:val="auto"/>
          <w:lang w:eastAsia="zh-CN"/>
        </w:rPr>
        <w:t>巴中境属盆地低山区，地势北高南低。除溪河地势较低、山峰地势较高处，大部分海拔在400米～800米之间。主要地貌类型有平坝、台地、低丘、高丘、低山、低中山、山原等。平坝主要分布在巴河、恩阳河、双桥河沿岸。台地除北部低中山区少见外，其余地区均有出现，较多的是东部的水宁寺镇等；低丘主要分布在巴河、恩阳河一带；高丘主要分布在区境的西南部，巴河、恩阳河两岸与平坝和低丘相邻地段；低山全区各地均有分布；低中山分布在区境北部与通江、南江交界的白庙、梓橦、寺岭、枣林等乡镇的全部或部分区域，海拔在1000米～1400米之间，相对高差650米～1090米；山原分布于区境低山、低中山的山顶、山脊及山坡上。</w:t>
      </w:r>
    </w:p>
    <w:p w14:paraId="2E3926AB">
      <w:pPr>
        <w:pageBreakBefore w:val="0"/>
        <w:wordWrap/>
        <w:bidi w:val="0"/>
        <w:adjustRightInd/>
        <w:snapToGrid/>
        <w:ind w:firstLine="480"/>
        <w:jc w:val="left"/>
        <w:rPr>
          <w:color w:val="auto"/>
        </w:rPr>
      </w:pPr>
      <w:r>
        <w:rPr>
          <w:rFonts w:hint="eastAsia"/>
          <w:color w:val="auto"/>
          <w:lang w:eastAsia="zh-CN"/>
        </w:rPr>
        <w:t>境内全部山脉源自大巴山西段与米仓山复合部分的南麓。主脉之一──老土地，源于南江县大门垭，自白庙乡宝珠山、香炉山入境，西南经石谷岭、九重山至柳岗西北崛起一峰名老土地，海拔1413米。主脉继续向西南，经南阳蒿枝坪、四方碑、瓦窑坪至枣林镇东北低巴河。沿途延伸的支脉有天城寨、永宁寨、凤头山、古楼山、龙城寨、摩天岭、方山寨、董山、东华山等。主脉之二──下八家坪，源于通江火炬乡上八家坪，经石门子入区境关渡乡，制高点名下八家坪，海拔850米。西翼至灵江桥入关渡溪，东翼向南延伸，至张中坝分出支脉两支：一支入大河坝，一支抵平昌高坑河。主脉之三──阴灵山，源于南江县元潭乡园顶子，从枣林镇西北入境。崛起一峰名阴灵山，海拔1420米。主脉之四──狮子山，源于南江县园顶子，沿巴州、南江县界西南行，单脊延伸于枣林镇西北，崛起一峰名狮子山，海拔1460米，为境内最高峰。经青山乡人头山、望乡台，复入南江龙耳山，至福星（平梁乡）西北悬地庙，又转向南江朱公山，再经福星乡（平梁乡）姜家坡、福星场、苟观寺至麻石垭天星寨，走两路口、麻石垭、塔子湾抵恩阳河。主脉之五──章怀寺，源于仪陇县福星场，由巴中市恩阳区舞凤乡连三湾入境，经落花山至龙背乡大旗山，复出境内至仪陇秋树垭，在境内沿途的支脉有大旗山、鼎山、胜前山等。</w:t>
      </w:r>
    </w:p>
    <w:p w14:paraId="7F5E8930">
      <w:pPr>
        <w:pageBreakBefore w:val="0"/>
        <w:wordWrap/>
        <w:bidi w:val="0"/>
        <w:adjustRightInd/>
        <w:snapToGrid/>
        <w:ind w:firstLine="480"/>
        <w:rPr>
          <w:color w:val="auto"/>
        </w:rPr>
      </w:pPr>
      <w:r>
        <w:rPr>
          <w:color w:val="auto"/>
        </w:rPr>
        <w:t>本项目</w:t>
      </w:r>
      <w:r>
        <w:rPr>
          <w:rFonts w:hint="eastAsia"/>
          <w:color w:val="auto"/>
        </w:rPr>
        <w:t>拟建污水处理厂场地地势北侧、西侧高，东侧、南侧较低，呈阶状分布，阶坎约1-3m。现状条件下</w:t>
      </w:r>
      <w:r>
        <w:rPr>
          <w:rFonts w:hint="eastAsia"/>
          <w:color w:val="auto"/>
          <w:lang w:eastAsia="zh-CN"/>
        </w:rPr>
        <w:t>主要作为</w:t>
      </w:r>
      <w:r>
        <w:rPr>
          <w:rFonts w:hint="eastAsia"/>
          <w:color w:val="auto"/>
        </w:rPr>
        <w:t>耕植地，分布有居民房屋，地表的植物未清理，场地未开挖平整</w:t>
      </w:r>
      <w:r>
        <w:rPr>
          <w:color w:val="auto"/>
        </w:rPr>
        <w:t>。</w:t>
      </w:r>
    </w:p>
    <w:p w14:paraId="14F175E9">
      <w:pPr>
        <w:pageBreakBefore w:val="0"/>
        <w:wordWrap/>
        <w:bidi w:val="0"/>
        <w:adjustRightInd/>
        <w:snapToGrid/>
        <w:ind w:firstLine="480"/>
        <w:rPr>
          <w:b/>
          <w:bCs/>
          <w:color w:val="auto"/>
        </w:rPr>
      </w:pPr>
      <w:r>
        <w:rPr>
          <w:rFonts w:hint="eastAsia"/>
          <w:b/>
          <w:bCs/>
          <w:color w:val="auto"/>
          <w:lang w:val="en-US" w:eastAsia="zh-CN"/>
        </w:rPr>
        <w:t>2、</w:t>
      </w:r>
      <w:r>
        <w:rPr>
          <w:b/>
          <w:bCs/>
          <w:color w:val="auto"/>
        </w:rPr>
        <w:t>地层岩性</w:t>
      </w:r>
    </w:p>
    <w:p w14:paraId="223C6060">
      <w:pPr>
        <w:pageBreakBefore w:val="0"/>
        <w:widowControl/>
        <w:wordWrap/>
        <w:bidi w:val="0"/>
        <w:adjustRightInd/>
        <w:snapToGrid/>
        <w:ind w:firstLine="480"/>
        <w:jc w:val="left"/>
        <w:rPr>
          <w:rFonts w:hint="eastAsia"/>
          <w:b/>
          <w:bCs/>
          <w:color w:val="auto"/>
          <w:kern w:val="0"/>
          <w:lang w:val="en-US" w:eastAsia="zh-CN" w:bidi="ar"/>
        </w:rPr>
      </w:pPr>
      <w:r>
        <w:rPr>
          <w:rFonts w:hint="eastAsia"/>
          <w:b/>
          <w:bCs/>
          <w:color w:val="auto"/>
          <w:kern w:val="0"/>
          <w:lang w:val="en-US" w:eastAsia="zh-CN" w:bidi="ar"/>
        </w:rPr>
        <w:t>（1）区域地质构造特征</w:t>
      </w:r>
    </w:p>
    <w:p w14:paraId="50EDB5C5">
      <w:pPr>
        <w:pageBreakBefore w:val="0"/>
        <w:wordWrap/>
        <w:bidi w:val="0"/>
        <w:adjustRightInd/>
        <w:snapToGrid/>
        <w:rPr>
          <w:rFonts w:hint="default"/>
          <w:color w:val="auto"/>
          <w:lang w:val="en-US" w:eastAsia="zh-CN"/>
        </w:rPr>
      </w:pPr>
      <w:r>
        <w:rPr>
          <w:rFonts w:hint="eastAsia"/>
          <w:color w:val="auto"/>
          <w:lang w:val="en-US" w:eastAsia="zh-CN"/>
        </w:rPr>
        <w:t>根据《巴中市巴州区曾口片区污水处理厂、环境监测站建设项目岩土工程勘察报告（详勘）》，拟建场地位于新华夏系四川沉降带的川东褶皱带内的巴中—仪陇—平昌莲花状旋扭构造体系中。该构造体系是由一系列规模大小不一，两翼似斜平缓呈参差不齐的半环状排列的背、向斜褶皱构造形迹组成，区域地貌属大巴山南坡前山带，为构造剥蚀丘陵地貌。区内构造形态单一，未见断裂，无褶皱，地应力作用不强，岩层很平缓，拟建场地位于巴中向斜南翼，岩层产状223∠3，出露白垩系白龙组的砂岩、泥岩拟建场地无断裂和褶皱，无断裂构造通过，无新构造运动迹象，稳定性较好。</w:t>
      </w:r>
    </w:p>
    <w:p w14:paraId="4326AC86">
      <w:pPr>
        <w:pageBreakBefore w:val="0"/>
        <w:widowControl/>
        <w:wordWrap/>
        <w:bidi w:val="0"/>
        <w:adjustRightInd/>
        <w:snapToGrid/>
        <w:ind w:firstLine="480"/>
        <w:jc w:val="left"/>
        <w:rPr>
          <w:rFonts w:hint="eastAsia" w:eastAsia="宋体"/>
          <w:b/>
          <w:bCs/>
          <w:color w:val="auto"/>
          <w:kern w:val="0"/>
          <w:lang w:val="en-US" w:eastAsia="zh-CN" w:bidi="ar"/>
        </w:rPr>
      </w:pPr>
      <w:r>
        <w:rPr>
          <w:rFonts w:hint="eastAsia"/>
          <w:b/>
          <w:bCs/>
          <w:color w:val="auto"/>
          <w:kern w:val="0"/>
          <w:lang w:val="en-US" w:eastAsia="zh-CN" w:bidi="ar"/>
        </w:rPr>
        <w:t>（2）地震</w:t>
      </w:r>
    </w:p>
    <w:p w14:paraId="67750D40">
      <w:pPr>
        <w:pageBreakBefore w:val="0"/>
        <w:wordWrap/>
        <w:bidi w:val="0"/>
        <w:adjustRightInd/>
        <w:snapToGrid/>
        <w:rPr>
          <w:rFonts w:hint="eastAsia"/>
          <w:color w:val="auto"/>
        </w:rPr>
      </w:pPr>
      <w:r>
        <w:rPr>
          <w:rFonts w:hint="eastAsia"/>
          <w:color w:val="auto"/>
        </w:rPr>
        <w:t>根据《巴中县国土志》记载，巴中未发生过5级以上大的地震，属相对稳定区。另据《建筑抗震设计标准》（GB/T 50011-2010[2024年版]）：巴中地震基本烈度为6度，第一组，地震动峰值加速度为0.05g。据历史资料及近期观测资料自1169年1月至1974年6月的近800年间，在测区西面有4.7级以上的地震活动20次，除1846年间发生在阆中的5.5级（烈度Ⅶ度）地震外，其余震中均在龙门山区。1879年5月地震造成了山岩坍塌，城垣房屋倾颓及人畜伤亡等灾害，其烈度可达Ⅶ度。据不完全统计，区内1849年至1997年间共发生地震3起，但震级多在3～4级，地震烈度多在4～5度</w:t>
      </w:r>
      <w:r>
        <w:rPr>
          <w:rFonts w:hint="eastAsia"/>
          <w:color w:val="auto"/>
          <w:lang w:eastAsia="zh-CN"/>
        </w:rPr>
        <w:t>，</w:t>
      </w:r>
      <w:r>
        <w:rPr>
          <w:rFonts w:hint="eastAsia"/>
          <w:color w:val="auto"/>
        </w:rPr>
        <w:t>震中均在调查区外。</w:t>
      </w:r>
    </w:p>
    <w:p w14:paraId="61A454BD">
      <w:pPr>
        <w:pageBreakBefore w:val="0"/>
        <w:wordWrap/>
        <w:bidi w:val="0"/>
        <w:adjustRightInd/>
        <w:snapToGrid/>
        <w:rPr>
          <w:rFonts w:hint="eastAsia"/>
          <w:color w:val="auto"/>
        </w:rPr>
      </w:pPr>
      <w:r>
        <w:rPr>
          <w:rFonts w:hint="eastAsia"/>
          <w:color w:val="auto"/>
        </w:rPr>
        <w:t>2008年5.12汶川大地震对区域影响较大，巴中属于地震波及区，波及烈度约4度。区域震感强烈，但地面未见明显变形。总的来说，本区区域稳定性较好。</w:t>
      </w:r>
    </w:p>
    <w:p w14:paraId="2C9F58C0">
      <w:pPr>
        <w:pageBreakBefore w:val="0"/>
        <w:widowControl/>
        <w:wordWrap/>
        <w:bidi w:val="0"/>
        <w:adjustRightInd/>
        <w:snapToGrid/>
        <w:ind w:firstLine="480"/>
        <w:jc w:val="left"/>
        <w:rPr>
          <w:rFonts w:hint="eastAsia" w:eastAsia="宋体"/>
          <w:b/>
          <w:bCs/>
          <w:color w:val="auto"/>
          <w:kern w:val="0"/>
          <w:lang w:eastAsia="zh-CN" w:bidi="ar"/>
        </w:rPr>
      </w:pPr>
      <w:r>
        <w:rPr>
          <w:rFonts w:hint="eastAsia"/>
          <w:b/>
          <w:bCs/>
          <w:color w:val="auto"/>
          <w:kern w:val="0"/>
          <w:lang w:eastAsia="zh-CN" w:bidi="ar"/>
        </w:rPr>
        <w:t>（</w:t>
      </w:r>
      <w:r>
        <w:rPr>
          <w:rFonts w:hint="eastAsia"/>
          <w:b/>
          <w:bCs/>
          <w:color w:val="auto"/>
          <w:kern w:val="0"/>
          <w:lang w:val="en-US" w:eastAsia="zh-CN" w:bidi="ar"/>
        </w:rPr>
        <w:t>3</w:t>
      </w:r>
      <w:r>
        <w:rPr>
          <w:rFonts w:hint="eastAsia"/>
          <w:b/>
          <w:bCs/>
          <w:color w:val="auto"/>
          <w:kern w:val="0"/>
          <w:lang w:eastAsia="zh-CN" w:bidi="ar"/>
        </w:rPr>
        <w:t>）</w:t>
      </w:r>
      <w:r>
        <w:rPr>
          <w:rFonts w:hint="eastAsia"/>
          <w:b/>
          <w:bCs/>
          <w:color w:val="auto"/>
          <w:kern w:val="0"/>
          <w:lang w:bidi="ar"/>
        </w:rPr>
        <w:t>工程地质层的划分及评述</w:t>
      </w:r>
    </w:p>
    <w:p w14:paraId="33F9D1AA">
      <w:pPr>
        <w:pageBreakBefore w:val="0"/>
        <w:wordWrap/>
        <w:bidi w:val="0"/>
        <w:adjustRightInd/>
        <w:snapToGrid/>
        <w:rPr>
          <w:color w:val="auto"/>
        </w:rPr>
      </w:pPr>
      <w:r>
        <w:rPr>
          <w:color w:val="auto"/>
        </w:rPr>
        <w:t>根据野外</w:t>
      </w:r>
      <w:r>
        <w:rPr>
          <w:rFonts w:hint="eastAsia"/>
          <w:color w:val="auto"/>
        </w:rPr>
        <w:t>调查、</w:t>
      </w:r>
      <w:r>
        <w:rPr>
          <w:color w:val="auto"/>
        </w:rPr>
        <w:t>钻探揭露</w:t>
      </w:r>
      <w:r>
        <w:rPr>
          <w:rFonts w:hint="eastAsia"/>
          <w:color w:val="auto"/>
        </w:rPr>
        <w:t>和</w:t>
      </w:r>
      <w:r>
        <w:rPr>
          <w:color w:val="auto"/>
        </w:rPr>
        <w:t>室内土工试验</w:t>
      </w:r>
      <w:r>
        <w:rPr>
          <w:rFonts w:hint="eastAsia"/>
          <w:color w:val="auto"/>
        </w:rPr>
        <w:t>成</w:t>
      </w:r>
      <w:r>
        <w:rPr>
          <w:color w:val="auto"/>
        </w:rPr>
        <w:t>果，将勘探深度以</w:t>
      </w:r>
      <w:r>
        <w:rPr>
          <w:rFonts w:hint="eastAsia"/>
          <w:color w:val="auto"/>
        </w:rPr>
        <w:t>内岩（</w:t>
      </w:r>
      <w:r>
        <w:rPr>
          <w:color w:val="auto"/>
        </w:rPr>
        <w:t>土</w:t>
      </w:r>
      <w:r>
        <w:rPr>
          <w:rFonts w:hint="eastAsia"/>
          <w:color w:val="auto"/>
        </w:rPr>
        <w:t>）</w:t>
      </w:r>
      <w:r>
        <w:rPr>
          <w:color w:val="auto"/>
        </w:rPr>
        <w:t>体按其成因时代、埋藏分布规律、岩性特征及其物理力学性质</w:t>
      </w:r>
      <w:r>
        <w:rPr>
          <w:rFonts w:hint="eastAsia"/>
          <w:color w:val="auto"/>
        </w:rPr>
        <w:t>分类，主要岩土层有：第四系全新统素填土层（Q</w:t>
      </w:r>
      <w:r>
        <w:rPr>
          <w:rFonts w:hint="eastAsia"/>
          <w:color w:val="auto"/>
          <w:vertAlign w:val="subscript"/>
        </w:rPr>
        <w:t>4</w:t>
      </w:r>
      <w:r>
        <w:rPr>
          <w:rFonts w:hint="eastAsia"/>
          <w:color w:val="auto"/>
          <w:vertAlign w:val="superscript"/>
        </w:rPr>
        <w:t>ml</w:t>
      </w:r>
      <w:r>
        <w:rPr>
          <w:rFonts w:hint="eastAsia"/>
          <w:color w:val="auto"/>
        </w:rPr>
        <w:t>），第四系全新统的冲洪积成因（Q</w:t>
      </w:r>
      <w:r>
        <w:rPr>
          <w:rFonts w:hint="eastAsia"/>
          <w:color w:val="auto"/>
          <w:vertAlign w:val="subscript"/>
        </w:rPr>
        <w:t>4</w:t>
      </w:r>
      <w:r>
        <w:rPr>
          <w:rFonts w:hint="eastAsia"/>
          <w:color w:val="auto"/>
          <w:vertAlign w:val="superscript"/>
        </w:rPr>
        <w:t>al+pl</w:t>
      </w:r>
      <w:r>
        <w:rPr>
          <w:rFonts w:hint="eastAsia"/>
          <w:color w:val="auto"/>
        </w:rPr>
        <w:t>）的粉质粘土、卵石层，下伏白垩系下统白龙组（K</w:t>
      </w:r>
      <w:r>
        <w:rPr>
          <w:rFonts w:hint="eastAsia"/>
          <w:color w:val="auto"/>
          <w:vertAlign w:val="subscript"/>
        </w:rPr>
        <w:t>1b</w:t>
      </w:r>
      <w:r>
        <w:rPr>
          <w:rFonts w:hint="eastAsia"/>
          <w:color w:val="auto"/>
        </w:rPr>
        <w:t>）的的泥岩层、砂岩层。</w:t>
      </w:r>
      <w:r>
        <w:rPr>
          <w:color w:val="auto"/>
        </w:rPr>
        <w:t>将本场地内揭露</w:t>
      </w:r>
      <w:r>
        <w:rPr>
          <w:rFonts w:hint="eastAsia"/>
          <w:color w:val="auto"/>
        </w:rPr>
        <w:t>地层岩性</w:t>
      </w:r>
      <w:r>
        <w:rPr>
          <w:color w:val="auto"/>
        </w:rPr>
        <w:t>自上而下评述如下：</w:t>
      </w:r>
    </w:p>
    <w:p w14:paraId="2DF2721D">
      <w:pPr>
        <w:pageBreakBefore w:val="0"/>
        <w:wordWrap/>
        <w:bidi w:val="0"/>
        <w:adjustRightInd/>
        <w:snapToGrid/>
        <w:rPr>
          <w:rFonts w:hint="eastAsia" w:eastAsia="宋体"/>
          <w:color w:val="auto"/>
          <w:lang w:eastAsia="zh-CN"/>
        </w:rPr>
      </w:pPr>
      <w:r>
        <w:rPr>
          <w:rFonts w:hint="eastAsia"/>
          <w:color w:val="auto"/>
        </w:rPr>
        <w:t>1）第四系人工填土层（Q</w:t>
      </w:r>
      <w:r>
        <w:rPr>
          <w:rFonts w:hint="eastAsia"/>
          <w:color w:val="auto"/>
          <w:vertAlign w:val="subscript"/>
        </w:rPr>
        <w:t>4</w:t>
      </w:r>
      <w:r>
        <w:rPr>
          <w:rFonts w:hint="eastAsia"/>
          <w:color w:val="auto"/>
          <w:vertAlign w:val="superscript"/>
        </w:rPr>
        <w:t>ml</w:t>
      </w:r>
      <w:r>
        <w:rPr>
          <w:rFonts w:hint="eastAsia"/>
          <w:color w:val="auto"/>
          <w:lang w:eastAsia="zh-CN"/>
        </w:rPr>
        <w:t>）</w:t>
      </w:r>
    </w:p>
    <w:p w14:paraId="10F39FF7">
      <w:pPr>
        <w:pageBreakBefore w:val="0"/>
        <w:wordWrap/>
        <w:bidi w:val="0"/>
        <w:adjustRightInd/>
        <w:snapToGrid/>
        <w:rPr>
          <w:rFonts w:hint="eastAsia"/>
          <w:color w:val="auto"/>
        </w:rPr>
      </w:pPr>
      <w:r>
        <w:rPr>
          <w:rFonts w:hint="eastAsia"/>
          <w:color w:val="auto"/>
        </w:rPr>
        <w:t>①素填土</w:t>
      </w:r>
      <w:r>
        <w:rPr>
          <w:rFonts w:hint="eastAsia"/>
          <w:color w:val="auto"/>
          <w:lang w:eastAsia="zh-CN"/>
        </w:rPr>
        <w:t>：</w:t>
      </w:r>
      <w:r>
        <w:rPr>
          <w:rFonts w:hint="eastAsia"/>
          <w:color w:val="auto"/>
        </w:rPr>
        <w:t>黄褐色，成分以黏性土为主，局部含碎块石，棱角形，碎块石以泥岩为主，粒径一般</w:t>
      </w:r>
      <w:r>
        <w:rPr>
          <w:color w:val="auto"/>
        </w:rPr>
        <w:t>6cm-1</w:t>
      </w:r>
      <w:r>
        <w:rPr>
          <w:rFonts w:hint="eastAsia"/>
          <w:color w:val="auto"/>
        </w:rPr>
        <w:t>5</w:t>
      </w:r>
      <w:r>
        <w:rPr>
          <w:color w:val="auto"/>
        </w:rPr>
        <w:t>cm</w:t>
      </w:r>
      <w:r>
        <w:rPr>
          <w:rFonts w:hint="eastAsia"/>
          <w:color w:val="auto"/>
        </w:rPr>
        <w:t>，性质差异大，结构松散，稍湿，岩芯采取率一般</w:t>
      </w:r>
      <w:r>
        <w:rPr>
          <w:color w:val="auto"/>
        </w:rPr>
        <w:t>65%</w:t>
      </w:r>
      <w:r>
        <w:rPr>
          <w:rFonts w:hint="eastAsia"/>
          <w:color w:val="auto"/>
        </w:rPr>
        <w:t>～</w:t>
      </w:r>
      <w:r>
        <w:rPr>
          <w:color w:val="auto"/>
        </w:rPr>
        <w:t>75%</w:t>
      </w:r>
      <w:r>
        <w:rPr>
          <w:rFonts w:hint="eastAsia"/>
          <w:color w:val="auto"/>
        </w:rPr>
        <w:t>。</w:t>
      </w:r>
    </w:p>
    <w:p w14:paraId="66F061E3">
      <w:pPr>
        <w:pageBreakBefore w:val="0"/>
        <w:wordWrap/>
        <w:bidi w:val="0"/>
        <w:adjustRightInd/>
        <w:snapToGrid/>
        <w:rPr>
          <w:rFonts w:hint="eastAsia"/>
          <w:color w:val="auto"/>
        </w:rPr>
      </w:pPr>
      <w:r>
        <w:rPr>
          <w:rFonts w:hint="eastAsia"/>
          <w:color w:val="auto"/>
        </w:rPr>
        <w:t>该层分布于场地ZK33、ZK47、ZK48处局部地段，素填土的填筑时间大于8年，为老填土，主要为场地内房屋地基填土，一般固结较差，场地填土厚度变化较小，场地填土揭露厚度0.80m～1.00m，堆积无序，不均匀，该层物理力学性质较差。</w:t>
      </w:r>
    </w:p>
    <w:p w14:paraId="24DD2B6A">
      <w:pPr>
        <w:pageBreakBefore w:val="0"/>
        <w:wordWrap/>
        <w:bidi w:val="0"/>
        <w:adjustRightInd/>
        <w:snapToGrid/>
        <w:rPr>
          <w:rFonts w:hint="eastAsia"/>
          <w:color w:val="auto"/>
        </w:rPr>
      </w:pPr>
      <w:r>
        <w:rPr>
          <w:rFonts w:hint="eastAsia"/>
          <w:color w:val="auto"/>
        </w:rPr>
        <w:t>2）第四系全新统的冲洪积成因（Q</w:t>
      </w:r>
      <w:r>
        <w:rPr>
          <w:rFonts w:hint="eastAsia"/>
          <w:color w:val="auto"/>
          <w:vertAlign w:val="subscript"/>
        </w:rPr>
        <w:t>4</w:t>
      </w:r>
      <w:r>
        <w:rPr>
          <w:rFonts w:hint="eastAsia"/>
          <w:color w:val="auto"/>
          <w:vertAlign w:val="superscript"/>
        </w:rPr>
        <w:t>al+pl</w:t>
      </w:r>
      <w:r>
        <w:rPr>
          <w:rFonts w:hint="eastAsia"/>
          <w:color w:val="auto"/>
        </w:rPr>
        <w:t>）的粉质粘土、卵石层</w:t>
      </w:r>
    </w:p>
    <w:p w14:paraId="3CD90630">
      <w:pPr>
        <w:pageBreakBefore w:val="0"/>
        <w:wordWrap/>
        <w:bidi w:val="0"/>
        <w:adjustRightInd/>
        <w:snapToGrid/>
        <w:rPr>
          <w:color w:val="auto"/>
        </w:rPr>
      </w:pPr>
      <w:r>
        <w:rPr>
          <w:rFonts w:hint="eastAsia"/>
          <w:color w:val="auto"/>
        </w:rPr>
        <w:t>②1粉质黏土</w:t>
      </w:r>
      <w:r>
        <w:rPr>
          <w:rFonts w:hint="eastAsia"/>
          <w:color w:val="auto"/>
          <w:lang w:eastAsia="zh-CN"/>
        </w:rPr>
        <w:t>（</w:t>
      </w:r>
      <w:r>
        <w:rPr>
          <w:rFonts w:hint="eastAsia"/>
          <w:color w:val="auto"/>
        </w:rPr>
        <w:t>软塑</w:t>
      </w:r>
      <w:r>
        <w:rPr>
          <w:rFonts w:hint="eastAsia"/>
          <w:color w:val="auto"/>
          <w:lang w:eastAsia="zh-CN"/>
        </w:rPr>
        <w:t>）</w:t>
      </w:r>
      <w:r>
        <w:rPr>
          <w:rFonts w:hint="eastAsia"/>
          <w:color w:val="auto"/>
        </w:rPr>
        <w:t>：黄褐色，软塑状，稍湿，性质均匀，切面较光滑，无摇振反应，干强度，韧性中等，岩芯采取率一般为</w:t>
      </w:r>
      <w:r>
        <w:rPr>
          <w:color w:val="auto"/>
        </w:rPr>
        <w:t>86%</w:t>
      </w:r>
      <w:r>
        <w:rPr>
          <w:rFonts w:hint="eastAsia"/>
          <w:color w:val="auto"/>
        </w:rPr>
        <w:t>～</w:t>
      </w:r>
      <w:r>
        <w:rPr>
          <w:color w:val="auto"/>
        </w:rPr>
        <w:t>95%</w:t>
      </w:r>
      <w:r>
        <w:rPr>
          <w:rFonts w:hint="eastAsia"/>
          <w:color w:val="auto"/>
        </w:rPr>
        <w:t>，岩芯较完整。</w:t>
      </w:r>
    </w:p>
    <w:p w14:paraId="75B5FFA1">
      <w:pPr>
        <w:pageBreakBefore w:val="0"/>
        <w:wordWrap/>
        <w:bidi w:val="0"/>
        <w:adjustRightInd/>
        <w:snapToGrid/>
        <w:rPr>
          <w:rFonts w:hint="eastAsia"/>
          <w:color w:val="auto"/>
        </w:rPr>
      </w:pPr>
      <w:r>
        <w:rPr>
          <w:rFonts w:hint="eastAsia"/>
          <w:color w:val="auto"/>
        </w:rPr>
        <w:t>该层在场地内主要分布在水塘、水田地段有分布，厚薄不均匀，揭露厚度0.70m～3.00m，顶板标高</w:t>
      </w:r>
      <w:r>
        <w:rPr>
          <w:color w:val="auto"/>
        </w:rPr>
        <w:t>321.14</w:t>
      </w:r>
      <w:r>
        <w:rPr>
          <w:rFonts w:hint="eastAsia"/>
          <w:color w:val="auto"/>
        </w:rPr>
        <w:t>～</w:t>
      </w:r>
      <w:r>
        <w:rPr>
          <w:color w:val="auto"/>
        </w:rPr>
        <w:t>331.75</w:t>
      </w:r>
      <w:r>
        <w:rPr>
          <w:rFonts w:hint="eastAsia"/>
          <w:color w:val="auto"/>
        </w:rPr>
        <w:t>m，物理力学性质较差。</w:t>
      </w:r>
    </w:p>
    <w:p w14:paraId="5E160956">
      <w:pPr>
        <w:pageBreakBefore w:val="0"/>
        <w:wordWrap/>
        <w:bidi w:val="0"/>
        <w:adjustRightInd/>
        <w:snapToGrid/>
        <w:rPr>
          <w:color w:val="auto"/>
        </w:rPr>
      </w:pPr>
      <w:r>
        <w:rPr>
          <w:rFonts w:hint="eastAsia"/>
          <w:color w:val="auto"/>
        </w:rPr>
        <w:t>②2粉质黏土（可塑）：黄褐色，可塑状，稍湿，性质均匀，切面较光滑，无摇振反应，干强度中等，韧性中等，岩芯采取率一般为</w:t>
      </w:r>
      <w:r>
        <w:rPr>
          <w:color w:val="auto"/>
        </w:rPr>
        <w:t>86%</w:t>
      </w:r>
      <w:r>
        <w:rPr>
          <w:rFonts w:hint="eastAsia"/>
          <w:color w:val="auto"/>
        </w:rPr>
        <w:t>～</w:t>
      </w:r>
      <w:r>
        <w:rPr>
          <w:color w:val="auto"/>
        </w:rPr>
        <w:t>95%</w:t>
      </w:r>
      <w:r>
        <w:rPr>
          <w:rFonts w:hint="eastAsia"/>
          <w:color w:val="auto"/>
        </w:rPr>
        <w:t>，岩芯较完整。</w:t>
      </w:r>
    </w:p>
    <w:p w14:paraId="7F716287">
      <w:pPr>
        <w:pageBreakBefore w:val="0"/>
        <w:wordWrap/>
        <w:bidi w:val="0"/>
        <w:adjustRightInd/>
        <w:snapToGrid/>
        <w:rPr>
          <w:rFonts w:hint="eastAsia"/>
          <w:color w:val="auto"/>
        </w:rPr>
      </w:pPr>
      <w:r>
        <w:rPr>
          <w:rFonts w:hint="eastAsia"/>
          <w:color w:val="auto"/>
        </w:rPr>
        <w:t>该层在场地内均有分布，厚薄不均匀，揭露厚度0.50m～9.70m，顶板标高</w:t>
      </w:r>
      <w:r>
        <w:rPr>
          <w:color w:val="auto"/>
        </w:rPr>
        <w:t>321.68</w:t>
      </w:r>
      <w:r>
        <w:rPr>
          <w:rFonts w:hint="eastAsia"/>
          <w:color w:val="auto"/>
        </w:rPr>
        <w:t>～</w:t>
      </w:r>
      <w:r>
        <w:rPr>
          <w:color w:val="auto"/>
        </w:rPr>
        <w:t>335.86</w:t>
      </w:r>
      <w:r>
        <w:rPr>
          <w:rFonts w:hint="eastAsia"/>
          <w:color w:val="auto"/>
        </w:rPr>
        <w:t>m，物理力学性质一般。</w:t>
      </w:r>
    </w:p>
    <w:p w14:paraId="6F42128E">
      <w:pPr>
        <w:pageBreakBefore w:val="0"/>
        <w:wordWrap/>
        <w:bidi w:val="0"/>
        <w:adjustRightInd/>
        <w:snapToGrid/>
        <w:rPr>
          <w:color w:val="auto"/>
        </w:rPr>
      </w:pPr>
      <w:r>
        <w:rPr>
          <w:rFonts w:hint="eastAsia"/>
          <w:color w:val="auto"/>
        </w:rPr>
        <w:t>③1松散卵石：灰褐色，湿，卵石成分为长石石英砂岩、呈亚圆形，卵石含量约</w:t>
      </w:r>
      <w:r>
        <w:rPr>
          <w:color w:val="auto"/>
        </w:rPr>
        <w:t>55%</w:t>
      </w:r>
      <w:r>
        <w:rPr>
          <w:rFonts w:hint="eastAsia"/>
          <w:color w:val="auto"/>
        </w:rPr>
        <w:t>～</w:t>
      </w:r>
      <w:r>
        <w:rPr>
          <w:color w:val="auto"/>
        </w:rPr>
        <w:t>60%</w:t>
      </w:r>
      <w:r>
        <w:rPr>
          <w:rFonts w:hint="eastAsia"/>
          <w:color w:val="auto"/>
        </w:rPr>
        <w:t>不等，粒径一般为</w:t>
      </w:r>
      <w:r>
        <w:rPr>
          <w:color w:val="auto"/>
        </w:rPr>
        <w:t>15</w:t>
      </w:r>
      <w:r>
        <w:rPr>
          <w:rFonts w:hint="eastAsia"/>
          <w:color w:val="auto"/>
        </w:rPr>
        <w:t>～</w:t>
      </w:r>
      <w:r>
        <w:rPr>
          <w:color w:val="auto"/>
        </w:rPr>
        <w:t>70mm</w:t>
      </w:r>
      <w:r>
        <w:rPr>
          <w:rFonts w:hint="eastAsia"/>
          <w:color w:val="auto"/>
        </w:rPr>
        <w:t>，分选性中等，中等风化，间隙充填砂。</w:t>
      </w:r>
    </w:p>
    <w:p w14:paraId="60FE91CF">
      <w:pPr>
        <w:pageBreakBefore w:val="0"/>
        <w:wordWrap/>
        <w:bidi w:val="0"/>
        <w:adjustRightInd/>
        <w:snapToGrid/>
        <w:rPr>
          <w:rFonts w:hint="eastAsia"/>
          <w:color w:val="auto"/>
        </w:rPr>
      </w:pPr>
      <w:r>
        <w:rPr>
          <w:rFonts w:hint="eastAsia"/>
          <w:color w:val="auto"/>
        </w:rPr>
        <w:t>该层场地部分地段均有分布，揭露层厚0.50～2.20m，顶板标高</w:t>
      </w:r>
      <w:r>
        <w:rPr>
          <w:color w:val="auto"/>
        </w:rPr>
        <w:t>320.49</w:t>
      </w:r>
      <w:r>
        <w:rPr>
          <w:rFonts w:hint="eastAsia"/>
          <w:color w:val="auto"/>
        </w:rPr>
        <w:t>～</w:t>
      </w:r>
      <w:r>
        <w:rPr>
          <w:color w:val="auto"/>
        </w:rPr>
        <w:t>331.35</w:t>
      </w:r>
      <w:r>
        <w:rPr>
          <w:rFonts w:hint="eastAsia"/>
          <w:color w:val="auto"/>
        </w:rPr>
        <w:t>m，天然湿度状态下物理力学性质一般。</w:t>
      </w:r>
    </w:p>
    <w:p w14:paraId="59F3506A">
      <w:pPr>
        <w:pageBreakBefore w:val="0"/>
        <w:wordWrap/>
        <w:bidi w:val="0"/>
        <w:adjustRightInd/>
        <w:snapToGrid/>
        <w:rPr>
          <w:color w:val="auto"/>
        </w:rPr>
      </w:pPr>
      <w:r>
        <w:rPr>
          <w:rFonts w:hint="eastAsia"/>
          <w:color w:val="auto"/>
        </w:rPr>
        <w:t>③2稍密卵石：灰褐色，湿，卵石成分为长石石英砂岩、呈亚圆形，卵石含量约</w:t>
      </w:r>
      <w:r>
        <w:rPr>
          <w:color w:val="auto"/>
        </w:rPr>
        <w:t>55%</w:t>
      </w:r>
      <w:r>
        <w:rPr>
          <w:rFonts w:hint="eastAsia"/>
          <w:color w:val="auto"/>
        </w:rPr>
        <w:t>～</w:t>
      </w:r>
      <w:r>
        <w:rPr>
          <w:color w:val="auto"/>
        </w:rPr>
        <w:t>65%</w:t>
      </w:r>
      <w:r>
        <w:rPr>
          <w:rFonts w:hint="eastAsia"/>
          <w:color w:val="auto"/>
        </w:rPr>
        <w:t>不等，粒径一般为</w:t>
      </w:r>
      <w:r>
        <w:rPr>
          <w:color w:val="auto"/>
        </w:rPr>
        <w:t>20</w:t>
      </w:r>
      <w:r>
        <w:rPr>
          <w:rFonts w:hint="eastAsia"/>
          <w:color w:val="auto"/>
        </w:rPr>
        <w:t>～</w:t>
      </w:r>
      <w:r>
        <w:rPr>
          <w:color w:val="auto"/>
        </w:rPr>
        <w:t>85mm</w:t>
      </w:r>
      <w:r>
        <w:rPr>
          <w:rFonts w:hint="eastAsia"/>
          <w:color w:val="auto"/>
        </w:rPr>
        <w:t>，分选性中等，中等风化，间隙充填砂。</w:t>
      </w:r>
    </w:p>
    <w:p w14:paraId="4E82BD3C">
      <w:pPr>
        <w:pageBreakBefore w:val="0"/>
        <w:wordWrap/>
        <w:bidi w:val="0"/>
        <w:adjustRightInd/>
        <w:snapToGrid/>
        <w:rPr>
          <w:rFonts w:hint="eastAsia"/>
          <w:color w:val="auto"/>
        </w:rPr>
      </w:pPr>
      <w:r>
        <w:rPr>
          <w:rFonts w:hint="eastAsia"/>
          <w:color w:val="auto"/>
        </w:rPr>
        <w:t>该层内部分地段分布，揭露层厚1.00～3.40m，顶板标高</w:t>
      </w:r>
      <w:r>
        <w:rPr>
          <w:color w:val="auto"/>
        </w:rPr>
        <w:t>322.66</w:t>
      </w:r>
      <w:r>
        <w:rPr>
          <w:rFonts w:hint="eastAsia"/>
          <w:color w:val="auto"/>
        </w:rPr>
        <w:t>～</w:t>
      </w:r>
      <w:r>
        <w:rPr>
          <w:color w:val="auto"/>
        </w:rPr>
        <w:t>330.62</w:t>
      </w:r>
      <w:r>
        <w:rPr>
          <w:rFonts w:hint="eastAsia"/>
          <w:color w:val="auto"/>
        </w:rPr>
        <w:t>m，物理力学性质良好。</w:t>
      </w:r>
    </w:p>
    <w:p w14:paraId="2AEEC11A">
      <w:pPr>
        <w:pageBreakBefore w:val="0"/>
        <w:wordWrap/>
        <w:bidi w:val="0"/>
        <w:adjustRightInd/>
        <w:snapToGrid/>
        <w:rPr>
          <w:rFonts w:hint="eastAsia"/>
          <w:color w:val="auto"/>
        </w:rPr>
      </w:pPr>
      <w:r>
        <w:rPr>
          <w:rFonts w:hint="eastAsia"/>
          <w:color w:val="auto"/>
        </w:rPr>
        <w:t>④1强风化砂岩</w:t>
      </w:r>
    </w:p>
    <w:p w14:paraId="6FEF387E">
      <w:pPr>
        <w:pageBreakBefore w:val="0"/>
        <w:wordWrap/>
        <w:bidi w:val="0"/>
        <w:adjustRightInd/>
        <w:snapToGrid/>
        <w:rPr>
          <w:color w:val="auto"/>
        </w:rPr>
      </w:pPr>
      <w:r>
        <w:rPr>
          <w:rFonts w:hint="eastAsia"/>
          <w:color w:val="auto"/>
        </w:rPr>
        <w:t>强风化砂岩：浅灰色为主，砂质结构，薄～厚层状构造，岩石风化程度为强风化，性质均匀，节理裂隙较发育，岩芯多呈块状，少数呈柱状，岩质极软，局部手可掰碎，岩芯采取率一般</w:t>
      </w:r>
      <w:r>
        <w:rPr>
          <w:color w:val="auto"/>
        </w:rPr>
        <w:t>60%</w:t>
      </w:r>
      <w:r>
        <w:rPr>
          <w:rFonts w:hint="eastAsia"/>
          <w:color w:val="auto"/>
        </w:rPr>
        <w:t>～</w:t>
      </w:r>
      <w:r>
        <w:rPr>
          <w:color w:val="auto"/>
        </w:rPr>
        <w:t>70%</w:t>
      </w:r>
      <w:r>
        <w:rPr>
          <w:rFonts w:hint="eastAsia"/>
          <w:color w:val="auto"/>
        </w:rPr>
        <w:t>，岩石质量指标</w:t>
      </w:r>
      <w:r>
        <w:rPr>
          <w:color w:val="auto"/>
        </w:rPr>
        <w:t>RQD</w:t>
      </w:r>
      <w:r>
        <w:rPr>
          <w:rFonts w:hint="eastAsia"/>
          <w:color w:val="auto"/>
        </w:rPr>
        <w:t>值</w:t>
      </w:r>
      <w:r>
        <w:rPr>
          <w:color w:val="auto"/>
        </w:rPr>
        <w:t>20</w:t>
      </w:r>
      <w:r>
        <w:rPr>
          <w:rFonts w:hint="eastAsia"/>
          <w:color w:val="auto"/>
        </w:rPr>
        <w:t>～</w:t>
      </w:r>
      <w:r>
        <w:rPr>
          <w:color w:val="auto"/>
        </w:rPr>
        <w:t>29</w:t>
      </w:r>
      <w:r>
        <w:rPr>
          <w:rFonts w:hint="eastAsia"/>
          <w:color w:val="auto"/>
        </w:rPr>
        <w:t>。</w:t>
      </w:r>
    </w:p>
    <w:p w14:paraId="59117D30">
      <w:pPr>
        <w:pageBreakBefore w:val="0"/>
        <w:wordWrap/>
        <w:bidi w:val="0"/>
        <w:adjustRightInd/>
        <w:snapToGrid/>
        <w:rPr>
          <w:rFonts w:hint="eastAsia"/>
          <w:color w:val="auto"/>
        </w:rPr>
      </w:pPr>
      <w:r>
        <w:rPr>
          <w:rFonts w:hint="eastAsia"/>
          <w:color w:val="auto"/>
        </w:rPr>
        <w:t>该场地内部分地段有分布，揭露层厚0.50～3.90m，</w:t>
      </w:r>
      <w:bookmarkStart w:id="134" w:name="OLE_LINK12"/>
      <w:r>
        <w:rPr>
          <w:rFonts w:hint="eastAsia"/>
          <w:color w:val="auto"/>
        </w:rPr>
        <w:t>顶板标高</w:t>
      </w:r>
      <w:r>
        <w:rPr>
          <w:color w:val="auto"/>
        </w:rPr>
        <w:t>318.99</w:t>
      </w:r>
      <w:r>
        <w:rPr>
          <w:rFonts w:hint="eastAsia"/>
          <w:color w:val="auto"/>
        </w:rPr>
        <w:t>～</w:t>
      </w:r>
      <w:r>
        <w:rPr>
          <w:color w:val="auto"/>
        </w:rPr>
        <w:t>330.12</w:t>
      </w:r>
      <w:r>
        <w:rPr>
          <w:rFonts w:hint="eastAsia"/>
          <w:color w:val="auto"/>
        </w:rPr>
        <w:t>m</w:t>
      </w:r>
      <w:bookmarkEnd w:id="134"/>
      <w:r>
        <w:rPr>
          <w:rFonts w:hint="eastAsia"/>
          <w:color w:val="auto"/>
        </w:rPr>
        <w:t>，一般岩层表部风化强烈，质极软，手可掰碎，下部整体性质较好。</w:t>
      </w:r>
    </w:p>
    <w:p w14:paraId="2DA9CC3E">
      <w:pPr>
        <w:pageBreakBefore w:val="0"/>
        <w:wordWrap/>
        <w:bidi w:val="0"/>
        <w:adjustRightInd/>
        <w:snapToGrid/>
        <w:rPr>
          <w:rFonts w:hint="eastAsia"/>
          <w:color w:val="auto"/>
        </w:rPr>
      </w:pPr>
      <w:r>
        <w:rPr>
          <w:rFonts w:hint="eastAsia"/>
          <w:color w:val="auto"/>
        </w:rPr>
        <w:t>④2中风化砂岩（黄色）</w:t>
      </w:r>
    </w:p>
    <w:p w14:paraId="66C558B8">
      <w:pPr>
        <w:pageBreakBefore w:val="0"/>
        <w:wordWrap/>
        <w:bidi w:val="0"/>
        <w:adjustRightInd/>
        <w:snapToGrid/>
        <w:rPr>
          <w:color w:val="auto"/>
        </w:rPr>
      </w:pPr>
      <w:r>
        <w:rPr>
          <w:rFonts w:hint="eastAsia"/>
          <w:color w:val="auto"/>
        </w:rPr>
        <w:t>中风化砂岩（黄色）：浅灰色为主，砂质结构，厚～巨厚层状构造，岩石风化程度为中等风化，节理裂隙不发育，岩芯多呈柱状，节长</w:t>
      </w:r>
      <w:r>
        <w:rPr>
          <w:color w:val="auto"/>
        </w:rPr>
        <w:t>6cm</w:t>
      </w:r>
      <w:r>
        <w:rPr>
          <w:rFonts w:hint="eastAsia"/>
          <w:color w:val="auto"/>
        </w:rPr>
        <w:t>～30</w:t>
      </w:r>
      <w:r>
        <w:rPr>
          <w:color w:val="auto"/>
        </w:rPr>
        <w:t>cm</w:t>
      </w:r>
      <w:r>
        <w:rPr>
          <w:rFonts w:hint="eastAsia"/>
          <w:color w:val="auto"/>
        </w:rPr>
        <w:t>，岩质软～较软，岩芯采取率一般</w:t>
      </w:r>
      <w:r>
        <w:rPr>
          <w:color w:val="auto"/>
        </w:rPr>
        <w:t>8</w:t>
      </w:r>
      <w:r>
        <w:rPr>
          <w:rFonts w:hint="eastAsia"/>
          <w:color w:val="auto"/>
        </w:rPr>
        <w:t>0</w:t>
      </w:r>
      <w:r>
        <w:rPr>
          <w:color w:val="auto"/>
        </w:rPr>
        <w:t>%</w:t>
      </w:r>
      <w:r>
        <w:rPr>
          <w:rFonts w:hint="eastAsia"/>
          <w:color w:val="auto"/>
        </w:rPr>
        <w:t>～</w:t>
      </w:r>
      <w:r>
        <w:rPr>
          <w:color w:val="auto"/>
        </w:rPr>
        <w:t>90%</w:t>
      </w:r>
      <w:r>
        <w:rPr>
          <w:rFonts w:hint="eastAsia"/>
          <w:color w:val="auto"/>
        </w:rPr>
        <w:t>，岩石质量指标</w:t>
      </w:r>
      <w:r>
        <w:rPr>
          <w:color w:val="auto"/>
        </w:rPr>
        <w:t>RQD</w:t>
      </w:r>
      <w:r>
        <w:rPr>
          <w:rFonts w:hint="eastAsia"/>
          <w:color w:val="auto"/>
        </w:rPr>
        <w:t>值</w:t>
      </w:r>
      <w:r>
        <w:rPr>
          <w:color w:val="auto"/>
        </w:rPr>
        <w:t>65</w:t>
      </w:r>
      <w:r>
        <w:rPr>
          <w:rFonts w:hint="eastAsia"/>
          <w:color w:val="auto"/>
        </w:rPr>
        <w:t>～</w:t>
      </w:r>
      <w:r>
        <w:rPr>
          <w:color w:val="auto"/>
        </w:rPr>
        <w:t>75</w:t>
      </w:r>
      <w:r>
        <w:rPr>
          <w:rFonts w:hint="eastAsia"/>
          <w:color w:val="auto"/>
        </w:rPr>
        <w:t>。</w:t>
      </w:r>
    </w:p>
    <w:p w14:paraId="17DA10F1">
      <w:pPr>
        <w:pageBreakBefore w:val="0"/>
        <w:wordWrap/>
        <w:bidi w:val="0"/>
        <w:adjustRightInd/>
        <w:snapToGrid/>
        <w:rPr>
          <w:rFonts w:hint="eastAsia"/>
          <w:color w:val="auto"/>
        </w:rPr>
      </w:pPr>
      <w:r>
        <w:rPr>
          <w:color w:val="auto"/>
        </w:rPr>
        <w:t>该层场</w:t>
      </w:r>
      <w:r>
        <w:rPr>
          <w:rFonts w:hint="eastAsia"/>
          <w:color w:val="auto"/>
        </w:rPr>
        <w:t>内部分地段有分布，拟建场地中风化砂岩揭露层厚0.50～5.40m，顶板标高</w:t>
      </w:r>
      <w:r>
        <w:rPr>
          <w:color w:val="auto"/>
        </w:rPr>
        <w:t>318.09</w:t>
      </w:r>
      <w:r>
        <w:rPr>
          <w:rFonts w:hint="eastAsia"/>
          <w:color w:val="auto"/>
        </w:rPr>
        <w:t>～</w:t>
      </w:r>
      <w:r>
        <w:rPr>
          <w:color w:val="auto"/>
        </w:rPr>
        <w:t>327.49</w:t>
      </w:r>
      <w:r>
        <w:rPr>
          <w:rFonts w:hint="eastAsia"/>
          <w:color w:val="auto"/>
        </w:rPr>
        <w:t>m，物理力学性质良好。</w:t>
      </w:r>
    </w:p>
    <w:p w14:paraId="3E5ED1AF">
      <w:pPr>
        <w:pageBreakBefore w:val="0"/>
        <w:wordWrap/>
        <w:bidi w:val="0"/>
        <w:adjustRightInd/>
        <w:snapToGrid/>
        <w:rPr>
          <w:rFonts w:hint="eastAsia"/>
          <w:color w:val="auto"/>
        </w:rPr>
      </w:pPr>
      <w:r>
        <w:rPr>
          <w:rFonts w:hint="eastAsia"/>
          <w:color w:val="auto"/>
        </w:rPr>
        <w:t>④3中风化砂岩（灰色</w:t>
      </w:r>
      <w:r>
        <w:rPr>
          <w:color w:val="auto"/>
        </w:rPr>
        <w:t>）</w:t>
      </w:r>
    </w:p>
    <w:p w14:paraId="0D2AF30A">
      <w:pPr>
        <w:pageBreakBefore w:val="0"/>
        <w:wordWrap/>
        <w:bidi w:val="0"/>
        <w:adjustRightInd/>
        <w:snapToGrid/>
        <w:rPr>
          <w:color w:val="auto"/>
        </w:rPr>
      </w:pPr>
      <w:r>
        <w:rPr>
          <w:rFonts w:hint="eastAsia"/>
          <w:color w:val="auto"/>
        </w:rPr>
        <w:t>中风化砂岩（灰色</w:t>
      </w:r>
      <w:r>
        <w:rPr>
          <w:color w:val="auto"/>
        </w:rPr>
        <w:t>）</w:t>
      </w:r>
      <w:r>
        <w:rPr>
          <w:rFonts w:hint="eastAsia"/>
          <w:color w:val="auto"/>
        </w:rPr>
        <w:t>：浅灰色为主，砂质结构，厚～巨厚层状构造，岩石风化程度为中等风化，节理裂隙不发育，岩芯多呈柱状，节长</w:t>
      </w:r>
      <w:r>
        <w:rPr>
          <w:color w:val="auto"/>
        </w:rPr>
        <w:t>6cm</w:t>
      </w:r>
      <w:r>
        <w:rPr>
          <w:rFonts w:hint="eastAsia"/>
          <w:color w:val="auto"/>
        </w:rPr>
        <w:t>～</w:t>
      </w:r>
      <w:r>
        <w:rPr>
          <w:color w:val="auto"/>
        </w:rPr>
        <w:t>43cm</w:t>
      </w:r>
      <w:r>
        <w:rPr>
          <w:rFonts w:hint="eastAsia"/>
          <w:color w:val="auto"/>
        </w:rPr>
        <w:t>，岩质软～较软，岩芯采取率一般</w:t>
      </w:r>
      <w:r>
        <w:rPr>
          <w:color w:val="auto"/>
        </w:rPr>
        <w:t>82%</w:t>
      </w:r>
      <w:r>
        <w:rPr>
          <w:rFonts w:hint="eastAsia"/>
          <w:color w:val="auto"/>
        </w:rPr>
        <w:t>～</w:t>
      </w:r>
      <w:r>
        <w:rPr>
          <w:color w:val="auto"/>
        </w:rPr>
        <w:t>90%</w:t>
      </w:r>
      <w:r>
        <w:rPr>
          <w:rFonts w:hint="eastAsia"/>
          <w:color w:val="auto"/>
        </w:rPr>
        <w:t>，岩石质量指标</w:t>
      </w:r>
      <w:r>
        <w:rPr>
          <w:color w:val="auto"/>
        </w:rPr>
        <w:t>RQD</w:t>
      </w:r>
      <w:r>
        <w:rPr>
          <w:rFonts w:hint="eastAsia"/>
          <w:color w:val="auto"/>
        </w:rPr>
        <w:t>值</w:t>
      </w:r>
      <w:r>
        <w:rPr>
          <w:color w:val="auto"/>
        </w:rPr>
        <w:t>65</w:t>
      </w:r>
      <w:r>
        <w:rPr>
          <w:rFonts w:hint="eastAsia"/>
          <w:color w:val="auto"/>
        </w:rPr>
        <w:t>～</w:t>
      </w:r>
      <w:r>
        <w:rPr>
          <w:color w:val="auto"/>
        </w:rPr>
        <w:t>75</w:t>
      </w:r>
      <w:r>
        <w:rPr>
          <w:rFonts w:hint="eastAsia"/>
          <w:color w:val="auto"/>
        </w:rPr>
        <w:t>。</w:t>
      </w:r>
    </w:p>
    <w:p w14:paraId="17181F44">
      <w:pPr>
        <w:pageBreakBefore w:val="0"/>
        <w:wordWrap/>
        <w:bidi w:val="0"/>
        <w:adjustRightInd/>
        <w:snapToGrid/>
        <w:rPr>
          <w:rFonts w:hint="eastAsia"/>
          <w:color w:val="auto"/>
        </w:rPr>
      </w:pPr>
      <w:r>
        <w:rPr>
          <w:color w:val="auto"/>
        </w:rPr>
        <w:t>该层场</w:t>
      </w:r>
      <w:r>
        <w:rPr>
          <w:rFonts w:hint="eastAsia"/>
          <w:color w:val="auto"/>
        </w:rPr>
        <w:t>内均有分布，拟建场地中风化砂岩最大揭露层厚15.80m，顶板标高</w:t>
      </w:r>
      <w:r>
        <w:rPr>
          <w:color w:val="auto"/>
        </w:rPr>
        <w:t>313.89</w:t>
      </w:r>
      <w:r>
        <w:rPr>
          <w:rFonts w:hint="eastAsia"/>
          <w:color w:val="auto"/>
        </w:rPr>
        <w:t>～</w:t>
      </w:r>
      <w:r>
        <w:rPr>
          <w:color w:val="auto"/>
        </w:rPr>
        <w:t>329.62</w:t>
      </w:r>
      <w:r>
        <w:rPr>
          <w:rFonts w:hint="eastAsia"/>
          <w:color w:val="auto"/>
        </w:rPr>
        <w:t>m，物理力学性质良好。</w:t>
      </w:r>
    </w:p>
    <w:p w14:paraId="03DFC624">
      <w:pPr>
        <w:pStyle w:val="5"/>
        <w:bidi w:val="0"/>
        <w:rPr>
          <w:color w:val="auto"/>
        </w:rPr>
      </w:pPr>
      <w:r>
        <w:rPr>
          <w:rFonts w:hint="eastAsia"/>
          <w:color w:val="auto"/>
          <w:lang w:val="en-US" w:eastAsia="zh-CN"/>
        </w:rPr>
        <w:t xml:space="preserve"> </w:t>
      </w:r>
      <w:r>
        <w:rPr>
          <w:color w:val="auto"/>
        </w:rPr>
        <w:t>气候、气象</w:t>
      </w:r>
    </w:p>
    <w:p w14:paraId="6BAB6D70">
      <w:pPr>
        <w:pageBreakBefore w:val="0"/>
        <w:wordWrap/>
        <w:bidi w:val="0"/>
        <w:adjustRightInd/>
        <w:snapToGrid/>
        <w:rPr>
          <w:color w:val="auto"/>
        </w:rPr>
      </w:pPr>
      <w:r>
        <w:rPr>
          <w:rFonts w:hint="eastAsia"/>
          <w:color w:val="auto"/>
        </w:rPr>
        <w:t>巴中市属亚热带湿润季风气候，四季分明，雨量充沛，光照适宜，年降水分布不均，旱涝交替，年总雨量正常；日照正常略偏少，春旱、夏旱、伏旱相继出现，暴雨、大风、冰雹时有发生。</w:t>
      </w:r>
    </w:p>
    <w:p w14:paraId="77A3B5B5">
      <w:pPr>
        <w:pageBreakBefore w:val="0"/>
        <w:wordWrap/>
        <w:bidi w:val="0"/>
        <w:adjustRightInd/>
        <w:snapToGrid/>
        <w:rPr>
          <w:color w:val="auto"/>
        </w:rPr>
      </w:pPr>
      <w:r>
        <w:rPr>
          <w:rFonts w:hint="eastAsia"/>
          <w:color w:val="auto"/>
        </w:rPr>
        <w:t>巴州区是南北气候的交汇地带，属于典型的亚热带湿润季风气候，四季分明，无霜期长，光照适宜，雨量充沛，</w:t>
      </w:r>
      <w:r>
        <w:rPr>
          <w:rFonts w:hint="eastAsia"/>
          <w:color w:val="auto"/>
          <w:lang w:eastAsia="zh-CN"/>
        </w:rPr>
        <w:t>极其适合</w:t>
      </w:r>
      <w:r>
        <w:rPr>
          <w:rFonts w:hint="eastAsia"/>
          <w:color w:val="auto"/>
        </w:rPr>
        <w:t>保健养生、休闲度假，素有</w:t>
      </w:r>
      <w:r>
        <w:rPr>
          <w:rFonts w:hint="eastAsia"/>
          <w:color w:val="auto"/>
          <w:lang w:eastAsia="zh-CN"/>
        </w:rPr>
        <w:t>“</w:t>
      </w:r>
      <w:r>
        <w:rPr>
          <w:rFonts w:hint="eastAsia"/>
          <w:color w:val="auto"/>
        </w:rPr>
        <w:t>川东北天然氧吧</w:t>
      </w:r>
      <w:r>
        <w:rPr>
          <w:rFonts w:hint="eastAsia"/>
          <w:color w:val="auto"/>
          <w:lang w:eastAsia="zh-CN"/>
        </w:rPr>
        <w:t>”</w:t>
      </w:r>
      <w:r>
        <w:rPr>
          <w:rFonts w:hint="eastAsia"/>
          <w:color w:val="auto"/>
        </w:rPr>
        <w:t>的称号。全区森林覆盖率</w:t>
      </w:r>
      <w:r>
        <w:rPr>
          <w:color w:val="auto"/>
        </w:rPr>
        <w:t>50.2%</w:t>
      </w:r>
      <w:r>
        <w:rPr>
          <w:rFonts w:hint="eastAsia"/>
          <w:color w:val="auto"/>
        </w:rPr>
        <w:t>、是全国平均水平的</w:t>
      </w:r>
      <w:r>
        <w:rPr>
          <w:color w:val="auto"/>
        </w:rPr>
        <w:t>3</w:t>
      </w:r>
      <w:r>
        <w:rPr>
          <w:rFonts w:hint="eastAsia"/>
          <w:color w:val="auto"/>
        </w:rPr>
        <w:t>倍，境域负氧离子平均浓度达</w:t>
      </w:r>
      <w:r>
        <w:rPr>
          <w:color w:val="auto"/>
        </w:rPr>
        <w:t>Ⅰ</w:t>
      </w:r>
      <w:r>
        <w:rPr>
          <w:rFonts w:hint="eastAsia"/>
          <w:color w:val="auto"/>
        </w:rPr>
        <w:t>级标准，农产品优产度达</w:t>
      </w:r>
      <w:r>
        <w:rPr>
          <w:color w:val="auto"/>
        </w:rPr>
        <w:t>85%</w:t>
      </w:r>
      <w:r>
        <w:rPr>
          <w:rFonts w:hint="eastAsia"/>
          <w:color w:val="auto"/>
        </w:rPr>
        <w:t>，空气质量优良率达</w:t>
      </w:r>
      <w:r>
        <w:rPr>
          <w:color w:val="auto"/>
        </w:rPr>
        <w:t>95%</w:t>
      </w:r>
      <w:r>
        <w:rPr>
          <w:rFonts w:hint="eastAsia"/>
          <w:color w:val="auto"/>
        </w:rPr>
        <w:t>以上。</w:t>
      </w:r>
    </w:p>
    <w:p w14:paraId="7D3976F2">
      <w:pPr>
        <w:pageBreakBefore w:val="0"/>
        <w:wordWrap/>
        <w:bidi w:val="0"/>
        <w:adjustRightInd/>
        <w:snapToGrid/>
        <w:rPr>
          <w:color w:val="auto"/>
        </w:rPr>
      </w:pPr>
      <w:r>
        <w:rPr>
          <w:rFonts w:hint="eastAsia"/>
          <w:color w:val="auto"/>
        </w:rPr>
        <w:t>巴中市主要气象参数条件如下：</w:t>
      </w:r>
    </w:p>
    <w:p w14:paraId="686B30D3">
      <w:pPr>
        <w:pageBreakBefore w:val="0"/>
        <w:wordWrap/>
        <w:bidi w:val="0"/>
        <w:adjustRightInd/>
        <w:snapToGrid/>
        <w:rPr>
          <w:color w:val="auto"/>
        </w:rPr>
      </w:pPr>
      <w:r>
        <w:rPr>
          <w:rFonts w:hint="eastAsia"/>
          <w:color w:val="auto"/>
        </w:rPr>
        <w:t>多年平均气温：</w:t>
      </w:r>
      <w:r>
        <w:rPr>
          <w:color w:val="auto"/>
        </w:rPr>
        <w:t>16.9~17.4℃</w:t>
      </w:r>
      <w:r>
        <w:rPr>
          <w:rFonts w:hint="eastAsia"/>
          <w:color w:val="auto"/>
        </w:rPr>
        <w:t>；多年极端最高气温：</w:t>
      </w:r>
      <w:r>
        <w:rPr>
          <w:color w:val="auto"/>
        </w:rPr>
        <w:t>40.3℃</w:t>
      </w:r>
      <w:r>
        <w:rPr>
          <w:rFonts w:hint="eastAsia"/>
          <w:color w:val="auto"/>
        </w:rPr>
        <w:t>；</w:t>
      </w:r>
    </w:p>
    <w:p w14:paraId="3BFD8E03">
      <w:pPr>
        <w:pageBreakBefore w:val="0"/>
        <w:wordWrap/>
        <w:bidi w:val="0"/>
        <w:adjustRightInd/>
        <w:snapToGrid/>
        <w:rPr>
          <w:color w:val="auto"/>
        </w:rPr>
      </w:pPr>
      <w:r>
        <w:rPr>
          <w:rFonts w:hint="eastAsia"/>
          <w:color w:val="auto"/>
        </w:rPr>
        <w:t>多年极端最低气温：</w:t>
      </w:r>
      <w:r>
        <w:rPr>
          <w:color w:val="auto"/>
        </w:rPr>
        <w:t>-5.3℃</w:t>
      </w:r>
      <w:r>
        <w:rPr>
          <w:rFonts w:hint="eastAsia"/>
          <w:color w:val="auto"/>
          <w:lang w:eastAsia="zh-CN"/>
        </w:rPr>
        <w:t>；</w:t>
      </w:r>
      <w:r>
        <w:rPr>
          <w:rFonts w:hint="eastAsia"/>
          <w:color w:val="auto"/>
        </w:rPr>
        <w:t>平均降水量：</w:t>
      </w:r>
      <w:r>
        <w:rPr>
          <w:color w:val="auto"/>
        </w:rPr>
        <w:t>1104mm</w:t>
      </w:r>
      <w:r>
        <w:rPr>
          <w:rFonts w:hint="eastAsia"/>
          <w:color w:val="auto"/>
        </w:rPr>
        <w:t>；</w:t>
      </w:r>
    </w:p>
    <w:p w14:paraId="038D7CD2">
      <w:pPr>
        <w:pageBreakBefore w:val="0"/>
        <w:wordWrap/>
        <w:bidi w:val="0"/>
        <w:adjustRightInd/>
        <w:snapToGrid/>
        <w:rPr>
          <w:color w:val="auto"/>
        </w:rPr>
      </w:pPr>
      <w:r>
        <w:rPr>
          <w:rFonts w:hint="eastAsia"/>
          <w:color w:val="auto"/>
        </w:rPr>
        <w:t>降雨日数（年平均）：</w:t>
      </w:r>
      <w:r>
        <w:rPr>
          <w:color w:val="auto"/>
        </w:rPr>
        <w:t>139</w:t>
      </w:r>
      <w:r>
        <w:rPr>
          <w:rFonts w:hint="eastAsia"/>
          <w:color w:val="auto"/>
        </w:rPr>
        <w:t>天；无霜期：</w:t>
      </w:r>
      <w:r>
        <w:rPr>
          <w:color w:val="auto"/>
        </w:rPr>
        <w:t>281</w:t>
      </w:r>
      <w:r>
        <w:rPr>
          <w:rFonts w:hint="eastAsia"/>
          <w:color w:val="auto"/>
        </w:rPr>
        <w:t>天；</w:t>
      </w:r>
    </w:p>
    <w:p w14:paraId="1652B557">
      <w:pPr>
        <w:pageBreakBefore w:val="0"/>
        <w:wordWrap/>
        <w:bidi w:val="0"/>
        <w:adjustRightInd/>
        <w:snapToGrid/>
        <w:rPr>
          <w:color w:val="auto"/>
        </w:rPr>
      </w:pPr>
      <w:r>
        <w:rPr>
          <w:rFonts w:hint="eastAsia"/>
          <w:color w:val="auto"/>
        </w:rPr>
        <w:t>年均雷暴日：</w:t>
      </w:r>
      <w:r>
        <w:rPr>
          <w:color w:val="auto"/>
        </w:rPr>
        <w:t>56</w:t>
      </w:r>
      <w:r>
        <w:rPr>
          <w:rFonts w:hint="eastAsia"/>
          <w:color w:val="auto"/>
        </w:rPr>
        <w:t>天；陆地蒸发量：</w:t>
      </w:r>
      <w:r>
        <w:rPr>
          <w:color w:val="auto"/>
        </w:rPr>
        <w:t>77.2-84.7mm</w:t>
      </w:r>
      <w:r>
        <w:rPr>
          <w:rFonts w:hint="eastAsia"/>
          <w:color w:val="auto"/>
        </w:rPr>
        <w:t>；</w:t>
      </w:r>
    </w:p>
    <w:p w14:paraId="0BF18650">
      <w:pPr>
        <w:pageBreakBefore w:val="0"/>
        <w:wordWrap/>
        <w:bidi w:val="0"/>
        <w:adjustRightInd/>
        <w:snapToGrid/>
        <w:rPr>
          <w:color w:val="auto"/>
        </w:rPr>
      </w:pPr>
      <w:r>
        <w:rPr>
          <w:rFonts w:hint="eastAsia"/>
          <w:color w:val="auto"/>
        </w:rPr>
        <w:t>日平均相对湿度：</w:t>
      </w:r>
      <w:r>
        <w:rPr>
          <w:color w:val="auto"/>
        </w:rPr>
        <w:t>80%</w:t>
      </w:r>
      <w:r>
        <w:rPr>
          <w:rFonts w:hint="eastAsia"/>
          <w:color w:val="auto"/>
        </w:rPr>
        <w:t>；全年平均相对湿度：</w:t>
      </w:r>
      <w:r>
        <w:rPr>
          <w:color w:val="auto"/>
        </w:rPr>
        <w:t>77%</w:t>
      </w:r>
      <w:r>
        <w:rPr>
          <w:rFonts w:hint="eastAsia"/>
          <w:color w:val="auto"/>
        </w:rPr>
        <w:t>；</w:t>
      </w:r>
    </w:p>
    <w:p w14:paraId="15E6EB33">
      <w:pPr>
        <w:pageBreakBefore w:val="0"/>
        <w:wordWrap/>
        <w:bidi w:val="0"/>
        <w:adjustRightInd/>
        <w:snapToGrid/>
        <w:rPr>
          <w:color w:val="auto"/>
        </w:rPr>
      </w:pPr>
      <w:r>
        <w:rPr>
          <w:rFonts w:hint="eastAsia"/>
          <w:color w:val="auto"/>
        </w:rPr>
        <w:t>主导风向：常年冬季西北风，常年夏季西北、东南风，春秋季风向不定，</w:t>
      </w:r>
    </w:p>
    <w:p w14:paraId="04524820">
      <w:pPr>
        <w:pageBreakBefore w:val="0"/>
        <w:wordWrap/>
        <w:bidi w:val="0"/>
        <w:adjustRightInd/>
        <w:snapToGrid/>
        <w:rPr>
          <w:color w:val="auto"/>
        </w:rPr>
      </w:pPr>
      <w:r>
        <w:rPr>
          <w:rFonts w:hint="eastAsia"/>
          <w:color w:val="auto"/>
        </w:rPr>
        <w:t>但阵风偏西北风，亦有南风，年平均风速</w:t>
      </w:r>
      <w:r>
        <w:rPr>
          <w:color w:val="auto"/>
        </w:rPr>
        <w:t>1.27m/s</w:t>
      </w:r>
      <w:r>
        <w:rPr>
          <w:rFonts w:hint="eastAsia"/>
          <w:color w:val="auto"/>
        </w:rPr>
        <w:t>。</w:t>
      </w:r>
    </w:p>
    <w:p w14:paraId="35E9C777">
      <w:pPr>
        <w:pStyle w:val="5"/>
        <w:bidi w:val="0"/>
        <w:rPr>
          <w:color w:val="auto"/>
        </w:rPr>
      </w:pPr>
      <w:r>
        <w:rPr>
          <w:rFonts w:hint="eastAsia"/>
          <w:color w:val="auto"/>
          <w:lang w:val="en-US" w:eastAsia="zh-CN"/>
        </w:rPr>
        <w:t xml:space="preserve"> </w:t>
      </w:r>
      <w:r>
        <w:rPr>
          <w:color w:val="auto"/>
        </w:rPr>
        <w:t>水文概况</w:t>
      </w:r>
    </w:p>
    <w:p w14:paraId="48867187">
      <w:pPr>
        <w:pageBreakBefore w:val="0"/>
        <w:wordWrap/>
        <w:bidi w:val="0"/>
        <w:adjustRightInd/>
        <w:snapToGrid/>
        <w:spacing w:line="360" w:lineRule="auto"/>
        <w:ind w:firstLine="480" w:firstLineChars="200"/>
        <w:jc w:val="both"/>
        <w:rPr>
          <w:color w:val="auto"/>
          <w:kern w:val="0"/>
          <w:sz w:val="24"/>
          <w:szCs w:val="22"/>
        </w:rPr>
      </w:pPr>
      <w:r>
        <w:rPr>
          <w:color w:val="auto"/>
          <w:kern w:val="0"/>
          <w:sz w:val="24"/>
          <w:szCs w:val="22"/>
        </w:rPr>
        <w:t>巴中市大小河流共有1100多条，流域面积在1000k</w:t>
      </w:r>
      <w:r>
        <w:rPr>
          <w:rFonts w:hint="eastAsia"/>
          <w:color w:val="auto"/>
          <w:kern w:val="0"/>
          <w:sz w:val="24"/>
          <w:szCs w:val="22"/>
          <w:lang w:eastAsia="zh-CN"/>
        </w:rPr>
        <w:t>m²</w:t>
      </w:r>
      <w:r>
        <w:rPr>
          <w:color w:val="auto"/>
          <w:kern w:val="0"/>
          <w:sz w:val="24"/>
          <w:szCs w:val="22"/>
        </w:rPr>
        <w:t>以上的主要河流有巴河、恩阳河和通江河等7条，100k</w:t>
      </w:r>
      <w:r>
        <w:rPr>
          <w:rFonts w:hint="eastAsia"/>
          <w:color w:val="auto"/>
          <w:kern w:val="0"/>
          <w:sz w:val="24"/>
          <w:szCs w:val="22"/>
          <w:lang w:eastAsia="zh-CN"/>
        </w:rPr>
        <w:t>m²</w:t>
      </w:r>
      <w:r>
        <w:rPr>
          <w:color w:val="auto"/>
          <w:kern w:val="0"/>
          <w:sz w:val="24"/>
          <w:szCs w:val="22"/>
        </w:rPr>
        <w:t>以上的有45条，50k</w:t>
      </w:r>
      <w:r>
        <w:rPr>
          <w:rFonts w:hint="eastAsia"/>
          <w:color w:val="auto"/>
          <w:kern w:val="0"/>
          <w:sz w:val="24"/>
          <w:szCs w:val="22"/>
          <w:lang w:eastAsia="zh-CN"/>
        </w:rPr>
        <w:t>m²</w:t>
      </w:r>
      <w:r>
        <w:rPr>
          <w:color w:val="auto"/>
          <w:kern w:val="0"/>
          <w:sz w:val="24"/>
          <w:szCs w:val="22"/>
        </w:rPr>
        <w:t>以上的有138条，河流总长4342km，河网密度达0.33km/k</w:t>
      </w:r>
      <w:r>
        <w:rPr>
          <w:rFonts w:hint="eastAsia"/>
          <w:color w:val="auto"/>
          <w:kern w:val="0"/>
          <w:sz w:val="24"/>
          <w:szCs w:val="22"/>
          <w:lang w:eastAsia="zh-CN"/>
        </w:rPr>
        <w:t>m²</w:t>
      </w:r>
      <w:r>
        <w:rPr>
          <w:color w:val="auto"/>
          <w:kern w:val="0"/>
          <w:sz w:val="24"/>
          <w:szCs w:val="22"/>
        </w:rPr>
        <w:t>。河流均呈南北流向，树枝状分布，水位洪枯变幅大，部分溪河在枯水期有断流的现象。除南江县北部的焦家河属</w:t>
      </w:r>
      <w:r>
        <w:rPr>
          <w:rFonts w:hint="eastAsia"/>
          <w:color w:val="auto"/>
          <w:kern w:val="0"/>
          <w:sz w:val="24"/>
          <w:szCs w:val="22"/>
          <w:lang w:eastAsia="zh-CN"/>
        </w:rPr>
        <w:t>巴河</w:t>
      </w:r>
      <w:r>
        <w:rPr>
          <w:color w:val="auto"/>
          <w:kern w:val="0"/>
          <w:sz w:val="24"/>
          <w:szCs w:val="22"/>
        </w:rPr>
        <w:t>一级支流外，其余均属渠江水系巴河流域。</w:t>
      </w:r>
    </w:p>
    <w:p w14:paraId="378F2A4A">
      <w:pPr>
        <w:pageBreakBefore w:val="0"/>
        <w:wordWrap/>
        <w:bidi w:val="0"/>
        <w:adjustRightInd/>
        <w:snapToGrid/>
        <w:spacing w:line="360" w:lineRule="auto"/>
        <w:ind w:firstLine="480" w:firstLineChars="200"/>
        <w:jc w:val="both"/>
        <w:rPr>
          <w:color w:val="auto"/>
          <w:kern w:val="0"/>
          <w:sz w:val="24"/>
          <w:szCs w:val="22"/>
        </w:rPr>
      </w:pPr>
      <w:r>
        <w:rPr>
          <w:color w:val="auto"/>
          <w:kern w:val="0"/>
          <w:sz w:val="24"/>
          <w:szCs w:val="22"/>
        </w:rPr>
        <w:t>巴河流域属山溪性河流，调蓄能力较小，暴雨洪水特征明显，流程短，汇流快，易形成大洪水或特大洪水，峰高量大，陡涨陡落。水位流量关系比较稳定，高水为绳套，中、低水为单一关系，水位变幅</w:t>
      </w:r>
      <w:r>
        <w:rPr>
          <w:rFonts w:hint="eastAsia"/>
          <w:color w:val="auto"/>
          <w:kern w:val="0"/>
          <w:sz w:val="24"/>
          <w:szCs w:val="22"/>
          <w:lang w:eastAsia="zh-CN"/>
        </w:rPr>
        <w:t>大部分</w:t>
      </w:r>
      <w:r>
        <w:rPr>
          <w:color w:val="auto"/>
          <w:kern w:val="0"/>
          <w:sz w:val="24"/>
          <w:szCs w:val="22"/>
        </w:rPr>
        <w:t>站都在10-23m，一次洪水历时一般6-24小时，峰顶历时0.1-1.5小时。据巴河流域主要控制站—风滩水文站，实测最高水位297.95m，最大流量26700</w:t>
      </w:r>
      <w:r>
        <w:rPr>
          <w:rFonts w:hint="eastAsia"/>
          <w:color w:val="auto"/>
          <w:kern w:val="0"/>
          <w:sz w:val="24"/>
          <w:szCs w:val="22"/>
          <w:lang w:eastAsia="zh-CN"/>
        </w:rPr>
        <w:t>m³</w:t>
      </w:r>
      <w:r>
        <w:rPr>
          <w:color w:val="auto"/>
          <w:kern w:val="0"/>
          <w:sz w:val="24"/>
          <w:szCs w:val="22"/>
        </w:rPr>
        <w:t>/s，水位涨幅18-23m。</w:t>
      </w:r>
    </w:p>
    <w:p w14:paraId="6746BB7C">
      <w:pPr>
        <w:pageBreakBefore w:val="0"/>
        <w:wordWrap/>
        <w:bidi w:val="0"/>
        <w:adjustRightInd/>
        <w:snapToGrid/>
        <w:spacing w:line="360" w:lineRule="auto"/>
        <w:ind w:firstLine="480" w:firstLineChars="200"/>
        <w:jc w:val="both"/>
        <w:rPr>
          <w:color w:val="auto"/>
          <w:kern w:val="0"/>
          <w:sz w:val="24"/>
          <w:szCs w:val="22"/>
        </w:rPr>
      </w:pPr>
      <w:r>
        <w:rPr>
          <w:color w:val="auto"/>
          <w:kern w:val="0"/>
          <w:sz w:val="24"/>
          <w:szCs w:val="22"/>
        </w:rPr>
        <w:t>巴河流经南江县、巴中市、平昌县、达川区、渠县，至渠县三汇镇注入渠江。巴河上游段在巴州区三江以上为巴河，发源于南江县玉泉乡平溪村的铁船山，横切于米仓山至大巴山的中山区海拔高程1800m，在南江县境内由东北向西南流，经玉泉、南江县城、沙河、下两、至元潭出南江县，进入巴州区境内继续南流，经枣林、在大佛寺有巴中水文站控制流域面积2732k</w:t>
      </w:r>
      <w:r>
        <w:rPr>
          <w:rFonts w:hint="eastAsia"/>
          <w:color w:val="auto"/>
          <w:kern w:val="0"/>
          <w:sz w:val="24"/>
          <w:szCs w:val="22"/>
          <w:lang w:eastAsia="zh-CN"/>
        </w:rPr>
        <w:t>m²</w:t>
      </w:r>
      <w:r>
        <w:rPr>
          <w:color w:val="auto"/>
          <w:kern w:val="0"/>
          <w:sz w:val="24"/>
          <w:szCs w:val="22"/>
        </w:rPr>
        <w:t>，多年平均流量61.1</w:t>
      </w:r>
      <w:r>
        <w:rPr>
          <w:rFonts w:hint="eastAsia"/>
          <w:color w:val="auto"/>
          <w:kern w:val="0"/>
          <w:sz w:val="24"/>
          <w:szCs w:val="22"/>
          <w:lang w:eastAsia="zh-CN"/>
        </w:rPr>
        <w:t>m³</w:t>
      </w:r>
      <w:r>
        <w:rPr>
          <w:color w:val="auto"/>
          <w:kern w:val="0"/>
          <w:sz w:val="24"/>
          <w:szCs w:val="22"/>
        </w:rPr>
        <w:t>/s，最大实测洪峰流量26700</w:t>
      </w:r>
      <w:r>
        <w:rPr>
          <w:rFonts w:hint="eastAsia"/>
          <w:color w:val="auto"/>
          <w:kern w:val="0"/>
          <w:sz w:val="24"/>
          <w:szCs w:val="22"/>
          <w:lang w:eastAsia="zh-CN"/>
        </w:rPr>
        <w:t>m³</w:t>
      </w:r>
      <w:r>
        <w:rPr>
          <w:color w:val="auto"/>
          <w:kern w:val="0"/>
          <w:sz w:val="24"/>
          <w:szCs w:val="22"/>
        </w:rPr>
        <w:t>/s，折东过巴中市城区北，曲折南至三江口水文站，以上流域面积2880k</w:t>
      </w:r>
      <w:r>
        <w:rPr>
          <w:rFonts w:hint="eastAsia"/>
          <w:color w:val="auto"/>
          <w:kern w:val="0"/>
          <w:sz w:val="24"/>
          <w:szCs w:val="22"/>
          <w:lang w:eastAsia="zh-CN"/>
        </w:rPr>
        <w:t>m²</w:t>
      </w:r>
      <w:r>
        <w:rPr>
          <w:color w:val="auto"/>
          <w:kern w:val="0"/>
          <w:sz w:val="24"/>
          <w:szCs w:val="22"/>
        </w:rPr>
        <w:t>。</w:t>
      </w:r>
    </w:p>
    <w:p w14:paraId="1D84A2F1">
      <w:pPr>
        <w:pStyle w:val="5"/>
        <w:bidi w:val="0"/>
        <w:rPr>
          <w:color w:val="auto"/>
        </w:rPr>
      </w:pPr>
      <w:r>
        <w:rPr>
          <w:rFonts w:hint="eastAsia"/>
          <w:color w:val="auto"/>
          <w:lang w:val="en-US" w:eastAsia="zh-CN"/>
        </w:rPr>
        <w:t xml:space="preserve"> </w:t>
      </w:r>
      <w:r>
        <w:rPr>
          <w:color w:val="auto"/>
        </w:rPr>
        <w:t>水文地质条件</w:t>
      </w:r>
    </w:p>
    <w:p w14:paraId="0E8B7B39">
      <w:pPr>
        <w:pageBreakBefore w:val="0"/>
        <w:wordWrap/>
        <w:autoSpaceDE w:val="0"/>
        <w:autoSpaceDN w:val="0"/>
        <w:bidi w:val="0"/>
        <w:adjustRightInd/>
        <w:snapToGrid/>
        <w:spacing w:before="36" w:line="360" w:lineRule="auto"/>
        <w:ind w:firstLine="480" w:firstLineChars="200"/>
        <w:jc w:val="left"/>
        <w:textAlignment w:val="baseline"/>
        <w:rPr>
          <w:rFonts w:hint="eastAsia"/>
          <w:color w:val="auto"/>
          <w:sz w:val="24"/>
          <w:szCs w:val="24"/>
        </w:rPr>
      </w:pPr>
      <w:r>
        <w:rPr>
          <w:rFonts w:hint="eastAsia"/>
          <w:color w:val="auto"/>
          <w:lang w:val="en-US" w:eastAsia="zh-CN"/>
        </w:rPr>
        <w:t>根据《巴中市巴州区曾口片区污水处理厂、环境监测站建设项目岩土工程勘察报告（详勘）》，</w:t>
      </w:r>
      <w:r>
        <w:rPr>
          <w:rFonts w:hint="eastAsia"/>
          <w:color w:val="auto"/>
          <w:sz w:val="24"/>
          <w:szCs w:val="24"/>
        </w:rPr>
        <w:t>场地内地下水自上而下分布如下：第四系松散类孔隙水、基岩裂隙水。场地内素填土层、卵石层、强风化砂岩层属弱含（透）水性地层，粉质黏土层、中风化砂岩层为场地相对隔水层。本场地地下水主要为第四系松散类孔隙水、基岩裂隙水，基岩裂隙水主要为基岩风化带网状裂隙水，富水性差，主要赋存于场地内</w:t>
      </w:r>
      <w:r>
        <w:rPr>
          <w:rFonts w:hint="eastAsia" w:hAnsi="宋体"/>
          <w:color w:val="auto"/>
          <w:sz w:val="24"/>
          <w:szCs w:val="24"/>
        </w:rPr>
        <w:t>强风</w:t>
      </w:r>
      <w:r>
        <w:rPr>
          <w:rFonts w:hint="eastAsia"/>
          <w:color w:val="auto"/>
          <w:sz w:val="24"/>
          <w:szCs w:val="24"/>
        </w:rPr>
        <w:t>泥岩、强风化砂岩中。</w:t>
      </w:r>
    </w:p>
    <w:p w14:paraId="14415F14">
      <w:pPr>
        <w:pageBreakBefore w:val="0"/>
        <w:wordWrap/>
        <w:autoSpaceDE w:val="0"/>
        <w:autoSpaceDN w:val="0"/>
        <w:bidi w:val="0"/>
        <w:adjustRightInd/>
        <w:snapToGrid/>
        <w:spacing w:before="36" w:line="360" w:lineRule="auto"/>
        <w:ind w:firstLine="480" w:firstLineChars="200"/>
        <w:jc w:val="left"/>
        <w:textAlignment w:val="baseline"/>
        <w:rPr>
          <w:rFonts w:hint="eastAsia"/>
          <w:color w:val="auto"/>
          <w:sz w:val="24"/>
          <w:szCs w:val="24"/>
        </w:rPr>
      </w:pPr>
      <w:r>
        <w:rPr>
          <w:rFonts w:hint="eastAsia"/>
          <w:color w:val="auto"/>
          <w:sz w:val="24"/>
          <w:szCs w:val="24"/>
        </w:rPr>
        <w:t>地下水的补给来源主要为大气降水通过入渗补给，孔隙水主要接受大气降雨及地表径流补给，基岩裂隙水主要补给为基岩裸露接受大气降雨补给及竖向孔隙水下渗补给以及区外径流补给。因而地下水的补给较弱。素填土与强风化基岩裂隙水水力联系较强，对基岩裂隙水补给较强。几个岩土层地下水存在水力联系，有统一的地下水位，素填土层间孔隙发育，透水性强，勘察期间见上层滞水渗入孔底形成积水，填土层属强透水层，含水性强、渗透系数约为8～13m/d；卵石层属强透水层，含水性强、渗透系数约为20～30m/d；粉质粘土属弱透水层，含水性强、渗透系数约为4×10</w:t>
      </w:r>
      <w:r>
        <w:rPr>
          <w:rFonts w:hint="eastAsia"/>
          <w:color w:val="auto"/>
          <w:sz w:val="24"/>
          <w:szCs w:val="24"/>
          <w:vertAlign w:val="superscript"/>
        </w:rPr>
        <w:t>-2</w:t>
      </w:r>
      <w:r>
        <w:rPr>
          <w:rFonts w:hint="eastAsia"/>
          <w:color w:val="auto"/>
          <w:sz w:val="24"/>
          <w:szCs w:val="24"/>
        </w:rPr>
        <w:t>m/d；砂岩属弱透水层，含水性弱、渗透系数约为3×10</w:t>
      </w:r>
      <w:r>
        <w:rPr>
          <w:rFonts w:hint="eastAsia"/>
          <w:color w:val="auto"/>
          <w:sz w:val="24"/>
          <w:szCs w:val="24"/>
          <w:vertAlign w:val="superscript"/>
        </w:rPr>
        <w:t>-2</w:t>
      </w:r>
      <w:r>
        <w:rPr>
          <w:rFonts w:hint="eastAsia"/>
          <w:color w:val="auto"/>
          <w:sz w:val="24"/>
          <w:szCs w:val="24"/>
        </w:rPr>
        <w:t>m/d。</w:t>
      </w:r>
    </w:p>
    <w:p w14:paraId="2C8F3A49">
      <w:pPr>
        <w:bidi w:val="0"/>
        <w:rPr>
          <w:rFonts w:hint="eastAsia"/>
          <w:color w:val="auto"/>
        </w:rPr>
      </w:pPr>
      <w:r>
        <w:rPr>
          <w:rFonts w:hint="eastAsia"/>
          <w:color w:val="auto"/>
        </w:rPr>
        <w:t>勘察期间测得本场地勘探深度内稳定地下水位埋深：1.02m～6.52m，地下水位标高：321.73m～323.50m，地下水位年变幅1.0～2.5m，勘察期间最高地下水位323.50m；据原区域地质资料及野外调查统计，拟建工程地段历史最高水位325.50m。水位受微地貌控制，随降雨动态变化大。</w:t>
      </w:r>
    </w:p>
    <w:p w14:paraId="18D54EB1">
      <w:pPr>
        <w:pStyle w:val="10"/>
        <w:ind w:firstLine="361"/>
        <w:rPr>
          <w:rFonts w:cs="Times New Roman"/>
          <w:color w:val="auto"/>
        </w:rPr>
      </w:pPr>
      <w:r>
        <w:rPr>
          <w:rFonts w:cs="Times New Roman"/>
          <w:color w:val="auto"/>
        </w:rPr>
        <w:t>地下水类型及其富水性</w:t>
      </w:r>
    </w:p>
    <w:p w14:paraId="5818B8E7">
      <w:pPr>
        <w:ind w:firstLine="480"/>
        <w:rPr>
          <w:rFonts w:cs="Times New Roman"/>
          <w:color w:val="auto"/>
        </w:rPr>
      </w:pPr>
      <w:r>
        <w:rPr>
          <w:rFonts w:cs="Times New Roman"/>
          <w:color w:val="auto"/>
        </w:rPr>
        <w:t>项目评价区</w:t>
      </w:r>
      <w:r>
        <w:rPr>
          <w:rFonts w:hint="eastAsia" w:cs="Times New Roman"/>
          <w:color w:val="auto"/>
        </w:rPr>
        <w:t>地下水类型包含第四系松散类孔隙水和基岩裂隙水两大类，第四系松散岩类孔隙水主要赋存于第四系粉质粘土及砂砾卵石层松散孔隙中，基岩裂隙水主要赋存于砂岩浅层裂隙中，两者有较强的水力联系。</w:t>
      </w:r>
    </w:p>
    <w:p w14:paraId="5D5BE63D">
      <w:pPr>
        <w:ind w:firstLine="480"/>
        <w:rPr>
          <w:rFonts w:cs="Times New Roman"/>
          <w:color w:val="auto"/>
        </w:rPr>
      </w:pPr>
      <w:r>
        <w:rPr>
          <w:rFonts w:hint="eastAsia" w:cs="Times New Roman"/>
          <w:color w:val="auto"/>
        </w:rPr>
        <w:t>（1）第四系松散岩类孔隙水</w:t>
      </w:r>
    </w:p>
    <w:p w14:paraId="02FFA471">
      <w:pPr>
        <w:ind w:firstLine="480"/>
        <w:rPr>
          <w:rFonts w:cs="Times New Roman"/>
          <w:color w:val="auto"/>
        </w:rPr>
      </w:pPr>
      <w:r>
        <w:rPr>
          <w:rFonts w:hint="eastAsia" w:cs="Times New Roman"/>
          <w:color w:val="auto"/>
        </w:rPr>
        <w:t>广泛赋存于本项目评价区第四系更新世堆积的粘土、亚粘土及砂砾卵石层</w:t>
      </w:r>
      <w:r>
        <w:rPr>
          <w:rFonts w:hint="eastAsia" w:cs="Times New Roman"/>
          <w:color w:val="auto"/>
          <w:lang w:eastAsia="zh-CN"/>
        </w:rPr>
        <w:t>（</w:t>
      </w:r>
      <w:r>
        <w:rPr>
          <w:rFonts w:hint="eastAsia" w:cs="Times New Roman"/>
          <w:color w:val="auto"/>
        </w:rPr>
        <w:t>Q</w:t>
      </w:r>
      <w:r>
        <w:rPr>
          <w:rFonts w:hint="eastAsia" w:cs="Times New Roman"/>
          <w:color w:val="auto"/>
          <w:vertAlign w:val="subscript"/>
        </w:rPr>
        <w:t>3</w:t>
      </w:r>
      <w:r>
        <w:rPr>
          <w:rFonts w:hint="eastAsia" w:cs="Times New Roman"/>
          <w:color w:val="auto"/>
          <w:vertAlign w:val="superscript"/>
        </w:rPr>
        <w:t>al</w:t>
      </w:r>
      <w:r>
        <w:rPr>
          <w:rFonts w:hint="eastAsia" w:cs="Times New Roman"/>
          <w:color w:val="auto"/>
          <w:lang w:eastAsia="zh-CN"/>
        </w:rPr>
        <w:t>）</w:t>
      </w:r>
      <w:r>
        <w:rPr>
          <w:rFonts w:hint="eastAsia" w:cs="Times New Roman"/>
          <w:color w:val="auto"/>
        </w:rPr>
        <w:t>，地貌上属巴河的二、三级阶地，污水处理厂到巴河之间的一级阶地全新统砂砾卵石层</w:t>
      </w:r>
      <w:r>
        <w:rPr>
          <w:rFonts w:hint="eastAsia" w:cs="Times New Roman"/>
          <w:color w:val="auto"/>
          <w:lang w:eastAsia="zh-CN"/>
        </w:rPr>
        <w:t>（</w:t>
      </w:r>
      <w:r>
        <w:rPr>
          <w:rFonts w:hint="eastAsia" w:cs="Times New Roman"/>
          <w:color w:val="auto"/>
        </w:rPr>
        <w:t>Q</w:t>
      </w:r>
      <w:r>
        <w:rPr>
          <w:rFonts w:hint="eastAsia" w:cs="Times New Roman"/>
          <w:color w:val="auto"/>
          <w:vertAlign w:val="subscript"/>
        </w:rPr>
        <w:t>4</w:t>
      </w:r>
      <w:r>
        <w:rPr>
          <w:rFonts w:hint="eastAsia" w:cs="Times New Roman"/>
          <w:color w:val="auto"/>
          <w:vertAlign w:val="superscript"/>
        </w:rPr>
        <w:t>al</w:t>
      </w:r>
      <w:r>
        <w:rPr>
          <w:rFonts w:hint="eastAsia" w:cs="Times New Roman"/>
          <w:color w:val="auto"/>
          <w:lang w:eastAsia="zh-CN"/>
        </w:rPr>
        <w:t>）</w:t>
      </w:r>
      <w:r>
        <w:rPr>
          <w:rFonts w:hint="eastAsia" w:cs="Times New Roman"/>
          <w:color w:val="auto"/>
        </w:rPr>
        <w:t xml:space="preserve">含泥质重，也划归此类。地层整体富水性较差，根据区域水文地质资料区域上只在堆积层底部近基座面上有泉水出露，流量0.015-0.454 L/s，水量相对贫乏，单井涌水量一般在10-100 </w:t>
      </w:r>
      <w:r>
        <w:rPr>
          <w:rFonts w:hint="eastAsia" w:cs="Times New Roman"/>
          <w:color w:val="auto"/>
          <w:lang w:eastAsia="zh-CN"/>
        </w:rPr>
        <w:t>m³</w:t>
      </w:r>
      <w:r>
        <w:rPr>
          <w:rFonts w:hint="eastAsia" w:cs="Times New Roman"/>
          <w:color w:val="auto"/>
        </w:rPr>
        <w:t>/d。</w:t>
      </w:r>
    </w:p>
    <w:p w14:paraId="569CA27B">
      <w:pPr>
        <w:ind w:firstLine="480"/>
        <w:rPr>
          <w:color w:val="auto"/>
        </w:rPr>
      </w:pPr>
      <w:r>
        <w:rPr>
          <w:rFonts w:hint="eastAsia"/>
          <w:color w:val="auto"/>
        </w:rPr>
        <w:t>（2）基岩裂隙水</w:t>
      </w:r>
    </w:p>
    <w:p w14:paraId="06A0C941">
      <w:pPr>
        <w:ind w:firstLine="480"/>
        <w:rPr>
          <w:rFonts w:cs="Times New Roman"/>
          <w:color w:val="auto"/>
        </w:rPr>
      </w:pPr>
      <w:r>
        <w:rPr>
          <w:rFonts w:hint="eastAsia"/>
          <w:color w:val="auto"/>
        </w:rPr>
        <w:t>根据项目岩土工程勘察报告，评价区“宽缓槽谷”内第四系粉质粘土及砂卵石层覆盖于下伏白垩系白龙组（</w:t>
      </w:r>
      <w:r>
        <w:rPr>
          <w:color w:val="auto"/>
        </w:rPr>
        <w:t>K</w:t>
      </w:r>
      <w:r>
        <w:rPr>
          <w:color w:val="auto"/>
          <w:vertAlign w:val="subscript"/>
        </w:rPr>
        <w:t>1</w:t>
      </w:r>
      <w:r>
        <w:rPr>
          <w:color w:val="auto"/>
        </w:rPr>
        <w:t>b</w:t>
      </w:r>
      <w:r>
        <w:rPr>
          <w:rFonts w:hint="eastAsia"/>
          <w:color w:val="auto"/>
        </w:rPr>
        <w:t>）长石石英砂岩地层之上，砂岩中浅部横张及X节理发育，由于埋藏浅，在长期外营力改造，裂隙进一步扩张，构成浅层地下水良好储存空间，裂隙发育厚度18～20</w:t>
      </w:r>
      <w:r>
        <w:rPr>
          <w:color w:val="auto"/>
        </w:rPr>
        <w:t>m</w:t>
      </w:r>
      <w:r>
        <w:rPr>
          <w:rFonts w:hint="eastAsia"/>
          <w:color w:val="auto"/>
        </w:rPr>
        <w:t>。评价区地表汇水条件好，浅层地下水主要接受大气降雨补给，槽谷两侧山体接受补给后，沿第四系孔隙及基岩裂隙带向地形低洼区域汇集，富集埋藏于地势低洼的沟谷、平坝、洼地地带。丘坡下部坡度变缓区域及槽谷内第四系之下的基岩裂隙</w:t>
      </w:r>
      <w:r>
        <w:rPr>
          <w:rFonts w:cs="Times New Roman"/>
          <w:color w:val="auto"/>
        </w:rPr>
        <w:t xml:space="preserve">是此类地下水最佳储水介质。因此，农户也较为集中地选择半坡以下及平坝而居。由于埋藏浅，径流时间短，因此地下水动态变化受气候因素影响较大。单井出水量小于50 </w:t>
      </w:r>
      <w:r>
        <w:rPr>
          <w:rFonts w:hint="eastAsia" w:cs="Times New Roman"/>
          <w:color w:val="auto"/>
          <w:lang w:eastAsia="zh-CN"/>
        </w:rPr>
        <w:t>m³</w:t>
      </w:r>
      <w:r>
        <w:rPr>
          <w:rFonts w:cs="Times New Roman"/>
          <w:color w:val="auto"/>
        </w:rPr>
        <w:t>/d。</w:t>
      </w:r>
    </w:p>
    <w:p w14:paraId="35673D64">
      <w:pPr>
        <w:pStyle w:val="10"/>
        <w:ind w:firstLine="361"/>
        <w:rPr>
          <w:rFonts w:cs="Times New Roman"/>
          <w:color w:val="auto"/>
        </w:rPr>
      </w:pPr>
      <w:r>
        <w:rPr>
          <w:rFonts w:cs="Times New Roman"/>
          <w:color w:val="auto"/>
        </w:rPr>
        <w:t>地下水补给、径流和排泄条件</w:t>
      </w:r>
    </w:p>
    <w:p w14:paraId="6622888C">
      <w:pPr>
        <w:ind w:firstLine="480"/>
        <w:rPr>
          <w:color w:val="auto"/>
        </w:rPr>
      </w:pPr>
      <w:r>
        <w:rPr>
          <w:rFonts w:hint="eastAsia"/>
          <w:color w:val="auto"/>
        </w:rPr>
        <w:t>评价区第四系松散岩类孔隙水及基岩裂隙水主要接受大气降雨垂直入渗补给，其次是地表水体，水库、堰塘、稻田、溪沟等对地下水均有一定的补给，评价区浅层地下水还接受来自北侧后缘的基岩裂隙水补给。由于降水的时空分布不均，因而这种补给是周期性的，当年4～10月为补给期，是地下水的峰值期，11月～次年3月为地下水消耗期，是地下水埋深、流量削减季节。评价区与广大红层丘陵地区相似，地下水一般由小沟至大沟，由支沟向主沟缓慢渗流，并以泉和渗流形式部分向低洼沟谷排泄，并最终排向当地最低侵蚀基准面，同时区内的居民打井抽汲地下水作为生产生活用水，也是常见的地下水排泄方式之一。</w:t>
      </w:r>
    </w:p>
    <w:p w14:paraId="57BE6447">
      <w:pPr>
        <w:pStyle w:val="10"/>
        <w:ind w:firstLine="361"/>
        <w:rPr>
          <w:rFonts w:cs="Times New Roman"/>
          <w:color w:val="auto"/>
        </w:rPr>
      </w:pPr>
      <w:r>
        <w:rPr>
          <w:rFonts w:cs="Times New Roman"/>
          <w:color w:val="auto"/>
        </w:rPr>
        <w:t>地下水水位分布调查</w:t>
      </w:r>
    </w:p>
    <w:p w14:paraId="32DFCC00">
      <w:pPr>
        <w:bidi w:val="0"/>
        <w:rPr>
          <w:color w:val="auto"/>
        </w:rPr>
      </w:pPr>
      <w:bookmarkStart w:id="135" w:name="_Hlk43892266"/>
      <w:r>
        <w:rPr>
          <w:color w:val="auto"/>
        </w:rPr>
        <w:t>评价区地下水</w:t>
      </w:r>
      <w:r>
        <w:rPr>
          <w:rFonts w:hint="eastAsia"/>
          <w:color w:val="auto"/>
        </w:rPr>
        <w:t>为降雨补给型，</w:t>
      </w:r>
      <w:r>
        <w:rPr>
          <w:color w:val="auto"/>
        </w:rPr>
        <w:t>动态具有明显季节变化特征，潜水位一般从4</w:t>
      </w:r>
      <w:r>
        <w:rPr>
          <w:rFonts w:hint="eastAsia"/>
          <w:color w:val="auto"/>
        </w:rPr>
        <w:t>-</w:t>
      </w:r>
      <w:r>
        <w:rPr>
          <w:color w:val="auto"/>
        </w:rPr>
        <w:t>5月开始上升至8月下旬最高峰出现于7</w:t>
      </w:r>
      <w:r>
        <w:rPr>
          <w:rFonts w:hint="eastAsia"/>
          <w:color w:val="auto"/>
        </w:rPr>
        <w:t>-</w:t>
      </w:r>
      <w:r>
        <w:rPr>
          <w:color w:val="auto"/>
        </w:rPr>
        <w:t>8月，最低在1</w:t>
      </w:r>
      <w:r>
        <w:rPr>
          <w:rFonts w:hint="eastAsia"/>
          <w:color w:val="auto"/>
        </w:rPr>
        <w:t>-</w:t>
      </w:r>
      <w:r>
        <w:rPr>
          <w:color w:val="auto"/>
        </w:rPr>
        <w:t>3月、12月中交替出现，动态曲线上峰谷起伏，动态变化明显。</w:t>
      </w:r>
    </w:p>
    <w:p w14:paraId="2442B3B0">
      <w:pPr>
        <w:bidi w:val="0"/>
        <w:rPr>
          <w:color w:val="auto"/>
        </w:rPr>
      </w:pPr>
      <w:r>
        <w:rPr>
          <w:color w:val="auto"/>
        </w:rPr>
        <w:t>本项目调查显示评价区监测井井口高程介于</w:t>
      </w:r>
      <w:r>
        <w:rPr>
          <w:rFonts w:hint="eastAsia"/>
          <w:color w:val="auto"/>
        </w:rPr>
        <w:t>329.14</w:t>
      </w:r>
      <w:r>
        <w:rPr>
          <w:color w:val="auto"/>
        </w:rPr>
        <w:t>～</w:t>
      </w:r>
      <w:r>
        <w:rPr>
          <w:rFonts w:hint="eastAsia"/>
          <w:color w:val="auto"/>
        </w:rPr>
        <w:t>342.53</w:t>
      </w:r>
      <w:r>
        <w:rPr>
          <w:color w:val="auto"/>
        </w:rPr>
        <w:t xml:space="preserve"> m，枯水期水位埋深</w:t>
      </w:r>
      <w:r>
        <w:rPr>
          <w:rFonts w:hint="eastAsia"/>
          <w:color w:val="auto"/>
        </w:rPr>
        <w:t>0.61</w:t>
      </w:r>
      <w:r>
        <w:rPr>
          <w:color w:val="auto"/>
        </w:rPr>
        <w:t>～</w:t>
      </w:r>
      <w:r>
        <w:rPr>
          <w:rFonts w:hint="eastAsia"/>
          <w:color w:val="auto"/>
        </w:rPr>
        <w:t>4.90</w:t>
      </w:r>
      <w:r>
        <w:rPr>
          <w:color w:val="auto"/>
        </w:rPr>
        <w:t>m，水位高程介于</w:t>
      </w:r>
      <w:r>
        <w:rPr>
          <w:rFonts w:hint="eastAsia"/>
          <w:color w:val="auto"/>
        </w:rPr>
        <w:t>328.37</w:t>
      </w:r>
      <w:r>
        <w:rPr>
          <w:color w:val="auto"/>
        </w:rPr>
        <w:t>～</w:t>
      </w:r>
      <w:r>
        <w:rPr>
          <w:rFonts w:hint="eastAsia"/>
          <w:color w:val="auto"/>
        </w:rPr>
        <w:t>340.14</w:t>
      </w:r>
      <w:r>
        <w:rPr>
          <w:color w:val="auto"/>
        </w:rPr>
        <w:t>m，丰水期水位埋深</w:t>
      </w:r>
      <w:r>
        <w:rPr>
          <w:rFonts w:hint="eastAsia"/>
          <w:color w:val="auto"/>
        </w:rPr>
        <w:t>0.10</w:t>
      </w:r>
      <w:r>
        <w:rPr>
          <w:color w:val="auto"/>
        </w:rPr>
        <w:t>～</w:t>
      </w:r>
      <w:r>
        <w:rPr>
          <w:rFonts w:hint="eastAsia"/>
          <w:color w:val="auto"/>
        </w:rPr>
        <w:t>4.10</w:t>
      </w:r>
      <w:r>
        <w:rPr>
          <w:color w:val="auto"/>
        </w:rPr>
        <w:t>m，水位高程介于</w:t>
      </w:r>
      <w:r>
        <w:rPr>
          <w:rFonts w:hint="eastAsia"/>
          <w:color w:val="auto"/>
        </w:rPr>
        <w:t>328.57</w:t>
      </w:r>
      <w:r>
        <w:rPr>
          <w:color w:val="auto"/>
        </w:rPr>
        <w:t>～</w:t>
      </w:r>
      <w:r>
        <w:rPr>
          <w:rFonts w:hint="eastAsia"/>
          <w:color w:val="auto"/>
        </w:rPr>
        <w:t>340.64</w:t>
      </w:r>
      <w:r>
        <w:rPr>
          <w:color w:val="auto"/>
        </w:rPr>
        <w:t xml:space="preserve"> m，丰枯期水位变幅</w:t>
      </w:r>
      <w:r>
        <w:rPr>
          <w:rFonts w:hint="eastAsia"/>
          <w:color w:val="auto"/>
        </w:rPr>
        <w:t>0.21</w:t>
      </w:r>
      <w:r>
        <w:rPr>
          <w:color w:val="auto"/>
        </w:rPr>
        <w:t>～</w:t>
      </w:r>
      <w:r>
        <w:rPr>
          <w:rFonts w:hint="eastAsia"/>
          <w:color w:val="auto"/>
        </w:rPr>
        <w:t xml:space="preserve">1.72 </w:t>
      </w:r>
      <w:r>
        <w:rPr>
          <w:color w:val="auto"/>
        </w:rPr>
        <w:t>m。</w:t>
      </w:r>
    </w:p>
    <w:p w14:paraId="7066E736">
      <w:pPr>
        <w:pStyle w:val="713"/>
        <w:rPr>
          <w:rFonts w:cs="Times New Roman"/>
          <w:color w:val="auto"/>
        </w:rPr>
      </w:pPr>
      <w:r>
        <w:rPr>
          <w:rFonts w:cs="Times New Roman"/>
          <w:color w:val="auto"/>
        </w:rPr>
        <w:t>表</w:t>
      </w:r>
      <w:r>
        <w:rPr>
          <w:rFonts w:hint="eastAsia" w:cs="Times New Roman"/>
          <w:color w:val="auto"/>
          <w:lang w:val="en-US" w:eastAsia="zh-CN"/>
        </w:rPr>
        <w:t>3.1</w:t>
      </w:r>
      <w:r>
        <w:rPr>
          <w:rFonts w:cs="Times New Roman"/>
          <w:color w:val="auto"/>
        </w:rPr>
        <w:t>-1  评价区内地下水井水位观测数据</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3"/>
        <w:gridCol w:w="1378"/>
        <w:gridCol w:w="1049"/>
        <w:gridCol w:w="1028"/>
        <w:gridCol w:w="1130"/>
        <w:gridCol w:w="1130"/>
        <w:gridCol w:w="1130"/>
        <w:gridCol w:w="1128"/>
      </w:tblGrid>
      <w:tr w14:paraId="66F5D7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63" w:type="pct"/>
            <w:vMerge w:val="restart"/>
            <w:tcBorders>
              <w:tl2br w:val="nil"/>
              <w:tr2bl w:val="nil"/>
            </w:tcBorders>
            <w:shd w:val="clear" w:color="auto" w:fill="auto"/>
            <w:tcMar>
              <w:left w:w="28" w:type="dxa"/>
              <w:right w:w="28" w:type="dxa"/>
            </w:tcMar>
            <w:vAlign w:val="center"/>
          </w:tcPr>
          <w:p w14:paraId="7AD56813">
            <w:pPr>
              <w:pStyle w:val="714"/>
              <w:rPr>
                <w:b/>
                <w:bCs/>
                <w:color w:val="auto"/>
              </w:rPr>
            </w:pPr>
            <w:r>
              <w:rPr>
                <w:rFonts w:hint="eastAsia"/>
                <w:b/>
                <w:bCs/>
                <w:color w:val="auto"/>
              </w:rPr>
              <w:t>监测点编号</w:t>
            </w:r>
          </w:p>
        </w:tc>
        <w:tc>
          <w:tcPr>
            <w:tcW w:w="784" w:type="pct"/>
            <w:vMerge w:val="restart"/>
            <w:tcBorders>
              <w:tl2br w:val="nil"/>
              <w:tr2bl w:val="nil"/>
            </w:tcBorders>
            <w:shd w:val="clear" w:color="auto" w:fill="auto"/>
            <w:tcMar>
              <w:left w:w="28" w:type="dxa"/>
              <w:right w:w="28" w:type="dxa"/>
            </w:tcMar>
            <w:vAlign w:val="center"/>
          </w:tcPr>
          <w:p w14:paraId="16C52F2D">
            <w:pPr>
              <w:pStyle w:val="714"/>
              <w:rPr>
                <w:b/>
                <w:bCs/>
                <w:color w:val="auto"/>
              </w:rPr>
            </w:pPr>
            <w:r>
              <w:rPr>
                <w:rFonts w:hint="eastAsia"/>
                <w:b/>
                <w:bCs/>
                <w:color w:val="auto"/>
              </w:rPr>
              <w:t>经度</w:t>
            </w:r>
          </w:p>
        </w:tc>
        <w:tc>
          <w:tcPr>
            <w:tcW w:w="597" w:type="pct"/>
            <w:vMerge w:val="restart"/>
            <w:tcBorders>
              <w:tl2br w:val="nil"/>
              <w:tr2bl w:val="nil"/>
            </w:tcBorders>
            <w:shd w:val="clear" w:color="auto" w:fill="auto"/>
            <w:tcMar>
              <w:left w:w="28" w:type="dxa"/>
              <w:right w:w="28" w:type="dxa"/>
            </w:tcMar>
            <w:vAlign w:val="center"/>
          </w:tcPr>
          <w:p w14:paraId="5077AC92">
            <w:pPr>
              <w:pStyle w:val="714"/>
              <w:rPr>
                <w:b/>
                <w:bCs/>
                <w:color w:val="auto"/>
              </w:rPr>
            </w:pPr>
            <w:r>
              <w:rPr>
                <w:rFonts w:hint="eastAsia"/>
                <w:b/>
                <w:bCs/>
                <w:color w:val="auto"/>
              </w:rPr>
              <w:t>纬度</w:t>
            </w:r>
          </w:p>
        </w:tc>
        <w:tc>
          <w:tcPr>
            <w:tcW w:w="585" w:type="pct"/>
            <w:vMerge w:val="restart"/>
            <w:tcBorders>
              <w:tl2br w:val="nil"/>
              <w:tr2bl w:val="nil"/>
            </w:tcBorders>
            <w:shd w:val="clear" w:color="auto" w:fill="auto"/>
            <w:tcMar>
              <w:left w:w="28" w:type="dxa"/>
              <w:right w:w="28" w:type="dxa"/>
            </w:tcMar>
            <w:vAlign w:val="center"/>
          </w:tcPr>
          <w:p w14:paraId="04617B69">
            <w:pPr>
              <w:pStyle w:val="714"/>
              <w:rPr>
                <w:rFonts w:hint="eastAsia" w:eastAsiaTheme="majorEastAsia"/>
                <w:b/>
                <w:bCs/>
                <w:color w:val="auto"/>
                <w:lang w:eastAsia="zh-CN"/>
              </w:rPr>
            </w:pPr>
            <w:r>
              <w:rPr>
                <w:rFonts w:hint="eastAsia"/>
                <w:b/>
                <w:bCs/>
                <w:color w:val="auto"/>
              </w:rPr>
              <w:t>井口高程</w:t>
            </w:r>
            <w:r>
              <w:rPr>
                <w:rFonts w:hint="eastAsia"/>
                <w:b/>
                <w:bCs/>
                <w:color w:val="auto"/>
                <w:lang w:eastAsia="zh-CN"/>
              </w:rPr>
              <w:t>（</w:t>
            </w:r>
            <w:r>
              <w:rPr>
                <w:b/>
                <w:bCs/>
                <w:color w:val="auto"/>
              </w:rPr>
              <w:t>m</w:t>
            </w:r>
            <w:r>
              <w:rPr>
                <w:rFonts w:hint="eastAsia"/>
                <w:b/>
                <w:bCs/>
                <w:color w:val="auto"/>
                <w:lang w:eastAsia="zh-CN"/>
              </w:rPr>
              <w:t>）</w:t>
            </w:r>
          </w:p>
        </w:tc>
        <w:tc>
          <w:tcPr>
            <w:tcW w:w="1286" w:type="pct"/>
            <w:gridSpan w:val="2"/>
            <w:tcBorders>
              <w:tl2br w:val="nil"/>
              <w:tr2bl w:val="nil"/>
            </w:tcBorders>
            <w:shd w:val="clear" w:color="auto" w:fill="auto"/>
            <w:tcMar>
              <w:left w:w="28" w:type="dxa"/>
              <w:right w:w="28" w:type="dxa"/>
            </w:tcMar>
            <w:vAlign w:val="center"/>
          </w:tcPr>
          <w:p w14:paraId="120A030A">
            <w:pPr>
              <w:pStyle w:val="714"/>
              <w:rPr>
                <w:b/>
                <w:bCs/>
                <w:color w:val="auto"/>
              </w:rPr>
            </w:pPr>
            <w:r>
              <w:rPr>
                <w:b/>
                <w:bCs/>
                <w:color w:val="auto"/>
              </w:rPr>
              <w:t>2024</w:t>
            </w:r>
            <w:r>
              <w:rPr>
                <w:rFonts w:hint="eastAsia"/>
                <w:b/>
                <w:bCs/>
                <w:color w:val="auto"/>
              </w:rPr>
              <w:t>年3月枯水期</w:t>
            </w:r>
          </w:p>
        </w:tc>
        <w:tc>
          <w:tcPr>
            <w:tcW w:w="1286" w:type="pct"/>
            <w:gridSpan w:val="2"/>
            <w:tcBorders>
              <w:tl2br w:val="nil"/>
              <w:tr2bl w:val="nil"/>
            </w:tcBorders>
            <w:shd w:val="clear" w:color="auto" w:fill="auto"/>
            <w:tcMar>
              <w:left w:w="28" w:type="dxa"/>
              <w:right w:w="28" w:type="dxa"/>
            </w:tcMar>
            <w:vAlign w:val="center"/>
          </w:tcPr>
          <w:p w14:paraId="317F4AA4">
            <w:pPr>
              <w:pStyle w:val="714"/>
              <w:rPr>
                <w:b/>
                <w:bCs/>
                <w:color w:val="auto"/>
              </w:rPr>
            </w:pPr>
            <w:r>
              <w:rPr>
                <w:b/>
                <w:bCs/>
                <w:color w:val="auto"/>
              </w:rPr>
              <w:t>2024</w:t>
            </w:r>
            <w:r>
              <w:rPr>
                <w:rFonts w:hint="eastAsia"/>
                <w:b/>
                <w:bCs/>
                <w:color w:val="auto"/>
              </w:rPr>
              <w:t>年</w:t>
            </w:r>
            <w:r>
              <w:rPr>
                <w:b/>
                <w:bCs/>
                <w:color w:val="auto"/>
              </w:rPr>
              <w:t>7</w:t>
            </w:r>
            <w:r>
              <w:rPr>
                <w:rFonts w:hint="eastAsia"/>
                <w:b/>
                <w:bCs/>
                <w:color w:val="auto"/>
              </w:rPr>
              <w:t>月丰水期</w:t>
            </w:r>
          </w:p>
        </w:tc>
      </w:tr>
      <w:tr w14:paraId="3BBBB7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63" w:type="pct"/>
            <w:vMerge w:val="continue"/>
            <w:tcBorders>
              <w:tl2br w:val="nil"/>
              <w:tr2bl w:val="nil"/>
            </w:tcBorders>
            <w:tcMar>
              <w:left w:w="28" w:type="dxa"/>
              <w:right w:w="28" w:type="dxa"/>
            </w:tcMar>
            <w:vAlign w:val="center"/>
          </w:tcPr>
          <w:p w14:paraId="75CC2D9C">
            <w:pPr>
              <w:pStyle w:val="714"/>
              <w:rPr>
                <w:b/>
                <w:bCs/>
                <w:color w:val="auto"/>
              </w:rPr>
            </w:pPr>
          </w:p>
        </w:tc>
        <w:tc>
          <w:tcPr>
            <w:tcW w:w="784" w:type="pct"/>
            <w:vMerge w:val="continue"/>
            <w:tcBorders>
              <w:tl2br w:val="nil"/>
              <w:tr2bl w:val="nil"/>
            </w:tcBorders>
            <w:tcMar>
              <w:left w:w="28" w:type="dxa"/>
              <w:right w:w="28" w:type="dxa"/>
            </w:tcMar>
            <w:vAlign w:val="center"/>
          </w:tcPr>
          <w:p w14:paraId="1C038C80">
            <w:pPr>
              <w:pStyle w:val="714"/>
              <w:rPr>
                <w:b/>
                <w:bCs/>
                <w:color w:val="auto"/>
              </w:rPr>
            </w:pPr>
          </w:p>
        </w:tc>
        <w:tc>
          <w:tcPr>
            <w:tcW w:w="597" w:type="pct"/>
            <w:vMerge w:val="continue"/>
            <w:tcBorders>
              <w:tl2br w:val="nil"/>
              <w:tr2bl w:val="nil"/>
            </w:tcBorders>
            <w:tcMar>
              <w:left w:w="28" w:type="dxa"/>
              <w:right w:w="28" w:type="dxa"/>
            </w:tcMar>
            <w:vAlign w:val="center"/>
          </w:tcPr>
          <w:p w14:paraId="6AB6E6CB">
            <w:pPr>
              <w:pStyle w:val="714"/>
              <w:rPr>
                <w:b/>
                <w:bCs/>
                <w:color w:val="auto"/>
              </w:rPr>
            </w:pPr>
          </w:p>
        </w:tc>
        <w:tc>
          <w:tcPr>
            <w:tcW w:w="585" w:type="pct"/>
            <w:vMerge w:val="continue"/>
            <w:tcBorders>
              <w:tl2br w:val="nil"/>
              <w:tr2bl w:val="nil"/>
            </w:tcBorders>
            <w:tcMar>
              <w:left w:w="28" w:type="dxa"/>
              <w:right w:w="28" w:type="dxa"/>
            </w:tcMar>
            <w:vAlign w:val="center"/>
          </w:tcPr>
          <w:p w14:paraId="1FCA9A98">
            <w:pPr>
              <w:pStyle w:val="714"/>
              <w:rPr>
                <w:b/>
                <w:bCs/>
                <w:color w:val="auto"/>
              </w:rPr>
            </w:pPr>
          </w:p>
        </w:tc>
        <w:tc>
          <w:tcPr>
            <w:tcW w:w="643" w:type="pct"/>
            <w:tcBorders>
              <w:tl2br w:val="nil"/>
              <w:tr2bl w:val="nil"/>
            </w:tcBorders>
            <w:shd w:val="clear" w:color="auto" w:fill="auto"/>
            <w:tcMar>
              <w:left w:w="28" w:type="dxa"/>
              <w:right w:w="28" w:type="dxa"/>
            </w:tcMar>
            <w:vAlign w:val="center"/>
          </w:tcPr>
          <w:p w14:paraId="112B8A0C">
            <w:pPr>
              <w:pStyle w:val="714"/>
              <w:rPr>
                <w:b/>
                <w:bCs/>
                <w:color w:val="auto"/>
              </w:rPr>
            </w:pPr>
            <w:r>
              <w:rPr>
                <w:rFonts w:hint="eastAsia"/>
                <w:b/>
                <w:bCs/>
                <w:color w:val="auto"/>
              </w:rPr>
              <w:t>水位埋深（</w:t>
            </w:r>
            <w:r>
              <w:rPr>
                <w:b/>
                <w:bCs/>
                <w:color w:val="auto"/>
              </w:rPr>
              <w:t>m</w:t>
            </w:r>
            <w:r>
              <w:rPr>
                <w:rFonts w:hint="eastAsia"/>
                <w:b/>
                <w:bCs/>
                <w:color w:val="auto"/>
              </w:rPr>
              <w:t>）</w:t>
            </w:r>
          </w:p>
        </w:tc>
        <w:tc>
          <w:tcPr>
            <w:tcW w:w="643" w:type="pct"/>
            <w:tcBorders>
              <w:tl2br w:val="nil"/>
              <w:tr2bl w:val="nil"/>
            </w:tcBorders>
            <w:shd w:val="clear" w:color="auto" w:fill="auto"/>
            <w:tcMar>
              <w:left w:w="28" w:type="dxa"/>
              <w:right w:w="28" w:type="dxa"/>
            </w:tcMar>
            <w:vAlign w:val="center"/>
          </w:tcPr>
          <w:p w14:paraId="0054F473">
            <w:pPr>
              <w:pStyle w:val="714"/>
              <w:rPr>
                <w:b/>
                <w:bCs/>
                <w:color w:val="auto"/>
              </w:rPr>
            </w:pPr>
            <w:r>
              <w:rPr>
                <w:rFonts w:hint="eastAsia"/>
                <w:b/>
                <w:bCs/>
                <w:color w:val="auto"/>
              </w:rPr>
              <w:t>水位高程（</w:t>
            </w:r>
            <w:r>
              <w:rPr>
                <w:b/>
                <w:bCs/>
                <w:color w:val="auto"/>
              </w:rPr>
              <w:t>m</w:t>
            </w:r>
            <w:r>
              <w:rPr>
                <w:rFonts w:hint="eastAsia"/>
                <w:b/>
                <w:bCs/>
                <w:color w:val="auto"/>
              </w:rPr>
              <w:t>）</w:t>
            </w:r>
          </w:p>
        </w:tc>
        <w:tc>
          <w:tcPr>
            <w:tcW w:w="643" w:type="pct"/>
            <w:tcBorders>
              <w:tl2br w:val="nil"/>
              <w:tr2bl w:val="nil"/>
            </w:tcBorders>
            <w:shd w:val="clear" w:color="auto" w:fill="auto"/>
            <w:tcMar>
              <w:left w:w="28" w:type="dxa"/>
              <w:right w:w="28" w:type="dxa"/>
            </w:tcMar>
            <w:vAlign w:val="center"/>
          </w:tcPr>
          <w:p w14:paraId="36DBEBFF">
            <w:pPr>
              <w:pStyle w:val="714"/>
              <w:rPr>
                <w:b/>
                <w:bCs/>
                <w:color w:val="auto"/>
              </w:rPr>
            </w:pPr>
            <w:r>
              <w:rPr>
                <w:rFonts w:hint="eastAsia"/>
                <w:b/>
                <w:bCs/>
                <w:color w:val="auto"/>
              </w:rPr>
              <w:t>水位埋深（</w:t>
            </w:r>
            <w:r>
              <w:rPr>
                <w:b/>
                <w:bCs/>
                <w:color w:val="auto"/>
              </w:rPr>
              <w:t>m</w:t>
            </w:r>
            <w:r>
              <w:rPr>
                <w:rFonts w:hint="eastAsia"/>
                <w:b/>
                <w:bCs/>
                <w:color w:val="auto"/>
              </w:rPr>
              <w:t>）</w:t>
            </w:r>
          </w:p>
        </w:tc>
        <w:tc>
          <w:tcPr>
            <w:tcW w:w="643" w:type="pct"/>
            <w:tcBorders>
              <w:tl2br w:val="nil"/>
              <w:tr2bl w:val="nil"/>
            </w:tcBorders>
            <w:shd w:val="clear" w:color="auto" w:fill="auto"/>
            <w:tcMar>
              <w:left w:w="28" w:type="dxa"/>
              <w:right w:w="28" w:type="dxa"/>
            </w:tcMar>
            <w:vAlign w:val="center"/>
          </w:tcPr>
          <w:p w14:paraId="4AF71F0B">
            <w:pPr>
              <w:pStyle w:val="714"/>
              <w:rPr>
                <w:b/>
                <w:bCs/>
                <w:color w:val="auto"/>
              </w:rPr>
            </w:pPr>
            <w:r>
              <w:rPr>
                <w:rFonts w:hint="eastAsia"/>
                <w:b/>
                <w:bCs/>
                <w:color w:val="auto"/>
              </w:rPr>
              <w:t>水位高程（</w:t>
            </w:r>
            <w:r>
              <w:rPr>
                <w:b/>
                <w:bCs/>
                <w:color w:val="auto"/>
              </w:rPr>
              <w:t>m</w:t>
            </w:r>
            <w:r>
              <w:rPr>
                <w:rFonts w:hint="eastAsia"/>
                <w:b/>
                <w:bCs/>
                <w:color w:val="auto"/>
              </w:rPr>
              <w:t>）</w:t>
            </w:r>
          </w:p>
        </w:tc>
      </w:tr>
      <w:tr w14:paraId="005F62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0C351F5B">
            <w:pPr>
              <w:pStyle w:val="714"/>
              <w:rPr>
                <w:color w:val="auto"/>
              </w:rPr>
            </w:pPr>
            <w:r>
              <w:rPr>
                <w:color w:val="auto"/>
              </w:rPr>
              <w:t>1#</w:t>
            </w:r>
          </w:p>
        </w:tc>
        <w:tc>
          <w:tcPr>
            <w:tcW w:w="784" w:type="pct"/>
            <w:tcBorders>
              <w:tl2br w:val="nil"/>
              <w:tr2bl w:val="nil"/>
            </w:tcBorders>
            <w:shd w:val="clear" w:color="auto" w:fill="auto"/>
            <w:tcMar>
              <w:left w:w="28" w:type="dxa"/>
              <w:right w:w="28" w:type="dxa"/>
            </w:tcMar>
            <w:vAlign w:val="center"/>
          </w:tcPr>
          <w:p w14:paraId="4115DF89">
            <w:pPr>
              <w:pStyle w:val="714"/>
              <w:rPr>
                <w:color w:val="auto"/>
              </w:rPr>
            </w:pPr>
            <w:r>
              <w:rPr>
                <w:color w:val="auto"/>
              </w:rPr>
              <w:t>106.5314243</w:t>
            </w:r>
          </w:p>
        </w:tc>
        <w:tc>
          <w:tcPr>
            <w:tcW w:w="597" w:type="pct"/>
            <w:tcBorders>
              <w:tl2br w:val="nil"/>
              <w:tr2bl w:val="nil"/>
            </w:tcBorders>
            <w:shd w:val="clear" w:color="auto" w:fill="auto"/>
            <w:tcMar>
              <w:left w:w="28" w:type="dxa"/>
              <w:right w:w="28" w:type="dxa"/>
            </w:tcMar>
            <w:vAlign w:val="center"/>
          </w:tcPr>
          <w:p w14:paraId="5492BF2C">
            <w:pPr>
              <w:pStyle w:val="714"/>
              <w:rPr>
                <w:color w:val="auto"/>
              </w:rPr>
            </w:pPr>
            <w:r>
              <w:rPr>
                <w:color w:val="auto"/>
              </w:rPr>
              <w:t>31.45212</w:t>
            </w:r>
          </w:p>
        </w:tc>
        <w:tc>
          <w:tcPr>
            <w:tcW w:w="585" w:type="pct"/>
            <w:tcBorders>
              <w:tl2br w:val="nil"/>
              <w:tr2bl w:val="nil"/>
            </w:tcBorders>
            <w:shd w:val="clear" w:color="auto" w:fill="auto"/>
            <w:tcMar>
              <w:left w:w="28" w:type="dxa"/>
              <w:right w:w="28" w:type="dxa"/>
            </w:tcMar>
            <w:vAlign w:val="center"/>
          </w:tcPr>
          <w:p w14:paraId="5FE7FB8D">
            <w:pPr>
              <w:pStyle w:val="714"/>
              <w:rPr>
                <w:color w:val="auto"/>
              </w:rPr>
            </w:pPr>
            <w:r>
              <w:rPr>
                <w:color w:val="auto"/>
              </w:rPr>
              <w:t xml:space="preserve">333.38 </w:t>
            </w:r>
          </w:p>
        </w:tc>
        <w:tc>
          <w:tcPr>
            <w:tcW w:w="643" w:type="pct"/>
            <w:tcBorders>
              <w:tl2br w:val="nil"/>
              <w:tr2bl w:val="nil"/>
            </w:tcBorders>
            <w:shd w:val="clear" w:color="auto" w:fill="auto"/>
            <w:tcMar>
              <w:left w:w="28" w:type="dxa"/>
              <w:right w:w="28" w:type="dxa"/>
            </w:tcMar>
            <w:vAlign w:val="center"/>
          </w:tcPr>
          <w:p w14:paraId="4DA62C21">
            <w:pPr>
              <w:pStyle w:val="714"/>
              <w:rPr>
                <w:color w:val="auto"/>
              </w:rPr>
            </w:pPr>
            <w:r>
              <w:rPr>
                <w:color w:val="auto"/>
              </w:rPr>
              <w:t xml:space="preserve">0.61 </w:t>
            </w:r>
          </w:p>
        </w:tc>
        <w:tc>
          <w:tcPr>
            <w:tcW w:w="643" w:type="pct"/>
            <w:tcBorders>
              <w:tl2br w:val="nil"/>
              <w:tr2bl w:val="nil"/>
            </w:tcBorders>
            <w:shd w:val="clear" w:color="auto" w:fill="auto"/>
            <w:tcMar>
              <w:left w:w="28" w:type="dxa"/>
              <w:right w:w="28" w:type="dxa"/>
            </w:tcMar>
            <w:vAlign w:val="center"/>
          </w:tcPr>
          <w:p w14:paraId="7A04BE5E">
            <w:pPr>
              <w:pStyle w:val="714"/>
              <w:rPr>
                <w:color w:val="auto"/>
              </w:rPr>
            </w:pPr>
            <w:r>
              <w:rPr>
                <w:color w:val="auto"/>
              </w:rPr>
              <w:t xml:space="preserve">332.77 </w:t>
            </w:r>
          </w:p>
        </w:tc>
        <w:tc>
          <w:tcPr>
            <w:tcW w:w="643" w:type="pct"/>
            <w:tcBorders>
              <w:tl2br w:val="nil"/>
              <w:tr2bl w:val="nil"/>
            </w:tcBorders>
            <w:shd w:val="clear" w:color="auto" w:fill="auto"/>
            <w:tcMar>
              <w:left w:w="28" w:type="dxa"/>
              <w:right w:w="28" w:type="dxa"/>
            </w:tcMar>
            <w:vAlign w:val="center"/>
          </w:tcPr>
          <w:p w14:paraId="09B29B38">
            <w:pPr>
              <w:pStyle w:val="714"/>
              <w:rPr>
                <w:color w:val="auto"/>
                <w:szCs w:val="21"/>
              </w:rPr>
            </w:pPr>
            <w:r>
              <w:rPr>
                <w:color w:val="auto"/>
                <w:szCs w:val="21"/>
              </w:rPr>
              <w:t>0.</w:t>
            </w:r>
            <w:r>
              <w:rPr>
                <w:rFonts w:hint="eastAsia"/>
                <w:color w:val="auto"/>
                <w:szCs w:val="21"/>
              </w:rPr>
              <w:t>10</w:t>
            </w:r>
            <w:r>
              <w:rPr>
                <w:color w:val="auto"/>
                <w:szCs w:val="21"/>
              </w:rPr>
              <w:t xml:space="preserve"> </w:t>
            </w:r>
          </w:p>
        </w:tc>
        <w:tc>
          <w:tcPr>
            <w:tcW w:w="643" w:type="pct"/>
            <w:tcBorders>
              <w:tl2br w:val="nil"/>
              <w:tr2bl w:val="nil"/>
            </w:tcBorders>
            <w:shd w:val="clear" w:color="auto" w:fill="auto"/>
            <w:tcMar>
              <w:left w:w="28" w:type="dxa"/>
              <w:right w:w="28" w:type="dxa"/>
            </w:tcMar>
            <w:vAlign w:val="center"/>
          </w:tcPr>
          <w:p w14:paraId="657E0A0E">
            <w:pPr>
              <w:pStyle w:val="714"/>
              <w:rPr>
                <w:color w:val="auto"/>
              </w:rPr>
            </w:pPr>
            <w:r>
              <w:rPr>
                <w:color w:val="auto"/>
              </w:rPr>
              <w:t>333.</w:t>
            </w:r>
            <w:r>
              <w:rPr>
                <w:rFonts w:hint="eastAsia"/>
                <w:color w:val="auto"/>
              </w:rPr>
              <w:t>26</w:t>
            </w:r>
            <w:r>
              <w:rPr>
                <w:color w:val="auto"/>
              </w:rPr>
              <w:t xml:space="preserve"> </w:t>
            </w:r>
          </w:p>
        </w:tc>
      </w:tr>
      <w:tr w14:paraId="73459B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2AD97A22">
            <w:pPr>
              <w:pStyle w:val="714"/>
              <w:rPr>
                <w:color w:val="auto"/>
              </w:rPr>
            </w:pPr>
            <w:r>
              <w:rPr>
                <w:color w:val="auto"/>
              </w:rPr>
              <w:t>2#</w:t>
            </w:r>
          </w:p>
        </w:tc>
        <w:tc>
          <w:tcPr>
            <w:tcW w:w="784" w:type="pct"/>
            <w:tcBorders>
              <w:tl2br w:val="nil"/>
              <w:tr2bl w:val="nil"/>
            </w:tcBorders>
            <w:shd w:val="clear" w:color="auto" w:fill="auto"/>
            <w:tcMar>
              <w:left w:w="28" w:type="dxa"/>
              <w:right w:w="28" w:type="dxa"/>
            </w:tcMar>
            <w:vAlign w:val="center"/>
          </w:tcPr>
          <w:p w14:paraId="77FFE096">
            <w:pPr>
              <w:pStyle w:val="714"/>
              <w:rPr>
                <w:color w:val="auto"/>
              </w:rPr>
            </w:pPr>
            <w:r>
              <w:rPr>
                <w:color w:val="auto"/>
              </w:rPr>
              <w:t>106.5323725</w:t>
            </w:r>
          </w:p>
        </w:tc>
        <w:tc>
          <w:tcPr>
            <w:tcW w:w="597" w:type="pct"/>
            <w:tcBorders>
              <w:tl2br w:val="nil"/>
              <w:tr2bl w:val="nil"/>
            </w:tcBorders>
            <w:shd w:val="clear" w:color="auto" w:fill="auto"/>
            <w:tcMar>
              <w:left w:w="28" w:type="dxa"/>
              <w:right w:w="28" w:type="dxa"/>
            </w:tcMar>
            <w:vAlign w:val="center"/>
          </w:tcPr>
          <w:p w14:paraId="58CE4987">
            <w:pPr>
              <w:pStyle w:val="714"/>
              <w:rPr>
                <w:color w:val="auto"/>
              </w:rPr>
            </w:pPr>
            <w:r>
              <w:rPr>
                <w:color w:val="auto"/>
              </w:rPr>
              <w:t>31.45232</w:t>
            </w:r>
          </w:p>
        </w:tc>
        <w:tc>
          <w:tcPr>
            <w:tcW w:w="585" w:type="pct"/>
            <w:tcBorders>
              <w:tl2br w:val="nil"/>
              <w:tr2bl w:val="nil"/>
            </w:tcBorders>
            <w:shd w:val="clear" w:color="auto" w:fill="auto"/>
            <w:tcMar>
              <w:left w:w="28" w:type="dxa"/>
              <w:right w:w="28" w:type="dxa"/>
            </w:tcMar>
            <w:vAlign w:val="center"/>
          </w:tcPr>
          <w:p w14:paraId="23C44FE6">
            <w:pPr>
              <w:pStyle w:val="714"/>
              <w:rPr>
                <w:color w:val="auto"/>
              </w:rPr>
            </w:pPr>
            <w:r>
              <w:rPr>
                <w:color w:val="auto"/>
              </w:rPr>
              <w:t xml:space="preserve">342.53 </w:t>
            </w:r>
          </w:p>
        </w:tc>
        <w:tc>
          <w:tcPr>
            <w:tcW w:w="643" w:type="pct"/>
            <w:tcBorders>
              <w:tl2br w:val="nil"/>
              <w:tr2bl w:val="nil"/>
            </w:tcBorders>
            <w:shd w:val="clear" w:color="auto" w:fill="auto"/>
            <w:tcMar>
              <w:left w:w="28" w:type="dxa"/>
              <w:right w:w="28" w:type="dxa"/>
            </w:tcMar>
            <w:vAlign w:val="center"/>
          </w:tcPr>
          <w:p w14:paraId="71E6F0F9">
            <w:pPr>
              <w:pStyle w:val="714"/>
              <w:rPr>
                <w:color w:val="auto"/>
              </w:rPr>
            </w:pPr>
            <w:r>
              <w:rPr>
                <w:color w:val="auto"/>
              </w:rPr>
              <w:t xml:space="preserve">2.81 </w:t>
            </w:r>
          </w:p>
        </w:tc>
        <w:tc>
          <w:tcPr>
            <w:tcW w:w="643" w:type="pct"/>
            <w:tcBorders>
              <w:tl2br w:val="nil"/>
              <w:tr2bl w:val="nil"/>
            </w:tcBorders>
            <w:shd w:val="clear" w:color="auto" w:fill="auto"/>
            <w:tcMar>
              <w:left w:w="28" w:type="dxa"/>
              <w:right w:w="28" w:type="dxa"/>
            </w:tcMar>
            <w:vAlign w:val="center"/>
          </w:tcPr>
          <w:p w14:paraId="55E4A632">
            <w:pPr>
              <w:pStyle w:val="714"/>
              <w:rPr>
                <w:color w:val="auto"/>
              </w:rPr>
            </w:pPr>
            <w:r>
              <w:rPr>
                <w:color w:val="auto"/>
              </w:rPr>
              <w:t xml:space="preserve">339.72 </w:t>
            </w:r>
          </w:p>
        </w:tc>
        <w:tc>
          <w:tcPr>
            <w:tcW w:w="643" w:type="pct"/>
            <w:tcBorders>
              <w:tl2br w:val="nil"/>
              <w:tr2bl w:val="nil"/>
            </w:tcBorders>
            <w:shd w:val="clear" w:color="auto" w:fill="auto"/>
            <w:tcMar>
              <w:left w:w="28" w:type="dxa"/>
              <w:right w:w="28" w:type="dxa"/>
            </w:tcMar>
            <w:vAlign w:val="center"/>
          </w:tcPr>
          <w:p w14:paraId="534BCEB9">
            <w:pPr>
              <w:pStyle w:val="714"/>
              <w:rPr>
                <w:color w:val="auto"/>
                <w:szCs w:val="21"/>
              </w:rPr>
            </w:pPr>
            <w:r>
              <w:rPr>
                <w:color w:val="auto"/>
                <w:szCs w:val="21"/>
              </w:rPr>
              <w:t xml:space="preserve">2.41 </w:t>
            </w:r>
          </w:p>
        </w:tc>
        <w:tc>
          <w:tcPr>
            <w:tcW w:w="643" w:type="pct"/>
            <w:tcBorders>
              <w:tl2br w:val="nil"/>
              <w:tr2bl w:val="nil"/>
            </w:tcBorders>
            <w:shd w:val="clear" w:color="auto" w:fill="auto"/>
            <w:tcMar>
              <w:left w:w="28" w:type="dxa"/>
              <w:right w:w="28" w:type="dxa"/>
            </w:tcMar>
            <w:vAlign w:val="center"/>
          </w:tcPr>
          <w:p w14:paraId="0CFF6409">
            <w:pPr>
              <w:pStyle w:val="714"/>
              <w:rPr>
                <w:color w:val="auto"/>
              </w:rPr>
            </w:pPr>
            <w:r>
              <w:rPr>
                <w:color w:val="auto"/>
              </w:rPr>
              <w:t xml:space="preserve">340.12 </w:t>
            </w:r>
          </w:p>
        </w:tc>
      </w:tr>
      <w:tr w14:paraId="7E6D67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545D1F9A">
            <w:pPr>
              <w:pStyle w:val="714"/>
              <w:rPr>
                <w:color w:val="auto"/>
              </w:rPr>
            </w:pPr>
            <w:r>
              <w:rPr>
                <w:color w:val="auto"/>
              </w:rPr>
              <w:t>3#</w:t>
            </w:r>
          </w:p>
        </w:tc>
        <w:tc>
          <w:tcPr>
            <w:tcW w:w="784" w:type="pct"/>
            <w:tcBorders>
              <w:tl2br w:val="nil"/>
              <w:tr2bl w:val="nil"/>
            </w:tcBorders>
            <w:shd w:val="clear" w:color="auto" w:fill="auto"/>
            <w:tcMar>
              <w:left w:w="28" w:type="dxa"/>
              <w:right w:w="28" w:type="dxa"/>
            </w:tcMar>
            <w:vAlign w:val="center"/>
          </w:tcPr>
          <w:p w14:paraId="35214C5C">
            <w:pPr>
              <w:pStyle w:val="714"/>
              <w:rPr>
                <w:color w:val="auto"/>
              </w:rPr>
            </w:pPr>
            <w:r>
              <w:rPr>
                <w:color w:val="auto"/>
              </w:rPr>
              <w:t>106.5315103</w:t>
            </w:r>
          </w:p>
        </w:tc>
        <w:tc>
          <w:tcPr>
            <w:tcW w:w="597" w:type="pct"/>
            <w:tcBorders>
              <w:tl2br w:val="nil"/>
              <w:tr2bl w:val="nil"/>
            </w:tcBorders>
            <w:shd w:val="clear" w:color="auto" w:fill="auto"/>
            <w:tcMar>
              <w:left w:w="28" w:type="dxa"/>
              <w:right w:w="28" w:type="dxa"/>
            </w:tcMar>
            <w:vAlign w:val="center"/>
          </w:tcPr>
          <w:p w14:paraId="75B6D389">
            <w:pPr>
              <w:pStyle w:val="714"/>
              <w:rPr>
                <w:color w:val="auto"/>
              </w:rPr>
            </w:pPr>
            <w:r>
              <w:rPr>
                <w:color w:val="auto"/>
              </w:rPr>
              <w:t>31.45224</w:t>
            </w:r>
          </w:p>
        </w:tc>
        <w:tc>
          <w:tcPr>
            <w:tcW w:w="585" w:type="pct"/>
            <w:tcBorders>
              <w:tl2br w:val="nil"/>
              <w:tr2bl w:val="nil"/>
            </w:tcBorders>
            <w:shd w:val="clear" w:color="auto" w:fill="auto"/>
            <w:tcMar>
              <w:left w:w="28" w:type="dxa"/>
              <w:right w:w="28" w:type="dxa"/>
            </w:tcMar>
            <w:vAlign w:val="center"/>
          </w:tcPr>
          <w:p w14:paraId="01112994">
            <w:pPr>
              <w:pStyle w:val="714"/>
              <w:rPr>
                <w:color w:val="auto"/>
              </w:rPr>
            </w:pPr>
            <w:r>
              <w:rPr>
                <w:color w:val="auto"/>
              </w:rPr>
              <w:t xml:space="preserve">337.88 </w:t>
            </w:r>
          </w:p>
        </w:tc>
        <w:tc>
          <w:tcPr>
            <w:tcW w:w="643" w:type="pct"/>
            <w:tcBorders>
              <w:tl2br w:val="nil"/>
              <w:tr2bl w:val="nil"/>
            </w:tcBorders>
            <w:shd w:val="clear" w:color="auto" w:fill="auto"/>
            <w:tcMar>
              <w:left w:w="28" w:type="dxa"/>
              <w:right w:w="28" w:type="dxa"/>
            </w:tcMar>
            <w:vAlign w:val="center"/>
          </w:tcPr>
          <w:p w14:paraId="628DA18D">
            <w:pPr>
              <w:pStyle w:val="714"/>
              <w:rPr>
                <w:color w:val="auto"/>
              </w:rPr>
            </w:pPr>
            <w:r>
              <w:rPr>
                <w:color w:val="auto"/>
              </w:rPr>
              <w:t xml:space="preserve">1.72 </w:t>
            </w:r>
          </w:p>
        </w:tc>
        <w:tc>
          <w:tcPr>
            <w:tcW w:w="643" w:type="pct"/>
            <w:tcBorders>
              <w:tl2br w:val="nil"/>
              <w:tr2bl w:val="nil"/>
            </w:tcBorders>
            <w:shd w:val="clear" w:color="auto" w:fill="auto"/>
            <w:tcMar>
              <w:left w:w="28" w:type="dxa"/>
              <w:right w:w="28" w:type="dxa"/>
            </w:tcMar>
            <w:vAlign w:val="center"/>
          </w:tcPr>
          <w:p w14:paraId="63CD6891">
            <w:pPr>
              <w:pStyle w:val="714"/>
              <w:rPr>
                <w:color w:val="auto"/>
              </w:rPr>
            </w:pPr>
            <w:r>
              <w:rPr>
                <w:color w:val="auto"/>
              </w:rPr>
              <w:t xml:space="preserve">336.16 </w:t>
            </w:r>
          </w:p>
        </w:tc>
        <w:tc>
          <w:tcPr>
            <w:tcW w:w="643" w:type="pct"/>
            <w:tcBorders>
              <w:tl2br w:val="nil"/>
              <w:tr2bl w:val="nil"/>
            </w:tcBorders>
            <w:shd w:val="clear" w:color="auto" w:fill="auto"/>
            <w:tcMar>
              <w:left w:w="28" w:type="dxa"/>
              <w:right w:w="28" w:type="dxa"/>
            </w:tcMar>
            <w:vAlign w:val="center"/>
          </w:tcPr>
          <w:p w14:paraId="131D599C">
            <w:pPr>
              <w:pStyle w:val="714"/>
              <w:rPr>
                <w:color w:val="auto"/>
                <w:szCs w:val="21"/>
              </w:rPr>
            </w:pPr>
            <w:r>
              <w:rPr>
                <w:color w:val="auto"/>
                <w:szCs w:val="21"/>
              </w:rPr>
              <w:t xml:space="preserve">1.22 </w:t>
            </w:r>
          </w:p>
        </w:tc>
        <w:tc>
          <w:tcPr>
            <w:tcW w:w="643" w:type="pct"/>
            <w:tcBorders>
              <w:tl2br w:val="nil"/>
              <w:tr2bl w:val="nil"/>
            </w:tcBorders>
            <w:shd w:val="clear" w:color="auto" w:fill="auto"/>
            <w:tcMar>
              <w:left w:w="28" w:type="dxa"/>
              <w:right w:w="28" w:type="dxa"/>
            </w:tcMar>
            <w:vAlign w:val="center"/>
          </w:tcPr>
          <w:p w14:paraId="3B761441">
            <w:pPr>
              <w:pStyle w:val="714"/>
              <w:rPr>
                <w:color w:val="auto"/>
              </w:rPr>
            </w:pPr>
            <w:r>
              <w:rPr>
                <w:color w:val="auto"/>
              </w:rPr>
              <w:t xml:space="preserve">336.66 </w:t>
            </w:r>
          </w:p>
        </w:tc>
      </w:tr>
      <w:tr w14:paraId="422DC9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34B290F6">
            <w:pPr>
              <w:pStyle w:val="714"/>
              <w:rPr>
                <w:color w:val="auto"/>
              </w:rPr>
            </w:pPr>
            <w:r>
              <w:rPr>
                <w:color w:val="auto"/>
              </w:rPr>
              <w:t>4#</w:t>
            </w:r>
          </w:p>
        </w:tc>
        <w:tc>
          <w:tcPr>
            <w:tcW w:w="784" w:type="pct"/>
            <w:tcBorders>
              <w:tl2br w:val="nil"/>
              <w:tr2bl w:val="nil"/>
            </w:tcBorders>
            <w:shd w:val="clear" w:color="auto" w:fill="auto"/>
            <w:tcMar>
              <w:left w:w="28" w:type="dxa"/>
              <w:right w:w="28" w:type="dxa"/>
            </w:tcMar>
            <w:vAlign w:val="center"/>
          </w:tcPr>
          <w:p w14:paraId="69990CD7">
            <w:pPr>
              <w:pStyle w:val="714"/>
              <w:rPr>
                <w:color w:val="auto"/>
              </w:rPr>
            </w:pPr>
            <w:r>
              <w:rPr>
                <w:color w:val="auto"/>
              </w:rPr>
              <w:t>106.5332358</w:t>
            </w:r>
          </w:p>
        </w:tc>
        <w:tc>
          <w:tcPr>
            <w:tcW w:w="597" w:type="pct"/>
            <w:tcBorders>
              <w:tl2br w:val="nil"/>
              <w:tr2bl w:val="nil"/>
            </w:tcBorders>
            <w:shd w:val="clear" w:color="auto" w:fill="auto"/>
            <w:tcMar>
              <w:left w:w="28" w:type="dxa"/>
              <w:right w:w="28" w:type="dxa"/>
            </w:tcMar>
            <w:vAlign w:val="center"/>
          </w:tcPr>
          <w:p w14:paraId="12491837">
            <w:pPr>
              <w:pStyle w:val="714"/>
              <w:rPr>
                <w:color w:val="auto"/>
              </w:rPr>
            </w:pPr>
            <w:r>
              <w:rPr>
                <w:color w:val="auto"/>
              </w:rPr>
              <w:t>31.45119</w:t>
            </w:r>
          </w:p>
        </w:tc>
        <w:tc>
          <w:tcPr>
            <w:tcW w:w="585" w:type="pct"/>
            <w:tcBorders>
              <w:tl2br w:val="nil"/>
              <w:tr2bl w:val="nil"/>
            </w:tcBorders>
            <w:shd w:val="clear" w:color="auto" w:fill="auto"/>
            <w:tcMar>
              <w:left w:w="28" w:type="dxa"/>
              <w:right w:w="28" w:type="dxa"/>
            </w:tcMar>
            <w:vAlign w:val="center"/>
          </w:tcPr>
          <w:p w14:paraId="076945F1">
            <w:pPr>
              <w:pStyle w:val="714"/>
              <w:rPr>
                <w:color w:val="auto"/>
              </w:rPr>
            </w:pPr>
            <w:r>
              <w:rPr>
                <w:color w:val="auto"/>
              </w:rPr>
              <w:t xml:space="preserve">334.55 </w:t>
            </w:r>
          </w:p>
        </w:tc>
        <w:tc>
          <w:tcPr>
            <w:tcW w:w="643" w:type="pct"/>
            <w:tcBorders>
              <w:tl2br w:val="nil"/>
              <w:tr2bl w:val="nil"/>
            </w:tcBorders>
            <w:shd w:val="clear" w:color="auto" w:fill="auto"/>
            <w:tcMar>
              <w:left w:w="28" w:type="dxa"/>
              <w:right w:w="28" w:type="dxa"/>
            </w:tcMar>
            <w:vAlign w:val="center"/>
          </w:tcPr>
          <w:p w14:paraId="3DDA5233">
            <w:pPr>
              <w:pStyle w:val="714"/>
              <w:rPr>
                <w:color w:val="auto"/>
              </w:rPr>
            </w:pPr>
            <w:r>
              <w:rPr>
                <w:color w:val="auto"/>
              </w:rPr>
              <w:t xml:space="preserve">2.61 </w:t>
            </w:r>
          </w:p>
        </w:tc>
        <w:tc>
          <w:tcPr>
            <w:tcW w:w="643" w:type="pct"/>
            <w:tcBorders>
              <w:tl2br w:val="nil"/>
              <w:tr2bl w:val="nil"/>
            </w:tcBorders>
            <w:shd w:val="clear" w:color="auto" w:fill="auto"/>
            <w:tcMar>
              <w:left w:w="28" w:type="dxa"/>
              <w:right w:w="28" w:type="dxa"/>
            </w:tcMar>
            <w:vAlign w:val="center"/>
          </w:tcPr>
          <w:p w14:paraId="799E8193">
            <w:pPr>
              <w:pStyle w:val="714"/>
              <w:rPr>
                <w:color w:val="auto"/>
              </w:rPr>
            </w:pPr>
            <w:r>
              <w:rPr>
                <w:color w:val="auto"/>
              </w:rPr>
              <w:t xml:space="preserve">331.94 </w:t>
            </w:r>
          </w:p>
        </w:tc>
        <w:tc>
          <w:tcPr>
            <w:tcW w:w="643" w:type="pct"/>
            <w:tcBorders>
              <w:tl2br w:val="nil"/>
              <w:tr2bl w:val="nil"/>
            </w:tcBorders>
            <w:shd w:val="clear" w:color="auto" w:fill="auto"/>
            <w:tcMar>
              <w:left w:w="28" w:type="dxa"/>
              <w:right w:w="28" w:type="dxa"/>
            </w:tcMar>
            <w:vAlign w:val="center"/>
          </w:tcPr>
          <w:p w14:paraId="630E8F41">
            <w:pPr>
              <w:pStyle w:val="714"/>
              <w:rPr>
                <w:color w:val="auto"/>
                <w:szCs w:val="21"/>
              </w:rPr>
            </w:pPr>
            <w:r>
              <w:rPr>
                <w:color w:val="auto"/>
                <w:szCs w:val="21"/>
              </w:rPr>
              <w:t xml:space="preserve">2.31 </w:t>
            </w:r>
          </w:p>
        </w:tc>
        <w:tc>
          <w:tcPr>
            <w:tcW w:w="643" w:type="pct"/>
            <w:tcBorders>
              <w:tl2br w:val="nil"/>
              <w:tr2bl w:val="nil"/>
            </w:tcBorders>
            <w:shd w:val="clear" w:color="auto" w:fill="auto"/>
            <w:tcMar>
              <w:left w:w="28" w:type="dxa"/>
              <w:right w:w="28" w:type="dxa"/>
            </w:tcMar>
            <w:vAlign w:val="center"/>
          </w:tcPr>
          <w:p w14:paraId="5EAAF8B9">
            <w:pPr>
              <w:pStyle w:val="714"/>
              <w:rPr>
                <w:color w:val="auto"/>
              </w:rPr>
            </w:pPr>
            <w:r>
              <w:rPr>
                <w:color w:val="auto"/>
              </w:rPr>
              <w:t xml:space="preserve">332.24 </w:t>
            </w:r>
          </w:p>
        </w:tc>
      </w:tr>
      <w:tr w14:paraId="68292E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6DBE62A1">
            <w:pPr>
              <w:pStyle w:val="714"/>
              <w:rPr>
                <w:color w:val="auto"/>
              </w:rPr>
            </w:pPr>
            <w:r>
              <w:rPr>
                <w:color w:val="auto"/>
              </w:rPr>
              <w:t>5#</w:t>
            </w:r>
          </w:p>
        </w:tc>
        <w:tc>
          <w:tcPr>
            <w:tcW w:w="784" w:type="pct"/>
            <w:tcBorders>
              <w:tl2br w:val="nil"/>
              <w:tr2bl w:val="nil"/>
            </w:tcBorders>
            <w:shd w:val="clear" w:color="auto" w:fill="auto"/>
            <w:tcMar>
              <w:left w:w="28" w:type="dxa"/>
              <w:right w:w="28" w:type="dxa"/>
            </w:tcMar>
            <w:vAlign w:val="center"/>
          </w:tcPr>
          <w:p w14:paraId="0E7B1E82">
            <w:pPr>
              <w:pStyle w:val="714"/>
              <w:rPr>
                <w:color w:val="auto"/>
              </w:rPr>
            </w:pPr>
            <w:r>
              <w:rPr>
                <w:color w:val="auto"/>
              </w:rPr>
              <w:t>106.5330697</w:t>
            </w:r>
          </w:p>
        </w:tc>
        <w:tc>
          <w:tcPr>
            <w:tcW w:w="597" w:type="pct"/>
            <w:tcBorders>
              <w:tl2br w:val="nil"/>
              <w:tr2bl w:val="nil"/>
            </w:tcBorders>
            <w:shd w:val="clear" w:color="auto" w:fill="auto"/>
            <w:tcMar>
              <w:left w:w="28" w:type="dxa"/>
              <w:right w:w="28" w:type="dxa"/>
            </w:tcMar>
            <w:vAlign w:val="center"/>
          </w:tcPr>
          <w:p w14:paraId="337D7477">
            <w:pPr>
              <w:pStyle w:val="714"/>
              <w:rPr>
                <w:color w:val="auto"/>
              </w:rPr>
            </w:pPr>
            <w:r>
              <w:rPr>
                <w:color w:val="auto"/>
              </w:rPr>
              <w:t>31.4516</w:t>
            </w:r>
          </w:p>
        </w:tc>
        <w:tc>
          <w:tcPr>
            <w:tcW w:w="585" w:type="pct"/>
            <w:tcBorders>
              <w:tl2br w:val="nil"/>
              <w:tr2bl w:val="nil"/>
            </w:tcBorders>
            <w:shd w:val="clear" w:color="auto" w:fill="auto"/>
            <w:tcMar>
              <w:left w:w="28" w:type="dxa"/>
              <w:right w:w="28" w:type="dxa"/>
            </w:tcMar>
            <w:vAlign w:val="center"/>
          </w:tcPr>
          <w:p w14:paraId="53520397">
            <w:pPr>
              <w:pStyle w:val="714"/>
              <w:rPr>
                <w:color w:val="auto"/>
              </w:rPr>
            </w:pPr>
            <w:r>
              <w:rPr>
                <w:color w:val="auto"/>
              </w:rPr>
              <w:t xml:space="preserve">329.14 </w:t>
            </w:r>
          </w:p>
        </w:tc>
        <w:tc>
          <w:tcPr>
            <w:tcW w:w="643" w:type="pct"/>
            <w:tcBorders>
              <w:tl2br w:val="nil"/>
              <w:tr2bl w:val="nil"/>
            </w:tcBorders>
            <w:shd w:val="clear" w:color="auto" w:fill="auto"/>
            <w:tcMar>
              <w:left w:w="28" w:type="dxa"/>
              <w:right w:w="28" w:type="dxa"/>
            </w:tcMar>
            <w:vAlign w:val="center"/>
          </w:tcPr>
          <w:p w14:paraId="1A9D3257">
            <w:pPr>
              <w:pStyle w:val="714"/>
              <w:rPr>
                <w:color w:val="auto"/>
              </w:rPr>
            </w:pPr>
            <w:r>
              <w:rPr>
                <w:color w:val="auto"/>
              </w:rPr>
              <w:t xml:space="preserve">0.77 </w:t>
            </w:r>
          </w:p>
        </w:tc>
        <w:tc>
          <w:tcPr>
            <w:tcW w:w="643" w:type="pct"/>
            <w:tcBorders>
              <w:tl2br w:val="nil"/>
              <w:tr2bl w:val="nil"/>
            </w:tcBorders>
            <w:shd w:val="clear" w:color="auto" w:fill="auto"/>
            <w:tcMar>
              <w:left w:w="28" w:type="dxa"/>
              <w:right w:w="28" w:type="dxa"/>
            </w:tcMar>
            <w:vAlign w:val="center"/>
          </w:tcPr>
          <w:p w14:paraId="3D0F46FA">
            <w:pPr>
              <w:pStyle w:val="714"/>
              <w:rPr>
                <w:color w:val="auto"/>
              </w:rPr>
            </w:pPr>
            <w:r>
              <w:rPr>
                <w:color w:val="auto"/>
              </w:rPr>
              <w:t xml:space="preserve">328.37 </w:t>
            </w:r>
          </w:p>
        </w:tc>
        <w:tc>
          <w:tcPr>
            <w:tcW w:w="643" w:type="pct"/>
            <w:tcBorders>
              <w:tl2br w:val="nil"/>
              <w:tr2bl w:val="nil"/>
            </w:tcBorders>
            <w:shd w:val="clear" w:color="auto" w:fill="auto"/>
            <w:tcMar>
              <w:left w:w="28" w:type="dxa"/>
              <w:right w:w="28" w:type="dxa"/>
            </w:tcMar>
            <w:vAlign w:val="center"/>
          </w:tcPr>
          <w:p w14:paraId="637219A2">
            <w:pPr>
              <w:pStyle w:val="714"/>
              <w:rPr>
                <w:color w:val="auto"/>
                <w:szCs w:val="21"/>
              </w:rPr>
            </w:pPr>
            <w:r>
              <w:rPr>
                <w:color w:val="auto"/>
                <w:szCs w:val="21"/>
              </w:rPr>
              <w:t xml:space="preserve">0.57 </w:t>
            </w:r>
          </w:p>
        </w:tc>
        <w:tc>
          <w:tcPr>
            <w:tcW w:w="643" w:type="pct"/>
            <w:tcBorders>
              <w:tl2br w:val="nil"/>
              <w:tr2bl w:val="nil"/>
            </w:tcBorders>
            <w:shd w:val="clear" w:color="auto" w:fill="auto"/>
            <w:tcMar>
              <w:left w:w="28" w:type="dxa"/>
              <w:right w:w="28" w:type="dxa"/>
            </w:tcMar>
            <w:vAlign w:val="center"/>
          </w:tcPr>
          <w:p w14:paraId="3093E6BB">
            <w:pPr>
              <w:pStyle w:val="714"/>
              <w:rPr>
                <w:color w:val="auto"/>
              </w:rPr>
            </w:pPr>
            <w:r>
              <w:rPr>
                <w:color w:val="auto"/>
              </w:rPr>
              <w:t xml:space="preserve">328.57 </w:t>
            </w:r>
          </w:p>
        </w:tc>
      </w:tr>
      <w:tr w14:paraId="6D21E0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76B98784">
            <w:pPr>
              <w:pStyle w:val="714"/>
              <w:rPr>
                <w:color w:val="auto"/>
              </w:rPr>
            </w:pPr>
            <w:r>
              <w:rPr>
                <w:color w:val="auto"/>
              </w:rPr>
              <w:t>6#</w:t>
            </w:r>
          </w:p>
        </w:tc>
        <w:tc>
          <w:tcPr>
            <w:tcW w:w="784" w:type="pct"/>
            <w:tcBorders>
              <w:tl2br w:val="nil"/>
              <w:tr2bl w:val="nil"/>
            </w:tcBorders>
            <w:shd w:val="clear" w:color="auto" w:fill="auto"/>
            <w:tcMar>
              <w:left w:w="28" w:type="dxa"/>
              <w:right w:w="28" w:type="dxa"/>
            </w:tcMar>
            <w:vAlign w:val="center"/>
          </w:tcPr>
          <w:p w14:paraId="5C005A6A">
            <w:pPr>
              <w:pStyle w:val="714"/>
              <w:rPr>
                <w:color w:val="auto"/>
              </w:rPr>
            </w:pPr>
            <w:r>
              <w:rPr>
                <w:color w:val="auto"/>
              </w:rPr>
              <w:t>106.5331817</w:t>
            </w:r>
          </w:p>
        </w:tc>
        <w:tc>
          <w:tcPr>
            <w:tcW w:w="597" w:type="pct"/>
            <w:tcBorders>
              <w:tl2br w:val="nil"/>
              <w:tr2bl w:val="nil"/>
            </w:tcBorders>
            <w:shd w:val="clear" w:color="auto" w:fill="auto"/>
            <w:tcMar>
              <w:left w:w="28" w:type="dxa"/>
              <w:right w:w="28" w:type="dxa"/>
            </w:tcMar>
            <w:vAlign w:val="center"/>
          </w:tcPr>
          <w:p w14:paraId="6125DA54">
            <w:pPr>
              <w:pStyle w:val="714"/>
              <w:rPr>
                <w:color w:val="auto"/>
              </w:rPr>
            </w:pPr>
            <w:r>
              <w:rPr>
                <w:color w:val="auto"/>
              </w:rPr>
              <w:t>31.45158</w:t>
            </w:r>
          </w:p>
        </w:tc>
        <w:tc>
          <w:tcPr>
            <w:tcW w:w="585" w:type="pct"/>
            <w:tcBorders>
              <w:tl2br w:val="nil"/>
              <w:tr2bl w:val="nil"/>
            </w:tcBorders>
            <w:shd w:val="clear" w:color="auto" w:fill="auto"/>
            <w:tcMar>
              <w:left w:w="28" w:type="dxa"/>
              <w:right w:w="28" w:type="dxa"/>
            </w:tcMar>
            <w:vAlign w:val="center"/>
          </w:tcPr>
          <w:p w14:paraId="6D77DE1F">
            <w:pPr>
              <w:pStyle w:val="714"/>
              <w:rPr>
                <w:color w:val="auto"/>
              </w:rPr>
            </w:pPr>
            <w:r>
              <w:rPr>
                <w:color w:val="auto"/>
              </w:rPr>
              <w:t xml:space="preserve">338.49 </w:t>
            </w:r>
          </w:p>
        </w:tc>
        <w:tc>
          <w:tcPr>
            <w:tcW w:w="643" w:type="pct"/>
            <w:tcBorders>
              <w:tl2br w:val="nil"/>
              <w:tr2bl w:val="nil"/>
            </w:tcBorders>
            <w:shd w:val="clear" w:color="auto" w:fill="auto"/>
            <w:tcMar>
              <w:left w:w="28" w:type="dxa"/>
              <w:right w:w="28" w:type="dxa"/>
            </w:tcMar>
            <w:vAlign w:val="center"/>
          </w:tcPr>
          <w:p w14:paraId="22736A56">
            <w:pPr>
              <w:pStyle w:val="714"/>
              <w:rPr>
                <w:color w:val="auto"/>
              </w:rPr>
            </w:pPr>
            <w:r>
              <w:rPr>
                <w:color w:val="auto"/>
              </w:rPr>
              <w:t xml:space="preserve">4.90 </w:t>
            </w:r>
          </w:p>
        </w:tc>
        <w:tc>
          <w:tcPr>
            <w:tcW w:w="643" w:type="pct"/>
            <w:tcBorders>
              <w:tl2br w:val="nil"/>
              <w:tr2bl w:val="nil"/>
            </w:tcBorders>
            <w:shd w:val="clear" w:color="auto" w:fill="auto"/>
            <w:tcMar>
              <w:left w:w="28" w:type="dxa"/>
              <w:right w:w="28" w:type="dxa"/>
            </w:tcMar>
            <w:vAlign w:val="center"/>
          </w:tcPr>
          <w:p w14:paraId="750D928F">
            <w:pPr>
              <w:pStyle w:val="714"/>
              <w:rPr>
                <w:color w:val="auto"/>
              </w:rPr>
            </w:pPr>
            <w:r>
              <w:rPr>
                <w:color w:val="auto"/>
              </w:rPr>
              <w:t xml:space="preserve">333.59 </w:t>
            </w:r>
          </w:p>
        </w:tc>
        <w:tc>
          <w:tcPr>
            <w:tcW w:w="643" w:type="pct"/>
            <w:tcBorders>
              <w:tl2br w:val="nil"/>
              <w:tr2bl w:val="nil"/>
            </w:tcBorders>
            <w:shd w:val="clear" w:color="auto" w:fill="auto"/>
            <w:tcMar>
              <w:left w:w="28" w:type="dxa"/>
              <w:right w:w="28" w:type="dxa"/>
            </w:tcMar>
            <w:vAlign w:val="center"/>
          </w:tcPr>
          <w:p w14:paraId="46CF73B6">
            <w:pPr>
              <w:pStyle w:val="714"/>
              <w:rPr>
                <w:color w:val="auto"/>
              </w:rPr>
            </w:pPr>
            <w:r>
              <w:rPr>
                <w:color w:val="auto"/>
              </w:rPr>
              <w:t xml:space="preserve">4.10 </w:t>
            </w:r>
          </w:p>
        </w:tc>
        <w:tc>
          <w:tcPr>
            <w:tcW w:w="643" w:type="pct"/>
            <w:tcBorders>
              <w:tl2br w:val="nil"/>
              <w:tr2bl w:val="nil"/>
            </w:tcBorders>
            <w:shd w:val="clear" w:color="auto" w:fill="auto"/>
            <w:tcMar>
              <w:left w:w="28" w:type="dxa"/>
              <w:right w:w="28" w:type="dxa"/>
            </w:tcMar>
            <w:vAlign w:val="center"/>
          </w:tcPr>
          <w:p w14:paraId="1DA8F430">
            <w:pPr>
              <w:pStyle w:val="714"/>
              <w:rPr>
                <w:color w:val="auto"/>
              </w:rPr>
            </w:pPr>
            <w:r>
              <w:rPr>
                <w:color w:val="auto"/>
              </w:rPr>
              <w:t xml:space="preserve">334.39 </w:t>
            </w:r>
          </w:p>
        </w:tc>
      </w:tr>
      <w:tr w14:paraId="5D9320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0053C12E">
            <w:pPr>
              <w:pStyle w:val="714"/>
              <w:rPr>
                <w:color w:val="auto"/>
              </w:rPr>
            </w:pPr>
            <w:r>
              <w:rPr>
                <w:color w:val="auto"/>
              </w:rPr>
              <w:t>7#</w:t>
            </w:r>
          </w:p>
        </w:tc>
        <w:tc>
          <w:tcPr>
            <w:tcW w:w="784" w:type="pct"/>
            <w:tcBorders>
              <w:tl2br w:val="nil"/>
              <w:tr2bl w:val="nil"/>
            </w:tcBorders>
            <w:shd w:val="clear" w:color="auto" w:fill="auto"/>
            <w:tcMar>
              <w:left w:w="28" w:type="dxa"/>
              <w:right w:w="28" w:type="dxa"/>
            </w:tcMar>
            <w:vAlign w:val="center"/>
          </w:tcPr>
          <w:p w14:paraId="3653722A">
            <w:pPr>
              <w:pStyle w:val="714"/>
              <w:rPr>
                <w:color w:val="auto"/>
              </w:rPr>
            </w:pPr>
            <w:r>
              <w:rPr>
                <w:color w:val="auto"/>
              </w:rPr>
              <w:t>106.5330407</w:t>
            </w:r>
          </w:p>
        </w:tc>
        <w:tc>
          <w:tcPr>
            <w:tcW w:w="597" w:type="pct"/>
            <w:tcBorders>
              <w:tl2br w:val="nil"/>
              <w:tr2bl w:val="nil"/>
            </w:tcBorders>
            <w:shd w:val="clear" w:color="auto" w:fill="auto"/>
            <w:tcMar>
              <w:left w:w="28" w:type="dxa"/>
              <w:right w:w="28" w:type="dxa"/>
            </w:tcMar>
            <w:vAlign w:val="center"/>
          </w:tcPr>
          <w:p w14:paraId="4168FB40">
            <w:pPr>
              <w:pStyle w:val="714"/>
              <w:rPr>
                <w:color w:val="auto"/>
              </w:rPr>
            </w:pPr>
            <w:r>
              <w:rPr>
                <w:color w:val="auto"/>
              </w:rPr>
              <w:t>31.45171</w:t>
            </w:r>
          </w:p>
        </w:tc>
        <w:tc>
          <w:tcPr>
            <w:tcW w:w="585" w:type="pct"/>
            <w:tcBorders>
              <w:tl2br w:val="nil"/>
              <w:tr2bl w:val="nil"/>
            </w:tcBorders>
            <w:shd w:val="clear" w:color="auto" w:fill="auto"/>
            <w:tcMar>
              <w:left w:w="28" w:type="dxa"/>
              <w:right w:w="28" w:type="dxa"/>
            </w:tcMar>
            <w:vAlign w:val="center"/>
          </w:tcPr>
          <w:p w14:paraId="3DE9155A">
            <w:pPr>
              <w:pStyle w:val="714"/>
              <w:rPr>
                <w:color w:val="auto"/>
              </w:rPr>
            </w:pPr>
            <w:r>
              <w:rPr>
                <w:color w:val="auto"/>
              </w:rPr>
              <w:t xml:space="preserve">331.65 </w:t>
            </w:r>
          </w:p>
        </w:tc>
        <w:tc>
          <w:tcPr>
            <w:tcW w:w="643" w:type="pct"/>
            <w:tcBorders>
              <w:tl2br w:val="nil"/>
              <w:tr2bl w:val="nil"/>
            </w:tcBorders>
            <w:shd w:val="clear" w:color="auto" w:fill="auto"/>
            <w:tcMar>
              <w:left w:w="28" w:type="dxa"/>
              <w:right w:w="28" w:type="dxa"/>
            </w:tcMar>
            <w:vAlign w:val="center"/>
          </w:tcPr>
          <w:p w14:paraId="65E469C3">
            <w:pPr>
              <w:pStyle w:val="714"/>
              <w:rPr>
                <w:color w:val="auto"/>
              </w:rPr>
            </w:pPr>
            <w:r>
              <w:rPr>
                <w:color w:val="auto"/>
              </w:rPr>
              <w:t xml:space="preserve">2.01 </w:t>
            </w:r>
          </w:p>
        </w:tc>
        <w:tc>
          <w:tcPr>
            <w:tcW w:w="643" w:type="pct"/>
            <w:tcBorders>
              <w:tl2br w:val="nil"/>
              <w:tr2bl w:val="nil"/>
            </w:tcBorders>
            <w:shd w:val="clear" w:color="auto" w:fill="auto"/>
            <w:tcMar>
              <w:left w:w="28" w:type="dxa"/>
              <w:right w:w="28" w:type="dxa"/>
            </w:tcMar>
            <w:vAlign w:val="center"/>
          </w:tcPr>
          <w:p w14:paraId="3DDD2BFE">
            <w:pPr>
              <w:pStyle w:val="714"/>
              <w:rPr>
                <w:color w:val="auto"/>
              </w:rPr>
            </w:pPr>
            <w:r>
              <w:rPr>
                <w:color w:val="auto"/>
              </w:rPr>
              <w:t xml:space="preserve">329.64 </w:t>
            </w:r>
          </w:p>
        </w:tc>
        <w:tc>
          <w:tcPr>
            <w:tcW w:w="643" w:type="pct"/>
            <w:tcBorders>
              <w:tl2br w:val="nil"/>
              <w:tr2bl w:val="nil"/>
            </w:tcBorders>
            <w:shd w:val="clear" w:color="auto" w:fill="auto"/>
            <w:tcMar>
              <w:left w:w="28" w:type="dxa"/>
              <w:right w:w="28" w:type="dxa"/>
            </w:tcMar>
            <w:vAlign w:val="center"/>
          </w:tcPr>
          <w:p w14:paraId="5FEC2866">
            <w:pPr>
              <w:pStyle w:val="714"/>
              <w:rPr>
                <w:color w:val="auto"/>
              </w:rPr>
            </w:pPr>
            <w:r>
              <w:rPr>
                <w:color w:val="auto"/>
              </w:rPr>
              <w:t xml:space="preserve">0.81 </w:t>
            </w:r>
          </w:p>
        </w:tc>
        <w:tc>
          <w:tcPr>
            <w:tcW w:w="643" w:type="pct"/>
            <w:tcBorders>
              <w:tl2br w:val="nil"/>
              <w:tr2bl w:val="nil"/>
            </w:tcBorders>
            <w:shd w:val="clear" w:color="auto" w:fill="auto"/>
            <w:tcMar>
              <w:left w:w="28" w:type="dxa"/>
              <w:right w:w="28" w:type="dxa"/>
            </w:tcMar>
            <w:vAlign w:val="center"/>
          </w:tcPr>
          <w:p w14:paraId="52BF5AFB">
            <w:pPr>
              <w:pStyle w:val="714"/>
              <w:rPr>
                <w:color w:val="auto"/>
              </w:rPr>
            </w:pPr>
            <w:r>
              <w:rPr>
                <w:color w:val="auto"/>
              </w:rPr>
              <w:t xml:space="preserve">330.84 </w:t>
            </w:r>
          </w:p>
        </w:tc>
      </w:tr>
      <w:tr w14:paraId="5B94AB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5DE1EDD4">
            <w:pPr>
              <w:pStyle w:val="714"/>
              <w:rPr>
                <w:color w:val="auto"/>
              </w:rPr>
            </w:pPr>
            <w:r>
              <w:rPr>
                <w:color w:val="auto"/>
              </w:rPr>
              <w:t>8#</w:t>
            </w:r>
          </w:p>
        </w:tc>
        <w:tc>
          <w:tcPr>
            <w:tcW w:w="784" w:type="pct"/>
            <w:tcBorders>
              <w:tl2br w:val="nil"/>
              <w:tr2bl w:val="nil"/>
            </w:tcBorders>
            <w:shd w:val="clear" w:color="auto" w:fill="auto"/>
            <w:tcMar>
              <w:left w:w="28" w:type="dxa"/>
              <w:right w:w="28" w:type="dxa"/>
            </w:tcMar>
            <w:vAlign w:val="center"/>
          </w:tcPr>
          <w:p w14:paraId="2D5FB3D9">
            <w:pPr>
              <w:pStyle w:val="714"/>
              <w:rPr>
                <w:color w:val="auto"/>
              </w:rPr>
            </w:pPr>
            <w:r>
              <w:rPr>
                <w:color w:val="auto"/>
              </w:rPr>
              <w:t>106.5332474</w:t>
            </w:r>
          </w:p>
        </w:tc>
        <w:tc>
          <w:tcPr>
            <w:tcW w:w="597" w:type="pct"/>
            <w:tcBorders>
              <w:tl2br w:val="nil"/>
              <w:tr2bl w:val="nil"/>
            </w:tcBorders>
            <w:shd w:val="clear" w:color="auto" w:fill="auto"/>
            <w:tcMar>
              <w:left w:w="28" w:type="dxa"/>
              <w:right w:w="28" w:type="dxa"/>
            </w:tcMar>
            <w:vAlign w:val="center"/>
          </w:tcPr>
          <w:p w14:paraId="5C7690F0">
            <w:pPr>
              <w:pStyle w:val="714"/>
              <w:rPr>
                <w:color w:val="auto"/>
              </w:rPr>
            </w:pPr>
            <w:r>
              <w:rPr>
                <w:color w:val="auto"/>
              </w:rPr>
              <w:t>31.45241</w:t>
            </w:r>
          </w:p>
        </w:tc>
        <w:tc>
          <w:tcPr>
            <w:tcW w:w="585" w:type="pct"/>
            <w:tcBorders>
              <w:tl2br w:val="nil"/>
              <w:tr2bl w:val="nil"/>
            </w:tcBorders>
            <w:shd w:val="clear" w:color="auto" w:fill="auto"/>
            <w:tcMar>
              <w:left w:w="28" w:type="dxa"/>
              <w:right w:w="28" w:type="dxa"/>
            </w:tcMar>
            <w:vAlign w:val="center"/>
          </w:tcPr>
          <w:p w14:paraId="14C595B4">
            <w:pPr>
              <w:pStyle w:val="714"/>
              <w:rPr>
                <w:color w:val="auto"/>
              </w:rPr>
            </w:pPr>
            <w:r>
              <w:rPr>
                <w:color w:val="auto"/>
              </w:rPr>
              <w:t xml:space="preserve">339.57 </w:t>
            </w:r>
          </w:p>
        </w:tc>
        <w:tc>
          <w:tcPr>
            <w:tcW w:w="643" w:type="pct"/>
            <w:tcBorders>
              <w:tl2br w:val="nil"/>
              <w:tr2bl w:val="nil"/>
            </w:tcBorders>
            <w:shd w:val="clear" w:color="auto" w:fill="auto"/>
            <w:tcMar>
              <w:left w:w="28" w:type="dxa"/>
              <w:right w:w="28" w:type="dxa"/>
            </w:tcMar>
            <w:vAlign w:val="center"/>
          </w:tcPr>
          <w:p w14:paraId="19DD44D8">
            <w:pPr>
              <w:pStyle w:val="714"/>
              <w:rPr>
                <w:color w:val="auto"/>
              </w:rPr>
            </w:pPr>
            <w:r>
              <w:rPr>
                <w:color w:val="auto"/>
              </w:rPr>
              <w:t xml:space="preserve">1.61 </w:t>
            </w:r>
          </w:p>
        </w:tc>
        <w:tc>
          <w:tcPr>
            <w:tcW w:w="643" w:type="pct"/>
            <w:tcBorders>
              <w:tl2br w:val="nil"/>
              <w:tr2bl w:val="nil"/>
            </w:tcBorders>
            <w:shd w:val="clear" w:color="auto" w:fill="auto"/>
            <w:tcMar>
              <w:left w:w="28" w:type="dxa"/>
              <w:right w:w="28" w:type="dxa"/>
            </w:tcMar>
            <w:vAlign w:val="center"/>
          </w:tcPr>
          <w:p w14:paraId="2E5A2EB9">
            <w:pPr>
              <w:pStyle w:val="714"/>
              <w:rPr>
                <w:color w:val="auto"/>
              </w:rPr>
            </w:pPr>
            <w:r>
              <w:rPr>
                <w:color w:val="auto"/>
              </w:rPr>
              <w:t xml:space="preserve">337.96 </w:t>
            </w:r>
          </w:p>
        </w:tc>
        <w:tc>
          <w:tcPr>
            <w:tcW w:w="643" w:type="pct"/>
            <w:tcBorders>
              <w:tl2br w:val="nil"/>
              <w:tr2bl w:val="nil"/>
            </w:tcBorders>
            <w:shd w:val="clear" w:color="auto" w:fill="auto"/>
            <w:tcMar>
              <w:left w:w="28" w:type="dxa"/>
              <w:right w:w="28" w:type="dxa"/>
            </w:tcMar>
            <w:vAlign w:val="center"/>
          </w:tcPr>
          <w:p w14:paraId="515FFFE1">
            <w:pPr>
              <w:pStyle w:val="714"/>
              <w:rPr>
                <w:color w:val="auto"/>
              </w:rPr>
            </w:pPr>
            <w:r>
              <w:rPr>
                <w:color w:val="auto"/>
              </w:rPr>
              <w:t xml:space="preserve">1.11 </w:t>
            </w:r>
          </w:p>
        </w:tc>
        <w:tc>
          <w:tcPr>
            <w:tcW w:w="643" w:type="pct"/>
            <w:tcBorders>
              <w:tl2br w:val="nil"/>
              <w:tr2bl w:val="nil"/>
            </w:tcBorders>
            <w:shd w:val="clear" w:color="auto" w:fill="auto"/>
            <w:tcMar>
              <w:left w:w="28" w:type="dxa"/>
              <w:right w:w="28" w:type="dxa"/>
            </w:tcMar>
            <w:vAlign w:val="center"/>
          </w:tcPr>
          <w:p w14:paraId="597404D1">
            <w:pPr>
              <w:pStyle w:val="714"/>
              <w:rPr>
                <w:color w:val="auto"/>
              </w:rPr>
            </w:pPr>
            <w:r>
              <w:rPr>
                <w:color w:val="auto"/>
              </w:rPr>
              <w:t xml:space="preserve">338.46 </w:t>
            </w:r>
          </w:p>
        </w:tc>
      </w:tr>
      <w:tr w14:paraId="066DD8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13DF3534">
            <w:pPr>
              <w:pStyle w:val="714"/>
              <w:rPr>
                <w:color w:val="auto"/>
              </w:rPr>
            </w:pPr>
            <w:r>
              <w:rPr>
                <w:color w:val="auto"/>
              </w:rPr>
              <w:t>9#</w:t>
            </w:r>
          </w:p>
        </w:tc>
        <w:tc>
          <w:tcPr>
            <w:tcW w:w="784" w:type="pct"/>
            <w:tcBorders>
              <w:tl2br w:val="nil"/>
              <w:tr2bl w:val="nil"/>
            </w:tcBorders>
            <w:shd w:val="clear" w:color="auto" w:fill="auto"/>
            <w:tcMar>
              <w:left w:w="28" w:type="dxa"/>
              <w:right w:w="28" w:type="dxa"/>
            </w:tcMar>
            <w:vAlign w:val="center"/>
          </w:tcPr>
          <w:p w14:paraId="5420AD21">
            <w:pPr>
              <w:pStyle w:val="714"/>
              <w:rPr>
                <w:color w:val="auto"/>
              </w:rPr>
            </w:pPr>
            <w:r>
              <w:rPr>
                <w:color w:val="auto"/>
              </w:rPr>
              <w:t>106.5323571</w:t>
            </w:r>
          </w:p>
        </w:tc>
        <w:tc>
          <w:tcPr>
            <w:tcW w:w="597" w:type="pct"/>
            <w:tcBorders>
              <w:tl2br w:val="nil"/>
              <w:tr2bl w:val="nil"/>
            </w:tcBorders>
            <w:shd w:val="clear" w:color="auto" w:fill="auto"/>
            <w:tcMar>
              <w:left w:w="28" w:type="dxa"/>
              <w:right w:w="28" w:type="dxa"/>
            </w:tcMar>
            <w:vAlign w:val="center"/>
          </w:tcPr>
          <w:p w14:paraId="12CE294A">
            <w:pPr>
              <w:pStyle w:val="714"/>
              <w:rPr>
                <w:color w:val="auto"/>
              </w:rPr>
            </w:pPr>
            <w:r>
              <w:rPr>
                <w:color w:val="auto"/>
              </w:rPr>
              <w:t>31.45207</w:t>
            </w:r>
          </w:p>
        </w:tc>
        <w:tc>
          <w:tcPr>
            <w:tcW w:w="585" w:type="pct"/>
            <w:tcBorders>
              <w:tl2br w:val="nil"/>
              <w:tr2bl w:val="nil"/>
            </w:tcBorders>
            <w:shd w:val="clear" w:color="auto" w:fill="auto"/>
            <w:tcMar>
              <w:left w:w="28" w:type="dxa"/>
              <w:right w:w="28" w:type="dxa"/>
            </w:tcMar>
            <w:vAlign w:val="center"/>
          </w:tcPr>
          <w:p w14:paraId="64C88343">
            <w:pPr>
              <w:pStyle w:val="714"/>
              <w:rPr>
                <w:color w:val="auto"/>
              </w:rPr>
            </w:pPr>
            <w:r>
              <w:rPr>
                <w:color w:val="auto"/>
              </w:rPr>
              <w:t xml:space="preserve">337.37 </w:t>
            </w:r>
          </w:p>
        </w:tc>
        <w:tc>
          <w:tcPr>
            <w:tcW w:w="643" w:type="pct"/>
            <w:tcBorders>
              <w:tl2br w:val="nil"/>
              <w:tr2bl w:val="nil"/>
            </w:tcBorders>
            <w:shd w:val="clear" w:color="auto" w:fill="auto"/>
            <w:tcMar>
              <w:left w:w="28" w:type="dxa"/>
              <w:right w:w="28" w:type="dxa"/>
            </w:tcMar>
            <w:vAlign w:val="center"/>
          </w:tcPr>
          <w:p w14:paraId="6214C2A5">
            <w:pPr>
              <w:pStyle w:val="714"/>
              <w:rPr>
                <w:color w:val="auto"/>
              </w:rPr>
            </w:pPr>
            <w:r>
              <w:rPr>
                <w:color w:val="auto"/>
              </w:rPr>
              <w:t xml:space="preserve">0.67 </w:t>
            </w:r>
          </w:p>
        </w:tc>
        <w:tc>
          <w:tcPr>
            <w:tcW w:w="643" w:type="pct"/>
            <w:tcBorders>
              <w:tl2br w:val="nil"/>
              <w:tr2bl w:val="nil"/>
            </w:tcBorders>
            <w:shd w:val="clear" w:color="auto" w:fill="auto"/>
            <w:tcMar>
              <w:left w:w="28" w:type="dxa"/>
              <w:right w:w="28" w:type="dxa"/>
            </w:tcMar>
            <w:vAlign w:val="center"/>
          </w:tcPr>
          <w:p w14:paraId="21A5F222">
            <w:pPr>
              <w:pStyle w:val="714"/>
              <w:rPr>
                <w:color w:val="auto"/>
              </w:rPr>
            </w:pPr>
            <w:r>
              <w:rPr>
                <w:color w:val="auto"/>
              </w:rPr>
              <w:t xml:space="preserve">336.70 </w:t>
            </w:r>
          </w:p>
        </w:tc>
        <w:tc>
          <w:tcPr>
            <w:tcW w:w="643" w:type="pct"/>
            <w:tcBorders>
              <w:tl2br w:val="nil"/>
              <w:tr2bl w:val="nil"/>
            </w:tcBorders>
            <w:shd w:val="clear" w:color="auto" w:fill="auto"/>
            <w:tcMar>
              <w:left w:w="28" w:type="dxa"/>
              <w:right w:w="28" w:type="dxa"/>
            </w:tcMar>
            <w:vAlign w:val="center"/>
          </w:tcPr>
          <w:p w14:paraId="03C3F5AC">
            <w:pPr>
              <w:pStyle w:val="714"/>
              <w:rPr>
                <w:color w:val="auto"/>
              </w:rPr>
            </w:pPr>
            <w:r>
              <w:rPr>
                <w:color w:val="auto"/>
              </w:rPr>
              <w:t xml:space="preserve">0.37 </w:t>
            </w:r>
          </w:p>
        </w:tc>
        <w:tc>
          <w:tcPr>
            <w:tcW w:w="643" w:type="pct"/>
            <w:tcBorders>
              <w:tl2br w:val="nil"/>
              <w:tr2bl w:val="nil"/>
            </w:tcBorders>
            <w:shd w:val="clear" w:color="auto" w:fill="auto"/>
            <w:tcMar>
              <w:left w:w="28" w:type="dxa"/>
              <w:right w:w="28" w:type="dxa"/>
            </w:tcMar>
            <w:vAlign w:val="center"/>
          </w:tcPr>
          <w:p w14:paraId="72EB6271">
            <w:pPr>
              <w:pStyle w:val="714"/>
              <w:rPr>
                <w:color w:val="auto"/>
              </w:rPr>
            </w:pPr>
            <w:r>
              <w:rPr>
                <w:color w:val="auto"/>
              </w:rPr>
              <w:t xml:space="preserve">337.00 </w:t>
            </w:r>
          </w:p>
        </w:tc>
      </w:tr>
      <w:tr w14:paraId="7DB8F2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0F1A0EEC">
            <w:pPr>
              <w:pStyle w:val="714"/>
              <w:rPr>
                <w:color w:val="auto"/>
              </w:rPr>
            </w:pPr>
            <w:r>
              <w:rPr>
                <w:color w:val="auto"/>
              </w:rPr>
              <w:t>10#</w:t>
            </w:r>
          </w:p>
        </w:tc>
        <w:tc>
          <w:tcPr>
            <w:tcW w:w="784" w:type="pct"/>
            <w:tcBorders>
              <w:tl2br w:val="nil"/>
              <w:tr2bl w:val="nil"/>
            </w:tcBorders>
            <w:shd w:val="clear" w:color="auto" w:fill="auto"/>
            <w:tcMar>
              <w:left w:w="28" w:type="dxa"/>
              <w:right w:w="28" w:type="dxa"/>
            </w:tcMar>
            <w:vAlign w:val="center"/>
          </w:tcPr>
          <w:p w14:paraId="2F48A92A">
            <w:pPr>
              <w:pStyle w:val="714"/>
              <w:rPr>
                <w:color w:val="auto"/>
              </w:rPr>
            </w:pPr>
            <w:r>
              <w:rPr>
                <w:color w:val="auto"/>
              </w:rPr>
              <w:t>106.5337079</w:t>
            </w:r>
          </w:p>
        </w:tc>
        <w:tc>
          <w:tcPr>
            <w:tcW w:w="597" w:type="pct"/>
            <w:tcBorders>
              <w:tl2br w:val="nil"/>
              <w:tr2bl w:val="nil"/>
            </w:tcBorders>
            <w:shd w:val="clear" w:color="auto" w:fill="auto"/>
            <w:tcMar>
              <w:left w:w="28" w:type="dxa"/>
              <w:right w:w="28" w:type="dxa"/>
            </w:tcMar>
            <w:vAlign w:val="center"/>
          </w:tcPr>
          <w:p w14:paraId="09CE2AFA">
            <w:pPr>
              <w:pStyle w:val="714"/>
              <w:rPr>
                <w:color w:val="auto"/>
              </w:rPr>
            </w:pPr>
            <w:r>
              <w:rPr>
                <w:color w:val="auto"/>
              </w:rPr>
              <w:t>31.45134</w:t>
            </w:r>
          </w:p>
        </w:tc>
        <w:tc>
          <w:tcPr>
            <w:tcW w:w="585" w:type="pct"/>
            <w:tcBorders>
              <w:tl2br w:val="nil"/>
              <w:tr2bl w:val="nil"/>
            </w:tcBorders>
            <w:shd w:val="clear" w:color="auto" w:fill="auto"/>
            <w:tcMar>
              <w:left w:w="28" w:type="dxa"/>
              <w:right w:w="28" w:type="dxa"/>
            </w:tcMar>
            <w:vAlign w:val="center"/>
          </w:tcPr>
          <w:p w14:paraId="0E5EEBD6">
            <w:pPr>
              <w:pStyle w:val="714"/>
              <w:rPr>
                <w:color w:val="auto"/>
              </w:rPr>
            </w:pPr>
            <w:r>
              <w:rPr>
                <w:color w:val="auto"/>
              </w:rPr>
              <w:t xml:space="preserve">337.91 </w:t>
            </w:r>
          </w:p>
        </w:tc>
        <w:tc>
          <w:tcPr>
            <w:tcW w:w="643" w:type="pct"/>
            <w:tcBorders>
              <w:tl2br w:val="nil"/>
              <w:tr2bl w:val="nil"/>
            </w:tcBorders>
            <w:shd w:val="clear" w:color="auto" w:fill="auto"/>
            <w:tcMar>
              <w:left w:w="28" w:type="dxa"/>
              <w:right w:w="28" w:type="dxa"/>
            </w:tcMar>
            <w:vAlign w:val="center"/>
          </w:tcPr>
          <w:p w14:paraId="1F54EAE0">
            <w:pPr>
              <w:pStyle w:val="714"/>
              <w:rPr>
                <w:color w:val="auto"/>
              </w:rPr>
            </w:pPr>
            <w:r>
              <w:rPr>
                <w:color w:val="auto"/>
              </w:rPr>
              <w:t xml:space="preserve">0.72 </w:t>
            </w:r>
          </w:p>
        </w:tc>
        <w:tc>
          <w:tcPr>
            <w:tcW w:w="643" w:type="pct"/>
            <w:tcBorders>
              <w:tl2br w:val="nil"/>
              <w:tr2bl w:val="nil"/>
            </w:tcBorders>
            <w:shd w:val="clear" w:color="auto" w:fill="auto"/>
            <w:tcMar>
              <w:left w:w="28" w:type="dxa"/>
              <w:right w:w="28" w:type="dxa"/>
            </w:tcMar>
            <w:vAlign w:val="center"/>
          </w:tcPr>
          <w:p w14:paraId="4806A848">
            <w:pPr>
              <w:pStyle w:val="714"/>
              <w:rPr>
                <w:color w:val="auto"/>
              </w:rPr>
            </w:pPr>
            <w:r>
              <w:rPr>
                <w:color w:val="auto"/>
              </w:rPr>
              <w:t xml:space="preserve">337.19 </w:t>
            </w:r>
          </w:p>
        </w:tc>
        <w:tc>
          <w:tcPr>
            <w:tcW w:w="643" w:type="pct"/>
            <w:tcBorders>
              <w:tl2br w:val="nil"/>
              <w:tr2bl w:val="nil"/>
            </w:tcBorders>
            <w:shd w:val="clear" w:color="auto" w:fill="auto"/>
            <w:tcMar>
              <w:left w:w="28" w:type="dxa"/>
              <w:right w:w="28" w:type="dxa"/>
            </w:tcMar>
            <w:vAlign w:val="center"/>
          </w:tcPr>
          <w:p w14:paraId="6976FD02">
            <w:pPr>
              <w:pStyle w:val="714"/>
              <w:rPr>
                <w:color w:val="auto"/>
              </w:rPr>
            </w:pPr>
            <w:r>
              <w:rPr>
                <w:color w:val="auto"/>
              </w:rPr>
              <w:t xml:space="preserve">0.12 </w:t>
            </w:r>
          </w:p>
        </w:tc>
        <w:tc>
          <w:tcPr>
            <w:tcW w:w="643" w:type="pct"/>
            <w:tcBorders>
              <w:tl2br w:val="nil"/>
              <w:tr2bl w:val="nil"/>
            </w:tcBorders>
            <w:shd w:val="clear" w:color="auto" w:fill="auto"/>
            <w:tcMar>
              <w:left w:w="28" w:type="dxa"/>
              <w:right w:w="28" w:type="dxa"/>
            </w:tcMar>
            <w:vAlign w:val="center"/>
          </w:tcPr>
          <w:p w14:paraId="3F0AF587">
            <w:pPr>
              <w:pStyle w:val="714"/>
              <w:rPr>
                <w:color w:val="auto"/>
              </w:rPr>
            </w:pPr>
            <w:r>
              <w:rPr>
                <w:color w:val="auto"/>
              </w:rPr>
              <w:t xml:space="preserve">337.79 </w:t>
            </w:r>
          </w:p>
        </w:tc>
      </w:tr>
      <w:tr w14:paraId="1CB719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75FDFC1B">
            <w:pPr>
              <w:pStyle w:val="714"/>
              <w:rPr>
                <w:color w:val="auto"/>
              </w:rPr>
            </w:pPr>
            <w:r>
              <w:rPr>
                <w:color w:val="auto"/>
              </w:rPr>
              <w:t>11#</w:t>
            </w:r>
          </w:p>
        </w:tc>
        <w:tc>
          <w:tcPr>
            <w:tcW w:w="784" w:type="pct"/>
            <w:tcBorders>
              <w:tl2br w:val="nil"/>
              <w:tr2bl w:val="nil"/>
            </w:tcBorders>
            <w:shd w:val="clear" w:color="auto" w:fill="auto"/>
            <w:tcMar>
              <w:left w:w="28" w:type="dxa"/>
              <w:right w:w="28" w:type="dxa"/>
            </w:tcMar>
            <w:vAlign w:val="center"/>
          </w:tcPr>
          <w:p w14:paraId="46045F7A">
            <w:pPr>
              <w:pStyle w:val="714"/>
              <w:rPr>
                <w:color w:val="auto"/>
              </w:rPr>
            </w:pPr>
            <w:r>
              <w:rPr>
                <w:color w:val="auto"/>
              </w:rPr>
              <w:t>106.5344457</w:t>
            </w:r>
          </w:p>
        </w:tc>
        <w:tc>
          <w:tcPr>
            <w:tcW w:w="597" w:type="pct"/>
            <w:tcBorders>
              <w:tl2br w:val="nil"/>
              <w:tr2bl w:val="nil"/>
            </w:tcBorders>
            <w:shd w:val="clear" w:color="auto" w:fill="auto"/>
            <w:tcMar>
              <w:left w:w="28" w:type="dxa"/>
              <w:right w:w="28" w:type="dxa"/>
            </w:tcMar>
            <w:vAlign w:val="center"/>
          </w:tcPr>
          <w:p w14:paraId="3654B5E4">
            <w:pPr>
              <w:pStyle w:val="714"/>
              <w:rPr>
                <w:color w:val="auto"/>
              </w:rPr>
            </w:pPr>
            <w:r>
              <w:rPr>
                <w:color w:val="auto"/>
              </w:rPr>
              <w:t>31.45219</w:t>
            </w:r>
          </w:p>
        </w:tc>
        <w:tc>
          <w:tcPr>
            <w:tcW w:w="585" w:type="pct"/>
            <w:tcBorders>
              <w:tl2br w:val="nil"/>
              <w:tr2bl w:val="nil"/>
            </w:tcBorders>
            <w:shd w:val="clear" w:color="auto" w:fill="auto"/>
            <w:tcMar>
              <w:left w:w="28" w:type="dxa"/>
              <w:right w:w="28" w:type="dxa"/>
            </w:tcMar>
            <w:vAlign w:val="center"/>
          </w:tcPr>
          <w:p w14:paraId="673CC4D4">
            <w:pPr>
              <w:pStyle w:val="714"/>
              <w:rPr>
                <w:color w:val="auto"/>
              </w:rPr>
            </w:pPr>
            <w:r>
              <w:rPr>
                <w:color w:val="auto"/>
              </w:rPr>
              <w:t xml:space="preserve">339.58 </w:t>
            </w:r>
          </w:p>
        </w:tc>
        <w:tc>
          <w:tcPr>
            <w:tcW w:w="643" w:type="pct"/>
            <w:tcBorders>
              <w:tl2br w:val="nil"/>
              <w:tr2bl w:val="nil"/>
            </w:tcBorders>
            <w:shd w:val="clear" w:color="auto" w:fill="auto"/>
            <w:tcMar>
              <w:left w:w="28" w:type="dxa"/>
              <w:right w:w="28" w:type="dxa"/>
            </w:tcMar>
            <w:vAlign w:val="center"/>
          </w:tcPr>
          <w:p w14:paraId="2BF020CD">
            <w:pPr>
              <w:pStyle w:val="714"/>
              <w:rPr>
                <w:color w:val="auto"/>
              </w:rPr>
            </w:pPr>
            <w:r>
              <w:rPr>
                <w:color w:val="auto"/>
              </w:rPr>
              <w:t xml:space="preserve">1.41 </w:t>
            </w:r>
          </w:p>
        </w:tc>
        <w:tc>
          <w:tcPr>
            <w:tcW w:w="643" w:type="pct"/>
            <w:tcBorders>
              <w:tl2br w:val="nil"/>
              <w:tr2bl w:val="nil"/>
            </w:tcBorders>
            <w:shd w:val="clear" w:color="auto" w:fill="auto"/>
            <w:tcMar>
              <w:left w:w="28" w:type="dxa"/>
              <w:right w:w="28" w:type="dxa"/>
            </w:tcMar>
            <w:vAlign w:val="center"/>
          </w:tcPr>
          <w:p w14:paraId="1AF6254E">
            <w:pPr>
              <w:pStyle w:val="714"/>
              <w:rPr>
                <w:color w:val="auto"/>
              </w:rPr>
            </w:pPr>
            <w:r>
              <w:rPr>
                <w:color w:val="auto"/>
              </w:rPr>
              <w:t xml:space="preserve">338.17 </w:t>
            </w:r>
          </w:p>
        </w:tc>
        <w:tc>
          <w:tcPr>
            <w:tcW w:w="643" w:type="pct"/>
            <w:tcBorders>
              <w:tl2br w:val="nil"/>
              <w:tr2bl w:val="nil"/>
            </w:tcBorders>
            <w:shd w:val="clear" w:color="auto" w:fill="auto"/>
            <w:tcMar>
              <w:left w:w="28" w:type="dxa"/>
              <w:right w:w="28" w:type="dxa"/>
            </w:tcMar>
            <w:vAlign w:val="center"/>
          </w:tcPr>
          <w:p w14:paraId="15B4A282">
            <w:pPr>
              <w:pStyle w:val="714"/>
              <w:rPr>
                <w:color w:val="auto"/>
              </w:rPr>
            </w:pPr>
            <w:r>
              <w:rPr>
                <w:color w:val="auto"/>
              </w:rPr>
              <w:t xml:space="preserve">0.71 </w:t>
            </w:r>
          </w:p>
        </w:tc>
        <w:tc>
          <w:tcPr>
            <w:tcW w:w="643" w:type="pct"/>
            <w:tcBorders>
              <w:tl2br w:val="nil"/>
              <w:tr2bl w:val="nil"/>
            </w:tcBorders>
            <w:shd w:val="clear" w:color="auto" w:fill="auto"/>
            <w:tcMar>
              <w:left w:w="28" w:type="dxa"/>
              <w:right w:w="28" w:type="dxa"/>
            </w:tcMar>
            <w:vAlign w:val="center"/>
          </w:tcPr>
          <w:p w14:paraId="5A3A052F">
            <w:pPr>
              <w:pStyle w:val="714"/>
              <w:rPr>
                <w:color w:val="auto"/>
              </w:rPr>
            </w:pPr>
            <w:r>
              <w:rPr>
                <w:color w:val="auto"/>
              </w:rPr>
              <w:t xml:space="preserve">338.87 </w:t>
            </w:r>
          </w:p>
        </w:tc>
      </w:tr>
      <w:tr w14:paraId="721ED2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598C298D">
            <w:pPr>
              <w:pStyle w:val="714"/>
              <w:rPr>
                <w:color w:val="auto"/>
              </w:rPr>
            </w:pPr>
            <w:r>
              <w:rPr>
                <w:color w:val="auto"/>
              </w:rPr>
              <w:t>12#</w:t>
            </w:r>
          </w:p>
        </w:tc>
        <w:tc>
          <w:tcPr>
            <w:tcW w:w="784" w:type="pct"/>
            <w:tcBorders>
              <w:tl2br w:val="nil"/>
              <w:tr2bl w:val="nil"/>
            </w:tcBorders>
            <w:shd w:val="clear" w:color="auto" w:fill="auto"/>
            <w:tcMar>
              <w:left w:w="28" w:type="dxa"/>
              <w:right w:w="28" w:type="dxa"/>
            </w:tcMar>
            <w:vAlign w:val="center"/>
          </w:tcPr>
          <w:p w14:paraId="3614219E">
            <w:pPr>
              <w:pStyle w:val="714"/>
              <w:rPr>
                <w:color w:val="auto"/>
              </w:rPr>
            </w:pPr>
            <w:r>
              <w:rPr>
                <w:color w:val="auto"/>
              </w:rPr>
              <w:t>106.8930538</w:t>
            </w:r>
          </w:p>
        </w:tc>
        <w:tc>
          <w:tcPr>
            <w:tcW w:w="597" w:type="pct"/>
            <w:tcBorders>
              <w:tl2br w:val="nil"/>
              <w:tr2bl w:val="nil"/>
            </w:tcBorders>
            <w:shd w:val="clear" w:color="auto" w:fill="auto"/>
            <w:tcMar>
              <w:left w:w="28" w:type="dxa"/>
              <w:right w:w="28" w:type="dxa"/>
            </w:tcMar>
            <w:vAlign w:val="center"/>
          </w:tcPr>
          <w:p w14:paraId="3110D396">
            <w:pPr>
              <w:pStyle w:val="714"/>
              <w:rPr>
                <w:color w:val="auto"/>
              </w:rPr>
            </w:pPr>
            <w:r>
              <w:rPr>
                <w:color w:val="auto"/>
              </w:rPr>
              <w:t>31.75747</w:t>
            </w:r>
          </w:p>
        </w:tc>
        <w:tc>
          <w:tcPr>
            <w:tcW w:w="585" w:type="pct"/>
            <w:tcBorders>
              <w:tl2br w:val="nil"/>
              <w:tr2bl w:val="nil"/>
            </w:tcBorders>
            <w:shd w:val="clear" w:color="auto" w:fill="auto"/>
            <w:tcMar>
              <w:left w:w="28" w:type="dxa"/>
              <w:right w:w="28" w:type="dxa"/>
            </w:tcMar>
            <w:vAlign w:val="center"/>
          </w:tcPr>
          <w:p w14:paraId="5471EB69">
            <w:pPr>
              <w:pStyle w:val="714"/>
              <w:rPr>
                <w:color w:val="auto"/>
              </w:rPr>
            </w:pPr>
            <w:r>
              <w:rPr>
                <w:color w:val="auto"/>
              </w:rPr>
              <w:t xml:space="preserve">341.95 </w:t>
            </w:r>
          </w:p>
        </w:tc>
        <w:tc>
          <w:tcPr>
            <w:tcW w:w="643" w:type="pct"/>
            <w:tcBorders>
              <w:tl2br w:val="nil"/>
              <w:tr2bl w:val="nil"/>
            </w:tcBorders>
            <w:shd w:val="clear" w:color="auto" w:fill="auto"/>
            <w:tcMar>
              <w:left w:w="28" w:type="dxa"/>
              <w:right w:w="28" w:type="dxa"/>
            </w:tcMar>
            <w:vAlign w:val="center"/>
          </w:tcPr>
          <w:p w14:paraId="370389A3">
            <w:pPr>
              <w:pStyle w:val="714"/>
              <w:rPr>
                <w:color w:val="auto"/>
              </w:rPr>
            </w:pPr>
            <w:r>
              <w:rPr>
                <w:color w:val="auto"/>
              </w:rPr>
              <w:t xml:space="preserve">1.81 </w:t>
            </w:r>
          </w:p>
        </w:tc>
        <w:tc>
          <w:tcPr>
            <w:tcW w:w="643" w:type="pct"/>
            <w:tcBorders>
              <w:tl2br w:val="nil"/>
              <w:tr2bl w:val="nil"/>
            </w:tcBorders>
            <w:shd w:val="clear" w:color="auto" w:fill="auto"/>
            <w:tcMar>
              <w:left w:w="28" w:type="dxa"/>
              <w:right w:w="28" w:type="dxa"/>
            </w:tcMar>
            <w:vAlign w:val="center"/>
          </w:tcPr>
          <w:p w14:paraId="169C73EE">
            <w:pPr>
              <w:pStyle w:val="714"/>
              <w:rPr>
                <w:color w:val="auto"/>
              </w:rPr>
            </w:pPr>
            <w:r>
              <w:rPr>
                <w:color w:val="auto"/>
              </w:rPr>
              <w:t xml:space="preserve">340.14 </w:t>
            </w:r>
          </w:p>
        </w:tc>
        <w:tc>
          <w:tcPr>
            <w:tcW w:w="643" w:type="pct"/>
            <w:tcBorders>
              <w:tl2br w:val="nil"/>
              <w:tr2bl w:val="nil"/>
            </w:tcBorders>
            <w:shd w:val="clear" w:color="auto" w:fill="auto"/>
            <w:tcMar>
              <w:left w:w="28" w:type="dxa"/>
              <w:right w:w="28" w:type="dxa"/>
            </w:tcMar>
            <w:vAlign w:val="center"/>
          </w:tcPr>
          <w:p w14:paraId="417AB164">
            <w:pPr>
              <w:pStyle w:val="714"/>
              <w:rPr>
                <w:color w:val="auto"/>
              </w:rPr>
            </w:pPr>
            <w:r>
              <w:rPr>
                <w:color w:val="auto"/>
              </w:rPr>
              <w:t xml:space="preserve">1.31 </w:t>
            </w:r>
          </w:p>
        </w:tc>
        <w:tc>
          <w:tcPr>
            <w:tcW w:w="643" w:type="pct"/>
            <w:tcBorders>
              <w:tl2br w:val="nil"/>
              <w:tr2bl w:val="nil"/>
            </w:tcBorders>
            <w:shd w:val="clear" w:color="auto" w:fill="auto"/>
            <w:tcMar>
              <w:left w:w="28" w:type="dxa"/>
              <w:right w:w="28" w:type="dxa"/>
            </w:tcMar>
            <w:vAlign w:val="center"/>
          </w:tcPr>
          <w:p w14:paraId="7C734EB7">
            <w:pPr>
              <w:pStyle w:val="714"/>
              <w:rPr>
                <w:color w:val="auto"/>
              </w:rPr>
            </w:pPr>
            <w:r>
              <w:rPr>
                <w:color w:val="auto"/>
              </w:rPr>
              <w:t xml:space="preserve">340.64 </w:t>
            </w:r>
          </w:p>
        </w:tc>
      </w:tr>
      <w:tr w14:paraId="13435F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6B4F7DBE">
            <w:pPr>
              <w:pStyle w:val="714"/>
              <w:rPr>
                <w:color w:val="auto"/>
              </w:rPr>
            </w:pPr>
            <w:r>
              <w:rPr>
                <w:color w:val="auto"/>
              </w:rPr>
              <w:t>13#</w:t>
            </w:r>
          </w:p>
        </w:tc>
        <w:tc>
          <w:tcPr>
            <w:tcW w:w="784" w:type="pct"/>
            <w:tcBorders>
              <w:tl2br w:val="nil"/>
              <w:tr2bl w:val="nil"/>
            </w:tcBorders>
            <w:shd w:val="clear" w:color="auto" w:fill="auto"/>
            <w:tcMar>
              <w:left w:w="28" w:type="dxa"/>
              <w:right w:w="28" w:type="dxa"/>
            </w:tcMar>
            <w:vAlign w:val="center"/>
          </w:tcPr>
          <w:p w14:paraId="269F8575">
            <w:pPr>
              <w:pStyle w:val="714"/>
              <w:rPr>
                <w:color w:val="auto"/>
              </w:rPr>
            </w:pPr>
            <w:r>
              <w:rPr>
                <w:color w:val="auto"/>
              </w:rPr>
              <w:t>106.8914955</w:t>
            </w:r>
          </w:p>
        </w:tc>
        <w:tc>
          <w:tcPr>
            <w:tcW w:w="597" w:type="pct"/>
            <w:tcBorders>
              <w:tl2br w:val="nil"/>
              <w:tr2bl w:val="nil"/>
            </w:tcBorders>
            <w:shd w:val="clear" w:color="auto" w:fill="auto"/>
            <w:tcMar>
              <w:left w:w="28" w:type="dxa"/>
              <w:right w:w="28" w:type="dxa"/>
            </w:tcMar>
            <w:vAlign w:val="center"/>
          </w:tcPr>
          <w:p w14:paraId="679BB0F4">
            <w:pPr>
              <w:pStyle w:val="714"/>
              <w:rPr>
                <w:color w:val="auto"/>
              </w:rPr>
            </w:pPr>
            <w:r>
              <w:rPr>
                <w:color w:val="auto"/>
              </w:rPr>
              <w:t>31.75676</w:t>
            </w:r>
          </w:p>
        </w:tc>
        <w:tc>
          <w:tcPr>
            <w:tcW w:w="585" w:type="pct"/>
            <w:tcBorders>
              <w:tl2br w:val="nil"/>
              <w:tr2bl w:val="nil"/>
            </w:tcBorders>
            <w:shd w:val="clear" w:color="auto" w:fill="auto"/>
            <w:tcMar>
              <w:left w:w="28" w:type="dxa"/>
              <w:right w:w="28" w:type="dxa"/>
            </w:tcMar>
            <w:vAlign w:val="center"/>
          </w:tcPr>
          <w:p w14:paraId="4096B36B">
            <w:pPr>
              <w:pStyle w:val="714"/>
              <w:rPr>
                <w:color w:val="auto"/>
              </w:rPr>
            </w:pPr>
            <w:r>
              <w:rPr>
                <w:color w:val="auto"/>
              </w:rPr>
              <w:t xml:space="preserve">339.54 </w:t>
            </w:r>
          </w:p>
        </w:tc>
        <w:tc>
          <w:tcPr>
            <w:tcW w:w="643" w:type="pct"/>
            <w:tcBorders>
              <w:tl2br w:val="nil"/>
              <w:tr2bl w:val="nil"/>
            </w:tcBorders>
            <w:shd w:val="clear" w:color="auto" w:fill="auto"/>
            <w:tcMar>
              <w:left w:w="28" w:type="dxa"/>
              <w:right w:w="28" w:type="dxa"/>
            </w:tcMar>
            <w:vAlign w:val="center"/>
          </w:tcPr>
          <w:p w14:paraId="09765C5C">
            <w:pPr>
              <w:pStyle w:val="714"/>
              <w:rPr>
                <w:color w:val="auto"/>
              </w:rPr>
            </w:pPr>
            <w:r>
              <w:rPr>
                <w:color w:val="auto"/>
              </w:rPr>
              <w:t xml:space="preserve">1.45 </w:t>
            </w:r>
          </w:p>
        </w:tc>
        <w:tc>
          <w:tcPr>
            <w:tcW w:w="643" w:type="pct"/>
            <w:tcBorders>
              <w:tl2br w:val="nil"/>
              <w:tr2bl w:val="nil"/>
            </w:tcBorders>
            <w:shd w:val="clear" w:color="auto" w:fill="auto"/>
            <w:tcMar>
              <w:left w:w="28" w:type="dxa"/>
              <w:right w:w="28" w:type="dxa"/>
            </w:tcMar>
            <w:vAlign w:val="center"/>
          </w:tcPr>
          <w:p w14:paraId="5DF402CB">
            <w:pPr>
              <w:pStyle w:val="714"/>
              <w:rPr>
                <w:color w:val="auto"/>
              </w:rPr>
            </w:pPr>
            <w:r>
              <w:rPr>
                <w:color w:val="auto"/>
              </w:rPr>
              <w:t xml:space="preserve">338.09 </w:t>
            </w:r>
          </w:p>
        </w:tc>
        <w:tc>
          <w:tcPr>
            <w:tcW w:w="643" w:type="pct"/>
            <w:tcBorders>
              <w:tl2br w:val="nil"/>
              <w:tr2bl w:val="nil"/>
            </w:tcBorders>
            <w:shd w:val="clear" w:color="auto" w:fill="auto"/>
            <w:tcMar>
              <w:left w:w="28" w:type="dxa"/>
              <w:right w:w="28" w:type="dxa"/>
            </w:tcMar>
            <w:vAlign w:val="center"/>
          </w:tcPr>
          <w:p w14:paraId="6077F27F">
            <w:pPr>
              <w:pStyle w:val="714"/>
              <w:rPr>
                <w:color w:val="auto"/>
              </w:rPr>
            </w:pPr>
            <w:r>
              <w:rPr>
                <w:color w:val="auto"/>
              </w:rPr>
              <w:t xml:space="preserve">1.15 </w:t>
            </w:r>
          </w:p>
        </w:tc>
        <w:tc>
          <w:tcPr>
            <w:tcW w:w="643" w:type="pct"/>
            <w:tcBorders>
              <w:tl2br w:val="nil"/>
              <w:tr2bl w:val="nil"/>
            </w:tcBorders>
            <w:shd w:val="clear" w:color="auto" w:fill="auto"/>
            <w:tcMar>
              <w:left w:w="28" w:type="dxa"/>
              <w:right w:w="28" w:type="dxa"/>
            </w:tcMar>
            <w:vAlign w:val="center"/>
          </w:tcPr>
          <w:p w14:paraId="150411DC">
            <w:pPr>
              <w:pStyle w:val="714"/>
              <w:rPr>
                <w:color w:val="auto"/>
              </w:rPr>
            </w:pPr>
            <w:r>
              <w:rPr>
                <w:color w:val="auto"/>
              </w:rPr>
              <w:t xml:space="preserve">338.39 </w:t>
            </w:r>
          </w:p>
        </w:tc>
      </w:tr>
      <w:tr w14:paraId="12BE4B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3" w:type="pct"/>
            <w:tcBorders>
              <w:tl2br w:val="nil"/>
              <w:tr2bl w:val="nil"/>
            </w:tcBorders>
            <w:shd w:val="clear" w:color="auto" w:fill="auto"/>
            <w:tcMar>
              <w:left w:w="28" w:type="dxa"/>
              <w:right w:w="28" w:type="dxa"/>
            </w:tcMar>
            <w:vAlign w:val="center"/>
          </w:tcPr>
          <w:p w14:paraId="6AF3604A">
            <w:pPr>
              <w:pStyle w:val="714"/>
              <w:rPr>
                <w:color w:val="auto"/>
              </w:rPr>
            </w:pPr>
            <w:r>
              <w:rPr>
                <w:color w:val="auto"/>
              </w:rPr>
              <w:t>14#</w:t>
            </w:r>
          </w:p>
        </w:tc>
        <w:tc>
          <w:tcPr>
            <w:tcW w:w="784" w:type="pct"/>
            <w:tcBorders>
              <w:tl2br w:val="nil"/>
              <w:tr2bl w:val="nil"/>
            </w:tcBorders>
            <w:shd w:val="clear" w:color="auto" w:fill="auto"/>
            <w:tcMar>
              <w:left w:w="28" w:type="dxa"/>
              <w:right w:w="28" w:type="dxa"/>
            </w:tcMar>
            <w:vAlign w:val="center"/>
          </w:tcPr>
          <w:p w14:paraId="52446632">
            <w:pPr>
              <w:pStyle w:val="714"/>
              <w:rPr>
                <w:color w:val="auto"/>
              </w:rPr>
            </w:pPr>
            <w:r>
              <w:rPr>
                <w:color w:val="auto"/>
              </w:rPr>
              <w:t>106.8925925</w:t>
            </w:r>
          </w:p>
        </w:tc>
        <w:tc>
          <w:tcPr>
            <w:tcW w:w="597" w:type="pct"/>
            <w:tcBorders>
              <w:tl2br w:val="nil"/>
              <w:tr2bl w:val="nil"/>
            </w:tcBorders>
            <w:shd w:val="clear" w:color="auto" w:fill="auto"/>
            <w:tcMar>
              <w:left w:w="28" w:type="dxa"/>
              <w:right w:w="28" w:type="dxa"/>
            </w:tcMar>
            <w:vAlign w:val="center"/>
          </w:tcPr>
          <w:p w14:paraId="1BBABB80">
            <w:pPr>
              <w:pStyle w:val="714"/>
              <w:rPr>
                <w:color w:val="auto"/>
              </w:rPr>
            </w:pPr>
            <w:r>
              <w:rPr>
                <w:color w:val="auto"/>
              </w:rPr>
              <w:t>31.75288</w:t>
            </w:r>
          </w:p>
        </w:tc>
        <w:tc>
          <w:tcPr>
            <w:tcW w:w="585" w:type="pct"/>
            <w:tcBorders>
              <w:tl2br w:val="nil"/>
              <w:tr2bl w:val="nil"/>
            </w:tcBorders>
            <w:shd w:val="clear" w:color="auto" w:fill="auto"/>
            <w:tcMar>
              <w:left w:w="28" w:type="dxa"/>
              <w:right w:w="28" w:type="dxa"/>
            </w:tcMar>
            <w:vAlign w:val="center"/>
          </w:tcPr>
          <w:p w14:paraId="57A5B114">
            <w:pPr>
              <w:pStyle w:val="714"/>
              <w:rPr>
                <w:color w:val="auto"/>
              </w:rPr>
            </w:pPr>
            <w:r>
              <w:rPr>
                <w:color w:val="auto"/>
              </w:rPr>
              <w:t xml:space="preserve">331.11 </w:t>
            </w:r>
          </w:p>
        </w:tc>
        <w:tc>
          <w:tcPr>
            <w:tcW w:w="643" w:type="pct"/>
            <w:tcBorders>
              <w:tl2br w:val="nil"/>
              <w:tr2bl w:val="nil"/>
            </w:tcBorders>
            <w:shd w:val="clear" w:color="auto" w:fill="auto"/>
            <w:tcMar>
              <w:left w:w="28" w:type="dxa"/>
              <w:right w:w="28" w:type="dxa"/>
            </w:tcMar>
            <w:vAlign w:val="center"/>
          </w:tcPr>
          <w:p w14:paraId="40E8CB25">
            <w:pPr>
              <w:pStyle w:val="714"/>
              <w:rPr>
                <w:color w:val="auto"/>
              </w:rPr>
            </w:pPr>
            <w:r>
              <w:rPr>
                <w:color w:val="auto"/>
              </w:rPr>
              <w:t xml:space="preserve">1.71 </w:t>
            </w:r>
          </w:p>
        </w:tc>
        <w:tc>
          <w:tcPr>
            <w:tcW w:w="643" w:type="pct"/>
            <w:tcBorders>
              <w:tl2br w:val="nil"/>
              <w:tr2bl w:val="nil"/>
            </w:tcBorders>
            <w:shd w:val="clear" w:color="auto" w:fill="auto"/>
            <w:tcMar>
              <w:left w:w="28" w:type="dxa"/>
              <w:right w:w="28" w:type="dxa"/>
            </w:tcMar>
            <w:vAlign w:val="center"/>
          </w:tcPr>
          <w:p w14:paraId="4792F73C">
            <w:pPr>
              <w:pStyle w:val="714"/>
              <w:rPr>
                <w:color w:val="auto"/>
              </w:rPr>
            </w:pPr>
            <w:r>
              <w:rPr>
                <w:color w:val="auto"/>
              </w:rPr>
              <w:t xml:space="preserve">329.40 </w:t>
            </w:r>
          </w:p>
        </w:tc>
        <w:tc>
          <w:tcPr>
            <w:tcW w:w="643" w:type="pct"/>
            <w:tcBorders>
              <w:tl2br w:val="nil"/>
              <w:tr2bl w:val="nil"/>
            </w:tcBorders>
            <w:shd w:val="clear" w:color="auto" w:fill="auto"/>
            <w:tcMar>
              <w:left w:w="28" w:type="dxa"/>
              <w:right w:w="28" w:type="dxa"/>
            </w:tcMar>
            <w:vAlign w:val="center"/>
          </w:tcPr>
          <w:p w14:paraId="27F59CEA">
            <w:pPr>
              <w:pStyle w:val="714"/>
              <w:rPr>
                <w:color w:val="auto"/>
              </w:rPr>
            </w:pPr>
            <w:r>
              <w:rPr>
                <w:color w:val="auto"/>
              </w:rPr>
              <w:t>0.</w:t>
            </w:r>
            <w:r>
              <w:rPr>
                <w:rFonts w:hint="eastAsia"/>
                <w:color w:val="auto"/>
              </w:rPr>
              <w:t>10</w:t>
            </w:r>
            <w:r>
              <w:rPr>
                <w:color w:val="auto"/>
              </w:rPr>
              <w:t xml:space="preserve"> </w:t>
            </w:r>
          </w:p>
        </w:tc>
        <w:tc>
          <w:tcPr>
            <w:tcW w:w="643" w:type="pct"/>
            <w:tcBorders>
              <w:tl2br w:val="nil"/>
              <w:tr2bl w:val="nil"/>
            </w:tcBorders>
            <w:shd w:val="clear" w:color="auto" w:fill="auto"/>
            <w:tcMar>
              <w:left w:w="28" w:type="dxa"/>
              <w:right w:w="28" w:type="dxa"/>
            </w:tcMar>
            <w:vAlign w:val="center"/>
          </w:tcPr>
          <w:p w14:paraId="44553F44">
            <w:pPr>
              <w:pStyle w:val="714"/>
              <w:rPr>
                <w:color w:val="auto"/>
              </w:rPr>
            </w:pPr>
            <w:r>
              <w:rPr>
                <w:color w:val="auto"/>
              </w:rPr>
              <w:t>331.</w:t>
            </w:r>
            <w:r>
              <w:rPr>
                <w:rFonts w:hint="eastAsia"/>
                <w:color w:val="auto"/>
              </w:rPr>
              <w:t>01</w:t>
            </w:r>
            <w:r>
              <w:rPr>
                <w:color w:val="auto"/>
              </w:rPr>
              <w:t xml:space="preserve"> </w:t>
            </w:r>
          </w:p>
        </w:tc>
      </w:tr>
      <w:bookmarkEnd w:id="135"/>
    </w:tbl>
    <w:p w14:paraId="15607086">
      <w:pPr>
        <w:pStyle w:val="10"/>
        <w:keepNext/>
        <w:keepLines/>
        <w:pageBreakBefore w:val="0"/>
        <w:widowControl w:val="0"/>
        <w:kinsoku/>
        <w:wordWrap/>
        <w:overflowPunct/>
        <w:topLinePunct w:val="0"/>
        <w:autoSpaceDE/>
        <w:autoSpaceDN/>
        <w:bidi w:val="0"/>
        <w:adjustRightInd/>
        <w:snapToGrid/>
        <w:spacing w:before="0" w:beforeLines="50"/>
        <w:ind w:firstLine="361"/>
        <w:textAlignment w:val="auto"/>
        <w:rPr>
          <w:rFonts w:cs="Times New Roman"/>
          <w:color w:val="auto"/>
        </w:rPr>
      </w:pPr>
      <w:r>
        <w:rPr>
          <w:rFonts w:cs="Times New Roman"/>
          <w:color w:val="auto"/>
        </w:rPr>
        <w:t>水文地质试验统计</w:t>
      </w:r>
    </w:p>
    <w:p w14:paraId="043F6EA4">
      <w:pPr>
        <w:ind w:firstLine="480"/>
        <w:rPr>
          <w:rFonts w:cs="Times New Roman"/>
          <w:color w:val="auto"/>
        </w:rPr>
      </w:pPr>
      <w:r>
        <w:rPr>
          <w:rFonts w:cs="Times New Roman"/>
          <w:color w:val="auto"/>
        </w:rPr>
        <w:t>为查明本项目含水层渗透性及包气带防污性能，项目组收集了本项目评价区区域水文地质报告提供的抽水试验成果及包气带渗水试验成果。</w:t>
      </w:r>
    </w:p>
    <w:p w14:paraId="768D2A39">
      <w:pPr>
        <w:ind w:firstLine="480"/>
        <w:rPr>
          <w:rFonts w:cs="Times New Roman"/>
          <w:color w:val="auto"/>
        </w:rPr>
      </w:pPr>
      <w:r>
        <w:rPr>
          <w:rFonts w:cs="Times New Roman"/>
          <w:color w:val="auto"/>
        </w:rPr>
        <w:t>（1）抽水试验及水文地质参数</w:t>
      </w:r>
    </w:p>
    <w:p w14:paraId="3E9EC4A2">
      <w:pPr>
        <w:ind w:firstLine="480"/>
        <w:rPr>
          <w:rFonts w:cs="Times New Roman"/>
          <w:color w:val="auto"/>
        </w:rPr>
      </w:pPr>
      <w:r>
        <w:rPr>
          <w:rFonts w:cs="Times New Roman"/>
          <w:color w:val="auto"/>
        </w:rPr>
        <w:t>本项目收集了区域水文地质报告中的第四系</w:t>
      </w:r>
      <w:r>
        <w:rPr>
          <w:rFonts w:hint="eastAsia" w:cs="Times New Roman"/>
          <w:color w:val="auto"/>
        </w:rPr>
        <w:t>全新统（Q</w:t>
      </w:r>
      <w:r>
        <w:rPr>
          <w:rFonts w:hint="eastAsia" w:cs="Times New Roman"/>
          <w:color w:val="auto"/>
          <w:vertAlign w:val="subscript"/>
        </w:rPr>
        <w:t>4</w:t>
      </w:r>
      <w:r>
        <w:rPr>
          <w:rFonts w:hint="eastAsia" w:cs="Times New Roman"/>
          <w:color w:val="auto"/>
          <w:vertAlign w:val="superscript"/>
        </w:rPr>
        <w:t>al</w:t>
      </w:r>
      <w:r>
        <w:rPr>
          <w:rFonts w:hint="eastAsia" w:cs="Times New Roman"/>
          <w:color w:val="auto"/>
        </w:rPr>
        <w:t>）、</w:t>
      </w:r>
      <w:r>
        <w:rPr>
          <w:rFonts w:cs="Times New Roman"/>
          <w:color w:val="auto"/>
        </w:rPr>
        <w:t>上更新统（Q</w:t>
      </w:r>
      <w:r>
        <w:rPr>
          <w:rFonts w:cs="Times New Roman"/>
          <w:color w:val="auto"/>
          <w:vertAlign w:val="subscript"/>
        </w:rPr>
        <w:t>3</w:t>
      </w:r>
      <w:r>
        <w:rPr>
          <w:rFonts w:hint="eastAsia" w:cs="Times New Roman"/>
          <w:color w:val="auto"/>
          <w:vertAlign w:val="superscript"/>
        </w:rPr>
        <w:t>al</w:t>
      </w:r>
      <w:r>
        <w:rPr>
          <w:rFonts w:cs="Times New Roman"/>
          <w:color w:val="auto"/>
        </w:rPr>
        <w:t>）</w:t>
      </w:r>
      <w:r>
        <w:rPr>
          <w:rFonts w:hint="eastAsia" w:cs="Times New Roman"/>
          <w:color w:val="auto"/>
        </w:rPr>
        <w:t>冲积</w:t>
      </w:r>
      <w:r>
        <w:rPr>
          <w:rFonts w:cs="Times New Roman"/>
          <w:color w:val="auto"/>
        </w:rPr>
        <w:t>层</w:t>
      </w:r>
      <w:r>
        <w:rPr>
          <w:rFonts w:hint="eastAsia" w:cs="Times New Roman"/>
          <w:color w:val="auto"/>
        </w:rPr>
        <w:t>及白垩系白龙组（K</w:t>
      </w:r>
      <w:r>
        <w:rPr>
          <w:rFonts w:hint="eastAsia" w:cs="Times New Roman"/>
          <w:color w:val="auto"/>
          <w:vertAlign w:val="subscript"/>
        </w:rPr>
        <w:t>1</w:t>
      </w:r>
      <w:r>
        <w:rPr>
          <w:rFonts w:hint="eastAsia" w:cs="Times New Roman"/>
          <w:color w:val="auto"/>
        </w:rPr>
        <w:t>b）基岩浅层地下水</w:t>
      </w:r>
      <w:r>
        <w:rPr>
          <w:rFonts w:cs="Times New Roman"/>
          <w:color w:val="auto"/>
        </w:rPr>
        <w:t>中开展的抽水试验数据，见表</w:t>
      </w:r>
      <w:r>
        <w:rPr>
          <w:rFonts w:hint="eastAsia" w:cs="Times New Roman"/>
          <w:color w:val="auto"/>
          <w:lang w:val="en-US" w:eastAsia="zh-CN"/>
        </w:rPr>
        <w:t>3.1</w:t>
      </w:r>
      <w:r>
        <w:rPr>
          <w:rFonts w:cs="Times New Roman"/>
          <w:color w:val="auto"/>
        </w:rPr>
        <w:t>-2</w:t>
      </w:r>
      <w:r>
        <w:rPr>
          <w:rFonts w:hint="eastAsia" w:cs="Times New Roman"/>
          <w:color w:val="auto"/>
        </w:rPr>
        <w:t>、表</w:t>
      </w:r>
      <w:r>
        <w:rPr>
          <w:rFonts w:hint="eastAsia" w:cs="Times New Roman"/>
          <w:color w:val="auto"/>
          <w:lang w:val="en-US" w:eastAsia="zh-CN"/>
        </w:rPr>
        <w:t>3.1</w:t>
      </w:r>
      <w:r>
        <w:rPr>
          <w:rFonts w:hint="eastAsia" w:cs="Times New Roman"/>
          <w:color w:val="auto"/>
        </w:rPr>
        <w:t>-3</w:t>
      </w:r>
      <w:r>
        <w:rPr>
          <w:rFonts w:cs="Times New Roman"/>
          <w:color w:val="auto"/>
        </w:rPr>
        <w:t>。</w:t>
      </w:r>
    </w:p>
    <w:p w14:paraId="3D952659">
      <w:pPr>
        <w:pStyle w:val="713"/>
        <w:rPr>
          <w:rFonts w:cs="Times New Roman"/>
          <w:color w:val="auto"/>
        </w:rPr>
      </w:pPr>
      <w:bookmarkStart w:id="136" w:name="_Toc520187804"/>
      <w:bookmarkStart w:id="137" w:name="_Toc337304730"/>
      <w:r>
        <w:rPr>
          <w:rFonts w:cs="Times New Roman"/>
          <w:color w:val="auto"/>
        </w:rPr>
        <w:t>表</w:t>
      </w:r>
      <w:r>
        <w:rPr>
          <w:rFonts w:hint="eastAsia" w:cs="Times New Roman"/>
          <w:color w:val="auto"/>
          <w:lang w:val="en-US" w:eastAsia="zh-CN"/>
        </w:rPr>
        <w:t>3.1</w:t>
      </w:r>
      <w:r>
        <w:rPr>
          <w:rFonts w:cs="Times New Roman"/>
          <w:color w:val="auto"/>
        </w:rPr>
        <w:t>-2  第四系</w:t>
      </w:r>
      <w:r>
        <w:rPr>
          <w:rFonts w:hint="eastAsia" w:cs="Times New Roman"/>
          <w:color w:val="auto"/>
        </w:rPr>
        <w:t>全新统及</w:t>
      </w:r>
      <w:r>
        <w:rPr>
          <w:rFonts w:cs="Times New Roman"/>
          <w:color w:val="auto"/>
        </w:rPr>
        <w:t>上更新统地层抽水试验成果统计表</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642"/>
        <w:gridCol w:w="910"/>
        <w:gridCol w:w="993"/>
        <w:gridCol w:w="1237"/>
        <w:gridCol w:w="963"/>
        <w:gridCol w:w="715"/>
        <w:gridCol w:w="825"/>
        <w:gridCol w:w="635"/>
        <w:gridCol w:w="1030"/>
        <w:gridCol w:w="894"/>
      </w:tblGrid>
      <w:tr w14:paraId="2BC2B5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3" w:type="pct"/>
            <w:vMerge w:val="restart"/>
            <w:tcBorders>
              <w:tl2br w:val="nil"/>
              <w:tr2bl w:val="nil"/>
            </w:tcBorders>
            <w:shd w:val="clear" w:color="auto" w:fill="auto"/>
            <w:vAlign w:val="center"/>
          </w:tcPr>
          <w:p w14:paraId="29BDE391">
            <w:pPr>
              <w:pStyle w:val="714"/>
              <w:rPr>
                <w:b/>
                <w:bCs/>
                <w:color w:val="auto"/>
              </w:rPr>
            </w:pPr>
            <w:r>
              <w:rPr>
                <w:rFonts w:hint="eastAsia"/>
                <w:b/>
                <w:bCs/>
                <w:color w:val="auto"/>
              </w:rPr>
              <w:t>试验孔</w:t>
            </w:r>
          </w:p>
        </w:tc>
        <w:tc>
          <w:tcPr>
            <w:tcW w:w="514" w:type="pct"/>
            <w:vMerge w:val="restart"/>
            <w:tcBorders>
              <w:tl2br w:val="nil"/>
              <w:tr2bl w:val="nil"/>
            </w:tcBorders>
            <w:shd w:val="clear" w:color="auto" w:fill="auto"/>
            <w:vAlign w:val="center"/>
          </w:tcPr>
          <w:p w14:paraId="4260ADAC">
            <w:pPr>
              <w:pStyle w:val="714"/>
              <w:rPr>
                <w:b/>
                <w:bCs/>
                <w:color w:val="auto"/>
              </w:rPr>
            </w:pPr>
            <w:r>
              <w:rPr>
                <w:rFonts w:hint="eastAsia"/>
                <w:b/>
                <w:bCs/>
                <w:color w:val="auto"/>
              </w:rPr>
              <w:t>含水层代号</w:t>
            </w:r>
          </w:p>
        </w:tc>
        <w:tc>
          <w:tcPr>
            <w:tcW w:w="561" w:type="pct"/>
            <w:vMerge w:val="restart"/>
            <w:tcBorders>
              <w:tl2br w:val="nil"/>
              <w:tr2bl w:val="nil"/>
            </w:tcBorders>
            <w:shd w:val="clear" w:color="auto" w:fill="auto"/>
            <w:vAlign w:val="center"/>
          </w:tcPr>
          <w:p w14:paraId="158947BC">
            <w:pPr>
              <w:pStyle w:val="714"/>
              <w:rPr>
                <w:b/>
                <w:bCs/>
                <w:color w:val="auto"/>
              </w:rPr>
            </w:pPr>
            <w:r>
              <w:rPr>
                <w:rFonts w:hint="eastAsia"/>
                <w:b/>
                <w:bCs/>
                <w:color w:val="auto"/>
              </w:rPr>
              <w:t>含水层厚度</w:t>
            </w:r>
          </w:p>
        </w:tc>
        <w:tc>
          <w:tcPr>
            <w:tcW w:w="699" w:type="pct"/>
            <w:vMerge w:val="restart"/>
            <w:tcBorders>
              <w:tl2br w:val="nil"/>
              <w:tr2bl w:val="nil"/>
            </w:tcBorders>
            <w:shd w:val="clear" w:color="auto" w:fill="auto"/>
            <w:vAlign w:val="center"/>
          </w:tcPr>
          <w:p w14:paraId="703F6BCD">
            <w:pPr>
              <w:pStyle w:val="714"/>
              <w:rPr>
                <w:b/>
                <w:bCs/>
                <w:color w:val="auto"/>
              </w:rPr>
            </w:pPr>
            <w:r>
              <w:rPr>
                <w:rFonts w:hint="eastAsia"/>
                <w:b/>
                <w:bCs/>
                <w:color w:val="auto"/>
              </w:rPr>
              <w:t>抽前静止水位埋深</w:t>
            </w:r>
          </w:p>
        </w:tc>
        <w:tc>
          <w:tcPr>
            <w:tcW w:w="544" w:type="pct"/>
            <w:vMerge w:val="restart"/>
            <w:tcBorders>
              <w:tl2br w:val="nil"/>
              <w:tr2bl w:val="nil"/>
            </w:tcBorders>
            <w:shd w:val="clear" w:color="auto" w:fill="auto"/>
            <w:vAlign w:val="center"/>
          </w:tcPr>
          <w:p w14:paraId="4FF33A38">
            <w:pPr>
              <w:pStyle w:val="714"/>
              <w:rPr>
                <w:b/>
                <w:bCs/>
                <w:color w:val="auto"/>
              </w:rPr>
            </w:pPr>
            <w:r>
              <w:rPr>
                <w:rFonts w:hint="eastAsia"/>
                <w:b/>
                <w:bCs/>
                <w:color w:val="auto"/>
              </w:rPr>
              <w:t>水位降深S</w:t>
            </w:r>
            <w:r>
              <w:rPr>
                <w:rFonts w:hint="eastAsia"/>
                <w:b/>
                <w:bCs/>
                <w:color w:val="auto"/>
                <w:vertAlign w:val="subscript"/>
              </w:rPr>
              <w:t>w</w:t>
            </w:r>
          </w:p>
        </w:tc>
        <w:tc>
          <w:tcPr>
            <w:tcW w:w="870" w:type="pct"/>
            <w:gridSpan w:val="2"/>
            <w:vMerge w:val="restart"/>
            <w:tcBorders>
              <w:tl2br w:val="nil"/>
              <w:tr2bl w:val="nil"/>
            </w:tcBorders>
            <w:shd w:val="clear" w:color="auto" w:fill="auto"/>
            <w:vAlign w:val="center"/>
          </w:tcPr>
          <w:p w14:paraId="6FE870D6">
            <w:pPr>
              <w:pStyle w:val="714"/>
              <w:rPr>
                <w:b/>
                <w:bCs/>
                <w:color w:val="auto"/>
              </w:rPr>
            </w:pPr>
            <w:r>
              <w:rPr>
                <w:rFonts w:hint="eastAsia"/>
                <w:b/>
                <w:bCs/>
                <w:color w:val="auto"/>
              </w:rPr>
              <w:t>涌水量Q</w:t>
            </w:r>
          </w:p>
        </w:tc>
        <w:tc>
          <w:tcPr>
            <w:tcW w:w="941" w:type="pct"/>
            <w:gridSpan w:val="2"/>
            <w:vMerge w:val="restart"/>
            <w:tcBorders>
              <w:tl2br w:val="nil"/>
              <w:tr2bl w:val="nil"/>
            </w:tcBorders>
            <w:shd w:val="clear" w:color="auto" w:fill="auto"/>
            <w:vAlign w:val="center"/>
          </w:tcPr>
          <w:p w14:paraId="56017280">
            <w:pPr>
              <w:pStyle w:val="714"/>
              <w:rPr>
                <w:b/>
                <w:bCs/>
                <w:color w:val="auto"/>
              </w:rPr>
            </w:pPr>
            <w:r>
              <w:rPr>
                <w:rFonts w:hint="eastAsia"/>
                <w:b/>
                <w:bCs/>
                <w:color w:val="auto"/>
              </w:rPr>
              <w:t>渗透系数K</w:t>
            </w:r>
          </w:p>
        </w:tc>
        <w:tc>
          <w:tcPr>
            <w:tcW w:w="505" w:type="pct"/>
            <w:vMerge w:val="restart"/>
            <w:tcBorders>
              <w:tl2br w:val="nil"/>
              <w:tr2bl w:val="nil"/>
            </w:tcBorders>
            <w:shd w:val="clear" w:color="auto" w:fill="auto"/>
            <w:vAlign w:val="center"/>
          </w:tcPr>
          <w:p w14:paraId="76006027">
            <w:pPr>
              <w:pStyle w:val="714"/>
              <w:rPr>
                <w:b/>
                <w:bCs/>
                <w:color w:val="auto"/>
              </w:rPr>
            </w:pPr>
            <w:r>
              <w:rPr>
                <w:rFonts w:hint="eastAsia"/>
                <w:b/>
                <w:bCs/>
                <w:color w:val="auto"/>
              </w:rPr>
              <w:t>影响半径R</w:t>
            </w:r>
          </w:p>
        </w:tc>
      </w:tr>
      <w:tr w14:paraId="4E55F4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3" w:type="pct"/>
            <w:vMerge w:val="continue"/>
            <w:tcBorders>
              <w:tl2br w:val="nil"/>
              <w:tr2bl w:val="nil"/>
            </w:tcBorders>
            <w:vAlign w:val="center"/>
          </w:tcPr>
          <w:p w14:paraId="3FF01251">
            <w:pPr>
              <w:pStyle w:val="714"/>
              <w:rPr>
                <w:color w:val="auto"/>
              </w:rPr>
            </w:pPr>
          </w:p>
        </w:tc>
        <w:tc>
          <w:tcPr>
            <w:tcW w:w="514" w:type="pct"/>
            <w:vMerge w:val="continue"/>
            <w:tcBorders>
              <w:tl2br w:val="nil"/>
              <w:tr2bl w:val="nil"/>
            </w:tcBorders>
            <w:vAlign w:val="center"/>
          </w:tcPr>
          <w:p w14:paraId="26CCA008">
            <w:pPr>
              <w:pStyle w:val="714"/>
              <w:rPr>
                <w:color w:val="auto"/>
              </w:rPr>
            </w:pPr>
          </w:p>
        </w:tc>
        <w:tc>
          <w:tcPr>
            <w:tcW w:w="561" w:type="pct"/>
            <w:vMerge w:val="continue"/>
            <w:tcBorders>
              <w:tl2br w:val="nil"/>
              <w:tr2bl w:val="nil"/>
            </w:tcBorders>
            <w:vAlign w:val="center"/>
          </w:tcPr>
          <w:p w14:paraId="03BEE63B">
            <w:pPr>
              <w:pStyle w:val="714"/>
              <w:rPr>
                <w:color w:val="auto"/>
              </w:rPr>
            </w:pPr>
          </w:p>
        </w:tc>
        <w:tc>
          <w:tcPr>
            <w:tcW w:w="699" w:type="pct"/>
            <w:vMerge w:val="continue"/>
            <w:tcBorders>
              <w:tl2br w:val="nil"/>
              <w:tr2bl w:val="nil"/>
            </w:tcBorders>
            <w:vAlign w:val="center"/>
          </w:tcPr>
          <w:p w14:paraId="5FA607EC">
            <w:pPr>
              <w:pStyle w:val="714"/>
              <w:rPr>
                <w:color w:val="auto"/>
              </w:rPr>
            </w:pPr>
          </w:p>
        </w:tc>
        <w:tc>
          <w:tcPr>
            <w:tcW w:w="544" w:type="pct"/>
            <w:vMerge w:val="continue"/>
            <w:tcBorders>
              <w:tl2br w:val="nil"/>
              <w:tr2bl w:val="nil"/>
            </w:tcBorders>
            <w:vAlign w:val="center"/>
          </w:tcPr>
          <w:p w14:paraId="7FD2846F">
            <w:pPr>
              <w:pStyle w:val="714"/>
              <w:rPr>
                <w:color w:val="auto"/>
              </w:rPr>
            </w:pPr>
          </w:p>
        </w:tc>
        <w:tc>
          <w:tcPr>
            <w:tcW w:w="870" w:type="pct"/>
            <w:gridSpan w:val="2"/>
            <w:vMerge w:val="continue"/>
            <w:tcBorders>
              <w:tl2br w:val="nil"/>
              <w:tr2bl w:val="nil"/>
            </w:tcBorders>
            <w:vAlign w:val="center"/>
          </w:tcPr>
          <w:p w14:paraId="085912EC">
            <w:pPr>
              <w:pStyle w:val="714"/>
              <w:rPr>
                <w:color w:val="auto"/>
              </w:rPr>
            </w:pPr>
          </w:p>
        </w:tc>
        <w:tc>
          <w:tcPr>
            <w:tcW w:w="941" w:type="pct"/>
            <w:gridSpan w:val="2"/>
            <w:vMerge w:val="continue"/>
            <w:tcBorders>
              <w:tl2br w:val="nil"/>
              <w:tr2bl w:val="nil"/>
            </w:tcBorders>
            <w:vAlign w:val="center"/>
          </w:tcPr>
          <w:p w14:paraId="143322AE">
            <w:pPr>
              <w:pStyle w:val="714"/>
              <w:rPr>
                <w:color w:val="auto"/>
              </w:rPr>
            </w:pPr>
          </w:p>
        </w:tc>
        <w:tc>
          <w:tcPr>
            <w:tcW w:w="505" w:type="pct"/>
            <w:vMerge w:val="continue"/>
            <w:tcBorders>
              <w:tl2br w:val="nil"/>
              <w:tr2bl w:val="nil"/>
            </w:tcBorders>
            <w:vAlign w:val="center"/>
          </w:tcPr>
          <w:p w14:paraId="2A84A088">
            <w:pPr>
              <w:pStyle w:val="714"/>
              <w:rPr>
                <w:color w:val="auto"/>
              </w:rPr>
            </w:pPr>
          </w:p>
        </w:tc>
      </w:tr>
      <w:tr w14:paraId="1942CF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3" w:type="pct"/>
            <w:vMerge w:val="continue"/>
            <w:tcBorders>
              <w:tl2br w:val="nil"/>
              <w:tr2bl w:val="nil"/>
            </w:tcBorders>
            <w:vAlign w:val="center"/>
          </w:tcPr>
          <w:p w14:paraId="5E38418A">
            <w:pPr>
              <w:pStyle w:val="714"/>
              <w:rPr>
                <w:color w:val="auto"/>
              </w:rPr>
            </w:pPr>
          </w:p>
        </w:tc>
        <w:tc>
          <w:tcPr>
            <w:tcW w:w="514" w:type="pct"/>
            <w:vMerge w:val="continue"/>
            <w:tcBorders>
              <w:tl2br w:val="nil"/>
              <w:tr2bl w:val="nil"/>
            </w:tcBorders>
            <w:vAlign w:val="center"/>
          </w:tcPr>
          <w:p w14:paraId="023FC45E">
            <w:pPr>
              <w:pStyle w:val="714"/>
              <w:rPr>
                <w:color w:val="auto"/>
              </w:rPr>
            </w:pPr>
          </w:p>
        </w:tc>
        <w:tc>
          <w:tcPr>
            <w:tcW w:w="561" w:type="pct"/>
            <w:tcBorders>
              <w:tl2br w:val="nil"/>
              <w:tr2bl w:val="nil"/>
            </w:tcBorders>
            <w:shd w:val="clear" w:color="auto" w:fill="auto"/>
            <w:vAlign w:val="center"/>
          </w:tcPr>
          <w:p w14:paraId="7005FC2A">
            <w:pPr>
              <w:pStyle w:val="714"/>
              <w:rPr>
                <w:b/>
                <w:bCs/>
                <w:color w:val="auto"/>
              </w:rPr>
            </w:pPr>
            <w:r>
              <w:rPr>
                <w:rFonts w:hint="eastAsia"/>
                <w:b/>
                <w:bCs/>
                <w:color w:val="auto"/>
              </w:rPr>
              <w:t>m</w:t>
            </w:r>
          </w:p>
        </w:tc>
        <w:tc>
          <w:tcPr>
            <w:tcW w:w="699" w:type="pct"/>
            <w:tcBorders>
              <w:tl2br w:val="nil"/>
              <w:tr2bl w:val="nil"/>
            </w:tcBorders>
            <w:shd w:val="clear" w:color="auto" w:fill="auto"/>
            <w:vAlign w:val="center"/>
          </w:tcPr>
          <w:p w14:paraId="42F8CD75">
            <w:pPr>
              <w:pStyle w:val="714"/>
              <w:rPr>
                <w:b/>
                <w:bCs/>
                <w:color w:val="auto"/>
              </w:rPr>
            </w:pPr>
            <w:r>
              <w:rPr>
                <w:rFonts w:hint="eastAsia"/>
                <w:b/>
                <w:bCs/>
                <w:color w:val="auto"/>
              </w:rPr>
              <w:t>m</w:t>
            </w:r>
          </w:p>
        </w:tc>
        <w:tc>
          <w:tcPr>
            <w:tcW w:w="544" w:type="pct"/>
            <w:tcBorders>
              <w:tl2br w:val="nil"/>
              <w:tr2bl w:val="nil"/>
            </w:tcBorders>
            <w:shd w:val="clear" w:color="auto" w:fill="auto"/>
            <w:vAlign w:val="center"/>
          </w:tcPr>
          <w:p w14:paraId="0F70EBF6">
            <w:pPr>
              <w:pStyle w:val="714"/>
              <w:rPr>
                <w:b/>
                <w:bCs/>
                <w:color w:val="auto"/>
              </w:rPr>
            </w:pPr>
            <w:r>
              <w:rPr>
                <w:rFonts w:hint="eastAsia"/>
                <w:b/>
                <w:bCs/>
                <w:color w:val="auto"/>
              </w:rPr>
              <w:t>m</w:t>
            </w:r>
          </w:p>
        </w:tc>
        <w:tc>
          <w:tcPr>
            <w:tcW w:w="404" w:type="pct"/>
            <w:tcBorders>
              <w:tl2br w:val="nil"/>
              <w:tr2bl w:val="nil"/>
            </w:tcBorders>
            <w:shd w:val="clear" w:color="auto" w:fill="auto"/>
            <w:vAlign w:val="center"/>
          </w:tcPr>
          <w:p w14:paraId="774B8E5C">
            <w:pPr>
              <w:pStyle w:val="714"/>
              <w:rPr>
                <w:b/>
                <w:bCs/>
                <w:color w:val="auto"/>
              </w:rPr>
            </w:pPr>
            <w:r>
              <w:rPr>
                <w:rFonts w:hint="eastAsia"/>
                <w:b/>
                <w:bCs/>
                <w:color w:val="auto"/>
              </w:rPr>
              <w:t>L/s</w:t>
            </w:r>
          </w:p>
        </w:tc>
        <w:tc>
          <w:tcPr>
            <w:tcW w:w="466" w:type="pct"/>
            <w:tcBorders>
              <w:tl2br w:val="nil"/>
              <w:tr2bl w:val="nil"/>
            </w:tcBorders>
            <w:shd w:val="clear" w:color="auto" w:fill="auto"/>
            <w:vAlign w:val="center"/>
          </w:tcPr>
          <w:p w14:paraId="7AFDEDB2">
            <w:pPr>
              <w:pStyle w:val="714"/>
              <w:rPr>
                <w:b/>
                <w:bCs/>
                <w:color w:val="auto"/>
              </w:rPr>
            </w:pPr>
            <w:r>
              <w:rPr>
                <w:rFonts w:hint="eastAsia"/>
                <w:b/>
                <w:bCs/>
                <w:color w:val="auto"/>
                <w:lang w:eastAsia="zh-CN"/>
              </w:rPr>
              <w:t>m³</w:t>
            </w:r>
            <w:r>
              <w:rPr>
                <w:rFonts w:hint="eastAsia"/>
                <w:b/>
                <w:bCs/>
                <w:color w:val="auto"/>
              </w:rPr>
              <w:t>/d</w:t>
            </w:r>
          </w:p>
        </w:tc>
        <w:tc>
          <w:tcPr>
            <w:tcW w:w="359" w:type="pct"/>
            <w:tcBorders>
              <w:tl2br w:val="nil"/>
              <w:tr2bl w:val="nil"/>
            </w:tcBorders>
            <w:shd w:val="clear" w:color="auto" w:fill="auto"/>
            <w:vAlign w:val="center"/>
          </w:tcPr>
          <w:p w14:paraId="7E20AA1C">
            <w:pPr>
              <w:pStyle w:val="714"/>
              <w:rPr>
                <w:b/>
                <w:bCs/>
                <w:color w:val="auto"/>
              </w:rPr>
            </w:pPr>
            <w:r>
              <w:rPr>
                <w:rFonts w:hint="eastAsia"/>
                <w:b/>
                <w:bCs/>
                <w:color w:val="auto"/>
              </w:rPr>
              <w:t>m/d</w:t>
            </w:r>
          </w:p>
        </w:tc>
        <w:tc>
          <w:tcPr>
            <w:tcW w:w="582" w:type="pct"/>
            <w:tcBorders>
              <w:tl2br w:val="nil"/>
              <w:tr2bl w:val="nil"/>
            </w:tcBorders>
            <w:shd w:val="clear" w:color="auto" w:fill="auto"/>
            <w:vAlign w:val="center"/>
          </w:tcPr>
          <w:p w14:paraId="2C8A6168">
            <w:pPr>
              <w:pStyle w:val="714"/>
              <w:rPr>
                <w:b/>
                <w:bCs/>
                <w:color w:val="auto"/>
              </w:rPr>
            </w:pPr>
            <w:r>
              <w:rPr>
                <w:rFonts w:hint="eastAsia"/>
                <w:b/>
                <w:bCs/>
                <w:color w:val="auto"/>
              </w:rPr>
              <w:t>cm/s</w:t>
            </w:r>
          </w:p>
        </w:tc>
        <w:tc>
          <w:tcPr>
            <w:tcW w:w="505" w:type="pct"/>
            <w:tcBorders>
              <w:tl2br w:val="nil"/>
              <w:tr2bl w:val="nil"/>
            </w:tcBorders>
            <w:shd w:val="clear" w:color="auto" w:fill="auto"/>
            <w:vAlign w:val="center"/>
          </w:tcPr>
          <w:p w14:paraId="191DAB0A">
            <w:pPr>
              <w:pStyle w:val="714"/>
              <w:rPr>
                <w:color w:val="auto"/>
              </w:rPr>
            </w:pPr>
            <w:r>
              <w:rPr>
                <w:rFonts w:hint="eastAsia"/>
                <w:color w:val="auto"/>
              </w:rPr>
              <w:t>m</w:t>
            </w:r>
          </w:p>
        </w:tc>
      </w:tr>
      <w:tr w14:paraId="43F11C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3" w:type="pct"/>
            <w:tcBorders>
              <w:tl2br w:val="nil"/>
              <w:tr2bl w:val="nil"/>
            </w:tcBorders>
            <w:shd w:val="clear" w:color="auto" w:fill="auto"/>
            <w:vAlign w:val="center"/>
          </w:tcPr>
          <w:p w14:paraId="56CAFAF1">
            <w:pPr>
              <w:pStyle w:val="714"/>
              <w:rPr>
                <w:color w:val="auto"/>
              </w:rPr>
            </w:pPr>
            <w:r>
              <w:rPr>
                <w:rFonts w:hint="eastAsia"/>
                <w:color w:val="auto"/>
              </w:rPr>
              <w:t>23</w:t>
            </w:r>
          </w:p>
        </w:tc>
        <w:tc>
          <w:tcPr>
            <w:tcW w:w="514" w:type="pct"/>
            <w:tcBorders>
              <w:tl2br w:val="nil"/>
              <w:tr2bl w:val="nil"/>
            </w:tcBorders>
            <w:shd w:val="clear" w:color="auto" w:fill="auto"/>
            <w:vAlign w:val="center"/>
          </w:tcPr>
          <w:p w14:paraId="5F4B9AF6">
            <w:pPr>
              <w:pStyle w:val="714"/>
              <w:rPr>
                <w:color w:val="auto"/>
              </w:rPr>
            </w:pPr>
            <w:r>
              <w:rPr>
                <w:rFonts w:hint="eastAsia"/>
                <w:color w:val="auto"/>
              </w:rPr>
              <w:t>Q</w:t>
            </w:r>
            <w:r>
              <w:rPr>
                <w:rFonts w:hint="eastAsia"/>
                <w:color w:val="auto"/>
                <w:vertAlign w:val="subscript"/>
              </w:rPr>
              <w:t>4</w:t>
            </w:r>
            <w:r>
              <w:rPr>
                <w:rFonts w:hint="eastAsia"/>
                <w:color w:val="auto"/>
                <w:vertAlign w:val="superscript"/>
              </w:rPr>
              <w:t>al</w:t>
            </w:r>
          </w:p>
        </w:tc>
        <w:tc>
          <w:tcPr>
            <w:tcW w:w="561" w:type="pct"/>
            <w:tcBorders>
              <w:tl2br w:val="nil"/>
              <w:tr2bl w:val="nil"/>
            </w:tcBorders>
            <w:shd w:val="clear" w:color="auto" w:fill="auto"/>
            <w:vAlign w:val="center"/>
          </w:tcPr>
          <w:p w14:paraId="66BE19AE">
            <w:pPr>
              <w:pStyle w:val="714"/>
              <w:rPr>
                <w:color w:val="auto"/>
              </w:rPr>
            </w:pPr>
            <w:r>
              <w:rPr>
                <w:rFonts w:hint="eastAsia"/>
                <w:color w:val="auto"/>
              </w:rPr>
              <w:t>17.34</w:t>
            </w:r>
          </w:p>
        </w:tc>
        <w:tc>
          <w:tcPr>
            <w:tcW w:w="699" w:type="pct"/>
            <w:tcBorders>
              <w:tl2br w:val="nil"/>
              <w:tr2bl w:val="nil"/>
            </w:tcBorders>
            <w:shd w:val="clear" w:color="auto" w:fill="auto"/>
            <w:vAlign w:val="center"/>
          </w:tcPr>
          <w:p w14:paraId="757199D8">
            <w:pPr>
              <w:pStyle w:val="714"/>
              <w:rPr>
                <w:color w:val="auto"/>
              </w:rPr>
            </w:pPr>
            <w:r>
              <w:rPr>
                <w:rFonts w:hint="eastAsia"/>
                <w:color w:val="auto"/>
              </w:rPr>
              <w:t>6.58</w:t>
            </w:r>
          </w:p>
        </w:tc>
        <w:tc>
          <w:tcPr>
            <w:tcW w:w="544" w:type="pct"/>
            <w:tcBorders>
              <w:tl2br w:val="nil"/>
              <w:tr2bl w:val="nil"/>
            </w:tcBorders>
            <w:shd w:val="clear" w:color="auto" w:fill="auto"/>
            <w:vAlign w:val="center"/>
          </w:tcPr>
          <w:p w14:paraId="6E56606F">
            <w:pPr>
              <w:pStyle w:val="714"/>
              <w:rPr>
                <w:color w:val="auto"/>
              </w:rPr>
            </w:pPr>
            <w:r>
              <w:rPr>
                <w:rFonts w:hint="eastAsia"/>
                <w:color w:val="auto"/>
              </w:rPr>
              <w:t>6.13</w:t>
            </w:r>
          </w:p>
        </w:tc>
        <w:tc>
          <w:tcPr>
            <w:tcW w:w="404" w:type="pct"/>
            <w:tcBorders>
              <w:tl2br w:val="nil"/>
              <w:tr2bl w:val="nil"/>
            </w:tcBorders>
            <w:shd w:val="clear" w:color="auto" w:fill="auto"/>
            <w:vAlign w:val="center"/>
          </w:tcPr>
          <w:p w14:paraId="55FB98E0">
            <w:pPr>
              <w:pStyle w:val="714"/>
              <w:rPr>
                <w:color w:val="auto"/>
              </w:rPr>
            </w:pPr>
            <w:r>
              <w:rPr>
                <w:rFonts w:hint="eastAsia"/>
                <w:color w:val="auto"/>
              </w:rPr>
              <w:t>3.997</w:t>
            </w:r>
          </w:p>
        </w:tc>
        <w:tc>
          <w:tcPr>
            <w:tcW w:w="466" w:type="pct"/>
            <w:tcBorders>
              <w:tl2br w:val="nil"/>
              <w:tr2bl w:val="nil"/>
            </w:tcBorders>
            <w:shd w:val="clear" w:color="auto" w:fill="auto"/>
            <w:vAlign w:val="center"/>
          </w:tcPr>
          <w:p w14:paraId="27D57823">
            <w:pPr>
              <w:pStyle w:val="714"/>
              <w:rPr>
                <w:color w:val="auto"/>
              </w:rPr>
            </w:pPr>
            <w:r>
              <w:rPr>
                <w:rFonts w:hint="eastAsia"/>
                <w:color w:val="auto"/>
              </w:rPr>
              <w:t>345.30</w:t>
            </w:r>
          </w:p>
        </w:tc>
        <w:tc>
          <w:tcPr>
            <w:tcW w:w="359" w:type="pct"/>
            <w:tcBorders>
              <w:tl2br w:val="nil"/>
              <w:tr2bl w:val="nil"/>
            </w:tcBorders>
            <w:shd w:val="clear" w:color="auto" w:fill="auto"/>
            <w:vAlign w:val="center"/>
          </w:tcPr>
          <w:p w14:paraId="7C22E9D0">
            <w:pPr>
              <w:pStyle w:val="714"/>
              <w:rPr>
                <w:color w:val="auto"/>
              </w:rPr>
            </w:pPr>
            <w:r>
              <w:rPr>
                <w:rFonts w:hint="eastAsia"/>
                <w:color w:val="auto"/>
              </w:rPr>
              <w:t>4.17</w:t>
            </w:r>
          </w:p>
        </w:tc>
        <w:tc>
          <w:tcPr>
            <w:tcW w:w="582" w:type="pct"/>
            <w:tcBorders>
              <w:tl2br w:val="nil"/>
              <w:tr2bl w:val="nil"/>
            </w:tcBorders>
            <w:shd w:val="clear" w:color="auto" w:fill="auto"/>
            <w:vAlign w:val="center"/>
          </w:tcPr>
          <w:p w14:paraId="63FB78B6">
            <w:pPr>
              <w:pStyle w:val="714"/>
              <w:rPr>
                <w:color w:val="auto"/>
              </w:rPr>
            </w:pPr>
            <w:r>
              <w:rPr>
                <w:rFonts w:hint="eastAsia"/>
                <w:color w:val="auto"/>
              </w:rPr>
              <w:t>4.83E-03</w:t>
            </w:r>
          </w:p>
        </w:tc>
        <w:tc>
          <w:tcPr>
            <w:tcW w:w="505" w:type="pct"/>
            <w:tcBorders>
              <w:tl2br w:val="nil"/>
              <w:tr2bl w:val="nil"/>
            </w:tcBorders>
            <w:shd w:val="clear" w:color="auto" w:fill="auto"/>
            <w:vAlign w:val="center"/>
          </w:tcPr>
          <w:p w14:paraId="74F8318B">
            <w:pPr>
              <w:pStyle w:val="714"/>
              <w:rPr>
                <w:color w:val="auto"/>
              </w:rPr>
            </w:pPr>
            <w:r>
              <w:rPr>
                <w:rFonts w:hint="eastAsia"/>
                <w:color w:val="auto"/>
              </w:rPr>
              <w:t>125</w:t>
            </w:r>
          </w:p>
        </w:tc>
      </w:tr>
      <w:tr w14:paraId="4C4725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3" w:type="pct"/>
            <w:tcBorders>
              <w:tl2br w:val="nil"/>
              <w:tr2bl w:val="nil"/>
            </w:tcBorders>
            <w:shd w:val="clear" w:color="auto" w:fill="auto"/>
            <w:noWrap/>
            <w:vAlign w:val="center"/>
          </w:tcPr>
          <w:p w14:paraId="2BF187C7">
            <w:pPr>
              <w:pStyle w:val="714"/>
              <w:rPr>
                <w:color w:val="auto"/>
              </w:rPr>
            </w:pPr>
            <w:r>
              <w:rPr>
                <w:rFonts w:hint="eastAsia"/>
                <w:color w:val="auto"/>
              </w:rPr>
              <w:t>24</w:t>
            </w:r>
          </w:p>
        </w:tc>
        <w:tc>
          <w:tcPr>
            <w:tcW w:w="514" w:type="pct"/>
            <w:tcBorders>
              <w:tl2br w:val="nil"/>
              <w:tr2bl w:val="nil"/>
            </w:tcBorders>
            <w:shd w:val="clear" w:color="auto" w:fill="auto"/>
            <w:vAlign w:val="center"/>
          </w:tcPr>
          <w:p w14:paraId="5675A665">
            <w:pPr>
              <w:pStyle w:val="714"/>
              <w:rPr>
                <w:color w:val="auto"/>
              </w:rPr>
            </w:pPr>
            <w:r>
              <w:rPr>
                <w:rFonts w:hint="eastAsia"/>
                <w:color w:val="auto"/>
              </w:rPr>
              <w:t>Q</w:t>
            </w:r>
            <w:r>
              <w:rPr>
                <w:rFonts w:hint="eastAsia"/>
                <w:color w:val="auto"/>
                <w:vertAlign w:val="subscript"/>
              </w:rPr>
              <w:t>4</w:t>
            </w:r>
            <w:r>
              <w:rPr>
                <w:rFonts w:hint="eastAsia"/>
                <w:color w:val="auto"/>
                <w:vertAlign w:val="superscript"/>
              </w:rPr>
              <w:t>al</w:t>
            </w:r>
          </w:p>
        </w:tc>
        <w:tc>
          <w:tcPr>
            <w:tcW w:w="561" w:type="pct"/>
            <w:tcBorders>
              <w:tl2br w:val="nil"/>
              <w:tr2bl w:val="nil"/>
            </w:tcBorders>
            <w:shd w:val="clear" w:color="auto" w:fill="auto"/>
            <w:vAlign w:val="center"/>
          </w:tcPr>
          <w:p w14:paraId="5D173BE8">
            <w:pPr>
              <w:pStyle w:val="714"/>
              <w:rPr>
                <w:color w:val="auto"/>
              </w:rPr>
            </w:pPr>
            <w:r>
              <w:rPr>
                <w:rFonts w:hint="eastAsia"/>
                <w:color w:val="auto"/>
              </w:rPr>
              <w:t>18.28</w:t>
            </w:r>
          </w:p>
        </w:tc>
        <w:tc>
          <w:tcPr>
            <w:tcW w:w="699" w:type="pct"/>
            <w:tcBorders>
              <w:tl2br w:val="nil"/>
              <w:tr2bl w:val="nil"/>
            </w:tcBorders>
            <w:shd w:val="clear" w:color="auto" w:fill="auto"/>
            <w:vAlign w:val="center"/>
          </w:tcPr>
          <w:p w14:paraId="0EBCDAD1">
            <w:pPr>
              <w:pStyle w:val="714"/>
              <w:rPr>
                <w:color w:val="auto"/>
              </w:rPr>
            </w:pPr>
            <w:r>
              <w:rPr>
                <w:rFonts w:hint="eastAsia"/>
                <w:color w:val="auto"/>
              </w:rPr>
              <w:t>6.11</w:t>
            </w:r>
          </w:p>
        </w:tc>
        <w:tc>
          <w:tcPr>
            <w:tcW w:w="544" w:type="pct"/>
            <w:tcBorders>
              <w:tl2br w:val="nil"/>
              <w:tr2bl w:val="nil"/>
            </w:tcBorders>
            <w:shd w:val="clear" w:color="auto" w:fill="auto"/>
            <w:vAlign w:val="center"/>
          </w:tcPr>
          <w:p w14:paraId="436AA364">
            <w:pPr>
              <w:pStyle w:val="714"/>
              <w:rPr>
                <w:color w:val="auto"/>
              </w:rPr>
            </w:pPr>
            <w:r>
              <w:rPr>
                <w:rFonts w:hint="eastAsia"/>
                <w:color w:val="auto"/>
              </w:rPr>
              <w:t>4.56</w:t>
            </w:r>
          </w:p>
        </w:tc>
        <w:tc>
          <w:tcPr>
            <w:tcW w:w="404" w:type="pct"/>
            <w:tcBorders>
              <w:tl2br w:val="nil"/>
              <w:tr2bl w:val="nil"/>
            </w:tcBorders>
            <w:shd w:val="clear" w:color="auto" w:fill="auto"/>
            <w:vAlign w:val="center"/>
          </w:tcPr>
          <w:p w14:paraId="0AB95A0C">
            <w:pPr>
              <w:pStyle w:val="714"/>
              <w:rPr>
                <w:color w:val="auto"/>
              </w:rPr>
            </w:pPr>
            <w:r>
              <w:rPr>
                <w:rFonts w:hint="eastAsia"/>
                <w:color w:val="auto"/>
              </w:rPr>
              <w:t>4.317</w:t>
            </w:r>
          </w:p>
        </w:tc>
        <w:tc>
          <w:tcPr>
            <w:tcW w:w="466" w:type="pct"/>
            <w:tcBorders>
              <w:tl2br w:val="nil"/>
              <w:tr2bl w:val="nil"/>
            </w:tcBorders>
            <w:shd w:val="clear" w:color="auto" w:fill="auto"/>
            <w:vAlign w:val="center"/>
          </w:tcPr>
          <w:p w14:paraId="06F0CD59">
            <w:pPr>
              <w:pStyle w:val="714"/>
              <w:rPr>
                <w:color w:val="auto"/>
              </w:rPr>
            </w:pPr>
            <w:r>
              <w:rPr>
                <w:rFonts w:hint="eastAsia"/>
                <w:color w:val="auto"/>
              </w:rPr>
              <w:t>372.97</w:t>
            </w:r>
          </w:p>
        </w:tc>
        <w:tc>
          <w:tcPr>
            <w:tcW w:w="359" w:type="pct"/>
            <w:tcBorders>
              <w:tl2br w:val="nil"/>
              <w:tr2bl w:val="nil"/>
            </w:tcBorders>
            <w:shd w:val="clear" w:color="auto" w:fill="auto"/>
            <w:vAlign w:val="center"/>
          </w:tcPr>
          <w:p w14:paraId="3565EB71">
            <w:pPr>
              <w:pStyle w:val="714"/>
              <w:rPr>
                <w:color w:val="auto"/>
              </w:rPr>
            </w:pPr>
            <w:r>
              <w:rPr>
                <w:rFonts w:hint="eastAsia"/>
                <w:color w:val="auto"/>
              </w:rPr>
              <w:t>5.54</w:t>
            </w:r>
          </w:p>
        </w:tc>
        <w:tc>
          <w:tcPr>
            <w:tcW w:w="582" w:type="pct"/>
            <w:tcBorders>
              <w:tl2br w:val="nil"/>
              <w:tr2bl w:val="nil"/>
            </w:tcBorders>
            <w:shd w:val="clear" w:color="auto" w:fill="auto"/>
            <w:vAlign w:val="center"/>
          </w:tcPr>
          <w:p w14:paraId="322E8C0C">
            <w:pPr>
              <w:pStyle w:val="714"/>
              <w:rPr>
                <w:color w:val="auto"/>
              </w:rPr>
            </w:pPr>
            <w:r>
              <w:rPr>
                <w:rFonts w:hint="eastAsia"/>
                <w:color w:val="auto"/>
              </w:rPr>
              <w:t>6.41E-03</w:t>
            </w:r>
          </w:p>
        </w:tc>
        <w:tc>
          <w:tcPr>
            <w:tcW w:w="505" w:type="pct"/>
            <w:tcBorders>
              <w:tl2br w:val="nil"/>
              <w:tr2bl w:val="nil"/>
            </w:tcBorders>
            <w:shd w:val="clear" w:color="auto" w:fill="auto"/>
            <w:vAlign w:val="center"/>
          </w:tcPr>
          <w:p w14:paraId="195FF6BC">
            <w:pPr>
              <w:pStyle w:val="714"/>
              <w:rPr>
                <w:color w:val="auto"/>
              </w:rPr>
            </w:pPr>
            <w:r>
              <w:rPr>
                <w:rFonts w:hint="eastAsia"/>
                <w:color w:val="auto"/>
              </w:rPr>
              <w:t>107</w:t>
            </w:r>
          </w:p>
        </w:tc>
      </w:tr>
      <w:tr w14:paraId="239BBC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3" w:type="pct"/>
            <w:tcBorders>
              <w:tl2br w:val="nil"/>
              <w:tr2bl w:val="nil"/>
            </w:tcBorders>
            <w:shd w:val="clear" w:color="auto" w:fill="auto"/>
            <w:vAlign w:val="center"/>
          </w:tcPr>
          <w:p w14:paraId="0B617F5D">
            <w:pPr>
              <w:pStyle w:val="714"/>
              <w:rPr>
                <w:color w:val="auto"/>
              </w:rPr>
            </w:pPr>
            <w:r>
              <w:rPr>
                <w:rFonts w:hint="eastAsia"/>
                <w:color w:val="auto"/>
              </w:rPr>
              <w:t>32</w:t>
            </w:r>
          </w:p>
        </w:tc>
        <w:tc>
          <w:tcPr>
            <w:tcW w:w="514" w:type="pct"/>
            <w:tcBorders>
              <w:tl2br w:val="nil"/>
              <w:tr2bl w:val="nil"/>
            </w:tcBorders>
            <w:shd w:val="clear" w:color="auto" w:fill="auto"/>
            <w:vAlign w:val="center"/>
          </w:tcPr>
          <w:p w14:paraId="7C568596">
            <w:pPr>
              <w:pStyle w:val="714"/>
              <w:rPr>
                <w:color w:val="auto"/>
              </w:rPr>
            </w:pPr>
            <w:r>
              <w:rPr>
                <w:rFonts w:hint="eastAsia"/>
                <w:color w:val="auto"/>
              </w:rPr>
              <w:t>Q</w:t>
            </w:r>
            <w:r>
              <w:rPr>
                <w:rFonts w:hint="eastAsia"/>
                <w:color w:val="auto"/>
                <w:vertAlign w:val="subscript"/>
              </w:rPr>
              <w:t>3</w:t>
            </w:r>
            <w:r>
              <w:rPr>
                <w:rFonts w:hint="eastAsia"/>
                <w:color w:val="auto"/>
                <w:vertAlign w:val="superscript"/>
              </w:rPr>
              <w:t>al</w:t>
            </w:r>
          </w:p>
        </w:tc>
        <w:tc>
          <w:tcPr>
            <w:tcW w:w="561" w:type="pct"/>
            <w:tcBorders>
              <w:tl2br w:val="nil"/>
              <w:tr2bl w:val="nil"/>
            </w:tcBorders>
            <w:shd w:val="clear" w:color="auto" w:fill="auto"/>
            <w:vAlign w:val="center"/>
          </w:tcPr>
          <w:p w14:paraId="22966598">
            <w:pPr>
              <w:pStyle w:val="714"/>
              <w:rPr>
                <w:color w:val="auto"/>
              </w:rPr>
            </w:pPr>
            <w:r>
              <w:rPr>
                <w:rFonts w:hint="eastAsia"/>
                <w:color w:val="auto"/>
              </w:rPr>
              <w:t>12.9</w:t>
            </w:r>
          </w:p>
        </w:tc>
        <w:tc>
          <w:tcPr>
            <w:tcW w:w="699" w:type="pct"/>
            <w:tcBorders>
              <w:tl2br w:val="nil"/>
              <w:tr2bl w:val="nil"/>
            </w:tcBorders>
            <w:shd w:val="clear" w:color="auto" w:fill="auto"/>
            <w:vAlign w:val="center"/>
          </w:tcPr>
          <w:p w14:paraId="04A21A28">
            <w:pPr>
              <w:pStyle w:val="714"/>
              <w:rPr>
                <w:color w:val="auto"/>
              </w:rPr>
            </w:pPr>
            <w:r>
              <w:rPr>
                <w:rFonts w:hint="eastAsia"/>
                <w:color w:val="auto"/>
              </w:rPr>
              <w:t>1.15</w:t>
            </w:r>
          </w:p>
        </w:tc>
        <w:tc>
          <w:tcPr>
            <w:tcW w:w="544" w:type="pct"/>
            <w:tcBorders>
              <w:tl2br w:val="nil"/>
              <w:tr2bl w:val="nil"/>
            </w:tcBorders>
            <w:shd w:val="clear" w:color="auto" w:fill="auto"/>
            <w:vAlign w:val="center"/>
          </w:tcPr>
          <w:p w14:paraId="4F536CB5">
            <w:pPr>
              <w:pStyle w:val="714"/>
              <w:rPr>
                <w:color w:val="auto"/>
              </w:rPr>
            </w:pPr>
            <w:r>
              <w:rPr>
                <w:rFonts w:hint="eastAsia"/>
                <w:color w:val="auto"/>
              </w:rPr>
              <w:t>4.18</w:t>
            </w:r>
          </w:p>
        </w:tc>
        <w:tc>
          <w:tcPr>
            <w:tcW w:w="404" w:type="pct"/>
            <w:tcBorders>
              <w:tl2br w:val="nil"/>
              <w:tr2bl w:val="nil"/>
            </w:tcBorders>
            <w:shd w:val="clear" w:color="auto" w:fill="auto"/>
            <w:vAlign w:val="center"/>
          </w:tcPr>
          <w:p w14:paraId="1D7553F6">
            <w:pPr>
              <w:pStyle w:val="714"/>
              <w:rPr>
                <w:color w:val="auto"/>
              </w:rPr>
            </w:pPr>
            <w:r>
              <w:rPr>
                <w:rFonts w:hint="eastAsia"/>
                <w:color w:val="auto"/>
              </w:rPr>
              <w:t>4.239</w:t>
            </w:r>
          </w:p>
        </w:tc>
        <w:tc>
          <w:tcPr>
            <w:tcW w:w="466" w:type="pct"/>
            <w:tcBorders>
              <w:tl2br w:val="nil"/>
              <w:tr2bl w:val="nil"/>
            </w:tcBorders>
            <w:shd w:val="clear" w:color="auto" w:fill="auto"/>
            <w:vAlign w:val="center"/>
          </w:tcPr>
          <w:p w14:paraId="34BE727E">
            <w:pPr>
              <w:pStyle w:val="714"/>
              <w:rPr>
                <w:color w:val="auto"/>
              </w:rPr>
            </w:pPr>
            <w:r>
              <w:rPr>
                <w:rFonts w:hint="eastAsia"/>
                <w:color w:val="auto"/>
              </w:rPr>
              <w:t>366.25</w:t>
            </w:r>
          </w:p>
        </w:tc>
        <w:tc>
          <w:tcPr>
            <w:tcW w:w="359" w:type="pct"/>
            <w:tcBorders>
              <w:tl2br w:val="nil"/>
              <w:tr2bl w:val="nil"/>
            </w:tcBorders>
            <w:shd w:val="clear" w:color="auto" w:fill="auto"/>
            <w:vAlign w:val="center"/>
          </w:tcPr>
          <w:p w14:paraId="683613CC">
            <w:pPr>
              <w:pStyle w:val="714"/>
              <w:rPr>
                <w:color w:val="auto"/>
              </w:rPr>
            </w:pPr>
            <w:r>
              <w:rPr>
                <w:rFonts w:hint="eastAsia"/>
                <w:color w:val="auto"/>
              </w:rPr>
              <w:t>9.00</w:t>
            </w:r>
          </w:p>
        </w:tc>
        <w:tc>
          <w:tcPr>
            <w:tcW w:w="582" w:type="pct"/>
            <w:tcBorders>
              <w:tl2br w:val="nil"/>
              <w:tr2bl w:val="nil"/>
            </w:tcBorders>
            <w:shd w:val="clear" w:color="auto" w:fill="auto"/>
            <w:vAlign w:val="center"/>
          </w:tcPr>
          <w:p w14:paraId="7AC0F4AD">
            <w:pPr>
              <w:pStyle w:val="714"/>
              <w:rPr>
                <w:color w:val="auto"/>
              </w:rPr>
            </w:pPr>
            <w:r>
              <w:rPr>
                <w:rFonts w:hint="eastAsia"/>
                <w:color w:val="auto"/>
              </w:rPr>
              <w:t>1.04E-02</w:t>
            </w:r>
          </w:p>
        </w:tc>
        <w:tc>
          <w:tcPr>
            <w:tcW w:w="505" w:type="pct"/>
            <w:tcBorders>
              <w:tl2br w:val="nil"/>
              <w:tr2bl w:val="nil"/>
            </w:tcBorders>
            <w:shd w:val="clear" w:color="auto" w:fill="auto"/>
            <w:vAlign w:val="center"/>
          </w:tcPr>
          <w:p w14:paraId="1F84938A">
            <w:pPr>
              <w:pStyle w:val="714"/>
              <w:rPr>
                <w:color w:val="auto"/>
              </w:rPr>
            </w:pPr>
            <w:r>
              <w:rPr>
                <w:rFonts w:hint="eastAsia"/>
                <w:color w:val="auto"/>
              </w:rPr>
              <w:t>90</w:t>
            </w:r>
          </w:p>
        </w:tc>
      </w:tr>
    </w:tbl>
    <w:p w14:paraId="21EF33C2">
      <w:pPr>
        <w:pStyle w:val="700"/>
        <w:rPr>
          <w:color w:val="auto"/>
          <w:sz w:val="21"/>
          <w:szCs w:val="21"/>
        </w:rPr>
      </w:pPr>
      <w:r>
        <w:rPr>
          <w:color w:val="auto"/>
          <w:sz w:val="21"/>
          <w:szCs w:val="21"/>
        </w:rPr>
        <w:t>注：数据参考自</w:t>
      </w:r>
      <w:r>
        <w:rPr>
          <w:rFonts w:hint="eastAsia"/>
          <w:color w:val="auto"/>
          <w:sz w:val="21"/>
          <w:szCs w:val="21"/>
        </w:rPr>
        <w:t>《1:20万仪陇幅区域水文地质普查报告》</w:t>
      </w:r>
      <w:r>
        <w:rPr>
          <w:color w:val="auto"/>
          <w:sz w:val="21"/>
          <w:szCs w:val="21"/>
        </w:rPr>
        <w:t>。</w:t>
      </w:r>
    </w:p>
    <w:p w14:paraId="4AF7351D">
      <w:pPr>
        <w:pStyle w:val="713"/>
        <w:ind w:firstLine="360"/>
        <w:rPr>
          <w:rFonts w:cs="Times New Roman"/>
          <w:color w:val="auto"/>
        </w:rPr>
      </w:pPr>
      <w:r>
        <w:rPr>
          <w:rFonts w:cs="Times New Roman"/>
          <w:color w:val="auto"/>
        </w:rPr>
        <w:t>表</w:t>
      </w:r>
      <w:r>
        <w:rPr>
          <w:rFonts w:hint="eastAsia" w:cs="Times New Roman"/>
          <w:color w:val="auto"/>
          <w:lang w:val="en-US" w:eastAsia="zh-CN"/>
        </w:rPr>
        <w:t>3.1</w:t>
      </w:r>
      <w:r>
        <w:rPr>
          <w:rFonts w:hint="eastAsia" w:cs="Times New Roman"/>
          <w:color w:val="auto"/>
        </w:rPr>
        <w:t>3</w:t>
      </w:r>
      <w:r>
        <w:rPr>
          <w:rFonts w:cs="Times New Roman"/>
          <w:color w:val="auto"/>
        </w:rPr>
        <w:t xml:space="preserve">  </w:t>
      </w:r>
      <w:r>
        <w:rPr>
          <w:rFonts w:hint="eastAsia" w:cs="Times New Roman"/>
          <w:color w:val="auto"/>
        </w:rPr>
        <w:t>白垩系白龙组（K</w:t>
      </w:r>
      <w:r>
        <w:rPr>
          <w:rFonts w:hint="eastAsia" w:cs="Times New Roman"/>
          <w:color w:val="auto"/>
          <w:vertAlign w:val="subscript"/>
        </w:rPr>
        <w:t>1</w:t>
      </w:r>
      <w:r>
        <w:rPr>
          <w:rFonts w:hint="eastAsia" w:cs="Times New Roman"/>
          <w:color w:val="auto"/>
        </w:rPr>
        <w:t>b）浅层地下水</w:t>
      </w:r>
      <w:r>
        <w:rPr>
          <w:rFonts w:cs="Times New Roman"/>
          <w:color w:val="auto"/>
        </w:rPr>
        <w:t>抽水试验成果统计表</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28"/>
        <w:gridCol w:w="879"/>
        <w:gridCol w:w="974"/>
        <w:gridCol w:w="1300"/>
        <w:gridCol w:w="1006"/>
        <w:gridCol w:w="723"/>
        <w:gridCol w:w="834"/>
        <w:gridCol w:w="641"/>
        <w:gridCol w:w="1042"/>
        <w:gridCol w:w="919"/>
      </w:tblGrid>
      <w:tr w14:paraId="06C791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 w:type="pct"/>
            <w:vMerge w:val="restart"/>
            <w:tcBorders>
              <w:tl2br w:val="nil"/>
              <w:tr2bl w:val="nil"/>
            </w:tcBorders>
            <w:shd w:val="clear" w:color="auto" w:fill="auto"/>
            <w:vAlign w:val="center"/>
          </w:tcPr>
          <w:p w14:paraId="69EA0C3F">
            <w:pPr>
              <w:pStyle w:val="714"/>
              <w:rPr>
                <w:b/>
                <w:bCs/>
                <w:color w:val="auto"/>
              </w:rPr>
            </w:pPr>
            <w:r>
              <w:rPr>
                <w:rFonts w:hint="eastAsia"/>
                <w:b/>
                <w:bCs/>
                <w:color w:val="auto"/>
              </w:rPr>
              <w:t>试验孔</w:t>
            </w:r>
          </w:p>
        </w:tc>
        <w:tc>
          <w:tcPr>
            <w:tcW w:w="491" w:type="pct"/>
            <w:vMerge w:val="restart"/>
            <w:tcBorders>
              <w:tl2br w:val="nil"/>
              <w:tr2bl w:val="nil"/>
            </w:tcBorders>
            <w:shd w:val="clear" w:color="auto" w:fill="auto"/>
            <w:vAlign w:val="center"/>
          </w:tcPr>
          <w:p w14:paraId="561F5D08">
            <w:pPr>
              <w:pStyle w:val="714"/>
              <w:rPr>
                <w:b/>
                <w:bCs/>
                <w:color w:val="auto"/>
              </w:rPr>
            </w:pPr>
            <w:r>
              <w:rPr>
                <w:rFonts w:hint="eastAsia"/>
                <w:b/>
                <w:bCs/>
                <w:color w:val="auto"/>
              </w:rPr>
              <w:t>含水层代号</w:t>
            </w:r>
          </w:p>
        </w:tc>
        <w:tc>
          <w:tcPr>
            <w:tcW w:w="544" w:type="pct"/>
            <w:vMerge w:val="restart"/>
            <w:tcBorders>
              <w:tl2br w:val="nil"/>
              <w:tr2bl w:val="nil"/>
            </w:tcBorders>
            <w:shd w:val="clear" w:color="auto" w:fill="auto"/>
            <w:vAlign w:val="center"/>
          </w:tcPr>
          <w:p w14:paraId="1EDF3EF6">
            <w:pPr>
              <w:pStyle w:val="714"/>
              <w:rPr>
                <w:b/>
                <w:bCs/>
                <w:color w:val="auto"/>
              </w:rPr>
            </w:pPr>
            <w:r>
              <w:rPr>
                <w:rFonts w:hint="eastAsia"/>
                <w:b/>
                <w:bCs/>
                <w:color w:val="auto"/>
              </w:rPr>
              <w:t>含水层厚度</w:t>
            </w:r>
          </w:p>
        </w:tc>
        <w:tc>
          <w:tcPr>
            <w:tcW w:w="726" w:type="pct"/>
            <w:vMerge w:val="restart"/>
            <w:tcBorders>
              <w:tl2br w:val="nil"/>
              <w:tr2bl w:val="nil"/>
            </w:tcBorders>
            <w:shd w:val="clear" w:color="auto" w:fill="auto"/>
            <w:vAlign w:val="center"/>
          </w:tcPr>
          <w:p w14:paraId="1FF6C97B">
            <w:pPr>
              <w:pStyle w:val="714"/>
              <w:rPr>
                <w:b/>
                <w:bCs/>
                <w:color w:val="auto"/>
              </w:rPr>
            </w:pPr>
            <w:r>
              <w:rPr>
                <w:rFonts w:hint="eastAsia"/>
                <w:b/>
                <w:bCs/>
                <w:color w:val="auto"/>
              </w:rPr>
              <w:t>抽前静止水位埋深</w:t>
            </w:r>
          </w:p>
        </w:tc>
        <w:tc>
          <w:tcPr>
            <w:tcW w:w="562" w:type="pct"/>
            <w:vMerge w:val="restart"/>
            <w:tcBorders>
              <w:tl2br w:val="nil"/>
              <w:tr2bl w:val="nil"/>
            </w:tcBorders>
            <w:shd w:val="clear" w:color="auto" w:fill="auto"/>
            <w:vAlign w:val="center"/>
          </w:tcPr>
          <w:p w14:paraId="79332D23">
            <w:pPr>
              <w:pStyle w:val="714"/>
              <w:rPr>
                <w:b/>
                <w:bCs/>
                <w:color w:val="auto"/>
              </w:rPr>
            </w:pPr>
            <w:r>
              <w:rPr>
                <w:rFonts w:hint="eastAsia"/>
                <w:b/>
                <w:bCs/>
                <w:color w:val="auto"/>
              </w:rPr>
              <w:t>水位降深Sw</w:t>
            </w:r>
          </w:p>
        </w:tc>
        <w:tc>
          <w:tcPr>
            <w:tcW w:w="870" w:type="pct"/>
            <w:gridSpan w:val="2"/>
            <w:vMerge w:val="restart"/>
            <w:tcBorders>
              <w:tl2br w:val="nil"/>
              <w:tr2bl w:val="nil"/>
            </w:tcBorders>
            <w:shd w:val="clear" w:color="auto" w:fill="auto"/>
            <w:vAlign w:val="center"/>
          </w:tcPr>
          <w:p w14:paraId="7E9537F2">
            <w:pPr>
              <w:pStyle w:val="714"/>
              <w:rPr>
                <w:b/>
                <w:bCs/>
                <w:color w:val="auto"/>
              </w:rPr>
            </w:pPr>
            <w:r>
              <w:rPr>
                <w:rFonts w:hint="eastAsia"/>
                <w:b/>
                <w:bCs/>
                <w:color w:val="auto"/>
              </w:rPr>
              <w:t>涌水量Q</w:t>
            </w:r>
          </w:p>
        </w:tc>
        <w:tc>
          <w:tcPr>
            <w:tcW w:w="940" w:type="pct"/>
            <w:gridSpan w:val="2"/>
            <w:vMerge w:val="restart"/>
            <w:tcBorders>
              <w:tl2br w:val="nil"/>
              <w:tr2bl w:val="nil"/>
            </w:tcBorders>
            <w:shd w:val="clear" w:color="auto" w:fill="auto"/>
            <w:vAlign w:val="center"/>
          </w:tcPr>
          <w:p w14:paraId="2B60578D">
            <w:pPr>
              <w:pStyle w:val="714"/>
              <w:rPr>
                <w:b/>
                <w:bCs/>
                <w:color w:val="auto"/>
              </w:rPr>
            </w:pPr>
            <w:r>
              <w:rPr>
                <w:rFonts w:hint="eastAsia"/>
                <w:b/>
                <w:bCs/>
                <w:color w:val="auto"/>
              </w:rPr>
              <w:t>渗透系数K</w:t>
            </w:r>
          </w:p>
        </w:tc>
        <w:tc>
          <w:tcPr>
            <w:tcW w:w="513" w:type="pct"/>
            <w:vMerge w:val="restart"/>
            <w:tcBorders>
              <w:tl2br w:val="nil"/>
              <w:tr2bl w:val="nil"/>
            </w:tcBorders>
            <w:shd w:val="clear" w:color="auto" w:fill="auto"/>
            <w:vAlign w:val="center"/>
          </w:tcPr>
          <w:p w14:paraId="75E8F608">
            <w:pPr>
              <w:pStyle w:val="714"/>
              <w:rPr>
                <w:b/>
                <w:bCs/>
                <w:color w:val="auto"/>
              </w:rPr>
            </w:pPr>
            <w:r>
              <w:rPr>
                <w:rFonts w:hint="eastAsia"/>
                <w:b/>
                <w:bCs/>
                <w:color w:val="auto"/>
              </w:rPr>
              <w:t>影响半径R</w:t>
            </w:r>
          </w:p>
        </w:tc>
      </w:tr>
      <w:tr w14:paraId="2F840D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 w:type="pct"/>
            <w:vMerge w:val="continue"/>
            <w:tcBorders>
              <w:tl2br w:val="nil"/>
              <w:tr2bl w:val="nil"/>
            </w:tcBorders>
            <w:vAlign w:val="center"/>
          </w:tcPr>
          <w:p w14:paraId="29EBD4A9">
            <w:pPr>
              <w:pStyle w:val="714"/>
              <w:rPr>
                <w:color w:val="auto"/>
              </w:rPr>
            </w:pPr>
          </w:p>
        </w:tc>
        <w:tc>
          <w:tcPr>
            <w:tcW w:w="491" w:type="pct"/>
            <w:vMerge w:val="continue"/>
            <w:tcBorders>
              <w:tl2br w:val="nil"/>
              <w:tr2bl w:val="nil"/>
            </w:tcBorders>
            <w:vAlign w:val="center"/>
          </w:tcPr>
          <w:p w14:paraId="7B46FB4C">
            <w:pPr>
              <w:pStyle w:val="714"/>
              <w:rPr>
                <w:color w:val="auto"/>
              </w:rPr>
            </w:pPr>
          </w:p>
        </w:tc>
        <w:tc>
          <w:tcPr>
            <w:tcW w:w="544" w:type="pct"/>
            <w:vMerge w:val="continue"/>
            <w:tcBorders>
              <w:tl2br w:val="nil"/>
              <w:tr2bl w:val="nil"/>
            </w:tcBorders>
            <w:vAlign w:val="center"/>
          </w:tcPr>
          <w:p w14:paraId="1DBAEF5D">
            <w:pPr>
              <w:pStyle w:val="714"/>
              <w:rPr>
                <w:color w:val="auto"/>
              </w:rPr>
            </w:pPr>
          </w:p>
        </w:tc>
        <w:tc>
          <w:tcPr>
            <w:tcW w:w="726" w:type="pct"/>
            <w:vMerge w:val="continue"/>
            <w:tcBorders>
              <w:tl2br w:val="nil"/>
              <w:tr2bl w:val="nil"/>
            </w:tcBorders>
            <w:vAlign w:val="center"/>
          </w:tcPr>
          <w:p w14:paraId="072ACD02">
            <w:pPr>
              <w:pStyle w:val="714"/>
              <w:rPr>
                <w:color w:val="auto"/>
              </w:rPr>
            </w:pPr>
          </w:p>
        </w:tc>
        <w:tc>
          <w:tcPr>
            <w:tcW w:w="562" w:type="pct"/>
            <w:vMerge w:val="continue"/>
            <w:tcBorders>
              <w:tl2br w:val="nil"/>
              <w:tr2bl w:val="nil"/>
            </w:tcBorders>
            <w:vAlign w:val="center"/>
          </w:tcPr>
          <w:p w14:paraId="03CF69D2">
            <w:pPr>
              <w:pStyle w:val="714"/>
              <w:rPr>
                <w:color w:val="auto"/>
              </w:rPr>
            </w:pPr>
          </w:p>
        </w:tc>
        <w:tc>
          <w:tcPr>
            <w:tcW w:w="870" w:type="pct"/>
            <w:gridSpan w:val="2"/>
            <w:vMerge w:val="continue"/>
            <w:tcBorders>
              <w:tl2br w:val="nil"/>
              <w:tr2bl w:val="nil"/>
            </w:tcBorders>
            <w:vAlign w:val="center"/>
          </w:tcPr>
          <w:p w14:paraId="3552FA4F">
            <w:pPr>
              <w:pStyle w:val="714"/>
              <w:rPr>
                <w:color w:val="auto"/>
              </w:rPr>
            </w:pPr>
          </w:p>
        </w:tc>
        <w:tc>
          <w:tcPr>
            <w:tcW w:w="940" w:type="pct"/>
            <w:gridSpan w:val="2"/>
            <w:vMerge w:val="continue"/>
            <w:tcBorders>
              <w:tl2br w:val="nil"/>
              <w:tr2bl w:val="nil"/>
            </w:tcBorders>
            <w:vAlign w:val="center"/>
          </w:tcPr>
          <w:p w14:paraId="77143B39">
            <w:pPr>
              <w:pStyle w:val="714"/>
              <w:rPr>
                <w:color w:val="auto"/>
              </w:rPr>
            </w:pPr>
          </w:p>
        </w:tc>
        <w:tc>
          <w:tcPr>
            <w:tcW w:w="513" w:type="pct"/>
            <w:vMerge w:val="continue"/>
            <w:tcBorders>
              <w:tl2br w:val="nil"/>
              <w:tr2bl w:val="nil"/>
            </w:tcBorders>
            <w:vAlign w:val="center"/>
          </w:tcPr>
          <w:p w14:paraId="16EA435C">
            <w:pPr>
              <w:pStyle w:val="714"/>
              <w:rPr>
                <w:color w:val="auto"/>
              </w:rPr>
            </w:pPr>
          </w:p>
        </w:tc>
      </w:tr>
      <w:tr w14:paraId="157F16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 w:type="pct"/>
            <w:vMerge w:val="continue"/>
            <w:tcBorders>
              <w:tl2br w:val="nil"/>
              <w:tr2bl w:val="nil"/>
            </w:tcBorders>
            <w:vAlign w:val="center"/>
          </w:tcPr>
          <w:p w14:paraId="4D220102">
            <w:pPr>
              <w:pStyle w:val="714"/>
              <w:rPr>
                <w:color w:val="auto"/>
              </w:rPr>
            </w:pPr>
          </w:p>
        </w:tc>
        <w:tc>
          <w:tcPr>
            <w:tcW w:w="491" w:type="pct"/>
            <w:vMerge w:val="continue"/>
            <w:tcBorders>
              <w:tl2br w:val="nil"/>
              <w:tr2bl w:val="nil"/>
            </w:tcBorders>
            <w:vAlign w:val="center"/>
          </w:tcPr>
          <w:p w14:paraId="4F2A651C">
            <w:pPr>
              <w:pStyle w:val="714"/>
              <w:rPr>
                <w:color w:val="auto"/>
              </w:rPr>
            </w:pPr>
          </w:p>
        </w:tc>
        <w:tc>
          <w:tcPr>
            <w:tcW w:w="544" w:type="pct"/>
            <w:tcBorders>
              <w:tl2br w:val="nil"/>
              <w:tr2bl w:val="nil"/>
            </w:tcBorders>
            <w:shd w:val="clear" w:color="auto" w:fill="auto"/>
            <w:vAlign w:val="center"/>
          </w:tcPr>
          <w:p w14:paraId="08967F7D">
            <w:pPr>
              <w:pStyle w:val="714"/>
              <w:rPr>
                <w:b/>
                <w:bCs/>
                <w:color w:val="auto"/>
              </w:rPr>
            </w:pPr>
            <w:r>
              <w:rPr>
                <w:rFonts w:hint="eastAsia"/>
                <w:b/>
                <w:bCs/>
                <w:color w:val="auto"/>
              </w:rPr>
              <w:t>m</w:t>
            </w:r>
          </w:p>
        </w:tc>
        <w:tc>
          <w:tcPr>
            <w:tcW w:w="726" w:type="pct"/>
            <w:tcBorders>
              <w:tl2br w:val="nil"/>
              <w:tr2bl w:val="nil"/>
            </w:tcBorders>
            <w:shd w:val="clear" w:color="auto" w:fill="auto"/>
            <w:vAlign w:val="center"/>
          </w:tcPr>
          <w:p w14:paraId="18029A9B">
            <w:pPr>
              <w:pStyle w:val="714"/>
              <w:rPr>
                <w:b/>
                <w:bCs/>
                <w:color w:val="auto"/>
              </w:rPr>
            </w:pPr>
            <w:r>
              <w:rPr>
                <w:rFonts w:hint="eastAsia"/>
                <w:b/>
                <w:bCs/>
                <w:color w:val="auto"/>
              </w:rPr>
              <w:t>m</w:t>
            </w:r>
          </w:p>
        </w:tc>
        <w:tc>
          <w:tcPr>
            <w:tcW w:w="562" w:type="pct"/>
            <w:tcBorders>
              <w:tl2br w:val="nil"/>
              <w:tr2bl w:val="nil"/>
            </w:tcBorders>
            <w:shd w:val="clear" w:color="auto" w:fill="auto"/>
            <w:vAlign w:val="center"/>
          </w:tcPr>
          <w:p w14:paraId="01385EE6">
            <w:pPr>
              <w:pStyle w:val="714"/>
              <w:rPr>
                <w:b/>
                <w:bCs/>
                <w:color w:val="auto"/>
              </w:rPr>
            </w:pPr>
            <w:r>
              <w:rPr>
                <w:rFonts w:hint="eastAsia"/>
                <w:b/>
                <w:bCs/>
                <w:color w:val="auto"/>
              </w:rPr>
              <w:t>m</w:t>
            </w:r>
          </w:p>
        </w:tc>
        <w:tc>
          <w:tcPr>
            <w:tcW w:w="404" w:type="pct"/>
            <w:tcBorders>
              <w:tl2br w:val="nil"/>
              <w:tr2bl w:val="nil"/>
            </w:tcBorders>
            <w:shd w:val="clear" w:color="auto" w:fill="auto"/>
            <w:vAlign w:val="center"/>
          </w:tcPr>
          <w:p w14:paraId="11BFF039">
            <w:pPr>
              <w:pStyle w:val="714"/>
              <w:rPr>
                <w:b/>
                <w:bCs/>
                <w:color w:val="auto"/>
              </w:rPr>
            </w:pPr>
            <w:r>
              <w:rPr>
                <w:rFonts w:hint="eastAsia"/>
                <w:b/>
                <w:bCs/>
                <w:color w:val="auto"/>
              </w:rPr>
              <w:t>L/s</w:t>
            </w:r>
          </w:p>
        </w:tc>
        <w:tc>
          <w:tcPr>
            <w:tcW w:w="466" w:type="pct"/>
            <w:tcBorders>
              <w:tl2br w:val="nil"/>
              <w:tr2bl w:val="nil"/>
            </w:tcBorders>
            <w:shd w:val="clear" w:color="auto" w:fill="auto"/>
            <w:vAlign w:val="center"/>
          </w:tcPr>
          <w:p w14:paraId="288270BF">
            <w:pPr>
              <w:pStyle w:val="714"/>
              <w:rPr>
                <w:b/>
                <w:bCs/>
                <w:color w:val="auto"/>
              </w:rPr>
            </w:pPr>
            <w:r>
              <w:rPr>
                <w:rFonts w:hint="eastAsia"/>
                <w:b/>
                <w:bCs/>
                <w:color w:val="auto"/>
                <w:lang w:eastAsia="zh-CN"/>
              </w:rPr>
              <w:t>m³</w:t>
            </w:r>
            <w:r>
              <w:rPr>
                <w:rFonts w:hint="eastAsia"/>
                <w:b/>
                <w:bCs/>
                <w:color w:val="auto"/>
              </w:rPr>
              <w:t>/d</w:t>
            </w:r>
          </w:p>
        </w:tc>
        <w:tc>
          <w:tcPr>
            <w:tcW w:w="358" w:type="pct"/>
            <w:tcBorders>
              <w:tl2br w:val="nil"/>
              <w:tr2bl w:val="nil"/>
            </w:tcBorders>
            <w:shd w:val="clear" w:color="auto" w:fill="auto"/>
            <w:vAlign w:val="center"/>
          </w:tcPr>
          <w:p w14:paraId="0A9891F5">
            <w:pPr>
              <w:pStyle w:val="714"/>
              <w:rPr>
                <w:b/>
                <w:bCs/>
                <w:color w:val="auto"/>
              </w:rPr>
            </w:pPr>
            <w:r>
              <w:rPr>
                <w:rFonts w:hint="eastAsia"/>
                <w:b/>
                <w:bCs/>
                <w:color w:val="auto"/>
              </w:rPr>
              <w:t>m/d</w:t>
            </w:r>
          </w:p>
        </w:tc>
        <w:tc>
          <w:tcPr>
            <w:tcW w:w="582" w:type="pct"/>
            <w:tcBorders>
              <w:tl2br w:val="nil"/>
              <w:tr2bl w:val="nil"/>
            </w:tcBorders>
            <w:shd w:val="clear" w:color="auto" w:fill="auto"/>
            <w:vAlign w:val="center"/>
          </w:tcPr>
          <w:p w14:paraId="13245C63">
            <w:pPr>
              <w:pStyle w:val="714"/>
              <w:rPr>
                <w:b/>
                <w:bCs/>
                <w:color w:val="auto"/>
              </w:rPr>
            </w:pPr>
            <w:r>
              <w:rPr>
                <w:rFonts w:hint="eastAsia"/>
                <w:b/>
                <w:bCs/>
                <w:color w:val="auto"/>
              </w:rPr>
              <w:t>cm/s</w:t>
            </w:r>
          </w:p>
        </w:tc>
        <w:tc>
          <w:tcPr>
            <w:tcW w:w="513" w:type="pct"/>
            <w:tcBorders>
              <w:tl2br w:val="nil"/>
              <w:tr2bl w:val="nil"/>
            </w:tcBorders>
            <w:shd w:val="clear" w:color="auto" w:fill="auto"/>
            <w:vAlign w:val="center"/>
          </w:tcPr>
          <w:p w14:paraId="4AEB3D51">
            <w:pPr>
              <w:pStyle w:val="714"/>
              <w:rPr>
                <w:b/>
                <w:bCs/>
                <w:color w:val="auto"/>
              </w:rPr>
            </w:pPr>
            <w:r>
              <w:rPr>
                <w:rFonts w:hint="eastAsia"/>
                <w:b/>
                <w:bCs/>
                <w:color w:val="auto"/>
              </w:rPr>
              <w:t>m</w:t>
            </w:r>
          </w:p>
        </w:tc>
      </w:tr>
      <w:tr w14:paraId="6820B9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 w:type="pct"/>
            <w:tcBorders>
              <w:tl2br w:val="nil"/>
              <w:tr2bl w:val="nil"/>
            </w:tcBorders>
            <w:shd w:val="clear" w:color="auto" w:fill="auto"/>
            <w:vAlign w:val="center"/>
          </w:tcPr>
          <w:p w14:paraId="4EDCECB8">
            <w:pPr>
              <w:pStyle w:val="714"/>
              <w:rPr>
                <w:color w:val="auto"/>
              </w:rPr>
            </w:pPr>
            <w:r>
              <w:rPr>
                <w:rFonts w:hint="eastAsia"/>
                <w:color w:val="auto"/>
              </w:rPr>
              <w:t>4</w:t>
            </w:r>
          </w:p>
        </w:tc>
        <w:tc>
          <w:tcPr>
            <w:tcW w:w="491" w:type="pct"/>
            <w:tcBorders>
              <w:tl2br w:val="nil"/>
              <w:tr2bl w:val="nil"/>
            </w:tcBorders>
            <w:shd w:val="clear" w:color="auto" w:fill="auto"/>
            <w:vAlign w:val="center"/>
          </w:tcPr>
          <w:p w14:paraId="22607DF7">
            <w:pPr>
              <w:pStyle w:val="714"/>
              <w:rPr>
                <w:color w:val="auto"/>
              </w:rPr>
            </w:pPr>
            <w:r>
              <w:rPr>
                <w:rFonts w:hint="eastAsia"/>
                <w:color w:val="auto"/>
              </w:rPr>
              <w:t>K</w:t>
            </w:r>
            <w:r>
              <w:rPr>
                <w:rFonts w:hint="eastAsia"/>
                <w:color w:val="auto"/>
                <w:vertAlign w:val="subscript"/>
              </w:rPr>
              <w:t>1</w:t>
            </w:r>
            <w:r>
              <w:rPr>
                <w:rFonts w:hint="eastAsia"/>
                <w:color w:val="auto"/>
              </w:rPr>
              <w:t>b</w:t>
            </w:r>
          </w:p>
        </w:tc>
        <w:tc>
          <w:tcPr>
            <w:tcW w:w="544" w:type="pct"/>
            <w:tcBorders>
              <w:tl2br w:val="nil"/>
              <w:tr2bl w:val="nil"/>
            </w:tcBorders>
            <w:shd w:val="clear" w:color="auto" w:fill="auto"/>
            <w:vAlign w:val="center"/>
          </w:tcPr>
          <w:p w14:paraId="269CA13E">
            <w:pPr>
              <w:pStyle w:val="714"/>
              <w:rPr>
                <w:color w:val="auto"/>
              </w:rPr>
            </w:pPr>
            <w:r>
              <w:rPr>
                <w:rFonts w:hint="eastAsia"/>
                <w:color w:val="auto"/>
              </w:rPr>
              <w:t>25.87</w:t>
            </w:r>
          </w:p>
        </w:tc>
        <w:tc>
          <w:tcPr>
            <w:tcW w:w="726" w:type="pct"/>
            <w:tcBorders>
              <w:tl2br w:val="nil"/>
              <w:tr2bl w:val="nil"/>
            </w:tcBorders>
            <w:shd w:val="clear" w:color="auto" w:fill="auto"/>
            <w:vAlign w:val="center"/>
          </w:tcPr>
          <w:p w14:paraId="0768689A">
            <w:pPr>
              <w:pStyle w:val="714"/>
              <w:rPr>
                <w:color w:val="auto"/>
              </w:rPr>
            </w:pPr>
            <w:r>
              <w:rPr>
                <w:rFonts w:hint="eastAsia"/>
                <w:color w:val="auto"/>
              </w:rPr>
              <w:t>7.53</w:t>
            </w:r>
          </w:p>
        </w:tc>
        <w:tc>
          <w:tcPr>
            <w:tcW w:w="562" w:type="pct"/>
            <w:tcBorders>
              <w:tl2br w:val="nil"/>
              <w:tr2bl w:val="nil"/>
            </w:tcBorders>
            <w:shd w:val="clear" w:color="auto" w:fill="auto"/>
            <w:vAlign w:val="center"/>
          </w:tcPr>
          <w:p w14:paraId="74EC239F">
            <w:pPr>
              <w:pStyle w:val="714"/>
              <w:rPr>
                <w:color w:val="auto"/>
              </w:rPr>
            </w:pPr>
            <w:r>
              <w:rPr>
                <w:rFonts w:hint="eastAsia"/>
                <w:color w:val="auto"/>
              </w:rPr>
              <w:t>7.6</w:t>
            </w:r>
          </w:p>
        </w:tc>
        <w:tc>
          <w:tcPr>
            <w:tcW w:w="404" w:type="pct"/>
            <w:tcBorders>
              <w:tl2br w:val="nil"/>
              <w:tr2bl w:val="nil"/>
            </w:tcBorders>
            <w:shd w:val="clear" w:color="auto" w:fill="auto"/>
            <w:vAlign w:val="center"/>
          </w:tcPr>
          <w:p w14:paraId="1646AF42">
            <w:pPr>
              <w:pStyle w:val="714"/>
              <w:rPr>
                <w:color w:val="auto"/>
              </w:rPr>
            </w:pPr>
            <w:r>
              <w:rPr>
                <w:rFonts w:hint="eastAsia"/>
                <w:color w:val="auto"/>
              </w:rPr>
              <w:t>5.618</w:t>
            </w:r>
          </w:p>
        </w:tc>
        <w:tc>
          <w:tcPr>
            <w:tcW w:w="466" w:type="pct"/>
            <w:tcBorders>
              <w:tl2br w:val="nil"/>
              <w:tr2bl w:val="nil"/>
            </w:tcBorders>
            <w:shd w:val="clear" w:color="auto" w:fill="auto"/>
            <w:vAlign w:val="center"/>
          </w:tcPr>
          <w:p w14:paraId="25956C35">
            <w:pPr>
              <w:pStyle w:val="714"/>
              <w:rPr>
                <w:color w:val="auto"/>
              </w:rPr>
            </w:pPr>
            <w:r>
              <w:rPr>
                <w:rFonts w:hint="eastAsia"/>
                <w:color w:val="auto"/>
              </w:rPr>
              <w:t>485.40</w:t>
            </w:r>
          </w:p>
        </w:tc>
        <w:tc>
          <w:tcPr>
            <w:tcW w:w="358" w:type="pct"/>
            <w:tcBorders>
              <w:tl2br w:val="nil"/>
              <w:tr2bl w:val="nil"/>
            </w:tcBorders>
            <w:shd w:val="clear" w:color="auto" w:fill="auto"/>
            <w:vAlign w:val="center"/>
          </w:tcPr>
          <w:p w14:paraId="5420FC66">
            <w:pPr>
              <w:pStyle w:val="714"/>
              <w:rPr>
                <w:color w:val="auto"/>
              </w:rPr>
            </w:pPr>
            <w:r>
              <w:rPr>
                <w:rFonts w:hint="eastAsia"/>
                <w:color w:val="auto"/>
              </w:rPr>
              <w:t>1.34</w:t>
            </w:r>
          </w:p>
        </w:tc>
        <w:tc>
          <w:tcPr>
            <w:tcW w:w="582" w:type="pct"/>
            <w:tcBorders>
              <w:tl2br w:val="nil"/>
              <w:tr2bl w:val="nil"/>
            </w:tcBorders>
            <w:shd w:val="clear" w:color="auto" w:fill="auto"/>
            <w:vAlign w:val="center"/>
          </w:tcPr>
          <w:p w14:paraId="3980E7BA">
            <w:pPr>
              <w:pStyle w:val="714"/>
              <w:rPr>
                <w:color w:val="auto"/>
              </w:rPr>
            </w:pPr>
            <w:r>
              <w:rPr>
                <w:rFonts w:hint="eastAsia"/>
                <w:color w:val="auto"/>
              </w:rPr>
              <w:t>1.55E-03</w:t>
            </w:r>
          </w:p>
        </w:tc>
        <w:tc>
          <w:tcPr>
            <w:tcW w:w="513" w:type="pct"/>
            <w:tcBorders>
              <w:tl2br w:val="nil"/>
              <w:tr2bl w:val="nil"/>
            </w:tcBorders>
            <w:shd w:val="clear" w:color="auto" w:fill="auto"/>
            <w:vAlign w:val="center"/>
          </w:tcPr>
          <w:p w14:paraId="4DCEBBF7">
            <w:pPr>
              <w:pStyle w:val="714"/>
              <w:rPr>
                <w:color w:val="auto"/>
              </w:rPr>
            </w:pPr>
            <w:r>
              <w:rPr>
                <w:rFonts w:hint="eastAsia"/>
                <w:color w:val="auto"/>
              </w:rPr>
              <w:t>187</w:t>
            </w:r>
          </w:p>
        </w:tc>
      </w:tr>
      <w:tr w14:paraId="645DEF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 w:type="pct"/>
            <w:tcBorders>
              <w:tl2br w:val="nil"/>
              <w:tr2bl w:val="nil"/>
            </w:tcBorders>
            <w:shd w:val="clear" w:color="auto" w:fill="auto"/>
            <w:noWrap/>
            <w:vAlign w:val="center"/>
          </w:tcPr>
          <w:p w14:paraId="5D595959">
            <w:pPr>
              <w:pStyle w:val="714"/>
              <w:rPr>
                <w:color w:val="auto"/>
              </w:rPr>
            </w:pPr>
            <w:r>
              <w:rPr>
                <w:rFonts w:hint="eastAsia"/>
                <w:color w:val="auto"/>
              </w:rPr>
              <w:t>5</w:t>
            </w:r>
          </w:p>
        </w:tc>
        <w:tc>
          <w:tcPr>
            <w:tcW w:w="491" w:type="pct"/>
            <w:tcBorders>
              <w:tl2br w:val="nil"/>
              <w:tr2bl w:val="nil"/>
            </w:tcBorders>
            <w:shd w:val="clear" w:color="auto" w:fill="auto"/>
            <w:vAlign w:val="center"/>
          </w:tcPr>
          <w:p w14:paraId="4130C60E">
            <w:pPr>
              <w:pStyle w:val="714"/>
              <w:rPr>
                <w:color w:val="auto"/>
              </w:rPr>
            </w:pPr>
            <w:r>
              <w:rPr>
                <w:rFonts w:hint="eastAsia"/>
                <w:color w:val="auto"/>
              </w:rPr>
              <w:t>K</w:t>
            </w:r>
            <w:r>
              <w:rPr>
                <w:rFonts w:hint="eastAsia"/>
                <w:color w:val="auto"/>
                <w:vertAlign w:val="subscript"/>
              </w:rPr>
              <w:t>1</w:t>
            </w:r>
            <w:r>
              <w:rPr>
                <w:rFonts w:hint="eastAsia"/>
                <w:color w:val="auto"/>
              </w:rPr>
              <w:t>b</w:t>
            </w:r>
          </w:p>
        </w:tc>
        <w:tc>
          <w:tcPr>
            <w:tcW w:w="544" w:type="pct"/>
            <w:tcBorders>
              <w:tl2br w:val="nil"/>
              <w:tr2bl w:val="nil"/>
            </w:tcBorders>
            <w:shd w:val="clear" w:color="auto" w:fill="auto"/>
            <w:vAlign w:val="center"/>
          </w:tcPr>
          <w:p w14:paraId="6D1771E6">
            <w:pPr>
              <w:pStyle w:val="714"/>
              <w:rPr>
                <w:color w:val="auto"/>
              </w:rPr>
            </w:pPr>
            <w:r>
              <w:rPr>
                <w:rFonts w:hint="eastAsia"/>
                <w:color w:val="auto"/>
              </w:rPr>
              <w:t>50.4</w:t>
            </w:r>
          </w:p>
        </w:tc>
        <w:tc>
          <w:tcPr>
            <w:tcW w:w="726" w:type="pct"/>
            <w:tcBorders>
              <w:tl2br w:val="nil"/>
              <w:tr2bl w:val="nil"/>
            </w:tcBorders>
            <w:shd w:val="clear" w:color="auto" w:fill="auto"/>
            <w:vAlign w:val="center"/>
          </w:tcPr>
          <w:p w14:paraId="70F36F07">
            <w:pPr>
              <w:pStyle w:val="714"/>
              <w:rPr>
                <w:color w:val="auto"/>
              </w:rPr>
            </w:pPr>
            <w:r>
              <w:rPr>
                <w:rFonts w:hint="eastAsia"/>
                <w:color w:val="auto"/>
              </w:rPr>
              <w:t>18.32</w:t>
            </w:r>
          </w:p>
        </w:tc>
        <w:tc>
          <w:tcPr>
            <w:tcW w:w="562" w:type="pct"/>
            <w:tcBorders>
              <w:tl2br w:val="nil"/>
              <w:tr2bl w:val="nil"/>
            </w:tcBorders>
            <w:shd w:val="clear" w:color="auto" w:fill="auto"/>
            <w:vAlign w:val="center"/>
          </w:tcPr>
          <w:p w14:paraId="57839853">
            <w:pPr>
              <w:pStyle w:val="714"/>
              <w:rPr>
                <w:color w:val="auto"/>
              </w:rPr>
            </w:pPr>
            <w:r>
              <w:rPr>
                <w:rFonts w:hint="eastAsia"/>
                <w:color w:val="auto"/>
              </w:rPr>
              <w:t>8.17</w:t>
            </w:r>
          </w:p>
        </w:tc>
        <w:tc>
          <w:tcPr>
            <w:tcW w:w="404" w:type="pct"/>
            <w:tcBorders>
              <w:tl2br w:val="nil"/>
              <w:tr2bl w:val="nil"/>
            </w:tcBorders>
            <w:shd w:val="clear" w:color="auto" w:fill="auto"/>
            <w:vAlign w:val="center"/>
          </w:tcPr>
          <w:p w14:paraId="310C9E48">
            <w:pPr>
              <w:pStyle w:val="714"/>
              <w:rPr>
                <w:color w:val="auto"/>
              </w:rPr>
            </w:pPr>
            <w:r>
              <w:rPr>
                <w:rFonts w:hint="eastAsia"/>
                <w:color w:val="auto"/>
              </w:rPr>
              <w:t>6.009</w:t>
            </w:r>
          </w:p>
        </w:tc>
        <w:tc>
          <w:tcPr>
            <w:tcW w:w="466" w:type="pct"/>
            <w:tcBorders>
              <w:tl2br w:val="nil"/>
              <w:tr2bl w:val="nil"/>
            </w:tcBorders>
            <w:shd w:val="clear" w:color="auto" w:fill="auto"/>
            <w:vAlign w:val="center"/>
          </w:tcPr>
          <w:p w14:paraId="43D95F05">
            <w:pPr>
              <w:pStyle w:val="714"/>
              <w:rPr>
                <w:color w:val="auto"/>
              </w:rPr>
            </w:pPr>
            <w:r>
              <w:rPr>
                <w:rFonts w:hint="eastAsia"/>
                <w:color w:val="auto"/>
              </w:rPr>
              <w:t>519.2</w:t>
            </w:r>
          </w:p>
        </w:tc>
        <w:tc>
          <w:tcPr>
            <w:tcW w:w="358" w:type="pct"/>
            <w:tcBorders>
              <w:tl2br w:val="nil"/>
              <w:tr2bl w:val="nil"/>
            </w:tcBorders>
            <w:shd w:val="clear" w:color="auto" w:fill="auto"/>
            <w:vAlign w:val="center"/>
          </w:tcPr>
          <w:p w14:paraId="4E4A0F73">
            <w:pPr>
              <w:pStyle w:val="714"/>
              <w:rPr>
                <w:color w:val="auto"/>
              </w:rPr>
            </w:pPr>
            <w:r>
              <w:rPr>
                <w:rFonts w:hint="eastAsia"/>
                <w:color w:val="auto"/>
              </w:rPr>
              <w:t>1.68</w:t>
            </w:r>
          </w:p>
        </w:tc>
        <w:tc>
          <w:tcPr>
            <w:tcW w:w="582" w:type="pct"/>
            <w:tcBorders>
              <w:tl2br w:val="nil"/>
              <w:tr2bl w:val="nil"/>
            </w:tcBorders>
            <w:shd w:val="clear" w:color="auto" w:fill="auto"/>
            <w:vAlign w:val="center"/>
          </w:tcPr>
          <w:p w14:paraId="31E8ADC9">
            <w:pPr>
              <w:pStyle w:val="714"/>
              <w:rPr>
                <w:color w:val="auto"/>
              </w:rPr>
            </w:pPr>
            <w:r>
              <w:rPr>
                <w:rFonts w:hint="eastAsia"/>
                <w:color w:val="auto"/>
              </w:rPr>
              <w:t>1.94E-03</w:t>
            </w:r>
          </w:p>
        </w:tc>
        <w:tc>
          <w:tcPr>
            <w:tcW w:w="513" w:type="pct"/>
            <w:tcBorders>
              <w:tl2br w:val="nil"/>
              <w:tr2bl w:val="nil"/>
            </w:tcBorders>
            <w:shd w:val="clear" w:color="auto" w:fill="auto"/>
            <w:vAlign w:val="center"/>
          </w:tcPr>
          <w:p w14:paraId="47420F64">
            <w:pPr>
              <w:pStyle w:val="714"/>
              <w:rPr>
                <w:color w:val="auto"/>
              </w:rPr>
            </w:pPr>
            <w:r>
              <w:rPr>
                <w:rFonts w:hint="eastAsia"/>
                <w:color w:val="auto"/>
              </w:rPr>
              <w:t>154</w:t>
            </w:r>
          </w:p>
        </w:tc>
      </w:tr>
      <w:tr w14:paraId="49FFB1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 w:type="pct"/>
            <w:tcBorders>
              <w:tl2br w:val="nil"/>
              <w:tr2bl w:val="nil"/>
            </w:tcBorders>
            <w:shd w:val="clear" w:color="auto" w:fill="auto"/>
            <w:vAlign w:val="center"/>
          </w:tcPr>
          <w:p w14:paraId="53953473">
            <w:pPr>
              <w:pStyle w:val="714"/>
              <w:rPr>
                <w:color w:val="auto"/>
              </w:rPr>
            </w:pPr>
            <w:r>
              <w:rPr>
                <w:rFonts w:hint="eastAsia"/>
                <w:color w:val="auto"/>
              </w:rPr>
              <w:t>21</w:t>
            </w:r>
          </w:p>
        </w:tc>
        <w:tc>
          <w:tcPr>
            <w:tcW w:w="491" w:type="pct"/>
            <w:tcBorders>
              <w:tl2br w:val="nil"/>
              <w:tr2bl w:val="nil"/>
            </w:tcBorders>
            <w:shd w:val="clear" w:color="auto" w:fill="auto"/>
            <w:vAlign w:val="center"/>
          </w:tcPr>
          <w:p w14:paraId="791957AF">
            <w:pPr>
              <w:pStyle w:val="714"/>
              <w:rPr>
                <w:color w:val="auto"/>
              </w:rPr>
            </w:pPr>
            <w:r>
              <w:rPr>
                <w:rFonts w:hint="eastAsia"/>
                <w:color w:val="auto"/>
              </w:rPr>
              <w:t>K</w:t>
            </w:r>
            <w:r>
              <w:rPr>
                <w:rFonts w:hint="eastAsia"/>
                <w:color w:val="auto"/>
                <w:vertAlign w:val="subscript"/>
              </w:rPr>
              <w:t>1</w:t>
            </w:r>
            <w:r>
              <w:rPr>
                <w:rFonts w:hint="eastAsia"/>
                <w:color w:val="auto"/>
              </w:rPr>
              <w:t>b</w:t>
            </w:r>
          </w:p>
        </w:tc>
        <w:tc>
          <w:tcPr>
            <w:tcW w:w="544" w:type="pct"/>
            <w:tcBorders>
              <w:tl2br w:val="nil"/>
              <w:tr2bl w:val="nil"/>
            </w:tcBorders>
            <w:shd w:val="clear" w:color="auto" w:fill="auto"/>
            <w:vAlign w:val="center"/>
          </w:tcPr>
          <w:p w14:paraId="2DEFAE94">
            <w:pPr>
              <w:pStyle w:val="714"/>
              <w:rPr>
                <w:color w:val="auto"/>
              </w:rPr>
            </w:pPr>
            <w:r>
              <w:rPr>
                <w:rFonts w:hint="eastAsia"/>
                <w:color w:val="auto"/>
              </w:rPr>
              <w:t>18.2</w:t>
            </w:r>
          </w:p>
        </w:tc>
        <w:tc>
          <w:tcPr>
            <w:tcW w:w="726" w:type="pct"/>
            <w:tcBorders>
              <w:tl2br w:val="nil"/>
              <w:tr2bl w:val="nil"/>
            </w:tcBorders>
            <w:shd w:val="clear" w:color="auto" w:fill="auto"/>
            <w:vAlign w:val="center"/>
          </w:tcPr>
          <w:p w14:paraId="379C6FE0">
            <w:pPr>
              <w:pStyle w:val="714"/>
              <w:rPr>
                <w:color w:val="auto"/>
              </w:rPr>
            </w:pPr>
            <w:r>
              <w:rPr>
                <w:rFonts w:hint="eastAsia"/>
                <w:color w:val="auto"/>
              </w:rPr>
              <w:t>4.67</w:t>
            </w:r>
          </w:p>
        </w:tc>
        <w:tc>
          <w:tcPr>
            <w:tcW w:w="562" w:type="pct"/>
            <w:tcBorders>
              <w:tl2br w:val="nil"/>
              <w:tr2bl w:val="nil"/>
            </w:tcBorders>
            <w:shd w:val="clear" w:color="auto" w:fill="auto"/>
            <w:vAlign w:val="center"/>
          </w:tcPr>
          <w:p w14:paraId="012B919F">
            <w:pPr>
              <w:pStyle w:val="714"/>
              <w:rPr>
                <w:color w:val="auto"/>
              </w:rPr>
            </w:pPr>
            <w:r>
              <w:rPr>
                <w:rFonts w:hint="eastAsia"/>
                <w:color w:val="auto"/>
              </w:rPr>
              <w:t>4.65</w:t>
            </w:r>
          </w:p>
        </w:tc>
        <w:tc>
          <w:tcPr>
            <w:tcW w:w="404" w:type="pct"/>
            <w:tcBorders>
              <w:tl2br w:val="nil"/>
              <w:tr2bl w:val="nil"/>
            </w:tcBorders>
            <w:shd w:val="clear" w:color="auto" w:fill="auto"/>
            <w:vAlign w:val="center"/>
          </w:tcPr>
          <w:p w14:paraId="567CCF92">
            <w:pPr>
              <w:pStyle w:val="714"/>
              <w:rPr>
                <w:color w:val="auto"/>
              </w:rPr>
            </w:pPr>
            <w:r>
              <w:rPr>
                <w:rFonts w:hint="eastAsia"/>
                <w:color w:val="auto"/>
              </w:rPr>
              <w:t>1.861</w:t>
            </w:r>
          </w:p>
        </w:tc>
        <w:tc>
          <w:tcPr>
            <w:tcW w:w="466" w:type="pct"/>
            <w:tcBorders>
              <w:tl2br w:val="nil"/>
              <w:tr2bl w:val="nil"/>
            </w:tcBorders>
            <w:shd w:val="clear" w:color="auto" w:fill="auto"/>
            <w:vAlign w:val="center"/>
          </w:tcPr>
          <w:p w14:paraId="020D35FF">
            <w:pPr>
              <w:pStyle w:val="714"/>
              <w:rPr>
                <w:color w:val="auto"/>
              </w:rPr>
            </w:pPr>
            <w:r>
              <w:rPr>
                <w:rFonts w:hint="eastAsia"/>
                <w:color w:val="auto"/>
              </w:rPr>
              <w:t>160.79</w:t>
            </w:r>
          </w:p>
        </w:tc>
        <w:tc>
          <w:tcPr>
            <w:tcW w:w="358" w:type="pct"/>
            <w:tcBorders>
              <w:tl2br w:val="nil"/>
              <w:tr2bl w:val="nil"/>
            </w:tcBorders>
            <w:shd w:val="clear" w:color="auto" w:fill="auto"/>
            <w:vAlign w:val="center"/>
          </w:tcPr>
          <w:p w14:paraId="47588047">
            <w:pPr>
              <w:pStyle w:val="714"/>
              <w:rPr>
                <w:color w:val="auto"/>
              </w:rPr>
            </w:pPr>
            <w:r>
              <w:rPr>
                <w:rFonts w:hint="eastAsia"/>
                <w:color w:val="auto"/>
              </w:rPr>
              <w:t>2.21</w:t>
            </w:r>
          </w:p>
        </w:tc>
        <w:tc>
          <w:tcPr>
            <w:tcW w:w="582" w:type="pct"/>
            <w:tcBorders>
              <w:tl2br w:val="nil"/>
              <w:tr2bl w:val="nil"/>
            </w:tcBorders>
            <w:shd w:val="clear" w:color="auto" w:fill="auto"/>
            <w:vAlign w:val="center"/>
          </w:tcPr>
          <w:p w14:paraId="69F7DBC6">
            <w:pPr>
              <w:pStyle w:val="714"/>
              <w:rPr>
                <w:color w:val="auto"/>
              </w:rPr>
            </w:pPr>
            <w:r>
              <w:rPr>
                <w:rFonts w:hint="eastAsia"/>
                <w:color w:val="auto"/>
              </w:rPr>
              <w:t>2.56E-03</w:t>
            </w:r>
          </w:p>
        </w:tc>
        <w:tc>
          <w:tcPr>
            <w:tcW w:w="513" w:type="pct"/>
            <w:tcBorders>
              <w:tl2br w:val="nil"/>
              <w:tr2bl w:val="nil"/>
            </w:tcBorders>
            <w:shd w:val="clear" w:color="auto" w:fill="auto"/>
            <w:vAlign w:val="center"/>
          </w:tcPr>
          <w:p w14:paraId="08BD8F7B">
            <w:pPr>
              <w:pStyle w:val="714"/>
              <w:rPr>
                <w:color w:val="auto"/>
              </w:rPr>
            </w:pPr>
            <w:r>
              <w:rPr>
                <w:rFonts w:hint="eastAsia"/>
                <w:color w:val="auto"/>
              </w:rPr>
              <w:t>59</w:t>
            </w:r>
          </w:p>
        </w:tc>
      </w:tr>
    </w:tbl>
    <w:p w14:paraId="797058F6">
      <w:pPr>
        <w:pStyle w:val="700"/>
        <w:rPr>
          <w:color w:val="auto"/>
          <w:sz w:val="22"/>
          <w:szCs w:val="22"/>
        </w:rPr>
      </w:pPr>
      <w:r>
        <w:rPr>
          <w:color w:val="auto"/>
          <w:sz w:val="22"/>
          <w:szCs w:val="22"/>
        </w:rPr>
        <w:t>注：数据参考自</w:t>
      </w:r>
      <w:r>
        <w:rPr>
          <w:rFonts w:hint="eastAsia"/>
          <w:color w:val="auto"/>
          <w:sz w:val="22"/>
          <w:szCs w:val="22"/>
        </w:rPr>
        <w:t>《1:20万仪陇幅区域水文地质普查报告》</w:t>
      </w:r>
      <w:r>
        <w:rPr>
          <w:color w:val="auto"/>
          <w:sz w:val="22"/>
          <w:szCs w:val="22"/>
        </w:rPr>
        <w:t>。</w:t>
      </w:r>
    </w:p>
    <w:p w14:paraId="719F4402">
      <w:pPr>
        <w:ind w:firstLine="480"/>
        <w:rPr>
          <w:rFonts w:hint="default" w:ascii="Times New Roman" w:hAnsi="Times New Roman" w:cs="Times New Roman"/>
          <w:color w:val="auto"/>
        </w:rPr>
      </w:pPr>
      <w:r>
        <w:rPr>
          <w:rFonts w:hint="default" w:ascii="Times New Roman" w:hAnsi="Times New Roman" w:cs="Times New Roman"/>
          <w:color w:val="auto"/>
        </w:rPr>
        <w:t>根据表</w:t>
      </w:r>
      <w:r>
        <w:rPr>
          <w:rFonts w:hint="default" w:ascii="Times New Roman" w:hAnsi="Times New Roman" w:cs="Times New Roman"/>
          <w:color w:val="auto"/>
          <w:lang w:val="en-US" w:eastAsia="zh-CN"/>
        </w:rPr>
        <w:t>3.1</w:t>
      </w:r>
      <w:r>
        <w:rPr>
          <w:rFonts w:hint="default" w:ascii="Times New Roman" w:hAnsi="Times New Roman" w:cs="Times New Roman"/>
          <w:color w:val="auto"/>
        </w:rPr>
        <w:t>-2，评价区内主要地层第四系全新统（Q</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al</w:t>
      </w:r>
      <w:r>
        <w:rPr>
          <w:rFonts w:hint="default" w:ascii="Times New Roman" w:hAnsi="Times New Roman" w:cs="Times New Roman"/>
          <w:color w:val="auto"/>
        </w:rPr>
        <w:t>）及上更新统（Q</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al</w:t>
      </w:r>
      <w:r>
        <w:rPr>
          <w:rFonts w:hint="default" w:ascii="Times New Roman" w:hAnsi="Times New Roman" w:cs="Times New Roman"/>
          <w:color w:val="auto"/>
        </w:rPr>
        <w:t>）冲积层渗透系数为4.17～9.00 m/d（4.83×10</w:t>
      </w:r>
      <w:r>
        <w:rPr>
          <w:rFonts w:hint="default" w:ascii="Times New Roman" w:hAnsi="Times New Roman" w:cs="Times New Roman"/>
          <w:color w:val="auto"/>
          <w:vertAlign w:val="superscript"/>
        </w:rPr>
        <w:t>-3</w:t>
      </w:r>
      <w:r>
        <w:rPr>
          <w:rFonts w:hint="default" w:ascii="Times New Roman" w:hAnsi="Times New Roman" w:cs="Times New Roman"/>
          <w:color w:val="auto"/>
        </w:rPr>
        <w:t>～1.05×10</w:t>
      </w:r>
      <w:r>
        <w:rPr>
          <w:rFonts w:hint="default" w:ascii="Times New Roman" w:hAnsi="Times New Roman" w:cs="Times New Roman"/>
          <w:color w:val="auto"/>
          <w:vertAlign w:val="superscript"/>
        </w:rPr>
        <w:t>-2</w:t>
      </w:r>
      <w:r>
        <w:rPr>
          <w:rFonts w:hint="default" w:ascii="Times New Roman" w:hAnsi="Times New Roman" w:cs="Times New Roman"/>
          <w:color w:val="auto"/>
        </w:rPr>
        <w:t xml:space="preserve"> cm/s）；根据表6.3-3，白垩系白龙组（K</w:t>
      </w:r>
      <w:r>
        <w:rPr>
          <w:rFonts w:hint="default" w:ascii="Times New Roman" w:hAnsi="Times New Roman" w:cs="Times New Roman"/>
          <w:color w:val="auto"/>
          <w:vertAlign w:val="subscript"/>
        </w:rPr>
        <w:t>1</w:t>
      </w:r>
      <w:r>
        <w:rPr>
          <w:rFonts w:hint="default" w:ascii="Times New Roman" w:hAnsi="Times New Roman" w:cs="Times New Roman"/>
          <w:color w:val="auto"/>
        </w:rPr>
        <w:t>b）含水层渗透系数为1.34～2.21m/d（1.55×10</w:t>
      </w:r>
      <w:r>
        <w:rPr>
          <w:rFonts w:hint="default" w:ascii="Times New Roman" w:hAnsi="Times New Roman" w:cs="Times New Roman"/>
          <w:color w:val="auto"/>
          <w:vertAlign w:val="superscript"/>
        </w:rPr>
        <w:t>-3</w:t>
      </w:r>
      <w:r>
        <w:rPr>
          <w:rFonts w:hint="default" w:ascii="Times New Roman" w:hAnsi="Times New Roman" w:cs="Times New Roman"/>
          <w:color w:val="auto"/>
        </w:rPr>
        <w:t>～2.56×10</w:t>
      </w:r>
      <w:r>
        <w:rPr>
          <w:rFonts w:hint="default" w:ascii="Times New Roman" w:hAnsi="Times New Roman" w:cs="Times New Roman"/>
          <w:color w:val="auto"/>
          <w:vertAlign w:val="superscript"/>
        </w:rPr>
        <w:t>-3</w:t>
      </w:r>
      <w:r>
        <w:rPr>
          <w:rFonts w:hint="default" w:ascii="Times New Roman" w:hAnsi="Times New Roman" w:cs="Times New Roman"/>
          <w:color w:val="auto"/>
        </w:rPr>
        <w:t>cm/s）。上述数据说明评价区松散岩类孔隙水含水层及白垩系白龙组含水层渗透系数均较大，属于中等透水岩组。</w:t>
      </w:r>
    </w:p>
    <w:p w14:paraId="40BD2FBC">
      <w:pPr>
        <w:ind w:firstLine="480"/>
        <w:rPr>
          <w:rFonts w:hint="default" w:ascii="Times New Roman" w:hAnsi="Times New Roman" w:cs="Times New Roman"/>
          <w:color w:val="auto"/>
        </w:rPr>
      </w:pPr>
      <w:r>
        <w:rPr>
          <w:rFonts w:hint="default" w:ascii="Times New Roman" w:hAnsi="Times New Roman" w:cs="Times New Roman"/>
          <w:color w:val="auto"/>
        </w:rPr>
        <w:t>（2）渗水试验</w:t>
      </w:r>
      <w:bookmarkEnd w:id="136"/>
      <w:bookmarkEnd w:id="137"/>
    </w:p>
    <w:p w14:paraId="73777935">
      <w:pPr>
        <w:ind w:firstLine="480"/>
        <w:rPr>
          <w:rFonts w:hint="default" w:ascii="Times New Roman" w:hAnsi="Times New Roman" w:cs="Times New Roman"/>
          <w:color w:val="auto"/>
        </w:rPr>
      </w:pPr>
      <w:r>
        <w:rPr>
          <w:rFonts w:hint="default" w:ascii="Times New Roman" w:hAnsi="Times New Roman" w:cs="Times New Roman"/>
          <w:color w:val="auto"/>
        </w:rPr>
        <w:t>本项目现场选取2处试验点，使用双环法进行试坑渗水试验。采用下式计算包气带渗透系数：</w:t>
      </w:r>
    </w:p>
    <w:p w14:paraId="7C99D603">
      <w:pPr>
        <w:widowControl/>
        <w:ind w:firstLine="480"/>
        <w:jc w:val="center"/>
        <w:rPr>
          <w:rFonts w:cs="Times New Roman"/>
          <w:color w:val="auto"/>
          <w:kern w:val="0"/>
          <w:szCs w:val="21"/>
        </w:rPr>
      </w:pPr>
      <m:oMathPara>
        <m:oMath>
          <m:r>
            <m:rPr/>
            <w:rPr>
              <w:rFonts w:ascii="Cambria Math" w:hAnsi="Cambria Math" w:eastAsia="Cambria Math" w:cs="Times New Roman"/>
              <w:color w:val="auto"/>
              <w:kern w:val="0"/>
              <w:szCs w:val="21"/>
            </w:rPr>
            <m:t>K</m:t>
          </m:r>
          <m:r>
            <m:rPr>
              <m:sty m:val="p"/>
            </m:rPr>
            <w:rPr>
              <w:rFonts w:ascii="Cambria Math" w:hAnsi="Cambria Math" w:eastAsia="Cambria Math" w:cs="Times New Roman"/>
              <w:color w:val="auto"/>
              <w:kern w:val="0"/>
              <w:szCs w:val="21"/>
            </w:rPr>
            <m:t>=</m:t>
          </m:r>
          <m:f>
            <m:fPr>
              <m:ctrlPr>
                <w:rPr>
                  <w:rFonts w:ascii="Cambria Math" w:hAnsi="Cambria Math" w:eastAsia="Cambria Math" w:cs="Times New Roman"/>
                  <w:color w:val="auto"/>
                  <w:kern w:val="0"/>
                  <w:szCs w:val="21"/>
                </w:rPr>
              </m:ctrlPr>
            </m:fPr>
            <m:num>
              <m:r>
                <m:rPr>
                  <m:sty m:val="p"/>
                </m:rPr>
                <w:rPr>
                  <w:rFonts w:ascii="Cambria Math" w:hAnsi="Cambria Math" w:eastAsia="Cambria Math" w:cs="Times New Roman"/>
                  <w:color w:val="auto"/>
                  <w:kern w:val="0"/>
                  <w:szCs w:val="21"/>
                </w:rPr>
                <m:t>16.67QZ</m:t>
              </m:r>
              <m:ctrlPr>
                <w:rPr>
                  <w:rFonts w:ascii="Cambria Math" w:hAnsi="Cambria Math" w:eastAsia="Cambria Math" w:cs="Times New Roman"/>
                  <w:color w:val="auto"/>
                  <w:kern w:val="0"/>
                  <w:szCs w:val="21"/>
                </w:rPr>
              </m:ctrlPr>
            </m:num>
            <m:den>
              <m:r>
                <m:rPr>
                  <m:sty m:val="p"/>
                </m:rPr>
                <w:rPr>
                  <w:rFonts w:ascii="Cambria Math" w:hAnsi="Cambria Math" w:eastAsia="Cambria Math" w:cs="Times New Roman"/>
                  <w:color w:val="auto"/>
                  <w:kern w:val="0"/>
                  <w:szCs w:val="21"/>
                </w:rPr>
                <m:t>F</m:t>
              </m:r>
              <m:r>
                <m:rPr>
                  <m:sty m:val="p"/>
                </m:rPr>
                <w:rPr>
                  <w:rFonts w:ascii="Cambria Math" w:hAnsi="Cambria Math" w:cs="Times New Roman"/>
                  <w:color w:val="auto"/>
                  <w:kern w:val="0"/>
                  <w:szCs w:val="21"/>
                </w:rPr>
                <m:t>（H+Z+0.5</m:t>
              </m:r>
              <m:sSub>
                <m:sSubPr>
                  <m:ctrlPr>
                    <w:rPr>
                      <w:rFonts w:ascii="Cambria Math" w:hAnsi="Cambria Math" w:cs="Times New Roman"/>
                      <w:color w:val="auto"/>
                      <w:kern w:val="0"/>
                      <w:szCs w:val="21"/>
                    </w:rPr>
                  </m:ctrlPr>
                </m:sSubPr>
                <m:e>
                  <m:r>
                    <m:rPr/>
                    <w:rPr>
                      <w:rFonts w:ascii="Cambria Math" w:hAnsi="Cambria Math" w:cs="Times New Roman"/>
                      <w:color w:val="auto"/>
                      <w:kern w:val="0"/>
                      <w:szCs w:val="21"/>
                    </w:rPr>
                    <m:t>H</m:t>
                  </m:r>
                  <m:ctrlPr>
                    <w:rPr>
                      <w:rFonts w:ascii="Cambria Math" w:hAnsi="Cambria Math" w:cs="Times New Roman"/>
                      <w:color w:val="auto"/>
                      <w:kern w:val="0"/>
                      <w:szCs w:val="21"/>
                    </w:rPr>
                  </m:ctrlPr>
                </m:e>
                <m:sub>
                  <m:r>
                    <m:rPr/>
                    <w:rPr>
                      <w:rFonts w:ascii="Cambria Math" w:hAnsi="Cambria Math" w:cs="Times New Roman"/>
                      <w:color w:val="auto"/>
                      <w:kern w:val="0"/>
                      <w:szCs w:val="21"/>
                    </w:rPr>
                    <m:t>a</m:t>
                  </m:r>
                  <m:ctrlPr>
                    <w:rPr>
                      <w:rFonts w:ascii="Cambria Math" w:hAnsi="Cambria Math" w:cs="Times New Roman"/>
                      <w:color w:val="auto"/>
                      <w:kern w:val="0"/>
                      <w:szCs w:val="21"/>
                    </w:rPr>
                  </m:ctrlPr>
                </m:sub>
              </m:sSub>
              <m:r>
                <m:rPr>
                  <m:sty m:val="p"/>
                </m:rPr>
                <w:rPr>
                  <w:rFonts w:ascii="Cambria Math" w:hAnsi="Cambria Math" w:cs="Times New Roman"/>
                  <w:color w:val="auto"/>
                  <w:kern w:val="0"/>
                  <w:szCs w:val="21"/>
                </w:rPr>
                <m:t>）</m:t>
              </m:r>
              <m:ctrlPr>
                <w:rPr>
                  <w:rFonts w:ascii="Cambria Math" w:hAnsi="Cambria Math" w:eastAsia="Cambria Math" w:cs="Times New Roman"/>
                  <w:color w:val="auto"/>
                  <w:kern w:val="0"/>
                  <w:szCs w:val="21"/>
                </w:rPr>
              </m:ctrlPr>
            </m:den>
          </m:f>
        </m:oMath>
      </m:oMathPara>
    </w:p>
    <w:p w14:paraId="31336AC0">
      <w:pPr>
        <w:widowControl/>
        <w:ind w:firstLine="480"/>
        <w:jc w:val="left"/>
        <w:rPr>
          <w:rFonts w:cs="Times New Roman"/>
          <w:color w:val="auto"/>
          <w:kern w:val="0"/>
          <w:szCs w:val="21"/>
        </w:rPr>
      </w:pPr>
      <w:r>
        <w:rPr>
          <w:rFonts w:cs="Times New Roman"/>
          <w:color w:val="auto"/>
          <w:kern w:val="0"/>
          <w:szCs w:val="21"/>
        </w:rPr>
        <w:t>式中：K—渗透系数（cm/s）；</w:t>
      </w:r>
    </w:p>
    <w:p w14:paraId="0E314D02">
      <w:pPr>
        <w:widowControl/>
        <w:ind w:firstLine="720" w:firstLineChars="300"/>
        <w:jc w:val="left"/>
        <w:rPr>
          <w:rFonts w:cs="Times New Roman"/>
          <w:color w:val="auto"/>
          <w:kern w:val="0"/>
          <w:szCs w:val="21"/>
        </w:rPr>
      </w:pPr>
      <w:r>
        <w:rPr>
          <w:rFonts w:cs="Times New Roman"/>
          <w:color w:val="auto"/>
          <w:kern w:val="0"/>
          <w:szCs w:val="21"/>
        </w:rPr>
        <w:t>Q—内环的注入流量（L/min）；</w:t>
      </w:r>
    </w:p>
    <w:p w14:paraId="6A0B3C7A">
      <w:pPr>
        <w:widowControl/>
        <w:ind w:firstLine="720" w:firstLineChars="300"/>
        <w:jc w:val="left"/>
        <w:rPr>
          <w:rFonts w:cs="Times New Roman"/>
          <w:color w:val="auto"/>
          <w:kern w:val="0"/>
          <w:szCs w:val="21"/>
        </w:rPr>
      </w:pPr>
      <w:r>
        <w:rPr>
          <w:rFonts w:cs="Times New Roman"/>
          <w:color w:val="auto"/>
          <w:kern w:val="0"/>
          <w:szCs w:val="21"/>
        </w:rPr>
        <w:t>F—内环的底面积（c</w:t>
      </w:r>
      <w:r>
        <w:rPr>
          <w:rFonts w:hint="eastAsia" w:cs="Times New Roman"/>
          <w:color w:val="auto"/>
          <w:kern w:val="0"/>
          <w:szCs w:val="21"/>
          <w:lang w:eastAsia="zh-CN"/>
        </w:rPr>
        <w:t>m²</w:t>
      </w:r>
      <w:r>
        <w:rPr>
          <w:rFonts w:cs="Times New Roman"/>
          <w:color w:val="auto"/>
          <w:kern w:val="0"/>
          <w:szCs w:val="21"/>
        </w:rPr>
        <w:t>），本次取314 c</w:t>
      </w:r>
      <w:r>
        <w:rPr>
          <w:rFonts w:hint="eastAsia" w:cs="Times New Roman"/>
          <w:color w:val="auto"/>
          <w:kern w:val="0"/>
          <w:szCs w:val="21"/>
          <w:lang w:eastAsia="zh-CN"/>
        </w:rPr>
        <w:t>m²</w:t>
      </w:r>
      <w:r>
        <w:rPr>
          <w:rFonts w:cs="Times New Roman"/>
          <w:color w:val="auto"/>
          <w:kern w:val="0"/>
          <w:szCs w:val="21"/>
        </w:rPr>
        <w:t>；</w:t>
      </w:r>
    </w:p>
    <w:p w14:paraId="2C3B6F85">
      <w:pPr>
        <w:widowControl/>
        <w:ind w:firstLine="720" w:firstLineChars="300"/>
        <w:jc w:val="left"/>
        <w:rPr>
          <w:rFonts w:cs="Times New Roman"/>
          <w:color w:val="auto"/>
          <w:kern w:val="0"/>
          <w:szCs w:val="21"/>
        </w:rPr>
      </w:pPr>
      <w:r>
        <w:rPr>
          <w:rFonts w:cs="Times New Roman"/>
          <w:color w:val="auto"/>
          <w:kern w:val="0"/>
          <w:szCs w:val="21"/>
        </w:rPr>
        <w:t>H—试验水头（cm），本次取10 cm；</w:t>
      </w:r>
    </w:p>
    <w:p w14:paraId="77437C6F">
      <w:pPr>
        <w:widowControl/>
        <w:ind w:firstLine="720" w:firstLineChars="300"/>
        <w:jc w:val="left"/>
        <w:rPr>
          <w:rFonts w:cs="Times New Roman"/>
          <w:color w:val="auto"/>
          <w:kern w:val="0"/>
          <w:szCs w:val="21"/>
        </w:rPr>
      </w:pPr>
      <w:r>
        <w:rPr>
          <w:rFonts w:cs="Times New Roman"/>
          <w:color w:val="auto"/>
          <w:kern w:val="0"/>
          <w:szCs w:val="21"/>
        </w:rPr>
        <w:t>Z—下渗深度（cm）；</w:t>
      </w:r>
    </w:p>
    <w:p w14:paraId="425404F5">
      <w:pPr>
        <w:ind w:firstLine="679" w:firstLineChars="283"/>
        <w:rPr>
          <w:rFonts w:cs="Times New Roman"/>
          <w:color w:val="auto"/>
        </w:rPr>
      </w:pPr>
      <w:r>
        <w:rPr>
          <w:rFonts w:cs="Times New Roman"/>
          <w:color w:val="auto"/>
          <w:kern w:val="0"/>
          <w:szCs w:val="21"/>
        </w:rPr>
        <w:t>Ha—试验土层的毛细上升高度（cm），本次取</w:t>
      </w:r>
      <w:r>
        <w:rPr>
          <w:rFonts w:hint="eastAsia" w:cs="Times New Roman"/>
          <w:color w:val="auto"/>
          <w:kern w:val="0"/>
          <w:szCs w:val="21"/>
        </w:rPr>
        <w:t>27</w:t>
      </w:r>
      <w:r>
        <w:rPr>
          <w:rFonts w:cs="Times New Roman"/>
          <w:color w:val="auto"/>
          <w:kern w:val="0"/>
          <w:szCs w:val="21"/>
        </w:rPr>
        <w:t>0 cm。</w:t>
      </w:r>
    </w:p>
    <w:p w14:paraId="419D718C">
      <w:pPr>
        <w:ind w:firstLine="480"/>
        <w:rPr>
          <w:rFonts w:cs="Times New Roman"/>
          <w:color w:val="auto"/>
        </w:rPr>
      </w:pPr>
      <w:r>
        <w:rPr>
          <w:rFonts w:cs="Times New Roman"/>
          <w:color w:val="auto"/>
        </w:rPr>
        <w:t>工作区包气带</w:t>
      </w:r>
      <w:r>
        <w:rPr>
          <w:rFonts w:hint="eastAsia" w:cs="Times New Roman"/>
          <w:color w:val="auto"/>
        </w:rPr>
        <w:t>粉质粘土</w:t>
      </w:r>
      <w:r>
        <w:rPr>
          <w:rFonts w:cs="Times New Roman"/>
          <w:color w:val="auto"/>
        </w:rPr>
        <w:t>渗水试验结果见</w:t>
      </w:r>
      <w:r>
        <w:rPr>
          <w:rFonts w:cs="Times New Roman"/>
          <w:color w:val="auto"/>
        </w:rPr>
        <w:fldChar w:fldCharType="begin"/>
      </w:r>
      <w:r>
        <w:rPr>
          <w:rFonts w:cs="Times New Roman"/>
          <w:color w:val="auto"/>
        </w:rPr>
        <w:instrText xml:space="preserve"> REF _Ref517300439 \h  \* MERGEFORMAT </w:instrText>
      </w:r>
      <w:r>
        <w:rPr>
          <w:rFonts w:cs="Times New Roman"/>
          <w:color w:val="auto"/>
        </w:rPr>
        <w:fldChar w:fldCharType="separate"/>
      </w:r>
      <w:r>
        <w:rPr>
          <w:rFonts w:cs="Times New Roman"/>
          <w:color w:val="auto"/>
        </w:rPr>
        <w:t>表6</w:t>
      </w:r>
      <w:r>
        <w:rPr>
          <w:rFonts w:cs="Times New Roman"/>
          <w:color w:val="auto"/>
        </w:rPr>
        <w:fldChar w:fldCharType="end"/>
      </w:r>
      <w:r>
        <w:rPr>
          <w:rFonts w:cs="Times New Roman"/>
          <w:color w:val="auto"/>
        </w:rPr>
        <w:t>.3-</w:t>
      </w:r>
      <w:r>
        <w:rPr>
          <w:rFonts w:hint="eastAsia" w:cs="Times New Roman"/>
          <w:color w:val="auto"/>
        </w:rPr>
        <w:t>4</w:t>
      </w:r>
      <w:r>
        <w:rPr>
          <w:rFonts w:cs="Times New Roman"/>
          <w:color w:val="auto"/>
        </w:rPr>
        <w:t>。通过现场2处双环渗水试验，项目区内粉质粘土层的渗透系数为0.</w:t>
      </w:r>
      <w:r>
        <w:rPr>
          <w:rFonts w:hint="eastAsia" w:cs="Times New Roman"/>
          <w:color w:val="auto"/>
        </w:rPr>
        <w:t>135</w:t>
      </w:r>
      <w:r>
        <w:rPr>
          <w:rFonts w:cs="Times New Roman"/>
          <w:color w:val="auto"/>
        </w:rPr>
        <w:t>～0.</w:t>
      </w:r>
      <w:r>
        <w:rPr>
          <w:rFonts w:hint="eastAsia" w:cs="Times New Roman"/>
          <w:color w:val="auto"/>
        </w:rPr>
        <w:t>161</w:t>
      </w:r>
      <w:r>
        <w:rPr>
          <w:rFonts w:cs="Times New Roman"/>
          <w:color w:val="auto"/>
        </w:rPr>
        <w:t xml:space="preserve"> m/d（</w:t>
      </w:r>
      <w:r>
        <w:rPr>
          <w:rFonts w:hint="eastAsia" w:cs="Times New Roman"/>
          <w:color w:val="auto"/>
        </w:rPr>
        <w:t>1.56</w:t>
      </w:r>
      <w:r>
        <w:rPr>
          <w:rFonts w:cs="Times New Roman"/>
          <w:color w:val="auto"/>
        </w:rPr>
        <w:t>×10</w:t>
      </w:r>
      <w:r>
        <w:rPr>
          <w:rFonts w:cs="Times New Roman"/>
          <w:color w:val="auto"/>
          <w:vertAlign w:val="superscript"/>
        </w:rPr>
        <w:t>-</w:t>
      </w:r>
      <w:r>
        <w:rPr>
          <w:rFonts w:hint="eastAsia" w:cs="Times New Roman"/>
          <w:color w:val="auto"/>
          <w:vertAlign w:val="superscript"/>
        </w:rPr>
        <w:t>4</w:t>
      </w:r>
      <w:r>
        <w:rPr>
          <w:rFonts w:cs="Times New Roman"/>
          <w:color w:val="auto"/>
        </w:rPr>
        <w:t>～</w:t>
      </w:r>
      <w:r>
        <w:rPr>
          <w:rFonts w:hint="eastAsia" w:cs="Times New Roman"/>
          <w:color w:val="auto"/>
        </w:rPr>
        <w:t>1.86</w:t>
      </w:r>
      <w:r>
        <w:rPr>
          <w:rFonts w:cs="Times New Roman"/>
          <w:color w:val="auto"/>
        </w:rPr>
        <w:t>×10</w:t>
      </w:r>
      <w:r>
        <w:rPr>
          <w:rFonts w:cs="Times New Roman"/>
          <w:color w:val="auto"/>
          <w:vertAlign w:val="superscript"/>
        </w:rPr>
        <w:t>-</w:t>
      </w:r>
      <w:r>
        <w:rPr>
          <w:rFonts w:hint="eastAsia" w:cs="Times New Roman"/>
          <w:color w:val="auto"/>
          <w:vertAlign w:val="superscript"/>
        </w:rPr>
        <w:t>4</w:t>
      </w:r>
      <w:r>
        <w:rPr>
          <w:rFonts w:cs="Times New Roman"/>
          <w:color w:val="auto"/>
        </w:rPr>
        <w:t>cm/s），渗透性等级为弱透水。</w:t>
      </w:r>
    </w:p>
    <w:p w14:paraId="739E0D63">
      <w:pPr>
        <w:pStyle w:val="713"/>
        <w:rPr>
          <w:rFonts w:cs="Times New Roman"/>
          <w:color w:val="auto"/>
        </w:rPr>
      </w:pPr>
      <w:bookmarkStart w:id="138" w:name="_Ref517300439"/>
      <w:r>
        <w:rPr>
          <w:rFonts w:cs="Times New Roman"/>
          <w:color w:val="auto"/>
        </w:rPr>
        <w:t>表</w:t>
      </w:r>
      <w:bookmarkEnd w:id="138"/>
      <w:r>
        <w:rPr>
          <w:rFonts w:hint="eastAsia" w:cs="Times New Roman"/>
          <w:color w:val="auto"/>
          <w:lang w:val="en-US" w:eastAsia="zh-CN"/>
        </w:rPr>
        <w:t>3.1</w:t>
      </w:r>
      <w:r>
        <w:rPr>
          <w:rFonts w:cs="Times New Roman"/>
          <w:color w:val="auto"/>
        </w:rPr>
        <w:t>-</w:t>
      </w:r>
      <w:r>
        <w:rPr>
          <w:rFonts w:hint="eastAsia" w:cs="Times New Roman"/>
          <w:color w:val="auto"/>
        </w:rPr>
        <w:t>4</w:t>
      </w:r>
      <w:r>
        <w:rPr>
          <w:rFonts w:cs="Times New Roman"/>
          <w:color w:val="auto"/>
        </w:rPr>
        <w:t xml:space="preserve">  双环渗水试验成果表</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93"/>
        <w:gridCol w:w="958"/>
        <w:gridCol w:w="1928"/>
        <w:gridCol w:w="957"/>
        <w:gridCol w:w="1642"/>
        <w:gridCol w:w="910"/>
        <w:gridCol w:w="805"/>
        <w:gridCol w:w="1047"/>
      </w:tblGrid>
      <w:tr w14:paraId="7A7CCA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7" w:type="pct"/>
            <w:tcBorders>
              <w:tl2br w:val="nil"/>
              <w:tr2bl w:val="nil"/>
            </w:tcBorders>
            <w:shd w:val="clear" w:color="auto" w:fill="auto"/>
            <w:noWrap/>
            <w:tcMar>
              <w:left w:w="57" w:type="dxa"/>
              <w:right w:w="57" w:type="dxa"/>
            </w:tcMar>
            <w:vAlign w:val="center"/>
          </w:tcPr>
          <w:p w14:paraId="2D8C0C09">
            <w:pPr>
              <w:pStyle w:val="714"/>
              <w:rPr>
                <w:b/>
                <w:bCs/>
                <w:color w:val="auto"/>
              </w:rPr>
            </w:pPr>
            <w:r>
              <w:rPr>
                <w:rFonts w:hint="eastAsia"/>
                <w:b/>
                <w:bCs/>
                <w:color w:val="auto"/>
              </w:rPr>
              <w:t>编号</w:t>
            </w:r>
          </w:p>
        </w:tc>
        <w:tc>
          <w:tcPr>
            <w:tcW w:w="570" w:type="pct"/>
            <w:tcBorders>
              <w:tl2br w:val="nil"/>
              <w:tr2bl w:val="nil"/>
            </w:tcBorders>
            <w:shd w:val="clear" w:color="auto" w:fill="auto"/>
            <w:noWrap/>
            <w:tcMar>
              <w:left w:w="57" w:type="dxa"/>
              <w:right w:w="57" w:type="dxa"/>
            </w:tcMar>
            <w:vAlign w:val="center"/>
          </w:tcPr>
          <w:p w14:paraId="1D5A3BBC">
            <w:pPr>
              <w:pStyle w:val="714"/>
              <w:rPr>
                <w:b/>
                <w:bCs/>
                <w:color w:val="auto"/>
              </w:rPr>
            </w:pPr>
            <w:r>
              <w:rPr>
                <w:rFonts w:hint="eastAsia"/>
                <w:b/>
                <w:bCs/>
                <w:color w:val="auto"/>
              </w:rPr>
              <w:t>岩性特征</w:t>
            </w:r>
          </w:p>
        </w:tc>
        <w:tc>
          <w:tcPr>
            <w:tcW w:w="665" w:type="pct"/>
            <w:tcBorders>
              <w:tl2br w:val="nil"/>
              <w:tr2bl w:val="nil"/>
            </w:tcBorders>
            <w:shd w:val="clear" w:color="auto" w:fill="auto"/>
            <w:noWrap/>
            <w:tcMar>
              <w:left w:w="57" w:type="dxa"/>
              <w:right w:w="57" w:type="dxa"/>
            </w:tcMar>
            <w:vAlign w:val="center"/>
          </w:tcPr>
          <w:p w14:paraId="39811BC0">
            <w:pPr>
              <w:pStyle w:val="714"/>
              <w:rPr>
                <w:b/>
                <w:bCs/>
                <w:color w:val="auto"/>
              </w:rPr>
            </w:pPr>
            <w:r>
              <w:rPr>
                <w:rFonts w:hint="eastAsia"/>
                <w:b/>
                <w:bCs/>
                <w:color w:val="auto"/>
              </w:rPr>
              <w:t>稳定流量（L/min）</w:t>
            </w:r>
          </w:p>
        </w:tc>
        <w:tc>
          <w:tcPr>
            <w:tcW w:w="665" w:type="pct"/>
            <w:tcBorders>
              <w:tl2br w:val="nil"/>
              <w:tr2bl w:val="nil"/>
            </w:tcBorders>
            <w:shd w:val="clear" w:color="auto" w:fill="auto"/>
            <w:tcMar>
              <w:left w:w="57" w:type="dxa"/>
              <w:right w:w="57" w:type="dxa"/>
            </w:tcMar>
            <w:vAlign w:val="center"/>
          </w:tcPr>
          <w:p w14:paraId="7E89C5A7">
            <w:pPr>
              <w:pStyle w:val="714"/>
              <w:rPr>
                <w:b/>
                <w:bCs/>
                <w:color w:val="auto"/>
              </w:rPr>
            </w:pPr>
            <w:r>
              <w:rPr>
                <w:rFonts w:hint="eastAsia"/>
                <w:b/>
                <w:bCs/>
                <w:color w:val="auto"/>
              </w:rPr>
              <w:t>H试验水头（cm）</w:t>
            </w:r>
          </w:p>
        </w:tc>
        <w:tc>
          <w:tcPr>
            <w:tcW w:w="1003" w:type="pct"/>
            <w:tcBorders>
              <w:tl2br w:val="nil"/>
              <w:tr2bl w:val="nil"/>
            </w:tcBorders>
            <w:shd w:val="clear" w:color="auto" w:fill="auto"/>
            <w:tcMar>
              <w:left w:w="57" w:type="dxa"/>
              <w:right w:w="57" w:type="dxa"/>
            </w:tcMar>
            <w:vAlign w:val="center"/>
          </w:tcPr>
          <w:p w14:paraId="550D851B">
            <w:pPr>
              <w:pStyle w:val="714"/>
              <w:rPr>
                <w:b/>
                <w:bCs/>
                <w:color w:val="auto"/>
              </w:rPr>
            </w:pPr>
            <w:r>
              <w:rPr>
                <w:rFonts w:hint="eastAsia"/>
                <w:b/>
                <w:bCs/>
                <w:color w:val="auto"/>
              </w:rPr>
              <w:t>Ha毛细上升高度（cm）150-400</w:t>
            </w:r>
          </w:p>
        </w:tc>
        <w:tc>
          <w:tcPr>
            <w:tcW w:w="492" w:type="pct"/>
            <w:tcBorders>
              <w:tl2br w:val="nil"/>
              <w:tr2bl w:val="nil"/>
            </w:tcBorders>
            <w:shd w:val="clear" w:color="auto" w:fill="auto"/>
            <w:tcMar>
              <w:left w:w="57" w:type="dxa"/>
              <w:right w:w="57" w:type="dxa"/>
            </w:tcMar>
            <w:vAlign w:val="center"/>
          </w:tcPr>
          <w:p w14:paraId="08ADE3EA">
            <w:pPr>
              <w:pStyle w:val="714"/>
              <w:rPr>
                <w:b/>
                <w:bCs/>
                <w:color w:val="auto"/>
              </w:rPr>
            </w:pPr>
            <w:r>
              <w:rPr>
                <w:rFonts w:hint="eastAsia"/>
                <w:b/>
                <w:bCs/>
                <w:color w:val="auto"/>
              </w:rPr>
              <w:t>F</w:t>
            </w:r>
          </w:p>
          <w:p w14:paraId="2904D14D">
            <w:pPr>
              <w:pStyle w:val="714"/>
              <w:rPr>
                <w:b/>
                <w:bCs/>
                <w:color w:val="auto"/>
              </w:rPr>
            </w:pPr>
            <w:r>
              <w:rPr>
                <w:rFonts w:hint="eastAsia"/>
                <w:b/>
                <w:bCs/>
                <w:color w:val="auto"/>
              </w:rPr>
              <w:t>（c</w:t>
            </w:r>
            <w:r>
              <w:rPr>
                <w:rFonts w:hint="eastAsia"/>
                <w:b/>
                <w:bCs/>
                <w:color w:val="auto"/>
                <w:lang w:eastAsia="zh-CN"/>
              </w:rPr>
              <w:t>m²</w:t>
            </w:r>
            <w:r>
              <w:rPr>
                <w:rFonts w:hint="eastAsia"/>
                <w:b/>
                <w:bCs/>
                <w:color w:val="auto"/>
              </w:rPr>
              <w:t>）</w:t>
            </w:r>
          </w:p>
        </w:tc>
        <w:tc>
          <w:tcPr>
            <w:tcW w:w="498" w:type="pct"/>
            <w:tcBorders>
              <w:tl2br w:val="nil"/>
              <w:tr2bl w:val="nil"/>
            </w:tcBorders>
            <w:shd w:val="clear" w:color="auto" w:fill="auto"/>
            <w:tcMar>
              <w:left w:w="57" w:type="dxa"/>
              <w:right w:w="57" w:type="dxa"/>
            </w:tcMar>
            <w:vAlign w:val="center"/>
          </w:tcPr>
          <w:p w14:paraId="2CFAFC10">
            <w:pPr>
              <w:pStyle w:val="714"/>
              <w:rPr>
                <w:b/>
                <w:bCs/>
                <w:color w:val="auto"/>
              </w:rPr>
            </w:pPr>
            <w:r>
              <w:rPr>
                <w:rFonts w:hint="eastAsia"/>
                <w:b/>
                <w:bCs/>
                <w:color w:val="auto"/>
              </w:rPr>
              <w:t>Z</w:t>
            </w:r>
          </w:p>
          <w:p w14:paraId="6457515F">
            <w:pPr>
              <w:pStyle w:val="714"/>
              <w:rPr>
                <w:b/>
                <w:bCs/>
                <w:color w:val="auto"/>
              </w:rPr>
            </w:pPr>
            <w:r>
              <w:rPr>
                <w:rFonts w:hint="eastAsia"/>
                <w:b/>
                <w:bCs/>
                <w:color w:val="auto"/>
              </w:rPr>
              <w:t>（cm）</w:t>
            </w:r>
          </w:p>
        </w:tc>
        <w:tc>
          <w:tcPr>
            <w:tcW w:w="697" w:type="pct"/>
            <w:tcBorders>
              <w:tl2br w:val="nil"/>
              <w:tr2bl w:val="nil"/>
            </w:tcBorders>
            <w:shd w:val="clear" w:color="auto" w:fill="auto"/>
            <w:tcMar>
              <w:left w:w="57" w:type="dxa"/>
              <w:right w:w="57" w:type="dxa"/>
            </w:tcMar>
            <w:vAlign w:val="center"/>
          </w:tcPr>
          <w:p w14:paraId="4298361C">
            <w:pPr>
              <w:pStyle w:val="714"/>
              <w:rPr>
                <w:rFonts w:hint="eastAsia" w:eastAsiaTheme="majorEastAsia"/>
                <w:b/>
                <w:bCs/>
                <w:color w:val="auto"/>
                <w:lang w:eastAsia="zh-CN"/>
              </w:rPr>
            </w:pPr>
            <w:r>
              <w:rPr>
                <w:rFonts w:hint="eastAsia"/>
                <w:b/>
                <w:bCs/>
                <w:color w:val="auto"/>
              </w:rPr>
              <w:t>K渗透系数</w:t>
            </w:r>
            <w:r>
              <w:rPr>
                <w:rFonts w:hint="eastAsia"/>
                <w:b/>
                <w:bCs/>
                <w:color w:val="auto"/>
                <w:lang w:eastAsia="zh-CN"/>
              </w:rPr>
              <w:t>（</w:t>
            </w:r>
            <w:r>
              <w:rPr>
                <w:rFonts w:hint="eastAsia"/>
                <w:b/>
                <w:bCs/>
                <w:color w:val="auto"/>
              </w:rPr>
              <w:t>cm/s</w:t>
            </w:r>
            <w:r>
              <w:rPr>
                <w:rFonts w:hint="eastAsia"/>
                <w:b/>
                <w:bCs/>
                <w:color w:val="auto"/>
                <w:lang w:eastAsia="zh-CN"/>
              </w:rPr>
              <w:t>）</w:t>
            </w:r>
          </w:p>
        </w:tc>
      </w:tr>
      <w:tr w14:paraId="3766E0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7" w:type="pct"/>
            <w:tcBorders>
              <w:tl2br w:val="nil"/>
              <w:tr2bl w:val="nil"/>
            </w:tcBorders>
            <w:shd w:val="clear" w:color="auto" w:fill="auto"/>
            <w:noWrap/>
            <w:tcMar>
              <w:left w:w="57" w:type="dxa"/>
              <w:right w:w="57" w:type="dxa"/>
            </w:tcMar>
            <w:vAlign w:val="center"/>
          </w:tcPr>
          <w:p w14:paraId="069F08F3">
            <w:pPr>
              <w:pStyle w:val="714"/>
              <w:rPr>
                <w:color w:val="auto"/>
              </w:rPr>
            </w:pPr>
            <w:r>
              <w:rPr>
                <w:rFonts w:hint="eastAsia"/>
                <w:color w:val="auto"/>
              </w:rPr>
              <w:t>SH01</w:t>
            </w:r>
          </w:p>
        </w:tc>
        <w:tc>
          <w:tcPr>
            <w:tcW w:w="570" w:type="pct"/>
            <w:tcBorders>
              <w:tl2br w:val="nil"/>
              <w:tr2bl w:val="nil"/>
            </w:tcBorders>
            <w:shd w:val="clear" w:color="auto" w:fill="auto"/>
            <w:noWrap/>
            <w:tcMar>
              <w:left w:w="57" w:type="dxa"/>
              <w:right w:w="57" w:type="dxa"/>
            </w:tcMar>
            <w:vAlign w:val="center"/>
          </w:tcPr>
          <w:p w14:paraId="5DFC827F">
            <w:pPr>
              <w:pStyle w:val="714"/>
              <w:rPr>
                <w:color w:val="auto"/>
              </w:rPr>
            </w:pPr>
            <w:r>
              <w:rPr>
                <w:rFonts w:hint="eastAsia"/>
                <w:color w:val="auto"/>
              </w:rPr>
              <w:t>粉质粘土</w:t>
            </w:r>
          </w:p>
        </w:tc>
        <w:tc>
          <w:tcPr>
            <w:tcW w:w="665" w:type="pct"/>
            <w:tcBorders>
              <w:tl2br w:val="nil"/>
              <w:tr2bl w:val="nil"/>
            </w:tcBorders>
            <w:shd w:val="clear" w:color="auto" w:fill="auto"/>
            <w:noWrap/>
            <w:tcMar>
              <w:left w:w="57" w:type="dxa"/>
              <w:right w:w="57" w:type="dxa"/>
            </w:tcMar>
            <w:vAlign w:val="center"/>
          </w:tcPr>
          <w:p w14:paraId="56D0BE25">
            <w:pPr>
              <w:pStyle w:val="714"/>
              <w:rPr>
                <w:color w:val="auto"/>
              </w:rPr>
            </w:pPr>
            <w:r>
              <w:rPr>
                <w:rFonts w:hint="eastAsia"/>
                <w:color w:val="auto"/>
              </w:rPr>
              <w:t>0.01526</w:t>
            </w:r>
          </w:p>
        </w:tc>
        <w:tc>
          <w:tcPr>
            <w:tcW w:w="665" w:type="pct"/>
            <w:tcBorders>
              <w:tl2br w:val="nil"/>
              <w:tr2bl w:val="nil"/>
            </w:tcBorders>
            <w:shd w:val="clear" w:color="auto" w:fill="auto"/>
            <w:tcMar>
              <w:left w:w="57" w:type="dxa"/>
              <w:right w:w="57" w:type="dxa"/>
            </w:tcMar>
            <w:vAlign w:val="center"/>
          </w:tcPr>
          <w:p w14:paraId="6AFF746E">
            <w:pPr>
              <w:pStyle w:val="714"/>
              <w:rPr>
                <w:color w:val="auto"/>
              </w:rPr>
            </w:pPr>
            <w:r>
              <w:rPr>
                <w:rFonts w:hint="eastAsia"/>
                <w:color w:val="auto"/>
              </w:rPr>
              <w:t>10</w:t>
            </w:r>
          </w:p>
        </w:tc>
        <w:tc>
          <w:tcPr>
            <w:tcW w:w="1003" w:type="pct"/>
            <w:tcBorders>
              <w:tl2br w:val="nil"/>
              <w:tr2bl w:val="nil"/>
            </w:tcBorders>
            <w:shd w:val="clear" w:color="auto" w:fill="auto"/>
            <w:tcMar>
              <w:left w:w="57" w:type="dxa"/>
              <w:right w:w="57" w:type="dxa"/>
            </w:tcMar>
            <w:vAlign w:val="center"/>
          </w:tcPr>
          <w:p w14:paraId="1D4BE616">
            <w:pPr>
              <w:pStyle w:val="714"/>
              <w:rPr>
                <w:color w:val="auto"/>
              </w:rPr>
            </w:pPr>
            <w:r>
              <w:rPr>
                <w:rFonts w:hint="eastAsia"/>
                <w:color w:val="auto"/>
              </w:rPr>
              <w:t>270</w:t>
            </w:r>
          </w:p>
        </w:tc>
        <w:tc>
          <w:tcPr>
            <w:tcW w:w="492" w:type="pct"/>
            <w:tcBorders>
              <w:tl2br w:val="nil"/>
              <w:tr2bl w:val="nil"/>
            </w:tcBorders>
            <w:shd w:val="clear" w:color="auto" w:fill="auto"/>
            <w:tcMar>
              <w:left w:w="57" w:type="dxa"/>
              <w:right w:w="57" w:type="dxa"/>
            </w:tcMar>
            <w:vAlign w:val="center"/>
          </w:tcPr>
          <w:p w14:paraId="1B627C94">
            <w:pPr>
              <w:pStyle w:val="714"/>
              <w:rPr>
                <w:color w:val="auto"/>
              </w:rPr>
            </w:pPr>
            <w:r>
              <w:rPr>
                <w:rFonts w:hint="eastAsia"/>
                <w:color w:val="auto"/>
              </w:rPr>
              <w:t>490.625</w:t>
            </w:r>
          </w:p>
        </w:tc>
        <w:tc>
          <w:tcPr>
            <w:tcW w:w="498" w:type="pct"/>
            <w:tcBorders>
              <w:tl2br w:val="nil"/>
              <w:tr2bl w:val="nil"/>
            </w:tcBorders>
            <w:shd w:val="clear" w:color="auto" w:fill="auto"/>
            <w:noWrap/>
            <w:tcMar>
              <w:left w:w="57" w:type="dxa"/>
              <w:right w:w="57" w:type="dxa"/>
            </w:tcMar>
            <w:vAlign w:val="center"/>
          </w:tcPr>
          <w:p w14:paraId="2C5DD2E2">
            <w:pPr>
              <w:pStyle w:val="714"/>
              <w:rPr>
                <w:color w:val="auto"/>
              </w:rPr>
            </w:pPr>
            <w:r>
              <w:rPr>
                <w:rFonts w:hint="eastAsia"/>
                <w:color w:val="auto"/>
              </w:rPr>
              <w:t>81</w:t>
            </w:r>
          </w:p>
        </w:tc>
        <w:tc>
          <w:tcPr>
            <w:tcW w:w="697" w:type="pct"/>
            <w:tcBorders>
              <w:tl2br w:val="nil"/>
              <w:tr2bl w:val="nil"/>
            </w:tcBorders>
            <w:shd w:val="clear" w:color="auto" w:fill="auto"/>
            <w:tcMar>
              <w:left w:w="57" w:type="dxa"/>
              <w:right w:w="57" w:type="dxa"/>
            </w:tcMar>
            <w:vAlign w:val="center"/>
          </w:tcPr>
          <w:p w14:paraId="0DBA558D">
            <w:pPr>
              <w:pStyle w:val="714"/>
              <w:rPr>
                <w:color w:val="auto"/>
              </w:rPr>
            </w:pPr>
            <w:r>
              <w:rPr>
                <w:rFonts w:hint="eastAsia"/>
                <w:color w:val="auto"/>
              </w:rPr>
              <w:t>1.86E-04</w:t>
            </w:r>
          </w:p>
        </w:tc>
      </w:tr>
      <w:tr w14:paraId="4444A2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7" w:type="pct"/>
            <w:tcBorders>
              <w:tl2br w:val="nil"/>
              <w:tr2bl w:val="nil"/>
            </w:tcBorders>
            <w:shd w:val="clear" w:color="auto" w:fill="auto"/>
            <w:noWrap/>
            <w:tcMar>
              <w:left w:w="57" w:type="dxa"/>
              <w:right w:w="57" w:type="dxa"/>
            </w:tcMar>
            <w:vAlign w:val="center"/>
          </w:tcPr>
          <w:p w14:paraId="26F9F440">
            <w:pPr>
              <w:pStyle w:val="714"/>
              <w:rPr>
                <w:color w:val="auto"/>
              </w:rPr>
            </w:pPr>
            <w:r>
              <w:rPr>
                <w:rFonts w:hint="eastAsia"/>
                <w:color w:val="auto"/>
              </w:rPr>
              <w:t>SH02</w:t>
            </w:r>
          </w:p>
        </w:tc>
        <w:tc>
          <w:tcPr>
            <w:tcW w:w="570" w:type="pct"/>
            <w:tcBorders>
              <w:tl2br w:val="nil"/>
              <w:tr2bl w:val="nil"/>
            </w:tcBorders>
            <w:shd w:val="clear" w:color="auto" w:fill="auto"/>
            <w:noWrap/>
            <w:tcMar>
              <w:left w:w="57" w:type="dxa"/>
              <w:right w:w="57" w:type="dxa"/>
            </w:tcMar>
            <w:vAlign w:val="center"/>
          </w:tcPr>
          <w:p w14:paraId="7EF057D4">
            <w:pPr>
              <w:pStyle w:val="714"/>
              <w:rPr>
                <w:color w:val="auto"/>
              </w:rPr>
            </w:pPr>
            <w:r>
              <w:rPr>
                <w:rFonts w:hint="eastAsia"/>
                <w:color w:val="auto"/>
              </w:rPr>
              <w:t>粉质粘土</w:t>
            </w:r>
          </w:p>
        </w:tc>
        <w:tc>
          <w:tcPr>
            <w:tcW w:w="665" w:type="pct"/>
            <w:tcBorders>
              <w:tl2br w:val="nil"/>
              <w:tr2bl w:val="nil"/>
            </w:tcBorders>
            <w:shd w:val="clear" w:color="auto" w:fill="auto"/>
            <w:noWrap/>
            <w:tcMar>
              <w:left w:w="57" w:type="dxa"/>
              <w:right w:w="57" w:type="dxa"/>
            </w:tcMar>
            <w:vAlign w:val="center"/>
          </w:tcPr>
          <w:p w14:paraId="14CF2EBD">
            <w:pPr>
              <w:pStyle w:val="714"/>
              <w:rPr>
                <w:color w:val="auto"/>
              </w:rPr>
            </w:pPr>
            <w:r>
              <w:rPr>
                <w:rFonts w:hint="eastAsia"/>
                <w:color w:val="auto"/>
              </w:rPr>
              <w:t>0.01348</w:t>
            </w:r>
          </w:p>
        </w:tc>
        <w:tc>
          <w:tcPr>
            <w:tcW w:w="665" w:type="pct"/>
            <w:tcBorders>
              <w:tl2br w:val="nil"/>
              <w:tr2bl w:val="nil"/>
            </w:tcBorders>
            <w:shd w:val="clear" w:color="auto" w:fill="auto"/>
            <w:tcMar>
              <w:left w:w="57" w:type="dxa"/>
              <w:right w:w="57" w:type="dxa"/>
            </w:tcMar>
            <w:vAlign w:val="center"/>
          </w:tcPr>
          <w:p w14:paraId="1C11C043">
            <w:pPr>
              <w:pStyle w:val="714"/>
              <w:rPr>
                <w:color w:val="auto"/>
              </w:rPr>
            </w:pPr>
            <w:r>
              <w:rPr>
                <w:rFonts w:hint="eastAsia"/>
                <w:color w:val="auto"/>
              </w:rPr>
              <w:t>10</w:t>
            </w:r>
          </w:p>
        </w:tc>
        <w:tc>
          <w:tcPr>
            <w:tcW w:w="1003" w:type="pct"/>
            <w:tcBorders>
              <w:tl2br w:val="nil"/>
              <w:tr2bl w:val="nil"/>
            </w:tcBorders>
            <w:shd w:val="clear" w:color="auto" w:fill="auto"/>
            <w:tcMar>
              <w:left w:w="57" w:type="dxa"/>
              <w:right w:w="57" w:type="dxa"/>
            </w:tcMar>
            <w:vAlign w:val="center"/>
          </w:tcPr>
          <w:p w14:paraId="46A9A487">
            <w:pPr>
              <w:pStyle w:val="714"/>
              <w:rPr>
                <w:color w:val="auto"/>
              </w:rPr>
            </w:pPr>
            <w:r>
              <w:rPr>
                <w:rFonts w:hint="eastAsia"/>
                <w:color w:val="auto"/>
              </w:rPr>
              <w:t>270</w:t>
            </w:r>
          </w:p>
        </w:tc>
        <w:tc>
          <w:tcPr>
            <w:tcW w:w="492" w:type="pct"/>
            <w:tcBorders>
              <w:tl2br w:val="nil"/>
              <w:tr2bl w:val="nil"/>
            </w:tcBorders>
            <w:shd w:val="clear" w:color="auto" w:fill="auto"/>
            <w:tcMar>
              <w:left w:w="57" w:type="dxa"/>
              <w:right w:w="57" w:type="dxa"/>
            </w:tcMar>
            <w:vAlign w:val="center"/>
          </w:tcPr>
          <w:p w14:paraId="7166AEB5">
            <w:pPr>
              <w:pStyle w:val="714"/>
              <w:rPr>
                <w:color w:val="auto"/>
              </w:rPr>
            </w:pPr>
            <w:r>
              <w:rPr>
                <w:rFonts w:hint="eastAsia"/>
                <w:color w:val="auto"/>
              </w:rPr>
              <w:t>490.625</w:t>
            </w:r>
          </w:p>
        </w:tc>
        <w:tc>
          <w:tcPr>
            <w:tcW w:w="498" w:type="pct"/>
            <w:tcBorders>
              <w:tl2br w:val="nil"/>
              <w:tr2bl w:val="nil"/>
            </w:tcBorders>
            <w:shd w:val="clear" w:color="auto" w:fill="auto"/>
            <w:noWrap/>
            <w:tcMar>
              <w:left w:w="57" w:type="dxa"/>
              <w:right w:w="57" w:type="dxa"/>
            </w:tcMar>
            <w:vAlign w:val="center"/>
          </w:tcPr>
          <w:p w14:paraId="2398F8EB">
            <w:pPr>
              <w:pStyle w:val="714"/>
              <w:rPr>
                <w:color w:val="auto"/>
              </w:rPr>
            </w:pPr>
            <w:r>
              <w:rPr>
                <w:rFonts w:hint="eastAsia"/>
                <w:color w:val="auto"/>
              </w:rPr>
              <w:t>75</w:t>
            </w:r>
          </w:p>
        </w:tc>
        <w:tc>
          <w:tcPr>
            <w:tcW w:w="697" w:type="pct"/>
            <w:tcBorders>
              <w:tl2br w:val="nil"/>
              <w:tr2bl w:val="nil"/>
            </w:tcBorders>
            <w:shd w:val="clear" w:color="auto" w:fill="auto"/>
            <w:tcMar>
              <w:left w:w="57" w:type="dxa"/>
              <w:right w:w="57" w:type="dxa"/>
            </w:tcMar>
            <w:vAlign w:val="center"/>
          </w:tcPr>
          <w:p w14:paraId="7FB9FBD5">
            <w:pPr>
              <w:pStyle w:val="714"/>
              <w:rPr>
                <w:color w:val="auto"/>
              </w:rPr>
            </w:pPr>
            <w:r>
              <w:rPr>
                <w:rFonts w:hint="eastAsia"/>
                <w:color w:val="auto"/>
              </w:rPr>
              <w:t>1.56E-04</w:t>
            </w:r>
          </w:p>
        </w:tc>
      </w:tr>
    </w:tbl>
    <w:p w14:paraId="1822C17B">
      <w:pPr>
        <w:pStyle w:val="10"/>
        <w:ind w:firstLine="361"/>
        <w:rPr>
          <w:rFonts w:cs="Times New Roman"/>
          <w:color w:val="auto"/>
        </w:rPr>
      </w:pPr>
      <w:r>
        <w:rPr>
          <w:rFonts w:cs="Times New Roman"/>
          <w:color w:val="auto"/>
        </w:rPr>
        <w:t>地下水化学特征</w:t>
      </w:r>
    </w:p>
    <w:p w14:paraId="278B0FD6">
      <w:pPr>
        <w:ind w:firstLine="480"/>
        <w:rPr>
          <w:rFonts w:hint="default" w:ascii="Times New Roman" w:hAnsi="Times New Roman" w:cs="Times New Roman"/>
          <w:color w:val="auto"/>
        </w:rPr>
      </w:pPr>
      <w:r>
        <w:rPr>
          <w:rFonts w:hint="default" w:ascii="Times New Roman" w:hAnsi="Times New Roman" w:cs="Times New Roman"/>
          <w:color w:val="auto"/>
        </w:rPr>
        <w:t>为了查明评价区地下水水化学特征，项目组对评价区地下水水质分析结果中的宏量组分进行分析。根据各水样水化学常量组分监测结果统计（表</w:t>
      </w:r>
      <w:r>
        <w:rPr>
          <w:rFonts w:hint="default" w:ascii="Times New Roman" w:hAnsi="Times New Roman" w:eastAsia="黑体" w:cs="Times New Roman"/>
          <w:color w:val="auto"/>
          <w:lang w:val="en-US" w:eastAsia="zh-CN"/>
        </w:rPr>
        <w:t>3.1</w:t>
      </w:r>
      <w:r>
        <w:rPr>
          <w:rFonts w:hint="default" w:ascii="Times New Roman" w:hAnsi="Times New Roman" w:eastAsia="黑体" w:cs="Times New Roman"/>
          <w:color w:val="auto"/>
        </w:rPr>
        <w:t>-</w:t>
      </w:r>
      <w:r>
        <w:rPr>
          <w:rFonts w:hint="default" w:ascii="Times New Roman" w:hAnsi="Times New Roman" w:cs="Times New Roman"/>
          <w:color w:val="auto"/>
        </w:rPr>
        <w:t>5），本项目所在区域地下水矿化度在104～925 mg/L，均&lt;1g/L，属于低矿化度水；pH介于6.9～7.2，呈弱酸-弱碱性。地下水水样水化学类型为HCO</w:t>
      </w:r>
      <w:r>
        <w:rPr>
          <w:rFonts w:hint="default" w:ascii="Times New Roman" w:hAnsi="Times New Roman" w:cs="Times New Roman"/>
          <w:color w:val="auto"/>
          <w:vertAlign w:val="subscript"/>
        </w:rPr>
        <w:t>3</w:t>
      </w:r>
      <w:r>
        <w:rPr>
          <w:rFonts w:hint="default" w:ascii="Times New Roman" w:hAnsi="Times New Roman" w:cs="Times New Roman"/>
          <w:color w:val="auto"/>
        </w:rPr>
        <w:t>-Ca•Mg型，本项目区地下水Piper三线图见图</w:t>
      </w:r>
      <w:r>
        <w:rPr>
          <w:rFonts w:hint="default" w:ascii="Times New Roman" w:hAnsi="Times New Roman" w:eastAsia="黑体" w:cs="Times New Roman"/>
          <w:color w:val="auto"/>
          <w:lang w:val="en-US" w:eastAsia="zh-CN"/>
        </w:rPr>
        <w:t>3.1</w:t>
      </w:r>
      <w:r>
        <w:rPr>
          <w:rFonts w:hint="default" w:ascii="Times New Roman" w:hAnsi="Times New Roman" w:eastAsia="黑体" w:cs="Times New Roman"/>
          <w:color w:val="auto"/>
        </w:rPr>
        <w:t>-</w:t>
      </w:r>
      <w:r>
        <w:rPr>
          <w:rFonts w:hint="eastAsia" w:eastAsia="黑体" w:cs="Times New Roman"/>
          <w:color w:val="auto"/>
          <w:lang w:val="en-US" w:eastAsia="zh-CN"/>
        </w:rPr>
        <w:t>1</w:t>
      </w:r>
      <w:r>
        <w:rPr>
          <w:rFonts w:hint="default" w:ascii="Times New Roman" w:hAnsi="Times New Roman" w:cs="Times New Roman"/>
          <w:color w:val="auto"/>
        </w:rPr>
        <w:t>。</w:t>
      </w:r>
    </w:p>
    <w:p w14:paraId="38EB4789">
      <w:pPr>
        <w:pStyle w:val="713"/>
        <w:rPr>
          <w:rFonts w:hint="eastAsia" w:cs="Times New Roman" w:eastAsiaTheme="minorEastAsia"/>
          <w:color w:val="auto"/>
          <w:lang w:eastAsia="zh-CN"/>
        </w:rPr>
      </w:pPr>
      <w:r>
        <w:rPr>
          <w:rFonts w:cs="Times New Roman"/>
          <w:color w:val="auto"/>
        </w:rPr>
        <w:t>表</w:t>
      </w:r>
      <w:r>
        <w:rPr>
          <w:rFonts w:hint="eastAsia" w:cs="Times New Roman"/>
          <w:color w:val="auto"/>
          <w:lang w:val="en-US" w:eastAsia="zh-CN"/>
        </w:rPr>
        <w:t>3.1</w:t>
      </w:r>
      <w:r>
        <w:rPr>
          <w:rFonts w:cs="Times New Roman"/>
          <w:color w:val="auto"/>
        </w:rPr>
        <w:t>-</w:t>
      </w:r>
      <w:r>
        <w:rPr>
          <w:rFonts w:hint="eastAsia" w:cs="Times New Roman"/>
          <w:color w:val="auto"/>
        </w:rPr>
        <w:t>5</w:t>
      </w:r>
      <w:r>
        <w:rPr>
          <w:rFonts w:cs="Times New Roman"/>
          <w:color w:val="auto"/>
        </w:rPr>
        <w:t xml:space="preserve">  水样水化学常量组分监测结果</w:t>
      </w:r>
      <w:r>
        <w:rPr>
          <w:rFonts w:hint="eastAsia" w:cs="Times New Roman"/>
          <w:color w:val="auto"/>
          <w:lang w:eastAsia="zh-CN"/>
        </w:rPr>
        <w:t>（</w:t>
      </w:r>
      <w:r>
        <w:rPr>
          <w:rFonts w:cs="Times New Roman"/>
          <w:color w:val="auto"/>
        </w:rPr>
        <w:t>mg/L</w:t>
      </w:r>
      <w:r>
        <w:rPr>
          <w:rFonts w:hint="eastAsia" w:cs="Times New Roman"/>
          <w:color w:val="auto"/>
          <w:lang w:eastAsia="zh-CN"/>
        </w:rPr>
        <w:t>）</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4"/>
        <w:gridCol w:w="765"/>
        <w:gridCol w:w="549"/>
        <w:gridCol w:w="537"/>
        <w:gridCol w:w="605"/>
        <w:gridCol w:w="605"/>
        <w:gridCol w:w="720"/>
        <w:gridCol w:w="720"/>
        <w:gridCol w:w="1022"/>
        <w:gridCol w:w="597"/>
        <w:gridCol w:w="616"/>
        <w:gridCol w:w="1446"/>
      </w:tblGrid>
      <w:tr w14:paraId="4BBEB7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7DF507A6">
            <w:pPr>
              <w:pStyle w:val="714"/>
              <w:rPr>
                <w:b/>
                <w:bCs/>
                <w:color w:val="auto"/>
              </w:rPr>
            </w:pPr>
            <w:r>
              <w:rPr>
                <w:rFonts w:hint="eastAsia"/>
                <w:b/>
                <w:bCs/>
                <w:color w:val="auto"/>
              </w:rPr>
              <w:t>监测项目</w:t>
            </w:r>
          </w:p>
        </w:tc>
        <w:tc>
          <w:tcPr>
            <w:tcW w:w="435" w:type="pct"/>
            <w:tcBorders>
              <w:tl2br w:val="nil"/>
              <w:tr2bl w:val="nil"/>
            </w:tcBorders>
            <w:shd w:val="clear" w:color="auto" w:fill="auto"/>
            <w:tcMar>
              <w:left w:w="28" w:type="dxa"/>
              <w:right w:w="28" w:type="dxa"/>
            </w:tcMar>
            <w:vAlign w:val="center"/>
          </w:tcPr>
          <w:p w14:paraId="4CA5D08E">
            <w:pPr>
              <w:pStyle w:val="714"/>
              <w:rPr>
                <w:b/>
                <w:bCs/>
                <w:color w:val="auto"/>
              </w:rPr>
            </w:pPr>
            <w:r>
              <w:rPr>
                <w:rFonts w:hint="eastAsia"/>
                <w:b/>
                <w:bCs/>
                <w:color w:val="auto"/>
              </w:rPr>
              <w:t>pH值</w:t>
            </w:r>
          </w:p>
        </w:tc>
        <w:tc>
          <w:tcPr>
            <w:tcW w:w="312" w:type="pct"/>
            <w:tcBorders>
              <w:tl2br w:val="nil"/>
              <w:tr2bl w:val="nil"/>
            </w:tcBorders>
            <w:shd w:val="clear" w:color="auto" w:fill="auto"/>
            <w:tcMar>
              <w:left w:w="28" w:type="dxa"/>
              <w:right w:w="28" w:type="dxa"/>
            </w:tcMar>
            <w:vAlign w:val="center"/>
          </w:tcPr>
          <w:p w14:paraId="5046190D">
            <w:pPr>
              <w:pStyle w:val="714"/>
              <w:rPr>
                <w:b/>
                <w:bCs/>
                <w:color w:val="auto"/>
              </w:rPr>
            </w:pPr>
            <w:r>
              <w:rPr>
                <w:rFonts w:hint="eastAsia"/>
                <w:b/>
                <w:bCs/>
                <w:color w:val="auto"/>
              </w:rPr>
              <w:t xml:space="preserve">钾 </w:t>
            </w:r>
          </w:p>
        </w:tc>
        <w:tc>
          <w:tcPr>
            <w:tcW w:w="305" w:type="pct"/>
            <w:tcBorders>
              <w:tl2br w:val="nil"/>
              <w:tr2bl w:val="nil"/>
            </w:tcBorders>
            <w:shd w:val="clear" w:color="auto" w:fill="auto"/>
            <w:tcMar>
              <w:left w:w="28" w:type="dxa"/>
              <w:right w:w="28" w:type="dxa"/>
            </w:tcMar>
            <w:vAlign w:val="center"/>
          </w:tcPr>
          <w:p w14:paraId="059209D9">
            <w:pPr>
              <w:pStyle w:val="714"/>
              <w:rPr>
                <w:b/>
                <w:bCs/>
                <w:color w:val="auto"/>
              </w:rPr>
            </w:pPr>
            <w:r>
              <w:rPr>
                <w:rFonts w:hint="eastAsia"/>
                <w:b/>
                <w:bCs/>
                <w:color w:val="auto"/>
              </w:rPr>
              <w:t xml:space="preserve">钠 </w:t>
            </w:r>
          </w:p>
        </w:tc>
        <w:tc>
          <w:tcPr>
            <w:tcW w:w="344" w:type="pct"/>
            <w:tcBorders>
              <w:tl2br w:val="nil"/>
              <w:tr2bl w:val="nil"/>
            </w:tcBorders>
            <w:shd w:val="clear" w:color="auto" w:fill="auto"/>
            <w:tcMar>
              <w:left w:w="28" w:type="dxa"/>
              <w:right w:w="28" w:type="dxa"/>
            </w:tcMar>
            <w:vAlign w:val="center"/>
          </w:tcPr>
          <w:p w14:paraId="41FD035E">
            <w:pPr>
              <w:pStyle w:val="714"/>
              <w:rPr>
                <w:b/>
                <w:bCs/>
                <w:color w:val="auto"/>
              </w:rPr>
            </w:pPr>
            <w:r>
              <w:rPr>
                <w:rFonts w:hint="eastAsia"/>
                <w:b/>
                <w:bCs/>
                <w:color w:val="auto"/>
              </w:rPr>
              <w:t xml:space="preserve">钙 </w:t>
            </w:r>
          </w:p>
        </w:tc>
        <w:tc>
          <w:tcPr>
            <w:tcW w:w="344" w:type="pct"/>
            <w:tcBorders>
              <w:tl2br w:val="nil"/>
              <w:tr2bl w:val="nil"/>
            </w:tcBorders>
            <w:shd w:val="clear" w:color="auto" w:fill="auto"/>
            <w:tcMar>
              <w:left w:w="28" w:type="dxa"/>
              <w:right w:w="28" w:type="dxa"/>
            </w:tcMar>
            <w:vAlign w:val="center"/>
          </w:tcPr>
          <w:p w14:paraId="6687C392">
            <w:pPr>
              <w:pStyle w:val="714"/>
              <w:rPr>
                <w:b/>
                <w:bCs/>
                <w:color w:val="auto"/>
              </w:rPr>
            </w:pPr>
            <w:r>
              <w:rPr>
                <w:rFonts w:hint="eastAsia"/>
                <w:b/>
                <w:bCs/>
                <w:color w:val="auto"/>
              </w:rPr>
              <w:t xml:space="preserve">镁 </w:t>
            </w:r>
          </w:p>
        </w:tc>
        <w:tc>
          <w:tcPr>
            <w:tcW w:w="409" w:type="pct"/>
            <w:tcBorders>
              <w:tl2br w:val="nil"/>
              <w:tr2bl w:val="nil"/>
            </w:tcBorders>
            <w:shd w:val="clear" w:color="auto" w:fill="auto"/>
            <w:noWrap/>
            <w:tcMar>
              <w:left w:w="28" w:type="dxa"/>
              <w:right w:w="28" w:type="dxa"/>
            </w:tcMar>
            <w:vAlign w:val="center"/>
          </w:tcPr>
          <w:p w14:paraId="1954E3BF">
            <w:pPr>
              <w:pStyle w:val="714"/>
              <w:rPr>
                <w:b/>
                <w:bCs/>
                <w:color w:val="auto"/>
              </w:rPr>
            </w:pPr>
            <w:r>
              <w:rPr>
                <w:rFonts w:hint="eastAsia"/>
                <w:b/>
                <w:bCs/>
                <w:color w:val="auto"/>
              </w:rPr>
              <w:t>氯化物</w:t>
            </w:r>
          </w:p>
        </w:tc>
        <w:tc>
          <w:tcPr>
            <w:tcW w:w="409" w:type="pct"/>
            <w:tcBorders>
              <w:tl2br w:val="nil"/>
              <w:tr2bl w:val="nil"/>
            </w:tcBorders>
            <w:shd w:val="clear" w:color="auto" w:fill="auto"/>
            <w:noWrap/>
            <w:tcMar>
              <w:left w:w="28" w:type="dxa"/>
              <w:right w:w="28" w:type="dxa"/>
            </w:tcMar>
            <w:vAlign w:val="center"/>
          </w:tcPr>
          <w:p w14:paraId="62EA47C4">
            <w:pPr>
              <w:pStyle w:val="714"/>
              <w:rPr>
                <w:b/>
                <w:bCs/>
                <w:color w:val="auto"/>
              </w:rPr>
            </w:pPr>
            <w:r>
              <w:rPr>
                <w:rFonts w:hint="eastAsia"/>
                <w:b/>
                <w:bCs/>
                <w:color w:val="auto"/>
              </w:rPr>
              <w:t>硫酸盐</w:t>
            </w:r>
          </w:p>
        </w:tc>
        <w:tc>
          <w:tcPr>
            <w:tcW w:w="581" w:type="pct"/>
            <w:tcBorders>
              <w:tl2br w:val="nil"/>
              <w:tr2bl w:val="nil"/>
            </w:tcBorders>
            <w:shd w:val="clear" w:color="auto" w:fill="auto"/>
            <w:tcMar>
              <w:left w:w="28" w:type="dxa"/>
              <w:right w:w="28" w:type="dxa"/>
            </w:tcMar>
            <w:vAlign w:val="center"/>
          </w:tcPr>
          <w:p w14:paraId="1BD652C0">
            <w:pPr>
              <w:pStyle w:val="714"/>
              <w:rPr>
                <w:b/>
                <w:bCs/>
                <w:color w:val="auto"/>
              </w:rPr>
            </w:pPr>
            <w:r>
              <w:rPr>
                <w:rFonts w:hint="eastAsia"/>
                <w:b/>
                <w:bCs/>
                <w:color w:val="auto"/>
              </w:rPr>
              <w:t>重碳酸根</w:t>
            </w:r>
          </w:p>
        </w:tc>
        <w:tc>
          <w:tcPr>
            <w:tcW w:w="339" w:type="pct"/>
            <w:tcBorders>
              <w:tl2br w:val="nil"/>
              <w:tr2bl w:val="nil"/>
            </w:tcBorders>
            <w:shd w:val="clear" w:color="auto" w:fill="auto"/>
            <w:tcMar>
              <w:left w:w="28" w:type="dxa"/>
              <w:right w:w="28" w:type="dxa"/>
            </w:tcMar>
            <w:vAlign w:val="center"/>
          </w:tcPr>
          <w:p w14:paraId="6C2F35B8">
            <w:pPr>
              <w:pStyle w:val="714"/>
              <w:rPr>
                <w:b/>
                <w:bCs/>
                <w:color w:val="auto"/>
              </w:rPr>
            </w:pPr>
            <w:r>
              <w:rPr>
                <w:rFonts w:hint="eastAsia"/>
                <w:b/>
                <w:bCs/>
                <w:color w:val="auto"/>
              </w:rPr>
              <w:t>碳酸根</w:t>
            </w:r>
          </w:p>
        </w:tc>
        <w:tc>
          <w:tcPr>
            <w:tcW w:w="350" w:type="pct"/>
            <w:tcBorders>
              <w:tl2br w:val="nil"/>
              <w:tr2bl w:val="nil"/>
            </w:tcBorders>
            <w:shd w:val="clear" w:color="auto" w:fill="auto"/>
            <w:noWrap/>
            <w:tcMar>
              <w:left w:w="28" w:type="dxa"/>
              <w:right w:w="28" w:type="dxa"/>
            </w:tcMar>
            <w:vAlign w:val="center"/>
          </w:tcPr>
          <w:p w14:paraId="7BE81A21">
            <w:pPr>
              <w:pStyle w:val="714"/>
              <w:rPr>
                <w:b/>
                <w:bCs/>
                <w:color w:val="auto"/>
              </w:rPr>
            </w:pPr>
            <w:r>
              <w:rPr>
                <w:rFonts w:hint="eastAsia"/>
                <w:b/>
                <w:bCs/>
                <w:color w:val="auto"/>
              </w:rPr>
              <w:t>TDS</w:t>
            </w:r>
          </w:p>
        </w:tc>
        <w:tc>
          <w:tcPr>
            <w:tcW w:w="822" w:type="pct"/>
            <w:vMerge w:val="restart"/>
            <w:tcBorders>
              <w:tl2br w:val="nil"/>
              <w:tr2bl w:val="nil"/>
            </w:tcBorders>
            <w:shd w:val="clear" w:color="auto" w:fill="auto"/>
            <w:noWrap/>
            <w:tcMar>
              <w:left w:w="28" w:type="dxa"/>
              <w:right w:w="28" w:type="dxa"/>
            </w:tcMar>
            <w:vAlign w:val="center"/>
          </w:tcPr>
          <w:p w14:paraId="4F18EB2D">
            <w:pPr>
              <w:pStyle w:val="714"/>
              <w:rPr>
                <w:b/>
                <w:bCs/>
                <w:color w:val="auto"/>
              </w:rPr>
            </w:pPr>
            <w:r>
              <w:rPr>
                <w:rFonts w:hint="eastAsia"/>
                <w:b/>
                <w:bCs/>
                <w:color w:val="auto"/>
              </w:rPr>
              <w:t>水化学类型</w:t>
            </w:r>
          </w:p>
        </w:tc>
      </w:tr>
      <w:tr w14:paraId="7F2EA4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459B51EC">
            <w:pPr>
              <w:pStyle w:val="714"/>
              <w:rPr>
                <w:b/>
                <w:bCs/>
                <w:color w:val="auto"/>
              </w:rPr>
            </w:pPr>
            <w:r>
              <w:rPr>
                <w:rFonts w:hint="eastAsia"/>
                <w:b/>
                <w:bCs/>
                <w:color w:val="auto"/>
              </w:rPr>
              <w:t>单位</w:t>
            </w:r>
          </w:p>
        </w:tc>
        <w:tc>
          <w:tcPr>
            <w:tcW w:w="435" w:type="pct"/>
            <w:tcBorders>
              <w:tl2br w:val="nil"/>
              <w:tr2bl w:val="nil"/>
            </w:tcBorders>
            <w:shd w:val="clear" w:color="auto" w:fill="auto"/>
            <w:tcMar>
              <w:left w:w="28" w:type="dxa"/>
              <w:right w:w="28" w:type="dxa"/>
            </w:tcMar>
            <w:vAlign w:val="center"/>
          </w:tcPr>
          <w:p w14:paraId="6E5AD10F">
            <w:pPr>
              <w:pStyle w:val="714"/>
              <w:rPr>
                <w:b/>
                <w:bCs/>
                <w:color w:val="auto"/>
              </w:rPr>
            </w:pPr>
            <w:r>
              <w:rPr>
                <w:rFonts w:hint="eastAsia"/>
                <w:b/>
                <w:bCs/>
                <w:color w:val="auto"/>
              </w:rPr>
              <w:t>无量纲</w:t>
            </w:r>
          </w:p>
        </w:tc>
        <w:tc>
          <w:tcPr>
            <w:tcW w:w="312" w:type="pct"/>
            <w:tcBorders>
              <w:tl2br w:val="nil"/>
              <w:tr2bl w:val="nil"/>
            </w:tcBorders>
            <w:shd w:val="clear" w:color="auto" w:fill="auto"/>
            <w:tcMar>
              <w:left w:w="28" w:type="dxa"/>
              <w:right w:w="28" w:type="dxa"/>
            </w:tcMar>
            <w:vAlign w:val="center"/>
          </w:tcPr>
          <w:p w14:paraId="39FAE791">
            <w:pPr>
              <w:pStyle w:val="714"/>
              <w:rPr>
                <w:b/>
                <w:bCs/>
                <w:color w:val="auto"/>
              </w:rPr>
            </w:pPr>
            <w:r>
              <w:rPr>
                <w:rFonts w:hint="eastAsia"/>
                <w:b/>
                <w:bCs/>
                <w:color w:val="auto"/>
              </w:rPr>
              <w:t>mg/L</w:t>
            </w:r>
          </w:p>
        </w:tc>
        <w:tc>
          <w:tcPr>
            <w:tcW w:w="305" w:type="pct"/>
            <w:tcBorders>
              <w:tl2br w:val="nil"/>
              <w:tr2bl w:val="nil"/>
            </w:tcBorders>
            <w:shd w:val="clear" w:color="auto" w:fill="auto"/>
            <w:tcMar>
              <w:left w:w="28" w:type="dxa"/>
              <w:right w:w="28" w:type="dxa"/>
            </w:tcMar>
            <w:vAlign w:val="center"/>
          </w:tcPr>
          <w:p w14:paraId="2D5CBDAC">
            <w:pPr>
              <w:pStyle w:val="714"/>
              <w:rPr>
                <w:b/>
                <w:bCs/>
                <w:color w:val="auto"/>
              </w:rPr>
            </w:pPr>
            <w:r>
              <w:rPr>
                <w:rFonts w:hint="eastAsia"/>
                <w:b/>
                <w:bCs/>
                <w:color w:val="auto"/>
              </w:rPr>
              <w:t>mg/L</w:t>
            </w:r>
          </w:p>
        </w:tc>
        <w:tc>
          <w:tcPr>
            <w:tcW w:w="344" w:type="pct"/>
            <w:tcBorders>
              <w:tl2br w:val="nil"/>
              <w:tr2bl w:val="nil"/>
            </w:tcBorders>
            <w:shd w:val="clear" w:color="auto" w:fill="auto"/>
            <w:tcMar>
              <w:left w:w="28" w:type="dxa"/>
              <w:right w:w="28" w:type="dxa"/>
            </w:tcMar>
            <w:vAlign w:val="center"/>
          </w:tcPr>
          <w:p w14:paraId="1DDC0B52">
            <w:pPr>
              <w:pStyle w:val="714"/>
              <w:rPr>
                <w:b/>
                <w:bCs/>
                <w:color w:val="auto"/>
              </w:rPr>
            </w:pPr>
            <w:r>
              <w:rPr>
                <w:rFonts w:hint="eastAsia"/>
                <w:b/>
                <w:bCs/>
                <w:color w:val="auto"/>
              </w:rPr>
              <w:t>mg/L</w:t>
            </w:r>
          </w:p>
        </w:tc>
        <w:tc>
          <w:tcPr>
            <w:tcW w:w="344" w:type="pct"/>
            <w:tcBorders>
              <w:tl2br w:val="nil"/>
              <w:tr2bl w:val="nil"/>
            </w:tcBorders>
            <w:shd w:val="clear" w:color="auto" w:fill="auto"/>
            <w:tcMar>
              <w:left w:w="28" w:type="dxa"/>
              <w:right w:w="28" w:type="dxa"/>
            </w:tcMar>
            <w:vAlign w:val="center"/>
          </w:tcPr>
          <w:p w14:paraId="0A815510">
            <w:pPr>
              <w:pStyle w:val="714"/>
              <w:rPr>
                <w:b/>
                <w:bCs/>
                <w:color w:val="auto"/>
              </w:rPr>
            </w:pPr>
            <w:r>
              <w:rPr>
                <w:rFonts w:hint="eastAsia"/>
                <w:b/>
                <w:bCs/>
                <w:color w:val="auto"/>
              </w:rPr>
              <w:t>mg/L</w:t>
            </w:r>
          </w:p>
        </w:tc>
        <w:tc>
          <w:tcPr>
            <w:tcW w:w="409" w:type="pct"/>
            <w:tcBorders>
              <w:tl2br w:val="nil"/>
              <w:tr2bl w:val="nil"/>
            </w:tcBorders>
            <w:shd w:val="clear" w:color="auto" w:fill="auto"/>
            <w:tcMar>
              <w:left w:w="28" w:type="dxa"/>
              <w:right w:w="28" w:type="dxa"/>
            </w:tcMar>
            <w:vAlign w:val="center"/>
          </w:tcPr>
          <w:p w14:paraId="5EF3F307">
            <w:pPr>
              <w:pStyle w:val="714"/>
              <w:rPr>
                <w:b/>
                <w:bCs/>
                <w:color w:val="auto"/>
              </w:rPr>
            </w:pPr>
            <w:r>
              <w:rPr>
                <w:rFonts w:hint="eastAsia"/>
                <w:b/>
                <w:bCs/>
                <w:color w:val="auto"/>
              </w:rPr>
              <w:t>mg/L</w:t>
            </w:r>
          </w:p>
        </w:tc>
        <w:tc>
          <w:tcPr>
            <w:tcW w:w="409" w:type="pct"/>
            <w:tcBorders>
              <w:tl2br w:val="nil"/>
              <w:tr2bl w:val="nil"/>
            </w:tcBorders>
            <w:shd w:val="clear" w:color="auto" w:fill="auto"/>
            <w:tcMar>
              <w:left w:w="28" w:type="dxa"/>
              <w:right w:w="28" w:type="dxa"/>
            </w:tcMar>
            <w:vAlign w:val="center"/>
          </w:tcPr>
          <w:p w14:paraId="4C16CEE3">
            <w:pPr>
              <w:pStyle w:val="714"/>
              <w:rPr>
                <w:b/>
                <w:bCs/>
                <w:color w:val="auto"/>
              </w:rPr>
            </w:pPr>
            <w:r>
              <w:rPr>
                <w:rFonts w:hint="eastAsia"/>
                <w:b/>
                <w:bCs/>
                <w:color w:val="auto"/>
              </w:rPr>
              <w:t>mg/L</w:t>
            </w:r>
          </w:p>
        </w:tc>
        <w:tc>
          <w:tcPr>
            <w:tcW w:w="581" w:type="pct"/>
            <w:tcBorders>
              <w:tl2br w:val="nil"/>
              <w:tr2bl w:val="nil"/>
            </w:tcBorders>
            <w:shd w:val="clear" w:color="auto" w:fill="auto"/>
            <w:tcMar>
              <w:left w:w="28" w:type="dxa"/>
              <w:right w:w="28" w:type="dxa"/>
            </w:tcMar>
            <w:vAlign w:val="center"/>
          </w:tcPr>
          <w:p w14:paraId="41738F08">
            <w:pPr>
              <w:pStyle w:val="714"/>
              <w:rPr>
                <w:b/>
                <w:bCs/>
                <w:color w:val="auto"/>
              </w:rPr>
            </w:pPr>
            <w:r>
              <w:rPr>
                <w:rFonts w:hint="eastAsia"/>
                <w:b/>
                <w:bCs/>
                <w:color w:val="auto"/>
              </w:rPr>
              <w:t>mg/L</w:t>
            </w:r>
          </w:p>
        </w:tc>
        <w:tc>
          <w:tcPr>
            <w:tcW w:w="339" w:type="pct"/>
            <w:tcBorders>
              <w:tl2br w:val="nil"/>
              <w:tr2bl w:val="nil"/>
            </w:tcBorders>
            <w:shd w:val="clear" w:color="auto" w:fill="auto"/>
            <w:tcMar>
              <w:left w:w="28" w:type="dxa"/>
              <w:right w:w="28" w:type="dxa"/>
            </w:tcMar>
            <w:vAlign w:val="center"/>
          </w:tcPr>
          <w:p w14:paraId="20031498">
            <w:pPr>
              <w:pStyle w:val="714"/>
              <w:rPr>
                <w:b/>
                <w:bCs/>
                <w:color w:val="auto"/>
              </w:rPr>
            </w:pPr>
            <w:r>
              <w:rPr>
                <w:rFonts w:hint="eastAsia"/>
                <w:b/>
                <w:bCs/>
                <w:color w:val="auto"/>
              </w:rPr>
              <w:t>mg/L</w:t>
            </w:r>
          </w:p>
        </w:tc>
        <w:tc>
          <w:tcPr>
            <w:tcW w:w="350" w:type="pct"/>
            <w:tcBorders>
              <w:tl2br w:val="nil"/>
              <w:tr2bl w:val="nil"/>
            </w:tcBorders>
            <w:shd w:val="clear" w:color="auto" w:fill="auto"/>
            <w:tcMar>
              <w:left w:w="28" w:type="dxa"/>
              <w:right w:w="28" w:type="dxa"/>
            </w:tcMar>
            <w:vAlign w:val="center"/>
          </w:tcPr>
          <w:p w14:paraId="24365ECD">
            <w:pPr>
              <w:pStyle w:val="714"/>
              <w:rPr>
                <w:b/>
                <w:bCs/>
                <w:color w:val="auto"/>
              </w:rPr>
            </w:pPr>
            <w:r>
              <w:rPr>
                <w:rFonts w:hint="eastAsia"/>
                <w:b/>
                <w:bCs/>
                <w:color w:val="auto"/>
              </w:rPr>
              <w:t>mg/L</w:t>
            </w:r>
          </w:p>
        </w:tc>
        <w:tc>
          <w:tcPr>
            <w:tcW w:w="822" w:type="pct"/>
            <w:vMerge w:val="continue"/>
            <w:tcBorders>
              <w:tl2br w:val="nil"/>
              <w:tr2bl w:val="nil"/>
            </w:tcBorders>
            <w:tcMar>
              <w:left w:w="28" w:type="dxa"/>
              <w:right w:w="28" w:type="dxa"/>
            </w:tcMar>
            <w:vAlign w:val="center"/>
          </w:tcPr>
          <w:p w14:paraId="368E2CD8">
            <w:pPr>
              <w:pStyle w:val="714"/>
              <w:rPr>
                <w:color w:val="auto"/>
              </w:rPr>
            </w:pPr>
          </w:p>
        </w:tc>
      </w:tr>
      <w:tr w14:paraId="39CF50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1BC9DF38">
            <w:pPr>
              <w:pStyle w:val="714"/>
              <w:rPr>
                <w:color w:val="auto"/>
              </w:rPr>
            </w:pPr>
            <w:r>
              <w:rPr>
                <w:rFonts w:hint="eastAsia"/>
                <w:color w:val="auto"/>
              </w:rPr>
              <w:t>1#</w:t>
            </w:r>
          </w:p>
        </w:tc>
        <w:tc>
          <w:tcPr>
            <w:tcW w:w="435" w:type="pct"/>
            <w:tcBorders>
              <w:tl2br w:val="nil"/>
              <w:tr2bl w:val="nil"/>
            </w:tcBorders>
            <w:shd w:val="clear" w:color="auto" w:fill="auto"/>
            <w:tcMar>
              <w:left w:w="28" w:type="dxa"/>
              <w:right w:w="28" w:type="dxa"/>
            </w:tcMar>
            <w:vAlign w:val="center"/>
          </w:tcPr>
          <w:p w14:paraId="7AA42D63">
            <w:pPr>
              <w:pStyle w:val="714"/>
              <w:rPr>
                <w:rFonts w:eastAsia="等线" w:cs="Times New Roman"/>
                <w:color w:val="auto"/>
                <w:szCs w:val="21"/>
              </w:rPr>
            </w:pPr>
            <w:r>
              <w:rPr>
                <w:rFonts w:eastAsia="等线" w:cs="Times New Roman"/>
                <w:color w:val="auto"/>
                <w:szCs w:val="21"/>
              </w:rPr>
              <w:t>6.9</w:t>
            </w:r>
          </w:p>
        </w:tc>
        <w:tc>
          <w:tcPr>
            <w:tcW w:w="312" w:type="pct"/>
            <w:tcBorders>
              <w:tl2br w:val="nil"/>
              <w:tr2bl w:val="nil"/>
            </w:tcBorders>
            <w:shd w:val="clear" w:color="auto" w:fill="auto"/>
            <w:tcMar>
              <w:left w:w="28" w:type="dxa"/>
              <w:right w:w="28" w:type="dxa"/>
            </w:tcMar>
            <w:vAlign w:val="center"/>
          </w:tcPr>
          <w:p w14:paraId="63D8C197">
            <w:pPr>
              <w:pStyle w:val="714"/>
              <w:rPr>
                <w:rFonts w:eastAsia="等线" w:cs="Times New Roman"/>
                <w:color w:val="auto"/>
                <w:szCs w:val="21"/>
              </w:rPr>
            </w:pPr>
            <w:r>
              <w:rPr>
                <w:rFonts w:eastAsia="等线" w:cs="Times New Roman"/>
                <w:color w:val="auto"/>
                <w:szCs w:val="21"/>
              </w:rPr>
              <w:t>2.6</w:t>
            </w:r>
          </w:p>
        </w:tc>
        <w:tc>
          <w:tcPr>
            <w:tcW w:w="305" w:type="pct"/>
            <w:tcBorders>
              <w:tl2br w:val="nil"/>
              <w:tr2bl w:val="nil"/>
            </w:tcBorders>
            <w:shd w:val="clear" w:color="auto" w:fill="auto"/>
            <w:tcMar>
              <w:left w:w="28" w:type="dxa"/>
              <w:right w:w="28" w:type="dxa"/>
            </w:tcMar>
            <w:vAlign w:val="center"/>
          </w:tcPr>
          <w:p w14:paraId="5A783FBE">
            <w:pPr>
              <w:pStyle w:val="714"/>
              <w:rPr>
                <w:rFonts w:eastAsia="等线" w:cs="Times New Roman"/>
                <w:color w:val="auto"/>
                <w:szCs w:val="21"/>
              </w:rPr>
            </w:pPr>
            <w:r>
              <w:rPr>
                <w:rFonts w:eastAsia="等线" w:cs="Times New Roman"/>
                <w:color w:val="auto"/>
                <w:szCs w:val="21"/>
              </w:rPr>
              <w:t>29.9</w:t>
            </w:r>
          </w:p>
        </w:tc>
        <w:tc>
          <w:tcPr>
            <w:tcW w:w="344" w:type="pct"/>
            <w:tcBorders>
              <w:tl2br w:val="nil"/>
              <w:tr2bl w:val="nil"/>
            </w:tcBorders>
            <w:shd w:val="clear" w:color="auto" w:fill="auto"/>
            <w:tcMar>
              <w:left w:w="28" w:type="dxa"/>
              <w:right w:w="28" w:type="dxa"/>
            </w:tcMar>
            <w:vAlign w:val="center"/>
          </w:tcPr>
          <w:p w14:paraId="76A484FD">
            <w:pPr>
              <w:pStyle w:val="714"/>
              <w:rPr>
                <w:rFonts w:eastAsia="等线" w:cs="Times New Roman"/>
                <w:color w:val="auto"/>
                <w:szCs w:val="21"/>
              </w:rPr>
            </w:pPr>
            <w:r>
              <w:rPr>
                <w:rFonts w:eastAsia="等线" w:cs="Times New Roman"/>
                <w:color w:val="auto"/>
                <w:szCs w:val="21"/>
              </w:rPr>
              <w:t>48.2</w:t>
            </w:r>
          </w:p>
        </w:tc>
        <w:tc>
          <w:tcPr>
            <w:tcW w:w="344" w:type="pct"/>
            <w:tcBorders>
              <w:tl2br w:val="nil"/>
              <w:tr2bl w:val="nil"/>
            </w:tcBorders>
            <w:shd w:val="clear" w:color="auto" w:fill="auto"/>
            <w:tcMar>
              <w:left w:w="28" w:type="dxa"/>
              <w:right w:w="28" w:type="dxa"/>
            </w:tcMar>
            <w:vAlign w:val="center"/>
          </w:tcPr>
          <w:p w14:paraId="7ADA07EC">
            <w:pPr>
              <w:pStyle w:val="714"/>
              <w:rPr>
                <w:rFonts w:eastAsia="等线" w:cs="Times New Roman"/>
                <w:color w:val="auto"/>
                <w:szCs w:val="21"/>
              </w:rPr>
            </w:pPr>
            <w:r>
              <w:rPr>
                <w:rFonts w:eastAsia="等线" w:cs="Times New Roman"/>
                <w:color w:val="auto"/>
                <w:szCs w:val="21"/>
              </w:rPr>
              <w:t>18.6</w:t>
            </w:r>
          </w:p>
        </w:tc>
        <w:tc>
          <w:tcPr>
            <w:tcW w:w="409" w:type="pct"/>
            <w:tcBorders>
              <w:tl2br w:val="nil"/>
              <w:tr2bl w:val="nil"/>
            </w:tcBorders>
            <w:shd w:val="clear" w:color="auto" w:fill="auto"/>
            <w:tcMar>
              <w:left w:w="28" w:type="dxa"/>
              <w:right w:w="28" w:type="dxa"/>
            </w:tcMar>
            <w:vAlign w:val="center"/>
          </w:tcPr>
          <w:p w14:paraId="711E1F5A">
            <w:pPr>
              <w:pStyle w:val="714"/>
              <w:rPr>
                <w:rFonts w:eastAsia="等线" w:cs="Times New Roman"/>
                <w:color w:val="auto"/>
                <w:szCs w:val="21"/>
              </w:rPr>
            </w:pPr>
            <w:r>
              <w:rPr>
                <w:rFonts w:eastAsia="等线" w:cs="Times New Roman"/>
                <w:color w:val="auto"/>
                <w:szCs w:val="21"/>
              </w:rPr>
              <w:t>18.7</w:t>
            </w:r>
          </w:p>
        </w:tc>
        <w:tc>
          <w:tcPr>
            <w:tcW w:w="409" w:type="pct"/>
            <w:tcBorders>
              <w:tl2br w:val="nil"/>
              <w:tr2bl w:val="nil"/>
            </w:tcBorders>
            <w:shd w:val="clear" w:color="auto" w:fill="auto"/>
            <w:tcMar>
              <w:left w:w="28" w:type="dxa"/>
              <w:right w:w="28" w:type="dxa"/>
            </w:tcMar>
            <w:vAlign w:val="center"/>
          </w:tcPr>
          <w:p w14:paraId="08DEADF6">
            <w:pPr>
              <w:pStyle w:val="714"/>
              <w:rPr>
                <w:rFonts w:eastAsia="等线" w:cs="Times New Roman"/>
                <w:color w:val="auto"/>
                <w:szCs w:val="21"/>
              </w:rPr>
            </w:pPr>
            <w:r>
              <w:rPr>
                <w:rFonts w:eastAsia="等线" w:cs="Times New Roman"/>
                <w:color w:val="auto"/>
                <w:szCs w:val="21"/>
              </w:rPr>
              <w:t>20.4</w:t>
            </w:r>
          </w:p>
        </w:tc>
        <w:tc>
          <w:tcPr>
            <w:tcW w:w="581" w:type="pct"/>
            <w:tcBorders>
              <w:tl2br w:val="nil"/>
              <w:tr2bl w:val="nil"/>
            </w:tcBorders>
            <w:shd w:val="clear" w:color="auto" w:fill="auto"/>
            <w:tcMar>
              <w:left w:w="28" w:type="dxa"/>
              <w:right w:w="28" w:type="dxa"/>
            </w:tcMar>
            <w:vAlign w:val="center"/>
          </w:tcPr>
          <w:p w14:paraId="56471F2C">
            <w:pPr>
              <w:pStyle w:val="714"/>
              <w:rPr>
                <w:rFonts w:eastAsia="等线" w:cs="Times New Roman"/>
                <w:color w:val="auto"/>
                <w:szCs w:val="21"/>
              </w:rPr>
            </w:pPr>
            <w:r>
              <w:rPr>
                <w:rFonts w:eastAsia="等线" w:cs="Times New Roman"/>
                <w:color w:val="auto"/>
                <w:szCs w:val="21"/>
              </w:rPr>
              <w:t>243</w:t>
            </w:r>
          </w:p>
        </w:tc>
        <w:tc>
          <w:tcPr>
            <w:tcW w:w="339" w:type="pct"/>
            <w:tcBorders>
              <w:tl2br w:val="nil"/>
              <w:tr2bl w:val="nil"/>
            </w:tcBorders>
            <w:shd w:val="clear" w:color="auto" w:fill="auto"/>
            <w:tcMar>
              <w:left w:w="28" w:type="dxa"/>
              <w:right w:w="28" w:type="dxa"/>
            </w:tcMar>
            <w:vAlign w:val="center"/>
          </w:tcPr>
          <w:p w14:paraId="61250664">
            <w:pPr>
              <w:pStyle w:val="714"/>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2FD542D2">
            <w:pPr>
              <w:pStyle w:val="714"/>
              <w:rPr>
                <w:rFonts w:eastAsia="等线" w:cs="Times New Roman"/>
                <w:color w:val="auto"/>
                <w:szCs w:val="21"/>
              </w:rPr>
            </w:pPr>
            <w:r>
              <w:rPr>
                <w:rFonts w:eastAsia="等线" w:cs="Times New Roman"/>
                <w:color w:val="auto"/>
                <w:szCs w:val="21"/>
              </w:rPr>
              <w:t>290</w:t>
            </w:r>
          </w:p>
        </w:tc>
        <w:tc>
          <w:tcPr>
            <w:tcW w:w="822" w:type="pct"/>
            <w:tcBorders>
              <w:tl2br w:val="nil"/>
              <w:tr2bl w:val="nil"/>
            </w:tcBorders>
            <w:shd w:val="clear" w:color="auto" w:fill="auto"/>
            <w:noWrap/>
            <w:tcMar>
              <w:left w:w="28" w:type="dxa"/>
              <w:right w:w="28" w:type="dxa"/>
            </w:tcMar>
            <w:vAlign w:val="center"/>
          </w:tcPr>
          <w:p w14:paraId="106724BD">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4EC5B6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585AC51B">
            <w:pPr>
              <w:pStyle w:val="714"/>
              <w:rPr>
                <w:color w:val="auto"/>
              </w:rPr>
            </w:pPr>
            <w:r>
              <w:rPr>
                <w:rFonts w:hint="eastAsia"/>
                <w:color w:val="auto"/>
              </w:rPr>
              <w:t>2#</w:t>
            </w:r>
          </w:p>
        </w:tc>
        <w:tc>
          <w:tcPr>
            <w:tcW w:w="435" w:type="pct"/>
            <w:tcBorders>
              <w:tl2br w:val="nil"/>
              <w:tr2bl w:val="nil"/>
            </w:tcBorders>
            <w:shd w:val="clear" w:color="auto" w:fill="auto"/>
            <w:tcMar>
              <w:left w:w="28" w:type="dxa"/>
              <w:right w:w="28" w:type="dxa"/>
            </w:tcMar>
            <w:vAlign w:val="center"/>
          </w:tcPr>
          <w:p w14:paraId="2E829B41">
            <w:pPr>
              <w:pStyle w:val="714"/>
              <w:rPr>
                <w:rFonts w:eastAsia="等线" w:cs="Times New Roman"/>
                <w:color w:val="auto"/>
                <w:szCs w:val="21"/>
              </w:rPr>
            </w:pPr>
            <w:r>
              <w:rPr>
                <w:rFonts w:eastAsia="等线" w:cs="Times New Roman"/>
                <w:color w:val="auto"/>
                <w:szCs w:val="21"/>
              </w:rPr>
              <w:t>7</w:t>
            </w:r>
          </w:p>
        </w:tc>
        <w:tc>
          <w:tcPr>
            <w:tcW w:w="312" w:type="pct"/>
            <w:tcBorders>
              <w:tl2br w:val="nil"/>
              <w:tr2bl w:val="nil"/>
            </w:tcBorders>
            <w:shd w:val="clear" w:color="auto" w:fill="auto"/>
            <w:tcMar>
              <w:left w:w="28" w:type="dxa"/>
              <w:right w:w="28" w:type="dxa"/>
            </w:tcMar>
            <w:vAlign w:val="center"/>
          </w:tcPr>
          <w:p w14:paraId="42C0CAA0">
            <w:pPr>
              <w:pStyle w:val="714"/>
              <w:rPr>
                <w:rFonts w:eastAsia="等线" w:cs="Times New Roman"/>
                <w:color w:val="auto"/>
                <w:szCs w:val="21"/>
              </w:rPr>
            </w:pPr>
            <w:r>
              <w:rPr>
                <w:rFonts w:eastAsia="等线" w:cs="Times New Roman"/>
                <w:color w:val="auto"/>
                <w:szCs w:val="21"/>
              </w:rPr>
              <w:t>0.4</w:t>
            </w:r>
          </w:p>
        </w:tc>
        <w:tc>
          <w:tcPr>
            <w:tcW w:w="305" w:type="pct"/>
            <w:tcBorders>
              <w:tl2br w:val="nil"/>
              <w:tr2bl w:val="nil"/>
            </w:tcBorders>
            <w:shd w:val="clear" w:color="auto" w:fill="auto"/>
            <w:tcMar>
              <w:left w:w="28" w:type="dxa"/>
              <w:right w:w="28" w:type="dxa"/>
            </w:tcMar>
            <w:vAlign w:val="center"/>
          </w:tcPr>
          <w:p w14:paraId="07F895A8">
            <w:pPr>
              <w:pStyle w:val="714"/>
              <w:rPr>
                <w:rFonts w:eastAsia="等线" w:cs="Times New Roman"/>
                <w:color w:val="auto"/>
                <w:szCs w:val="21"/>
              </w:rPr>
            </w:pPr>
            <w:r>
              <w:rPr>
                <w:rFonts w:eastAsia="等线" w:cs="Times New Roman"/>
                <w:color w:val="auto"/>
                <w:szCs w:val="21"/>
              </w:rPr>
              <w:t>72.9</w:t>
            </w:r>
          </w:p>
        </w:tc>
        <w:tc>
          <w:tcPr>
            <w:tcW w:w="344" w:type="pct"/>
            <w:tcBorders>
              <w:tl2br w:val="nil"/>
              <w:tr2bl w:val="nil"/>
            </w:tcBorders>
            <w:shd w:val="clear" w:color="auto" w:fill="auto"/>
            <w:tcMar>
              <w:left w:w="28" w:type="dxa"/>
              <w:right w:w="28" w:type="dxa"/>
            </w:tcMar>
            <w:vAlign w:val="center"/>
          </w:tcPr>
          <w:p w14:paraId="17D6A38A">
            <w:pPr>
              <w:pStyle w:val="714"/>
              <w:rPr>
                <w:rFonts w:eastAsia="等线" w:cs="Times New Roman"/>
                <w:color w:val="auto"/>
                <w:szCs w:val="21"/>
              </w:rPr>
            </w:pPr>
            <w:r>
              <w:rPr>
                <w:rFonts w:eastAsia="等线" w:cs="Times New Roman"/>
                <w:color w:val="auto"/>
                <w:szCs w:val="21"/>
              </w:rPr>
              <w:t>81.8</w:t>
            </w:r>
          </w:p>
        </w:tc>
        <w:tc>
          <w:tcPr>
            <w:tcW w:w="344" w:type="pct"/>
            <w:tcBorders>
              <w:tl2br w:val="nil"/>
              <w:tr2bl w:val="nil"/>
            </w:tcBorders>
            <w:shd w:val="clear" w:color="auto" w:fill="auto"/>
            <w:tcMar>
              <w:left w:w="28" w:type="dxa"/>
              <w:right w:w="28" w:type="dxa"/>
            </w:tcMar>
            <w:vAlign w:val="center"/>
          </w:tcPr>
          <w:p w14:paraId="5026B8CC">
            <w:pPr>
              <w:pStyle w:val="714"/>
              <w:rPr>
                <w:rFonts w:eastAsia="等线" w:cs="Times New Roman"/>
                <w:color w:val="auto"/>
                <w:szCs w:val="21"/>
              </w:rPr>
            </w:pPr>
            <w:r>
              <w:rPr>
                <w:rFonts w:eastAsia="等线" w:cs="Times New Roman"/>
                <w:color w:val="auto"/>
                <w:szCs w:val="21"/>
              </w:rPr>
              <w:t>34.7</w:t>
            </w:r>
          </w:p>
        </w:tc>
        <w:tc>
          <w:tcPr>
            <w:tcW w:w="409" w:type="pct"/>
            <w:tcBorders>
              <w:tl2br w:val="nil"/>
              <w:tr2bl w:val="nil"/>
            </w:tcBorders>
            <w:shd w:val="clear" w:color="auto" w:fill="auto"/>
            <w:tcMar>
              <w:left w:w="28" w:type="dxa"/>
              <w:right w:w="28" w:type="dxa"/>
            </w:tcMar>
            <w:vAlign w:val="center"/>
          </w:tcPr>
          <w:p w14:paraId="497EAEA0">
            <w:pPr>
              <w:pStyle w:val="714"/>
              <w:rPr>
                <w:rFonts w:eastAsia="等线" w:cs="Times New Roman"/>
                <w:color w:val="auto"/>
                <w:szCs w:val="21"/>
              </w:rPr>
            </w:pPr>
            <w:r>
              <w:rPr>
                <w:rFonts w:eastAsia="等线" w:cs="Times New Roman"/>
                <w:color w:val="auto"/>
                <w:szCs w:val="21"/>
              </w:rPr>
              <w:t>41.1</w:t>
            </w:r>
          </w:p>
        </w:tc>
        <w:tc>
          <w:tcPr>
            <w:tcW w:w="409" w:type="pct"/>
            <w:tcBorders>
              <w:tl2br w:val="nil"/>
              <w:tr2bl w:val="nil"/>
            </w:tcBorders>
            <w:shd w:val="clear" w:color="auto" w:fill="auto"/>
            <w:tcMar>
              <w:left w:w="28" w:type="dxa"/>
              <w:right w:w="28" w:type="dxa"/>
            </w:tcMar>
            <w:vAlign w:val="center"/>
          </w:tcPr>
          <w:p w14:paraId="063633D6">
            <w:pPr>
              <w:pStyle w:val="714"/>
              <w:rPr>
                <w:rFonts w:eastAsia="等线" w:cs="Times New Roman"/>
                <w:color w:val="auto"/>
                <w:szCs w:val="21"/>
              </w:rPr>
            </w:pPr>
            <w:r>
              <w:rPr>
                <w:rFonts w:eastAsia="等线" w:cs="Times New Roman"/>
                <w:color w:val="auto"/>
                <w:szCs w:val="21"/>
              </w:rPr>
              <w:t>10.6</w:t>
            </w:r>
          </w:p>
        </w:tc>
        <w:tc>
          <w:tcPr>
            <w:tcW w:w="581" w:type="pct"/>
            <w:tcBorders>
              <w:tl2br w:val="nil"/>
              <w:tr2bl w:val="nil"/>
            </w:tcBorders>
            <w:shd w:val="clear" w:color="auto" w:fill="auto"/>
            <w:tcMar>
              <w:left w:w="28" w:type="dxa"/>
              <w:right w:w="28" w:type="dxa"/>
            </w:tcMar>
            <w:vAlign w:val="center"/>
          </w:tcPr>
          <w:p w14:paraId="2805116B">
            <w:pPr>
              <w:pStyle w:val="714"/>
              <w:rPr>
                <w:rFonts w:eastAsia="等线" w:cs="Times New Roman"/>
                <w:color w:val="auto"/>
                <w:szCs w:val="21"/>
              </w:rPr>
            </w:pPr>
            <w:r>
              <w:rPr>
                <w:rFonts w:eastAsia="等线" w:cs="Times New Roman"/>
                <w:color w:val="auto"/>
                <w:szCs w:val="21"/>
              </w:rPr>
              <w:t>508</w:t>
            </w:r>
          </w:p>
        </w:tc>
        <w:tc>
          <w:tcPr>
            <w:tcW w:w="339" w:type="pct"/>
            <w:tcBorders>
              <w:tl2br w:val="nil"/>
              <w:tr2bl w:val="nil"/>
            </w:tcBorders>
            <w:shd w:val="clear" w:color="auto" w:fill="auto"/>
            <w:tcMar>
              <w:left w:w="28" w:type="dxa"/>
              <w:right w:w="28" w:type="dxa"/>
            </w:tcMar>
            <w:vAlign w:val="center"/>
          </w:tcPr>
          <w:p w14:paraId="69EAA903">
            <w:pPr>
              <w:pStyle w:val="714"/>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575FAFC8">
            <w:pPr>
              <w:pStyle w:val="714"/>
              <w:rPr>
                <w:rFonts w:eastAsia="等线" w:cs="Times New Roman"/>
                <w:color w:val="auto"/>
                <w:szCs w:val="21"/>
              </w:rPr>
            </w:pPr>
            <w:r>
              <w:rPr>
                <w:rFonts w:eastAsia="等线" w:cs="Times New Roman"/>
                <w:color w:val="auto"/>
                <w:szCs w:val="21"/>
              </w:rPr>
              <w:t>521</w:t>
            </w:r>
          </w:p>
        </w:tc>
        <w:tc>
          <w:tcPr>
            <w:tcW w:w="822" w:type="pct"/>
            <w:tcBorders>
              <w:tl2br w:val="nil"/>
              <w:tr2bl w:val="nil"/>
            </w:tcBorders>
            <w:shd w:val="clear" w:color="auto" w:fill="auto"/>
            <w:noWrap/>
            <w:tcMar>
              <w:left w:w="28" w:type="dxa"/>
              <w:right w:w="28" w:type="dxa"/>
            </w:tcMar>
            <w:vAlign w:val="center"/>
          </w:tcPr>
          <w:p w14:paraId="69ECA82D">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56983A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0D598495">
            <w:pPr>
              <w:pStyle w:val="714"/>
              <w:rPr>
                <w:color w:val="auto"/>
              </w:rPr>
            </w:pPr>
            <w:r>
              <w:rPr>
                <w:rFonts w:hint="eastAsia"/>
                <w:color w:val="auto"/>
              </w:rPr>
              <w:t>3#</w:t>
            </w:r>
          </w:p>
        </w:tc>
        <w:tc>
          <w:tcPr>
            <w:tcW w:w="435" w:type="pct"/>
            <w:tcBorders>
              <w:tl2br w:val="nil"/>
              <w:tr2bl w:val="nil"/>
            </w:tcBorders>
            <w:shd w:val="clear" w:color="auto" w:fill="auto"/>
            <w:tcMar>
              <w:left w:w="28" w:type="dxa"/>
              <w:right w:w="28" w:type="dxa"/>
            </w:tcMar>
            <w:vAlign w:val="center"/>
          </w:tcPr>
          <w:p w14:paraId="4DCE6B3D">
            <w:pPr>
              <w:pStyle w:val="714"/>
              <w:rPr>
                <w:rFonts w:eastAsia="等线" w:cs="Times New Roman"/>
                <w:color w:val="auto"/>
                <w:szCs w:val="21"/>
              </w:rPr>
            </w:pPr>
            <w:r>
              <w:rPr>
                <w:rFonts w:eastAsia="等线" w:cs="Times New Roman"/>
                <w:color w:val="auto"/>
                <w:szCs w:val="21"/>
              </w:rPr>
              <w:t>7</w:t>
            </w:r>
          </w:p>
        </w:tc>
        <w:tc>
          <w:tcPr>
            <w:tcW w:w="312" w:type="pct"/>
            <w:tcBorders>
              <w:tl2br w:val="nil"/>
              <w:tr2bl w:val="nil"/>
            </w:tcBorders>
            <w:shd w:val="clear" w:color="auto" w:fill="auto"/>
            <w:tcMar>
              <w:left w:w="28" w:type="dxa"/>
              <w:right w:w="28" w:type="dxa"/>
            </w:tcMar>
            <w:vAlign w:val="center"/>
          </w:tcPr>
          <w:p w14:paraId="6325ED2F">
            <w:pPr>
              <w:pStyle w:val="714"/>
              <w:rPr>
                <w:rFonts w:eastAsia="等线" w:cs="Times New Roman"/>
                <w:color w:val="auto"/>
                <w:szCs w:val="21"/>
              </w:rPr>
            </w:pPr>
            <w:r>
              <w:rPr>
                <w:rFonts w:eastAsia="等线" w:cs="Times New Roman"/>
                <w:color w:val="auto"/>
                <w:szCs w:val="21"/>
              </w:rPr>
              <w:t>0.73</w:t>
            </w:r>
          </w:p>
        </w:tc>
        <w:tc>
          <w:tcPr>
            <w:tcW w:w="305" w:type="pct"/>
            <w:tcBorders>
              <w:tl2br w:val="nil"/>
              <w:tr2bl w:val="nil"/>
            </w:tcBorders>
            <w:shd w:val="clear" w:color="auto" w:fill="auto"/>
            <w:tcMar>
              <w:left w:w="28" w:type="dxa"/>
              <w:right w:w="28" w:type="dxa"/>
            </w:tcMar>
            <w:vAlign w:val="center"/>
          </w:tcPr>
          <w:p w14:paraId="498DDF0E">
            <w:pPr>
              <w:pStyle w:val="714"/>
              <w:rPr>
                <w:rFonts w:eastAsia="等线" w:cs="Times New Roman"/>
                <w:color w:val="auto"/>
                <w:szCs w:val="21"/>
              </w:rPr>
            </w:pPr>
            <w:r>
              <w:rPr>
                <w:rFonts w:eastAsia="等线" w:cs="Times New Roman"/>
                <w:color w:val="auto"/>
                <w:szCs w:val="21"/>
              </w:rPr>
              <w:t>43.9</w:t>
            </w:r>
          </w:p>
        </w:tc>
        <w:tc>
          <w:tcPr>
            <w:tcW w:w="344" w:type="pct"/>
            <w:tcBorders>
              <w:tl2br w:val="nil"/>
              <w:tr2bl w:val="nil"/>
            </w:tcBorders>
            <w:shd w:val="clear" w:color="auto" w:fill="auto"/>
            <w:tcMar>
              <w:left w:w="28" w:type="dxa"/>
              <w:right w:w="28" w:type="dxa"/>
            </w:tcMar>
            <w:vAlign w:val="center"/>
          </w:tcPr>
          <w:p w14:paraId="3D8411FA">
            <w:pPr>
              <w:pStyle w:val="714"/>
              <w:rPr>
                <w:rFonts w:eastAsia="等线" w:cs="Times New Roman"/>
                <w:color w:val="auto"/>
                <w:szCs w:val="21"/>
              </w:rPr>
            </w:pPr>
            <w:r>
              <w:rPr>
                <w:rFonts w:eastAsia="等线" w:cs="Times New Roman"/>
                <w:color w:val="auto"/>
                <w:szCs w:val="21"/>
              </w:rPr>
              <w:t>113</w:t>
            </w:r>
          </w:p>
        </w:tc>
        <w:tc>
          <w:tcPr>
            <w:tcW w:w="344" w:type="pct"/>
            <w:tcBorders>
              <w:tl2br w:val="nil"/>
              <w:tr2bl w:val="nil"/>
            </w:tcBorders>
            <w:shd w:val="clear" w:color="auto" w:fill="auto"/>
            <w:tcMar>
              <w:left w:w="28" w:type="dxa"/>
              <w:right w:w="28" w:type="dxa"/>
            </w:tcMar>
            <w:vAlign w:val="center"/>
          </w:tcPr>
          <w:p w14:paraId="265B7FD0">
            <w:pPr>
              <w:pStyle w:val="714"/>
              <w:rPr>
                <w:rFonts w:eastAsia="等线" w:cs="Times New Roman"/>
                <w:color w:val="auto"/>
                <w:szCs w:val="21"/>
              </w:rPr>
            </w:pPr>
            <w:r>
              <w:rPr>
                <w:rFonts w:eastAsia="等线" w:cs="Times New Roman"/>
                <w:color w:val="auto"/>
                <w:szCs w:val="21"/>
              </w:rPr>
              <w:t>42.6</w:t>
            </w:r>
          </w:p>
        </w:tc>
        <w:tc>
          <w:tcPr>
            <w:tcW w:w="409" w:type="pct"/>
            <w:tcBorders>
              <w:tl2br w:val="nil"/>
              <w:tr2bl w:val="nil"/>
            </w:tcBorders>
            <w:shd w:val="clear" w:color="auto" w:fill="auto"/>
            <w:tcMar>
              <w:left w:w="28" w:type="dxa"/>
              <w:right w:w="28" w:type="dxa"/>
            </w:tcMar>
            <w:vAlign w:val="center"/>
          </w:tcPr>
          <w:p w14:paraId="73D4F208">
            <w:pPr>
              <w:pStyle w:val="714"/>
              <w:rPr>
                <w:rFonts w:eastAsia="等线" w:cs="Times New Roman"/>
                <w:color w:val="auto"/>
                <w:szCs w:val="21"/>
              </w:rPr>
            </w:pPr>
            <w:r>
              <w:rPr>
                <w:rFonts w:eastAsia="等线" w:cs="Times New Roman"/>
                <w:color w:val="auto"/>
                <w:szCs w:val="21"/>
              </w:rPr>
              <w:t>48.9</w:t>
            </w:r>
          </w:p>
        </w:tc>
        <w:tc>
          <w:tcPr>
            <w:tcW w:w="409" w:type="pct"/>
            <w:tcBorders>
              <w:tl2br w:val="nil"/>
              <w:tr2bl w:val="nil"/>
            </w:tcBorders>
            <w:shd w:val="clear" w:color="auto" w:fill="auto"/>
            <w:tcMar>
              <w:left w:w="28" w:type="dxa"/>
              <w:right w:w="28" w:type="dxa"/>
            </w:tcMar>
            <w:vAlign w:val="center"/>
          </w:tcPr>
          <w:p w14:paraId="0AA21ACE">
            <w:pPr>
              <w:pStyle w:val="714"/>
              <w:rPr>
                <w:rFonts w:eastAsia="等线" w:cs="Times New Roman"/>
                <w:color w:val="auto"/>
                <w:szCs w:val="21"/>
              </w:rPr>
            </w:pPr>
            <w:r>
              <w:rPr>
                <w:rFonts w:eastAsia="等线" w:cs="Times New Roman"/>
                <w:color w:val="auto"/>
                <w:szCs w:val="21"/>
              </w:rPr>
              <w:t>22.6</w:t>
            </w:r>
          </w:p>
        </w:tc>
        <w:tc>
          <w:tcPr>
            <w:tcW w:w="581" w:type="pct"/>
            <w:tcBorders>
              <w:tl2br w:val="nil"/>
              <w:tr2bl w:val="nil"/>
            </w:tcBorders>
            <w:shd w:val="clear" w:color="auto" w:fill="auto"/>
            <w:tcMar>
              <w:left w:w="28" w:type="dxa"/>
              <w:right w:w="28" w:type="dxa"/>
            </w:tcMar>
            <w:vAlign w:val="center"/>
          </w:tcPr>
          <w:p w14:paraId="769F3E4D">
            <w:pPr>
              <w:pStyle w:val="714"/>
              <w:rPr>
                <w:rFonts w:eastAsia="等线" w:cs="Times New Roman"/>
                <w:color w:val="auto"/>
                <w:szCs w:val="21"/>
              </w:rPr>
            </w:pPr>
            <w:r>
              <w:rPr>
                <w:rFonts w:eastAsia="等线" w:cs="Times New Roman"/>
                <w:color w:val="auto"/>
                <w:szCs w:val="21"/>
              </w:rPr>
              <w:t>551</w:t>
            </w:r>
          </w:p>
        </w:tc>
        <w:tc>
          <w:tcPr>
            <w:tcW w:w="339" w:type="pct"/>
            <w:tcBorders>
              <w:tl2br w:val="nil"/>
              <w:tr2bl w:val="nil"/>
            </w:tcBorders>
            <w:shd w:val="clear" w:color="auto" w:fill="auto"/>
            <w:tcMar>
              <w:left w:w="28" w:type="dxa"/>
              <w:right w:w="28" w:type="dxa"/>
            </w:tcMar>
            <w:vAlign w:val="center"/>
          </w:tcPr>
          <w:p w14:paraId="41475540">
            <w:pPr>
              <w:pStyle w:val="714"/>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00BC3E19">
            <w:pPr>
              <w:pStyle w:val="714"/>
              <w:rPr>
                <w:rFonts w:eastAsia="等线" w:cs="Times New Roman"/>
                <w:color w:val="auto"/>
                <w:szCs w:val="21"/>
              </w:rPr>
            </w:pPr>
            <w:r>
              <w:rPr>
                <w:rFonts w:eastAsia="等线" w:cs="Times New Roman"/>
                <w:color w:val="auto"/>
                <w:szCs w:val="21"/>
              </w:rPr>
              <w:t>555</w:t>
            </w:r>
          </w:p>
        </w:tc>
        <w:tc>
          <w:tcPr>
            <w:tcW w:w="822" w:type="pct"/>
            <w:tcBorders>
              <w:tl2br w:val="nil"/>
              <w:tr2bl w:val="nil"/>
            </w:tcBorders>
            <w:shd w:val="clear" w:color="auto" w:fill="auto"/>
            <w:noWrap/>
            <w:tcMar>
              <w:left w:w="28" w:type="dxa"/>
              <w:right w:w="28" w:type="dxa"/>
            </w:tcMar>
            <w:vAlign w:val="center"/>
          </w:tcPr>
          <w:p w14:paraId="436A89C2">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6AB514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4743D918">
            <w:pPr>
              <w:pStyle w:val="714"/>
              <w:rPr>
                <w:color w:val="auto"/>
              </w:rPr>
            </w:pPr>
            <w:r>
              <w:rPr>
                <w:rFonts w:hint="eastAsia"/>
                <w:color w:val="auto"/>
              </w:rPr>
              <w:t>4#</w:t>
            </w:r>
          </w:p>
        </w:tc>
        <w:tc>
          <w:tcPr>
            <w:tcW w:w="435" w:type="pct"/>
            <w:tcBorders>
              <w:tl2br w:val="nil"/>
              <w:tr2bl w:val="nil"/>
            </w:tcBorders>
            <w:shd w:val="clear" w:color="auto" w:fill="auto"/>
            <w:tcMar>
              <w:left w:w="28" w:type="dxa"/>
              <w:right w:w="28" w:type="dxa"/>
            </w:tcMar>
            <w:vAlign w:val="center"/>
          </w:tcPr>
          <w:p w14:paraId="41A7452F">
            <w:pPr>
              <w:pStyle w:val="714"/>
              <w:rPr>
                <w:rFonts w:eastAsia="等线" w:cs="Times New Roman"/>
                <w:color w:val="auto"/>
                <w:szCs w:val="21"/>
              </w:rPr>
            </w:pPr>
            <w:r>
              <w:rPr>
                <w:rFonts w:eastAsia="等线" w:cs="Times New Roman"/>
                <w:color w:val="auto"/>
                <w:szCs w:val="21"/>
              </w:rPr>
              <w:t>7.1</w:t>
            </w:r>
          </w:p>
        </w:tc>
        <w:tc>
          <w:tcPr>
            <w:tcW w:w="312" w:type="pct"/>
            <w:tcBorders>
              <w:tl2br w:val="nil"/>
              <w:tr2bl w:val="nil"/>
            </w:tcBorders>
            <w:shd w:val="clear" w:color="auto" w:fill="auto"/>
            <w:tcMar>
              <w:left w:w="28" w:type="dxa"/>
              <w:right w:w="28" w:type="dxa"/>
            </w:tcMar>
            <w:vAlign w:val="center"/>
          </w:tcPr>
          <w:p w14:paraId="33EA9469">
            <w:pPr>
              <w:pStyle w:val="714"/>
              <w:rPr>
                <w:rFonts w:eastAsia="等线" w:cs="Times New Roman"/>
                <w:color w:val="auto"/>
                <w:szCs w:val="21"/>
              </w:rPr>
            </w:pPr>
            <w:r>
              <w:rPr>
                <w:rFonts w:eastAsia="等线" w:cs="Times New Roman"/>
                <w:color w:val="auto"/>
                <w:szCs w:val="21"/>
              </w:rPr>
              <w:t>39.8</w:t>
            </w:r>
          </w:p>
        </w:tc>
        <w:tc>
          <w:tcPr>
            <w:tcW w:w="305" w:type="pct"/>
            <w:tcBorders>
              <w:tl2br w:val="nil"/>
              <w:tr2bl w:val="nil"/>
            </w:tcBorders>
            <w:shd w:val="clear" w:color="auto" w:fill="auto"/>
            <w:tcMar>
              <w:left w:w="28" w:type="dxa"/>
              <w:right w:w="28" w:type="dxa"/>
            </w:tcMar>
            <w:vAlign w:val="center"/>
          </w:tcPr>
          <w:p w14:paraId="46D8D8AE">
            <w:pPr>
              <w:pStyle w:val="714"/>
              <w:rPr>
                <w:rFonts w:eastAsia="等线" w:cs="Times New Roman"/>
                <w:color w:val="auto"/>
                <w:szCs w:val="21"/>
              </w:rPr>
            </w:pPr>
            <w:r>
              <w:rPr>
                <w:rFonts w:eastAsia="等线" w:cs="Times New Roman"/>
                <w:color w:val="auto"/>
                <w:szCs w:val="21"/>
              </w:rPr>
              <w:t>69.3</w:t>
            </w:r>
          </w:p>
        </w:tc>
        <w:tc>
          <w:tcPr>
            <w:tcW w:w="344" w:type="pct"/>
            <w:tcBorders>
              <w:tl2br w:val="nil"/>
              <w:tr2bl w:val="nil"/>
            </w:tcBorders>
            <w:shd w:val="clear" w:color="auto" w:fill="auto"/>
            <w:tcMar>
              <w:left w:w="28" w:type="dxa"/>
              <w:right w:w="28" w:type="dxa"/>
            </w:tcMar>
            <w:vAlign w:val="center"/>
          </w:tcPr>
          <w:p w14:paraId="270E1A46">
            <w:pPr>
              <w:pStyle w:val="714"/>
              <w:rPr>
                <w:rFonts w:eastAsia="等线" w:cs="Times New Roman"/>
                <w:color w:val="auto"/>
                <w:szCs w:val="21"/>
              </w:rPr>
            </w:pPr>
            <w:r>
              <w:rPr>
                <w:rFonts w:eastAsia="等线" w:cs="Times New Roman"/>
                <w:color w:val="auto"/>
                <w:szCs w:val="21"/>
              </w:rPr>
              <w:t>103.7</w:t>
            </w:r>
          </w:p>
        </w:tc>
        <w:tc>
          <w:tcPr>
            <w:tcW w:w="344" w:type="pct"/>
            <w:tcBorders>
              <w:tl2br w:val="nil"/>
              <w:tr2bl w:val="nil"/>
            </w:tcBorders>
            <w:shd w:val="clear" w:color="auto" w:fill="auto"/>
            <w:tcMar>
              <w:left w:w="28" w:type="dxa"/>
              <w:right w:w="28" w:type="dxa"/>
            </w:tcMar>
            <w:vAlign w:val="center"/>
          </w:tcPr>
          <w:p w14:paraId="2DA5147A">
            <w:pPr>
              <w:pStyle w:val="714"/>
              <w:rPr>
                <w:rFonts w:eastAsia="等线" w:cs="Times New Roman"/>
                <w:color w:val="auto"/>
                <w:szCs w:val="21"/>
              </w:rPr>
            </w:pPr>
            <w:r>
              <w:rPr>
                <w:rFonts w:eastAsia="等线" w:cs="Times New Roman"/>
                <w:color w:val="auto"/>
                <w:szCs w:val="21"/>
              </w:rPr>
              <w:t>39.6</w:t>
            </w:r>
          </w:p>
        </w:tc>
        <w:tc>
          <w:tcPr>
            <w:tcW w:w="409" w:type="pct"/>
            <w:tcBorders>
              <w:tl2br w:val="nil"/>
              <w:tr2bl w:val="nil"/>
            </w:tcBorders>
            <w:shd w:val="clear" w:color="auto" w:fill="auto"/>
            <w:tcMar>
              <w:left w:w="28" w:type="dxa"/>
              <w:right w:w="28" w:type="dxa"/>
            </w:tcMar>
            <w:vAlign w:val="center"/>
          </w:tcPr>
          <w:p w14:paraId="2B21A73B">
            <w:pPr>
              <w:pStyle w:val="714"/>
              <w:rPr>
                <w:rFonts w:eastAsia="等线" w:cs="Times New Roman"/>
                <w:color w:val="auto"/>
                <w:szCs w:val="21"/>
              </w:rPr>
            </w:pPr>
            <w:r>
              <w:rPr>
                <w:rFonts w:eastAsia="等线" w:cs="Times New Roman"/>
                <w:color w:val="auto"/>
                <w:szCs w:val="21"/>
              </w:rPr>
              <w:t>175</w:t>
            </w:r>
          </w:p>
        </w:tc>
        <w:tc>
          <w:tcPr>
            <w:tcW w:w="409" w:type="pct"/>
            <w:tcBorders>
              <w:tl2br w:val="nil"/>
              <w:tr2bl w:val="nil"/>
            </w:tcBorders>
            <w:shd w:val="clear" w:color="auto" w:fill="auto"/>
            <w:tcMar>
              <w:left w:w="28" w:type="dxa"/>
              <w:right w:w="28" w:type="dxa"/>
            </w:tcMar>
            <w:vAlign w:val="center"/>
          </w:tcPr>
          <w:p w14:paraId="5B7F1052">
            <w:pPr>
              <w:pStyle w:val="714"/>
              <w:rPr>
                <w:rFonts w:eastAsia="等线" w:cs="Times New Roman"/>
                <w:color w:val="auto"/>
                <w:szCs w:val="21"/>
              </w:rPr>
            </w:pPr>
            <w:r>
              <w:rPr>
                <w:rFonts w:eastAsia="等线" w:cs="Times New Roman"/>
                <w:color w:val="auto"/>
                <w:szCs w:val="21"/>
              </w:rPr>
              <w:t>98</w:t>
            </w:r>
          </w:p>
        </w:tc>
        <w:tc>
          <w:tcPr>
            <w:tcW w:w="581" w:type="pct"/>
            <w:tcBorders>
              <w:tl2br w:val="nil"/>
              <w:tr2bl w:val="nil"/>
            </w:tcBorders>
            <w:shd w:val="clear" w:color="auto" w:fill="auto"/>
            <w:tcMar>
              <w:left w:w="28" w:type="dxa"/>
              <w:right w:w="28" w:type="dxa"/>
            </w:tcMar>
            <w:vAlign w:val="center"/>
          </w:tcPr>
          <w:p w14:paraId="715A891B">
            <w:pPr>
              <w:pStyle w:val="714"/>
              <w:rPr>
                <w:rFonts w:eastAsia="等线" w:cs="Times New Roman"/>
                <w:color w:val="auto"/>
                <w:szCs w:val="21"/>
              </w:rPr>
            </w:pPr>
            <w:r>
              <w:rPr>
                <w:rFonts w:eastAsia="等线" w:cs="Times New Roman"/>
                <w:color w:val="auto"/>
                <w:szCs w:val="21"/>
              </w:rPr>
              <w:t>236</w:t>
            </w:r>
          </w:p>
        </w:tc>
        <w:tc>
          <w:tcPr>
            <w:tcW w:w="339" w:type="pct"/>
            <w:tcBorders>
              <w:tl2br w:val="nil"/>
              <w:tr2bl w:val="nil"/>
            </w:tcBorders>
            <w:shd w:val="clear" w:color="auto" w:fill="auto"/>
            <w:tcMar>
              <w:left w:w="28" w:type="dxa"/>
              <w:right w:w="28" w:type="dxa"/>
            </w:tcMar>
            <w:vAlign w:val="center"/>
          </w:tcPr>
          <w:p w14:paraId="004FFCF4">
            <w:pPr>
              <w:pStyle w:val="714"/>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230DD5E3">
            <w:pPr>
              <w:pStyle w:val="714"/>
              <w:rPr>
                <w:rFonts w:eastAsia="等线" w:cs="Times New Roman"/>
                <w:color w:val="auto"/>
                <w:szCs w:val="21"/>
              </w:rPr>
            </w:pPr>
            <w:r>
              <w:rPr>
                <w:rFonts w:eastAsia="等线" w:cs="Times New Roman"/>
                <w:color w:val="auto"/>
                <w:szCs w:val="21"/>
              </w:rPr>
              <w:t>625</w:t>
            </w:r>
          </w:p>
        </w:tc>
        <w:tc>
          <w:tcPr>
            <w:tcW w:w="822" w:type="pct"/>
            <w:tcBorders>
              <w:tl2br w:val="nil"/>
              <w:tr2bl w:val="nil"/>
            </w:tcBorders>
            <w:shd w:val="clear" w:color="auto" w:fill="auto"/>
            <w:noWrap/>
            <w:tcMar>
              <w:left w:w="28" w:type="dxa"/>
              <w:right w:w="28" w:type="dxa"/>
            </w:tcMar>
            <w:vAlign w:val="center"/>
          </w:tcPr>
          <w:p w14:paraId="3560DE50">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0FEC81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42B89079">
            <w:pPr>
              <w:pStyle w:val="714"/>
              <w:rPr>
                <w:color w:val="auto"/>
              </w:rPr>
            </w:pPr>
            <w:r>
              <w:rPr>
                <w:rFonts w:hint="eastAsia"/>
                <w:color w:val="auto"/>
              </w:rPr>
              <w:t>5#</w:t>
            </w:r>
          </w:p>
        </w:tc>
        <w:tc>
          <w:tcPr>
            <w:tcW w:w="435" w:type="pct"/>
            <w:tcBorders>
              <w:tl2br w:val="nil"/>
              <w:tr2bl w:val="nil"/>
            </w:tcBorders>
            <w:shd w:val="clear" w:color="auto" w:fill="auto"/>
            <w:tcMar>
              <w:left w:w="28" w:type="dxa"/>
              <w:right w:w="28" w:type="dxa"/>
            </w:tcMar>
            <w:vAlign w:val="center"/>
          </w:tcPr>
          <w:p w14:paraId="7D94783B">
            <w:pPr>
              <w:pStyle w:val="714"/>
              <w:rPr>
                <w:rFonts w:eastAsia="等线" w:cs="Times New Roman"/>
                <w:color w:val="auto"/>
                <w:szCs w:val="21"/>
              </w:rPr>
            </w:pPr>
            <w:r>
              <w:rPr>
                <w:rFonts w:eastAsia="等线" w:cs="Times New Roman"/>
                <w:color w:val="auto"/>
                <w:szCs w:val="21"/>
              </w:rPr>
              <w:t>7.2</w:t>
            </w:r>
          </w:p>
        </w:tc>
        <w:tc>
          <w:tcPr>
            <w:tcW w:w="312" w:type="pct"/>
            <w:tcBorders>
              <w:tl2br w:val="nil"/>
              <w:tr2bl w:val="nil"/>
            </w:tcBorders>
            <w:shd w:val="clear" w:color="auto" w:fill="auto"/>
            <w:tcMar>
              <w:left w:w="28" w:type="dxa"/>
              <w:right w:w="28" w:type="dxa"/>
            </w:tcMar>
            <w:vAlign w:val="center"/>
          </w:tcPr>
          <w:p w14:paraId="6DB485BF">
            <w:pPr>
              <w:pStyle w:val="714"/>
              <w:rPr>
                <w:rFonts w:eastAsia="等线" w:cs="Times New Roman"/>
                <w:color w:val="auto"/>
                <w:szCs w:val="21"/>
              </w:rPr>
            </w:pPr>
            <w:r>
              <w:rPr>
                <w:rFonts w:eastAsia="等线" w:cs="Times New Roman"/>
                <w:color w:val="auto"/>
                <w:szCs w:val="21"/>
              </w:rPr>
              <w:t>0.83</w:t>
            </w:r>
          </w:p>
        </w:tc>
        <w:tc>
          <w:tcPr>
            <w:tcW w:w="305" w:type="pct"/>
            <w:tcBorders>
              <w:tl2br w:val="nil"/>
              <w:tr2bl w:val="nil"/>
            </w:tcBorders>
            <w:shd w:val="clear" w:color="auto" w:fill="auto"/>
            <w:tcMar>
              <w:left w:w="28" w:type="dxa"/>
              <w:right w:w="28" w:type="dxa"/>
            </w:tcMar>
            <w:vAlign w:val="center"/>
          </w:tcPr>
          <w:p w14:paraId="747FD994">
            <w:pPr>
              <w:pStyle w:val="714"/>
              <w:rPr>
                <w:rFonts w:eastAsia="等线" w:cs="Times New Roman"/>
                <w:color w:val="auto"/>
                <w:szCs w:val="21"/>
              </w:rPr>
            </w:pPr>
            <w:r>
              <w:rPr>
                <w:rFonts w:eastAsia="等线" w:cs="Times New Roman"/>
                <w:color w:val="auto"/>
                <w:szCs w:val="21"/>
              </w:rPr>
              <w:t>9.01</w:t>
            </w:r>
          </w:p>
        </w:tc>
        <w:tc>
          <w:tcPr>
            <w:tcW w:w="344" w:type="pct"/>
            <w:tcBorders>
              <w:tl2br w:val="nil"/>
              <w:tr2bl w:val="nil"/>
            </w:tcBorders>
            <w:shd w:val="clear" w:color="auto" w:fill="auto"/>
            <w:tcMar>
              <w:left w:w="28" w:type="dxa"/>
              <w:right w:w="28" w:type="dxa"/>
            </w:tcMar>
            <w:vAlign w:val="center"/>
          </w:tcPr>
          <w:p w14:paraId="3758623E">
            <w:pPr>
              <w:pStyle w:val="714"/>
              <w:rPr>
                <w:rFonts w:eastAsia="等线" w:cs="Times New Roman"/>
                <w:color w:val="auto"/>
                <w:szCs w:val="21"/>
              </w:rPr>
            </w:pPr>
            <w:r>
              <w:rPr>
                <w:rFonts w:eastAsia="等线" w:cs="Times New Roman"/>
                <w:color w:val="auto"/>
                <w:szCs w:val="21"/>
              </w:rPr>
              <w:t>20.3</w:t>
            </w:r>
          </w:p>
        </w:tc>
        <w:tc>
          <w:tcPr>
            <w:tcW w:w="344" w:type="pct"/>
            <w:tcBorders>
              <w:tl2br w:val="nil"/>
              <w:tr2bl w:val="nil"/>
            </w:tcBorders>
            <w:shd w:val="clear" w:color="auto" w:fill="auto"/>
            <w:tcMar>
              <w:left w:w="28" w:type="dxa"/>
              <w:right w:w="28" w:type="dxa"/>
            </w:tcMar>
            <w:vAlign w:val="center"/>
          </w:tcPr>
          <w:p w14:paraId="021BF9D2">
            <w:pPr>
              <w:pStyle w:val="714"/>
              <w:rPr>
                <w:rFonts w:eastAsia="等线" w:cs="Times New Roman"/>
                <w:color w:val="auto"/>
                <w:szCs w:val="21"/>
              </w:rPr>
            </w:pPr>
            <w:r>
              <w:rPr>
                <w:rFonts w:eastAsia="等线" w:cs="Times New Roman"/>
                <w:color w:val="auto"/>
                <w:szCs w:val="21"/>
              </w:rPr>
              <w:t>6.52</w:t>
            </w:r>
          </w:p>
        </w:tc>
        <w:tc>
          <w:tcPr>
            <w:tcW w:w="409" w:type="pct"/>
            <w:tcBorders>
              <w:tl2br w:val="nil"/>
              <w:tr2bl w:val="nil"/>
            </w:tcBorders>
            <w:shd w:val="clear" w:color="auto" w:fill="auto"/>
            <w:tcMar>
              <w:left w:w="28" w:type="dxa"/>
              <w:right w:w="28" w:type="dxa"/>
            </w:tcMar>
            <w:vAlign w:val="center"/>
          </w:tcPr>
          <w:p w14:paraId="2B66B286">
            <w:pPr>
              <w:pStyle w:val="714"/>
              <w:rPr>
                <w:rFonts w:eastAsia="等线" w:cs="Times New Roman"/>
                <w:color w:val="auto"/>
                <w:szCs w:val="21"/>
              </w:rPr>
            </w:pPr>
            <w:r>
              <w:rPr>
                <w:rFonts w:eastAsia="等线" w:cs="Times New Roman"/>
                <w:color w:val="auto"/>
                <w:szCs w:val="21"/>
              </w:rPr>
              <w:t>11.4</w:t>
            </w:r>
          </w:p>
        </w:tc>
        <w:tc>
          <w:tcPr>
            <w:tcW w:w="409" w:type="pct"/>
            <w:tcBorders>
              <w:tl2br w:val="nil"/>
              <w:tr2bl w:val="nil"/>
            </w:tcBorders>
            <w:shd w:val="clear" w:color="auto" w:fill="auto"/>
            <w:tcMar>
              <w:left w:w="28" w:type="dxa"/>
              <w:right w:w="28" w:type="dxa"/>
            </w:tcMar>
            <w:vAlign w:val="center"/>
          </w:tcPr>
          <w:p w14:paraId="1A9A90E6">
            <w:pPr>
              <w:pStyle w:val="714"/>
              <w:rPr>
                <w:rFonts w:eastAsia="等线" w:cs="Times New Roman"/>
                <w:color w:val="auto"/>
                <w:szCs w:val="21"/>
              </w:rPr>
            </w:pPr>
            <w:r>
              <w:rPr>
                <w:rFonts w:eastAsia="等线" w:cs="Times New Roman"/>
                <w:color w:val="auto"/>
                <w:szCs w:val="21"/>
              </w:rPr>
              <w:t>9.46</w:t>
            </w:r>
          </w:p>
        </w:tc>
        <w:tc>
          <w:tcPr>
            <w:tcW w:w="581" w:type="pct"/>
            <w:tcBorders>
              <w:tl2br w:val="nil"/>
              <w:tr2bl w:val="nil"/>
            </w:tcBorders>
            <w:shd w:val="clear" w:color="auto" w:fill="auto"/>
            <w:tcMar>
              <w:left w:w="28" w:type="dxa"/>
              <w:right w:w="28" w:type="dxa"/>
            </w:tcMar>
            <w:vAlign w:val="center"/>
          </w:tcPr>
          <w:p w14:paraId="5B434CE1">
            <w:pPr>
              <w:pStyle w:val="714"/>
              <w:rPr>
                <w:rFonts w:eastAsia="等线" w:cs="Times New Roman"/>
                <w:color w:val="auto"/>
                <w:szCs w:val="21"/>
              </w:rPr>
            </w:pPr>
            <w:r>
              <w:rPr>
                <w:rFonts w:eastAsia="等线" w:cs="Times New Roman"/>
                <w:color w:val="auto"/>
                <w:szCs w:val="21"/>
              </w:rPr>
              <w:t>79</w:t>
            </w:r>
          </w:p>
        </w:tc>
        <w:tc>
          <w:tcPr>
            <w:tcW w:w="339" w:type="pct"/>
            <w:tcBorders>
              <w:tl2br w:val="nil"/>
              <w:tr2bl w:val="nil"/>
            </w:tcBorders>
            <w:shd w:val="clear" w:color="auto" w:fill="auto"/>
            <w:tcMar>
              <w:left w:w="28" w:type="dxa"/>
              <w:right w:w="28" w:type="dxa"/>
            </w:tcMar>
            <w:vAlign w:val="center"/>
          </w:tcPr>
          <w:p w14:paraId="78F03EA1">
            <w:pPr>
              <w:pStyle w:val="714"/>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0A03DDB4">
            <w:pPr>
              <w:pStyle w:val="714"/>
              <w:rPr>
                <w:rFonts w:eastAsia="等线" w:cs="Times New Roman"/>
                <w:color w:val="auto"/>
                <w:szCs w:val="21"/>
              </w:rPr>
            </w:pPr>
            <w:r>
              <w:rPr>
                <w:rFonts w:eastAsia="等线" w:cs="Times New Roman"/>
                <w:color w:val="auto"/>
                <w:szCs w:val="21"/>
              </w:rPr>
              <w:t>104</w:t>
            </w:r>
          </w:p>
        </w:tc>
        <w:tc>
          <w:tcPr>
            <w:tcW w:w="822" w:type="pct"/>
            <w:tcBorders>
              <w:tl2br w:val="nil"/>
              <w:tr2bl w:val="nil"/>
            </w:tcBorders>
            <w:shd w:val="clear" w:color="auto" w:fill="auto"/>
            <w:noWrap/>
            <w:tcMar>
              <w:left w:w="28" w:type="dxa"/>
              <w:right w:w="28" w:type="dxa"/>
            </w:tcMar>
            <w:vAlign w:val="center"/>
          </w:tcPr>
          <w:p w14:paraId="1B370E7F">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36F9B7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1DEA254C">
            <w:pPr>
              <w:pStyle w:val="714"/>
              <w:rPr>
                <w:color w:val="auto"/>
              </w:rPr>
            </w:pPr>
            <w:r>
              <w:rPr>
                <w:rFonts w:hint="eastAsia"/>
                <w:color w:val="auto"/>
              </w:rPr>
              <w:t>6#</w:t>
            </w:r>
          </w:p>
        </w:tc>
        <w:tc>
          <w:tcPr>
            <w:tcW w:w="435" w:type="pct"/>
            <w:tcBorders>
              <w:tl2br w:val="nil"/>
              <w:tr2bl w:val="nil"/>
            </w:tcBorders>
            <w:shd w:val="clear" w:color="auto" w:fill="auto"/>
            <w:tcMar>
              <w:left w:w="28" w:type="dxa"/>
              <w:right w:w="28" w:type="dxa"/>
            </w:tcMar>
            <w:vAlign w:val="center"/>
          </w:tcPr>
          <w:p w14:paraId="4469BC2C">
            <w:pPr>
              <w:pStyle w:val="714"/>
              <w:rPr>
                <w:rFonts w:eastAsia="等线" w:cs="Times New Roman"/>
                <w:color w:val="auto"/>
                <w:szCs w:val="21"/>
              </w:rPr>
            </w:pPr>
            <w:r>
              <w:rPr>
                <w:rFonts w:eastAsia="等线" w:cs="Times New Roman"/>
                <w:color w:val="auto"/>
                <w:szCs w:val="21"/>
              </w:rPr>
              <w:t>7</w:t>
            </w:r>
          </w:p>
        </w:tc>
        <w:tc>
          <w:tcPr>
            <w:tcW w:w="312" w:type="pct"/>
            <w:tcBorders>
              <w:tl2br w:val="nil"/>
              <w:tr2bl w:val="nil"/>
            </w:tcBorders>
            <w:shd w:val="clear" w:color="auto" w:fill="auto"/>
            <w:tcMar>
              <w:left w:w="28" w:type="dxa"/>
              <w:right w:w="28" w:type="dxa"/>
            </w:tcMar>
            <w:vAlign w:val="center"/>
          </w:tcPr>
          <w:p w14:paraId="4A147179">
            <w:pPr>
              <w:pStyle w:val="714"/>
              <w:rPr>
                <w:rFonts w:eastAsia="等线" w:cs="Times New Roman"/>
                <w:color w:val="auto"/>
                <w:szCs w:val="21"/>
              </w:rPr>
            </w:pPr>
            <w:r>
              <w:rPr>
                <w:rFonts w:eastAsia="等线" w:cs="Times New Roman"/>
                <w:color w:val="auto"/>
                <w:szCs w:val="21"/>
              </w:rPr>
              <w:t>29.6</w:t>
            </w:r>
          </w:p>
        </w:tc>
        <w:tc>
          <w:tcPr>
            <w:tcW w:w="305" w:type="pct"/>
            <w:tcBorders>
              <w:tl2br w:val="nil"/>
              <w:tr2bl w:val="nil"/>
            </w:tcBorders>
            <w:shd w:val="clear" w:color="auto" w:fill="auto"/>
            <w:tcMar>
              <w:left w:w="28" w:type="dxa"/>
              <w:right w:w="28" w:type="dxa"/>
            </w:tcMar>
            <w:vAlign w:val="center"/>
          </w:tcPr>
          <w:p w14:paraId="4BDF202E">
            <w:pPr>
              <w:pStyle w:val="714"/>
              <w:rPr>
                <w:rFonts w:eastAsia="等线" w:cs="Times New Roman"/>
                <w:color w:val="auto"/>
                <w:szCs w:val="21"/>
              </w:rPr>
            </w:pPr>
            <w:r>
              <w:rPr>
                <w:rFonts w:eastAsia="等线" w:cs="Times New Roman"/>
                <w:color w:val="auto"/>
                <w:szCs w:val="21"/>
              </w:rPr>
              <w:t>48.9</w:t>
            </w:r>
          </w:p>
        </w:tc>
        <w:tc>
          <w:tcPr>
            <w:tcW w:w="344" w:type="pct"/>
            <w:tcBorders>
              <w:tl2br w:val="nil"/>
              <w:tr2bl w:val="nil"/>
            </w:tcBorders>
            <w:shd w:val="clear" w:color="auto" w:fill="auto"/>
            <w:tcMar>
              <w:left w:w="28" w:type="dxa"/>
              <w:right w:w="28" w:type="dxa"/>
            </w:tcMar>
            <w:vAlign w:val="center"/>
          </w:tcPr>
          <w:p w14:paraId="5AC4E8F6">
            <w:pPr>
              <w:pStyle w:val="714"/>
              <w:rPr>
                <w:rFonts w:eastAsia="等线" w:cs="Times New Roman"/>
                <w:color w:val="auto"/>
                <w:szCs w:val="21"/>
              </w:rPr>
            </w:pPr>
            <w:r>
              <w:rPr>
                <w:rFonts w:eastAsia="等线" w:cs="Times New Roman"/>
                <w:color w:val="auto"/>
                <w:szCs w:val="21"/>
              </w:rPr>
              <w:t>84.7</w:t>
            </w:r>
          </w:p>
        </w:tc>
        <w:tc>
          <w:tcPr>
            <w:tcW w:w="344" w:type="pct"/>
            <w:tcBorders>
              <w:tl2br w:val="nil"/>
              <w:tr2bl w:val="nil"/>
            </w:tcBorders>
            <w:shd w:val="clear" w:color="auto" w:fill="auto"/>
            <w:tcMar>
              <w:left w:w="28" w:type="dxa"/>
              <w:right w:w="28" w:type="dxa"/>
            </w:tcMar>
            <w:vAlign w:val="center"/>
          </w:tcPr>
          <w:p w14:paraId="691EF6DA">
            <w:pPr>
              <w:pStyle w:val="714"/>
              <w:rPr>
                <w:rFonts w:eastAsia="等线" w:cs="Times New Roman"/>
                <w:color w:val="auto"/>
                <w:szCs w:val="21"/>
              </w:rPr>
            </w:pPr>
            <w:r>
              <w:rPr>
                <w:rFonts w:eastAsia="等线" w:cs="Times New Roman"/>
                <w:color w:val="auto"/>
                <w:szCs w:val="21"/>
              </w:rPr>
              <w:t>31.7</w:t>
            </w:r>
          </w:p>
        </w:tc>
        <w:tc>
          <w:tcPr>
            <w:tcW w:w="409" w:type="pct"/>
            <w:tcBorders>
              <w:tl2br w:val="nil"/>
              <w:tr2bl w:val="nil"/>
            </w:tcBorders>
            <w:shd w:val="clear" w:color="auto" w:fill="auto"/>
            <w:tcMar>
              <w:left w:w="28" w:type="dxa"/>
              <w:right w:w="28" w:type="dxa"/>
            </w:tcMar>
            <w:vAlign w:val="center"/>
          </w:tcPr>
          <w:p w14:paraId="020326BB">
            <w:pPr>
              <w:pStyle w:val="714"/>
              <w:rPr>
                <w:rFonts w:eastAsia="等线" w:cs="Times New Roman"/>
                <w:color w:val="auto"/>
                <w:szCs w:val="21"/>
              </w:rPr>
            </w:pPr>
            <w:r>
              <w:rPr>
                <w:rFonts w:eastAsia="等线" w:cs="Times New Roman"/>
                <w:color w:val="auto"/>
                <w:szCs w:val="21"/>
              </w:rPr>
              <w:t>49.8</w:t>
            </w:r>
          </w:p>
        </w:tc>
        <w:tc>
          <w:tcPr>
            <w:tcW w:w="409" w:type="pct"/>
            <w:tcBorders>
              <w:tl2br w:val="nil"/>
              <w:tr2bl w:val="nil"/>
            </w:tcBorders>
            <w:shd w:val="clear" w:color="auto" w:fill="auto"/>
            <w:tcMar>
              <w:left w:w="28" w:type="dxa"/>
              <w:right w:w="28" w:type="dxa"/>
            </w:tcMar>
            <w:vAlign w:val="center"/>
          </w:tcPr>
          <w:p w14:paraId="7215E985">
            <w:pPr>
              <w:pStyle w:val="714"/>
              <w:rPr>
                <w:rFonts w:eastAsia="等线" w:cs="Times New Roman"/>
                <w:color w:val="auto"/>
                <w:szCs w:val="21"/>
              </w:rPr>
            </w:pPr>
            <w:r>
              <w:rPr>
                <w:rFonts w:eastAsia="等线" w:cs="Times New Roman"/>
                <w:color w:val="auto"/>
                <w:szCs w:val="21"/>
              </w:rPr>
              <w:t>38.5</w:t>
            </w:r>
          </w:p>
        </w:tc>
        <w:tc>
          <w:tcPr>
            <w:tcW w:w="581" w:type="pct"/>
            <w:tcBorders>
              <w:tl2br w:val="nil"/>
              <w:tr2bl w:val="nil"/>
            </w:tcBorders>
            <w:shd w:val="clear" w:color="auto" w:fill="auto"/>
            <w:tcMar>
              <w:left w:w="28" w:type="dxa"/>
              <w:right w:w="28" w:type="dxa"/>
            </w:tcMar>
            <w:vAlign w:val="center"/>
          </w:tcPr>
          <w:p w14:paraId="25BD296A">
            <w:pPr>
              <w:pStyle w:val="714"/>
              <w:rPr>
                <w:rFonts w:eastAsia="等线" w:cs="Times New Roman"/>
                <w:color w:val="auto"/>
                <w:szCs w:val="21"/>
              </w:rPr>
            </w:pPr>
            <w:r>
              <w:rPr>
                <w:rFonts w:eastAsia="等线" w:cs="Times New Roman"/>
                <w:color w:val="auto"/>
                <w:szCs w:val="21"/>
              </w:rPr>
              <w:t>427</w:t>
            </w:r>
          </w:p>
        </w:tc>
        <w:tc>
          <w:tcPr>
            <w:tcW w:w="339" w:type="pct"/>
            <w:tcBorders>
              <w:tl2br w:val="nil"/>
              <w:tr2bl w:val="nil"/>
            </w:tcBorders>
            <w:shd w:val="clear" w:color="auto" w:fill="auto"/>
            <w:tcMar>
              <w:left w:w="28" w:type="dxa"/>
              <w:right w:w="28" w:type="dxa"/>
            </w:tcMar>
            <w:vAlign w:val="center"/>
          </w:tcPr>
          <w:p w14:paraId="53AF36C5">
            <w:pPr>
              <w:pStyle w:val="714"/>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6C8D60BE">
            <w:pPr>
              <w:pStyle w:val="714"/>
              <w:rPr>
                <w:rFonts w:eastAsia="等线" w:cs="Times New Roman"/>
                <w:color w:val="auto"/>
                <w:szCs w:val="21"/>
              </w:rPr>
            </w:pPr>
            <w:r>
              <w:rPr>
                <w:rFonts w:eastAsia="等线" w:cs="Times New Roman"/>
                <w:color w:val="auto"/>
                <w:szCs w:val="21"/>
              </w:rPr>
              <w:t>533</w:t>
            </w:r>
          </w:p>
        </w:tc>
        <w:tc>
          <w:tcPr>
            <w:tcW w:w="822" w:type="pct"/>
            <w:tcBorders>
              <w:tl2br w:val="nil"/>
              <w:tr2bl w:val="nil"/>
            </w:tcBorders>
            <w:shd w:val="clear" w:color="auto" w:fill="auto"/>
            <w:noWrap/>
            <w:tcMar>
              <w:left w:w="28" w:type="dxa"/>
              <w:right w:w="28" w:type="dxa"/>
            </w:tcMar>
            <w:vAlign w:val="center"/>
          </w:tcPr>
          <w:p w14:paraId="15804158">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7399B9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3E9F946B">
            <w:pPr>
              <w:pStyle w:val="714"/>
              <w:rPr>
                <w:color w:val="auto"/>
              </w:rPr>
            </w:pPr>
            <w:r>
              <w:rPr>
                <w:rFonts w:hint="eastAsia"/>
                <w:color w:val="auto"/>
              </w:rPr>
              <w:t>7#</w:t>
            </w:r>
          </w:p>
        </w:tc>
        <w:tc>
          <w:tcPr>
            <w:tcW w:w="435" w:type="pct"/>
            <w:tcBorders>
              <w:tl2br w:val="nil"/>
              <w:tr2bl w:val="nil"/>
            </w:tcBorders>
            <w:shd w:val="clear" w:color="auto" w:fill="auto"/>
            <w:tcMar>
              <w:left w:w="28" w:type="dxa"/>
              <w:right w:w="28" w:type="dxa"/>
            </w:tcMar>
            <w:vAlign w:val="center"/>
          </w:tcPr>
          <w:p w14:paraId="1C43FC77">
            <w:pPr>
              <w:pStyle w:val="714"/>
              <w:rPr>
                <w:rFonts w:eastAsia="等线" w:cs="Times New Roman"/>
                <w:color w:val="auto"/>
                <w:szCs w:val="21"/>
              </w:rPr>
            </w:pPr>
            <w:r>
              <w:rPr>
                <w:rFonts w:eastAsia="等线" w:cs="Times New Roman"/>
                <w:color w:val="auto"/>
                <w:szCs w:val="21"/>
              </w:rPr>
              <w:t>7</w:t>
            </w:r>
          </w:p>
        </w:tc>
        <w:tc>
          <w:tcPr>
            <w:tcW w:w="312" w:type="pct"/>
            <w:tcBorders>
              <w:tl2br w:val="nil"/>
              <w:tr2bl w:val="nil"/>
            </w:tcBorders>
            <w:shd w:val="clear" w:color="auto" w:fill="auto"/>
            <w:tcMar>
              <w:left w:w="28" w:type="dxa"/>
              <w:right w:w="28" w:type="dxa"/>
            </w:tcMar>
            <w:vAlign w:val="center"/>
          </w:tcPr>
          <w:p w14:paraId="45995113">
            <w:pPr>
              <w:pStyle w:val="714"/>
              <w:rPr>
                <w:rFonts w:eastAsia="等线" w:cs="Times New Roman"/>
                <w:color w:val="auto"/>
                <w:szCs w:val="21"/>
              </w:rPr>
            </w:pPr>
            <w:r>
              <w:rPr>
                <w:rFonts w:eastAsia="等线" w:cs="Times New Roman"/>
                <w:color w:val="auto"/>
                <w:szCs w:val="21"/>
              </w:rPr>
              <w:t>7.12</w:t>
            </w:r>
          </w:p>
        </w:tc>
        <w:tc>
          <w:tcPr>
            <w:tcW w:w="305" w:type="pct"/>
            <w:tcBorders>
              <w:tl2br w:val="nil"/>
              <w:tr2bl w:val="nil"/>
            </w:tcBorders>
            <w:shd w:val="clear" w:color="auto" w:fill="auto"/>
            <w:tcMar>
              <w:left w:w="28" w:type="dxa"/>
              <w:right w:w="28" w:type="dxa"/>
            </w:tcMar>
            <w:vAlign w:val="center"/>
          </w:tcPr>
          <w:p w14:paraId="1A65E4A1">
            <w:pPr>
              <w:pStyle w:val="714"/>
              <w:rPr>
                <w:rFonts w:eastAsia="等线" w:cs="Times New Roman"/>
                <w:color w:val="auto"/>
                <w:szCs w:val="21"/>
              </w:rPr>
            </w:pPr>
            <w:r>
              <w:rPr>
                <w:rFonts w:eastAsia="等线" w:cs="Times New Roman"/>
                <w:color w:val="auto"/>
                <w:szCs w:val="21"/>
              </w:rPr>
              <w:t>19.7</w:t>
            </w:r>
          </w:p>
        </w:tc>
        <w:tc>
          <w:tcPr>
            <w:tcW w:w="344" w:type="pct"/>
            <w:tcBorders>
              <w:tl2br w:val="nil"/>
              <w:tr2bl w:val="nil"/>
            </w:tcBorders>
            <w:shd w:val="clear" w:color="auto" w:fill="auto"/>
            <w:tcMar>
              <w:left w:w="28" w:type="dxa"/>
              <w:right w:w="28" w:type="dxa"/>
            </w:tcMar>
            <w:vAlign w:val="center"/>
          </w:tcPr>
          <w:p w14:paraId="4C1491F4">
            <w:pPr>
              <w:pStyle w:val="714"/>
              <w:rPr>
                <w:rFonts w:eastAsia="等线" w:cs="Times New Roman"/>
                <w:color w:val="auto"/>
                <w:szCs w:val="21"/>
              </w:rPr>
            </w:pPr>
            <w:r>
              <w:rPr>
                <w:rFonts w:eastAsia="等线" w:cs="Times New Roman"/>
                <w:color w:val="auto"/>
                <w:szCs w:val="21"/>
              </w:rPr>
              <w:t>53.7</w:t>
            </w:r>
          </w:p>
        </w:tc>
        <w:tc>
          <w:tcPr>
            <w:tcW w:w="344" w:type="pct"/>
            <w:tcBorders>
              <w:tl2br w:val="nil"/>
              <w:tr2bl w:val="nil"/>
            </w:tcBorders>
            <w:shd w:val="clear" w:color="auto" w:fill="auto"/>
            <w:tcMar>
              <w:left w:w="28" w:type="dxa"/>
              <w:right w:w="28" w:type="dxa"/>
            </w:tcMar>
            <w:vAlign w:val="center"/>
          </w:tcPr>
          <w:p w14:paraId="45CF895E">
            <w:pPr>
              <w:pStyle w:val="714"/>
              <w:rPr>
                <w:rFonts w:eastAsia="等线" w:cs="Times New Roman"/>
                <w:color w:val="auto"/>
                <w:szCs w:val="21"/>
              </w:rPr>
            </w:pPr>
            <w:r>
              <w:rPr>
                <w:rFonts w:eastAsia="等线" w:cs="Times New Roman"/>
                <w:color w:val="auto"/>
                <w:szCs w:val="21"/>
              </w:rPr>
              <w:t>16.5</w:t>
            </w:r>
          </w:p>
        </w:tc>
        <w:tc>
          <w:tcPr>
            <w:tcW w:w="409" w:type="pct"/>
            <w:tcBorders>
              <w:tl2br w:val="nil"/>
              <w:tr2bl w:val="nil"/>
            </w:tcBorders>
            <w:shd w:val="clear" w:color="auto" w:fill="auto"/>
            <w:tcMar>
              <w:left w:w="28" w:type="dxa"/>
              <w:right w:w="28" w:type="dxa"/>
            </w:tcMar>
            <w:vAlign w:val="center"/>
          </w:tcPr>
          <w:p w14:paraId="1A434725">
            <w:pPr>
              <w:pStyle w:val="714"/>
              <w:rPr>
                <w:rFonts w:eastAsia="等线" w:cs="Times New Roman"/>
                <w:color w:val="auto"/>
                <w:szCs w:val="21"/>
              </w:rPr>
            </w:pPr>
            <w:r>
              <w:rPr>
                <w:rFonts w:eastAsia="等线" w:cs="Times New Roman"/>
                <w:color w:val="auto"/>
                <w:szCs w:val="21"/>
              </w:rPr>
              <w:t>12.3</w:t>
            </w:r>
          </w:p>
        </w:tc>
        <w:tc>
          <w:tcPr>
            <w:tcW w:w="409" w:type="pct"/>
            <w:tcBorders>
              <w:tl2br w:val="nil"/>
              <w:tr2bl w:val="nil"/>
            </w:tcBorders>
            <w:shd w:val="clear" w:color="auto" w:fill="auto"/>
            <w:tcMar>
              <w:left w:w="28" w:type="dxa"/>
              <w:right w:w="28" w:type="dxa"/>
            </w:tcMar>
            <w:vAlign w:val="center"/>
          </w:tcPr>
          <w:p w14:paraId="4813F559">
            <w:pPr>
              <w:pStyle w:val="714"/>
              <w:rPr>
                <w:rFonts w:eastAsia="等线" w:cs="Times New Roman"/>
                <w:color w:val="auto"/>
                <w:szCs w:val="21"/>
              </w:rPr>
            </w:pPr>
            <w:r>
              <w:rPr>
                <w:rFonts w:eastAsia="等线" w:cs="Times New Roman"/>
                <w:color w:val="auto"/>
                <w:szCs w:val="21"/>
              </w:rPr>
              <w:t>14.9</w:t>
            </w:r>
          </w:p>
        </w:tc>
        <w:tc>
          <w:tcPr>
            <w:tcW w:w="581" w:type="pct"/>
            <w:tcBorders>
              <w:tl2br w:val="nil"/>
              <w:tr2bl w:val="nil"/>
            </w:tcBorders>
            <w:shd w:val="clear" w:color="auto" w:fill="auto"/>
            <w:tcMar>
              <w:left w:w="28" w:type="dxa"/>
              <w:right w:w="28" w:type="dxa"/>
            </w:tcMar>
            <w:vAlign w:val="center"/>
          </w:tcPr>
          <w:p w14:paraId="2D2B83AD">
            <w:pPr>
              <w:pStyle w:val="714"/>
              <w:rPr>
                <w:rFonts w:eastAsia="等线" w:cs="Times New Roman"/>
                <w:color w:val="auto"/>
                <w:szCs w:val="21"/>
              </w:rPr>
            </w:pPr>
            <w:r>
              <w:rPr>
                <w:rFonts w:eastAsia="等线" w:cs="Times New Roman"/>
                <w:color w:val="auto"/>
                <w:szCs w:val="21"/>
              </w:rPr>
              <w:t>252</w:t>
            </w:r>
          </w:p>
        </w:tc>
        <w:tc>
          <w:tcPr>
            <w:tcW w:w="339" w:type="pct"/>
            <w:tcBorders>
              <w:tl2br w:val="nil"/>
              <w:tr2bl w:val="nil"/>
            </w:tcBorders>
            <w:shd w:val="clear" w:color="auto" w:fill="auto"/>
            <w:tcMar>
              <w:left w:w="28" w:type="dxa"/>
              <w:right w:w="28" w:type="dxa"/>
            </w:tcMar>
            <w:vAlign w:val="center"/>
          </w:tcPr>
          <w:p w14:paraId="5288334D">
            <w:pPr>
              <w:pStyle w:val="714"/>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60633A74">
            <w:pPr>
              <w:pStyle w:val="714"/>
              <w:rPr>
                <w:rFonts w:eastAsia="等线" w:cs="Times New Roman"/>
                <w:color w:val="auto"/>
                <w:szCs w:val="21"/>
              </w:rPr>
            </w:pPr>
            <w:r>
              <w:rPr>
                <w:rFonts w:eastAsia="等线" w:cs="Times New Roman"/>
                <w:color w:val="auto"/>
                <w:szCs w:val="21"/>
              </w:rPr>
              <w:t>270</w:t>
            </w:r>
          </w:p>
        </w:tc>
        <w:tc>
          <w:tcPr>
            <w:tcW w:w="822" w:type="pct"/>
            <w:tcBorders>
              <w:tl2br w:val="nil"/>
              <w:tr2bl w:val="nil"/>
            </w:tcBorders>
            <w:shd w:val="clear" w:color="auto" w:fill="auto"/>
            <w:noWrap/>
            <w:tcMar>
              <w:left w:w="28" w:type="dxa"/>
              <w:right w:w="28" w:type="dxa"/>
            </w:tcMar>
            <w:vAlign w:val="center"/>
          </w:tcPr>
          <w:p w14:paraId="288EF10B">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bl>
    <w:p w14:paraId="321F50A7">
      <w:pPr>
        <w:pStyle w:val="714"/>
        <w:rPr>
          <w:rFonts w:cs="Times New Roman"/>
          <w:snapToGrid w:val="0"/>
          <w:color w:val="auto"/>
        </w:rPr>
      </w:pPr>
      <w:r>
        <w:rPr>
          <w:rFonts w:cs="Times New Roman"/>
          <w:color w:val="auto"/>
        </w:rPr>
        <w:drawing>
          <wp:inline distT="0" distB="0" distL="0" distR="0">
            <wp:extent cx="4688840" cy="4086860"/>
            <wp:effectExtent l="0" t="0" r="16510" b="8890"/>
            <wp:docPr id="2309848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84830" name="图片 12"/>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694218" cy="4091628"/>
                    </a:xfrm>
                    <a:prstGeom prst="rect">
                      <a:avLst/>
                    </a:prstGeom>
                  </pic:spPr>
                </pic:pic>
              </a:graphicData>
            </a:graphic>
          </wp:inline>
        </w:drawing>
      </w:r>
    </w:p>
    <w:p w14:paraId="1883DA39">
      <w:pPr>
        <w:pStyle w:val="713"/>
        <w:rPr>
          <w:rFonts w:cs="Times New Roman"/>
          <w:color w:val="auto"/>
        </w:rPr>
      </w:pPr>
      <w:r>
        <w:rPr>
          <w:rFonts w:cs="Times New Roman"/>
          <w:color w:val="auto"/>
        </w:rPr>
        <w:t>图</w:t>
      </w:r>
      <w:r>
        <w:rPr>
          <w:rFonts w:hint="eastAsia" w:cs="Times New Roman"/>
          <w:color w:val="auto"/>
          <w:lang w:val="en-US" w:eastAsia="zh-CN"/>
        </w:rPr>
        <w:t>3.1</w:t>
      </w:r>
      <w:r>
        <w:rPr>
          <w:rFonts w:cs="Times New Roman"/>
          <w:color w:val="auto"/>
        </w:rPr>
        <w:t>-</w:t>
      </w:r>
      <w:r>
        <w:rPr>
          <w:rFonts w:hint="eastAsia" w:cs="Times New Roman"/>
          <w:color w:val="auto"/>
          <w:lang w:val="en-US" w:eastAsia="zh-CN"/>
        </w:rPr>
        <w:t>1</w:t>
      </w:r>
      <w:r>
        <w:rPr>
          <w:rFonts w:cs="Times New Roman"/>
          <w:color w:val="auto"/>
        </w:rPr>
        <w:t xml:space="preserve">  水化学piper三线图</w:t>
      </w:r>
    </w:p>
    <w:p w14:paraId="7DD72559">
      <w:pPr>
        <w:pStyle w:val="5"/>
        <w:bidi w:val="0"/>
        <w:rPr>
          <w:rFonts w:hint="default"/>
          <w:color w:val="auto"/>
          <w:lang w:val="en-US" w:eastAsia="zh-CN"/>
        </w:rPr>
      </w:pPr>
      <w:r>
        <w:rPr>
          <w:rFonts w:hint="eastAsia"/>
          <w:color w:val="auto"/>
          <w:lang w:val="en-US" w:eastAsia="zh-CN"/>
        </w:rPr>
        <w:t xml:space="preserve"> 自然资源</w:t>
      </w:r>
    </w:p>
    <w:p w14:paraId="0F4B40EA">
      <w:pPr>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kern w:val="0"/>
          <w:sz w:val="24"/>
          <w:szCs w:val="24"/>
          <w:highlight w:val="none"/>
          <w:lang w:val="en-US" w:eastAsia="zh-CN" w:bidi="ar"/>
        </w:rPr>
      </w:pPr>
      <w:r>
        <w:rPr>
          <w:rFonts w:hint="eastAsia" w:ascii="Times New Roman" w:hAnsi="Times New Roman" w:cs="Times New Roman"/>
          <w:b/>
          <w:bCs/>
          <w:color w:val="auto"/>
          <w:kern w:val="0"/>
          <w:sz w:val="24"/>
          <w:szCs w:val="24"/>
          <w:highlight w:val="none"/>
          <w:lang w:val="en-US" w:eastAsia="zh-CN" w:bidi="ar"/>
        </w:rPr>
        <w:t>1、</w:t>
      </w:r>
      <w:r>
        <w:rPr>
          <w:rFonts w:hint="default" w:ascii="Times New Roman" w:hAnsi="Times New Roman" w:eastAsia="宋体" w:cs="Times New Roman"/>
          <w:b/>
          <w:bCs/>
          <w:color w:val="auto"/>
          <w:kern w:val="0"/>
          <w:sz w:val="24"/>
          <w:szCs w:val="24"/>
          <w:highlight w:val="none"/>
          <w:lang w:val="en-US" w:eastAsia="zh-CN" w:bidi="ar"/>
        </w:rPr>
        <w:t>动植物资源</w:t>
      </w:r>
    </w:p>
    <w:p w14:paraId="49D31686">
      <w:pPr>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植物资源：境域植物资源丰富，尤以北部为最，计有乔、灌木308种，草、藤本421种，源于植物的中草药（含家种、野生，根、茎、叶、花、果）1386种。乔、灌木林区多分布在北部山地，中部、南部亦零星分布。中药材资源最多的是通江、南江两县；牧草资源遍及境域。境域中部和南部森林层次结构不明显，林相单纯，林下伴生马桑、黄荆、沙棘藤蔓、杜鹃等植物；北部森林成片的较多，但因砍伐过度，曾使森林面</w:t>
      </w:r>
      <w:r>
        <w:rPr>
          <w:rFonts w:hint="eastAsia" w:ascii="宋体" w:hAnsi="宋体" w:eastAsia="宋体" w:cs="宋体"/>
          <w:color w:val="auto"/>
          <w:kern w:val="0"/>
          <w:sz w:val="24"/>
          <w:szCs w:val="24"/>
          <w:highlight w:val="none"/>
          <w:lang w:val="en-US" w:eastAsia="zh-CN" w:bidi="ar"/>
        </w:rPr>
        <w:t>积锐减，后经</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停耕还林、还草</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等</w:t>
      </w:r>
      <w:r>
        <w:rPr>
          <w:rFonts w:hint="default" w:ascii="Times New Roman" w:hAnsi="Times New Roman" w:eastAsia="宋体" w:cs="Times New Roman"/>
          <w:color w:val="auto"/>
          <w:kern w:val="0"/>
          <w:sz w:val="24"/>
          <w:szCs w:val="24"/>
          <w:highlight w:val="none"/>
          <w:lang w:val="en-US" w:eastAsia="zh-CN" w:bidi="ar"/>
        </w:rPr>
        <w:t>政策的落实，现正处于恢复阶段。</w:t>
      </w:r>
    </w:p>
    <w:p w14:paraId="74966F51">
      <w:pPr>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森林植被主要为常绿落叶阔叶混交林、针叶林、竹林和灌丛林，植物种类繁多，种子植物近3000种，乔灌木有300多种，其中包括一些珍稀树木，如：银杏、三尖杉、红豆、巴山松、巴山水青杠。</w:t>
      </w:r>
    </w:p>
    <w:p w14:paraId="02D7CCA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动物资源：全市家养动物有生猪、黄牛、水牛、火羊、南江黄羊、各类鸡、各类鸭、鹅、马、驴、蜂、蚕、犬、猫、各类兔等。野生动物多分布在森林密布的北部，中、南部很少。近代，在森林面积逐年减少、猎杀频繁、酷捞滥捕的情况下，境内动物资源遭到破坏。虎、豹濒于绝迹，珍稀动物遗留不多，</w:t>
      </w:r>
      <w:r>
        <w:rPr>
          <w:rFonts w:hint="eastAsia" w:cs="Times New Roman"/>
          <w:color w:val="auto"/>
          <w:kern w:val="0"/>
          <w:sz w:val="24"/>
          <w:szCs w:val="24"/>
          <w:highlight w:val="none"/>
          <w:lang w:val="en-US" w:eastAsia="zh-CN" w:bidi="ar"/>
        </w:rPr>
        <w:t>其他</w:t>
      </w:r>
      <w:r>
        <w:rPr>
          <w:rFonts w:hint="default" w:ascii="Times New Roman" w:hAnsi="Times New Roman" w:eastAsia="宋体" w:cs="Times New Roman"/>
          <w:color w:val="auto"/>
          <w:kern w:val="0"/>
          <w:sz w:val="24"/>
          <w:szCs w:val="24"/>
          <w:highlight w:val="none"/>
          <w:lang w:val="en-US" w:eastAsia="zh-CN" w:bidi="ar"/>
        </w:rPr>
        <w:t>动物逐年减少。经20世纪80年代调查，境内北部共有野生动物670种，其中鱼类4目、11科、44属、47种；两栖类2目、7科、9属、20种；爬行类3目、7科、14属、21种；鸟类16目、41科、120属、176种；兽类7目、21科、52属、67种；昆虫类50科、170种；</w:t>
      </w:r>
      <w:r>
        <w:rPr>
          <w:rFonts w:hint="eastAsia" w:cs="Times New Roman"/>
          <w:color w:val="auto"/>
          <w:kern w:val="0"/>
          <w:sz w:val="24"/>
          <w:szCs w:val="24"/>
          <w:highlight w:val="none"/>
          <w:lang w:val="en-US" w:eastAsia="zh-CN" w:bidi="ar"/>
        </w:rPr>
        <w:t>其他</w:t>
      </w:r>
      <w:r>
        <w:rPr>
          <w:rFonts w:hint="default" w:ascii="Times New Roman" w:hAnsi="Times New Roman" w:eastAsia="宋体" w:cs="Times New Roman"/>
          <w:color w:val="auto"/>
          <w:kern w:val="0"/>
          <w:sz w:val="24"/>
          <w:szCs w:val="24"/>
          <w:highlight w:val="none"/>
          <w:lang w:val="en-US" w:eastAsia="zh-CN" w:bidi="ar"/>
        </w:rPr>
        <w:t>类169种。中南部地区尚存野生动物290余种，其中兽类22种，禽类49种，水族及两栖爬行类43种，昆虫类170余种。稀树灌丛草坡和乔灌木林等次生林及水稻、甘蔗、玉米等经济作物。</w:t>
      </w:r>
    </w:p>
    <w:p w14:paraId="1E958581">
      <w:pPr>
        <w:pageBreakBefore w:val="0"/>
        <w:widowControl w:val="0"/>
        <w:kinsoku/>
        <w:wordWrap/>
        <w:overflowPunct/>
        <w:topLinePunct w:val="0"/>
        <w:autoSpaceDE/>
        <w:autoSpaceDN/>
        <w:bidi w:val="0"/>
        <w:adjustRightInd/>
        <w:snapToGrid/>
        <w:textAlignment w:val="auto"/>
        <w:rPr>
          <w:rFonts w:hint="default"/>
          <w:b/>
          <w:bCs/>
          <w:color w:val="auto"/>
          <w:highlight w:val="none"/>
          <w:lang w:val="en-US" w:eastAsia="zh-CN"/>
        </w:rPr>
      </w:pPr>
      <w:r>
        <w:rPr>
          <w:rFonts w:hint="default"/>
          <w:b/>
          <w:bCs/>
          <w:color w:val="auto"/>
          <w:highlight w:val="none"/>
          <w:lang w:val="en-US" w:eastAsia="zh-CN"/>
        </w:rPr>
        <w:t>经现场踏勘，项目评价区域内未发现古大珍奇树木分布，无需保护的珍稀野生动植物分布。</w:t>
      </w:r>
    </w:p>
    <w:p w14:paraId="08CFA099">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kern w:val="0"/>
          <w:sz w:val="24"/>
          <w:szCs w:val="24"/>
          <w:highlight w:val="none"/>
          <w:lang w:val="en-US" w:eastAsia="zh-CN" w:bidi="ar"/>
        </w:rPr>
      </w:pPr>
      <w:r>
        <w:rPr>
          <w:rFonts w:hint="eastAsia" w:ascii="Times New Roman" w:hAnsi="Times New Roman" w:cs="Times New Roman"/>
          <w:b/>
          <w:bCs/>
          <w:color w:val="auto"/>
          <w:kern w:val="0"/>
          <w:sz w:val="24"/>
          <w:szCs w:val="24"/>
          <w:highlight w:val="none"/>
          <w:lang w:val="en-US" w:eastAsia="zh-CN" w:bidi="ar"/>
        </w:rPr>
        <w:t>2、</w:t>
      </w:r>
      <w:r>
        <w:rPr>
          <w:rFonts w:hint="default" w:ascii="Times New Roman" w:hAnsi="Times New Roman" w:eastAsia="宋体" w:cs="Times New Roman"/>
          <w:b/>
          <w:bCs/>
          <w:color w:val="auto"/>
          <w:kern w:val="0"/>
          <w:sz w:val="24"/>
          <w:szCs w:val="24"/>
          <w:highlight w:val="none"/>
          <w:lang w:val="en-US" w:eastAsia="zh-CN" w:bidi="ar"/>
        </w:rPr>
        <w:t>矿产资源</w:t>
      </w:r>
    </w:p>
    <w:p w14:paraId="236EC0F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巴中市矿产资源较为丰富，其分布趋势是北富南贫，南江县最多，被誉为</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地下百宝箱</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，通江县次之，巴州区、平昌县有少量发现。已探明的矿藏种类有铁、铝、钒、钛、钴、铜、铅、锌、钼、锡、金、银等金属矿，有煤、石油、</w:t>
      </w:r>
      <w:r>
        <w:rPr>
          <w:rFonts w:hint="eastAsia" w:cs="Times New Roman"/>
          <w:color w:val="auto"/>
          <w:kern w:val="0"/>
          <w:sz w:val="24"/>
          <w:szCs w:val="24"/>
          <w:highlight w:val="none"/>
          <w:lang w:val="en-US" w:eastAsia="zh-CN" w:bidi="ar"/>
        </w:rPr>
        <w:t>天然气</w:t>
      </w:r>
      <w:r>
        <w:rPr>
          <w:rFonts w:hint="default" w:ascii="Times New Roman" w:hAnsi="Times New Roman" w:eastAsia="宋体" w:cs="Times New Roman"/>
          <w:color w:val="auto"/>
          <w:kern w:val="0"/>
          <w:sz w:val="24"/>
          <w:szCs w:val="24"/>
          <w:highlight w:val="none"/>
          <w:lang w:val="en-US" w:eastAsia="zh-CN" w:bidi="ar"/>
        </w:rPr>
        <w:t>、铀等能源矿，有硫、钾、长石、滑石、石墨、白云石、石棉、水晶、大理石、石灰石、花岗石、石英</w:t>
      </w:r>
      <w:r>
        <w:rPr>
          <w:rFonts w:hint="eastAsia" w:ascii="Times New Roman" w:hAnsi="Times New Roman" w:cs="Times New Roman"/>
          <w:color w:val="auto"/>
          <w:kern w:val="0"/>
          <w:sz w:val="24"/>
          <w:szCs w:val="24"/>
          <w:highlight w:val="none"/>
          <w:lang w:val="en-US" w:eastAsia="zh-CN" w:bidi="ar"/>
        </w:rPr>
        <w:t>等非金属矿。</w:t>
      </w:r>
    </w:p>
    <w:p w14:paraId="13838D3C">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Times New Roman" w:hAnsi="Times New Roman" w:cs="Times New Roman"/>
          <w:b/>
          <w:bCs/>
          <w:color w:val="auto"/>
          <w:kern w:val="0"/>
          <w:sz w:val="24"/>
          <w:szCs w:val="24"/>
          <w:highlight w:val="none"/>
          <w:lang w:val="en-US" w:eastAsia="zh-CN" w:bidi="ar"/>
        </w:rPr>
      </w:pPr>
      <w:r>
        <w:rPr>
          <w:rFonts w:hint="eastAsia" w:ascii="Times New Roman" w:hAnsi="Times New Roman" w:cs="Times New Roman"/>
          <w:b/>
          <w:bCs/>
          <w:color w:val="auto"/>
          <w:kern w:val="0"/>
          <w:sz w:val="24"/>
          <w:szCs w:val="24"/>
          <w:highlight w:val="none"/>
          <w:lang w:val="en-US" w:eastAsia="zh-CN" w:bidi="ar"/>
        </w:rPr>
        <w:t>相关资料显示，本项目评价区域内不涉及压覆矿产的情况。</w:t>
      </w:r>
    </w:p>
    <w:p w14:paraId="67CE2619">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kern w:val="0"/>
          <w:sz w:val="24"/>
          <w:szCs w:val="24"/>
          <w:highlight w:val="none"/>
          <w:lang w:val="en-US" w:eastAsia="zh-CN" w:bidi="ar"/>
        </w:rPr>
      </w:pPr>
      <w:r>
        <w:rPr>
          <w:rFonts w:hint="eastAsia" w:ascii="Times New Roman" w:hAnsi="Times New Roman" w:cs="Times New Roman"/>
          <w:b/>
          <w:bCs/>
          <w:color w:val="auto"/>
          <w:kern w:val="0"/>
          <w:sz w:val="24"/>
          <w:szCs w:val="24"/>
          <w:highlight w:val="none"/>
          <w:lang w:val="en-US" w:eastAsia="zh-CN" w:bidi="ar"/>
        </w:rPr>
        <w:t>3、</w:t>
      </w:r>
      <w:r>
        <w:rPr>
          <w:rFonts w:hint="default" w:ascii="Times New Roman" w:hAnsi="Times New Roman" w:eastAsia="宋体" w:cs="Times New Roman"/>
          <w:b/>
          <w:bCs/>
          <w:color w:val="auto"/>
          <w:kern w:val="0"/>
          <w:sz w:val="24"/>
          <w:szCs w:val="24"/>
          <w:highlight w:val="none"/>
          <w:lang w:val="en-US" w:eastAsia="zh-CN" w:bidi="ar"/>
        </w:rPr>
        <w:t>旅游资源</w:t>
      </w:r>
    </w:p>
    <w:p w14:paraId="5C3ABA9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全市旅游资源面积占</w:t>
      </w:r>
      <w:r>
        <w:rPr>
          <w:rFonts w:hint="eastAsia" w:cs="Times New Roman"/>
          <w:color w:val="auto"/>
          <w:kern w:val="0"/>
          <w:sz w:val="24"/>
          <w:szCs w:val="24"/>
          <w:highlight w:val="none"/>
          <w:lang w:val="en-US" w:eastAsia="zh-CN" w:bidi="ar"/>
        </w:rPr>
        <w:t>全市辖区</w:t>
      </w:r>
      <w:r>
        <w:rPr>
          <w:rFonts w:hint="default" w:ascii="Times New Roman" w:hAnsi="Times New Roman" w:eastAsia="宋体" w:cs="Times New Roman"/>
          <w:color w:val="auto"/>
          <w:kern w:val="0"/>
          <w:sz w:val="24"/>
          <w:szCs w:val="24"/>
          <w:highlight w:val="none"/>
          <w:lang w:val="en-US" w:eastAsia="zh-CN" w:bidi="ar"/>
        </w:rPr>
        <w:t>面积10%以上，涵盖了国家颁布的《旅游资源评价标准》所列8大主类31亚类中的26个亚类。一</w:t>
      </w:r>
      <w:r>
        <w:rPr>
          <w:rFonts w:hint="eastAsia" w:ascii="宋体" w:hAnsi="宋体" w:eastAsia="宋体" w:cs="宋体"/>
          <w:color w:val="auto"/>
          <w:kern w:val="0"/>
          <w:sz w:val="24"/>
          <w:szCs w:val="24"/>
          <w:highlight w:val="none"/>
          <w:lang w:val="en-US" w:eastAsia="zh-CN" w:bidi="ar"/>
        </w:rPr>
        <w:t>是以</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川陕苏区首府</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为代</w:t>
      </w:r>
      <w:r>
        <w:rPr>
          <w:rFonts w:hint="default" w:ascii="Times New Roman" w:hAnsi="Times New Roman" w:eastAsia="宋体" w:cs="Times New Roman"/>
          <w:color w:val="auto"/>
          <w:kern w:val="0"/>
          <w:sz w:val="24"/>
          <w:szCs w:val="24"/>
          <w:highlight w:val="none"/>
          <w:lang w:val="en-US" w:eastAsia="zh-CN" w:bidi="ar"/>
        </w:rPr>
        <w:t>表的红色旅游；二是以光雾山-诺水河国家重点风景名胜区为代表的特色旅游；三是以米仓山国家森林公园为代表的生态旅游。目前</w:t>
      </w:r>
      <w:r>
        <w:rPr>
          <w:rFonts w:hint="eastAsia" w:ascii="Times New Roman" w:hAnsi="Times New Roman"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全市已有光雾山-诺水河国家重点风景名胜区；有米仓山、镇龙山、空山、天马山4个国家森林公园；有大小兰沟省级自然保护区；有南龛摩崖造像、红四方面军总指挥部、总政治部旧址纪念馆、通江千佛岩石窟、通江红军石刻标语群等4处17点全国重点文物保护单位；有红四方面军总指挥部旧址纪念馆、川陕革命根据地红军烈士陵园、川陕苏区将帅碑林3个全国爱国主义教育示范基地等系列品牌。</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川陕苏区</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被</w:t>
      </w:r>
      <w:r>
        <w:rPr>
          <w:rFonts w:hint="default" w:ascii="Times New Roman" w:hAnsi="Times New Roman" w:eastAsia="宋体" w:cs="Times New Roman"/>
          <w:color w:val="auto"/>
          <w:kern w:val="0"/>
          <w:sz w:val="24"/>
          <w:szCs w:val="24"/>
          <w:highlight w:val="none"/>
          <w:lang w:val="en-US" w:eastAsia="zh-CN" w:bidi="ar"/>
        </w:rPr>
        <w:t>列入全国12个重点红色旅游区，刘伯坚烈士纪念馆、红四方面军总指挥部旧址纪念馆、川陕革命根据地红军烈士陵园、巴山游击队纪念馆列入了全国100个红色旅游经典景区，</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重庆-广安-仪陇-巴中</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旅游线被列入</w:t>
      </w:r>
      <w:r>
        <w:rPr>
          <w:rFonts w:hint="default" w:ascii="Times New Roman" w:hAnsi="Times New Roman" w:eastAsia="宋体" w:cs="Times New Roman"/>
          <w:color w:val="auto"/>
          <w:kern w:val="0"/>
          <w:sz w:val="24"/>
          <w:szCs w:val="24"/>
          <w:highlight w:val="none"/>
          <w:lang w:val="en-US" w:eastAsia="zh-CN" w:bidi="ar"/>
        </w:rPr>
        <w:t>全国30条红色旅游精品线。</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巴山背二歌</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翻山铰子</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被列入全国非物质文化遗产名录。</w:t>
      </w:r>
    </w:p>
    <w:p w14:paraId="0616159D">
      <w:pPr>
        <w:pageBreakBefore w:val="0"/>
        <w:widowControl w:val="0"/>
        <w:kinsoku/>
        <w:wordWrap/>
        <w:overflowPunct/>
        <w:topLinePunct w:val="0"/>
        <w:autoSpaceDE/>
        <w:autoSpaceDN/>
        <w:bidi w:val="0"/>
        <w:adjustRightInd/>
        <w:snapToGrid/>
        <w:spacing w:line="360" w:lineRule="auto"/>
        <w:textAlignment w:val="auto"/>
        <w:rPr>
          <w:rFonts w:hint="default"/>
          <w:b/>
          <w:bCs/>
          <w:color w:val="auto"/>
          <w:highlight w:val="none"/>
          <w:lang w:val="en-US" w:eastAsia="zh-CN"/>
        </w:rPr>
      </w:pPr>
      <w:r>
        <w:rPr>
          <w:rFonts w:hint="default"/>
          <w:b/>
          <w:bCs/>
          <w:color w:val="auto"/>
          <w:highlight w:val="none"/>
          <w:lang w:val="en-US" w:eastAsia="zh-CN"/>
        </w:rPr>
        <w:t>经现场踏勘，项目评价区域内均不涉及上述各风景名胜区、国家森林公园、自然保护区、旅游景点等需要特殊保护的区域。</w:t>
      </w:r>
    </w:p>
    <w:bookmarkEnd w:id="131"/>
    <w:bookmarkEnd w:id="132"/>
    <w:p w14:paraId="268C1DD1">
      <w:pPr>
        <w:pStyle w:val="4"/>
        <w:bidi w:val="0"/>
        <w:rPr>
          <w:color w:val="auto"/>
        </w:rPr>
      </w:pPr>
      <w:bookmarkStart w:id="139" w:name="_Toc19297"/>
      <w:r>
        <w:rPr>
          <w:rFonts w:hint="eastAsia"/>
          <w:color w:val="auto"/>
        </w:rPr>
        <w:t xml:space="preserve"> </w:t>
      </w:r>
      <w:bookmarkStart w:id="140" w:name="_Toc27528"/>
      <w:r>
        <w:rPr>
          <w:color w:val="auto"/>
        </w:rPr>
        <w:t>环境质量现状调查与评价</w:t>
      </w:r>
      <w:bookmarkEnd w:id="140"/>
    </w:p>
    <w:p w14:paraId="23F86636">
      <w:pPr>
        <w:pageBreakBefore w:val="0"/>
        <w:tabs>
          <w:tab w:val="left" w:pos="6096"/>
        </w:tabs>
        <w:wordWrap/>
        <w:bidi w:val="0"/>
        <w:adjustRightInd/>
        <w:snapToGrid/>
        <w:ind w:firstLine="480"/>
        <w:rPr>
          <w:color w:val="auto"/>
        </w:rPr>
      </w:pPr>
      <w:r>
        <w:rPr>
          <w:color w:val="auto"/>
        </w:rPr>
        <w:t>为了解项目所在地的大气环境质量、地表水环境质量、声环境、地下水环境、底泥环境及土壤环境质量，本次评价收集了《</w:t>
      </w:r>
      <w:r>
        <w:rPr>
          <w:rFonts w:hint="eastAsia"/>
          <w:color w:val="auto"/>
          <w:lang w:eastAsia="zh-CN"/>
        </w:rPr>
        <w:t>2023巴中市生态环境状况公报</w:t>
      </w:r>
      <w:r>
        <w:rPr>
          <w:color w:val="auto"/>
        </w:rPr>
        <w:t>》</w:t>
      </w:r>
      <w:r>
        <w:rPr>
          <w:color w:val="auto"/>
          <w:szCs w:val="22"/>
        </w:rPr>
        <w:t>、并</w:t>
      </w:r>
      <w:r>
        <w:rPr>
          <w:color w:val="auto"/>
        </w:rPr>
        <w:t>委托</w:t>
      </w:r>
      <w:r>
        <w:rPr>
          <w:rFonts w:hint="eastAsia"/>
          <w:color w:val="auto"/>
          <w:lang w:eastAsia="zh-CN"/>
        </w:rPr>
        <w:t>四川海德汇环保科技有限公司</w:t>
      </w:r>
      <w:r>
        <w:rPr>
          <w:color w:val="auto"/>
        </w:rPr>
        <w:t>于</w:t>
      </w:r>
      <w:r>
        <w:rPr>
          <w:rFonts w:hint="eastAsia"/>
          <w:color w:val="auto"/>
          <w:lang w:val="en-US" w:eastAsia="zh-CN"/>
        </w:rPr>
        <w:t>2024年7月15日～7月21日</w:t>
      </w:r>
      <w:r>
        <w:rPr>
          <w:color w:val="auto"/>
        </w:rPr>
        <w:t>对项目所在地的</w:t>
      </w:r>
      <w:r>
        <w:rPr>
          <w:rFonts w:hint="eastAsia"/>
          <w:color w:val="auto"/>
          <w:lang w:val="en-US" w:eastAsia="zh-CN"/>
        </w:rPr>
        <w:t>环境空气</w:t>
      </w:r>
      <w:r>
        <w:rPr>
          <w:color w:val="auto"/>
        </w:rPr>
        <w:t>、地表水、地下水、土壤、底泥及声环境进行现场采样及检测分析。本评价根据环境现状</w:t>
      </w:r>
      <w:r>
        <w:rPr>
          <w:rFonts w:hint="eastAsia"/>
          <w:color w:val="auto"/>
          <w:lang w:eastAsia="zh-CN"/>
        </w:rPr>
        <w:t>监测</w:t>
      </w:r>
      <w:r>
        <w:rPr>
          <w:color w:val="auto"/>
        </w:rPr>
        <w:t>分析结果，对项目所在地的大气环境质量、地表水环境质量、地下水环境质量、土壤环境质量、底泥环境质量和声环境质量现状评价。</w:t>
      </w:r>
    </w:p>
    <w:p w14:paraId="42FBDB6A">
      <w:pPr>
        <w:pStyle w:val="5"/>
        <w:bidi w:val="0"/>
        <w:rPr>
          <w:color w:val="auto"/>
        </w:rPr>
      </w:pPr>
      <w:r>
        <w:rPr>
          <w:rFonts w:hint="eastAsia"/>
          <w:color w:val="auto"/>
          <w:lang w:val="en-US" w:eastAsia="zh-CN"/>
        </w:rPr>
        <w:t xml:space="preserve"> </w:t>
      </w:r>
      <w:r>
        <w:rPr>
          <w:color w:val="auto"/>
        </w:rPr>
        <w:t>大气环境质量现状监测与评价</w:t>
      </w:r>
    </w:p>
    <w:p w14:paraId="425DA006">
      <w:pPr>
        <w:pStyle w:val="164"/>
        <w:pageBreakBefore w:val="0"/>
        <w:wordWrap/>
        <w:bidi w:val="0"/>
        <w:adjustRightInd/>
        <w:snapToGrid/>
        <w:ind w:left="0" w:leftChars="0"/>
        <w:jc w:val="both"/>
        <w:rPr>
          <w:color w:val="auto"/>
        </w:rPr>
      </w:pPr>
      <w:r>
        <w:rPr>
          <w:color w:val="auto"/>
        </w:rPr>
        <w:t>环境空气质量现状评价中，基本污染物SO</w:t>
      </w:r>
      <w:r>
        <w:rPr>
          <w:color w:val="auto"/>
          <w:vertAlign w:val="subscript"/>
        </w:rPr>
        <w:t>2</w:t>
      </w:r>
      <w:r>
        <w:rPr>
          <w:color w:val="auto"/>
        </w:rPr>
        <w:t>、NO</w:t>
      </w:r>
      <w:r>
        <w:rPr>
          <w:color w:val="auto"/>
          <w:vertAlign w:val="subscript"/>
        </w:rPr>
        <w:t>2</w:t>
      </w:r>
      <w:r>
        <w:rPr>
          <w:color w:val="auto"/>
        </w:rPr>
        <w:t>、PM</w:t>
      </w:r>
      <w:r>
        <w:rPr>
          <w:color w:val="auto"/>
          <w:vertAlign w:val="subscript"/>
        </w:rPr>
        <w:t>10</w:t>
      </w:r>
      <w:r>
        <w:rPr>
          <w:color w:val="auto"/>
        </w:rPr>
        <w:t>、</w:t>
      </w:r>
      <w:r>
        <w:rPr>
          <w:rFonts w:hint="eastAsia"/>
          <w:color w:val="auto"/>
          <w:lang w:eastAsia="zh-CN"/>
        </w:rPr>
        <w:t>PM2.5</w:t>
      </w:r>
      <w:r>
        <w:rPr>
          <w:color w:val="auto"/>
        </w:rPr>
        <w:t>、CO、O</w:t>
      </w:r>
      <w:r>
        <w:rPr>
          <w:color w:val="auto"/>
          <w:vertAlign w:val="subscript"/>
        </w:rPr>
        <w:t>3</w:t>
      </w:r>
      <w:r>
        <w:rPr>
          <w:color w:val="auto"/>
        </w:rPr>
        <w:t>引用</w:t>
      </w:r>
      <w:r>
        <w:rPr>
          <w:rFonts w:hint="eastAsia"/>
          <w:color w:val="auto"/>
          <w:lang w:eastAsia="zh-CN"/>
        </w:rPr>
        <w:t>巴中市</w:t>
      </w:r>
      <w:r>
        <w:rPr>
          <w:color w:val="auto"/>
        </w:rPr>
        <w:t>生态环境局发布的</w:t>
      </w:r>
      <w:r>
        <w:rPr>
          <w:color w:val="auto"/>
          <w:lang w:bidi="ar"/>
        </w:rPr>
        <w:t>《</w:t>
      </w:r>
      <w:r>
        <w:rPr>
          <w:rFonts w:hint="eastAsia"/>
          <w:color w:val="auto"/>
          <w:lang w:eastAsia="zh-CN" w:bidi="ar"/>
        </w:rPr>
        <w:t>2023巴中市生态环境状况公报</w:t>
      </w:r>
      <w:r>
        <w:rPr>
          <w:color w:val="auto"/>
          <w:lang w:bidi="ar"/>
        </w:rPr>
        <w:t>》</w:t>
      </w:r>
      <w:r>
        <w:rPr>
          <w:color w:val="auto"/>
        </w:rPr>
        <w:t>中的数据及结论；其他污染物委托</w:t>
      </w:r>
      <w:r>
        <w:rPr>
          <w:rFonts w:hint="eastAsia"/>
          <w:color w:val="auto"/>
          <w:lang w:eastAsia="zh-CN"/>
        </w:rPr>
        <w:t>四川海德汇环保科技有限公司</w:t>
      </w:r>
      <w:r>
        <w:rPr>
          <w:color w:val="auto"/>
        </w:rPr>
        <w:t>进行补充监测。</w:t>
      </w:r>
    </w:p>
    <w:p w14:paraId="4D79292B">
      <w:pPr>
        <w:pStyle w:val="164"/>
        <w:pageBreakBefore w:val="0"/>
        <w:wordWrap/>
        <w:bidi w:val="0"/>
        <w:adjustRightInd/>
        <w:snapToGrid/>
        <w:ind w:left="0" w:leftChars="0" w:firstLine="0" w:firstLineChars="0"/>
        <w:jc w:val="both"/>
        <w:rPr>
          <w:b/>
          <w:color w:val="auto"/>
        </w:rPr>
      </w:pPr>
      <w:r>
        <w:rPr>
          <w:b/>
          <w:color w:val="auto"/>
        </w:rPr>
        <w:t>（一）区域环境质量现状评价</w:t>
      </w:r>
    </w:p>
    <w:p w14:paraId="4CCD9000">
      <w:pPr>
        <w:pStyle w:val="164"/>
        <w:pageBreakBefore w:val="0"/>
        <w:wordWrap/>
        <w:bidi w:val="0"/>
        <w:adjustRightInd/>
        <w:snapToGrid/>
        <w:ind w:left="0" w:leftChars="0"/>
        <w:jc w:val="both"/>
        <w:rPr>
          <w:color w:val="auto"/>
        </w:rPr>
      </w:pPr>
      <w:r>
        <w:rPr>
          <w:color w:val="auto"/>
        </w:rPr>
        <w:t>1、环境质量达标区判定</w:t>
      </w:r>
    </w:p>
    <w:p w14:paraId="51832019">
      <w:pPr>
        <w:pageBreakBefore w:val="0"/>
        <w:wordWrap/>
        <w:bidi w:val="0"/>
        <w:adjustRightInd/>
        <w:snapToGrid/>
        <w:rPr>
          <w:color w:val="auto"/>
        </w:rPr>
      </w:pPr>
      <w:r>
        <w:rPr>
          <w:color w:val="auto"/>
        </w:rPr>
        <w:t>本项目位于</w:t>
      </w:r>
      <w:r>
        <w:rPr>
          <w:rFonts w:hint="eastAsia"/>
          <w:color w:val="auto"/>
          <w:lang w:eastAsia="zh-CN"/>
        </w:rPr>
        <w:t>巴中市巴州区曾口镇寿星村13组</w:t>
      </w:r>
      <w:r>
        <w:rPr>
          <w:color w:val="auto"/>
        </w:rPr>
        <w:t>，根据《环境影响评价导则大气环境》（HJ2.2-2018）中有关基本污染物环境质量现状数据的规定，可优先采用国家或地方生态环境主管部门公布的评价基准年（近3年中1个完整日历年）环境质量公告或环境质量报告中的数据或结论。因此，本次评价选用</w:t>
      </w:r>
      <w:r>
        <w:rPr>
          <w:rFonts w:hint="eastAsia"/>
          <w:color w:val="auto"/>
          <w:lang w:eastAsia="zh-CN"/>
        </w:rPr>
        <w:t>巴中市</w:t>
      </w:r>
      <w:r>
        <w:rPr>
          <w:color w:val="auto"/>
        </w:rPr>
        <w:t>生态环境局202</w:t>
      </w:r>
      <w:r>
        <w:rPr>
          <w:rFonts w:hint="eastAsia"/>
          <w:color w:val="auto"/>
          <w:lang w:val="en-US" w:eastAsia="zh-CN"/>
        </w:rPr>
        <w:t>4</w:t>
      </w:r>
      <w:r>
        <w:rPr>
          <w:color w:val="auto"/>
        </w:rPr>
        <w:t>年公布的《</w:t>
      </w:r>
      <w:r>
        <w:rPr>
          <w:rFonts w:hint="eastAsia"/>
          <w:color w:val="auto"/>
          <w:lang w:eastAsia="zh-CN"/>
        </w:rPr>
        <w:t>2023巴中市生态环境状况公报</w:t>
      </w:r>
      <w:r>
        <w:rPr>
          <w:color w:val="auto"/>
        </w:rPr>
        <w:t>》进行区域达标评价。</w:t>
      </w:r>
    </w:p>
    <w:p w14:paraId="6A360F7A">
      <w:pPr>
        <w:pageBreakBefore w:val="0"/>
        <w:wordWrap/>
        <w:bidi w:val="0"/>
        <w:adjustRightInd/>
        <w:snapToGrid/>
        <w:rPr>
          <w:color w:val="auto"/>
        </w:rPr>
      </w:pPr>
      <w:r>
        <w:rPr>
          <w:color w:val="auto"/>
        </w:rPr>
        <w:t>根据《</w:t>
      </w:r>
      <w:r>
        <w:rPr>
          <w:rFonts w:hint="eastAsia"/>
          <w:color w:val="auto"/>
          <w:lang w:eastAsia="zh-CN"/>
        </w:rPr>
        <w:t>2023巴中市生态环境状况公报</w:t>
      </w:r>
      <w:r>
        <w:rPr>
          <w:color w:val="auto"/>
        </w:rPr>
        <w:t>》中的数据表明：</w:t>
      </w:r>
    </w:p>
    <w:p w14:paraId="7EFA9298">
      <w:pPr>
        <w:pageBreakBefore w:val="0"/>
        <w:wordWrap/>
        <w:bidi w:val="0"/>
        <w:adjustRightInd/>
        <w:snapToGrid/>
        <w:ind w:firstLine="480"/>
        <w:rPr>
          <w:rFonts w:hint="default" w:eastAsia="宋体"/>
          <w:color w:val="auto"/>
          <w:lang w:val="en-US" w:eastAsia="zh-CN" w:bidi="ar"/>
        </w:rPr>
      </w:pPr>
      <w:r>
        <w:rPr>
          <w:color w:val="auto"/>
          <w:lang w:bidi="ar"/>
        </w:rPr>
        <w:t>按照《环境空气质量标准》（GB3095-2012）评价，202</w:t>
      </w:r>
      <w:r>
        <w:rPr>
          <w:rFonts w:hint="eastAsia"/>
          <w:color w:val="auto"/>
          <w:lang w:val="en-US" w:eastAsia="zh-CN" w:bidi="ar"/>
        </w:rPr>
        <w:t>3</w:t>
      </w:r>
      <w:r>
        <w:rPr>
          <w:color w:val="auto"/>
          <w:lang w:bidi="ar"/>
        </w:rPr>
        <w:t>年，</w:t>
      </w:r>
      <w:r>
        <w:rPr>
          <w:rFonts w:hint="eastAsia"/>
          <w:color w:val="auto"/>
          <w:lang w:eastAsia="zh-CN" w:bidi="ar"/>
        </w:rPr>
        <w:t>巴中市</w:t>
      </w:r>
      <w:r>
        <w:rPr>
          <w:color w:val="auto"/>
          <w:lang w:bidi="ar"/>
        </w:rPr>
        <w:t>城区环境空气质量</w:t>
      </w:r>
      <w:r>
        <w:rPr>
          <w:rFonts w:hint="eastAsia"/>
          <w:color w:val="auto"/>
          <w:lang w:val="en-US" w:eastAsia="zh-CN" w:bidi="ar"/>
        </w:rPr>
        <w:t>176</w:t>
      </w:r>
      <w:r>
        <w:rPr>
          <w:color w:val="auto"/>
          <w:lang w:bidi="ar"/>
        </w:rPr>
        <w:t>天优、</w:t>
      </w:r>
      <w:r>
        <w:rPr>
          <w:rFonts w:hint="eastAsia"/>
          <w:color w:val="auto"/>
          <w:lang w:val="en-US" w:eastAsia="zh-CN" w:bidi="ar"/>
        </w:rPr>
        <w:t>164</w:t>
      </w:r>
      <w:r>
        <w:rPr>
          <w:color w:val="auto"/>
          <w:lang w:bidi="ar"/>
        </w:rPr>
        <w:t>天良、</w:t>
      </w:r>
      <w:r>
        <w:rPr>
          <w:rFonts w:hint="eastAsia"/>
          <w:color w:val="auto"/>
          <w:lang w:val="en-US" w:eastAsia="zh-CN" w:bidi="ar"/>
        </w:rPr>
        <w:t>19</w:t>
      </w:r>
      <w:r>
        <w:rPr>
          <w:color w:val="auto"/>
          <w:lang w:bidi="ar"/>
        </w:rPr>
        <w:t>天轻度污染、</w:t>
      </w:r>
      <w:r>
        <w:rPr>
          <w:rFonts w:hint="eastAsia"/>
          <w:color w:val="auto"/>
          <w:lang w:val="en-US" w:eastAsia="zh-CN" w:bidi="ar"/>
        </w:rPr>
        <w:t>4</w:t>
      </w:r>
      <w:r>
        <w:rPr>
          <w:color w:val="auto"/>
          <w:lang w:bidi="ar"/>
        </w:rPr>
        <w:t>天中度污染，2天重度污染，</w:t>
      </w:r>
      <w:r>
        <w:rPr>
          <w:rFonts w:hint="eastAsia"/>
          <w:color w:val="auto"/>
          <w:lang w:val="en-US" w:eastAsia="zh-CN" w:bidi="ar"/>
        </w:rPr>
        <w:t>巴城环境空气质量优良率为93.2%，同比下降3.3个百分点，污染天数同比增加12天</w:t>
      </w:r>
      <w:r>
        <w:rPr>
          <w:color w:val="auto"/>
          <w:lang w:bidi="ar"/>
        </w:rPr>
        <w:t>。</w:t>
      </w:r>
      <w:r>
        <w:rPr>
          <w:rFonts w:hint="eastAsia"/>
          <w:color w:val="auto"/>
          <w:lang w:val="en-US" w:eastAsia="zh-CN" w:bidi="ar"/>
        </w:rPr>
        <w:t>环境空气六项主要污染物年均浓度全部达到国家环境空气质量二级标准，空气质量综合指数为3.15，同比上升0.06。</w:t>
      </w:r>
    </w:p>
    <w:p w14:paraId="632F3A4D">
      <w:pPr>
        <w:pageBreakBefore w:val="0"/>
        <w:wordWrap/>
        <w:bidi w:val="0"/>
        <w:adjustRightInd/>
        <w:snapToGrid/>
        <w:ind w:firstLine="480"/>
        <w:rPr>
          <w:color w:val="auto"/>
          <w:lang w:bidi="ar"/>
        </w:rPr>
      </w:pPr>
      <w:r>
        <w:rPr>
          <w:color w:val="auto"/>
          <w:lang w:bidi="ar"/>
        </w:rPr>
        <w:t>主要污染物SO</w:t>
      </w:r>
      <w:r>
        <w:rPr>
          <w:color w:val="auto"/>
          <w:vertAlign w:val="subscript"/>
          <w:lang w:bidi="ar"/>
        </w:rPr>
        <w:t>2</w:t>
      </w:r>
      <w:r>
        <w:rPr>
          <w:color w:val="auto"/>
          <w:lang w:bidi="ar"/>
        </w:rPr>
        <w:t>浓度为</w:t>
      </w:r>
      <w:r>
        <w:rPr>
          <w:rFonts w:hint="eastAsia"/>
          <w:color w:val="auto"/>
          <w:lang w:val="en-US" w:eastAsia="zh-CN" w:bidi="ar"/>
        </w:rPr>
        <w:t>4.6</w:t>
      </w:r>
      <w:r>
        <w:rPr>
          <w:color w:val="auto"/>
          <w:lang w:bidi="ar"/>
        </w:rPr>
        <w:t>微克/立方米</w:t>
      </w:r>
      <w:r>
        <w:rPr>
          <w:rFonts w:hint="eastAsia"/>
          <w:color w:val="auto"/>
          <w:lang w:eastAsia="zh-CN" w:bidi="ar"/>
        </w:rPr>
        <w:t>，</w:t>
      </w:r>
      <w:r>
        <w:rPr>
          <w:rFonts w:hint="eastAsia"/>
          <w:color w:val="auto"/>
          <w:lang w:val="en-US" w:eastAsia="zh-CN" w:bidi="ar"/>
        </w:rPr>
        <w:t>同比增长2.2%</w:t>
      </w:r>
      <w:r>
        <w:rPr>
          <w:rFonts w:hint="eastAsia"/>
          <w:color w:val="auto"/>
          <w:lang w:eastAsia="zh-CN" w:bidi="ar"/>
        </w:rPr>
        <w:t>；</w:t>
      </w:r>
      <w:r>
        <w:rPr>
          <w:color w:val="auto"/>
          <w:lang w:bidi="ar"/>
        </w:rPr>
        <w:t>NO</w:t>
      </w:r>
      <w:r>
        <w:rPr>
          <w:color w:val="auto"/>
          <w:vertAlign w:val="subscript"/>
          <w:lang w:bidi="ar"/>
        </w:rPr>
        <w:t>2</w:t>
      </w:r>
      <w:r>
        <w:rPr>
          <w:color w:val="auto"/>
          <w:lang w:bidi="ar"/>
        </w:rPr>
        <w:t>浓度为</w:t>
      </w:r>
      <w:r>
        <w:rPr>
          <w:rFonts w:hint="eastAsia"/>
          <w:color w:val="auto"/>
          <w:lang w:val="en-US" w:eastAsia="zh-CN" w:bidi="ar"/>
        </w:rPr>
        <w:t>23.2</w:t>
      </w:r>
      <w:r>
        <w:rPr>
          <w:color w:val="auto"/>
          <w:lang w:bidi="ar"/>
        </w:rPr>
        <w:t>微克/立方米</w:t>
      </w:r>
      <w:r>
        <w:rPr>
          <w:rFonts w:hint="eastAsia"/>
          <w:color w:val="auto"/>
          <w:lang w:eastAsia="zh-CN" w:bidi="ar"/>
        </w:rPr>
        <w:t>，</w:t>
      </w:r>
      <w:r>
        <w:rPr>
          <w:rFonts w:hint="eastAsia"/>
          <w:color w:val="auto"/>
          <w:lang w:val="en-US" w:eastAsia="zh-CN" w:bidi="ar"/>
        </w:rPr>
        <w:t>同比下降1.7%</w:t>
      </w:r>
      <w:r>
        <w:rPr>
          <w:rFonts w:hint="eastAsia"/>
          <w:color w:val="auto"/>
          <w:lang w:eastAsia="zh-CN" w:bidi="ar"/>
        </w:rPr>
        <w:t>；</w:t>
      </w:r>
      <w:r>
        <w:rPr>
          <w:color w:val="auto"/>
          <w:lang w:bidi="ar"/>
        </w:rPr>
        <w:t>PM</w:t>
      </w:r>
      <w:r>
        <w:rPr>
          <w:color w:val="auto"/>
          <w:vertAlign w:val="subscript"/>
          <w:lang w:bidi="ar"/>
        </w:rPr>
        <w:t>10</w:t>
      </w:r>
      <w:r>
        <w:rPr>
          <w:color w:val="auto"/>
          <w:lang w:bidi="ar"/>
        </w:rPr>
        <w:t>浓度为</w:t>
      </w:r>
      <w:r>
        <w:rPr>
          <w:rFonts w:hint="eastAsia"/>
          <w:color w:val="auto"/>
          <w:lang w:val="en-US" w:eastAsia="zh-CN" w:bidi="ar"/>
        </w:rPr>
        <w:t>44.8</w:t>
      </w:r>
      <w:r>
        <w:rPr>
          <w:color w:val="auto"/>
          <w:lang w:bidi="ar"/>
        </w:rPr>
        <w:t>微克/立方米</w:t>
      </w:r>
      <w:r>
        <w:rPr>
          <w:rFonts w:hint="eastAsia"/>
          <w:color w:val="auto"/>
          <w:lang w:eastAsia="zh-CN" w:bidi="ar"/>
        </w:rPr>
        <w:t>，</w:t>
      </w:r>
      <w:r>
        <w:rPr>
          <w:rFonts w:hint="eastAsia"/>
          <w:color w:val="auto"/>
          <w:lang w:val="en-US" w:eastAsia="zh-CN" w:bidi="ar"/>
        </w:rPr>
        <w:t>同比增长5.4%</w:t>
      </w:r>
      <w:r>
        <w:rPr>
          <w:rFonts w:hint="eastAsia"/>
          <w:color w:val="auto"/>
          <w:lang w:eastAsia="zh-CN" w:bidi="ar"/>
        </w:rPr>
        <w:t>；PM2.5</w:t>
      </w:r>
      <w:r>
        <w:rPr>
          <w:color w:val="auto"/>
          <w:lang w:bidi="ar"/>
        </w:rPr>
        <w:t>浓度为</w:t>
      </w:r>
      <w:r>
        <w:rPr>
          <w:rFonts w:hint="eastAsia"/>
          <w:color w:val="auto"/>
          <w:lang w:val="en-US" w:eastAsia="zh-CN" w:bidi="ar"/>
        </w:rPr>
        <w:t>29.7</w:t>
      </w:r>
      <w:r>
        <w:rPr>
          <w:color w:val="auto"/>
          <w:lang w:bidi="ar"/>
        </w:rPr>
        <w:t>微克/立方米</w:t>
      </w:r>
      <w:r>
        <w:rPr>
          <w:rFonts w:hint="eastAsia"/>
          <w:color w:val="auto"/>
          <w:lang w:eastAsia="zh-CN" w:bidi="ar"/>
        </w:rPr>
        <w:t>，</w:t>
      </w:r>
      <w:r>
        <w:rPr>
          <w:rFonts w:hint="eastAsia"/>
          <w:color w:val="auto"/>
          <w:lang w:val="en-US" w:eastAsia="zh-CN" w:bidi="ar"/>
        </w:rPr>
        <w:t>同比增长6.1%</w:t>
      </w:r>
      <w:r>
        <w:rPr>
          <w:color w:val="auto"/>
          <w:lang w:bidi="ar"/>
        </w:rPr>
        <w:t>；CO日均值第95百分位数为1.0毫克/立方米</w:t>
      </w:r>
      <w:r>
        <w:rPr>
          <w:rFonts w:hint="eastAsia"/>
          <w:color w:val="auto"/>
          <w:lang w:eastAsia="zh-CN" w:bidi="ar"/>
        </w:rPr>
        <w:t>，</w:t>
      </w:r>
      <w:r>
        <w:rPr>
          <w:rFonts w:hint="eastAsia"/>
          <w:color w:val="auto"/>
          <w:lang w:val="en-US" w:eastAsia="zh-CN" w:bidi="ar"/>
        </w:rPr>
        <w:t>较上年不变</w:t>
      </w:r>
      <w:r>
        <w:rPr>
          <w:rFonts w:hint="eastAsia"/>
          <w:color w:val="auto"/>
          <w:lang w:eastAsia="zh-CN" w:bidi="ar"/>
        </w:rPr>
        <w:t>；</w:t>
      </w:r>
      <w:r>
        <w:rPr>
          <w:color w:val="auto"/>
          <w:lang w:bidi="ar"/>
        </w:rPr>
        <w:t>O</w:t>
      </w:r>
      <w:r>
        <w:rPr>
          <w:color w:val="auto"/>
          <w:vertAlign w:val="subscript"/>
          <w:lang w:bidi="ar"/>
        </w:rPr>
        <w:t>3</w:t>
      </w:r>
      <w:r>
        <w:rPr>
          <w:color w:val="auto"/>
          <w:lang w:bidi="ar"/>
        </w:rPr>
        <w:t>日最大8小时平均浓度值第90百分位数为</w:t>
      </w:r>
      <w:r>
        <w:rPr>
          <w:rFonts w:hint="eastAsia"/>
          <w:color w:val="auto"/>
          <w:lang w:val="en-US" w:eastAsia="zh-CN" w:bidi="ar"/>
        </w:rPr>
        <w:t>119</w:t>
      </w:r>
      <w:r>
        <w:rPr>
          <w:color w:val="auto"/>
          <w:lang w:bidi="ar"/>
        </w:rPr>
        <w:t>微克/立方米</w:t>
      </w:r>
      <w:r>
        <w:rPr>
          <w:rFonts w:hint="eastAsia"/>
          <w:color w:val="auto"/>
          <w:lang w:eastAsia="zh-CN" w:bidi="ar"/>
        </w:rPr>
        <w:t>，</w:t>
      </w:r>
      <w:r>
        <w:rPr>
          <w:rFonts w:hint="eastAsia"/>
          <w:color w:val="auto"/>
          <w:lang w:val="en-US" w:eastAsia="zh-CN" w:bidi="ar"/>
        </w:rPr>
        <w:t>同比下降1.7%</w:t>
      </w:r>
      <w:r>
        <w:rPr>
          <w:color w:val="auto"/>
          <w:lang w:bidi="ar"/>
        </w:rPr>
        <w:t>。</w:t>
      </w:r>
    </w:p>
    <w:p w14:paraId="3C28D89B">
      <w:pPr>
        <w:bidi w:val="0"/>
        <w:rPr>
          <w:color w:val="auto"/>
        </w:rPr>
      </w:pPr>
      <w:r>
        <w:rPr>
          <w:color w:val="auto"/>
        </w:rPr>
        <w:t>区域空气质量达标判定见下表：</w:t>
      </w:r>
    </w:p>
    <w:p w14:paraId="6A2C6825">
      <w:pPr>
        <w:pStyle w:val="19"/>
        <w:numPr>
          <w:ilvl w:val="0"/>
          <w:numId w:val="28"/>
        </w:numPr>
        <w:bidi w:val="0"/>
        <w:rPr>
          <w:color w:val="auto"/>
        </w:rPr>
      </w:pPr>
      <w:r>
        <w:rPr>
          <w:color w:val="auto"/>
        </w:rPr>
        <w:t xml:space="preserve"> 区域环境空气质量现状评价一览表</w:t>
      </w:r>
    </w:p>
    <w:tbl>
      <w:tblPr>
        <w:tblStyle w:val="52"/>
        <w:tblW w:w="5000"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57" w:type="dxa"/>
          <w:bottom w:w="0" w:type="dxa"/>
          <w:right w:w="57" w:type="dxa"/>
        </w:tblCellMar>
      </w:tblPr>
      <w:tblGrid>
        <w:gridCol w:w="977"/>
        <w:gridCol w:w="2092"/>
        <w:gridCol w:w="1805"/>
        <w:gridCol w:w="1563"/>
        <w:gridCol w:w="1120"/>
        <w:gridCol w:w="1287"/>
      </w:tblGrid>
      <w:tr w14:paraId="1FB8FA1C">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2" w:type="pct"/>
            <w:tcBorders>
              <w:tl2br w:val="nil"/>
              <w:tr2bl w:val="nil"/>
            </w:tcBorders>
            <w:noWrap w:val="0"/>
            <w:vAlign w:val="center"/>
          </w:tcPr>
          <w:p w14:paraId="0656FED9">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lang w:bidi="ar"/>
              </w:rPr>
              <w:t>污染物</w:t>
            </w:r>
          </w:p>
        </w:tc>
        <w:tc>
          <w:tcPr>
            <w:tcW w:w="1182" w:type="pct"/>
            <w:tcBorders>
              <w:tl2br w:val="nil"/>
              <w:tr2bl w:val="nil"/>
            </w:tcBorders>
            <w:noWrap w:val="0"/>
            <w:vAlign w:val="center"/>
          </w:tcPr>
          <w:p w14:paraId="43636007">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lang w:bidi="ar"/>
              </w:rPr>
              <w:t>年评价指标</w:t>
            </w:r>
          </w:p>
        </w:tc>
        <w:tc>
          <w:tcPr>
            <w:tcW w:w="1020" w:type="pct"/>
            <w:tcBorders>
              <w:tl2br w:val="nil"/>
              <w:tr2bl w:val="nil"/>
            </w:tcBorders>
            <w:noWrap w:val="0"/>
            <w:vAlign w:val="center"/>
          </w:tcPr>
          <w:p w14:paraId="2E7F9E5E">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lang w:bidi="ar"/>
              </w:rPr>
              <w:t>现状浓度（μg/</w:t>
            </w:r>
            <w:r>
              <w:rPr>
                <w:rFonts w:hint="eastAsia"/>
                <w:b/>
                <w:bCs w:val="0"/>
                <w:color w:val="auto"/>
                <w:sz w:val="21"/>
                <w:szCs w:val="21"/>
                <w:lang w:eastAsia="zh-CN" w:bidi="ar"/>
              </w:rPr>
              <w:t>m³</w:t>
            </w:r>
            <w:r>
              <w:rPr>
                <w:b/>
                <w:bCs w:val="0"/>
                <w:color w:val="auto"/>
                <w:sz w:val="21"/>
                <w:szCs w:val="21"/>
                <w:lang w:bidi="ar"/>
              </w:rPr>
              <w:t>）</w:t>
            </w:r>
          </w:p>
        </w:tc>
        <w:tc>
          <w:tcPr>
            <w:tcW w:w="883" w:type="pct"/>
            <w:tcBorders>
              <w:tl2br w:val="nil"/>
              <w:tr2bl w:val="nil"/>
            </w:tcBorders>
            <w:noWrap w:val="0"/>
            <w:vAlign w:val="center"/>
          </w:tcPr>
          <w:p w14:paraId="28138F3B">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lang w:bidi="ar"/>
              </w:rPr>
              <w:t>标准值（μg/</w:t>
            </w:r>
            <w:r>
              <w:rPr>
                <w:rFonts w:hint="eastAsia"/>
                <w:b/>
                <w:bCs w:val="0"/>
                <w:color w:val="auto"/>
                <w:sz w:val="21"/>
                <w:szCs w:val="21"/>
                <w:lang w:eastAsia="zh-CN" w:bidi="ar"/>
              </w:rPr>
              <w:t>m³</w:t>
            </w:r>
            <w:r>
              <w:rPr>
                <w:b/>
                <w:bCs w:val="0"/>
                <w:color w:val="auto"/>
                <w:sz w:val="21"/>
                <w:szCs w:val="21"/>
                <w:lang w:bidi="ar"/>
              </w:rPr>
              <w:t>）</w:t>
            </w:r>
          </w:p>
        </w:tc>
        <w:tc>
          <w:tcPr>
            <w:tcW w:w="633" w:type="pct"/>
            <w:tcBorders>
              <w:tl2br w:val="nil"/>
              <w:tr2bl w:val="nil"/>
            </w:tcBorders>
            <w:noWrap w:val="0"/>
            <w:vAlign w:val="center"/>
          </w:tcPr>
          <w:p w14:paraId="4CB7987D">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lang w:bidi="ar"/>
              </w:rPr>
              <w:t>占标率%</w:t>
            </w:r>
          </w:p>
        </w:tc>
        <w:tc>
          <w:tcPr>
            <w:tcW w:w="727" w:type="pct"/>
            <w:tcBorders>
              <w:tl2br w:val="nil"/>
              <w:tr2bl w:val="nil"/>
            </w:tcBorders>
            <w:noWrap w:val="0"/>
            <w:vAlign w:val="center"/>
          </w:tcPr>
          <w:p w14:paraId="2C24A3B6">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lang w:bidi="ar"/>
              </w:rPr>
              <w:t>达标情况</w:t>
            </w:r>
          </w:p>
        </w:tc>
      </w:tr>
      <w:tr w14:paraId="11982E23">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2" w:type="pct"/>
            <w:tcBorders>
              <w:tl2br w:val="nil"/>
              <w:tr2bl w:val="nil"/>
            </w:tcBorders>
            <w:noWrap w:val="0"/>
            <w:vAlign w:val="center"/>
          </w:tcPr>
          <w:p w14:paraId="5F0EF164">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SO</w:t>
            </w:r>
            <w:r>
              <w:rPr>
                <w:color w:val="auto"/>
                <w:sz w:val="21"/>
                <w:szCs w:val="21"/>
                <w:vertAlign w:val="subscript"/>
                <w:lang w:bidi="ar"/>
              </w:rPr>
              <w:t>2</w:t>
            </w:r>
          </w:p>
        </w:tc>
        <w:tc>
          <w:tcPr>
            <w:tcW w:w="1182" w:type="pct"/>
            <w:tcBorders>
              <w:tl2br w:val="nil"/>
              <w:tr2bl w:val="nil"/>
            </w:tcBorders>
            <w:noWrap w:val="0"/>
            <w:vAlign w:val="center"/>
          </w:tcPr>
          <w:p w14:paraId="684FFBC8">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年平均质量浓度</w:t>
            </w:r>
          </w:p>
        </w:tc>
        <w:tc>
          <w:tcPr>
            <w:tcW w:w="1020" w:type="pct"/>
            <w:tcBorders>
              <w:tl2br w:val="nil"/>
              <w:tr2bl w:val="nil"/>
            </w:tcBorders>
            <w:noWrap w:val="0"/>
            <w:vAlign w:val="center"/>
          </w:tcPr>
          <w:p w14:paraId="300068E0">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4.6</w:t>
            </w:r>
          </w:p>
        </w:tc>
        <w:tc>
          <w:tcPr>
            <w:tcW w:w="883" w:type="pct"/>
            <w:tcBorders>
              <w:tl2br w:val="nil"/>
              <w:tr2bl w:val="nil"/>
            </w:tcBorders>
            <w:noWrap w:val="0"/>
            <w:vAlign w:val="center"/>
          </w:tcPr>
          <w:p w14:paraId="4FE17070">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60</w:t>
            </w:r>
          </w:p>
        </w:tc>
        <w:tc>
          <w:tcPr>
            <w:tcW w:w="633" w:type="pct"/>
            <w:tcBorders>
              <w:tl2br w:val="nil"/>
              <w:tr2bl w:val="nil"/>
            </w:tcBorders>
            <w:noWrap w:val="0"/>
            <w:vAlign w:val="center"/>
          </w:tcPr>
          <w:p w14:paraId="61C410C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7.7</w:t>
            </w:r>
          </w:p>
        </w:tc>
        <w:tc>
          <w:tcPr>
            <w:tcW w:w="727" w:type="pct"/>
            <w:tcBorders>
              <w:tl2br w:val="nil"/>
              <w:tr2bl w:val="nil"/>
            </w:tcBorders>
            <w:noWrap w:val="0"/>
            <w:vAlign w:val="center"/>
          </w:tcPr>
          <w:p w14:paraId="5A9A6AD2">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达标</w:t>
            </w:r>
          </w:p>
        </w:tc>
      </w:tr>
      <w:tr w14:paraId="3B5205D8">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2" w:type="pct"/>
            <w:tcBorders>
              <w:tl2br w:val="nil"/>
              <w:tr2bl w:val="nil"/>
            </w:tcBorders>
            <w:noWrap w:val="0"/>
            <w:vAlign w:val="center"/>
          </w:tcPr>
          <w:p w14:paraId="244C2FC3">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NO</w:t>
            </w:r>
            <w:r>
              <w:rPr>
                <w:color w:val="auto"/>
                <w:sz w:val="21"/>
                <w:szCs w:val="21"/>
                <w:vertAlign w:val="subscript"/>
                <w:lang w:bidi="ar"/>
              </w:rPr>
              <w:t>2</w:t>
            </w:r>
          </w:p>
        </w:tc>
        <w:tc>
          <w:tcPr>
            <w:tcW w:w="1182" w:type="pct"/>
            <w:tcBorders>
              <w:tl2br w:val="nil"/>
              <w:tr2bl w:val="nil"/>
            </w:tcBorders>
            <w:noWrap w:val="0"/>
            <w:vAlign w:val="center"/>
          </w:tcPr>
          <w:p w14:paraId="078F4B5E">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年平均质量浓度</w:t>
            </w:r>
          </w:p>
        </w:tc>
        <w:tc>
          <w:tcPr>
            <w:tcW w:w="1020" w:type="pct"/>
            <w:tcBorders>
              <w:tl2br w:val="nil"/>
              <w:tr2bl w:val="nil"/>
            </w:tcBorders>
            <w:noWrap w:val="0"/>
            <w:vAlign w:val="center"/>
          </w:tcPr>
          <w:p w14:paraId="1D64659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23.2</w:t>
            </w:r>
          </w:p>
        </w:tc>
        <w:tc>
          <w:tcPr>
            <w:tcW w:w="883" w:type="pct"/>
            <w:tcBorders>
              <w:tl2br w:val="nil"/>
              <w:tr2bl w:val="nil"/>
            </w:tcBorders>
            <w:noWrap w:val="0"/>
            <w:vAlign w:val="center"/>
          </w:tcPr>
          <w:p w14:paraId="4C3D1A99">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40</w:t>
            </w:r>
          </w:p>
        </w:tc>
        <w:tc>
          <w:tcPr>
            <w:tcW w:w="633" w:type="pct"/>
            <w:tcBorders>
              <w:tl2br w:val="nil"/>
              <w:tr2bl w:val="nil"/>
            </w:tcBorders>
            <w:noWrap w:val="0"/>
            <w:vAlign w:val="center"/>
          </w:tcPr>
          <w:p w14:paraId="50FFF6B8">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58</w:t>
            </w:r>
          </w:p>
        </w:tc>
        <w:tc>
          <w:tcPr>
            <w:tcW w:w="727" w:type="pct"/>
            <w:tcBorders>
              <w:tl2br w:val="nil"/>
              <w:tr2bl w:val="nil"/>
            </w:tcBorders>
            <w:noWrap w:val="0"/>
            <w:vAlign w:val="center"/>
          </w:tcPr>
          <w:p w14:paraId="5015AC7D">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达标</w:t>
            </w:r>
          </w:p>
        </w:tc>
      </w:tr>
      <w:tr w14:paraId="4AEBD93D">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2" w:type="pct"/>
            <w:tcBorders>
              <w:tl2br w:val="nil"/>
              <w:tr2bl w:val="nil"/>
            </w:tcBorders>
            <w:noWrap w:val="0"/>
            <w:vAlign w:val="center"/>
          </w:tcPr>
          <w:p w14:paraId="2B2F389C">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PM</w:t>
            </w:r>
            <w:r>
              <w:rPr>
                <w:color w:val="auto"/>
                <w:sz w:val="21"/>
                <w:szCs w:val="21"/>
                <w:vertAlign w:val="subscript"/>
                <w:lang w:bidi="ar"/>
              </w:rPr>
              <w:t>10</w:t>
            </w:r>
          </w:p>
        </w:tc>
        <w:tc>
          <w:tcPr>
            <w:tcW w:w="1182" w:type="pct"/>
            <w:tcBorders>
              <w:tl2br w:val="nil"/>
              <w:tr2bl w:val="nil"/>
            </w:tcBorders>
            <w:noWrap w:val="0"/>
            <w:vAlign w:val="center"/>
          </w:tcPr>
          <w:p w14:paraId="67FCB2FA">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年平均质量浓度</w:t>
            </w:r>
          </w:p>
        </w:tc>
        <w:tc>
          <w:tcPr>
            <w:tcW w:w="1020" w:type="pct"/>
            <w:tcBorders>
              <w:tl2br w:val="nil"/>
              <w:tr2bl w:val="nil"/>
            </w:tcBorders>
            <w:noWrap w:val="0"/>
            <w:vAlign w:val="center"/>
          </w:tcPr>
          <w:p w14:paraId="4D060085">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44.8</w:t>
            </w:r>
          </w:p>
        </w:tc>
        <w:tc>
          <w:tcPr>
            <w:tcW w:w="883" w:type="pct"/>
            <w:tcBorders>
              <w:tl2br w:val="nil"/>
              <w:tr2bl w:val="nil"/>
            </w:tcBorders>
            <w:noWrap w:val="0"/>
            <w:vAlign w:val="center"/>
          </w:tcPr>
          <w:p w14:paraId="63F6D432">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70</w:t>
            </w:r>
          </w:p>
        </w:tc>
        <w:tc>
          <w:tcPr>
            <w:tcW w:w="633" w:type="pct"/>
            <w:tcBorders>
              <w:tl2br w:val="nil"/>
              <w:tr2bl w:val="nil"/>
            </w:tcBorders>
            <w:noWrap w:val="0"/>
            <w:vAlign w:val="center"/>
          </w:tcPr>
          <w:p w14:paraId="29317A4C">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64</w:t>
            </w:r>
          </w:p>
        </w:tc>
        <w:tc>
          <w:tcPr>
            <w:tcW w:w="727" w:type="pct"/>
            <w:tcBorders>
              <w:tl2br w:val="nil"/>
              <w:tr2bl w:val="nil"/>
            </w:tcBorders>
            <w:noWrap w:val="0"/>
            <w:vAlign w:val="center"/>
          </w:tcPr>
          <w:p w14:paraId="66319491">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达标</w:t>
            </w:r>
          </w:p>
        </w:tc>
      </w:tr>
      <w:tr w14:paraId="1ADA99F6">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2" w:type="pct"/>
            <w:tcBorders>
              <w:tl2br w:val="nil"/>
              <w:tr2bl w:val="nil"/>
            </w:tcBorders>
            <w:noWrap w:val="0"/>
            <w:vAlign w:val="center"/>
          </w:tcPr>
          <w:p w14:paraId="5399615A">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bidi="ar"/>
              </w:rPr>
              <w:t>PM2.5</w:t>
            </w:r>
          </w:p>
        </w:tc>
        <w:tc>
          <w:tcPr>
            <w:tcW w:w="1182" w:type="pct"/>
            <w:tcBorders>
              <w:tl2br w:val="nil"/>
              <w:tr2bl w:val="nil"/>
            </w:tcBorders>
            <w:noWrap w:val="0"/>
            <w:vAlign w:val="center"/>
          </w:tcPr>
          <w:p w14:paraId="6A2C3D8E">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年平均质量浓度</w:t>
            </w:r>
          </w:p>
        </w:tc>
        <w:tc>
          <w:tcPr>
            <w:tcW w:w="1020" w:type="pct"/>
            <w:tcBorders>
              <w:tl2br w:val="nil"/>
              <w:tr2bl w:val="nil"/>
            </w:tcBorders>
            <w:noWrap w:val="0"/>
            <w:vAlign w:val="center"/>
          </w:tcPr>
          <w:p w14:paraId="6A6E0911">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29.7</w:t>
            </w:r>
          </w:p>
        </w:tc>
        <w:tc>
          <w:tcPr>
            <w:tcW w:w="883" w:type="pct"/>
            <w:tcBorders>
              <w:tl2br w:val="nil"/>
              <w:tr2bl w:val="nil"/>
            </w:tcBorders>
            <w:noWrap w:val="0"/>
            <w:vAlign w:val="center"/>
          </w:tcPr>
          <w:p w14:paraId="27360226">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35</w:t>
            </w:r>
          </w:p>
        </w:tc>
        <w:tc>
          <w:tcPr>
            <w:tcW w:w="633" w:type="pct"/>
            <w:tcBorders>
              <w:tl2br w:val="nil"/>
              <w:tr2bl w:val="nil"/>
            </w:tcBorders>
            <w:noWrap w:val="0"/>
            <w:vAlign w:val="center"/>
          </w:tcPr>
          <w:p w14:paraId="2BB34B96">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84.9</w:t>
            </w:r>
          </w:p>
        </w:tc>
        <w:tc>
          <w:tcPr>
            <w:tcW w:w="727" w:type="pct"/>
            <w:tcBorders>
              <w:tl2br w:val="nil"/>
              <w:tr2bl w:val="nil"/>
            </w:tcBorders>
            <w:noWrap w:val="0"/>
            <w:vAlign w:val="center"/>
          </w:tcPr>
          <w:p w14:paraId="050CC4B7">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达标</w:t>
            </w:r>
          </w:p>
        </w:tc>
      </w:tr>
      <w:tr w14:paraId="6E788747">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2" w:type="pct"/>
            <w:tcBorders>
              <w:tl2br w:val="nil"/>
              <w:tr2bl w:val="nil"/>
            </w:tcBorders>
            <w:noWrap w:val="0"/>
            <w:vAlign w:val="center"/>
          </w:tcPr>
          <w:p w14:paraId="2A257BFC">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CO</w:t>
            </w:r>
          </w:p>
        </w:tc>
        <w:tc>
          <w:tcPr>
            <w:tcW w:w="1182" w:type="pct"/>
            <w:tcBorders>
              <w:tl2br w:val="nil"/>
              <w:tr2bl w:val="nil"/>
            </w:tcBorders>
            <w:noWrap w:val="0"/>
            <w:vAlign w:val="center"/>
          </w:tcPr>
          <w:p w14:paraId="507B9717">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lang w:bidi="ar"/>
              </w:rPr>
              <w:t>百分位数日平均或8h平均质量浓度</w:t>
            </w:r>
          </w:p>
        </w:tc>
        <w:tc>
          <w:tcPr>
            <w:tcW w:w="1020" w:type="pct"/>
            <w:tcBorders>
              <w:tl2br w:val="nil"/>
              <w:tr2bl w:val="nil"/>
            </w:tcBorders>
            <w:noWrap w:val="0"/>
            <w:vAlign w:val="center"/>
          </w:tcPr>
          <w:p w14:paraId="44F520DD">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1000</w:t>
            </w:r>
          </w:p>
        </w:tc>
        <w:tc>
          <w:tcPr>
            <w:tcW w:w="883" w:type="pct"/>
            <w:tcBorders>
              <w:tl2br w:val="nil"/>
              <w:tr2bl w:val="nil"/>
            </w:tcBorders>
            <w:noWrap w:val="0"/>
            <w:vAlign w:val="center"/>
          </w:tcPr>
          <w:p w14:paraId="187510F8">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lang w:bidi="ar"/>
              </w:rPr>
              <w:t>4000</w:t>
            </w:r>
          </w:p>
        </w:tc>
        <w:tc>
          <w:tcPr>
            <w:tcW w:w="633" w:type="pct"/>
            <w:tcBorders>
              <w:tl2br w:val="nil"/>
              <w:tr2bl w:val="nil"/>
            </w:tcBorders>
            <w:noWrap w:val="0"/>
            <w:vAlign w:val="center"/>
          </w:tcPr>
          <w:p w14:paraId="10BC2061">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25</w:t>
            </w:r>
          </w:p>
        </w:tc>
        <w:tc>
          <w:tcPr>
            <w:tcW w:w="727" w:type="pct"/>
            <w:tcBorders>
              <w:tl2br w:val="nil"/>
              <w:tr2bl w:val="nil"/>
            </w:tcBorders>
            <w:noWrap w:val="0"/>
            <w:vAlign w:val="center"/>
          </w:tcPr>
          <w:p w14:paraId="22704B8C">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达标</w:t>
            </w:r>
          </w:p>
        </w:tc>
      </w:tr>
      <w:tr w14:paraId="4E17C9FC">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2" w:type="pct"/>
            <w:tcBorders>
              <w:tl2br w:val="nil"/>
              <w:tr2bl w:val="nil"/>
            </w:tcBorders>
            <w:noWrap w:val="0"/>
            <w:vAlign w:val="center"/>
          </w:tcPr>
          <w:p w14:paraId="4EE23B32">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O</w:t>
            </w:r>
            <w:r>
              <w:rPr>
                <w:color w:val="auto"/>
                <w:sz w:val="21"/>
                <w:szCs w:val="21"/>
                <w:vertAlign w:val="subscript"/>
                <w:lang w:bidi="ar"/>
              </w:rPr>
              <w:t>3</w:t>
            </w:r>
          </w:p>
        </w:tc>
        <w:tc>
          <w:tcPr>
            <w:tcW w:w="1182" w:type="pct"/>
            <w:tcBorders>
              <w:tl2br w:val="nil"/>
              <w:tr2bl w:val="nil"/>
            </w:tcBorders>
            <w:noWrap w:val="0"/>
            <w:vAlign w:val="center"/>
          </w:tcPr>
          <w:p w14:paraId="753F8CE2">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lang w:bidi="ar"/>
              </w:rPr>
              <w:t>百分位数日平均或8h平均质量浓度</w:t>
            </w:r>
          </w:p>
        </w:tc>
        <w:tc>
          <w:tcPr>
            <w:tcW w:w="1020" w:type="pct"/>
            <w:tcBorders>
              <w:tl2br w:val="nil"/>
              <w:tr2bl w:val="nil"/>
            </w:tcBorders>
            <w:noWrap w:val="0"/>
            <w:vAlign w:val="center"/>
          </w:tcPr>
          <w:p w14:paraId="078CF86C">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119</w:t>
            </w:r>
          </w:p>
        </w:tc>
        <w:tc>
          <w:tcPr>
            <w:tcW w:w="883" w:type="pct"/>
            <w:tcBorders>
              <w:tl2br w:val="nil"/>
              <w:tr2bl w:val="nil"/>
            </w:tcBorders>
            <w:noWrap w:val="0"/>
            <w:vAlign w:val="center"/>
          </w:tcPr>
          <w:p w14:paraId="048A9C8B">
            <w:pPr>
              <w:pageBreakBefore w:val="0"/>
              <w:wordWrap/>
              <w:bidi w:val="0"/>
              <w:adjustRightInd/>
              <w:snapToGrid/>
              <w:spacing w:line="240" w:lineRule="auto"/>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lang w:bidi="ar"/>
              </w:rPr>
              <w:t>160</w:t>
            </w:r>
          </w:p>
        </w:tc>
        <w:tc>
          <w:tcPr>
            <w:tcW w:w="633" w:type="pct"/>
            <w:tcBorders>
              <w:tl2br w:val="nil"/>
              <w:tr2bl w:val="nil"/>
            </w:tcBorders>
            <w:noWrap w:val="0"/>
            <w:vAlign w:val="center"/>
          </w:tcPr>
          <w:p w14:paraId="5261BB18">
            <w:pPr>
              <w:pageBreakBefore w:val="0"/>
              <w:wordWrap/>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74.4</w:t>
            </w:r>
          </w:p>
        </w:tc>
        <w:tc>
          <w:tcPr>
            <w:tcW w:w="727" w:type="pct"/>
            <w:tcBorders>
              <w:tl2br w:val="nil"/>
              <w:tr2bl w:val="nil"/>
            </w:tcBorders>
            <w:noWrap w:val="0"/>
            <w:vAlign w:val="center"/>
          </w:tcPr>
          <w:p w14:paraId="494EA17C">
            <w:pPr>
              <w:pageBreakBefore w:val="0"/>
              <w:wordWrap/>
              <w:bidi w:val="0"/>
              <w:adjustRightInd/>
              <w:snapToGrid/>
              <w:spacing w:line="240" w:lineRule="auto"/>
              <w:ind w:firstLine="0" w:firstLineChars="0"/>
              <w:jc w:val="center"/>
              <w:rPr>
                <w:color w:val="auto"/>
                <w:sz w:val="21"/>
                <w:szCs w:val="21"/>
              </w:rPr>
            </w:pPr>
            <w:r>
              <w:rPr>
                <w:color w:val="auto"/>
                <w:sz w:val="21"/>
                <w:szCs w:val="21"/>
                <w:lang w:bidi="ar"/>
              </w:rPr>
              <w:t>达标</w:t>
            </w:r>
          </w:p>
        </w:tc>
      </w:tr>
    </w:tbl>
    <w:p w14:paraId="4417F5CA">
      <w:pPr>
        <w:pageBreakBefore w:val="0"/>
        <w:wordWrap/>
        <w:bidi w:val="0"/>
        <w:adjustRightInd/>
        <w:snapToGrid/>
        <w:spacing w:before="120" w:beforeLines="50"/>
        <w:ind w:firstLine="480"/>
        <w:rPr>
          <w:color w:val="auto"/>
        </w:rPr>
      </w:pPr>
      <w:r>
        <w:rPr>
          <w:color w:val="auto"/>
          <w:lang w:bidi="ar"/>
        </w:rPr>
        <w:t>从上表可以看出，</w:t>
      </w:r>
      <w:r>
        <w:rPr>
          <w:rFonts w:hint="eastAsia"/>
          <w:color w:val="auto"/>
          <w:lang w:bidi="ar"/>
        </w:rPr>
        <w:t>巴中市六项基本因子均满足《环境空气质量标准》（GB3095-2012）中的二级标准，区域大气环境质量达标。</w:t>
      </w:r>
    </w:p>
    <w:p w14:paraId="489AFBB1">
      <w:pPr>
        <w:bidi w:val="0"/>
        <w:rPr>
          <w:b/>
          <w:bCs/>
          <w:color w:val="auto"/>
        </w:rPr>
      </w:pPr>
      <w:r>
        <w:rPr>
          <w:b/>
          <w:bCs/>
          <w:color w:val="auto"/>
        </w:rPr>
        <w:t>（二）污染物环境质量现状监测</w:t>
      </w:r>
    </w:p>
    <w:p w14:paraId="5735FE5A">
      <w:pPr>
        <w:pageBreakBefore w:val="0"/>
        <w:wordWrap/>
        <w:bidi w:val="0"/>
        <w:adjustRightInd/>
        <w:snapToGrid/>
        <w:ind w:firstLine="480"/>
        <w:rPr>
          <w:color w:val="auto"/>
        </w:rPr>
      </w:pPr>
      <w:r>
        <w:rPr>
          <w:color w:val="auto"/>
        </w:rPr>
        <w:t>（1）监测点位</w:t>
      </w:r>
    </w:p>
    <w:p w14:paraId="6B187E5C">
      <w:pPr>
        <w:pageBreakBefore w:val="0"/>
        <w:wordWrap/>
        <w:bidi w:val="0"/>
        <w:adjustRightInd/>
        <w:snapToGrid/>
        <w:ind w:firstLine="480"/>
        <w:rPr>
          <w:color w:val="auto"/>
        </w:rPr>
      </w:pPr>
      <w:r>
        <w:rPr>
          <w:bCs/>
          <w:color w:val="auto"/>
        </w:rPr>
        <w:t>布设1处监测点位，点位布置见下表</w:t>
      </w:r>
      <w:r>
        <w:rPr>
          <w:color w:val="auto"/>
        </w:rPr>
        <w:t>。</w:t>
      </w:r>
    </w:p>
    <w:p w14:paraId="74DD8106">
      <w:pPr>
        <w:pStyle w:val="19"/>
        <w:numPr>
          <w:ilvl w:val="0"/>
          <w:numId w:val="28"/>
        </w:numPr>
        <w:bidi w:val="0"/>
        <w:rPr>
          <w:color w:val="auto"/>
        </w:rPr>
      </w:pPr>
      <w:r>
        <w:rPr>
          <w:color w:val="auto"/>
        </w:rPr>
        <w:t>环境空气监测布点</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108" w:type="dxa"/>
          <w:bottom w:w="0" w:type="dxa"/>
          <w:right w:w="108" w:type="dxa"/>
        </w:tblCellMar>
      </w:tblPr>
      <w:tblGrid>
        <w:gridCol w:w="1116"/>
        <w:gridCol w:w="3329"/>
        <w:gridCol w:w="2359"/>
        <w:gridCol w:w="2137"/>
      </w:tblGrid>
      <w:tr w14:paraId="3B463FEB">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624" w:type="pct"/>
            <w:tcBorders>
              <w:tl2br w:val="nil"/>
              <w:tr2bl w:val="nil"/>
            </w:tcBorders>
            <w:noWrap w:val="0"/>
            <w:vAlign w:val="center"/>
          </w:tcPr>
          <w:p w14:paraId="4EB5FD74">
            <w:pPr>
              <w:pStyle w:val="16"/>
              <w:bidi w:val="0"/>
              <w:rPr>
                <w:rFonts w:hint="default"/>
                <w:b/>
                <w:bCs/>
                <w:color w:val="auto"/>
                <w:lang w:val="en-US" w:eastAsia="zh-CN"/>
              </w:rPr>
            </w:pPr>
            <w:r>
              <w:rPr>
                <w:rFonts w:hint="default"/>
                <w:b/>
                <w:bCs/>
                <w:color w:val="auto"/>
              </w:rPr>
              <w:t>点位编号</w:t>
            </w:r>
          </w:p>
        </w:tc>
        <w:tc>
          <w:tcPr>
            <w:tcW w:w="1861" w:type="pct"/>
            <w:tcBorders>
              <w:tl2br w:val="nil"/>
              <w:tr2bl w:val="nil"/>
            </w:tcBorders>
            <w:noWrap w:val="0"/>
            <w:vAlign w:val="center"/>
          </w:tcPr>
          <w:p w14:paraId="69DD49F6">
            <w:pPr>
              <w:pStyle w:val="16"/>
              <w:bidi w:val="0"/>
              <w:rPr>
                <w:rFonts w:hint="default"/>
                <w:b/>
                <w:bCs/>
                <w:color w:val="auto"/>
                <w:lang w:val="en-US" w:eastAsia="zh-CN"/>
              </w:rPr>
            </w:pPr>
            <w:r>
              <w:rPr>
                <w:rFonts w:hint="default"/>
                <w:b/>
                <w:bCs/>
                <w:color w:val="auto"/>
              </w:rPr>
              <w:t>检测点</w:t>
            </w:r>
            <w:r>
              <w:rPr>
                <w:rFonts w:hint="default"/>
                <w:b/>
                <w:bCs/>
                <w:color w:val="auto"/>
                <w:lang w:val="en-US" w:eastAsia="zh-CN"/>
              </w:rPr>
              <w:t>位</w:t>
            </w:r>
          </w:p>
        </w:tc>
        <w:tc>
          <w:tcPr>
            <w:tcW w:w="1319" w:type="pct"/>
            <w:tcBorders>
              <w:tl2br w:val="nil"/>
              <w:tr2bl w:val="nil"/>
            </w:tcBorders>
            <w:noWrap w:val="0"/>
            <w:vAlign w:val="center"/>
          </w:tcPr>
          <w:p w14:paraId="0D92F853">
            <w:pPr>
              <w:pStyle w:val="16"/>
              <w:bidi w:val="0"/>
              <w:rPr>
                <w:rFonts w:hint="default"/>
                <w:b/>
                <w:bCs/>
                <w:color w:val="auto"/>
              </w:rPr>
            </w:pPr>
            <w:r>
              <w:rPr>
                <w:rFonts w:hint="default"/>
                <w:b/>
                <w:bCs/>
                <w:color w:val="auto"/>
              </w:rPr>
              <w:t>检测项目</w:t>
            </w:r>
          </w:p>
        </w:tc>
        <w:tc>
          <w:tcPr>
            <w:tcW w:w="1195" w:type="pct"/>
            <w:tcBorders>
              <w:tl2br w:val="nil"/>
              <w:tr2bl w:val="nil"/>
            </w:tcBorders>
            <w:noWrap w:val="0"/>
            <w:vAlign w:val="center"/>
          </w:tcPr>
          <w:p w14:paraId="399EEFC7">
            <w:pPr>
              <w:pStyle w:val="16"/>
              <w:bidi w:val="0"/>
              <w:rPr>
                <w:rFonts w:hint="default"/>
                <w:b/>
                <w:bCs/>
                <w:color w:val="auto"/>
              </w:rPr>
            </w:pPr>
            <w:r>
              <w:rPr>
                <w:rFonts w:hint="default"/>
                <w:b/>
                <w:bCs/>
                <w:color w:val="auto"/>
              </w:rPr>
              <w:t>检测频次</w:t>
            </w:r>
          </w:p>
        </w:tc>
      </w:tr>
      <w:tr w14:paraId="08215F0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624" w:type="pct"/>
            <w:tcBorders>
              <w:tl2br w:val="nil"/>
              <w:tr2bl w:val="nil"/>
            </w:tcBorders>
            <w:noWrap w:val="0"/>
            <w:vAlign w:val="center"/>
          </w:tcPr>
          <w:p w14:paraId="01FF5685">
            <w:pPr>
              <w:pStyle w:val="16"/>
              <w:bidi w:val="0"/>
              <w:rPr>
                <w:rFonts w:hint="default"/>
                <w:color w:val="auto"/>
                <w:lang w:val="en-US" w:eastAsia="zh-CN"/>
              </w:rPr>
            </w:pPr>
            <w:r>
              <w:rPr>
                <w:rFonts w:hint="eastAsia"/>
                <w:color w:val="auto"/>
                <w:lang w:val="en-US" w:eastAsia="zh-CN"/>
              </w:rPr>
              <w:t>○</w:t>
            </w:r>
            <w:r>
              <w:rPr>
                <w:rFonts w:hint="default"/>
                <w:color w:val="auto"/>
                <w:lang w:val="en-US" w:eastAsia="zh-CN"/>
              </w:rPr>
              <w:t>1#</w:t>
            </w:r>
          </w:p>
        </w:tc>
        <w:tc>
          <w:tcPr>
            <w:tcW w:w="1861" w:type="pct"/>
            <w:tcBorders>
              <w:tl2br w:val="nil"/>
              <w:tr2bl w:val="nil"/>
            </w:tcBorders>
            <w:noWrap w:val="0"/>
            <w:vAlign w:val="center"/>
          </w:tcPr>
          <w:p w14:paraId="4B193F0D">
            <w:pPr>
              <w:pStyle w:val="16"/>
              <w:bidi w:val="0"/>
              <w:rPr>
                <w:rFonts w:hint="default"/>
                <w:color w:val="auto"/>
                <w:lang w:val="en-US" w:eastAsia="zh-CN"/>
              </w:rPr>
            </w:pPr>
            <w:r>
              <w:rPr>
                <w:rFonts w:hint="eastAsia"/>
                <w:color w:val="auto"/>
                <w:lang w:val="en-US" w:eastAsia="zh-CN"/>
              </w:rPr>
              <w:t>拟建项目厂界外下风向东侧6m处</w:t>
            </w:r>
          </w:p>
        </w:tc>
        <w:tc>
          <w:tcPr>
            <w:tcW w:w="1319" w:type="pct"/>
            <w:tcBorders>
              <w:tl2br w:val="nil"/>
              <w:tr2bl w:val="nil"/>
            </w:tcBorders>
            <w:noWrap w:val="0"/>
            <w:vAlign w:val="center"/>
          </w:tcPr>
          <w:p w14:paraId="6BABDE63">
            <w:pPr>
              <w:pStyle w:val="16"/>
              <w:bidi w:val="0"/>
              <w:rPr>
                <w:rFonts w:hint="default"/>
                <w:color w:val="auto"/>
                <w:lang w:val="en-US" w:eastAsia="zh-CN"/>
              </w:rPr>
            </w:pPr>
            <w:r>
              <w:rPr>
                <w:rFonts w:hint="eastAsia"/>
                <w:color w:val="auto"/>
                <w:lang w:val="en-US" w:eastAsia="zh-CN"/>
              </w:rPr>
              <w:t>氨、硫化氢、臭气浓度</w:t>
            </w:r>
          </w:p>
        </w:tc>
        <w:tc>
          <w:tcPr>
            <w:tcW w:w="1195" w:type="pct"/>
            <w:tcBorders>
              <w:tl2br w:val="nil"/>
              <w:tr2bl w:val="nil"/>
            </w:tcBorders>
            <w:noWrap w:val="0"/>
            <w:vAlign w:val="center"/>
          </w:tcPr>
          <w:p w14:paraId="3D99022D">
            <w:pPr>
              <w:pStyle w:val="16"/>
              <w:bidi w:val="0"/>
              <w:rPr>
                <w:rFonts w:hint="default"/>
                <w:color w:val="auto"/>
                <w:lang w:val="en-US" w:eastAsia="zh-CN"/>
              </w:rPr>
            </w:pPr>
            <w:r>
              <w:rPr>
                <w:rFonts w:hint="default"/>
                <w:color w:val="auto"/>
              </w:rPr>
              <w:t>检测</w:t>
            </w:r>
            <w:r>
              <w:rPr>
                <w:rFonts w:hint="eastAsia"/>
                <w:color w:val="auto"/>
                <w:lang w:val="en-US" w:eastAsia="zh-CN"/>
              </w:rPr>
              <w:t>7</w:t>
            </w:r>
            <w:r>
              <w:rPr>
                <w:rFonts w:hint="default"/>
                <w:color w:val="auto"/>
              </w:rPr>
              <w:t>天</w:t>
            </w:r>
            <w:r>
              <w:rPr>
                <w:rFonts w:hint="eastAsia"/>
                <w:color w:val="auto"/>
                <w:lang w:eastAsia="zh-CN"/>
              </w:rPr>
              <w:t>，</w:t>
            </w:r>
            <w:r>
              <w:rPr>
                <w:rFonts w:hint="eastAsia"/>
                <w:color w:val="auto"/>
                <w:lang w:val="en-US" w:eastAsia="zh-CN"/>
              </w:rPr>
              <w:t>每天4次</w:t>
            </w:r>
          </w:p>
        </w:tc>
      </w:tr>
    </w:tbl>
    <w:p w14:paraId="04B06039">
      <w:pPr>
        <w:keepNext w:val="0"/>
        <w:keepLines w:val="0"/>
        <w:pageBreakBefore w:val="0"/>
        <w:widowControl w:val="0"/>
        <w:kinsoku/>
        <w:wordWrap/>
        <w:overflowPunct/>
        <w:topLinePunct w:val="0"/>
        <w:autoSpaceDE/>
        <w:autoSpaceDN/>
        <w:bidi w:val="0"/>
        <w:adjustRightInd/>
        <w:snapToGrid/>
        <w:spacing w:before="0" w:beforeLines="50"/>
        <w:textAlignment w:val="auto"/>
        <w:rPr>
          <w:color w:val="auto"/>
        </w:rPr>
      </w:pPr>
      <w:r>
        <w:rPr>
          <w:color w:val="auto"/>
        </w:rPr>
        <w:t>（2）监测项目</w:t>
      </w:r>
    </w:p>
    <w:p w14:paraId="655AD3BF">
      <w:pPr>
        <w:bidi w:val="0"/>
        <w:rPr>
          <w:color w:val="auto"/>
        </w:rPr>
      </w:pPr>
      <w:r>
        <w:rPr>
          <w:color w:val="auto"/>
        </w:rPr>
        <w:t>NH</w:t>
      </w:r>
      <w:r>
        <w:rPr>
          <w:color w:val="auto"/>
          <w:vertAlign w:val="subscript"/>
        </w:rPr>
        <w:t>3</w:t>
      </w:r>
      <w:r>
        <w:rPr>
          <w:color w:val="auto"/>
        </w:rPr>
        <w:t>、H</w:t>
      </w:r>
      <w:r>
        <w:rPr>
          <w:color w:val="auto"/>
          <w:vertAlign w:val="subscript"/>
        </w:rPr>
        <w:t>2</w:t>
      </w:r>
      <w:r>
        <w:rPr>
          <w:color w:val="auto"/>
        </w:rPr>
        <w:t>S</w:t>
      </w:r>
      <w:r>
        <w:rPr>
          <w:rFonts w:hint="eastAsia"/>
          <w:color w:val="auto"/>
          <w:lang w:eastAsia="zh-CN"/>
        </w:rPr>
        <w:t>、</w:t>
      </w:r>
      <w:r>
        <w:rPr>
          <w:rFonts w:hint="eastAsia"/>
          <w:color w:val="auto"/>
          <w:lang w:val="en-US" w:eastAsia="zh-CN"/>
        </w:rPr>
        <w:t>臭气浓度</w:t>
      </w:r>
      <w:r>
        <w:rPr>
          <w:color w:val="auto"/>
        </w:rPr>
        <w:t>共</w:t>
      </w:r>
      <w:r>
        <w:rPr>
          <w:rFonts w:hint="eastAsia"/>
          <w:color w:val="auto"/>
          <w:lang w:val="en-US" w:eastAsia="zh-CN"/>
        </w:rPr>
        <w:t>3</w:t>
      </w:r>
      <w:r>
        <w:rPr>
          <w:color w:val="auto"/>
        </w:rPr>
        <w:t>项。</w:t>
      </w:r>
    </w:p>
    <w:p w14:paraId="2F66D4D8">
      <w:pPr>
        <w:bidi w:val="0"/>
        <w:rPr>
          <w:color w:val="auto"/>
        </w:rPr>
      </w:pPr>
      <w:r>
        <w:rPr>
          <w:color w:val="auto"/>
        </w:rPr>
        <w:t>（3）监测频次</w:t>
      </w:r>
    </w:p>
    <w:p w14:paraId="19199A0A">
      <w:pPr>
        <w:bidi w:val="0"/>
        <w:rPr>
          <w:color w:val="auto"/>
        </w:rPr>
      </w:pPr>
      <w:r>
        <w:rPr>
          <w:color w:val="auto"/>
        </w:rPr>
        <w:t>连续监测7天，每天采样4次。</w:t>
      </w:r>
    </w:p>
    <w:p w14:paraId="63AB6D1C">
      <w:pPr>
        <w:pageBreakBefore w:val="0"/>
        <w:wordWrap/>
        <w:bidi w:val="0"/>
        <w:adjustRightInd/>
        <w:snapToGrid/>
        <w:ind w:firstLine="480"/>
        <w:textAlignment w:val="baseline"/>
        <w:rPr>
          <w:rFonts w:hint="eastAsia"/>
          <w:color w:val="auto"/>
        </w:rPr>
      </w:pPr>
      <w:r>
        <w:rPr>
          <w:color w:val="auto"/>
        </w:rPr>
        <w:t>（4）</w:t>
      </w:r>
      <w:r>
        <w:rPr>
          <w:rFonts w:hint="eastAsia"/>
          <w:color w:val="auto"/>
        </w:rPr>
        <w:t>监测因子及监测方法</w:t>
      </w:r>
    </w:p>
    <w:p w14:paraId="7C006BEA">
      <w:pPr>
        <w:pageBreakBefore w:val="0"/>
        <w:wordWrap/>
        <w:bidi w:val="0"/>
        <w:adjustRightInd/>
        <w:snapToGrid/>
        <w:ind w:firstLine="480"/>
        <w:textAlignment w:val="baseline"/>
        <w:rPr>
          <w:rFonts w:hint="eastAsia"/>
          <w:color w:val="auto"/>
        </w:rPr>
      </w:pPr>
      <w:r>
        <w:rPr>
          <w:rFonts w:hint="eastAsia"/>
          <w:color w:val="auto"/>
        </w:rPr>
        <w:t>本项目环境空气质量监测因子包括硫化氢、氨以及臭气浓度，其监测方法如下表所示。</w:t>
      </w:r>
    </w:p>
    <w:p w14:paraId="647C77F8">
      <w:pPr>
        <w:pStyle w:val="19"/>
        <w:numPr>
          <w:ilvl w:val="0"/>
          <w:numId w:val="28"/>
        </w:numPr>
        <w:bidi w:val="0"/>
        <w:rPr>
          <w:rFonts w:hint="eastAsia"/>
          <w:color w:val="auto"/>
        </w:rPr>
      </w:pPr>
      <w:r>
        <w:rPr>
          <w:rFonts w:hint="eastAsia"/>
          <w:color w:val="auto"/>
        </w:rPr>
        <w:t>监测方法及方法来源</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28" w:type="dxa"/>
          <w:bottom w:w="0" w:type="dxa"/>
          <w:right w:w="28" w:type="dxa"/>
        </w:tblCellMar>
      </w:tblPr>
      <w:tblGrid>
        <w:gridCol w:w="997"/>
        <w:gridCol w:w="2794"/>
        <w:gridCol w:w="1550"/>
        <w:gridCol w:w="2023"/>
        <w:gridCol w:w="1417"/>
      </w:tblGrid>
      <w:tr w14:paraId="5A1048C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tblHeader/>
          <w:jc w:val="center"/>
        </w:trPr>
        <w:tc>
          <w:tcPr>
            <w:tcW w:w="568" w:type="pct"/>
            <w:tcBorders>
              <w:tl2br w:val="nil"/>
              <w:tr2bl w:val="nil"/>
            </w:tcBorders>
            <w:noWrap w:val="0"/>
            <w:vAlign w:val="center"/>
          </w:tcPr>
          <w:p w14:paraId="1BC9DA99">
            <w:pPr>
              <w:pStyle w:val="16"/>
              <w:bidi w:val="0"/>
              <w:rPr>
                <w:rFonts w:hint="eastAsia"/>
                <w:b/>
                <w:bCs/>
                <w:color w:val="auto"/>
                <w:lang w:eastAsia="zh-CN"/>
              </w:rPr>
            </w:pPr>
            <w:r>
              <w:rPr>
                <w:rFonts w:hint="default"/>
                <w:b/>
                <w:bCs/>
                <w:color w:val="auto"/>
              </w:rPr>
              <w:t>检测</w:t>
            </w:r>
            <w:r>
              <w:rPr>
                <w:rFonts w:hint="eastAsia"/>
                <w:b/>
                <w:bCs/>
                <w:color w:val="auto"/>
                <w:lang w:val="en-US" w:eastAsia="zh-CN"/>
              </w:rPr>
              <w:t>项目</w:t>
            </w:r>
          </w:p>
        </w:tc>
        <w:tc>
          <w:tcPr>
            <w:tcW w:w="1590" w:type="pct"/>
            <w:tcBorders>
              <w:tl2br w:val="nil"/>
              <w:tr2bl w:val="nil"/>
            </w:tcBorders>
            <w:noWrap w:val="0"/>
            <w:vAlign w:val="center"/>
          </w:tcPr>
          <w:p w14:paraId="395EF13A">
            <w:pPr>
              <w:pStyle w:val="16"/>
              <w:bidi w:val="0"/>
              <w:rPr>
                <w:rFonts w:hint="default"/>
                <w:b/>
                <w:bCs/>
                <w:color w:val="auto"/>
              </w:rPr>
            </w:pPr>
            <w:r>
              <w:rPr>
                <w:rFonts w:hint="default"/>
                <w:b/>
                <w:bCs/>
                <w:color w:val="auto"/>
              </w:rPr>
              <w:t>检测方法</w:t>
            </w:r>
          </w:p>
        </w:tc>
        <w:tc>
          <w:tcPr>
            <w:tcW w:w="882" w:type="pct"/>
            <w:tcBorders>
              <w:tl2br w:val="nil"/>
              <w:tr2bl w:val="nil"/>
            </w:tcBorders>
            <w:noWrap w:val="0"/>
            <w:vAlign w:val="center"/>
          </w:tcPr>
          <w:p w14:paraId="10F8B011">
            <w:pPr>
              <w:pStyle w:val="16"/>
              <w:bidi w:val="0"/>
              <w:rPr>
                <w:rFonts w:hint="default"/>
                <w:b/>
                <w:bCs/>
                <w:color w:val="auto"/>
              </w:rPr>
            </w:pPr>
            <w:r>
              <w:rPr>
                <w:rFonts w:hint="default"/>
                <w:b/>
                <w:bCs/>
                <w:color w:val="auto"/>
              </w:rPr>
              <w:t>方法来源</w:t>
            </w:r>
          </w:p>
        </w:tc>
        <w:tc>
          <w:tcPr>
            <w:tcW w:w="1151" w:type="pct"/>
            <w:tcBorders>
              <w:tl2br w:val="nil"/>
              <w:tr2bl w:val="nil"/>
            </w:tcBorders>
            <w:noWrap w:val="0"/>
            <w:vAlign w:val="center"/>
          </w:tcPr>
          <w:p w14:paraId="636AB62D">
            <w:pPr>
              <w:pStyle w:val="16"/>
              <w:bidi w:val="0"/>
              <w:rPr>
                <w:rFonts w:hint="default"/>
                <w:b/>
                <w:bCs/>
                <w:color w:val="auto"/>
              </w:rPr>
            </w:pPr>
            <w:r>
              <w:rPr>
                <w:rFonts w:hint="default"/>
                <w:b/>
                <w:bCs/>
                <w:color w:val="auto"/>
              </w:rPr>
              <w:t>使用仪器及编号</w:t>
            </w:r>
          </w:p>
        </w:tc>
        <w:tc>
          <w:tcPr>
            <w:tcW w:w="806" w:type="pct"/>
            <w:tcBorders>
              <w:tl2br w:val="nil"/>
              <w:tr2bl w:val="nil"/>
            </w:tcBorders>
            <w:noWrap w:val="0"/>
            <w:vAlign w:val="center"/>
          </w:tcPr>
          <w:p w14:paraId="006735E1">
            <w:pPr>
              <w:pStyle w:val="16"/>
              <w:bidi w:val="0"/>
              <w:rPr>
                <w:rFonts w:hint="default"/>
                <w:b/>
                <w:bCs/>
                <w:color w:val="auto"/>
              </w:rPr>
            </w:pPr>
            <w:r>
              <w:rPr>
                <w:rFonts w:hint="default"/>
                <w:b/>
                <w:bCs/>
                <w:color w:val="auto"/>
              </w:rPr>
              <w:t>检出限</w:t>
            </w:r>
          </w:p>
        </w:tc>
      </w:tr>
      <w:tr w14:paraId="3AB344CA">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568" w:type="pct"/>
            <w:tcBorders>
              <w:tl2br w:val="nil"/>
              <w:tr2bl w:val="nil"/>
            </w:tcBorders>
            <w:noWrap w:val="0"/>
            <w:vAlign w:val="center"/>
          </w:tcPr>
          <w:p w14:paraId="5BF8BE0C">
            <w:pPr>
              <w:pStyle w:val="16"/>
              <w:bidi w:val="0"/>
              <w:rPr>
                <w:rFonts w:hint="default"/>
                <w:color w:val="auto"/>
                <w:lang w:val="en-US" w:eastAsia="zh-CN"/>
              </w:rPr>
            </w:pPr>
            <w:r>
              <w:rPr>
                <w:rFonts w:hint="default"/>
                <w:color w:val="auto"/>
                <w:lang w:val="en-US" w:eastAsia="zh-CN"/>
              </w:rPr>
              <w:t>氨</w:t>
            </w:r>
          </w:p>
        </w:tc>
        <w:tc>
          <w:tcPr>
            <w:tcW w:w="1590" w:type="pct"/>
            <w:tcBorders>
              <w:tl2br w:val="nil"/>
              <w:tr2bl w:val="nil"/>
            </w:tcBorders>
            <w:noWrap w:val="0"/>
            <w:vAlign w:val="center"/>
          </w:tcPr>
          <w:p w14:paraId="233DBB6F">
            <w:pPr>
              <w:pStyle w:val="16"/>
              <w:bidi w:val="0"/>
              <w:rPr>
                <w:rFonts w:hint="default"/>
                <w:color w:val="auto"/>
                <w:lang w:val="en-US" w:eastAsia="zh-CN"/>
              </w:rPr>
            </w:pPr>
            <w:r>
              <w:rPr>
                <w:rFonts w:hint="default"/>
                <w:color w:val="auto"/>
                <w:lang w:val="en-US" w:eastAsia="zh-CN"/>
              </w:rPr>
              <w:t>环境空气和废气 氨的测定 纳氏试剂分光光度法</w:t>
            </w:r>
          </w:p>
        </w:tc>
        <w:tc>
          <w:tcPr>
            <w:tcW w:w="882" w:type="pct"/>
            <w:tcBorders>
              <w:tl2br w:val="nil"/>
              <w:tr2bl w:val="nil"/>
            </w:tcBorders>
            <w:noWrap w:val="0"/>
            <w:vAlign w:val="center"/>
          </w:tcPr>
          <w:p w14:paraId="1552ED75">
            <w:pPr>
              <w:pStyle w:val="16"/>
              <w:bidi w:val="0"/>
              <w:rPr>
                <w:rFonts w:hint="default"/>
                <w:color w:val="auto"/>
                <w:lang w:val="en-US" w:eastAsia="zh-CN"/>
              </w:rPr>
            </w:pPr>
            <w:r>
              <w:rPr>
                <w:rFonts w:hint="default"/>
                <w:color w:val="auto"/>
                <w:lang w:val="en-US" w:eastAsia="zh-CN"/>
              </w:rPr>
              <w:t>HJ 533-2009</w:t>
            </w:r>
          </w:p>
        </w:tc>
        <w:tc>
          <w:tcPr>
            <w:tcW w:w="1151" w:type="pct"/>
            <w:tcBorders>
              <w:tl2br w:val="nil"/>
              <w:tr2bl w:val="nil"/>
            </w:tcBorders>
            <w:noWrap w:val="0"/>
            <w:vAlign w:val="center"/>
          </w:tcPr>
          <w:p w14:paraId="2E926B8F">
            <w:pPr>
              <w:pStyle w:val="16"/>
              <w:bidi w:val="0"/>
              <w:rPr>
                <w:rFonts w:hint="default"/>
                <w:color w:val="auto"/>
                <w:lang w:val="en-US" w:eastAsia="zh-CN"/>
              </w:rPr>
            </w:pPr>
            <w:r>
              <w:rPr>
                <w:rFonts w:hint="default"/>
                <w:color w:val="auto"/>
                <w:lang w:eastAsia="zh-CN"/>
              </w:rPr>
              <w:t>722可见分光光度计（HDH/YQ-41-01）</w:t>
            </w:r>
          </w:p>
        </w:tc>
        <w:tc>
          <w:tcPr>
            <w:tcW w:w="806" w:type="pct"/>
            <w:tcBorders>
              <w:tl2br w:val="nil"/>
              <w:tr2bl w:val="nil"/>
            </w:tcBorders>
            <w:noWrap w:val="0"/>
            <w:vAlign w:val="center"/>
          </w:tcPr>
          <w:p w14:paraId="20A69F36">
            <w:pPr>
              <w:pStyle w:val="16"/>
              <w:bidi w:val="0"/>
              <w:rPr>
                <w:rFonts w:hint="default"/>
                <w:color w:val="auto"/>
                <w:lang w:val="en-US" w:eastAsia="zh-CN"/>
              </w:rPr>
            </w:pPr>
            <w:r>
              <w:rPr>
                <w:rFonts w:hint="default"/>
                <w:color w:val="auto"/>
                <w:lang w:val="en-US" w:eastAsia="zh-CN"/>
              </w:rPr>
              <w:t>0.01mg/</w:t>
            </w:r>
            <w:r>
              <w:rPr>
                <w:rFonts w:hint="eastAsia"/>
                <w:color w:val="auto"/>
                <w:lang w:val="en-US" w:eastAsia="zh-CN"/>
              </w:rPr>
              <w:t>m³</w:t>
            </w:r>
          </w:p>
        </w:tc>
      </w:tr>
      <w:tr w14:paraId="66DBE2AC">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568" w:type="pct"/>
            <w:tcBorders>
              <w:tl2br w:val="nil"/>
              <w:tr2bl w:val="nil"/>
            </w:tcBorders>
            <w:noWrap w:val="0"/>
            <w:vAlign w:val="center"/>
          </w:tcPr>
          <w:p w14:paraId="7FA85013">
            <w:pPr>
              <w:pStyle w:val="16"/>
              <w:bidi w:val="0"/>
              <w:rPr>
                <w:rFonts w:hint="default"/>
                <w:color w:val="auto"/>
                <w:lang w:val="en-US" w:eastAsia="zh-CN"/>
              </w:rPr>
            </w:pPr>
            <w:r>
              <w:rPr>
                <w:rFonts w:hint="default"/>
                <w:color w:val="auto"/>
                <w:lang w:val="en-US" w:eastAsia="zh-CN"/>
              </w:rPr>
              <w:t>硫化氢</w:t>
            </w:r>
          </w:p>
        </w:tc>
        <w:tc>
          <w:tcPr>
            <w:tcW w:w="1590" w:type="pct"/>
            <w:tcBorders>
              <w:tl2br w:val="nil"/>
              <w:tr2bl w:val="nil"/>
            </w:tcBorders>
            <w:noWrap w:val="0"/>
            <w:vAlign w:val="center"/>
          </w:tcPr>
          <w:p w14:paraId="0971C2E3">
            <w:pPr>
              <w:pStyle w:val="16"/>
              <w:bidi w:val="0"/>
              <w:rPr>
                <w:rFonts w:hint="default"/>
                <w:color w:val="auto"/>
                <w:lang w:val="en-US" w:eastAsia="zh-CN"/>
              </w:rPr>
            </w:pPr>
            <w:r>
              <w:rPr>
                <w:rFonts w:hint="default"/>
                <w:color w:val="auto"/>
                <w:lang w:val="en-US" w:eastAsia="zh-CN"/>
              </w:rPr>
              <w:t>空气质量 硫化氢、甲硫醇、甲硫醚和二甲二硫的测定 气相色谱法</w:t>
            </w:r>
          </w:p>
        </w:tc>
        <w:tc>
          <w:tcPr>
            <w:tcW w:w="882" w:type="pct"/>
            <w:tcBorders>
              <w:tl2br w:val="nil"/>
              <w:tr2bl w:val="nil"/>
            </w:tcBorders>
            <w:noWrap w:val="0"/>
            <w:vAlign w:val="center"/>
          </w:tcPr>
          <w:p w14:paraId="3B237809">
            <w:pPr>
              <w:pStyle w:val="16"/>
              <w:bidi w:val="0"/>
              <w:rPr>
                <w:rFonts w:hint="default"/>
                <w:color w:val="auto"/>
                <w:lang w:val="en-US" w:eastAsia="zh-CN"/>
              </w:rPr>
            </w:pPr>
            <w:r>
              <w:rPr>
                <w:rFonts w:hint="default"/>
                <w:color w:val="auto"/>
                <w:lang w:val="en-US" w:eastAsia="zh-CN"/>
              </w:rPr>
              <w:t>GB/T14678-1993</w:t>
            </w:r>
          </w:p>
        </w:tc>
        <w:tc>
          <w:tcPr>
            <w:tcW w:w="1151" w:type="pct"/>
            <w:tcBorders>
              <w:tl2br w:val="nil"/>
              <w:tr2bl w:val="nil"/>
            </w:tcBorders>
            <w:noWrap w:val="0"/>
            <w:vAlign w:val="center"/>
          </w:tcPr>
          <w:p w14:paraId="410EFFA5">
            <w:pPr>
              <w:pStyle w:val="16"/>
              <w:bidi w:val="0"/>
              <w:rPr>
                <w:rFonts w:hint="default"/>
                <w:color w:val="auto"/>
                <w:lang w:val="en-US" w:eastAsia="zh-CN"/>
              </w:rPr>
            </w:pPr>
            <w:r>
              <w:rPr>
                <w:rFonts w:hint="default"/>
                <w:color w:val="auto"/>
                <w:lang w:val="en-US" w:eastAsia="zh-CN"/>
              </w:rPr>
              <w:t>GC9790Plus气相色谱仪</w:t>
            </w:r>
            <w:r>
              <w:rPr>
                <w:rFonts w:hint="default"/>
                <w:color w:val="auto"/>
                <w:lang w:eastAsia="zh-CN"/>
              </w:rPr>
              <w:t>（</w:t>
            </w:r>
            <w:r>
              <w:rPr>
                <w:rFonts w:hint="default"/>
                <w:color w:val="auto"/>
                <w:lang w:val="en-US" w:eastAsia="zh-CN"/>
              </w:rPr>
              <w:t>HDH/YQ-03-02</w:t>
            </w:r>
            <w:r>
              <w:rPr>
                <w:rFonts w:hint="default"/>
                <w:color w:val="auto"/>
                <w:lang w:eastAsia="zh-CN"/>
              </w:rPr>
              <w:t>）</w:t>
            </w:r>
          </w:p>
        </w:tc>
        <w:tc>
          <w:tcPr>
            <w:tcW w:w="806" w:type="pct"/>
            <w:tcBorders>
              <w:tl2br w:val="nil"/>
              <w:tr2bl w:val="nil"/>
            </w:tcBorders>
            <w:noWrap w:val="0"/>
            <w:vAlign w:val="center"/>
          </w:tcPr>
          <w:p w14:paraId="32C7A8AD">
            <w:pPr>
              <w:pStyle w:val="16"/>
              <w:bidi w:val="0"/>
              <w:rPr>
                <w:rFonts w:hint="default"/>
                <w:color w:val="auto"/>
                <w:lang w:val="en-US" w:eastAsia="zh-CN"/>
              </w:rPr>
            </w:pPr>
            <w:r>
              <w:rPr>
                <w:rFonts w:hint="default"/>
                <w:color w:val="auto"/>
                <w:lang w:val="en-US" w:eastAsia="zh-CN"/>
              </w:rPr>
              <w:t>0.2×10-3mg/</w:t>
            </w:r>
            <w:r>
              <w:rPr>
                <w:rFonts w:hint="eastAsia"/>
                <w:color w:val="auto"/>
                <w:lang w:val="en-US" w:eastAsia="zh-CN"/>
              </w:rPr>
              <w:t>m³</w:t>
            </w:r>
          </w:p>
        </w:tc>
      </w:tr>
      <w:tr w14:paraId="051E7F5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568" w:type="pct"/>
            <w:tcBorders>
              <w:tl2br w:val="nil"/>
              <w:tr2bl w:val="nil"/>
            </w:tcBorders>
            <w:noWrap w:val="0"/>
            <w:vAlign w:val="center"/>
          </w:tcPr>
          <w:p w14:paraId="5B06AC9F">
            <w:pPr>
              <w:pStyle w:val="16"/>
              <w:bidi w:val="0"/>
              <w:rPr>
                <w:rFonts w:hint="default"/>
                <w:color w:val="auto"/>
                <w:lang w:val="en-US" w:eastAsia="zh-CN"/>
              </w:rPr>
            </w:pPr>
            <w:r>
              <w:rPr>
                <w:rFonts w:hint="eastAsia"/>
                <w:color w:val="auto"/>
                <w:lang w:val="en-US" w:eastAsia="zh-CN"/>
              </w:rPr>
              <w:t>臭气浓度</w:t>
            </w:r>
          </w:p>
        </w:tc>
        <w:tc>
          <w:tcPr>
            <w:tcW w:w="1590" w:type="pct"/>
            <w:tcBorders>
              <w:tl2br w:val="nil"/>
              <w:tr2bl w:val="nil"/>
            </w:tcBorders>
            <w:noWrap w:val="0"/>
            <w:vAlign w:val="center"/>
          </w:tcPr>
          <w:p w14:paraId="5114ACE1">
            <w:pPr>
              <w:pStyle w:val="16"/>
              <w:bidi w:val="0"/>
              <w:rPr>
                <w:rFonts w:hint="default"/>
                <w:color w:val="auto"/>
                <w:lang w:val="en-US" w:eastAsia="zh-CN"/>
              </w:rPr>
            </w:pPr>
            <w:r>
              <w:rPr>
                <w:rFonts w:hint="eastAsia"/>
                <w:color w:val="auto"/>
                <w:lang w:val="en-US" w:eastAsia="zh-CN"/>
              </w:rPr>
              <w:t>环境空气和废气 臭气的测定 三点比较式臭袋法</w:t>
            </w:r>
          </w:p>
        </w:tc>
        <w:tc>
          <w:tcPr>
            <w:tcW w:w="882" w:type="pct"/>
            <w:tcBorders>
              <w:tl2br w:val="nil"/>
              <w:tr2bl w:val="nil"/>
            </w:tcBorders>
            <w:noWrap w:val="0"/>
            <w:vAlign w:val="center"/>
          </w:tcPr>
          <w:p w14:paraId="46716062">
            <w:pPr>
              <w:pStyle w:val="16"/>
              <w:bidi w:val="0"/>
              <w:rPr>
                <w:rFonts w:hint="default"/>
                <w:color w:val="auto"/>
                <w:lang w:val="en-US" w:eastAsia="zh-CN"/>
              </w:rPr>
            </w:pPr>
            <w:r>
              <w:rPr>
                <w:rFonts w:hint="eastAsia"/>
                <w:color w:val="auto"/>
                <w:lang w:val="en-US" w:eastAsia="zh-CN"/>
              </w:rPr>
              <w:t>HJ 1262</w:t>
            </w:r>
            <w:r>
              <w:rPr>
                <w:rFonts w:hint="default"/>
                <w:color w:val="auto"/>
                <w:lang w:val="en-US" w:eastAsia="zh-CN"/>
              </w:rPr>
              <w:t>-</w:t>
            </w:r>
            <w:r>
              <w:rPr>
                <w:rFonts w:hint="eastAsia"/>
                <w:color w:val="auto"/>
                <w:lang w:val="en-US" w:eastAsia="zh-CN"/>
              </w:rPr>
              <w:t>2022</w:t>
            </w:r>
          </w:p>
        </w:tc>
        <w:tc>
          <w:tcPr>
            <w:tcW w:w="1151" w:type="pct"/>
            <w:tcBorders>
              <w:tl2br w:val="nil"/>
              <w:tr2bl w:val="nil"/>
            </w:tcBorders>
            <w:noWrap w:val="0"/>
            <w:vAlign w:val="center"/>
          </w:tcPr>
          <w:p w14:paraId="7767B999">
            <w:pPr>
              <w:pStyle w:val="16"/>
              <w:bidi w:val="0"/>
              <w:rPr>
                <w:rFonts w:hint="default"/>
                <w:color w:val="auto"/>
                <w:lang w:val="en-US" w:eastAsia="zh-CN"/>
              </w:rPr>
            </w:pPr>
            <w:r>
              <w:rPr>
                <w:rFonts w:hint="eastAsia"/>
                <w:color w:val="auto"/>
                <w:lang w:val="en-US" w:eastAsia="zh-CN"/>
              </w:rPr>
              <w:t>/</w:t>
            </w:r>
          </w:p>
        </w:tc>
        <w:tc>
          <w:tcPr>
            <w:tcW w:w="806" w:type="pct"/>
            <w:tcBorders>
              <w:tl2br w:val="nil"/>
              <w:tr2bl w:val="nil"/>
            </w:tcBorders>
            <w:noWrap w:val="0"/>
            <w:vAlign w:val="center"/>
          </w:tcPr>
          <w:p w14:paraId="400D29EE">
            <w:pPr>
              <w:pStyle w:val="16"/>
              <w:bidi w:val="0"/>
              <w:rPr>
                <w:rFonts w:hint="default"/>
                <w:color w:val="auto"/>
                <w:lang w:val="en-US" w:eastAsia="zh-CN"/>
              </w:rPr>
            </w:pPr>
            <w:r>
              <w:rPr>
                <w:rFonts w:hint="eastAsia"/>
                <w:color w:val="auto"/>
                <w:lang w:val="en-US" w:eastAsia="zh-CN"/>
              </w:rPr>
              <w:t>/</w:t>
            </w:r>
          </w:p>
        </w:tc>
      </w:tr>
    </w:tbl>
    <w:p w14:paraId="7A662BF6">
      <w:pPr>
        <w:keepNext w:val="0"/>
        <w:keepLines w:val="0"/>
        <w:pageBreakBefore w:val="0"/>
        <w:widowControl w:val="0"/>
        <w:kinsoku/>
        <w:wordWrap/>
        <w:overflowPunct/>
        <w:topLinePunct w:val="0"/>
        <w:autoSpaceDE/>
        <w:autoSpaceDN/>
        <w:bidi w:val="0"/>
        <w:adjustRightInd/>
        <w:snapToGrid/>
        <w:spacing w:before="0" w:beforeLines="50"/>
        <w:ind w:firstLine="480"/>
        <w:textAlignment w:val="auto"/>
        <w:rPr>
          <w:color w:val="auto"/>
        </w:rPr>
      </w:pPr>
      <w:r>
        <w:rPr>
          <w:color w:val="auto"/>
        </w:rPr>
        <w:t>（5）评价方法</w:t>
      </w:r>
    </w:p>
    <w:p w14:paraId="725ACD33">
      <w:pPr>
        <w:pageBreakBefore w:val="0"/>
        <w:wordWrap/>
        <w:bidi w:val="0"/>
        <w:adjustRightInd/>
        <w:snapToGrid/>
        <w:ind w:firstLine="480"/>
        <w:textAlignment w:val="baseline"/>
        <w:rPr>
          <w:color w:val="auto"/>
        </w:rPr>
      </w:pPr>
      <w:r>
        <w:rPr>
          <w:color w:val="auto"/>
        </w:rPr>
        <w:t>大气环境现状采用单项标准指数法进行评价。评价公式：</w:t>
      </w:r>
    </w:p>
    <w:p w14:paraId="055E6EA3">
      <w:pPr>
        <w:pageBreakBefore w:val="0"/>
        <w:wordWrap/>
        <w:bidi w:val="0"/>
        <w:adjustRightInd/>
        <w:snapToGrid/>
        <w:ind w:firstLine="0" w:firstLineChars="0"/>
        <w:jc w:val="center"/>
        <w:textAlignment w:val="baseline"/>
        <w:rPr>
          <w:color w:val="auto"/>
        </w:rPr>
      </w:pPr>
      <w:r>
        <w:rPr>
          <w:color w:val="auto"/>
        </w:rPr>
        <w:t>P</w:t>
      </w:r>
      <w:r>
        <w:rPr>
          <w:color w:val="auto"/>
          <w:vertAlign w:val="subscript"/>
        </w:rPr>
        <w:t>i</w:t>
      </w:r>
      <w:r>
        <w:rPr>
          <w:rFonts w:hint="eastAsia"/>
          <w:color w:val="auto"/>
        </w:rPr>
        <w:t>=</w:t>
      </w:r>
      <w:r>
        <w:rPr>
          <w:color w:val="auto"/>
        </w:rPr>
        <w:t>C</w:t>
      </w:r>
      <w:r>
        <w:rPr>
          <w:color w:val="auto"/>
          <w:vertAlign w:val="subscript"/>
        </w:rPr>
        <w:t>i</w:t>
      </w:r>
      <w:r>
        <w:rPr>
          <w:color w:val="auto"/>
        </w:rPr>
        <w:t>/S</w:t>
      </w:r>
      <w:r>
        <w:rPr>
          <w:color w:val="auto"/>
          <w:vertAlign w:val="subscript"/>
        </w:rPr>
        <w:t>i</w:t>
      </w:r>
    </w:p>
    <w:p w14:paraId="5856EDF2">
      <w:pPr>
        <w:pageBreakBefore w:val="0"/>
        <w:wordWrap/>
        <w:bidi w:val="0"/>
        <w:adjustRightInd/>
        <w:snapToGrid/>
        <w:ind w:firstLine="480"/>
        <w:textAlignment w:val="baseline"/>
        <w:rPr>
          <w:color w:val="auto"/>
        </w:rPr>
      </w:pPr>
      <w:r>
        <w:rPr>
          <w:color w:val="auto"/>
        </w:rPr>
        <w:t>式中：</w:t>
      </w:r>
    </w:p>
    <w:p w14:paraId="0F2E4957">
      <w:pPr>
        <w:pageBreakBefore w:val="0"/>
        <w:wordWrap/>
        <w:bidi w:val="0"/>
        <w:adjustRightInd/>
        <w:snapToGrid/>
        <w:ind w:firstLine="1200" w:firstLineChars="500"/>
        <w:textAlignment w:val="baseline"/>
        <w:rPr>
          <w:color w:val="auto"/>
        </w:rPr>
      </w:pPr>
      <w:r>
        <w:rPr>
          <w:color w:val="auto"/>
        </w:rPr>
        <w:t>P</w:t>
      </w:r>
      <w:r>
        <w:rPr>
          <w:color w:val="auto"/>
          <w:vertAlign w:val="subscript"/>
        </w:rPr>
        <w:t>i</w:t>
      </w:r>
      <w:r>
        <w:rPr>
          <w:color w:val="auto"/>
        </w:rPr>
        <w:t>——i种污染物的单项指数</w:t>
      </w:r>
      <w:r>
        <w:rPr>
          <w:rFonts w:hint="eastAsia"/>
          <w:color w:val="auto"/>
        </w:rPr>
        <w:t>；</w:t>
      </w:r>
    </w:p>
    <w:p w14:paraId="7ACAD58D">
      <w:pPr>
        <w:pageBreakBefore w:val="0"/>
        <w:wordWrap/>
        <w:bidi w:val="0"/>
        <w:adjustRightInd/>
        <w:snapToGrid/>
        <w:ind w:firstLine="1200" w:firstLineChars="500"/>
        <w:textAlignment w:val="baseline"/>
        <w:rPr>
          <w:color w:val="auto"/>
        </w:rPr>
      </w:pPr>
      <w:r>
        <w:rPr>
          <w:color w:val="auto"/>
        </w:rPr>
        <w:t>C</w:t>
      </w:r>
      <w:r>
        <w:rPr>
          <w:color w:val="auto"/>
          <w:vertAlign w:val="subscript"/>
        </w:rPr>
        <w:t>i</w:t>
      </w:r>
      <w:r>
        <w:rPr>
          <w:color w:val="auto"/>
        </w:rPr>
        <w:t>——i种污染物的实测浓度（mg/</w:t>
      </w:r>
      <w:r>
        <w:rPr>
          <w:rFonts w:hint="eastAsia"/>
          <w:color w:val="auto"/>
          <w:lang w:eastAsia="zh-CN"/>
        </w:rPr>
        <w:t>m³</w:t>
      </w:r>
      <w:r>
        <w:rPr>
          <w:color w:val="auto"/>
        </w:rPr>
        <w:t>）</w:t>
      </w:r>
      <w:r>
        <w:rPr>
          <w:rFonts w:hint="eastAsia"/>
          <w:color w:val="auto"/>
        </w:rPr>
        <w:t>；</w:t>
      </w:r>
    </w:p>
    <w:p w14:paraId="6E447EA8">
      <w:pPr>
        <w:pageBreakBefore w:val="0"/>
        <w:wordWrap/>
        <w:bidi w:val="0"/>
        <w:adjustRightInd/>
        <w:snapToGrid/>
        <w:ind w:firstLine="1200" w:firstLineChars="500"/>
        <w:textAlignment w:val="baseline"/>
        <w:rPr>
          <w:color w:val="auto"/>
        </w:rPr>
      </w:pPr>
      <w:r>
        <w:rPr>
          <w:color w:val="auto"/>
        </w:rPr>
        <w:t>S</w:t>
      </w:r>
      <w:r>
        <w:rPr>
          <w:color w:val="auto"/>
          <w:vertAlign w:val="subscript"/>
        </w:rPr>
        <w:t>i</w:t>
      </w:r>
      <w:r>
        <w:rPr>
          <w:color w:val="auto"/>
        </w:rPr>
        <w:t>——i种污染物评价标准（mg/</w:t>
      </w:r>
      <w:r>
        <w:rPr>
          <w:rFonts w:hint="eastAsia"/>
          <w:color w:val="auto"/>
          <w:lang w:eastAsia="zh-CN"/>
        </w:rPr>
        <w:t>m³</w:t>
      </w:r>
      <w:r>
        <w:rPr>
          <w:color w:val="auto"/>
        </w:rPr>
        <w:t>）</w:t>
      </w:r>
      <w:r>
        <w:rPr>
          <w:rFonts w:hint="eastAsia"/>
          <w:color w:val="auto"/>
        </w:rPr>
        <w:t>。</w:t>
      </w:r>
    </w:p>
    <w:p w14:paraId="51C5AF6B">
      <w:pPr>
        <w:pageBreakBefore w:val="0"/>
        <w:wordWrap/>
        <w:bidi w:val="0"/>
        <w:adjustRightInd/>
        <w:snapToGrid/>
        <w:ind w:firstLine="480"/>
        <w:rPr>
          <w:color w:val="auto"/>
        </w:rPr>
      </w:pPr>
      <w:r>
        <w:rPr>
          <w:color w:val="auto"/>
        </w:rPr>
        <w:t>（6）监测及统计结果</w:t>
      </w:r>
    </w:p>
    <w:p w14:paraId="7F1ED7B6">
      <w:pPr>
        <w:pageBreakBefore w:val="0"/>
        <w:wordWrap/>
        <w:bidi w:val="0"/>
        <w:adjustRightInd/>
        <w:snapToGrid/>
        <w:spacing w:before="120" w:beforeLines="50"/>
        <w:ind w:firstLine="480"/>
        <w:rPr>
          <w:color w:val="auto"/>
        </w:rPr>
      </w:pPr>
      <w:r>
        <w:rPr>
          <w:color w:val="auto"/>
        </w:rPr>
        <w:t>监测点检测及统计结果见</w:t>
      </w:r>
      <w:r>
        <w:rPr>
          <w:rFonts w:hint="eastAsia"/>
          <w:color w:val="auto"/>
          <w:lang w:val="en-US" w:eastAsia="zh-CN"/>
        </w:rPr>
        <w:t>下表</w:t>
      </w:r>
      <w:r>
        <w:rPr>
          <w:color w:val="auto"/>
        </w:rPr>
        <w:t>。</w:t>
      </w:r>
    </w:p>
    <w:p w14:paraId="0001E3FD">
      <w:pPr>
        <w:pageBreakBefore w:val="0"/>
        <w:wordWrap/>
        <w:bidi w:val="0"/>
        <w:adjustRightInd/>
        <w:snapToGrid/>
        <w:spacing w:before="120" w:beforeLines="50"/>
        <w:ind w:firstLine="480"/>
        <w:rPr>
          <w:color w:val="auto"/>
        </w:rPr>
      </w:pPr>
      <w:r>
        <w:rPr>
          <w:color w:val="auto"/>
        </w:rPr>
        <w:t>（5）评价结果</w:t>
      </w:r>
    </w:p>
    <w:p w14:paraId="07736FEE">
      <w:pPr>
        <w:pageBreakBefore w:val="0"/>
        <w:wordWrap/>
        <w:autoSpaceDE w:val="0"/>
        <w:autoSpaceDN w:val="0"/>
        <w:bidi w:val="0"/>
        <w:adjustRightInd/>
        <w:snapToGrid/>
        <w:ind w:firstLine="480"/>
        <w:textAlignment w:val="baseline"/>
        <w:rPr>
          <w:color w:val="auto"/>
        </w:rPr>
      </w:pPr>
      <w:r>
        <w:rPr>
          <w:color w:val="auto"/>
        </w:rPr>
        <w:t>由监测结果可知，评价区域内监测点位的各监测指标的监测值均满足《环境影响评价技术导则 大气环境》（HJ2.2-2018）附录D中的标准限值要求。</w:t>
      </w:r>
    </w:p>
    <w:p w14:paraId="0EA76C67">
      <w:pPr>
        <w:pStyle w:val="5"/>
        <w:bidi w:val="0"/>
        <w:rPr>
          <w:color w:val="auto"/>
        </w:rPr>
      </w:pPr>
      <w:r>
        <w:rPr>
          <w:rFonts w:hint="eastAsia"/>
          <w:color w:val="auto"/>
          <w:lang w:val="en-US" w:eastAsia="zh-CN"/>
        </w:rPr>
        <w:t xml:space="preserve"> </w:t>
      </w:r>
      <w:r>
        <w:rPr>
          <w:color w:val="auto"/>
        </w:rPr>
        <w:t>地表水环境质量现状监测与评价</w:t>
      </w:r>
    </w:p>
    <w:p w14:paraId="4C6E070A">
      <w:pPr>
        <w:pStyle w:val="10"/>
        <w:bidi w:val="0"/>
        <w:rPr>
          <w:color w:val="auto"/>
        </w:rPr>
      </w:pPr>
      <w:r>
        <w:rPr>
          <w:color w:val="auto"/>
        </w:rPr>
        <w:t>环境质量达标区判定</w:t>
      </w:r>
    </w:p>
    <w:p w14:paraId="12364BBA">
      <w:pPr>
        <w:pageBreakBefore w:val="0"/>
        <w:wordWrap/>
        <w:bidi w:val="0"/>
        <w:adjustRightInd/>
        <w:snapToGrid/>
        <w:ind w:firstLine="480"/>
        <w:rPr>
          <w:color w:val="auto"/>
        </w:rPr>
      </w:pPr>
      <w:r>
        <w:rPr>
          <w:color w:val="auto"/>
        </w:rPr>
        <w:t>根据《环境影响评价技术导则</w:t>
      </w:r>
      <w:r>
        <w:rPr>
          <w:rFonts w:hint="eastAsia"/>
          <w:color w:val="auto"/>
          <w:lang w:val="en-US" w:eastAsia="zh-CN"/>
        </w:rPr>
        <w:t xml:space="preserve"> </w:t>
      </w:r>
      <w:r>
        <w:rPr>
          <w:color w:val="auto"/>
        </w:rPr>
        <w:t>地表水环境》（HJ2.3-2018）中有关水环境质量现状调查的规定，应优先采用国务院生态环境保护主管部门统一发布的水环境状况信息。因此，本次收集</w:t>
      </w:r>
      <w:r>
        <w:rPr>
          <w:rFonts w:hint="eastAsia"/>
          <w:color w:val="auto"/>
          <w:lang w:eastAsia="zh-CN"/>
        </w:rPr>
        <w:t>巴河</w:t>
      </w:r>
      <w:r>
        <w:rPr>
          <w:color w:val="auto"/>
        </w:rPr>
        <w:t>例行监测断面进行评价。</w:t>
      </w:r>
    </w:p>
    <w:p w14:paraId="2D61FDBD">
      <w:pPr>
        <w:pageBreakBefore w:val="0"/>
        <w:wordWrap/>
        <w:bidi w:val="0"/>
        <w:adjustRightInd/>
        <w:snapToGrid/>
        <w:rPr>
          <w:rFonts w:hint="default" w:ascii="Times New Roman" w:hAnsi="Times New Roman" w:cs="Times New Roman"/>
          <w:color w:val="auto"/>
          <w:lang w:val="en-US" w:eastAsia="zh-CN"/>
        </w:rPr>
      </w:pPr>
      <w:r>
        <w:rPr>
          <w:rFonts w:hint="eastAsia" w:cs="Times New Roman"/>
          <w:color w:val="auto"/>
          <w:lang w:val="en-US" w:eastAsia="zh-CN"/>
        </w:rPr>
        <w:t>根据</w:t>
      </w:r>
      <w:r>
        <w:rPr>
          <w:rFonts w:hint="default" w:ascii="Times New Roman" w:hAnsi="Times New Roman" w:cs="Times New Roman"/>
          <w:color w:val="auto"/>
          <w:lang w:val="en-US" w:eastAsia="zh-CN"/>
        </w:rPr>
        <w:t>《2023巴中市生态环境状况公报》可知，2023年，巴河总体水质为优，10个国省控断面和2个入境断面均达到或优于Ⅲ类水质。6个国控断面Ⅰ-Ⅱ类水质占比100%，4个省控断面Ⅰ-Ⅱ类水质占比75%，仅徐家河断面水质为Ш类。</w:t>
      </w:r>
    </w:p>
    <w:p w14:paraId="6F6D173B">
      <w:pPr>
        <w:pageBreakBefore w:val="0"/>
        <w:wordWrap/>
        <w:bidi w:val="0"/>
        <w:adjustRightInd/>
        <w:snapToGrid/>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项目区域地表水体能够达到目标水质标准，属达标区域。</w:t>
      </w:r>
    </w:p>
    <w:p w14:paraId="5226D37A">
      <w:pPr>
        <w:pageBreakBefore w:val="0"/>
        <w:wordWrap/>
        <w:bidi w:val="0"/>
        <w:adjustRightInd/>
        <w:snapToGrid/>
        <w:jc w:val="center"/>
        <w:rPr>
          <w:color w:val="auto"/>
        </w:rPr>
      </w:pPr>
      <w:r>
        <w:rPr>
          <w:color w:val="auto"/>
        </w:rPr>
        <w:drawing>
          <wp:inline distT="0" distB="0" distL="114300" distR="114300">
            <wp:extent cx="4304030" cy="5789930"/>
            <wp:effectExtent l="0" t="0" r="1270" b="1270"/>
            <wp:docPr id="9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8"/>
                    <pic:cNvPicPr>
                      <a:picLocks noChangeAspect="1"/>
                    </pic:cNvPicPr>
                  </pic:nvPicPr>
                  <pic:blipFill>
                    <a:blip r:embed="rId70"/>
                    <a:stretch>
                      <a:fillRect/>
                    </a:stretch>
                  </pic:blipFill>
                  <pic:spPr>
                    <a:xfrm>
                      <a:off x="0" y="0"/>
                      <a:ext cx="4304030" cy="5789930"/>
                    </a:xfrm>
                    <a:prstGeom prst="rect">
                      <a:avLst/>
                    </a:prstGeom>
                    <a:noFill/>
                    <a:ln>
                      <a:noFill/>
                    </a:ln>
                  </pic:spPr>
                </pic:pic>
              </a:graphicData>
            </a:graphic>
          </wp:inline>
        </w:drawing>
      </w:r>
    </w:p>
    <w:p w14:paraId="533938E4">
      <w:pPr>
        <w:pStyle w:val="19"/>
        <w:numPr>
          <w:ilvl w:val="0"/>
          <w:numId w:val="0"/>
        </w:numPr>
        <w:tabs>
          <w:tab w:val="clear" w:pos="0"/>
        </w:tabs>
        <w:bidi w:val="0"/>
        <w:ind w:leftChars="0"/>
        <w:jc w:val="center"/>
        <w:rPr>
          <w:rFonts w:hint="default"/>
          <w:color w:val="auto"/>
          <w:lang w:val="en-US" w:eastAsia="zh-CN"/>
        </w:rPr>
      </w:pPr>
      <w:r>
        <w:rPr>
          <w:color w:val="auto"/>
        </w:rPr>
        <w:t xml:space="preserve">图 </w:t>
      </w:r>
      <w:r>
        <w:rPr>
          <w:color w:val="auto"/>
        </w:rPr>
        <w:fldChar w:fldCharType="begin"/>
      </w:r>
      <w:r>
        <w:rPr>
          <w:color w:val="auto"/>
        </w:rPr>
        <w:instrText xml:space="preserve"> STYLEREF 2 \s </w:instrText>
      </w:r>
      <w:r>
        <w:rPr>
          <w:color w:val="auto"/>
        </w:rPr>
        <w:fldChar w:fldCharType="separate"/>
      </w:r>
      <w:r>
        <w:rPr>
          <w:color w:val="auto"/>
        </w:rPr>
        <w:t>3.2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1</w:t>
      </w:r>
      <w:r>
        <w:rPr>
          <w:color w:val="auto"/>
        </w:rPr>
        <w:fldChar w:fldCharType="end"/>
      </w:r>
      <w:r>
        <w:rPr>
          <w:rFonts w:hint="eastAsia"/>
          <w:color w:val="auto"/>
          <w:lang w:val="en-US" w:eastAsia="zh-CN"/>
        </w:rPr>
        <w:t>巴河断面水质类别分布图</w:t>
      </w:r>
    </w:p>
    <w:p w14:paraId="2B63DEBE">
      <w:pPr>
        <w:pStyle w:val="10"/>
        <w:bidi w:val="0"/>
        <w:rPr>
          <w:color w:val="auto"/>
        </w:rPr>
      </w:pPr>
      <w:r>
        <w:rPr>
          <w:rFonts w:hint="eastAsia"/>
          <w:color w:val="auto"/>
          <w:lang w:val="en-US" w:eastAsia="zh-CN"/>
        </w:rPr>
        <w:t>地表水水质状况分析</w:t>
      </w:r>
    </w:p>
    <w:p w14:paraId="54AD9693">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根据收集2021</w:t>
      </w:r>
      <w:r>
        <w:rPr>
          <w:rFonts w:hint="eastAsia" w:cs="Times New Roman"/>
          <w:color w:val="auto"/>
          <w:lang w:val="en-US" w:eastAsia="zh-CN"/>
        </w:rPr>
        <w:t>～</w:t>
      </w:r>
      <w:r>
        <w:rPr>
          <w:rFonts w:hint="default" w:ascii="Times New Roman" w:hAnsi="Times New Roman" w:cs="Times New Roman"/>
          <w:color w:val="auto"/>
          <w:lang w:val="en-US" w:eastAsia="zh-CN"/>
        </w:rPr>
        <w:t>2023年巴河（巴州区段）例行监测断面的监测数据统计分析，巴河（巴州区段）各监测断面的各项监测指标年均值均可</w:t>
      </w:r>
      <w:r>
        <w:rPr>
          <w:rFonts w:hint="eastAsia" w:cs="Times New Roman"/>
          <w:color w:val="auto"/>
          <w:lang w:val="en-US" w:eastAsia="zh-CN"/>
        </w:rPr>
        <w:t>达到</w:t>
      </w:r>
      <w:r>
        <w:rPr>
          <w:rFonts w:hint="default" w:ascii="Times New Roman" w:hAnsi="Times New Roman" w:cs="Times New Roman"/>
          <w:color w:val="auto"/>
          <w:lang w:val="en-US" w:eastAsia="zh-CN"/>
        </w:rPr>
        <w:t>《地表水环境质量标准》（GB3838-2002）中Ⅲ类水域标准。由于《“十四五”国考断面和省考断面目标》《四川省生态环境厅办公室关于印发&lt;2023 年四川省水生态环境保护工作要点&gt;的通知》（川环办函〔2023〕60 号），金碑断面按照Ⅱ类水域标准考核，根据收集巴河的金碑乡断面监测数据，2021-2023年金碑监测断面均满足《地表水环境质量标准》（GB3838-2002）中Ⅱ类水域标准。</w:t>
      </w:r>
    </w:p>
    <w:p w14:paraId="6C70A184">
      <w:pPr>
        <w:bidi w:val="0"/>
        <w:rPr>
          <w:rFonts w:hint="eastAsia" w:cs="Times New Roman"/>
          <w:color w:val="auto"/>
          <w:lang w:val="en-US" w:eastAsia="zh-CN"/>
        </w:rPr>
      </w:pPr>
      <w:r>
        <w:rPr>
          <w:rFonts w:hint="eastAsia" w:cs="Times New Roman"/>
          <w:color w:val="auto"/>
          <w:lang w:val="en-US" w:eastAsia="zh-CN"/>
        </w:rPr>
        <w:t>本次评价主要对以上河流的各监测断面的 COD</w:t>
      </w:r>
      <w:r>
        <w:rPr>
          <w:rFonts w:hint="eastAsia" w:cs="Times New Roman"/>
          <w:color w:val="auto"/>
          <w:vertAlign w:val="subscript"/>
          <w:lang w:val="en-US" w:eastAsia="zh-CN"/>
        </w:rPr>
        <w:t>Cr</w:t>
      </w:r>
      <w:r>
        <w:rPr>
          <w:rFonts w:hint="eastAsia" w:cs="Times New Roman"/>
          <w:color w:val="auto"/>
          <w:lang w:val="en-US" w:eastAsia="zh-CN"/>
        </w:rPr>
        <w:t>、BOD</w:t>
      </w:r>
      <w:r>
        <w:rPr>
          <w:rFonts w:hint="eastAsia" w:cs="Times New Roman"/>
          <w:color w:val="auto"/>
          <w:vertAlign w:val="subscript"/>
          <w:lang w:val="en-US" w:eastAsia="zh-CN"/>
        </w:rPr>
        <w:t>5</w:t>
      </w:r>
      <w:r>
        <w:rPr>
          <w:rFonts w:hint="eastAsia" w:cs="Times New Roman"/>
          <w:color w:val="auto"/>
          <w:lang w:val="en-US" w:eastAsia="zh-CN"/>
        </w:rPr>
        <w:t>、NH</w:t>
      </w:r>
      <w:r>
        <w:rPr>
          <w:rFonts w:hint="eastAsia" w:cs="Times New Roman"/>
          <w:color w:val="auto"/>
          <w:vertAlign w:val="subscript"/>
          <w:lang w:val="en-US" w:eastAsia="zh-CN"/>
        </w:rPr>
        <w:t>3</w:t>
      </w:r>
      <w:r>
        <w:rPr>
          <w:rFonts w:hint="eastAsia" w:cs="Times New Roman"/>
          <w:color w:val="auto"/>
          <w:lang w:val="en-US" w:eastAsia="zh-CN"/>
        </w:rPr>
        <w:t>-N、TP等主要污染因子进行趋势分析，各断面主要污染物年均值变化趋势如下：</w:t>
      </w:r>
    </w:p>
    <w:p w14:paraId="7134A0DD">
      <w:pPr>
        <w:bidi w:val="0"/>
        <w:rPr>
          <w:color w:val="auto"/>
        </w:rPr>
      </w:pPr>
      <w:r>
        <w:rPr>
          <w:color w:val="auto"/>
        </w:rPr>
        <w:drawing>
          <wp:inline distT="0" distB="0" distL="114300" distR="114300">
            <wp:extent cx="4826000" cy="2743200"/>
            <wp:effectExtent l="4445" t="4445" r="8255" b="14605"/>
            <wp:docPr id="108" name="图表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DD14DAD">
      <w:pPr>
        <w:pStyle w:val="19"/>
        <w:numPr>
          <w:ilvl w:val="0"/>
          <w:numId w:val="0"/>
        </w:numPr>
        <w:tabs>
          <w:tab w:val="clear" w:pos="0"/>
        </w:tabs>
        <w:bidi w:val="0"/>
        <w:ind w:leftChars="0"/>
        <w:jc w:val="center"/>
        <w:rPr>
          <w:rFonts w:hint="default"/>
          <w:color w:val="auto"/>
          <w:lang w:val="en-US" w:eastAsia="zh-CN"/>
        </w:rPr>
      </w:pPr>
      <w:r>
        <w:rPr>
          <w:color w:val="auto"/>
        </w:rPr>
        <w:t xml:space="preserve">图 </w:t>
      </w:r>
      <w:r>
        <w:rPr>
          <w:color w:val="auto"/>
        </w:rPr>
        <w:fldChar w:fldCharType="begin"/>
      </w:r>
      <w:r>
        <w:rPr>
          <w:color w:val="auto"/>
        </w:rPr>
        <w:instrText xml:space="preserve"> STYLEREF 2 \s </w:instrText>
      </w:r>
      <w:r>
        <w:rPr>
          <w:color w:val="auto"/>
        </w:rPr>
        <w:fldChar w:fldCharType="separate"/>
      </w:r>
      <w:r>
        <w:rPr>
          <w:color w:val="auto"/>
        </w:rPr>
        <w:t>3.2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2</w:t>
      </w:r>
      <w:r>
        <w:rPr>
          <w:color w:val="auto"/>
        </w:rPr>
        <w:fldChar w:fldCharType="end"/>
      </w:r>
      <w:r>
        <w:rPr>
          <w:rFonts w:hint="eastAsia"/>
          <w:color w:val="auto"/>
          <w:lang w:val="en-US" w:eastAsia="zh-CN"/>
        </w:rPr>
        <w:t xml:space="preserve"> 2021年～2023年各断面COD变化趋势图</w:t>
      </w:r>
    </w:p>
    <w:p w14:paraId="62AF8D99">
      <w:pPr>
        <w:bidi w:val="0"/>
        <w:rPr>
          <w:rFonts w:hint="eastAsia"/>
          <w:color w:val="auto"/>
          <w:lang w:val="en-US" w:eastAsia="zh-CN"/>
        </w:rPr>
      </w:pPr>
      <w:r>
        <w:rPr>
          <w:color w:val="auto"/>
        </w:rPr>
        <w:drawing>
          <wp:inline distT="0" distB="0" distL="114300" distR="114300">
            <wp:extent cx="4854575" cy="2752725"/>
            <wp:effectExtent l="4445" t="4445" r="17780" b="5080"/>
            <wp:docPr id="109" name="图表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F35A7D5">
      <w:pPr>
        <w:pStyle w:val="19"/>
        <w:numPr>
          <w:ilvl w:val="0"/>
          <w:numId w:val="0"/>
        </w:numPr>
        <w:tabs>
          <w:tab w:val="clear" w:pos="0"/>
        </w:tabs>
        <w:bidi w:val="0"/>
        <w:ind w:leftChars="0"/>
        <w:jc w:val="center"/>
        <w:rPr>
          <w:rFonts w:hint="eastAsia"/>
          <w:color w:val="auto"/>
          <w:lang w:val="en-US" w:eastAsia="zh-CN"/>
        </w:rPr>
      </w:pPr>
      <w:r>
        <w:rPr>
          <w:color w:val="auto"/>
        </w:rPr>
        <w:t xml:space="preserve">图 </w:t>
      </w:r>
      <w:r>
        <w:rPr>
          <w:color w:val="auto"/>
        </w:rPr>
        <w:fldChar w:fldCharType="begin"/>
      </w:r>
      <w:r>
        <w:rPr>
          <w:color w:val="auto"/>
        </w:rPr>
        <w:instrText xml:space="preserve"> STYLEREF 2 \s </w:instrText>
      </w:r>
      <w:r>
        <w:rPr>
          <w:color w:val="auto"/>
        </w:rPr>
        <w:fldChar w:fldCharType="separate"/>
      </w:r>
      <w:r>
        <w:rPr>
          <w:color w:val="auto"/>
        </w:rPr>
        <w:t>3.2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3</w:t>
      </w:r>
      <w:r>
        <w:rPr>
          <w:color w:val="auto"/>
        </w:rPr>
        <w:fldChar w:fldCharType="end"/>
      </w:r>
      <w:r>
        <w:rPr>
          <w:rFonts w:hint="eastAsia"/>
          <w:color w:val="auto"/>
          <w:lang w:val="en-US" w:eastAsia="zh-CN"/>
        </w:rPr>
        <w:t xml:space="preserve">  2021年～2023年各断面BOD变化趋势图</w:t>
      </w:r>
    </w:p>
    <w:p w14:paraId="6B07056A">
      <w:pPr>
        <w:rPr>
          <w:rFonts w:hint="default"/>
          <w:color w:val="auto"/>
          <w:lang w:val="en-US" w:eastAsia="zh-CN"/>
        </w:rPr>
      </w:pPr>
      <w:r>
        <w:rPr>
          <w:color w:val="auto"/>
        </w:rPr>
        <w:drawing>
          <wp:inline distT="0" distB="0" distL="114300" distR="114300">
            <wp:extent cx="4826000" cy="2828925"/>
            <wp:effectExtent l="4445" t="4445" r="8255" b="5080"/>
            <wp:docPr id="112" name="图表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57C63A2">
      <w:pPr>
        <w:pStyle w:val="19"/>
        <w:numPr>
          <w:ilvl w:val="0"/>
          <w:numId w:val="0"/>
        </w:numPr>
        <w:tabs>
          <w:tab w:val="clear" w:pos="0"/>
        </w:tabs>
        <w:bidi w:val="0"/>
        <w:ind w:leftChars="0"/>
        <w:jc w:val="center"/>
        <w:rPr>
          <w:rFonts w:hint="eastAsia"/>
          <w:color w:val="auto"/>
          <w:lang w:val="en-US" w:eastAsia="zh-CN"/>
        </w:rPr>
      </w:pPr>
      <w:r>
        <w:rPr>
          <w:color w:val="auto"/>
        </w:rPr>
        <w:t xml:space="preserve">图 </w:t>
      </w:r>
      <w:r>
        <w:rPr>
          <w:color w:val="auto"/>
        </w:rPr>
        <w:fldChar w:fldCharType="begin"/>
      </w:r>
      <w:r>
        <w:rPr>
          <w:color w:val="auto"/>
        </w:rPr>
        <w:instrText xml:space="preserve"> STYLEREF 2 \s </w:instrText>
      </w:r>
      <w:r>
        <w:rPr>
          <w:color w:val="auto"/>
        </w:rPr>
        <w:fldChar w:fldCharType="separate"/>
      </w:r>
      <w:r>
        <w:rPr>
          <w:color w:val="auto"/>
        </w:rPr>
        <w:t>3.2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4</w:t>
      </w:r>
      <w:r>
        <w:rPr>
          <w:color w:val="auto"/>
        </w:rPr>
        <w:fldChar w:fldCharType="end"/>
      </w:r>
      <w:r>
        <w:rPr>
          <w:rFonts w:hint="eastAsia"/>
          <w:color w:val="auto"/>
          <w:lang w:val="en-US" w:eastAsia="zh-CN"/>
        </w:rPr>
        <w:t xml:space="preserve">  2021年～2023年各断面氨氮变化趋势图</w:t>
      </w:r>
    </w:p>
    <w:p w14:paraId="47804286">
      <w:pPr>
        <w:bidi w:val="0"/>
        <w:rPr>
          <w:rFonts w:hint="eastAsia"/>
          <w:color w:val="auto"/>
          <w:lang w:val="en-US" w:eastAsia="zh-CN"/>
        </w:rPr>
      </w:pPr>
      <w:r>
        <w:rPr>
          <w:color w:val="auto"/>
        </w:rPr>
        <w:drawing>
          <wp:inline distT="0" distB="0" distL="114300" distR="114300">
            <wp:extent cx="4826000" cy="2743200"/>
            <wp:effectExtent l="4445" t="4445" r="8255" b="14605"/>
            <wp:docPr id="113" name="图表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D465F42">
      <w:pPr>
        <w:pStyle w:val="19"/>
        <w:numPr>
          <w:ilvl w:val="0"/>
          <w:numId w:val="0"/>
        </w:numPr>
        <w:tabs>
          <w:tab w:val="clear" w:pos="0"/>
        </w:tabs>
        <w:bidi w:val="0"/>
        <w:ind w:leftChars="0"/>
        <w:jc w:val="center"/>
        <w:rPr>
          <w:rFonts w:hint="eastAsia"/>
          <w:color w:val="auto"/>
          <w:lang w:val="en-US" w:eastAsia="zh-CN"/>
        </w:rPr>
      </w:pPr>
      <w:r>
        <w:rPr>
          <w:color w:val="auto"/>
        </w:rPr>
        <w:t xml:space="preserve">图 </w:t>
      </w:r>
      <w:r>
        <w:rPr>
          <w:color w:val="auto"/>
        </w:rPr>
        <w:fldChar w:fldCharType="begin"/>
      </w:r>
      <w:r>
        <w:rPr>
          <w:color w:val="auto"/>
        </w:rPr>
        <w:instrText xml:space="preserve"> STYLEREF 2 \s </w:instrText>
      </w:r>
      <w:r>
        <w:rPr>
          <w:color w:val="auto"/>
        </w:rPr>
        <w:fldChar w:fldCharType="separate"/>
      </w:r>
      <w:r>
        <w:rPr>
          <w:color w:val="auto"/>
        </w:rPr>
        <w:t>3.2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5</w:t>
      </w:r>
      <w:r>
        <w:rPr>
          <w:color w:val="auto"/>
        </w:rPr>
        <w:fldChar w:fldCharType="end"/>
      </w:r>
      <w:r>
        <w:rPr>
          <w:rFonts w:hint="eastAsia"/>
          <w:color w:val="auto"/>
          <w:lang w:val="en-US" w:eastAsia="zh-CN"/>
        </w:rPr>
        <w:t xml:space="preserve">  2021年～2023年各断面TP变化趋势图</w:t>
      </w:r>
    </w:p>
    <w:p w14:paraId="3D585C5D">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根据巴河各断面污染物逐年变化趋势分析，手傍岩断面和金碑断面各污染物浓度近几年略有浮动，但水质整体变化不大，且能稳定达到《地表水环境质量</w:t>
      </w:r>
      <w:r>
        <w:rPr>
          <w:rFonts w:hint="eastAsia" w:cs="Times New Roman"/>
          <w:color w:val="auto"/>
          <w:lang w:val="en-US" w:eastAsia="zh-CN"/>
        </w:rPr>
        <w:t>标准</w:t>
      </w:r>
      <w:r>
        <w:rPr>
          <w:rFonts w:hint="default" w:ascii="Times New Roman" w:hAnsi="Times New Roman" w:cs="Times New Roman"/>
          <w:color w:val="auto"/>
          <w:lang w:val="en-US" w:eastAsia="zh-CN"/>
        </w:rPr>
        <w:t>》（GB3838-2002）</w:t>
      </w:r>
      <m:oMath>
        <m:r>
          <m:rPr>
            <m:sty m:val="p"/>
          </m:rPr>
          <w:rPr>
            <w:rFonts w:hint="default" w:ascii="Times New Roman" w:hAnsi="Times New Roman" w:cs="Times New Roman"/>
            <w:color w:val="auto"/>
            <w:lang w:val="en-US" w:eastAsia="zh-CN"/>
          </w:rPr>
          <m:t>Ⅱ</m:t>
        </m:r>
      </m:oMath>
      <w:r>
        <w:rPr>
          <w:rFonts w:hint="default" w:ascii="Times New Roman" w:hAnsi="Times New Roman" w:cs="Times New Roman"/>
          <w:color w:val="auto"/>
          <w:lang w:val="en-US" w:eastAsia="zh-CN"/>
        </w:rPr>
        <w:t>类水域标准限值要求，水环境质量现状较好。</w:t>
      </w:r>
    </w:p>
    <w:p w14:paraId="2D54D39F">
      <w:pPr>
        <w:pStyle w:val="10"/>
        <w:bidi w:val="0"/>
        <w:rPr>
          <w:color w:val="auto"/>
        </w:rPr>
      </w:pPr>
      <w:r>
        <w:rPr>
          <w:color w:val="auto"/>
        </w:rPr>
        <w:t>环境质量现状监测</w:t>
      </w:r>
    </w:p>
    <w:p w14:paraId="6F8E5DBC">
      <w:pPr>
        <w:bidi w:val="0"/>
        <w:rPr>
          <w:rFonts w:hint="default" w:eastAsia="宋体"/>
          <w:color w:val="auto"/>
          <w:lang w:val="en-US" w:eastAsia="zh-CN"/>
        </w:rPr>
      </w:pPr>
      <w:r>
        <w:rPr>
          <w:rFonts w:ascii="宋体" w:hAnsi="宋体" w:eastAsia="宋体" w:cs="宋体"/>
          <w:color w:val="auto"/>
          <w:spacing w:val="-7"/>
          <w:sz w:val="24"/>
          <w:szCs w:val="24"/>
        </w:rPr>
        <w:t>根据《建设项目环境影响评价技术导则</w:t>
      </w:r>
      <w:r>
        <w:rPr>
          <w:rFonts w:hint="eastAsia" w:ascii="宋体" w:hAnsi="宋体" w:eastAsia="宋体" w:cs="宋体"/>
          <w:color w:val="auto"/>
          <w:spacing w:val="-7"/>
          <w:sz w:val="24"/>
          <w:szCs w:val="24"/>
          <w:lang w:val="en-US" w:eastAsia="zh-CN"/>
        </w:rPr>
        <w:t xml:space="preserve"> </w:t>
      </w:r>
      <w:r>
        <w:rPr>
          <w:rFonts w:ascii="宋体" w:hAnsi="宋体" w:eastAsia="宋体" w:cs="宋体"/>
          <w:color w:val="auto"/>
          <w:spacing w:val="-7"/>
          <w:sz w:val="24"/>
          <w:szCs w:val="24"/>
        </w:rPr>
        <w:t>总纲》（</w:t>
      </w:r>
      <w:r>
        <w:rPr>
          <w:rFonts w:ascii="Times New Roman" w:hAnsi="Times New Roman" w:eastAsia="Times New Roman" w:cs="Times New Roman"/>
          <w:color w:val="auto"/>
          <w:spacing w:val="-7"/>
          <w:sz w:val="24"/>
          <w:szCs w:val="24"/>
        </w:rPr>
        <w:t>HJ2.1-</w:t>
      </w:r>
      <w:r>
        <w:rPr>
          <w:rFonts w:ascii="Times New Roman" w:hAnsi="Times New Roman" w:eastAsia="Times New Roman" w:cs="Times New Roman"/>
          <w:color w:val="auto"/>
          <w:spacing w:val="-8"/>
          <w:sz w:val="24"/>
          <w:szCs w:val="24"/>
        </w:rPr>
        <w:t>2016</w:t>
      </w:r>
      <w:r>
        <w:rPr>
          <w:rFonts w:ascii="宋体" w:hAnsi="宋体" w:eastAsia="宋体" w:cs="宋体"/>
          <w:color w:val="auto"/>
          <w:spacing w:val="-8"/>
          <w:sz w:val="24"/>
          <w:szCs w:val="24"/>
        </w:rPr>
        <w:t>）与《环境影响</w:t>
      </w:r>
      <w:r>
        <w:rPr>
          <w:rFonts w:ascii="宋体" w:hAnsi="宋体" w:eastAsia="宋体" w:cs="宋体"/>
          <w:color w:val="auto"/>
          <w:spacing w:val="-6"/>
          <w:sz w:val="24"/>
          <w:szCs w:val="24"/>
        </w:rPr>
        <w:t>评价技术导则</w:t>
      </w:r>
      <w:r>
        <w:rPr>
          <w:rFonts w:hint="eastAsia" w:ascii="宋体" w:hAnsi="宋体" w:eastAsia="宋体" w:cs="宋体"/>
          <w:color w:val="auto"/>
          <w:spacing w:val="-6"/>
          <w:sz w:val="24"/>
          <w:szCs w:val="24"/>
          <w:lang w:val="en-US" w:eastAsia="zh-CN"/>
        </w:rPr>
        <w:t xml:space="preserve"> </w:t>
      </w:r>
      <w:r>
        <w:rPr>
          <w:rFonts w:ascii="宋体" w:hAnsi="宋体" w:eastAsia="宋体" w:cs="宋体"/>
          <w:color w:val="auto"/>
          <w:spacing w:val="-6"/>
          <w:sz w:val="24"/>
          <w:szCs w:val="24"/>
        </w:rPr>
        <w:t>地表水环境》（</w:t>
      </w:r>
      <w:r>
        <w:rPr>
          <w:rFonts w:ascii="Times New Roman" w:hAnsi="Times New Roman" w:eastAsia="Times New Roman" w:cs="Times New Roman"/>
          <w:color w:val="auto"/>
          <w:spacing w:val="-6"/>
          <w:sz w:val="24"/>
          <w:szCs w:val="24"/>
        </w:rPr>
        <w:t>HJ2.3-2018</w:t>
      </w:r>
      <w:r>
        <w:rPr>
          <w:rFonts w:ascii="宋体" w:hAnsi="宋体" w:eastAsia="宋体" w:cs="宋体"/>
          <w:color w:val="auto"/>
          <w:spacing w:val="-7"/>
          <w:sz w:val="24"/>
          <w:szCs w:val="24"/>
        </w:rPr>
        <w:t>），</w:t>
      </w:r>
      <w:r>
        <w:rPr>
          <w:rFonts w:hint="eastAsia" w:ascii="宋体" w:hAnsi="宋体" w:eastAsia="宋体" w:cs="宋体"/>
          <w:color w:val="auto"/>
          <w:spacing w:val="-7"/>
          <w:sz w:val="24"/>
          <w:szCs w:val="24"/>
          <w:lang w:val="en-US" w:eastAsia="zh-CN"/>
        </w:rPr>
        <w:t>确定本项目评价等级为二级，评价时期为枯水期，枯水期引用四川巴中经济开发区管理委员会《四川巴中经济开发区规划修编环境影响报告书中》</w:t>
      </w:r>
      <w:r>
        <w:rPr>
          <w:rFonts w:hint="default" w:ascii="Times New Roman" w:hAnsi="Times New Roman" w:eastAsia="宋体" w:cs="Times New Roman"/>
          <w:color w:val="auto"/>
          <w:spacing w:val="-7"/>
          <w:sz w:val="24"/>
          <w:szCs w:val="24"/>
          <w:lang w:val="en-US" w:eastAsia="zh-CN"/>
        </w:rPr>
        <w:t>委托四川省工业环境监测研究院</w:t>
      </w:r>
      <w:r>
        <w:rPr>
          <w:rFonts w:hint="eastAsia" w:ascii="Times New Roman" w:hAnsi="Times New Roman" w:eastAsia="宋体" w:cs="Times New Roman"/>
          <w:color w:val="auto"/>
          <w:spacing w:val="-7"/>
          <w:sz w:val="24"/>
          <w:szCs w:val="24"/>
          <w:lang w:val="en-US" w:eastAsia="zh-CN"/>
        </w:rPr>
        <w:t>于2022年12月7日</w:t>
      </w:r>
      <w:r>
        <w:rPr>
          <w:rFonts w:hint="eastAsia" w:cs="Times New Roman"/>
          <w:color w:val="auto"/>
          <w:spacing w:val="-7"/>
          <w:sz w:val="24"/>
          <w:szCs w:val="24"/>
          <w:lang w:val="en-US" w:eastAsia="zh-CN"/>
        </w:rPr>
        <w:t>～</w:t>
      </w:r>
      <w:r>
        <w:rPr>
          <w:rFonts w:hint="eastAsia" w:ascii="Times New Roman" w:hAnsi="Times New Roman" w:eastAsia="宋体" w:cs="Times New Roman"/>
          <w:color w:val="auto"/>
          <w:spacing w:val="-7"/>
          <w:sz w:val="24"/>
          <w:szCs w:val="24"/>
          <w:lang w:val="en-US" w:eastAsia="zh-CN"/>
        </w:rPr>
        <w:t>2022年12月9日</w:t>
      </w:r>
      <w:r>
        <w:rPr>
          <w:rFonts w:hint="default" w:ascii="Times New Roman" w:hAnsi="Times New Roman" w:eastAsia="宋体" w:cs="Times New Roman"/>
          <w:color w:val="auto"/>
          <w:spacing w:val="-7"/>
          <w:sz w:val="24"/>
          <w:szCs w:val="24"/>
          <w:lang w:val="en-US" w:eastAsia="zh-CN"/>
        </w:rPr>
        <w:t>对地表水进行的监测（川工环监字（2022）第03120069号），</w:t>
      </w:r>
      <w:r>
        <w:rPr>
          <w:rFonts w:hint="eastAsia" w:ascii="Times New Roman" w:hAnsi="Times New Roman" w:eastAsia="宋体" w:cs="Times New Roman"/>
          <w:color w:val="auto"/>
          <w:spacing w:val="-7"/>
          <w:sz w:val="24"/>
          <w:szCs w:val="24"/>
          <w:lang w:val="en-US" w:eastAsia="zh-CN"/>
        </w:rPr>
        <w:t>丰水期委托四川海德汇环保科技有限公司于2024年7月15日</w:t>
      </w:r>
      <w:r>
        <w:rPr>
          <w:rFonts w:hint="eastAsia" w:cs="Times New Roman"/>
          <w:color w:val="auto"/>
          <w:spacing w:val="-7"/>
          <w:sz w:val="24"/>
          <w:szCs w:val="24"/>
          <w:lang w:val="en-US" w:eastAsia="zh-CN"/>
        </w:rPr>
        <w:t>～</w:t>
      </w:r>
      <w:r>
        <w:rPr>
          <w:rFonts w:hint="eastAsia" w:ascii="Times New Roman" w:hAnsi="Times New Roman" w:eastAsia="宋体" w:cs="Times New Roman"/>
          <w:color w:val="auto"/>
          <w:spacing w:val="-7"/>
          <w:sz w:val="24"/>
          <w:szCs w:val="24"/>
          <w:lang w:val="en-US" w:eastAsia="zh-CN"/>
        </w:rPr>
        <w:t>7月21日</w:t>
      </w:r>
      <w:r>
        <w:rPr>
          <w:rFonts w:hint="default" w:ascii="Times New Roman" w:hAnsi="Times New Roman" w:eastAsia="宋体" w:cs="Times New Roman"/>
          <w:color w:val="auto"/>
          <w:spacing w:val="-7"/>
          <w:sz w:val="24"/>
          <w:szCs w:val="24"/>
          <w:lang w:val="en-US" w:eastAsia="zh-CN"/>
        </w:rPr>
        <w:t>对地表水进行</w:t>
      </w:r>
      <w:r>
        <w:rPr>
          <w:rFonts w:hint="eastAsia" w:cs="Times New Roman"/>
          <w:color w:val="auto"/>
          <w:spacing w:val="-7"/>
          <w:sz w:val="24"/>
          <w:szCs w:val="24"/>
          <w:lang w:val="en-US" w:eastAsia="zh-CN"/>
        </w:rPr>
        <w:t>了</w:t>
      </w:r>
      <w:r>
        <w:rPr>
          <w:rFonts w:hint="eastAsia" w:ascii="Times New Roman" w:hAnsi="Times New Roman" w:eastAsia="宋体" w:cs="Times New Roman"/>
          <w:color w:val="auto"/>
          <w:spacing w:val="-7"/>
          <w:sz w:val="24"/>
          <w:szCs w:val="24"/>
          <w:lang w:val="en-US" w:eastAsia="zh-CN"/>
        </w:rPr>
        <w:t>现状</w:t>
      </w:r>
      <w:r>
        <w:rPr>
          <w:rFonts w:hint="default" w:ascii="Times New Roman" w:hAnsi="Times New Roman" w:eastAsia="宋体" w:cs="Times New Roman"/>
          <w:color w:val="auto"/>
          <w:spacing w:val="-7"/>
          <w:sz w:val="24"/>
          <w:szCs w:val="24"/>
          <w:lang w:val="en-US" w:eastAsia="zh-CN"/>
        </w:rPr>
        <w:t>监测</w:t>
      </w:r>
      <w:r>
        <w:rPr>
          <w:rFonts w:hint="eastAsia" w:ascii="Times New Roman" w:hAnsi="Times New Roman" w:eastAsia="宋体" w:cs="Times New Roman"/>
          <w:color w:val="auto"/>
          <w:spacing w:val="-7"/>
          <w:sz w:val="24"/>
          <w:szCs w:val="24"/>
          <w:lang w:val="en-US" w:eastAsia="zh-CN"/>
        </w:rPr>
        <w:t>。</w:t>
      </w:r>
    </w:p>
    <w:p w14:paraId="7C910740">
      <w:pPr>
        <w:bidi w:val="0"/>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一</w:t>
      </w:r>
      <w:r>
        <w:rPr>
          <w:rFonts w:hint="eastAsia"/>
          <w:b/>
          <w:bCs/>
          <w:color w:val="auto"/>
          <w:lang w:eastAsia="zh-CN"/>
        </w:rPr>
        <w:t>）</w:t>
      </w:r>
      <w:r>
        <w:rPr>
          <w:rFonts w:hint="eastAsia"/>
          <w:b/>
          <w:bCs/>
          <w:color w:val="auto"/>
          <w:lang w:val="en-US" w:eastAsia="zh-CN"/>
        </w:rPr>
        <w:t>枯水期水质现状监测</w:t>
      </w:r>
    </w:p>
    <w:p w14:paraId="08D88239">
      <w:pPr>
        <w:pageBreakBefore w:val="0"/>
        <w:wordWrap/>
        <w:bidi w:val="0"/>
        <w:adjustRightInd/>
        <w:snapToGrid/>
        <w:ind w:firstLine="480"/>
        <w:rPr>
          <w:b/>
          <w:bCs/>
          <w:color w:val="auto"/>
        </w:rPr>
      </w:pPr>
      <w:r>
        <w:rPr>
          <w:b/>
          <w:bCs/>
          <w:color w:val="auto"/>
        </w:rPr>
        <w:t>1、监测断面</w:t>
      </w:r>
    </w:p>
    <w:p w14:paraId="60C6C8D8">
      <w:pPr>
        <w:pageBreakBefore w:val="0"/>
        <w:wordWrap/>
        <w:bidi w:val="0"/>
        <w:adjustRightInd/>
        <w:snapToGrid/>
        <w:ind w:firstLine="480"/>
        <w:textAlignment w:val="baseline"/>
        <w:rPr>
          <w:color w:val="auto"/>
        </w:rPr>
      </w:pPr>
      <w:r>
        <w:rPr>
          <w:rFonts w:hint="eastAsia"/>
          <w:color w:val="auto"/>
          <w:lang w:val="en-US" w:eastAsia="zh-CN"/>
        </w:rPr>
        <w:t>枯水期</w:t>
      </w:r>
      <w:r>
        <w:rPr>
          <w:color w:val="auto"/>
        </w:rPr>
        <w:t>在</w:t>
      </w:r>
      <w:r>
        <w:rPr>
          <w:rFonts w:hint="eastAsia"/>
          <w:color w:val="auto"/>
          <w:lang w:eastAsia="zh-CN"/>
        </w:rPr>
        <w:t>巴河</w:t>
      </w:r>
      <w:r>
        <w:rPr>
          <w:color w:val="auto"/>
        </w:rPr>
        <w:t>共布设</w:t>
      </w:r>
      <w:r>
        <w:rPr>
          <w:rFonts w:hint="eastAsia"/>
          <w:color w:val="auto"/>
          <w:lang w:val="en-US" w:eastAsia="zh-CN"/>
        </w:rPr>
        <w:t>2</w:t>
      </w:r>
      <w:r>
        <w:rPr>
          <w:color w:val="auto"/>
        </w:rPr>
        <w:t>个监测断面，见</w:t>
      </w:r>
      <w:r>
        <w:rPr>
          <w:rFonts w:hint="eastAsia"/>
          <w:color w:val="auto"/>
          <w:lang w:val="en-US" w:eastAsia="zh-CN"/>
        </w:rPr>
        <w:t>下表</w:t>
      </w:r>
      <w:r>
        <w:rPr>
          <w:color w:val="auto"/>
        </w:rPr>
        <w:t>。</w:t>
      </w:r>
    </w:p>
    <w:p w14:paraId="7A1CB9B6">
      <w:pPr>
        <w:pStyle w:val="19"/>
        <w:keepNext w:val="0"/>
        <w:keepLines w:val="0"/>
        <w:pageBreakBefore w:val="0"/>
        <w:widowControl w:val="0"/>
        <w:numPr>
          <w:ilvl w:val="0"/>
          <w:numId w:val="28"/>
        </w:numPr>
        <w:kinsoku/>
        <w:wordWrap/>
        <w:overflowPunct/>
        <w:topLinePunct w:val="0"/>
        <w:autoSpaceDE/>
        <w:autoSpaceDN/>
        <w:bidi w:val="0"/>
        <w:adjustRightInd/>
        <w:snapToGrid/>
        <w:spacing w:before="0" w:beforeLines="50"/>
        <w:textAlignment w:val="auto"/>
        <w:rPr>
          <w:color w:val="auto"/>
        </w:rPr>
      </w:pPr>
      <w:r>
        <w:rPr>
          <w:color w:val="auto"/>
        </w:rPr>
        <w:t>地表水</w:t>
      </w:r>
      <w:r>
        <w:rPr>
          <w:rFonts w:hint="eastAsia"/>
          <w:color w:val="auto"/>
          <w:lang w:val="en-US" w:eastAsia="zh-CN"/>
        </w:rPr>
        <w:t>枯水期</w:t>
      </w:r>
      <w:r>
        <w:rPr>
          <w:color w:val="auto"/>
        </w:rPr>
        <w:t>现状监测断面</w:t>
      </w:r>
    </w:p>
    <w:tbl>
      <w:tblPr>
        <w:tblStyle w:val="52"/>
        <w:tblW w:w="4998"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553"/>
        <w:gridCol w:w="1437"/>
        <w:gridCol w:w="5737"/>
      </w:tblGrid>
      <w:tr w14:paraId="7C3D7C71">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90" w:type="pct"/>
            <w:tcBorders>
              <w:tl2br w:val="nil"/>
              <w:tr2bl w:val="nil"/>
            </w:tcBorders>
            <w:noWrap w:val="0"/>
            <w:vAlign w:val="center"/>
          </w:tcPr>
          <w:p w14:paraId="766F9053">
            <w:pPr>
              <w:pageBreakBefore w:val="0"/>
              <w:widowControl/>
              <w:wordWrap/>
              <w:bidi w:val="0"/>
              <w:adjustRightInd/>
              <w:snapToGrid/>
              <w:spacing w:line="240" w:lineRule="auto"/>
              <w:ind w:firstLine="0" w:firstLineChars="0"/>
              <w:jc w:val="center"/>
              <w:rPr>
                <w:b/>
                <w:color w:val="auto"/>
                <w:kern w:val="0"/>
                <w:sz w:val="21"/>
                <w:szCs w:val="21"/>
              </w:rPr>
            </w:pPr>
            <w:r>
              <w:rPr>
                <w:b/>
                <w:color w:val="auto"/>
                <w:kern w:val="0"/>
                <w:sz w:val="21"/>
                <w:szCs w:val="21"/>
              </w:rPr>
              <w:t>监测点位</w:t>
            </w:r>
          </w:p>
        </w:tc>
        <w:tc>
          <w:tcPr>
            <w:tcW w:w="823" w:type="pct"/>
            <w:tcBorders>
              <w:tl2br w:val="nil"/>
              <w:tr2bl w:val="nil"/>
            </w:tcBorders>
            <w:noWrap w:val="0"/>
            <w:vAlign w:val="center"/>
          </w:tcPr>
          <w:p w14:paraId="06E14F59">
            <w:pPr>
              <w:pageBreakBefore w:val="0"/>
              <w:widowControl/>
              <w:wordWrap/>
              <w:bidi w:val="0"/>
              <w:adjustRightInd/>
              <w:snapToGrid/>
              <w:spacing w:line="240" w:lineRule="auto"/>
              <w:ind w:firstLine="0" w:firstLineChars="0"/>
              <w:jc w:val="center"/>
              <w:rPr>
                <w:b/>
                <w:color w:val="auto"/>
                <w:kern w:val="0"/>
                <w:sz w:val="21"/>
                <w:szCs w:val="21"/>
              </w:rPr>
            </w:pPr>
            <w:r>
              <w:rPr>
                <w:b/>
                <w:color w:val="auto"/>
                <w:kern w:val="0"/>
                <w:sz w:val="21"/>
                <w:szCs w:val="21"/>
              </w:rPr>
              <w:t>监测水体</w:t>
            </w:r>
          </w:p>
        </w:tc>
        <w:tc>
          <w:tcPr>
            <w:tcW w:w="3286" w:type="pct"/>
            <w:tcBorders>
              <w:tl2br w:val="nil"/>
              <w:tr2bl w:val="nil"/>
            </w:tcBorders>
            <w:noWrap w:val="0"/>
            <w:vAlign w:val="center"/>
          </w:tcPr>
          <w:p w14:paraId="434C19BA">
            <w:pPr>
              <w:pageBreakBefore w:val="0"/>
              <w:widowControl/>
              <w:wordWrap/>
              <w:bidi w:val="0"/>
              <w:adjustRightInd/>
              <w:snapToGrid/>
              <w:spacing w:line="240" w:lineRule="auto"/>
              <w:ind w:firstLine="0" w:firstLineChars="0"/>
              <w:jc w:val="center"/>
              <w:rPr>
                <w:b/>
                <w:color w:val="auto"/>
                <w:kern w:val="0"/>
                <w:sz w:val="21"/>
                <w:szCs w:val="21"/>
              </w:rPr>
            </w:pPr>
            <w:r>
              <w:rPr>
                <w:b/>
                <w:color w:val="auto"/>
                <w:kern w:val="0"/>
                <w:sz w:val="21"/>
                <w:szCs w:val="21"/>
              </w:rPr>
              <w:t>断面位置</w:t>
            </w:r>
          </w:p>
        </w:tc>
      </w:tr>
      <w:tr w14:paraId="300AE358">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90" w:type="pct"/>
            <w:tcBorders>
              <w:tl2br w:val="nil"/>
              <w:tr2bl w:val="nil"/>
            </w:tcBorders>
            <w:noWrap w:val="0"/>
            <w:vAlign w:val="center"/>
          </w:tcPr>
          <w:p w14:paraId="094370B8">
            <w:pPr>
              <w:pageBreakBefore w:val="0"/>
              <w:widowControl/>
              <w:wordWrap/>
              <w:bidi w:val="0"/>
              <w:adjustRightInd/>
              <w:snapToGrid/>
              <w:spacing w:line="240" w:lineRule="auto"/>
              <w:ind w:firstLine="0" w:firstLineChars="0"/>
              <w:jc w:val="center"/>
              <w:rPr>
                <w:color w:val="auto"/>
                <w:kern w:val="0"/>
                <w:sz w:val="21"/>
                <w:szCs w:val="21"/>
              </w:rPr>
            </w:pPr>
            <w:r>
              <w:rPr>
                <w:color w:val="auto"/>
                <w:kern w:val="0"/>
                <w:sz w:val="21"/>
                <w:szCs w:val="21"/>
              </w:rPr>
              <w:t>1#</w:t>
            </w:r>
          </w:p>
        </w:tc>
        <w:tc>
          <w:tcPr>
            <w:tcW w:w="823" w:type="pct"/>
            <w:vMerge w:val="restart"/>
            <w:tcBorders>
              <w:tl2br w:val="nil"/>
              <w:tr2bl w:val="nil"/>
            </w:tcBorders>
            <w:noWrap w:val="0"/>
            <w:vAlign w:val="center"/>
          </w:tcPr>
          <w:p w14:paraId="03068A60">
            <w:pPr>
              <w:pageBreakBefore w:val="0"/>
              <w:widowControl/>
              <w:wordWrap/>
              <w:bidi w:val="0"/>
              <w:adjustRightInd/>
              <w:snapToGrid/>
              <w:spacing w:line="240" w:lineRule="auto"/>
              <w:ind w:firstLine="0" w:firstLineChars="0"/>
              <w:jc w:val="center"/>
              <w:rPr>
                <w:rFonts w:hint="eastAsia" w:eastAsia="宋体"/>
                <w:color w:val="auto"/>
                <w:kern w:val="0"/>
                <w:sz w:val="21"/>
                <w:szCs w:val="21"/>
                <w:lang w:eastAsia="zh-CN"/>
              </w:rPr>
            </w:pPr>
            <w:r>
              <w:rPr>
                <w:rFonts w:hint="eastAsia"/>
                <w:color w:val="auto"/>
                <w:kern w:val="0"/>
                <w:sz w:val="21"/>
                <w:szCs w:val="21"/>
                <w:lang w:eastAsia="zh-CN"/>
              </w:rPr>
              <w:t>巴河</w:t>
            </w:r>
          </w:p>
        </w:tc>
        <w:tc>
          <w:tcPr>
            <w:tcW w:w="3286" w:type="pct"/>
            <w:tcBorders>
              <w:tl2br w:val="nil"/>
              <w:tr2bl w:val="nil"/>
            </w:tcBorders>
            <w:noWrap w:val="0"/>
            <w:vAlign w:val="center"/>
          </w:tcPr>
          <w:p w14:paraId="41A27114">
            <w:pPr>
              <w:pageBreakBefore w:val="0"/>
              <w:wordWrap/>
              <w:bidi w:val="0"/>
              <w:adjustRightInd/>
              <w:snapToGrid/>
              <w:spacing w:line="240" w:lineRule="auto"/>
              <w:ind w:firstLine="0" w:firstLineChars="0"/>
              <w:jc w:val="center"/>
              <w:textAlignment w:val="baseline"/>
              <w:rPr>
                <w:color w:val="auto"/>
                <w:kern w:val="0"/>
                <w:sz w:val="21"/>
                <w:szCs w:val="21"/>
              </w:rPr>
            </w:pPr>
            <w:r>
              <w:rPr>
                <w:rFonts w:hint="eastAsia"/>
                <w:color w:val="auto"/>
                <w:sz w:val="21"/>
                <w:szCs w:val="22"/>
                <w:lang w:val="en-US" w:eastAsia="zh-CN"/>
              </w:rPr>
              <w:t>拟建曾口区块污水处理厂</w:t>
            </w:r>
            <w:r>
              <w:rPr>
                <w:color w:val="auto"/>
                <w:sz w:val="21"/>
                <w:szCs w:val="22"/>
              </w:rPr>
              <w:t>排口上游500m</w:t>
            </w:r>
          </w:p>
        </w:tc>
      </w:tr>
      <w:tr w14:paraId="43610CDD">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90" w:type="pct"/>
            <w:tcBorders>
              <w:tl2br w:val="nil"/>
              <w:tr2bl w:val="nil"/>
            </w:tcBorders>
            <w:noWrap w:val="0"/>
            <w:vAlign w:val="center"/>
          </w:tcPr>
          <w:p w14:paraId="1ED01448">
            <w:pPr>
              <w:pageBreakBefore w:val="0"/>
              <w:widowControl/>
              <w:wordWrap/>
              <w:bidi w:val="0"/>
              <w:adjustRightInd/>
              <w:snapToGrid/>
              <w:spacing w:line="240" w:lineRule="auto"/>
              <w:ind w:firstLine="0" w:firstLineChars="0"/>
              <w:jc w:val="center"/>
              <w:rPr>
                <w:color w:val="auto"/>
                <w:kern w:val="0"/>
                <w:sz w:val="21"/>
                <w:szCs w:val="21"/>
              </w:rPr>
            </w:pPr>
            <w:r>
              <w:rPr>
                <w:color w:val="auto"/>
                <w:kern w:val="0"/>
                <w:sz w:val="21"/>
                <w:szCs w:val="21"/>
              </w:rPr>
              <w:t>2#</w:t>
            </w:r>
          </w:p>
        </w:tc>
        <w:tc>
          <w:tcPr>
            <w:tcW w:w="823" w:type="pct"/>
            <w:vMerge w:val="continue"/>
            <w:tcBorders>
              <w:tl2br w:val="nil"/>
              <w:tr2bl w:val="nil"/>
            </w:tcBorders>
            <w:noWrap w:val="0"/>
            <w:vAlign w:val="center"/>
          </w:tcPr>
          <w:p w14:paraId="0E562C02">
            <w:pPr>
              <w:pageBreakBefore w:val="0"/>
              <w:widowControl/>
              <w:wordWrap/>
              <w:bidi w:val="0"/>
              <w:adjustRightInd/>
              <w:snapToGrid/>
              <w:spacing w:line="240" w:lineRule="auto"/>
              <w:ind w:firstLine="0" w:firstLineChars="0"/>
              <w:jc w:val="center"/>
              <w:rPr>
                <w:color w:val="auto"/>
                <w:kern w:val="0"/>
                <w:sz w:val="21"/>
                <w:szCs w:val="21"/>
              </w:rPr>
            </w:pPr>
          </w:p>
        </w:tc>
        <w:tc>
          <w:tcPr>
            <w:tcW w:w="3286" w:type="pct"/>
            <w:tcBorders>
              <w:tl2br w:val="nil"/>
              <w:tr2bl w:val="nil"/>
            </w:tcBorders>
            <w:noWrap w:val="0"/>
            <w:vAlign w:val="center"/>
          </w:tcPr>
          <w:p w14:paraId="5A8F7AE8">
            <w:pPr>
              <w:pageBreakBefore w:val="0"/>
              <w:wordWrap/>
              <w:bidi w:val="0"/>
              <w:adjustRightInd/>
              <w:snapToGrid/>
              <w:spacing w:line="240" w:lineRule="auto"/>
              <w:ind w:firstLine="0" w:firstLineChars="0"/>
              <w:jc w:val="center"/>
              <w:textAlignment w:val="baseline"/>
              <w:rPr>
                <w:color w:val="auto"/>
                <w:sz w:val="21"/>
                <w:szCs w:val="21"/>
              </w:rPr>
            </w:pPr>
            <w:r>
              <w:rPr>
                <w:rFonts w:hint="eastAsia"/>
                <w:color w:val="auto"/>
                <w:sz w:val="21"/>
                <w:szCs w:val="22"/>
                <w:lang w:val="en-US" w:eastAsia="zh-CN"/>
              </w:rPr>
              <w:t>拟建曾口区块污水处理厂</w:t>
            </w:r>
            <w:r>
              <w:rPr>
                <w:color w:val="auto"/>
                <w:sz w:val="21"/>
                <w:szCs w:val="22"/>
              </w:rPr>
              <w:t>排口</w:t>
            </w:r>
            <w:r>
              <w:rPr>
                <w:rFonts w:hint="eastAsia"/>
                <w:color w:val="auto"/>
                <w:sz w:val="21"/>
                <w:szCs w:val="22"/>
                <w:lang w:val="en-US" w:eastAsia="zh-CN"/>
              </w:rPr>
              <w:t>下游2500</w:t>
            </w:r>
            <w:r>
              <w:rPr>
                <w:color w:val="auto"/>
                <w:sz w:val="21"/>
                <w:szCs w:val="22"/>
              </w:rPr>
              <w:t>00m</w:t>
            </w:r>
          </w:p>
        </w:tc>
      </w:tr>
    </w:tbl>
    <w:p w14:paraId="228C66C8">
      <w:pPr>
        <w:keepNext w:val="0"/>
        <w:keepLines w:val="0"/>
        <w:pageBreakBefore w:val="0"/>
        <w:widowControl w:val="0"/>
        <w:kinsoku/>
        <w:wordWrap/>
        <w:overflowPunct/>
        <w:topLinePunct w:val="0"/>
        <w:autoSpaceDE/>
        <w:autoSpaceDN/>
        <w:bidi w:val="0"/>
        <w:adjustRightInd/>
        <w:snapToGrid/>
        <w:spacing w:before="0" w:beforeLines="50"/>
        <w:textAlignment w:val="auto"/>
        <w:rPr>
          <w:rFonts w:hint="default" w:eastAsia="宋体"/>
          <w:b/>
          <w:bCs/>
          <w:color w:val="auto"/>
          <w:lang w:val="en-US" w:eastAsia="zh-CN"/>
        </w:rPr>
      </w:pPr>
      <w:r>
        <w:rPr>
          <w:b/>
          <w:bCs/>
          <w:color w:val="auto"/>
        </w:rPr>
        <w:t>2、监测项目</w:t>
      </w:r>
      <w:r>
        <w:rPr>
          <w:rFonts w:hint="eastAsia"/>
          <w:b/>
          <w:bCs/>
          <w:color w:val="auto"/>
          <w:lang w:val="en-US" w:eastAsia="zh-CN"/>
        </w:rPr>
        <w:t>和监测方法</w:t>
      </w:r>
    </w:p>
    <w:p w14:paraId="07BF1D8C">
      <w:pPr>
        <w:spacing w:line="360" w:lineRule="auto"/>
        <w:ind w:firstLine="480" w:firstLineChars="200"/>
        <w:rPr>
          <w:rFonts w:ascii="Times New Roman" w:hAnsi="Times New Roman"/>
          <w:color w:val="auto"/>
          <w:sz w:val="24"/>
          <w:szCs w:val="24"/>
        </w:rPr>
      </w:pPr>
      <w:r>
        <w:rPr>
          <w:color w:val="auto"/>
        </w:rPr>
        <w:t>pH、化学需氧量、五日生化需氧量、氨氮、总磷、阴离子表面活性剂</w:t>
      </w:r>
      <w:r>
        <w:rPr>
          <w:rFonts w:hint="eastAsia"/>
          <w:color w:val="auto"/>
          <w:lang w:eastAsia="zh-CN"/>
        </w:rPr>
        <w:t>、</w:t>
      </w:r>
      <w:r>
        <w:rPr>
          <w:color w:val="auto"/>
        </w:rPr>
        <w:t>六价铬、砷、汞、</w:t>
      </w:r>
      <w:r>
        <w:rPr>
          <w:rFonts w:hint="eastAsia"/>
          <w:color w:val="auto"/>
          <w:lang w:val="en-US" w:eastAsia="zh-CN"/>
        </w:rPr>
        <w:t>硒、</w:t>
      </w:r>
      <w:r>
        <w:rPr>
          <w:color w:val="auto"/>
        </w:rPr>
        <w:t>铅、镉、铜、</w:t>
      </w:r>
      <w:r>
        <w:rPr>
          <w:rFonts w:hint="eastAsia"/>
          <w:color w:val="auto"/>
          <w:lang w:val="en-US" w:eastAsia="zh-CN"/>
        </w:rPr>
        <w:t>锌、氰化物、</w:t>
      </w:r>
      <w:r>
        <w:rPr>
          <w:color w:val="auto"/>
        </w:rPr>
        <w:t>氟化物、</w:t>
      </w:r>
      <w:r>
        <w:rPr>
          <w:rFonts w:hint="eastAsia"/>
          <w:color w:val="auto"/>
          <w:lang w:val="en-US" w:eastAsia="zh-CN"/>
        </w:rPr>
        <w:t>硫化物、</w:t>
      </w:r>
      <w:r>
        <w:rPr>
          <w:color w:val="auto"/>
        </w:rPr>
        <w:t>挥发酚、石油类，共计1</w:t>
      </w:r>
      <w:r>
        <w:rPr>
          <w:rFonts w:hint="eastAsia"/>
          <w:color w:val="auto"/>
          <w:lang w:val="en-US" w:eastAsia="zh-CN"/>
        </w:rPr>
        <w:t>9</w:t>
      </w:r>
      <w:r>
        <w:rPr>
          <w:color w:val="auto"/>
        </w:rPr>
        <w:t>项</w:t>
      </w:r>
      <w:r>
        <w:rPr>
          <w:rFonts w:hint="eastAsia"/>
          <w:color w:val="auto"/>
          <w:lang w:eastAsia="zh-CN"/>
        </w:rPr>
        <w:t>，</w:t>
      </w:r>
      <w:r>
        <w:rPr>
          <w:rFonts w:ascii="Times New Roman" w:hAnsi="Times New Roman"/>
          <w:color w:val="auto"/>
          <w:sz w:val="24"/>
          <w:szCs w:val="24"/>
        </w:rPr>
        <w:t>监测方法见下表。</w:t>
      </w:r>
    </w:p>
    <w:p w14:paraId="6E84D870">
      <w:pPr>
        <w:pStyle w:val="19"/>
        <w:keepNext w:val="0"/>
        <w:keepLines w:val="0"/>
        <w:pageBreakBefore w:val="0"/>
        <w:widowControl w:val="0"/>
        <w:numPr>
          <w:ilvl w:val="0"/>
          <w:numId w:val="28"/>
        </w:numPr>
        <w:kinsoku/>
        <w:wordWrap/>
        <w:overflowPunct/>
        <w:topLinePunct w:val="0"/>
        <w:autoSpaceDE/>
        <w:autoSpaceDN/>
        <w:bidi w:val="0"/>
        <w:adjustRightInd/>
        <w:snapToGrid/>
        <w:spacing w:before="0" w:beforeLines="50"/>
        <w:textAlignment w:val="auto"/>
        <w:rPr>
          <w:rFonts w:ascii="Times New Roman" w:hAnsi="Times New Roman"/>
          <w:color w:val="auto"/>
          <w:sz w:val="24"/>
          <w:szCs w:val="24"/>
        </w:rPr>
      </w:pPr>
      <w:r>
        <w:rPr>
          <w:rFonts w:hint="eastAsia"/>
          <w:color w:val="auto"/>
        </w:rPr>
        <w:t>监测方法、方法来源及检出限</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28" w:type="dxa"/>
          <w:bottom w:w="0" w:type="dxa"/>
          <w:right w:w="28" w:type="dxa"/>
        </w:tblCellMar>
      </w:tblPr>
      <w:tblGrid>
        <w:gridCol w:w="1434"/>
        <w:gridCol w:w="2748"/>
        <w:gridCol w:w="1351"/>
        <w:gridCol w:w="2075"/>
        <w:gridCol w:w="1173"/>
      </w:tblGrid>
      <w:tr w14:paraId="468D06B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tblHeader/>
          <w:jc w:val="center"/>
        </w:trPr>
        <w:tc>
          <w:tcPr>
            <w:tcW w:w="816" w:type="pct"/>
            <w:tcBorders>
              <w:tl2br w:val="nil"/>
              <w:tr2bl w:val="nil"/>
            </w:tcBorders>
            <w:noWrap w:val="0"/>
            <w:vAlign w:val="center"/>
          </w:tcPr>
          <w:p w14:paraId="781A209B">
            <w:pPr>
              <w:pStyle w:val="16"/>
              <w:bidi w:val="0"/>
              <w:rPr>
                <w:rFonts w:hint="default"/>
                <w:b/>
                <w:bCs/>
                <w:color w:val="auto"/>
                <w:lang w:val="en-US" w:eastAsia="zh-CN"/>
              </w:rPr>
            </w:pPr>
            <w:r>
              <w:rPr>
                <w:rFonts w:hint="default"/>
                <w:b/>
                <w:bCs/>
                <w:color w:val="auto"/>
              </w:rPr>
              <w:t>检测</w:t>
            </w:r>
            <w:r>
              <w:rPr>
                <w:rFonts w:hint="default"/>
                <w:b/>
                <w:bCs/>
                <w:color w:val="auto"/>
                <w:lang w:val="en-US" w:eastAsia="zh-CN"/>
              </w:rPr>
              <w:t>项目</w:t>
            </w:r>
          </w:p>
        </w:tc>
        <w:tc>
          <w:tcPr>
            <w:tcW w:w="1564" w:type="pct"/>
            <w:tcBorders>
              <w:tl2br w:val="nil"/>
              <w:tr2bl w:val="nil"/>
            </w:tcBorders>
            <w:noWrap w:val="0"/>
            <w:vAlign w:val="center"/>
          </w:tcPr>
          <w:p w14:paraId="17B53260">
            <w:pPr>
              <w:pStyle w:val="16"/>
              <w:bidi w:val="0"/>
              <w:rPr>
                <w:rFonts w:hint="default"/>
                <w:b/>
                <w:bCs/>
                <w:color w:val="auto"/>
                <w:lang w:val="en-US" w:eastAsia="zh-CN"/>
              </w:rPr>
            </w:pPr>
            <w:r>
              <w:rPr>
                <w:rFonts w:hint="default"/>
                <w:b/>
                <w:bCs/>
                <w:color w:val="auto"/>
              </w:rPr>
              <w:t>检测方法</w:t>
            </w:r>
          </w:p>
        </w:tc>
        <w:tc>
          <w:tcPr>
            <w:tcW w:w="769" w:type="pct"/>
            <w:tcBorders>
              <w:tl2br w:val="nil"/>
              <w:tr2bl w:val="nil"/>
            </w:tcBorders>
            <w:noWrap w:val="0"/>
            <w:vAlign w:val="center"/>
          </w:tcPr>
          <w:p w14:paraId="5EE42DB8">
            <w:pPr>
              <w:pStyle w:val="16"/>
              <w:bidi w:val="0"/>
              <w:rPr>
                <w:rFonts w:hint="default"/>
                <w:b/>
                <w:bCs/>
                <w:color w:val="auto"/>
                <w:lang w:val="en-US" w:eastAsia="zh-CN"/>
              </w:rPr>
            </w:pPr>
            <w:r>
              <w:rPr>
                <w:rFonts w:hint="default"/>
                <w:b/>
                <w:bCs/>
                <w:color w:val="auto"/>
              </w:rPr>
              <w:t>方法来源</w:t>
            </w:r>
          </w:p>
        </w:tc>
        <w:tc>
          <w:tcPr>
            <w:tcW w:w="1181" w:type="pct"/>
            <w:tcBorders>
              <w:tl2br w:val="nil"/>
              <w:tr2bl w:val="nil"/>
            </w:tcBorders>
            <w:noWrap w:val="0"/>
            <w:vAlign w:val="center"/>
          </w:tcPr>
          <w:p w14:paraId="1505C646">
            <w:pPr>
              <w:pStyle w:val="16"/>
              <w:bidi w:val="0"/>
              <w:rPr>
                <w:rFonts w:hint="default"/>
                <w:b/>
                <w:bCs/>
                <w:color w:val="auto"/>
                <w:lang w:val="en-US" w:eastAsia="zh-CN"/>
              </w:rPr>
            </w:pPr>
            <w:r>
              <w:rPr>
                <w:rFonts w:hint="default"/>
                <w:b/>
                <w:bCs/>
                <w:color w:val="auto"/>
              </w:rPr>
              <w:t>使用仪器及编号</w:t>
            </w:r>
          </w:p>
        </w:tc>
        <w:tc>
          <w:tcPr>
            <w:tcW w:w="667" w:type="pct"/>
            <w:tcBorders>
              <w:tl2br w:val="nil"/>
              <w:tr2bl w:val="nil"/>
            </w:tcBorders>
            <w:noWrap w:val="0"/>
            <w:vAlign w:val="center"/>
          </w:tcPr>
          <w:p w14:paraId="6959C350">
            <w:pPr>
              <w:pStyle w:val="16"/>
              <w:bidi w:val="0"/>
              <w:rPr>
                <w:rFonts w:hint="default"/>
                <w:b/>
                <w:bCs/>
                <w:color w:val="auto"/>
                <w:lang w:val="en-US" w:eastAsia="zh-CN"/>
              </w:rPr>
            </w:pPr>
            <w:r>
              <w:rPr>
                <w:rFonts w:hint="default"/>
                <w:b/>
                <w:bCs/>
                <w:color w:val="auto"/>
              </w:rPr>
              <w:t>检出限</w:t>
            </w:r>
          </w:p>
        </w:tc>
      </w:tr>
      <w:tr w14:paraId="1495A18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6A753946">
            <w:pPr>
              <w:pStyle w:val="16"/>
              <w:bidi w:val="0"/>
              <w:rPr>
                <w:rFonts w:hint="default"/>
                <w:color w:val="auto"/>
                <w:lang w:val="en-US" w:eastAsia="zh-CN"/>
              </w:rPr>
            </w:pPr>
            <w:r>
              <w:rPr>
                <w:rFonts w:hint="default"/>
                <w:color w:val="auto"/>
                <w:lang w:val="en-US" w:eastAsia="zh-CN"/>
              </w:rPr>
              <w:t>pH</w:t>
            </w:r>
          </w:p>
        </w:tc>
        <w:tc>
          <w:tcPr>
            <w:tcW w:w="1564" w:type="pct"/>
            <w:tcBorders>
              <w:tl2br w:val="nil"/>
              <w:tr2bl w:val="nil"/>
            </w:tcBorders>
            <w:noWrap w:val="0"/>
            <w:vAlign w:val="center"/>
          </w:tcPr>
          <w:p w14:paraId="1064A142">
            <w:pPr>
              <w:pStyle w:val="16"/>
              <w:bidi w:val="0"/>
              <w:rPr>
                <w:rFonts w:hint="default"/>
                <w:color w:val="auto"/>
                <w:lang w:val="en-US" w:eastAsia="zh-CN"/>
              </w:rPr>
            </w:pPr>
            <w:r>
              <w:rPr>
                <w:rFonts w:hint="default"/>
                <w:color w:val="auto"/>
                <w:lang w:val="en-US" w:eastAsia="zh-CN"/>
              </w:rPr>
              <w:t>水质 pH值的测定 电极法</w:t>
            </w:r>
          </w:p>
        </w:tc>
        <w:tc>
          <w:tcPr>
            <w:tcW w:w="769" w:type="pct"/>
            <w:tcBorders>
              <w:tl2br w:val="nil"/>
              <w:tr2bl w:val="nil"/>
            </w:tcBorders>
            <w:noWrap w:val="0"/>
            <w:vAlign w:val="center"/>
          </w:tcPr>
          <w:p w14:paraId="47BEDCD0">
            <w:pPr>
              <w:pStyle w:val="16"/>
              <w:bidi w:val="0"/>
              <w:rPr>
                <w:rFonts w:hint="default"/>
                <w:color w:val="auto"/>
                <w:lang w:val="en-US" w:eastAsia="zh-CN"/>
              </w:rPr>
            </w:pPr>
            <w:r>
              <w:rPr>
                <w:rFonts w:hint="default"/>
                <w:color w:val="auto"/>
                <w:lang w:val="en-US" w:eastAsia="zh-CN"/>
              </w:rPr>
              <w:t>HJ 1147-2020</w:t>
            </w:r>
          </w:p>
        </w:tc>
        <w:tc>
          <w:tcPr>
            <w:tcW w:w="1181" w:type="pct"/>
            <w:tcBorders>
              <w:tl2br w:val="nil"/>
              <w:tr2bl w:val="nil"/>
            </w:tcBorders>
            <w:noWrap w:val="0"/>
            <w:vAlign w:val="center"/>
          </w:tcPr>
          <w:p w14:paraId="6BCFF3A3">
            <w:pPr>
              <w:pStyle w:val="16"/>
              <w:bidi w:val="0"/>
              <w:rPr>
                <w:rFonts w:hint="default"/>
                <w:color w:val="auto"/>
                <w:lang w:val="en-US" w:eastAsia="zh-CN"/>
              </w:rPr>
            </w:pPr>
            <w:r>
              <w:rPr>
                <w:rFonts w:hint="default"/>
                <w:color w:val="auto"/>
                <w:lang w:val="en-US" w:eastAsia="zh-CN"/>
              </w:rPr>
              <w:t>AZ86031酸碱度/电导率/DO/PH 多用仪表（HDH/YQ-</w:t>
            </w:r>
            <w:r>
              <w:rPr>
                <w:rFonts w:hint="eastAsia"/>
                <w:color w:val="auto"/>
                <w:lang w:val="en-US" w:eastAsia="zh-CN"/>
              </w:rPr>
              <w:t>152-02</w:t>
            </w:r>
            <w:r>
              <w:rPr>
                <w:rFonts w:hint="default"/>
                <w:color w:val="auto"/>
                <w:lang w:val="en-US" w:eastAsia="zh-CN"/>
              </w:rPr>
              <w:t>）</w:t>
            </w:r>
          </w:p>
        </w:tc>
        <w:tc>
          <w:tcPr>
            <w:tcW w:w="667" w:type="pct"/>
            <w:tcBorders>
              <w:tl2br w:val="nil"/>
              <w:tr2bl w:val="nil"/>
            </w:tcBorders>
            <w:noWrap w:val="0"/>
            <w:vAlign w:val="center"/>
          </w:tcPr>
          <w:p w14:paraId="3CC22291">
            <w:pPr>
              <w:pStyle w:val="16"/>
              <w:bidi w:val="0"/>
              <w:rPr>
                <w:rFonts w:hint="default"/>
                <w:color w:val="auto"/>
                <w:lang w:val="en-US" w:eastAsia="zh-CN"/>
              </w:rPr>
            </w:pPr>
            <w:r>
              <w:rPr>
                <w:rFonts w:hint="default"/>
                <w:color w:val="auto"/>
                <w:lang w:val="en-US" w:eastAsia="zh-CN"/>
              </w:rPr>
              <w:t>/</w:t>
            </w:r>
          </w:p>
        </w:tc>
      </w:tr>
      <w:tr w14:paraId="51CFA94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7738DBFC">
            <w:pPr>
              <w:pStyle w:val="16"/>
              <w:bidi w:val="0"/>
              <w:rPr>
                <w:rFonts w:hint="default"/>
                <w:color w:val="auto"/>
                <w:lang w:val="en-US" w:eastAsia="zh-CN"/>
              </w:rPr>
            </w:pPr>
            <w:r>
              <w:rPr>
                <w:rFonts w:hint="eastAsia"/>
                <w:color w:val="auto"/>
                <w:lang w:val="en-US" w:eastAsia="zh-CN"/>
              </w:rPr>
              <w:t>水温</w:t>
            </w:r>
          </w:p>
        </w:tc>
        <w:tc>
          <w:tcPr>
            <w:tcW w:w="1564" w:type="pct"/>
            <w:tcBorders>
              <w:tl2br w:val="nil"/>
              <w:tr2bl w:val="nil"/>
            </w:tcBorders>
            <w:noWrap w:val="0"/>
            <w:vAlign w:val="center"/>
          </w:tcPr>
          <w:p w14:paraId="279D19CE">
            <w:pPr>
              <w:pStyle w:val="16"/>
              <w:bidi w:val="0"/>
              <w:rPr>
                <w:rFonts w:hint="default"/>
                <w:color w:val="auto"/>
                <w:lang w:val="en-US" w:eastAsia="zh-CN"/>
              </w:rPr>
            </w:pPr>
            <w:r>
              <w:rPr>
                <w:rFonts w:hint="eastAsia"/>
                <w:color w:val="auto"/>
                <w:lang w:val="en-US" w:eastAsia="zh-CN"/>
              </w:rPr>
              <w:t>水质</w:t>
            </w:r>
            <w:r>
              <w:rPr>
                <w:rFonts w:hint="default"/>
                <w:color w:val="auto"/>
                <w:lang w:val="en-US" w:eastAsia="zh-CN"/>
              </w:rPr>
              <w:t xml:space="preserve"> </w:t>
            </w:r>
            <w:r>
              <w:rPr>
                <w:rFonts w:hint="eastAsia"/>
                <w:color w:val="auto"/>
                <w:lang w:val="en-US" w:eastAsia="zh-CN"/>
              </w:rPr>
              <w:t>水温的测定</w:t>
            </w:r>
            <w:r>
              <w:rPr>
                <w:rFonts w:hint="default"/>
                <w:color w:val="auto"/>
                <w:lang w:val="en-US" w:eastAsia="zh-CN"/>
              </w:rPr>
              <w:t xml:space="preserve"> </w:t>
            </w:r>
            <w:r>
              <w:rPr>
                <w:rFonts w:hint="eastAsia"/>
                <w:color w:val="auto"/>
                <w:lang w:val="en-US" w:eastAsia="zh-CN"/>
              </w:rPr>
              <w:t>温度计法或颠倒温度计测定法</w:t>
            </w:r>
          </w:p>
        </w:tc>
        <w:tc>
          <w:tcPr>
            <w:tcW w:w="769" w:type="pct"/>
            <w:tcBorders>
              <w:tl2br w:val="nil"/>
              <w:tr2bl w:val="nil"/>
            </w:tcBorders>
            <w:noWrap w:val="0"/>
            <w:vAlign w:val="center"/>
          </w:tcPr>
          <w:p w14:paraId="7182FDD6">
            <w:pPr>
              <w:pStyle w:val="16"/>
              <w:bidi w:val="0"/>
              <w:rPr>
                <w:rFonts w:hint="default"/>
                <w:color w:val="auto"/>
                <w:lang w:val="en-US" w:eastAsia="zh-CN"/>
              </w:rPr>
            </w:pPr>
            <w:r>
              <w:rPr>
                <w:rFonts w:hint="default"/>
                <w:color w:val="auto"/>
                <w:lang w:val="en-US" w:eastAsia="zh-CN"/>
              </w:rPr>
              <w:t>GB 13195-1991</w:t>
            </w:r>
          </w:p>
        </w:tc>
        <w:tc>
          <w:tcPr>
            <w:tcW w:w="1181" w:type="pct"/>
            <w:tcBorders>
              <w:tl2br w:val="nil"/>
              <w:tr2bl w:val="nil"/>
            </w:tcBorders>
            <w:noWrap w:val="0"/>
            <w:vAlign w:val="center"/>
          </w:tcPr>
          <w:p w14:paraId="0A1062D5">
            <w:pPr>
              <w:pStyle w:val="16"/>
              <w:bidi w:val="0"/>
              <w:rPr>
                <w:rFonts w:hint="default"/>
                <w:color w:val="auto"/>
              </w:rPr>
            </w:pPr>
            <w:r>
              <w:rPr>
                <w:rFonts w:hint="default"/>
                <w:color w:val="auto"/>
              </w:rPr>
              <w:t>（0-40）℃</w:t>
            </w:r>
            <w:r>
              <w:rPr>
                <w:rFonts w:hint="eastAsia"/>
                <w:color w:val="auto"/>
                <w:lang w:val="en-US" w:eastAsia="zh-CN"/>
              </w:rPr>
              <w:t>水温表</w:t>
            </w:r>
            <w:r>
              <w:rPr>
                <w:rFonts w:hint="default"/>
                <w:color w:val="auto"/>
                <w:lang w:val="en-US" w:eastAsia="zh-CN"/>
              </w:rPr>
              <w:t>（HDH/YQ-</w:t>
            </w:r>
            <w:r>
              <w:rPr>
                <w:rFonts w:hint="eastAsia"/>
                <w:color w:val="auto"/>
                <w:lang w:val="en-US" w:eastAsia="zh-CN"/>
              </w:rPr>
              <w:t>124-05</w:t>
            </w:r>
            <w:r>
              <w:rPr>
                <w:rFonts w:hint="default"/>
                <w:color w:val="auto"/>
                <w:lang w:val="en-US" w:eastAsia="zh-CN"/>
              </w:rPr>
              <w:t>）</w:t>
            </w:r>
          </w:p>
        </w:tc>
        <w:tc>
          <w:tcPr>
            <w:tcW w:w="667" w:type="pct"/>
            <w:tcBorders>
              <w:tl2br w:val="nil"/>
              <w:tr2bl w:val="nil"/>
            </w:tcBorders>
            <w:noWrap w:val="0"/>
            <w:vAlign w:val="center"/>
          </w:tcPr>
          <w:p w14:paraId="62723661">
            <w:pPr>
              <w:pStyle w:val="16"/>
              <w:bidi w:val="0"/>
              <w:rPr>
                <w:rFonts w:hint="default"/>
                <w:color w:val="auto"/>
                <w:lang w:val="en-US" w:eastAsia="zh-CN"/>
              </w:rPr>
            </w:pPr>
            <w:r>
              <w:rPr>
                <w:rFonts w:hint="eastAsia"/>
                <w:color w:val="auto"/>
                <w:lang w:val="en-US" w:eastAsia="zh-CN"/>
              </w:rPr>
              <w:t>/</w:t>
            </w:r>
          </w:p>
        </w:tc>
      </w:tr>
      <w:tr w14:paraId="01F9FB13">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5C149782">
            <w:pPr>
              <w:pStyle w:val="16"/>
              <w:bidi w:val="0"/>
              <w:rPr>
                <w:rFonts w:hint="default"/>
                <w:color w:val="auto"/>
                <w:lang w:val="en-US" w:eastAsia="zh-CN"/>
              </w:rPr>
            </w:pPr>
            <w:r>
              <w:rPr>
                <w:rFonts w:hint="default"/>
                <w:color w:val="auto"/>
                <w:lang w:val="en-US" w:eastAsia="zh-CN"/>
              </w:rPr>
              <w:t>溶解氧</w:t>
            </w:r>
          </w:p>
        </w:tc>
        <w:tc>
          <w:tcPr>
            <w:tcW w:w="1564" w:type="pct"/>
            <w:tcBorders>
              <w:tl2br w:val="nil"/>
              <w:tr2bl w:val="nil"/>
            </w:tcBorders>
            <w:noWrap w:val="0"/>
            <w:vAlign w:val="center"/>
          </w:tcPr>
          <w:p w14:paraId="576B52FA">
            <w:pPr>
              <w:pStyle w:val="16"/>
              <w:bidi w:val="0"/>
              <w:rPr>
                <w:rFonts w:hint="default"/>
                <w:color w:val="auto"/>
                <w:lang w:val="en-US" w:eastAsia="zh-CN"/>
              </w:rPr>
            </w:pPr>
            <w:r>
              <w:rPr>
                <w:rFonts w:hint="default"/>
                <w:color w:val="auto"/>
                <w:lang w:val="en-US" w:eastAsia="zh-CN"/>
              </w:rPr>
              <w:t>水质 溶解氧的测定 电化学探头法</w:t>
            </w:r>
          </w:p>
        </w:tc>
        <w:tc>
          <w:tcPr>
            <w:tcW w:w="769" w:type="pct"/>
            <w:tcBorders>
              <w:tl2br w:val="nil"/>
              <w:tr2bl w:val="nil"/>
            </w:tcBorders>
            <w:noWrap w:val="0"/>
            <w:vAlign w:val="center"/>
          </w:tcPr>
          <w:p w14:paraId="49D47907">
            <w:pPr>
              <w:pStyle w:val="16"/>
              <w:bidi w:val="0"/>
              <w:rPr>
                <w:rFonts w:hint="default"/>
                <w:color w:val="auto"/>
                <w:lang w:val="en-US" w:eastAsia="zh-CN"/>
              </w:rPr>
            </w:pPr>
            <w:r>
              <w:rPr>
                <w:rFonts w:hint="default"/>
                <w:color w:val="auto"/>
                <w:lang w:val="en-US" w:eastAsia="zh-CN"/>
              </w:rPr>
              <w:t>HJ 506-2009</w:t>
            </w:r>
          </w:p>
        </w:tc>
        <w:tc>
          <w:tcPr>
            <w:tcW w:w="1181" w:type="pct"/>
            <w:tcBorders>
              <w:tl2br w:val="nil"/>
              <w:tr2bl w:val="nil"/>
            </w:tcBorders>
            <w:noWrap w:val="0"/>
            <w:vAlign w:val="center"/>
          </w:tcPr>
          <w:p w14:paraId="3AE346DE">
            <w:pPr>
              <w:pStyle w:val="16"/>
              <w:bidi w:val="0"/>
              <w:rPr>
                <w:rFonts w:hint="default"/>
                <w:color w:val="auto"/>
                <w:lang w:val="en-US" w:eastAsia="zh-CN"/>
              </w:rPr>
            </w:pPr>
            <w:r>
              <w:rPr>
                <w:rFonts w:hint="default"/>
                <w:color w:val="auto"/>
                <w:lang w:val="en-US" w:eastAsia="zh-CN"/>
              </w:rPr>
              <w:t>AZ86031酸碱度/电导率/DO/PH 多用仪表（HDH/YQ-</w:t>
            </w:r>
            <w:r>
              <w:rPr>
                <w:rFonts w:hint="eastAsia"/>
                <w:color w:val="auto"/>
                <w:lang w:val="en-US" w:eastAsia="zh-CN"/>
              </w:rPr>
              <w:t>152-02</w:t>
            </w:r>
            <w:r>
              <w:rPr>
                <w:rFonts w:hint="default"/>
                <w:color w:val="auto"/>
                <w:lang w:val="en-US" w:eastAsia="zh-CN"/>
              </w:rPr>
              <w:t>）</w:t>
            </w:r>
          </w:p>
        </w:tc>
        <w:tc>
          <w:tcPr>
            <w:tcW w:w="667" w:type="pct"/>
            <w:tcBorders>
              <w:tl2br w:val="nil"/>
              <w:tr2bl w:val="nil"/>
            </w:tcBorders>
            <w:noWrap w:val="0"/>
            <w:vAlign w:val="center"/>
          </w:tcPr>
          <w:p w14:paraId="55361BB8">
            <w:pPr>
              <w:pStyle w:val="16"/>
              <w:bidi w:val="0"/>
              <w:rPr>
                <w:rFonts w:hint="default"/>
                <w:color w:val="auto"/>
                <w:lang w:val="en-US" w:eastAsia="zh-CN"/>
              </w:rPr>
            </w:pPr>
            <w:r>
              <w:rPr>
                <w:rFonts w:hint="default"/>
                <w:color w:val="auto"/>
                <w:lang w:val="en-US" w:eastAsia="zh-CN"/>
              </w:rPr>
              <w:t>/</w:t>
            </w:r>
          </w:p>
        </w:tc>
      </w:tr>
      <w:tr w14:paraId="15EB9246">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6D23953A">
            <w:pPr>
              <w:pStyle w:val="16"/>
              <w:bidi w:val="0"/>
              <w:rPr>
                <w:rFonts w:hint="default"/>
                <w:color w:val="auto"/>
                <w:lang w:val="en-US" w:eastAsia="zh-CN"/>
              </w:rPr>
            </w:pPr>
            <w:r>
              <w:rPr>
                <w:rFonts w:hint="eastAsia"/>
                <w:color w:val="auto"/>
                <w:lang w:val="en-US" w:eastAsia="zh-CN"/>
              </w:rPr>
              <w:t>色度</w:t>
            </w:r>
          </w:p>
        </w:tc>
        <w:tc>
          <w:tcPr>
            <w:tcW w:w="1564" w:type="pct"/>
            <w:tcBorders>
              <w:tl2br w:val="nil"/>
              <w:tr2bl w:val="nil"/>
            </w:tcBorders>
            <w:noWrap w:val="0"/>
            <w:vAlign w:val="center"/>
          </w:tcPr>
          <w:p w14:paraId="036CE02F">
            <w:pPr>
              <w:pStyle w:val="16"/>
              <w:bidi w:val="0"/>
              <w:rPr>
                <w:rFonts w:hint="default"/>
                <w:color w:val="auto"/>
                <w:lang w:val="en-US" w:eastAsia="zh-CN"/>
              </w:rPr>
            </w:pPr>
            <w:r>
              <w:rPr>
                <w:rFonts w:hint="eastAsia"/>
                <w:color w:val="auto"/>
                <w:lang w:val="en-US" w:eastAsia="zh-CN"/>
              </w:rPr>
              <w:t>水质</w:t>
            </w:r>
            <w:r>
              <w:rPr>
                <w:rFonts w:hint="default"/>
                <w:color w:val="auto"/>
                <w:lang w:val="en-US" w:eastAsia="zh-CN"/>
              </w:rPr>
              <w:t xml:space="preserve"> </w:t>
            </w:r>
            <w:r>
              <w:rPr>
                <w:rFonts w:hint="eastAsia"/>
                <w:color w:val="auto"/>
                <w:lang w:val="en-US" w:eastAsia="zh-CN"/>
              </w:rPr>
              <w:t>色度的测定</w:t>
            </w:r>
            <w:r>
              <w:rPr>
                <w:rFonts w:hint="default"/>
                <w:color w:val="auto"/>
                <w:lang w:val="en-US" w:eastAsia="zh-CN"/>
              </w:rPr>
              <w:t xml:space="preserve"> </w:t>
            </w:r>
            <w:r>
              <w:rPr>
                <w:rFonts w:hint="eastAsia"/>
                <w:color w:val="auto"/>
                <w:lang w:val="en-US" w:eastAsia="zh-CN"/>
              </w:rPr>
              <w:t>铂钴比色法</w:t>
            </w:r>
          </w:p>
        </w:tc>
        <w:tc>
          <w:tcPr>
            <w:tcW w:w="769" w:type="pct"/>
            <w:tcBorders>
              <w:tl2br w:val="nil"/>
              <w:tr2bl w:val="nil"/>
            </w:tcBorders>
            <w:noWrap w:val="0"/>
            <w:vAlign w:val="center"/>
          </w:tcPr>
          <w:p w14:paraId="53D2FC43">
            <w:pPr>
              <w:pStyle w:val="16"/>
              <w:bidi w:val="0"/>
              <w:rPr>
                <w:rFonts w:hint="default"/>
                <w:color w:val="auto"/>
                <w:lang w:val="en-US" w:eastAsia="zh-CN"/>
              </w:rPr>
            </w:pPr>
            <w:r>
              <w:rPr>
                <w:rFonts w:hint="default"/>
                <w:color w:val="auto"/>
                <w:lang w:val="en-US" w:eastAsia="zh-CN"/>
              </w:rPr>
              <w:t>GB 11903-1989</w:t>
            </w:r>
          </w:p>
        </w:tc>
        <w:tc>
          <w:tcPr>
            <w:tcW w:w="1181" w:type="pct"/>
            <w:tcBorders>
              <w:tl2br w:val="nil"/>
              <w:tr2bl w:val="nil"/>
            </w:tcBorders>
            <w:noWrap w:val="0"/>
            <w:vAlign w:val="center"/>
          </w:tcPr>
          <w:p w14:paraId="337DFDDE">
            <w:pPr>
              <w:pStyle w:val="16"/>
              <w:bidi w:val="0"/>
              <w:rPr>
                <w:rFonts w:hint="default"/>
                <w:color w:val="auto"/>
                <w:lang w:val="en-US" w:eastAsia="zh-CN"/>
              </w:rPr>
            </w:pPr>
            <w:r>
              <w:rPr>
                <w:rFonts w:hint="default"/>
                <w:color w:val="auto"/>
                <w:lang w:val="en-US" w:eastAsia="zh-CN"/>
              </w:rPr>
              <w:t>/</w:t>
            </w:r>
          </w:p>
        </w:tc>
        <w:tc>
          <w:tcPr>
            <w:tcW w:w="667" w:type="pct"/>
            <w:tcBorders>
              <w:tl2br w:val="nil"/>
              <w:tr2bl w:val="nil"/>
            </w:tcBorders>
            <w:noWrap w:val="0"/>
            <w:vAlign w:val="center"/>
          </w:tcPr>
          <w:p w14:paraId="0EE047D3">
            <w:pPr>
              <w:pStyle w:val="16"/>
              <w:bidi w:val="0"/>
              <w:rPr>
                <w:rFonts w:hint="default"/>
                <w:color w:val="auto"/>
                <w:lang w:val="en-US" w:eastAsia="zh-CN"/>
              </w:rPr>
            </w:pPr>
            <w:r>
              <w:rPr>
                <w:rFonts w:hint="eastAsia"/>
                <w:color w:val="auto"/>
                <w:lang w:val="en-US" w:eastAsia="zh-CN"/>
              </w:rPr>
              <w:t>5度</w:t>
            </w:r>
          </w:p>
        </w:tc>
      </w:tr>
      <w:tr w14:paraId="67EF3C6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1D15F6FD">
            <w:pPr>
              <w:pStyle w:val="16"/>
              <w:bidi w:val="0"/>
              <w:rPr>
                <w:rFonts w:hint="default"/>
                <w:color w:val="auto"/>
                <w:lang w:val="en-US" w:eastAsia="zh-CN"/>
              </w:rPr>
            </w:pPr>
            <w:r>
              <w:rPr>
                <w:rFonts w:hint="eastAsia"/>
                <w:color w:val="auto"/>
                <w:lang w:val="en-US" w:eastAsia="zh-CN"/>
              </w:rPr>
              <w:t>浊度</w:t>
            </w:r>
          </w:p>
        </w:tc>
        <w:tc>
          <w:tcPr>
            <w:tcW w:w="1564" w:type="pct"/>
            <w:tcBorders>
              <w:tl2br w:val="nil"/>
              <w:tr2bl w:val="nil"/>
            </w:tcBorders>
            <w:noWrap w:val="0"/>
            <w:vAlign w:val="center"/>
          </w:tcPr>
          <w:p w14:paraId="2DF09C69">
            <w:pPr>
              <w:pStyle w:val="16"/>
              <w:bidi w:val="0"/>
              <w:rPr>
                <w:rFonts w:hint="default"/>
                <w:color w:val="auto"/>
                <w:lang w:val="en-US" w:eastAsia="zh-CN"/>
              </w:rPr>
            </w:pPr>
            <w:r>
              <w:rPr>
                <w:rFonts w:hint="eastAsia"/>
                <w:color w:val="auto"/>
                <w:lang w:val="en-US" w:eastAsia="zh-CN"/>
              </w:rPr>
              <w:t>水质</w:t>
            </w:r>
            <w:r>
              <w:rPr>
                <w:rFonts w:hint="default"/>
                <w:color w:val="auto"/>
                <w:lang w:val="en-US" w:eastAsia="zh-CN"/>
              </w:rPr>
              <w:t xml:space="preserve"> </w:t>
            </w:r>
            <w:r>
              <w:rPr>
                <w:rFonts w:hint="eastAsia"/>
                <w:color w:val="auto"/>
                <w:lang w:val="en-US" w:eastAsia="zh-CN"/>
              </w:rPr>
              <w:t>浊度的测定</w:t>
            </w:r>
            <w:r>
              <w:rPr>
                <w:rFonts w:hint="default"/>
                <w:color w:val="auto"/>
                <w:lang w:val="en-US" w:eastAsia="zh-CN"/>
              </w:rPr>
              <w:t xml:space="preserve"> </w:t>
            </w:r>
            <w:r>
              <w:rPr>
                <w:rFonts w:hint="eastAsia"/>
                <w:color w:val="auto"/>
                <w:lang w:val="en-US" w:eastAsia="zh-CN"/>
              </w:rPr>
              <w:t>浊度计法</w:t>
            </w:r>
          </w:p>
        </w:tc>
        <w:tc>
          <w:tcPr>
            <w:tcW w:w="769" w:type="pct"/>
            <w:tcBorders>
              <w:tl2br w:val="nil"/>
              <w:tr2bl w:val="nil"/>
            </w:tcBorders>
            <w:noWrap w:val="0"/>
            <w:vAlign w:val="center"/>
          </w:tcPr>
          <w:p w14:paraId="471BD9F7">
            <w:pPr>
              <w:pStyle w:val="16"/>
              <w:bidi w:val="0"/>
              <w:rPr>
                <w:rFonts w:hint="default"/>
                <w:color w:val="auto"/>
                <w:lang w:val="en-US" w:eastAsia="zh-CN"/>
              </w:rPr>
            </w:pPr>
            <w:r>
              <w:rPr>
                <w:rFonts w:hint="default"/>
                <w:color w:val="auto"/>
                <w:lang w:val="en-US" w:eastAsia="zh-CN"/>
              </w:rPr>
              <w:t>HJ 1075-2019</w:t>
            </w:r>
          </w:p>
        </w:tc>
        <w:tc>
          <w:tcPr>
            <w:tcW w:w="1181" w:type="pct"/>
            <w:tcBorders>
              <w:tl2br w:val="nil"/>
              <w:tr2bl w:val="nil"/>
            </w:tcBorders>
            <w:noWrap w:val="0"/>
            <w:vAlign w:val="center"/>
          </w:tcPr>
          <w:p w14:paraId="0340C73A">
            <w:pPr>
              <w:pStyle w:val="16"/>
              <w:bidi w:val="0"/>
              <w:rPr>
                <w:rFonts w:hint="default"/>
                <w:color w:val="auto"/>
                <w:lang w:val="en-US" w:eastAsia="zh-CN"/>
              </w:rPr>
            </w:pPr>
            <w:r>
              <w:rPr>
                <w:rFonts w:hint="default"/>
                <w:color w:val="auto"/>
                <w:lang w:val="en-US" w:eastAsia="zh-CN"/>
              </w:rPr>
              <w:t>SGZ-200B便携式浊度计（HDH/YQ-</w:t>
            </w:r>
            <w:r>
              <w:rPr>
                <w:rFonts w:hint="eastAsia"/>
                <w:color w:val="auto"/>
                <w:lang w:val="en-US" w:eastAsia="zh-CN"/>
              </w:rPr>
              <w:t>117-02</w:t>
            </w:r>
            <w:r>
              <w:rPr>
                <w:rFonts w:hint="default"/>
                <w:color w:val="auto"/>
                <w:lang w:val="en-US" w:eastAsia="zh-CN"/>
              </w:rPr>
              <w:t>）</w:t>
            </w:r>
          </w:p>
        </w:tc>
        <w:tc>
          <w:tcPr>
            <w:tcW w:w="667" w:type="pct"/>
            <w:tcBorders>
              <w:tl2br w:val="nil"/>
              <w:tr2bl w:val="nil"/>
            </w:tcBorders>
            <w:noWrap w:val="0"/>
            <w:vAlign w:val="center"/>
          </w:tcPr>
          <w:p w14:paraId="4F9E9D9C">
            <w:pPr>
              <w:pStyle w:val="16"/>
              <w:bidi w:val="0"/>
              <w:rPr>
                <w:rFonts w:hint="default"/>
                <w:color w:val="auto"/>
                <w:lang w:val="en-US" w:eastAsia="zh-CN"/>
              </w:rPr>
            </w:pPr>
            <w:r>
              <w:rPr>
                <w:rFonts w:hint="default"/>
                <w:color w:val="auto"/>
                <w:lang w:val="en-US" w:eastAsia="zh-CN"/>
              </w:rPr>
              <w:t>/</w:t>
            </w:r>
          </w:p>
        </w:tc>
      </w:tr>
      <w:tr w14:paraId="47425BDA">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00251E45">
            <w:pPr>
              <w:pStyle w:val="16"/>
              <w:bidi w:val="0"/>
              <w:rPr>
                <w:rFonts w:hint="default"/>
                <w:color w:val="auto"/>
                <w:lang w:val="en-US" w:eastAsia="zh-CN"/>
              </w:rPr>
            </w:pPr>
            <w:r>
              <w:rPr>
                <w:rFonts w:hint="default"/>
                <w:color w:val="auto"/>
                <w:lang w:val="en-US" w:eastAsia="zh-CN"/>
              </w:rPr>
              <w:t>化学需氧量</w:t>
            </w:r>
          </w:p>
        </w:tc>
        <w:tc>
          <w:tcPr>
            <w:tcW w:w="1564" w:type="pct"/>
            <w:tcBorders>
              <w:tl2br w:val="nil"/>
              <w:tr2bl w:val="nil"/>
            </w:tcBorders>
            <w:noWrap w:val="0"/>
            <w:vAlign w:val="center"/>
          </w:tcPr>
          <w:p w14:paraId="23D57001">
            <w:pPr>
              <w:pStyle w:val="16"/>
              <w:bidi w:val="0"/>
              <w:rPr>
                <w:rFonts w:hint="default"/>
                <w:color w:val="auto"/>
                <w:lang w:val="en-US" w:eastAsia="zh-CN"/>
              </w:rPr>
            </w:pPr>
            <w:r>
              <w:rPr>
                <w:rFonts w:hint="default"/>
                <w:color w:val="auto"/>
                <w:lang w:val="en-US" w:eastAsia="zh-CN"/>
              </w:rPr>
              <w:t>水质 化学需氧量的测定 重铬酸盐法</w:t>
            </w:r>
          </w:p>
        </w:tc>
        <w:tc>
          <w:tcPr>
            <w:tcW w:w="769" w:type="pct"/>
            <w:tcBorders>
              <w:tl2br w:val="nil"/>
              <w:tr2bl w:val="nil"/>
            </w:tcBorders>
            <w:noWrap w:val="0"/>
            <w:vAlign w:val="center"/>
          </w:tcPr>
          <w:p w14:paraId="4C770AE7">
            <w:pPr>
              <w:pStyle w:val="16"/>
              <w:bidi w:val="0"/>
              <w:rPr>
                <w:rFonts w:hint="default"/>
                <w:color w:val="auto"/>
                <w:lang w:val="en-US" w:eastAsia="zh-CN"/>
              </w:rPr>
            </w:pPr>
            <w:r>
              <w:rPr>
                <w:rFonts w:hint="default"/>
                <w:color w:val="auto"/>
                <w:lang w:val="en-US" w:eastAsia="zh-CN"/>
              </w:rPr>
              <w:t>HJ 828-2017</w:t>
            </w:r>
          </w:p>
        </w:tc>
        <w:tc>
          <w:tcPr>
            <w:tcW w:w="1181" w:type="pct"/>
            <w:tcBorders>
              <w:tl2br w:val="nil"/>
              <w:tr2bl w:val="nil"/>
            </w:tcBorders>
            <w:noWrap w:val="0"/>
            <w:vAlign w:val="center"/>
          </w:tcPr>
          <w:p w14:paraId="0BA53254">
            <w:pPr>
              <w:pStyle w:val="16"/>
              <w:bidi w:val="0"/>
              <w:rPr>
                <w:rFonts w:hint="default"/>
                <w:color w:val="auto"/>
                <w:lang w:val="en-US" w:eastAsia="zh-CN"/>
              </w:rPr>
            </w:pPr>
            <w:r>
              <w:rPr>
                <w:rFonts w:hint="default"/>
                <w:color w:val="auto"/>
                <w:lang w:val="en-US" w:eastAsia="zh-CN"/>
              </w:rPr>
              <w:t>COD-HX12恒温加热器（HDH/YQ-</w:t>
            </w:r>
            <w:r>
              <w:rPr>
                <w:rFonts w:hint="eastAsia"/>
                <w:color w:val="auto"/>
                <w:lang w:val="en-US" w:eastAsia="zh-CN"/>
              </w:rPr>
              <w:t>99</w:t>
            </w:r>
            <w:r>
              <w:rPr>
                <w:rFonts w:hint="default"/>
                <w:color w:val="auto"/>
                <w:lang w:val="en-US" w:eastAsia="zh-CN"/>
              </w:rPr>
              <w:t>-01）</w:t>
            </w:r>
          </w:p>
        </w:tc>
        <w:tc>
          <w:tcPr>
            <w:tcW w:w="667" w:type="pct"/>
            <w:tcBorders>
              <w:tl2br w:val="nil"/>
              <w:tr2bl w:val="nil"/>
            </w:tcBorders>
            <w:noWrap w:val="0"/>
            <w:vAlign w:val="center"/>
          </w:tcPr>
          <w:p w14:paraId="109D3316">
            <w:pPr>
              <w:pStyle w:val="16"/>
              <w:bidi w:val="0"/>
              <w:rPr>
                <w:rFonts w:hint="default"/>
                <w:color w:val="auto"/>
                <w:lang w:val="en-US" w:eastAsia="zh-CN"/>
              </w:rPr>
            </w:pPr>
            <w:r>
              <w:rPr>
                <w:rFonts w:hint="default"/>
                <w:color w:val="auto"/>
                <w:lang w:val="en-US" w:eastAsia="zh-CN"/>
              </w:rPr>
              <w:t>4mg/L</w:t>
            </w:r>
          </w:p>
        </w:tc>
      </w:tr>
      <w:tr w14:paraId="3E62D6C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4D7C7754">
            <w:pPr>
              <w:pStyle w:val="16"/>
              <w:bidi w:val="0"/>
              <w:rPr>
                <w:rFonts w:hint="default"/>
                <w:color w:val="auto"/>
                <w:lang w:val="en-US" w:eastAsia="zh-CN"/>
              </w:rPr>
            </w:pPr>
            <w:r>
              <w:rPr>
                <w:rFonts w:hint="default"/>
                <w:color w:val="auto"/>
                <w:lang w:val="en-US" w:eastAsia="zh-CN"/>
              </w:rPr>
              <w:t>五日生化需氧量</w:t>
            </w:r>
          </w:p>
        </w:tc>
        <w:tc>
          <w:tcPr>
            <w:tcW w:w="1564" w:type="pct"/>
            <w:tcBorders>
              <w:tl2br w:val="nil"/>
              <w:tr2bl w:val="nil"/>
            </w:tcBorders>
            <w:noWrap w:val="0"/>
            <w:vAlign w:val="center"/>
          </w:tcPr>
          <w:p w14:paraId="439FD5F5">
            <w:pPr>
              <w:pStyle w:val="16"/>
              <w:bidi w:val="0"/>
              <w:rPr>
                <w:rFonts w:hint="default"/>
                <w:color w:val="auto"/>
                <w:lang w:val="en-US" w:eastAsia="zh-CN"/>
              </w:rPr>
            </w:pPr>
            <w:r>
              <w:rPr>
                <w:rFonts w:hint="default"/>
                <w:color w:val="auto"/>
                <w:lang w:val="en-US" w:eastAsia="zh-CN"/>
              </w:rPr>
              <w:t>水质 五日生化需氧量（BOD5）的测定 稀释与接种法</w:t>
            </w:r>
          </w:p>
        </w:tc>
        <w:tc>
          <w:tcPr>
            <w:tcW w:w="769" w:type="pct"/>
            <w:tcBorders>
              <w:tl2br w:val="nil"/>
              <w:tr2bl w:val="nil"/>
            </w:tcBorders>
            <w:noWrap w:val="0"/>
            <w:vAlign w:val="center"/>
          </w:tcPr>
          <w:p w14:paraId="2399F37C">
            <w:pPr>
              <w:pStyle w:val="16"/>
              <w:bidi w:val="0"/>
              <w:rPr>
                <w:rFonts w:hint="default"/>
                <w:color w:val="auto"/>
                <w:lang w:val="en-US" w:eastAsia="zh-CN"/>
              </w:rPr>
            </w:pPr>
            <w:r>
              <w:rPr>
                <w:rFonts w:hint="default"/>
                <w:color w:val="auto"/>
                <w:lang w:val="en-US" w:eastAsia="zh-CN"/>
              </w:rPr>
              <w:t>HJ 505-2009</w:t>
            </w:r>
          </w:p>
        </w:tc>
        <w:tc>
          <w:tcPr>
            <w:tcW w:w="1181" w:type="pct"/>
            <w:tcBorders>
              <w:tl2br w:val="nil"/>
              <w:tr2bl w:val="nil"/>
            </w:tcBorders>
            <w:noWrap w:val="0"/>
            <w:vAlign w:val="center"/>
          </w:tcPr>
          <w:p w14:paraId="0D520E11">
            <w:pPr>
              <w:pStyle w:val="16"/>
              <w:bidi w:val="0"/>
              <w:rPr>
                <w:rFonts w:hint="default"/>
                <w:color w:val="auto"/>
                <w:lang w:val="en-US" w:eastAsia="zh-CN"/>
              </w:rPr>
            </w:pPr>
            <w:r>
              <w:rPr>
                <w:rFonts w:hint="default"/>
                <w:color w:val="auto"/>
              </w:rPr>
              <w:t>SPX-150Y生化培养箱</w:t>
            </w:r>
            <w:r>
              <w:rPr>
                <w:rFonts w:hint="default"/>
                <w:color w:val="auto"/>
                <w:lang w:eastAsia="zh-CN"/>
              </w:rPr>
              <w:t>（</w:t>
            </w:r>
            <w:r>
              <w:rPr>
                <w:rFonts w:hint="default"/>
                <w:color w:val="auto"/>
                <w:lang w:val="en-US" w:eastAsia="zh-CN"/>
              </w:rPr>
              <w:t>HDH/YQ-33-01</w:t>
            </w:r>
            <w:r>
              <w:rPr>
                <w:rFonts w:hint="default"/>
                <w:color w:val="auto"/>
                <w:lang w:eastAsia="zh-CN"/>
              </w:rPr>
              <w:t>）</w:t>
            </w:r>
          </w:p>
        </w:tc>
        <w:tc>
          <w:tcPr>
            <w:tcW w:w="667" w:type="pct"/>
            <w:tcBorders>
              <w:tl2br w:val="nil"/>
              <w:tr2bl w:val="nil"/>
            </w:tcBorders>
            <w:noWrap w:val="0"/>
            <w:vAlign w:val="center"/>
          </w:tcPr>
          <w:p w14:paraId="0894E5EC">
            <w:pPr>
              <w:pStyle w:val="16"/>
              <w:bidi w:val="0"/>
              <w:rPr>
                <w:rFonts w:hint="default"/>
                <w:color w:val="auto"/>
                <w:lang w:val="en-US" w:eastAsia="zh-CN"/>
              </w:rPr>
            </w:pPr>
            <w:r>
              <w:rPr>
                <w:rFonts w:hint="default"/>
                <w:color w:val="auto"/>
                <w:lang w:val="en-US" w:eastAsia="zh-CN"/>
              </w:rPr>
              <w:t>0.5mg/L</w:t>
            </w:r>
          </w:p>
        </w:tc>
      </w:tr>
      <w:tr w14:paraId="6F684CF1">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77932DF8">
            <w:pPr>
              <w:pStyle w:val="16"/>
              <w:bidi w:val="0"/>
              <w:rPr>
                <w:rFonts w:hint="default"/>
                <w:color w:val="auto"/>
                <w:lang w:val="en-US" w:eastAsia="zh-CN"/>
              </w:rPr>
            </w:pPr>
            <w:r>
              <w:rPr>
                <w:rFonts w:hint="default"/>
                <w:color w:val="auto"/>
                <w:lang w:val="en-US" w:eastAsia="zh-CN"/>
              </w:rPr>
              <w:t>氨氮</w:t>
            </w:r>
          </w:p>
        </w:tc>
        <w:tc>
          <w:tcPr>
            <w:tcW w:w="1564" w:type="pct"/>
            <w:tcBorders>
              <w:tl2br w:val="nil"/>
              <w:tr2bl w:val="nil"/>
            </w:tcBorders>
            <w:noWrap w:val="0"/>
            <w:vAlign w:val="center"/>
          </w:tcPr>
          <w:p w14:paraId="1E4662C5">
            <w:pPr>
              <w:pStyle w:val="16"/>
              <w:bidi w:val="0"/>
              <w:rPr>
                <w:rFonts w:hint="default"/>
                <w:color w:val="auto"/>
                <w:lang w:val="en-US" w:eastAsia="zh-CN"/>
              </w:rPr>
            </w:pPr>
            <w:r>
              <w:rPr>
                <w:rFonts w:hint="default"/>
                <w:color w:val="auto"/>
                <w:lang w:val="en-US" w:eastAsia="zh-CN"/>
              </w:rPr>
              <w:t>水质 氨氮的测定 纳氏试剂分光光度法</w:t>
            </w:r>
          </w:p>
        </w:tc>
        <w:tc>
          <w:tcPr>
            <w:tcW w:w="769" w:type="pct"/>
            <w:tcBorders>
              <w:tl2br w:val="nil"/>
              <w:tr2bl w:val="nil"/>
            </w:tcBorders>
            <w:noWrap w:val="0"/>
            <w:vAlign w:val="center"/>
          </w:tcPr>
          <w:p w14:paraId="1677312E">
            <w:pPr>
              <w:pStyle w:val="16"/>
              <w:bidi w:val="0"/>
              <w:rPr>
                <w:rFonts w:hint="default"/>
                <w:color w:val="auto"/>
                <w:lang w:val="en-US" w:eastAsia="zh-CN"/>
              </w:rPr>
            </w:pPr>
            <w:r>
              <w:rPr>
                <w:rFonts w:hint="default"/>
                <w:color w:val="auto"/>
                <w:lang w:val="en-US" w:eastAsia="zh-CN"/>
              </w:rPr>
              <w:t>HJ 535-2009</w:t>
            </w:r>
          </w:p>
        </w:tc>
        <w:tc>
          <w:tcPr>
            <w:tcW w:w="1181" w:type="pct"/>
            <w:tcBorders>
              <w:tl2br w:val="nil"/>
              <w:tr2bl w:val="nil"/>
            </w:tcBorders>
            <w:noWrap w:val="0"/>
            <w:vAlign w:val="center"/>
          </w:tcPr>
          <w:p w14:paraId="2BD84E75">
            <w:pPr>
              <w:pStyle w:val="16"/>
              <w:bidi w:val="0"/>
              <w:rPr>
                <w:rFonts w:hint="default"/>
                <w:color w:val="auto"/>
                <w:lang w:val="en-US" w:eastAsia="zh-CN"/>
              </w:rPr>
            </w:pPr>
            <w:r>
              <w:rPr>
                <w:rFonts w:hint="default"/>
                <w:color w:val="auto"/>
                <w:lang w:val="en-US" w:eastAsia="zh-CN"/>
              </w:rPr>
              <w:t>722可见分光光度计（HDH/YQ-41-01）</w:t>
            </w:r>
          </w:p>
        </w:tc>
        <w:tc>
          <w:tcPr>
            <w:tcW w:w="667" w:type="pct"/>
            <w:tcBorders>
              <w:tl2br w:val="nil"/>
              <w:tr2bl w:val="nil"/>
            </w:tcBorders>
            <w:noWrap w:val="0"/>
            <w:vAlign w:val="center"/>
          </w:tcPr>
          <w:p w14:paraId="1C676491">
            <w:pPr>
              <w:pStyle w:val="16"/>
              <w:bidi w:val="0"/>
              <w:rPr>
                <w:rFonts w:hint="default"/>
                <w:color w:val="auto"/>
                <w:lang w:val="en-US" w:eastAsia="zh-CN"/>
              </w:rPr>
            </w:pPr>
            <w:r>
              <w:rPr>
                <w:rFonts w:hint="default"/>
                <w:color w:val="auto"/>
                <w:lang w:val="en-US" w:eastAsia="zh-CN"/>
              </w:rPr>
              <w:t>0.025mg/L</w:t>
            </w:r>
          </w:p>
        </w:tc>
      </w:tr>
      <w:tr w14:paraId="68E76C3C">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643218E4">
            <w:pPr>
              <w:pStyle w:val="16"/>
              <w:bidi w:val="0"/>
              <w:rPr>
                <w:rFonts w:hint="default"/>
                <w:color w:val="auto"/>
                <w:lang w:val="en-US" w:eastAsia="zh-CN"/>
              </w:rPr>
            </w:pPr>
            <w:r>
              <w:rPr>
                <w:rFonts w:hint="default"/>
                <w:color w:val="auto"/>
                <w:lang w:val="en-US" w:eastAsia="zh-CN"/>
              </w:rPr>
              <w:t>总磷</w:t>
            </w:r>
          </w:p>
        </w:tc>
        <w:tc>
          <w:tcPr>
            <w:tcW w:w="1564" w:type="pct"/>
            <w:tcBorders>
              <w:tl2br w:val="nil"/>
              <w:tr2bl w:val="nil"/>
            </w:tcBorders>
            <w:noWrap w:val="0"/>
            <w:vAlign w:val="center"/>
          </w:tcPr>
          <w:p w14:paraId="3932CC08">
            <w:pPr>
              <w:pStyle w:val="16"/>
              <w:bidi w:val="0"/>
              <w:rPr>
                <w:rFonts w:hint="default"/>
                <w:color w:val="auto"/>
                <w:lang w:val="en-US" w:eastAsia="zh-CN"/>
              </w:rPr>
            </w:pPr>
            <w:r>
              <w:rPr>
                <w:rFonts w:hint="default"/>
                <w:color w:val="auto"/>
                <w:lang w:val="en-US" w:eastAsia="zh-CN"/>
              </w:rPr>
              <w:t>水质 总磷的测定 钼酸铵分光光度法</w:t>
            </w:r>
          </w:p>
        </w:tc>
        <w:tc>
          <w:tcPr>
            <w:tcW w:w="769" w:type="pct"/>
            <w:tcBorders>
              <w:tl2br w:val="nil"/>
              <w:tr2bl w:val="nil"/>
            </w:tcBorders>
            <w:noWrap w:val="0"/>
            <w:vAlign w:val="center"/>
          </w:tcPr>
          <w:p w14:paraId="0FB42114">
            <w:pPr>
              <w:pStyle w:val="16"/>
              <w:bidi w:val="0"/>
              <w:rPr>
                <w:rFonts w:hint="default"/>
                <w:color w:val="auto"/>
                <w:lang w:val="en-US" w:eastAsia="zh-CN"/>
              </w:rPr>
            </w:pPr>
            <w:r>
              <w:rPr>
                <w:rFonts w:hint="default"/>
                <w:color w:val="auto"/>
                <w:lang w:val="en-US" w:eastAsia="zh-CN"/>
              </w:rPr>
              <w:t>GB 11893-1989</w:t>
            </w:r>
          </w:p>
        </w:tc>
        <w:tc>
          <w:tcPr>
            <w:tcW w:w="1181" w:type="pct"/>
            <w:tcBorders>
              <w:tl2br w:val="nil"/>
              <w:tr2bl w:val="nil"/>
            </w:tcBorders>
            <w:noWrap w:val="0"/>
            <w:vAlign w:val="center"/>
          </w:tcPr>
          <w:p w14:paraId="02172D8D">
            <w:pPr>
              <w:pStyle w:val="16"/>
              <w:bidi w:val="0"/>
              <w:rPr>
                <w:rFonts w:hint="default"/>
                <w:color w:val="auto"/>
                <w:lang w:val="en-US" w:eastAsia="zh-CN"/>
              </w:rPr>
            </w:pPr>
            <w:r>
              <w:rPr>
                <w:rFonts w:hint="default"/>
                <w:color w:val="auto"/>
              </w:rPr>
              <w:t>UV-1600紫外/可见分光光度计</w:t>
            </w:r>
            <w:r>
              <w:rPr>
                <w:rFonts w:hint="default"/>
                <w:color w:val="auto"/>
                <w:lang w:val="en-US" w:eastAsia="zh-CN"/>
              </w:rPr>
              <w:t>（HDH/YQ-42-01）</w:t>
            </w:r>
          </w:p>
        </w:tc>
        <w:tc>
          <w:tcPr>
            <w:tcW w:w="667" w:type="pct"/>
            <w:tcBorders>
              <w:tl2br w:val="nil"/>
              <w:tr2bl w:val="nil"/>
            </w:tcBorders>
            <w:noWrap w:val="0"/>
            <w:vAlign w:val="center"/>
          </w:tcPr>
          <w:p w14:paraId="2F78BBD7">
            <w:pPr>
              <w:pStyle w:val="16"/>
              <w:bidi w:val="0"/>
              <w:rPr>
                <w:rFonts w:hint="default"/>
                <w:color w:val="auto"/>
                <w:lang w:val="en-US" w:eastAsia="zh-CN"/>
              </w:rPr>
            </w:pPr>
            <w:r>
              <w:rPr>
                <w:rFonts w:hint="default"/>
                <w:color w:val="auto"/>
                <w:lang w:val="en-US" w:eastAsia="zh-CN"/>
              </w:rPr>
              <w:t>0.01mg/L</w:t>
            </w:r>
          </w:p>
        </w:tc>
      </w:tr>
      <w:tr w14:paraId="4CD218F2">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0414EB21">
            <w:pPr>
              <w:pStyle w:val="16"/>
              <w:bidi w:val="0"/>
              <w:rPr>
                <w:rFonts w:hint="default"/>
                <w:color w:val="auto"/>
                <w:lang w:val="en-US" w:eastAsia="zh-CN"/>
              </w:rPr>
            </w:pPr>
            <w:r>
              <w:rPr>
                <w:rFonts w:hint="default"/>
                <w:color w:val="auto"/>
                <w:lang w:val="en-US" w:eastAsia="zh-CN"/>
              </w:rPr>
              <w:t>总氮</w:t>
            </w:r>
          </w:p>
        </w:tc>
        <w:tc>
          <w:tcPr>
            <w:tcW w:w="1564" w:type="pct"/>
            <w:tcBorders>
              <w:tl2br w:val="nil"/>
              <w:tr2bl w:val="nil"/>
            </w:tcBorders>
            <w:noWrap w:val="0"/>
            <w:vAlign w:val="center"/>
          </w:tcPr>
          <w:p w14:paraId="765FE95A">
            <w:pPr>
              <w:pStyle w:val="16"/>
              <w:bidi w:val="0"/>
              <w:rPr>
                <w:rFonts w:hint="default"/>
                <w:color w:val="auto"/>
                <w:lang w:val="en-US" w:eastAsia="zh-CN"/>
              </w:rPr>
            </w:pPr>
            <w:r>
              <w:rPr>
                <w:rFonts w:hint="default"/>
                <w:color w:val="auto"/>
                <w:lang w:val="en-US" w:eastAsia="zh-CN"/>
              </w:rPr>
              <w:t>水质 总氮的测定 碱性过硫酸钾消解-紫外分光光度法</w:t>
            </w:r>
          </w:p>
        </w:tc>
        <w:tc>
          <w:tcPr>
            <w:tcW w:w="769" w:type="pct"/>
            <w:tcBorders>
              <w:tl2br w:val="nil"/>
              <w:tr2bl w:val="nil"/>
            </w:tcBorders>
            <w:noWrap w:val="0"/>
            <w:vAlign w:val="center"/>
          </w:tcPr>
          <w:p w14:paraId="7AA7788C">
            <w:pPr>
              <w:pStyle w:val="16"/>
              <w:bidi w:val="0"/>
              <w:rPr>
                <w:rFonts w:hint="default"/>
                <w:color w:val="auto"/>
                <w:lang w:val="en-US" w:eastAsia="zh-CN"/>
              </w:rPr>
            </w:pPr>
            <w:r>
              <w:rPr>
                <w:rFonts w:hint="default"/>
                <w:color w:val="auto"/>
                <w:lang w:val="en-US" w:eastAsia="zh-CN"/>
              </w:rPr>
              <w:t>HJ 636-2012</w:t>
            </w:r>
          </w:p>
        </w:tc>
        <w:tc>
          <w:tcPr>
            <w:tcW w:w="1181" w:type="pct"/>
            <w:tcBorders>
              <w:tl2br w:val="nil"/>
              <w:tr2bl w:val="nil"/>
            </w:tcBorders>
            <w:noWrap w:val="0"/>
            <w:vAlign w:val="center"/>
          </w:tcPr>
          <w:p w14:paraId="4FC16E38">
            <w:pPr>
              <w:pStyle w:val="16"/>
              <w:bidi w:val="0"/>
              <w:rPr>
                <w:rFonts w:hint="default"/>
                <w:color w:val="auto"/>
                <w:lang w:val="en-US" w:eastAsia="zh-CN"/>
              </w:rPr>
            </w:pPr>
            <w:r>
              <w:rPr>
                <w:rFonts w:hint="default"/>
                <w:color w:val="auto"/>
              </w:rPr>
              <w:t>UV-1600紫外/可见分光光度计</w:t>
            </w:r>
            <w:r>
              <w:rPr>
                <w:rFonts w:hint="default"/>
                <w:color w:val="auto"/>
                <w:lang w:val="en-US" w:eastAsia="zh-CN"/>
              </w:rPr>
              <w:t>（HDH/YQ-42-01）</w:t>
            </w:r>
          </w:p>
        </w:tc>
        <w:tc>
          <w:tcPr>
            <w:tcW w:w="667" w:type="pct"/>
            <w:tcBorders>
              <w:tl2br w:val="nil"/>
              <w:tr2bl w:val="nil"/>
            </w:tcBorders>
            <w:noWrap w:val="0"/>
            <w:vAlign w:val="center"/>
          </w:tcPr>
          <w:p w14:paraId="0595AE3D">
            <w:pPr>
              <w:pStyle w:val="16"/>
              <w:bidi w:val="0"/>
              <w:rPr>
                <w:rFonts w:hint="eastAsia"/>
                <w:color w:val="auto"/>
                <w:lang w:val="en-US" w:eastAsia="zh-CN"/>
              </w:rPr>
            </w:pPr>
            <w:r>
              <w:rPr>
                <w:rFonts w:hint="default"/>
                <w:color w:val="auto"/>
                <w:lang w:val="en-US" w:eastAsia="zh-CN"/>
              </w:rPr>
              <w:t>0.05mg/L</w:t>
            </w:r>
          </w:p>
        </w:tc>
      </w:tr>
      <w:tr w14:paraId="579BBF4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787D31AA">
            <w:pPr>
              <w:pStyle w:val="16"/>
              <w:bidi w:val="0"/>
              <w:rPr>
                <w:rFonts w:hint="default"/>
                <w:color w:val="auto"/>
                <w:lang w:val="en-US" w:eastAsia="zh-CN"/>
              </w:rPr>
            </w:pPr>
            <w:r>
              <w:rPr>
                <w:rFonts w:hint="default"/>
                <w:color w:val="auto"/>
                <w:lang w:val="en-US" w:eastAsia="zh-CN"/>
              </w:rPr>
              <w:t>悬浮物</w:t>
            </w:r>
          </w:p>
        </w:tc>
        <w:tc>
          <w:tcPr>
            <w:tcW w:w="1564" w:type="pct"/>
            <w:tcBorders>
              <w:tl2br w:val="nil"/>
              <w:tr2bl w:val="nil"/>
            </w:tcBorders>
            <w:noWrap w:val="0"/>
            <w:vAlign w:val="center"/>
          </w:tcPr>
          <w:p w14:paraId="6974D461">
            <w:pPr>
              <w:pStyle w:val="16"/>
              <w:bidi w:val="0"/>
              <w:rPr>
                <w:rFonts w:hint="default"/>
                <w:color w:val="auto"/>
                <w:lang w:val="en-US" w:eastAsia="zh-CN"/>
              </w:rPr>
            </w:pPr>
            <w:r>
              <w:rPr>
                <w:rFonts w:hint="default"/>
                <w:color w:val="auto"/>
                <w:lang w:val="en-US" w:eastAsia="zh-CN"/>
              </w:rPr>
              <w:t>水质 悬浮物的测定 重量法</w:t>
            </w:r>
          </w:p>
        </w:tc>
        <w:tc>
          <w:tcPr>
            <w:tcW w:w="769" w:type="pct"/>
            <w:tcBorders>
              <w:tl2br w:val="nil"/>
              <w:tr2bl w:val="nil"/>
            </w:tcBorders>
            <w:noWrap w:val="0"/>
            <w:vAlign w:val="center"/>
          </w:tcPr>
          <w:p w14:paraId="7B034B7C">
            <w:pPr>
              <w:pStyle w:val="16"/>
              <w:bidi w:val="0"/>
              <w:rPr>
                <w:rFonts w:hint="default"/>
                <w:color w:val="auto"/>
                <w:lang w:val="en-US" w:eastAsia="zh-CN"/>
              </w:rPr>
            </w:pPr>
            <w:r>
              <w:rPr>
                <w:rFonts w:hint="default"/>
                <w:color w:val="auto"/>
                <w:lang w:val="en-US" w:eastAsia="zh-CN"/>
              </w:rPr>
              <w:t>GB 11901-1989</w:t>
            </w:r>
          </w:p>
        </w:tc>
        <w:tc>
          <w:tcPr>
            <w:tcW w:w="1181" w:type="pct"/>
            <w:tcBorders>
              <w:tl2br w:val="nil"/>
              <w:tr2bl w:val="nil"/>
            </w:tcBorders>
            <w:noWrap w:val="0"/>
            <w:vAlign w:val="center"/>
          </w:tcPr>
          <w:p w14:paraId="67F180FB">
            <w:pPr>
              <w:pStyle w:val="16"/>
              <w:bidi w:val="0"/>
              <w:rPr>
                <w:rFonts w:hint="default"/>
                <w:color w:val="auto"/>
                <w:lang w:val="en-US" w:eastAsia="zh-CN"/>
              </w:rPr>
            </w:pPr>
            <w:r>
              <w:rPr>
                <w:rFonts w:hint="default"/>
                <w:color w:val="auto"/>
              </w:rPr>
              <w:t>FA2004N电子天平</w:t>
            </w:r>
            <w:r>
              <w:rPr>
                <w:rFonts w:hint="eastAsia"/>
                <w:color w:val="auto"/>
                <w:lang w:eastAsia="zh-CN"/>
              </w:rPr>
              <w:t>（</w:t>
            </w:r>
            <w:r>
              <w:rPr>
                <w:rFonts w:hint="default"/>
                <w:color w:val="auto"/>
              </w:rPr>
              <w:t>万分之一</w:t>
            </w:r>
            <w:r>
              <w:rPr>
                <w:rFonts w:hint="eastAsia"/>
                <w:color w:val="auto"/>
                <w:lang w:eastAsia="zh-CN"/>
              </w:rPr>
              <w:t>）</w:t>
            </w:r>
            <w:r>
              <w:rPr>
                <w:rFonts w:hint="default"/>
                <w:color w:val="auto"/>
                <w:lang w:eastAsia="zh-CN"/>
              </w:rPr>
              <w:t>（</w:t>
            </w:r>
            <w:r>
              <w:rPr>
                <w:rFonts w:hint="default"/>
                <w:color w:val="auto"/>
                <w:lang w:val="en-US" w:eastAsia="zh-CN"/>
              </w:rPr>
              <w:t>HDH/YQ-21-01</w:t>
            </w:r>
            <w:r>
              <w:rPr>
                <w:rFonts w:hint="default"/>
                <w:color w:val="auto"/>
                <w:lang w:eastAsia="zh-CN"/>
              </w:rPr>
              <w:t>）</w:t>
            </w:r>
          </w:p>
        </w:tc>
        <w:tc>
          <w:tcPr>
            <w:tcW w:w="667" w:type="pct"/>
            <w:tcBorders>
              <w:tl2br w:val="nil"/>
              <w:tr2bl w:val="nil"/>
            </w:tcBorders>
            <w:noWrap w:val="0"/>
            <w:vAlign w:val="center"/>
          </w:tcPr>
          <w:p w14:paraId="4E35563D">
            <w:pPr>
              <w:pStyle w:val="16"/>
              <w:bidi w:val="0"/>
              <w:rPr>
                <w:rFonts w:hint="default"/>
                <w:color w:val="auto"/>
                <w:lang w:val="en-US" w:eastAsia="zh-CN"/>
              </w:rPr>
            </w:pPr>
            <w:r>
              <w:rPr>
                <w:rFonts w:hint="eastAsia"/>
                <w:color w:val="auto"/>
                <w:lang w:val="en-US" w:eastAsia="zh-CN"/>
              </w:rPr>
              <w:t>/</w:t>
            </w:r>
          </w:p>
        </w:tc>
      </w:tr>
      <w:tr w14:paraId="022EC0F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1C0D4723">
            <w:pPr>
              <w:pStyle w:val="16"/>
              <w:bidi w:val="0"/>
              <w:rPr>
                <w:rFonts w:hint="default"/>
                <w:color w:val="auto"/>
                <w:lang w:val="en-US" w:eastAsia="zh-CN"/>
              </w:rPr>
            </w:pPr>
            <w:r>
              <w:rPr>
                <w:rFonts w:hint="eastAsia"/>
                <w:color w:val="auto"/>
                <w:lang w:val="en-US" w:eastAsia="zh-CN"/>
              </w:rPr>
              <w:t>硫化物</w:t>
            </w:r>
          </w:p>
        </w:tc>
        <w:tc>
          <w:tcPr>
            <w:tcW w:w="1564" w:type="pct"/>
            <w:tcBorders>
              <w:tl2br w:val="nil"/>
              <w:tr2bl w:val="nil"/>
            </w:tcBorders>
            <w:noWrap w:val="0"/>
            <w:vAlign w:val="center"/>
          </w:tcPr>
          <w:p w14:paraId="329C6BD4">
            <w:pPr>
              <w:pStyle w:val="16"/>
              <w:bidi w:val="0"/>
              <w:rPr>
                <w:rFonts w:hint="default"/>
                <w:color w:val="auto"/>
                <w:lang w:val="en-US" w:eastAsia="zh-CN"/>
              </w:rPr>
            </w:pPr>
            <w:r>
              <w:rPr>
                <w:rFonts w:hint="default"/>
                <w:color w:val="auto"/>
                <w:lang w:val="en-US" w:eastAsia="zh-CN"/>
              </w:rPr>
              <w:t>水质 硫化物的测定 亚甲基蓝分光光度法</w:t>
            </w:r>
          </w:p>
        </w:tc>
        <w:tc>
          <w:tcPr>
            <w:tcW w:w="769" w:type="pct"/>
            <w:tcBorders>
              <w:tl2br w:val="nil"/>
              <w:tr2bl w:val="nil"/>
            </w:tcBorders>
            <w:noWrap w:val="0"/>
            <w:vAlign w:val="center"/>
          </w:tcPr>
          <w:p w14:paraId="493F1005">
            <w:pPr>
              <w:pStyle w:val="16"/>
              <w:bidi w:val="0"/>
              <w:rPr>
                <w:rFonts w:hint="default"/>
                <w:color w:val="auto"/>
                <w:lang w:val="en-US" w:eastAsia="zh-CN"/>
              </w:rPr>
            </w:pPr>
            <w:r>
              <w:rPr>
                <w:rFonts w:hint="default"/>
                <w:color w:val="auto"/>
                <w:lang w:val="en-US" w:eastAsia="zh-CN"/>
              </w:rPr>
              <w:t>HJ 1226-2021</w:t>
            </w:r>
          </w:p>
        </w:tc>
        <w:tc>
          <w:tcPr>
            <w:tcW w:w="1181" w:type="pct"/>
            <w:tcBorders>
              <w:tl2br w:val="nil"/>
              <w:tr2bl w:val="nil"/>
            </w:tcBorders>
            <w:noWrap w:val="0"/>
            <w:vAlign w:val="center"/>
          </w:tcPr>
          <w:p w14:paraId="6CECAE76">
            <w:pPr>
              <w:pStyle w:val="16"/>
              <w:bidi w:val="0"/>
              <w:rPr>
                <w:rFonts w:hint="default"/>
                <w:color w:val="auto"/>
                <w:lang w:val="en-US" w:eastAsia="zh-CN"/>
              </w:rPr>
            </w:pPr>
            <w:r>
              <w:rPr>
                <w:rFonts w:hint="default"/>
                <w:color w:val="auto"/>
                <w:lang w:val="en-US" w:eastAsia="zh-CN"/>
              </w:rPr>
              <w:t>722可见分光光度计（HDH/YQ-41-01）</w:t>
            </w:r>
          </w:p>
        </w:tc>
        <w:tc>
          <w:tcPr>
            <w:tcW w:w="667" w:type="pct"/>
            <w:tcBorders>
              <w:tl2br w:val="nil"/>
              <w:tr2bl w:val="nil"/>
            </w:tcBorders>
            <w:noWrap w:val="0"/>
            <w:vAlign w:val="center"/>
          </w:tcPr>
          <w:p w14:paraId="72A38201">
            <w:pPr>
              <w:pStyle w:val="16"/>
              <w:bidi w:val="0"/>
              <w:rPr>
                <w:rFonts w:hint="default"/>
                <w:color w:val="auto"/>
                <w:lang w:val="en-US" w:eastAsia="zh-CN"/>
              </w:rPr>
            </w:pPr>
            <w:r>
              <w:rPr>
                <w:rFonts w:hint="default"/>
                <w:color w:val="auto"/>
                <w:lang w:val="en-US" w:eastAsia="zh-CN"/>
              </w:rPr>
              <w:t>0.01mg/L</w:t>
            </w:r>
          </w:p>
        </w:tc>
      </w:tr>
      <w:tr w14:paraId="105CD29C">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1673ED90">
            <w:pPr>
              <w:pStyle w:val="16"/>
              <w:bidi w:val="0"/>
              <w:rPr>
                <w:rFonts w:hint="default"/>
                <w:color w:val="auto"/>
                <w:lang w:val="en-US" w:eastAsia="zh-CN"/>
              </w:rPr>
            </w:pPr>
            <w:r>
              <w:rPr>
                <w:rFonts w:hint="eastAsia"/>
                <w:color w:val="auto"/>
                <w:lang w:val="en-US" w:eastAsia="zh-CN"/>
              </w:rPr>
              <w:t>氰化物</w:t>
            </w:r>
          </w:p>
        </w:tc>
        <w:tc>
          <w:tcPr>
            <w:tcW w:w="1564" w:type="pct"/>
            <w:tcBorders>
              <w:tl2br w:val="nil"/>
              <w:tr2bl w:val="nil"/>
            </w:tcBorders>
            <w:noWrap w:val="0"/>
            <w:vAlign w:val="center"/>
          </w:tcPr>
          <w:p w14:paraId="18AA28AE">
            <w:pPr>
              <w:pStyle w:val="16"/>
              <w:bidi w:val="0"/>
              <w:rPr>
                <w:rFonts w:hint="default"/>
                <w:color w:val="auto"/>
                <w:lang w:val="en-US" w:eastAsia="zh-CN"/>
              </w:rPr>
            </w:pPr>
            <w:r>
              <w:rPr>
                <w:rFonts w:hint="eastAsia"/>
                <w:color w:val="auto"/>
                <w:lang w:val="en-US" w:eastAsia="zh-CN"/>
              </w:rPr>
              <w:t>水质</w:t>
            </w:r>
            <w:r>
              <w:rPr>
                <w:rFonts w:hint="default"/>
                <w:color w:val="auto"/>
                <w:lang w:val="en-US" w:eastAsia="zh-CN"/>
              </w:rPr>
              <w:t xml:space="preserve"> </w:t>
            </w:r>
            <w:r>
              <w:rPr>
                <w:rFonts w:hint="eastAsia"/>
                <w:color w:val="auto"/>
                <w:lang w:val="en-US" w:eastAsia="zh-CN"/>
              </w:rPr>
              <w:t>氰化物的测定</w:t>
            </w:r>
            <w:r>
              <w:rPr>
                <w:rFonts w:hint="default"/>
                <w:color w:val="auto"/>
                <w:lang w:val="en-US" w:eastAsia="zh-CN"/>
              </w:rPr>
              <w:t xml:space="preserve"> </w:t>
            </w:r>
            <w:r>
              <w:rPr>
                <w:rFonts w:hint="eastAsia"/>
                <w:color w:val="auto"/>
                <w:lang w:val="en-US" w:eastAsia="zh-CN"/>
              </w:rPr>
              <w:t>容量法和分光光度法</w:t>
            </w:r>
            <w:r>
              <w:rPr>
                <w:rFonts w:hint="default"/>
                <w:color w:val="auto"/>
                <w:lang w:val="en-US" w:eastAsia="zh-CN"/>
              </w:rPr>
              <w:t xml:space="preserve"> </w:t>
            </w:r>
            <w:r>
              <w:rPr>
                <w:rFonts w:hint="eastAsia"/>
                <w:color w:val="auto"/>
                <w:lang w:val="en-US" w:eastAsia="zh-CN"/>
              </w:rPr>
              <w:t>方法</w:t>
            </w:r>
            <w:r>
              <w:rPr>
                <w:rFonts w:hint="default"/>
                <w:color w:val="auto"/>
                <w:lang w:val="en-US" w:eastAsia="zh-CN"/>
              </w:rPr>
              <w:t>2</w:t>
            </w:r>
            <w:r>
              <w:rPr>
                <w:rFonts w:hint="eastAsia"/>
                <w:color w:val="auto"/>
                <w:lang w:val="en-US" w:eastAsia="zh-CN"/>
              </w:rPr>
              <w:t>异烟酸</w:t>
            </w:r>
            <w:r>
              <w:rPr>
                <w:rFonts w:hint="default"/>
                <w:color w:val="auto"/>
                <w:lang w:val="en-US" w:eastAsia="zh-CN"/>
              </w:rPr>
              <w:t>-</w:t>
            </w:r>
            <w:r>
              <w:rPr>
                <w:rFonts w:hint="eastAsia"/>
                <w:color w:val="auto"/>
                <w:lang w:val="en-US" w:eastAsia="zh-CN"/>
              </w:rPr>
              <w:t>吡唑啉酮分光光度法</w:t>
            </w:r>
          </w:p>
        </w:tc>
        <w:tc>
          <w:tcPr>
            <w:tcW w:w="769" w:type="pct"/>
            <w:tcBorders>
              <w:tl2br w:val="nil"/>
              <w:tr2bl w:val="nil"/>
            </w:tcBorders>
            <w:noWrap w:val="0"/>
            <w:vAlign w:val="center"/>
          </w:tcPr>
          <w:p w14:paraId="6C96B7E2">
            <w:pPr>
              <w:pStyle w:val="16"/>
              <w:bidi w:val="0"/>
              <w:rPr>
                <w:rFonts w:hint="default"/>
                <w:color w:val="auto"/>
                <w:lang w:val="en-US" w:eastAsia="zh-CN"/>
              </w:rPr>
            </w:pPr>
            <w:r>
              <w:rPr>
                <w:rFonts w:hint="default"/>
                <w:color w:val="auto"/>
                <w:lang w:val="en-US" w:eastAsia="zh-CN"/>
              </w:rPr>
              <w:t>HJ 484-2009</w:t>
            </w:r>
          </w:p>
        </w:tc>
        <w:tc>
          <w:tcPr>
            <w:tcW w:w="1181" w:type="pct"/>
            <w:tcBorders>
              <w:tl2br w:val="nil"/>
              <w:tr2bl w:val="nil"/>
            </w:tcBorders>
            <w:noWrap w:val="0"/>
            <w:vAlign w:val="center"/>
          </w:tcPr>
          <w:p w14:paraId="7E7303E0">
            <w:pPr>
              <w:pStyle w:val="16"/>
              <w:bidi w:val="0"/>
              <w:rPr>
                <w:rFonts w:hint="default"/>
                <w:color w:val="auto"/>
                <w:lang w:val="en-US" w:eastAsia="zh-CN"/>
              </w:rPr>
            </w:pPr>
            <w:r>
              <w:rPr>
                <w:rFonts w:hint="default"/>
                <w:color w:val="auto"/>
                <w:lang w:val="en-US" w:eastAsia="zh-CN"/>
              </w:rPr>
              <w:t>722可见分光光度计（HDH/YQ-41-01）</w:t>
            </w:r>
          </w:p>
        </w:tc>
        <w:tc>
          <w:tcPr>
            <w:tcW w:w="667" w:type="pct"/>
            <w:tcBorders>
              <w:tl2br w:val="nil"/>
              <w:tr2bl w:val="nil"/>
            </w:tcBorders>
            <w:noWrap w:val="0"/>
            <w:vAlign w:val="center"/>
          </w:tcPr>
          <w:p w14:paraId="10BB819F">
            <w:pPr>
              <w:pStyle w:val="16"/>
              <w:bidi w:val="0"/>
              <w:rPr>
                <w:rFonts w:hint="default"/>
                <w:color w:val="auto"/>
                <w:lang w:val="en-US" w:eastAsia="zh-CN"/>
              </w:rPr>
            </w:pPr>
            <w:r>
              <w:rPr>
                <w:rFonts w:hint="default"/>
                <w:color w:val="auto"/>
                <w:lang w:val="en-US" w:eastAsia="zh-CN"/>
              </w:rPr>
              <w:t>0.</w:t>
            </w:r>
            <w:r>
              <w:rPr>
                <w:rFonts w:hint="eastAsia"/>
                <w:color w:val="auto"/>
                <w:lang w:val="en-US" w:eastAsia="zh-CN"/>
              </w:rPr>
              <w:t>004</w:t>
            </w:r>
            <w:r>
              <w:rPr>
                <w:rFonts w:hint="default"/>
                <w:color w:val="auto"/>
                <w:lang w:val="en-US" w:eastAsia="zh-CN"/>
              </w:rPr>
              <w:t>mg/L</w:t>
            </w:r>
          </w:p>
        </w:tc>
      </w:tr>
      <w:tr w14:paraId="4C55CB2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367D8995">
            <w:pPr>
              <w:pStyle w:val="16"/>
              <w:bidi w:val="0"/>
              <w:rPr>
                <w:rFonts w:hint="default"/>
                <w:color w:val="auto"/>
                <w:lang w:val="en-US" w:eastAsia="zh-CN"/>
              </w:rPr>
            </w:pPr>
            <w:r>
              <w:rPr>
                <w:rFonts w:hint="eastAsia"/>
                <w:color w:val="auto"/>
                <w:lang w:val="en-US" w:eastAsia="zh-CN"/>
              </w:rPr>
              <w:t>氯化物</w:t>
            </w:r>
          </w:p>
        </w:tc>
        <w:tc>
          <w:tcPr>
            <w:tcW w:w="1564" w:type="pct"/>
            <w:vMerge w:val="restart"/>
            <w:tcBorders>
              <w:tl2br w:val="nil"/>
              <w:tr2bl w:val="nil"/>
            </w:tcBorders>
            <w:noWrap w:val="0"/>
            <w:vAlign w:val="center"/>
          </w:tcPr>
          <w:p w14:paraId="26F076D3">
            <w:pPr>
              <w:pStyle w:val="16"/>
              <w:bidi w:val="0"/>
              <w:rPr>
                <w:rFonts w:hint="default"/>
                <w:color w:val="auto"/>
                <w:lang w:val="en-US" w:eastAsia="zh-CN"/>
              </w:rPr>
            </w:pPr>
            <w:r>
              <w:rPr>
                <w:rFonts w:hint="default"/>
                <w:color w:val="auto"/>
                <w:lang w:val="en-US" w:eastAsia="zh-CN"/>
              </w:rPr>
              <w:t>水质 无机阴离子</w:t>
            </w:r>
            <w:r>
              <w:rPr>
                <w:rFonts w:hint="eastAsia"/>
                <w:color w:val="auto"/>
                <w:lang w:val="en-US" w:eastAsia="zh-CN"/>
              </w:rPr>
              <w:t>（</w:t>
            </w:r>
            <w:r>
              <w:rPr>
                <w:rFonts w:hint="default"/>
                <w:color w:val="auto"/>
                <w:lang w:val="en-US" w:eastAsia="zh-CN"/>
              </w:rPr>
              <w:t>F</w:t>
            </w:r>
            <w:r>
              <w:rPr>
                <w:rFonts w:hint="default"/>
                <w:color w:val="auto"/>
                <w:vertAlign w:val="superscript"/>
                <w:lang w:val="en-US" w:eastAsia="zh-CN"/>
              </w:rPr>
              <w:t>-</w:t>
            </w:r>
            <w:r>
              <w:rPr>
                <w:rFonts w:hint="default"/>
                <w:color w:val="auto"/>
                <w:lang w:val="en-US" w:eastAsia="zh-CN"/>
              </w:rPr>
              <w:t>、Cl</w:t>
            </w:r>
            <w:r>
              <w:rPr>
                <w:rFonts w:hint="default"/>
                <w:color w:val="auto"/>
                <w:vertAlign w:val="superscript"/>
                <w:lang w:val="en-US" w:eastAsia="zh-CN"/>
              </w:rPr>
              <w:t>-</w:t>
            </w:r>
            <w:r>
              <w:rPr>
                <w:rFonts w:hint="default"/>
                <w:color w:val="auto"/>
                <w:lang w:val="en-US" w:eastAsia="zh-CN"/>
              </w:rPr>
              <w:t>、NO</w:t>
            </w:r>
            <w:r>
              <w:rPr>
                <w:rFonts w:hint="default"/>
                <w:color w:val="auto"/>
                <w:vertAlign w:val="subscript"/>
                <w:lang w:val="en-US" w:eastAsia="zh-CN"/>
              </w:rPr>
              <w:t>2</w:t>
            </w:r>
            <w:r>
              <w:rPr>
                <w:rFonts w:hint="default"/>
                <w:color w:val="auto"/>
                <w:vertAlign w:val="superscript"/>
                <w:lang w:val="en-US" w:eastAsia="zh-CN"/>
              </w:rPr>
              <w:t>-</w:t>
            </w:r>
            <w:r>
              <w:rPr>
                <w:rFonts w:hint="default"/>
                <w:color w:val="auto"/>
                <w:lang w:val="en-US" w:eastAsia="zh-CN"/>
              </w:rPr>
              <w:t>、Br</w:t>
            </w:r>
            <w:r>
              <w:rPr>
                <w:rFonts w:hint="default"/>
                <w:color w:val="auto"/>
                <w:vertAlign w:val="superscript"/>
                <w:lang w:val="en-US" w:eastAsia="zh-CN"/>
              </w:rPr>
              <w:t>-</w:t>
            </w:r>
            <w:r>
              <w:rPr>
                <w:rFonts w:hint="default"/>
                <w:color w:val="auto"/>
                <w:lang w:val="en-US" w:eastAsia="zh-CN"/>
              </w:rPr>
              <w:t>、NO</w:t>
            </w:r>
            <w:r>
              <w:rPr>
                <w:rFonts w:hint="default"/>
                <w:color w:val="auto"/>
                <w:vertAlign w:val="subscript"/>
                <w:lang w:val="en-US" w:eastAsia="zh-CN"/>
              </w:rPr>
              <w:t>3</w:t>
            </w:r>
            <w:r>
              <w:rPr>
                <w:rFonts w:hint="default"/>
                <w:color w:val="auto"/>
                <w:vertAlign w:val="superscript"/>
                <w:lang w:val="en-US" w:eastAsia="zh-CN"/>
              </w:rPr>
              <w:t>-</w:t>
            </w:r>
            <w:r>
              <w:rPr>
                <w:rFonts w:hint="default"/>
                <w:color w:val="auto"/>
                <w:lang w:val="en-US" w:eastAsia="zh-CN"/>
              </w:rPr>
              <w:t>、PO</w:t>
            </w:r>
            <w:r>
              <w:rPr>
                <w:rFonts w:hint="default"/>
                <w:color w:val="auto"/>
                <w:vertAlign w:val="subscript"/>
                <w:lang w:val="en-US" w:eastAsia="zh-CN"/>
              </w:rPr>
              <w:t>4</w:t>
            </w:r>
            <w:r>
              <w:rPr>
                <w:rFonts w:hint="default"/>
                <w:color w:val="auto"/>
                <w:vertAlign w:val="superscript"/>
                <w:lang w:val="en-US" w:eastAsia="zh-CN"/>
              </w:rPr>
              <w:t>3-</w:t>
            </w:r>
            <w:r>
              <w:rPr>
                <w:rFonts w:hint="default"/>
                <w:color w:val="auto"/>
                <w:lang w:val="en-US" w:eastAsia="zh-CN"/>
              </w:rPr>
              <w:t>、SO</w:t>
            </w:r>
            <w:r>
              <w:rPr>
                <w:rFonts w:hint="default"/>
                <w:color w:val="auto"/>
                <w:vertAlign w:val="subscript"/>
                <w:lang w:val="en-US" w:eastAsia="zh-CN"/>
              </w:rPr>
              <w:t>3</w:t>
            </w:r>
            <w:r>
              <w:rPr>
                <w:rFonts w:hint="default"/>
                <w:color w:val="auto"/>
                <w:vertAlign w:val="superscript"/>
                <w:lang w:val="en-US" w:eastAsia="zh-CN"/>
              </w:rPr>
              <w:t>2-</w:t>
            </w:r>
            <w:r>
              <w:rPr>
                <w:rFonts w:hint="default"/>
                <w:color w:val="auto"/>
                <w:lang w:val="en-US" w:eastAsia="zh-CN"/>
              </w:rPr>
              <w:t>、SO</w:t>
            </w:r>
            <w:r>
              <w:rPr>
                <w:rFonts w:hint="default"/>
                <w:color w:val="auto"/>
                <w:vertAlign w:val="subscript"/>
                <w:lang w:val="en-US" w:eastAsia="zh-CN"/>
              </w:rPr>
              <w:t>4</w:t>
            </w:r>
            <w:r>
              <w:rPr>
                <w:rFonts w:hint="default"/>
                <w:color w:val="auto"/>
                <w:vertAlign w:val="superscript"/>
                <w:lang w:val="en-US" w:eastAsia="zh-CN"/>
              </w:rPr>
              <w:t>2-</w:t>
            </w:r>
            <w:r>
              <w:rPr>
                <w:rFonts w:hint="eastAsia"/>
                <w:color w:val="auto"/>
                <w:lang w:val="en-US" w:eastAsia="zh-CN"/>
              </w:rPr>
              <w:t>）</w:t>
            </w:r>
            <w:r>
              <w:rPr>
                <w:rFonts w:hint="default"/>
                <w:color w:val="auto"/>
                <w:lang w:val="en-US" w:eastAsia="zh-CN"/>
              </w:rPr>
              <w:t>的测定 离子色谱法</w:t>
            </w:r>
          </w:p>
        </w:tc>
        <w:tc>
          <w:tcPr>
            <w:tcW w:w="769" w:type="pct"/>
            <w:vMerge w:val="restart"/>
            <w:tcBorders>
              <w:tl2br w:val="nil"/>
              <w:tr2bl w:val="nil"/>
            </w:tcBorders>
            <w:noWrap w:val="0"/>
            <w:vAlign w:val="center"/>
          </w:tcPr>
          <w:p w14:paraId="005C5D35">
            <w:pPr>
              <w:pStyle w:val="16"/>
              <w:bidi w:val="0"/>
              <w:rPr>
                <w:rFonts w:hint="default"/>
                <w:color w:val="auto"/>
                <w:lang w:val="en-US" w:eastAsia="zh-CN"/>
              </w:rPr>
            </w:pPr>
            <w:r>
              <w:rPr>
                <w:rFonts w:hint="default"/>
                <w:color w:val="auto"/>
                <w:lang w:val="en-US" w:eastAsia="zh-CN"/>
              </w:rPr>
              <w:t>HJ 84-2016</w:t>
            </w:r>
          </w:p>
        </w:tc>
        <w:tc>
          <w:tcPr>
            <w:tcW w:w="1181" w:type="pct"/>
            <w:vMerge w:val="restart"/>
            <w:tcBorders>
              <w:tl2br w:val="nil"/>
              <w:tr2bl w:val="nil"/>
            </w:tcBorders>
            <w:noWrap w:val="0"/>
            <w:vAlign w:val="center"/>
          </w:tcPr>
          <w:p w14:paraId="6D1B8577">
            <w:pPr>
              <w:pStyle w:val="16"/>
              <w:bidi w:val="0"/>
              <w:rPr>
                <w:rFonts w:hint="default"/>
                <w:color w:val="auto"/>
                <w:lang w:val="en-US" w:eastAsia="zh-CN"/>
              </w:rPr>
            </w:pPr>
            <w:r>
              <w:rPr>
                <w:rFonts w:hint="default"/>
                <w:color w:val="auto"/>
              </w:rPr>
              <w:t>CIC-D-100离子色谱仪</w:t>
            </w:r>
            <w:r>
              <w:rPr>
                <w:rFonts w:hint="default"/>
                <w:color w:val="auto"/>
                <w:lang w:eastAsia="zh-CN"/>
              </w:rPr>
              <w:t>（</w:t>
            </w:r>
            <w:r>
              <w:rPr>
                <w:rFonts w:hint="default"/>
                <w:color w:val="auto"/>
                <w:lang w:val="en-US" w:eastAsia="zh-CN"/>
              </w:rPr>
              <w:t>HDH/YQ-</w:t>
            </w:r>
            <w:r>
              <w:rPr>
                <w:rFonts w:hint="eastAsia"/>
                <w:color w:val="auto"/>
                <w:lang w:val="en-US" w:eastAsia="zh-CN"/>
              </w:rPr>
              <w:t>03</w:t>
            </w:r>
            <w:r>
              <w:rPr>
                <w:rFonts w:hint="default"/>
                <w:color w:val="auto"/>
                <w:lang w:val="en-US" w:eastAsia="zh-CN"/>
              </w:rPr>
              <w:t>-0</w:t>
            </w:r>
            <w:r>
              <w:rPr>
                <w:rFonts w:hint="eastAsia"/>
                <w:color w:val="auto"/>
                <w:lang w:val="en-US" w:eastAsia="zh-CN"/>
              </w:rPr>
              <w:t>6</w:t>
            </w:r>
            <w:r>
              <w:rPr>
                <w:rFonts w:hint="default"/>
                <w:color w:val="auto"/>
                <w:lang w:eastAsia="zh-CN"/>
              </w:rPr>
              <w:t>）</w:t>
            </w:r>
          </w:p>
        </w:tc>
        <w:tc>
          <w:tcPr>
            <w:tcW w:w="667" w:type="pct"/>
            <w:tcBorders>
              <w:tl2br w:val="nil"/>
              <w:tr2bl w:val="nil"/>
            </w:tcBorders>
            <w:noWrap w:val="0"/>
            <w:vAlign w:val="center"/>
          </w:tcPr>
          <w:p w14:paraId="46A9A77D">
            <w:pPr>
              <w:pStyle w:val="16"/>
              <w:bidi w:val="0"/>
              <w:rPr>
                <w:rFonts w:hint="default"/>
                <w:color w:val="auto"/>
                <w:lang w:val="en-US" w:eastAsia="zh-CN"/>
              </w:rPr>
            </w:pPr>
            <w:r>
              <w:rPr>
                <w:rFonts w:hint="eastAsia"/>
                <w:color w:val="auto"/>
                <w:lang w:val="en-US" w:eastAsia="zh-CN"/>
              </w:rPr>
              <w:t>0.007</w:t>
            </w:r>
            <w:r>
              <w:rPr>
                <w:rFonts w:hint="default"/>
                <w:color w:val="auto"/>
                <w:lang w:val="en-US" w:eastAsia="zh-CN"/>
              </w:rPr>
              <w:t>mg/L</w:t>
            </w:r>
          </w:p>
        </w:tc>
      </w:tr>
      <w:tr w14:paraId="43B39594">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659234B5">
            <w:pPr>
              <w:pStyle w:val="16"/>
              <w:bidi w:val="0"/>
              <w:rPr>
                <w:rFonts w:hint="default"/>
                <w:color w:val="auto"/>
                <w:lang w:val="en-US" w:eastAsia="zh-CN"/>
              </w:rPr>
            </w:pPr>
            <w:r>
              <w:rPr>
                <w:rFonts w:hint="eastAsia"/>
                <w:color w:val="auto"/>
                <w:lang w:val="en-US" w:eastAsia="zh-CN"/>
              </w:rPr>
              <w:t>氟化物</w:t>
            </w:r>
          </w:p>
        </w:tc>
        <w:tc>
          <w:tcPr>
            <w:tcW w:w="1564" w:type="pct"/>
            <w:vMerge w:val="continue"/>
            <w:tcBorders>
              <w:tl2br w:val="nil"/>
              <w:tr2bl w:val="nil"/>
            </w:tcBorders>
            <w:noWrap w:val="0"/>
            <w:vAlign w:val="center"/>
          </w:tcPr>
          <w:p w14:paraId="72A2EFB4">
            <w:pPr>
              <w:pStyle w:val="16"/>
              <w:bidi w:val="0"/>
              <w:rPr>
                <w:rFonts w:hint="default"/>
                <w:color w:val="auto"/>
                <w:lang w:val="en-US" w:eastAsia="zh-CN"/>
              </w:rPr>
            </w:pPr>
          </w:p>
        </w:tc>
        <w:tc>
          <w:tcPr>
            <w:tcW w:w="769" w:type="pct"/>
            <w:vMerge w:val="continue"/>
            <w:tcBorders>
              <w:tl2br w:val="nil"/>
              <w:tr2bl w:val="nil"/>
            </w:tcBorders>
            <w:noWrap w:val="0"/>
            <w:vAlign w:val="center"/>
          </w:tcPr>
          <w:p w14:paraId="0F3CA833">
            <w:pPr>
              <w:pStyle w:val="16"/>
              <w:bidi w:val="0"/>
              <w:rPr>
                <w:rFonts w:hint="default"/>
                <w:color w:val="auto"/>
                <w:lang w:val="en-US" w:eastAsia="zh-CN"/>
              </w:rPr>
            </w:pPr>
          </w:p>
        </w:tc>
        <w:tc>
          <w:tcPr>
            <w:tcW w:w="1181" w:type="pct"/>
            <w:vMerge w:val="continue"/>
            <w:tcBorders>
              <w:tl2br w:val="nil"/>
              <w:tr2bl w:val="nil"/>
            </w:tcBorders>
            <w:noWrap w:val="0"/>
            <w:vAlign w:val="center"/>
          </w:tcPr>
          <w:p w14:paraId="1DDD049F">
            <w:pPr>
              <w:pStyle w:val="16"/>
              <w:bidi w:val="0"/>
              <w:rPr>
                <w:rFonts w:hint="default"/>
                <w:color w:val="auto"/>
                <w:lang w:val="en-US" w:eastAsia="zh-CN"/>
              </w:rPr>
            </w:pPr>
          </w:p>
        </w:tc>
        <w:tc>
          <w:tcPr>
            <w:tcW w:w="667" w:type="pct"/>
            <w:tcBorders>
              <w:tl2br w:val="nil"/>
              <w:tr2bl w:val="nil"/>
            </w:tcBorders>
            <w:noWrap w:val="0"/>
            <w:vAlign w:val="center"/>
          </w:tcPr>
          <w:p w14:paraId="1BC6CB19">
            <w:pPr>
              <w:pStyle w:val="16"/>
              <w:bidi w:val="0"/>
              <w:rPr>
                <w:rFonts w:hint="default"/>
                <w:color w:val="auto"/>
                <w:lang w:val="en-US" w:eastAsia="zh-CN"/>
              </w:rPr>
            </w:pPr>
            <w:r>
              <w:rPr>
                <w:rFonts w:hint="eastAsia"/>
                <w:color w:val="auto"/>
                <w:lang w:val="en-US" w:eastAsia="zh-CN"/>
              </w:rPr>
              <w:t>0.006</w:t>
            </w:r>
            <w:r>
              <w:rPr>
                <w:rFonts w:hint="default"/>
                <w:color w:val="auto"/>
                <w:lang w:val="en-US" w:eastAsia="zh-CN"/>
              </w:rPr>
              <w:t>mg/L</w:t>
            </w:r>
          </w:p>
        </w:tc>
      </w:tr>
      <w:tr w14:paraId="40D8E686">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644A2FEE">
            <w:pPr>
              <w:pStyle w:val="16"/>
              <w:bidi w:val="0"/>
              <w:rPr>
                <w:rFonts w:hint="default"/>
                <w:color w:val="auto"/>
                <w:lang w:val="en-US" w:eastAsia="zh-CN"/>
              </w:rPr>
            </w:pPr>
            <w:r>
              <w:rPr>
                <w:rFonts w:hint="eastAsia"/>
                <w:color w:val="auto"/>
                <w:lang w:val="en-US" w:eastAsia="zh-CN"/>
              </w:rPr>
              <w:t>硫酸盐</w:t>
            </w:r>
          </w:p>
        </w:tc>
        <w:tc>
          <w:tcPr>
            <w:tcW w:w="1564" w:type="pct"/>
            <w:vMerge w:val="continue"/>
            <w:tcBorders>
              <w:tl2br w:val="nil"/>
              <w:tr2bl w:val="nil"/>
            </w:tcBorders>
            <w:noWrap w:val="0"/>
            <w:vAlign w:val="center"/>
          </w:tcPr>
          <w:p w14:paraId="42B3892A">
            <w:pPr>
              <w:pStyle w:val="16"/>
              <w:bidi w:val="0"/>
              <w:rPr>
                <w:rFonts w:hint="default"/>
                <w:color w:val="auto"/>
                <w:lang w:val="en-US" w:eastAsia="zh-CN"/>
              </w:rPr>
            </w:pPr>
          </w:p>
        </w:tc>
        <w:tc>
          <w:tcPr>
            <w:tcW w:w="769" w:type="pct"/>
            <w:vMerge w:val="continue"/>
            <w:tcBorders>
              <w:tl2br w:val="nil"/>
              <w:tr2bl w:val="nil"/>
            </w:tcBorders>
            <w:noWrap w:val="0"/>
            <w:vAlign w:val="center"/>
          </w:tcPr>
          <w:p w14:paraId="5BD5D6FD">
            <w:pPr>
              <w:pStyle w:val="16"/>
              <w:bidi w:val="0"/>
              <w:rPr>
                <w:rFonts w:hint="default"/>
                <w:color w:val="auto"/>
                <w:lang w:val="en-US" w:eastAsia="zh-CN"/>
              </w:rPr>
            </w:pPr>
          </w:p>
        </w:tc>
        <w:tc>
          <w:tcPr>
            <w:tcW w:w="1181" w:type="pct"/>
            <w:vMerge w:val="continue"/>
            <w:tcBorders>
              <w:tl2br w:val="nil"/>
              <w:tr2bl w:val="nil"/>
            </w:tcBorders>
            <w:noWrap w:val="0"/>
            <w:vAlign w:val="center"/>
          </w:tcPr>
          <w:p w14:paraId="4E8C4AD6">
            <w:pPr>
              <w:pStyle w:val="16"/>
              <w:bidi w:val="0"/>
              <w:rPr>
                <w:rFonts w:hint="default"/>
                <w:color w:val="auto"/>
                <w:lang w:val="en-US" w:eastAsia="zh-CN"/>
              </w:rPr>
            </w:pPr>
          </w:p>
        </w:tc>
        <w:tc>
          <w:tcPr>
            <w:tcW w:w="667" w:type="pct"/>
            <w:tcBorders>
              <w:tl2br w:val="nil"/>
              <w:tr2bl w:val="nil"/>
            </w:tcBorders>
            <w:noWrap w:val="0"/>
            <w:vAlign w:val="center"/>
          </w:tcPr>
          <w:p w14:paraId="147C931B">
            <w:pPr>
              <w:pStyle w:val="16"/>
              <w:bidi w:val="0"/>
              <w:rPr>
                <w:rFonts w:hint="default"/>
                <w:color w:val="auto"/>
                <w:lang w:val="en-US" w:eastAsia="zh-CN"/>
              </w:rPr>
            </w:pPr>
            <w:r>
              <w:rPr>
                <w:rFonts w:hint="eastAsia"/>
                <w:color w:val="auto"/>
                <w:lang w:val="en-US" w:eastAsia="zh-CN"/>
              </w:rPr>
              <w:t>0.018</w:t>
            </w:r>
            <w:r>
              <w:rPr>
                <w:rFonts w:hint="default"/>
                <w:color w:val="auto"/>
                <w:lang w:val="en-US" w:eastAsia="zh-CN"/>
              </w:rPr>
              <w:t>mg/L</w:t>
            </w:r>
          </w:p>
        </w:tc>
      </w:tr>
      <w:tr w14:paraId="1BC7811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084CCE6C">
            <w:pPr>
              <w:pStyle w:val="16"/>
              <w:bidi w:val="0"/>
              <w:rPr>
                <w:rFonts w:hint="default"/>
                <w:color w:val="auto"/>
                <w:lang w:val="en-US" w:eastAsia="zh-CN"/>
              </w:rPr>
            </w:pPr>
            <w:r>
              <w:rPr>
                <w:rFonts w:hint="eastAsia"/>
                <w:color w:val="auto"/>
                <w:lang w:val="en-US" w:eastAsia="zh-CN"/>
              </w:rPr>
              <w:t>挥发酚</w:t>
            </w:r>
          </w:p>
        </w:tc>
        <w:tc>
          <w:tcPr>
            <w:tcW w:w="1564" w:type="pct"/>
            <w:tcBorders>
              <w:tl2br w:val="nil"/>
              <w:tr2bl w:val="nil"/>
            </w:tcBorders>
            <w:noWrap w:val="0"/>
            <w:vAlign w:val="center"/>
          </w:tcPr>
          <w:p w14:paraId="1422D36D">
            <w:pPr>
              <w:pStyle w:val="16"/>
              <w:bidi w:val="0"/>
              <w:rPr>
                <w:rFonts w:hint="default"/>
                <w:color w:val="auto"/>
                <w:lang w:val="en-US" w:eastAsia="zh-CN"/>
              </w:rPr>
            </w:pPr>
            <w:r>
              <w:rPr>
                <w:rFonts w:hint="eastAsia"/>
                <w:color w:val="auto"/>
                <w:lang w:val="en-US" w:eastAsia="zh-CN"/>
              </w:rPr>
              <w:t xml:space="preserve">水质 挥发酚的测定 4-氨基安替比林分光光度法 </w:t>
            </w:r>
          </w:p>
        </w:tc>
        <w:tc>
          <w:tcPr>
            <w:tcW w:w="769" w:type="pct"/>
            <w:tcBorders>
              <w:tl2br w:val="nil"/>
              <w:tr2bl w:val="nil"/>
            </w:tcBorders>
            <w:noWrap w:val="0"/>
            <w:vAlign w:val="center"/>
          </w:tcPr>
          <w:p w14:paraId="168EF973">
            <w:pPr>
              <w:pStyle w:val="16"/>
              <w:bidi w:val="0"/>
              <w:rPr>
                <w:rFonts w:hint="default"/>
                <w:color w:val="auto"/>
                <w:lang w:val="en-US" w:eastAsia="zh-CN"/>
              </w:rPr>
            </w:pPr>
            <w:r>
              <w:rPr>
                <w:rFonts w:hint="eastAsia"/>
                <w:color w:val="auto"/>
                <w:lang w:val="en-US" w:eastAsia="zh-CN"/>
              </w:rPr>
              <w:t>HJ 503-2009</w:t>
            </w:r>
          </w:p>
        </w:tc>
        <w:tc>
          <w:tcPr>
            <w:tcW w:w="1181" w:type="pct"/>
            <w:tcBorders>
              <w:tl2br w:val="nil"/>
              <w:tr2bl w:val="nil"/>
            </w:tcBorders>
            <w:noWrap w:val="0"/>
            <w:vAlign w:val="center"/>
          </w:tcPr>
          <w:p w14:paraId="7D0F2FB0">
            <w:pPr>
              <w:pStyle w:val="16"/>
              <w:bidi w:val="0"/>
              <w:rPr>
                <w:rFonts w:hint="default"/>
                <w:color w:val="auto"/>
                <w:lang w:val="en-US" w:eastAsia="zh-CN"/>
              </w:rPr>
            </w:pPr>
            <w:r>
              <w:rPr>
                <w:rFonts w:hint="default"/>
                <w:color w:val="auto"/>
                <w:lang w:val="en-US" w:eastAsia="zh-CN"/>
              </w:rPr>
              <w:t>722可见分光光度计（HDH/YQ-41-01）</w:t>
            </w:r>
          </w:p>
        </w:tc>
        <w:tc>
          <w:tcPr>
            <w:tcW w:w="667" w:type="pct"/>
            <w:tcBorders>
              <w:tl2br w:val="nil"/>
              <w:tr2bl w:val="nil"/>
            </w:tcBorders>
            <w:noWrap w:val="0"/>
            <w:vAlign w:val="center"/>
          </w:tcPr>
          <w:p w14:paraId="6922B77D">
            <w:pPr>
              <w:pStyle w:val="16"/>
              <w:bidi w:val="0"/>
              <w:rPr>
                <w:rFonts w:hint="default"/>
                <w:color w:val="auto"/>
                <w:lang w:val="en-US" w:eastAsia="zh-CN"/>
              </w:rPr>
            </w:pPr>
            <w:r>
              <w:rPr>
                <w:rFonts w:hint="eastAsia"/>
                <w:color w:val="auto"/>
                <w:lang w:val="en-US" w:eastAsia="zh-CN"/>
              </w:rPr>
              <w:t>0.0003</w:t>
            </w:r>
            <w:r>
              <w:rPr>
                <w:rFonts w:hint="default"/>
                <w:color w:val="auto"/>
                <w:lang w:val="en-US" w:eastAsia="zh-CN"/>
              </w:rPr>
              <w:t>mg/L</w:t>
            </w:r>
          </w:p>
        </w:tc>
      </w:tr>
      <w:tr w14:paraId="35997CB1">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15897BC3">
            <w:pPr>
              <w:pStyle w:val="16"/>
              <w:bidi w:val="0"/>
              <w:rPr>
                <w:rFonts w:hint="default"/>
                <w:color w:val="auto"/>
                <w:lang w:val="en-US" w:eastAsia="zh-CN"/>
              </w:rPr>
            </w:pPr>
            <w:r>
              <w:rPr>
                <w:rFonts w:hint="default"/>
                <w:color w:val="auto"/>
                <w:lang w:val="en-US" w:eastAsia="zh-CN"/>
              </w:rPr>
              <w:t>石油类</w:t>
            </w:r>
          </w:p>
        </w:tc>
        <w:tc>
          <w:tcPr>
            <w:tcW w:w="1564" w:type="pct"/>
            <w:tcBorders>
              <w:tl2br w:val="nil"/>
              <w:tr2bl w:val="nil"/>
            </w:tcBorders>
            <w:noWrap w:val="0"/>
            <w:vAlign w:val="center"/>
          </w:tcPr>
          <w:p w14:paraId="3AD54B05">
            <w:pPr>
              <w:pStyle w:val="16"/>
              <w:bidi w:val="0"/>
              <w:rPr>
                <w:rFonts w:hint="default"/>
                <w:color w:val="auto"/>
                <w:lang w:val="en-US" w:eastAsia="zh-CN"/>
              </w:rPr>
            </w:pPr>
            <w:r>
              <w:rPr>
                <w:rFonts w:hint="default"/>
                <w:color w:val="auto"/>
                <w:lang w:val="en-US" w:eastAsia="zh-CN"/>
              </w:rPr>
              <w:t>水质 石油类的测定紫外分光光度法</w:t>
            </w:r>
          </w:p>
        </w:tc>
        <w:tc>
          <w:tcPr>
            <w:tcW w:w="769" w:type="pct"/>
            <w:tcBorders>
              <w:tl2br w:val="nil"/>
              <w:tr2bl w:val="nil"/>
            </w:tcBorders>
            <w:noWrap w:val="0"/>
            <w:vAlign w:val="center"/>
          </w:tcPr>
          <w:p w14:paraId="11FC3EB3">
            <w:pPr>
              <w:pStyle w:val="16"/>
              <w:bidi w:val="0"/>
              <w:rPr>
                <w:rFonts w:hint="default"/>
                <w:color w:val="auto"/>
                <w:lang w:val="en-US" w:eastAsia="zh-CN"/>
              </w:rPr>
            </w:pPr>
            <w:r>
              <w:rPr>
                <w:rFonts w:hint="default"/>
                <w:color w:val="auto"/>
                <w:lang w:val="en-US" w:eastAsia="zh-CN"/>
              </w:rPr>
              <w:t>HJ 970-2018</w:t>
            </w:r>
          </w:p>
        </w:tc>
        <w:tc>
          <w:tcPr>
            <w:tcW w:w="1181" w:type="pct"/>
            <w:tcBorders>
              <w:tl2br w:val="nil"/>
              <w:tr2bl w:val="nil"/>
            </w:tcBorders>
            <w:noWrap w:val="0"/>
            <w:vAlign w:val="center"/>
          </w:tcPr>
          <w:p w14:paraId="015E1E8B">
            <w:pPr>
              <w:pStyle w:val="16"/>
              <w:bidi w:val="0"/>
              <w:rPr>
                <w:rFonts w:hint="default"/>
                <w:color w:val="auto"/>
                <w:lang w:val="en-US" w:eastAsia="zh-CN"/>
              </w:rPr>
            </w:pPr>
            <w:r>
              <w:rPr>
                <w:rFonts w:hint="default"/>
                <w:color w:val="auto"/>
              </w:rPr>
              <w:t>UV-1600紫外/可见分光光度计</w:t>
            </w:r>
            <w:r>
              <w:rPr>
                <w:rFonts w:hint="default"/>
                <w:color w:val="auto"/>
                <w:lang w:val="en-US" w:eastAsia="zh-CN"/>
              </w:rPr>
              <w:t>（HDH/YQ-42-01）</w:t>
            </w:r>
          </w:p>
        </w:tc>
        <w:tc>
          <w:tcPr>
            <w:tcW w:w="667" w:type="pct"/>
            <w:tcBorders>
              <w:tl2br w:val="nil"/>
              <w:tr2bl w:val="nil"/>
            </w:tcBorders>
            <w:noWrap w:val="0"/>
            <w:vAlign w:val="center"/>
          </w:tcPr>
          <w:p w14:paraId="4D6CA0DD">
            <w:pPr>
              <w:pStyle w:val="16"/>
              <w:bidi w:val="0"/>
              <w:rPr>
                <w:rFonts w:hint="default"/>
                <w:color w:val="auto"/>
                <w:lang w:val="en-US" w:eastAsia="zh-CN"/>
              </w:rPr>
            </w:pPr>
            <w:r>
              <w:rPr>
                <w:rFonts w:hint="default"/>
                <w:color w:val="auto"/>
                <w:lang w:val="en-US" w:eastAsia="zh-CN"/>
              </w:rPr>
              <w:t>0.01mg/L</w:t>
            </w:r>
          </w:p>
        </w:tc>
      </w:tr>
      <w:tr w14:paraId="13C6631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4520F0BB">
            <w:pPr>
              <w:pStyle w:val="16"/>
              <w:bidi w:val="0"/>
              <w:rPr>
                <w:rFonts w:hint="default"/>
                <w:color w:val="auto"/>
                <w:lang w:val="en-US" w:eastAsia="zh-CN"/>
              </w:rPr>
            </w:pPr>
            <w:r>
              <w:rPr>
                <w:rFonts w:hint="eastAsia"/>
                <w:color w:val="auto"/>
                <w:lang w:val="en-US" w:eastAsia="zh-CN"/>
              </w:rPr>
              <w:t>铁</w:t>
            </w:r>
          </w:p>
        </w:tc>
        <w:tc>
          <w:tcPr>
            <w:tcW w:w="1564" w:type="pct"/>
            <w:vMerge w:val="restart"/>
            <w:tcBorders>
              <w:tl2br w:val="nil"/>
              <w:tr2bl w:val="nil"/>
            </w:tcBorders>
            <w:noWrap w:val="0"/>
            <w:vAlign w:val="center"/>
          </w:tcPr>
          <w:p w14:paraId="56E62B19">
            <w:pPr>
              <w:pStyle w:val="16"/>
              <w:bidi w:val="0"/>
              <w:rPr>
                <w:rFonts w:hint="default"/>
                <w:color w:val="auto"/>
                <w:lang w:val="en-US" w:eastAsia="zh-CN"/>
              </w:rPr>
            </w:pPr>
            <w:r>
              <w:rPr>
                <w:rFonts w:hint="default"/>
                <w:color w:val="auto"/>
                <w:lang w:val="en-US" w:eastAsia="zh-CN"/>
              </w:rPr>
              <w:t>水质 32种元素的测定 电感耦合等离子体发射光谱法</w:t>
            </w:r>
          </w:p>
        </w:tc>
        <w:tc>
          <w:tcPr>
            <w:tcW w:w="769" w:type="pct"/>
            <w:vMerge w:val="restart"/>
            <w:tcBorders>
              <w:tl2br w:val="nil"/>
              <w:tr2bl w:val="nil"/>
            </w:tcBorders>
            <w:noWrap w:val="0"/>
            <w:vAlign w:val="center"/>
          </w:tcPr>
          <w:p w14:paraId="3C129CE3">
            <w:pPr>
              <w:pStyle w:val="16"/>
              <w:bidi w:val="0"/>
              <w:rPr>
                <w:rFonts w:hint="default"/>
                <w:color w:val="auto"/>
                <w:lang w:val="en-US" w:eastAsia="zh-CN"/>
              </w:rPr>
            </w:pPr>
            <w:r>
              <w:rPr>
                <w:rFonts w:hint="default"/>
                <w:color w:val="auto"/>
                <w:lang w:val="en-US" w:eastAsia="zh-CN"/>
              </w:rPr>
              <w:t>HJ 776-2015</w:t>
            </w:r>
          </w:p>
        </w:tc>
        <w:tc>
          <w:tcPr>
            <w:tcW w:w="1181" w:type="pct"/>
            <w:vMerge w:val="restart"/>
            <w:tcBorders>
              <w:tl2br w:val="nil"/>
              <w:tr2bl w:val="nil"/>
            </w:tcBorders>
            <w:noWrap w:val="0"/>
            <w:vAlign w:val="center"/>
          </w:tcPr>
          <w:p w14:paraId="37B66A98">
            <w:pPr>
              <w:pStyle w:val="16"/>
              <w:bidi w:val="0"/>
              <w:rPr>
                <w:rFonts w:hint="default"/>
                <w:color w:val="auto"/>
                <w:lang w:val="en-US" w:eastAsia="zh-CN"/>
              </w:rPr>
            </w:pPr>
            <w:r>
              <w:rPr>
                <w:rFonts w:hint="default"/>
                <w:color w:val="auto"/>
              </w:rPr>
              <w:t>Plasma 2000电感耦合等离子体原子发射光谱仪</w:t>
            </w:r>
            <w:r>
              <w:rPr>
                <w:rFonts w:hint="default"/>
                <w:color w:val="auto"/>
                <w:lang w:eastAsia="zh-CN"/>
              </w:rPr>
              <w:t>（</w:t>
            </w:r>
            <w:r>
              <w:rPr>
                <w:rFonts w:hint="default"/>
                <w:color w:val="auto"/>
                <w:lang w:val="en-US" w:eastAsia="zh-CN"/>
              </w:rPr>
              <w:t>HDH/YQ-36-01</w:t>
            </w:r>
            <w:r>
              <w:rPr>
                <w:rFonts w:hint="default"/>
                <w:color w:val="auto"/>
                <w:lang w:eastAsia="zh-CN"/>
              </w:rPr>
              <w:t>）</w:t>
            </w:r>
          </w:p>
        </w:tc>
        <w:tc>
          <w:tcPr>
            <w:tcW w:w="667" w:type="pct"/>
            <w:tcBorders>
              <w:tl2br w:val="nil"/>
              <w:tr2bl w:val="nil"/>
            </w:tcBorders>
            <w:noWrap w:val="0"/>
            <w:vAlign w:val="center"/>
          </w:tcPr>
          <w:p w14:paraId="4BE03C7C">
            <w:pPr>
              <w:pStyle w:val="16"/>
              <w:bidi w:val="0"/>
              <w:rPr>
                <w:rFonts w:hint="default"/>
                <w:color w:val="auto"/>
                <w:lang w:val="en-US" w:eastAsia="zh-CN"/>
              </w:rPr>
            </w:pPr>
            <w:r>
              <w:rPr>
                <w:rFonts w:hint="eastAsia"/>
                <w:color w:val="auto"/>
                <w:lang w:val="en-US" w:eastAsia="zh-CN"/>
              </w:rPr>
              <w:t>0.02</w:t>
            </w:r>
            <w:r>
              <w:rPr>
                <w:rFonts w:hint="default"/>
                <w:color w:val="auto"/>
                <w:lang w:val="en-US" w:eastAsia="zh-CN"/>
              </w:rPr>
              <w:t>mg/L</w:t>
            </w:r>
          </w:p>
        </w:tc>
      </w:tr>
      <w:tr w14:paraId="125DBE1B">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55EB7392">
            <w:pPr>
              <w:pStyle w:val="16"/>
              <w:bidi w:val="0"/>
              <w:rPr>
                <w:rFonts w:hint="default"/>
                <w:color w:val="auto"/>
                <w:lang w:val="en-US" w:eastAsia="zh-CN"/>
              </w:rPr>
            </w:pPr>
            <w:r>
              <w:rPr>
                <w:rFonts w:hint="eastAsia"/>
                <w:color w:val="auto"/>
                <w:lang w:val="en-US" w:eastAsia="zh-CN"/>
              </w:rPr>
              <w:t>铜</w:t>
            </w:r>
          </w:p>
        </w:tc>
        <w:tc>
          <w:tcPr>
            <w:tcW w:w="1564" w:type="pct"/>
            <w:vMerge w:val="continue"/>
            <w:tcBorders>
              <w:tl2br w:val="nil"/>
              <w:tr2bl w:val="nil"/>
            </w:tcBorders>
            <w:noWrap w:val="0"/>
            <w:vAlign w:val="center"/>
          </w:tcPr>
          <w:p w14:paraId="6AB08D2B">
            <w:pPr>
              <w:pStyle w:val="16"/>
              <w:bidi w:val="0"/>
              <w:rPr>
                <w:rFonts w:hint="default"/>
                <w:color w:val="auto"/>
                <w:lang w:val="en-US" w:eastAsia="zh-CN"/>
              </w:rPr>
            </w:pPr>
          </w:p>
        </w:tc>
        <w:tc>
          <w:tcPr>
            <w:tcW w:w="769" w:type="pct"/>
            <w:vMerge w:val="continue"/>
            <w:tcBorders>
              <w:tl2br w:val="nil"/>
              <w:tr2bl w:val="nil"/>
            </w:tcBorders>
            <w:noWrap w:val="0"/>
            <w:vAlign w:val="center"/>
          </w:tcPr>
          <w:p w14:paraId="664F8E0B">
            <w:pPr>
              <w:pStyle w:val="16"/>
              <w:bidi w:val="0"/>
              <w:rPr>
                <w:rFonts w:hint="default"/>
                <w:color w:val="auto"/>
                <w:lang w:val="en-US" w:eastAsia="zh-CN"/>
              </w:rPr>
            </w:pPr>
          </w:p>
        </w:tc>
        <w:tc>
          <w:tcPr>
            <w:tcW w:w="1181" w:type="pct"/>
            <w:vMerge w:val="continue"/>
            <w:tcBorders>
              <w:tl2br w:val="nil"/>
              <w:tr2bl w:val="nil"/>
            </w:tcBorders>
            <w:noWrap w:val="0"/>
            <w:vAlign w:val="center"/>
          </w:tcPr>
          <w:p w14:paraId="530059EF">
            <w:pPr>
              <w:pStyle w:val="16"/>
              <w:bidi w:val="0"/>
              <w:rPr>
                <w:rFonts w:hint="default"/>
                <w:color w:val="auto"/>
                <w:lang w:val="en-US" w:eastAsia="zh-CN"/>
              </w:rPr>
            </w:pPr>
          </w:p>
        </w:tc>
        <w:tc>
          <w:tcPr>
            <w:tcW w:w="667" w:type="pct"/>
            <w:tcBorders>
              <w:tl2br w:val="nil"/>
              <w:tr2bl w:val="nil"/>
            </w:tcBorders>
            <w:noWrap w:val="0"/>
            <w:vAlign w:val="center"/>
          </w:tcPr>
          <w:p w14:paraId="14A3AC01">
            <w:pPr>
              <w:pStyle w:val="16"/>
              <w:bidi w:val="0"/>
              <w:rPr>
                <w:rFonts w:hint="default"/>
                <w:color w:val="auto"/>
                <w:lang w:val="en-US" w:eastAsia="zh-CN"/>
              </w:rPr>
            </w:pPr>
            <w:r>
              <w:rPr>
                <w:rFonts w:hint="eastAsia"/>
                <w:color w:val="auto"/>
                <w:lang w:val="en-US" w:eastAsia="zh-CN"/>
              </w:rPr>
              <w:t>0.006</w:t>
            </w:r>
            <w:r>
              <w:rPr>
                <w:rFonts w:hint="default"/>
                <w:color w:val="auto"/>
                <w:lang w:val="en-US" w:eastAsia="zh-CN"/>
              </w:rPr>
              <w:t>mg/L</w:t>
            </w:r>
          </w:p>
        </w:tc>
      </w:tr>
      <w:tr w14:paraId="4B38241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498ABCA3">
            <w:pPr>
              <w:pStyle w:val="16"/>
              <w:bidi w:val="0"/>
              <w:rPr>
                <w:rFonts w:hint="default"/>
                <w:color w:val="auto"/>
                <w:lang w:val="en-US" w:eastAsia="zh-CN"/>
              </w:rPr>
            </w:pPr>
            <w:r>
              <w:rPr>
                <w:rFonts w:hint="eastAsia"/>
                <w:color w:val="auto"/>
                <w:lang w:val="en-US" w:eastAsia="zh-CN"/>
              </w:rPr>
              <w:t>锌</w:t>
            </w:r>
          </w:p>
        </w:tc>
        <w:tc>
          <w:tcPr>
            <w:tcW w:w="1564" w:type="pct"/>
            <w:vMerge w:val="continue"/>
            <w:tcBorders>
              <w:tl2br w:val="nil"/>
              <w:tr2bl w:val="nil"/>
            </w:tcBorders>
            <w:noWrap w:val="0"/>
            <w:vAlign w:val="center"/>
          </w:tcPr>
          <w:p w14:paraId="352EB54F">
            <w:pPr>
              <w:pStyle w:val="16"/>
              <w:bidi w:val="0"/>
              <w:rPr>
                <w:rFonts w:hint="default"/>
                <w:color w:val="auto"/>
                <w:lang w:val="en-US" w:eastAsia="zh-CN"/>
              </w:rPr>
            </w:pPr>
          </w:p>
        </w:tc>
        <w:tc>
          <w:tcPr>
            <w:tcW w:w="769" w:type="pct"/>
            <w:vMerge w:val="continue"/>
            <w:tcBorders>
              <w:tl2br w:val="nil"/>
              <w:tr2bl w:val="nil"/>
            </w:tcBorders>
            <w:noWrap w:val="0"/>
            <w:vAlign w:val="center"/>
          </w:tcPr>
          <w:p w14:paraId="43722E72">
            <w:pPr>
              <w:pStyle w:val="16"/>
              <w:bidi w:val="0"/>
              <w:rPr>
                <w:rFonts w:hint="default"/>
                <w:color w:val="auto"/>
                <w:lang w:val="en-US" w:eastAsia="zh-CN"/>
              </w:rPr>
            </w:pPr>
          </w:p>
        </w:tc>
        <w:tc>
          <w:tcPr>
            <w:tcW w:w="1181" w:type="pct"/>
            <w:vMerge w:val="continue"/>
            <w:tcBorders>
              <w:tl2br w:val="nil"/>
              <w:tr2bl w:val="nil"/>
            </w:tcBorders>
            <w:noWrap w:val="0"/>
            <w:vAlign w:val="center"/>
          </w:tcPr>
          <w:p w14:paraId="09FC32E2">
            <w:pPr>
              <w:pStyle w:val="16"/>
              <w:bidi w:val="0"/>
              <w:rPr>
                <w:rFonts w:hint="default"/>
                <w:color w:val="auto"/>
                <w:lang w:val="en-US" w:eastAsia="zh-CN"/>
              </w:rPr>
            </w:pPr>
          </w:p>
        </w:tc>
        <w:tc>
          <w:tcPr>
            <w:tcW w:w="667" w:type="pct"/>
            <w:tcBorders>
              <w:tl2br w:val="nil"/>
              <w:tr2bl w:val="nil"/>
            </w:tcBorders>
            <w:noWrap w:val="0"/>
            <w:vAlign w:val="center"/>
          </w:tcPr>
          <w:p w14:paraId="4D91F49D">
            <w:pPr>
              <w:pStyle w:val="16"/>
              <w:bidi w:val="0"/>
              <w:rPr>
                <w:rFonts w:hint="default"/>
                <w:color w:val="auto"/>
                <w:lang w:val="en-US" w:eastAsia="zh-CN"/>
              </w:rPr>
            </w:pPr>
            <w:r>
              <w:rPr>
                <w:rFonts w:hint="eastAsia"/>
                <w:color w:val="auto"/>
                <w:lang w:val="en-US" w:eastAsia="zh-CN"/>
              </w:rPr>
              <w:t>0.004</w:t>
            </w:r>
            <w:r>
              <w:rPr>
                <w:rFonts w:hint="default"/>
                <w:color w:val="auto"/>
                <w:lang w:val="en-US" w:eastAsia="zh-CN"/>
              </w:rPr>
              <w:t>mg/L</w:t>
            </w:r>
          </w:p>
        </w:tc>
      </w:tr>
      <w:tr w14:paraId="13CEF65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7AA33244">
            <w:pPr>
              <w:pStyle w:val="16"/>
              <w:bidi w:val="0"/>
              <w:rPr>
                <w:rFonts w:hint="default"/>
                <w:color w:val="auto"/>
                <w:lang w:val="en-US" w:eastAsia="zh-CN"/>
              </w:rPr>
            </w:pPr>
            <w:r>
              <w:rPr>
                <w:rFonts w:hint="eastAsia"/>
                <w:color w:val="auto"/>
                <w:lang w:val="en-US" w:eastAsia="zh-CN"/>
              </w:rPr>
              <w:t>镍</w:t>
            </w:r>
          </w:p>
        </w:tc>
        <w:tc>
          <w:tcPr>
            <w:tcW w:w="1564" w:type="pct"/>
            <w:vMerge w:val="continue"/>
            <w:tcBorders>
              <w:tl2br w:val="nil"/>
              <w:tr2bl w:val="nil"/>
            </w:tcBorders>
            <w:noWrap w:val="0"/>
            <w:vAlign w:val="center"/>
          </w:tcPr>
          <w:p w14:paraId="173EE49C">
            <w:pPr>
              <w:pStyle w:val="16"/>
              <w:bidi w:val="0"/>
              <w:rPr>
                <w:rFonts w:hint="default"/>
                <w:color w:val="auto"/>
                <w:lang w:val="en-US" w:eastAsia="zh-CN"/>
              </w:rPr>
            </w:pPr>
          </w:p>
        </w:tc>
        <w:tc>
          <w:tcPr>
            <w:tcW w:w="769" w:type="pct"/>
            <w:vMerge w:val="continue"/>
            <w:tcBorders>
              <w:tl2br w:val="nil"/>
              <w:tr2bl w:val="nil"/>
            </w:tcBorders>
            <w:noWrap w:val="0"/>
            <w:vAlign w:val="center"/>
          </w:tcPr>
          <w:p w14:paraId="2B903E44">
            <w:pPr>
              <w:pStyle w:val="16"/>
              <w:bidi w:val="0"/>
              <w:rPr>
                <w:rFonts w:hint="default"/>
                <w:color w:val="auto"/>
                <w:lang w:val="en-US" w:eastAsia="zh-CN"/>
              </w:rPr>
            </w:pPr>
          </w:p>
        </w:tc>
        <w:tc>
          <w:tcPr>
            <w:tcW w:w="1181" w:type="pct"/>
            <w:vMerge w:val="continue"/>
            <w:tcBorders>
              <w:tl2br w:val="nil"/>
              <w:tr2bl w:val="nil"/>
            </w:tcBorders>
            <w:noWrap w:val="0"/>
            <w:vAlign w:val="center"/>
          </w:tcPr>
          <w:p w14:paraId="63EE2500">
            <w:pPr>
              <w:pStyle w:val="16"/>
              <w:bidi w:val="0"/>
              <w:rPr>
                <w:rFonts w:hint="default"/>
                <w:color w:val="auto"/>
                <w:lang w:val="en-US" w:eastAsia="zh-CN"/>
              </w:rPr>
            </w:pPr>
          </w:p>
        </w:tc>
        <w:tc>
          <w:tcPr>
            <w:tcW w:w="667" w:type="pct"/>
            <w:tcBorders>
              <w:tl2br w:val="nil"/>
              <w:tr2bl w:val="nil"/>
            </w:tcBorders>
            <w:noWrap w:val="0"/>
            <w:vAlign w:val="center"/>
          </w:tcPr>
          <w:p w14:paraId="15B985F5">
            <w:pPr>
              <w:pStyle w:val="16"/>
              <w:bidi w:val="0"/>
              <w:rPr>
                <w:rFonts w:hint="default"/>
                <w:color w:val="auto"/>
                <w:lang w:val="en-US" w:eastAsia="zh-CN"/>
              </w:rPr>
            </w:pPr>
            <w:r>
              <w:rPr>
                <w:rFonts w:hint="eastAsia"/>
                <w:color w:val="auto"/>
                <w:lang w:val="en-US" w:eastAsia="zh-CN"/>
              </w:rPr>
              <w:t>0.02</w:t>
            </w:r>
            <w:r>
              <w:rPr>
                <w:rFonts w:hint="default"/>
                <w:color w:val="auto"/>
                <w:lang w:val="en-US" w:eastAsia="zh-CN"/>
              </w:rPr>
              <w:t>mg/L</w:t>
            </w:r>
          </w:p>
        </w:tc>
      </w:tr>
      <w:tr w14:paraId="58365EEA">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58A38720">
            <w:pPr>
              <w:pStyle w:val="16"/>
              <w:bidi w:val="0"/>
              <w:rPr>
                <w:rFonts w:hint="default"/>
                <w:color w:val="auto"/>
                <w:lang w:val="en-US" w:eastAsia="zh-CN"/>
              </w:rPr>
            </w:pPr>
            <w:r>
              <w:rPr>
                <w:rFonts w:hint="eastAsia"/>
                <w:color w:val="auto"/>
                <w:lang w:val="en-US" w:eastAsia="zh-CN"/>
              </w:rPr>
              <w:t>锰</w:t>
            </w:r>
          </w:p>
        </w:tc>
        <w:tc>
          <w:tcPr>
            <w:tcW w:w="1564" w:type="pct"/>
            <w:vMerge w:val="continue"/>
            <w:tcBorders>
              <w:tl2br w:val="nil"/>
              <w:tr2bl w:val="nil"/>
            </w:tcBorders>
            <w:noWrap w:val="0"/>
            <w:vAlign w:val="center"/>
          </w:tcPr>
          <w:p w14:paraId="13C5029A">
            <w:pPr>
              <w:pStyle w:val="16"/>
              <w:bidi w:val="0"/>
              <w:rPr>
                <w:rFonts w:hint="default"/>
                <w:color w:val="auto"/>
                <w:lang w:val="en-US" w:eastAsia="zh-CN"/>
              </w:rPr>
            </w:pPr>
          </w:p>
        </w:tc>
        <w:tc>
          <w:tcPr>
            <w:tcW w:w="769" w:type="pct"/>
            <w:vMerge w:val="continue"/>
            <w:tcBorders>
              <w:tl2br w:val="nil"/>
              <w:tr2bl w:val="nil"/>
            </w:tcBorders>
            <w:noWrap w:val="0"/>
            <w:vAlign w:val="center"/>
          </w:tcPr>
          <w:p w14:paraId="684148AB">
            <w:pPr>
              <w:pStyle w:val="16"/>
              <w:bidi w:val="0"/>
              <w:rPr>
                <w:rFonts w:hint="default"/>
                <w:color w:val="auto"/>
                <w:lang w:val="en-US" w:eastAsia="zh-CN"/>
              </w:rPr>
            </w:pPr>
          </w:p>
        </w:tc>
        <w:tc>
          <w:tcPr>
            <w:tcW w:w="1181" w:type="pct"/>
            <w:vMerge w:val="continue"/>
            <w:tcBorders>
              <w:tl2br w:val="nil"/>
              <w:tr2bl w:val="nil"/>
            </w:tcBorders>
            <w:noWrap w:val="0"/>
            <w:vAlign w:val="center"/>
          </w:tcPr>
          <w:p w14:paraId="64AD158F">
            <w:pPr>
              <w:pStyle w:val="16"/>
              <w:bidi w:val="0"/>
              <w:rPr>
                <w:rFonts w:hint="default"/>
                <w:color w:val="auto"/>
                <w:lang w:val="en-US" w:eastAsia="zh-CN"/>
              </w:rPr>
            </w:pPr>
          </w:p>
        </w:tc>
        <w:tc>
          <w:tcPr>
            <w:tcW w:w="667" w:type="pct"/>
            <w:tcBorders>
              <w:tl2br w:val="nil"/>
              <w:tr2bl w:val="nil"/>
            </w:tcBorders>
            <w:noWrap w:val="0"/>
            <w:vAlign w:val="center"/>
          </w:tcPr>
          <w:p w14:paraId="311C24AF">
            <w:pPr>
              <w:pStyle w:val="16"/>
              <w:bidi w:val="0"/>
              <w:rPr>
                <w:rFonts w:hint="default"/>
                <w:color w:val="auto"/>
                <w:lang w:val="en-US" w:eastAsia="zh-CN"/>
              </w:rPr>
            </w:pPr>
            <w:r>
              <w:rPr>
                <w:rFonts w:hint="eastAsia"/>
                <w:color w:val="auto"/>
                <w:lang w:val="en-US" w:eastAsia="zh-CN"/>
              </w:rPr>
              <w:t>0.004</w:t>
            </w:r>
            <w:r>
              <w:rPr>
                <w:rFonts w:hint="default"/>
                <w:color w:val="auto"/>
                <w:lang w:val="en-US" w:eastAsia="zh-CN"/>
              </w:rPr>
              <w:t>mg/L</w:t>
            </w:r>
          </w:p>
        </w:tc>
      </w:tr>
      <w:tr w14:paraId="74CDEB83">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3C5B4670">
            <w:pPr>
              <w:pStyle w:val="16"/>
              <w:bidi w:val="0"/>
              <w:rPr>
                <w:rFonts w:hint="default"/>
                <w:color w:val="auto"/>
                <w:lang w:val="en-US" w:eastAsia="zh-CN"/>
              </w:rPr>
            </w:pPr>
            <w:r>
              <w:rPr>
                <w:rFonts w:hint="eastAsia"/>
                <w:color w:val="auto"/>
                <w:lang w:val="en-US" w:eastAsia="zh-CN"/>
              </w:rPr>
              <w:t>铅</w:t>
            </w:r>
          </w:p>
        </w:tc>
        <w:tc>
          <w:tcPr>
            <w:tcW w:w="1564" w:type="pct"/>
            <w:vMerge w:val="restart"/>
            <w:tcBorders>
              <w:tl2br w:val="nil"/>
              <w:tr2bl w:val="nil"/>
            </w:tcBorders>
            <w:noWrap w:val="0"/>
            <w:vAlign w:val="center"/>
          </w:tcPr>
          <w:p w14:paraId="1998F79B">
            <w:pPr>
              <w:pStyle w:val="16"/>
              <w:bidi w:val="0"/>
              <w:rPr>
                <w:rFonts w:hint="default"/>
                <w:color w:val="auto"/>
                <w:lang w:val="en-US" w:eastAsia="zh-CN"/>
              </w:rPr>
            </w:pPr>
            <w:r>
              <w:rPr>
                <w:rFonts w:hint="eastAsia"/>
                <w:color w:val="auto"/>
                <w:lang w:val="en-US" w:eastAsia="zh-CN"/>
              </w:rPr>
              <w:t>水质 65种元素的测定 电感耦合等离子体质谱法</w:t>
            </w:r>
          </w:p>
        </w:tc>
        <w:tc>
          <w:tcPr>
            <w:tcW w:w="769" w:type="pct"/>
            <w:vMerge w:val="restart"/>
            <w:tcBorders>
              <w:tl2br w:val="nil"/>
              <w:tr2bl w:val="nil"/>
            </w:tcBorders>
            <w:noWrap w:val="0"/>
            <w:vAlign w:val="center"/>
          </w:tcPr>
          <w:p w14:paraId="376A87AF">
            <w:pPr>
              <w:pStyle w:val="16"/>
              <w:bidi w:val="0"/>
              <w:rPr>
                <w:rFonts w:hint="default"/>
                <w:color w:val="auto"/>
                <w:lang w:val="en-US" w:eastAsia="zh-CN"/>
              </w:rPr>
            </w:pPr>
            <w:r>
              <w:rPr>
                <w:rFonts w:hint="default"/>
                <w:color w:val="auto"/>
                <w:lang w:val="en-US" w:eastAsia="zh-CN"/>
              </w:rPr>
              <w:t>HJ</w:t>
            </w:r>
            <w:r>
              <w:rPr>
                <w:rFonts w:hint="eastAsia"/>
                <w:color w:val="auto"/>
                <w:lang w:val="en-US" w:eastAsia="zh-CN"/>
              </w:rPr>
              <w:t xml:space="preserve"> </w:t>
            </w:r>
            <w:r>
              <w:rPr>
                <w:rFonts w:hint="default"/>
                <w:color w:val="auto"/>
                <w:lang w:val="en-US" w:eastAsia="zh-CN"/>
              </w:rPr>
              <w:t>700-2014</w:t>
            </w:r>
          </w:p>
        </w:tc>
        <w:tc>
          <w:tcPr>
            <w:tcW w:w="1181" w:type="pct"/>
            <w:vMerge w:val="restart"/>
            <w:tcBorders>
              <w:tl2br w:val="nil"/>
              <w:tr2bl w:val="nil"/>
            </w:tcBorders>
            <w:noWrap w:val="0"/>
            <w:vAlign w:val="center"/>
          </w:tcPr>
          <w:p w14:paraId="3EDF125E">
            <w:pPr>
              <w:pStyle w:val="16"/>
              <w:bidi w:val="0"/>
              <w:rPr>
                <w:rFonts w:hint="default"/>
                <w:color w:val="auto"/>
                <w:lang w:val="en-US" w:eastAsia="zh-CN"/>
              </w:rPr>
            </w:pPr>
            <w:r>
              <w:rPr>
                <w:rFonts w:hint="default"/>
                <w:color w:val="auto"/>
                <w:lang w:val="en-US" w:eastAsia="zh-CN"/>
              </w:rPr>
              <w:t>BRUKER aurora M90ICP-MS（HDH/YQ-</w:t>
            </w:r>
            <w:r>
              <w:rPr>
                <w:rFonts w:hint="eastAsia"/>
                <w:color w:val="auto"/>
                <w:lang w:val="en-US" w:eastAsia="zh-CN"/>
              </w:rPr>
              <w:t>37</w:t>
            </w:r>
            <w:r>
              <w:rPr>
                <w:rFonts w:hint="default"/>
                <w:color w:val="auto"/>
                <w:lang w:val="en-US" w:eastAsia="zh-CN"/>
              </w:rPr>
              <w:t>-01）</w:t>
            </w:r>
          </w:p>
        </w:tc>
        <w:tc>
          <w:tcPr>
            <w:tcW w:w="667" w:type="pct"/>
            <w:tcBorders>
              <w:tl2br w:val="nil"/>
              <w:tr2bl w:val="nil"/>
            </w:tcBorders>
            <w:noWrap w:val="0"/>
            <w:vAlign w:val="center"/>
          </w:tcPr>
          <w:p w14:paraId="1EBCAB82">
            <w:pPr>
              <w:pStyle w:val="16"/>
              <w:bidi w:val="0"/>
              <w:rPr>
                <w:rFonts w:hint="default"/>
                <w:color w:val="auto"/>
                <w:lang w:val="en-US" w:eastAsia="zh-CN"/>
              </w:rPr>
            </w:pPr>
            <w:r>
              <w:rPr>
                <w:rFonts w:hint="eastAsia"/>
                <w:color w:val="auto"/>
                <w:lang w:val="en-US" w:eastAsia="zh-CN"/>
              </w:rPr>
              <w:t>0.09</w:t>
            </w:r>
            <w:r>
              <w:rPr>
                <w:rFonts w:hint="default"/>
                <w:color w:val="auto"/>
                <w:lang w:val="en-US" w:eastAsia="zh-CN"/>
              </w:rPr>
              <w:t>μg/L</w:t>
            </w:r>
          </w:p>
        </w:tc>
      </w:tr>
      <w:tr w14:paraId="5CD54FE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1A0E2BF7">
            <w:pPr>
              <w:pStyle w:val="16"/>
              <w:bidi w:val="0"/>
              <w:rPr>
                <w:rFonts w:hint="default"/>
                <w:color w:val="auto"/>
                <w:lang w:val="en-US" w:eastAsia="zh-CN"/>
              </w:rPr>
            </w:pPr>
            <w:r>
              <w:rPr>
                <w:rFonts w:hint="eastAsia"/>
                <w:color w:val="auto"/>
                <w:lang w:val="en-US" w:eastAsia="zh-CN"/>
              </w:rPr>
              <w:t>镉</w:t>
            </w:r>
          </w:p>
        </w:tc>
        <w:tc>
          <w:tcPr>
            <w:tcW w:w="1564" w:type="pct"/>
            <w:vMerge w:val="continue"/>
            <w:tcBorders>
              <w:tl2br w:val="nil"/>
              <w:tr2bl w:val="nil"/>
            </w:tcBorders>
            <w:noWrap w:val="0"/>
            <w:vAlign w:val="center"/>
          </w:tcPr>
          <w:p w14:paraId="36589A50">
            <w:pPr>
              <w:pStyle w:val="16"/>
              <w:bidi w:val="0"/>
              <w:rPr>
                <w:rFonts w:hint="default"/>
                <w:color w:val="auto"/>
                <w:lang w:val="en-US" w:eastAsia="zh-CN"/>
              </w:rPr>
            </w:pPr>
          </w:p>
        </w:tc>
        <w:tc>
          <w:tcPr>
            <w:tcW w:w="769" w:type="pct"/>
            <w:vMerge w:val="continue"/>
            <w:tcBorders>
              <w:tl2br w:val="nil"/>
              <w:tr2bl w:val="nil"/>
            </w:tcBorders>
            <w:noWrap w:val="0"/>
            <w:vAlign w:val="center"/>
          </w:tcPr>
          <w:p w14:paraId="10F27D06">
            <w:pPr>
              <w:pStyle w:val="16"/>
              <w:bidi w:val="0"/>
              <w:rPr>
                <w:rFonts w:hint="default"/>
                <w:color w:val="auto"/>
                <w:lang w:val="en-US" w:eastAsia="zh-CN"/>
              </w:rPr>
            </w:pPr>
          </w:p>
        </w:tc>
        <w:tc>
          <w:tcPr>
            <w:tcW w:w="1181" w:type="pct"/>
            <w:vMerge w:val="continue"/>
            <w:tcBorders>
              <w:tl2br w:val="nil"/>
              <w:tr2bl w:val="nil"/>
            </w:tcBorders>
            <w:noWrap w:val="0"/>
            <w:vAlign w:val="center"/>
          </w:tcPr>
          <w:p w14:paraId="1FDB6809">
            <w:pPr>
              <w:pStyle w:val="16"/>
              <w:bidi w:val="0"/>
              <w:rPr>
                <w:rFonts w:hint="default"/>
                <w:color w:val="auto"/>
                <w:lang w:val="en-US" w:eastAsia="zh-CN"/>
              </w:rPr>
            </w:pPr>
          </w:p>
        </w:tc>
        <w:tc>
          <w:tcPr>
            <w:tcW w:w="667" w:type="pct"/>
            <w:tcBorders>
              <w:tl2br w:val="nil"/>
              <w:tr2bl w:val="nil"/>
            </w:tcBorders>
            <w:noWrap w:val="0"/>
            <w:vAlign w:val="center"/>
          </w:tcPr>
          <w:p w14:paraId="03F686B1">
            <w:pPr>
              <w:pStyle w:val="16"/>
              <w:bidi w:val="0"/>
              <w:rPr>
                <w:rFonts w:hint="default"/>
                <w:color w:val="auto"/>
                <w:lang w:val="en-US" w:eastAsia="zh-CN"/>
              </w:rPr>
            </w:pPr>
            <w:r>
              <w:rPr>
                <w:rFonts w:hint="eastAsia"/>
                <w:color w:val="auto"/>
                <w:lang w:val="en-US" w:eastAsia="zh-CN"/>
              </w:rPr>
              <w:t>0.05</w:t>
            </w:r>
            <w:r>
              <w:rPr>
                <w:rFonts w:hint="default"/>
                <w:color w:val="auto"/>
                <w:lang w:val="en-US" w:eastAsia="zh-CN"/>
              </w:rPr>
              <w:t>μg/L</w:t>
            </w:r>
          </w:p>
        </w:tc>
      </w:tr>
      <w:tr w14:paraId="6A49217C">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7FEF786E">
            <w:pPr>
              <w:pStyle w:val="16"/>
              <w:bidi w:val="0"/>
              <w:rPr>
                <w:rFonts w:hint="default"/>
                <w:color w:val="auto"/>
                <w:lang w:val="en-US" w:eastAsia="zh-CN"/>
              </w:rPr>
            </w:pPr>
            <w:r>
              <w:rPr>
                <w:rFonts w:hint="eastAsia"/>
                <w:color w:val="auto"/>
                <w:lang w:val="en-US" w:eastAsia="zh-CN"/>
              </w:rPr>
              <w:t>汞</w:t>
            </w:r>
          </w:p>
        </w:tc>
        <w:tc>
          <w:tcPr>
            <w:tcW w:w="1564" w:type="pct"/>
            <w:vMerge w:val="restart"/>
            <w:tcBorders>
              <w:tl2br w:val="nil"/>
              <w:tr2bl w:val="nil"/>
            </w:tcBorders>
            <w:noWrap w:val="0"/>
            <w:vAlign w:val="center"/>
          </w:tcPr>
          <w:p w14:paraId="59D3267E">
            <w:pPr>
              <w:pStyle w:val="16"/>
              <w:bidi w:val="0"/>
              <w:rPr>
                <w:rFonts w:hint="default"/>
                <w:color w:val="auto"/>
                <w:lang w:val="en-US" w:eastAsia="zh-CN"/>
              </w:rPr>
            </w:pPr>
            <w:r>
              <w:rPr>
                <w:rFonts w:hint="default"/>
                <w:color w:val="auto"/>
                <w:lang w:val="en-US" w:eastAsia="zh-CN"/>
              </w:rPr>
              <w:t>水质 汞、砷、硒、铋和锑的测定 原子荧光法</w:t>
            </w:r>
          </w:p>
        </w:tc>
        <w:tc>
          <w:tcPr>
            <w:tcW w:w="769" w:type="pct"/>
            <w:vMerge w:val="restart"/>
            <w:tcBorders>
              <w:tl2br w:val="nil"/>
              <w:tr2bl w:val="nil"/>
            </w:tcBorders>
            <w:noWrap w:val="0"/>
            <w:vAlign w:val="center"/>
          </w:tcPr>
          <w:p w14:paraId="5E71DC8A">
            <w:pPr>
              <w:pStyle w:val="16"/>
              <w:bidi w:val="0"/>
              <w:rPr>
                <w:rFonts w:hint="default"/>
                <w:color w:val="auto"/>
                <w:lang w:val="en-US" w:eastAsia="zh-CN"/>
              </w:rPr>
            </w:pPr>
            <w:r>
              <w:rPr>
                <w:rFonts w:hint="default"/>
                <w:color w:val="auto"/>
                <w:lang w:val="en-US" w:eastAsia="zh-CN"/>
              </w:rPr>
              <w:t>HJ 694-2014</w:t>
            </w:r>
          </w:p>
        </w:tc>
        <w:tc>
          <w:tcPr>
            <w:tcW w:w="1181" w:type="pct"/>
            <w:vMerge w:val="restart"/>
            <w:tcBorders>
              <w:tl2br w:val="nil"/>
              <w:tr2bl w:val="nil"/>
            </w:tcBorders>
            <w:noWrap w:val="0"/>
            <w:vAlign w:val="center"/>
          </w:tcPr>
          <w:p w14:paraId="04C571A6">
            <w:pPr>
              <w:pStyle w:val="16"/>
              <w:bidi w:val="0"/>
              <w:rPr>
                <w:rFonts w:hint="default"/>
                <w:color w:val="auto"/>
                <w:lang w:val="en-US" w:eastAsia="zh-CN"/>
              </w:rPr>
            </w:pPr>
            <w:r>
              <w:rPr>
                <w:rFonts w:hint="default"/>
                <w:color w:val="auto"/>
              </w:rPr>
              <w:t>AFS-8510原子荧光分光光度计</w:t>
            </w:r>
            <w:r>
              <w:rPr>
                <w:rFonts w:hint="default"/>
                <w:color w:val="auto"/>
                <w:lang w:val="en-US" w:eastAsia="zh-CN"/>
              </w:rPr>
              <w:t>（HDH/YQ-01-01）</w:t>
            </w:r>
          </w:p>
        </w:tc>
        <w:tc>
          <w:tcPr>
            <w:tcW w:w="667" w:type="pct"/>
            <w:tcBorders>
              <w:tl2br w:val="nil"/>
              <w:tr2bl w:val="nil"/>
            </w:tcBorders>
            <w:noWrap w:val="0"/>
            <w:vAlign w:val="center"/>
          </w:tcPr>
          <w:p w14:paraId="74151B01">
            <w:pPr>
              <w:pStyle w:val="16"/>
              <w:bidi w:val="0"/>
              <w:rPr>
                <w:rFonts w:hint="default"/>
                <w:color w:val="auto"/>
                <w:lang w:val="en-US" w:eastAsia="zh-CN"/>
              </w:rPr>
            </w:pPr>
            <w:r>
              <w:rPr>
                <w:rFonts w:hint="eastAsia"/>
                <w:color w:val="auto"/>
                <w:lang w:val="en-US" w:eastAsia="zh-CN"/>
              </w:rPr>
              <w:t>0.04</w:t>
            </w:r>
            <w:r>
              <w:rPr>
                <w:rFonts w:hint="default"/>
                <w:color w:val="auto"/>
                <w:lang w:val="en-US" w:eastAsia="zh-CN"/>
              </w:rPr>
              <w:t>μg/L</w:t>
            </w:r>
          </w:p>
        </w:tc>
      </w:tr>
      <w:tr w14:paraId="79ED7E31">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263E289F">
            <w:pPr>
              <w:pStyle w:val="16"/>
              <w:bidi w:val="0"/>
              <w:rPr>
                <w:rFonts w:hint="default"/>
                <w:color w:val="auto"/>
                <w:lang w:val="en-US" w:eastAsia="zh-CN"/>
              </w:rPr>
            </w:pPr>
            <w:r>
              <w:rPr>
                <w:rFonts w:hint="eastAsia"/>
                <w:color w:val="auto"/>
                <w:lang w:val="en-US" w:eastAsia="zh-CN"/>
              </w:rPr>
              <w:t>砷</w:t>
            </w:r>
          </w:p>
        </w:tc>
        <w:tc>
          <w:tcPr>
            <w:tcW w:w="1564" w:type="pct"/>
            <w:vMerge w:val="continue"/>
            <w:tcBorders>
              <w:tl2br w:val="nil"/>
              <w:tr2bl w:val="nil"/>
            </w:tcBorders>
            <w:noWrap w:val="0"/>
            <w:vAlign w:val="center"/>
          </w:tcPr>
          <w:p w14:paraId="554B57EB">
            <w:pPr>
              <w:pStyle w:val="16"/>
              <w:bidi w:val="0"/>
              <w:rPr>
                <w:rFonts w:hint="default"/>
                <w:color w:val="auto"/>
                <w:lang w:val="en-US" w:eastAsia="zh-CN"/>
              </w:rPr>
            </w:pPr>
          </w:p>
        </w:tc>
        <w:tc>
          <w:tcPr>
            <w:tcW w:w="769" w:type="pct"/>
            <w:vMerge w:val="continue"/>
            <w:tcBorders>
              <w:tl2br w:val="nil"/>
              <w:tr2bl w:val="nil"/>
            </w:tcBorders>
            <w:noWrap w:val="0"/>
            <w:vAlign w:val="center"/>
          </w:tcPr>
          <w:p w14:paraId="64CC408A">
            <w:pPr>
              <w:pStyle w:val="16"/>
              <w:bidi w:val="0"/>
              <w:rPr>
                <w:rFonts w:hint="default"/>
                <w:color w:val="auto"/>
                <w:lang w:val="en-US" w:eastAsia="zh-CN"/>
              </w:rPr>
            </w:pPr>
          </w:p>
        </w:tc>
        <w:tc>
          <w:tcPr>
            <w:tcW w:w="1181" w:type="pct"/>
            <w:vMerge w:val="continue"/>
            <w:tcBorders>
              <w:tl2br w:val="nil"/>
              <w:tr2bl w:val="nil"/>
            </w:tcBorders>
            <w:noWrap w:val="0"/>
            <w:vAlign w:val="center"/>
          </w:tcPr>
          <w:p w14:paraId="2D93F4CC">
            <w:pPr>
              <w:pStyle w:val="16"/>
              <w:bidi w:val="0"/>
              <w:rPr>
                <w:rFonts w:hint="default"/>
                <w:color w:val="auto"/>
                <w:lang w:val="en-US" w:eastAsia="zh-CN"/>
              </w:rPr>
            </w:pPr>
          </w:p>
        </w:tc>
        <w:tc>
          <w:tcPr>
            <w:tcW w:w="667" w:type="pct"/>
            <w:tcBorders>
              <w:tl2br w:val="nil"/>
              <w:tr2bl w:val="nil"/>
            </w:tcBorders>
            <w:noWrap w:val="0"/>
            <w:vAlign w:val="center"/>
          </w:tcPr>
          <w:p w14:paraId="6BD65BA3">
            <w:pPr>
              <w:pStyle w:val="16"/>
              <w:bidi w:val="0"/>
              <w:rPr>
                <w:rFonts w:hint="default"/>
                <w:color w:val="auto"/>
                <w:lang w:val="en-US" w:eastAsia="zh-CN"/>
              </w:rPr>
            </w:pPr>
            <w:r>
              <w:rPr>
                <w:rFonts w:hint="default"/>
                <w:color w:val="auto"/>
                <w:lang w:val="en-US" w:eastAsia="zh-CN"/>
              </w:rPr>
              <w:t>0.3μg/L</w:t>
            </w:r>
          </w:p>
        </w:tc>
      </w:tr>
      <w:tr w14:paraId="7F4929A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0788A1C1">
            <w:pPr>
              <w:pStyle w:val="16"/>
              <w:bidi w:val="0"/>
              <w:rPr>
                <w:rFonts w:hint="default"/>
                <w:color w:val="auto"/>
                <w:lang w:val="en-US" w:eastAsia="zh-CN"/>
              </w:rPr>
            </w:pPr>
            <w:r>
              <w:rPr>
                <w:rFonts w:hint="default"/>
                <w:color w:val="auto"/>
                <w:lang w:val="en-US" w:eastAsia="zh-CN"/>
              </w:rPr>
              <w:t>六价铬</w:t>
            </w:r>
          </w:p>
        </w:tc>
        <w:tc>
          <w:tcPr>
            <w:tcW w:w="1564" w:type="pct"/>
            <w:tcBorders>
              <w:tl2br w:val="nil"/>
              <w:tr2bl w:val="nil"/>
            </w:tcBorders>
            <w:noWrap w:val="0"/>
            <w:vAlign w:val="center"/>
          </w:tcPr>
          <w:p w14:paraId="71D5C8AF">
            <w:pPr>
              <w:pStyle w:val="16"/>
              <w:bidi w:val="0"/>
              <w:rPr>
                <w:rFonts w:hint="default"/>
                <w:color w:val="auto"/>
                <w:lang w:val="en-US" w:eastAsia="zh-CN"/>
              </w:rPr>
            </w:pPr>
            <w:r>
              <w:rPr>
                <w:rFonts w:hint="eastAsia"/>
                <w:color w:val="auto"/>
                <w:lang w:val="en-US" w:eastAsia="zh-CN"/>
              </w:rPr>
              <w:t>生活饮用水标准检验方法 第6部分：金属和类金属指标 13.1二苯碳酰二肼分光光度法</w:t>
            </w:r>
          </w:p>
        </w:tc>
        <w:tc>
          <w:tcPr>
            <w:tcW w:w="769" w:type="pct"/>
            <w:tcBorders>
              <w:tl2br w:val="nil"/>
              <w:tr2bl w:val="nil"/>
            </w:tcBorders>
            <w:noWrap w:val="0"/>
            <w:vAlign w:val="center"/>
          </w:tcPr>
          <w:p w14:paraId="2A6E2C8B">
            <w:pPr>
              <w:pStyle w:val="16"/>
              <w:bidi w:val="0"/>
              <w:rPr>
                <w:rFonts w:hint="default"/>
                <w:color w:val="auto"/>
                <w:lang w:val="en-US" w:eastAsia="zh-CN"/>
              </w:rPr>
            </w:pPr>
            <w:r>
              <w:rPr>
                <w:rFonts w:hint="eastAsia"/>
                <w:color w:val="auto"/>
                <w:lang w:val="en-US" w:eastAsia="zh-CN"/>
              </w:rPr>
              <w:t>GB/T 5750.6-2023</w:t>
            </w:r>
          </w:p>
        </w:tc>
        <w:tc>
          <w:tcPr>
            <w:tcW w:w="1181" w:type="pct"/>
            <w:tcBorders>
              <w:tl2br w:val="nil"/>
              <w:tr2bl w:val="nil"/>
            </w:tcBorders>
            <w:noWrap w:val="0"/>
            <w:vAlign w:val="center"/>
          </w:tcPr>
          <w:p w14:paraId="31189119">
            <w:pPr>
              <w:pStyle w:val="16"/>
              <w:bidi w:val="0"/>
              <w:rPr>
                <w:rFonts w:hint="default"/>
                <w:color w:val="auto"/>
                <w:lang w:val="en-US" w:eastAsia="zh-CN"/>
              </w:rPr>
            </w:pPr>
            <w:r>
              <w:rPr>
                <w:rFonts w:hint="default"/>
                <w:color w:val="auto"/>
                <w:lang w:val="en-US" w:eastAsia="zh-CN"/>
              </w:rPr>
              <w:t>722可见分光光度计（HDH/YQ-41-01）</w:t>
            </w:r>
          </w:p>
        </w:tc>
        <w:tc>
          <w:tcPr>
            <w:tcW w:w="667" w:type="pct"/>
            <w:tcBorders>
              <w:tl2br w:val="nil"/>
              <w:tr2bl w:val="nil"/>
            </w:tcBorders>
            <w:noWrap w:val="0"/>
            <w:vAlign w:val="center"/>
          </w:tcPr>
          <w:p w14:paraId="27A546D1">
            <w:pPr>
              <w:pStyle w:val="16"/>
              <w:bidi w:val="0"/>
              <w:rPr>
                <w:rFonts w:hint="default"/>
                <w:color w:val="auto"/>
                <w:lang w:val="en-US" w:eastAsia="zh-CN"/>
              </w:rPr>
            </w:pPr>
            <w:r>
              <w:rPr>
                <w:rFonts w:hint="default"/>
                <w:color w:val="auto"/>
                <w:lang w:val="en-US" w:eastAsia="zh-CN"/>
              </w:rPr>
              <w:t>0.004mg/L</w:t>
            </w:r>
          </w:p>
        </w:tc>
      </w:tr>
      <w:tr w14:paraId="27099CA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70D71793">
            <w:pPr>
              <w:pStyle w:val="16"/>
              <w:bidi w:val="0"/>
              <w:rPr>
                <w:rFonts w:hint="default"/>
                <w:color w:val="auto"/>
                <w:lang w:val="en-US" w:eastAsia="zh-CN"/>
              </w:rPr>
            </w:pPr>
            <w:r>
              <w:rPr>
                <w:rFonts w:hint="eastAsia"/>
                <w:color w:val="auto"/>
                <w:lang w:val="en-US" w:eastAsia="zh-CN"/>
              </w:rPr>
              <w:t>阴离子表面活性剂</w:t>
            </w:r>
          </w:p>
        </w:tc>
        <w:tc>
          <w:tcPr>
            <w:tcW w:w="1564" w:type="pct"/>
            <w:tcBorders>
              <w:tl2br w:val="nil"/>
              <w:tr2bl w:val="nil"/>
            </w:tcBorders>
            <w:noWrap w:val="0"/>
            <w:vAlign w:val="center"/>
          </w:tcPr>
          <w:p w14:paraId="58EF0062">
            <w:pPr>
              <w:pStyle w:val="16"/>
              <w:bidi w:val="0"/>
              <w:rPr>
                <w:rFonts w:hint="default"/>
                <w:color w:val="auto"/>
                <w:lang w:val="en-US" w:eastAsia="zh-CN"/>
              </w:rPr>
            </w:pPr>
            <w:r>
              <w:rPr>
                <w:rFonts w:hint="eastAsia"/>
                <w:color w:val="auto"/>
                <w:lang w:val="en-US" w:eastAsia="zh-CN"/>
              </w:rPr>
              <w:t>水质 阴离子表面活性剂的测定 亚甲蓝分光光度法</w:t>
            </w:r>
          </w:p>
        </w:tc>
        <w:tc>
          <w:tcPr>
            <w:tcW w:w="769" w:type="pct"/>
            <w:tcBorders>
              <w:tl2br w:val="nil"/>
              <w:tr2bl w:val="nil"/>
            </w:tcBorders>
            <w:noWrap w:val="0"/>
            <w:vAlign w:val="center"/>
          </w:tcPr>
          <w:p w14:paraId="3DA6A0F3">
            <w:pPr>
              <w:pStyle w:val="16"/>
              <w:bidi w:val="0"/>
              <w:rPr>
                <w:rFonts w:hint="default"/>
                <w:color w:val="auto"/>
                <w:lang w:val="en-US" w:eastAsia="zh-CN"/>
              </w:rPr>
            </w:pPr>
            <w:r>
              <w:rPr>
                <w:rFonts w:hint="eastAsia"/>
                <w:color w:val="auto"/>
                <w:lang w:val="en-US" w:eastAsia="zh-CN"/>
              </w:rPr>
              <w:t>GB 7494-1987</w:t>
            </w:r>
          </w:p>
        </w:tc>
        <w:tc>
          <w:tcPr>
            <w:tcW w:w="1181" w:type="pct"/>
            <w:tcBorders>
              <w:tl2br w:val="nil"/>
              <w:tr2bl w:val="nil"/>
            </w:tcBorders>
            <w:noWrap w:val="0"/>
            <w:vAlign w:val="center"/>
          </w:tcPr>
          <w:p w14:paraId="791E62D8">
            <w:pPr>
              <w:pStyle w:val="16"/>
              <w:bidi w:val="0"/>
              <w:rPr>
                <w:rFonts w:hint="default"/>
                <w:color w:val="auto"/>
                <w:lang w:val="en-US" w:eastAsia="zh-CN"/>
              </w:rPr>
            </w:pPr>
            <w:r>
              <w:rPr>
                <w:rFonts w:hint="default"/>
                <w:color w:val="auto"/>
                <w:lang w:val="en-US" w:eastAsia="zh-CN"/>
              </w:rPr>
              <w:t>722可见分光光度计（HDH/YQ-41-01）</w:t>
            </w:r>
          </w:p>
        </w:tc>
        <w:tc>
          <w:tcPr>
            <w:tcW w:w="667" w:type="pct"/>
            <w:tcBorders>
              <w:tl2br w:val="nil"/>
              <w:tr2bl w:val="nil"/>
            </w:tcBorders>
            <w:noWrap w:val="0"/>
            <w:vAlign w:val="center"/>
          </w:tcPr>
          <w:p w14:paraId="5FDE1FC7">
            <w:pPr>
              <w:pStyle w:val="16"/>
              <w:bidi w:val="0"/>
              <w:rPr>
                <w:rFonts w:hint="default"/>
                <w:color w:val="auto"/>
                <w:lang w:val="en-US" w:eastAsia="zh-CN"/>
              </w:rPr>
            </w:pPr>
            <w:r>
              <w:rPr>
                <w:rFonts w:hint="default"/>
                <w:color w:val="auto"/>
                <w:lang w:val="en-US" w:eastAsia="zh-CN"/>
              </w:rPr>
              <w:t>0.</w:t>
            </w:r>
            <w:r>
              <w:rPr>
                <w:rFonts w:hint="eastAsia"/>
                <w:color w:val="auto"/>
                <w:lang w:val="en-US" w:eastAsia="zh-CN"/>
              </w:rPr>
              <w:t>05</w:t>
            </w:r>
            <w:r>
              <w:rPr>
                <w:rFonts w:hint="default"/>
                <w:color w:val="auto"/>
                <w:lang w:val="en-US" w:eastAsia="zh-CN"/>
              </w:rPr>
              <w:t>mg/L</w:t>
            </w:r>
          </w:p>
        </w:tc>
      </w:tr>
      <w:tr w14:paraId="0BE1A87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77230170">
            <w:pPr>
              <w:pStyle w:val="16"/>
              <w:bidi w:val="0"/>
              <w:rPr>
                <w:rFonts w:hint="default"/>
                <w:color w:val="auto"/>
                <w:lang w:val="en-US" w:eastAsia="zh-CN"/>
              </w:rPr>
            </w:pPr>
            <w:r>
              <w:rPr>
                <w:rFonts w:hint="eastAsia"/>
                <w:color w:val="auto"/>
                <w:lang w:val="en-US" w:eastAsia="zh-CN"/>
              </w:rPr>
              <w:t>粪大肠菌群</w:t>
            </w:r>
          </w:p>
        </w:tc>
        <w:tc>
          <w:tcPr>
            <w:tcW w:w="1564" w:type="pct"/>
            <w:tcBorders>
              <w:tl2br w:val="nil"/>
              <w:tr2bl w:val="nil"/>
            </w:tcBorders>
            <w:noWrap w:val="0"/>
            <w:vAlign w:val="center"/>
          </w:tcPr>
          <w:p w14:paraId="7EB53CD3">
            <w:pPr>
              <w:pStyle w:val="16"/>
              <w:bidi w:val="0"/>
              <w:rPr>
                <w:rFonts w:hint="default"/>
                <w:color w:val="auto"/>
                <w:lang w:val="en-US" w:eastAsia="zh-CN"/>
              </w:rPr>
            </w:pPr>
            <w:r>
              <w:rPr>
                <w:rFonts w:hint="default"/>
                <w:color w:val="auto"/>
                <w:lang w:val="en-US" w:eastAsia="zh-CN"/>
              </w:rPr>
              <w:t>水质 粪大肠菌群的测定 多管发酵法（试行）</w:t>
            </w:r>
          </w:p>
        </w:tc>
        <w:tc>
          <w:tcPr>
            <w:tcW w:w="769" w:type="pct"/>
            <w:tcBorders>
              <w:tl2br w:val="nil"/>
              <w:tr2bl w:val="nil"/>
            </w:tcBorders>
            <w:noWrap w:val="0"/>
            <w:vAlign w:val="center"/>
          </w:tcPr>
          <w:p w14:paraId="4FC7D9F0">
            <w:pPr>
              <w:pStyle w:val="16"/>
              <w:bidi w:val="0"/>
              <w:rPr>
                <w:rFonts w:hint="default"/>
                <w:color w:val="auto"/>
                <w:lang w:val="en-US" w:eastAsia="zh-CN"/>
              </w:rPr>
            </w:pPr>
            <w:r>
              <w:rPr>
                <w:rFonts w:hint="default"/>
                <w:color w:val="auto"/>
                <w:lang w:val="en-US" w:eastAsia="zh-CN"/>
              </w:rPr>
              <w:t>HJ 347.2-2018</w:t>
            </w:r>
          </w:p>
        </w:tc>
        <w:tc>
          <w:tcPr>
            <w:tcW w:w="1181" w:type="pct"/>
            <w:tcBorders>
              <w:tl2br w:val="nil"/>
              <w:tr2bl w:val="nil"/>
            </w:tcBorders>
            <w:noWrap w:val="0"/>
            <w:vAlign w:val="center"/>
          </w:tcPr>
          <w:p w14:paraId="6FE74C34">
            <w:pPr>
              <w:pStyle w:val="16"/>
              <w:bidi w:val="0"/>
              <w:rPr>
                <w:rFonts w:hint="default"/>
                <w:color w:val="auto"/>
                <w:lang w:val="en-US" w:eastAsia="zh-CN"/>
              </w:rPr>
            </w:pPr>
            <w:r>
              <w:rPr>
                <w:rFonts w:hint="default"/>
                <w:color w:val="auto"/>
              </w:rPr>
              <w:t>SHP-80生化培养箱</w:t>
            </w:r>
            <w:r>
              <w:rPr>
                <w:rFonts w:hint="default"/>
                <w:color w:val="auto"/>
                <w:lang w:eastAsia="zh-CN"/>
              </w:rPr>
              <w:t>（</w:t>
            </w:r>
            <w:r>
              <w:rPr>
                <w:rFonts w:hint="default"/>
                <w:color w:val="auto"/>
                <w:lang w:val="en-US" w:eastAsia="zh-CN"/>
              </w:rPr>
              <w:t>HDH/YQ-33-02</w:t>
            </w:r>
            <w:r>
              <w:rPr>
                <w:rFonts w:hint="default"/>
                <w:color w:val="auto"/>
                <w:lang w:eastAsia="zh-CN"/>
              </w:rPr>
              <w:t>）</w:t>
            </w:r>
            <w:r>
              <w:rPr>
                <w:rFonts w:hint="default"/>
                <w:color w:val="auto"/>
                <w:lang w:val="en-US" w:eastAsia="zh-CN"/>
              </w:rPr>
              <w:t>SPX-250生化培养箱</w:t>
            </w:r>
            <w:r>
              <w:rPr>
                <w:rFonts w:hint="eastAsia"/>
                <w:color w:val="auto"/>
                <w:lang w:val="en-US" w:eastAsia="zh-CN"/>
              </w:rPr>
              <w:t>（HDH/YQ-33-06）</w:t>
            </w:r>
          </w:p>
        </w:tc>
        <w:tc>
          <w:tcPr>
            <w:tcW w:w="667" w:type="pct"/>
            <w:tcBorders>
              <w:tl2br w:val="nil"/>
              <w:tr2bl w:val="nil"/>
            </w:tcBorders>
            <w:noWrap w:val="0"/>
            <w:vAlign w:val="center"/>
          </w:tcPr>
          <w:p w14:paraId="481AC10C">
            <w:pPr>
              <w:pStyle w:val="16"/>
              <w:bidi w:val="0"/>
              <w:rPr>
                <w:rFonts w:hint="default"/>
                <w:color w:val="auto"/>
                <w:lang w:val="en-US" w:eastAsia="zh-CN"/>
              </w:rPr>
            </w:pPr>
            <w:r>
              <w:rPr>
                <w:rFonts w:hint="eastAsia"/>
                <w:color w:val="auto"/>
                <w:lang w:val="en-US" w:eastAsia="zh-CN"/>
              </w:rPr>
              <w:t>20</w:t>
            </w:r>
            <w:r>
              <w:rPr>
                <w:rFonts w:hint="default"/>
                <w:color w:val="auto"/>
                <w:lang w:val="en-US" w:eastAsia="zh-CN"/>
              </w:rPr>
              <w:t>MPN/L</w:t>
            </w:r>
          </w:p>
        </w:tc>
      </w:tr>
      <w:tr w14:paraId="46A81874">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16" w:type="pct"/>
            <w:tcBorders>
              <w:tl2br w:val="nil"/>
              <w:tr2bl w:val="nil"/>
            </w:tcBorders>
            <w:noWrap w:val="0"/>
            <w:vAlign w:val="center"/>
          </w:tcPr>
          <w:p w14:paraId="7A46C89F">
            <w:pPr>
              <w:pStyle w:val="16"/>
              <w:bidi w:val="0"/>
              <w:rPr>
                <w:rFonts w:hint="eastAsia"/>
                <w:color w:val="auto"/>
                <w:lang w:val="en-US" w:eastAsia="zh-CN"/>
              </w:rPr>
            </w:pPr>
            <w:r>
              <w:rPr>
                <w:rFonts w:hint="eastAsia"/>
                <w:color w:val="auto"/>
                <w:lang w:val="en-US" w:eastAsia="zh-CN"/>
              </w:rPr>
              <w:t>甲醛</w:t>
            </w:r>
          </w:p>
        </w:tc>
        <w:tc>
          <w:tcPr>
            <w:tcW w:w="1564" w:type="pct"/>
            <w:tcBorders>
              <w:tl2br w:val="nil"/>
              <w:tr2bl w:val="nil"/>
            </w:tcBorders>
            <w:noWrap w:val="0"/>
            <w:vAlign w:val="center"/>
          </w:tcPr>
          <w:p w14:paraId="4D803DD9">
            <w:pPr>
              <w:pStyle w:val="16"/>
              <w:bidi w:val="0"/>
              <w:rPr>
                <w:rFonts w:hint="default"/>
                <w:color w:val="auto"/>
                <w:lang w:val="en-US" w:eastAsia="zh-CN"/>
              </w:rPr>
            </w:pPr>
            <w:r>
              <w:rPr>
                <w:rFonts w:hint="eastAsia"/>
                <w:color w:val="auto"/>
                <w:lang w:val="en-US" w:eastAsia="zh-CN"/>
              </w:rPr>
              <w:t>水质</w:t>
            </w:r>
            <w:r>
              <w:rPr>
                <w:rFonts w:hint="default"/>
                <w:color w:val="auto"/>
                <w:lang w:val="en-US" w:eastAsia="zh-CN"/>
              </w:rPr>
              <w:t xml:space="preserve"> </w:t>
            </w:r>
            <w:r>
              <w:rPr>
                <w:rFonts w:hint="eastAsia"/>
                <w:color w:val="auto"/>
                <w:lang w:val="en-US" w:eastAsia="zh-CN"/>
              </w:rPr>
              <w:t>甲醛的测定</w:t>
            </w:r>
            <w:r>
              <w:rPr>
                <w:rFonts w:hint="default"/>
                <w:color w:val="auto"/>
                <w:lang w:val="en-US" w:eastAsia="zh-CN"/>
              </w:rPr>
              <w:t xml:space="preserve"> </w:t>
            </w:r>
            <w:r>
              <w:rPr>
                <w:rFonts w:hint="eastAsia"/>
                <w:color w:val="auto"/>
                <w:lang w:val="en-US" w:eastAsia="zh-CN"/>
              </w:rPr>
              <w:t>乙酰丙酮分光光度法</w:t>
            </w:r>
          </w:p>
        </w:tc>
        <w:tc>
          <w:tcPr>
            <w:tcW w:w="769" w:type="pct"/>
            <w:tcBorders>
              <w:tl2br w:val="nil"/>
              <w:tr2bl w:val="nil"/>
            </w:tcBorders>
            <w:noWrap w:val="0"/>
            <w:vAlign w:val="center"/>
          </w:tcPr>
          <w:p w14:paraId="22392A34">
            <w:pPr>
              <w:pStyle w:val="16"/>
              <w:bidi w:val="0"/>
              <w:rPr>
                <w:rFonts w:hint="default"/>
                <w:color w:val="auto"/>
                <w:lang w:val="en-US" w:eastAsia="zh-CN"/>
              </w:rPr>
            </w:pPr>
            <w:r>
              <w:rPr>
                <w:rFonts w:hint="default"/>
                <w:color w:val="auto"/>
                <w:lang w:val="en-US" w:eastAsia="zh-CN"/>
              </w:rPr>
              <w:t>HJ 601-2011</w:t>
            </w:r>
          </w:p>
        </w:tc>
        <w:tc>
          <w:tcPr>
            <w:tcW w:w="1181" w:type="pct"/>
            <w:tcBorders>
              <w:tl2br w:val="nil"/>
              <w:tr2bl w:val="nil"/>
            </w:tcBorders>
            <w:noWrap w:val="0"/>
            <w:vAlign w:val="center"/>
          </w:tcPr>
          <w:p w14:paraId="528AF410">
            <w:pPr>
              <w:pStyle w:val="16"/>
              <w:bidi w:val="0"/>
              <w:rPr>
                <w:rFonts w:hint="default"/>
                <w:color w:val="auto"/>
                <w:lang w:val="en-US" w:eastAsia="zh-CN"/>
              </w:rPr>
            </w:pPr>
            <w:r>
              <w:rPr>
                <w:rFonts w:hint="default"/>
                <w:color w:val="auto"/>
                <w:lang w:val="en-US" w:eastAsia="zh-CN"/>
              </w:rPr>
              <w:t>722可见分光光度计（HDH/YQ-41-01）</w:t>
            </w:r>
          </w:p>
        </w:tc>
        <w:tc>
          <w:tcPr>
            <w:tcW w:w="667" w:type="pct"/>
            <w:tcBorders>
              <w:tl2br w:val="nil"/>
              <w:tr2bl w:val="nil"/>
            </w:tcBorders>
            <w:noWrap w:val="0"/>
            <w:vAlign w:val="center"/>
          </w:tcPr>
          <w:p w14:paraId="322892A5">
            <w:pPr>
              <w:pStyle w:val="16"/>
              <w:bidi w:val="0"/>
              <w:rPr>
                <w:rFonts w:hint="eastAsia"/>
                <w:color w:val="auto"/>
                <w:lang w:val="en-US" w:eastAsia="zh-CN"/>
              </w:rPr>
            </w:pPr>
            <w:r>
              <w:rPr>
                <w:rFonts w:hint="default"/>
                <w:color w:val="auto"/>
                <w:lang w:val="en-US" w:eastAsia="zh-CN"/>
              </w:rPr>
              <w:t>0.</w:t>
            </w:r>
            <w:r>
              <w:rPr>
                <w:rFonts w:hint="eastAsia"/>
                <w:color w:val="auto"/>
                <w:lang w:val="en-US" w:eastAsia="zh-CN"/>
              </w:rPr>
              <w:t>05</w:t>
            </w:r>
            <w:r>
              <w:rPr>
                <w:rFonts w:hint="default"/>
                <w:color w:val="auto"/>
                <w:lang w:val="en-US" w:eastAsia="zh-CN"/>
              </w:rPr>
              <w:t>mg/L</w:t>
            </w:r>
          </w:p>
        </w:tc>
      </w:tr>
    </w:tbl>
    <w:p w14:paraId="7E24E261">
      <w:pPr>
        <w:keepNext w:val="0"/>
        <w:keepLines w:val="0"/>
        <w:pageBreakBefore w:val="0"/>
        <w:widowControl w:val="0"/>
        <w:kinsoku/>
        <w:wordWrap/>
        <w:overflowPunct/>
        <w:topLinePunct w:val="0"/>
        <w:autoSpaceDE/>
        <w:autoSpaceDN/>
        <w:bidi w:val="0"/>
        <w:adjustRightInd/>
        <w:snapToGrid/>
        <w:spacing w:before="0" w:beforeLines="50"/>
        <w:ind w:firstLine="480"/>
        <w:textAlignment w:val="auto"/>
        <w:rPr>
          <w:b/>
          <w:bCs/>
          <w:color w:val="auto"/>
        </w:rPr>
      </w:pPr>
      <w:r>
        <w:rPr>
          <w:b/>
          <w:bCs/>
          <w:color w:val="auto"/>
        </w:rPr>
        <w:t>3、监测频次</w:t>
      </w:r>
    </w:p>
    <w:p w14:paraId="53F32DB5">
      <w:pPr>
        <w:pageBreakBefore w:val="0"/>
        <w:wordWrap/>
        <w:bidi w:val="0"/>
        <w:adjustRightInd/>
        <w:snapToGrid/>
        <w:ind w:firstLine="480"/>
        <w:textAlignment w:val="baseline"/>
        <w:rPr>
          <w:color w:val="auto"/>
        </w:rPr>
      </w:pPr>
      <w:r>
        <w:rPr>
          <w:color w:val="auto"/>
        </w:rPr>
        <w:t>202</w:t>
      </w:r>
      <w:r>
        <w:rPr>
          <w:rFonts w:hint="eastAsia"/>
          <w:color w:val="auto"/>
          <w:lang w:val="en-US" w:eastAsia="zh-CN"/>
        </w:rPr>
        <w:t>2</w:t>
      </w:r>
      <w:r>
        <w:rPr>
          <w:color w:val="auto"/>
        </w:rPr>
        <w:t>年</w:t>
      </w:r>
      <w:r>
        <w:rPr>
          <w:rFonts w:hint="eastAsia"/>
          <w:color w:val="auto"/>
          <w:lang w:val="en-US" w:eastAsia="zh-CN"/>
        </w:rPr>
        <w:t>12</w:t>
      </w:r>
      <w:r>
        <w:rPr>
          <w:color w:val="auto"/>
        </w:rPr>
        <w:t>月</w:t>
      </w:r>
      <w:r>
        <w:rPr>
          <w:rFonts w:hint="eastAsia"/>
          <w:color w:val="auto"/>
          <w:lang w:val="en-US" w:eastAsia="zh-CN"/>
        </w:rPr>
        <w:t>7</w:t>
      </w:r>
      <w:r>
        <w:rPr>
          <w:color w:val="auto"/>
        </w:rPr>
        <w:t>日</w:t>
      </w:r>
      <w:r>
        <w:rPr>
          <w:rFonts w:hint="eastAsia"/>
          <w:color w:val="auto"/>
          <w:lang w:eastAsia="zh-CN"/>
        </w:rPr>
        <w:t>～</w:t>
      </w:r>
      <w:r>
        <w:rPr>
          <w:rFonts w:hint="eastAsia"/>
          <w:color w:val="auto"/>
          <w:lang w:val="en-US" w:eastAsia="zh-CN"/>
        </w:rPr>
        <w:t>12</w:t>
      </w:r>
      <w:r>
        <w:rPr>
          <w:color w:val="auto"/>
        </w:rPr>
        <w:t>月</w:t>
      </w:r>
      <w:r>
        <w:rPr>
          <w:rFonts w:hint="eastAsia"/>
          <w:color w:val="auto"/>
          <w:lang w:val="en-US" w:eastAsia="zh-CN"/>
        </w:rPr>
        <w:t>9</w:t>
      </w:r>
      <w:r>
        <w:rPr>
          <w:color w:val="auto"/>
        </w:rPr>
        <w:t>日连续监测3天，每天采样一次，监测点位1#~</w:t>
      </w:r>
      <w:r>
        <w:rPr>
          <w:rFonts w:hint="eastAsia"/>
          <w:color w:val="auto"/>
          <w:lang w:val="en-US" w:eastAsia="zh-CN"/>
        </w:rPr>
        <w:t>2</w:t>
      </w:r>
      <w:r>
        <w:rPr>
          <w:color w:val="auto"/>
        </w:rPr>
        <w:t>#。</w:t>
      </w:r>
    </w:p>
    <w:p w14:paraId="2068BB2C">
      <w:pPr>
        <w:pageBreakBefore w:val="0"/>
        <w:wordWrap/>
        <w:bidi w:val="0"/>
        <w:adjustRightInd/>
        <w:snapToGrid/>
        <w:ind w:firstLine="480"/>
        <w:rPr>
          <w:b/>
          <w:bCs/>
          <w:color w:val="auto"/>
          <w:szCs w:val="20"/>
        </w:rPr>
      </w:pPr>
      <w:r>
        <w:rPr>
          <w:b/>
          <w:bCs/>
          <w:color w:val="auto"/>
          <w:szCs w:val="20"/>
        </w:rPr>
        <w:t>4、评价方法</w:t>
      </w:r>
    </w:p>
    <w:p w14:paraId="6DBFB9BD">
      <w:pPr>
        <w:pageBreakBefore w:val="0"/>
        <w:wordWrap/>
        <w:bidi w:val="0"/>
        <w:adjustRightInd/>
        <w:snapToGrid/>
        <w:ind w:firstLine="480"/>
        <w:rPr>
          <w:color w:val="auto"/>
        </w:rPr>
      </w:pPr>
      <w:r>
        <w:rPr>
          <w:color w:val="auto"/>
        </w:rPr>
        <w:t>采用单项标准指数法评价，其数学模式如下：</w:t>
      </w:r>
    </w:p>
    <w:p w14:paraId="21EE5837">
      <w:pPr>
        <w:pageBreakBefore w:val="0"/>
        <w:wordWrap/>
        <w:bidi w:val="0"/>
        <w:adjustRightInd/>
        <w:snapToGrid/>
        <w:ind w:firstLine="480"/>
        <w:rPr>
          <w:color w:val="auto"/>
        </w:rPr>
      </w:pPr>
      <w:r>
        <w:rPr>
          <w:color w:val="auto"/>
        </w:rPr>
        <w:t>①pH：</w:t>
      </w:r>
    </w:p>
    <w:p w14:paraId="72555EB1">
      <w:pPr>
        <w:pageBreakBefore w:val="0"/>
        <w:wordWrap/>
        <w:bidi w:val="0"/>
        <w:adjustRightInd/>
        <w:snapToGrid/>
        <w:ind w:firstLine="960" w:firstLineChars="400"/>
        <w:textAlignment w:val="baseline"/>
        <w:rPr>
          <w:color w:val="auto"/>
        </w:rPr>
      </w:pPr>
      <w:r>
        <w:rPr>
          <w:color w:val="auto"/>
          <w:position w:val="-30"/>
        </w:rPr>
        <w:drawing>
          <wp:inline distT="0" distB="0" distL="114300" distR="114300">
            <wp:extent cx="1981200" cy="457200"/>
            <wp:effectExtent l="0" t="0" r="0" b="0"/>
            <wp:docPr id="51"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62"/>
                    <pic:cNvPicPr>
                      <a:picLocks noChangeAspect="1"/>
                    </pic:cNvPicPr>
                  </pic:nvPicPr>
                  <pic:blipFill>
                    <a:blip r:embed="rId75"/>
                    <a:stretch>
                      <a:fillRect/>
                    </a:stretch>
                  </pic:blipFill>
                  <pic:spPr>
                    <a:xfrm>
                      <a:off x="0" y="0"/>
                      <a:ext cx="1981200" cy="457200"/>
                    </a:xfrm>
                    <a:prstGeom prst="rect">
                      <a:avLst/>
                    </a:prstGeom>
                    <a:noFill/>
                    <a:ln>
                      <a:noFill/>
                    </a:ln>
                  </pic:spPr>
                </pic:pic>
              </a:graphicData>
            </a:graphic>
          </wp:inline>
        </w:drawing>
      </w:r>
      <w:r>
        <w:rPr>
          <w:color w:val="auto"/>
        </w:rPr>
        <w:t>或</w:t>
      </w:r>
      <w:r>
        <w:rPr>
          <w:color w:val="auto"/>
          <w:position w:val="-30"/>
        </w:rPr>
        <w:drawing>
          <wp:inline distT="0" distB="0" distL="114300" distR="114300">
            <wp:extent cx="1981200" cy="457200"/>
            <wp:effectExtent l="0" t="0" r="0" b="0"/>
            <wp:docPr id="56"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63"/>
                    <pic:cNvPicPr>
                      <a:picLocks noChangeAspect="1"/>
                    </pic:cNvPicPr>
                  </pic:nvPicPr>
                  <pic:blipFill>
                    <a:blip r:embed="rId76"/>
                    <a:stretch>
                      <a:fillRect/>
                    </a:stretch>
                  </pic:blipFill>
                  <pic:spPr>
                    <a:xfrm>
                      <a:off x="0" y="0"/>
                      <a:ext cx="1981200" cy="457200"/>
                    </a:xfrm>
                    <a:prstGeom prst="rect">
                      <a:avLst/>
                    </a:prstGeom>
                    <a:noFill/>
                    <a:ln>
                      <a:noFill/>
                    </a:ln>
                  </pic:spPr>
                </pic:pic>
              </a:graphicData>
            </a:graphic>
          </wp:inline>
        </w:drawing>
      </w:r>
    </w:p>
    <w:p w14:paraId="4DB6B2A6">
      <w:pPr>
        <w:pageBreakBefore w:val="0"/>
        <w:wordWrap/>
        <w:bidi w:val="0"/>
        <w:adjustRightInd/>
        <w:snapToGrid/>
        <w:ind w:firstLine="480"/>
        <w:textAlignment w:val="baseline"/>
        <w:rPr>
          <w:color w:val="auto"/>
        </w:rPr>
      </w:pPr>
      <w:r>
        <w:rPr>
          <w:color w:val="auto"/>
        </w:rPr>
        <w:t>式中：</w:t>
      </w:r>
    </w:p>
    <w:p w14:paraId="63A8979D">
      <w:pPr>
        <w:pageBreakBefore w:val="0"/>
        <w:wordWrap/>
        <w:bidi w:val="0"/>
        <w:adjustRightInd/>
        <w:snapToGrid/>
        <w:ind w:firstLine="1200" w:firstLineChars="500"/>
        <w:textAlignment w:val="baseline"/>
        <w:rPr>
          <w:color w:val="auto"/>
        </w:rPr>
      </w:pPr>
      <w:r>
        <w:rPr>
          <w:color w:val="auto"/>
        </w:rPr>
        <w:t>pH</w:t>
      </w:r>
      <w:r>
        <w:rPr>
          <w:color w:val="auto"/>
          <w:vertAlign w:val="subscript"/>
        </w:rPr>
        <w:t>sd</w:t>
      </w:r>
      <w:r>
        <w:rPr>
          <w:color w:val="auto"/>
        </w:rPr>
        <w:t>——地面水水质标准中规定的pH值下限；</w:t>
      </w:r>
    </w:p>
    <w:p w14:paraId="08FFBB2B">
      <w:pPr>
        <w:pageBreakBefore w:val="0"/>
        <w:wordWrap/>
        <w:bidi w:val="0"/>
        <w:adjustRightInd/>
        <w:snapToGrid/>
        <w:ind w:firstLine="1200" w:firstLineChars="500"/>
        <w:textAlignment w:val="baseline"/>
        <w:rPr>
          <w:color w:val="auto"/>
        </w:rPr>
      </w:pPr>
      <w:r>
        <w:rPr>
          <w:color w:val="auto"/>
        </w:rPr>
        <w:t>pH</w:t>
      </w:r>
      <w:r>
        <w:rPr>
          <w:color w:val="auto"/>
          <w:vertAlign w:val="subscript"/>
        </w:rPr>
        <w:t>su</w:t>
      </w:r>
      <w:r>
        <w:rPr>
          <w:color w:val="auto"/>
        </w:rPr>
        <w:t>——地面水水质标准中规定的pH值上限；</w:t>
      </w:r>
    </w:p>
    <w:p w14:paraId="64CA3BBF">
      <w:pPr>
        <w:pageBreakBefore w:val="0"/>
        <w:wordWrap/>
        <w:bidi w:val="0"/>
        <w:adjustRightInd/>
        <w:snapToGrid/>
        <w:ind w:firstLine="480"/>
        <w:rPr>
          <w:color w:val="auto"/>
        </w:rPr>
      </w:pPr>
      <w:r>
        <w:rPr>
          <w:color w:val="auto"/>
        </w:rPr>
        <w:t>②一般污染物：</w:t>
      </w:r>
    </w:p>
    <w:p w14:paraId="42804CA6">
      <w:pPr>
        <w:pageBreakBefore w:val="0"/>
        <w:wordWrap/>
        <w:bidi w:val="0"/>
        <w:adjustRightInd/>
        <w:snapToGrid/>
        <w:ind w:firstLine="0" w:firstLineChars="0"/>
        <w:jc w:val="center"/>
        <w:textAlignment w:val="baseline"/>
        <w:rPr>
          <w:bCs/>
          <w:color w:val="auto"/>
          <w:spacing w:val="5"/>
        </w:rPr>
      </w:pPr>
      <w:r>
        <w:rPr>
          <w:color w:val="auto"/>
          <w:spacing w:val="5"/>
          <w:position w:val="-24"/>
        </w:rPr>
        <w:drawing>
          <wp:inline distT="0" distB="0" distL="114300" distR="114300">
            <wp:extent cx="600075" cy="390525"/>
            <wp:effectExtent l="0" t="0" r="9525" b="8255"/>
            <wp:docPr id="60"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64"/>
                    <pic:cNvPicPr>
                      <a:picLocks noChangeAspect="1"/>
                    </pic:cNvPicPr>
                  </pic:nvPicPr>
                  <pic:blipFill>
                    <a:blip r:embed="rId77"/>
                    <a:stretch>
                      <a:fillRect/>
                    </a:stretch>
                  </pic:blipFill>
                  <pic:spPr>
                    <a:xfrm>
                      <a:off x="0" y="0"/>
                      <a:ext cx="600075" cy="390525"/>
                    </a:xfrm>
                    <a:prstGeom prst="rect">
                      <a:avLst/>
                    </a:prstGeom>
                    <a:noFill/>
                    <a:ln>
                      <a:noFill/>
                    </a:ln>
                  </pic:spPr>
                </pic:pic>
              </a:graphicData>
            </a:graphic>
          </wp:inline>
        </w:drawing>
      </w:r>
    </w:p>
    <w:p w14:paraId="23D87F5A">
      <w:pPr>
        <w:pageBreakBefore w:val="0"/>
        <w:wordWrap/>
        <w:bidi w:val="0"/>
        <w:adjustRightInd/>
        <w:snapToGrid/>
        <w:ind w:firstLine="480"/>
        <w:textAlignment w:val="baseline"/>
        <w:rPr>
          <w:color w:val="auto"/>
        </w:rPr>
      </w:pPr>
      <w:r>
        <w:rPr>
          <w:color w:val="auto"/>
        </w:rPr>
        <w:t>式中：</w:t>
      </w:r>
    </w:p>
    <w:p w14:paraId="20378751">
      <w:pPr>
        <w:pageBreakBefore w:val="0"/>
        <w:wordWrap/>
        <w:bidi w:val="0"/>
        <w:adjustRightInd/>
        <w:snapToGrid/>
        <w:ind w:firstLine="1050" w:firstLineChars="500"/>
        <w:textAlignment w:val="baseline"/>
        <w:rPr>
          <w:color w:val="auto"/>
        </w:rPr>
      </w:pPr>
      <w:r>
        <w:rPr>
          <w:color w:val="auto"/>
          <w:position w:val="-6"/>
          <w:sz w:val="21"/>
        </w:rPr>
        <w:drawing>
          <wp:inline distT="0" distB="0" distL="114300" distR="114300">
            <wp:extent cx="190500" cy="180975"/>
            <wp:effectExtent l="0" t="0" r="0" b="8890"/>
            <wp:docPr id="7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65"/>
                    <pic:cNvPicPr>
                      <a:picLocks noChangeAspect="1"/>
                    </pic:cNvPicPr>
                  </pic:nvPicPr>
                  <pic:blipFill>
                    <a:blip r:embed="rId78"/>
                    <a:stretch>
                      <a:fillRect/>
                    </a:stretch>
                  </pic:blipFill>
                  <pic:spPr>
                    <a:xfrm>
                      <a:off x="0" y="0"/>
                      <a:ext cx="190500" cy="180975"/>
                    </a:xfrm>
                    <a:prstGeom prst="rect">
                      <a:avLst/>
                    </a:prstGeom>
                    <a:noFill/>
                    <a:ln>
                      <a:noFill/>
                    </a:ln>
                  </pic:spPr>
                </pic:pic>
              </a:graphicData>
            </a:graphic>
          </wp:inline>
        </w:drawing>
      </w:r>
      <w:r>
        <w:rPr>
          <w:color w:val="auto"/>
        </w:rPr>
        <w:t>——i类污染物单因子指数；</w:t>
      </w:r>
    </w:p>
    <w:p w14:paraId="61A6B318">
      <w:pPr>
        <w:pageBreakBefore w:val="0"/>
        <w:tabs>
          <w:tab w:val="left" w:pos="720"/>
        </w:tabs>
        <w:wordWrap/>
        <w:bidi w:val="0"/>
        <w:adjustRightInd/>
        <w:snapToGrid/>
        <w:ind w:firstLine="1050" w:firstLineChars="500"/>
        <w:textAlignment w:val="baseline"/>
        <w:rPr>
          <w:color w:val="auto"/>
        </w:rPr>
      </w:pPr>
      <w:r>
        <w:rPr>
          <w:color w:val="auto"/>
          <w:position w:val="-6"/>
          <w:sz w:val="21"/>
        </w:rPr>
        <w:drawing>
          <wp:inline distT="0" distB="0" distL="114300" distR="114300">
            <wp:extent cx="190500" cy="180975"/>
            <wp:effectExtent l="0" t="0" r="0" b="8890"/>
            <wp:docPr id="7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66"/>
                    <pic:cNvPicPr>
                      <a:picLocks noChangeAspect="1"/>
                    </pic:cNvPicPr>
                  </pic:nvPicPr>
                  <pic:blipFill>
                    <a:blip r:embed="rId79"/>
                    <a:stretch>
                      <a:fillRect/>
                    </a:stretch>
                  </pic:blipFill>
                  <pic:spPr>
                    <a:xfrm>
                      <a:off x="0" y="0"/>
                      <a:ext cx="190500" cy="180975"/>
                    </a:xfrm>
                    <a:prstGeom prst="rect">
                      <a:avLst/>
                    </a:prstGeom>
                    <a:noFill/>
                    <a:ln>
                      <a:noFill/>
                    </a:ln>
                  </pic:spPr>
                </pic:pic>
              </a:graphicData>
            </a:graphic>
          </wp:inline>
        </w:drawing>
      </w:r>
      <w:r>
        <w:rPr>
          <w:color w:val="auto"/>
        </w:rPr>
        <w:t>——i类污染物实测浓度平均值，</w:t>
      </w:r>
      <w:r>
        <w:rPr>
          <w:bCs/>
          <w:color w:val="auto"/>
        </w:rPr>
        <w:t>mg/L</w:t>
      </w:r>
      <w:r>
        <w:rPr>
          <w:color w:val="auto"/>
        </w:rPr>
        <w:t>；</w:t>
      </w:r>
    </w:p>
    <w:p w14:paraId="61227745">
      <w:pPr>
        <w:pageBreakBefore w:val="0"/>
        <w:wordWrap/>
        <w:bidi w:val="0"/>
        <w:adjustRightInd/>
        <w:snapToGrid/>
        <w:ind w:firstLine="1050" w:firstLineChars="500"/>
        <w:textAlignment w:val="baseline"/>
        <w:rPr>
          <w:color w:val="auto"/>
        </w:rPr>
      </w:pPr>
      <w:r>
        <w:rPr>
          <w:color w:val="auto"/>
          <w:position w:val="-6"/>
          <w:sz w:val="21"/>
        </w:rPr>
        <w:drawing>
          <wp:inline distT="0" distB="0" distL="114300" distR="114300">
            <wp:extent cx="266700" cy="180975"/>
            <wp:effectExtent l="0" t="0" r="0" b="8890"/>
            <wp:docPr id="91"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67"/>
                    <pic:cNvPicPr>
                      <a:picLocks noChangeAspect="1"/>
                    </pic:cNvPicPr>
                  </pic:nvPicPr>
                  <pic:blipFill>
                    <a:blip r:embed="rId80"/>
                    <a:stretch>
                      <a:fillRect/>
                    </a:stretch>
                  </pic:blipFill>
                  <pic:spPr>
                    <a:xfrm>
                      <a:off x="0" y="0"/>
                      <a:ext cx="266700" cy="180975"/>
                    </a:xfrm>
                    <a:prstGeom prst="rect">
                      <a:avLst/>
                    </a:prstGeom>
                    <a:noFill/>
                    <a:ln>
                      <a:noFill/>
                    </a:ln>
                  </pic:spPr>
                </pic:pic>
              </a:graphicData>
            </a:graphic>
          </wp:inline>
        </w:drawing>
      </w:r>
      <w:r>
        <w:rPr>
          <w:color w:val="auto"/>
        </w:rPr>
        <w:t>——i类污染物的评价标准值，</w:t>
      </w:r>
      <w:r>
        <w:rPr>
          <w:bCs/>
          <w:color w:val="auto"/>
        </w:rPr>
        <w:t>mg/L</w:t>
      </w:r>
      <w:r>
        <w:rPr>
          <w:color w:val="auto"/>
        </w:rPr>
        <w:t>。</w:t>
      </w:r>
    </w:p>
    <w:p w14:paraId="23F13EB1">
      <w:pPr>
        <w:pageBreakBefore w:val="0"/>
        <w:wordWrap/>
        <w:bidi w:val="0"/>
        <w:adjustRightInd/>
        <w:snapToGrid/>
        <w:ind w:firstLine="480"/>
        <w:rPr>
          <w:color w:val="auto"/>
        </w:rPr>
      </w:pPr>
      <w:r>
        <w:rPr>
          <w:color w:val="auto"/>
        </w:rPr>
        <w:t>水质参数的标准指数&gt;1，表明该项水质参数超过了规定的指数水质指标，已不能满足使用要求；水质参数的标准指数≤1，表明该项水质参数到达或优于规定的水质，完全符合国家标准，可以满足使用要求。</w:t>
      </w:r>
    </w:p>
    <w:p w14:paraId="364320DD">
      <w:pPr>
        <w:pageBreakBefore w:val="0"/>
        <w:wordWrap/>
        <w:bidi w:val="0"/>
        <w:adjustRightInd/>
        <w:snapToGrid/>
        <w:ind w:firstLine="480"/>
        <w:rPr>
          <w:b/>
          <w:bCs/>
          <w:color w:val="auto"/>
        </w:rPr>
      </w:pPr>
      <w:r>
        <w:rPr>
          <w:b/>
          <w:bCs/>
          <w:color w:val="auto"/>
        </w:rPr>
        <w:t>5、检测及统计结果</w:t>
      </w:r>
    </w:p>
    <w:p w14:paraId="43A77C08">
      <w:pPr>
        <w:keepNext w:val="0"/>
        <w:keepLines w:val="0"/>
        <w:pageBreakBefore w:val="0"/>
        <w:widowControl w:val="0"/>
        <w:kinsoku/>
        <w:wordWrap/>
        <w:overflowPunct/>
        <w:topLinePunct w:val="0"/>
        <w:autoSpaceDE/>
        <w:autoSpaceDN/>
        <w:bidi w:val="0"/>
        <w:adjustRightInd/>
        <w:snapToGrid/>
        <w:spacing w:before="0" w:beforeLines="50"/>
        <w:textAlignment w:val="auto"/>
        <w:rPr>
          <w:b/>
          <w:bCs/>
          <w:color w:val="auto"/>
        </w:rPr>
      </w:pPr>
      <w:r>
        <w:rPr>
          <w:color w:val="auto"/>
        </w:rPr>
        <w:t>监测断面统计结果见</w:t>
      </w:r>
      <w:r>
        <w:rPr>
          <w:rFonts w:hint="eastAsia"/>
          <w:color w:val="auto"/>
          <w:lang w:val="en-US" w:eastAsia="zh-CN"/>
        </w:rPr>
        <w:t>下表</w:t>
      </w:r>
      <w:r>
        <w:rPr>
          <w:color w:val="auto"/>
        </w:rPr>
        <w:t>。</w:t>
      </w:r>
      <w:r>
        <w:rPr>
          <w:b/>
          <w:bCs/>
          <w:color w:val="auto"/>
        </w:rPr>
        <w:t>6、评价结果</w:t>
      </w:r>
    </w:p>
    <w:p w14:paraId="7495DBE9">
      <w:pPr>
        <w:bidi w:val="0"/>
        <w:rPr>
          <w:color w:val="auto"/>
        </w:rPr>
      </w:pPr>
      <w:r>
        <w:rPr>
          <w:color w:val="auto"/>
        </w:rPr>
        <w:t>由监测结果可知，项目污水受纳水体</w:t>
      </w:r>
      <w:r>
        <w:rPr>
          <w:rFonts w:hint="eastAsia"/>
          <w:color w:val="auto"/>
          <w:lang w:eastAsia="zh-CN"/>
        </w:rPr>
        <w:t>巴河</w:t>
      </w:r>
      <w:r>
        <w:rPr>
          <w:rFonts w:hint="eastAsia"/>
          <w:color w:val="auto"/>
          <w:lang w:val="en-US" w:eastAsia="zh-CN"/>
        </w:rPr>
        <w:t>枯水期</w:t>
      </w:r>
      <w:r>
        <w:rPr>
          <w:color w:val="auto"/>
        </w:rPr>
        <w:t>各水污染物指标均能达到《地表水环境质量</w:t>
      </w:r>
      <w:r>
        <w:rPr>
          <w:rFonts w:hint="eastAsia"/>
          <w:color w:val="auto"/>
          <w:lang w:val="en-US" w:eastAsia="zh-CN"/>
        </w:rPr>
        <w:t>标准</w:t>
      </w:r>
      <w:r>
        <w:rPr>
          <w:color w:val="auto"/>
        </w:rPr>
        <w:t>》（GB3838-2002）Ⅲ类水域标准限值要求，水环境质量现状较好。</w:t>
      </w:r>
    </w:p>
    <w:p w14:paraId="4A55AC95">
      <w:pPr>
        <w:bidi w:val="0"/>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二</w:t>
      </w:r>
      <w:r>
        <w:rPr>
          <w:rFonts w:hint="eastAsia"/>
          <w:b/>
          <w:bCs/>
          <w:color w:val="auto"/>
          <w:lang w:eastAsia="zh-CN"/>
        </w:rPr>
        <w:t>）</w:t>
      </w:r>
      <w:r>
        <w:rPr>
          <w:rFonts w:hint="eastAsia"/>
          <w:b/>
          <w:bCs/>
          <w:color w:val="auto"/>
          <w:lang w:val="en-US" w:eastAsia="zh-CN"/>
        </w:rPr>
        <w:t>丰水期水质现状监测</w:t>
      </w:r>
    </w:p>
    <w:p w14:paraId="5F045274">
      <w:pPr>
        <w:pageBreakBefore w:val="0"/>
        <w:wordWrap/>
        <w:bidi w:val="0"/>
        <w:adjustRightInd/>
        <w:snapToGrid/>
        <w:ind w:firstLine="480"/>
        <w:rPr>
          <w:b/>
          <w:bCs/>
          <w:color w:val="auto"/>
        </w:rPr>
      </w:pPr>
      <w:r>
        <w:rPr>
          <w:b/>
          <w:bCs/>
          <w:color w:val="auto"/>
        </w:rPr>
        <w:t>1、监测断面</w:t>
      </w:r>
    </w:p>
    <w:p w14:paraId="6B872B62">
      <w:pPr>
        <w:keepNext w:val="0"/>
        <w:keepLines w:val="0"/>
        <w:pageBreakBefore w:val="0"/>
        <w:widowControl w:val="0"/>
        <w:kinsoku/>
        <w:wordWrap/>
        <w:overflowPunct/>
        <w:topLinePunct w:val="0"/>
        <w:autoSpaceDE/>
        <w:autoSpaceDN/>
        <w:bidi w:val="0"/>
        <w:adjustRightInd/>
        <w:snapToGrid/>
        <w:ind w:firstLine="480"/>
        <w:textAlignment w:val="baseline"/>
        <w:rPr>
          <w:color w:val="auto"/>
        </w:rPr>
      </w:pPr>
      <w:r>
        <w:rPr>
          <w:rFonts w:hint="eastAsia"/>
          <w:color w:val="auto"/>
          <w:lang w:val="en-US" w:eastAsia="zh-CN"/>
        </w:rPr>
        <w:t>枯水期</w:t>
      </w:r>
      <w:r>
        <w:rPr>
          <w:color w:val="auto"/>
        </w:rPr>
        <w:t>在</w:t>
      </w:r>
      <w:r>
        <w:rPr>
          <w:rFonts w:hint="eastAsia"/>
          <w:color w:val="auto"/>
          <w:lang w:eastAsia="zh-CN"/>
        </w:rPr>
        <w:t>巴河</w:t>
      </w:r>
      <w:r>
        <w:rPr>
          <w:color w:val="auto"/>
        </w:rPr>
        <w:t>共布设</w:t>
      </w:r>
      <w:r>
        <w:rPr>
          <w:rFonts w:hint="eastAsia"/>
          <w:color w:val="auto"/>
          <w:lang w:val="en-US" w:eastAsia="zh-CN"/>
        </w:rPr>
        <w:t>2</w:t>
      </w:r>
      <w:r>
        <w:rPr>
          <w:color w:val="auto"/>
        </w:rPr>
        <w:t>个监测断面，见</w:t>
      </w:r>
      <w:r>
        <w:rPr>
          <w:rFonts w:hint="eastAsia"/>
          <w:color w:val="auto"/>
          <w:lang w:val="en-US" w:eastAsia="zh-CN"/>
        </w:rPr>
        <w:t>下表</w:t>
      </w:r>
      <w:r>
        <w:rPr>
          <w:color w:val="auto"/>
        </w:rPr>
        <w:t>。</w:t>
      </w:r>
    </w:p>
    <w:p w14:paraId="45964F29">
      <w:pPr>
        <w:pStyle w:val="19"/>
        <w:keepNext w:val="0"/>
        <w:keepLines w:val="0"/>
        <w:pageBreakBefore w:val="0"/>
        <w:widowControl w:val="0"/>
        <w:numPr>
          <w:ilvl w:val="0"/>
          <w:numId w:val="28"/>
        </w:numPr>
        <w:kinsoku/>
        <w:wordWrap/>
        <w:overflowPunct/>
        <w:topLinePunct w:val="0"/>
        <w:autoSpaceDE/>
        <w:autoSpaceDN/>
        <w:bidi w:val="0"/>
        <w:adjustRightInd/>
        <w:snapToGrid/>
        <w:spacing w:before="0"/>
        <w:textAlignment w:val="auto"/>
        <w:rPr>
          <w:color w:val="auto"/>
        </w:rPr>
      </w:pPr>
      <w:r>
        <w:rPr>
          <w:color w:val="auto"/>
        </w:rPr>
        <w:t>地表水</w:t>
      </w:r>
      <w:r>
        <w:rPr>
          <w:rFonts w:hint="eastAsia"/>
          <w:color w:val="auto"/>
          <w:lang w:val="en-US" w:eastAsia="zh-CN"/>
        </w:rPr>
        <w:t>枯水期</w:t>
      </w:r>
      <w:r>
        <w:rPr>
          <w:color w:val="auto"/>
        </w:rPr>
        <w:t>现状监测断面</w:t>
      </w:r>
    </w:p>
    <w:tbl>
      <w:tblPr>
        <w:tblStyle w:val="52"/>
        <w:tblW w:w="4998"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552"/>
        <w:gridCol w:w="1437"/>
        <w:gridCol w:w="5738"/>
      </w:tblGrid>
      <w:tr w14:paraId="516681DE">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89" w:type="pct"/>
            <w:tcBorders>
              <w:tl2br w:val="nil"/>
              <w:tr2bl w:val="nil"/>
            </w:tcBorders>
            <w:noWrap w:val="0"/>
            <w:vAlign w:val="center"/>
          </w:tcPr>
          <w:p w14:paraId="0962B33D">
            <w:pPr>
              <w:pageBreakBefore w:val="0"/>
              <w:widowControl/>
              <w:wordWrap/>
              <w:bidi w:val="0"/>
              <w:adjustRightInd/>
              <w:snapToGrid/>
              <w:spacing w:line="240" w:lineRule="auto"/>
              <w:ind w:firstLine="0" w:firstLineChars="0"/>
              <w:jc w:val="center"/>
              <w:rPr>
                <w:b/>
                <w:color w:val="auto"/>
                <w:kern w:val="0"/>
                <w:sz w:val="21"/>
                <w:szCs w:val="21"/>
              </w:rPr>
            </w:pPr>
            <w:r>
              <w:rPr>
                <w:b/>
                <w:color w:val="auto"/>
                <w:kern w:val="0"/>
                <w:sz w:val="21"/>
                <w:szCs w:val="21"/>
              </w:rPr>
              <w:t>监测点位</w:t>
            </w:r>
          </w:p>
        </w:tc>
        <w:tc>
          <w:tcPr>
            <w:tcW w:w="823" w:type="pct"/>
            <w:tcBorders>
              <w:tl2br w:val="nil"/>
              <w:tr2bl w:val="nil"/>
            </w:tcBorders>
            <w:noWrap w:val="0"/>
            <w:vAlign w:val="center"/>
          </w:tcPr>
          <w:p w14:paraId="090A81B8">
            <w:pPr>
              <w:pageBreakBefore w:val="0"/>
              <w:widowControl/>
              <w:wordWrap/>
              <w:bidi w:val="0"/>
              <w:adjustRightInd/>
              <w:snapToGrid/>
              <w:spacing w:line="240" w:lineRule="auto"/>
              <w:ind w:firstLine="0" w:firstLineChars="0"/>
              <w:jc w:val="center"/>
              <w:rPr>
                <w:b/>
                <w:color w:val="auto"/>
                <w:kern w:val="0"/>
                <w:sz w:val="21"/>
                <w:szCs w:val="21"/>
              </w:rPr>
            </w:pPr>
            <w:r>
              <w:rPr>
                <w:b/>
                <w:color w:val="auto"/>
                <w:kern w:val="0"/>
                <w:sz w:val="21"/>
                <w:szCs w:val="21"/>
              </w:rPr>
              <w:t>监测水体</w:t>
            </w:r>
          </w:p>
        </w:tc>
        <w:tc>
          <w:tcPr>
            <w:tcW w:w="3287" w:type="pct"/>
            <w:tcBorders>
              <w:tl2br w:val="nil"/>
              <w:tr2bl w:val="nil"/>
            </w:tcBorders>
            <w:noWrap w:val="0"/>
            <w:vAlign w:val="center"/>
          </w:tcPr>
          <w:p w14:paraId="59135670">
            <w:pPr>
              <w:pageBreakBefore w:val="0"/>
              <w:widowControl/>
              <w:wordWrap/>
              <w:bidi w:val="0"/>
              <w:adjustRightInd/>
              <w:snapToGrid/>
              <w:spacing w:line="240" w:lineRule="auto"/>
              <w:ind w:firstLine="0" w:firstLineChars="0"/>
              <w:jc w:val="center"/>
              <w:rPr>
                <w:b/>
                <w:color w:val="auto"/>
                <w:kern w:val="0"/>
                <w:sz w:val="21"/>
                <w:szCs w:val="21"/>
              </w:rPr>
            </w:pPr>
            <w:r>
              <w:rPr>
                <w:b/>
                <w:color w:val="auto"/>
                <w:kern w:val="0"/>
                <w:sz w:val="21"/>
                <w:szCs w:val="21"/>
              </w:rPr>
              <w:t>断面位置</w:t>
            </w:r>
          </w:p>
        </w:tc>
      </w:tr>
      <w:tr w14:paraId="6C8FE0A3">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89" w:type="pct"/>
            <w:tcBorders>
              <w:tl2br w:val="nil"/>
              <w:tr2bl w:val="nil"/>
            </w:tcBorders>
            <w:noWrap w:val="0"/>
            <w:vAlign w:val="center"/>
          </w:tcPr>
          <w:p w14:paraId="185C443D">
            <w:pPr>
              <w:pageBreakBefore w:val="0"/>
              <w:widowControl/>
              <w:wordWrap/>
              <w:bidi w:val="0"/>
              <w:adjustRightInd/>
              <w:snapToGrid/>
              <w:spacing w:line="240" w:lineRule="auto"/>
              <w:ind w:firstLine="0" w:firstLineChars="0"/>
              <w:jc w:val="center"/>
              <w:rPr>
                <w:color w:val="auto"/>
                <w:kern w:val="0"/>
                <w:sz w:val="21"/>
                <w:szCs w:val="21"/>
              </w:rPr>
            </w:pPr>
            <w:r>
              <w:rPr>
                <w:color w:val="auto"/>
                <w:kern w:val="0"/>
                <w:sz w:val="21"/>
                <w:szCs w:val="21"/>
              </w:rPr>
              <w:t>1#</w:t>
            </w:r>
          </w:p>
        </w:tc>
        <w:tc>
          <w:tcPr>
            <w:tcW w:w="823" w:type="pct"/>
            <w:vMerge w:val="restart"/>
            <w:tcBorders>
              <w:tl2br w:val="nil"/>
              <w:tr2bl w:val="nil"/>
            </w:tcBorders>
            <w:noWrap w:val="0"/>
            <w:vAlign w:val="center"/>
          </w:tcPr>
          <w:p w14:paraId="5EF9D1CF">
            <w:pPr>
              <w:pageBreakBefore w:val="0"/>
              <w:widowControl/>
              <w:wordWrap/>
              <w:bidi w:val="0"/>
              <w:adjustRightInd/>
              <w:snapToGrid/>
              <w:spacing w:line="240" w:lineRule="auto"/>
              <w:ind w:firstLine="0" w:firstLineChars="0"/>
              <w:jc w:val="center"/>
              <w:rPr>
                <w:rFonts w:hint="eastAsia" w:eastAsia="宋体"/>
                <w:color w:val="auto"/>
                <w:kern w:val="0"/>
                <w:sz w:val="21"/>
                <w:szCs w:val="21"/>
                <w:lang w:eastAsia="zh-CN"/>
              </w:rPr>
            </w:pPr>
            <w:r>
              <w:rPr>
                <w:rFonts w:hint="eastAsia"/>
                <w:color w:val="auto"/>
                <w:kern w:val="0"/>
                <w:sz w:val="21"/>
                <w:szCs w:val="21"/>
                <w:lang w:eastAsia="zh-CN"/>
              </w:rPr>
              <w:t>巴河</w:t>
            </w:r>
          </w:p>
        </w:tc>
        <w:tc>
          <w:tcPr>
            <w:tcW w:w="3287" w:type="pct"/>
            <w:tcBorders>
              <w:tl2br w:val="nil"/>
              <w:tr2bl w:val="nil"/>
            </w:tcBorders>
            <w:noWrap w:val="0"/>
            <w:vAlign w:val="center"/>
          </w:tcPr>
          <w:p w14:paraId="595631D0">
            <w:pPr>
              <w:pageBreakBefore w:val="0"/>
              <w:wordWrap/>
              <w:bidi w:val="0"/>
              <w:adjustRightInd/>
              <w:snapToGrid/>
              <w:spacing w:line="240" w:lineRule="auto"/>
              <w:ind w:firstLine="0" w:firstLineChars="0"/>
              <w:jc w:val="center"/>
              <w:textAlignment w:val="baseline"/>
              <w:rPr>
                <w:color w:val="auto"/>
                <w:kern w:val="0"/>
                <w:sz w:val="21"/>
                <w:szCs w:val="21"/>
              </w:rPr>
            </w:pPr>
            <w:r>
              <w:rPr>
                <w:rFonts w:hint="eastAsia"/>
                <w:color w:val="auto"/>
                <w:sz w:val="21"/>
                <w:szCs w:val="22"/>
                <w:lang w:val="en-US" w:eastAsia="zh-CN"/>
              </w:rPr>
              <w:t>拟建曾口区块污水处理厂</w:t>
            </w:r>
            <w:r>
              <w:rPr>
                <w:color w:val="auto"/>
                <w:sz w:val="21"/>
                <w:szCs w:val="22"/>
              </w:rPr>
              <w:t>排口上游500m</w:t>
            </w:r>
          </w:p>
        </w:tc>
      </w:tr>
      <w:tr w14:paraId="13FFBBF1">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889" w:type="pct"/>
            <w:tcBorders>
              <w:tl2br w:val="nil"/>
              <w:tr2bl w:val="nil"/>
            </w:tcBorders>
            <w:noWrap w:val="0"/>
            <w:vAlign w:val="center"/>
          </w:tcPr>
          <w:p w14:paraId="6FC28F39">
            <w:pPr>
              <w:pageBreakBefore w:val="0"/>
              <w:widowControl/>
              <w:wordWrap/>
              <w:bidi w:val="0"/>
              <w:adjustRightInd/>
              <w:snapToGrid/>
              <w:spacing w:line="240" w:lineRule="auto"/>
              <w:ind w:firstLine="0" w:firstLineChars="0"/>
              <w:jc w:val="center"/>
              <w:rPr>
                <w:color w:val="auto"/>
                <w:kern w:val="0"/>
                <w:sz w:val="21"/>
                <w:szCs w:val="21"/>
              </w:rPr>
            </w:pPr>
            <w:r>
              <w:rPr>
                <w:color w:val="auto"/>
                <w:kern w:val="0"/>
                <w:sz w:val="21"/>
                <w:szCs w:val="21"/>
              </w:rPr>
              <w:t>2#</w:t>
            </w:r>
          </w:p>
        </w:tc>
        <w:tc>
          <w:tcPr>
            <w:tcW w:w="823" w:type="pct"/>
            <w:vMerge w:val="continue"/>
            <w:tcBorders>
              <w:tl2br w:val="nil"/>
              <w:tr2bl w:val="nil"/>
            </w:tcBorders>
            <w:noWrap w:val="0"/>
            <w:vAlign w:val="center"/>
          </w:tcPr>
          <w:p w14:paraId="372A0D7F">
            <w:pPr>
              <w:pageBreakBefore w:val="0"/>
              <w:widowControl/>
              <w:wordWrap/>
              <w:bidi w:val="0"/>
              <w:adjustRightInd/>
              <w:snapToGrid/>
              <w:spacing w:line="240" w:lineRule="auto"/>
              <w:ind w:firstLine="0" w:firstLineChars="0"/>
              <w:jc w:val="center"/>
              <w:rPr>
                <w:color w:val="auto"/>
                <w:kern w:val="0"/>
                <w:sz w:val="21"/>
                <w:szCs w:val="21"/>
              </w:rPr>
            </w:pPr>
          </w:p>
        </w:tc>
        <w:tc>
          <w:tcPr>
            <w:tcW w:w="3287" w:type="pct"/>
            <w:tcBorders>
              <w:tl2br w:val="nil"/>
              <w:tr2bl w:val="nil"/>
            </w:tcBorders>
            <w:noWrap w:val="0"/>
            <w:vAlign w:val="center"/>
          </w:tcPr>
          <w:p w14:paraId="5C73F3F1">
            <w:pPr>
              <w:pageBreakBefore w:val="0"/>
              <w:wordWrap/>
              <w:bidi w:val="0"/>
              <w:adjustRightInd/>
              <w:snapToGrid/>
              <w:spacing w:line="240" w:lineRule="auto"/>
              <w:ind w:firstLine="0" w:firstLineChars="0"/>
              <w:jc w:val="center"/>
              <w:textAlignment w:val="baseline"/>
              <w:rPr>
                <w:color w:val="auto"/>
                <w:sz w:val="21"/>
                <w:szCs w:val="21"/>
              </w:rPr>
            </w:pPr>
            <w:r>
              <w:rPr>
                <w:rFonts w:hint="eastAsia"/>
                <w:color w:val="auto"/>
                <w:sz w:val="21"/>
                <w:szCs w:val="22"/>
                <w:lang w:val="en-US" w:eastAsia="zh-CN"/>
              </w:rPr>
              <w:t>拟建曾口区块污水处理厂</w:t>
            </w:r>
            <w:r>
              <w:rPr>
                <w:color w:val="auto"/>
                <w:sz w:val="21"/>
                <w:szCs w:val="22"/>
              </w:rPr>
              <w:t>排口</w:t>
            </w:r>
            <w:r>
              <w:rPr>
                <w:rFonts w:hint="eastAsia"/>
                <w:color w:val="auto"/>
                <w:sz w:val="21"/>
                <w:szCs w:val="22"/>
                <w:lang w:val="en-US" w:eastAsia="zh-CN"/>
              </w:rPr>
              <w:t>下游200</w:t>
            </w:r>
            <w:r>
              <w:rPr>
                <w:color w:val="auto"/>
                <w:sz w:val="21"/>
                <w:szCs w:val="22"/>
              </w:rPr>
              <w:t>0m</w:t>
            </w:r>
          </w:p>
        </w:tc>
      </w:tr>
    </w:tbl>
    <w:p w14:paraId="6C01CB15">
      <w:pPr>
        <w:keepNext w:val="0"/>
        <w:keepLines w:val="0"/>
        <w:pageBreakBefore w:val="0"/>
        <w:widowControl w:val="0"/>
        <w:kinsoku/>
        <w:wordWrap/>
        <w:overflowPunct/>
        <w:topLinePunct w:val="0"/>
        <w:autoSpaceDE/>
        <w:autoSpaceDN/>
        <w:bidi w:val="0"/>
        <w:adjustRightInd/>
        <w:snapToGrid/>
        <w:spacing w:before="0" w:beforeLines="50"/>
        <w:textAlignment w:val="auto"/>
        <w:rPr>
          <w:b/>
          <w:bCs/>
          <w:color w:val="auto"/>
        </w:rPr>
      </w:pPr>
      <w:r>
        <w:rPr>
          <w:b/>
          <w:bCs/>
          <w:color w:val="auto"/>
        </w:rPr>
        <w:t>2、监测项目</w:t>
      </w:r>
    </w:p>
    <w:p w14:paraId="050F65CA">
      <w:pPr>
        <w:bidi w:val="0"/>
        <w:rPr>
          <w:rFonts w:hint="eastAsia" w:eastAsia="宋体"/>
          <w:color w:val="auto"/>
          <w:lang w:eastAsia="zh-CN"/>
        </w:rPr>
      </w:pPr>
      <w:r>
        <w:rPr>
          <w:rFonts w:hint="eastAsia"/>
          <w:color w:val="auto"/>
        </w:rPr>
        <w:t>水温、色度、浊度、pH、溶解氧、化学需氧量、五日生化需氧量、氨氮、总氮、总磷、悬浮物、硫化物、氰化物、氯化物、氟化物、挥发酚、硫酸盐、铁、铜、铅、锌、镉、镍、锰、砷、汞、六价铬、粪大肠菌群、石油类、甲醛</w:t>
      </w:r>
      <w:r>
        <w:rPr>
          <w:rFonts w:hint="eastAsia"/>
          <w:color w:val="auto"/>
          <w:lang w:eastAsia="zh-CN"/>
        </w:rPr>
        <w:t>。</w:t>
      </w:r>
    </w:p>
    <w:p w14:paraId="6113121F">
      <w:pPr>
        <w:pageBreakBefore w:val="0"/>
        <w:wordWrap/>
        <w:bidi w:val="0"/>
        <w:adjustRightInd/>
        <w:snapToGrid/>
        <w:ind w:firstLine="480"/>
        <w:rPr>
          <w:b/>
          <w:bCs/>
          <w:color w:val="auto"/>
        </w:rPr>
      </w:pPr>
      <w:r>
        <w:rPr>
          <w:b/>
          <w:bCs/>
          <w:color w:val="auto"/>
        </w:rPr>
        <w:t>3、监测频次</w:t>
      </w:r>
    </w:p>
    <w:p w14:paraId="36196178">
      <w:pPr>
        <w:pageBreakBefore w:val="0"/>
        <w:wordWrap/>
        <w:bidi w:val="0"/>
        <w:adjustRightInd/>
        <w:snapToGrid/>
        <w:ind w:firstLine="480"/>
        <w:textAlignment w:val="baseline"/>
        <w:rPr>
          <w:color w:val="auto"/>
        </w:rPr>
      </w:pPr>
      <w:r>
        <w:rPr>
          <w:color w:val="auto"/>
        </w:rPr>
        <w:t>202</w:t>
      </w:r>
      <w:r>
        <w:rPr>
          <w:rFonts w:hint="eastAsia"/>
          <w:color w:val="auto"/>
          <w:lang w:val="en-US" w:eastAsia="zh-CN"/>
        </w:rPr>
        <w:t>4</w:t>
      </w:r>
      <w:r>
        <w:rPr>
          <w:color w:val="auto"/>
        </w:rPr>
        <w:t>年</w:t>
      </w:r>
      <w:r>
        <w:rPr>
          <w:rFonts w:hint="eastAsia"/>
          <w:color w:val="auto"/>
          <w:lang w:val="en-US" w:eastAsia="zh-CN"/>
        </w:rPr>
        <w:t>7</w:t>
      </w:r>
      <w:r>
        <w:rPr>
          <w:color w:val="auto"/>
        </w:rPr>
        <w:t>月</w:t>
      </w:r>
      <w:r>
        <w:rPr>
          <w:rFonts w:hint="eastAsia"/>
          <w:color w:val="auto"/>
          <w:lang w:val="en-US" w:eastAsia="zh-CN"/>
        </w:rPr>
        <w:t>17</w:t>
      </w:r>
      <w:r>
        <w:rPr>
          <w:color w:val="auto"/>
        </w:rPr>
        <w:t>日</w:t>
      </w:r>
      <w:r>
        <w:rPr>
          <w:rFonts w:hint="eastAsia"/>
          <w:color w:val="auto"/>
          <w:lang w:eastAsia="zh-CN"/>
        </w:rPr>
        <w:t>～</w:t>
      </w:r>
      <w:r>
        <w:rPr>
          <w:rFonts w:hint="eastAsia"/>
          <w:color w:val="auto"/>
          <w:lang w:val="en-US" w:eastAsia="zh-CN"/>
        </w:rPr>
        <w:t>7</w:t>
      </w:r>
      <w:r>
        <w:rPr>
          <w:color w:val="auto"/>
        </w:rPr>
        <w:t>月</w:t>
      </w:r>
      <w:r>
        <w:rPr>
          <w:rFonts w:hint="eastAsia"/>
          <w:color w:val="auto"/>
          <w:lang w:val="en-US" w:eastAsia="zh-CN"/>
        </w:rPr>
        <w:t>19</w:t>
      </w:r>
      <w:r>
        <w:rPr>
          <w:color w:val="auto"/>
        </w:rPr>
        <w:t>日连续监测3天，每天采样一次，监测点位1#~</w:t>
      </w:r>
      <w:r>
        <w:rPr>
          <w:rFonts w:hint="eastAsia"/>
          <w:color w:val="auto"/>
          <w:lang w:val="en-US" w:eastAsia="zh-CN"/>
        </w:rPr>
        <w:t>2</w:t>
      </w:r>
      <w:r>
        <w:rPr>
          <w:color w:val="auto"/>
        </w:rPr>
        <w:t>#。</w:t>
      </w:r>
    </w:p>
    <w:p w14:paraId="61F199C9">
      <w:pPr>
        <w:pageBreakBefore w:val="0"/>
        <w:wordWrap/>
        <w:bidi w:val="0"/>
        <w:adjustRightInd/>
        <w:snapToGrid/>
        <w:ind w:firstLine="480"/>
        <w:rPr>
          <w:b/>
          <w:bCs/>
          <w:color w:val="auto"/>
          <w:szCs w:val="20"/>
        </w:rPr>
      </w:pPr>
      <w:r>
        <w:rPr>
          <w:b/>
          <w:bCs/>
          <w:color w:val="auto"/>
          <w:szCs w:val="20"/>
        </w:rPr>
        <w:t>4、评价方法</w:t>
      </w:r>
    </w:p>
    <w:p w14:paraId="7177E776">
      <w:pPr>
        <w:pageBreakBefore w:val="0"/>
        <w:wordWrap/>
        <w:bidi w:val="0"/>
        <w:adjustRightInd/>
        <w:snapToGrid/>
        <w:ind w:firstLine="480"/>
        <w:rPr>
          <w:color w:val="auto"/>
        </w:rPr>
      </w:pPr>
      <w:r>
        <w:rPr>
          <w:color w:val="auto"/>
        </w:rPr>
        <w:t>采用单项标准指数法评价，其数学模式如下：</w:t>
      </w:r>
    </w:p>
    <w:p w14:paraId="2486D8C3">
      <w:pPr>
        <w:pageBreakBefore w:val="0"/>
        <w:wordWrap/>
        <w:bidi w:val="0"/>
        <w:adjustRightInd/>
        <w:snapToGrid/>
        <w:ind w:firstLine="480"/>
        <w:rPr>
          <w:color w:val="auto"/>
        </w:rPr>
      </w:pPr>
      <w:r>
        <w:rPr>
          <w:color w:val="auto"/>
        </w:rPr>
        <w:t>①pH：</w:t>
      </w:r>
    </w:p>
    <w:p w14:paraId="7FB92C29">
      <w:pPr>
        <w:pageBreakBefore w:val="0"/>
        <w:wordWrap/>
        <w:bidi w:val="0"/>
        <w:adjustRightInd/>
        <w:snapToGrid/>
        <w:ind w:firstLine="960" w:firstLineChars="400"/>
        <w:textAlignment w:val="baseline"/>
        <w:rPr>
          <w:color w:val="auto"/>
        </w:rPr>
      </w:pPr>
      <w:r>
        <w:rPr>
          <w:color w:val="auto"/>
          <w:position w:val="-30"/>
        </w:rPr>
        <w:drawing>
          <wp:inline distT="0" distB="0" distL="114300" distR="114300">
            <wp:extent cx="1981200" cy="457200"/>
            <wp:effectExtent l="0" t="0" r="0" b="0"/>
            <wp:docPr id="93"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62"/>
                    <pic:cNvPicPr>
                      <a:picLocks noChangeAspect="1"/>
                    </pic:cNvPicPr>
                  </pic:nvPicPr>
                  <pic:blipFill>
                    <a:blip r:embed="rId75"/>
                    <a:stretch>
                      <a:fillRect/>
                    </a:stretch>
                  </pic:blipFill>
                  <pic:spPr>
                    <a:xfrm>
                      <a:off x="0" y="0"/>
                      <a:ext cx="1981200" cy="457200"/>
                    </a:xfrm>
                    <a:prstGeom prst="rect">
                      <a:avLst/>
                    </a:prstGeom>
                    <a:noFill/>
                    <a:ln>
                      <a:noFill/>
                    </a:ln>
                  </pic:spPr>
                </pic:pic>
              </a:graphicData>
            </a:graphic>
          </wp:inline>
        </w:drawing>
      </w:r>
      <w:r>
        <w:rPr>
          <w:color w:val="auto"/>
        </w:rPr>
        <w:t>或</w:t>
      </w:r>
      <w:r>
        <w:rPr>
          <w:color w:val="auto"/>
          <w:position w:val="-30"/>
        </w:rPr>
        <w:drawing>
          <wp:inline distT="0" distB="0" distL="114300" distR="114300">
            <wp:extent cx="1981200" cy="457200"/>
            <wp:effectExtent l="0" t="0" r="0" b="0"/>
            <wp:docPr id="100"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63"/>
                    <pic:cNvPicPr>
                      <a:picLocks noChangeAspect="1"/>
                    </pic:cNvPicPr>
                  </pic:nvPicPr>
                  <pic:blipFill>
                    <a:blip r:embed="rId76"/>
                    <a:stretch>
                      <a:fillRect/>
                    </a:stretch>
                  </pic:blipFill>
                  <pic:spPr>
                    <a:xfrm>
                      <a:off x="0" y="0"/>
                      <a:ext cx="1981200" cy="457200"/>
                    </a:xfrm>
                    <a:prstGeom prst="rect">
                      <a:avLst/>
                    </a:prstGeom>
                    <a:noFill/>
                    <a:ln>
                      <a:noFill/>
                    </a:ln>
                  </pic:spPr>
                </pic:pic>
              </a:graphicData>
            </a:graphic>
          </wp:inline>
        </w:drawing>
      </w:r>
    </w:p>
    <w:p w14:paraId="7B3E83D8">
      <w:pPr>
        <w:pageBreakBefore w:val="0"/>
        <w:wordWrap/>
        <w:bidi w:val="0"/>
        <w:adjustRightInd/>
        <w:snapToGrid/>
        <w:ind w:firstLine="480"/>
        <w:textAlignment w:val="baseline"/>
        <w:rPr>
          <w:color w:val="auto"/>
        </w:rPr>
      </w:pPr>
      <w:r>
        <w:rPr>
          <w:color w:val="auto"/>
        </w:rPr>
        <w:t>式中：</w:t>
      </w:r>
    </w:p>
    <w:p w14:paraId="374D40C2">
      <w:pPr>
        <w:pageBreakBefore w:val="0"/>
        <w:wordWrap/>
        <w:bidi w:val="0"/>
        <w:adjustRightInd/>
        <w:snapToGrid/>
        <w:ind w:firstLine="1200" w:firstLineChars="500"/>
        <w:textAlignment w:val="baseline"/>
        <w:rPr>
          <w:color w:val="auto"/>
        </w:rPr>
      </w:pPr>
      <w:r>
        <w:rPr>
          <w:color w:val="auto"/>
        </w:rPr>
        <w:t>pH</w:t>
      </w:r>
      <w:r>
        <w:rPr>
          <w:color w:val="auto"/>
          <w:vertAlign w:val="subscript"/>
        </w:rPr>
        <w:t>sd</w:t>
      </w:r>
      <w:r>
        <w:rPr>
          <w:color w:val="auto"/>
        </w:rPr>
        <w:t>——地面水水质标准中规定的pH值下限；</w:t>
      </w:r>
    </w:p>
    <w:p w14:paraId="7F877EA1">
      <w:pPr>
        <w:pageBreakBefore w:val="0"/>
        <w:wordWrap/>
        <w:bidi w:val="0"/>
        <w:adjustRightInd/>
        <w:snapToGrid/>
        <w:ind w:firstLine="1200" w:firstLineChars="500"/>
        <w:textAlignment w:val="baseline"/>
        <w:rPr>
          <w:color w:val="auto"/>
        </w:rPr>
      </w:pPr>
      <w:r>
        <w:rPr>
          <w:color w:val="auto"/>
        </w:rPr>
        <w:t>pH</w:t>
      </w:r>
      <w:r>
        <w:rPr>
          <w:color w:val="auto"/>
          <w:vertAlign w:val="subscript"/>
        </w:rPr>
        <w:t>su</w:t>
      </w:r>
      <w:r>
        <w:rPr>
          <w:color w:val="auto"/>
        </w:rPr>
        <w:t>——地面水水质标准中规定的pH值上限；</w:t>
      </w:r>
    </w:p>
    <w:p w14:paraId="4069F4A3">
      <w:pPr>
        <w:pageBreakBefore w:val="0"/>
        <w:wordWrap/>
        <w:bidi w:val="0"/>
        <w:adjustRightInd/>
        <w:snapToGrid/>
        <w:ind w:firstLine="480"/>
        <w:rPr>
          <w:color w:val="auto"/>
        </w:rPr>
      </w:pPr>
      <w:r>
        <w:rPr>
          <w:color w:val="auto"/>
        </w:rPr>
        <w:t>②一般污染物：</w:t>
      </w:r>
    </w:p>
    <w:p w14:paraId="25C6A91A">
      <w:pPr>
        <w:pageBreakBefore w:val="0"/>
        <w:wordWrap/>
        <w:bidi w:val="0"/>
        <w:adjustRightInd/>
        <w:snapToGrid/>
        <w:ind w:firstLine="0" w:firstLineChars="0"/>
        <w:jc w:val="center"/>
        <w:textAlignment w:val="baseline"/>
        <w:rPr>
          <w:bCs/>
          <w:color w:val="auto"/>
          <w:spacing w:val="5"/>
        </w:rPr>
      </w:pPr>
      <w:r>
        <w:rPr>
          <w:color w:val="auto"/>
          <w:spacing w:val="5"/>
          <w:position w:val="-24"/>
        </w:rPr>
        <w:drawing>
          <wp:inline distT="0" distB="0" distL="114300" distR="114300">
            <wp:extent cx="600075" cy="390525"/>
            <wp:effectExtent l="0" t="0" r="9525" b="8255"/>
            <wp:docPr id="101"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64"/>
                    <pic:cNvPicPr>
                      <a:picLocks noChangeAspect="1"/>
                    </pic:cNvPicPr>
                  </pic:nvPicPr>
                  <pic:blipFill>
                    <a:blip r:embed="rId77"/>
                    <a:stretch>
                      <a:fillRect/>
                    </a:stretch>
                  </pic:blipFill>
                  <pic:spPr>
                    <a:xfrm>
                      <a:off x="0" y="0"/>
                      <a:ext cx="600075" cy="390525"/>
                    </a:xfrm>
                    <a:prstGeom prst="rect">
                      <a:avLst/>
                    </a:prstGeom>
                    <a:noFill/>
                    <a:ln>
                      <a:noFill/>
                    </a:ln>
                  </pic:spPr>
                </pic:pic>
              </a:graphicData>
            </a:graphic>
          </wp:inline>
        </w:drawing>
      </w:r>
    </w:p>
    <w:p w14:paraId="022A3AB8">
      <w:pPr>
        <w:pageBreakBefore w:val="0"/>
        <w:wordWrap/>
        <w:bidi w:val="0"/>
        <w:adjustRightInd/>
        <w:snapToGrid/>
        <w:ind w:firstLine="480"/>
        <w:textAlignment w:val="baseline"/>
        <w:rPr>
          <w:color w:val="auto"/>
        </w:rPr>
      </w:pPr>
      <w:r>
        <w:rPr>
          <w:color w:val="auto"/>
        </w:rPr>
        <w:t>式中：</w:t>
      </w:r>
    </w:p>
    <w:p w14:paraId="0FCF807C">
      <w:pPr>
        <w:pageBreakBefore w:val="0"/>
        <w:wordWrap/>
        <w:bidi w:val="0"/>
        <w:adjustRightInd/>
        <w:snapToGrid/>
        <w:ind w:firstLine="1050" w:firstLineChars="500"/>
        <w:textAlignment w:val="baseline"/>
        <w:rPr>
          <w:color w:val="auto"/>
        </w:rPr>
      </w:pPr>
      <w:r>
        <w:rPr>
          <w:color w:val="auto"/>
          <w:position w:val="-6"/>
          <w:sz w:val="21"/>
        </w:rPr>
        <w:drawing>
          <wp:inline distT="0" distB="0" distL="114300" distR="114300">
            <wp:extent cx="190500" cy="180975"/>
            <wp:effectExtent l="0" t="0" r="0" b="8890"/>
            <wp:docPr id="102"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65"/>
                    <pic:cNvPicPr>
                      <a:picLocks noChangeAspect="1"/>
                    </pic:cNvPicPr>
                  </pic:nvPicPr>
                  <pic:blipFill>
                    <a:blip r:embed="rId78"/>
                    <a:stretch>
                      <a:fillRect/>
                    </a:stretch>
                  </pic:blipFill>
                  <pic:spPr>
                    <a:xfrm>
                      <a:off x="0" y="0"/>
                      <a:ext cx="190500" cy="180975"/>
                    </a:xfrm>
                    <a:prstGeom prst="rect">
                      <a:avLst/>
                    </a:prstGeom>
                    <a:noFill/>
                    <a:ln>
                      <a:noFill/>
                    </a:ln>
                  </pic:spPr>
                </pic:pic>
              </a:graphicData>
            </a:graphic>
          </wp:inline>
        </w:drawing>
      </w:r>
      <w:r>
        <w:rPr>
          <w:color w:val="auto"/>
        </w:rPr>
        <w:t>——i类污染物单因子指数；</w:t>
      </w:r>
    </w:p>
    <w:p w14:paraId="088E093E">
      <w:pPr>
        <w:pageBreakBefore w:val="0"/>
        <w:tabs>
          <w:tab w:val="left" w:pos="720"/>
        </w:tabs>
        <w:wordWrap/>
        <w:bidi w:val="0"/>
        <w:adjustRightInd/>
        <w:snapToGrid/>
        <w:ind w:firstLine="1050" w:firstLineChars="500"/>
        <w:textAlignment w:val="baseline"/>
        <w:rPr>
          <w:color w:val="auto"/>
        </w:rPr>
      </w:pPr>
      <w:r>
        <w:rPr>
          <w:color w:val="auto"/>
          <w:position w:val="-6"/>
          <w:sz w:val="21"/>
        </w:rPr>
        <w:drawing>
          <wp:inline distT="0" distB="0" distL="114300" distR="114300">
            <wp:extent cx="190500" cy="180975"/>
            <wp:effectExtent l="0" t="0" r="0" b="8890"/>
            <wp:docPr id="103"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66"/>
                    <pic:cNvPicPr>
                      <a:picLocks noChangeAspect="1"/>
                    </pic:cNvPicPr>
                  </pic:nvPicPr>
                  <pic:blipFill>
                    <a:blip r:embed="rId79"/>
                    <a:stretch>
                      <a:fillRect/>
                    </a:stretch>
                  </pic:blipFill>
                  <pic:spPr>
                    <a:xfrm>
                      <a:off x="0" y="0"/>
                      <a:ext cx="190500" cy="180975"/>
                    </a:xfrm>
                    <a:prstGeom prst="rect">
                      <a:avLst/>
                    </a:prstGeom>
                    <a:noFill/>
                    <a:ln>
                      <a:noFill/>
                    </a:ln>
                  </pic:spPr>
                </pic:pic>
              </a:graphicData>
            </a:graphic>
          </wp:inline>
        </w:drawing>
      </w:r>
      <w:r>
        <w:rPr>
          <w:color w:val="auto"/>
        </w:rPr>
        <w:t>——i类污染物实测浓度平均值，</w:t>
      </w:r>
      <w:r>
        <w:rPr>
          <w:bCs/>
          <w:color w:val="auto"/>
        </w:rPr>
        <w:t>mg/L</w:t>
      </w:r>
      <w:r>
        <w:rPr>
          <w:color w:val="auto"/>
        </w:rPr>
        <w:t>；</w:t>
      </w:r>
    </w:p>
    <w:p w14:paraId="595E179C">
      <w:pPr>
        <w:pageBreakBefore w:val="0"/>
        <w:wordWrap/>
        <w:bidi w:val="0"/>
        <w:adjustRightInd/>
        <w:snapToGrid/>
        <w:ind w:firstLine="1050" w:firstLineChars="500"/>
        <w:textAlignment w:val="baseline"/>
        <w:rPr>
          <w:color w:val="auto"/>
        </w:rPr>
      </w:pPr>
      <w:r>
        <w:rPr>
          <w:color w:val="auto"/>
          <w:position w:val="-6"/>
          <w:sz w:val="21"/>
        </w:rPr>
        <w:drawing>
          <wp:inline distT="0" distB="0" distL="114300" distR="114300">
            <wp:extent cx="266700" cy="180975"/>
            <wp:effectExtent l="0" t="0" r="0" b="8890"/>
            <wp:docPr id="104"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67"/>
                    <pic:cNvPicPr>
                      <a:picLocks noChangeAspect="1"/>
                    </pic:cNvPicPr>
                  </pic:nvPicPr>
                  <pic:blipFill>
                    <a:blip r:embed="rId80"/>
                    <a:stretch>
                      <a:fillRect/>
                    </a:stretch>
                  </pic:blipFill>
                  <pic:spPr>
                    <a:xfrm>
                      <a:off x="0" y="0"/>
                      <a:ext cx="266700" cy="180975"/>
                    </a:xfrm>
                    <a:prstGeom prst="rect">
                      <a:avLst/>
                    </a:prstGeom>
                    <a:noFill/>
                    <a:ln>
                      <a:noFill/>
                    </a:ln>
                  </pic:spPr>
                </pic:pic>
              </a:graphicData>
            </a:graphic>
          </wp:inline>
        </w:drawing>
      </w:r>
      <w:r>
        <w:rPr>
          <w:color w:val="auto"/>
        </w:rPr>
        <w:t>——i类污染物的评价标准值，</w:t>
      </w:r>
      <w:r>
        <w:rPr>
          <w:bCs/>
          <w:color w:val="auto"/>
        </w:rPr>
        <w:t>mg/L</w:t>
      </w:r>
      <w:r>
        <w:rPr>
          <w:color w:val="auto"/>
        </w:rPr>
        <w:t>。</w:t>
      </w:r>
    </w:p>
    <w:p w14:paraId="50DB38E6">
      <w:pPr>
        <w:pageBreakBefore w:val="0"/>
        <w:wordWrap/>
        <w:bidi w:val="0"/>
        <w:adjustRightInd/>
        <w:snapToGrid/>
        <w:ind w:firstLine="480"/>
        <w:rPr>
          <w:color w:val="auto"/>
        </w:rPr>
      </w:pPr>
      <w:r>
        <w:rPr>
          <w:color w:val="auto"/>
        </w:rPr>
        <w:t>水质参数的标准指数&gt;1，表明该项水质参数超过了规定的指数水质指标，已不能满足使用要求；水质参数的标准指数≤1，表明该项水质参数到达或优于规定的水质，完全符合国家标准，可以满足使用要求。</w:t>
      </w:r>
    </w:p>
    <w:p w14:paraId="0D9E58F9">
      <w:pPr>
        <w:pageBreakBefore w:val="0"/>
        <w:wordWrap/>
        <w:bidi w:val="0"/>
        <w:adjustRightInd/>
        <w:snapToGrid/>
        <w:ind w:firstLine="480"/>
        <w:rPr>
          <w:b/>
          <w:bCs/>
          <w:color w:val="auto"/>
        </w:rPr>
      </w:pPr>
      <w:r>
        <w:rPr>
          <w:b/>
          <w:bCs/>
          <w:color w:val="auto"/>
        </w:rPr>
        <w:t>5、检测及统计结果</w:t>
      </w:r>
    </w:p>
    <w:p w14:paraId="0A1EAC44">
      <w:pPr>
        <w:keepNext w:val="0"/>
        <w:keepLines w:val="0"/>
        <w:pageBreakBefore w:val="0"/>
        <w:widowControl w:val="0"/>
        <w:kinsoku/>
        <w:wordWrap/>
        <w:overflowPunct/>
        <w:topLinePunct w:val="0"/>
        <w:autoSpaceDE/>
        <w:autoSpaceDN/>
        <w:bidi w:val="0"/>
        <w:adjustRightInd/>
        <w:snapToGrid/>
        <w:spacing w:before="0" w:beforeLines="50"/>
        <w:textAlignment w:val="auto"/>
        <w:rPr>
          <w:color w:val="auto"/>
        </w:rPr>
      </w:pPr>
      <w:r>
        <w:rPr>
          <w:color w:val="auto"/>
        </w:rPr>
        <w:t>监测断面统计结果见</w:t>
      </w:r>
      <w:r>
        <w:rPr>
          <w:rFonts w:hint="eastAsia"/>
          <w:color w:val="auto"/>
          <w:lang w:val="en-US" w:eastAsia="zh-CN"/>
        </w:rPr>
        <w:t>下表</w:t>
      </w:r>
      <w:r>
        <w:rPr>
          <w:color w:val="auto"/>
        </w:rPr>
        <w:t>。</w:t>
      </w:r>
    </w:p>
    <w:p w14:paraId="633EB47F">
      <w:pPr>
        <w:keepNext w:val="0"/>
        <w:keepLines w:val="0"/>
        <w:pageBreakBefore w:val="0"/>
        <w:widowControl w:val="0"/>
        <w:kinsoku/>
        <w:wordWrap/>
        <w:overflowPunct/>
        <w:topLinePunct w:val="0"/>
        <w:autoSpaceDE/>
        <w:autoSpaceDN/>
        <w:bidi w:val="0"/>
        <w:adjustRightInd/>
        <w:snapToGrid/>
        <w:spacing w:before="0" w:beforeLines="50"/>
        <w:textAlignment w:val="auto"/>
        <w:rPr>
          <w:b/>
          <w:bCs/>
          <w:color w:val="auto"/>
        </w:rPr>
      </w:pPr>
      <w:r>
        <w:rPr>
          <w:b/>
          <w:bCs/>
          <w:color w:val="auto"/>
        </w:rPr>
        <w:t>6、评价结果</w:t>
      </w:r>
    </w:p>
    <w:p w14:paraId="099B87BC">
      <w:pPr>
        <w:bidi w:val="0"/>
        <w:rPr>
          <w:color w:val="auto"/>
        </w:rPr>
      </w:pPr>
      <w:r>
        <w:rPr>
          <w:color w:val="auto"/>
        </w:rPr>
        <w:t>由监测结果可知，项目污水受纳水体</w:t>
      </w:r>
      <w:r>
        <w:rPr>
          <w:rFonts w:hint="eastAsia"/>
          <w:color w:val="auto"/>
          <w:lang w:eastAsia="zh-CN"/>
        </w:rPr>
        <w:t>巴河</w:t>
      </w:r>
      <w:r>
        <w:rPr>
          <w:rFonts w:hint="eastAsia"/>
          <w:color w:val="auto"/>
          <w:lang w:val="en-US" w:eastAsia="zh-CN"/>
        </w:rPr>
        <w:t>枯水期和丰水期</w:t>
      </w:r>
      <w:r>
        <w:rPr>
          <w:color w:val="auto"/>
        </w:rPr>
        <w:t>各水污染物指标均能达到</w:t>
      </w:r>
      <w:r>
        <w:rPr>
          <w:rFonts w:hint="eastAsia"/>
          <w:color w:val="auto"/>
          <w:lang w:eastAsia="zh-CN"/>
        </w:rPr>
        <w:t>《地表水环境质量标准》</w:t>
      </w:r>
      <w:r>
        <w:rPr>
          <w:color w:val="auto"/>
        </w:rPr>
        <w:t>（GB3838-2002）Ⅲ类水域标准限值要求，水环境质量现状较好。</w:t>
      </w:r>
    </w:p>
    <w:p w14:paraId="2A215A42">
      <w:pPr>
        <w:pStyle w:val="5"/>
        <w:bidi w:val="0"/>
        <w:rPr>
          <w:color w:val="auto"/>
        </w:rPr>
      </w:pPr>
      <w:r>
        <w:rPr>
          <w:rFonts w:hint="eastAsia"/>
          <w:color w:val="auto"/>
          <w:lang w:val="en-US" w:eastAsia="zh-CN"/>
        </w:rPr>
        <w:t xml:space="preserve"> </w:t>
      </w:r>
      <w:r>
        <w:rPr>
          <w:color w:val="auto"/>
        </w:rPr>
        <w:t>地下水环境质量现状监测与评价</w:t>
      </w:r>
    </w:p>
    <w:p w14:paraId="0F9F36E2">
      <w:pPr>
        <w:pStyle w:val="10"/>
        <w:bidi w:val="0"/>
        <w:rPr>
          <w:color w:val="auto"/>
        </w:rPr>
      </w:pPr>
      <w:r>
        <w:rPr>
          <w:color w:val="auto"/>
        </w:rPr>
        <w:t>地下水环境现状调查与评价</w:t>
      </w:r>
    </w:p>
    <w:p w14:paraId="3370B1C7">
      <w:pPr>
        <w:bidi w:val="0"/>
        <w:rPr>
          <w:b/>
          <w:bCs/>
          <w:color w:val="auto"/>
        </w:rPr>
      </w:pPr>
      <w:r>
        <w:rPr>
          <w:rFonts w:hint="eastAsia"/>
          <w:b/>
          <w:bCs/>
          <w:color w:val="auto"/>
          <w:lang w:val="en-US" w:eastAsia="zh-CN"/>
        </w:rPr>
        <w:t>1、</w:t>
      </w:r>
      <w:r>
        <w:rPr>
          <w:b/>
          <w:bCs/>
          <w:color w:val="auto"/>
        </w:rPr>
        <w:t>地下水环境现状调查内容与方法</w:t>
      </w:r>
    </w:p>
    <w:p w14:paraId="1BD09A90">
      <w:pPr>
        <w:bidi w:val="0"/>
        <w:rPr>
          <w:color w:val="auto"/>
        </w:rPr>
      </w:pPr>
      <w:r>
        <w:rPr>
          <w:color w:val="auto"/>
        </w:rPr>
        <w:t>项目区地下水环境调查是根据建设项目所在地区的水环境特点，根据地下水环境保护目标开展调查。调查的方法主要采用收集资料法、现场调查法及钻探等。现场调查包括：水文地质基础调查、环境水文地质调查、地下水水质和污染调查等。具体调查内容有：</w:t>
      </w:r>
    </w:p>
    <w:p w14:paraId="608FD7D4">
      <w:pPr>
        <w:bidi w:val="0"/>
        <w:rPr>
          <w:color w:val="auto"/>
        </w:rPr>
      </w:pPr>
      <w:r>
        <w:rPr>
          <w:color w:val="auto"/>
        </w:rPr>
        <w:t>（1）水文地质条件调查</w:t>
      </w:r>
    </w:p>
    <w:p w14:paraId="2AFDAA6F">
      <w:pPr>
        <w:bidi w:val="0"/>
        <w:rPr>
          <w:color w:val="auto"/>
        </w:rPr>
      </w:pPr>
      <w:r>
        <w:rPr>
          <w:color w:val="auto"/>
        </w:rPr>
        <w:t>1）气象、水文、土壤和植被状况。</w:t>
      </w:r>
    </w:p>
    <w:p w14:paraId="47D6A44F">
      <w:pPr>
        <w:bidi w:val="0"/>
        <w:rPr>
          <w:color w:val="auto"/>
        </w:rPr>
      </w:pPr>
      <w:r>
        <w:rPr>
          <w:color w:val="auto"/>
        </w:rPr>
        <w:t>2）地层岩性、地质构造、地貌特征与矿产资源。</w:t>
      </w:r>
    </w:p>
    <w:p w14:paraId="58096664">
      <w:pPr>
        <w:bidi w:val="0"/>
        <w:rPr>
          <w:color w:val="auto"/>
        </w:rPr>
      </w:pPr>
      <w:r>
        <w:rPr>
          <w:color w:val="auto"/>
        </w:rPr>
        <w:t>3）通过实地钻孔资料分析含水层的岩性、分布、结构、厚度、埋藏条件、渗透性和富水程度等；隔水层（弱透水层）的岩性、厚度、渗透性等。</w:t>
      </w:r>
    </w:p>
    <w:p w14:paraId="69C5A05B">
      <w:pPr>
        <w:bidi w:val="0"/>
        <w:rPr>
          <w:color w:val="auto"/>
        </w:rPr>
      </w:pPr>
      <w:r>
        <w:rPr>
          <w:color w:val="auto"/>
        </w:rPr>
        <w:t>4）结合区域地质背景特征分析区域地下水类型、补给、径流和排泄条件。</w:t>
      </w:r>
    </w:p>
    <w:p w14:paraId="5D54199F">
      <w:pPr>
        <w:bidi w:val="0"/>
        <w:rPr>
          <w:color w:val="auto"/>
        </w:rPr>
      </w:pPr>
      <w:r>
        <w:rPr>
          <w:color w:val="auto"/>
        </w:rPr>
        <w:t>5）地下水水位、水质、水量、水温、地下水化学类型。</w:t>
      </w:r>
    </w:p>
    <w:p w14:paraId="7BAA1EC1">
      <w:pPr>
        <w:bidi w:val="0"/>
        <w:rPr>
          <w:color w:val="auto"/>
        </w:rPr>
      </w:pPr>
      <w:r>
        <w:rPr>
          <w:color w:val="auto"/>
        </w:rPr>
        <w:t>6）地下水资源量及现利用情况。</w:t>
      </w:r>
    </w:p>
    <w:p w14:paraId="4049FE11">
      <w:pPr>
        <w:bidi w:val="0"/>
        <w:rPr>
          <w:color w:val="auto"/>
        </w:rPr>
      </w:pPr>
      <w:r>
        <w:rPr>
          <w:color w:val="auto"/>
        </w:rPr>
        <w:t>7）集中供水水源地和水源井的分布情况（包括开采层的成井的密度、水井结构、深度以及开采历史）。</w:t>
      </w:r>
    </w:p>
    <w:p w14:paraId="51689715">
      <w:pPr>
        <w:bidi w:val="0"/>
        <w:rPr>
          <w:color w:val="auto"/>
        </w:rPr>
      </w:pPr>
      <w:r>
        <w:rPr>
          <w:color w:val="auto"/>
        </w:rPr>
        <w:t>8）地下水环境监测现状值（或地下水污染对照值）。</w:t>
      </w:r>
    </w:p>
    <w:p w14:paraId="050C1A59">
      <w:pPr>
        <w:bidi w:val="0"/>
        <w:rPr>
          <w:color w:val="auto"/>
        </w:rPr>
      </w:pPr>
      <w:r>
        <w:rPr>
          <w:color w:val="auto"/>
        </w:rPr>
        <w:t>（2）地下水污染源调查</w:t>
      </w:r>
    </w:p>
    <w:p w14:paraId="7E7B84B2">
      <w:pPr>
        <w:bidi w:val="0"/>
        <w:rPr>
          <w:color w:val="auto"/>
        </w:rPr>
      </w:pPr>
      <w:r>
        <w:rPr>
          <w:color w:val="auto"/>
        </w:rPr>
        <w:t>通过区域水文地质报告资料分析及现场调查厂区及周边地区可能造成或已经造成地下水污染的污染源和敏感区。</w:t>
      </w:r>
    </w:p>
    <w:p w14:paraId="33258602">
      <w:pPr>
        <w:bidi w:val="0"/>
        <w:rPr>
          <w:color w:val="auto"/>
        </w:rPr>
      </w:pPr>
      <w:r>
        <w:rPr>
          <w:color w:val="auto"/>
        </w:rPr>
        <w:t>1）对已有污染源调查资料的地区，通过搜集现有资料解决。</w:t>
      </w:r>
    </w:p>
    <w:p w14:paraId="07710B43">
      <w:pPr>
        <w:bidi w:val="0"/>
        <w:rPr>
          <w:color w:val="auto"/>
        </w:rPr>
      </w:pPr>
      <w:r>
        <w:rPr>
          <w:color w:val="auto"/>
        </w:rPr>
        <w:t>2）对于没有污染源调查资料，或已有部分调查资料，结合环境水文地质问题同步进行调查。对分散在评价区的非工业污染源，根据污染源的特点，参照上述规定进行调查。</w:t>
      </w:r>
    </w:p>
    <w:p w14:paraId="2BC541BF">
      <w:pPr>
        <w:pStyle w:val="10"/>
        <w:bidi w:val="0"/>
        <w:rPr>
          <w:color w:val="auto"/>
        </w:rPr>
      </w:pPr>
      <w:bookmarkStart w:id="141" w:name="_Toc327221727"/>
      <w:bookmarkStart w:id="142" w:name="_Toc317876281"/>
      <w:bookmarkStart w:id="143" w:name="_Toc317974799"/>
      <w:bookmarkStart w:id="144" w:name="_Toc286750894"/>
      <w:bookmarkStart w:id="145" w:name="_Toc317876355"/>
      <w:bookmarkStart w:id="146" w:name="_Toc317876100"/>
      <w:bookmarkStart w:id="147" w:name="_Toc317876429"/>
      <w:r>
        <w:rPr>
          <w:color w:val="auto"/>
        </w:rPr>
        <w:t>地质背景</w:t>
      </w:r>
    </w:p>
    <w:bookmarkEnd w:id="141"/>
    <w:p w14:paraId="367FC453">
      <w:pPr>
        <w:bidi w:val="0"/>
        <w:rPr>
          <w:b/>
          <w:bCs/>
          <w:color w:val="auto"/>
        </w:rPr>
      </w:pPr>
      <w:r>
        <w:rPr>
          <w:rFonts w:hint="eastAsia"/>
          <w:b/>
          <w:bCs/>
          <w:color w:val="auto"/>
          <w:lang w:val="en-US" w:eastAsia="zh-CN"/>
        </w:rPr>
        <w:t>1、</w:t>
      </w:r>
      <w:r>
        <w:rPr>
          <w:b/>
          <w:bCs/>
          <w:color w:val="auto"/>
        </w:rPr>
        <w:t>地形地貌</w:t>
      </w:r>
    </w:p>
    <w:p w14:paraId="40F7A8A8">
      <w:pPr>
        <w:ind w:firstLine="480"/>
        <w:rPr>
          <w:color w:val="auto"/>
        </w:rPr>
      </w:pPr>
      <w:r>
        <w:rPr>
          <w:rFonts w:hint="eastAsia"/>
          <w:color w:val="auto"/>
        </w:rPr>
        <w:t>本项目评价区位于巴中市巴州区曾口镇，巴中地处四川盆地北部的低山区，地势北高南低，北及西北向南及西南倾斜。除溪河地势较低、山峰地势较高外，大部分海拔在400～800m之间。主要地貌类型有平坝、台地、低丘、高丘、低山、低中山、山原等。平坝主要分布在巴河、恩阳河、双桥河沿岸。台地除北部低中山区少见外，其余地区均有出现，较多的是东部的水宁寺镇等；低丘主要分布在巴河、恩阳河一带；高丘主要分布在区境的西南部，巴河、恩阳河两岸与平坝和低丘相邻地段；低山全区各地均有分布；低中山分布在区境北部与通江、南江交界的白庙、梓橦、寺岭、枣林等乡镇的全部或部分区域，海拔在1000～1400m之间，相对高差650～1090m；山原分布于区境低山、低中山的山顶、山脊及山坡上。恩阳区主要属米仓山南麓丘陵地貌，正好处于巴中境内低山、长梁高丘地貌向平缓坡台状丘陵地貌过渡地带，境内多为丘陵、低山，平坝较少，全区地势西北高、东南低，这与区域整体地貌轮廓一致，最高山峰高观山海拔1100余米。</w:t>
      </w:r>
    </w:p>
    <w:p w14:paraId="07BB594C">
      <w:pPr>
        <w:ind w:firstLine="480"/>
        <w:rPr>
          <w:color w:val="auto"/>
        </w:rPr>
      </w:pPr>
      <w:r>
        <w:rPr>
          <w:rFonts w:hint="eastAsia"/>
          <w:color w:val="auto"/>
        </w:rPr>
        <w:t>拟建污水处理厂原始地形起伏较大，为河流阶地，拟建场地地势北侧、西侧高，东侧、南侧较低，呈阶状分布，阶坎约1-3m。现状条件下主要为耕植地，分布有居民房屋，地表的植物未清理，场地未开挖平整。</w:t>
      </w:r>
    </w:p>
    <w:p w14:paraId="3EB10FD3">
      <w:pPr>
        <w:bidi w:val="0"/>
        <w:rPr>
          <w:b/>
          <w:bCs/>
          <w:color w:val="auto"/>
        </w:rPr>
      </w:pPr>
      <w:r>
        <w:rPr>
          <w:rFonts w:hint="eastAsia"/>
          <w:b/>
          <w:bCs/>
          <w:color w:val="auto"/>
          <w:lang w:val="en-US" w:eastAsia="zh-CN"/>
        </w:rPr>
        <w:t>2、</w:t>
      </w:r>
      <w:r>
        <w:rPr>
          <w:b/>
          <w:bCs/>
          <w:color w:val="auto"/>
        </w:rPr>
        <w:t>地层岩性</w:t>
      </w:r>
    </w:p>
    <w:p w14:paraId="4E71E510">
      <w:pPr>
        <w:ind w:firstLine="480"/>
        <w:rPr>
          <w:rFonts w:hint="default" w:ascii="Times New Roman" w:hAnsi="Times New Roman" w:cs="Times New Roman"/>
          <w:color w:val="auto"/>
        </w:rPr>
      </w:pPr>
      <w:r>
        <w:rPr>
          <w:rFonts w:hint="default" w:ascii="Times New Roman" w:hAnsi="Times New Roman" w:cs="Times New Roman"/>
          <w:color w:val="auto"/>
        </w:rPr>
        <w:t>根据区域地质资料并结合项目岩土工程勘察报告，项目评价区出露的地层包括第四系冲积层（Q</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al</w:t>
      </w:r>
      <w:r>
        <w:rPr>
          <w:rFonts w:hint="default" w:ascii="Times New Roman" w:hAnsi="Times New Roman" w:cs="Times New Roman"/>
          <w:color w:val="auto"/>
        </w:rPr>
        <w:t>）及第四系上更新统冲积层（Q</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al</w:t>
      </w:r>
      <w:r>
        <w:rPr>
          <w:rFonts w:hint="default" w:ascii="Times New Roman" w:hAnsi="Times New Roman" w:cs="Times New Roman"/>
          <w:color w:val="auto"/>
        </w:rPr>
        <w:t>）砂砾卵石层，下伏基岩地层为白垩系下统白龙组（K</w:t>
      </w:r>
      <w:r>
        <w:rPr>
          <w:rFonts w:hint="default" w:ascii="Times New Roman" w:hAnsi="Times New Roman" w:cs="Times New Roman"/>
          <w:color w:val="auto"/>
          <w:vertAlign w:val="subscript"/>
        </w:rPr>
        <w:t>1</w:t>
      </w:r>
      <w:r>
        <w:rPr>
          <w:rFonts w:hint="default" w:ascii="Times New Roman" w:hAnsi="Times New Roman" w:cs="Times New Roman"/>
          <w:color w:val="auto"/>
        </w:rPr>
        <w:t>b）砂泥岩。各地层岩性特征由老至新描述如下：</w:t>
      </w:r>
    </w:p>
    <w:p w14:paraId="02234494">
      <w:pPr>
        <w:ind w:firstLine="480"/>
        <w:rPr>
          <w:rFonts w:hint="default" w:ascii="Times New Roman" w:hAnsi="Times New Roman" w:cs="Times New Roman"/>
          <w:color w:val="auto"/>
        </w:rPr>
      </w:pPr>
      <w:r>
        <w:rPr>
          <w:rFonts w:hint="default" w:ascii="Times New Roman" w:hAnsi="Times New Roman" w:eastAsia="宋体" w:cs="Times New Roman"/>
          <w:color w:val="auto"/>
        </w:rPr>
        <w:t>①</w:t>
      </w:r>
      <w:r>
        <w:rPr>
          <w:rFonts w:hint="default" w:ascii="Times New Roman" w:hAnsi="Times New Roman" w:cs="Times New Roman"/>
          <w:color w:val="auto"/>
        </w:rPr>
        <w:t>白垩系下统白龙组（K</w:t>
      </w:r>
      <w:r>
        <w:rPr>
          <w:rFonts w:hint="default" w:ascii="Times New Roman" w:hAnsi="Times New Roman" w:cs="Times New Roman"/>
          <w:color w:val="auto"/>
          <w:vertAlign w:val="subscript"/>
        </w:rPr>
        <w:t>1</w:t>
      </w:r>
      <w:r>
        <w:rPr>
          <w:rFonts w:hint="default" w:ascii="Times New Roman" w:hAnsi="Times New Roman" w:cs="Times New Roman"/>
          <w:color w:val="auto"/>
        </w:rPr>
        <w:t>b）</w:t>
      </w:r>
    </w:p>
    <w:p w14:paraId="7E32F207">
      <w:pPr>
        <w:ind w:firstLine="480"/>
        <w:rPr>
          <w:rFonts w:hint="default" w:ascii="Times New Roman" w:hAnsi="Times New Roman" w:cs="Times New Roman"/>
          <w:color w:val="auto"/>
        </w:rPr>
      </w:pPr>
      <w:r>
        <w:rPr>
          <w:rFonts w:hint="default" w:ascii="Times New Roman" w:hAnsi="Times New Roman" w:cs="Times New Roman"/>
          <w:color w:val="auto"/>
        </w:rPr>
        <w:t>岩性为青灰色块状中-细粒长石石英砂岩夹砖红色泥岩、粉砂质泥岩，底部有一层厚1m左右的砾岩。砂泥岩比例为3:1，砂岩共有5-9层，一般厚15-40m，个别层厚达50余米。根据本项目岩土工程勘察，覆盖层以下基岩均为砂岩，最大揭露厚度为15.8m，岩心多呈柱状，节理裂隙发育程度较低。</w:t>
      </w:r>
    </w:p>
    <w:p w14:paraId="01E45548">
      <w:pPr>
        <w:ind w:firstLine="480"/>
        <w:rPr>
          <w:rFonts w:hint="default" w:ascii="Times New Roman" w:hAnsi="Times New Roman" w:cs="Times New Roman"/>
          <w:color w:val="auto"/>
        </w:rPr>
      </w:pPr>
      <w:r>
        <w:rPr>
          <w:rFonts w:hint="default" w:ascii="Times New Roman" w:hAnsi="Times New Roman" w:eastAsia="宋体" w:cs="Times New Roman"/>
          <w:color w:val="auto"/>
        </w:rPr>
        <w:t>②</w:t>
      </w:r>
      <w:r>
        <w:rPr>
          <w:rFonts w:hint="default" w:ascii="Times New Roman" w:hAnsi="Times New Roman" w:cs="Times New Roman"/>
          <w:color w:val="auto"/>
        </w:rPr>
        <w:t>第四系上更新统冲积层（Q</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al</w:t>
      </w:r>
      <w:r>
        <w:rPr>
          <w:rFonts w:hint="default" w:ascii="Times New Roman" w:hAnsi="Times New Roman" w:cs="Times New Roman"/>
          <w:color w:val="auto"/>
        </w:rPr>
        <w:t>）</w:t>
      </w:r>
    </w:p>
    <w:p w14:paraId="68EACFCC">
      <w:pPr>
        <w:spacing w:before="50" w:after="50"/>
        <w:ind w:firstLine="480"/>
        <w:textAlignment w:val="baseline"/>
        <w:rPr>
          <w:rFonts w:hint="default" w:ascii="Times New Roman" w:hAnsi="Times New Roman" w:cs="Times New Roman"/>
          <w:color w:val="auto"/>
          <w:szCs w:val="24"/>
        </w:rPr>
      </w:pPr>
      <w:r>
        <w:rPr>
          <w:rFonts w:hint="default" w:ascii="Times New Roman" w:hAnsi="Times New Roman" w:cs="Times New Roman"/>
          <w:color w:val="auto"/>
          <w:szCs w:val="24"/>
        </w:rPr>
        <w:t>为项目评价区主要出露地层，地貌上为河流二、三级阶地，上部为黄褐色软塑到可塑状粉质粘土，厚度一般0.5～9.70m，切面较光滑，无摇振反应，干强度，韧性中等。下部局部地段分布松散-稍密卵石层，灰褐色，湿，卵石成分为长石石英砂岩、呈亚圆形，卵石含量约55%～60%不等，粒径一般为15～70 mm，分选性中等，中等风化，间隙充填砂，厚度0.5～3.4 m。根据勘察资料，该层总厚度为2.1～11.0m。</w:t>
      </w:r>
    </w:p>
    <w:p w14:paraId="30D49DAF">
      <w:pPr>
        <w:ind w:firstLine="480"/>
        <w:rPr>
          <w:rFonts w:hint="default" w:ascii="Times New Roman" w:hAnsi="Times New Roman" w:cs="Times New Roman"/>
          <w:color w:val="auto"/>
        </w:rPr>
      </w:pPr>
      <w:r>
        <w:rPr>
          <w:rFonts w:hint="default" w:ascii="Times New Roman" w:hAnsi="Times New Roman" w:eastAsia="宋体" w:cs="Times New Roman"/>
          <w:color w:val="auto"/>
        </w:rPr>
        <w:t>④</w:t>
      </w:r>
      <w:r>
        <w:rPr>
          <w:rFonts w:hint="default" w:ascii="Times New Roman" w:hAnsi="Times New Roman" w:cs="Times New Roman"/>
          <w:color w:val="auto"/>
        </w:rPr>
        <w:t>第四系全新统Q</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al</w:t>
      </w:r>
      <w:r>
        <w:rPr>
          <w:rFonts w:hint="default" w:ascii="Times New Roman" w:hAnsi="Times New Roman" w:cs="Times New Roman"/>
          <w:color w:val="auto"/>
        </w:rPr>
        <w:t>）冲积层</w:t>
      </w:r>
    </w:p>
    <w:p w14:paraId="27237047">
      <w:pPr>
        <w:ind w:firstLine="480"/>
        <w:rPr>
          <w:rFonts w:hint="default" w:ascii="Times New Roman" w:hAnsi="Times New Roman" w:cs="Times New Roman"/>
          <w:color w:val="auto"/>
        </w:rPr>
      </w:pPr>
      <w:r>
        <w:rPr>
          <w:rFonts w:hint="default" w:ascii="Times New Roman" w:hAnsi="Times New Roman" w:cs="Times New Roman"/>
          <w:color w:val="auto"/>
        </w:rPr>
        <w:t>在污水处理厂与巴河之间呈条带状分布，为近代河流冲积形成的一级阶地，宽度约30-70m。阶地上部为灰褐色亚粘土，厚2-5 m；下部为砂砾卵石层，其中砂约占30%。砾卵石直径一般3-8cm，大者15cm左右，磨圆较好，多呈次圆状，砾石成分主要为砂岩，次为灰岩、岩浆岩。根据勘察资料及现场调查，评价区该层厚度约10-15 m。</w:t>
      </w:r>
    </w:p>
    <w:p w14:paraId="7EC31CC8">
      <w:pPr>
        <w:bidi w:val="0"/>
        <w:rPr>
          <w:rFonts w:hint="default" w:ascii="Times New Roman" w:hAnsi="Times New Roman" w:cs="Times New Roman"/>
          <w:b/>
          <w:bCs/>
          <w:color w:val="auto"/>
        </w:rPr>
      </w:pPr>
      <w:r>
        <w:rPr>
          <w:rFonts w:hint="default" w:ascii="Times New Roman" w:hAnsi="Times New Roman" w:cs="Times New Roman"/>
          <w:b/>
          <w:bCs/>
          <w:color w:val="auto"/>
          <w:lang w:val="en-US" w:eastAsia="zh-CN"/>
        </w:rPr>
        <w:t>3、</w:t>
      </w:r>
      <w:r>
        <w:rPr>
          <w:rFonts w:hint="default" w:ascii="Times New Roman" w:hAnsi="Times New Roman" w:cs="Times New Roman"/>
          <w:b/>
          <w:bCs/>
          <w:color w:val="auto"/>
        </w:rPr>
        <w:t>地质构造</w:t>
      </w:r>
    </w:p>
    <w:p w14:paraId="413D682C">
      <w:pPr>
        <w:ind w:firstLine="480"/>
        <w:rPr>
          <w:rFonts w:hint="default" w:ascii="Times New Roman" w:hAnsi="Times New Roman" w:cs="Times New Roman"/>
          <w:color w:val="auto"/>
        </w:rPr>
      </w:pPr>
      <w:bookmarkStart w:id="148" w:name="_Toc327221730"/>
      <w:r>
        <w:rPr>
          <w:rFonts w:hint="default" w:ascii="Times New Roman" w:hAnsi="Times New Roman" w:cs="Times New Roman"/>
          <w:color w:val="auto"/>
        </w:rPr>
        <w:t>项目评价区位于新华夏系四川沉降带的川东褶皱带内的巴中—仪陇—平昌莲花状旋扭构造体系中。该构造体系是由一系列规模大小不一，两翼似斜平缓呈参差不齐的半环状排列的背、向斜褶皱构造形迹组成，区域地貌属大巴山南坡前山带，为构造剥蚀丘陵地貌。区内构造形态单一，未见断裂，无褶皱，地应力作用不强，岩层很平缓，拟建场地位于巴中向斜南翼，岩层产状223∠3，出露白垩系白龙组的砂岩、泥岩拟建场地无断裂和褶皱，无断裂构造通过，无新构造运动迹象，稳定性较好。</w:t>
      </w:r>
    </w:p>
    <w:p w14:paraId="650EA891">
      <w:pPr>
        <w:pStyle w:val="10"/>
        <w:bidi w:val="0"/>
        <w:rPr>
          <w:color w:val="auto"/>
        </w:rPr>
      </w:pPr>
      <w:r>
        <w:rPr>
          <w:color w:val="auto"/>
        </w:rPr>
        <w:t>评价区水文地质条件</w:t>
      </w:r>
    </w:p>
    <w:p w14:paraId="71614F71">
      <w:pPr>
        <w:bidi w:val="0"/>
        <w:rPr>
          <w:b/>
          <w:bCs/>
          <w:color w:val="auto"/>
        </w:rPr>
      </w:pPr>
      <w:r>
        <w:rPr>
          <w:rFonts w:hint="eastAsia"/>
          <w:b/>
          <w:bCs/>
          <w:color w:val="auto"/>
          <w:lang w:val="en-US" w:eastAsia="zh-CN"/>
        </w:rPr>
        <w:t>1、</w:t>
      </w:r>
      <w:r>
        <w:rPr>
          <w:b/>
          <w:bCs/>
          <w:color w:val="auto"/>
        </w:rPr>
        <w:t>地下水类型及其富水性</w:t>
      </w:r>
    </w:p>
    <w:p w14:paraId="2164F6E8">
      <w:pPr>
        <w:ind w:firstLine="480"/>
        <w:rPr>
          <w:rFonts w:hint="default" w:ascii="Times New Roman" w:hAnsi="Times New Roman" w:cs="Times New Roman"/>
          <w:color w:val="auto"/>
        </w:rPr>
      </w:pPr>
      <w:r>
        <w:rPr>
          <w:rFonts w:hint="default" w:ascii="Times New Roman" w:hAnsi="Times New Roman" w:cs="Times New Roman"/>
          <w:color w:val="auto"/>
        </w:rPr>
        <w:t>项目评价区地下水类型包含第四系松散类孔隙水和基岩裂隙水两大类，第四系松散岩类孔隙水主要赋存于第四系粉质粘土及砂砾卵石层松散孔隙中，基岩裂隙水主要赋存于砂岩浅层裂隙中，两者有较强的水力联系。</w:t>
      </w:r>
    </w:p>
    <w:p w14:paraId="1145E5E8">
      <w:pPr>
        <w:ind w:firstLine="480"/>
        <w:rPr>
          <w:rFonts w:hint="default" w:ascii="Times New Roman" w:hAnsi="Times New Roman" w:cs="Times New Roman"/>
          <w:color w:val="auto"/>
        </w:rPr>
      </w:pPr>
      <w:r>
        <w:rPr>
          <w:rFonts w:hint="default" w:ascii="Times New Roman" w:hAnsi="Times New Roman" w:cs="Times New Roman"/>
          <w:color w:val="auto"/>
        </w:rPr>
        <w:t>（1）第四系松散岩类孔隙水</w:t>
      </w:r>
    </w:p>
    <w:p w14:paraId="2AC662FB">
      <w:pPr>
        <w:ind w:firstLine="480"/>
        <w:rPr>
          <w:rFonts w:hint="default" w:ascii="Times New Roman" w:hAnsi="Times New Roman" w:cs="Times New Roman"/>
          <w:color w:val="auto"/>
        </w:rPr>
      </w:pPr>
      <w:r>
        <w:rPr>
          <w:rFonts w:hint="default" w:ascii="Times New Roman" w:hAnsi="Times New Roman" w:cs="Times New Roman"/>
          <w:color w:val="auto"/>
        </w:rPr>
        <w:t>广泛赋存于本项目评价区第四系更新世堆积的粘土、亚粘土及砂砾卵石层</w:t>
      </w:r>
      <w:r>
        <w:rPr>
          <w:rFonts w:hint="eastAsia" w:ascii="Times New Roman" w:hAnsi="Times New Roman" w:cs="Times New Roman"/>
          <w:color w:val="auto"/>
          <w:lang w:eastAsia="zh-CN"/>
        </w:rPr>
        <w:t>（</w:t>
      </w:r>
      <w:r>
        <w:rPr>
          <w:rFonts w:hint="default" w:ascii="Times New Roman" w:hAnsi="Times New Roman" w:cs="Times New Roman"/>
          <w:color w:val="auto"/>
        </w:rPr>
        <w:t>Q</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al</w:t>
      </w:r>
      <w:r>
        <w:rPr>
          <w:rFonts w:hint="eastAsia" w:ascii="Times New Roman" w:hAnsi="Times New Roman" w:cs="Times New Roman"/>
          <w:color w:val="auto"/>
          <w:lang w:eastAsia="zh-CN"/>
        </w:rPr>
        <w:t>）</w:t>
      </w:r>
      <w:r>
        <w:rPr>
          <w:rFonts w:hint="default" w:ascii="Times New Roman" w:hAnsi="Times New Roman" w:cs="Times New Roman"/>
          <w:color w:val="auto"/>
        </w:rPr>
        <w:t>，地貌上属巴河的二、三级阶地，污水处理厂到巴河之间的一级阶地全新统砂砾卵石层</w:t>
      </w:r>
      <w:r>
        <w:rPr>
          <w:rFonts w:hint="eastAsia" w:ascii="Times New Roman" w:hAnsi="Times New Roman" w:cs="Times New Roman"/>
          <w:color w:val="auto"/>
          <w:lang w:eastAsia="zh-CN"/>
        </w:rPr>
        <w:t>（</w:t>
      </w:r>
      <w:r>
        <w:rPr>
          <w:rFonts w:hint="default" w:ascii="Times New Roman" w:hAnsi="Times New Roman" w:cs="Times New Roman"/>
          <w:color w:val="auto"/>
        </w:rPr>
        <w:t>Q</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al</w:t>
      </w:r>
      <w:r>
        <w:rPr>
          <w:rFonts w:hint="eastAsia" w:ascii="Times New Roman" w:hAnsi="Times New Roman" w:cs="Times New Roman"/>
          <w:color w:val="auto"/>
          <w:lang w:eastAsia="zh-CN"/>
        </w:rPr>
        <w:t>）</w:t>
      </w:r>
      <w:r>
        <w:rPr>
          <w:rFonts w:hint="default" w:ascii="Times New Roman" w:hAnsi="Times New Roman" w:cs="Times New Roman"/>
          <w:color w:val="auto"/>
        </w:rPr>
        <w:t xml:space="preserve">含泥质重，也划归此类。地层整体富水性较差，根据区域水文地质资料区域上只在堆积层底部近基座面上有泉水出露，流量0.015-0.454 L/s，水量相对贫乏，单井涌水量一般在10-100 </w:t>
      </w:r>
      <w:r>
        <w:rPr>
          <w:rFonts w:hint="eastAsia" w:cs="Times New Roman"/>
          <w:color w:val="auto"/>
          <w:lang w:eastAsia="zh-CN"/>
        </w:rPr>
        <w:t>m³</w:t>
      </w:r>
      <w:r>
        <w:rPr>
          <w:rFonts w:hint="default" w:ascii="Times New Roman" w:hAnsi="Times New Roman" w:cs="Times New Roman"/>
          <w:color w:val="auto"/>
        </w:rPr>
        <w:t>/d。</w:t>
      </w:r>
    </w:p>
    <w:p w14:paraId="1A4D44E9">
      <w:pPr>
        <w:ind w:firstLine="480"/>
        <w:rPr>
          <w:rFonts w:hint="default" w:ascii="Times New Roman" w:hAnsi="Times New Roman" w:cs="Times New Roman"/>
          <w:color w:val="auto"/>
        </w:rPr>
      </w:pPr>
      <w:r>
        <w:rPr>
          <w:rFonts w:hint="default" w:ascii="Times New Roman" w:hAnsi="Times New Roman" w:cs="Times New Roman"/>
          <w:color w:val="auto"/>
        </w:rPr>
        <w:t>（2）基岩裂隙水</w:t>
      </w:r>
    </w:p>
    <w:p w14:paraId="1F0B73DD">
      <w:pPr>
        <w:ind w:firstLine="480"/>
        <w:rPr>
          <w:rFonts w:hint="default" w:ascii="Times New Roman" w:hAnsi="Times New Roman" w:cs="Times New Roman"/>
          <w:color w:val="auto"/>
        </w:rPr>
      </w:pPr>
      <w:r>
        <w:rPr>
          <w:rFonts w:hint="default" w:ascii="Times New Roman" w:hAnsi="Times New Roman" w:cs="Times New Roman"/>
          <w:color w:val="auto"/>
        </w:rPr>
        <w:t>根据项目岩土工程勘察报告，评价区“宽缓槽谷”内第四系粉质粘土及砂卵石层覆盖于下伏白垩系白龙组（K</w:t>
      </w:r>
      <w:r>
        <w:rPr>
          <w:rFonts w:hint="default" w:ascii="Times New Roman" w:hAnsi="Times New Roman" w:cs="Times New Roman"/>
          <w:color w:val="auto"/>
          <w:vertAlign w:val="subscript"/>
        </w:rPr>
        <w:t>1</w:t>
      </w:r>
      <w:r>
        <w:rPr>
          <w:rFonts w:hint="default" w:ascii="Times New Roman" w:hAnsi="Times New Roman" w:cs="Times New Roman"/>
          <w:color w:val="auto"/>
        </w:rPr>
        <w:t xml:space="preserve">b）长石石英砂岩地层之上，砂岩中浅部横张及X节理发育，由于埋藏浅，在长期外营力改造，裂隙进一步扩张，构成浅层地下水良好储存空间，裂隙发育厚度18～20m。评价区地表汇水条件好，浅层地下水主要接受大气降雨补给，槽谷两侧山体接受补给后，沿第四系孔隙及基岩裂隙带向地形低洼区域汇集，富集埋藏于地势低洼的沟谷、平坝、洼地地带。丘坡下部坡度变缓区域及槽谷内第四系之下的基岩裂隙是此类地下水最佳储水介质。因此，农户也较为集中地选择半坡以下及平坝而居。由于埋藏浅，径流时间短，因此地下水动态变化受气候因素影响较大。单井出水量小于50 </w:t>
      </w:r>
      <w:r>
        <w:rPr>
          <w:rFonts w:hint="eastAsia" w:cs="Times New Roman"/>
          <w:color w:val="auto"/>
          <w:lang w:eastAsia="zh-CN"/>
        </w:rPr>
        <w:t>m³</w:t>
      </w:r>
      <w:r>
        <w:rPr>
          <w:rFonts w:hint="default" w:ascii="Times New Roman" w:hAnsi="Times New Roman" w:cs="Times New Roman"/>
          <w:color w:val="auto"/>
        </w:rPr>
        <w:t>/d。</w:t>
      </w:r>
    </w:p>
    <w:p w14:paraId="0B8A0FC1">
      <w:pPr>
        <w:bidi w:val="0"/>
        <w:rPr>
          <w:b/>
          <w:bCs/>
          <w:color w:val="auto"/>
        </w:rPr>
      </w:pPr>
      <w:r>
        <w:rPr>
          <w:rFonts w:hint="eastAsia"/>
          <w:b/>
          <w:bCs/>
          <w:color w:val="auto"/>
          <w:lang w:val="en-US" w:eastAsia="zh-CN"/>
        </w:rPr>
        <w:t>2、</w:t>
      </w:r>
      <w:r>
        <w:rPr>
          <w:b/>
          <w:bCs/>
          <w:color w:val="auto"/>
        </w:rPr>
        <w:t>地下水补给、径流和排泄条件</w:t>
      </w:r>
    </w:p>
    <w:p w14:paraId="039F8C1B">
      <w:pPr>
        <w:ind w:firstLine="480"/>
        <w:rPr>
          <w:color w:val="auto"/>
        </w:rPr>
      </w:pPr>
      <w:r>
        <w:rPr>
          <w:rFonts w:hint="eastAsia"/>
          <w:color w:val="auto"/>
        </w:rPr>
        <w:t>评价区第四系松散岩类孔隙水及基岩裂隙水主要接受大气降雨垂直入渗补给，其次是地表水体，水库、堰塘、稻田、溪沟等对地下水均有一定的补给，评价区浅层地下水还接受来自北侧后缘的基岩裂隙水补给。由于降水的时空分布不均，因而这种补给是周期性的，当年4～10月为补给期，是地下水的峰值期，11月～次年3月为地下水消耗期，是地下水埋深、流量削减季节。评价区与广大红层丘陵地区相似，地下水一般由小沟至大沟，由支沟向主沟缓慢渗流，并以泉和渗流形式部分向低洼沟谷排泄，并最终排向当地最低侵蚀基准面，同时区内的居民打井抽汲地下水作为生产生活用水，也是常见的地下水排泄方式之一。</w:t>
      </w:r>
    </w:p>
    <w:p w14:paraId="2B9D74EE">
      <w:pPr>
        <w:bidi w:val="0"/>
        <w:rPr>
          <w:b/>
          <w:bCs/>
          <w:color w:val="auto"/>
        </w:rPr>
      </w:pPr>
      <w:r>
        <w:rPr>
          <w:rFonts w:hint="eastAsia"/>
          <w:b/>
          <w:bCs/>
          <w:color w:val="auto"/>
          <w:lang w:val="en-US" w:eastAsia="zh-CN"/>
        </w:rPr>
        <w:t>3、</w:t>
      </w:r>
      <w:r>
        <w:rPr>
          <w:b/>
          <w:bCs/>
          <w:color w:val="auto"/>
        </w:rPr>
        <w:t>地下水水位分布调查</w:t>
      </w:r>
    </w:p>
    <w:p w14:paraId="35D4C86E">
      <w:pPr>
        <w:ind w:firstLine="480"/>
        <w:rPr>
          <w:rFonts w:cs="Times New Roman"/>
          <w:color w:val="auto"/>
        </w:rPr>
      </w:pPr>
      <w:r>
        <w:rPr>
          <w:rFonts w:cs="Times New Roman"/>
          <w:color w:val="auto"/>
        </w:rPr>
        <w:t>评价区地下水</w:t>
      </w:r>
      <w:r>
        <w:rPr>
          <w:rFonts w:hint="eastAsia" w:cs="Times New Roman"/>
          <w:color w:val="auto"/>
        </w:rPr>
        <w:t>为降雨补给型，</w:t>
      </w:r>
      <w:r>
        <w:rPr>
          <w:rFonts w:cs="Times New Roman"/>
          <w:color w:val="auto"/>
        </w:rPr>
        <w:t>动态具有明显季节变化特征，潜水位一般从4</w:t>
      </w:r>
      <w:r>
        <w:rPr>
          <w:rFonts w:hint="eastAsia" w:cs="Times New Roman"/>
          <w:color w:val="auto"/>
        </w:rPr>
        <w:t>-</w:t>
      </w:r>
      <w:r>
        <w:rPr>
          <w:rFonts w:cs="Times New Roman"/>
          <w:color w:val="auto"/>
        </w:rPr>
        <w:t>5月开始上升至8月下旬最高峰出现于7</w:t>
      </w:r>
      <w:r>
        <w:rPr>
          <w:rFonts w:hint="eastAsia" w:cs="Times New Roman"/>
          <w:color w:val="auto"/>
        </w:rPr>
        <w:t>-</w:t>
      </w:r>
      <w:r>
        <w:rPr>
          <w:rFonts w:cs="Times New Roman"/>
          <w:color w:val="auto"/>
        </w:rPr>
        <w:t>8月，最低在1</w:t>
      </w:r>
      <w:r>
        <w:rPr>
          <w:rFonts w:hint="eastAsia" w:cs="Times New Roman"/>
          <w:color w:val="auto"/>
        </w:rPr>
        <w:t>-</w:t>
      </w:r>
      <w:r>
        <w:rPr>
          <w:rFonts w:cs="Times New Roman"/>
          <w:color w:val="auto"/>
        </w:rPr>
        <w:t>3月、12月中交替出现，动态曲线上峰谷起伏，动态变化明显。</w:t>
      </w:r>
    </w:p>
    <w:p w14:paraId="5E4D619F">
      <w:pPr>
        <w:ind w:firstLine="480"/>
        <w:rPr>
          <w:color w:val="auto"/>
        </w:rPr>
      </w:pPr>
      <w:r>
        <w:rPr>
          <w:color w:val="auto"/>
        </w:rPr>
        <w:t>本项目调查显示评价区监测井井口高程介于</w:t>
      </w:r>
      <w:r>
        <w:rPr>
          <w:rFonts w:hint="eastAsia"/>
          <w:color w:val="auto"/>
        </w:rPr>
        <w:t>329.14</w:t>
      </w:r>
      <w:r>
        <w:rPr>
          <w:color w:val="auto"/>
        </w:rPr>
        <w:t>～</w:t>
      </w:r>
      <w:r>
        <w:rPr>
          <w:rFonts w:hint="eastAsia"/>
          <w:color w:val="auto"/>
        </w:rPr>
        <w:t>342.53</w:t>
      </w:r>
      <w:r>
        <w:rPr>
          <w:color w:val="auto"/>
        </w:rPr>
        <w:t xml:space="preserve"> m，枯水期水位埋深</w:t>
      </w:r>
      <w:r>
        <w:rPr>
          <w:rFonts w:hint="eastAsia"/>
          <w:color w:val="auto"/>
        </w:rPr>
        <w:t>0.61</w:t>
      </w:r>
      <w:r>
        <w:rPr>
          <w:color w:val="auto"/>
        </w:rPr>
        <w:t>～</w:t>
      </w:r>
      <w:r>
        <w:rPr>
          <w:rFonts w:hint="eastAsia"/>
          <w:color w:val="auto"/>
        </w:rPr>
        <w:t>4.90</w:t>
      </w:r>
      <w:r>
        <w:rPr>
          <w:color w:val="auto"/>
        </w:rPr>
        <w:t>m，水位高程介于</w:t>
      </w:r>
      <w:r>
        <w:rPr>
          <w:rFonts w:hint="eastAsia"/>
          <w:color w:val="auto"/>
        </w:rPr>
        <w:t>328.37</w:t>
      </w:r>
      <w:r>
        <w:rPr>
          <w:color w:val="auto"/>
        </w:rPr>
        <w:t>～</w:t>
      </w:r>
      <w:r>
        <w:rPr>
          <w:rFonts w:hint="eastAsia"/>
          <w:color w:val="auto"/>
        </w:rPr>
        <w:t>340.14</w:t>
      </w:r>
      <w:r>
        <w:rPr>
          <w:color w:val="auto"/>
        </w:rPr>
        <w:t>m，丰水期水位埋深</w:t>
      </w:r>
      <w:r>
        <w:rPr>
          <w:rFonts w:hint="eastAsia"/>
          <w:color w:val="auto"/>
        </w:rPr>
        <w:t>0.10</w:t>
      </w:r>
      <w:r>
        <w:rPr>
          <w:color w:val="auto"/>
        </w:rPr>
        <w:t>～</w:t>
      </w:r>
      <w:r>
        <w:rPr>
          <w:rFonts w:hint="eastAsia"/>
          <w:color w:val="auto"/>
        </w:rPr>
        <w:t>4.10</w:t>
      </w:r>
      <w:r>
        <w:rPr>
          <w:color w:val="auto"/>
        </w:rPr>
        <w:t>m，水位高程介于</w:t>
      </w:r>
      <w:r>
        <w:rPr>
          <w:rFonts w:hint="eastAsia"/>
          <w:color w:val="auto"/>
        </w:rPr>
        <w:t>328.57</w:t>
      </w:r>
      <w:r>
        <w:rPr>
          <w:color w:val="auto"/>
        </w:rPr>
        <w:t>～</w:t>
      </w:r>
      <w:r>
        <w:rPr>
          <w:rFonts w:hint="eastAsia"/>
          <w:color w:val="auto"/>
        </w:rPr>
        <w:t>340.64</w:t>
      </w:r>
      <w:r>
        <w:rPr>
          <w:color w:val="auto"/>
        </w:rPr>
        <w:t xml:space="preserve"> m，丰枯期水位变幅</w:t>
      </w:r>
      <w:r>
        <w:rPr>
          <w:rFonts w:hint="eastAsia"/>
          <w:color w:val="auto"/>
        </w:rPr>
        <w:t>0.21</w:t>
      </w:r>
      <w:r>
        <w:rPr>
          <w:color w:val="auto"/>
        </w:rPr>
        <w:t>～</w:t>
      </w:r>
      <w:r>
        <w:rPr>
          <w:rFonts w:hint="eastAsia"/>
          <w:color w:val="auto"/>
        </w:rPr>
        <w:t xml:space="preserve">1.72 </w:t>
      </w:r>
      <w:r>
        <w:rPr>
          <w:color w:val="auto"/>
        </w:rPr>
        <w:t>m。</w:t>
      </w:r>
    </w:p>
    <w:p w14:paraId="767B8696">
      <w:pPr>
        <w:pStyle w:val="19"/>
        <w:numPr>
          <w:ilvl w:val="0"/>
          <w:numId w:val="28"/>
        </w:numPr>
        <w:bidi w:val="0"/>
        <w:rPr>
          <w:rFonts w:cs="Times New Roman"/>
          <w:color w:val="auto"/>
        </w:rPr>
      </w:pPr>
      <w:r>
        <w:rPr>
          <w:rFonts w:cs="Times New Roman"/>
          <w:color w:val="auto"/>
        </w:rPr>
        <w:t>评价区内地下水井水位观测数据</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1"/>
        <w:gridCol w:w="1378"/>
        <w:gridCol w:w="1048"/>
        <w:gridCol w:w="1029"/>
        <w:gridCol w:w="1131"/>
        <w:gridCol w:w="1131"/>
        <w:gridCol w:w="1131"/>
        <w:gridCol w:w="1127"/>
      </w:tblGrid>
      <w:tr w14:paraId="7FB67D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vMerge w:val="restart"/>
            <w:tcBorders>
              <w:tl2br w:val="nil"/>
              <w:tr2bl w:val="nil"/>
            </w:tcBorders>
            <w:shd w:val="clear" w:color="auto" w:fill="auto"/>
            <w:tcMar>
              <w:left w:w="28" w:type="dxa"/>
              <w:right w:w="28" w:type="dxa"/>
            </w:tcMar>
            <w:vAlign w:val="center"/>
          </w:tcPr>
          <w:p w14:paraId="740934EF">
            <w:pPr>
              <w:pStyle w:val="714"/>
              <w:rPr>
                <w:b/>
                <w:bCs/>
                <w:color w:val="auto"/>
              </w:rPr>
            </w:pPr>
            <w:r>
              <w:rPr>
                <w:rFonts w:hint="eastAsia"/>
                <w:b/>
                <w:bCs/>
                <w:color w:val="auto"/>
              </w:rPr>
              <w:t>监测点编号</w:t>
            </w:r>
          </w:p>
        </w:tc>
        <w:tc>
          <w:tcPr>
            <w:tcW w:w="784" w:type="pct"/>
            <w:vMerge w:val="restart"/>
            <w:tcBorders>
              <w:tl2br w:val="nil"/>
              <w:tr2bl w:val="nil"/>
            </w:tcBorders>
            <w:shd w:val="clear" w:color="auto" w:fill="auto"/>
            <w:tcMar>
              <w:left w:w="28" w:type="dxa"/>
              <w:right w:w="28" w:type="dxa"/>
            </w:tcMar>
            <w:vAlign w:val="center"/>
          </w:tcPr>
          <w:p w14:paraId="560A9017">
            <w:pPr>
              <w:pStyle w:val="714"/>
              <w:rPr>
                <w:b/>
                <w:bCs/>
                <w:color w:val="auto"/>
              </w:rPr>
            </w:pPr>
            <w:r>
              <w:rPr>
                <w:rFonts w:hint="eastAsia"/>
                <w:b/>
                <w:bCs/>
                <w:color w:val="auto"/>
              </w:rPr>
              <w:t>经度</w:t>
            </w:r>
          </w:p>
        </w:tc>
        <w:tc>
          <w:tcPr>
            <w:tcW w:w="596" w:type="pct"/>
            <w:vMerge w:val="restart"/>
            <w:tcBorders>
              <w:tl2br w:val="nil"/>
              <w:tr2bl w:val="nil"/>
            </w:tcBorders>
            <w:shd w:val="clear" w:color="auto" w:fill="auto"/>
            <w:tcMar>
              <w:left w:w="28" w:type="dxa"/>
              <w:right w:w="28" w:type="dxa"/>
            </w:tcMar>
            <w:vAlign w:val="center"/>
          </w:tcPr>
          <w:p w14:paraId="468AB4F0">
            <w:pPr>
              <w:pStyle w:val="714"/>
              <w:rPr>
                <w:b/>
                <w:bCs/>
                <w:color w:val="auto"/>
              </w:rPr>
            </w:pPr>
            <w:r>
              <w:rPr>
                <w:rFonts w:hint="eastAsia"/>
                <w:b/>
                <w:bCs/>
                <w:color w:val="auto"/>
              </w:rPr>
              <w:t>纬度</w:t>
            </w:r>
          </w:p>
        </w:tc>
        <w:tc>
          <w:tcPr>
            <w:tcW w:w="585" w:type="pct"/>
            <w:vMerge w:val="restart"/>
            <w:tcBorders>
              <w:tl2br w:val="nil"/>
              <w:tr2bl w:val="nil"/>
            </w:tcBorders>
            <w:shd w:val="clear" w:color="auto" w:fill="auto"/>
            <w:tcMar>
              <w:left w:w="28" w:type="dxa"/>
              <w:right w:w="28" w:type="dxa"/>
            </w:tcMar>
            <w:vAlign w:val="center"/>
          </w:tcPr>
          <w:p w14:paraId="3CFBE7BE">
            <w:pPr>
              <w:pStyle w:val="714"/>
              <w:rPr>
                <w:rFonts w:hint="eastAsia" w:eastAsiaTheme="majorEastAsia"/>
                <w:b/>
                <w:bCs/>
                <w:color w:val="auto"/>
                <w:lang w:eastAsia="zh-CN"/>
              </w:rPr>
            </w:pPr>
            <w:r>
              <w:rPr>
                <w:rFonts w:hint="eastAsia"/>
                <w:b/>
                <w:bCs/>
                <w:color w:val="auto"/>
              </w:rPr>
              <w:t>井口高程</w:t>
            </w:r>
            <w:r>
              <w:rPr>
                <w:rFonts w:hint="eastAsia"/>
                <w:b/>
                <w:bCs/>
                <w:color w:val="auto"/>
                <w:lang w:eastAsia="zh-CN"/>
              </w:rPr>
              <w:t>（</w:t>
            </w:r>
            <w:r>
              <w:rPr>
                <w:b/>
                <w:bCs/>
                <w:color w:val="auto"/>
              </w:rPr>
              <w:t>m</w:t>
            </w:r>
            <w:r>
              <w:rPr>
                <w:rFonts w:hint="eastAsia"/>
                <w:b/>
                <w:bCs/>
                <w:color w:val="auto"/>
                <w:lang w:eastAsia="zh-CN"/>
              </w:rPr>
              <w:t>）</w:t>
            </w:r>
          </w:p>
        </w:tc>
        <w:tc>
          <w:tcPr>
            <w:tcW w:w="1286" w:type="pct"/>
            <w:gridSpan w:val="2"/>
            <w:tcBorders>
              <w:tl2br w:val="nil"/>
              <w:tr2bl w:val="nil"/>
            </w:tcBorders>
            <w:shd w:val="clear" w:color="auto" w:fill="auto"/>
            <w:tcMar>
              <w:left w:w="28" w:type="dxa"/>
              <w:right w:w="28" w:type="dxa"/>
            </w:tcMar>
            <w:vAlign w:val="center"/>
          </w:tcPr>
          <w:p w14:paraId="3A497CA6">
            <w:pPr>
              <w:pStyle w:val="714"/>
              <w:rPr>
                <w:b/>
                <w:bCs/>
                <w:color w:val="auto"/>
              </w:rPr>
            </w:pPr>
            <w:r>
              <w:rPr>
                <w:b/>
                <w:bCs/>
                <w:color w:val="auto"/>
              </w:rPr>
              <w:t>2024</w:t>
            </w:r>
            <w:r>
              <w:rPr>
                <w:rFonts w:hint="eastAsia"/>
                <w:b/>
                <w:bCs/>
                <w:color w:val="auto"/>
              </w:rPr>
              <w:t>年3月枯水期</w:t>
            </w:r>
          </w:p>
        </w:tc>
        <w:tc>
          <w:tcPr>
            <w:tcW w:w="1284" w:type="pct"/>
            <w:gridSpan w:val="2"/>
            <w:tcBorders>
              <w:tl2br w:val="nil"/>
              <w:tr2bl w:val="nil"/>
            </w:tcBorders>
            <w:shd w:val="clear" w:color="auto" w:fill="auto"/>
            <w:tcMar>
              <w:left w:w="28" w:type="dxa"/>
              <w:right w:w="28" w:type="dxa"/>
            </w:tcMar>
            <w:vAlign w:val="center"/>
          </w:tcPr>
          <w:p w14:paraId="26406D1D">
            <w:pPr>
              <w:pStyle w:val="714"/>
              <w:rPr>
                <w:b/>
                <w:bCs/>
                <w:color w:val="auto"/>
              </w:rPr>
            </w:pPr>
            <w:r>
              <w:rPr>
                <w:b/>
                <w:bCs/>
                <w:color w:val="auto"/>
              </w:rPr>
              <w:t>2024</w:t>
            </w:r>
            <w:r>
              <w:rPr>
                <w:rFonts w:hint="eastAsia"/>
                <w:b/>
                <w:bCs/>
                <w:color w:val="auto"/>
              </w:rPr>
              <w:t>年</w:t>
            </w:r>
            <w:r>
              <w:rPr>
                <w:b/>
                <w:bCs/>
                <w:color w:val="auto"/>
              </w:rPr>
              <w:t>7</w:t>
            </w:r>
            <w:r>
              <w:rPr>
                <w:rFonts w:hint="eastAsia"/>
                <w:b/>
                <w:bCs/>
                <w:color w:val="auto"/>
              </w:rPr>
              <w:t>月丰水期</w:t>
            </w:r>
          </w:p>
        </w:tc>
      </w:tr>
      <w:tr w14:paraId="1AF61B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vMerge w:val="continue"/>
            <w:tcBorders>
              <w:tl2br w:val="nil"/>
              <w:tr2bl w:val="nil"/>
            </w:tcBorders>
            <w:tcMar>
              <w:left w:w="28" w:type="dxa"/>
              <w:right w:w="28" w:type="dxa"/>
            </w:tcMar>
            <w:vAlign w:val="center"/>
          </w:tcPr>
          <w:p w14:paraId="0DD1E255">
            <w:pPr>
              <w:pStyle w:val="714"/>
              <w:rPr>
                <w:b/>
                <w:bCs/>
                <w:color w:val="auto"/>
              </w:rPr>
            </w:pPr>
          </w:p>
        </w:tc>
        <w:tc>
          <w:tcPr>
            <w:tcW w:w="784" w:type="pct"/>
            <w:vMerge w:val="continue"/>
            <w:tcBorders>
              <w:tl2br w:val="nil"/>
              <w:tr2bl w:val="nil"/>
            </w:tcBorders>
            <w:tcMar>
              <w:left w:w="28" w:type="dxa"/>
              <w:right w:w="28" w:type="dxa"/>
            </w:tcMar>
            <w:vAlign w:val="center"/>
          </w:tcPr>
          <w:p w14:paraId="403051E3">
            <w:pPr>
              <w:pStyle w:val="714"/>
              <w:rPr>
                <w:b/>
                <w:bCs/>
                <w:color w:val="auto"/>
              </w:rPr>
            </w:pPr>
          </w:p>
        </w:tc>
        <w:tc>
          <w:tcPr>
            <w:tcW w:w="596" w:type="pct"/>
            <w:vMerge w:val="continue"/>
            <w:tcBorders>
              <w:tl2br w:val="nil"/>
              <w:tr2bl w:val="nil"/>
            </w:tcBorders>
            <w:tcMar>
              <w:left w:w="28" w:type="dxa"/>
              <w:right w:w="28" w:type="dxa"/>
            </w:tcMar>
            <w:vAlign w:val="center"/>
          </w:tcPr>
          <w:p w14:paraId="675FB905">
            <w:pPr>
              <w:pStyle w:val="714"/>
              <w:rPr>
                <w:b/>
                <w:bCs/>
                <w:color w:val="auto"/>
              </w:rPr>
            </w:pPr>
          </w:p>
        </w:tc>
        <w:tc>
          <w:tcPr>
            <w:tcW w:w="585" w:type="pct"/>
            <w:vMerge w:val="continue"/>
            <w:tcBorders>
              <w:tl2br w:val="nil"/>
              <w:tr2bl w:val="nil"/>
            </w:tcBorders>
            <w:tcMar>
              <w:left w:w="28" w:type="dxa"/>
              <w:right w:w="28" w:type="dxa"/>
            </w:tcMar>
            <w:vAlign w:val="center"/>
          </w:tcPr>
          <w:p w14:paraId="641B1D6B">
            <w:pPr>
              <w:pStyle w:val="714"/>
              <w:rPr>
                <w:b/>
                <w:bCs/>
                <w:color w:val="auto"/>
              </w:rPr>
            </w:pPr>
          </w:p>
        </w:tc>
        <w:tc>
          <w:tcPr>
            <w:tcW w:w="643" w:type="pct"/>
            <w:tcBorders>
              <w:tl2br w:val="nil"/>
              <w:tr2bl w:val="nil"/>
            </w:tcBorders>
            <w:shd w:val="clear" w:color="auto" w:fill="auto"/>
            <w:tcMar>
              <w:left w:w="28" w:type="dxa"/>
              <w:right w:w="28" w:type="dxa"/>
            </w:tcMar>
            <w:vAlign w:val="center"/>
          </w:tcPr>
          <w:p w14:paraId="5EB046BB">
            <w:pPr>
              <w:pStyle w:val="714"/>
              <w:rPr>
                <w:b/>
                <w:bCs/>
                <w:color w:val="auto"/>
              </w:rPr>
            </w:pPr>
            <w:r>
              <w:rPr>
                <w:rFonts w:hint="eastAsia"/>
                <w:b/>
                <w:bCs/>
                <w:color w:val="auto"/>
              </w:rPr>
              <w:t>水位埋深（</w:t>
            </w:r>
            <w:r>
              <w:rPr>
                <w:b/>
                <w:bCs/>
                <w:color w:val="auto"/>
              </w:rPr>
              <w:t>m</w:t>
            </w:r>
            <w:r>
              <w:rPr>
                <w:rFonts w:hint="eastAsia"/>
                <w:b/>
                <w:bCs/>
                <w:color w:val="auto"/>
              </w:rPr>
              <w:t>）</w:t>
            </w:r>
          </w:p>
        </w:tc>
        <w:tc>
          <w:tcPr>
            <w:tcW w:w="643" w:type="pct"/>
            <w:tcBorders>
              <w:tl2br w:val="nil"/>
              <w:tr2bl w:val="nil"/>
            </w:tcBorders>
            <w:shd w:val="clear" w:color="auto" w:fill="auto"/>
            <w:tcMar>
              <w:left w:w="28" w:type="dxa"/>
              <w:right w:w="28" w:type="dxa"/>
            </w:tcMar>
            <w:vAlign w:val="center"/>
          </w:tcPr>
          <w:p w14:paraId="20B2CF17">
            <w:pPr>
              <w:pStyle w:val="714"/>
              <w:rPr>
                <w:b/>
                <w:bCs/>
                <w:color w:val="auto"/>
              </w:rPr>
            </w:pPr>
            <w:r>
              <w:rPr>
                <w:rFonts w:hint="eastAsia"/>
                <w:b/>
                <w:bCs/>
                <w:color w:val="auto"/>
              </w:rPr>
              <w:t>水位高程（</w:t>
            </w:r>
            <w:r>
              <w:rPr>
                <w:b/>
                <w:bCs/>
                <w:color w:val="auto"/>
              </w:rPr>
              <w:t>m</w:t>
            </w:r>
            <w:r>
              <w:rPr>
                <w:rFonts w:hint="eastAsia"/>
                <w:b/>
                <w:bCs/>
                <w:color w:val="auto"/>
              </w:rPr>
              <w:t>）</w:t>
            </w:r>
          </w:p>
        </w:tc>
        <w:tc>
          <w:tcPr>
            <w:tcW w:w="643" w:type="pct"/>
            <w:tcBorders>
              <w:tl2br w:val="nil"/>
              <w:tr2bl w:val="nil"/>
            </w:tcBorders>
            <w:shd w:val="clear" w:color="auto" w:fill="auto"/>
            <w:tcMar>
              <w:left w:w="28" w:type="dxa"/>
              <w:right w:w="28" w:type="dxa"/>
            </w:tcMar>
            <w:vAlign w:val="center"/>
          </w:tcPr>
          <w:p w14:paraId="7543D17C">
            <w:pPr>
              <w:pStyle w:val="714"/>
              <w:rPr>
                <w:b/>
                <w:bCs/>
                <w:color w:val="auto"/>
              </w:rPr>
            </w:pPr>
            <w:r>
              <w:rPr>
                <w:rFonts w:hint="eastAsia"/>
                <w:b/>
                <w:bCs/>
                <w:color w:val="auto"/>
              </w:rPr>
              <w:t>水位埋深（</w:t>
            </w:r>
            <w:r>
              <w:rPr>
                <w:b/>
                <w:bCs/>
                <w:color w:val="auto"/>
              </w:rPr>
              <w:t>m</w:t>
            </w:r>
            <w:r>
              <w:rPr>
                <w:rFonts w:hint="eastAsia"/>
                <w:b/>
                <w:bCs/>
                <w:color w:val="auto"/>
              </w:rPr>
              <w:t>）</w:t>
            </w:r>
          </w:p>
        </w:tc>
        <w:tc>
          <w:tcPr>
            <w:tcW w:w="641" w:type="pct"/>
            <w:tcBorders>
              <w:tl2br w:val="nil"/>
              <w:tr2bl w:val="nil"/>
            </w:tcBorders>
            <w:shd w:val="clear" w:color="auto" w:fill="auto"/>
            <w:tcMar>
              <w:left w:w="28" w:type="dxa"/>
              <w:right w:w="28" w:type="dxa"/>
            </w:tcMar>
            <w:vAlign w:val="center"/>
          </w:tcPr>
          <w:p w14:paraId="6CB2B338">
            <w:pPr>
              <w:pStyle w:val="714"/>
              <w:rPr>
                <w:b/>
                <w:bCs/>
                <w:color w:val="auto"/>
              </w:rPr>
            </w:pPr>
            <w:r>
              <w:rPr>
                <w:rFonts w:hint="eastAsia"/>
                <w:b/>
                <w:bCs/>
                <w:color w:val="auto"/>
              </w:rPr>
              <w:t>水位高程（</w:t>
            </w:r>
            <w:r>
              <w:rPr>
                <w:b/>
                <w:bCs/>
                <w:color w:val="auto"/>
              </w:rPr>
              <w:t>m</w:t>
            </w:r>
            <w:r>
              <w:rPr>
                <w:rFonts w:hint="eastAsia"/>
                <w:b/>
                <w:bCs/>
                <w:color w:val="auto"/>
              </w:rPr>
              <w:t>）</w:t>
            </w:r>
          </w:p>
        </w:tc>
      </w:tr>
      <w:tr w14:paraId="17AD53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tcBorders>
              <w:tl2br w:val="nil"/>
              <w:tr2bl w:val="nil"/>
            </w:tcBorders>
            <w:shd w:val="clear" w:color="auto" w:fill="auto"/>
            <w:tcMar>
              <w:left w:w="28" w:type="dxa"/>
              <w:right w:w="28" w:type="dxa"/>
            </w:tcMar>
            <w:vAlign w:val="center"/>
          </w:tcPr>
          <w:p w14:paraId="7F01F306">
            <w:pPr>
              <w:pStyle w:val="714"/>
              <w:rPr>
                <w:color w:val="auto"/>
              </w:rPr>
            </w:pPr>
            <w:r>
              <w:rPr>
                <w:color w:val="auto"/>
              </w:rPr>
              <w:t>1#</w:t>
            </w:r>
          </w:p>
        </w:tc>
        <w:tc>
          <w:tcPr>
            <w:tcW w:w="784" w:type="pct"/>
            <w:tcBorders>
              <w:tl2br w:val="nil"/>
              <w:tr2bl w:val="nil"/>
            </w:tcBorders>
            <w:shd w:val="clear" w:color="auto" w:fill="auto"/>
            <w:tcMar>
              <w:left w:w="28" w:type="dxa"/>
              <w:right w:w="28" w:type="dxa"/>
            </w:tcMar>
            <w:vAlign w:val="center"/>
          </w:tcPr>
          <w:p w14:paraId="379EAC35">
            <w:pPr>
              <w:pStyle w:val="714"/>
              <w:rPr>
                <w:color w:val="auto"/>
              </w:rPr>
            </w:pPr>
            <w:r>
              <w:rPr>
                <w:color w:val="auto"/>
              </w:rPr>
              <w:t>106.5314243</w:t>
            </w:r>
          </w:p>
        </w:tc>
        <w:tc>
          <w:tcPr>
            <w:tcW w:w="596" w:type="pct"/>
            <w:tcBorders>
              <w:tl2br w:val="nil"/>
              <w:tr2bl w:val="nil"/>
            </w:tcBorders>
            <w:shd w:val="clear" w:color="auto" w:fill="auto"/>
            <w:tcMar>
              <w:left w:w="28" w:type="dxa"/>
              <w:right w:w="28" w:type="dxa"/>
            </w:tcMar>
            <w:vAlign w:val="center"/>
          </w:tcPr>
          <w:p w14:paraId="65A3AAE3">
            <w:pPr>
              <w:pStyle w:val="714"/>
              <w:rPr>
                <w:color w:val="auto"/>
              </w:rPr>
            </w:pPr>
            <w:r>
              <w:rPr>
                <w:color w:val="auto"/>
              </w:rPr>
              <w:t>31.45212</w:t>
            </w:r>
          </w:p>
        </w:tc>
        <w:tc>
          <w:tcPr>
            <w:tcW w:w="585" w:type="pct"/>
            <w:tcBorders>
              <w:tl2br w:val="nil"/>
              <w:tr2bl w:val="nil"/>
            </w:tcBorders>
            <w:shd w:val="clear" w:color="auto" w:fill="auto"/>
            <w:tcMar>
              <w:left w:w="28" w:type="dxa"/>
              <w:right w:w="28" w:type="dxa"/>
            </w:tcMar>
            <w:vAlign w:val="center"/>
          </w:tcPr>
          <w:p w14:paraId="1337B4FC">
            <w:pPr>
              <w:pStyle w:val="714"/>
              <w:rPr>
                <w:color w:val="auto"/>
              </w:rPr>
            </w:pPr>
            <w:r>
              <w:rPr>
                <w:color w:val="auto"/>
              </w:rPr>
              <w:t xml:space="preserve">333.38 </w:t>
            </w:r>
          </w:p>
        </w:tc>
        <w:tc>
          <w:tcPr>
            <w:tcW w:w="643" w:type="pct"/>
            <w:tcBorders>
              <w:tl2br w:val="nil"/>
              <w:tr2bl w:val="nil"/>
            </w:tcBorders>
            <w:shd w:val="clear" w:color="auto" w:fill="auto"/>
            <w:tcMar>
              <w:left w:w="28" w:type="dxa"/>
              <w:right w:w="28" w:type="dxa"/>
            </w:tcMar>
            <w:vAlign w:val="center"/>
          </w:tcPr>
          <w:p w14:paraId="7305938B">
            <w:pPr>
              <w:pStyle w:val="714"/>
              <w:rPr>
                <w:color w:val="auto"/>
              </w:rPr>
            </w:pPr>
            <w:r>
              <w:rPr>
                <w:color w:val="auto"/>
              </w:rPr>
              <w:t xml:space="preserve">0.61 </w:t>
            </w:r>
          </w:p>
        </w:tc>
        <w:tc>
          <w:tcPr>
            <w:tcW w:w="643" w:type="pct"/>
            <w:tcBorders>
              <w:tl2br w:val="nil"/>
              <w:tr2bl w:val="nil"/>
            </w:tcBorders>
            <w:shd w:val="clear" w:color="auto" w:fill="auto"/>
            <w:tcMar>
              <w:left w:w="28" w:type="dxa"/>
              <w:right w:w="28" w:type="dxa"/>
            </w:tcMar>
            <w:vAlign w:val="center"/>
          </w:tcPr>
          <w:p w14:paraId="3245DF27">
            <w:pPr>
              <w:pStyle w:val="714"/>
              <w:rPr>
                <w:color w:val="auto"/>
              </w:rPr>
            </w:pPr>
            <w:r>
              <w:rPr>
                <w:color w:val="auto"/>
              </w:rPr>
              <w:t xml:space="preserve">332.77 </w:t>
            </w:r>
          </w:p>
        </w:tc>
        <w:tc>
          <w:tcPr>
            <w:tcW w:w="643" w:type="pct"/>
            <w:tcBorders>
              <w:tl2br w:val="nil"/>
              <w:tr2bl w:val="nil"/>
            </w:tcBorders>
            <w:shd w:val="clear" w:color="auto" w:fill="auto"/>
            <w:tcMar>
              <w:left w:w="28" w:type="dxa"/>
              <w:right w:w="28" w:type="dxa"/>
            </w:tcMar>
            <w:vAlign w:val="center"/>
          </w:tcPr>
          <w:p w14:paraId="622431C9">
            <w:pPr>
              <w:pStyle w:val="714"/>
              <w:rPr>
                <w:color w:val="auto"/>
                <w:szCs w:val="21"/>
              </w:rPr>
            </w:pPr>
            <w:r>
              <w:rPr>
                <w:color w:val="auto"/>
                <w:szCs w:val="21"/>
              </w:rPr>
              <w:t>0.</w:t>
            </w:r>
            <w:r>
              <w:rPr>
                <w:rFonts w:hint="eastAsia"/>
                <w:color w:val="auto"/>
                <w:szCs w:val="21"/>
              </w:rPr>
              <w:t>10</w:t>
            </w:r>
            <w:r>
              <w:rPr>
                <w:color w:val="auto"/>
                <w:szCs w:val="21"/>
              </w:rPr>
              <w:t xml:space="preserve"> </w:t>
            </w:r>
          </w:p>
        </w:tc>
        <w:tc>
          <w:tcPr>
            <w:tcW w:w="641" w:type="pct"/>
            <w:tcBorders>
              <w:tl2br w:val="nil"/>
              <w:tr2bl w:val="nil"/>
            </w:tcBorders>
            <w:shd w:val="clear" w:color="auto" w:fill="auto"/>
            <w:tcMar>
              <w:left w:w="28" w:type="dxa"/>
              <w:right w:w="28" w:type="dxa"/>
            </w:tcMar>
            <w:vAlign w:val="center"/>
          </w:tcPr>
          <w:p w14:paraId="48FFEDF7">
            <w:pPr>
              <w:pStyle w:val="714"/>
              <w:rPr>
                <w:color w:val="auto"/>
              </w:rPr>
            </w:pPr>
            <w:r>
              <w:rPr>
                <w:color w:val="auto"/>
              </w:rPr>
              <w:t>333.</w:t>
            </w:r>
            <w:r>
              <w:rPr>
                <w:rFonts w:hint="eastAsia"/>
                <w:color w:val="auto"/>
              </w:rPr>
              <w:t>26</w:t>
            </w:r>
            <w:r>
              <w:rPr>
                <w:color w:val="auto"/>
              </w:rPr>
              <w:t xml:space="preserve"> </w:t>
            </w:r>
          </w:p>
        </w:tc>
      </w:tr>
      <w:tr w14:paraId="208193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tcBorders>
              <w:tl2br w:val="nil"/>
              <w:tr2bl w:val="nil"/>
            </w:tcBorders>
            <w:shd w:val="clear" w:color="auto" w:fill="auto"/>
            <w:tcMar>
              <w:left w:w="28" w:type="dxa"/>
              <w:right w:w="28" w:type="dxa"/>
            </w:tcMar>
            <w:vAlign w:val="center"/>
          </w:tcPr>
          <w:p w14:paraId="17D487FD">
            <w:pPr>
              <w:pStyle w:val="714"/>
              <w:rPr>
                <w:color w:val="auto"/>
              </w:rPr>
            </w:pPr>
            <w:r>
              <w:rPr>
                <w:color w:val="auto"/>
              </w:rPr>
              <w:t>2#</w:t>
            </w:r>
          </w:p>
        </w:tc>
        <w:tc>
          <w:tcPr>
            <w:tcW w:w="784" w:type="pct"/>
            <w:tcBorders>
              <w:tl2br w:val="nil"/>
              <w:tr2bl w:val="nil"/>
            </w:tcBorders>
            <w:shd w:val="clear" w:color="auto" w:fill="auto"/>
            <w:tcMar>
              <w:left w:w="28" w:type="dxa"/>
              <w:right w:w="28" w:type="dxa"/>
            </w:tcMar>
            <w:vAlign w:val="center"/>
          </w:tcPr>
          <w:p w14:paraId="7FC9A02B">
            <w:pPr>
              <w:pStyle w:val="714"/>
              <w:rPr>
                <w:color w:val="auto"/>
              </w:rPr>
            </w:pPr>
            <w:r>
              <w:rPr>
                <w:color w:val="auto"/>
              </w:rPr>
              <w:t>106.5323725</w:t>
            </w:r>
          </w:p>
        </w:tc>
        <w:tc>
          <w:tcPr>
            <w:tcW w:w="596" w:type="pct"/>
            <w:tcBorders>
              <w:tl2br w:val="nil"/>
              <w:tr2bl w:val="nil"/>
            </w:tcBorders>
            <w:shd w:val="clear" w:color="auto" w:fill="auto"/>
            <w:tcMar>
              <w:left w:w="28" w:type="dxa"/>
              <w:right w:w="28" w:type="dxa"/>
            </w:tcMar>
            <w:vAlign w:val="center"/>
          </w:tcPr>
          <w:p w14:paraId="65BC38C4">
            <w:pPr>
              <w:pStyle w:val="714"/>
              <w:rPr>
                <w:color w:val="auto"/>
              </w:rPr>
            </w:pPr>
            <w:r>
              <w:rPr>
                <w:color w:val="auto"/>
              </w:rPr>
              <w:t>31.45232</w:t>
            </w:r>
          </w:p>
        </w:tc>
        <w:tc>
          <w:tcPr>
            <w:tcW w:w="585" w:type="pct"/>
            <w:tcBorders>
              <w:tl2br w:val="nil"/>
              <w:tr2bl w:val="nil"/>
            </w:tcBorders>
            <w:shd w:val="clear" w:color="auto" w:fill="auto"/>
            <w:tcMar>
              <w:left w:w="28" w:type="dxa"/>
              <w:right w:w="28" w:type="dxa"/>
            </w:tcMar>
            <w:vAlign w:val="center"/>
          </w:tcPr>
          <w:p w14:paraId="2A786B8B">
            <w:pPr>
              <w:pStyle w:val="714"/>
              <w:rPr>
                <w:color w:val="auto"/>
              </w:rPr>
            </w:pPr>
            <w:r>
              <w:rPr>
                <w:color w:val="auto"/>
              </w:rPr>
              <w:t xml:space="preserve">342.53 </w:t>
            </w:r>
          </w:p>
        </w:tc>
        <w:tc>
          <w:tcPr>
            <w:tcW w:w="643" w:type="pct"/>
            <w:tcBorders>
              <w:tl2br w:val="nil"/>
              <w:tr2bl w:val="nil"/>
            </w:tcBorders>
            <w:shd w:val="clear" w:color="auto" w:fill="auto"/>
            <w:tcMar>
              <w:left w:w="28" w:type="dxa"/>
              <w:right w:w="28" w:type="dxa"/>
            </w:tcMar>
            <w:vAlign w:val="center"/>
          </w:tcPr>
          <w:p w14:paraId="5D7203CF">
            <w:pPr>
              <w:pStyle w:val="714"/>
              <w:rPr>
                <w:color w:val="auto"/>
              </w:rPr>
            </w:pPr>
            <w:r>
              <w:rPr>
                <w:color w:val="auto"/>
              </w:rPr>
              <w:t xml:space="preserve">2.81 </w:t>
            </w:r>
          </w:p>
        </w:tc>
        <w:tc>
          <w:tcPr>
            <w:tcW w:w="643" w:type="pct"/>
            <w:tcBorders>
              <w:tl2br w:val="nil"/>
              <w:tr2bl w:val="nil"/>
            </w:tcBorders>
            <w:shd w:val="clear" w:color="auto" w:fill="auto"/>
            <w:tcMar>
              <w:left w:w="28" w:type="dxa"/>
              <w:right w:w="28" w:type="dxa"/>
            </w:tcMar>
            <w:vAlign w:val="center"/>
          </w:tcPr>
          <w:p w14:paraId="760155B7">
            <w:pPr>
              <w:pStyle w:val="714"/>
              <w:rPr>
                <w:color w:val="auto"/>
              </w:rPr>
            </w:pPr>
            <w:r>
              <w:rPr>
                <w:color w:val="auto"/>
              </w:rPr>
              <w:t xml:space="preserve">339.72 </w:t>
            </w:r>
          </w:p>
        </w:tc>
        <w:tc>
          <w:tcPr>
            <w:tcW w:w="643" w:type="pct"/>
            <w:tcBorders>
              <w:tl2br w:val="nil"/>
              <w:tr2bl w:val="nil"/>
            </w:tcBorders>
            <w:shd w:val="clear" w:color="auto" w:fill="auto"/>
            <w:tcMar>
              <w:left w:w="28" w:type="dxa"/>
              <w:right w:w="28" w:type="dxa"/>
            </w:tcMar>
            <w:vAlign w:val="center"/>
          </w:tcPr>
          <w:p w14:paraId="528EE66E">
            <w:pPr>
              <w:pStyle w:val="714"/>
              <w:rPr>
                <w:color w:val="auto"/>
                <w:szCs w:val="21"/>
              </w:rPr>
            </w:pPr>
            <w:r>
              <w:rPr>
                <w:color w:val="auto"/>
                <w:szCs w:val="21"/>
              </w:rPr>
              <w:t xml:space="preserve">2.41 </w:t>
            </w:r>
          </w:p>
        </w:tc>
        <w:tc>
          <w:tcPr>
            <w:tcW w:w="641" w:type="pct"/>
            <w:tcBorders>
              <w:tl2br w:val="nil"/>
              <w:tr2bl w:val="nil"/>
            </w:tcBorders>
            <w:shd w:val="clear" w:color="auto" w:fill="auto"/>
            <w:tcMar>
              <w:left w:w="28" w:type="dxa"/>
              <w:right w:w="28" w:type="dxa"/>
            </w:tcMar>
            <w:vAlign w:val="center"/>
          </w:tcPr>
          <w:p w14:paraId="4149A183">
            <w:pPr>
              <w:pStyle w:val="714"/>
              <w:rPr>
                <w:color w:val="auto"/>
              </w:rPr>
            </w:pPr>
            <w:r>
              <w:rPr>
                <w:color w:val="auto"/>
              </w:rPr>
              <w:t xml:space="preserve">340.12 </w:t>
            </w:r>
          </w:p>
        </w:tc>
      </w:tr>
      <w:tr w14:paraId="08A35B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tcBorders>
              <w:tl2br w:val="nil"/>
              <w:tr2bl w:val="nil"/>
            </w:tcBorders>
            <w:shd w:val="clear" w:color="auto" w:fill="auto"/>
            <w:tcMar>
              <w:left w:w="28" w:type="dxa"/>
              <w:right w:w="28" w:type="dxa"/>
            </w:tcMar>
            <w:vAlign w:val="center"/>
          </w:tcPr>
          <w:p w14:paraId="706CA227">
            <w:pPr>
              <w:pStyle w:val="714"/>
              <w:rPr>
                <w:color w:val="auto"/>
              </w:rPr>
            </w:pPr>
            <w:r>
              <w:rPr>
                <w:color w:val="auto"/>
              </w:rPr>
              <w:t>3#</w:t>
            </w:r>
          </w:p>
        </w:tc>
        <w:tc>
          <w:tcPr>
            <w:tcW w:w="784" w:type="pct"/>
            <w:tcBorders>
              <w:tl2br w:val="nil"/>
              <w:tr2bl w:val="nil"/>
            </w:tcBorders>
            <w:shd w:val="clear" w:color="auto" w:fill="auto"/>
            <w:tcMar>
              <w:left w:w="28" w:type="dxa"/>
              <w:right w:w="28" w:type="dxa"/>
            </w:tcMar>
            <w:vAlign w:val="center"/>
          </w:tcPr>
          <w:p w14:paraId="7AEFFD99">
            <w:pPr>
              <w:pStyle w:val="714"/>
              <w:rPr>
                <w:color w:val="auto"/>
              </w:rPr>
            </w:pPr>
            <w:r>
              <w:rPr>
                <w:color w:val="auto"/>
              </w:rPr>
              <w:t>106.5315103</w:t>
            </w:r>
          </w:p>
        </w:tc>
        <w:tc>
          <w:tcPr>
            <w:tcW w:w="596" w:type="pct"/>
            <w:tcBorders>
              <w:tl2br w:val="nil"/>
              <w:tr2bl w:val="nil"/>
            </w:tcBorders>
            <w:shd w:val="clear" w:color="auto" w:fill="auto"/>
            <w:tcMar>
              <w:left w:w="28" w:type="dxa"/>
              <w:right w:w="28" w:type="dxa"/>
            </w:tcMar>
            <w:vAlign w:val="center"/>
          </w:tcPr>
          <w:p w14:paraId="5D554D62">
            <w:pPr>
              <w:pStyle w:val="714"/>
              <w:rPr>
                <w:color w:val="auto"/>
              </w:rPr>
            </w:pPr>
            <w:r>
              <w:rPr>
                <w:color w:val="auto"/>
              </w:rPr>
              <w:t>31.45224</w:t>
            </w:r>
          </w:p>
        </w:tc>
        <w:tc>
          <w:tcPr>
            <w:tcW w:w="585" w:type="pct"/>
            <w:tcBorders>
              <w:tl2br w:val="nil"/>
              <w:tr2bl w:val="nil"/>
            </w:tcBorders>
            <w:shd w:val="clear" w:color="auto" w:fill="auto"/>
            <w:tcMar>
              <w:left w:w="28" w:type="dxa"/>
              <w:right w:w="28" w:type="dxa"/>
            </w:tcMar>
            <w:vAlign w:val="center"/>
          </w:tcPr>
          <w:p w14:paraId="41309AA4">
            <w:pPr>
              <w:pStyle w:val="714"/>
              <w:rPr>
                <w:color w:val="auto"/>
              </w:rPr>
            </w:pPr>
            <w:r>
              <w:rPr>
                <w:color w:val="auto"/>
              </w:rPr>
              <w:t xml:space="preserve">337.88 </w:t>
            </w:r>
          </w:p>
        </w:tc>
        <w:tc>
          <w:tcPr>
            <w:tcW w:w="643" w:type="pct"/>
            <w:tcBorders>
              <w:tl2br w:val="nil"/>
              <w:tr2bl w:val="nil"/>
            </w:tcBorders>
            <w:shd w:val="clear" w:color="auto" w:fill="auto"/>
            <w:tcMar>
              <w:left w:w="28" w:type="dxa"/>
              <w:right w:w="28" w:type="dxa"/>
            </w:tcMar>
            <w:vAlign w:val="center"/>
          </w:tcPr>
          <w:p w14:paraId="1065721A">
            <w:pPr>
              <w:pStyle w:val="714"/>
              <w:rPr>
                <w:color w:val="auto"/>
              </w:rPr>
            </w:pPr>
            <w:r>
              <w:rPr>
                <w:color w:val="auto"/>
              </w:rPr>
              <w:t xml:space="preserve">1.72 </w:t>
            </w:r>
          </w:p>
        </w:tc>
        <w:tc>
          <w:tcPr>
            <w:tcW w:w="643" w:type="pct"/>
            <w:tcBorders>
              <w:tl2br w:val="nil"/>
              <w:tr2bl w:val="nil"/>
            </w:tcBorders>
            <w:shd w:val="clear" w:color="auto" w:fill="auto"/>
            <w:tcMar>
              <w:left w:w="28" w:type="dxa"/>
              <w:right w:w="28" w:type="dxa"/>
            </w:tcMar>
            <w:vAlign w:val="center"/>
          </w:tcPr>
          <w:p w14:paraId="4E611CA0">
            <w:pPr>
              <w:pStyle w:val="714"/>
              <w:rPr>
                <w:color w:val="auto"/>
              </w:rPr>
            </w:pPr>
            <w:r>
              <w:rPr>
                <w:color w:val="auto"/>
              </w:rPr>
              <w:t xml:space="preserve">336.16 </w:t>
            </w:r>
          </w:p>
        </w:tc>
        <w:tc>
          <w:tcPr>
            <w:tcW w:w="643" w:type="pct"/>
            <w:tcBorders>
              <w:tl2br w:val="nil"/>
              <w:tr2bl w:val="nil"/>
            </w:tcBorders>
            <w:shd w:val="clear" w:color="auto" w:fill="auto"/>
            <w:tcMar>
              <w:left w:w="28" w:type="dxa"/>
              <w:right w:w="28" w:type="dxa"/>
            </w:tcMar>
            <w:vAlign w:val="center"/>
          </w:tcPr>
          <w:p w14:paraId="263219D6">
            <w:pPr>
              <w:pStyle w:val="714"/>
              <w:rPr>
                <w:color w:val="auto"/>
                <w:szCs w:val="21"/>
              </w:rPr>
            </w:pPr>
            <w:r>
              <w:rPr>
                <w:color w:val="auto"/>
                <w:szCs w:val="21"/>
              </w:rPr>
              <w:t xml:space="preserve">1.22 </w:t>
            </w:r>
          </w:p>
        </w:tc>
        <w:tc>
          <w:tcPr>
            <w:tcW w:w="641" w:type="pct"/>
            <w:tcBorders>
              <w:tl2br w:val="nil"/>
              <w:tr2bl w:val="nil"/>
            </w:tcBorders>
            <w:shd w:val="clear" w:color="auto" w:fill="auto"/>
            <w:tcMar>
              <w:left w:w="28" w:type="dxa"/>
              <w:right w:w="28" w:type="dxa"/>
            </w:tcMar>
            <w:vAlign w:val="center"/>
          </w:tcPr>
          <w:p w14:paraId="3FECAC86">
            <w:pPr>
              <w:pStyle w:val="714"/>
              <w:rPr>
                <w:color w:val="auto"/>
              </w:rPr>
            </w:pPr>
            <w:r>
              <w:rPr>
                <w:color w:val="auto"/>
              </w:rPr>
              <w:t xml:space="preserve">336.66 </w:t>
            </w:r>
          </w:p>
        </w:tc>
      </w:tr>
      <w:tr w14:paraId="580BC8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tcBorders>
              <w:tl2br w:val="nil"/>
              <w:tr2bl w:val="nil"/>
            </w:tcBorders>
            <w:shd w:val="clear" w:color="auto" w:fill="auto"/>
            <w:tcMar>
              <w:left w:w="28" w:type="dxa"/>
              <w:right w:w="28" w:type="dxa"/>
            </w:tcMar>
            <w:vAlign w:val="center"/>
          </w:tcPr>
          <w:p w14:paraId="42CBF5A5">
            <w:pPr>
              <w:pStyle w:val="714"/>
              <w:rPr>
                <w:color w:val="auto"/>
              </w:rPr>
            </w:pPr>
            <w:r>
              <w:rPr>
                <w:color w:val="auto"/>
              </w:rPr>
              <w:t>4#</w:t>
            </w:r>
          </w:p>
        </w:tc>
        <w:tc>
          <w:tcPr>
            <w:tcW w:w="784" w:type="pct"/>
            <w:tcBorders>
              <w:tl2br w:val="nil"/>
              <w:tr2bl w:val="nil"/>
            </w:tcBorders>
            <w:shd w:val="clear" w:color="auto" w:fill="auto"/>
            <w:tcMar>
              <w:left w:w="28" w:type="dxa"/>
              <w:right w:w="28" w:type="dxa"/>
            </w:tcMar>
            <w:vAlign w:val="center"/>
          </w:tcPr>
          <w:p w14:paraId="3F5EC9F9">
            <w:pPr>
              <w:pStyle w:val="714"/>
              <w:rPr>
                <w:color w:val="auto"/>
              </w:rPr>
            </w:pPr>
            <w:r>
              <w:rPr>
                <w:color w:val="auto"/>
              </w:rPr>
              <w:t>106.5332358</w:t>
            </w:r>
          </w:p>
        </w:tc>
        <w:tc>
          <w:tcPr>
            <w:tcW w:w="596" w:type="pct"/>
            <w:tcBorders>
              <w:tl2br w:val="nil"/>
              <w:tr2bl w:val="nil"/>
            </w:tcBorders>
            <w:shd w:val="clear" w:color="auto" w:fill="auto"/>
            <w:tcMar>
              <w:left w:w="28" w:type="dxa"/>
              <w:right w:w="28" w:type="dxa"/>
            </w:tcMar>
            <w:vAlign w:val="center"/>
          </w:tcPr>
          <w:p w14:paraId="4C135362">
            <w:pPr>
              <w:pStyle w:val="714"/>
              <w:rPr>
                <w:color w:val="auto"/>
              </w:rPr>
            </w:pPr>
            <w:r>
              <w:rPr>
                <w:color w:val="auto"/>
              </w:rPr>
              <w:t>31.45119</w:t>
            </w:r>
          </w:p>
        </w:tc>
        <w:tc>
          <w:tcPr>
            <w:tcW w:w="585" w:type="pct"/>
            <w:tcBorders>
              <w:tl2br w:val="nil"/>
              <w:tr2bl w:val="nil"/>
            </w:tcBorders>
            <w:shd w:val="clear" w:color="auto" w:fill="auto"/>
            <w:tcMar>
              <w:left w:w="28" w:type="dxa"/>
              <w:right w:w="28" w:type="dxa"/>
            </w:tcMar>
            <w:vAlign w:val="center"/>
          </w:tcPr>
          <w:p w14:paraId="7A93D0F1">
            <w:pPr>
              <w:pStyle w:val="714"/>
              <w:rPr>
                <w:color w:val="auto"/>
              </w:rPr>
            </w:pPr>
            <w:r>
              <w:rPr>
                <w:color w:val="auto"/>
              </w:rPr>
              <w:t xml:space="preserve">334.55 </w:t>
            </w:r>
          </w:p>
        </w:tc>
        <w:tc>
          <w:tcPr>
            <w:tcW w:w="643" w:type="pct"/>
            <w:tcBorders>
              <w:tl2br w:val="nil"/>
              <w:tr2bl w:val="nil"/>
            </w:tcBorders>
            <w:shd w:val="clear" w:color="auto" w:fill="auto"/>
            <w:tcMar>
              <w:left w:w="28" w:type="dxa"/>
              <w:right w:w="28" w:type="dxa"/>
            </w:tcMar>
            <w:vAlign w:val="center"/>
          </w:tcPr>
          <w:p w14:paraId="0EF824E7">
            <w:pPr>
              <w:pStyle w:val="714"/>
              <w:rPr>
                <w:color w:val="auto"/>
              </w:rPr>
            </w:pPr>
            <w:r>
              <w:rPr>
                <w:color w:val="auto"/>
              </w:rPr>
              <w:t xml:space="preserve">2.61 </w:t>
            </w:r>
          </w:p>
        </w:tc>
        <w:tc>
          <w:tcPr>
            <w:tcW w:w="643" w:type="pct"/>
            <w:tcBorders>
              <w:tl2br w:val="nil"/>
              <w:tr2bl w:val="nil"/>
            </w:tcBorders>
            <w:shd w:val="clear" w:color="auto" w:fill="auto"/>
            <w:tcMar>
              <w:left w:w="28" w:type="dxa"/>
              <w:right w:w="28" w:type="dxa"/>
            </w:tcMar>
            <w:vAlign w:val="center"/>
          </w:tcPr>
          <w:p w14:paraId="6F443EF0">
            <w:pPr>
              <w:pStyle w:val="714"/>
              <w:rPr>
                <w:color w:val="auto"/>
              </w:rPr>
            </w:pPr>
            <w:r>
              <w:rPr>
                <w:color w:val="auto"/>
              </w:rPr>
              <w:t xml:space="preserve">331.94 </w:t>
            </w:r>
          </w:p>
        </w:tc>
        <w:tc>
          <w:tcPr>
            <w:tcW w:w="643" w:type="pct"/>
            <w:tcBorders>
              <w:tl2br w:val="nil"/>
              <w:tr2bl w:val="nil"/>
            </w:tcBorders>
            <w:shd w:val="clear" w:color="auto" w:fill="auto"/>
            <w:tcMar>
              <w:left w:w="28" w:type="dxa"/>
              <w:right w:w="28" w:type="dxa"/>
            </w:tcMar>
            <w:vAlign w:val="center"/>
          </w:tcPr>
          <w:p w14:paraId="5C7AE145">
            <w:pPr>
              <w:pStyle w:val="714"/>
              <w:rPr>
                <w:color w:val="auto"/>
                <w:szCs w:val="21"/>
              </w:rPr>
            </w:pPr>
            <w:r>
              <w:rPr>
                <w:color w:val="auto"/>
                <w:szCs w:val="21"/>
              </w:rPr>
              <w:t xml:space="preserve">2.31 </w:t>
            </w:r>
          </w:p>
        </w:tc>
        <w:tc>
          <w:tcPr>
            <w:tcW w:w="641" w:type="pct"/>
            <w:tcBorders>
              <w:tl2br w:val="nil"/>
              <w:tr2bl w:val="nil"/>
            </w:tcBorders>
            <w:shd w:val="clear" w:color="auto" w:fill="auto"/>
            <w:tcMar>
              <w:left w:w="28" w:type="dxa"/>
              <w:right w:w="28" w:type="dxa"/>
            </w:tcMar>
            <w:vAlign w:val="center"/>
          </w:tcPr>
          <w:p w14:paraId="7133D5D2">
            <w:pPr>
              <w:pStyle w:val="714"/>
              <w:rPr>
                <w:color w:val="auto"/>
              </w:rPr>
            </w:pPr>
            <w:r>
              <w:rPr>
                <w:color w:val="auto"/>
              </w:rPr>
              <w:t xml:space="preserve">332.24 </w:t>
            </w:r>
          </w:p>
        </w:tc>
      </w:tr>
      <w:tr w14:paraId="201AD1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tcBorders>
              <w:tl2br w:val="nil"/>
              <w:tr2bl w:val="nil"/>
            </w:tcBorders>
            <w:shd w:val="clear" w:color="auto" w:fill="auto"/>
            <w:tcMar>
              <w:left w:w="28" w:type="dxa"/>
              <w:right w:w="28" w:type="dxa"/>
            </w:tcMar>
            <w:vAlign w:val="center"/>
          </w:tcPr>
          <w:p w14:paraId="222C624C">
            <w:pPr>
              <w:pStyle w:val="714"/>
              <w:rPr>
                <w:color w:val="auto"/>
              </w:rPr>
            </w:pPr>
            <w:r>
              <w:rPr>
                <w:color w:val="auto"/>
              </w:rPr>
              <w:t>5#</w:t>
            </w:r>
          </w:p>
        </w:tc>
        <w:tc>
          <w:tcPr>
            <w:tcW w:w="784" w:type="pct"/>
            <w:tcBorders>
              <w:tl2br w:val="nil"/>
              <w:tr2bl w:val="nil"/>
            </w:tcBorders>
            <w:shd w:val="clear" w:color="auto" w:fill="auto"/>
            <w:tcMar>
              <w:left w:w="28" w:type="dxa"/>
              <w:right w:w="28" w:type="dxa"/>
            </w:tcMar>
            <w:vAlign w:val="center"/>
          </w:tcPr>
          <w:p w14:paraId="0BBC3702">
            <w:pPr>
              <w:pStyle w:val="714"/>
              <w:rPr>
                <w:color w:val="auto"/>
              </w:rPr>
            </w:pPr>
            <w:r>
              <w:rPr>
                <w:color w:val="auto"/>
              </w:rPr>
              <w:t>106.5330697</w:t>
            </w:r>
          </w:p>
        </w:tc>
        <w:tc>
          <w:tcPr>
            <w:tcW w:w="596" w:type="pct"/>
            <w:tcBorders>
              <w:tl2br w:val="nil"/>
              <w:tr2bl w:val="nil"/>
            </w:tcBorders>
            <w:shd w:val="clear" w:color="auto" w:fill="auto"/>
            <w:tcMar>
              <w:left w:w="28" w:type="dxa"/>
              <w:right w:w="28" w:type="dxa"/>
            </w:tcMar>
            <w:vAlign w:val="center"/>
          </w:tcPr>
          <w:p w14:paraId="069CC33E">
            <w:pPr>
              <w:pStyle w:val="714"/>
              <w:rPr>
                <w:color w:val="auto"/>
              </w:rPr>
            </w:pPr>
            <w:r>
              <w:rPr>
                <w:color w:val="auto"/>
              </w:rPr>
              <w:t>31.4516</w:t>
            </w:r>
          </w:p>
        </w:tc>
        <w:tc>
          <w:tcPr>
            <w:tcW w:w="585" w:type="pct"/>
            <w:tcBorders>
              <w:tl2br w:val="nil"/>
              <w:tr2bl w:val="nil"/>
            </w:tcBorders>
            <w:shd w:val="clear" w:color="auto" w:fill="auto"/>
            <w:tcMar>
              <w:left w:w="28" w:type="dxa"/>
              <w:right w:w="28" w:type="dxa"/>
            </w:tcMar>
            <w:vAlign w:val="center"/>
          </w:tcPr>
          <w:p w14:paraId="75888DF9">
            <w:pPr>
              <w:pStyle w:val="714"/>
              <w:rPr>
                <w:color w:val="auto"/>
              </w:rPr>
            </w:pPr>
            <w:r>
              <w:rPr>
                <w:color w:val="auto"/>
              </w:rPr>
              <w:t xml:space="preserve">329.14 </w:t>
            </w:r>
          </w:p>
        </w:tc>
        <w:tc>
          <w:tcPr>
            <w:tcW w:w="643" w:type="pct"/>
            <w:tcBorders>
              <w:tl2br w:val="nil"/>
              <w:tr2bl w:val="nil"/>
            </w:tcBorders>
            <w:shd w:val="clear" w:color="auto" w:fill="auto"/>
            <w:tcMar>
              <w:left w:w="28" w:type="dxa"/>
              <w:right w:w="28" w:type="dxa"/>
            </w:tcMar>
            <w:vAlign w:val="center"/>
          </w:tcPr>
          <w:p w14:paraId="7753ECC2">
            <w:pPr>
              <w:pStyle w:val="714"/>
              <w:rPr>
                <w:color w:val="auto"/>
              </w:rPr>
            </w:pPr>
            <w:r>
              <w:rPr>
                <w:color w:val="auto"/>
              </w:rPr>
              <w:t xml:space="preserve">0.77 </w:t>
            </w:r>
          </w:p>
        </w:tc>
        <w:tc>
          <w:tcPr>
            <w:tcW w:w="643" w:type="pct"/>
            <w:tcBorders>
              <w:tl2br w:val="nil"/>
              <w:tr2bl w:val="nil"/>
            </w:tcBorders>
            <w:shd w:val="clear" w:color="auto" w:fill="auto"/>
            <w:tcMar>
              <w:left w:w="28" w:type="dxa"/>
              <w:right w:w="28" w:type="dxa"/>
            </w:tcMar>
            <w:vAlign w:val="center"/>
          </w:tcPr>
          <w:p w14:paraId="417A3742">
            <w:pPr>
              <w:pStyle w:val="714"/>
              <w:rPr>
                <w:color w:val="auto"/>
              </w:rPr>
            </w:pPr>
            <w:r>
              <w:rPr>
                <w:color w:val="auto"/>
              </w:rPr>
              <w:t xml:space="preserve">328.37 </w:t>
            </w:r>
          </w:p>
        </w:tc>
        <w:tc>
          <w:tcPr>
            <w:tcW w:w="643" w:type="pct"/>
            <w:tcBorders>
              <w:tl2br w:val="nil"/>
              <w:tr2bl w:val="nil"/>
            </w:tcBorders>
            <w:shd w:val="clear" w:color="auto" w:fill="auto"/>
            <w:tcMar>
              <w:left w:w="28" w:type="dxa"/>
              <w:right w:w="28" w:type="dxa"/>
            </w:tcMar>
            <w:vAlign w:val="center"/>
          </w:tcPr>
          <w:p w14:paraId="7F99C472">
            <w:pPr>
              <w:pStyle w:val="714"/>
              <w:rPr>
                <w:color w:val="auto"/>
                <w:szCs w:val="21"/>
              </w:rPr>
            </w:pPr>
            <w:r>
              <w:rPr>
                <w:color w:val="auto"/>
                <w:szCs w:val="21"/>
              </w:rPr>
              <w:t xml:space="preserve">0.57 </w:t>
            </w:r>
          </w:p>
        </w:tc>
        <w:tc>
          <w:tcPr>
            <w:tcW w:w="641" w:type="pct"/>
            <w:tcBorders>
              <w:tl2br w:val="nil"/>
              <w:tr2bl w:val="nil"/>
            </w:tcBorders>
            <w:shd w:val="clear" w:color="auto" w:fill="auto"/>
            <w:tcMar>
              <w:left w:w="28" w:type="dxa"/>
              <w:right w:w="28" w:type="dxa"/>
            </w:tcMar>
            <w:vAlign w:val="center"/>
          </w:tcPr>
          <w:p w14:paraId="001C71F5">
            <w:pPr>
              <w:pStyle w:val="714"/>
              <w:rPr>
                <w:color w:val="auto"/>
              </w:rPr>
            </w:pPr>
            <w:r>
              <w:rPr>
                <w:color w:val="auto"/>
              </w:rPr>
              <w:t xml:space="preserve">328.57 </w:t>
            </w:r>
          </w:p>
        </w:tc>
      </w:tr>
      <w:tr w14:paraId="27B4AA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tcBorders>
              <w:tl2br w:val="nil"/>
              <w:tr2bl w:val="nil"/>
            </w:tcBorders>
            <w:shd w:val="clear" w:color="auto" w:fill="auto"/>
            <w:tcMar>
              <w:left w:w="28" w:type="dxa"/>
              <w:right w:w="28" w:type="dxa"/>
            </w:tcMar>
            <w:vAlign w:val="center"/>
          </w:tcPr>
          <w:p w14:paraId="3FD00BB0">
            <w:pPr>
              <w:pStyle w:val="714"/>
              <w:rPr>
                <w:color w:val="auto"/>
              </w:rPr>
            </w:pPr>
            <w:r>
              <w:rPr>
                <w:color w:val="auto"/>
              </w:rPr>
              <w:t>6#</w:t>
            </w:r>
          </w:p>
        </w:tc>
        <w:tc>
          <w:tcPr>
            <w:tcW w:w="784" w:type="pct"/>
            <w:tcBorders>
              <w:tl2br w:val="nil"/>
              <w:tr2bl w:val="nil"/>
            </w:tcBorders>
            <w:shd w:val="clear" w:color="auto" w:fill="auto"/>
            <w:tcMar>
              <w:left w:w="28" w:type="dxa"/>
              <w:right w:w="28" w:type="dxa"/>
            </w:tcMar>
            <w:vAlign w:val="center"/>
          </w:tcPr>
          <w:p w14:paraId="68C5F3F0">
            <w:pPr>
              <w:pStyle w:val="714"/>
              <w:rPr>
                <w:color w:val="auto"/>
              </w:rPr>
            </w:pPr>
            <w:r>
              <w:rPr>
                <w:color w:val="auto"/>
              </w:rPr>
              <w:t>106.5331817</w:t>
            </w:r>
          </w:p>
        </w:tc>
        <w:tc>
          <w:tcPr>
            <w:tcW w:w="596" w:type="pct"/>
            <w:tcBorders>
              <w:tl2br w:val="nil"/>
              <w:tr2bl w:val="nil"/>
            </w:tcBorders>
            <w:shd w:val="clear" w:color="auto" w:fill="auto"/>
            <w:tcMar>
              <w:left w:w="28" w:type="dxa"/>
              <w:right w:w="28" w:type="dxa"/>
            </w:tcMar>
            <w:vAlign w:val="center"/>
          </w:tcPr>
          <w:p w14:paraId="0D31A4E4">
            <w:pPr>
              <w:pStyle w:val="714"/>
              <w:rPr>
                <w:color w:val="auto"/>
              </w:rPr>
            </w:pPr>
            <w:r>
              <w:rPr>
                <w:color w:val="auto"/>
              </w:rPr>
              <w:t>31.45158</w:t>
            </w:r>
          </w:p>
        </w:tc>
        <w:tc>
          <w:tcPr>
            <w:tcW w:w="585" w:type="pct"/>
            <w:tcBorders>
              <w:tl2br w:val="nil"/>
              <w:tr2bl w:val="nil"/>
            </w:tcBorders>
            <w:shd w:val="clear" w:color="auto" w:fill="auto"/>
            <w:tcMar>
              <w:left w:w="28" w:type="dxa"/>
              <w:right w:w="28" w:type="dxa"/>
            </w:tcMar>
            <w:vAlign w:val="center"/>
          </w:tcPr>
          <w:p w14:paraId="05B6E1DE">
            <w:pPr>
              <w:pStyle w:val="714"/>
              <w:rPr>
                <w:color w:val="auto"/>
              </w:rPr>
            </w:pPr>
            <w:r>
              <w:rPr>
                <w:color w:val="auto"/>
              </w:rPr>
              <w:t xml:space="preserve">338.49 </w:t>
            </w:r>
          </w:p>
        </w:tc>
        <w:tc>
          <w:tcPr>
            <w:tcW w:w="643" w:type="pct"/>
            <w:tcBorders>
              <w:tl2br w:val="nil"/>
              <w:tr2bl w:val="nil"/>
            </w:tcBorders>
            <w:shd w:val="clear" w:color="auto" w:fill="auto"/>
            <w:tcMar>
              <w:left w:w="28" w:type="dxa"/>
              <w:right w:w="28" w:type="dxa"/>
            </w:tcMar>
            <w:vAlign w:val="center"/>
          </w:tcPr>
          <w:p w14:paraId="3DA6F31F">
            <w:pPr>
              <w:pStyle w:val="714"/>
              <w:rPr>
                <w:color w:val="auto"/>
              </w:rPr>
            </w:pPr>
            <w:r>
              <w:rPr>
                <w:color w:val="auto"/>
              </w:rPr>
              <w:t xml:space="preserve">4.90 </w:t>
            </w:r>
          </w:p>
        </w:tc>
        <w:tc>
          <w:tcPr>
            <w:tcW w:w="643" w:type="pct"/>
            <w:tcBorders>
              <w:tl2br w:val="nil"/>
              <w:tr2bl w:val="nil"/>
            </w:tcBorders>
            <w:shd w:val="clear" w:color="auto" w:fill="auto"/>
            <w:tcMar>
              <w:left w:w="28" w:type="dxa"/>
              <w:right w:w="28" w:type="dxa"/>
            </w:tcMar>
            <w:vAlign w:val="center"/>
          </w:tcPr>
          <w:p w14:paraId="478D4938">
            <w:pPr>
              <w:pStyle w:val="714"/>
              <w:rPr>
                <w:color w:val="auto"/>
              </w:rPr>
            </w:pPr>
            <w:r>
              <w:rPr>
                <w:color w:val="auto"/>
              </w:rPr>
              <w:t xml:space="preserve">333.59 </w:t>
            </w:r>
          </w:p>
        </w:tc>
        <w:tc>
          <w:tcPr>
            <w:tcW w:w="643" w:type="pct"/>
            <w:tcBorders>
              <w:tl2br w:val="nil"/>
              <w:tr2bl w:val="nil"/>
            </w:tcBorders>
            <w:shd w:val="clear" w:color="auto" w:fill="auto"/>
            <w:tcMar>
              <w:left w:w="28" w:type="dxa"/>
              <w:right w:w="28" w:type="dxa"/>
            </w:tcMar>
            <w:vAlign w:val="center"/>
          </w:tcPr>
          <w:p w14:paraId="245DAC9D">
            <w:pPr>
              <w:pStyle w:val="714"/>
              <w:rPr>
                <w:color w:val="auto"/>
              </w:rPr>
            </w:pPr>
            <w:r>
              <w:rPr>
                <w:color w:val="auto"/>
              </w:rPr>
              <w:t xml:space="preserve">4.10 </w:t>
            </w:r>
          </w:p>
        </w:tc>
        <w:tc>
          <w:tcPr>
            <w:tcW w:w="641" w:type="pct"/>
            <w:tcBorders>
              <w:tl2br w:val="nil"/>
              <w:tr2bl w:val="nil"/>
            </w:tcBorders>
            <w:shd w:val="clear" w:color="auto" w:fill="auto"/>
            <w:tcMar>
              <w:left w:w="28" w:type="dxa"/>
              <w:right w:w="28" w:type="dxa"/>
            </w:tcMar>
            <w:vAlign w:val="center"/>
          </w:tcPr>
          <w:p w14:paraId="1E1A2886">
            <w:pPr>
              <w:pStyle w:val="714"/>
              <w:rPr>
                <w:color w:val="auto"/>
              </w:rPr>
            </w:pPr>
            <w:r>
              <w:rPr>
                <w:color w:val="auto"/>
              </w:rPr>
              <w:t xml:space="preserve">334.39 </w:t>
            </w:r>
          </w:p>
        </w:tc>
      </w:tr>
      <w:tr w14:paraId="68C3A3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tcBorders>
              <w:tl2br w:val="nil"/>
              <w:tr2bl w:val="nil"/>
            </w:tcBorders>
            <w:shd w:val="clear" w:color="auto" w:fill="auto"/>
            <w:tcMar>
              <w:left w:w="28" w:type="dxa"/>
              <w:right w:w="28" w:type="dxa"/>
            </w:tcMar>
            <w:vAlign w:val="center"/>
          </w:tcPr>
          <w:p w14:paraId="79149C65">
            <w:pPr>
              <w:pStyle w:val="714"/>
              <w:rPr>
                <w:color w:val="auto"/>
              </w:rPr>
            </w:pPr>
            <w:r>
              <w:rPr>
                <w:color w:val="auto"/>
              </w:rPr>
              <w:t>7#</w:t>
            </w:r>
          </w:p>
        </w:tc>
        <w:tc>
          <w:tcPr>
            <w:tcW w:w="784" w:type="pct"/>
            <w:tcBorders>
              <w:tl2br w:val="nil"/>
              <w:tr2bl w:val="nil"/>
            </w:tcBorders>
            <w:shd w:val="clear" w:color="auto" w:fill="auto"/>
            <w:tcMar>
              <w:left w:w="28" w:type="dxa"/>
              <w:right w:w="28" w:type="dxa"/>
            </w:tcMar>
            <w:vAlign w:val="center"/>
          </w:tcPr>
          <w:p w14:paraId="2248A28F">
            <w:pPr>
              <w:pStyle w:val="714"/>
              <w:rPr>
                <w:color w:val="auto"/>
              </w:rPr>
            </w:pPr>
            <w:r>
              <w:rPr>
                <w:color w:val="auto"/>
              </w:rPr>
              <w:t>106.5330407</w:t>
            </w:r>
          </w:p>
        </w:tc>
        <w:tc>
          <w:tcPr>
            <w:tcW w:w="596" w:type="pct"/>
            <w:tcBorders>
              <w:tl2br w:val="nil"/>
              <w:tr2bl w:val="nil"/>
            </w:tcBorders>
            <w:shd w:val="clear" w:color="auto" w:fill="auto"/>
            <w:tcMar>
              <w:left w:w="28" w:type="dxa"/>
              <w:right w:w="28" w:type="dxa"/>
            </w:tcMar>
            <w:vAlign w:val="center"/>
          </w:tcPr>
          <w:p w14:paraId="2EAEFA04">
            <w:pPr>
              <w:pStyle w:val="714"/>
              <w:rPr>
                <w:color w:val="auto"/>
              </w:rPr>
            </w:pPr>
            <w:r>
              <w:rPr>
                <w:color w:val="auto"/>
              </w:rPr>
              <w:t>31.45171</w:t>
            </w:r>
          </w:p>
        </w:tc>
        <w:tc>
          <w:tcPr>
            <w:tcW w:w="585" w:type="pct"/>
            <w:tcBorders>
              <w:tl2br w:val="nil"/>
              <w:tr2bl w:val="nil"/>
            </w:tcBorders>
            <w:shd w:val="clear" w:color="auto" w:fill="auto"/>
            <w:tcMar>
              <w:left w:w="28" w:type="dxa"/>
              <w:right w:w="28" w:type="dxa"/>
            </w:tcMar>
            <w:vAlign w:val="center"/>
          </w:tcPr>
          <w:p w14:paraId="4C602CEC">
            <w:pPr>
              <w:pStyle w:val="714"/>
              <w:rPr>
                <w:color w:val="auto"/>
              </w:rPr>
            </w:pPr>
            <w:r>
              <w:rPr>
                <w:color w:val="auto"/>
              </w:rPr>
              <w:t xml:space="preserve">331.65 </w:t>
            </w:r>
          </w:p>
        </w:tc>
        <w:tc>
          <w:tcPr>
            <w:tcW w:w="643" w:type="pct"/>
            <w:tcBorders>
              <w:tl2br w:val="nil"/>
              <w:tr2bl w:val="nil"/>
            </w:tcBorders>
            <w:shd w:val="clear" w:color="auto" w:fill="auto"/>
            <w:tcMar>
              <w:left w:w="28" w:type="dxa"/>
              <w:right w:w="28" w:type="dxa"/>
            </w:tcMar>
            <w:vAlign w:val="center"/>
          </w:tcPr>
          <w:p w14:paraId="5F279507">
            <w:pPr>
              <w:pStyle w:val="714"/>
              <w:rPr>
                <w:color w:val="auto"/>
              </w:rPr>
            </w:pPr>
            <w:r>
              <w:rPr>
                <w:color w:val="auto"/>
              </w:rPr>
              <w:t xml:space="preserve">2.01 </w:t>
            </w:r>
          </w:p>
        </w:tc>
        <w:tc>
          <w:tcPr>
            <w:tcW w:w="643" w:type="pct"/>
            <w:tcBorders>
              <w:tl2br w:val="nil"/>
              <w:tr2bl w:val="nil"/>
            </w:tcBorders>
            <w:shd w:val="clear" w:color="auto" w:fill="auto"/>
            <w:tcMar>
              <w:left w:w="28" w:type="dxa"/>
              <w:right w:w="28" w:type="dxa"/>
            </w:tcMar>
            <w:vAlign w:val="center"/>
          </w:tcPr>
          <w:p w14:paraId="4A48C7FA">
            <w:pPr>
              <w:pStyle w:val="714"/>
              <w:rPr>
                <w:color w:val="auto"/>
              </w:rPr>
            </w:pPr>
            <w:r>
              <w:rPr>
                <w:color w:val="auto"/>
              </w:rPr>
              <w:t xml:space="preserve">329.64 </w:t>
            </w:r>
          </w:p>
        </w:tc>
        <w:tc>
          <w:tcPr>
            <w:tcW w:w="643" w:type="pct"/>
            <w:tcBorders>
              <w:tl2br w:val="nil"/>
              <w:tr2bl w:val="nil"/>
            </w:tcBorders>
            <w:shd w:val="clear" w:color="auto" w:fill="auto"/>
            <w:tcMar>
              <w:left w:w="28" w:type="dxa"/>
              <w:right w:w="28" w:type="dxa"/>
            </w:tcMar>
            <w:vAlign w:val="center"/>
          </w:tcPr>
          <w:p w14:paraId="6F003A90">
            <w:pPr>
              <w:pStyle w:val="714"/>
              <w:rPr>
                <w:color w:val="auto"/>
              </w:rPr>
            </w:pPr>
            <w:r>
              <w:rPr>
                <w:color w:val="auto"/>
              </w:rPr>
              <w:t xml:space="preserve">0.81 </w:t>
            </w:r>
          </w:p>
        </w:tc>
        <w:tc>
          <w:tcPr>
            <w:tcW w:w="641" w:type="pct"/>
            <w:tcBorders>
              <w:tl2br w:val="nil"/>
              <w:tr2bl w:val="nil"/>
            </w:tcBorders>
            <w:shd w:val="clear" w:color="auto" w:fill="auto"/>
            <w:tcMar>
              <w:left w:w="28" w:type="dxa"/>
              <w:right w:w="28" w:type="dxa"/>
            </w:tcMar>
            <w:vAlign w:val="center"/>
          </w:tcPr>
          <w:p w14:paraId="79737623">
            <w:pPr>
              <w:pStyle w:val="714"/>
              <w:rPr>
                <w:color w:val="auto"/>
              </w:rPr>
            </w:pPr>
            <w:r>
              <w:rPr>
                <w:color w:val="auto"/>
              </w:rPr>
              <w:t xml:space="preserve">330.84 </w:t>
            </w:r>
          </w:p>
        </w:tc>
      </w:tr>
      <w:tr w14:paraId="048B46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tcBorders>
              <w:tl2br w:val="nil"/>
              <w:tr2bl w:val="nil"/>
            </w:tcBorders>
            <w:shd w:val="clear" w:color="auto" w:fill="auto"/>
            <w:tcMar>
              <w:left w:w="28" w:type="dxa"/>
              <w:right w:w="28" w:type="dxa"/>
            </w:tcMar>
            <w:vAlign w:val="center"/>
          </w:tcPr>
          <w:p w14:paraId="08C17884">
            <w:pPr>
              <w:pStyle w:val="714"/>
              <w:rPr>
                <w:color w:val="auto"/>
              </w:rPr>
            </w:pPr>
            <w:r>
              <w:rPr>
                <w:color w:val="auto"/>
              </w:rPr>
              <w:t>8#</w:t>
            </w:r>
          </w:p>
        </w:tc>
        <w:tc>
          <w:tcPr>
            <w:tcW w:w="784" w:type="pct"/>
            <w:tcBorders>
              <w:tl2br w:val="nil"/>
              <w:tr2bl w:val="nil"/>
            </w:tcBorders>
            <w:shd w:val="clear" w:color="auto" w:fill="auto"/>
            <w:tcMar>
              <w:left w:w="28" w:type="dxa"/>
              <w:right w:w="28" w:type="dxa"/>
            </w:tcMar>
            <w:vAlign w:val="center"/>
          </w:tcPr>
          <w:p w14:paraId="2C7BB872">
            <w:pPr>
              <w:pStyle w:val="714"/>
              <w:rPr>
                <w:color w:val="auto"/>
              </w:rPr>
            </w:pPr>
            <w:r>
              <w:rPr>
                <w:color w:val="auto"/>
              </w:rPr>
              <w:t>106.5332474</w:t>
            </w:r>
          </w:p>
        </w:tc>
        <w:tc>
          <w:tcPr>
            <w:tcW w:w="596" w:type="pct"/>
            <w:tcBorders>
              <w:tl2br w:val="nil"/>
              <w:tr2bl w:val="nil"/>
            </w:tcBorders>
            <w:shd w:val="clear" w:color="auto" w:fill="auto"/>
            <w:tcMar>
              <w:left w:w="28" w:type="dxa"/>
              <w:right w:w="28" w:type="dxa"/>
            </w:tcMar>
            <w:vAlign w:val="center"/>
          </w:tcPr>
          <w:p w14:paraId="3B064BEB">
            <w:pPr>
              <w:pStyle w:val="714"/>
              <w:rPr>
                <w:color w:val="auto"/>
              </w:rPr>
            </w:pPr>
            <w:r>
              <w:rPr>
                <w:color w:val="auto"/>
              </w:rPr>
              <w:t>31.45241</w:t>
            </w:r>
          </w:p>
        </w:tc>
        <w:tc>
          <w:tcPr>
            <w:tcW w:w="585" w:type="pct"/>
            <w:tcBorders>
              <w:tl2br w:val="nil"/>
              <w:tr2bl w:val="nil"/>
            </w:tcBorders>
            <w:shd w:val="clear" w:color="auto" w:fill="auto"/>
            <w:tcMar>
              <w:left w:w="28" w:type="dxa"/>
              <w:right w:w="28" w:type="dxa"/>
            </w:tcMar>
            <w:vAlign w:val="center"/>
          </w:tcPr>
          <w:p w14:paraId="6C6F7905">
            <w:pPr>
              <w:pStyle w:val="714"/>
              <w:rPr>
                <w:color w:val="auto"/>
              </w:rPr>
            </w:pPr>
            <w:r>
              <w:rPr>
                <w:color w:val="auto"/>
              </w:rPr>
              <w:t xml:space="preserve">339.57 </w:t>
            </w:r>
          </w:p>
        </w:tc>
        <w:tc>
          <w:tcPr>
            <w:tcW w:w="643" w:type="pct"/>
            <w:tcBorders>
              <w:tl2br w:val="nil"/>
              <w:tr2bl w:val="nil"/>
            </w:tcBorders>
            <w:shd w:val="clear" w:color="auto" w:fill="auto"/>
            <w:tcMar>
              <w:left w:w="28" w:type="dxa"/>
              <w:right w:w="28" w:type="dxa"/>
            </w:tcMar>
            <w:vAlign w:val="center"/>
          </w:tcPr>
          <w:p w14:paraId="07D6DAE5">
            <w:pPr>
              <w:pStyle w:val="714"/>
              <w:rPr>
                <w:color w:val="auto"/>
              </w:rPr>
            </w:pPr>
            <w:r>
              <w:rPr>
                <w:color w:val="auto"/>
              </w:rPr>
              <w:t xml:space="preserve">1.61 </w:t>
            </w:r>
          </w:p>
        </w:tc>
        <w:tc>
          <w:tcPr>
            <w:tcW w:w="643" w:type="pct"/>
            <w:tcBorders>
              <w:tl2br w:val="nil"/>
              <w:tr2bl w:val="nil"/>
            </w:tcBorders>
            <w:shd w:val="clear" w:color="auto" w:fill="auto"/>
            <w:tcMar>
              <w:left w:w="28" w:type="dxa"/>
              <w:right w:w="28" w:type="dxa"/>
            </w:tcMar>
            <w:vAlign w:val="center"/>
          </w:tcPr>
          <w:p w14:paraId="241E7F39">
            <w:pPr>
              <w:pStyle w:val="714"/>
              <w:rPr>
                <w:color w:val="auto"/>
              </w:rPr>
            </w:pPr>
            <w:r>
              <w:rPr>
                <w:color w:val="auto"/>
              </w:rPr>
              <w:t xml:space="preserve">337.96 </w:t>
            </w:r>
          </w:p>
        </w:tc>
        <w:tc>
          <w:tcPr>
            <w:tcW w:w="643" w:type="pct"/>
            <w:tcBorders>
              <w:tl2br w:val="nil"/>
              <w:tr2bl w:val="nil"/>
            </w:tcBorders>
            <w:shd w:val="clear" w:color="auto" w:fill="auto"/>
            <w:tcMar>
              <w:left w:w="28" w:type="dxa"/>
              <w:right w:w="28" w:type="dxa"/>
            </w:tcMar>
            <w:vAlign w:val="center"/>
          </w:tcPr>
          <w:p w14:paraId="6B7B3D78">
            <w:pPr>
              <w:pStyle w:val="714"/>
              <w:rPr>
                <w:color w:val="auto"/>
              </w:rPr>
            </w:pPr>
            <w:r>
              <w:rPr>
                <w:color w:val="auto"/>
              </w:rPr>
              <w:t xml:space="preserve">1.11 </w:t>
            </w:r>
          </w:p>
        </w:tc>
        <w:tc>
          <w:tcPr>
            <w:tcW w:w="641" w:type="pct"/>
            <w:tcBorders>
              <w:tl2br w:val="nil"/>
              <w:tr2bl w:val="nil"/>
            </w:tcBorders>
            <w:shd w:val="clear" w:color="auto" w:fill="auto"/>
            <w:tcMar>
              <w:left w:w="28" w:type="dxa"/>
              <w:right w:w="28" w:type="dxa"/>
            </w:tcMar>
            <w:vAlign w:val="center"/>
          </w:tcPr>
          <w:p w14:paraId="4ABBF4C6">
            <w:pPr>
              <w:pStyle w:val="714"/>
              <w:rPr>
                <w:color w:val="auto"/>
              </w:rPr>
            </w:pPr>
            <w:r>
              <w:rPr>
                <w:color w:val="auto"/>
              </w:rPr>
              <w:t xml:space="preserve">338.46 </w:t>
            </w:r>
          </w:p>
        </w:tc>
      </w:tr>
      <w:tr w14:paraId="50055D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tcBorders>
              <w:tl2br w:val="nil"/>
              <w:tr2bl w:val="nil"/>
            </w:tcBorders>
            <w:shd w:val="clear" w:color="auto" w:fill="auto"/>
            <w:tcMar>
              <w:left w:w="28" w:type="dxa"/>
              <w:right w:w="28" w:type="dxa"/>
            </w:tcMar>
            <w:vAlign w:val="center"/>
          </w:tcPr>
          <w:p w14:paraId="47D37153">
            <w:pPr>
              <w:pStyle w:val="714"/>
              <w:rPr>
                <w:color w:val="auto"/>
              </w:rPr>
            </w:pPr>
            <w:r>
              <w:rPr>
                <w:color w:val="auto"/>
              </w:rPr>
              <w:t>9#</w:t>
            </w:r>
          </w:p>
        </w:tc>
        <w:tc>
          <w:tcPr>
            <w:tcW w:w="784" w:type="pct"/>
            <w:tcBorders>
              <w:tl2br w:val="nil"/>
              <w:tr2bl w:val="nil"/>
            </w:tcBorders>
            <w:shd w:val="clear" w:color="auto" w:fill="auto"/>
            <w:tcMar>
              <w:left w:w="28" w:type="dxa"/>
              <w:right w:w="28" w:type="dxa"/>
            </w:tcMar>
            <w:vAlign w:val="center"/>
          </w:tcPr>
          <w:p w14:paraId="31D919B1">
            <w:pPr>
              <w:pStyle w:val="714"/>
              <w:rPr>
                <w:color w:val="auto"/>
              </w:rPr>
            </w:pPr>
            <w:r>
              <w:rPr>
                <w:color w:val="auto"/>
              </w:rPr>
              <w:t>106.5323571</w:t>
            </w:r>
          </w:p>
        </w:tc>
        <w:tc>
          <w:tcPr>
            <w:tcW w:w="596" w:type="pct"/>
            <w:tcBorders>
              <w:tl2br w:val="nil"/>
              <w:tr2bl w:val="nil"/>
            </w:tcBorders>
            <w:shd w:val="clear" w:color="auto" w:fill="auto"/>
            <w:tcMar>
              <w:left w:w="28" w:type="dxa"/>
              <w:right w:w="28" w:type="dxa"/>
            </w:tcMar>
            <w:vAlign w:val="center"/>
          </w:tcPr>
          <w:p w14:paraId="3A8B6008">
            <w:pPr>
              <w:pStyle w:val="714"/>
              <w:rPr>
                <w:color w:val="auto"/>
              </w:rPr>
            </w:pPr>
            <w:r>
              <w:rPr>
                <w:color w:val="auto"/>
              </w:rPr>
              <w:t>31.45207</w:t>
            </w:r>
          </w:p>
        </w:tc>
        <w:tc>
          <w:tcPr>
            <w:tcW w:w="585" w:type="pct"/>
            <w:tcBorders>
              <w:tl2br w:val="nil"/>
              <w:tr2bl w:val="nil"/>
            </w:tcBorders>
            <w:shd w:val="clear" w:color="auto" w:fill="auto"/>
            <w:tcMar>
              <w:left w:w="28" w:type="dxa"/>
              <w:right w:w="28" w:type="dxa"/>
            </w:tcMar>
            <w:vAlign w:val="center"/>
          </w:tcPr>
          <w:p w14:paraId="0283040F">
            <w:pPr>
              <w:pStyle w:val="714"/>
              <w:rPr>
                <w:color w:val="auto"/>
              </w:rPr>
            </w:pPr>
            <w:r>
              <w:rPr>
                <w:color w:val="auto"/>
              </w:rPr>
              <w:t xml:space="preserve">337.37 </w:t>
            </w:r>
          </w:p>
        </w:tc>
        <w:tc>
          <w:tcPr>
            <w:tcW w:w="643" w:type="pct"/>
            <w:tcBorders>
              <w:tl2br w:val="nil"/>
              <w:tr2bl w:val="nil"/>
            </w:tcBorders>
            <w:shd w:val="clear" w:color="auto" w:fill="auto"/>
            <w:tcMar>
              <w:left w:w="28" w:type="dxa"/>
              <w:right w:w="28" w:type="dxa"/>
            </w:tcMar>
            <w:vAlign w:val="center"/>
          </w:tcPr>
          <w:p w14:paraId="426851FA">
            <w:pPr>
              <w:pStyle w:val="714"/>
              <w:rPr>
                <w:color w:val="auto"/>
              </w:rPr>
            </w:pPr>
            <w:r>
              <w:rPr>
                <w:color w:val="auto"/>
              </w:rPr>
              <w:t xml:space="preserve">0.67 </w:t>
            </w:r>
          </w:p>
        </w:tc>
        <w:tc>
          <w:tcPr>
            <w:tcW w:w="643" w:type="pct"/>
            <w:tcBorders>
              <w:tl2br w:val="nil"/>
              <w:tr2bl w:val="nil"/>
            </w:tcBorders>
            <w:shd w:val="clear" w:color="auto" w:fill="auto"/>
            <w:tcMar>
              <w:left w:w="28" w:type="dxa"/>
              <w:right w:w="28" w:type="dxa"/>
            </w:tcMar>
            <w:vAlign w:val="center"/>
          </w:tcPr>
          <w:p w14:paraId="3C5E97D9">
            <w:pPr>
              <w:pStyle w:val="714"/>
              <w:rPr>
                <w:color w:val="auto"/>
              </w:rPr>
            </w:pPr>
            <w:r>
              <w:rPr>
                <w:color w:val="auto"/>
              </w:rPr>
              <w:t xml:space="preserve">336.70 </w:t>
            </w:r>
          </w:p>
        </w:tc>
        <w:tc>
          <w:tcPr>
            <w:tcW w:w="643" w:type="pct"/>
            <w:tcBorders>
              <w:tl2br w:val="nil"/>
              <w:tr2bl w:val="nil"/>
            </w:tcBorders>
            <w:shd w:val="clear" w:color="auto" w:fill="auto"/>
            <w:tcMar>
              <w:left w:w="28" w:type="dxa"/>
              <w:right w:w="28" w:type="dxa"/>
            </w:tcMar>
            <w:vAlign w:val="center"/>
          </w:tcPr>
          <w:p w14:paraId="6D518CC7">
            <w:pPr>
              <w:pStyle w:val="714"/>
              <w:rPr>
                <w:color w:val="auto"/>
              </w:rPr>
            </w:pPr>
            <w:r>
              <w:rPr>
                <w:color w:val="auto"/>
              </w:rPr>
              <w:t xml:space="preserve">0.37 </w:t>
            </w:r>
          </w:p>
        </w:tc>
        <w:tc>
          <w:tcPr>
            <w:tcW w:w="641" w:type="pct"/>
            <w:tcBorders>
              <w:tl2br w:val="nil"/>
              <w:tr2bl w:val="nil"/>
            </w:tcBorders>
            <w:shd w:val="clear" w:color="auto" w:fill="auto"/>
            <w:tcMar>
              <w:left w:w="28" w:type="dxa"/>
              <w:right w:w="28" w:type="dxa"/>
            </w:tcMar>
            <w:vAlign w:val="center"/>
          </w:tcPr>
          <w:p w14:paraId="14E021BD">
            <w:pPr>
              <w:pStyle w:val="714"/>
              <w:rPr>
                <w:color w:val="auto"/>
              </w:rPr>
            </w:pPr>
            <w:r>
              <w:rPr>
                <w:color w:val="auto"/>
              </w:rPr>
              <w:t xml:space="preserve">337.00 </w:t>
            </w:r>
          </w:p>
        </w:tc>
      </w:tr>
      <w:tr w14:paraId="034EFC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tcBorders>
              <w:tl2br w:val="nil"/>
              <w:tr2bl w:val="nil"/>
            </w:tcBorders>
            <w:shd w:val="clear" w:color="auto" w:fill="auto"/>
            <w:tcMar>
              <w:left w:w="28" w:type="dxa"/>
              <w:right w:w="28" w:type="dxa"/>
            </w:tcMar>
            <w:vAlign w:val="center"/>
          </w:tcPr>
          <w:p w14:paraId="6EF13BA3">
            <w:pPr>
              <w:pStyle w:val="714"/>
              <w:rPr>
                <w:color w:val="auto"/>
              </w:rPr>
            </w:pPr>
            <w:r>
              <w:rPr>
                <w:color w:val="auto"/>
              </w:rPr>
              <w:t>10#</w:t>
            </w:r>
          </w:p>
        </w:tc>
        <w:tc>
          <w:tcPr>
            <w:tcW w:w="784" w:type="pct"/>
            <w:tcBorders>
              <w:tl2br w:val="nil"/>
              <w:tr2bl w:val="nil"/>
            </w:tcBorders>
            <w:shd w:val="clear" w:color="auto" w:fill="auto"/>
            <w:tcMar>
              <w:left w:w="28" w:type="dxa"/>
              <w:right w:w="28" w:type="dxa"/>
            </w:tcMar>
            <w:vAlign w:val="center"/>
          </w:tcPr>
          <w:p w14:paraId="549EC757">
            <w:pPr>
              <w:pStyle w:val="714"/>
              <w:rPr>
                <w:color w:val="auto"/>
              </w:rPr>
            </w:pPr>
            <w:r>
              <w:rPr>
                <w:color w:val="auto"/>
              </w:rPr>
              <w:t>106.5337079</w:t>
            </w:r>
          </w:p>
        </w:tc>
        <w:tc>
          <w:tcPr>
            <w:tcW w:w="596" w:type="pct"/>
            <w:tcBorders>
              <w:tl2br w:val="nil"/>
              <w:tr2bl w:val="nil"/>
            </w:tcBorders>
            <w:shd w:val="clear" w:color="auto" w:fill="auto"/>
            <w:tcMar>
              <w:left w:w="28" w:type="dxa"/>
              <w:right w:w="28" w:type="dxa"/>
            </w:tcMar>
            <w:vAlign w:val="center"/>
          </w:tcPr>
          <w:p w14:paraId="023EEC6F">
            <w:pPr>
              <w:pStyle w:val="714"/>
              <w:rPr>
                <w:color w:val="auto"/>
              </w:rPr>
            </w:pPr>
            <w:r>
              <w:rPr>
                <w:color w:val="auto"/>
              </w:rPr>
              <w:t>31.45134</w:t>
            </w:r>
          </w:p>
        </w:tc>
        <w:tc>
          <w:tcPr>
            <w:tcW w:w="585" w:type="pct"/>
            <w:tcBorders>
              <w:tl2br w:val="nil"/>
              <w:tr2bl w:val="nil"/>
            </w:tcBorders>
            <w:shd w:val="clear" w:color="auto" w:fill="auto"/>
            <w:tcMar>
              <w:left w:w="28" w:type="dxa"/>
              <w:right w:w="28" w:type="dxa"/>
            </w:tcMar>
            <w:vAlign w:val="center"/>
          </w:tcPr>
          <w:p w14:paraId="48EC15A4">
            <w:pPr>
              <w:pStyle w:val="714"/>
              <w:rPr>
                <w:color w:val="auto"/>
              </w:rPr>
            </w:pPr>
            <w:r>
              <w:rPr>
                <w:color w:val="auto"/>
              </w:rPr>
              <w:t xml:space="preserve">337.91 </w:t>
            </w:r>
          </w:p>
        </w:tc>
        <w:tc>
          <w:tcPr>
            <w:tcW w:w="643" w:type="pct"/>
            <w:tcBorders>
              <w:tl2br w:val="nil"/>
              <w:tr2bl w:val="nil"/>
            </w:tcBorders>
            <w:shd w:val="clear" w:color="auto" w:fill="auto"/>
            <w:tcMar>
              <w:left w:w="28" w:type="dxa"/>
              <w:right w:w="28" w:type="dxa"/>
            </w:tcMar>
            <w:vAlign w:val="center"/>
          </w:tcPr>
          <w:p w14:paraId="75B7852A">
            <w:pPr>
              <w:pStyle w:val="714"/>
              <w:rPr>
                <w:color w:val="auto"/>
              </w:rPr>
            </w:pPr>
            <w:r>
              <w:rPr>
                <w:color w:val="auto"/>
              </w:rPr>
              <w:t xml:space="preserve">0.72 </w:t>
            </w:r>
          </w:p>
        </w:tc>
        <w:tc>
          <w:tcPr>
            <w:tcW w:w="643" w:type="pct"/>
            <w:tcBorders>
              <w:tl2br w:val="nil"/>
              <w:tr2bl w:val="nil"/>
            </w:tcBorders>
            <w:shd w:val="clear" w:color="auto" w:fill="auto"/>
            <w:tcMar>
              <w:left w:w="28" w:type="dxa"/>
              <w:right w:w="28" w:type="dxa"/>
            </w:tcMar>
            <w:vAlign w:val="center"/>
          </w:tcPr>
          <w:p w14:paraId="6C9DF3AC">
            <w:pPr>
              <w:pStyle w:val="714"/>
              <w:rPr>
                <w:color w:val="auto"/>
              </w:rPr>
            </w:pPr>
            <w:r>
              <w:rPr>
                <w:color w:val="auto"/>
              </w:rPr>
              <w:t xml:space="preserve">337.19 </w:t>
            </w:r>
          </w:p>
        </w:tc>
        <w:tc>
          <w:tcPr>
            <w:tcW w:w="643" w:type="pct"/>
            <w:tcBorders>
              <w:tl2br w:val="nil"/>
              <w:tr2bl w:val="nil"/>
            </w:tcBorders>
            <w:shd w:val="clear" w:color="auto" w:fill="auto"/>
            <w:tcMar>
              <w:left w:w="28" w:type="dxa"/>
              <w:right w:w="28" w:type="dxa"/>
            </w:tcMar>
            <w:vAlign w:val="center"/>
          </w:tcPr>
          <w:p w14:paraId="38C07A0E">
            <w:pPr>
              <w:pStyle w:val="714"/>
              <w:rPr>
                <w:color w:val="auto"/>
              </w:rPr>
            </w:pPr>
            <w:r>
              <w:rPr>
                <w:color w:val="auto"/>
              </w:rPr>
              <w:t xml:space="preserve">0.12 </w:t>
            </w:r>
          </w:p>
        </w:tc>
        <w:tc>
          <w:tcPr>
            <w:tcW w:w="641" w:type="pct"/>
            <w:tcBorders>
              <w:tl2br w:val="nil"/>
              <w:tr2bl w:val="nil"/>
            </w:tcBorders>
            <w:shd w:val="clear" w:color="auto" w:fill="auto"/>
            <w:tcMar>
              <w:left w:w="28" w:type="dxa"/>
              <w:right w:w="28" w:type="dxa"/>
            </w:tcMar>
            <w:vAlign w:val="center"/>
          </w:tcPr>
          <w:p w14:paraId="742A1329">
            <w:pPr>
              <w:pStyle w:val="714"/>
              <w:rPr>
                <w:color w:val="auto"/>
              </w:rPr>
            </w:pPr>
            <w:r>
              <w:rPr>
                <w:color w:val="auto"/>
              </w:rPr>
              <w:t xml:space="preserve">337.79 </w:t>
            </w:r>
          </w:p>
        </w:tc>
      </w:tr>
      <w:tr w14:paraId="2A1AFD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tcBorders>
              <w:tl2br w:val="nil"/>
              <w:tr2bl w:val="nil"/>
            </w:tcBorders>
            <w:shd w:val="clear" w:color="auto" w:fill="auto"/>
            <w:tcMar>
              <w:left w:w="28" w:type="dxa"/>
              <w:right w:w="28" w:type="dxa"/>
            </w:tcMar>
            <w:vAlign w:val="center"/>
          </w:tcPr>
          <w:p w14:paraId="2E1343E6">
            <w:pPr>
              <w:pStyle w:val="714"/>
              <w:rPr>
                <w:color w:val="auto"/>
              </w:rPr>
            </w:pPr>
            <w:r>
              <w:rPr>
                <w:color w:val="auto"/>
              </w:rPr>
              <w:t>11#</w:t>
            </w:r>
          </w:p>
        </w:tc>
        <w:tc>
          <w:tcPr>
            <w:tcW w:w="784" w:type="pct"/>
            <w:tcBorders>
              <w:tl2br w:val="nil"/>
              <w:tr2bl w:val="nil"/>
            </w:tcBorders>
            <w:shd w:val="clear" w:color="auto" w:fill="auto"/>
            <w:tcMar>
              <w:left w:w="28" w:type="dxa"/>
              <w:right w:w="28" w:type="dxa"/>
            </w:tcMar>
            <w:vAlign w:val="center"/>
          </w:tcPr>
          <w:p w14:paraId="28125E40">
            <w:pPr>
              <w:pStyle w:val="714"/>
              <w:rPr>
                <w:color w:val="auto"/>
              </w:rPr>
            </w:pPr>
            <w:r>
              <w:rPr>
                <w:color w:val="auto"/>
              </w:rPr>
              <w:t>106.5344457</w:t>
            </w:r>
          </w:p>
        </w:tc>
        <w:tc>
          <w:tcPr>
            <w:tcW w:w="596" w:type="pct"/>
            <w:tcBorders>
              <w:tl2br w:val="nil"/>
              <w:tr2bl w:val="nil"/>
            </w:tcBorders>
            <w:shd w:val="clear" w:color="auto" w:fill="auto"/>
            <w:tcMar>
              <w:left w:w="28" w:type="dxa"/>
              <w:right w:w="28" w:type="dxa"/>
            </w:tcMar>
            <w:vAlign w:val="center"/>
          </w:tcPr>
          <w:p w14:paraId="3DFFBE8C">
            <w:pPr>
              <w:pStyle w:val="714"/>
              <w:rPr>
                <w:color w:val="auto"/>
              </w:rPr>
            </w:pPr>
            <w:r>
              <w:rPr>
                <w:color w:val="auto"/>
              </w:rPr>
              <w:t>31.45219</w:t>
            </w:r>
          </w:p>
        </w:tc>
        <w:tc>
          <w:tcPr>
            <w:tcW w:w="585" w:type="pct"/>
            <w:tcBorders>
              <w:tl2br w:val="nil"/>
              <w:tr2bl w:val="nil"/>
            </w:tcBorders>
            <w:shd w:val="clear" w:color="auto" w:fill="auto"/>
            <w:tcMar>
              <w:left w:w="28" w:type="dxa"/>
              <w:right w:w="28" w:type="dxa"/>
            </w:tcMar>
            <w:vAlign w:val="center"/>
          </w:tcPr>
          <w:p w14:paraId="74ED8D24">
            <w:pPr>
              <w:pStyle w:val="714"/>
              <w:rPr>
                <w:color w:val="auto"/>
              </w:rPr>
            </w:pPr>
            <w:r>
              <w:rPr>
                <w:color w:val="auto"/>
              </w:rPr>
              <w:t xml:space="preserve">339.58 </w:t>
            </w:r>
          </w:p>
        </w:tc>
        <w:tc>
          <w:tcPr>
            <w:tcW w:w="643" w:type="pct"/>
            <w:tcBorders>
              <w:tl2br w:val="nil"/>
              <w:tr2bl w:val="nil"/>
            </w:tcBorders>
            <w:shd w:val="clear" w:color="auto" w:fill="auto"/>
            <w:tcMar>
              <w:left w:w="28" w:type="dxa"/>
              <w:right w:w="28" w:type="dxa"/>
            </w:tcMar>
            <w:vAlign w:val="center"/>
          </w:tcPr>
          <w:p w14:paraId="2E767C5E">
            <w:pPr>
              <w:pStyle w:val="714"/>
              <w:rPr>
                <w:color w:val="auto"/>
              </w:rPr>
            </w:pPr>
            <w:r>
              <w:rPr>
                <w:color w:val="auto"/>
              </w:rPr>
              <w:t xml:space="preserve">1.41 </w:t>
            </w:r>
          </w:p>
        </w:tc>
        <w:tc>
          <w:tcPr>
            <w:tcW w:w="643" w:type="pct"/>
            <w:tcBorders>
              <w:tl2br w:val="nil"/>
              <w:tr2bl w:val="nil"/>
            </w:tcBorders>
            <w:shd w:val="clear" w:color="auto" w:fill="auto"/>
            <w:tcMar>
              <w:left w:w="28" w:type="dxa"/>
              <w:right w:w="28" w:type="dxa"/>
            </w:tcMar>
            <w:vAlign w:val="center"/>
          </w:tcPr>
          <w:p w14:paraId="44D82201">
            <w:pPr>
              <w:pStyle w:val="714"/>
              <w:rPr>
                <w:color w:val="auto"/>
              </w:rPr>
            </w:pPr>
            <w:r>
              <w:rPr>
                <w:color w:val="auto"/>
              </w:rPr>
              <w:t xml:space="preserve">338.17 </w:t>
            </w:r>
          </w:p>
        </w:tc>
        <w:tc>
          <w:tcPr>
            <w:tcW w:w="643" w:type="pct"/>
            <w:tcBorders>
              <w:tl2br w:val="nil"/>
              <w:tr2bl w:val="nil"/>
            </w:tcBorders>
            <w:shd w:val="clear" w:color="auto" w:fill="auto"/>
            <w:tcMar>
              <w:left w:w="28" w:type="dxa"/>
              <w:right w:w="28" w:type="dxa"/>
            </w:tcMar>
            <w:vAlign w:val="center"/>
          </w:tcPr>
          <w:p w14:paraId="4A19E392">
            <w:pPr>
              <w:pStyle w:val="714"/>
              <w:rPr>
                <w:color w:val="auto"/>
              </w:rPr>
            </w:pPr>
            <w:r>
              <w:rPr>
                <w:color w:val="auto"/>
              </w:rPr>
              <w:t xml:space="preserve">0.71 </w:t>
            </w:r>
          </w:p>
        </w:tc>
        <w:tc>
          <w:tcPr>
            <w:tcW w:w="641" w:type="pct"/>
            <w:tcBorders>
              <w:tl2br w:val="nil"/>
              <w:tr2bl w:val="nil"/>
            </w:tcBorders>
            <w:shd w:val="clear" w:color="auto" w:fill="auto"/>
            <w:tcMar>
              <w:left w:w="28" w:type="dxa"/>
              <w:right w:w="28" w:type="dxa"/>
            </w:tcMar>
            <w:vAlign w:val="center"/>
          </w:tcPr>
          <w:p w14:paraId="3583B33C">
            <w:pPr>
              <w:pStyle w:val="714"/>
              <w:rPr>
                <w:color w:val="auto"/>
              </w:rPr>
            </w:pPr>
            <w:r>
              <w:rPr>
                <w:color w:val="auto"/>
              </w:rPr>
              <w:t xml:space="preserve">338.87 </w:t>
            </w:r>
          </w:p>
        </w:tc>
      </w:tr>
      <w:tr w14:paraId="12F9FB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tcBorders>
              <w:tl2br w:val="nil"/>
              <w:tr2bl w:val="nil"/>
            </w:tcBorders>
            <w:shd w:val="clear" w:color="auto" w:fill="auto"/>
            <w:tcMar>
              <w:left w:w="28" w:type="dxa"/>
              <w:right w:w="28" w:type="dxa"/>
            </w:tcMar>
            <w:vAlign w:val="center"/>
          </w:tcPr>
          <w:p w14:paraId="12495C1E">
            <w:pPr>
              <w:pStyle w:val="714"/>
              <w:rPr>
                <w:color w:val="auto"/>
              </w:rPr>
            </w:pPr>
            <w:r>
              <w:rPr>
                <w:color w:val="auto"/>
              </w:rPr>
              <w:t>12#</w:t>
            </w:r>
          </w:p>
        </w:tc>
        <w:tc>
          <w:tcPr>
            <w:tcW w:w="784" w:type="pct"/>
            <w:tcBorders>
              <w:tl2br w:val="nil"/>
              <w:tr2bl w:val="nil"/>
            </w:tcBorders>
            <w:shd w:val="clear" w:color="auto" w:fill="auto"/>
            <w:tcMar>
              <w:left w:w="28" w:type="dxa"/>
              <w:right w:w="28" w:type="dxa"/>
            </w:tcMar>
            <w:vAlign w:val="center"/>
          </w:tcPr>
          <w:p w14:paraId="6AD62193">
            <w:pPr>
              <w:pStyle w:val="714"/>
              <w:rPr>
                <w:color w:val="auto"/>
              </w:rPr>
            </w:pPr>
            <w:r>
              <w:rPr>
                <w:color w:val="auto"/>
              </w:rPr>
              <w:t>106.8930538</w:t>
            </w:r>
          </w:p>
        </w:tc>
        <w:tc>
          <w:tcPr>
            <w:tcW w:w="596" w:type="pct"/>
            <w:tcBorders>
              <w:tl2br w:val="nil"/>
              <w:tr2bl w:val="nil"/>
            </w:tcBorders>
            <w:shd w:val="clear" w:color="auto" w:fill="auto"/>
            <w:tcMar>
              <w:left w:w="28" w:type="dxa"/>
              <w:right w:w="28" w:type="dxa"/>
            </w:tcMar>
            <w:vAlign w:val="center"/>
          </w:tcPr>
          <w:p w14:paraId="5B2BC51C">
            <w:pPr>
              <w:pStyle w:val="714"/>
              <w:rPr>
                <w:color w:val="auto"/>
              </w:rPr>
            </w:pPr>
            <w:r>
              <w:rPr>
                <w:color w:val="auto"/>
              </w:rPr>
              <w:t>31.75747</w:t>
            </w:r>
          </w:p>
        </w:tc>
        <w:tc>
          <w:tcPr>
            <w:tcW w:w="585" w:type="pct"/>
            <w:tcBorders>
              <w:tl2br w:val="nil"/>
              <w:tr2bl w:val="nil"/>
            </w:tcBorders>
            <w:shd w:val="clear" w:color="auto" w:fill="auto"/>
            <w:tcMar>
              <w:left w:w="28" w:type="dxa"/>
              <w:right w:w="28" w:type="dxa"/>
            </w:tcMar>
            <w:vAlign w:val="center"/>
          </w:tcPr>
          <w:p w14:paraId="2E3C147E">
            <w:pPr>
              <w:pStyle w:val="714"/>
              <w:rPr>
                <w:color w:val="auto"/>
              </w:rPr>
            </w:pPr>
            <w:r>
              <w:rPr>
                <w:color w:val="auto"/>
              </w:rPr>
              <w:t xml:space="preserve">341.95 </w:t>
            </w:r>
          </w:p>
        </w:tc>
        <w:tc>
          <w:tcPr>
            <w:tcW w:w="643" w:type="pct"/>
            <w:tcBorders>
              <w:tl2br w:val="nil"/>
              <w:tr2bl w:val="nil"/>
            </w:tcBorders>
            <w:shd w:val="clear" w:color="auto" w:fill="auto"/>
            <w:tcMar>
              <w:left w:w="28" w:type="dxa"/>
              <w:right w:w="28" w:type="dxa"/>
            </w:tcMar>
            <w:vAlign w:val="center"/>
          </w:tcPr>
          <w:p w14:paraId="65D49C5F">
            <w:pPr>
              <w:pStyle w:val="714"/>
              <w:rPr>
                <w:color w:val="auto"/>
              </w:rPr>
            </w:pPr>
            <w:r>
              <w:rPr>
                <w:color w:val="auto"/>
              </w:rPr>
              <w:t xml:space="preserve">1.81 </w:t>
            </w:r>
          </w:p>
        </w:tc>
        <w:tc>
          <w:tcPr>
            <w:tcW w:w="643" w:type="pct"/>
            <w:tcBorders>
              <w:tl2br w:val="nil"/>
              <w:tr2bl w:val="nil"/>
            </w:tcBorders>
            <w:shd w:val="clear" w:color="auto" w:fill="auto"/>
            <w:tcMar>
              <w:left w:w="28" w:type="dxa"/>
              <w:right w:w="28" w:type="dxa"/>
            </w:tcMar>
            <w:vAlign w:val="center"/>
          </w:tcPr>
          <w:p w14:paraId="4B8E7070">
            <w:pPr>
              <w:pStyle w:val="714"/>
              <w:rPr>
                <w:color w:val="auto"/>
              </w:rPr>
            </w:pPr>
            <w:r>
              <w:rPr>
                <w:color w:val="auto"/>
              </w:rPr>
              <w:t xml:space="preserve">340.14 </w:t>
            </w:r>
          </w:p>
        </w:tc>
        <w:tc>
          <w:tcPr>
            <w:tcW w:w="643" w:type="pct"/>
            <w:tcBorders>
              <w:tl2br w:val="nil"/>
              <w:tr2bl w:val="nil"/>
            </w:tcBorders>
            <w:shd w:val="clear" w:color="auto" w:fill="auto"/>
            <w:tcMar>
              <w:left w:w="28" w:type="dxa"/>
              <w:right w:w="28" w:type="dxa"/>
            </w:tcMar>
            <w:vAlign w:val="center"/>
          </w:tcPr>
          <w:p w14:paraId="6E6E1DCC">
            <w:pPr>
              <w:pStyle w:val="714"/>
              <w:rPr>
                <w:color w:val="auto"/>
              </w:rPr>
            </w:pPr>
            <w:r>
              <w:rPr>
                <w:color w:val="auto"/>
              </w:rPr>
              <w:t xml:space="preserve">1.31 </w:t>
            </w:r>
          </w:p>
        </w:tc>
        <w:tc>
          <w:tcPr>
            <w:tcW w:w="641" w:type="pct"/>
            <w:tcBorders>
              <w:tl2br w:val="nil"/>
              <w:tr2bl w:val="nil"/>
            </w:tcBorders>
            <w:shd w:val="clear" w:color="auto" w:fill="auto"/>
            <w:tcMar>
              <w:left w:w="28" w:type="dxa"/>
              <w:right w:w="28" w:type="dxa"/>
            </w:tcMar>
            <w:vAlign w:val="center"/>
          </w:tcPr>
          <w:p w14:paraId="50F3FB40">
            <w:pPr>
              <w:pStyle w:val="714"/>
              <w:rPr>
                <w:color w:val="auto"/>
              </w:rPr>
            </w:pPr>
            <w:r>
              <w:rPr>
                <w:color w:val="auto"/>
              </w:rPr>
              <w:t xml:space="preserve">340.64 </w:t>
            </w:r>
          </w:p>
        </w:tc>
      </w:tr>
      <w:tr w14:paraId="596CA5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tcBorders>
              <w:tl2br w:val="nil"/>
              <w:tr2bl w:val="nil"/>
            </w:tcBorders>
            <w:shd w:val="clear" w:color="auto" w:fill="auto"/>
            <w:tcMar>
              <w:left w:w="28" w:type="dxa"/>
              <w:right w:w="28" w:type="dxa"/>
            </w:tcMar>
            <w:vAlign w:val="center"/>
          </w:tcPr>
          <w:p w14:paraId="359B3883">
            <w:pPr>
              <w:pStyle w:val="714"/>
              <w:rPr>
                <w:color w:val="auto"/>
              </w:rPr>
            </w:pPr>
            <w:r>
              <w:rPr>
                <w:color w:val="auto"/>
              </w:rPr>
              <w:t>13#</w:t>
            </w:r>
          </w:p>
        </w:tc>
        <w:tc>
          <w:tcPr>
            <w:tcW w:w="784" w:type="pct"/>
            <w:tcBorders>
              <w:tl2br w:val="nil"/>
              <w:tr2bl w:val="nil"/>
            </w:tcBorders>
            <w:shd w:val="clear" w:color="auto" w:fill="auto"/>
            <w:tcMar>
              <w:left w:w="28" w:type="dxa"/>
              <w:right w:w="28" w:type="dxa"/>
            </w:tcMar>
            <w:vAlign w:val="center"/>
          </w:tcPr>
          <w:p w14:paraId="419A75A0">
            <w:pPr>
              <w:pStyle w:val="714"/>
              <w:rPr>
                <w:color w:val="auto"/>
              </w:rPr>
            </w:pPr>
            <w:r>
              <w:rPr>
                <w:color w:val="auto"/>
              </w:rPr>
              <w:t>106.8914955</w:t>
            </w:r>
          </w:p>
        </w:tc>
        <w:tc>
          <w:tcPr>
            <w:tcW w:w="596" w:type="pct"/>
            <w:tcBorders>
              <w:tl2br w:val="nil"/>
              <w:tr2bl w:val="nil"/>
            </w:tcBorders>
            <w:shd w:val="clear" w:color="auto" w:fill="auto"/>
            <w:tcMar>
              <w:left w:w="28" w:type="dxa"/>
              <w:right w:w="28" w:type="dxa"/>
            </w:tcMar>
            <w:vAlign w:val="center"/>
          </w:tcPr>
          <w:p w14:paraId="664A520D">
            <w:pPr>
              <w:pStyle w:val="714"/>
              <w:rPr>
                <w:color w:val="auto"/>
              </w:rPr>
            </w:pPr>
            <w:r>
              <w:rPr>
                <w:color w:val="auto"/>
              </w:rPr>
              <w:t>31.75676</w:t>
            </w:r>
          </w:p>
        </w:tc>
        <w:tc>
          <w:tcPr>
            <w:tcW w:w="585" w:type="pct"/>
            <w:tcBorders>
              <w:tl2br w:val="nil"/>
              <w:tr2bl w:val="nil"/>
            </w:tcBorders>
            <w:shd w:val="clear" w:color="auto" w:fill="auto"/>
            <w:tcMar>
              <w:left w:w="28" w:type="dxa"/>
              <w:right w:w="28" w:type="dxa"/>
            </w:tcMar>
            <w:vAlign w:val="center"/>
          </w:tcPr>
          <w:p w14:paraId="668ABCA7">
            <w:pPr>
              <w:pStyle w:val="714"/>
              <w:rPr>
                <w:color w:val="auto"/>
              </w:rPr>
            </w:pPr>
            <w:r>
              <w:rPr>
                <w:color w:val="auto"/>
              </w:rPr>
              <w:t xml:space="preserve">339.54 </w:t>
            </w:r>
          </w:p>
        </w:tc>
        <w:tc>
          <w:tcPr>
            <w:tcW w:w="643" w:type="pct"/>
            <w:tcBorders>
              <w:tl2br w:val="nil"/>
              <w:tr2bl w:val="nil"/>
            </w:tcBorders>
            <w:shd w:val="clear" w:color="auto" w:fill="auto"/>
            <w:tcMar>
              <w:left w:w="28" w:type="dxa"/>
              <w:right w:w="28" w:type="dxa"/>
            </w:tcMar>
            <w:vAlign w:val="center"/>
          </w:tcPr>
          <w:p w14:paraId="38DA389A">
            <w:pPr>
              <w:pStyle w:val="714"/>
              <w:rPr>
                <w:color w:val="auto"/>
              </w:rPr>
            </w:pPr>
            <w:r>
              <w:rPr>
                <w:color w:val="auto"/>
              </w:rPr>
              <w:t xml:space="preserve">1.45 </w:t>
            </w:r>
          </w:p>
        </w:tc>
        <w:tc>
          <w:tcPr>
            <w:tcW w:w="643" w:type="pct"/>
            <w:tcBorders>
              <w:tl2br w:val="nil"/>
              <w:tr2bl w:val="nil"/>
            </w:tcBorders>
            <w:shd w:val="clear" w:color="auto" w:fill="auto"/>
            <w:tcMar>
              <w:left w:w="28" w:type="dxa"/>
              <w:right w:w="28" w:type="dxa"/>
            </w:tcMar>
            <w:vAlign w:val="center"/>
          </w:tcPr>
          <w:p w14:paraId="3C4C24D7">
            <w:pPr>
              <w:pStyle w:val="714"/>
              <w:rPr>
                <w:color w:val="auto"/>
              </w:rPr>
            </w:pPr>
            <w:r>
              <w:rPr>
                <w:color w:val="auto"/>
              </w:rPr>
              <w:t xml:space="preserve">338.09 </w:t>
            </w:r>
          </w:p>
        </w:tc>
        <w:tc>
          <w:tcPr>
            <w:tcW w:w="643" w:type="pct"/>
            <w:tcBorders>
              <w:tl2br w:val="nil"/>
              <w:tr2bl w:val="nil"/>
            </w:tcBorders>
            <w:shd w:val="clear" w:color="auto" w:fill="auto"/>
            <w:tcMar>
              <w:left w:w="28" w:type="dxa"/>
              <w:right w:w="28" w:type="dxa"/>
            </w:tcMar>
            <w:vAlign w:val="center"/>
          </w:tcPr>
          <w:p w14:paraId="17790E37">
            <w:pPr>
              <w:pStyle w:val="714"/>
              <w:rPr>
                <w:color w:val="auto"/>
              </w:rPr>
            </w:pPr>
            <w:r>
              <w:rPr>
                <w:color w:val="auto"/>
              </w:rPr>
              <w:t xml:space="preserve">1.15 </w:t>
            </w:r>
          </w:p>
        </w:tc>
        <w:tc>
          <w:tcPr>
            <w:tcW w:w="641" w:type="pct"/>
            <w:tcBorders>
              <w:tl2br w:val="nil"/>
              <w:tr2bl w:val="nil"/>
            </w:tcBorders>
            <w:shd w:val="clear" w:color="auto" w:fill="auto"/>
            <w:tcMar>
              <w:left w:w="28" w:type="dxa"/>
              <w:right w:w="28" w:type="dxa"/>
            </w:tcMar>
            <w:vAlign w:val="center"/>
          </w:tcPr>
          <w:p w14:paraId="19A729AA">
            <w:pPr>
              <w:pStyle w:val="714"/>
              <w:rPr>
                <w:color w:val="auto"/>
              </w:rPr>
            </w:pPr>
            <w:r>
              <w:rPr>
                <w:color w:val="auto"/>
              </w:rPr>
              <w:t xml:space="preserve">338.39 </w:t>
            </w:r>
          </w:p>
        </w:tc>
      </w:tr>
      <w:tr w14:paraId="447079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2" w:type="pct"/>
            <w:tcBorders>
              <w:tl2br w:val="nil"/>
              <w:tr2bl w:val="nil"/>
            </w:tcBorders>
            <w:shd w:val="clear" w:color="auto" w:fill="auto"/>
            <w:tcMar>
              <w:left w:w="28" w:type="dxa"/>
              <w:right w:w="28" w:type="dxa"/>
            </w:tcMar>
            <w:vAlign w:val="center"/>
          </w:tcPr>
          <w:p w14:paraId="2755110A">
            <w:pPr>
              <w:pStyle w:val="714"/>
              <w:rPr>
                <w:color w:val="auto"/>
              </w:rPr>
            </w:pPr>
            <w:r>
              <w:rPr>
                <w:color w:val="auto"/>
              </w:rPr>
              <w:t>14#</w:t>
            </w:r>
          </w:p>
        </w:tc>
        <w:tc>
          <w:tcPr>
            <w:tcW w:w="784" w:type="pct"/>
            <w:tcBorders>
              <w:tl2br w:val="nil"/>
              <w:tr2bl w:val="nil"/>
            </w:tcBorders>
            <w:shd w:val="clear" w:color="auto" w:fill="auto"/>
            <w:tcMar>
              <w:left w:w="28" w:type="dxa"/>
              <w:right w:w="28" w:type="dxa"/>
            </w:tcMar>
            <w:vAlign w:val="center"/>
          </w:tcPr>
          <w:p w14:paraId="33B5DE18">
            <w:pPr>
              <w:pStyle w:val="714"/>
              <w:rPr>
                <w:color w:val="auto"/>
              </w:rPr>
            </w:pPr>
            <w:r>
              <w:rPr>
                <w:color w:val="auto"/>
              </w:rPr>
              <w:t>106.8925925</w:t>
            </w:r>
          </w:p>
        </w:tc>
        <w:tc>
          <w:tcPr>
            <w:tcW w:w="596" w:type="pct"/>
            <w:tcBorders>
              <w:tl2br w:val="nil"/>
              <w:tr2bl w:val="nil"/>
            </w:tcBorders>
            <w:shd w:val="clear" w:color="auto" w:fill="auto"/>
            <w:tcMar>
              <w:left w:w="28" w:type="dxa"/>
              <w:right w:w="28" w:type="dxa"/>
            </w:tcMar>
            <w:vAlign w:val="center"/>
          </w:tcPr>
          <w:p w14:paraId="63443287">
            <w:pPr>
              <w:pStyle w:val="714"/>
              <w:rPr>
                <w:color w:val="auto"/>
              </w:rPr>
            </w:pPr>
            <w:r>
              <w:rPr>
                <w:color w:val="auto"/>
              </w:rPr>
              <w:t>31.75288</w:t>
            </w:r>
          </w:p>
        </w:tc>
        <w:tc>
          <w:tcPr>
            <w:tcW w:w="585" w:type="pct"/>
            <w:tcBorders>
              <w:tl2br w:val="nil"/>
              <w:tr2bl w:val="nil"/>
            </w:tcBorders>
            <w:shd w:val="clear" w:color="auto" w:fill="auto"/>
            <w:tcMar>
              <w:left w:w="28" w:type="dxa"/>
              <w:right w:w="28" w:type="dxa"/>
            </w:tcMar>
            <w:vAlign w:val="center"/>
          </w:tcPr>
          <w:p w14:paraId="54E9D9AF">
            <w:pPr>
              <w:pStyle w:val="714"/>
              <w:rPr>
                <w:color w:val="auto"/>
              </w:rPr>
            </w:pPr>
            <w:r>
              <w:rPr>
                <w:color w:val="auto"/>
              </w:rPr>
              <w:t xml:space="preserve">331.11 </w:t>
            </w:r>
          </w:p>
        </w:tc>
        <w:tc>
          <w:tcPr>
            <w:tcW w:w="643" w:type="pct"/>
            <w:tcBorders>
              <w:tl2br w:val="nil"/>
              <w:tr2bl w:val="nil"/>
            </w:tcBorders>
            <w:shd w:val="clear" w:color="auto" w:fill="auto"/>
            <w:tcMar>
              <w:left w:w="28" w:type="dxa"/>
              <w:right w:w="28" w:type="dxa"/>
            </w:tcMar>
            <w:vAlign w:val="center"/>
          </w:tcPr>
          <w:p w14:paraId="4FFBD2D1">
            <w:pPr>
              <w:pStyle w:val="714"/>
              <w:rPr>
                <w:color w:val="auto"/>
              </w:rPr>
            </w:pPr>
            <w:r>
              <w:rPr>
                <w:color w:val="auto"/>
              </w:rPr>
              <w:t xml:space="preserve">1.71 </w:t>
            </w:r>
          </w:p>
        </w:tc>
        <w:tc>
          <w:tcPr>
            <w:tcW w:w="643" w:type="pct"/>
            <w:tcBorders>
              <w:tl2br w:val="nil"/>
              <w:tr2bl w:val="nil"/>
            </w:tcBorders>
            <w:shd w:val="clear" w:color="auto" w:fill="auto"/>
            <w:tcMar>
              <w:left w:w="28" w:type="dxa"/>
              <w:right w:w="28" w:type="dxa"/>
            </w:tcMar>
            <w:vAlign w:val="center"/>
          </w:tcPr>
          <w:p w14:paraId="0C98C134">
            <w:pPr>
              <w:pStyle w:val="714"/>
              <w:rPr>
                <w:color w:val="auto"/>
              </w:rPr>
            </w:pPr>
            <w:r>
              <w:rPr>
                <w:color w:val="auto"/>
              </w:rPr>
              <w:t xml:space="preserve">329.40 </w:t>
            </w:r>
          </w:p>
        </w:tc>
        <w:tc>
          <w:tcPr>
            <w:tcW w:w="643" w:type="pct"/>
            <w:tcBorders>
              <w:tl2br w:val="nil"/>
              <w:tr2bl w:val="nil"/>
            </w:tcBorders>
            <w:shd w:val="clear" w:color="auto" w:fill="auto"/>
            <w:tcMar>
              <w:left w:w="28" w:type="dxa"/>
              <w:right w:w="28" w:type="dxa"/>
            </w:tcMar>
            <w:vAlign w:val="center"/>
          </w:tcPr>
          <w:p w14:paraId="76C7B474">
            <w:pPr>
              <w:pStyle w:val="714"/>
              <w:rPr>
                <w:color w:val="auto"/>
              </w:rPr>
            </w:pPr>
            <w:r>
              <w:rPr>
                <w:color w:val="auto"/>
              </w:rPr>
              <w:t>0.</w:t>
            </w:r>
            <w:r>
              <w:rPr>
                <w:rFonts w:hint="eastAsia"/>
                <w:color w:val="auto"/>
              </w:rPr>
              <w:t>10</w:t>
            </w:r>
            <w:r>
              <w:rPr>
                <w:color w:val="auto"/>
              </w:rPr>
              <w:t xml:space="preserve"> </w:t>
            </w:r>
          </w:p>
        </w:tc>
        <w:tc>
          <w:tcPr>
            <w:tcW w:w="641" w:type="pct"/>
            <w:tcBorders>
              <w:tl2br w:val="nil"/>
              <w:tr2bl w:val="nil"/>
            </w:tcBorders>
            <w:shd w:val="clear" w:color="auto" w:fill="auto"/>
            <w:tcMar>
              <w:left w:w="28" w:type="dxa"/>
              <w:right w:w="28" w:type="dxa"/>
            </w:tcMar>
            <w:vAlign w:val="center"/>
          </w:tcPr>
          <w:p w14:paraId="599F96BA">
            <w:pPr>
              <w:pStyle w:val="714"/>
              <w:rPr>
                <w:color w:val="auto"/>
              </w:rPr>
            </w:pPr>
            <w:r>
              <w:rPr>
                <w:color w:val="auto"/>
              </w:rPr>
              <w:t>331.</w:t>
            </w:r>
            <w:r>
              <w:rPr>
                <w:rFonts w:hint="eastAsia"/>
                <w:color w:val="auto"/>
              </w:rPr>
              <w:t>01</w:t>
            </w:r>
            <w:r>
              <w:rPr>
                <w:color w:val="auto"/>
              </w:rPr>
              <w:t xml:space="preserve"> </w:t>
            </w:r>
          </w:p>
        </w:tc>
      </w:tr>
    </w:tbl>
    <w:p w14:paraId="613DDE35">
      <w:pPr>
        <w:keepNext w:val="0"/>
        <w:keepLines w:val="0"/>
        <w:pageBreakBefore w:val="0"/>
        <w:widowControl w:val="0"/>
        <w:kinsoku/>
        <w:wordWrap/>
        <w:overflowPunct/>
        <w:topLinePunct w:val="0"/>
        <w:autoSpaceDE/>
        <w:autoSpaceDN/>
        <w:bidi w:val="0"/>
        <w:adjustRightInd/>
        <w:snapToGrid/>
        <w:spacing w:before="0" w:beforeLines="50"/>
        <w:textAlignment w:val="auto"/>
        <w:rPr>
          <w:b/>
          <w:bCs/>
          <w:color w:val="auto"/>
        </w:rPr>
      </w:pPr>
      <w:r>
        <w:rPr>
          <w:rFonts w:hint="eastAsia"/>
          <w:b/>
          <w:bCs/>
          <w:color w:val="auto"/>
          <w:lang w:val="en-US" w:eastAsia="zh-CN"/>
        </w:rPr>
        <w:t>4、</w:t>
      </w:r>
      <w:r>
        <w:rPr>
          <w:b/>
          <w:bCs/>
          <w:color w:val="auto"/>
        </w:rPr>
        <w:t>水文地质试验统计</w:t>
      </w:r>
    </w:p>
    <w:bookmarkEnd w:id="142"/>
    <w:bookmarkEnd w:id="143"/>
    <w:bookmarkEnd w:id="144"/>
    <w:bookmarkEnd w:id="145"/>
    <w:bookmarkEnd w:id="146"/>
    <w:bookmarkEnd w:id="147"/>
    <w:bookmarkEnd w:id="148"/>
    <w:p w14:paraId="1717B4C3">
      <w:pPr>
        <w:ind w:firstLine="480"/>
        <w:rPr>
          <w:rFonts w:hint="default" w:ascii="Times New Roman" w:hAnsi="Times New Roman" w:cs="Times New Roman"/>
          <w:color w:val="auto"/>
        </w:rPr>
      </w:pPr>
      <w:r>
        <w:rPr>
          <w:rFonts w:hint="default" w:ascii="Times New Roman" w:hAnsi="Times New Roman" w:cs="Times New Roman"/>
          <w:color w:val="auto"/>
        </w:rPr>
        <w:t>为查明本项目含水层渗透性及包气带防污性能，项目组收集了本项目评价区区域水文地质报告提供的抽水试验成果及包气带渗水试验成果。</w:t>
      </w:r>
    </w:p>
    <w:p w14:paraId="0F0D8821">
      <w:pPr>
        <w:ind w:firstLine="480"/>
        <w:rPr>
          <w:rFonts w:hint="default" w:ascii="Times New Roman" w:hAnsi="Times New Roman" w:cs="Times New Roman"/>
          <w:color w:val="auto"/>
        </w:rPr>
      </w:pPr>
      <w:r>
        <w:rPr>
          <w:rFonts w:hint="default" w:ascii="Times New Roman" w:hAnsi="Times New Roman" w:cs="Times New Roman"/>
          <w:color w:val="auto"/>
        </w:rPr>
        <w:t>（1）抽水试验及水文地质参数</w:t>
      </w:r>
    </w:p>
    <w:p w14:paraId="6360CE64">
      <w:pPr>
        <w:ind w:firstLine="480"/>
        <w:rPr>
          <w:rFonts w:hint="default" w:ascii="Times New Roman" w:hAnsi="Times New Roman" w:cs="Times New Roman"/>
          <w:color w:val="auto"/>
        </w:rPr>
      </w:pPr>
      <w:r>
        <w:rPr>
          <w:rFonts w:hint="default" w:ascii="Times New Roman" w:hAnsi="Times New Roman" w:cs="Times New Roman"/>
          <w:color w:val="auto"/>
        </w:rPr>
        <w:t>本项目收集了区域水文地质报告中的第四系全新统（Q</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al</w:t>
      </w:r>
      <w:r>
        <w:rPr>
          <w:rFonts w:hint="default" w:ascii="Times New Roman" w:hAnsi="Times New Roman" w:cs="Times New Roman"/>
          <w:color w:val="auto"/>
        </w:rPr>
        <w:t>）、上更新统（Q</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al</w:t>
      </w:r>
      <w:r>
        <w:rPr>
          <w:rFonts w:hint="default" w:ascii="Times New Roman" w:hAnsi="Times New Roman" w:cs="Times New Roman"/>
          <w:color w:val="auto"/>
        </w:rPr>
        <w:t>）冲积层及白垩系白龙组（K</w:t>
      </w:r>
      <w:r>
        <w:rPr>
          <w:rFonts w:hint="default" w:ascii="Times New Roman" w:hAnsi="Times New Roman" w:cs="Times New Roman"/>
          <w:color w:val="auto"/>
          <w:vertAlign w:val="subscript"/>
        </w:rPr>
        <w:t>1</w:t>
      </w:r>
      <w:r>
        <w:rPr>
          <w:rFonts w:hint="default" w:ascii="Times New Roman" w:hAnsi="Times New Roman" w:cs="Times New Roman"/>
          <w:color w:val="auto"/>
        </w:rPr>
        <w:t>b）基岩浅层地下水中开展的抽水试验数据，见</w:t>
      </w:r>
      <w:r>
        <w:rPr>
          <w:rFonts w:hint="default" w:ascii="Times New Roman" w:hAnsi="Times New Roman" w:cs="Times New Roman"/>
          <w:color w:val="auto"/>
          <w:lang w:val="en-US" w:eastAsia="zh-CN"/>
        </w:rPr>
        <w:t>下表</w:t>
      </w:r>
      <w:r>
        <w:rPr>
          <w:rFonts w:hint="default" w:ascii="Times New Roman" w:hAnsi="Times New Roman" w:cs="Times New Roman"/>
          <w:color w:val="auto"/>
        </w:rPr>
        <w:t>。</w:t>
      </w:r>
    </w:p>
    <w:p w14:paraId="655F2562">
      <w:pPr>
        <w:pStyle w:val="19"/>
        <w:numPr>
          <w:ilvl w:val="0"/>
          <w:numId w:val="28"/>
        </w:numPr>
        <w:bidi w:val="0"/>
        <w:rPr>
          <w:rFonts w:cs="Times New Roman"/>
          <w:color w:val="auto"/>
        </w:rPr>
      </w:pPr>
      <w:r>
        <w:rPr>
          <w:rFonts w:cs="Times New Roman"/>
          <w:color w:val="auto"/>
        </w:rPr>
        <w:t>第四系</w:t>
      </w:r>
      <w:r>
        <w:rPr>
          <w:rFonts w:hint="eastAsia" w:cs="Times New Roman"/>
          <w:color w:val="auto"/>
        </w:rPr>
        <w:t>全新统及</w:t>
      </w:r>
      <w:r>
        <w:rPr>
          <w:rFonts w:cs="Times New Roman"/>
          <w:color w:val="auto"/>
        </w:rPr>
        <w:t>上更新统地层抽水试验成果统计表</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642"/>
        <w:gridCol w:w="910"/>
        <w:gridCol w:w="993"/>
        <w:gridCol w:w="1237"/>
        <w:gridCol w:w="963"/>
        <w:gridCol w:w="715"/>
        <w:gridCol w:w="825"/>
        <w:gridCol w:w="635"/>
        <w:gridCol w:w="1030"/>
        <w:gridCol w:w="894"/>
      </w:tblGrid>
      <w:tr w14:paraId="1126FE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3" w:type="pct"/>
            <w:vMerge w:val="restart"/>
            <w:tcBorders>
              <w:tl2br w:val="nil"/>
              <w:tr2bl w:val="nil"/>
            </w:tcBorders>
            <w:shd w:val="clear" w:color="auto" w:fill="auto"/>
            <w:vAlign w:val="center"/>
          </w:tcPr>
          <w:p w14:paraId="5516E154">
            <w:pPr>
              <w:pStyle w:val="714"/>
              <w:rPr>
                <w:b/>
                <w:bCs/>
                <w:color w:val="auto"/>
              </w:rPr>
            </w:pPr>
            <w:r>
              <w:rPr>
                <w:rFonts w:hint="eastAsia"/>
                <w:b/>
                <w:bCs/>
                <w:color w:val="auto"/>
              </w:rPr>
              <w:t>试验孔</w:t>
            </w:r>
          </w:p>
        </w:tc>
        <w:tc>
          <w:tcPr>
            <w:tcW w:w="514" w:type="pct"/>
            <w:vMerge w:val="restart"/>
            <w:tcBorders>
              <w:tl2br w:val="nil"/>
              <w:tr2bl w:val="nil"/>
            </w:tcBorders>
            <w:shd w:val="clear" w:color="auto" w:fill="auto"/>
            <w:vAlign w:val="center"/>
          </w:tcPr>
          <w:p w14:paraId="2EC54DD9">
            <w:pPr>
              <w:pStyle w:val="714"/>
              <w:rPr>
                <w:b/>
                <w:bCs/>
                <w:color w:val="auto"/>
              </w:rPr>
            </w:pPr>
            <w:r>
              <w:rPr>
                <w:rFonts w:hint="eastAsia"/>
                <w:b/>
                <w:bCs/>
                <w:color w:val="auto"/>
              </w:rPr>
              <w:t>含水层代号</w:t>
            </w:r>
          </w:p>
        </w:tc>
        <w:tc>
          <w:tcPr>
            <w:tcW w:w="561" w:type="pct"/>
            <w:vMerge w:val="restart"/>
            <w:tcBorders>
              <w:tl2br w:val="nil"/>
              <w:tr2bl w:val="nil"/>
            </w:tcBorders>
            <w:shd w:val="clear" w:color="auto" w:fill="auto"/>
            <w:vAlign w:val="center"/>
          </w:tcPr>
          <w:p w14:paraId="0470B325">
            <w:pPr>
              <w:pStyle w:val="714"/>
              <w:rPr>
                <w:b/>
                <w:bCs/>
                <w:color w:val="auto"/>
              </w:rPr>
            </w:pPr>
            <w:r>
              <w:rPr>
                <w:rFonts w:hint="eastAsia"/>
                <w:b/>
                <w:bCs/>
                <w:color w:val="auto"/>
              </w:rPr>
              <w:t>含水层厚度</w:t>
            </w:r>
          </w:p>
        </w:tc>
        <w:tc>
          <w:tcPr>
            <w:tcW w:w="699" w:type="pct"/>
            <w:vMerge w:val="restart"/>
            <w:tcBorders>
              <w:tl2br w:val="nil"/>
              <w:tr2bl w:val="nil"/>
            </w:tcBorders>
            <w:shd w:val="clear" w:color="auto" w:fill="auto"/>
            <w:vAlign w:val="center"/>
          </w:tcPr>
          <w:p w14:paraId="60481BE3">
            <w:pPr>
              <w:pStyle w:val="714"/>
              <w:rPr>
                <w:b/>
                <w:bCs/>
                <w:color w:val="auto"/>
              </w:rPr>
            </w:pPr>
            <w:r>
              <w:rPr>
                <w:rFonts w:hint="eastAsia"/>
                <w:b/>
                <w:bCs/>
                <w:color w:val="auto"/>
              </w:rPr>
              <w:t>抽前静止水位埋深</w:t>
            </w:r>
          </w:p>
        </w:tc>
        <w:tc>
          <w:tcPr>
            <w:tcW w:w="544" w:type="pct"/>
            <w:vMerge w:val="restart"/>
            <w:tcBorders>
              <w:tl2br w:val="nil"/>
              <w:tr2bl w:val="nil"/>
            </w:tcBorders>
            <w:shd w:val="clear" w:color="auto" w:fill="auto"/>
            <w:vAlign w:val="center"/>
          </w:tcPr>
          <w:p w14:paraId="6D4A5147">
            <w:pPr>
              <w:pStyle w:val="714"/>
              <w:rPr>
                <w:b/>
                <w:bCs/>
                <w:color w:val="auto"/>
              </w:rPr>
            </w:pPr>
            <w:r>
              <w:rPr>
                <w:rFonts w:hint="eastAsia"/>
                <w:b/>
                <w:bCs/>
                <w:color w:val="auto"/>
              </w:rPr>
              <w:t>水位降深S</w:t>
            </w:r>
            <w:r>
              <w:rPr>
                <w:rFonts w:hint="eastAsia"/>
                <w:b/>
                <w:bCs/>
                <w:color w:val="auto"/>
                <w:vertAlign w:val="subscript"/>
              </w:rPr>
              <w:t>w</w:t>
            </w:r>
          </w:p>
        </w:tc>
        <w:tc>
          <w:tcPr>
            <w:tcW w:w="870" w:type="pct"/>
            <w:gridSpan w:val="2"/>
            <w:vMerge w:val="restart"/>
            <w:tcBorders>
              <w:tl2br w:val="nil"/>
              <w:tr2bl w:val="nil"/>
            </w:tcBorders>
            <w:shd w:val="clear" w:color="auto" w:fill="auto"/>
            <w:vAlign w:val="center"/>
          </w:tcPr>
          <w:p w14:paraId="6BF4840D">
            <w:pPr>
              <w:pStyle w:val="714"/>
              <w:rPr>
                <w:b/>
                <w:bCs/>
                <w:color w:val="auto"/>
              </w:rPr>
            </w:pPr>
            <w:r>
              <w:rPr>
                <w:rFonts w:hint="eastAsia"/>
                <w:b/>
                <w:bCs/>
                <w:color w:val="auto"/>
              </w:rPr>
              <w:t>涌水量Q</w:t>
            </w:r>
          </w:p>
        </w:tc>
        <w:tc>
          <w:tcPr>
            <w:tcW w:w="941" w:type="pct"/>
            <w:gridSpan w:val="2"/>
            <w:vMerge w:val="restart"/>
            <w:tcBorders>
              <w:tl2br w:val="nil"/>
              <w:tr2bl w:val="nil"/>
            </w:tcBorders>
            <w:shd w:val="clear" w:color="auto" w:fill="auto"/>
            <w:vAlign w:val="center"/>
          </w:tcPr>
          <w:p w14:paraId="27D40028">
            <w:pPr>
              <w:pStyle w:val="714"/>
              <w:rPr>
                <w:b/>
                <w:bCs/>
                <w:color w:val="auto"/>
              </w:rPr>
            </w:pPr>
            <w:r>
              <w:rPr>
                <w:rFonts w:hint="eastAsia"/>
                <w:b/>
                <w:bCs/>
                <w:color w:val="auto"/>
              </w:rPr>
              <w:t>渗透系数K</w:t>
            </w:r>
          </w:p>
        </w:tc>
        <w:tc>
          <w:tcPr>
            <w:tcW w:w="505" w:type="pct"/>
            <w:vMerge w:val="restart"/>
            <w:tcBorders>
              <w:tl2br w:val="nil"/>
              <w:tr2bl w:val="nil"/>
            </w:tcBorders>
            <w:shd w:val="clear" w:color="auto" w:fill="auto"/>
            <w:vAlign w:val="center"/>
          </w:tcPr>
          <w:p w14:paraId="5E5BA5E9">
            <w:pPr>
              <w:pStyle w:val="714"/>
              <w:rPr>
                <w:b/>
                <w:bCs/>
                <w:color w:val="auto"/>
              </w:rPr>
            </w:pPr>
            <w:r>
              <w:rPr>
                <w:rFonts w:hint="eastAsia"/>
                <w:b/>
                <w:bCs/>
                <w:color w:val="auto"/>
              </w:rPr>
              <w:t>影响半径R</w:t>
            </w:r>
          </w:p>
        </w:tc>
      </w:tr>
      <w:tr w14:paraId="432F58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3" w:type="pct"/>
            <w:vMerge w:val="continue"/>
            <w:tcBorders>
              <w:tl2br w:val="nil"/>
              <w:tr2bl w:val="nil"/>
            </w:tcBorders>
            <w:vAlign w:val="center"/>
          </w:tcPr>
          <w:p w14:paraId="6E90E40C">
            <w:pPr>
              <w:pStyle w:val="714"/>
              <w:rPr>
                <w:b/>
                <w:bCs/>
                <w:color w:val="auto"/>
              </w:rPr>
            </w:pPr>
          </w:p>
        </w:tc>
        <w:tc>
          <w:tcPr>
            <w:tcW w:w="514" w:type="pct"/>
            <w:vMerge w:val="continue"/>
            <w:tcBorders>
              <w:tl2br w:val="nil"/>
              <w:tr2bl w:val="nil"/>
            </w:tcBorders>
            <w:vAlign w:val="center"/>
          </w:tcPr>
          <w:p w14:paraId="41E57F09">
            <w:pPr>
              <w:pStyle w:val="714"/>
              <w:rPr>
                <w:b/>
                <w:bCs/>
                <w:color w:val="auto"/>
              </w:rPr>
            </w:pPr>
          </w:p>
        </w:tc>
        <w:tc>
          <w:tcPr>
            <w:tcW w:w="561" w:type="pct"/>
            <w:vMerge w:val="continue"/>
            <w:tcBorders>
              <w:tl2br w:val="nil"/>
              <w:tr2bl w:val="nil"/>
            </w:tcBorders>
            <w:vAlign w:val="center"/>
          </w:tcPr>
          <w:p w14:paraId="581A46E0">
            <w:pPr>
              <w:pStyle w:val="714"/>
              <w:rPr>
                <w:b/>
                <w:bCs/>
                <w:color w:val="auto"/>
              </w:rPr>
            </w:pPr>
          </w:p>
        </w:tc>
        <w:tc>
          <w:tcPr>
            <w:tcW w:w="699" w:type="pct"/>
            <w:vMerge w:val="continue"/>
            <w:tcBorders>
              <w:tl2br w:val="nil"/>
              <w:tr2bl w:val="nil"/>
            </w:tcBorders>
            <w:vAlign w:val="center"/>
          </w:tcPr>
          <w:p w14:paraId="6935902C">
            <w:pPr>
              <w:pStyle w:val="714"/>
              <w:rPr>
                <w:b/>
                <w:bCs/>
                <w:color w:val="auto"/>
              </w:rPr>
            </w:pPr>
          </w:p>
        </w:tc>
        <w:tc>
          <w:tcPr>
            <w:tcW w:w="544" w:type="pct"/>
            <w:vMerge w:val="continue"/>
            <w:tcBorders>
              <w:tl2br w:val="nil"/>
              <w:tr2bl w:val="nil"/>
            </w:tcBorders>
            <w:vAlign w:val="center"/>
          </w:tcPr>
          <w:p w14:paraId="79A93F7F">
            <w:pPr>
              <w:pStyle w:val="714"/>
              <w:rPr>
                <w:b/>
                <w:bCs/>
                <w:color w:val="auto"/>
              </w:rPr>
            </w:pPr>
          </w:p>
        </w:tc>
        <w:tc>
          <w:tcPr>
            <w:tcW w:w="870" w:type="pct"/>
            <w:gridSpan w:val="2"/>
            <w:vMerge w:val="continue"/>
            <w:tcBorders>
              <w:tl2br w:val="nil"/>
              <w:tr2bl w:val="nil"/>
            </w:tcBorders>
            <w:vAlign w:val="center"/>
          </w:tcPr>
          <w:p w14:paraId="6697AA8C">
            <w:pPr>
              <w:pStyle w:val="714"/>
              <w:rPr>
                <w:b/>
                <w:bCs/>
                <w:color w:val="auto"/>
              </w:rPr>
            </w:pPr>
          </w:p>
        </w:tc>
        <w:tc>
          <w:tcPr>
            <w:tcW w:w="941" w:type="pct"/>
            <w:gridSpan w:val="2"/>
            <w:vMerge w:val="continue"/>
            <w:tcBorders>
              <w:tl2br w:val="nil"/>
              <w:tr2bl w:val="nil"/>
            </w:tcBorders>
            <w:vAlign w:val="center"/>
          </w:tcPr>
          <w:p w14:paraId="5275EF7B">
            <w:pPr>
              <w:pStyle w:val="714"/>
              <w:rPr>
                <w:b/>
                <w:bCs/>
                <w:color w:val="auto"/>
              </w:rPr>
            </w:pPr>
          </w:p>
        </w:tc>
        <w:tc>
          <w:tcPr>
            <w:tcW w:w="505" w:type="pct"/>
            <w:vMerge w:val="continue"/>
            <w:tcBorders>
              <w:tl2br w:val="nil"/>
              <w:tr2bl w:val="nil"/>
            </w:tcBorders>
            <w:vAlign w:val="center"/>
          </w:tcPr>
          <w:p w14:paraId="090520E0">
            <w:pPr>
              <w:pStyle w:val="714"/>
              <w:rPr>
                <w:b/>
                <w:bCs/>
                <w:color w:val="auto"/>
              </w:rPr>
            </w:pPr>
          </w:p>
        </w:tc>
      </w:tr>
      <w:tr w14:paraId="31FAFF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3" w:type="pct"/>
            <w:vMerge w:val="continue"/>
            <w:tcBorders>
              <w:tl2br w:val="nil"/>
              <w:tr2bl w:val="nil"/>
            </w:tcBorders>
            <w:vAlign w:val="center"/>
          </w:tcPr>
          <w:p w14:paraId="5E86A619">
            <w:pPr>
              <w:pStyle w:val="714"/>
              <w:rPr>
                <w:b/>
                <w:bCs/>
                <w:color w:val="auto"/>
              </w:rPr>
            </w:pPr>
          </w:p>
        </w:tc>
        <w:tc>
          <w:tcPr>
            <w:tcW w:w="514" w:type="pct"/>
            <w:vMerge w:val="continue"/>
            <w:tcBorders>
              <w:tl2br w:val="nil"/>
              <w:tr2bl w:val="nil"/>
            </w:tcBorders>
            <w:vAlign w:val="center"/>
          </w:tcPr>
          <w:p w14:paraId="38DB12D9">
            <w:pPr>
              <w:pStyle w:val="714"/>
              <w:rPr>
                <w:b/>
                <w:bCs/>
                <w:color w:val="auto"/>
              </w:rPr>
            </w:pPr>
          </w:p>
        </w:tc>
        <w:tc>
          <w:tcPr>
            <w:tcW w:w="561" w:type="pct"/>
            <w:tcBorders>
              <w:tl2br w:val="nil"/>
              <w:tr2bl w:val="nil"/>
            </w:tcBorders>
            <w:shd w:val="clear" w:color="auto" w:fill="auto"/>
            <w:vAlign w:val="center"/>
          </w:tcPr>
          <w:p w14:paraId="1ABEA7F8">
            <w:pPr>
              <w:pStyle w:val="714"/>
              <w:rPr>
                <w:b/>
                <w:bCs/>
                <w:color w:val="auto"/>
              </w:rPr>
            </w:pPr>
            <w:r>
              <w:rPr>
                <w:rFonts w:hint="eastAsia"/>
                <w:b/>
                <w:bCs/>
                <w:color w:val="auto"/>
              </w:rPr>
              <w:t>m</w:t>
            </w:r>
          </w:p>
        </w:tc>
        <w:tc>
          <w:tcPr>
            <w:tcW w:w="699" w:type="pct"/>
            <w:tcBorders>
              <w:tl2br w:val="nil"/>
              <w:tr2bl w:val="nil"/>
            </w:tcBorders>
            <w:shd w:val="clear" w:color="auto" w:fill="auto"/>
            <w:vAlign w:val="center"/>
          </w:tcPr>
          <w:p w14:paraId="0BD55C16">
            <w:pPr>
              <w:pStyle w:val="714"/>
              <w:rPr>
                <w:b/>
                <w:bCs/>
                <w:color w:val="auto"/>
              </w:rPr>
            </w:pPr>
            <w:r>
              <w:rPr>
                <w:rFonts w:hint="eastAsia"/>
                <w:b/>
                <w:bCs/>
                <w:color w:val="auto"/>
              </w:rPr>
              <w:t>m</w:t>
            </w:r>
          </w:p>
        </w:tc>
        <w:tc>
          <w:tcPr>
            <w:tcW w:w="544" w:type="pct"/>
            <w:tcBorders>
              <w:tl2br w:val="nil"/>
              <w:tr2bl w:val="nil"/>
            </w:tcBorders>
            <w:shd w:val="clear" w:color="auto" w:fill="auto"/>
            <w:vAlign w:val="center"/>
          </w:tcPr>
          <w:p w14:paraId="649B2D9C">
            <w:pPr>
              <w:pStyle w:val="714"/>
              <w:rPr>
                <w:b/>
                <w:bCs/>
                <w:color w:val="auto"/>
              </w:rPr>
            </w:pPr>
            <w:r>
              <w:rPr>
                <w:rFonts w:hint="eastAsia"/>
                <w:b/>
                <w:bCs/>
                <w:color w:val="auto"/>
              </w:rPr>
              <w:t>m</w:t>
            </w:r>
          </w:p>
        </w:tc>
        <w:tc>
          <w:tcPr>
            <w:tcW w:w="404" w:type="pct"/>
            <w:tcBorders>
              <w:tl2br w:val="nil"/>
              <w:tr2bl w:val="nil"/>
            </w:tcBorders>
            <w:shd w:val="clear" w:color="auto" w:fill="auto"/>
            <w:vAlign w:val="center"/>
          </w:tcPr>
          <w:p w14:paraId="331E6455">
            <w:pPr>
              <w:pStyle w:val="714"/>
              <w:rPr>
                <w:b/>
                <w:bCs/>
                <w:color w:val="auto"/>
              </w:rPr>
            </w:pPr>
            <w:r>
              <w:rPr>
                <w:rFonts w:hint="eastAsia"/>
                <w:b/>
                <w:bCs/>
                <w:color w:val="auto"/>
              </w:rPr>
              <w:t>L/s</w:t>
            </w:r>
          </w:p>
        </w:tc>
        <w:tc>
          <w:tcPr>
            <w:tcW w:w="466" w:type="pct"/>
            <w:tcBorders>
              <w:tl2br w:val="nil"/>
              <w:tr2bl w:val="nil"/>
            </w:tcBorders>
            <w:shd w:val="clear" w:color="auto" w:fill="auto"/>
            <w:vAlign w:val="center"/>
          </w:tcPr>
          <w:p w14:paraId="5DBC72E0">
            <w:pPr>
              <w:pStyle w:val="714"/>
              <w:rPr>
                <w:b/>
                <w:bCs/>
                <w:color w:val="auto"/>
              </w:rPr>
            </w:pPr>
            <w:r>
              <w:rPr>
                <w:rFonts w:hint="eastAsia"/>
                <w:b/>
                <w:bCs/>
                <w:color w:val="auto"/>
                <w:lang w:eastAsia="zh-CN"/>
              </w:rPr>
              <w:t>m³</w:t>
            </w:r>
            <w:r>
              <w:rPr>
                <w:rFonts w:hint="eastAsia"/>
                <w:b/>
                <w:bCs/>
                <w:color w:val="auto"/>
              </w:rPr>
              <w:t>/d</w:t>
            </w:r>
          </w:p>
        </w:tc>
        <w:tc>
          <w:tcPr>
            <w:tcW w:w="359" w:type="pct"/>
            <w:tcBorders>
              <w:tl2br w:val="nil"/>
              <w:tr2bl w:val="nil"/>
            </w:tcBorders>
            <w:shd w:val="clear" w:color="auto" w:fill="auto"/>
            <w:vAlign w:val="center"/>
          </w:tcPr>
          <w:p w14:paraId="48E0ED37">
            <w:pPr>
              <w:pStyle w:val="714"/>
              <w:rPr>
                <w:b/>
                <w:bCs/>
                <w:color w:val="auto"/>
              </w:rPr>
            </w:pPr>
            <w:r>
              <w:rPr>
                <w:rFonts w:hint="eastAsia"/>
                <w:b/>
                <w:bCs/>
                <w:color w:val="auto"/>
              </w:rPr>
              <w:t>m/d</w:t>
            </w:r>
          </w:p>
        </w:tc>
        <w:tc>
          <w:tcPr>
            <w:tcW w:w="581" w:type="pct"/>
            <w:tcBorders>
              <w:tl2br w:val="nil"/>
              <w:tr2bl w:val="nil"/>
            </w:tcBorders>
            <w:shd w:val="clear" w:color="auto" w:fill="auto"/>
            <w:vAlign w:val="center"/>
          </w:tcPr>
          <w:p w14:paraId="07C93579">
            <w:pPr>
              <w:pStyle w:val="714"/>
              <w:rPr>
                <w:b/>
                <w:bCs/>
                <w:color w:val="auto"/>
              </w:rPr>
            </w:pPr>
            <w:r>
              <w:rPr>
                <w:rFonts w:hint="eastAsia"/>
                <w:b/>
                <w:bCs/>
                <w:color w:val="auto"/>
              </w:rPr>
              <w:t>cm/s</w:t>
            </w:r>
          </w:p>
        </w:tc>
        <w:tc>
          <w:tcPr>
            <w:tcW w:w="505" w:type="pct"/>
            <w:tcBorders>
              <w:tl2br w:val="nil"/>
              <w:tr2bl w:val="nil"/>
            </w:tcBorders>
            <w:shd w:val="clear" w:color="auto" w:fill="auto"/>
            <w:vAlign w:val="center"/>
          </w:tcPr>
          <w:p w14:paraId="3FFEE56A">
            <w:pPr>
              <w:pStyle w:val="714"/>
              <w:rPr>
                <w:b/>
                <w:bCs/>
                <w:color w:val="auto"/>
              </w:rPr>
            </w:pPr>
            <w:r>
              <w:rPr>
                <w:rFonts w:hint="eastAsia"/>
                <w:b/>
                <w:bCs/>
                <w:color w:val="auto"/>
              </w:rPr>
              <w:t>m</w:t>
            </w:r>
          </w:p>
        </w:tc>
      </w:tr>
      <w:tr w14:paraId="062ACE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3" w:type="pct"/>
            <w:tcBorders>
              <w:tl2br w:val="nil"/>
              <w:tr2bl w:val="nil"/>
            </w:tcBorders>
            <w:shd w:val="clear" w:color="auto" w:fill="auto"/>
            <w:vAlign w:val="center"/>
          </w:tcPr>
          <w:p w14:paraId="756FC7A8">
            <w:pPr>
              <w:pStyle w:val="714"/>
              <w:rPr>
                <w:color w:val="auto"/>
              </w:rPr>
            </w:pPr>
            <w:r>
              <w:rPr>
                <w:rFonts w:hint="eastAsia"/>
                <w:color w:val="auto"/>
              </w:rPr>
              <w:t>23</w:t>
            </w:r>
          </w:p>
        </w:tc>
        <w:tc>
          <w:tcPr>
            <w:tcW w:w="514" w:type="pct"/>
            <w:tcBorders>
              <w:tl2br w:val="nil"/>
              <w:tr2bl w:val="nil"/>
            </w:tcBorders>
            <w:shd w:val="clear" w:color="auto" w:fill="auto"/>
            <w:vAlign w:val="center"/>
          </w:tcPr>
          <w:p w14:paraId="6098435B">
            <w:pPr>
              <w:pStyle w:val="714"/>
              <w:rPr>
                <w:color w:val="auto"/>
              </w:rPr>
            </w:pPr>
            <w:r>
              <w:rPr>
                <w:rFonts w:hint="eastAsia"/>
                <w:color w:val="auto"/>
              </w:rPr>
              <w:t>Q</w:t>
            </w:r>
            <w:r>
              <w:rPr>
                <w:rFonts w:hint="eastAsia"/>
                <w:color w:val="auto"/>
                <w:vertAlign w:val="subscript"/>
              </w:rPr>
              <w:t>4</w:t>
            </w:r>
            <w:r>
              <w:rPr>
                <w:rFonts w:hint="eastAsia"/>
                <w:color w:val="auto"/>
                <w:vertAlign w:val="superscript"/>
              </w:rPr>
              <w:t>al</w:t>
            </w:r>
          </w:p>
        </w:tc>
        <w:tc>
          <w:tcPr>
            <w:tcW w:w="561" w:type="pct"/>
            <w:tcBorders>
              <w:tl2br w:val="nil"/>
              <w:tr2bl w:val="nil"/>
            </w:tcBorders>
            <w:shd w:val="clear" w:color="auto" w:fill="auto"/>
            <w:vAlign w:val="center"/>
          </w:tcPr>
          <w:p w14:paraId="2E1485CC">
            <w:pPr>
              <w:pStyle w:val="714"/>
              <w:rPr>
                <w:color w:val="auto"/>
              </w:rPr>
            </w:pPr>
            <w:r>
              <w:rPr>
                <w:rFonts w:hint="eastAsia"/>
                <w:color w:val="auto"/>
              </w:rPr>
              <w:t>17.34</w:t>
            </w:r>
          </w:p>
        </w:tc>
        <w:tc>
          <w:tcPr>
            <w:tcW w:w="699" w:type="pct"/>
            <w:tcBorders>
              <w:tl2br w:val="nil"/>
              <w:tr2bl w:val="nil"/>
            </w:tcBorders>
            <w:shd w:val="clear" w:color="auto" w:fill="auto"/>
            <w:vAlign w:val="center"/>
          </w:tcPr>
          <w:p w14:paraId="6DE77A16">
            <w:pPr>
              <w:pStyle w:val="714"/>
              <w:rPr>
                <w:color w:val="auto"/>
              </w:rPr>
            </w:pPr>
            <w:r>
              <w:rPr>
                <w:rFonts w:hint="eastAsia"/>
                <w:color w:val="auto"/>
              </w:rPr>
              <w:t>6.58</w:t>
            </w:r>
          </w:p>
        </w:tc>
        <w:tc>
          <w:tcPr>
            <w:tcW w:w="544" w:type="pct"/>
            <w:tcBorders>
              <w:tl2br w:val="nil"/>
              <w:tr2bl w:val="nil"/>
            </w:tcBorders>
            <w:shd w:val="clear" w:color="auto" w:fill="auto"/>
            <w:vAlign w:val="center"/>
          </w:tcPr>
          <w:p w14:paraId="78C69CA1">
            <w:pPr>
              <w:pStyle w:val="714"/>
              <w:rPr>
                <w:color w:val="auto"/>
              </w:rPr>
            </w:pPr>
            <w:r>
              <w:rPr>
                <w:rFonts w:hint="eastAsia"/>
                <w:color w:val="auto"/>
              </w:rPr>
              <w:t>6.13</w:t>
            </w:r>
          </w:p>
        </w:tc>
        <w:tc>
          <w:tcPr>
            <w:tcW w:w="404" w:type="pct"/>
            <w:tcBorders>
              <w:tl2br w:val="nil"/>
              <w:tr2bl w:val="nil"/>
            </w:tcBorders>
            <w:shd w:val="clear" w:color="auto" w:fill="auto"/>
            <w:vAlign w:val="center"/>
          </w:tcPr>
          <w:p w14:paraId="1728536C">
            <w:pPr>
              <w:pStyle w:val="714"/>
              <w:rPr>
                <w:color w:val="auto"/>
              </w:rPr>
            </w:pPr>
            <w:r>
              <w:rPr>
                <w:rFonts w:hint="eastAsia"/>
                <w:color w:val="auto"/>
              </w:rPr>
              <w:t>3.997</w:t>
            </w:r>
          </w:p>
        </w:tc>
        <w:tc>
          <w:tcPr>
            <w:tcW w:w="466" w:type="pct"/>
            <w:tcBorders>
              <w:tl2br w:val="nil"/>
              <w:tr2bl w:val="nil"/>
            </w:tcBorders>
            <w:shd w:val="clear" w:color="auto" w:fill="auto"/>
            <w:vAlign w:val="center"/>
          </w:tcPr>
          <w:p w14:paraId="171914A5">
            <w:pPr>
              <w:pStyle w:val="714"/>
              <w:rPr>
                <w:color w:val="auto"/>
              </w:rPr>
            </w:pPr>
            <w:r>
              <w:rPr>
                <w:rFonts w:hint="eastAsia"/>
                <w:color w:val="auto"/>
              </w:rPr>
              <w:t>345.30</w:t>
            </w:r>
          </w:p>
        </w:tc>
        <w:tc>
          <w:tcPr>
            <w:tcW w:w="359" w:type="pct"/>
            <w:tcBorders>
              <w:tl2br w:val="nil"/>
              <w:tr2bl w:val="nil"/>
            </w:tcBorders>
            <w:shd w:val="clear" w:color="auto" w:fill="auto"/>
            <w:vAlign w:val="center"/>
          </w:tcPr>
          <w:p w14:paraId="1BE102D2">
            <w:pPr>
              <w:pStyle w:val="714"/>
              <w:rPr>
                <w:color w:val="auto"/>
              </w:rPr>
            </w:pPr>
            <w:r>
              <w:rPr>
                <w:rFonts w:hint="eastAsia"/>
                <w:color w:val="auto"/>
              </w:rPr>
              <w:t>4.17</w:t>
            </w:r>
          </w:p>
        </w:tc>
        <w:tc>
          <w:tcPr>
            <w:tcW w:w="581" w:type="pct"/>
            <w:tcBorders>
              <w:tl2br w:val="nil"/>
              <w:tr2bl w:val="nil"/>
            </w:tcBorders>
            <w:shd w:val="clear" w:color="auto" w:fill="auto"/>
            <w:vAlign w:val="center"/>
          </w:tcPr>
          <w:p w14:paraId="633CC516">
            <w:pPr>
              <w:pStyle w:val="714"/>
              <w:rPr>
                <w:color w:val="auto"/>
              </w:rPr>
            </w:pPr>
            <w:r>
              <w:rPr>
                <w:rFonts w:hint="eastAsia"/>
                <w:color w:val="auto"/>
              </w:rPr>
              <w:t>4.83E-03</w:t>
            </w:r>
          </w:p>
        </w:tc>
        <w:tc>
          <w:tcPr>
            <w:tcW w:w="505" w:type="pct"/>
            <w:tcBorders>
              <w:tl2br w:val="nil"/>
              <w:tr2bl w:val="nil"/>
            </w:tcBorders>
            <w:shd w:val="clear" w:color="auto" w:fill="auto"/>
            <w:vAlign w:val="center"/>
          </w:tcPr>
          <w:p w14:paraId="5CA17C38">
            <w:pPr>
              <w:pStyle w:val="714"/>
              <w:rPr>
                <w:color w:val="auto"/>
              </w:rPr>
            </w:pPr>
            <w:r>
              <w:rPr>
                <w:rFonts w:hint="eastAsia"/>
                <w:color w:val="auto"/>
              </w:rPr>
              <w:t>125</w:t>
            </w:r>
          </w:p>
        </w:tc>
      </w:tr>
      <w:tr w14:paraId="2C59CC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3" w:type="pct"/>
            <w:tcBorders>
              <w:tl2br w:val="nil"/>
              <w:tr2bl w:val="nil"/>
            </w:tcBorders>
            <w:shd w:val="clear" w:color="auto" w:fill="auto"/>
            <w:noWrap/>
            <w:vAlign w:val="center"/>
          </w:tcPr>
          <w:p w14:paraId="777506BA">
            <w:pPr>
              <w:pStyle w:val="714"/>
              <w:rPr>
                <w:color w:val="auto"/>
              </w:rPr>
            </w:pPr>
            <w:r>
              <w:rPr>
                <w:rFonts w:hint="eastAsia"/>
                <w:color w:val="auto"/>
              </w:rPr>
              <w:t>24</w:t>
            </w:r>
          </w:p>
        </w:tc>
        <w:tc>
          <w:tcPr>
            <w:tcW w:w="514" w:type="pct"/>
            <w:tcBorders>
              <w:tl2br w:val="nil"/>
              <w:tr2bl w:val="nil"/>
            </w:tcBorders>
            <w:shd w:val="clear" w:color="auto" w:fill="auto"/>
            <w:vAlign w:val="center"/>
          </w:tcPr>
          <w:p w14:paraId="4F7D64EF">
            <w:pPr>
              <w:pStyle w:val="714"/>
              <w:rPr>
                <w:color w:val="auto"/>
              </w:rPr>
            </w:pPr>
            <w:r>
              <w:rPr>
                <w:rFonts w:hint="eastAsia"/>
                <w:color w:val="auto"/>
              </w:rPr>
              <w:t>Q</w:t>
            </w:r>
            <w:r>
              <w:rPr>
                <w:rFonts w:hint="eastAsia"/>
                <w:color w:val="auto"/>
                <w:vertAlign w:val="subscript"/>
              </w:rPr>
              <w:t>4</w:t>
            </w:r>
            <w:r>
              <w:rPr>
                <w:rFonts w:hint="eastAsia"/>
                <w:color w:val="auto"/>
                <w:vertAlign w:val="superscript"/>
              </w:rPr>
              <w:t>al</w:t>
            </w:r>
          </w:p>
        </w:tc>
        <w:tc>
          <w:tcPr>
            <w:tcW w:w="561" w:type="pct"/>
            <w:tcBorders>
              <w:tl2br w:val="nil"/>
              <w:tr2bl w:val="nil"/>
            </w:tcBorders>
            <w:shd w:val="clear" w:color="auto" w:fill="auto"/>
            <w:vAlign w:val="center"/>
          </w:tcPr>
          <w:p w14:paraId="1462181A">
            <w:pPr>
              <w:pStyle w:val="714"/>
              <w:rPr>
                <w:color w:val="auto"/>
              </w:rPr>
            </w:pPr>
            <w:r>
              <w:rPr>
                <w:rFonts w:hint="eastAsia"/>
                <w:color w:val="auto"/>
              </w:rPr>
              <w:t>18.28</w:t>
            </w:r>
          </w:p>
        </w:tc>
        <w:tc>
          <w:tcPr>
            <w:tcW w:w="699" w:type="pct"/>
            <w:tcBorders>
              <w:tl2br w:val="nil"/>
              <w:tr2bl w:val="nil"/>
            </w:tcBorders>
            <w:shd w:val="clear" w:color="auto" w:fill="auto"/>
            <w:vAlign w:val="center"/>
          </w:tcPr>
          <w:p w14:paraId="2657A912">
            <w:pPr>
              <w:pStyle w:val="714"/>
              <w:rPr>
                <w:color w:val="auto"/>
              </w:rPr>
            </w:pPr>
            <w:r>
              <w:rPr>
                <w:rFonts w:hint="eastAsia"/>
                <w:color w:val="auto"/>
              </w:rPr>
              <w:t>6.11</w:t>
            </w:r>
          </w:p>
        </w:tc>
        <w:tc>
          <w:tcPr>
            <w:tcW w:w="544" w:type="pct"/>
            <w:tcBorders>
              <w:tl2br w:val="nil"/>
              <w:tr2bl w:val="nil"/>
            </w:tcBorders>
            <w:shd w:val="clear" w:color="auto" w:fill="auto"/>
            <w:vAlign w:val="center"/>
          </w:tcPr>
          <w:p w14:paraId="42C6669F">
            <w:pPr>
              <w:pStyle w:val="714"/>
              <w:rPr>
                <w:color w:val="auto"/>
              </w:rPr>
            </w:pPr>
            <w:r>
              <w:rPr>
                <w:rFonts w:hint="eastAsia"/>
                <w:color w:val="auto"/>
              </w:rPr>
              <w:t>4.56</w:t>
            </w:r>
          </w:p>
        </w:tc>
        <w:tc>
          <w:tcPr>
            <w:tcW w:w="404" w:type="pct"/>
            <w:tcBorders>
              <w:tl2br w:val="nil"/>
              <w:tr2bl w:val="nil"/>
            </w:tcBorders>
            <w:shd w:val="clear" w:color="auto" w:fill="auto"/>
            <w:vAlign w:val="center"/>
          </w:tcPr>
          <w:p w14:paraId="3AD5E715">
            <w:pPr>
              <w:pStyle w:val="714"/>
              <w:rPr>
                <w:color w:val="auto"/>
              </w:rPr>
            </w:pPr>
            <w:r>
              <w:rPr>
                <w:rFonts w:hint="eastAsia"/>
                <w:color w:val="auto"/>
              </w:rPr>
              <w:t>4.317</w:t>
            </w:r>
          </w:p>
        </w:tc>
        <w:tc>
          <w:tcPr>
            <w:tcW w:w="466" w:type="pct"/>
            <w:tcBorders>
              <w:tl2br w:val="nil"/>
              <w:tr2bl w:val="nil"/>
            </w:tcBorders>
            <w:shd w:val="clear" w:color="auto" w:fill="auto"/>
            <w:vAlign w:val="center"/>
          </w:tcPr>
          <w:p w14:paraId="69E6A13D">
            <w:pPr>
              <w:pStyle w:val="714"/>
              <w:rPr>
                <w:color w:val="auto"/>
              </w:rPr>
            </w:pPr>
            <w:r>
              <w:rPr>
                <w:rFonts w:hint="eastAsia"/>
                <w:color w:val="auto"/>
              </w:rPr>
              <w:t>372.97</w:t>
            </w:r>
          </w:p>
        </w:tc>
        <w:tc>
          <w:tcPr>
            <w:tcW w:w="359" w:type="pct"/>
            <w:tcBorders>
              <w:tl2br w:val="nil"/>
              <w:tr2bl w:val="nil"/>
            </w:tcBorders>
            <w:shd w:val="clear" w:color="auto" w:fill="auto"/>
            <w:vAlign w:val="center"/>
          </w:tcPr>
          <w:p w14:paraId="458A9079">
            <w:pPr>
              <w:pStyle w:val="714"/>
              <w:rPr>
                <w:color w:val="auto"/>
              </w:rPr>
            </w:pPr>
            <w:r>
              <w:rPr>
                <w:rFonts w:hint="eastAsia"/>
                <w:color w:val="auto"/>
              </w:rPr>
              <w:t>5.54</w:t>
            </w:r>
          </w:p>
        </w:tc>
        <w:tc>
          <w:tcPr>
            <w:tcW w:w="581" w:type="pct"/>
            <w:tcBorders>
              <w:tl2br w:val="nil"/>
              <w:tr2bl w:val="nil"/>
            </w:tcBorders>
            <w:shd w:val="clear" w:color="auto" w:fill="auto"/>
            <w:vAlign w:val="center"/>
          </w:tcPr>
          <w:p w14:paraId="1464A732">
            <w:pPr>
              <w:pStyle w:val="714"/>
              <w:rPr>
                <w:color w:val="auto"/>
              </w:rPr>
            </w:pPr>
            <w:r>
              <w:rPr>
                <w:rFonts w:hint="eastAsia"/>
                <w:color w:val="auto"/>
              </w:rPr>
              <w:t>6.41E-03</w:t>
            </w:r>
          </w:p>
        </w:tc>
        <w:tc>
          <w:tcPr>
            <w:tcW w:w="505" w:type="pct"/>
            <w:tcBorders>
              <w:tl2br w:val="nil"/>
              <w:tr2bl w:val="nil"/>
            </w:tcBorders>
            <w:shd w:val="clear" w:color="auto" w:fill="auto"/>
            <w:vAlign w:val="center"/>
          </w:tcPr>
          <w:p w14:paraId="40524D0C">
            <w:pPr>
              <w:pStyle w:val="714"/>
              <w:rPr>
                <w:color w:val="auto"/>
              </w:rPr>
            </w:pPr>
            <w:r>
              <w:rPr>
                <w:rFonts w:hint="eastAsia"/>
                <w:color w:val="auto"/>
              </w:rPr>
              <w:t>107</w:t>
            </w:r>
          </w:p>
        </w:tc>
      </w:tr>
      <w:tr w14:paraId="52177D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3" w:type="pct"/>
            <w:tcBorders>
              <w:tl2br w:val="nil"/>
              <w:tr2bl w:val="nil"/>
            </w:tcBorders>
            <w:shd w:val="clear" w:color="auto" w:fill="auto"/>
            <w:vAlign w:val="center"/>
          </w:tcPr>
          <w:p w14:paraId="61FC620E">
            <w:pPr>
              <w:pStyle w:val="714"/>
              <w:rPr>
                <w:color w:val="auto"/>
              </w:rPr>
            </w:pPr>
            <w:r>
              <w:rPr>
                <w:rFonts w:hint="eastAsia"/>
                <w:color w:val="auto"/>
              </w:rPr>
              <w:t>32</w:t>
            </w:r>
          </w:p>
        </w:tc>
        <w:tc>
          <w:tcPr>
            <w:tcW w:w="514" w:type="pct"/>
            <w:tcBorders>
              <w:tl2br w:val="nil"/>
              <w:tr2bl w:val="nil"/>
            </w:tcBorders>
            <w:shd w:val="clear" w:color="auto" w:fill="auto"/>
            <w:vAlign w:val="center"/>
          </w:tcPr>
          <w:p w14:paraId="5E7AF4C3">
            <w:pPr>
              <w:pStyle w:val="714"/>
              <w:rPr>
                <w:color w:val="auto"/>
              </w:rPr>
            </w:pPr>
            <w:r>
              <w:rPr>
                <w:rFonts w:hint="eastAsia"/>
                <w:color w:val="auto"/>
              </w:rPr>
              <w:t>Q</w:t>
            </w:r>
            <w:r>
              <w:rPr>
                <w:rFonts w:hint="eastAsia"/>
                <w:color w:val="auto"/>
                <w:vertAlign w:val="subscript"/>
              </w:rPr>
              <w:t>3</w:t>
            </w:r>
            <w:r>
              <w:rPr>
                <w:rFonts w:hint="eastAsia"/>
                <w:color w:val="auto"/>
                <w:vertAlign w:val="superscript"/>
              </w:rPr>
              <w:t>al</w:t>
            </w:r>
          </w:p>
        </w:tc>
        <w:tc>
          <w:tcPr>
            <w:tcW w:w="561" w:type="pct"/>
            <w:tcBorders>
              <w:tl2br w:val="nil"/>
              <w:tr2bl w:val="nil"/>
            </w:tcBorders>
            <w:shd w:val="clear" w:color="auto" w:fill="auto"/>
            <w:vAlign w:val="center"/>
          </w:tcPr>
          <w:p w14:paraId="58C2C310">
            <w:pPr>
              <w:pStyle w:val="714"/>
              <w:rPr>
                <w:color w:val="auto"/>
              </w:rPr>
            </w:pPr>
            <w:r>
              <w:rPr>
                <w:rFonts w:hint="eastAsia"/>
                <w:color w:val="auto"/>
              </w:rPr>
              <w:t>12.9</w:t>
            </w:r>
          </w:p>
        </w:tc>
        <w:tc>
          <w:tcPr>
            <w:tcW w:w="699" w:type="pct"/>
            <w:tcBorders>
              <w:tl2br w:val="nil"/>
              <w:tr2bl w:val="nil"/>
            </w:tcBorders>
            <w:shd w:val="clear" w:color="auto" w:fill="auto"/>
            <w:vAlign w:val="center"/>
          </w:tcPr>
          <w:p w14:paraId="346AE93D">
            <w:pPr>
              <w:pStyle w:val="714"/>
              <w:rPr>
                <w:color w:val="auto"/>
              </w:rPr>
            </w:pPr>
            <w:r>
              <w:rPr>
                <w:rFonts w:hint="eastAsia"/>
                <w:color w:val="auto"/>
              </w:rPr>
              <w:t>1.15</w:t>
            </w:r>
          </w:p>
        </w:tc>
        <w:tc>
          <w:tcPr>
            <w:tcW w:w="544" w:type="pct"/>
            <w:tcBorders>
              <w:tl2br w:val="nil"/>
              <w:tr2bl w:val="nil"/>
            </w:tcBorders>
            <w:shd w:val="clear" w:color="auto" w:fill="auto"/>
            <w:vAlign w:val="center"/>
          </w:tcPr>
          <w:p w14:paraId="051E1D09">
            <w:pPr>
              <w:pStyle w:val="714"/>
              <w:rPr>
                <w:color w:val="auto"/>
              </w:rPr>
            </w:pPr>
            <w:r>
              <w:rPr>
                <w:rFonts w:hint="eastAsia"/>
                <w:color w:val="auto"/>
              </w:rPr>
              <w:t>4.18</w:t>
            </w:r>
          </w:p>
        </w:tc>
        <w:tc>
          <w:tcPr>
            <w:tcW w:w="404" w:type="pct"/>
            <w:tcBorders>
              <w:tl2br w:val="nil"/>
              <w:tr2bl w:val="nil"/>
            </w:tcBorders>
            <w:shd w:val="clear" w:color="auto" w:fill="auto"/>
            <w:vAlign w:val="center"/>
          </w:tcPr>
          <w:p w14:paraId="2E6EB5B4">
            <w:pPr>
              <w:pStyle w:val="714"/>
              <w:rPr>
                <w:color w:val="auto"/>
              </w:rPr>
            </w:pPr>
            <w:r>
              <w:rPr>
                <w:rFonts w:hint="eastAsia"/>
                <w:color w:val="auto"/>
              </w:rPr>
              <w:t>4.239</w:t>
            </w:r>
          </w:p>
        </w:tc>
        <w:tc>
          <w:tcPr>
            <w:tcW w:w="466" w:type="pct"/>
            <w:tcBorders>
              <w:tl2br w:val="nil"/>
              <w:tr2bl w:val="nil"/>
            </w:tcBorders>
            <w:shd w:val="clear" w:color="auto" w:fill="auto"/>
            <w:vAlign w:val="center"/>
          </w:tcPr>
          <w:p w14:paraId="6D4F447C">
            <w:pPr>
              <w:pStyle w:val="714"/>
              <w:rPr>
                <w:color w:val="auto"/>
              </w:rPr>
            </w:pPr>
            <w:r>
              <w:rPr>
                <w:rFonts w:hint="eastAsia"/>
                <w:color w:val="auto"/>
              </w:rPr>
              <w:t>366.25</w:t>
            </w:r>
          </w:p>
        </w:tc>
        <w:tc>
          <w:tcPr>
            <w:tcW w:w="359" w:type="pct"/>
            <w:tcBorders>
              <w:tl2br w:val="nil"/>
              <w:tr2bl w:val="nil"/>
            </w:tcBorders>
            <w:shd w:val="clear" w:color="auto" w:fill="auto"/>
            <w:vAlign w:val="center"/>
          </w:tcPr>
          <w:p w14:paraId="5B741C22">
            <w:pPr>
              <w:pStyle w:val="714"/>
              <w:rPr>
                <w:color w:val="auto"/>
              </w:rPr>
            </w:pPr>
            <w:r>
              <w:rPr>
                <w:rFonts w:hint="eastAsia"/>
                <w:color w:val="auto"/>
              </w:rPr>
              <w:t>9.00</w:t>
            </w:r>
          </w:p>
        </w:tc>
        <w:tc>
          <w:tcPr>
            <w:tcW w:w="581" w:type="pct"/>
            <w:tcBorders>
              <w:tl2br w:val="nil"/>
              <w:tr2bl w:val="nil"/>
            </w:tcBorders>
            <w:shd w:val="clear" w:color="auto" w:fill="auto"/>
            <w:vAlign w:val="center"/>
          </w:tcPr>
          <w:p w14:paraId="288D10E5">
            <w:pPr>
              <w:pStyle w:val="714"/>
              <w:rPr>
                <w:color w:val="auto"/>
              </w:rPr>
            </w:pPr>
            <w:r>
              <w:rPr>
                <w:rFonts w:hint="eastAsia"/>
                <w:color w:val="auto"/>
              </w:rPr>
              <w:t>1.04E-02</w:t>
            </w:r>
          </w:p>
        </w:tc>
        <w:tc>
          <w:tcPr>
            <w:tcW w:w="505" w:type="pct"/>
            <w:tcBorders>
              <w:tl2br w:val="nil"/>
              <w:tr2bl w:val="nil"/>
            </w:tcBorders>
            <w:shd w:val="clear" w:color="auto" w:fill="auto"/>
            <w:vAlign w:val="center"/>
          </w:tcPr>
          <w:p w14:paraId="645E301E">
            <w:pPr>
              <w:pStyle w:val="714"/>
              <w:rPr>
                <w:color w:val="auto"/>
              </w:rPr>
            </w:pPr>
            <w:r>
              <w:rPr>
                <w:rFonts w:hint="eastAsia"/>
                <w:color w:val="auto"/>
              </w:rPr>
              <w:t>90</w:t>
            </w:r>
          </w:p>
        </w:tc>
      </w:tr>
    </w:tbl>
    <w:p w14:paraId="3088692E">
      <w:pPr>
        <w:pStyle w:val="700"/>
        <w:rPr>
          <w:b/>
          <w:bCs/>
          <w:color w:val="auto"/>
          <w:sz w:val="21"/>
          <w:szCs w:val="21"/>
        </w:rPr>
      </w:pPr>
      <w:r>
        <w:rPr>
          <w:b/>
          <w:bCs/>
          <w:color w:val="auto"/>
          <w:sz w:val="21"/>
          <w:szCs w:val="21"/>
        </w:rPr>
        <w:t>注：数据参考自</w:t>
      </w:r>
      <w:r>
        <w:rPr>
          <w:rFonts w:hint="eastAsia"/>
          <w:b/>
          <w:bCs/>
          <w:color w:val="auto"/>
          <w:sz w:val="21"/>
          <w:szCs w:val="21"/>
        </w:rPr>
        <w:t>《1:20万仪陇幅区域水文地质普查报告》</w:t>
      </w:r>
      <w:r>
        <w:rPr>
          <w:b/>
          <w:bCs/>
          <w:color w:val="auto"/>
          <w:sz w:val="21"/>
          <w:szCs w:val="21"/>
        </w:rPr>
        <w:t>。</w:t>
      </w:r>
    </w:p>
    <w:p w14:paraId="45BE78B7">
      <w:pPr>
        <w:pStyle w:val="19"/>
        <w:numPr>
          <w:ilvl w:val="0"/>
          <w:numId w:val="28"/>
        </w:numPr>
        <w:bidi w:val="0"/>
        <w:rPr>
          <w:rFonts w:cs="Times New Roman"/>
          <w:color w:val="auto"/>
        </w:rPr>
      </w:pPr>
      <w:r>
        <w:rPr>
          <w:rFonts w:hint="eastAsia" w:cs="Times New Roman"/>
          <w:color w:val="auto"/>
        </w:rPr>
        <w:t>白垩系白龙组（K</w:t>
      </w:r>
      <w:r>
        <w:rPr>
          <w:rFonts w:hint="eastAsia" w:cs="Times New Roman"/>
          <w:color w:val="auto"/>
          <w:vertAlign w:val="subscript"/>
        </w:rPr>
        <w:t>1</w:t>
      </w:r>
      <w:r>
        <w:rPr>
          <w:rFonts w:hint="eastAsia" w:cs="Times New Roman"/>
          <w:color w:val="auto"/>
        </w:rPr>
        <w:t>b）浅层地下水</w:t>
      </w:r>
      <w:r>
        <w:rPr>
          <w:rFonts w:cs="Times New Roman"/>
          <w:color w:val="auto"/>
        </w:rPr>
        <w:t>抽水试验成果统计表</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28"/>
        <w:gridCol w:w="879"/>
        <w:gridCol w:w="974"/>
        <w:gridCol w:w="1300"/>
        <w:gridCol w:w="1006"/>
        <w:gridCol w:w="723"/>
        <w:gridCol w:w="834"/>
        <w:gridCol w:w="641"/>
        <w:gridCol w:w="1042"/>
        <w:gridCol w:w="919"/>
      </w:tblGrid>
      <w:tr w14:paraId="23B3F3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 w:type="pct"/>
            <w:vMerge w:val="restart"/>
            <w:tcBorders>
              <w:tl2br w:val="nil"/>
              <w:tr2bl w:val="nil"/>
            </w:tcBorders>
            <w:shd w:val="clear" w:color="auto" w:fill="auto"/>
            <w:vAlign w:val="center"/>
          </w:tcPr>
          <w:p w14:paraId="7B017B37">
            <w:pPr>
              <w:pStyle w:val="714"/>
              <w:rPr>
                <w:color w:val="auto"/>
              </w:rPr>
            </w:pPr>
            <w:r>
              <w:rPr>
                <w:rFonts w:hint="eastAsia"/>
                <w:color w:val="auto"/>
              </w:rPr>
              <w:t>试验孔</w:t>
            </w:r>
          </w:p>
        </w:tc>
        <w:tc>
          <w:tcPr>
            <w:tcW w:w="491" w:type="pct"/>
            <w:vMerge w:val="restart"/>
            <w:tcBorders>
              <w:tl2br w:val="nil"/>
              <w:tr2bl w:val="nil"/>
            </w:tcBorders>
            <w:shd w:val="clear" w:color="auto" w:fill="auto"/>
            <w:vAlign w:val="center"/>
          </w:tcPr>
          <w:p w14:paraId="0E8AAA7B">
            <w:pPr>
              <w:pStyle w:val="714"/>
              <w:rPr>
                <w:color w:val="auto"/>
              </w:rPr>
            </w:pPr>
            <w:r>
              <w:rPr>
                <w:rFonts w:hint="eastAsia"/>
                <w:color w:val="auto"/>
              </w:rPr>
              <w:t>含水层代号</w:t>
            </w:r>
          </w:p>
        </w:tc>
        <w:tc>
          <w:tcPr>
            <w:tcW w:w="544" w:type="pct"/>
            <w:vMerge w:val="restart"/>
            <w:tcBorders>
              <w:tl2br w:val="nil"/>
              <w:tr2bl w:val="nil"/>
            </w:tcBorders>
            <w:shd w:val="clear" w:color="auto" w:fill="auto"/>
            <w:vAlign w:val="center"/>
          </w:tcPr>
          <w:p w14:paraId="6EBDA9D7">
            <w:pPr>
              <w:pStyle w:val="714"/>
              <w:rPr>
                <w:color w:val="auto"/>
              </w:rPr>
            </w:pPr>
            <w:r>
              <w:rPr>
                <w:rFonts w:hint="eastAsia"/>
                <w:color w:val="auto"/>
              </w:rPr>
              <w:t>含水层厚度</w:t>
            </w:r>
          </w:p>
        </w:tc>
        <w:tc>
          <w:tcPr>
            <w:tcW w:w="726" w:type="pct"/>
            <w:vMerge w:val="restart"/>
            <w:tcBorders>
              <w:tl2br w:val="nil"/>
              <w:tr2bl w:val="nil"/>
            </w:tcBorders>
            <w:shd w:val="clear" w:color="auto" w:fill="auto"/>
            <w:vAlign w:val="center"/>
          </w:tcPr>
          <w:p w14:paraId="28C06DE3">
            <w:pPr>
              <w:pStyle w:val="714"/>
              <w:rPr>
                <w:color w:val="auto"/>
              </w:rPr>
            </w:pPr>
            <w:r>
              <w:rPr>
                <w:rFonts w:hint="eastAsia"/>
                <w:color w:val="auto"/>
              </w:rPr>
              <w:t>抽前静止水位埋深</w:t>
            </w:r>
          </w:p>
        </w:tc>
        <w:tc>
          <w:tcPr>
            <w:tcW w:w="562" w:type="pct"/>
            <w:vMerge w:val="restart"/>
            <w:tcBorders>
              <w:tl2br w:val="nil"/>
              <w:tr2bl w:val="nil"/>
            </w:tcBorders>
            <w:shd w:val="clear" w:color="auto" w:fill="auto"/>
            <w:vAlign w:val="center"/>
          </w:tcPr>
          <w:p w14:paraId="6C3510DE">
            <w:pPr>
              <w:pStyle w:val="714"/>
              <w:rPr>
                <w:color w:val="auto"/>
              </w:rPr>
            </w:pPr>
            <w:r>
              <w:rPr>
                <w:rFonts w:hint="eastAsia"/>
                <w:color w:val="auto"/>
              </w:rPr>
              <w:t>水位降深Sw</w:t>
            </w:r>
          </w:p>
        </w:tc>
        <w:tc>
          <w:tcPr>
            <w:tcW w:w="870" w:type="pct"/>
            <w:gridSpan w:val="2"/>
            <w:vMerge w:val="restart"/>
            <w:tcBorders>
              <w:tl2br w:val="nil"/>
              <w:tr2bl w:val="nil"/>
            </w:tcBorders>
            <w:shd w:val="clear" w:color="auto" w:fill="auto"/>
            <w:vAlign w:val="center"/>
          </w:tcPr>
          <w:p w14:paraId="0D499557">
            <w:pPr>
              <w:pStyle w:val="714"/>
              <w:rPr>
                <w:color w:val="auto"/>
              </w:rPr>
            </w:pPr>
            <w:r>
              <w:rPr>
                <w:rFonts w:hint="eastAsia"/>
                <w:color w:val="auto"/>
              </w:rPr>
              <w:t>涌水量Q</w:t>
            </w:r>
          </w:p>
        </w:tc>
        <w:tc>
          <w:tcPr>
            <w:tcW w:w="940" w:type="pct"/>
            <w:gridSpan w:val="2"/>
            <w:vMerge w:val="restart"/>
            <w:tcBorders>
              <w:tl2br w:val="nil"/>
              <w:tr2bl w:val="nil"/>
            </w:tcBorders>
            <w:shd w:val="clear" w:color="auto" w:fill="auto"/>
            <w:vAlign w:val="center"/>
          </w:tcPr>
          <w:p w14:paraId="34C75713">
            <w:pPr>
              <w:pStyle w:val="714"/>
              <w:rPr>
                <w:color w:val="auto"/>
              </w:rPr>
            </w:pPr>
            <w:r>
              <w:rPr>
                <w:rFonts w:hint="eastAsia"/>
                <w:color w:val="auto"/>
              </w:rPr>
              <w:t>渗透系数K</w:t>
            </w:r>
          </w:p>
        </w:tc>
        <w:tc>
          <w:tcPr>
            <w:tcW w:w="513" w:type="pct"/>
            <w:vMerge w:val="restart"/>
            <w:tcBorders>
              <w:tl2br w:val="nil"/>
              <w:tr2bl w:val="nil"/>
            </w:tcBorders>
            <w:shd w:val="clear" w:color="auto" w:fill="auto"/>
            <w:vAlign w:val="center"/>
          </w:tcPr>
          <w:p w14:paraId="0D60E9EE">
            <w:pPr>
              <w:pStyle w:val="714"/>
              <w:rPr>
                <w:color w:val="auto"/>
              </w:rPr>
            </w:pPr>
            <w:r>
              <w:rPr>
                <w:rFonts w:hint="eastAsia"/>
                <w:color w:val="auto"/>
              </w:rPr>
              <w:t>影响半径R</w:t>
            </w:r>
          </w:p>
        </w:tc>
      </w:tr>
      <w:tr w14:paraId="19FA05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 w:type="pct"/>
            <w:vMerge w:val="continue"/>
            <w:tcBorders>
              <w:tl2br w:val="nil"/>
              <w:tr2bl w:val="nil"/>
            </w:tcBorders>
            <w:vAlign w:val="center"/>
          </w:tcPr>
          <w:p w14:paraId="758F51B8">
            <w:pPr>
              <w:pStyle w:val="714"/>
              <w:rPr>
                <w:color w:val="auto"/>
              </w:rPr>
            </w:pPr>
          </w:p>
        </w:tc>
        <w:tc>
          <w:tcPr>
            <w:tcW w:w="491" w:type="pct"/>
            <w:vMerge w:val="continue"/>
            <w:tcBorders>
              <w:tl2br w:val="nil"/>
              <w:tr2bl w:val="nil"/>
            </w:tcBorders>
            <w:vAlign w:val="center"/>
          </w:tcPr>
          <w:p w14:paraId="747ED925">
            <w:pPr>
              <w:pStyle w:val="714"/>
              <w:rPr>
                <w:color w:val="auto"/>
              </w:rPr>
            </w:pPr>
          </w:p>
        </w:tc>
        <w:tc>
          <w:tcPr>
            <w:tcW w:w="544" w:type="pct"/>
            <w:vMerge w:val="continue"/>
            <w:tcBorders>
              <w:tl2br w:val="nil"/>
              <w:tr2bl w:val="nil"/>
            </w:tcBorders>
            <w:vAlign w:val="center"/>
          </w:tcPr>
          <w:p w14:paraId="49C98096">
            <w:pPr>
              <w:pStyle w:val="714"/>
              <w:rPr>
                <w:color w:val="auto"/>
              </w:rPr>
            </w:pPr>
          </w:p>
        </w:tc>
        <w:tc>
          <w:tcPr>
            <w:tcW w:w="726" w:type="pct"/>
            <w:vMerge w:val="continue"/>
            <w:tcBorders>
              <w:tl2br w:val="nil"/>
              <w:tr2bl w:val="nil"/>
            </w:tcBorders>
            <w:vAlign w:val="center"/>
          </w:tcPr>
          <w:p w14:paraId="6CB58A26">
            <w:pPr>
              <w:pStyle w:val="714"/>
              <w:rPr>
                <w:color w:val="auto"/>
              </w:rPr>
            </w:pPr>
          </w:p>
        </w:tc>
        <w:tc>
          <w:tcPr>
            <w:tcW w:w="562" w:type="pct"/>
            <w:vMerge w:val="continue"/>
            <w:tcBorders>
              <w:tl2br w:val="nil"/>
              <w:tr2bl w:val="nil"/>
            </w:tcBorders>
            <w:vAlign w:val="center"/>
          </w:tcPr>
          <w:p w14:paraId="15402296">
            <w:pPr>
              <w:pStyle w:val="714"/>
              <w:rPr>
                <w:color w:val="auto"/>
              </w:rPr>
            </w:pPr>
          </w:p>
        </w:tc>
        <w:tc>
          <w:tcPr>
            <w:tcW w:w="870" w:type="pct"/>
            <w:gridSpan w:val="2"/>
            <w:vMerge w:val="continue"/>
            <w:tcBorders>
              <w:tl2br w:val="nil"/>
              <w:tr2bl w:val="nil"/>
            </w:tcBorders>
            <w:vAlign w:val="center"/>
          </w:tcPr>
          <w:p w14:paraId="538F0E6A">
            <w:pPr>
              <w:pStyle w:val="714"/>
              <w:rPr>
                <w:color w:val="auto"/>
              </w:rPr>
            </w:pPr>
          </w:p>
        </w:tc>
        <w:tc>
          <w:tcPr>
            <w:tcW w:w="940" w:type="pct"/>
            <w:gridSpan w:val="2"/>
            <w:vMerge w:val="continue"/>
            <w:tcBorders>
              <w:tl2br w:val="nil"/>
              <w:tr2bl w:val="nil"/>
            </w:tcBorders>
            <w:vAlign w:val="center"/>
          </w:tcPr>
          <w:p w14:paraId="2CC5CDEF">
            <w:pPr>
              <w:pStyle w:val="714"/>
              <w:rPr>
                <w:color w:val="auto"/>
              </w:rPr>
            </w:pPr>
          </w:p>
        </w:tc>
        <w:tc>
          <w:tcPr>
            <w:tcW w:w="513" w:type="pct"/>
            <w:vMerge w:val="continue"/>
            <w:tcBorders>
              <w:tl2br w:val="nil"/>
              <w:tr2bl w:val="nil"/>
            </w:tcBorders>
            <w:vAlign w:val="center"/>
          </w:tcPr>
          <w:p w14:paraId="62ACD40D">
            <w:pPr>
              <w:pStyle w:val="714"/>
              <w:rPr>
                <w:color w:val="auto"/>
              </w:rPr>
            </w:pPr>
          </w:p>
        </w:tc>
      </w:tr>
      <w:tr w14:paraId="7EDB85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 w:type="pct"/>
            <w:vMerge w:val="continue"/>
            <w:tcBorders>
              <w:tl2br w:val="nil"/>
              <w:tr2bl w:val="nil"/>
            </w:tcBorders>
            <w:vAlign w:val="center"/>
          </w:tcPr>
          <w:p w14:paraId="6672E1F3">
            <w:pPr>
              <w:pStyle w:val="714"/>
              <w:rPr>
                <w:color w:val="auto"/>
              </w:rPr>
            </w:pPr>
          </w:p>
        </w:tc>
        <w:tc>
          <w:tcPr>
            <w:tcW w:w="491" w:type="pct"/>
            <w:vMerge w:val="continue"/>
            <w:tcBorders>
              <w:tl2br w:val="nil"/>
              <w:tr2bl w:val="nil"/>
            </w:tcBorders>
            <w:vAlign w:val="center"/>
          </w:tcPr>
          <w:p w14:paraId="6F842A4C">
            <w:pPr>
              <w:pStyle w:val="714"/>
              <w:rPr>
                <w:color w:val="auto"/>
              </w:rPr>
            </w:pPr>
          </w:p>
        </w:tc>
        <w:tc>
          <w:tcPr>
            <w:tcW w:w="544" w:type="pct"/>
            <w:tcBorders>
              <w:tl2br w:val="nil"/>
              <w:tr2bl w:val="nil"/>
            </w:tcBorders>
            <w:shd w:val="clear" w:color="auto" w:fill="auto"/>
            <w:vAlign w:val="center"/>
          </w:tcPr>
          <w:p w14:paraId="1C2037D7">
            <w:pPr>
              <w:pStyle w:val="714"/>
              <w:rPr>
                <w:color w:val="auto"/>
              </w:rPr>
            </w:pPr>
            <w:r>
              <w:rPr>
                <w:rFonts w:hint="eastAsia"/>
                <w:color w:val="auto"/>
              </w:rPr>
              <w:t>m</w:t>
            </w:r>
          </w:p>
        </w:tc>
        <w:tc>
          <w:tcPr>
            <w:tcW w:w="726" w:type="pct"/>
            <w:tcBorders>
              <w:tl2br w:val="nil"/>
              <w:tr2bl w:val="nil"/>
            </w:tcBorders>
            <w:shd w:val="clear" w:color="auto" w:fill="auto"/>
            <w:vAlign w:val="center"/>
          </w:tcPr>
          <w:p w14:paraId="52F45C19">
            <w:pPr>
              <w:pStyle w:val="714"/>
              <w:rPr>
                <w:color w:val="auto"/>
              </w:rPr>
            </w:pPr>
            <w:r>
              <w:rPr>
                <w:rFonts w:hint="eastAsia"/>
                <w:color w:val="auto"/>
              </w:rPr>
              <w:t>m</w:t>
            </w:r>
          </w:p>
        </w:tc>
        <w:tc>
          <w:tcPr>
            <w:tcW w:w="562" w:type="pct"/>
            <w:tcBorders>
              <w:tl2br w:val="nil"/>
              <w:tr2bl w:val="nil"/>
            </w:tcBorders>
            <w:shd w:val="clear" w:color="auto" w:fill="auto"/>
            <w:vAlign w:val="center"/>
          </w:tcPr>
          <w:p w14:paraId="0D12D122">
            <w:pPr>
              <w:pStyle w:val="714"/>
              <w:rPr>
                <w:color w:val="auto"/>
              </w:rPr>
            </w:pPr>
            <w:r>
              <w:rPr>
                <w:rFonts w:hint="eastAsia"/>
                <w:color w:val="auto"/>
              </w:rPr>
              <w:t>m</w:t>
            </w:r>
          </w:p>
        </w:tc>
        <w:tc>
          <w:tcPr>
            <w:tcW w:w="404" w:type="pct"/>
            <w:tcBorders>
              <w:tl2br w:val="nil"/>
              <w:tr2bl w:val="nil"/>
            </w:tcBorders>
            <w:shd w:val="clear" w:color="auto" w:fill="auto"/>
            <w:vAlign w:val="center"/>
          </w:tcPr>
          <w:p w14:paraId="037B6A1E">
            <w:pPr>
              <w:pStyle w:val="714"/>
              <w:rPr>
                <w:color w:val="auto"/>
              </w:rPr>
            </w:pPr>
            <w:r>
              <w:rPr>
                <w:rFonts w:hint="eastAsia"/>
                <w:color w:val="auto"/>
              </w:rPr>
              <w:t>L/s</w:t>
            </w:r>
          </w:p>
        </w:tc>
        <w:tc>
          <w:tcPr>
            <w:tcW w:w="466" w:type="pct"/>
            <w:tcBorders>
              <w:tl2br w:val="nil"/>
              <w:tr2bl w:val="nil"/>
            </w:tcBorders>
            <w:shd w:val="clear" w:color="auto" w:fill="auto"/>
            <w:vAlign w:val="center"/>
          </w:tcPr>
          <w:p w14:paraId="6D04CECA">
            <w:pPr>
              <w:pStyle w:val="714"/>
              <w:rPr>
                <w:color w:val="auto"/>
              </w:rPr>
            </w:pPr>
            <w:r>
              <w:rPr>
                <w:rFonts w:hint="eastAsia"/>
                <w:color w:val="auto"/>
                <w:lang w:eastAsia="zh-CN"/>
              </w:rPr>
              <w:t>m³</w:t>
            </w:r>
            <w:r>
              <w:rPr>
                <w:rFonts w:hint="eastAsia"/>
                <w:color w:val="auto"/>
              </w:rPr>
              <w:t>/d</w:t>
            </w:r>
          </w:p>
        </w:tc>
        <w:tc>
          <w:tcPr>
            <w:tcW w:w="358" w:type="pct"/>
            <w:tcBorders>
              <w:tl2br w:val="nil"/>
              <w:tr2bl w:val="nil"/>
            </w:tcBorders>
            <w:shd w:val="clear" w:color="auto" w:fill="auto"/>
            <w:vAlign w:val="center"/>
          </w:tcPr>
          <w:p w14:paraId="27AC4C3D">
            <w:pPr>
              <w:pStyle w:val="714"/>
              <w:rPr>
                <w:color w:val="auto"/>
              </w:rPr>
            </w:pPr>
            <w:r>
              <w:rPr>
                <w:rFonts w:hint="eastAsia"/>
                <w:color w:val="auto"/>
              </w:rPr>
              <w:t>m/d</w:t>
            </w:r>
          </w:p>
        </w:tc>
        <w:tc>
          <w:tcPr>
            <w:tcW w:w="582" w:type="pct"/>
            <w:tcBorders>
              <w:tl2br w:val="nil"/>
              <w:tr2bl w:val="nil"/>
            </w:tcBorders>
            <w:shd w:val="clear" w:color="auto" w:fill="auto"/>
            <w:vAlign w:val="center"/>
          </w:tcPr>
          <w:p w14:paraId="7679F512">
            <w:pPr>
              <w:pStyle w:val="714"/>
              <w:rPr>
                <w:color w:val="auto"/>
              </w:rPr>
            </w:pPr>
            <w:r>
              <w:rPr>
                <w:rFonts w:hint="eastAsia"/>
                <w:color w:val="auto"/>
              </w:rPr>
              <w:t>cm/s</w:t>
            </w:r>
          </w:p>
        </w:tc>
        <w:tc>
          <w:tcPr>
            <w:tcW w:w="513" w:type="pct"/>
            <w:tcBorders>
              <w:tl2br w:val="nil"/>
              <w:tr2bl w:val="nil"/>
            </w:tcBorders>
            <w:shd w:val="clear" w:color="auto" w:fill="auto"/>
            <w:vAlign w:val="center"/>
          </w:tcPr>
          <w:p w14:paraId="46283EA4">
            <w:pPr>
              <w:pStyle w:val="714"/>
              <w:rPr>
                <w:color w:val="auto"/>
              </w:rPr>
            </w:pPr>
            <w:r>
              <w:rPr>
                <w:rFonts w:hint="eastAsia"/>
                <w:color w:val="auto"/>
              </w:rPr>
              <w:t>m</w:t>
            </w:r>
          </w:p>
        </w:tc>
      </w:tr>
      <w:tr w14:paraId="735CA7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 w:type="pct"/>
            <w:tcBorders>
              <w:tl2br w:val="nil"/>
              <w:tr2bl w:val="nil"/>
            </w:tcBorders>
            <w:shd w:val="clear" w:color="auto" w:fill="auto"/>
            <w:vAlign w:val="center"/>
          </w:tcPr>
          <w:p w14:paraId="411244FF">
            <w:pPr>
              <w:pStyle w:val="714"/>
              <w:rPr>
                <w:color w:val="auto"/>
              </w:rPr>
            </w:pPr>
            <w:r>
              <w:rPr>
                <w:rFonts w:hint="eastAsia"/>
                <w:color w:val="auto"/>
              </w:rPr>
              <w:t>4</w:t>
            </w:r>
          </w:p>
        </w:tc>
        <w:tc>
          <w:tcPr>
            <w:tcW w:w="491" w:type="pct"/>
            <w:tcBorders>
              <w:tl2br w:val="nil"/>
              <w:tr2bl w:val="nil"/>
            </w:tcBorders>
            <w:shd w:val="clear" w:color="auto" w:fill="auto"/>
            <w:vAlign w:val="center"/>
          </w:tcPr>
          <w:p w14:paraId="5963E6BC">
            <w:pPr>
              <w:pStyle w:val="714"/>
              <w:rPr>
                <w:color w:val="auto"/>
              </w:rPr>
            </w:pPr>
            <w:r>
              <w:rPr>
                <w:rFonts w:hint="eastAsia"/>
                <w:color w:val="auto"/>
              </w:rPr>
              <w:t>K</w:t>
            </w:r>
            <w:r>
              <w:rPr>
                <w:rFonts w:hint="eastAsia"/>
                <w:color w:val="auto"/>
                <w:vertAlign w:val="subscript"/>
              </w:rPr>
              <w:t>1</w:t>
            </w:r>
            <w:r>
              <w:rPr>
                <w:rFonts w:hint="eastAsia"/>
                <w:color w:val="auto"/>
              </w:rPr>
              <w:t>b</w:t>
            </w:r>
          </w:p>
        </w:tc>
        <w:tc>
          <w:tcPr>
            <w:tcW w:w="544" w:type="pct"/>
            <w:tcBorders>
              <w:tl2br w:val="nil"/>
              <w:tr2bl w:val="nil"/>
            </w:tcBorders>
            <w:shd w:val="clear" w:color="auto" w:fill="auto"/>
            <w:vAlign w:val="center"/>
          </w:tcPr>
          <w:p w14:paraId="056BFBDF">
            <w:pPr>
              <w:pStyle w:val="714"/>
              <w:rPr>
                <w:color w:val="auto"/>
              </w:rPr>
            </w:pPr>
            <w:r>
              <w:rPr>
                <w:rFonts w:hint="eastAsia"/>
                <w:color w:val="auto"/>
              </w:rPr>
              <w:t>25.87</w:t>
            </w:r>
          </w:p>
        </w:tc>
        <w:tc>
          <w:tcPr>
            <w:tcW w:w="726" w:type="pct"/>
            <w:tcBorders>
              <w:tl2br w:val="nil"/>
              <w:tr2bl w:val="nil"/>
            </w:tcBorders>
            <w:shd w:val="clear" w:color="auto" w:fill="auto"/>
            <w:vAlign w:val="center"/>
          </w:tcPr>
          <w:p w14:paraId="07CB7EC4">
            <w:pPr>
              <w:pStyle w:val="714"/>
              <w:rPr>
                <w:color w:val="auto"/>
              </w:rPr>
            </w:pPr>
            <w:r>
              <w:rPr>
                <w:rFonts w:hint="eastAsia"/>
                <w:color w:val="auto"/>
              </w:rPr>
              <w:t>7.53</w:t>
            </w:r>
          </w:p>
        </w:tc>
        <w:tc>
          <w:tcPr>
            <w:tcW w:w="562" w:type="pct"/>
            <w:tcBorders>
              <w:tl2br w:val="nil"/>
              <w:tr2bl w:val="nil"/>
            </w:tcBorders>
            <w:shd w:val="clear" w:color="auto" w:fill="auto"/>
            <w:vAlign w:val="center"/>
          </w:tcPr>
          <w:p w14:paraId="7260E74C">
            <w:pPr>
              <w:pStyle w:val="714"/>
              <w:rPr>
                <w:color w:val="auto"/>
              </w:rPr>
            </w:pPr>
            <w:r>
              <w:rPr>
                <w:rFonts w:hint="eastAsia"/>
                <w:color w:val="auto"/>
              </w:rPr>
              <w:t>7.6</w:t>
            </w:r>
          </w:p>
        </w:tc>
        <w:tc>
          <w:tcPr>
            <w:tcW w:w="404" w:type="pct"/>
            <w:tcBorders>
              <w:tl2br w:val="nil"/>
              <w:tr2bl w:val="nil"/>
            </w:tcBorders>
            <w:shd w:val="clear" w:color="auto" w:fill="auto"/>
            <w:vAlign w:val="center"/>
          </w:tcPr>
          <w:p w14:paraId="6A1FFEFD">
            <w:pPr>
              <w:pStyle w:val="714"/>
              <w:rPr>
                <w:color w:val="auto"/>
              </w:rPr>
            </w:pPr>
            <w:r>
              <w:rPr>
                <w:rFonts w:hint="eastAsia"/>
                <w:color w:val="auto"/>
              </w:rPr>
              <w:t>5.618</w:t>
            </w:r>
          </w:p>
        </w:tc>
        <w:tc>
          <w:tcPr>
            <w:tcW w:w="466" w:type="pct"/>
            <w:tcBorders>
              <w:tl2br w:val="nil"/>
              <w:tr2bl w:val="nil"/>
            </w:tcBorders>
            <w:shd w:val="clear" w:color="auto" w:fill="auto"/>
            <w:vAlign w:val="center"/>
          </w:tcPr>
          <w:p w14:paraId="1D19E010">
            <w:pPr>
              <w:pStyle w:val="714"/>
              <w:rPr>
                <w:color w:val="auto"/>
              </w:rPr>
            </w:pPr>
            <w:r>
              <w:rPr>
                <w:rFonts w:hint="eastAsia"/>
                <w:color w:val="auto"/>
              </w:rPr>
              <w:t>485.40</w:t>
            </w:r>
          </w:p>
        </w:tc>
        <w:tc>
          <w:tcPr>
            <w:tcW w:w="358" w:type="pct"/>
            <w:tcBorders>
              <w:tl2br w:val="nil"/>
              <w:tr2bl w:val="nil"/>
            </w:tcBorders>
            <w:shd w:val="clear" w:color="auto" w:fill="auto"/>
            <w:vAlign w:val="center"/>
          </w:tcPr>
          <w:p w14:paraId="0E231B53">
            <w:pPr>
              <w:pStyle w:val="714"/>
              <w:rPr>
                <w:color w:val="auto"/>
              </w:rPr>
            </w:pPr>
            <w:r>
              <w:rPr>
                <w:rFonts w:hint="eastAsia"/>
                <w:color w:val="auto"/>
              </w:rPr>
              <w:t>1.34</w:t>
            </w:r>
          </w:p>
        </w:tc>
        <w:tc>
          <w:tcPr>
            <w:tcW w:w="582" w:type="pct"/>
            <w:tcBorders>
              <w:tl2br w:val="nil"/>
              <w:tr2bl w:val="nil"/>
            </w:tcBorders>
            <w:shd w:val="clear" w:color="auto" w:fill="auto"/>
            <w:vAlign w:val="center"/>
          </w:tcPr>
          <w:p w14:paraId="040A8481">
            <w:pPr>
              <w:pStyle w:val="714"/>
              <w:rPr>
                <w:color w:val="auto"/>
              </w:rPr>
            </w:pPr>
            <w:r>
              <w:rPr>
                <w:rFonts w:hint="eastAsia"/>
                <w:color w:val="auto"/>
              </w:rPr>
              <w:t>1.55E-03</w:t>
            </w:r>
          </w:p>
        </w:tc>
        <w:tc>
          <w:tcPr>
            <w:tcW w:w="513" w:type="pct"/>
            <w:tcBorders>
              <w:tl2br w:val="nil"/>
              <w:tr2bl w:val="nil"/>
            </w:tcBorders>
            <w:shd w:val="clear" w:color="auto" w:fill="auto"/>
            <w:vAlign w:val="center"/>
          </w:tcPr>
          <w:p w14:paraId="74EDBFFF">
            <w:pPr>
              <w:pStyle w:val="714"/>
              <w:rPr>
                <w:color w:val="auto"/>
              </w:rPr>
            </w:pPr>
            <w:r>
              <w:rPr>
                <w:rFonts w:hint="eastAsia"/>
                <w:color w:val="auto"/>
              </w:rPr>
              <w:t>187</w:t>
            </w:r>
          </w:p>
        </w:tc>
      </w:tr>
      <w:tr w14:paraId="2F742A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 w:type="pct"/>
            <w:tcBorders>
              <w:tl2br w:val="nil"/>
              <w:tr2bl w:val="nil"/>
            </w:tcBorders>
            <w:shd w:val="clear" w:color="auto" w:fill="auto"/>
            <w:noWrap/>
            <w:vAlign w:val="center"/>
          </w:tcPr>
          <w:p w14:paraId="4F19D06F">
            <w:pPr>
              <w:pStyle w:val="714"/>
              <w:rPr>
                <w:color w:val="auto"/>
              </w:rPr>
            </w:pPr>
            <w:r>
              <w:rPr>
                <w:rFonts w:hint="eastAsia"/>
                <w:color w:val="auto"/>
              </w:rPr>
              <w:t>5</w:t>
            </w:r>
          </w:p>
        </w:tc>
        <w:tc>
          <w:tcPr>
            <w:tcW w:w="491" w:type="pct"/>
            <w:tcBorders>
              <w:tl2br w:val="nil"/>
              <w:tr2bl w:val="nil"/>
            </w:tcBorders>
            <w:shd w:val="clear" w:color="auto" w:fill="auto"/>
            <w:vAlign w:val="center"/>
          </w:tcPr>
          <w:p w14:paraId="2809BB39">
            <w:pPr>
              <w:pStyle w:val="714"/>
              <w:rPr>
                <w:color w:val="auto"/>
              </w:rPr>
            </w:pPr>
            <w:r>
              <w:rPr>
                <w:rFonts w:hint="eastAsia"/>
                <w:color w:val="auto"/>
              </w:rPr>
              <w:t>K</w:t>
            </w:r>
            <w:r>
              <w:rPr>
                <w:rFonts w:hint="eastAsia"/>
                <w:color w:val="auto"/>
                <w:vertAlign w:val="subscript"/>
              </w:rPr>
              <w:t>1</w:t>
            </w:r>
            <w:r>
              <w:rPr>
                <w:rFonts w:hint="eastAsia"/>
                <w:color w:val="auto"/>
              </w:rPr>
              <w:t>b</w:t>
            </w:r>
          </w:p>
        </w:tc>
        <w:tc>
          <w:tcPr>
            <w:tcW w:w="544" w:type="pct"/>
            <w:tcBorders>
              <w:tl2br w:val="nil"/>
              <w:tr2bl w:val="nil"/>
            </w:tcBorders>
            <w:shd w:val="clear" w:color="auto" w:fill="auto"/>
            <w:vAlign w:val="center"/>
          </w:tcPr>
          <w:p w14:paraId="4DD03A80">
            <w:pPr>
              <w:pStyle w:val="714"/>
              <w:rPr>
                <w:color w:val="auto"/>
              </w:rPr>
            </w:pPr>
            <w:r>
              <w:rPr>
                <w:rFonts w:hint="eastAsia"/>
                <w:color w:val="auto"/>
              </w:rPr>
              <w:t>50.4</w:t>
            </w:r>
          </w:p>
        </w:tc>
        <w:tc>
          <w:tcPr>
            <w:tcW w:w="726" w:type="pct"/>
            <w:tcBorders>
              <w:tl2br w:val="nil"/>
              <w:tr2bl w:val="nil"/>
            </w:tcBorders>
            <w:shd w:val="clear" w:color="auto" w:fill="auto"/>
            <w:vAlign w:val="center"/>
          </w:tcPr>
          <w:p w14:paraId="1BB148D0">
            <w:pPr>
              <w:pStyle w:val="714"/>
              <w:rPr>
                <w:color w:val="auto"/>
              </w:rPr>
            </w:pPr>
            <w:r>
              <w:rPr>
                <w:rFonts w:hint="eastAsia"/>
                <w:color w:val="auto"/>
              </w:rPr>
              <w:t>18.32</w:t>
            </w:r>
          </w:p>
        </w:tc>
        <w:tc>
          <w:tcPr>
            <w:tcW w:w="562" w:type="pct"/>
            <w:tcBorders>
              <w:tl2br w:val="nil"/>
              <w:tr2bl w:val="nil"/>
            </w:tcBorders>
            <w:shd w:val="clear" w:color="auto" w:fill="auto"/>
            <w:vAlign w:val="center"/>
          </w:tcPr>
          <w:p w14:paraId="28128837">
            <w:pPr>
              <w:pStyle w:val="714"/>
              <w:rPr>
                <w:color w:val="auto"/>
              </w:rPr>
            </w:pPr>
            <w:r>
              <w:rPr>
                <w:rFonts w:hint="eastAsia"/>
                <w:color w:val="auto"/>
              </w:rPr>
              <w:t>8.17</w:t>
            </w:r>
          </w:p>
        </w:tc>
        <w:tc>
          <w:tcPr>
            <w:tcW w:w="404" w:type="pct"/>
            <w:tcBorders>
              <w:tl2br w:val="nil"/>
              <w:tr2bl w:val="nil"/>
            </w:tcBorders>
            <w:shd w:val="clear" w:color="auto" w:fill="auto"/>
            <w:vAlign w:val="center"/>
          </w:tcPr>
          <w:p w14:paraId="24ECF61E">
            <w:pPr>
              <w:pStyle w:val="714"/>
              <w:rPr>
                <w:color w:val="auto"/>
              </w:rPr>
            </w:pPr>
            <w:r>
              <w:rPr>
                <w:rFonts w:hint="eastAsia"/>
                <w:color w:val="auto"/>
              </w:rPr>
              <w:t>6.009</w:t>
            </w:r>
          </w:p>
        </w:tc>
        <w:tc>
          <w:tcPr>
            <w:tcW w:w="466" w:type="pct"/>
            <w:tcBorders>
              <w:tl2br w:val="nil"/>
              <w:tr2bl w:val="nil"/>
            </w:tcBorders>
            <w:shd w:val="clear" w:color="auto" w:fill="auto"/>
            <w:vAlign w:val="center"/>
          </w:tcPr>
          <w:p w14:paraId="4814CE80">
            <w:pPr>
              <w:pStyle w:val="714"/>
              <w:rPr>
                <w:color w:val="auto"/>
              </w:rPr>
            </w:pPr>
            <w:r>
              <w:rPr>
                <w:rFonts w:hint="eastAsia"/>
                <w:color w:val="auto"/>
              </w:rPr>
              <w:t>519.2</w:t>
            </w:r>
          </w:p>
        </w:tc>
        <w:tc>
          <w:tcPr>
            <w:tcW w:w="358" w:type="pct"/>
            <w:tcBorders>
              <w:tl2br w:val="nil"/>
              <w:tr2bl w:val="nil"/>
            </w:tcBorders>
            <w:shd w:val="clear" w:color="auto" w:fill="auto"/>
            <w:vAlign w:val="center"/>
          </w:tcPr>
          <w:p w14:paraId="518F29F5">
            <w:pPr>
              <w:pStyle w:val="714"/>
              <w:rPr>
                <w:color w:val="auto"/>
              </w:rPr>
            </w:pPr>
            <w:r>
              <w:rPr>
                <w:rFonts w:hint="eastAsia"/>
                <w:color w:val="auto"/>
              </w:rPr>
              <w:t>1.68</w:t>
            </w:r>
          </w:p>
        </w:tc>
        <w:tc>
          <w:tcPr>
            <w:tcW w:w="582" w:type="pct"/>
            <w:tcBorders>
              <w:tl2br w:val="nil"/>
              <w:tr2bl w:val="nil"/>
            </w:tcBorders>
            <w:shd w:val="clear" w:color="auto" w:fill="auto"/>
            <w:vAlign w:val="center"/>
          </w:tcPr>
          <w:p w14:paraId="1E638FB3">
            <w:pPr>
              <w:pStyle w:val="714"/>
              <w:rPr>
                <w:color w:val="auto"/>
              </w:rPr>
            </w:pPr>
            <w:r>
              <w:rPr>
                <w:rFonts w:hint="eastAsia"/>
                <w:color w:val="auto"/>
              </w:rPr>
              <w:t>1.94E-03</w:t>
            </w:r>
          </w:p>
        </w:tc>
        <w:tc>
          <w:tcPr>
            <w:tcW w:w="513" w:type="pct"/>
            <w:tcBorders>
              <w:tl2br w:val="nil"/>
              <w:tr2bl w:val="nil"/>
            </w:tcBorders>
            <w:shd w:val="clear" w:color="auto" w:fill="auto"/>
            <w:vAlign w:val="center"/>
          </w:tcPr>
          <w:p w14:paraId="3C92FBE0">
            <w:pPr>
              <w:pStyle w:val="714"/>
              <w:rPr>
                <w:color w:val="auto"/>
              </w:rPr>
            </w:pPr>
            <w:r>
              <w:rPr>
                <w:rFonts w:hint="eastAsia"/>
                <w:color w:val="auto"/>
              </w:rPr>
              <w:t>154</w:t>
            </w:r>
          </w:p>
        </w:tc>
      </w:tr>
      <w:tr w14:paraId="358E18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 w:type="pct"/>
            <w:tcBorders>
              <w:tl2br w:val="nil"/>
              <w:tr2bl w:val="nil"/>
            </w:tcBorders>
            <w:shd w:val="clear" w:color="auto" w:fill="auto"/>
            <w:vAlign w:val="center"/>
          </w:tcPr>
          <w:p w14:paraId="6EA2DF01">
            <w:pPr>
              <w:pStyle w:val="714"/>
              <w:rPr>
                <w:color w:val="auto"/>
              </w:rPr>
            </w:pPr>
            <w:r>
              <w:rPr>
                <w:rFonts w:hint="eastAsia"/>
                <w:color w:val="auto"/>
              </w:rPr>
              <w:t>21</w:t>
            </w:r>
          </w:p>
        </w:tc>
        <w:tc>
          <w:tcPr>
            <w:tcW w:w="491" w:type="pct"/>
            <w:tcBorders>
              <w:tl2br w:val="nil"/>
              <w:tr2bl w:val="nil"/>
            </w:tcBorders>
            <w:shd w:val="clear" w:color="auto" w:fill="auto"/>
            <w:vAlign w:val="center"/>
          </w:tcPr>
          <w:p w14:paraId="09FABE87">
            <w:pPr>
              <w:pStyle w:val="714"/>
              <w:rPr>
                <w:color w:val="auto"/>
              </w:rPr>
            </w:pPr>
            <w:r>
              <w:rPr>
                <w:rFonts w:hint="eastAsia"/>
                <w:color w:val="auto"/>
              </w:rPr>
              <w:t>K</w:t>
            </w:r>
            <w:r>
              <w:rPr>
                <w:rFonts w:hint="eastAsia"/>
                <w:color w:val="auto"/>
                <w:vertAlign w:val="subscript"/>
              </w:rPr>
              <w:t>1</w:t>
            </w:r>
            <w:r>
              <w:rPr>
                <w:rFonts w:hint="eastAsia"/>
                <w:color w:val="auto"/>
              </w:rPr>
              <w:t>b</w:t>
            </w:r>
          </w:p>
        </w:tc>
        <w:tc>
          <w:tcPr>
            <w:tcW w:w="544" w:type="pct"/>
            <w:tcBorders>
              <w:tl2br w:val="nil"/>
              <w:tr2bl w:val="nil"/>
            </w:tcBorders>
            <w:shd w:val="clear" w:color="auto" w:fill="auto"/>
            <w:vAlign w:val="center"/>
          </w:tcPr>
          <w:p w14:paraId="27260D3D">
            <w:pPr>
              <w:pStyle w:val="714"/>
              <w:rPr>
                <w:color w:val="auto"/>
              </w:rPr>
            </w:pPr>
            <w:r>
              <w:rPr>
                <w:rFonts w:hint="eastAsia"/>
                <w:color w:val="auto"/>
              </w:rPr>
              <w:t>18.2</w:t>
            </w:r>
          </w:p>
        </w:tc>
        <w:tc>
          <w:tcPr>
            <w:tcW w:w="726" w:type="pct"/>
            <w:tcBorders>
              <w:tl2br w:val="nil"/>
              <w:tr2bl w:val="nil"/>
            </w:tcBorders>
            <w:shd w:val="clear" w:color="auto" w:fill="auto"/>
            <w:vAlign w:val="center"/>
          </w:tcPr>
          <w:p w14:paraId="08357C6B">
            <w:pPr>
              <w:pStyle w:val="714"/>
              <w:rPr>
                <w:color w:val="auto"/>
              </w:rPr>
            </w:pPr>
            <w:r>
              <w:rPr>
                <w:rFonts w:hint="eastAsia"/>
                <w:color w:val="auto"/>
              </w:rPr>
              <w:t>4.67</w:t>
            </w:r>
          </w:p>
        </w:tc>
        <w:tc>
          <w:tcPr>
            <w:tcW w:w="562" w:type="pct"/>
            <w:tcBorders>
              <w:tl2br w:val="nil"/>
              <w:tr2bl w:val="nil"/>
            </w:tcBorders>
            <w:shd w:val="clear" w:color="auto" w:fill="auto"/>
            <w:vAlign w:val="center"/>
          </w:tcPr>
          <w:p w14:paraId="34093BE0">
            <w:pPr>
              <w:pStyle w:val="714"/>
              <w:rPr>
                <w:color w:val="auto"/>
              </w:rPr>
            </w:pPr>
            <w:r>
              <w:rPr>
                <w:rFonts w:hint="eastAsia"/>
                <w:color w:val="auto"/>
              </w:rPr>
              <w:t>4.65</w:t>
            </w:r>
          </w:p>
        </w:tc>
        <w:tc>
          <w:tcPr>
            <w:tcW w:w="404" w:type="pct"/>
            <w:tcBorders>
              <w:tl2br w:val="nil"/>
              <w:tr2bl w:val="nil"/>
            </w:tcBorders>
            <w:shd w:val="clear" w:color="auto" w:fill="auto"/>
            <w:vAlign w:val="center"/>
          </w:tcPr>
          <w:p w14:paraId="7EFBD702">
            <w:pPr>
              <w:pStyle w:val="714"/>
              <w:rPr>
                <w:color w:val="auto"/>
              </w:rPr>
            </w:pPr>
            <w:r>
              <w:rPr>
                <w:rFonts w:hint="eastAsia"/>
                <w:color w:val="auto"/>
              </w:rPr>
              <w:t>1.861</w:t>
            </w:r>
          </w:p>
        </w:tc>
        <w:tc>
          <w:tcPr>
            <w:tcW w:w="466" w:type="pct"/>
            <w:tcBorders>
              <w:tl2br w:val="nil"/>
              <w:tr2bl w:val="nil"/>
            </w:tcBorders>
            <w:shd w:val="clear" w:color="auto" w:fill="auto"/>
            <w:vAlign w:val="center"/>
          </w:tcPr>
          <w:p w14:paraId="1229DEE4">
            <w:pPr>
              <w:pStyle w:val="714"/>
              <w:rPr>
                <w:color w:val="auto"/>
              </w:rPr>
            </w:pPr>
            <w:r>
              <w:rPr>
                <w:rFonts w:hint="eastAsia"/>
                <w:color w:val="auto"/>
              </w:rPr>
              <w:t>160.79</w:t>
            </w:r>
          </w:p>
        </w:tc>
        <w:tc>
          <w:tcPr>
            <w:tcW w:w="358" w:type="pct"/>
            <w:tcBorders>
              <w:tl2br w:val="nil"/>
              <w:tr2bl w:val="nil"/>
            </w:tcBorders>
            <w:shd w:val="clear" w:color="auto" w:fill="auto"/>
            <w:vAlign w:val="center"/>
          </w:tcPr>
          <w:p w14:paraId="3881E278">
            <w:pPr>
              <w:pStyle w:val="714"/>
              <w:rPr>
                <w:color w:val="auto"/>
              </w:rPr>
            </w:pPr>
            <w:r>
              <w:rPr>
                <w:rFonts w:hint="eastAsia"/>
                <w:color w:val="auto"/>
              </w:rPr>
              <w:t>2.21</w:t>
            </w:r>
          </w:p>
        </w:tc>
        <w:tc>
          <w:tcPr>
            <w:tcW w:w="582" w:type="pct"/>
            <w:tcBorders>
              <w:tl2br w:val="nil"/>
              <w:tr2bl w:val="nil"/>
            </w:tcBorders>
            <w:shd w:val="clear" w:color="auto" w:fill="auto"/>
            <w:vAlign w:val="center"/>
          </w:tcPr>
          <w:p w14:paraId="5482B25A">
            <w:pPr>
              <w:pStyle w:val="714"/>
              <w:rPr>
                <w:color w:val="auto"/>
              </w:rPr>
            </w:pPr>
            <w:r>
              <w:rPr>
                <w:rFonts w:hint="eastAsia"/>
                <w:color w:val="auto"/>
              </w:rPr>
              <w:t>2.56E-03</w:t>
            </w:r>
          </w:p>
        </w:tc>
        <w:tc>
          <w:tcPr>
            <w:tcW w:w="513" w:type="pct"/>
            <w:tcBorders>
              <w:tl2br w:val="nil"/>
              <w:tr2bl w:val="nil"/>
            </w:tcBorders>
            <w:shd w:val="clear" w:color="auto" w:fill="auto"/>
            <w:vAlign w:val="center"/>
          </w:tcPr>
          <w:p w14:paraId="32D5A47A">
            <w:pPr>
              <w:pStyle w:val="714"/>
              <w:rPr>
                <w:color w:val="auto"/>
              </w:rPr>
            </w:pPr>
            <w:r>
              <w:rPr>
                <w:rFonts w:hint="eastAsia"/>
                <w:color w:val="auto"/>
              </w:rPr>
              <w:t>59</w:t>
            </w:r>
          </w:p>
        </w:tc>
      </w:tr>
    </w:tbl>
    <w:p w14:paraId="2A053884">
      <w:pPr>
        <w:pStyle w:val="700"/>
        <w:rPr>
          <w:b/>
          <w:bCs/>
          <w:color w:val="auto"/>
          <w:sz w:val="21"/>
          <w:szCs w:val="21"/>
        </w:rPr>
      </w:pPr>
      <w:r>
        <w:rPr>
          <w:b/>
          <w:bCs/>
          <w:color w:val="auto"/>
          <w:sz w:val="21"/>
          <w:szCs w:val="21"/>
        </w:rPr>
        <w:t>注：数据参考自</w:t>
      </w:r>
      <w:r>
        <w:rPr>
          <w:rFonts w:hint="eastAsia"/>
          <w:b/>
          <w:bCs/>
          <w:color w:val="auto"/>
          <w:sz w:val="21"/>
          <w:szCs w:val="21"/>
        </w:rPr>
        <w:t>《1:20万仪陇幅区域水文地质普查报告》</w:t>
      </w:r>
      <w:r>
        <w:rPr>
          <w:b/>
          <w:bCs/>
          <w:color w:val="auto"/>
          <w:sz w:val="21"/>
          <w:szCs w:val="21"/>
        </w:rPr>
        <w:t>。</w:t>
      </w:r>
    </w:p>
    <w:p w14:paraId="5717C4DB">
      <w:pPr>
        <w:ind w:firstLine="480"/>
        <w:rPr>
          <w:rFonts w:hint="default" w:ascii="Times New Roman" w:hAnsi="Times New Roman" w:cs="Times New Roman"/>
          <w:color w:val="auto"/>
        </w:rPr>
      </w:pPr>
      <w:r>
        <w:rPr>
          <w:rFonts w:hint="default" w:ascii="Times New Roman" w:hAnsi="Times New Roman" w:cs="Times New Roman"/>
          <w:color w:val="auto"/>
        </w:rPr>
        <w:t>根据</w:t>
      </w:r>
      <w:r>
        <w:rPr>
          <w:rFonts w:hint="default" w:ascii="Times New Roman" w:hAnsi="Times New Roman" w:cs="Times New Roman"/>
          <w:color w:val="auto"/>
          <w:lang w:val="en-US" w:eastAsia="zh-CN"/>
        </w:rPr>
        <w:t>上表</w:t>
      </w:r>
      <w:r>
        <w:rPr>
          <w:rFonts w:hint="default" w:ascii="Times New Roman" w:hAnsi="Times New Roman" w:cs="Times New Roman"/>
          <w:color w:val="auto"/>
        </w:rPr>
        <w:t>，评价区内主要地层第四系全新统（Q</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al</w:t>
      </w:r>
      <w:r>
        <w:rPr>
          <w:rFonts w:hint="default" w:ascii="Times New Roman" w:hAnsi="Times New Roman" w:cs="Times New Roman"/>
          <w:color w:val="auto"/>
        </w:rPr>
        <w:t>）及上更新统（Q</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al</w:t>
      </w:r>
      <w:r>
        <w:rPr>
          <w:rFonts w:hint="default" w:ascii="Times New Roman" w:hAnsi="Times New Roman" w:cs="Times New Roman"/>
          <w:color w:val="auto"/>
        </w:rPr>
        <w:t>）冲积层渗透系数为4.17～9.00 m/d（4.83×10</w:t>
      </w:r>
      <w:r>
        <w:rPr>
          <w:rFonts w:hint="default" w:ascii="Times New Roman" w:hAnsi="Times New Roman" w:cs="Times New Roman"/>
          <w:color w:val="auto"/>
          <w:vertAlign w:val="superscript"/>
        </w:rPr>
        <w:t>-3</w:t>
      </w:r>
      <w:r>
        <w:rPr>
          <w:rFonts w:hint="default" w:ascii="Times New Roman" w:hAnsi="Times New Roman" w:cs="Times New Roman"/>
          <w:color w:val="auto"/>
        </w:rPr>
        <w:t>～1.05×10</w:t>
      </w:r>
      <w:r>
        <w:rPr>
          <w:rFonts w:hint="default" w:ascii="Times New Roman" w:hAnsi="Times New Roman" w:cs="Times New Roman"/>
          <w:color w:val="auto"/>
          <w:vertAlign w:val="superscript"/>
        </w:rPr>
        <w:t>-2</w:t>
      </w:r>
      <w:r>
        <w:rPr>
          <w:rFonts w:hint="default" w:ascii="Times New Roman" w:hAnsi="Times New Roman" w:cs="Times New Roman"/>
          <w:color w:val="auto"/>
        </w:rPr>
        <w:t xml:space="preserve"> cm/s）；根据表6.3-3，白垩系白龙组（K</w:t>
      </w:r>
      <w:r>
        <w:rPr>
          <w:rFonts w:hint="default" w:ascii="Times New Roman" w:hAnsi="Times New Roman" w:cs="Times New Roman"/>
          <w:color w:val="auto"/>
          <w:vertAlign w:val="subscript"/>
        </w:rPr>
        <w:t>1</w:t>
      </w:r>
      <w:r>
        <w:rPr>
          <w:rFonts w:hint="default" w:ascii="Times New Roman" w:hAnsi="Times New Roman" w:cs="Times New Roman"/>
          <w:color w:val="auto"/>
        </w:rPr>
        <w:t>b）含水层渗透系数为1.34～2.21m/d（1.55×10</w:t>
      </w:r>
      <w:r>
        <w:rPr>
          <w:rFonts w:hint="default" w:ascii="Times New Roman" w:hAnsi="Times New Roman" w:cs="Times New Roman"/>
          <w:color w:val="auto"/>
          <w:vertAlign w:val="superscript"/>
        </w:rPr>
        <w:t>-3</w:t>
      </w:r>
      <w:r>
        <w:rPr>
          <w:rFonts w:hint="default" w:ascii="Times New Roman" w:hAnsi="Times New Roman" w:cs="Times New Roman"/>
          <w:color w:val="auto"/>
        </w:rPr>
        <w:t>～2.56×10</w:t>
      </w:r>
      <w:r>
        <w:rPr>
          <w:rFonts w:hint="default" w:ascii="Times New Roman" w:hAnsi="Times New Roman" w:cs="Times New Roman"/>
          <w:color w:val="auto"/>
          <w:vertAlign w:val="superscript"/>
        </w:rPr>
        <w:t>-3</w:t>
      </w:r>
      <w:r>
        <w:rPr>
          <w:rFonts w:hint="default" w:ascii="Times New Roman" w:hAnsi="Times New Roman" w:cs="Times New Roman"/>
          <w:color w:val="auto"/>
        </w:rPr>
        <w:t>cm/s）。上述数据说明评价区松散岩类孔隙水含水层及白垩系白龙组含水层渗透系数均较大，属于中等透水岩组。</w:t>
      </w:r>
    </w:p>
    <w:p w14:paraId="38C76BE1">
      <w:pPr>
        <w:ind w:firstLine="480"/>
        <w:rPr>
          <w:rFonts w:hint="default" w:ascii="Times New Roman" w:hAnsi="Times New Roman" w:cs="Times New Roman"/>
          <w:color w:val="auto"/>
        </w:rPr>
      </w:pPr>
      <w:r>
        <w:rPr>
          <w:rFonts w:hint="default" w:ascii="Times New Roman" w:hAnsi="Times New Roman" w:cs="Times New Roman"/>
          <w:color w:val="auto"/>
        </w:rPr>
        <w:t>（2）渗水试验</w:t>
      </w:r>
    </w:p>
    <w:p w14:paraId="69C49947">
      <w:pPr>
        <w:ind w:firstLine="480"/>
        <w:rPr>
          <w:rFonts w:hint="default" w:ascii="Times New Roman" w:hAnsi="Times New Roman" w:cs="Times New Roman"/>
          <w:color w:val="auto"/>
        </w:rPr>
      </w:pPr>
      <w:r>
        <w:rPr>
          <w:rFonts w:hint="default" w:ascii="Times New Roman" w:hAnsi="Times New Roman" w:cs="Times New Roman"/>
          <w:color w:val="auto"/>
        </w:rPr>
        <w:t>本项目现场选取2处试验点，使用双环法进行试坑渗水试验。采用下式计算包气带渗透系数：</w:t>
      </w:r>
    </w:p>
    <w:p w14:paraId="200CC286">
      <w:pPr>
        <w:widowControl/>
        <w:ind w:firstLine="480"/>
        <w:jc w:val="center"/>
        <w:rPr>
          <w:rFonts w:hint="default" w:ascii="Times New Roman" w:hAnsi="Times New Roman" w:cs="Times New Roman"/>
          <w:color w:val="auto"/>
          <w:kern w:val="0"/>
          <w:szCs w:val="21"/>
        </w:rPr>
      </w:pPr>
      <m:oMathPara>
        <m:oMath>
          <m:r>
            <m:rPr/>
            <w:rPr>
              <w:rFonts w:hint="default" w:ascii="Cambria Math" w:hAnsi="Cambria Math" w:eastAsia="Cambria Math" w:cs="Times New Roman"/>
              <w:color w:val="auto"/>
              <w:kern w:val="0"/>
              <w:szCs w:val="21"/>
            </w:rPr>
            <m:t>K</m:t>
          </m:r>
          <m:r>
            <m:rPr>
              <m:sty m:val="p"/>
            </m:rPr>
            <w:rPr>
              <w:rFonts w:hint="default" w:ascii="Cambria Math" w:hAnsi="Cambria Math" w:eastAsia="Cambria Math" w:cs="Times New Roman"/>
              <w:color w:val="auto"/>
              <w:kern w:val="0"/>
              <w:szCs w:val="21"/>
            </w:rPr>
            <m:t>=</m:t>
          </m:r>
          <m:f>
            <m:fPr>
              <m:ctrlPr>
                <w:rPr>
                  <w:rFonts w:hint="default" w:ascii="Cambria Math" w:hAnsi="Cambria Math" w:eastAsia="Cambria Math" w:cs="Times New Roman"/>
                  <w:color w:val="auto"/>
                  <w:kern w:val="0"/>
                  <w:szCs w:val="21"/>
                </w:rPr>
              </m:ctrlPr>
            </m:fPr>
            <m:num>
              <m:r>
                <m:rPr>
                  <m:sty m:val="p"/>
                </m:rPr>
                <w:rPr>
                  <w:rFonts w:hint="default" w:ascii="Cambria Math" w:hAnsi="Cambria Math" w:eastAsia="Cambria Math" w:cs="Times New Roman"/>
                  <w:color w:val="auto"/>
                  <w:kern w:val="0"/>
                  <w:szCs w:val="21"/>
                </w:rPr>
                <m:t>16.67QZ</m:t>
              </m:r>
              <m:ctrlPr>
                <w:rPr>
                  <w:rFonts w:hint="default" w:ascii="Cambria Math" w:hAnsi="Cambria Math" w:eastAsia="Cambria Math" w:cs="Times New Roman"/>
                  <w:color w:val="auto"/>
                  <w:kern w:val="0"/>
                  <w:szCs w:val="21"/>
                </w:rPr>
              </m:ctrlPr>
            </m:num>
            <m:den>
              <m:r>
                <m:rPr>
                  <m:sty m:val="p"/>
                </m:rPr>
                <w:rPr>
                  <w:rFonts w:hint="default" w:ascii="Cambria Math" w:hAnsi="Cambria Math" w:eastAsia="Cambria Math" w:cs="Times New Roman"/>
                  <w:color w:val="auto"/>
                  <w:kern w:val="0"/>
                  <w:szCs w:val="21"/>
                </w:rPr>
                <m:t>F</m:t>
              </m:r>
              <m:r>
                <m:rPr>
                  <m:sty m:val="p"/>
                </m:rPr>
                <w:rPr>
                  <w:rFonts w:hint="default" w:ascii="Cambria Math" w:hAnsi="Cambria Math" w:cs="Times New Roman"/>
                  <w:color w:val="auto"/>
                  <w:kern w:val="0"/>
                  <w:szCs w:val="21"/>
                </w:rPr>
                <m:t>（H+Z+0.5</m:t>
              </m:r>
              <m:sSub>
                <m:sSubPr>
                  <m:ctrlPr>
                    <w:rPr>
                      <w:rFonts w:hint="default" w:ascii="Cambria Math" w:hAnsi="Cambria Math" w:cs="Times New Roman"/>
                      <w:color w:val="auto"/>
                      <w:kern w:val="0"/>
                      <w:szCs w:val="21"/>
                    </w:rPr>
                  </m:ctrlPr>
                </m:sSubPr>
                <m:e>
                  <m:r>
                    <m:rPr/>
                    <w:rPr>
                      <w:rFonts w:hint="default" w:ascii="Cambria Math" w:hAnsi="Cambria Math" w:cs="Times New Roman"/>
                      <w:color w:val="auto"/>
                      <w:kern w:val="0"/>
                      <w:szCs w:val="21"/>
                    </w:rPr>
                    <m:t>H</m:t>
                  </m:r>
                  <m:ctrlPr>
                    <w:rPr>
                      <w:rFonts w:hint="default" w:ascii="Cambria Math" w:hAnsi="Cambria Math" w:cs="Times New Roman"/>
                      <w:color w:val="auto"/>
                      <w:kern w:val="0"/>
                      <w:szCs w:val="21"/>
                    </w:rPr>
                  </m:ctrlPr>
                </m:e>
                <m:sub>
                  <m:r>
                    <m:rPr/>
                    <w:rPr>
                      <w:rFonts w:hint="default" w:ascii="Cambria Math" w:hAnsi="Cambria Math" w:cs="Times New Roman"/>
                      <w:color w:val="auto"/>
                      <w:kern w:val="0"/>
                      <w:szCs w:val="21"/>
                    </w:rPr>
                    <m:t>a</m:t>
                  </m:r>
                  <m:ctrlPr>
                    <w:rPr>
                      <w:rFonts w:hint="default" w:ascii="Cambria Math" w:hAnsi="Cambria Math" w:cs="Times New Roman"/>
                      <w:color w:val="auto"/>
                      <w:kern w:val="0"/>
                      <w:szCs w:val="21"/>
                    </w:rPr>
                  </m:ctrlPr>
                </m:sub>
              </m:sSub>
              <m:r>
                <m:rPr>
                  <m:sty m:val="p"/>
                </m:rPr>
                <w:rPr>
                  <w:rFonts w:hint="default" w:ascii="Cambria Math" w:hAnsi="Cambria Math" w:cs="Times New Roman"/>
                  <w:color w:val="auto"/>
                  <w:kern w:val="0"/>
                  <w:szCs w:val="21"/>
                </w:rPr>
                <m:t>）</m:t>
              </m:r>
              <m:ctrlPr>
                <w:rPr>
                  <w:rFonts w:hint="default" w:ascii="Cambria Math" w:hAnsi="Cambria Math" w:eastAsia="Cambria Math" w:cs="Times New Roman"/>
                  <w:color w:val="auto"/>
                  <w:kern w:val="0"/>
                  <w:szCs w:val="21"/>
                </w:rPr>
              </m:ctrlPr>
            </m:den>
          </m:f>
        </m:oMath>
      </m:oMathPara>
    </w:p>
    <w:p w14:paraId="4C716ED7">
      <w:pPr>
        <w:widowControl/>
        <w:ind w:firstLine="48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式中：K—渗透系数（cm/s）；</w:t>
      </w:r>
    </w:p>
    <w:p w14:paraId="06B3ECFC">
      <w:pPr>
        <w:widowControl/>
        <w:ind w:firstLine="720" w:firstLineChars="3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Q—内环的注入流量（L/min）；</w:t>
      </w:r>
    </w:p>
    <w:p w14:paraId="78F930F3">
      <w:pPr>
        <w:widowControl/>
        <w:ind w:firstLine="720" w:firstLineChars="3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F—内环的底面积（c</w:t>
      </w:r>
      <w:r>
        <w:rPr>
          <w:rFonts w:hint="eastAsia" w:cs="Times New Roman"/>
          <w:color w:val="auto"/>
          <w:kern w:val="0"/>
          <w:szCs w:val="21"/>
          <w:lang w:eastAsia="zh-CN"/>
        </w:rPr>
        <w:t>m²</w:t>
      </w:r>
      <w:r>
        <w:rPr>
          <w:rFonts w:hint="default" w:ascii="Times New Roman" w:hAnsi="Times New Roman" w:cs="Times New Roman"/>
          <w:color w:val="auto"/>
          <w:kern w:val="0"/>
          <w:szCs w:val="21"/>
        </w:rPr>
        <w:t>），本次取314 c</w:t>
      </w:r>
      <w:r>
        <w:rPr>
          <w:rFonts w:hint="eastAsia" w:cs="Times New Roman"/>
          <w:color w:val="auto"/>
          <w:kern w:val="0"/>
          <w:szCs w:val="21"/>
          <w:lang w:eastAsia="zh-CN"/>
        </w:rPr>
        <w:t>m²</w:t>
      </w:r>
      <w:r>
        <w:rPr>
          <w:rFonts w:hint="default" w:ascii="Times New Roman" w:hAnsi="Times New Roman" w:cs="Times New Roman"/>
          <w:color w:val="auto"/>
          <w:kern w:val="0"/>
          <w:szCs w:val="21"/>
        </w:rPr>
        <w:t>；</w:t>
      </w:r>
    </w:p>
    <w:p w14:paraId="0E2C8D97">
      <w:pPr>
        <w:widowControl/>
        <w:ind w:firstLine="720" w:firstLineChars="3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H—试验水头（cm），本次取10 cm；</w:t>
      </w:r>
    </w:p>
    <w:p w14:paraId="254B20C3">
      <w:pPr>
        <w:widowControl/>
        <w:ind w:firstLine="720" w:firstLineChars="3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Z—下渗深度（cm）；</w:t>
      </w:r>
    </w:p>
    <w:p w14:paraId="09D8BA9C">
      <w:pPr>
        <w:ind w:firstLine="679" w:firstLineChars="283"/>
        <w:rPr>
          <w:rFonts w:hint="default" w:ascii="Times New Roman" w:hAnsi="Times New Roman" w:cs="Times New Roman"/>
          <w:color w:val="auto"/>
        </w:rPr>
      </w:pPr>
      <w:r>
        <w:rPr>
          <w:rFonts w:hint="default" w:ascii="Times New Roman" w:hAnsi="Times New Roman" w:cs="Times New Roman"/>
          <w:color w:val="auto"/>
          <w:kern w:val="0"/>
          <w:szCs w:val="21"/>
        </w:rPr>
        <w:t>Ha—试验土层的毛细上升高度（cm），本次取270 cm。</w:t>
      </w:r>
    </w:p>
    <w:p w14:paraId="64E2C112">
      <w:pPr>
        <w:ind w:firstLine="480"/>
        <w:rPr>
          <w:rFonts w:hint="default" w:ascii="Times New Roman" w:hAnsi="Times New Roman" w:cs="Times New Roman"/>
          <w:color w:val="auto"/>
        </w:rPr>
      </w:pPr>
      <w:r>
        <w:rPr>
          <w:rFonts w:hint="default" w:ascii="Times New Roman" w:hAnsi="Times New Roman" w:cs="Times New Roman"/>
          <w:color w:val="auto"/>
        </w:rPr>
        <w:t>工作区包气带粉质粘土渗水试验结果见</w:t>
      </w:r>
      <w:r>
        <w:rPr>
          <w:rFonts w:hint="eastAsia" w:ascii="Times New Roman" w:hAnsi="Times New Roman" w:cs="Times New Roman"/>
          <w:color w:val="auto"/>
          <w:lang w:val="en-US" w:eastAsia="zh-CN"/>
        </w:rPr>
        <w:t>表3.2-15</w:t>
      </w:r>
      <w:r>
        <w:rPr>
          <w:rFonts w:hint="default" w:ascii="Times New Roman" w:hAnsi="Times New Roman" w:cs="Times New Roman"/>
          <w:color w:val="auto"/>
        </w:rPr>
        <w:t>。通过现场2处双环渗水试验，项目区内粉质粘土层的渗透系数为0.135～0.161 m/d（1.56×10</w:t>
      </w:r>
      <w:r>
        <w:rPr>
          <w:rFonts w:hint="default" w:ascii="Times New Roman" w:hAnsi="Times New Roman" w:cs="Times New Roman"/>
          <w:color w:val="auto"/>
          <w:vertAlign w:val="superscript"/>
        </w:rPr>
        <w:t>-4</w:t>
      </w:r>
      <w:r>
        <w:rPr>
          <w:rFonts w:hint="default" w:ascii="Times New Roman" w:hAnsi="Times New Roman" w:cs="Times New Roman"/>
          <w:color w:val="auto"/>
        </w:rPr>
        <w:t>～1.86×10</w:t>
      </w:r>
      <w:r>
        <w:rPr>
          <w:rFonts w:hint="default" w:ascii="Times New Roman" w:hAnsi="Times New Roman" w:cs="Times New Roman"/>
          <w:color w:val="auto"/>
          <w:vertAlign w:val="superscript"/>
        </w:rPr>
        <w:t>-4</w:t>
      </w:r>
      <w:r>
        <w:rPr>
          <w:rFonts w:hint="default" w:ascii="Times New Roman" w:hAnsi="Times New Roman" w:cs="Times New Roman"/>
          <w:color w:val="auto"/>
        </w:rPr>
        <w:t>cm/s），渗透性等级为弱透水。</w:t>
      </w:r>
    </w:p>
    <w:p w14:paraId="3C764AE0">
      <w:pPr>
        <w:pStyle w:val="19"/>
        <w:numPr>
          <w:ilvl w:val="0"/>
          <w:numId w:val="28"/>
        </w:numPr>
        <w:bidi w:val="0"/>
        <w:rPr>
          <w:rFonts w:cs="Times New Roman"/>
          <w:color w:val="auto"/>
        </w:rPr>
      </w:pPr>
      <w:r>
        <w:rPr>
          <w:rFonts w:cs="Times New Roman"/>
          <w:color w:val="auto"/>
        </w:rPr>
        <w:t>双环渗水试验成果表</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93"/>
        <w:gridCol w:w="958"/>
        <w:gridCol w:w="1928"/>
        <w:gridCol w:w="957"/>
        <w:gridCol w:w="1642"/>
        <w:gridCol w:w="910"/>
        <w:gridCol w:w="805"/>
        <w:gridCol w:w="1047"/>
      </w:tblGrid>
      <w:tr w14:paraId="6A3D62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7" w:type="pct"/>
            <w:tcBorders>
              <w:tl2br w:val="nil"/>
              <w:tr2bl w:val="nil"/>
            </w:tcBorders>
            <w:shd w:val="clear" w:color="auto" w:fill="auto"/>
            <w:noWrap/>
            <w:tcMar>
              <w:left w:w="57" w:type="dxa"/>
              <w:right w:w="57" w:type="dxa"/>
            </w:tcMar>
            <w:vAlign w:val="center"/>
          </w:tcPr>
          <w:p w14:paraId="0D509508">
            <w:pPr>
              <w:pStyle w:val="714"/>
              <w:rPr>
                <w:b/>
                <w:bCs/>
                <w:color w:val="auto"/>
              </w:rPr>
            </w:pPr>
            <w:r>
              <w:rPr>
                <w:rFonts w:hint="eastAsia"/>
                <w:b/>
                <w:bCs/>
                <w:color w:val="auto"/>
              </w:rPr>
              <w:t>编号</w:t>
            </w:r>
          </w:p>
        </w:tc>
        <w:tc>
          <w:tcPr>
            <w:tcW w:w="570" w:type="pct"/>
            <w:tcBorders>
              <w:tl2br w:val="nil"/>
              <w:tr2bl w:val="nil"/>
            </w:tcBorders>
            <w:shd w:val="clear" w:color="auto" w:fill="auto"/>
            <w:noWrap/>
            <w:tcMar>
              <w:left w:w="57" w:type="dxa"/>
              <w:right w:w="57" w:type="dxa"/>
            </w:tcMar>
            <w:vAlign w:val="center"/>
          </w:tcPr>
          <w:p w14:paraId="63C2273B">
            <w:pPr>
              <w:pStyle w:val="714"/>
              <w:rPr>
                <w:b/>
                <w:bCs/>
                <w:color w:val="auto"/>
              </w:rPr>
            </w:pPr>
            <w:r>
              <w:rPr>
                <w:rFonts w:hint="eastAsia"/>
                <w:b/>
                <w:bCs/>
                <w:color w:val="auto"/>
              </w:rPr>
              <w:t>岩性特征</w:t>
            </w:r>
          </w:p>
        </w:tc>
        <w:tc>
          <w:tcPr>
            <w:tcW w:w="665" w:type="pct"/>
            <w:tcBorders>
              <w:tl2br w:val="nil"/>
              <w:tr2bl w:val="nil"/>
            </w:tcBorders>
            <w:shd w:val="clear" w:color="auto" w:fill="auto"/>
            <w:noWrap/>
            <w:tcMar>
              <w:left w:w="57" w:type="dxa"/>
              <w:right w:w="57" w:type="dxa"/>
            </w:tcMar>
            <w:vAlign w:val="center"/>
          </w:tcPr>
          <w:p w14:paraId="1AFC89F0">
            <w:pPr>
              <w:pStyle w:val="714"/>
              <w:rPr>
                <w:b/>
                <w:bCs/>
                <w:color w:val="auto"/>
              </w:rPr>
            </w:pPr>
            <w:r>
              <w:rPr>
                <w:rFonts w:hint="eastAsia"/>
                <w:b/>
                <w:bCs/>
                <w:color w:val="auto"/>
              </w:rPr>
              <w:t>稳定流量（L/min）</w:t>
            </w:r>
          </w:p>
        </w:tc>
        <w:tc>
          <w:tcPr>
            <w:tcW w:w="665" w:type="pct"/>
            <w:tcBorders>
              <w:tl2br w:val="nil"/>
              <w:tr2bl w:val="nil"/>
            </w:tcBorders>
            <w:shd w:val="clear" w:color="auto" w:fill="auto"/>
            <w:tcMar>
              <w:left w:w="57" w:type="dxa"/>
              <w:right w:w="57" w:type="dxa"/>
            </w:tcMar>
            <w:vAlign w:val="center"/>
          </w:tcPr>
          <w:p w14:paraId="726FF533">
            <w:pPr>
              <w:pStyle w:val="714"/>
              <w:rPr>
                <w:b/>
                <w:bCs/>
                <w:color w:val="auto"/>
              </w:rPr>
            </w:pPr>
            <w:r>
              <w:rPr>
                <w:rFonts w:hint="eastAsia"/>
                <w:b/>
                <w:bCs/>
                <w:color w:val="auto"/>
              </w:rPr>
              <w:t>H试验水头（cm）</w:t>
            </w:r>
          </w:p>
        </w:tc>
        <w:tc>
          <w:tcPr>
            <w:tcW w:w="1003" w:type="pct"/>
            <w:tcBorders>
              <w:tl2br w:val="nil"/>
              <w:tr2bl w:val="nil"/>
            </w:tcBorders>
            <w:shd w:val="clear" w:color="auto" w:fill="auto"/>
            <w:tcMar>
              <w:left w:w="57" w:type="dxa"/>
              <w:right w:w="57" w:type="dxa"/>
            </w:tcMar>
            <w:vAlign w:val="center"/>
          </w:tcPr>
          <w:p w14:paraId="7940416D">
            <w:pPr>
              <w:pStyle w:val="714"/>
              <w:rPr>
                <w:b/>
                <w:bCs/>
                <w:color w:val="auto"/>
              </w:rPr>
            </w:pPr>
            <w:r>
              <w:rPr>
                <w:rFonts w:hint="eastAsia"/>
                <w:b/>
                <w:bCs/>
                <w:color w:val="auto"/>
              </w:rPr>
              <w:t>Ha毛细上升高度（cm）150-400</w:t>
            </w:r>
          </w:p>
        </w:tc>
        <w:tc>
          <w:tcPr>
            <w:tcW w:w="492" w:type="pct"/>
            <w:tcBorders>
              <w:tl2br w:val="nil"/>
              <w:tr2bl w:val="nil"/>
            </w:tcBorders>
            <w:shd w:val="clear" w:color="auto" w:fill="auto"/>
            <w:tcMar>
              <w:left w:w="57" w:type="dxa"/>
              <w:right w:w="57" w:type="dxa"/>
            </w:tcMar>
            <w:vAlign w:val="center"/>
          </w:tcPr>
          <w:p w14:paraId="7E50ED92">
            <w:pPr>
              <w:pStyle w:val="714"/>
              <w:rPr>
                <w:b/>
                <w:bCs/>
                <w:color w:val="auto"/>
              </w:rPr>
            </w:pPr>
            <w:r>
              <w:rPr>
                <w:rFonts w:hint="eastAsia"/>
                <w:b/>
                <w:bCs/>
                <w:color w:val="auto"/>
              </w:rPr>
              <w:t>F</w:t>
            </w:r>
          </w:p>
          <w:p w14:paraId="305F82CA">
            <w:pPr>
              <w:pStyle w:val="714"/>
              <w:rPr>
                <w:b/>
                <w:bCs/>
                <w:color w:val="auto"/>
              </w:rPr>
            </w:pPr>
            <w:r>
              <w:rPr>
                <w:rFonts w:hint="eastAsia"/>
                <w:b/>
                <w:bCs/>
                <w:color w:val="auto"/>
              </w:rPr>
              <w:t>（c</w:t>
            </w:r>
            <w:r>
              <w:rPr>
                <w:rFonts w:hint="eastAsia"/>
                <w:b/>
                <w:bCs/>
                <w:color w:val="auto"/>
                <w:lang w:eastAsia="zh-CN"/>
              </w:rPr>
              <w:t>m²</w:t>
            </w:r>
            <w:r>
              <w:rPr>
                <w:rFonts w:hint="eastAsia"/>
                <w:b/>
                <w:bCs/>
                <w:color w:val="auto"/>
              </w:rPr>
              <w:t>）</w:t>
            </w:r>
          </w:p>
        </w:tc>
        <w:tc>
          <w:tcPr>
            <w:tcW w:w="498" w:type="pct"/>
            <w:tcBorders>
              <w:tl2br w:val="nil"/>
              <w:tr2bl w:val="nil"/>
            </w:tcBorders>
            <w:shd w:val="clear" w:color="auto" w:fill="auto"/>
            <w:tcMar>
              <w:left w:w="57" w:type="dxa"/>
              <w:right w:w="57" w:type="dxa"/>
            </w:tcMar>
            <w:vAlign w:val="center"/>
          </w:tcPr>
          <w:p w14:paraId="0E71406A">
            <w:pPr>
              <w:pStyle w:val="714"/>
              <w:rPr>
                <w:b/>
                <w:bCs/>
                <w:color w:val="auto"/>
              </w:rPr>
            </w:pPr>
            <w:r>
              <w:rPr>
                <w:rFonts w:hint="eastAsia"/>
                <w:b/>
                <w:bCs/>
                <w:color w:val="auto"/>
              </w:rPr>
              <w:t>Z</w:t>
            </w:r>
          </w:p>
          <w:p w14:paraId="6B2F0D2E">
            <w:pPr>
              <w:pStyle w:val="714"/>
              <w:rPr>
                <w:b/>
                <w:bCs/>
                <w:color w:val="auto"/>
              </w:rPr>
            </w:pPr>
            <w:r>
              <w:rPr>
                <w:rFonts w:hint="eastAsia"/>
                <w:b/>
                <w:bCs/>
                <w:color w:val="auto"/>
              </w:rPr>
              <w:t>（cm）</w:t>
            </w:r>
          </w:p>
        </w:tc>
        <w:tc>
          <w:tcPr>
            <w:tcW w:w="697" w:type="pct"/>
            <w:tcBorders>
              <w:tl2br w:val="nil"/>
              <w:tr2bl w:val="nil"/>
            </w:tcBorders>
            <w:shd w:val="clear" w:color="auto" w:fill="auto"/>
            <w:tcMar>
              <w:left w:w="57" w:type="dxa"/>
              <w:right w:w="57" w:type="dxa"/>
            </w:tcMar>
            <w:vAlign w:val="center"/>
          </w:tcPr>
          <w:p w14:paraId="69BFAD20">
            <w:pPr>
              <w:pStyle w:val="714"/>
              <w:rPr>
                <w:rFonts w:hint="eastAsia" w:eastAsiaTheme="majorEastAsia"/>
                <w:b/>
                <w:bCs/>
                <w:color w:val="auto"/>
                <w:lang w:eastAsia="zh-CN"/>
              </w:rPr>
            </w:pPr>
            <w:r>
              <w:rPr>
                <w:rFonts w:hint="eastAsia"/>
                <w:b/>
                <w:bCs/>
                <w:color w:val="auto"/>
              </w:rPr>
              <w:t>K渗透系数</w:t>
            </w:r>
            <w:r>
              <w:rPr>
                <w:rFonts w:hint="eastAsia"/>
                <w:b/>
                <w:bCs/>
                <w:color w:val="auto"/>
                <w:lang w:eastAsia="zh-CN"/>
              </w:rPr>
              <w:t>（</w:t>
            </w:r>
            <w:r>
              <w:rPr>
                <w:rFonts w:hint="eastAsia"/>
                <w:b/>
                <w:bCs/>
                <w:color w:val="auto"/>
              </w:rPr>
              <w:t>cm/s</w:t>
            </w:r>
            <w:r>
              <w:rPr>
                <w:rFonts w:hint="eastAsia"/>
                <w:b/>
                <w:bCs/>
                <w:color w:val="auto"/>
                <w:lang w:eastAsia="zh-CN"/>
              </w:rPr>
              <w:t>）</w:t>
            </w:r>
          </w:p>
        </w:tc>
      </w:tr>
      <w:tr w14:paraId="0A535B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7" w:type="pct"/>
            <w:tcBorders>
              <w:tl2br w:val="nil"/>
              <w:tr2bl w:val="nil"/>
            </w:tcBorders>
            <w:shd w:val="clear" w:color="auto" w:fill="auto"/>
            <w:noWrap/>
            <w:tcMar>
              <w:left w:w="57" w:type="dxa"/>
              <w:right w:w="57" w:type="dxa"/>
            </w:tcMar>
            <w:vAlign w:val="center"/>
          </w:tcPr>
          <w:p w14:paraId="66DCB437">
            <w:pPr>
              <w:pStyle w:val="714"/>
              <w:rPr>
                <w:color w:val="auto"/>
              </w:rPr>
            </w:pPr>
            <w:r>
              <w:rPr>
                <w:rFonts w:hint="eastAsia"/>
                <w:color w:val="auto"/>
              </w:rPr>
              <w:t>SH01</w:t>
            </w:r>
          </w:p>
        </w:tc>
        <w:tc>
          <w:tcPr>
            <w:tcW w:w="570" w:type="pct"/>
            <w:tcBorders>
              <w:tl2br w:val="nil"/>
              <w:tr2bl w:val="nil"/>
            </w:tcBorders>
            <w:shd w:val="clear" w:color="auto" w:fill="auto"/>
            <w:noWrap/>
            <w:tcMar>
              <w:left w:w="57" w:type="dxa"/>
              <w:right w:w="57" w:type="dxa"/>
            </w:tcMar>
            <w:vAlign w:val="center"/>
          </w:tcPr>
          <w:p w14:paraId="1A50B141">
            <w:pPr>
              <w:pStyle w:val="714"/>
              <w:rPr>
                <w:color w:val="auto"/>
              </w:rPr>
            </w:pPr>
            <w:r>
              <w:rPr>
                <w:rFonts w:hint="eastAsia"/>
                <w:color w:val="auto"/>
              </w:rPr>
              <w:t>粉质粘土</w:t>
            </w:r>
          </w:p>
        </w:tc>
        <w:tc>
          <w:tcPr>
            <w:tcW w:w="665" w:type="pct"/>
            <w:tcBorders>
              <w:tl2br w:val="nil"/>
              <w:tr2bl w:val="nil"/>
            </w:tcBorders>
            <w:shd w:val="clear" w:color="auto" w:fill="auto"/>
            <w:noWrap/>
            <w:tcMar>
              <w:left w:w="57" w:type="dxa"/>
              <w:right w:w="57" w:type="dxa"/>
            </w:tcMar>
            <w:vAlign w:val="center"/>
          </w:tcPr>
          <w:p w14:paraId="33F2E1D5">
            <w:pPr>
              <w:pStyle w:val="714"/>
              <w:rPr>
                <w:color w:val="auto"/>
              </w:rPr>
            </w:pPr>
            <w:r>
              <w:rPr>
                <w:rFonts w:hint="eastAsia"/>
                <w:color w:val="auto"/>
              </w:rPr>
              <w:t>0.01526</w:t>
            </w:r>
          </w:p>
        </w:tc>
        <w:tc>
          <w:tcPr>
            <w:tcW w:w="665" w:type="pct"/>
            <w:tcBorders>
              <w:tl2br w:val="nil"/>
              <w:tr2bl w:val="nil"/>
            </w:tcBorders>
            <w:shd w:val="clear" w:color="auto" w:fill="auto"/>
            <w:tcMar>
              <w:left w:w="57" w:type="dxa"/>
              <w:right w:w="57" w:type="dxa"/>
            </w:tcMar>
            <w:vAlign w:val="center"/>
          </w:tcPr>
          <w:p w14:paraId="7F5DD9A8">
            <w:pPr>
              <w:pStyle w:val="714"/>
              <w:rPr>
                <w:color w:val="auto"/>
              </w:rPr>
            </w:pPr>
            <w:r>
              <w:rPr>
                <w:rFonts w:hint="eastAsia"/>
                <w:color w:val="auto"/>
              </w:rPr>
              <w:t>10</w:t>
            </w:r>
          </w:p>
        </w:tc>
        <w:tc>
          <w:tcPr>
            <w:tcW w:w="1003" w:type="pct"/>
            <w:tcBorders>
              <w:tl2br w:val="nil"/>
              <w:tr2bl w:val="nil"/>
            </w:tcBorders>
            <w:shd w:val="clear" w:color="auto" w:fill="auto"/>
            <w:tcMar>
              <w:left w:w="57" w:type="dxa"/>
              <w:right w:w="57" w:type="dxa"/>
            </w:tcMar>
            <w:vAlign w:val="center"/>
          </w:tcPr>
          <w:p w14:paraId="771D102C">
            <w:pPr>
              <w:pStyle w:val="714"/>
              <w:rPr>
                <w:color w:val="auto"/>
              </w:rPr>
            </w:pPr>
            <w:r>
              <w:rPr>
                <w:rFonts w:hint="eastAsia"/>
                <w:color w:val="auto"/>
              </w:rPr>
              <w:t>270</w:t>
            </w:r>
          </w:p>
        </w:tc>
        <w:tc>
          <w:tcPr>
            <w:tcW w:w="492" w:type="pct"/>
            <w:tcBorders>
              <w:tl2br w:val="nil"/>
              <w:tr2bl w:val="nil"/>
            </w:tcBorders>
            <w:shd w:val="clear" w:color="auto" w:fill="auto"/>
            <w:tcMar>
              <w:left w:w="57" w:type="dxa"/>
              <w:right w:w="57" w:type="dxa"/>
            </w:tcMar>
            <w:vAlign w:val="center"/>
          </w:tcPr>
          <w:p w14:paraId="18D2BA55">
            <w:pPr>
              <w:pStyle w:val="714"/>
              <w:rPr>
                <w:color w:val="auto"/>
              </w:rPr>
            </w:pPr>
            <w:r>
              <w:rPr>
                <w:rFonts w:hint="eastAsia"/>
                <w:color w:val="auto"/>
              </w:rPr>
              <w:t>490.625</w:t>
            </w:r>
          </w:p>
        </w:tc>
        <w:tc>
          <w:tcPr>
            <w:tcW w:w="498" w:type="pct"/>
            <w:tcBorders>
              <w:tl2br w:val="nil"/>
              <w:tr2bl w:val="nil"/>
            </w:tcBorders>
            <w:shd w:val="clear" w:color="auto" w:fill="auto"/>
            <w:noWrap/>
            <w:tcMar>
              <w:left w:w="57" w:type="dxa"/>
              <w:right w:w="57" w:type="dxa"/>
            </w:tcMar>
            <w:vAlign w:val="center"/>
          </w:tcPr>
          <w:p w14:paraId="240DE16A">
            <w:pPr>
              <w:pStyle w:val="714"/>
              <w:rPr>
                <w:color w:val="auto"/>
              </w:rPr>
            </w:pPr>
            <w:r>
              <w:rPr>
                <w:rFonts w:hint="eastAsia"/>
                <w:color w:val="auto"/>
              </w:rPr>
              <w:t>81</w:t>
            </w:r>
          </w:p>
        </w:tc>
        <w:tc>
          <w:tcPr>
            <w:tcW w:w="697" w:type="pct"/>
            <w:tcBorders>
              <w:tl2br w:val="nil"/>
              <w:tr2bl w:val="nil"/>
            </w:tcBorders>
            <w:shd w:val="clear" w:color="auto" w:fill="auto"/>
            <w:tcMar>
              <w:left w:w="57" w:type="dxa"/>
              <w:right w:w="57" w:type="dxa"/>
            </w:tcMar>
            <w:vAlign w:val="center"/>
          </w:tcPr>
          <w:p w14:paraId="1C420969">
            <w:pPr>
              <w:pStyle w:val="714"/>
              <w:rPr>
                <w:color w:val="auto"/>
              </w:rPr>
            </w:pPr>
            <w:r>
              <w:rPr>
                <w:rFonts w:hint="eastAsia"/>
                <w:color w:val="auto"/>
              </w:rPr>
              <w:t>1.86E-04</w:t>
            </w:r>
          </w:p>
        </w:tc>
      </w:tr>
      <w:tr w14:paraId="69CDCC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7" w:type="pct"/>
            <w:tcBorders>
              <w:tl2br w:val="nil"/>
              <w:tr2bl w:val="nil"/>
            </w:tcBorders>
            <w:shd w:val="clear" w:color="auto" w:fill="auto"/>
            <w:noWrap/>
            <w:tcMar>
              <w:left w:w="57" w:type="dxa"/>
              <w:right w:w="57" w:type="dxa"/>
            </w:tcMar>
            <w:vAlign w:val="center"/>
          </w:tcPr>
          <w:p w14:paraId="622329A5">
            <w:pPr>
              <w:pStyle w:val="714"/>
              <w:rPr>
                <w:color w:val="auto"/>
              </w:rPr>
            </w:pPr>
            <w:r>
              <w:rPr>
                <w:rFonts w:hint="eastAsia"/>
                <w:color w:val="auto"/>
              </w:rPr>
              <w:t>SH02</w:t>
            </w:r>
          </w:p>
        </w:tc>
        <w:tc>
          <w:tcPr>
            <w:tcW w:w="570" w:type="pct"/>
            <w:tcBorders>
              <w:tl2br w:val="nil"/>
              <w:tr2bl w:val="nil"/>
            </w:tcBorders>
            <w:shd w:val="clear" w:color="auto" w:fill="auto"/>
            <w:noWrap/>
            <w:tcMar>
              <w:left w:w="57" w:type="dxa"/>
              <w:right w:w="57" w:type="dxa"/>
            </w:tcMar>
            <w:vAlign w:val="center"/>
          </w:tcPr>
          <w:p w14:paraId="2D7DD519">
            <w:pPr>
              <w:pStyle w:val="714"/>
              <w:rPr>
                <w:color w:val="auto"/>
              </w:rPr>
            </w:pPr>
            <w:r>
              <w:rPr>
                <w:rFonts w:hint="eastAsia"/>
                <w:color w:val="auto"/>
              </w:rPr>
              <w:t>粉质粘土</w:t>
            </w:r>
          </w:p>
        </w:tc>
        <w:tc>
          <w:tcPr>
            <w:tcW w:w="665" w:type="pct"/>
            <w:tcBorders>
              <w:tl2br w:val="nil"/>
              <w:tr2bl w:val="nil"/>
            </w:tcBorders>
            <w:shd w:val="clear" w:color="auto" w:fill="auto"/>
            <w:noWrap/>
            <w:tcMar>
              <w:left w:w="57" w:type="dxa"/>
              <w:right w:w="57" w:type="dxa"/>
            </w:tcMar>
            <w:vAlign w:val="center"/>
          </w:tcPr>
          <w:p w14:paraId="4AEBE962">
            <w:pPr>
              <w:pStyle w:val="714"/>
              <w:rPr>
                <w:color w:val="auto"/>
              </w:rPr>
            </w:pPr>
            <w:r>
              <w:rPr>
                <w:rFonts w:hint="eastAsia"/>
                <w:color w:val="auto"/>
              </w:rPr>
              <w:t>0.01348</w:t>
            </w:r>
          </w:p>
        </w:tc>
        <w:tc>
          <w:tcPr>
            <w:tcW w:w="665" w:type="pct"/>
            <w:tcBorders>
              <w:tl2br w:val="nil"/>
              <w:tr2bl w:val="nil"/>
            </w:tcBorders>
            <w:shd w:val="clear" w:color="auto" w:fill="auto"/>
            <w:tcMar>
              <w:left w:w="57" w:type="dxa"/>
              <w:right w:w="57" w:type="dxa"/>
            </w:tcMar>
            <w:vAlign w:val="center"/>
          </w:tcPr>
          <w:p w14:paraId="2178DE93">
            <w:pPr>
              <w:pStyle w:val="714"/>
              <w:rPr>
                <w:color w:val="auto"/>
              </w:rPr>
            </w:pPr>
            <w:r>
              <w:rPr>
                <w:rFonts w:hint="eastAsia"/>
                <w:color w:val="auto"/>
              </w:rPr>
              <w:t>10</w:t>
            </w:r>
          </w:p>
        </w:tc>
        <w:tc>
          <w:tcPr>
            <w:tcW w:w="1003" w:type="pct"/>
            <w:tcBorders>
              <w:tl2br w:val="nil"/>
              <w:tr2bl w:val="nil"/>
            </w:tcBorders>
            <w:shd w:val="clear" w:color="auto" w:fill="auto"/>
            <w:tcMar>
              <w:left w:w="57" w:type="dxa"/>
              <w:right w:w="57" w:type="dxa"/>
            </w:tcMar>
            <w:vAlign w:val="center"/>
          </w:tcPr>
          <w:p w14:paraId="4C72BC20">
            <w:pPr>
              <w:pStyle w:val="714"/>
              <w:rPr>
                <w:color w:val="auto"/>
              </w:rPr>
            </w:pPr>
            <w:r>
              <w:rPr>
                <w:rFonts w:hint="eastAsia"/>
                <w:color w:val="auto"/>
              </w:rPr>
              <w:t>270</w:t>
            </w:r>
          </w:p>
        </w:tc>
        <w:tc>
          <w:tcPr>
            <w:tcW w:w="492" w:type="pct"/>
            <w:tcBorders>
              <w:tl2br w:val="nil"/>
              <w:tr2bl w:val="nil"/>
            </w:tcBorders>
            <w:shd w:val="clear" w:color="auto" w:fill="auto"/>
            <w:tcMar>
              <w:left w:w="57" w:type="dxa"/>
              <w:right w:w="57" w:type="dxa"/>
            </w:tcMar>
            <w:vAlign w:val="center"/>
          </w:tcPr>
          <w:p w14:paraId="15E81C4F">
            <w:pPr>
              <w:pStyle w:val="714"/>
              <w:rPr>
                <w:color w:val="auto"/>
              </w:rPr>
            </w:pPr>
            <w:r>
              <w:rPr>
                <w:rFonts w:hint="eastAsia"/>
                <w:color w:val="auto"/>
              </w:rPr>
              <w:t>490.625</w:t>
            </w:r>
          </w:p>
        </w:tc>
        <w:tc>
          <w:tcPr>
            <w:tcW w:w="498" w:type="pct"/>
            <w:tcBorders>
              <w:tl2br w:val="nil"/>
              <w:tr2bl w:val="nil"/>
            </w:tcBorders>
            <w:shd w:val="clear" w:color="auto" w:fill="auto"/>
            <w:noWrap/>
            <w:tcMar>
              <w:left w:w="57" w:type="dxa"/>
              <w:right w:w="57" w:type="dxa"/>
            </w:tcMar>
            <w:vAlign w:val="center"/>
          </w:tcPr>
          <w:p w14:paraId="59719054">
            <w:pPr>
              <w:pStyle w:val="714"/>
              <w:rPr>
                <w:color w:val="auto"/>
              </w:rPr>
            </w:pPr>
            <w:r>
              <w:rPr>
                <w:rFonts w:hint="eastAsia"/>
                <w:color w:val="auto"/>
              </w:rPr>
              <w:t>75</w:t>
            </w:r>
          </w:p>
        </w:tc>
        <w:tc>
          <w:tcPr>
            <w:tcW w:w="697" w:type="pct"/>
            <w:tcBorders>
              <w:tl2br w:val="nil"/>
              <w:tr2bl w:val="nil"/>
            </w:tcBorders>
            <w:shd w:val="clear" w:color="auto" w:fill="auto"/>
            <w:tcMar>
              <w:left w:w="57" w:type="dxa"/>
              <w:right w:w="57" w:type="dxa"/>
            </w:tcMar>
            <w:vAlign w:val="center"/>
          </w:tcPr>
          <w:p w14:paraId="04759DEE">
            <w:pPr>
              <w:pStyle w:val="714"/>
              <w:rPr>
                <w:color w:val="auto"/>
              </w:rPr>
            </w:pPr>
            <w:r>
              <w:rPr>
                <w:rFonts w:hint="eastAsia"/>
                <w:color w:val="auto"/>
              </w:rPr>
              <w:t>1.56E-04</w:t>
            </w:r>
          </w:p>
        </w:tc>
      </w:tr>
    </w:tbl>
    <w:p w14:paraId="2D4524B6">
      <w:pPr>
        <w:keepNext w:val="0"/>
        <w:keepLines w:val="0"/>
        <w:pageBreakBefore w:val="0"/>
        <w:widowControl w:val="0"/>
        <w:kinsoku/>
        <w:wordWrap/>
        <w:overflowPunct/>
        <w:topLinePunct w:val="0"/>
        <w:autoSpaceDE/>
        <w:autoSpaceDN/>
        <w:bidi w:val="0"/>
        <w:adjustRightInd/>
        <w:snapToGrid/>
        <w:spacing w:before="0" w:beforeLines="50"/>
        <w:textAlignment w:val="auto"/>
        <w:rPr>
          <w:b/>
          <w:bCs/>
          <w:color w:val="auto"/>
        </w:rPr>
      </w:pPr>
      <w:r>
        <w:rPr>
          <w:rFonts w:hint="eastAsia"/>
          <w:b/>
          <w:bCs/>
          <w:color w:val="auto"/>
          <w:lang w:val="en-US" w:eastAsia="zh-CN"/>
        </w:rPr>
        <w:t>5、</w:t>
      </w:r>
      <w:r>
        <w:rPr>
          <w:b/>
          <w:bCs/>
          <w:color w:val="auto"/>
        </w:rPr>
        <w:t>地下水化学特征</w:t>
      </w:r>
    </w:p>
    <w:p w14:paraId="09DD0674">
      <w:pPr>
        <w:ind w:firstLine="480"/>
        <w:rPr>
          <w:color w:val="auto"/>
        </w:rPr>
      </w:pPr>
      <w:r>
        <w:rPr>
          <w:color w:val="auto"/>
        </w:rPr>
        <w:t>为了查明评价区地下水水化学特征，项目组对评价区地下水水质分析结果中的宏量组分进行分析。根据各水样水化学常量组分监测结果统计（表</w:t>
      </w:r>
      <w:r>
        <w:rPr>
          <w:rFonts w:hint="eastAsia" w:eastAsia="黑体"/>
          <w:color w:val="auto"/>
          <w:lang w:val="en-US" w:eastAsia="zh-CN"/>
        </w:rPr>
        <w:t>3.2-16</w:t>
      </w:r>
      <w:r>
        <w:rPr>
          <w:color w:val="auto"/>
        </w:rPr>
        <w:t>），本项目所在区域地下水矿化度在</w:t>
      </w:r>
      <w:r>
        <w:rPr>
          <w:rFonts w:hint="eastAsia"/>
          <w:color w:val="auto"/>
        </w:rPr>
        <w:t>104</w:t>
      </w:r>
      <w:r>
        <w:rPr>
          <w:color w:val="auto"/>
        </w:rPr>
        <w:t>～</w:t>
      </w:r>
      <w:r>
        <w:rPr>
          <w:rFonts w:hint="eastAsia"/>
          <w:color w:val="auto"/>
        </w:rPr>
        <w:t>925</w:t>
      </w:r>
      <w:r>
        <w:rPr>
          <w:color w:val="auto"/>
        </w:rPr>
        <w:t xml:space="preserve"> mg/L，均&lt;1g/L，属于低矿化度水；pH介于6.9～7.</w:t>
      </w:r>
      <w:r>
        <w:rPr>
          <w:rFonts w:hint="eastAsia"/>
          <w:color w:val="auto"/>
        </w:rPr>
        <w:t>2</w:t>
      </w:r>
      <w:r>
        <w:rPr>
          <w:color w:val="auto"/>
        </w:rPr>
        <w:t>，呈弱酸-弱碱性。地下水水样水化学类型为HCO</w:t>
      </w:r>
      <w:r>
        <w:rPr>
          <w:color w:val="auto"/>
          <w:vertAlign w:val="subscript"/>
        </w:rPr>
        <w:t>3</w:t>
      </w:r>
      <w:r>
        <w:rPr>
          <w:color w:val="auto"/>
        </w:rPr>
        <w:t>-Ca•Mg型，本项目区地下水Piper三线图见图</w:t>
      </w:r>
      <w:r>
        <w:rPr>
          <w:rFonts w:hint="eastAsia" w:eastAsia="黑体"/>
          <w:color w:val="auto"/>
          <w:lang w:val="en-US" w:eastAsia="zh-CN"/>
        </w:rPr>
        <w:t>3.2</w:t>
      </w:r>
      <w:r>
        <w:rPr>
          <w:rFonts w:eastAsia="黑体"/>
          <w:color w:val="auto"/>
        </w:rPr>
        <w:t>-</w:t>
      </w:r>
      <w:r>
        <w:rPr>
          <w:color w:val="auto"/>
        </w:rPr>
        <w:t>2。</w:t>
      </w:r>
    </w:p>
    <w:p w14:paraId="67204E8E">
      <w:pPr>
        <w:pStyle w:val="19"/>
        <w:numPr>
          <w:ilvl w:val="0"/>
          <w:numId w:val="28"/>
        </w:numPr>
        <w:bidi w:val="0"/>
        <w:rPr>
          <w:rFonts w:cs="Times New Roman"/>
          <w:color w:val="auto"/>
        </w:rPr>
      </w:pPr>
      <w:r>
        <w:rPr>
          <w:rFonts w:cs="Times New Roman"/>
          <w:color w:val="auto"/>
        </w:rPr>
        <w:t>水样水化学常量组分监测结果</w:t>
      </w:r>
      <w:r>
        <w:rPr>
          <w:rFonts w:hint="eastAsia" w:cs="Times New Roman"/>
          <w:color w:val="auto"/>
          <w:lang w:eastAsia="zh-CN"/>
        </w:rPr>
        <w:t>（</w:t>
      </w:r>
      <w:r>
        <w:rPr>
          <w:rFonts w:cs="Times New Roman"/>
          <w:color w:val="auto"/>
        </w:rPr>
        <w:t>mg/L</w:t>
      </w:r>
      <w:r>
        <w:rPr>
          <w:rFonts w:hint="eastAsia" w:cs="Times New Roman"/>
          <w:color w:val="auto"/>
          <w:lang w:eastAsia="zh-CN"/>
        </w:rPr>
        <w:t>）</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4"/>
        <w:gridCol w:w="765"/>
        <w:gridCol w:w="549"/>
        <w:gridCol w:w="537"/>
        <w:gridCol w:w="605"/>
        <w:gridCol w:w="605"/>
        <w:gridCol w:w="720"/>
        <w:gridCol w:w="720"/>
        <w:gridCol w:w="1022"/>
        <w:gridCol w:w="597"/>
        <w:gridCol w:w="616"/>
        <w:gridCol w:w="1446"/>
      </w:tblGrid>
      <w:tr w14:paraId="523859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48537484">
            <w:pPr>
              <w:pStyle w:val="714"/>
              <w:rPr>
                <w:b/>
                <w:bCs/>
                <w:color w:val="auto"/>
              </w:rPr>
            </w:pPr>
            <w:r>
              <w:rPr>
                <w:rFonts w:hint="eastAsia"/>
                <w:b/>
                <w:bCs/>
                <w:color w:val="auto"/>
              </w:rPr>
              <w:t>监测项目</w:t>
            </w:r>
          </w:p>
        </w:tc>
        <w:tc>
          <w:tcPr>
            <w:tcW w:w="435" w:type="pct"/>
            <w:tcBorders>
              <w:tl2br w:val="nil"/>
              <w:tr2bl w:val="nil"/>
            </w:tcBorders>
            <w:shd w:val="clear" w:color="auto" w:fill="auto"/>
            <w:tcMar>
              <w:left w:w="28" w:type="dxa"/>
              <w:right w:w="28" w:type="dxa"/>
            </w:tcMar>
            <w:vAlign w:val="center"/>
          </w:tcPr>
          <w:p w14:paraId="1F0B8003">
            <w:pPr>
              <w:pStyle w:val="714"/>
              <w:rPr>
                <w:b/>
                <w:bCs/>
                <w:color w:val="auto"/>
              </w:rPr>
            </w:pPr>
            <w:r>
              <w:rPr>
                <w:rFonts w:hint="eastAsia"/>
                <w:b/>
                <w:bCs/>
                <w:color w:val="auto"/>
              </w:rPr>
              <w:t>pH值</w:t>
            </w:r>
          </w:p>
        </w:tc>
        <w:tc>
          <w:tcPr>
            <w:tcW w:w="312" w:type="pct"/>
            <w:tcBorders>
              <w:tl2br w:val="nil"/>
              <w:tr2bl w:val="nil"/>
            </w:tcBorders>
            <w:shd w:val="clear" w:color="auto" w:fill="auto"/>
            <w:tcMar>
              <w:left w:w="28" w:type="dxa"/>
              <w:right w:w="28" w:type="dxa"/>
            </w:tcMar>
            <w:vAlign w:val="center"/>
          </w:tcPr>
          <w:p w14:paraId="38307CFF">
            <w:pPr>
              <w:pStyle w:val="714"/>
              <w:rPr>
                <w:b/>
                <w:bCs/>
                <w:color w:val="auto"/>
              </w:rPr>
            </w:pPr>
            <w:r>
              <w:rPr>
                <w:rFonts w:hint="eastAsia"/>
                <w:b/>
                <w:bCs/>
                <w:color w:val="auto"/>
              </w:rPr>
              <w:t xml:space="preserve">钾 </w:t>
            </w:r>
          </w:p>
        </w:tc>
        <w:tc>
          <w:tcPr>
            <w:tcW w:w="305" w:type="pct"/>
            <w:tcBorders>
              <w:tl2br w:val="nil"/>
              <w:tr2bl w:val="nil"/>
            </w:tcBorders>
            <w:shd w:val="clear" w:color="auto" w:fill="auto"/>
            <w:tcMar>
              <w:left w:w="28" w:type="dxa"/>
              <w:right w:w="28" w:type="dxa"/>
            </w:tcMar>
            <w:vAlign w:val="center"/>
          </w:tcPr>
          <w:p w14:paraId="45B00A1E">
            <w:pPr>
              <w:pStyle w:val="714"/>
              <w:rPr>
                <w:b/>
                <w:bCs/>
                <w:color w:val="auto"/>
              </w:rPr>
            </w:pPr>
            <w:r>
              <w:rPr>
                <w:rFonts w:hint="eastAsia"/>
                <w:b/>
                <w:bCs/>
                <w:color w:val="auto"/>
              </w:rPr>
              <w:t xml:space="preserve">钠 </w:t>
            </w:r>
          </w:p>
        </w:tc>
        <w:tc>
          <w:tcPr>
            <w:tcW w:w="344" w:type="pct"/>
            <w:tcBorders>
              <w:tl2br w:val="nil"/>
              <w:tr2bl w:val="nil"/>
            </w:tcBorders>
            <w:shd w:val="clear" w:color="auto" w:fill="auto"/>
            <w:tcMar>
              <w:left w:w="28" w:type="dxa"/>
              <w:right w:w="28" w:type="dxa"/>
            </w:tcMar>
            <w:vAlign w:val="center"/>
          </w:tcPr>
          <w:p w14:paraId="2B8EC957">
            <w:pPr>
              <w:pStyle w:val="714"/>
              <w:rPr>
                <w:b/>
                <w:bCs/>
                <w:color w:val="auto"/>
              </w:rPr>
            </w:pPr>
            <w:r>
              <w:rPr>
                <w:rFonts w:hint="eastAsia"/>
                <w:b/>
                <w:bCs/>
                <w:color w:val="auto"/>
              </w:rPr>
              <w:t xml:space="preserve">钙 </w:t>
            </w:r>
          </w:p>
        </w:tc>
        <w:tc>
          <w:tcPr>
            <w:tcW w:w="344" w:type="pct"/>
            <w:tcBorders>
              <w:tl2br w:val="nil"/>
              <w:tr2bl w:val="nil"/>
            </w:tcBorders>
            <w:shd w:val="clear" w:color="auto" w:fill="auto"/>
            <w:tcMar>
              <w:left w:w="28" w:type="dxa"/>
              <w:right w:w="28" w:type="dxa"/>
            </w:tcMar>
            <w:vAlign w:val="center"/>
          </w:tcPr>
          <w:p w14:paraId="61B44E92">
            <w:pPr>
              <w:pStyle w:val="714"/>
              <w:rPr>
                <w:b/>
                <w:bCs/>
                <w:color w:val="auto"/>
              </w:rPr>
            </w:pPr>
            <w:r>
              <w:rPr>
                <w:rFonts w:hint="eastAsia"/>
                <w:b/>
                <w:bCs/>
                <w:color w:val="auto"/>
              </w:rPr>
              <w:t xml:space="preserve">镁 </w:t>
            </w:r>
          </w:p>
        </w:tc>
        <w:tc>
          <w:tcPr>
            <w:tcW w:w="409" w:type="pct"/>
            <w:tcBorders>
              <w:tl2br w:val="nil"/>
              <w:tr2bl w:val="nil"/>
            </w:tcBorders>
            <w:shd w:val="clear" w:color="auto" w:fill="auto"/>
            <w:noWrap/>
            <w:tcMar>
              <w:left w:w="28" w:type="dxa"/>
              <w:right w:w="28" w:type="dxa"/>
            </w:tcMar>
            <w:vAlign w:val="center"/>
          </w:tcPr>
          <w:p w14:paraId="5FF24EC8">
            <w:pPr>
              <w:pStyle w:val="714"/>
              <w:rPr>
                <w:b/>
                <w:bCs/>
                <w:color w:val="auto"/>
              </w:rPr>
            </w:pPr>
            <w:r>
              <w:rPr>
                <w:rFonts w:hint="eastAsia"/>
                <w:b/>
                <w:bCs/>
                <w:color w:val="auto"/>
              </w:rPr>
              <w:t>氯化物</w:t>
            </w:r>
          </w:p>
        </w:tc>
        <w:tc>
          <w:tcPr>
            <w:tcW w:w="409" w:type="pct"/>
            <w:tcBorders>
              <w:tl2br w:val="nil"/>
              <w:tr2bl w:val="nil"/>
            </w:tcBorders>
            <w:shd w:val="clear" w:color="auto" w:fill="auto"/>
            <w:noWrap/>
            <w:tcMar>
              <w:left w:w="28" w:type="dxa"/>
              <w:right w:w="28" w:type="dxa"/>
            </w:tcMar>
            <w:vAlign w:val="center"/>
          </w:tcPr>
          <w:p w14:paraId="5F68F99B">
            <w:pPr>
              <w:pStyle w:val="714"/>
              <w:rPr>
                <w:b/>
                <w:bCs/>
                <w:color w:val="auto"/>
              </w:rPr>
            </w:pPr>
            <w:r>
              <w:rPr>
                <w:rFonts w:hint="eastAsia"/>
                <w:b/>
                <w:bCs/>
                <w:color w:val="auto"/>
              </w:rPr>
              <w:t>硫酸盐</w:t>
            </w:r>
          </w:p>
        </w:tc>
        <w:tc>
          <w:tcPr>
            <w:tcW w:w="581" w:type="pct"/>
            <w:tcBorders>
              <w:tl2br w:val="nil"/>
              <w:tr2bl w:val="nil"/>
            </w:tcBorders>
            <w:shd w:val="clear" w:color="auto" w:fill="auto"/>
            <w:tcMar>
              <w:left w:w="28" w:type="dxa"/>
              <w:right w:w="28" w:type="dxa"/>
            </w:tcMar>
            <w:vAlign w:val="center"/>
          </w:tcPr>
          <w:p w14:paraId="377A459E">
            <w:pPr>
              <w:pStyle w:val="714"/>
              <w:rPr>
                <w:b/>
                <w:bCs/>
                <w:color w:val="auto"/>
              </w:rPr>
            </w:pPr>
            <w:r>
              <w:rPr>
                <w:rFonts w:hint="eastAsia"/>
                <w:b/>
                <w:bCs/>
                <w:color w:val="auto"/>
              </w:rPr>
              <w:t>重碳酸根</w:t>
            </w:r>
          </w:p>
        </w:tc>
        <w:tc>
          <w:tcPr>
            <w:tcW w:w="339" w:type="pct"/>
            <w:tcBorders>
              <w:tl2br w:val="nil"/>
              <w:tr2bl w:val="nil"/>
            </w:tcBorders>
            <w:shd w:val="clear" w:color="auto" w:fill="auto"/>
            <w:tcMar>
              <w:left w:w="28" w:type="dxa"/>
              <w:right w:w="28" w:type="dxa"/>
            </w:tcMar>
            <w:vAlign w:val="center"/>
          </w:tcPr>
          <w:p w14:paraId="73A7032A">
            <w:pPr>
              <w:pStyle w:val="714"/>
              <w:rPr>
                <w:b/>
                <w:bCs/>
                <w:color w:val="auto"/>
              </w:rPr>
            </w:pPr>
            <w:r>
              <w:rPr>
                <w:rFonts w:hint="eastAsia"/>
                <w:b/>
                <w:bCs/>
                <w:color w:val="auto"/>
              </w:rPr>
              <w:t>碳酸根</w:t>
            </w:r>
          </w:p>
        </w:tc>
        <w:tc>
          <w:tcPr>
            <w:tcW w:w="350" w:type="pct"/>
            <w:tcBorders>
              <w:tl2br w:val="nil"/>
              <w:tr2bl w:val="nil"/>
            </w:tcBorders>
            <w:shd w:val="clear" w:color="auto" w:fill="auto"/>
            <w:noWrap/>
            <w:tcMar>
              <w:left w:w="28" w:type="dxa"/>
              <w:right w:w="28" w:type="dxa"/>
            </w:tcMar>
            <w:vAlign w:val="center"/>
          </w:tcPr>
          <w:p w14:paraId="3B629CC7">
            <w:pPr>
              <w:pStyle w:val="714"/>
              <w:rPr>
                <w:b/>
                <w:bCs/>
                <w:color w:val="auto"/>
              </w:rPr>
            </w:pPr>
            <w:r>
              <w:rPr>
                <w:rFonts w:hint="eastAsia"/>
                <w:b/>
                <w:bCs/>
                <w:color w:val="auto"/>
              </w:rPr>
              <w:t>TDS</w:t>
            </w:r>
          </w:p>
        </w:tc>
        <w:tc>
          <w:tcPr>
            <w:tcW w:w="822" w:type="pct"/>
            <w:vMerge w:val="restart"/>
            <w:tcBorders>
              <w:tl2br w:val="nil"/>
              <w:tr2bl w:val="nil"/>
            </w:tcBorders>
            <w:shd w:val="clear" w:color="auto" w:fill="auto"/>
            <w:noWrap/>
            <w:tcMar>
              <w:left w:w="28" w:type="dxa"/>
              <w:right w:w="28" w:type="dxa"/>
            </w:tcMar>
            <w:vAlign w:val="center"/>
          </w:tcPr>
          <w:p w14:paraId="2C7404C4">
            <w:pPr>
              <w:pStyle w:val="714"/>
              <w:rPr>
                <w:b/>
                <w:bCs/>
                <w:color w:val="auto"/>
              </w:rPr>
            </w:pPr>
            <w:r>
              <w:rPr>
                <w:rFonts w:hint="eastAsia"/>
                <w:b/>
                <w:bCs/>
                <w:color w:val="auto"/>
              </w:rPr>
              <w:t>水化学类型</w:t>
            </w:r>
          </w:p>
        </w:tc>
      </w:tr>
      <w:tr w14:paraId="0DE60B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31238AAF">
            <w:pPr>
              <w:pStyle w:val="714"/>
              <w:rPr>
                <w:b/>
                <w:bCs/>
                <w:color w:val="auto"/>
              </w:rPr>
            </w:pPr>
            <w:r>
              <w:rPr>
                <w:rFonts w:hint="eastAsia"/>
                <w:b/>
                <w:bCs/>
                <w:color w:val="auto"/>
              </w:rPr>
              <w:t>单位</w:t>
            </w:r>
          </w:p>
        </w:tc>
        <w:tc>
          <w:tcPr>
            <w:tcW w:w="435" w:type="pct"/>
            <w:tcBorders>
              <w:tl2br w:val="nil"/>
              <w:tr2bl w:val="nil"/>
            </w:tcBorders>
            <w:shd w:val="clear" w:color="auto" w:fill="auto"/>
            <w:tcMar>
              <w:left w:w="28" w:type="dxa"/>
              <w:right w:w="28" w:type="dxa"/>
            </w:tcMar>
            <w:vAlign w:val="center"/>
          </w:tcPr>
          <w:p w14:paraId="48048E3A">
            <w:pPr>
              <w:pStyle w:val="714"/>
              <w:rPr>
                <w:b/>
                <w:bCs/>
                <w:color w:val="auto"/>
              </w:rPr>
            </w:pPr>
            <w:r>
              <w:rPr>
                <w:rFonts w:hint="eastAsia"/>
                <w:b/>
                <w:bCs/>
                <w:color w:val="auto"/>
              </w:rPr>
              <w:t>无量纲</w:t>
            </w:r>
          </w:p>
        </w:tc>
        <w:tc>
          <w:tcPr>
            <w:tcW w:w="312" w:type="pct"/>
            <w:tcBorders>
              <w:tl2br w:val="nil"/>
              <w:tr2bl w:val="nil"/>
            </w:tcBorders>
            <w:shd w:val="clear" w:color="auto" w:fill="auto"/>
            <w:tcMar>
              <w:left w:w="28" w:type="dxa"/>
              <w:right w:w="28" w:type="dxa"/>
            </w:tcMar>
            <w:vAlign w:val="center"/>
          </w:tcPr>
          <w:p w14:paraId="57C4D101">
            <w:pPr>
              <w:pStyle w:val="714"/>
              <w:rPr>
                <w:b/>
                <w:bCs/>
                <w:color w:val="auto"/>
              </w:rPr>
            </w:pPr>
            <w:r>
              <w:rPr>
                <w:rFonts w:hint="eastAsia"/>
                <w:b/>
                <w:bCs/>
                <w:color w:val="auto"/>
              </w:rPr>
              <w:t>mg/L</w:t>
            </w:r>
          </w:p>
        </w:tc>
        <w:tc>
          <w:tcPr>
            <w:tcW w:w="305" w:type="pct"/>
            <w:tcBorders>
              <w:tl2br w:val="nil"/>
              <w:tr2bl w:val="nil"/>
            </w:tcBorders>
            <w:shd w:val="clear" w:color="auto" w:fill="auto"/>
            <w:tcMar>
              <w:left w:w="28" w:type="dxa"/>
              <w:right w:w="28" w:type="dxa"/>
            </w:tcMar>
            <w:vAlign w:val="center"/>
          </w:tcPr>
          <w:p w14:paraId="6639D81E">
            <w:pPr>
              <w:pStyle w:val="714"/>
              <w:rPr>
                <w:b/>
                <w:bCs/>
                <w:color w:val="auto"/>
              </w:rPr>
            </w:pPr>
            <w:r>
              <w:rPr>
                <w:rFonts w:hint="eastAsia"/>
                <w:b/>
                <w:bCs/>
                <w:color w:val="auto"/>
              </w:rPr>
              <w:t>mg/L</w:t>
            </w:r>
          </w:p>
        </w:tc>
        <w:tc>
          <w:tcPr>
            <w:tcW w:w="344" w:type="pct"/>
            <w:tcBorders>
              <w:tl2br w:val="nil"/>
              <w:tr2bl w:val="nil"/>
            </w:tcBorders>
            <w:shd w:val="clear" w:color="auto" w:fill="auto"/>
            <w:tcMar>
              <w:left w:w="28" w:type="dxa"/>
              <w:right w:w="28" w:type="dxa"/>
            </w:tcMar>
            <w:vAlign w:val="center"/>
          </w:tcPr>
          <w:p w14:paraId="313B2B31">
            <w:pPr>
              <w:pStyle w:val="714"/>
              <w:rPr>
                <w:b/>
                <w:bCs/>
                <w:color w:val="auto"/>
              </w:rPr>
            </w:pPr>
            <w:r>
              <w:rPr>
                <w:rFonts w:hint="eastAsia"/>
                <w:b/>
                <w:bCs/>
                <w:color w:val="auto"/>
              </w:rPr>
              <w:t>mg/L</w:t>
            </w:r>
          </w:p>
        </w:tc>
        <w:tc>
          <w:tcPr>
            <w:tcW w:w="344" w:type="pct"/>
            <w:tcBorders>
              <w:tl2br w:val="nil"/>
              <w:tr2bl w:val="nil"/>
            </w:tcBorders>
            <w:shd w:val="clear" w:color="auto" w:fill="auto"/>
            <w:tcMar>
              <w:left w:w="28" w:type="dxa"/>
              <w:right w:w="28" w:type="dxa"/>
            </w:tcMar>
            <w:vAlign w:val="center"/>
          </w:tcPr>
          <w:p w14:paraId="31D72E68">
            <w:pPr>
              <w:pStyle w:val="714"/>
              <w:rPr>
                <w:b/>
                <w:bCs/>
                <w:color w:val="auto"/>
              </w:rPr>
            </w:pPr>
            <w:r>
              <w:rPr>
                <w:rFonts w:hint="eastAsia"/>
                <w:b/>
                <w:bCs/>
                <w:color w:val="auto"/>
              </w:rPr>
              <w:t>mg/L</w:t>
            </w:r>
          </w:p>
        </w:tc>
        <w:tc>
          <w:tcPr>
            <w:tcW w:w="409" w:type="pct"/>
            <w:tcBorders>
              <w:tl2br w:val="nil"/>
              <w:tr2bl w:val="nil"/>
            </w:tcBorders>
            <w:shd w:val="clear" w:color="auto" w:fill="auto"/>
            <w:tcMar>
              <w:left w:w="28" w:type="dxa"/>
              <w:right w:w="28" w:type="dxa"/>
            </w:tcMar>
            <w:vAlign w:val="center"/>
          </w:tcPr>
          <w:p w14:paraId="5A6C4858">
            <w:pPr>
              <w:pStyle w:val="714"/>
              <w:rPr>
                <w:b/>
                <w:bCs/>
                <w:color w:val="auto"/>
              </w:rPr>
            </w:pPr>
            <w:r>
              <w:rPr>
                <w:rFonts w:hint="eastAsia"/>
                <w:b/>
                <w:bCs/>
                <w:color w:val="auto"/>
              </w:rPr>
              <w:t>mg/L</w:t>
            </w:r>
          </w:p>
        </w:tc>
        <w:tc>
          <w:tcPr>
            <w:tcW w:w="409" w:type="pct"/>
            <w:tcBorders>
              <w:tl2br w:val="nil"/>
              <w:tr2bl w:val="nil"/>
            </w:tcBorders>
            <w:shd w:val="clear" w:color="auto" w:fill="auto"/>
            <w:tcMar>
              <w:left w:w="28" w:type="dxa"/>
              <w:right w:w="28" w:type="dxa"/>
            </w:tcMar>
            <w:vAlign w:val="center"/>
          </w:tcPr>
          <w:p w14:paraId="4A0D3A2A">
            <w:pPr>
              <w:pStyle w:val="714"/>
              <w:rPr>
                <w:b/>
                <w:bCs/>
                <w:color w:val="auto"/>
              </w:rPr>
            </w:pPr>
            <w:r>
              <w:rPr>
                <w:rFonts w:hint="eastAsia"/>
                <w:b/>
                <w:bCs/>
                <w:color w:val="auto"/>
              </w:rPr>
              <w:t>mg/L</w:t>
            </w:r>
          </w:p>
        </w:tc>
        <w:tc>
          <w:tcPr>
            <w:tcW w:w="581" w:type="pct"/>
            <w:tcBorders>
              <w:tl2br w:val="nil"/>
              <w:tr2bl w:val="nil"/>
            </w:tcBorders>
            <w:shd w:val="clear" w:color="auto" w:fill="auto"/>
            <w:tcMar>
              <w:left w:w="28" w:type="dxa"/>
              <w:right w:w="28" w:type="dxa"/>
            </w:tcMar>
            <w:vAlign w:val="center"/>
          </w:tcPr>
          <w:p w14:paraId="2BB8D2C1">
            <w:pPr>
              <w:pStyle w:val="714"/>
              <w:rPr>
                <w:b/>
                <w:bCs/>
                <w:color w:val="auto"/>
              </w:rPr>
            </w:pPr>
            <w:r>
              <w:rPr>
                <w:rFonts w:hint="eastAsia"/>
                <w:b/>
                <w:bCs/>
                <w:color w:val="auto"/>
              </w:rPr>
              <w:t>mg/L</w:t>
            </w:r>
          </w:p>
        </w:tc>
        <w:tc>
          <w:tcPr>
            <w:tcW w:w="339" w:type="pct"/>
            <w:tcBorders>
              <w:tl2br w:val="nil"/>
              <w:tr2bl w:val="nil"/>
            </w:tcBorders>
            <w:shd w:val="clear" w:color="auto" w:fill="auto"/>
            <w:tcMar>
              <w:left w:w="28" w:type="dxa"/>
              <w:right w:w="28" w:type="dxa"/>
            </w:tcMar>
            <w:vAlign w:val="center"/>
          </w:tcPr>
          <w:p w14:paraId="096DF9AE">
            <w:pPr>
              <w:pStyle w:val="714"/>
              <w:rPr>
                <w:b/>
                <w:bCs/>
                <w:color w:val="auto"/>
              </w:rPr>
            </w:pPr>
            <w:r>
              <w:rPr>
                <w:rFonts w:hint="eastAsia"/>
                <w:b/>
                <w:bCs/>
                <w:color w:val="auto"/>
              </w:rPr>
              <w:t>mg/L</w:t>
            </w:r>
          </w:p>
        </w:tc>
        <w:tc>
          <w:tcPr>
            <w:tcW w:w="350" w:type="pct"/>
            <w:tcBorders>
              <w:tl2br w:val="nil"/>
              <w:tr2bl w:val="nil"/>
            </w:tcBorders>
            <w:shd w:val="clear" w:color="auto" w:fill="auto"/>
            <w:tcMar>
              <w:left w:w="28" w:type="dxa"/>
              <w:right w:w="28" w:type="dxa"/>
            </w:tcMar>
            <w:vAlign w:val="center"/>
          </w:tcPr>
          <w:p w14:paraId="6C0977B2">
            <w:pPr>
              <w:pStyle w:val="714"/>
              <w:rPr>
                <w:b/>
                <w:bCs/>
                <w:color w:val="auto"/>
              </w:rPr>
            </w:pPr>
            <w:r>
              <w:rPr>
                <w:rFonts w:hint="eastAsia"/>
                <w:b/>
                <w:bCs/>
                <w:color w:val="auto"/>
              </w:rPr>
              <w:t>mg/L</w:t>
            </w:r>
          </w:p>
        </w:tc>
        <w:tc>
          <w:tcPr>
            <w:tcW w:w="822" w:type="pct"/>
            <w:vMerge w:val="continue"/>
            <w:tcBorders>
              <w:tl2br w:val="nil"/>
              <w:tr2bl w:val="nil"/>
            </w:tcBorders>
            <w:tcMar>
              <w:left w:w="28" w:type="dxa"/>
              <w:right w:w="28" w:type="dxa"/>
            </w:tcMar>
            <w:vAlign w:val="center"/>
          </w:tcPr>
          <w:p w14:paraId="1341057B">
            <w:pPr>
              <w:pStyle w:val="714"/>
              <w:rPr>
                <w:color w:val="auto"/>
              </w:rPr>
            </w:pPr>
          </w:p>
        </w:tc>
      </w:tr>
      <w:tr w14:paraId="35CB87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39550573">
            <w:pPr>
              <w:pStyle w:val="714"/>
              <w:rPr>
                <w:color w:val="auto"/>
              </w:rPr>
            </w:pPr>
            <w:r>
              <w:rPr>
                <w:rFonts w:hint="eastAsia"/>
                <w:color w:val="auto"/>
              </w:rPr>
              <w:t>1#</w:t>
            </w:r>
          </w:p>
        </w:tc>
        <w:tc>
          <w:tcPr>
            <w:tcW w:w="435" w:type="pct"/>
            <w:tcBorders>
              <w:tl2br w:val="nil"/>
              <w:tr2bl w:val="nil"/>
            </w:tcBorders>
            <w:shd w:val="clear" w:color="auto" w:fill="auto"/>
            <w:tcMar>
              <w:left w:w="28" w:type="dxa"/>
              <w:right w:w="28" w:type="dxa"/>
            </w:tcMar>
            <w:vAlign w:val="center"/>
          </w:tcPr>
          <w:p w14:paraId="23580C85">
            <w:pPr>
              <w:pStyle w:val="714"/>
              <w:rPr>
                <w:rFonts w:eastAsia="等线" w:cs="Times New Roman"/>
                <w:color w:val="auto"/>
                <w:szCs w:val="21"/>
              </w:rPr>
            </w:pPr>
            <w:r>
              <w:rPr>
                <w:rFonts w:eastAsia="等线" w:cs="Times New Roman"/>
                <w:color w:val="auto"/>
                <w:szCs w:val="21"/>
              </w:rPr>
              <w:t>6.9</w:t>
            </w:r>
          </w:p>
        </w:tc>
        <w:tc>
          <w:tcPr>
            <w:tcW w:w="312" w:type="pct"/>
            <w:tcBorders>
              <w:tl2br w:val="nil"/>
              <w:tr2bl w:val="nil"/>
            </w:tcBorders>
            <w:shd w:val="clear" w:color="auto" w:fill="auto"/>
            <w:tcMar>
              <w:left w:w="28" w:type="dxa"/>
              <w:right w:w="28" w:type="dxa"/>
            </w:tcMar>
            <w:vAlign w:val="center"/>
          </w:tcPr>
          <w:p w14:paraId="269F3D47">
            <w:pPr>
              <w:pStyle w:val="714"/>
              <w:rPr>
                <w:rFonts w:eastAsia="等线" w:cs="Times New Roman"/>
                <w:color w:val="auto"/>
                <w:szCs w:val="21"/>
              </w:rPr>
            </w:pPr>
            <w:r>
              <w:rPr>
                <w:rFonts w:eastAsia="等线" w:cs="Times New Roman"/>
                <w:color w:val="auto"/>
                <w:szCs w:val="21"/>
              </w:rPr>
              <w:t>2.6</w:t>
            </w:r>
          </w:p>
        </w:tc>
        <w:tc>
          <w:tcPr>
            <w:tcW w:w="305" w:type="pct"/>
            <w:tcBorders>
              <w:tl2br w:val="nil"/>
              <w:tr2bl w:val="nil"/>
            </w:tcBorders>
            <w:shd w:val="clear" w:color="auto" w:fill="auto"/>
            <w:tcMar>
              <w:left w:w="28" w:type="dxa"/>
              <w:right w:w="28" w:type="dxa"/>
            </w:tcMar>
            <w:vAlign w:val="center"/>
          </w:tcPr>
          <w:p w14:paraId="7644E7C8">
            <w:pPr>
              <w:pStyle w:val="714"/>
              <w:rPr>
                <w:rFonts w:eastAsia="等线" w:cs="Times New Roman"/>
                <w:color w:val="auto"/>
                <w:szCs w:val="21"/>
              </w:rPr>
            </w:pPr>
            <w:r>
              <w:rPr>
                <w:rFonts w:eastAsia="等线" w:cs="Times New Roman"/>
                <w:color w:val="auto"/>
                <w:szCs w:val="21"/>
              </w:rPr>
              <w:t>29.9</w:t>
            </w:r>
          </w:p>
        </w:tc>
        <w:tc>
          <w:tcPr>
            <w:tcW w:w="344" w:type="pct"/>
            <w:tcBorders>
              <w:tl2br w:val="nil"/>
              <w:tr2bl w:val="nil"/>
            </w:tcBorders>
            <w:shd w:val="clear" w:color="auto" w:fill="auto"/>
            <w:tcMar>
              <w:left w:w="28" w:type="dxa"/>
              <w:right w:w="28" w:type="dxa"/>
            </w:tcMar>
            <w:vAlign w:val="center"/>
          </w:tcPr>
          <w:p w14:paraId="01F5ECF3">
            <w:pPr>
              <w:pStyle w:val="714"/>
              <w:rPr>
                <w:rFonts w:eastAsia="等线" w:cs="Times New Roman"/>
                <w:color w:val="auto"/>
                <w:szCs w:val="21"/>
              </w:rPr>
            </w:pPr>
            <w:r>
              <w:rPr>
                <w:rFonts w:eastAsia="等线" w:cs="Times New Roman"/>
                <w:color w:val="auto"/>
                <w:szCs w:val="21"/>
              </w:rPr>
              <w:t>48.2</w:t>
            </w:r>
          </w:p>
        </w:tc>
        <w:tc>
          <w:tcPr>
            <w:tcW w:w="344" w:type="pct"/>
            <w:tcBorders>
              <w:tl2br w:val="nil"/>
              <w:tr2bl w:val="nil"/>
            </w:tcBorders>
            <w:shd w:val="clear" w:color="auto" w:fill="auto"/>
            <w:tcMar>
              <w:left w:w="28" w:type="dxa"/>
              <w:right w:w="28" w:type="dxa"/>
            </w:tcMar>
            <w:vAlign w:val="center"/>
          </w:tcPr>
          <w:p w14:paraId="171901A6">
            <w:pPr>
              <w:pStyle w:val="714"/>
              <w:rPr>
                <w:rFonts w:eastAsia="等线" w:cs="Times New Roman"/>
                <w:color w:val="auto"/>
                <w:szCs w:val="21"/>
              </w:rPr>
            </w:pPr>
            <w:r>
              <w:rPr>
                <w:rFonts w:eastAsia="等线" w:cs="Times New Roman"/>
                <w:color w:val="auto"/>
                <w:szCs w:val="21"/>
              </w:rPr>
              <w:t>18.6</w:t>
            </w:r>
          </w:p>
        </w:tc>
        <w:tc>
          <w:tcPr>
            <w:tcW w:w="409" w:type="pct"/>
            <w:tcBorders>
              <w:tl2br w:val="nil"/>
              <w:tr2bl w:val="nil"/>
            </w:tcBorders>
            <w:shd w:val="clear" w:color="auto" w:fill="auto"/>
            <w:tcMar>
              <w:left w:w="28" w:type="dxa"/>
              <w:right w:w="28" w:type="dxa"/>
            </w:tcMar>
            <w:vAlign w:val="center"/>
          </w:tcPr>
          <w:p w14:paraId="147FA6CF">
            <w:pPr>
              <w:pStyle w:val="714"/>
              <w:rPr>
                <w:rFonts w:eastAsia="等线" w:cs="Times New Roman"/>
                <w:color w:val="auto"/>
                <w:szCs w:val="21"/>
              </w:rPr>
            </w:pPr>
            <w:r>
              <w:rPr>
                <w:rFonts w:eastAsia="等线" w:cs="Times New Roman"/>
                <w:color w:val="auto"/>
                <w:szCs w:val="21"/>
              </w:rPr>
              <w:t>18.7</w:t>
            </w:r>
          </w:p>
        </w:tc>
        <w:tc>
          <w:tcPr>
            <w:tcW w:w="409" w:type="pct"/>
            <w:tcBorders>
              <w:tl2br w:val="nil"/>
              <w:tr2bl w:val="nil"/>
            </w:tcBorders>
            <w:shd w:val="clear" w:color="auto" w:fill="auto"/>
            <w:tcMar>
              <w:left w:w="28" w:type="dxa"/>
              <w:right w:w="28" w:type="dxa"/>
            </w:tcMar>
            <w:vAlign w:val="center"/>
          </w:tcPr>
          <w:p w14:paraId="79824A51">
            <w:pPr>
              <w:pStyle w:val="714"/>
              <w:rPr>
                <w:rFonts w:eastAsia="等线" w:cs="Times New Roman"/>
                <w:color w:val="auto"/>
                <w:szCs w:val="21"/>
              </w:rPr>
            </w:pPr>
            <w:r>
              <w:rPr>
                <w:rFonts w:eastAsia="等线" w:cs="Times New Roman"/>
                <w:color w:val="auto"/>
                <w:szCs w:val="21"/>
              </w:rPr>
              <w:t>20.4</w:t>
            </w:r>
          </w:p>
        </w:tc>
        <w:tc>
          <w:tcPr>
            <w:tcW w:w="581" w:type="pct"/>
            <w:tcBorders>
              <w:tl2br w:val="nil"/>
              <w:tr2bl w:val="nil"/>
            </w:tcBorders>
            <w:shd w:val="clear" w:color="auto" w:fill="auto"/>
            <w:tcMar>
              <w:left w:w="28" w:type="dxa"/>
              <w:right w:w="28" w:type="dxa"/>
            </w:tcMar>
            <w:vAlign w:val="center"/>
          </w:tcPr>
          <w:p w14:paraId="736AE1D3">
            <w:pPr>
              <w:pStyle w:val="714"/>
              <w:rPr>
                <w:rFonts w:eastAsia="等线" w:cs="Times New Roman"/>
                <w:color w:val="auto"/>
                <w:szCs w:val="21"/>
              </w:rPr>
            </w:pPr>
            <w:r>
              <w:rPr>
                <w:rFonts w:eastAsia="等线" w:cs="Times New Roman"/>
                <w:color w:val="auto"/>
                <w:szCs w:val="21"/>
              </w:rPr>
              <w:t>243</w:t>
            </w:r>
          </w:p>
        </w:tc>
        <w:tc>
          <w:tcPr>
            <w:tcW w:w="339" w:type="pct"/>
            <w:tcBorders>
              <w:tl2br w:val="nil"/>
              <w:tr2bl w:val="nil"/>
            </w:tcBorders>
            <w:shd w:val="clear" w:color="auto" w:fill="auto"/>
            <w:tcMar>
              <w:left w:w="28" w:type="dxa"/>
              <w:right w:w="28" w:type="dxa"/>
            </w:tcMar>
            <w:vAlign w:val="center"/>
          </w:tcPr>
          <w:p w14:paraId="053D52AE">
            <w:pPr>
              <w:pStyle w:val="714"/>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384D9A75">
            <w:pPr>
              <w:pStyle w:val="714"/>
              <w:rPr>
                <w:rFonts w:eastAsia="等线" w:cs="Times New Roman"/>
                <w:color w:val="auto"/>
                <w:szCs w:val="21"/>
              </w:rPr>
            </w:pPr>
            <w:r>
              <w:rPr>
                <w:rFonts w:eastAsia="等线" w:cs="Times New Roman"/>
                <w:color w:val="auto"/>
                <w:szCs w:val="21"/>
              </w:rPr>
              <w:t>290</w:t>
            </w:r>
          </w:p>
        </w:tc>
        <w:tc>
          <w:tcPr>
            <w:tcW w:w="822" w:type="pct"/>
            <w:tcBorders>
              <w:tl2br w:val="nil"/>
              <w:tr2bl w:val="nil"/>
            </w:tcBorders>
            <w:shd w:val="clear" w:color="auto" w:fill="auto"/>
            <w:noWrap/>
            <w:tcMar>
              <w:left w:w="28" w:type="dxa"/>
              <w:right w:w="28" w:type="dxa"/>
            </w:tcMar>
            <w:vAlign w:val="center"/>
          </w:tcPr>
          <w:p w14:paraId="7C93B69B">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66BEC3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1C9BCD60">
            <w:pPr>
              <w:pStyle w:val="714"/>
              <w:rPr>
                <w:color w:val="auto"/>
              </w:rPr>
            </w:pPr>
            <w:r>
              <w:rPr>
                <w:rFonts w:hint="eastAsia"/>
                <w:color w:val="auto"/>
              </w:rPr>
              <w:t>2#</w:t>
            </w:r>
          </w:p>
        </w:tc>
        <w:tc>
          <w:tcPr>
            <w:tcW w:w="435" w:type="pct"/>
            <w:tcBorders>
              <w:tl2br w:val="nil"/>
              <w:tr2bl w:val="nil"/>
            </w:tcBorders>
            <w:shd w:val="clear" w:color="auto" w:fill="auto"/>
            <w:tcMar>
              <w:left w:w="28" w:type="dxa"/>
              <w:right w:w="28" w:type="dxa"/>
            </w:tcMar>
            <w:vAlign w:val="center"/>
          </w:tcPr>
          <w:p w14:paraId="098E8EB2">
            <w:pPr>
              <w:pStyle w:val="714"/>
              <w:rPr>
                <w:rFonts w:eastAsia="等线" w:cs="Times New Roman"/>
                <w:color w:val="auto"/>
                <w:szCs w:val="21"/>
              </w:rPr>
            </w:pPr>
            <w:r>
              <w:rPr>
                <w:rFonts w:eastAsia="等线" w:cs="Times New Roman"/>
                <w:color w:val="auto"/>
                <w:szCs w:val="21"/>
              </w:rPr>
              <w:t>7</w:t>
            </w:r>
          </w:p>
        </w:tc>
        <w:tc>
          <w:tcPr>
            <w:tcW w:w="312" w:type="pct"/>
            <w:tcBorders>
              <w:tl2br w:val="nil"/>
              <w:tr2bl w:val="nil"/>
            </w:tcBorders>
            <w:shd w:val="clear" w:color="auto" w:fill="auto"/>
            <w:tcMar>
              <w:left w:w="28" w:type="dxa"/>
              <w:right w:w="28" w:type="dxa"/>
            </w:tcMar>
            <w:vAlign w:val="center"/>
          </w:tcPr>
          <w:p w14:paraId="7F68654E">
            <w:pPr>
              <w:pStyle w:val="714"/>
              <w:rPr>
                <w:rFonts w:eastAsia="等线" w:cs="Times New Roman"/>
                <w:color w:val="auto"/>
                <w:szCs w:val="21"/>
              </w:rPr>
            </w:pPr>
            <w:r>
              <w:rPr>
                <w:rFonts w:eastAsia="等线" w:cs="Times New Roman"/>
                <w:color w:val="auto"/>
                <w:szCs w:val="21"/>
              </w:rPr>
              <w:t>0.4</w:t>
            </w:r>
          </w:p>
        </w:tc>
        <w:tc>
          <w:tcPr>
            <w:tcW w:w="305" w:type="pct"/>
            <w:tcBorders>
              <w:tl2br w:val="nil"/>
              <w:tr2bl w:val="nil"/>
            </w:tcBorders>
            <w:shd w:val="clear" w:color="auto" w:fill="auto"/>
            <w:tcMar>
              <w:left w:w="28" w:type="dxa"/>
              <w:right w:w="28" w:type="dxa"/>
            </w:tcMar>
            <w:vAlign w:val="center"/>
          </w:tcPr>
          <w:p w14:paraId="5DEEF94F">
            <w:pPr>
              <w:pStyle w:val="714"/>
              <w:rPr>
                <w:rFonts w:eastAsia="等线" w:cs="Times New Roman"/>
                <w:color w:val="auto"/>
                <w:szCs w:val="21"/>
              </w:rPr>
            </w:pPr>
            <w:r>
              <w:rPr>
                <w:rFonts w:eastAsia="等线" w:cs="Times New Roman"/>
                <w:color w:val="auto"/>
                <w:szCs w:val="21"/>
              </w:rPr>
              <w:t>72.9</w:t>
            </w:r>
          </w:p>
        </w:tc>
        <w:tc>
          <w:tcPr>
            <w:tcW w:w="344" w:type="pct"/>
            <w:tcBorders>
              <w:tl2br w:val="nil"/>
              <w:tr2bl w:val="nil"/>
            </w:tcBorders>
            <w:shd w:val="clear" w:color="auto" w:fill="auto"/>
            <w:tcMar>
              <w:left w:w="28" w:type="dxa"/>
              <w:right w:w="28" w:type="dxa"/>
            </w:tcMar>
            <w:vAlign w:val="center"/>
          </w:tcPr>
          <w:p w14:paraId="5A60870B">
            <w:pPr>
              <w:pStyle w:val="714"/>
              <w:rPr>
                <w:rFonts w:eastAsia="等线" w:cs="Times New Roman"/>
                <w:color w:val="auto"/>
                <w:szCs w:val="21"/>
              </w:rPr>
            </w:pPr>
            <w:r>
              <w:rPr>
                <w:rFonts w:eastAsia="等线" w:cs="Times New Roman"/>
                <w:color w:val="auto"/>
                <w:szCs w:val="21"/>
              </w:rPr>
              <w:t>81.8</w:t>
            </w:r>
          </w:p>
        </w:tc>
        <w:tc>
          <w:tcPr>
            <w:tcW w:w="344" w:type="pct"/>
            <w:tcBorders>
              <w:tl2br w:val="nil"/>
              <w:tr2bl w:val="nil"/>
            </w:tcBorders>
            <w:shd w:val="clear" w:color="auto" w:fill="auto"/>
            <w:tcMar>
              <w:left w:w="28" w:type="dxa"/>
              <w:right w:w="28" w:type="dxa"/>
            </w:tcMar>
            <w:vAlign w:val="center"/>
          </w:tcPr>
          <w:p w14:paraId="0710EF1E">
            <w:pPr>
              <w:pStyle w:val="714"/>
              <w:rPr>
                <w:rFonts w:eastAsia="等线" w:cs="Times New Roman"/>
                <w:color w:val="auto"/>
                <w:szCs w:val="21"/>
              </w:rPr>
            </w:pPr>
            <w:r>
              <w:rPr>
                <w:rFonts w:eastAsia="等线" w:cs="Times New Roman"/>
                <w:color w:val="auto"/>
                <w:szCs w:val="21"/>
              </w:rPr>
              <w:t>34.7</w:t>
            </w:r>
          </w:p>
        </w:tc>
        <w:tc>
          <w:tcPr>
            <w:tcW w:w="409" w:type="pct"/>
            <w:tcBorders>
              <w:tl2br w:val="nil"/>
              <w:tr2bl w:val="nil"/>
            </w:tcBorders>
            <w:shd w:val="clear" w:color="auto" w:fill="auto"/>
            <w:tcMar>
              <w:left w:w="28" w:type="dxa"/>
              <w:right w:w="28" w:type="dxa"/>
            </w:tcMar>
            <w:vAlign w:val="center"/>
          </w:tcPr>
          <w:p w14:paraId="11B2B386">
            <w:pPr>
              <w:pStyle w:val="714"/>
              <w:rPr>
                <w:rFonts w:eastAsia="等线" w:cs="Times New Roman"/>
                <w:color w:val="auto"/>
                <w:szCs w:val="21"/>
              </w:rPr>
            </w:pPr>
            <w:r>
              <w:rPr>
                <w:rFonts w:eastAsia="等线" w:cs="Times New Roman"/>
                <w:color w:val="auto"/>
                <w:szCs w:val="21"/>
              </w:rPr>
              <w:t>41.1</w:t>
            </w:r>
          </w:p>
        </w:tc>
        <w:tc>
          <w:tcPr>
            <w:tcW w:w="409" w:type="pct"/>
            <w:tcBorders>
              <w:tl2br w:val="nil"/>
              <w:tr2bl w:val="nil"/>
            </w:tcBorders>
            <w:shd w:val="clear" w:color="auto" w:fill="auto"/>
            <w:tcMar>
              <w:left w:w="28" w:type="dxa"/>
              <w:right w:w="28" w:type="dxa"/>
            </w:tcMar>
            <w:vAlign w:val="center"/>
          </w:tcPr>
          <w:p w14:paraId="30AD5B0E">
            <w:pPr>
              <w:pStyle w:val="714"/>
              <w:rPr>
                <w:rFonts w:eastAsia="等线" w:cs="Times New Roman"/>
                <w:color w:val="auto"/>
                <w:szCs w:val="21"/>
              </w:rPr>
            </w:pPr>
            <w:r>
              <w:rPr>
                <w:rFonts w:eastAsia="等线" w:cs="Times New Roman"/>
                <w:color w:val="auto"/>
                <w:szCs w:val="21"/>
              </w:rPr>
              <w:t>10.6</w:t>
            </w:r>
          </w:p>
        </w:tc>
        <w:tc>
          <w:tcPr>
            <w:tcW w:w="581" w:type="pct"/>
            <w:tcBorders>
              <w:tl2br w:val="nil"/>
              <w:tr2bl w:val="nil"/>
            </w:tcBorders>
            <w:shd w:val="clear" w:color="auto" w:fill="auto"/>
            <w:tcMar>
              <w:left w:w="28" w:type="dxa"/>
              <w:right w:w="28" w:type="dxa"/>
            </w:tcMar>
            <w:vAlign w:val="center"/>
          </w:tcPr>
          <w:p w14:paraId="5471367B">
            <w:pPr>
              <w:pStyle w:val="714"/>
              <w:rPr>
                <w:rFonts w:eastAsia="等线" w:cs="Times New Roman"/>
                <w:color w:val="auto"/>
                <w:szCs w:val="21"/>
              </w:rPr>
            </w:pPr>
            <w:r>
              <w:rPr>
                <w:rFonts w:eastAsia="等线" w:cs="Times New Roman"/>
                <w:color w:val="auto"/>
                <w:szCs w:val="21"/>
              </w:rPr>
              <w:t>508</w:t>
            </w:r>
          </w:p>
        </w:tc>
        <w:tc>
          <w:tcPr>
            <w:tcW w:w="339" w:type="pct"/>
            <w:tcBorders>
              <w:tl2br w:val="nil"/>
              <w:tr2bl w:val="nil"/>
            </w:tcBorders>
            <w:shd w:val="clear" w:color="auto" w:fill="auto"/>
            <w:tcMar>
              <w:left w:w="28" w:type="dxa"/>
              <w:right w:w="28" w:type="dxa"/>
            </w:tcMar>
            <w:vAlign w:val="center"/>
          </w:tcPr>
          <w:p w14:paraId="75431C8A">
            <w:pPr>
              <w:pStyle w:val="714"/>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34EDC40D">
            <w:pPr>
              <w:pStyle w:val="714"/>
              <w:rPr>
                <w:rFonts w:eastAsia="等线" w:cs="Times New Roman"/>
                <w:color w:val="auto"/>
                <w:szCs w:val="21"/>
              </w:rPr>
            </w:pPr>
            <w:r>
              <w:rPr>
                <w:rFonts w:eastAsia="等线" w:cs="Times New Roman"/>
                <w:color w:val="auto"/>
                <w:szCs w:val="21"/>
              </w:rPr>
              <w:t>521</w:t>
            </w:r>
          </w:p>
        </w:tc>
        <w:tc>
          <w:tcPr>
            <w:tcW w:w="822" w:type="pct"/>
            <w:tcBorders>
              <w:tl2br w:val="nil"/>
              <w:tr2bl w:val="nil"/>
            </w:tcBorders>
            <w:shd w:val="clear" w:color="auto" w:fill="auto"/>
            <w:noWrap/>
            <w:tcMar>
              <w:left w:w="28" w:type="dxa"/>
              <w:right w:w="28" w:type="dxa"/>
            </w:tcMar>
            <w:vAlign w:val="center"/>
          </w:tcPr>
          <w:p w14:paraId="1BD1A59A">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02078D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2AA50D0C">
            <w:pPr>
              <w:pStyle w:val="714"/>
              <w:rPr>
                <w:color w:val="auto"/>
              </w:rPr>
            </w:pPr>
            <w:r>
              <w:rPr>
                <w:rFonts w:hint="eastAsia"/>
                <w:color w:val="auto"/>
              </w:rPr>
              <w:t>3#</w:t>
            </w:r>
          </w:p>
        </w:tc>
        <w:tc>
          <w:tcPr>
            <w:tcW w:w="435" w:type="pct"/>
            <w:tcBorders>
              <w:tl2br w:val="nil"/>
              <w:tr2bl w:val="nil"/>
            </w:tcBorders>
            <w:shd w:val="clear" w:color="auto" w:fill="auto"/>
            <w:tcMar>
              <w:left w:w="28" w:type="dxa"/>
              <w:right w:w="28" w:type="dxa"/>
            </w:tcMar>
            <w:vAlign w:val="center"/>
          </w:tcPr>
          <w:p w14:paraId="391D9D67">
            <w:pPr>
              <w:pStyle w:val="714"/>
              <w:rPr>
                <w:rFonts w:eastAsia="等线" w:cs="Times New Roman"/>
                <w:color w:val="auto"/>
                <w:szCs w:val="21"/>
              </w:rPr>
            </w:pPr>
            <w:r>
              <w:rPr>
                <w:rFonts w:eastAsia="等线" w:cs="Times New Roman"/>
                <w:color w:val="auto"/>
                <w:szCs w:val="21"/>
              </w:rPr>
              <w:t>7</w:t>
            </w:r>
          </w:p>
        </w:tc>
        <w:tc>
          <w:tcPr>
            <w:tcW w:w="312" w:type="pct"/>
            <w:tcBorders>
              <w:tl2br w:val="nil"/>
              <w:tr2bl w:val="nil"/>
            </w:tcBorders>
            <w:shd w:val="clear" w:color="auto" w:fill="auto"/>
            <w:tcMar>
              <w:left w:w="28" w:type="dxa"/>
              <w:right w:w="28" w:type="dxa"/>
            </w:tcMar>
            <w:vAlign w:val="center"/>
          </w:tcPr>
          <w:p w14:paraId="1D5B718B">
            <w:pPr>
              <w:pStyle w:val="714"/>
              <w:rPr>
                <w:rFonts w:eastAsia="等线" w:cs="Times New Roman"/>
                <w:color w:val="auto"/>
                <w:szCs w:val="21"/>
              </w:rPr>
            </w:pPr>
            <w:r>
              <w:rPr>
                <w:rFonts w:eastAsia="等线" w:cs="Times New Roman"/>
                <w:color w:val="auto"/>
                <w:szCs w:val="21"/>
              </w:rPr>
              <w:t>0.73</w:t>
            </w:r>
          </w:p>
        </w:tc>
        <w:tc>
          <w:tcPr>
            <w:tcW w:w="305" w:type="pct"/>
            <w:tcBorders>
              <w:tl2br w:val="nil"/>
              <w:tr2bl w:val="nil"/>
            </w:tcBorders>
            <w:shd w:val="clear" w:color="auto" w:fill="auto"/>
            <w:tcMar>
              <w:left w:w="28" w:type="dxa"/>
              <w:right w:w="28" w:type="dxa"/>
            </w:tcMar>
            <w:vAlign w:val="center"/>
          </w:tcPr>
          <w:p w14:paraId="44C6FEFA">
            <w:pPr>
              <w:pStyle w:val="714"/>
              <w:rPr>
                <w:rFonts w:eastAsia="等线" w:cs="Times New Roman"/>
                <w:color w:val="auto"/>
                <w:szCs w:val="21"/>
              </w:rPr>
            </w:pPr>
            <w:r>
              <w:rPr>
                <w:rFonts w:eastAsia="等线" w:cs="Times New Roman"/>
                <w:color w:val="auto"/>
                <w:szCs w:val="21"/>
              </w:rPr>
              <w:t>43.9</w:t>
            </w:r>
          </w:p>
        </w:tc>
        <w:tc>
          <w:tcPr>
            <w:tcW w:w="344" w:type="pct"/>
            <w:tcBorders>
              <w:tl2br w:val="nil"/>
              <w:tr2bl w:val="nil"/>
            </w:tcBorders>
            <w:shd w:val="clear" w:color="auto" w:fill="auto"/>
            <w:tcMar>
              <w:left w:w="28" w:type="dxa"/>
              <w:right w:w="28" w:type="dxa"/>
            </w:tcMar>
            <w:vAlign w:val="center"/>
          </w:tcPr>
          <w:p w14:paraId="3D659271">
            <w:pPr>
              <w:pStyle w:val="714"/>
              <w:rPr>
                <w:rFonts w:eastAsia="等线" w:cs="Times New Roman"/>
                <w:color w:val="auto"/>
                <w:szCs w:val="21"/>
              </w:rPr>
            </w:pPr>
            <w:r>
              <w:rPr>
                <w:rFonts w:eastAsia="等线" w:cs="Times New Roman"/>
                <w:color w:val="auto"/>
                <w:szCs w:val="21"/>
              </w:rPr>
              <w:t>113</w:t>
            </w:r>
          </w:p>
        </w:tc>
        <w:tc>
          <w:tcPr>
            <w:tcW w:w="344" w:type="pct"/>
            <w:tcBorders>
              <w:tl2br w:val="nil"/>
              <w:tr2bl w:val="nil"/>
            </w:tcBorders>
            <w:shd w:val="clear" w:color="auto" w:fill="auto"/>
            <w:tcMar>
              <w:left w:w="28" w:type="dxa"/>
              <w:right w:w="28" w:type="dxa"/>
            </w:tcMar>
            <w:vAlign w:val="center"/>
          </w:tcPr>
          <w:p w14:paraId="6386E0DC">
            <w:pPr>
              <w:pStyle w:val="714"/>
              <w:rPr>
                <w:rFonts w:eastAsia="等线" w:cs="Times New Roman"/>
                <w:color w:val="auto"/>
                <w:szCs w:val="21"/>
              </w:rPr>
            </w:pPr>
            <w:r>
              <w:rPr>
                <w:rFonts w:eastAsia="等线" w:cs="Times New Roman"/>
                <w:color w:val="auto"/>
                <w:szCs w:val="21"/>
              </w:rPr>
              <w:t>42.6</w:t>
            </w:r>
          </w:p>
        </w:tc>
        <w:tc>
          <w:tcPr>
            <w:tcW w:w="409" w:type="pct"/>
            <w:tcBorders>
              <w:tl2br w:val="nil"/>
              <w:tr2bl w:val="nil"/>
            </w:tcBorders>
            <w:shd w:val="clear" w:color="auto" w:fill="auto"/>
            <w:tcMar>
              <w:left w:w="28" w:type="dxa"/>
              <w:right w:w="28" w:type="dxa"/>
            </w:tcMar>
            <w:vAlign w:val="center"/>
          </w:tcPr>
          <w:p w14:paraId="1F961D34">
            <w:pPr>
              <w:pStyle w:val="714"/>
              <w:rPr>
                <w:rFonts w:eastAsia="等线" w:cs="Times New Roman"/>
                <w:color w:val="auto"/>
                <w:szCs w:val="21"/>
              </w:rPr>
            </w:pPr>
            <w:r>
              <w:rPr>
                <w:rFonts w:eastAsia="等线" w:cs="Times New Roman"/>
                <w:color w:val="auto"/>
                <w:szCs w:val="21"/>
              </w:rPr>
              <w:t>48.9</w:t>
            </w:r>
          </w:p>
        </w:tc>
        <w:tc>
          <w:tcPr>
            <w:tcW w:w="409" w:type="pct"/>
            <w:tcBorders>
              <w:tl2br w:val="nil"/>
              <w:tr2bl w:val="nil"/>
            </w:tcBorders>
            <w:shd w:val="clear" w:color="auto" w:fill="auto"/>
            <w:tcMar>
              <w:left w:w="28" w:type="dxa"/>
              <w:right w:w="28" w:type="dxa"/>
            </w:tcMar>
            <w:vAlign w:val="center"/>
          </w:tcPr>
          <w:p w14:paraId="7F9CBAAE">
            <w:pPr>
              <w:pStyle w:val="714"/>
              <w:rPr>
                <w:rFonts w:eastAsia="等线" w:cs="Times New Roman"/>
                <w:color w:val="auto"/>
                <w:szCs w:val="21"/>
              </w:rPr>
            </w:pPr>
            <w:r>
              <w:rPr>
                <w:rFonts w:eastAsia="等线" w:cs="Times New Roman"/>
                <w:color w:val="auto"/>
                <w:szCs w:val="21"/>
              </w:rPr>
              <w:t>22.6</w:t>
            </w:r>
          </w:p>
        </w:tc>
        <w:tc>
          <w:tcPr>
            <w:tcW w:w="581" w:type="pct"/>
            <w:tcBorders>
              <w:tl2br w:val="nil"/>
              <w:tr2bl w:val="nil"/>
            </w:tcBorders>
            <w:shd w:val="clear" w:color="auto" w:fill="auto"/>
            <w:tcMar>
              <w:left w:w="28" w:type="dxa"/>
              <w:right w:w="28" w:type="dxa"/>
            </w:tcMar>
            <w:vAlign w:val="center"/>
          </w:tcPr>
          <w:p w14:paraId="0C9D3350">
            <w:pPr>
              <w:pStyle w:val="714"/>
              <w:rPr>
                <w:rFonts w:eastAsia="等线" w:cs="Times New Roman"/>
                <w:color w:val="auto"/>
                <w:szCs w:val="21"/>
              </w:rPr>
            </w:pPr>
            <w:r>
              <w:rPr>
                <w:rFonts w:eastAsia="等线" w:cs="Times New Roman"/>
                <w:color w:val="auto"/>
                <w:szCs w:val="21"/>
              </w:rPr>
              <w:t>551</w:t>
            </w:r>
          </w:p>
        </w:tc>
        <w:tc>
          <w:tcPr>
            <w:tcW w:w="339" w:type="pct"/>
            <w:tcBorders>
              <w:tl2br w:val="nil"/>
              <w:tr2bl w:val="nil"/>
            </w:tcBorders>
            <w:shd w:val="clear" w:color="auto" w:fill="auto"/>
            <w:tcMar>
              <w:left w:w="28" w:type="dxa"/>
              <w:right w:w="28" w:type="dxa"/>
            </w:tcMar>
            <w:vAlign w:val="center"/>
          </w:tcPr>
          <w:p w14:paraId="0325262D">
            <w:pPr>
              <w:pStyle w:val="714"/>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3F5AE8AE">
            <w:pPr>
              <w:pStyle w:val="714"/>
              <w:rPr>
                <w:rFonts w:eastAsia="等线" w:cs="Times New Roman"/>
                <w:color w:val="auto"/>
                <w:szCs w:val="21"/>
              </w:rPr>
            </w:pPr>
            <w:r>
              <w:rPr>
                <w:rFonts w:eastAsia="等线" w:cs="Times New Roman"/>
                <w:color w:val="auto"/>
                <w:szCs w:val="21"/>
              </w:rPr>
              <w:t>555</w:t>
            </w:r>
          </w:p>
        </w:tc>
        <w:tc>
          <w:tcPr>
            <w:tcW w:w="822" w:type="pct"/>
            <w:tcBorders>
              <w:tl2br w:val="nil"/>
              <w:tr2bl w:val="nil"/>
            </w:tcBorders>
            <w:shd w:val="clear" w:color="auto" w:fill="auto"/>
            <w:noWrap/>
            <w:tcMar>
              <w:left w:w="28" w:type="dxa"/>
              <w:right w:w="28" w:type="dxa"/>
            </w:tcMar>
            <w:vAlign w:val="center"/>
          </w:tcPr>
          <w:p w14:paraId="171F8D70">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716527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2B154066">
            <w:pPr>
              <w:pStyle w:val="714"/>
              <w:rPr>
                <w:color w:val="auto"/>
              </w:rPr>
            </w:pPr>
            <w:r>
              <w:rPr>
                <w:rFonts w:hint="eastAsia"/>
                <w:color w:val="auto"/>
              </w:rPr>
              <w:t>4#</w:t>
            </w:r>
          </w:p>
        </w:tc>
        <w:tc>
          <w:tcPr>
            <w:tcW w:w="435" w:type="pct"/>
            <w:tcBorders>
              <w:tl2br w:val="nil"/>
              <w:tr2bl w:val="nil"/>
            </w:tcBorders>
            <w:shd w:val="clear" w:color="auto" w:fill="auto"/>
            <w:tcMar>
              <w:left w:w="28" w:type="dxa"/>
              <w:right w:w="28" w:type="dxa"/>
            </w:tcMar>
            <w:vAlign w:val="center"/>
          </w:tcPr>
          <w:p w14:paraId="6A048E39">
            <w:pPr>
              <w:pStyle w:val="714"/>
              <w:rPr>
                <w:rFonts w:eastAsia="等线" w:cs="Times New Roman"/>
                <w:color w:val="auto"/>
                <w:szCs w:val="21"/>
              </w:rPr>
            </w:pPr>
            <w:r>
              <w:rPr>
                <w:rFonts w:eastAsia="等线" w:cs="Times New Roman"/>
                <w:color w:val="auto"/>
                <w:szCs w:val="21"/>
              </w:rPr>
              <w:t>7.1</w:t>
            </w:r>
          </w:p>
        </w:tc>
        <w:tc>
          <w:tcPr>
            <w:tcW w:w="312" w:type="pct"/>
            <w:tcBorders>
              <w:tl2br w:val="nil"/>
              <w:tr2bl w:val="nil"/>
            </w:tcBorders>
            <w:shd w:val="clear" w:color="auto" w:fill="auto"/>
            <w:tcMar>
              <w:left w:w="28" w:type="dxa"/>
              <w:right w:w="28" w:type="dxa"/>
            </w:tcMar>
            <w:vAlign w:val="center"/>
          </w:tcPr>
          <w:p w14:paraId="16F98367">
            <w:pPr>
              <w:pStyle w:val="714"/>
              <w:rPr>
                <w:rFonts w:eastAsia="等线" w:cs="Times New Roman"/>
                <w:color w:val="auto"/>
                <w:szCs w:val="21"/>
              </w:rPr>
            </w:pPr>
            <w:r>
              <w:rPr>
                <w:rFonts w:eastAsia="等线" w:cs="Times New Roman"/>
                <w:color w:val="auto"/>
                <w:szCs w:val="21"/>
              </w:rPr>
              <w:t>39.8</w:t>
            </w:r>
          </w:p>
        </w:tc>
        <w:tc>
          <w:tcPr>
            <w:tcW w:w="305" w:type="pct"/>
            <w:tcBorders>
              <w:tl2br w:val="nil"/>
              <w:tr2bl w:val="nil"/>
            </w:tcBorders>
            <w:shd w:val="clear" w:color="auto" w:fill="auto"/>
            <w:tcMar>
              <w:left w:w="28" w:type="dxa"/>
              <w:right w:w="28" w:type="dxa"/>
            </w:tcMar>
            <w:vAlign w:val="center"/>
          </w:tcPr>
          <w:p w14:paraId="17A474D7">
            <w:pPr>
              <w:pStyle w:val="714"/>
              <w:rPr>
                <w:rFonts w:eastAsia="等线" w:cs="Times New Roman"/>
                <w:color w:val="auto"/>
                <w:szCs w:val="21"/>
              </w:rPr>
            </w:pPr>
            <w:r>
              <w:rPr>
                <w:rFonts w:eastAsia="等线" w:cs="Times New Roman"/>
                <w:color w:val="auto"/>
                <w:szCs w:val="21"/>
              </w:rPr>
              <w:t>69.3</w:t>
            </w:r>
          </w:p>
        </w:tc>
        <w:tc>
          <w:tcPr>
            <w:tcW w:w="344" w:type="pct"/>
            <w:tcBorders>
              <w:tl2br w:val="nil"/>
              <w:tr2bl w:val="nil"/>
            </w:tcBorders>
            <w:shd w:val="clear" w:color="auto" w:fill="auto"/>
            <w:tcMar>
              <w:left w:w="28" w:type="dxa"/>
              <w:right w:w="28" w:type="dxa"/>
            </w:tcMar>
            <w:vAlign w:val="center"/>
          </w:tcPr>
          <w:p w14:paraId="25B5521B">
            <w:pPr>
              <w:pStyle w:val="714"/>
              <w:rPr>
                <w:rFonts w:eastAsia="等线" w:cs="Times New Roman"/>
                <w:color w:val="auto"/>
                <w:szCs w:val="21"/>
              </w:rPr>
            </w:pPr>
            <w:r>
              <w:rPr>
                <w:rFonts w:eastAsia="等线" w:cs="Times New Roman"/>
                <w:color w:val="auto"/>
                <w:szCs w:val="21"/>
              </w:rPr>
              <w:t>103.7</w:t>
            </w:r>
          </w:p>
        </w:tc>
        <w:tc>
          <w:tcPr>
            <w:tcW w:w="344" w:type="pct"/>
            <w:tcBorders>
              <w:tl2br w:val="nil"/>
              <w:tr2bl w:val="nil"/>
            </w:tcBorders>
            <w:shd w:val="clear" w:color="auto" w:fill="auto"/>
            <w:tcMar>
              <w:left w:w="28" w:type="dxa"/>
              <w:right w:w="28" w:type="dxa"/>
            </w:tcMar>
            <w:vAlign w:val="center"/>
          </w:tcPr>
          <w:p w14:paraId="467E0550">
            <w:pPr>
              <w:pStyle w:val="714"/>
              <w:rPr>
                <w:rFonts w:eastAsia="等线" w:cs="Times New Roman"/>
                <w:color w:val="auto"/>
                <w:szCs w:val="21"/>
              </w:rPr>
            </w:pPr>
            <w:r>
              <w:rPr>
                <w:rFonts w:eastAsia="等线" w:cs="Times New Roman"/>
                <w:color w:val="auto"/>
                <w:szCs w:val="21"/>
              </w:rPr>
              <w:t>39.6</w:t>
            </w:r>
          </w:p>
        </w:tc>
        <w:tc>
          <w:tcPr>
            <w:tcW w:w="409" w:type="pct"/>
            <w:tcBorders>
              <w:tl2br w:val="nil"/>
              <w:tr2bl w:val="nil"/>
            </w:tcBorders>
            <w:shd w:val="clear" w:color="auto" w:fill="auto"/>
            <w:tcMar>
              <w:left w:w="28" w:type="dxa"/>
              <w:right w:w="28" w:type="dxa"/>
            </w:tcMar>
            <w:vAlign w:val="center"/>
          </w:tcPr>
          <w:p w14:paraId="60D013DE">
            <w:pPr>
              <w:pStyle w:val="714"/>
              <w:rPr>
                <w:rFonts w:eastAsia="等线" w:cs="Times New Roman"/>
                <w:color w:val="auto"/>
                <w:szCs w:val="21"/>
              </w:rPr>
            </w:pPr>
            <w:r>
              <w:rPr>
                <w:rFonts w:eastAsia="等线" w:cs="Times New Roman"/>
                <w:color w:val="auto"/>
                <w:szCs w:val="21"/>
              </w:rPr>
              <w:t>175</w:t>
            </w:r>
          </w:p>
        </w:tc>
        <w:tc>
          <w:tcPr>
            <w:tcW w:w="409" w:type="pct"/>
            <w:tcBorders>
              <w:tl2br w:val="nil"/>
              <w:tr2bl w:val="nil"/>
            </w:tcBorders>
            <w:shd w:val="clear" w:color="auto" w:fill="auto"/>
            <w:tcMar>
              <w:left w:w="28" w:type="dxa"/>
              <w:right w:w="28" w:type="dxa"/>
            </w:tcMar>
            <w:vAlign w:val="center"/>
          </w:tcPr>
          <w:p w14:paraId="28176B7C">
            <w:pPr>
              <w:pStyle w:val="714"/>
              <w:rPr>
                <w:rFonts w:eastAsia="等线" w:cs="Times New Roman"/>
                <w:color w:val="auto"/>
                <w:szCs w:val="21"/>
              </w:rPr>
            </w:pPr>
            <w:r>
              <w:rPr>
                <w:rFonts w:eastAsia="等线" w:cs="Times New Roman"/>
                <w:color w:val="auto"/>
                <w:szCs w:val="21"/>
              </w:rPr>
              <w:t>98</w:t>
            </w:r>
          </w:p>
        </w:tc>
        <w:tc>
          <w:tcPr>
            <w:tcW w:w="581" w:type="pct"/>
            <w:tcBorders>
              <w:tl2br w:val="nil"/>
              <w:tr2bl w:val="nil"/>
            </w:tcBorders>
            <w:shd w:val="clear" w:color="auto" w:fill="auto"/>
            <w:tcMar>
              <w:left w:w="28" w:type="dxa"/>
              <w:right w:w="28" w:type="dxa"/>
            </w:tcMar>
            <w:vAlign w:val="center"/>
          </w:tcPr>
          <w:p w14:paraId="037E83FE">
            <w:pPr>
              <w:pStyle w:val="714"/>
              <w:rPr>
                <w:rFonts w:eastAsia="等线" w:cs="Times New Roman"/>
                <w:color w:val="auto"/>
                <w:szCs w:val="21"/>
              </w:rPr>
            </w:pPr>
            <w:r>
              <w:rPr>
                <w:rFonts w:eastAsia="等线" w:cs="Times New Roman"/>
                <w:color w:val="auto"/>
                <w:szCs w:val="21"/>
              </w:rPr>
              <w:t>236</w:t>
            </w:r>
          </w:p>
        </w:tc>
        <w:tc>
          <w:tcPr>
            <w:tcW w:w="339" w:type="pct"/>
            <w:tcBorders>
              <w:tl2br w:val="nil"/>
              <w:tr2bl w:val="nil"/>
            </w:tcBorders>
            <w:shd w:val="clear" w:color="auto" w:fill="auto"/>
            <w:tcMar>
              <w:left w:w="28" w:type="dxa"/>
              <w:right w:w="28" w:type="dxa"/>
            </w:tcMar>
            <w:vAlign w:val="center"/>
          </w:tcPr>
          <w:p w14:paraId="3DED3EAB">
            <w:pPr>
              <w:pStyle w:val="714"/>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5E68FA91">
            <w:pPr>
              <w:pStyle w:val="714"/>
              <w:rPr>
                <w:rFonts w:eastAsia="等线" w:cs="Times New Roman"/>
                <w:color w:val="auto"/>
                <w:szCs w:val="21"/>
              </w:rPr>
            </w:pPr>
            <w:r>
              <w:rPr>
                <w:rFonts w:eastAsia="等线" w:cs="Times New Roman"/>
                <w:color w:val="auto"/>
                <w:szCs w:val="21"/>
              </w:rPr>
              <w:t>625</w:t>
            </w:r>
          </w:p>
        </w:tc>
        <w:tc>
          <w:tcPr>
            <w:tcW w:w="822" w:type="pct"/>
            <w:tcBorders>
              <w:tl2br w:val="nil"/>
              <w:tr2bl w:val="nil"/>
            </w:tcBorders>
            <w:shd w:val="clear" w:color="auto" w:fill="auto"/>
            <w:noWrap/>
            <w:tcMar>
              <w:left w:w="28" w:type="dxa"/>
              <w:right w:w="28" w:type="dxa"/>
            </w:tcMar>
            <w:vAlign w:val="center"/>
          </w:tcPr>
          <w:p w14:paraId="3E02890B">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2C529C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74BAD1CB">
            <w:pPr>
              <w:pStyle w:val="714"/>
              <w:rPr>
                <w:color w:val="auto"/>
              </w:rPr>
            </w:pPr>
            <w:r>
              <w:rPr>
                <w:rFonts w:hint="eastAsia"/>
                <w:color w:val="auto"/>
              </w:rPr>
              <w:t>5#</w:t>
            </w:r>
          </w:p>
        </w:tc>
        <w:tc>
          <w:tcPr>
            <w:tcW w:w="435" w:type="pct"/>
            <w:tcBorders>
              <w:tl2br w:val="nil"/>
              <w:tr2bl w:val="nil"/>
            </w:tcBorders>
            <w:shd w:val="clear" w:color="auto" w:fill="auto"/>
            <w:tcMar>
              <w:left w:w="28" w:type="dxa"/>
              <w:right w:w="28" w:type="dxa"/>
            </w:tcMar>
            <w:vAlign w:val="center"/>
          </w:tcPr>
          <w:p w14:paraId="45BD6A7D">
            <w:pPr>
              <w:pStyle w:val="714"/>
              <w:rPr>
                <w:rFonts w:eastAsia="等线" w:cs="Times New Roman"/>
                <w:color w:val="auto"/>
                <w:szCs w:val="21"/>
              </w:rPr>
            </w:pPr>
            <w:r>
              <w:rPr>
                <w:rFonts w:eastAsia="等线" w:cs="Times New Roman"/>
                <w:color w:val="auto"/>
                <w:szCs w:val="21"/>
              </w:rPr>
              <w:t>7.2</w:t>
            </w:r>
          </w:p>
        </w:tc>
        <w:tc>
          <w:tcPr>
            <w:tcW w:w="312" w:type="pct"/>
            <w:tcBorders>
              <w:tl2br w:val="nil"/>
              <w:tr2bl w:val="nil"/>
            </w:tcBorders>
            <w:shd w:val="clear" w:color="auto" w:fill="auto"/>
            <w:tcMar>
              <w:left w:w="28" w:type="dxa"/>
              <w:right w:w="28" w:type="dxa"/>
            </w:tcMar>
            <w:vAlign w:val="center"/>
          </w:tcPr>
          <w:p w14:paraId="06843A43">
            <w:pPr>
              <w:pStyle w:val="714"/>
              <w:rPr>
                <w:rFonts w:eastAsia="等线" w:cs="Times New Roman"/>
                <w:color w:val="auto"/>
                <w:szCs w:val="21"/>
              </w:rPr>
            </w:pPr>
            <w:r>
              <w:rPr>
                <w:rFonts w:eastAsia="等线" w:cs="Times New Roman"/>
                <w:color w:val="auto"/>
                <w:szCs w:val="21"/>
              </w:rPr>
              <w:t>0.83</w:t>
            </w:r>
          </w:p>
        </w:tc>
        <w:tc>
          <w:tcPr>
            <w:tcW w:w="305" w:type="pct"/>
            <w:tcBorders>
              <w:tl2br w:val="nil"/>
              <w:tr2bl w:val="nil"/>
            </w:tcBorders>
            <w:shd w:val="clear" w:color="auto" w:fill="auto"/>
            <w:tcMar>
              <w:left w:w="28" w:type="dxa"/>
              <w:right w:w="28" w:type="dxa"/>
            </w:tcMar>
            <w:vAlign w:val="center"/>
          </w:tcPr>
          <w:p w14:paraId="770EBD52">
            <w:pPr>
              <w:pStyle w:val="714"/>
              <w:rPr>
                <w:rFonts w:eastAsia="等线" w:cs="Times New Roman"/>
                <w:color w:val="auto"/>
                <w:szCs w:val="21"/>
              </w:rPr>
            </w:pPr>
            <w:r>
              <w:rPr>
                <w:rFonts w:eastAsia="等线" w:cs="Times New Roman"/>
                <w:color w:val="auto"/>
                <w:szCs w:val="21"/>
              </w:rPr>
              <w:t>9.01</w:t>
            </w:r>
          </w:p>
        </w:tc>
        <w:tc>
          <w:tcPr>
            <w:tcW w:w="344" w:type="pct"/>
            <w:tcBorders>
              <w:tl2br w:val="nil"/>
              <w:tr2bl w:val="nil"/>
            </w:tcBorders>
            <w:shd w:val="clear" w:color="auto" w:fill="auto"/>
            <w:tcMar>
              <w:left w:w="28" w:type="dxa"/>
              <w:right w:w="28" w:type="dxa"/>
            </w:tcMar>
            <w:vAlign w:val="center"/>
          </w:tcPr>
          <w:p w14:paraId="56C69440">
            <w:pPr>
              <w:pStyle w:val="714"/>
              <w:rPr>
                <w:rFonts w:eastAsia="等线" w:cs="Times New Roman"/>
                <w:color w:val="auto"/>
                <w:szCs w:val="21"/>
              </w:rPr>
            </w:pPr>
            <w:r>
              <w:rPr>
                <w:rFonts w:eastAsia="等线" w:cs="Times New Roman"/>
                <w:color w:val="auto"/>
                <w:szCs w:val="21"/>
              </w:rPr>
              <w:t>20.3</w:t>
            </w:r>
          </w:p>
        </w:tc>
        <w:tc>
          <w:tcPr>
            <w:tcW w:w="344" w:type="pct"/>
            <w:tcBorders>
              <w:tl2br w:val="nil"/>
              <w:tr2bl w:val="nil"/>
            </w:tcBorders>
            <w:shd w:val="clear" w:color="auto" w:fill="auto"/>
            <w:tcMar>
              <w:left w:w="28" w:type="dxa"/>
              <w:right w:w="28" w:type="dxa"/>
            </w:tcMar>
            <w:vAlign w:val="center"/>
          </w:tcPr>
          <w:p w14:paraId="48DB4966">
            <w:pPr>
              <w:pStyle w:val="714"/>
              <w:rPr>
                <w:rFonts w:eastAsia="等线" w:cs="Times New Roman"/>
                <w:color w:val="auto"/>
                <w:szCs w:val="21"/>
              </w:rPr>
            </w:pPr>
            <w:r>
              <w:rPr>
                <w:rFonts w:eastAsia="等线" w:cs="Times New Roman"/>
                <w:color w:val="auto"/>
                <w:szCs w:val="21"/>
              </w:rPr>
              <w:t>6.52</w:t>
            </w:r>
          </w:p>
        </w:tc>
        <w:tc>
          <w:tcPr>
            <w:tcW w:w="409" w:type="pct"/>
            <w:tcBorders>
              <w:tl2br w:val="nil"/>
              <w:tr2bl w:val="nil"/>
            </w:tcBorders>
            <w:shd w:val="clear" w:color="auto" w:fill="auto"/>
            <w:tcMar>
              <w:left w:w="28" w:type="dxa"/>
              <w:right w:w="28" w:type="dxa"/>
            </w:tcMar>
            <w:vAlign w:val="center"/>
          </w:tcPr>
          <w:p w14:paraId="31329B5D">
            <w:pPr>
              <w:pStyle w:val="714"/>
              <w:rPr>
                <w:rFonts w:eastAsia="等线" w:cs="Times New Roman"/>
                <w:color w:val="auto"/>
                <w:szCs w:val="21"/>
              </w:rPr>
            </w:pPr>
            <w:r>
              <w:rPr>
                <w:rFonts w:eastAsia="等线" w:cs="Times New Roman"/>
                <w:color w:val="auto"/>
                <w:szCs w:val="21"/>
              </w:rPr>
              <w:t>11.4</w:t>
            </w:r>
          </w:p>
        </w:tc>
        <w:tc>
          <w:tcPr>
            <w:tcW w:w="409" w:type="pct"/>
            <w:tcBorders>
              <w:tl2br w:val="nil"/>
              <w:tr2bl w:val="nil"/>
            </w:tcBorders>
            <w:shd w:val="clear" w:color="auto" w:fill="auto"/>
            <w:tcMar>
              <w:left w:w="28" w:type="dxa"/>
              <w:right w:w="28" w:type="dxa"/>
            </w:tcMar>
            <w:vAlign w:val="center"/>
          </w:tcPr>
          <w:p w14:paraId="392C6C26">
            <w:pPr>
              <w:pStyle w:val="714"/>
              <w:rPr>
                <w:rFonts w:eastAsia="等线" w:cs="Times New Roman"/>
                <w:color w:val="auto"/>
                <w:szCs w:val="21"/>
              </w:rPr>
            </w:pPr>
            <w:r>
              <w:rPr>
                <w:rFonts w:eastAsia="等线" w:cs="Times New Roman"/>
                <w:color w:val="auto"/>
                <w:szCs w:val="21"/>
              </w:rPr>
              <w:t>9.46</w:t>
            </w:r>
          </w:p>
        </w:tc>
        <w:tc>
          <w:tcPr>
            <w:tcW w:w="581" w:type="pct"/>
            <w:tcBorders>
              <w:tl2br w:val="nil"/>
              <w:tr2bl w:val="nil"/>
            </w:tcBorders>
            <w:shd w:val="clear" w:color="auto" w:fill="auto"/>
            <w:tcMar>
              <w:left w:w="28" w:type="dxa"/>
              <w:right w:w="28" w:type="dxa"/>
            </w:tcMar>
            <w:vAlign w:val="center"/>
          </w:tcPr>
          <w:p w14:paraId="1CA2D461">
            <w:pPr>
              <w:pStyle w:val="714"/>
              <w:rPr>
                <w:rFonts w:eastAsia="等线" w:cs="Times New Roman"/>
                <w:color w:val="auto"/>
                <w:szCs w:val="21"/>
              </w:rPr>
            </w:pPr>
            <w:r>
              <w:rPr>
                <w:rFonts w:eastAsia="等线" w:cs="Times New Roman"/>
                <w:color w:val="auto"/>
                <w:szCs w:val="21"/>
              </w:rPr>
              <w:t>79</w:t>
            </w:r>
          </w:p>
        </w:tc>
        <w:tc>
          <w:tcPr>
            <w:tcW w:w="339" w:type="pct"/>
            <w:tcBorders>
              <w:tl2br w:val="nil"/>
              <w:tr2bl w:val="nil"/>
            </w:tcBorders>
            <w:shd w:val="clear" w:color="auto" w:fill="auto"/>
            <w:tcMar>
              <w:left w:w="28" w:type="dxa"/>
              <w:right w:w="28" w:type="dxa"/>
            </w:tcMar>
            <w:vAlign w:val="center"/>
          </w:tcPr>
          <w:p w14:paraId="086D8108">
            <w:pPr>
              <w:pStyle w:val="714"/>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305C7489">
            <w:pPr>
              <w:pStyle w:val="714"/>
              <w:rPr>
                <w:rFonts w:eastAsia="等线" w:cs="Times New Roman"/>
                <w:color w:val="auto"/>
                <w:szCs w:val="21"/>
              </w:rPr>
            </w:pPr>
            <w:r>
              <w:rPr>
                <w:rFonts w:eastAsia="等线" w:cs="Times New Roman"/>
                <w:color w:val="auto"/>
                <w:szCs w:val="21"/>
              </w:rPr>
              <w:t>104</w:t>
            </w:r>
          </w:p>
        </w:tc>
        <w:tc>
          <w:tcPr>
            <w:tcW w:w="822" w:type="pct"/>
            <w:tcBorders>
              <w:tl2br w:val="nil"/>
              <w:tr2bl w:val="nil"/>
            </w:tcBorders>
            <w:shd w:val="clear" w:color="auto" w:fill="auto"/>
            <w:noWrap/>
            <w:tcMar>
              <w:left w:w="28" w:type="dxa"/>
              <w:right w:w="28" w:type="dxa"/>
            </w:tcMar>
            <w:vAlign w:val="center"/>
          </w:tcPr>
          <w:p w14:paraId="0DD962A6">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02C42B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2307681D">
            <w:pPr>
              <w:pStyle w:val="714"/>
              <w:rPr>
                <w:color w:val="auto"/>
              </w:rPr>
            </w:pPr>
            <w:r>
              <w:rPr>
                <w:rFonts w:hint="eastAsia"/>
                <w:color w:val="auto"/>
              </w:rPr>
              <w:t>6#</w:t>
            </w:r>
          </w:p>
        </w:tc>
        <w:tc>
          <w:tcPr>
            <w:tcW w:w="435" w:type="pct"/>
            <w:tcBorders>
              <w:tl2br w:val="nil"/>
              <w:tr2bl w:val="nil"/>
            </w:tcBorders>
            <w:shd w:val="clear" w:color="auto" w:fill="auto"/>
            <w:tcMar>
              <w:left w:w="28" w:type="dxa"/>
              <w:right w:w="28" w:type="dxa"/>
            </w:tcMar>
            <w:vAlign w:val="center"/>
          </w:tcPr>
          <w:p w14:paraId="4F942288">
            <w:pPr>
              <w:pStyle w:val="714"/>
              <w:rPr>
                <w:rFonts w:eastAsia="等线" w:cs="Times New Roman"/>
                <w:color w:val="auto"/>
                <w:szCs w:val="21"/>
              </w:rPr>
            </w:pPr>
            <w:r>
              <w:rPr>
                <w:rFonts w:eastAsia="等线" w:cs="Times New Roman"/>
                <w:color w:val="auto"/>
                <w:szCs w:val="21"/>
              </w:rPr>
              <w:t>7</w:t>
            </w:r>
          </w:p>
        </w:tc>
        <w:tc>
          <w:tcPr>
            <w:tcW w:w="312" w:type="pct"/>
            <w:tcBorders>
              <w:tl2br w:val="nil"/>
              <w:tr2bl w:val="nil"/>
            </w:tcBorders>
            <w:shd w:val="clear" w:color="auto" w:fill="auto"/>
            <w:tcMar>
              <w:left w:w="28" w:type="dxa"/>
              <w:right w:w="28" w:type="dxa"/>
            </w:tcMar>
            <w:vAlign w:val="center"/>
          </w:tcPr>
          <w:p w14:paraId="0A955EA8">
            <w:pPr>
              <w:pStyle w:val="714"/>
              <w:rPr>
                <w:rFonts w:eastAsia="等线" w:cs="Times New Roman"/>
                <w:color w:val="auto"/>
                <w:szCs w:val="21"/>
              </w:rPr>
            </w:pPr>
            <w:r>
              <w:rPr>
                <w:rFonts w:eastAsia="等线" w:cs="Times New Roman"/>
                <w:color w:val="auto"/>
                <w:szCs w:val="21"/>
              </w:rPr>
              <w:t>29.6</w:t>
            </w:r>
          </w:p>
        </w:tc>
        <w:tc>
          <w:tcPr>
            <w:tcW w:w="305" w:type="pct"/>
            <w:tcBorders>
              <w:tl2br w:val="nil"/>
              <w:tr2bl w:val="nil"/>
            </w:tcBorders>
            <w:shd w:val="clear" w:color="auto" w:fill="auto"/>
            <w:tcMar>
              <w:left w:w="28" w:type="dxa"/>
              <w:right w:w="28" w:type="dxa"/>
            </w:tcMar>
            <w:vAlign w:val="center"/>
          </w:tcPr>
          <w:p w14:paraId="2A31C2EC">
            <w:pPr>
              <w:pStyle w:val="714"/>
              <w:rPr>
                <w:rFonts w:eastAsia="等线" w:cs="Times New Roman"/>
                <w:color w:val="auto"/>
                <w:szCs w:val="21"/>
              </w:rPr>
            </w:pPr>
            <w:r>
              <w:rPr>
                <w:rFonts w:eastAsia="等线" w:cs="Times New Roman"/>
                <w:color w:val="auto"/>
                <w:szCs w:val="21"/>
              </w:rPr>
              <w:t>48.9</w:t>
            </w:r>
          </w:p>
        </w:tc>
        <w:tc>
          <w:tcPr>
            <w:tcW w:w="344" w:type="pct"/>
            <w:tcBorders>
              <w:tl2br w:val="nil"/>
              <w:tr2bl w:val="nil"/>
            </w:tcBorders>
            <w:shd w:val="clear" w:color="auto" w:fill="auto"/>
            <w:tcMar>
              <w:left w:w="28" w:type="dxa"/>
              <w:right w:w="28" w:type="dxa"/>
            </w:tcMar>
            <w:vAlign w:val="center"/>
          </w:tcPr>
          <w:p w14:paraId="18AD3349">
            <w:pPr>
              <w:pStyle w:val="714"/>
              <w:rPr>
                <w:rFonts w:eastAsia="等线" w:cs="Times New Roman"/>
                <w:color w:val="auto"/>
                <w:szCs w:val="21"/>
              </w:rPr>
            </w:pPr>
            <w:r>
              <w:rPr>
                <w:rFonts w:eastAsia="等线" w:cs="Times New Roman"/>
                <w:color w:val="auto"/>
                <w:szCs w:val="21"/>
              </w:rPr>
              <w:t>84.7</w:t>
            </w:r>
          </w:p>
        </w:tc>
        <w:tc>
          <w:tcPr>
            <w:tcW w:w="344" w:type="pct"/>
            <w:tcBorders>
              <w:tl2br w:val="nil"/>
              <w:tr2bl w:val="nil"/>
            </w:tcBorders>
            <w:shd w:val="clear" w:color="auto" w:fill="auto"/>
            <w:tcMar>
              <w:left w:w="28" w:type="dxa"/>
              <w:right w:w="28" w:type="dxa"/>
            </w:tcMar>
            <w:vAlign w:val="center"/>
          </w:tcPr>
          <w:p w14:paraId="35805BCB">
            <w:pPr>
              <w:pStyle w:val="714"/>
              <w:rPr>
                <w:rFonts w:eastAsia="等线" w:cs="Times New Roman"/>
                <w:color w:val="auto"/>
                <w:szCs w:val="21"/>
              </w:rPr>
            </w:pPr>
            <w:r>
              <w:rPr>
                <w:rFonts w:eastAsia="等线" w:cs="Times New Roman"/>
                <w:color w:val="auto"/>
                <w:szCs w:val="21"/>
              </w:rPr>
              <w:t>31.7</w:t>
            </w:r>
          </w:p>
        </w:tc>
        <w:tc>
          <w:tcPr>
            <w:tcW w:w="409" w:type="pct"/>
            <w:tcBorders>
              <w:tl2br w:val="nil"/>
              <w:tr2bl w:val="nil"/>
            </w:tcBorders>
            <w:shd w:val="clear" w:color="auto" w:fill="auto"/>
            <w:tcMar>
              <w:left w:w="28" w:type="dxa"/>
              <w:right w:w="28" w:type="dxa"/>
            </w:tcMar>
            <w:vAlign w:val="center"/>
          </w:tcPr>
          <w:p w14:paraId="44EBE5C2">
            <w:pPr>
              <w:pStyle w:val="714"/>
              <w:rPr>
                <w:rFonts w:eastAsia="等线" w:cs="Times New Roman"/>
                <w:color w:val="auto"/>
                <w:szCs w:val="21"/>
              </w:rPr>
            </w:pPr>
            <w:r>
              <w:rPr>
                <w:rFonts w:eastAsia="等线" w:cs="Times New Roman"/>
                <w:color w:val="auto"/>
                <w:szCs w:val="21"/>
              </w:rPr>
              <w:t>49.8</w:t>
            </w:r>
          </w:p>
        </w:tc>
        <w:tc>
          <w:tcPr>
            <w:tcW w:w="409" w:type="pct"/>
            <w:tcBorders>
              <w:tl2br w:val="nil"/>
              <w:tr2bl w:val="nil"/>
            </w:tcBorders>
            <w:shd w:val="clear" w:color="auto" w:fill="auto"/>
            <w:tcMar>
              <w:left w:w="28" w:type="dxa"/>
              <w:right w:w="28" w:type="dxa"/>
            </w:tcMar>
            <w:vAlign w:val="center"/>
          </w:tcPr>
          <w:p w14:paraId="081D31D6">
            <w:pPr>
              <w:pStyle w:val="714"/>
              <w:rPr>
                <w:rFonts w:eastAsia="等线" w:cs="Times New Roman"/>
                <w:color w:val="auto"/>
                <w:szCs w:val="21"/>
              </w:rPr>
            </w:pPr>
            <w:r>
              <w:rPr>
                <w:rFonts w:eastAsia="等线" w:cs="Times New Roman"/>
                <w:color w:val="auto"/>
                <w:szCs w:val="21"/>
              </w:rPr>
              <w:t>38.5</w:t>
            </w:r>
          </w:p>
        </w:tc>
        <w:tc>
          <w:tcPr>
            <w:tcW w:w="581" w:type="pct"/>
            <w:tcBorders>
              <w:tl2br w:val="nil"/>
              <w:tr2bl w:val="nil"/>
            </w:tcBorders>
            <w:shd w:val="clear" w:color="auto" w:fill="auto"/>
            <w:tcMar>
              <w:left w:w="28" w:type="dxa"/>
              <w:right w:w="28" w:type="dxa"/>
            </w:tcMar>
            <w:vAlign w:val="center"/>
          </w:tcPr>
          <w:p w14:paraId="30A230CE">
            <w:pPr>
              <w:pStyle w:val="714"/>
              <w:rPr>
                <w:rFonts w:eastAsia="等线" w:cs="Times New Roman"/>
                <w:color w:val="auto"/>
                <w:szCs w:val="21"/>
              </w:rPr>
            </w:pPr>
            <w:r>
              <w:rPr>
                <w:rFonts w:eastAsia="等线" w:cs="Times New Roman"/>
                <w:color w:val="auto"/>
                <w:szCs w:val="21"/>
              </w:rPr>
              <w:t>427</w:t>
            </w:r>
          </w:p>
        </w:tc>
        <w:tc>
          <w:tcPr>
            <w:tcW w:w="339" w:type="pct"/>
            <w:tcBorders>
              <w:tl2br w:val="nil"/>
              <w:tr2bl w:val="nil"/>
            </w:tcBorders>
            <w:shd w:val="clear" w:color="auto" w:fill="auto"/>
            <w:tcMar>
              <w:left w:w="28" w:type="dxa"/>
              <w:right w:w="28" w:type="dxa"/>
            </w:tcMar>
            <w:vAlign w:val="center"/>
          </w:tcPr>
          <w:p w14:paraId="7950BD96">
            <w:pPr>
              <w:pStyle w:val="714"/>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49005973">
            <w:pPr>
              <w:pStyle w:val="714"/>
              <w:rPr>
                <w:rFonts w:eastAsia="等线" w:cs="Times New Roman"/>
                <w:color w:val="auto"/>
                <w:szCs w:val="21"/>
              </w:rPr>
            </w:pPr>
            <w:r>
              <w:rPr>
                <w:rFonts w:eastAsia="等线" w:cs="Times New Roman"/>
                <w:color w:val="auto"/>
                <w:szCs w:val="21"/>
              </w:rPr>
              <w:t>533</w:t>
            </w:r>
          </w:p>
        </w:tc>
        <w:tc>
          <w:tcPr>
            <w:tcW w:w="822" w:type="pct"/>
            <w:tcBorders>
              <w:tl2br w:val="nil"/>
              <w:tr2bl w:val="nil"/>
            </w:tcBorders>
            <w:shd w:val="clear" w:color="auto" w:fill="auto"/>
            <w:noWrap/>
            <w:tcMar>
              <w:left w:w="28" w:type="dxa"/>
              <w:right w:w="28" w:type="dxa"/>
            </w:tcMar>
            <w:vAlign w:val="center"/>
          </w:tcPr>
          <w:p w14:paraId="17160A45">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62B946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3" w:type="pct"/>
            <w:tcBorders>
              <w:tl2br w:val="nil"/>
              <w:tr2bl w:val="nil"/>
            </w:tcBorders>
            <w:shd w:val="clear" w:color="auto" w:fill="auto"/>
            <w:tcMar>
              <w:left w:w="28" w:type="dxa"/>
              <w:right w:w="28" w:type="dxa"/>
            </w:tcMar>
            <w:vAlign w:val="center"/>
          </w:tcPr>
          <w:p w14:paraId="47334E09">
            <w:pPr>
              <w:pStyle w:val="714"/>
              <w:rPr>
                <w:color w:val="auto"/>
              </w:rPr>
            </w:pPr>
            <w:r>
              <w:rPr>
                <w:rFonts w:hint="eastAsia"/>
                <w:color w:val="auto"/>
              </w:rPr>
              <w:t>7#</w:t>
            </w:r>
          </w:p>
        </w:tc>
        <w:tc>
          <w:tcPr>
            <w:tcW w:w="435" w:type="pct"/>
            <w:tcBorders>
              <w:tl2br w:val="nil"/>
              <w:tr2bl w:val="nil"/>
            </w:tcBorders>
            <w:shd w:val="clear" w:color="auto" w:fill="auto"/>
            <w:tcMar>
              <w:left w:w="28" w:type="dxa"/>
              <w:right w:w="28" w:type="dxa"/>
            </w:tcMar>
            <w:vAlign w:val="center"/>
          </w:tcPr>
          <w:p w14:paraId="4F6D5B0C">
            <w:pPr>
              <w:pStyle w:val="714"/>
              <w:rPr>
                <w:rFonts w:eastAsia="等线" w:cs="Times New Roman"/>
                <w:color w:val="auto"/>
                <w:szCs w:val="21"/>
              </w:rPr>
            </w:pPr>
            <w:r>
              <w:rPr>
                <w:rFonts w:eastAsia="等线" w:cs="Times New Roman"/>
                <w:color w:val="auto"/>
                <w:szCs w:val="21"/>
              </w:rPr>
              <w:t>7</w:t>
            </w:r>
          </w:p>
        </w:tc>
        <w:tc>
          <w:tcPr>
            <w:tcW w:w="312" w:type="pct"/>
            <w:tcBorders>
              <w:tl2br w:val="nil"/>
              <w:tr2bl w:val="nil"/>
            </w:tcBorders>
            <w:shd w:val="clear" w:color="auto" w:fill="auto"/>
            <w:tcMar>
              <w:left w:w="28" w:type="dxa"/>
              <w:right w:w="28" w:type="dxa"/>
            </w:tcMar>
            <w:vAlign w:val="center"/>
          </w:tcPr>
          <w:p w14:paraId="22AA5968">
            <w:pPr>
              <w:pStyle w:val="714"/>
              <w:rPr>
                <w:rFonts w:eastAsia="等线" w:cs="Times New Roman"/>
                <w:color w:val="auto"/>
                <w:szCs w:val="21"/>
              </w:rPr>
            </w:pPr>
            <w:r>
              <w:rPr>
                <w:rFonts w:eastAsia="等线" w:cs="Times New Roman"/>
                <w:color w:val="auto"/>
                <w:szCs w:val="21"/>
              </w:rPr>
              <w:t>7.12</w:t>
            </w:r>
          </w:p>
        </w:tc>
        <w:tc>
          <w:tcPr>
            <w:tcW w:w="305" w:type="pct"/>
            <w:tcBorders>
              <w:tl2br w:val="nil"/>
              <w:tr2bl w:val="nil"/>
            </w:tcBorders>
            <w:shd w:val="clear" w:color="auto" w:fill="auto"/>
            <w:tcMar>
              <w:left w:w="28" w:type="dxa"/>
              <w:right w:w="28" w:type="dxa"/>
            </w:tcMar>
            <w:vAlign w:val="center"/>
          </w:tcPr>
          <w:p w14:paraId="56CCB58F">
            <w:pPr>
              <w:pStyle w:val="714"/>
              <w:rPr>
                <w:rFonts w:eastAsia="等线" w:cs="Times New Roman"/>
                <w:color w:val="auto"/>
                <w:szCs w:val="21"/>
              </w:rPr>
            </w:pPr>
            <w:r>
              <w:rPr>
                <w:rFonts w:eastAsia="等线" w:cs="Times New Roman"/>
                <w:color w:val="auto"/>
                <w:szCs w:val="21"/>
              </w:rPr>
              <w:t>19.7</w:t>
            </w:r>
          </w:p>
        </w:tc>
        <w:tc>
          <w:tcPr>
            <w:tcW w:w="344" w:type="pct"/>
            <w:tcBorders>
              <w:tl2br w:val="nil"/>
              <w:tr2bl w:val="nil"/>
            </w:tcBorders>
            <w:shd w:val="clear" w:color="auto" w:fill="auto"/>
            <w:tcMar>
              <w:left w:w="28" w:type="dxa"/>
              <w:right w:w="28" w:type="dxa"/>
            </w:tcMar>
            <w:vAlign w:val="center"/>
          </w:tcPr>
          <w:p w14:paraId="79D9CB8B">
            <w:pPr>
              <w:pStyle w:val="714"/>
              <w:rPr>
                <w:rFonts w:eastAsia="等线" w:cs="Times New Roman"/>
                <w:color w:val="auto"/>
                <w:szCs w:val="21"/>
              </w:rPr>
            </w:pPr>
            <w:r>
              <w:rPr>
                <w:rFonts w:eastAsia="等线" w:cs="Times New Roman"/>
                <w:color w:val="auto"/>
                <w:szCs w:val="21"/>
              </w:rPr>
              <w:t>53.7</w:t>
            </w:r>
          </w:p>
        </w:tc>
        <w:tc>
          <w:tcPr>
            <w:tcW w:w="344" w:type="pct"/>
            <w:tcBorders>
              <w:tl2br w:val="nil"/>
              <w:tr2bl w:val="nil"/>
            </w:tcBorders>
            <w:shd w:val="clear" w:color="auto" w:fill="auto"/>
            <w:tcMar>
              <w:left w:w="28" w:type="dxa"/>
              <w:right w:w="28" w:type="dxa"/>
            </w:tcMar>
            <w:vAlign w:val="center"/>
          </w:tcPr>
          <w:p w14:paraId="478D7F9C">
            <w:pPr>
              <w:pStyle w:val="714"/>
              <w:rPr>
                <w:rFonts w:eastAsia="等线" w:cs="Times New Roman"/>
                <w:color w:val="auto"/>
                <w:szCs w:val="21"/>
              </w:rPr>
            </w:pPr>
            <w:r>
              <w:rPr>
                <w:rFonts w:eastAsia="等线" w:cs="Times New Roman"/>
                <w:color w:val="auto"/>
                <w:szCs w:val="21"/>
              </w:rPr>
              <w:t>16.5</w:t>
            </w:r>
          </w:p>
        </w:tc>
        <w:tc>
          <w:tcPr>
            <w:tcW w:w="409" w:type="pct"/>
            <w:tcBorders>
              <w:tl2br w:val="nil"/>
              <w:tr2bl w:val="nil"/>
            </w:tcBorders>
            <w:shd w:val="clear" w:color="auto" w:fill="auto"/>
            <w:tcMar>
              <w:left w:w="28" w:type="dxa"/>
              <w:right w:w="28" w:type="dxa"/>
            </w:tcMar>
            <w:vAlign w:val="center"/>
          </w:tcPr>
          <w:p w14:paraId="3B3FD224">
            <w:pPr>
              <w:pStyle w:val="714"/>
              <w:rPr>
                <w:rFonts w:eastAsia="等线" w:cs="Times New Roman"/>
                <w:color w:val="auto"/>
                <w:szCs w:val="21"/>
              </w:rPr>
            </w:pPr>
            <w:r>
              <w:rPr>
                <w:rFonts w:eastAsia="等线" w:cs="Times New Roman"/>
                <w:color w:val="auto"/>
                <w:szCs w:val="21"/>
              </w:rPr>
              <w:t>12.3</w:t>
            </w:r>
          </w:p>
        </w:tc>
        <w:tc>
          <w:tcPr>
            <w:tcW w:w="409" w:type="pct"/>
            <w:tcBorders>
              <w:tl2br w:val="nil"/>
              <w:tr2bl w:val="nil"/>
            </w:tcBorders>
            <w:shd w:val="clear" w:color="auto" w:fill="auto"/>
            <w:tcMar>
              <w:left w:w="28" w:type="dxa"/>
              <w:right w:w="28" w:type="dxa"/>
            </w:tcMar>
            <w:vAlign w:val="center"/>
          </w:tcPr>
          <w:p w14:paraId="2EB8C9AC">
            <w:pPr>
              <w:pStyle w:val="714"/>
              <w:rPr>
                <w:rFonts w:eastAsia="等线" w:cs="Times New Roman"/>
                <w:color w:val="auto"/>
                <w:szCs w:val="21"/>
              </w:rPr>
            </w:pPr>
            <w:r>
              <w:rPr>
                <w:rFonts w:eastAsia="等线" w:cs="Times New Roman"/>
                <w:color w:val="auto"/>
                <w:szCs w:val="21"/>
              </w:rPr>
              <w:t>14.9</w:t>
            </w:r>
          </w:p>
        </w:tc>
        <w:tc>
          <w:tcPr>
            <w:tcW w:w="581" w:type="pct"/>
            <w:tcBorders>
              <w:tl2br w:val="nil"/>
              <w:tr2bl w:val="nil"/>
            </w:tcBorders>
            <w:shd w:val="clear" w:color="auto" w:fill="auto"/>
            <w:tcMar>
              <w:left w:w="28" w:type="dxa"/>
              <w:right w:w="28" w:type="dxa"/>
            </w:tcMar>
            <w:vAlign w:val="center"/>
          </w:tcPr>
          <w:p w14:paraId="68A2D876">
            <w:pPr>
              <w:pStyle w:val="714"/>
              <w:rPr>
                <w:rFonts w:eastAsia="等线" w:cs="Times New Roman"/>
                <w:color w:val="auto"/>
                <w:szCs w:val="21"/>
              </w:rPr>
            </w:pPr>
            <w:r>
              <w:rPr>
                <w:rFonts w:eastAsia="等线" w:cs="Times New Roman"/>
                <w:color w:val="auto"/>
                <w:szCs w:val="21"/>
              </w:rPr>
              <w:t>252</w:t>
            </w:r>
          </w:p>
        </w:tc>
        <w:tc>
          <w:tcPr>
            <w:tcW w:w="339" w:type="pct"/>
            <w:tcBorders>
              <w:tl2br w:val="nil"/>
              <w:tr2bl w:val="nil"/>
            </w:tcBorders>
            <w:shd w:val="clear" w:color="auto" w:fill="auto"/>
            <w:tcMar>
              <w:left w:w="28" w:type="dxa"/>
              <w:right w:w="28" w:type="dxa"/>
            </w:tcMar>
            <w:vAlign w:val="center"/>
          </w:tcPr>
          <w:p w14:paraId="03C1E203">
            <w:pPr>
              <w:pStyle w:val="714"/>
              <w:rPr>
                <w:rFonts w:eastAsia="等线" w:cs="Times New Roman"/>
                <w:color w:val="auto"/>
                <w:szCs w:val="21"/>
              </w:rPr>
            </w:pPr>
            <w:r>
              <w:rPr>
                <w:rFonts w:hint="eastAsia" w:eastAsia="等线" w:cs="Times New Roman"/>
                <w:color w:val="auto"/>
                <w:szCs w:val="21"/>
              </w:rPr>
              <w:t>＜5</w:t>
            </w:r>
          </w:p>
        </w:tc>
        <w:tc>
          <w:tcPr>
            <w:tcW w:w="350" w:type="pct"/>
            <w:tcBorders>
              <w:tl2br w:val="nil"/>
              <w:tr2bl w:val="nil"/>
            </w:tcBorders>
            <w:shd w:val="clear" w:color="auto" w:fill="auto"/>
            <w:tcMar>
              <w:left w:w="28" w:type="dxa"/>
              <w:right w:w="28" w:type="dxa"/>
            </w:tcMar>
            <w:vAlign w:val="center"/>
          </w:tcPr>
          <w:p w14:paraId="7B10897E">
            <w:pPr>
              <w:pStyle w:val="714"/>
              <w:rPr>
                <w:rFonts w:eastAsia="等线" w:cs="Times New Roman"/>
                <w:color w:val="auto"/>
                <w:szCs w:val="21"/>
              </w:rPr>
            </w:pPr>
            <w:r>
              <w:rPr>
                <w:rFonts w:eastAsia="等线" w:cs="Times New Roman"/>
                <w:color w:val="auto"/>
                <w:szCs w:val="21"/>
              </w:rPr>
              <w:t>270</w:t>
            </w:r>
          </w:p>
        </w:tc>
        <w:tc>
          <w:tcPr>
            <w:tcW w:w="822" w:type="pct"/>
            <w:tcBorders>
              <w:tl2br w:val="nil"/>
              <w:tr2bl w:val="nil"/>
            </w:tcBorders>
            <w:shd w:val="clear" w:color="auto" w:fill="auto"/>
            <w:noWrap/>
            <w:tcMar>
              <w:left w:w="28" w:type="dxa"/>
              <w:right w:w="28" w:type="dxa"/>
            </w:tcMar>
            <w:vAlign w:val="center"/>
          </w:tcPr>
          <w:p w14:paraId="60DD5339">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bl>
    <w:p w14:paraId="1EB1C29D">
      <w:pPr>
        <w:pStyle w:val="714"/>
        <w:rPr>
          <w:rFonts w:cs="Times New Roman"/>
          <w:snapToGrid w:val="0"/>
          <w:color w:val="auto"/>
        </w:rPr>
      </w:pPr>
      <w:r>
        <w:rPr>
          <w:rFonts w:cs="Times New Roman"/>
          <w:color w:val="auto"/>
        </w:rPr>
        <w:drawing>
          <wp:inline distT="0" distB="0" distL="0" distR="0">
            <wp:extent cx="4688840" cy="4086860"/>
            <wp:effectExtent l="0" t="0" r="16510" b="8890"/>
            <wp:docPr id="9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2"/>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694218" cy="4091628"/>
                    </a:xfrm>
                    <a:prstGeom prst="rect">
                      <a:avLst/>
                    </a:prstGeom>
                  </pic:spPr>
                </pic:pic>
              </a:graphicData>
            </a:graphic>
          </wp:inline>
        </w:drawing>
      </w:r>
    </w:p>
    <w:p w14:paraId="4B525C94">
      <w:pPr>
        <w:pStyle w:val="713"/>
        <w:rPr>
          <w:rFonts w:cs="Times New Roman"/>
          <w:color w:val="auto"/>
        </w:rPr>
      </w:pPr>
      <w:r>
        <w:rPr>
          <w:rFonts w:cs="Times New Roman"/>
          <w:color w:val="auto"/>
        </w:rPr>
        <w:t>图</w:t>
      </w:r>
      <w:r>
        <w:rPr>
          <w:rFonts w:hint="eastAsia" w:cs="Times New Roman"/>
          <w:color w:val="auto"/>
          <w:lang w:val="en-US" w:eastAsia="zh-CN"/>
        </w:rPr>
        <w:t>3.2</w:t>
      </w:r>
      <w:r>
        <w:rPr>
          <w:rFonts w:cs="Times New Roman"/>
          <w:color w:val="auto"/>
        </w:rPr>
        <w:t>-2  水化学piper三线图</w:t>
      </w:r>
    </w:p>
    <w:p w14:paraId="656F68E4">
      <w:pPr>
        <w:pStyle w:val="10"/>
        <w:bidi w:val="0"/>
        <w:rPr>
          <w:color w:val="auto"/>
        </w:rPr>
      </w:pPr>
      <w:r>
        <w:rPr>
          <w:color w:val="auto"/>
        </w:rPr>
        <w:t>地下水污染源调查</w:t>
      </w:r>
    </w:p>
    <w:p w14:paraId="025D59FC">
      <w:pPr>
        <w:bidi w:val="0"/>
        <w:rPr>
          <w:b/>
          <w:bCs/>
          <w:color w:val="auto"/>
        </w:rPr>
      </w:pPr>
      <w:bookmarkStart w:id="149" w:name="_Toc327221739"/>
      <w:r>
        <w:rPr>
          <w:rFonts w:hint="eastAsia"/>
          <w:b/>
          <w:bCs/>
          <w:color w:val="auto"/>
          <w:lang w:val="en-US" w:eastAsia="zh-CN"/>
        </w:rPr>
        <w:t>1、</w:t>
      </w:r>
      <w:r>
        <w:rPr>
          <w:b/>
          <w:bCs/>
          <w:color w:val="auto"/>
        </w:rPr>
        <w:t>原生水文地质问题调查</w:t>
      </w:r>
    </w:p>
    <w:p w14:paraId="7CAF1185">
      <w:pPr>
        <w:ind w:firstLine="480"/>
        <w:rPr>
          <w:rFonts w:cs="Times New Roman"/>
          <w:color w:val="auto"/>
        </w:rPr>
      </w:pPr>
      <w:r>
        <w:rPr>
          <w:color w:val="auto"/>
        </w:rPr>
        <w:t>根据评价区地下水水质监测结果，评价区地下水化学类型为HCO</w:t>
      </w:r>
      <w:r>
        <w:rPr>
          <w:color w:val="auto"/>
          <w:vertAlign w:val="subscript"/>
        </w:rPr>
        <w:t>3</w:t>
      </w:r>
      <w:r>
        <w:rPr>
          <w:color w:val="auto"/>
        </w:rPr>
        <w:t>-Ca•Mg型，pH介于6.9～7.</w:t>
      </w:r>
      <w:r>
        <w:rPr>
          <w:rFonts w:hint="eastAsia"/>
          <w:color w:val="auto"/>
        </w:rPr>
        <w:t>2</w:t>
      </w:r>
      <w:r>
        <w:rPr>
          <w:color w:val="auto"/>
        </w:rPr>
        <w:t>，呈弱酸-弱碱性，矿化度介于</w:t>
      </w:r>
      <w:r>
        <w:rPr>
          <w:rFonts w:hint="eastAsia"/>
          <w:color w:val="auto"/>
        </w:rPr>
        <w:t>1</w:t>
      </w:r>
      <w:r>
        <w:rPr>
          <w:color w:val="auto"/>
        </w:rPr>
        <w:t>0</w:t>
      </w:r>
      <w:r>
        <w:rPr>
          <w:rFonts w:hint="eastAsia"/>
          <w:color w:val="auto"/>
        </w:rPr>
        <w:t>4</w:t>
      </w:r>
      <w:r>
        <w:rPr>
          <w:color w:val="auto"/>
        </w:rPr>
        <w:t>～</w:t>
      </w:r>
      <w:r>
        <w:rPr>
          <w:rFonts w:hint="eastAsia"/>
          <w:color w:val="auto"/>
        </w:rPr>
        <w:t>925</w:t>
      </w:r>
      <w:r>
        <w:rPr>
          <w:color w:val="auto"/>
        </w:rPr>
        <w:t>mg/L，属低矿化度淡水。</w:t>
      </w:r>
      <w:r>
        <w:rPr>
          <w:rFonts w:eastAsia="宋体"/>
          <w:color w:val="auto"/>
        </w:rPr>
        <w:t>根据相关资料及调查访问，评价区未出现地方病等与地下水相关的环境问题。</w:t>
      </w:r>
    </w:p>
    <w:bookmarkEnd w:id="149"/>
    <w:p w14:paraId="4B989F55">
      <w:pPr>
        <w:bidi w:val="0"/>
        <w:rPr>
          <w:color w:val="auto"/>
        </w:rPr>
      </w:pPr>
      <w:bookmarkStart w:id="150" w:name="_Toc327221740"/>
      <w:r>
        <w:rPr>
          <w:rFonts w:hint="eastAsia"/>
          <w:color w:val="auto"/>
          <w:lang w:val="en-US" w:eastAsia="zh-CN"/>
        </w:rPr>
        <w:t>2、</w:t>
      </w:r>
      <w:r>
        <w:rPr>
          <w:color w:val="auto"/>
        </w:rPr>
        <w:t>地下水污染源调查</w:t>
      </w:r>
    </w:p>
    <w:p w14:paraId="3264DCC9">
      <w:pPr>
        <w:ind w:firstLine="480"/>
        <w:rPr>
          <w:rFonts w:cs="Times New Roman"/>
          <w:color w:val="auto"/>
        </w:rPr>
      </w:pPr>
      <w:r>
        <w:rPr>
          <w:color w:val="auto"/>
        </w:rPr>
        <w:t>通过现场调查和取样分析，评价区范围内地下水水质较好，无天然劣质水分布，无地方性疾病等地下水环境原生问题。项目地处</w:t>
      </w:r>
      <w:r>
        <w:rPr>
          <w:rFonts w:hint="eastAsia"/>
          <w:color w:val="auto"/>
        </w:rPr>
        <w:t>河流阶地，为尚未建设的规划园区部分</w:t>
      </w:r>
      <w:r>
        <w:rPr>
          <w:color w:val="auto"/>
        </w:rPr>
        <w:t>，地形相对平缓，项目周边评价范围内部分大量居民，生活污水若收集处理不当或发生泄漏，会对地下水环境产生一定的影响，主要的影响因子为高锰酸盐指数、氨氮和大肠杆菌等。</w:t>
      </w:r>
    </w:p>
    <w:bookmarkEnd w:id="150"/>
    <w:p w14:paraId="0B8BE1DE">
      <w:pPr>
        <w:pStyle w:val="10"/>
        <w:bidi w:val="0"/>
        <w:rPr>
          <w:color w:val="auto"/>
        </w:rPr>
      </w:pPr>
      <w:r>
        <w:rPr>
          <w:color w:val="auto"/>
        </w:rPr>
        <w:t>地下水环境质量现状监测</w:t>
      </w:r>
    </w:p>
    <w:p w14:paraId="459471FA">
      <w:pPr>
        <w:pageBreakBefore w:val="0"/>
        <w:wordWrap/>
        <w:bidi w:val="0"/>
        <w:adjustRightInd/>
        <w:snapToGrid/>
        <w:ind w:firstLine="480"/>
        <w:rPr>
          <w:color w:val="auto"/>
        </w:rPr>
      </w:pPr>
      <w:r>
        <w:rPr>
          <w:color w:val="auto"/>
        </w:rPr>
        <w:t>（1）监测点位</w:t>
      </w:r>
    </w:p>
    <w:p w14:paraId="7A9E054F">
      <w:pPr>
        <w:pageBreakBefore w:val="0"/>
        <w:wordWrap/>
        <w:bidi w:val="0"/>
        <w:adjustRightInd/>
        <w:snapToGrid/>
        <w:ind w:firstLine="480"/>
        <w:textAlignment w:val="baseline"/>
        <w:rPr>
          <w:color w:val="auto"/>
        </w:rPr>
      </w:pPr>
      <w:r>
        <w:rPr>
          <w:color w:val="auto"/>
          <w:szCs w:val="22"/>
        </w:rPr>
        <w:t>本项目共设置</w:t>
      </w:r>
      <w:r>
        <w:rPr>
          <w:rFonts w:hint="eastAsia"/>
          <w:color w:val="auto"/>
          <w:szCs w:val="22"/>
          <w:lang w:val="en-US" w:eastAsia="zh-CN"/>
        </w:rPr>
        <w:t>7</w:t>
      </w:r>
      <w:r>
        <w:rPr>
          <w:color w:val="auto"/>
          <w:szCs w:val="22"/>
        </w:rPr>
        <w:t>个地下水水质监测点，</w:t>
      </w:r>
      <w:r>
        <w:rPr>
          <w:rFonts w:hint="eastAsia"/>
          <w:color w:val="auto"/>
          <w:szCs w:val="22"/>
          <w:lang w:val="en-US" w:eastAsia="zh-CN"/>
        </w:rPr>
        <w:t>14</w:t>
      </w:r>
      <w:r>
        <w:rPr>
          <w:color w:val="auto"/>
          <w:szCs w:val="22"/>
        </w:rPr>
        <w:t>个水位监测点。评价区域周围地下水监测点位见</w:t>
      </w:r>
      <w:r>
        <w:rPr>
          <w:rFonts w:hint="eastAsia"/>
          <w:color w:val="auto"/>
          <w:lang w:val="en-US" w:eastAsia="zh-CN"/>
        </w:rPr>
        <w:t>下表</w:t>
      </w:r>
      <w:r>
        <w:rPr>
          <w:color w:val="auto"/>
        </w:rPr>
        <w:t>。</w:t>
      </w:r>
    </w:p>
    <w:p w14:paraId="11A2C5E6">
      <w:pPr>
        <w:pStyle w:val="19"/>
        <w:keepNext w:val="0"/>
        <w:keepLines w:val="0"/>
        <w:pageBreakBefore w:val="0"/>
        <w:widowControl w:val="0"/>
        <w:numPr>
          <w:ilvl w:val="0"/>
          <w:numId w:val="28"/>
        </w:numPr>
        <w:kinsoku/>
        <w:wordWrap/>
        <w:overflowPunct/>
        <w:topLinePunct w:val="0"/>
        <w:autoSpaceDE/>
        <w:autoSpaceDN/>
        <w:bidi w:val="0"/>
        <w:adjustRightInd/>
        <w:snapToGrid/>
        <w:spacing w:before="0" w:beforeLines="50"/>
        <w:textAlignment w:val="auto"/>
        <w:rPr>
          <w:color w:val="auto"/>
        </w:rPr>
      </w:pPr>
      <w:r>
        <w:rPr>
          <w:color w:val="auto"/>
        </w:rPr>
        <w:t>地下水现状监测点布置一览表</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29"/>
        <w:gridCol w:w="1166"/>
        <w:gridCol w:w="6346"/>
      </w:tblGrid>
      <w:tr w14:paraId="6DDC09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9" w:type="pct"/>
            <w:tcBorders>
              <w:tl2br w:val="nil"/>
              <w:tr2bl w:val="nil"/>
            </w:tcBorders>
            <w:noWrap w:val="0"/>
            <w:vAlign w:val="center"/>
          </w:tcPr>
          <w:p w14:paraId="03AD3B32">
            <w:pPr>
              <w:adjustRightInd/>
              <w:spacing w:line="240" w:lineRule="auto"/>
              <w:ind w:firstLine="0" w:firstLineChars="0"/>
              <w:jc w:val="center"/>
              <w:textAlignment w:val="baseline"/>
              <w:rPr>
                <w:b/>
                <w:bCs/>
                <w:color w:val="auto"/>
                <w:sz w:val="21"/>
                <w:szCs w:val="22"/>
              </w:rPr>
            </w:pPr>
            <w:r>
              <w:rPr>
                <w:b/>
                <w:bCs/>
                <w:color w:val="auto"/>
                <w:sz w:val="21"/>
                <w:szCs w:val="22"/>
              </w:rPr>
              <w:t>监测类别</w:t>
            </w:r>
          </w:p>
        </w:tc>
        <w:tc>
          <w:tcPr>
            <w:tcW w:w="652" w:type="pct"/>
            <w:tcBorders>
              <w:tl2br w:val="nil"/>
              <w:tr2bl w:val="nil"/>
            </w:tcBorders>
            <w:noWrap w:val="0"/>
            <w:vAlign w:val="center"/>
          </w:tcPr>
          <w:p w14:paraId="7069787E">
            <w:pPr>
              <w:adjustRightInd/>
              <w:spacing w:line="240" w:lineRule="auto"/>
              <w:ind w:firstLine="0" w:firstLineChars="0"/>
              <w:jc w:val="center"/>
              <w:textAlignment w:val="baseline"/>
              <w:rPr>
                <w:b/>
                <w:bCs/>
                <w:color w:val="auto"/>
                <w:sz w:val="21"/>
                <w:szCs w:val="22"/>
              </w:rPr>
            </w:pPr>
            <w:r>
              <w:rPr>
                <w:b/>
                <w:bCs/>
                <w:color w:val="auto"/>
                <w:sz w:val="21"/>
                <w:szCs w:val="22"/>
              </w:rPr>
              <w:t>编号</w:t>
            </w:r>
          </w:p>
        </w:tc>
        <w:tc>
          <w:tcPr>
            <w:tcW w:w="3548" w:type="pct"/>
            <w:tcBorders>
              <w:tl2br w:val="nil"/>
              <w:tr2bl w:val="nil"/>
            </w:tcBorders>
            <w:noWrap w:val="0"/>
            <w:vAlign w:val="center"/>
          </w:tcPr>
          <w:p w14:paraId="236B8D37">
            <w:pPr>
              <w:adjustRightInd/>
              <w:spacing w:line="240" w:lineRule="auto"/>
              <w:ind w:firstLine="0" w:firstLineChars="0"/>
              <w:jc w:val="center"/>
              <w:textAlignment w:val="baseline"/>
              <w:rPr>
                <w:b/>
                <w:bCs/>
                <w:color w:val="auto"/>
                <w:sz w:val="21"/>
                <w:szCs w:val="22"/>
              </w:rPr>
            </w:pPr>
            <w:r>
              <w:rPr>
                <w:b/>
                <w:bCs/>
                <w:color w:val="auto"/>
                <w:sz w:val="21"/>
                <w:szCs w:val="22"/>
              </w:rPr>
              <w:t>监测点位名称</w:t>
            </w:r>
          </w:p>
        </w:tc>
      </w:tr>
      <w:tr w14:paraId="16BBE4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9" w:type="pct"/>
            <w:tcBorders>
              <w:tl2br w:val="nil"/>
              <w:tr2bl w:val="nil"/>
            </w:tcBorders>
            <w:noWrap w:val="0"/>
            <w:vAlign w:val="center"/>
          </w:tcPr>
          <w:p w14:paraId="5D3D8703">
            <w:pPr>
              <w:adjustRightInd/>
              <w:spacing w:line="240" w:lineRule="auto"/>
              <w:ind w:firstLine="0" w:firstLineChars="0"/>
              <w:jc w:val="center"/>
              <w:textAlignment w:val="baseline"/>
              <w:rPr>
                <w:color w:val="auto"/>
                <w:sz w:val="21"/>
                <w:szCs w:val="22"/>
              </w:rPr>
            </w:pPr>
            <w:r>
              <w:rPr>
                <w:color w:val="auto"/>
                <w:sz w:val="21"/>
                <w:szCs w:val="22"/>
              </w:rPr>
              <w:t>水质监测点</w:t>
            </w:r>
          </w:p>
        </w:tc>
        <w:tc>
          <w:tcPr>
            <w:tcW w:w="652" w:type="pct"/>
            <w:tcBorders>
              <w:tl2br w:val="nil"/>
              <w:tr2bl w:val="nil"/>
            </w:tcBorders>
            <w:noWrap w:val="0"/>
            <w:vAlign w:val="center"/>
          </w:tcPr>
          <w:p w14:paraId="0F350DB5">
            <w:pPr>
              <w:adjustRightInd/>
              <w:spacing w:line="240" w:lineRule="auto"/>
              <w:ind w:firstLine="0" w:firstLineChars="0"/>
              <w:jc w:val="center"/>
              <w:textAlignment w:val="baseline"/>
              <w:rPr>
                <w:rFonts w:hint="default" w:eastAsia="宋体"/>
                <w:color w:val="auto"/>
                <w:sz w:val="21"/>
                <w:szCs w:val="22"/>
                <w:lang w:val="en-US" w:eastAsia="zh-CN"/>
              </w:rPr>
            </w:pPr>
            <w:r>
              <w:rPr>
                <w:color w:val="auto"/>
                <w:sz w:val="21"/>
                <w:szCs w:val="22"/>
              </w:rPr>
              <w:t>1#</w:t>
            </w:r>
            <w:r>
              <w:rPr>
                <w:rFonts w:hint="eastAsia"/>
                <w:color w:val="auto"/>
                <w:sz w:val="21"/>
                <w:szCs w:val="22"/>
                <w:lang w:val="en-US" w:eastAsia="zh-CN"/>
              </w:rPr>
              <w:t>-7#</w:t>
            </w:r>
          </w:p>
        </w:tc>
        <w:tc>
          <w:tcPr>
            <w:tcW w:w="3548" w:type="pct"/>
            <w:tcBorders>
              <w:tl2br w:val="nil"/>
              <w:tr2bl w:val="nil"/>
            </w:tcBorders>
            <w:noWrap w:val="0"/>
            <w:vAlign w:val="center"/>
          </w:tcPr>
          <w:p w14:paraId="46B44772">
            <w:pPr>
              <w:adjustRightInd/>
              <w:spacing w:line="240" w:lineRule="auto"/>
              <w:ind w:firstLine="0" w:firstLineChars="0"/>
              <w:jc w:val="center"/>
              <w:textAlignment w:val="baseline"/>
              <w:rPr>
                <w:rFonts w:hint="default" w:eastAsia="宋体"/>
                <w:color w:val="auto"/>
                <w:sz w:val="21"/>
                <w:szCs w:val="22"/>
                <w:lang w:val="en-US" w:eastAsia="zh-CN"/>
              </w:rPr>
            </w:pPr>
            <w:r>
              <w:rPr>
                <w:color w:val="auto"/>
                <w:sz w:val="21"/>
                <w:szCs w:val="22"/>
              </w:rPr>
              <w:t>厂区</w:t>
            </w:r>
            <w:r>
              <w:rPr>
                <w:rFonts w:hint="eastAsia"/>
                <w:color w:val="auto"/>
                <w:sz w:val="21"/>
                <w:szCs w:val="22"/>
                <w:lang w:val="en-US" w:eastAsia="zh-CN"/>
              </w:rPr>
              <w:t>上游、下游、四周</w:t>
            </w:r>
          </w:p>
        </w:tc>
      </w:tr>
      <w:tr w14:paraId="7043E6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9" w:type="pct"/>
            <w:tcBorders>
              <w:tl2br w:val="nil"/>
              <w:tr2bl w:val="nil"/>
            </w:tcBorders>
            <w:noWrap w:val="0"/>
            <w:vAlign w:val="center"/>
          </w:tcPr>
          <w:p w14:paraId="2DB2DE36">
            <w:pPr>
              <w:adjustRightInd/>
              <w:spacing w:line="240" w:lineRule="auto"/>
              <w:ind w:firstLine="0" w:firstLineChars="0"/>
              <w:jc w:val="center"/>
              <w:textAlignment w:val="baseline"/>
              <w:rPr>
                <w:color w:val="auto"/>
                <w:sz w:val="21"/>
                <w:szCs w:val="22"/>
              </w:rPr>
            </w:pPr>
            <w:r>
              <w:rPr>
                <w:color w:val="auto"/>
                <w:sz w:val="21"/>
                <w:szCs w:val="22"/>
              </w:rPr>
              <w:t>水位监测点</w:t>
            </w:r>
          </w:p>
        </w:tc>
        <w:tc>
          <w:tcPr>
            <w:tcW w:w="652" w:type="pct"/>
            <w:tcBorders>
              <w:tl2br w:val="nil"/>
              <w:tr2bl w:val="nil"/>
            </w:tcBorders>
            <w:noWrap w:val="0"/>
            <w:vAlign w:val="center"/>
          </w:tcPr>
          <w:p w14:paraId="5C5817C8">
            <w:pPr>
              <w:adjustRightInd/>
              <w:spacing w:line="240" w:lineRule="auto"/>
              <w:ind w:firstLine="0" w:firstLineChars="0"/>
              <w:jc w:val="center"/>
              <w:textAlignment w:val="baseline"/>
              <w:rPr>
                <w:color w:val="auto"/>
                <w:sz w:val="21"/>
                <w:szCs w:val="22"/>
              </w:rPr>
            </w:pPr>
            <w:r>
              <w:rPr>
                <w:color w:val="auto"/>
                <w:sz w:val="21"/>
                <w:szCs w:val="22"/>
              </w:rPr>
              <w:t>1</w:t>
            </w:r>
            <w:r>
              <w:rPr>
                <w:rFonts w:hint="eastAsia"/>
                <w:color w:val="auto"/>
                <w:sz w:val="21"/>
                <w:szCs w:val="22"/>
                <w:lang w:val="en-US" w:eastAsia="zh-CN"/>
              </w:rPr>
              <w:t>#</w:t>
            </w:r>
            <w:r>
              <w:rPr>
                <w:color w:val="auto"/>
                <w:sz w:val="21"/>
                <w:szCs w:val="22"/>
              </w:rPr>
              <w:t>-1</w:t>
            </w:r>
            <w:r>
              <w:rPr>
                <w:rFonts w:hint="eastAsia"/>
                <w:color w:val="auto"/>
                <w:sz w:val="21"/>
                <w:szCs w:val="22"/>
                <w:lang w:val="en-US" w:eastAsia="zh-CN"/>
              </w:rPr>
              <w:t>4</w:t>
            </w:r>
            <w:r>
              <w:rPr>
                <w:color w:val="auto"/>
                <w:sz w:val="21"/>
                <w:szCs w:val="22"/>
              </w:rPr>
              <w:t>#</w:t>
            </w:r>
          </w:p>
        </w:tc>
        <w:tc>
          <w:tcPr>
            <w:tcW w:w="3548" w:type="pct"/>
            <w:tcBorders>
              <w:tl2br w:val="nil"/>
              <w:tr2bl w:val="nil"/>
            </w:tcBorders>
            <w:noWrap w:val="0"/>
            <w:vAlign w:val="center"/>
          </w:tcPr>
          <w:p w14:paraId="27CB0943">
            <w:pPr>
              <w:adjustRightInd/>
              <w:spacing w:line="240" w:lineRule="auto"/>
              <w:ind w:firstLine="0" w:firstLineChars="0"/>
              <w:jc w:val="center"/>
              <w:textAlignment w:val="baseline"/>
              <w:rPr>
                <w:color w:val="auto"/>
                <w:sz w:val="21"/>
                <w:szCs w:val="22"/>
              </w:rPr>
            </w:pPr>
            <w:r>
              <w:rPr>
                <w:color w:val="auto"/>
                <w:sz w:val="21"/>
                <w:szCs w:val="22"/>
              </w:rPr>
              <w:t>共1</w:t>
            </w:r>
            <w:r>
              <w:rPr>
                <w:rFonts w:hint="eastAsia"/>
                <w:color w:val="auto"/>
                <w:sz w:val="21"/>
                <w:szCs w:val="22"/>
                <w:lang w:val="en-US" w:eastAsia="zh-CN"/>
              </w:rPr>
              <w:t>4</w:t>
            </w:r>
            <w:r>
              <w:rPr>
                <w:color w:val="auto"/>
                <w:sz w:val="21"/>
                <w:szCs w:val="22"/>
              </w:rPr>
              <w:t>个点，测量附近1</w:t>
            </w:r>
            <w:r>
              <w:rPr>
                <w:rFonts w:hint="eastAsia"/>
                <w:color w:val="auto"/>
                <w:sz w:val="21"/>
                <w:szCs w:val="22"/>
                <w:lang w:val="en-US" w:eastAsia="zh-CN"/>
              </w:rPr>
              <w:t>4</w:t>
            </w:r>
            <w:r>
              <w:rPr>
                <w:color w:val="auto"/>
                <w:sz w:val="21"/>
                <w:szCs w:val="22"/>
              </w:rPr>
              <w:t>个井的井深、水深与水面高程</w:t>
            </w:r>
          </w:p>
        </w:tc>
      </w:tr>
    </w:tbl>
    <w:p w14:paraId="612F735B">
      <w:pPr>
        <w:pageBreakBefore w:val="0"/>
        <w:wordWrap/>
        <w:bidi w:val="0"/>
        <w:adjustRightInd/>
        <w:snapToGrid/>
        <w:spacing w:before="120" w:beforeLines="50"/>
        <w:ind w:firstLine="480"/>
        <w:rPr>
          <w:rFonts w:hint="default" w:eastAsia="宋体"/>
          <w:color w:val="auto"/>
          <w:lang w:val="en-US" w:eastAsia="zh-CN"/>
        </w:rPr>
      </w:pPr>
      <w:r>
        <w:rPr>
          <w:color w:val="auto"/>
        </w:rPr>
        <w:t>（2）监测项目</w:t>
      </w:r>
      <w:r>
        <w:rPr>
          <w:rFonts w:hint="eastAsia"/>
          <w:color w:val="auto"/>
          <w:lang w:val="en-US" w:eastAsia="zh-CN"/>
        </w:rPr>
        <w:t>和监测方法</w:t>
      </w:r>
    </w:p>
    <w:p w14:paraId="5AF8A14A">
      <w:pPr>
        <w:pageBreakBefore w:val="0"/>
        <w:wordWrap/>
        <w:bidi w:val="0"/>
        <w:adjustRightInd/>
        <w:snapToGrid/>
        <w:ind w:firstLine="480"/>
        <w:textAlignment w:val="baseline"/>
        <w:rPr>
          <w:color w:val="auto"/>
        </w:rPr>
      </w:pPr>
      <w:r>
        <w:rPr>
          <w:color w:val="auto"/>
        </w:rPr>
        <w:t>常规因子：K</w:t>
      </w:r>
      <w:r>
        <w:rPr>
          <w:color w:val="auto"/>
          <w:vertAlign w:val="superscript"/>
        </w:rPr>
        <w:t>+</w:t>
      </w:r>
      <w:r>
        <w:rPr>
          <w:color w:val="auto"/>
        </w:rPr>
        <w:t>，Na</w:t>
      </w:r>
      <w:r>
        <w:rPr>
          <w:color w:val="auto"/>
          <w:vertAlign w:val="superscript"/>
        </w:rPr>
        <w:t>+</w:t>
      </w:r>
      <w:r>
        <w:rPr>
          <w:color w:val="auto"/>
        </w:rPr>
        <w:t>，Ca</w:t>
      </w:r>
      <w:r>
        <w:rPr>
          <w:color w:val="auto"/>
          <w:vertAlign w:val="superscript"/>
        </w:rPr>
        <w:t>2+</w:t>
      </w:r>
      <w:r>
        <w:rPr>
          <w:color w:val="auto"/>
        </w:rPr>
        <w:t>，Mg</w:t>
      </w:r>
      <w:r>
        <w:rPr>
          <w:color w:val="auto"/>
          <w:vertAlign w:val="superscript"/>
        </w:rPr>
        <w:t>2+</w:t>
      </w:r>
      <w:r>
        <w:rPr>
          <w:color w:val="auto"/>
        </w:rPr>
        <w:t>，CO</w:t>
      </w:r>
      <w:r>
        <w:rPr>
          <w:color w:val="auto"/>
          <w:vertAlign w:val="subscript"/>
        </w:rPr>
        <w:t>3</w:t>
      </w:r>
      <w:r>
        <w:rPr>
          <w:color w:val="auto"/>
          <w:vertAlign w:val="superscript"/>
        </w:rPr>
        <w:t>2</w:t>
      </w:r>
      <w:r>
        <w:rPr>
          <w:color w:val="auto"/>
        </w:rPr>
        <w:t>-，HCO</w:t>
      </w:r>
      <w:r>
        <w:rPr>
          <w:color w:val="auto"/>
          <w:vertAlign w:val="subscript"/>
        </w:rPr>
        <w:t>3</w:t>
      </w:r>
      <w:r>
        <w:rPr>
          <w:color w:val="auto"/>
          <w:vertAlign w:val="superscript"/>
        </w:rPr>
        <w:t>-</w:t>
      </w:r>
      <w:r>
        <w:rPr>
          <w:color w:val="auto"/>
        </w:rPr>
        <w:t>，Cl</w:t>
      </w:r>
      <w:r>
        <w:rPr>
          <w:color w:val="auto"/>
          <w:vertAlign w:val="superscript"/>
        </w:rPr>
        <w:t>-</w:t>
      </w:r>
      <w:r>
        <w:rPr>
          <w:color w:val="auto"/>
        </w:rPr>
        <w:t>，SO</w:t>
      </w:r>
      <w:r>
        <w:rPr>
          <w:color w:val="auto"/>
          <w:vertAlign w:val="subscript"/>
        </w:rPr>
        <w:t>4</w:t>
      </w:r>
      <w:r>
        <w:rPr>
          <w:color w:val="auto"/>
          <w:vertAlign w:val="superscript"/>
        </w:rPr>
        <w:t>2-</w:t>
      </w:r>
      <w:r>
        <w:rPr>
          <w:color w:val="auto"/>
        </w:rPr>
        <w:t>；</w:t>
      </w:r>
    </w:p>
    <w:p w14:paraId="599B189E">
      <w:pPr>
        <w:pageBreakBefore w:val="0"/>
        <w:wordWrap/>
        <w:bidi w:val="0"/>
        <w:adjustRightInd/>
        <w:snapToGrid/>
        <w:ind w:firstLine="480"/>
        <w:textAlignment w:val="baseline"/>
        <w:rPr>
          <w:color w:val="auto"/>
        </w:rPr>
      </w:pPr>
      <w:r>
        <w:rPr>
          <w:color w:val="auto"/>
        </w:rPr>
        <w:t>基本水质因子：pH、总硬度、溶解性总固体、氨氮、硝酸盐、亚硝酸盐、耗氧量、六价铬、挥发性酚类、氟化物、氰化物、硫酸盐、铁、锰、铅、镉、砷、汞、总大肠菌群、菌落总数；</w:t>
      </w:r>
    </w:p>
    <w:p w14:paraId="1A199C26">
      <w:pPr>
        <w:pageBreakBefore w:val="0"/>
        <w:wordWrap/>
        <w:bidi w:val="0"/>
        <w:adjustRightInd/>
        <w:snapToGrid/>
        <w:ind w:firstLine="480"/>
        <w:textAlignment w:val="baseline"/>
        <w:rPr>
          <w:rFonts w:hint="eastAsia"/>
          <w:color w:val="auto"/>
        </w:rPr>
      </w:pPr>
      <w:r>
        <w:rPr>
          <w:rFonts w:hint="eastAsia"/>
          <w:color w:val="auto"/>
        </w:rPr>
        <w:t>监测方法见下表。</w:t>
      </w:r>
    </w:p>
    <w:p w14:paraId="76AC92D6">
      <w:pPr>
        <w:pStyle w:val="19"/>
        <w:keepNext w:val="0"/>
        <w:keepLines w:val="0"/>
        <w:pageBreakBefore w:val="0"/>
        <w:widowControl w:val="0"/>
        <w:numPr>
          <w:ilvl w:val="0"/>
          <w:numId w:val="28"/>
        </w:numPr>
        <w:kinsoku/>
        <w:wordWrap/>
        <w:overflowPunct/>
        <w:topLinePunct w:val="0"/>
        <w:autoSpaceDE/>
        <w:autoSpaceDN/>
        <w:bidi w:val="0"/>
        <w:adjustRightInd/>
        <w:snapToGrid/>
        <w:spacing w:before="0" w:beforeLines="50"/>
        <w:textAlignment w:val="auto"/>
        <w:rPr>
          <w:rFonts w:hint="eastAsia"/>
          <w:color w:val="auto"/>
        </w:rPr>
      </w:pPr>
      <w:r>
        <w:rPr>
          <w:rFonts w:hint="eastAsia"/>
          <w:color w:val="auto"/>
        </w:rPr>
        <w:t>地下水检测方法及方法来源</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28" w:type="dxa"/>
          <w:bottom w:w="0" w:type="dxa"/>
          <w:right w:w="28" w:type="dxa"/>
        </w:tblCellMar>
      </w:tblPr>
      <w:tblGrid>
        <w:gridCol w:w="1509"/>
        <w:gridCol w:w="2488"/>
        <w:gridCol w:w="1606"/>
        <w:gridCol w:w="1959"/>
        <w:gridCol w:w="1220"/>
      </w:tblGrid>
      <w:tr w14:paraId="5D196E2A">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tblHeader/>
          <w:jc w:val="center"/>
        </w:trPr>
        <w:tc>
          <w:tcPr>
            <w:tcW w:w="859" w:type="pct"/>
            <w:tcBorders>
              <w:tl2br w:val="nil"/>
              <w:tr2bl w:val="nil"/>
            </w:tcBorders>
            <w:noWrap w:val="0"/>
            <w:vAlign w:val="center"/>
          </w:tcPr>
          <w:p w14:paraId="57231D07">
            <w:pPr>
              <w:pStyle w:val="16"/>
              <w:bidi w:val="0"/>
              <w:rPr>
                <w:rFonts w:hint="default"/>
                <w:b/>
                <w:bCs/>
                <w:color w:val="auto"/>
                <w:lang w:val="en-US" w:eastAsia="zh-CN"/>
              </w:rPr>
            </w:pPr>
            <w:r>
              <w:rPr>
                <w:rFonts w:hint="default"/>
                <w:b/>
                <w:bCs/>
                <w:color w:val="auto"/>
              </w:rPr>
              <w:t>检测</w:t>
            </w:r>
            <w:r>
              <w:rPr>
                <w:rFonts w:hint="default"/>
                <w:b/>
                <w:bCs/>
                <w:color w:val="auto"/>
                <w:lang w:val="en-US" w:eastAsia="zh-CN"/>
              </w:rPr>
              <w:t>项目</w:t>
            </w:r>
          </w:p>
        </w:tc>
        <w:tc>
          <w:tcPr>
            <w:tcW w:w="1416" w:type="pct"/>
            <w:tcBorders>
              <w:tl2br w:val="nil"/>
              <w:tr2bl w:val="nil"/>
            </w:tcBorders>
            <w:noWrap w:val="0"/>
            <w:vAlign w:val="center"/>
          </w:tcPr>
          <w:p w14:paraId="308387D3">
            <w:pPr>
              <w:pStyle w:val="16"/>
              <w:bidi w:val="0"/>
              <w:rPr>
                <w:rFonts w:hint="default"/>
                <w:b/>
                <w:bCs/>
                <w:color w:val="auto"/>
                <w:lang w:val="en-US" w:eastAsia="zh-CN"/>
              </w:rPr>
            </w:pPr>
            <w:r>
              <w:rPr>
                <w:rFonts w:hint="default"/>
                <w:b/>
                <w:bCs/>
                <w:color w:val="auto"/>
              </w:rPr>
              <w:t>检测方法</w:t>
            </w:r>
          </w:p>
        </w:tc>
        <w:tc>
          <w:tcPr>
            <w:tcW w:w="914" w:type="pct"/>
            <w:tcBorders>
              <w:tl2br w:val="nil"/>
              <w:tr2bl w:val="nil"/>
            </w:tcBorders>
            <w:noWrap w:val="0"/>
            <w:vAlign w:val="center"/>
          </w:tcPr>
          <w:p w14:paraId="671BD3D4">
            <w:pPr>
              <w:pStyle w:val="16"/>
              <w:bidi w:val="0"/>
              <w:rPr>
                <w:rFonts w:hint="default"/>
                <w:b/>
                <w:bCs/>
                <w:color w:val="auto"/>
                <w:lang w:val="en-US" w:eastAsia="zh-CN"/>
              </w:rPr>
            </w:pPr>
            <w:r>
              <w:rPr>
                <w:rFonts w:hint="default"/>
                <w:b/>
                <w:bCs/>
                <w:color w:val="auto"/>
              </w:rPr>
              <w:t>方法来源</w:t>
            </w:r>
          </w:p>
        </w:tc>
        <w:tc>
          <w:tcPr>
            <w:tcW w:w="1115" w:type="pct"/>
            <w:tcBorders>
              <w:tl2br w:val="nil"/>
              <w:tr2bl w:val="nil"/>
            </w:tcBorders>
            <w:noWrap w:val="0"/>
            <w:vAlign w:val="center"/>
          </w:tcPr>
          <w:p w14:paraId="509C5FE1">
            <w:pPr>
              <w:pStyle w:val="16"/>
              <w:bidi w:val="0"/>
              <w:rPr>
                <w:rFonts w:hint="default"/>
                <w:b/>
                <w:bCs/>
                <w:color w:val="auto"/>
                <w:lang w:val="en-US" w:eastAsia="zh-CN"/>
              </w:rPr>
            </w:pPr>
            <w:r>
              <w:rPr>
                <w:rFonts w:hint="default"/>
                <w:b/>
                <w:bCs/>
                <w:color w:val="auto"/>
              </w:rPr>
              <w:t>使用仪器及编号</w:t>
            </w:r>
          </w:p>
        </w:tc>
        <w:tc>
          <w:tcPr>
            <w:tcW w:w="694" w:type="pct"/>
            <w:tcBorders>
              <w:tl2br w:val="nil"/>
              <w:tr2bl w:val="nil"/>
            </w:tcBorders>
            <w:noWrap w:val="0"/>
            <w:vAlign w:val="center"/>
          </w:tcPr>
          <w:p w14:paraId="20F44609">
            <w:pPr>
              <w:pStyle w:val="16"/>
              <w:bidi w:val="0"/>
              <w:rPr>
                <w:rFonts w:hint="default"/>
                <w:b/>
                <w:bCs/>
                <w:color w:val="auto"/>
                <w:lang w:val="en-US" w:eastAsia="zh-CN"/>
              </w:rPr>
            </w:pPr>
            <w:r>
              <w:rPr>
                <w:rFonts w:hint="default"/>
                <w:b/>
                <w:bCs/>
                <w:color w:val="auto"/>
              </w:rPr>
              <w:t>检出限</w:t>
            </w:r>
          </w:p>
        </w:tc>
      </w:tr>
      <w:tr w14:paraId="7762EE4B">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6D1D790D">
            <w:pPr>
              <w:pStyle w:val="16"/>
              <w:bidi w:val="0"/>
              <w:rPr>
                <w:rFonts w:hint="default"/>
                <w:color w:val="auto"/>
                <w:lang w:val="en-US" w:eastAsia="zh-CN"/>
              </w:rPr>
            </w:pPr>
            <w:r>
              <w:rPr>
                <w:rFonts w:hint="default"/>
                <w:color w:val="auto"/>
                <w:lang w:val="en-US" w:eastAsia="zh-CN"/>
              </w:rPr>
              <w:t>pH</w:t>
            </w:r>
          </w:p>
        </w:tc>
        <w:tc>
          <w:tcPr>
            <w:tcW w:w="1416" w:type="pct"/>
            <w:tcBorders>
              <w:tl2br w:val="nil"/>
              <w:tr2bl w:val="nil"/>
            </w:tcBorders>
            <w:noWrap w:val="0"/>
            <w:vAlign w:val="center"/>
          </w:tcPr>
          <w:p w14:paraId="76742AE6">
            <w:pPr>
              <w:pStyle w:val="16"/>
              <w:bidi w:val="0"/>
              <w:rPr>
                <w:rFonts w:hint="default"/>
                <w:color w:val="auto"/>
                <w:lang w:val="en-US" w:eastAsia="zh-CN"/>
              </w:rPr>
            </w:pPr>
            <w:r>
              <w:rPr>
                <w:rFonts w:hint="default"/>
                <w:color w:val="auto"/>
                <w:lang w:val="en-US" w:eastAsia="zh-CN"/>
              </w:rPr>
              <w:t>水质 pH值的测定 电极法</w:t>
            </w:r>
          </w:p>
        </w:tc>
        <w:tc>
          <w:tcPr>
            <w:tcW w:w="914" w:type="pct"/>
            <w:tcBorders>
              <w:tl2br w:val="nil"/>
              <w:tr2bl w:val="nil"/>
            </w:tcBorders>
            <w:noWrap w:val="0"/>
            <w:vAlign w:val="center"/>
          </w:tcPr>
          <w:p w14:paraId="252B292C">
            <w:pPr>
              <w:pStyle w:val="16"/>
              <w:bidi w:val="0"/>
              <w:rPr>
                <w:rFonts w:hint="default"/>
                <w:color w:val="auto"/>
                <w:lang w:val="en-US" w:eastAsia="zh-CN"/>
              </w:rPr>
            </w:pPr>
            <w:r>
              <w:rPr>
                <w:rFonts w:hint="default"/>
                <w:color w:val="auto"/>
                <w:lang w:val="en-US" w:eastAsia="zh-CN"/>
              </w:rPr>
              <w:t>HJ 1147-2020</w:t>
            </w:r>
          </w:p>
        </w:tc>
        <w:tc>
          <w:tcPr>
            <w:tcW w:w="1115" w:type="pct"/>
            <w:tcBorders>
              <w:tl2br w:val="nil"/>
              <w:tr2bl w:val="nil"/>
            </w:tcBorders>
            <w:noWrap w:val="0"/>
            <w:vAlign w:val="center"/>
          </w:tcPr>
          <w:p w14:paraId="3E035885">
            <w:pPr>
              <w:pStyle w:val="16"/>
              <w:bidi w:val="0"/>
              <w:rPr>
                <w:rFonts w:hint="default"/>
                <w:color w:val="auto"/>
                <w:lang w:val="en-US" w:eastAsia="zh-CN"/>
              </w:rPr>
            </w:pPr>
            <w:r>
              <w:rPr>
                <w:rFonts w:hint="default"/>
                <w:color w:val="auto"/>
                <w:lang w:val="en-US" w:eastAsia="zh-CN"/>
              </w:rPr>
              <w:t>AZ86031酸碱度/电导率/DO/PH 多用仪表（HDH/YQ-</w:t>
            </w:r>
            <w:r>
              <w:rPr>
                <w:rFonts w:hint="eastAsia"/>
                <w:color w:val="auto"/>
                <w:lang w:val="en-US" w:eastAsia="zh-CN"/>
              </w:rPr>
              <w:t>152-02</w:t>
            </w:r>
            <w:r>
              <w:rPr>
                <w:rFonts w:hint="default"/>
                <w:color w:val="auto"/>
                <w:lang w:val="en-US" w:eastAsia="zh-CN"/>
              </w:rPr>
              <w:t>）</w:t>
            </w:r>
          </w:p>
        </w:tc>
        <w:tc>
          <w:tcPr>
            <w:tcW w:w="694" w:type="pct"/>
            <w:tcBorders>
              <w:tl2br w:val="nil"/>
              <w:tr2bl w:val="nil"/>
            </w:tcBorders>
            <w:noWrap w:val="0"/>
            <w:vAlign w:val="center"/>
          </w:tcPr>
          <w:p w14:paraId="3EA9C679">
            <w:pPr>
              <w:pStyle w:val="16"/>
              <w:bidi w:val="0"/>
              <w:rPr>
                <w:rFonts w:hint="default"/>
                <w:color w:val="auto"/>
                <w:lang w:val="en-US" w:eastAsia="zh-CN"/>
              </w:rPr>
            </w:pPr>
            <w:r>
              <w:rPr>
                <w:rFonts w:hint="default"/>
                <w:color w:val="auto"/>
                <w:lang w:val="en-US" w:eastAsia="zh-CN"/>
              </w:rPr>
              <w:t>/</w:t>
            </w:r>
          </w:p>
        </w:tc>
      </w:tr>
      <w:tr w14:paraId="35F930AA">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16813595">
            <w:pPr>
              <w:pStyle w:val="16"/>
              <w:bidi w:val="0"/>
              <w:rPr>
                <w:rFonts w:hint="default"/>
                <w:color w:val="auto"/>
                <w:lang w:val="en-US" w:eastAsia="zh-CN"/>
              </w:rPr>
            </w:pPr>
            <w:r>
              <w:rPr>
                <w:rFonts w:hint="default"/>
                <w:color w:val="auto"/>
                <w:lang w:val="en-US" w:eastAsia="zh-CN"/>
              </w:rPr>
              <w:t>钾</w:t>
            </w:r>
          </w:p>
        </w:tc>
        <w:tc>
          <w:tcPr>
            <w:tcW w:w="1416" w:type="pct"/>
            <w:vMerge w:val="restart"/>
            <w:tcBorders>
              <w:tl2br w:val="nil"/>
              <w:tr2bl w:val="nil"/>
            </w:tcBorders>
            <w:noWrap w:val="0"/>
            <w:vAlign w:val="center"/>
          </w:tcPr>
          <w:p w14:paraId="060BCED1">
            <w:pPr>
              <w:pStyle w:val="16"/>
              <w:bidi w:val="0"/>
              <w:rPr>
                <w:rFonts w:hint="default"/>
                <w:color w:val="auto"/>
                <w:lang w:val="en-US" w:eastAsia="zh-CN"/>
              </w:rPr>
            </w:pPr>
            <w:r>
              <w:rPr>
                <w:rFonts w:hint="default"/>
                <w:color w:val="auto"/>
                <w:lang w:val="en-US" w:eastAsia="zh-CN"/>
              </w:rPr>
              <w:t>水质 32种元素的测定 电感耦合等离子体发射光谱法</w:t>
            </w:r>
          </w:p>
        </w:tc>
        <w:tc>
          <w:tcPr>
            <w:tcW w:w="914" w:type="pct"/>
            <w:vMerge w:val="restart"/>
            <w:tcBorders>
              <w:tl2br w:val="nil"/>
              <w:tr2bl w:val="nil"/>
            </w:tcBorders>
            <w:noWrap w:val="0"/>
            <w:vAlign w:val="center"/>
          </w:tcPr>
          <w:p w14:paraId="53476061">
            <w:pPr>
              <w:pStyle w:val="16"/>
              <w:bidi w:val="0"/>
              <w:rPr>
                <w:rFonts w:hint="default"/>
                <w:color w:val="auto"/>
                <w:lang w:val="en-US" w:eastAsia="zh-CN"/>
              </w:rPr>
            </w:pPr>
            <w:r>
              <w:rPr>
                <w:rFonts w:hint="default"/>
                <w:color w:val="auto"/>
                <w:lang w:val="en-US" w:eastAsia="zh-CN"/>
              </w:rPr>
              <w:t>HJ 776-2015</w:t>
            </w:r>
          </w:p>
        </w:tc>
        <w:tc>
          <w:tcPr>
            <w:tcW w:w="1115" w:type="pct"/>
            <w:vMerge w:val="restart"/>
            <w:tcBorders>
              <w:tl2br w:val="nil"/>
              <w:tr2bl w:val="nil"/>
            </w:tcBorders>
            <w:noWrap w:val="0"/>
            <w:vAlign w:val="center"/>
          </w:tcPr>
          <w:p w14:paraId="7417F42E">
            <w:pPr>
              <w:pStyle w:val="16"/>
              <w:bidi w:val="0"/>
              <w:rPr>
                <w:rFonts w:hint="default"/>
                <w:color w:val="auto"/>
                <w:lang w:val="en-US" w:eastAsia="zh-CN"/>
              </w:rPr>
            </w:pPr>
            <w:r>
              <w:rPr>
                <w:rFonts w:hint="default"/>
                <w:color w:val="auto"/>
              </w:rPr>
              <w:t>Plasma 2000电感耦合等离子体原子发射光谱仪</w:t>
            </w:r>
            <w:r>
              <w:rPr>
                <w:rFonts w:hint="default"/>
                <w:color w:val="auto"/>
                <w:lang w:eastAsia="zh-CN"/>
              </w:rPr>
              <w:t>（</w:t>
            </w:r>
            <w:r>
              <w:rPr>
                <w:rFonts w:hint="default"/>
                <w:color w:val="auto"/>
                <w:lang w:val="en-US" w:eastAsia="zh-CN"/>
              </w:rPr>
              <w:t>HDH/YQ-36-01</w:t>
            </w:r>
            <w:r>
              <w:rPr>
                <w:rFonts w:hint="default"/>
                <w:color w:val="auto"/>
                <w:lang w:eastAsia="zh-CN"/>
              </w:rPr>
              <w:t>）</w:t>
            </w:r>
          </w:p>
        </w:tc>
        <w:tc>
          <w:tcPr>
            <w:tcW w:w="694" w:type="pct"/>
            <w:tcBorders>
              <w:tl2br w:val="nil"/>
              <w:tr2bl w:val="nil"/>
            </w:tcBorders>
            <w:noWrap w:val="0"/>
            <w:vAlign w:val="center"/>
          </w:tcPr>
          <w:p w14:paraId="1BF2A5DB">
            <w:pPr>
              <w:pStyle w:val="16"/>
              <w:bidi w:val="0"/>
              <w:rPr>
                <w:rFonts w:hint="default"/>
                <w:color w:val="auto"/>
                <w:lang w:val="en-US" w:eastAsia="zh-CN"/>
              </w:rPr>
            </w:pPr>
            <w:r>
              <w:rPr>
                <w:rFonts w:hint="default"/>
                <w:color w:val="auto"/>
                <w:lang w:val="en-US" w:eastAsia="zh-CN"/>
              </w:rPr>
              <w:t>0.0</w:t>
            </w:r>
            <w:r>
              <w:rPr>
                <w:rFonts w:hint="eastAsia"/>
                <w:color w:val="auto"/>
                <w:lang w:val="en-US" w:eastAsia="zh-CN"/>
              </w:rPr>
              <w:t>5</w:t>
            </w:r>
            <w:r>
              <w:rPr>
                <w:rFonts w:hint="default"/>
                <w:color w:val="auto"/>
                <w:lang w:val="en-US" w:eastAsia="zh-CN"/>
              </w:rPr>
              <w:t>mg/L</w:t>
            </w:r>
          </w:p>
        </w:tc>
      </w:tr>
      <w:tr w14:paraId="50E892C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3824CC08">
            <w:pPr>
              <w:pStyle w:val="16"/>
              <w:bidi w:val="0"/>
              <w:rPr>
                <w:rFonts w:hint="default"/>
                <w:color w:val="auto"/>
                <w:lang w:val="en-US" w:eastAsia="zh-CN"/>
              </w:rPr>
            </w:pPr>
            <w:r>
              <w:rPr>
                <w:rFonts w:hint="default"/>
                <w:color w:val="auto"/>
                <w:lang w:val="en-US" w:eastAsia="zh-CN"/>
              </w:rPr>
              <w:t>钠</w:t>
            </w:r>
          </w:p>
        </w:tc>
        <w:tc>
          <w:tcPr>
            <w:tcW w:w="1416" w:type="pct"/>
            <w:vMerge w:val="continue"/>
            <w:tcBorders>
              <w:tl2br w:val="nil"/>
              <w:tr2bl w:val="nil"/>
            </w:tcBorders>
            <w:noWrap w:val="0"/>
            <w:vAlign w:val="center"/>
          </w:tcPr>
          <w:p w14:paraId="5EA777F9">
            <w:pPr>
              <w:pStyle w:val="16"/>
              <w:bidi w:val="0"/>
              <w:rPr>
                <w:rFonts w:hint="default"/>
                <w:color w:val="auto"/>
                <w:lang w:val="en-US" w:eastAsia="zh-CN"/>
              </w:rPr>
            </w:pPr>
          </w:p>
        </w:tc>
        <w:tc>
          <w:tcPr>
            <w:tcW w:w="914" w:type="pct"/>
            <w:vMerge w:val="continue"/>
            <w:tcBorders>
              <w:tl2br w:val="nil"/>
              <w:tr2bl w:val="nil"/>
            </w:tcBorders>
            <w:noWrap w:val="0"/>
            <w:vAlign w:val="center"/>
          </w:tcPr>
          <w:p w14:paraId="1637B5AF">
            <w:pPr>
              <w:pStyle w:val="16"/>
              <w:bidi w:val="0"/>
              <w:rPr>
                <w:rFonts w:hint="default"/>
                <w:color w:val="auto"/>
                <w:lang w:val="en-US" w:eastAsia="zh-CN"/>
              </w:rPr>
            </w:pPr>
          </w:p>
        </w:tc>
        <w:tc>
          <w:tcPr>
            <w:tcW w:w="1115" w:type="pct"/>
            <w:vMerge w:val="continue"/>
            <w:tcBorders>
              <w:tl2br w:val="nil"/>
              <w:tr2bl w:val="nil"/>
            </w:tcBorders>
            <w:noWrap w:val="0"/>
            <w:vAlign w:val="center"/>
          </w:tcPr>
          <w:p w14:paraId="4E08AAD1">
            <w:pPr>
              <w:pStyle w:val="16"/>
              <w:bidi w:val="0"/>
              <w:rPr>
                <w:rFonts w:hint="eastAsia"/>
                <w:color w:val="auto"/>
                <w:lang w:val="en-US" w:eastAsia="zh-CN"/>
              </w:rPr>
            </w:pPr>
          </w:p>
        </w:tc>
        <w:tc>
          <w:tcPr>
            <w:tcW w:w="694" w:type="pct"/>
            <w:tcBorders>
              <w:tl2br w:val="nil"/>
              <w:tr2bl w:val="nil"/>
            </w:tcBorders>
            <w:noWrap w:val="0"/>
            <w:vAlign w:val="center"/>
          </w:tcPr>
          <w:p w14:paraId="277E3C0E">
            <w:pPr>
              <w:pStyle w:val="16"/>
              <w:bidi w:val="0"/>
              <w:rPr>
                <w:rFonts w:hint="default"/>
                <w:color w:val="auto"/>
                <w:lang w:val="en-US" w:eastAsia="zh-CN"/>
              </w:rPr>
            </w:pPr>
            <w:r>
              <w:rPr>
                <w:rFonts w:hint="default"/>
                <w:color w:val="auto"/>
                <w:lang w:val="en-US" w:eastAsia="zh-CN"/>
              </w:rPr>
              <w:t>0</w:t>
            </w:r>
            <w:r>
              <w:rPr>
                <w:rFonts w:hint="eastAsia"/>
                <w:color w:val="auto"/>
                <w:lang w:val="en-US" w:eastAsia="zh-CN"/>
              </w:rPr>
              <w:t>.12</w:t>
            </w:r>
            <w:r>
              <w:rPr>
                <w:rFonts w:hint="default"/>
                <w:color w:val="auto"/>
                <w:lang w:val="en-US" w:eastAsia="zh-CN"/>
              </w:rPr>
              <w:t>mg/L</w:t>
            </w:r>
          </w:p>
        </w:tc>
      </w:tr>
      <w:tr w14:paraId="77C78E6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11AB97EC">
            <w:pPr>
              <w:pStyle w:val="16"/>
              <w:bidi w:val="0"/>
              <w:rPr>
                <w:rFonts w:hint="default"/>
                <w:color w:val="auto"/>
                <w:lang w:val="en-US" w:eastAsia="zh-CN"/>
              </w:rPr>
            </w:pPr>
            <w:r>
              <w:rPr>
                <w:rFonts w:hint="default"/>
                <w:color w:val="auto"/>
                <w:lang w:val="en-US" w:eastAsia="zh-CN"/>
              </w:rPr>
              <w:t>钙</w:t>
            </w:r>
          </w:p>
        </w:tc>
        <w:tc>
          <w:tcPr>
            <w:tcW w:w="1416" w:type="pct"/>
            <w:vMerge w:val="continue"/>
            <w:tcBorders>
              <w:tl2br w:val="nil"/>
              <w:tr2bl w:val="nil"/>
            </w:tcBorders>
            <w:noWrap w:val="0"/>
            <w:vAlign w:val="center"/>
          </w:tcPr>
          <w:p w14:paraId="567E143D">
            <w:pPr>
              <w:pStyle w:val="16"/>
              <w:bidi w:val="0"/>
              <w:rPr>
                <w:rFonts w:hint="default"/>
                <w:color w:val="auto"/>
                <w:lang w:val="en-US" w:eastAsia="zh-CN"/>
              </w:rPr>
            </w:pPr>
          </w:p>
        </w:tc>
        <w:tc>
          <w:tcPr>
            <w:tcW w:w="914" w:type="pct"/>
            <w:vMerge w:val="continue"/>
            <w:tcBorders>
              <w:tl2br w:val="nil"/>
              <w:tr2bl w:val="nil"/>
            </w:tcBorders>
            <w:noWrap w:val="0"/>
            <w:vAlign w:val="center"/>
          </w:tcPr>
          <w:p w14:paraId="402CDF02">
            <w:pPr>
              <w:pStyle w:val="16"/>
              <w:bidi w:val="0"/>
              <w:rPr>
                <w:rFonts w:hint="default"/>
                <w:color w:val="auto"/>
                <w:lang w:val="en-US" w:eastAsia="zh-CN"/>
              </w:rPr>
            </w:pPr>
          </w:p>
        </w:tc>
        <w:tc>
          <w:tcPr>
            <w:tcW w:w="1115" w:type="pct"/>
            <w:vMerge w:val="continue"/>
            <w:tcBorders>
              <w:tl2br w:val="nil"/>
              <w:tr2bl w:val="nil"/>
            </w:tcBorders>
            <w:noWrap w:val="0"/>
            <w:vAlign w:val="center"/>
          </w:tcPr>
          <w:p w14:paraId="42251F2B">
            <w:pPr>
              <w:pStyle w:val="16"/>
              <w:bidi w:val="0"/>
              <w:rPr>
                <w:rFonts w:hint="eastAsia"/>
                <w:color w:val="auto"/>
                <w:lang w:val="en-US" w:eastAsia="zh-CN"/>
              </w:rPr>
            </w:pPr>
          </w:p>
        </w:tc>
        <w:tc>
          <w:tcPr>
            <w:tcW w:w="694" w:type="pct"/>
            <w:tcBorders>
              <w:tl2br w:val="nil"/>
              <w:tr2bl w:val="nil"/>
            </w:tcBorders>
            <w:noWrap w:val="0"/>
            <w:vAlign w:val="center"/>
          </w:tcPr>
          <w:p w14:paraId="610010EF">
            <w:pPr>
              <w:pStyle w:val="16"/>
              <w:bidi w:val="0"/>
              <w:rPr>
                <w:rFonts w:hint="default"/>
                <w:color w:val="auto"/>
                <w:lang w:val="en-US" w:eastAsia="zh-CN"/>
              </w:rPr>
            </w:pPr>
            <w:r>
              <w:rPr>
                <w:rFonts w:hint="default"/>
                <w:color w:val="auto"/>
                <w:lang w:val="en-US" w:eastAsia="zh-CN"/>
              </w:rPr>
              <w:t>0.02mg/L</w:t>
            </w:r>
          </w:p>
        </w:tc>
      </w:tr>
      <w:tr w14:paraId="2E383B9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1E38B514">
            <w:pPr>
              <w:pStyle w:val="16"/>
              <w:bidi w:val="0"/>
              <w:rPr>
                <w:rFonts w:hint="default"/>
                <w:color w:val="auto"/>
                <w:lang w:val="en-US" w:eastAsia="zh-CN"/>
              </w:rPr>
            </w:pPr>
            <w:r>
              <w:rPr>
                <w:rFonts w:hint="default"/>
                <w:color w:val="auto"/>
                <w:lang w:val="en-US" w:eastAsia="zh-CN"/>
              </w:rPr>
              <w:t>镁</w:t>
            </w:r>
          </w:p>
        </w:tc>
        <w:tc>
          <w:tcPr>
            <w:tcW w:w="1416" w:type="pct"/>
            <w:vMerge w:val="continue"/>
            <w:tcBorders>
              <w:tl2br w:val="nil"/>
              <w:tr2bl w:val="nil"/>
            </w:tcBorders>
            <w:noWrap w:val="0"/>
            <w:vAlign w:val="center"/>
          </w:tcPr>
          <w:p w14:paraId="408C68BF">
            <w:pPr>
              <w:pStyle w:val="16"/>
              <w:bidi w:val="0"/>
              <w:rPr>
                <w:rFonts w:hint="default"/>
                <w:color w:val="auto"/>
                <w:lang w:val="en-US" w:eastAsia="zh-CN"/>
              </w:rPr>
            </w:pPr>
          </w:p>
        </w:tc>
        <w:tc>
          <w:tcPr>
            <w:tcW w:w="914" w:type="pct"/>
            <w:vMerge w:val="continue"/>
            <w:tcBorders>
              <w:tl2br w:val="nil"/>
              <w:tr2bl w:val="nil"/>
            </w:tcBorders>
            <w:noWrap w:val="0"/>
            <w:vAlign w:val="center"/>
          </w:tcPr>
          <w:p w14:paraId="4A186C5D">
            <w:pPr>
              <w:pStyle w:val="16"/>
              <w:bidi w:val="0"/>
              <w:rPr>
                <w:rFonts w:hint="default"/>
                <w:color w:val="auto"/>
                <w:lang w:val="en-US" w:eastAsia="zh-CN"/>
              </w:rPr>
            </w:pPr>
          </w:p>
        </w:tc>
        <w:tc>
          <w:tcPr>
            <w:tcW w:w="1115" w:type="pct"/>
            <w:vMerge w:val="continue"/>
            <w:tcBorders>
              <w:tl2br w:val="nil"/>
              <w:tr2bl w:val="nil"/>
            </w:tcBorders>
            <w:noWrap w:val="0"/>
            <w:vAlign w:val="center"/>
          </w:tcPr>
          <w:p w14:paraId="52BE2AD1">
            <w:pPr>
              <w:pStyle w:val="16"/>
              <w:bidi w:val="0"/>
              <w:rPr>
                <w:rFonts w:hint="eastAsia"/>
                <w:color w:val="auto"/>
                <w:lang w:val="en-US" w:eastAsia="zh-CN"/>
              </w:rPr>
            </w:pPr>
          </w:p>
        </w:tc>
        <w:tc>
          <w:tcPr>
            <w:tcW w:w="694" w:type="pct"/>
            <w:tcBorders>
              <w:tl2br w:val="nil"/>
              <w:tr2bl w:val="nil"/>
            </w:tcBorders>
            <w:noWrap w:val="0"/>
            <w:vAlign w:val="center"/>
          </w:tcPr>
          <w:p w14:paraId="2CB437A1">
            <w:pPr>
              <w:pStyle w:val="16"/>
              <w:bidi w:val="0"/>
              <w:rPr>
                <w:rFonts w:hint="default"/>
                <w:color w:val="auto"/>
                <w:lang w:val="en-US" w:eastAsia="zh-CN"/>
              </w:rPr>
            </w:pPr>
            <w:r>
              <w:rPr>
                <w:rFonts w:hint="default"/>
                <w:color w:val="auto"/>
                <w:lang w:val="en-US" w:eastAsia="zh-CN"/>
              </w:rPr>
              <w:t>0.0</w:t>
            </w:r>
            <w:r>
              <w:rPr>
                <w:rFonts w:hint="eastAsia"/>
                <w:color w:val="auto"/>
                <w:lang w:val="en-US" w:eastAsia="zh-CN"/>
              </w:rPr>
              <w:t>03</w:t>
            </w:r>
            <w:r>
              <w:rPr>
                <w:rFonts w:hint="default"/>
                <w:color w:val="auto"/>
                <w:lang w:val="en-US" w:eastAsia="zh-CN"/>
              </w:rPr>
              <w:t>mg/L</w:t>
            </w:r>
          </w:p>
        </w:tc>
      </w:tr>
      <w:tr w14:paraId="02A0726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0573DA89">
            <w:pPr>
              <w:pStyle w:val="16"/>
              <w:bidi w:val="0"/>
              <w:rPr>
                <w:rFonts w:hint="default"/>
                <w:color w:val="auto"/>
                <w:lang w:val="en-US" w:eastAsia="zh-CN"/>
              </w:rPr>
            </w:pPr>
            <w:r>
              <w:rPr>
                <w:rFonts w:hint="eastAsia"/>
                <w:color w:val="auto"/>
                <w:lang w:val="en-US" w:eastAsia="zh-CN"/>
              </w:rPr>
              <w:t>铁</w:t>
            </w:r>
          </w:p>
        </w:tc>
        <w:tc>
          <w:tcPr>
            <w:tcW w:w="1416" w:type="pct"/>
            <w:vMerge w:val="continue"/>
            <w:tcBorders>
              <w:tl2br w:val="nil"/>
              <w:tr2bl w:val="nil"/>
            </w:tcBorders>
            <w:noWrap w:val="0"/>
            <w:vAlign w:val="center"/>
          </w:tcPr>
          <w:p w14:paraId="4B9FF133">
            <w:pPr>
              <w:pStyle w:val="16"/>
              <w:bidi w:val="0"/>
              <w:rPr>
                <w:rFonts w:hint="default"/>
                <w:color w:val="auto"/>
                <w:lang w:val="en-US" w:eastAsia="zh-CN"/>
              </w:rPr>
            </w:pPr>
          </w:p>
        </w:tc>
        <w:tc>
          <w:tcPr>
            <w:tcW w:w="914" w:type="pct"/>
            <w:vMerge w:val="continue"/>
            <w:tcBorders>
              <w:tl2br w:val="nil"/>
              <w:tr2bl w:val="nil"/>
            </w:tcBorders>
            <w:noWrap w:val="0"/>
            <w:vAlign w:val="center"/>
          </w:tcPr>
          <w:p w14:paraId="36351499">
            <w:pPr>
              <w:pStyle w:val="16"/>
              <w:bidi w:val="0"/>
              <w:rPr>
                <w:rFonts w:hint="default"/>
                <w:color w:val="auto"/>
                <w:lang w:val="en-US" w:eastAsia="zh-CN"/>
              </w:rPr>
            </w:pPr>
          </w:p>
        </w:tc>
        <w:tc>
          <w:tcPr>
            <w:tcW w:w="1115" w:type="pct"/>
            <w:vMerge w:val="continue"/>
            <w:tcBorders>
              <w:tl2br w:val="nil"/>
              <w:tr2bl w:val="nil"/>
            </w:tcBorders>
            <w:noWrap w:val="0"/>
            <w:vAlign w:val="center"/>
          </w:tcPr>
          <w:p w14:paraId="46808105">
            <w:pPr>
              <w:pStyle w:val="16"/>
              <w:bidi w:val="0"/>
              <w:rPr>
                <w:rFonts w:hint="eastAsia"/>
                <w:color w:val="auto"/>
                <w:lang w:val="en-US" w:eastAsia="zh-CN"/>
              </w:rPr>
            </w:pPr>
          </w:p>
        </w:tc>
        <w:tc>
          <w:tcPr>
            <w:tcW w:w="694" w:type="pct"/>
            <w:tcBorders>
              <w:tl2br w:val="nil"/>
              <w:tr2bl w:val="nil"/>
            </w:tcBorders>
            <w:noWrap w:val="0"/>
            <w:vAlign w:val="center"/>
          </w:tcPr>
          <w:p w14:paraId="1BAD3D51">
            <w:pPr>
              <w:pStyle w:val="16"/>
              <w:bidi w:val="0"/>
              <w:rPr>
                <w:rFonts w:hint="default"/>
                <w:color w:val="auto"/>
                <w:lang w:val="en-US" w:eastAsia="zh-CN"/>
              </w:rPr>
            </w:pPr>
            <w:r>
              <w:rPr>
                <w:rFonts w:hint="eastAsia"/>
                <w:color w:val="auto"/>
                <w:lang w:val="en-US" w:eastAsia="zh-CN"/>
              </w:rPr>
              <w:t>0.02</w:t>
            </w:r>
            <w:r>
              <w:rPr>
                <w:rFonts w:hint="default"/>
                <w:color w:val="auto"/>
                <w:lang w:val="en-US" w:eastAsia="zh-CN"/>
              </w:rPr>
              <w:t>mg/L</w:t>
            </w:r>
          </w:p>
        </w:tc>
      </w:tr>
      <w:tr w14:paraId="64AA76B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6848BB63">
            <w:pPr>
              <w:pStyle w:val="16"/>
              <w:bidi w:val="0"/>
              <w:rPr>
                <w:rFonts w:hint="default"/>
                <w:color w:val="auto"/>
                <w:lang w:val="en-US" w:eastAsia="zh-CN"/>
              </w:rPr>
            </w:pPr>
            <w:r>
              <w:rPr>
                <w:rFonts w:hint="eastAsia"/>
                <w:color w:val="auto"/>
                <w:lang w:val="en-US" w:eastAsia="zh-CN"/>
              </w:rPr>
              <w:t>锰</w:t>
            </w:r>
          </w:p>
        </w:tc>
        <w:tc>
          <w:tcPr>
            <w:tcW w:w="1416" w:type="pct"/>
            <w:vMerge w:val="continue"/>
            <w:tcBorders>
              <w:tl2br w:val="nil"/>
              <w:tr2bl w:val="nil"/>
            </w:tcBorders>
            <w:noWrap w:val="0"/>
            <w:vAlign w:val="center"/>
          </w:tcPr>
          <w:p w14:paraId="0F152EA4">
            <w:pPr>
              <w:pStyle w:val="16"/>
              <w:bidi w:val="0"/>
              <w:rPr>
                <w:rFonts w:hint="default"/>
                <w:color w:val="auto"/>
                <w:lang w:val="en-US" w:eastAsia="zh-CN"/>
              </w:rPr>
            </w:pPr>
          </w:p>
        </w:tc>
        <w:tc>
          <w:tcPr>
            <w:tcW w:w="914" w:type="pct"/>
            <w:vMerge w:val="continue"/>
            <w:tcBorders>
              <w:tl2br w:val="nil"/>
              <w:tr2bl w:val="nil"/>
            </w:tcBorders>
            <w:noWrap w:val="0"/>
            <w:vAlign w:val="center"/>
          </w:tcPr>
          <w:p w14:paraId="50B1499F">
            <w:pPr>
              <w:pStyle w:val="16"/>
              <w:bidi w:val="0"/>
              <w:rPr>
                <w:rFonts w:hint="default"/>
                <w:color w:val="auto"/>
                <w:lang w:val="en-US" w:eastAsia="zh-CN"/>
              </w:rPr>
            </w:pPr>
          </w:p>
        </w:tc>
        <w:tc>
          <w:tcPr>
            <w:tcW w:w="1115" w:type="pct"/>
            <w:vMerge w:val="continue"/>
            <w:tcBorders>
              <w:tl2br w:val="nil"/>
              <w:tr2bl w:val="nil"/>
            </w:tcBorders>
            <w:noWrap w:val="0"/>
            <w:vAlign w:val="center"/>
          </w:tcPr>
          <w:p w14:paraId="2EB9C7EF">
            <w:pPr>
              <w:pStyle w:val="16"/>
              <w:bidi w:val="0"/>
              <w:rPr>
                <w:rFonts w:hint="eastAsia"/>
                <w:color w:val="auto"/>
                <w:lang w:val="en-US" w:eastAsia="zh-CN"/>
              </w:rPr>
            </w:pPr>
          </w:p>
        </w:tc>
        <w:tc>
          <w:tcPr>
            <w:tcW w:w="694" w:type="pct"/>
            <w:tcBorders>
              <w:tl2br w:val="nil"/>
              <w:tr2bl w:val="nil"/>
            </w:tcBorders>
            <w:noWrap w:val="0"/>
            <w:vAlign w:val="center"/>
          </w:tcPr>
          <w:p w14:paraId="3C622F78">
            <w:pPr>
              <w:pStyle w:val="16"/>
              <w:bidi w:val="0"/>
              <w:rPr>
                <w:rFonts w:hint="default"/>
                <w:color w:val="auto"/>
                <w:lang w:val="en-US" w:eastAsia="zh-CN"/>
              </w:rPr>
            </w:pPr>
            <w:r>
              <w:rPr>
                <w:rFonts w:hint="eastAsia"/>
                <w:color w:val="auto"/>
                <w:lang w:val="en-US" w:eastAsia="zh-CN"/>
              </w:rPr>
              <w:t>0.004</w:t>
            </w:r>
            <w:r>
              <w:rPr>
                <w:rFonts w:hint="default"/>
                <w:color w:val="auto"/>
                <w:lang w:val="en-US" w:eastAsia="zh-CN"/>
              </w:rPr>
              <w:t>mg/L</w:t>
            </w:r>
          </w:p>
        </w:tc>
      </w:tr>
      <w:tr w14:paraId="761351B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020B4C3D">
            <w:pPr>
              <w:pStyle w:val="16"/>
              <w:bidi w:val="0"/>
              <w:rPr>
                <w:rFonts w:hint="eastAsia"/>
                <w:color w:val="auto"/>
                <w:lang w:val="en-US" w:eastAsia="zh-CN"/>
              </w:rPr>
            </w:pPr>
            <w:r>
              <w:rPr>
                <w:rFonts w:hint="default"/>
                <w:color w:val="auto"/>
                <w:lang w:val="en-US" w:eastAsia="zh-CN"/>
              </w:rPr>
              <w:t>碳酸根</w:t>
            </w:r>
          </w:p>
        </w:tc>
        <w:tc>
          <w:tcPr>
            <w:tcW w:w="1416" w:type="pct"/>
            <w:vMerge w:val="restart"/>
            <w:tcBorders>
              <w:tl2br w:val="nil"/>
              <w:tr2bl w:val="nil"/>
            </w:tcBorders>
            <w:noWrap w:val="0"/>
            <w:vAlign w:val="center"/>
          </w:tcPr>
          <w:p w14:paraId="18C9EE7D">
            <w:pPr>
              <w:pStyle w:val="16"/>
              <w:bidi w:val="0"/>
              <w:rPr>
                <w:rFonts w:hint="default"/>
                <w:color w:val="auto"/>
                <w:lang w:val="en-US" w:eastAsia="zh-CN"/>
              </w:rPr>
            </w:pPr>
            <w:r>
              <w:rPr>
                <w:rFonts w:hint="default"/>
                <w:color w:val="auto"/>
                <w:lang w:val="en-US" w:eastAsia="zh-CN"/>
              </w:rPr>
              <w:t>地下水质分析方法 第49部分：碳酸根、重碳酸根和氢氧根离子的测定 滴定法</w:t>
            </w:r>
          </w:p>
        </w:tc>
        <w:tc>
          <w:tcPr>
            <w:tcW w:w="914" w:type="pct"/>
            <w:vMerge w:val="restart"/>
            <w:tcBorders>
              <w:tl2br w:val="nil"/>
              <w:tr2bl w:val="nil"/>
            </w:tcBorders>
            <w:noWrap w:val="0"/>
            <w:vAlign w:val="center"/>
          </w:tcPr>
          <w:p w14:paraId="6A8453A9">
            <w:pPr>
              <w:pStyle w:val="16"/>
              <w:bidi w:val="0"/>
              <w:rPr>
                <w:rFonts w:hint="default"/>
                <w:color w:val="auto"/>
                <w:lang w:val="en-US" w:eastAsia="zh-CN"/>
              </w:rPr>
            </w:pPr>
            <w:r>
              <w:rPr>
                <w:rFonts w:hint="default"/>
                <w:color w:val="auto"/>
                <w:lang w:val="en-US" w:eastAsia="zh-CN"/>
              </w:rPr>
              <w:t>DZ/T 0064.49-2021</w:t>
            </w:r>
          </w:p>
        </w:tc>
        <w:tc>
          <w:tcPr>
            <w:tcW w:w="1115" w:type="pct"/>
            <w:vMerge w:val="restart"/>
            <w:tcBorders>
              <w:tl2br w:val="nil"/>
              <w:tr2bl w:val="nil"/>
            </w:tcBorders>
            <w:noWrap w:val="0"/>
            <w:vAlign w:val="center"/>
          </w:tcPr>
          <w:p w14:paraId="42E90EDB">
            <w:pPr>
              <w:pStyle w:val="16"/>
              <w:bidi w:val="0"/>
              <w:rPr>
                <w:rFonts w:hint="eastAsia"/>
                <w:color w:val="auto"/>
                <w:lang w:val="en-US" w:eastAsia="zh-CN"/>
              </w:rPr>
            </w:pPr>
            <w:r>
              <w:rPr>
                <w:rFonts w:hint="eastAsia"/>
                <w:color w:val="auto"/>
                <w:lang w:val="en-US" w:eastAsia="zh-CN"/>
              </w:rPr>
              <w:t>/</w:t>
            </w:r>
          </w:p>
        </w:tc>
        <w:tc>
          <w:tcPr>
            <w:tcW w:w="694" w:type="pct"/>
            <w:tcBorders>
              <w:tl2br w:val="nil"/>
              <w:tr2bl w:val="nil"/>
            </w:tcBorders>
            <w:noWrap w:val="0"/>
            <w:vAlign w:val="center"/>
          </w:tcPr>
          <w:p w14:paraId="2912B641">
            <w:pPr>
              <w:pStyle w:val="16"/>
              <w:bidi w:val="0"/>
              <w:rPr>
                <w:rFonts w:hint="eastAsia"/>
                <w:color w:val="auto"/>
                <w:lang w:val="en-US" w:eastAsia="zh-CN"/>
              </w:rPr>
            </w:pPr>
            <w:r>
              <w:rPr>
                <w:rFonts w:hint="default"/>
                <w:color w:val="auto"/>
                <w:lang w:val="en-US" w:eastAsia="zh-CN"/>
              </w:rPr>
              <w:t>5mg/L</w:t>
            </w:r>
          </w:p>
        </w:tc>
      </w:tr>
      <w:tr w14:paraId="3F46846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2501A9EC">
            <w:pPr>
              <w:pStyle w:val="16"/>
              <w:bidi w:val="0"/>
              <w:rPr>
                <w:rFonts w:hint="eastAsia"/>
                <w:color w:val="auto"/>
                <w:lang w:val="en-US" w:eastAsia="zh-CN"/>
              </w:rPr>
            </w:pPr>
            <w:r>
              <w:rPr>
                <w:rFonts w:hint="default"/>
                <w:color w:val="auto"/>
                <w:lang w:val="en-US" w:eastAsia="zh-CN"/>
              </w:rPr>
              <w:t>重碳酸根</w:t>
            </w:r>
          </w:p>
        </w:tc>
        <w:tc>
          <w:tcPr>
            <w:tcW w:w="1416" w:type="pct"/>
            <w:vMerge w:val="continue"/>
            <w:tcBorders>
              <w:tl2br w:val="nil"/>
              <w:tr2bl w:val="nil"/>
            </w:tcBorders>
            <w:noWrap w:val="0"/>
            <w:vAlign w:val="center"/>
          </w:tcPr>
          <w:p w14:paraId="3BC2F0DF">
            <w:pPr>
              <w:pStyle w:val="16"/>
              <w:bidi w:val="0"/>
              <w:rPr>
                <w:rFonts w:hint="default"/>
                <w:color w:val="auto"/>
                <w:lang w:val="en-US" w:eastAsia="zh-CN"/>
              </w:rPr>
            </w:pPr>
          </w:p>
        </w:tc>
        <w:tc>
          <w:tcPr>
            <w:tcW w:w="914" w:type="pct"/>
            <w:vMerge w:val="continue"/>
            <w:tcBorders>
              <w:tl2br w:val="nil"/>
              <w:tr2bl w:val="nil"/>
            </w:tcBorders>
            <w:noWrap w:val="0"/>
            <w:vAlign w:val="center"/>
          </w:tcPr>
          <w:p w14:paraId="7D5CF886">
            <w:pPr>
              <w:pStyle w:val="16"/>
              <w:bidi w:val="0"/>
              <w:rPr>
                <w:rFonts w:hint="default"/>
                <w:color w:val="auto"/>
                <w:lang w:val="en-US" w:eastAsia="zh-CN"/>
              </w:rPr>
            </w:pPr>
          </w:p>
        </w:tc>
        <w:tc>
          <w:tcPr>
            <w:tcW w:w="1115" w:type="pct"/>
            <w:vMerge w:val="continue"/>
            <w:tcBorders>
              <w:tl2br w:val="nil"/>
              <w:tr2bl w:val="nil"/>
            </w:tcBorders>
            <w:noWrap w:val="0"/>
            <w:vAlign w:val="center"/>
          </w:tcPr>
          <w:p w14:paraId="76FD2CB7">
            <w:pPr>
              <w:pStyle w:val="16"/>
              <w:bidi w:val="0"/>
              <w:rPr>
                <w:rFonts w:hint="eastAsia"/>
                <w:color w:val="auto"/>
                <w:lang w:val="en-US" w:eastAsia="zh-CN"/>
              </w:rPr>
            </w:pPr>
          </w:p>
        </w:tc>
        <w:tc>
          <w:tcPr>
            <w:tcW w:w="694" w:type="pct"/>
            <w:tcBorders>
              <w:tl2br w:val="nil"/>
              <w:tr2bl w:val="nil"/>
            </w:tcBorders>
            <w:noWrap w:val="0"/>
            <w:vAlign w:val="center"/>
          </w:tcPr>
          <w:p w14:paraId="3AAC1A7C">
            <w:pPr>
              <w:pStyle w:val="16"/>
              <w:bidi w:val="0"/>
              <w:rPr>
                <w:rFonts w:hint="eastAsia"/>
                <w:color w:val="auto"/>
                <w:lang w:val="en-US" w:eastAsia="zh-CN"/>
              </w:rPr>
            </w:pPr>
            <w:r>
              <w:rPr>
                <w:rFonts w:hint="default"/>
                <w:color w:val="auto"/>
                <w:lang w:val="en-US" w:eastAsia="zh-CN"/>
              </w:rPr>
              <w:t>5mg/L</w:t>
            </w:r>
          </w:p>
        </w:tc>
      </w:tr>
      <w:tr w14:paraId="41A8D722">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2ABCAD76">
            <w:pPr>
              <w:pStyle w:val="16"/>
              <w:bidi w:val="0"/>
              <w:rPr>
                <w:rFonts w:hint="eastAsia"/>
                <w:color w:val="auto"/>
                <w:lang w:val="en-US" w:eastAsia="zh-CN"/>
              </w:rPr>
            </w:pPr>
            <w:r>
              <w:rPr>
                <w:rFonts w:hint="default"/>
                <w:color w:val="auto"/>
                <w:lang w:val="en-US" w:eastAsia="zh-CN"/>
              </w:rPr>
              <w:t>氯化物</w:t>
            </w:r>
          </w:p>
        </w:tc>
        <w:tc>
          <w:tcPr>
            <w:tcW w:w="1416" w:type="pct"/>
            <w:vMerge w:val="restart"/>
            <w:tcBorders>
              <w:tl2br w:val="nil"/>
              <w:tr2bl w:val="nil"/>
            </w:tcBorders>
            <w:noWrap w:val="0"/>
            <w:vAlign w:val="center"/>
          </w:tcPr>
          <w:p w14:paraId="674F6946">
            <w:pPr>
              <w:pStyle w:val="16"/>
              <w:bidi w:val="0"/>
              <w:rPr>
                <w:rFonts w:hint="default"/>
                <w:color w:val="auto"/>
                <w:lang w:val="en-US" w:eastAsia="zh-CN"/>
              </w:rPr>
            </w:pPr>
            <w:r>
              <w:rPr>
                <w:rFonts w:hint="default"/>
                <w:color w:val="auto"/>
                <w:lang w:val="en-US" w:eastAsia="zh-CN"/>
              </w:rPr>
              <w:t>水质 无机阴离子</w:t>
            </w:r>
            <w:r>
              <w:rPr>
                <w:rFonts w:hint="eastAsia"/>
                <w:color w:val="auto"/>
                <w:lang w:val="en-US" w:eastAsia="zh-CN"/>
              </w:rPr>
              <w:t>（</w:t>
            </w:r>
            <w:r>
              <w:rPr>
                <w:rFonts w:hint="default"/>
                <w:color w:val="auto"/>
                <w:lang w:val="en-US" w:eastAsia="zh-CN"/>
              </w:rPr>
              <w:t>F</w:t>
            </w:r>
            <w:r>
              <w:rPr>
                <w:rFonts w:hint="default"/>
                <w:color w:val="auto"/>
                <w:vertAlign w:val="superscript"/>
                <w:lang w:val="en-US" w:eastAsia="zh-CN"/>
              </w:rPr>
              <w:t>-</w:t>
            </w:r>
            <w:r>
              <w:rPr>
                <w:rFonts w:hint="default"/>
                <w:color w:val="auto"/>
                <w:lang w:val="en-US" w:eastAsia="zh-CN"/>
              </w:rPr>
              <w:t>、Cl</w:t>
            </w:r>
            <w:r>
              <w:rPr>
                <w:rFonts w:hint="default"/>
                <w:color w:val="auto"/>
                <w:vertAlign w:val="superscript"/>
                <w:lang w:val="en-US" w:eastAsia="zh-CN"/>
              </w:rPr>
              <w:t>-</w:t>
            </w:r>
            <w:r>
              <w:rPr>
                <w:rFonts w:hint="default"/>
                <w:color w:val="auto"/>
                <w:lang w:val="en-US" w:eastAsia="zh-CN"/>
              </w:rPr>
              <w:t>、NO</w:t>
            </w:r>
            <w:r>
              <w:rPr>
                <w:rFonts w:hint="default"/>
                <w:color w:val="auto"/>
                <w:vertAlign w:val="subscript"/>
                <w:lang w:val="en-US" w:eastAsia="zh-CN"/>
              </w:rPr>
              <w:t>2</w:t>
            </w:r>
            <w:r>
              <w:rPr>
                <w:rFonts w:hint="default"/>
                <w:color w:val="auto"/>
                <w:vertAlign w:val="superscript"/>
                <w:lang w:val="en-US" w:eastAsia="zh-CN"/>
              </w:rPr>
              <w:t>-</w:t>
            </w:r>
            <w:r>
              <w:rPr>
                <w:rFonts w:hint="default"/>
                <w:color w:val="auto"/>
                <w:lang w:val="en-US" w:eastAsia="zh-CN"/>
              </w:rPr>
              <w:t>、Br</w:t>
            </w:r>
            <w:r>
              <w:rPr>
                <w:rFonts w:hint="default"/>
                <w:color w:val="auto"/>
                <w:vertAlign w:val="superscript"/>
                <w:lang w:val="en-US" w:eastAsia="zh-CN"/>
              </w:rPr>
              <w:t>-</w:t>
            </w:r>
            <w:r>
              <w:rPr>
                <w:rFonts w:hint="default"/>
                <w:color w:val="auto"/>
                <w:lang w:val="en-US" w:eastAsia="zh-CN"/>
              </w:rPr>
              <w:t>、NO</w:t>
            </w:r>
            <w:r>
              <w:rPr>
                <w:rFonts w:hint="default"/>
                <w:color w:val="auto"/>
                <w:vertAlign w:val="subscript"/>
                <w:lang w:val="en-US" w:eastAsia="zh-CN"/>
              </w:rPr>
              <w:t>3</w:t>
            </w:r>
            <w:r>
              <w:rPr>
                <w:rFonts w:hint="default"/>
                <w:color w:val="auto"/>
                <w:vertAlign w:val="superscript"/>
                <w:lang w:val="en-US" w:eastAsia="zh-CN"/>
              </w:rPr>
              <w:t>-</w:t>
            </w:r>
            <w:r>
              <w:rPr>
                <w:rFonts w:hint="default"/>
                <w:color w:val="auto"/>
                <w:lang w:val="en-US" w:eastAsia="zh-CN"/>
              </w:rPr>
              <w:t>、PO</w:t>
            </w:r>
            <w:r>
              <w:rPr>
                <w:rFonts w:hint="default"/>
                <w:color w:val="auto"/>
                <w:vertAlign w:val="subscript"/>
                <w:lang w:val="en-US" w:eastAsia="zh-CN"/>
              </w:rPr>
              <w:t>4</w:t>
            </w:r>
            <w:r>
              <w:rPr>
                <w:rFonts w:hint="default"/>
                <w:color w:val="auto"/>
                <w:vertAlign w:val="superscript"/>
                <w:lang w:val="en-US" w:eastAsia="zh-CN"/>
              </w:rPr>
              <w:t>3-</w:t>
            </w:r>
            <w:r>
              <w:rPr>
                <w:rFonts w:hint="default"/>
                <w:color w:val="auto"/>
                <w:lang w:val="en-US" w:eastAsia="zh-CN"/>
              </w:rPr>
              <w:t>、SO</w:t>
            </w:r>
            <w:r>
              <w:rPr>
                <w:rFonts w:hint="default"/>
                <w:color w:val="auto"/>
                <w:vertAlign w:val="subscript"/>
                <w:lang w:val="en-US" w:eastAsia="zh-CN"/>
              </w:rPr>
              <w:t>3</w:t>
            </w:r>
            <w:r>
              <w:rPr>
                <w:rFonts w:hint="default"/>
                <w:color w:val="auto"/>
                <w:vertAlign w:val="superscript"/>
                <w:lang w:val="en-US" w:eastAsia="zh-CN"/>
              </w:rPr>
              <w:t>2-</w:t>
            </w:r>
            <w:r>
              <w:rPr>
                <w:rFonts w:hint="default"/>
                <w:color w:val="auto"/>
                <w:lang w:val="en-US" w:eastAsia="zh-CN"/>
              </w:rPr>
              <w:t>、SO</w:t>
            </w:r>
            <w:r>
              <w:rPr>
                <w:rFonts w:hint="default"/>
                <w:color w:val="auto"/>
                <w:vertAlign w:val="subscript"/>
                <w:lang w:val="en-US" w:eastAsia="zh-CN"/>
              </w:rPr>
              <w:t>4</w:t>
            </w:r>
            <w:r>
              <w:rPr>
                <w:rFonts w:hint="default"/>
                <w:color w:val="auto"/>
                <w:vertAlign w:val="superscript"/>
                <w:lang w:val="en-US" w:eastAsia="zh-CN"/>
              </w:rPr>
              <w:t>2-</w:t>
            </w:r>
            <w:r>
              <w:rPr>
                <w:rFonts w:hint="eastAsia"/>
                <w:color w:val="auto"/>
                <w:lang w:val="en-US" w:eastAsia="zh-CN"/>
              </w:rPr>
              <w:t>）</w:t>
            </w:r>
            <w:r>
              <w:rPr>
                <w:rFonts w:hint="default"/>
                <w:color w:val="auto"/>
                <w:lang w:val="en-US" w:eastAsia="zh-CN"/>
              </w:rPr>
              <w:t>的测定 离子色谱法</w:t>
            </w:r>
          </w:p>
        </w:tc>
        <w:tc>
          <w:tcPr>
            <w:tcW w:w="914" w:type="pct"/>
            <w:vMerge w:val="restart"/>
            <w:tcBorders>
              <w:tl2br w:val="nil"/>
              <w:tr2bl w:val="nil"/>
            </w:tcBorders>
            <w:noWrap w:val="0"/>
            <w:vAlign w:val="center"/>
          </w:tcPr>
          <w:p w14:paraId="7C9E5BEF">
            <w:pPr>
              <w:pStyle w:val="16"/>
              <w:bidi w:val="0"/>
              <w:rPr>
                <w:rFonts w:hint="default"/>
                <w:color w:val="auto"/>
                <w:lang w:val="en-US" w:eastAsia="zh-CN"/>
              </w:rPr>
            </w:pPr>
            <w:r>
              <w:rPr>
                <w:rFonts w:hint="default"/>
                <w:color w:val="auto"/>
                <w:lang w:val="en-US" w:eastAsia="zh-CN"/>
              </w:rPr>
              <w:t>HJ 84-2016</w:t>
            </w:r>
          </w:p>
        </w:tc>
        <w:tc>
          <w:tcPr>
            <w:tcW w:w="1115" w:type="pct"/>
            <w:vMerge w:val="restart"/>
            <w:tcBorders>
              <w:tl2br w:val="nil"/>
              <w:tr2bl w:val="nil"/>
            </w:tcBorders>
            <w:noWrap w:val="0"/>
            <w:vAlign w:val="center"/>
          </w:tcPr>
          <w:p w14:paraId="0A339599">
            <w:pPr>
              <w:pStyle w:val="16"/>
              <w:bidi w:val="0"/>
              <w:rPr>
                <w:rFonts w:hint="eastAsia"/>
                <w:color w:val="auto"/>
                <w:lang w:val="en-US" w:eastAsia="zh-CN"/>
              </w:rPr>
            </w:pPr>
            <w:r>
              <w:rPr>
                <w:rFonts w:hint="default"/>
                <w:color w:val="auto"/>
              </w:rPr>
              <w:t>CIC-D-100离子色谱仪</w:t>
            </w:r>
            <w:r>
              <w:rPr>
                <w:rFonts w:hint="default"/>
                <w:color w:val="auto"/>
                <w:lang w:eastAsia="zh-CN"/>
              </w:rPr>
              <w:t>（</w:t>
            </w:r>
            <w:r>
              <w:rPr>
                <w:rFonts w:hint="default"/>
                <w:color w:val="auto"/>
                <w:lang w:val="en-US" w:eastAsia="zh-CN"/>
              </w:rPr>
              <w:t>HDH/YQ-</w:t>
            </w:r>
            <w:r>
              <w:rPr>
                <w:rFonts w:hint="eastAsia"/>
                <w:color w:val="auto"/>
                <w:lang w:val="en-US" w:eastAsia="zh-CN"/>
              </w:rPr>
              <w:t>03</w:t>
            </w:r>
            <w:r>
              <w:rPr>
                <w:rFonts w:hint="default"/>
                <w:color w:val="auto"/>
                <w:lang w:val="en-US" w:eastAsia="zh-CN"/>
              </w:rPr>
              <w:t>-0</w:t>
            </w:r>
            <w:r>
              <w:rPr>
                <w:rFonts w:hint="eastAsia"/>
                <w:color w:val="auto"/>
                <w:lang w:val="en-US" w:eastAsia="zh-CN"/>
              </w:rPr>
              <w:t>6</w:t>
            </w:r>
            <w:r>
              <w:rPr>
                <w:rFonts w:hint="default"/>
                <w:color w:val="auto"/>
                <w:lang w:eastAsia="zh-CN"/>
              </w:rPr>
              <w:t>）</w:t>
            </w:r>
          </w:p>
        </w:tc>
        <w:tc>
          <w:tcPr>
            <w:tcW w:w="694" w:type="pct"/>
            <w:tcBorders>
              <w:tl2br w:val="nil"/>
              <w:tr2bl w:val="nil"/>
            </w:tcBorders>
            <w:noWrap w:val="0"/>
            <w:vAlign w:val="center"/>
          </w:tcPr>
          <w:p w14:paraId="399DA7D7">
            <w:pPr>
              <w:pStyle w:val="16"/>
              <w:bidi w:val="0"/>
              <w:rPr>
                <w:rFonts w:hint="eastAsia"/>
                <w:color w:val="auto"/>
                <w:lang w:val="en-US" w:eastAsia="zh-CN"/>
              </w:rPr>
            </w:pPr>
            <w:r>
              <w:rPr>
                <w:rFonts w:hint="default"/>
                <w:color w:val="auto"/>
                <w:lang w:val="en-US" w:eastAsia="zh-CN"/>
              </w:rPr>
              <w:t>0.007mg/L</w:t>
            </w:r>
          </w:p>
        </w:tc>
      </w:tr>
      <w:tr w14:paraId="7DE8FDA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1E9D4323">
            <w:pPr>
              <w:pStyle w:val="16"/>
              <w:bidi w:val="0"/>
              <w:rPr>
                <w:rFonts w:hint="eastAsia"/>
                <w:color w:val="auto"/>
                <w:lang w:val="en-US" w:eastAsia="zh-CN"/>
              </w:rPr>
            </w:pPr>
            <w:r>
              <w:rPr>
                <w:rFonts w:hint="default"/>
                <w:color w:val="auto"/>
                <w:lang w:val="en-US" w:eastAsia="zh-CN"/>
              </w:rPr>
              <w:t>氟化物</w:t>
            </w:r>
          </w:p>
        </w:tc>
        <w:tc>
          <w:tcPr>
            <w:tcW w:w="1416" w:type="pct"/>
            <w:vMerge w:val="continue"/>
            <w:tcBorders>
              <w:tl2br w:val="nil"/>
              <w:tr2bl w:val="nil"/>
            </w:tcBorders>
            <w:noWrap w:val="0"/>
            <w:vAlign w:val="center"/>
          </w:tcPr>
          <w:p w14:paraId="68073B5B">
            <w:pPr>
              <w:pStyle w:val="16"/>
              <w:bidi w:val="0"/>
              <w:rPr>
                <w:rFonts w:hint="default"/>
                <w:color w:val="auto"/>
                <w:lang w:val="en-US" w:eastAsia="zh-CN"/>
              </w:rPr>
            </w:pPr>
          </w:p>
        </w:tc>
        <w:tc>
          <w:tcPr>
            <w:tcW w:w="914" w:type="pct"/>
            <w:vMerge w:val="continue"/>
            <w:tcBorders>
              <w:tl2br w:val="nil"/>
              <w:tr2bl w:val="nil"/>
            </w:tcBorders>
            <w:noWrap w:val="0"/>
            <w:vAlign w:val="center"/>
          </w:tcPr>
          <w:p w14:paraId="753611EE">
            <w:pPr>
              <w:pStyle w:val="16"/>
              <w:bidi w:val="0"/>
              <w:rPr>
                <w:rFonts w:hint="default"/>
                <w:color w:val="auto"/>
                <w:lang w:val="en-US" w:eastAsia="zh-CN"/>
              </w:rPr>
            </w:pPr>
          </w:p>
        </w:tc>
        <w:tc>
          <w:tcPr>
            <w:tcW w:w="1115" w:type="pct"/>
            <w:vMerge w:val="continue"/>
            <w:tcBorders>
              <w:tl2br w:val="nil"/>
              <w:tr2bl w:val="nil"/>
            </w:tcBorders>
            <w:noWrap w:val="0"/>
            <w:vAlign w:val="center"/>
          </w:tcPr>
          <w:p w14:paraId="62D70E77">
            <w:pPr>
              <w:pStyle w:val="16"/>
              <w:bidi w:val="0"/>
              <w:rPr>
                <w:rFonts w:hint="eastAsia"/>
                <w:color w:val="auto"/>
                <w:lang w:val="en-US" w:eastAsia="zh-CN"/>
              </w:rPr>
            </w:pPr>
          </w:p>
        </w:tc>
        <w:tc>
          <w:tcPr>
            <w:tcW w:w="694" w:type="pct"/>
            <w:tcBorders>
              <w:tl2br w:val="nil"/>
              <w:tr2bl w:val="nil"/>
            </w:tcBorders>
            <w:noWrap w:val="0"/>
            <w:vAlign w:val="center"/>
          </w:tcPr>
          <w:p w14:paraId="703EBCA1">
            <w:pPr>
              <w:pStyle w:val="16"/>
              <w:bidi w:val="0"/>
              <w:rPr>
                <w:rFonts w:hint="eastAsia"/>
                <w:color w:val="auto"/>
                <w:lang w:val="en-US" w:eastAsia="zh-CN"/>
              </w:rPr>
            </w:pPr>
            <w:r>
              <w:rPr>
                <w:rFonts w:hint="default"/>
                <w:color w:val="auto"/>
                <w:lang w:val="en-US" w:eastAsia="zh-CN"/>
              </w:rPr>
              <w:t>0.006mg/L</w:t>
            </w:r>
          </w:p>
        </w:tc>
      </w:tr>
      <w:tr w14:paraId="002795C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4EC3E660">
            <w:pPr>
              <w:pStyle w:val="16"/>
              <w:bidi w:val="0"/>
              <w:rPr>
                <w:rFonts w:hint="eastAsia"/>
                <w:color w:val="auto"/>
                <w:lang w:val="en-US" w:eastAsia="zh-CN"/>
              </w:rPr>
            </w:pPr>
            <w:r>
              <w:rPr>
                <w:rFonts w:hint="eastAsia"/>
                <w:color w:val="auto"/>
                <w:lang w:val="en-US" w:eastAsia="zh-CN"/>
              </w:rPr>
              <w:t>硝酸盐</w:t>
            </w:r>
          </w:p>
        </w:tc>
        <w:tc>
          <w:tcPr>
            <w:tcW w:w="1416" w:type="pct"/>
            <w:vMerge w:val="continue"/>
            <w:tcBorders>
              <w:tl2br w:val="nil"/>
              <w:tr2bl w:val="nil"/>
            </w:tcBorders>
            <w:noWrap w:val="0"/>
            <w:vAlign w:val="center"/>
          </w:tcPr>
          <w:p w14:paraId="449C2021">
            <w:pPr>
              <w:pStyle w:val="16"/>
              <w:bidi w:val="0"/>
              <w:rPr>
                <w:rFonts w:hint="default"/>
                <w:color w:val="auto"/>
                <w:lang w:val="en-US" w:eastAsia="zh-CN"/>
              </w:rPr>
            </w:pPr>
          </w:p>
        </w:tc>
        <w:tc>
          <w:tcPr>
            <w:tcW w:w="914" w:type="pct"/>
            <w:vMerge w:val="continue"/>
            <w:tcBorders>
              <w:tl2br w:val="nil"/>
              <w:tr2bl w:val="nil"/>
            </w:tcBorders>
            <w:noWrap w:val="0"/>
            <w:vAlign w:val="center"/>
          </w:tcPr>
          <w:p w14:paraId="3F505FF5">
            <w:pPr>
              <w:pStyle w:val="16"/>
              <w:bidi w:val="0"/>
              <w:rPr>
                <w:rFonts w:hint="default"/>
                <w:color w:val="auto"/>
                <w:lang w:val="en-US" w:eastAsia="zh-CN"/>
              </w:rPr>
            </w:pPr>
          </w:p>
        </w:tc>
        <w:tc>
          <w:tcPr>
            <w:tcW w:w="1115" w:type="pct"/>
            <w:vMerge w:val="continue"/>
            <w:tcBorders>
              <w:tl2br w:val="nil"/>
              <w:tr2bl w:val="nil"/>
            </w:tcBorders>
            <w:noWrap w:val="0"/>
            <w:vAlign w:val="center"/>
          </w:tcPr>
          <w:p w14:paraId="10FCEEDB">
            <w:pPr>
              <w:pStyle w:val="16"/>
              <w:bidi w:val="0"/>
              <w:rPr>
                <w:rFonts w:hint="eastAsia"/>
                <w:color w:val="auto"/>
                <w:lang w:val="en-US" w:eastAsia="zh-CN"/>
              </w:rPr>
            </w:pPr>
          </w:p>
        </w:tc>
        <w:tc>
          <w:tcPr>
            <w:tcW w:w="694" w:type="pct"/>
            <w:tcBorders>
              <w:tl2br w:val="nil"/>
              <w:tr2bl w:val="nil"/>
            </w:tcBorders>
            <w:noWrap w:val="0"/>
            <w:vAlign w:val="center"/>
          </w:tcPr>
          <w:p w14:paraId="30CA4390">
            <w:pPr>
              <w:pStyle w:val="16"/>
              <w:bidi w:val="0"/>
              <w:rPr>
                <w:rFonts w:hint="eastAsia"/>
                <w:color w:val="auto"/>
                <w:lang w:val="en-US" w:eastAsia="zh-CN"/>
              </w:rPr>
            </w:pPr>
            <w:r>
              <w:rPr>
                <w:rFonts w:hint="default"/>
                <w:color w:val="auto"/>
                <w:lang w:val="en-US" w:eastAsia="zh-CN"/>
              </w:rPr>
              <w:t>0.0</w:t>
            </w:r>
            <w:r>
              <w:rPr>
                <w:rFonts w:hint="eastAsia"/>
                <w:color w:val="auto"/>
                <w:lang w:val="en-US" w:eastAsia="zh-CN"/>
              </w:rPr>
              <w:t>04</w:t>
            </w:r>
            <w:r>
              <w:rPr>
                <w:rFonts w:hint="default"/>
                <w:color w:val="auto"/>
                <w:lang w:val="en-US" w:eastAsia="zh-CN"/>
              </w:rPr>
              <w:t>mg/L</w:t>
            </w:r>
          </w:p>
        </w:tc>
      </w:tr>
      <w:tr w14:paraId="1DADE014">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6023E64E">
            <w:pPr>
              <w:pStyle w:val="16"/>
              <w:bidi w:val="0"/>
              <w:rPr>
                <w:rFonts w:hint="eastAsia"/>
                <w:color w:val="auto"/>
                <w:lang w:val="en-US" w:eastAsia="zh-CN"/>
              </w:rPr>
            </w:pPr>
            <w:r>
              <w:rPr>
                <w:rFonts w:hint="eastAsia"/>
                <w:color w:val="auto"/>
                <w:lang w:val="en-US" w:eastAsia="zh-CN"/>
              </w:rPr>
              <w:t>亚硝酸盐</w:t>
            </w:r>
          </w:p>
        </w:tc>
        <w:tc>
          <w:tcPr>
            <w:tcW w:w="1416" w:type="pct"/>
            <w:vMerge w:val="continue"/>
            <w:tcBorders>
              <w:tl2br w:val="nil"/>
              <w:tr2bl w:val="nil"/>
            </w:tcBorders>
            <w:noWrap w:val="0"/>
            <w:vAlign w:val="center"/>
          </w:tcPr>
          <w:p w14:paraId="2289B60B">
            <w:pPr>
              <w:pStyle w:val="16"/>
              <w:bidi w:val="0"/>
              <w:rPr>
                <w:rFonts w:hint="default"/>
                <w:color w:val="auto"/>
                <w:lang w:val="en-US" w:eastAsia="zh-CN"/>
              </w:rPr>
            </w:pPr>
          </w:p>
        </w:tc>
        <w:tc>
          <w:tcPr>
            <w:tcW w:w="914" w:type="pct"/>
            <w:vMerge w:val="continue"/>
            <w:tcBorders>
              <w:tl2br w:val="nil"/>
              <w:tr2bl w:val="nil"/>
            </w:tcBorders>
            <w:noWrap w:val="0"/>
            <w:vAlign w:val="center"/>
          </w:tcPr>
          <w:p w14:paraId="16AC5D23">
            <w:pPr>
              <w:pStyle w:val="16"/>
              <w:bidi w:val="0"/>
              <w:rPr>
                <w:rFonts w:hint="default"/>
                <w:color w:val="auto"/>
                <w:lang w:val="en-US" w:eastAsia="zh-CN"/>
              </w:rPr>
            </w:pPr>
          </w:p>
        </w:tc>
        <w:tc>
          <w:tcPr>
            <w:tcW w:w="1115" w:type="pct"/>
            <w:vMerge w:val="continue"/>
            <w:tcBorders>
              <w:tl2br w:val="nil"/>
              <w:tr2bl w:val="nil"/>
            </w:tcBorders>
            <w:noWrap w:val="0"/>
            <w:vAlign w:val="center"/>
          </w:tcPr>
          <w:p w14:paraId="49BEF3EA">
            <w:pPr>
              <w:pStyle w:val="16"/>
              <w:bidi w:val="0"/>
              <w:rPr>
                <w:rFonts w:hint="eastAsia"/>
                <w:color w:val="auto"/>
                <w:lang w:val="en-US" w:eastAsia="zh-CN"/>
              </w:rPr>
            </w:pPr>
          </w:p>
        </w:tc>
        <w:tc>
          <w:tcPr>
            <w:tcW w:w="694" w:type="pct"/>
            <w:tcBorders>
              <w:tl2br w:val="nil"/>
              <w:tr2bl w:val="nil"/>
            </w:tcBorders>
            <w:noWrap w:val="0"/>
            <w:vAlign w:val="center"/>
          </w:tcPr>
          <w:p w14:paraId="7F392F76">
            <w:pPr>
              <w:pStyle w:val="16"/>
              <w:bidi w:val="0"/>
              <w:rPr>
                <w:rFonts w:hint="eastAsia"/>
                <w:color w:val="auto"/>
                <w:lang w:val="en-US" w:eastAsia="zh-CN"/>
              </w:rPr>
            </w:pPr>
            <w:r>
              <w:rPr>
                <w:rFonts w:hint="default"/>
                <w:color w:val="auto"/>
                <w:lang w:val="en-US" w:eastAsia="zh-CN"/>
              </w:rPr>
              <w:t>0.0</w:t>
            </w:r>
            <w:r>
              <w:rPr>
                <w:rFonts w:hint="eastAsia"/>
                <w:color w:val="auto"/>
                <w:lang w:val="en-US" w:eastAsia="zh-CN"/>
              </w:rPr>
              <w:t>05</w:t>
            </w:r>
            <w:r>
              <w:rPr>
                <w:rFonts w:hint="default"/>
                <w:color w:val="auto"/>
                <w:lang w:val="en-US" w:eastAsia="zh-CN"/>
              </w:rPr>
              <w:t>mg/L</w:t>
            </w:r>
          </w:p>
        </w:tc>
      </w:tr>
      <w:tr w14:paraId="5F896386">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2FE1F3FB">
            <w:pPr>
              <w:pStyle w:val="16"/>
              <w:bidi w:val="0"/>
              <w:rPr>
                <w:rFonts w:hint="eastAsia"/>
                <w:color w:val="auto"/>
                <w:lang w:val="en-US" w:eastAsia="zh-CN"/>
              </w:rPr>
            </w:pPr>
            <w:r>
              <w:rPr>
                <w:rFonts w:hint="eastAsia"/>
                <w:color w:val="auto"/>
                <w:lang w:val="en-US" w:eastAsia="zh-CN"/>
              </w:rPr>
              <w:t>硫酸盐</w:t>
            </w:r>
          </w:p>
        </w:tc>
        <w:tc>
          <w:tcPr>
            <w:tcW w:w="1416" w:type="pct"/>
            <w:vMerge w:val="continue"/>
            <w:tcBorders>
              <w:tl2br w:val="nil"/>
              <w:tr2bl w:val="nil"/>
            </w:tcBorders>
            <w:noWrap w:val="0"/>
            <w:vAlign w:val="center"/>
          </w:tcPr>
          <w:p w14:paraId="430C062C">
            <w:pPr>
              <w:pStyle w:val="16"/>
              <w:bidi w:val="0"/>
              <w:rPr>
                <w:rFonts w:hint="default"/>
                <w:color w:val="auto"/>
                <w:lang w:val="en-US" w:eastAsia="zh-CN"/>
              </w:rPr>
            </w:pPr>
          </w:p>
        </w:tc>
        <w:tc>
          <w:tcPr>
            <w:tcW w:w="914" w:type="pct"/>
            <w:vMerge w:val="continue"/>
            <w:tcBorders>
              <w:tl2br w:val="nil"/>
              <w:tr2bl w:val="nil"/>
            </w:tcBorders>
            <w:noWrap w:val="0"/>
            <w:vAlign w:val="center"/>
          </w:tcPr>
          <w:p w14:paraId="34B57DD9">
            <w:pPr>
              <w:pStyle w:val="16"/>
              <w:bidi w:val="0"/>
              <w:rPr>
                <w:rFonts w:hint="default"/>
                <w:color w:val="auto"/>
                <w:lang w:val="en-US" w:eastAsia="zh-CN"/>
              </w:rPr>
            </w:pPr>
          </w:p>
        </w:tc>
        <w:tc>
          <w:tcPr>
            <w:tcW w:w="1115" w:type="pct"/>
            <w:vMerge w:val="continue"/>
            <w:tcBorders>
              <w:tl2br w:val="nil"/>
              <w:tr2bl w:val="nil"/>
            </w:tcBorders>
            <w:noWrap w:val="0"/>
            <w:vAlign w:val="center"/>
          </w:tcPr>
          <w:p w14:paraId="457093C4">
            <w:pPr>
              <w:pStyle w:val="16"/>
              <w:bidi w:val="0"/>
              <w:rPr>
                <w:rFonts w:hint="eastAsia"/>
                <w:color w:val="auto"/>
                <w:lang w:val="en-US" w:eastAsia="zh-CN"/>
              </w:rPr>
            </w:pPr>
          </w:p>
        </w:tc>
        <w:tc>
          <w:tcPr>
            <w:tcW w:w="694" w:type="pct"/>
            <w:tcBorders>
              <w:tl2br w:val="nil"/>
              <w:tr2bl w:val="nil"/>
            </w:tcBorders>
            <w:noWrap w:val="0"/>
            <w:vAlign w:val="center"/>
          </w:tcPr>
          <w:p w14:paraId="19F27C6C">
            <w:pPr>
              <w:pStyle w:val="16"/>
              <w:bidi w:val="0"/>
              <w:rPr>
                <w:rFonts w:hint="eastAsia"/>
                <w:color w:val="auto"/>
                <w:lang w:val="en-US" w:eastAsia="zh-CN"/>
              </w:rPr>
            </w:pPr>
            <w:r>
              <w:rPr>
                <w:rFonts w:hint="default"/>
                <w:color w:val="auto"/>
                <w:lang w:val="en-US" w:eastAsia="zh-CN"/>
              </w:rPr>
              <w:t>0.0</w:t>
            </w:r>
            <w:r>
              <w:rPr>
                <w:rFonts w:hint="eastAsia"/>
                <w:color w:val="auto"/>
                <w:lang w:val="en-US" w:eastAsia="zh-CN"/>
              </w:rPr>
              <w:t>18</w:t>
            </w:r>
            <w:r>
              <w:rPr>
                <w:rFonts w:hint="default"/>
                <w:color w:val="auto"/>
                <w:lang w:val="en-US" w:eastAsia="zh-CN"/>
              </w:rPr>
              <w:t>mg/L</w:t>
            </w:r>
          </w:p>
        </w:tc>
      </w:tr>
      <w:tr w14:paraId="288D1983">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25510000">
            <w:pPr>
              <w:pStyle w:val="16"/>
              <w:bidi w:val="0"/>
              <w:rPr>
                <w:rFonts w:hint="eastAsia"/>
                <w:color w:val="auto"/>
                <w:lang w:val="en-US" w:eastAsia="zh-CN"/>
              </w:rPr>
            </w:pPr>
            <w:r>
              <w:rPr>
                <w:rFonts w:hint="default"/>
                <w:color w:val="auto"/>
                <w:lang w:val="en-US" w:eastAsia="zh-CN"/>
              </w:rPr>
              <w:t>氨氮</w:t>
            </w:r>
          </w:p>
        </w:tc>
        <w:tc>
          <w:tcPr>
            <w:tcW w:w="1416" w:type="pct"/>
            <w:tcBorders>
              <w:tl2br w:val="nil"/>
              <w:tr2bl w:val="nil"/>
            </w:tcBorders>
            <w:noWrap w:val="0"/>
            <w:vAlign w:val="center"/>
          </w:tcPr>
          <w:p w14:paraId="7BD89066">
            <w:pPr>
              <w:pStyle w:val="16"/>
              <w:bidi w:val="0"/>
              <w:rPr>
                <w:rFonts w:hint="default"/>
                <w:color w:val="auto"/>
                <w:lang w:val="en-US" w:eastAsia="zh-CN"/>
              </w:rPr>
            </w:pPr>
            <w:r>
              <w:rPr>
                <w:rFonts w:hint="default"/>
                <w:color w:val="auto"/>
                <w:lang w:val="en-US" w:eastAsia="zh-CN"/>
              </w:rPr>
              <w:t>水质 氨氮的测定 纳氏试剂分光光度法</w:t>
            </w:r>
          </w:p>
        </w:tc>
        <w:tc>
          <w:tcPr>
            <w:tcW w:w="914" w:type="pct"/>
            <w:tcBorders>
              <w:tl2br w:val="nil"/>
              <w:tr2bl w:val="nil"/>
            </w:tcBorders>
            <w:noWrap w:val="0"/>
            <w:vAlign w:val="center"/>
          </w:tcPr>
          <w:p w14:paraId="0892CA4E">
            <w:pPr>
              <w:pStyle w:val="16"/>
              <w:bidi w:val="0"/>
              <w:rPr>
                <w:rFonts w:hint="default"/>
                <w:color w:val="auto"/>
                <w:lang w:val="en-US" w:eastAsia="zh-CN"/>
              </w:rPr>
            </w:pPr>
            <w:r>
              <w:rPr>
                <w:rFonts w:hint="default"/>
                <w:color w:val="auto"/>
                <w:lang w:val="en-US" w:eastAsia="zh-CN"/>
              </w:rPr>
              <w:t>HJ 535-2009</w:t>
            </w:r>
          </w:p>
        </w:tc>
        <w:tc>
          <w:tcPr>
            <w:tcW w:w="1115" w:type="pct"/>
            <w:tcBorders>
              <w:tl2br w:val="nil"/>
              <w:tr2bl w:val="nil"/>
            </w:tcBorders>
            <w:noWrap w:val="0"/>
            <w:vAlign w:val="center"/>
          </w:tcPr>
          <w:p w14:paraId="2B9109D1">
            <w:pPr>
              <w:pStyle w:val="16"/>
              <w:bidi w:val="0"/>
              <w:rPr>
                <w:rFonts w:hint="eastAsia"/>
                <w:color w:val="auto"/>
                <w:lang w:val="en-US" w:eastAsia="zh-CN"/>
              </w:rPr>
            </w:pPr>
            <w:r>
              <w:rPr>
                <w:rFonts w:hint="default"/>
                <w:color w:val="auto"/>
                <w:lang w:val="en-US" w:eastAsia="zh-CN"/>
              </w:rPr>
              <w:t>722可见分光光度计（HDH/YQ-41-01）</w:t>
            </w:r>
          </w:p>
        </w:tc>
        <w:tc>
          <w:tcPr>
            <w:tcW w:w="694" w:type="pct"/>
            <w:tcBorders>
              <w:tl2br w:val="nil"/>
              <w:tr2bl w:val="nil"/>
            </w:tcBorders>
            <w:noWrap w:val="0"/>
            <w:vAlign w:val="center"/>
          </w:tcPr>
          <w:p w14:paraId="6675869A">
            <w:pPr>
              <w:pStyle w:val="16"/>
              <w:bidi w:val="0"/>
              <w:rPr>
                <w:rFonts w:hint="eastAsia"/>
                <w:color w:val="auto"/>
                <w:lang w:val="en-US" w:eastAsia="zh-CN"/>
              </w:rPr>
            </w:pPr>
            <w:r>
              <w:rPr>
                <w:rFonts w:hint="default"/>
                <w:color w:val="auto"/>
                <w:lang w:val="en-US" w:eastAsia="zh-CN"/>
              </w:rPr>
              <w:t>0.025mg/L</w:t>
            </w:r>
          </w:p>
        </w:tc>
      </w:tr>
      <w:tr w14:paraId="701B979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3B346817">
            <w:pPr>
              <w:pStyle w:val="16"/>
              <w:bidi w:val="0"/>
              <w:rPr>
                <w:rFonts w:hint="eastAsia"/>
                <w:color w:val="auto"/>
                <w:lang w:val="en-US" w:eastAsia="zh-CN"/>
              </w:rPr>
            </w:pPr>
            <w:r>
              <w:rPr>
                <w:rFonts w:hint="default"/>
                <w:color w:val="auto"/>
                <w:lang w:val="en-US" w:eastAsia="zh-CN"/>
              </w:rPr>
              <w:t>挥发酚</w:t>
            </w:r>
          </w:p>
        </w:tc>
        <w:tc>
          <w:tcPr>
            <w:tcW w:w="1416" w:type="pct"/>
            <w:tcBorders>
              <w:tl2br w:val="nil"/>
              <w:tr2bl w:val="nil"/>
            </w:tcBorders>
            <w:noWrap w:val="0"/>
            <w:vAlign w:val="center"/>
          </w:tcPr>
          <w:p w14:paraId="5CBAD7FC">
            <w:pPr>
              <w:pStyle w:val="16"/>
              <w:bidi w:val="0"/>
              <w:rPr>
                <w:rFonts w:hint="default"/>
                <w:color w:val="auto"/>
                <w:lang w:val="en-US" w:eastAsia="zh-CN"/>
              </w:rPr>
            </w:pPr>
            <w:r>
              <w:rPr>
                <w:rFonts w:hint="default"/>
                <w:color w:val="auto"/>
                <w:lang w:val="en-US" w:eastAsia="zh-CN"/>
              </w:rPr>
              <w:t>水质 挥发酚的测定 4-氨基安替比林分光光度法</w:t>
            </w:r>
          </w:p>
        </w:tc>
        <w:tc>
          <w:tcPr>
            <w:tcW w:w="914" w:type="pct"/>
            <w:tcBorders>
              <w:tl2br w:val="nil"/>
              <w:tr2bl w:val="nil"/>
            </w:tcBorders>
            <w:noWrap w:val="0"/>
            <w:vAlign w:val="center"/>
          </w:tcPr>
          <w:p w14:paraId="0D44457D">
            <w:pPr>
              <w:pStyle w:val="16"/>
              <w:bidi w:val="0"/>
              <w:rPr>
                <w:rFonts w:hint="default"/>
                <w:color w:val="auto"/>
                <w:lang w:val="en-US" w:eastAsia="zh-CN"/>
              </w:rPr>
            </w:pPr>
            <w:r>
              <w:rPr>
                <w:rFonts w:hint="default"/>
                <w:color w:val="auto"/>
                <w:lang w:val="en-US" w:eastAsia="zh-CN"/>
              </w:rPr>
              <w:t>HJ 503-2009</w:t>
            </w:r>
          </w:p>
        </w:tc>
        <w:tc>
          <w:tcPr>
            <w:tcW w:w="1115" w:type="pct"/>
            <w:tcBorders>
              <w:tl2br w:val="nil"/>
              <w:tr2bl w:val="nil"/>
            </w:tcBorders>
            <w:noWrap w:val="0"/>
            <w:vAlign w:val="center"/>
          </w:tcPr>
          <w:p w14:paraId="152DCDF5">
            <w:pPr>
              <w:pStyle w:val="16"/>
              <w:bidi w:val="0"/>
              <w:rPr>
                <w:rFonts w:hint="eastAsia"/>
                <w:color w:val="auto"/>
                <w:lang w:val="en-US" w:eastAsia="zh-CN"/>
              </w:rPr>
            </w:pPr>
            <w:r>
              <w:rPr>
                <w:rFonts w:hint="default"/>
                <w:color w:val="auto"/>
                <w:lang w:val="en-US" w:eastAsia="zh-CN"/>
              </w:rPr>
              <w:t>722可见分光光度计（HDH/YQ-41-01）</w:t>
            </w:r>
          </w:p>
        </w:tc>
        <w:tc>
          <w:tcPr>
            <w:tcW w:w="694" w:type="pct"/>
            <w:tcBorders>
              <w:tl2br w:val="nil"/>
              <w:tr2bl w:val="nil"/>
            </w:tcBorders>
            <w:noWrap w:val="0"/>
            <w:vAlign w:val="center"/>
          </w:tcPr>
          <w:p w14:paraId="0BE6CC6A">
            <w:pPr>
              <w:pStyle w:val="16"/>
              <w:bidi w:val="0"/>
              <w:rPr>
                <w:rFonts w:hint="eastAsia"/>
                <w:color w:val="auto"/>
                <w:lang w:val="en-US" w:eastAsia="zh-CN"/>
              </w:rPr>
            </w:pPr>
            <w:r>
              <w:rPr>
                <w:rFonts w:hint="default"/>
                <w:color w:val="auto"/>
                <w:lang w:val="en-US" w:eastAsia="zh-CN"/>
              </w:rPr>
              <w:t>0.0003mg/L</w:t>
            </w:r>
          </w:p>
        </w:tc>
      </w:tr>
      <w:tr w14:paraId="5F38525C">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6BED5AB7">
            <w:pPr>
              <w:pStyle w:val="16"/>
              <w:bidi w:val="0"/>
              <w:rPr>
                <w:rFonts w:hint="eastAsia"/>
                <w:color w:val="auto"/>
                <w:lang w:val="en-US" w:eastAsia="zh-CN"/>
              </w:rPr>
            </w:pPr>
            <w:r>
              <w:rPr>
                <w:rFonts w:hint="eastAsia"/>
                <w:color w:val="auto"/>
                <w:lang w:val="en-US" w:eastAsia="zh-CN"/>
              </w:rPr>
              <w:t>氰化物</w:t>
            </w:r>
          </w:p>
        </w:tc>
        <w:tc>
          <w:tcPr>
            <w:tcW w:w="1416" w:type="pct"/>
            <w:tcBorders>
              <w:tl2br w:val="nil"/>
              <w:tr2bl w:val="nil"/>
            </w:tcBorders>
            <w:noWrap w:val="0"/>
            <w:vAlign w:val="center"/>
          </w:tcPr>
          <w:p w14:paraId="4BA5B694">
            <w:pPr>
              <w:pStyle w:val="16"/>
              <w:bidi w:val="0"/>
              <w:rPr>
                <w:rFonts w:hint="default"/>
                <w:color w:val="auto"/>
                <w:lang w:val="en-US" w:eastAsia="zh-CN"/>
              </w:rPr>
            </w:pPr>
            <w:r>
              <w:rPr>
                <w:rFonts w:hint="eastAsia"/>
                <w:color w:val="auto"/>
                <w:lang w:val="en-US" w:eastAsia="zh-CN"/>
              </w:rPr>
              <w:t xml:space="preserve">生活饮用水标准检验方法 第5部分：无机非金属指标 7.1异烟酸-吡唑啉酮分光光度法 </w:t>
            </w:r>
          </w:p>
        </w:tc>
        <w:tc>
          <w:tcPr>
            <w:tcW w:w="914" w:type="pct"/>
            <w:tcBorders>
              <w:tl2br w:val="nil"/>
              <w:tr2bl w:val="nil"/>
            </w:tcBorders>
            <w:noWrap w:val="0"/>
            <w:vAlign w:val="center"/>
          </w:tcPr>
          <w:p w14:paraId="535DCF71">
            <w:pPr>
              <w:pStyle w:val="16"/>
              <w:bidi w:val="0"/>
              <w:rPr>
                <w:rFonts w:hint="default"/>
                <w:color w:val="auto"/>
                <w:lang w:val="en-US" w:eastAsia="zh-CN"/>
              </w:rPr>
            </w:pPr>
            <w:r>
              <w:rPr>
                <w:rFonts w:hint="eastAsia"/>
                <w:color w:val="auto"/>
                <w:lang w:val="en-US" w:eastAsia="zh-CN"/>
              </w:rPr>
              <w:t xml:space="preserve">GB/T 5750.5-2023 </w:t>
            </w:r>
          </w:p>
        </w:tc>
        <w:tc>
          <w:tcPr>
            <w:tcW w:w="1115" w:type="pct"/>
            <w:tcBorders>
              <w:tl2br w:val="nil"/>
              <w:tr2bl w:val="nil"/>
            </w:tcBorders>
            <w:noWrap w:val="0"/>
            <w:vAlign w:val="center"/>
          </w:tcPr>
          <w:p w14:paraId="4A19B237">
            <w:pPr>
              <w:pStyle w:val="16"/>
              <w:bidi w:val="0"/>
              <w:rPr>
                <w:rFonts w:hint="eastAsia"/>
                <w:color w:val="auto"/>
                <w:lang w:val="en-US" w:eastAsia="zh-CN"/>
              </w:rPr>
            </w:pPr>
            <w:r>
              <w:rPr>
                <w:rFonts w:hint="default"/>
                <w:color w:val="auto"/>
                <w:lang w:val="en-US" w:eastAsia="zh-CN"/>
              </w:rPr>
              <w:t>722可见分光光度计（HDH/YQ-41-01）</w:t>
            </w:r>
          </w:p>
        </w:tc>
        <w:tc>
          <w:tcPr>
            <w:tcW w:w="694" w:type="pct"/>
            <w:tcBorders>
              <w:tl2br w:val="nil"/>
              <w:tr2bl w:val="nil"/>
            </w:tcBorders>
            <w:noWrap w:val="0"/>
            <w:vAlign w:val="center"/>
          </w:tcPr>
          <w:p w14:paraId="21CEA616">
            <w:pPr>
              <w:pStyle w:val="16"/>
              <w:bidi w:val="0"/>
              <w:rPr>
                <w:rFonts w:hint="eastAsia"/>
                <w:color w:val="auto"/>
                <w:lang w:val="en-US" w:eastAsia="zh-CN"/>
              </w:rPr>
            </w:pPr>
            <w:r>
              <w:rPr>
                <w:rFonts w:hint="default"/>
                <w:color w:val="auto"/>
                <w:lang w:val="en-US" w:eastAsia="zh-CN"/>
              </w:rPr>
              <w:t>0.002mg/L</w:t>
            </w:r>
          </w:p>
        </w:tc>
      </w:tr>
      <w:tr w14:paraId="28AB7034">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01E1F479">
            <w:pPr>
              <w:pStyle w:val="16"/>
              <w:bidi w:val="0"/>
              <w:rPr>
                <w:rFonts w:hint="eastAsia"/>
                <w:color w:val="auto"/>
                <w:lang w:val="en-US" w:eastAsia="zh-CN"/>
              </w:rPr>
            </w:pPr>
            <w:r>
              <w:rPr>
                <w:rFonts w:hint="eastAsia"/>
                <w:color w:val="auto"/>
                <w:lang w:val="en-US" w:eastAsia="zh-CN"/>
              </w:rPr>
              <w:t>汞</w:t>
            </w:r>
          </w:p>
        </w:tc>
        <w:tc>
          <w:tcPr>
            <w:tcW w:w="1416" w:type="pct"/>
            <w:vMerge w:val="restart"/>
            <w:tcBorders>
              <w:tl2br w:val="nil"/>
              <w:tr2bl w:val="nil"/>
            </w:tcBorders>
            <w:noWrap w:val="0"/>
            <w:vAlign w:val="center"/>
          </w:tcPr>
          <w:p w14:paraId="2E996899">
            <w:pPr>
              <w:pStyle w:val="16"/>
              <w:bidi w:val="0"/>
              <w:rPr>
                <w:rFonts w:hint="default"/>
                <w:color w:val="auto"/>
                <w:lang w:val="en-US" w:eastAsia="zh-CN"/>
              </w:rPr>
            </w:pPr>
            <w:r>
              <w:rPr>
                <w:rFonts w:hint="default"/>
                <w:color w:val="auto"/>
                <w:lang w:val="en-US" w:eastAsia="zh-CN"/>
              </w:rPr>
              <w:t>水质 汞、砷、硒、铋和锑的测定 原子荧光法</w:t>
            </w:r>
          </w:p>
        </w:tc>
        <w:tc>
          <w:tcPr>
            <w:tcW w:w="914" w:type="pct"/>
            <w:vMerge w:val="restart"/>
            <w:tcBorders>
              <w:tl2br w:val="nil"/>
              <w:tr2bl w:val="nil"/>
            </w:tcBorders>
            <w:noWrap w:val="0"/>
            <w:vAlign w:val="center"/>
          </w:tcPr>
          <w:p w14:paraId="29ACE0E2">
            <w:pPr>
              <w:pStyle w:val="16"/>
              <w:bidi w:val="0"/>
              <w:rPr>
                <w:rFonts w:hint="default"/>
                <w:color w:val="auto"/>
                <w:lang w:val="en-US" w:eastAsia="zh-CN"/>
              </w:rPr>
            </w:pPr>
            <w:r>
              <w:rPr>
                <w:rFonts w:hint="default"/>
                <w:color w:val="auto"/>
                <w:lang w:val="en-US" w:eastAsia="zh-CN"/>
              </w:rPr>
              <w:t>HJ 694-2014</w:t>
            </w:r>
          </w:p>
        </w:tc>
        <w:tc>
          <w:tcPr>
            <w:tcW w:w="1115" w:type="pct"/>
            <w:vMerge w:val="restart"/>
            <w:tcBorders>
              <w:tl2br w:val="nil"/>
              <w:tr2bl w:val="nil"/>
            </w:tcBorders>
            <w:noWrap w:val="0"/>
            <w:vAlign w:val="center"/>
          </w:tcPr>
          <w:p w14:paraId="04D395C7">
            <w:pPr>
              <w:pStyle w:val="16"/>
              <w:bidi w:val="0"/>
              <w:rPr>
                <w:rFonts w:hint="eastAsia"/>
                <w:color w:val="auto"/>
                <w:lang w:val="en-US" w:eastAsia="zh-CN"/>
              </w:rPr>
            </w:pPr>
            <w:r>
              <w:rPr>
                <w:rFonts w:hint="default"/>
                <w:color w:val="auto"/>
              </w:rPr>
              <w:t>AFS-8510原子荧光分光光度计</w:t>
            </w:r>
            <w:r>
              <w:rPr>
                <w:rFonts w:hint="default"/>
                <w:color w:val="auto"/>
                <w:lang w:val="en-US" w:eastAsia="zh-CN"/>
              </w:rPr>
              <w:t>（HDH/YQ-01-01）</w:t>
            </w:r>
          </w:p>
        </w:tc>
        <w:tc>
          <w:tcPr>
            <w:tcW w:w="694" w:type="pct"/>
            <w:tcBorders>
              <w:tl2br w:val="nil"/>
              <w:tr2bl w:val="nil"/>
            </w:tcBorders>
            <w:noWrap w:val="0"/>
            <w:vAlign w:val="center"/>
          </w:tcPr>
          <w:p w14:paraId="6511CD3F">
            <w:pPr>
              <w:pStyle w:val="16"/>
              <w:bidi w:val="0"/>
              <w:rPr>
                <w:rFonts w:hint="default"/>
                <w:color w:val="auto"/>
                <w:lang w:val="en-US" w:eastAsia="zh-CN"/>
              </w:rPr>
            </w:pPr>
            <w:r>
              <w:rPr>
                <w:rFonts w:hint="eastAsia"/>
                <w:color w:val="auto"/>
                <w:lang w:val="en-US" w:eastAsia="zh-CN"/>
              </w:rPr>
              <w:t>0.04</w:t>
            </w:r>
            <w:r>
              <w:rPr>
                <w:rFonts w:hint="default"/>
                <w:color w:val="auto"/>
                <w:lang w:val="en-US" w:eastAsia="zh-CN"/>
              </w:rPr>
              <w:t>μg/L</w:t>
            </w:r>
          </w:p>
        </w:tc>
      </w:tr>
      <w:tr w14:paraId="50E112C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7CE2BB79">
            <w:pPr>
              <w:pStyle w:val="16"/>
              <w:bidi w:val="0"/>
              <w:rPr>
                <w:rFonts w:hint="eastAsia"/>
                <w:color w:val="auto"/>
                <w:lang w:val="en-US" w:eastAsia="zh-CN"/>
              </w:rPr>
            </w:pPr>
            <w:r>
              <w:rPr>
                <w:rFonts w:hint="default"/>
                <w:color w:val="auto"/>
                <w:lang w:val="en-US" w:eastAsia="zh-CN"/>
              </w:rPr>
              <w:t>砷</w:t>
            </w:r>
          </w:p>
        </w:tc>
        <w:tc>
          <w:tcPr>
            <w:tcW w:w="1416" w:type="pct"/>
            <w:vMerge w:val="continue"/>
            <w:tcBorders>
              <w:tl2br w:val="nil"/>
              <w:tr2bl w:val="nil"/>
            </w:tcBorders>
            <w:noWrap w:val="0"/>
            <w:vAlign w:val="center"/>
          </w:tcPr>
          <w:p w14:paraId="4D4FD002">
            <w:pPr>
              <w:pStyle w:val="16"/>
              <w:bidi w:val="0"/>
              <w:rPr>
                <w:rFonts w:hint="default"/>
                <w:color w:val="auto"/>
                <w:lang w:val="en-US" w:eastAsia="zh-CN"/>
              </w:rPr>
            </w:pPr>
          </w:p>
        </w:tc>
        <w:tc>
          <w:tcPr>
            <w:tcW w:w="914" w:type="pct"/>
            <w:vMerge w:val="continue"/>
            <w:tcBorders>
              <w:tl2br w:val="nil"/>
              <w:tr2bl w:val="nil"/>
            </w:tcBorders>
            <w:noWrap w:val="0"/>
            <w:vAlign w:val="center"/>
          </w:tcPr>
          <w:p w14:paraId="1C267B3B">
            <w:pPr>
              <w:pStyle w:val="16"/>
              <w:bidi w:val="0"/>
              <w:rPr>
                <w:rFonts w:hint="default"/>
                <w:color w:val="auto"/>
                <w:lang w:val="en-US" w:eastAsia="zh-CN"/>
              </w:rPr>
            </w:pPr>
          </w:p>
        </w:tc>
        <w:tc>
          <w:tcPr>
            <w:tcW w:w="1115" w:type="pct"/>
            <w:vMerge w:val="continue"/>
            <w:tcBorders>
              <w:tl2br w:val="nil"/>
              <w:tr2bl w:val="nil"/>
            </w:tcBorders>
            <w:noWrap w:val="0"/>
            <w:vAlign w:val="center"/>
          </w:tcPr>
          <w:p w14:paraId="79949DF6">
            <w:pPr>
              <w:pStyle w:val="16"/>
              <w:bidi w:val="0"/>
              <w:rPr>
                <w:rFonts w:hint="eastAsia"/>
                <w:color w:val="auto"/>
                <w:lang w:val="en-US" w:eastAsia="zh-CN"/>
              </w:rPr>
            </w:pPr>
          </w:p>
        </w:tc>
        <w:tc>
          <w:tcPr>
            <w:tcW w:w="694" w:type="pct"/>
            <w:tcBorders>
              <w:tl2br w:val="nil"/>
              <w:tr2bl w:val="nil"/>
            </w:tcBorders>
            <w:noWrap w:val="0"/>
            <w:vAlign w:val="center"/>
          </w:tcPr>
          <w:p w14:paraId="5C5BBFCA">
            <w:pPr>
              <w:pStyle w:val="16"/>
              <w:bidi w:val="0"/>
              <w:rPr>
                <w:rFonts w:hint="default"/>
                <w:color w:val="auto"/>
                <w:lang w:val="en-US" w:eastAsia="zh-CN"/>
              </w:rPr>
            </w:pPr>
            <w:r>
              <w:rPr>
                <w:rFonts w:hint="default"/>
                <w:color w:val="auto"/>
                <w:lang w:val="en-US" w:eastAsia="zh-CN"/>
              </w:rPr>
              <w:t>0.3μg/L</w:t>
            </w:r>
          </w:p>
        </w:tc>
      </w:tr>
      <w:tr w14:paraId="50AA448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168336EC">
            <w:pPr>
              <w:pStyle w:val="16"/>
              <w:bidi w:val="0"/>
              <w:rPr>
                <w:rFonts w:hint="eastAsia"/>
                <w:color w:val="auto"/>
                <w:lang w:val="en-US" w:eastAsia="zh-CN"/>
              </w:rPr>
            </w:pPr>
            <w:r>
              <w:rPr>
                <w:rFonts w:hint="default"/>
                <w:color w:val="auto"/>
                <w:lang w:val="en-US" w:eastAsia="zh-CN"/>
              </w:rPr>
              <w:t>六价铬</w:t>
            </w:r>
          </w:p>
        </w:tc>
        <w:tc>
          <w:tcPr>
            <w:tcW w:w="1416" w:type="pct"/>
            <w:tcBorders>
              <w:tl2br w:val="nil"/>
              <w:tr2bl w:val="nil"/>
            </w:tcBorders>
            <w:noWrap w:val="0"/>
            <w:vAlign w:val="center"/>
          </w:tcPr>
          <w:p w14:paraId="20BBC335">
            <w:pPr>
              <w:pStyle w:val="16"/>
              <w:bidi w:val="0"/>
              <w:rPr>
                <w:rFonts w:hint="default"/>
                <w:color w:val="auto"/>
                <w:lang w:val="en-US" w:eastAsia="zh-CN"/>
              </w:rPr>
            </w:pPr>
            <w:r>
              <w:rPr>
                <w:rFonts w:hint="eastAsia"/>
                <w:color w:val="auto"/>
                <w:lang w:val="en-US" w:eastAsia="zh-CN"/>
              </w:rPr>
              <w:t>生活饮用水标准检验方法 第6部分：金属和类金属指标 13.1二苯碳酰二肼分光光度法</w:t>
            </w:r>
          </w:p>
        </w:tc>
        <w:tc>
          <w:tcPr>
            <w:tcW w:w="914" w:type="pct"/>
            <w:tcBorders>
              <w:tl2br w:val="nil"/>
              <w:tr2bl w:val="nil"/>
            </w:tcBorders>
            <w:noWrap w:val="0"/>
            <w:vAlign w:val="center"/>
          </w:tcPr>
          <w:p w14:paraId="69BF3364">
            <w:pPr>
              <w:pStyle w:val="16"/>
              <w:bidi w:val="0"/>
              <w:rPr>
                <w:rFonts w:hint="default"/>
                <w:color w:val="auto"/>
                <w:lang w:val="en-US" w:eastAsia="zh-CN"/>
              </w:rPr>
            </w:pPr>
            <w:r>
              <w:rPr>
                <w:rFonts w:hint="eastAsia"/>
                <w:color w:val="auto"/>
                <w:lang w:val="en-US" w:eastAsia="zh-CN"/>
              </w:rPr>
              <w:t>GB/T 5750.6-2023</w:t>
            </w:r>
          </w:p>
        </w:tc>
        <w:tc>
          <w:tcPr>
            <w:tcW w:w="1115" w:type="pct"/>
            <w:tcBorders>
              <w:tl2br w:val="nil"/>
              <w:tr2bl w:val="nil"/>
            </w:tcBorders>
            <w:noWrap w:val="0"/>
            <w:vAlign w:val="center"/>
          </w:tcPr>
          <w:p w14:paraId="49373E7C">
            <w:pPr>
              <w:pStyle w:val="16"/>
              <w:bidi w:val="0"/>
              <w:rPr>
                <w:rFonts w:hint="eastAsia"/>
                <w:color w:val="auto"/>
                <w:lang w:val="en-US" w:eastAsia="zh-CN"/>
              </w:rPr>
            </w:pPr>
            <w:r>
              <w:rPr>
                <w:rFonts w:hint="default"/>
                <w:color w:val="auto"/>
                <w:lang w:val="en-US" w:eastAsia="zh-CN"/>
              </w:rPr>
              <w:t>722可见分光光度计（HDH/YQ-41-01）</w:t>
            </w:r>
          </w:p>
        </w:tc>
        <w:tc>
          <w:tcPr>
            <w:tcW w:w="694" w:type="pct"/>
            <w:tcBorders>
              <w:tl2br w:val="nil"/>
              <w:tr2bl w:val="nil"/>
            </w:tcBorders>
            <w:noWrap w:val="0"/>
            <w:vAlign w:val="center"/>
          </w:tcPr>
          <w:p w14:paraId="2BF7D15F">
            <w:pPr>
              <w:pStyle w:val="16"/>
              <w:bidi w:val="0"/>
              <w:rPr>
                <w:rFonts w:hint="default"/>
                <w:color w:val="auto"/>
                <w:lang w:val="en-US" w:eastAsia="zh-CN"/>
              </w:rPr>
            </w:pPr>
            <w:r>
              <w:rPr>
                <w:rFonts w:hint="default"/>
                <w:color w:val="auto"/>
                <w:lang w:val="en-US" w:eastAsia="zh-CN"/>
              </w:rPr>
              <w:t>0.004mg/L</w:t>
            </w:r>
          </w:p>
        </w:tc>
      </w:tr>
      <w:tr w14:paraId="5B49134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2139B2D1">
            <w:pPr>
              <w:pStyle w:val="16"/>
              <w:bidi w:val="0"/>
              <w:rPr>
                <w:rFonts w:hint="eastAsia"/>
                <w:color w:val="auto"/>
                <w:lang w:val="en-US" w:eastAsia="zh-CN"/>
              </w:rPr>
            </w:pPr>
            <w:r>
              <w:rPr>
                <w:rFonts w:hint="eastAsia"/>
                <w:color w:val="auto"/>
                <w:lang w:val="en-US" w:eastAsia="zh-CN"/>
              </w:rPr>
              <w:t>铅</w:t>
            </w:r>
          </w:p>
        </w:tc>
        <w:tc>
          <w:tcPr>
            <w:tcW w:w="1416" w:type="pct"/>
            <w:vMerge w:val="restart"/>
            <w:tcBorders>
              <w:tl2br w:val="nil"/>
              <w:tr2bl w:val="nil"/>
            </w:tcBorders>
            <w:noWrap w:val="0"/>
            <w:vAlign w:val="center"/>
          </w:tcPr>
          <w:p w14:paraId="67BB812F">
            <w:pPr>
              <w:pStyle w:val="16"/>
              <w:bidi w:val="0"/>
              <w:rPr>
                <w:rFonts w:hint="default"/>
                <w:color w:val="auto"/>
                <w:lang w:val="en-US" w:eastAsia="zh-CN"/>
              </w:rPr>
            </w:pPr>
            <w:r>
              <w:rPr>
                <w:rFonts w:hint="eastAsia"/>
                <w:color w:val="auto"/>
                <w:lang w:val="en-US" w:eastAsia="zh-CN"/>
              </w:rPr>
              <w:t>水质 65种元素的测定 电感耦合等离子体质谱法</w:t>
            </w:r>
          </w:p>
        </w:tc>
        <w:tc>
          <w:tcPr>
            <w:tcW w:w="914" w:type="pct"/>
            <w:vMerge w:val="restart"/>
            <w:tcBorders>
              <w:tl2br w:val="nil"/>
              <w:tr2bl w:val="nil"/>
            </w:tcBorders>
            <w:noWrap w:val="0"/>
            <w:vAlign w:val="center"/>
          </w:tcPr>
          <w:p w14:paraId="1AF2303F">
            <w:pPr>
              <w:pStyle w:val="16"/>
              <w:bidi w:val="0"/>
              <w:rPr>
                <w:rFonts w:hint="default"/>
                <w:color w:val="auto"/>
                <w:lang w:val="en-US" w:eastAsia="zh-CN"/>
              </w:rPr>
            </w:pPr>
            <w:r>
              <w:rPr>
                <w:rFonts w:hint="default"/>
                <w:color w:val="auto"/>
                <w:lang w:val="en-US" w:eastAsia="zh-CN"/>
              </w:rPr>
              <w:t>HJ</w:t>
            </w:r>
            <w:r>
              <w:rPr>
                <w:rFonts w:hint="eastAsia"/>
                <w:color w:val="auto"/>
                <w:lang w:val="en-US" w:eastAsia="zh-CN"/>
              </w:rPr>
              <w:t xml:space="preserve"> </w:t>
            </w:r>
            <w:r>
              <w:rPr>
                <w:rFonts w:hint="default"/>
                <w:color w:val="auto"/>
                <w:lang w:val="en-US" w:eastAsia="zh-CN"/>
              </w:rPr>
              <w:t>700-2014</w:t>
            </w:r>
          </w:p>
        </w:tc>
        <w:tc>
          <w:tcPr>
            <w:tcW w:w="1115" w:type="pct"/>
            <w:vMerge w:val="restart"/>
            <w:tcBorders>
              <w:tl2br w:val="nil"/>
              <w:tr2bl w:val="nil"/>
            </w:tcBorders>
            <w:noWrap w:val="0"/>
            <w:vAlign w:val="center"/>
          </w:tcPr>
          <w:p w14:paraId="08469E6C">
            <w:pPr>
              <w:pStyle w:val="16"/>
              <w:bidi w:val="0"/>
              <w:rPr>
                <w:rFonts w:hint="eastAsia"/>
                <w:color w:val="auto"/>
                <w:lang w:val="en-US" w:eastAsia="zh-CN"/>
              </w:rPr>
            </w:pPr>
            <w:r>
              <w:rPr>
                <w:rFonts w:hint="default"/>
                <w:color w:val="auto"/>
                <w:lang w:val="en-US" w:eastAsia="zh-CN"/>
              </w:rPr>
              <w:t>BRUKER aurora M90ICP-MS（HDH/YQ-</w:t>
            </w:r>
            <w:r>
              <w:rPr>
                <w:rFonts w:hint="eastAsia"/>
                <w:color w:val="auto"/>
                <w:lang w:val="en-US" w:eastAsia="zh-CN"/>
              </w:rPr>
              <w:t>37</w:t>
            </w:r>
            <w:r>
              <w:rPr>
                <w:rFonts w:hint="default"/>
                <w:color w:val="auto"/>
                <w:lang w:val="en-US" w:eastAsia="zh-CN"/>
              </w:rPr>
              <w:t>-01）</w:t>
            </w:r>
          </w:p>
        </w:tc>
        <w:tc>
          <w:tcPr>
            <w:tcW w:w="694" w:type="pct"/>
            <w:tcBorders>
              <w:tl2br w:val="nil"/>
              <w:tr2bl w:val="nil"/>
            </w:tcBorders>
            <w:noWrap w:val="0"/>
            <w:vAlign w:val="center"/>
          </w:tcPr>
          <w:p w14:paraId="53405583">
            <w:pPr>
              <w:pStyle w:val="16"/>
              <w:bidi w:val="0"/>
              <w:rPr>
                <w:rFonts w:hint="default"/>
                <w:color w:val="auto"/>
                <w:lang w:val="en-US" w:eastAsia="zh-CN"/>
              </w:rPr>
            </w:pPr>
            <w:r>
              <w:rPr>
                <w:rFonts w:hint="eastAsia"/>
                <w:color w:val="auto"/>
                <w:lang w:val="en-US" w:eastAsia="zh-CN"/>
              </w:rPr>
              <w:t>0.09</w:t>
            </w:r>
            <w:r>
              <w:rPr>
                <w:rFonts w:hint="default"/>
                <w:color w:val="auto"/>
                <w:lang w:val="en-US" w:eastAsia="zh-CN"/>
              </w:rPr>
              <w:t>μg/L</w:t>
            </w:r>
          </w:p>
        </w:tc>
      </w:tr>
      <w:tr w14:paraId="4CB6A0B6">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69832D50">
            <w:pPr>
              <w:pStyle w:val="16"/>
              <w:bidi w:val="0"/>
              <w:rPr>
                <w:rFonts w:hint="eastAsia"/>
                <w:color w:val="auto"/>
                <w:lang w:val="en-US" w:eastAsia="zh-CN"/>
              </w:rPr>
            </w:pPr>
            <w:r>
              <w:rPr>
                <w:rFonts w:hint="eastAsia"/>
                <w:color w:val="auto"/>
                <w:lang w:val="en-US" w:eastAsia="zh-CN"/>
              </w:rPr>
              <w:t>镉</w:t>
            </w:r>
          </w:p>
        </w:tc>
        <w:tc>
          <w:tcPr>
            <w:tcW w:w="1416" w:type="pct"/>
            <w:vMerge w:val="continue"/>
            <w:tcBorders>
              <w:tl2br w:val="nil"/>
              <w:tr2bl w:val="nil"/>
            </w:tcBorders>
            <w:noWrap w:val="0"/>
            <w:vAlign w:val="center"/>
          </w:tcPr>
          <w:p w14:paraId="6B285FD6">
            <w:pPr>
              <w:pStyle w:val="16"/>
              <w:bidi w:val="0"/>
              <w:rPr>
                <w:rFonts w:hint="default"/>
                <w:color w:val="auto"/>
                <w:lang w:val="en-US" w:eastAsia="zh-CN"/>
              </w:rPr>
            </w:pPr>
          </w:p>
        </w:tc>
        <w:tc>
          <w:tcPr>
            <w:tcW w:w="914" w:type="pct"/>
            <w:vMerge w:val="continue"/>
            <w:tcBorders>
              <w:tl2br w:val="nil"/>
              <w:tr2bl w:val="nil"/>
            </w:tcBorders>
            <w:noWrap w:val="0"/>
            <w:vAlign w:val="center"/>
          </w:tcPr>
          <w:p w14:paraId="0C6E2A2C">
            <w:pPr>
              <w:pStyle w:val="16"/>
              <w:bidi w:val="0"/>
              <w:rPr>
                <w:rFonts w:hint="default"/>
                <w:color w:val="auto"/>
                <w:lang w:val="en-US" w:eastAsia="zh-CN"/>
              </w:rPr>
            </w:pPr>
          </w:p>
        </w:tc>
        <w:tc>
          <w:tcPr>
            <w:tcW w:w="1115" w:type="pct"/>
            <w:vMerge w:val="continue"/>
            <w:tcBorders>
              <w:tl2br w:val="nil"/>
              <w:tr2bl w:val="nil"/>
            </w:tcBorders>
            <w:noWrap w:val="0"/>
            <w:vAlign w:val="center"/>
          </w:tcPr>
          <w:p w14:paraId="1FADA78D">
            <w:pPr>
              <w:pStyle w:val="16"/>
              <w:bidi w:val="0"/>
              <w:rPr>
                <w:rFonts w:hint="eastAsia"/>
                <w:color w:val="auto"/>
                <w:lang w:val="en-US" w:eastAsia="zh-CN"/>
              </w:rPr>
            </w:pPr>
          </w:p>
        </w:tc>
        <w:tc>
          <w:tcPr>
            <w:tcW w:w="694" w:type="pct"/>
            <w:tcBorders>
              <w:tl2br w:val="nil"/>
              <w:tr2bl w:val="nil"/>
            </w:tcBorders>
            <w:noWrap w:val="0"/>
            <w:vAlign w:val="center"/>
          </w:tcPr>
          <w:p w14:paraId="22CC25E9">
            <w:pPr>
              <w:pStyle w:val="16"/>
              <w:bidi w:val="0"/>
              <w:rPr>
                <w:rFonts w:hint="default"/>
                <w:color w:val="auto"/>
                <w:lang w:val="en-US" w:eastAsia="zh-CN"/>
              </w:rPr>
            </w:pPr>
            <w:r>
              <w:rPr>
                <w:rFonts w:hint="eastAsia"/>
                <w:color w:val="auto"/>
                <w:lang w:val="en-US" w:eastAsia="zh-CN"/>
              </w:rPr>
              <w:t>0.05</w:t>
            </w:r>
            <w:r>
              <w:rPr>
                <w:rFonts w:hint="default"/>
                <w:color w:val="auto"/>
                <w:lang w:val="en-US" w:eastAsia="zh-CN"/>
              </w:rPr>
              <w:t>μg/L</w:t>
            </w:r>
          </w:p>
        </w:tc>
      </w:tr>
      <w:tr w14:paraId="526DA0F6">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39FB9A42">
            <w:pPr>
              <w:pStyle w:val="16"/>
              <w:bidi w:val="0"/>
              <w:rPr>
                <w:rFonts w:hint="eastAsia"/>
                <w:color w:val="auto"/>
                <w:lang w:val="en-US" w:eastAsia="zh-CN"/>
              </w:rPr>
            </w:pPr>
            <w:r>
              <w:rPr>
                <w:rFonts w:hint="default"/>
                <w:color w:val="auto"/>
                <w:lang w:val="en-US" w:eastAsia="zh-CN"/>
              </w:rPr>
              <w:t>总硬度</w:t>
            </w:r>
          </w:p>
        </w:tc>
        <w:tc>
          <w:tcPr>
            <w:tcW w:w="1416" w:type="pct"/>
            <w:tcBorders>
              <w:tl2br w:val="nil"/>
              <w:tr2bl w:val="nil"/>
            </w:tcBorders>
            <w:noWrap w:val="0"/>
            <w:vAlign w:val="center"/>
          </w:tcPr>
          <w:p w14:paraId="5FFF8700">
            <w:pPr>
              <w:pStyle w:val="16"/>
              <w:bidi w:val="0"/>
              <w:rPr>
                <w:rFonts w:hint="default"/>
                <w:color w:val="auto"/>
                <w:lang w:val="en-US" w:eastAsia="zh-CN"/>
              </w:rPr>
            </w:pPr>
            <w:r>
              <w:rPr>
                <w:rFonts w:hint="eastAsia"/>
                <w:color w:val="auto"/>
                <w:lang w:val="en-US" w:eastAsia="zh-CN"/>
              </w:rPr>
              <w:t>水质 钙和镁总量的测定 EDTA滴定法</w:t>
            </w:r>
          </w:p>
        </w:tc>
        <w:tc>
          <w:tcPr>
            <w:tcW w:w="914" w:type="pct"/>
            <w:tcBorders>
              <w:tl2br w:val="nil"/>
              <w:tr2bl w:val="nil"/>
            </w:tcBorders>
            <w:noWrap w:val="0"/>
            <w:vAlign w:val="center"/>
          </w:tcPr>
          <w:p w14:paraId="1069272C">
            <w:pPr>
              <w:pStyle w:val="16"/>
              <w:bidi w:val="0"/>
              <w:rPr>
                <w:rFonts w:hint="default"/>
                <w:color w:val="auto"/>
                <w:lang w:val="en-US" w:eastAsia="zh-CN"/>
              </w:rPr>
            </w:pPr>
            <w:r>
              <w:rPr>
                <w:rFonts w:hint="eastAsia"/>
                <w:color w:val="auto"/>
                <w:lang w:val="en-US" w:eastAsia="zh-CN"/>
              </w:rPr>
              <w:t>GB 7477-1987</w:t>
            </w:r>
          </w:p>
        </w:tc>
        <w:tc>
          <w:tcPr>
            <w:tcW w:w="1115" w:type="pct"/>
            <w:tcBorders>
              <w:tl2br w:val="nil"/>
              <w:tr2bl w:val="nil"/>
            </w:tcBorders>
            <w:noWrap w:val="0"/>
            <w:vAlign w:val="center"/>
          </w:tcPr>
          <w:p w14:paraId="41E2B2F3">
            <w:pPr>
              <w:pStyle w:val="16"/>
              <w:bidi w:val="0"/>
              <w:rPr>
                <w:rFonts w:hint="eastAsia"/>
                <w:color w:val="auto"/>
                <w:lang w:val="en-US" w:eastAsia="zh-CN"/>
              </w:rPr>
            </w:pPr>
            <w:r>
              <w:rPr>
                <w:rFonts w:hint="eastAsia"/>
                <w:color w:val="auto"/>
                <w:lang w:val="en-US" w:eastAsia="zh-CN"/>
              </w:rPr>
              <w:t>/</w:t>
            </w:r>
          </w:p>
        </w:tc>
        <w:tc>
          <w:tcPr>
            <w:tcW w:w="694" w:type="pct"/>
            <w:tcBorders>
              <w:tl2br w:val="nil"/>
              <w:tr2bl w:val="nil"/>
            </w:tcBorders>
            <w:noWrap w:val="0"/>
            <w:vAlign w:val="center"/>
          </w:tcPr>
          <w:p w14:paraId="1D4485E6">
            <w:pPr>
              <w:pStyle w:val="16"/>
              <w:bidi w:val="0"/>
              <w:rPr>
                <w:rFonts w:hint="default"/>
                <w:color w:val="auto"/>
                <w:lang w:val="en-US" w:eastAsia="zh-CN"/>
              </w:rPr>
            </w:pPr>
            <w:r>
              <w:rPr>
                <w:rFonts w:hint="default"/>
                <w:color w:val="auto"/>
                <w:lang w:val="en-US" w:eastAsia="zh-CN"/>
              </w:rPr>
              <w:t>5.00mg/L</w:t>
            </w:r>
          </w:p>
        </w:tc>
      </w:tr>
      <w:tr w14:paraId="0D199DA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285DCA64">
            <w:pPr>
              <w:pStyle w:val="16"/>
              <w:bidi w:val="0"/>
              <w:rPr>
                <w:rFonts w:hint="eastAsia"/>
                <w:color w:val="auto"/>
                <w:lang w:val="en-US" w:eastAsia="zh-CN"/>
              </w:rPr>
            </w:pPr>
            <w:r>
              <w:rPr>
                <w:rFonts w:hint="default"/>
                <w:color w:val="auto"/>
                <w:lang w:val="en-US" w:eastAsia="zh-CN"/>
              </w:rPr>
              <w:t>溶解性总固体</w:t>
            </w:r>
          </w:p>
        </w:tc>
        <w:tc>
          <w:tcPr>
            <w:tcW w:w="1416" w:type="pct"/>
            <w:tcBorders>
              <w:tl2br w:val="nil"/>
              <w:tr2bl w:val="nil"/>
            </w:tcBorders>
            <w:noWrap w:val="0"/>
            <w:vAlign w:val="center"/>
          </w:tcPr>
          <w:p w14:paraId="6B84856B">
            <w:pPr>
              <w:pStyle w:val="16"/>
              <w:bidi w:val="0"/>
              <w:rPr>
                <w:rFonts w:hint="default"/>
                <w:color w:val="auto"/>
                <w:lang w:val="en-US" w:eastAsia="zh-CN"/>
              </w:rPr>
            </w:pPr>
            <w:r>
              <w:rPr>
                <w:rFonts w:hint="eastAsia"/>
                <w:color w:val="auto"/>
                <w:lang w:val="en-US" w:eastAsia="zh-CN"/>
              </w:rPr>
              <w:t xml:space="preserve">生活饮用水标准检验方法 第4部分：感官性状和物理指标  </w:t>
            </w:r>
          </w:p>
        </w:tc>
        <w:tc>
          <w:tcPr>
            <w:tcW w:w="914" w:type="pct"/>
            <w:tcBorders>
              <w:tl2br w:val="nil"/>
              <w:tr2bl w:val="nil"/>
            </w:tcBorders>
            <w:noWrap w:val="0"/>
            <w:vAlign w:val="center"/>
          </w:tcPr>
          <w:p w14:paraId="7C41C731">
            <w:pPr>
              <w:pStyle w:val="16"/>
              <w:bidi w:val="0"/>
              <w:rPr>
                <w:rFonts w:hint="default"/>
                <w:color w:val="auto"/>
                <w:lang w:val="en-US" w:eastAsia="zh-CN"/>
              </w:rPr>
            </w:pPr>
            <w:r>
              <w:rPr>
                <w:rFonts w:hint="eastAsia"/>
                <w:color w:val="auto"/>
                <w:lang w:val="en-US" w:eastAsia="zh-CN"/>
              </w:rPr>
              <w:t>GB/T 5750.4-2023</w:t>
            </w:r>
          </w:p>
        </w:tc>
        <w:tc>
          <w:tcPr>
            <w:tcW w:w="1115" w:type="pct"/>
            <w:tcBorders>
              <w:tl2br w:val="nil"/>
              <w:tr2bl w:val="nil"/>
            </w:tcBorders>
            <w:noWrap w:val="0"/>
            <w:vAlign w:val="center"/>
          </w:tcPr>
          <w:p w14:paraId="3443E653">
            <w:pPr>
              <w:pStyle w:val="16"/>
              <w:bidi w:val="0"/>
              <w:rPr>
                <w:rFonts w:hint="eastAsia"/>
                <w:color w:val="auto"/>
                <w:lang w:val="en-US" w:eastAsia="zh-CN"/>
              </w:rPr>
            </w:pPr>
            <w:r>
              <w:rPr>
                <w:rFonts w:hint="default"/>
                <w:color w:val="auto"/>
              </w:rPr>
              <w:t>FA2004N电子天平</w:t>
            </w:r>
            <w:r>
              <w:rPr>
                <w:rFonts w:hint="default"/>
                <w:color w:val="auto"/>
                <w:lang w:eastAsia="zh-CN"/>
              </w:rPr>
              <w:t>（</w:t>
            </w:r>
            <w:r>
              <w:rPr>
                <w:rFonts w:hint="default"/>
                <w:color w:val="auto"/>
              </w:rPr>
              <w:t>万分之一</w:t>
            </w:r>
            <w:r>
              <w:rPr>
                <w:rFonts w:hint="default"/>
                <w:color w:val="auto"/>
                <w:lang w:eastAsia="zh-CN"/>
              </w:rPr>
              <w:t>）（</w:t>
            </w:r>
            <w:r>
              <w:rPr>
                <w:rFonts w:hint="default"/>
                <w:color w:val="auto"/>
                <w:lang w:val="en-US" w:eastAsia="zh-CN"/>
              </w:rPr>
              <w:t>HDH/YQ-21-01</w:t>
            </w:r>
            <w:r>
              <w:rPr>
                <w:rFonts w:hint="default"/>
                <w:color w:val="auto"/>
                <w:lang w:eastAsia="zh-CN"/>
              </w:rPr>
              <w:t>）</w:t>
            </w:r>
          </w:p>
        </w:tc>
        <w:tc>
          <w:tcPr>
            <w:tcW w:w="694" w:type="pct"/>
            <w:tcBorders>
              <w:tl2br w:val="nil"/>
              <w:tr2bl w:val="nil"/>
            </w:tcBorders>
            <w:noWrap w:val="0"/>
            <w:vAlign w:val="center"/>
          </w:tcPr>
          <w:p w14:paraId="3F874275">
            <w:pPr>
              <w:pStyle w:val="16"/>
              <w:bidi w:val="0"/>
              <w:rPr>
                <w:rFonts w:hint="default"/>
                <w:color w:val="auto"/>
                <w:lang w:val="en-US" w:eastAsia="zh-CN"/>
              </w:rPr>
            </w:pPr>
            <w:r>
              <w:rPr>
                <w:rFonts w:hint="default"/>
                <w:color w:val="auto"/>
                <w:lang w:val="en-US" w:eastAsia="zh-CN"/>
              </w:rPr>
              <w:t>/</w:t>
            </w:r>
          </w:p>
        </w:tc>
      </w:tr>
      <w:tr w14:paraId="3209214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36B1A643">
            <w:pPr>
              <w:pStyle w:val="16"/>
              <w:bidi w:val="0"/>
              <w:rPr>
                <w:rFonts w:hint="eastAsia"/>
                <w:color w:val="auto"/>
                <w:lang w:val="en-US" w:eastAsia="zh-CN"/>
              </w:rPr>
            </w:pPr>
            <w:r>
              <w:rPr>
                <w:rFonts w:hint="default"/>
                <w:color w:val="auto"/>
                <w:lang w:val="en-US" w:eastAsia="zh-CN"/>
              </w:rPr>
              <w:t>耗氧量</w:t>
            </w:r>
          </w:p>
        </w:tc>
        <w:tc>
          <w:tcPr>
            <w:tcW w:w="1416" w:type="pct"/>
            <w:tcBorders>
              <w:tl2br w:val="nil"/>
              <w:tr2bl w:val="nil"/>
            </w:tcBorders>
            <w:noWrap w:val="0"/>
            <w:vAlign w:val="center"/>
          </w:tcPr>
          <w:p w14:paraId="797D6907">
            <w:pPr>
              <w:pStyle w:val="16"/>
              <w:bidi w:val="0"/>
              <w:rPr>
                <w:rFonts w:hint="default"/>
                <w:color w:val="auto"/>
                <w:lang w:val="en-US" w:eastAsia="zh-CN"/>
              </w:rPr>
            </w:pPr>
            <w:r>
              <w:rPr>
                <w:rFonts w:hint="eastAsia"/>
                <w:color w:val="auto"/>
                <w:lang w:val="en-US" w:eastAsia="zh-CN"/>
              </w:rPr>
              <w:t>生活饮用水标准检验方法 第7部分：有机物综合指标 4.1酸性高锰酸钾滴定法</w:t>
            </w:r>
          </w:p>
        </w:tc>
        <w:tc>
          <w:tcPr>
            <w:tcW w:w="914" w:type="pct"/>
            <w:tcBorders>
              <w:tl2br w:val="nil"/>
              <w:tr2bl w:val="nil"/>
            </w:tcBorders>
            <w:noWrap w:val="0"/>
            <w:vAlign w:val="center"/>
          </w:tcPr>
          <w:p w14:paraId="7096CA2F">
            <w:pPr>
              <w:pStyle w:val="16"/>
              <w:bidi w:val="0"/>
              <w:rPr>
                <w:rFonts w:hint="default"/>
                <w:color w:val="auto"/>
                <w:lang w:val="en-US" w:eastAsia="zh-CN"/>
              </w:rPr>
            </w:pPr>
            <w:r>
              <w:rPr>
                <w:rFonts w:hint="eastAsia"/>
                <w:color w:val="auto"/>
                <w:lang w:val="en-US" w:eastAsia="zh-CN"/>
              </w:rPr>
              <w:t>GB/T 5750.7-2023</w:t>
            </w:r>
          </w:p>
        </w:tc>
        <w:tc>
          <w:tcPr>
            <w:tcW w:w="1115" w:type="pct"/>
            <w:tcBorders>
              <w:tl2br w:val="nil"/>
              <w:tr2bl w:val="nil"/>
            </w:tcBorders>
            <w:noWrap w:val="0"/>
            <w:vAlign w:val="center"/>
          </w:tcPr>
          <w:p w14:paraId="13B5DBE2">
            <w:pPr>
              <w:pStyle w:val="16"/>
              <w:bidi w:val="0"/>
              <w:rPr>
                <w:rFonts w:hint="eastAsia"/>
                <w:color w:val="auto"/>
                <w:lang w:val="en-US" w:eastAsia="zh-CN"/>
              </w:rPr>
            </w:pPr>
            <w:r>
              <w:rPr>
                <w:rFonts w:hint="eastAsia"/>
                <w:color w:val="auto"/>
                <w:lang w:val="en-US" w:eastAsia="zh-CN"/>
              </w:rPr>
              <w:t>/</w:t>
            </w:r>
          </w:p>
        </w:tc>
        <w:tc>
          <w:tcPr>
            <w:tcW w:w="694" w:type="pct"/>
            <w:tcBorders>
              <w:tl2br w:val="nil"/>
              <w:tr2bl w:val="nil"/>
            </w:tcBorders>
            <w:noWrap w:val="0"/>
            <w:vAlign w:val="center"/>
          </w:tcPr>
          <w:p w14:paraId="43F79CE1">
            <w:pPr>
              <w:pStyle w:val="16"/>
              <w:bidi w:val="0"/>
              <w:rPr>
                <w:rFonts w:hint="default"/>
                <w:color w:val="auto"/>
                <w:lang w:val="en-US" w:eastAsia="zh-CN"/>
              </w:rPr>
            </w:pPr>
            <w:r>
              <w:rPr>
                <w:rFonts w:hint="default"/>
                <w:color w:val="auto"/>
                <w:lang w:val="en-US" w:eastAsia="zh-CN"/>
              </w:rPr>
              <w:t>0.05mg/L</w:t>
            </w:r>
          </w:p>
        </w:tc>
      </w:tr>
      <w:tr w14:paraId="2B46768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1EEB9C33">
            <w:pPr>
              <w:pStyle w:val="16"/>
              <w:bidi w:val="0"/>
              <w:rPr>
                <w:rFonts w:hint="eastAsia"/>
                <w:color w:val="auto"/>
                <w:lang w:val="en-US" w:eastAsia="zh-CN"/>
              </w:rPr>
            </w:pPr>
            <w:r>
              <w:rPr>
                <w:rFonts w:hint="eastAsia"/>
                <w:color w:val="auto"/>
                <w:lang w:val="en-US" w:eastAsia="zh-CN"/>
              </w:rPr>
              <w:t>总大肠菌群</w:t>
            </w:r>
          </w:p>
        </w:tc>
        <w:tc>
          <w:tcPr>
            <w:tcW w:w="1416" w:type="pct"/>
            <w:tcBorders>
              <w:tl2br w:val="nil"/>
              <w:tr2bl w:val="nil"/>
            </w:tcBorders>
            <w:noWrap w:val="0"/>
            <w:vAlign w:val="center"/>
          </w:tcPr>
          <w:p w14:paraId="7DA7096F">
            <w:pPr>
              <w:pStyle w:val="16"/>
              <w:bidi w:val="0"/>
              <w:rPr>
                <w:rFonts w:hint="default"/>
                <w:color w:val="auto"/>
                <w:lang w:val="en-US" w:eastAsia="zh-CN"/>
              </w:rPr>
            </w:pPr>
            <w:r>
              <w:rPr>
                <w:rFonts w:hint="eastAsia"/>
                <w:color w:val="auto"/>
                <w:lang w:val="en-US" w:eastAsia="zh-CN"/>
              </w:rPr>
              <w:t>生活饮用水标准检验方法</w:t>
            </w:r>
            <w:r>
              <w:rPr>
                <w:rFonts w:hint="default"/>
                <w:color w:val="auto"/>
                <w:lang w:val="en-US" w:eastAsia="zh-CN"/>
              </w:rPr>
              <w:t xml:space="preserve"> </w:t>
            </w:r>
            <w:r>
              <w:rPr>
                <w:rFonts w:hint="eastAsia"/>
                <w:color w:val="auto"/>
                <w:lang w:val="en-US" w:eastAsia="zh-CN"/>
              </w:rPr>
              <w:t>第</w:t>
            </w:r>
            <w:r>
              <w:rPr>
                <w:rFonts w:hint="default"/>
                <w:color w:val="auto"/>
                <w:lang w:val="en-US" w:eastAsia="zh-CN"/>
              </w:rPr>
              <w:t>12</w:t>
            </w:r>
            <w:r>
              <w:rPr>
                <w:rFonts w:hint="eastAsia"/>
                <w:color w:val="auto"/>
                <w:lang w:val="en-US" w:eastAsia="zh-CN"/>
              </w:rPr>
              <w:t>部分：微生物指标</w:t>
            </w:r>
            <w:r>
              <w:rPr>
                <w:rFonts w:hint="default"/>
                <w:color w:val="auto"/>
                <w:lang w:val="en-US" w:eastAsia="zh-CN"/>
              </w:rPr>
              <w:t xml:space="preserve"> 5.1 </w:t>
            </w:r>
            <w:r>
              <w:rPr>
                <w:rFonts w:hint="eastAsia"/>
                <w:color w:val="auto"/>
                <w:lang w:val="en-US" w:eastAsia="zh-CN"/>
              </w:rPr>
              <w:t>多管发酵法</w:t>
            </w:r>
            <w:r>
              <w:rPr>
                <w:rFonts w:hint="default"/>
                <w:color w:val="auto"/>
                <w:lang w:val="en-US" w:eastAsia="zh-CN"/>
              </w:rPr>
              <w:t xml:space="preserve"> </w:t>
            </w:r>
          </w:p>
        </w:tc>
        <w:tc>
          <w:tcPr>
            <w:tcW w:w="914" w:type="pct"/>
            <w:tcBorders>
              <w:tl2br w:val="nil"/>
              <w:tr2bl w:val="nil"/>
            </w:tcBorders>
            <w:noWrap w:val="0"/>
            <w:vAlign w:val="center"/>
          </w:tcPr>
          <w:p w14:paraId="5162D0FD">
            <w:pPr>
              <w:pStyle w:val="16"/>
              <w:bidi w:val="0"/>
              <w:rPr>
                <w:rFonts w:hint="default"/>
                <w:color w:val="auto"/>
                <w:lang w:val="en-US" w:eastAsia="zh-CN"/>
              </w:rPr>
            </w:pPr>
            <w:r>
              <w:rPr>
                <w:rFonts w:hint="default"/>
                <w:color w:val="auto"/>
                <w:lang w:val="en-US" w:eastAsia="zh-CN"/>
              </w:rPr>
              <w:t>GB/T 5750.12-2023</w:t>
            </w:r>
          </w:p>
        </w:tc>
        <w:tc>
          <w:tcPr>
            <w:tcW w:w="1115" w:type="pct"/>
            <w:tcBorders>
              <w:tl2br w:val="nil"/>
              <w:tr2bl w:val="nil"/>
            </w:tcBorders>
            <w:noWrap w:val="0"/>
            <w:vAlign w:val="center"/>
          </w:tcPr>
          <w:p w14:paraId="518895D2">
            <w:pPr>
              <w:pStyle w:val="16"/>
              <w:bidi w:val="0"/>
              <w:rPr>
                <w:rFonts w:hint="eastAsia"/>
                <w:color w:val="auto"/>
                <w:lang w:val="en-US" w:eastAsia="zh-CN"/>
              </w:rPr>
            </w:pPr>
            <w:r>
              <w:rPr>
                <w:rFonts w:hint="default"/>
                <w:color w:val="auto"/>
                <w:lang w:val="en-US" w:eastAsia="zh-CN"/>
              </w:rPr>
              <w:t>SPX-250生化培养箱</w:t>
            </w:r>
            <w:r>
              <w:rPr>
                <w:rFonts w:hint="eastAsia"/>
                <w:color w:val="auto"/>
                <w:lang w:val="en-US" w:eastAsia="zh-CN"/>
              </w:rPr>
              <w:t>（HDH/YQ-33-06）</w:t>
            </w:r>
          </w:p>
        </w:tc>
        <w:tc>
          <w:tcPr>
            <w:tcW w:w="694" w:type="pct"/>
            <w:tcBorders>
              <w:tl2br w:val="nil"/>
              <w:tr2bl w:val="nil"/>
            </w:tcBorders>
            <w:noWrap w:val="0"/>
            <w:vAlign w:val="center"/>
          </w:tcPr>
          <w:p w14:paraId="160D7EBE">
            <w:pPr>
              <w:pStyle w:val="16"/>
              <w:bidi w:val="0"/>
              <w:rPr>
                <w:rFonts w:hint="default"/>
                <w:color w:val="auto"/>
                <w:lang w:val="en-US" w:eastAsia="zh-CN"/>
              </w:rPr>
            </w:pPr>
            <w:r>
              <w:rPr>
                <w:rFonts w:hint="eastAsia"/>
                <w:color w:val="auto"/>
                <w:lang w:val="en-US" w:eastAsia="zh-CN"/>
              </w:rPr>
              <w:t>/</w:t>
            </w:r>
          </w:p>
        </w:tc>
      </w:tr>
      <w:tr w14:paraId="057BFD37">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859" w:type="pct"/>
            <w:tcBorders>
              <w:tl2br w:val="nil"/>
              <w:tr2bl w:val="nil"/>
            </w:tcBorders>
            <w:noWrap w:val="0"/>
            <w:vAlign w:val="center"/>
          </w:tcPr>
          <w:p w14:paraId="3470DC21">
            <w:pPr>
              <w:pStyle w:val="16"/>
              <w:bidi w:val="0"/>
              <w:rPr>
                <w:rFonts w:hint="eastAsia"/>
                <w:color w:val="auto"/>
                <w:lang w:val="en-US" w:eastAsia="zh-CN"/>
              </w:rPr>
            </w:pPr>
            <w:r>
              <w:rPr>
                <w:rFonts w:hint="eastAsia"/>
                <w:color w:val="auto"/>
                <w:lang w:val="en-US" w:eastAsia="zh-CN"/>
              </w:rPr>
              <w:t>细菌总数</w:t>
            </w:r>
          </w:p>
        </w:tc>
        <w:tc>
          <w:tcPr>
            <w:tcW w:w="1416" w:type="pct"/>
            <w:tcBorders>
              <w:tl2br w:val="nil"/>
              <w:tr2bl w:val="nil"/>
            </w:tcBorders>
            <w:noWrap w:val="0"/>
            <w:vAlign w:val="center"/>
          </w:tcPr>
          <w:p w14:paraId="2EE0E58F">
            <w:pPr>
              <w:pStyle w:val="16"/>
              <w:bidi w:val="0"/>
              <w:rPr>
                <w:rFonts w:hint="default"/>
                <w:color w:val="auto"/>
                <w:lang w:val="en-US" w:eastAsia="zh-CN"/>
              </w:rPr>
            </w:pPr>
            <w:r>
              <w:rPr>
                <w:rFonts w:hint="eastAsia"/>
                <w:color w:val="auto"/>
                <w:lang w:val="en-US" w:eastAsia="zh-CN"/>
              </w:rPr>
              <w:t>水质 细菌总数的测定 平皿计数法</w:t>
            </w:r>
          </w:p>
        </w:tc>
        <w:tc>
          <w:tcPr>
            <w:tcW w:w="914" w:type="pct"/>
            <w:tcBorders>
              <w:tl2br w:val="nil"/>
              <w:tr2bl w:val="nil"/>
            </w:tcBorders>
            <w:noWrap w:val="0"/>
            <w:vAlign w:val="center"/>
          </w:tcPr>
          <w:p w14:paraId="7F8000CB">
            <w:pPr>
              <w:pStyle w:val="16"/>
              <w:bidi w:val="0"/>
              <w:rPr>
                <w:rFonts w:hint="default"/>
                <w:color w:val="auto"/>
                <w:lang w:val="en-US" w:eastAsia="zh-CN"/>
              </w:rPr>
            </w:pPr>
            <w:r>
              <w:rPr>
                <w:rFonts w:hint="eastAsia"/>
                <w:color w:val="auto"/>
                <w:lang w:val="en-US" w:eastAsia="zh-CN"/>
              </w:rPr>
              <w:t>HJ 1000-2018</w:t>
            </w:r>
          </w:p>
        </w:tc>
        <w:tc>
          <w:tcPr>
            <w:tcW w:w="1115" w:type="pct"/>
            <w:tcBorders>
              <w:tl2br w:val="nil"/>
              <w:tr2bl w:val="nil"/>
            </w:tcBorders>
            <w:noWrap w:val="0"/>
            <w:vAlign w:val="center"/>
          </w:tcPr>
          <w:p w14:paraId="129F9D20">
            <w:pPr>
              <w:pStyle w:val="16"/>
              <w:bidi w:val="0"/>
              <w:rPr>
                <w:rFonts w:hint="eastAsia"/>
                <w:color w:val="auto"/>
                <w:lang w:val="en-US" w:eastAsia="zh-CN"/>
              </w:rPr>
            </w:pPr>
            <w:r>
              <w:rPr>
                <w:rFonts w:hint="default"/>
                <w:color w:val="auto"/>
                <w:lang w:val="en-US" w:eastAsia="zh-CN"/>
              </w:rPr>
              <w:t>SHP-80生化培养箱（HDH/YQ-</w:t>
            </w:r>
            <w:r>
              <w:rPr>
                <w:rFonts w:hint="eastAsia"/>
                <w:color w:val="auto"/>
                <w:lang w:val="en-US" w:eastAsia="zh-CN"/>
              </w:rPr>
              <w:t>33-03</w:t>
            </w:r>
            <w:r>
              <w:rPr>
                <w:rFonts w:hint="default"/>
                <w:color w:val="auto"/>
                <w:lang w:val="en-US" w:eastAsia="zh-CN"/>
              </w:rPr>
              <w:t>）</w:t>
            </w:r>
          </w:p>
        </w:tc>
        <w:tc>
          <w:tcPr>
            <w:tcW w:w="694" w:type="pct"/>
            <w:tcBorders>
              <w:tl2br w:val="nil"/>
              <w:tr2bl w:val="nil"/>
            </w:tcBorders>
            <w:noWrap w:val="0"/>
            <w:vAlign w:val="center"/>
          </w:tcPr>
          <w:p w14:paraId="2820C1E5">
            <w:pPr>
              <w:pStyle w:val="16"/>
              <w:bidi w:val="0"/>
              <w:rPr>
                <w:rFonts w:hint="default"/>
                <w:color w:val="auto"/>
                <w:lang w:val="en-US" w:eastAsia="zh-CN"/>
              </w:rPr>
            </w:pPr>
            <w:r>
              <w:rPr>
                <w:rFonts w:hint="eastAsia"/>
                <w:color w:val="auto"/>
                <w:lang w:val="en-US" w:eastAsia="zh-CN"/>
              </w:rPr>
              <w:t>/</w:t>
            </w:r>
          </w:p>
        </w:tc>
      </w:tr>
    </w:tbl>
    <w:p w14:paraId="526CDADE">
      <w:pPr>
        <w:keepNext w:val="0"/>
        <w:keepLines w:val="0"/>
        <w:pageBreakBefore w:val="0"/>
        <w:widowControl w:val="0"/>
        <w:kinsoku/>
        <w:wordWrap/>
        <w:overflowPunct/>
        <w:topLinePunct w:val="0"/>
        <w:autoSpaceDE/>
        <w:autoSpaceDN/>
        <w:bidi w:val="0"/>
        <w:adjustRightInd/>
        <w:snapToGrid/>
        <w:spacing w:before="0" w:beforeLines="50"/>
        <w:ind w:firstLine="480"/>
        <w:textAlignment w:val="auto"/>
        <w:rPr>
          <w:color w:val="auto"/>
        </w:rPr>
      </w:pPr>
      <w:r>
        <w:rPr>
          <w:color w:val="auto"/>
        </w:rPr>
        <w:t>（3）监测频次</w:t>
      </w:r>
    </w:p>
    <w:p w14:paraId="1FF4E2E4">
      <w:pPr>
        <w:pageBreakBefore w:val="0"/>
        <w:wordWrap/>
        <w:bidi w:val="0"/>
        <w:adjustRightInd/>
        <w:snapToGrid/>
        <w:ind w:firstLine="480"/>
        <w:textAlignment w:val="baseline"/>
        <w:rPr>
          <w:color w:val="auto"/>
        </w:rPr>
      </w:pPr>
      <w:r>
        <w:rPr>
          <w:color w:val="auto"/>
          <w:kern w:val="0"/>
        </w:rPr>
        <w:t>水质一期监测，期中采样1次；水位一期监测。</w:t>
      </w:r>
    </w:p>
    <w:p w14:paraId="253AC77A">
      <w:pPr>
        <w:pStyle w:val="164"/>
        <w:pageBreakBefore w:val="0"/>
        <w:wordWrap/>
        <w:bidi w:val="0"/>
        <w:adjustRightInd/>
        <w:snapToGrid/>
        <w:ind w:left="0" w:leftChars="0" w:firstLine="482"/>
        <w:rPr>
          <w:b/>
          <w:color w:val="auto"/>
        </w:rPr>
      </w:pPr>
      <w:r>
        <w:rPr>
          <w:b/>
          <w:color w:val="auto"/>
        </w:rPr>
        <w:t>2、地下水环境质量现状评价</w:t>
      </w:r>
    </w:p>
    <w:p w14:paraId="6FBF591B">
      <w:pPr>
        <w:pageBreakBefore w:val="0"/>
        <w:wordWrap/>
        <w:bidi w:val="0"/>
        <w:adjustRightInd/>
        <w:snapToGrid/>
        <w:ind w:firstLine="480"/>
        <w:rPr>
          <w:color w:val="auto"/>
        </w:rPr>
      </w:pPr>
      <w:r>
        <w:rPr>
          <w:color w:val="auto"/>
        </w:rPr>
        <w:t>（1）评价因子</w:t>
      </w:r>
    </w:p>
    <w:p w14:paraId="31EDBA4B">
      <w:pPr>
        <w:pageBreakBefore w:val="0"/>
        <w:wordWrap/>
        <w:bidi w:val="0"/>
        <w:adjustRightInd/>
        <w:snapToGrid/>
        <w:ind w:firstLine="480"/>
        <w:rPr>
          <w:color w:val="auto"/>
          <w:szCs w:val="20"/>
        </w:rPr>
      </w:pPr>
      <w:r>
        <w:rPr>
          <w:color w:val="auto"/>
          <w:szCs w:val="20"/>
        </w:rPr>
        <w:t>pH、总硬度、溶解性总固体、氨氮、耗氧量、钾离子、钙离子、钠离子、镁离子、六价铬、碳酸根、重碳酸根、挥发酚、氟化物、氯化物、硝酸盐、亚硝酸盐、硫酸盐、氰化物、铁、锰、铅、镉、砷、汞、总大肠菌群、细菌总数。</w:t>
      </w:r>
    </w:p>
    <w:p w14:paraId="55FE84EF">
      <w:pPr>
        <w:pageBreakBefore w:val="0"/>
        <w:wordWrap/>
        <w:bidi w:val="0"/>
        <w:adjustRightInd/>
        <w:snapToGrid/>
        <w:ind w:firstLine="480"/>
        <w:rPr>
          <w:color w:val="auto"/>
        </w:rPr>
      </w:pPr>
      <w:r>
        <w:rPr>
          <w:color w:val="auto"/>
        </w:rPr>
        <w:t>（2）评价标准</w:t>
      </w:r>
    </w:p>
    <w:p w14:paraId="1631A7D5">
      <w:pPr>
        <w:pageBreakBefore w:val="0"/>
        <w:wordWrap/>
        <w:bidi w:val="0"/>
        <w:adjustRightInd/>
        <w:snapToGrid/>
        <w:ind w:firstLine="480"/>
        <w:textAlignment w:val="baseline"/>
        <w:rPr>
          <w:color w:val="auto"/>
          <w:sz w:val="21"/>
          <w:szCs w:val="21"/>
        </w:rPr>
      </w:pPr>
      <w:r>
        <w:rPr>
          <w:color w:val="auto"/>
        </w:rPr>
        <w:t>区域地下水执行《地下水质量标准》（</w:t>
      </w:r>
      <w:r>
        <w:rPr>
          <w:color w:val="auto"/>
          <w:szCs w:val="22"/>
        </w:rPr>
        <w:t>GB/T14848-2017</w:t>
      </w:r>
      <w:r>
        <w:rPr>
          <w:color w:val="auto"/>
        </w:rPr>
        <w:t>）Ⅲ类水域标准。</w:t>
      </w:r>
    </w:p>
    <w:p w14:paraId="1538B482">
      <w:pPr>
        <w:pageBreakBefore w:val="0"/>
        <w:wordWrap/>
        <w:bidi w:val="0"/>
        <w:adjustRightInd/>
        <w:snapToGrid/>
        <w:ind w:firstLine="480"/>
        <w:rPr>
          <w:color w:val="auto"/>
        </w:rPr>
      </w:pPr>
      <w:r>
        <w:rPr>
          <w:color w:val="auto"/>
        </w:rPr>
        <w:t>（3）评价方法</w:t>
      </w:r>
    </w:p>
    <w:p w14:paraId="08DBB146">
      <w:pPr>
        <w:pageBreakBefore w:val="0"/>
        <w:wordWrap/>
        <w:bidi w:val="0"/>
        <w:adjustRightInd/>
        <w:snapToGrid/>
        <w:ind w:firstLine="480"/>
        <w:rPr>
          <w:color w:val="auto"/>
        </w:rPr>
      </w:pPr>
      <w:r>
        <w:rPr>
          <w:color w:val="auto"/>
        </w:rPr>
        <w:t>采用单项标准指数法评价，其数学模式如下：</w:t>
      </w:r>
    </w:p>
    <w:p w14:paraId="1CFED0DB">
      <w:pPr>
        <w:pageBreakBefore w:val="0"/>
        <w:wordWrap/>
        <w:bidi w:val="0"/>
        <w:adjustRightInd/>
        <w:snapToGrid/>
        <w:ind w:firstLine="480"/>
        <w:rPr>
          <w:color w:val="auto"/>
        </w:rPr>
      </w:pPr>
      <w:r>
        <w:rPr>
          <w:color w:val="auto"/>
        </w:rPr>
        <w:t>①pH：</w:t>
      </w:r>
    </w:p>
    <w:p w14:paraId="4C88B133">
      <w:pPr>
        <w:pageBreakBefore w:val="0"/>
        <w:wordWrap/>
        <w:bidi w:val="0"/>
        <w:adjustRightInd/>
        <w:snapToGrid/>
        <w:ind w:firstLine="960" w:firstLineChars="400"/>
        <w:textAlignment w:val="baseline"/>
        <w:rPr>
          <w:color w:val="auto"/>
        </w:rPr>
      </w:pPr>
      <w:r>
        <w:rPr>
          <w:color w:val="auto"/>
          <w:position w:val="-30"/>
        </w:rPr>
        <w:drawing>
          <wp:inline distT="0" distB="0" distL="114300" distR="114300">
            <wp:extent cx="1981200" cy="457200"/>
            <wp:effectExtent l="0" t="0" r="0" b="0"/>
            <wp:docPr id="110"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68"/>
                    <pic:cNvPicPr>
                      <a:picLocks noChangeAspect="1"/>
                    </pic:cNvPicPr>
                  </pic:nvPicPr>
                  <pic:blipFill>
                    <a:blip r:embed="rId75"/>
                    <a:stretch>
                      <a:fillRect/>
                    </a:stretch>
                  </pic:blipFill>
                  <pic:spPr>
                    <a:xfrm>
                      <a:off x="0" y="0"/>
                      <a:ext cx="1981200" cy="457200"/>
                    </a:xfrm>
                    <a:prstGeom prst="rect">
                      <a:avLst/>
                    </a:prstGeom>
                    <a:noFill/>
                    <a:ln>
                      <a:noFill/>
                    </a:ln>
                  </pic:spPr>
                </pic:pic>
              </a:graphicData>
            </a:graphic>
          </wp:inline>
        </w:drawing>
      </w:r>
      <w:r>
        <w:rPr>
          <w:color w:val="auto"/>
        </w:rPr>
        <w:t>或</w:t>
      </w:r>
      <w:r>
        <w:rPr>
          <w:color w:val="auto"/>
          <w:position w:val="-30"/>
        </w:rPr>
        <w:drawing>
          <wp:inline distT="0" distB="0" distL="114300" distR="114300">
            <wp:extent cx="1981200" cy="457200"/>
            <wp:effectExtent l="0" t="0" r="0" b="0"/>
            <wp:docPr id="111"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69"/>
                    <pic:cNvPicPr>
                      <a:picLocks noChangeAspect="1"/>
                    </pic:cNvPicPr>
                  </pic:nvPicPr>
                  <pic:blipFill>
                    <a:blip r:embed="rId76"/>
                    <a:stretch>
                      <a:fillRect/>
                    </a:stretch>
                  </pic:blipFill>
                  <pic:spPr>
                    <a:xfrm>
                      <a:off x="0" y="0"/>
                      <a:ext cx="1981200" cy="457200"/>
                    </a:xfrm>
                    <a:prstGeom prst="rect">
                      <a:avLst/>
                    </a:prstGeom>
                    <a:noFill/>
                    <a:ln>
                      <a:noFill/>
                    </a:ln>
                  </pic:spPr>
                </pic:pic>
              </a:graphicData>
            </a:graphic>
          </wp:inline>
        </w:drawing>
      </w:r>
    </w:p>
    <w:p w14:paraId="6BE64FAB">
      <w:pPr>
        <w:pageBreakBefore w:val="0"/>
        <w:wordWrap/>
        <w:bidi w:val="0"/>
        <w:adjustRightInd/>
        <w:snapToGrid/>
        <w:ind w:firstLine="480"/>
        <w:textAlignment w:val="baseline"/>
        <w:rPr>
          <w:color w:val="auto"/>
        </w:rPr>
      </w:pPr>
      <w:r>
        <w:rPr>
          <w:color w:val="auto"/>
        </w:rPr>
        <w:t>式中：</w:t>
      </w:r>
    </w:p>
    <w:p w14:paraId="4C8DDF04">
      <w:pPr>
        <w:pageBreakBefore w:val="0"/>
        <w:wordWrap/>
        <w:bidi w:val="0"/>
        <w:adjustRightInd/>
        <w:snapToGrid/>
        <w:ind w:firstLine="1200" w:firstLineChars="500"/>
        <w:textAlignment w:val="baseline"/>
        <w:rPr>
          <w:color w:val="auto"/>
        </w:rPr>
      </w:pPr>
      <w:r>
        <w:rPr>
          <w:color w:val="auto"/>
        </w:rPr>
        <w:t>pH</w:t>
      </w:r>
      <w:r>
        <w:rPr>
          <w:color w:val="auto"/>
          <w:vertAlign w:val="subscript"/>
        </w:rPr>
        <w:t>sd</w:t>
      </w:r>
      <w:r>
        <w:rPr>
          <w:color w:val="auto"/>
        </w:rPr>
        <w:t>——水质标准中规定的pH值下限；</w:t>
      </w:r>
    </w:p>
    <w:p w14:paraId="646A899A">
      <w:pPr>
        <w:pageBreakBefore w:val="0"/>
        <w:wordWrap/>
        <w:bidi w:val="0"/>
        <w:adjustRightInd/>
        <w:snapToGrid/>
        <w:ind w:firstLine="1200" w:firstLineChars="500"/>
        <w:textAlignment w:val="baseline"/>
        <w:rPr>
          <w:color w:val="auto"/>
        </w:rPr>
      </w:pPr>
      <w:r>
        <w:rPr>
          <w:color w:val="auto"/>
        </w:rPr>
        <w:t>pH</w:t>
      </w:r>
      <w:r>
        <w:rPr>
          <w:color w:val="auto"/>
          <w:vertAlign w:val="subscript"/>
        </w:rPr>
        <w:t>su</w:t>
      </w:r>
      <w:r>
        <w:rPr>
          <w:color w:val="auto"/>
        </w:rPr>
        <w:t>——水质标准中规定的pH值上限；</w:t>
      </w:r>
    </w:p>
    <w:p w14:paraId="1F49950F">
      <w:pPr>
        <w:pageBreakBefore w:val="0"/>
        <w:wordWrap/>
        <w:bidi w:val="0"/>
        <w:adjustRightInd/>
        <w:snapToGrid/>
        <w:ind w:firstLine="480"/>
        <w:rPr>
          <w:color w:val="auto"/>
        </w:rPr>
      </w:pPr>
      <w:r>
        <w:rPr>
          <w:color w:val="auto"/>
        </w:rPr>
        <w:t>②一般污染物：</w:t>
      </w:r>
    </w:p>
    <w:p w14:paraId="397D132F">
      <w:pPr>
        <w:pageBreakBefore w:val="0"/>
        <w:wordWrap/>
        <w:bidi w:val="0"/>
        <w:adjustRightInd/>
        <w:snapToGrid/>
        <w:ind w:firstLine="480"/>
        <w:jc w:val="center"/>
        <w:rPr>
          <w:color w:val="auto"/>
          <w:szCs w:val="22"/>
        </w:rPr>
      </w:pPr>
      <w:r>
        <w:rPr>
          <w:color w:val="auto"/>
          <w:szCs w:val="22"/>
        </w:rPr>
        <w:object>
          <v:shape id="_x0000_i1030" o:spt="75" type="#_x0000_t75" style="height:36.3pt;width:46.95pt;" o:ole="t" filled="f" o:preferrelative="t" stroked="f" coordsize="21600,21600">
            <v:path/>
            <v:fill on="f" focussize="0,0"/>
            <v:stroke on="f"/>
            <v:imagedata r:id="rId82" o:title=""/>
            <o:lock v:ext="edit" aspectratio="t"/>
            <w10:wrap type="none"/>
            <w10:anchorlock/>
          </v:shape>
          <o:OLEObject Type="Embed" ProgID="Equation.3" ShapeID="_x0000_i1030" DrawAspect="Content" ObjectID="_1468075730" r:id="rId81">
            <o:LockedField>false</o:LockedField>
          </o:OLEObject>
        </w:object>
      </w:r>
    </w:p>
    <w:p w14:paraId="3E46F7E4">
      <w:pPr>
        <w:pageBreakBefore w:val="0"/>
        <w:wordWrap/>
        <w:bidi w:val="0"/>
        <w:adjustRightInd/>
        <w:snapToGrid/>
        <w:ind w:firstLine="480"/>
        <w:jc w:val="left"/>
        <w:rPr>
          <w:color w:val="auto"/>
          <w:szCs w:val="22"/>
        </w:rPr>
      </w:pPr>
      <w:r>
        <w:rPr>
          <w:color w:val="auto"/>
          <w:szCs w:val="22"/>
        </w:rPr>
        <w:t>式中：Sij——单项水质参数i在第j点的标准指数；</w:t>
      </w:r>
    </w:p>
    <w:p w14:paraId="586D8CD7">
      <w:pPr>
        <w:pageBreakBefore w:val="0"/>
        <w:wordWrap/>
        <w:bidi w:val="0"/>
        <w:adjustRightInd/>
        <w:snapToGrid/>
        <w:ind w:firstLine="0" w:firstLineChars="0"/>
        <w:jc w:val="left"/>
        <w:rPr>
          <w:color w:val="auto"/>
          <w:szCs w:val="22"/>
        </w:rPr>
      </w:pPr>
      <w:r>
        <w:rPr>
          <w:color w:val="auto"/>
          <w:szCs w:val="22"/>
        </w:rPr>
        <w:t xml:space="preserve">          Cij——水质因子i在监测点j的浓度</w:t>
      </w:r>
      <w:r>
        <w:rPr>
          <w:rFonts w:hint="eastAsia"/>
          <w:color w:val="auto"/>
          <w:szCs w:val="22"/>
          <w:lang w:eastAsia="zh-CN"/>
        </w:rPr>
        <w:t>（</w:t>
      </w:r>
      <w:r>
        <w:rPr>
          <w:color w:val="auto"/>
          <w:szCs w:val="22"/>
        </w:rPr>
        <w:t>mg/L</w:t>
      </w:r>
      <w:r>
        <w:rPr>
          <w:rFonts w:hint="eastAsia"/>
          <w:color w:val="auto"/>
          <w:szCs w:val="22"/>
          <w:lang w:eastAsia="zh-CN"/>
        </w:rPr>
        <w:t>）</w:t>
      </w:r>
      <w:r>
        <w:rPr>
          <w:color w:val="auto"/>
          <w:szCs w:val="22"/>
        </w:rPr>
        <w:t>；</w:t>
      </w:r>
    </w:p>
    <w:p w14:paraId="04A40E4C">
      <w:pPr>
        <w:pageBreakBefore w:val="0"/>
        <w:wordWrap/>
        <w:bidi w:val="0"/>
        <w:adjustRightInd/>
        <w:snapToGrid/>
        <w:ind w:firstLine="0" w:firstLineChars="0"/>
        <w:jc w:val="left"/>
        <w:rPr>
          <w:color w:val="auto"/>
          <w:szCs w:val="22"/>
        </w:rPr>
      </w:pPr>
      <w:r>
        <w:rPr>
          <w:color w:val="auto"/>
          <w:szCs w:val="22"/>
        </w:rPr>
        <w:t xml:space="preserve">          Cis</w:t>
      </w:r>
      <w:r>
        <w:rPr>
          <w:color w:val="auto"/>
          <w:szCs w:val="22"/>
        </w:rPr>
        <w:softHyphen/>
      </w:r>
      <w:r>
        <w:rPr>
          <w:color w:val="auto"/>
          <w:szCs w:val="22"/>
        </w:rPr>
        <w:t>——水质因子i的地下水水质标准</w:t>
      </w:r>
      <w:r>
        <w:rPr>
          <w:rFonts w:hint="eastAsia"/>
          <w:color w:val="auto"/>
          <w:szCs w:val="22"/>
          <w:lang w:eastAsia="zh-CN"/>
        </w:rPr>
        <w:t>（</w:t>
      </w:r>
      <w:r>
        <w:rPr>
          <w:color w:val="auto"/>
          <w:szCs w:val="22"/>
        </w:rPr>
        <w:t>mg/L</w:t>
      </w:r>
      <w:r>
        <w:rPr>
          <w:rFonts w:hint="eastAsia"/>
          <w:color w:val="auto"/>
          <w:szCs w:val="22"/>
          <w:lang w:eastAsia="zh-CN"/>
        </w:rPr>
        <w:t>）</w:t>
      </w:r>
      <w:r>
        <w:rPr>
          <w:color w:val="auto"/>
          <w:szCs w:val="22"/>
        </w:rPr>
        <w:t>。</w:t>
      </w:r>
    </w:p>
    <w:p w14:paraId="0A278FFA">
      <w:pPr>
        <w:pageBreakBefore w:val="0"/>
        <w:wordWrap/>
        <w:bidi w:val="0"/>
        <w:adjustRightInd/>
        <w:snapToGrid/>
        <w:ind w:firstLine="480"/>
        <w:rPr>
          <w:color w:val="auto"/>
        </w:rPr>
      </w:pPr>
      <w:r>
        <w:rPr>
          <w:color w:val="auto"/>
        </w:rPr>
        <w:t>水质参数的标准指数&gt;1，表明该项水质参数超过了规定的指数水质指标，已不能满足使用要求；水质参数的标准指数≤1，表明该项水质参数到达或优于规定的水质，完全符合国家标准，可以满足使用要求。</w:t>
      </w:r>
    </w:p>
    <w:p w14:paraId="412013B6">
      <w:pPr>
        <w:pageBreakBefore w:val="0"/>
        <w:wordWrap/>
        <w:bidi w:val="0"/>
        <w:adjustRightInd/>
        <w:snapToGrid/>
        <w:ind w:firstLine="480"/>
        <w:rPr>
          <w:color w:val="auto"/>
        </w:rPr>
      </w:pPr>
      <w:r>
        <w:rPr>
          <w:color w:val="auto"/>
        </w:rPr>
        <w:t>（4）现状监测及评价结果</w:t>
      </w:r>
    </w:p>
    <w:p w14:paraId="4714F0EA">
      <w:pPr>
        <w:pageBreakBefore w:val="0"/>
        <w:wordWrap/>
        <w:bidi w:val="0"/>
        <w:adjustRightInd/>
        <w:snapToGrid/>
        <w:ind w:firstLine="480"/>
        <w:textAlignment w:val="baseline"/>
        <w:rPr>
          <w:color w:val="auto"/>
        </w:rPr>
        <w:sectPr>
          <w:headerReference r:id="rId19" w:type="default"/>
          <w:pgSz w:w="11906" w:h="16838"/>
          <w:pgMar w:top="1440" w:right="1588" w:bottom="1440" w:left="1588" w:header="720" w:footer="720" w:gutter="0"/>
          <w:pgBorders>
            <w:top w:val="none" w:sz="0" w:space="0"/>
            <w:left w:val="none" w:sz="0" w:space="0"/>
            <w:bottom w:val="none" w:sz="0" w:space="0"/>
            <w:right w:val="none" w:sz="0" w:space="0"/>
          </w:pgBorders>
          <w:pgNumType w:fmt="decimal"/>
          <w:cols w:space="720" w:num="1"/>
        </w:sectPr>
      </w:pPr>
      <w:r>
        <w:rPr>
          <w:color w:val="auto"/>
        </w:rPr>
        <w:t>本次于202</w:t>
      </w:r>
      <w:r>
        <w:rPr>
          <w:rFonts w:hint="eastAsia"/>
          <w:color w:val="auto"/>
          <w:lang w:val="en-US" w:eastAsia="zh-CN"/>
        </w:rPr>
        <w:t>4</w:t>
      </w:r>
      <w:r>
        <w:rPr>
          <w:color w:val="auto"/>
        </w:rPr>
        <w:t>年</w:t>
      </w:r>
      <w:r>
        <w:rPr>
          <w:rFonts w:hint="eastAsia"/>
          <w:color w:val="auto"/>
          <w:lang w:val="en-US" w:eastAsia="zh-CN"/>
        </w:rPr>
        <w:t>7</w:t>
      </w:r>
      <w:r>
        <w:rPr>
          <w:color w:val="auto"/>
        </w:rPr>
        <w:t>月</w:t>
      </w:r>
      <w:r>
        <w:rPr>
          <w:rFonts w:hint="eastAsia"/>
          <w:color w:val="auto"/>
          <w:lang w:val="en-US" w:eastAsia="zh-CN"/>
        </w:rPr>
        <w:t>19</w:t>
      </w:r>
      <w:r>
        <w:rPr>
          <w:color w:val="auto"/>
        </w:rPr>
        <w:t>日对地下水水质及水位进行了监测，监测点位统计结果见</w:t>
      </w:r>
      <w:r>
        <w:rPr>
          <w:rFonts w:hint="eastAsia"/>
          <w:color w:val="auto"/>
          <w:lang w:val="en-US" w:eastAsia="zh-CN"/>
        </w:rPr>
        <w:t>下表</w:t>
      </w:r>
      <w:r>
        <w:rPr>
          <w:color w:val="auto"/>
        </w:rPr>
        <w:t>。</w:t>
      </w:r>
    </w:p>
    <w:p w14:paraId="33B09AAA">
      <w:pPr>
        <w:bidi w:val="0"/>
        <w:rPr>
          <w:color w:val="auto"/>
        </w:rPr>
      </w:pPr>
      <w:r>
        <w:rPr>
          <w:color w:val="auto"/>
        </w:rPr>
        <w:t>（5）评价结果</w:t>
      </w:r>
    </w:p>
    <w:p w14:paraId="390FE4BE">
      <w:pPr>
        <w:bidi w:val="0"/>
        <w:rPr>
          <w:color w:val="auto"/>
        </w:rPr>
      </w:pPr>
      <w:r>
        <w:rPr>
          <w:color w:val="auto"/>
        </w:rPr>
        <w:t>由监测结果可知，在监测时间内，所监测的各项指标均满足《地下水质量标准》（GB/T14848-2017）Ⅲ类水质标准限值要求，说明区域地下水环境质量良好。</w:t>
      </w:r>
    </w:p>
    <w:p w14:paraId="1CF50550">
      <w:pPr>
        <w:pStyle w:val="5"/>
        <w:bidi w:val="0"/>
        <w:rPr>
          <w:color w:val="auto"/>
        </w:rPr>
      </w:pPr>
      <w:r>
        <w:rPr>
          <w:rFonts w:hint="eastAsia"/>
          <w:color w:val="auto"/>
          <w:lang w:val="en-US" w:eastAsia="zh-CN"/>
        </w:rPr>
        <w:t xml:space="preserve"> </w:t>
      </w:r>
      <w:r>
        <w:rPr>
          <w:color w:val="auto"/>
        </w:rPr>
        <w:t>声环境质量现状监测与评价</w:t>
      </w:r>
    </w:p>
    <w:p w14:paraId="0E23707D">
      <w:pPr>
        <w:bidi w:val="0"/>
        <w:rPr>
          <w:b/>
          <w:bCs/>
          <w:color w:val="auto"/>
        </w:rPr>
      </w:pPr>
      <w:r>
        <w:rPr>
          <w:b/>
          <w:bCs/>
          <w:color w:val="auto"/>
        </w:rPr>
        <w:t>1、声环境质量现状监测</w:t>
      </w:r>
    </w:p>
    <w:p w14:paraId="189C25E6">
      <w:pPr>
        <w:bidi w:val="0"/>
        <w:rPr>
          <w:color w:val="auto"/>
        </w:rPr>
      </w:pPr>
      <w:r>
        <w:rPr>
          <w:color w:val="auto"/>
        </w:rPr>
        <w:t>（1）监测点位</w:t>
      </w:r>
    </w:p>
    <w:p w14:paraId="1518E629">
      <w:pPr>
        <w:bidi w:val="0"/>
        <w:rPr>
          <w:color w:val="auto"/>
        </w:rPr>
      </w:pPr>
      <w:r>
        <w:rPr>
          <w:color w:val="auto"/>
        </w:rPr>
        <w:t>声环境共布设</w:t>
      </w:r>
      <w:r>
        <w:rPr>
          <w:rFonts w:hint="eastAsia"/>
          <w:color w:val="auto"/>
          <w:lang w:val="en-US" w:eastAsia="zh-CN"/>
        </w:rPr>
        <w:t>11</w:t>
      </w:r>
      <w:r>
        <w:rPr>
          <w:color w:val="auto"/>
        </w:rPr>
        <w:t>个监测点，见</w:t>
      </w:r>
      <w:r>
        <w:rPr>
          <w:rFonts w:hint="eastAsia"/>
          <w:color w:val="auto"/>
          <w:lang w:val="en-US" w:eastAsia="zh-CN"/>
        </w:rPr>
        <w:t>下表</w:t>
      </w:r>
      <w:r>
        <w:rPr>
          <w:color w:val="auto"/>
        </w:rPr>
        <w:t>。</w:t>
      </w:r>
    </w:p>
    <w:p w14:paraId="6FAE673A">
      <w:pPr>
        <w:pStyle w:val="19"/>
        <w:keepNext w:val="0"/>
        <w:keepLines w:val="0"/>
        <w:pageBreakBefore w:val="0"/>
        <w:widowControl w:val="0"/>
        <w:numPr>
          <w:ilvl w:val="0"/>
          <w:numId w:val="28"/>
        </w:numPr>
        <w:kinsoku/>
        <w:wordWrap/>
        <w:overflowPunct/>
        <w:topLinePunct w:val="0"/>
        <w:autoSpaceDE/>
        <w:autoSpaceDN/>
        <w:bidi w:val="0"/>
        <w:adjustRightInd/>
        <w:snapToGrid/>
        <w:spacing w:before="0"/>
        <w:textAlignment w:val="auto"/>
        <w:rPr>
          <w:color w:val="auto"/>
        </w:rPr>
      </w:pPr>
      <w:r>
        <w:rPr>
          <w:color w:val="auto"/>
        </w:rPr>
        <w:t>声环境现状监测点位</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57" w:type="dxa"/>
          <w:bottom w:w="0" w:type="dxa"/>
          <w:right w:w="57" w:type="dxa"/>
        </w:tblCellMar>
      </w:tblPr>
      <w:tblGrid>
        <w:gridCol w:w="1115"/>
        <w:gridCol w:w="3534"/>
        <w:gridCol w:w="1172"/>
        <w:gridCol w:w="1452"/>
        <w:gridCol w:w="1342"/>
      </w:tblGrid>
      <w:tr w14:paraId="015A8146">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97" w:hRule="atLeast"/>
          <w:tblHeader/>
          <w:jc w:val="center"/>
        </w:trPr>
        <w:tc>
          <w:tcPr>
            <w:tcW w:w="647" w:type="pct"/>
            <w:tcBorders>
              <w:tl2br w:val="nil"/>
              <w:tr2bl w:val="nil"/>
            </w:tcBorders>
            <w:noWrap w:val="0"/>
            <w:vAlign w:val="center"/>
          </w:tcPr>
          <w:p w14:paraId="3E52A69B">
            <w:pPr>
              <w:pStyle w:val="16"/>
              <w:bidi w:val="0"/>
              <w:rPr>
                <w:rFonts w:hint="default"/>
                <w:b/>
                <w:bCs/>
                <w:color w:val="auto"/>
                <w:lang w:val="en-US" w:eastAsia="zh-CN"/>
              </w:rPr>
            </w:pPr>
            <w:r>
              <w:rPr>
                <w:rFonts w:hint="default"/>
                <w:b/>
                <w:bCs/>
                <w:color w:val="auto"/>
              </w:rPr>
              <w:t>点位编号</w:t>
            </w:r>
          </w:p>
        </w:tc>
        <w:tc>
          <w:tcPr>
            <w:tcW w:w="2050" w:type="pct"/>
            <w:tcBorders>
              <w:tl2br w:val="nil"/>
              <w:tr2bl w:val="nil"/>
            </w:tcBorders>
            <w:noWrap w:val="0"/>
            <w:vAlign w:val="center"/>
          </w:tcPr>
          <w:p w14:paraId="456F502D">
            <w:pPr>
              <w:pStyle w:val="16"/>
              <w:bidi w:val="0"/>
              <w:rPr>
                <w:rFonts w:hint="default"/>
                <w:b/>
                <w:bCs/>
                <w:color w:val="auto"/>
                <w:lang w:val="en-US" w:eastAsia="zh-CN"/>
              </w:rPr>
            </w:pPr>
            <w:r>
              <w:rPr>
                <w:rFonts w:hint="default"/>
                <w:b/>
                <w:bCs/>
                <w:color w:val="auto"/>
              </w:rPr>
              <w:t>检测点</w:t>
            </w:r>
            <w:r>
              <w:rPr>
                <w:rFonts w:hint="default"/>
                <w:b/>
                <w:bCs/>
                <w:color w:val="auto"/>
                <w:lang w:val="en-US" w:eastAsia="zh-CN"/>
              </w:rPr>
              <w:t>位</w:t>
            </w:r>
          </w:p>
        </w:tc>
        <w:tc>
          <w:tcPr>
            <w:tcW w:w="680" w:type="pct"/>
            <w:tcBorders>
              <w:tl2br w:val="nil"/>
              <w:tr2bl w:val="nil"/>
            </w:tcBorders>
            <w:noWrap w:val="0"/>
            <w:vAlign w:val="center"/>
          </w:tcPr>
          <w:p w14:paraId="5D9015F0">
            <w:pPr>
              <w:pStyle w:val="16"/>
              <w:bidi w:val="0"/>
              <w:rPr>
                <w:rFonts w:hint="eastAsia"/>
                <w:b/>
                <w:bCs/>
                <w:color w:val="auto"/>
                <w:lang w:val="en-US" w:eastAsia="zh-CN"/>
              </w:rPr>
            </w:pPr>
            <w:r>
              <w:rPr>
                <w:rFonts w:hint="default"/>
                <w:b/>
                <w:bCs/>
                <w:color w:val="auto"/>
              </w:rPr>
              <w:t>检测项目</w:t>
            </w:r>
          </w:p>
        </w:tc>
        <w:tc>
          <w:tcPr>
            <w:tcW w:w="842" w:type="pct"/>
            <w:tcBorders>
              <w:tl2br w:val="nil"/>
              <w:tr2bl w:val="nil"/>
            </w:tcBorders>
            <w:noWrap w:val="0"/>
            <w:vAlign w:val="center"/>
          </w:tcPr>
          <w:p w14:paraId="1C4BCA0B">
            <w:pPr>
              <w:pStyle w:val="16"/>
              <w:bidi w:val="0"/>
              <w:rPr>
                <w:rFonts w:hint="eastAsia"/>
                <w:b/>
                <w:bCs/>
                <w:color w:val="auto"/>
                <w:lang w:val="en-US" w:eastAsia="zh-CN"/>
              </w:rPr>
            </w:pPr>
            <w:r>
              <w:rPr>
                <w:rFonts w:hint="eastAsia"/>
                <w:b/>
                <w:bCs/>
                <w:color w:val="auto"/>
                <w:lang w:val="en-US" w:eastAsia="zh-CN"/>
              </w:rPr>
              <w:t>噪声源</w:t>
            </w:r>
          </w:p>
        </w:tc>
        <w:tc>
          <w:tcPr>
            <w:tcW w:w="778" w:type="pct"/>
            <w:tcBorders>
              <w:tl2br w:val="nil"/>
              <w:tr2bl w:val="nil"/>
            </w:tcBorders>
            <w:noWrap w:val="0"/>
            <w:vAlign w:val="center"/>
          </w:tcPr>
          <w:p w14:paraId="50C06573">
            <w:pPr>
              <w:pStyle w:val="16"/>
              <w:bidi w:val="0"/>
              <w:rPr>
                <w:rFonts w:hint="default"/>
                <w:b/>
                <w:bCs/>
                <w:color w:val="auto"/>
              </w:rPr>
            </w:pPr>
            <w:r>
              <w:rPr>
                <w:rFonts w:hint="default"/>
                <w:b/>
                <w:bCs/>
                <w:color w:val="auto"/>
              </w:rPr>
              <w:t>检测频次</w:t>
            </w:r>
          </w:p>
        </w:tc>
      </w:tr>
      <w:tr w14:paraId="42475E1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97" w:hRule="atLeast"/>
          <w:jc w:val="center"/>
        </w:trPr>
        <w:tc>
          <w:tcPr>
            <w:tcW w:w="647" w:type="pct"/>
            <w:tcBorders>
              <w:tl2br w:val="nil"/>
              <w:tr2bl w:val="nil"/>
            </w:tcBorders>
            <w:noWrap w:val="0"/>
            <w:vAlign w:val="center"/>
          </w:tcPr>
          <w:p w14:paraId="3E76F0BB">
            <w:pPr>
              <w:pStyle w:val="16"/>
              <w:bidi w:val="0"/>
              <w:rPr>
                <w:rFonts w:hint="default"/>
                <w:color w:val="auto"/>
                <w:lang w:val="en-US" w:eastAsia="zh-CN"/>
              </w:rPr>
            </w:pPr>
            <w:r>
              <w:rPr>
                <w:rFonts w:hint="eastAsia"/>
                <w:color w:val="auto"/>
                <w:lang w:val="en-US" w:eastAsia="zh-CN"/>
              </w:rPr>
              <w:t>△</w:t>
            </w:r>
            <w:r>
              <w:rPr>
                <w:rFonts w:hint="default"/>
                <w:color w:val="auto"/>
                <w:lang w:val="en-US" w:eastAsia="zh-CN"/>
              </w:rPr>
              <w:t>1#</w:t>
            </w:r>
          </w:p>
        </w:tc>
        <w:tc>
          <w:tcPr>
            <w:tcW w:w="2050" w:type="pct"/>
            <w:tcBorders>
              <w:tl2br w:val="nil"/>
              <w:tr2bl w:val="nil"/>
            </w:tcBorders>
            <w:noWrap w:val="0"/>
            <w:vAlign w:val="center"/>
          </w:tcPr>
          <w:p w14:paraId="1B8A32B8">
            <w:pPr>
              <w:pStyle w:val="16"/>
              <w:bidi w:val="0"/>
              <w:rPr>
                <w:rFonts w:hint="default"/>
                <w:color w:val="auto"/>
                <w:lang w:val="en-US" w:eastAsia="zh-CN"/>
              </w:rPr>
            </w:pPr>
            <w:r>
              <w:rPr>
                <w:rFonts w:hint="eastAsia"/>
                <w:color w:val="auto"/>
                <w:lang w:val="en-US" w:eastAsia="zh-CN"/>
              </w:rPr>
              <w:t>北侧厂界外1m处</w:t>
            </w:r>
          </w:p>
        </w:tc>
        <w:tc>
          <w:tcPr>
            <w:tcW w:w="680" w:type="pct"/>
            <w:vMerge w:val="restart"/>
            <w:tcBorders>
              <w:tl2br w:val="nil"/>
              <w:tr2bl w:val="nil"/>
            </w:tcBorders>
            <w:noWrap w:val="0"/>
            <w:vAlign w:val="center"/>
          </w:tcPr>
          <w:p w14:paraId="1B6E41F3">
            <w:pPr>
              <w:pStyle w:val="16"/>
              <w:bidi w:val="0"/>
              <w:rPr>
                <w:rFonts w:hint="default"/>
                <w:color w:val="auto"/>
                <w:lang w:val="en-US" w:eastAsia="zh-CN"/>
              </w:rPr>
            </w:pPr>
            <w:r>
              <w:rPr>
                <w:rFonts w:hint="eastAsia"/>
                <w:color w:val="auto"/>
                <w:lang w:val="en-US" w:eastAsia="zh-CN"/>
              </w:rPr>
              <w:t>Leq</w:t>
            </w:r>
          </w:p>
        </w:tc>
        <w:tc>
          <w:tcPr>
            <w:tcW w:w="842" w:type="pct"/>
            <w:vMerge w:val="restart"/>
            <w:tcBorders>
              <w:tl2br w:val="nil"/>
              <w:tr2bl w:val="nil"/>
            </w:tcBorders>
            <w:noWrap w:val="0"/>
            <w:vAlign w:val="center"/>
          </w:tcPr>
          <w:p w14:paraId="77E9A1EE">
            <w:pPr>
              <w:pStyle w:val="16"/>
              <w:bidi w:val="0"/>
              <w:rPr>
                <w:rFonts w:hint="default"/>
                <w:color w:val="auto"/>
                <w:lang w:val="en-US" w:eastAsia="zh-CN"/>
              </w:rPr>
            </w:pPr>
            <w:r>
              <w:rPr>
                <w:rFonts w:hint="eastAsia"/>
                <w:color w:val="auto"/>
                <w:lang w:val="en-US" w:eastAsia="zh-CN"/>
              </w:rPr>
              <w:t>周边环境噪声（虫鸣鸟叫）</w:t>
            </w:r>
          </w:p>
        </w:tc>
        <w:tc>
          <w:tcPr>
            <w:tcW w:w="778" w:type="pct"/>
            <w:vMerge w:val="restart"/>
            <w:tcBorders>
              <w:tl2br w:val="nil"/>
              <w:tr2bl w:val="nil"/>
            </w:tcBorders>
            <w:noWrap w:val="0"/>
            <w:vAlign w:val="center"/>
          </w:tcPr>
          <w:p w14:paraId="5C5A2BEE">
            <w:pPr>
              <w:pStyle w:val="16"/>
              <w:bidi w:val="0"/>
              <w:rPr>
                <w:rFonts w:hint="default"/>
                <w:color w:val="auto"/>
                <w:lang w:val="en-US" w:eastAsia="zh-CN"/>
              </w:rPr>
            </w:pPr>
            <w:r>
              <w:rPr>
                <w:rFonts w:hint="eastAsia"/>
                <w:color w:val="auto"/>
                <w:lang w:val="en-US" w:eastAsia="zh-CN"/>
              </w:rPr>
              <w:t>连续</w:t>
            </w:r>
            <w:r>
              <w:rPr>
                <w:rFonts w:hint="default"/>
                <w:color w:val="auto"/>
              </w:rPr>
              <w:t>检测</w:t>
            </w:r>
            <w:r>
              <w:rPr>
                <w:rFonts w:hint="eastAsia"/>
                <w:color w:val="auto"/>
                <w:lang w:val="en-US" w:eastAsia="zh-CN"/>
              </w:rPr>
              <w:t>2</w:t>
            </w:r>
            <w:r>
              <w:rPr>
                <w:rFonts w:hint="default"/>
                <w:color w:val="auto"/>
              </w:rPr>
              <w:t>天，</w:t>
            </w:r>
            <w:r>
              <w:rPr>
                <w:rFonts w:hint="eastAsia"/>
                <w:color w:val="auto"/>
                <w:lang w:val="en-US" w:eastAsia="zh-CN"/>
              </w:rPr>
              <w:t>每天昼夜各1</w:t>
            </w:r>
            <w:r>
              <w:rPr>
                <w:rFonts w:hint="default"/>
                <w:color w:val="auto"/>
                <w:lang w:val="en-US" w:eastAsia="zh-CN"/>
              </w:rPr>
              <w:t>次</w:t>
            </w:r>
          </w:p>
        </w:tc>
      </w:tr>
      <w:tr w14:paraId="788D4F47">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97" w:hRule="atLeast"/>
          <w:jc w:val="center"/>
        </w:trPr>
        <w:tc>
          <w:tcPr>
            <w:tcW w:w="647" w:type="pct"/>
            <w:tcBorders>
              <w:tl2br w:val="nil"/>
              <w:tr2bl w:val="nil"/>
            </w:tcBorders>
            <w:noWrap w:val="0"/>
            <w:vAlign w:val="center"/>
          </w:tcPr>
          <w:p w14:paraId="40EE358C">
            <w:pPr>
              <w:pStyle w:val="16"/>
              <w:bidi w:val="0"/>
              <w:rPr>
                <w:rFonts w:hint="default"/>
                <w:color w:val="auto"/>
                <w:lang w:val="en-US" w:eastAsia="zh-CN"/>
              </w:rPr>
            </w:pPr>
            <w:r>
              <w:rPr>
                <w:rFonts w:hint="eastAsia"/>
                <w:color w:val="auto"/>
                <w:lang w:val="en-US" w:eastAsia="zh-CN"/>
              </w:rPr>
              <w:t>△2</w:t>
            </w:r>
            <w:r>
              <w:rPr>
                <w:rFonts w:hint="default"/>
                <w:color w:val="auto"/>
                <w:lang w:val="en-US" w:eastAsia="zh-CN"/>
              </w:rPr>
              <w:t>#</w:t>
            </w:r>
          </w:p>
        </w:tc>
        <w:tc>
          <w:tcPr>
            <w:tcW w:w="2050" w:type="pct"/>
            <w:tcBorders>
              <w:tl2br w:val="nil"/>
              <w:tr2bl w:val="nil"/>
            </w:tcBorders>
            <w:noWrap w:val="0"/>
            <w:vAlign w:val="center"/>
          </w:tcPr>
          <w:p w14:paraId="0B8DA4FF">
            <w:pPr>
              <w:pStyle w:val="16"/>
              <w:bidi w:val="0"/>
              <w:rPr>
                <w:rFonts w:hint="default"/>
                <w:color w:val="auto"/>
                <w:lang w:val="en-US" w:eastAsia="zh-CN"/>
              </w:rPr>
            </w:pPr>
            <w:r>
              <w:rPr>
                <w:rFonts w:hint="eastAsia"/>
                <w:color w:val="auto"/>
                <w:lang w:val="en-US" w:eastAsia="zh-CN"/>
              </w:rPr>
              <w:t>东侧厂界外1m处</w:t>
            </w:r>
          </w:p>
        </w:tc>
        <w:tc>
          <w:tcPr>
            <w:tcW w:w="680" w:type="pct"/>
            <w:vMerge w:val="continue"/>
            <w:tcBorders>
              <w:tl2br w:val="nil"/>
              <w:tr2bl w:val="nil"/>
            </w:tcBorders>
            <w:noWrap w:val="0"/>
            <w:vAlign w:val="center"/>
          </w:tcPr>
          <w:p w14:paraId="47954349">
            <w:pPr>
              <w:pStyle w:val="16"/>
              <w:bidi w:val="0"/>
              <w:rPr>
                <w:rFonts w:hint="default"/>
                <w:color w:val="auto"/>
              </w:rPr>
            </w:pPr>
          </w:p>
        </w:tc>
        <w:tc>
          <w:tcPr>
            <w:tcW w:w="842" w:type="pct"/>
            <w:vMerge w:val="continue"/>
            <w:tcBorders>
              <w:tl2br w:val="nil"/>
              <w:tr2bl w:val="nil"/>
            </w:tcBorders>
            <w:noWrap w:val="0"/>
            <w:vAlign w:val="center"/>
          </w:tcPr>
          <w:p w14:paraId="2EB677EF">
            <w:pPr>
              <w:pStyle w:val="16"/>
              <w:bidi w:val="0"/>
              <w:rPr>
                <w:rFonts w:hint="default"/>
                <w:color w:val="auto"/>
              </w:rPr>
            </w:pPr>
          </w:p>
        </w:tc>
        <w:tc>
          <w:tcPr>
            <w:tcW w:w="778" w:type="pct"/>
            <w:vMerge w:val="continue"/>
            <w:tcBorders>
              <w:tl2br w:val="nil"/>
              <w:tr2bl w:val="nil"/>
            </w:tcBorders>
            <w:noWrap w:val="0"/>
            <w:vAlign w:val="center"/>
          </w:tcPr>
          <w:p w14:paraId="08F8B48C">
            <w:pPr>
              <w:pStyle w:val="16"/>
              <w:bidi w:val="0"/>
              <w:rPr>
                <w:rFonts w:hint="default"/>
                <w:color w:val="auto"/>
                <w:lang w:val="en-US" w:eastAsia="zh-CN"/>
              </w:rPr>
            </w:pPr>
          </w:p>
        </w:tc>
      </w:tr>
      <w:tr w14:paraId="6EDC0733">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97" w:hRule="atLeast"/>
          <w:jc w:val="center"/>
        </w:trPr>
        <w:tc>
          <w:tcPr>
            <w:tcW w:w="647" w:type="pct"/>
            <w:tcBorders>
              <w:tl2br w:val="nil"/>
              <w:tr2bl w:val="nil"/>
            </w:tcBorders>
            <w:noWrap w:val="0"/>
            <w:vAlign w:val="center"/>
          </w:tcPr>
          <w:p w14:paraId="39CC36E7">
            <w:pPr>
              <w:pStyle w:val="16"/>
              <w:bidi w:val="0"/>
              <w:rPr>
                <w:color w:val="auto"/>
              </w:rPr>
            </w:pPr>
            <w:r>
              <w:rPr>
                <w:rFonts w:hint="eastAsia"/>
                <w:color w:val="auto"/>
                <w:lang w:val="en-US" w:eastAsia="zh-CN"/>
              </w:rPr>
              <w:t>△3</w:t>
            </w:r>
            <w:r>
              <w:rPr>
                <w:rFonts w:hint="default"/>
                <w:color w:val="auto"/>
                <w:lang w:val="en-US" w:eastAsia="zh-CN"/>
              </w:rPr>
              <w:t>#</w:t>
            </w:r>
          </w:p>
        </w:tc>
        <w:tc>
          <w:tcPr>
            <w:tcW w:w="2050" w:type="pct"/>
            <w:tcBorders>
              <w:tl2br w:val="nil"/>
              <w:tr2bl w:val="nil"/>
            </w:tcBorders>
            <w:noWrap w:val="0"/>
            <w:vAlign w:val="center"/>
          </w:tcPr>
          <w:p w14:paraId="489FA741">
            <w:pPr>
              <w:pStyle w:val="16"/>
              <w:bidi w:val="0"/>
              <w:rPr>
                <w:rFonts w:hint="default"/>
                <w:color w:val="auto"/>
                <w:lang w:val="en-US" w:eastAsia="zh-CN"/>
              </w:rPr>
            </w:pPr>
            <w:r>
              <w:rPr>
                <w:rFonts w:hint="eastAsia"/>
                <w:color w:val="auto"/>
                <w:lang w:val="en-US" w:eastAsia="zh-CN"/>
              </w:rPr>
              <w:t>南侧厂界外1m处</w:t>
            </w:r>
          </w:p>
        </w:tc>
        <w:tc>
          <w:tcPr>
            <w:tcW w:w="680" w:type="pct"/>
            <w:vMerge w:val="continue"/>
            <w:tcBorders>
              <w:tl2br w:val="nil"/>
              <w:tr2bl w:val="nil"/>
            </w:tcBorders>
            <w:noWrap w:val="0"/>
            <w:vAlign w:val="center"/>
          </w:tcPr>
          <w:p w14:paraId="1BB09A1B">
            <w:pPr>
              <w:pStyle w:val="16"/>
              <w:bidi w:val="0"/>
              <w:rPr>
                <w:rFonts w:hint="default"/>
                <w:color w:val="auto"/>
              </w:rPr>
            </w:pPr>
          </w:p>
        </w:tc>
        <w:tc>
          <w:tcPr>
            <w:tcW w:w="842" w:type="pct"/>
            <w:vMerge w:val="continue"/>
            <w:tcBorders>
              <w:tl2br w:val="nil"/>
              <w:tr2bl w:val="nil"/>
            </w:tcBorders>
            <w:noWrap w:val="0"/>
            <w:vAlign w:val="center"/>
          </w:tcPr>
          <w:p w14:paraId="1899B65E">
            <w:pPr>
              <w:pStyle w:val="16"/>
              <w:bidi w:val="0"/>
              <w:rPr>
                <w:rFonts w:hint="default"/>
                <w:color w:val="auto"/>
              </w:rPr>
            </w:pPr>
          </w:p>
        </w:tc>
        <w:tc>
          <w:tcPr>
            <w:tcW w:w="778" w:type="pct"/>
            <w:vMerge w:val="continue"/>
            <w:tcBorders>
              <w:tl2br w:val="nil"/>
              <w:tr2bl w:val="nil"/>
            </w:tcBorders>
            <w:noWrap w:val="0"/>
            <w:vAlign w:val="center"/>
          </w:tcPr>
          <w:p w14:paraId="49BF212C">
            <w:pPr>
              <w:pStyle w:val="16"/>
              <w:bidi w:val="0"/>
              <w:rPr>
                <w:rFonts w:hint="default"/>
                <w:color w:val="auto"/>
                <w:lang w:val="en-US" w:eastAsia="zh-CN"/>
              </w:rPr>
            </w:pPr>
          </w:p>
        </w:tc>
      </w:tr>
      <w:tr w14:paraId="6962382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97" w:hRule="atLeast"/>
          <w:jc w:val="center"/>
        </w:trPr>
        <w:tc>
          <w:tcPr>
            <w:tcW w:w="647" w:type="pct"/>
            <w:tcBorders>
              <w:tl2br w:val="nil"/>
              <w:tr2bl w:val="nil"/>
            </w:tcBorders>
            <w:noWrap w:val="0"/>
            <w:vAlign w:val="center"/>
          </w:tcPr>
          <w:p w14:paraId="517D3D89">
            <w:pPr>
              <w:pStyle w:val="16"/>
              <w:bidi w:val="0"/>
              <w:rPr>
                <w:color w:val="auto"/>
              </w:rPr>
            </w:pPr>
            <w:r>
              <w:rPr>
                <w:rFonts w:hint="eastAsia"/>
                <w:color w:val="auto"/>
                <w:lang w:val="en-US" w:eastAsia="zh-CN"/>
              </w:rPr>
              <w:t>△4</w:t>
            </w:r>
            <w:r>
              <w:rPr>
                <w:rFonts w:hint="default"/>
                <w:color w:val="auto"/>
                <w:lang w:val="en-US" w:eastAsia="zh-CN"/>
              </w:rPr>
              <w:t>#</w:t>
            </w:r>
          </w:p>
        </w:tc>
        <w:tc>
          <w:tcPr>
            <w:tcW w:w="2050" w:type="pct"/>
            <w:tcBorders>
              <w:tl2br w:val="nil"/>
              <w:tr2bl w:val="nil"/>
            </w:tcBorders>
            <w:noWrap w:val="0"/>
            <w:vAlign w:val="center"/>
          </w:tcPr>
          <w:p w14:paraId="7E18723D">
            <w:pPr>
              <w:pStyle w:val="16"/>
              <w:bidi w:val="0"/>
              <w:rPr>
                <w:rFonts w:hint="default"/>
                <w:color w:val="auto"/>
                <w:lang w:val="en-US" w:eastAsia="zh-CN"/>
              </w:rPr>
            </w:pPr>
            <w:r>
              <w:rPr>
                <w:rFonts w:hint="eastAsia"/>
                <w:color w:val="auto"/>
                <w:lang w:val="en-US" w:eastAsia="zh-CN"/>
              </w:rPr>
              <w:t>西侧厂界外1m处</w:t>
            </w:r>
          </w:p>
        </w:tc>
        <w:tc>
          <w:tcPr>
            <w:tcW w:w="680" w:type="pct"/>
            <w:vMerge w:val="continue"/>
            <w:tcBorders>
              <w:tl2br w:val="nil"/>
              <w:tr2bl w:val="nil"/>
            </w:tcBorders>
            <w:noWrap w:val="0"/>
            <w:vAlign w:val="center"/>
          </w:tcPr>
          <w:p w14:paraId="4FACB86D">
            <w:pPr>
              <w:pStyle w:val="16"/>
              <w:bidi w:val="0"/>
              <w:rPr>
                <w:rFonts w:hint="default"/>
                <w:color w:val="auto"/>
              </w:rPr>
            </w:pPr>
          </w:p>
        </w:tc>
        <w:tc>
          <w:tcPr>
            <w:tcW w:w="842" w:type="pct"/>
            <w:vMerge w:val="continue"/>
            <w:tcBorders>
              <w:tl2br w:val="nil"/>
              <w:tr2bl w:val="nil"/>
            </w:tcBorders>
            <w:noWrap w:val="0"/>
            <w:vAlign w:val="center"/>
          </w:tcPr>
          <w:p w14:paraId="7C5A00B7">
            <w:pPr>
              <w:pStyle w:val="16"/>
              <w:bidi w:val="0"/>
              <w:rPr>
                <w:rFonts w:hint="default"/>
                <w:color w:val="auto"/>
              </w:rPr>
            </w:pPr>
          </w:p>
        </w:tc>
        <w:tc>
          <w:tcPr>
            <w:tcW w:w="778" w:type="pct"/>
            <w:vMerge w:val="continue"/>
            <w:tcBorders>
              <w:tl2br w:val="nil"/>
              <w:tr2bl w:val="nil"/>
            </w:tcBorders>
            <w:noWrap w:val="0"/>
            <w:vAlign w:val="center"/>
          </w:tcPr>
          <w:p w14:paraId="0A62FB44">
            <w:pPr>
              <w:pStyle w:val="16"/>
              <w:bidi w:val="0"/>
              <w:rPr>
                <w:rFonts w:hint="default"/>
                <w:color w:val="auto"/>
                <w:lang w:val="en-US" w:eastAsia="zh-CN"/>
              </w:rPr>
            </w:pPr>
          </w:p>
        </w:tc>
      </w:tr>
      <w:tr w14:paraId="26D3AACA">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97" w:hRule="atLeast"/>
          <w:jc w:val="center"/>
        </w:trPr>
        <w:tc>
          <w:tcPr>
            <w:tcW w:w="647" w:type="pct"/>
            <w:tcBorders>
              <w:tl2br w:val="nil"/>
              <w:tr2bl w:val="nil"/>
            </w:tcBorders>
            <w:noWrap w:val="0"/>
            <w:vAlign w:val="center"/>
          </w:tcPr>
          <w:p w14:paraId="2163F9C0">
            <w:pPr>
              <w:pStyle w:val="16"/>
              <w:bidi w:val="0"/>
              <w:rPr>
                <w:color w:val="auto"/>
              </w:rPr>
            </w:pPr>
            <w:r>
              <w:rPr>
                <w:rFonts w:hint="eastAsia"/>
                <w:color w:val="auto"/>
                <w:lang w:val="en-US" w:eastAsia="zh-CN"/>
              </w:rPr>
              <w:t>△5</w:t>
            </w:r>
            <w:r>
              <w:rPr>
                <w:rFonts w:hint="default"/>
                <w:color w:val="auto"/>
                <w:lang w:val="en-US" w:eastAsia="zh-CN"/>
              </w:rPr>
              <w:t>#</w:t>
            </w:r>
          </w:p>
        </w:tc>
        <w:tc>
          <w:tcPr>
            <w:tcW w:w="2050" w:type="pct"/>
            <w:tcBorders>
              <w:tl2br w:val="nil"/>
              <w:tr2bl w:val="nil"/>
            </w:tcBorders>
            <w:noWrap w:val="0"/>
            <w:vAlign w:val="center"/>
          </w:tcPr>
          <w:p w14:paraId="0CDECBA2">
            <w:pPr>
              <w:pStyle w:val="16"/>
              <w:bidi w:val="0"/>
              <w:rPr>
                <w:rFonts w:hint="default"/>
                <w:color w:val="auto"/>
                <w:lang w:val="en-US" w:eastAsia="zh-CN"/>
              </w:rPr>
            </w:pPr>
            <w:r>
              <w:rPr>
                <w:rFonts w:hint="eastAsia"/>
                <w:color w:val="auto"/>
                <w:lang w:val="en-US" w:eastAsia="zh-CN"/>
              </w:rPr>
              <w:t>东侧居民点处</w:t>
            </w:r>
          </w:p>
        </w:tc>
        <w:tc>
          <w:tcPr>
            <w:tcW w:w="680" w:type="pct"/>
            <w:vMerge w:val="continue"/>
            <w:tcBorders>
              <w:tl2br w:val="nil"/>
              <w:tr2bl w:val="nil"/>
            </w:tcBorders>
            <w:noWrap w:val="0"/>
            <w:vAlign w:val="center"/>
          </w:tcPr>
          <w:p w14:paraId="45073C7A">
            <w:pPr>
              <w:pStyle w:val="16"/>
              <w:bidi w:val="0"/>
              <w:rPr>
                <w:rFonts w:hint="default"/>
                <w:color w:val="auto"/>
                <w:lang w:val="en-US" w:eastAsia="zh-CN"/>
              </w:rPr>
            </w:pPr>
          </w:p>
        </w:tc>
        <w:tc>
          <w:tcPr>
            <w:tcW w:w="842" w:type="pct"/>
            <w:vMerge w:val="continue"/>
            <w:tcBorders>
              <w:tl2br w:val="nil"/>
              <w:tr2bl w:val="nil"/>
            </w:tcBorders>
            <w:noWrap w:val="0"/>
            <w:vAlign w:val="center"/>
          </w:tcPr>
          <w:p w14:paraId="1D55ABDC">
            <w:pPr>
              <w:pStyle w:val="16"/>
              <w:bidi w:val="0"/>
              <w:rPr>
                <w:rFonts w:hint="default"/>
                <w:color w:val="auto"/>
                <w:lang w:val="en-US" w:eastAsia="zh-CN"/>
              </w:rPr>
            </w:pPr>
          </w:p>
        </w:tc>
        <w:tc>
          <w:tcPr>
            <w:tcW w:w="778" w:type="pct"/>
            <w:vMerge w:val="continue"/>
            <w:tcBorders>
              <w:tl2br w:val="nil"/>
              <w:tr2bl w:val="nil"/>
            </w:tcBorders>
            <w:noWrap w:val="0"/>
            <w:vAlign w:val="center"/>
          </w:tcPr>
          <w:p w14:paraId="0C64267C">
            <w:pPr>
              <w:pStyle w:val="16"/>
              <w:bidi w:val="0"/>
              <w:rPr>
                <w:rFonts w:hint="default"/>
                <w:color w:val="auto"/>
                <w:lang w:val="en-US" w:eastAsia="zh-CN"/>
              </w:rPr>
            </w:pPr>
          </w:p>
        </w:tc>
      </w:tr>
      <w:tr w14:paraId="69F77044">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97" w:hRule="atLeast"/>
          <w:jc w:val="center"/>
        </w:trPr>
        <w:tc>
          <w:tcPr>
            <w:tcW w:w="647" w:type="pct"/>
            <w:tcBorders>
              <w:tl2br w:val="nil"/>
              <w:tr2bl w:val="nil"/>
            </w:tcBorders>
            <w:noWrap w:val="0"/>
            <w:vAlign w:val="center"/>
          </w:tcPr>
          <w:p w14:paraId="4DB27E1D">
            <w:pPr>
              <w:pStyle w:val="16"/>
              <w:bidi w:val="0"/>
              <w:rPr>
                <w:color w:val="auto"/>
              </w:rPr>
            </w:pPr>
            <w:r>
              <w:rPr>
                <w:rFonts w:hint="eastAsia"/>
                <w:color w:val="auto"/>
                <w:lang w:val="en-US" w:eastAsia="zh-CN"/>
              </w:rPr>
              <w:t>△6</w:t>
            </w:r>
            <w:r>
              <w:rPr>
                <w:rFonts w:hint="default"/>
                <w:color w:val="auto"/>
                <w:lang w:val="en-US" w:eastAsia="zh-CN"/>
              </w:rPr>
              <w:t>#</w:t>
            </w:r>
          </w:p>
        </w:tc>
        <w:tc>
          <w:tcPr>
            <w:tcW w:w="2050" w:type="pct"/>
            <w:tcBorders>
              <w:tl2br w:val="nil"/>
              <w:tr2bl w:val="nil"/>
            </w:tcBorders>
            <w:noWrap w:val="0"/>
            <w:vAlign w:val="center"/>
          </w:tcPr>
          <w:p w14:paraId="1B67F276">
            <w:pPr>
              <w:pStyle w:val="16"/>
              <w:bidi w:val="0"/>
              <w:rPr>
                <w:rFonts w:hint="default"/>
                <w:color w:val="auto"/>
                <w:lang w:val="en-US" w:eastAsia="zh-CN"/>
              </w:rPr>
            </w:pPr>
            <w:r>
              <w:rPr>
                <w:rFonts w:hint="eastAsia"/>
                <w:color w:val="auto"/>
                <w:lang w:val="en-US" w:eastAsia="zh-CN"/>
              </w:rPr>
              <w:t>东北侧居民点处1</w:t>
            </w:r>
          </w:p>
        </w:tc>
        <w:tc>
          <w:tcPr>
            <w:tcW w:w="680" w:type="pct"/>
            <w:vMerge w:val="continue"/>
            <w:tcBorders>
              <w:tl2br w:val="nil"/>
              <w:tr2bl w:val="nil"/>
            </w:tcBorders>
            <w:noWrap w:val="0"/>
            <w:vAlign w:val="center"/>
          </w:tcPr>
          <w:p w14:paraId="78A838FE">
            <w:pPr>
              <w:pStyle w:val="16"/>
              <w:bidi w:val="0"/>
              <w:rPr>
                <w:rFonts w:hint="default"/>
                <w:color w:val="auto"/>
              </w:rPr>
            </w:pPr>
          </w:p>
        </w:tc>
        <w:tc>
          <w:tcPr>
            <w:tcW w:w="842" w:type="pct"/>
            <w:vMerge w:val="continue"/>
            <w:tcBorders>
              <w:tl2br w:val="nil"/>
              <w:tr2bl w:val="nil"/>
            </w:tcBorders>
            <w:noWrap w:val="0"/>
            <w:vAlign w:val="center"/>
          </w:tcPr>
          <w:p w14:paraId="4C4B02D9">
            <w:pPr>
              <w:pStyle w:val="16"/>
              <w:bidi w:val="0"/>
              <w:rPr>
                <w:rFonts w:hint="default"/>
                <w:color w:val="auto"/>
              </w:rPr>
            </w:pPr>
          </w:p>
        </w:tc>
        <w:tc>
          <w:tcPr>
            <w:tcW w:w="778" w:type="pct"/>
            <w:vMerge w:val="continue"/>
            <w:tcBorders>
              <w:tl2br w:val="nil"/>
              <w:tr2bl w:val="nil"/>
            </w:tcBorders>
            <w:noWrap w:val="0"/>
            <w:vAlign w:val="center"/>
          </w:tcPr>
          <w:p w14:paraId="2DECF6DE">
            <w:pPr>
              <w:pStyle w:val="16"/>
              <w:bidi w:val="0"/>
              <w:rPr>
                <w:rFonts w:hint="default"/>
                <w:color w:val="auto"/>
                <w:lang w:val="en-US" w:eastAsia="zh-CN"/>
              </w:rPr>
            </w:pPr>
          </w:p>
        </w:tc>
      </w:tr>
      <w:tr w14:paraId="7D240841">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97" w:hRule="atLeast"/>
          <w:jc w:val="center"/>
        </w:trPr>
        <w:tc>
          <w:tcPr>
            <w:tcW w:w="647" w:type="pct"/>
            <w:tcBorders>
              <w:tl2br w:val="nil"/>
              <w:tr2bl w:val="nil"/>
            </w:tcBorders>
            <w:shd w:val="clear" w:color="auto" w:fill="auto"/>
            <w:noWrap w:val="0"/>
            <w:vAlign w:val="center"/>
          </w:tcPr>
          <w:p w14:paraId="6EB1BF31">
            <w:pPr>
              <w:pStyle w:val="16"/>
              <w:bidi w:val="0"/>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△7</w:t>
            </w:r>
            <w:r>
              <w:rPr>
                <w:rFonts w:hint="default"/>
                <w:color w:val="auto"/>
                <w:lang w:val="en-US" w:eastAsia="zh-CN"/>
              </w:rPr>
              <w:t>#</w:t>
            </w:r>
          </w:p>
        </w:tc>
        <w:tc>
          <w:tcPr>
            <w:tcW w:w="2050" w:type="pct"/>
            <w:tcBorders>
              <w:tl2br w:val="nil"/>
              <w:tr2bl w:val="nil"/>
            </w:tcBorders>
            <w:shd w:val="clear" w:color="auto" w:fill="auto"/>
            <w:noWrap w:val="0"/>
            <w:vAlign w:val="center"/>
          </w:tcPr>
          <w:p w14:paraId="60AAB833">
            <w:pPr>
              <w:pStyle w:val="16"/>
              <w:bidi w:val="0"/>
              <w:ind w:left="0" w:leftChars="0"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东北侧居民点处2</w:t>
            </w:r>
          </w:p>
        </w:tc>
        <w:tc>
          <w:tcPr>
            <w:tcW w:w="680" w:type="pct"/>
            <w:vMerge w:val="continue"/>
            <w:tcBorders>
              <w:tl2br w:val="nil"/>
              <w:tr2bl w:val="nil"/>
            </w:tcBorders>
            <w:noWrap w:val="0"/>
            <w:vAlign w:val="center"/>
          </w:tcPr>
          <w:p w14:paraId="25A12325">
            <w:pPr>
              <w:pStyle w:val="16"/>
              <w:bidi w:val="0"/>
              <w:rPr>
                <w:rFonts w:hint="default"/>
                <w:color w:val="auto"/>
              </w:rPr>
            </w:pPr>
          </w:p>
        </w:tc>
        <w:tc>
          <w:tcPr>
            <w:tcW w:w="842" w:type="pct"/>
            <w:vMerge w:val="continue"/>
            <w:tcBorders>
              <w:tl2br w:val="nil"/>
              <w:tr2bl w:val="nil"/>
            </w:tcBorders>
            <w:noWrap w:val="0"/>
            <w:vAlign w:val="center"/>
          </w:tcPr>
          <w:p w14:paraId="4B30C4DB">
            <w:pPr>
              <w:pStyle w:val="16"/>
              <w:bidi w:val="0"/>
              <w:rPr>
                <w:rFonts w:hint="default"/>
                <w:color w:val="auto"/>
              </w:rPr>
            </w:pPr>
          </w:p>
        </w:tc>
        <w:tc>
          <w:tcPr>
            <w:tcW w:w="778" w:type="pct"/>
            <w:vMerge w:val="continue"/>
            <w:tcBorders>
              <w:tl2br w:val="nil"/>
              <w:tr2bl w:val="nil"/>
            </w:tcBorders>
            <w:noWrap w:val="0"/>
            <w:vAlign w:val="center"/>
          </w:tcPr>
          <w:p w14:paraId="27737967">
            <w:pPr>
              <w:pStyle w:val="16"/>
              <w:bidi w:val="0"/>
              <w:rPr>
                <w:rFonts w:hint="default"/>
                <w:color w:val="auto"/>
                <w:lang w:val="en-US" w:eastAsia="zh-CN"/>
              </w:rPr>
            </w:pPr>
          </w:p>
        </w:tc>
      </w:tr>
      <w:tr w14:paraId="159D7AAA">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97" w:hRule="atLeast"/>
          <w:jc w:val="center"/>
        </w:trPr>
        <w:tc>
          <w:tcPr>
            <w:tcW w:w="647" w:type="pct"/>
            <w:tcBorders>
              <w:tl2br w:val="nil"/>
              <w:tr2bl w:val="nil"/>
            </w:tcBorders>
            <w:noWrap w:val="0"/>
            <w:vAlign w:val="center"/>
          </w:tcPr>
          <w:p w14:paraId="508012D9">
            <w:pPr>
              <w:pStyle w:val="16"/>
              <w:bidi w:val="0"/>
              <w:rPr>
                <w:rFonts w:hint="eastAsia"/>
                <w:color w:val="auto"/>
                <w:lang w:val="en-US" w:eastAsia="zh-CN"/>
              </w:rPr>
            </w:pPr>
            <w:r>
              <w:rPr>
                <w:rFonts w:hint="eastAsia"/>
                <w:color w:val="auto"/>
                <w:lang w:val="en-US" w:eastAsia="zh-CN"/>
              </w:rPr>
              <w:t>△8</w:t>
            </w:r>
            <w:r>
              <w:rPr>
                <w:rFonts w:hint="default"/>
                <w:color w:val="auto"/>
                <w:lang w:val="en-US" w:eastAsia="zh-CN"/>
              </w:rPr>
              <w:t>#</w:t>
            </w:r>
          </w:p>
        </w:tc>
        <w:tc>
          <w:tcPr>
            <w:tcW w:w="2050" w:type="pct"/>
            <w:tcBorders>
              <w:tl2br w:val="nil"/>
              <w:tr2bl w:val="nil"/>
            </w:tcBorders>
            <w:noWrap w:val="0"/>
            <w:vAlign w:val="center"/>
          </w:tcPr>
          <w:p w14:paraId="6190EFF0">
            <w:pPr>
              <w:pStyle w:val="16"/>
              <w:bidi w:val="0"/>
              <w:rPr>
                <w:rFonts w:hint="eastAsia"/>
                <w:color w:val="auto"/>
                <w:lang w:val="en-US" w:eastAsia="zh-CN"/>
              </w:rPr>
            </w:pPr>
            <w:r>
              <w:rPr>
                <w:rFonts w:hint="eastAsia"/>
                <w:color w:val="auto"/>
                <w:lang w:val="en-US" w:eastAsia="zh-CN"/>
              </w:rPr>
              <w:t>东北侧居民点处3</w:t>
            </w:r>
          </w:p>
        </w:tc>
        <w:tc>
          <w:tcPr>
            <w:tcW w:w="680" w:type="pct"/>
            <w:vMerge w:val="continue"/>
            <w:tcBorders>
              <w:tl2br w:val="nil"/>
              <w:tr2bl w:val="nil"/>
            </w:tcBorders>
            <w:noWrap w:val="0"/>
            <w:vAlign w:val="center"/>
          </w:tcPr>
          <w:p w14:paraId="540FF617">
            <w:pPr>
              <w:pStyle w:val="16"/>
              <w:bidi w:val="0"/>
              <w:rPr>
                <w:rFonts w:hint="default"/>
                <w:color w:val="auto"/>
              </w:rPr>
            </w:pPr>
          </w:p>
        </w:tc>
        <w:tc>
          <w:tcPr>
            <w:tcW w:w="842" w:type="pct"/>
            <w:vMerge w:val="continue"/>
            <w:tcBorders>
              <w:tl2br w:val="nil"/>
              <w:tr2bl w:val="nil"/>
            </w:tcBorders>
            <w:noWrap w:val="0"/>
            <w:vAlign w:val="center"/>
          </w:tcPr>
          <w:p w14:paraId="4249BE4F">
            <w:pPr>
              <w:pStyle w:val="16"/>
              <w:bidi w:val="0"/>
              <w:rPr>
                <w:rFonts w:hint="default"/>
                <w:color w:val="auto"/>
              </w:rPr>
            </w:pPr>
          </w:p>
        </w:tc>
        <w:tc>
          <w:tcPr>
            <w:tcW w:w="778" w:type="pct"/>
            <w:vMerge w:val="continue"/>
            <w:tcBorders>
              <w:tl2br w:val="nil"/>
              <w:tr2bl w:val="nil"/>
            </w:tcBorders>
            <w:noWrap w:val="0"/>
            <w:vAlign w:val="center"/>
          </w:tcPr>
          <w:p w14:paraId="05555AF3">
            <w:pPr>
              <w:pStyle w:val="16"/>
              <w:bidi w:val="0"/>
              <w:rPr>
                <w:rFonts w:hint="default"/>
                <w:color w:val="auto"/>
                <w:lang w:val="en-US" w:eastAsia="zh-CN"/>
              </w:rPr>
            </w:pPr>
          </w:p>
        </w:tc>
      </w:tr>
      <w:tr w14:paraId="2E161764">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97" w:hRule="atLeast"/>
          <w:jc w:val="center"/>
        </w:trPr>
        <w:tc>
          <w:tcPr>
            <w:tcW w:w="647" w:type="pct"/>
            <w:tcBorders>
              <w:tl2br w:val="nil"/>
              <w:tr2bl w:val="nil"/>
            </w:tcBorders>
            <w:noWrap w:val="0"/>
            <w:vAlign w:val="center"/>
          </w:tcPr>
          <w:p w14:paraId="1678EF6F">
            <w:pPr>
              <w:pStyle w:val="16"/>
              <w:bidi w:val="0"/>
              <w:rPr>
                <w:rFonts w:hint="eastAsia"/>
                <w:color w:val="auto"/>
                <w:lang w:val="en-US" w:eastAsia="zh-CN"/>
              </w:rPr>
            </w:pPr>
            <w:r>
              <w:rPr>
                <w:rFonts w:hint="eastAsia"/>
                <w:color w:val="auto"/>
                <w:lang w:val="en-US" w:eastAsia="zh-CN"/>
              </w:rPr>
              <w:t>△9</w:t>
            </w:r>
            <w:r>
              <w:rPr>
                <w:rFonts w:hint="default"/>
                <w:color w:val="auto"/>
                <w:lang w:val="en-US" w:eastAsia="zh-CN"/>
              </w:rPr>
              <w:t>#</w:t>
            </w:r>
          </w:p>
        </w:tc>
        <w:tc>
          <w:tcPr>
            <w:tcW w:w="2050" w:type="pct"/>
            <w:tcBorders>
              <w:tl2br w:val="nil"/>
              <w:tr2bl w:val="nil"/>
            </w:tcBorders>
            <w:noWrap w:val="0"/>
            <w:vAlign w:val="center"/>
          </w:tcPr>
          <w:p w14:paraId="5317B110">
            <w:pPr>
              <w:pStyle w:val="16"/>
              <w:bidi w:val="0"/>
              <w:rPr>
                <w:rFonts w:hint="eastAsia"/>
                <w:color w:val="auto"/>
                <w:lang w:val="en-US" w:eastAsia="zh-CN"/>
              </w:rPr>
            </w:pPr>
            <w:r>
              <w:rPr>
                <w:rFonts w:hint="eastAsia"/>
                <w:color w:val="auto"/>
                <w:lang w:val="en-US" w:eastAsia="zh-CN"/>
              </w:rPr>
              <w:t>北侧居民点处4</w:t>
            </w:r>
          </w:p>
        </w:tc>
        <w:tc>
          <w:tcPr>
            <w:tcW w:w="680" w:type="pct"/>
            <w:vMerge w:val="continue"/>
            <w:tcBorders>
              <w:tl2br w:val="nil"/>
              <w:tr2bl w:val="nil"/>
            </w:tcBorders>
            <w:noWrap w:val="0"/>
            <w:vAlign w:val="center"/>
          </w:tcPr>
          <w:p w14:paraId="64C81BB3">
            <w:pPr>
              <w:pStyle w:val="16"/>
              <w:bidi w:val="0"/>
              <w:rPr>
                <w:rFonts w:hint="default"/>
                <w:color w:val="auto"/>
              </w:rPr>
            </w:pPr>
          </w:p>
        </w:tc>
        <w:tc>
          <w:tcPr>
            <w:tcW w:w="842" w:type="pct"/>
            <w:vMerge w:val="continue"/>
            <w:tcBorders>
              <w:tl2br w:val="nil"/>
              <w:tr2bl w:val="nil"/>
            </w:tcBorders>
            <w:noWrap w:val="0"/>
            <w:vAlign w:val="center"/>
          </w:tcPr>
          <w:p w14:paraId="5D1528BF">
            <w:pPr>
              <w:pStyle w:val="16"/>
              <w:bidi w:val="0"/>
              <w:rPr>
                <w:rFonts w:hint="default"/>
                <w:color w:val="auto"/>
              </w:rPr>
            </w:pPr>
          </w:p>
        </w:tc>
        <w:tc>
          <w:tcPr>
            <w:tcW w:w="778" w:type="pct"/>
            <w:vMerge w:val="continue"/>
            <w:tcBorders>
              <w:tl2br w:val="nil"/>
              <w:tr2bl w:val="nil"/>
            </w:tcBorders>
            <w:noWrap w:val="0"/>
            <w:vAlign w:val="center"/>
          </w:tcPr>
          <w:p w14:paraId="27F076C5">
            <w:pPr>
              <w:pStyle w:val="16"/>
              <w:bidi w:val="0"/>
              <w:rPr>
                <w:rFonts w:hint="default"/>
                <w:color w:val="auto"/>
                <w:lang w:val="en-US" w:eastAsia="zh-CN"/>
              </w:rPr>
            </w:pPr>
          </w:p>
        </w:tc>
      </w:tr>
      <w:tr w14:paraId="287D39A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97" w:hRule="atLeast"/>
          <w:jc w:val="center"/>
        </w:trPr>
        <w:tc>
          <w:tcPr>
            <w:tcW w:w="647" w:type="pct"/>
            <w:tcBorders>
              <w:tl2br w:val="nil"/>
              <w:tr2bl w:val="nil"/>
            </w:tcBorders>
            <w:noWrap w:val="0"/>
            <w:vAlign w:val="center"/>
          </w:tcPr>
          <w:p w14:paraId="4A46C4D3">
            <w:pPr>
              <w:pStyle w:val="16"/>
              <w:bidi w:val="0"/>
              <w:rPr>
                <w:rFonts w:hint="eastAsia"/>
                <w:color w:val="auto"/>
                <w:lang w:val="en-US" w:eastAsia="zh-CN"/>
              </w:rPr>
            </w:pPr>
            <w:r>
              <w:rPr>
                <w:rFonts w:hint="eastAsia"/>
                <w:color w:val="auto"/>
                <w:lang w:val="en-US" w:eastAsia="zh-CN"/>
              </w:rPr>
              <w:t>△10</w:t>
            </w:r>
            <w:r>
              <w:rPr>
                <w:rFonts w:hint="default"/>
                <w:color w:val="auto"/>
                <w:lang w:val="en-US" w:eastAsia="zh-CN"/>
              </w:rPr>
              <w:t>#</w:t>
            </w:r>
          </w:p>
        </w:tc>
        <w:tc>
          <w:tcPr>
            <w:tcW w:w="2050" w:type="pct"/>
            <w:tcBorders>
              <w:tl2br w:val="nil"/>
              <w:tr2bl w:val="nil"/>
            </w:tcBorders>
            <w:noWrap w:val="0"/>
            <w:vAlign w:val="center"/>
          </w:tcPr>
          <w:p w14:paraId="503E2C11">
            <w:pPr>
              <w:pStyle w:val="16"/>
              <w:bidi w:val="0"/>
              <w:rPr>
                <w:rFonts w:hint="eastAsia"/>
                <w:color w:val="auto"/>
                <w:lang w:val="en-US" w:eastAsia="zh-CN"/>
              </w:rPr>
            </w:pPr>
            <w:r>
              <w:rPr>
                <w:rFonts w:hint="eastAsia"/>
                <w:color w:val="auto"/>
                <w:lang w:val="en-US" w:eastAsia="zh-CN"/>
              </w:rPr>
              <w:t>东侧居民点外（距厂界约50m处）</w:t>
            </w:r>
          </w:p>
        </w:tc>
        <w:tc>
          <w:tcPr>
            <w:tcW w:w="680" w:type="pct"/>
            <w:vMerge w:val="continue"/>
            <w:tcBorders>
              <w:tl2br w:val="nil"/>
              <w:tr2bl w:val="nil"/>
            </w:tcBorders>
            <w:noWrap w:val="0"/>
            <w:vAlign w:val="center"/>
          </w:tcPr>
          <w:p w14:paraId="6B25E12B">
            <w:pPr>
              <w:pStyle w:val="16"/>
              <w:bidi w:val="0"/>
              <w:rPr>
                <w:rFonts w:hint="default"/>
                <w:color w:val="auto"/>
              </w:rPr>
            </w:pPr>
          </w:p>
        </w:tc>
        <w:tc>
          <w:tcPr>
            <w:tcW w:w="842" w:type="pct"/>
            <w:vMerge w:val="continue"/>
            <w:tcBorders>
              <w:tl2br w:val="nil"/>
              <w:tr2bl w:val="nil"/>
            </w:tcBorders>
            <w:noWrap w:val="0"/>
            <w:vAlign w:val="center"/>
          </w:tcPr>
          <w:p w14:paraId="0EEEE520">
            <w:pPr>
              <w:pStyle w:val="16"/>
              <w:bidi w:val="0"/>
              <w:rPr>
                <w:rFonts w:hint="default"/>
                <w:color w:val="auto"/>
              </w:rPr>
            </w:pPr>
          </w:p>
        </w:tc>
        <w:tc>
          <w:tcPr>
            <w:tcW w:w="778" w:type="pct"/>
            <w:vMerge w:val="continue"/>
            <w:tcBorders>
              <w:tl2br w:val="nil"/>
              <w:tr2bl w:val="nil"/>
            </w:tcBorders>
            <w:noWrap w:val="0"/>
            <w:vAlign w:val="center"/>
          </w:tcPr>
          <w:p w14:paraId="3ADD499C">
            <w:pPr>
              <w:pStyle w:val="16"/>
              <w:bidi w:val="0"/>
              <w:rPr>
                <w:rFonts w:hint="default"/>
                <w:color w:val="auto"/>
                <w:lang w:val="en-US" w:eastAsia="zh-CN"/>
              </w:rPr>
            </w:pPr>
          </w:p>
        </w:tc>
      </w:tr>
      <w:tr w14:paraId="13924D6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97" w:hRule="atLeast"/>
          <w:jc w:val="center"/>
        </w:trPr>
        <w:tc>
          <w:tcPr>
            <w:tcW w:w="647" w:type="pct"/>
            <w:tcBorders>
              <w:tl2br w:val="nil"/>
              <w:tr2bl w:val="nil"/>
            </w:tcBorders>
            <w:noWrap w:val="0"/>
            <w:vAlign w:val="center"/>
          </w:tcPr>
          <w:p w14:paraId="08062CAF">
            <w:pPr>
              <w:pStyle w:val="16"/>
              <w:bidi w:val="0"/>
              <w:rPr>
                <w:rFonts w:hint="eastAsia"/>
                <w:color w:val="auto"/>
                <w:lang w:val="en-US" w:eastAsia="zh-CN"/>
              </w:rPr>
            </w:pPr>
            <w:r>
              <w:rPr>
                <w:rFonts w:hint="eastAsia"/>
                <w:color w:val="auto"/>
                <w:lang w:val="en-US" w:eastAsia="zh-CN"/>
              </w:rPr>
              <w:t>△11</w:t>
            </w:r>
            <w:r>
              <w:rPr>
                <w:rFonts w:hint="default"/>
                <w:color w:val="auto"/>
                <w:lang w:val="en-US" w:eastAsia="zh-CN"/>
              </w:rPr>
              <w:t>#</w:t>
            </w:r>
          </w:p>
        </w:tc>
        <w:tc>
          <w:tcPr>
            <w:tcW w:w="2050" w:type="pct"/>
            <w:tcBorders>
              <w:tl2br w:val="nil"/>
              <w:tr2bl w:val="nil"/>
            </w:tcBorders>
            <w:noWrap w:val="0"/>
            <w:vAlign w:val="center"/>
          </w:tcPr>
          <w:p w14:paraId="7FC8AF6B">
            <w:pPr>
              <w:pStyle w:val="16"/>
              <w:bidi w:val="0"/>
              <w:rPr>
                <w:rFonts w:hint="default"/>
                <w:color w:val="auto"/>
                <w:lang w:val="en-US" w:eastAsia="zh-CN"/>
              </w:rPr>
            </w:pPr>
            <w:r>
              <w:rPr>
                <w:rFonts w:hint="eastAsia"/>
                <w:color w:val="auto"/>
                <w:lang w:val="en-US" w:eastAsia="zh-CN"/>
              </w:rPr>
              <w:t>东北侧居民点外（距厂界约150m处）</w:t>
            </w:r>
          </w:p>
        </w:tc>
        <w:tc>
          <w:tcPr>
            <w:tcW w:w="680" w:type="pct"/>
            <w:vMerge w:val="continue"/>
            <w:tcBorders>
              <w:tl2br w:val="nil"/>
              <w:tr2bl w:val="nil"/>
            </w:tcBorders>
            <w:noWrap w:val="0"/>
            <w:vAlign w:val="center"/>
          </w:tcPr>
          <w:p w14:paraId="3F760915">
            <w:pPr>
              <w:pStyle w:val="16"/>
              <w:bidi w:val="0"/>
              <w:rPr>
                <w:rFonts w:hint="default"/>
                <w:color w:val="auto"/>
              </w:rPr>
            </w:pPr>
          </w:p>
        </w:tc>
        <w:tc>
          <w:tcPr>
            <w:tcW w:w="842" w:type="pct"/>
            <w:vMerge w:val="continue"/>
            <w:tcBorders>
              <w:tl2br w:val="nil"/>
              <w:tr2bl w:val="nil"/>
            </w:tcBorders>
            <w:noWrap w:val="0"/>
            <w:vAlign w:val="center"/>
          </w:tcPr>
          <w:p w14:paraId="0F3B5D27">
            <w:pPr>
              <w:pStyle w:val="16"/>
              <w:bidi w:val="0"/>
              <w:rPr>
                <w:rFonts w:hint="default"/>
                <w:color w:val="auto"/>
              </w:rPr>
            </w:pPr>
          </w:p>
        </w:tc>
        <w:tc>
          <w:tcPr>
            <w:tcW w:w="778" w:type="pct"/>
            <w:vMerge w:val="continue"/>
            <w:tcBorders>
              <w:tl2br w:val="nil"/>
              <w:tr2bl w:val="nil"/>
            </w:tcBorders>
            <w:noWrap w:val="0"/>
            <w:vAlign w:val="center"/>
          </w:tcPr>
          <w:p w14:paraId="77478EA6">
            <w:pPr>
              <w:pStyle w:val="16"/>
              <w:bidi w:val="0"/>
              <w:rPr>
                <w:rFonts w:hint="default"/>
                <w:color w:val="auto"/>
                <w:lang w:val="en-US" w:eastAsia="zh-CN"/>
              </w:rPr>
            </w:pPr>
          </w:p>
        </w:tc>
      </w:tr>
    </w:tbl>
    <w:p w14:paraId="5D2C7380">
      <w:pPr>
        <w:bidi w:val="0"/>
        <w:rPr>
          <w:rFonts w:hint="default" w:eastAsia="宋体"/>
          <w:color w:val="auto"/>
          <w:lang w:val="en-US" w:eastAsia="zh-CN"/>
        </w:rPr>
      </w:pPr>
      <w:r>
        <w:rPr>
          <w:color w:val="auto"/>
        </w:rPr>
        <w:t>（2）监测项目</w:t>
      </w:r>
      <w:r>
        <w:rPr>
          <w:rFonts w:hint="eastAsia"/>
          <w:color w:val="auto"/>
          <w:lang w:val="en-US" w:eastAsia="zh-CN"/>
        </w:rPr>
        <w:t>和监测方法</w:t>
      </w:r>
    </w:p>
    <w:p w14:paraId="1B6E12FD">
      <w:pPr>
        <w:bidi w:val="0"/>
        <w:rPr>
          <w:color w:val="auto"/>
        </w:rPr>
      </w:pPr>
      <w:r>
        <w:rPr>
          <w:color w:val="auto"/>
        </w:rPr>
        <w:t>各测点昼间及夜间的等效连续A声级。</w:t>
      </w:r>
    </w:p>
    <w:p w14:paraId="5EFD0DC1">
      <w:pPr>
        <w:pStyle w:val="19"/>
        <w:keepNext w:val="0"/>
        <w:keepLines w:val="0"/>
        <w:pageBreakBefore w:val="0"/>
        <w:widowControl w:val="0"/>
        <w:numPr>
          <w:ilvl w:val="0"/>
          <w:numId w:val="28"/>
        </w:numPr>
        <w:kinsoku/>
        <w:wordWrap/>
        <w:overflowPunct/>
        <w:topLinePunct w:val="0"/>
        <w:autoSpaceDE/>
        <w:autoSpaceDN/>
        <w:bidi w:val="0"/>
        <w:adjustRightInd/>
        <w:snapToGrid/>
        <w:spacing w:before="0"/>
        <w:textAlignment w:val="auto"/>
        <w:rPr>
          <w:color w:val="auto"/>
        </w:rPr>
      </w:pPr>
      <w:r>
        <w:rPr>
          <w:rFonts w:hint="eastAsia"/>
          <w:color w:val="auto"/>
        </w:rPr>
        <w:t>噪声检测方法及方法来源</w:t>
      </w:r>
    </w:p>
    <w:tbl>
      <w:tblPr>
        <w:tblStyle w:val="5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28" w:type="dxa"/>
          <w:bottom w:w="0" w:type="dxa"/>
          <w:right w:w="28" w:type="dxa"/>
        </w:tblCellMar>
      </w:tblPr>
      <w:tblGrid>
        <w:gridCol w:w="1267"/>
        <w:gridCol w:w="2037"/>
        <w:gridCol w:w="1506"/>
        <w:gridCol w:w="2607"/>
        <w:gridCol w:w="1141"/>
      </w:tblGrid>
      <w:tr w14:paraId="2484C33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tblHeader/>
          <w:jc w:val="center"/>
        </w:trPr>
        <w:tc>
          <w:tcPr>
            <w:tcW w:w="740" w:type="pct"/>
            <w:tcBorders>
              <w:tl2br w:val="nil"/>
              <w:tr2bl w:val="nil"/>
            </w:tcBorders>
            <w:noWrap w:val="0"/>
            <w:vAlign w:val="center"/>
          </w:tcPr>
          <w:p w14:paraId="6CB10FC0">
            <w:pPr>
              <w:pStyle w:val="16"/>
              <w:bidi w:val="0"/>
              <w:rPr>
                <w:rFonts w:hint="eastAsia"/>
                <w:b/>
                <w:bCs/>
                <w:color w:val="auto"/>
                <w:lang w:val="en-US" w:eastAsia="zh-CN"/>
              </w:rPr>
            </w:pPr>
            <w:r>
              <w:rPr>
                <w:b/>
                <w:bCs/>
                <w:color w:val="auto"/>
              </w:rPr>
              <w:t>检测</w:t>
            </w:r>
            <w:r>
              <w:rPr>
                <w:rFonts w:hint="eastAsia"/>
                <w:b/>
                <w:bCs/>
                <w:color w:val="auto"/>
                <w:lang w:val="en-US" w:eastAsia="zh-CN"/>
              </w:rPr>
              <w:t>项目</w:t>
            </w:r>
          </w:p>
        </w:tc>
        <w:tc>
          <w:tcPr>
            <w:tcW w:w="1189" w:type="pct"/>
            <w:tcBorders>
              <w:tl2br w:val="nil"/>
              <w:tr2bl w:val="nil"/>
            </w:tcBorders>
            <w:noWrap w:val="0"/>
            <w:vAlign w:val="center"/>
          </w:tcPr>
          <w:p w14:paraId="7AEA2CD8">
            <w:pPr>
              <w:pStyle w:val="16"/>
              <w:bidi w:val="0"/>
              <w:rPr>
                <w:b/>
                <w:bCs/>
                <w:color w:val="auto"/>
              </w:rPr>
            </w:pPr>
            <w:r>
              <w:rPr>
                <w:b/>
                <w:bCs/>
                <w:color w:val="auto"/>
              </w:rPr>
              <w:t>检测方法</w:t>
            </w:r>
          </w:p>
        </w:tc>
        <w:tc>
          <w:tcPr>
            <w:tcW w:w="879" w:type="pct"/>
            <w:tcBorders>
              <w:tl2br w:val="nil"/>
              <w:tr2bl w:val="nil"/>
            </w:tcBorders>
            <w:noWrap w:val="0"/>
            <w:vAlign w:val="center"/>
          </w:tcPr>
          <w:p w14:paraId="14911AEC">
            <w:pPr>
              <w:pStyle w:val="16"/>
              <w:bidi w:val="0"/>
              <w:rPr>
                <w:b/>
                <w:bCs/>
                <w:color w:val="auto"/>
              </w:rPr>
            </w:pPr>
            <w:r>
              <w:rPr>
                <w:b/>
                <w:bCs/>
                <w:color w:val="auto"/>
              </w:rPr>
              <w:t>方法来源</w:t>
            </w:r>
          </w:p>
        </w:tc>
        <w:tc>
          <w:tcPr>
            <w:tcW w:w="1522" w:type="pct"/>
            <w:tcBorders>
              <w:tl2br w:val="nil"/>
              <w:tr2bl w:val="nil"/>
            </w:tcBorders>
            <w:noWrap w:val="0"/>
            <w:vAlign w:val="center"/>
          </w:tcPr>
          <w:p w14:paraId="115D9C4B">
            <w:pPr>
              <w:pStyle w:val="16"/>
              <w:bidi w:val="0"/>
              <w:rPr>
                <w:b/>
                <w:bCs/>
                <w:color w:val="auto"/>
              </w:rPr>
            </w:pPr>
            <w:r>
              <w:rPr>
                <w:b/>
                <w:bCs/>
                <w:color w:val="auto"/>
              </w:rPr>
              <w:t>使用仪器及编号</w:t>
            </w:r>
          </w:p>
        </w:tc>
        <w:tc>
          <w:tcPr>
            <w:tcW w:w="666" w:type="pct"/>
            <w:tcBorders>
              <w:tl2br w:val="nil"/>
              <w:tr2bl w:val="nil"/>
            </w:tcBorders>
            <w:noWrap w:val="0"/>
            <w:vAlign w:val="center"/>
          </w:tcPr>
          <w:p w14:paraId="3E71718C">
            <w:pPr>
              <w:pStyle w:val="16"/>
              <w:bidi w:val="0"/>
              <w:rPr>
                <w:b/>
                <w:bCs/>
                <w:color w:val="auto"/>
              </w:rPr>
            </w:pPr>
            <w:r>
              <w:rPr>
                <w:b/>
                <w:bCs/>
                <w:color w:val="auto"/>
              </w:rPr>
              <w:t>检出限</w:t>
            </w:r>
          </w:p>
        </w:tc>
      </w:tr>
      <w:tr w14:paraId="58BB6E37">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740" w:type="pct"/>
            <w:tcBorders>
              <w:tl2br w:val="nil"/>
              <w:tr2bl w:val="nil"/>
            </w:tcBorders>
            <w:noWrap w:val="0"/>
            <w:vAlign w:val="center"/>
          </w:tcPr>
          <w:p w14:paraId="56091496">
            <w:pPr>
              <w:pStyle w:val="16"/>
              <w:bidi w:val="0"/>
              <w:rPr>
                <w:rFonts w:hint="default"/>
                <w:color w:val="auto"/>
                <w:lang w:val="en-US" w:eastAsia="zh-CN"/>
              </w:rPr>
            </w:pPr>
            <w:r>
              <w:rPr>
                <w:rFonts w:hint="eastAsia"/>
                <w:color w:val="auto"/>
                <w:lang w:val="en-US" w:eastAsia="zh-CN"/>
              </w:rPr>
              <w:t>Leq</w:t>
            </w:r>
          </w:p>
        </w:tc>
        <w:tc>
          <w:tcPr>
            <w:tcW w:w="1189" w:type="pct"/>
            <w:tcBorders>
              <w:tl2br w:val="nil"/>
              <w:tr2bl w:val="nil"/>
            </w:tcBorders>
            <w:noWrap w:val="0"/>
            <w:vAlign w:val="center"/>
          </w:tcPr>
          <w:p w14:paraId="4D433384">
            <w:pPr>
              <w:pStyle w:val="16"/>
              <w:bidi w:val="0"/>
              <w:rPr>
                <w:rFonts w:hint="default"/>
                <w:color w:val="auto"/>
                <w:lang w:val="en-US" w:eastAsia="zh-CN"/>
              </w:rPr>
            </w:pPr>
            <w:r>
              <w:rPr>
                <w:rFonts w:hint="eastAsia"/>
                <w:color w:val="auto"/>
              </w:rPr>
              <w:t>声环境质量标准</w:t>
            </w:r>
          </w:p>
        </w:tc>
        <w:tc>
          <w:tcPr>
            <w:tcW w:w="879" w:type="pct"/>
            <w:tcBorders>
              <w:tl2br w:val="nil"/>
              <w:tr2bl w:val="nil"/>
            </w:tcBorders>
            <w:noWrap w:val="0"/>
            <w:vAlign w:val="center"/>
          </w:tcPr>
          <w:p w14:paraId="6415C6CB">
            <w:pPr>
              <w:pStyle w:val="16"/>
              <w:bidi w:val="0"/>
              <w:rPr>
                <w:rFonts w:hint="default"/>
                <w:color w:val="auto"/>
                <w:lang w:val="en-US" w:eastAsia="zh-CN"/>
              </w:rPr>
            </w:pPr>
            <w:r>
              <w:rPr>
                <w:rFonts w:hint="eastAsia"/>
                <w:color w:val="auto"/>
              </w:rPr>
              <w:t>GB 3096-2008</w:t>
            </w:r>
          </w:p>
        </w:tc>
        <w:tc>
          <w:tcPr>
            <w:tcW w:w="1522" w:type="pct"/>
            <w:tcBorders>
              <w:tl2br w:val="nil"/>
              <w:tr2bl w:val="nil"/>
            </w:tcBorders>
            <w:noWrap w:val="0"/>
            <w:vAlign w:val="center"/>
          </w:tcPr>
          <w:p w14:paraId="5C7632A4">
            <w:pPr>
              <w:pStyle w:val="16"/>
              <w:bidi w:val="0"/>
              <w:rPr>
                <w:rFonts w:hint="eastAsia"/>
                <w:color w:val="auto"/>
                <w:lang w:eastAsia="zh-CN"/>
              </w:rPr>
            </w:pPr>
            <w:r>
              <w:rPr>
                <w:rFonts w:hint="eastAsia"/>
                <w:color w:val="auto"/>
                <w:lang w:eastAsia="zh-CN"/>
              </w:rPr>
              <w:t>AWA5688多功能声级计（HDH/YQ-110</w:t>
            </w:r>
            <w:r>
              <w:rPr>
                <w:rFonts w:hint="eastAsia"/>
                <w:color w:val="auto"/>
                <w:lang w:val="en-US" w:eastAsia="zh-CN"/>
              </w:rPr>
              <w:t>-01</w:t>
            </w:r>
            <w:r>
              <w:rPr>
                <w:rFonts w:hint="eastAsia"/>
                <w:color w:val="auto"/>
                <w:lang w:eastAsia="zh-CN"/>
              </w:rPr>
              <w:t>）</w:t>
            </w:r>
          </w:p>
          <w:p w14:paraId="6C19E043">
            <w:pPr>
              <w:pStyle w:val="16"/>
              <w:bidi w:val="0"/>
              <w:rPr>
                <w:rFonts w:hint="default"/>
                <w:color w:val="auto"/>
              </w:rPr>
            </w:pPr>
            <w:r>
              <w:rPr>
                <w:rFonts w:hint="default"/>
                <w:color w:val="auto"/>
                <w:lang w:eastAsia="zh-CN"/>
              </w:rPr>
              <w:t>AWA602</w:t>
            </w:r>
            <w:r>
              <w:rPr>
                <w:rFonts w:hint="eastAsia"/>
                <w:color w:val="auto"/>
                <w:lang w:val="en-US" w:eastAsia="zh-CN"/>
              </w:rPr>
              <w:t>1</w:t>
            </w:r>
            <w:r>
              <w:rPr>
                <w:rFonts w:hint="default"/>
                <w:color w:val="auto"/>
                <w:lang w:eastAsia="zh-CN"/>
              </w:rPr>
              <w:t>A声校准器（HDH/YQ-111-</w:t>
            </w:r>
            <w:r>
              <w:rPr>
                <w:rFonts w:hint="eastAsia"/>
                <w:color w:val="auto"/>
                <w:lang w:val="en-US" w:eastAsia="zh-CN"/>
              </w:rPr>
              <w:t>05</w:t>
            </w:r>
            <w:r>
              <w:rPr>
                <w:rFonts w:hint="default"/>
                <w:color w:val="auto"/>
                <w:lang w:eastAsia="zh-CN"/>
              </w:rPr>
              <w:t>）</w:t>
            </w:r>
          </w:p>
        </w:tc>
        <w:tc>
          <w:tcPr>
            <w:tcW w:w="666" w:type="pct"/>
            <w:tcBorders>
              <w:tl2br w:val="nil"/>
              <w:tr2bl w:val="nil"/>
            </w:tcBorders>
            <w:noWrap w:val="0"/>
            <w:vAlign w:val="center"/>
          </w:tcPr>
          <w:p w14:paraId="5629EC43">
            <w:pPr>
              <w:pStyle w:val="16"/>
              <w:bidi w:val="0"/>
              <w:rPr>
                <w:rFonts w:hint="eastAsia"/>
                <w:color w:val="auto"/>
                <w:lang w:eastAsia="zh-CN"/>
              </w:rPr>
            </w:pPr>
            <w:r>
              <w:rPr>
                <w:rFonts w:hint="eastAsia"/>
                <w:color w:val="auto"/>
                <w:lang w:val="en-US" w:eastAsia="zh-CN"/>
              </w:rPr>
              <w:t>/</w:t>
            </w:r>
          </w:p>
        </w:tc>
      </w:tr>
    </w:tbl>
    <w:p w14:paraId="3861A3D8">
      <w:pPr>
        <w:bidi w:val="0"/>
        <w:rPr>
          <w:color w:val="auto"/>
        </w:rPr>
      </w:pPr>
      <w:r>
        <w:rPr>
          <w:color w:val="auto"/>
        </w:rPr>
        <w:t>（3）监测频次</w:t>
      </w:r>
    </w:p>
    <w:p w14:paraId="3D89A52E">
      <w:pPr>
        <w:bidi w:val="0"/>
        <w:rPr>
          <w:color w:val="auto"/>
        </w:rPr>
      </w:pPr>
      <w:r>
        <w:rPr>
          <w:color w:val="auto"/>
        </w:rPr>
        <w:t>连续监测2天，昼、夜间各一次。</w:t>
      </w:r>
    </w:p>
    <w:p w14:paraId="042905DB">
      <w:pPr>
        <w:pStyle w:val="164"/>
        <w:pageBreakBefore w:val="0"/>
        <w:wordWrap/>
        <w:bidi w:val="0"/>
        <w:adjustRightInd/>
        <w:snapToGrid/>
        <w:ind w:left="0" w:leftChars="0" w:firstLine="482"/>
        <w:rPr>
          <w:b/>
          <w:color w:val="auto"/>
        </w:rPr>
      </w:pPr>
      <w:r>
        <w:rPr>
          <w:b/>
          <w:color w:val="auto"/>
        </w:rPr>
        <w:t>2、声环境质量现状评价</w:t>
      </w:r>
    </w:p>
    <w:p w14:paraId="32933C79">
      <w:pPr>
        <w:pageBreakBefore w:val="0"/>
        <w:wordWrap/>
        <w:bidi w:val="0"/>
        <w:adjustRightInd/>
        <w:snapToGrid/>
        <w:ind w:firstLine="480"/>
        <w:rPr>
          <w:color w:val="auto"/>
        </w:rPr>
      </w:pPr>
      <w:r>
        <w:rPr>
          <w:color w:val="auto"/>
        </w:rPr>
        <w:t>（1）评价标准</w:t>
      </w:r>
    </w:p>
    <w:p w14:paraId="142B8FC7">
      <w:pPr>
        <w:pageBreakBefore w:val="0"/>
        <w:wordWrap/>
        <w:bidi w:val="0"/>
        <w:adjustRightInd/>
        <w:snapToGrid/>
        <w:ind w:firstLine="480"/>
        <w:rPr>
          <w:color w:val="auto"/>
        </w:rPr>
      </w:pPr>
      <w:r>
        <w:rPr>
          <w:color w:val="auto"/>
        </w:rPr>
        <w:t>评价范围内，环境噪声执行《声环境质量标准》（GB3096-2008）中的</w:t>
      </w:r>
      <w:r>
        <w:rPr>
          <w:rFonts w:hint="eastAsia"/>
          <w:color w:val="auto"/>
          <w:lang w:val="en-US" w:eastAsia="zh-CN"/>
        </w:rPr>
        <w:t>2类和3</w:t>
      </w:r>
      <w:r>
        <w:rPr>
          <w:color w:val="auto"/>
        </w:rPr>
        <w:t>类</w:t>
      </w:r>
      <w:r>
        <w:rPr>
          <w:rFonts w:hint="eastAsia"/>
          <w:color w:val="auto"/>
          <w:lang w:eastAsia="zh-CN"/>
        </w:rPr>
        <w:t>（</w:t>
      </w:r>
      <w:r>
        <w:rPr>
          <w:rFonts w:hint="eastAsia"/>
          <w:color w:val="auto"/>
          <w:lang w:val="en-US" w:eastAsia="zh-CN"/>
        </w:rPr>
        <w:t>厂界临路侧4类</w:t>
      </w:r>
      <w:r>
        <w:rPr>
          <w:rFonts w:hint="eastAsia"/>
          <w:color w:val="auto"/>
          <w:lang w:eastAsia="zh-CN"/>
        </w:rPr>
        <w:t>）</w:t>
      </w:r>
      <w:r>
        <w:rPr>
          <w:color w:val="auto"/>
        </w:rPr>
        <w:t>标准。</w:t>
      </w:r>
    </w:p>
    <w:p w14:paraId="3ED264D2">
      <w:pPr>
        <w:pageBreakBefore w:val="0"/>
        <w:wordWrap/>
        <w:bidi w:val="0"/>
        <w:adjustRightInd/>
        <w:snapToGrid/>
        <w:ind w:firstLine="480"/>
        <w:rPr>
          <w:color w:val="auto"/>
        </w:rPr>
      </w:pPr>
      <w:r>
        <w:rPr>
          <w:color w:val="auto"/>
        </w:rPr>
        <w:t>（2）评价方法</w:t>
      </w:r>
    </w:p>
    <w:p w14:paraId="54E4EAED">
      <w:pPr>
        <w:pageBreakBefore w:val="0"/>
        <w:wordWrap/>
        <w:bidi w:val="0"/>
        <w:adjustRightInd/>
        <w:snapToGrid/>
        <w:ind w:firstLine="480"/>
        <w:textAlignment w:val="baseline"/>
        <w:rPr>
          <w:color w:val="auto"/>
        </w:rPr>
      </w:pPr>
      <w:r>
        <w:rPr>
          <w:color w:val="auto"/>
        </w:rPr>
        <w:t>以等效连续A声级作为评价量，对照标准进行分析评价。</w:t>
      </w:r>
    </w:p>
    <w:p w14:paraId="70126338">
      <w:pPr>
        <w:pageBreakBefore w:val="0"/>
        <w:wordWrap/>
        <w:bidi w:val="0"/>
        <w:adjustRightInd/>
        <w:snapToGrid/>
        <w:ind w:firstLine="480"/>
        <w:rPr>
          <w:color w:val="auto"/>
        </w:rPr>
      </w:pPr>
      <w:r>
        <w:rPr>
          <w:color w:val="auto"/>
        </w:rPr>
        <w:t>（3）检测及统计结果</w:t>
      </w:r>
    </w:p>
    <w:p w14:paraId="77031DF8">
      <w:pPr>
        <w:pageBreakBefore w:val="0"/>
        <w:wordWrap/>
        <w:bidi w:val="0"/>
        <w:adjustRightInd/>
        <w:snapToGrid/>
        <w:ind w:firstLine="480"/>
        <w:textAlignment w:val="baseline"/>
        <w:rPr>
          <w:color w:val="auto"/>
        </w:rPr>
      </w:pPr>
      <w:r>
        <w:rPr>
          <w:color w:val="auto"/>
        </w:rPr>
        <w:t>各监测点监测结果统计数据详</w:t>
      </w:r>
      <w:r>
        <w:rPr>
          <w:rFonts w:hint="eastAsia"/>
          <w:color w:val="auto"/>
          <w:lang w:val="en-US" w:eastAsia="zh-CN"/>
        </w:rPr>
        <w:t>见下表</w:t>
      </w:r>
      <w:r>
        <w:rPr>
          <w:color w:val="auto"/>
        </w:rPr>
        <w:t>。</w:t>
      </w:r>
    </w:p>
    <w:p w14:paraId="58837A99">
      <w:pPr>
        <w:bidi w:val="0"/>
        <w:rPr>
          <w:color w:val="auto"/>
        </w:rPr>
      </w:pPr>
      <w:r>
        <w:rPr>
          <w:color w:val="auto"/>
        </w:rPr>
        <w:t>环境噪声</w:t>
      </w:r>
      <w:r>
        <w:rPr>
          <w:rFonts w:hint="eastAsia"/>
          <w:color w:val="auto"/>
          <w:lang w:eastAsia="zh-CN"/>
        </w:rPr>
        <w:t>监测</w:t>
      </w:r>
      <w:r>
        <w:rPr>
          <w:color w:val="auto"/>
        </w:rPr>
        <w:t>结果</w:t>
      </w:r>
    </w:p>
    <w:p w14:paraId="54A5C48C">
      <w:pPr>
        <w:bidi w:val="0"/>
        <w:rPr>
          <w:color w:val="auto"/>
        </w:rPr>
      </w:pPr>
      <w:r>
        <w:rPr>
          <w:color w:val="auto"/>
        </w:rPr>
        <w:t>（4）评价结果</w:t>
      </w:r>
    </w:p>
    <w:p w14:paraId="2FAE0B65">
      <w:pPr>
        <w:pageBreakBefore w:val="0"/>
        <w:wordWrap/>
        <w:bidi w:val="0"/>
        <w:adjustRightInd/>
        <w:snapToGrid/>
        <w:ind w:firstLine="480"/>
        <w:rPr>
          <w:color w:val="auto"/>
        </w:rPr>
      </w:pPr>
      <w:r>
        <w:rPr>
          <w:color w:val="auto"/>
        </w:rPr>
        <w:t>由监测结果可知，</w:t>
      </w:r>
      <w:r>
        <w:rPr>
          <w:rFonts w:hint="eastAsia"/>
          <w:color w:val="auto"/>
          <w:lang w:val="en-US" w:eastAsia="zh-CN"/>
        </w:rPr>
        <w:t>本项目厂界四周</w:t>
      </w:r>
      <w:r>
        <w:rPr>
          <w:color w:val="auto"/>
        </w:rPr>
        <w:t>噪声监测点昼、夜间噪声监测值均满足《声环境质量标准》（GB3096-2008）中的</w:t>
      </w:r>
      <w:r>
        <w:rPr>
          <w:rFonts w:hint="eastAsia"/>
          <w:color w:val="auto"/>
          <w:lang w:val="en-US" w:eastAsia="zh-CN"/>
        </w:rPr>
        <w:t>3</w:t>
      </w:r>
      <w:r>
        <w:rPr>
          <w:color w:val="auto"/>
        </w:rPr>
        <w:t>类</w:t>
      </w:r>
      <w:r>
        <w:rPr>
          <w:rFonts w:hint="eastAsia"/>
          <w:color w:val="auto"/>
          <w:lang w:eastAsia="zh-CN"/>
        </w:rPr>
        <w:t>（</w:t>
      </w:r>
      <w:r>
        <w:rPr>
          <w:rFonts w:hint="eastAsia"/>
          <w:color w:val="auto"/>
          <w:lang w:val="en-US" w:eastAsia="zh-CN"/>
        </w:rPr>
        <w:t>厂界南侧临路侧执行4类</w:t>
      </w:r>
      <w:r>
        <w:rPr>
          <w:rFonts w:hint="eastAsia"/>
          <w:color w:val="auto"/>
          <w:lang w:eastAsia="zh-CN"/>
        </w:rPr>
        <w:t>）</w:t>
      </w:r>
      <w:r>
        <w:rPr>
          <w:color w:val="auto"/>
        </w:rPr>
        <w:t>标准限值要求，</w:t>
      </w:r>
      <w:r>
        <w:rPr>
          <w:rFonts w:hint="eastAsia"/>
          <w:color w:val="auto"/>
          <w:lang w:val="en-US" w:eastAsia="zh-CN"/>
        </w:rPr>
        <w:t>周边居民点</w:t>
      </w:r>
      <w:r>
        <w:rPr>
          <w:color w:val="auto"/>
        </w:rPr>
        <w:t>昼、夜间噪声监测值均满足《声环境质量标准》（GB3096-2008）中的</w:t>
      </w:r>
      <w:r>
        <w:rPr>
          <w:rFonts w:hint="eastAsia"/>
          <w:color w:val="auto"/>
          <w:lang w:val="en-US" w:eastAsia="zh-CN"/>
        </w:rPr>
        <w:t>2</w:t>
      </w:r>
      <w:r>
        <w:rPr>
          <w:color w:val="auto"/>
        </w:rPr>
        <w:t>类标准限值要求</w:t>
      </w:r>
      <w:r>
        <w:rPr>
          <w:rFonts w:hint="eastAsia"/>
          <w:color w:val="auto"/>
          <w:lang w:eastAsia="zh-CN"/>
        </w:rPr>
        <w:t>，</w:t>
      </w:r>
      <w:r>
        <w:rPr>
          <w:color w:val="auto"/>
        </w:rPr>
        <w:t>项目所在地声环境质量较好。</w:t>
      </w:r>
    </w:p>
    <w:p w14:paraId="3E97B9B3">
      <w:pPr>
        <w:pStyle w:val="5"/>
        <w:bidi w:val="0"/>
        <w:rPr>
          <w:color w:val="auto"/>
        </w:rPr>
      </w:pPr>
      <w:r>
        <w:rPr>
          <w:rFonts w:hint="eastAsia"/>
          <w:color w:val="auto"/>
          <w:lang w:val="en-US" w:eastAsia="zh-CN"/>
        </w:rPr>
        <w:t xml:space="preserve"> </w:t>
      </w:r>
      <w:r>
        <w:rPr>
          <w:color w:val="auto"/>
        </w:rPr>
        <w:t>土壤环境质量现状监测与评价</w:t>
      </w:r>
    </w:p>
    <w:p w14:paraId="59DCEA1A">
      <w:pPr>
        <w:pStyle w:val="164"/>
        <w:pageBreakBefore w:val="0"/>
        <w:wordWrap/>
        <w:bidi w:val="0"/>
        <w:adjustRightInd/>
        <w:snapToGrid/>
        <w:ind w:left="0" w:leftChars="0" w:firstLine="482"/>
        <w:rPr>
          <w:b/>
          <w:color w:val="auto"/>
        </w:rPr>
      </w:pPr>
      <w:r>
        <w:rPr>
          <w:b/>
          <w:color w:val="auto"/>
        </w:rPr>
        <w:t>1、土壤环境质量现状监测</w:t>
      </w:r>
    </w:p>
    <w:p w14:paraId="15168FB0">
      <w:pPr>
        <w:pageBreakBefore w:val="0"/>
        <w:tabs>
          <w:tab w:val="left" w:pos="4200"/>
        </w:tabs>
        <w:wordWrap/>
        <w:bidi w:val="0"/>
        <w:adjustRightInd/>
        <w:snapToGrid/>
        <w:ind w:firstLine="480"/>
        <w:jc w:val="left"/>
        <w:rPr>
          <w:bCs/>
          <w:color w:val="auto"/>
          <w:kern w:val="0"/>
          <w:position w:val="-2"/>
        </w:rPr>
      </w:pPr>
      <w:r>
        <w:rPr>
          <w:bCs/>
          <w:color w:val="auto"/>
          <w:kern w:val="0"/>
          <w:position w:val="-2"/>
        </w:rPr>
        <w:t>在项目厂址内设置</w:t>
      </w:r>
      <w:r>
        <w:rPr>
          <w:rFonts w:hint="eastAsia"/>
          <w:bCs/>
          <w:color w:val="auto"/>
          <w:kern w:val="0"/>
          <w:position w:val="-2"/>
          <w:lang w:val="en-US" w:eastAsia="zh-CN"/>
        </w:rPr>
        <w:t>6</w:t>
      </w:r>
      <w:r>
        <w:rPr>
          <w:bCs/>
          <w:color w:val="auto"/>
          <w:kern w:val="0"/>
          <w:position w:val="-2"/>
        </w:rPr>
        <w:t>个土壤监测点，均为土壤表层样，监测点位详见下表。</w:t>
      </w:r>
    </w:p>
    <w:p w14:paraId="68A1A065">
      <w:pPr>
        <w:pStyle w:val="19"/>
        <w:keepNext w:val="0"/>
        <w:keepLines w:val="0"/>
        <w:pageBreakBefore w:val="0"/>
        <w:widowControl w:val="0"/>
        <w:numPr>
          <w:ilvl w:val="0"/>
          <w:numId w:val="28"/>
        </w:numPr>
        <w:kinsoku/>
        <w:wordWrap/>
        <w:overflowPunct/>
        <w:topLinePunct w:val="0"/>
        <w:autoSpaceDE/>
        <w:autoSpaceDN/>
        <w:bidi w:val="0"/>
        <w:adjustRightInd/>
        <w:snapToGrid/>
        <w:spacing w:before="0"/>
        <w:textAlignment w:val="auto"/>
        <w:rPr>
          <w:color w:val="auto"/>
        </w:rPr>
      </w:pPr>
      <w:r>
        <w:rPr>
          <w:color w:val="auto"/>
        </w:rPr>
        <w:t>土壤监测点位信息及频次</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108" w:type="dxa"/>
          <w:bottom w:w="0" w:type="dxa"/>
          <w:right w:w="108" w:type="dxa"/>
        </w:tblCellMar>
      </w:tblPr>
      <w:tblGrid>
        <w:gridCol w:w="1083"/>
        <w:gridCol w:w="2916"/>
        <w:gridCol w:w="3566"/>
        <w:gridCol w:w="1152"/>
      </w:tblGrid>
      <w:tr w14:paraId="7A29369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tblHeader/>
          <w:jc w:val="center"/>
        </w:trPr>
        <w:tc>
          <w:tcPr>
            <w:tcW w:w="621" w:type="pct"/>
            <w:tcBorders>
              <w:tl2br w:val="nil"/>
              <w:tr2bl w:val="nil"/>
            </w:tcBorders>
            <w:noWrap w:val="0"/>
            <w:vAlign w:val="center"/>
          </w:tcPr>
          <w:p w14:paraId="7F99B6C0">
            <w:pPr>
              <w:pStyle w:val="16"/>
              <w:bidi w:val="0"/>
              <w:rPr>
                <w:rFonts w:hint="default"/>
                <w:b/>
                <w:bCs/>
                <w:color w:val="auto"/>
                <w:lang w:val="en-US" w:eastAsia="zh-CN"/>
              </w:rPr>
            </w:pPr>
            <w:r>
              <w:rPr>
                <w:rFonts w:hint="default"/>
                <w:b/>
                <w:bCs/>
                <w:color w:val="auto"/>
              </w:rPr>
              <w:t>点位编号</w:t>
            </w:r>
          </w:p>
        </w:tc>
        <w:tc>
          <w:tcPr>
            <w:tcW w:w="1672" w:type="pct"/>
            <w:tcBorders>
              <w:tl2br w:val="nil"/>
              <w:tr2bl w:val="nil"/>
            </w:tcBorders>
            <w:noWrap w:val="0"/>
            <w:vAlign w:val="center"/>
          </w:tcPr>
          <w:p w14:paraId="7E209904">
            <w:pPr>
              <w:pStyle w:val="16"/>
              <w:bidi w:val="0"/>
              <w:rPr>
                <w:rFonts w:hint="default"/>
                <w:b/>
                <w:bCs/>
                <w:color w:val="auto"/>
                <w:lang w:val="en-US" w:eastAsia="zh-CN"/>
              </w:rPr>
            </w:pPr>
            <w:r>
              <w:rPr>
                <w:rFonts w:hint="default"/>
                <w:b/>
                <w:bCs/>
                <w:color w:val="auto"/>
              </w:rPr>
              <w:t>检测点</w:t>
            </w:r>
            <w:r>
              <w:rPr>
                <w:rFonts w:hint="default"/>
                <w:b/>
                <w:bCs/>
                <w:color w:val="auto"/>
                <w:lang w:val="en-US" w:eastAsia="zh-CN"/>
              </w:rPr>
              <w:t>位</w:t>
            </w:r>
          </w:p>
        </w:tc>
        <w:tc>
          <w:tcPr>
            <w:tcW w:w="2045" w:type="pct"/>
            <w:tcBorders>
              <w:tl2br w:val="nil"/>
              <w:tr2bl w:val="nil"/>
            </w:tcBorders>
            <w:noWrap w:val="0"/>
            <w:vAlign w:val="center"/>
          </w:tcPr>
          <w:p w14:paraId="59A2DEF4">
            <w:pPr>
              <w:pStyle w:val="16"/>
              <w:bidi w:val="0"/>
              <w:rPr>
                <w:rFonts w:hint="default"/>
                <w:b/>
                <w:bCs/>
                <w:color w:val="auto"/>
              </w:rPr>
            </w:pPr>
            <w:r>
              <w:rPr>
                <w:rFonts w:hint="default"/>
                <w:b/>
                <w:bCs/>
                <w:color w:val="auto"/>
              </w:rPr>
              <w:t>检测项目</w:t>
            </w:r>
          </w:p>
        </w:tc>
        <w:tc>
          <w:tcPr>
            <w:tcW w:w="660" w:type="pct"/>
            <w:tcBorders>
              <w:tl2br w:val="nil"/>
              <w:tr2bl w:val="nil"/>
            </w:tcBorders>
            <w:noWrap w:val="0"/>
            <w:vAlign w:val="center"/>
          </w:tcPr>
          <w:p w14:paraId="05E35830">
            <w:pPr>
              <w:pStyle w:val="16"/>
              <w:bidi w:val="0"/>
              <w:rPr>
                <w:rFonts w:hint="default"/>
                <w:b/>
                <w:bCs/>
                <w:color w:val="auto"/>
              </w:rPr>
            </w:pPr>
            <w:r>
              <w:rPr>
                <w:rFonts w:hint="default"/>
                <w:b/>
                <w:bCs/>
                <w:color w:val="auto"/>
              </w:rPr>
              <w:t>检测频次</w:t>
            </w:r>
          </w:p>
        </w:tc>
      </w:tr>
      <w:tr w14:paraId="3860B02B">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621" w:type="pct"/>
            <w:tcBorders>
              <w:tl2br w:val="nil"/>
              <w:tr2bl w:val="nil"/>
            </w:tcBorders>
            <w:noWrap w:val="0"/>
            <w:vAlign w:val="center"/>
          </w:tcPr>
          <w:p w14:paraId="278186F7">
            <w:pPr>
              <w:pStyle w:val="16"/>
              <w:bidi w:val="0"/>
              <w:spacing w:line="240" w:lineRule="auto"/>
              <w:rPr>
                <w:rFonts w:hint="default"/>
                <w:color w:val="auto"/>
                <w:lang w:val="en-US" w:eastAsia="zh-CN"/>
              </w:rPr>
            </w:pPr>
            <w:r>
              <w:rPr>
                <w:rFonts w:hint="default"/>
                <w:color w:val="auto"/>
                <w:lang w:val="en-US" w:eastAsia="zh-CN"/>
              </w:rPr>
              <w:t>▀1#</w:t>
            </w:r>
          </w:p>
        </w:tc>
        <w:tc>
          <w:tcPr>
            <w:tcW w:w="1672" w:type="pct"/>
            <w:tcBorders>
              <w:tl2br w:val="nil"/>
              <w:tr2bl w:val="nil"/>
            </w:tcBorders>
            <w:noWrap w:val="0"/>
            <w:vAlign w:val="center"/>
          </w:tcPr>
          <w:p w14:paraId="79DFC8CA">
            <w:pPr>
              <w:pStyle w:val="16"/>
              <w:bidi w:val="0"/>
              <w:rPr>
                <w:rFonts w:hint="default"/>
                <w:color w:val="auto"/>
                <w:lang w:val="en-US"/>
              </w:rPr>
            </w:pPr>
            <w:r>
              <w:rPr>
                <w:rFonts w:hint="eastAsia"/>
                <w:color w:val="auto"/>
              </w:rPr>
              <w:t>项目</w:t>
            </w:r>
            <w:r>
              <w:rPr>
                <w:rFonts w:hint="default"/>
                <w:color w:val="auto"/>
              </w:rPr>
              <w:t>厂区</w:t>
            </w:r>
            <w:r>
              <w:rPr>
                <w:rFonts w:hint="eastAsia"/>
                <w:color w:val="auto"/>
                <w:lang w:val="en-US" w:eastAsia="zh-CN"/>
              </w:rPr>
              <w:t>内中部污泥池区域</w:t>
            </w:r>
          </w:p>
        </w:tc>
        <w:tc>
          <w:tcPr>
            <w:tcW w:w="2045" w:type="pct"/>
            <w:vMerge w:val="restart"/>
            <w:tcBorders>
              <w:tl2br w:val="nil"/>
              <w:tr2bl w:val="nil"/>
            </w:tcBorders>
            <w:noWrap w:val="0"/>
            <w:vAlign w:val="center"/>
          </w:tcPr>
          <w:p w14:paraId="72B16395">
            <w:pPr>
              <w:pStyle w:val="16"/>
              <w:bidi w:val="0"/>
              <w:rPr>
                <w:rFonts w:hint="eastAsia"/>
                <w:color w:val="auto"/>
                <w:lang w:val="en-US" w:eastAsia="zh-CN"/>
              </w:rPr>
            </w:pPr>
            <w:r>
              <w:rPr>
                <w:rFonts w:hint="eastAsia"/>
                <w:color w:val="auto"/>
                <w:lang w:val="en-US" w:eastAsia="zh-CN"/>
              </w:rPr>
              <w:t>pH、</w:t>
            </w:r>
            <w:r>
              <w:rPr>
                <w:rFonts w:hint="default"/>
                <w:color w:val="auto"/>
                <w:lang w:val="en-US" w:eastAsia="zh-CN"/>
              </w:rPr>
              <w:t>砷、镉、</w:t>
            </w:r>
            <w:r>
              <w:rPr>
                <w:rFonts w:hint="default"/>
                <w:color w:val="auto"/>
              </w:rPr>
              <w:t>六价铬</w:t>
            </w:r>
            <w:r>
              <w:rPr>
                <w:rFonts w:hint="default"/>
                <w:color w:val="auto"/>
                <w:lang w:val="en-US" w:eastAsia="zh-CN"/>
              </w:rPr>
              <w:t>、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w:t>
            </w:r>
            <w:r>
              <w:rPr>
                <w:rFonts w:hint="eastAsia"/>
                <w:color w:val="auto"/>
                <w:lang w:val="en-US" w:eastAsia="zh-CN"/>
              </w:rPr>
              <w:t>二甲苯+</w:t>
            </w:r>
            <w:r>
              <w:rPr>
                <w:rFonts w:hint="default"/>
                <w:color w:val="auto"/>
                <w:lang w:val="en-US" w:eastAsia="zh-CN"/>
              </w:rPr>
              <w:t>对二甲苯、邻二甲苯、硝基苯、苯胺、2-氯酚、苯并[a]蒽、苯并[a]芘、苯并[b]荧蒽、苯并[k]荧蒽、䓛、二苯并[a,h]蒽、茚并[1,2,3-cd]芘、萘</w:t>
            </w:r>
            <w:r>
              <w:rPr>
                <w:rFonts w:hint="eastAsia"/>
                <w:color w:val="auto"/>
                <w:lang w:val="en-US" w:eastAsia="zh-CN"/>
              </w:rPr>
              <w:t>、</w:t>
            </w:r>
            <w:r>
              <w:rPr>
                <w:rFonts w:hint="default"/>
                <w:color w:val="auto"/>
              </w:rPr>
              <w:t>阳离子交换量、氧化还原电位、饱和导水率、土壤容重、孔隙度</w:t>
            </w:r>
          </w:p>
        </w:tc>
        <w:tc>
          <w:tcPr>
            <w:tcW w:w="660" w:type="pct"/>
            <w:vMerge w:val="restart"/>
            <w:tcBorders>
              <w:tl2br w:val="nil"/>
              <w:tr2bl w:val="nil"/>
            </w:tcBorders>
            <w:noWrap w:val="0"/>
            <w:vAlign w:val="center"/>
          </w:tcPr>
          <w:p w14:paraId="1B6C8703">
            <w:pPr>
              <w:pStyle w:val="16"/>
              <w:bidi w:val="0"/>
              <w:rPr>
                <w:rFonts w:hint="default"/>
                <w:color w:val="auto"/>
                <w:lang w:val="en-US" w:eastAsia="zh-CN"/>
              </w:rPr>
            </w:pPr>
            <w:r>
              <w:rPr>
                <w:rFonts w:hint="default"/>
                <w:color w:val="auto"/>
              </w:rPr>
              <w:t>检测</w:t>
            </w:r>
            <w:r>
              <w:rPr>
                <w:rFonts w:hint="eastAsia"/>
                <w:color w:val="auto"/>
                <w:lang w:val="en-US" w:eastAsia="zh-CN"/>
              </w:rPr>
              <w:t>1</w:t>
            </w:r>
            <w:r>
              <w:rPr>
                <w:rFonts w:hint="default"/>
                <w:color w:val="auto"/>
              </w:rPr>
              <w:t>天，</w:t>
            </w:r>
            <w:r>
              <w:rPr>
                <w:rFonts w:hint="default"/>
                <w:color w:val="auto"/>
                <w:lang w:val="en-US" w:eastAsia="zh-CN"/>
              </w:rPr>
              <w:t>每天1次</w:t>
            </w:r>
          </w:p>
        </w:tc>
      </w:tr>
      <w:tr w14:paraId="23C4EBC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621" w:type="pct"/>
            <w:tcBorders>
              <w:tl2br w:val="nil"/>
              <w:tr2bl w:val="nil"/>
            </w:tcBorders>
            <w:noWrap w:val="0"/>
            <w:vAlign w:val="center"/>
          </w:tcPr>
          <w:p w14:paraId="309109C3">
            <w:pPr>
              <w:pStyle w:val="16"/>
              <w:bidi w:val="0"/>
              <w:rPr>
                <w:rFonts w:hint="default"/>
                <w:color w:val="auto"/>
                <w:lang w:val="en-US" w:eastAsia="zh-CN"/>
              </w:rPr>
            </w:pPr>
            <w:r>
              <w:rPr>
                <w:rFonts w:hint="default"/>
                <w:color w:val="auto"/>
                <w:lang w:val="en-US" w:eastAsia="zh-CN"/>
              </w:rPr>
              <w:t>▀</w:t>
            </w:r>
            <w:r>
              <w:rPr>
                <w:rFonts w:hint="eastAsia"/>
                <w:color w:val="auto"/>
                <w:lang w:val="en-US" w:eastAsia="zh-CN"/>
              </w:rPr>
              <w:t>2</w:t>
            </w:r>
            <w:r>
              <w:rPr>
                <w:rFonts w:hint="default"/>
                <w:color w:val="auto"/>
                <w:lang w:val="en-US" w:eastAsia="zh-CN"/>
              </w:rPr>
              <w:t>#</w:t>
            </w:r>
          </w:p>
        </w:tc>
        <w:tc>
          <w:tcPr>
            <w:tcW w:w="1672" w:type="pct"/>
            <w:tcBorders>
              <w:tl2br w:val="nil"/>
              <w:tr2bl w:val="nil"/>
            </w:tcBorders>
            <w:noWrap w:val="0"/>
            <w:vAlign w:val="center"/>
          </w:tcPr>
          <w:p w14:paraId="4288B888">
            <w:pPr>
              <w:pStyle w:val="16"/>
              <w:bidi w:val="0"/>
              <w:rPr>
                <w:rFonts w:hint="default"/>
                <w:color w:val="auto"/>
                <w:lang w:val="en-US" w:eastAsia="zh-CN"/>
              </w:rPr>
            </w:pPr>
            <w:r>
              <w:rPr>
                <w:rFonts w:hint="eastAsia"/>
                <w:color w:val="auto"/>
              </w:rPr>
              <w:t>项目</w:t>
            </w:r>
            <w:r>
              <w:rPr>
                <w:rFonts w:hint="default"/>
                <w:color w:val="auto"/>
              </w:rPr>
              <w:t>厂区</w:t>
            </w:r>
            <w:r>
              <w:rPr>
                <w:rFonts w:hint="eastAsia"/>
                <w:color w:val="auto"/>
                <w:lang w:val="en-US" w:eastAsia="zh-CN"/>
              </w:rPr>
              <w:t>内</w:t>
            </w:r>
            <w:r>
              <w:rPr>
                <w:rFonts w:hint="eastAsia"/>
                <w:color w:val="auto"/>
              </w:rPr>
              <w:t>西</w:t>
            </w:r>
            <w:r>
              <w:rPr>
                <w:rFonts w:hint="eastAsia"/>
                <w:color w:val="auto"/>
                <w:lang w:val="en-US" w:eastAsia="zh-CN"/>
              </w:rPr>
              <w:t>南侧拟建事故应急池区域</w:t>
            </w:r>
          </w:p>
        </w:tc>
        <w:tc>
          <w:tcPr>
            <w:tcW w:w="2045" w:type="pct"/>
            <w:vMerge w:val="continue"/>
            <w:tcBorders>
              <w:tl2br w:val="nil"/>
              <w:tr2bl w:val="nil"/>
            </w:tcBorders>
            <w:noWrap w:val="0"/>
            <w:vAlign w:val="center"/>
          </w:tcPr>
          <w:p w14:paraId="7C70BF3B">
            <w:pPr>
              <w:pStyle w:val="16"/>
              <w:bidi w:val="0"/>
              <w:rPr>
                <w:rFonts w:hint="eastAsia"/>
                <w:color w:val="auto"/>
                <w:lang w:val="en-US" w:eastAsia="zh-CN"/>
              </w:rPr>
            </w:pPr>
          </w:p>
        </w:tc>
        <w:tc>
          <w:tcPr>
            <w:tcW w:w="660" w:type="pct"/>
            <w:vMerge w:val="continue"/>
            <w:tcBorders>
              <w:tl2br w:val="nil"/>
              <w:tr2bl w:val="nil"/>
            </w:tcBorders>
            <w:noWrap w:val="0"/>
            <w:vAlign w:val="center"/>
          </w:tcPr>
          <w:p w14:paraId="08FFEDC2">
            <w:pPr>
              <w:pStyle w:val="16"/>
              <w:bidi w:val="0"/>
              <w:rPr>
                <w:rFonts w:hint="default"/>
                <w:color w:val="auto"/>
              </w:rPr>
            </w:pPr>
          </w:p>
        </w:tc>
      </w:tr>
      <w:tr w14:paraId="36B85F1C">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621" w:type="pct"/>
            <w:tcBorders>
              <w:tl2br w:val="nil"/>
              <w:tr2bl w:val="nil"/>
            </w:tcBorders>
            <w:noWrap w:val="0"/>
            <w:vAlign w:val="center"/>
          </w:tcPr>
          <w:p w14:paraId="21A14AE3">
            <w:pPr>
              <w:pStyle w:val="16"/>
              <w:bidi w:val="0"/>
              <w:rPr>
                <w:rFonts w:hint="default"/>
                <w:color w:val="auto"/>
                <w:lang w:val="en-US" w:eastAsia="zh-CN"/>
              </w:rPr>
            </w:pPr>
            <w:r>
              <w:rPr>
                <w:rFonts w:hint="default"/>
                <w:color w:val="auto"/>
                <w:lang w:val="en-US" w:eastAsia="zh-CN"/>
              </w:rPr>
              <w:t>▀</w:t>
            </w:r>
            <w:r>
              <w:rPr>
                <w:rFonts w:hint="eastAsia"/>
                <w:color w:val="auto"/>
                <w:lang w:val="en-US" w:eastAsia="zh-CN"/>
              </w:rPr>
              <w:t>3</w:t>
            </w:r>
            <w:r>
              <w:rPr>
                <w:rFonts w:hint="default"/>
                <w:color w:val="auto"/>
                <w:lang w:val="en-US" w:eastAsia="zh-CN"/>
              </w:rPr>
              <w:t>#</w:t>
            </w:r>
          </w:p>
        </w:tc>
        <w:tc>
          <w:tcPr>
            <w:tcW w:w="1672" w:type="pct"/>
            <w:tcBorders>
              <w:tl2br w:val="nil"/>
              <w:tr2bl w:val="nil"/>
            </w:tcBorders>
            <w:noWrap w:val="0"/>
            <w:vAlign w:val="center"/>
          </w:tcPr>
          <w:p w14:paraId="17FFD1A1">
            <w:pPr>
              <w:pStyle w:val="16"/>
              <w:bidi w:val="0"/>
              <w:rPr>
                <w:rFonts w:hint="default"/>
                <w:color w:val="auto"/>
                <w:lang w:val="en-US" w:eastAsia="zh-CN"/>
              </w:rPr>
            </w:pPr>
            <w:r>
              <w:rPr>
                <w:rFonts w:hint="eastAsia"/>
                <w:color w:val="auto"/>
              </w:rPr>
              <w:t>项目</w:t>
            </w:r>
            <w:r>
              <w:rPr>
                <w:rFonts w:hint="default"/>
                <w:color w:val="auto"/>
              </w:rPr>
              <w:t>厂区</w:t>
            </w:r>
            <w:r>
              <w:rPr>
                <w:rFonts w:hint="eastAsia"/>
                <w:color w:val="auto"/>
                <w:lang w:val="en-US" w:eastAsia="zh-CN"/>
              </w:rPr>
              <w:t>北侧水解酸化池生化池区域</w:t>
            </w:r>
          </w:p>
        </w:tc>
        <w:tc>
          <w:tcPr>
            <w:tcW w:w="2045" w:type="pct"/>
            <w:vMerge w:val="continue"/>
            <w:tcBorders>
              <w:tl2br w:val="nil"/>
              <w:tr2bl w:val="nil"/>
            </w:tcBorders>
            <w:noWrap w:val="0"/>
            <w:vAlign w:val="center"/>
          </w:tcPr>
          <w:p w14:paraId="1C9D6321">
            <w:pPr>
              <w:pStyle w:val="16"/>
              <w:bidi w:val="0"/>
              <w:rPr>
                <w:rFonts w:hint="eastAsia"/>
                <w:color w:val="auto"/>
                <w:lang w:val="en-US" w:eastAsia="zh-CN"/>
              </w:rPr>
            </w:pPr>
          </w:p>
        </w:tc>
        <w:tc>
          <w:tcPr>
            <w:tcW w:w="660" w:type="pct"/>
            <w:vMerge w:val="continue"/>
            <w:tcBorders>
              <w:tl2br w:val="nil"/>
              <w:tr2bl w:val="nil"/>
            </w:tcBorders>
            <w:noWrap w:val="0"/>
            <w:vAlign w:val="center"/>
          </w:tcPr>
          <w:p w14:paraId="4B69F08D">
            <w:pPr>
              <w:pStyle w:val="16"/>
              <w:bidi w:val="0"/>
              <w:rPr>
                <w:rFonts w:hint="default"/>
                <w:color w:val="auto"/>
              </w:rPr>
            </w:pPr>
          </w:p>
        </w:tc>
      </w:tr>
      <w:tr w14:paraId="75FDD8D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621" w:type="pct"/>
            <w:tcBorders>
              <w:tl2br w:val="nil"/>
              <w:tr2bl w:val="nil"/>
            </w:tcBorders>
            <w:noWrap w:val="0"/>
            <w:vAlign w:val="center"/>
          </w:tcPr>
          <w:p w14:paraId="060E5B80">
            <w:pPr>
              <w:pStyle w:val="16"/>
              <w:bidi w:val="0"/>
              <w:rPr>
                <w:rFonts w:hint="default"/>
                <w:color w:val="auto"/>
                <w:lang w:val="en-US" w:eastAsia="zh-CN"/>
              </w:rPr>
            </w:pPr>
            <w:r>
              <w:rPr>
                <w:rFonts w:hint="default"/>
                <w:color w:val="auto"/>
                <w:lang w:val="en-US" w:eastAsia="zh-CN"/>
              </w:rPr>
              <w:t>▀</w:t>
            </w:r>
            <w:r>
              <w:rPr>
                <w:rFonts w:hint="eastAsia"/>
                <w:color w:val="auto"/>
                <w:lang w:val="en-US" w:eastAsia="zh-CN"/>
              </w:rPr>
              <w:t>4</w:t>
            </w:r>
            <w:r>
              <w:rPr>
                <w:rFonts w:hint="default"/>
                <w:color w:val="auto"/>
                <w:lang w:val="en-US" w:eastAsia="zh-CN"/>
              </w:rPr>
              <w:t>#</w:t>
            </w:r>
          </w:p>
        </w:tc>
        <w:tc>
          <w:tcPr>
            <w:tcW w:w="1672" w:type="pct"/>
            <w:tcBorders>
              <w:tl2br w:val="nil"/>
              <w:tr2bl w:val="nil"/>
            </w:tcBorders>
            <w:noWrap w:val="0"/>
            <w:vAlign w:val="center"/>
          </w:tcPr>
          <w:p w14:paraId="03BCED4C">
            <w:pPr>
              <w:pStyle w:val="16"/>
              <w:bidi w:val="0"/>
              <w:rPr>
                <w:rFonts w:hint="default"/>
                <w:color w:val="auto"/>
                <w:lang w:val="en-US" w:eastAsia="zh-CN"/>
              </w:rPr>
            </w:pPr>
            <w:r>
              <w:rPr>
                <w:rFonts w:hint="eastAsia"/>
                <w:color w:val="auto"/>
              </w:rPr>
              <w:t>项目</w:t>
            </w:r>
            <w:r>
              <w:rPr>
                <w:rFonts w:hint="default"/>
                <w:color w:val="auto"/>
              </w:rPr>
              <w:t>厂区</w:t>
            </w:r>
            <w:r>
              <w:rPr>
                <w:rFonts w:hint="eastAsia"/>
                <w:color w:val="auto"/>
                <w:lang w:val="en-US" w:eastAsia="zh-CN"/>
              </w:rPr>
              <w:t>东部膜车间区域</w:t>
            </w:r>
          </w:p>
        </w:tc>
        <w:tc>
          <w:tcPr>
            <w:tcW w:w="2045" w:type="pct"/>
            <w:vMerge w:val="continue"/>
            <w:tcBorders>
              <w:tl2br w:val="nil"/>
              <w:tr2bl w:val="nil"/>
            </w:tcBorders>
            <w:noWrap w:val="0"/>
            <w:vAlign w:val="center"/>
          </w:tcPr>
          <w:p w14:paraId="3C3935E1">
            <w:pPr>
              <w:pStyle w:val="16"/>
              <w:bidi w:val="0"/>
              <w:rPr>
                <w:rFonts w:hint="eastAsia"/>
                <w:color w:val="auto"/>
                <w:lang w:val="en-US" w:eastAsia="zh-CN"/>
              </w:rPr>
            </w:pPr>
          </w:p>
        </w:tc>
        <w:tc>
          <w:tcPr>
            <w:tcW w:w="660" w:type="pct"/>
            <w:vMerge w:val="continue"/>
            <w:tcBorders>
              <w:tl2br w:val="nil"/>
              <w:tr2bl w:val="nil"/>
            </w:tcBorders>
            <w:noWrap w:val="0"/>
            <w:vAlign w:val="center"/>
          </w:tcPr>
          <w:p w14:paraId="659DDE12">
            <w:pPr>
              <w:pStyle w:val="16"/>
              <w:bidi w:val="0"/>
              <w:rPr>
                <w:rFonts w:hint="default"/>
                <w:color w:val="auto"/>
              </w:rPr>
            </w:pPr>
          </w:p>
        </w:tc>
      </w:tr>
      <w:tr w14:paraId="1030C33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621" w:type="pct"/>
            <w:tcBorders>
              <w:tl2br w:val="nil"/>
              <w:tr2bl w:val="nil"/>
            </w:tcBorders>
            <w:noWrap w:val="0"/>
            <w:vAlign w:val="center"/>
          </w:tcPr>
          <w:p w14:paraId="0DFDAB92">
            <w:pPr>
              <w:pStyle w:val="16"/>
              <w:bidi w:val="0"/>
              <w:rPr>
                <w:rFonts w:hint="default"/>
                <w:color w:val="auto"/>
                <w:lang w:val="en-US" w:eastAsia="zh-CN"/>
              </w:rPr>
            </w:pPr>
            <w:r>
              <w:rPr>
                <w:rFonts w:hint="default"/>
                <w:color w:val="auto"/>
                <w:lang w:val="en-US" w:eastAsia="zh-CN"/>
              </w:rPr>
              <w:t>▀</w:t>
            </w:r>
            <w:r>
              <w:rPr>
                <w:rFonts w:hint="eastAsia"/>
                <w:color w:val="auto"/>
                <w:lang w:val="en-US" w:eastAsia="zh-CN"/>
              </w:rPr>
              <w:t>5</w:t>
            </w:r>
            <w:r>
              <w:rPr>
                <w:rFonts w:hint="default"/>
                <w:color w:val="auto"/>
                <w:lang w:val="en-US" w:eastAsia="zh-CN"/>
              </w:rPr>
              <w:t>#</w:t>
            </w:r>
          </w:p>
        </w:tc>
        <w:tc>
          <w:tcPr>
            <w:tcW w:w="1672" w:type="pct"/>
            <w:tcBorders>
              <w:tl2br w:val="nil"/>
              <w:tr2bl w:val="nil"/>
            </w:tcBorders>
            <w:noWrap w:val="0"/>
            <w:vAlign w:val="center"/>
          </w:tcPr>
          <w:p w14:paraId="1728DA5C">
            <w:pPr>
              <w:pStyle w:val="16"/>
              <w:bidi w:val="0"/>
              <w:rPr>
                <w:rFonts w:hint="default"/>
                <w:color w:val="auto"/>
                <w:lang w:val="en-US" w:eastAsia="zh-CN"/>
              </w:rPr>
            </w:pPr>
            <w:r>
              <w:rPr>
                <w:rFonts w:hint="eastAsia"/>
                <w:color w:val="auto"/>
              </w:rPr>
              <w:t>项目</w:t>
            </w:r>
            <w:r>
              <w:rPr>
                <w:rFonts w:hint="default"/>
                <w:color w:val="auto"/>
              </w:rPr>
              <w:t>厂区</w:t>
            </w:r>
            <w:r>
              <w:rPr>
                <w:rFonts w:hint="eastAsia"/>
                <w:color w:val="auto"/>
                <w:lang w:val="en-US" w:eastAsia="zh-CN"/>
              </w:rPr>
              <w:t>外东侧</w:t>
            </w:r>
          </w:p>
        </w:tc>
        <w:tc>
          <w:tcPr>
            <w:tcW w:w="2045" w:type="pct"/>
            <w:vMerge w:val="restart"/>
            <w:tcBorders>
              <w:tl2br w:val="nil"/>
              <w:tr2bl w:val="nil"/>
            </w:tcBorders>
            <w:noWrap w:val="0"/>
            <w:vAlign w:val="center"/>
          </w:tcPr>
          <w:p w14:paraId="03CF95A0">
            <w:pPr>
              <w:pStyle w:val="16"/>
              <w:bidi w:val="0"/>
              <w:rPr>
                <w:rFonts w:hint="eastAsia"/>
                <w:color w:val="auto"/>
                <w:lang w:val="en-US" w:eastAsia="zh-CN"/>
              </w:rPr>
            </w:pPr>
            <w:r>
              <w:rPr>
                <w:rFonts w:hint="eastAsia"/>
                <w:color w:val="auto"/>
                <w:lang w:val="en-US" w:eastAsia="zh-CN"/>
              </w:rPr>
              <w:t>pH、</w:t>
            </w:r>
            <w:r>
              <w:rPr>
                <w:rFonts w:hint="default"/>
                <w:color w:val="auto"/>
                <w:lang w:val="en-US" w:eastAsia="zh-CN"/>
              </w:rPr>
              <w:t>砷、镉、</w:t>
            </w:r>
            <w:r>
              <w:rPr>
                <w:rFonts w:hint="default"/>
                <w:color w:val="auto"/>
              </w:rPr>
              <w:t>铬</w:t>
            </w:r>
            <w:r>
              <w:rPr>
                <w:rFonts w:hint="default"/>
                <w:color w:val="auto"/>
                <w:lang w:val="en-US" w:eastAsia="zh-CN"/>
              </w:rPr>
              <w:t>、</w:t>
            </w:r>
            <w:r>
              <w:rPr>
                <w:rFonts w:hint="eastAsia"/>
                <w:color w:val="auto"/>
                <w:lang w:val="en-US" w:eastAsia="zh-CN"/>
              </w:rPr>
              <w:t>锌、</w:t>
            </w:r>
            <w:r>
              <w:rPr>
                <w:rFonts w:hint="default"/>
                <w:color w:val="auto"/>
                <w:lang w:val="en-US" w:eastAsia="zh-CN"/>
              </w:rPr>
              <w:t>铜、铅、汞、镍</w:t>
            </w:r>
            <w:r>
              <w:rPr>
                <w:rFonts w:hint="eastAsia"/>
                <w:color w:val="auto"/>
                <w:lang w:val="en-US" w:eastAsia="zh-CN"/>
              </w:rPr>
              <w:t>、苯并[a]芘、六六六总量、滴滴涕总量、</w:t>
            </w:r>
            <w:r>
              <w:rPr>
                <w:rFonts w:hint="default"/>
                <w:color w:val="auto"/>
              </w:rPr>
              <w:t>阳离子交换量、氧化还原电位、饱和导水率、土壤容重、孔隙度</w:t>
            </w:r>
          </w:p>
        </w:tc>
        <w:tc>
          <w:tcPr>
            <w:tcW w:w="660" w:type="pct"/>
            <w:vMerge w:val="continue"/>
            <w:tcBorders>
              <w:tl2br w:val="nil"/>
              <w:tr2bl w:val="nil"/>
            </w:tcBorders>
            <w:noWrap w:val="0"/>
            <w:vAlign w:val="center"/>
          </w:tcPr>
          <w:p w14:paraId="054823D3">
            <w:pPr>
              <w:pStyle w:val="16"/>
              <w:bidi w:val="0"/>
              <w:rPr>
                <w:rFonts w:hint="default"/>
                <w:color w:val="auto"/>
                <w:lang w:val="en-US" w:eastAsia="zh-CN"/>
              </w:rPr>
            </w:pPr>
          </w:p>
        </w:tc>
      </w:tr>
      <w:tr w14:paraId="5803B8C2">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621" w:type="pct"/>
            <w:tcBorders>
              <w:tl2br w:val="nil"/>
              <w:tr2bl w:val="nil"/>
            </w:tcBorders>
            <w:noWrap w:val="0"/>
            <w:vAlign w:val="center"/>
          </w:tcPr>
          <w:p w14:paraId="527C3684">
            <w:pPr>
              <w:pStyle w:val="16"/>
              <w:bidi w:val="0"/>
              <w:rPr>
                <w:rFonts w:hint="default"/>
                <w:color w:val="auto"/>
                <w:lang w:val="en-US" w:eastAsia="zh-CN"/>
              </w:rPr>
            </w:pPr>
            <w:r>
              <w:rPr>
                <w:rFonts w:hint="default"/>
                <w:color w:val="auto"/>
                <w:lang w:val="en-US" w:eastAsia="zh-CN"/>
              </w:rPr>
              <w:t>▀</w:t>
            </w:r>
            <w:r>
              <w:rPr>
                <w:rFonts w:hint="eastAsia"/>
                <w:color w:val="auto"/>
                <w:lang w:val="en-US" w:eastAsia="zh-CN"/>
              </w:rPr>
              <w:t>6</w:t>
            </w:r>
            <w:r>
              <w:rPr>
                <w:rFonts w:hint="default"/>
                <w:color w:val="auto"/>
                <w:lang w:val="en-US" w:eastAsia="zh-CN"/>
              </w:rPr>
              <w:t>#</w:t>
            </w:r>
          </w:p>
        </w:tc>
        <w:tc>
          <w:tcPr>
            <w:tcW w:w="1672" w:type="pct"/>
            <w:tcBorders>
              <w:tl2br w:val="nil"/>
              <w:tr2bl w:val="nil"/>
            </w:tcBorders>
            <w:noWrap w:val="0"/>
            <w:vAlign w:val="center"/>
          </w:tcPr>
          <w:p w14:paraId="4879474F">
            <w:pPr>
              <w:pStyle w:val="16"/>
              <w:bidi w:val="0"/>
              <w:rPr>
                <w:rFonts w:hint="default"/>
                <w:color w:val="auto"/>
                <w:lang w:val="en-US" w:eastAsia="zh-CN"/>
              </w:rPr>
            </w:pPr>
            <w:r>
              <w:rPr>
                <w:rFonts w:hint="eastAsia"/>
                <w:color w:val="auto"/>
              </w:rPr>
              <w:t>项目</w:t>
            </w:r>
            <w:r>
              <w:rPr>
                <w:rFonts w:hint="default"/>
                <w:color w:val="auto"/>
              </w:rPr>
              <w:t>厂区</w:t>
            </w:r>
            <w:r>
              <w:rPr>
                <w:rFonts w:hint="eastAsia"/>
                <w:color w:val="auto"/>
                <w:lang w:val="en-US" w:eastAsia="zh-CN"/>
              </w:rPr>
              <w:t>外西北侧</w:t>
            </w:r>
          </w:p>
        </w:tc>
        <w:tc>
          <w:tcPr>
            <w:tcW w:w="2045" w:type="pct"/>
            <w:vMerge w:val="continue"/>
            <w:tcBorders>
              <w:tl2br w:val="nil"/>
              <w:tr2bl w:val="nil"/>
            </w:tcBorders>
            <w:noWrap w:val="0"/>
            <w:vAlign w:val="center"/>
          </w:tcPr>
          <w:p w14:paraId="6F940B17">
            <w:pPr>
              <w:pStyle w:val="16"/>
              <w:bidi w:val="0"/>
              <w:rPr>
                <w:rFonts w:hint="eastAsia"/>
                <w:color w:val="auto"/>
                <w:lang w:val="en-US" w:eastAsia="zh-CN"/>
              </w:rPr>
            </w:pPr>
          </w:p>
        </w:tc>
        <w:tc>
          <w:tcPr>
            <w:tcW w:w="660" w:type="pct"/>
            <w:vMerge w:val="continue"/>
            <w:tcBorders>
              <w:tl2br w:val="nil"/>
              <w:tr2bl w:val="nil"/>
            </w:tcBorders>
            <w:noWrap w:val="0"/>
            <w:vAlign w:val="center"/>
          </w:tcPr>
          <w:p w14:paraId="5C3D7FE4">
            <w:pPr>
              <w:pStyle w:val="16"/>
              <w:bidi w:val="0"/>
              <w:rPr>
                <w:rFonts w:hint="default"/>
                <w:color w:val="auto"/>
              </w:rPr>
            </w:pPr>
          </w:p>
        </w:tc>
      </w:tr>
    </w:tbl>
    <w:p w14:paraId="46CFA802">
      <w:pPr>
        <w:pStyle w:val="164"/>
        <w:pageBreakBefore w:val="0"/>
        <w:wordWrap/>
        <w:bidi w:val="0"/>
        <w:adjustRightInd/>
        <w:snapToGrid/>
        <w:spacing w:before="156" w:beforeLines="50"/>
        <w:ind w:left="0" w:leftChars="0" w:firstLine="482"/>
        <w:rPr>
          <w:rFonts w:hint="default" w:eastAsia="宋体"/>
          <w:b/>
          <w:color w:val="auto"/>
          <w:lang w:val="en-US" w:eastAsia="zh-CN"/>
        </w:rPr>
      </w:pPr>
      <w:r>
        <w:rPr>
          <w:b/>
          <w:color w:val="auto"/>
        </w:rPr>
        <w:t>2、</w:t>
      </w:r>
      <w:r>
        <w:rPr>
          <w:rFonts w:hint="eastAsia"/>
          <w:b/>
          <w:color w:val="auto"/>
          <w:lang w:val="en-US" w:eastAsia="zh-CN"/>
        </w:rPr>
        <w:t>监测方法</w:t>
      </w:r>
    </w:p>
    <w:p w14:paraId="6B4B0438">
      <w:pPr>
        <w:pStyle w:val="19"/>
        <w:keepNext w:val="0"/>
        <w:keepLines w:val="0"/>
        <w:pageBreakBefore w:val="0"/>
        <w:widowControl w:val="0"/>
        <w:numPr>
          <w:ilvl w:val="0"/>
          <w:numId w:val="28"/>
        </w:numPr>
        <w:kinsoku/>
        <w:wordWrap/>
        <w:overflowPunct/>
        <w:topLinePunct w:val="0"/>
        <w:autoSpaceDE/>
        <w:autoSpaceDN/>
        <w:bidi w:val="0"/>
        <w:adjustRightInd/>
        <w:snapToGrid/>
        <w:spacing w:before="0"/>
        <w:textAlignment w:val="auto"/>
        <w:rPr>
          <w:color w:val="auto"/>
        </w:rPr>
      </w:pPr>
      <w:r>
        <w:rPr>
          <w:rFonts w:hint="eastAsia"/>
          <w:color w:val="auto"/>
        </w:rPr>
        <w:t>土壤检测方法及方法来源</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fixed"/>
        <w:tblCellMar>
          <w:top w:w="0" w:type="dxa"/>
          <w:left w:w="28" w:type="dxa"/>
          <w:bottom w:w="0" w:type="dxa"/>
          <w:right w:w="28" w:type="dxa"/>
        </w:tblCellMar>
      </w:tblPr>
      <w:tblGrid>
        <w:gridCol w:w="1643"/>
        <w:gridCol w:w="2685"/>
        <w:gridCol w:w="1035"/>
        <w:gridCol w:w="2100"/>
        <w:gridCol w:w="1094"/>
      </w:tblGrid>
      <w:tr w14:paraId="47977BC6">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tblHeader/>
          <w:jc w:val="center"/>
        </w:trPr>
        <w:tc>
          <w:tcPr>
            <w:tcW w:w="960" w:type="pct"/>
            <w:tcBorders>
              <w:tl2br w:val="nil"/>
              <w:tr2bl w:val="nil"/>
            </w:tcBorders>
            <w:noWrap w:val="0"/>
            <w:vAlign w:val="center"/>
          </w:tcPr>
          <w:p w14:paraId="280A294E">
            <w:pPr>
              <w:pStyle w:val="16"/>
              <w:bidi w:val="0"/>
              <w:rPr>
                <w:rFonts w:hint="eastAsia"/>
                <w:b/>
                <w:bCs/>
                <w:color w:val="auto"/>
                <w:lang w:eastAsia="zh-CN"/>
              </w:rPr>
            </w:pPr>
            <w:r>
              <w:rPr>
                <w:rFonts w:hint="default"/>
                <w:b/>
                <w:bCs/>
                <w:color w:val="auto"/>
              </w:rPr>
              <w:t>检测</w:t>
            </w:r>
            <w:r>
              <w:rPr>
                <w:rFonts w:hint="eastAsia"/>
                <w:b/>
                <w:bCs/>
                <w:color w:val="auto"/>
                <w:lang w:val="en-US" w:eastAsia="zh-CN"/>
              </w:rPr>
              <w:t>项目</w:t>
            </w:r>
          </w:p>
        </w:tc>
        <w:tc>
          <w:tcPr>
            <w:tcW w:w="1568" w:type="pct"/>
            <w:tcBorders>
              <w:tl2br w:val="nil"/>
              <w:tr2bl w:val="nil"/>
            </w:tcBorders>
            <w:noWrap w:val="0"/>
            <w:vAlign w:val="center"/>
          </w:tcPr>
          <w:p w14:paraId="7B98497F">
            <w:pPr>
              <w:pStyle w:val="16"/>
              <w:bidi w:val="0"/>
              <w:rPr>
                <w:rFonts w:hint="default"/>
                <w:b/>
                <w:bCs/>
                <w:color w:val="auto"/>
              </w:rPr>
            </w:pPr>
            <w:r>
              <w:rPr>
                <w:rFonts w:hint="default"/>
                <w:b/>
                <w:bCs/>
                <w:color w:val="auto"/>
              </w:rPr>
              <w:t>检测方法</w:t>
            </w:r>
          </w:p>
        </w:tc>
        <w:tc>
          <w:tcPr>
            <w:tcW w:w="604" w:type="pct"/>
            <w:tcBorders>
              <w:tl2br w:val="nil"/>
              <w:tr2bl w:val="nil"/>
            </w:tcBorders>
            <w:noWrap w:val="0"/>
            <w:vAlign w:val="center"/>
          </w:tcPr>
          <w:p w14:paraId="727A0067">
            <w:pPr>
              <w:pStyle w:val="16"/>
              <w:bidi w:val="0"/>
              <w:rPr>
                <w:rFonts w:hint="default"/>
                <w:b/>
                <w:bCs/>
                <w:color w:val="auto"/>
              </w:rPr>
            </w:pPr>
            <w:r>
              <w:rPr>
                <w:rFonts w:hint="default"/>
                <w:b/>
                <w:bCs/>
                <w:color w:val="auto"/>
              </w:rPr>
              <w:t>方法来源</w:t>
            </w:r>
          </w:p>
        </w:tc>
        <w:tc>
          <w:tcPr>
            <w:tcW w:w="1227" w:type="pct"/>
            <w:tcBorders>
              <w:tl2br w:val="nil"/>
              <w:tr2bl w:val="nil"/>
            </w:tcBorders>
            <w:noWrap w:val="0"/>
            <w:vAlign w:val="center"/>
          </w:tcPr>
          <w:p w14:paraId="4678D6D3">
            <w:pPr>
              <w:pStyle w:val="16"/>
              <w:bidi w:val="0"/>
              <w:rPr>
                <w:rFonts w:hint="default"/>
                <w:b/>
                <w:bCs/>
                <w:color w:val="auto"/>
              </w:rPr>
            </w:pPr>
            <w:r>
              <w:rPr>
                <w:rFonts w:hint="default"/>
                <w:b/>
                <w:bCs/>
                <w:color w:val="auto"/>
              </w:rPr>
              <w:t>使用仪器及编号</w:t>
            </w:r>
          </w:p>
        </w:tc>
        <w:tc>
          <w:tcPr>
            <w:tcW w:w="639" w:type="pct"/>
            <w:tcBorders>
              <w:tl2br w:val="nil"/>
              <w:tr2bl w:val="nil"/>
            </w:tcBorders>
            <w:noWrap w:val="0"/>
            <w:vAlign w:val="center"/>
          </w:tcPr>
          <w:p w14:paraId="39E163D9">
            <w:pPr>
              <w:pStyle w:val="16"/>
              <w:bidi w:val="0"/>
              <w:rPr>
                <w:rFonts w:hint="default"/>
                <w:b/>
                <w:bCs/>
                <w:color w:val="auto"/>
              </w:rPr>
            </w:pPr>
            <w:r>
              <w:rPr>
                <w:rFonts w:hint="default"/>
                <w:b/>
                <w:bCs/>
                <w:color w:val="auto"/>
              </w:rPr>
              <w:t>检出限</w:t>
            </w:r>
          </w:p>
        </w:tc>
      </w:tr>
      <w:tr w14:paraId="014CD68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69E282EE">
            <w:pPr>
              <w:pStyle w:val="16"/>
              <w:bidi w:val="0"/>
              <w:rPr>
                <w:rFonts w:hint="default"/>
                <w:color w:val="auto"/>
                <w:lang w:val="en-US" w:eastAsia="zh-CN"/>
              </w:rPr>
            </w:pPr>
            <w:r>
              <w:rPr>
                <w:rFonts w:hint="default"/>
                <w:color w:val="auto"/>
                <w:lang w:val="en-US" w:eastAsia="zh-CN"/>
              </w:rPr>
              <w:t>pH</w:t>
            </w:r>
          </w:p>
        </w:tc>
        <w:tc>
          <w:tcPr>
            <w:tcW w:w="1568" w:type="pct"/>
            <w:tcBorders>
              <w:tl2br w:val="nil"/>
              <w:tr2bl w:val="nil"/>
            </w:tcBorders>
            <w:noWrap w:val="0"/>
            <w:vAlign w:val="center"/>
          </w:tcPr>
          <w:p w14:paraId="44EA2EDA">
            <w:pPr>
              <w:pStyle w:val="16"/>
              <w:bidi w:val="0"/>
              <w:rPr>
                <w:rFonts w:hint="default"/>
                <w:color w:val="auto"/>
                <w:lang w:val="en-US" w:eastAsia="zh-CN"/>
              </w:rPr>
            </w:pPr>
            <w:r>
              <w:rPr>
                <w:rFonts w:hint="default"/>
                <w:color w:val="auto"/>
              </w:rPr>
              <w:t>土壤 pH 值的测定 电位法</w:t>
            </w:r>
          </w:p>
        </w:tc>
        <w:tc>
          <w:tcPr>
            <w:tcW w:w="604" w:type="pct"/>
            <w:tcBorders>
              <w:tl2br w:val="nil"/>
              <w:tr2bl w:val="nil"/>
            </w:tcBorders>
            <w:noWrap w:val="0"/>
            <w:vAlign w:val="center"/>
          </w:tcPr>
          <w:p w14:paraId="68BB6BE7">
            <w:pPr>
              <w:pStyle w:val="16"/>
              <w:bidi w:val="0"/>
              <w:rPr>
                <w:rFonts w:hint="default"/>
                <w:color w:val="auto"/>
                <w:lang w:val="en-US" w:eastAsia="zh-CN"/>
              </w:rPr>
            </w:pPr>
            <w:r>
              <w:rPr>
                <w:rFonts w:hint="default"/>
                <w:color w:val="auto"/>
              </w:rPr>
              <w:t>HJ 962-2018</w:t>
            </w:r>
          </w:p>
        </w:tc>
        <w:tc>
          <w:tcPr>
            <w:tcW w:w="1227" w:type="pct"/>
            <w:tcBorders>
              <w:tl2br w:val="nil"/>
              <w:tr2bl w:val="nil"/>
            </w:tcBorders>
            <w:noWrap w:val="0"/>
            <w:vAlign w:val="center"/>
          </w:tcPr>
          <w:p w14:paraId="6A0BF7E8">
            <w:pPr>
              <w:pStyle w:val="16"/>
              <w:bidi w:val="0"/>
              <w:rPr>
                <w:rFonts w:hint="default"/>
                <w:color w:val="auto"/>
              </w:rPr>
            </w:pPr>
            <w:r>
              <w:rPr>
                <w:rFonts w:hint="default"/>
                <w:color w:val="auto"/>
              </w:rPr>
              <w:t>PHS-3CpH计</w:t>
            </w:r>
            <w:r>
              <w:rPr>
                <w:rFonts w:hint="default"/>
                <w:color w:val="auto"/>
                <w:lang w:eastAsia="zh-CN"/>
              </w:rPr>
              <w:t>（HDH/YQ-12-01）</w:t>
            </w:r>
            <w:r>
              <w:rPr>
                <w:rFonts w:hint="default"/>
                <w:color w:val="auto"/>
              </w:rPr>
              <w:t>YP1002N电子天平</w:t>
            </w:r>
          </w:p>
          <w:p w14:paraId="179F2F61">
            <w:pPr>
              <w:pStyle w:val="16"/>
              <w:bidi w:val="0"/>
              <w:rPr>
                <w:rFonts w:hint="default"/>
                <w:color w:val="auto"/>
                <w:lang w:val="en-US" w:eastAsia="zh-CN"/>
              </w:rPr>
            </w:pPr>
            <w:r>
              <w:rPr>
                <w:rFonts w:hint="default"/>
                <w:color w:val="auto"/>
                <w:lang w:eastAsia="zh-CN"/>
              </w:rPr>
              <w:t>（</w:t>
            </w:r>
            <w:r>
              <w:rPr>
                <w:rFonts w:hint="default"/>
                <w:color w:val="auto"/>
              </w:rPr>
              <w:t>百分之一</w:t>
            </w:r>
            <w:r>
              <w:rPr>
                <w:rFonts w:hint="default"/>
                <w:color w:val="auto"/>
                <w:lang w:eastAsia="zh-CN"/>
              </w:rPr>
              <w:t>）（</w:t>
            </w:r>
            <w:r>
              <w:rPr>
                <w:rFonts w:hint="default"/>
                <w:color w:val="auto"/>
                <w:lang w:val="en-US" w:eastAsia="zh-CN"/>
              </w:rPr>
              <w:t>HDH/YQ-20-01</w:t>
            </w:r>
            <w:r>
              <w:rPr>
                <w:rFonts w:hint="default"/>
                <w:color w:val="auto"/>
                <w:lang w:eastAsia="zh-CN"/>
              </w:rPr>
              <w:t>）</w:t>
            </w:r>
          </w:p>
        </w:tc>
        <w:tc>
          <w:tcPr>
            <w:tcW w:w="639" w:type="pct"/>
            <w:tcBorders>
              <w:tl2br w:val="nil"/>
              <w:tr2bl w:val="nil"/>
            </w:tcBorders>
            <w:noWrap w:val="0"/>
            <w:vAlign w:val="center"/>
          </w:tcPr>
          <w:p w14:paraId="19E79066">
            <w:pPr>
              <w:pStyle w:val="16"/>
              <w:bidi w:val="0"/>
              <w:rPr>
                <w:rFonts w:hint="default"/>
                <w:color w:val="auto"/>
                <w:lang w:val="en-US" w:eastAsia="zh-CN"/>
              </w:rPr>
            </w:pPr>
            <w:r>
              <w:rPr>
                <w:rFonts w:hint="default"/>
                <w:color w:val="auto"/>
                <w:lang w:val="en-US" w:eastAsia="zh-CN"/>
              </w:rPr>
              <w:t>/</w:t>
            </w:r>
          </w:p>
        </w:tc>
      </w:tr>
      <w:tr w14:paraId="7419ED8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58F6F64D">
            <w:pPr>
              <w:pStyle w:val="16"/>
              <w:bidi w:val="0"/>
              <w:rPr>
                <w:rFonts w:hint="default"/>
                <w:color w:val="auto"/>
                <w:lang w:val="en-US" w:eastAsia="zh-CN"/>
              </w:rPr>
            </w:pPr>
            <w:r>
              <w:rPr>
                <w:rFonts w:hint="default"/>
                <w:color w:val="auto"/>
                <w:lang w:val="en-US" w:eastAsia="zh-CN"/>
              </w:rPr>
              <w:t>铜</w:t>
            </w:r>
          </w:p>
        </w:tc>
        <w:tc>
          <w:tcPr>
            <w:tcW w:w="1568" w:type="pct"/>
            <w:vMerge w:val="restart"/>
            <w:tcBorders>
              <w:tl2br w:val="nil"/>
              <w:tr2bl w:val="nil"/>
            </w:tcBorders>
            <w:noWrap w:val="0"/>
            <w:vAlign w:val="center"/>
          </w:tcPr>
          <w:p w14:paraId="11551141">
            <w:pPr>
              <w:pStyle w:val="16"/>
              <w:bidi w:val="0"/>
              <w:rPr>
                <w:rFonts w:hint="default"/>
                <w:color w:val="auto"/>
                <w:lang w:val="en-US" w:eastAsia="zh-CN"/>
              </w:rPr>
            </w:pPr>
            <w:r>
              <w:rPr>
                <w:rFonts w:hint="eastAsia"/>
                <w:color w:val="auto"/>
                <w:lang w:val="en-US" w:eastAsia="zh-CN"/>
              </w:rPr>
              <w:t>土壤和沉积物</w:t>
            </w:r>
            <w:r>
              <w:rPr>
                <w:rFonts w:hint="default"/>
                <w:color w:val="auto"/>
                <w:lang w:val="en-US" w:eastAsia="zh-CN"/>
              </w:rPr>
              <w:t xml:space="preserve"> 19</w:t>
            </w:r>
            <w:r>
              <w:rPr>
                <w:rFonts w:hint="eastAsia"/>
                <w:color w:val="auto"/>
                <w:lang w:val="en-US" w:eastAsia="zh-CN"/>
              </w:rPr>
              <w:t>种金属元素总量的测定</w:t>
            </w:r>
            <w:r>
              <w:rPr>
                <w:rFonts w:hint="default"/>
                <w:color w:val="auto"/>
                <w:lang w:val="en-US" w:eastAsia="zh-CN"/>
              </w:rPr>
              <w:t xml:space="preserve"> </w:t>
            </w:r>
            <w:r>
              <w:rPr>
                <w:rFonts w:hint="eastAsia"/>
                <w:color w:val="auto"/>
                <w:lang w:val="en-US" w:eastAsia="zh-CN"/>
              </w:rPr>
              <w:t>电感耦合等离子体质谱法</w:t>
            </w:r>
          </w:p>
        </w:tc>
        <w:tc>
          <w:tcPr>
            <w:tcW w:w="604" w:type="pct"/>
            <w:vMerge w:val="restart"/>
            <w:tcBorders>
              <w:tl2br w:val="nil"/>
              <w:tr2bl w:val="nil"/>
            </w:tcBorders>
            <w:noWrap w:val="0"/>
            <w:vAlign w:val="center"/>
          </w:tcPr>
          <w:p w14:paraId="59CAAB13">
            <w:pPr>
              <w:pStyle w:val="16"/>
              <w:bidi w:val="0"/>
              <w:rPr>
                <w:rFonts w:hint="default"/>
                <w:color w:val="auto"/>
                <w:lang w:val="en-US" w:eastAsia="zh-CN"/>
              </w:rPr>
            </w:pPr>
            <w:r>
              <w:rPr>
                <w:rFonts w:hint="default"/>
                <w:color w:val="auto"/>
                <w:lang w:val="en-US" w:eastAsia="zh-CN"/>
              </w:rPr>
              <w:t>HJ</w:t>
            </w:r>
            <w:r>
              <w:rPr>
                <w:rFonts w:hint="eastAsia"/>
                <w:color w:val="auto"/>
                <w:lang w:val="en-US" w:eastAsia="zh-CN"/>
              </w:rPr>
              <w:t xml:space="preserve"> </w:t>
            </w:r>
            <w:r>
              <w:rPr>
                <w:rFonts w:hint="default"/>
                <w:color w:val="auto"/>
                <w:lang w:val="en-US" w:eastAsia="zh-CN"/>
              </w:rPr>
              <w:t>1315-2023</w:t>
            </w:r>
          </w:p>
        </w:tc>
        <w:tc>
          <w:tcPr>
            <w:tcW w:w="1227" w:type="pct"/>
            <w:vMerge w:val="restart"/>
            <w:tcBorders>
              <w:tl2br w:val="nil"/>
              <w:tr2bl w:val="nil"/>
            </w:tcBorders>
            <w:noWrap w:val="0"/>
            <w:vAlign w:val="center"/>
          </w:tcPr>
          <w:p w14:paraId="16DC808D">
            <w:pPr>
              <w:pStyle w:val="16"/>
              <w:bidi w:val="0"/>
              <w:rPr>
                <w:rFonts w:hint="default"/>
                <w:color w:val="auto"/>
                <w:lang w:val="en-US" w:eastAsia="zh-CN"/>
              </w:rPr>
            </w:pPr>
            <w:r>
              <w:rPr>
                <w:rFonts w:hint="default"/>
                <w:color w:val="auto"/>
                <w:lang w:val="en-US" w:eastAsia="zh-CN"/>
              </w:rPr>
              <w:t>BRUKER aurora M90ICP-MS（HDH/YQ-</w:t>
            </w:r>
            <w:r>
              <w:rPr>
                <w:rFonts w:hint="eastAsia"/>
                <w:color w:val="auto"/>
                <w:lang w:val="en-US" w:eastAsia="zh-CN"/>
              </w:rPr>
              <w:t>37</w:t>
            </w:r>
            <w:r>
              <w:rPr>
                <w:rFonts w:hint="default"/>
                <w:color w:val="auto"/>
                <w:lang w:val="en-US" w:eastAsia="zh-CN"/>
              </w:rPr>
              <w:t>-01）</w:t>
            </w:r>
          </w:p>
        </w:tc>
        <w:tc>
          <w:tcPr>
            <w:tcW w:w="639" w:type="pct"/>
            <w:tcBorders>
              <w:tl2br w:val="nil"/>
              <w:tr2bl w:val="nil"/>
            </w:tcBorders>
            <w:noWrap w:val="0"/>
            <w:vAlign w:val="center"/>
          </w:tcPr>
          <w:p w14:paraId="59D60B0E">
            <w:pPr>
              <w:pStyle w:val="16"/>
              <w:bidi w:val="0"/>
              <w:rPr>
                <w:rFonts w:hint="default"/>
                <w:color w:val="auto"/>
                <w:lang w:val="en-US" w:eastAsia="zh-CN"/>
              </w:rPr>
            </w:pPr>
            <w:r>
              <w:rPr>
                <w:rFonts w:hint="eastAsia"/>
                <w:color w:val="auto"/>
                <w:lang w:val="en-US" w:eastAsia="zh-CN"/>
              </w:rPr>
              <w:t>0.7</w:t>
            </w:r>
            <w:r>
              <w:rPr>
                <w:rFonts w:hint="default"/>
                <w:color w:val="auto"/>
                <w:lang w:val="en-US" w:eastAsia="zh-CN"/>
              </w:rPr>
              <w:t>mg/kg</w:t>
            </w:r>
          </w:p>
        </w:tc>
      </w:tr>
      <w:tr w14:paraId="731CA00B">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73277D0D">
            <w:pPr>
              <w:pStyle w:val="16"/>
              <w:bidi w:val="0"/>
              <w:rPr>
                <w:rFonts w:hint="default"/>
                <w:color w:val="auto"/>
                <w:lang w:val="en-US" w:eastAsia="zh-CN"/>
              </w:rPr>
            </w:pPr>
            <w:r>
              <w:rPr>
                <w:rFonts w:hint="default"/>
                <w:color w:val="auto"/>
                <w:lang w:val="en-US" w:eastAsia="zh-CN"/>
              </w:rPr>
              <w:t>铅</w:t>
            </w:r>
          </w:p>
        </w:tc>
        <w:tc>
          <w:tcPr>
            <w:tcW w:w="1568" w:type="pct"/>
            <w:vMerge w:val="continue"/>
            <w:tcBorders>
              <w:tl2br w:val="nil"/>
              <w:tr2bl w:val="nil"/>
            </w:tcBorders>
            <w:noWrap w:val="0"/>
            <w:vAlign w:val="center"/>
          </w:tcPr>
          <w:p w14:paraId="36762B8A">
            <w:pPr>
              <w:pStyle w:val="16"/>
              <w:bidi w:val="0"/>
              <w:rPr>
                <w:rFonts w:hint="default"/>
                <w:color w:val="auto"/>
                <w:lang w:val="en-US" w:eastAsia="zh-CN"/>
              </w:rPr>
            </w:pPr>
          </w:p>
        </w:tc>
        <w:tc>
          <w:tcPr>
            <w:tcW w:w="604" w:type="pct"/>
            <w:vMerge w:val="continue"/>
            <w:tcBorders>
              <w:tl2br w:val="nil"/>
              <w:tr2bl w:val="nil"/>
            </w:tcBorders>
            <w:noWrap w:val="0"/>
            <w:vAlign w:val="center"/>
          </w:tcPr>
          <w:p w14:paraId="1148EB60">
            <w:pPr>
              <w:pStyle w:val="16"/>
              <w:bidi w:val="0"/>
              <w:rPr>
                <w:rFonts w:hint="default"/>
                <w:color w:val="auto"/>
                <w:lang w:val="en-US" w:eastAsia="zh-CN"/>
              </w:rPr>
            </w:pPr>
          </w:p>
        </w:tc>
        <w:tc>
          <w:tcPr>
            <w:tcW w:w="1227" w:type="pct"/>
            <w:vMerge w:val="continue"/>
            <w:tcBorders>
              <w:tl2br w:val="nil"/>
              <w:tr2bl w:val="nil"/>
            </w:tcBorders>
            <w:noWrap w:val="0"/>
            <w:vAlign w:val="center"/>
          </w:tcPr>
          <w:p w14:paraId="7E7D9CBE">
            <w:pPr>
              <w:pStyle w:val="16"/>
              <w:bidi w:val="0"/>
              <w:rPr>
                <w:rFonts w:hint="default"/>
                <w:color w:val="auto"/>
                <w:lang w:val="en-US" w:eastAsia="zh-CN"/>
              </w:rPr>
            </w:pPr>
          </w:p>
        </w:tc>
        <w:tc>
          <w:tcPr>
            <w:tcW w:w="639" w:type="pct"/>
            <w:tcBorders>
              <w:tl2br w:val="nil"/>
              <w:tr2bl w:val="nil"/>
            </w:tcBorders>
            <w:noWrap w:val="0"/>
            <w:vAlign w:val="center"/>
          </w:tcPr>
          <w:p w14:paraId="7B44FC11">
            <w:pPr>
              <w:pStyle w:val="16"/>
              <w:bidi w:val="0"/>
              <w:rPr>
                <w:rFonts w:hint="default"/>
                <w:color w:val="auto"/>
                <w:lang w:val="en-US" w:eastAsia="zh-CN"/>
              </w:rPr>
            </w:pPr>
            <w:r>
              <w:rPr>
                <w:rFonts w:hint="eastAsia"/>
                <w:color w:val="auto"/>
                <w:lang w:val="en-US" w:eastAsia="zh-CN"/>
              </w:rPr>
              <w:t>1</w:t>
            </w:r>
            <w:r>
              <w:rPr>
                <w:rFonts w:hint="default"/>
                <w:color w:val="auto"/>
                <w:lang w:val="en-US" w:eastAsia="zh-CN"/>
              </w:rPr>
              <w:t>mg/kg</w:t>
            </w:r>
          </w:p>
        </w:tc>
      </w:tr>
      <w:tr w14:paraId="559CD284">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666FB51D">
            <w:pPr>
              <w:pStyle w:val="16"/>
              <w:bidi w:val="0"/>
              <w:rPr>
                <w:rFonts w:hint="default"/>
                <w:color w:val="auto"/>
                <w:lang w:val="en-US" w:eastAsia="zh-CN"/>
              </w:rPr>
            </w:pPr>
            <w:r>
              <w:rPr>
                <w:rFonts w:hint="default"/>
                <w:color w:val="auto"/>
                <w:lang w:val="en-US" w:eastAsia="zh-CN"/>
              </w:rPr>
              <w:t>镍</w:t>
            </w:r>
          </w:p>
        </w:tc>
        <w:tc>
          <w:tcPr>
            <w:tcW w:w="1568" w:type="pct"/>
            <w:vMerge w:val="continue"/>
            <w:tcBorders>
              <w:tl2br w:val="nil"/>
              <w:tr2bl w:val="nil"/>
            </w:tcBorders>
            <w:noWrap w:val="0"/>
            <w:vAlign w:val="center"/>
          </w:tcPr>
          <w:p w14:paraId="588E9BAD">
            <w:pPr>
              <w:pStyle w:val="16"/>
              <w:bidi w:val="0"/>
              <w:rPr>
                <w:rFonts w:hint="default"/>
                <w:color w:val="auto"/>
                <w:lang w:val="en-US" w:eastAsia="zh-CN"/>
              </w:rPr>
            </w:pPr>
          </w:p>
        </w:tc>
        <w:tc>
          <w:tcPr>
            <w:tcW w:w="604" w:type="pct"/>
            <w:vMerge w:val="continue"/>
            <w:tcBorders>
              <w:tl2br w:val="nil"/>
              <w:tr2bl w:val="nil"/>
            </w:tcBorders>
            <w:noWrap w:val="0"/>
            <w:vAlign w:val="center"/>
          </w:tcPr>
          <w:p w14:paraId="41BC9742">
            <w:pPr>
              <w:pStyle w:val="16"/>
              <w:bidi w:val="0"/>
              <w:rPr>
                <w:rFonts w:hint="default"/>
                <w:color w:val="auto"/>
                <w:lang w:val="en-US" w:eastAsia="zh-CN"/>
              </w:rPr>
            </w:pPr>
          </w:p>
        </w:tc>
        <w:tc>
          <w:tcPr>
            <w:tcW w:w="1227" w:type="pct"/>
            <w:vMerge w:val="continue"/>
            <w:tcBorders>
              <w:tl2br w:val="nil"/>
              <w:tr2bl w:val="nil"/>
            </w:tcBorders>
            <w:noWrap w:val="0"/>
            <w:vAlign w:val="center"/>
          </w:tcPr>
          <w:p w14:paraId="435D551B">
            <w:pPr>
              <w:pStyle w:val="16"/>
              <w:bidi w:val="0"/>
              <w:rPr>
                <w:rFonts w:hint="default"/>
                <w:color w:val="auto"/>
                <w:lang w:val="en-US" w:eastAsia="zh-CN"/>
              </w:rPr>
            </w:pPr>
          </w:p>
        </w:tc>
        <w:tc>
          <w:tcPr>
            <w:tcW w:w="639" w:type="pct"/>
            <w:tcBorders>
              <w:tl2br w:val="nil"/>
              <w:tr2bl w:val="nil"/>
            </w:tcBorders>
            <w:noWrap w:val="0"/>
            <w:vAlign w:val="center"/>
          </w:tcPr>
          <w:p w14:paraId="50FDB7AE">
            <w:pPr>
              <w:pStyle w:val="16"/>
              <w:bidi w:val="0"/>
              <w:rPr>
                <w:rFonts w:hint="default"/>
                <w:color w:val="auto"/>
                <w:lang w:val="en-US" w:eastAsia="zh-CN"/>
              </w:rPr>
            </w:pPr>
            <w:r>
              <w:rPr>
                <w:rFonts w:hint="eastAsia"/>
                <w:color w:val="auto"/>
                <w:lang w:val="en-US" w:eastAsia="zh-CN"/>
              </w:rPr>
              <w:t>2</w:t>
            </w:r>
            <w:r>
              <w:rPr>
                <w:rFonts w:hint="default"/>
                <w:color w:val="auto"/>
                <w:lang w:val="en-US" w:eastAsia="zh-CN"/>
              </w:rPr>
              <w:t>mg/kg</w:t>
            </w:r>
          </w:p>
        </w:tc>
      </w:tr>
      <w:tr w14:paraId="0F294061">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20829780">
            <w:pPr>
              <w:pStyle w:val="16"/>
              <w:bidi w:val="0"/>
              <w:rPr>
                <w:rFonts w:hint="default"/>
                <w:color w:val="auto"/>
                <w:lang w:val="en-US" w:eastAsia="zh-CN"/>
              </w:rPr>
            </w:pPr>
            <w:r>
              <w:rPr>
                <w:rFonts w:hint="eastAsia"/>
                <w:color w:val="auto"/>
                <w:lang w:val="en-US" w:eastAsia="zh-CN"/>
              </w:rPr>
              <w:t>铬</w:t>
            </w:r>
          </w:p>
        </w:tc>
        <w:tc>
          <w:tcPr>
            <w:tcW w:w="1568" w:type="pct"/>
            <w:vMerge w:val="continue"/>
            <w:tcBorders>
              <w:tl2br w:val="nil"/>
              <w:tr2bl w:val="nil"/>
            </w:tcBorders>
            <w:noWrap w:val="0"/>
            <w:vAlign w:val="center"/>
          </w:tcPr>
          <w:p w14:paraId="7722DE7E">
            <w:pPr>
              <w:pStyle w:val="16"/>
              <w:bidi w:val="0"/>
              <w:rPr>
                <w:rFonts w:hint="default"/>
                <w:color w:val="auto"/>
                <w:lang w:val="en-US" w:eastAsia="zh-CN"/>
              </w:rPr>
            </w:pPr>
          </w:p>
        </w:tc>
        <w:tc>
          <w:tcPr>
            <w:tcW w:w="604" w:type="pct"/>
            <w:vMerge w:val="continue"/>
            <w:tcBorders>
              <w:tl2br w:val="nil"/>
              <w:tr2bl w:val="nil"/>
            </w:tcBorders>
            <w:noWrap w:val="0"/>
            <w:vAlign w:val="center"/>
          </w:tcPr>
          <w:p w14:paraId="6B648CD2">
            <w:pPr>
              <w:pStyle w:val="16"/>
              <w:bidi w:val="0"/>
              <w:rPr>
                <w:rFonts w:hint="default"/>
                <w:color w:val="auto"/>
                <w:lang w:val="en-US" w:eastAsia="zh-CN"/>
              </w:rPr>
            </w:pPr>
          </w:p>
        </w:tc>
        <w:tc>
          <w:tcPr>
            <w:tcW w:w="1227" w:type="pct"/>
            <w:vMerge w:val="continue"/>
            <w:tcBorders>
              <w:tl2br w:val="nil"/>
              <w:tr2bl w:val="nil"/>
            </w:tcBorders>
            <w:noWrap w:val="0"/>
            <w:vAlign w:val="center"/>
          </w:tcPr>
          <w:p w14:paraId="00F120D0">
            <w:pPr>
              <w:pStyle w:val="16"/>
              <w:bidi w:val="0"/>
              <w:rPr>
                <w:rFonts w:hint="default"/>
                <w:color w:val="auto"/>
                <w:lang w:val="en-US" w:eastAsia="zh-CN"/>
              </w:rPr>
            </w:pPr>
          </w:p>
        </w:tc>
        <w:tc>
          <w:tcPr>
            <w:tcW w:w="639" w:type="pct"/>
            <w:tcBorders>
              <w:tl2br w:val="nil"/>
              <w:tr2bl w:val="nil"/>
            </w:tcBorders>
            <w:noWrap w:val="0"/>
            <w:vAlign w:val="center"/>
          </w:tcPr>
          <w:p w14:paraId="02D8AF55">
            <w:pPr>
              <w:pStyle w:val="16"/>
              <w:bidi w:val="0"/>
              <w:rPr>
                <w:rFonts w:hint="default"/>
                <w:color w:val="auto"/>
                <w:lang w:val="en-US" w:eastAsia="zh-CN"/>
              </w:rPr>
            </w:pPr>
            <w:r>
              <w:rPr>
                <w:rFonts w:hint="eastAsia"/>
                <w:color w:val="auto"/>
                <w:lang w:val="en-US" w:eastAsia="zh-CN"/>
              </w:rPr>
              <w:t>2</w:t>
            </w:r>
            <w:r>
              <w:rPr>
                <w:rFonts w:hint="default"/>
                <w:color w:val="auto"/>
                <w:lang w:val="en-US" w:eastAsia="zh-CN"/>
              </w:rPr>
              <w:t>mg/kg</w:t>
            </w:r>
          </w:p>
        </w:tc>
      </w:tr>
      <w:tr w14:paraId="11ECBD21">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50FF70CB">
            <w:pPr>
              <w:pStyle w:val="16"/>
              <w:bidi w:val="0"/>
              <w:rPr>
                <w:rFonts w:hint="default"/>
                <w:color w:val="auto"/>
                <w:lang w:val="en-US" w:eastAsia="zh-CN"/>
              </w:rPr>
            </w:pPr>
            <w:r>
              <w:rPr>
                <w:rFonts w:hint="eastAsia"/>
                <w:color w:val="auto"/>
                <w:lang w:val="en-US" w:eastAsia="zh-CN"/>
              </w:rPr>
              <w:t>锌</w:t>
            </w:r>
          </w:p>
        </w:tc>
        <w:tc>
          <w:tcPr>
            <w:tcW w:w="1568" w:type="pct"/>
            <w:vMerge w:val="continue"/>
            <w:tcBorders>
              <w:tl2br w:val="nil"/>
              <w:tr2bl w:val="nil"/>
            </w:tcBorders>
            <w:noWrap w:val="0"/>
            <w:vAlign w:val="center"/>
          </w:tcPr>
          <w:p w14:paraId="4B797F26">
            <w:pPr>
              <w:pStyle w:val="16"/>
              <w:bidi w:val="0"/>
              <w:rPr>
                <w:rFonts w:hint="default"/>
                <w:color w:val="auto"/>
                <w:lang w:val="en-US" w:eastAsia="zh-CN"/>
              </w:rPr>
            </w:pPr>
          </w:p>
        </w:tc>
        <w:tc>
          <w:tcPr>
            <w:tcW w:w="604" w:type="pct"/>
            <w:vMerge w:val="continue"/>
            <w:tcBorders>
              <w:tl2br w:val="nil"/>
              <w:tr2bl w:val="nil"/>
            </w:tcBorders>
            <w:noWrap w:val="0"/>
            <w:vAlign w:val="center"/>
          </w:tcPr>
          <w:p w14:paraId="002F3EBF">
            <w:pPr>
              <w:pStyle w:val="16"/>
              <w:bidi w:val="0"/>
              <w:rPr>
                <w:rFonts w:hint="default"/>
                <w:color w:val="auto"/>
                <w:lang w:val="en-US" w:eastAsia="zh-CN"/>
              </w:rPr>
            </w:pPr>
          </w:p>
        </w:tc>
        <w:tc>
          <w:tcPr>
            <w:tcW w:w="1227" w:type="pct"/>
            <w:vMerge w:val="continue"/>
            <w:tcBorders>
              <w:tl2br w:val="nil"/>
              <w:tr2bl w:val="nil"/>
            </w:tcBorders>
            <w:noWrap w:val="0"/>
            <w:vAlign w:val="center"/>
          </w:tcPr>
          <w:p w14:paraId="22196682">
            <w:pPr>
              <w:pStyle w:val="16"/>
              <w:bidi w:val="0"/>
              <w:rPr>
                <w:rFonts w:hint="default"/>
                <w:color w:val="auto"/>
                <w:lang w:val="en-US" w:eastAsia="zh-CN"/>
              </w:rPr>
            </w:pPr>
          </w:p>
        </w:tc>
        <w:tc>
          <w:tcPr>
            <w:tcW w:w="639" w:type="pct"/>
            <w:tcBorders>
              <w:tl2br w:val="nil"/>
              <w:tr2bl w:val="nil"/>
            </w:tcBorders>
            <w:noWrap w:val="0"/>
            <w:vAlign w:val="center"/>
          </w:tcPr>
          <w:p w14:paraId="5CE2E317">
            <w:pPr>
              <w:pStyle w:val="16"/>
              <w:bidi w:val="0"/>
              <w:rPr>
                <w:rFonts w:hint="default"/>
                <w:color w:val="auto"/>
                <w:lang w:val="en-US" w:eastAsia="zh-CN"/>
              </w:rPr>
            </w:pPr>
            <w:r>
              <w:rPr>
                <w:rFonts w:hint="eastAsia"/>
                <w:color w:val="auto"/>
                <w:lang w:val="en-US" w:eastAsia="zh-CN"/>
              </w:rPr>
              <w:t>5</w:t>
            </w:r>
            <w:r>
              <w:rPr>
                <w:rFonts w:hint="default"/>
                <w:color w:val="auto"/>
                <w:lang w:val="en-US" w:eastAsia="zh-CN"/>
              </w:rPr>
              <w:t>mg/kg</w:t>
            </w:r>
          </w:p>
        </w:tc>
      </w:tr>
      <w:tr w14:paraId="79C7C11B">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5BD66083">
            <w:pPr>
              <w:pStyle w:val="16"/>
              <w:bidi w:val="0"/>
              <w:rPr>
                <w:rFonts w:hint="eastAsia"/>
                <w:color w:val="auto"/>
                <w:lang w:val="en-US" w:eastAsia="zh-CN"/>
              </w:rPr>
            </w:pPr>
            <w:r>
              <w:rPr>
                <w:rFonts w:hint="default"/>
                <w:color w:val="auto"/>
                <w:lang w:val="en-US" w:eastAsia="zh-CN"/>
              </w:rPr>
              <w:t>砷</w:t>
            </w:r>
          </w:p>
        </w:tc>
        <w:tc>
          <w:tcPr>
            <w:tcW w:w="1568" w:type="pct"/>
            <w:vMerge w:val="restart"/>
            <w:tcBorders>
              <w:tl2br w:val="nil"/>
              <w:tr2bl w:val="nil"/>
            </w:tcBorders>
            <w:noWrap w:val="0"/>
            <w:vAlign w:val="center"/>
          </w:tcPr>
          <w:p w14:paraId="0734715C">
            <w:pPr>
              <w:pStyle w:val="16"/>
              <w:bidi w:val="0"/>
              <w:rPr>
                <w:rFonts w:hint="default"/>
                <w:color w:val="auto"/>
                <w:lang w:val="en-US" w:eastAsia="zh-CN"/>
              </w:rPr>
            </w:pPr>
            <w:r>
              <w:rPr>
                <w:rFonts w:hint="default"/>
                <w:color w:val="auto"/>
              </w:rPr>
              <w:t>土壤和沉积物 汞、砷、硒、铋、锑的测定 微波消解/原子荧光法</w:t>
            </w:r>
          </w:p>
        </w:tc>
        <w:tc>
          <w:tcPr>
            <w:tcW w:w="604" w:type="pct"/>
            <w:vMerge w:val="restart"/>
            <w:tcBorders>
              <w:tl2br w:val="nil"/>
              <w:tr2bl w:val="nil"/>
            </w:tcBorders>
            <w:noWrap w:val="0"/>
            <w:vAlign w:val="center"/>
          </w:tcPr>
          <w:p w14:paraId="346127B8">
            <w:pPr>
              <w:pStyle w:val="16"/>
              <w:bidi w:val="0"/>
              <w:rPr>
                <w:rFonts w:hint="default"/>
                <w:color w:val="auto"/>
                <w:lang w:val="en-US" w:eastAsia="zh-CN"/>
              </w:rPr>
            </w:pPr>
            <w:r>
              <w:rPr>
                <w:rFonts w:hint="default"/>
                <w:color w:val="auto"/>
              </w:rPr>
              <w:t>HJ 680-2013</w:t>
            </w:r>
          </w:p>
        </w:tc>
        <w:tc>
          <w:tcPr>
            <w:tcW w:w="1227" w:type="pct"/>
            <w:vMerge w:val="restart"/>
            <w:tcBorders>
              <w:tl2br w:val="nil"/>
              <w:tr2bl w:val="nil"/>
            </w:tcBorders>
            <w:noWrap w:val="0"/>
            <w:vAlign w:val="center"/>
          </w:tcPr>
          <w:p w14:paraId="1DE9F964">
            <w:pPr>
              <w:pStyle w:val="16"/>
              <w:bidi w:val="0"/>
              <w:rPr>
                <w:rFonts w:hint="default"/>
                <w:color w:val="auto"/>
                <w:lang w:val="en-US" w:eastAsia="zh-CN"/>
              </w:rPr>
            </w:pPr>
            <w:r>
              <w:rPr>
                <w:rFonts w:hint="default"/>
                <w:color w:val="auto"/>
              </w:rPr>
              <w:t>AFS-8510原子荧光分光光度计</w:t>
            </w:r>
            <w:r>
              <w:rPr>
                <w:rFonts w:hint="default"/>
                <w:color w:val="auto"/>
                <w:lang w:eastAsia="zh-CN"/>
              </w:rPr>
              <w:t>（HDH/YQ-01-01）</w:t>
            </w:r>
          </w:p>
        </w:tc>
        <w:tc>
          <w:tcPr>
            <w:tcW w:w="639" w:type="pct"/>
            <w:tcBorders>
              <w:tl2br w:val="nil"/>
              <w:tr2bl w:val="nil"/>
            </w:tcBorders>
            <w:noWrap w:val="0"/>
            <w:vAlign w:val="center"/>
          </w:tcPr>
          <w:p w14:paraId="4C6A205B">
            <w:pPr>
              <w:pStyle w:val="16"/>
              <w:bidi w:val="0"/>
              <w:rPr>
                <w:rFonts w:hint="eastAsia"/>
                <w:color w:val="auto"/>
                <w:lang w:val="en-US" w:eastAsia="zh-CN"/>
              </w:rPr>
            </w:pPr>
            <w:r>
              <w:rPr>
                <w:rFonts w:hint="default"/>
                <w:color w:val="auto"/>
                <w:lang w:val="en-US" w:eastAsia="zh-CN"/>
              </w:rPr>
              <w:t>0.01mg/kg</w:t>
            </w:r>
          </w:p>
        </w:tc>
      </w:tr>
      <w:tr w14:paraId="4076D40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2A347EB7">
            <w:pPr>
              <w:pStyle w:val="16"/>
              <w:bidi w:val="0"/>
              <w:rPr>
                <w:rFonts w:hint="eastAsia"/>
                <w:color w:val="auto"/>
                <w:lang w:val="en-US" w:eastAsia="zh-CN"/>
              </w:rPr>
            </w:pPr>
            <w:r>
              <w:rPr>
                <w:rFonts w:hint="default"/>
                <w:color w:val="auto"/>
                <w:lang w:val="en-US" w:eastAsia="zh-CN"/>
              </w:rPr>
              <w:t>汞</w:t>
            </w:r>
          </w:p>
        </w:tc>
        <w:tc>
          <w:tcPr>
            <w:tcW w:w="1568" w:type="pct"/>
            <w:vMerge w:val="continue"/>
            <w:tcBorders>
              <w:tl2br w:val="nil"/>
              <w:tr2bl w:val="nil"/>
            </w:tcBorders>
            <w:noWrap w:val="0"/>
            <w:vAlign w:val="center"/>
          </w:tcPr>
          <w:p w14:paraId="323B2F34">
            <w:pPr>
              <w:pStyle w:val="16"/>
              <w:bidi w:val="0"/>
              <w:rPr>
                <w:rFonts w:hint="default"/>
                <w:color w:val="auto"/>
                <w:lang w:val="en-US" w:eastAsia="zh-CN"/>
              </w:rPr>
            </w:pPr>
          </w:p>
        </w:tc>
        <w:tc>
          <w:tcPr>
            <w:tcW w:w="604" w:type="pct"/>
            <w:vMerge w:val="continue"/>
            <w:tcBorders>
              <w:tl2br w:val="nil"/>
              <w:tr2bl w:val="nil"/>
            </w:tcBorders>
            <w:noWrap w:val="0"/>
            <w:vAlign w:val="center"/>
          </w:tcPr>
          <w:p w14:paraId="5EC63946">
            <w:pPr>
              <w:pStyle w:val="16"/>
              <w:bidi w:val="0"/>
              <w:rPr>
                <w:rFonts w:hint="default"/>
                <w:color w:val="auto"/>
                <w:lang w:val="en-US" w:eastAsia="zh-CN"/>
              </w:rPr>
            </w:pPr>
          </w:p>
        </w:tc>
        <w:tc>
          <w:tcPr>
            <w:tcW w:w="1227" w:type="pct"/>
            <w:vMerge w:val="continue"/>
            <w:tcBorders>
              <w:tl2br w:val="nil"/>
              <w:tr2bl w:val="nil"/>
            </w:tcBorders>
            <w:noWrap w:val="0"/>
            <w:vAlign w:val="center"/>
          </w:tcPr>
          <w:p w14:paraId="303F5917">
            <w:pPr>
              <w:pStyle w:val="16"/>
              <w:bidi w:val="0"/>
              <w:rPr>
                <w:rFonts w:hint="default"/>
                <w:color w:val="auto"/>
                <w:lang w:val="en-US" w:eastAsia="zh-CN"/>
              </w:rPr>
            </w:pPr>
          </w:p>
        </w:tc>
        <w:tc>
          <w:tcPr>
            <w:tcW w:w="639" w:type="pct"/>
            <w:tcBorders>
              <w:tl2br w:val="nil"/>
              <w:tr2bl w:val="nil"/>
            </w:tcBorders>
            <w:noWrap w:val="0"/>
            <w:vAlign w:val="center"/>
          </w:tcPr>
          <w:p w14:paraId="3B51BC7D">
            <w:pPr>
              <w:pStyle w:val="16"/>
              <w:bidi w:val="0"/>
              <w:rPr>
                <w:rFonts w:hint="eastAsia"/>
                <w:color w:val="auto"/>
                <w:lang w:val="en-US" w:eastAsia="zh-CN"/>
              </w:rPr>
            </w:pPr>
            <w:r>
              <w:rPr>
                <w:rFonts w:hint="default"/>
                <w:color w:val="auto"/>
                <w:lang w:val="en-US" w:eastAsia="zh-CN"/>
              </w:rPr>
              <w:t>0.002mg/kg</w:t>
            </w:r>
          </w:p>
        </w:tc>
      </w:tr>
      <w:tr w14:paraId="7863549C">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61487CFF">
            <w:pPr>
              <w:pStyle w:val="16"/>
              <w:bidi w:val="0"/>
              <w:rPr>
                <w:rFonts w:hint="eastAsia"/>
                <w:color w:val="auto"/>
                <w:lang w:val="en-US" w:eastAsia="zh-CN"/>
              </w:rPr>
            </w:pPr>
            <w:r>
              <w:rPr>
                <w:rFonts w:hint="default"/>
                <w:color w:val="auto"/>
                <w:lang w:val="en-US" w:eastAsia="zh-CN"/>
              </w:rPr>
              <w:t>镉</w:t>
            </w:r>
          </w:p>
        </w:tc>
        <w:tc>
          <w:tcPr>
            <w:tcW w:w="1568" w:type="pct"/>
            <w:tcBorders>
              <w:tl2br w:val="nil"/>
              <w:tr2bl w:val="nil"/>
            </w:tcBorders>
            <w:noWrap w:val="0"/>
            <w:vAlign w:val="center"/>
          </w:tcPr>
          <w:p w14:paraId="020FF0CF">
            <w:pPr>
              <w:pStyle w:val="16"/>
              <w:bidi w:val="0"/>
              <w:rPr>
                <w:rFonts w:hint="default"/>
                <w:color w:val="auto"/>
                <w:lang w:val="en-US" w:eastAsia="zh-CN"/>
              </w:rPr>
            </w:pPr>
            <w:r>
              <w:rPr>
                <w:rFonts w:hint="eastAsia"/>
                <w:color w:val="auto"/>
                <w:lang w:val="en-US" w:eastAsia="zh-CN"/>
              </w:rPr>
              <w:t>土壤和沉积物</w:t>
            </w:r>
            <w:r>
              <w:rPr>
                <w:rFonts w:hint="default"/>
                <w:color w:val="auto"/>
                <w:lang w:val="en-US" w:eastAsia="zh-CN"/>
              </w:rPr>
              <w:t xml:space="preserve"> 19</w:t>
            </w:r>
            <w:r>
              <w:rPr>
                <w:rFonts w:hint="eastAsia"/>
                <w:color w:val="auto"/>
                <w:lang w:val="en-US" w:eastAsia="zh-CN"/>
              </w:rPr>
              <w:t>种金属元素总量的测定</w:t>
            </w:r>
            <w:r>
              <w:rPr>
                <w:rFonts w:hint="default"/>
                <w:color w:val="auto"/>
                <w:lang w:val="en-US" w:eastAsia="zh-CN"/>
              </w:rPr>
              <w:t xml:space="preserve"> </w:t>
            </w:r>
            <w:r>
              <w:rPr>
                <w:rFonts w:hint="eastAsia"/>
                <w:color w:val="auto"/>
                <w:lang w:val="en-US" w:eastAsia="zh-CN"/>
              </w:rPr>
              <w:t>电感耦合等离子体质谱法</w:t>
            </w:r>
          </w:p>
        </w:tc>
        <w:tc>
          <w:tcPr>
            <w:tcW w:w="604" w:type="pct"/>
            <w:tcBorders>
              <w:tl2br w:val="nil"/>
              <w:tr2bl w:val="nil"/>
            </w:tcBorders>
            <w:noWrap w:val="0"/>
            <w:vAlign w:val="center"/>
          </w:tcPr>
          <w:p w14:paraId="05C049FE">
            <w:pPr>
              <w:pStyle w:val="16"/>
              <w:bidi w:val="0"/>
              <w:rPr>
                <w:rFonts w:hint="default"/>
                <w:color w:val="auto"/>
                <w:lang w:val="en-US" w:eastAsia="zh-CN"/>
              </w:rPr>
            </w:pPr>
            <w:r>
              <w:rPr>
                <w:rFonts w:hint="default"/>
                <w:color w:val="auto"/>
                <w:lang w:val="en-US" w:eastAsia="zh-CN"/>
              </w:rPr>
              <w:t>HJ</w:t>
            </w:r>
            <w:r>
              <w:rPr>
                <w:rFonts w:hint="eastAsia"/>
                <w:color w:val="auto"/>
                <w:lang w:val="en-US" w:eastAsia="zh-CN"/>
              </w:rPr>
              <w:t xml:space="preserve"> </w:t>
            </w:r>
            <w:r>
              <w:rPr>
                <w:rFonts w:hint="default"/>
                <w:color w:val="auto"/>
                <w:lang w:val="en-US" w:eastAsia="zh-CN"/>
              </w:rPr>
              <w:t>1315-2023</w:t>
            </w:r>
          </w:p>
        </w:tc>
        <w:tc>
          <w:tcPr>
            <w:tcW w:w="1227" w:type="pct"/>
            <w:tcBorders>
              <w:tl2br w:val="nil"/>
              <w:tr2bl w:val="nil"/>
            </w:tcBorders>
            <w:noWrap w:val="0"/>
            <w:vAlign w:val="center"/>
          </w:tcPr>
          <w:p w14:paraId="19AD0DAF">
            <w:pPr>
              <w:pStyle w:val="16"/>
              <w:bidi w:val="0"/>
              <w:rPr>
                <w:rFonts w:hint="default"/>
                <w:color w:val="auto"/>
                <w:lang w:val="en-US" w:eastAsia="zh-CN"/>
              </w:rPr>
            </w:pPr>
            <w:r>
              <w:rPr>
                <w:rFonts w:hint="default"/>
                <w:color w:val="auto"/>
                <w:lang w:val="en-US" w:eastAsia="zh-CN"/>
              </w:rPr>
              <w:t>BRUKER aurora M90ICP-MS（HDH/YQ-</w:t>
            </w:r>
            <w:r>
              <w:rPr>
                <w:rFonts w:hint="eastAsia"/>
                <w:color w:val="auto"/>
                <w:lang w:val="en-US" w:eastAsia="zh-CN"/>
              </w:rPr>
              <w:t>37</w:t>
            </w:r>
            <w:r>
              <w:rPr>
                <w:rFonts w:hint="default"/>
                <w:color w:val="auto"/>
                <w:lang w:val="en-US" w:eastAsia="zh-CN"/>
              </w:rPr>
              <w:t>-01）</w:t>
            </w:r>
          </w:p>
        </w:tc>
        <w:tc>
          <w:tcPr>
            <w:tcW w:w="639" w:type="pct"/>
            <w:tcBorders>
              <w:tl2br w:val="nil"/>
              <w:tr2bl w:val="nil"/>
            </w:tcBorders>
            <w:noWrap w:val="0"/>
            <w:vAlign w:val="center"/>
          </w:tcPr>
          <w:p w14:paraId="110302E0">
            <w:pPr>
              <w:pStyle w:val="16"/>
              <w:bidi w:val="0"/>
              <w:rPr>
                <w:rFonts w:hint="eastAsia"/>
                <w:color w:val="auto"/>
                <w:lang w:val="en-US" w:eastAsia="zh-CN"/>
              </w:rPr>
            </w:pPr>
            <w:r>
              <w:rPr>
                <w:rFonts w:hint="default"/>
                <w:color w:val="auto"/>
                <w:lang w:val="en-US" w:eastAsia="zh-CN"/>
              </w:rPr>
              <w:t>0.0</w:t>
            </w:r>
            <w:r>
              <w:rPr>
                <w:rFonts w:hint="eastAsia"/>
                <w:color w:val="auto"/>
                <w:lang w:val="en-US" w:eastAsia="zh-CN"/>
              </w:rPr>
              <w:t>3</w:t>
            </w:r>
            <w:r>
              <w:rPr>
                <w:rFonts w:hint="default"/>
                <w:color w:val="auto"/>
                <w:lang w:val="en-US" w:eastAsia="zh-CN"/>
              </w:rPr>
              <w:t>mg/kg</w:t>
            </w:r>
          </w:p>
        </w:tc>
      </w:tr>
      <w:tr w14:paraId="6DA251AB">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7A54695F">
            <w:pPr>
              <w:pStyle w:val="16"/>
              <w:bidi w:val="0"/>
              <w:rPr>
                <w:rFonts w:hint="default"/>
                <w:color w:val="auto"/>
                <w:lang w:val="en-US" w:eastAsia="zh-CN"/>
              </w:rPr>
            </w:pPr>
            <w:r>
              <w:rPr>
                <w:rFonts w:hint="default"/>
                <w:color w:val="auto"/>
                <w:lang w:val="en-US" w:eastAsia="zh-CN"/>
              </w:rPr>
              <w:t>六价铬</w:t>
            </w:r>
          </w:p>
        </w:tc>
        <w:tc>
          <w:tcPr>
            <w:tcW w:w="1568" w:type="pct"/>
            <w:tcBorders>
              <w:tl2br w:val="nil"/>
              <w:tr2bl w:val="nil"/>
            </w:tcBorders>
            <w:noWrap w:val="0"/>
            <w:vAlign w:val="center"/>
          </w:tcPr>
          <w:p w14:paraId="42D50B39">
            <w:pPr>
              <w:pStyle w:val="16"/>
              <w:bidi w:val="0"/>
              <w:rPr>
                <w:rFonts w:hint="default"/>
                <w:color w:val="auto"/>
                <w:lang w:val="en-US" w:eastAsia="zh-CN"/>
              </w:rPr>
            </w:pPr>
            <w:r>
              <w:rPr>
                <w:rFonts w:hint="default"/>
                <w:color w:val="auto"/>
                <w:lang w:val="en-US" w:eastAsia="zh-CN"/>
              </w:rPr>
              <w:t>土壤和沉积物 六价铬的测定 碱溶液提取-火焰原子吸收分光光度法</w:t>
            </w:r>
          </w:p>
        </w:tc>
        <w:tc>
          <w:tcPr>
            <w:tcW w:w="604" w:type="pct"/>
            <w:tcBorders>
              <w:tl2br w:val="nil"/>
              <w:tr2bl w:val="nil"/>
            </w:tcBorders>
            <w:noWrap w:val="0"/>
            <w:vAlign w:val="center"/>
          </w:tcPr>
          <w:p w14:paraId="6A043F89">
            <w:pPr>
              <w:pStyle w:val="16"/>
              <w:bidi w:val="0"/>
              <w:rPr>
                <w:rFonts w:hint="default"/>
                <w:color w:val="auto"/>
                <w:lang w:val="en-US" w:eastAsia="zh-CN"/>
              </w:rPr>
            </w:pPr>
            <w:r>
              <w:rPr>
                <w:rFonts w:hint="default"/>
                <w:color w:val="auto"/>
                <w:lang w:val="en-US" w:eastAsia="zh-CN"/>
              </w:rPr>
              <w:t>HJ 1082-2019</w:t>
            </w:r>
          </w:p>
        </w:tc>
        <w:tc>
          <w:tcPr>
            <w:tcW w:w="1227" w:type="pct"/>
            <w:tcBorders>
              <w:tl2br w:val="nil"/>
              <w:tr2bl w:val="nil"/>
            </w:tcBorders>
            <w:noWrap w:val="0"/>
            <w:vAlign w:val="center"/>
          </w:tcPr>
          <w:p w14:paraId="51741F38">
            <w:pPr>
              <w:pStyle w:val="16"/>
              <w:bidi w:val="0"/>
              <w:rPr>
                <w:rFonts w:hint="default"/>
                <w:color w:val="auto"/>
                <w:lang w:val="en-US" w:eastAsia="zh-CN"/>
              </w:rPr>
            </w:pPr>
            <w:r>
              <w:rPr>
                <w:rFonts w:hint="default"/>
                <w:color w:val="auto"/>
              </w:rPr>
              <w:t>GGX-830原子吸收分光光度计</w:t>
            </w:r>
            <w:r>
              <w:rPr>
                <w:rFonts w:hint="default"/>
                <w:color w:val="auto"/>
                <w:lang w:eastAsia="zh-CN"/>
              </w:rPr>
              <w:t>（</w:t>
            </w:r>
            <w:r>
              <w:rPr>
                <w:rFonts w:hint="default"/>
                <w:color w:val="auto"/>
                <w:lang w:val="en-US" w:eastAsia="zh-CN"/>
              </w:rPr>
              <w:t>HDH/YQ-04-01</w:t>
            </w:r>
            <w:r>
              <w:rPr>
                <w:rFonts w:hint="default"/>
                <w:color w:val="auto"/>
                <w:lang w:eastAsia="zh-CN"/>
              </w:rPr>
              <w:t>）</w:t>
            </w:r>
          </w:p>
        </w:tc>
        <w:tc>
          <w:tcPr>
            <w:tcW w:w="639" w:type="pct"/>
            <w:tcBorders>
              <w:tl2br w:val="nil"/>
              <w:tr2bl w:val="nil"/>
            </w:tcBorders>
            <w:noWrap w:val="0"/>
            <w:vAlign w:val="center"/>
          </w:tcPr>
          <w:p w14:paraId="6E998A43">
            <w:pPr>
              <w:pStyle w:val="16"/>
              <w:bidi w:val="0"/>
              <w:rPr>
                <w:rFonts w:hint="default"/>
                <w:color w:val="auto"/>
                <w:lang w:val="en-US" w:eastAsia="zh-CN"/>
              </w:rPr>
            </w:pPr>
            <w:r>
              <w:rPr>
                <w:rFonts w:hint="default"/>
                <w:color w:val="auto"/>
                <w:lang w:val="en-US" w:eastAsia="zh-CN"/>
              </w:rPr>
              <w:t>0.5mg/kg</w:t>
            </w:r>
          </w:p>
        </w:tc>
      </w:tr>
      <w:tr w14:paraId="59C9DD0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180F819C">
            <w:pPr>
              <w:pStyle w:val="16"/>
              <w:bidi w:val="0"/>
              <w:rPr>
                <w:rFonts w:hint="default"/>
                <w:color w:val="auto"/>
                <w:lang w:val="en-US" w:eastAsia="zh-CN"/>
              </w:rPr>
            </w:pPr>
            <w:r>
              <w:rPr>
                <w:rFonts w:hint="default"/>
                <w:color w:val="auto"/>
                <w:lang w:val="en-US" w:eastAsia="zh-CN"/>
              </w:rPr>
              <w:t>氯甲烷</w:t>
            </w:r>
          </w:p>
        </w:tc>
        <w:tc>
          <w:tcPr>
            <w:tcW w:w="1568" w:type="pct"/>
            <w:vMerge w:val="restart"/>
            <w:tcBorders>
              <w:tl2br w:val="nil"/>
              <w:tr2bl w:val="nil"/>
            </w:tcBorders>
            <w:noWrap w:val="0"/>
            <w:vAlign w:val="center"/>
          </w:tcPr>
          <w:p w14:paraId="020F598C">
            <w:pPr>
              <w:pStyle w:val="16"/>
              <w:bidi w:val="0"/>
              <w:rPr>
                <w:rFonts w:hint="default"/>
                <w:color w:val="auto"/>
                <w:lang w:val="en-US" w:eastAsia="zh-CN"/>
              </w:rPr>
            </w:pPr>
            <w:r>
              <w:rPr>
                <w:rFonts w:hint="default"/>
                <w:color w:val="auto"/>
                <w:lang w:val="en-US" w:eastAsia="zh-CN"/>
              </w:rPr>
              <w:t>土壤和沉积物 挥发性有机物的测定 吹扫捕集/气相色谱—质谱法</w:t>
            </w:r>
          </w:p>
        </w:tc>
        <w:tc>
          <w:tcPr>
            <w:tcW w:w="604" w:type="pct"/>
            <w:vMerge w:val="restart"/>
            <w:tcBorders>
              <w:tl2br w:val="nil"/>
              <w:tr2bl w:val="nil"/>
            </w:tcBorders>
            <w:noWrap w:val="0"/>
            <w:vAlign w:val="center"/>
          </w:tcPr>
          <w:p w14:paraId="74F29FD5">
            <w:pPr>
              <w:pStyle w:val="16"/>
              <w:bidi w:val="0"/>
              <w:rPr>
                <w:rFonts w:hint="default"/>
                <w:color w:val="auto"/>
                <w:lang w:val="en-US" w:eastAsia="zh-CN"/>
              </w:rPr>
            </w:pPr>
            <w:r>
              <w:rPr>
                <w:rFonts w:hint="default"/>
                <w:color w:val="auto"/>
                <w:lang w:val="en-US" w:eastAsia="zh-CN"/>
              </w:rPr>
              <w:t>HJ 605-2011</w:t>
            </w:r>
          </w:p>
        </w:tc>
        <w:tc>
          <w:tcPr>
            <w:tcW w:w="1227" w:type="pct"/>
            <w:vMerge w:val="restart"/>
            <w:tcBorders>
              <w:tl2br w:val="nil"/>
              <w:tr2bl w:val="nil"/>
            </w:tcBorders>
            <w:noWrap w:val="0"/>
            <w:vAlign w:val="center"/>
          </w:tcPr>
          <w:p w14:paraId="7B0B76A1">
            <w:pPr>
              <w:pStyle w:val="16"/>
              <w:bidi w:val="0"/>
              <w:rPr>
                <w:rFonts w:hint="default"/>
                <w:color w:val="auto"/>
                <w:lang w:val="en-US" w:eastAsia="zh-CN"/>
              </w:rPr>
            </w:pPr>
            <w:r>
              <w:rPr>
                <w:rFonts w:hint="default"/>
                <w:color w:val="auto"/>
              </w:rPr>
              <w:t>GCMS-QP2010PLUS气相色谱-质谱联用仪</w:t>
            </w:r>
            <w:r>
              <w:rPr>
                <w:rFonts w:hint="default"/>
                <w:color w:val="auto"/>
                <w:lang w:eastAsia="zh-CN"/>
              </w:rPr>
              <w:t>（</w:t>
            </w:r>
            <w:r>
              <w:rPr>
                <w:rFonts w:hint="default"/>
                <w:color w:val="auto"/>
                <w:lang w:val="en-US" w:eastAsia="zh-CN"/>
              </w:rPr>
              <w:t>HDH/YQ-35-01</w:t>
            </w:r>
            <w:r>
              <w:rPr>
                <w:rFonts w:hint="default"/>
                <w:color w:val="auto"/>
                <w:lang w:eastAsia="zh-CN"/>
              </w:rPr>
              <w:t>）</w:t>
            </w:r>
          </w:p>
        </w:tc>
        <w:tc>
          <w:tcPr>
            <w:tcW w:w="639" w:type="pct"/>
            <w:tcBorders>
              <w:tl2br w:val="nil"/>
              <w:tr2bl w:val="nil"/>
            </w:tcBorders>
            <w:noWrap w:val="0"/>
            <w:vAlign w:val="center"/>
          </w:tcPr>
          <w:p w14:paraId="28931792">
            <w:pPr>
              <w:pStyle w:val="16"/>
              <w:bidi w:val="0"/>
              <w:rPr>
                <w:rFonts w:hint="default"/>
                <w:color w:val="auto"/>
                <w:lang w:val="en-US" w:eastAsia="zh-CN"/>
              </w:rPr>
            </w:pPr>
            <w:r>
              <w:rPr>
                <w:rFonts w:hint="eastAsia"/>
                <w:color w:val="auto"/>
                <w:lang w:val="en-US" w:eastAsia="zh-CN"/>
              </w:rPr>
              <w:t>1.0</w:t>
            </w:r>
            <w:r>
              <w:rPr>
                <w:rFonts w:hint="default"/>
                <w:color w:val="auto"/>
                <w:lang w:val="en-US" w:eastAsia="zh-CN"/>
              </w:rPr>
              <w:t>μg/kg</w:t>
            </w:r>
          </w:p>
        </w:tc>
      </w:tr>
      <w:tr w14:paraId="41EEEC6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16DC92B6">
            <w:pPr>
              <w:pStyle w:val="16"/>
              <w:bidi w:val="0"/>
              <w:rPr>
                <w:rFonts w:hint="default"/>
                <w:color w:val="auto"/>
                <w:lang w:val="en-US" w:eastAsia="zh-CN"/>
              </w:rPr>
            </w:pPr>
            <w:r>
              <w:rPr>
                <w:rFonts w:hint="default"/>
                <w:color w:val="auto"/>
                <w:lang w:val="en-US" w:eastAsia="zh-CN"/>
              </w:rPr>
              <w:t>氯仿</w:t>
            </w:r>
          </w:p>
        </w:tc>
        <w:tc>
          <w:tcPr>
            <w:tcW w:w="1568" w:type="pct"/>
            <w:vMerge w:val="continue"/>
            <w:tcBorders>
              <w:tl2br w:val="nil"/>
              <w:tr2bl w:val="nil"/>
            </w:tcBorders>
            <w:noWrap w:val="0"/>
            <w:vAlign w:val="center"/>
          </w:tcPr>
          <w:p w14:paraId="03448A48">
            <w:pPr>
              <w:pStyle w:val="16"/>
              <w:bidi w:val="0"/>
              <w:rPr>
                <w:rFonts w:hint="default"/>
                <w:color w:val="auto"/>
                <w:lang w:val="en-US" w:eastAsia="zh-CN"/>
              </w:rPr>
            </w:pPr>
          </w:p>
        </w:tc>
        <w:tc>
          <w:tcPr>
            <w:tcW w:w="604" w:type="pct"/>
            <w:vMerge w:val="continue"/>
            <w:tcBorders>
              <w:tl2br w:val="nil"/>
              <w:tr2bl w:val="nil"/>
            </w:tcBorders>
            <w:noWrap w:val="0"/>
            <w:vAlign w:val="center"/>
          </w:tcPr>
          <w:p w14:paraId="64222B88">
            <w:pPr>
              <w:pStyle w:val="16"/>
              <w:bidi w:val="0"/>
              <w:rPr>
                <w:rFonts w:hint="default"/>
                <w:color w:val="auto"/>
                <w:lang w:val="en-US" w:eastAsia="zh-CN"/>
              </w:rPr>
            </w:pPr>
          </w:p>
        </w:tc>
        <w:tc>
          <w:tcPr>
            <w:tcW w:w="1227" w:type="pct"/>
            <w:vMerge w:val="continue"/>
            <w:tcBorders>
              <w:tl2br w:val="nil"/>
              <w:tr2bl w:val="nil"/>
            </w:tcBorders>
            <w:noWrap w:val="0"/>
            <w:vAlign w:val="center"/>
          </w:tcPr>
          <w:p w14:paraId="0E128354">
            <w:pPr>
              <w:pStyle w:val="16"/>
              <w:bidi w:val="0"/>
              <w:rPr>
                <w:rFonts w:hint="default"/>
                <w:color w:val="auto"/>
              </w:rPr>
            </w:pPr>
          </w:p>
        </w:tc>
        <w:tc>
          <w:tcPr>
            <w:tcW w:w="639" w:type="pct"/>
            <w:tcBorders>
              <w:tl2br w:val="nil"/>
              <w:tr2bl w:val="nil"/>
            </w:tcBorders>
            <w:noWrap w:val="0"/>
            <w:vAlign w:val="center"/>
          </w:tcPr>
          <w:p w14:paraId="0B631047">
            <w:pPr>
              <w:pStyle w:val="16"/>
              <w:bidi w:val="0"/>
              <w:rPr>
                <w:rFonts w:hint="default"/>
                <w:color w:val="auto"/>
                <w:lang w:val="en-US" w:eastAsia="zh-CN"/>
              </w:rPr>
            </w:pPr>
            <w:r>
              <w:rPr>
                <w:rFonts w:hint="eastAsia"/>
                <w:color w:val="auto"/>
                <w:lang w:val="en-US" w:eastAsia="zh-CN"/>
              </w:rPr>
              <w:t>1.1</w:t>
            </w:r>
            <w:r>
              <w:rPr>
                <w:rFonts w:hint="default"/>
                <w:color w:val="auto"/>
                <w:lang w:val="en-US" w:eastAsia="zh-CN"/>
              </w:rPr>
              <w:t>μg/kg</w:t>
            </w:r>
          </w:p>
        </w:tc>
      </w:tr>
      <w:tr w14:paraId="38434577">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351A9BFD">
            <w:pPr>
              <w:pStyle w:val="16"/>
              <w:bidi w:val="0"/>
              <w:rPr>
                <w:rFonts w:hint="default"/>
                <w:color w:val="auto"/>
                <w:lang w:val="en-US" w:eastAsia="zh-CN"/>
              </w:rPr>
            </w:pPr>
            <w:r>
              <w:rPr>
                <w:rFonts w:hint="default"/>
                <w:color w:val="auto"/>
                <w:lang w:val="en-US" w:eastAsia="zh-CN"/>
              </w:rPr>
              <w:t>四氯化碳</w:t>
            </w:r>
          </w:p>
        </w:tc>
        <w:tc>
          <w:tcPr>
            <w:tcW w:w="1568" w:type="pct"/>
            <w:vMerge w:val="continue"/>
            <w:tcBorders>
              <w:tl2br w:val="nil"/>
              <w:tr2bl w:val="nil"/>
            </w:tcBorders>
            <w:noWrap w:val="0"/>
            <w:vAlign w:val="center"/>
          </w:tcPr>
          <w:p w14:paraId="325252EC">
            <w:pPr>
              <w:pStyle w:val="16"/>
              <w:bidi w:val="0"/>
              <w:rPr>
                <w:rFonts w:hint="default"/>
                <w:color w:val="auto"/>
                <w:lang w:val="en-US" w:eastAsia="zh-CN"/>
              </w:rPr>
            </w:pPr>
          </w:p>
        </w:tc>
        <w:tc>
          <w:tcPr>
            <w:tcW w:w="604" w:type="pct"/>
            <w:vMerge w:val="continue"/>
            <w:tcBorders>
              <w:tl2br w:val="nil"/>
              <w:tr2bl w:val="nil"/>
            </w:tcBorders>
            <w:noWrap w:val="0"/>
            <w:vAlign w:val="center"/>
          </w:tcPr>
          <w:p w14:paraId="4DEDCA88">
            <w:pPr>
              <w:pStyle w:val="16"/>
              <w:bidi w:val="0"/>
              <w:rPr>
                <w:rFonts w:hint="default"/>
                <w:color w:val="auto"/>
                <w:lang w:val="en-US" w:eastAsia="zh-CN"/>
              </w:rPr>
            </w:pPr>
          </w:p>
        </w:tc>
        <w:tc>
          <w:tcPr>
            <w:tcW w:w="1227" w:type="pct"/>
            <w:vMerge w:val="continue"/>
            <w:tcBorders>
              <w:tl2br w:val="nil"/>
              <w:tr2bl w:val="nil"/>
            </w:tcBorders>
            <w:noWrap w:val="0"/>
            <w:vAlign w:val="center"/>
          </w:tcPr>
          <w:p w14:paraId="4E4CF839">
            <w:pPr>
              <w:pStyle w:val="16"/>
              <w:bidi w:val="0"/>
              <w:rPr>
                <w:rFonts w:hint="default"/>
                <w:color w:val="auto"/>
              </w:rPr>
            </w:pPr>
          </w:p>
        </w:tc>
        <w:tc>
          <w:tcPr>
            <w:tcW w:w="639" w:type="pct"/>
            <w:tcBorders>
              <w:tl2br w:val="nil"/>
              <w:tr2bl w:val="nil"/>
            </w:tcBorders>
            <w:noWrap w:val="0"/>
            <w:vAlign w:val="center"/>
          </w:tcPr>
          <w:p w14:paraId="55E69A78">
            <w:pPr>
              <w:pStyle w:val="16"/>
              <w:bidi w:val="0"/>
              <w:rPr>
                <w:rFonts w:hint="default"/>
                <w:color w:val="auto"/>
                <w:lang w:val="en-US" w:eastAsia="zh-CN"/>
              </w:rPr>
            </w:pPr>
            <w:r>
              <w:rPr>
                <w:rFonts w:hint="eastAsia"/>
                <w:color w:val="auto"/>
                <w:lang w:val="en-US" w:eastAsia="zh-CN"/>
              </w:rPr>
              <w:t>1.3</w:t>
            </w:r>
            <w:r>
              <w:rPr>
                <w:rFonts w:hint="default"/>
                <w:color w:val="auto"/>
                <w:lang w:val="en-US" w:eastAsia="zh-CN"/>
              </w:rPr>
              <w:t>μg/kg</w:t>
            </w:r>
          </w:p>
        </w:tc>
      </w:tr>
      <w:tr w14:paraId="108022AB">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6988678F">
            <w:pPr>
              <w:pStyle w:val="16"/>
              <w:bidi w:val="0"/>
              <w:rPr>
                <w:rFonts w:hint="default"/>
                <w:color w:val="auto"/>
                <w:lang w:val="en-US" w:eastAsia="zh-CN"/>
              </w:rPr>
            </w:pPr>
            <w:r>
              <w:rPr>
                <w:rFonts w:hint="default"/>
                <w:color w:val="auto"/>
                <w:lang w:val="en-US" w:eastAsia="zh-CN"/>
              </w:rPr>
              <w:t>1,1-二氯乙烷</w:t>
            </w:r>
          </w:p>
        </w:tc>
        <w:tc>
          <w:tcPr>
            <w:tcW w:w="1568" w:type="pct"/>
            <w:vMerge w:val="continue"/>
            <w:tcBorders>
              <w:tl2br w:val="nil"/>
              <w:tr2bl w:val="nil"/>
            </w:tcBorders>
            <w:noWrap w:val="0"/>
            <w:vAlign w:val="center"/>
          </w:tcPr>
          <w:p w14:paraId="5AB6E9A1">
            <w:pPr>
              <w:pStyle w:val="16"/>
              <w:bidi w:val="0"/>
              <w:rPr>
                <w:rFonts w:hint="default"/>
                <w:color w:val="auto"/>
                <w:lang w:val="en-US" w:eastAsia="zh-CN"/>
              </w:rPr>
            </w:pPr>
          </w:p>
        </w:tc>
        <w:tc>
          <w:tcPr>
            <w:tcW w:w="604" w:type="pct"/>
            <w:vMerge w:val="continue"/>
            <w:tcBorders>
              <w:tl2br w:val="nil"/>
              <w:tr2bl w:val="nil"/>
            </w:tcBorders>
            <w:noWrap w:val="0"/>
            <w:vAlign w:val="center"/>
          </w:tcPr>
          <w:p w14:paraId="0E6261F1">
            <w:pPr>
              <w:pStyle w:val="16"/>
              <w:bidi w:val="0"/>
              <w:rPr>
                <w:rFonts w:hint="default"/>
                <w:color w:val="auto"/>
                <w:lang w:val="en-US" w:eastAsia="zh-CN"/>
              </w:rPr>
            </w:pPr>
          </w:p>
        </w:tc>
        <w:tc>
          <w:tcPr>
            <w:tcW w:w="1227" w:type="pct"/>
            <w:vMerge w:val="continue"/>
            <w:tcBorders>
              <w:tl2br w:val="nil"/>
              <w:tr2bl w:val="nil"/>
            </w:tcBorders>
            <w:noWrap w:val="0"/>
            <w:vAlign w:val="center"/>
          </w:tcPr>
          <w:p w14:paraId="74C12192">
            <w:pPr>
              <w:pStyle w:val="16"/>
              <w:bidi w:val="0"/>
              <w:rPr>
                <w:rFonts w:hint="default"/>
                <w:color w:val="auto"/>
              </w:rPr>
            </w:pPr>
          </w:p>
        </w:tc>
        <w:tc>
          <w:tcPr>
            <w:tcW w:w="639" w:type="pct"/>
            <w:tcBorders>
              <w:tl2br w:val="nil"/>
              <w:tr2bl w:val="nil"/>
            </w:tcBorders>
            <w:noWrap w:val="0"/>
            <w:vAlign w:val="center"/>
          </w:tcPr>
          <w:p w14:paraId="1C75571F">
            <w:pPr>
              <w:pStyle w:val="16"/>
              <w:bidi w:val="0"/>
              <w:rPr>
                <w:rFonts w:hint="default"/>
                <w:color w:val="auto"/>
                <w:lang w:val="en-US" w:eastAsia="zh-CN"/>
              </w:rPr>
            </w:pPr>
            <w:r>
              <w:rPr>
                <w:rFonts w:hint="eastAsia"/>
                <w:color w:val="auto"/>
                <w:lang w:val="en-US" w:eastAsia="zh-CN"/>
              </w:rPr>
              <w:t>1.2</w:t>
            </w:r>
            <w:r>
              <w:rPr>
                <w:rFonts w:hint="default"/>
                <w:color w:val="auto"/>
                <w:lang w:val="en-US" w:eastAsia="zh-CN"/>
              </w:rPr>
              <w:t>μg/kg</w:t>
            </w:r>
          </w:p>
        </w:tc>
      </w:tr>
      <w:tr w14:paraId="2AF0375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7B3DED5F">
            <w:pPr>
              <w:pStyle w:val="16"/>
              <w:bidi w:val="0"/>
              <w:rPr>
                <w:rFonts w:hint="default"/>
                <w:color w:val="auto"/>
                <w:lang w:val="en-US" w:eastAsia="zh-CN"/>
              </w:rPr>
            </w:pPr>
            <w:r>
              <w:rPr>
                <w:rFonts w:hint="default"/>
                <w:color w:val="auto"/>
              </w:rPr>
              <w:t>1,2-二氯乙烷</w:t>
            </w:r>
          </w:p>
        </w:tc>
        <w:tc>
          <w:tcPr>
            <w:tcW w:w="1568" w:type="pct"/>
            <w:vMerge w:val="continue"/>
            <w:tcBorders>
              <w:tl2br w:val="nil"/>
              <w:tr2bl w:val="nil"/>
            </w:tcBorders>
            <w:noWrap w:val="0"/>
            <w:vAlign w:val="center"/>
          </w:tcPr>
          <w:p w14:paraId="5201E53C">
            <w:pPr>
              <w:pStyle w:val="16"/>
              <w:bidi w:val="0"/>
              <w:rPr>
                <w:rFonts w:hint="default"/>
                <w:color w:val="auto"/>
                <w:lang w:val="en-US" w:eastAsia="zh-CN"/>
              </w:rPr>
            </w:pPr>
          </w:p>
        </w:tc>
        <w:tc>
          <w:tcPr>
            <w:tcW w:w="604" w:type="pct"/>
            <w:vMerge w:val="continue"/>
            <w:tcBorders>
              <w:tl2br w:val="nil"/>
              <w:tr2bl w:val="nil"/>
            </w:tcBorders>
            <w:noWrap w:val="0"/>
            <w:vAlign w:val="center"/>
          </w:tcPr>
          <w:p w14:paraId="0A531485">
            <w:pPr>
              <w:pStyle w:val="16"/>
              <w:bidi w:val="0"/>
              <w:rPr>
                <w:rFonts w:hint="default"/>
                <w:color w:val="auto"/>
                <w:lang w:val="en-US" w:eastAsia="zh-CN"/>
              </w:rPr>
            </w:pPr>
          </w:p>
        </w:tc>
        <w:tc>
          <w:tcPr>
            <w:tcW w:w="1227" w:type="pct"/>
            <w:vMerge w:val="continue"/>
            <w:tcBorders>
              <w:tl2br w:val="nil"/>
              <w:tr2bl w:val="nil"/>
            </w:tcBorders>
            <w:noWrap w:val="0"/>
            <w:vAlign w:val="center"/>
          </w:tcPr>
          <w:p w14:paraId="76AC70B2">
            <w:pPr>
              <w:pStyle w:val="16"/>
              <w:bidi w:val="0"/>
              <w:rPr>
                <w:rFonts w:hint="default"/>
                <w:color w:val="auto"/>
              </w:rPr>
            </w:pPr>
          </w:p>
        </w:tc>
        <w:tc>
          <w:tcPr>
            <w:tcW w:w="639" w:type="pct"/>
            <w:tcBorders>
              <w:tl2br w:val="nil"/>
              <w:tr2bl w:val="nil"/>
            </w:tcBorders>
            <w:noWrap w:val="0"/>
            <w:vAlign w:val="center"/>
          </w:tcPr>
          <w:p w14:paraId="6562160E">
            <w:pPr>
              <w:pStyle w:val="16"/>
              <w:bidi w:val="0"/>
              <w:rPr>
                <w:rFonts w:hint="default"/>
                <w:color w:val="auto"/>
                <w:lang w:val="en-US" w:eastAsia="zh-CN"/>
              </w:rPr>
            </w:pPr>
            <w:r>
              <w:rPr>
                <w:rFonts w:hint="eastAsia"/>
                <w:color w:val="auto"/>
                <w:lang w:val="en-US" w:eastAsia="zh-CN"/>
              </w:rPr>
              <w:t>1.3</w:t>
            </w:r>
            <w:r>
              <w:rPr>
                <w:rFonts w:hint="default"/>
                <w:color w:val="auto"/>
                <w:lang w:val="en-US" w:eastAsia="zh-CN"/>
              </w:rPr>
              <w:t>μg/kg</w:t>
            </w:r>
          </w:p>
        </w:tc>
      </w:tr>
      <w:tr w14:paraId="5589EC52">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6E448A82">
            <w:pPr>
              <w:pStyle w:val="16"/>
              <w:bidi w:val="0"/>
              <w:rPr>
                <w:rFonts w:hint="default"/>
                <w:color w:val="auto"/>
                <w:lang w:val="en-US" w:eastAsia="zh-CN"/>
              </w:rPr>
            </w:pPr>
            <w:r>
              <w:rPr>
                <w:rFonts w:hint="default"/>
                <w:color w:val="auto"/>
              </w:rPr>
              <w:t>1,1-二氯乙烯</w:t>
            </w:r>
          </w:p>
        </w:tc>
        <w:tc>
          <w:tcPr>
            <w:tcW w:w="1568" w:type="pct"/>
            <w:vMerge w:val="continue"/>
            <w:tcBorders>
              <w:tl2br w:val="nil"/>
              <w:tr2bl w:val="nil"/>
            </w:tcBorders>
            <w:noWrap w:val="0"/>
            <w:vAlign w:val="center"/>
          </w:tcPr>
          <w:p w14:paraId="01E15926">
            <w:pPr>
              <w:pStyle w:val="16"/>
              <w:bidi w:val="0"/>
              <w:rPr>
                <w:rFonts w:hint="default"/>
                <w:color w:val="auto"/>
                <w:lang w:val="en-US" w:eastAsia="zh-CN"/>
              </w:rPr>
            </w:pPr>
          </w:p>
        </w:tc>
        <w:tc>
          <w:tcPr>
            <w:tcW w:w="604" w:type="pct"/>
            <w:vMerge w:val="continue"/>
            <w:tcBorders>
              <w:tl2br w:val="nil"/>
              <w:tr2bl w:val="nil"/>
            </w:tcBorders>
            <w:noWrap w:val="0"/>
            <w:vAlign w:val="center"/>
          </w:tcPr>
          <w:p w14:paraId="117F4281">
            <w:pPr>
              <w:pStyle w:val="16"/>
              <w:bidi w:val="0"/>
              <w:rPr>
                <w:rFonts w:hint="default"/>
                <w:color w:val="auto"/>
                <w:lang w:val="en-US" w:eastAsia="zh-CN"/>
              </w:rPr>
            </w:pPr>
          </w:p>
        </w:tc>
        <w:tc>
          <w:tcPr>
            <w:tcW w:w="1227" w:type="pct"/>
            <w:vMerge w:val="continue"/>
            <w:tcBorders>
              <w:tl2br w:val="nil"/>
              <w:tr2bl w:val="nil"/>
            </w:tcBorders>
            <w:noWrap w:val="0"/>
            <w:vAlign w:val="center"/>
          </w:tcPr>
          <w:p w14:paraId="53827AB5">
            <w:pPr>
              <w:pStyle w:val="16"/>
              <w:bidi w:val="0"/>
              <w:rPr>
                <w:rFonts w:hint="default"/>
                <w:color w:val="auto"/>
              </w:rPr>
            </w:pPr>
          </w:p>
        </w:tc>
        <w:tc>
          <w:tcPr>
            <w:tcW w:w="639" w:type="pct"/>
            <w:tcBorders>
              <w:tl2br w:val="nil"/>
              <w:tr2bl w:val="nil"/>
            </w:tcBorders>
            <w:noWrap w:val="0"/>
            <w:vAlign w:val="center"/>
          </w:tcPr>
          <w:p w14:paraId="76762932">
            <w:pPr>
              <w:pStyle w:val="16"/>
              <w:bidi w:val="0"/>
              <w:rPr>
                <w:rFonts w:hint="eastAsia"/>
                <w:color w:val="auto"/>
                <w:lang w:val="en-US" w:eastAsia="zh-CN"/>
              </w:rPr>
            </w:pPr>
            <w:r>
              <w:rPr>
                <w:rFonts w:hint="eastAsia"/>
                <w:color w:val="auto"/>
                <w:lang w:val="en-US" w:eastAsia="zh-CN"/>
              </w:rPr>
              <w:t>1.0</w:t>
            </w:r>
            <w:r>
              <w:rPr>
                <w:rFonts w:hint="default"/>
                <w:color w:val="auto"/>
                <w:lang w:val="en-US" w:eastAsia="zh-CN"/>
              </w:rPr>
              <w:t>μg/kg</w:t>
            </w:r>
          </w:p>
        </w:tc>
      </w:tr>
      <w:tr w14:paraId="61993F2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24782921">
            <w:pPr>
              <w:pStyle w:val="16"/>
              <w:bidi w:val="0"/>
              <w:rPr>
                <w:rFonts w:hint="default"/>
                <w:color w:val="auto"/>
                <w:lang w:val="en-US" w:eastAsia="zh-CN"/>
              </w:rPr>
            </w:pPr>
            <w:r>
              <w:rPr>
                <w:rFonts w:hint="default"/>
                <w:color w:val="auto"/>
              </w:rPr>
              <w:t>顺-1,2-二氯乙烯</w:t>
            </w:r>
          </w:p>
        </w:tc>
        <w:tc>
          <w:tcPr>
            <w:tcW w:w="1568" w:type="pct"/>
            <w:vMerge w:val="continue"/>
            <w:tcBorders>
              <w:tl2br w:val="nil"/>
              <w:tr2bl w:val="nil"/>
            </w:tcBorders>
            <w:noWrap w:val="0"/>
            <w:vAlign w:val="center"/>
          </w:tcPr>
          <w:p w14:paraId="49E2B48D">
            <w:pPr>
              <w:pStyle w:val="16"/>
              <w:bidi w:val="0"/>
              <w:rPr>
                <w:rFonts w:hint="default"/>
                <w:color w:val="auto"/>
                <w:lang w:val="en-US" w:eastAsia="zh-CN"/>
              </w:rPr>
            </w:pPr>
          </w:p>
        </w:tc>
        <w:tc>
          <w:tcPr>
            <w:tcW w:w="604" w:type="pct"/>
            <w:vMerge w:val="continue"/>
            <w:tcBorders>
              <w:tl2br w:val="nil"/>
              <w:tr2bl w:val="nil"/>
            </w:tcBorders>
            <w:noWrap w:val="0"/>
            <w:vAlign w:val="center"/>
          </w:tcPr>
          <w:p w14:paraId="3C21341B">
            <w:pPr>
              <w:pStyle w:val="16"/>
              <w:bidi w:val="0"/>
              <w:rPr>
                <w:rFonts w:hint="default"/>
                <w:color w:val="auto"/>
                <w:lang w:val="en-US" w:eastAsia="zh-CN"/>
              </w:rPr>
            </w:pPr>
          </w:p>
        </w:tc>
        <w:tc>
          <w:tcPr>
            <w:tcW w:w="1227" w:type="pct"/>
            <w:vMerge w:val="continue"/>
            <w:tcBorders>
              <w:tl2br w:val="nil"/>
              <w:tr2bl w:val="nil"/>
            </w:tcBorders>
            <w:noWrap w:val="0"/>
            <w:vAlign w:val="center"/>
          </w:tcPr>
          <w:p w14:paraId="064A1141">
            <w:pPr>
              <w:pStyle w:val="16"/>
              <w:bidi w:val="0"/>
              <w:rPr>
                <w:rFonts w:hint="default"/>
                <w:color w:val="auto"/>
              </w:rPr>
            </w:pPr>
          </w:p>
        </w:tc>
        <w:tc>
          <w:tcPr>
            <w:tcW w:w="639" w:type="pct"/>
            <w:tcBorders>
              <w:tl2br w:val="nil"/>
              <w:tr2bl w:val="nil"/>
            </w:tcBorders>
            <w:noWrap w:val="0"/>
            <w:vAlign w:val="center"/>
          </w:tcPr>
          <w:p w14:paraId="324305B6">
            <w:pPr>
              <w:pStyle w:val="16"/>
              <w:bidi w:val="0"/>
              <w:rPr>
                <w:rFonts w:hint="eastAsia"/>
                <w:color w:val="auto"/>
                <w:lang w:val="en-US" w:eastAsia="zh-CN"/>
              </w:rPr>
            </w:pPr>
            <w:r>
              <w:rPr>
                <w:rFonts w:hint="eastAsia"/>
                <w:color w:val="auto"/>
                <w:lang w:val="en-US" w:eastAsia="zh-CN"/>
              </w:rPr>
              <w:t>1.3</w:t>
            </w:r>
            <w:r>
              <w:rPr>
                <w:rFonts w:hint="default"/>
                <w:color w:val="auto"/>
                <w:lang w:val="en-US" w:eastAsia="zh-CN"/>
              </w:rPr>
              <w:t>μg/kg</w:t>
            </w:r>
          </w:p>
        </w:tc>
      </w:tr>
      <w:tr w14:paraId="16ACB19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688DB127">
            <w:pPr>
              <w:pStyle w:val="16"/>
              <w:bidi w:val="0"/>
              <w:rPr>
                <w:rFonts w:hint="default"/>
                <w:color w:val="auto"/>
                <w:lang w:val="en-US" w:eastAsia="zh-CN"/>
              </w:rPr>
            </w:pPr>
            <w:r>
              <w:rPr>
                <w:rFonts w:hint="default"/>
                <w:color w:val="auto"/>
              </w:rPr>
              <w:t>反-1,2-二氯乙烯</w:t>
            </w:r>
          </w:p>
        </w:tc>
        <w:tc>
          <w:tcPr>
            <w:tcW w:w="1568" w:type="pct"/>
            <w:vMerge w:val="continue"/>
            <w:tcBorders>
              <w:tl2br w:val="nil"/>
              <w:tr2bl w:val="nil"/>
            </w:tcBorders>
            <w:noWrap w:val="0"/>
            <w:vAlign w:val="center"/>
          </w:tcPr>
          <w:p w14:paraId="5BC5C91E">
            <w:pPr>
              <w:pStyle w:val="16"/>
              <w:bidi w:val="0"/>
              <w:rPr>
                <w:rFonts w:hint="default"/>
                <w:color w:val="auto"/>
                <w:lang w:val="en-US" w:eastAsia="zh-CN"/>
              </w:rPr>
            </w:pPr>
          </w:p>
        </w:tc>
        <w:tc>
          <w:tcPr>
            <w:tcW w:w="604" w:type="pct"/>
            <w:vMerge w:val="continue"/>
            <w:tcBorders>
              <w:tl2br w:val="nil"/>
              <w:tr2bl w:val="nil"/>
            </w:tcBorders>
            <w:noWrap w:val="0"/>
            <w:vAlign w:val="center"/>
          </w:tcPr>
          <w:p w14:paraId="4540C46D">
            <w:pPr>
              <w:pStyle w:val="16"/>
              <w:bidi w:val="0"/>
              <w:rPr>
                <w:rFonts w:hint="default"/>
                <w:color w:val="auto"/>
                <w:lang w:val="en-US" w:eastAsia="zh-CN"/>
              </w:rPr>
            </w:pPr>
          </w:p>
        </w:tc>
        <w:tc>
          <w:tcPr>
            <w:tcW w:w="1227" w:type="pct"/>
            <w:vMerge w:val="continue"/>
            <w:tcBorders>
              <w:tl2br w:val="nil"/>
              <w:tr2bl w:val="nil"/>
            </w:tcBorders>
            <w:noWrap w:val="0"/>
            <w:vAlign w:val="center"/>
          </w:tcPr>
          <w:p w14:paraId="1F67F337">
            <w:pPr>
              <w:pStyle w:val="16"/>
              <w:bidi w:val="0"/>
              <w:rPr>
                <w:rFonts w:hint="default"/>
                <w:color w:val="auto"/>
              </w:rPr>
            </w:pPr>
          </w:p>
        </w:tc>
        <w:tc>
          <w:tcPr>
            <w:tcW w:w="639" w:type="pct"/>
            <w:tcBorders>
              <w:tl2br w:val="nil"/>
              <w:tr2bl w:val="nil"/>
            </w:tcBorders>
            <w:noWrap w:val="0"/>
            <w:vAlign w:val="center"/>
          </w:tcPr>
          <w:p w14:paraId="0A87C12D">
            <w:pPr>
              <w:pStyle w:val="16"/>
              <w:bidi w:val="0"/>
              <w:rPr>
                <w:rFonts w:hint="eastAsia"/>
                <w:color w:val="auto"/>
                <w:lang w:val="en-US" w:eastAsia="zh-CN"/>
              </w:rPr>
            </w:pPr>
            <w:r>
              <w:rPr>
                <w:rFonts w:hint="eastAsia"/>
                <w:color w:val="auto"/>
                <w:lang w:val="en-US" w:eastAsia="zh-CN"/>
              </w:rPr>
              <w:t>1.4</w:t>
            </w:r>
            <w:r>
              <w:rPr>
                <w:rFonts w:hint="default"/>
                <w:color w:val="auto"/>
                <w:lang w:val="en-US" w:eastAsia="zh-CN"/>
              </w:rPr>
              <w:t>μg/kg</w:t>
            </w:r>
          </w:p>
        </w:tc>
      </w:tr>
      <w:tr w14:paraId="4E39FEE4">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4EB6EDFD">
            <w:pPr>
              <w:pStyle w:val="16"/>
              <w:bidi w:val="0"/>
              <w:rPr>
                <w:rFonts w:hint="default"/>
                <w:color w:val="auto"/>
                <w:lang w:val="en-US" w:eastAsia="zh-CN"/>
              </w:rPr>
            </w:pPr>
            <w:r>
              <w:rPr>
                <w:rFonts w:hint="default"/>
                <w:color w:val="auto"/>
              </w:rPr>
              <w:t>二氯甲烷</w:t>
            </w:r>
          </w:p>
        </w:tc>
        <w:tc>
          <w:tcPr>
            <w:tcW w:w="1568" w:type="pct"/>
            <w:vMerge w:val="continue"/>
            <w:tcBorders>
              <w:tl2br w:val="nil"/>
              <w:tr2bl w:val="nil"/>
            </w:tcBorders>
            <w:noWrap w:val="0"/>
            <w:vAlign w:val="center"/>
          </w:tcPr>
          <w:p w14:paraId="556C62D0">
            <w:pPr>
              <w:pStyle w:val="16"/>
              <w:bidi w:val="0"/>
              <w:rPr>
                <w:rFonts w:hint="default"/>
                <w:color w:val="auto"/>
                <w:lang w:val="en-US" w:eastAsia="zh-CN"/>
              </w:rPr>
            </w:pPr>
          </w:p>
        </w:tc>
        <w:tc>
          <w:tcPr>
            <w:tcW w:w="604" w:type="pct"/>
            <w:vMerge w:val="continue"/>
            <w:tcBorders>
              <w:tl2br w:val="nil"/>
              <w:tr2bl w:val="nil"/>
            </w:tcBorders>
            <w:noWrap w:val="0"/>
            <w:vAlign w:val="center"/>
          </w:tcPr>
          <w:p w14:paraId="1010A76A">
            <w:pPr>
              <w:pStyle w:val="16"/>
              <w:bidi w:val="0"/>
              <w:rPr>
                <w:rFonts w:hint="default"/>
                <w:color w:val="auto"/>
                <w:lang w:val="en-US" w:eastAsia="zh-CN"/>
              </w:rPr>
            </w:pPr>
          </w:p>
        </w:tc>
        <w:tc>
          <w:tcPr>
            <w:tcW w:w="1227" w:type="pct"/>
            <w:vMerge w:val="continue"/>
            <w:tcBorders>
              <w:tl2br w:val="nil"/>
              <w:tr2bl w:val="nil"/>
            </w:tcBorders>
            <w:noWrap w:val="0"/>
            <w:vAlign w:val="center"/>
          </w:tcPr>
          <w:p w14:paraId="49A82D39">
            <w:pPr>
              <w:pStyle w:val="16"/>
              <w:bidi w:val="0"/>
              <w:rPr>
                <w:rFonts w:hint="default"/>
                <w:color w:val="auto"/>
              </w:rPr>
            </w:pPr>
          </w:p>
        </w:tc>
        <w:tc>
          <w:tcPr>
            <w:tcW w:w="639" w:type="pct"/>
            <w:tcBorders>
              <w:tl2br w:val="nil"/>
              <w:tr2bl w:val="nil"/>
            </w:tcBorders>
            <w:noWrap w:val="0"/>
            <w:vAlign w:val="center"/>
          </w:tcPr>
          <w:p w14:paraId="73E9215F">
            <w:pPr>
              <w:pStyle w:val="16"/>
              <w:bidi w:val="0"/>
              <w:rPr>
                <w:rFonts w:hint="eastAsia"/>
                <w:color w:val="auto"/>
                <w:lang w:val="en-US" w:eastAsia="zh-CN"/>
              </w:rPr>
            </w:pPr>
            <w:r>
              <w:rPr>
                <w:rFonts w:hint="eastAsia"/>
                <w:color w:val="auto"/>
                <w:lang w:val="en-US" w:eastAsia="zh-CN"/>
              </w:rPr>
              <w:t>1.5</w:t>
            </w:r>
            <w:r>
              <w:rPr>
                <w:rFonts w:hint="default"/>
                <w:color w:val="auto"/>
                <w:lang w:val="en-US" w:eastAsia="zh-CN"/>
              </w:rPr>
              <w:t>μg/kg</w:t>
            </w:r>
          </w:p>
        </w:tc>
      </w:tr>
      <w:tr w14:paraId="3AA7FB8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66BED576">
            <w:pPr>
              <w:pStyle w:val="16"/>
              <w:bidi w:val="0"/>
              <w:rPr>
                <w:rFonts w:hint="default"/>
                <w:color w:val="auto"/>
                <w:lang w:val="en-US" w:eastAsia="zh-CN"/>
              </w:rPr>
            </w:pPr>
            <w:r>
              <w:rPr>
                <w:rFonts w:hint="default"/>
                <w:color w:val="auto"/>
              </w:rPr>
              <w:t>1,2-二氯丙烷</w:t>
            </w:r>
          </w:p>
        </w:tc>
        <w:tc>
          <w:tcPr>
            <w:tcW w:w="1568" w:type="pct"/>
            <w:vMerge w:val="continue"/>
            <w:tcBorders>
              <w:tl2br w:val="nil"/>
              <w:tr2bl w:val="nil"/>
            </w:tcBorders>
            <w:noWrap w:val="0"/>
            <w:vAlign w:val="center"/>
          </w:tcPr>
          <w:p w14:paraId="51493C00">
            <w:pPr>
              <w:pStyle w:val="16"/>
              <w:bidi w:val="0"/>
              <w:rPr>
                <w:rFonts w:hint="default"/>
                <w:color w:val="auto"/>
                <w:lang w:val="en-US" w:eastAsia="zh-CN"/>
              </w:rPr>
            </w:pPr>
          </w:p>
        </w:tc>
        <w:tc>
          <w:tcPr>
            <w:tcW w:w="604" w:type="pct"/>
            <w:vMerge w:val="continue"/>
            <w:tcBorders>
              <w:tl2br w:val="nil"/>
              <w:tr2bl w:val="nil"/>
            </w:tcBorders>
            <w:noWrap w:val="0"/>
            <w:vAlign w:val="center"/>
          </w:tcPr>
          <w:p w14:paraId="4EAADF84">
            <w:pPr>
              <w:pStyle w:val="16"/>
              <w:bidi w:val="0"/>
              <w:rPr>
                <w:rFonts w:hint="default"/>
                <w:color w:val="auto"/>
                <w:lang w:val="en-US" w:eastAsia="zh-CN"/>
              </w:rPr>
            </w:pPr>
          </w:p>
        </w:tc>
        <w:tc>
          <w:tcPr>
            <w:tcW w:w="1227" w:type="pct"/>
            <w:vMerge w:val="continue"/>
            <w:tcBorders>
              <w:tl2br w:val="nil"/>
              <w:tr2bl w:val="nil"/>
            </w:tcBorders>
            <w:noWrap w:val="0"/>
            <w:vAlign w:val="center"/>
          </w:tcPr>
          <w:p w14:paraId="5BFB94BB">
            <w:pPr>
              <w:pStyle w:val="16"/>
              <w:bidi w:val="0"/>
              <w:rPr>
                <w:rFonts w:hint="default"/>
                <w:color w:val="auto"/>
              </w:rPr>
            </w:pPr>
          </w:p>
        </w:tc>
        <w:tc>
          <w:tcPr>
            <w:tcW w:w="639" w:type="pct"/>
            <w:tcBorders>
              <w:tl2br w:val="nil"/>
              <w:tr2bl w:val="nil"/>
            </w:tcBorders>
            <w:noWrap w:val="0"/>
            <w:vAlign w:val="center"/>
          </w:tcPr>
          <w:p w14:paraId="2B142F55">
            <w:pPr>
              <w:pStyle w:val="16"/>
              <w:bidi w:val="0"/>
              <w:rPr>
                <w:rFonts w:hint="eastAsia"/>
                <w:color w:val="auto"/>
                <w:lang w:val="en-US" w:eastAsia="zh-CN"/>
              </w:rPr>
            </w:pPr>
            <w:r>
              <w:rPr>
                <w:rFonts w:hint="eastAsia"/>
                <w:color w:val="auto"/>
                <w:lang w:val="en-US" w:eastAsia="zh-CN"/>
              </w:rPr>
              <w:t>1.1</w:t>
            </w:r>
            <w:r>
              <w:rPr>
                <w:rFonts w:hint="default"/>
                <w:color w:val="auto"/>
                <w:lang w:val="en-US" w:eastAsia="zh-CN"/>
              </w:rPr>
              <w:t>μg/kg</w:t>
            </w:r>
          </w:p>
        </w:tc>
      </w:tr>
      <w:tr w14:paraId="00BFAA2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7D2A8CB8">
            <w:pPr>
              <w:pStyle w:val="16"/>
              <w:bidi w:val="0"/>
              <w:rPr>
                <w:rFonts w:hint="default"/>
                <w:color w:val="auto"/>
                <w:lang w:val="en-US" w:eastAsia="zh-CN"/>
              </w:rPr>
            </w:pPr>
            <w:r>
              <w:rPr>
                <w:rFonts w:hint="default"/>
                <w:color w:val="auto"/>
              </w:rPr>
              <w:t>1,1,1,2-四氯乙烷</w:t>
            </w:r>
          </w:p>
        </w:tc>
        <w:tc>
          <w:tcPr>
            <w:tcW w:w="1568" w:type="pct"/>
            <w:vMerge w:val="continue"/>
            <w:tcBorders>
              <w:tl2br w:val="nil"/>
              <w:tr2bl w:val="nil"/>
            </w:tcBorders>
            <w:noWrap w:val="0"/>
            <w:vAlign w:val="center"/>
          </w:tcPr>
          <w:p w14:paraId="2947A7E8">
            <w:pPr>
              <w:pStyle w:val="16"/>
              <w:bidi w:val="0"/>
              <w:rPr>
                <w:rFonts w:hint="default"/>
                <w:color w:val="auto"/>
                <w:lang w:val="en-US" w:eastAsia="zh-CN"/>
              </w:rPr>
            </w:pPr>
          </w:p>
        </w:tc>
        <w:tc>
          <w:tcPr>
            <w:tcW w:w="604" w:type="pct"/>
            <w:vMerge w:val="continue"/>
            <w:tcBorders>
              <w:tl2br w:val="nil"/>
              <w:tr2bl w:val="nil"/>
            </w:tcBorders>
            <w:noWrap w:val="0"/>
            <w:vAlign w:val="center"/>
          </w:tcPr>
          <w:p w14:paraId="53628A3D">
            <w:pPr>
              <w:pStyle w:val="16"/>
              <w:bidi w:val="0"/>
              <w:rPr>
                <w:rFonts w:hint="default"/>
                <w:color w:val="auto"/>
                <w:lang w:val="en-US" w:eastAsia="zh-CN"/>
              </w:rPr>
            </w:pPr>
          </w:p>
        </w:tc>
        <w:tc>
          <w:tcPr>
            <w:tcW w:w="1227" w:type="pct"/>
            <w:vMerge w:val="continue"/>
            <w:tcBorders>
              <w:tl2br w:val="nil"/>
              <w:tr2bl w:val="nil"/>
            </w:tcBorders>
            <w:noWrap w:val="0"/>
            <w:vAlign w:val="center"/>
          </w:tcPr>
          <w:p w14:paraId="03493B2B">
            <w:pPr>
              <w:pStyle w:val="16"/>
              <w:bidi w:val="0"/>
              <w:rPr>
                <w:rFonts w:hint="default"/>
                <w:color w:val="auto"/>
              </w:rPr>
            </w:pPr>
          </w:p>
        </w:tc>
        <w:tc>
          <w:tcPr>
            <w:tcW w:w="639" w:type="pct"/>
            <w:tcBorders>
              <w:tl2br w:val="nil"/>
              <w:tr2bl w:val="nil"/>
            </w:tcBorders>
            <w:noWrap w:val="0"/>
            <w:vAlign w:val="center"/>
          </w:tcPr>
          <w:p w14:paraId="62E7A1BE">
            <w:pPr>
              <w:pStyle w:val="16"/>
              <w:bidi w:val="0"/>
              <w:rPr>
                <w:rFonts w:hint="eastAsia"/>
                <w:color w:val="auto"/>
                <w:lang w:val="en-US" w:eastAsia="zh-CN"/>
              </w:rPr>
            </w:pPr>
            <w:r>
              <w:rPr>
                <w:rFonts w:hint="eastAsia"/>
                <w:color w:val="auto"/>
                <w:lang w:val="en-US" w:eastAsia="zh-CN"/>
              </w:rPr>
              <w:t>1.2</w:t>
            </w:r>
            <w:r>
              <w:rPr>
                <w:rFonts w:hint="default"/>
                <w:color w:val="auto"/>
                <w:lang w:val="en-US" w:eastAsia="zh-CN"/>
              </w:rPr>
              <w:t>μg/kg</w:t>
            </w:r>
          </w:p>
        </w:tc>
      </w:tr>
      <w:tr w14:paraId="112D77CC">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4AB8C6D2">
            <w:pPr>
              <w:pStyle w:val="16"/>
              <w:bidi w:val="0"/>
              <w:rPr>
                <w:rFonts w:hint="default"/>
                <w:color w:val="auto"/>
                <w:lang w:val="en-US" w:eastAsia="zh-CN"/>
              </w:rPr>
            </w:pPr>
            <w:r>
              <w:rPr>
                <w:rFonts w:hint="default"/>
                <w:color w:val="auto"/>
              </w:rPr>
              <w:t>1,1,2,2-四氯乙烷</w:t>
            </w:r>
          </w:p>
        </w:tc>
        <w:tc>
          <w:tcPr>
            <w:tcW w:w="1568" w:type="pct"/>
            <w:vMerge w:val="continue"/>
            <w:tcBorders>
              <w:tl2br w:val="nil"/>
              <w:tr2bl w:val="nil"/>
            </w:tcBorders>
            <w:noWrap w:val="0"/>
            <w:vAlign w:val="center"/>
          </w:tcPr>
          <w:p w14:paraId="6B5BD576">
            <w:pPr>
              <w:pStyle w:val="16"/>
              <w:bidi w:val="0"/>
              <w:rPr>
                <w:rFonts w:hint="default"/>
                <w:color w:val="auto"/>
                <w:lang w:val="en-US" w:eastAsia="zh-CN"/>
              </w:rPr>
            </w:pPr>
          </w:p>
        </w:tc>
        <w:tc>
          <w:tcPr>
            <w:tcW w:w="604" w:type="pct"/>
            <w:vMerge w:val="continue"/>
            <w:tcBorders>
              <w:tl2br w:val="nil"/>
              <w:tr2bl w:val="nil"/>
            </w:tcBorders>
            <w:noWrap w:val="0"/>
            <w:vAlign w:val="center"/>
          </w:tcPr>
          <w:p w14:paraId="1BCA4D4C">
            <w:pPr>
              <w:pStyle w:val="16"/>
              <w:bidi w:val="0"/>
              <w:rPr>
                <w:rFonts w:hint="default"/>
                <w:color w:val="auto"/>
                <w:lang w:val="en-US" w:eastAsia="zh-CN"/>
              </w:rPr>
            </w:pPr>
          </w:p>
        </w:tc>
        <w:tc>
          <w:tcPr>
            <w:tcW w:w="1227" w:type="pct"/>
            <w:vMerge w:val="continue"/>
            <w:tcBorders>
              <w:tl2br w:val="nil"/>
              <w:tr2bl w:val="nil"/>
            </w:tcBorders>
            <w:noWrap w:val="0"/>
            <w:vAlign w:val="center"/>
          </w:tcPr>
          <w:p w14:paraId="4708A444">
            <w:pPr>
              <w:pStyle w:val="16"/>
              <w:bidi w:val="0"/>
              <w:rPr>
                <w:rFonts w:hint="default"/>
                <w:color w:val="auto"/>
              </w:rPr>
            </w:pPr>
          </w:p>
        </w:tc>
        <w:tc>
          <w:tcPr>
            <w:tcW w:w="639" w:type="pct"/>
            <w:tcBorders>
              <w:tl2br w:val="nil"/>
              <w:tr2bl w:val="nil"/>
            </w:tcBorders>
            <w:noWrap w:val="0"/>
            <w:vAlign w:val="center"/>
          </w:tcPr>
          <w:p w14:paraId="6A9E7537">
            <w:pPr>
              <w:pStyle w:val="16"/>
              <w:bidi w:val="0"/>
              <w:rPr>
                <w:rFonts w:hint="eastAsia"/>
                <w:color w:val="auto"/>
                <w:lang w:val="en-US" w:eastAsia="zh-CN"/>
              </w:rPr>
            </w:pPr>
            <w:r>
              <w:rPr>
                <w:rFonts w:hint="eastAsia"/>
                <w:color w:val="auto"/>
                <w:lang w:val="en-US" w:eastAsia="zh-CN"/>
              </w:rPr>
              <w:t>1.2</w:t>
            </w:r>
            <w:r>
              <w:rPr>
                <w:rFonts w:hint="default"/>
                <w:color w:val="auto"/>
                <w:lang w:val="en-US" w:eastAsia="zh-CN"/>
              </w:rPr>
              <w:t>μg/kg</w:t>
            </w:r>
          </w:p>
        </w:tc>
      </w:tr>
      <w:tr w14:paraId="00CD0B93">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4C0E303C">
            <w:pPr>
              <w:pStyle w:val="16"/>
              <w:bidi w:val="0"/>
              <w:rPr>
                <w:rFonts w:hint="default"/>
                <w:color w:val="auto"/>
                <w:lang w:val="en-US" w:eastAsia="zh-CN"/>
              </w:rPr>
            </w:pPr>
            <w:r>
              <w:rPr>
                <w:rFonts w:hint="default"/>
                <w:color w:val="auto"/>
              </w:rPr>
              <w:t>四氯乙烯</w:t>
            </w:r>
          </w:p>
        </w:tc>
        <w:tc>
          <w:tcPr>
            <w:tcW w:w="1568" w:type="pct"/>
            <w:vMerge w:val="continue"/>
            <w:tcBorders>
              <w:tl2br w:val="nil"/>
              <w:tr2bl w:val="nil"/>
            </w:tcBorders>
            <w:noWrap w:val="0"/>
            <w:vAlign w:val="center"/>
          </w:tcPr>
          <w:p w14:paraId="76AB70A6">
            <w:pPr>
              <w:pStyle w:val="16"/>
              <w:bidi w:val="0"/>
              <w:rPr>
                <w:rFonts w:hint="default"/>
                <w:color w:val="auto"/>
                <w:lang w:val="en-US" w:eastAsia="zh-CN"/>
              </w:rPr>
            </w:pPr>
          </w:p>
        </w:tc>
        <w:tc>
          <w:tcPr>
            <w:tcW w:w="604" w:type="pct"/>
            <w:vMerge w:val="continue"/>
            <w:tcBorders>
              <w:tl2br w:val="nil"/>
              <w:tr2bl w:val="nil"/>
            </w:tcBorders>
            <w:noWrap w:val="0"/>
            <w:vAlign w:val="center"/>
          </w:tcPr>
          <w:p w14:paraId="1737E5E0">
            <w:pPr>
              <w:pStyle w:val="16"/>
              <w:bidi w:val="0"/>
              <w:rPr>
                <w:rFonts w:hint="default"/>
                <w:color w:val="auto"/>
                <w:lang w:val="en-US" w:eastAsia="zh-CN"/>
              </w:rPr>
            </w:pPr>
          </w:p>
        </w:tc>
        <w:tc>
          <w:tcPr>
            <w:tcW w:w="1227" w:type="pct"/>
            <w:vMerge w:val="continue"/>
            <w:tcBorders>
              <w:tl2br w:val="nil"/>
              <w:tr2bl w:val="nil"/>
            </w:tcBorders>
            <w:noWrap w:val="0"/>
            <w:vAlign w:val="center"/>
          </w:tcPr>
          <w:p w14:paraId="3E7EB847">
            <w:pPr>
              <w:pStyle w:val="16"/>
              <w:bidi w:val="0"/>
              <w:rPr>
                <w:rFonts w:hint="default"/>
                <w:color w:val="auto"/>
              </w:rPr>
            </w:pPr>
          </w:p>
        </w:tc>
        <w:tc>
          <w:tcPr>
            <w:tcW w:w="639" w:type="pct"/>
            <w:tcBorders>
              <w:tl2br w:val="nil"/>
              <w:tr2bl w:val="nil"/>
            </w:tcBorders>
            <w:noWrap w:val="0"/>
            <w:vAlign w:val="center"/>
          </w:tcPr>
          <w:p w14:paraId="6E261E5B">
            <w:pPr>
              <w:pStyle w:val="16"/>
              <w:bidi w:val="0"/>
              <w:rPr>
                <w:rFonts w:hint="eastAsia"/>
                <w:color w:val="auto"/>
                <w:lang w:val="en-US" w:eastAsia="zh-CN"/>
              </w:rPr>
            </w:pPr>
            <w:r>
              <w:rPr>
                <w:rFonts w:hint="eastAsia"/>
                <w:color w:val="auto"/>
                <w:lang w:val="en-US" w:eastAsia="zh-CN"/>
              </w:rPr>
              <w:t>1.4</w:t>
            </w:r>
            <w:r>
              <w:rPr>
                <w:rFonts w:hint="default"/>
                <w:color w:val="auto"/>
                <w:lang w:val="en-US" w:eastAsia="zh-CN"/>
              </w:rPr>
              <w:t>μg/kg</w:t>
            </w:r>
          </w:p>
        </w:tc>
      </w:tr>
      <w:tr w14:paraId="456DE116">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17668C13">
            <w:pPr>
              <w:pStyle w:val="16"/>
              <w:bidi w:val="0"/>
              <w:rPr>
                <w:rFonts w:hint="default"/>
                <w:color w:val="auto"/>
                <w:lang w:val="en-US" w:eastAsia="zh-CN"/>
              </w:rPr>
            </w:pPr>
            <w:r>
              <w:rPr>
                <w:rFonts w:hint="default"/>
                <w:color w:val="auto"/>
              </w:rPr>
              <w:t>1,1,1-三氯乙烷</w:t>
            </w:r>
          </w:p>
        </w:tc>
        <w:tc>
          <w:tcPr>
            <w:tcW w:w="1568" w:type="pct"/>
            <w:vMerge w:val="continue"/>
            <w:tcBorders>
              <w:tl2br w:val="nil"/>
              <w:tr2bl w:val="nil"/>
            </w:tcBorders>
            <w:noWrap w:val="0"/>
            <w:vAlign w:val="center"/>
          </w:tcPr>
          <w:p w14:paraId="43003D66">
            <w:pPr>
              <w:pStyle w:val="16"/>
              <w:bidi w:val="0"/>
              <w:rPr>
                <w:rFonts w:hint="default"/>
                <w:color w:val="auto"/>
                <w:lang w:val="en-US" w:eastAsia="zh-CN"/>
              </w:rPr>
            </w:pPr>
          </w:p>
        </w:tc>
        <w:tc>
          <w:tcPr>
            <w:tcW w:w="604" w:type="pct"/>
            <w:vMerge w:val="continue"/>
            <w:tcBorders>
              <w:tl2br w:val="nil"/>
              <w:tr2bl w:val="nil"/>
            </w:tcBorders>
            <w:noWrap w:val="0"/>
            <w:vAlign w:val="center"/>
          </w:tcPr>
          <w:p w14:paraId="6AC8DE40">
            <w:pPr>
              <w:pStyle w:val="16"/>
              <w:bidi w:val="0"/>
              <w:rPr>
                <w:rFonts w:hint="default"/>
                <w:color w:val="auto"/>
                <w:lang w:val="en-US" w:eastAsia="zh-CN"/>
              </w:rPr>
            </w:pPr>
          </w:p>
        </w:tc>
        <w:tc>
          <w:tcPr>
            <w:tcW w:w="1227" w:type="pct"/>
            <w:vMerge w:val="continue"/>
            <w:tcBorders>
              <w:tl2br w:val="nil"/>
              <w:tr2bl w:val="nil"/>
            </w:tcBorders>
            <w:noWrap w:val="0"/>
            <w:vAlign w:val="center"/>
          </w:tcPr>
          <w:p w14:paraId="35B2FE44">
            <w:pPr>
              <w:pStyle w:val="16"/>
              <w:bidi w:val="0"/>
              <w:rPr>
                <w:rFonts w:hint="default"/>
                <w:color w:val="auto"/>
              </w:rPr>
            </w:pPr>
          </w:p>
        </w:tc>
        <w:tc>
          <w:tcPr>
            <w:tcW w:w="639" w:type="pct"/>
            <w:tcBorders>
              <w:tl2br w:val="nil"/>
              <w:tr2bl w:val="nil"/>
            </w:tcBorders>
            <w:noWrap w:val="0"/>
            <w:vAlign w:val="center"/>
          </w:tcPr>
          <w:p w14:paraId="12447FB4">
            <w:pPr>
              <w:pStyle w:val="16"/>
              <w:bidi w:val="0"/>
              <w:rPr>
                <w:rFonts w:hint="eastAsia"/>
                <w:color w:val="auto"/>
                <w:lang w:val="en-US" w:eastAsia="zh-CN"/>
              </w:rPr>
            </w:pPr>
            <w:r>
              <w:rPr>
                <w:rFonts w:hint="eastAsia"/>
                <w:color w:val="auto"/>
                <w:lang w:val="en-US" w:eastAsia="zh-CN"/>
              </w:rPr>
              <w:t>1.3</w:t>
            </w:r>
            <w:r>
              <w:rPr>
                <w:rFonts w:hint="default"/>
                <w:color w:val="auto"/>
                <w:lang w:val="en-US" w:eastAsia="zh-CN"/>
              </w:rPr>
              <w:t>μg/kg</w:t>
            </w:r>
          </w:p>
        </w:tc>
      </w:tr>
      <w:tr w14:paraId="5EEB3D6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5A170FA6">
            <w:pPr>
              <w:pStyle w:val="16"/>
              <w:bidi w:val="0"/>
              <w:rPr>
                <w:rFonts w:hint="default"/>
                <w:color w:val="auto"/>
                <w:lang w:val="en-US" w:eastAsia="zh-CN"/>
              </w:rPr>
            </w:pPr>
            <w:r>
              <w:rPr>
                <w:rFonts w:hint="default"/>
                <w:color w:val="auto"/>
              </w:rPr>
              <w:t>1,1,2-三氯乙烷</w:t>
            </w:r>
          </w:p>
        </w:tc>
        <w:tc>
          <w:tcPr>
            <w:tcW w:w="1568" w:type="pct"/>
            <w:vMerge w:val="continue"/>
            <w:tcBorders>
              <w:tl2br w:val="nil"/>
              <w:tr2bl w:val="nil"/>
            </w:tcBorders>
            <w:noWrap w:val="0"/>
            <w:vAlign w:val="center"/>
          </w:tcPr>
          <w:p w14:paraId="43D61D9B">
            <w:pPr>
              <w:pStyle w:val="16"/>
              <w:bidi w:val="0"/>
              <w:rPr>
                <w:rFonts w:hint="default"/>
                <w:color w:val="auto"/>
                <w:lang w:val="en-US" w:eastAsia="zh-CN"/>
              </w:rPr>
            </w:pPr>
          </w:p>
        </w:tc>
        <w:tc>
          <w:tcPr>
            <w:tcW w:w="604" w:type="pct"/>
            <w:vMerge w:val="continue"/>
            <w:tcBorders>
              <w:tl2br w:val="nil"/>
              <w:tr2bl w:val="nil"/>
            </w:tcBorders>
            <w:noWrap w:val="0"/>
            <w:vAlign w:val="center"/>
          </w:tcPr>
          <w:p w14:paraId="37A37ECC">
            <w:pPr>
              <w:pStyle w:val="16"/>
              <w:bidi w:val="0"/>
              <w:rPr>
                <w:rFonts w:hint="default"/>
                <w:color w:val="auto"/>
                <w:lang w:val="en-US" w:eastAsia="zh-CN"/>
              </w:rPr>
            </w:pPr>
          </w:p>
        </w:tc>
        <w:tc>
          <w:tcPr>
            <w:tcW w:w="1227" w:type="pct"/>
            <w:vMerge w:val="continue"/>
            <w:tcBorders>
              <w:tl2br w:val="nil"/>
              <w:tr2bl w:val="nil"/>
            </w:tcBorders>
            <w:noWrap w:val="0"/>
            <w:vAlign w:val="center"/>
          </w:tcPr>
          <w:p w14:paraId="1ACC392C">
            <w:pPr>
              <w:pStyle w:val="16"/>
              <w:bidi w:val="0"/>
              <w:rPr>
                <w:rFonts w:hint="default"/>
                <w:color w:val="auto"/>
              </w:rPr>
            </w:pPr>
          </w:p>
        </w:tc>
        <w:tc>
          <w:tcPr>
            <w:tcW w:w="639" w:type="pct"/>
            <w:tcBorders>
              <w:tl2br w:val="nil"/>
              <w:tr2bl w:val="nil"/>
            </w:tcBorders>
            <w:noWrap w:val="0"/>
            <w:vAlign w:val="center"/>
          </w:tcPr>
          <w:p w14:paraId="56422DFE">
            <w:pPr>
              <w:pStyle w:val="16"/>
              <w:bidi w:val="0"/>
              <w:rPr>
                <w:rFonts w:hint="eastAsia"/>
                <w:color w:val="auto"/>
                <w:lang w:val="en-US" w:eastAsia="zh-CN"/>
              </w:rPr>
            </w:pPr>
            <w:r>
              <w:rPr>
                <w:rFonts w:hint="eastAsia"/>
                <w:color w:val="auto"/>
                <w:lang w:val="en-US" w:eastAsia="zh-CN"/>
              </w:rPr>
              <w:t>1.2</w:t>
            </w:r>
            <w:r>
              <w:rPr>
                <w:rFonts w:hint="default"/>
                <w:color w:val="auto"/>
                <w:lang w:val="en-US" w:eastAsia="zh-CN"/>
              </w:rPr>
              <w:t>μg/kg</w:t>
            </w:r>
          </w:p>
        </w:tc>
      </w:tr>
      <w:tr w14:paraId="1EC618E2">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5852FA75">
            <w:pPr>
              <w:pStyle w:val="16"/>
              <w:bidi w:val="0"/>
              <w:rPr>
                <w:rFonts w:hint="default"/>
                <w:color w:val="auto"/>
                <w:lang w:val="en-US" w:eastAsia="zh-CN"/>
              </w:rPr>
            </w:pPr>
            <w:r>
              <w:rPr>
                <w:rFonts w:hint="default"/>
                <w:color w:val="auto"/>
              </w:rPr>
              <w:t>三氯乙烯</w:t>
            </w:r>
          </w:p>
        </w:tc>
        <w:tc>
          <w:tcPr>
            <w:tcW w:w="1568" w:type="pct"/>
            <w:vMerge w:val="continue"/>
            <w:tcBorders>
              <w:tl2br w:val="nil"/>
              <w:tr2bl w:val="nil"/>
            </w:tcBorders>
            <w:noWrap w:val="0"/>
            <w:vAlign w:val="center"/>
          </w:tcPr>
          <w:p w14:paraId="61F39095">
            <w:pPr>
              <w:pStyle w:val="16"/>
              <w:bidi w:val="0"/>
              <w:rPr>
                <w:rFonts w:hint="default"/>
                <w:color w:val="auto"/>
                <w:lang w:val="en-US" w:eastAsia="zh-CN"/>
              </w:rPr>
            </w:pPr>
          </w:p>
        </w:tc>
        <w:tc>
          <w:tcPr>
            <w:tcW w:w="604" w:type="pct"/>
            <w:vMerge w:val="continue"/>
            <w:tcBorders>
              <w:tl2br w:val="nil"/>
              <w:tr2bl w:val="nil"/>
            </w:tcBorders>
            <w:noWrap w:val="0"/>
            <w:vAlign w:val="center"/>
          </w:tcPr>
          <w:p w14:paraId="360F5445">
            <w:pPr>
              <w:pStyle w:val="16"/>
              <w:bidi w:val="0"/>
              <w:rPr>
                <w:rFonts w:hint="default"/>
                <w:color w:val="auto"/>
                <w:lang w:val="en-US" w:eastAsia="zh-CN"/>
              </w:rPr>
            </w:pPr>
          </w:p>
        </w:tc>
        <w:tc>
          <w:tcPr>
            <w:tcW w:w="1227" w:type="pct"/>
            <w:vMerge w:val="continue"/>
            <w:tcBorders>
              <w:tl2br w:val="nil"/>
              <w:tr2bl w:val="nil"/>
            </w:tcBorders>
            <w:noWrap w:val="0"/>
            <w:vAlign w:val="center"/>
          </w:tcPr>
          <w:p w14:paraId="085941B5">
            <w:pPr>
              <w:pStyle w:val="16"/>
              <w:bidi w:val="0"/>
              <w:rPr>
                <w:rFonts w:hint="default"/>
                <w:color w:val="auto"/>
              </w:rPr>
            </w:pPr>
          </w:p>
        </w:tc>
        <w:tc>
          <w:tcPr>
            <w:tcW w:w="639" w:type="pct"/>
            <w:tcBorders>
              <w:tl2br w:val="nil"/>
              <w:tr2bl w:val="nil"/>
            </w:tcBorders>
            <w:noWrap w:val="0"/>
            <w:vAlign w:val="center"/>
          </w:tcPr>
          <w:p w14:paraId="2185DB2C">
            <w:pPr>
              <w:pStyle w:val="16"/>
              <w:bidi w:val="0"/>
              <w:rPr>
                <w:rFonts w:hint="eastAsia"/>
                <w:color w:val="auto"/>
                <w:lang w:val="en-US" w:eastAsia="zh-CN"/>
              </w:rPr>
            </w:pPr>
            <w:r>
              <w:rPr>
                <w:rFonts w:hint="eastAsia"/>
                <w:color w:val="auto"/>
                <w:lang w:val="en-US" w:eastAsia="zh-CN"/>
              </w:rPr>
              <w:t>1.2</w:t>
            </w:r>
            <w:r>
              <w:rPr>
                <w:rFonts w:hint="default"/>
                <w:color w:val="auto"/>
                <w:lang w:val="en-US" w:eastAsia="zh-CN"/>
              </w:rPr>
              <w:t>μg/kg</w:t>
            </w:r>
          </w:p>
        </w:tc>
      </w:tr>
      <w:tr w14:paraId="256584E6">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0734130E">
            <w:pPr>
              <w:pStyle w:val="16"/>
              <w:bidi w:val="0"/>
              <w:rPr>
                <w:rFonts w:hint="default"/>
                <w:color w:val="auto"/>
                <w:lang w:val="en-US" w:eastAsia="zh-CN"/>
              </w:rPr>
            </w:pPr>
            <w:r>
              <w:rPr>
                <w:rFonts w:hint="default"/>
                <w:color w:val="auto"/>
              </w:rPr>
              <w:t>1,2,3-三氯丙烷</w:t>
            </w:r>
          </w:p>
        </w:tc>
        <w:tc>
          <w:tcPr>
            <w:tcW w:w="1568" w:type="pct"/>
            <w:vMerge w:val="continue"/>
            <w:tcBorders>
              <w:tl2br w:val="nil"/>
              <w:tr2bl w:val="nil"/>
            </w:tcBorders>
            <w:noWrap w:val="0"/>
            <w:vAlign w:val="center"/>
          </w:tcPr>
          <w:p w14:paraId="4203B4E2">
            <w:pPr>
              <w:pStyle w:val="16"/>
              <w:bidi w:val="0"/>
              <w:rPr>
                <w:rFonts w:hint="default"/>
                <w:color w:val="auto"/>
                <w:lang w:val="en-US" w:eastAsia="zh-CN"/>
              </w:rPr>
            </w:pPr>
          </w:p>
        </w:tc>
        <w:tc>
          <w:tcPr>
            <w:tcW w:w="604" w:type="pct"/>
            <w:vMerge w:val="continue"/>
            <w:tcBorders>
              <w:tl2br w:val="nil"/>
              <w:tr2bl w:val="nil"/>
            </w:tcBorders>
            <w:noWrap w:val="0"/>
            <w:vAlign w:val="center"/>
          </w:tcPr>
          <w:p w14:paraId="5A6D03FD">
            <w:pPr>
              <w:pStyle w:val="16"/>
              <w:bidi w:val="0"/>
              <w:rPr>
                <w:rFonts w:hint="default"/>
                <w:color w:val="auto"/>
                <w:lang w:val="en-US" w:eastAsia="zh-CN"/>
              </w:rPr>
            </w:pPr>
          </w:p>
        </w:tc>
        <w:tc>
          <w:tcPr>
            <w:tcW w:w="1227" w:type="pct"/>
            <w:vMerge w:val="continue"/>
            <w:tcBorders>
              <w:tl2br w:val="nil"/>
              <w:tr2bl w:val="nil"/>
            </w:tcBorders>
            <w:noWrap w:val="0"/>
            <w:vAlign w:val="center"/>
          </w:tcPr>
          <w:p w14:paraId="4141E6D6">
            <w:pPr>
              <w:pStyle w:val="16"/>
              <w:bidi w:val="0"/>
              <w:rPr>
                <w:rFonts w:hint="default"/>
                <w:color w:val="auto"/>
              </w:rPr>
            </w:pPr>
          </w:p>
        </w:tc>
        <w:tc>
          <w:tcPr>
            <w:tcW w:w="639" w:type="pct"/>
            <w:tcBorders>
              <w:tl2br w:val="nil"/>
              <w:tr2bl w:val="nil"/>
            </w:tcBorders>
            <w:noWrap w:val="0"/>
            <w:vAlign w:val="center"/>
          </w:tcPr>
          <w:p w14:paraId="1DD34B3E">
            <w:pPr>
              <w:pStyle w:val="16"/>
              <w:bidi w:val="0"/>
              <w:rPr>
                <w:rFonts w:hint="eastAsia"/>
                <w:color w:val="auto"/>
                <w:lang w:val="en-US" w:eastAsia="zh-CN"/>
              </w:rPr>
            </w:pPr>
            <w:r>
              <w:rPr>
                <w:rFonts w:hint="eastAsia"/>
                <w:color w:val="auto"/>
                <w:lang w:val="en-US" w:eastAsia="zh-CN"/>
              </w:rPr>
              <w:t>1.2</w:t>
            </w:r>
            <w:r>
              <w:rPr>
                <w:rFonts w:hint="default"/>
                <w:color w:val="auto"/>
                <w:lang w:val="en-US" w:eastAsia="zh-CN"/>
              </w:rPr>
              <w:t>μg/kg</w:t>
            </w:r>
          </w:p>
        </w:tc>
      </w:tr>
      <w:tr w14:paraId="3DC3CD51">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58F4911A">
            <w:pPr>
              <w:pStyle w:val="16"/>
              <w:bidi w:val="0"/>
              <w:rPr>
                <w:rFonts w:hint="default"/>
                <w:color w:val="auto"/>
              </w:rPr>
            </w:pPr>
            <w:r>
              <w:rPr>
                <w:rFonts w:hint="default"/>
                <w:color w:val="auto"/>
                <w:lang w:val="en-US" w:eastAsia="zh-CN"/>
              </w:rPr>
              <w:t>氯乙烯</w:t>
            </w:r>
          </w:p>
        </w:tc>
        <w:tc>
          <w:tcPr>
            <w:tcW w:w="1568" w:type="pct"/>
            <w:vMerge w:val="continue"/>
            <w:tcBorders>
              <w:tl2br w:val="nil"/>
              <w:tr2bl w:val="nil"/>
            </w:tcBorders>
            <w:noWrap w:val="0"/>
            <w:vAlign w:val="center"/>
          </w:tcPr>
          <w:p w14:paraId="7D54BA84">
            <w:pPr>
              <w:pStyle w:val="16"/>
              <w:bidi w:val="0"/>
              <w:rPr>
                <w:rFonts w:hint="default"/>
                <w:color w:val="auto"/>
                <w:lang w:val="en-US" w:eastAsia="zh-CN"/>
              </w:rPr>
            </w:pPr>
          </w:p>
        </w:tc>
        <w:tc>
          <w:tcPr>
            <w:tcW w:w="604" w:type="pct"/>
            <w:vMerge w:val="continue"/>
            <w:tcBorders>
              <w:tl2br w:val="nil"/>
              <w:tr2bl w:val="nil"/>
            </w:tcBorders>
            <w:noWrap w:val="0"/>
            <w:vAlign w:val="center"/>
          </w:tcPr>
          <w:p w14:paraId="20DD74E9">
            <w:pPr>
              <w:pStyle w:val="16"/>
              <w:bidi w:val="0"/>
              <w:rPr>
                <w:rFonts w:hint="default"/>
                <w:color w:val="auto"/>
                <w:lang w:val="en-US" w:eastAsia="zh-CN"/>
              </w:rPr>
            </w:pPr>
          </w:p>
        </w:tc>
        <w:tc>
          <w:tcPr>
            <w:tcW w:w="1227" w:type="pct"/>
            <w:vMerge w:val="continue"/>
            <w:tcBorders>
              <w:tl2br w:val="nil"/>
              <w:tr2bl w:val="nil"/>
            </w:tcBorders>
            <w:noWrap w:val="0"/>
            <w:vAlign w:val="center"/>
          </w:tcPr>
          <w:p w14:paraId="25FDD611">
            <w:pPr>
              <w:pStyle w:val="16"/>
              <w:bidi w:val="0"/>
              <w:rPr>
                <w:rFonts w:hint="default"/>
                <w:color w:val="auto"/>
              </w:rPr>
            </w:pPr>
          </w:p>
        </w:tc>
        <w:tc>
          <w:tcPr>
            <w:tcW w:w="639" w:type="pct"/>
            <w:tcBorders>
              <w:tl2br w:val="nil"/>
              <w:tr2bl w:val="nil"/>
            </w:tcBorders>
            <w:noWrap w:val="0"/>
            <w:vAlign w:val="center"/>
          </w:tcPr>
          <w:p w14:paraId="550F52CB">
            <w:pPr>
              <w:pStyle w:val="16"/>
              <w:bidi w:val="0"/>
              <w:rPr>
                <w:rFonts w:hint="eastAsia"/>
                <w:color w:val="auto"/>
                <w:lang w:val="en-US" w:eastAsia="zh-CN"/>
              </w:rPr>
            </w:pPr>
            <w:r>
              <w:rPr>
                <w:rFonts w:hint="eastAsia"/>
                <w:color w:val="auto"/>
                <w:lang w:val="en-US" w:eastAsia="zh-CN"/>
              </w:rPr>
              <w:t>1.0</w:t>
            </w:r>
            <w:r>
              <w:rPr>
                <w:rFonts w:hint="default"/>
                <w:color w:val="auto"/>
                <w:lang w:val="en-US" w:eastAsia="zh-CN"/>
              </w:rPr>
              <w:t>μg/kg</w:t>
            </w:r>
          </w:p>
        </w:tc>
      </w:tr>
      <w:tr w14:paraId="1630AFC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4C75B83E">
            <w:pPr>
              <w:pStyle w:val="16"/>
              <w:bidi w:val="0"/>
              <w:rPr>
                <w:rFonts w:hint="eastAsia"/>
                <w:color w:val="auto"/>
                <w:lang w:val="en-US" w:eastAsia="zh-CN"/>
              </w:rPr>
            </w:pPr>
            <w:r>
              <w:rPr>
                <w:rFonts w:hint="default"/>
                <w:color w:val="auto"/>
                <w:lang w:val="en-US" w:eastAsia="zh-CN"/>
              </w:rPr>
              <w:t>苯</w:t>
            </w:r>
          </w:p>
        </w:tc>
        <w:tc>
          <w:tcPr>
            <w:tcW w:w="1568" w:type="pct"/>
            <w:vMerge w:val="continue"/>
            <w:tcBorders>
              <w:tl2br w:val="nil"/>
              <w:tr2bl w:val="nil"/>
            </w:tcBorders>
            <w:noWrap w:val="0"/>
            <w:vAlign w:val="center"/>
          </w:tcPr>
          <w:p w14:paraId="5208C638">
            <w:pPr>
              <w:pStyle w:val="16"/>
              <w:bidi w:val="0"/>
              <w:rPr>
                <w:rFonts w:hint="default"/>
                <w:color w:val="auto"/>
                <w:lang w:val="en-US" w:eastAsia="zh-CN"/>
              </w:rPr>
            </w:pPr>
          </w:p>
        </w:tc>
        <w:tc>
          <w:tcPr>
            <w:tcW w:w="604" w:type="pct"/>
            <w:vMerge w:val="continue"/>
            <w:tcBorders>
              <w:tl2br w:val="nil"/>
              <w:tr2bl w:val="nil"/>
            </w:tcBorders>
            <w:noWrap w:val="0"/>
            <w:vAlign w:val="center"/>
          </w:tcPr>
          <w:p w14:paraId="794F51C4">
            <w:pPr>
              <w:pStyle w:val="16"/>
              <w:bidi w:val="0"/>
              <w:rPr>
                <w:rFonts w:hint="default"/>
                <w:color w:val="auto"/>
                <w:lang w:val="en-US" w:eastAsia="zh-CN"/>
              </w:rPr>
            </w:pPr>
          </w:p>
        </w:tc>
        <w:tc>
          <w:tcPr>
            <w:tcW w:w="1227" w:type="pct"/>
            <w:vMerge w:val="continue"/>
            <w:tcBorders>
              <w:tl2br w:val="nil"/>
              <w:tr2bl w:val="nil"/>
            </w:tcBorders>
            <w:noWrap w:val="0"/>
            <w:vAlign w:val="center"/>
          </w:tcPr>
          <w:p w14:paraId="7C4D312C">
            <w:pPr>
              <w:pStyle w:val="16"/>
              <w:bidi w:val="0"/>
              <w:rPr>
                <w:rFonts w:hint="default"/>
                <w:color w:val="auto"/>
                <w:lang w:val="en-US" w:eastAsia="zh-CN"/>
              </w:rPr>
            </w:pPr>
          </w:p>
        </w:tc>
        <w:tc>
          <w:tcPr>
            <w:tcW w:w="639" w:type="pct"/>
            <w:tcBorders>
              <w:tl2br w:val="nil"/>
              <w:tr2bl w:val="nil"/>
            </w:tcBorders>
            <w:noWrap w:val="0"/>
            <w:vAlign w:val="center"/>
          </w:tcPr>
          <w:p w14:paraId="25819478">
            <w:pPr>
              <w:pStyle w:val="16"/>
              <w:bidi w:val="0"/>
              <w:rPr>
                <w:rFonts w:hint="eastAsia"/>
                <w:color w:val="auto"/>
                <w:lang w:val="en-US" w:eastAsia="zh-CN"/>
              </w:rPr>
            </w:pPr>
            <w:r>
              <w:rPr>
                <w:rFonts w:hint="eastAsia"/>
                <w:color w:val="auto"/>
                <w:lang w:val="en-US" w:eastAsia="zh-CN"/>
              </w:rPr>
              <w:t>1.9</w:t>
            </w:r>
            <w:r>
              <w:rPr>
                <w:rFonts w:hint="default"/>
                <w:color w:val="auto"/>
                <w:lang w:val="en-US" w:eastAsia="zh-CN"/>
              </w:rPr>
              <w:t>μg/kg</w:t>
            </w:r>
          </w:p>
        </w:tc>
      </w:tr>
      <w:tr w14:paraId="21DDFCE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09E9FEAE">
            <w:pPr>
              <w:pStyle w:val="16"/>
              <w:bidi w:val="0"/>
              <w:rPr>
                <w:rFonts w:hint="eastAsia"/>
                <w:color w:val="auto"/>
                <w:lang w:val="en-US" w:eastAsia="zh-CN"/>
              </w:rPr>
            </w:pPr>
            <w:r>
              <w:rPr>
                <w:rFonts w:hint="default"/>
                <w:color w:val="auto"/>
                <w:lang w:val="en-US" w:eastAsia="zh-CN"/>
              </w:rPr>
              <w:t>氯苯</w:t>
            </w:r>
          </w:p>
        </w:tc>
        <w:tc>
          <w:tcPr>
            <w:tcW w:w="1568" w:type="pct"/>
            <w:vMerge w:val="continue"/>
            <w:tcBorders>
              <w:tl2br w:val="nil"/>
              <w:tr2bl w:val="nil"/>
            </w:tcBorders>
            <w:noWrap w:val="0"/>
            <w:vAlign w:val="center"/>
          </w:tcPr>
          <w:p w14:paraId="1039203A">
            <w:pPr>
              <w:pStyle w:val="16"/>
              <w:bidi w:val="0"/>
              <w:rPr>
                <w:rFonts w:hint="default"/>
                <w:color w:val="auto"/>
                <w:lang w:val="en-US" w:eastAsia="zh-CN"/>
              </w:rPr>
            </w:pPr>
          </w:p>
        </w:tc>
        <w:tc>
          <w:tcPr>
            <w:tcW w:w="604" w:type="pct"/>
            <w:vMerge w:val="continue"/>
            <w:tcBorders>
              <w:tl2br w:val="nil"/>
              <w:tr2bl w:val="nil"/>
            </w:tcBorders>
            <w:noWrap w:val="0"/>
            <w:vAlign w:val="center"/>
          </w:tcPr>
          <w:p w14:paraId="2F7CE762">
            <w:pPr>
              <w:pStyle w:val="16"/>
              <w:bidi w:val="0"/>
              <w:rPr>
                <w:rFonts w:hint="default"/>
                <w:color w:val="auto"/>
                <w:lang w:val="en-US" w:eastAsia="zh-CN"/>
              </w:rPr>
            </w:pPr>
          </w:p>
        </w:tc>
        <w:tc>
          <w:tcPr>
            <w:tcW w:w="1227" w:type="pct"/>
            <w:vMerge w:val="continue"/>
            <w:tcBorders>
              <w:tl2br w:val="nil"/>
              <w:tr2bl w:val="nil"/>
            </w:tcBorders>
            <w:noWrap w:val="0"/>
            <w:vAlign w:val="center"/>
          </w:tcPr>
          <w:p w14:paraId="1943D941">
            <w:pPr>
              <w:pStyle w:val="16"/>
              <w:bidi w:val="0"/>
              <w:rPr>
                <w:rFonts w:hint="default"/>
                <w:color w:val="auto"/>
                <w:lang w:val="en-US" w:eastAsia="zh-CN"/>
              </w:rPr>
            </w:pPr>
          </w:p>
        </w:tc>
        <w:tc>
          <w:tcPr>
            <w:tcW w:w="639" w:type="pct"/>
            <w:tcBorders>
              <w:tl2br w:val="nil"/>
              <w:tr2bl w:val="nil"/>
            </w:tcBorders>
            <w:noWrap w:val="0"/>
            <w:vAlign w:val="center"/>
          </w:tcPr>
          <w:p w14:paraId="2BD30662">
            <w:pPr>
              <w:pStyle w:val="16"/>
              <w:bidi w:val="0"/>
              <w:rPr>
                <w:rFonts w:hint="eastAsia"/>
                <w:color w:val="auto"/>
                <w:lang w:val="en-US" w:eastAsia="zh-CN"/>
              </w:rPr>
            </w:pPr>
            <w:r>
              <w:rPr>
                <w:rFonts w:hint="eastAsia"/>
                <w:color w:val="auto"/>
                <w:lang w:val="en-US" w:eastAsia="zh-CN"/>
              </w:rPr>
              <w:t>1.2</w:t>
            </w:r>
            <w:r>
              <w:rPr>
                <w:rFonts w:hint="default"/>
                <w:color w:val="auto"/>
                <w:lang w:val="en-US" w:eastAsia="zh-CN"/>
              </w:rPr>
              <w:t>μg/kg</w:t>
            </w:r>
          </w:p>
        </w:tc>
      </w:tr>
      <w:tr w14:paraId="265F402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7E5355F4">
            <w:pPr>
              <w:pStyle w:val="16"/>
              <w:bidi w:val="0"/>
              <w:rPr>
                <w:rFonts w:hint="eastAsia"/>
                <w:color w:val="auto"/>
                <w:lang w:val="en-US" w:eastAsia="zh-CN"/>
              </w:rPr>
            </w:pPr>
            <w:r>
              <w:rPr>
                <w:rFonts w:hint="default"/>
                <w:color w:val="auto"/>
              </w:rPr>
              <w:t>1,2-二氯苯</w:t>
            </w:r>
          </w:p>
        </w:tc>
        <w:tc>
          <w:tcPr>
            <w:tcW w:w="1568" w:type="pct"/>
            <w:vMerge w:val="continue"/>
            <w:tcBorders>
              <w:tl2br w:val="nil"/>
              <w:tr2bl w:val="nil"/>
            </w:tcBorders>
            <w:noWrap w:val="0"/>
            <w:vAlign w:val="center"/>
          </w:tcPr>
          <w:p w14:paraId="5741A9B1">
            <w:pPr>
              <w:pStyle w:val="16"/>
              <w:bidi w:val="0"/>
              <w:rPr>
                <w:rFonts w:hint="default"/>
                <w:color w:val="auto"/>
                <w:lang w:val="en-US" w:eastAsia="zh-CN"/>
              </w:rPr>
            </w:pPr>
          </w:p>
        </w:tc>
        <w:tc>
          <w:tcPr>
            <w:tcW w:w="604" w:type="pct"/>
            <w:vMerge w:val="continue"/>
            <w:tcBorders>
              <w:tl2br w:val="nil"/>
              <w:tr2bl w:val="nil"/>
            </w:tcBorders>
            <w:noWrap w:val="0"/>
            <w:vAlign w:val="center"/>
          </w:tcPr>
          <w:p w14:paraId="29D54912">
            <w:pPr>
              <w:pStyle w:val="16"/>
              <w:bidi w:val="0"/>
              <w:rPr>
                <w:rFonts w:hint="default"/>
                <w:color w:val="auto"/>
                <w:lang w:val="en-US" w:eastAsia="zh-CN"/>
              </w:rPr>
            </w:pPr>
          </w:p>
        </w:tc>
        <w:tc>
          <w:tcPr>
            <w:tcW w:w="1227" w:type="pct"/>
            <w:vMerge w:val="continue"/>
            <w:tcBorders>
              <w:tl2br w:val="nil"/>
              <w:tr2bl w:val="nil"/>
            </w:tcBorders>
            <w:noWrap w:val="0"/>
            <w:vAlign w:val="center"/>
          </w:tcPr>
          <w:p w14:paraId="59907A9A">
            <w:pPr>
              <w:pStyle w:val="16"/>
              <w:bidi w:val="0"/>
              <w:rPr>
                <w:rFonts w:hint="default"/>
                <w:color w:val="auto"/>
                <w:lang w:val="en-US" w:eastAsia="zh-CN"/>
              </w:rPr>
            </w:pPr>
          </w:p>
        </w:tc>
        <w:tc>
          <w:tcPr>
            <w:tcW w:w="639" w:type="pct"/>
            <w:tcBorders>
              <w:tl2br w:val="nil"/>
              <w:tr2bl w:val="nil"/>
            </w:tcBorders>
            <w:noWrap w:val="0"/>
            <w:vAlign w:val="center"/>
          </w:tcPr>
          <w:p w14:paraId="2C5FD11C">
            <w:pPr>
              <w:pStyle w:val="16"/>
              <w:bidi w:val="0"/>
              <w:rPr>
                <w:rFonts w:hint="eastAsia"/>
                <w:color w:val="auto"/>
                <w:lang w:val="en-US" w:eastAsia="zh-CN"/>
              </w:rPr>
            </w:pPr>
            <w:r>
              <w:rPr>
                <w:rFonts w:hint="eastAsia"/>
                <w:color w:val="auto"/>
                <w:lang w:val="en-US" w:eastAsia="zh-CN"/>
              </w:rPr>
              <w:t>1.5</w:t>
            </w:r>
            <w:r>
              <w:rPr>
                <w:rFonts w:hint="default"/>
                <w:color w:val="auto"/>
                <w:lang w:val="en-US" w:eastAsia="zh-CN"/>
              </w:rPr>
              <w:t>μg/kg</w:t>
            </w:r>
          </w:p>
        </w:tc>
      </w:tr>
      <w:tr w14:paraId="14677C0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10CE8C82">
            <w:pPr>
              <w:pStyle w:val="16"/>
              <w:bidi w:val="0"/>
              <w:rPr>
                <w:rFonts w:hint="eastAsia"/>
                <w:color w:val="auto"/>
                <w:lang w:val="en-US" w:eastAsia="zh-CN"/>
              </w:rPr>
            </w:pPr>
            <w:r>
              <w:rPr>
                <w:rFonts w:hint="default"/>
                <w:color w:val="auto"/>
              </w:rPr>
              <w:t>1,4-二氯苯</w:t>
            </w:r>
          </w:p>
        </w:tc>
        <w:tc>
          <w:tcPr>
            <w:tcW w:w="1568" w:type="pct"/>
            <w:vMerge w:val="continue"/>
            <w:tcBorders>
              <w:tl2br w:val="nil"/>
              <w:tr2bl w:val="nil"/>
            </w:tcBorders>
            <w:noWrap w:val="0"/>
            <w:vAlign w:val="center"/>
          </w:tcPr>
          <w:p w14:paraId="206B9F77">
            <w:pPr>
              <w:pStyle w:val="16"/>
              <w:bidi w:val="0"/>
              <w:rPr>
                <w:rFonts w:hint="default"/>
                <w:color w:val="auto"/>
                <w:lang w:val="en-US" w:eastAsia="zh-CN"/>
              </w:rPr>
            </w:pPr>
          </w:p>
        </w:tc>
        <w:tc>
          <w:tcPr>
            <w:tcW w:w="604" w:type="pct"/>
            <w:vMerge w:val="continue"/>
            <w:tcBorders>
              <w:tl2br w:val="nil"/>
              <w:tr2bl w:val="nil"/>
            </w:tcBorders>
            <w:noWrap w:val="0"/>
            <w:vAlign w:val="center"/>
          </w:tcPr>
          <w:p w14:paraId="7DBB18EA">
            <w:pPr>
              <w:pStyle w:val="16"/>
              <w:bidi w:val="0"/>
              <w:rPr>
                <w:rFonts w:hint="default"/>
                <w:color w:val="auto"/>
                <w:lang w:val="en-US" w:eastAsia="zh-CN"/>
              </w:rPr>
            </w:pPr>
          </w:p>
        </w:tc>
        <w:tc>
          <w:tcPr>
            <w:tcW w:w="1227" w:type="pct"/>
            <w:vMerge w:val="continue"/>
            <w:tcBorders>
              <w:tl2br w:val="nil"/>
              <w:tr2bl w:val="nil"/>
            </w:tcBorders>
            <w:noWrap w:val="0"/>
            <w:vAlign w:val="center"/>
          </w:tcPr>
          <w:p w14:paraId="1003C4EC">
            <w:pPr>
              <w:pStyle w:val="16"/>
              <w:bidi w:val="0"/>
              <w:rPr>
                <w:rFonts w:hint="default"/>
                <w:color w:val="auto"/>
                <w:lang w:val="en-US" w:eastAsia="zh-CN"/>
              </w:rPr>
            </w:pPr>
          </w:p>
        </w:tc>
        <w:tc>
          <w:tcPr>
            <w:tcW w:w="639" w:type="pct"/>
            <w:tcBorders>
              <w:tl2br w:val="nil"/>
              <w:tr2bl w:val="nil"/>
            </w:tcBorders>
            <w:noWrap w:val="0"/>
            <w:vAlign w:val="center"/>
          </w:tcPr>
          <w:p w14:paraId="34F4A3D3">
            <w:pPr>
              <w:pStyle w:val="16"/>
              <w:bidi w:val="0"/>
              <w:rPr>
                <w:rFonts w:hint="eastAsia"/>
                <w:color w:val="auto"/>
                <w:lang w:val="en-US" w:eastAsia="zh-CN"/>
              </w:rPr>
            </w:pPr>
            <w:r>
              <w:rPr>
                <w:rFonts w:hint="eastAsia"/>
                <w:color w:val="auto"/>
                <w:lang w:val="en-US" w:eastAsia="zh-CN"/>
              </w:rPr>
              <w:t>1.5</w:t>
            </w:r>
            <w:r>
              <w:rPr>
                <w:rFonts w:hint="default"/>
                <w:color w:val="auto"/>
                <w:lang w:val="en-US" w:eastAsia="zh-CN"/>
              </w:rPr>
              <w:t>μg/kg</w:t>
            </w:r>
          </w:p>
        </w:tc>
      </w:tr>
      <w:tr w14:paraId="28AB76FC">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5DD15200">
            <w:pPr>
              <w:pStyle w:val="16"/>
              <w:bidi w:val="0"/>
              <w:rPr>
                <w:rFonts w:hint="default"/>
                <w:color w:val="auto"/>
                <w:lang w:val="en-US" w:eastAsia="zh-CN"/>
              </w:rPr>
            </w:pPr>
            <w:r>
              <w:rPr>
                <w:rFonts w:hint="default"/>
                <w:color w:val="auto"/>
              </w:rPr>
              <w:t>乙苯</w:t>
            </w:r>
          </w:p>
        </w:tc>
        <w:tc>
          <w:tcPr>
            <w:tcW w:w="1568" w:type="pct"/>
            <w:vMerge w:val="continue"/>
            <w:tcBorders>
              <w:tl2br w:val="nil"/>
              <w:tr2bl w:val="nil"/>
            </w:tcBorders>
            <w:noWrap w:val="0"/>
            <w:vAlign w:val="center"/>
          </w:tcPr>
          <w:p w14:paraId="6591B1C8">
            <w:pPr>
              <w:pStyle w:val="16"/>
              <w:bidi w:val="0"/>
              <w:rPr>
                <w:rFonts w:hint="default"/>
                <w:color w:val="auto"/>
                <w:lang w:val="en-US" w:eastAsia="zh-CN"/>
              </w:rPr>
            </w:pPr>
          </w:p>
        </w:tc>
        <w:tc>
          <w:tcPr>
            <w:tcW w:w="604" w:type="pct"/>
            <w:vMerge w:val="continue"/>
            <w:tcBorders>
              <w:tl2br w:val="nil"/>
              <w:tr2bl w:val="nil"/>
            </w:tcBorders>
            <w:noWrap w:val="0"/>
            <w:vAlign w:val="center"/>
          </w:tcPr>
          <w:p w14:paraId="676AE25E">
            <w:pPr>
              <w:pStyle w:val="16"/>
              <w:bidi w:val="0"/>
              <w:rPr>
                <w:rFonts w:hint="default"/>
                <w:color w:val="auto"/>
                <w:lang w:val="en-US" w:eastAsia="zh-CN"/>
              </w:rPr>
            </w:pPr>
          </w:p>
        </w:tc>
        <w:tc>
          <w:tcPr>
            <w:tcW w:w="1227" w:type="pct"/>
            <w:vMerge w:val="continue"/>
            <w:tcBorders>
              <w:tl2br w:val="nil"/>
              <w:tr2bl w:val="nil"/>
            </w:tcBorders>
            <w:noWrap w:val="0"/>
            <w:vAlign w:val="center"/>
          </w:tcPr>
          <w:p w14:paraId="27616537">
            <w:pPr>
              <w:pStyle w:val="16"/>
              <w:bidi w:val="0"/>
              <w:rPr>
                <w:rFonts w:hint="default"/>
                <w:color w:val="auto"/>
                <w:lang w:val="en-US" w:eastAsia="zh-CN"/>
              </w:rPr>
            </w:pPr>
          </w:p>
        </w:tc>
        <w:tc>
          <w:tcPr>
            <w:tcW w:w="639" w:type="pct"/>
            <w:tcBorders>
              <w:tl2br w:val="nil"/>
              <w:tr2bl w:val="nil"/>
            </w:tcBorders>
            <w:noWrap w:val="0"/>
            <w:vAlign w:val="center"/>
          </w:tcPr>
          <w:p w14:paraId="46FDEEDB">
            <w:pPr>
              <w:pStyle w:val="16"/>
              <w:bidi w:val="0"/>
              <w:rPr>
                <w:rFonts w:hint="eastAsia"/>
                <w:color w:val="auto"/>
                <w:lang w:val="en-US" w:eastAsia="zh-CN"/>
              </w:rPr>
            </w:pPr>
            <w:r>
              <w:rPr>
                <w:rFonts w:hint="eastAsia"/>
                <w:color w:val="auto"/>
                <w:lang w:val="en-US" w:eastAsia="zh-CN"/>
              </w:rPr>
              <w:t>1.2</w:t>
            </w:r>
            <w:r>
              <w:rPr>
                <w:rFonts w:hint="default"/>
                <w:color w:val="auto"/>
                <w:lang w:val="en-US" w:eastAsia="zh-CN"/>
              </w:rPr>
              <w:t>μg/kg</w:t>
            </w:r>
          </w:p>
        </w:tc>
      </w:tr>
      <w:tr w14:paraId="72082223">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0F78F96F">
            <w:pPr>
              <w:pStyle w:val="16"/>
              <w:bidi w:val="0"/>
              <w:rPr>
                <w:rFonts w:hint="default"/>
                <w:color w:val="auto"/>
                <w:lang w:val="en-US" w:eastAsia="zh-CN"/>
              </w:rPr>
            </w:pPr>
            <w:r>
              <w:rPr>
                <w:rFonts w:hint="default"/>
                <w:color w:val="auto"/>
                <w:lang w:val="en-US" w:eastAsia="zh-CN"/>
              </w:rPr>
              <w:t>苯乙烯</w:t>
            </w:r>
          </w:p>
        </w:tc>
        <w:tc>
          <w:tcPr>
            <w:tcW w:w="1568" w:type="pct"/>
            <w:vMerge w:val="continue"/>
            <w:tcBorders>
              <w:tl2br w:val="nil"/>
              <w:tr2bl w:val="nil"/>
            </w:tcBorders>
            <w:noWrap w:val="0"/>
            <w:vAlign w:val="center"/>
          </w:tcPr>
          <w:p w14:paraId="1D9C5780">
            <w:pPr>
              <w:pStyle w:val="16"/>
              <w:bidi w:val="0"/>
              <w:rPr>
                <w:rFonts w:hint="default"/>
                <w:color w:val="auto"/>
                <w:lang w:val="en-US" w:eastAsia="zh-CN"/>
              </w:rPr>
            </w:pPr>
          </w:p>
        </w:tc>
        <w:tc>
          <w:tcPr>
            <w:tcW w:w="604" w:type="pct"/>
            <w:vMerge w:val="continue"/>
            <w:tcBorders>
              <w:tl2br w:val="nil"/>
              <w:tr2bl w:val="nil"/>
            </w:tcBorders>
            <w:noWrap w:val="0"/>
            <w:vAlign w:val="center"/>
          </w:tcPr>
          <w:p w14:paraId="7475604F">
            <w:pPr>
              <w:pStyle w:val="16"/>
              <w:bidi w:val="0"/>
              <w:rPr>
                <w:rFonts w:hint="default"/>
                <w:color w:val="auto"/>
                <w:lang w:val="en-US" w:eastAsia="zh-CN"/>
              </w:rPr>
            </w:pPr>
          </w:p>
        </w:tc>
        <w:tc>
          <w:tcPr>
            <w:tcW w:w="1227" w:type="pct"/>
            <w:vMerge w:val="continue"/>
            <w:tcBorders>
              <w:tl2br w:val="nil"/>
              <w:tr2bl w:val="nil"/>
            </w:tcBorders>
            <w:noWrap w:val="0"/>
            <w:vAlign w:val="center"/>
          </w:tcPr>
          <w:p w14:paraId="393C62FB">
            <w:pPr>
              <w:pStyle w:val="16"/>
              <w:bidi w:val="0"/>
              <w:rPr>
                <w:rFonts w:hint="default"/>
                <w:color w:val="auto"/>
                <w:lang w:val="en-US" w:eastAsia="zh-CN"/>
              </w:rPr>
            </w:pPr>
          </w:p>
        </w:tc>
        <w:tc>
          <w:tcPr>
            <w:tcW w:w="639" w:type="pct"/>
            <w:tcBorders>
              <w:tl2br w:val="nil"/>
              <w:tr2bl w:val="nil"/>
            </w:tcBorders>
            <w:noWrap w:val="0"/>
            <w:vAlign w:val="center"/>
          </w:tcPr>
          <w:p w14:paraId="782AEF98">
            <w:pPr>
              <w:pStyle w:val="16"/>
              <w:bidi w:val="0"/>
              <w:rPr>
                <w:rFonts w:hint="eastAsia"/>
                <w:color w:val="auto"/>
                <w:lang w:val="en-US" w:eastAsia="zh-CN"/>
              </w:rPr>
            </w:pPr>
            <w:r>
              <w:rPr>
                <w:rFonts w:hint="eastAsia"/>
                <w:color w:val="auto"/>
                <w:lang w:val="en-US" w:eastAsia="zh-CN"/>
              </w:rPr>
              <w:t>1.1</w:t>
            </w:r>
            <w:r>
              <w:rPr>
                <w:rFonts w:hint="default"/>
                <w:color w:val="auto"/>
                <w:lang w:val="en-US" w:eastAsia="zh-CN"/>
              </w:rPr>
              <w:t>μg/kg</w:t>
            </w:r>
          </w:p>
        </w:tc>
      </w:tr>
      <w:tr w14:paraId="0D66D0D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69C3DF0D">
            <w:pPr>
              <w:pStyle w:val="16"/>
              <w:bidi w:val="0"/>
              <w:rPr>
                <w:rFonts w:hint="default"/>
                <w:color w:val="auto"/>
                <w:lang w:val="en-US" w:eastAsia="zh-CN"/>
              </w:rPr>
            </w:pPr>
            <w:r>
              <w:rPr>
                <w:rFonts w:hint="default"/>
                <w:color w:val="auto"/>
                <w:lang w:val="en-US" w:eastAsia="zh-CN"/>
              </w:rPr>
              <w:t>甲苯</w:t>
            </w:r>
          </w:p>
        </w:tc>
        <w:tc>
          <w:tcPr>
            <w:tcW w:w="1568" w:type="pct"/>
            <w:vMerge w:val="continue"/>
            <w:tcBorders>
              <w:tl2br w:val="nil"/>
              <w:tr2bl w:val="nil"/>
            </w:tcBorders>
            <w:noWrap w:val="0"/>
            <w:vAlign w:val="center"/>
          </w:tcPr>
          <w:p w14:paraId="3C112FDD">
            <w:pPr>
              <w:pStyle w:val="16"/>
              <w:bidi w:val="0"/>
              <w:rPr>
                <w:rFonts w:hint="default"/>
                <w:color w:val="auto"/>
                <w:lang w:val="en-US" w:eastAsia="zh-CN"/>
              </w:rPr>
            </w:pPr>
          </w:p>
        </w:tc>
        <w:tc>
          <w:tcPr>
            <w:tcW w:w="604" w:type="pct"/>
            <w:vMerge w:val="continue"/>
            <w:tcBorders>
              <w:tl2br w:val="nil"/>
              <w:tr2bl w:val="nil"/>
            </w:tcBorders>
            <w:noWrap w:val="0"/>
            <w:vAlign w:val="center"/>
          </w:tcPr>
          <w:p w14:paraId="1CD74C39">
            <w:pPr>
              <w:pStyle w:val="16"/>
              <w:bidi w:val="0"/>
              <w:rPr>
                <w:rFonts w:hint="default"/>
                <w:color w:val="auto"/>
                <w:lang w:val="en-US" w:eastAsia="zh-CN"/>
              </w:rPr>
            </w:pPr>
          </w:p>
        </w:tc>
        <w:tc>
          <w:tcPr>
            <w:tcW w:w="1227" w:type="pct"/>
            <w:vMerge w:val="continue"/>
            <w:tcBorders>
              <w:tl2br w:val="nil"/>
              <w:tr2bl w:val="nil"/>
            </w:tcBorders>
            <w:noWrap w:val="0"/>
            <w:vAlign w:val="center"/>
          </w:tcPr>
          <w:p w14:paraId="1A809CC4">
            <w:pPr>
              <w:pStyle w:val="16"/>
              <w:bidi w:val="0"/>
              <w:rPr>
                <w:rFonts w:hint="default"/>
                <w:color w:val="auto"/>
                <w:lang w:val="en-US" w:eastAsia="zh-CN"/>
              </w:rPr>
            </w:pPr>
          </w:p>
        </w:tc>
        <w:tc>
          <w:tcPr>
            <w:tcW w:w="639" w:type="pct"/>
            <w:tcBorders>
              <w:tl2br w:val="nil"/>
              <w:tr2bl w:val="nil"/>
            </w:tcBorders>
            <w:noWrap w:val="0"/>
            <w:vAlign w:val="center"/>
          </w:tcPr>
          <w:p w14:paraId="1006AFDB">
            <w:pPr>
              <w:pStyle w:val="16"/>
              <w:bidi w:val="0"/>
              <w:rPr>
                <w:rFonts w:hint="eastAsia"/>
                <w:color w:val="auto"/>
                <w:lang w:val="en-US" w:eastAsia="zh-CN"/>
              </w:rPr>
            </w:pPr>
            <w:r>
              <w:rPr>
                <w:rFonts w:hint="eastAsia"/>
                <w:color w:val="auto"/>
                <w:lang w:val="en-US" w:eastAsia="zh-CN"/>
              </w:rPr>
              <w:t>1.3</w:t>
            </w:r>
            <w:r>
              <w:rPr>
                <w:rFonts w:hint="default"/>
                <w:color w:val="auto"/>
                <w:lang w:val="en-US" w:eastAsia="zh-CN"/>
              </w:rPr>
              <w:t>μg/kg</w:t>
            </w:r>
          </w:p>
        </w:tc>
      </w:tr>
      <w:tr w14:paraId="62999DE3">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6DF0E498">
            <w:pPr>
              <w:pStyle w:val="16"/>
              <w:bidi w:val="0"/>
              <w:rPr>
                <w:rFonts w:hint="default"/>
                <w:color w:val="auto"/>
                <w:lang w:val="en-US" w:eastAsia="zh-CN"/>
              </w:rPr>
            </w:pPr>
            <w:r>
              <w:rPr>
                <w:rFonts w:hint="eastAsia"/>
                <w:color w:val="auto"/>
                <w:lang w:val="en-US" w:eastAsia="zh-CN"/>
              </w:rPr>
              <w:t>间二甲苯</w:t>
            </w:r>
            <w:r>
              <w:rPr>
                <w:rFonts w:hint="default"/>
                <w:color w:val="auto"/>
                <w:lang w:val="en-US" w:eastAsia="zh-CN"/>
              </w:rPr>
              <w:t>+</w:t>
            </w:r>
            <w:r>
              <w:rPr>
                <w:rFonts w:hint="eastAsia"/>
                <w:color w:val="auto"/>
                <w:lang w:val="en-US" w:eastAsia="zh-CN"/>
              </w:rPr>
              <w:t>对二甲苯</w:t>
            </w:r>
          </w:p>
        </w:tc>
        <w:tc>
          <w:tcPr>
            <w:tcW w:w="1568" w:type="pct"/>
            <w:vMerge w:val="continue"/>
            <w:tcBorders>
              <w:tl2br w:val="nil"/>
              <w:tr2bl w:val="nil"/>
            </w:tcBorders>
            <w:noWrap w:val="0"/>
            <w:vAlign w:val="center"/>
          </w:tcPr>
          <w:p w14:paraId="60C989CA">
            <w:pPr>
              <w:pStyle w:val="16"/>
              <w:bidi w:val="0"/>
              <w:rPr>
                <w:rFonts w:hint="default"/>
                <w:color w:val="auto"/>
                <w:lang w:val="en-US" w:eastAsia="zh-CN"/>
              </w:rPr>
            </w:pPr>
          </w:p>
        </w:tc>
        <w:tc>
          <w:tcPr>
            <w:tcW w:w="604" w:type="pct"/>
            <w:vMerge w:val="continue"/>
            <w:tcBorders>
              <w:tl2br w:val="nil"/>
              <w:tr2bl w:val="nil"/>
            </w:tcBorders>
            <w:noWrap w:val="0"/>
            <w:vAlign w:val="center"/>
          </w:tcPr>
          <w:p w14:paraId="1B67D50D">
            <w:pPr>
              <w:pStyle w:val="16"/>
              <w:bidi w:val="0"/>
              <w:rPr>
                <w:rFonts w:hint="default"/>
                <w:color w:val="auto"/>
                <w:lang w:val="en-US" w:eastAsia="zh-CN"/>
              </w:rPr>
            </w:pPr>
          </w:p>
        </w:tc>
        <w:tc>
          <w:tcPr>
            <w:tcW w:w="1227" w:type="pct"/>
            <w:vMerge w:val="continue"/>
            <w:tcBorders>
              <w:tl2br w:val="nil"/>
              <w:tr2bl w:val="nil"/>
            </w:tcBorders>
            <w:noWrap w:val="0"/>
            <w:vAlign w:val="center"/>
          </w:tcPr>
          <w:p w14:paraId="3442FD30">
            <w:pPr>
              <w:pStyle w:val="16"/>
              <w:bidi w:val="0"/>
              <w:rPr>
                <w:rFonts w:hint="default"/>
                <w:color w:val="auto"/>
                <w:lang w:val="en-US" w:eastAsia="zh-CN"/>
              </w:rPr>
            </w:pPr>
          </w:p>
        </w:tc>
        <w:tc>
          <w:tcPr>
            <w:tcW w:w="639" w:type="pct"/>
            <w:tcBorders>
              <w:tl2br w:val="nil"/>
              <w:tr2bl w:val="nil"/>
            </w:tcBorders>
            <w:noWrap w:val="0"/>
            <w:vAlign w:val="center"/>
          </w:tcPr>
          <w:p w14:paraId="48A7CF70">
            <w:pPr>
              <w:pStyle w:val="16"/>
              <w:bidi w:val="0"/>
              <w:rPr>
                <w:rFonts w:hint="eastAsia"/>
                <w:color w:val="auto"/>
                <w:lang w:val="en-US" w:eastAsia="zh-CN"/>
              </w:rPr>
            </w:pPr>
            <w:r>
              <w:rPr>
                <w:rFonts w:hint="eastAsia"/>
                <w:color w:val="auto"/>
                <w:lang w:val="en-US" w:eastAsia="zh-CN"/>
              </w:rPr>
              <w:t>1.2</w:t>
            </w:r>
            <w:r>
              <w:rPr>
                <w:rFonts w:hint="default"/>
                <w:color w:val="auto"/>
                <w:lang w:val="en-US" w:eastAsia="zh-CN"/>
              </w:rPr>
              <w:t>μg/kg</w:t>
            </w:r>
          </w:p>
        </w:tc>
      </w:tr>
      <w:tr w14:paraId="0EFF2CCB">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4558F3BF">
            <w:pPr>
              <w:pStyle w:val="16"/>
              <w:bidi w:val="0"/>
              <w:rPr>
                <w:rFonts w:hint="default"/>
                <w:color w:val="auto"/>
                <w:lang w:val="en-US" w:eastAsia="zh-CN"/>
              </w:rPr>
            </w:pPr>
            <w:r>
              <w:rPr>
                <w:rFonts w:hint="default"/>
                <w:color w:val="auto"/>
                <w:lang w:val="en-US" w:eastAsia="zh-CN"/>
              </w:rPr>
              <w:t>邻二甲苯</w:t>
            </w:r>
          </w:p>
        </w:tc>
        <w:tc>
          <w:tcPr>
            <w:tcW w:w="1568" w:type="pct"/>
            <w:vMerge w:val="continue"/>
            <w:tcBorders>
              <w:tl2br w:val="nil"/>
              <w:tr2bl w:val="nil"/>
            </w:tcBorders>
            <w:noWrap w:val="0"/>
            <w:vAlign w:val="center"/>
          </w:tcPr>
          <w:p w14:paraId="2094DF9D">
            <w:pPr>
              <w:pStyle w:val="16"/>
              <w:bidi w:val="0"/>
              <w:rPr>
                <w:rFonts w:hint="default"/>
                <w:color w:val="auto"/>
                <w:lang w:val="en-US" w:eastAsia="zh-CN"/>
              </w:rPr>
            </w:pPr>
          </w:p>
        </w:tc>
        <w:tc>
          <w:tcPr>
            <w:tcW w:w="604" w:type="pct"/>
            <w:vMerge w:val="continue"/>
            <w:tcBorders>
              <w:tl2br w:val="nil"/>
              <w:tr2bl w:val="nil"/>
            </w:tcBorders>
            <w:noWrap w:val="0"/>
            <w:vAlign w:val="center"/>
          </w:tcPr>
          <w:p w14:paraId="046F666D">
            <w:pPr>
              <w:pStyle w:val="16"/>
              <w:bidi w:val="0"/>
              <w:rPr>
                <w:rFonts w:hint="default"/>
                <w:color w:val="auto"/>
                <w:lang w:val="en-US" w:eastAsia="zh-CN"/>
              </w:rPr>
            </w:pPr>
          </w:p>
        </w:tc>
        <w:tc>
          <w:tcPr>
            <w:tcW w:w="1227" w:type="pct"/>
            <w:vMerge w:val="continue"/>
            <w:tcBorders>
              <w:tl2br w:val="nil"/>
              <w:tr2bl w:val="nil"/>
            </w:tcBorders>
            <w:noWrap w:val="0"/>
            <w:vAlign w:val="center"/>
          </w:tcPr>
          <w:p w14:paraId="2CDF6535">
            <w:pPr>
              <w:pStyle w:val="16"/>
              <w:bidi w:val="0"/>
              <w:rPr>
                <w:rFonts w:hint="default"/>
                <w:color w:val="auto"/>
                <w:lang w:val="en-US" w:eastAsia="zh-CN"/>
              </w:rPr>
            </w:pPr>
          </w:p>
        </w:tc>
        <w:tc>
          <w:tcPr>
            <w:tcW w:w="639" w:type="pct"/>
            <w:tcBorders>
              <w:tl2br w:val="nil"/>
              <w:tr2bl w:val="nil"/>
            </w:tcBorders>
            <w:noWrap w:val="0"/>
            <w:vAlign w:val="center"/>
          </w:tcPr>
          <w:p w14:paraId="200DD5D9">
            <w:pPr>
              <w:pStyle w:val="16"/>
              <w:bidi w:val="0"/>
              <w:rPr>
                <w:rFonts w:hint="eastAsia"/>
                <w:color w:val="auto"/>
                <w:lang w:val="en-US" w:eastAsia="zh-CN"/>
              </w:rPr>
            </w:pPr>
            <w:r>
              <w:rPr>
                <w:rFonts w:hint="eastAsia"/>
                <w:color w:val="auto"/>
                <w:lang w:val="en-US" w:eastAsia="zh-CN"/>
              </w:rPr>
              <w:t>1.2</w:t>
            </w:r>
            <w:r>
              <w:rPr>
                <w:rFonts w:hint="default"/>
                <w:color w:val="auto"/>
                <w:lang w:val="en-US" w:eastAsia="zh-CN"/>
              </w:rPr>
              <w:t>μg/kg</w:t>
            </w:r>
          </w:p>
        </w:tc>
      </w:tr>
      <w:tr w14:paraId="1E89494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603755A8">
            <w:pPr>
              <w:pStyle w:val="16"/>
              <w:bidi w:val="0"/>
              <w:rPr>
                <w:rFonts w:hint="default"/>
                <w:color w:val="auto"/>
                <w:lang w:val="en-US" w:eastAsia="zh-CN"/>
              </w:rPr>
            </w:pPr>
            <w:r>
              <w:rPr>
                <w:rFonts w:hint="eastAsia"/>
                <w:color w:val="auto"/>
                <w:lang w:val="en-US" w:eastAsia="zh-CN"/>
              </w:rPr>
              <w:t>苯胺</w:t>
            </w:r>
          </w:p>
        </w:tc>
        <w:tc>
          <w:tcPr>
            <w:tcW w:w="1568" w:type="pct"/>
            <w:tcBorders>
              <w:tl2br w:val="nil"/>
              <w:tr2bl w:val="nil"/>
            </w:tcBorders>
            <w:noWrap w:val="0"/>
            <w:vAlign w:val="center"/>
          </w:tcPr>
          <w:p w14:paraId="3730789F">
            <w:pPr>
              <w:pStyle w:val="16"/>
              <w:bidi w:val="0"/>
              <w:rPr>
                <w:rFonts w:hint="default"/>
                <w:color w:val="auto"/>
                <w:lang w:val="en-US" w:eastAsia="zh-CN"/>
              </w:rPr>
            </w:pPr>
            <w:r>
              <w:rPr>
                <w:rFonts w:hint="eastAsia"/>
                <w:color w:val="auto"/>
                <w:lang w:val="en-US" w:eastAsia="zh-CN"/>
              </w:rPr>
              <w:t>土壤和沉积物</w:t>
            </w:r>
            <w:r>
              <w:rPr>
                <w:rFonts w:hint="default"/>
                <w:color w:val="auto"/>
                <w:lang w:val="en-US" w:eastAsia="zh-CN"/>
              </w:rPr>
              <w:t xml:space="preserve"> 13种苯胺类和2种联苯胺化合物的测定 液相色谱-三重四极杆质谱法</w:t>
            </w:r>
          </w:p>
        </w:tc>
        <w:tc>
          <w:tcPr>
            <w:tcW w:w="604" w:type="pct"/>
            <w:tcBorders>
              <w:tl2br w:val="nil"/>
              <w:tr2bl w:val="nil"/>
            </w:tcBorders>
            <w:noWrap w:val="0"/>
            <w:vAlign w:val="center"/>
          </w:tcPr>
          <w:p w14:paraId="008FF41C">
            <w:pPr>
              <w:pStyle w:val="16"/>
              <w:bidi w:val="0"/>
              <w:rPr>
                <w:rFonts w:hint="default"/>
                <w:color w:val="auto"/>
                <w:lang w:val="en-US" w:eastAsia="zh-CN"/>
              </w:rPr>
            </w:pPr>
            <w:r>
              <w:rPr>
                <w:rFonts w:hint="default"/>
                <w:color w:val="auto"/>
                <w:lang w:val="en-US" w:eastAsia="zh-CN"/>
              </w:rPr>
              <w:t>HJ1210-2021</w:t>
            </w:r>
          </w:p>
        </w:tc>
        <w:tc>
          <w:tcPr>
            <w:tcW w:w="1227" w:type="pct"/>
            <w:tcBorders>
              <w:tl2br w:val="nil"/>
              <w:tr2bl w:val="nil"/>
            </w:tcBorders>
            <w:noWrap w:val="0"/>
            <w:vAlign w:val="center"/>
          </w:tcPr>
          <w:p w14:paraId="27874136">
            <w:pPr>
              <w:pStyle w:val="16"/>
              <w:bidi w:val="0"/>
              <w:rPr>
                <w:rFonts w:hint="default"/>
                <w:color w:val="auto"/>
                <w:lang w:val="en-US" w:eastAsia="zh-CN"/>
              </w:rPr>
            </w:pPr>
            <w:r>
              <w:rPr>
                <w:rFonts w:hint="default"/>
                <w:color w:val="auto"/>
                <w:lang w:val="en-US" w:eastAsia="zh-CN"/>
              </w:rPr>
              <w:t>3200 Q TRAP液相色谱质谱联用仪LC/MS/MS System（HDH/YQ-</w:t>
            </w:r>
            <w:r>
              <w:rPr>
                <w:rFonts w:hint="eastAsia"/>
                <w:color w:val="auto"/>
                <w:lang w:val="en-US" w:eastAsia="zh-CN"/>
              </w:rPr>
              <w:t>03-08</w:t>
            </w:r>
            <w:r>
              <w:rPr>
                <w:rFonts w:hint="default"/>
                <w:color w:val="auto"/>
                <w:lang w:val="en-US" w:eastAsia="zh-CN"/>
              </w:rPr>
              <w:t>）</w:t>
            </w:r>
          </w:p>
        </w:tc>
        <w:tc>
          <w:tcPr>
            <w:tcW w:w="639" w:type="pct"/>
            <w:tcBorders>
              <w:tl2br w:val="nil"/>
              <w:tr2bl w:val="nil"/>
            </w:tcBorders>
            <w:noWrap w:val="0"/>
            <w:vAlign w:val="center"/>
          </w:tcPr>
          <w:p w14:paraId="0D212548">
            <w:pPr>
              <w:pStyle w:val="16"/>
              <w:bidi w:val="0"/>
              <w:rPr>
                <w:rFonts w:hint="eastAsia"/>
                <w:color w:val="auto"/>
                <w:lang w:val="en-US" w:eastAsia="zh-CN"/>
              </w:rPr>
            </w:pPr>
            <w:r>
              <w:rPr>
                <w:rFonts w:hint="eastAsia"/>
                <w:color w:val="auto"/>
                <w:lang w:val="en-US" w:eastAsia="zh-CN"/>
              </w:rPr>
              <w:t>2ug/kg</w:t>
            </w:r>
          </w:p>
        </w:tc>
      </w:tr>
      <w:tr w14:paraId="4E4C1B9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25053D53">
            <w:pPr>
              <w:pStyle w:val="16"/>
              <w:bidi w:val="0"/>
              <w:rPr>
                <w:rFonts w:hint="default"/>
                <w:color w:val="auto"/>
                <w:lang w:val="en-US" w:eastAsia="zh-CN"/>
              </w:rPr>
            </w:pPr>
            <w:r>
              <w:rPr>
                <w:rFonts w:hint="default"/>
                <w:color w:val="auto"/>
                <w:lang w:val="en-US" w:eastAsia="zh-CN"/>
              </w:rPr>
              <w:t>硝基苯</w:t>
            </w:r>
          </w:p>
        </w:tc>
        <w:tc>
          <w:tcPr>
            <w:tcW w:w="1568" w:type="pct"/>
            <w:vMerge w:val="restart"/>
            <w:tcBorders>
              <w:tl2br w:val="nil"/>
              <w:tr2bl w:val="nil"/>
            </w:tcBorders>
            <w:noWrap w:val="0"/>
            <w:vAlign w:val="center"/>
          </w:tcPr>
          <w:p w14:paraId="7E753C40">
            <w:pPr>
              <w:pStyle w:val="16"/>
              <w:bidi w:val="0"/>
              <w:rPr>
                <w:rFonts w:hint="default"/>
                <w:color w:val="auto"/>
                <w:lang w:val="en-US" w:eastAsia="zh-CN"/>
              </w:rPr>
            </w:pPr>
            <w:r>
              <w:rPr>
                <w:rFonts w:hint="default"/>
                <w:color w:val="auto"/>
              </w:rPr>
              <w:t>土壤和沉积物 半挥发性有机物的测定 气相色谱-质谱法</w:t>
            </w:r>
          </w:p>
        </w:tc>
        <w:tc>
          <w:tcPr>
            <w:tcW w:w="604" w:type="pct"/>
            <w:vMerge w:val="restart"/>
            <w:tcBorders>
              <w:tl2br w:val="nil"/>
              <w:tr2bl w:val="nil"/>
            </w:tcBorders>
            <w:noWrap w:val="0"/>
            <w:vAlign w:val="center"/>
          </w:tcPr>
          <w:p w14:paraId="33D28FE6">
            <w:pPr>
              <w:pStyle w:val="16"/>
              <w:bidi w:val="0"/>
              <w:rPr>
                <w:rFonts w:hint="default"/>
                <w:color w:val="auto"/>
                <w:lang w:val="en-US" w:eastAsia="zh-CN"/>
              </w:rPr>
            </w:pPr>
            <w:r>
              <w:rPr>
                <w:rFonts w:hint="default"/>
                <w:color w:val="auto"/>
              </w:rPr>
              <w:t>HJ 834-2017</w:t>
            </w:r>
          </w:p>
        </w:tc>
        <w:tc>
          <w:tcPr>
            <w:tcW w:w="1227" w:type="pct"/>
            <w:vMerge w:val="restart"/>
            <w:tcBorders>
              <w:tl2br w:val="nil"/>
              <w:tr2bl w:val="nil"/>
            </w:tcBorders>
            <w:noWrap w:val="0"/>
            <w:vAlign w:val="center"/>
          </w:tcPr>
          <w:p w14:paraId="3187B94C">
            <w:pPr>
              <w:pStyle w:val="16"/>
              <w:bidi w:val="0"/>
              <w:rPr>
                <w:rFonts w:hint="default"/>
                <w:color w:val="auto"/>
                <w:lang w:val="en-US" w:eastAsia="zh-CN"/>
              </w:rPr>
            </w:pPr>
            <w:r>
              <w:rPr>
                <w:rFonts w:hint="default"/>
                <w:color w:val="auto"/>
              </w:rPr>
              <w:t>GCMS-QP2010PLUS气相色谱-质谱联用仪</w:t>
            </w:r>
            <w:r>
              <w:rPr>
                <w:rFonts w:hint="default"/>
                <w:color w:val="auto"/>
                <w:lang w:eastAsia="zh-CN"/>
              </w:rPr>
              <w:t>（</w:t>
            </w:r>
            <w:r>
              <w:rPr>
                <w:rFonts w:hint="default"/>
                <w:color w:val="auto"/>
                <w:lang w:val="en-US" w:eastAsia="zh-CN"/>
              </w:rPr>
              <w:t>HDH/YQ-35-02</w:t>
            </w:r>
            <w:r>
              <w:rPr>
                <w:rFonts w:hint="default"/>
                <w:color w:val="auto"/>
                <w:lang w:eastAsia="zh-CN"/>
              </w:rPr>
              <w:t>）</w:t>
            </w:r>
          </w:p>
        </w:tc>
        <w:tc>
          <w:tcPr>
            <w:tcW w:w="639" w:type="pct"/>
            <w:tcBorders>
              <w:tl2br w:val="nil"/>
              <w:tr2bl w:val="nil"/>
            </w:tcBorders>
            <w:noWrap w:val="0"/>
            <w:vAlign w:val="center"/>
          </w:tcPr>
          <w:p w14:paraId="7A9C98C0">
            <w:pPr>
              <w:pStyle w:val="16"/>
              <w:bidi w:val="0"/>
              <w:rPr>
                <w:rFonts w:hint="eastAsia"/>
                <w:color w:val="auto"/>
                <w:lang w:val="en-US" w:eastAsia="zh-CN"/>
              </w:rPr>
            </w:pPr>
            <w:r>
              <w:rPr>
                <w:rFonts w:hint="default"/>
                <w:color w:val="auto"/>
                <w:lang w:val="en-US" w:eastAsia="zh-CN"/>
              </w:rPr>
              <w:t>0.09mg/kg</w:t>
            </w:r>
          </w:p>
        </w:tc>
      </w:tr>
      <w:tr w14:paraId="38B7A4B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6A6E090D">
            <w:pPr>
              <w:pStyle w:val="16"/>
              <w:bidi w:val="0"/>
              <w:rPr>
                <w:rFonts w:hint="default"/>
                <w:color w:val="auto"/>
                <w:lang w:val="en-US" w:eastAsia="zh-CN"/>
              </w:rPr>
            </w:pPr>
            <w:r>
              <w:rPr>
                <w:rFonts w:hint="default"/>
                <w:color w:val="auto"/>
              </w:rPr>
              <w:t>2-氯酚</w:t>
            </w:r>
          </w:p>
        </w:tc>
        <w:tc>
          <w:tcPr>
            <w:tcW w:w="1568" w:type="pct"/>
            <w:vMerge w:val="continue"/>
            <w:tcBorders>
              <w:tl2br w:val="nil"/>
              <w:tr2bl w:val="nil"/>
            </w:tcBorders>
            <w:noWrap w:val="0"/>
            <w:vAlign w:val="center"/>
          </w:tcPr>
          <w:p w14:paraId="4B0E1551">
            <w:pPr>
              <w:pStyle w:val="16"/>
              <w:bidi w:val="0"/>
              <w:rPr>
                <w:rFonts w:hint="default"/>
                <w:color w:val="auto"/>
                <w:lang w:val="en-US" w:eastAsia="zh-CN"/>
              </w:rPr>
            </w:pPr>
          </w:p>
        </w:tc>
        <w:tc>
          <w:tcPr>
            <w:tcW w:w="604" w:type="pct"/>
            <w:vMerge w:val="continue"/>
            <w:tcBorders>
              <w:tl2br w:val="nil"/>
              <w:tr2bl w:val="nil"/>
            </w:tcBorders>
            <w:noWrap w:val="0"/>
            <w:vAlign w:val="center"/>
          </w:tcPr>
          <w:p w14:paraId="209A5F19">
            <w:pPr>
              <w:pStyle w:val="16"/>
              <w:bidi w:val="0"/>
              <w:rPr>
                <w:rFonts w:hint="default"/>
                <w:color w:val="auto"/>
                <w:lang w:val="en-US" w:eastAsia="zh-CN"/>
              </w:rPr>
            </w:pPr>
          </w:p>
        </w:tc>
        <w:tc>
          <w:tcPr>
            <w:tcW w:w="1227" w:type="pct"/>
            <w:vMerge w:val="continue"/>
            <w:tcBorders>
              <w:tl2br w:val="nil"/>
              <w:tr2bl w:val="nil"/>
            </w:tcBorders>
            <w:noWrap w:val="0"/>
            <w:vAlign w:val="center"/>
          </w:tcPr>
          <w:p w14:paraId="05E67F49">
            <w:pPr>
              <w:pStyle w:val="16"/>
              <w:bidi w:val="0"/>
              <w:rPr>
                <w:rFonts w:hint="default"/>
                <w:color w:val="auto"/>
                <w:lang w:val="en-US" w:eastAsia="zh-CN"/>
              </w:rPr>
            </w:pPr>
          </w:p>
        </w:tc>
        <w:tc>
          <w:tcPr>
            <w:tcW w:w="639" w:type="pct"/>
            <w:tcBorders>
              <w:tl2br w:val="nil"/>
              <w:tr2bl w:val="nil"/>
            </w:tcBorders>
            <w:noWrap w:val="0"/>
            <w:vAlign w:val="center"/>
          </w:tcPr>
          <w:p w14:paraId="7B2D2EB3">
            <w:pPr>
              <w:pStyle w:val="16"/>
              <w:bidi w:val="0"/>
              <w:rPr>
                <w:rFonts w:hint="eastAsia"/>
                <w:color w:val="auto"/>
                <w:lang w:val="en-US" w:eastAsia="zh-CN"/>
              </w:rPr>
            </w:pPr>
            <w:r>
              <w:rPr>
                <w:rFonts w:hint="default"/>
                <w:color w:val="auto"/>
                <w:lang w:val="en-US" w:eastAsia="zh-CN"/>
              </w:rPr>
              <w:t>0.06mg/kg</w:t>
            </w:r>
          </w:p>
        </w:tc>
      </w:tr>
      <w:tr w14:paraId="50D1450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3D8328DF">
            <w:pPr>
              <w:pStyle w:val="16"/>
              <w:bidi w:val="0"/>
              <w:rPr>
                <w:rFonts w:hint="default"/>
                <w:color w:val="auto"/>
                <w:lang w:val="en-US" w:eastAsia="zh-CN"/>
              </w:rPr>
            </w:pPr>
            <w:r>
              <w:rPr>
                <w:rFonts w:hint="default"/>
                <w:color w:val="auto"/>
              </w:rPr>
              <w:t>苯并[a]蒽</w:t>
            </w:r>
          </w:p>
        </w:tc>
        <w:tc>
          <w:tcPr>
            <w:tcW w:w="1568" w:type="pct"/>
            <w:vMerge w:val="continue"/>
            <w:tcBorders>
              <w:tl2br w:val="nil"/>
              <w:tr2bl w:val="nil"/>
            </w:tcBorders>
            <w:noWrap w:val="0"/>
            <w:vAlign w:val="center"/>
          </w:tcPr>
          <w:p w14:paraId="1442C8B8">
            <w:pPr>
              <w:pStyle w:val="16"/>
              <w:bidi w:val="0"/>
              <w:rPr>
                <w:rFonts w:hint="default"/>
                <w:color w:val="auto"/>
                <w:lang w:val="en-US" w:eastAsia="zh-CN"/>
              </w:rPr>
            </w:pPr>
          </w:p>
        </w:tc>
        <w:tc>
          <w:tcPr>
            <w:tcW w:w="604" w:type="pct"/>
            <w:vMerge w:val="continue"/>
            <w:tcBorders>
              <w:tl2br w:val="nil"/>
              <w:tr2bl w:val="nil"/>
            </w:tcBorders>
            <w:noWrap w:val="0"/>
            <w:vAlign w:val="center"/>
          </w:tcPr>
          <w:p w14:paraId="699643BB">
            <w:pPr>
              <w:pStyle w:val="16"/>
              <w:bidi w:val="0"/>
              <w:rPr>
                <w:rFonts w:hint="default"/>
                <w:color w:val="auto"/>
                <w:lang w:val="en-US" w:eastAsia="zh-CN"/>
              </w:rPr>
            </w:pPr>
          </w:p>
        </w:tc>
        <w:tc>
          <w:tcPr>
            <w:tcW w:w="1227" w:type="pct"/>
            <w:vMerge w:val="continue"/>
            <w:tcBorders>
              <w:tl2br w:val="nil"/>
              <w:tr2bl w:val="nil"/>
            </w:tcBorders>
            <w:noWrap w:val="0"/>
            <w:vAlign w:val="center"/>
          </w:tcPr>
          <w:p w14:paraId="1B5F8DD7">
            <w:pPr>
              <w:pStyle w:val="16"/>
              <w:bidi w:val="0"/>
              <w:rPr>
                <w:rFonts w:hint="default"/>
                <w:color w:val="auto"/>
                <w:lang w:val="en-US" w:eastAsia="zh-CN"/>
              </w:rPr>
            </w:pPr>
          </w:p>
        </w:tc>
        <w:tc>
          <w:tcPr>
            <w:tcW w:w="639" w:type="pct"/>
            <w:tcBorders>
              <w:tl2br w:val="nil"/>
              <w:tr2bl w:val="nil"/>
            </w:tcBorders>
            <w:noWrap w:val="0"/>
            <w:vAlign w:val="center"/>
          </w:tcPr>
          <w:p w14:paraId="2348D6F2">
            <w:pPr>
              <w:pStyle w:val="16"/>
              <w:bidi w:val="0"/>
              <w:rPr>
                <w:rFonts w:hint="eastAsia"/>
                <w:color w:val="auto"/>
                <w:lang w:val="en-US" w:eastAsia="zh-CN"/>
              </w:rPr>
            </w:pPr>
            <w:r>
              <w:rPr>
                <w:rFonts w:hint="default"/>
                <w:color w:val="auto"/>
                <w:lang w:val="en-US" w:eastAsia="zh-CN"/>
              </w:rPr>
              <w:t>0.1mg/kg</w:t>
            </w:r>
          </w:p>
        </w:tc>
      </w:tr>
      <w:tr w14:paraId="0FD60E16">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38510BF8">
            <w:pPr>
              <w:pStyle w:val="16"/>
              <w:bidi w:val="0"/>
              <w:rPr>
                <w:rFonts w:hint="default"/>
                <w:color w:val="auto"/>
                <w:lang w:val="en-US" w:eastAsia="zh-CN"/>
              </w:rPr>
            </w:pPr>
            <w:r>
              <w:rPr>
                <w:rFonts w:hint="default"/>
                <w:color w:val="auto"/>
              </w:rPr>
              <w:t>苯并[a]芘</w:t>
            </w:r>
          </w:p>
        </w:tc>
        <w:tc>
          <w:tcPr>
            <w:tcW w:w="1568" w:type="pct"/>
            <w:vMerge w:val="continue"/>
            <w:tcBorders>
              <w:tl2br w:val="nil"/>
              <w:tr2bl w:val="nil"/>
            </w:tcBorders>
            <w:noWrap w:val="0"/>
            <w:vAlign w:val="center"/>
          </w:tcPr>
          <w:p w14:paraId="3A0767B0">
            <w:pPr>
              <w:pStyle w:val="16"/>
              <w:bidi w:val="0"/>
              <w:rPr>
                <w:rFonts w:hint="default"/>
                <w:color w:val="auto"/>
                <w:lang w:val="en-US" w:eastAsia="zh-CN"/>
              </w:rPr>
            </w:pPr>
          </w:p>
        </w:tc>
        <w:tc>
          <w:tcPr>
            <w:tcW w:w="604" w:type="pct"/>
            <w:vMerge w:val="continue"/>
            <w:tcBorders>
              <w:tl2br w:val="nil"/>
              <w:tr2bl w:val="nil"/>
            </w:tcBorders>
            <w:noWrap w:val="0"/>
            <w:vAlign w:val="center"/>
          </w:tcPr>
          <w:p w14:paraId="50852108">
            <w:pPr>
              <w:pStyle w:val="16"/>
              <w:bidi w:val="0"/>
              <w:rPr>
                <w:rFonts w:hint="default"/>
                <w:color w:val="auto"/>
                <w:lang w:val="en-US" w:eastAsia="zh-CN"/>
              </w:rPr>
            </w:pPr>
          </w:p>
        </w:tc>
        <w:tc>
          <w:tcPr>
            <w:tcW w:w="1227" w:type="pct"/>
            <w:vMerge w:val="continue"/>
            <w:tcBorders>
              <w:tl2br w:val="nil"/>
              <w:tr2bl w:val="nil"/>
            </w:tcBorders>
            <w:noWrap w:val="0"/>
            <w:vAlign w:val="center"/>
          </w:tcPr>
          <w:p w14:paraId="46524522">
            <w:pPr>
              <w:pStyle w:val="16"/>
              <w:bidi w:val="0"/>
              <w:rPr>
                <w:rFonts w:hint="default"/>
                <w:color w:val="auto"/>
                <w:lang w:val="en-US" w:eastAsia="zh-CN"/>
              </w:rPr>
            </w:pPr>
          </w:p>
        </w:tc>
        <w:tc>
          <w:tcPr>
            <w:tcW w:w="639" w:type="pct"/>
            <w:tcBorders>
              <w:tl2br w:val="nil"/>
              <w:tr2bl w:val="nil"/>
            </w:tcBorders>
            <w:noWrap w:val="0"/>
            <w:vAlign w:val="center"/>
          </w:tcPr>
          <w:p w14:paraId="0354110B">
            <w:pPr>
              <w:pStyle w:val="16"/>
              <w:bidi w:val="0"/>
              <w:rPr>
                <w:rFonts w:hint="eastAsia"/>
                <w:color w:val="auto"/>
                <w:lang w:val="en-US" w:eastAsia="zh-CN"/>
              </w:rPr>
            </w:pPr>
            <w:r>
              <w:rPr>
                <w:rFonts w:hint="default"/>
                <w:color w:val="auto"/>
                <w:lang w:val="en-US" w:eastAsia="zh-CN"/>
              </w:rPr>
              <w:t>0.1mg/kg</w:t>
            </w:r>
          </w:p>
        </w:tc>
      </w:tr>
      <w:tr w14:paraId="35A661A2">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12D87AE3">
            <w:pPr>
              <w:pStyle w:val="16"/>
              <w:bidi w:val="0"/>
              <w:rPr>
                <w:rFonts w:hint="default"/>
                <w:color w:val="auto"/>
                <w:lang w:val="en-US" w:eastAsia="zh-CN"/>
              </w:rPr>
            </w:pPr>
            <w:r>
              <w:rPr>
                <w:rFonts w:hint="default"/>
                <w:color w:val="auto"/>
              </w:rPr>
              <w:t>苯并[b]荧蒽</w:t>
            </w:r>
          </w:p>
        </w:tc>
        <w:tc>
          <w:tcPr>
            <w:tcW w:w="1568" w:type="pct"/>
            <w:vMerge w:val="continue"/>
            <w:tcBorders>
              <w:tl2br w:val="nil"/>
              <w:tr2bl w:val="nil"/>
            </w:tcBorders>
            <w:noWrap w:val="0"/>
            <w:vAlign w:val="center"/>
          </w:tcPr>
          <w:p w14:paraId="493E80CB">
            <w:pPr>
              <w:pStyle w:val="16"/>
              <w:bidi w:val="0"/>
              <w:rPr>
                <w:rFonts w:hint="default"/>
                <w:color w:val="auto"/>
                <w:lang w:val="en-US" w:eastAsia="zh-CN"/>
              </w:rPr>
            </w:pPr>
          </w:p>
        </w:tc>
        <w:tc>
          <w:tcPr>
            <w:tcW w:w="604" w:type="pct"/>
            <w:vMerge w:val="continue"/>
            <w:tcBorders>
              <w:tl2br w:val="nil"/>
              <w:tr2bl w:val="nil"/>
            </w:tcBorders>
            <w:noWrap w:val="0"/>
            <w:vAlign w:val="center"/>
          </w:tcPr>
          <w:p w14:paraId="45500993">
            <w:pPr>
              <w:pStyle w:val="16"/>
              <w:bidi w:val="0"/>
              <w:rPr>
                <w:rFonts w:hint="default"/>
                <w:color w:val="auto"/>
                <w:lang w:val="en-US" w:eastAsia="zh-CN"/>
              </w:rPr>
            </w:pPr>
          </w:p>
        </w:tc>
        <w:tc>
          <w:tcPr>
            <w:tcW w:w="1227" w:type="pct"/>
            <w:vMerge w:val="continue"/>
            <w:tcBorders>
              <w:tl2br w:val="nil"/>
              <w:tr2bl w:val="nil"/>
            </w:tcBorders>
            <w:noWrap w:val="0"/>
            <w:vAlign w:val="center"/>
          </w:tcPr>
          <w:p w14:paraId="5838CFB3">
            <w:pPr>
              <w:pStyle w:val="16"/>
              <w:bidi w:val="0"/>
              <w:rPr>
                <w:rFonts w:hint="default"/>
                <w:color w:val="auto"/>
                <w:lang w:val="en-US" w:eastAsia="zh-CN"/>
              </w:rPr>
            </w:pPr>
          </w:p>
        </w:tc>
        <w:tc>
          <w:tcPr>
            <w:tcW w:w="639" w:type="pct"/>
            <w:tcBorders>
              <w:tl2br w:val="nil"/>
              <w:tr2bl w:val="nil"/>
            </w:tcBorders>
            <w:noWrap w:val="0"/>
            <w:vAlign w:val="center"/>
          </w:tcPr>
          <w:p w14:paraId="480E4FE8">
            <w:pPr>
              <w:pStyle w:val="16"/>
              <w:bidi w:val="0"/>
              <w:rPr>
                <w:rFonts w:hint="eastAsia"/>
                <w:color w:val="auto"/>
                <w:lang w:val="en-US" w:eastAsia="zh-CN"/>
              </w:rPr>
            </w:pPr>
            <w:r>
              <w:rPr>
                <w:rFonts w:hint="default"/>
                <w:color w:val="auto"/>
                <w:lang w:val="en-US" w:eastAsia="zh-CN"/>
              </w:rPr>
              <w:t>0.2mg/kg</w:t>
            </w:r>
          </w:p>
        </w:tc>
      </w:tr>
      <w:tr w14:paraId="125CEFD3">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5375C0B2">
            <w:pPr>
              <w:pStyle w:val="16"/>
              <w:bidi w:val="0"/>
              <w:rPr>
                <w:rFonts w:hint="default"/>
                <w:color w:val="auto"/>
                <w:lang w:val="en-US" w:eastAsia="zh-CN"/>
              </w:rPr>
            </w:pPr>
            <w:r>
              <w:rPr>
                <w:rFonts w:hint="default"/>
                <w:color w:val="auto"/>
              </w:rPr>
              <w:t>苯并[k]荧蒽</w:t>
            </w:r>
          </w:p>
        </w:tc>
        <w:tc>
          <w:tcPr>
            <w:tcW w:w="1568" w:type="pct"/>
            <w:vMerge w:val="continue"/>
            <w:tcBorders>
              <w:tl2br w:val="nil"/>
              <w:tr2bl w:val="nil"/>
            </w:tcBorders>
            <w:noWrap w:val="0"/>
            <w:vAlign w:val="center"/>
          </w:tcPr>
          <w:p w14:paraId="4DD8FD2E">
            <w:pPr>
              <w:pStyle w:val="16"/>
              <w:bidi w:val="0"/>
              <w:rPr>
                <w:rFonts w:hint="default"/>
                <w:color w:val="auto"/>
                <w:lang w:val="en-US" w:eastAsia="zh-CN"/>
              </w:rPr>
            </w:pPr>
          </w:p>
        </w:tc>
        <w:tc>
          <w:tcPr>
            <w:tcW w:w="604" w:type="pct"/>
            <w:vMerge w:val="continue"/>
            <w:tcBorders>
              <w:tl2br w:val="nil"/>
              <w:tr2bl w:val="nil"/>
            </w:tcBorders>
            <w:noWrap w:val="0"/>
            <w:vAlign w:val="center"/>
          </w:tcPr>
          <w:p w14:paraId="27079C86">
            <w:pPr>
              <w:pStyle w:val="16"/>
              <w:bidi w:val="0"/>
              <w:rPr>
                <w:rFonts w:hint="default"/>
                <w:color w:val="auto"/>
                <w:lang w:val="en-US" w:eastAsia="zh-CN"/>
              </w:rPr>
            </w:pPr>
          </w:p>
        </w:tc>
        <w:tc>
          <w:tcPr>
            <w:tcW w:w="1227" w:type="pct"/>
            <w:vMerge w:val="continue"/>
            <w:tcBorders>
              <w:tl2br w:val="nil"/>
              <w:tr2bl w:val="nil"/>
            </w:tcBorders>
            <w:noWrap w:val="0"/>
            <w:vAlign w:val="center"/>
          </w:tcPr>
          <w:p w14:paraId="18BB82C2">
            <w:pPr>
              <w:pStyle w:val="16"/>
              <w:bidi w:val="0"/>
              <w:rPr>
                <w:rFonts w:hint="default"/>
                <w:color w:val="auto"/>
                <w:lang w:val="en-US" w:eastAsia="zh-CN"/>
              </w:rPr>
            </w:pPr>
          </w:p>
        </w:tc>
        <w:tc>
          <w:tcPr>
            <w:tcW w:w="639" w:type="pct"/>
            <w:tcBorders>
              <w:tl2br w:val="nil"/>
              <w:tr2bl w:val="nil"/>
            </w:tcBorders>
            <w:noWrap w:val="0"/>
            <w:vAlign w:val="center"/>
          </w:tcPr>
          <w:p w14:paraId="74ACA7DA">
            <w:pPr>
              <w:pStyle w:val="16"/>
              <w:bidi w:val="0"/>
              <w:rPr>
                <w:rFonts w:hint="eastAsia"/>
                <w:color w:val="auto"/>
                <w:lang w:val="en-US" w:eastAsia="zh-CN"/>
              </w:rPr>
            </w:pPr>
            <w:r>
              <w:rPr>
                <w:rFonts w:hint="default"/>
                <w:color w:val="auto"/>
                <w:lang w:val="en-US" w:eastAsia="zh-CN"/>
              </w:rPr>
              <w:t>0.1mg/kg</w:t>
            </w:r>
          </w:p>
        </w:tc>
      </w:tr>
      <w:tr w14:paraId="6B6DC3A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429A37AD">
            <w:pPr>
              <w:pStyle w:val="16"/>
              <w:bidi w:val="0"/>
              <w:rPr>
                <w:rFonts w:hint="default"/>
                <w:color w:val="auto"/>
                <w:lang w:val="en-US" w:eastAsia="zh-CN"/>
              </w:rPr>
            </w:pPr>
            <w:r>
              <w:rPr>
                <w:rFonts w:hint="default"/>
                <w:color w:val="auto"/>
              </w:rPr>
              <w:t>䓛</w:t>
            </w:r>
          </w:p>
        </w:tc>
        <w:tc>
          <w:tcPr>
            <w:tcW w:w="1568" w:type="pct"/>
            <w:vMerge w:val="continue"/>
            <w:tcBorders>
              <w:tl2br w:val="nil"/>
              <w:tr2bl w:val="nil"/>
            </w:tcBorders>
            <w:noWrap w:val="0"/>
            <w:vAlign w:val="center"/>
          </w:tcPr>
          <w:p w14:paraId="20BC9CC7">
            <w:pPr>
              <w:pStyle w:val="16"/>
              <w:bidi w:val="0"/>
              <w:rPr>
                <w:rFonts w:hint="default"/>
                <w:color w:val="auto"/>
                <w:lang w:val="en-US" w:eastAsia="zh-CN"/>
              </w:rPr>
            </w:pPr>
          </w:p>
        </w:tc>
        <w:tc>
          <w:tcPr>
            <w:tcW w:w="604" w:type="pct"/>
            <w:vMerge w:val="continue"/>
            <w:tcBorders>
              <w:tl2br w:val="nil"/>
              <w:tr2bl w:val="nil"/>
            </w:tcBorders>
            <w:noWrap w:val="0"/>
            <w:vAlign w:val="center"/>
          </w:tcPr>
          <w:p w14:paraId="76651424">
            <w:pPr>
              <w:pStyle w:val="16"/>
              <w:bidi w:val="0"/>
              <w:rPr>
                <w:rFonts w:hint="default"/>
                <w:color w:val="auto"/>
                <w:lang w:val="en-US" w:eastAsia="zh-CN"/>
              </w:rPr>
            </w:pPr>
          </w:p>
        </w:tc>
        <w:tc>
          <w:tcPr>
            <w:tcW w:w="1227" w:type="pct"/>
            <w:vMerge w:val="continue"/>
            <w:tcBorders>
              <w:tl2br w:val="nil"/>
              <w:tr2bl w:val="nil"/>
            </w:tcBorders>
            <w:noWrap w:val="0"/>
            <w:vAlign w:val="center"/>
          </w:tcPr>
          <w:p w14:paraId="699FB8ED">
            <w:pPr>
              <w:pStyle w:val="16"/>
              <w:bidi w:val="0"/>
              <w:rPr>
                <w:rFonts w:hint="default"/>
                <w:color w:val="auto"/>
                <w:lang w:val="en-US" w:eastAsia="zh-CN"/>
              </w:rPr>
            </w:pPr>
          </w:p>
        </w:tc>
        <w:tc>
          <w:tcPr>
            <w:tcW w:w="639" w:type="pct"/>
            <w:tcBorders>
              <w:tl2br w:val="nil"/>
              <w:tr2bl w:val="nil"/>
            </w:tcBorders>
            <w:noWrap w:val="0"/>
            <w:vAlign w:val="center"/>
          </w:tcPr>
          <w:p w14:paraId="693D0BDB">
            <w:pPr>
              <w:pStyle w:val="16"/>
              <w:bidi w:val="0"/>
              <w:rPr>
                <w:rFonts w:hint="eastAsia"/>
                <w:color w:val="auto"/>
                <w:lang w:val="en-US" w:eastAsia="zh-CN"/>
              </w:rPr>
            </w:pPr>
            <w:r>
              <w:rPr>
                <w:rFonts w:hint="default"/>
                <w:color w:val="auto"/>
                <w:lang w:val="en-US" w:eastAsia="zh-CN"/>
              </w:rPr>
              <w:t>0.1mg/kg</w:t>
            </w:r>
          </w:p>
        </w:tc>
      </w:tr>
      <w:tr w14:paraId="444A396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24DC2808">
            <w:pPr>
              <w:pStyle w:val="16"/>
              <w:bidi w:val="0"/>
              <w:rPr>
                <w:rFonts w:hint="default"/>
                <w:color w:val="auto"/>
                <w:lang w:val="en-US" w:eastAsia="zh-CN"/>
              </w:rPr>
            </w:pPr>
            <w:r>
              <w:rPr>
                <w:rFonts w:hint="default"/>
                <w:color w:val="auto"/>
              </w:rPr>
              <w:t>二苯并[a,h]蒽</w:t>
            </w:r>
          </w:p>
        </w:tc>
        <w:tc>
          <w:tcPr>
            <w:tcW w:w="1568" w:type="pct"/>
            <w:vMerge w:val="continue"/>
            <w:tcBorders>
              <w:tl2br w:val="nil"/>
              <w:tr2bl w:val="nil"/>
            </w:tcBorders>
            <w:noWrap w:val="0"/>
            <w:vAlign w:val="center"/>
          </w:tcPr>
          <w:p w14:paraId="4E993D18">
            <w:pPr>
              <w:pStyle w:val="16"/>
              <w:bidi w:val="0"/>
              <w:rPr>
                <w:rFonts w:hint="default"/>
                <w:color w:val="auto"/>
                <w:lang w:val="en-US" w:eastAsia="zh-CN"/>
              </w:rPr>
            </w:pPr>
          </w:p>
        </w:tc>
        <w:tc>
          <w:tcPr>
            <w:tcW w:w="604" w:type="pct"/>
            <w:vMerge w:val="continue"/>
            <w:tcBorders>
              <w:tl2br w:val="nil"/>
              <w:tr2bl w:val="nil"/>
            </w:tcBorders>
            <w:noWrap w:val="0"/>
            <w:vAlign w:val="center"/>
          </w:tcPr>
          <w:p w14:paraId="6A69A0B1">
            <w:pPr>
              <w:pStyle w:val="16"/>
              <w:bidi w:val="0"/>
              <w:rPr>
                <w:rFonts w:hint="default"/>
                <w:color w:val="auto"/>
                <w:lang w:val="en-US" w:eastAsia="zh-CN"/>
              </w:rPr>
            </w:pPr>
          </w:p>
        </w:tc>
        <w:tc>
          <w:tcPr>
            <w:tcW w:w="1227" w:type="pct"/>
            <w:vMerge w:val="continue"/>
            <w:tcBorders>
              <w:tl2br w:val="nil"/>
              <w:tr2bl w:val="nil"/>
            </w:tcBorders>
            <w:noWrap w:val="0"/>
            <w:vAlign w:val="center"/>
          </w:tcPr>
          <w:p w14:paraId="3798798F">
            <w:pPr>
              <w:pStyle w:val="16"/>
              <w:bidi w:val="0"/>
              <w:rPr>
                <w:rFonts w:hint="default"/>
                <w:color w:val="auto"/>
                <w:lang w:val="en-US" w:eastAsia="zh-CN"/>
              </w:rPr>
            </w:pPr>
          </w:p>
        </w:tc>
        <w:tc>
          <w:tcPr>
            <w:tcW w:w="639" w:type="pct"/>
            <w:tcBorders>
              <w:tl2br w:val="nil"/>
              <w:tr2bl w:val="nil"/>
            </w:tcBorders>
            <w:noWrap w:val="0"/>
            <w:vAlign w:val="center"/>
          </w:tcPr>
          <w:p w14:paraId="79B7F7AC">
            <w:pPr>
              <w:pStyle w:val="16"/>
              <w:bidi w:val="0"/>
              <w:rPr>
                <w:rFonts w:hint="eastAsia"/>
                <w:color w:val="auto"/>
                <w:lang w:val="en-US" w:eastAsia="zh-CN"/>
              </w:rPr>
            </w:pPr>
            <w:r>
              <w:rPr>
                <w:rFonts w:hint="default"/>
                <w:color w:val="auto"/>
                <w:lang w:val="en-US" w:eastAsia="zh-CN"/>
              </w:rPr>
              <w:t>0.1mg/kg</w:t>
            </w:r>
          </w:p>
        </w:tc>
      </w:tr>
      <w:tr w14:paraId="77EE09F6">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72FD2696">
            <w:pPr>
              <w:pStyle w:val="16"/>
              <w:bidi w:val="0"/>
              <w:rPr>
                <w:rFonts w:hint="default"/>
                <w:color w:val="auto"/>
                <w:lang w:val="en-US" w:eastAsia="zh-CN"/>
              </w:rPr>
            </w:pPr>
            <w:r>
              <w:rPr>
                <w:rFonts w:hint="default"/>
                <w:color w:val="auto"/>
              </w:rPr>
              <w:t>茚并[1,2,3-cd]芘</w:t>
            </w:r>
          </w:p>
        </w:tc>
        <w:tc>
          <w:tcPr>
            <w:tcW w:w="1568" w:type="pct"/>
            <w:vMerge w:val="continue"/>
            <w:tcBorders>
              <w:tl2br w:val="nil"/>
              <w:tr2bl w:val="nil"/>
            </w:tcBorders>
            <w:noWrap w:val="0"/>
            <w:vAlign w:val="center"/>
          </w:tcPr>
          <w:p w14:paraId="48D12C79">
            <w:pPr>
              <w:pStyle w:val="16"/>
              <w:bidi w:val="0"/>
              <w:rPr>
                <w:rFonts w:hint="default"/>
                <w:color w:val="auto"/>
                <w:lang w:val="en-US" w:eastAsia="zh-CN"/>
              </w:rPr>
            </w:pPr>
          </w:p>
        </w:tc>
        <w:tc>
          <w:tcPr>
            <w:tcW w:w="604" w:type="pct"/>
            <w:vMerge w:val="continue"/>
            <w:tcBorders>
              <w:tl2br w:val="nil"/>
              <w:tr2bl w:val="nil"/>
            </w:tcBorders>
            <w:noWrap w:val="0"/>
            <w:vAlign w:val="center"/>
          </w:tcPr>
          <w:p w14:paraId="17C30C2E">
            <w:pPr>
              <w:pStyle w:val="16"/>
              <w:bidi w:val="0"/>
              <w:rPr>
                <w:rFonts w:hint="default"/>
                <w:color w:val="auto"/>
                <w:lang w:val="en-US" w:eastAsia="zh-CN"/>
              </w:rPr>
            </w:pPr>
          </w:p>
        </w:tc>
        <w:tc>
          <w:tcPr>
            <w:tcW w:w="1227" w:type="pct"/>
            <w:vMerge w:val="continue"/>
            <w:tcBorders>
              <w:tl2br w:val="nil"/>
              <w:tr2bl w:val="nil"/>
            </w:tcBorders>
            <w:noWrap w:val="0"/>
            <w:vAlign w:val="center"/>
          </w:tcPr>
          <w:p w14:paraId="792F5B42">
            <w:pPr>
              <w:pStyle w:val="16"/>
              <w:bidi w:val="0"/>
              <w:rPr>
                <w:rFonts w:hint="default"/>
                <w:color w:val="auto"/>
                <w:lang w:val="en-US" w:eastAsia="zh-CN"/>
              </w:rPr>
            </w:pPr>
          </w:p>
        </w:tc>
        <w:tc>
          <w:tcPr>
            <w:tcW w:w="639" w:type="pct"/>
            <w:tcBorders>
              <w:tl2br w:val="nil"/>
              <w:tr2bl w:val="nil"/>
            </w:tcBorders>
            <w:noWrap w:val="0"/>
            <w:vAlign w:val="center"/>
          </w:tcPr>
          <w:p w14:paraId="6AE93023">
            <w:pPr>
              <w:pStyle w:val="16"/>
              <w:bidi w:val="0"/>
              <w:rPr>
                <w:rFonts w:hint="eastAsia"/>
                <w:color w:val="auto"/>
                <w:lang w:val="en-US" w:eastAsia="zh-CN"/>
              </w:rPr>
            </w:pPr>
            <w:r>
              <w:rPr>
                <w:rFonts w:hint="default"/>
                <w:color w:val="auto"/>
                <w:lang w:val="en-US" w:eastAsia="zh-CN"/>
              </w:rPr>
              <w:t>0.1mg/kg</w:t>
            </w:r>
          </w:p>
        </w:tc>
      </w:tr>
      <w:tr w14:paraId="33CDAC12">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2ADF819D">
            <w:pPr>
              <w:pStyle w:val="16"/>
              <w:bidi w:val="0"/>
              <w:rPr>
                <w:rFonts w:hint="default"/>
                <w:color w:val="auto"/>
                <w:lang w:val="en-US" w:eastAsia="zh-CN"/>
              </w:rPr>
            </w:pPr>
            <w:r>
              <w:rPr>
                <w:rFonts w:hint="default"/>
                <w:color w:val="auto"/>
              </w:rPr>
              <w:t>萘</w:t>
            </w:r>
          </w:p>
        </w:tc>
        <w:tc>
          <w:tcPr>
            <w:tcW w:w="1568" w:type="pct"/>
            <w:vMerge w:val="continue"/>
            <w:tcBorders>
              <w:tl2br w:val="nil"/>
              <w:tr2bl w:val="nil"/>
            </w:tcBorders>
            <w:noWrap w:val="0"/>
            <w:vAlign w:val="center"/>
          </w:tcPr>
          <w:p w14:paraId="3114978A">
            <w:pPr>
              <w:pStyle w:val="16"/>
              <w:bidi w:val="0"/>
              <w:rPr>
                <w:rFonts w:hint="default"/>
                <w:color w:val="auto"/>
                <w:lang w:val="en-US" w:eastAsia="zh-CN"/>
              </w:rPr>
            </w:pPr>
          </w:p>
        </w:tc>
        <w:tc>
          <w:tcPr>
            <w:tcW w:w="604" w:type="pct"/>
            <w:vMerge w:val="continue"/>
            <w:tcBorders>
              <w:tl2br w:val="nil"/>
              <w:tr2bl w:val="nil"/>
            </w:tcBorders>
            <w:noWrap w:val="0"/>
            <w:vAlign w:val="center"/>
          </w:tcPr>
          <w:p w14:paraId="773E57E3">
            <w:pPr>
              <w:pStyle w:val="16"/>
              <w:bidi w:val="0"/>
              <w:rPr>
                <w:rFonts w:hint="default"/>
                <w:color w:val="auto"/>
                <w:lang w:val="en-US" w:eastAsia="zh-CN"/>
              </w:rPr>
            </w:pPr>
          </w:p>
        </w:tc>
        <w:tc>
          <w:tcPr>
            <w:tcW w:w="1227" w:type="pct"/>
            <w:vMerge w:val="continue"/>
            <w:tcBorders>
              <w:tl2br w:val="nil"/>
              <w:tr2bl w:val="nil"/>
            </w:tcBorders>
            <w:noWrap w:val="0"/>
            <w:vAlign w:val="center"/>
          </w:tcPr>
          <w:p w14:paraId="599AF986">
            <w:pPr>
              <w:pStyle w:val="16"/>
              <w:bidi w:val="0"/>
              <w:rPr>
                <w:rFonts w:hint="default"/>
                <w:color w:val="auto"/>
                <w:lang w:val="en-US" w:eastAsia="zh-CN"/>
              </w:rPr>
            </w:pPr>
          </w:p>
        </w:tc>
        <w:tc>
          <w:tcPr>
            <w:tcW w:w="639" w:type="pct"/>
            <w:tcBorders>
              <w:tl2br w:val="nil"/>
              <w:tr2bl w:val="nil"/>
            </w:tcBorders>
            <w:noWrap w:val="0"/>
            <w:vAlign w:val="center"/>
          </w:tcPr>
          <w:p w14:paraId="070BCB92">
            <w:pPr>
              <w:pStyle w:val="16"/>
              <w:bidi w:val="0"/>
              <w:rPr>
                <w:rFonts w:hint="eastAsia"/>
                <w:color w:val="auto"/>
                <w:lang w:val="en-US" w:eastAsia="zh-CN"/>
              </w:rPr>
            </w:pPr>
            <w:r>
              <w:rPr>
                <w:rFonts w:hint="default"/>
                <w:color w:val="auto"/>
                <w:lang w:val="en-US" w:eastAsia="zh-CN"/>
              </w:rPr>
              <w:t>0.09mg/kg</w:t>
            </w:r>
          </w:p>
        </w:tc>
      </w:tr>
      <w:tr w14:paraId="1BAC07C1">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0CCF7E12">
            <w:pPr>
              <w:pStyle w:val="16"/>
              <w:bidi w:val="0"/>
              <w:rPr>
                <w:rFonts w:hint="default"/>
                <w:color w:val="auto"/>
                <w:lang w:val="en-US" w:eastAsia="zh-CN"/>
              </w:rPr>
            </w:pPr>
            <w:r>
              <w:rPr>
                <w:rFonts w:hint="default"/>
                <w:color w:val="auto"/>
              </w:rPr>
              <w:t>六六六总量</w:t>
            </w:r>
          </w:p>
        </w:tc>
        <w:tc>
          <w:tcPr>
            <w:tcW w:w="1568" w:type="pct"/>
            <w:vMerge w:val="continue"/>
            <w:tcBorders>
              <w:tl2br w:val="nil"/>
              <w:tr2bl w:val="nil"/>
            </w:tcBorders>
            <w:noWrap w:val="0"/>
            <w:vAlign w:val="center"/>
          </w:tcPr>
          <w:p w14:paraId="09F78639">
            <w:pPr>
              <w:pStyle w:val="16"/>
              <w:bidi w:val="0"/>
              <w:rPr>
                <w:rFonts w:hint="default"/>
                <w:color w:val="auto"/>
                <w:lang w:val="en-US" w:eastAsia="zh-CN"/>
              </w:rPr>
            </w:pPr>
          </w:p>
        </w:tc>
        <w:tc>
          <w:tcPr>
            <w:tcW w:w="604" w:type="pct"/>
            <w:vMerge w:val="continue"/>
            <w:tcBorders>
              <w:tl2br w:val="nil"/>
              <w:tr2bl w:val="nil"/>
            </w:tcBorders>
            <w:noWrap w:val="0"/>
            <w:vAlign w:val="center"/>
          </w:tcPr>
          <w:p w14:paraId="4CBB524D">
            <w:pPr>
              <w:pStyle w:val="16"/>
              <w:bidi w:val="0"/>
              <w:rPr>
                <w:rFonts w:hint="default"/>
                <w:color w:val="auto"/>
                <w:lang w:val="en-US" w:eastAsia="zh-CN"/>
              </w:rPr>
            </w:pPr>
          </w:p>
        </w:tc>
        <w:tc>
          <w:tcPr>
            <w:tcW w:w="1227" w:type="pct"/>
            <w:vMerge w:val="continue"/>
            <w:tcBorders>
              <w:tl2br w:val="nil"/>
              <w:tr2bl w:val="nil"/>
            </w:tcBorders>
            <w:noWrap w:val="0"/>
            <w:vAlign w:val="center"/>
          </w:tcPr>
          <w:p w14:paraId="2260FA86">
            <w:pPr>
              <w:pStyle w:val="16"/>
              <w:bidi w:val="0"/>
              <w:rPr>
                <w:rFonts w:hint="default"/>
                <w:color w:val="auto"/>
                <w:lang w:val="en-US" w:eastAsia="zh-CN"/>
              </w:rPr>
            </w:pPr>
          </w:p>
        </w:tc>
        <w:tc>
          <w:tcPr>
            <w:tcW w:w="639" w:type="pct"/>
            <w:tcBorders>
              <w:tl2br w:val="nil"/>
              <w:tr2bl w:val="nil"/>
            </w:tcBorders>
            <w:noWrap w:val="0"/>
            <w:vAlign w:val="center"/>
          </w:tcPr>
          <w:p w14:paraId="3D77A53E">
            <w:pPr>
              <w:pStyle w:val="16"/>
              <w:bidi w:val="0"/>
              <w:rPr>
                <w:rFonts w:hint="eastAsia"/>
                <w:color w:val="auto"/>
                <w:lang w:val="en-US" w:eastAsia="zh-CN"/>
              </w:rPr>
            </w:pPr>
            <w:r>
              <w:rPr>
                <w:rFonts w:hint="default"/>
                <w:color w:val="auto"/>
              </w:rPr>
              <w:t>0.06mg/kg</w:t>
            </w:r>
          </w:p>
        </w:tc>
      </w:tr>
      <w:tr w14:paraId="40FC3C0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7B70F121">
            <w:pPr>
              <w:pStyle w:val="16"/>
              <w:bidi w:val="0"/>
              <w:rPr>
                <w:rFonts w:hint="eastAsia"/>
                <w:color w:val="auto"/>
                <w:lang w:val="en-US" w:eastAsia="zh-CN"/>
              </w:rPr>
            </w:pPr>
            <w:r>
              <w:rPr>
                <w:rFonts w:hint="default"/>
                <w:color w:val="auto"/>
              </w:rPr>
              <w:t>滴滴涕总量</w:t>
            </w:r>
          </w:p>
        </w:tc>
        <w:tc>
          <w:tcPr>
            <w:tcW w:w="1568" w:type="pct"/>
            <w:vMerge w:val="continue"/>
            <w:tcBorders>
              <w:tl2br w:val="nil"/>
              <w:tr2bl w:val="nil"/>
            </w:tcBorders>
            <w:noWrap w:val="0"/>
            <w:vAlign w:val="center"/>
          </w:tcPr>
          <w:p w14:paraId="316096ED">
            <w:pPr>
              <w:pStyle w:val="16"/>
              <w:bidi w:val="0"/>
              <w:rPr>
                <w:rFonts w:hint="default"/>
                <w:color w:val="auto"/>
                <w:lang w:val="en-US" w:eastAsia="zh-CN"/>
              </w:rPr>
            </w:pPr>
          </w:p>
        </w:tc>
        <w:tc>
          <w:tcPr>
            <w:tcW w:w="604" w:type="pct"/>
            <w:vMerge w:val="continue"/>
            <w:tcBorders>
              <w:tl2br w:val="nil"/>
              <w:tr2bl w:val="nil"/>
            </w:tcBorders>
            <w:noWrap w:val="0"/>
            <w:vAlign w:val="center"/>
          </w:tcPr>
          <w:p w14:paraId="16CE58A5">
            <w:pPr>
              <w:pStyle w:val="16"/>
              <w:bidi w:val="0"/>
              <w:rPr>
                <w:rFonts w:hint="default"/>
                <w:color w:val="auto"/>
                <w:lang w:val="en-US" w:eastAsia="zh-CN"/>
              </w:rPr>
            </w:pPr>
          </w:p>
        </w:tc>
        <w:tc>
          <w:tcPr>
            <w:tcW w:w="1227" w:type="pct"/>
            <w:vMerge w:val="continue"/>
            <w:tcBorders>
              <w:tl2br w:val="nil"/>
              <w:tr2bl w:val="nil"/>
            </w:tcBorders>
            <w:noWrap w:val="0"/>
            <w:vAlign w:val="center"/>
          </w:tcPr>
          <w:p w14:paraId="17403753">
            <w:pPr>
              <w:pStyle w:val="16"/>
              <w:bidi w:val="0"/>
              <w:rPr>
                <w:rFonts w:hint="default"/>
                <w:color w:val="auto"/>
                <w:lang w:val="en-US" w:eastAsia="zh-CN"/>
              </w:rPr>
            </w:pPr>
          </w:p>
        </w:tc>
        <w:tc>
          <w:tcPr>
            <w:tcW w:w="639" w:type="pct"/>
            <w:tcBorders>
              <w:tl2br w:val="nil"/>
              <w:tr2bl w:val="nil"/>
            </w:tcBorders>
            <w:noWrap w:val="0"/>
            <w:vAlign w:val="center"/>
          </w:tcPr>
          <w:p w14:paraId="4DCCF869">
            <w:pPr>
              <w:pStyle w:val="16"/>
              <w:bidi w:val="0"/>
              <w:rPr>
                <w:rFonts w:hint="eastAsia"/>
                <w:color w:val="auto"/>
                <w:lang w:val="en-US" w:eastAsia="zh-CN"/>
              </w:rPr>
            </w:pPr>
            <w:r>
              <w:rPr>
                <w:rFonts w:hint="default"/>
                <w:color w:val="auto"/>
              </w:rPr>
              <w:t>0.04mg/kg</w:t>
            </w:r>
          </w:p>
        </w:tc>
      </w:tr>
      <w:tr w14:paraId="58B82C9C">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42E99CD8">
            <w:pPr>
              <w:pStyle w:val="16"/>
              <w:bidi w:val="0"/>
              <w:rPr>
                <w:rFonts w:hint="default"/>
                <w:color w:val="auto"/>
                <w:lang w:val="en-US" w:eastAsia="zh-CN"/>
              </w:rPr>
            </w:pPr>
            <w:r>
              <w:rPr>
                <w:rFonts w:hint="default"/>
                <w:color w:val="auto"/>
                <w:lang w:val="en-US" w:eastAsia="zh-CN"/>
              </w:rPr>
              <w:t>土壤容重</w:t>
            </w:r>
          </w:p>
        </w:tc>
        <w:tc>
          <w:tcPr>
            <w:tcW w:w="1568" w:type="pct"/>
            <w:tcBorders>
              <w:tl2br w:val="nil"/>
              <w:tr2bl w:val="nil"/>
            </w:tcBorders>
            <w:noWrap w:val="0"/>
            <w:vAlign w:val="center"/>
          </w:tcPr>
          <w:p w14:paraId="6D5CF7C7">
            <w:pPr>
              <w:pStyle w:val="16"/>
              <w:bidi w:val="0"/>
              <w:rPr>
                <w:rFonts w:hint="default"/>
                <w:color w:val="auto"/>
                <w:lang w:val="en-US" w:eastAsia="zh-CN"/>
              </w:rPr>
            </w:pPr>
            <w:r>
              <w:rPr>
                <w:rFonts w:hint="default"/>
                <w:color w:val="auto"/>
                <w:lang w:val="en-US" w:eastAsia="zh-CN"/>
              </w:rPr>
              <w:t>土壤 容重的测定</w:t>
            </w:r>
          </w:p>
        </w:tc>
        <w:tc>
          <w:tcPr>
            <w:tcW w:w="604" w:type="pct"/>
            <w:tcBorders>
              <w:tl2br w:val="nil"/>
              <w:tr2bl w:val="nil"/>
            </w:tcBorders>
            <w:noWrap w:val="0"/>
            <w:vAlign w:val="center"/>
          </w:tcPr>
          <w:p w14:paraId="334EC3AE">
            <w:pPr>
              <w:pStyle w:val="16"/>
              <w:bidi w:val="0"/>
              <w:rPr>
                <w:rFonts w:hint="default"/>
                <w:color w:val="auto"/>
                <w:lang w:val="en-US" w:eastAsia="zh-CN"/>
              </w:rPr>
            </w:pPr>
            <w:r>
              <w:rPr>
                <w:rFonts w:hint="default"/>
                <w:color w:val="auto"/>
                <w:lang w:val="en-US" w:eastAsia="zh-CN"/>
              </w:rPr>
              <w:t>NY/T 1121.4-2006</w:t>
            </w:r>
          </w:p>
        </w:tc>
        <w:tc>
          <w:tcPr>
            <w:tcW w:w="1227" w:type="pct"/>
            <w:tcBorders>
              <w:tl2br w:val="nil"/>
              <w:tr2bl w:val="nil"/>
            </w:tcBorders>
            <w:noWrap w:val="0"/>
            <w:vAlign w:val="center"/>
          </w:tcPr>
          <w:p w14:paraId="18DEB498">
            <w:pPr>
              <w:pStyle w:val="16"/>
              <w:bidi w:val="0"/>
              <w:rPr>
                <w:rFonts w:hint="default"/>
                <w:color w:val="auto"/>
              </w:rPr>
            </w:pPr>
            <w:r>
              <w:rPr>
                <w:rFonts w:hint="default"/>
                <w:color w:val="auto"/>
              </w:rPr>
              <w:t>YP1002N电子天平</w:t>
            </w:r>
          </w:p>
          <w:p w14:paraId="2BB94967">
            <w:pPr>
              <w:pStyle w:val="16"/>
              <w:bidi w:val="0"/>
              <w:rPr>
                <w:rFonts w:hint="default"/>
                <w:color w:val="auto"/>
                <w:lang w:val="en-US" w:eastAsia="zh-CN"/>
              </w:rPr>
            </w:pPr>
            <w:r>
              <w:rPr>
                <w:rFonts w:hint="default"/>
                <w:color w:val="auto"/>
                <w:lang w:eastAsia="zh-CN"/>
              </w:rPr>
              <w:t>（</w:t>
            </w:r>
            <w:r>
              <w:rPr>
                <w:rFonts w:hint="default"/>
                <w:color w:val="auto"/>
              </w:rPr>
              <w:t>百分之一</w:t>
            </w:r>
            <w:r>
              <w:rPr>
                <w:rFonts w:hint="default"/>
                <w:color w:val="auto"/>
                <w:lang w:eastAsia="zh-CN"/>
              </w:rPr>
              <w:t>）（</w:t>
            </w:r>
            <w:r>
              <w:rPr>
                <w:rFonts w:hint="default"/>
                <w:color w:val="auto"/>
                <w:lang w:val="en-US" w:eastAsia="zh-CN"/>
              </w:rPr>
              <w:t>HDH/YQ-20-01</w:t>
            </w:r>
            <w:r>
              <w:rPr>
                <w:rFonts w:hint="default"/>
                <w:color w:val="auto"/>
                <w:lang w:eastAsia="zh-CN"/>
              </w:rPr>
              <w:t>）</w:t>
            </w:r>
          </w:p>
        </w:tc>
        <w:tc>
          <w:tcPr>
            <w:tcW w:w="639" w:type="pct"/>
            <w:tcBorders>
              <w:tl2br w:val="nil"/>
              <w:tr2bl w:val="nil"/>
            </w:tcBorders>
            <w:noWrap w:val="0"/>
            <w:vAlign w:val="center"/>
          </w:tcPr>
          <w:p w14:paraId="08B49AEB">
            <w:pPr>
              <w:pStyle w:val="16"/>
              <w:bidi w:val="0"/>
              <w:rPr>
                <w:rFonts w:hint="eastAsia"/>
                <w:color w:val="auto"/>
                <w:lang w:val="en-US" w:eastAsia="zh-CN"/>
              </w:rPr>
            </w:pPr>
            <w:r>
              <w:rPr>
                <w:rFonts w:hint="default"/>
                <w:color w:val="auto"/>
                <w:lang w:val="en-US" w:eastAsia="zh-CN"/>
              </w:rPr>
              <w:t>/</w:t>
            </w:r>
          </w:p>
        </w:tc>
      </w:tr>
      <w:tr w14:paraId="2AFFA40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282C8A5B">
            <w:pPr>
              <w:pStyle w:val="16"/>
              <w:bidi w:val="0"/>
              <w:rPr>
                <w:rFonts w:hint="default"/>
                <w:color w:val="auto"/>
                <w:lang w:val="en-US" w:eastAsia="zh-CN"/>
              </w:rPr>
            </w:pPr>
            <w:r>
              <w:rPr>
                <w:rFonts w:hint="default"/>
                <w:color w:val="auto"/>
                <w:lang w:val="en-US" w:eastAsia="zh-CN"/>
              </w:rPr>
              <w:t>饱和导水率</w:t>
            </w:r>
          </w:p>
        </w:tc>
        <w:tc>
          <w:tcPr>
            <w:tcW w:w="1568" w:type="pct"/>
            <w:tcBorders>
              <w:tl2br w:val="nil"/>
              <w:tr2bl w:val="nil"/>
            </w:tcBorders>
            <w:noWrap w:val="0"/>
            <w:vAlign w:val="center"/>
          </w:tcPr>
          <w:p w14:paraId="5B406270">
            <w:pPr>
              <w:pStyle w:val="16"/>
              <w:bidi w:val="0"/>
              <w:rPr>
                <w:rFonts w:hint="default"/>
                <w:color w:val="auto"/>
                <w:lang w:val="en-US" w:eastAsia="zh-CN"/>
              </w:rPr>
            </w:pPr>
            <w:r>
              <w:rPr>
                <w:rFonts w:hint="default"/>
                <w:color w:val="auto"/>
                <w:lang w:val="en-US" w:eastAsia="zh-CN"/>
              </w:rPr>
              <w:t>森林土壤渗透率的测定</w:t>
            </w:r>
          </w:p>
        </w:tc>
        <w:tc>
          <w:tcPr>
            <w:tcW w:w="604" w:type="pct"/>
            <w:tcBorders>
              <w:tl2br w:val="nil"/>
              <w:tr2bl w:val="nil"/>
            </w:tcBorders>
            <w:noWrap w:val="0"/>
            <w:vAlign w:val="center"/>
          </w:tcPr>
          <w:p w14:paraId="49C5FD71">
            <w:pPr>
              <w:pStyle w:val="16"/>
              <w:bidi w:val="0"/>
              <w:rPr>
                <w:rFonts w:hint="default"/>
                <w:color w:val="auto"/>
                <w:lang w:val="en-US" w:eastAsia="zh-CN"/>
              </w:rPr>
            </w:pPr>
            <w:r>
              <w:rPr>
                <w:rFonts w:hint="default"/>
                <w:color w:val="auto"/>
                <w:lang w:val="en-US" w:eastAsia="zh-CN"/>
              </w:rPr>
              <w:t>LY/T 1218-1999</w:t>
            </w:r>
          </w:p>
        </w:tc>
        <w:tc>
          <w:tcPr>
            <w:tcW w:w="1227" w:type="pct"/>
            <w:tcBorders>
              <w:tl2br w:val="nil"/>
              <w:tr2bl w:val="nil"/>
            </w:tcBorders>
            <w:noWrap w:val="0"/>
            <w:vAlign w:val="center"/>
          </w:tcPr>
          <w:p w14:paraId="30B3DC6A">
            <w:pPr>
              <w:pStyle w:val="16"/>
              <w:bidi w:val="0"/>
              <w:rPr>
                <w:rFonts w:hint="default"/>
                <w:color w:val="auto"/>
                <w:lang w:val="en-US" w:eastAsia="zh-CN"/>
              </w:rPr>
            </w:pPr>
            <w:r>
              <w:rPr>
                <w:rFonts w:hint="default"/>
                <w:color w:val="auto"/>
                <w:lang w:val="en-US" w:eastAsia="zh-CN"/>
              </w:rPr>
              <w:t>/</w:t>
            </w:r>
          </w:p>
        </w:tc>
        <w:tc>
          <w:tcPr>
            <w:tcW w:w="639" w:type="pct"/>
            <w:tcBorders>
              <w:tl2br w:val="nil"/>
              <w:tr2bl w:val="nil"/>
            </w:tcBorders>
            <w:noWrap w:val="0"/>
            <w:vAlign w:val="center"/>
          </w:tcPr>
          <w:p w14:paraId="3C4AD564">
            <w:pPr>
              <w:pStyle w:val="16"/>
              <w:bidi w:val="0"/>
              <w:rPr>
                <w:rFonts w:hint="eastAsia"/>
                <w:color w:val="auto"/>
                <w:lang w:val="en-US" w:eastAsia="zh-CN"/>
              </w:rPr>
            </w:pPr>
            <w:r>
              <w:rPr>
                <w:rFonts w:hint="default"/>
                <w:color w:val="auto"/>
                <w:lang w:val="en-US" w:eastAsia="zh-CN"/>
              </w:rPr>
              <w:t>/</w:t>
            </w:r>
          </w:p>
        </w:tc>
      </w:tr>
      <w:tr w14:paraId="5DBB8B4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715D3DA3">
            <w:pPr>
              <w:pStyle w:val="16"/>
              <w:bidi w:val="0"/>
              <w:rPr>
                <w:rFonts w:hint="default"/>
                <w:color w:val="auto"/>
                <w:lang w:val="en-US" w:eastAsia="zh-CN"/>
              </w:rPr>
            </w:pPr>
            <w:r>
              <w:rPr>
                <w:rFonts w:hint="default"/>
                <w:color w:val="auto"/>
                <w:lang w:val="en-US" w:eastAsia="zh-CN"/>
              </w:rPr>
              <w:t>孔隙度</w:t>
            </w:r>
          </w:p>
        </w:tc>
        <w:tc>
          <w:tcPr>
            <w:tcW w:w="1568" w:type="pct"/>
            <w:tcBorders>
              <w:tl2br w:val="nil"/>
              <w:tr2bl w:val="nil"/>
            </w:tcBorders>
            <w:noWrap w:val="0"/>
            <w:vAlign w:val="center"/>
          </w:tcPr>
          <w:p w14:paraId="35B09982">
            <w:pPr>
              <w:pStyle w:val="16"/>
              <w:bidi w:val="0"/>
              <w:rPr>
                <w:rFonts w:hint="default"/>
                <w:color w:val="auto"/>
                <w:lang w:val="en-US" w:eastAsia="zh-CN"/>
              </w:rPr>
            </w:pPr>
            <w:r>
              <w:rPr>
                <w:rFonts w:hint="default"/>
                <w:color w:val="auto"/>
                <w:lang w:val="en-US" w:eastAsia="zh-CN"/>
              </w:rPr>
              <w:t>森林土壤水分-物理性质的测定</w:t>
            </w:r>
          </w:p>
        </w:tc>
        <w:tc>
          <w:tcPr>
            <w:tcW w:w="604" w:type="pct"/>
            <w:tcBorders>
              <w:tl2br w:val="nil"/>
              <w:tr2bl w:val="nil"/>
            </w:tcBorders>
            <w:noWrap w:val="0"/>
            <w:vAlign w:val="center"/>
          </w:tcPr>
          <w:p w14:paraId="041DC522">
            <w:pPr>
              <w:pStyle w:val="16"/>
              <w:bidi w:val="0"/>
              <w:rPr>
                <w:rFonts w:hint="default"/>
                <w:color w:val="auto"/>
                <w:lang w:val="en-US" w:eastAsia="zh-CN"/>
              </w:rPr>
            </w:pPr>
            <w:r>
              <w:rPr>
                <w:rFonts w:hint="default"/>
                <w:color w:val="auto"/>
                <w:lang w:val="en-US" w:eastAsia="zh-CN"/>
              </w:rPr>
              <w:t>LY/T 1215-1999</w:t>
            </w:r>
          </w:p>
        </w:tc>
        <w:tc>
          <w:tcPr>
            <w:tcW w:w="1227" w:type="pct"/>
            <w:tcBorders>
              <w:tl2br w:val="nil"/>
              <w:tr2bl w:val="nil"/>
            </w:tcBorders>
            <w:noWrap w:val="0"/>
            <w:vAlign w:val="center"/>
          </w:tcPr>
          <w:p w14:paraId="72CE1B0D">
            <w:pPr>
              <w:pStyle w:val="16"/>
              <w:bidi w:val="0"/>
              <w:rPr>
                <w:rFonts w:hint="default"/>
                <w:color w:val="auto"/>
              </w:rPr>
            </w:pPr>
            <w:r>
              <w:rPr>
                <w:rFonts w:hint="eastAsia"/>
                <w:color w:val="auto"/>
                <w:lang w:val="en-US" w:eastAsia="zh-CN"/>
              </w:rPr>
              <w:t>Y</w:t>
            </w:r>
            <w:r>
              <w:rPr>
                <w:rFonts w:hint="default"/>
                <w:color w:val="auto"/>
              </w:rPr>
              <w:t>P1002N电子天平</w:t>
            </w:r>
          </w:p>
          <w:p w14:paraId="16D09FD6">
            <w:pPr>
              <w:pStyle w:val="16"/>
              <w:bidi w:val="0"/>
              <w:rPr>
                <w:rFonts w:hint="default"/>
                <w:color w:val="auto"/>
                <w:lang w:val="en-US" w:eastAsia="zh-CN"/>
              </w:rPr>
            </w:pPr>
            <w:r>
              <w:rPr>
                <w:rFonts w:hint="default"/>
                <w:color w:val="auto"/>
                <w:lang w:eastAsia="zh-CN"/>
              </w:rPr>
              <w:t>（</w:t>
            </w:r>
            <w:r>
              <w:rPr>
                <w:rFonts w:hint="default"/>
                <w:color w:val="auto"/>
              </w:rPr>
              <w:t>百分之一</w:t>
            </w:r>
            <w:r>
              <w:rPr>
                <w:rFonts w:hint="default"/>
                <w:color w:val="auto"/>
                <w:lang w:eastAsia="zh-CN"/>
              </w:rPr>
              <w:t>）（</w:t>
            </w:r>
            <w:r>
              <w:rPr>
                <w:rFonts w:hint="default"/>
                <w:color w:val="auto"/>
                <w:lang w:val="en-US" w:eastAsia="zh-CN"/>
              </w:rPr>
              <w:t>HDH/YQ-20-01</w:t>
            </w:r>
            <w:r>
              <w:rPr>
                <w:rFonts w:hint="default"/>
                <w:color w:val="auto"/>
                <w:lang w:eastAsia="zh-CN"/>
              </w:rPr>
              <w:t>）</w:t>
            </w:r>
          </w:p>
        </w:tc>
        <w:tc>
          <w:tcPr>
            <w:tcW w:w="639" w:type="pct"/>
            <w:tcBorders>
              <w:tl2br w:val="nil"/>
              <w:tr2bl w:val="nil"/>
            </w:tcBorders>
            <w:noWrap w:val="0"/>
            <w:vAlign w:val="center"/>
          </w:tcPr>
          <w:p w14:paraId="1EF8DF20">
            <w:pPr>
              <w:pStyle w:val="16"/>
              <w:bidi w:val="0"/>
              <w:rPr>
                <w:rFonts w:hint="eastAsia"/>
                <w:color w:val="auto"/>
                <w:lang w:val="en-US" w:eastAsia="zh-CN"/>
              </w:rPr>
            </w:pPr>
            <w:r>
              <w:rPr>
                <w:rFonts w:hint="default"/>
                <w:color w:val="auto"/>
                <w:lang w:val="en-US" w:eastAsia="zh-CN"/>
              </w:rPr>
              <w:t>/</w:t>
            </w:r>
          </w:p>
        </w:tc>
      </w:tr>
      <w:tr w14:paraId="5AE2190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3C1EEE0A">
            <w:pPr>
              <w:pStyle w:val="16"/>
              <w:bidi w:val="0"/>
              <w:rPr>
                <w:rFonts w:hint="default"/>
                <w:color w:val="auto"/>
                <w:lang w:val="en-US" w:eastAsia="zh-CN"/>
              </w:rPr>
            </w:pPr>
            <w:r>
              <w:rPr>
                <w:rFonts w:hint="default"/>
                <w:color w:val="auto"/>
                <w:lang w:val="en-US" w:eastAsia="zh-CN"/>
              </w:rPr>
              <w:t>阳离子交换量</w:t>
            </w:r>
          </w:p>
        </w:tc>
        <w:tc>
          <w:tcPr>
            <w:tcW w:w="1568" w:type="pct"/>
            <w:tcBorders>
              <w:tl2br w:val="nil"/>
              <w:tr2bl w:val="nil"/>
            </w:tcBorders>
            <w:noWrap w:val="0"/>
            <w:vAlign w:val="center"/>
          </w:tcPr>
          <w:p w14:paraId="09DD95E0">
            <w:pPr>
              <w:pStyle w:val="16"/>
              <w:bidi w:val="0"/>
              <w:rPr>
                <w:rFonts w:hint="default"/>
                <w:color w:val="auto"/>
                <w:lang w:val="en-US" w:eastAsia="zh-CN"/>
              </w:rPr>
            </w:pPr>
            <w:r>
              <w:rPr>
                <w:rFonts w:hint="default"/>
                <w:color w:val="auto"/>
                <w:lang w:val="en-US" w:eastAsia="zh-CN"/>
              </w:rPr>
              <w:t>土壤 阳离子交换量的测定 三氯化六氨合钴浸提-分光光度法</w:t>
            </w:r>
          </w:p>
        </w:tc>
        <w:tc>
          <w:tcPr>
            <w:tcW w:w="604" w:type="pct"/>
            <w:tcBorders>
              <w:tl2br w:val="nil"/>
              <w:tr2bl w:val="nil"/>
            </w:tcBorders>
            <w:noWrap w:val="0"/>
            <w:vAlign w:val="center"/>
          </w:tcPr>
          <w:p w14:paraId="0049940B">
            <w:pPr>
              <w:pStyle w:val="16"/>
              <w:bidi w:val="0"/>
              <w:rPr>
                <w:rFonts w:hint="default"/>
                <w:color w:val="auto"/>
                <w:lang w:val="en-US" w:eastAsia="zh-CN"/>
              </w:rPr>
            </w:pPr>
            <w:r>
              <w:rPr>
                <w:rFonts w:hint="default"/>
                <w:color w:val="auto"/>
                <w:lang w:val="en-US" w:eastAsia="zh-CN"/>
              </w:rPr>
              <w:t>HJ 889-2017</w:t>
            </w:r>
          </w:p>
        </w:tc>
        <w:tc>
          <w:tcPr>
            <w:tcW w:w="1227" w:type="pct"/>
            <w:tcBorders>
              <w:tl2br w:val="nil"/>
              <w:tr2bl w:val="nil"/>
            </w:tcBorders>
            <w:noWrap w:val="0"/>
            <w:vAlign w:val="center"/>
          </w:tcPr>
          <w:p w14:paraId="6A0BB996">
            <w:pPr>
              <w:pStyle w:val="16"/>
              <w:bidi w:val="0"/>
              <w:rPr>
                <w:rFonts w:hint="default"/>
                <w:color w:val="auto"/>
                <w:lang w:eastAsia="zh-CN"/>
              </w:rPr>
            </w:pPr>
            <w:r>
              <w:rPr>
                <w:rFonts w:hint="default"/>
                <w:color w:val="auto"/>
              </w:rPr>
              <w:t>L600离心机</w:t>
            </w:r>
            <w:r>
              <w:rPr>
                <w:rFonts w:hint="default"/>
                <w:color w:val="auto"/>
                <w:lang w:eastAsia="zh-CN"/>
              </w:rPr>
              <w:t>（</w:t>
            </w:r>
            <w:r>
              <w:rPr>
                <w:rFonts w:hint="default"/>
                <w:color w:val="auto"/>
                <w:lang w:val="en-US" w:eastAsia="zh-CN"/>
              </w:rPr>
              <w:t>HDH/YQ-25-01</w:t>
            </w:r>
            <w:r>
              <w:rPr>
                <w:rFonts w:hint="default"/>
                <w:color w:val="auto"/>
                <w:lang w:eastAsia="zh-CN"/>
              </w:rPr>
              <w:t>）</w:t>
            </w:r>
          </w:p>
          <w:p w14:paraId="67183A41">
            <w:pPr>
              <w:pStyle w:val="16"/>
              <w:bidi w:val="0"/>
              <w:rPr>
                <w:rFonts w:hint="default"/>
                <w:color w:val="auto"/>
                <w:lang w:val="en-US" w:eastAsia="zh-CN"/>
              </w:rPr>
            </w:pPr>
            <w:r>
              <w:rPr>
                <w:rFonts w:hint="default"/>
                <w:color w:val="auto"/>
              </w:rPr>
              <w:t>722可见分光光度计</w:t>
            </w:r>
            <w:r>
              <w:rPr>
                <w:rFonts w:hint="default"/>
                <w:color w:val="auto"/>
                <w:lang w:eastAsia="zh-CN"/>
              </w:rPr>
              <w:t>（HDH/YQ-41-01）</w:t>
            </w:r>
          </w:p>
        </w:tc>
        <w:tc>
          <w:tcPr>
            <w:tcW w:w="639" w:type="pct"/>
            <w:tcBorders>
              <w:tl2br w:val="nil"/>
              <w:tr2bl w:val="nil"/>
            </w:tcBorders>
            <w:noWrap w:val="0"/>
            <w:vAlign w:val="center"/>
          </w:tcPr>
          <w:p w14:paraId="0B9EED08">
            <w:pPr>
              <w:pStyle w:val="16"/>
              <w:bidi w:val="0"/>
              <w:rPr>
                <w:rFonts w:hint="default"/>
                <w:color w:val="auto"/>
                <w:lang w:val="en-US" w:eastAsia="zh-CN"/>
              </w:rPr>
            </w:pPr>
            <w:r>
              <w:rPr>
                <w:rFonts w:hint="default"/>
                <w:color w:val="auto"/>
                <w:lang w:val="en-US" w:eastAsia="zh-CN"/>
              </w:rPr>
              <w:t>0.8cmol+/kg</w:t>
            </w:r>
          </w:p>
        </w:tc>
      </w:tr>
      <w:tr w14:paraId="651F8862">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40" w:hRule="atLeast"/>
          <w:jc w:val="center"/>
        </w:trPr>
        <w:tc>
          <w:tcPr>
            <w:tcW w:w="960" w:type="pct"/>
            <w:tcBorders>
              <w:tl2br w:val="nil"/>
              <w:tr2bl w:val="nil"/>
            </w:tcBorders>
            <w:noWrap w:val="0"/>
            <w:vAlign w:val="center"/>
          </w:tcPr>
          <w:p w14:paraId="3EE1D8B6">
            <w:pPr>
              <w:pStyle w:val="16"/>
              <w:bidi w:val="0"/>
              <w:rPr>
                <w:rFonts w:hint="default"/>
                <w:color w:val="auto"/>
                <w:lang w:val="en-US" w:eastAsia="zh-CN"/>
              </w:rPr>
            </w:pPr>
            <w:r>
              <w:rPr>
                <w:rFonts w:hint="default"/>
                <w:color w:val="auto"/>
                <w:lang w:val="en-US" w:eastAsia="zh-CN"/>
              </w:rPr>
              <w:t>氧化还原电位</w:t>
            </w:r>
          </w:p>
        </w:tc>
        <w:tc>
          <w:tcPr>
            <w:tcW w:w="1568" w:type="pct"/>
            <w:tcBorders>
              <w:tl2br w:val="nil"/>
              <w:tr2bl w:val="nil"/>
            </w:tcBorders>
            <w:noWrap w:val="0"/>
            <w:vAlign w:val="center"/>
          </w:tcPr>
          <w:p w14:paraId="0A535AFD">
            <w:pPr>
              <w:pStyle w:val="16"/>
              <w:bidi w:val="0"/>
              <w:rPr>
                <w:rFonts w:hint="default"/>
                <w:color w:val="auto"/>
                <w:lang w:val="en-US" w:eastAsia="zh-CN"/>
              </w:rPr>
            </w:pPr>
            <w:r>
              <w:rPr>
                <w:rFonts w:hint="default"/>
                <w:color w:val="auto"/>
                <w:lang w:val="en-US" w:eastAsia="zh-CN"/>
              </w:rPr>
              <w:t>土壤 氧化还原电位的测定 电位法</w:t>
            </w:r>
          </w:p>
        </w:tc>
        <w:tc>
          <w:tcPr>
            <w:tcW w:w="604" w:type="pct"/>
            <w:tcBorders>
              <w:tl2br w:val="nil"/>
              <w:tr2bl w:val="nil"/>
            </w:tcBorders>
            <w:noWrap w:val="0"/>
            <w:vAlign w:val="center"/>
          </w:tcPr>
          <w:p w14:paraId="07B88B0E">
            <w:pPr>
              <w:pStyle w:val="16"/>
              <w:bidi w:val="0"/>
              <w:rPr>
                <w:rFonts w:hint="default"/>
                <w:color w:val="auto"/>
                <w:lang w:val="en-US" w:eastAsia="zh-CN"/>
              </w:rPr>
            </w:pPr>
            <w:r>
              <w:rPr>
                <w:rFonts w:hint="default"/>
                <w:color w:val="auto"/>
                <w:lang w:val="en-US" w:eastAsia="zh-CN"/>
              </w:rPr>
              <w:t>HJ 746-2015</w:t>
            </w:r>
          </w:p>
        </w:tc>
        <w:tc>
          <w:tcPr>
            <w:tcW w:w="1227" w:type="pct"/>
            <w:tcBorders>
              <w:tl2br w:val="nil"/>
              <w:tr2bl w:val="nil"/>
            </w:tcBorders>
            <w:noWrap w:val="0"/>
            <w:vAlign w:val="center"/>
          </w:tcPr>
          <w:p w14:paraId="37BCEA82">
            <w:pPr>
              <w:pStyle w:val="16"/>
              <w:bidi w:val="0"/>
              <w:rPr>
                <w:rFonts w:hint="default"/>
                <w:color w:val="auto"/>
                <w:lang w:val="en-US" w:eastAsia="zh-CN"/>
              </w:rPr>
            </w:pPr>
            <w:r>
              <w:rPr>
                <w:rFonts w:hint="default"/>
                <w:color w:val="auto"/>
                <w:lang w:val="en-US" w:eastAsia="zh-CN"/>
              </w:rPr>
              <w:t>TR-901土壤ORP计</w:t>
            </w:r>
            <w:r>
              <w:rPr>
                <w:rFonts w:hint="default"/>
                <w:color w:val="auto"/>
                <w:lang w:eastAsia="zh-CN"/>
              </w:rPr>
              <w:t>（HDH/YQ</w:t>
            </w:r>
            <w:r>
              <w:rPr>
                <w:rFonts w:hint="eastAsia"/>
                <w:color w:val="auto"/>
                <w:lang w:val="en-US" w:eastAsia="zh-CN"/>
              </w:rPr>
              <w:t>-125-02</w:t>
            </w:r>
            <w:r>
              <w:rPr>
                <w:rFonts w:hint="default"/>
                <w:color w:val="auto"/>
                <w:lang w:eastAsia="zh-CN"/>
              </w:rPr>
              <w:t>）</w:t>
            </w:r>
          </w:p>
        </w:tc>
        <w:tc>
          <w:tcPr>
            <w:tcW w:w="639" w:type="pct"/>
            <w:tcBorders>
              <w:tl2br w:val="nil"/>
              <w:tr2bl w:val="nil"/>
            </w:tcBorders>
            <w:noWrap w:val="0"/>
            <w:vAlign w:val="center"/>
          </w:tcPr>
          <w:p w14:paraId="08269CCE">
            <w:pPr>
              <w:pStyle w:val="16"/>
              <w:bidi w:val="0"/>
              <w:rPr>
                <w:rFonts w:hint="default"/>
                <w:color w:val="auto"/>
                <w:lang w:val="en-US" w:eastAsia="zh-CN"/>
              </w:rPr>
            </w:pPr>
            <w:r>
              <w:rPr>
                <w:rFonts w:hint="default"/>
                <w:color w:val="auto"/>
                <w:lang w:val="en-US" w:eastAsia="zh-CN"/>
              </w:rPr>
              <w:t>/</w:t>
            </w:r>
          </w:p>
        </w:tc>
      </w:tr>
    </w:tbl>
    <w:p w14:paraId="04D8B7A2">
      <w:pPr>
        <w:bidi w:val="0"/>
        <w:rPr>
          <w:b/>
          <w:bCs/>
          <w:color w:val="auto"/>
        </w:rPr>
      </w:pPr>
      <w:r>
        <w:rPr>
          <w:rFonts w:hint="eastAsia"/>
          <w:b/>
          <w:bCs/>
          <w:color w:val="auto"/>
          <w:lang w:val="en-US" w:eastAsia="zh-CN"/>
        </w:rPr>
        <w:t>3、</w:t>
      </w:r>
      <w:r>
        <w:rPr>
          <w:b/>
          <w:bCs/>
          <w:color w:val="auto"/>
        </w:rPr>
        <w:t>土壤环境质量现状监测及评价结果</w:t>
      </w:r>
    </w:p>
    <w:p w14:paraId="0966D40D">
      <w:pPr>
        <w:pageBreakBefore w:val="0"/>
        <w:wordWrap/>
        <w:bidi w:val="0"/>
        <w:adjustRightInd/>
        <w:snapToGrid/>
        <w:spacing w:line="500" w:lineRule="exact"/>
        <w:ind w:firstLine="480" w:firstLineChars="0"/>
        <w:rPr>
          <w:color w:val="auto"/>
        </w:rPr>
      </w:pPr>
      <w:r>
        <w:rPr>
          <w:color w:val="auto"/>
        </w:rPr>
        <w:t>根据以上数据，区域</w:t>
      </w:r>
      <w:r>
        <w:rPr>
          <w:rFonts w:hint="eastAsia"/>
          <w:color w:val="auto"/>
          <w:lang w:val="en-US" w:eastAsia="zh-CN"/>
        </w:rPr>
        <w:t>1#-4#点位</w:t>
      </w:r>
      <w:r>
        <w:rPr>
          <w:color w:val="auto"/>
        </w:rPr>
        <w:t>土壤环境质量满足《土壤环境质量 建设用地土壤污染风险管控标准（试行）》（GB36600-2018）中筛选值第二类用地限值要求，</w:t>
      </w:r>
      <w:r>
        <w:rPr>
          <w:rFonts w:hint="eastAsia"/>
          <w:color w:val="auto"/>
          <w:lang w:val="en-US" w:eastAsia="zh-CN"/>
        </w:rPr>
        <w:t>5#、6#点位</w:t>
      </w:r>
      <w:r>
        <w:rPr>
          <w:color w:val="auto"/>
        </w:rPr>
        <w:t>土壤环境质量满足</w:t>
      </w:r>
      <w:r>
        <w:rPr>
          <w:rFonts w:hint="eastAsia"/>
          <w:color w:val="auto"/>
        </w:rPr>
        <w:t>《土壤环境质量 农用地土壤污染风险管控标准（试行）》（GB15618-2018）要求</w:t>
      </w:r>
      <w:r>
        <w:rPr>
          <w:rFonts w:hint="eastAsia"/>
          <w:color w:val="auto"/>
          <w:lang w:eastAsia="zh-CN"/>
        </w:rPr>
        <w:t>，</w:t>
      </w:r>
      <w:r>
        <w:rPr>
          <w:color w:val="auto"/>
        </w:rPr>
        <w:t>表明评价区域内土壤环境质量较好。</w:t>
      </w:r>
    </w:p>
    <w:p w14:paraId="44AC6D76">
      <w:pPr>
        <w:spacing w:line="360" w:lineRule="auto"/>
        <w:ind w:firstLine="482" w:firstLineChars="200"/>
        <w:rPr>
          <w:rFonts w:ascii="Times New Roman" w:hAnsi="Times New Roman"/>
          <w:b/>
          <w:bCs/>
          <w:color w:val="auto"/>
          <w:sz w:val="24"/>
          <w:szCs w:val="24"/>
        </w:rPr>
      </w:pPr>
      <w:r>
        <w:rPr>
          <w:rFonts w:hint="eastAsia"/>
          <w:b/>
          <w:bCs/>
          <w:color w:val="auto"/>
          <w:sz w:val="24"/>
          <w:szCs w:val="24"/>
          <w:lang w:val="en-US" w:eastAsia="zh-CN"/>
        </w:rPr>
        <w:t>4</w:t>
      </w:r>
      <w:r>
        <w:rPr>
          <w:rFonts w:hint="eastAsia" w:ascii="Times New Roman" w:hAnsi="Times New Roman"/>
          <w:b/>
          <w:bCs/>
          <w:color w:val="auto"/>
          <w:sz w:val="24"/>
          <w:szCs w:val="24"/>
          <w:lang w:val="en-US" w:eastAsia="zh-CN"/>
        </w:rPr>
        <w:t>、</w:t>
      </w:r>
      <w:r>
        <w:rPr>
          <w:rFonts w:ascii="Times New Roman" w:hAnsi="Times New Roman"/>
          <w:b/>
          <w:bCs/>
          <w:color w:val="auto"/>
          <w:sz w:val="24"/>
          <w:szCs w:val="24"/>
        </w:rPr>
        <w:t>土壤理化特性调查</w:t>
      </w:r>
    </w:p>
    <w:p w14:paraId="4C61B41D">
      <w:pPr>
        <w:pStyle w:val="5"/>
        <w:bidi w:val="0"/>
        <w:rPr>
          <w:color w:val="auto"/>
        </w:rPr>
      </w:pPr>
      <w:r>
        <w:rPr>
          <w:rFonts w:ascii="Times New Roman" w:hAnsi="Times New Roman"/>
          <w:color w:val="auto"/>
          <w:sz w:val="24"/>
          <w:szCs w:val="24"/>
        </w:rPr>
        <w:t>为了解本项目区土壤理化特性，委托</w:t>
      </w:r>
      <w:r>
        <w:rPr>
          <w:rFonts w:hint="eastAsia" w:ascii="Times New Roman"/>
          <w:color w:val="auto"/>
          <w:sz w:val="24"/>
          <w:szCs w:val="24"/>
        </w:rPr>
        <w:t>四川海德汇环保科技有限公司</w:t>
      </w:r>
      <w:r>
        <w:rPr>
          <w:rFonts w:ascii="Times New Roman" w:hAnsi="Times New Roman"/>
          <w:color w:val="auto"/>
          <w:sz w:val="24"/>
          <w:szCs w:val="24"/>
        </w:rPr>
        <w:t>对</w:t>
      </w:r>
      <w:r>
        <w:rPr>
          <w:rFonts w:hint="eastAsia"/>
          <w:color w:val="auto"/>
          <w:sz w:val="24"/>
          <w:szCs w:val="24"/>
          <w:lang w:eastAsia="zh-CN"/>
        </w:rPr>
        <w:t>土壤</w:t>
      </w:r>
      <w:r>
        <w:rPr>
          <w:rFonts w:ascii="Times New Roman" w:hAnsi="Times New Roman"/>
          <w:color w:val="auto"/>
          <w:sz w:val="24"/>
          <w:szCs w:val="24"/>
        </w:rPr>
        <w:t>理化性质进行监测、调查。</w:t>
      </w:r>
      <w:r>
        <w:rPr>
          <w:rFonts w:hint="eastAsia" w:ascii="Times New Roman" w:hAnsi="Times New Roman"/>
          <w:color w:val="auto"/>
          <w:sz w:val="24"/>
          <w:szCs w:val="24"/>
        </w:rPr>
        <w:t>调查结果如下表所示。</w:t>
      </w:r>
    </w:p>
    <w:p w14:paraId="3ACBBC19">
      <w:pPr>
        <w:pStyle w:val="5"/>
        <w:bidi w:val="0"/>
        <w:rPr>
          <w:color w:val="auto"/>
        </w:rPr>
      </w:pPr>
      <w:r>
        <w:rPr>
          <w:rFonts w:hint="eastAsia"/>
          <w:color w:val="auto"/>
          <w:lang w:val="en-US" w:eastAsia="zh-CN"/>
        </w:rPr>
        <w:t xml:space="preserve"> </w:t>
      </w:r>
      <w:r>
        <w:rPr>
          <w:color w:val="auto"/>
        </w:rPr>
        <w:t>河道底泥环境质量现状监测与评价</w:t>
      </w:r>
    </w:p>
    <w:p w14:paraId="30BFB969">
      <w:pPr>
        <w:bidi w:val="0"/>
        <w:rPr>
          <w:b/>
          <w:bCs/>
          <w:color w:val="auto"/>
        </w:rPr>
      </w:pPr>
      <w:r>
        <w:rPr>
          <w:b/>
          <w:bCs/>
          <w:color w:val="auto"/>
        </w:rPr>
        <w:t>1、监测点位</w:t>
      </w:r>
    </w:p>
    <w:p w14:paraId="5D3815D5">
      <w:pPr>
        <w:bidi w:val="0"/>
        <w:rPr>
          <w:color w:val="auto"/>
        </w:rPr>
      </w:pPr>
      <w:r>
        <w:rPr>
          <w:color w:val="auto"/>
        </w:rPr>
        <w:t>本次环评在拟建污水处理厂排污口</w:t>
      </w:r>
      <w:r>
        <w:rPr>
          <w:rFonts w:hint="eastAsia"/>
          <w:color w:val="auto"/>
          <w:lang w:val="en-US" w:eastAsia="zh-CN"/>
        </w:rPr>
        <w:t>处</w:t>
      </w:r>
      <w:r>
        <w:rPr>
          <w:color w:val="auto"/>
        </w:rPr>
        <w:t>设一个河道底泥监测点，具体详见下表。</w:t>
      </w:r>
    </w:p>
    <w:p w14:paraId="3A4E38BF">
      <w:pPr>
        <w:pStyle w:val="19"/>
        <w:keepNext w:val="0"/>
        <w:keepLines w:val="0"/>
        <w:pageBreakBefore w:val="0"/>
        <w:widowControl w:val="0"/>
        <w:numPr>
          <w:ilvl w:val="0"/>
          <w:numId w:val="28"/>
        </w:numPr>
        <w:kinsoku/>
        <w:wordWrap/>
        <w:overflowPunct/>
        <w:topLinePunct w:val="0"/>
        <w:autoSpaceDE/>
        <w:autoSpaceDN/>
        <w:bidi w:val="0"/>
        <w:adjustRightInd/>
        <w:snapToGrid/>
        <w:spacing w:before="0"/>
        <w:textAlignment w:val="auto"/>
        <w:rPr>
          <w:color w:val="auto"/>
        </w:rPr>
      </w:pPr>
      <w:r>
        <w:rPr>
          <w:color w:val="auto"/>
        </w:rPr>
        <w:t>底泥监测点位表</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57" w:type="dxa"/>
          <w:bottom w:w="0" w:type="dxa"/>
          <w:right w:w="57" w:type="dxa"/>
        </w:tblCellMar>
      </w:tblPr>
      <w:tblGrid>
        <w:gridCol w:w="1031"/>
        <w:gridCol w:w="1840"/>
        <w:gridCol w:w="3705"/>
        <w:gridCol w:w="2042"/>
      </w:tblGrid>
      <w:tr w14:paraId="5327A26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97" w:hRule="atLeast"/>
          <w:jc w:val="center"/>
        </w:trPr>
        <w:tc>
          <w:tcPr>
            <w:tcW w:w="598" w:type="pct"/>
            <w:tcBorders>
              <w:tl2br w:val="nil"/>
              <w:tr2bl w:val="nil"/>
            </w:tcBorders>
            <w:noWrap w:val="0"/>
            <w:vAlign w:val="center"/>
          </w:tcPr>
          <w:p w14:paraId="5FE235FC">
            <w:pPr>
              <w:pStyle w:val="16"/>
              <w:bidi w:val="0"/>
              <w:rPr>
                <w:rFonts w:hint="default"/>
                <w:b/>
                <w:bCs/>
                <w:color w:val="auto"/>
                <w:lang w:val="en-US" w:eastAsia="zh-CN"/>
              </w:rPr>
            </w:pPr>
            <w:r>
              <w:rPr>
                <w:rFonts w:hint="default"/>
                <w:b/>
                <w:bCs/>
                <w:color w:val="auto"/>
              </w:rPr>
              <w:t>点位编号</w:t>
            </w:r>
          </w:p>
        </w:tc>
        <w:tc>
          <w:tcPr>
            <w:tcW w:w="1067" w:type="pct"/>
            <w:tcBorders>
              <w:tl2br w:val="nil"/>
              <w:tr2bl w:val="nil"/>
            </w:tcBorders>
            <w:noWrap w:val="0"/>
            <w:vAlign w:val="center"/>
          </w:tcPr>
          <w:p w14:paraId="65899AD3">
            <w:pPr>
              <w:pStyle w:val="16"/>
              <w:bidi w:val="0"/>
              <w:rPr>
                <w:rFonts w:hint="default"/>
                <w:b/>
                <w:bCs/>
                <w:color w:val="auto"/>
                <w:lang w:val="en-US" w:eastAsia="zh-CN"/>
              </w:rPr>
            </w:pPr>
            <w:r>
              <w:rPr>
                <w:rFonts w:hint="default"/>
                <w:b/>
                <w:bCs/>
                <w:color w:val="auto"/>
              </w:rPr>
              <w:t>检测点</w:t>
            </w:r>
            <w:r>
              <w:rPr>
                <w:rFonts w:hint="default"/>
                <w:b/>
                <w:bCs/>
                <w:color w:val="auto"/>
                <w:lang w:val="en-US" w:eastAsia="zh-CN"/>
              </w:rPr>
              <w:t>位</w:t>
            </w:r>
          </w:p>
        </w:tc>
        <w:tc>
          <w:tcPr>
            <w:tcW w:w="2149" w:type="pct"/>
            <w:tcBorders>
              <w:tl2br w:val="nil"/>
              <w:tr2bl w:val="nil"/>
            </w:tcBorders>
            <w:noWrap w:val="0"/>
            <w:vAlign w:val="center"/>
          </w:tcPr>
          <w:p w14:paraId="5F2D15D8">
            <w:pPr>
              <w:pStyle w:val="16"/>
              <w:bidi w:val="0"/>
              <w:rPr>
                <w:rFonts w:hint="default"/>
                <w:b/>
                <w:bCs/>
                <w:color w:val="auto"/>
              </w:rPr>
            </w:pPr>
            <w:r>
              <w:rPr>
                <w:rFonts w:hint="default"/>
                <w:b/>
                <w:bCs/>
                <w:color w:val="auto"/>
              </w:rPr>
              <w:t>检测项目</w:t>
            </w:r>
          </w:p>
        </w:tc>
        <w:tc>
          <w:tcPr>
            <w:tcW w:w="1184" w:type="pct"/>
            <w:tcBorders>
              <w:tl2br w:val="nil"/>
              <w:tr2bl w:val="nil"/>
            </w:tcBorders>
            <w:noWrap w:val="0"/>
            <w:vAlign w:val="center"/>
          </w:tcPr>
          <w:p w14:paraId="1573C2AE">
            <w:pPr>
              <w:pStyle w:val="16"/>
              <w:bidi w:val="0"/>
              <w:rPr>
                <w:rFonts w:hint="default"/>
                <w:b/>
                <w:bCs/>
                <w:color w:val="auto"/>
              </w:rPr>
            </w:pPr>
            <w:r>
              <w:rPr>
                <w:rFonts w:hint="default"/>
                <w:b/>
                <w:bCs/>
                <w:color w:val="auto"/>
              </w:rPr>
              <w:t>检测频次</w:t>
            </w:r>
          </w:p>
        </w:tc>
      </w:tr>
      <w:tr w14:paraId="10EA6AD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57" w:type="dxa"/>
            <w:bottom w:w="0" w:type="dxa"/>
            <w:right w:w="57" w:type="dxa"/>
          </w:tblCellMar>
        </w:tblPrEx>
        <w:trPr>
          <w:trHeight w:val="397" w:hRule="atLeast"/>
          <w:jc w:val="center"/>
        </w:trPr>
        <w:tc>
          <w:tcPr>
            <w:tcW w:w="598" w:type="pct"/>
            <w:tcBorders>
              <w:tl2br w:val="nil"/>
              <w:tr2bl w:val="nil"/>
            </w:tcBorders>
            <w:noWrap w:val="0"/>
            <w:vAlign w:val="center"/>
          </w:tcPr>
          <w:p w14:paraId="0B4A57F0">
            <w:pPr>
              <w:pStyle w:val="16"/>
              <w:bidi w:val="0"/>
              <w:rPr>
                <w:rFonts w:hint="default"/>
                <w:color w:val="auto"/>
                <w:lang w:val="en-US" w:eastAsia="zh-CN"/>
              </w:rPr>
            </w:pPr>
            <w:r>
              <w:rPr>
                <w:rFonts w:hint="default"/>
                <w:color w:val="auto"/>
                <w:lang w:val="en-US" w:eastAsia="zh-CN"/>
              </w:rPr>
              <w:t>⊕1#</w:t>
            </w:r>
          </w:p>
        </w:tc>
        <w:tc>
          <w:tcPr>
            <w:tcW w:w="1067" w:type="pct"/>
            <w:tcBorders>
              <w:tl2br w:val="nil"/>
              <w:tr2bl w:val="nil"/>
            </w:tcBorders>
            <w:noWrap w:val="0"/>
            <w:vAlign w:val="center"/>
          </w:tcPr>
          <w:p w14:paraId="2BAFED9E">
            <w:pPr>
              <w:pStyle w:val="16"/>
              <w:bidi w:val="0"/>
              <w:rPr>
                <w:rFonts w:hint="default"/>
                <w:color w:val="auto"/>
                <w:lang w:val="en-US" w:eastAsia="zh-CN"/>
              </w:rPr>
            </w:pPr>
            <w:r>
              <w:rPr>
                <w:rFonts w:hint="eastAsia"/>
                <w:color w:val="auto"/>
                <w:lang w:val="en-US" w:eastAsia="zh-CN"/>
              </w:rPr>
              <w:t>排污口处（底泥）</w:t>
            </w:r>
          </w:p>
        </w:tc>
        <w:tc>
          <w:tcPr>
            <w:tcW w:w="2149" w:type="pct"/>
            <w:tcBorders>
              <w:tl2br w:val="nil"/>
              <w:tr2bl w:val="nil"/>
            </w:tcBorders>
            <w:noWrap w:val="0"/>
            <w:vAlign w:val="center"/>
          </w:tcPr>
          <w:p w14:paraId="4C3A6EDE">
            <w:pPr>
              <w:pStyle w:val="16"/>
              <w:bidi w:val="0"/>
              <w:rPr>
                <w:rFonts w:hint="default"/>
                <w:color w:val="auto"/>
                <w:lang w:val="en-US" w:eastAsia="zh-CN"/>
              </w:rPr>
            </w:pPr>
            <w:r>
              <w:rPr>
                <w:rFonts w:hint="default"/>
                <w:color w:val="auto"/>
              </w:rPr>
              <w:t>pH</w:t>
            </w:r>
            <w:r>
              <w:rPr>
                <w:rFonts w:hint="default"/>
                <w:color w:val="auto"/>
                <w:lang w:eastAsia="zh-CN"/>
              </w:rPr>
              <w:t>、</w:t>
            </w:r>
            <w:r>
              <w:rPr>
                <w:rFonts w:hint="eastAsia"/>
                <w:color w:val="auto"/>
                <w:lang w:val="en-US" w:eastAsia="zh-CN"/>
              </w:rPr>
              <w:t>砷、镉、</w:t>
            </w:r>
            <w:r>
              <w:rPr>
                <w:rFonts w:hint="default"/>
                <w:color w:val="auto"/>
              </w:rPr>
              <w:t>六价铬、</w:t>
            </w:r>
            <w:r>
              <w:rPr>
                <w:rFonts w:hint="eastAsia"/>
                <w:color w:val="auto"/>
                <w:lang w:val="en-US" w:eastAsia="zh-CN"/>
              </w:rPr>
              <w:t>铜、铅、汞、镍</w:t>
            </w:r>
          </w:p>
        </w:tc>
        <w:tc>
          <w:tcPr>
            <w:tcW w:w="1184" w:type="pct"/>
            <w:tcBorders>
              <w:tl2br w:val="nil"/>
              <w:tr2bl w:val="nil"/>
            </w:tcBorders>
            <w:noWrap w:val="0"/>
            <w:vAlign w:val="center"/>
          </w:tcPr>
          <w:p w14:paraId="78438189">
            <w:pPr>
              <w:pStyle w:val="16"/>
              <w:bidi w:val="0"/>
              <w:rPr>
                <w:rFonts w:hint="default"/>
                <w:color w:val="auto"/>
                <w:lang w:val="en-US" w:eastAsia="zh-CN"/>
              </w:rPr>
            </w:pPr>
            <w:r>
              <w:rPr>
                <w:rFonts w:hint="default"/>
                <w:color w:val="auto"/>
              </w:rPr>
              <w:t>检测</w:t>
            </w:r>
            <w:r>
              <w:rPr>
                <w:rFonts w:hint="eastAsia"/>
                <w:color w:val="auto"/>
                <w:lang w:val="en-US" w:eastAsia="zh-CN"/>
              </w:rPr>
              <w:t>1</w:t>
            </w:r>
            <w:r>
              <w:rPr>
                <w:rFonts w:hint="default"/>
                <w:color w:val="auto"/>
              </w:rPr>
              <w:t>天，</w:t>
            </w:r>
            <w:r>
              <w:rPr>
                <w:rFonts w:hint="default"/>
                <w:color w:val="auto"/>
                <w:lang w:val="en-US" w:eastAsia="zh-CN"/>
              </w:rPr>
              <w:t>每天</w:t>
            </w:r>
            <w:r>
              <w:rPr>
                <w:rFonts w:hint="eastAsia"/>
                <w:color w:val="auto"/>
                <w:lang w:val="en-US" w:eastAsia="zh-CN"/>
              </w:rPr>
              <w:t>1</w:t>
            </w:r>
            <w:r>
              <w:rPr>
                <w:rFonts w:hint="default"/>
                <w:color w:val="auto"/>
                <w:lang w:val="en-US" w:eastAsia="zh-CN"/>
              </w:rPr>
              <w:t>次</w:t>
            </w:r>
          </w:p>
        </w:tc>
      </w:tr>
    </w:tbl>
    <w:p w14:paraId="20282CAA">
      <w:pPr>
        <w:bidi w:val="0"/>
        <w:rPr>
          <w:rFonts w:hint="default" w:eastAsia="宋体"/>
          <w:color w:val="auto"/>
          <w:lang w:val="en-US" w:eastAsia="zh-CN"/>
        </w:rPr>
      </w:pPr>
      <w:r>
        <w:rPr>
          <w:color w:val="auto"/>
        </w:rPr>
        <w:t>2、监测因子</w:t>
      </w:r>
      <w:r>
        <w:rPr>
          <w:rFonts w:hint="eastAsia"/>
          <w:color w:val="auto"/>
          <w:lang w:val="en-US" w:eastAsia="zh-CN"/>
        </w:rPr>
        <w:t>和监测方法</w:t>
      </w:r>
    </w:p>
    <w:p w14:paraId="736F2A8E">
      <w:pPr>
        <w:bidi w:val="0"/>
        <w:rPr>
          <w:rFonts w:hint="eastAsia"/>
          <w:color w:val="auto"/>
          <w:lang w:val="en-US" w:eastAsia="zh-CN"/>
        </w:rPr>
      </w:pPr>
      <w:r>
        <w:rPr>
          <w:rFonts w:hint="default"/>
          <w:color w:val="auto"/>
        </w:rPr>
        <w:t>pH</w:t>
      </w:r>
      <w:r>
        <w:rPr>
          <w:rFonts w:hint="default"/>
          <w:color w:val="auto"/>
          <w:lang w:eastAsia="zh-CN"/>
        </w:rPr>
        <w:t>、</w:t>
      </w:r>
      <w:r>
        <w:rPr>
          <w:rFonts w:hint="eastAsia"/>
          <w:color w:val="auto"/>
          <w:lang w:val="en-US" w:eastAsia="zh-CN"/>
        </w:rPr>
        <w:t>砷、镉、</w:t>
      </w:r>
      <w:r>
        <w:rPr>
          <w:rFonts w:hint="default"/>
          <w:color w:val="auto"/>
        </w:rPr>
        <w:t>六价铬、</w:t>
      </w:r>
      <w:r>
        <w:rPr>
          <w:rFonts w:hint="eastAsia"/>
          <w:color w:val="auto"/>
          <w:lang w:val="en-US" w:eastAsia="zh-CN"/>
        </w:rPr>
        <w:t>铜、铅、汞、镍</w:t>
      </w:r>
      <w:r>
        <w:rPr>
          <w:color w:val="auto"/>
        </w:rPr>
        <w:t>，共计</w:t>
      </w:r>
      <w:r>
        <w:rPr>
          <w:rFonts w:hint="eastAsia"/>
          <w:color w:val="auto"/>
          <w:lang w:val="en-US" w:eastAsia="zh-CN"/>
        </w:rPr>
        <w:t>8</w:t>
      </w:r>
      <w:r>
        <w:rPr>
          <w:color w:val="auto"/>
        </w:rPr>
        <w:t>项</w:t>
      </w:r>
      <w:r>
        <w:rPr>
          <w:rFonts w:hint="eastAsia"/>
          <w:color w:val="auto"/>
          <w:lang w:eastAsia="zh-CN"/>
        </w:rPr>
        <w:t>，</w:t>
      </w:r>
      <w:r>
        <w:rPr>
          <w:rFonts w:hint="eastAsia"/>
          <w:color w:val="auto"/>
          <w:lang w:val="en-US" w:eastAsia="zh-CN"/>
        </w:rPr>
        <w:t>监测方法如下。</w:t>
      </w:r>
    </w:p>
    <w:p w14:paraId="196068A2">
      <w:pPr>
        <w:pStyle w:val="19"/>
        <w:keepNext w:val="0"/>
        <w:keepLines w:val="0"/>
        <w:pageBreakBefore w:val="0"/>
        <w:widowControl w:val="0"/>
        <w:numPr>
          <w:ilvl w:val="0"/>
          <w:numId w:val="28"/>
        </w:numPr>
        <w:kinsoku/>
        <w:wordWrap/>
        <w:overflowPunct/>
        <w:topLinePunct w:val="0"/>
        <w:autoSpaceDE/>
        <w:autoSpaceDN/>
        <w:bidi w:val="0"/>
        <w:adjustRightInd/>
        <w:snapToGrid/>
        <w:spacing w:before="0"/>
        <w:textAlignment w:val="auto"/>
        <w:rPr>
          <w:rFonts w:hint="eastAsia"/>
          <w:color w:val="auto"/>
          <w:lang w:val="en-US" w:eastAsia="zh-CN"/>
        </w:rPr>
      </w:pPr>
      <w:r>
        <w:rPr>
          <w:rFonts w:hint="eastAsia"/>
          <w:color w:val="auto"/>
        </w:rPr>
        <w:t>检测方法及方法来源</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28" w:type="dxa"/>
          <w:bottom w:w="0" w:type="dxa"/>
          <w:right w:w="28" w:type="dxa"/>
        </w:tblCellMar>
      </w:tblPr>
      <w:tblGrid>
        <w:gridCol w:w="1235"/>
        <w:gridCol w:w="2461"/>
        <w:gridCol w:w="1772"/>
        <w:gridCol w:w="2022"/>
        <w:gridCol w:w="1067"/>
      </w:tblGrid>
      <w:tr w14:paraId="0DC87F8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tblHeader/>
          <w:jc w:val="center"/>
        </w:trPr>
        <w:tc>
          <w:tcPr>
            <w:tcW w:w="733" w:type="pct"/>
            <w:tcBorders>
              <w:tl2br w:val="nil"/>
              <w:tr2bl w:val="nil"/>
            </w:tcBorders>
            <w:noWrap w:val="0"/>
            <w:vAlign w:val="center"/>
          </w:tcPr>
          <w:p w14:paraId="1D1F215A">
            <w:pPr>
              <w:pStyle w:val="16"/>
              <w:bidi w:val="0"/>
              <w:rPr>
                <w:rFonts w:hint="eastAsia"/>
                <w:b/>
                <w:bCs/>
                <w:color w:val="auto"/>
                <w:lang w:eastAsia="zh-CN"/>
              </w:rPr>
            </w:pPr>
            <w:r>
              <w:rPr>
                <w:rFonts w:hint="default"/>
                <w:b/>
                <w:bCs/>
                <w:color w:val="auto"/>
              </w:rPr>
              <w:t>检测</w:t>
            </w:r>
            <w:r>
              <w:rPr>
                <w:rFonts w:hint="eastAsia"/>
                <w:b/>
                <w:bCs/>
                <w:color w:val="auto"/>
                <w:lang w:val="en-US" w:eastAsia="zh-CN"/>
              </w:rPr>
              <w:t>项目</w:t>
            </w:r>
          </w:p>
        </w:tc>
        <w:tc>
          <w:tcPr>
            <w:tcW w:w="1449" w:type="pct"/>
            <w:tcBorders>
              <w:tl2br w:val="nil"/>
              <w:tr2bl w:val="nil"/>
            </w:tcBorders>
            <w:noWrap w:val="0"/>
            <w:vAlign w:val="center"/>
          </w:tcPr>
          <w:p w14:paraId="109AD1A2">
            <w:pPr>
              <w:pStyle w:val="16"/>
              <w:bidi w:val="0"/>
              <w:rPr>
                <w:rFonts w:hint="default"/>
                <w:b/>
                <w:bCs/>
                <w:color w:val="auto"/>
              </w:rPr>
            </w:pPr>
            <w:r>
              <w:rPr>
                <w:rFonts w:hint="default"/>
                <w:b/>
                <w:bCs/>
                <w:color w:val="auto"/>
              </w:rPr>
              <w:t>检测方法</w:t>
            </w:r>
          </w:p>
        </w:tc>
        <w:tc>
          <w:tcPr>
            <w:tcW w:w="1046" w:type="pct"/>
            <w:tcBorders>
              <w:tl2br w:val="nil"/>
              <w:tr2bl w:val="nil"/>
            </w:tcBorders>
            <w:noWrap w:val="0"/>
            <w:vAlign w:val="center"/>
          </w:tcPr>
          <w:p w14:paraId="0CEAEB49">
            <w:pPr>
              <w:pStyle w:val="16"/>
              <w:bidi w:val="0"/>
              <w:rPr>
                <w:rFonts w:hint="default"/>
                <w:b/>
                <w:bCs/>
                <w:color w:val="auto"/>
              </w:rPr>
            </w:pPr>
            <w:r>
              <w:rPr>
                <w:rFonts w:hint="default"/>
                <w:b/>
                <w:bCs/>
                <w:color w:val="auto"/>
              </w:rPr>
              <w:t>方法来源</w:t>
            </w:r>
          </w:p>
        </w:tc>
        <w:tc>
          <w:tcPr>
            <w:tcW w:w="1192" w:type="pct"/>
            <w:tcBorders>
              <w:tl2br w:val="nil"/>
              <w:tr2bl w:val="nil"/>
            </w:tcBorders>
            <w:noWrap w:val="0"/>
            <w:vAlign w:val="center"/>
          </w:tcPr>
          <w:p w14:paraId="63BDBD87">
            <w:pPr>
              <w:pStyle w:val="16"/>
              <w:bidi w:val="0"/>
              <w:rPr>
                <w:rFonts w:hint="default"/>
                <w:b/>
                <w:bCs/>
                <w:color w:val="auto"/>
              </w:rPr>
            </w:pPr>
            <w:r>
              <w:rPr>
                <w:rFonts w:hint="default"/>
                <w:b/>
                <w:bCs/>
                <w:color w:val="auto"/>
              </w:rPr>
              <w:t>使用仪器及编号</w:t>
            </w:r>
          </w:p>
        </w:tc>
        <w:tc>
          <w:tcPr>
            <w:tcW w:w="577" w:type="pct"/>
            <w:tcBorders>
              <w:tl2br w:val="nil"/>
              <w:tr2bl w:val="nil"/>
            </w:tcBorders>
            <w:noWrap w:val="0"/>
            <w:vAlign w:val="center"/>
          </w:tcPr>
          <w:p w14:paraId="55E98E11">
            <w:pPr>
              <w:pStyle w:val="16"/>
              <w:bidi w:val="0"/>
              <w:rPr>
                <w:rFonts w:hint="default"/>
                <w:b/>
                <w:bCs/>
                <w:color w:val="auto"/>
              </w:rPr>
            </w:pPr>
            <w:r>
              <w:rPr>
                <w:rFonts w:hint="default"/>
                <w:b/>
                <w:bCs/>
                <w:color w:val="auto"/>
              </w:rPr>
              <w:t>检出限</w:t>
            </w:r>
          </w:p>
        </w:tc>
      </w:tr>
      <w:tr w14:paraId="1320DC8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733" w:type="pct"/>
            <w:tcBorders>
              <w:tl2br w:val="nil"/>
              <w:tr2bl w:val="nil"/>
            </w:tcBorders>
            <w:noWrap w:val="0"/>
            <w:vAlign w:val="center"/>
          </w:tcPr>
          <w:p w14:paraId="595E9A60">
            <w:pPr>
              <w:pStyle w:val="16"/>
              <w:bidi w:val="0"/>
              <w:rPr>
                <w:rFonts w:hint="default"/>
                <w:color w:val="auto"/>
                <w:lang w:val="en-US" w:eastAsia="zh-CN"/>
              </w:rPr>
            </w:pPr>
            <w:r>
              <w:rPr>
                <w:rFonts w:hint="default"/>
                <w:color w:val="auto"/>
                <w:lang w:val="en-US" w:eastAsia="zh-CN"/>
              </w:rPr>
              <w:t>pH</w:t>
            </w:r>
          </w:p>
        </w:tc>
        <w:tc>
          <w:tcPr>
            <w:tcW w:w="1449" w:type="pct"/>
            <w:tcBorders>
              <w:tl2br w:val="nil"/>
              <w:tr2bl w:val="nil"/>
            </w:tcBorders>
            <w:noWrap w:val="0"/>
            <w:vAlign w:val="center"/>
          </w:tcPr>
          <w:p w14:paraId="0779AFB0">
            <w:pPr>
              <w:pStyle w:val="16"/>
              <w:bidi w:val="0"/>
              <w:rPr>
                <w:rFonts w:hint="default"/>
                <w:color w:val="auto"/>
                <w:lang w:val="en-US" w:eastAsia="zh-CN"/>
              </w:rPr>
            </w:pPr>
            <w:r>
              <w:rPr>
                <w:rFonts w:hint="default"/>
                <w:color w:val="auto"/>
                <w:lang w:val="en-US" w:eastAsia="zh-CN"/>
              </w:rPr>
              <w:t>城镇污泥标准检验方法</w:t>
            </w:r>
          </w:p>
        </w:tc>
        <w:tc>
          <w:tcPr>
            <w:tcW w:w="1046" w:type="pct"/>
            <w:tcBorders>
              <w:tl2br w:val="nil"/>
              <w:tr2bl w:val="nil"/>
            </w:tcBorders>
            <w:noWrap w:val="0"/>
            <w:vAlign w:val="center"/>
          </w:tcPr>
          <w:p w14:paraId="11DFF73E">
            <w:pPr>
              <w:pStyle w:val="16"/>
              <w:bidi w:val="0"/>
              <w:rPr>
                <w:rFonts w:hint="default"/>
                <w:color w:val="auto"/>
                <w:lang w:val="en-US" w:eastAsia="zh-CN"/>
              </w:rPr>
            </w:pPr>
            <w:r>
              <w:rPr>
                <w:rFonts w:hint="default"/>
                <w:color w:val="auto"/>
                <w:lang w:val="en-US" w:eastAsia="zh-CN"/>
              </w:rPr>
              <w:t>CJ/T</w:t>
            </w:r>
            <w:r>
              <w:rPr>
                <w:rFonts w:hint="eastAsia"/>
                <w:color w:val="auto"/>
                <w:lang w:val="en-US" w:eastAsia="zh-CN"/>
              </w:rPr>
              <w:t xml:space="preserve"> </w:t>
            </w:r>
            <w:r>
              <w:rPr>
                <w:rFonts w:hint="default"/>
                <w:color w:val="auto"/>
                <w:lang w:val="en-US" w:eastAsia="zh-CN"/>
              </w:rPr>
              <w:t>221-2023</w:t>
            </w:r>
          </w:p>
        </w:tc>
        <w:tc>
          <w:tcPr>
            <w:tcW w:w="1192" w:type="pct"/>
            <w:tcBorders>
              <w:tl2br w:val="nil"/>
              <w:tr2bl w:val="nil"/>
            </w:tcBorders>
            <w:noWrap w:val="0"/>
            <w:vAlign w:val="center"/>
          </w:tcPr>
          <w:p w14:paraId="2760C9A0">
            <w:pPr>
              <w:pStyle w:val="16"/>
              <w:bidi w:val="0"/>
              <w:rPr>
                <w:rFonts w:hint="default"/>
                <w:color w:val="auto"/>
                <w:lang w:val="en-US" w:eastAsia="zh-CN"/>
              </w:rPr>
            </w:pPr>
            <w:r>
              <w:rPr>
                <w:rFonts w:hint="default"/>
                <w:color w:val="auto"/>
              </w:rPr>
              <w:t>PHS-3CpH计</w:t>
            </w:r>
            <w:r>
              <w:rPr>
                <w:rFonts w:hint="default"/>
                <w:color w:val="auto"/>
                <w:lang w:eastAsia="zh-CN"/>
              </w:rPr>
              <w:t>（HDH/YQ-12-01）</w:t>
            </w:r>
          </w:p>
        </w:tc>
        <w:tc>
          <w:tcPr>
            <w:tcW w:w="577" w:type="pct"/>
            <w:tcBorders>
              <w:tl2br w:val="nil"/>
              <w:tr2bl w:val="nil"/>
            </w:tcBorders>
            <w:noWrap w:val="0"/>
            <w:vAlign w:val="center"/>
          </w:tcPr>
          <w:p w14:paraId="4CF8558F">
            <w:pPr>
              <w:pStyle w:val="16"/>
              <w:bidi w:val="0"/>
              <w:rPr>
                <w:rFonts w:hint="default"/>
                <w:color w:val="auto"/>
                <w:lang w:val="en-US" w:eastAsia="zh-CN"/>
              </w:rPr>
            </w:pPr>
            <w:r>
              <w:rPr>
                <w:rFonts w:hint="default"/>
                <w:color w:val="auto"/>
                <w:lang w:val="en-US" w:eastAsia="zh-CN"/>
              </w:rPr>
              <w:t>/</w:t>
            </w:r>
          </w:p>
        </w:tc>
      </w:tr>
      <w:tr w14:paraId="452F5BED">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733" w:type="pct"/>
            <w:tcBorders>
              <w:tl2br w:val="nil"/>
              <w:tr2bl w:val="nil"/>
            </w:tcBorders>
            <w:noWrap w:val="0"/>
            <w:vAlign w:val="center"/>
          </w:tcPr>
          <w:p w14:paraId="0937ECA9">
            <w:pPr>
              <w:pStyle w:val="16"/>
              <w:bidi w:val="0"/>
              <w:rPr>
                <w:rFonts w:hint="default"/>
                <w:color w:val="auto"/>
                <w:lang w:val="en-US" w:eastAsia="zh-CN"/>
              </w:rPr>
            </w:pPr>
            <w:r>
              <w:rPr>
                <w:rFonts w:hint="default"/>
                <w:color w:val="auto"/>
                <w:lang w:val="en-US" w:eastAsia="zh-CN"/>
              </w:rPr>
              <w:t>六价铬</w:t>
            </w:r>
          </w:p>
        </w:tc>
        <w:tc>
          <w:tcPr>
            <w:tcW w:w="1449" w:type="pct"/>
            <w:tcBorders>
              <w:tl2br w:val="nil"/>
              <w:tr2bl w:val="nil"/>
            </w:tcBorders>
            <w:noWrap w:val="0"/>
            <w:vAlign w:val="center"/>
          </w:tcPr>
          <w:p w14:paraId="11882A25">
            <w:pPr>
              <w:pStyle w:val="16"/>
              <w:bidi w:val="0"/>
              <w:rPr>
                <w:rFonts w:hint="default"/>
                <w:color w:val="auto"/>
                <w:lang w:val="en-US" w:eastAsia="zh-CN"/>
              </w:rPr>
            </w:pPr>
            <w:r>
              <w:rPr>
                <w:rFonts w:hint="default"/>
                <w:color w:val="auto"/>
                <w:lang w:val="en-US" w:eastAsia="zh-CN"/>
              </w:rPr>
              <w:t>土壤和沉积物 六价铬的测定 碱溶液提取-火焰原子吸收分光光度法</w:t>
            </w:r>
          </w:p>
        </w:tc>
        <w:tc>
          <w:tcPr>
            <w:tcW w:w="1046" w:type="pct"/>
            <w:tcBorders>
              <w:tl2br w:val="nil"/>
              <w:tr2bl w:val="nil"/>
            </w:tcBorders>
            <w:noWrap w:val="0"/>
            <w:vAlign w:val="center"/>
          </w:tcPr>
          <w:p w14:paraId="1699CB41">
            <w:pPr>
              <w:pStyle w:val="16"/>
              <w:bidi w:val="0"/>
              <w:rPr>
                <w:rFonts w:hint="default"/>
                <w:color w:val="auto"/>
                <w:lang w:val="en-US" w:eastAsia="zh-CN"/>
              </w:rPr>
            </w:pPr>
            <w:r>
              <w:rPr>
                <w:rFonts w:hint="default"/>
                <w:color w:val="auto"/>
                <w:lang w:val="en-US" w:eastAsia="zh-CN"/>
              </w:rPr>
              <w:t>HJ 1082-2019</w:t>
            </w:r>
          </w:p>
        </w:tc>
        <w:tc>
          <w:tcPr>
            <w:tcW w:w="1192" w:type="pct"/>
            <w:tcBorders>
              <w:tl2br w:val="nil"/>
              <w:tr2bl w:val="nil"/>
            </w:tcBorders>
            <w:noWrap w:val="0"/>
            <w:vAlign w:val="center"/>
          </w:tcPr>
          <w:p w14:paraId="2E8E2C1B">
            <w:pPr>
              <w:pStyle w:val="16"/>
              <w:bidi w:val="0"/>
              <w:rPr>
                <w:rFonts w:hint="default"/>
                <w:color w:val="auto"/>
                <w:lang w:val="en-US" w:eastAsia="zh-CN"/>
              </w:rPr>
            </w:pPr>
            <w:r>
              <w:rPr>
                <w:rFonts w:hint="default"/>
                <w:color w:val="auto"/>
              </w:rPr>
              <w:t>GGX-830原子吸收分光光度计</w:t>
            </w:r>
            <w:r>
              <w:rPr>
                <w:rFonts w:hint="default"/>
                <w:color w:val="auto"/>
                <w:lang w:eastAsia="zh-CN"/>
              </w:rPr>
              <w:t>（</w:t>
            </w:r>
            <w:r>
              <w:rPr>
                <w:rFonts w:hint="default"/>
                <w:color w:val="auto"/>
                <w:lang w:val="en-US" w:eastAsia="zh-CN"/>
              </w:rPr>
              <w:t>HDH/YQ-04-01</w:t>
            </w:r>
            <w:r>
              <w:rPr>
                <w:rFonts w:hint="default"/>
                <w:color w:val="auto"/>
                <w:lang w:eastAsia="zh-CN"/>
              </w:rPr>
              <w:t>）</w:t>
            </w:r>
          </w:p>
        </w:tc>
        <w:tc>
          <w:tcPr>
            <w:tcW w:w="577" w:type="pct"/>
            <w:tcBorders>
              <w:tl2br w:val="nil"/>
              <w:tr2bl w:val="nil"/>
            </w:tcBorders>
            <w:noWrap w:val="0"/>
            <w:vAlign w:val="center"/>
          </w:tcPr>
          <w:p w14:paraId="6E42132B">
            <w:pPr>
              <w:pStyle w:val="16"/>
              <w:bidi w:val="0"/>
              <w:rPr>
                <w:rFonts w:hint="default"/>
                <w:color w:val="auto"/>
                <w:lang w:val="en-US" w:eastAsia="zh-CN"/>
              </w:rPr>
            </w:pPr>
            <w:r>
              <w:rPr>
                <w:rFonts w:hint="default"/>
                <w:color w:val="auto"/>
                <w:lang w:val="en-US" w:eastAsia="zh-CN"/>
              </w:rPr>
              <w:t>0.5mg/kg</w:t>
            </w:r>
          </w:p>
        </w:tc>
      </w:tr>
      <w:tr w14:paraId="47ACD51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733" w:type="pct"/>
            <w:tcBorders>
              <w:tl2br w:val="nil"/>
              <w:tr2bl w:val="nil"/>
            </w:tcBorders>
            <w:noWrap w:val="0"/>
            <w:vAlign w:val="center"/>
          </w:tcPr>
          <w:p w14:paraId="1E550B3E">
            <w:pPr>
              <w:pStyle w:val="16"/>
              <w:bidi w:val="0"/>
              <w:rPr>
                <w:rFonts w:hint="default"/>
                <w:color w:val="auto"/>
                <w:lang w:val="en-US" w:eastAsia="zh-CN"/>
              </w:rPr>
            </w:pPr>
            <w:r>
              <w:rPr>
                <w:rFonts w:hint="default"/>
                <w:color w:val="auto"/>
                <w:lang w:val="en-US" w:eastAsia="zh-CN"/>
              </w:rPr>
              <w:t>镉</w:t>
            </w:r>
          </w:p>
        </w:tc>
        <w:tc>
          <w:tcPr>
            <w:tcW w:w="1449" w:type="pct"/>
            <w:vMerge w:val="restart"/>
            <w:tcBorders>
              <w:tl2br w:val="nil"/>
              <w:tr2bl w:val="nil"/>
            </w:tcBorders>
            <w:noWrap w:val="0"/>
            <w:vAlign w:val="center"/>
          </w:tcPr>
          <w:p w14:paraId="438B9606">
            <w:pPr>
              <w:pStyle w:val="16"/>
              <w:bidi w:val="0"/>
              <w:rPr>
                <w:rFonts w:hint="default"/>
                <w:color w:val="auto"/>
                <w:lang w:val="en-US" w:eastAsia="zh-CN"/>
              </w:rPr>
            </w:pPr>
            <w:r>
              <w:rPr>
                <w:rFonts w:hint="eastAsia"/>
                <w:color w:val="auto"/>
                <w:lang w:val="en-US" w:eastAsia="zh-CN"/>
              </w:rPr>
              <w:t>土壤和沉积物</w:t>
            </w:r>
            <w:r>
              <w:rPr>
                <w:rFonts w:hint="default"/>
                <w:color w:val="auto"/>
                <w:lang w:val="en-US" w:eastAsia="zh-CN"/>
              </w:rPr>
              <w:t xml:space="preserve"> 19</w:t>
            </w:r>
            <w:r>
              <w:rPr>
                <w:rFonts w:hint="eastAsia"/>
                <w:color w:val="auto"/>
                <w:lang w:val="en-US" w:eastAsia="zh-CN"/>
              </w:rPr>
              <w:t>种金属元素总量的测定</w:t>
            </w:r>
            <w:r>
              <w:rPr>
                <w:rFonts w:hint="default"/>
                <w:color w:val="auto"/>
                <w:lang w:val="en-US" w:eastAsia="zh-CN"/>
              </w:rPr>
              <w:t xml:space="preserve"> </w:t>
            </w:r>
            <w:r>
              <w:rPr>
                <w:rFonts w:hint="eastAsia"/>
                <w:color w:val="auto"/>
                <w:lang w:val="en-US" w:eastAsia="zh-CN"/>
              </w:rPr>
              <w:t>电感耦合等离子体质谱法</w:t>
            </w:r>
          </w:p>
        </w:tc>
        <w:tc>
          <w:tcPr>
            <w:tcW w:w="1046" w:type="pct"/>
            <w:vMerge w:val="restart"/>
            <w:tcBorders>
              <w:tl2br w:val="nil"/>
              <w:tr2bl w:val="nil"/>
            </w:tcBorders>
            <w:noWrap w:val="0"/>
            <w:vAlign w:val="center"/>
          </w:tcPr>
          <w:p w14:paraId="337A366D">
            <w:pPr>
              <w:pStyle w:val="16"/>
              <w:bidi w:val="0"/>
              <w:rPr>
                <w:rFonts w:hint="default"/>
                <w:color w:val="auto"/>
                <w:lang w:val="en-US" w:eastAsia="zh-CN"/>
              </w:rPr>
            </w:pPr>
            <w:r>
              <w:rPr>
                <w:rFonts w:hint="default"/>
                <w:color w:val="auto"/>
                <w:lang w:val="en-US" w:eastAsia="zh-CN"/>
              </w:rPr>
              <w:t>HJ</w:t>
            </w:r>
            <w:r>
              <w:rPr>
                <w:rFonts w:hint="eastAsia"/>
                <w:color w:val="auto"/>
                <w:lang w:val="en-US" w:eastAsia="zh-CN"/>
              </w:rPr>
              <w:t xml:space="preserve"> </w:t>
            </w:r>
            <w:r>
              <w:rPr>
                <w:rFonts w:hint="default"/>
                <w:color w:val="auto"/>
                <w:lang w:val="en-US" w:eastAsia="zh-CN"/>
              </w:rPr>
              <w:t>1315-2023</w:t>
            </w:r>
          </w:p>
        </w:tc>
        <w:tc>
          <w:tcPr>
            <w:tcW w:w="1192" w:type="pct"/>
            <w:vMerge w:val="restart"/>
            <w:tcBorders>
              <w:tl2br w:val="nil"/>
              <w:tr2bl w:val="nil"/>
            </w:tcBorders>
            <w:noWrap w:val="0"/>
            <w:vAlign w:val="center"/>
          </w:tcPr>
          <w:p w14:paraId="4293E1DB">
            <w:pPr>
              <w:pStyle w:val="16"/>
              <w:bidi w:val="0"/>
              <w:rPr>
                <w:rFonts w:hint="default"/>
                <w:color w:val="auto"/>
                <w:lang w:val="en-US" w:eastAsia="zh-CN"/>
              </w:rPr>
            </w:pPr>
            <w:r>
              <w:rPr>
                <w:rFonts w:hint="default"/>
                <w:color w:val="auto"/>
                <w:lang w:val="en-US" w:eastAsia="zh-CN"/>
              </w:rPr>
              <w:t>BRUKER aurora M90ICP-MS（HDH/YQ-</w:t>
            </w:r>
            <w:r>
              <w:rPr>
                <w:rFonts w:hint="eastAsia"/>
                <w:color w:val="auto"/>
                <w:lang w:val="en-US" w:eastAsia="zh-CN"/>
              </w:rPr>
              <w:t>37</w:t>
            </w:r>
            <w:r>
              <w:rPr>
                <w:rFonts w:hint="default"/>
                <w:color w:val="auto"/>
                <w:lang w:val="en-US" w:eastAsia="zh-CN"/>
              </w:rPr>
              <w:t>-01）</w:t>
            </w:r>
          </w:p>
        </w:tc>
        <w:tc>
          <w:tcPr>
            <w:tcW w:w="577" w:type="pct"/>
            <w:tcBorders>
              <w:tl2br w:val="nil"/>
              <w:tr2bl w:val="nil"/>
            </w:tcBorders>
            <w:noWrap w:val="0"/>
            <w:vAlign w:val="center"/>
          </w:tcPr>
          <w:p w14:paraId="79955B19">
            <w:pPr>
              <w:pStyle w:val="16"/>
              <w:bidi w:val="0"/>
              <w:rPr>
                <w:rFonts w:hint="default"/>
                <w:color w:val="auto"/>
                <w:lang w:val="en-US" w:eastAsia="zh-CN"/>
              </w:rPr>
            </w:pPr>
            <w:r>
              <w:rPr>
                <w:rFonts w:hint="eastAsia"/>
                <w:color w:val="auto"/>
                <w:lang w:val="en-US" w:eastAsia="zh-CN"/>
              </w:rPr>
              <w:t>0.03</w:t>
            </w:r>
            <w:r>
              <w:rPr>
                <w:rFonts w:hint="default"/>
                <w:color w:val="auto"/>
                <w:lang w:val="en-US" w:eastAsia="zh-CN"/>
              </w:rPr>
              <w:t>mg/kg</w:t>
            </w:r>
          </w:p>
        </w:tc>
      </w:tr>
      <w:tr w14:paraId="3CA1872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733" w:type="pct"/>
            <w:tcBorders>
              <w:tl2br w:val="nil"/>
              <w:tr2bl w:val="nil"/>
            </w:tcBorders>
            <w:noWrap w:val="0"/>
            <w:vAlign w:val="center"/>
          </w:tcPr>
          <w:p w14:paraId="01829A69">
            <w:pPr>
              <w:pStyle w:val="16"/>
              <w:bidi w:val="0"/>
              <w:rPr>
                <w:rFonts w:hint="default"/>
                <w:color w:val="auto"/>
                <w:lang w:val="en-US" w:eastAsia="zh-CN"/>
              </w:rPr>
            </w:pPr>
            <w:r>
              <w:rPr>
                <w:rFonts w:hint="default"/>
                <w:color w:val="auto"/>
                <w:lang w:val="en-US" w:eastAsia="zh-CN"/>
              </w:rPr>
              <w:t>镍</w:t>
            </w:r>
          </w:p>
        </w:tc>
        <w:tc>
          <w:tcPr>
            <w:tcW w:w="1449" w:type="pct"/>
            <w:vMerge w:val="continue"/>
            <w:tcBorders>
              <w:tl2br w:val="nil"/>
              <w:tr2bl w:val="nil"/>
            </w:tcBorders>
            <w:noWrap w:val="0"/>
            <w:vAlign w:val="center"/>
          </w:tcPr>
          <w:p w14:paraId="7E64D9E5">
            <w:pPr>
              <w:pStyle w:val="16"/>
              <w:bidi w:val="0"/>
              <w:rPr>
                <w:rFonts w:hint="default"/>
                <w:color w:val="auto"/>
                <w:lang w:val="en-US" w:eastAsia="zh-CN"/>
              </w:rPr>
            </w:pPr>
          </w:p>
        </w:tc>
        <w:tc>
          <w:tcPr>
            <w:tcW w:w="1046" w:type="pct"/>
            <w:vMerge w:val="continue"/>
            <w:tcBorders>
              <w:tl2br w:val="nil"/>
              <w:tr2bl w:val="nil"/>
            </w:tcBorders>
            <w:noWrap w:val="0"/>
            <w:vAlign w:val="center"/>
          </w:tcPr>
          <w:p w14:paraId="72C23AFB">
            <w:pPr>
              <w:pStyle w:val="16"/>
              <w:bidi w:val="0"/>
              <w:rPr>
                <w:rFonts w:hint="default"/>
                <w:color w:val="auto"/>
                <w:lang w:val="en-US" w:eastAsia="zh-CN"/>
              </w:rPr>
            </w:pPr>
          </w:p>
        </w:tc>
        <w:tc>
          <w:tcPr>
            <w:tcW w:w="1192" w:type="pct"/>
            <w:vMerge w:val="continue"/>
            <w:tcBorders>
              <w:tl2br w:val="nil"/>
              <w:tr2bl w:val="nil"/>
            </w:tcBorders>
            <w:noWrap w:val="0"/>
            <w:vAlign w:val="center"/>
          </w:tcPr>
          <w:p w14:paraId="42BF8C3D">
            <w:pPr>
              <w:pStyle w:val="16"/>
              <w:bidi w:val="0"/>
              <w:rPr>
                <w:rFonts w:hint="default"/>
                <w:color w:val="auto"/>
                <w:lang w:val="en-US" w:eastAsia="zh-CN"/>
              </w:rPr>
            </w:pPr>
          </w:p>
        </w:tc>
        <w:tc>
          <w:tcPr>
            <w:tcW w:w="577" w:type="pct"/>
            <w:tcBorders>
              <w:tl2br w:val="nil"/>
              <w:tr2bl w:val="nil"/>
            </w:tcBorders>
            <w:noWrap w:val="0"/>
            <w:vAlign w:val="center"/>
          </w:tcPr>
          <w:p w14:paraId="74D9BFD4">
            <w:pPr>
              <w:pStyle w:val="16"/>
              <w:bidi w:val="0"/>
              <w:rPr>
                <w:rFonts w:hint="default"/>
                <w:color w:val="auto"/>
                <w:lang w:val="en-US" w:eastAsia="zh-CN"/>
              </w:rPr>
            </w:pPr>
            <w:r>
              <w:rPr>
                <w:rFonts w:hint="eastAsia"/>
                <w:color w:val="auto"/>
                <w:lang w:val="en-US" w:eastAsia="zh-CN"/>
              </w:rPr>
              <w:t>2</w:t>
            </w:r>
            <w:r>
              <w:rPr>
                <w:rFonts w:hint="default"/>
                <w:color w:val="auto"/>
                <w:lang w:val="en-US" w:eastAsia="zh-CN"/>
              </w:rPr>
              <w:t>mg/kg</w:t>
            </w:r>
          </w:p>
        </w:tc>
      </w:tr>
      <w:tr w14:paraId="53FF7C14">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733" w:type="pct"/>
            <w:tcBorders>
              <w:tl2br w:val="nil"/>
              <w:tr2bl w:val="nil"/>
            </w:tcBorders>
            <w:noWrap w:val="0"/>
            <w:vAlign w:val="center"/>
          </w:tcPr>
          <w:p w14:paraId="54141297">
            <w:pPr>
              <w:pStyle w:val="16"/>
              <w:bidi w:val="0"/>
              <w:rPr>
                <w:rFonts w:hint="default"/>
                <w:color w:val="auto"/>
                <w:lang w:val="en-US" w:eastAsia="zh-CN"/>
              </w:rPr>
            </w:pPr>
            <w:r>
              <w:rPr>
                <w:rFonts w:hint="eastAsia"/>
                <w:color w:val="auto"/>
                <w:lang w:val="en-US" w:eastAsia="zh-CN"/>
              </w:rPr>
              <w:t>铅</w:t>
            </w:r>
          </w:p>
        </w:tc>
        <w:tc>
          <w:tcPr>
            <w:tcW w:w="1449" w:type="pct"/>
            <w:vMerge w:val="continue"/>
            <w:tcBorders>
              <w:tl2br w:val="nil"/>
              <w:tr2bl w:val="nil"/>
            </w:tcBorders>
            <w:noWrap w:val="0"/>
            <w:vAlign w:val="center"/>
          </w:tcPr>
          <w:p w14:paraId="0B6A89A8">
            <w:pPr>
              <w:pStyle w:val="16"/>
              <w:bidi w:val="0"/>
              <w:rPr>
                <w:rFonts w:hint="default"/>
                <w:color w:val="auto"/>
                <w:lang w:val="en-US" w:eastAsia="zh-CN"/>
              </w:rPr>
            </w:pPr>
          </w:p>
        </w:tc>
        <w:tc>
          <w:tcPr>
            <w:tcW w:w="1046" w:type="pct"/>
            <w:vMerge w:val="continue"/>
            <w:tcBorders>
              <w:tl2br w:val="nil"/>
              <w:tr2bl w:val="nil"/>
            </w:tcBorders>
            <w:noWrap w:val="0"/>
            <w:vAlign w:val="center"/>
          </w:tcPr>
          <w:p w14:paraId="51D89CDB">
            <w:pPr>
              <w:pStyle w:val="16"/>
              <w:bidi w:val="0"/>
              <w:rPr>
                <w:rFonts w:hint="default"/>
                <w:color w:val="auto"/>
                <w:lang w:val="en-US" w:eastAsia="zh-CN"/>
              </w:rPr>
            </w:pPr>
          </w:p>
        </w:tc>
        <w:tc>
          <w:tcPr>
            <w:tcW w:w="1192" w:type="pct"/>
            <w:vMerge w:val="continue"/>
            <w:tcBorders>
              <w:tl2br w:val="nil"/>
              <w:tr2bl w:val="nil"/>
            </w:tcBorders>
            <w:noWrap w:val="0"/>
            <w:vAlign w:val="center"/>
          </w:tcPr>
          <w:p w14:paraId="0BDF78EC">
            <w:pPr>
              <w:pStyle w:val="16"/>
              <w:bidi w:val="0"/>
              <w:rPr>
                <w:rFonts w:hint="default"/>
                <w:color w:val="auto"/>
                <w:lang w:val="en-US" w:eastAsia="zh-CN"/>
              </w:rPr>
            </w:pPr>
          </w:p>
        </w:tc>
        <w:tc>
          <w:tcPr>
            <w:tcW w:w="577" w:type="pct"/>
            <w:tcBorders>
              <w:tl2br w:val="nil"/>
              <w:tr2bl w:val="nil"/>
            </w:tcBorders>
            <w:noWrap w:val="0"/>
            <w:vAlign w:val="center"/>
          </w:tcPr>
          <w:p w14:paraId="6D4E64B1">
            <w:pPr>
              <w:pStyle w:val="16"/>
              <w:bidi w:val="0"/>
              <w:rPr>
                <w:rFonts w:hint="default"/>
                <w:color w:val="auto"/>
                <w:lang w:val="en-US" w:eastAsia="zh-CN"/>
              </w:rPr>
            </w:pPr>
            <w:r>
              <w:rPr>
                <w:rFonts w:hint="eastAsia"/>
                <w:color w:val="auto"/>
                <w:lang w:val="en-US" w:eastAsia="zh-CN"/>
              </w:rPr>
              <w:t>1</w:t>
            </w:r>
            <w:r>
              <w:rPr>
                <w:rFonts w:hint="default"/>
                <w:color w:val="auto"/>
                <w:lang w:val="en-US" w:eastAsia="zh-CN"/>
              </w:rPr>
              <w:t>mg/kg</w:t>
            </w:r>
          </w:p>
        </w:tc>
      </w:tr>
      <w:tr w14:paraId="697DF62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733" w:type="pct"/>
            <w:tcBorders>
              <w:tl2br w:val="nil"/>
              <w:tr2bl w:val="nil"/>
            </w:tcBorders>
            <w:noWrap w:val="0"/>
            <w:vAlign w:val="center"/>
          </w:tcPr>
          <w:p w14:paraId="7AA67930">
            <w:pPr>
              <w:pStyle w:val="16"/>
              <w:bidi w:val="0"/>
              <w:rPr>
                <w:rFonts w:hint="eastAsia"/>
                <w:color w:val="auto"/>
                <w:lang w:val="en-US" w:eastAsia="zh-CN"/>
              </w:rPr>
            </w:pPr>
            <w:r>
              <w:rPr>
                <w:rFonts w:hint="eastAsia"/>
                <w:color w:val="auto"/>
                <w:lang w:val="en-US" w:eastAsia="zh-CN"/>
              </w:rPr>
              <w:t>铜</w:t>
            </w:r>
          </w:p>
        </w:tc>
        <w:tc>
          <w:tcPr>
            <w:tcW w:w="1449" w:type="pct"/>
            <w:vMerge w:val="continue"/>
            <w:tcBorders>
              <w:tl2br w:val="nil"/>
              <w:tr2bl w:val="nil"/>
            </w:tcBorders>
            <w:noWrap w:val="0"/>
            <w:vAlign w:val="center"/>
          </w:tcPr>
          <w:p w14:paraId="57CC1DD6">
            <w:pPr>
              <w:pStyle w:val="16"/>
              <w:bidi w:val="0"/>
              <w:rPr>
                <w:rFonts w:hint="default"/>
                <w:color w:val="auto"/>
                <w:lang w:val="en-US" w:eastAsia="zh-CN"/>
              </w:rPr>
            </w:pPr>
          </w:p>
        </w:tc>
        <w:tc>
          <w:tcPr>
            <w:tcW w:w="1046" w:type="pct"/>
            <w:vMerge w:val="continue"/>
            <w:tcBorders>
              <w:tl2br w:val="nil"/>
              <w:tr2bl w:val="nil"/>
            </w:tcBorders>
            <w:noWrap w:val="0"/>
            <w:vAlign w:val="center"/>
          </w:tcPr>
          <w:p w14:paraId="0DDDB60E">
            <w:pPr>
              <w:pStyle w:val="16"/>
              <w:bidi w:val="0"/>
              <w:rPr>
                <w:rFonts w:hint="default"/>
                <w:color w:val="auto"/>
                <w:lang w:val="en-US" w:eastAsia="zh-CN"/>
              </w:rPr>
            </w:pPr>
          </w:p>
        </w:tc>
        <w:tc>
          <w:tcPr>
            <w:tcW w:w="1192" w:type="pct"/>
            <w:vMerge w:val="continue"/>
            <w:tcBorders>
              <w:tl2br w:val="nil"/>
              <w:tr2bl w:val="nil"/>
            </w:tcBorders>
            <w:noWrap w:val="0"/>
            <w:vAlign w:val="center"/>
          </w:tcPr>
          <w:p w14:paraId="7572100F">
            <w:pPr>
              <w:pStyle w:val="16"/>
              <w:bidi w:val="0"/>
              <w:rPr>
                <w:rFonts w:hint="default"/>
                <w:color w:val="auto"/>
              </w:rPr>
            </w:pPr>
          </w:p>
        </w:tc>
        <w:tc>
          <w:tcPr>
            <w:tcW w:w="577" w:type="pct"/>
            <w:tcBorders>
              <w:tl2br w:val="nil"/>
              <w:tr2bl w:val="nil"/>
            </w:tcBorders>
            <w:noWrap w:val="0"/>
            <w:vAlign w:val="center"/>
          </w:tcPr>
          <w:p w14:paraId="0F4DAB2B">
            <w:pPr>
              <w:pStyle w:val="16"/>
              <w:bidi w:val="0"/>
              <w:rPr>
                <w:rFonts w:hint="eastAsia"/>
                <w:color w:val="auto"/>
                <w:lang w:val="en-US" w:eastAsia="zh-CN"/>
              </w:rPr>
            </w:pPr>
            <w:r>
              <w:rPr>
                <w:rFonts w:hint="eastAsia"/>
                <w:color w:val="auto"/>
                <w:lang w:val="en-US" w:eastAsia="zh-CN"/>
              </w:rPr>
              <w:t>0.7</w:t>
            </w:r>
            <w:r>
              <w:rPr>
                <w:rFonts w:hint="default"/>
                <w:color w:val="auto"/>
                <w:lang w:val="en-US" w:eastAsia="zh-CN"/>
              </w:rPr>
              <w:t>mg/kg</w:t>
            </w:r>
          </w:p>
        </w:tc>
      </w:tr>
      <w:tr w14:paraId="196ADD34">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733" w:type="pct"/>
            <w:tcBorders>
              <w:tl2br w:val="nil"/>
              <w:tr2bl w:val="nil"/>
            </w:tcBorders>
            <w:noWrap w:val="0"/>
            <w:vAlign w:val="center"/>
          </w:tcPr>
          <w:p w14:paraId="41018E33">
            <w:pPr>
              <w:pStyle w:val="16"/>
              <w:bidi w:val="0"/>
              <w:rPr>
                <w:rFonts w:hint="default"/>
                <w:color w:val="auto"/>
                <w:lang w:val="en-US" w:eastAsia="zh-CN"/>
              </w:rPr>
            </w:pPr>
            <w:r>
              <w:rPr>
                <w:rFonts w:hint="default"/>
                <w:color w:val="auto"/>
                <w:lang w:val="en-US" w:eastAsia="zh-CN"/>
              </w:rPr>
              <w:t>砷</w:t>
            </w:r>
          </w:p>
        </w:tc>
        <w:tc>
          <w:tcPr>
            <w:tcW w:w="1449" w:type="pct"/>
            <w:vMerge w:val="restart"/>
            <w:tcBorders>
              <w:tl2br w:val="nil"/>
              <w:tr2bl w:val="nil"/>
            </w:tcBorders>
            <w:noWrap w:val="0"/>
            <w:vAlign w:val="center"/>
          </w:tcPr>
          <w:p w14:paraId="6DEA9A73">
            <w:pPr>
              <w:pStyle w:val="16"/>
              <w:bidi w:val="0"/>
              <w:rPr>
                <w:rFonts w:hint="default"/>
                <w:color w:val="auto"/>
                <w:lang w:val="en-US" w:eastAsia="zh-CN"/>
              </w:rPr>
            </w:pPr>
            <w:r>
              <w:rPr>
                <w:rFonts w:hint="default"/>
                <w:color w:val="auto"/>
              </w:rPr>
              <w:t>土壤和沉积物 汞、砷、硒、铋、锑的测定 微波消解/原子荧光法</w:t>
            </w:r>
          </w:p>
        </w:tc>
        <w:tc>
          <w:tcPr>
            <w:tcW w:w="1046" w:type="pct"/>
            <w:vMerge w:val="restart"/>
            <w:tcBorders>
              <w:tl2br w:val="nil"/>
              <w:tr2bl w:val="nil"/>
            </w:tcBorders>
            <w:noWrap w:val="0"/>
            <w:vAlign w:val="center"/>
          </w:tcPr>
          <w:p w14:paraId="6BCAEEB2">
            <w:pPr>
              <w:pStyle w:val="16"/>
              <w:bidi w:val="0"/>
              <w:rPr>
                <w:rFonts w:hint="default"/>
                <w:color w:val="auto"/>
                <w:lang w:val="en-US" w:eastAsia="zh-CN"/>
              </w:rPr>
            </w:pPr>
            <w:r>
              <w:rPr>
                <w:rFonts w:hint="default"/>
                <w:color w:val="auto"/>
              </w:rPr>
              <w:t>HJ 680-2013</w:t>
            </w:r>
          </w:p>
        </w:tc>
        <w:tc>
          <w:tcPr>
            <w:tcW w:w="1192" w:type="pct"/>
            <w:vMerge w:val="restart"/>
            <w:tcBorders>
              <w:tl2br w:val="nil"/>
              <w:tr2bl w:val="nil"/>
            </w:tcBorders>
            <w:noWrap w:val="0"/>
            <w:vAlign w:val="center"/>
          </w:tcPr>
          <w:p w14:paraId="48D48DF1">
            <w:pPr>
              <w:pStyle w:val="16"/>
              <w:bidi w:val="0"/>
              <w:rPr>
                <w:rFonts w:hint="default"/>
                <w:color w:val="auto"/>
                <w:lang w:val="en-US" w:eastAsia="zh-CN"/>
              </w:rPr>
            </w:pPr>
            <w:r>
              <w:rPr>
                <w:rFonts w:hint="default"/>
                <w:color w:val="auto"/>
              </w:rPr>
              <w:t>AFS-8510原子荧光分光光度计</w:t>
            </w:r>
            <w:r>
              <w:rPr>
                <w:rFonts w:hint="default"/>
                <w:color w:val="auto"/>
                <w:lang w:eastAsia="zh-CN"/>
              </w:rPr>
              <w:t>（HDH/YQ-01-01）</w:t>
            </w:r>
          </w:p>
        </w:tc>
        <w:tc>
          <w:tcPr>
            <w:tcW w:w="577" w:type="pct"/>
            <w:tcBorders>
              <w:tl2br w:val="nil"/>
              <w:tr2bl w:val="nil"/>
            </w:tcBorders>
            <w:noWrap w:val="0"/>
            <w:vAlign w:val="center"/>
          </w:tcPr>
          <w:p w14:paraId="49D63CC8">
            <w:pPr>
              <w:pStyle w:val="16"/>
              <w:bidi w:val="0"/>
              <w:rPr>
                <w:rFonts w:hint="default"/>
                <w:color w:val="auto"/>
                <w:lang w:val="en-US" w:eastAsia="zh-CN"/>
              </w:rPr>
            </w:pPr>
            <w:r>
              <w:rPr>
                <w:rFonts w:hint="default"/>
                <w:color w:val="auto"/>
                <w:lang w:val="en-US" w:eastAsia="zh-CN"/>
              </w:rPr>
              <w:t>0.01mg/kg</w:t>
            </w:r>
          </w:p>
        </w:tc>
      </w:tr>
      <w:tr w14:paraId="579F835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397" w:hRule="atLeast"/>
          <w:jc w:val="center"/>
        </w:trPr>
        <w:tc>
          <w:tcPr>
            <w:tcW w:w="733" w:type="pct"/>
            <w:tcBorders>
              <w:tl2br w:val="nil"/>
              <w:tr2bl w:val="nil"/>
            </w:tcBorders>
            <w:noWrap w:val="0"/>
            <w:vAlign w:val="center"/>
          </w:tcPr>
          <w:p w14:paraId="6C34BCCF">
            <w:pPr>
              <w:pStyle w:val="16"/>
              <w:bidi w:val="0"/>
              <w:rPr>
                <w:rFonts w:hint="eastAsia"/>
                <w:color w:val="auto"/>
                <w:lang w:val="en-US" w:eastAsia="zh-CN"/>
              </w:rPr>
            </w:pPr>
            <w:r>
              <w:rPr>
                <w:rFonts w:hint="eastAsia"/>
                <w:color w:val="auto"/>
                <w:lang w:val="en-US" w:eastAsia="zh-CN"/>
              </w:rPr>
              <w:t>汞</w:t>
            </w:r>
          </w:p>
        </w:tc>
        <w:tc>
          <w:tcPr>
            <w:tcW w:w="1449" w:type="pct"/>
            <w:vMerge w:val="continue"/>
            <w:tcBorders>
              <w:tl2br w:val="nil"/>
              <w:tr2bl w:val="nil"/>
            </w:tcBorders>
            <w:noWrap w:val="0"/>
            <w:vAlign w:val="center"/>
          </w:tcPr>
          <w:p w14:paraId="0DCF18D2">
            <w:pPr>
              <w:pStyle w:val="16"/>
              <w:bidi w:val="0"/>
              <w:rPr>
                <w:rFonts w:hint="default"/>
                <w:color w:val="auto"/>
                <w:lang w:val="en-US" w:eastAsia="zh-CN"/>
              </w:rPr>
            </w:pPr>
          </w:p>
        </w:tc>
        <w:tc>
          <w:tcPr>
            <w:tcW w:w="1046" w:type="pct"/>
            <w:vMerge w:val="continue"/>
            <w:tcBorders>
              <w:tl2br w:val="nil"/>
              <w:tr2bl w:val="nil"/>
            </w:tcBorders>
            <w:noWrap w:val="0"/>
            <w:vAlign w:val="center"/>
          </w:tcPr>
          <w:p w14:paraId="25D01E15">
            <w:pPr>
              <w:pStyle w:val="16"/>
              <w:bidi w:val="0"/>
              <w:rPr>
                <w:rFonts w:hint="default"/>
                <w:color w:val="auto"/>
                <w:lang w:val="en-US" w:eastAsia="zh-CN"/>
              </w:rPr>
            </w:pPr>
          </w:p>
        </w:tc>
        <w:tc>
          <w:tcPr>
            <w:tcW w:w="1192" w:type="pct"/>
            <w:vMerge w:val="continue"/>
            <w:tcBorders>
              <w:tl2br w:val="nil"/>
              <w:tr2bl w:val="nil"/>
            </w:tcBorders>
            <w:noWrap w:val="0"/>
            <w:vAlign w:val="center"/>
          </w:tcPr>
          <w:p w14:paraId="3C5FE9E6">
            <w:pPr>
              <w:pStyle w:val="16"/>
              <w:bidi w:val="0"/>
              <w:rPr>
                <w:rFonts w:hint="default"/>
                <w:color w:val="auto"/>
                <w:lang w:val="en-US" w:eastAsia="zh-CN"/>
              </w:rPr>
            </w:pPr>
          </w:p>
        </w:tc>
        <w:tc>
          <w:tcPr>
            <w:tcW w:w="577" w:type="pct"/>
            <w:tcBorders>
              <w:tl2br w:val="nil"/>
              <w:tr2bl w:val="nil"/>
            </w:tcBorders>
            <w:noWrap w:val="0"/>
            <w:vAlign w:val="center"/>
          </w:tcPr>
          <w:p w14:paraId="3810A54D">
            <w:pPr>
              <w:pStyle w:val="16"/>
              <w:bidi w:val="0"/>
              <w:rPr>
                <w:rFonts w:hint="default"/>
                <w:color w:val="auto"/>
                <w:lang w:val="en-US" w:eastAsia="zh-CN"/>
              </w:rPr>
            </w:pPr>
            <w:r>
              <w:rPr>
                <w:rFonts w:hint="eastAsia"/>
                <w:color w:val="auto"/>
                <w:lang w:val="en-US" w:eastAsia="zh-CN"/>
              </w:rPr>
              <w:t>0.002</w:t>
            </w:r>
            <w:r>
              <w:rPr>
                <w:rFonts w:hint="default"/>
                <w:color w:val="auto"/>
                <w:lang w:val="en-US" w:eastAsia="zh-CN"/>
              </w:rPr>
              <w:t>mg/kg</w:t>
            </w:r>
          </w:p>
        </w:tc>
      </w:tr>
    </w:tbl>
    <w:p w14:paraId="2EB773C8">
      <w:pPr>
        <w:bidi w:val="0"/>
        <w:rPr>
          <w:color w:val="auto"/>
        </w:rPr>
      </w:pPr>
      <w:r>
        <w:rPr>
          <w:color w:val="auto"/>
        </w:rPr>
        <w:t>3、监测频次</w:t>
      </w:r>
    </w:p>
    <w:p w14:paraId="09FDF79B">
      <w:pPr>
        <w:bidi w:val="0"/>
        <w:rPr>
          <w:color w:val="auto"/>
        </w:rPr>
      </w:pPr>
      <w:r>
        <w:rPr>
          <w:color w:val="auto"/>
        </w:rPr>
        <w:t>监测1天，检测1次。</w:t>
      </w:r>
    </w:p>
    <w:p w14:paraId="0C89889E">
      <w:pPr>
        <w:bidi w:val="0"/>
        <w:rPr>
          <w:color w:val="auto"/>
        </w:rPr>
      </w:pPr>
      <w:r>
        <w:rPr>
          <w:color w:val="auto"/>
        </w:rPr>
        <w:t>4、执行标准</w:t>
      </w:r>
    </w:p>
    <w:p w14:paraId="754B5C77">
      <w:pPr>
        <w:bidi w:val="0"/>
        <w:rPr>
          <w:color w:val="auto"/>
        </w:rPr>
      </w:pPr>
      <w:r>
        <w:rPr>
          <w:color w:val="auto"/>
        </w:rPr>
        <w:t>《土壤环境质量 建设用地土壤污染风险管控标准（试行）》（GB36600-2018）、《土壤环境质量 农用地土壤污染风险管控标准（试行）》（GB15618-2018）。</w:t>
      </w:r>
    </w:p>
    <w:p w14:paraId="5CB94A5E">
      <w:pPr>
        <w:bidi w:val="0"/>
        <w:rPr>
          <w:color w:val="auto"/>
        </w:rPr>
      </w:pPr>
      <w:r>
        <w:rPr>
          <w:color w:val="auto"/>
        </w:rPr>
        <w:t>5、评价方法</w:t>
      </w:r>
    </w:p>
    <w:p w14:paraId="13EAE0EB">
      <w:pPr>
        <w:pageBreakBefore w:val="0"/>
        <w:wordWrap/>
        <w:bidi w:val="0"/>
        <w:adjustRightInd/>
        <w:snapToGrid/>
        <w:ind w:firstLine="480"/>
        <w:rPr>
          <w:color w:val="auto"/>
        </w:rPr>
      </w:pPr>
      <w:r>
        <w:rPr>
          <w:color w:val="auto"/>
        </w:rPr>
        <w:t>底泥污染指数计算公式如下：</w:t>
      </w:r>
    </w:p>
    <w:p w14:paraId="615A5E80">
      <w:pPr>
        <w:pageBreakBefore w:val="0"/>
        <w:wordWrap/>
        <w:bidi w:val="0"/>
        <w:adjustRightInd/>
        <w:snapToGrid/>
        <w:ind w:firstLine="480"/>
        <w:jc w:val="center"/>
        <w:rPr>
          <w:color w:val="auto"/>
          <w:szCs w:val="22"/>
        </w:rPr>
      </w:pPr>
      <w:r>
        <w:rPr>
          <w:color w:val="auto"/>
          <w:position w:val="-30"/>
          <w:szCs w:val="22"/>
        </w:rPr>
        <w:object>
          <v:shape id="_x0000_i1031" o:spt="75" type="#_x0000_t75" style="height:34.4pt;width:40.7pt;" o:ole="t" filled="f" o:preferrelative="t" stroked="f" coordsize="21600,21600">
            <v:path/>
            <v:fill on="f" focussize="0,0"/>
            <v:stroke on="f"/>
            <v:imagedata r:id="rId84" o:title=""/>
            <o:lock v:ext="edit" aspectratio="t"/>
            <w10:wrap type="none"/>
            <w10:anchorlock/>
          </v:shape>
          <o:OLEObject Type="Embed" ProgID="Equation.3" ShapeID="_x0000_i1031" DrawAspect="Content" ObjectID="_1468075731" r:id="rId83">
            <o:LockedField>false</o:LockedField>
          </o:OLEObject>
        </w:object>
      </w:r>
    </w:p>
    <w:p w14:paraId="686DF43E">
      <w:pPr>
        <w:pageBreakBefore w:val="0"/>
        <w:wordWrap/>
        <w:bidi w:val="0"/>
        <w:adjustRightInd/>
        <w:snapToGrid/>
        <w:ind w:firstLine="480"/>
        <w:jc w:val="left"/>
        <w:rPr>
          <w:color w:val="auto"/>
          <w:szCs w:val="22"/>
        </w:rPr>
      </w:pPr>
      <w:r>
        <w:rPr>
          <w:color w:val="auto"/>
          <w:szCs w:val="22"/>
        </w:rPr>
        <w:t>式中：P</w:t>
      </w:r>
      <w:r>
        <w:rPr>
          <w:color w:val="auto"/>
          <w:szCs w:val="22"/>
          <w:vertAlign w:val="subscript"/>
        </w:rPr>
        <w:t>ij</w:t>
      </w:r>
      <w:r>
        <w:rPr>
          <w:color w:val="auto"/>
          <w:szCs w:val="22"/>
        </w:rPr>
        <w:t>——底泥污染因子i的单项污染指数，大于1表明该污染因子超标；</w:t>
      </w:r>
    </w:p>
    <w:p w14:paraId="7DA967E7">
      <w:pPr>
        <w:pageBreakBefore w:val="0"/>
        <w:wordWrap/>
        <w:bidi w:val="0"/>
        <w:adjustRightInd/>
        <w:snapToGrid/>
        <w:ind w:firstLine="0" w:firstLineChars="0"/>
        <w:jc w:val="left"/>
        <w:rPr>
          <w:color w:val="auto"/>
          <w:szCs w:val="22"/>
        </w:rPr>
      </w:pPr>
      <w:r>
        <w:rPr>
          <w:color w:val="auto"/>
          <w:szCs w:val="22"/>
        </w:rPr>
        <w:t xml:space="preserve">          C</w:t>
      </w:r>
      <w:r>
        <w:rPr>
          <w:color w:val="auto"/>
          <w:szCs w:val="22"/>
          <w:vertAlign w:val="subscript"/>
        </w:rPr>
        <w:t>ij</w:t>
      </w:r>
      <w:r>
        <w:rPr>
          <w:color w:val="auto"/>
          <w:szCs w:val="22"/>
        </w:rPr>
        <w:t>——调查点位污染因子i的实测值，mg/L；</w:t>
      </w:r>
    </w:p>
    <w:p w14:paraId="555D784B">
      <w:pPr>
        <w:pageBreakBefore w:val="0"/>
        <w:wordWrap/>
        <w:bidi w:val="0"/>
        <w:adjustRightInd/>
        <w:snapToGrid/>
        <w:ind w:firstLine="0" w:firstLineChars="0"/>
        <w:jc w:val="left"/>
        <w:rPr>
          <w:color w:val="auto"/>
          <w:szCs w:val="22"/>
        </w:rPr>
      </w:pPr>
      <w:r>
        <w:rPr>
          <w:color w:val="auto"/>
          <w:szCs w:val="22"/>
        </w:rPr>
        <w:t xml:space="preserve">          C</w:t>
      </w:r>
      <w:r>
        <w:rPr>
          <w:color w:val="auto"/>
          <w:szCs w:val="22"/>
          <w:vertAlign w:val="subscript"/>
        </w:rPr>
        <w:t>si</w:t>
      </w:r>
      <w:r>
        <w:rPr>
          <w:color w:val="auto"/>
          <w:szCs w:val="22"/>
        </w:rPr>
        <w:softHyphen/>
      </w:r>
      <w:r>
        <w:rPr>
          <w:color w:val="auto"/>
          <w:szCs w:val="22"/>
        </w:rPr>
        <w:t>——污染因子i的评价标准值或参考值，mg/L。</w:t>
      </w:r>
    </w:p>
    <w:p w14:paraId="3C3C0BCC">
      <w:pPr>
        <w:pageBreakBefore w:val="0"/>
        <w:wordWrap/>
        <w:bidi w:val="0"/>
        <w:adjustRightInd/>
        <w:snapToGrid/>
        <w:ind w:firstLine="480"/>
        <w:rPr>
          <w:color w:val="auto"/>
        </w:rPr>
      </w:pPr>
      <w:r>
        <w:rPr>
          <w:rFonts w:hint="eastAsia"/>
          <w:color w:val="auto"/>
          <w:lang w:val="en-US" w:eastAsia="zh-CN"/>
        </w:rPr>
        <w:t>6</w:t>
      </w:r>
      <w:r>
        <w:rPr>
          <w:color w:val="auto"/>
        </w:rPr>
        <w:t>、监测及评价结果</w:t>
      </w:r>
    </w:p>
    <w:p w14:paraId="5E6B6B81">
      <w:pPr>
        <w:pageBreakBefore w:val="0"/>
        <w:wordWrap/>
        <w:bidi w:val="0"/>
        <w:adjustRightInd/>
        <w:snapToGrid/>
        <w:ind w:firstLine="480"/>
        <w:rPr>
          <w:color w:val="auto"/>
        </w:rPr>
      </w:pPr>
      <w:r>
        <w:rPr>
          <w:color w:val="auto"/>
        </w:rPr>
        <w:t>根据上表监测结果，监测点</w:t>
      </w:r>
      <w:r>
        <w:rPr>
          <w:rFonts w:hint="eastAsia"/>
          <w:color w:val="auto"/>
        </w:rPr>
        <w:t>底泥环境质量满足《土壤环境质量 农用地土壤污染风险管控标准（试行）》（GB15618-2018）中二类筛选值标准限值</w:t>
      </w:r>
      <w:r>
        <w:rPr>
          <w:color w:val="auto"/>
        </w:rPr>
        <w:t>。</w:t>
      </w:r>
    </w:p>
    <w:p w14:paraId="1E147CA8">
      <w:pPr>
        <w:bidi w:val="0"/>
        <w:rPr>
          <w:color w:val="auto"/>
        </w:rPr>
      </w:pPr>
      <w:r>
        <w:rPr>
          <w:color w:val="auto"/>
        </w:rPr>
        <w:t>综上所述，本项目所在区域自然环境状况良好，无明显环境制约因素。同时，本项目</w:t>
      </w:r>
      <w:r>
        <w:rPr>
          <w:rFonts w:hint="eastAsia"/>
          <w:color w:val="auto"/>
        </w:rPr>
        <w:t>建设有利于缓解</w:t>
      </w:r>
      <w:r>
        <w:rPr>
          <w:rFonts w:hint="eastAsia"/>
          <w:color w:val="auto"/>
          <w:lang w:eastAsia="zh-CN"/>
        </w:rPr>
        <w:t>曾口镇污水处理厂</w:t>
      </w:r>
      <w:r>
        <w:rPr>
          <w:rFonts w:hint="eastAsia"/>
          <w:color w:val="auto"/>
        </w:rPr>
        <w:t>服务范围内水处理压力，项目建设符合园区</w:t>
      </w:r>
      <w:r>
        <w:rPr>
          <w:color w:val="auto"/>
        </w:rPr>
        <w:t>主导产业及土地利用规划要求。据现状监测结果分析可知：项目所在区域大气、地表水、地下水、噪声、底泥及土壤等环境质量现状良好，各指标均能达标，满足相关环境质量要求。</w:t>
      </w:r>
    </w:p>
    <w:bookmarkEnd w:id="126"/>
    <w:bookmarkEnd w:id="127"/>
    <w:bookmarkEnd w:id="128"/>
    <w:bookmarkEnd w:id="129"/>
    <w:bookmarkEnd w:id="133"/>
    <w:bookmarkEnd w:id="139"/>
    <w:p w14:paraId="64897CF6">
      <w:pPr>
        <w:pStyle w:val="3"/>
        <w:pageBreakBefore w:val="0"/>
        <w:numPr>
          <w:ilvl w:val="0"/>
          <w:numId w:val="0"/>
        </w:numPr>
        <w:wordWrap/>
        <w:bidi w:val="0"/>
        <w:adjustRightInd/>
        <w:snapToGrid/>
        <w:ind w:leftChars="0"/>
        <w:jc w:val="both"/>
        <w:rPr>
          <w:rFonts w:eastAsia="宋体"/>
          <w:color w:val="auto"/>
        </w:rPr>
        <w:sectPr>
          <w:headerReference r:id="rId20" w:type="default"/>
          <w:pgSz w:w="11906" w:h="16838"/>
          <w:pgMar w:top="1701" w:right="1701" w:bottom="1701" w:left="1701" w:header="794" w:footer="1134" w:gutter="0"/>
          <w:pgBorders>
            <w:top w:val="none" w:sz="0" w:space="0"/>
            <w:left w:val="none" w:sz="0" w:space="0"/>
            <w:bottom w:val="none" w:sz="0" w:space="0"/>
            <w:right w:val="none" w:sz="0" w:space="0"/>
          </w:pgBorders>
          <w:pgNumType w:fmt="decimal"/>
          <w:cols w:space="720" w:num="1"/>
          <w:docGrid w:type="lines" w:linePitch="312" w:charSpace="0"/>
        </w:sectPr>
      </w:pPr>
      <w:bookmarkStart w:id="151" w:name="_Toc10142"/>
    </w:p>
    <w:p w14:paraId="4463CD0E">
      <w:pPr>
        <w:pStyle w:val="3"/>
        <w:pageBreakBefore w:val="0"/>
        <w:wordWrap/>
        <w:bidi w:val="0"/>
        <w:adjustRightInd/>
        <w:snapToGrid/>
        <w:rPr>
          <w:rFonts w:eastAsia="宋体"/>
          <w:color w:val="auto"/>
        </w:rPr>
      </w:pPr>
      <w:bookmarkStart w:id="152" w:name="_Toc542"/>
      <w:r>
        <w:rPr>
          <w:rFonts w:eastAsia="宋体"/>
          <w:color w:val="auto"/>
        </w:rPr>
        <w:t>环境影响预测与评价</w:t>
      </w:r>
      <w:bookmarkEnd w:id="151"/>
      <w:bookmarkEnd w:id="152"/>
    </w:p>
    <w:p w14:paraId="00796B5F">
      <w:pPr>
        <w:pStyle w:val="4"/>
        <w:pageBreakBefore w:val="0"/>
        <w:wordWrap/>
        <w:bidi w:val="0"/>
        <w:adjustRightInd/>
        <w:snapToGrid/>
        <w:rPr>
          <w:rFonts w:ascii="Times New Roman" w:hAnsi="Times New Roman" w:eastAsia="宋体"/>
          <w:color w:val="auto"/>
        </w:rPr>
      </w:pPr>
      <w:bookmarkStart w:id="153" w:name="_Toc27730"/>
      <w:bookmarkStart w:id="154" w:name="_Toc374627791"/>
      <w:bookmarkStart w:id="155" w:name="_Toc505087359"/>
      <w:bookmarkStart w:id="156" w:name="_Toc362082745"/>
      <w:bookmarkStart w:id="157" w:name="_Toc29614"/>
      <w:r>
        <w:rPr>
          <w:rFonts w:hint="eastAsia" w:ascii="Times New Roman" w:hAnsi="Times New Roman" w:eastAsia="宋体"/>
          <w:color w:val="auto"/>
        </w:rPr>
        <w:t xml:space="preserve"> </w:t>
      </w:r>
      <w:bookmarkStart w:id="158" w:name="_Toc10748"/>
      <w:r>
        <w:rPr>
          <w:rFonts w:ascii="Times New Roman" w:hAnsi="Times New Roman" w:eastAsia="宋体"/>
          <w:color w:val="auto"/>
        </w:rPr>
        <w:t>施工期环境影响预测与评价</w:t>
      </w:r>
      <w:bookmarkEnd w:id="153"/>
      <w:bookmarkEnd w:id="154"/>
      <w:bookmarkEnd w:id="155"/>
      <w:bookmarkEnd w:id="156"/>
      <w:bookmarkEnd w:id="157"/>
      <w:bookmarkEnd w:id="158"/>
    </w:p>
    <w:p w14:paraId="62DDE49D">
      <w:pPr>
        <w:pStyle w:val="5"/>
        <w:bidi w:val="0"/>
        <w:rPr>
          <w:color w:val="auto"/>
        </w:rPr>
      </w:pPr>
      <w:bookmarkStart w:id="159" w:name="_Toc23090"/>
      <w:bookmarkStart w:id="160" w:name="_Toc374627792"/>
      <w:r>
        <w:rPr>
          <w:rFonts w:hint="eastAsia"/>
          <w:color w:val="auto"/>
        </w:rPr>
        <w:t xml:space="preserve"> </w:t>
      </w:r>
      <w:r>
        <w:rPr>
          <w:color w:val="auto"/>
        </w:rPr>
        <w:t>施工期</w:t>
      </w:r>
      <w:bookmarkEnd w:id="159"/>
      <w:bookmarkEnd w:id="160"/>
      <w:r>
        <w:rPr>
          <w:color w:val="auto"/>
        </w:rPr>
        <w:t>大气环境影响预测与评价</w:t>
      </w:r>
    </w:p>
    <w:p w14:paraId="48852EF0">
      <w:pPr>
        <w:bidi w:val="0"/>
        <w:rPr>
          <w:b/>
          <w:bCs/>
          <w:color w:val="auto"/>
        </w:rPr>
      </w:pPr>
      <w:bookmarkStart w:id="161" w:name="_Toc3767"/>
      <w:r>
        <w:rPr>
          <w:b/>
          <w:bCs/>
          <w:color w:val="auto"/>
        </w:rPr>
        <w:t>1、主要大气污染因子的确定</w:t>
      </w:r>
    </w:p>
    <w:p w14:paraId="58C61A58">
      <w:pPr>
        <w:bidi w:val="0"/>
        <w:rPr>
          <w:color w:val="auto"/>
        </w:rPr>
      </w:pPr>
      <w:r>
        <w:rPr>
          <w:color w:val="auto"/>
        </w:rPr>
        <w:t>本项目废气主要来源为施工扬尘、施工机械运行产生的无组织排放废气以及装修阶段的油漆废气，其中以施工扬尘对空气环境质量的影响最大。</w:t>
      </w:r>
    </w:p>
    <w:p w14:paraId="5DA5C474">
      <w:pPr>
        <w:bidi w:val="0"/>
        <w:rPr>
          <w:color w:val="auto"/>
        </w:rPr>
      </w:pPr>
      <w:r>
        <w:rPr>
          <w:color w:val="auto"/>
        </w:rPr>
        <w:t>工程施工时，在运输车辆行驶、施工垃圾的清理及堆放、人来车往、堆料场装卸材料等均可能产生扬尘。一般情况下，扬尘产生量在有风旱季晴天多于无风和雨季，动态施工多于静态作业。</w:t>
      </w:r>
    </w:p>
    <w:p w14:paraId="0CAA4124">
      <w:pPr>
        <w:bidi w:val="0"/>
        <w:rPr>
          <w:color w:val="auto"/>
        </w:rPr>
      </w:pPr>
      <w:r>
        <w:rPr>
          <w:color w:val="auto"/>
        </w:rPr>
        <w:t>类比同类项目，本项目施工过程中的施工扬尘将是大气污染因子中对周边敏感点大气环境影响最大的一项。因此，本次环评将主要对施工扬尘对项目周围环境产生的影响进行分析评价。</w:t>
      </w:r>
    </w:p>
    <w:p w14:paraId="33BDBE49">
      <w:pPr>
        <w:pageBreakBefore w:val="0"/>
        <w:wordWrap/>
        <w:bidi w:val="0"/>
        <w:adjustRightInd/>
        <w:snapToGrid/>
        <w:ind w:firstLine="480"/>
        <w:rPr>
          <w:b/>
          <w:bCs/>
          <w:color w:val="auto"/>
        </w:rPr>
      </w:pPr>
      <w:r>
        <w:rPr>
          <w:b/>
          <w:bCs/>
          <w:color w:val="auto"/>
        </w:rPr>
        <w:t>2、</w:t>
      </w:r>
      <w:r>
        <w:rPr>
          <w:rFonts w:hint="eastAsia"/>
          <w:b/>
          <w:bCs/>
          <w:color w:val="auto"/>
          <w:lang w:val="en-US" w:eastAsia="zh-CN"/>
        </w:rPr>
        <w:t>污水处理厂施工</w:t>
      </w:r>
      <w:r>
        <w:rPr>
          <w:b/>
          <w:bCs/>
          <w:color w:val="auto"/>
        </w:rPr>
        <w:t>影响分析评价</w:t>
      </w:r>
    </w:p>
    <w:p w14:paraId="2F2DE0D7">
      <w:pPr>
        <w:pageBreakBefore w:val="0"/>
        <w:wordWrap/>
        <w:bidi w:val="0"/>
        <w:adjustRightInd/>
        <w:snapToGrid/>
        <w:ind w:firstLine="480"/>
        <w:rPr>
          <w:color w:val="auto"/>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b/>
          <w:bCs/>
          <w:color w:val="auto"/>
        </w:rPr>
        <w:t>施工扬尘</w:t>
      </w:r>
    </w:p>
    <w:p w14:paraId="507B95BD">
      <w:pPr>
        <w:pageBreakBefore w:val="0"/>
        <w:wordWrap/>
        <w:bidi w:val="0"/>
        <w:adjustRightInd/>
        <w:snapToGrid/>
        <w:ind w:firstLine="480"/>
        <w:rPr>
          <w:color w:val="auto"/>
        </w:rPr>
      </w:pPr>
      <w:r>
        <w:rPr>
          <w:color w:val="auto"/>
        </w:rPr>
        <w:t>在整个施工期间，产生扬尘的作业主要有土地平整、打桩、开挖、回填、结构浇注、建材运输、露天堆放、装卸和搅拌等过程，如遇干旱无雨季节，在大风时，施工扬尘将更严重。</w:t>
      </w:r>
    </w:p>
    <w:p w14:paraId="170C9E34">
      <w:pPr>
        <w:pageBreakBefore w:val="0"/>
        <w:wordWrap/>
        <w:bidi w:val="0"/>
        <w:adjustRightInd/>
        <w:snapToGrid/>
        <w:ind w:firstLine="480"/>
        <w:rPr>
          <w:color w:val="auto"/>
        </w:rPr>
      </w:pPr>
      <w:r>
        <w:rPr>
          <w:color w:val="auto"/>
        </w:rPr>
        <w:t>对施工工地扬尘而言，</w:t>
      </w:r>
      <w:r>
        <w:rPr>
          <w:rFonts w:hint="eastAsia"/>
          <w:color w:val="auto"/>
        </w:rPr>
        <w:t>扬尘按起尘原因可以分为风力扬尘和动力扬尘。</w:t>
      </w:r>
    </w:p>
    <w:p w14:paraId="2C1C07EA">
      <w:pPr>
        <w:bidi w:val="0"/>
        <w:rPr>
          <w:rFonts w:hint="eastAsia"/>
          <w:b/>
          <w:bCs/>
          <w:color w:val="auto"/>
          <w:lang w:eastAsia="zh-CN"/>
        </w:rPr>
      </w:pPr>
      <w:r>
        <w:rPr>
          <w:rFonts w:hint="default"/>
          <w:b/>
          <w:bCs/>
          <w:color w:val="auto"/>
          <w:lang w:eastAsia="zh-CN"/>
        </w:rPr>
        <w:t>①</w:t>
      </w:r>
      <w:r>
        <w:rPr>
          <w:rFonts w:hint="eastAsia"/>
          <w:b/>
          <w:bCs/>
          <w:color w:val="auto"/>
          <w:lang w:eastAsia="zh-CN"/>
        </w:rPr>
        <w:t>风力扬尘</w:t>
      </w:r>
    </w:p>
    <w:p w14:paraId="231082B2">
      <w:pPr>
        <w:bidi w:val="0"/>
        <w:rPr>
          <w:rFonts w:hint="eastAsia"/>
          <w:color w:val="auto"/>
          <w:lang w:eastAsia="zh-CN"/>
        </w:rPr>
      </w:pPr>
      <w:r>
        <w:rPr>
          <w:rFonts w:hint="eastAsia"/>
          <w:color w:val="auto"/>
          <w:lang w:eastAsia="zh-CN"/>
        </w:rPr>
        <w:t>风力起尘主要是由于露天堆放的建材（如砂料、水泥等）及裸露的施工区表层浮尘因天气干燥及大风，产生风尘扬尘。由于本项目污水处理厂施工的需要，一些建材需露天堆放，一些施工点表层土壤需人工开挖、堆放，在气候干燥又有风的情况下，就会产生扬尘，其扬尘可按堆场起尘的经验公式计算：</w:t>
      </w:r>
    </w:p>
    <w:p w14:paraId="525256E6">
      <w:pPr>
        <w:pageBreakBefore w:val="0"/>
        <w:wordWrap/>
        <w:bidi w:val="0"/>
        <w:adjustRightInd/>
        <w:snapToGrid/>
        <w:ind w:firstLine="480"/>
        <w:jc w:val="center"/>
        <w:rPr>
          <w:rFonts w:hint="eastAsia" w:eastAsia="宋体"/>
          <w:color w:val="auto"/>
          <w:lang w:val="en-US" w:eastAsia="zh-CN"/>
        </w:rPr>
      </w:pPr>
      <w:r>
        <w:rPr>
          <w:rFonts w:hint="eastAsia" w:eastAsia="宋体"/>
          <w:color w:val="auto"/>
          <w:position w:val="-12"/>
          <w:lang w:val="en-US" w:eastAsia="zh-CN"/>
        </w:rPr>
        <w:object>
          <v:shape id="_x0000_i1032" o:spt="75" type="#_x0000_t75" style="height:19pt;width:123pt;" o:ole="t" filled="f" o:preferrelative="t" stroked="f" coordsize="21600,21600">
            <v:path/>
            <v:fill on="f" focussize="0,0"/>
            <v:stroke on="f"/>
            <v:imagedata r:id="rId86" o:title=""/>
            <o:lock v:ext="edit" aspectratio="t"/>
            <w10:wrap type="none"/>
            <w10:anchorlock/>
          </v:shape>
          <o:OLEObject Type="Embed" ProgID="Equation.KSEE3" ShapeID="_x0000_i1032" DrawAspect="Content" ObjectID="_1468075732" r:id="rId85">
            <o:LockedField>false</o:LockedField>
          </o:OLEObject>
        </w:object>
      </w:r>
    </w:p>
    <w:p w14:paraId="3AF149C8">
      <w:pPr>
        <w:bidi w:val="0"/>
        <w:rPr>
          <w:rFonts w:hint="eastAsia"/>
          <w:color w:val="auto"/>
        </w:rPr>
      </w:pPr>
      <w:r>
        <w:rPr>
          <w:rFonts w:hint="eastAsia"/>
          <w:color w:val="auto"/>
        </w:rPr>
        <w:t>其中：Q——起尘量，kg/吨·年；</w:t>
      </w:r>
    </w:p>
    <w:p w14:paraId="20FB65D1">
      <w:pPr>
        <w:pageBreakBefore w:val="0"/>
        <w:wordWrap/>
        <w:bidi w:val="0"/>
        <w:adjustRightInd/>
        <w:snapToGrid/>
        <w:ind w:firstLine="1200" w:firstLineChars="500"/>
        <w:rPr>
          <w:rFonts w:hint="eastAsia"/>
          <w:color w:val="auto"/>
        </w:rPr>
      </w:pPr>
      <w:r>
        <w:rPr>
          <w:rFonts w:hint="eastAsia"/>
          <w:color w:val="auto"/>
        </w:rPr>
        <w:t>V</w:t>
      </w:r>
      <w:r>
        <w:rPr>
          <w:rFonts w:hint="eastAsia"/>
          <w:color w:val="auto"/>
          <w:vertAlign w:val="subscript"/>
        </w:rPr>
        <w:t>50</w:t>
      </w:r>
      <w:r>
        <w:rPr>
          <w:rFonts w:hint="eastAsia"/>
          <w:color w:val="auto"/>
        </w:rPr>
        <w:t>——距地面50m处风速，m/s；</w:t>
      </w:r>
    </w:p>
    <w:p w14:paraId="0F801294">
      <w:pPr>
        <w:pageBreakBefore w:val="0"/>
        <w:wordWrap/>
        <w:bidi w:val="0"/>
        <w:adjustRightInd/>
        <w:snapToGrid/>
        <w:ind w:firstLine="1200" w:firstLineChars="500"/>
        <w:rPr>
          <w:rFonts w:hint="eastAsia"/>
          <w:color w:val="auto"/>
        </w:rPr>
      </w:pPr>
      <w:r>
        <w:rPr>
          <w:rFonts w:hint="eastAsia"/>
          <w:color w:val="auto"/>
        </w:rPr>
        <w:t>V</w:t>
      </w:r>
      <w:r>
        <w:rPr>
          <w:rFonts w:hint="eastAsia"/>
          <w:color w:val="auto"/>
          <w:vertAlign w:val="subscript"/>
        </w:rPr>
        <w:t>0</w:t>
      </w:r>
      <w:r>
        <w:rPr>
          <w:rFonts w:hint="eastAsia"/>
          <w:color w:val="auto"/>
        </w:rPr>
        <w:t>——起尘风速，m/s；</w:t>
      </w:r>
    </w:p>
    <w:p w14:paraId="036F81CE">
      <w:pPr>
        <w:pageBreakBefore w:val="0"/>
        <w:wordWrap/>
        <w:bidi w:val="0"/>
        <w:adjustRightInd/>
        <w:snapToGrid/>
        <w:ind w:firstLine="1200" w:firstLineChars="500"/>
        <w:rPr>
          <w:rFonts w:hint="eastAsia"/>
          <w:color w:val="auto"/>
        </w:rPr>
      </w:pPr>
      <w:r>
        <w:rPr>
          <w:rFonts w:hint="eastAsia"/>
          <w:color w:val="auto"/>
        </w:rPr>
        <w:t>W——尘粒的含水率，%。</w:t>
      </w:r>
    </w:p>
    <w:p w14:paraId="62389DDB">
      <w:pPr>
        <w:pageBreakBefore w:val="0"/>
        <w:wordWrap/>
        <w:bidi w:val="0"/>
        <w:adjustRightInd/>
        <w:snapToGrid/>
        <w:ind w:firstLine="1200" w:firstLineChars="500"/>
        <w:rPr>
          <w:color w:val="auto"/>
        </w:rPr>
      </w:pPr>
      <w:r>
        <w:rPr>
          <w:rFonts w:hint="eastAsia"/>
          <w:color w:val="auto"/>
        </w:rPr>
        <w:t>V</w:t>
      </w:r>
      <w:r>
        <w:rPr>
          <w:rFonts w:hint="eastAsia"/>
          <w:color w:val="auto"/>
          <w:vertAlign w:val="subscript"/>
        </w:rPr>
        <w:t>0</w:t>
      </w:r>
      <w:r>
        <w:rPr>
          <w:rFonts w:hint="eastAsia"/>
          <w:color w:val="auto"/>
        </w:rPr>
        <w:t>与粒径和含水率有关，因此，减少露天堆放和保证一定的含水率及减少裸露地面是减少风力起尘的有效手段。</w:t>
      </w:r>
    </w:p>
    <w:p w14:paraId="2359ADC2">
      <w:pPr>
        <w:spacing w:before="37" w:line="347" w:lineRule="auto"/>
        <w:ind w:left="131" w:right="122" w:firstLine="482"/>
        <w:rPr>
          <w:rFonts w:ascii="宋体" w:hAnsi="宋体" w:eastAsia="宋体" w:cs="宋体"/>
          <w:color w:val="auto"/>
          <w:sz w:val="24"/>
          <w:szCs w:val="24"/>
        </w:rPr>
      </w:pPr>
      <w:r>
        <w:rPr>
          <w:rFonts w:ascii="宋体" w:hAnsi="宋体" w:eastAsia="宋体" w:cs="宋体"/>
          <w:color w:val="auto"/>
          <w:spacing w:val="-3"/>
          <w:sz w:val="24"/>
          <w:szCs w:val="24"/>
        </w:rPr>
        <w:t>尘粒在空气中的传播扩散情况与风速等气象条件有关，也与尘粒本身</w:t>
      </w:r>
      <w:r>
        <w:rPr>
          <w:rFonts w:ascii="宋体" w:hAnsi="宋体" w:eastAsia="宋体" w:cs="宋体"/>
          <w:color w:val="auto"/>
          <w:spacing w:val="-4"/>
          <w:sz w:val="24"/>
          <w:szCs w:val="24"/>
        </w:rPr>
        <w:t>的沉降</w:t>
      </w:r>
      <w:r>
        <w:rPr>
          <w:rFonts w:ascii="宋体" w:hAnsi="宋体" w:eastAsia="宋体" w:cs="宋体"/>
          <w:color w:val="auto"/>
          <w:spacing w:val="-1"/>
          <w:sz w:val="24"/>
          <w:szCs w:val="24"/>
        </w:rPr>
        <w:t>速度有关。以沙尘为例，不同粒径的尘粒的沉降速度见下表。</w:t>
      </w:r>
    </w:p>
    <w:p w14:paraId="7F1C7C6E">
      <w:pPr>
        <w:pStyle w:val="19"/>
        <w:numPr>
          <w:ilvl w:val="0"/>
          <w:numId w:val="29"/>
        </w:numPr>
        <w:bidi w:val="0"/>
        <w:ind w:left="420" w:leftChars="0" w:hanging="420" w:firstLineChars="0"/>
        <w:rPr>
          <w:rFonts w:ascii="宋体" w:hAnsi="宋体" w:eastAsia="宋体" w:cs="宋体"/>
          <w:color w:val="auto"/>
          <w:sz w:val="20"/>
          <w:szCs w:val="20"/>
        </w:rPr>
      </w:pPr>
      <w:r>
        <w:rPr>
          <w:rFonts w:ascii="宋体" w:hAnsi="宋体" w:eastAsia="宋体" w:cs="宋体"/>
          <w:color w:val="auto"/>
          <w:spacing w:val="7"/>
          <w:sz w:val="20"/>
          <w:szCs w:val="20"/>
        </w:rPr>
        <w:t>不同粒径尘粒的沉降速度</w:t>
      </w:r>
    </w:p>
    <w:tbl>
      <w:tblPr>
        <w:tblStyle w:val="706"/>
        <w:tblW w:w="5012"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818"/>
        <w:gridCol w:w="989"/>
        <w:gridCol w:w="989"/>
        <w:gridCol w:w="989"/>
        <w:gridCol w:w="989"/>
        <w:gridCol w:w="989"/>
        <w:gridCol w:w="844"/>
        <w:gridCol w:w="917"/>
      </w:tblGrid>
      <w:tr w14:paraId="24AA9F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6" w:type="pct"/>
            <w:tcBorders>
              <w:tl2br w:val="nil"/>
              <w:tr2bl w:val="nil"/>
            </w:tcBorders>
            <w:vAlign w:val="center"/>
          </w:tcPr>
          <w:p w14:paraId="164CDDD6">
            <w:pPr>
              <w:pStyle w:val="16"/>
              <w:bidi w:val="0"/>
              <w:rPr>
                <w:b/>
                <w:bCs/>
                <w:color w:val="auto"/>
              </w:rPr>
            </w:pPr>
            <w:r>
              <w:rPr>
                <w:b/>
                <w:bCs/>
                <w:color w:val="auto"/>
              </w:rPr>
              <w:t>粒径</w:t>
            </w:r>
            <w:r>
              <w:rPr>
                <w:rFonts w:hint="eastAsia"/>
                <w:b/>
                <w:bCs/>
                <w:color w:val="auto"/>
                <w:lang w:eastAsia="zh-CN"/>
              </w:rPr>
              <w:t>，</w:t>
            </w:r>
            <w:r>
              <w:rPr>
                <w:b/>
                <w:bCs/>
                <w:color w:val="auto"/>
              </w:rPr>
              <w:t>μm</w:t>
            </w:r>
          </w:p>
        </w:tc>
        <w:tc>
          <w:tcPr>
            <w:tcW w:w="580" w:type="pct"/>
            <w:tcBorders>
              <w:tl2br w:val="nil"/>
              <w:tr2bl w:val="nil"/>
            </w:tcBorders>
            <w:vAlign w:val="center"/>
          </w:tcPr>
          <w:p w14:paraId="50BC8C6A">
            <w:pPr>
              <w:pStyle w:val="16"/>
              <w:bidi w:val="0"/>
              <w:rPr>
                <w:color w:val="auto"/>
              </w:rPr>
            </w:pPr>
            <w:r>
              <w:rPr>
                <w:color w:val="auto"/>
              </w:rPr>
              <w:t>10</w:t>
            </w:r>
          </w:p>
        </w:tc>
        <w:tc>
          <w:tcPr>
            <w:tcW w:w="580" w:type="pct"/>
            <w:tcBorders>
              <w:tl2br w:val="nil"/>
              <w:tr2bl w:val="nil"/>
            </w:tcBorders>
            <w:vAlign w:val="center"/>
          </w:tcPr>
          <w:p w14:paraId="7BEE1785">
            <w:pPr>
              <w:pStyle w:val="16"/>
              <w:bidi w:val="0"/>
              <w:rPr>
                <w:color w:val="auto"/>
              </w:rPr>
            </w:pPr>
            <w:r>
              <w:rPr>
                <w:color w:val="auto"/>
              </w:rPr>
              <w:t>20</w:t>
            </w:r>
          </w:p>
        </w:tc>
        <w:tc>
          <w:tcPr>
            <w:tcW w:w="580" w:type="pct"/>
            <w:tcBorders>
              <w:tl2br w:val="nil"/>
              <w:tr2bl w:val="nil"/>
            </w:tcBorders>
            <w:vAlign w:val="center"/>
          </w:tcPr>
          <w:p w14:paraId="58686A2C">
            <w:pPr>
              <w:pStyle w:val="16"/>
              <w:bidi w:val="0"/>
              <w:rPr>
                <w:color w:val="auto"/>
              </w:rPr>
            </w:pPr>
            <w:r>
              <w:rPr>
                <w:color w:val="auto"/>
              </w:rPr>
              <w:t>30</w:t>
            </w:r>
          </w:p>
        </w:tc>
        <w:tc>
          <w:tcPr>
            <w:tcW w:w="580" w:type="pct"/>
            <w:tcBorders>
              <w:tl2br w:val="nil"/>
              <w:tr2bl w:val="nil"/>
            </w:tcBorders>
            <w:vAlign w:val="center"/>
          </w:tcPr>
          <w:p w14:paraId="14AD481C">
            <w:pPr>
              <w:pStyle w:val="16"/>
              <w:bidi w:val="0"/>
              <w:rPr>
                <w:color w:val="auto"/>
              </w:rPr>
            </w:pPr>
            <w:r>
              <w:rPr>
                <w:color w:val="auto"/>
              </w:rPr>
              <w:t>40</w:t>
            </w:r>
          </w:p>
        </w:tc>
        <w:tc>
          <w:tcPr>
            <w:tcW w:w="580" w:type="pct"/>
            <w:tcBorders>
              <w:tl2br w:val="nil"/>
              <w:tr2bl w:val="nil"/>
            </w:tcBorders>
            <w:vAlign w:val="center"/>
          </w:tcPr>
          <w:p w14:paraId="0B48077B">
            <w:pPr>
              <w:pStyle w:val="16"/>
              <w:bidi w:val="0"/>
              <w:rPr>
                <w:color w:val="auto"/>
              </w:rPr>
            </w:pPr>
            <w:r>
              <w:rPr>
                <w:color w:val="auto"/>
              </w:rPr>
              <w:t>50</w:t>
            </w:r>
          </w:p>
        </w:tc>
        <w:tc>
          <w:tcPr>
            <w:tcW w:w="495" w:type="pct"/>
            <w:tcBorders>
              <w:tl2br w:val="nil"/>
              <w:tr2bl w:val="nil"/>
            </w:tcBorders>
            <w:vAlign w:val="center"/>
          </w:tcPr>
          <w:p w14:paraId="3B00AEC9">
            <w:pPr>
              <w:pStyle w:val="16"/>
              <w:bidi w:val="0"/>
              <w:rPr>
                <w:color w:val="auto"/>
              </w:rPr>
            </w:pPr>
            <w:r>
              <w:rPr>
                <w:color w:val="auto"/>
              </w:rPr>
              <w:t>60</w:t>
            </w:r>
          </w:p>
        </w:tc>
        <w:tc>
          <w:tcPr>
            <w:tcW w:w="537" w:type="pct"/>
            <w:tcBorders>
              <w:tl2br w:val="nil"/>
              <w:tr2bl w:val="nil"/>
            </w:tcBorders>
            <w:vAlign w:val="center"/>
          </w:tcPr>
          <w:p w14:paraId="0BCDFE3B">
            <w:pPr>
              <w:pStyle w:val="16"/>
              <w:bidi w:val="0"/>
              <w:rPr>
                <w:color w:val="auto"/>
              </w:rPr>
            </w:pPr>
            <w:r>
              <w:rPr>
                <w:color w:val="auto"/>
              </w:rPr>
              <w:t>70</w:t>
            </w:r>
          </w:p>
        </w:tc>
      </w:tr>
      <w:tr w14:paraId="1BAFFC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6" w:type="pct"/>
            <w:tcBorders>
              <w:tl2br w:val="nil"/>
              <w:tr2bl w:val="nil"/>
            </w:tcBorders>
            <w:vAlign w:val="center"/>
          </w:tcPr>
          <w:p w14:paraId="3DF209D1">
            <w:pPr>
              <w:pStyle w:val="16"/>
              <w:bidi w:val="0"/>
              <w:rPr>
                <w:b/>
                <w:bCs/>
                <w:color w:val="auto"/>
              </w:rPr>
            </w:pPr>
            <w:r>
              <w:rPr>
                <w:b/>
                <w:bCs/>
                <w:color w:val="auto"/>
              </w:rPr>
              <w:t>沉降速度</w:t>
            </w:r>
            <w:r>
              <w:rPr>
                <w:rFonts w:hint="eastAsia"/>
                <w:b/>
                <w:bCs/>
                <w:color w:val="auto"/>
                <w:lang w:eastAsia="zh-CN"/>
              </w:rPr>
              <w:t>，</w:t>
            </w:r>
            <w:r>
              <w:rPr>
                <w:b/>
                <w:bCs/>
                <w:color w:val="auto"/>
              </w:rPr>
              <w:t>m/s</w:t>
            </w:r>
          </w:p>
        </w:tc>
        <w:tc>
          <w:tcPr>
            <w:tcW w:w="580" w:type="pct"/>
            <w:tcBorders>
              <w:tl2br w:val="nil"/>
              <w:tr2bl w:val="nil"/>
            </w:tcBorders>
            <w:vAlign w:val="center"/>
          </w:tcPr>
          <w:p w14:paraId="35ED4300">
            <w:pPr>
              <w:pStyle w:val="16"/>
              <w:bidi w:val="0"/>
              <w:rPr>
                <w:color w:val="auto"/>
              </w:rPr>
            </w:pPr>
            <w:r>
              <w:rPr>
                <w:color w:val="auto"/>
              </w:rPr>
              <w:t>0.003</w:t>
            </w:r>
          </w:p>
        </w:tc>
        <w:tc>
          <w:tcPr>
            <w:tcW w:w="580" w:type="pct"/>
            <w:tcBorders>
              <w:tl2br w:val="nil"/>
              <w:tr2bl w:val="nil"/>
            </w:tcBorders>
            <w:vAlign w:val="center"/>
          </w:tcPr>
          <w:p w14:paraId="48E86E8F">
            <w:pPr>
              <w:pStyle w:val="16"/>
              <w:bidi w:val="0"/>
              <w:rPr>
                <w:color w:val="auto"/>
              </w:rPr>
            </w:pPr>
            <w:r>
              <w:rPr>
                <w:color w:val="auto"/>
              </w:rPr>
              <w:t>0.012</w:t>
            </w:r>
          </w:p>
        </w:tc>
        <w:tc>
          <w:tcPr>
            <w:tcW w:w="580" w:type="pct"/>
            <w:tcBorders>
              <w:tl2br w:val="nil"/>
              <w:tr2bl w:val="nil"/>
            </w:tcBorders>
            <w:vAlign w:val="center"/>
          </w:tcPr>
          <w:p w14:paraId="3174F806">
            <w:pPr>
              <w:pStyle w:val="16"/>
              <w:bidi w:val="0"/>
              <w:rPr>
                <w:color w:val="auto"/>
              </w:rPr>
            </w:pPr>
            <w:r>
              <w:rPr>
                <w:color w:val="auto"/>
              </w:rPr>
              <w:t>0.027</w:t>
            </w:r>
          </w:p>
        </w:tc>
        <w:tc>
          <w:tcPr>
            <w:tcW w:w="580" w:type="pct"/>
            <w:tcBorders>
              <w:tl2br w:val="nil"/>
              <w:tr2bl w:val="nil"/>
            </w:tcBorders>
            <w:vAlign w:val="center"/>
          </w:tcPr>
          <w:p w14:paraId="0F4F5910">
            <w:pPr>
              <w:pStyle w:val="16"/>
              <w:bidi w:val="0"/>
              <w:rPr>
                <w:color w:val="auto"/>
              </w:rPr>
            </w:pPr>
            <w:r>
              <w:rPr>
                <w:color w:val="auto"/>
              </w:rPr>
              <w:t>0.048</w:t>
            </w:r>
          </w:p>
        </w:tc>
        <w:tc>
          <w:tcPr>
            <w:tcW w:w="580" w:type="pct"/>
            <w:tcBorders>
              <w:tl2br w:val="nil"/>
              <w:tr2bl w:val="nil"/>
            </w:tcBorders>
            <w:vAlign w:val="center"/>
          </w:tcPr>
          <w:p w14:paraId="2055B300">
            <w:pPr>
              <w:pStyle w:val="16"/>
              <w:bidi w:val="0"/>
              <w:rPr>
                <w:color w:val="auto"/>
              </w:rPr>
            </w:pPr>
            <w:r>
              <w:rPr>
                <w:color w:val="auto"/>
              </w:rPr>
              <w:t>0.075</w:t>
            </w:r>
          </w:p>
        </w:tc>
        <w:tc>
          <w:tcPr>
            <w:tcW w:w="495" w:type="pct"/>
            <w:tcBorders>
              <w:tl2br w:val="nil"/>
              <w:tr2bl w:val="nil"/>
            </w:tcBorders>
            <w:vAlign w:val="center"/>
          </w:tcPr>
          <w:p w14:paraId="2DD273A3">
            <w:pPr>
              <w:pStyle w:val="16"/>
              <w:bidi w:val="0"/>
              <w:rPr>
                <w:color w:val="auto"/>
              </w:rPr>
            </w:pPr>
            <w:r>
              <w:rPr>
                <w:color w:val="auto"/>
              </w:rPr>
              <w:t>0.108</w:t>
            </w:r>
          </w:p>
        </w:tc>
        <w:tc>
          <w:tcPr>
            <w:tcW w:w="537" w:type="pct"/>
            <w:tcBorders>
              <w:tl2br w:val="nil"/>
              <w:tr2bl w:val="nil"/>
            </w:tcBorders>
            <w:vAlign w:val="center"/>
          </w:tcPr>
          <w:p w14:paraId="379216B5">
            <w:pPr>
              <w:pStyle w:val="16"/>
              <w:bidi w:val="0"/>
              <w:rPr>
                <w:color w:val="auto"/>
              </w:rPr>
            </w:pPr>
            <w:r>
              <w:rPr>
                <w:color w:val="auto"/>
              </w:rPr>
              <w:t>0.147</w:t>
            </w:r>
          </w:p>
        </w:tc>
      </w:tr>
      <w:tr w14:paraId="4373BF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6" w:type="pct"/>
            <w:tcBorders>
              <w:tl2br w:val="nil"/>
              <w:tr2bl w:val="nil"/>
            </w:tcBorders>
            <w:vAlign w:val="center"/>
          </w:tcPr>
          <w:p w14:paraId="23F68998">
            <w:pPr>
              <w:pStyle w:val="16"/>
              <w:bidi w:val="0"/>
              <w:rPr>
                <w:b/>
                <w:bCs/>
                <w:color w:val="auto"/>
              </w:rPr>
            </w:pPr>
            <w:r>
              <w:rPr>
                <w:b/>
                <w:bCs/>
                <w:color w:val="auto"/>
              </w:rPr>
              <w:t>粒径</w:t>
            </w:r>
            <w:r>
              <w:rPr>
                <w:rFonts w:hint="eastAsia"/>
                <w:b/>
                <w:bCs/>
                <w:color w:val="auto"/>
                <w:lang w:eastAsia="zh-CN"/>
              </w:rPr>
              <w:t>，</w:t>
            </w:r>
            <w:r>
              <w:rPr>
                <w:b/>
                <w:bCs/>
                <w:color w:val="auto"/>
              </w:rPr>
              <w:t>μm</w:t>
            </w:r>
          </w:p>
        </w:tc>
        <w:tc>
          <w:tcPr>
            <w:tcW w:w="580" w:type="pct"/>
            <w:tcBorders>
              <w:tl2br w:val="nil"/>
              <w:tr2bl w:val="nil"/>
            </w:tcBorders>
            <w:vAlign w:val="center"/>
          </w:tcPr>
          <w:p w14:paraId="386ACA99">
            <w:pPr>
              <w:pStyle w:val="16"/>
              <w:bidi w:val="0"/>
              <w:rPr>
                <w:color w:val="auto"/>
              </w:rPr>
            </w:pPr>
            <w:r>
              <w:rPr>
                <w:color w:val="auto"/>
              </w:rPr>
              <w:t>80</w:t>
            </w:r>
          </w:p>
        </w:tc>
        <w:tc>
          <w:tcPr>
            <w:tcW w:w="580" w:type="pct"/>
            <w:tcBorders>
              <w:tl2br w:val="nil"/>
              <w:tr2bl w:val="nil"/>
            </w:tcBorders>
            <w:vAlign w:val="center"/>
          </w:tcPr>
          <w:p w14:paraId="7431F121">
            <w:pPr>
              <w:pStyle w:val="16"/>
              <w:bidi w:val="0"/>
              <w:rPr>
                <w:color w:val="auto"/>
              </w:rPr>
            </w:pPr>
            <w:r>
              <w:rPr>
                <w:color w:val="auto"/>
              </w:rPr>
              <w:t>90</w:t>
            </w:r>
          </w:p>
        </w:tc>
        <w:tc>
          <w:tcPr>
            <w:tcW w:w="580" w:type="pct"/>
            <w:tcBorders>
              <w:tl2br w:val="nil"/>
              <w:tr2bl w:val="nil"/>
            </w:tcBorders>
            <w:vAlign w:val="center"/>
          </w:tcPr>
          <w:p w14:paraId="7D3D6CBB">
            <w:pPr>
              <w:pStyle w:val="16"/>
              <w:bidi w:val="0"/>
              <w:rPr>
                <w:color w:val="auto"/>
              </w:rPr>
            </w:pPr>
            <w:r>
              <w:rPr>
                <w:color w:val="auto"/>
              </w:rPr>
              <w:t>100</w:t>
            </w:r>
          </w:p>
        </w:tc>
        <w:tc>
          <w:tcPr>
            <w:tcW w:w="580" w:type="pct"/>
            <w:tcBorders>
              <w:tl2br w:val="nil"/>
              <w:tr2bl w:val="nil"/>
            </w:tcBorders>
            <w:vAlign w:val="center"/>
          </w:tcPr>
          <w:p w14:paraId="27C2EBC8">
            <w:pPr>
              <w:pStyle w:val="16"/>
              <w:bidi w:val="0"/>
              <w:rPr>
                <w:color w:val="auto"/>
              </w:rPr>
            </w:pPr>
            <w:r>
              <w:rPr>
                <w:color w:val="auto"/>
              </w:rPr>
              <w:t>150</w:t>
            </w:r>
          </w:p>
        </w:tc>
        <w:tc>
          <w:tcPr>
            <w:tcW w:w="580" w:type="pct"/>
            <w:tcBorders>
              <w:tl2br w:val="nil"/>
              <w:tr2bl w:val="nil"/>
            </w:tcBorders>
            <w:vAlign w:val="center"/>
          </w:tcPr>
          <w:p w14:paraId="4C677643">
            <w:pPr>
              <w:pStyle w:val="16"/>
              <w:bidi w:val="0"/>
              <w:rPr>
                <w:color w:val="auto"/>
              </w:rPr>
            </w:pPr>
            <w:r>
              <w:rPr>
                <w:color w:val="auto"/>
              </w:rPr>
              <w:t>200</w:t>
            </w:r>
          </w:p>
        </w:tc>
        <w:tc>
          <w:tcPr>
            <w:tcW w:w="495" w:type="pct"/>
            <w:tcBorders>
              <w:tl2br w:val="nil"/>
              <w:tr2bl w:val="nil"/>
            </w:tcBorders>
            <w:vAlign w:val="center"/>
          </w:tcPr>
          <w:p w14:paraId="4BB0A643">
            <w:pPr>
              <w:pStyle w:val="16"/>
              <w:bidi w:val="0"/>
              <w:rPr>
                <w:color w:val="auto"/>
              </w:rPr>
            </w:pPr>
            <w:r>
              <w:rPr>
                <w:color w:val="auto"/>
              </w:rPr>
              <w:t>250</w:t>
            </w:r>
          </w:p>
        </w:tc>
        <w:tc>
          <w:tcPr>
            <w:tcW w:w="537" w:type="pct"/>
            <w:tcBorders>
              <w:tl2br w:val="nil"/>
              <w:tr2bl w:val="nil"/>
            </w:tcBorders>
            <w:vAlign w:val="center"/>
          </w:tcPr>
          <w:p w14:paraId="5910C670">
            <w:pPr>
              <w:pStyle w:val="16"/>
              <w:bidi w:val="0"/>
              <w:rPr>
                <w:color w:val="auto"/>
              </w:rPr>
            </w:pPr>
            <w:r>
              <w:rPr>
                <w:color w:val="auto"/>
              </w:rPr>
              <w:t>350</w:t>
            </w:r>
          </w:p>
        </w:tc>
      </w:tr>
      <w:tr w14:paraId="6F2791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6" w:type="pct"/>
            <w:tcBorders>
              <w:tl2br w:val="nil"/>
              <w:tr2bl w:val="nil"/>
            </w:tcBorders>
            <w:vAlign w:val="center"/>
          </w:tcPr>
          <w:p w14:paraId="39D15192">
            <w:pPr>
              <w:pStyle w:val="16"/>
              <w:bidi w:val="0"/>
              <w:rPr>
                <w:b/>
                <w:bCs/>
                <w:color w:val="auto"/>
              </w:rPr>
            </w:pPr>
            <w:r>
              <w:rPr>
                <w:b/>
                <w:bCs/>
                <w:color w:val="auto"/>
              </w:rPr>
              <w:t>沉降速度</w:t>
            </w:r>
            <w:r>
              <w:rPr>
                <w:rFonts w:hint="eastAsia"/>
                <w:b/>
                <w:bCs/>
                <w:color w:val="auto"/>
                <w:lang w:eastAsia="zh-CN"/>
              </w:rPr>
              <w:t>，</w:t>
            </w:r>
            <w:r>
              <w:rPr>
                <w:b/>
                <w:bCs/>
                <w:color w:val="auto"/>
              </w:rPr>
              <w:t>m/s</w:t>
            </w:r>
          </w:p>
        </w:tc>
        <w:tc>
          <w:tcPr>
            <w:tcW w:w="580" w:type="pct"/>
            <w:tcBorders>
              <w:tl2br w:val="nil"/>
              <w:tr2bl w:val="nil"/>
            </w:tcBorders>
            <w:vAlign w:val="center"/>
          </w:tcPr>
          <w:p w14:paraId="5FB93570">
            <w:pPr>
              <w:pStyle w:val="16"/>
              <w:bidi w:val="0"/>
              <w:rPr>
                <w:color w:val="auto"/>
              </w:rPr>
            </w:pPr>
            <w:r>
              <w:rPr>
                <w:color w:val="auto"/>
              </w:rPr>
              <w:t>0.158</w:t>
            </w:r>
          </w:p>
        </w:tc>
        <w:tc>
          <w:tcPr>
            <w:tcW w:w="580" w:type="pct"/>
            <w:tcBorders>
              <w:tl2br w:val="nil"/>
              <w:tr2bl w:val="nil"/>
            </w:tcBorders>
            <w:vAlign w:val="center"/>
          </w:tcPr>
          <w:p w14:paraId="617851F8">
            <w:pPr>
              <w:pStyle w:val="16"/>
              <w:bidi w:val="0"/>
              <w:rPr>
                <w:color w:val="auto"/>
              </w:rPr>
            </w:pPr>
            <w:r>
              <w:rPr>
                <w:color w:val="auto"/>
              </w:rPr>
              <w:t>0.170</w:t>
            </w:r>
          </w:p>
        </w:tc>
        <w:tc>
          <w:tcPr>
            <w:tcW w:w="580" w:type="pct"/>
            <w:tcBorders>
              <w:tl2br w:val="nil"/>
              <w:tr2bl w:val="nil"/>
            </w:tcBorders>
            <w:vAlign w:val="center"/>
          </w:tcPr>
          <w:p w14:paraId="6CEB2B98">
            <w:pPr>
              <w:pStyle w:val="16"/>
              <w:bidi w:val="0"/>
              <w:rPr>
                <w:color w:val="auto"/>
              </w:rPr>
            </w:pPr>
            <w:r>
              <w:rPr>
                <w:color w:val="auto"/>
              </w:rPr>
              <w:t>0.182</w:t>
            </w:r>
          </w:p>
        </w:tc>
        <w:tc>
          <w:tcPr>
            <w:tcW w:w="580" w:type="pct"/>
            <w:tcBorders>
              <w:tl2br w:val="nil"/>
              <w:tr2bl w:val="nil"/>
            </w:tcBorders>
            <w:vAlign w:val="center"/>
          </w:tcPr>
          <w:p w14:paraId="6FA77BA6">
            <w:pPr>
              <w:pStyle w:val="16"/>
              <w:bidi w:val="0"/>
              <w:rPr>
                <w:color w:val="auto"/>
              </w:rPr>
            </w:pPr>
            <w:r>
              <w:rPr>
                <w:color w:val="auto"/>
              </w:rPr>
              <w:t>0.239</w:t>
            </w:r>
          </w:p>
        </w:tc>
        <w:tc>
          <w:tcPr>
            <w:tcW w:w="580" w:type="pct"/>
            <w:tcBorders>
              <w:tl2br w:val="nil"/>
              <w:tr2bl w:val="nil"/>
            </w:tcBorders>
            <w:vAlign w:val="center"/>
          </w:tcPr>
          <w:p w14:paraId="2C322BAF">
            <w:pPr>
              <w:pStyle w:val="16"/>
              <w:bidi w:val="0"/>
              <w:rPr>
                <w:color w:val="auto"/>
              </w:rPr>
            </w:pPr>
            <w:r>
              <w:rPr>
                <w:color w:val="auto"/>
              </w:rPr>
              <w:t>0.804</w:t>
            </w:r>
          </w:p>
        </w:tc>
        <w:tc>
          <w:tcPr>
            <w:tcW w:w="495" w:type="pct"/>
            <w:tcBorders>
              <w:tl2br w:val="nil"/>
              <w:tr2bl w:val="nil"/>
            </w:tcBorders>
            <w:vAlign w:val="center"/>
          </w:tcPr>
          <w:p w14:paraId="4FE66F00">
            <w:pPr>
              <w:pStyle w:val="16"/>
              <w:bidi w:val="0"/>
              <w:rPr>
                <w:color w:val="auto"/>
              </w:rPr>
            </w:pPr>
            <w:r>
              <w:rPr>
                <w:color w:val="auto"/>
              </w:rPr>
              <w:t>1.005</w:t>
            </w:r>
          </w:p>
        </w:tc>
        <w:tc>
          <w:tcPr>
            <w:tcW w:w="537" w:type="pct"/>
            <w:tcBorders>
              <w:tl2br w:val="nil"/>
              <w:tr2bl w:val="nil"/>
            </w:tcBorders>
            <w:vAlign w:val="center"/>
          </w:tcPr>
          <w:p w14:paraId="19EC8A7D">
            <w:pPr>
              <w:pStyle w:val="16"/>
              <w:bidi w:val="0"/>
              <w:rPr>
                <w:color w:val="auto"/>
              </w:rPr>
            </w:pPr>
            <w:r>
              <w:rPr>
                <w:color w:val="auto"/>
              </w:rPr>
              <w:t>1.829</w:t>
            </w:r>
          </w:p>
        </w:tc>
      </w:tr>
      <w:tr w14:paraId="41BAB5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6" w:type="pct"/>
            <w:tcBorders>
              <w:tl2br w:val="nil"/>
              <w:tr2bl w:val="nil"/>
            </w:tcBorders>
            <w:vAlign w:val="center"/>
          </w:tcPr>
          <w:p w14:paraId="2E5ABEEF">
            <w:pPr>
              <w:pStyle w:val="16"/>
              <w:bidi w:val="0"/>
              <w:rPr>
                <w:b/>
                <w:bCs/>
                <w:color w:val="auto"/>
              </w:rPr>
            </w:pPr>
            <w:r>
              <w:rPr>
                <w:b/>
                <w:bCs/>
                <w:color w:val="auto"/>
              </w:rPr>
              <w:t>粒径</w:t>
            </w:r>
            <w:r>
              <w:rPr>
                <w:rFonts w:hint="eastAsia"/>
                <w:b/>
                <w:bCs/>
                <w:color w:val="auto"/>
                <w:lang w:eastAsia="zh-CN"/>
              </w:rPr>
              <w:t>，</w:t>
            </w:r>
            <w:r>
              <w:rPr>
                <w:b/>
                <w:bCs/>
                <w:color w:val="auto"/>
              </w:rPr>
              <w:t>μm</w:t>
            </w:r>
          </w:p>
        </w:tc>
        <w:tc>
          <w:tcPr>
            <w:tcW w:w="580" w:type="pct"/>
            <w:tcBorders>
              <w:tl2br w:val="nil"/>
              <w:tr2bl w:val="nil"/>
            </w:tcBorders>
            <w:vAlign w:val="center"/>
          </w:tcPr>
          <w:p w14:paraId="2FFE8192">
            <w:pPr>
              <w:pStyle w:val="16"/>
              <w:bidi w:val="0"/>
              <w:rPr>
                <w:color w:val="auto"/>
              </w:rPr>
            </w:pPr>
            <w:r>
              <w:rPr>
                <w:color w:val="auto"/>
              </w:rPr>
              <w:t>450</w:t>
            </w:r>
          </w:p>
        </w:tc>
        <w:tc>
          <w:tcPr>
            <w:tcW w:w="580" w:type="pct"/>
            <w:tcBorders>
              <w:tl2br w:val="nil"/>
              <w:tr2bl w:val="nil"/>
            </w:tcBorders>
            <w:vAlign w:val="center"/>
          </w:tcPr>
          <w:p w14:paraId="179334F5">
            <w:pPr>
              <w:pStyle w:val="16"/>
              <w:bidi w:val="0"/>
              <w:rPr>
                <w:color w:val="auto"/>
              </w:rPr>
            </w:pPr>
            <w:r>
              <w:rPr>
                <w:color w:val="auto"/>
              </w:rPr>
              <w:t>550</w:t>
            </w:r>
          </w:p>
        </w:tc>
        <w:tc>
          <w:tcPr>
            <w:tcW w:w="580" w:type="pct"/>
            <w:tcBorders>
              <w:tl2br w:val="nil"/>
              <w:tr2bl w:val="nil"/>
            </w:tcBorders>
            <w:vAlign w:val="center"/>
          </w:tcPr>
          <w:p w14:paraId="68778D6A">
            <w:pPr>
              <w:pStyle w:val="16"/>
              <w:bidi w:val="0"/>
              <w:rPr>
                <w:color w:val="auto"/>
              </w:rPr>
            </w:pPr>
            <w:r>
              <w:rPr>
                <w:color w:val="auto"/>
              </w:rPr>
              <w:t>650</w:t>
            </w:r>
          </w:p>
        </w:tc>
        <w:tc>
          <w:tcPr>
            <w:tcW w:w="580" w:type="pct"/>
            <w:tcBorders>
              <w:tl2br w:val="nil"/>
              <w:tr2bl w:val="nil"/>
            </w:tcBorders>
            <w:vAlign w:val="center"/>
          </w:tcPr>
          <w:p w14:paraId="52985ED6">
            <w:pPr>
              <w:pStyle w:val="16"/>
              <w:bidi w:val="0"/>
              <w:rPr>
                <w:color w:val="auto"/>
              </w:rPr>
            </w:pPr>
            <w:r>
              <w:rPr>
                <w:color w:val="auto"/>
              </w:rPr>
              <w:t>750</w:t>
            </w:r>
          </w:p>
        </w:tc>
        <w:tc>
          <w:tcPr>
            <w:tcW w:w="580" w:type="pct"/>
            <w:tcBorders>
              <w:tl2br w:val="nil"/>
              <w:tr2bl w:val="nil"/>
            </w:tcBorders>
            <w:vAlign w:val="center"/>
          </w:tcPr>
          <w:p w14:paraId="32ED8A7A">
            <w:pPr>
              <w:pStyle w:val="16"/>
              <w:bidi w:val="0"/>
              <w:rPr>
                <w:color w:val="auto"/>
              </w:rPr>
            </w:pPr>
            <w:r>
              <w:rPr>
                <w:color w:val="auto"/>
              </w:rPr>
              <w:t>850</w:t>
            </w:r>
          </w:p>
        </w:tc>
        <w:tc>
          <w:tcPr>
            <w:tcW w:w="495" w:type="pct"/>
            <w:tcBorders>
              <w:tl2br w:val="nil"/>
              <w:tr2bl w:val="nil"/>
            </w:tcBorders>
            <w:vAlign w:val="center"/>
          </w:tcPr>
          <w:p w14:paraId="2B869161">
            <w:pPr>
              <w:pStyle w:val="16"/>
              <w:bidi w:val="0"/>
              <w:rPr>
                <w:color w:val="auto"/>
              </w:rPr>
            </w:pPr>
            <w:r>
              <w:rPr>
                <w:color w:val="auto"/>
              </w:rPr>
              <w:t>950</w:t>
            </w:r>
          </w:p>
        </w:tc>
        <w:tc>
          <w:tcPr>
            <w:tcW w:w="537" w:type="pct"/>
            <w:tcBorders>
              <w:tl2br w:val="nil"/>
              <w:tr2bl w:val="nil"/>
            </w:tcBorders>
            <w:vAlign w:val="center"/>
          </w:tcPr>
          <w:p w14:paraId="29B7509B">
            <w:pPr>
              <w:pStyle w:val="16"/>
              <w:bidi w:val="0"/>
              <w:rPr>
                <w:color w:val="auto"/>
              </w:rPr>
            </w:pPr>
            <w:r>
              <w:rPr>
                <w:color w:val="auto"/>
              </w:rPr>
              <w:t>1050</w:t>
            </w:r>
          </w:p>
        </w:tc>
      </w:tr>
      <w:tr w14:paraId="7F9EB6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6" w:type="pct"/>
            <w:tcBorders>
              <w:tl2br w:val="nil"/>
              <w:tr2bl w:val="nil"/>
            </w:tcBorders>
            <w:vAlign w:val="center"/>
          </w:tcPr>
          <w:p w14:paraId="4D6F20D1">
            <w:pPr>
              <w:pStyle w:val="16"/>
              <w:bidi w:val="0"/>
              <w:rPr>
                <w:b/>
                <w:bCs/>
                <w:color w:val="auto"/>
              </w:rPr>
            </w:pPr>
            <w:r>
              <w:rPr>
                <w:b/>
                <w:bCs/>
                <w:color w:val="auto"/>
              </w:rPr>
              <w:t>沉降速度</w:t>
            </w:r>
            <w:r>
              <w:rPr>
                <w:rFonts w:hint="eastAsia"/>
                <w:b/>
                <w:bCs/>
                <w:color w:val="auto"/>
                <w:lang w:eastAsia="zh-CN"/>
              </w:rPr>
              <w:t>，</w:t>
            </w:r>
            <w:r>
              <w:rPr>
                <w:b/>
                <w:bCs/>
                <w:color w:val="auto"/>
              </w:rPr>
              <w:t>m/s</w:t>
            </w:r>
          </w:p>
        </w:tc>
        <w:tc>
          <w:tcPr>
            <w:tcW w:w="580" w:type="pct"/>
            <w:tcBorders>
              <w:tl2br w:val="nil"/>
              <w:tr2bl w:val="nil"/>
            </w:tcBorders>
            <w:vAlign w:val="center"/>
          </w:tcPr>
          <w:p w14:paraId="3A2AAA80">
            <w:pPr>
              <w:pStyle w:val="16"/>
              <w:bidi w:val="0"/>
              <w:rPr>
                <w:color w:val="auto"/>
              </w:rPr>
            </w:pPr>
            <w:r>
              <w:rPr>
                <w:color w:val="auto"/>
              </w:rPr>
              <w:t>2.211</w:t>
            </w:r>
          </w:p>
        </w:tc>
        <w:tc>
          <w:tcPr>
            <w:tcW w:w="580" w:type="pct"/>
            <w:tcBorders>
              <w:tl2br w:val="nil"/>
              <w:tr2bl w:val="nil"/>
            </w:tcBorders>
            <w:vAlign w:val="center"/>
          </w:tcPr>
          <w:p w14:paraId="509DAD35">
            <w:pPr>
              <w:pStyle w:val="16"/>
              <w:bidi w:val="0"/>
              <w:rPr>
                <w:color w:val="auto"/>
              </w:rPr>
            </w:pPr>
            <w:r>
              <w:rPr>
                <w:color w:val="auto"/>
              </w:rPr>
              <w:t>2.614</w:t>
            </w:r>
          </w:p>
        </w:tc>
        <w:tc>
          <w:tcPr>
            <w:tcW w:w="580" w:type="pct"/>
            <w:tcBorders>
              <w:tl2br w:val="nil"/>
              <w:tr2bl w:val="nil"/>
            </w:tcBorders>
            <w:vAlign w:val="center"/>
          </w:tcPr>
          <w:p w14:paraId="21BCDA2A">
            <w:pPr>
              <w:pStyle w:val="16"/>
              <w:bidi w:val="0"/>
              <w:rPr>
                <w:color w:val="auto"/>
              </w:rPr>
            </w:pPr>
            <w:r>
              <w:rPr>
                <w:color w:val="auto"/>
              </w:rPr>
              <w:t>3.016</w:t>
            </w:r>
          </w:p>
        </w:tc>
        <w:tc>
          <w:tcPr>
            <w:tcW w:w="580" w:type="pct"/>
            <w:tcBorders>
              <w:tl2br w:val="nil"/>
              <w:tr2bl w:val="nil"/>
            </w:tcBorders>
            <w:vAlign w:val="center"/>
          </w:tcPr>
          <w:p w14:paraId="4907506E">
            <w:pPr>
              <w:pStyle w:val="16"/>
              <w:bidi w:val="0"/>
              <w:rPr>
                <w:color w:val="auto"/>
              </w:rPr>
            </w:pPr>
            <w:r>
              <w:rPr>
                <w:color w:val="auto"/>
              </w:rPr>
              <w:t>3.418</w:t>
            </w:r>
          </w:p>
        </w:tc>
        <w:tc>
          <w:tcPr>
            <w:tcW w:w="580" w:type="pct"/>
            <w:tcBorders>
              <w:tl2br w:val="nil"/>
              <w:tr2bl w:val="nil"/>
            </w:tcBorders>
            <w:vAlign w:val="center"/>
          </w:tcPr>
          <w:p w14:paraId="62F5366A">
            <w:pPr>
              <w:pStyle w:val="16"/>
              <w:bidi w:val="0"/>
              <w:rPr>
                <w:color w:val="auto"/>
              </w:rPr>
            </w:pPr>
            <w:r>
              <w:rPr>
                <w:color w:val="auto"/>
              </w:rPr>
              <w:t>3.820</w:t>
            </w:r>
          </w:p>
        </w:tc>
        <w:tc>
          <w:tcPr>
            <w:tcW w:w="495" w:type="pct"/>
            <w:tcBorders>
              <w:tl2br w:val="nil"/>
              <w:tr2bl w:val="nil"/>
            </w:tcBorders>
            <w:vAlign w:val="center"/>
          </w:tcPr>
          <w:p w14:paraId="7393ED76">
            <w:pPr>
              <w:pStyle w:val="16"/>
              <w:bidi w:val="0"/>
              <w:rPr>
                <w:color w:val="auto"/>
              </w:rPr>
            </w:pPr>
            <w:r>
              <w:rPr>
                <w:color w:val="auto"/>
              </w:rPr>
              <w:t>4.222</w:t>
            </w:r>
          </w:p>
        </w:tc>
        <w:tc>
          <w:tcPr>
            <w:tcW w:w="537" w:type="pct"/>
            <w:tcBorders>
              <w:tl2br w:val="nil"/>
              <w:tr2bl w:val="nil"/>
            </w:tcBorders>
            <w:vAlign w:val="center"/>
          </w:tcPr>
          <w:p w14:paraId="56B783CE">
            <w:pPr>
              <w:pStyle w:val="16"/>
              <w:bidi w:val="0"/>
              <w:rPr>
                <w:color w:val="auto"/>
              </w:rPr>
            </w:pPr>
            <w:r>
              <w:rPr>
                <w:color w:val="auto"/>
              </w:rPr>
              <w:t>4.624</w:t>
            </w:r>
          </w:p>
        </w:tc>
      </w:tr>
    </w:tbl>
    <w:p w14:paraId="48F02D13">
      <w:pPr>
        <w:bidi w:val="0"/>
        <w:rPr>
          <w:rFonts w:hint="eastAsia"/>
          <w:color w:val="auto"/>
        </w:rPr>
      </w:pPr>
      <w:r>
        <w:rPr>
          <w:rFonts w:hint="eastAsia"/>
          <w:color w:val="auto"/>
        </w:rPr>
        <w:t>由</w:t>
      </w:r>
      <w:r>
        <w:rPr>
          <w:rFonts w:hint="eastAsia"/>
          <w:color w:val="auto"/>
          <w:lang w:val="en-US" w:eastAsia="zh-CN"/>
        </w:rPr>
        <w:t>上表</w:t>
      </w:r>
      <w:r>
        <w:rPr>
          <w:rFonts w:hint="eastAsia"/>
          <w:color w:val="auto"/>
        </w:rPr>
        <w:t>可知，尘粒的沉降速度随粒径的增大而迅速增大。当粒径为250μm时，沉降速度为1.005m/s，因此可以认为当尘粒大于250μm时，主要影响范围在扬尘点下风向50m范围内居民点，而真正对外环境产生影响的是一些微小尘粒。</w:t>
      </w:r>
    </w:p>
    <w:p w14:paraId="5584B854">
      <w:pPr>
        <w:bidi w:val="0"/>
        <w:rPr>
          <w:rFonts w:hint="eastAsia"/>
          <w:b/>
          <w:bCs/>
          <w:color w:val="auto"/>
        </w:rPr>
      </w:pPr>
      <w:r>
        <w:rPr>
          <w:rFonts w:hint="default"/>
          <w:b/>
          <w:bCs/>
          <w:color w:val="auto"/>
          <w:lang w:eastAsia="zh-CN"/>
        </w:rPr>
        <w:t>②</w:t>
      </w:r>
      <w:r>
        <w:rPr>
          <w:rFonts w:hint="eastAsia"/>
          <w:b/>
          <w:bCs/>
          <w:color w:val="auto"/>
        </w:rPr>
        <w:t>动力扬尘</w:t>
      </w:r>
    </w:p>
    <w:p w14:paraId="687B1981">
      <w:pPr>
        <w:pageBreakBefore w:val="0"/>
        <w:wordWrap/>
        <w:bidi w:val="0"/>
        <w:adjustRightInd/>
        <w:snapToGrid/>
        <w:ind w:firstLine="480"/>
        <w:rPr>
          <w:color w:val="auto"/>
        </w:rPr>
      </w:pPr>
      <w:r>
        <w:rPr>
          <w:rFonts w:hint="eastAsia"/>
          <w:color w:val="auto"/>
        </w:rPr>
        <w:t>动力起尘，主要是在建材的装卸、搅拌过程中，由于外力而产生的尘粒再悬浮而造成，其中施工及装卸车辆造成的扬尘最为严重。据有关文献资料介绍，车辆行驶产生的扬尘占总扬尘的60%以上。车辆行驶产生的扬尘，在完全干燥情况下，可按下列经验公式计算：</w:t>
      </w:r>
    </w:p>
    <w:p w14:paraId="6352D06A">
      <w:pPr>
        <w:pageBreakBefore w:val="0"/>
        <w:wordWrap/>
        <w:bidi w:val="0"/>
        <w:adjustRightInd/>
        <w:snapToGrid/>
        <w:ind w:firstLine="480"/>
        <w:jc w:val="center"/>
        <w:rPr>
          <w:color w:val="auto"/>
          <w:szCs w:val="21"/>
          <w:vertAlign w:val="superscript"/>
        </w:rPr>
      </w:pPr>
      <w:r>
        <w:rPr>
          <w:color w:val="auto"/>
          <w:szCs w:val="21"/>
        </w:rPr>
        <w:t>Q=0.123×</w:t>
      </w:r>
      <w:r>
        <w:rPr>
          <w:rFonts w:hint="eastAsia"/>
          <w:color w:val="auto"/>
          <w:szCs w:val="21"/>
          <w:lang w:eastAsia="zh-CN"/>
        </w:rPr>
        <w:t>（</w:t>
      </w:r>
      <w:r>
        <w:rPr>
          <w:rFonts w:hint="eastAsia"/>
          <w:color w:val="auto"/>
          <w:szCs w:val="21"/>
          <w:lang w:val="en-US" w:eastAsia="zh-CN"/>
        </w:rPr>
        <w:t>V</w:t>
      </w:r>
      <w:r>
        <w:rPr>
          <w:color w:val="auto"/>
          <w:szCs w:val="21"/>
        </w:rPr>
        <w:t>/5</w:t>
      </w:r>
      <w:r>
        <w:rPr>
          <w:rFonts w:hint="eastAsia"/>
          <w:color w:val="auto"/>
          <w:szCs w:val="21"/>
          <w:lang w:eastAsia="zh-CN"/>
        </w:rPr>
        <w:t>）（</w:t>
      </w:r>
      <w:r>
        <w:rPr>
          <w:color w:val="auto"/>
          <w:szCs w:val="21"/>
        </w:rPr>
        <w:t>W/6.8</w:t>
      </w:r>
      <w:r>
        <w:rPr>
          <w:rFonts w:hint="eastAsia"/>
          <w:color w:val="auto"/>
          <w:szCs w:val="21"/>
          <w:lang w:eastAsia="zh-CN"/>
        </w:rPr>
        <w:t>）</w:t>
      </w:r>
      <w:r>
        <w:rPr>
          <w:color w:val="auto"/>
          <w:szCs w:val="21"/>
          <w:vertAlign w:val="superscript"/>
        </w:rPr>
        <w:t>0.85</w:t>
      </w:r>
      <w:r>
        <w:rPr>
          <w:rFonts w:hint="eastAsia"/>
          <w:color w:val="auto"/>
          <w:szCs w:val="21"/>
          <w:lang w:eastAsia="zh-CN"/>
        </w:rPr>
        <w:t>（</w:t>
      </w:r>
      <w:r>
        <w:rPr>
          <w:color w:val="auto"/>
          <w:szCs w:val="21"/>
        </w:rPr>
        <w:t>P/0.5</w:t>
      </w:r>
      <w:r>
        <w:rPr>
          <w:rFonts w:hint="eastAsia"/>
          <w:color w:val="auto"/>
          <w:szCs w:val="21"/>
          <w:lang w:eastAsia="zh-CN"/>
        </w:rPr>
        <w:t>）</w:t>
      </w:r>
      <w:r>
        <w:rPr>
          <w:color w:val="auto"/>
          <w:szCs w:val="21"/>
          <w:vertAlign w:val="superscript"/>
        </w:rPr>
        <w:t>0.75</w:t>
      </w:r>
    </w:p>
    <w:p w14:paraId="5D849CA3">
      <w:pPr>
        <w:pageBreakBefore w:val="0"/>
        <w:wordWrap/>
        <w:bidi w:val="0"/>
        <w:adjustRightInd/>
        <w:snapToGrid/>
        <w:ind w:firstLine="480"/>
        <w:rPr>
          <w:color w:val="auto"/>
          <w:szCs w:val="21"/>
        </w:rPr>
      </w:pPr>
      <w:r>
        <w:rPr>
          <w:color w:val="auto"/>
          <w:szCs w:val="21"/>
        </w:rPr>
        <w:t>式中：</w:t>
      </w:r>
      <w:r>
        <w:rPr>
          <w:i/>
          <w:color w:val="auto"/>
          <w:szCs w:val="21"/>
        </w:rPr>
        <w:t>Q</w:t>
      </w:r>
      <w:r>
        <w:rPr>
          <w:color w:val="auto"/>
          <w:szCs w:val="21"/>
        </w:rPr>
        <w:t>—汽车行驶的扬尘，kg/km·辆；</w:t>
      </w:r>
    </w:p>
    <w:p w14:paraId="32970824">
      <w:pPr>
        <w:pageBreakBefore w:val="0"/>
        <w:wordWrap/>
        <w:bidi w:val="0"/>
        <w:adjustRightInd/>
        <w:snapToGrid/>
        <w:ind w:firstLine="1200" w:firstLineChars="500"/>
        <w:rPr>
          <w:color w:val="auto"/>
          <w:szCs w:val="21"/>
        </w:rPr>
      </w:pPr>
      <w:r>
        <w:rPr>
          <w:i/>
          <w:color w:val="auto"/>
          <w:szCs w:val="21"/>
        </w:rPr>
        <w:t>v</w:t>
      </w:r>
      <w:r>
        <w:rPr>
          <w:color w:val="auto"/>
          <w:szCs w:val="21"/>
        </w:rPr>
        <w:t>—汽车速度，km/h；</w:t>
      </w:r>
    </w:p>
    <w:p w14:paraId="3957975D">
      <w:pPr>
        <w:pageBreakBefore w:val="0"/>
        <w:wordWrap/>
        <w:bidi w:val="0"/>
        <w:adjustRightInd/>
        <w:snapToGrid/>
        <w:ind w:firstLine="1200" w:firstLineChars="500"/>
        <w:rPr>
          <w:color w:val="auto"/>
          <w:szCs w:val="21"/>
        </w:rPr>
      </w:pPr>
      <w:r>
        <w:rPr>
          <w:i/>
          <w:color w:val="auto"/>
          <w:szCs w:val="21"/>
        </w:rPr>
        <w:t>W</w:t>
      </w:r>
      <w:r>
        <w:rPr>
          <w:color w:val="auto"/>
          <w:szCs w:val="21"/>
        </w:rPr>
        <w:t>—汽车载重量，t；</w:t>
      </w:r>
    </w:p>
    <w:p w14:paraId="1DC26035">
      <w:pPr>
        <w:pageBreakBefore w:val="0"/>
        <w:wordWrap/>
        <w:bidi w:val="0"/>
        <w:adjustRightInd/>
        <w:snapToGrid/>
        <w:ind w:firstLine="1200" w:firstLineChars="500"/>
        <w:rPr>
          <w:color w:val="auto"/>
          <w:szCs w:val="21"/>
        </w:rPr>
      </w:pPr>
      <w:r>
        <w:rPr>
          <w:i/>
          <w:color w:val="auto"/>
          <w:szCs w:val="21"/>
        </w:rPr>
        <w:t>P</w:t>
      </w:r>
      <w:r>
        <w:rPr>
          <w:color w:val="auto"/>
          <w:szCs w:val="21"/>
        </w:rPr>
        <w:t>—道路表面粉尘量，kg/</w:t>
      </w:r>
      <w:r>
        <w:rPr>
          <w:rFonts w:hint="eastAsia"/>
          <w:color w:val="auto"/>
          <w:szCs w:val="21"/>
          <w:lang w:eastAsia="zh-CN"/>
        </w:rPr>
        <w:t>m²</w:t>
      </w:r>
      <w:r>
        <w:rPr>
          <w:color w:val="auto"/>
          <w:szCs w:val="21"/>
        </w:rPr>
        <w:t>。</w:t>
      </w:r>
    </w:p>
    <w:p w14:paraId="057BE7C1">
      <w:pPr>
        <w:pageBreakBefore w:val="0"/>
        <w:wordWrap/>
        <w:bidi w:val="0"/>
        <w:adjustRightInd/>
        <w:snapToGrid/>
        <w:ind w:firstLine="480"/>
        <w:rPr>
          <w:color w:val="auto"/>
        </w:rPr>
      </w:pPr>
      <w:r>
        <w:rPr>
          <w:color w:val="auto"/>
        </w:rPr>
        <w:t>一辆载重5t的卡车，通过一段长度为500m的路面时，不同表面清洁程度，不同行驶速度情况下产生的扬尘量见</w:t>
      </w:r>
      <w:r>
        <w:rPr>
          <w:rFonts w:hint="eastAsia"/>
          <w:color w:val="auto"/>
          <w:lang w:val="en-US" w:eastAsia="zh-CN"/>
        </w:rPr>
        <w:t>下表</w:t>
      </w:r>
      <w:r>
        <w:rPr>
          <w:color w:val="auto"/>
        </w:rPr>
        <w:t>所示。</w:t>
      </w:r>
    </w:p>
    <w:p w14:paraId="493A7ED9">
      <w:pPr>
        <w:pStyle w:val="19"/>
        <w:pageBreakBefore w:val="0"/>
        <w:numPr>
          <w:ilvl w:val="0"/>
          <w:numId w:val="29"/>
        </w:numPr>
        <w:tabs>
          <w:tab w:val="clear" w:pos="0"/>
        </w:tabs>
        <w:wordWrap/>
        <w:bidi w:val="0"/>
        <w:adjustRightInd/>
        <w:snapToGrid/>
        <w:ind w:left="420" w:leftChars="0" w:hanging="420" w:firstLineChars="0"/>
        <w:rPr>
          <w:color w:val="auto"/>
        </w:rPr>
      </w:pPr>
      <w:r>
        <w:rPr>
          <w:color w:val="auto"/>
        </w:rPr>
        <w:t xml:space="preserve">不同车速和地面清洁程度时的汽车扬尘产生量 </w:t>
      </w:r>
      <w:r>
        <w:rPr>
          <w:rFonts w:hint="eastAsia"/>
          <w:color w:val="auto"/>
          <w:lang w:val="en-US" w:eastAsia="zh-CN"/>
        </w:rPr>
        <w:t xml:space="preserve"> </w:t>
      </w:r>
      <w:r>
        <w:rPr>
          <w:color w:val="auto"/>
        </w:rPr>
        <w:t xml:space="preserve"> 单位：kg/km·辆</w:t>
      </w:r>
    </w:p>
    <w:tbl>
      <w:tblPr>
        <w:tblStyle w:val="5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150"/>
        <w:gridCol w:w="1097"/>
        <w:gridCol w:w="1100"/>
        <w:gridCol w:w="1096"/>
        <w:gridCol w:w="1096"/>
        <w:gridCol w:w="1096"/>
        <w:gridCol w:w="1095"/>
      </w:tblGrid>
      <w:tr w14:paraId="4BD33B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150" w:type="dxa"/>
            <w:tcBorders>
              <w:tl2br w:val="single" w:color="auto" w:sz="4" w:space="0"/>
            </w:tcBorders>
            <w:noWrap w:val="0"/>
            <w:vAlign w:val="center"/>
          </w:tcPr>
          <w:p w14:paraId="631973D6">
            <w:pPr>
              <w:pageBreakBefore w:val="0"/>
              <w:wordWrap/>
              <w:bidi w:val="0"/>
              <w:adjustRightInd/>
              <w:snapToGrid/>
              <w:spacing w:line="240" w:lineRule="auto"/>
              <w:ind w:firstLine="0" w:firstLineChars="0"/>
              <w:jc w:val="right"/>
              <w:textAlignment w:val="baseline"/>
              <w:rPr>
                <w:rFonts w:hint="eastAsia" w:eastAsia="宋体"/>
                <w:b/>
                <w:bCs/>
                <w:color w:val="auto"/>
                <w:sz w:val="21"/>
                <w:szCs w:val="21"/>
                <w:lang w:eastAsia="zh-CN"/>
              </w:rPr>
            </w:pPr>
            <w:r>
              <w:rPr>
                <w:b/>
                <w:bCs/>
                <w:color w:val="auto"/>
                <w:sz w:val="21"/>
                <w:szCs w:val="21"/>
              </w:rPr>
              <w:t>P</w:t>
            </w:r>
            <w:r>
              <w:rPr>
                <w:rFonts w:hint="eastAsia"/>
                <w:b/>
                <w:bCs/>
                <w:color w:val="auto"/>
                <w:sz w:val="21"/>
                <w:szCs w:val="21"/>
                <w:lang w:eastAsia="zh-CN"/>
              </w:rPr>
              <w:t>（</w:t>
            </w:r>
            <w:r>
              <w:rPr>
                <w:b/>
                <w:bCs/>
                <w:color w:val="auto"/>
                <w:sz w:val="21"/>
                <w:szCs w:val="21"/>
              </w:rPr>
              <w:t>kg/</w:t>
            </w:r>
            <w:r>
              <w:rPr>
                <w:rFonts w:hint="eastAsia"/>
                <w:b/>
                <w:bCs/>
                <w:color w:val="auto"/>
                <w:sz w:val="21"/>
                <w:szCs w:val="21"/>
                <w:lang w:eastAsia="zh-CN"/>
              </w:rPr>
              <w:t>m²）</w:t>
            </w:r>
          </w:p>
          <w:p w14:paraId="5B89DDEC">
            <w:pPr>
              <w:pageBreakBefore w:val="0"/>
              <w:wordWrap/>
              <w:bidi w:val="0"/>
              <w:adjustRightInd/>
              <w:snapToGrid/>
              <w:spacing w:line="240" w:lineRule="auto"/>
              <w:ind w:firstLine="0" w:firstLineChars="0"/>
              <w:textAlignment w:val="baseline"/>
              <w:rPr>
                <w:rFonts w:hint="eastAsia" w:eastAsia="宋体"/>
                <w:b/>
                <w:bCs/>
                <w:color w:val="auto"/>
                <w:sz w:val="21"/>
                <w:szCs w:val="21"/>
                <w:lang w:eastAsia="zh-CN"/>
              </w:rPr>
            </w:pPr>
            <w:r>
              <w:rPr>
                <w:b/>
                <w:bCs/>
                <w:color w:val="auto"/>
                <w:sz w:val="21"/>
                <w:szCs w:val="21"/>
              </w:rPr>
              <w:t>车速</w:t>
            </w:r>
            <w:r>
              <w:rPr>
                <w:rFonts w:hint="eastAsia"/>
                <w:b/>
                <w:bCs/>
                <w:color w:val="auto"/>
                <w:sz w:val="21"/>
                <w:szCs w:val="21"/>
                <w:lang w:eastAsia="zh-CN"/>
              </w:rPr>
              <w:t>（</w:t>
            </w:r>
            <w:r>
              <w:rPr>
                <w:b/>
                <w:bCs/>
                <w:color w:val="auto"/>
                <w:sz w:val="21"/>
                <w:szCs w:val="21"/>
              </w:rPr>
              <w:t>km/h</w:t>
            </w:r>
            <w:r>
              <w:rPr>
                <w:rFonts w:hint="eastAsia"/>
                <w:b/>
                <w:bCs/>
                <w:color w:val="auto"/>
                <w:sz w:val="21"/>
                <w:szCs w:val="21"/>
                <w:lang w:eastAsia="zh-CN"/>
              </w:rPr>
              <w:t>）</w:t>
            </w:r>
          </w:p>
        </w:tc>
        <w:tc>
          <w:tcPr>
            <w:tcW w:w="1097" w:type="dxa"/>
            <w:tcBorders>
              <w:tl2br w:val="nil"/>
              <w:tr2bl w:val="nil"/>
            </w:tcBorders>
            <w:noWrap w:val="0"/>
            <w:vAlign w:val="center"/>
          </w:tcPr>
          <w:p w14:paraId="2E2B5EAC">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0.1</w:t>
            </w:r>
          </w:p>
        </w:tc>
        <w:tc>
          <w:tcPr>
            <w:tcW w:w="1100" w:type="dxa"/>
            <w:tcBorders>
              <w:tl2br w:val="nil"/>
              <w:tr2bl w:val="nil"/>
            </w:tcBorders>
            <w:noWrap w:val="0"/>
            <w:vAlign w:val="center"/>
          </w:tcPr>
          <w:p w14:paraId="14805FA0">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0.2</w:t>
            </w:r>
          </w:p>
        </w:tc>
        <w:tc>
          <w:tcPr>
            <w:tcW w:w="1096" w:type="dxa"/>
            <w:tcBorders>
              <w:tl2br w:val="nil"/>
              <w:tr2bl w:val="nil"/>
            </w:tcBorders>
            <w:noWrap w:val="0"/>
            <w:vAlign w:val="center"/>
          </w:tcPr>
          <w:p w14:paraId="5EE842F2">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0.3</w:t>
            </w:r>
          </w:p>
        </w:tc>
        <w:tc>
          <w:tcPr>
            <w:tcW w:w="1096" w:type="dxa"/>
            <w:tcBorders>
              <w:tl2br w:val="nil"/>
              <w:tr2bl w:val="nil"/>
            </w:tcBorders>
            <w:noWrap w:val="0"/>
            <w:vAlign w:val="center"/>
          </w:tcPr>
          <w:p w14:paraId="6AA27D04">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0.4</w:t>
            </w:r>
          </w:p>
        </w:tc>
        <w:tc>
          <w:tcPr>
            <w:tcW w:w="1096" w:type="dxa"/>
            <w:tcBorders>
              <w:tl2br w:val="nil"/>
              <w:tr2bl w:val="nil"/>
            </w:tcBorders>
            <w:noWrap w:val="0"/>
            <w:vAlign w:val="center"/>
          </w:tcPr>
          <w:p w14:paraId="2A935154">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0.5</w:t>
            </w:r>
          </w:p>
        </w:tc>
        <w:tc>
          <w:tcPr>
            <w:tcW w:w="1095" w:type="dxa"/>
            <w:tcBorders>
              <w:tl2br w:val="nil"/>
              <w:tr2bl w:val="nil"/>
            </w:tcBorders>
            <w:noWrap w:val="0"/>
            <w:vAlign w:val="center"/>
          </w:tcPr>
          <w:p w14:paraId="50D2FE98">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1.0</w:t>
            </w:r>
          </w:p>
        </w:tc>
      </w:tr>
      <w:tr w14:paraId="626013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150" w:type="dxa"/>
            <w:tcBorders>
              <w:tl2br w:val="nil"/>
              <w:tr2bl w:val="nil"/>
            </w:tcBorders>
            <w:noWrap w:val="0"/>
            <w:vAlign w:val="center"/>
          </w:tcPr>
          <w:p w14:paraId="0D3E9923">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5</w:t>
            </w:r>
          </w:p>
        </w:tc>
        <w:tc>
          <w:tcPr>
            <w:tcW w:w="1097" w:type="dxa"/>
            <w:tcBorders>
              <w:tl2br w:val="nil"/>
              <w:tr2bl w:val="nil"/>
            </w:tcBorders>
            <w:noWrap w:val="0"/>
            <w:vAlign w:val="center"/>
          </w:tcPr>
          <w:p w14:paraId="42FCDDA5">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0.0283</w:t>
            </w:r>
          </w:p>
        </w:tc>
        <w:tc>
          <w:tcPr>
            <w:tcW w:w="1100" w:type="dxa"/>
            <w:tcBorders>
              <w:tl2br w:val="nil"/>
              <w:tr2bl w:val="nil"/>
            </w:tcBorders>
            <w:noWrap w:val="0"/>
            <w:vAlign w:val="center"/>
          </w:tcPr>
          <w:p w14:paraId="6A67E661">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0.0476</w:t>
            </w:r>
          </w:p>
        </w:tc>
        <w:tc>
          <w:tcPr>
            <w:tcW w:w="1096" w:type="dxa"/>
            <w:tcBorders>
              <w:tl2br w:val="nil"/>
              <w:tr2bl w:val="nil"/>
            </w:tcBorders>
            <w:noWrap w:val="0"/>
            <w:vAlign w:val="center"/>
          </w:tcPr>
          <w:p w14:paraId="33C2E55A">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0.0646</w:t>
            </w:r>
          </w:p>
        </w:tc>
        <w:tc>
          <w:tcPr>
            <w:tcW w:w="1096" w:type="dxa"/>
            <w:tcBorders>
              <w:tl2br w:val="nil"/>
              <w:tr2bl w:val="nil"/>
            </w:tcBorders>
            <w:noWrap w:val="0"/>
            <w:vAlign w:val="center"/>
          </w:tcPr>
          <w:p w14:paraId="152823AD">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0.0801</w:t>
            </w:r>
          </w:p>
        </w:tc>
        <w:tc>
          <w:tcPr>
            <w:tcW w:w="1096" w:type="dxa"/>
            <w:tcBorders>
              <w:tl2br w:val="nil"/>
              <w:tr2bl w:val="nil"/>
            </w:tcBorders>
            <w:noWrap w:val="0"/>
            <w:vAlign w:val="center"/>
          </w:tcPr>
          <w:p w14:paraId="6C05F161">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0.0947</w:t>
            </w:r>
          </w:p>
        </w:tc>
        <w:tc>
          <w:tcPr>
            <w:tcW w:w="1095" w:type="dxa"/>
            <w:tcBorders>
              <w:tl2br w:val="nil"/>
              <w:tr2bl w:val="nil"/>
            </w:tcBorders>
            <w:noWrap w:val="0"/>
            <w:vAlign w:val="center"/>
          </w:tcPr>
          <w:p w14:paraId="0C37340E">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0.1593</w:t>
            </w:r>
          </w:p>
        </w:tc>
      </w:tr>
      <w:tr w14:paraId="0C3500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150" w:type="dxa"/>
            <w:tcBorders>
              <w:tl2br w:val="nil"/>
              <w:tr2bl w:val="nil"/>
            </w:tcBorders>
            <w:noWrap w:val="0"/>
            <w:vAlign w:val="center"/>
          </w:tcPr>
          <w:p w14:paraId="0952FED7">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10</w:t>
            </w:r>
          </w:p>
        </w:tc>
        <w:tc>
          <w:tcPr>
            <w:tcW w:w="1097" w:type="dxa"/>
            <w:tcBorders>
              <w:tl2br w:val="nil"/>
              <w:tr2bl w:val="nil"/>
            </w:tcBorders>
            <w:noWrap w:val="0"/>
            <w:vAlign w:val="center"/>
          </w:tcPr>
          <w:p w14:paraId="50070C3F">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0.0566</w:t>
            </w:r>
          </w:p>
        </w:tc>
        <w:tc>
          <w:tcPr>
            <w:tcW w:w="1100" w:type="dxa"/>
            <w:tcBorders>
              <w:tl2br w:val="nil"/>
              <w:tr2bl w:val="nil"/>
            </w:tcBorders>
            <w:noWrap w:val="0"/>
            <w:vAlign w:val="center"/>
          </w:tcPr>
          <w:p w14:paraId="396DB8DD">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0.0953</w:t>
            </w:r>
          </w:p>
        </w:tc>
        <w:tc>
          <w:tcPr>
            <w:tcW w:w="1096" w:type="dxa"/>
            <w:tcBorders>
              <w:tl2br w:val="nil"/>
              <w:tr2bl w:val="nil"/>
            </w:tcBorders>
            <w:noWrap w:val="0"/>
            <w:vAlign w:val="center"/>
          </w:tcPr>
          <w:p w14:paraId="1A8EA765">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0.1291</w:t>
            </w:r>
          </w:p>
        </w:tc>
        <w:tc>
          <w:tcPr>
            <w:tcW w:w="1096" w:type="dxa"/>
            <w:tcBorders>
              <w:tl2br w:val="nil"/>
              <w:tr2bl w:val="nil"/>
            </w:tcBorders>
            <w:noWrap w:val="0"/>
            <w:vAlign w:val="center"/>
          </w:tcPr>
          <w:p w14:paraId="66CC217B">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0.1602</w:t>
            </w:r>
          </w:p>
        </w:tc>
        <w:tc>
          <w:tcPr>
            <w:tcW w:w="1096" w:type="dxa"/>
            <w:tcBorders>
              <w:tl2br w:val="nil"/>
              <w:tr2bl w:val="nil"/>
            </w:tcBorders>
            <w:noWrap w:val="0"/>
            <w:vAlign w:val="center"/>
          </w:tcPr>
          <w:p w14:paraId="0052C492">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0.1894</w:t>
            </w:r>
          </w:p>
        </w:tc>
        <w:tc>
          <w:tcPr>
            <w:tcW w:w="1095" w:type="dxa"/>
            <w:tcBorders>
              <w:tl2br w:val="nil"/>
              <w:tr2bl w:val="nil"/>
            </w:tcBorders>
            <w:noWrap w:val="0"/>
            <w:vAlign w:val="center"/>
          </w:tcPr>
          <w:p w14:paraId="09F1CDD2">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0.3186</w:t>
            </w:r>
          </w:p>
        </w:tc>
      </w:tr>
      <w:tr w14:paraId="343624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150" w:type="dxa"/>
            <w:tcBorders>
              <w:tl2br w:val="nil"/>
              <w:tr2bl w:val="nil"/>
            </w:tcBorders>
            <w:noWrap w:val="0"/>
            <w:vAlign w:val="center"/>
          </w:tcPr>
          <w:p w14:paraId="3156AD34">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15</w:t>
            </w:r>
          </w:p>
        </w:tc>
        <w:tc>
          <w:tcPr>
            <w:tcW w:w="1097" w:type="dxa"/>
            <w:tcBorders>
              <w:tl2br w:val="nil"/>
              <w:tr2bl w:val="nil"/>
            </w:tcBorders>
            <w:noWrap w:val="0"/>
            <w:vAlign w:val="center"/>
          </w:tcPr>
          <w:p w14:paraId="0A35CB1D">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0.0850</w:t>
            </w:r>
          </w:p>
        </w:tc>
        <w:tc>
          <w:tcPr>
            <w:tcW w:w="1100" w:type="dxa"/>
            <w:tcBorders>
              <w:tl2br w:val="nil"/>
              <w:tr2bl w:val="nil"/>
            </w:tcBorders>
            <w:noWrap w:val="0"/>
            <w:vAlign w:val="center"/>
          </w:tcPr>
          <w:p w14:paraId="5971A635">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0.1429</w:t>
            </w:r>
          </w:p>
        </w:tc>
        <w:tc>
          <w:tcPr>
            <w:tcW w:w="1096" w:type="dxa"/>
            <w:tcBorders>
              <w:tl2br w:val="nil"/>
              <w:tr2bl w:val="nil"/>
            </w:tcBorders>
            <w:noWrap w:val="0"/>
            <w:vAlign w:val="center"/>
          </w:tcPr>
          <w:p w14:paraId="43C6A57F">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0.1937</w:t>
            </w:r>
          </w:p>
        </w:tc>
        <w:tc>
          <w:tcPr>
            <w:tcW w:w="1096" w:type="dxa"/>
            <w:tcBorders>
              <w:tl2br w:val="nil"/>
              <w:tr2bl w:val="nil"/>
            </w:tcBorders>
            <w:noWrap w:val="0"/>
            <w:vAlign w:val="center"/>
          </w:tcPr>
          <w:p w14:paraId="274654E8">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0.2403</w:t>
            </w:r>
          </w:p>
        </w:tc>
        <w:tc>
          <w:tcPr>
            <w:tcW w:w="1096" w:type="dxa"/>
            <w:tcBorders>
              <w:tl2br w:val="nil"/>
              <w:tr2bl w:val="nil"/>
            </w:tcBorders>
            <w:noWrap w:val="0"/>
            <w:vAlign w:val="center"/>
          </w:tcPr>
          <w:p w14:paraId="0C1919FF">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0.2841</w:t>
            </w:r>
          </w:p>
        </w:tc>
        <w:tc>
          <w:tcPr>
            <w:tcW w:w="1095" w:type="dxa"/>
            <w:tcBorders>
              <w:tl2br w:val="nil"/>
              <w:tr2bl w:val="nil"/>
            </w:tcBorders>
            <w:noWrap w:val="0"/>
            <w:vAlign w:val="center"/>
          </w:tcPr>
          <w:p w14:paraId="46A15C7B">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0.4778</w:t>
            </w:r>
          </w:p>
        </w:tc>
      </w:tr>
      <w:tr w14:paraId="57196D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150" w:type="dxa"/>
            <w:tcBorders>
              <w:tl2br w:val="nil"/>
              <w:tr2bl w:val="nil"/>
            </w:tcBorders>
            <w:noWrap w:val="0"/>
            <w:vAlign w:val="center"/>
          </w:tcPr>
          <w:p w14:paraId="16C38A6E">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20</w:t>
            </w:r>
          </w:p>
        </w:tc>
        <w:tc>
          <w:tcPr>
            <w:tcW w:w="1097" w:type="dxa"/>
            <w:tcBorders>
              <w:tl2br w:val="nil"/>
              <w:tr2bl w:val="nil"/>
            </w:tcBorders>
            <w:noWrap w:val="0"/>
            <w:vAlign w:val="center"/>
          </w:tcPr>
          <w:p w14:paraId="06CD0965">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0.1133</w:t>
            </w:r>
          </w:p>
        </w:tc>
        <w:tc>
          <w:tcPr>
            <w:tcW w:w="1100" w:type="dxa"/>
            <w:tcBorders>
              <w:tl2br w:val="nil"/>
              <w:tr2bl w:val="nil"/>
            </w:tcBorders>
            <w:noWrap w:val="0"/>
            <w:vAlign w:val="center"/>
          </w:tcPr>
          <w:p w14:paraId="7A8F4499">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0.1905</w:t>
            </w:r>
          </w:p>
        </w:tc>
        <w:tc>
          <w:tcPr>
            <w:tcW w:w="1096" w:type="dxa"/>
            <w:tcBorders>
              <w:tl2br w:val="nil"/>
              <w:tr2bl w:val="nil"/>
            </w:tcBorders>
            <w:noWrap w:val="0"/>
            <w:vAlign w:val="center"/>
          </w:tcPr>
          <w:p w14:paraId="53404BC2">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0.2583</w:t>
            </w:r>
          </w:p>
        </w:tc>
        <w:tc>
          <w:tcPr>
            <w:tcW w:w="1096" w:type="dxa"/>
            <w:tcBorders>
              <w:tl2br w:val="nil"/>
              <w:tr2bl w:val="nil"/>
            </w:tcBorders>
            <w:noWrap w:val="0"/>
            <w:vAlign w:val="center"/>
          </w:tcPr>
          <w:p w14:paraId="17B62619">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0.3204</w:t>
            </w:r>
          </w:p>
        </w:tc>
        <w:tc>
          <w:tcPr>
            <w:tcW w:w="1096" w:type="dxa"/>
            <w:tcBorders>
              <w:tl2br w:val="nil"/>
              <w:tr2bl w:val="nil"/>
            </w:tcBorders>
            <w:noWrap w:val="0"/>
            <w:vAlign w:val="center"/>
          </w:tcPr>
          <w:p w14:paraId="106032C3">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0.3788</w:t>
            </w:r>
          </w:p>
        </w:tc>
        <w:tc>
          <w:tcPr>
            <w:tcW w:w="1095" w:type="dxa"/>
            <w:tcBorders>
              <w:tl2br w:val="nil"/>
              <w:tr2bl w:val="nil"/>
            </w:tcBorders>
            <w:noWrap w:val="0"/>
            <w:vAlign w:val="center"/>
          </w:tcPr>
          <w:p w14:paraId="04FE9F2E">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0.6371</w:t>
            </w:r>
          </w:p>
        </w:tc>
      </w:tr>
    </w:tbl>
    <w:p w14:paraId="3747A24E">
      <w:pPr>
        <w:bidi w:val="0"/>
        <w:rPr>
          <w:color w:val="auto"/>
        </w:rPr>
      </w:pPr>
      <w:r>
        <w:rPr>
          <w:color w:val="auto"/>
        </w:rPr>
        <w:t>由</w:t>
      </w:r>
      <w:r>
        <w:rPr>
          <w:rFonts w:hint="eastAsia"/>
          <w:color w:val="auto"/>
          <w:lang w:val="en-US" w:eastAsia="zh-CN"/>
        </w:rPr>
        <w:t>上表</w:t>
      </w:r>
      <w:r>
        <w:rPr>
          <w:color w:val="auto"/>
        </w:rPr>
        <w:t>可见，在同样路面清洁情况下，车速越快，扬尘量越大；而在同样车速情况下，路面清洁度越差，则扬尘量越大。根据类比调查，一般情况下，施工场地、施工道路在自然风作用下产生的扬尘所影响的范围在100m以内。</w:t>
      </w:r>
    </w:p>
    <w:p w14:paraId="6DD8A2EB">
      <w:pPr>
        <w:pageBreakBefore w:val="0"/>
        <w:wordWrap/>
        <w:bidi w:val="0"/>
        <w:adjustRightInd/>
        <w:snapToGrid/>
        <w:ind w:firstLine="480"/>
        <w:rPr>
          <w:color w:val="auto"/>
        </w:rPr>
      </w:pPr>
      <w:r>
        <w:rPr>
          <w:color w:val="auto"/>
        </w:rPr>
        <w:t>抑制扬尘的一个</w:t>
      </w:r>
      <w:r>
        <w:rPr>
          <w:rFonts w:hint="eastAsia"/>
          <w:color w:val="auto"/>
          <w:lang w:eastAsia="zh-CN"/>
        </w:rPr>
        <w:t>简捷有效</w:t>
      </w:r>
      <w:r>
        <w:rPr>
          <w:color w:val="auto"/>
        </w:rPr>
        <w:t>的措施是洒水。如果在施工期内对车辆行驶的路面实施洒水抑尘，每天洒水4</w:t>
      </w:r>
      <w:r>
        <w:rPr>
          <w:rFonts w:hint="eastAsia"/>
          <w:color w:val="auto"/>
          <w:lang w:eastAsia="zh-CN"/>
        </w:rPr>
        <w:t>～</w:t>
      </w:r>
      <w:r>
        <w:rPr>
          <w:color w:val="auto"/>
        </w:rPr>
        <w:t>5次，可使扬尘减少70%左右。</w:t>
      </w:r>
      <w:r>
        <w:rPr>
          <w:rFonts w:hint="eastAsia"/>
          <w:color w:val="auto"/>
          <w:lang w:val="en-US" w:eastAsia="zh-CN"/>
        </w:rPr>
        <w:t>下表</w:t>
      </w:r>
      <w:r>
        <w:rPr>
          <w:color w:val="auto"/>
        </w:rPr>
        <w:t>为施工场地洒水抑尘的试验结果。由该表数据可看出对施工场地实施每天洒水4</w:t>
      </w:r>
      <w:r>
        <w:rPr>
          <w:rFonts w:hint="eastAsia"/>
          <w:color w:val="auto"/>
          <w:lang w:eastAsia="zh-CN"/>
        </w:rPr>
        <w:t>～</w:t>
      </w:r>
      <w:r>
        <w:rPr>
          <w:color w:val="auto"/>
        </w:rPr>
        <w:t>5次进行抑尘，可有效地控制施工扬尘，并可将扬尘污染距离缩小到20-50m范围。</w:t>
      </w:r>
    </w:p>
    <w:p w14:paraId="3F0901E2">
      <w:pPr>
        <w:pStyle w:val="19"/>
        <w:pageBreakBefore w:val="0"/>
        <w:numPr>
          <w:ilvl w:val="0"/>
          <w:numId w:val="29"/>
        </w:numPr>
        <w:tabs>
          <w:tab w:val="clear" w:pos="0"/>
        </w:tabs>
        <w:wordWrap/>
        <w:bidi w:val="0"/>
        <w:adjustRightInd/>
        <w:snapToGrid/>
        <w:ind w:left="420" w:leftChars="0" w:hanging="420" w:firstLineChars="0"/>
        <w:rPr>
          <w:rFonts w:hint="eastAsia" w:eastAsia="宋体"/>
          <w:color w:val="auto"/>
          <w:lang w:eastAsia="zh-CN"/>
        </w:rPr>
      </w:pPr>
      <w:r>
        <w:rPr>
          <w:color w:val="auto"/>
        </w:rPr>
        <w:t>施工场地洒水抑尘试验结果</w:t>
      </w:r>
      <w:r>
        <w:rPr>
          <w:rFonts w:hint="eastAsia"/>
          <w:color w:val="auto"/>
          <w:lang w:val="en-US" w:eastAsia="zh-CN"/>
        </w:rPr>
        <w:t xml:space="preserve"> </w:t>
      </w:r>
      <w:r>
        <w:rPr>
          <w:color w:val="auto"/>
        </w:rPr>
        <w:t>单位：mg/</w:t>
      </w:r>
      <w:r>
        <w:rPr>
          <w:rFonts w:hint="eastAsia"/>
          <w:color w:val="auto"/>
          <w:lang w:eastAsia="zh-CN"/>
        </w:rPr>
        <w:t>m³</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671"/>
        <w:gridCol w:w="1068"/>
        <w:gridCol w:w="910"/>
        <w:gridCol w:w="1062"/>
        <w:gridCol w:w="1062"/>
        <w:gridCol w:w="912"/>
        <w:gridCol w:w="908"/>
        <w:gridCol w:w="908"/>
      </w:tblGrid>
      <w:tr w14:paraId="35ED91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10" w:type="pct"/>
            <w:gridSpan w:val="2"/>
            <w:tcBorders>
              <w:tl2br w:val="nil"/>
              <w:tr2bl w:val="nil"/>
            </w:tcBorders>
            <w:noWrap w:val="0"/>
            <w:vAlign w:val="center"/>
          </w:tcPr>
          <w:p w14:paraId="1201E939">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距离</w:t>
            </w:r>
          </w:p>
        </w:tc>
        <w:tc>
          <w:tcPr>
            <w:tcW w:w="535" w:type="pct"/>
            <w:tcBorders>
              <w:tl2br w:val="nil"/>
              <w:tr2bl w:val="nil"/>
            </w:tcBorders>
            <w:noWrap w:val="0"/>
            <w:vAlign w:val="center"/>
          </w:tcPr>
          <w:p w14:paraId="3DD93BBB">
            <w:pPr>
              <w:pageBreakBefore w:val="0"/>
              <w:wordWrap/>
              <w:bidi w:val="0"/>
              <w:adjustRightInd/>
              <w:snapToGrid/>
              <w:spacing w:line="240" w:lineRule="auto"/>
              <w:ind w:firstLine="0" w:firstLineChars="0"/>
              <w:jc w:val="center"/>
              <w:textAlignment w:val="baseline"/>
              <w:rPr>
                <w:b/>
                <w:bCs/>
                <w:color w:val="auto"/>
                <w:sz w:val="21"/>
                <w:szCs w:val="21"/>
              </w:rPr>
            </w:pPr>
            <w:r>
              <w:rPr>
                <w:rFonts w:hint="eastAsia"/>
                <w:b/>
                <w:bCs/>
                <w:color w:val="auto"/>
                <w:sz w:val="21"/>
                <w:szCs w:val="21"/>
                <w:lang w:val="en-US" w:eastAsia="zh-CN"/>
              </w:rPr>
              <w:t>0</w:t>
            </w:r>
            <w:r>
              <w:rPr>
                <w:b/>
                <w:bCs/>
                <w:color w:val="auto"/>
                <w:sz w:val="21"/>
                <w:szCs w:val="21"/>
              </w:rPr>
              <w:t>m</w:t>
            </w:r>
          </w:p>
        </w:tc>
        <w:tc>
          <w:tcPr>
            <w:tcW w:w="624" w:type="pct"/>
            <w:tcBorders>
              <w:tl2br w:val="nil"/>
              <w:tr2bl w:val="nil"/>
            </w:tcBorders>
            <w:noWrap w:val="0"/>
            <w:vAlign w:val="center"/>
          </w:tcPr>
          <w:p w14:paraId="3F77B645">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5m</w:t>
            </w:r>
          </w:p>
        </w:tc>
        <w:tc>
          <w:tcPr>
            <w:tcW w:w="624" w:type="pct"/>
            <w:tcBorders>
              <w:tl2br w:val="nil"/>
              <w:tr2bl w:val="nil"/>
            </w:tcBorders>
            <w:noWrap w:val="0"/>
            <w:vAlign w:val="center"/>
          </w:tcPr>
          <w:p w14:paraId="62881CC9">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20m</w:t>
            </w:r>
          </w:p>
        </w:tc>
        <w:tc>
          <w:tcPr>
            <w:tcW w:w="536" w:type="pct"/>
            <w:tcBorders>
              <w:tl2br w:val="nil"/>
              <w:tr2bl w:val="nil"/>
            </w:tcBorders>
            <w:noWrap w:val="0"/>
            <w:vAlign w:val="center"/>
          </w:tcPr>
          <w:p w14:paraId="62874B15">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50m</w:t>
            </w:r>
          </w:p>
        </w:tc>
        <w:tc>
          <w:tcPr>
            <w:tcW w:w="534" w:type="pct"/>
            <w:tcBorders>
              <w:tl2br w:val="nil"/>
              <w:tr2bl w:val="nil"/>
            </w:tcBorders>
            <w:noWrap w:val="0"/>
            <w:vAlign w:val="center"/>
          </w:tcPr>
          <w:p w14:paraId="752437D7">
            <w:pPr>
              <w:pageBreakBefore w:val="0"/>
              <w:wordWrap/>
              <w:bidi w:val="0"/>
              <w:adjustRightInd/>
              <w:snapToGrid/>
              <w:spacing w:line="240" w:lineRule="auto"/>
              <w:ind w:firstLine="0" w:firstLineChars="0"/>
              <w:jc w:val="center"/>
              <w:textAlignment w:val="baseline"/>
              <w:rPr>
                <w:b/>
                <w:bCs/>
                <w:color w:val="auto"/>
                <w:sz w:val="21"/>
                <w:szCs w:val="21"/>
              </w:rPr>
            </w:pPr>
            <w:r>
              <w:rPr>
                <w:b/>
                <w:bCs/>
                <w:color w:val="auto"/>
                <w:sz w:val="21"/>
                <w:szCs w:val="21"/>
              </w:rPr>
              <w:t>100m</w:t>
            </w:r>
          </w:p>
        </w:tc>
        <w:tc>
          <w:tcPr>
            <w:tcW w:w="534" w:type="pct"/>
            <w:tcBorders>
              <w:tl2br w:val="nil"/>
              <w:tr2bl w:val="nil"/>
            </w:tcBorders>
            <w:noWrap w:val="0"/>
            <w:vAlign w:val="center"/>
          </w:tcPr>
          <w:p w14:paraId="25ED1A02">
            <w:pPr>
              <w:pageBreakBefore w:val="0"/>
              <w:wordWrap/>
              <w:bidi w:val="0"/>
              <w:adjustRightInd/>
              <w:snapToGrid/>
              <w:spacing w:line="240" w:lineRule="auto"/>
              <w:ind w:firstLine="0" w:firstLineChars="0"/>
              <w:jc w:val="center"/>
              <w:textAlignment w:val="baseline"/>
              <w:rPr>
                <w:rFonts w:hint="default" w:eastAsia="宋体"/>
                <w:b/>
                <w:bCs/>
                <w:color w:val="auto"/>
                <w:sz w:val="21"/>
                <w:szCs w:val="21"/>
                <w:lang w:val="en-US" w:eastAsia="zh-CN"/>
              </w:rPr>
            </w:pPr>
            <w:r>
              <w:rPr>
                <w:rFonts w:hint="eastAsia"/>
                <w:b/>
                <w:bCs/>
                <w:color w:val="auto"/>
                <w:sz w:val="21"/>
                <w:szCs w:val="21"/>
                <w:lang w:val="en-US" w:eastAsia="zh-CN"/>
              </w:rPr>
              <w:t>200m</w:t>
            </w:r>
          </w:p>
        </w:tc>
      </w:tr>
      <w:tr w14:paraId="025108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82" w:type="pct"/>
            <w:vMerge w:val="restart"/>
            <w:tcBorders>
              <w:tl2br w:val="nil"/>
              <w:tr2bl w:val="nil"/>
            </w:tcBorders>
            <w:noWrap w:val="0"/>
            <w:vAlign w:val="center"/>
          </w:tcPr>
          <w:p w14:paraId="37B2CB2A">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扬尘小时平均浓度</w:t>
            </w:r>
          </w:p>
        </w:tc>
        <w:tc>
          <w:tcPr>
            <w:tcW w:w="628" w:type="pct"/>
            <w:tcBorders>
              <w:tl2br w:val="nil"/>
              <w:tr2bl w:val="nil"/>
            </w:tcBorders>
            <w:noWrap w:val="0"/>
            <w:vAlign w:val="center"/>
          </w:tcPr>
          <w:p w14:paraId="0241BB64">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不洒水</w:t>
            </w:r>
          </w:p>
        </w:tc>
        <w:tc>
          <w:tcPr>
            <w:tcW w:w="535" w:type="pct"/>
            <w:tcBorders>
              <w:tl2br w:val="nil"/>
              <w:tr2bl w:val="nil"/>
            </w:tcBorders>
            <w:noWrap w:val="0"/>
            <w:vAlign w:val="center"/>
          </w:tcPr>
          <w:p w14:paraId="366C99AD">
            <w:pPr>
              <w:pageBreakBefore w:val="0"/>
              <w:wordWrap/>
              <w:bidi w:val="0"/>
              <w:adjustRightInd/>
              <w:snapToGrid/>
              <w:spacing w:line="240" w:lineRule="auto"/>
              <w:ind w:firstLine="0" w:firstLineChars="0"/>
              <w:jc w:val="center"/>
              <w:textAlignment w:val="baseline"/>
              <w:rPr>
                <w:rFonts w:hint="default" w:eastAsia="宋体"/>
                <w:color w:val="auto"/>
                <w:sz w:val="21"/>
                <w:szCs w:val="21"/>
                <w:lang w:val="en-US" w:eastAsia="zh-CN"/>
              </w:rPr>
            </w:pPr>
            <w:r>
              <w:rPr>
                <w:rFonts w:hint="eastAsia"/>
                <w:color w:val="auto"/>
                <w:sz w:val="21"/>
                <w:szCs w:val="21"/>
                <w:lang w:val="en-US" w:eastAsia="zh-CN"/>
              </w:rPr>
              <w:t>11.03</w:t>
            </w:r>
          </w:p>
        </w:tc>
        <w:tc>
          <w:tcPr>
            <w:tcW w:w="624" w:type="pct"/>
            <w:tcBorders>
              <w:tl2br w:val="nil"/>
              <w:tr2bl w:val="nil"/>
            </w:tcBorders>
            <w:noWrap w:val="0"/>
            <w:vAlign w:val="center"/>
          </w:tcPr>
          <w:p w14:paraId="5467F77F">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10.14</w:t>
            </w:r>
          </w:p>
        </w:tc>
        <w:tc>
          <w:tcPr>
            <w:tcW w:w="624" w:type="pct"/>
            <w:tcBorders>
              <w:tl2br w:val="nil"/>
              <w:tr2bl w:val="nil"/>
            </w:tcBorders>
            <w:noWrap w:val="0"/>
            <w:vAlign w:val="center"/>
          </w:tcPr>
          <w:p w14:paraId="428D1EBA">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2.89</w:t>
            </w:r>
          </w:p>
        </w:tc>
        <w:tc>
          <w:tcPr>
            <w:tcW w:w="536" w:type="pct"/>
            <w:tcBorders>
              <w:tl2br w:val="nil"/>
              <w:tr2bl w:val="nil"/>
            </w:tcBorders>
            <w:noWrap w:val="0"/>
            <w:vAlign w:val="center"/>
          </w:tcPr>
          <w:p w14:paraId="2106DD99">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1.15</w:t>
            </w:r>
          </w:p>
        </w:tc>
        <w:tc>
          <w:tcPr>
            <w:tcW w:w="534" w:type="pct"/>
            <w:tcBorders>
              <w:tl2br w:val="nil"/>
              <w:tr2bl w:val="nil"/>
            </w:tcBorders>
            <w:noWrap w:val="0"/>
            <w:vAlign w:val="center"/>
          </w:tcPr>
          <w:p w14:paraId="44B3721C">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0.86</w:t>
            </w:r>
          </w:p>
        </w:tc>
        <w:tc>
          <w:tcPr>
            <w:tcW w:w="534" w:type="pct"/>
            <w:tcBorders>
              <w:tl2br w:val="nil"/>
              <w:tr2bl w:val="nil"/>
            </w:tcBorders>
            <w:noWrap w:val="0"/>
            <w:vAlign w:val="center"/>
          </w:tcPr>
          <w:p w14:paraId="724FE742">
            <w:pPr>
              <w:pageBreakBefore w:val="0"/>
              <w:wordWrap/>
              <w:bidi w:val="0"/>
              <w:adjustRightInd/>
              <w:snapToGrid/>
              <w:spacing w:line="240" w:lineRule="auto"/>
              <w:ind w:firstLine="0" w:firstLineChars="0"/>
              <w:jc w:val="center"/>
              <w:textAlignment w:val="baseline"/>
              <w:rPr>
                <w:rFonts w:hint="default" w:eastAsia="宋体"/>
                <w:color w:val="auto"/>
                <w:sz w:val="21"/>
                <w:szCs w:val="21"/>
                <w:lang w:val="en-US" w:eastAsia="zh-CN"/>
              </w:rPr>
            </w:pPr>
            <w:r>
              <w:rPr>
                <w:rFonts w:hint="eastAsia"/>
                <w:color w:val="auto"/>
                <w:sz w:val="21"/>
                <w:szCs w:val="21"/>
                <w:lang w:val="en-US" w:eastAsia="zh-CN"/>
              </w:rPr>
              <w:t>0.56</w:t>
            </w:r>
          </w:p>
        </w:tc>
      </w:tr>
      <w:tr w14:paraId="354E67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82" w:type="pct"/>
            <w:vMerge w:val="continue"/>
            <w:tcBorders>
              <w:tl2br w:val="nil"/>
              <w:tr2bl w:val="nil"/>
            </w:tcBorders>
            <w:noWrap w:val="0"/>
            <w:vAlign w:val="center"/>
          </w:tcPr>
          <w:p w14:paraId="71A732F6">
            <w:pPr>
              <w:pageBreakBefore w:val="0"/>
              <w:wordWrap/>
              <w:bidi w:val="0"/>
              <w:adjustRightInd/>
              <w:snapToGrid/>
              <w:spacing w:line="240" w:lineRule="auto"/>
              <w:ind w:firstLine="0" w:firstLineChars="0"/>
              <w:jc w:val="center"/>
              <w:textAlignment w:val="baseline"/>
              <w:rPr>
                <w:color w:val="auto"/>
                <w:sz w:val="21"/>
                <w:szCs w:val="21"/>
              </w:rPr>
            </w:pPr>
          </w:p>
        </w:tc>
        <w:tc>
          <w:tcPr>
            <w:tcW w:w="628" w:type="pct"/>
            <w:tcBorders>
              <w:tl2br w:val="nil"/>
              <w:tr2bl w:val="nil"/>
            </w:tcBorders>
            <w:noWrap w:val="0"/>
            <w:vAlign w:val="center"/>
          </w:tcPr>
          <w:p w14:paraId="73FD314F">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洒水</w:t>
            </w:r>
          </w:p>
        </w:tc>
        <w:tc>
          <w:tcPr>
            <w:tcW w:w="535" w:type="pct"/>
            <w:tcBorders>
              <w:tl2br w:val="nil"/>
              <w:tr2bl w:val="nil"/>
            </w:tcBorders>
            <w:noWrap w:val="0"/>
            <w:vAlign w:val="center"/>
          </w:tcPr>
          <w:p w14:paraId="24EBE995">
            <w:pPr>
              <w:pageBreakBefore w:val="0"/>
              <w:wordWrap/>
              <w:bidi w:val="0"/>
              <w:adjustRightInd/>
              <w:snapToGrid/>
              <w:spacing w:line="240" w:lineRule="auto"/>
              <w:ind w:firstLine="0" w:firstLineChars="0"/>
              <w:jc w:val="center"/>
              <w:textAlignment w:val="baseline"/>
              <w:rPr>
                <w:rFonts w:hint="default" w:eastAsia="宋体"/>
                <w:color w:val="auto"/>
                <w:sz w:val="21"/>
                <w:szCs w:val="21"/>
                <w:lang w:val="en-US" w:eastAsia="zh-CN"/>
              </w:rPr>
            </w:pPr>
            <w:r>
              <w:rPr>
                <w:rFonts w:hint="eastAsia"/>
                <w:color w:val="auto"/>
                <w:sz w:val="21"/>
                <w:szCs w:val="21"/>
                <w:lang w:val="en-US" w:eastAsia="zh-CN"/>
              </w:rPr>
              <w:t>2.11</w:t>
            </w:r>
          </w:p>
        </w:tc>
        <w:tc>
          <w:tcPr>
            <w:tcW w:w="624" w:type="pct"/>
            <w:tcBorders>
              <w:tl2br w:val="nil"/>
              <w:tr2bl w:val="nil"/>
            </w:tcBorders>
            <w:noWrap w:val="0"/>
            <w:vAlign w:val="center"/>
          </w:tcPr>
          <w:p w14:paraId="6954A4D7">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2.01</w:t>
            </w:r>
          </w:p>
        </w:tc>
        <w:tc>
          <w:tcPr>
            <w:tcW w:w="624" w:type="pct"/>
            <w:tcBorders>
              <w:tl2br w:val="nil"/>
              <w:tr2bl w:val="nil"/>
            </w:tcBorders>
            <w:noWrap w:val="0"/>
            <w:vAlign w:val="center"/>
          </w:tcPr>
          <w:p w14:paraId="1428A655">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1.40</w:t>
            </w:r>
          </w:p>
        </w:tc>
        <w:tc>
          <w:tcPr>
            <w:tcW w:w="536" w:type="pct"/>
            <w:tcBorders>
              <w:tl2br w:val="nil"/>
              <w:tr2bl w:val="nil"/>
            </w:tcBorders>
            <w:noWrap w:val="0"/>
            <w:vAlign w:val="center"/>
          </w:tcPr>
          <w:p w14:paraId="540D3CD7">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0.67</w:t>
            </w:r>
          </w:p>
        </w:tc>
        <w:tc>
          <w:tcPr>
            <w:tcW w:w="534" w:type="pct"/>
            <w:tcBorders>
              <w:tl2br w:val="nil"/>
              <w:tr2bl w:val="nil"/>
            </w:tcBorders>
            <w:noWrap w:val="0"/>
            <w:vAlign w:val="center"/>
          </w:tcPr>
          <w:p w14:paraId="2E05C917">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0.60</w:t>
            </w:r>
          </w:p>
        </w:tc>
        <w:tc>
          <w:tcPr>
            <w:tcW w:w="534" w:type="pct"/>
            <w:tcBorders>
              <w:tl2br w:val="nil"/>
              <w:tr2bl w:val="nil"/>
            </w:tcBorders>
            <w:noWrap w:val="0"/>
            <w:vAlign w:val="center"/>
          </w:tcPr>
          <w:p w14:paraId="3FBDF1A4">
            <w:pPr>
              <w:pageBreakBefore w:val="0"/>
              <w:wordWrap/>
              <w:bidi w:val="0"/>
              <w:adjustRightInd/>
              <w:snapToGrid/>
              <w:spacing w:line="240" w:lineRule="auto"/>
              <w:ind w:firstLine="0" w:firstLineChars="0"/>
              <w:jc w:val="center"/>
              <w:textAlignment w:val="baseline"/>
              <w:rPr>
                <w:rFonts w:hint="default" w:eastAsia="宋体"/>
                <w:color w:val="auto"/>
                <w:sz w:val="21"/>
                <w:szCs w:val="21"/>
                <w:lang w:val="en-US" w:eastAsia="zh-CN"/>
              </w:rPr>
            </w:pPr>
            <w:r>
              <w:rPr>
                <w:rFonts w:hint="eastAsia"/>
                <w:color w:val="auto"/>
                <w:sz w:val="21"/>
                <w:szCs w:val="21"/>
                <w:lang w:val="en-US" w:eastAsia="zh-CN"/>
              </w:rPr>
              <w:t>0.29</w:t>
            </w:r>
          </w:p>
        </w:tc>
      </w:tr>
    </w:tbl>
    <w:p w14:paraId="10890BC6">
      <w:pPr>
        <w:bidi w:val="0"/>
        <w:rPr>
          <w:color w:val="auto"/>
        </w:rPr>
      </w:pPr>
      <w:r>
        <w:rPr>
          <w:color w:val="auto"/>
        </w:rPr>
        <w:t>此外，施工扬尘的另一种重要产生方式是建筑材料的露天堆放和挖填方作业，这类扬尘的主要特点是受作业时风速大小的影响显著。因此，禁止在大风天气时进行此类作业以及减少建筑材料的露天堆放是抑制这类扬尘的一种很有效的手段。</w:t>
      </w:r>
    </w:p>
    <w:p w14:paraId="5D7FC5EB">
      <w:pPr>
        <w:pStyle w:val="31"/>
        <w:pageBreakBefore w:val="0"/>
        <w:wordWrap/>
        <w:bidi w:val="0"/>
        <w:adjustRightInd/>
        <w:snapToGrid/>
        <w:ind w:firstLine="480"/>
        <w:rPr>
          <w:rFonts w:ascii="Times New Roman" w:hAnsi="Times New Roman"/>
          <w:bCs/>
          <w:color w:val="auto"/>
          <w:sz w:val="24"/>
        </w:rPr>
      </w:pPr>
      <w:r>
        <w:rPr>
          <w:rFonts w:ascii="Times New Roman" w:hAnsi="Times New Roman"/>
          <w:color w:val="auto"/>
          <w:sz w:val="24"/>
        </w:rPr>
        <w:t>项目施工时应采取封闭施工现场、采用密目安全网、定期对地面洒水、对撒落在路面的渣土及时清除、施工现场主要运输道路尽量采用硬化路面、自卸车、垃圾运输车等运输车辆不允许超载，出场前一律清洗轮胎，用毡布覆盖，并且在施工区出口设置防尘飞扬垫等一系列措施，可大大减少施工扬尘对环境空气的影响。</w:t>
      </w:r>
    </w:p>
    <w:p w14:paraId="4C4E9E12">
      <w:pPr>
        <w:pStyle w:val="19"/>
        <w:pageBreakBefore w:val="0"/>
        <w:numPr>
          <w:ilvl w:val="0"/>
          <w:numId w:val="29"/>
        </w:numPr>
        <w:tabs>
          <w:tab w:val="clear" w:pos="0"/>
        </w:tabs>
        <w:wordWrap/>
        <w:bidi w:val="0"/>
        <w:adjustRightInd/>
        <w:snapToGrid/>
        <w:ind w:left="420" w:leftChars="0" w:hanging="420" w:firstLineChars="0"/>
        <w:rPr>
          <w:color w:val="auto"/>
        </w:rPr>
      </w:pPr>
      <w:r>
        <w:rPr>
          <w:color w:val="auto"/>
        </w:rPr>
        <w:t xml:space="preserve"> 施工现场扬尘治理前后TSP浓度</w:t>
      </w:r>
    </w:p>
    <w:tbl>
      <w:tblPr>
        <w:tblStyle w:val="52"/>
        <w:tblW w:w="8504"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28" w:type="dxa"/>
          <w:bottom w:w="0" w:type="dxa"/>
          <w:right w:w="28" w:type="dxa"/>
        </w:tblCellMar>
      </w:tblPr>
      <w:tblGrid>
        <w:gridCol w:w="1875"/>
        <w:gridCol w:w="1609"/>
        <w:gridCol w:w="941"/>
        <w:gridCol w:w="428"/>
        <w:gridCol w:w="585"/>
        <w:gridCol w:w="532"/>
        <w:gridCol w:w="709"/>
        <w:gridCol w:w="558"/>
        <w:gridCol w:w="641"/>
        <w:gridCol w:w="626"/>
      </w:tblGrid>
      <w:tr w14:paraId="2A44FF9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97" w:hRule="atLeast"/>
          <w:jc w:val="center"/>
        </w:trPr>
        <w:tc>
          <w:tcPr>
            <w:tcW w:w="1875" w:type="dxa"/>
            <w:vMerge w:val="restart"/>
            <w:tcBorders>
              <w:tl2br w:val="nil"/>
              <w:tr2bl w:val="nil"/>
            </w:tcBorders>
            <w:noWrap w:val="0"/>
            <w:tcMar>
              <w:top w:w="0" w:type="dxa"/>
              <w:left w:w="-1" w:type="dxa"/>
              <w:right w:w="-1" w:type="dxa"/>
            </w:tcMar>
            <w:vAlign w:val="center"/>
          </w:tcPr>
          <w:p w14:paraId="0D74FA66">
            <w:pPr>
              <w:pStyle w:val="31"/>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产尘位置</w:t>
            </w:r>
          </w:p>
        </w:tc>
        <w:tc>
          <w:tcPr>
            <w:tcW w:w="1609" w:type="dxa"/>
            <w:vMerge w:val="restart"/>
            <w:tcBorders>
              <w:tl2br w:val="nil"/>
              <w:tr2bl w:val="nil"/>
            </w:tcBorders>
            <w:noWrap w:val="0"/>
            <w:tcMar>
              <w:top w:w="0" w:type="dxa"/>
              <w:left w:w="-1" w:type="dxa"/>
              <w:right w:w="-1" w:type="dxa"/>
            </w:tcMar>
            <w:vAlign w:val="center"/>
          </w:tcPr>
          <w:p w14:paraId="4C9C9C17">
            <w:pPr>
              <w:pStyle w:val="31"/>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产尘因素</w:t>
            </w:r>
          </w:p>
        </w:tc>
        <w:tc>
          <w:tcPr>
            <w:tcW w:w="941" w:type="dxa"/>
            <w:vMerge w:val="restart"/>
            <w:tcBorders>
              <w:tl2br w:val="nil"/>
              <w:tr2bl w:val="nil"/>
            </w:tcBorders>
            <w:noWrap w:val="0"/>
            <w:tcMar>
              <w:top w:w="0" w:type="dxa"/>
              <w:left w:w="-1" w:type="dxa"/>
              <w:right w:w="-1" w:type="dxa"/>
            </w:tcMar>
            <w:vAlign w:val="center"/>
          </w:tcPr>
          <w:p w14:paraId="67945C2D">
            <w:pPr>
              <w:pStyle w:val="31"/>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治理前后</w:t>
            </w:r>
          </w:p>
        </w:tc>
        <w:tc>
          <w:tcPr>
            <w:tcW w:w="4079" w:type="dxa"/>
            <w:gridSpan w:val="7"/>
            <w:tcBorders>
              <w:tl2br w:val="nil"/>
              <w:tr2bl w:val="nil"/>
            </w:tcBorders>
            <w:noWrap w:val="0"/>
            <w:tcMar>
              <w:top w:w="0" w:type="dxa"/>
              <w:left w:w="-1" w:type="dxa"/>
              <w:right w:w="-1" w:type="dxa"/>
            </w:tcMar>
            <w:vAlign w:val="center"/>
          </w:tcPr>
          <w:p w14:paraId="39A11265">
            <w:pPr>
              <w:pStyle w:val="31"/>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距施工场界距离（m）</w:t>
            </w:r>
          </w:p>
        </w:tc>
      </w:tr>
      <w:tr w14:paraId="563482A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97" w:hRule="atLeast"/>
          <w:jc w:val="center"/>
        </w:trPr>
        <w:tc>
          <w:tcPr>
            <w:tcW w:w="1875" w:type="dxa"/>
            <w:vMerge w:val="continue"/>
            <w:tcBorders>
              <w:tl2br w:val="nil"/>
              <w:tr2bl w:val="nil"/>
            </w:tcBorders>
            <w:noWrap w:val="0"/>
            <w:tcMar>
              <w:top w:w="0" w:type="dxa"/>
              <w:left w:w="-1" w:type="dxa"/>
              <w:right w:w="-1" w:type="dxa"/>
            </w:tcMar>
            <w:vAlign w:val="center"/>
          </w:tcPr>
          <w:p w14:paraId="5D8787F3">
            <w:pPr>
              <w:pStyle w:val="31"/>
              <w:pageBreakBefore w:val="0"/>
              <w:wordWrap/>
              <w:bidi w:val="0"/>
              <w:adjustRightInd/>
              <w:snapToGrid/>
              <w:spacing w:line="240" w:lineRule="auto"/>
              <w:ind w:firstLine="0" w:firstLineChars="0"/>
              <w:jc w:val="center"/>
              <w:rPr>
                <w:rFonts w:ascii="Times New Roman" w:hAnsi="Times New Roman"/>
                <w:b/>
                <w:bCs/>
                <w:color w:val="auto"/>
                <w:sz w:val="21"/>
                <w:szCs w:val="21"/>
              </w:rPr>
            </w:pPr>
          </w:p>
        </w:tc>
        <w:tc>
          <w:tcPr>
            <w:tcW w:w="1609" w:type="dxa"/>
            <w:vMerge w:val="continue"/>
            <w:tcBorders>
              <w:tl2br w:val="nil"/>
              <w:tr2bl w:val="nil"/>
            </w:tcBorders>
            <w:noWrap w:val="0"/>
            <w:tcMar>
              <w:top w:w="0" w:type="dxa"/>
              <w:left w:w="-1" w:type="dxa"/>
              <w:right w:w="-1" w:type="dxa"/>
            </w:tcMar>
            <w:vAlign w:val="center"/>
          </w:tcPr>
          <w:p w14:paraId="523EAE4E">
            <w:pPr>
              <w:pStyle w:val="31"/>
              <w:pageBreakBefore w:val="0"/>
              <w:wordWrap/>
              <w:bidi w:val="0"/>
              <w:adjustRightInd/>
              <w:snapToGrid/>
              <w:spacing w:line="240" w:lineRule="auto"/>
              <w:ind w:firstLine="0" w:firstLineChars="0"/>
              <w:jc w:val="center"/>
              <w:rPr>
                <w:rFonts w:ascii="Times New Roman" w:hAnsi="Times New Roman"/>
                <w:b/>
                <w:bCs/>
                <w:color w:val="auto"/>
                <w:sz w:val="21"/>
                <w:szCs w:val="21"/>
              </w:rPr>
            </w:pPr>
          </w:p>
        </w:tc>
        <w:tc>
          <w:tcPr>
            <w:tcW w:w="941" w:type="dxa"/>
            <w:vMerge w:val="continue"/>
            <w:tcBorders>
              <w:tl2br w:val="nil"/>
              <w:tr2bl w:val="nil"/>
            </w:tcBorders>
            <w:noWrap w:val="0"/>
            <w:tcMar>
              <w:top w:w="0" w:type="dxa"/>
              <w:left w:w="-1" w:type="dxa"/>
              <w:right w:w="-1" w:type="dxa"/>
            </w:tcMar>
            <w:vAlign w:val="center"/>
          </w:tcPr>
          <w:p w14:paraId="06FFA505">
            <w:pPr>
              <w:pStyle w:val="31"/>
              <w:pageBreakBefore w:val="0"/>
              <w:wordWrap/>
              <w:bidi w:val="0"/>
              <w:adjustRightInd/>
              <w:snapToGrid/>
              <w:spacing w:line="240" w:lineRule="auto"/>
              <w:ind w:firstLine="0" w:firstLineChars="0"/>
              <w:jc w:val="center"/>
              <w:rPr>
                <w:rFonts w:ascii="Times New Roman" w:hAnsi="Times New Roman"/>
                <w:b/>
                <w:bCs/>
                <w:color w:val="auto"/>
                <w:sz w:val="21"/>
                <w:szCs w:val="21"/>
              </w:rPr>
            </w:pPr>
          </w:p>
        </w:tc>
        <w:tc>
          <w:tcPr>
            <w:tcW w:w="428" w:type="dxa"/>
            <w:tcBorders>
              <w:tl2br w:val="nil"/>
              <w:tr2bl w:val="nil"/>
            </w:tcBorders>
            <w:noWrap w:val="0"/>
            <w:tcMar>
              <w:top w:w="0" w:type="dxa"/>
              <w:left w:w="-1" w:type="dxa"/>
              <w:right w:w="-1" w:type="dxa"/>
            </w:tcMar>
            <w:vAlign w:val="center"/>
          </w:tcPr>
          <w:p w14:paraId="2A5C439F">
            <w:pPr>
              <w:pStyle w:val="31"/>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10</w:t>
            </w:r>
          </w:p>
        </w:tc>
        <w:tc>
          <w:tcPr>
            <w:tcW w:w="585" w:type="dxa"/>
            <w:tcBorders>
              <w:tl2br w:val="nil"/>
              <w:tr2bl w:val="nil"/>
            </w:tcBorders>
            <w:noWrap w:val="0"/>
            <w:tcMar>
              <w:top w:w="0" w:type="dxa"/>
              <w:left w:w="-1" w:type="dxa"/>
              <w:right w:w="-1" w:type="dxa"/>
            </w:tcMar>
            <w:vAlign w:val="center"/>
          </w:tcPr>
          <w:p w14:paraId="4392D900">
            <w:pPr>
              <w:pStyle w:val="31"/>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30</w:t>
            </w:r>
          </w:p>
        </w:tc>
        <w:tc>
          <w:tcPr>
            <w:tcW w:w="532" w:type="dxa"/>
            <w:tcBorders>
              <w:tl2br w:val="nil"/>
              <w:tr2bl w:val="nil"/>
            </w:tcBorders>
            <w:noWrap w:val="0"/>
            <w:tcMar>
              <w:top w:w="0" w:type="dxa"/>
              <w:left w:w="-1" w:type="dxa"/>
              <w:right w:w="-1" w:type="dxa"/>
            </w:tcMar>
            <w:vAlign w:val="center"/>
          </w:tcPr>
          <w:p w14:paraId="2A306FDC">
            <w:pPr>
              <w:pStyle w:val="31"/>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50</w:t>
            </w:r>
          </w:p>
        </w:tc>
        <w:tc>
          <w:tcPr>
            <w:tcW w:w="709" w:type="dxa"/>
            <w:tcBorders>
              <w:tl2br w:val="nil"/>
              <w:tr2bl w:val="nil"/>
            </w:tcBorders>
            <w:noWrap w:val="0"/>
            <w:tcMar>
              <w:top w:w="0" w:type="dxa"/>
              <w:left w:w="-1" w:type="dxa"/>
              <w:right w:w="-1" w:type="dxa"/>
            </w:tcMar>
            <w:vAlign w:val="center"/>
          </w:tcPr>
          <w:p w14:paraId="06290505">
            <w:pPr>
              <w:pStyle w:val="31"/>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100</w:t>
            </w:r>
          </w:p>
        </w:tc>
        <w:tc>
          <w:tcPr>
            <w:tcW w:w="558" w:type="dxa"/>
            <w:tcBorders>
              <w:tl2br w:val="nil"/>
              <w:tr2bl w:val="nil"/>
            </w:tcBorders>
            <w:noWrap w:val="0"/>
            <w:tcMar>
              <w:top w:w="0" w:type="dxa"/>
              <w:left w:w="-1" w:type="dxa"/>
              <w:right w:w="-1" w:type="dxa"/>
            </w:tcMar>
            <w:vAlign w:val="center"/>
          </w:tcPr>
          <w:p w14:paraId="1C2E2926">
            <w:pPr>
              <w:pStyle w:val="31"/>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150</w:t>
            </w:r>
          </w:p>
        </w:tc>
        <w:tc>
          <w:tcPr>
            <w:tcW w:w="641" w:type="dxa"/>
            <w:tcBorders>
              <w:tl2br w:val="nil"/>
              <w:tr2bl w:val="nil"/>
            </w:tcBorders>
            <w:noWrap w:val="0"/>
            <w:tcMar>
              <w:top w:w="0" w:type="dxa"/>
              <w:left w:w="-1" w:type="dxa"/>
              <w:right w:w="-1" w:type="dxa"/>
            </w:tcMar>
            <w:vAlign w:val="center"/>
          </w:tcPr>
          <w:p w14:paraId="2637BA0A">
            <w:pPr>
              <w:pStyle w:val="31"/>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200</w:t>
            </w:r>
          </w:p>
        </w:tc>
        <w:tc>
          <w:tcPr>
            <w:tcW w:w="626" w:type="dxa"/>
            <w:tcBorders>
              <w:tl2br w:val="nil"/>
              <w:tr2bl w:val="nil"/>
            </w:tcBorders>
            <w:noWrap w:val="0"/>
            <w:tcMar>
              <w:top w:w="0" w:type="dxa"/>
              <w:left w:w="-1" w:type="dxa"/>
              <w:right w:w="-1" w:type="dxa"/>
            </w:tcMar>
            <w:vAlign w:val="center"/>
          </w:tcPr>
          <w:p w14:paraId="6325409F">
            <w:pPr>
              <w:pStyle w:val="31"/>
              <w:pageBreakBefore w:val="0"/>
              <w:wordWrap/>
              <w:bidi w:val="0"/>
              <w:adjustRightInd/>
              <w:snapToGrid/>
              <w:spacing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400</w:t>
            </w:r>
          </w:p>
        </w:tc>
      </w:tr>
      <w:tr w14:paraId="4EF2018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97" w:hRule="atLeast"/>
          <w:jc w:val="center"/>
        </w:trPr>
        <w:tc>
          <w:tcPr>
            <w:tcW w:w="1875" w:type="dxa"/>
            <w:vMerge w:val="restart"/>
            <w:tcBorders>
              <w:tl2br w:val="nil"/>
              <w:tr2bl w:val="nil"/>
            </w:tcBorders>
            <w:noWrap w:val="0"/>
            <w:tcMar>
              <w:top w:w="0" w:type="dxa"/>
              <w:left w:w="-1" w:type="dxa"/>
              <w:right w:w="-1" w:type="dxa"/>
            </w:tcMar>
            <w:vAlign w:val="center"/>
          </w:tcPr>
          <w:p w14:paraId="4CA00F81">
            <w:pPr>
              <w:pStyle w:val="31"/>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运输沿线料场、弃土堆场、开挖现场</w:t>
            </w:r>
          </w:p>
        </w:tc>
        <w:tc>
          <w:tcPr>
            <w:tcW w:w="1609" w:type="dxa"/>
            <w:vMerge w:val="restart"/>
            <w:tcBorders>
              <w:tl2br w:val="nil"/>
              <w:tr2bl w:val="nil"/>
            </w:tcBorders>
            <w:noWrap w:val="0"/>
            <w:tcMar>
              <w:top w:w="0" w:type="dxa"/>
              <w:left w:w="-1" w:type="dxa"/>
              <w:right w:w="-1" w:type="dxa"/>
            </w:tcMar>
            <w:vAlign w:val="center"/>
          </w:tcPr>
          <w:p w14:paraId="3D5310AD">
            <w:pPr>
              <w:pStyle w:val="31"/>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开挖、拌和建材弃土运输装卸</w:t>
            </w:r>
          </w:p>
        </w:tc>
        <w:tc>
          <w:tcPr>
            <w:tcW w:w="941" w:type="dxa"/>
            <w:tcBorders>
              <w:tl2br w:val="nil"/>
              <w:tr2bl w:val="nil"/>
            </w:tcBorders>
            <w:noWrap w:val="0"/>
            <w:tcMar>
              <w:top w:w="0" w:type="dxa"/>
              <w:left w:w="-1" w:type="dxa"/>
              <w:right w:w="-1" w:type="dxa"/>
            </w:tcMar>
            <w:vAlign w:val="center"/>
          </w:tcPr>
          <w:p w14:paraId="2AAFDD52">
            <w:pPr>
              <w:pStyle w:val="31"/>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治理前</w:t>
            </w:r>
          </w:p>
        </w:tc>
        <w:tc>
          <w:tcPr>
            <w:tcW w:w="428" w:type="dxa"/>
            <w:tcBorders>
              <w:tl2br w:val="nil"/>
              <w:tr2bl w:val="nil"/>
            </w:tcBorders>
            <w:noWrap w:val="0"/>
            <w:tcMar>
              <w:top w:w="0" w:type="dxa"/>
              <w:left w:w="-1" w:type="dxa"/>
              <w:right w:w="-1" w:type="dxa"/>
            </w:tcMar>
            <w:vAlign w:val="center"/>
          </w:tcPr>
          <w:p w14:paraId="3DC52FF2">
            <w:pPr>
              <w:pStyle w:val="31"/>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w:t>
            </w:r>
          </w:p>
        </w:tc>
        <w:tc>
          <w:tcPr>
            <w:tcW w:w="585" w:type="dxa"/>
            <w:tcBorders>
              <w:tl2br w:val="nil"/>
              <w:tr2bl w:val="nil"/>
            </w:tcBorders>
            <w:noWrap w:val="0"/>
            <w:tcMar>
              <w:top w:w="0" w:type="dxa"/>
              <w:left w:w="-1" w:type="dxa"/>
              <w:right w:w="-1" w:type="dxa"/>
            </w:tcMar>
            <w:vAlign w:val="center"/>
          </w:tcPr>
          <w:p w14:paraId="0AA8D885">
            <w:pPr>
              <w:pStyle w:val="31"/>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w:t>
            </w:r>
          </w:p>
        </w:tc>
        <w:tc>
          <w:tcPr>
            <w:tcW w:w="532" w:type="dxa"/>
            <w:tcBorders>
              <w:tl2br w:val="nil"/>
              <w:tr2bl w:val="nil"/>
            </w:tcBorders>
            <w:noWrap w:val="0"/>
            <w:tcMar>
              <w:top w:w="0" w:type="dxa"/>
              <w:left w:w="-1" w:type="dxa"/>
              <w:right w:w="-1" w:type="dxa"/>
            </w:tcMar>
            <w:vAlign w:val="center"/>
          </w:tcPr>
          <w:p w14:paraId="615233BD">
            <w:pPr>
              <w:pStyle w:val="31"/>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8.0</w:t>
            </w:r>
          </w:p>
        </w:tc>
        <w:tc>
          <w:tcPr>
            <w:tcW w:w="709" w:type="dxa"/>
            <w:tcBorders>
              <w:tl2br w:val="nil"/>
              <w:tr2bl w:val="nil"/>
            </w:tcBorders>
            <w:noWrap w:val="0"/>
            <w:tcMar>
              <w:top w:w="0" w:type="dxa"/>
              <w:left w:w="-1" w:type="dxa"/>
              <w:right w:w="-1" w:type="dxa"/>
            </w:tcMar>
            <w:vAlign w:val="center"/>
          </w:tcPr>
          <w:p w14:paraId="1F5353E9">
            <w:pPr>
              <w:pStyle w:val="31"/>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2.3</w:t>
            </w:r>
          </w:p>
        </w:tc>
        <w:tc>
          <w:tcPr>
            <w:tcW w:w="558" w:type="dxa"/>
            <w:tcBorders>
              <w:tl2br w:val="nil"/>
              <w:tr2bl w:val="nil"/>
            </w:tcBorders>
            <w:noWrap w:val="0"/>
            <w:tcMar>
              <w:top w:w="0" w:type="dxa"/>
              <w:left w:w="-1" w:type="dxa"/>
              <w:right w:w="-1" w:type="dxa"/>
            </w:tcMar>
            <w:vAlign w:val="center"/>
          </w:tcPr>
          <w:p w14:paraId="522A7FC9">
            <w:pPr>
              <w:pStyle w:val="31"/>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1.0</w:t>
            </w:r>
          </w:p>
        </w:tc>
        <w:tc>
          <w:tcPr>
            <w:tcW w:w="641" w:type="dxa"/>
            <w:tcBorders>
              <w:tl2br w:val="nil"/>
              <w:tr2bl w:val="nil"/>
            </w:tcBorders>
            <w:noWrap w:val="0"/>
            <w:tcMar>
              <w:top w:w="0" w:type="dxa"/>
              <w:left w:w="-1" w:type="dxa"/>
              <w:right w:w="-1" w:type="dxa"/>
            </w:tcMar>
            <w:vAlign w:val="center"/>
          </w:tcPr>
          <w:p w14:paraId="005F5DA0">
            <w:pPr>
              <w:pStyle w:val="31"/>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0.5</w:t>
            </w:r>
          </w:p>
        </w:tc>
        <w:tc>
          <w:tcPr>
            <w:tcW w:w="626" w:type="dxa"/>
            <w:tcBorders>
              <w:tl2br w:val="nil"/>
              <w:tr2bl w:val="nil"/>
            </w:tcBorders>
            <w:noWrap w:val="0"/>
            <w:tcMar>
              <w:top w:w="0" w:type="dxa"/>
              <w:left w:w="-1" w:type="dxa"/>
              <w:right w:w="-1" w:type="dxa"/>
            </w:tcMar>
            <w:vAlign w:val="center"/>
          </w:tcPr>
          <w:p w14:paraId="5CA3FC0D">
            <w:pPr>
              <w:pStyle w:val="31"/>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0.3</w:t>
            </w:r>
          </w:p>
        </w:tc>
      </w:tr>
      <w:tr w14:paraId="1A6EC99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97" w:hRule="atLeast"/>
          <w:jc w:val="center"/>
        </w:trPr>
        <w:tc>
          <w:tcPr>
            <w:tcW w:w="1875" w:type="dxa"/>
            <w:vMerge w:val="continue"/>
            <w:tcBorders>
              <w:tl2br w:val="nil"/>
              <w:tr2bl w:val="nil"/>
            </w:tcBorders>
            <w:noWrap w:val="0"/>
            <w:tcMar>
              <w:top w:w="0" w:type="dxa"/>
              <w:left w:w="-1" w:type="dxa"/>
              <w:right w:w="-1" w:type="dxa"/>
            </w:tcMar>
            <w:vAlign w:val="center"/>
          </w:tcPr>
          <w:p w14:paraId="68A14259">
            <w:pPr>
              <w:pStyle w:val="31"/>
              <w:pageBreakBefore w:val="0"/>
              <w:wordWrap/>
              <w:bidi w:val="0"/>
              <w:adjustRightInd/>
              <w:snapToGrid/>
              <w:spacing w:line="240" w:lineRule="auto"/>
              <w:ind w:firstLine="0" w:firstLineChars="0"/>
              <w:jc w:val="center"/>
              <w:rPr>
                <w:rFonts w:ascii="Times New Roman" w:hAnsi="Times New Roman"/>
                <w:color w:val="auto"/>
                <w:sz w:val="21"/>
                <w:szCs w:val="21"/>
              </w:rPr>
            </w:pPr>
          </w:p>
        </w:tc>
        <w:tc>
          <w:tcPr>
            <w:tcW w:w="1609" w:type="dxa"/>
            <w:vMerge w:val="continue"/>
            <w:tcBorders>
              <w:tl2br w:val="nil"/>
              <w:tr2bl w:val="nil"/>
            </w:tcBorders>
            <w:noWrap w:val="0"/>
            <w:tcMar>
              <w:top w:w="0" w:type="dxa"/>
              <w:left w:w="-1" w:type="dxa"/>
              <w:right w:w="-1" w:type="dxa"/>
            </w:tcMar>
            <w:vAlign w:val="center"/>
          </w:tcPr>
          <w:p w14:paraId="43465A6C">
            <w:pPr>
              <w:pStyle w:val="31"/>
              <w:pageBreakBefore w:val="0"/>
              <w:wordWrap/>
              <w:bidi w:val="0"/>
              <w:adjustRightInd/>
              <w:snapToGrid/>
              <w:spacing w:line="240" w:lineRule="auto"/>
              <w:ind w:firstLine="0" w:firstLineChars="0"/>
              <w:jc w:val="center"/>
              <w:rPr>
                <w:rFonts w:ascii="Times New Roman" w:hAnsi="Times New Roman"/>
                <w:color w:val="auto"/>
                <w:sz w:val="21"/>
                <w:szCs w:val="21"/>
              </w:rPr>
            </w:pPr>
          </w:p>
        </w:tc>
        <w:tc>
          <w:tcPr>
            <w:tcW w:w="941" w:type="dxa"/>
            <w:tcBorders>
              <w:tl2br w:val="nil"/>
              <w:tr2bl w:val="nil"/>
            </w:tcBorders>
            <w:noWrap w:val="0"/>
            <w:tcMar>
              <w:top w:w="0" w:type="dxa"/>
              <w:left w:w="-1" w:type="dxa"/>
              <w:right w:w="-1" w:type="dxa"/>
            </w:tcMar>
            <w:vAlign w:val="center"/>
          </w:tcPr>
          <w:p w14:paraId="47EAE70D">
            <w:pPr>
              <w:pStyle w:val="31"/>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治理后</w:t>
            </w:r>
          </w:p>
        </w:tc>
        <w:tc>
          <w:tcPr>
            <w:tcW w:w="428" w:type="dxa"/>
            <w:tcBorders>
              <w:tl2br w:val="nil"/>
              <w:tr2bl w:val="nil"/>
            </w:tcBorders>
            <w:noWrap w:val="0"/>
            <w:tcMar>
              <w:top w:w="0" w:type="dxa"/>
              <w:left w:w="-1" w:type="dxa"/>
              <w:right w:w="-1" w:type="dxa"/>
            </w:tcMar>
            <w:vAlign w:val="center"/>
          </w:tcPr>
          <w:p w14:paraId="419852E6">
            <w:pPr>
              <w:pStyle w:val="31"/>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w:t>
            </w:r>
          </w:p>
        </w:tc>
        <w:tc>
          <w:tcPr>
            <w:tcW w:w="585" w:type="dxa"/>
            <w:tcBorders>
              <w:tl2br w:val="nil"/>
              <w:tr2bl w:val="nil"/>
            </w:tcBorders>
            <w:noWrap w:val="0"/>
            <w:tcMar>
              <w:top w:w="0" w:type="dxa"/>
              <w:left w:w="-1" w:type="dxa"/>
              <w:right w:w="-1" w:type="dxa"/>
            </w:tcMar>
            <w:vAlign w:val="center"/>
          </w:tcPr>
          <w:p w14:paraId="24B5F421">
            <w:pPr>
              <w:pStyle w:val="31"/>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2.0</w:t>
            </w:r>
          </w:p>
        </w:tc>
        <w:tc>
          <w:tcPr>
            <w:tcW w:w="532" w:type="dxa"/>
            <w:tcBorders>
              <w:tl2br w:val="nil"/>
              <w:tr2bl w:val="nil"/>
            </w:tcBorders>
            <w:noWrap w:val="0"/>
            <w:tcMar>
              <w:top w:w="0" w:type="dxa"/>
              <w:left w:w="-1" w:type="dxa"/>
              <w:right w:w="-1" w:type="dxa"/>
            </w:tcMar>
            <w:vAlign w:val="center"/>
          </w:tcPr>
          <w:p w14:paraId="77F29FA4">
            <w:pPr>
              <w:pStyle w:val="31"/>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0.8</w:t>
            </w:r>
          </w:p>
        </w:tc>
        <w:tc>
          <w:tcPr>
            <w:tcW w:w="709" w:type="dxa"/>
            <w:tcBorders>
              <w:tl2br w:val="nil"/>
              <w:tr2bl w:val="nil"/>
            </w:tcBorders>
            <w:noWrap w:val="0"/>
            <w:tcMar>
              <w:top w:w="0" w:type="dxa"/>
              <w:left w:w="-1" w:type="dxa"/>
              <w:right w:w="-1" w:type="dxa"/>
            </w:tcMar>
            <w:vAlign w:val="center"/>
          </w:tcPr>
          <w:p w14:paraId="1DB9D5E6">
            <w:pPr>
              <w:pStyle w:val="31"/>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0.5</w:t>
            </w:r>
          </w:p>
        </w:tc>
        <w:tc>
          <w:tcPr>
            <w:tcW w:w="558" w:type="dxa"/>
            <w:tcBorders>
              <w:tl2br w:val="nil"/>
              <w:tr2bl w:val="nil"/>
            </w:tcBorders>
            <w:noWrap w:val="0"/>
            <w:tcMar>
              <w:top w:w="0" w:type="dxa"/>
              <w:left w:w="-1" w:type="dxa"/>
              <w:right w:w="-1" w:type="dxa"/>
            </w:tcMar>
            <w:vAlign w:val="center"/>
          </w:tcPr>
          <w:p w14:paraId="218BE9B4">
            <w:pPr>
              <w:pStyle w:val="31"/>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0.3</w:t>
            </w:r>
          </w:p>
        </w:tc>
        <w:tc>
          <w:tcPr>
            <w:tcW w:w="641" w:type="dxa"/>
            <w:tcBorders>
              <w:tl2br w:val="nil"/>
              <w:tr2bl w:val="nil"/>
            </w:tcBorders>
            <w:noWrap w:val="0"/>
            <w:tcMar>
              <w:top w:w="0" w:type="dxa"/>
              <w:left w:w="-1" w:type="dxa"/>
              <w:right w:w="-1" w:type="dxa"/>
            </w:tcMar>
            <w:vAlign w:val="center"/>
          </w:tcPr>
          <w:p w14:paraId="57EED1C2">
            <w:pPr>
              <w:pStyle w:val="31"/>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0.1</w:t>
            </w:r>
          </w:p>
        </w:tc>
        <w:tc>
          <w:tcPr>
            <w:tcW w:w="626" w:type="dxa"/>
            <w:tcBorders>
              <w:tl2br w:val="nil"/>
              <w:tr2bl w:val="nil"/>
            </w:tcBorders>
            <w:noWrap w:val="0"/>
            <w:tcMar>
              <w:top w:w="0" w:type="dxa"/>
              <w:left w:w="-1" w:type="dxa"/>
              <w:right w:w="-1" w:type="dxa"/>
            </w:tcMar>
            <w:vAlign w:val="center"/>
          </w:tcPr>
          <w:p w14:paraId="6E8A5691">
            <w:pPr>
              <w:pStyle w:val="31"/>
              <w:pageBreakBefore w:val="0"/>
              <w:wordWrap/>
              <w:bidi w:val="0"/>
              <w:adjustRightInd/>
              <w:snapToGrid/>
              <w:spacing w:line="240" w:lineRule="auto"/>
              <w:ind w:firstLine="0" w:firstLineChars="0"/>
              <w:jc w:val="center"/>
              <w:rPr>
                <w:rFonts w:ascii="Times New Roman" w:hAnsi="Times New Roman"/>
                <w:color w:val="auto"/>
                <w:sz w:val="21"/>
                <w:szCs w:val="21"/>
              </w:rPr>
            </w:pPr>
            <w:r>
              <w:rPr>
                <w:rFonts w:ascii="Times New Roman" w:hAnsi="Times New Roman"/>
                <w:color w:val="auto"/>
                <w:sz w:val="21"/>
                <w:szCs w:val="21"/>
              </w:rPr>
              <w:t>-</w:t>
            </w:r>
          </w:p>
        </w:tc>
      </w:tr>
    </w:tbl>
    <w:p w14:paraId="4F5519BB">
      <w:pPr>
        <w:pageBreakBefore w:val="0"/>
        <w:wordWrap/>
        <w:bidi w:val="0"/>
        <w:adjustRightInd/>
        <w:snapToGrid/>
        <w:ind w:firstLine="480"/>
        <w:rPr>
          <w:color w:val="auto"/>
        </w:rPr>
      </w:pPr>
      <w:r>
        <w:rPr>
          <w:color w:val="auto"/>
        </w:rPr>
        <w:t>由</w:t>
      </w:r>
      <w:r>
        <w:rPr>
          <w:rFonts w:hint="eastAsia"/>
          <w:color w:val="auto"/>
          <w:lang w:val="en-US" w:eastAsia="zh-CN"/>
        </w:rPr>
        <w:t>上表</w:t>
      </w:r>
      <w:r>
        <w:rPr>
          <w:color w:val="auto"/>
        </w:rPr>
        <w:t>可知，项目在未采取防尘措施时，施工现场影响范围在400m范围。采取相应的防尘措施后，扬尘影响范围在150m范围内，防尘措施明显，能够有效的减轻施工扬尘对附近居民的影响。</w:t>
      </w:r>
    </w:p>
    <w:p w14:paraId="5B6E0053">
      <w:pPr>
        <w:bidi w:val="0"/>
        <w:rPr>
          <w:color w:val="auto"/>
        </w:rPr>
      </w:pPr>
      <w:r>
        <w:rPr>
          <w:color w:val="auto"/>
        </w:rPr>
        <w:t>为了减少施工建设的影响，针对施工期扬尘的问题，本项目在施工期拟采取如下控制措施：</w:t>
      </w:r>
    </w:p>
    <w:p w14:paraId="2CC4B9A6">
      <w:pPr>
        <w:bidi w:val="0"/>
        <w:rPr>
          <w:color w:val="auto"/>
        </w:rPr>
      </w:pPr>
      <w:r>
        <w:rPr>
          <w:color w:val="auto"/>
        </w:rPr>
        <w:t>（1）在施工过程中，作业场地将采取围挡、围护以减少扬尘扩散，围挡、围护对减少扬尘对环境的污染有明显作用，当风速为2.5m/s时可使影响距离缩短40%。在施工现场周围，连续设置不低于2.5m高的围挡，并做到坚固美观。</w:t>
      </w:r>
    </w:p>
    <w:p w14:paraId="07EB589A">
      <w:pPr>
        <w:bidi w:val="0"/>
        <w:rPr>
          <w:color w:val="auto"/>
        </w:rPr>
      </w:pPr>
      <w:r>
        <w:rPr>
          <w:color w:val="auto"/>
        </w:rPr>
        <w:t>（2）在施工场地安排员工定期对施工场地洒水以减少扬尘量，洒水次数根据天气状况而定，一般每天洒水1</w:t>
      </w:r>
      <w:r>
        <w:rPr>
          <w:rFonts w:hint="eastAsia"/>
          <w:color w:val="auto"/>
          <w:lang w:eastAsia="zh-CN"/>
        </w:rPr>
        <w:t>～</w:t>
      </w:r>
      <w:r>
        <w:rPr>
          <w:color w:val="auto"/>
        </w:rPr>
        <w:t>2次，若遇到大风或干燥天气可适当增加洒水次数。施工场地洒水与否对扬尘的影响较大，场地洒水后，扬尘量将减低28%</w:t>
      </w:r>
      <w:r>
        <w:rPr>
          <w:rFonts w:hint="eastAsia"/>
          <w:color w:val="auto"/>
          <w:lang w:eastAsia="zh-CN"/>
        </w:rPr>
        <w:t>～</w:t>
      </w:r>
      <w:r>
        <w:rPr>
          <w:color w:val="auto"/>
        </w:rPr>
        <w:t>75%，大大减少了其对环境的影响。</w:t>
      </w:r>
    </w:p>
    <w:p w14:paraId="79CFFA92">
      <w:pPr>
        <w:bidi w:val="0"/>
        <w:rPr>
          <w:color w:val="auto"/>
        </w:rPr>
      </w:pPr>
      <w:r>
        <w:rPr>
          <w:color w:val="auto"/>
        </w:rPr>
        <w:t>（3）工程建设期间，使用的具有粉尘逸散性的工程材料、砂石、土方或废弃物，应当密闭处理。若在工地内堆置，则应采取覆盖防尘布、覆盖防尘网、配合定期喷洒粉尘抑制剂等措施，防止风蚀起尘。同时对运输建筑材料及建筑垃圾的车辆</w:t>
      </w:r>
      <w:r>
        <w:rPr>
          <w:rFonts w:hint="eastAsia"/>
          <w:color w:val="auto"/>
          <w:lang w:eastAsia="zh-CN"/>
        </w:rPr>
        <w:t>加盖篷布</w:t>
      </w:r>
      <w:r>
        <w:rPr>
          <w:color w:val="auto"/>
        </w:rPr>
        <w:t>减少洒落；车辆进出、装卸场地时应用水将轮胎冲洗干净；车辆行驶路线应首选外环路，尽量避开居民区和市中心区。</w:t>
      </w:r>
    </w:p>
    <w:p w14:paraId="3EB845E7">
      <w:pPr>
        <w:bidi w:val="0"/>
        <w:rPr>
          <w:color w:val="auto"/>
        </w:rPr>
      </w:pPr>
      <w:r>
        <w:rPr>
          <w:color w:val="auto"/>
        </w:rPr>
        <w:t>（4）尽量避免在大风天气下进行施工作业，建议使用商品混凝土。</w:t>
      </w:r>
    </w:p>
    <w:p w14:paraId="1FD98A20">
      <w:pPr>
        <w:bidi w:val="0"/>
        <w:rPr>
          <w:color w:val="auto"/>
        </w:rPr>
      </w:pPr>
      <w:r>
        <w:rPr>
          <w:color w:val="auto"/>
        </w:rPr>
        <w:t>（5）在施工场地上设置专人负责建筑垃圾、建筑材料的处置、清运和堆放，堆放场地</w:t>
      </w:r>
      <w:r>
        <w:rPr>
          <w:rFonts w:hint="eastAsia"/>
          <w:color w:val="auto"/>
          <w:lang w:eastAsia="zh-CN"/>
        </w:rPr>
        <w:t>加盖篷布</w:t>
      </w:r>
      <w:r>
        <w:rPr>
          <w:color w:val="auto"/>
        </w:rPr>
        <w:t>或洒水，防止二次扬尘。</w:t>
      </w:r>
    </w:p>
    <w:p w14:paraId="70CAA6FF">
      <w:pPr>
        <w:bidi w:val="0"/>
        <w:rPr>
          <w:color w:val="auto"/>
        </w:rPr>
      </w:pPr>
      <w:r>
        <w:rPr>
          <w:color w:val="auto"/>
        </w:rPr>
        <w:t>（6）工程建设期间，施工工地内车行路径，应采取铺设钢板、铺设混凝土、铺设沥青混凝土、铺设用细石</w:t>
      </w:r>
      <w:r>
        <w:rPr>
          <w:rFonts w:hint="eastAsia"/>
          <w:color w:val="auto"/>
          <w:lang w:eastAsia="zh-CN"/>
        </w:rPr>
        <w:t>或其他</w:t>
      </w:r>
      <w:r>
        <w:rPr>
          <w:color w:val="auto"/>
        </w:rPr>
        <w:t>功能相当的材料等措施之一，防止机动车扬尘。进出施工现场临时道路应根据实际情况进行硬化，或定期施洒粉尘抑制剂以保持路面低尘负荷状态。</w:t>
      </w:r>
    </w:p>
    <w:p w14:paraId="75956D35">
      <w:pPr>
        <w:bidi w:val="0"/>
        <w:rPr>
          <w:color w:val="auto"/>
        </w:rPr>
      </w:pPr>
      <w:r>
        <w:rPr>
          <w:color w:val="auto"/>
        </w:rPr>
        <w:t>（7）工程建设期间，对于工地内裸露地面，应采取下列防尘措施之一：覆盖防尘布或防尘网；铺设钢板、混凝土、沥青混凝土、细石或其他功能相当的材料；植被绿化；定期洒水；地表压实处理并洒水；定期喷洒抑尘剂。</w:t>
      </w:r>
    </w:p>
    <w:p w14:paraId="12D80A70">
      <w:pPr>
        <w:bidi w:val="0"/>
        <w:rPr>
          <w:color w:val="auto"/>
        </w:rPr>
      </w:pPr>
      <w:r>
        <w:rPr>
          <w:color w:val="auto"/>
        </w:rPr>
        <w:t>（8）施工期间，施工单位应负责工地周边道路的保洁与清洗责任；施工期间，随工程进度及时进行回填和植被恢复，减少裸露地面和临时土方堆场。</w:t>
      </w:r>
    </w:p>
    <w:p w14:paraId="6C524991">
      <w:pPr>
        <w:bidi w:val="0"/>
        <w:rPr>
          <w:color w:val="auto"/>
        </w:rPr>
      </w:pPr>
      <w:r>
        <w:rPr>
          <w:color w:val="auto"/>
        </w:rPr>
        <w:t>（9）对建筑垃圾应及时处理、清运、以减少占地，防止扬尘污染，改善施工场地的环境。</w:t>
      </w:r>
    </w:p>
    <w:p w14:paraId="597174AB">
      <w:pPr>
        <w:pageBreakBefore w:val="0"/>
        <w:wordWrap/>
        <w:bidi w:val="0"/>
        <w:adjustRightInd/>
        <w:snapToGrid/>
        <w:ind w:firstLine="480"/>
        <w:rPr>
          <w:b/>
          <w:bCs/>
          <w:color w:val="auto"/>
        </w:rPr>
      </w:pPr>
      <w:r>
        <w:rPr>
          <w:color w:val="auto"/>
        </w:rPr>
        <w:t>本项目施工期间扬尘治理必须严格遵守国家环境保护总局2007年11月27日发布，2008年2月1日实施的《防治城市扬尘污染技术规范》（HJ/T393-2007）的要求，减少扬尘产生量。</w:t>
      </w:r>
      <w:r>
        <w:rPr>
          <w:b/>
          <w:bCs/>
          <w:color w:val="auto"/>
        </w:rPr>
        <w:t>同时，严格按照</w:t>
      </w:r>
      <w:r>
        <w:rPr>
          <w:rFonts w:hint="eastAsia"/>
          <w:b/>
          <w:bCs/>
          <w:color w:val="auto"/>
        </w:rPr>
        <w:t>《巴中市扬尘污染防治条例》</w:t>
      </w:r>
      <w:r>
        <w:rPr>
          <w:rFonts w:hint="eastAsia"/>
          <w:b/>
          <w:bCs/>
          <w:color w:val="auto"/>
          <w:lang w:eastAsia="zh-CN"/>
        </w:rPr>
        <w:t>（</w:t>
      </w:r>
      <w:r>
        <w:rPr>
          <w:rFonts w:hint="eastAsia"/>
          <w:b/>
          <w:bCs/>
          <w:color w:val="auto"/>
          <w:lang w:val="en-US" w:eastAsia="zh-CN"/>
        </w:rPr>
        <w:t>2020年第8号</w:t>
      </w:r>
      <w:r>
        <w:rPr>
          <w:rFonts w:hint="eastAsia"/>
          <w:b/>
          <w:bCs/>
          <w:color w:val="auto"/>
          <w:lang w:eastAsia="zh-CN"/>
        </w:rPr>
        <w:t>）</w:t>
      </w:r>
      <w:r>
        <w:rPr>
          <w:b/>
          <w:bCs/>
          <w:color w:val="auto"/>
        </w:rPr>
        <w:t>相关施工管理要求：加强施工管理、施工现场污染防治以及卫生管理等。</w:t>
      </w:r>
    </w:p>
    <w:p w14:paraId="18126DCD">
      <w:pPr>
        <w:pageBreakBefore w:val="0"/>
        <w:wordWrap/>
        <w:bidi w:val="0"/>
        <w:adjustRightInd/>
        <w:snapToGrid/>
        <w:ind w:firstLine="480"/>
        <w:rPr>
          <w:color w:val="auto"/>
        </w:rPr>
      </w:pPr>
      <w:r>
        <w:rPr>
          <w:color w:val="auto"/>
        </w:rPr>
        <w:t>综上，在落实环评中各项抑尘措施的前提下，施工扬尘产生量和区域TSP浓度可降至一个合理水平，对周围居民影响较小。总之，只要加强管理、切实落实好这些措施，施工场地扬尘对环境的影响将会大大降低，同时其对环境的影响也将随施工的结束而消失。</w:t>
      </w:r>
    </w:p>
    <w:p w14:paraId="4E26A660">
      <w:pPr>
        <w:pageBreakBefore w:val="0"/>
        <w:wordWrap/>
        <w:bidi w:val="0"/>
        <w:adjustRightInd/>
        <w:snapToGrid/>
        <w:ind w:firstLine="480"/>
        <w:rPr>
          <w:rFonts w:hint="eastAsia"/>
          <w:b/>
          <w:bCs/>
          <w:color w:val="auto"/>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rFonts w:hint="eastAsia"/>
          <w:b/>
          <w:bCs/>
          <w:color w:val="auto"/>
        </w:rPr>
        <w:t>汽车运输和施工机具尾气</w:t>
      </w:r>
    </w:p>
    <w:p w14:paraId="26666880">
      <w:pPr>
        <w:pageBreakBefore w:val="0"/>
        <w:wordWrap/>
        <w:bidi w:val="0"/>
        <w:adjustRightInd/>
        <w:snapToGrid/>
        <w:ind w:firstLine="480"/>
        <w:rPr>
          <w:rFonts w:hint="eastAsia"/>
          <w:color w:val="auto"/>
        </w:rPr>
      </w:pPr>
      <w:r>
        <w:rPr>
          <w:rFonts w:hint="eastAsia"/>
          <w:color w:val="auto"/>
        </w:rPr>
        <w:t>运输车辆和燃油施工机具在运输过程和施工</w:t>
      </w:r>
      <w:r>
        <w:rPr>
          <w:rFonts w:hint="eastAsia"/>
          <w:color w:val="auto"/>
          <w:lang w:eastAsia="zh-CN"/>
        </w:rPr>
        <w:t>过程中</w:t>
      </w:r>
      <w:r>
        <w:rPr>
          <w:rFonts w:hint="eastAsia"/>
          <w:color w:val="auto"/>
        </w:rPr>
        <w:t>会排放一定数量的废气，污染物以NOx、CO和烃类为主。本项目汽车运输和施工机具尾气主要对作业点周围和运输路线两侧局部范围产生影响。</w:t>
      </w:r>
    </w:p>
    <w:p w14:paraId="1E1FDF69">
      <w:pPr>
        <w:pageBreakBefore w:val="0"/>
        <w:wordWrap/>
        <w:bidi w:val="0"/>
        <w:adjustRightInd/>
        <w:snapToGrid/>
        <w:ind w:firstLine="480"/>
        <w:rPr>
          <w:rFonts w:hint="eastAsia"/>
          <w:b/>
          <w:bCs/>
          <w:color w:val="auto"/>
        </w:rPr>
      </w:pPr>
      <w:r>
        <w:rPr>
          <w:rFonts w:hint="eastAsia"/>
          <w:b/>
          <w:bCs/>
          <w:color w:val="auto"/>
        </w:rPr>
        <w:t>防治措施：</w:t>
      </w:r>
    </w:p>
    <w:p w14:paraId="6584CA25">
      <w:pPr>
        <w:pageBreakBefore w:val="0"/>
        <w:wordWrap/>
        <w:bidi w:val="0"/>
        <w:adjustRightInd/>
        <w:snapToGrid/>
        <w:ind w:firstLine="480"/>
        <w:rPr>
          <w:rFonts w:hint="eastAsia"/>
          <w:color w:val="auto"/>
        </w:rPr>
      </w:pPr>
      <w:r>
        <w:rPr>
          <w:rFonts w:hint="eastAsia"/>
          <w:color w:val="auto"/>
        </w:rPr>
        <w:t>A</w:t>
      </w:r>
      <w:r>
        <w:rPr>
          <w:rFonts w:hint="eastAsia"/>
          <w:color w:val="auto"/>
          <w:lang w:eastAsia="zh-CN"/>
        </w:rPr>
        <w:t>.</w:t>
      </w:r>
      <w:r>
        <w:rPr>
          <w:rFonts w:hint="eastAsia"/>
          <w:color w:val="auto"/>
        </w:rPr>
        <w:t>加强施工机械的保养维护，提高机械的正常使用率。</w:t>
      </w:r>
    </w:p>
    <w:p w14:paraId="74A6B518">
      <w:pPr>
        <w:pageBreakBefore w:val="0"/>
        <w:wordWrap/>
        <w:bidi w:val="0"/>
        <w:adjustRightInd/>
        <w:snapToGrid/>
        <w:ind w:firstLine="480"/>
        <w:rPr>
          <w:rFonts w:hint="eastAsia"/>
          <w:color w:val="auto"/>
        </w:rPr>
      </w:pPr>
      <w:r>
        <w:rPr>
          <w:rFonts w:hint="eastAsia"/>
          <w:color w:val="auto"/>
        </w:rPr>
        <w:t>B</w:t>
      </w:r>
      <w:r>
        <w:rPr>
          <w:rFonts w:hint="eastAsia"/>
          <w:color w:val="auto"/>
          <w:lang w:eastAsia="zh-CN"/>
        </w:rPr>
        <w:t>.</w:t>
      </w:r>
      <w:r>
        <w:rPr>
          <w:rFonts w:hint="eastAsia"/>
          <w:color w:val="auto"/>
        </w:rPr>
        <w:t>加强对机械、车辆的维修保养，禁止以柴油为燃料的施工机械超负荷工作，减少</w:t>
      </w:r>
      <w:r>
        <w:rPr>
          <w:rFonts w:hint="eastAsia"/>
          <w:color w:val="auto"/>
          <w:lang w:eastAsia="zh-CN"/>
        </w:rPr>
        <w:t>烟雾</w:t>
      </w:r>
      <w:r>
        <w:rPr>
          <w:rFonts w:hint="eastAsia"/>
          <w:color w:val="auto"/>
        </w:rPr>
        <w:t>和颗粒物排放。</w:t>
      </w:r>
    </w:p>
    <w:p w14:paraId="60DA6B26">
      <w:pPr>
        <w:pageBreakBefore w:val="0"/>
        <w:wordWrap/>
        <w:bidi w:val="0"/>
        <w:adjustRightInd/>
        <w:snapToGrid/>
        <w:ind w:firstLine="480"/>
        <w:rPr>
          <w:rFonts w:hint="eastAsia"/>
          <w:color w:val="auto"/>
        </w:rPr>
      </w:pPr>
      <w:r>
        <w:rPr>
          <w:rFonts w:hint="eastAsia"/>
          <w:color w:val="auto"/>
        </w:rPr>
        <w:t>C</w:t>
      </w:r>
      <w:r>
        <w:rPr>
          <w:rFonts w:hint="eastAsia"/>
          <w:color w:val="auto"/>
          <w:lang w:eastAsia="zh-CN"/>
        </w:rPr>
        <w:t>.</w:t>
      </w:r>
      <w:r>
        <w:rPr>
          <w:rFonts w:hint="eastAsia"/>
          <w:color w:val="auto"/>
        </w:rPr>
        <w:t>动力机械多选择使用电动工具，严格控制内燃机械的使用，场内施工内燃机械</w:t>
      </w:r>
      <w:r>
        <w:rPr>
          <w:rFonts w:hint="eastAsia"/>
          <w:color w:val="auto"/>
          <w:lang w:eastAsia="zh-CN"/>
        </w:rPr>
        <w:t>（</w:t>
      </w:r>
      <w:r>
        <w:rPr>
          <w:rFonts w:hint="eastAsia"/>
          <w:color w:val="auto"/>
        </w:rPr>
        <w:t>如铲车、挖掘机、发电机等</w:t>
      </w:r>
      <w:r>
        <w:rPr>
          <w:rFonts w:hint="eastAsia"/>
          <w:color w:val="auto"/>
          <w:lang w:eastAsia="zh-CN"/>
        </w:rPr>
        <w:t>）</w:t>
      </w:r>
      <w:r>
        <w:rPr>
          <w:rFonts w:hint="eastAsia"/>
          <w:color w:val="auto"/>
        </w:rPr>
        <w:t>安置有效的空气滤清装置，并定期清理。</w:t>
      </w:r>
    </w:p>
    <w:p w14:paraId="083C4AFF">
      <w:pPr>
        <w:pageBreakBefore w:val="0"/>
        <w:wordWrap/>
        <w:bidi w:val="0"/>
        <w:adjustRightInd/>
        <w:snapToGrid/>
        <w:ind w:firstLine="480"/>
        <w:rPr>
          <w:rFonts w:hint="eastAsia"/>
          <w:color w:val="auto"/>
        </w:rPr>
      </w:pPr>
      <w:r>
        <w:rPr>
          <w:rFonts w:hint="eastAsia"/>
          <w:color w:val="auto"/>
        </w:rPr>
        <w:t>D</w:t>
      </w:r>
      <w:r>
        <w:rPr>
          <w:rFonts w:hint="eastAsia"/>
          <w:color w:val="auto"/>
          <w:lang w:eastAsia="zh-CN"/>
        </w:rPr>
        <w:t>.</w:t>
      </w:r>
      <w:r>
        <w:rPr>
          <w:rFonts w:hint="eastAsia"/>
          <w:color w:val="auto"/>
        </w:rPr>
        <w:t>禁止使用废气排放超标的车辆。</w:t>
      </w:r>
    </w:p>
    <w:p w14:paraId="620B1B16">
      <w:pPr>
        <w:pageBreakBefore w:val="0"/>
        <w:wordWrap/>
        <w:bidi w:val="0"/>
        <w:adjustRightInd/>
        <w:snapToGrid/>
        <w:ind w:firstLine="480"/>
        <w:rPr>
          <w:rFonts w:hint="eastAsia"/>
          <w:color w:val="auto"/>
        </w:rPr>
      </w:pPr>
      <w:r>
        <w:rPr>
          <w:rFonts w:hint="eastAsia"/>
          <w:color w:val="auto"/>
        </w:rPr>
        <w:t>综上所述，项目施工期将会对项目所在地以及周边的敏感点环境空气质量造成一定影响，扬尘主要影响范围在扬尘点下风向50m范围内居民点，根据现场勘查，本项目污水处理厂200m范围内分布有居民，本环评同时要求加强洒水降尘方式以减小对周边环境影响，随着施工期的结束扬尘对周边环境影响也会结束。</w:t>
      </w:r>
    </w:p>
    <w:p w14:paraId="3C53A5D1">
      <w:pPr>
        <w:pageBreakBefore w:val="0"/>
        <w:wordWrap/>
        <w:bidi w:val="0"/>
        <w:adjustRightInd/>
        <w:snapToGrid/>
        <w:ind w:firstLine="480"/>
        <w:rPr>
          <w:color w:val="auto"/>
        </w:rPr>
      </w:pPr>
      <w:r>
        <w:rPr>
          <w:rFonts w:hint="eastAsia"/>
          <w:color w:val="auto"/>
        </w:rPr>
        <w:t>因此，项目施工期不会对项目所在地环境空气质量造成明显影响。</w:t>
      </w:r>
    </w:p>
    <w:p w14:paraId="661D580C">
      <w:pPr>
        <w:pageBreakBefore w:val="0"/>
        <w:wordWrap/>
        <w:bidi w:val="0"/>
        <w:adjustRightInd/>
        <w:snapToGrid/>
        <w:ind w:firstLine="480"/>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rFonts w:hint="eastAsia"/>
          <w:b/>
          <w:bCs/>
          <w:color w:val="auto"/>
          <w:lang w:val="en-US" w:eastAsia="zh-CN"/>
        </w:rPr>
        <w:t>装修产生的油漆废气</w:t>
      </w:r>
    </w:p>
    <w:p w14:paraId="1AFA1818">
      <w:pPr>
        <w:pageBreakBefore w:val="0"/>
        <w:wordWrap/>
        <w:bidi w:val="0"/>
        <w:adjustRightInd/>
        <w:snapToGrid/>
        <w:ind w:firstLine="480"/>
        <w:rPr>
          <w:color w:val="auto"/>
        </w:rPr>
      </w:pPr>
      <w:r>
        <w:rPr>
          <w:color w:val="auto"/>
        </w:rPr>
        <w:t>油漆废气主要产生于室内室外装修阶段。油漆废气排放属无组织排放，由于装饰为间断性的，且其过程持续时间较长，是一个缓慢挥发的过程，对周围环境的影响不大。</w:t>
      </w:r>
    </w:p>
    <w:p w14:paraId="288CCDFC">
      <w:pPr>
        <w:bidi w:val="0"/>
        <w:rPr>
          <w:rFonts w:hint="default"/>
          <w:b/>
          <w:bCs/>
          <w:color w:val="auto"/>
          <w:lang w:val="en-US" w:eastAsia="zh-CN"/>
        </w:rPr>
      </w:pPr>
      <w:r>
        <w:rPr>
          <w:rFonts w:hint="eastAsia"/>
          <w:b/>
          <w:bCs/>
          <w:color w:val="auto"/>
          <w:lang w:val="en-US" w:eastAsia="zh-CN"/>
        </w:rPr>
        <w:t>3、管道工程环境影响分析</w:t>
      </w:r>
    </w:p>
    <w:p w14:paraId="15E03A01">
      <w:pPr>
        <w:bidi w:val="0"/>
        <w:rPr>
          <w:rFonts w:hint="eastAsia"/>
          <w:color w:val="auto"/>
          <w:lang w:val="en-US" w:eastAsia="zh-CN"/>
        </w:rPr>
      </w:pPr>
      <w:r>
        <w:rPr>
          <w:rFonts w:hint="eastAsia"/>
          <w:color w:val="auto"/>
          <w:lang w:val="en-US" w:eastAsia="zh-CN"/>
        </w:rPr>
        <w:t>管线工程施工过程中产生的主要大气污染物有扬尘、施工机具和汽车运输尾气。</w:t>
      </w:r>
    </w:p>
    <w:p w14:paraId="401C8387">
      <w:pPr>
        <w:bidi w:val="0"/>
        <w:rPr>
          <w:rFonts w:hint="eastAsia"/>
          <w:b/>
          <w:bCs/>
          <w:color w:val="auto"/>
          <w:lang w:val="en-US" w:eastAsia="zh-CN"/>
        </w:rPr>
      </w:pPr>
      <w:r>
        <w:rPr>
          <w:rFonts w:hint="eastAsia"/>
          <w:b/>
          <w:bCs/>
          <w:color w:val="auto"/>
          <w:lang w:val="en-US" w:eastAsia="zh-CN"/>
        </w:rPr>
        <w:t>①扬尘影响分析</w:t>
      </w:r>
    </w:p>
    <w:p w14:paraId="7F2133B5">
      <w:pPr>
        <w:bidi w:val="0"/>
        <w:rPr>
          <w:rFonts w:hint="eastAsia"/>
          <w:color w:val="auto"/>
          <w:lang w:val="en-US" w:eastAsia="zh-CN"/>
        </w:rPr>
      </w:pPr>
      <w:r>
        <w:rPr>
          <w:rFonts w:hint="eastAsia"/>
          <w:color w:val="auto"/>
          <w:lang w:val="en-US" w:eastAsia="zh-CN"/>
        </w:rPr>
        <w:t>管道施工会对周围大气环境产生短期的干扰和影响，而大气污染物主要是TSP，主要来自建筑材料（白灰、水泥、砂子、石子等）的搬运及堆放；土方填挖及现场堆放；施工材料的堆放及清理；管沟回填；施工期运输车辆运行等，施工中不可避免的将新增“二次扬尘”污染源。本报告参照其他管网工程施工场地设置的扬尘监测数据进行类比分析，结果详见下表。</w:t>
      </w:r>
    </w:p>
    <w:p w14:paraId="04B2241E">
      <w:pPr>
        <w:pStyle w:val="19"/>
        <w:numPr>
          <w:ilvl w:val="0"/>
          <w:numId w:val="29"/>
        </w:numPr>
        <w:tabs>
          <w:tab w:val="clear" w:pos="0"/>
        </w:tabs>
        <w:bidi w:val="0"/>
        <w:ind w:left="420" w:leftChars="0" w:hanging="420" w:firstLineChars="0"/>
        <w:rPr>
          <w:rFonts w:hint="eastAsia"/>
          <w:color w:val="auto"/>
          <w:lang w:val="en-US" w:eastAsia="zh-CN"/>
        </w:rPr>
      </w:pPr>
      <w:r>
        <w:rPr>
          <w:rFonts w:hint="eastAsia"/>
          <w:color w:val="auto"/>
          <w:lang w:val="en-US" w:eastAsia="zh-CN"/>
        </w:rPr>
        <w:t>施工期扬尘类比监测结果</w:t>
      </w:r>
    </w:p>
    <w:tbl>
      <w:tblPr>
        <w:tblStyle w:val="706"/>
        <w:tblW w:w="4998"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807"/>
        <w:gridCol w:w="1002"/>
        <w:gridCol w:w="976"/>
        <w:gridCol w:w="993"/>
        <w:gridCol w:w="844"/>
        <w:gridCol w:w="985"/>
        <w:gridCol w:w="844"/>
        <w:gridCol w:w="985"/>
        <w:gridCol w:w="1065"/>
      </w:tblGrid>
      <w:tr w14:paraId="600DD35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475" w:type="pct"/>
            <w:vMerge w:val="restart"/>
            <w:tcBorders>
              <w:tl2br w:val="nil"/>
              <w:tr2bl w:val="nil"/>
            </w:tcBorders>
            <w:vAlign w:val="center"/>
          </w:tcPr>
          <w:p w14:paraId="2E83D5A2">
            <w:pPr>
              <w:pStyle w:val="16"/>
              <w:bidi w:val="0"/>
              <w:rPr>
                <w:b/>
                <w:bCs/>
                <w:color w:val="auto"/>
              </w:rPr>
            </w:pPr>
            <w:r>
              <w:rPr>
                <w:b/>
                <w:bCs/>
                <w:color w:val="auto"/>
              </w:rPr>
              <w:t>工程段</w:t>
            </w:r>
          </w:p>
        </w:tc>
        <w:tc>
          <w:tcPr>
            <w:tcW w:w="589" w:type="pct"/>
            <w:vMerge w:val="restart"/>
            <w:tcBorders>
              <w:tl2br w:val="nil"/>
              <w:tr2bl w:val="nil"/>
            </w:tcBorders>
            <w:vAlign w:val="center"/>
          </w:tcPr>
          <w:p w14:paraId="40F68B77">
            <w:pPr>
              <w:pStyle w:val="16"/>
              <w:bidi w:val="0"/>
              <w:rPr>
                <w:b/>
                <w:bCs/>
                <w:color w:val="auto"/>
              </w:rPr>
            </w:pPr>
            <w:r>
              <w:rPr>
                <w:b/>
                <w:bCs/>
                <w:color w:val="auto"/>
              </w:rPr>
              <w:t>围栏情况</w:t>
            </w:r>
          </w:p>
        </w:tc>
        <w:tc>
          <w:tcPr>
            <w:tcW w:w="3934" w:type="pct"/>
            <w:gridSpan w:val="7"/>
            <w:tcBorders>
              <w:tl2br w:val="nil"/>
              <w:tr2bl w:val="nil"/>
            </w:tcBorders>
            <w:vAlign w:val="center"/>
          </w:tcPr>
          <w:p w14:paraId="2421A2FB">
            <w:pPr>
              <w:pStyle w:val="16"/>
              <w:bidi w:val="0"/>
              <w:rPr>
                <w:b/>
                <w:bCs/>
                <w:color w:val="auto"/>
              </w:rPr>
            </w:pPr>
            <w:r>
              <w:rPr>
                <w:b/>
                <w:bCs/>
                <w:color w:val="auto"/>
              </w:rPr>
              <w:t>施工场地下风向距离Xm处TSP浓度（mg/</w:t>
            </w:r>
            <w:r>
              <w:rPr>
                <w:rFonts w:hint="eastAsia"/>
                <w:b/>
                <w:bCs/>
                <w:color w:val="auto"/>
                <w:lang w:eastAsia="zh-CN"/>
              </w:rPr>
              <w:t>m³</w:t>
            </w:r>
            <w:r>
              <w:rPr>
                <w:b/>
                <w:bCs/>
                <w:color w:val="auto"/>
              </w:rPr>
              <w:t>）</w:t>
            </w:r>
          </w:p>
        </w:tc>
      </w:tr>
      <w:tr w14:paraId="68E259F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475" w:type="pct"/>
            <w:vMerge w:val="continue"/>
            <w:tcBorders>
              <w:tl2br w:val="nil"/>
              <w:tr2bl w:val="nil"/>
            </w:tcBorders>
            <w:vAlign w:val="center"/>
          </w:tcPr>
          <w:p w14:paraId="54946689">
            <w:pPr>
              <w:pStyle w:val="16"/>
              <w:bidi w:val="0"/>
              <w:rPr>
                <w:b/>
                <w:bCs/>
                <w:color w:val="auto"/>
              </w:rPr>
            </w:pPr>
          </w:p>
        </w:tc>
        <w:tc>
          <w:tcPr>
            <w:tcW w:w="589" w:type="pct"/>
            <w:vMerge w:val="continue"/>
            <w:tcBorders>
              <w:tl2br w:val="nil"/>
              <w:tr2bl w:val="nil"/>
            </w:tcBorders>
            <w:vAlign w:val="center"/>
          </w:tcPr>
          <w:p w14:paraId="5D3D158C">
            <w:pPr>
              <w:pStyle w:val="16"/>
              <w:bidi w:val="0"/>
              <w:rPr>
                <w:b/>
                <w:bCs/>
                <w:color w:val="auto"/>
              </w:rPr>
            </w:pPr>
          </w:p>
        </w:tc>
        <w:tc>
          <w:tcPr>
            <w:tcW w:w="574" w:type="pct"/>
            <w:tcBorders>
              <w:tl2br w:val="nil"/>
              <w:tr2bl w:val="nil"/>
            </w:tcBorders>
            <w:vAlign w:val="center"/>
          </w:tcPr>
          <w:p w14:paraId="13B0950B">
            <w:pPr>
              <w:pStyle w:val="16"/>
              <w:bidi w:val="0"/>
              <w:rPr>
                <w:b/>
                <w:bCs/>
                <w:color w:val="auto"/>
              </w:rPr>
            </w:pPr>
            <w:r>
              <w:rPr>
                <w:b/>
                <w:bCs/>
                <w:color w:val="auto"/>
              </w:rPr>
              <w:t>20</w:t>
            </w:r>
          </w:p>
        </w:tc>
        <w:tc>
          <w:tcPr>
            <w:tcW w:w="584" w:type="pct"/>
            <w:tcBorders>
              <w:tl2br w:val="nil"/>
              <w:tr2bl w:val="nil"/>
            </w:tcBorders>
            <w:vAlign w:val="center"/>
          </w:tcPr>
          <w:p w14:paraId="334AD11C">
            <w:pPr>
              <w:pStyle w:val="16"/>
              <w:bidi w:val="0"/>
              <w:rPr>
                <w:b/>
                <w:bCs/>
                <w:color w:val="auto"/>
              </w:rPr>
            </w:pPr>
            <w:r>
              <w:rPr>
                <w:b/>
                <w:bCs/>
                <w:color w:val="auto"/>
              </w:rPr>
              <w:t>50</w:t>
            </w:r>
          </w:p>
        </w:tc>
        <w:tc>
          <w:tcPr>
            <w:tcW w:w="496" w:type="pct"/>
            <w:tcBorders>
              <w:tl2br w:val="nil"/>
              <w:tr2bl w:val="nil"/>
            </w:tcBorders>
            <w:vAlign w:val="center"/>
          </w:tcPr>
          <w:p w14:paraId="2EB1D52B">
            <w:pPr>
              <w:pStyle w:val="16"/>
              <w:bidi w:val="0"/>
              <w:rPr>
                <w:b/>
                <w:bCs/>
                <w:color w:val="auto"/>
              </w:rPr>
            </w:pPr>
            <w:r>
              <w:rPr>
                <w:b/>
                <w:bCs/>
                <w:color w:val="auto"/>
              </w:rPr>
              <w:t>100</w:t>
            </w:r>
          </w:p>
        </w:tc>
        <w:tc>
          <w:tcPr>
            <w:tcW w:w="579" w:type="pct"/>
            <w:tcBorders>
              <w:tl2br w:val="nil"/>
              <w:tr2bl w:val="nil"/>
            </w:tcBorders>
            <w:vAlign w:val="center"/>
          </w:tcPr>
          <w:p w14:paraId="0B8653D0">
            <w:pPr>
              <w:pStyle w:val="16"/>
              <w:bidi w:val="0"/>
              <w:rPr>
                <w:b/>
                <w:bCs/>
                <w:color w:val="auto"/>
              </w:rPr>
            </w:pPr>
            <w:r>
              <w:rPr>
                <w:b/>
                <w:bCs/>
                <w:color w:val="auto"/>
              </w:rPr>
              <w:t>150</w:t>
            </w:r>
          </w:p>
        </w:tc>
        <w:tc>
          <w:tcPr>
            <w:tcW w:w="496" w:type="pct"/>
            <w:tcBorders>
              <w:tl2br w:val="nil"/>
              <w:tr2bl w:val="nil"/>
            </w:tcBorders>
            <w:vAlign w:val="center"/>
          </w:tcPr>
          <w:p w14:paraId="4204EA48">
            <w:pPr>
              <w:pStyle w:val="16"/>
              <w:bidi w:val="0"/>
              <w:rPr>
                <w:b/>
                <w:bCs/>
                <w:color w:val="auto"/>
              </w:rPr>
            </w:pPr>
            <w:r>
              <w:rPr>
                <w:b/>
                <w:bCs/>
                <w:color w:val="auto"/>
              </w:rPr>
              <w:t>200</w:t>
            </w:r>
          </w:p>
        </w:tc>
        <w:tc>
          <w:tcPr>
            <w:tcW w:w="579" w:type="pct"/>
            <w:tcBorders>
              <w:tl2br w:val="nil"/>
              <w:tr2bl w:val="nil"/>
            </w:tcBorders>
            <w:vAlign w:val="center"/>
          </w:tcPr>
          <w:p w14:paraId="24A0A3AE">
            <w:pPr>
              <w:pStyle w:val="16"/>
              <w:bidi w:val="0"/>
              <w:rPr>
                <w:b/>
                <w:bCs/>
                <w:color w:val="auto"/>
              </w:rPr>
            </w:pPr>
            <w:r>
              <w:rPr>
                <w:b/>
                <w:bCs/>
                <w:color w:val="auto"/>
              </w:rPr>
              <w:t>250</w:t>
            </w:r>
          </w:p>
        </w:tc>
        <w:tc>
          <w:tcPr>
            <w:tcW w:w="623" w:type="pct"/>
            <w:tcBorders>
              <w:tl2br w:val="nil"/>
              <w:tr2bl w:val="nil"/>
            </w:tcBorders>
            <w:vAlign w:val="center"/>
          </w:tcPr>
          <w:p w14:paraId="0D05302C">
            <w:pPr>
              <w:pStyle w:val="16"/>
              <w:bidi w:val="0"/>
              <w:rPr>
                <w:b/>
                <w:bCs/>
                <w:color w:val="auto"/>
              </w:rPr>
            </w:pPr>
            <w:r>
              <w:rPr>
                <w:b/>
                <w:bCs/>
                <w:color w:val="auto"/>
              </w:rPr>
              <w:t>点浓度</w:t>
            </w:r>
          </w:p>
        </w:tc>
      </w:tr>
      <w:tr w14:paraId="50BE311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475" w:type="pct"/>
            <w:tcBorders>
              <w:tl2br w:val="nil"/>
              <w:tr2bl w:val="nil"/>
            </w:tcBorders>
            <w:vAlign w:val="center"/>
          </w:tcPr>
          <w:p w14:paraId="4A8FE257">
            <w:pPr>
              <w:pStyle w:val="16"/>
              <w:bidi w:val="0"/>
              <w:rPr>
                <w:color w:val="auto"/>
              </w:rPr>
            </w:pPr>
            <w:r>
              <w:rPr>
                <w:color w:val="auto"/>
              </w:rPr>
              <w:t>管线</w:t>
            </w:r>
          </w:p>
        </w:tc>
        <w:tc>
          <w:tcPr>
            <w:tcW w:w="589" w:type="pct"/>
            <w:tcBorders>
              <w:tl2br w:val="nil"/>
              <w:tr2bl w:val="nil"/>
            </w:tcBorders>
            <w:vAlign w:val="center"/>
          </w:tcPr>
          <w:p w14:paraId="6690AE45">
            <w:pPr>
              <w:pStyle w:val="16"/>
              <w:bidi w:val="0"/>
              <w:rPr>
                <w:color w:val="auto"/>
              </w:rPr>
            </w:pPr>
            <w:r>
              <w:rPr>
                <w:color w:val="auto"/>
              </w:rPr>
              <w:t>无</w:t>
            </w:r>
          </w:p>
        </w:tc>
        <w:tc>
          <w:tcPr>
            <w:tcW w:w="574" w:type="pct"/>
            <w:tcBorders>
              <w:tl2br w:val="nil"/>
              <w:tr2bl w:val="nil"/>
            </w:tcBorders>
            <w:vAlign w:val="center"/>
          </w:tcPr>
          <w:p w14:paraId="365376F5">
            <w:pPr>
              <w:pStyle w:val="16"/>
              <w:bidi w:val="0"/>
              <w:rPr>
                <w:color w:val="auto"/>
              </w:rPr>
            </w:pPr>
            <w:r>
              <w:rPr>
                <w:color w:val="auto"/>
              </w:rPr>
              <w:t>1.503</w:t>
            </w:r>
          </w:p>
        </w:tc>
        <w:tc>
          <w:tcPr>
            <w:tcW w:w="584" w:type="pct"/>
            <w:tcBorders>
              <w:tl2br w:val="nil"/>
              <w:tr2bl w:val="nil"/>
            </w:tcBorders>
            <w:vAlign w:val="center"/>
          </w:tcPr>
          <w:p w14:paraId="0ECE54CE">
            <w:pPr>
              <w:pStyle w:val="16"/>
              <w:bidi w:val="0"/>
              <w:rPr>
                <w:color w:val="auto"/>
              </w:rPr>
            </w:pPr>
            <w:r>
              <w:rPr>
                <w:color w:val="auto"/>
              </w:rPr>
              <w:t>0.922</w:t>
            </w:r>
          </w:p>
        </w:tc>
        <w:tc>
          <w:tcPr>
            <w:tcW w:w="496" w:type="pct"/>
            <w:tcBorders>
              <w:tl2br w:val="nil"/>
              <w:tr2bl w:val="nil"/>
            </w:tcBorders>
            <w:vAlign w:val="center"/>
          </w:tcPr>
          <w:p w14:paraId="31D6E086">
            <w:pPr>
              <w:pStyle w:val="16"/>
              <w:bidi w:val="0"/>
              <w:rPr>
                <w:color w:val="auto"/>
              </w:rPr>
            </w:pPr>
            <w:r>
              <w:rPr>
                <w:color w:val="auto"/>
              </w:rPr>
              <w:t>0.602</w:t>
            </w:r>
          </w:p>
        </w:tc>
        <w:tc>
          <w:tcPr>
            <w:tcW w:w="579" w:type="pct"/>
            <w:tcBorders>
              <w:tl2br w:val="nil"/>
              <w:tr2bl w:val="nil"/>
            </w:tcBorders>
            <w:vAlign w:val="center"/>
          </w:tcPr>
          <w:p w14:paraId="3E44E9C9">
            <w:pPr>
              <w:pStyle w:val="16"/>
              <w:bidi w:val="0"/>
              <w:rPr>
                <w:color w:val="auto"/>
              </w:rPr>
            </w:pPr>
            <w:r>
              <w:rPr>
                <w:color w:val="auto"/>
              </w:rPr>
              <w:t>0.591</w:t>
            </w:r>
          </w:p>
        </w:tc>
        <w:tc>
          <w:tcPr>
            <w:tcW w:w="496" w:type="pct"/>
            <w:tcBorders>
              <w:tl2br w:val="nil"/>
              <w:tr2bl w:val="nil"/>
            </w:tcBorders>
            <w:vAlign w:val="center"/>
          </w:tcPr>
          <w:p w14:paraId="57E10EB1">
            <w:pPr>
              <w:pStyle w:val="16"/>
              <w:bidi w:val="0"/>
              <w:rPr>
                <w:color w:val="auto"/>
              </w:rPr>
            </w:pPr>
            <w:r>
              <w:rPr>
                <w:color w:val="auto"/>
              </w:rPr>
              <w:t>0.512</w:t>
            </w:r>
          </w:p>
        </w:tc>
        <w:tc>
          <w:tcPr>
            <w:tcW w:w="579" w:type="pct"/>
            <w:tcBorders>
              <w:tl2br w:val="nil"/>
              <w:tr2bl w:val="nil"/>
            </w:tcBorders>
            <w:vAlign w:val="center"/>
          </w:tcPr>
          <w:p w14:paraId="3C0D9957">
            <w:pPr>
              <w:pStyle w:val="16"/>
              <w:bidi w:val="0"/>
              <w:rPr>
                <w:color w:val="auto"/>
              </w:rPr>
            </w:pPr>
            <w:r>
              <w:rPr>
                <w:color w:val="auto"/>
              </w:rPr>
              <w:t>0.406</w:t>
            </w:r>
          </w:p>
        </w:tc>
        <w:tc>
          <w:tcPr>
            <w:tcW w:w="623" w:type="pct"/>
            <w:tcBorders>
              <w:tl2br w:val="nil"/>
              <w:tr2bl w:val="nil"/>
            </w:tcBorders>
            <w:vAlign w:val="center"/>
          </w:tcPr>
          <w:p w14:paraId="31FF80A9">
            <w:pPr>
              <w:pStyle w:val="16"/>
              <w:bidi w:val="0"/>
              <w:rPr>
                <w:color w:val="auto"/>
              </w:rPr>
            </w:pPr>
            <w:r>
              <w:rPr>
                <w:color w:val="auto"/>
              </w:rPr>
              <w:t>0.419</w:t>
            </w:r>
          </w:p>
        </w:tc>
      </w:tr>
    </w:tbl>
    <w:p w14:paraId="119664C3">
      <w:pPr>
        <w:bidi w:val="0"/>
        <w:rPr>
          <w:rFonts w:hint="eastAsia"/>
          <w:color w:val="auto"/>
          <w:lang w:val="en-US" w:eastAsia="zh-CN"/>
        </w:rPr>
      </w:pPr>
      <w:r>
        <w:rPr>
          <w:rFonts w:hint="eastAsia"/>
          <w:color w:val="auto"/>
          <w:lang w:val="en-US" w:eastAsia="zh-CN"/>
        </w:rPr>
        <w:t>由上表可以看出，由于气象因素、工程量等因素的影响，在无围栏施工时，下风向距离20～200m范围内，大气中的TSP为0.512～1.503mg/m³，是对照点的1.27～3.72倍，施工场地下风向距离大于250m后，大气中TSP为0.411mg/m³，接近对照点；在有围栏施工时，施工场地下风向距离20～50m时，大气中TSP为0.622～1.024mg/m³，是对照点的1.49～2.44倍，施工场地下风向距离100～250m时，大气中TSP为0.419～0.435mg/m³，接近对照点。可见有围栏施工时，对大气中TSP影响范围和程度均有降低。</w:t>
      </w:r>
    </w:p>
    <w:p w14:paraId="06F1D884">
      <w:pPr>
        <w:bidi w:val="0"/>
        <w:rPr>
          <w:rFonts w:hint="eastAsia"/>
          <w:color w:val="auto"/>
          <w:lang w:val="en-US" w:eastAsia="zh-CN"/>
        </w:rPr>
      </w:pPr>
      <w:r>
        <w:rPr>
          <w:rFonts w:hint="eastAsia"/>
          <w:color w:val="auto"/>
          <w:lang w:val="en-US" w:eastAsia="zh-CN"/>
        </w:rPr>
        <w:t>由上表可以看出，管线施工会对沿途敏感目标产生不同程度的影响，但采取围栏施工后，施工扬尘的影响会得到一定程度的降低。管线施工中挖掘和堆土场扬尘属短期污染，其影响将随施工行为的结束而结束。</w:t>
      </w:r>
    </w:p>
    <w:p w14:paraId="58263BA1">
      <w:pPr>
        <w:bidi w:val="0"/>
        <w:rPr>
          <w:rFonts w:hint="eastAsia"/>
          <w:b/>
          <w:bCs/>
          <w:color w:val="auto"/>
          <w:lang w:val="en-US" w:eastAsia="zh-CN"/>
        </w:rPr>
      </w:pPr>
      <w:r>
        <w:rPr>
          <w:rFonts w:hint="eastAsia"/>
          <w:b/>
          <w:bCs/>
          <w:color w:val="auto"/>
          <w:lang w:val="en-US" w:eastAsia="zh-CN"/>
        </w:rPr>
        <w:t>②施工机具和汽车运输尾气影响分析</w:t>
      </w:r>
    </w:p>
    <w:p w14:paraId="0F273B3D">
      <w:pPr>
        <w:bidi w:val="0"/>
        <w:rPr>
          <w:rFonts w:hint="eastAsia"/>
          <w:color w:val="auto"/>
          <w:lang w:val="en-US" w:eastAsia="zh-CN"/>
        </w:rPr>
      </w:pPr>
      <w:r>
        <w:rPr>
          <w:rFonts w:hint="eastAsia"/>
          <w:color w:val="auto"/>
          <w:lang w:val="en-US" w:eastAsia="zh-CN"/>
        </w:rPr>
        <w:t>本项目施工工程中施工机具和运输车辆尾气污染物排放量不大，且本项目位于户外，地势开阔通风状况良好，因此施工机具和运输车辆尾气对项目周围环境空气质量影响较小。</w:t>
      </w:r>
    </w:p>
    <w:p w14:paraId="0DAFCF52">
      <w:pPr>
        <w:pStyle w:val="31"/>
        <w:pageBreakBefore w:val="0"/>
        <w:widowControl/>
        <w:wordWrap/>
        <w:bidi w:val="0"/>
        <w:adjustRightInd/>
        <w:snapToGrid/>
        <w:ind w:firstLine="482"/>
        <w:rPr>
          <w:rFonts w:ascii="Times New Roman" w:hAnsi="Times New Roman"/>
          <w:color w:val="auto"/>
          <w:sz w:val="24"/>
          <w:szCs w:val="24"/>
        </w:rPr>
      </w:pPr>
      <w:r>
        <w:rPr>
          <w:rFonts w:ascii="Times New Roman" w:hAnsi="Times New Roman"/>
          <w:b/>
          <w:bCs/>
          <w:color w:val="auto"/>
          <w:sz w:val="24"/>
          <w:u w:val="single"/>
        </w:rPr>
        <w:t>综上所述，项目施工期将会对项目所在地环境空气质量造成一定影响，但这些影响随着施工期的结束也会结束。因此，项目施工期不会造成项目所在地环境空气质量明显恶化</w:t>
      </w:r>
      <w:r>
        <w:rPr>
          <w:rFonts w:ascii="Times New Roman" w:hAnsi="Times New Roman"/>
          <w:b/>
          <w:bCs/>
          <w:color w:val="auto"/>
          <w:sz w:val="24"/>
        </w:rPr>
        <w:t>。</w:t>
      </w:r>
    </w:p>
    <w:p w14:paraId="6957D33B">
      <w:pPr>
        <w:pStyle w:val="5"/>
        <w:pageBreakBefore w:val="0"/>
        <w:wordWrap/>
        <w:bidi w:val="0"/>
        <w:adjustRightInd/>
        <w:snapToGrid/>
        <w:spacing w:before="62" w:after="62"/>
        <w:ind w:left="0"/>
        <w:rPr>
          <w:rFonts w:eastAsia="宋体"/>
          <w:color w:val="auto"/>
        </w:rPr>
      </w:pPr>
      <w:r>
        <w:rPr>
          <w:rFonts w:hint="eastAsia" w:eastAsia="宋体"/>
          <w:color w:val="auto"/>
        </w:rPr>
        <w:t xml:space="preserve"> </w:t>
      </w:r>
      <w:r>
        <w:rPr>
          <w:rFonts w:eastAsia="宋体"/>
          <w:color w:val="auto"/>
        </w:rPr>
        <w:t>施工期地表水环境影响</w:t>
      </w:r>
      <w:bookmarkEnd w:id="161"/>
      <w:r>
        <w:rPr>
          <w:rFonts w:eastAsia="宋体"/>
          <w:color w:val="auto"/>
        </w:rPr>
        <w:t>预测与评价</w:t>
      </w:r>
    </w:p>
    <w:p w14:paraId="427600C6">
      <w:pPr>
        <w:pageBreakBefore w:val="0"/>
        <w:wordWrap/>
        <w:bidi w:val="0"/>
        <w:adjustRightInd/>
        <w:snapToGrid/>
        <w:ind w:firstLine="480"/>
        <w:rPr>
          <w:color w:val="auto"/>
        </w:rPr>
      </w:pPr>
      <w:bookmarkStart w:id="162" w:name="_Toc29163"/>
      <w:bookmarkStart w:id="163" w:name="_Toc374627794"/>
      <w:bookmarkStart w:id="164" w:name="_Toc362082746"/>
      <w:r>
        <w:rPr>
          <w:rFonts w:hint="eastAsia"/>
          <w:color w:val="auto"/>
          <w:lang w:val="en-US" w:eastAsia="zh-CN"/>
        </w:rPr>
        <w:t>本</w:t>
      </w:r>
      <w:r>
        <w:rPr>
          <w:color w:val="auto"/>
        </w:rPr>
        <w:t>工程施工期产生的废水主要为施工人员的生活污水以及施工过程中产生的施工废水。</w:t>
      </w:r>
    </w:p>
    <w:p w14:paraId="7E3BD007">
      <w:pPr>
        <w:pageBreakBefore w:val="0"/>
        <w:wordWrap/>
        <w:bidi w:val="0"/>
        <w:adjustRightInd/>
        <w:snapToGrid/>
        <w:ind w:firstLine="480"/>
        <w:rPr>
          <w:b/>
          <w:bCs/>
          <w:color w:val="auto"/>
        </w:rPr>
      </w:pPr>
      <w:r>
        <w:rPr>
          <w:b/>
          <w:bCs/>
          <w:color w:val="auto"/>
        </w:rPr>
        <w:t>（1）生活污水</w:t>
      </w:r>
    </w:p>
    <w:p w14:paraId="7755E88A">
      <w:pPr>
        <w:pageBreakBefore w:val="0"/>
        <w:wordWrap/>
        <w:bidi w:val="0"/>
        <w:adjustRightInd/>
        <w:snapToGrid/>
        <w:ind w:firstLine="480"/>
        <w:rPr>
          <w:color w:val="auto"/>
        </w:rPr>
      </w:pPr>
      <w:r>
        <w:rPr>
          <w:color w:val="auto"/>
        </w:rPr>
        <w:t>建设施工期间，高峰期使用民工及管理人员</w:t>
      </w:r>
      <w:r>
        <w:rPr>
          <w:rFonts w:hint="eastAsia"/>
          <w:color w:val="auto"/>
          <w:lang w:val="en-US" w:eastAsia="zh-CN"/>
        </w:rPr>
        <w:t>100</w:t>
      </w:r>
      <w:r>
        <w:rPr>
          <w:color w:val="auto"/>
        </w:rPr>
        <w:t>人。人均用水40L/d，则高峰生活用水量为</w:t>
      </w:r>
      <w:r>
        <w:rPr>
          <w:rFonts w:hint="eastAsia"/>
          <w:color w:val="auto"/>
          <w:lang w:val="en-US" w:eastAsia="zh-CN"/>
        </w:rPr>
        <w:t>4</w:t>
      </w:r>
      <w:r>
        <w:rPr>
          <w:rFonts w:hint="eastAsia"/>
          <w:color w:val="auto"/>
          <w:lang w:eastAsia="zh-CN"/>
        </w:rPr>
        <w:t>m³</w:t>
      </w:r>
      <w:r>
        <w:rPr>
          <w:color w:val="auto"/>
        </w:rPr>
        <w:t>/d，排污系数0.9，预计产生量</w:t>
      </w:r>
      <w:r>
        <w:rPr>
          <w:rFonts w:hint="eastAsia"/>
          <w:color w:val="auto"/>
          <w:lang w:val="en-US" w:eastAsia="zh-CN"/>
        </w:rPr>
        <w:t>3.6</w:t>
      </w:r>
      <w:r>
        <w:rPr>
          <w:rFonts w:hint="eastAsia"/>
          <w:color w:val="auto"/>
          <w:lang w:eastAsia="zh-CN"/>
        </w:rPr>
        <w:t>m³</w:t>
      </w:r>
      <w:r>
        <w:rPr>
          <w:color w:val="auto"/>
        </w:rPr>
        <w:t>/d。生活污水中主要含COD</w:t>
      </w:r>
      <w:r>
        <w:rPr>
          <w:color w:val="auto"/>
          <w:vertAlign w:val="subscript"/>
        </w:rPr>
        <w:t>Cr</w:t>
      </w:r>
      <w:r>
        <w:rPr>
          <w:color w:val="auto"/>
        </w:rPr>
        <w:t>、BOD</w:t>
      </w:r>
      <w:r>
        <w:rPr>
          <w:color w:val="auto"/>
          <w:vertAlign w:val="subscript"/>
        </w:rPr>
        <w:t>5</w:t>
      </w:r>
      <w:r>
        <w:rPr>
          <w:color w:val="auto"/>
        </w:rPr>
        <w:t>、NH</w:t>
      </w:r>
      <w:r>
        <w:rPr>
          <w:color w:val="auto"/>
          <w:vertAlign w:val="subscript"/>
        </w:rPr>
        <w:t>3</w:t>
      </w:r>
      <w:r>
        <w:rPr>
          <w:color w:val="auto"/>
        </w:rPr>
        <w:t>-N、SS等。</w:t>
      </w:r>
    </w:p>
    <w:p w14:paraId="47DD6E1E">
      <w:pPr>
        <w:pageBreakBefore w:val="0"/>
        <w:wordWrap/>
        <w:bidi w:val="0"/>
        <w:adjustRightInd/>
        <w:snapToGrid/>
        <w:ind w:firstLine="480"/>
        <w:rPr>
          <w:color w:val="auto"/>
        </w:rPr>
      </w:pPr>
      <w:r>
        <w:rPr>
          <w:color w:val="auto"/>
        </w:rPr>
        <w:t>由于本项目污水处理厂施工区</w:t>
      </w:r>
      <w:r>
        <w:rPr>
          <w:rFonts w:hint="eastAsia"/>
          <w:color w:val="auto"/>
          <w:lang w:val="en-US" w:eastAsia="zh-CN"/>
        </w:rPr>
        <w:t>位于曾口镇，场镇内已建曾口镇</w:t>
      </w:r>
      <w:r>
        <w:rPr>
          <w:color w:val="auto"/>
        </w:rPr>
        <w:t>污水处理厂</w:t>
      </w:r>
      <w:r>
        <w:rPr>
          <w:rFonts w:hint="eastAsia"/>
          <w:color w:val="auto"/>
          <w:lang w:eastAsia="zh-CN"/>
        </w:rPr>
        <w:t>，</w:t>
      </w:r>
      <w:r>
        <w:rPr>
          <w:color w:val="auto"/>
        </w:rPr>
        <w:t>相应废水处理设施完善，施工人员产生的少量生活污水经收集至</w:t>
      </w:r>
      <w:r>
        <w:rPr>
          <w:rFonts w:hint="eastAsia"/>
          <w:color w:val="auto"/>
          <w:lang w:val="en-US" w:eastAsia="zh-CN"/>
        </w:rPr>
        <w:t>曾口镇</w:t>
      </w:r>
      <w:r>
        <w:rPr>
          <w:color w:val="auto"/>
        </w:rPr>
        <w:t>污水处理厂进行处理，达标排放。</w:t>
      </w:r>
    </w:p>
    <w:p w14:paraId="688A81A9">
      <w:pPr>
        <w:pageBreakBefore w:val="0"/>
        <w:wordWrap/>
        <w:bidi w:val="0"/>
        <w:adjustRightInd/>
        <w:snapToGrid/>
        <w:ind w:firstLine="480"/>
        <w:rPr>
          <w:b/>
          <w:bCs/>
          <w:color w:val="auto"/>
        </w:rPr>
      </w:pPr>
      <w:r>
        <w:rPr>
          <w:b/>
          <w:bCs/>
          <w:color w:val="auto"/>
        </w:rPr>
        <w:t>（2）施工废水</w:t>
      </w:r>
    </w:p>
    <w:p w14:paraId="53F13F4F">
      <w:pPr>
        <w:pageBreakBefore w:val="0"/>
        <w:wordWrap/>
        <w:bidi w:val="0"/>
        <w:adjustRightInd/>
        <w:snapToGrid/>
        <w:ind w:firstLine="480"/>
        <w:rPr>
          <w:color w:val="auto"/>
        </w:rPr>
      </w:pPr>
      <w:r>
        <w:rPr>
          <w:color w:val="auto"/>
        </w:rPr>
        <w:t>包括基坑排水、施工机械冲洗水、混凝土养护水等，主要污染物为SS和石油类，约在500</w:t>
      </w:r>
      <w:r>
        <w:rPr>
          <w:rFonts w:hint="eastAsia"/>
          <w:color w:val="auto"/>
          <w:lang w:eastAsia="zh-CN"/>
        </w:rPr>
        <w:t>～</w:t>
      </w:r>
      <w:r>
        <w:rPr>
          <w:color w:val="auto"/>
        </w:rPr>
        <w:t>2000mg/L左右，呈弱酸性，并带有少量油污。</w:t>
      </w:r>
    </w:p>
    <w:p w14:paraId="2569C89A">
      <w:pPr>
        <w:pageBreakBefore w:val="0"/>
        <w:wordWrap/>
        <w:bidi w:val="0"/>
        <w:adjustRightInd/>
        <w:snapToGrid/>
        <w:ind w:firstLine="482"/>
        <w:rPr>
          <w:color w:val="auto"/>
        </w:rPr>
      </w:pPr>
      <w:r>
        <w:rPr>
          <w:color w:val="auto"/>
        </w:rPr>
        <w:t>废水经隔油、沉淀后全部循环使用，不外排。本工程施工高峰期按3</w:t>
      </w:r>
      <w:r>
        <w:rPr>
          <w:rFonts w:hint="eastAsia"/>
          <w:color w:val="auto"/>
          <w:lang w:eastAsia="zh-CN"/>
        </w:rPr>
        <w:t>～</w:t>
      </w:r>
      <w:r>
        <w:rPr>
          <w:color w:val="auto"/>
        </w:rPr>
        <w:t>4个作业点计，平均每个作业点产生施工废水2</w:t>
      </w:r>
      <w:r>
        <w:rPr>
          <w:rFonts w:hint="eastAsia"/>
          <w:color w:val="auto"/>
          <w:lang w:eastAsia="zh-CN"/>
        </w:rPr>
        <w:t>m³</w:t>
      </w:r>
      <w:r>
        <w:rPr>
          <w:color w:val="auto"/>
        </w:rPr>
        <w:t>/d，日产生施工废水8</w:t>
      </w:r>
      <w:r>
        <w:rPr>
          <w:rFonts w:hint="eastAsia"/>
          <w:color w:val="auto"/>
          <w:lang w:eastAsia="zh-CN"/>
        </w:rPr>
        <w:t>m³</w:t>
      </w:r>
      <w:r>
        <w:rPr>
          <w:color w:val="auto"/>
        </w:rPr>
        <w:t>/d。</w:t>
      </w:r>
    </w:p>
    <w:p w14:paraId="139B04A1">
      <w:pPr>
        <w:pageBreakBefore w:val="0"/>
        <w:wordWrap/>
        <w:bidi w:val="0"/>
        <w:adjustRightInd/>
        <w:snapToGrid/>
        <w:ind w:firstLine="480"/>
        <w:rPr>
          <w:color w:val="auto"/>
        </w:rPr>
      </w:pPr>
      <w:r>
        <w:rPr>
          <w:color w:val="auto"/>
        </w:rPr>
        <w:t>施工</w:t>
      </w:r>
      <w:r>
        <w:rPr>
          <w:rFonts w:hint="eastAsia"/>
          <w:color w:val="auto"/>
          <w:lang w:val="en-US" w:eastAsia="zh-CN"/>
        </w:rPr>
        <w:t>期</w:t>
      </w:r>
      <w:r>
        <w:rPr>
          <w:color w:val="auto"/>
        </w:rPr>
        <w:t>废水产生及</w:t>
      </w:r>
      <w:r>
        <w:rPr>
          <w:rFonts w:hint="eastAsia"/>
          <w:color w:val="auto"/>
          <w:lang w:val="en-US" w:eastAsia="zh-CN"/>
        </w:rPr>
        <w:t>排放</w:t>
      </w:r>
      <w:r>
        <w:rPr>
          <w:color w:val="auto"/>
        </w:rPr>
        <w:t>情况见下表。</w:t>
      </w:r>
    </w:p>
    <w:p w14:paraId="1C8CD037">
      <w:pPr>
        <w:pStyle w:val="19"/>
        <w:numPr>
          <w:ilvl w:val="0"/>
          <w:numId w:val="29"/>
        </w:numPr>
        <w:tabs>
          <w:tab w:val="clear" w:pos="0"/>
        </w:tabs>
        <w:bidi w:val="0"/>
        <w:ind w:left="420" w:leftChars="0" w:hanging="420" w:firstLineChars="0"/>
        <w:rPr>
          <w:color w:val="auto"/>
        </w:rPr>
      </w:pPr>
      <w:r>
        <w:rPr>
          <w:color w:val="auto"/>
        </w:rPr>
        <w:t>施工期生活污水、施工废水产生及排放情况</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899"/>
        <w:gridCol w:w="1366"/>
        <w:gridCol w:w="530"/>
        <w:gridCol w:w="1095"/>
        <w:gridCol w:w="1095"/>
        <w:gridCol w:w="926"/>
        <w:gridCol w:w="954"/>
        <w:gridCol w:w="1695"/>
      </w:tblGrid>
      <w:tr w14:paraId="14EC1A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tcBorders>
              <w:tl2br w:val="nil"/>
              <w:tr2bl w:val="nil"/>
            </w:tcBorders>
            <w:noWrap w:val="0"/>
            <w:vAlign w:val="center"/>
          </w:tcPr>
          <w:p w14:paraId="105DD862">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废水名称</w:t>
            </w:r>
          </w:p>
        </w:tc>
        <w:tc>
          <w:tcPr>
            <w:tcW w:w="797" w:type="pct"/>
            <w:tcBorders>
              <w:tl2br w:val="nil"/>
              <w:tr2bl w:val="nil"/>
            </w:tcBorders>
            <w:noWrap w:val="0"/>
            <w:vAlign w:val="center"/>
          </w:tcPr>
          <w:p w14:paraId="4B9340F8">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b/>
                <w:bCs/>
                <w:color w:val="auto"/>
                <w:sz w:val="21"/>
                <w:szCs w:val="21"/>
              </w:rPr>
              <w:t>废水量</w:t>
            </w:r>
            <w:r>
              <w:rPr>
                <w:rFonts w:hint="eastAsia"/>
                <w:b/>
                <w:bCs/>
                <w:color w:val="auto"/>
                <w:sz w:val="21"/>
                <w:szCs w:val="21"/>
                <w:lang w:eastAsia="zh-CN"/>
              </w:rPr>
              <w:t>（m³</w:t>
            </w:r>
            <w:r>
              <w:rPr>
                <w:b/>
                <w:bCs/>
                <w:color w:val="auto"/>
                <w:sz w:val="21"/>
                <w:szCs w:val="21"/>
              </w:rPr>
              <w:t>/d</w:t>
            </w:r>
            <w:r>
              <w:rPr>
                <w:rFonts w:hint="eastAsia"/>
                <w:b/>
                <w:bCs/>
                <w:color w:val="auto"/>
                <w:sz w:val="21"/>
                <w:szCs w:val="21"/>
                <w:lang w:eastAsia="zh-CN"/>
              </w:rPr>
              <w:t>）</w:t>
            </w:r>
          </w:p>
        </w:tc>
        <w:tc>
          <w:tcPr>
            <w:tcW w:w="309" w:type="pct"/>
            <w:tcBorders>
              <w:tl2br w:val="nil"/>
              <w:tr2bl w:val="nil"/>
            </w:tcBorders>
            <w:noWrap w:val="0"/>
            <w:vAlign w:val="center"/>
          </w:tcPr>
          <w:p w14:paraId="3137225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pH</w:t>
            </w:r>
          </w:p>
        </w:tc>
        <w:tc>
          <w:tcPr>
            <w:tcW w:w="639" w:type="pct"/>
            <w:tcBorders>
              <w:tl2br w:val="nil"/>
              <w:tr2bl w:val="nil"/>
            </w:tcBorders>
            <w:noWrap w:val="0"/>
            <w:vAlign w:val="center"/>
          </w:tcPr>
          <w:p w14:paraId="7373B87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COD</w:t>
            </w:r>
            <w:r>
              <w:rPr>
                <w:b/>
                <w:bCs/>
                <w:color w:val="auto"/>
                <w:sz w:val="21"/>
                <w:szCs w:val="21"/>
                <w:vertAlign w:val="subscript"/>
              </w:rPr>
              <w:t>Cr</w:t>
            </w:r>
          </w:p>
          <w:p w14:paraId="2F1D811D">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rFonts w:hint="eastAsia"/>
                <w:b/>
                <w:bCs/>
                <w:color w:val="auto"/>
                <w:sz w:val="21"/>
                <w:szCs w:val="21"/>
                <w:lang w:eastAsia="zh-CN"/>
              </w:rPr>
              <w:t>（</w:t>
            </w:r>
            <w:r>
              <w:rPr>
                <w:b/>
                <w:bCs/>
                <w:color w:val="auto"/>
                <w:sz w:val="21"/>
                <w:szCs w:val="21"/>
              </w:rPr>
              <w:t>mg/L</w:t>
            </w:r>
            <w:r>
              <w:rPr>
                <w:rFonts w:hint="eastAsia"/>
                <w:b/>
                <w:bCs/>
                <w:color w:val="auto"/>
                <w:sz w:val="21"/>
                <w:szCs w:val="21"/>
                <w:lang w:eastAsia="zh-CN"/>
              </w:rPr>
              <w:t>）</w:t>
            </w:r>
          </w:p>
        </w:tc>
        <w:tc>
          <w:tcPr>
            <w:tcW w:w="639" w:type="pct"/>
            <w:tcBorders>
              <w:tl2br w:val="nil"/>
              <w:tr2bl w:val="nil"/>
            </w:tcBorders>
            <w:noWrap w:val="0"/>
            <w:vAlign w:val="center"/>
          </w:tcPr>
          <w:p w14:paraId="22ACAC5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SS</w:t>
            </w:r>
          </w:p>
          <w:p w14:paraId="5C81EA33">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rFonts w:hint="eastAsia"/>
                <w:b/>
                <w:bCs/>
                <w:color w:val="auto"/>
                <w:sz w:val="21"/>
                <w:szCs w:val="21"/>
                <w:lang w:eastAsia="zh-CN"/>
              </w:rPr>
              <w:t>（</w:t>
            </w:r>
            <w:r>
              <w:rPr>
                <w:b/>
                <w:bCs/>
                <w:color w:val="auto"/>
                <w:sz w:val="21"/>
                <w:szCs w:val="21"/>
              </w:rPr>
              <w:t>mg/L</w:t>
            </w:r>
            <w:r>
              <w:rPr>
                <w:rFonts w:hint="eastAsia"/>
                <w:b/>
                <w:bCs/>
                <w:color w:val="auto"/>
                <w:sz w:val="21"/>
                <w:szCs w:val="21"/>
                <w:lang w:eastAsia="zh-CN"/>
              </w:rPr>
              <w:t>）</w:t>
            </w:r>
          </w:p>
        </w:tc>
        <w:tc>
          <w:tcPr>
            <w:tcW w:w="540" w:type="pct"/>
            <w:tcBorders>
              <w:tl2br w:val="nil"/>
              <w:tr2bl w:val="nil"/>
            </w:tcBorders>
            <w:noWrap w:val="0"/>
            <w:vAlign w:val="center"/>
          </w:tcPr>
          <w:p w14:paraId="18E0CEF6">
            <w:pPr>
              <w:pageBreakBefore w:val="0"/>
              <w:wordWrap/>
              <w:bidi w:val="0"/>
              <w:adjustRightInd/>
              <w:snapToGrid/>
              <w:spacing w:line="240" w:lineRule="auto"/>
              <w:ind w:firstLine="0" w:firstLineChars="0"/>
              <w:jc w:val="center"/>
              <w:rPr>
                <w:b/>
                <w:bCs/>
                <w:color w:val="auto"/>
                <w:sz w:val="21"/>
                <w:szCs w:val="21"/>
                <w:vertAlign w:val="subscript"/>
              </w:rPr>
            </w:pPr>
            <w:r>
              <w:rPr>
                <w:b/>
                <w:bCs/>
                <w:color w:val="auto"/>
                <w:sz w:val="21"/>
                <w:szCs w:val="21"/>
              </w:rPr>
              <w:t>BOD</w:t>
            </w:r>
            <w:r>
              <w:rPr>
                <w:b/>
                <w:bCs/>
                <w:color w:val="auto"/>
                <w:sz w:val="21"/>
                <w:szCs w:val="21"/>
                <w:vertAlign w:val="subscript"/>
              </w:rPr>
              <w:t>5</w:t>
            </w:r>
          </w:p>
          <w:p w14:paraId="0D09D1DE">
            <w:pPr>
              <w:pageBreakBefore w:val="0"/>
              <w:wordWrap/>
              <w:bidi w:val="0"/>
              <w:adjustRightInd/>
              <w:snapToGrid/>
              <w:spacing w:line="240" w:lineRule="auto"/>
              <w:ind w:firstLine="0" w:firstLineChars="0"/>
              <w:jc w:val="center"/>
              <w:rPr>
                <w:rFonts w:hint="eastAsia" w:eastAsia="宋体"/>
                <w:b/>
                <w:bCs/>
                <w:color w:val="auto"/>
                <w:sz w:val="21"/>
                <w:szCs w:val="21"/>
                <w:vertAlign w:val="subscript"/>
                <w:lang w:eastAsia="zh-CN"/>
              </w:rPr>
            </w:pPr>
            <w:r>
              <w:rPr>
                <w:rFonts w:hint="eastAsia"/>
                <w:b/>
                <w:bCs/>
                <w:color w:val="auto"/>
                <w:sz w:val="21"/>
                <w:szCs w:val="21"/>
                <w:lang w:eastAsia="zh-CN"/>
              </w:rPr>
              <w:t>（</w:t>
            </w:r>
            <w:r>
              <w:rPr>
                <w:b/>
                <w:bCs/>
                <w:color w:val="auto"/>
                <w:sz w:val="21"/>
                <w:szCs w:val="21"/>
              </w:rPr>
              <w:t>mg/L</w:t>
            </w:r>
            <w:r>
              <w:rPr>
                <w:rFonts w:hint="eastAsia"/>
                <w:b/>
                <w:bCs/>
                <w:color w:val="auto"/>
                <w:sz w:val="21"/>
                <w:szCs w:val="21"/>
                <w:lang w:eastAsia="zh-CN"/>
              </w:rPr>
              <w:t>）</w:t>
            </w:r>
          </w:p>
        </w:tc>
        <w:tc>
          <w:tcPr>
            <w:tcW w:w="557" w:type="pct"/>
            <w:tcBorders>
              <w:tl2br w:val="nil"/>
              <w:tr2bl w:val="nil"/>
            </w:tcBorders>
            <w:noWrap w:val="0"/>
            <w:vAlign w:val="center"/>
          </w:tcPr>
          <w:p w14:paraId="5E5374B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石油类</w:t>
            </w:r>
          </w:p>
          <w:p w14:paraId="77588E34">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rFonts w:hint="eastAsia"/>
                <w:b/>
                <w:bCs/>
                <w:color w:val="auto"/>
                <w:sz w:val="21"/>
                <w:szCs w:val="21"/>
                <w:lang w:eastAsia="zh-CN"/>
              </w:rPr>
              <w:t>（</w:t>
            </w:r>
            <w:r>
              <w:rPr>
                <w:b/>
                <w:bCs/>
                <w:color w:val="auto"/>
                <w:sz w:val="21"/>
                <w:szCs w:val="21"/>
              </w:rPr>
              <w:t>mg/L</w:t>
            </w:r>
            <w:r>
              <w:rPr>
                <w:rFonts w:hint="eastAsia"/>
                <w:b/>
                <w:bCs/>
                <w:color w:val="auto"/>
                <w:sz w:val="21"/>
                <w:szCs w:val="21"/>
                <w:lang w:eastAsia="zh-CN"/>
              </w:rPr>
              <w:t>）</w:t>
            </w:r>
          </w:p>
        </w:tc>
        <w:tc>
          <w:tcPr>
            <w:tcW w:w="990" w:type="pct"/>
            <w:tcBorders>
              <w:tl2br w:val="nil"/>
              <w:tr2bl w:val="nil"/>
            </w:tcBorders>
            <w:noWrap w:val="0"/>
            <w:vAlign w:val="center"/>
          </w:tcPr>
          <w:p w14:paraId="6F3C466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处置措施</w:t>
            </w:r>
          </w:p>
        </w:tc>
      </w:tr>
      <w:tr w14:paraId="051F06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tcBorders>
              <w:tl2br w:val="nil"/>
              <w:tr2bl w:val="nil"/>
            </w:tcBorders>
            <w:noWrap w:val="0"/>
            <w:vAlign w:val="center"/>
          </w:tcPr>
          <w:p w14:paraId="11750213">
            <w:pPr>
              <w:pageBreakBefore w:val="0"/>
              <w:wordWrap/>
              <w:bidi w:val="0"/>
              <w:adjustRightInd/>
              <w:snapToGrid/>
              <w:spacing w:line="240" w:lineRule="auto"/>
              <w:ind w:firstLine="0" w:firstLineChars="0"/>
              <w:jc w:val="center"/>
              <w:rPr>
                <w:color w:val="auto"/>
                <w:sz w:val="21"/>
                <w:szCs w:val="21"/>
              </w:rPr>
            </w:pPr>
            <w:r>
              <w:rPr>
                <w:color w:val="auto"/>
                <w:sz w:val="21"/>
                <w:szCs w:val="21"/>
              </w:rPr>
              <w:t>生活污水</w:t>
            </w:r>
          </w:p>
        </w:tc>
        <w:tc>
          <w:tcPr>
            <w:tcW w:w="797" w:type="pct"/>
            <w:tcBorders>
              <w:tl2br w:val="nil"/>
              <w:tr2bl w:val="nil"/>
            </w:tcBorders>
            <w:noWrap w:val="0"/>
            <w:vAlign w:val="center"/>
          </w:tcPr>
          <w:p w14:paraId="0F13A8CD">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3.6</w:t>
            </w:r>
          </w:p>
        </w:tc>
        <w:tc>
          <w:tcPr>
            <w:tcW w:w="309" w:type="pct"/>
            <w:tcBorders>
              <w:tl2br w:val="nil"/>
              <w:tr2bl w:val="nil"/>
            </w:tcBorders>
            <w:noWrap w:val="0"/>
            <w:vAlign w:val="center"/>
          </w:tcPr>
          <w:p w14:paraId="781EE9A1">
            <w:pPr>
              <w:pageBreakBefore w:val="0"/>
              <w:wordWrap/>
              <w:bidi w:val="0"/>
              <w:adjustRightInd/>
              <w:snapToGrid/>
              <w:spacing w:line="240" w:lineRule="auto"/>
              <w:ind w:firstLine="0" w:firstLineChars="0"/>
              <w:jc w:val="center"/>
              <w:rPr>
                <w:color w:val="auto"/>
                <w:sz w:val="21"/>
                <w:szCs w:val="21"/>
              </w:rPr>
            </w:pPr>
            <w:r>
              <w:rPr>
                <w:color w:val="auto"/>
                <w:sz w:val="21"/>
                <w:szCs w:val="21"/>
              </w:rPr>
              <w:t>6~9</w:t>
            </w:r>
          </w:p>
        </w:tc>
        <w:tc>
          <w:tcPr>
            <w:tcW w:w="639" w:type="pct"/>
            <w:tcBorders>
              <w:tl2br w:val="nil"/>
              <w:tr2bl w:val="nil"/>
            </w:tcBorders>
            <w:noWrap w:val="0"/>
            <w:vAlign w:val="center"/>
          </w:tcPr>
          <w:p w14:paraId="18BBE469">
            <w:pPr>
              <w:pageBreakBefore w:val="0"/>
              <w:wordWrap/>
              <w:bidi w:val="0"/>
              <w:adjustRightInd/>
              <w:snapToGrid/>
              <w:spacing w:line="240" w:lineRule="auto"/>
              <w:ind w:firstLine="0" w:firstLineChars="0"/>
              <w:jc w:val="center"/>
              <w:rPr>
                <w:color w:val="auto"/>
                <w:sz w:val="21"/>
                <w:szCs w:val="21"/>
              </w:rPr>
            </w:pPr>
            <w:r>
              <w:rPr>
                <w:color w:val="auto"/>
                <w:sz w:val="21"/>
                <w:szCs w:val="21"/>
              </w:rPr>
              <w:t>350</w:t>
            </w:r>
          </w:p>
        </w:tc>
        <w:tc>
          <w:tcPr>
            <w:tcW w:w="639" w:type="pct"/>
            <w:tcBorders>
              <w:tl2br w:val="nil"/>
              <w:tr2bl w:val="nil"/>
            </w:tcBorders>
            <w:noWrap w:val="0"/>
            <w:vAlign w:val="center"/>
          </w:tcPr>
          <w:p w14:paraId="53339A63">
            <w:pPr>
              <w:pageBreakBefore w:val="0"/>
              <w:wordWrap/>
              <w:bidi w:val="0"/>
              <w:adjustRightInd/>
              <w:snapToGrid/>
              <w:spacing w:line="240" w:lineRule="auto"/>
              <w:ind w:firstLine="0" w:firstLineChars="0"/>
              <w:jc w:val="center"/>
              <w:rPr>
                <w:color w:val="auto"/>
                <w:sz w:val="21"/>
                <w:szCs w:val="21"/>
              </w:rPr>
            </w:pPr>
            <w:r>
              <w:rPr>
                <w:color w:val="auto"/>
                <w:sz w:val="21"/>
                <w:szCs w:val="21"/>
              </w:rPr>
              <w:t>250</w:t>
            </w:r>
          </w:p>
        </w:tc>
        <w:tc>
          <w:tcPr>
            <w:tcW w:w="540" w:type="pct"/>
            <w:tcBorders>
              <w:tl2br w:val="nil"/>
              <w:tr2bl w:val="nil"/>
            </w:tcBorders>
            <w:noWrap w:val="0"/>
            <w:vAlign w:val="center"/>
          </w:tcPr>
          <w:p w14:paraId="678A83F8">
            <w:pPr>
              <w:pageBreakBefore w:val="0"/>
              <w:wordWrap/>
              <w:bidi w:val="0"/>
              <w:adjustRightInd/>
              <w:snapToGrid/>
              <w:spacing w:line="240" w:lineRule="auto"/>
              <w:ind w:firstLine="0" w:firstLineChars="0"/>
              <w:jc w:val="center"/>
              <w:rPr>
                <w:color w:val="auto"/>
                <w:sz w:val="21"/>
                <w:szCs w:val="21"/>
              </w:rPr>
            </w:pPr>
            <w:r>
              <w:rPr>
                <w:color w:val="auto"/>
                <w:sz w:val="21"/>
                <w:szCs w:val="21"/>
              </w:rPr>
              <w:t>200</w:t>
            </w:r>
          </w:p>
        </w:tc>
        <w:tc>
          <w:tcPr>
            <w:tcW w:w="557" w:type="pct"/>
            <w:tcBorders>
              <w:tl2br w:val="nil"/>
              <w:tr2bl w:val="nil"/>
            </w:tcBorders>
            <w:noWrap w:val="0"/>
            <w:vAlign w:val="center"/>
          </w:tcPr>
          <w:p w14:paraId="64234977">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990" w:type="pct"/>
            <w:tcBorders>
              <w:tl2br w:val="nil"/>
              <w:tr2bl w:val="nil"/>
            </w:tcBorders>
            <w:noWrap w:val="0"/>
            <w:vAlign w:val="center"/>
          </w:tcPr>
          <w:p w14:paraId="3BD1470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color w:val="auto"/>
                <w:sz w:val="21"/>
                <w:szCs w:val="21"/>
              </w:rPr>
              <w:t>依托</w:t>
            </w:r>
            <w:r>
              <w:rPr>
                <w:rFonts w:hint="eastAsia"/>
                <w:color w:val="auto"/>
                <w:sz w:val="21"/>
                <w:szCs w:val="21"/>
                <w:lang w:val="en-US" w:eastAsia="zh-CN"/>
              </w:rPr>
              <w:t>曾口镇污水处理厂</w:t>
            </w:r>
          </w:p>
        </w:tc>
      </w:tr>
      <w:tr w14:paraId="37DC4B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tcBorders>
              <w:tl2br w:val="nil"/>
              <w:tr2bl w:val="nil"/>
            </w:tcBorders>
            <w:noWrap w:val="0"/>
            <w:vAlign w:val="center"/>
          </w:tcPr>
          <w:p w14:paraId="4159385A">
            <w:pPr>
              <w:pageBreakBefore w:val="0"/>
              <w:wordWrap/>
              <w:bidi w:val="0"/>
              <w:adjustRightInd/>
              <w:snapToGrid/>
              <w:spacing w:line="240" w:lineRule="auto"/>
              <w:ind w:firstLine="0" w:firstLineChars="0"/>
              <w:jc w:val="center"/>
              <w:rPr>
                <w:color w:val="auto"/>
                <w:sz w:val="21"/>
                <w:szCs w:val="21"/>
              </w:rPr>
            </w:pPr>
            <w:r>
              <w:rPr>
                <w:color w:val="auto"/>
                <w:sz w:val="21"/>
                <w:szCs w:val="21"/>
              </w:rPr>
              <w:t>施工废水</w:t>
            </w:r>
          </w:p>
        </w:tc>
        <w:tc>
          <w:tcPr>
            <w:tcW w:w="797" w:type="pct"/>
            <w:tcBorders>
              <w:tl2br w:val="nil"/>
              <w:tr2bl w:val="nil"/>
            </w:tcBorders>
            <w:noWrap w:val="0"/>
            <w:vAlign w:val="center"/>
          </w:tcPr>
          <w:p w14:paraId="1D220029">
            <w:pPr>
              <w:pageBreakBefore w:val="0"/>
              <w:wordWrap/>
              <w:bidi w:val="0"/>
              <w:adjustRightInd/>
              <w:snapToGrid/>
              <w:spacing w:line="240" w:lineRule="auto"/>
              <w:ind w:firstLine="0" w:firstLineChars="0"/>
              <w:jc w:val="center"/>
              <w:rPr>
                <w:color w:val="auto"/>
                <w:sz w:val="21"/>
                <w:szCs w:val="21"/>
              </w:rPr>
            </w:pPr>
            <w:r>
              <w:rPr>
                <w:color w:val="auto"/>
                <w:sz w:val="21"/>
                <w:szCs w:val="21"/>
              </w:rPr>
              <w:t>8</w:t>
            </w:r>
          </w:p>
        </w:tc>
        <w:tc>
          <w:tcPr>
            <w:tcW w:w="309" w:type="pct"/>
            <w:tcBorders>
              <w:tl2br w:val="nil"/>
              <w:tr2bl w:val="nil"/>
            </w:tcBorders>
            <w:noWrap w:val="0"/>
            <w:vAlign w:val="center"/>
          </w:tcPr>
          <w:p w14:paraId="495A879F">
            <w:pPr>
              <w:pageBreakBefore w:val="0"/>
              <w:wordWrap/>
              <w:bidi w:val="0"/>
              <w:adjustRightInd/>
              <w:snapToGrid/>
              <w:spacing w:line="240" w:lineRule="auto"/>
              <w:ind w:firstLine="0" w:firstLineChars="0"/>
              <w:jc w:val="center"/>
              <w:rPr>
                <w:color w:val="auto"/>
                <w:sz w:val="21"/>
                <w:szCs w:val="21"/>
              </w:rPr>
            </w:pPr>
            <w:r>
              <w:rPr>
                <w:color w:val="auto"/>
                <w:sz w:val="21"/>
                <w:szCs w:val="21"/>
              </w:rPr>
              <w:t>6~7</w:t>
            </w:r>
          </w:p>
        </w:tc>
        <w:tc>
          <w:tcPr>
            <w:tcW w:w="639" w:type="pct"/>
            <w:tcBorders>
              <w:tl2br w:val="nil"/>
              <w:tr2bl w:val="nil"/>
            </w:tcBorders>
            <w:noWrap w:val="0"/>
            <w:vAlign w:val="center"/>
          </w:tcPr>
          <w:p w14:paraId="108F103C">
            <w:pPr>
              <w:pageBreakBefore w:val="0"/>
              <w:wordWrap/>
              <w:bidi w:val="0"/>
              <w:adjustRightInd/>
              <w:snapToGrid/>
              <w:spacing w:line="240" w:lineRule="auto"/>
              <w:ind w:firstLine="0" w:firstLineChars="0"/>
              <w:jc w:val="center"/>
              <w:rPr>
                <w:color w:val="auto"/>
                <w:sz w:val="21"/>
                <w:szCs w:val="21"/>
              </w:rPr>
            </w:pPr>
            <w:r>
              <w:rPr>
                <w:color w:val="auto"/>
                <w:sz w:val="21"/>
                <w:szCs w:val="21"/>
              </w:rPr>
              <w:t>80</w:t>
            </w:r>
          </w:p>
        </w:tc>
        <w:tc>
          <w:tcPr>
            <w:tcW w:w="639" w:type="pct"/>
            <w:tcBorders>
              <w:tl2br w:val="nil"/>
              <w:tr2bl w:val="nil"/>
            </w:tcBorders>
            <w:noWrap w:val="0"/>
            <w:vAlign w:val="center"/>
          </w:tcPr>
          <w:p w14:paraId="2A4CCE74">
            <w:pPr>
              <w:pageBreakBefore w:val="0"/>
              <w:wordWrap/>
              <w:bidi w:val="0"/>
              <w:adjustRightInd/>
              <w:snapToGrid/>
              <w:spacing w:line="240" w:lineRule="auto"/>
              <w:ind w:firstLine="0" w:firstLineChars="0"/>
              <w:jc w:val="center"/>
              <w:rPr>
                <w:color w:val="auto"/>
                <w:sz w:val="21"/>
                <w:szCs w:val="21"/>
              </w:rPr>
            </w:pPr>
            <w:r>
              <w:rPr>
                <w:color w:val="auto"/>
                <w:sz w:val="21"/>
                <w:szCs w:val="21"/>
              </w:rPr>
              <w:t>1000</w:t>
            </w:r>
          </w:p>
        </w:tc>
        <w:tc>
          <w:tcPr>
            <w:tcW w:w="540" w:type="pct"/>
            <w:tcBorders>
              <w:tl2br w:val="nil"/>
              <w:tr2bl w:val="nil"/>
            </w:tcBorders>
            <w:noWrap w:val="0"/>
            <w:vAlign w:val="center"/>
          </w:tcPr>
          <w:p w14:paraId="2E337336">
            <w:pPr>
              <w:pageBreakBefore w:val="0"/>
              <w:wordWrap/>
              <w:bidi w:val="0"/>
              <w:adjustRightInd/>
              <w:snapToGrid/>
              <w:spacing w:line="240" w:lineRule="auto"/>
              <w:ind w:firstLine="0" w:firstLineChars="0"/>
              <w:jc w:val="center"/>
              <w:rPr>
                <w:color w:val="auto"/>
                <w:sz w:val="21"/>
                <w:szCs w:val="21"/>
              </w:rPr>
            </w:pPr>
            <w:r>
              <w:rPr>
                <w:color w:val="auto"/>
                <w:sz w:val="21"/>
                <w:szCs w:val="21"/>
              </w:rPr>
              <w:t>10</w:t>
            </w:r>
          </w:p>
        </w:tc>
        <w:tc>
          <w:tcPr>
            <w:tcW w:w="557" w:type="pct"/>
            <w:tcBorders>
              <w:tl2br w:val="nil"/>
              <w:tr2bl w:val="nil"/>
            </w:tcBorders>
            <w:noWrap w:val="0"/>
            <w:vAlign w:val="center"/>
          </w:tcPr>
          <w:p w14:paraId="082C3F82">
            <w:pPr>
              <w:pageBreakBefore w:val="0"/>
              <w:wordWrap/>
              <w:bidi w:val="0"/>
              <w:adjustRightInd/>
              <w:snapToGrid/>
              <w:spacing w:line="240" w:lineRule="auto"/>
              <w:ind w:firstLine="0" w:firstLineChars="0"/>
              <w:jc w:val="center"/>
              <w:rPr>
                <w:color w:val="auto"/>
                <w:sz w:val="21"/>
                <w:szCs w:val="21"/>
              </w:rPr>
            </w:pPr>
            <w:r>
              <w:rPr>
                <w:color w:val="auto"/>
                <w:sz w:val="21"/>
                <w:szCs w:val="21"/>
              </w:rPr>
              <w:t>25</w:t>
            </w:r>
          </w:p>
        </w:tc>
        <w:tc>
          <w:tcPr>
            <w:tcW w:w="990" w:type="pct"/>
            <w:tcBorders>
              <w:tl2br w:val="nil"/>
              <w:tr2bl w:val="nil"/>
            </w:tcBorders>
            <w:noWrap w:val="0"/>
            <w:vAlign w:val="center"/>
          </w:tcPr>
          <w:p w14:paraId="0D4346DB">
            <w:pPr>
              <w:pageBreakBefore w:val="0"/>
              <w:wordWrap/>
              <w:bidi w:val="0"/>
              <w:adjustRightInd/>
              <w:snapToGrid/>
              <w:spacing w:line="240" w:lineRule="auto"/>
              <w:ind w:firstLine="0" w:firstLineChars="0"/>
              <w:jc w:val="center"/>
              <w:rPr>
                <w:color w:val="auto"/>
                <w:sz w:val="21"/>
                <w:szCs w:val="21"/>
              </w:rPr>
            </w:pPr>
            <w:r>
              <w:rPr>
                <w:color w:val="auto"/>
                <w:sz w:val="21"/>
                <w:szCs w:val="21"/>
              </w:rPr>
              <w:t>隔油沉淀处理后循环使用</w:t>
            </w:r>
          </w:p>
        </w:tc>
      </w:tr>
      <w:tr w14:paraId="6DBCB7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5" w:type="pct"/>
            <w:tcBorders>
              <w:tl2br w:val="nil"/>
              <w:tr2bl w:val="nil"/>
            </w:tcBorders>
            <w:noWrap w:val="0"/>
            <w:vAlign w:val="center"/>
          </w:tcPr>
          <w:p w14:paraId="38B21E5F">
            <w:pPr>
              <w:pageBreakBefore w:val="0"/>
              <w:wordWrap/>
              <w:bidi w:val="0"/>
              <w:adjustRightInd/>
              <w:snapToGrid/>
              <w:spacing w:line="240" w:lineRule="auto"/>
              <w:ind w:firstLine="0" w:firstLineChars="0"/>
              <w:jc w:val="center"/>
              <w:rPr>
                <w:color w:val="auto"/>
                <w:sz w:val="21"/>
                <w:szCs w:val="21"/>
              </w:rPr>
            </w:pPr>
            <w:r>
              <w:rPr>
                <w:color w:val="auto"/>
                <w:sz w:val="21"/>
                <w:szCs w:val="21"/>
              </w:rPr>
              <w:t>合计</w:t>
            </w:r>
          </w:p>
        </w:tc>
        <w:tc>
          <w:tcPr>
            <w:tcW w:w="797" w:type="pct"/>
            <w:tcBorders>
              <w:tl2br w:val="nil"/>
              <w:tr2bl w:val="nil"/>
            </w:tcBorders>
            <w:noWrap w:val="0"/>
            <w:vAlign w:val="center"/>
          </w:tcPr>
          <w:p w14:paraId="7B736C5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11.6</w:t>
            </w:r>
          </w:p>
        </w:tc>
        <w:tc>
          <w:tcPr>
            <w:tcW w:w="309" w:type="pct"/>
            <w:tcBorders>
              <w:tl2br w:val="nil"/>
              <w:tr2bl w:val="nil"/>
            </w:tcBorders>
            <w:noWrap w:val="0"/>
            <w:vAlign w:val="center"/>
          </w:tcPr>
          <w:p w14:paraId="65EE519D">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639" w:type="pct"/>
            <w:tcBorders>
              <w:tl2br w:val="nil"/>
              <w:tr2bl w:val="nil"/>
            </w:tcBorders>
            <w:noWrap w:val="0"/>
            <w:vAlign w:val="center"/>
          </w:tcPr>
          <w:p w14:paraId="2993155E">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639" w:type="pct"/>
            <w:tcBorders>
              <w:tl2br w:val="nil"/>
              <w:tr2bl w:val="nil"/>
            </w:tcBorders>
            <w:noWrap w:val="0"/>
            <w:vAlign w:val="center"/>
          </w:tcPr>
          <w:p w14:paraId="114559AD">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540" w:type="pct"/>
            <w:tcBorders>
              <w:tl2br w:val="nil"/>
              <w:tr2bl w:val="nil"/>
            </w:tcBorders>
            <w:noWrap w:val="0"/>
            <w:vAlign w:val="center"/>
          </w:tcPr>
          <w:p w14:paraId="2F42A6AC">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557" w:type="pct"/>
            <w:tcBorders>
              <w:tl2br w:val="nil"/>
              <w:tr2bl w:val="nil"/>
            </w:tcBorders>
            <w:noWrap w:val="0"/>
            <w:vAlign w:val="center"/>
          </w:tcPr>
          <w:p w14:paraId="011B66BE">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990" w:type="pct"/>
            <w:tcBorders>
              <w:tl2br w:val="nil"/>
              <w:tr2bl w:val="nil"/>
            </w:tcBorders>
            <w:noWrap w:val="0"/>
            <w:vAlign w:val="center"/>
          </w:tcPr>
          <w:p w14:paraId="69DF5AA4">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r>
    </w:tbl>
    <w:p w14:paraId="64528C49">
      <w:pPr>
        <w:pageBreakBefore w:val="0"/>
        <w:wordWrap/>
        <w:bidi w:val="0"/>
        <w:adjustRightInd/>
        <w:snapToGrid/>
        <w:ind w:firstLine="480"/>
        <w:rPr>
          <w:b/>
          <w:bCs/>
          <w:color w:val="auto"/>
          <w:kern w:val="0"/>
        </w:rPr>
      </w:pPr>
      <w:r>
        <w:rPr>
          <w:b/>
          <w:bCs/>
          <w:color w:val="auto"/>
          <w:kern w:val="0"/>
          <w:u w:val="single"/>
        </w:rPr>
        <w:t>综上所述，在采取上述措施治理后，实施期间产生的废水不会对区域地表水环境产生明显影响</w:t>
      </w:r>
      <w:r>
        <w:rPr>
          <w:b/>
          <w:bCs/>
          <w:color w:val="auto"/>
          <w:kern w:val="0"/>
        </w:rPr>
        <w:t>。</w:t>
      </w:r>
    </w:p>
    <w:p w14:paraId="5E3216B0">
      <w:pPr>
        <w:pStyle w:val="5"/>
        <w:pageBreakBefore w:val="0"/>
        <w:wordWrap/>
        <w:bidi w:val="0"/>
        <w:adjustRightInd/>
        <w:snapToGrid/>
        <w:spacing w:before="62" w:after="62"/>
        <w:ind w:left="0"/>
        <w:rPr>
          <w:rFonts w:eastAsia="宋体"/>
          <w:color w:val="auto"/>
        </w:rPr>
      </w:pPr>
      <w:r>
        <w:rPr>
          <w:rFonts w:hint="eastAsia" w:eastAsia="宋体"/>
          <w:color w:val="auto"/>
        </w:rPr>
        <w:t xml:space="preserve"> </w:t>
      </w:r>
      <w:r>
        <w:rPr>
          <w:rFonts w:eastAsia="宋体"/>
          <w:color w:val="auto"/>
        </w:rPr>
        <w:t>施工期声环境影响预测与评价</w:t>
      </w:r>
    </w:p>
    <w:p w14:paraId="347E1BA9">
      <w:pPr>
        <w:pageBreakBefore w:val="0"/>
        <w:wordWrap/>
        <w:bidi w:val="0"/>
        <w:adjustRightInd/>
        <w:snapToGrid/>
        <w:ind w:firstLine="480"/>
        <w:rPr>
          <w:b/>
          <w:bCs/>
          <w:color w:val="auto"/>
        </w:rPr>
      </w:pPr>
      <w:r>
        <w:rPr>
          <w:b/>
          <w:bCs/>
          <w:color w:val="auto"/>
        </w:rPr>
        <w:t>1、施工期噪声源</w:t>
      </w:r>
    </w:p>
    <w:p w14:paraId="5AC38891">
      <w:pPr>
        <w:bidi w:val="0"/>
        <w:rPr>
          <w:color w:val="auto"/>
        </w:rPr>
      </w:pPr>
      <w:r>
        <w:rPr>
          <w:color w:val="auto"/>
        </w:rPr>
        <w:t>在项目的施工阶段，建筑施工机械作业一般位于露天，各种施工机械、设备噪声</w:t>
      </w:r>
      <w:r>
        <w:rPr>
          <w:rFonts w:hint="eastAsia"/>
          <w:color w:val="auto"/>
          <w:lang w:eastAsia="zh-CN"/>
        </w:rPr>
        <w:t>此起彼伏</w:t>
      </w:r>
      <w:r>
        <w:rPr>
          <w:color w:val="auto"/>
        </w:rPr>
        <w:t>；其噪声传播距离远，是重要的临时性声源。</w:t>
      </w:r>
    </w:p>
    <w:p w14:paraId="51170AAB">
      <w:pPr>
        <w:bidi w:val="0"/>
        <w:rPr>
          <w:color w:val="auto"/>
        </w:rPr>
      </w:pPr>
      <w:r>
        <w:rPr>
          <w:color w:val="auto"/>
        </w:rPr>
        <w:t xml:space="preserve">在土建施工期间，噪声声源主要发生在挖土机、空压机、卷扬机等，以及运送建材、渣土的载重汽车等；在装饰装修及水电等设备安装阶段，主要噪声源有电钻、电锤、磨光机等设备。常用施工设备和运输车辆在作业期间所产生的噪声值见下表。 </w:t>
      </w:r>
    </w:p>
    <w:p w14:paraId="183AEE35">
      <w:pPr>
        <w:pStyle w:val="19"/>
        <w:numPr>
          <w:ilvl w:val="0"/>
          <w:numId w:val="29"/>
        </w:numPr>
        <w:tabs>
          <w:tab w:val="clear" w:pos="0"/>
        </w:tabs>
        <w:bidi w:val="0"/>
        <w:ind w:left="420" w:leftChars="0" w:hanging="420" w:firstLineChars="0"/>
        <w:rPr>
          <w:rFonts w:hint="eastAsia" w:eastAsia="宋体"/>
          <w:color w:val="auto"/>
          <w:lang w:eastAsia="zh-CN"/>
        </w:rPr>
      </w:pPr>
      <w:r>
        <w:rPr>
          <w:color w:val="auto"/>
        </w:rPr>
        <w:t>各种施工机械设备的噪声值 单位：dB</w:t>
      </w:r>
      <w:r>
        <w:rPr>
          <w:rFonts w:hint="eastAsia"/>
          <w:color w:val="auto"/>
          <w:lang w:eastAsia="zh-CN"/>
        </w:rPr>
        <w:t>（</w:t>
      </w:r>
      <w:r>
        <w:rPr>
          <w:color w:val="auto"/>
        </w:rPr>
        <w:t>A</w:t>
      </w:r>
      <w:r>
        <w:rPr>
          <w:rFonts w:hint="eastAsia"/>
          <w:color w:val="auto"/>
          <w:lang w:eastAsia="zh-CN"/>
        </w:rPr>
        <w:t>）</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45"/>
        <w:gridCol w:w="2196"/>
        <w:gridCol w:w="2196"/>
        <w:gridCol w:w="3380"/>
      </w:tblGrid>
      <w:tr w14:paraId="1781E2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1C666194">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序号</w:t>
            </w:r>
          </w:p>
        </w:tc>
        <w:tc>
          <w:tcPr>
            <w:tcW w:w="1259" w:type="pct"/>
            <w:tcBorders>
              <w:tl2br w:val="nil"/>
              <w:tr2bl w:val="nil"/>
            </w:tcBorders>
            <w:noWrap w:val="0"/>
            <w:vAlign w:val="center"/>
          </w:tcPr>
          <w:p w14:paraId="733279E3">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机械类型</w:t>
            </w:r>
          </w:p>
        </w:tc>
        <w:tc>
          <w:tcPr>
            <w:tcW w:w="1259" w:type="pct"/>
            <w:tcBorders>
              <w:tl2br w:val="nil"/>
              <w:tr2bl w:val="nil"/>
            </w:tcBorders>
            <w:noWrap w:val="0"/>
            <w:vAlign w:val="center"/>
          </w:tcPr>
          <w:p w14:paraId="54F2BC5B">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声源特点</w:t>
            </w:r>
          </w:p>
        </w:tc>
        <w:tc>
          <w:tcPr>
            <w:tcW w:w="1938" w:type="pct"/>
            <w:tcBorders>
              <w:tl2br w:val="nil"/>
              <w:tr2bl w:val="nil"/>
            </w:tcBorders>
            <w:noWrap w:val="0"/>
            <w:vAlign w:val="center"/>
          </w:tcPr>
          <w:p w14:paraId="0E1EDBE0">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距离设备5m处噪声值</w:t>
            </w:r>
          </w:p>
        </w:tc>
      </w:tr>
      <w:tr w14:paraId="4478DC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6567D657">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1259" w:type="pct"/>
            <w:tcBorders>
              <w:tl2br w:val="nil"/>
              <w:tr2bl w:val="nil"/>
            </w:tcBorders>
            <w:noWrap w:val="0"/>
            <w:vAlign w:val="center"/>
          </w:tcPr>
          <w:p w14:paraId="2ED557B8">
            <w:pPr>
              <w:pageBreakBefore w:val="0"/>
              <w:wordWrap/>
              <w:bidi w:val="0"/>
              <w:adjustRightInd/>
              <w:snapToGrid/>
              <w:spacing w:line="240" w:lineRule="auto"/>
              <w:ind w:firstLine="0" w:firstLineChars="0"/>
              <w:jc w:val="center"/>
              <w:rPr>
                <w:color w:val="auto"/>
                <w:sz w:val="21"/>
                <w:szCs w:val="21"/>
              </w:rPr>
            </w:pPr>
            <w:r>
              <w:rPr>
                <w:color w:val="auto"/>
                <w:sz w:val="21"/>
                <w:szCs w:val="21"/>
              </w:rPr>
              <w:t>路面破碎机</w:t>
            </w:r>
          </w:p>
        </w:tc>
        <w:tc>
          <w:tcPr>
            <w:tcW w:w="1259" w:type="pct"/>
            <w:tcBorders>
              <w:tl2br w:val="nil"/>
              <w:tr2bl w:val="nil"/>
            </w:tcBorders>
            <w:noWrap w:val="0"/>
            <w:vAlign w:val="center"/>
          </w:tcPr>
          <w:p w14:paraId="60FC3165">
            <w:pPr>
              <w:pageBreakBefore w:val="0"/>
              <w:wordWrap/>
              <w:bidi w:val="0"/>
              <w:adjustRightInd/>
              <w:snapToGrid/>
              <w:spacing w:line="240" w:lineRule="auto"/>
              <w:ind w:firstLine="0" w:firstLineChars="0"/>
              <w:jc w:val="center"/>
              <w:rPr>
                <w:color w:val="auto"/>
                <w:sz w:val="21"/>
                <w:szCs w:val="21"/>
              </w:rPr>
            </w:pPr>
            <w:r>
              <w:rPr>
                <w:color w:val="auto"/>
                <w:sz w:val="21"/>
                <w:szCs w:val="21"/>
              </w:rPr>
              <w:t>流动不稳态源</w:t>
            </w:r>
          </w:p>
        </w:tc>
        <w:tc>
          <w:tcPr>
            <w:tcW w:w="1938" w:type="pct"/>
            <w:tcBorders>
              <w:tl2br w:val="nil"/>
              <w:tr2bl w:val="nil"/>
            </w:tcBorders>
            <w:noWrap w:val="0"/>
            <w:vAlign w:val="center"/>
          </w:tcPr>
          <w:p w14:paraId="338AF2E4">
            <w:pPr>
              <w:pageBreakBefore w:val="0"/>
              <w:wordWrap/>
              <w:bidi w:val="0"/>
              <w:adjustRightInd/>
              <w:snapToGrid/>
              <w:spacing w:line="240" w:lineRule="auto"/>
              <w:ind w:firstLine="0" w:firstLineChars="0"/>
              <w:jc w:val="center"/>
              <w:rPr>
                <w:color w:val="auto"/>
                <w:sz w:val="21"/>
                <w:szCs w:val="21"/>
              </w:rPr>
            </w:pPr>
            <w:r>
              <w:rPr>
                <w:color w:val="auto"/>
                <w:sz w:val="21"/>
                <w:szCs w:val="21"/>
              </w:rPr>
              <w:t>90</w:t>
            </w:r>
          </w:p>
        </w:tc>
      </w:tr>
      <w:tr w14:paraId="065BCB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7E969149">
            <w:pPr>
              <w:pageBreakBefore w:val="0"/>
              <w:wordWrap/>
              <w:bidi w:val="0"/>
              <w:adjustRightInd/>
              <w:snapToGrid/>
              <w:spacing w:line="240" w:lineRule="auto"/>
              <w:ind w:firstLine="0" w:firstLineChars="0"/>
              <w:jc w:val="center"/>
              <w:rPr>
                <w:color w:val="auto"/>
                <w:sz w:val="21"/>
                <w:szCs w:val="21"/>
              </w:rPr>
            </w:pPr>
            <w:r>
              <w:rPr>
                <w:color w:val="auto"/>
                <w:sz w:val="21"/>
                <w:szCs w:val="21"/>
              </w:rPr>
              <w:t>2</w:t>
            </w:r>
          </w:p>
        </w:tc>
        <w:tc>
          <w:tcPr>
            <w:tcW w:w="1259" w:type="pct"/>
            <w:tcBorders>
              <w:tl2br w:val="nil"/>
              <w:tr2bl w:val="nil"/>
            </w:tcBorders>
            <w:noWrap w:val="0"/>
            <w:vAlign w:val="center"/>
          </w:tcPr>
          <w:p w14:paraId="644A9F0A">
            <w:pPr>
              <w:pageBreakBefore w:val="0"/>
              <w:wordWrap/>
              <w:bidi w:val="0"/>
              <w:adjustRightInd/>
              <w:snapToGrid/>
              <w:spacing w:line="240" w:lineRule="auto"/>
              <w:ind w:firstLine="0" w:firstLineChars="0"/>
              <w:jc w:val="center"/>
              <w:rPr>
                <w:color w:val="auto"/>
                <w:sz w:val="21"/>
                <w:szCs w:val="21"/>
              </w:rPr>
            </w:pPr>
            <w:r>
              <w:rPr>
                <w:color w:val="auto"/>
                <w:sz w:val="21"/>
                <w:szCs w:val="21"/>
              </w:rPr>
              <w:t>切割机</w:t>
            </w:r>
          </w:p>
        </w:tc>
        <w:tc>
          <w:tcPr>
            <w:tcW w:w="1259" w:type="pct"/>
            <w:tcBorders>
              <w:tl2br w:val="nil"/>
              <w:tr2bl w:val="nil"/>
            </w:tcBorders>
            <w:noWrap w:val="0"/>
            <w:vAlign w:val="center"/>
          </w:tcPr>
          <w:p w14:paraId="327ADD33">
            <w:pPr>
              <w:pageBreakBefore w:val="0"/>
              <w:wordWrap/>
              <w:bidi w:val="0"/>
              <w:adjustRightInd/>
              <w:snapToGrid/>
              <w:spacing w:line="240" w:lineRule="auto"/>
              <w:ind w:firstLine="0" w:firstLineChars="0"/>
              <w:jc w:val="center"/>
              <w:rPr>
                <w:color w:val="auto"/>
                <w:sz w:val="21"/>
                <w:szCs w:val="21"/>
              </w:rPr>
            </w:pPr>
            <w:r>
              <w:rPr>
                <w:color w:val="auto"/>
                <w:sz w:val="21"/>
                <w:szCs w:val="21"/>
              </w:rPr>
              <w:t>流动不稳态源</w:t>
            </w:r>
          </w:p>
        </w:tc>
        <w:tc>
          <w:tcPr>
            <w:tcW w:w="1938" w:type="pct"/>
            <w:tcBorders>
              <w:tl2br w:val="nil"/>
              <w:tr2bl w:val="nil"/>
            </w:tcBorders>
            <w:noWrap w:val="0"/>
            <w:vAlign w:val="center"/>
          </w:tcPr>
          <w:p w14:paraId="1C6F6790">
            <w:pPr>
              <w:pageBreakBefore w:val="0"/>
              <w:wordWrap/>
              <w:bidi w:val="0"/>
              <w:adjustRightInd/>
              <w:snapToGrid/>
              <w:spacing w:line="240" w:lineRule="auto"/>
              <w:ind w:firstLine="0" w:firstLineChars="0"/>
              <w:jc w:val="center"/>
              <w:rPr>
                <w:color w:val="auto"/>
                <w:sz w:val="21"/>
                <w:szCs w:val="21"/>
              </w:rPr>
            </w:pPr>
            <w:r>
              <w:rPr>
                <w:color w:val="auto"/>
                <w:sz w:val="21"/>
                <w:szCs w:val="21"/>
              </w:rPr>
              <w:t>90</w:t>
            </w:r>
          </w:p>
        </w:tc>
      </w:tr>
      <w:tr w14:paraId="45ECAD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35330B57">
            <w:pPr>
              <w:pageBreakBefore w:val="0"/>
              <w:wordWrap/>
              <w:bidi w:val="0"/>
              <w:adjustRightInd/>
              <w:snapToGrid/>
              <w:spacing w:line="240" w:lineRule="auto"/>
              <w:ind w:firstLine="0" w:firstLineChars="0"/>
              <w:jc w:val="center"/>
              <w:rPr>
                <w:color w:val="auto"/>
                <w:sz w:val="21"/>
                <w:szCs w:val="21"/>
              </w:rPr>
            </w:pPr>
            <w:r>
              <w:rPr>
                <w:color w:val="auto"/>
                <w:sz w:val="21"/>
                <w:szCs w:val="21"/>
              </w:rPr>
              <w:t>3</w:t>
            </w:r>
          </w:p>
        </w:tc>
        <w:tc>
          <w:tcPr>
            <w:tcW w:w="1259" w:type="pct"/>
            <w:tcBorders>
              <w:tl2br w:val="nil"/>
              <w:tr2bl w:val="nil"/>
            </w:tcBorders>
            <w:noWrap w:val="0"/>
            <w:vAlign w:val="center"/>
          </w:tcPr>
          <w:p w14:paraId="71759DA5">
            <w:pPr>
              <w:pageBreakBefore w:val="0"/>
              <w:wordWrap/>
              <w:bidi w:val="0"/>
              <w:adjustRightInd/>
              <w:snapToGrid/>
              <w:spacing w:line="240" w:lineRule="auto"/>
              <w:ind w:firstLine="0" w:firstLineChars="0"/>
              <w:jc w:val="center"/>
              <w:rPr>
                <w:color w:val="auto"/>
                <w:sz w:val="21"/>
                <w:szCs w:val="21"/>
              </w:rPr>
            </w:pPr>
            <w:r>
              <w:rPr>
                <w:color w:val="auto"/>
                <w:sz w:val="21"/>
                <w:szCs w:val="21"/>
              </w:rPr>
              <w:t>装载机</w:t>
            </w:r>
          </w:p>
        </w:tc>
        <w:tc>
          <w:tcPr>
            <w:tcW w:w="1259" w:type="pct"/>
            <w:tcBorders>
              <w:tl2br w:val="nil"/>
              <w:tr2bl w:val="nil"/>
            </w:tcBorders>
            <w:noWrap w:val="0"/>
            <w:vAlign w:val="center"/>
          </w:tcPr>
          <w:p w14:paraId="10CAF8D9">
            <w:pPr>
              <w:pageBreakBefore w:val="0"/>
              <w:wordWrap/>
              <w:bidi w:val="0"/>
              <w:adjustRightInd/>
              <w:snapToGrid/>
              <w:spacing w:line="240" w:lineRule="auto"/>
              <w:ind w:firstLine="0" w:firstLineChars="0"/>
              <w:jc w:val="center"/>
              <w:rPr>
                <w:color w:val="auto"/>
                <w:sz w:val="21"/>
                <w:szCs w:val="21"/>
              </w:rPr>
            </w:pPr>
            <w:r>
              <w:rPr>
                <w:color w:val="auto"/>
                <w:sz w:val="21"/>
                <w:szCs w:val="21"/>
              </w:rPr>
              <w:t>不稳态源</w:t>
            </w:r>
          </w:p>
        </w:tc>
        <w:tc>
          <w:tcPr>
            <w:tcW w:w="1938" w:type="pct"/>
            <w:tcBorders>
              <w:tl2br w:val="nil"/>
              <w:tr2bl w:val="nil"/>
            </w:tcBorders>
            <w:noWrap w:val="0"/>
            <w:vAlign w:val="center"/>
          </w:tcPr>
          <w:p w14:paraId="56406F38">
            <w:pPr>
              <w:pageBreakBefore w:val="0"/>
              <w:wordWrap/>
              <w:bidi w:val="0"/>
              <w:adjustRightInd/>
              <w:snapToGrid/>
              <w:spacing w:line="240" w:lineRule="auto"/>
              <w:ind w:firstLine="0" w:firstLineChars="0"/>
              <w:jc w:val="center"/>
              <w:rPr>
                <w:color w:val="auto"/>
                <w:sz w:val="21"/>
                <w:szCs w:val="21"/>
              </w:rPr>
            </w:pPr>
            <w:r>
              <w:rPr>
                <w:color w:val="auto"/>
                <w:sz w:val="21"/>
                <w:szCs w:val="21"/>
              </w:rPr>
              <w:t>90</w:t>
            </w:r>
          </w:p>
        </w:tc>
      </w:tr>
      <w:tr w14:paraId="6CDE98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3E646BDC">
            <w:pPr>
              <w:pageBreakBefore w:val="0"/>
              <w:wordWrap/>
              <w:bidi w:val="0"/>
              <w:adjustRightInd/>
              <w:snapToGrid/>
              <w:spacing w:line="240" w:lineRule="auto"/>
              <w:ind w:firstLine="0" w:firstLineChars="0"/>
              <w:jc w:val="center"/>
              <w:rPr>
                <w:color w:val="auto"/>
                <w:sz w:val="21"/>
                <w:szCs w:val="21"/>
              </w:rPr>
            </w:pPr>
            <w:r>
              <w:rPr>
                <w:color w:val="auto"/>
                <w:sz w:val="21"/>
                <w:szCs w:val="21"/>
              </w:rPr>
              <w:t>4</w:t>
            </w:r>
          </w:p>
        </w:tc>
        <w:tc>
          <w:tcPr>
            <w:tcW w:w="1259" w:type="pct"/>
            <w:tcBorders>
              <w:tl2br w:val="nil"/>
              <w:tr2bl w:val="nil"/>
            </w:tcBorders>
            <w:noWrap w:val="0"/>
            <w:vAlign w:val="center"/>
          </w:tcPr>
          <w:p w14:paraId="3E06F780">
            <w:pPr>
              <w:pageBreakBefore w:val="0"/>
              <w:wordWrap/>
              <w:bidi w:val="0"/>
              <w:adjustRightInd/>
              <w:snapToGrid/>
              <w:spacing w:line="240" w:lineRule="auto"/>
              <w:ind w:firstLine="0" w:firstLineChars="0"/>
              <w:jc w:val="center"/>
              <w:rPr>
                <w:color w:val="auto"/>
                <w:sz w:val="21"/>
                <w:szCs w:val="21"/>
              </w:rPr>
            </w:pPr>
            <w:r>
              <w:rPr>
                <w:color w:val="auto"/>
                <w:sz w:val="21"/>
                <w:szCs w:val="21"/>
              </w:rPr>
              <w:t>压路机</w:t>
            </w:r>
          </w:p>
        </w:tc>
        <w:tc>
          <w:tcPr>
            <w:tcW w:w="1259" w:type="pct"/>
            <w:tcBorders>
              <w:tl2br w:val="nil"/>
              <w:tr2bl w:val="nil"/>
            </w:tcBorders>
            <w:noWrap w:val="0"/>
            <w:vAlign w:val="center"/>
          </w:tcPr>
          <w:p w14:paraId="627CF670">
            <w:pPr>
              <w:pageBreakBefore w:val="0"/>
              <w:wordWrap/>
              <w:bidi w:val="0"/>
              <w:adjustRightInd/>
              <w:snapToGrid/>
              <w:spacing w:line="240" w:lineRule="auto"/>
              <w:ind w:firstLine="0" w:firstLineChars="0"/>
              <w:jc w:val="center"/>
              <w:rPr>
                <w:color w:val="auto"/>
                <w:sz w:val="21"/>
                <w:szCs w:val="21"/>
              </w:rPr>
            </w:pPr>
            <w:r>
              <w:rPr>
                <w:color w:val="auto"/>
                <w:sz w:val="21"/>
                <w:szCs w:val="21"/>
              </w:rPr>
              <w:t>流动不稳态源</w:t>
            </w:r>
          </w:p>
        </w:tc>
        <w:tc>
          <w:tcPr>
            <w:tcW w:w="1938" w:type="pct"/>
            <w:tcBorders>
              <w:tl2br w:val="nil"/>
              <w:tr2bl w:val="nil"/>
            </w:tcBorders>
            <w:noWrap w:val="0"/>
            <w:vAlign w:val="center"/>
          </w:tcPr>
          <w:p w14:paraId="76CF52EA">
            <w:pPr>
              <w:pageBreakBefore w:val="0"/>
              <w:wordWrap/>
              <w:bidi w:val="0"/>
              <w:adjustRightInd/>
              <w:snapToGrid/>
              <w:spacing w:line="240" w:lineRule="auto"/>
              <w:ind w:firstLine="0" w:firstLineChars="0"/>
              <w:jc w:val="center"/>
              <w:rPr>
                <w:color w:val="auto"/>
                <w:sz w:val="21"/>
                <w:szCs w:val="21"/>
              </w:rPr>
            </w:pPr>
            <w:r>
              <w:rPr>
                <w:color w:val="auto"/>
                <w:sz w:val="21"/>
                <w:szCs w:val="21"/>
              </w:rPr>
              <w:t>85</w:t>
            </w:r>
          </w:p>
        </w:tc>
      </w:tr>
      <w:tr w14:paraId="34E5FB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5996E424">
            <w:pPr>
              <w:pageBreakBefore w:val="0"/>
              <w:wordWrap/>
              <w:bidi w:val="0"/>
              <w:adjustRightInd/>
              <w:snapToGrid/>
              <w:spacing w:line="240" w:lineRule="auto"/>
              <w:ind w:firstLine="0" w:firstLineChars="0"/>
              <w:jc w:val="center"/>
              <w:rPr>
                <w:color w:val="auto"/>
                <w:sz w:val="21"/>
                <w:szCs w:val="21"/>
              </w:rPr>
            </w:pPr>
            <w:r>
              <w:rPr>
                <w:color w:val="auto"/>
                <w:sz w:val="21"/>
                <w:szCs w:val="21"/>
              </w:rPr>
              <w:t>5</w:t>
            </w:r>
          </w:p>
        </w:tc>
        <w:tc>
          <w:tcPr>
            <w:tcW w:w="1259" w:type="pct"/>
            <w:tcBorders>
              <w:tl2br w:val="nil"/>
              <w:tr2bl w:val="nil"/>
            </w:tcBorders>
            <w:noWrap w:val="0"/>
            <w:vAlign w:val="center"/>
          </w:tcPr>
          <w:p w14:paraId="32AB2A06">
            <w:pPr>
              <w:pageBreakBefore w:val="0"/>
              <w:wordWrap/>
              <w:bidi w:val="0"/>
              <w:adjustRightInd/>
              <w:snapToGrid/>
              <w:spacing w:line="240" w:lineRule="auto"/>
              <w:ind w:firstLine="0" w:firstLineChars="0"/>
              <w:jc w:val="center"/>
              <w:rPr>
                <w:color w:val="auto"/>
                <w:sz w:val="21"/>
                <w:szCs w:val="21"/>
              </w:rPr>
            </w:pPr>
            <w:r>
              <w:rPr>
                <w:color w:val="auto"/>
                <w:sz w:val="21"/>
                <w:szCs w:val="21"/>
              </w:rPr>
              <w:t>推土机</w:t>
            </w:r>
          </w:p>
        </w:tc>
        <w:tc>
          <w:tcPr>
            <w:tcW w:w="1259" w:type="pct"/>
            <w:tcBorders>
              <w:tl2br w:val="nil"/>
              <w:tr2bl w:val="nil"/>
            </w:tcBorders>
            <w:noWrap w:val="0"/>
            <w:vAlign w:val="center"/>
          </w:tcPr>
          <w:p w14:paraId="4DAC55EA">
            <w:pPr>
              <w:pageBreakBefore w:val="0"/>
              <w:wordWrap/>
              <w:bidi w:val="0"/>
              <w:adjustRightInd/>
              <w:snapToGrid/>
              <w:spacing w:line="240" w:lineRule="auto"/>
              <w:ind w:firstLine="0" w:firstLineChars="0"/>
              <w:jc w:val="center"/>
              <w:rPr>
                <w:color w:val="auto"/>
                <w:sz w:val="21"/>
                <w:szCs w:val="21"/>
              </w:rPr>
            </w:pPr>
            <w:r>
              <w:rPr>
                <w:color w:val="auto"/>
                <w:sz w:val="21"/>
                <w:szCs w:val="21"/>
              </w:rPr>
              <w:t>流动不稳态源</w:t>
            </w:r>
          </w:p>
        </w:tc>
        <w:tc>
          <w:tcPr>
            <w:tcW w:w="1938" w:type="pct"/>
            <w:tcBorders>
              <w:tl2br w:val="nil"/>
              <w:tr2bl w:val="nil"/>
            </w:tcBorders>
            <w:noWrap w:val="0"/>
            <w:vAlign w:val="center"/>
          </w:tcPr>
          <w:p w14:paraId="31C5ED90">
            <w:pPr>
              <w:pageBreakBefore w:val="0"/>
              <w:wordWrap/>
              <w:bidi w:val="0"/>
              <w:adjustRightInd/>
              <w:snapToGrid/>
              <w:spacing w:line="240" w:lineRule="auto"/>
              <w:ind w:firstLine="0" w:firstLineChars="0"/>
              <w:jc w:val="center"/>
              <w:rPr>
                <w:color w:val="auto"/>
                <w:sz w:val="21"/>
                <w:szCs w:val="21"/>
              </w:rPr>
            </w:pPr>
            <w:r>
              <w:rPr>
                <w:color w:val="auto"/>
                <w:sz w:val="21"/>
                <w:szCs w:val="21"/>
              </w:rPr>
              <w:t>82</w:t>
            </w:r>
          </w:p>
        </w:tc>
      </w:tr>
      <w:tr w14:paraId="1F614F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130F74F4">
            <w:pPr>
              <w:pageBreakBefore w:val="0"/>
              <w:wordWrap/>
              <w:bidi w:val="0"/>
              <w:adjustRightInd/>
              <w:snapToGrid/>
              <w:spacing w:line="240" w:lineRule="auto"/>
              <w:ind w:firstLine="0" w:firstLineChars="0"/>
              <w:jc w:val="center"/>
              <w:rPr>
                <w:color w:val="auto"/>
                <w:sz w:val="21"/>
                <w:szCs w:val="21"/>
              </w:rPr>
            </w:pPr>
            <w:r>
              <w:rPr>
                <w:color w:val="auto"/>
                <w:sz w:val="21"/>
                <w:szCs w:val="21"/>
              </w:rPr>
              <w:t>6</w:t>
            </w:r>
          </w:p>
        </w:tc>
        <w:tc>
          <w:tcPr>
            <w:tcW w:w="1259" w:type="pct"/>
            <w:tcBorders>
              <w:tl2br w:val="nil"/>
              <w:tr2bl w:val="nil"/>
            </w:tcBorders>
            <w:noWrap w:val="0"/>
            <w:vAlign w:val="center"/>
          </w:tcPr>
          <w:p w14:paraId="745723F4">
            <w:pPr>
              <w:pageBreakBefore w:val="0"/>
              <w:wordWrap/>
              <w:bidi w:val="0"/>
              <w:adjustRightInd/>
              <w:snapToGrid/>
              <w:spacing w:line="240" w:lineRule="auto"/>
              <w:ind w:firstLine="0" w:firstLineChars="0"/>
              <w:jc w:val="center"/>
              <w:rPr>
                <w:color w:val="auto"/>
                <w:sz w:val="21"/>
                <w:szCs w:val="21"/>
              </w:rPr>
            </w:pPr>
            <w:r>
              <w:rPr>
                <w:color w:val="auto"/>
                <w:sz w:val="21"/>
                <w:szCs w:val="21"/>
              </w:rPr>
              <w:t>挖掘机</w:t>
            </w:r>
          </w:p>
        </w:tc>
        <w:tc>
          <w:tcPr>
            <w:tcW w:w="1259" w:type="pct"/>
            <w:tcBorders>
              <w:tl2br w:val="nil"/>
              <w:tr2bl w:val="nil"/>
            </w:tcBorders>
            <w:noWrap w:val="0"/>
            <w:vAlign w:val="center"/>
          </w:tcPr>
          <w:p w14:paraId="28F03A51">
            <w:pPr>
              <w:pageBreakBefore w:val="0"/>
              <w:wordWrap/>
              <w:bidi w:val="0"/>
              <w:adjustRightInd/>
              <w:snapToGrid/>
              <w:spacing w:line="240" w:lineRule="auto"/>
              <w:ind w:firstLine="0" w:firstLineChars="0"/>
              <w:jc w:val="center"/>
              <w:rPr>
                <w:color w:val="auto"/>
                <w:sz w:val="21"/>
                <w:szCs w:val="21"/>
              </w:rPr>
            </w:pPr>
            <w:r>
              <w:rPr>
                <w:color w:val="auto"/>
                <w:sz w:val="21"/>
                <w:szCs w:val="21"/>
              </w:rPr>
              <w:t>不稳态源</w:t>
            </w:r>
          </w:p>
        </w:tc>
        <w:tc>
          <w:tcPr>
            <w:tcW w:w="1938" w:type="pct"/>
            <w:tcBorders>
              <w:tl2br w:val="nil"/>
              <w:tr2bl w:val="nil"/>
            </w:tcBorders>
            <w:noWrap w:val="0"/>
            <w:vAlign w:val="center"/>
          </w:tcPr>
          <w:p w14:paraId="7ABC6E1E">
            <w:pPr>
              <w:pageBreakBefore w:val="0"/>
              <w:wordWrap/>
              <w:bidi w:val="0"/>
              <w:adjustRightInd/>
              <w:snapToGrid/>
              <w:spacing w:line="240" w:lineRule="auto"/>
              <w:ind w:firstLine="0" w:firstLineChars="0"/>
              <w:jc w:val="center"/>
              <w:rPr>
                <w:color w:val="auto"/>
                <w:sz w:val="21"/>
                <w:szCs w:val="21"/>
              </w:rPr>
            </w:pPr>
            <w:r>
              <w:rPr>
                <w:color w:val="auto"/>
                <w:sz w:val="21"/>
                <w:szCs w:val="21"/>
              </w:rPr>
              <w:t>84</w:t>
            </w:r>
          </w:p>
        </w:tc>
      </w:tr>
      <w:tr w14:paraId="22F636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5A4CB557">
            <w:pPr>
              <w:pageBreakBefore w:val="0"/>
              <w:wordWrap/>
              <w:bidi w:val="0"/>
              <w:adjustRightInd/>
              <w:snapToGrid/>
              <w:spacing w:line="240" w:lineRule="auto"/>
              <w:ind w:firstLine="0" w:firstLineChars="0"/>
              <w:jc w:val="center"/>
              <w:rPr>
                <w:color w:val="auto"/>
                <w:sz w:val="21"/>
                <w:szCs w:val="21"/>
              </w:rPr>
            </w:pPr>
            <w:r>
              <w:rPr>
                <w:color w:val="auto"/>
                <w:sz w:val="21"/>
                <w:szCs w:val="21"/>
              </w:rPr>
              <w:t>7</w:t>
            </w:r>
          </w:p>
        </w:tc>
        <w:tc>
          <w:tcPr>
            <w:tcW w:w="1259" w:type="pct"/>
            <w:tcBorders>
              <w:tl2br w:val="nil"/>
              <w:tr2bl w:val="nil"/>
            </w:tcBorders>
            <w:noWrap w:val="0"/>
            <w:vAlign w:val="center"/>
          </w:tcPr>
          <w:p w14:paraId="7344FC99">
            <w:pPr>
              <w:pageBreakBefore w:val="0"/>
              <w:wordWrap/>
              <w:bidi w:val="0"/>
              <w:adjustRightInd/>
              <w:snapToGrid/>
              <w:spacing w:line="240" w:lineRule="auto"/>
              <w:ind w:firstLine="0" w:firstLineChars="0"/>
              <w:jc w:val="center"/>
              <w:rPr>
                <w:color w:val="auto"/>
                <w:sz w:val="21"/>
                <w:szCs w:val="21"/>
              </w:rPr>
            </w:pPr>
            <w:r>
              <w:rPr>
                <w:color w:val="auto"/>
                <w:sz w:val="21"/>
                <w:szCs w:val="21"/>
              </w:rPr>
              <w:t>混凝土搅拌机</w:t>
            </w:r>
          </w:p>
        </w:tc>
        <w:tc>
          <w:tcPr>
            <w:tcW w:w="1259" w:type="pct"/>
            <w:tcBorders>
              <w:tl2br w:val="nil"/>
              <w:tr2bl w:val="nil"/>
            </w:tcBorders>
            <w:noWrap w:val="0"/>
            <w:vAlign w:val="center"/>
          </w:tcPr>
          <w:p w14:paraId="6F9C236E">
            <w:pPr>
              <w:pageBreakBefore w:val="0"/>
              <w:wordWrap/>
              <w:bidi w:val="0"/>
              <w:adjustRightInd/>
              <w:snapToGrid/>
              <w:spacing w:line="240" w:lineRule="auto"/>
              <w:ind w:firstLine="0" w:firstLineChars="0"/>
              <w:jc w:val="center"/>
              <w:rPr>
                <w:color w:val="auto"/>
                <w:sz w:val="21"/>
                <w:szCs w:val="21"/>
              </w:rPr>
            </w:pPr>
            <w:r>
              <w:rPr>
                <w:color w:val="auto"/>
                <w:sz w:val="21"/>
                <w:szCs w:val="21"/>
              </w:rPr>
              <w:t>固定稳态源</w:t>
            </w:r>
          </w:p>
        </w:tc>
        <w:tc>
          <w:tcPr>
            <w:tcW w:w="1938" w:type="pct"/>
            <w:tcBorders>
              <w:tl2br w:val="nil"/>
              <w:tr2bl w:val="nil"/>
            </w:tcBorders>
            <w:noWrap w:val="0"/>
            <w:vAlign w:val="center"/>
          </w:tcPr>
          <w:p w14:paraId="40820C95">
            <w:pPr>
              <w:pageBreakBefore w:val="0"/>
              <w:wordWrap/>
              <w:bidi w:val="0"/>
              <w:adjustRightInd/>
              <w:snapToGrid/>
              <w:spacing w:line="240" w:lineRule="auto"/>
              <w:ind w:firstLine="0" w:firstLineChars="0"/>
              <w:jc w:val="center"/>
              <w:rPr>
                <w:color w:val="auto"/>
                <w:sz w:val="21"/>
                <w:szCs w:val="21"/>
              </w:rPr>
            </w:pPr>
            <w:r>
              <w:rPr>
                <w:color w:val="auto"/>
                <w:sz w:val="21"/>
                <w:szCs w:val="21"/>
              </w:rPr>
              <w:t>90</w:t>
            </w:r>
          </w:p>
        </w:tc>
      </w:tr>
      <w:tr w14:paraId="08C5BF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0BF175D7">
            <w:pPr>
              <w:pageBreakBefore w:val="0"/>
              <w:wordWrap/>
              <w:bidi w:val="0"/>
              <w:adjustRightInd/>
              <w:snapToGrid/>
              <w:spacing w:line="240" w:lineRule="auto"/>
              <w:ind w:firstLine="0" w:firstLineChars="0"/>
              <w:jc w:val="center"/>
              <w:rPr>
                <w:color w:val="auto"/>
                <w:sz w:val="21"/>
                <w:szCs w:val="21"/>
              </w:rPr>
            </w:pPr>
            <w:r>
              <w:rPr>
                <w:color w:val="auto"/>
                <w:sz w:val="21"/>
                <w:szCs w:val="21"/>
              </w:rPr>
              <w:t>8</w:t>
            </w:r>
          </w:p>
        </w:tc>
        <w:tc>
          <w:tcPr>
            <w:tcW w:w="1259" w:type="pct"/>
            <w:tcBorders>
              <w:tl2br w:val="nil"/>
              <w:tr2bl w:val="nil"/>
            </w:tcBorders>
            <w:noWrap w:val="0"/>
            <w:vAlign w:val="center"/>
          </w:tcPr>
          <w:p w14:paraId="23C6BF27">
            <w:pPr>
              <w:pageBreakBefore w:val="0"/>
              <w:wordWrap/>
              <w:bidi w:val="0"/>
              <w:adjustRightInd/>
              <w:snapToGrid/>
              <w:spacing w:line="240" w:lineRule="auto"/>
              <w:ind w:firstLine="0" w:firstLineChars="0"/>
              <w:jc w:val="center"/>
              <w:rPr>
                <w:color w:val="auto"/>
                <w:sz w:val="21"/>
                <w:szCs w:val="21"/>
              </w:rPr>
            </w:pPr>
            <w:r>
              <w:rPr>
                <w:color w:val="auto"/>
                <w:sz w:val="21"/>
                <w:szCs w:val="21"/>
              </w:rPr>
              <w:t>混凝土泵</w:t>
            </w:r>
          </w:p>
        </w:tc>
        <w:tc>
          <w:tcPr>
            <w:tcW w:w="1259" w:type="pct"/>
            <w:tcBorders>
              <w:tl2br w:val="nil"/>
              <w:tr2bl w:val="nil"/>
            </w:tcBorders>
            <w:noWrap w:val="0"/>
            <w:vAlign w:val="center"/>
          </w:tcPr>
          <w:p w14:paraId="704F5643">
            <w:pPr>
              <w:pageBreakBefore w:val="0"/>
              <w:wordWrap/>
              <w:bidi w:val="0"/>
              <w:adjustRightInd/>
              <w:snapToGrid/>
              <w:spacing w:line="240" w:lineRule="auto"/>
              <w:ind w:firstLine="0" w:firstLineChars="0"/>
              <w:jc w:val="center"/>
              <w:rPr>
                <w:color w:val="auto"/>
                <w:sz w:val="21"/>
                <w:szCs w:val="21"/>
              </w:rPr>
            </w:pPr>
            <w:r>
              <w:rPr>
                <w:color w:val="auto"/>
                <w:sz w:val="21"/>
                <w:szCs w:val="21"/>
              </w:rPr>
              <w:t>固定稳态源</w:t>
            </w:r>
          </w:p>
        </w:tc>
        <w:tc>
          <w:tcPr>
            <w:tcW w:w="1938" w:type="pct"/>
            <w:tcBorders>
              <w:tl2br w:val="nil"/>
              <w:tr2bl w:val="nil"/>
            </w:tcBorders>
            <w:noWrap w:val="0"/>
            <w:vAlign w:val="center"/>
          </w:tcPr>
          <w:p w14:paraId="20FB200B">
            <w:pPr>
              <w:pageBreakBefore w:val="0"/>
              <w:wordWrap/>
              <w:bidi w:val="0"/>
              <w:adjustRightInd/>
              <w:snapToGrid/>
              <w:spacing w:line="240" w:lineRule="auto"/>
              <w:ind w:firstLine="0" w:firstLineChars="0"/>
              <w:jc w:val="center"/>
              <w:rPr>
                <w:color w:val="auto"/>
                <w:sz w:val="21"/>
                <w:szCs w:val="21"/>
              </w:rPr>
            </w:pPr>
            <w:r>
              <w:rPr>
                <w:color w:val="auto"/>
                <w:sz w:val="21"/>
                <w:szCs w:val="21"/>
              </w:rPr>
              <w:t>85</w:t>
            </w:r>
          </w:p>
        </w:tc>
      </w:tr>
      <w:tr w14:paraId="2AC613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76AE9761">
            <w:pPr>
              <w:pageBreakBefore w:val="0"/>
              <w:wordWrap/>
              <w:bidi w:val="0"/>
              <w:adjustRightInd/>
              <w:snapToGrid/>
              <w:spacing w:line="240" w:lineRule="auto"/>
              <w:ind w:firstLine="0" w:firstLineChars="0"/>
              <w:jc w:val="center"/>
              <w:rPr>
                <w:color w:val="auto"/>
                <w:sz w:val="21"/>
                <w:szCs w:val="21"/>
              </w:rPr>
            </w:pPr>
            <w:r>
              <w:rPr>
                <w:color w:val="auto"/>
                <w:sz w:val="21"/>
                <w:szCs w:val="21"/>
              </w:rPr>
              <w:t>9</w:t>
            </w:r>
          </w:p>
        </w:tc>
        <w:tc>
          <w:tcPr>
            <w:tcW w:w="1259" w:type="pct"/>
            <w:tcBorders>
              <w:tl2br w:val="nil"/>
              <w:tr2bl w:val="nil"/>
            </w:tcBorders>
            <w:noWrap w:val="0"/>
            <w:vAlign w:val="center"/>
          </w:tcPr>
          <w:p w14:paraId="187387C6">
            <w:pPr>
              <w:pageBreakBefore w:val="0"/>
              <w:wordWrap/>
              <w:bidi w:val="0"/>
              <w:adjustRightInd/>
              <w:snapToGrid/>
              <w:spacing w:line="240" w:lineRule="auto"/>
              <w:ind w:firstLine="0" w:firstLineChars="0"/>
              <w:jc w:val="center"/>
              <w:rPr>
                <w:color w:val="auto"/>
                <w:sz w:val="21"/>
                <w:szCs w:val="21"/>
              </w:rPr>
            </w:pPr>
            <w:r>
              <w:rPr>
                <w:color w:val="auto"/>
                <w:sz w:val="21"/>
                <w:szCs w:val="21"/>
              </w:rPr>
              <w:t>移动式吊车</w:t>
            </w:r>
          </w:p>
        </w:tc>
        <w:tc>
          <w:tcPr>
            <w:tcW w:w="1259" w:type="pct"/>
            <w:tcBorders>
              <w:tl2br w:val="nil"/>
              <w:tr2bl w:val="nil"/>
            </w:tcBorders>
            <w:noWrap w:val="0"/>
            <w:vAlign w:val="center"/>
          </w:tcPr>
          <w:p w14:paraId="1E13941D">
            <w:pPr>
              <w:pageBreakBefore w:val="0"/>
              <w:wordWrap/>
              <w:bidi w:val="0"/>
              <w:adjustRightInd/>
              <w:snapToGrid/>
              <w:spacing w:line="240" w:lineRule="auto"/>
              <w:ind w:firstLine="0" w:firstLineChars="0"/>
              <w:jc w:val="center"/>
              <w:rPr>
                <w:color w:val="auto"/>
                <w:sz w:val="21"/>
                <w:szCs w:val="21"/>
              </w:rPr>
            </w:pPr>
            <w:r>
              <w:rPr>
                <w:color w:val="auto"/>
                <w:sz w:val="21"/>
                <w:szCs w:val="21"/>
              </w:rPr>
              <w:t>流动不稳态源</w:t>
            </w:r>
          </w:p>
        </w:tc>
        <w:tc>
          <w:tcPr>
            <w:tcW w:w="1938" w:type="pct"/>
            <w:tcBorders>
              <w:tl2br w:val="nil"/>
              <w:tr2bl w:val="nil"/>
            </w:tcBorders>
            <w:noWrap w:val="0"/>
            <w:vAlign w:val="center"/>
          </w:tcPr>
          <w:p w14:paraId="4CCE07F6">
            <w:pPr>
              <w:pageBreakBefore w:val="0"/>
              <w:wordWrap/>
              <w:bidi w:val="0"/>
              <w:adjustRightInd/>
              <w:snapToGrid/>
              <w:spacing w:line="240" w:lineRule="auto"/>
              <w:ind w:firstLine="0" w:firstLineChars="0"/>
              <w:jc w:val="center"/>
              <w:rPr>
                <w:color w:val="auto"/>
                <w:sz w:val="21"/>
                <w:szCs w:val="21"/>
              </w:rPr>
            </w:pPr>
            <w:r>
              <w:rPr>
                <w:color w:val="auto"/>
                <w:sz w:val="21"/>
                <w:szCs w:val="21"/>
              </w:rPr>
              <w:t>92</w:t>
            </w:r>
          </w:p>
        </w:tc>
      </w:tr>
      <w:tr w14:paraId="4384D5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2" w:type="pct"/>
            <w:tcBorders>
              <w:tl2br w:val="nil"/>
              <w:tr2bl w:val="nil"/>
            </w:tcBorders>
            <w:noWrap w:val="0"/>
            <w:vAlign w:val="center"/>
          </w:tcPr>
          <w:p w14:paraId="7E3AA570">
            <w:pPr>
              <w:pageBreakBefore w:val="0"/>
              <w:wordWrap/>
              <w:bidi w:val="0"/>
              <w:adjustRightInd/>
              <w:snapToGrid/>
              <w:spacing w:line="240" w:lineRule="auto"/>
              <w:ind w:firstLine="0" w:firstLineChars="0"/>
              <w:jc w:val="center"/>
              <w:rPr>
                <w:color w:val="auto"/>
                <w:sz w:val="21"/>
                <w:szCs w:val="21"/>
              </w:rPr>
            </w:pPr>
            <w:r>
              <w:rPr>
                <w:color w:val="auto"/>
                <w:sz w:val="21"/>
                <w:szCs w:val="21"/>
              </w:rPr>
              <w:t>10</w:t>
            </w:r>
          </w:p>
        </w:tc>
        <w:tc>
          <w:tcPr>
            <w:tcW w:w="1259" w:type="pct"/>
            <w:tcBorders>
              <w:tl2br w:val="nil"/>
              <w:tr2bl w:val="nil"/>
            </w:tcBorders>
            <w:noWrap w:val="0"/>
            <w:vAlign w:val="center"/>
          </w:tcPr>
          <w:p w14:paraId="31EEDF6C">
            <w:pPr>
              <w:pageBreakBefore w:val="0"/>
              <w:wordWrap/>
              <w:bidi w:val="0"/>
              <w:adjustRightInd/>
              <w:snapToGrid/>
              <w:spacing w:line="240" w:lineRule="auto"/>
              <w:ind w:firstLine="0" w:firstLineChars="0"/>
              <w:jc w:val="center"/>
              <w:rPr>
                <w:color w:val="auto"/>
                <w:sz w:val="21"/>
                <w:szCs w:val="21"/>
              </w:rPr>
            </w:pPr>
            <w:r>
              <w:rPr>
                <w:color w:val="auto"/>
                <w:sz w:val="21"/>
                <w:szCs w:val="21"/>
              </w:rPr>
              <w:t>运输车辆</w:t>
            </w:r>
          </w:p>
        </w:tc>
        <w:tc>
          <w:tcPr>
            <w:tcW w:w="1259" w:type="pct"/>
            <w:tcBorders>
              <w:tl2br w:val="nil"/>
              <w:tr2bl w:val="nil"/>
            </w:tcBorders>
            <w:noWrap w:val="0"/>
            <w:vAlign w:val="center"/>
          </w:tcPr>
          <w:p w14:paraId="7AEFD8B2">
            <w:pPr>
              <w:pageBreakBefore w:val="0"/>
              <w:wordWrap/>
              <w:bidi w:val="0"/>
              <w:adjustRightInd/>
              <w:snapToGrid/>
              <w:spacing w:line="240" w:lineRule="auto"/>
              <w:ind w:firstLine="0" w:firstLineChars="0"/>
              <w:jc w:val="center"/>
              <w:rPr>
                <w:color w:val="auto"/>
                <w:sz w:val="21"/>
                <w:szCs w:val="21"/>
              </w:rPr>
            </w:pPr>
            <w:r>
              <w:rPr>
                <w:color w:val="auto"/>
                <w:sz w:val="21"/>
                <w:szCs w:val="21"/>
              </w:rPr>
              <w:t>流动不稳态源</w:t>
            </w:r>
          </w:p>
        </w:tc>
        <w:tc>
          <w:tcPr>
            <w:tcW w:w="1938" w:type="pct"/>
            <w:tcBorders>
              <w:tl2br w:val="nil"/>
              <w:tr2bl w:val="nil"/>
            </w:tcBorders>
            <w:noWrap w:val="0"/>
            <w:vAlign w:val="center"/>
          </w:tcPr>
          <w:p w14:paraId="4A780A4E">
            <w:pPr>
              <w:pageBreakBefore w:val="0"/>
              <w:wordWrap/>
              <w:bidi w:val="0"/>
              <w:adjustRightInd/>
              <w:snapToGrid/>
              <w:spacing w:line="240" w:lineRule="auto"/>
              <w:ind w:firstLine="0" w:firstLineChars="0"/>
              <w:jc w:val="center"/>
              <w:rPr>
                <w:color w:val="auto"/>
                <w:sz w:val="21"/>
                <w:szCs w:val="21"/>
              </w:rPr>
            </w:pPr>
            <w:r>
              <w:rPr>
                <w:color w:val="auto"/>
                <w:sz w:val="21"/>
                <w:szCs w:val="21"/>
              </w:rPr>
              <w:t>88</w:t>
            </w:r>
          </w:p>
        </w:tc>
      </w:tr>
    </w:tbl>
    <w:p w14:paraId="57AC347B">
      <w:pPr>
        <w:pageBreakBefore w:val="0"/>
        <w:wordWrap/>
        <w:bidi w:val="0"/>
        <w:adjustRightInd/>
        <w:snapToGrid/>
        <w:ind w:firstLine="480"/>
        <w:rPr>
          <w:color w:val="auto"/>
        </w:rPr>
      </w:pPr>
      <w:r>
        <w:rPr>
          <w:color w:val="auto"/>
        </w:rPr>
        <w:t>工程机械噪声主要属于中低频噪声，因此采取距离衰减预测公</w:t>
      </w:r>
      <w:r>
        <w:rPr>
          <w:rFonts w:hint="eastAsia"/>
          <w:color w:val="auto"/>
          <w:lang w:eastAsia="zh-CN"/>
        </w:rPr>
        <w:t>式</w:t>
      </w:r>
      <w:r>
        <w:rPr>
          <w:color w:val="auto"/>
        </w:rPr>
        <w:t>如下：</w:t>
      </w:r>
    </w:p>
    <w:p w14:paraId="2AB676E5">
      <w:pPr>
        <w:pageBreakBefore w:val="0"/>
        <w:wordWrap/>
        <w:bidi w:val="0"/>
        <w:adjustRightInd/>
        <w:snapToGrid/>
        <w:ind w:firstLine="480"/>
        <w:jc w:val="center"/>
        <w:rPr>
          <w:color w:val="auto"/>
        </w:rPr>
      </w:pPr>
      <w:r>
        <w:rPr>
          <w:color w:val="auto"/>
        </w:rPr>
        <w:t>L</w:t>
      </w:r>
      <w:r>
        <w:rPr>
          <w:color w:val="auto"/>
          <w:vertAlign w:val="subscript"/>
        </w:rPr>
        <w:t>m</w:t>
      </w:r>
      <w:r>
        <w:rPr>
          <w:color w:val="auto"/>
        </w:rPr>
        <w:t>=L</w:t>
      </w:r>
      <w:r>
        <w:rPr>
          <w:color w:val="auto"/>
          <w:vertAlign w:val="subscript"/>
        </w:rPr>
        <w:t>0</w:t>
      </w:r>
      <w:r>
        <w:rPr>
          <w:color w:val="auto"/>
        </w:rPr>
        <w:t>-20logr/r</w:t>
      </w:r>
      <w:r>
        <w:rPr>
          <w:color w:val="auto"/>
          <w:vertAlign w:val="subscript"/>
        </w:rPr>
        <w:t>0</w:t>
      </w:r>
    </w:p>
    <w:p w14:paraId="4424D959">
      <w:pPr>
        <w:pageBreakBefore w:val="0"/>
        <w:wordWrap/>
        <w:bidi w:val="0"/>
        <w:adjustRightInd/>
        <w:snapToGrid/>
        <w:ind w:firstLine="480"/>
        <w:rPr>
          <w:color w:val="auto"/>
        </w:rPr>
      </w:pPr>
      <w:r>
        <w:rPr>
          <w:color w:val="auto"/>
        </w:rPr>
        <w:t>式中：Lm——距离声源为r米处预测受声点噪声预测值[dB（A）]；</w:t>
      </w:r>
    </w:p>
    <w:p w14:paraId="5D582E2E">
      <w:pPr>
        <w:bidi w:val="0"/>
        <w:ind w:firstLine="960" w:firstLineChars="400"/>
        <w:rPr>
          <w:color w:val="auto"/>
        </w:rPr>
      </w:pPr>
      <w:r>
        <w:rPr>
          <w:color w:val="auto"/>
        </w:rPr>
        <w:t>L</w:t>
      </w:r>
      <w:r>
        <w:rPr>
          <w:color w:val="auto"/>
          <w:vertAlign w:val="subscript"/>
        </w:rPr>
        <w:t>0</w:t>
      </w:r>
      <w:r>
        <w:rPr>
          <w:color w:val="auto"/>
        </w:rPr>
        <w:t>——距离声源为r</w:t>
      </w:r>
      <w:r>
        <w:rPr>
          <w:color w:val="auto"/>
          <w:vertAlign w:val="subscript"/>
        </w:rPr>
        <w:t>0</w:t>
      </w:r>
      <w:r>
        <w:rPr>
          <w:color w:val="auto"/>
        </w:rPr>
        <w:t>米处室外声源的总声级值[dB（A）]；</w:t>
      </w:r>
    </w:p>
    <w:p w14:paraId="16678592">
      <w:pPr>
        <w:bidi w:val="0"/>
        <w:ind w:firstLine="960" w:firstLineChars="400"/>
        <w:rPr>
          <w:color w:val="auto"/>
        </w:rPr>
      </w:pPr>
      <w:r>
        <w:rPr>
          <w:color w:val="auto"/>
        </w:rPr>
        <w:t>r——预测受声点距声源的预测距离（米）。</w:t>
      </w:r>
    </w:p>
    <w:p w14:paraId="09E8F3E8">
      <w:pPr>
        <w:bidi w:val="0"/>
        <w:rPr>
          <w:color w:val="auto"/>
        </w:rPr>
      </w:pPr>
      <w:r>
        <w:rPr>
          <w:color w:val="auto"/>
        </w:rPr>
        <w:t>根据类比分析，施工工地场界围墙引起的衰减一般为10</w:t>
      </w:r>
      <w:r>
        <w:rPr>
          <w:rFonts w:hint="eastAsia"/>
          <w:color w:val="auto"/>
          <w:lang w:eastAsia="zh-CN"/>
        </w:rPr>
        <w:t>~</w:t>
      </w:r>
      <w:r>
        <w:rPr>
          <w:color w:val="auto"/>
        </w:rPr>
        <w:t>30dB（A），考虑到对环境最不利，在此取10dB（A）。</w:t>
      </w:r>
    </w:p>
    <w:p w14:paraId="150E15CC">
      <w:pPr>
        <w:pageBreakBefore w:val="0"/>
        <w:wordWrap/>
        <w:bidi w:val="0"/>
        <w:adjustRightInd/>
        <w:snapToGrid/>
        <w:ind w:firstLine="480"/>
        <w:rPr>
          <w:color w:val="auto"/>
        </w:rPr>
      </w:pPr>
      <w:r>
        <w:rPr>
          <w:color w:val="auto"/>
        </w:rPr>
        <w:t>本次环评考虑到高噪声设备同时作业时间很少，因此采用单点源距离衰减预测模式，计算得出本项目施工作业对周边环境的声学影响情况，具体见</w:t>
      </w:r>
      <w:r>
        <w:rPr>
          <w:rFonts w:hint="eastAsia"/>
          <w:color w:val="auto"/>
          <w:lang w:val="en-US" w:eastAsia="zh-CN"/>
        </w:rPr>
        <w:t>下表</w:t>
      </w:r>
      <w:r>
        <w:rPr>
          <w:color w:val="auto"/>
        </w:rPr>
        <w:t>。</w:t>
      </w:r>
    </w:p>
    <w:p w14:paraId="6EEE3890">
      <w:pPr>
        <w:pStyle w:val="19"/>
        <w:pageBreakBefore w:val="0"/>
        <w:numPr>
          <w:ilvl w:val="0"/>
          <w:numId w:val="29"/>
        </w:numPr>
        <w:tabs>
          <w:tab w:val="clear" w:pos="0"/>
        </w:tabs>
        <w:wordWrap/>
        <w:bidi w:val="0"/>
        <w:adjustRightInd/>
        <w:snapToGrid/>
        <w:ind w:left="420" w:leftChars="0" w:hanging="420" w:firstLineChars="0"/>
        <w:rPr>
          <w:rFonts w:hint="eastAsia" w:eastAsia="宋体"/>
          <w:color w:val="auto"/>
          <w:lang w:eastAsia="zh-CN"/>
        </w:rPr>
      </w:pPr>
      <w:r>
        <w:rPr>
          <w:color w:val="auto"/>
        </w:rPr>
        <w:t>施工期噪声预测结果表   单位：dB</w:t>
      </w:r>
      <w:r>
        <w:rPr>
          <w:rFonts w:hint="eastAsia"/>
          <w:color w:val="auto"/>
          <w:lang w:eastAsia="zh-CN"/>
        </w:rPr>
        <w:t>（</w:t>
      </w:r>
      <w:r>
        <w:rPr>
          <w:color w:val="auto"/>
        </w:rPr>
        <w:t>A</w:t>
      </w:r>
      <w:r>
        <w:rPr>
          <w:rFonts w:hint="eastAsia"/>
          <w:color w:val="auto"/>
          <w:lang w:eastAsia="zh-CN"/>
        </w:rPr>
        <w:t>）</w:t>
      </w:r>
    </w:p>
    <w:tbl>
      <w:tblPr>
        <w:tblStyle w:val="5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84"/>
        <w:gridCol w:w="555"/>
        <w:gridCol w:w="741"/>
        <w:gridCol w:w="741"/>
        <w:gridCol w:w="741"/>
        <w:gridCol w:w="741"/>
        <w:gridCol w:w="741"/>
        <w:gridCol w:w="741"/>
        <w:gridCol w:w="741"/>
        <w:gridCol w:w="741"/>
        <w:gridCol w:w="751"/>
      </w:tblGrid>
      <w:tr w14:paraId="112337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vMerge w:val="restart"/>
            <w:tcBorders>
              <w:tl2br w:val="nil"/>
              <w:tr2bl w:val="nil"/>
            </w:tcBorders>
            <w:noWrap w:val="0"/>
            <w:vAlign w:val="center"/>
          </w:tcPr>
          <w:p w14:paraId="0858D3C8">
            <w:pPr>
              <w:pStyle w:val="16"/>
              <w:bidi w:val="0"/>
              <w:rPr>
                <w:b/>
                <w:bCs/>
                <w:color w:val="auto"/>
              </w:rPr>
            </w:pPr>
            <w:r>
              <w:rPr>
                <w:b/>
                <w:bCs/>
                <w:color w:val="auto"/>
              </w:rPr>
              <w:t>机械名称</w:t>
            </w:r>
          </w:p>
        </w:tc>
        <w:tc>
          <w:tcPr>
            <w:tcW w:w="4148" w:type="pct"/>
            <w:gridSpan w:val="10"/>
            <w:tcBorders>
              <w:tl2br w:val="nil"/>
              <w:tr2bl w:val="nil"/>
            </w:tcBorders>
            <w:noWrap w:val="0"/>
            <w:vAlign w:val="center"/>
          </w:tcPr>
          <w:p w14:paraId="2FF28525">
            <w:pPr>
              <w:pStyle w:val="16"/>
              <w:bidi w:val="0"/>
              <w:rPr>
                <w:rFonts w:hint="eastAsia"/>
                <w:b/>
                <w:bCs/>
                <w:color w:val="auto"/>
                <w:lang w:eastAsia="zh-CN"/>
              </w:rPr>
            </w:pPr>
            <w:r>
              <w:rPr>
                <w:b/>
                <w:bCs/>
                <w:color w:val="auto"/>
              </w:rPr>
              <w:t>噪声预测值dB</w:t>
            </w:r>
            <w:r>
              <w:rPr>
                <w:rFonts w:hint="eastAsia"/>
                <w:b/>
                <w:bCs/>
                <w:color w:val="auto"/>
                <w:lang w:eastAsia="zh-CN"/>
              </w:rPr>
              <w:t>（</w:t>
            </w:r>
            <w:r>
              <w:rPr>
                <w:b/>
                <w:bCs/>
                <w:color w:val="auto"/>
              </w:rPr>
              <w:t>A</w:t>
            </w:r>
            <w:r>
              <w:rPr>
                <w:rFonts w:hint="eastAsia"/>
                <w:b/>
                <w:bCs/>
                <w:color w:val="auto"/>
                <w:lang w:eastAsia="zh-CN"/>
              </w:rPr>
              <w:t>）</w:t>
            </w:r>
          </w:p>
        </w:tc>
      </w:tr>
      <w:tr w14:paraId="549F8A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vMerge w:val="continue"/>
            <w:tcBorders>
              <w:tl2br w:val="nil"/>
              <w:tr2bl w:val="nil"/>
            </w:tcBorders>
            <w:noWrap w:val="0"/>
            <w:vAlign w:val="center"/>
          </w:tcPr>
          <w:p w14:paraId="7D8365E3">
            <w:pPr>
              <w:pStyle w:val="16"/>
              <w:bidi w:val="0"/>
              <w:rPr>
                <w:b/>
                <w:bCs/>
                <w:color w:val="auto"/>
              </w:rPr>
            </w:pPr>
          </w:p>
        </w:tc>
        <w:tc>
          <w:tcPr>
            <w:tcW w:w="318" w:type="pct"/>
            <w:tcBorders>
              <w:tl2br w:val="nil"/>
              <w:tr2bl w:val="nil"/>
            </w:tcBorders>
            <w:noWrap w:val="0"/>
            <w:vAlign w:val="center"/>
          </w:tcPr>
          <w:p w14:paraId="2BC059FF">
            <w:pPr>
              <w:pStyle w:val="16"/>
              <w:bidi w:val="0"/>
              <w:rPr>
                <w:b/>
                <w:bCs/>
                <w:color w:val="auto"/>
              </w:rPr>
            </w:pPr>
            <w:r>
              <w:rPr>
                <w:b/>
                <w:bCs/>
                <w:color w:val="auto"/>
              </w:rPr>
              <w:t>5m</w:t>
            </w:r>
          </w:p>
        </w:tc>
        <w:tc>
          <w:tcPr>
            <w:tcW w:w="425" w:type="pct"/>
            <w:tcBorders>
              <w:tl2br w:val="nil"/>
              <w:tr2bl w:val="nil"/>
            </w:tcBorders>
            <w:noWrap w:val="0"/>
            <w:vAlign w:val="center"/>
          </w:tcPr>
          <w:p w14:paraId="7F5CAB27">
            <w:pPr>
              <w:pStyle w:val="16"/>
              <w:bidi w:val="0"/>
              <w:rPr>
                <w:b/>
                <w:bCs/>
                <w:color w:val="auto"/>
              </w:rPr>
            </w:pPr>
            <w:r>
              <w:rPr>
                <w:b/>
                <w:bCs/>
                <w:color w:val="auto"/>
              </w:rPr>
              <w:t>10m</w:t>
            </w:r>
          </w:p>
        </w:tc>
        <w:tc>
          <w:tcPr>
            <w:tcW w:w="425" w:type="pct"/>
            <w:tcBorders>
              <w:tl2br w:val="nil"/>
              <w:tr2bl w:val="nil"/>
            </w:tcBorders>
            <w:noWrap w:val="0"/>
            <w:vAlign w:val="center"/>
          </w:tcPr>
          <w:p w14:paraId="18090394">
            <w:pPr>
              <w:pStyle w:val="16"/>
              <w:bidi w:val="0"/>
              <w:rPr>
                <w:b/>
                <w:bCs/>
                <w:color w:val="auto"/>
              </w:rPr>
            </w:pPr>
            <w:r>
              <w:rPr>
                <w:b/>
                <w:bCs/>
                <w:color w:val="auto"/>
              </w:rPr>
              <w:t>20m</w:t>
            </w:r>
          </w:p>
        </w:tc>
        <w:tc>
          <w:tcPr>
            <w:tcW w:w="425" w:type="pct"/>
            <w:tcBorders>
              <w:tl2br w:val="nil"/>
              <w:tr2bl w:val="nil"/>
            </w:tcBorders>
            <w:noWrap w:val="0"/>
            <w:vAlign w:val="center"/>
          </w:tcPr>
          <w:p w14:paraId="4D3D6407">
            <w:pPr>
              <w:pStyle w:val="16"/>
              <w:bidi w:val="0"/>
              <w:rPr>
                <w:b/>
                <w:bCs/>
                <w:color w:val="auto"/>
              </w:rPr>
            </w:pPr>
            <w:r>
              <w:rPr>
                <w:b/>
                <w:bCs/>
                <w:color w:val="auto"/>
              </w:rPr>
              <w:t>30m</w:t>
            </w:r>
          </w:p>
        </w:tc>
        <w:tc>
          <w:tcPr>
            <w:tcW w:w="425" w:type="pct"/>
            <w:tcBorders>
              <w:tl2br w:val="nil"/>
              <w:tr2bl w:val="nil"/>
            </w:tcBorders>
            <w:noWrap w:val="0"/>
            <w:vAlign w:val="center"/>
          </w:tcPr>
          <w:p w14:paraId="4308679B">
            <w:pPr>
              <w:pStyle w:val="16"/>
              <w:bidi w:val="0"/>
              <w:rPr>
                <w:b/>
                <w:bCs/>
                <w:color w:val="auto"/>
              </w:rPr>
            </w:pPr>
            <w:r>
              <w:rPr>
                <w:b/>
                <w:bCs/>
                <w:color w:val="auto"/>
              </w:rPr>
              <w:t>40m</w:t>
            </w:r>
          </w:p>
        </w:tc>
        <w:tc>
          <w:tcPr>
            <w:tcW w:w="425" w:type="pct"/>
            <w:tcBorders>
              <w:tl2br w:val="nil"/>
              <w:tr2bl w:val="nil"/>
            </w:tcBorders>
            <w:noWrap w:val="0"/>
            <w:vAlign w:val="center"/>
          </w:tcPr>
          <w:p w14:paraId="28DE3769">
            <w:pPr>
              <w:pStyle w:val="16"/>
              <w:bidi w:val="0"/>
              <w:rPr>
                <w:b/>
                <w:bCs/>
                <w:color w:val="auto"/>
              </w:rPr>
            </w:pPr>
            <w:r>
              <w:rPr>
                <w:b/>
                <w:bCs/>
                <w:color w:val="auto"/>
              </w:rPr>
              <w:t>50m</w:t>
            </w:r>
          </w:p>
        </w:tc>
        <w:tc>
          <w:tcPr>
            <w:tcW w:w="425" w:type="pct"/>
            <w:tcBorders>
              <w:tl2br w:val="nil"/>
              <w:tr2bl w:val="nil"/>
            </w:tcBorders>
            <w:noWrap w:val="0"/>
            <w:vAlign w:val="center"/>
          </w:tcPr>
          <w:p w14:paraId="57998232">
            <w:pPr>
              <w:pStyle w:val="16"/>
              <w:bidi w:val="0"/>
              <w:rPr>
                <w:b/>
                <w:bCs/>
                <w:color w:val="auto"/>
              </w:rPr>
            </w:pPr>
            <w:r>
              <w:rPr>
                <w:b/>
                <w:bCs/>
                <w:color w:val="auto"/>
              </w:rPr>
              <w:t>100m</w:t>
            </w:r>
          </w:p>
        </w:tc>
        <w:tc>
          <w:tcPr>
            <w:tcW w:w="425" w:type="pct"/>
            <w:tcBorders>
              <w:tl2br w:val="nil"/>
              <w:tr2bl w:val="nil"/>
            </w:tcBorders>
            <w:noWrap w:val="0"/>
            <w:vAlign w:val="center"/>
          </w:tcPr>
          <w:p w14:paraId="6B233ABB">
            <w:pPr>
              <w:pStyle w:val="16"/>
              <w:bidi w:val="0"/>
              <w:rPr>
                <w:b/>
                <w:bCs/>
                <w:color w:val="auto"/>
              </w:rPr>
            </w:pPr>
            <w:r>
              <w:rPr>
                <w:b/>
                <w:bCs/>
                <w:color w:val="auto"/>
              </w:rPr>
              <w:t>150m</w:t>
            </w:r>
          </w:p>
        </w:tc>
        <w:tc>
          <w:tcPr>
            <w:tcW w:w="425" w:type="pct"/>
            <w:tcBorders>
              <w:tl2br w:val="nil"/>
              <w:tr2bl w:val="nil"/>
            </w:tcBorders>
            <w:noWrap w:val="0"/>
            <w:vAlign w:val="center"/>
          </w:tcPr>
          <w:p w14:paraId="36DC0B12">
            <w:pPr>
              <w:pStyle w:val="16"/>
              <w:bidi w:val="0"/>
              <w:rPr>
                <w:b/>
                <w:bCs/>
                <w:color w:val="auto"/>
              </w:rPr>
            </w:pPr>
            <w:r>
              <w:rPr>
                <w:b/>
                <w:bCs/>
                <w:color w:val="auto"/>
              </w:rPr>
              <w:t>200m</w:t>
            </w:r>
          </w:p>
        </w:tc>
        <w:tc>
          <w:tcPr>
            <w:tcW w:w="426" w:type="pct"/>
            <w:tcBorders>
              <w:tl2br w:val="nil"/>
              <w:tr2bl w:val="nil"/>
            </w:tcBorders>
            <w:noWrap w:val="0"/>
            <w:vAlign w:val="center"/>
          </w:tcPr>
          <w:p w14:paraId="5213DEF3">
            <w:pPr>
              <w:pStyle w:val="16"/>
              <w:bidi w:val="0"/>
              <w:rPr>
                <w:b/>
                <w:bCs/>
                <w:color w:val="auto"/>
              </w:rPr>
            </w:pPr>
            <w:r>
              <w:rPr>
                <w:b/>
                <w:bCs/>
                <w:color w:val="auto"/>
              </w:rPr>
              <w:t>300m</w:t>
            </w:r>
          </w:p>
        </w:tc>
      </w:tr>
      <w:tr w14:paraId="367990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tcBorders>
              <w:tl2br w:val="nil"/>
              <w:tr2bl w:val="nil"/>
            </w:tcBorders>
            <w:noWrap w:val="0"/>
            <w:vAlign w:val="center"/>
          </w:tcPr>
          <w:p w14:paraId="737D3400">
            <w:pPr>
              <w:pStyle w:val="16"/>
              <w:bidi w:val="0"/>
              <w:rPr>
                <w:color w:val="auto"/>
              </w:rPr>
            </w:pPr>
            <w:r>
              <w:rPr>
                <w:color w:val="auto"/>
              </w:rPr>
              <w:t>路面破碎机</w:t>
            </w:r>
          </w:p>
        </w:tc>
        <w:tc>
          <w:tcPr>
            <w:tcW w:w="318" w:type="pct"/>
            <w:tcBorders>
              <w:tl2br w:val="nil"/>
              <w:tr2bl w:val="nil"/>
            </w:tcBorders>
            <w:noWrap w:val="0"/>
            <w:vAlign w:val="center"/>
          </w:tcPr>
          <w:p w14:paraId="5CD35E62">
            <w:pPr>
              <w:pStyle w:val="16"/>
              <w:bidi w:val="0"/>
              <w:rPr>
                <w:color w:val="auto"/>
              </w:rPr>
            </w:pPr>
            <w:r>
              <w:rPr>
                <w:color w:val="auto"/>
              </w:rPr>
              <w:t>90</w:t>
            </w:r>
          </w:p>
        </w:tc>
        <w:tc>
          <w:tcPr>
            <w:tcW w:w="425" w:type="pct"/>
            <w:tcBorders>
              <w:tl2br w:val="nil"/>
              <w:tr2bl w:val="nil"/>
            </w:tcBorders>
            <w:noWrap w:val="0"/>
            <w:vAlign w:val="center"/>
          </w:tcPr>
          <w:p w14:paraId="156BD2B2">
            <w:pPr>
              <w:pStyle w:val="16"/>
              <w:bidi w:val="0"/>
              <w:rPr>
                <w:color w:val="auto"/>
              </w:rPr>
            </w:pPr>
            <w:r>
              <w:rPr>
                <w:color w:val="auto"/>
              </w:rPr>
              <w:t>84</w:t>
            </w:r>
          </w:p>
        </w:tc>
        <w:tc>
          <w:tcPr>
            <w:tcW w:w="425" w:type="pct"/>
            <w:tcBorders>
              <w:tl2br w:val="nil"/>
              <w:tr2bl w:val="nil"/>
            </w:tcBorders>
            <w:noWrap w:val="0"/>
            <w:vAlign w:val="center"/>
          </w:tcPr>
          <w:p w14:paraId="3293E299">
            <w:pPr>
              <w:pStyle w:val="16"/>
              <w:bidi w:val="0"/>
              <w:rPr>
                <w:color w:val="auto"/>
              </w:rPr>
            </w:pPr>
            <w:r>
              <w:rPr>
                <w:color w:val="auto"/>
              </w:rPr>
              <w:t>78</w:t>
            </w:r>
          </w:p>
        </w:tc>
        <w:tc>
          <w:tcPr>
            <w:tcW w:w="425" w:type="pct"/>
            <w:tcBorders>
              <w:tl2br w:val="nil"/>
              <w:tr2bl w:val="nil"/>
            </w:tcBorders>
            <w:noWrap w:val="0"/>
            <w:vAlign w:val="center"/>
          </w:tcPr>
          <w:p w14:paraId="4653B575">
            <w:pPr>
              <w:pStyle w:val="16"/>
              <w:bidi w:val="0"/>
              <w:rPr>
                <w:color w:val="auto"/>
              </w:rPr>
            </w:pPr>
            <w:r>
              <w:rPr>
                <w:color w:val="auto"/>
              </w:rPr>
              <w:t>74</w:t>
            </w:r>
          </w:p>
        </w:tc>
        <w:tc>
          <w:tcPr>
            <w:tcW w:w="425" w:type="pct"/>
            <w:tcBorders>
              <w:tl2br w:val="nil"/>
              <w:tr2bl w:val="nil"/>
            </w:tcBorders>
            <w:noWrap w:val="0"/>
            <w:vAlign w:val="center"/>
          </w:tcPr>
          <w:p w14:paraId="659CCE17">
            <w:pPr>
              <w:pStyle w:val="16"/>
              <w:bidi w:val="0"/>
              <w:rPr>
                <w:color w:val="auto"/>
              </w:rPr>
            </w:pPr>
            <w:r>
              <w:rPr>
                <w:color w:val="auto"/>
              </w:rPr>
              <w:t>72</w:t>
            </w:r>
          </w:p>
        </w:tc>
        <w:tc>
          <w:tcPr>
            <w:tcW w:w="425" w:type="pct"/>
            <w:tcBorders>
              <w:tl2br w:val="nil"/>
              <w:tr2bl w:val="nil"/>
            </w:tcBorders>
            <w:noWrap w:val="0"/>
            <w:vAlign w:val="center"/>
          </w:tcPr>
          <w:p w14:paraId="19687B70">
            <w:pPr>
              <w:pStyle w:val="16"/>
              <w:bidi w:val="0"/>
              <w:rPr>
                <w:color w:val="auto"/>
              </w:rPr>
            </w:pPr>
            <w:r>
              <w:rPr>
                <w:color w:val="auto"/>
              </w:rPr>
              <w:t>70</w:t>
            </w:r>
          </w:p>
        </w:tc>
        <w:tc>
          <w:tcPr>
            <w:tcW w:w="425" w:type="pct"/>
            <w:tcBorders>
              <w:tl2br w:val="nil"/>
              <w:tr2bl w:val="nil"/>
            </w:tcBorders>
            <w:noWrap w:val="0"/>
            <w:vAlign w:val="center"/>
          </w:tcPr>
          <w:p w14:paraId="3383616A">
            <w:pPr>
              <w:pStyle w:val="16"/>
              <w:bidi w:val="0"/>
              <w:rPr>
                <w:color w:val="auto"/>
              </w:rPr>
            </w:pPr>
            <w:r>
              <w:rPr>
                <w:color w:val="auto"/>
              </w:rPr>
              <w:t>64</w:t>
            </w:r>
          </w:p>
        </w:tc>
        <w:tc>
          <w:tcPr>
            <w:tcW w:w="425" w:type="pct"/>
            <w:tcBorders>
              <w:tl2br w:val="nil"/>
              <w:tr2bl w:val="nil"/>
            </w:tcBorders>
            <w:noWrap w:val="0"/>
            <w:vAlign w:val="center"/>
          </w:tcPr>
          <w:p w14:paraId="2FA24EEB">
            <w:pPr>
              <w:pStyle w:val="16"/>
              <w:bidi w:val="0"/>
              <w:rPr>
                <w:color w:val="auto"/>
              </w:rPr>
            </w:pPr>
            <w:r>
              <w:rPr>
                <w:color w:val="auto"/>
              </w:rPr>
              <w:t>60</w:t>
            </w:r>
          </w:p>
        </w:tc>
        <w:tc>
          <w:tcPr>
            <w:tcW w:w="425" w:type="pct"/>
            <w:tcBorders>
              <w:tl2br w:val="nil"/>
              <w:tr2bl w:val="nil"/>
            </w:tcBorders>
            <w:noWrap w:val="0"/>
            <w:vAlign w:val="center"/>
          </w:tcPr>
          <w:p w14:paraId="241CC22B">
            <w:pPr>
              <w:pStyle w:val="16"/>
              <w:bidi w:val="0"/>
              <w:rPr>
                <w:color w:val="auto"/>
              </w:rPr>
            </w:pPr>
            <w:r>
              <w:rPr>
                <w:color w:val="auto"/>
              </w:rPr>
              <w:t>58</w:t>
            </w:r>
          </w:p>
        </w:tc>
        <w:tc>
          <w:tcPr>
            <w:tcW w:w="426" w:type="pct"/>
            <w:tcBorders>
              <w:tl2br w:val="nil"/>
              <w:tr2bl w:val="nil"/>
            </w:tcBorders>
            <w:noWrap w:val="0"/>
            <w:vAlign w:val="center"/>
          </w:tcPr>
          <w:p w14:paraId="25D3C563">
            <w:pPr>
              <w:pStyle w:val="16"/>
              <w:bidi w:val="0"/>
              <w:rPr>
                <w:color w:val="auto"/>
              </w:rPr>
            </w:pPr>
            <w:r>
              <w:rPr>
                <w:color w:val="auto"/>
              </w:rPr>
              <w:t>54</w:t>
            </w:r>
          </w:p>
        </w:tc>
      </w:tr>
      <w:tr w14:paraId="4256AE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tcBorders>
              <w:tl2br w:val="nil"/>
              <w:tr2bl w:val="nil"/>
            </w:tcBorders>
            <w:noWrap w:val="0"/>
            <w:vAlign w:val="center"/>
          </w:tcPr>
          <w:p w14:paraId="7D141B8E">
            <w:pPr>
              <w:pStyle w:val="16"/>
              <w:bidi w:val="0"/>
              <w:rPr>
                <w:color w:val="auto"/>
              </w:rPr>
            </w:pPr>
            <w:r>
              <w:rPr>
                <w:color w:val="auto"/>
              </w:rPr>
              <w:t>切割机</w:t>
            </w:r>
          </w:p>
        </w:tc>
        <w:tc>
          <w:tcPr>
            <w:tcW w:w="318" w:type="pct"/>
            <w:tcBorders>
              <w:tl2br w:val="nil"/>
              <w:tr2bl w:val="nil"/>
            </w:tcBorders>
            <w:noWrap w:val="0"/>
            <w:vAlign w:val="center"/>
          </w:tcPr>
          <w:p w14:paraId="55C48FEC">
            <w:pPr>
              <w:pStyle w:val="16"/>
              <w:bidi w:val="0"/>
              <w:rPr>
                <w:color w:val="auto"/>
              </w:rPr>
            </w:pPr>
            <w:r>
              <w:rPr>
                <w:color w:val="auto"/>
              </w:rPr>
              <w:t>90</w:t>
            </w:r>
          </w:p>
        </w:tc>
        <w:tc>
          <w:tcPr>
            <w:tcW w:w="425" w:type="pct"/>
            <w:tcBorders>
              <w:tl2br w:val="nil"/>
              <w:tr2bl w:val="nil"/>
            </w:tcBorders>
            <w:noWrap w:val="0"/>
            <w:vAlign w:val="center"/>
          </w:tcPr>
          <w:p w14:paraId="78B0BDC9">
            <w:pPr>
              <w:pStyle w:val="16"/>
              <w:bidi w:val="0"/>
              <w:rPr>
                <w:color w:val="auto"/>
              </w:rPr>
            </w:pPr>
            <w:r>
              <w:rPr>
                <w:color w:val="auto"/>
              </w:rPr>
              <w:t>84</w:t>
            </w:r>
          </w:p>
        </w:tc>
        <w:tc>
          <w:tcPr>
            <w:tcW w:w="425" w:type="pct"/>
            <w:tcBorders>
              <w:tl2br w:val="nil"/>
              <w:tr2bl w:val="nil"/>
            </w:tcBorders>
            <w:noWrap w:val="0"/>
            <w:vAlign w:val="center"/>
          </w:tcPr>
          <w:p w14:paraId="37D11248">
            <w:pPr>
              <w:pStyle w:val="16"/>
              <w:bidi w:val="0"/>
              <w:rPr>
                <w:color w:val="auto"/>
              </w:rPr>
            </w:pPr>
            <w:r>
              <w:rPr>
                <w:color w:val="auto"/>
              </w:rPr>
              <w:t>78</w:t>
            </w:r>
          </w:p>
        </w:tc>
        <w:tc>
          <w:tcPr>
            <w:tcW w:w="425" w:type="pct"/>
            <w:tcBorders>
              <w:tl2br w:val="nil"/>
              <w:tr2bl w:val="nil"/>
            </w:tcBorders>
            <w:noWrap w:val="0"/>
            <w:vAlign w:val="center"/>
          </w:tcPr>
          <w:p w14:paraId="44A48454">
            <w:pPr>
              <w:pStyle w:val="16"/>
              <w:bidi w:val="0"/>
              <w:rPr>
                <w:color w:val="auto"/>
              </w:rPr>
            </w:pPr>
            <w:r>
              <w:rPr>
                <w:color w:val="auto"/>
              </w:rPr>
              <w:t>74</w:t>
            </w:r>
          </w:p>
        </w:tc>
        <w:tc>
          <w:tcPr>
            <w:tcW w:w="425" w:type="pct"/>
            <w:tcBorders>
              <w:tl2br w:val="nil"/>
              <w:tr2bl w:val="nil"/>
            </w:tcBorders>
            <w:noWrap w:val="0"/>
            <w:vAlign w:val="center"/>
          </w:tcPr>
          <w:p w14:paraId="26271D6C">
            <w:pPr>
              <w:pStyle w:val="16"/>
              <w:bidi w:val="0"/>
              <w:rPr>
                <w:color w:val="auto"/>
              </w:rPr>
            </w:pPr>
            <w:r>
              <w:rPr>
                <w:color w:val="auto"/>
              </w:rPr>
              <w:t>72</w:t>
            </w:r>
          </w:p>
        </w:tc>
        <w:tc>
          <w:tcPr>
            <w:tcW w:w="425" w:type="pct"/>
            <w:tcBorders>
              <w:tl2br w:val="nil"/>
              <w:tr2bl w:val="nil"/>
            </w:tcBorders>
            <w:noWrap w:val="0"/>
            <w:vAlign w:val="center"/>
          </w:tcPr>
          <w:p w14:paraId="2DF77C2F">
            <w:pPr>
              <w:pStyle w:val="16"/>
              <w:bidi w:val="0"/>
              <w:rPr>
                <w:color w:val="auto"/>
              </w:rPr>
            </w:pPr>
            <w:r>
              <w:rPr>
                <w:color w:val="auto"/>
              </w:rPr>
              <w:t>70</w:t>
            </w:r>
          </w:p>
        </w:tc>
        <w:tc>
          <w:tcPr>
            <w:tcW w:w="425" w:type="pct"/>
            <w:tcBorders>
              <w:tl2br w:val="nil"/>
              <w:tr2bl w:val="nil"/>
            </w:tcBorders>
            <w:noWrap w:val="0"/>
            <w:vAlign w:val="center"/>
          </w:tcPr>
          <w:p w14:paraId="233FAEF5">
            <w:pPr>
              <w:pStyle w:val="16"/>
              <w:bidi w:val="0"/>
              <w:rPr>
                <w:color w:val="auto"/>
              </w:rPr>
            </w:pPr>
            <w:r>
              <w:rPr>
                <w:color w:val="auto"/>
              </w:rPr>
              <w:t>64</w:t>
            </w:r>
          </w:p>
        </w:tc>
        <w:tc>
          <w:tcPr>
            <w:tcW w:w="425" w:type="pct"/>
            <w:tcBorders>
              <w:tl2br w:val="nil"/>
              <w:tr2bl w:val="nil"/>
            </w:tcBorders>
            <w:noWrap w:val="0"/>
            <w:vAlign w:val="center"/>
          </w:tcPr>
          <w:p w14:paraId="6132AE6B">
            <w:pPr>
              <w:pStyle w:val="16"/>
              <w:bidi w:val="0"/>
              <w:rPr>
                <w:color w:val="auto"/>
              </w:rPr>
            </w:pPr>
            <w:r>
              <w:rPr>
                <w:color w:val="auto"/>
              </w:rPr>
              <w:t>60</w:t>
            </w:r>
          </w:p>
        </w:tc>
        <w:tc>
          <w:tcPr>
            <w:tcW w:w="425" w:type="pct"/>
            <w:tcBorders>
              <w:tl2br w:val="nil"/>
              <w:tr2bl w:val="nil"/>
            </w:tcBorders>
            <w:noWrap w:val="0"/>
            <w:vAlign w:val="center"/>
          </w:tcPr>
          <w:p w14:paraId="01228EBE">
            <w:pPr>
              <w:pStyle w:val="16"/>
              <w:bidi w:val="0"/>
              <w:rPr>
                <w:color w:val="auto"/>
              </w:rPr>
            </w:pPr>
            <w:r>
              <w:rPr>
                <w:color w:val="auto"/>
              </w:rPr>
              <w:t>58</w:t>
            </w:r>
          </w:p>
        </w:tc>
        <w:tc>
          <w:tcPr>
            <w:tcW w:w="426" w:type="pct"/>
            <w:tcBorders>
              <w:tl2br w:val="nil"/>
              <w:tr2bl w:val="nil"/>
            </w:tcBorders>
            <w:noWrap w:val="0"/>
            <w:vAlign w:val="center"/>
          </w:tcPr>
          <w:p w14:paraId="06DFB011">
            <w:pPr>
              <w:pStyle w:val="16"/>
              <w:bidi w:val="0"/>
              <w:rPr>
                <w:color w:val="auto"/>
              </w:rPr>
            </w:pPr>
            <w:r>
              <w:rPr>
                <w:color w:val="auto"/>
              </w:rPr>
              <w:t>54</w:t>
            </w:r>
          </w:p>
        </w:tc>
      </w:tr>
      <w:tr w14:paraId="5BD69D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tcBorders>
              <w:tl2br w:val="nil"/>
              <w:tr2bl w:val="nil"/>
            </w:tcBorders>
            <w:noWrap w:val="0"/>
            <w:vAlign w:val="center"/>
          </w:tcPr>
          <w:p w14:paraId="5660B0D6">
            <w:pPr>
              <w:pStyle w:val="16"/>
              <w:bidi w:val="0"/>
              <w:rPr>
                <w:color w:val="auto"/>
              </w:rPr>
            </w:pPr>
            <w:r>
              <w:rPr>
                <w:color w:val="auto"/>
              </w:rPr>
              <w:t>装载机</w:t>
            </w:r>
          </w:p>
        </w:tc>
        <w:tc>
          <w:tcPr>
            <w:tcW w:w="318" w:type="pct"/>
            <w:tcBorders>
              <w:tl2br w:val="nil"/>
              <w:tr2bl w:val="nil"/>
            </w:tcBorders>
            <w:noWrap w:val="0"/>
            <w:vAlign w:val="center"/>
          </w:tcPr>
          <w:p w14:paraId="7BC42B8C">
            <w:pPr>
              <w:pStyle w:val="16"/>
              <w:bidi w:val="0"/>
              <w:rPr>
                <w:color w:val="auto"/>
              </w:rPr>
            </w:pPr>
            <w:r>
              <w:rPr>
                <w:color w:val="auto"/>
              </w:rPr>
              <w:t>90</w:t>
            </w:r>
          </w:p>
        </w:tc>
        <w:tc>
          <w:tcPr>
            <w:tcW w:w="425" w:type="pct"/>
            <w:tcBorders>
              <w:tl2br w:val="nil"/>
              <w:tr2bl w:val="nil"/>
            </w:tcBorders>
            <w:noWrap w:val="0"/>
            <w:vAlign w:val="center"/>
          </w:tcPr>
          <w:p w14:paraId="7D56DB9B">
            <w:pPr>
              <w:pStyle w:val="16"/>
              <w:bidi w:val="0"/>
              <w:rPr>
                <w:color w:val="auto"/>
              </w:rPr>
            </w:pPr>
            <w:r>
              <w:rPr>
                <w:color w:val="auto"/>
              </w:rPr>
              <w:t>84</w:t>
            </w:r>
          </w:p>
        </w:tc>
        <w:tc>
          <w:tcPr>
            <w:tcW w:w="425" w:type="pct"/>
            <w:tcBorders>
              <w:tl2br w:val="nil"/>
              <w:tr2bl w:val="nil"/>
            </w:tcBorders>
            <w:noWrap w:val="0"/>
            <w:vAlign w:val="center"/>
          </w:tcPr>
          <w:p w14:paraId="5EF61E09">
            <w:pPr>
              <w:pStyle w:val="16"/>
              <w:bidi w:val="0"/>
              <w:rPr>
                <w:color w:val="auto"/>
              </w:rPr>
            </w:pPr>
            <w:r>
              <w:rPr>
                <w:color w:val="auto"/>
              </w:rPr>
              <w:t>78</w:t>
            </w:r>
          </w:p>
        </w:tc>
        <w:tc>
          <w:tcPr>
            <w:tcW w:w="425" w:type="pct"/>
            <w:tcBorders>
              <w:tl2br w:val="nil"/>
              <w:tr2bl w:val="nil"/>
            </w:tcBorders>
            <w:noWrap w:val="0"/>
            <w:vAlign w:val="center"/>
          </w:tcPr>
          <w:p w14:paraId="7E10CB33">
            <w:pPr>
              <w:pStyle w:val="16"/>
              <w:bidi w:val="0"/>
              <w:rPr>
                <w:color w:val="auto"/>
              </w:rPr>
            </w:pPr>
            <w:r>
              <w:rPr>
                <w:color w:val="auto"/>
              </w:rPr>
              <w:t>74</w:t>
            </w:r>
          </w:p>
        </w:tc>
        <w:tc>
          <w:tcPr>
            <w:tcW w:w="425" w:type="pct"/>
            <w:tcBorders>
              <w:tl2br w:val="nil"/>
              <w:tr2bl w:val="nil"/>
            </w:tcBorders>
            <w:noWrap w:val="0"/>
            <w:vAlign w:val="center"/>
          </w:tcPr>
          <w:p w14:paraId="38756015">
            <w:pPr>
              <w:pStyle w:val="16"/>
              <w:bidi w:val="0"/>
              <w:rPr>
                <w:color w:val="auto"/>
              </w:rPr>
            </w:pPr>
            <w:r>
              <w:rPr>
                <w:color w:val="auto"/>
              </w:rPr>
              <w:t>72</w:t>
            </w:r>
          </w:p>
        </w:tc>
        <w:tc>
          <w:tcPr>
            <w:tcW w:w="425" w:type="pct"/>
            <w:tcBorders>
              <w:tl2br w:val="nil"/>
              <w:tr2bl w:val="nil"/>
            </w:tcBorders>
            <w:noWrap w:val="0"/>
            <w:vAlign w:val="center"/>
          </w:tcPr>
          <w:p w14:paraId="7BAEB85B">
            <w:pPr>
              <w:pStyle w:val="16"/>
              <w:bidi w:val="0"/>
              <w:rPr>
                <w:color w:val="auto"/>
              </w:rPr>
            </w:pPr>
            <w:r>
              <w:rPr>
                <w:color w:val="auto"/>
              </w:rPr>
              <w:t>70</w:t>
            </w:r>
          </w:p>
        </w:tc>
        <w:tc>
          <w:tcPr>
            <w:tcW w:w="425" w:type="pct"/>
            <w:tcBorders>
              <w:tl2br w:val="nil"/>
              <w:tr2bl w:val="nil"/>
            </w:tcBorders>
            <w:noWrap w:val="0"/>
            <w:vAlign w:val="center"/>
          </w:tcPr>
          <w:p w14:paraId="51249EB2">
            <w:pPr>
              <w:pStyle w:val="16"/>
              <w:bidi w:val="0"/>
              <w:rPr>
                <w:color w:val="auto"/>
              </w:rPr>
            </w:pPr>
            <w:r>
              <w:rPr>
                <w:color w:val="auto"/>
              </w:rPr>
              <w:t>64</w:t>
            </w:r>
          </w:p>
        </w:tc>
        <w:tc>
          <w:tcPr>
            <w:tcW w:w="425" w:type="pct"/>
            <w:tcBorders>
              <w:tl2br w:val="nil"/>
              <w:tr2bl w:val="nil"/>
            </w:tcBorders>
            <w:noWrap w:val="0"/>
            <w:vAlign w:val="center"/>
          </w:tcPr>
          <w:p w14:paraId="6A445E46">
            <w:pPr>
              <w:pStyle w:val="16"/>
              <w:bidi w:val="0"/>
              <w:rPr>
                <w:color w:val="auto"/>
              </w:rPr>
            </w:pPr>
            <w:r>
              <w:rPr>
                <w:color w:val="auto"/>
              </w:rPr>
              <w:t>60</w:t>
            </w:r>
          </w:p>
        </w:tc>
        <w:tc>
          <w:tcPr>
            <w:tcW w:w="425" w:type="pct"/>
            <w:tcBorders>
              <w:tl2br w:val="nil"/>
              <w:tr2bl w:val="nil"/>
            </w:tcBorders>
            <w:noWrap w:val="0"/>
            <w:vAlign w:val="center"/>
          </w:tcPr>
          <w:p w14:paraId="385D1464">
            <w:pPr>
              <w:pStyle w:val="16"/>
              <w:bidi w:val="0"/>
              <w:rPr>
                <w:color w:val="auto"/>
              </w:rPr>
            </w:pPr>
            <w:r>
              <w:rPr>
                <w:color w:val="auto"/>
              </w:rPr>
              <w:t>58</w:t>
            </w:r>
          </w:p>
        </w:tc>
        <w:tc>
          <w:tcPr>
            <w:tcW w:w="426" w:type="pct"/>
            <w:tcBorders>
              <w:tl2br w:val="nil"/>
              <w:tr2bl w:val="nil"/>
            </w:tcBorders>
            <w:noWrap w:val="0"/>
            <w:vAlign w:val="center"/>
          </w:tcPr>
          <w:p w14:paraId="7972873E">
            <w:pPr>
              <w:pStyle w:val="16"/>
              <w:bidi w:val="0"/>
              <w:rPr>
                <w:color w:val="auto"/>
              </w:rPr>
            </w:pPr>
            <w:r>
              <w:rPr>
                <w:color w:val="auto"/>
              </w:rPr>
              <w:t>54</w:t>
            </w:r>
          </w:p>
        </w:tc>
      </w:tr>
      <w:tr w14:paraId="585A26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tcBorders>
              <w:tl2br w:val="nil"/>
              <w:tr2bl w:val="nil"/>
            </w:tcBorders>
            <w:noWrap w:val="0"/>
            <w:vAlign w:val="center"/>
          </w:tcPr>
          <w:p w14:paraId="307F6994">
            <w:pPr>
              <w:pStyle w:val="16"/>
              <w:bidi w:val="0"/>
              <w:rPr>
                <w:color w:val="auto"/>
              </w:rPr>
            </w:pPr>
            <w:r>
              <w:rPr>
                <w:color w:val="auto"/>
              </w:rPr>
              <w:t>压路机</w:t>
            </w:r>
          </w:p>
        </w:tc>
        <w:tc>
          <w:tcPr>
            <w:tcW w:w="318" w:type="pct"/>
            <w:tcBorders>
              <w:tl2br w:val="nil"/>
              <w:tr2bl w:val="nil"/>
            </w:tcBorders>
            <w:noWrap w:val="0"/>
            <w:vAlign w:val="center"/>
          </w:tcPr>
          <w:p w14:paraId="7DAC416F">
            <w:pPr>
              <w:pStyle w:val="16"/>
              <w:bidi w:val="0"/>
              <w:rPr>
                <w:color w:val="auto"/>
              </w:rPr>
            </w:pPr>
            <w:r>
              <w:rPr>
                <w:color w:val="auto"/>
              </w:rPr>
              <w:t>85</w:t>
            </w:r>
          </w:p>
        </w:tc>
        <w:tc>
          <w:tcPr>
            <w:tcW w:w="425" w:type="pct"/>
            <w:tcBorders>
              <w:tl2br w:val="nil"/>
              <w:tr2bl w:val="nil"/>
            </w:tcBorders>
            <w:noWrap w:val="0"/>
            <w:vAlign w:val="center"/>
          </w:tcPr>
          <w:p w14:paraId="0FDFE877">
            <w:pPr>
              <w:pStyle w:val="16"/>
              <w:bidi w:val="0"/>
              <w:rPr>
                <w:color w:val="auto"/>
              </w:rPr>
            </w:pPr>
            <w:r>
              <w:rPr>
                <w:color w:val="auto"/>
              </w:rPr>
              <w:t>79</w:t>
            </w:r>
          </w:p>
        </w:tc>
        <w:tc>
          <w:tcPr>
            <w:tcW w:w="425" w:type="pct"/>
            <w:tcBorders>
              <w:tl2br w:val="nil"/>
              <w:tr2bl w:val="nil"/>
            </w:tcBorders>
            <w:noWrap w:val="0"/>
            <w:vAlign w:val="center"/>
          </w:tcPr>
          <w:p w14:paraId="2EC719D3">
            <w:pPr>
              <w:pStyle w:val="16"/>
              <w:bidi w:val="0"/>
              <w:rPr>
                <w:color w:val="auto"/>
              </w:rPr>
            </w:pPr>
            <w:r>
              <w:rPr>
                <w:color w:val="auto"/>
              </w:rPr>
              <w:t>73</w:t>
            </w:r>
          </w:p>
        </w:tc>
        <w:tc>
          <w:tcPr>
            <w:tcW w:w="425" w:type="pct"/>
            <w:tcBorders>
              <w:tl2br w:val="nil"/>
              <w:tr2bl w:val="nil"/>
            </w:tcBorders>
            <w:noWrap w:val="0"/>
            <w:vAlign w:val="center"/>
          </w:tcPr>
          <w:p w14:paraId="78F909AA">
            <w:pPr>
              <w:pStyle w:val="16"/>
              <w:bidi w:val="0"/>
              <w:rPr>
                <w:color w:val="auto"/>
              </w:rPr>
            </w:pPr>
            <w:r>
              <w:rPr>
                <w:color w:val="auto"/>
              </w:rPr>
              <w:t>69</w:t>
            </w:r>
          </w:p>
        </w:tc>
        <w:tc>
          <w:tcPr>
            <w:tcW w:w="425" w:type="pct"/>
            <w:tcBorders>
              <w:tl2br w:val="nil"/>
              <w:tr2bl w:val="nil"/>
            </w:tcBorders>
            <w:noWrap w:val="0"/>
            <w:vAlign w:val="center"/>
          </w:tcPr>
          <w:p w14:paraId="39B4B125">
            <w:pPr>
              <w:pStyle w:val="16"/>
              <w:bidi w:val="0"/>
              <w:rPr>
                <w:color w:val="auto"/>
              </w:rPr>
            </w:pPr>
            <w:r>
              <w:rPr>
                <w:color w:val="auto"/>
              </w:rPr>
              <w:t>67</w:t>
            </w:r>
          </w:p>
        </w:tc>
        <w:tc>
          <w:tcPr>
            <w:tcW w:w="425" w:type="pct"/>
            <w:tcBorders>
              <w:tl2br w:val="nil"/>
              <w:tr2bl w:val="nil"/>
            </w:tcBorders>
            <w:noWrap w:val="0"/>
            <w:vAlign w:val="center"/>
          </w:tcPr>
          <w:p w14:paraId="0AB0EDA1">
            <w:pPr>
              <w:pStyle w:val="16"/>
              <w:bidi w:val="0"/>
              <w:rPr>
                <w:color w:val="auto"/>
              </w:rPr>
            </w:pPr>
            <w:r>
              <w:rPr>
                <w:color w:val="auto"/>
              </w:rPr>
              <w:t>65</w:t>
            </w:r>
          </w:p>
        </w:tc>
        <w:tc>
          <w:tcPr>
            <w:tcW w:w="425" w:type="pct"/>
            <w:tcBorders>
              <w:tl2br w:val="nil"/>
              <w:tr2bl w:val="nil"/>
            </w:tcBorders>
            <w:noWrap w:val="0"/>
            <w:vAlign w:val="center"/>
          </w:tcPr>
          <w:p w14:paraId="4E29EEA6">
            <w:pPr>
              <w:pStyle w:val="16"/>
              <w:bidi w:val="0"/>
              <w:rPr>
                <w:color w:val="auto"/>
              </w:rPr>
            </w:pPr>
            <w:r>
              <w:rPr>
                <w:color w:val="auto"/>
              </w:rPr>
              <w:t>59</w:t>
            </w:r>
          </w:p>
        </w:tc>
        <w:tc>
          <w:tcPr>
            <w:tcW w:w="425" w:type="pct"/>
            <w:tcBorders>
              <w:tl2br w:val="nil"/>
              <w:tr2bl w:val="nil"/>
            </w:tcBorders>
            <w:noWrap w:val="0"/>
            <w:vAlign w:val="center"/>
          </w:tcPr>
          <w:p w14:paraId="7718D2F0">
            <w:pPr>
              <w:pStyle w:val="16"/>
              <w:bidi w:val="0"/>
              <w:rPr>
                <w:color w:val="auto"/>
              </w:rPr>
            </w:pPr>
            <w:r>
              <w:rPr>
                <w:color w:val="auto"/>
              </w:rPr>
              <w:t>55</w:t>
            </w:r>
          </w:p>
        </w:tc>
        <w:tc>
          <w:tcPr>
            <w:tcW w:w="425" w:type="pct"/>
            <w:tcBorders>
              <w:tl2br w:val="nil"/>
              <w:tr2bl w:val="nil"/>
            </w:tcBorders>
            <w:noWrap w:val="0"/>
            <w:vAlign w:val="center"/>
          </w:tcPr>
          <w:p w14:paraId="64D5F343">
            <w:pPr>
              <w:pStyle w:val="16"/>
              <w:bidi w:val="0"/>
              <w:rPr>
                <w:color w:val="auto"/>
              </w:rPr>
            </w:pPr>
            <w:r>
              <w:rPr>
                <w:color w:val="auto"/>
              </w:rPr>
              <w:t>53</w:t>
            </w:r>
          </w:p>
        </w:tc>
        <w:tc>
          <w:tcPr>
            <w:tcW w:w="426" w:type="pct"/>
            <w:tcBorders>
              <w:tl2br w:val="nil"/>
              <w:tr2bl w:val="nil"/>
            </w:tcBorders>
            <w:noWrap w:val="0"/>
            <w:vAlign w:val="center"/>
          </w:tcPr>
          <w:p w14:paraId="03EFC7E4">
            <w:pPr>
              <w:pStyle w:val="16"/>
              <w:bidi w:val="0"/>
              <w:rPr>
                <w:color w:val="auto"/>
              </w:rPr>
            </w:pPr>
            <w:r>
              <w:rPr>
                <w:color w:val="auto"/>
              </w:rPr>
              <w:t>51</w:t>
            </w:r>
          </w:p>
        </w:tc>
      </w:tr>
      <w:tr w14:paraId="63A509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tcBorders>
              <w:tl2br w:val="nil"/>
              <w:tr2bl w:val="nil"/>
            </w:tcBorders>
            <w:noWrap w:val="0"/>
            <w:vAlign w:val="center"/>
          </w:tcPr>
          <w:p w14:paraId="48CF5FF5">
            <w:pPr>
              <w:pStyle w:val="16"/>
              <w:bidi w:val="0"/>
              <w:rPr>
                <w:color w:val="auto"/>
              </w:rPr>
            </w:pPr>
            <w:r>
              <w:rPr>
                <w:color w:val="auto"/>
              </w:rPr>
              <w:t>推土机</w:t>
            </w:r>
          </w:p>
        </w:tc>
        <w:tc>
          <w:tcPr>
            <w:tcW w:w="318" w:type="pct"/>
            <w:tcBorders>
              <w:tl2br w:val="nil"/>
              <w:tr2bl w:val="nil"/>
            </w:tcBorders>
            <w:noWrap w:val="0"/>
            <w:vAlign w:val="center"/>
          </w:tcPr>
          <w:p w14:paraId="62E61ADD">
            <w:pPr>
              <w:pStyle w:val="16"/>
              <w:bidi w:val="0"/>
              <w:rPr>
                <w:color w:val="auto"/>
              </w:rPr>
            </w:pPr>
            <w:r>
              <w:rPr>
                <w:color w:val="auto"/>
              </w:rPr>
              <w:t>82</w:t>
            </w:r>
          </w:p>
        </w:tc>
        <w:tc>
          <w:tcPr>
            <w:tcW w:w="425" w:type="pct"/>
            <w:tcBorders>
              <w:tl2br w:val="nil"/>
              <w:tr2bl w:val="nil"/>
            </w:tcBorders>
            <w:noWrap w:val="0"/>
            <w:vAlign w:val="center"/>
          </w:tcPr>
          <w:p w14:paraId="56266E7E">
            <w:pPr>
              <w:pStyle w:val="16"/>
              <w:bidi w:val="0"/>
              <w:rPr>
                <w:color w:val="auto"/>
              </w:rPr>
            </w:pPr>
            <w:r>
              <w:rPr>
                <w:color w:val="auto"/>
              </w:rPr>
              <w:t>76</w:t>
            </w:r>
          </w:p>
        </w:tc>
        <w:tc>
          <w:tcPr>
            <w:tcW w:w="425" w:type="pct"/>
            <w:tcBorders>
              <w:tl2br w:val="nil"/>
              <w:tr2bl w:val="nil"/>
            </w:tcBorders>
            <w:noWrap w:val="0"/>
            <w:vAlign w:val="center"/>
          </w:tcPr>
          <w:p w14:paraId="4F78D5AF">
            <w:pPr>
              <w:pStyle w:val="16"/>
              <w:bidi w:val="0"/>
              <w:rPr>
                <w:color w:val="auto"/>
              </w:rPr>
            </w:pPr>
            <w:r>
              <w:rPr>
                <w:color w:val="auto"/>
              </w:rPr>
              <w:t>70</w:t>
            </w:r>
          </w:p>
        </w:tc>
        <w:tc>
          <w:tcPr>
            <w:tcW w:w="425" w:type="pct"/>
            <w:tcBorders>
              <w:tl2br w:val="nil"/>
              <w:tr2bl w:val="nil"/>
            </w:tcBorders>
            <w:noWrap w:val="0"/>
            <w:vAlign w:val="center"/>
          </w:tcPr>
          <w:p w14:paraId="165265E1">
            <w:pPr>
              <w:pStyle w:val="16"/>
              <w:bidi w:val="0"/>
              <w:rPr>
                <w:color w:val="auto"/>
              </w:rPr>
            </w:pPr>
            <w:r>
              <w:rPr>
                <w:color w:val="auto"/>
              </w:rPr>
              <w:t>66</w:t>
            </w:r>
          </w:p>
        </w:tc>
        <w:tc>
          <w:tcPr>
            <w:tcW w:w="425" w:type="pct"/>
            <w:tcBorders>
              <w:tl2br w:val="nil"/>
              <w:tr2bl w:val="nil"/>
            </w:tcBorders>
            <w:noWrap w:val="0"/>
            <w:vAlign w:val="center"/>
          </w:tcPr>
          <w:p w14:paraId="32E9CBB9">
            <w:pPr>
              <w:pStyle w:val="16"/>
              <w:bidi w:val="0"/>
              <w:rPr>
                <w:color w:val="auto"/>
              </w:rPr>
            </w:pPr>
            <w:r>
              <w:rPr>
                <w:color w:val="auto"/>
              </w:rPr>
              <w:t>64</w:t>
            </w:r>
          </w:p>
        </w:tc>
        <w:tc>
          <w:tcPr>
            <w:tcW w:w="425" w:type="pct"/>
            <w:tcBorders>
              <w:tl2br w:val="nil"/>
              <w:tr2bl w:val="nil"/>
            </w:tcBorders>
            <w:noWrap w:val="0"/>
            <w:vAlign w:val="center"/>
          </w:tcPr>
          <w:p w14:paraId="290E803B">
            <w:pPr>
              <w:pStyle w:val="16"/>
              <w:bidi w:val="0"/>
              <w:rPr>
                <w:color w:val="auto"/>
              </w:rPr>
            </w:pPr>
            <w:r>
              <w:rPr>
                <w:color w:val="auto"/>
              </w:rPr>
              <w:t>62</w:t>
            </w:r>
          </w:p>
        </w:tc>
        <w:tc>
          <w:tcPr>
            <w:tcW w:w="425" w:type="pct"/>
            <w:tcBorders>
              <w:tl2br w:val="nil"/>
              <w:tr2bl w:val="nil"/>
            </w:tcBorders>
            <w:noWrap w:val="0"/>
            <w:vAlign w:val="center"/>
          </w:tcPr>
          <w:p w14:paraId="62823E4A">
            <w:pPr>
              <w:pStyle w:val="16"/>
              <w:bidi w:val="0"/>
              <w:rPr>
                <w:color w:val="auto"/>
              </w:rPr>
            </w:pPr>
            <w:r>
              <w:rPr>
                <w:color w:val="auto"/>
              </w:rPr>
              <w:t>56</w:t>
            </w:r>
          </w:p>
        </w:tc>
        <w:tc>
          <w:tcPr>
            <w:tcW w:w="425" w:type="pct"/>
            <w:tcBorders>
              <w:tl2br w:val="nil"/>
              <w:tr2bl w:val="nil"/>
            </w:tcBorders>
            <w:noWrap w:val="0"/>
            <w:vAlign w:val="center"/>
          </w:tcPr>
          <w:p w14:paraId="4D8E50FA">
            <w:pPr>
              <w:pStyle w:val="16"/>
              <w:bidi w:val="0"/>
              <w:rPr>
                <w:color w:val="auto"/>
              </w:rPr>
            </w:pPr>
            <w:r>
              <w:rPr>
                <w:color w:val="auto"/>
              </w:rPr>
              <w:t>52</w:t>
            </w:r>
          </w:p>
        </w:tc>
        <w:tc>
          <w:tcPr>
            <w:tcW w:w="425" w:type="pct"/>
            <w:tcBorders>
              <w:tl2br w:val="nil"/>
              <w:tr2bl w:val="nil"/>
            </w:tcBorders>
            <w:noWrap w:val="0"/>
            <w:vAlign w:val="center"/>
          </w:tcPr>
          <w:p w14:paraId="33527EE9">
            <w:pPr>
              <w:pStyle w:val="16"/>
              <w:bidi w:val="0"/>
              <w:rPr>
                <w:color w:val="auto"/>
              </w:rPr>
            </w:pPr>
            <w:r>
              <w:rPr>
                <w:color w:val="auto"/>
              </w:rPr>
              <w:t>50</w:t>
            </w:r>
          </w:p>
        </w:tc>
        <w:tc>
          <w:tcPr>
            <w:tcW w:w="426" w:type="pct"/>
            <w:tcBorders>
              <w:tl2br w:val="nil"/>
              <w:tr2bl w:val="nil"/>
            </w:tcBorders>
            <w:noWrap w:val="0"/>
            <w:vAlign w:val="center"/>
          </w:tcPr>
          <w:p w14:paraId="4B7CD9EC">
            <w:pPr>
              <w:pStyle w:val="16"/>
              <w:bidi w:val="0"/>
              <w:rPr>
                <w:color w:val="auto"/>
              </w:rPr>
            </w:pPr>
            <w:r>
              <w:rPr>
                <w:color w:val="auto"/>
              </w:rPr>
              <w:t>46</w:t>
            </w:r>
          </w:p>
        </w:tc>
      </w:tr>
      <w:tr w14:paraId="2FCA96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tcBorders>
              <w:tl2br w:val="nil"/>
              <w:tr2bl w:val="nil"/>
            </w:tcBorders>
            <w:noWrap w:val="0"/>
            <w:vAlign w:val="center"/>
          </w:tcPr>
          <w:p w14:paraId="06F6C8A8">
            <w:pPr>
              <w:pStyle w:val="16"/>
              <w:bidi w:val="0"/>
              <w:rPr>
                <w:color w:val="auto"/>
              </w:rPr>
            </w:pPr>
            <w:r>
              <w:rPr>
                <w:color w:val="auto"/>
              </w:rPr>
              <w:t>挖掘机</w:t>
            </w:r>
          </w:p>
        </w:tc>
        <w:tc>
          <w:tcPr>
            <w:tcW w:w="318" w:type="pct"/>
            <w:tcBorders>
              <w:tl2br w:val="nil"/>
              <w:tr2bl w:val="nil"/>
            </w:tcBorders>
            <w:noWrap w:val="0"/>
            <w:vAlign w:val="center"/>
          </w:tcPr>
          <w:p w14:paraId="18F0E3A7">
            <w:pPr>
              <w:pStyle w:val="16"/>
              <w:bidi w:val="0"/>
              <w:rPr>
                <w:color w:val="auto"/>
              </w:rPr>
            </w:pPr>
            <w:r>
              <w:rPr>
                <w:color w:val="auto"/>
              </w:rPr>
              <w:t>84</w:t>
            </w:r>
          </w:p>
        </w:tc>
        <w:tc>
          <w:tcPr>
            <w:tcW w:w="425" w:type="pct"/>
            <w:tcBorders>
              <w:tl2br w:val="nil"/>
              <w:tr2bl w:val="nil"/>
            </w:tcBorders>
            <w:noWrap w:val="0"/>
            <w:vAlign w:val="center"/>
          </w:tcPr>
          <w:p w14:paraId="511A5294">
            <w:pPr>
              <w:pStyle w:val="16"/>
              <w:bidi w:val="0"/>
              <w:rPr>
                <w:color w:val="auto"/>
              </w:rPr>
            </w:pPr>
            <w:r>
              <w:rPr>
                <w:color w:val="auto"/>
              </w:rPr>
              <w:t>78</w:t>
            </w:r>
          </w:p>
        </w:tc>
        <w:tc>
          <w:tcPr>
            <w:tcW w:w="425" w:type="pct"/>
            <w:tcBorders>
              <w:tl2br w:val="nil"/>
              <w:tr2bl w:val="nil"/>
            </w:tcBorders>
            <w:noWrap w:val="0"/>
            <w:vAlign w:val="center"/>
          </w:tcPr>
          <w:p w14:paraId="18C2210A">
            <w:pPr>
              <w:pStyle w:val="16"/>
              <w:bidi w:val="0"/>
              <w:rPr>
                <w:color w:val="auto"/>
              </w:rPr>
            </w:pPr>
            <w:r>
              <w:rPr>
                <w:color w:val="auto"/>
              </w:rPr>
              <w:t>72</w:t>
            </w:r>
          </w:p>
        </w:tc>
        <w:tc>
          <w:tcPr>
            <w:tcW w:w="425" w:type="pct"/>
            <w:tcBorders>
              <w:tl2br w:val="nil"/>
              <w:tr2bl w:val="nil"/>
            </w:tcBorders>
            <w:noWrap w:val="0"/>
            <w:vAlign w:val="center"/>
          </w:tcPr>
          <w:p w14:paraId="4D50D03B">
            <w:pPr>
              <w:pStyle w:val="16"/>
              <w:bidi w:val="0"/>
              <w:rPr>
                <w:color w:val="auto"/>
              </w:rPr>
            </w:pPr>
            <w:r>
              <w:rPr>
                <w:color w:val="auto"/>
              </w:rPr>
              <w:t>68</w:t>
            </w:r>
          </w:p>
        </w:tc>
        <w:tc>
          <w:tcPr>
            <w:tcW w:w="425" w:type="pct"/>
            <w:tcBorders>
              <w:tl2br w:val="nil"/>
              <w:tr2bl w:val="nil"/>
            </w:tcBorders>
            <w:noWrap w:val="0"/>
            <w:vAlign w:val="center"/>
          </w:tcPr>
          <w:p w14:paraId="5AF3CF8B">
            <w:pPr>
              <w:pStyle w:val="16"/>
              <w:bidi w:val="0"/>
              <w:rPr>
                <w:color w:val="auto"/>
              </w:rPr>
            </w:pPr>
            <w:r>
              <w:rPr>
                <w:color w:val="auto"/>
              </w:rPr>
              <w:t>66</w:t>
            </w:r>
          </w:p>
        </w:tc>
        <w:tc>
          <w:tcPr>
            <w:tcW w:w="425" w:type="pct"/>
            <w:tcBorders>
              <w:tl2br w:val="nil"/>
              <w:tr2bl w:val="nil"/>
            </w:tcBorders>
            <w:noWrap w:val="0"/>
            <w:vAlign w:val="center"/>
          </w:tcPr>
          <w:p w14:paraId="1B02BFE8">
            <w:pPr>
              <w:pStyle w:val="16"/>
              <w:bidi w:val="0"/>
              <w:rPr>
                <w:color w:val="auto"/>
              </w:rPr>
            </w:pPr>
            <w:r>
              <w:rPr>
                <w:color w:val="auto"/>
              </w:rPr>
              <w:t>64</w:t>
            </w:r>
          </w:p>
        </w:tc>
        <w:tc>
          <w:tcPr>
            <w:tcW w:w="425" w:type="pct"/>
            <w:tcBorders>
              <w:tl2br w:val="nil"/>
              <w:tr2bl w:val="nil"/>
            </w:tcBorders>
            <w:noWrap w:val="0"/>
            <w:vAlign w:val="center"/>
          </w:tcPr>
          <w:p w14:paraId="42050F97">
            <w:pPr>
              <w:pStyle w:val="16"/>
              <w:bidi w:val="0"/>
              <w:rPr>
                <w:color w:val="auto"/>
              </w:rPr>
            </w:pPr>
            <w:r>
              <w:rPr>
                <w:color w:val="auto"/>
              </w:rPr>
              <w:t>58</w:t>
            </w:r>
          </w:p>
        </w:tc>
        <w:tc>
          <w:tcPr>
            <w:tcW w:w="425" w:type="pct"/>
            <w:tcBorders>
              <w:tl2br w:val="nil"/>
              <w:tr2bl w:val="nil"/>
            </w:tcBorders>
            <w:noWrap w:val="0"/>
            <w:vAlign w:val="center"/>
          </w:tcPr>
          <w:p w14:paraId="5E54C6E9">
            <w:pPr>
              <w:pStyle w:val="16"/>
              <w:bidi w:val="0"/>
              <w:rPr>
                <w:color w:val="auto"/>
              </w:rPr>
            </w:pPr>
            <w:r>
              <w:rPr>
                <w:color w:val="auto"/>
              </w:rPr>
              <w:t>54</w:t>
            </w:r>
          </w:p>
        </w:tc>
        <w:tc>
          <w:tcPr>
            <w:tcW w:w="425" w:type="pct"/>
            <w:tcBorders>
              <w:tl2br w:val="nil"/>
              <w:tr2bl w:val="nil"/>
            </w:tcBorders>
            <w:noWrap w:val="0"/>
            <w:vAlign w:val="center"/>
          </w:tcPr>
          <w:p w14:paraId="3DEFF26F">
            <w:pPr>
              <w:pStyle w:val="16"/>
              <w:bidi w:val="0"/>
              <w:rPr>
                <w:color w:val="auto"/>
              </w:rPr>
            </w:pPr>
            <w:r>
              <w:rPr>
                <w:color w:val="auto"/>
              </w:rPr>
              <w:t>52</w:t>
            </w:r>
          </w:p>
        </w:tc>
        <w:tc>
          <w:tcPr>
            <w:tcW w:w="426" w:type="pct"/>
            <w:tcBorders>
              <w:tl2br w:val="nil"/>
              <w:tr2bl w:val="nil"/>
            </w:tcBorders>
            <w:noWrap w:val="0"/>
            <w:vAlign w:val="center"/>
          </w:tcPr>
          <w:p w14:paraId="0E1C8A30">
            <w:pPr>
              <w:pStyle w:val="16"/>
              <w:bidi w:val="0"/>
              <w:rPr>
                <w:color w:val="auto"/>
              </w:rPr>
            </w:pPr>
            <w:r>
              <w:rPr>
                <w:color w:val="auto"/>
              </w:rPr>
              <w:t>48</w:t>
            </w:r>
          </w:p>
        </w:tc>
      </w:tr>
      <w:tr w14:paraId="72BD88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tcBorders>
              <w:tl2br w:val="nil"/>
              <w:tr2bl w:val="nil"/>
            </w:tcBorders>
            <w:noWrap w:val="0"/>
            <w:vAlign w:val="center"/>
          </w:tcPr>
          <w:p w14:paraId="5BA676A0">
            <w:pPr>
              <w:pStyle w:val="16"/>
              <w:bidi w:val="0"/>
              <w:rPr>
                <w:color w:val="auto"/>
              </w:rPr>
            </w:pPr>
            <w:r>
              <w:rPr>
                <w:color w:val="auto"/>
              </w:rPr>
              <w:t>混凝土搅拌机</w:t>
            </w:r>
          </w:p>
        </w:tc>
        <w:tc>
          <w:tcPr>
            <w:tcW w:w="318" w:type="pct"/>
            <w:tcBorders>
              <w:tl2br w:val="nil"/>
              <w:tr2bl w:val="nil"/>
            </w:tcBorders>
            <w:noWrap w:val="0"/>
            <w:vAlign w:val="center"/>
          </w:tcPr>
          <w:p w14:paraId="66F69BD9">
            <w:pPr>
              <w:pStyle w:val="16"/>
              <w:bidi w:val="0"/>
              <w:rPr>
                <w:color w:val="auto"/>
              </w:rPr>
            </w:pPr>
            <w:r>
              <w:rPr>
                <w:color w:val="auto"/>
              </w:rPr>
              <w:t>90</w:t>
            </w:r>
          </w:p>
        </w:tc>
        <w:tc>
          <w:tcPr>
            <w:tcW w:w="425" w:type="pct"/>
            <w:tcBorders>
              <w:tl2br w:val="nil"/>
              <w:tr2bl w:val="nil"/>
            </w:tcBorders>
            <w:noWrap w:val="0"/>
            <w:vAlign w:val="center"/>
          </w:tcPr>
          <w:p w14:paraId="1B62D863">
            <w:pPr>
              <w:pStyle w:val="16"/>
              <w:bidi w:val="0"/>
              <w:rPr>
                <w:color w:val="auto"/>
              </w:rPr>
            </w:pPr>
            <w:r>
              <w:rPr>
                <w:color w:val="auto"/>
              </w:rPr>
              <w:t>84</w:t>
            </w:r>
          </w:p>
        </w:tc>
        <w:tc>
          <w:tcPr>
            <w:tcW w:w="425" w:type="pct"/>
            <w:tcBorders>
              <w:tl2br w:val="nil"/>
              <w:tr2bl w:val="nil"/>
            </w:tcBorders>
            <w:noWrap w:val="0"/>
            <w:vAlign w:val="center"/>
          </w:tcPr>
          <w:p w14:paraId="53617A21">
            <w:pPr>
              <w:pStyle w:val="16"/>
              <w:bidi w:val="0"/>
              <w:rPr>
                <w:color w:val="auto"/>
              </w:rPr>
            </w:pPr>
            <w:r>
              <w:rPr>
                <w:color w:val="auto"/>
              </w:rPr>
              <w:t>78</w:t>
            </w:r>
          </w:p>
        </w:tc>
        <w:tc>
          <w:tcPr>
            <w:tcW w:w="425" w:type="pct"/>
            <w:tcBorders>
              <w:tl2br w:val="nil"/>
              <w:tr2bl w:val="nil"/>
            </w:tcBorders>
            <w:noWrap w:val="0"/>
            <w:vAlign w:val="center"/>
          </w:tcPr>
          <w:p w14:paraId="2740C7FF">
            <w:pPr>
              <w:pStyle w:val="16"/>
              <w:bidi w:val="0"/>
              <w:rPr>
                <w:color w:val="auto"/>
              </w:rPr>
            </w:pPr>
            <w:r>
              <w:rPr>
                <w:color w:val="auto"/>
              </w:rPr>
              <w:t>74</w:t>
            </w:r>
          </w:p>
        </w:tc>
        <w:tc>
          <w:tcPr>
            <w:tcW w:w="425" w:type="pct"/>
            <w:tcBorders>
              <w:tl2br w:val="nil"/>
              <w:tr2bl w:val="nil"/>
            </w:tcBorders>
            <w:noWrap w:val="0"/>
            <w:vAlign w:val="center"/>
          </w:tcPr>
          <w:p w14:paraId="5F1B6ECF">
            <w:pPr>
              <w:pStyle w:val="16"/>
              <w:bidi w:val="0"/>
              <w:rPr>
                <w:color w:val="auto"/>
              </w:rPr>
            </w:pPr>
            <w:r>
              <w:rPr>
                <w:color w:val="auto"/>
              </w:rPr>
              <w:t>72</w:t>
            </w:r>
          </w:p>
        </w:tc>
        <w:tc>
          <w:tcPr>
            <w:tcW w:w="425" w:type="pct"/>
            <w:tcBorders>
              <w:tl2br w:val="nil"/>
              <w:tr2bl w:val="nil"/>
            </w:tcBorders>
            <w:noWrap w:val="0"/>
            <w:vAlign w:val="center"/>
          </w:tcPr>
          <w:p w14:paraId="4210E36E">
            <w:pPr>
              <w:pStyle w:val="16"/>
              <w:bidi w:val="0"/>
              <w:rPr>
                <w:color w:val="auto"/>
              </w:rPr>
            </w:pPr>
            <w:r>
              <w:rPr>
                <w:color w:val="auto"/>
              </w:rPr>
              <w:t>70</w:t>
            </w:r>
          </w:p>
        </w:tc>
        <w:tc>
          <w:tcPr>
            <w:tcW w:w="425" w:type="pct"/>
            <w:tcBorders>
              <w:tl2br w:val="nil"/>
              <w:tr2bl w:val="nil"/>
            </w:tcBorders>
            <w:noWrap w:val="0"/>
            <w:vAlign w:val="center"/>
          </w:tcPr>
          <w:p w14:paraId="5FB8A263">
            <w:pPr>
              <w:pStyle w:val="16"/>
              <w:bidi w:val="0"/>
              <w:rPr>
                <w:color w:val="auto"/>
              </w:rPr>
            </w:pPr>
            <w:r>
              <w:rPr>
                <w:color w:val="auto"/>
              </w:rPr>
              <w:t>64</w:t>
            </w:r>
          </w:p>
        </w:tc>
        <w:tc>
          <w:tcPr>
            <w:tcW w:w="425" w:type="pct"/>
            <w:tcBorders>
              <w:tl2br w:val="nil"/>
              <w:tr2bl w:val="nil"/>
            </w:tcBorders>
            <w:noWrap w:val="0"/>
            <w:vAlign w:val="center"/>
          </w:tcPr>
          <w:p w14:paraId="31D00B2F">
            <w:pPr>
              <w:pStyle w:val="16"/>
              <w:bidi w:val="0"/>
              <w:rPr>
                <w:color w:val="auto"/>
              </w:rPr>
            </w:pPr>
            <w:r>
              <w:rPr>
                <w:color w:val="auto"/>
              </w:rPr>
              <w:t>60</w:t>
            </w:r>
          </w:p>
        </w:tc>
        <w:tc>
          <w:tcPr>
            <w:tcW w:w="425" w:type="pct"/>
            <w:tcBorders>
              <w:tl2br w:val="nil"/>
              <w:tr2bl w:val="nil"/>
            </w:tcBorders>
            <w:noWrap w:val="0"/>
            <w:vAlign w:val="center"/>
          </w:tcPr>
          <w:p w14:paraId="335BE516">
            <w:pPr>
              <w:pStyle w:val="16"/>
              <w:bidi w:val="0"/>
              <w:rPr>
                <w:color w:val="auto"/>
              </w:rPr>
            </w:pPr>
            <w:r>
              <w:rPr>
                <w:color w:val="auto"/>
              </w:rPr>
              <w:t>58</w:t>
            </w:r>
          </w:p>
        </w:tc>
        <w:tc>
          <w:tcPr>
            <w:tcW w:w="426" w:type="pct"/>
            <w:tcBorders>
              <w:tl2br w:val="nil"/>
              <w:tr2bl w:val="nil"/>
            </w:tcBorders>
            <w:noWrap w:val="0"/>
            <w:vAlign w:val="center"/>
          </w:tcPr>
          <w:p w14:paraId="74B930A0">
            <w:pPr>
              <w:pStyle w:val="16"/>
              <w:bidi w:val="0"/>
              <w:rPr>
                <w:color w:val="auto"/>
              </w:rPr>
            </w:pPr>
            <w:r>
              <w:rPr>
                <w:color w:val="auto"/>
              </w:rPr>
              <w:t>54</w:t>
            </w:r>
          </w:p>
        </w:tc>
      </w:tr>
      <w:tr w14:paraId="68F6BC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tcBorders>
              <w:tl2br w:val="nil"/>
              <w:tr2bl w:val="nil"/>
            </w:tcBorders>
            <w:noWrap w:val="0"/>
            <w:vAlign w:val="center"/>
          </w:tcPr>
          <w:p w14:paraId="6275F1DB">
            <w:pPr>
              <w:pStyle w:val="16"/>
              <w:bidi w:val="0"/>
              <w:rPr>
                <w:color w:val="auto"/>
              </w:rPr>
            </w:pPr>
            <w:r>
              <w:rPr>
                <w:color w:val="auto"/>
              </w:rPr>
              <w:t>混凝土泵</w:t>
            </w:r>
          </w:p>
        </w:tc>
        <w:tc>
          <w:tcPr>
            <w:tcW w:w="318" w:type="pct"/>
            <w:tcBorders>
              <w:tl2br w:val="nil"/>
              <w:tr2bl w:val="nil"/>
            </w:tcBorders>
            <w:noWrap w:val="0"/>
            <w:vAlign w:val="center"/>
          </w:tcPr>
          <w:p w14:paraId="10A09A64">
            <w:pPr>
              <w:pStyle w:val="16"/>
              <w:bidi w:val="0"/>
              <w:rPr>
                <w:color w:val="auto"/>
              </w:rPr>
            </w:pPr>
            <w:r>
              <w:rPr>
                <w:color w:val="auto"/>
              </w:rPr>
              <w:t>85</w:t>
            </w:r>
          </w:p>
        </w:tc>
        <w:tc>
          <w:tcPr>
            <w:tcW w:w="425" w:type="pct"/>
            <w:tcBorders>
              <w:tl2br w:val="nil"/>
              <w:tr2bl w:val="nil"/>
            </w:tcBorders>
            <w:noWrap w:val="0"/>
            <w:vAlign w:val="center"/>
          </w:tcPr>
          <w:p w14:paraId="0C63A656">
            <w:pPr>
              <w:pStyle w:val="16"/>
              <w:bidi w:val="0"/>
              <w:rPr>
                <w:color w:val="auto"/>
              </w:rPr>
            </w:pPr>
            <w:r>
              <w:rPr>
                <w:color w:val="auto"/>
              </w:rPr>
              <w:t>79</w:t>
            </w:r>
          </w:p>
        </w:tc>
        <w:tc>
          <w:tcPr>
            <w:tcW w:w="425" w:type="pct"/>
            <w:tcBorders>
              <w:tl2br w:val="nil"/>
              <w:tr2bl w:val="nil"/>
            </w:tcBorders>
            <w:noWrap w:val="0"/>
            <w:vAlign w:val="center"/>
          </w:tcPr>
          <w:p w14:paraId="5233322A">
            <w:pPr>
              <w:pStyle w:val="16"/>
              <w:bidi w:val="0"/>
              <w:rPr>
                <w:color w:val="auto"/>
              </w:rPr>
            </w:pPr>
            <w:r>
              <w:rPr>
                <w:color w:val="auto"/>
              </w:rPr>
              <w:t>73</w:t>
            </w:r>
          </w:p>
        </w:tc>
        <w:tc>
          <w:tcPr>
            <w:tcW w:w="425" w:type="pct"/>
            <w:tcBorders>
              <w:tl2br w:val="nil"/>
              <w:tr2bl w:val="nil"/>
            </w:tcBorders>
            <w:noWrap w:val="0"/>
            <w:vAlign w:val="center"/>
          </w:tcPr>
          <w:p w14:paraId="56D34BA7">
            <w:pPr>
              <w:pStyle w:val="16"/>
              <w:bidi w:val="0"/>
              <w:rPr>
                <w:color w:val="auto"/>
              </w:rPr>
            </w:pPr>
            <w:r>
              <w:rPr>
                <w:color w:val="auto"/>
              </w:rPr>
              <w:t>69</w:t>
            </w:r>
          </w:p>
        </w:tc>
        <w:tc>
          <w:tcPr>
            <w:tcW w:w="425" w:type="pct"/>
            <w:tcBorders>
              <w:tl2br w:val="nil"/>
              <w:tr2bl w:val="nil"/>
            </w:tcBorders>
            <w:noWrap w:val="0"/>
            <w:vAlign w:val="center"/>
          </w:tcPr>
          <w:p w14:paraId="0F2B3DF8">
            <w:pPr>
              <w:pStyle w:val="16"/>
              <w:bidi w:val="0"/>
              <w:rPr>
                <w:color w:val="auto"/>
              </w:rPr>
            </w:pPr>
            <w:r>
              <w:rPr>
                <w:color w:val="auto"/>
              </w:rPr>
              <w:t>67</w:t>
            </w:r>
          </w:p>
        </w:tc>
        <w:tc>
          <w:tcPr>
            <w:tcW w:w="425" w:type="pct"/>
            <w:tcBorders>
              <w:tl2br w:val="nil"/>
              <w:tr2bl w:val="nil"/>
            </w:tcBorders>
            <w:noWrap w:val="0"/>
            <w:vAlign w:val="center"/>
          </w:tcPr>
          <w:p w14:paraId="1EF8CB39">
            <w:pPr>
              <w:pStyle w:val="16"/>
              <w:bidi w:val="0"/>
              <w:rPr>
                <w:color w:val="auto"/>
              </w:rPr>
            </w:pPr>
            <w:r>
              <w:rPr>
                <w:color w:val="auto"/>
              </w:rPr>
              <w:t>65</w:t>
            </w:r>
          </w:p>
        </w:tc>
        <w:tc>
          <w:tcPr>
            <w:tcW w:w="425" w:type="pct"/>
            <w:tcBorders>
              <w:tl2br w:val="nil"/>
              <w:tr2bl w:val="nil"/>
            </w:tcBorders>
            <w:noWrap w:val="0"/>
            <w:vAlign w:val="center"/>
          </w:tcPr>
          <w:p w14:paraId="67B9A224">
            <w:pPr>
              <w:pStyle w:val="16"/>
              <w:bidi w:val="0"/>
              <w:rPr>
                <w:color w:val="auto"/>
              </w:rPr>
            </w:pPr>
            <w:r>
              <w:rPr>
                <w:color w:val="auto"/>
              </w:rPr>
              <w:t>59</w:t>
            </w:r>
          </w:p>
        </w:tc>
        <w:tc>
          <w:tcPr>
            <w:tcW w:w="425" w:type="pct"/>
            <w:tcBorders>
              <w:tl2br w:val="nil"/>
              <w:tr2bl w:val="nil"/>
            </w:tcBorders>
            <w:noWrap w:val="0"/>
            <w:vAlign w:val="center"/>
          </w:tcPr>
          <w:p w14:paraId="377C4512">
            <w:pPr>
              <w:pStyle w:val="16"/>
              <w:bidi w:val="0"/>
              <w:rPr>
                <w:color w:val="auto"/>
              </w:rPr>
            </w:pPr>
            <w:r>
              <w:rPr>
                <w:color w:val="auto"/>
              </w:rPr>
              <w:t>55</w:t>
            </w:r>
          </w:p>
        </w:tc>
        <w:tc>
          <w:tcPr>
            <w:tcW w:w="425" w:type="pct"/>
            <w:tcBorders>
              <w:tl2br w:val="nil"/>
              <w:tr2bl w:val="nil"/>
            </w:tcBorders>
            <w:noWrap w:val="0"/>
            <w:vAlign w:val="center"/>
          </w:tcPr>
          <w:p w14:paraId="0D5B5A9B">
            <w:pPr>
              <w:pStyle w:val="16"/>
              <w:bidi w:val="0"/>
              <w:rPr>
                <w:color w:val="auto"/>
              </w:rPr>
            </w:pPr>
            <w:r>
              <w:rPr>
                <w:color w:val="auto"/>
              </w:rPr>
              <w:t>53</w:t>
            </w:r>
          </w:p>
        </w:tc>
        <w:tc>
          <w:tcPr>
            <w:tcW w:w="426" w:type="pct"/>
            <w:tcBorders>
              <w:tl2br w:val="nil"/>
              <w:tr2bl w:val="nil"/>
            </w:tcBorders>
            <w:noWrap w:val="0"/>
            <w:vAlign w:val="center"/>
          </w:tcPr>
          <w:p w14:paraId="7ACD75F2">
            <w:pPr>
              <w:pStyle w:val="16"/>
              <w:bidi w:val="0"/>
              <w:rPr>
                <w:color w:val="auto"/>
              </w:rPr>
            </w:pPr>
            <w:r>
              <w:rPr>
                <w:color w:val="auto"/>
              </w:rPr>
              <w:t>49</w:t>
            </w:r>
          </w:p>
        </w:tc>
      </w:tr>
      <w:tr w14:paraId="0BE0A5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tcBorders>
              <w:tl2br w:val="nil"/>
              <w:tr2bl w:val="nil"/>
            </w:tcBorders>
            <w:noWrap w:val="0"/>
            <w:vAlign w:val="center"/>
          </w:tcPr>
          <w:p w14:paraId="7C0A794B">
            <w:pPr>
              <w:pStyle w:val="16"/>
              <w:bidi w:val="0"/>
              <w:rPr>
                <w:color w:val="auto"/>
              </w:rPr>
            </w:pPr>
            <w:r>
              <w:rPr>
                <w:color w:val="auto"/>
              </w:rPr>
              <w:t>移动式吊车</w:t>
            </w:r>
          </w:p>
        </w:tc>
        <w:tc>
          <w:tcPr>
            <w:tcW w:w="318" w:type="pct"/>
            <w:tcBorders>
              <w:tl2br w:val="nil"/>
              <w:tr2bl w:val="nil"/>
            </w:tcBorders>
            <w:noWrap w:val="0"/>
            <w:vAlign w:val="center"/>
          </w:tcPr>
          <w:p w14:paraId="63EA4ADE">
            <w:pPr>
              <w:pStyle w:val="16"/>
              <w:bidi w:val="0"/>
              <w:rPr>
                <w:color w:val="auto"/>
              </w:rPr>
            </w:pPr>
            <w:r>
              <w:rPr>
                <w:color w:val="auto"/>
              </w:rPr>
              <w:t>92</w:t>
            </w:r>
          </w:p>
        </w:tc>
        <w:tc>
          <w:tcPr>
            <w:tcW w:w="425" w:type="pct"/>
            <w:tcBorders>
              <w:tl2br w:val="nil"/>
              <w:tr2bl w:val="nil"/>
            </w:tcBorders>
            <w:noWrap w:val="0"/>
            <w:vAlign w:val="center"/>
          </w:tcPr>
          <w:p w14:paraId="42DC8885">
            <w:pPr>
              <w:pStyle w:val="16"/>
              <w:bidi w:val="0"/>
              <w:rPr>
                <w:color w:val="auto"/>
              </w:rPr>
            </w:pPr>
            <w:r>
              <w:rPr>
                <w:color w:val="auto"/>
              </w:rPr>
              <w:t>86</w:t>
            </w:r>
          </w:p>
        </w:tc>
        <w:tc>
          <w:tcPr>
            <w:tcW w:w="425" w:type="pct"/>
            <w:tcBorders>
              <w:tl2br w:val="nil"/>
              <w:tr2bl w:val="nil"/>
            </w:tcBorders>
            <w:noWrap w:val="0"/>
            <w:vAlign w:val="center"/>
          </w:tcPr>
          <w:p w14:paraId="4C0EC3D0">
            <w:pPr>
              <w:pStyle w:val="16"/>
              <w:bidi w:val="0"/>
              <w:rPr>
                <w:color w:val="auto"/>
              </w:rPr>
            </w:pPr>
            <w:r>
              <w:rPr>
                <w:color w:val="auto"/>
              </w:rPr>
              <w:t>80</w:t>
            </w:r>
          </w:p>
        </w:tc>
        <w:tc>
          <w:tcPr>
            <w:tcW w:w="425" w:type="pct"/>
            <w:tcBorders>
              <w:tl2br w:val="nil"/>
              <w:tr2bl w:val="nil"/>
            </w:tcBorders>
            <w:noWrap w:val="0"/>
            <w:vAlign w:val="center"/>
          </w:tcPr>
          <w:p w14:paraId="189E1C8A">
            <w:pPr>
              <w:pStyle w:val="16"/>
              <w:bidi w:val="0"/>
              <w:rPr>
                <w:color w:val="auto"/>
              </w:rPr>
            </w:pPr>
            <w:r>
              <w:rPr>
                <w:color w:val="auto"/>
              </w:rPr>
              <w:t>76</w:t>
            </w:r>
          </w:p>
        </w:tc>
        <w:tc>
          <w:tcPr>
            <w:tcW w:w="425" w:type="pct"/>
            <w:tcBorders>
              <w:tl2br w:val="nil"/>
              <w:tr2bl w:val="nil"/>
            </w:tcBorders>
            <w:noWrap w:val="0"/>
            <w:vAlign w:val="center"/>
          </w:tcPr>
          <w:p w14:paraId="7A9AC188">
            <w:pPr>
              <w:pStyle w:val="16"/>
              <w:bidi w:val="0"/>
              <w:rPr>
                <w:color w:val="auto"/>
              </w:rPr>
            </w:pPr>
            <w:r>
              <w:rPr>
                <w:color w:val="auto"/>
              </w:rPr>
              <w:t>74</w:t>
            </w:r>
          </w:p>
        </w:tc>
        <w:tc>
          <w:tcPr>
            <w:tcW w:w="425" w:type="pct"/>
            <w:tcBorders>
              <w:tl2br w:val="nil"/>
              <w:tr2bl w:val="nil"/>
            </w:tcBorders>
            <w:noWrap w:val="0"/>
            <w:vAlign w:val="center"/>
          </w:tcPr>
          <w:p w14:paraId="1AA610F4">
            <w:pPr>
              <w:pStyle w:val="16"/>
              <w:bidi w:val="0"/>
              <w:rPr>
                <w:color w:val="auto"/>
              </w:rPr>
            </w:pPr>
            <w:r>
              <w:rPr>
                <w:color w:val="auto"/>
              </w:rPr>
              <w:t>72</w:t>
            </w:r>
          </w:p>
        </w:tc>
        <w:tc>
          <w:tcPr>
            <w:tcW w:w="425" w:type="pct"/>
            <w:tcBorders>
              <w:tl2br w:val="nil"/>
              <w:tr2bl w:val="nil"/>
            </w:tcBorders>
            <w:noWrap w:val="0"/>
            <w:vAlign w:val="center"/>
          </w:tcPr>
          <w:p w14:paraId="021CD4C2">
            <w:pPr>
              <w:pStyle w:val="16"/>
              <w:bidi w:val="0"/>
              <w:rPr>
                <w:color w:val="auto"/>
              </w:rPr>
            </w:pPr>
            <w:r>
              <w:rPr>
                <w:color w:val="auto"/>
              </w:rPr>
              <w:t>66</w:t>
            </w:r>
          </w:p>
        </w:tc>
        <w:tc>
          <w:tcPr>
            <w:tcW w:w="425" w:type="pct"/>
            <w:tcBorders>
              <w:tl2br w:val="nil"/>
              <w:tr2bl w:val="nil"/>
            </w:tcBorders>
            <w:noWrap w:val="0"/>
            <w:vAlign w:val="center"/>
          </w:tcPr>
          <w:p w14:paraId="18340EE3">
            <w:pPr>
              <w:pStyle w:val="16"/>
              <w:bidi w:val="0"/>
              <w:rPr>
                <w:color w:val="auto"/>
              </w:rPr>
            </w:pPr>
            <w:r>
              <w:rPr>
                <w:color w:val="auto"/>
              </w:rPr>
              <w:t>62</w:t>
            </w:r>
          </w:p>
        </w:tc>
        <w:tc>
          <w:tcPr>
            <w:tcW w:w="425" w:type="pct"/>
            <w:tcBorders>
              <w:tl2br w:val="nil"/>
              <w:tr2bl w:val="nil"/>
            </w:tcBorders>
            <w:noWrap w:val="0"/>
            <w:vAlign w:val="center"/>
          </w:tcPr>
          <w:p w14:paraId="4DB40A46">
            <w:pPr>
              <w:pStyle w:val="16"/>
              <w:bidi w:val="0"/>
              <w:rPr>
                <w:color w:val="auto"/>
              </w:rPr>
            </w:pPr>
            <w:r>
              <w:rPr>
                <w:color w:val="auto"/>
              </w:rPr>
              <w:t>60</w:t>
            </w:r>
          </w:p>
        </w:tc>
        <w:tc>
          <w:tcPr>
            <w:tcW w:w="426" w:type="pct"/>
            <w:tcBorders>
              <w:tl2br w:val="nil"/>
              <w:tr2bl w:val="nil"/>
            </w:tcBorders>
            <w:noWrap w:val="0"/>
            <w:vAlign w:val="center"/>
          </w:tcPr>
          <w:p w14:paraId="475F9E0A">
            <w:pPr>
              <w:pStyle w:val="16"/>
              <w:bidi w:val="0"/>
              <w:rPr>
                <w:color w:val="auto"/>
              </w:rPr>
            </w:pPr>
            <w:r>
              <w:rPr>
                <w:color w:val="auto"/>
              </w:rPr>
              <w:t>56</w:t>
            </w:r>
          </w:p>
        </w:tc>
      </w:tr>
      <w:tr w14:paraId="45D48E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1" w:type="pct"/>
            <w:tcBorders>
              <w:tl2br w:val="nil"/>
              <w:tr2bl w:val="nil"/>
            </w:tcBorders>
            <w:noWrap w:val="0"/>
            <w:vAlign w:val="center"/>
          </w:tcPr>
          <w:p w14:paraId="4BEF20E9">
            <w:pPr>
              <w:pStyle w:val="16"/>
              <w:bidi w:val="0"/>
              <w:rPr>
                <w:color w:val="auto"/>
              </w:rPr>
            </w:pPr>
            <w:r>
              <w:rPr>
                <w:color w:val="auto"/>
              </w:rPr>
              <w:t>运输车辆</w:t>
            </w:r>
          </w:p>
        </w:tc>
        <w:tc>
          <w:tcPr>
            <w:tcW w:w="318" w:type="pct"/>
            <w:tcBorders>
              <w:tl2br w:val="nil"/>
              <w:tr2bl w:val="nil"/>
            </w:tcBorders>
            <w:noWrap w:val="0"/>
            <w:vAlign w:val="center"/>
          </w:tcPr>
          <w:p w14:paraId="34B967BA">
            <w:pPr>
              <w:pStyle w:val="16"/>
              <w:bidi w:val="0"/>
              <w:rPr>
                <w:color w:val="auto"/>
              </w:rPr>
            </w:pPr>
            <w:r>
              <w:rPr>
                <w:color w:val="auto"/>
              </w:rPr>
              <w:t>88</w:t>
            </w:r>
          </w:p>
        </w:tc>
        <w:tc>
          <w:tcPr>
            <w:tcW w:w="425" w:type="pct"/>
            <w:tcBorders>
              <w:tl2br w:val="nil"/>
              <w:tr2bl w:val="nil"/>
            </w:tcBorders>
            <w:noWrap w:val="0"/>
            <w:vAlign w:val="center"/>
          </w:tcPr>
          <w:p w14:paraId="01D793EC">
            <w:pPr>
              <w:pStyle w:val="16"/>
              <w:bidi w:val="0"/>
              <w:rPr>
                <w:color w:val="auto"/>
              </w:rPr>
            </w:pPr>
            <w:r>
              <w:rPr>
                <w:color w:val="auto"/>
              </w:rPr>
              <w:t>82</w:t>
            </w:r>
          </w:p>
        </w:tc>
        <w:tc>
          <w:tcPr>
            <w:tcW w:w="425" w:type="pct"/>
            <w:tcBorders>
              <w:tl2br w:val="nil"/>
              <w:tr2bl w:val="nil"/>
            </w:tcBorders>
            <w:noWrap w:val="0"/>
            <w:vAlign w:val="center"/>
          </w:tcPr>
          <w:p w14:paraId="222BF2E4">
            <w:pPr>
              <w:pStyle w:val="16"/>
              <w:bidi w:val="0"/>
              <w:rPr>
                <w:color w:val="auto"/>
              </w:rPr>
            </w:pPr>
            <w:r>
              <w:rPr>
                <w:color w:val="auto"/>
              </w:rPr>
              <w:t>76</w:t>
            </w:r>
          </w:p>
        </w:tc>
        <w:tc>
          <w:tcPr>
            <w:tcW w:w="425" w:type="pct"/>
            <w:tcBorders>
              <w:tl2br w:val="nil"/>
              <w:tr2bl w:val="nil"/>
            </w:tcBorders>
            <w:noWrap w:val="0"/>
            <w:vAlign w:val="center"/>
          </w:tcPr>
          <w:p w14:paraId="11D77EA7">
            <w:pPr>
              <w:pStyle w:val="16"/>
              <w:bidi w:val="0"/>
              <w:rPr>
                <w:color w:val="auto"/>
              </w:rPr>
            </w:pPr>
            <w:r>
              <w:rPr>
                <w:color w:val="auto"/>
              </w:rPr>
              <w:t>72</w:t>
            </w:r>
          </w:p>
        </w:tc>
        <w:tc>
          <w:tcPr>
            <w:tcW w:w="425" w:type="pct"/>
            <w:tcBorders>
              <w:tl2br w:val="nil"/>
              <w:tr2bl w:val="nil"/>
            </w:tcBorders>
            <w:noWrap w:val="0"/>
            <w:vAlign w:val="center"/>
          </w:tcPr>
          <w:p w14:paraId="32A5A009">
            <w:pPr>
              <w:pStyle w:val="16"/>
              <w:bidi w:val="0"/>
              <w:rPr>
                <w:color w:val="auto"/>
              </w:rPr>
            </w:pPr>
            <w:r>
              <w:rPr>
                <w:color w:val="auto"/>
              </w:rPr>
              <w:t>72</w:t>
            </w:r>
          </w:p>
        </w:tc>
        <w:tc>
          <w:tcPr>
            <w:tcW w:w="425" w:type="pct"/>
            <w:tcBorders>
              <w:tl2br w:val="nil"/>
              <w:tr2bl w:val="nil"/>
            </w:tcBorders>
            <w:noWrap w:val="0"/>
            <w:vAlign w:val="center"/>
          </w:tcPr>
          <w:p w14:paraId="47B0E440">
            <w:pPr>
              <w:pStyle w:val="16"/>
              <w:bidi w:val="0"/>
              <w:rPr>
                <w:color w:val="auto"/>
              </w:rPr>
            </w:pPr>
            <w:r>
              <w:rPr>
                <w:color w:val="auto"/>
              </w:rPr>
              <w:t>68</w:t>
            </w:r>
          </w:p>
        </w:tc>
        <w:tc>
          <w:tcPr>
            <w:tcW w:w="425" w:type="pct"/>
            <w:tcBorders>
              <w:tl2br w:val="nil"/>
              <w:tr2bl w:val="nil"/>
            </w:tcBorders>
            <w:noWrap w:val="0"/>
            <w:vAlign w:val="center"/>
          </w:tcPr>
          <w:p w14:paraId="20312E22">
            <w:pPr>
              <w:pStyle w:val="16"/>
              <w:bidi w:val="0"/>
              <w:rPr>
                <w:color w:val="auto"/>
              </w:rPr>
            </w:pPr>
            <w:r>
              <w:rPr>
                <w:color w:val="auto"/>
              </w:rPr>
              <w:t>62</w:t>
            </w:r>
          </w:p>
        </w:tc>
        <w:tc>
          <w:tcPr>
            <w:tcW w:w="425" w:type="pct"/>
            <w:tcBorders>
              <w:tl2br w:val="nil"/>
              <w:tr2bl w:val="nil"/>
            </w:tcBorders>
            <w:noWrap w:val="0"/>
            <w:vAlign w:val="center"/>
          </w:tcPr>
          <w:p w14:paraId="0C885CFD">
            <w:pPr>
              <w:pStyle w:val="16"/>
              <w:bidi w:val="0"/>
              <w:rPr>
                <w:color w:val="auto"/>
              </w:rPr>
            </w:pPr>
            <w:r>
              <w:rPr>
                <w:color w:val="auto"/>
              </w:rPr>
              <w:t>58</w:t>
            </w:r>
          </w:p>
        </w:tc>
        <w:tc>
          <w:tcPr>
            <w:tcW w:w="425" w:type="pct"/>
            <w:tcBorders>
              <w:tl2br w:val="nil"/>
              <w:tr2bl w:val="nil"/>
            </w:tcBorders>
            <w:noWrap w:val="0"/>
            <w:vAlign w:val="center"/>
          </w:tcPr>
          <w:p w14:paraId="740136EC">
            <w:pPr>
              <w:pStyle w:val="16"/>
              <w:bidi w:val="0"/>
              <w:rPr>
                <w:color w:val="auto"/>
              </w:rPr>
            </w:pPr>
            <w:r>
              <w:rPr>
                <w:color w:val="auto"/>
              </w:rPr>
              <w:t>56</w:t>
            </w:r>
          </w:p>
        </w:tc>
        <w:tc>
          <w:tcPr>
            <w:tcW w:w="426" w:type="pct"/>
            <w:tcBorders>
              <w:tl2br w:val="nil"/>
              <w:tr2bl w:val="nil"/>
            </w:tcBorders>
            <w:noWrap w:val="0"/>
            <w:vAlign w:val="center"/>
          </w:tcPr>
          <w:p w14:paraId="4F1F4BB7">
            <w:pPr>
              <w:pStyle w:val="16"/>
              <w:bidi w:val="0"/>
              <w:rPr>
                <w:color w:val="auto"/>
              </w:rPr>
            </w:pPr>
            <w:r>
              <w:rPr>
                <w:color w:val="auto"/>
              </w:rPr>
              <w:t>52</w:t>
            </w:r>
          </w:p>
        </w:tc>
      </w:tr>
    </w:tbl>
    <w:p w14:paraId="6BF25402">
      <w:pPr>
        <w:pageBreakBefore w:val="0"/>
        <w:wordWrap/>
        <w:bidi w:val="0"/>
        <w:adjustRightInd/>
        <w:snapToGrid/>
        <w:spacing w:before="6" w:line="140" w:lineRule="exact"/>
        <w:ind w:firstLine="280"/>
        <w:jc w:val="left"/>
        <w:rPr>
          <w:color w:val="auto"/>
          <w:kern w:val="0"/>
          <w:sz w:val="14"/>
          <w:szCs w:val="14"/>
        </w:rPr>
      </w:pPr>
    </w:p>
    <w:p w14:paraId="4160CE4B">
      <w:pPr>
        <w:bidi w:val="0"/>
        <w:rPr>
          <w:color w:val="auto"/>
        </w:rPr>
      </w:pPr>
      <w:r>
        <w:rPr>
          <w:color w:val="auto"/>
        </w:rPr>
        <w:t>工程建设施工工作量大，而且机械化程度高，由此而产生的噪声对周围区域环境有一定的影响。这种影响是短期的、暂时的，而且具有局部地段特性。根据《建筑施工场界环境噪声排放标准》（GB12523-2011），施工场界噪声限值为：昼间70dB</w:t>
      </w:r>
      <w:r>
        <w:rPr>
          <w:rFonts w:hint="eastAsia"/>
          <w:color w:val="auto"/>
          <w:lang w:eastAsia="zh-CN"/>
        </w:rPr>
        <w:t>（</w:t>
      </w:r>
      <w:r>
        <w:rPr>
          <w:color w:val="auto"/>
        </w:rPr>
        <w:t>A</w:t>
      </w:r>
      <w:r>
        <w:rPr>
          <w:rFonts w:hint="eastAsia"/>
          <w:color w:val="auto"/>
          <w:lang w:eastAsia="zh-CN"/>
        </w:rPr>
        <w:t>）</w:t>
      </w:r>
      <w:r>
        <w:rPr>
          <w:color w:val="auto"/>
        </w:rPr>
        <w:t>，夜间55dB</w:t>
      </w:r>
      <w:r>
        <w:rPr>
          <w:rFonts w:hint="eastAsia"/>
          <w:color w:val="auto"/>
          <w:lang w:eastAsia="zh-CN"/>
        </w:rPr>
        <w:t>（</w:t>
      </w:r>
      <w:r>
        <w:rPr>
          <w:color w:val="auto"/>
        </w:rPr>
        <w:t>A</w:t>
      </w:r>
      <w:r>
        <w:rPr>
          <w:rFonts w:hint="eastAsia"/>
          <w:color w:val="auto"/>
          <w:lang w:eastAsia="zh-CN"/>
        </w:rPr>
        <w:t>）</w:t>
      </w:r>
      <w:r>
        <w:rPr>
          <w:color w:val="auto"/>
        </w:rPr>
        <w:t>。从上表可知，在不采取积极降噪措施情况下，仅凭距离衰减，昼间在距施工机械30m处和夜间距施工机械300m处噪声才符合《建筑施工场界环境噪声排放标准》（GB12523-2011）标准限值。由于项目300m范围内存在声环境保护目标，因此施工噪声对周边居民日常生活影响较大，必须采取积极降噪措施。</w:t>
      </w:r>
    </w:p>
    <w:p w14:paraId="6B8163C5">
      <w:pPr>
        <w:pageBreakBefore w:val="0"/>
        <w:wordWrap/>
        <w:bidi w:val="0"/>
        <w:adjustRightInd/>
        <w:snapToGrid/>
        <w:ind w:firstLine="480"/>
        <w:rPr>
          <w:color w:val="auto"/>
        </w:rPr>
      </w:pPr>
      <w:r>
        <w:rPr>
          <w:color w:val="auto"/>
        </w:rPr>
        <w:t>本项目施工噪声特别是夜间施工噪声对周围单位和居民群众存在较大影响。为减小施工噪声对周围环境特别是噪声敏感点的影响，环评提出以下要求：</w:t>
      </w:r>
    </w:p>
    <w:p w14:paraId="3258356C">
      <w:pPr>
        <w:pageBreakBefore w:val="0"/>
        <w:wordWrap/>
        <w:bidi w:val="0"/>
        <w:adjustRightInd/>
        <w:snapToGrid/>
        <w:ind w:firstLine="480"/>
        <w:rPr>
          <w:color w:val="auto"/>
        </w:rPr>
      </w:pPr>
      <w:r>
        <w:rPr>
          <w:color w:val="auto"/>
        </w:rPr>
        <w:t>（1）凡是噪声达到85dB</w:t>
      </w:r>
      <w:r>
        <w:rPr>
          <w:rFonts w:hint="eastAsia"/>
          <w:color w:val="auto"/>
          <w:lang w:eastAsia="zh-CN"/>
        </w:rPr>
        <w:t>（</w:t>
      </w:r>
      <w:r>
        <w:rPr>
          <w:color w:val="auto"/>
        </w:rPr>
        <w:t>A</w:t>
      </w:r>
      <w:r>
        <w:rPr>
          <w:rFonts w:hint="eastAsia"/>
          <w:color w:val="auto"/>
          <w:lang w:eastAsia="zh-CN"/>
        </w:rPr>
        <w:t>）</w:t>
      </w:r>
      <w:r>
        <w:rPr>
          <w:color w:val="auto"/>
        </w:rPr>
        <w:t>以上的作业，禁止夜间施工。如果工艺要求必须连续作业的强噪声施工，应首先征的当地环保、城管等主管部门的同意，并及时公告周围的居民和单位，以免发生噪声扰民纠纷。</w:t>
      </w:r>
    </w:p>
    <w:p w14:paraId="7CF3144F">
      <w:pPr>
        <w:pageBreakBefore w:val="0"/>
        <w:wordWrap/>
        <w:bidi w:val="0"/>
        <w:adjustRightInd/>
        <w:snapToGrid/>
        <w:ind w:firstLine="480"/>
        <w:rPr>
          <w:color w:val="auto"/>
        </w:rPr>
      </w:pPr>
      <w:r>
        <w:rPr>
          <w:color w:val="auto"/>
        </w:rPr>
        <w:t>（2）工程在施工时，将主要噪声源，如搅拌机，布置在远离敏感点的地方，同时尽量采用低噪声的施工工具，如以液压工具代替气压工具，同时尽可能采用施工噪声低的施工方法。合理安排施工时间，避免夜间施工。中、高考期间禁止施工。工程施工汽车晚间运输应用灯光示警，禁鸣喇叭。</w:t>
      </w:r>
    </w:p>
    <w:p w14:paraId="7B46C45D">
      <w:pPr>
        <w:pageBreakBefore w:val="0"/>
        <w:wordWrap/>
        <w:bidi w:val="0"/>
        <w:adjustRightInd/>
        <w:snapToGrid/>
        <w:ind w:firstLine="480"/>
        <w:rPr>
          <w:color w:val="auto"/>
        </w:rPr>
      </w:pPr>
      <w:r>
        <w:rPr>
          <w:color w:val="auto"/>
        </w:rPr>
        <w:t>（3）混凝土搅拌机等固定施工机械应设置在150m范围内无学校和较大居民区的地方，在无法避开的情况下，应采取临时降噪措施，如安置临时声屏障等。建设单位应规范使用施工现场围挡，充分发挥其隔声降噪作用，距施工点两侧50m以内如有声环境保护目标，则该路段施工时应增加施工围挡的高度。</w:t>
      </w:r>
    </w:p>
    <w:p w14:paraId="6DC0753A">
      <w:pPr>
        <w:pageBreakBefore w:val="0"/>
        <w:wordWrap/>
        <w:bidi w:val="0"/>
        <w:adjustRightInd/>
        <w:snapToGrid/>
        <w:ind w:firstLine="480"/>
        <w:rPr>
          <w:color w:val="auto"/>
        </w:rPr>
      </w:pPr>
      <w:r>
        <w:rPr>
          <w:color w:val="auto"/>
        </w:rPr>
        <w:t>（4）施工设备尽量采用先进低噪声设备，对产生噪声的施工设备加强维护和维修工作。</w:t>
      </w:r>
    </w:p>
    <w:p w14:paraId="7BC6877F">
      <w:pPr>
        <w:pageBreakBefore w:val="0"/>
        <w:wordWrap/>
        <w:bidi w:val="0"/>
        <w:adjustRightInd/>
        <w:snapToGrid/>
        <w:ind w:firstLine="480"/>
        <w:rPr>
          <w:color w:val="auto"/>
        </w:rPr>
      </w:pPr>
      <w:r>
        <w:rPr>
          <w:color w:val="auto"/>
        </w:rPr>
        <w:t>（5）加强对施工运输车辆的管理，尽量压缩工区汽车数量和行车密度，控制汽车鸣笛。</w:t>
      </w:r>
    </w:p>
    <w:p w14:paraId="4C9FC234">
      <w:pPr>
        <w:pageBreakBefore w:val="0"/>
        <w:wordWrap/>
        <w:bidi w:val="0"/>
        <w:adjustRightInd/>
        <w:snapToGrid/>
        <w:ind w:firstLine="480"/>
        <w:rPr>
          <w:color w:val="auto"/>
        </w:rPr>
      </w:pPr>
      <w:r>
        <w:rPr>
          <w:color w:val="auto"/>
        </w:rPr>
        <w:t>（6）施工单位要加强与施工点周围单位和住户的沟通和联系，讲清项目建设的必要性和重要意义，做好受影响群众的思想工作，提高广大群众的认识，争取群众的理解和支持。同时施工单位要加强对职工的教育，</w:t>
      </w:r>
      <w:r>
        <w:rPr>
          <w:rFonts w:hint="eastAsia"/>
          <w:color w:val="auto"/>
          <w:lang w:eastAsia="zh-CN"/>
        </w:rPr>
        <w:t>增强</w:t>
      </w:r>
      <w:r>
        <w:rPr>
          <w:color w:val="auto"/>
        </w:rPr>
        <w:t>作业人员的环保意识，坚持科学组织、文明施工。</w:t>
      </w:r>
    </w:p>
    <w:p w14:paraId="7D77BDF4">
      <w:pPr>
        <w:pageBreakBefore w:val="0"/>
        <w:wordWrap/>
        <w:bidi w:val="0"/>
        <w:adjustRightInd/>
        <w:snapToGrid/>
        <w:ind w:firstLine="480"/>
        <w:rPr>
          <w:b/>
          <w:bCs/>
          <w:color w:val="auto"/>
          <w:u w:val="single"/>
        </w:rPr>
      </w:pPr>
      <w:r>
        <w:rPr>
          <w:b/>
          <w:bCs/>
          <w:color w:val="auto"/>
          <w:u w:val="single"/>
        </w:rPr>
        <w:t>采取有效措施对场址施工噪声进行控制后，会将本项目施工噪声对周围敏感点影响控制在最低水平。</w:t>
      </w:r>
    </w:p>
    <w:p w14:paraId="2795E90B">
      <w:pPr>
        <w:pStyle w:val="5"/>
        <w:pageBreakBefore w:val="0"/>
        <w:wordWrap/>
        <w:bidi w:val="0"/>
        <w:adjustRightInd/>
        <w:snapToGrid/>
        <w:spacing w:before="62" w:after="62"/>
        <w:ind w:left="0"/>
        <w:rPr>
          <w:rFonts w:eastAsia="宋体"/>
          <w:color w:val="auto"/>
        </w:rPr>
      </w:pPr>
      <w:r>
        <w:rPr>
          <w:rFonts w:hint="eastAsia" w:eastAsia="宋体"/>
          <w:color w:val="auto"/>
        </w:rPr>
        <w:t xml:space="preserve"> </w:t>
      </w:r>
      <w:r>
        <w:rPr>
          <w:rFonts w:eastAsia="宋体"/>
          <w:color w:val="auto"/>
        </w:rPr>
        <w:t>施工期固体废物环境影响预测与评价</w:t>
      </w:r>
    </w:p>
    <w:p w14:paraId="0777B2F2">
      <w:pPr>
        <w:pageBreakBefore w:val="0"/>
        <w:wordWrap/>
        <w:autoSpaceDE w:val="0"/>
        <w:autoSpaceDN w:val="0"/>
        <w:bidi w:val="0"/>
        <w:adjustRightInd/>
        <w:snapToGrid/>
        <w:ind w:firstLine="480"/>
        <w:rPr>
          <w:color w:val="auto"/>
        </w:rPr>
      </w:pPr>
      <w:r>
        <w:rPr>
          <w:color w:val="auto"/>
        </w:rPr>
        <w:t>工程在建设过程产生的主要固体废物为施工建筑垃圾、生活垃圾、土石方弃土以及建筑材料等。</w:t>
      </w:r>
    </w:p>
    <w:p w14:paraId="15CE8A4E">
      <w:pPr>
        <w:pageBreakBefore w:val="0"/>
        <w:numPr>
          <w:ilvl w:val="0"/>
          <w:numId w:val="30"/>
        </w:numPr>
        <w:wordWrap/>
        <w:autoSpaceDE w:val="0"/>
        <w:autoSpaceDN w:val="0"/>
        <w:bidi w:val="0"/>
        <w:adjustRightInd/>
        <w:snapToGrid/>
        <w:ind w:firstLine="480"/>
        <w:rPr>
          <w:b/>
          <w:color w:val="auto"/>
          <w:szCs w:val="28"/>
        </w:rPr>
      </w:pPr>
      <w:r>
        <w:rPr>
          <w:b/>
          <w:color w:val="auto"/>
          <w:szCs w:val="28"/>
        </w:rPr>
        <w:t>建筑垃圾</w:t>
      </w:r>
    </w:p>
    <w:p w14:paraId="2B47F8F6">
      <w:pPr>
        <w:bidi w:val="0"/>
        <w:rPr>
          <w:color w:val="auto"/>
        </w:rPr>
      </w:pPr>
      <w:r>
        <w:rPr>
          <w:color w:val="auto"/>
        </w:rPr>
        <w:t>建设单位应在施工现场设置建筑垃圾临时堆场，并树立标示牌，临时堆场布置于地块</w:t>
      </w:r>
      <w:r>
        <w:rPr>
          <w:rFonts w:hint="eastAsia"/>
          <w:color w:val="auto"/>
          <w:lang w:val="en-US" w:eastAsia="zh-CN"/>
        </w:rPr>
        <w:t>南侧</w:t>
      </w:r>
      <w:r>
        <w:rPr>
          <w:color w:val="auto"/>
        </w:rPr>
        <w:t>。对于施工期间产生的可回收利用的废料（如钢筋、钢板、木材等下</w:t>
      </w:r>
      <w:r>
        <w:rPr>
          <w:rFonts w:hint="eastAsia"/>
          <w:color w:val="auto"/>
        </w:rPr>
        <w:t>脚</w:t>
      </w:r>
      <w:r>
        <w:rPr>
          <w:color w:val="auto"/>
        </w:rPr>
        <w:t>料）通过分类收集后交废物收购站处理；对不能回收的建筑垃圾（如混凝土废料、含砖、石、砂的杂土等）应及时清运至政府部门指定的建筑垃圾堆放场所。同时，为确保建筑垃圾处置措施落实，建设单位或施工总承包单位在与建筑垃圾清运公司签订运输合同时，应要求承包公司提供废弃物去向的证明材料，严禁随意倾倒、填埋，不得出现超载、撒漏、不到指定地点卸货等现象。严禁建筑垃圾倾倒至项目周边地表水体内。</w:t>
      </w:r>
    </w:p>
    <w:p w14:paraId="0BFCA2D1">
      <w:pPr>
        <w:bidi w:val="0"/>
        <w:rPr>
          <w:color w:val="auto"/>
          <w:szCs w:val="28"/>
        </w:rPr>
      </w:pPr>
      <w:r>
        <w:rPr>
          <w:rFonts w:hint="eastAsia"/>
          <w:b/>
          <w:color w:val="auto"/>
          <w:szCs w:val="28"/>
          <w:lang w:eastAsia="zh-CN"/>
        </w:rPr>
        <w:t>（</w:t>
      </w:r>
      <w:r>
        <w:rPr>
          <w:rFonts w:hint="eastAsia"/>
          <w:b/>
          <w:color w:val="auto"/>
          <w:szCs w:val="28"/>
          <w:lang w:val="en-US" w:eastAsia="zh-CN"/>
        </w:rPr>
        <w:t>2</w:t>
      </w:r>
      <w:r>
        <w:rPr>
          <w:rFonts w:hint="eastAsia"/>
          <w:b/>
          <w:color w:val="auto"/>
          <w:szCs w:val="28"/>
          <w:lang w:eastAsia="zh-CN"/>
        </w:rPr>
        <w:t>）</w:t>
      </w:r>
      <w:r>
        <w:rPr>
          <w:b/>
          <w:color w:val="auto"/>
          <w:szCs w:val="28"/>
        </w:rPr>
        <w:t>装修垃圾</w:t>
      </w:r>
    </w:p>
    <w:p w14:paraId="1CAA309D">
      <w:pPr>
        <w:bidi w:val="0"/>
        <w:rPr>
          <w:color w:val="auto"/>
          <w:szCs w:val="28"/>
        </w:rPr>
      </w:pPr>
      <w:r>
        <w:rPr>
          <w:color w:val="auto"/>
        </w:rPr>
        <w:t>在主体工程完工后，进行室内装修阶段，</w:t>
      </w:r>
      <w:r>
        <w:rPr>
          <w:color w:val="auto"/>
          <w:szCs w:val="28"/>
        </w:rPr>
        <w:t>装修垃圾一般有废砖头、砂、水泥及木屑等，会产生扬尘，因此不能随意倾倒，而应用编织袋包装后运出屋外，放在指定地点，由环卫部门统一清运处理。外运以上各种建筑垃圾时，出场前一律清洗轮胎，用毡布覆盖，尽量避免轮胎上的泥土掉落至路面而造成扬尘。</w:t>
      </w:r>
    </w:p>
    <w:p w14:paraId="3A5CAFAD">
      <w:pPr>
        <w:pageBreakBefore w:val="0"/>
        <w:wordWrap/>
        <w:bidi w:val="0"/>
        <w:adjustRightInd/>
        <w:snapToGrid/>
        <w:rPr>
          <w:color w:val="auto"/>
        </w:rPr>
      </w:pPr>
      <w:r>
        <w:rPr>
          <w:rFonts w:hint="eastAsia"/>
          <w:color w:val="auto"/>
          <w:lang w:val="en-US" w:eastAsia="zh-CN"/>
        </w:rPr>
        <w:t>装修阶段还</w:t>
      </w:r>
      <w:r>
        <w:rPr>
          <w:color w:val="auto"/>
        </w:rPr>
        <w:t>会使用大量的乳胶漆等，因此装修过程中将会产生大量的漆桶，本次评价要求在装修阶段，设置临时漆桶暂存间（建议利用移动板房设置，并在板房内设置托盘，施工期间产生的漆桶临时存放至该暂存间内，定期委托有资质的单位进行处置）。</w:t>
      </w:r>
    </w:p>
    <w:p w14:paraId="3EE2C8EE">
      <w:pPr>
        <w:pageBreakBefore w:val="0"/>
        <w:numPr>
          <w:ilvl w:val="0"/>
          <w:numId w:val="0"/>
        </w:numPr>
        <w:wordWrap/>
        <w:autoSpaceDE w:val="0"/>
        <w:autoSpaceDN w:val="0"/>
        <w:bidi w:val="0"/>
        <w:adjustRightInd/>
        <w:snapToGrid/>
        <w:ind w:leftChars="200"/>
        <w:rPr>
          <w:b/>
          <w:color w:val="auto"/>
          <w:szCs w:val="28"/>
        </w:rPr>
      </w:pPr>
      <w:r>
        <w:rPr>
          <w:rFonts w:hint="eastAsia"/>
          <w:b/>
          <w:color w:val="auto"/>
          <w:szCs w:val="28"/>
          <w:lang w:eastAsia="zh-CN"/>
        </w:rPr>
        <w:t>（</w:t>
      </w:r>
      <w:r>
        <w:rPr>
          <w:rFonts w:hint="eastAsia"/>
          <w:b/>
          <w:color w:val="auto"/>
          <w:szCs w:val="28"/>
          <w:lang w:val="en-US" w:eastAsia="zh-CN"/>
        </w:rPr>
        <w:t>3</w:t>
      </w:r>
      <w:r>
        <w:rPr>
          <w:rFonts w:hint="eastAsia"/>
          <w:b/>
          <w:color w:val="auto"/>
          <w:szCs w:val="28"/>
          <w:lang w:eastAsia="zh-CN"/>
        </w:rPr>
        <w:t>）</w:t>
      </w:r>
      <w:r>
        <w:rPr>
          <w:b/>
          <w:color w:val="auto"/>
          <w:szCs w:val="28"/>
        </w:rPr>
        <w:t>生活垃圾</w:t>
      </w:r>
    </w:p>
    <w:p w14:paraId="3E04A83B">
      <w:pPr>
        <w:bidi w:val="0"/>
        <w:rPr>
          <w:color w:val="auto"/>
        </w:rPr>
      </w:pPr>
      <w:r>
        <w:rPr>
          <w:color w:val="auto"/>
        </w:rPr>
        <w:t>生活垃圾经袋装收集后，由环卫部门统一运送到垃圾</w:t>
      </w:r>
      <w:r>
        <w:rPr>
          <w:rFonts w:hint="eastAsia"/>
          <w:color w:val="auto"/>
        </w:rPr>
        <w:t>处理厂</w:t>
      </w:r>
      <w:r>
        <w:rPr>
          <w:color w:val="auto"/>
        </w:rPr>
        <w:t>集中处理，严禁就地填埋或焚烧，以避免对区域环境空气和水环境质量构成潜在的影响。</w:t>
      </w:r>
    </w:p>
    <w:p w14:paraId="21505DA2">
      <w:pPr>
        <w:pageBreakBefore w:val="0"/>
        <w:numPr>
          <w:ilvl w:val="0"/>
          <w:numId w:val="0"/>
        </w:numPr>
        <w:wordWrap/>
        <w:bidi w:val="0"/>
        <w:adjustRightInd/>
        <w:snapToGrid/>
        <w:ind w:leftChars="200"/>
        <w:rPr>
          <w:b/>
          <w:color w:val="auto"/>
          <w:szCs w:val="28"/>
        </w:rPr>
      </w:pPr>
      <w:r>
        <w:rPr>
          <w:rFonts w:hint="eastAsia"/>
          <w:b/>
          <w:color w:val="auto"/>
          <w:szCs w:val="28"/>
          <w:lang w:eastAsia="zh-CN"/>
        </w:rPr>
        <w:t>（</w:t>
      </w:r>
      <w:r>
        <w:rPr>
          <w:rFonts w:hint="eastAsia"/>
          <w:b/>
          <w:color w:val="auto"/>
          <w:szCs w:val="28"/>
          <w:lang w:val="en-US" w:eastAsia="zh-CN"/>
        </w:rPr>
        <w:t>4</w:t>
      </w:r>
      <w:r>
        <w:rPr>
          <w:rFonts w:hint="eastAsia"/>
          <w:b/>
          <w:color w:val="auto"/>
          <w:szCs w:val="28"/>
          <w:lang w:eastAsia="zh-CN"/>
        </w:rPr>
        <w:t>）</w:t>
      </w:r>
      <w:r>
        <w:rPr>
          <w:b/>
          <w:color w:val="auto"/>
          <w:szCs w:val="28"/>
        </w:rPr>
        <w:t>土石方</w:t>
      </w:r>
    </w:p>
    <w:p w14:paraId="67D1F6CB">
      <w:pPr>
        <w:bidi w:val="0"/>
        <w:rPr>
          <w:color w:val="auto"/>
        </w:rPr>
      </w:pPr>
      <w:r>
        <w:rPr>
          <w:color w:val="auto"/>
          <w:szCs w:val="28"/>
        </w:rPr>
        <w:t>为避免项目土石方开挖及堆放过程中产生不利影响，</w:t>
      </w:r>
      <w:r>
        <w:rPr>
          <w:b/>
          <w:color w:val="auto"/>
          <w:szCs w:val="28"/>
        </w:rPr>
        <w:t>本环评要求采取以下防治措施：</w:t>
      </w:r>
      <w:r>
        <w:rPr>
          <w:color w:val="auto"/>
          <w:szCs w:val="28"/>
        </w:rPr>
        <w:t>合理安排土方开挖和回填作业，开挖土石方经临时堆土场堆放后，需及时进行回填处理，必须做好围护工作，防止形成新的水土流失；建设单位施工期做好水土保持方案，在施工场地及临时土方堆场周围修筑一定围护设施，防止形成的泥浆水外溢；</w:t>
      </w:r>
      <w:r>
        <w:rPr>
          <w:color w:val="auto"/>
        </w:rPr>
        <w:t>控制外借土石房和开挖回填土临时堆放场占地面积和堆放量，并在土石堆上覆盖塑料薄膜，以及在临时堆放场地周围设置导流明渠，将雨水引导到沉淀池后再排入园区雨水管网；借方运输车辆应进行对土方进行遮盖处理，避免造成撒漏和产生扬尘。运输车辆尽量不行走市区道路，避免给沿线地区增加车流量、造成交通堵塞。另外，运输车辆的运输时间应该避开上下班的高峰期及人流物流的高峰时间。</w:t>
      </w:r>
    </w:p>
    <w:p w14:paraId="580DD38A">
      <w:pPr>
        <w:pageBreakBefore w:val="0"/>
        <w:wordWrap/>
        <w:bidi w:val="0"/>
        <w:adjustRightInd/>
        <w:snapToGrid/>
        <w:ind w:firstLine="482"/>
        <w:rPr>
          <w:b/>
          <w:bCs/>
          <w:color w:val="auto"/>
        </w:rPr>
      </w:pPr>
      <w:r>
        <w:rPr>
          <w:b/>
          <w:bCs/>
          <w:color w:val="auto"/>
          <w:u w:val="single"/>
        </w:rPr>
        <w:t>综上所述，采取以上措施后，项目施工期间产生的固体废弃物均能得到清洁处理和处置，施工期产生的固废对周围环境的影响较小</w:t>
      </w:r>
      <w:r>
        <w:rPr>
          <w:b/>
          <w:bCs/>
          <w:color w:val="auto"/>
        </w:rPr>
        <w:t>。</w:t>
      </w:r>
    </w:p>
    <w:p w14:paraId="5961578F">
      <w:pPr>
        <w:pStyle w:val="5"/>
        <w:pageBreakBefore w:val="0"/>
        <w:wordWrap/>
        <w:bidi w:val="0"/>
        <w:adjustRightInd/>
        <w:snapToGrid/>
        <w:spacing w:before="62" w:after="62"/>
        <w:ind w:left="0"/>
        <w:rPr>
          <w:rFonts w:eastAsia="宋体"/>
          <w:color w:val="auto"/>
        </w:rPr>
      </w:pPr>
      <w:r>
        <w:rPr>
          <w:rFonts w:hint="eastAsia" w:eastAsia="宋体"/>
          <w:color w:val="auto"/>
        </w:rPr>
        <w:t xml:space="preserve"> </w:t>
      </w:r>
      <w:r>
        <w:rPr>
          <w:rFonts w:eastAsia="宋体"/>
          <w:color w:val="auto"/>
        </w:rPr>
        <w:t>施工期生态环境影响分析</w:t>
      </w:r>
    </w:p>
    <w:p w14:paraId="375E80F8">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本项目施工期生态影响主要是工程占地、植被破坏、水土流失等。</w:t>
      </w:r>
    </w:p>
    <w:p w14:paraId="5DFB857A">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（1）工程占地影响</w:t>
      </w:r>
    </w:p>
    <w:p w14:paraId="568B2D0E">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项目建设会</w:t>
      </w:r>
      <w:r>
        <w:rPr>
          <w:rFonts w:hint="eastAsia" w:cs="Times New Roman"/>
          <w:color w:val="auto"/>
          <w:lang w:val="en-US" w:eastAsia="zh-CN"/>
        </w:rPr>
        <w:t>新增永久占地</w:t>
      </w:r>
      <w:r>
        <w:rPr>
          <w:rFonts w:hint="default" w:ascii="Times New Roman" w:hAnsi="Times New Roman" w:eastAsia="宋体" w:cs="Times New Roman"/>
          <w:color w:val="auto"/>
          <w:lang w:val="en-US" w:eastAsia="zh-CN"/>
        </w:rPr>
        <w:t>，破坏耕地和植被，</w:t>
      </w:r>
      <w:r>
        <w:rPr>
          <w:rFonts w:hint="eastAsia" w:cs="Times New Roman"/>
          <w:color w:val="auto"/>
          <w:lang w:val="en-US" w:eastAsia="zh-CN"/>
        </w:rPr>
        <w:t>但项目不涉及占用基本农田，</w:t>
      </w:r>
      <w:r>
        <w:rPr>
          <w:rFonts w:ascii="宋体" w:hAnsi="宋体" w:eastAsia="宋体" w:cs="宋体"/>
          <w:color w:val="auto"/>
          <w:spacing w:val="-1"/>
          <w:sz w:val="24"/>
          <w:szCs w:val="24"/>
        </w:rPr>
        <w:t>对当地</w:t>
      </w:r>
      <w:r>
        <w:rPr>
          <w:rFonts w:ascii="宋体" w:hAnsi="宋体" w:eastAsia="宋体" w:cs="宋体"/>
          <w:color w:val="auto"/>
          <w:spacing w:val="-4"/>
          <w:sz w:val="24"/>
          <w:szCs w:val="24"/>
        </w:rPr>
        <w:t>土地利用类型影响较小。</w:t>
      </w:r>
      <w:r>
        <w:rPr>
          <w:rFonts w:hint="default" w:ascii="Times New Roman" w:hAnsi="Times New Roman" w:eastAsia="宋体" w:cs="Times New Roman"/>
          <w:color w:val="auto"/>
          <w:lang w:val="en-US" w:eastAsia="zh-CN"/>
        </w:rPr>
        <w:t>其中临时占地主要用于埋设管道、土石方堆放、管材堆放等，该部分占地管线建成后将逐渐恢复其原有土地利用性质。</w:t>
      </w:r>
    </w:p>
    <w:p w14:paraId="492D718F">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（2）</w:t>
      </w:r>
      <w:r>
        <w:rPr>
          <w:rFonts w:hint="eastAsia" w:cs="Times New Roman"/>
          <w:b/>
          <w:bCs/>
          <w:color w:val="auto"/>
          <w:lang w:val="en-US" w:eastAsia="zh-CN"/>
        </w:rPr>
        <w:t>污水处理厂</w:t>
      </w:r>
      <w:r>
        <w:rPr>
          <w:rFonts w:hint="default" w:ascii="Times New Roman" w:hAnsi="Times New Roman" w:eastAsia="宋体" w:cs="Times New Roman"/>
          <w:b/>
          <w:bCs/>
          <w:color w:val="auto"/>
          <w:lang w:val="en-US" w:eastAsia="zh-CN"/>
        </w:rPr>
        <w:t>建设对生态环境的影响</w:t>
      </w:r>
    </w:p>
    <w:p w14:paraId="6A3CF8A1">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厂区大量填方在未压实或固结条件下，易被水力和风力侵蚀造成大量水土流失，大量</w:t>
      </w:r>
      <w:r>
        <w:rPr>
          <w:rFonts w:hint="eastAsia" w:ascii="Times New Roman" w:hAnsi="Times New Roman" w:eastAsia="宋体" w:cs="Times New Roman"/>
          <w:color w:val="auto"/>
          <w:lang w:val="en-US" w:eastAsia="zh-CN"/>
        </w:rPr>
        <w:t>泥沙</w:t>
      </w:r>
      <w:r>
        <w:rPr>
          <w:rFonts w:hint="default" w:ascii="Times New Roman" w:hAnsi="Times New Roman" w:eastAsia="宋体" w:cs="Times New Roman"/>
          <w:color w:val="auto"/>
          <w:lang w:val="en-US" w:eastAsia="zh-CN"/>
        </w:rPr>
        <w:t>随地表雨水进入河流造成河水SS升高；厂外</w:t>
      </w:r>
      <w:r>
        <w:rPr>
          <w:rFonts w:hint="eastAsia" w:cs="Times New Roman"/>
          <w:color w:val="auto"/>
          <w:lang w:val="en-US" w:eastAsia="zh-CN"/>
        </w:rPr>
        <w:t>污水</w:t>
      </w:r>
      <w:r>
        <w:rPr>
          <w:rFonts w:hint="default" w:ascii="Times New Roman" w:hAnsi="Times New Roman" w:eastAsia="宋体" w:cs="Times New Roman"/>
          <w:color w:val="auto"/>
          <w:lang w:val="en-US" w:eastAsia="zh-CN"/>
        </w:rPr>
        <w:t>管道土石方临时堆弃也易造成水土流失。</w:t>
      </w:r>
    </w:p>
    <w:p w14:paraId="5AA664E7">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lang w:val="en-US" w:eastAsia="zh-CN"/>
        </w:rPr>
        <w:t>（3）管网敷设建设对生态环境的影响</w:t>
      </w:r>
    </w:p>
    <w:p w14:paraId="7BCF4839">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管网敷设作业属于短期的临时性占地，在施工开挖过程中，会造成地面裸露，</w:t>
      </w:r>
      <w:r>
        <w:rPr>
          <w:rFonts w:hint="eastAsia" w:cs="Times New Roman"/>
          <w:color w:val="auto"/>
          <w:lang w:val="en-US" w:eastAsia="zh-CN"/>
        </w:rPr>
        <w:t>加剧</w:t>
      </w:r>
      <w:r>
        <w:rPr>
          <w:rFonts w:hint="default" w:ascii="Times New Roman" w:hAnsi="Times New Roman" w:eastAsia="宋体" w:cs="Times New Roman"/>
          <w:color w:val="auto"/>
          <w:lang w:val="en-US" w:eastAsia="zh-CN"/>
        </w:rPr>
        <w:t>土壤侵蚀和水土流失。总体来说项目施工对城区植被的影响很小。</w:t>
      </w:r>
      <w:r>
        <w:rPr>
          <w:rFonts w:hint="eastAsia" w:cs="Times New Roman"/>
          <w:color w:val="auto"/>
          <w:lang w:val="en-US" w:eastAsia="zh-CN"/>
        </w:rPr>
        <w:t>污水管网</w:t>
      </w:r>
      <w:r>
        <w:rPr>
          <w:rFonts w:hint="default" w:ascii="Times New Roman" w:hAnsi="Times New Roman" w:eastAsia="宋体" w:cs="Times New Roman"/>
          <w:color w:val="auto"/>
          <w:lang w:val="en-US" w:eastAsia="zh-CN"/>
        </w:rPr>
        <w:t>在正常输送过程中全线采用密闭流程，无污染物外排。施工中场地临时堆方因结构松散会被雨水冲刷造成水土流失。</w:t>
      </w:r>
    </w:p>
    <w:p w14:paraId="2607199E">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lang w:val="en-US" w:eastAsia="zh-CN"/>
        </w:rPr>
        <w:t>（4）土壤影响</w:t>
      </w:r>
    </w:p>
    <w:p w14:paraId="1419B93A">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在管线施工过程中，开挖管沟宽度范围内，将底土翻出，使土体结构几乎完全改变，挖掘区内植被全部被破坏，植被恢复需要较长的时间；管沟开挖破坏土壤结构，改变土壤质地，改变土壤耕作层及土壤紧实度，影响土壤发育和农作物的生长，土壤肥力下降，农作物的产量将下降，覆土回填后，土壤的容量、土体结构、土壤抗蚀指数等也会发生较大变化。管沟两侧施工区域内，也会因土石方堆放等因素，改变土壤结构，从而影响土壤发育和农作物的生长，甚至导致水土流失。对土壤环境的影响主要由管道施工开挖土方引起，将对土壤结构、土壤的紧实度、</w:t>
      </w:r>
      <w:r>
        <w:rPr>
          <w:rFonts w:hint="eastAsia" w:ascii="Times New Roman" w:hAnsi="Times New Roman" w:eastAsia="宋体" w:cs="Times New Roman"/>
          <w:color w:val="auto"/>
          <w:lang w:val="en-US" w:eastAsia="zh-CN"/>
        </w:rPr>
        <w:t>土壤</w:t>
      </w:r>
      <w:r>
        <w:rPr>
          <w:rFonts w:hint="default" w:ascii="Times New Roman" w:hAnsi="Times New Roman" w:eastAsia="宋体" w:cs="Times New Roman"/>
          <w:color w:val="auto"/>
          <w:lang w:val="en-US" w:eastAsia="zh-CN"/>
        </w:rPr>
        <w:t>养分状况造成影响。</w:t>
      </w:r>
    </w:p>
    <w:p w14:paraId="6015ABB3">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①扰动土壤耕作层、破坏土壤结构</w:t>
      </w:r>
    </w:p>
    <w:p w14:paraId="74868768">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土壤结构是土壤团聚体的总称。土壤结构直接影响土壤的松紧和孔隙状况，影响到土壤耕作和农作物幼苗出土、扎根的难易程度。因此，土壤结构是调节土壤肥力最活跃的因素</w:t>
      </w:r>
      <w:r>
        <w:rPr>
          <w:rFonts w:hint="eastAsia" w:ascii="Times New Roman" w:hAnsi="Times New Roman" w:eastAsia="宋体" w:cs="Times New Roman"/>
          <w:color w:val="auto"/>
          <w:lang w:val="en-US" w:eastAsia="zh-CN"/>
        </w:rPr>
        <w:t>之一</w:t>
      </w:r>
      <w:r>
        <w:rPr>
          <w:rFonts w:hint="default" w:ascii="Times New Roman" w:hAnsi="Times New Roman" w:eastAsia="宋体" w:cs="Times New Roman"/>
          <w:color w:val="auto"/>
          <w:lang w:val="en-US" w:eastAsia="zh-CN"/>
        </w:rPr>
        <w:t>。土壤结构的形成不仅需要较长的时间，而且不同的土地利用方式也会对土壤结构产生影响，因此，其结构一旦破坏，要恢复就需要较长的时间，并花费较大的精力。</w:t>
      </w:r>
    </w:p>
    <w:p w14:paraId="703CC7F6">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管道开挖必定扰乱和破坏土壤的耕作层，除管道开挖部分的土壤受到直接破坏外，将开挖</w:t>
      </w:r>
      <w:r>
        <w:rPr>
          <w:rFonts w:hint="eastAsia" w:ascii="Times New Roman" w:hAnsi="Times New Roman" w:eastAsia="宋体" w:cs="Times New Roman"/>
          <w:color w:val="auto"/>
          <w:lang w:val="en-US" w:eastAsia="zh-CN"/>
        </w:rPr>
        <w:t>土方</w:t>
      </w:r>
      <w:r>
        <w:rPr>
          <w:rFonts w:hint="default" w:ascii="Times New Roman" w:hAnsi="Times New Roman" w:eastAsia="宋体" w:cs="Times New Roman"/>
          <w:color w:val="auto"/>
          <w:lang w:val="en-US" w:eastAsia="zh-CN"/>
        </w:rPr>
        <w:t>堆放两边占用农田，也会破坏农田的耕作土，此外，土层的混合和扰动，同样会改变原有农田耕作层的性质。因此在整个施工过程中，对土壤耕作层的影响最为严重。</w:t>
      </w:r>
    </w:p>
    <w:p w14:paraId="004C9964">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②混合土壤层次、改变土壤质地</w:t>
      </w:r>
    </w:p>
    <w:p w14:paraId="7F736C2A">
      <w:pPr>
        <w:bidi w:val="0"/>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val="0"/>
          <w:bCs w:val="0"/>
          <w:color w:val="auto"/>
          <w:lang w:val="en-US" w:eastAsia="zh-CN"/>
        </w:rPr>
        <w:t>土壤质地因地形和土壤形成条件的不同而有较大的差异，即使同一土壤剖面，表层</w:t>
      </w:r>
      <w:r>
        <w:rPr>
          <w:rFonts w:hint="eastAsia" w:ascii="Times New Roman" w:hAnsi="Times New Roman" w:eastAsia="宋体" w:cs="Times New Roman"/>
          <w:b w:val="0"/>
          <w:bCs w:val="0"/>
          <w:color w:val="auto"/>
          <w:lang w:val="en-US" w:eastAsia="zh-CN"/>
        </w:rPr>
        <w:t>土壤质地</w:t>
      </w:r>
      <w:r>
        <w:rPr>
          <w:rFonts w:hint="default" w:ascii="Times New Roman" w:hAnsi="Times New Roman" w:eastAsia="宋体" w:cs="Times New Roman"/>
          <w:b w:val="0"/>
          <w:bCs w:val="0"/>
          <w:color w:val="auto"/>
          <w:lang w:val="en-US" w:eastAsia="zh-CN"/>
        </w:rPr>
        <w:t>与底层的也截然不同。管道的开挖和回填，必定混合原有的土壤层次，降低</w:t>
      </w:r>
      <w:r>
        <w:rPr>
          <w:rFonts w:hint="eastAsia" w:ascii="Times New Roman" w:hAnsi="Times New Roman" w:eastAsia="宋体" w:cs="Times New Roman"/>
          <w:b w:val="0"/>
          <w:bCs w:val="0"/>
          <w:color w:val="auto"/>
          <w:lang w:val="en-US" w:eastAsia="zh-CN"/>
        </w:rPr>
        <w:t>土地</w:t>
      </w:r>
      <w:r>
        <w:rPr>
          <w:rFonts w:hint="default" w:ascii="Times New Roman" w:hAnsi="Times New Roman" w:eastAsia="宋体" w:cs="Times New Roman"/>
          <w:b w:val="0"/>
          <w:bCs w:val="0"/>
          <w:color w:val="auto"/>
          <w:lang w:val="en-US" w:eastAsia="zh-CN"/>
        </w:rPr>
        <w:t>的蓄水保肥能力，易受风蚀，从而影响土壤的</w:t>
      </w:r>
      <w:r>
        <w:rPr>
          <w:rFonts w:hint="eastAsia" w:ascii="Times New Roman" w:hAnsi="Times New Roman" w:eastAsia="宋体" w:cs="Times New Roman"/>
          <w:b w:val="0"/>
          <w:bCs w:val="0"/>
          <w:color w:val="auto"/>
          <w:lang w:val="en-US" w:eastAsia="zh-CN"/>
        </w:rPr>
        <w:t>发育</w:t>
      </w:r>
      <w:r>
        <w:rPr>
          <w:rFonts w:hint="default" w:ascii="Times New Roman" w:hAnsi="Times New Roman" w:eastAsia="宋体" w:cs="Times New Roman"/>
          <w:b w:val="0"/>
          <w:bCs w:val="0"/>
          <w:color w:val="auto"/>
          <w:lang w:val="en-US" w:eastAsia="zh-CN"/>
        </w:rPr>
        <w:t>，植被的恢复；在农田区将降低土壤的耕作性能，影响农作物的生长，最终导致农作物产量的下降。</w:t>
      </w:r>
    </w:p>
    <w:p w14:paraId="14BAE8A7">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③影响土壤养分</w:t>
      </w:r>
    </w:p>
    <w:p w14:paraId="404AD22B">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土壤养分状况的好坏直接影响作物的质量和产量。据国内外的有关资料表明，管道工程对土壤养分及土壤的理化性质的影响与施工作业方式有关。在实行分层堆放，分层覆盖的措施下，土壤的有机质将下降30%</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40%，土壤养分将下降30%</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50%，其中全氨下降43%左右，磷素下降40%，钾素下降43%。这表明即使在管道施工过程中实行分层堆放和分层覆土等保护措施，管道工程对土壤养分仍有明显的影响，事实上，在管道施工过程中，难以严格保证对表土实行分层堆放和分层覆土，因而管道施工对土壤养分的影响更为明显，最后导致土地生物生产量的下降。</w:t>
      </w:r>
    </w:p>
    <w:p w14:paraId="38E98B39">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④影响土壤紧实度</w:t>
      </w:r>
    </w:p>
    <w:p w14:paraId="4D5637EC">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管道铺设后的回填，一般难以恢复原有的土壤紧实度，施工中机械碾压，人员践踏等都会影响土壤的紧实度。土层过松，易引起水土流失，土体过紧，又会影响作物生长。</w:t>
      </w:r>
    </w:p>
    <w:p w14:paraId="46EFA3EC">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（5）对动植物的影响</w:t>
      </w:r>
    </w:p>
    <w:p w14:paraId="0C4BA7A9">
      <w:pPr>
        <w:bidi w:val="0"/>
        <w:rPr>
          <w:rFonts w:hint="default"/>
          <w:color w:val="auto"/>
          <w:lang w:val="en-US" w:eastAsia="zh-CN"/>
        </w:rPr>
      </w:pPr>
      <w:r>
        <w:rPr>
          <w:rFonts w:hint="default"/>
          <w:color w:val="auto"/>
          <w:lang w:val="en-US" w:eastAsia="zh-CN"/>
        </w:rPr>
        <w:t>本项目</w:t>
      </w:r>
      <w:r>
        <w:rPr>
          <w:rFonts w:hint="eastAsia"/>
          <w:color w:val="auto"/>
          <w:lang w:val="en-US" w:eastAsia="zh-CN"/>
        </w:rPr>
        <w:t>污水处理厂</w:t>
      </w:r>
      <w:r>
        <w:rPr>
          <w:rFonts w:hint="default"/>
          <w:color w:val="auto"/>
          <w:lang w:val="en-US" w:eastAsia="zh-CN"/>
        </w:rPr>
        <w:t>占地区域为人类频繁活动区，经调查访问和沿途观察，附近的野生动物主要是适合栖息于旱地、居民点周边的种类，如农田常见的啮齿类、两栖类、爬行类和麻雀等常见鸟类，无大型野生动物，也无国家保护的珍稀野生动物。</w:t>
      </w:r>
    </w:p>
    <w:p w14:paraId="11F2690F">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管道施工使植被生物量减少和丧失是项目产生的主要负面影响之一，但是管道施工期占用的植被生物量是可以在后期给予恢复的。施工活动结束后，农作物生产恢复，影响消失。施工期，会破坏野生动物原有的生存环境，根据调查，管道沿线周围100m范围内无古树名木和珍稀濒危动植物，且区内人类活动比较频繁，主要以家禽、家畜养殖为主，野生动物少。因此，管道施工对动物的影响不大。施工完毕后，这些影响将消失。</w:t>
      </w:r>
    </w:p>
    <w:p w14:paraId="4A9F54C9">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（7）水土流失</w:t>
      </w:r>
    </w:p>
    <w:p w14:paraId="0D6C41EA">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开挖和填筑将使原地表植被、地面组成物质、地形地貌受到扰动和破坏，使临时占地范围内的表层土裸露或形成较松散堆积体，失去原有植被的防冲、固土能力，增加新的水土流失。</w:t>
      </w:r>
    </w:p>
    <w:p w14:paraId="510DABBB">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水土流失的危害主要表现为降低土地生产力和水土保持功能，破坏周边生态环境，危害工程安全，影响生态效益。因此，为保护生态环境，控制水土流失，需对各新增水土流失区域采取适宜、有效、经济的水土保持措施，进行植被和景观恢复，并把临时堆土作为本项目的重点防治对象，最大程度减少水土流失。</w:t>
      </w:r>
    </w:p>
    <w:p w14:paraId="01772F0A">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水土流失防治措施：</w:t>
      </w:r>
    </w:p>
    <w:p w14:paraId="09CF2382">
      <w:pPr>
        <w:bidi w:val="0"/>
        <w:rPr>
          <w:rFonts w:hint="default"/>
          <w:color w:val="auto"/>
          <w:lang w:val="en-US" w:eastAsia="zh-CN"/>
        </w:rPr>
      </w:pPr>
      <w:r>
        <w:rPr>
          <w:rFonts w:hint="default"/>
          <w:color w:val="auto"/>
          <w:lang w:val="en-US" w:eastAsia="zh-CN"/>
        </w:rPr>
        <w:t>工程施工期间，由于地表有一定开挖量，对植被产生破坏，若不采取妥善措施将使拟建项目所在地的土壤流失量出现成倍增长的趋势，因此，应采取严格的环保措施，以有效地控制水土流失的发生：</w:t>
      </w:r>
    </w:p>
    <w:p w14:paraId="4C013321">
      <w:pPr>
        <w:bidi w:val="0"/>
        <w:rPr>
          <w:rFonts w:hint="default"/>
          <w:color w:val="auto"/>
          <w:lang w:val="en-US" w:eastAsia="zh-CN"/>
        </w:rPr>
      </w:pPr>
      <w:r>
        <w:rPr>
          <w:rFonts w:hint="default"/>
          <w:color w:val="auto"/>
          <w:lang w:val="en-US" w:eastAsia="zh-CN"/>
        </w:rPr>
        <w:t>①在开挖建设中，应尽量避开雨季，在物料堆场、灰土排合场地等周围，雨季应设土工布围栏，预防水土流失；</w:t>
      </w:r>
    </w:p>
    <w:p w14:paraId="4EF696FF">
      <w:pPr>
        <w:bidi w:val="0"/>
        <w:rPr>
          <w:rFonts w:hint="default"/>
          <w:color w:val="auto"/>
          <w:lang w:val="en-US" w:eastAsia="zh-CN"/>
        </w:rPr>
      </w:pPr>
      <w:r>
        <w:rPr>
          <w:rFonts w:hint="default"/>
          <w:color w:val="auto"/>
          <w:lang w:val="en-US" w:eastAsia="zh-CN"/>
        </w:rPr>
        <w:t>②工程施工中做好土石方平衡工作，开挖的土方尽量作为施工场地平整回填之用；管道敷设产生的弃</w:t>
      </w:r>
      <w:r>
        <w:rPr>
          <w:rFonts w:hint="eastAsia"/>
          <w:color w:val="auto"/>
          <w:lang w:val="en-US" w:eastAsia="zh-CN"/>
        </w:rPr>
        <w:t>土</w:t>
      </w:r>
      <w:r>
        <w:rPr>
          <w:rFonts w:hint="default"/>
          <w:color w:val="auto"/>
          <w:lang w:val="en-US" w:eastAsia="zh-CN"/>
        </w:rPr>
        <w:t>在回填后多余部分及时运至周边低洼地带填平；</w:t>
      </w:r>
    </w:p>
    <w:p w14:paraId="285B39AA">
      <w:pPr>
        <w:bidi w:val="0"/>
        <w:rPr>
          <w:rFonts w:hint="default"/>
          <w:color w:val="auto"/>
          <w:lang w:val="en-US" w:eastAsia="zh-CN"/>
        </w:rPr>
      </w:pPr>
      <w:r>
        <w:rPr>
          <w:rFonts w:hint="default"/>
          <w:color w:val="auto"/>
          <w:lang w:val="en-US" w:eastAsia="zh-CN"/>
        </w:rPr>
        <w:t>③临时堆放场应选择较平整的场地，且场地使用后尽快恢复植被，临时堆放场在弃土堆放期间应做好覆盖措施，堆放场边坡坡脚砌编织土袋拦挡，坡顶面采用塑料薄膜或毡布遮盖，堆场周围修建简易排水沟，排水沟出口设简易沉淀池，汇水经沉淀后用于场地内降尘；</w:t>
      </w:r>
    </w:p>
    <w:p w14:paraId="1F0561DE">
      <w:pPr>
        <w:bidi w:val="0"/>
        <w:rPr>
          <w:rFonts w:hint="default"/>
          <w:color w:val="auto"/>
          <w:lang w:val="en-US" w:eastAsia="zh-CN"/>
        </w:rPr>
      </w:pPr>
      <w:r>
        <w:rPr>
          <w:rFonts w:hint="default"/>
          <w:color w:val="auto"/>
          <w:lang w:val="en-US" w:eastAsia="zh-CN"/>
        </w:rPr>
        <w:t>④工程施工应分期分区进行，不要全线全面铺开以缩短单项工期。开挖的裸露面要有防治措施，尽量缩短暴露时间，减少水土流失；</w:t>
      </w:r>
    </w:p>
    <w:p w14:paraId="2C03F272">
      <w:pPr>
        <w:bidi w:val="0"/>
        <w:rPr>
          <w:rFonts w:hint="default"/>
          <w:color w:val="auto"/>
          <w:lang w:val="en-US" w:eastAsia="zh-CN"/>
        </w:rPr>
      </w:pPr>
      <w:r>
        <w:rPr>
          <w:rFonts w:hint="default"/>
          <w:color w:val="auto"/>
          <w:lang w:val="en-US" w:eastAsia="zh-CN"/>
        </w:rPr>
        <w:t>⑤施工场地应注意土方的合理堆置，距河道保持一定距离，尽量避免流入河道，减少水土流失对河流的影响。</w:t>
      </w:r>
    </w:p>
    <w:p w14:paraId="6E5A8828">
      <w:pPr>
        <w:bidi w:val="0"/>
        <w:rPr>
          <w:rFonts w:hint="default"/>
          <w:b/>
          <w:bCs/>
          <w:color w:val="auto"/>
          <w:u w:val="single"/>
          <w:lang w:val="en-US" w:eastAsia="zh-CN"/>
        </w:rPr>
      </w:pPr>
      <w:r>
        <w:rPr>
          <w:rFonts w:hint="default"/>
          <w:b/>
          <w:bCs/>
          <w:color w:val="auto"/>
          <w:u w:val="single"/>
          <w:lang w:val="en-US" w:eastAsia="zh-CN"/>
        </w:rPr>
        <w:t>综上分析，本项目在施工期间对城区生态环境影响不大，而且通过采取相应的生态保护和恢复措施，尤其是通过施工管理和强化施工期的保护和恢复，则本项目建设对生态环境影响是可接受的。</w:t>
      </w:r>
    </w:p>
    <w:p w14:paraId="4474F76D">
      <w:pPr>
        <w:pStyle w:val="5"/>
        <w:pageBreakBefore w:val="0"/>
        <w:wordWrap/>
        <w:bidi w:val="0"/>
        <w:adjustRightInd/>
        <w:snapToGrid/>
        <w:spacing w:before="62" w:after="62"/>
        <w:ind w:left="0"/>
        <w:rPr>
          <w:rFonts w:eastAsia="宋体"/>
          <w:color w:val="auto"/>
        </w:rPr>
      </w:pPr>
      <w:r>
        <w:rPr>
          <w:rFonts w:hint="eastAsia" w:eastAsia="宋体"/>
          <w:color w:val="auto"/>
        </w:rPr>
        <w:t xml:space="preserve"> </w:t>
      </w:r>
      <w:r>
        <w:rPr>
          <w:rFonts w:eastAsia="宋体"/>
          <w:color w:val="auto"/>
        </w:rPr>
        <w:t>施工方案实施建议</w:t>
      </w:r>
    </w:p>
    <w:p w14:paraId="7DB50D73">
      <w:pPr>
        <w:bidi w:val="0"/>
        <w:rPr>
          <w:color w:val="auto"/>
        </w:rPr>
      </w:pPr>
      <w:bookmarkStart w:id="165" w:name="_Toc505087360"/>
      <w:r>
        <w:rPr>
          <w:color w:val="auto"/>
        </w:rPr>
        <w:t>项目在建设过程中，根据环境影响评价结果以及目前施工情况，建议施工方实施施工组织方案时注意以下问题：</w:t>
      </w:r>
    </w:p>
    <w:p w14:paraId="2FF3E906">
      <w:pPr>
        <w:bidi w:val="0"/>
        <w:rPr>
          <w:color w:val="auto"/>
        </w:rPr>
      </w:pPr>
      <w:r>
        <w:rPr>
          <w:color w:val="auto"/>
        </w:rPr>
        <w:t>①施工单位必须编制建筑工程施工组织设计，项目若实行总包和分包的，总包单位负责编制建筑工程施工组织设计，分包单位负责编制分包工程的施工方案中环境管理篇章中针对重要污染因素</w:t>
      </w:r>
      <w:r>
        <w:rPr>
          <w:rFonts w:hint="eastAsia"/>
          <w:color w:val="auto"/>
          <w:lang w:eastAsia="zh-CN"/>
        </w:rPr>
        <w:t>（</w:t>
      </w:r>
      <w:r>
        <w:rPr>
          <w:color w:val="auto"/>
        </w:rPr>
        <w:t>扬尘、噪声和震动</w:t>
      </w:r>
      <w:r>
        <w:rPr>
          <w:rFonts w:hint="eastAsia"/>
          <w:color w:val="auto"/>
          <w:lang w:eastAsia="zh-CN"/>
        </w:rPr>
        <w:t>）</w:t>
      </w:r>
      <w:r>
        <w:rPr>
          <w:color w:val="auto"/>
        </w:rPr>
        <w:t>提出的控制措施应全面、可行，为保护周围环境，还应根据执行情况</w:t>
      </w:r>
      <w:r>
        <w:rPr>
          <w:rFonts w:hint="eastAsia"/>
          <w:color w:val="auto"/>
          <w:lang w:eastAsia="zh-CN"/>
        </w:rPr>
        <w:t>做</w:t>
      </w:r>
      <w:r>
        <w:rPr>
          <w:color w:val="auto"/>
        </w:rPr>
        <w:t>适当的调整。</w:t>
      </w:r>
    </w:p>
    <w:p w14:paraId="2AC8FF29">
      <w:pPr>
        <w:bidi w:val="0"/>
        <w:rPr>
          <w:color w:val="auto"/>
        </w:rPr>
      </w:pPr>
      <w:r>
        <w:rPr>
          <w:color w:val="auto"/>
        </w:rPr>
        <w:t>②禁止在22时至次日6时进行产生环境噪声污染的建设施工。因生产工艺要求或者需要必须连续作业，确需进行夜间施工的，办理《夜间施工许可证》后在工地进出口和临近居民的地方悬挂，公告附近居民，施工中应当采取降噪措施，尽可能将噪声污染控制在最低水平。在中考、高考期间禁止夜间施工</w:t>
      </w:r>
      <w:r>
        <w:rPr>
          <w:rFonts w:hint="eastAsia"/>
          <w:color w:val="auto"/>
          <w:lang w:eastAsia="zh-CN"/>
        </w:rPr>
        <w:t>（</w:t>
      </w:r>
      <w:r>
        <w:rPr>
          <w:color w:val="auto"/>
        </w:rPr>
        <w:t>抢修、抢险的施工作业除外</w:t>
      </w:r>
      <w:r>
        <w:rPr>
          <w:rFonts w:hint="eastAsia"/>
          <w:color w:val="auto"/>
          <w:lang w:eastAsia="zh-CN"/>
        </w:rPr>
        <w:t>）</w:t>
      </w:r>
      <w:r>
        <w:rPr>
          <w:color w:val="auto"/>
        </w:rPr>
        <w:t>，具体时间和要求，见市城建主管部门公告。</w:t>
      </w:r>
    </w:p>
    <w:p w14:paraId="17B787B5">
      <w:pPr>
        <w:bidi w:val="0"/>
        <w:rPr>
          <w:color w:val="auto"/>
        </w:rPr>
      </w:pPr>
      <w:r>
        <w:rPr>
          <w:color w:val="auto"/>
        </w:rPr>
        <w:t>③施工时应对正在修建的建筑物外围进行围护结构遮挡。施工车辆出施工场地前其轮胎等部位必须经过严格冲洗，防止进出车辆将泥土带入附近道路，造成扬尘及景观污染。</w:t>
      </w:r>
    </w:p>
    <w:p w14:paraId="56361955">
      <w:pPr>
        <w:bidi w:val="0"/>
        <w:rPr>
          <w:color w:val="auto"/>
        </w:rPr>
      </w:pPr>
      <w:r>
        <w:rPr>
          <w:color w:val="auto"/>
        </w:rPr>
        <w:t>④保证施工现场</w:t>
      </w:r>
      <w:r>
        <w:rPr>
          <w:rFonts w:hint="eastAsia"/>
          <w:color w:val="auto"/>
          <w:lang w:eastAsia="zh-CN"/>
        </w:rPr>
        <w:t>雨污水</w:t>
      </w:r>
      <w:r>
        <w:rPr>
          <w:color w:val="auto"/>
        </w:rPr>
        <w:t>系统排水通畅，防止施工期间施工人员生活污水乱排放，施工废水经过二次沉淀后回用，减少排放量。</w:t>
      </w:r>
    </w:p>
    <w:p w14:paraId="5CBBBC3E">
      <w:pPr>
        <w:bidi w:val="0"/>
        <w:rPr>
          <w:color w:val="auto"/>
        </w:rPr>
      </w:pPr>
      <w:r>
        <w:rPr>
          <w:color w:val="auto"/>
        </w:rPr>
        <w:t>⑤各种型号的材料及构件应分类堆放，堆放场地</w:t>
      </w:r>
      <w:r>
        <w:rPr>
          <w:rFonts w:hint="eastAsia"/>
          <w:color w:val="auto"/>
          <w:lang w:eastAsia="zh-CN"/>
        </w:rPr>
        <w:t>具有</w:t>
      </w:r>
      <w:r>
        <w:rPr>
          <w:color w:val="auto"/>
        </w:rPr>
        <w:t>良好的排水设施。对于剩余无用的材料和各种外包装物品应集中堆放，统一处理，禁止外来人员进入场区捡拾垃圾，以免造成环境污染及安全隐患。</w:t>
      </w:r>
    </w:p>
    <w:p w14:paraId="59B8E7EC">
      <w:pPr>
        <w:bidi w:val="0"/>
        <w:rPr>
          <w:color w:val="auto"/>
        </w:rPr>
      </w:pPr>
      <w:r>
        <w:rPr>
          <w:color w:val="auto"/>
        </w:rPr>
        <w:t>⑥项目交通干道旁，施工单位</w:t>
      </w:r>
      <w:r>
        <w:rPr>
          <w:rFonts w:hint="eastAsia"/>
          <w:color w:val="auto"/>
          <w:lang w:eastAsia="zh-CN"/>
        </w:rPr>
        <w:t>及其他</w:t>
      </w:r>
      <w:r>
        <w:rPr>
          <w:color w:val="auto"/>
        </w:rPr>
        <w:t>项目相关方应加强进出车辆管理，尽量避开高峰时间，确保周围道路畅通。</w:t>
      </w:r>
    </w:p>
    <w:p w14:paraId="4F5B513B">
      <w:pPr>
        <w:bidi w:val="0"/>
        <w:rPr>
          <w:color w:val="auto"/>
        </w:rPr>
      </w:pPr>
      <w:r>
        <w:rPr>
          <w:color w:val="auto"/>
        </w:rPr>
        <w:t>⑦施工环境管理工作还可以按照IS01400l的要求，建立一套</w:t>
      </w:r>
      <w:r>
        <w:rPr>
          <w:rFonts w:hint="eastAsia"/>
          <w:color w:val="auto"/>
          <w:lang w:eastAsia="zh-CN"/>
        </w:rPr>
        <w:t>“</w:t>
      </w:r>
      <w:r>
        <w:rPr>
          <w:color w:val="auto"/>
        </w:rPr>
        <w:t>环境污染控制管理方案</w:t>
      </w:r>
      <w:r>
        <w:rPr>
          <w:rFonts w:hint="eastAsia"/>
          <w:color w:val="auto"/>
          <w:lang w:eastAsia="zh-CN"/>
        </w:rPr>
        <w:t>”</w:t>
      </w:r>
      <w:r>
        <w:rPr>
          <w:color w:val="auto"/>
        </w:rPr>
        <w:t>，并利用其中的</w:t>
      </w:r>
      <w:r>
        <w:rPr>
          <w:rFonts w:hint="eastAsia"/>
          <w:color w:val="auto"/>
          <w:lang w:eastAsia="zh-CN"/>
        </w:rPr>
        <w:t>“</w:t>
      </w:r>
      <w:r>
        <w:rPr>
          <w:color w:val="auto"/>
        </w:rPr>
        <w:t>运行控制程序</w:t>
      </w:r>
      <w:r>
        <w:rPr>
          <w:rFonts w:hint="eastAsia"/>
          <w:color w:val="auto"/>
          <w:lang w:eastAsia="zh-CN"/>
        </w:rPr>
        <w:t>”</w:t>
      </w:r>
      <w:r>
        <w:rPr>
          <w:color w:val="auto"/>
        </w:rPr>
        <w:t>进行严格管理，施工企业树立更为良好的社会形象，有利于企业的发展，以便更好的做到文明施工、把对周围环境造成的污染影响降至最低。</w:t>
      </w:r>
    </w:p>
    <w:p w14:paraId="0166FEE6">
      <w:pPr>
        <w:bidi w:val="0"/>
        <w:rPr>
          <w:color w:val="auto"/>
        </w:rPr>
      </w:pPr>
      <w:r>
        <w:rPr>
          <w:color w:val="auto"/>
        </w:rPr>
        <w:t>⑧施工平面布置要充分考虑对周边住宅区环境敏感点环境噪声的影响，将主要产噪施工设备尽量远离这些目标，优化施工平面布局。</w:t>
      </w:r>
    </w:p>
    <w:p w14:paraId="0106975A">
      <w:pPr>
        <w:pStyle w:val="4"/>
        <w:pageBreakBefore w:val="0"/>
        <w:wordWrap/>
        <w:bidi w:val="0"/>
        <w:adjustRightInd/>
        <w:snapToGrid/>
        <w:rPr>
          <w:rFonts w:ascii="Times New Roman" w:hAnsi="Times New Roman" w:eastAsia="宋体"/>
          <w:color w:val="auto"/>
        </w:rPr>
      </w:pPr>
      <w:bookmarkStart w:id="166" w:name="_Toc31299"/>
      <w:r>
        <w:rPr>
          <w:rFonts w:hint="eastAsia" w:ascii="Times New Roman" w:hAnsi="Times New Roman" w:eastAsia="宋体"/>
          <w:color w:val="auto"/>
        </w:rPr>
        <w:t xml:space="preserve"> </w:t>
      </w:r>
      <w:bookmarkStart w:id="167" w:name="_Toc7154"/>
      <w:r>
        <w:rPr>
          <w:rFonts w:ascii="Times New Roman" w:hAnsi="Times New Roman" w:eastAsia="宋体"/>
          <w:color w:val="auto"/>
        </w:rPr>
        <w:t>营运期环境</w:t>
      </w:r>
      <w:bookmarkEnd w:id="162"/>
      <w:bookmarkEnd w:id="163"/>
      <w:bookmarkEnd w:id="164"/>
      <w:bookmarkEnd w:id="165"/>
      <w:r>
        <w:rPr>
          <w:rFonts w:ascii="Times New Roman" w:hAnsi="Times New Roman" w:eastAsia="宋体"/>
          <w:color w:val="auto"/>
        </w:rPr>
        <w:t>影响预测与评价</w:t>
      </w:r>
      <w:bookmarkEnd w:id="166"/>
      <w:bookmarkEnd w:id="167"/>
    </w:p>
    <w:p w14:paraId="006DE002">
      <w:pPr>
        <w:pStyle w:val="5"/>
        <w:pageBreakBefore w:val="0"/>
        <w:wordWrap/>
        <w:bidi w:val="0"/>
        <w:adjustRightInd/>
        <w:snapToGrid/>
        <w:spacing w:before="62" w:after="62"/>
        <w:ind w:left="0"/>
        <w:rPr>
          <w:rFonts w:eastAsia="宋体"/>
          <w:color w:val="auto"/>
        </w:rPr>
      </w:pPr>
      <w:bookmarkStart w:id="168" w:name="_Toc374627795"/>
      <w:bookmarkStart w:id="169" w:name="_Toc5243"/>
      <w:r>
        <w:rPr>
          <w:rFonts w:hint="eastAsia" w:eastAsia="宋体"/>
          <w:color w:val="auto"/>
        </w:rPr>
        <w:t xml:space="preserve"> </w:t>
      </w:r>
      <w:r>
        <w:rPr>
          <w:rFonts w:eastAsia="宋体"/>
          <w:color w:val="auto"/>
        </w:rPr>
        <w:t>营运期大气</w:t>
      </w:r>
      <w:bookmarkEnd w:id="168"/>
      <w:bookmarkEnd w:id="169"/>
      <w:r>
        <w:rPr>
          <w:rFonts w:eastAsia="宋体"/>
          <w:color w:val="auto"/>
        </w:rPr>
        <w:t>环境预测与评价</w:t>
      </w:r>
    </w:p>
    <w:p w14:paraId="7B91E9E0">
      <w:pPr>
        <w:pStyle w:val="10"/>
        <w:pageBreakBefore w:val="0"/>
        <w:wordWrap/>
        <w:bidi w:val="0"/>
        <w:adjustRightInd/>
        <w:snapToGrid/>
        <w:rPr>
          <w:color w:val="auto"/>
        </w:rPr>
      </w:pPr>
      <w:r>
        <w:rPr>
          <w:color w:val="auto"/>
        </w:rPr>
        <w:t>气象资料</w:t>
      </w:r>
    </w:p>
    <w:p w14:paraId="0491E6D1">
      <w:pPr>
        <w:pageBreakBefore w:val="0"/>
        <w:wordWrap/>
        <w:bidi w:val="0"/>
        <w:adjustRightInd/>
        <w:snapToGrid/>
        <w:rPr>
          <w:color w:val="auto"/>
        </w:rPr>
      </w:pPr>
      <w:r>
        <w:rPr>
          <w:rFonts w:hint="eastAsia"/>
          <w:color w:val="auto"/>
        </w:rPr>
        <w:t>巴中市属亚热带湿润季风气候，四季分明，雨量充沛，光照适宜，年降水分布不均，旱涝交替，年总雨量正常；日照正常略偏少，春旱、夏旱、伏旱相继出现，暴雨、大风、冰雹时有发生。</w:t>
      </w:r>
    </w:p>
    <w:p w14:paraId="7BCB0AAE">
      <w:pPr>
        <w:pageBreakBefore w:val="0"/>
        <w:wordWrap/>
        <w:bidi w:val="0"/>
        <w:adjustRightInd/>
        <w:snapToGrid/>
        <w:rPr>
          <w:color w:val="auto"/>
        </w:rPr>
      </w:pPr>
      <w:r>
        <w:rPr>
          <w:rFonts w:hint="eastAsia"/>
          <w:color w:val="auto"/>
        </w:rPr>
        <w:t>巴州区是南北气候的交汇地带，属于典型的亚热带湿润季风气候，四季分明，无霜期长，光照适宜，雨量充沛，</w:t>
      </w:r>
      <w:r>
        <w:rPr>
          <w:rFonts w:hint="eastAsia"/>
          <w:color w:val="auto"/>
          <w:lang w:eastAsia="zh-CN"/>
        </w:rPr>
        <w:t>极其适合</w:t>
      </w:r>
      <w:r>
        <w:rPr>
          <w:rFonts w:hint="eastAsia"/>
          <w:color w:val="auto"/>
        </w:rPr>
        <w:t>保健养生、休闲度假，素有</w:t>
      </w:r>
      <w:r>
        <w:rPr>
          <w:rFonts w:hint="eastAsia"/>
          <w:color w:val="auto"/>
          <w:lang w:eastAsia="zh-CN"/>
        </w:rPr>
        <w:t>“</w:t>
      </w:r>
      <w:r>
        <w:rPr>
          <w:rFonts w:hint="eastAsia"/>
          <w:color w:val="auto"/>
        </w:rPr>
        <w:t>川东北天然氧吧</w:t>
      </w:r>
      <w:r>
        <w:rPr>
          <w:rFonts w:hint="eastAsia"/>
          <w:color w:val="auto"/>
          <w:lang w:eastAsia="zh-CN"/>
        </w:rPr>
        <w:t>”</w:t>
      </w:r>
      <w:r>
        <w:rPr>
          <w:rFonts w:hint="eastAsia"/>
          <w:color w:val="auto"/>
        </w:rPr>
        <w:t>的称号。全区森林覆盖率</w:t>
      </w:r>
      <w:r>
        <w:rPr>
          <w:color w:val="auto"/>
        </w:rPr>
        <w:t>50.2%</w:t>
      </w:r>
      <w:r>
        <w:rPr>
          <w:rFonts w:hint="eastAsia"/>
          <w:color w:val="auto"/>
        </w:rPr>
        <w:t>、是全国平均水平的</w:t>
      </w:r>
      <w:r>
        <w:rPr>
          <w:color w:val="auto"/>
        </w:rPr>
        <w:t>3</w:t>
      </w:r>
      <w:r>
        <w:rPr>
          <w:rFonts w:hint="eastAsia"/>
          <w:color w:val="auto"/>
        </w:rPr>
        <w:t>倍，境域负氧离子平均浓度达</w:t>
      </w:r>
      <w:r>
        <w:rPr>
          <w:color w:val="auto"/>
        </w:rPr>
        <w:t>Ⅰ</w:t>
      </w:r>
      <w:r>
        <w:rPr>
          <w:rFonts w:hint="eastAsia"/>
          <w:color w:val="auto"/>
        </w:rPr>
        <w:t>级标准，农产品优产度达</w:t>
      </w:r>
      <w:r>
        <w:rPr>
          <w:color w:val="auto"/>
        </w:rPr>
        <w:t>85%</w:t>
      </w:r>
      <w:r>
        <w:rPr>
          <w:rFonts w:hint="eastAsia"/>
          <w:color w:val="auto"/>
        </w:rPr>
        <w:t>，空气质量优良率达</w:t>
      </w:r>
      <w:r>
        <w:rPr>
          <w:color w:val="auto"/>
        </w:rPr>
        <w:t>95%</w:t>
      </w:r>
      <w:r>
        <w:rPr>
          <w:rFonts w:hint="eastAsia"/>
          <w:color w:val="auto"/>
        </w:rPr>
        <w:t>以上。</w:t>
      </w:r>
    </w:p>
    <w:p w14:paraId="12423AE1">
      <w:pPr>
        <w:pageBreakBefore w:val="0"/>
        <w:wordWrap/>
        <w:bidi w:val="0"/>
        <w:adjustRightInd/>
        <w:snapToGrid/>
        <w:rPr>
          <w:color w:val="auto"/>
        </w:rPr>
      </w:pPr>
      <w:r>
        <w:rPr>
          <w:rFonts w:hint="eastAsia"/>
          <w:color w:val="auto"/>
        </w:rPr>
        <w:t>巴中市主要气象参数条件如下：</w:t>
      </w:r>
    </w:p>
    <w:p w14:paraId="3B1C4AE1">
      <w:pPr>
        <w:pageBreakBefore w:val="0"/>
        <w:wordWrap/>
        <w:bidi w:val="0"/>
        <w:adjustRightInd/>
        <w:snapToGrid/>
        <w:rPr>
          <w:color w:val="auto"/>
        </w:rPr>
      </w:pPr>
      <w:r>
        <w:rPr>
          <w:rFonts w:hint="eastAsia"/>
          <w:color w:val="auto"/>
        </w:rPr>
        <w:t>多年平均气温：</w:t>
      </w:r>
      <w:r>
        <w:rPr>
          <w:color w:val="auto"/>
        </w:rPr>
        <w:t>16.9~17.4℃</w:t>
      </w:r>
      <w:r>
        <w:rPr>
          <w:rFonts w:hint="eastAsia"/>
          <w:color w:val="auto"/>
        </w:rPr>
        <w:t>；多年极端最高气温：</w:t>
      </w:r>
      <w:r>
        <w:rPr>
          <w:color w:val="auto"/>
        </w:rPr>
        <w:t>40.3℃</w:t>
      </w:r>
      <w:r>
        <w:rPr>
          <w:rFonts w:hint="eastAsia"/>
          <w:color w:val="auto"/>
        </w:rPr>
        <w:t>；</w:t>
      </w:r>
    </w:p>
    <w:p w14:paraId="6F58C31E">
      <w:pPr>
        <w:pageBreakBefore w:val="0"/>
        <w:wordWrap/>
        <w:bidi w:val="0"/>
        <w:adjustRightInd/>
        <w:snapToGrid/>
        <w:rPr>
          <w:color w:val="auto"/>
        </w:rPr>
      </w:pPr>
      <w:r>
        <w:rPr>
          <w:rFonts w:hint="eastAsia"/>
          <w:color w:val="auto"/>
        </w:rPr>
        <w:t>多年极端最低气温：</w:t>
      </w:r>
      <w:r>
        <w:rPr>
          <w:color w:val="auto"/>
        </w:rPr>
        <w:t>-5.3℃</w:t>
      </w:r>
      <w:r>
        <w:rPr>
          <w:rFonts w:hint="eastAsia"/>
          <w:color w:val="auto"/>
        </w:rPr>
        <w:t>；平均降水量：</w:t>
      </w:r>
      <w:r>
        <w:rPr>
          <w:color w:val="auto"/>
        </w:rPr>
        <w:t>1104mm</w:t>
      </w:r>
      <w:r>
        <w:rPr>
          <w:rFonts w:hint="eastAsia"/>
          <w:color w:val="auto"/>
        </w:rPr>
        <w:t>；</w:t>
      </w:r>
    </w:p>
    <w:p w14:paraId="755922AE">
      <w:pPr>
        <w:pageBreakBefore w:val="0"/>
        <w:wordWrap/>
        <w:bidi w:val="0"/>
        <w:adjustRightInd/>
        <w:snapToGrid/>
        <w:rPr>
          <w:color w:val="auto"/>
        </w:rPr>
      </w:pPr>
      <w:r>
        <w:rPr>
          <w:rFonts w:hint="eastAsia"/>
          <w:color w:val="auto"/>
        </w:rPr>
        <w:t>降雨日数（年平均）：</w:t>
      </w:r>
      <w:r>
        <w:rPr>
          <w:color w:val="auto"/>
        </w:rPr>
        <w:t>139</w:t>
      </w:r>
      <w:r>
        <w:rPr>
          <w:rFonts w:hint="eastAsia"/>
          <w:color w:val="auto"/>
        </w:rPr>
        <w:t>天；无霜期：</w:t>
      </w:r>
      <w:r>
        <w:rPr>
          <w:color w:val="auto"/>
        </w:rPr>
        <w:t>281</w:t>
      </w:r>
      <w:r>
        <w:rPr>
          <w:rFonts w:hint="eastAsia"/>
          <w:color w:val="auto"/>
        </w:rPr>
        <w:t>天；</w:t>
      </w:r>
    </w:p>
    <w:p w14:paraId="4A22BDF5">
      <w:pPr>
        <w:pageBreakBefore w:val="0"/>
        <w:wordWrap/>
        <w:bidi w:val="0"/>
        <w:adjustRightInd/>
        <w:snapToGrid/>
        <w:rPr>
          <w:color w:val="auto"/>
        </w:rPr>
      </w:pPr>
      <w:r>
        <w:rPr>
          <w:rFonts w:hint="eastAsia"/>
          <w:color w:val="auto"/>
        </w:rPr>
        <w:t>年均雷暴日：</w:t>
      </w:r>
      <w:r>
        <w:rPr>
          <w:color w:val="auto"/>
        </w:rPr>
        <w:t>56</w:t>
      </w:r>
      <w:r>
        <w:rPr>
          <w:rFonts w:hint="eastAsia"/>
          <w:color w:val="auto"/>
        </w:rPr>
        <w:t>天；陆地蒸发量：</w:t>
      </w:r>
      <w:r>
        <w:rPr>
          <w:color w:val="auto"/>
        </w:rPr>
        <w:t>77.2-84.7mm</w:t>
      </w:r>
      <w:r>
        <w:rPr>
          <w:rFonts w:hint="eastAsia"/>
          <w:color w:val="auto"/>
        </w:rPr>
        <w:t>；</w:t>
      </w:r>
    </w:p>
    <w:p w14:paraId="4D419CEE">
      <w:pPr>
        <w:pageBreakBefore w:val="0"/>
        <w:wordWrap/>
        <w:bidi w:val="0"/>
        <w:adjustRightInd/>
        <w:snapToGrid/>
        <w:rPr>
          <w:color w:val="auto"/>
        </w:rPr>
      </w:pPr>
      <w:r>
        <w:rPr>
          <w:rFonts w:hint="eastAsia"/>
          <w:color w:val="auto"/>
        </w:rPr>
        <w:t>日平均相对湿度：</w:t>
      </w:r>
      <w:r>
        <w:rPr>
          <w:color w:val="auto"/>
        </w:rPr>
        <w:t>80%</w:t>
      </w:r>
      <w:r>
        <w:rPr>
          <w:rFonts w:hint="eastAsia"/>
          <w:color w:val="auto"/>
        </w:rPr>
        <w:t>；全年平均相对湿度：</w:t>
      </w:r>
      <w:r>
        <w:rPr>
          <w:color w:val="auto"/>
        </w:rPr>
        <w:t>77%</w:t>
      </w:r>
      <w:r>
        <w:rPr>
          <w:rFonts w:hint="eastAsia"/>
          <w:color w:val="auto"/>
        </w:rPr>
        <w:t>；</w:t>
      </w:r>
    </w:p>
    <w:p w14:paraId="5D0FEE80">
      <w:pPr>
        <w:pageBreakBefore w:val="0"/>
        <w:wordWrap/>
        <w:bidi w:val="0"/>
        <w:adjustRightInd/>
        <w:snapToGrid/>
        <w:rPr>
          <w:color w:val="auto"/>
        </w:rPr>
      </w:pPr>
      <w:r>
        <w:rPr>
          <w:rFonts w:hint="eastAsia"/>
          <w:color w:val="auto"/>
        </w:rPr>
        <w:t>主导风向：常年冬季西北风，常年夏季西北、东南风，春秋季风向不定，</w:t>
      </w:r>
    </w:p>
    <w:p w14:paraId="26FF62E8">
      <w:pPr>
        <w:pageBreakBefore w:val="0"/>
        <w:wordWrap/>
        <w:bidi w:val="0"/>
        <w:adjustRightInd/>
        <w:snapToGrid/>
        <w:rPr>
          <w:color w:val="auto"/>
        </w:rPr>
      </w:pPr>
      <w:r>
        <w:rPr>
          <w:rFonts w:hint="eastAsia"/>
          <w:color w:val="auto"/>
        </w:rPr>
        <w:t>但阵风偏西北风，亦有南风，年平均风速</w:t>
      </w:r>
      <w:r>
        <w:rPr>
          <w:color w:val="auto"/>
        </w:rPr>
        <w:t>1.27m/s</w:t>
      </w:r>
      <w:r>
        <w:rPr>
          <w:rFonts w:hint="eastAsia"/>
          <w:color w:val="auto"/>
        </w:rPr>
        <w:t>。</w:t>
      </w:r>
    </w:p>
    <w:p w14:paraId="54392CC4">
      <w:pPr>
        <w:pStyle w:val="10"/>
        <w:pageBreakBefore w:val="0"/>
        <w:wordWrap/>
        <w:bidi w:val="0"/>
        <w:adjustRightInd/>
        <w:snapToGrid/>
        <w:rPr>
          <w:color w:val="auto"/>
        </w:rPr>
      </w:pPr>
      <w:r>
        <w:rPr>
          <w:color w:val="auto"/>
        </w:rPr>
        <w:t>预测因子、预测范围及内容</w:t>
      </w:r>
    </w:p>
    <w:p w14:paraId="2A2FB0B6">
      <w:pPr>
        <w:pageBreakBefore w:val="0"/>
        <w:wordWrap/>
        <w:bidi w:val="0"/>
        <w:adjustRightInd/>
        <w:snapToGrid/>
        <w:ind w:firstLine="480"/>
        <w:rPr>
          <w:b/>
          <w:bCs/>
          <w:color w:val="auto"/>
        </w:rPr>
      </w:pPr>
      <w:r>
        <w:rPr>
          <w:b/>
          <w:bCs/>
          <w:color w:val="auto"/>
        </w:rPr>
        <w:t>（1）预测模式选择</w:t>
      </w:r>
    </w:p>
    <w:p w14:paraId="466FAD8A">
      <w:pPr>
        <w:pageBreakBefore w:val="0"/>
        <w:wordWrap/>
        <w:bidi w:val="0"/>
        <w:adjustRightInd/>
        <w:snapToGrid/>
        <w:ind w:left="240" w:leftChars="100" w:firstLine="240" w:firstLineChars="100"/>
        <w:rPr>
          <w:color w:val="auto"/>
        </w:rPr>
      </w:pPr>
      <w:r>
        <w:rPr>
          <w:color w:val="auto"/>
        </w:rPr>
        <w:t>为了解各大气污染源对环境的影响程度，评价采用《环境影响评价技术导则大气环境》（HJ2.2-2018）规定的AERSCREEN计算模式大气污染物扩散计算。</w:t>
      </w:r>
    </w:p>
    <w:p w14:paraId="656D7CF6">
      <w:pPr>
        <w:pageBreakBefore w:val="0"/>
        <w:wordWrap/>
        <w:bidi w:val="0"/>
        <w:adjustRightInd/>
        <w:snapToGrid/>
        <w:ind w:firstLine="480"/>
        <w:rPr>
          <w:b/>
          <w:bCs/>
          <w:color w:val="auto"/>
        </w:rPr>
      </w:pPr>
      <w:r>
        <w:rPr>
          <w:b/>
          <w:bCs/>
          <w:color w:val="auto"/>
        </w:rPr>
        <w:t>（2）预测因子</w:t>
      </w:r>
    </w:p>
    <w:p w14:paraId="365A23CE">
      <w:pPr>
        <w:pageBreakBefore w:val="0"/>
        <w:wordWrap/>
        <w:bidi w:val="0"/>
        <w:adjustRightInd/>
        <w:snapToGrid/>
        <w:ind w:firstLine="480"/>
        <w:rPr>
          <w:color w:val="auto"/>
        </w:rPr>
      </w:pPr>
      <w:r>
        <w:rPr>
          <w:color w:val="auto"/>
        </w:rPr>
        <w:t>项目生产的废气污染物主要有NH</w:t>
      </w:r>
      <w:r>
        <w:rPr>
          <w:color w:val="auto"/>
          <w:vertAlign w:val="subscript"/>
        </w:rPr>
        <w:t>3</w:t>
      </w:r>
      <w:r>
        <w:rPr>
          <w:color w:val="auto"/>
        </w:rPr>
        <w:t>、H</w:t>
      </w:r>
      <w:r>
        <w:rPr>
          <w:color w:val="auto"/>
          <w:vertAlign w:val="subscript"/>
        </w:rPr>
        <w:t>2</w:t>
      </w:r>
      <w:r>
        <w:rPr>
          <w:color w:val="auto"/>
        </w:rPr>
        <w:t>S等。根据本项目污染特征，选取污染物排放量较大的主要大气污染物NH</w:t>
      </w:r>
      <w:r>
        <w:rPr>
          <w:color w:val="auto"/>
          <w:vertAlign w:val="subscript"/>
        </w:rPr>
        <w:t>3</w:t>
      </w:r>
      <w:r>
        <w:rPr>
          <w:color w:val="auto"/>
        </w:rPr>
        <w:t>、H</w:t>
      </w:r>
      <w:r>
        <w:rPr>
          <w:color w:val="auto"/>
          <w:vertAlign w:val="subscript"/>
        </w:rPr>
        <w:t>2</w:t>
      </w:r>
      <w:r>
        <w:rPr>
          <w:color w:val="auto"/>
        </w:rPr>
        <w:t>S作为预测因子。</w:t>
      </w:r>
    </w:p>
    <w:p w14:paraId="111E116F">
      <w:pPr>
        <w:pageBreakBefore w:val="0"/>
        <w:wordWrap/>
        <w:bidi w:val="0"/>
        <w:adjustRightInd/>
        <w:snapToGrid/>
        <w:ind w:firstLine="480"/>
        <w:rPr>
          <w:b/>
          <w:bCs/>
          <w:color w:val="auto"/>
        </w:rPr>
      </w:pPr>
      <w:r>
        <w:rPr>
          <w:b/>
          <w:bCs/>
          <w:color w:val="auto"/>
        </w:rPr>
        <w:t>（3）污染物评价标准</w:t>
      </w:r>
    </w:p>
    <w:p w14:paraId="6B018BD0">
      <w:pPr>
        <w:pageBreakBefore w:val="0"/>
        <w:wordWrap/>
        <w:bidi w:val="0"/>
        <w:adjustRightInd/>
        <w:snapToGrid/>
        <w:ind w:firstLine="480"/>
        <w:rPr>
          <w:color w:val="auto"/>
        </w:rPr>
      </w:pPr>
      <w:r>
        <w:rPr>
          <w:color w:val="auto"/>
        </w:rPr>
        <w:t>本项目大气评价标准见</w:t>
      </w:r>
      <w:r>
        <w:rPr>
          <w:rFonts w:hint="eastAsia"/>
          <w:color w:val="auto"/>
          <w:lang w:val="en-US" w:eastAsia="zh-CN"/>
        </w:rPr>
        <w:t>下表</w:t>
      </w:r>
      <w:r>
        <w:rPr>
          <w:color w:val="auto"/>
        </w:rPr>
        <w:t>。</w:t>
      </w:r>
    </w:p>
    <w:p w14:paraId="2696DF92">
      <w:pPr>
        <w:pStyle w:val="19"/>
        <w:numPr>
          <w:ilvl w:val="0"/>
          <w:numId w:val="31"/>
        </w:numPr>
        <w:bidi w:val="0"/>
        <w:ind w:left="1440" w:leftChars="0" w:firstLine="0" w:firstLineChars="0"/>
        <w:rPr>
          <w:rFonts w:hint="eastAsia"/>
          <w:color w:val="auto"/>
          <w:lang w:eastAsia="zh-CN"/>
        </w:rPr>
      </w:pPr>
      <w:r>
        <w:rPr>
          <w:color w:val="auto"/>
        </w:rPr>
        <w:t>大气评价标准   单位：mg/</w:t>
      </w:r>
      <w:r>
        <w:rPr>
          <w:rFonts w:hint="eastAsia"/>
          <w:color w:val="auto"/>
          <w:lang w:eastAsia="zh-CN"/>
        </w:rPr>
        <w:t>m³</w:t>
      </w:r>
    </w:p>
    <w:tbl>
      <w:tblPr>
        <w:tblStyle w:val="5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559"/>
        <w:gridCol w:w="1418"/>
        <w:gridCol w:w="4784"/>
      </w:tblGrid>
      <w:tr w14:paraId="51DAAC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9" w:type="dxa"/>
            <w:tcBorders>
              <w:tl2br w:val="nil"/>
              <w:tr2bl w:val="nil"/>
            </w:tcBorders>
            <w:noWrap w:val="0"/>
            <w:vAlign w:val="center"/>
          </w:tcPr>
          <w:p w14:paraId="07741C8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w:t>
            </w:r>
          </w:p>
        </w:tc>
        <w:tc>
          <w:tcPr>
            <w:tcW w:w="1559" w:type="dxa"/>
            <w:tcBorders>
              <w:tl2br w:val="nil"/>
              <w:tr2bl w:val="nil"/>
            </w:tcBorders>
            <w:noWrap w:val="0"/>
            <w:vAlign w:val="center"/>
          </w:tcPr>
          <w:p w14:paraId="37802AE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24小时平均</w:t>
            </w:r>
          </w:p>
        </w:tc>
        <w:tc>
          <w:tcPr>
            <w:tcW w:w="1418" w:type="dxa"/>
            <w:tcBorders>
              <w:tl2br w:val="nil"/>
              <w:tr2bl w:val="nil"/>
            </w:tcBorders>
            <w:noWrap w:val="0"/>
            <w:vAlign w:val="center"/>
          </w:tcPr>
          <w:p w14:paraId="08E2211A">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1小时平均</w:t>
            </w:r>
          </w:p>
        </w:tc>
        <w:tc>
          <w:tcPr>
            <w:tcW w:w="4784" w:type="dxa"/>
            <w:tcBorders>
              <w:tl2br w:val="nil"/>
              <w:tr2bl w:val="nil"/>
            </w:tcBorders>
            <w:noWrap w:val="0"/>
            <w:vAlign w:val="center"/>
          </w:tcPr>
          <w:p w14:paraId="397CC07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执行标准</w:t>
            </w:r>
          </w:p>
        </w:tc>
      </w:tr>
      <w:tr w14:paraId="10E5CB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9" w:type="dxa"/>
            <w:tcBorders>
              <w:tl2br w:val="nil"/>
              <w:tr2bl w:val="nil"/>
            </w:tcBorders>
            <w:noWrap w:val="0"/>
            <w:vAlign w:val="center"/>
          </w:tcPr>
          <w:p w14:paraId="0DF4A852">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NH</w:t>
            </w:r>
            <w:r>
              <w:rPr>
                <w:color w:val="auto"/>
                <w:kern w:val="0"/>
                <w:sz w:val="21"/>
                <w:szCs w:val="21"/>
                <w:vertAlign w:val="subscript"/>
              </w:rPr>
              <w:t>3</w:t>
            </w:r>
          </w:p>
        </w:tc>
        <w:tc>
          <w:tcPr>
            <w:tcW w:w="1559" w:type="dxa"/>
            <w:tcBorders>
              <w:tl2br w:val="nil"/>
              <w:tr2bl w:val="nil"/>
            </w:tcBorders>
            <w:noWrap w:val="0"/>
            <w:vAlign w:val="center"/>
          </w:tcPr>
          <w:p w14:paraId="6474C667">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418" w:type="dxa"/>
            <w:tcBorders>
              <w:tl2br w:val="nil"/>
              <w:tr2bl w:val="nil"/>
            </w:tcBorders>
            <w:noWrap w:val="0"/>
            <w:vAlign w:val="center"/>
          </w:tcPr>
          <w:p w14:paraId="50A94C7F">
            <w:pPr>
              <w:pageBreakBefore w:val="0"/>
              <w:wordWrap/>
              <w:bidi w:val="0"/>
              <w:adjustRightInd/>
              <w:snapToGrid/>
              <w:spacing w:line="240" w:lineRule="auto"/>
              <w:ind w:firstLine="0" w:firstLineChars="0"/>
              <w:jc w:val="center"/>
              <w:rPr>
                <w:color w:val="auto"/>
                <w:sz w:val="21"/>
                <w:szCs w:val="21"/>
              </w:rPr>
            </w:pPr>
            <w:r>
              <w:rPr>
                <w:color w:val="auto"/>
                <w:sz w:val="21"/>
                <w:szCs w:val="21"/>
              </w:rPr>
              <w:t>0.2</w:t>
            </w:r>
          </w:p>
        </w:tc>
        <w:tc>
          <w:tcPr>
            <w:tcW w:w="4784" w:type="dxa"/>
            <w:vMerge w:val="restart"/>
            <w:tcBorders>
              <w:tl2br w:val="nil"/>
              <w:tr2bl w:val="nil"/>
            </w:tcBorders>
            <w:noWrap w:val="0"/>
            <w:vAlign w:val="center"/>
          </w:tcPr>
          <w:p w14:paraId="38E54676">
            <w:pPr>
              <w:pageBreakBefore w:val="0"/>
              <w:wordWrap/>
              <w:bidi w:val="0"/>
              <w:adjustRightInd/>
              <w:snapToGrid/>
              <w:spacing w:line="240" w:lineRule="auto"/>
              <w:ind w:firstLine="0" w:firstLineChars="0"/>
              <w:jc w:val="center"/>
              <w:rPr>
                <w:color w:val="auto"/>
                <w:sz w:val="21"/>
                <w:szCs w:val="21"/>
              </w:rPr>
            </w:pPr>
            <w:r>
              <w:rPr>
                <w:color w:val="auto"/>
                <w:sz w:val="21"/>
                <w:szCs w:val="21"/>
              </w:rPr>
              <w:t>《环境影响评价技术导则 大气环境》（HJ2.2-2018）附录D中相应污染物空气质量浓度限值</w:t>
            </w:r>
          </w:p>
        </w:tc>
      </w:tr>
      <w:tr w14:paraId="01B41B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9" w:type="dxa"/>
            <w:tcBorders>
              <w:tl2br w:val="nil"/>
              <w:tr2bl w:val="nil"/>
            </w:tcBorders>
            <w:noWrap w:val="0"/>
            <w:vAlign w:val="center"/>
          </w:tcPr>
          <w:p w14:paraId="5D024EE7">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H</w:t>
            </w:r>
            <w:r>
              <w:rPr>
                <w:color w:val="auto"/>
                <w:kern w:val="0"/>
                <w:sz w:val="21"/>
                <w:szCs w:val="21"/>
                <w:vertAlign w:val="subscript"/>
              </w:rPr>
              <w:t>2</w:t>
            </w:r>
            <w:r>
              <w:rPr>
                <w:color w:val="auto"/>
                <w:kern w:val="0"/>
                <w:sz w:val="21"/>
                <w:szCs w:val="21"/>
              </w:rPr>
              <w:t>S</w:t>
            </w:r>
          </w:p>
        </w:tc>
        <w:tc>
          <w:tcPr>
            <w:tcW w:w="1559" w:type="dxa"/>
            <w:tcBorders>
              <w:tl2br w:val="nil"/>
              <w:tr2bl w:val="nil"/>
            </w:tcBorders>
            <w:noWrap w:val="0"/>
            <w:vAlign w:val="center"/>
          </w:tcPr>
          <w:p w14:paraId="4706F548">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1418" w:type="dxa"/>
            <w:tcBorders>
              <w:tl2br w:val="nil"/>
              <w:tr2bl w:val="nil"/>
            </w:tcBorders>
            <w:noWrap w:val="0"/>
            <w:vAlign w:val="center"/>
          </w:tcPr>
          <w:p w14:paraId="7219106E">
            <w:pPr>
              <w:pageBreakBefore w:val="0"/>
              <w:wordWrap/>
              <w:bidi w:val="0"/>
              <w:adjustRightInd/>
              <w:snapToGrid/>
              <w:spacing w:line="240" w:lineRule="auto"/>
              <w:ind w:firstLine="0" w:firstLineChars="0"/>
              <w:jc w:val="center"/>
              <w:rPr>
                <w:color w:val="auto"/>
                <w:sz w:val="21"/>
                <w:szCs w:val="21"/>
              </w:rPr>
            </w:pPr>
            <w:r>
              <w:rPr>
                <w:color w:val="auto"/>
                <w:sz w:val="21"/>
                <w:szCs w:val="21"/>
              </w:rPr>
              <w:t>0.01</w:t>
            </w:r>
          </w:p>
        </w:tc>
        <w:tc>
          <w:tcPr>
            <w:tcW w:w="4784" w:type="dxa"/>
            <w:vMerge w:val="continue"/>
            <w:tcBorders>
              <w:tl2br w:val="nil"/>
              <w:tr2bl w:val="nil"/>
            </w:tcBorders>
            <w:noWrap w:val="0"/>
            <w:vAlign w:val="center"/>
          </w:tcPr>
          <w:p w14:paraId="66D2F59D">
            <w:pPr>
              <w:pageBreakBefore w:val="0"/>
              <w:wordWrap/>
              <w:bidi w:val="0"/>
              <w:adjustRightInd/>
              <w:snapToGrid/>
              <w:spacing w:line="240" w:lineRule="auto"/>
              <w:ind w:firstLine="0" w:firstLineChars="0"/>
              <w:jc w:val="center"/>
              <w:rPr>
                <w:color w:val="auto"/>
                <w:sz w:val="21"/>
                <w:szCs w:val="21"/>
              </w:rPr>
            </w:pPr>
          </w:p>
        </w:tc>
      </w:tr>
    </w:tbl>
    <w:p w14:paraId="5D87F92F">
      <w:pPr>
        <w:pageBreakBefore w:val="0"/>
        <w:wordWrap/>
        <w:bidi w:val="0"/>
        <w:adjustRightInd/>
        <w:snapToGrid/>
        <w:ind w:firstLine="480"/>
        <w:rPr>
          <w:b/>
          <w:bCs/>
          <w:color w:val="auto"/>
        </w:rPr>
      </w:pPr>
      <w:r>
        <w:rPr>
          <w:b/>
          <w:bCs/>
          <w:color w:val="auto"/>
        </w:rPr>
        <w:t>（4）预测范围</w:t>
      </w:r>
    </w:p>
    <w:p w14:paraId="16168D21">
      <w:pPr>
        <w:pageBreakBefore w:val="0"/>
        <w:wordWrap/>
        <w:bidi w:val="0"/>
        <w:adjustRightInd/>
        <w:snapToGrid/>
        <w:ind w:firstLine="480"/>
        <w:rPr>
          <w:color w:val="auto"/>
        </w:rPr>
      </w:pPr>
      <w:r>
        <w:rPr>
          <w:color w:val="auto"/>
        </w:rPr>
        <w:t>预测范围为项目的大气评价范围，重点关注相关大气排放源周围5km以内的区域的影响情况。</w:t>
      </w:r>
    </w:p>
    <w:p w14:paraId="6FFD6431">
      <w:pPr>
        <w:pageBreakBefore w:val="0"/>
        <w:wordWrap/>
        <w:bidi w:val="0"/>
        <w:adjustRightInd/>
        <w:snapToGrid/>
        <w:ind w:left="0" w:leftChars="0" w:firstLine="0" w:firstLineChars="0"/>
        <w:jc w:val="both"/>
        <w:rPr>
          <w:rFonts w:hint="eastAsia" w:eastAsia="宋体"/>
          <w:color w:val="auto"/>
          <w:lang w:eastAsia="zh-CN"/>
        </w:rPr>
      </w:pPr>
      <w:r>
        <w:rPr>
          <w:color w:val="auto"/>
        </w:rPr>
        <mc:AlternateContent>
          <mc:Choice Requires="wps">
            <w:drawing>
              <wp:anchor distT="0" distB="0" distL="114300" distR="114300" simplePos="0" relativeHeight="251665408" behindDoc="0" locked="0" layoutInCell="1" allowOverlap="1">
                <wp:simplePos x="0" y="0"/>
                <wp:positionH relativeFrom="column">
                  <wp:posOffset>3379470</wp:posOffset>
                </wp:positionH>
                <wp:positionV relativeFrom="paragraph">
                  <wp:posOffset>2228215</wp:posOffset>
                </wp:positionV>
                <wp:extent cx="914400" cy="344805"/>
                <wp:effectExtent l="0" t="0" r="0" b="0"/>
                <wp:wrapNone/>
                <wp:docPr id="53" name="文本框 75"/>
                <wp:cNvGraphicFramePr/>
                <a:graphic xmlns:a="http://schemas.openxmlformats.org/drawingml/2006/main">
                  <a:graphicData uri="http://schemas.microsoft.com/office/word/2010/wordprocessingShape">
                    <wps:wsp>
                      <wps:cNvSpPr txBox="1"/>
                      <wps:spPr>
                        <a:xfrm>
                          <a:off x="0" y="0"/>
                          <a:ext cx="914400" cy="344805"/>
                        </a:xfrm>
                        <a:prstGeom prst="rect">
                          <a:avLst/>
                        </a:prstGeom>
                        <a:noFill/>
                        <a:ln>
                          <a:noFill/>
                        </a:ln>
                      </wps:spPr>
                      <wps:txbx>
                        <w:txbxContent>
                          <w:p w14:paraId="1BDD2D3B">
                            <w:pPr>
                              <w:spacing w:line="240" w:lineRule="auto"/>
                              <w:ind w:left="0" w:leftChars="0" w:firstLine="0" w:firstLineChars="0"/>
                            </w:pPr>
                            <w:r>
                              <w:rPr>
                                <w:rFonts w:hint="eastAsia"/>
                              </w:rPr>
                              <w:t>2.5km</w:t>
                            </w:r>
                          </w:p>
                        </w:txbxContent>
                      </wps:txbx>
                      <wps:bodyPr wrap="square" upright="1"/>
                    </wps:wsp>
                  </a:graphicData>
                </a:graphic>
              </wp:anchor>
            </w:drawing>
          </mc:Choice>
          <mc:Fallback>
            <w:pict>
              <v:shape id="文本框 75" o:spid="_x0000_s1026" o:spt="202" type="#_x0000_t202" style="position:absolute;left:0pt;margin-left:266.1pt;margin-top:175.45pt;height:27.15pt;width:72pt;z-index:251665408;mso-width-relative:page;mso-height-relative:page;" filled="f" stroked="f" coordsize="21600,21600" o:gfxdata="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VMxuWNgAAAALAQAADwAAAAAAAAABACAAAAAiAAAAZHJzL2Rvd25yZXYueG1sUEsBAhQA&#10;FAAAAAgAh07iQLc4KWi5AQAAXQMAAA4AAAAAAAAAAQAgAAAAJwEAAGRycy9lMm9Eb2MueG1sUEsF&#10;BgAAAAAGAAYAWQEAAFIFAAAAAA==&#10;">
                <v:fill on="f" focussize="0,0"/>
                <v:stroke on="f"/>
                <v:imagedata o:title=""/>
                <o:lock v:ext="edit" aspectratio="f"/>
                <v:textbox>
                  <w:txbxContent>
                    <w:p w14:paraId="1BDD2D3B">
                      <w:pPr>
                        <w:spacing w:line="240" w:lineRule="auto"/>
                        <w:ind w:left="0" w:leftChars="0" w:firstLine="0" w:firstLineChars="0"/>
                      </w:pPr>
                      <w:r>
                        <w:rPr>
                          <w:rFonts w:hint="eastAsia"/>
                        </w:rPr>
                        <w:t>2.5km</w:t>
                      </w:r>
                    </w:p>
                  </w:txbxContent>
                </v:textbox>
              </v:shape>
            </w:pict>
          </mc:Fallback>
        </mc:AlternateContent>
      </w:r>
      <w:r>
        <w:rPr>
          <w:color w:val="auto"/>
        </w:rPr>
        <mc:AlternateContent>
          <mc:Choice Requires="wps">
            <w:drawing>
              <wp:anchor distT="0" distB="0" distL="114300" distR="114300" simplePos="0" relativeHeight="251664384" behindDoc="0" locked="0" layoutInCell="1" allowOverlap="1">
                <wp:simplePos x="0" y="0"/>
                <wp:positionH relativeFrom="column">
                  <wp:posOffset>2795270</wp:posOffset>
                </wp:positionH>
                <wp:positionV relativeFrom="paragraph">
                  <wp:posOffset>2247900</wp:posOffset>
                </wp:positionV>
                <wp:extent cx="1895475" cy="2540"/>
                <wp:effectExtent l="0" t="48895" r="9525" b="62865"/>
                <wp:wrapNone/>
                <wp:docPr id="52" name="自选图形 76"/>
                <wp:cNvGraphicFramePr/>
                <a:graphic xmlns:a="http://schemas.openxmlformats.org/drawingml/2006/main">
                  <a:graphicData uri="http://schemas.microsoft.com/office/word/2010/wordprocessingShape">
                    <wps:wsp>
                      <wps:cNvCnPr/>
                      <wps:spPr>
                        <a:xfrm flipV="1">
                          <a:off x="0" y="0"/>
                          <a:ext cx="1895475" cy="2540"/>
                        </a:xfrm>
                        <a:prstGeom prst="straightConnector1">
                          <a:avLst/>
                        </a:prstGeom>
                        <a:ln w="9525" cap="flat" cmpd="sng">
                          <a:solidFill>
                            <a:srgbClr val="000000"/>
                          </a:solidFill>
                          <a:prstDash val="solid"/>
                          <a:headEnd type="arrow" w="med" len="med"/>
                          <a:tailEnd type="arrow" w="med" len="med"/>
                        </a:ln>
                      </wps:spPr>
                      <wps:bodyPr/>
                    </wps:wsp>
                  </a:graphicData>
                </a:graphic>
              </wp:anchor>
            </w:drawing>
          </mc:Choice>
          <mc:Fallback>
            <w:pict>
              <v:shape id="自选图形 76" o:spid="_x0000_s1026" o:spt="32" type="#_x0000_t32" style="position:absolute;left:0pt;flip:y;margin-left:220.1pt;margin-top:177pt;height:0.2pt;width:149.25pt;z-index:251664384;mso-width-relative:page;mso-height-relative:page;" filled="f" stroked="t" coordsize="21600,21600" o:gfxdata="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&#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AO7o7aAAAACwEAAA8AAAAAAAAAAQAgAAAAIgAAAGRy&#10;cy9kb3ducmV2LnhtbFBLAQIUABQAAAAIAIdO4kAxzLxiAwIAAPQDAAAOAAAAAAAAAAEAIAAAACkB&#10;AABkcnMvZTJvRG9jLnhtbFBLBQYAAAAABgAGAFkBAACeBQAAAAA=&#10;">
                <v:fill on="f" focussize="0,0"/>
                <v:stroke color="#000000" joinstyle="round" startarrow="open" endarrow="open"/>
                <v:imagedata o:title=""/>
                <o:lock v:ext="edit" aspectratio="f"/>
              </v:shape>
            </w:pict>
          </mc:Fallback>
        </mc:AlternateContent>
      </w:r>
      <w:r>
        <w:rPr>
          <w:color w:val="auto"/>
          <w:sz w:val="21"/>
        </w:rPr>
        <mc:AlternateContent>
          <mc:Choice Requires="wps">
            <w:drawing>
              <wp:anchor distT="0" distB="0" distL="114300" distR="114300" simplePos="0" relativeHeight="251667456" behindDoc="0" locked="0" layoutInCell="1" allowOverlap="1">
                <wp:simplePos x="0" y="0"/>
                <wp:positionH relativeFrom="column">
                  <wp:posOffset>2561590</wp:posOffset>
                </wp:positionH>
                <wp:positionV relativeFrom="paragraph">
                  <wp:posOffset>1494790</wp:posOffset>
                </wp:positionV>
                <wp:extent cx="834390" cy="320040"/>
                <wp:effectExtent l="0" t="0" r="0" b="0"/>
                <wp:wrapNone/>
                <wp:docPr id="55" name="自选图形 74"/>
                <wp:cNvGraphicFramePr/>
                <a:graphic xmlns:a="http://schemas.openxmlformats.org/drawingml/2006/main">
                  <a:graphicData uri="http://schemas.microsoft.com/office/word/2010/wordprocessingShape">
                    <wps:wsp>
                      <wps:cNvSpPr/>
                      <wps:spPr>
                        <a:xfrm>
                          <a:off x="0" y="0"/>
                          <a:ext cx="834390" cy="320040"/>
                        </a:xfrm>
                        <a:prstGeom prst="wedgeRectCallout">
                          <a:avLst>
                            <a:gd name="adj1" fmla="val -36671"/>
                            <a:gd name="adj2" fmla="val 142093"/>
                          </a:avLst>
                        </a:prstGeom>
                        <a:noFill/>
                        <a:ln w="9525" cap="flat" cmpd="sng">
                          <a:solidFill>
                            <a:srgbClr val="FF0000"/>
                          </a:solidFill>
                          <a:prstDash val="solid"/>
                          <a:miter/>
                          <a:headEnd type="none" w="med" len="med"/>
                          <a:tailEnd type="none" w="med" len="med"/>
                        </a:ln>
                      </wps:spPr>
                      <wps:txbx>
                        <w:txbxContent>
                          <w:p w14:paraId="2334DD38">
                            <w:pPr>
                              <w:ind w:left="0" w:leftChars="0" w:firstLine="0" w:firstLineChars="0"/>
                              <w:jc w:val="center"/>
                              <w:rPr>
                                <w:rFonts w:hint="eastAsia"/>
                                <w:color w:val="FF0000"/>
                                <w:sz w:val="21"/>
                                <w:szCs w:val="21"/>
                              </w:rPr>
                            </w:pPr>
                            <w:r>
                              <w:rPr>
                                <w:rFonts w:hint="eastAsia"/>
                                <w:color w:val="FF0000"/>
                                <w:sz w:val="21"/>
                                <w:szCs w:val="21"/>
                              </w:rPr>
                              <w:t>本项目</w:t>
                            </w:r>
                          </w:p>
                        </w:txbxContent>
                      </wps:txbx>
                      <wps:bodyPr wrap="square" lIns="0" tIns="0" rIns="0" bIns="0" upright="1"/>
                    </wps:wsp>
                  </a:graphicData>
                </a:graphic>
              </wp:anchor>
            </w:drawing>
          </mc:Choice>
          <mc:Fallback>
            <w:pict>
              <v:shape id="自选图形 74" o:spid="_x0000_s1026" o:spt="61" type="#_x0000_t61" style="position:absolute;left:0pt;margin-left:201.7pt;margin-top:117.7pt;height:25.2pt;width:65.7pt;z-index:251667456;mso-width-relative:page;mso-height-relative:page;" filled="f" stroked="t" coordsize="21600,21600" o:gfxdata="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xbZxzdoAAAALAQAA&#10;DwAAAAAAAAABACAAAAAiAAAAZHJzL2Rvd25yZXYueG1sUEsBAhQAFAAAAAgAh07iQA72FG5QAgAA&#10;mAQAAA4AAAAAAAAAAQAgAAAAKQEAAGRycy9lMm9Eb2MueG1sUEsFBgAAAAAGAAYAWQEAAOsFAAAA&#10;AA==&#10;" adj="2879,41492">
                <v:fill on="f" focussize="0,0"/>
                <v:stroke color="#FF0000" joinstyle="miter"/>
                <v:imagedata o:title=""/>
                <o:lock v:ext="edit" aspectratio="f"/>
                <v:textbox inset="0mm,0mm,0mm,0mm">
                  <w:txbxContent>
                    <w:p w14:paraId="2334DD38">
                      <w:pPr>
                        <w:ind w:left="0" w:leftChars="0" w:firstLine="0" w:firstLineChars="0"/>
                        <w:jc w:val="center"/>
                        <w:rPr>
                          <w:rFonts w:hint="eastAsia"/>
                          <w:color w:val="FF0000"/>
                          <w:sz w:val="21"/>
                          <w:szCs w:val="21"/>
                        </w:rPr>
                      </w:pPr>
                      <w:r>
                        <w:rPr>
                          <w:rFonts w:hint="eastAsia"/>
                          <w:color w:val="FF0000"/>
                          <w:sz w:val="21"/>
                          <w:szCs w:val="21"/>
                        </w:rPr>
                        <w:t>本项目</w:t>
                      </w:r>
                    </w:p>
                  </w:txbxContent>
                </v:textbox>
              </v:shape>
            </w:pict>
          </mc:Fallback>
        </mc:AlternateContent>
      </w:r>
      <w:r>
        <w:rPr>
          <w:color w:val="auto"/>
        </w:rPr>
        <w:drawing>
          <wp:anchor distT="0" distB="0" distL="114300" distR="114300" simplePos="0" relativeHeight="251673600" behindDoc="0" locked="0" layoutInCell="1" allowOverlap="1">
            <wp:simplePos x="0" y="0"/>
            <wp:positionH relativeFrom="column">
              <wp:posOffset>4758055</wp:posOffset>
            </wp:positionH>
            <wp:positionV relativeFrom="paragraph">
              <wp:posOffset>79375</wp:posOffset>
            </wp:positionV>
            <wp:extent cx="657225" cy="920115"/>
            <wp:effectExtent l="0" t="0" r="9525" b="13335"/>
            <wp:wrapNone/>
            <wp:docPr id="1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3"/>
                    <pic:cNvPicPr>
                      <a:picLocks noChangeAspect="1"/>
                    </pic:cNvPicPr>
                  </pic:nvPicPr>
                  <pic:blipFill>
                    <a:blip r:embed="rId87"/>
                    <a:stretch>
                      <a:fillRect/>
                    </a:stretch>
                  </pic:blipFill>
                  <pic:spPr>
                    <a:xfrm>
                      <a:off x="0" y="0"/>
                      <a:ext cx="657225" cy="920115"/>
                    </a:xfrm>
                    <a:prstGeom prst="rect">
                      <a:avLst/>
                    </a:prstGeom>
                    <a:noFill/>
                    <a:ln>
                      <a:noFill/>
                    </a:ln>
                  </pic:spPr>
                </pic:pic>
              </a:graphicData>
            </a:graphic>
          </wp:anchor>
        </w:drawing>
      </w:r>
      <w:r>
        <w:rPr>
          <w:color w:val="auto"/>
          <w:szCs w:val="21"/>
        </w:rPr>
        <mc:AlternateContent>
          <mc:Choice Requires="wps">
            <w:drawing>
              <wp:anchor distT="0" distB="0" distL="114300" distR="114300" simplePos="0" relativeHeight="251666432" behindDoc="0" locked="0" layoutInCell="1" allowOverlap="1">
                <wp:simplePos x="0" y="0"/>
                <wp:positionH relativeFrom="column">
                  <wp:posOffset>997585</wp:posOffset>
                </wp:positionH>
                <wp:positionV relativeFrom="paragraph">
                  <wp:posOffset>534670</wp:posOffset>
                </wp:positionV>
                <wp:extent cx="1548130" cy="396875"/>
                <wp:effectExtent l="0" t="0" r="0" b="0"/>
                <wp:wrapNone/>
                <wp:docPr id="54" name="文本框 72"/>
                <wp:cNvGraphicFramePr/>
                <a:graphic xmlns:a="http://schemas.openxmlformats.org/drawingml/2006/main">
                  <a:graphicData uri="http://schemas.microsoft.com/office/word/2010/wordprocessingShape">
                    <wps:wsp>
                      <wps:cNvSpPr txBox="1"/>
                      <wps:spPr>
                        <a:xfrm>
                          <a:off x="0" y="0"/>
                          <a:ext cx="1548130" cy="396875"/>
                        </a:xfrm>
                        <a:prstGeom prst="rect">
                          <a:avLst/>
                        </a:prstGeom>
                        <a:noFill/>
                        <a:ln>
                          <a:noFill/>
                        </a:ln>
                      </wps:spPr>
                      <wps:txbx>
                        <w:txbxContent>
                          <w:p w14:paraId="063CB185">
                            <w:pPr>
                              <w:ind w:firstLine="480"/>
                              <w:rPr>
                                <w:b/>
                                <w:bCs/>
                                <w:color w:val="0000FF"/>
                              </w:rPr>
                            </w:pPr>
                            <w:r>
                              <w:rPr>
                                <w:rFonts w:hint="eastAsia"/>
                                <w:b/>
                                <w:bCs/>
                                <w:color w:val="0000FF"/>
                              </w:rPr>
                              <w:t>大气评价范围</w:t>
                            </w:r>
                          </w:p>
                        </w:txbxContent>
                      </wps:txbx>
                      <wps:bodyPr wrap="square" upright="1"/>
                    </wps:wsp>
                  </a:graphicData>
                </a:graphic>
              </wp:anchor>
            </w:drawing>
          </mc:Choice>
          <mc:Fallback>
            <w:pict>
              <v:shape id="文本框 72" o:spid="_x0000_s1026" o:spt="202" type="#_x0000_t202" style="position:absolute;left:0pt;margin-left:78.55pt;margin-top:42.1pt;height:31.25pt;width:121.9pt;z-index:251666432;mso-width-relative:page;mso-height-relative:page;" filled="f" stroked="f" coordsize="21600,21600" o:gfxdata="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idlQP1wAAAAoBAAAPAAAAAAAAAAEAIAAAACIAAABkcnMvZG93bnJldi54bWxQSwECFAAU&#10;AAAACACHTuJAk7Or27kBAABeAwAADgAAAAAAAAABACAAAAAmAQAAZHJzL2Uyb0RvYy54bWxQSwUG&#10;AAAAAAYABgBZAQAAUQUAAAAA&#10;">
                <v:fill on="f" focussize="0,0"/>
                <v:stroke on="f"/>
                <v:imagedata o:title=""/>
                <o:lock v:ext="edit" aspectratio="f"/>
                <v:textbox>
                  <w:txbxContent>
                    <w:p w14:paraId="063CB185">
                      <w:pPr>
                        <w:ind w:firstLine="480"/>
                        <w:rPr>
                          <w:b/>
                          <w:bCs/>
                          <w:color w:val="0000FF"/>
                        </w:rPr>
                      </w:pPr>
                      <w:r>
                        <w:rPr>
                          <w:rFonts w:hint="eastAsia"/>
                          <w:b/>
                          <w:bCs/>
                          <w:color w:val="0000FF"/>
                        </w:rPr>
                        <w:t>大气评价范围</w:t>
                      </w:r>
                    </w:p>
                  </w:txbxContent>
                </v:textbox>
              </v:shape>
            </w:pict>
          </mc:Fallback>
        </mc:AlternateContent>
      </w:r>
      <w:r>
        <w:rPr>
          <w:rFonts w:hint="eastAsia" w:eastAsia="宋体"/>
          <w:color w:val="auto"/>
          <w:lang w:eastAsia="zh-CN"/>
        </w:rPr>
        <w:drawing>
          <wp:inline distT="0" distB="0" distL="114300" distR="114300">
            <wp:extent cx="5394325" cy="4200525"/>
            <wp:effectExtent l="0" t="0" r="15875" b="9525"/>
            <wp:docPr id="95" name="图片 95" descr="172076397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1720763977654"/>
                    <pic:cNvPicPr>
                      <a:picLocks noChangeAspect="1"/>
                    </pic:cNvPicPr>
                  </pic:nvPicPr>
                  <pic:blipFill>
                    <a:blip r:embed="rId88"/>
                    <a:stretch>
                      <a:fillRect/>
                    </a:stretch>
                  </pic:blipFill>
                  <pic:spPr>
                    <a:xfrm>
                      <a:off x="0" y="0"/>
                      <a:ext cx="5394325" cy="4200525"/>
                    </a:xfrm>
                    <a:prstGeom prst="rect">
                      <a:avLst/>
                    </a:prstGeom>
                  </pic:spPr>
                </pic:pic>
              </a:graphicData>
            </a:graphic>
          </wp:inline>
        </w:drawing>
      </w:r>
    </w:p>
    <w:p w14:paraId="268E4126">
      <w:pPr>
        <w:pStyle w:val="19"/>
        <w:keepNext w:val="0"/>
        <w:keepLines w:val="0"/>
        <w:pageBreakBefore w:val="0"/>
        <w:widowControl w:val="0"/>
        <w:numPr>
          <w:ilvl w:val="0"/>
          <w:numId w:val="0"/>
        </w:numPr>
        <w:tabs>
          <w:tab w:val="clear" w:pos="0"/>
        </w:tabs>
        <w:kinsoku/>
        <w:wordWrap/>
        <w:overflowPunct/>
        <w:topLinePunct w:val="0"/>
        <w:autoSpaceDE/>
        <w:autoSpaceDN/>
        <w:bidi w:val="0"/>
        <w:adjustRightInd/>
        <w:snapToGrid/>
        <w:ind w:leftChars="0"/>
        <w:jc w:val="center"/>
        <w:textAlignment w:val="auto"/>
        <w:rPr>
          <w:color w:val="auto"/>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4.2</w:t>
      </w:r>
      <w:r>
        <w:rPr>
          <w:color w:val="auto"/>
        </w:rPr>
        <w:fldChar w:fldCharType="end"/>
      </w:r>
      <w:r>
        <w:rPr>
          <w:rFonts w:hint="eastAsia"/>
          <w:color w:val="auto"/>
          <w:lang w:eastAsia="zh-CN"/>
        </w:rPr>
        <w:t>-</w:t>
      </w:r>
      <w:r>
        <w:rPr>
          <w:color w:val="auto"/>
        </w:rPr>
        <w:fldChar w:fldCharType="begin"/>
      </w:r>
      <w:r>
        <w:rPr>
          <w:color w:val="auto"/>
        </w:rPr>
        <w:instrText xml:space="preserve"> SEQ 图 \* ARABIC \s 2 </w:instrText>
      </w:r>
      <w:r>
        <w:rPr>
          <w:color w:val="auto"/>
        </w:rPr>
        <w:fldChar w:fldCharType="separate"/>
      </w:r>
      <w:r>
        <w:rPr>
          <w:color w:val="auto"/>
        </w:rPr>
        <w:t>1</w:t>
      </w:r>
      <w:r>
        <w:rPr>
          <w:color w:val="auto"/>
        </w:rPr>
        <w:fldChar w:fldCharType="end"/>
      </w:r>
      <w:r>
        <w:rPr>
          <w:rFonts w:hint="eastAsia"/>
          <w:color w:val="auto"/>
          <w:lang w:val="en-US" w:eastAsia="zh-CN"/>
        </w:rPr>
        <w:t xml:space="preserve"> </w:t>
      </w:r>
      <w:r>
        <w:rPr>
          <w:color w:val="auto"/>
        </w:rPr>
        <w:t>大气评价范围</w:t>
      </w:r>
    </w:p>
    <w:p w14:paraId="6D6AD77F">
      <w:pPr>
        <w:pageBreakBefore w:val="0"/>
        <w:wordWrap/>
        <w:bidi w:val="0"/>
        <w:adjustRightInd/>
        <w:snapToGrid/>
        <w:ind w:firstLine="482"/>
        <w:rPr>
          <w:b/>
          <w:color w:val="auto"/>
        </w:rPr>
      </w:pPr>
      <w:r>
        <w:rPr>
          <w:b/>
          <w:color w:val="auto"/>
        </w:rPr>
        <w:t>（5）预测内容及情景</w:t>
      </w:r>
    </w:p>
    <w:p w14:paraId="0DEF45BB">
      <w:pPr>
        <w:bidi w:val="0"/>
        <w:rPr>
          <w:color w:val="auto"/>
        </w:rPr>
      </w:pPr>
      <w:r>
        <w:rPr>
          <w:color w:val="auto"/>
        </w:rPr>
        <w:t>根据《环境影响评价技术导则</w:t>
      </w:r>
      <w:r>
        <w:rPr>
          <w:rFonts w:hint="eastAsia"/>
          <w:color w:val="auto"/>
          <w:lang w:val="en-US" w:eastAsia="zh-CN"/>
        </w:rPr>
        <w:t xml:space="preserve"> 大气环境</w:t>
      </w:r>
      <w:r>
        <w:rPr>
          <w:color w:val="auto"/>
        </w:rPr>
        <w:t>》（HJ2.2-2018）的要求，二级评价不进行进一步预测与评价，直接利用估算模型计算结果进行大气环境影响分析。采用AERSCREEN模型中的自动筛选模式预测本工程排放废气中各预测因子小时最大落地浓度贡献值及位置。根据废气污染物的无组织排放情况计算厂界达标情况，同时计算大气环境保护距离和卫生防护距离。</w:t>
      </w:r>
    </w:p>
    <w:p w14:paraId="7E8F42F7">
      <w:pPr>
        <w:pStyle w:val="10"/>
        <w:pageBreakBefore w:val="0"/>
        <w:wordWrap/>
        <w:bidi w:val="0"/>
        <w:adjustRightInd/>
        <w:snapToGrid/>
        <w:rPr>
          <w:color w:val="auto"/>
        </w:rPr>
      </w:pPr>
      <w:r>
        <w:rPr>
          <w:color w:val="auto"/>
        </w:rPr>
        <w:t>大气环境影响预测分析</w:t>
      </w:r>
    </w:p>
    <w:p w14:paraId="425869E8">
      <w:pPr>
        <w:pageBreakBefore w:val="0"/>
        <w:wordWrap/>
        <w:bidi w:val="0"/>
        <w:adjustRightInd/>
        <w:snapToGrid/>
        <w:ind w:firstLine="480"/>
        <w:rPr>
          <w:b/>
          <w:bCs/>
          <w:color w:val="auto"/>
        </w:rPr>
      </w:pPr>
      <w:r>
        <w:rPr>
          <w:b/>
          <w:bCs/>
          <w:color w:val="auto"/>
        </w:rPr>
        <w:t>（1）废气源强</w:t>
      </w:r>
    </w:p>
    <w:p w14:paraId="04957443">
      <w:pPr>
        <w:bidi w:val="0"/>
        <w:rPr>
          <w:color w:val="auto"/>
        </w:rPr>
        <w:sectPr>
          <w:pgSz w:w="11906" w:h="16838"/>
          <w:pgMar w:top="1701" w:right="1701" w:bottom="1701" w:left="1701" w:header="794" w:footer="1134" w:gutter="0"/>
          <w:pgBorders>
            <w:top w:val="none" w:sz="0" w:space="0"/>
            <w:left w:val="none" w:sz="0" w:space="0"/>
            <w:bottom w:val="none" w:sz="0" w:space="0"/>
            <w:right w:val="none" w:sz="0" w:space="0"/>
          </w:pgBorders>
          <w:pgNumType w:fmt="decimal"/>
          <w:cols w:space="720" w:num="1"/>
          <w:docGrid w:type="lines" w:linePitch="312" w:charSpace="0"/>
        </w:sectPr>
      </w:pPr>
      <w:r>
        <w:rPr>
          <w:color w:val="auto"/>
        </w:rPr>
        <w:t xml:space="preserve"> </w:t>
      </w:r>
      <w:r>
        <w:rPr>
          <w:rFonts w:hint="eastAsia"/>
          <w:color w:val="auto"/>
        </w:rPr>
        <w:t>本项目大气污染源主要包括污水处理厂污水处理系统产生的无组织排放恶臭气体以及生物除臭系统集中收集排气筒，污染物为H</w:t>
      </w:r>
      <w:r>
        <w:rPr>
          <w:rFonts w:hint="eastAsia"/>
          <w:color w:val="auto"/>
          <w:vertAlign w:val="subscript"/>
        </w:rPr>
        <w:t>2</w:t>
      </w:r>
      <w:r>
        <w:rPr>
          <w:rFonts w:hint="eastAsia"/>
          <w:color w:val="auto"/>
        </w:rPr>
        <w:t>S、NH</w:t>
      </w:r>
      <w:r>
        <w:rPr>
          <w:rFonts w:hint="eastAsia"/>
          <w:color w:val="auto"/>
          <w:vertAlign w:val="subscript"/>
        </w:rPr>
        <w:t>3</w:t>
      </w:r>
      <w:r>
        <w:rPr>
          <w:rFonts w:hint="eastAsia"/>
          <w:color w:val="auto"/>
        </w:rPr>
        <w:t>，项目污染源源强参数见下表所示。</w:t>
      </w:r>
    </w:p>
    <w:p w14:paraId="385D49E6">
      <w:pPr>
        <w:pStyle w:val="19"/>
        <w:numPr>
          <w:ilvl w:val="0"/>
          <w:numId w:val="31"/>
        </w:numPr>
        <w:bidi w:val="0"/>
        <w:ind w:left="1440" w:leftChars="0" w:firstLine="0" w:firstLineChars="0"/>
        <w:rPr>
          <w:rFonts w:hint="eastAsia"/>
          <w:color w:val="auto"/>
        </w:rPr>
      </w:pPr>
      <w:r>
        <w:rPr>
          <w:color w:val="auto"/>
        </w:rPr>
        <w:t>污水处理厂污染源有组织排放情况</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95"/>
        <w:gridCol w:w="1126"/>
        <w:gridCol w:w="1373"/>
        <w:gridCol w:w="1223"/>
        <w:gridCol w:w="1290"/>
        <w:gridCol w:w="833"/>
        <w:gridCol w:w="833"/>
        <w:gridCol w:w="884"/>
        <w:gridCol w:w="1016"/>
        <w:gridCol w:w="1540"/>
        <w:gridCol w:w="903"/>
        <w:gridCol w:w="1220"/>
      </w:tblGrid>
      <w:tr w14:paraId="451A16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64" w:type="pct"/>
            <w:gridSpan w:val="2"/>
            <w:vMerge w:val="restart"/>
            <w:tcBorders>
              <w:tl2br w:val="nil"/>
              <w:tr2bl w:val="nil"/>
            </w:tcBorders>
            <w:noWrap w:val="0"/>
            <w:vAlign w:val="center"/>
          </w:tcPr>
          <w:p w14:paraId="253FD5AF">
            <w:pPr>
              <w:pStyle w:val="16"/>
              <w:bidi w:val="0"/>
              <w:rPr>
                <w:b/>
                <w:bCs/>
                <w:color w:val="auto"/>
              </w:rPr>
            </w:pPr>
            <w:r>
              <w:rPr>
                <w:b/>
                <w:bCs/>
                <w:color w:val="auto"/>
              </w:rPr>
              <w:t>污染源名称</w:t>
            </w:r>
          </w:p>
        </w:tc>
        <w:tc>
          <w:tcPr>
            <w:tcW w:w="966" w:type="pct"/>
            <w:gridSpan w:val="2"/>
            <w:tcBorders>
              <w:tl2br w:val="nil"/>
              <w:tr2bl w:val="nil"/>
            </w:tcBorders>
            <w:noWrap w:val="0"/>
            <w:vAlign w:val="center"/>
          </w:tcPr>
          <w:p w14:paraId="3217B172">
            <w:pPr>
              <w:pStyle w:val="16"/>
              <w:bidi w:val="0"/>
              <w:rPr>
                <w:rFonts w:hint="eastAsia"/>
                <w:b/>
                <w:bCs/>
                <w:color w:val="auto"/>
                <w:lang w:eastAsia="zh-CN"/>
              </w:rPr>
            </w:pPr>
            <w:r>
              <w:rPr>
                <w:b/>
                <w:bCs/>
                <w:color w:val="auto"/>
              </w:rPr>
              <w:t>排气筒底部中心坐标</w:t>
            </w:r>
            <w:r>
              <w:rPr>
                <w:rFonts w:hint="eastAsia"/>
                <w:b/>
                <w:bCs/>
                <w:color w:val="auto"/>
                <w:lang w:eastAsia="zh-CN"/>
              </w:rPr>
              <w:t>（</w:t>
            </w:r>
            <w:r>
              <w:rPr>
                <w:rFonts w:hint="eastAsia"/>
                <w:b/>
                <w:bCs/>
                <w:color w:val="auto"/>
                <w:lang w:val="en-US" w:eastAsia="zh-CN"/>
              </w:rPr>
              <w:t>°</w:t>
            </w:r>
            <w:r>
              <w:rPr>
                <w:rFonts w:hint="eastAsia"/>
                <w:b/>
                <w:bCs/>
                <w:color w:val="auto"/>
                <w:lang w:eastAsia="zh-CN"/>
              </w:rPr>
              <w:t>）</w:t>
            </w:r>
          </w:p>
        </w:tc>
        <w:tc>
          <w:tcPr>
            <w:tcW w:w="480" w:type="pct"/>
            <w:vMerge w:val="restart"/>
            <w:tcBorders>
              <w:tl2br w:val="nil"/>
              <w:tr2bl w:val="nil"/>
            </w:tcBorders>
            <w:noWrap w:val="0"/>
            <w:vAlign w:val="center"/>
          </w:tcPr>
          <w:p w14:paraId="0B736465">
            <w:pPr>
              <w:pStyle w:val="16"/>
              <w:bidi w:val="0"/>
              <w:rPr>
                <w:rFonts w:hint="eastAsia"/>
                <w:b/>
                <w:bCs/>
                <w:color w:val="auto"/>
                <w:lang w:eastAsia="zh-CN"/>
              </w:rPr>
            </w:pPr>
            <w:r>
              <w:rPr>
                <w:b/>
                <w:bCs/>
                <w:color w:val="auto"/>
              </w:rPr>
              <w:t>排气筒底部</w:t>
            </w:r>
            <w:r>
              <w:rPr>
                <w:rFonts w:hint="eastAsia"/>
                <w:b/>
                <w:bCs/>
                <w:color w:val="auto"/>
                <w:lang w:eastAsia="zh-CN"/>
              </w:rPr>
              <w:t>海拔（</w:t>
            </w:r>
            <w:r>
              <w:rPr>
                <w:b/>
                <w:bCs/>
                <w:color w:val="auto"/>
              </w:rPr>
              <w:t>m</w:t>
            </w:r>
            <w:r>
              <w:rPr>
                <w:rFonts w:hint="eastAsia"/>
                <w:b/>
                <w:bCs/>
                <w:color w:val="auto"/>
                <w:lang w:eastAsia="zh-CN"/>
              </w:rPr>
              <w:t>）</w:t>
            </w:r>
          </w:p>
        </w:tc>
        <w:tc>
          <w:tcPr>
            <w:tcW w:w="1327" w:type="pct"/>
            <w:gridSpan w:val="4"/>
            <w:tcBorders>
              <w:tl2br w:val="nil"/>
              <w:tr2bl w:val="nil"/>
            </w:tcBorders>
            <w:noWrap w:val="0"/>
            <w:vAlign w:val="center"/>
          </w:tcPr>
          <w:p w14:paraId="37EE5EBE">
            <w:pPr>
              <w:pStyle w:val="16"/>
              <w:bidi w:val="0"/>
              <w:rPr>
                <w:b/>
                <w:bCs/>
                <w:color w:val="auto"/>
              </w:rPr>
            </w:pPr>
            <w:r>
              <w:rPr>
                <w:b/>
                <w:bCs/>
                <w:color w:val="auto"/>
              </w:rPr>
              <w:t>排气筒参数</w:t>
            </w:r>
          </w:p>
        </w:tc>
        <w:tc>
          <w:tcPr>
            <w:tcW w:w="573" w:type="pct"/>
            <w:vMerge w:val="restart"/>
            <w:tcBorders>
              <w:tl2br w:val="nil"/>
              <w:tr2bl w:val="nil"/>
            </w:tcBorders>
            <w:noWrap w:val="0"/>
            <w:vAlign w:val="center"/>
          </w:tcPr>
          <w:p w14:paraId="6F9CDD74">
            <w:pPr>
              <w:pStyle w:val="16"/>
              <w:bidi w:val="0"/>
              <w:rPr>
                <w:b/>
                <w:bCs/>
                <w:color w:val="auto"/>
              </w:rPr>
            </w:pPr>
            <w:r>
              <w:rPr>
                <w:b/>
                <w:bCs/>
                <w:color w:val="auto"/>
              </w:rPr>
              <w:t>烟气量（</w:t>
            </w:r>
            <w:r>
              <w:rPr>
                <w:rFonts w:hint="eastAsia"/>
                <w:b/>
                <w:bCs/>
                <w:color w:val="auto"/>
                <w:lang w:eastAsia="zh-CN"/>
              </w:rPr>
              <w:t>m³</w:t>
            </w:r>
            <w:r>
              <w:rPr>
                <w:b/>
                <w:bCs/>
                <w:color w:val="auto"/>
              </w:rPr>
              <w:t>/h）</w:t>
            </w:r>
          </w:p>
        </w:tc>
        <w:tc>
          <w:tcPr>
            <w:tcW w:w="336" w:type="pct"/>
            <w:vMerge w:val="restart"/>
            <w:tcBorders>
              <w:tl2br w:val="nil"/>
              <w:tr2bl w:val="nil"/>
            </w:tcBorders>
            <w:noWrap w:val="0"/>
            <w:vAlign w:val="center"/>
          </w:tcPr>
          <w:p w14:paraId="436CC5B5">
            <w:pPr>
              <w:pStyle w:val="16"/>
              <w:bidi w:val="0"/>
              <w:rPr>
                <w:b/>
                <w:bCs/>
                <w:color w:val="auto"/>
              </w:rPr>
            </w:pPr>
            <w:r>
              <w:rPr>
                <w:b/>
                <w:bCs/>
                <w:color w:val="auto"/>
              </w:rPr>
              <w:t>污染物名称</w:t>
            </w:r>
          </w:p>
        </w:tc>
        <w:tc>
          <w:tcPr>
            <w:tcW w:w="451" w:type="pct"/>
            <w:vMerge w:val="restart"/>
            <w:tcBorders>
              <w:tl2br w:val="nil"/>
              <w:tr2bl w:val="nil"/>
            </w:tcBorders>
            <w:noWrap w:val="0"/>
            <w:vAlign w:val="center"/>
          </w:tcPr>
          <w:p w14:paraId="16A43A60">
            <w:pPr>
              <w:pStyle w:val="16"/>
              <w:bidi w:val="0"/>
              <w:rPr>
                <w:b/>
                <w:bCs/>
                <w:color w:val="auto"/>
              </w:rPr>
            </w:pPr>
            <w:r>
              <w:rPr>
                <w:b/>
                <w:bCs/>
                <w:color w:val="auto"/>
              </w:rPr>
              <w:t>排放速率（kg/h）</w:t>
            </w:r>
          </w:p>
        </w:tc>
      </w:tr>
      <w:tr w14:paraId="1665FB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64" w:type="pct"/>
            <w:gridSpan w:val="2"/>
            <w:vMerge w:val="continue"/>
            <w:tcBorders>
              <w:tl2br w:val="nil"/>
              <w:tr2bl w:val="nil"/>
            </w:tcBorders>
            <w:noWrap w:val="0"/>
            <w:vAlign w:val="center"/>
          </w:tcPr>
          <w:p w14:paraId="33087C67">
            <w:pPr>
              <w:pStyle w:val="16"/>
              <w:bidi w:val="0"/>
              <w:rPr>
                <w:color w:val="auto"/>
              </w:rPr>
            </w:pPr>
          </w:p>
        </w:tc>
        <w:tc>
          <w:tcPr>
            <w:tcW w:w="511" w:type="pct"/>
            <w:tcBorders>
              <w:tl2br w:val="nil"/>
              <w:tr2bl w:val="nil"/>
            </w:tcBorders>
            <w:noWrap w:val="0"/>
            <w:vAlign w:val="center"/>
          </w:tcPr>
          <w:p w14:paraId="79CB8E3D">
            <w:pPr>
              <w:pStyle w:val="16"/>
              <w:bidi w:val="0"/>
              <w:rPr>
                <w:b/>
                <w:bCs/>
                <w:color w:val="auto"/>
              </w:rPr>
            </w:pPr>
            <w:r>
              <w:rPr>
                <w:b/>
                <w:bCs/>
                <w:color w:val="auto"/>
              </w:rPr>
              <w:t>经度</w:t>
            </w:r>
          </w:p>
        </w:tc>
        <w:tc>
          <w:tcPr>
            <w:tcW w:w="455" w:type="pct"/>
            <w:tcBorders>
              <w:tl2br w:val="nil"/>
              <w:tr2bl w:val="nil"/>
            </w:tcBorders>
            <w:noWrap w:val="0"/>
            <w:vAlign w:val="center"/>
          </w:tcPr>
          <w:p w14:paraId="66B47839">
            <w:pPr>
              <w:pStyle w:val="16"/>
              <w:bidi w:val="0"/>
              <w:rPr>
                <w:b/>
                <w:bCs/>
                <w:color w:val="auto"/>
              </w:rPr>
            </w:pPr>
            <w:r>
              <w:rPr>
                <w:b/>
                <w:bCs/>
                <w:color w:val="auto"/>
              </w:rPr>
              <w:t>纬度</w:t>
            </w:r>
          </w:p>
        </w:tc>
        <w:tc>
          <w:tcPr>
            <w:tcW w:w="480" w:type="pct"/>
            <w:vMerge w:val="continue"/>
            <w:tcBorders>
              <w:tl2br w:val="nil"/>
              <w:tr2bl w:val="nil"/>
            </w:tcBorders>
            <w:noWrap w:val="0"/>
            <w:vAlign w:val="center"/>
          </w:tcPr>
          <w:p w14:paraId="4D915908">
            <w:pPr>
              <w:pStyle w:val="16"/>
              <w:bidi w:val="0"/>
              <w:rPr>
                <w:b/>
                <w:bCs/>
                <w:color w:val="auto"/>
              </w:rPr>
            </w:pPr>
          </w:p>
        </w:tc>
        <w:tc>
          <w:tcPr>
            <w:tcW w:w="310" w:type="pct"/>
            <w:tcBorders>
              <w:tl2br w:val="nil"/>
              <w:tr2bl w:val="nil"/>
            </w:tcBorders>
            <w:noWrap w:val="0"/>
            <w:vAlign w:val="center"/>
          </w:tcPr>
          <w:p w14:paraId="540EF1E4">
            <w:pPr>
              <w:pStyle w:val="16"/>
              <w:bidi w:val="0"/>
              <w:rPr>
                <w:rFonts w:hint="eastAsia"/>
                <w:b/>
                <w:bCs/>
                <w:color w:val="auto"/>
                <w:lang w:eastAsia="zh-CN"/>
              </w:rPr>
            </w:pPr>
            <w:r>
              <w:rPr>
                <w:b/>
                <w:bCs/>
                <w:color w:val="auto"/>
              </w:rPr>
              <w:t>高度</w:t>
            </w:r>
            <w:r>
              <w:rPr>
                <w:rFonts w:hint="eastAsia"/>
                <w:b/>
                <w:bCs/>
                <w:color w:val="auto"/>
                <w:lang w:eastAsia="zh-CN"/>
              </w:rPr>
              <w:t>（</w:t>
            </w:r>
            <w:r>
              <w:rPr>
                <w:b/>
                <w:bCs/>
                <w:color w:val="auto"/>
              </w:rPr>
              <w:t>m</w:t>
            </w:r>
            <w:r>
              <w:rPr>
                <w:rFonts w:hint="eastAsia"/>
                <w:b/>
                <w:bCs/>
                <w:color w:val="auto"/>
                <w:lang w:eastAsia="zh-CN"/>
              </w:rPr>
              <w:t>）</w:t>
            </w:r>
          </w:p>
        </w:tc>
        <w:tc>
          <w:tcPr>
            <w:tcW w:w="310" w:type="pct"/>
            <w:tcBorders>
              <w:tl2br w:val="nil"/>
              <w:tr2bl w:val="nil"/>
            </w:tcBorders>
            <w:noWrap w:val="0"/>
            <w:vAlign w:val="center"/>
          </w:tcPr>
          <w:p w14:paraId="50A5A835">
            <w:pPr>
              <w:pStyle w:val="16"/>
              <w:bidi w:val="0"/>
              <w:rPr>
                <w:rFonts w:hint="eastAsia"/>
                <w:b/>
                <w:bCs/>
                <w:color w:val="auto"/>
                <w:lang w:eastAsia="zh-CN"/>
              </w:rPr>
            </w:pPr>
            <w:r>
              <w:rPr>
                <w:b/>
                <w:bCs/>
                <w:color w:val="auto"/>
              </w:rPr>
              <w:t>内径</w:t>
            </w:r>
            <w:r>
              <w:rPr>
                <w:rFonts w:hint="eastAsia"/>
                <w:b/>
                <w:bCs/>
                <w:color w:val="auto"/>
                <w:lang w:eastAsia="zh-CN"/>
              </w:rPr>
              <w:t>（</w:t>
            </w:r>
            <w:r>
              <w:rPr>
                <w:b/>
                <w:bCs/>
                <w:color w:val="auto"/>
              </w:rPr>
              <w:t>m</w:t>
            </w:r>
            <w:r>
              <w:rPr>
                <w:rFonts w:hint="eastAsia"/>
                <w:b/>
                <w:bCs/>
                <w:color w:val="auto"/>
                <w:lang w:eastAsia="zh-CN"/>
              </w:rPr>
              <w:t>）</w:t>
            </w:r>
          </w:p>
        </w:tc>
        <w:tc>
          <w:tcPr>
            <w:tcW w:w="329" w:type="pct"/>
            <w:tcBorders>
              <w:tl2br w:val="nil"/>
              <w:tr2bl w:val="nil"/>
            </w:tcBorders>
            <w:noWrap w:val="0"/>
            <w:vAlign w:val="center"/>
          </w:tcPr>
          <w:p w14:paraId="3A5D92D9">
            <w:pPr>
              <w:pStyle w:val="16"/>
              <w:bidi w:val="0"/>
              <w:rPr>
                <w:rFonts w:hint="eastAsia"/>
                <w:b/>
                <w:bCs/>
                <w:color w:val="auto"/>
                <w:lang w:eastAsia="zh-CN"/>
              </w:rPr>
            </w:pPr>
            <w:r>
              <w:rPr>
                <w:b/>
                <w:bCs/>
                <w:color w:val="auto"/>
              </w:rPr>
              <w:t>温度</w:t>
            </w:r>
            <w:r>
              <w:rPr>
                <w:rFonts w:hint="eastAsia"/>
                <w:b/>
                <w:bCs/>
                <w:color w:val="auto"/>
                <w:lang w:eastAsia="zh-CN"/>
              </w:rPr>
              <w:t>（</w:t>
            </w:r>
            <w:r>
              <w:rPr>
                <w:b/>
                <w:bCs/>
                <w:color w:val="auto"/>
              </w:rPr>
              <w:t>℃</w:t>
            </w:r>
            <w:r>
              <w:rPr>
                <w:rFonts w:hint="eastAsia"/>
                <w:b/>
                <w:bCs/>
                <w:color w:val="auto"/>
                <w:lang w:eastAsia="zh-CN"/>
              </w:rPr>
              <w:t>）</w:t>
            </w:r>
          </w:p>
        </w:tc>
        <w:tc>
          <w:tcPr>
            <w:tcW w:w="377" w:type="pct"/>
            <w:tcBorders>
              <w:tl2br w:val="nil"/>
              <w:tr2bl w:val="nil"/>
            </w:tcBorders>
            <w:noWrap w:val="0"/>
            <w:vAlign w:val="center"/>
          </w:tcPr>
          <w:p w14:paraId="30E68824">
            <w:pPr>
              <w:pStyle w:val="16"/>
              <w:bidi w:val="0"/>
              <w:rPr>
                <w:rFonts w:hint="eastAsia"/>
                <w:b/>
                <w:bCs/>
                <w:color w:val="auto"/>
                <w:lang w:eastAsia="zh-CN"/>
              </w:rPr>
            </w:pPr>
            <w:r>
              <w:rPr>
                <w:b/>
                <w:bCs/>
                <w:color w:val="auto"/>
              </w:rPr>
              <w:t>流速</w:t>
            </w:r>
            <w:r>
              <w:rPr>
                <w:rFonts w:hint="eastAsia"/>
                <w:b/>
                <w:bCs/>
                <w:color w:val="auto"/>
                <w:lang w:eastAsia="zh-CN"/>
              </w:rPr>
              <w:t>（</w:t>
            </w:r>
            <w:r>
              <w:rPr>
                <w:b/>
                <w:bCs/>
                <w:color w:val="auto"/>
              </w:rPr>
              <w:t>m/s</w:t>
            </w:r>
            <w:r>
              <w:rPr>
                <w:rFonts w:hint="eastAsia"/>
                <w:b/>
                <w:bCs/>
                <w:color w:val="auto"/>
                <w:lang w:eastAsia="zh-CN"/>
              </w:rPr>
              <w:t>）</w:t>
            </w:r>
          </w:p>
        </w:tc>
        <w:tc>
          <w:tcPr>
            <w:tcW w:w="573" w:type="pct"/>
            <w:vMerge w:val="continue"/>
            <w:tcBorders>
              <w:tl2br w:val="nil"/>
              <w:tr2bl w:val="nil"/>
            </w:tcBorders>
            <w:noWrap w:val="0"/>
            <w:vAlign w:val="center"/>
          </w:tcPr>
          <w:p w14:paraId="579D361A">
            <w:pPr>
              <w:pStyle w:val="16"/>
              <w:bidi w:val="0"/>
              <w:rPr>
                <w:color w:val="auto"/>
              </w:rPr>
            </w:pPr>
          </w:p>
        </w:tc>
        <w:tc>
          <w:tcPr>
            <w:tcW w:w="336" w:type="pct"/>
            <w:vMerge w:val="continue"/>
            <w:tcBorders>
              <w:tl2br w:val="nil"/>
              <w:tr2bl w:val="nil"/>
            </w:tcBorders>
            <w:noWrap w:val="0"/>
            <w:vAlign w:val="center"/>
          </w:tcPr>
          <w:p w14:paraId="01869DA8">
            <w:pPr>
              <w:pStyle w:val="16"/>
              <w:bidi w:val="0"/>
              <w:rPr>
                <w:color w:val="auto"/>
              </w:rPr>
            </w:pPr>
          </w:p>
        </w:tc>
        <w:tc>
          <w:tcPr>
            <w:tcW w:w="451" w:type="pct"/>
            <w:vMerge w:val="continue"/>
            <w:tcBorders>
              <w:tl2br w:val="nil"/>
              <w:tr2bl w:val="nil"/>
            </w:tcBorders>
            <w:noWrap w:val="0"/>
            <w:vAlign w:val="center"/>
          </w:tcPr>
          <w:p w14:paraId="13DD8D5E">
            <w:pPr>
              <w:pStyle w:val="16"/>
              <w:bidi w:val="0"/>
              <w:rPr>
                <w:color w:val="auto"/>
              </w:rPr>
            </w:pPr>
          </w:p>
        </w:tc>
      </w:tr>
      <w:tr w14:paraId="104237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5" w:type="pct"/>
            <w:vMerge w:val="restart"/>
            <w:tcBorders>
              <w:tl2br w:val="nil"/>
              <w:tr2bl w:val="nil"/>
            </w:tcBorders>
            <w:noWrap w:val="0"/>
            <w:vAlign w:val="center"/>
          </w:tcPr>
          <w:p w14:paraId="625AF0C5">
            <w:pPr>
              <w:pStyle w:val="16"/>
              <w:bidi w:val="0"/>
              <w:rPr>
                <w:rFonts w:hint="default" w:eastAsia="宋体"/>
                <w:color w:val="auto"/>
                <w:lang w:val="en-US" w:eastAsia="zh-CN"/>
              </w:rPr>
            </w:pPr>
            <w:r>
              <w:rPr>
                <w:rFonts w:hint="eastAsia"/>
                <w:color w:val="auto"/>
              </w:rPr>
              <w:t>排气筒</w:t>
            </w:r>
            <w:r>
              <w:rPr>
                <w:rFonts w:hint="eastAsia"/>
                <w:color w:val="auto"/>
                <w:lang w:val="en-US" w:eastAsia="zh-CN"/>
              </w:rPr>
              <w:t>DA001</w:t>
            </w:r>
          </w:p>
        </w:tc>
        <w:tc>
          <w:tcPr>
            <w:tcW w:w="419" w:type="pct"/>
            <w:vMerge w:val="restart"/>
            <w:tcBorders>
              <w:tl2br w:val="nil"/>
              <w:tr2bl w:val="nil"/>
            </w:tcBorders>
            <w:noWrap w:val="0"/>
            <w:vAlign w:val="center"/>
          </w:tcPr>
          <w:p w14:paraId="419743C9">
            <w:pPr>
              <w:pStyle w:val="16"/>
              <w:bidi w:val="0"/>
              <w:rPr>
                <w:rFonts w:hint="default" w:eastAsia="宋体"/>
                <w:color w:val="auto"/>
                <w:lang w:val="en-US" w:eastAsia="zh-CN"/>
              </w:rPr>
            </w:pPr>
            <w:r>
              <w:rPr>
                <w:rFonts w:hint="eastAsia"/>
                <w:color w:val="auto"/>
              </w:rPr>
              <w:t>生物</w:t>
            </w:r>
            <w:r>
              <w:rPr>
                <w:rFonts w:hint="eastAsia"/>
                <w:color w:val="auto"/>
                <w:lang w:val="en-US" w:eastAsia="zh-CN"/>
              </w:rPr>
              <w:t>滤池除臭</w:t>
            </w:r>
          </w:p>
        </w:tc>
        <w:tc>
          <w:tcPr>
            <w:tcW w:w="511" w:type="pct"/>
            <w:vMerge w:val="restart"/>
            <w:tcBorders>
              <w:tl2br w:val="nil"/>
              <w:tr2bl w:val="nil"/>
            </w:tcBorders>
            <w:noWrap w:val="0"/>
            <w:vAlign w:val="center"/>
          </w:tcPr>
          <w:p w14:paraId="7D0C28CD">
            <w:pPr>
              <w:pStyle w:val="16"/>
              <w:bidi w:val="0"/>
              <w:rPr>
                <w:color w:val="auto"/>
              </w:rPr>
            </w:pPr>
            <w:r>
              <w:rPr>
                <w:rFonts w:hint="eastAsia"/>
                <w:color w:val="auto"/>
              </w:rPr>
              <w:t>106.890417</w:t>
            </w:r>
          </w:p>
        </w:tc>
        <w:tc>
          <w:tcPr>
            <w:tcW w:w="455" w:type="pct"/>
            <w:vMerge w:val="restart"/>
            <w:tcBorders>
              <w:tl2br w:val="nil"/>
              <w:tr2bl w:val="nil"/>
            </w:tcBorders>
            <w:noWrap w:val="0"/>
            <w:vAlign w:val="center"/>
          </w:tcPr>
          <w:p w14:paraId="0D94705D">
            <w:pPr>
              <w:pStyle w:val="16"/>
              <w:bidi w:val="0"/>
              <w:rPr>
                <w:color w:val="auto"/>
              </w:rPr>
            </w:pPr>
            <w:r>
              <w:rPr>
                <w:rFonts w:hint="eastAsia"/>
                <w:color w:val="auto"/>
              </w:rPr>
              <w:t>31.753448</w:t>
            </w:r>
          </w:p>
        </w:tc>
        <w:tc>
          <w:tcPr>
            <w:tcW w:w="480" w:type="pct"/>
            <w:vMerge w:val="restart"/>
            <w:tcBorders>
              <w:tl2br w:val="nil"/>
              <w:tr2bl w:val="nil"/>
            </w:tcBorders>
            <w:noWrap w:val="0"/>
            <w:vAlign w:val="center"/>
          </w:tcPr>
          <w:p w14:paraId="10182A7A">
            <w:pPr>
              <w:pStyle w:val="16"/>
              <w:bidi w:val="0"/>
              <w:rPr>
                <w:rFonts w:hint="default" w:eastAsia="宋体"/>
                <w:color w:val="auto"/>
                <w:lang w:val="en-US" w:eastAsia="zh-CN"/>
              </w:rPr>
            </w:pPr>
            <w:r>
              <w:rPr>
                <w:rFonts w:hint="eastAsia"/>
                <w:color w:val="auto"/>
                <w:lang w:val="en-US" w:eastAsia="zh-CN"/>
              </w:rPr>
              <w:t>327</w:t>
            </w:r>
          </w:p>
        </w:tc>
        <w:tc>
          <w:tcPr>
            <w:tcW w:w="310" w:type="pct"/>
            <w:vMerge w:val="restart"/>
            <w:tcBorders>
              <w:tl2br w:val="nil"/>
              <w:tr2bl w:val="nil"/>
            </w:tcBorders>
            <w:noWrap w:val="0"/>
            <w:vAlign w:val="center"/>
          </w:tcPr>
          <w:p w14:paraId="0DEF9533">
            <w:pPr>
              <w:pStyle w:val="16"/>
              <w:bidi w:val="0"/>
              <w:rPr>
                <w:color w:val="auto"/>
              </w:rPr>
            </w:pPr>
            <w:r>
              <w:rPr>
                <w:color w:val="auto"/>
              </w:rPr>
              <w:t>15</w:t>
            </w:r>
          </w:p>
        </w:tc>
        <w:tc>
          <w:tcPr>
            <w:tcW w:w="310" w:type="pct"/>
            <w:vMerge w:val="restart"/>
            <w:tcBorders>
              <w:tl2br w:val="nil"/>
              <w:tr2bl w:val="nil"/>
            </w:tcBorders>
            <w:noWrap w:val="0"/>
            <w:vAlign w:val="center"/>
          </w:tcPr>
          <w:p w14:paraId="1415C0DC">
            <w:pPr>
              <w:pStyle w:val="16"/>
              <w:bidi w:val="0"/>
              <w:rPr>
                <w:rFonts w:hint="default" w:eastAsia="宋体"/>
                <w:color w:val="auto"/>
                <w:lang w:val="en-US" w:eastAsia="zh-CN"/>
              </w:rPr>
            </w:pPr>
            <w:r>
              <w:rPr>
                <w:rFonts w:hint="eastAsia"/>
                <w:color w:val="auto"/>
                <w:lang w:val="en-US" w:eastAsia="zh-CN"/>
              </w:rPr>
              <w:t>0.5</w:t>
            </w:r>
          </w:p>
        </w:tc>
        <w:tc>
          <w:tcPr>
            <w:tcW w:w="329" w:type="pct"/>
            <w:vMerge w:val="restart"/>
            <w:tcBorders>
              <w:tl2br w:val="nil"/>
              <w:tr2bl w:val="nil"/>
            </w:tcBorders>
            <w:noWrap w:val="0"/>
            <w:vAlign w:val="center"/>
          </w:tcPr>
          <w:p w14:paraId="3C86D225">
            <w:pPr>
              <w:pStyle w:val="16"/>
              <w:bidi w:val="0"/>
              <w:rPr>
                <w:color w:val="auto"/>
              </w:rPr>
            </w:pPr>
            <w:r>
              <w:rPr>
                <w:color w:val="auto"/>
              </w:rPr>
              <w:t>20</w:t>
            </w:r>
          </w:p>
        </w:tc>
        <w:tc>
          <w:tcPr>
            <w:tcW w:w="377" w:type="pct"/>
            <w:vMerge w:val="restart"/>
            <w:tcBorders>
              <w:tl2br w:val="nil"/>
              <w:tr2bl w:val="nil"/>
            </w:tcBorders>
            <w:noWrap w:val="0"/>
            <w:vAlign w:val="center"/>
          </w:tcPr>
          <w:p w14:paraId="174900BE">
            <w:pPr>
              <w:pStyle w:val="16"/>
              <w:bidi w:val="0"/>
              <w:rPr>
                <w:color w:val="auto"/>
              </w:rPr>
            </w:pPr>
            <w:r>
              <w:rPr>
                <w:rFonts w:hint="eastAsia"/>
                <w:color w:val="auto"/>
              </w:rPr>
              <w:t>3.93</w:t>
            </w:r>
          </w:p>
        </w:tc>
        <w:tc>
          <w:tcPr>
            <w:tcW w:w="573" w:type="pct"/>
            <w:vMerge w:val="restart"/>
            <w:tcBorders>
              <w:tl2br w:val="nil"/>
              <w:tr2bl w:val="nil"/>
            </w:tcBorders>
            <w:noWrap w:val="0"/>
            <w:vAlign w:val="center"/>
          </w:tcPr>
          <w:p w14:paraId="25780B6B">
            <w:pPr>
              <w:pStyle w:val="16"/>
              <w:bidi w:val="0"/>
              <w:rPr>
                <w:color w:val="auto"/>
              </w:rPr>
            </w:pPr>
            <w:r>
              <w:rPr>
                <w:rFonts w:hint="eastAsia"/>
                <w:color w:val="auto"/>
                <w:lang w:val="en-US" w:eastAsia="zh-CN"/>
              </w:rPr>
              <w:t>20</w:t>
            </w:r>
            <w:r>
              <w:rPr>
                <w:color w:val="auto"/>
              </w:rPr>
              <w:t>000</w:t>
            </w:r>
          </w:p>
        </w:tc>
        <w:tc>
          <w:tcPr>
            <w:tcW w:w="336" w:type="pct"/>
            <w:tcBorders>
              <w:tl2br w:val="nil"/>
              <w:tr2bl w:val="nil"/>
            </w:tcBorders>
            <w:noWrap w:val="0"/>
            <w:vAlign w:val="center"/>
          </w:tcPr>
          <w:p w14:paraId="53230EB0">
            <w:pPr>
              <w:pStyle w:val="16"/>
              <w:bidi w:val="0"/>
              <w:rPr>
                <w:color w:val="auto"/>
              </w:rPr>
            </w:pPr>
            <w:r>
              <w:rPr>
                <w:color w:val="auto"/>
              </w:rPr>
              <w:t>NH</w:t>
            </w:r>
            <w:r>
              <w:rPr>
                <w:color w:val="auto"/>
                <w:vertAlign w:val="subscript"/>
              </w:rPr>
              <w:t>3</w:t>
            </w:r>
          </w:p>
        </w:tc>
        <w:tc>
          <w:tcPr>
            <w:tcW w:w="451" w:type="pct"/>
            <w:tcBorders>
              <w:tl2br w:val="nil"/>
              <w:tr2bl w:val="nil"/>
            </w:tcBorders>
            <w:noWrap w:val="0"/>
            <w:vAlign w:val="center"/>
          </w:tcPr>
          <w:p w14:paraId="224EFF24">
            <w:pPr>
              <w:pStyle w:val="16"/>
              <w:bidi w:val="0"/>
              <w:rPr>
                <w:rFonts w:hint="eastAsia" w:eastAsia="宋体"/>
                <w:color w:val="auto"/>
                <w:lang w:val="en-US" w:eastAsia="zh-CN"/>
              </w:rPr>
            </w:pPr>
            <w:r>
              <w:rPr>
                <w:rFonts w:hint="eastAsia"/>
                <w:color w:val="auto"/>
                <w:lang w:eastAsia="zh-CN"/>
              </w:rPr>
              <w:t>0.1117</w:t>
            </w:r>
          </w:p>
        </w:tc>
      </w:tr>
      <w:tr w14:paraId="143C35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5" w:type="pct"/>
            <w:vMerge w:val="continue"/>
            <w:tcBorders>
              <w:tl2br w:val="nil"/>
              <w:tr2bl w:val="nil"/>
            </w:tcBorders>
            <w:noWrap w:val="0"/>
            <w:vAlign w:val="center"/>
          </w:tcPr>
          <w:p w14:paraId="5C2B784E">
            <w:pPr>
              <w:pStyle w:val="16"/>
              <w:bidi w:val="0"/>
              <w:rPr>
                <w:color w:val="auto"/>
              </w:rPr>
            </w:pPr>
          </w:p>
        </w:tc>
        <w:tc>
          <w:tcPr>
            <w:tcW w:w="419" w:type="pct"/>
            <w:vMerge w:val="continue"/>
            <w:tcBorders>
              <w:tl2br w:val="nil"/>
              <w:tr2bl w:val="nil"/>
            </w:tcBorders>
            <w:noWrap w:val="0"/>
            <w:vAlign w:val="center"/>
          </w:tcPr>
          <w:p w14:paraId="756CCC06">
            <w:pPr>
              <w:pStyle w:val="16"/>
              <w:bidi w:val="0"/>
              <w:rPr>
                <w:color w:val="auto"/>
              </w:rPr>
            </w:pPr>
          </w:p>
        </w:tc>
        <w:tc>
          <w:tcPr>
            <w:tcW w:w="511" w:type="pct"/>
            <w:vMerge w:val="continue"/>
            <w:tcBorders>
              <w:tl2br w:val="nil"/>
              <w:tr2bl w:val="nil"/>
            </w:tcBorders>
            <w:noWrap w:val="0"/>
            <w:vAlign w:val="center"/>
          </w:tcPr>
          <w:p w14:paraId="437CC409">
            <w:pPr>
              <w:pStyle w:val="16"/>
              <w:bidi w:val="0"/>
              <w:rPr>
                <w:color w:val="auto"/>
              </w:rPr>
            </w:pPr>
          </w:p>
        </w:tc>
        <w:tc>
          <w:tcPr>
            <w:tcW w:w="455" w:type="pct"/>
            <w:vMerge w:val="continue"/>
            <w:tcBorders>
              <w:tl2br w:val="nil"/>
              <w:tr2bl w:val="nil"/>
            </w:tcBorders>
            <w:noWrap w:val="0"/>
            <w:vAlign w:val="center"/>
          </w:tcPr>
          <w:p w14:paraId="0172318C">
            <w:pPr>
              <w:pStyle w:val="16"/>
              <w:bidi w:val="0"/>
              <w:rPr>
                <w:color w:val="auto"/>
              </w:rPr>
            </w:pPr>
          </w:p>
        </w:tc>
        <w:tc>
          <w:tcPr>
            <w:tcW w:w="480" w:type="pct"/>
            <w:vMerge w:val="continue"/>
            <w:tcBorders>
              <w:tl2br w:val="nil"/>
              <w:tr2bl w:val="nil"/>
            </w:tcBorders>
            <w:noWrap w:val="0"/>
            <w:vAlign w:val="center"/>
          </w:tcPr>
          <w:p w14:paraId="0FC9C9D2">
            <w:pPr>
              <w:pStyle w:val="16"/>
              <w:bidi w:val="0"/>
              <w:rPr>
                <w:color w:val="auto"/>
              </w:rPr>
            </w:pPr>
          </w:p>
        </w:tc>
        <w:tc>
          <w:tcPr>
            <w:tcW w:w="310" w:type="pct"/>
            <w:vMerge w:val="continue"/>
            <w:tcBorders>
              <w:tl2br w:val="nil"/>
              <w:tr2bl w:val="nil"/>
            </w:tcBorders>
            <w:noWrap w:val="0"/>
            <w:vAlign w:val="center"/>
          </w:tcPr>
          <w:p w14:paraId="0064C412">
            <w:pPr>
              <w:pStyle w:val="16"/>
              <w:bidi w:val="0"/>
              <w:rPr>
                <w:color w:val="auto"/>
              </w:rPr>
            </w:pPr>
          </w:p>
        </w:tc>
        <w:tc>
          <w:tcPr>
            <w:tcW w:w="310" w:type="pct"/>
            <w:vMerge w:val="continue"/>
            <w:tcBorders>
              <w:tl2br w:val="nil"/>
              <w:tr2bl w:val="nil"/>
            </w:tcBorders>
            <w:noWrap w:val="0"/>
            <w:vAlign w:val="center"/>
          </w:tcPr>
          <w:p w14:paraId="56A97DB6">
            <w:pPr>
              <w:pStyle w:val="16"/>
              <w:bidi w:val="0"/>
              <w:rPr>
                <w:color w:val="auto"/>
              </w:rPr>
            </w:pPr>
          </w:p>
        </w:tc>
        <w:tc>
          <w:tcPr>
            <w:tcW w:w="329" w:type="pct"/>
            <w:vMerge w:val="continue"/>
            <w:tcBorders>
              <w:tl2br w:val="nil"/>
              <w:tr2bl w:val="nil"/>
            </w:tcBorders>
            <w:noWrap w:val="0"/>
            <w:vAlign w:val="center"/>
          </w:tcPr>
          <w:p w14:paraId="487DA4A2">
            <w:pPr>
              <w:pStyle w:val="16"/>
              <w:bidi w:val="0"/>
              <w:rPr>
                <w:color w:val="auto"/>
              </w:rPr>
            </w:pPr>
          </w:p>
        </w:tc>
        <w:tc>
          <w:tcPr>
            <w:tcW w:w="377" w:type="pct"/>
            <w:vMerge w:val="continue"/>
            <w:tcBorders>
              <w:tl2br w:val="nil"/>
              <w:tr2bl w:val="nil"/>
            </w:tcBorders>
            <w:noWrap w:val="0"/>
            <w:vAlign w:val="center"/>
          </w:tcPr>
          <w:p w14:paraId="6EF74CC9">
            <w:pPr>
              <w:pStyle w:val="16"/>
              <w:bidi w:val="0"/>
              <w:rPr>
                <w:color w:val="auto"/>
              </w:rPr>
            </w:pPr>
          </w:p>
        </w:tc>
        <w:tc>
          <w:tcPr>
            <w:tcW w:w="573" w:type="pct"/>
            <w:vMerge w:val="continue"/>
            <w:tcBorders>
              <w:tl2br w:val="nil"/>
              <w:tr2bl w:val="nil"/>
            </w:tcBorders>
            <w:noWrap w:val="0"/>
            <w:vAlign w:val="center"/>
          </w:tcPr>
          <w:p w14:paraId="23A4A507">
            <w:pPr>
              <w:pStyle w:val="16"/>
              <w:bidi w:val="0"/>
              <w:rPr>
                <w:color w:val="auto"/>
              </w:rPr>
            </w:pPr>
          </w:p>
        </w:tc>
        <w:tc>
          <w:tcPr>
            <w:tcW w:w="336" w:type="pct"/>
            <w:tcBorders>
              <w:tl2br w:val="nil"/>
              <w:tr2bl w:val="nil"/>
            </w:tcBorders>
            <w:noWrap w:val="0"/>
            <w:vAlign w:val="center"/>
          </w:tcPr>
          <w:p w14:paraId="7B1A7544">
            <w:pPr>
              <w:pStyle w:val="16"/>
              <w:bidi w:val="0"/>
              <w:rPr>
                <w:color w:val="auto"/>
              </w:rPr>
            </w:pPr>
            <w:r>
              <w:rPr>
                <w:color w:val="auto"/>
              </w:rPr>
              <w:t>H</w:t>
            </w:r>
            <w:r>
              <w:rPr>
                <w:color w:val="auto"/>
                <w:vertAlign w:val="subscript"/>
              </w:rPr>
              <w:t>2</w:t>
            </w:r>
            <w:r>
              <w:rPr>
                <w:color w:val="auto"/>
              </w:rPr>
              <w:t>S</w:t>
            </w:r>
          </w:p>
        </w:tc>
        <w:tc>
          <w:tcPr>
            <w:tcW w:w="451" w:type="pct"/>
            <w:tcBorders>
              <w:tl2br w:val="nil"/>
              <w:tr2bl w:val="nil"/>
            </w:tcBorders>
            <w:noWrap w:val="0"/>
            <w:vAlign w:val="center"/>
          </w:tcPr>
          <w:p w14:paraId="41E09955">
            <w:pPr>
              <w:pStyle w:val="16"/>
              <w:bidi w:val="0"/>
              <w:rPr>
                <w:rFonts w:hint="default" w:eastAsia="宋体"/>
                <w:color w:val="auto"/>
                <w:lang w:val="en-US" w:eastAsia="zh-CN"/>
              </w:rPr>
            </w:pPr>
            <w:r>
              <w:rPr>
                <w:rFonts w:hint="eastAsia"/>
                <w:color w:val="auto"/>
                <w:lang w:eastAsia="zh-CN"/>
              </w:rPr>
              <w:t>0.00</w:t>
            </w:r>
            <w:r>
              <w:rPr>
                <w:rFonts w:hint="eastAsia"/>
                <w:color w:val="auto"/>
                <w:lang w:val="en-US" w:eastAsia="zh-CN"/>
              </w:rPr>
              <w:t>35</w:t>
            </w:r>
          </w:p>
        </w:tc>
      </w:tr>
      <w:tr w14:paraId="330242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00" w:type="pct"/>
            <w:gridSpan w:val="12"/>
            <w:tcBorders>
              <w:tl2br w:val="nil"/>
              <w:tr2bl w:val="nil"/>
            </w:tcBorders>
            <w:noWrap w:val="0"/>
            <w:vAlign w:val="center"/>
          </w:tcPr>
          <w:p w14:paraId="242C90FC">
            <w:pPr>
              <w:pStyle w:val="16"/>
              <w:bidi w:val="0"/>
              <w:jc w:val="left"/>
              <w:rPr>
                <w:rFonts w:hint="eastAsia"/>
                <w:color w:val="auto"/>
                <w:lang w:eastAsia="zh-CN"/>
              </w:rPr>
            </w:pPr>
            <w:r>
              <w:rPr>
                <w:rFonts w:hint="eastAsia"/>
                <w:color w:val="auto"/>
                <w:lang w:eastAsia="zh-CN"/>
              </w:rPr>
              <w:t>“*”非正常工况按生物除臭塔处理效率为0%计</w:t>
            </w:r>
          </w:p>
        </w:tc>
      </w:tr>
    </w:tbl>
    <w:p w14:paraId="2A7A0255">
      <w:pPr>
        <w:pStyle w:val="19"/>
        <w:numPr>
          <w:ilvl w:val="0"/>
          <w:numId w:val="31"/>
        </w:numPr>
        <w:bidi w:val="0"/>
        <w:ind w:left="1440" w:leftChars="0" w:firstLine="0" w:firstLineChars="0"/>
        <w:rPr>
          <w:color w:val="auto"/>
        </w:rPr>
      </w:pPr>
      <w:r>
        <w:rPr>
          <w:color w:val="auto"/>
        </w:rPr>
        <w:t>污水处理厂污染源无组织排放情况</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270"/>
        <w:gridCol w:w="1896"/>
        <w:gridCol w:w="1166"/>
        <w:gridCol w:w="1018"/>
        <w:gridCol w:w="813"/>
        <w:gridCol w:w="907"/>
        <w:gridCol w:w="907"/>
        <w:gridCol w:w="1739"/>
        <w:gridCol w:w="1474"/>
        <w:gridCol w:w="969"/>
        <w:gridCol w:w="640"/>
        <w:gridCol w:w="794"/>
        <w:gridCol w:w="894"/>
      </w:tblGrid>
      <w:tr w14:paraId="56DDB5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0" w:type="pct"/>
            <w:vMerge w:val="restart"/>
            <w:tcBorders>
              <w:tl2br w:val="nil"/>
              <w:tr2bl w:val="nil"/>
            </w:tcBorders>
            <w:noWrap w:val="0"/>
            <w:vAlign w:val="center"/>
          </w:tcPr>
          <w:p w14:paraId="33E753C3">
            <w:pPr>
              <w:pStyle w:val="16"/>
              <w:bidi w:val="0"/>
              <w:rPr>
                <w:rFonts w:hint="eastAsia" w:eastAsia="宋体"/>
                <w:b/>
                <w:bCs/>
                <w:color w:val="auto"/>
                <w:sz w:val="21"/>
                <w:szCs w:val="21"/>
                <w:lang w:val="en-US" w:eastAsia="zh-CN"/>
              </w:rPr>
            </w:pPr>
            <w:r>
              <w:rPr>
                <w:rFonts w:hint="eastAsia"/>
                <w:b/>
                <w:bCs/>
                <w:color w:val="auto"/>
                <w:sz w:val="21"/>
                <w:szCs w:val="21"/>
                <w:lang w:val="en-US" w:eastAsia="zh-CN"/>
              </w:rPr>
              <w:t>序号</w:t>
            </w:r>
          </w:p>
        </w:tc>
        <w:tc>
          <w:tcPr>
            <w:tcW w:w="702" w:type="pct"/>
            <w:vMerge w:val="restart"/>
            <w:tcBorders>
              <w:tl2br w:val="nil"/>
              <w:tr2bl w:val="nil"/>
            </w:tcBorders>
            <w:noWrap w:val="0"/>
            <w:vAlign w:val="center"/>
          </w:tcPr>
          <w:p w14:paraId="3E9E2C4D">
            <w:pPr>
              <w:pStyle w:val="16"/>
              <w:bidi w:val="0"/>
              <w:rPr>
                <w:b/>
                <w:bCs/>
                <w:color w:val="auto"/>
                <w:sz w:val="21"/>
                <w:szCs w:val="21"/>
              </w:rPr>
            </w:pPr>
            <w:r>
              <w:rPr>
                <w:b/>
                <w:bCs/>
                <w:color w:val="auto"/>
                <w:sz w:val="21"/>
                <w:szCs w:val="21"/>
              </w:rPr>
              <w:t>污染源名称</w:t>
            </w:r>
          </w:p>
        </w:tc>
        <w:tc>
          <w:tcPr>
            <w:tcW w:w="809" w:type="pct"/>
            <w:gridSpan w:val="2"/>
            <w:tcBorders>
              <w:tl2br w:val="nil"/>
              <w:tr2bl w:val="nil"/>
            </w:tcBorders>
            <w:noWrap w:val="0"/>
            <w:vAlign w:val="center"/>
          </w:tcPr>
          <w:p w14:paraId="4A4FCBD3">
            <w:pPr>
              <w:pStyle w:val="16"/>
              <w:bidi w:val="0"/>
              <w:rPr>
                <w:b/>
                <w:bCs/>
                <w:color w:val="auto"/>
                <w:sz w:val="21"/>
                <w:szCs w:val="21"/>
              </w:rPr>
            </w:pPr>
            <w:r>
              <w:rPr>
                <w:b/>
                <w:bCs/>
                <w:color w:val="auto"/>
                <w:sz w:val="21"/>
                <w:szCs w:val="21"/>
              </w:rPr>
              <w:t>坐标</w:t>
            </w:r>
          </w:p>
        </w:tc>
        <w:tc>
          <w:tcPr>
            <w:tcW w:w="301" w:type="pct"/>
            <w:vMerge w:val="restart"/>
            <w:tcBorders>
              <w:tl2br w:val="nil"/>
              <w:tr2bl w:val="nil"/>
            </w:tcBorders>
            <w:noWrap w:val="0"/>
            <w:vAlign w:val="center"/>
          </w:tcPr>
          <w:p w14:paraId="79173456">
            <w:pPr>
              <w:pStyle w:val="16"/>
              <w:bidi w:val="0"/>
              <w:rPr>
                <w:rFonts w:hint="eastAsia"/>
                <w:b/>
                <w:bCs/>
                <w:color w:val="auto"/>
                <w:sz w:val="21"/>
                <w:szCs w:val="21"/>
                <w:lang w:eastAsia="zh-CN"/>
              </w:rPr>
            </w:pPr>
            <w:r>
              <w:rPr>
                <w:rFonts w:hint="eastAsia"/>
                <w:b/>
                <w:bCs/>
                <w:color w:val="auto"/>
                <w:sz w:val="21"/>
                <w:szCs w:val="21"/>
                <w:lang w:eastAsia="zh-CN"/>
              </w:rPr>
              <w:t>海拔（</w:t>
            </w:r>
            <w:r>
              <w:rPr>
                <w:b/>
                <w:bCs/>
                <w:color w:val="auto"/>
                <w:sz w:val="21"/>
                <w:szCs w:val="21"/>
              </w:rPr>
              <w:t>m</w:t>
            </w:r>
            <w:r>
              <w:rPr>
                <w:rFonts w:hint="eastAsia"/>
                <w:b/>
                <w:bCs/>
                <w:color w:val="auto"/>
                <w:sz w:val="21"/>
                <w:szCs w:val="21"/>
                <w:lang w:eastAsia="zh-CN"/>
              </w:rPr>
              <w:t>）</w:t>
            </w:r>
          </w:p>
        </w:tc>
        <w:tc>
          <w:tcPr>
            <w:tcW w:w="1862" w:type="pct"/>
            <w:gridSpan w:val="4"/>
            <w:tcBorders>
              <w:tl2br w:val="nil"/>
              <w:tr2bl w:val="nil"/>
            </w:tcBorders>
            <w:noWrap w:val="0"/>
            <w:vAlign w:val="center"/>
          </w:tcPr>
          <w:p w14:paraId="1FAAC80D">
            <w:pPr>
              <w:pStyle w:val="16"/>
              <w:bidi w:val="0"/>
              <w:rPr>
                <w:b/>
                <w:bCs/>
                <w:color w:val="auto"/>
                <w:sz w:val="21"/>
                <w:szCs w:val="21"/>
              </w:rPr>
            </w:pPr>
            <w:r>
              <w:rPr>
                <w:b/>
                <w:bCs/>
                <w:color w:val="auto"/>
                <w:sz w:val="21"/>
                <w:szCs w:val="21"/>
              </w:rPr>
              <w:t>矩形面源</w:t>
            </w:r>
          </w:p>
        </w:tc>
        <w:tc>
          <w:tcPr>
            <w:tcW w:w="359" w:type="pct"/>
            <w:vMerge w:val="restart"/>
            <w:tcBorders>
              <w:tl2br w:val="nil"/>
              <w:tr2bl w:val="nil"/>
            </w:tcBorders>
            <w:noWrap w:val="0"/>
            <w:vAlign w:val="center"/>
          </w:tcPr>
          <w:p w14:paraId="48C34DAD">
            <w:pPr>
              <w:pStyle w:val="16"/>
              <w:bidi w:val="0"/>
              <w:rPr>
                <w:b/>
                <w:bCs/>
                <w:color w:val="auto"/>
                <w:sz w:val="21"/>
                <w:szCs w:val="21"/>
              </w:rPr>
            </w:pPr>
            <w:r>
              <w:rPr>
                <w:b/>
                <w:bCs/>
                <w:color w:val="auto"/>
                <w:sz w:val="21"/>
                <w:szCs w:val="21"/>
              </w:rPr>
              <w:t>年排放小时数（h）</w:t>
            </w:r>
          </w:p>
        </w:tc>
        <w:tc>
          <w:tcPr>
            <w:tcW w:w="237" w:type="pct"/>
            <w:vMerge w:val="restart"/>
            <w:tcBorders>
              <w:tl2br w:val="nil"/>
              <w:tr2bl w:val="nil"/>
            </w:tcBorders>
            <w:noWrap w:val="0"/>
            <w:vAlign w:val="center"/>
          </w:tcPr>
          <w:p w14:paraId="52120BA9">
            <w:pPr>
              <w:pStyle w:val="16"/>
              <w:bidi w:val="0"/>
              <w:rPr>
                <w:b/>
                <w:bCs/>
                <w:color w:val="auto"/>
                <w:sz w:val="21"/>
                <w:szCs w:val="21"/>
              </w:rPr>
            </w:pPr>
            <w:r>
              <w:rPr>
                <w:b/>
                <w:bCs/>
                <w:color w:val="auto"/>
                <w:sz w:val="21"/>
                <w:szCs w:val="21"/>
              </w:rPr>
              <w:t>排放工况</w:t>
            </w:r>
          </w:p>
        </w:tc>
        <w:tc>
          <w:tcPr>
            <w:tcW w:w="625" w:type="pct"/>
            <w:gridSpan w:val="2"/>
            <w:tcBorders>
              <w:tl2br w:val="nil"/>
              <w:tr2bl w:val="nil"/>
            </w:tcBorders>
            <w:noWrap w:val="0"/>
            <w:vAlign w:val="center"/>
          </w:tcPr>
          <w:p w14:paraId="367EB237">
            <w:pPr>
              <w:pStyle w:val="16"/>
              <w:bidi w:val="0"/>
              <w:rPr>
                <w:b/>
                <w:bCs/>
                <w:color w:val="auto"/>
                <w:sz w:val="21"/>
                <w:szCs w:val="21"/>
              </w:rPr>
            </w:pPr>
            <w:r>
              <w:rPr>
                <w:b/>
                <w:bCs/>
                <w:color w:val="auto"/>
                <w:sz w:val="21"/>
                <w:szCs w:val="21"/>
              </w:rPr>
              <w:t>排放速率（kg/h）</w:t>
            </w:r>
          </w:p>
        </w:tc>
      </w:tr>
      <w:tr w14:paraId="098FBE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0" w:type="pct"/>
            <w:vMerge w:val="continue"/>
            <w:tcBorders>
              <w:tl2br w:val="nil"/>
              <w:tr2bl w:val="nil"/>
            </w:tcBorders>
            <w:noWrap w:val="0"/>
            <w:vAlign w:val="center"/>
          </w:tcPr>
          <w:p w14:paraId="0E410D2F">
            <w:pPr>
              <w:pStyle w:val="16"/>
              <w:bidi w:val="0"/>
              <w:rPr>
                <w:color w:val="auto"/>
                <w:sz w:val="21"/>
                <w:szCs w:val="21"/>
              </w:rPr>
            </w:pPr>
          </w:p>
        </w:tc>
        <w:tc>
          <w:tcPr>
            <w:tcW w:w="702" w:type="pct"/>
            <w:vMerge w:val="continue"/>
            <w:tcBorders>
              <w:tl2br w:val="nil"/>
              <w:tr2bl w:val="nil"/>
            </w:tcBorders>
            <w:noWrap w:val="0"/>
            <w:vAlign w:val="center"/>
          </w:tcPr>
          <w:p w14:paraId="2B84D807">
            <w:pPr>
              <w:pStyle w:val="16"/>
              <w:bidi w:val="0"/>
              <w:rPr>
                <w:color w:val="auto"/>
                <w:sz w:val="21"/>
                <w:szCs w:val="21"/>
              </w:rPr>
            </w:pPr>
          </w:p>
        </w:tc>
        <w:tc>
          <w:tcPr>
            <w:tcW w:w="432" w:type="pct"/>
            <w:tcBorders>
              <w:tl2br w:val="nil"/>
              <w:tr2bl w:val="nil"/>
            </w:tcBorders>
            <w:noWrap w:val="0"/>
            <w:vAlign w:val="center"/>
          </w:tcPr>
          <w:p w14:paraId="5DCCB41F">
            <w:pPr>
              <w:pStyle w:val="16"/>
              <w:bidi w:val="0"/>
              <w:rPr>
                <w:b/>
                <w:bCs/>
                <w:color w:val="auto"/>
                <w:sz w:val="21"/>
                <w:szCs w:val="21"/>
              </w:rPr>
            </w:pPr>
            <w:r>
              <w:rPr>
                <w:b/>
                <w:bCs/>
                <w:color w:val="auto"/>
                <w:sz w:val="21"/>
                <w:szCs w:val="21"/>
              </w:rPr>
              <w:t>X</w:t>
            </w:r>
          </w:p>
        </w:tc>
        <w:tc>
          <w:tcPr>
            <w:tcW w:w="377" w:type="pct"/>
            <w:tcBorders>
              <w:tl2br w:val="nil"/>
              <w:tr2bl w:val="nil"/>
            </w:tcBorders>
            <w:noWrap w:val="0"/>
            <w:vAlign w:val="center"/>
          </w:tcPr>
          <w:p w14:paraId="70C05462">
            <w:pPr>
              <w:pStyle w:val="16"/>
              <w:bidi w:val="0"/>
              <w:rPr>
                <w:b/>
                <w:bCs/>
                <w:color w:val="auto"/>
                <w:sz w:val="21"/>
                <w:szCs w:val="21"/>
              </w:rPr>
            </w:pPr>
            <w:r>
              <w:rPr>
                <w:b/>
                <w:bCs/>
                <w:color w:val="auto"/>
                <w:sz w:val="21"/>
                <w:szCs w:val="21"/>
              </w:rPr>
              <w:t>Y</w:t>
            </w:r>
          </w:p>
        </w:tc>
        <w:tc>
          <w:tcPr>
            <w:tcW w:w="301" w:type="pct"/>
            <w:vMerge w:val="continue"/>
            <w:tcBorders>
              <w:tl2br w:val="nil"/>
              <w:tr2bl w:val="nil"/>
            </w:tcBorders>
            <w:noWrap w:val="0"/>
            <w:vAlign w:val="center"/>
          </w:tcPr>
          <w:p w14:paraId="23369956">
            <w:pPr>
              <w:pStyle w:val="16"/>
              <w:bidi w:val="0"/>
              <w:rPr>
                <w:b/>
                <w:bCs/>
                <w:color w:val="auto"/>
                <w:sz w:val="21"/>
                <w:szCs w:val="21"/>
              </w:rPr>
            </w:pPr>
          </w:p>
        </w:tc>
        <w:tc>
          <w:tcPr>
            <w:tcW w:w="336" w:type="pct"/>
            <w:tcBorders>
              <w:tl2br w:val="nil"/>
              <w:tr2bl w:val="nil"/>
            </w:tcBorders>
            <w:noWrap w:val="0"/>
            <w:vAlign w:val="center"/>
          </w:tcPr>
          <w:p w14:paraId="1E8292D5">
            <w:pPr>
              <w:pStyle w:val="16"/>
              <w:bidi w:val="0"/>
              <w:rPr>
                <w:b/>
                <w:bCs/>
                <w:color w:val="auto"/>
                <w:sz w:val="21"/>
                <w:szCs w:val="21"/>
              </w:rPr>
            </w:pPr>
            <w:r>
              <w:rPr>
                <w:b/>
                <w:bCs/>
                <w:color w:val="auto"/>
                <w:sz w:val="21"/>
                <w:szCs w:val="21"/>
              </w:rPr>
              <w:t>长度（m）</w:t>
            </w:r>
          </w:p>
        </w:tc>
        <w:tc>
          <w:tcPr>
            <w:tcW w:w="336" w:type="pct"/>
            <w:tcBorders>
              <w:tl2br w:val="nil"/>
              <w:tr2bl w:val="nil"/>
            </w:tcBorders>
            <w:noWrap w:val="0"/>
            <w:vAlign w:val="center"/>
          </w:tcPr>
          <w:p w14:paraId="3B217CFA">
            <w:pPr>
              <w:pStyle w:val="16"/>
              <w:bidi w:val="0"/>
              <w:rPr>
                <w:b/>
                <w:bCs/>
                <w:color w:val="auto"/>
                <w:sz w:val="21"/>
                <w:szCs w:val="21"/>
              </w:rPr>
            </w:pPr>
            <w:r>
              <w:rPr>
                <w:b/>
                <w:bCs/>
                <w:color w:val="auto"/>
                <w:sz w:val="21"/>
                <w:szCs w:val="21"/>
              </w:rPr>
              <w:t>宽度（m）</w:t>
            </w:r>
          </w:p>
        </w:tc>
        <w:tc>
          <w:tcPr>
            <w:tcW w:w="644" w:type="pct"/>
            <w:tcBorders>
              <w:tl2br w:val="nil"/>
              <w:tr2bl w:val="nil"/>
            </w:tcBorders>
            <w:noWrap w:val="0"/>
            <w:vAlign w:val="center"/>
          </w:tcPr>
          <w:p w14:paraId="5FDDE166">
            <w:pPr>
              <w:pStyle w:val="16"/>
              <w:bidi w:val="0"/>
              <w:rPr>
                <w:rFonts w:hint="default"/>
                <w:b/>
                <w:bCs/>
                <w:color w:val="auto"/>
                <w:sz w:val="21"/>
                <w:szCs w:val="21"/>
                <w:lang w:val="en-US"/>
              </w:rPr>
            </w:pPr>
            <w:r>
              <w:rPr>
                <w:b/>
                <w:bCs/>
                <w:color w:val="auto"/>
                <w:sz w:val="21"/>
                <w:szCs w:val="21"/>
              </w:rPr>
              <w:t>与正北向夹角</w:t>
            </w:r>
            <w:r>
              <w:rPr>
                <w:rFonts w:hint="eastAsia"/>
                <w:b/>
                <w:bCs/>
                <w:color w:val="auto"/>
                <w:sz w:val="21"/>
                <w:szCs w:val="21"/>
                <w:lang w:val="en-US" w:eastAsia="zh-CN"/>
              </w:rPr>
              <w:t>(°)</w:t>
            </w:r>
          </w:p>
        </w:tc>
        <w:tc>
          <w:tcPr>
            <w:tcW w:w="545" w:type="pct"/>
            <w:tcBorders>
              <w:tl2br w:val="nil"/>
              <w:tr2bl w:val="nil"/>
            </w:tcBorders>
            <w:noWrap w:val="0"/>
            <w:vAlign w:val="center"/>
          </w:tcPr>
          <w:p w14:paraId="23516D3B">
            <w:pPr>
              <w:pStyle w:val="16"/>
              <w:bidi w:val="0"/>
              <w:rPr>
                <w:b/>
                <w:bCs/>
                <w:color w:val="auto"/>
                <w:sz w:val="21"/>
                <w:szCs w:val="21"/>
              </w:rPr>
            </w:pPr>
            <w:r>
              <w:rPr>
                <w:b/>
                <w:bCs/>
                <w:color w:val="auto"/>
                <w:sz w:val="21"/>
                <w:szCs w:val="21"/>
              </w:rPr>
              <w:t>有效高度（m）</w:t>
            </w:r>
          </w:p>
        </w:tc>
        <w:tc>
          <w:tcPr>
            <w:tcW w:w="359" w:type="pct"/>
            <w:vMerge w:val="continue"/>
            <w:tcBorders>
              <w:tl2br w:val="nil"/>
              <w:tr2bl w:val="nil"/>
            </w:tcBorders>
            <w:noWrap w:val="0"/>
            <w:vAlign w:val="center"/>
          </w:tcPr>
          <w:p w14:paraId="5D0F1F71">
            <w:pPr>
              <w:pStyle w:val="16"/>
              <w:bidi w:val="0"/>
              <w:rPr>
                <w:color w:val="auto"/>
                <w:sz w:val="21"/>
                <w:szCs w:val="21"/>
              </w:rPr>
            </w:pPr>
          </w:p>
        </w:tc>
        <w:tc>
          <w:tcPr>
            <w:tcW w:w="237" w:type="pct"/>
            <w:vMerge w:val="continue"/>
            <w:tcBorders>
              <w:tl2br w:val="nil"/>
              <w:tr2bl w:val="nil"/>
            </w:tcBorders>
            <w:noWrap w:val="0"/>
            <w:vAlign w:val="center"/>
          </w:tcPr>
          <w:p w14:paraId="68E3C7B3">
            <w:pPr>
              <w:pStyle w:val="16"/>
              <w:bidi w:val="0"/>
              <w:rPr>
                <w:color w:val="auto"/>
                <w:sz w:val="21"/>
                <w:szCs w:val="21"/>
              </w:rPr>
            </w:pPr>
          </w:p>
        </w:tc>
        <w:tc>
          <w:tcPr>
            <w:tcW w:w="294" w:type="pct"/>
            <w:tcBorders>
              <w:tl2br w:val="nil"/>
              <w:tr2bl w:val="nil"/>
            </w:tcBorders>
            <w:noWrap w:val="0"/>
            <w:vAlign w:val="center"/>
          </w:tcPr>
          <w:p w14:paraId="40D6E4FA">
            <w:pPr>
              <w:pStyle w:val="16"/>
              <w:bidi w:val="0"/>
              <w:rPr>
                <w:rFonts w:hint="default" w:eastAsia="宋体"/>
                <w:color w:val="auto"/>
                <w:sz w:val="21"/>
                <w:szCs w:val="21"/>
                <w:lang w:val="en-US" w:eastAsia="zh-CN"/>
              </w:rPr>
            </w:pPr>
            <w:r>
              <w:rPr>
                <w:rFonts w:hint="eastAsia"/>
                <w:color w:val="auto"/>
                <w:sz w:val="21"/>
                <w:szCs w:val="21"/>
                <w:lang w:val="en-US" w:eastAsia="zh-CN"/>
              </w:rPr>
              <w:t>NH</w:t>
            </w:r>
            <w:r>
              <w:rPr>
                <w:rFonts w:hint="eastAsia"/>
                <w:color w:val="auto"/>
                <w:sz w:val="21"/>
                <w:szCs w:val="21"/>
                <w:vertAlign w:val="subscript"/>
                <w:lang w:val="en-US" w:eastAsia="zh-CN"/>
              </w:rPr>
              <w:t>3</w:t>
            </w:r>
          </w:p>
        </w:tc>
        <w:tc>
          <w:tcPr>
            <w:tcW w:w="331" w:type="pct"/>
            <w:tcBorders>
              <w:tl2br w:val="nil"/>
              <w:tr2bl w:val="nil"/>
            </w:tcBorders>
            <w:noWrap w:val="0"/>
            <w:vAlign w:val="center"/>
          </w:tcPr>
          <w:p w14:paraId="6D4EC175">
            <w:pPr>
              <w:pStyle w:val="16"/>
              <w:bidi w:val="0"/>
              <w:rPr>
                <w:rFonts w:hint="default" w:eastAsia="宋体"/>
                <w:color w:val="auto"/>
                <w:sz w:val="21"/>
                <w:szCs w:val="21"/>
                <w:lang w:val="en-US" w:eastAsia="zh-CN"/>
              </w:rPr>
            </w:pPr>
            <w:r>
              <w:rPr>
                <w:rFonts w:hint="eastAsia"/>
                <w:color w:val="auto"/>
                <w:sz w:val="21"/>
                <w:szCs w:val="21"/>
                <w:lang w:val="en-US" w:eastAsia="zh-CN"/>
              </w:rPr>
              <w:t>H</w:t>
            </w:r>
            <w:r>
              <w:rPr>
                <w:rFonts w:hint="eastAsia"/>
                <w:color w:val="auto"/>
                <w:sz w:val="21"/>
                <w:szCs w:val="21"/>
                <w:vertAlign w:val="subscript"/>
                <w:lang w:val="en-US" w:eastAsia="zh-CN"/>
              </w:rPr>
              <w:t>2</w:t>
            </w:r>
            <w:r>
              <w:rPr>
                <w:rFonts w:hint="eastAsia"/>
                <w:color w:val="auto"/>
                <w:sz w:val="21"/>
                <w:szCs w:val="21"/>
                <w:lang w:val="en-US" w:eastAsia="zh-CN"/>
              </w:rPr>
              <w:t>S</w:t>
            </w:r>
          </w:p>
        </w:tc>
      </w:tr>
      <w:tr w14:paraId="7F593F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0" w:type="pct"/>
            <w:tcBorders>
              <w:tl2br w:val="nil"/>
              <w:tr2bl w:val="nil"/>
            </w:tcBorders>
            <w:noWrap w:val="0"/>
            <w:vAlign w:val="center"/>
          </w:tcPr>
          <w:p w14:paraId="2AA1605D">
            <w:pPr>
              <w:pStyle w:val="16"/>
              <w:bidi w:val="0"/>
              <w:rPr>
                <w:rFonts w:hint="default"/>
                <w:color w:val="auto"/>
                <w:sz w:val="21"/>
                <w:szCs w:val="21"/>
                <w:lang w:val="en-US" w:eastAsia="zh-CN"/>
              </w:rPr>
            </w:pPr>
            <w:r>
              <w:rPr>
                <w:rFonts w:hint="eastAsia"/>
                <w:color w:val="auto"/>
                <w:sz w:val="21"/>
                <w:szCs w:val="21"/>
                <w:lang w:val="en-US" w:eastAsia="zh-CN"/>
              </w:rPr>
              <w:t>1</w:t>
            </w:r>
          </w:p>
        </w:tc>
        <w:tc>
          <w:tcPr>
            <w:tcW w:w="702" w:type="pct"/>
            <w:tcBorders>
              <w:tl2br w:val="nil"/>
              <w:tr2bl w:val="nil"/>
            </w:tcBorders>
            <w:noWrap w:val="0"/>
            <w:vAlign w:val="center"/>
          </w:tcPr>
          <w:p w14:paraId="45092F6E">
            <w:pPr>
              <w:pStyle w:val="16"/>
              <w:bidi w:val="0"/>
              <w:rPr>
                <w:rFonts w:hint="default"/>
                <w:color w:val="auto"/>
                <w:sz w:val="21"/>
                <w:szCs w:val="21"/>
                <w:lang w:val="en-US" w:eastAsia="zh-CN"/>
              </w:rPr>
            </w:pPr>
            <w:r>
              <w:rPr>
                <w:rFonts w:hint="eastAsia"/>
                <w:color w:val="auto"/>
                <w:sz w:val="21"/>
                <w:szCs w:val="21"/>
                <w:lang w:val="en-US" w:eastAsia="zh-CN"/>
              </w:rPr>
              <w:t>超细格栅</w:t>
            </w:r>
          </w:p>
        </w:tc>
        <w:tc>
          <w:tcPr>
            <w:tcW w:w="432" w:type="pct"/>
            <w:tcBorders>
              <w:tl2br w:val="nil"/>
              <w:tr2bl w:val="nil"/>
            </w:tcBorders>
            <w:noWrap w:val="0"/>
            <w:vAlign w:val="center"/>
          </w:tcPr>
          <w:p w14:paraId="4F81D404">
            <w:pPr>
              <w:pStyle w:val="16"/>
              <w:bidi w:val="0"/>
              <w:rPr>
                <w:rFonts w:hint="eastAsia" w:eastAsia="宋体"/>
                <w:color w:val="auto"/>
                <w:sz w:val="21"/>
                <w:szCs w:val="21"/>
                <w:lang w:val="en-US" w:eastAsia="zh-CN"/>
              </w:rPr>
            </w:pPr>
            <w:r>
              <w:rPr>
                <w:rFonts w:hint="eastAsia"/>
                <w:color w:val="auto"/>
                <w:sz w:val="21"/>
                <w:szCs w:val="21"/>
              </w:rPr>
              <w:t>106.89006</w:t>
            </w:r>
            <w:r>
              <w:rPr>
                <w:rFonts w:hint="eastAsia"/>
                <w:color w:val="auto"/>
                <w:sz w:val="21"/>
                <w:szCs w:val="21"/>
                <w:lang w:val="en-US" w:eastAsia="zh-CN"/>
              </w:rPr>
              <w:t>5</w:t>
            </w:r>
          </w:p>
        </w:tc>
        <w:tc>
          <w:tcPr>
            <w:tcW w:w="377" w:type="pct"/>
            <w:tcBorders>
              <w:tl2br w:val="nil"/>
              <w:tr2bl w:val="nil"/>
            </w:tcBorders>
            <w:noWrap w:val="0"/>
            <w:vAlign w:val="center"/>
          </w:tcPr>
          <w:p w14:paraId="4AAD039F">
            <w:pPr>
              <w:pStyle w:val="16"/>
              <w:bidi w:val="0"/>
              <w:rPr>
                <w:rFonts w:hint="eastAsia"/>
                <w:color w:val="auto"/>
                <w:sz w:val="21"/>
                <w:szCs w:val="21"/>
                <w:lang w:eastAsia="zh-CN"/>
              </w:rPr>
            </w:pPr>
            <w:r>
              <w:rPr>
                <w:rFonts w:hint="eastAsia"/>
                <w:color w:val="auto"/>
                <w:sz w:val="21"/>
                <w:szCs w:val="21"/>
                <w:lang w:eastAsia="zh-CN"/>
              </w:rPr>
              <w:t>31.753871</w:t>
            </w:r>
          </w:p>
        </w:tc>
        <w:tc>
          <w:tcPr>
            <w:tcW w:w="301" w:type="pct"/>
            <w:tcBorders>
              <w:tl2br w:val="nil"/>
              <w:tr2bl w:val="nil"/>
            </w:tcBorders>
            <w:noWrap w:val="0"/>
            <w:vAlign w:val="center"/>
          </w:tcPr>
          <w:p w14:paraId="074A60AA">
            <w:pPr>
              <w:pStyle w:val="16"/>
              <w:bidi w:val="0"/>
              <w:rPr>
                <w:rFonts w:hint="default"/>
                <w:color w:val="auto"/>
                <w:sz w:val="21"/>
                <w:szCs w:val="21"/>
                <w:lang w:val="en-US" w:eastAsia="zh-CN"/>
              </w:rPr>
            </w:pPr>
            <w:r>
              <w:rPr>
                <w:rFonts w:hint="eastAsia"/>
                <w:color w:val="auto"/>
                <w:sz w:val="21"/>
                <w:szCs w:val="21"/>
                <w:lang w:val="en-US" w:eastAsia="zh-CN"/>
              </w:rPr>
              <w:t>326.5</w:t>
            </w:r>
          </w:p>
        </w:tc>
        <w:tc>
          <w:tcPr>
            <w:tcW w:w="336" w:type="pct"/>
            <w:tcBorders>
              <w:tl2br w:val="nil"/>
              <w:tr2bl w:val="nil"/>
            </w:tcBorders>
            <w:noWrap w:val="0"/>
            <w:vAlign w:val="center"/>
          </w:tcPr>
          <w:p w14:paraId="5BE4493A">
            <w:pPr>
              <w:pStyle w:val="16"/>
              <w:bidi w:val="0"/>
              <w:rPr>
                <w:rFonts w:hint="default"/>
                <w:color w:val="auto"/>
                <w:sz w:val="21"/>
                <w:szCs w:val="21"/>
                <w:lang w:val="en-US" w:eastAsia="zh-CN"/>
              </w:rPr>
            </w:pPr>
            <w:r>
              <w:rPr>
                <w:rFonts w:hint="eastAsia"/>
                <w:color w:val="auto"/>
                <w:sz w:val="21"/>
                <w:szCs w:val="21"/>
                <w:lang w:val="en-US" w:eastAsia="zh-CN"/>
              </w:rPr>
              <w:t>7.7</w:t>
            </w:r>
          </w:p>
        </w:tc>
        <w:tc>
          <w:tcPr>
            <w:tcW w:w="336" w:type="pct"/>
            <w:tcBorders>
              <w:tl2br w:val="nil"/>
              <w:tr2bl w:val="nil"/>
            </w:tcBorders>
            <w:noWrap w:val="0"/>
            <w:vAlign w:val="center"/>
          </w:tcPr>
          <w:p w14:paraId="05B7B9F7">
            <w:pPr>
              <w:pStyle w:val="16"/>
              <w:bidi w:val="0"/>
              <w:rPr>
                <w:rFonts w:hint="default"/>
                <w:color w:val="auto"/>
                <w:sz w:val="21"/>
                <w:szCs w:val="21"/>
                <w:lang w:val="en-US" w:eastAsia="zh-CN"/>
              </w:rPr>
            </w:pPr>
            <w:r>
              <w:rPr>
                <w:rFonts w:hint="eastAsia"/>
                <w:color w:val="auto"/>
                <w:sz w:val="21"/>
                <w:szCs w:val="21"/>
                <w:lang w:val="en-US" w:eastAsia="zh-CN"/>
              </w:rPr>
              <w:t>3.5</w:t>
            </w:r>
          </w:p>
        </w:tc>
        <w:tc>
          <w:tcPr>
            <w:tcW w:w="644" w:type="pct"/>
            <w:tcBorders>
              <w:tl2br w:val="nil"/>
              <w:tr2bl w:val="nil"/>
            </w:tcBorders>
            <w:noWrap w:val="0"/>
            <w:vAlign w:val="center"/>
          </w:tcPr>
          <w:p w14:paraId="287E68FF">
            <w:pPr>
              <w:pStyle w:val="16"/>
              <w:bidi w:val="0"/>
              <w:rPr>
                <w:rFonts w:hint="default"/>
                <w:color w:val="auto"/>
                <w:sz w:val="21"/>
                <w:szCs w:val="21"/>
                <w:lang w:val="en-US" w:eastAsia="zh-CN"/>
              </w:rPr>
            </w:pPr>
            <w:r>
              <w:rPr>
                <w:rFonts w:hint="eastAsia"/>
                <w:color w:val="auto"/>
                <w:sz w:val="21"/>
                <w:szCs w:val="21"/>
                <w:lang w:val="en-US" w:eastAsia="zh-CN"/>
              </w:rPr>
              <w:t>30</w:t>
            </w:r>
          </w:p>
        </w:tc>
        <w:tc>
          <w:tcPr>
            <w:tcW w:w="545" w:type="pct"/>
            <w:tcBorders>
              <w:tl2br w:val="nil"/>
              <w:tr2bl w:val="nil"/>
            </w:tcBorders>
            <w:noWrap w:val="0"/>
            <w:vAlign w:val="center"/>
          </w:tcPr>
          <w:p w14:paraId="334E37B9">
            <w:pPr>
              <w:pStyle w:val="16"/>
              <w:bidi w:val="0"/>
              <w:rPr>
                <w:rFonts w:hint="eastAsia" w:eastAsia="宋体"/>
                <w:color w:val="auto"/>
                <w:sz w:val="21"/>
                <w:szCs w:val="21"/>
                <w:lang w:eastAsia="zh-CN"/>
              </w:rPr>
            </w:pPr>
            <w:r>
              <w:rPr>
                <w:rFonts w:hint="eastAsia"/>
                <w:color w:val="auto"/>
                <w:sz w:val="21"/>
                <w:szCs w:val="21"/>
                <w:lang w:val="en-US" w:eastAsia="zh-CN"/>
              </w:rPr>
              <w:t>2</w:t>
            </w:r>
          </w:p>
        </w:tc>
        <w:tc>
          <w:tcPr>
            <w:tcW w:w="359" w:type="pct"/>
            <w:vMerge w:val="restart"/>
            <w:tcBorders>
              <w:tl2br w:val="nil"/>
              <w:tr2bl w:val="nil"/>
            </w:tcBorders>
            <w:noWrap w:val="0"/>
            <w:vAlign w:val="center"/>
          </w:tcPr>
          <w:p w14:paraId="23116658">
            <w:pPr>
              <w:pStyle w:val="16"/>
              <w:bidi w:val="0"/>
              <w:rPr>
                <w:color w:val="auto"/>
                <w:sz w:val="21"/>
                <w:szCs w:val="21"/>
              </w:rPr>
            </w:pPr>
            <w:r>
              <w:rPr>
                <w:color w:val="auto"/>
                <w:sz w:val="21"/>
                <w:szCs w:val="21"/>
              </w:rPr>
              <w:t>8760</w:t>
            </w:r>
          </w:p>
        </w:tc>
        <w:tc>
          <w:tcPr>
            <w:tcW w:w="237" w:type="pct"/>
            <w:vMerge w:val="restart"/>
            <w:tcBorders>
              <w:tl2br w:val="nil"/>
              <w:tr2bl w:val="nil"/>
            </w:tcBorders>
            <w:noWrap w:val="0"/>
            <w:vAlign w:val="center"/>
          </w:tcPr>
          <w:p w14:paraId="2DB19A23">
            <w:pPr>
              <w:pStyle w:val="16"/>
              <w:bidi w:val="0"/>
              <w:rPr>
                <w:color w:val="auto"/>
                <w:sz w:val="21"/>
                <w:szCs w:val="21"/>
              </w:rPr>
            </w:pPr>
            <w:r>
              <w:rPr>
                <w:color w:val="auto"/>
                <w:sz w:val="21"/>
                <w:szCs w:val="21"/>
              </w:rPr>
              <w:t>正常排放</w:t>
            </w:r>
          </w:p>
        </w:tc>
        <w:tc>
          <w:tcPr>
            <w:tcW w:w="294" w:type="pct"/>
            <w:tcBorders>
              <w:tl2br w:val="nil"/>
              <w:tr2bl w:val="nil"/>
            </w:tcBorders>
            <w:noWrap w:val="0"/>
            <w:vAlign w:val="center"/>
          </w:tcPr>
          <w:p w14:paraId="37C84571">
            <w:pPr>
              <w:pStyle w:val="16"/>
              <w:bidi w:val="0"/>
              <w:rPr>
                <w:rFonts w:hint="default" w:eastAsia="宋体"/>
                <w:color w:val="auto"/>
                <w:sz w:val="21"/>
                <w:szCs w:val="21"/>
                <w:lang w:val="en-US" w:eastAsia="zh-CN"/>
              </w:rPr>
            </w:pPr>
            <w:r>
              <w:rPr>
                <w:rFonts w:hint="eastAsia"/>
                <w:color w:val="auto"/>
                <w:sz w:val="21"/>
                <w:szCs w:val="21"/>
                <w:lang w:val="en-US" w:eastAsia="zh-CN"/>
              </w:rPr>
              <w:t>0.00045</w:t>
            </w:r>
          </w:p>
        </w:tc>
        <w:tc>
          <w:tcPr>
            <w:tcW w:w="331" w:type="pct"/>
            <w:tcBorders>
              <w:tl2br w:val="nil"/>
              <w:tr2bl w:val="nil"/>
            </w:tcBorders>
            <w:noWrap w:val="0"/>
            <w:vAlign w:val="center"/>
          </w:tcPr>
          <w:p w14:paraId="25E282E5">
            <w:pPr>
              <w:pStyle w:val="16"/>
              <w:bidi w:val="0"/>
              <w:rPr>
                <w:rFonts w:hint="default"/>
                <w:color w:val="auto"/>
                <w:sz w:val="21"/>
                <w:szCs w:val="21"/>
                <w:lang w:val="en-US" w:eastAsia="zh-CN"/>
              </w:rPr>
            </w:pPr>
            <w:r>
              <w:rPr>
                <w:rFonts w:hint="eastAsia"/>
                <w:color w:val="auto"/>
                <w:sz w:val="21"/>
                <w:szCs w:val="21"/>
                <w:lang w:val="en-US" w:eastAsia="zh-CN"/>
              </w:rPr>
              <w:t>0.000005</w:t>
            </w:r>
          </w:p>
        </w:tc>
      </w:tr>
      <w:tr w14:paraId="732432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0" w:type="pct"/>
            <w:tcBorders>
              <w:tl2br w:val="nil"/>
              <w:tr2bl w:val="nil"/>
            </w:tcBorders>
            <w:noWrap w:val="0"/>
            <w:vAlign w:val="center"/>
          </w:tcPr>
          <w:p w14:paraId="48133B43">
            <w:pPr>
              <w:pStyle w:val="16"/>
              <w:bidi w:val="0"/>
              <w:rPr>
                <w:rFonts w:hint="default"/>
                <w:color w:val="auto"/>
                <w:sz w:val="21"/>
                <w:szCs w:val="21"/>
                <w:lang w:val="en-US" w:eastAsia="zh-CN"/>
              </w:rPr>
            </w:pPr>
            <w:r>
              <w:rPr>
                <w:rFonts w:hint="eastAsia"/>
                <w:color w:val="auto"/>
                <w:sz w:val="21"/>
                <w:szCs w:val="21"/>
                <w:lang w:val="en-US" w:eastAsia="zh-CN"/>
              </w:rPr>
              <w:t>2</w:t>
            </w:r>
          </w:p>
        </w:tc>
        <w:tc>
          <w:tcPr>
            <w:tcW w:w="702" w:type="pct"/>
            <w:tcBorders>
              <w:tl2br w:val="nil"/>
              <w:tr2bl w:val="nil"/>
            </w:tcBorders>
            <w:noWrap w:val="0"/>
            <w:vAlign w:val="center"/>
          </w:tcPr>
          <w:p w14:paraId="798B0135">
            <w:pPr>
              <w:pStyle w:val="16"/>
              <w:bidi w:val="0"/>
              <w:rPr>
                <w:rFonts w:hint="default"/>
                <w:color w:val="auto"/>
                <w:sz w:val="21"/>
                <w:szCs w:val="21"/>
                <w:lang w:val="en-US" w:eastAsia="zh-CN"/>
              </w:rPr>
            </w:pPr>
            <w:r>
              <w:rPr>
                <w:rFonts w:hint="eastAsia"/>
                <w:color w:val="auto"/>
                <w:sz w:val="21"/>
                <w:szCs w:val="21"/>
                <w:lang w:val="en-US" w:eastAsia="zh-CN"/>
              </w:rPr>
              <w:t>调节池</w:t>
            </w:r>
          </w:p>
        </w:tc>
        <w:tc>
          <w:tcPr>
            <w:tcW w:w="432" w:type="pct"/>
            <w:tcBorders>
              <w:tl2br w:val="nil"/>
              <w:tr2bl w:val="nil"/>
            </w:tcBorders>
            <w:noWrap w:val="0"/>
            <w:vAlign w:val="center"/>
          </w:tcPr>
          <w:p w14:paraId="1C3D77B6">
            <w:pPr>
              <w:pStyle w:val="16"/>
              <w:bidi w:val="0"/>
              <w:rPr>
                <w:rFonts w:hint="eastAsia"/>
                <w:color w:val="auto"/>
                <w:sz w:val="21"/>
                <w:szCs w:val="21"/>
              </w:rPr>
            </w:pPr>
            <w:r>
              <w:rPr>
                <w:rFonts w:hint="eastAsia"/>
                <w:color w:val="auto"/>
                <w:sz w:val="21"/>
                <w:szCs w:val="21"/>
              </w:rPr>
              <w:t>106.890510</w:t>
            </w:r>
          </w:p>
        </w:tc>
        <w:tc>
          <w:tcPr>
            <w:tcW w:w="377" w:type="pct"/>
            <w:tcBorders>
              <w:tl2br w:val="nil"/>
              <w:tr2bl w:val="nil"/>
            </w:tcBorders>
            <w:noWrap w:val="0"/>
            <w:vAlign w:val="center"/>
          </w:tcPr>
          <w:p w14:paraId="30A0F249">
            <w:pPr>
              <w:pStyle w:val="16"/>
              <w:bidi w:val="0"/>
              <w:rPr>
                <w:rFonts w:hint="eastAsia"/>
                <w:color w:val="auto"/>
                <w:sz w:val="21"/>
                <w:szCs w:val="21"/>
              </w:rPr>
            </w:pPr>
            <w:r>
              <w:rPr>
                <w:rFonts w:hint="eastAsia"/>
                <w:color w:val="auto"/>
                <w:sz w:val="21"/>
                <w:szCs w:val="21"/>
              </w:rPr>
              <w:t>31.753254</w:t>
            </w:r>
          </w:p>
        </w:tc>
        <w:tc>
          <w:tcPr>
            <w:tcW w:w="301" w:type="pct"/>
            <w:tcBorders>
              <w:tl2br w:val="nil"/>
              <w:tr2bl w:val="nil"/>
            </w:tcBorders>
            <w:noWrap w:val="0"/>
            <w:vAlign w:val="center"/>
          </w:tcPr>
          <w:p w14:paraId="443A8405">
            <w:pPr>
              <w:pStyle w:val="16"/>
              <w:bidi w:val="0"/>
              <w:rPr>
                <w:rFonts w:hint="default"/>
                <w:color w:val="auto"/>
                <w:sz w:val="21"/>
                <w:szCs w:val="21"/>
                <w:lang w:val="en-US" w:eastAsia="zh-CN"/>
              </w:rPr>
            </w:pPr>
            <w:r>
              <w:rPr>
                <w:rFonts w:hint="eastAsia"/>
                <w:color w:val="auto"/>
                <w:sz w:val="21"/>
                <w:szCs w:val="21"/>
                <w:lang w:val="en-US" w:eastAsia="zh-CN"/>
              </w:rPr>
              <w:t>319.5</w:t>
            </w:r>
          </w:p>
        </w:tc>
        <w:tc>
          <w:tcPr>
            <w:tcW w:w="336" w:type="pct"/>
            <w:tcBorders>
              <w:tl2br w:val="nil"/>
              <w:tr2bl w:val="nil"/>
            </w:tcBorders>
            <w:noWrap w:val="0"/>
            <w:vAlign w:val="center"/>
          </w:tcPr>
          <w:p w14:paraId="33EE3063">
            <w:pPr>
              <w:pStyle w:val="16"/>
              <w:bidi w:val="0"/>
              <w:rPr>
                <w:rFonts w:hint="default"/>
                <w:color w:val="auto"/>
                <w:sz w:val="21"/>
                <w:szCs w:val="21"/>
                <w:lang w:val="en-US" w:eastAsia="zh-CN"/>
              </w:rPr>
            </w:pPr>
            <w:r>
              <w:rPr>
                <w:rFonts w:hint="eastAsia"/>
                <w:color w:val="auto"/>
                <w:sz w:val="21"/>
                <w:szCs w:val="21"/>
                <w:lang w:val="en-US" w:eastAsia="zh-CN"/>
              </w:rPr>
              <w:t>21.1</w:t>
            </w:r>
          </w:p>
        </w:tc>
        <w:tc>
          <w:tcPr>
            <w:tcW w:w="336" w:type="pct"/>
            <w:tcBorders>
              <w:tl2br w:val="nil"/>
              <w:tr2bl w:val="nil"/>
            </w:tcBorders>
            <w:noWrap w:val="0"/>
            <w:vAlign w:val="center"/>
          </w:tcPr>
          <w:p w14:paraId="2017E4F3">
            <w:pPr>
              <w:pStyle w:val="16"/>
              <w:bidi w:val="0"/>
              <w:rPr>
                <w:rFonts w:hint="default"/>
                <w:color w:val="auto"/>
                <w:sz w:val="21"/>
                <w:szCs w:val="21"/>
                <w:lang w:val="en-US" w:eastAsia="zh-CN"/>
              </w:rPr>
            </w:pPr>
            <w:r>
              <w:rPr>
                <w:rFonts w:hint="eastAsia"/>
                <w:color w:val="auto"/>
                <w:sz w:val="21"/>
                <w:szCs w:val="21"/>
                <w:lang w:val="en-US" w:eastAsia="zh-CN"/>
              </w:rPr>
              <w:t>14</w:t>
            </w:r>
          </w:p>
        </w:tc>
        <w:tc>
          <w:tcPr>
            <w:tcW w:w="644" w:type="pct"/>
            <w:tcBorders>
              <w:tl2br w:val="nil"/>
              <w:tr2bl w:val="nil"/>
            </w:tcBorders>
            <w:noWrap w:val="0"/>
            <w:vAlign w:val="center"/>
          </w:tcPr>
          <w:p w14:paraId="1C1337B1">
            <w:pPr>
              <w:pStyle w:val="16"/>
              <w:bidi w:val="0"/>
              <w:rPr>
                <w:rFonts w:hint="eastAsia"/>
                <w:color w:val="auto"/>
                <w:sz w:val="21"/>
                <w:szCs w:val="21"/>
                <w:lang w:val="en-US" w:eastAsia="zh-CN"/>
              </w:rPr>
            </w:pPr>
            <w:r>
              <w:rPr>
                <w:rFonts w:hint="eastAsia"/>
                <w:color w:val="auto"/>
                <w:sz w:val="21"/>
                <w:szCs w:val="21"/>
                <w:lang w:val="en-US" w:eastAsia="zh-CN"/>
              </w:rPr>
              <w:t>30</w:t>
            </w:r>
          </w:p>
        </w:tc>
        <w:tc>
          <w:tcPr>
            <w:tcW w:w="545" w:type="pct"/>
            <w:tcBorders>
              <w:tl2br w:val="nil"/>
              <w:tr2bl w:val="nil"/>
            </w:tcBorders>
            <w:noWrap w:val="0"/>
            <w:vAlign w:val="center"/>
          </w:tcPr>
          <w:p w14:paraId="4132B3F6">
            <w:pPr>
              <w:pStyle w:val="16"/>
              <w:bidi w:val="0"/>
              <w:rPr>
                <w:rFonts w:hint="eastAsia" w:eastAsia="宋体"/>
                <w:color w:val="auto"/>
                <w:sz w:val="21"/>
                <w:szCs w:val="21"/>
                <w:lang w:val="en-US" w:eastAsia="zh-CN"/>
              </w:rPr>
            </w:pPr>
            <w:r>
              <w:rPr>
                <w:rFonts w:hint="eastAsia"/>
                <w:color w:val="auto"/>
                <w:sz w:val="21"/>
                <w:szCs w:val="21"/>
                <w:lang w:val="en-US" w:eastAsia="zh-CN"/>
              </w:rPr>
              <w:t>0</w:t>
            </w:r>
          </w:p>
        </w:tc>
        <w:tc>
          <w:tcPr>
            <w:tcW w:w="359" w:type="pct"/>
            <w:vMerge w:val="continue"/>
            <w:tcBorders>
              <w:tl2br w:val="nil"/>
              <w:tr2bl w:val="nil"/>
            </w:tcBorders>
            <w:noWrap w:val="0"/>
            <w:vAlign w:val="center"/>
          </w:tcPr>
          <w:p w14:paraId="37755230">
            <w:pPr>
              <w:pStyle w:val="16"/>
              <w:bidi w:val="0"/>
              <w:ind w:left="0" w:leftChars="0" w:firstLine="0" w:firstLineChars="0"/>
              <w:rPr>
                <w:color w:val="auto"/>
                <w:sz w:val="21"/>
                <w:szCs w:val="21"/>
              </w:rPr>
            </w:pPr>
          </w:p>
        </w:tc>
        <w:tc>
          <w:tcPr>
            <w:tcW w:w="237" w:type="pct"/>
            <w:vMerge w:val="continue"/>
            <w:tcBorders>
              <w:tl2br w:val="nil"/>
              <w:tr2bl w:val="nil"/>
            </w:tcBorders>
            <w:noWrap w:val="0"/>
            <w:vAlign w:val="center"/>
          </w:tcPr>
          <w:p w14:paraId="6BC946FA">
            <w:pPr>
              <w:pStyle w:val="16"/>
              <w:bidi w:val="0"/>
              <w:ind w:left="0" w:leftChars="0" w:firstLine="0" w:firstLineChars="0"/>
              <w:rPr>
                <w:color w:val="auto"/>
                <w:sz w:val="21"/>
                <w:szCs w:val="21"/>
              </w:rPr>
            </w:pPr>
          </w:p>
        </w:tc>
        <w:tc>
          <w:tcPr>
            <w:tcW w:w="294" w:type="pct"/>
            <w:tcBorders>
              <w:tl2br w:val="nil"/>
              <w:tr2bl w:val="nil"/>
            </w:tcBorders>
            <w:noWrap w:val="0"/>
            <w:vAlign w:val="center"/>
          </w:tcPr>
          <w:p w14:paraId="63526D1B">
            <w:pPr>
              <w:pStyle w:val="16"/>
              <w:bidi w:val="0"/>
              <w:rPr>
                <w:rFonts w:hint="default"/>
                <w:color w:val="auto"/>
                <w:sz w:val="21"/>
                <w:szCs w:val="21"/>
                <w:lang w:val="en-US" w:eastAsia="zh-CN"/>
              </w:rPr>
            </w:pPr>
            <w:r>
              <w:rPr>
                <w:rFonts w:hint="eastAsia"/>
                <w:color w:val="auto"/>
                <w:sz w:val="21"/>
                <w:szCs w:val="21"/>
                <w:lang w:val="en-US" w:eastAsia="zh-CN"/>
              </w:rPr>
              <w:t>0.122</w:t>
            </w:r>
          </w:p>
        </w:tc>
        <w:tc>
          <w:tcPr>
            <w:tcW w:w="331" w:type="pct"/>
            <w:tcBorders>
              <w:tl2br w:val="nil"/>
              <w:tr2bl w:val="nil"/>
            </w:tcBorders>
            <w:noWrap w:val="0"/>
            <w:vAlign w:val="center"/>
          </w:tcPr>
          <w:p w14:paraId="586B3487">
            <w:pPr>
              <w:pStyle w:val="16"/>
              <w:bidi w:val="0"/>
              <w:rPr>
                <w:rFonts w:hint="default"/>
                <w:color w:val="auto"/>
                <w:sz w:val="21"/>
                <w:szCs w:val="21"/>
                <w:lang w:val="en-US" w:eastAsia="zh-CN"/>
              </w:rPr>
            </w:pPr>
            <w:r>
              <w:rPr>
                <w:rFonts w:hint="eastAsia"/>
                <w:color w:val="auto"/>
                <w:sz w:val="21"/>
                <w:szCs w:val="21"/>
                <w:lang w:val="en-US" w:eastAsia="zh-CN"/>
              </w:rPr>
              <w:t>0.000124</w:t>
            </w:r>
          </w:p>
        </w:tc>
      </w:tr>
      <w:tr w14:paraId="6694EF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0" w:type="pct"/>
            <w:tcBorders>
              <w:tl2br w:val="nil"/>
              <w:tr2bl w:val="nil"/>
            </w:tcBorders>
            <w:noWrap w:val="0"/>
            <w:vAlign w:val="center"/>
          </w:tcPr>
          <w:p w14:paraId="4F684461">
            <w:pPr>
              <w:pStyle w:val="16"/>
              <w:bidi w:val="0"/>
              <w:rPr>
                <w:rFonts w:hint="default"/>
                <w:color w:val="auto"/>
                <w:sz w:val="21"/>
                <w:szCs w:val="21"/>
                <w:lang w:val="en-US" w:eastAsia="zh-CN"/>
              </w:rPr>
            </w:pPr>
            <w:r>
              <w:rPr>
                <w:rFonts w:hint="eastAsia"/>
                <w:color w:val="auto"/>
                <w:sz w:val="21"/>
                <w:szCs w:val="21"/>
                <w:lang w:val="en-US" w:eastAsia="zh-CN"/>
              </w:rPr>
              <w:t>3</w:t>
            </w:r>
          </w:p>
        </w:tc>
        <w:tc>
          <w:tcPr>
            <w:tcW w:w="702" w:type="pct"/>
            <w:tcBorders>
              <w:tl2br w:val="nil"/>
              <w:tr2bl w:val="nil"/>
            </w:tcBorders>
            <w:noWrap w:val="0"/>
            <w:vAlign w:val="center"/>
          </w:tcPr>
          <w:p w14:paraId="5656F6C2">
            <w:pPr>
              <w:pStyle w:val="16"/>
              <w:bidi w:val="0"/>
              <w:rPr>
                <w:rFonts w:hint="default"/>
                <w:color w:val="auto"/>
                <w:sz w:val="21"/>
                <w:szCs w:val="21"/>
                <w:lang w:val="en-US" w:eastAsia="zh-CN"/>
              </w:rPr>
            </w:pPr>
            <w:r>
              <w:rPr>
                <w:rFonts w:hint="eastAsia"/>
                <w:color w:val="auto"/>
                <w:sz w:val="21"/>
                <w:szCs w:val="21"/>
                <w:lang w:val="en-US" w:eastAsia="zh-CN"/>
              </w:rPr>
              <w:t>水解酸化池</w:t>
            </w:r>
          </w:p>
        </w:tc>
        <w:tc>
          <w:tcPr>
            <w:tcW w:w="432" w:type="pct"/>
            <w:tcBorders>
              <w:tl2br w:val="nil"/>
              <w:tr2bl w:val="nil"/>
            </w:tcBorders>
            <w:noWrap w:val="0"/>
            <w:vAlign w:val="center"/>
          </w:tcPr>
          <w:p w14:paraId="795772B0">
            <w:pPr>
              <w:pStyle w:val="16"/>
              <w:bidi w:val="0"/>
              <w:rPr>
                <w:rFonts w:hint="eastAsia"/>
                <w:color w:val="auto"/>
                <w:sz w:val="21"/>
                <w:szCs w:val="21"/>
              </w:rPr>
            </w:pPr>
            <w:r>
              <w:rPr>
                <w:rFonts w:hint="eastAsia"/>
                <w:color w:val="auto"/>
                <w:sz w:val="21"/>
                <w:szCs w:val="21"/>
              </w:rPr>
              <w:t>106.890770</w:t>
            </w:r>
          </w:p>
        </w:tc>
        <w:tc>
          <w:tcPr>
            <w:tcW w:w="377" w:type="pct"/>
            <w:tcBorders>
              <w:tl2br w:val="nil"/>
              <w:tr2bl w:val="nil"/>
            </w:tcBorders>
            <w:noWrap w:val="0"/>
            <w:vAlign w:val="center"/>
          </w:tcPr>
          <w:p w14:paraId="0E7BFEF1">
            <w:pPr>
              <w:pStyle w:val="16"/>
              <w:bidi w:val="0"/>
              <w:rPr>
                <w:rFonts w:hint="eastAsia"/>
                <w:color w:val="auto"/>
                <w:sz w:val="21"/>
                <w:szCs w:val="21"/>
              </w:rPr>
            </w:pPr>
            <w:r>
              <w:rPr>
                <w:rFonts w:hint="eastAsia"/>
                <w:color w:val="auto"/>
                <w:sz w:val="21"/>
                <w:szCs w:val="21"/>
              </w:rPr>
              <w:t>31.753156</w:t>
            </w:r>
          </w:p>
        </w:tc>
        <w:tc>
          <w:tcPr>
            <w:tcW w:w="301" w:type="pct"/>
            <w:tcBorders>
              <w:tl2br w:val="nil"/>
              <w:tr2bl w:val="nil"/>
            </w:tcBorders>
            <w:noWrap w:val="0"/>
            <w:vAlign w:val="center"/>
          </w:tcPr>
          <w:p w14:paraId="684EA5DF">
            <w:pPr>
              <w:pStyle w:val="16"/>
              <w:bidi w:val="0"/>
              <w:rPr>
                <w:rFonts w:hint="default"/>
                <w:color w:val="auto"/>
                <w:sz w:val="21"/>
                <w:szCs w:val="21"/>
                <w:lang w:val="en-US" w:eastAsia="zh-CN"/>
              </w:rPr>
            </w:pPr>
            <w:r>
              <w:rPr>
                <w:rFonts w:hint="eastAsia"/>
                <w:color w:val="auto"/>
                <w:sz w:val="21"/>
                <w:szCs w:val="21"/>
                <w:lang w:val="en-US" w:eastAsia="zh-CN"/>
              </w:rPr>
              <w:t>326</w:t>
            </w:r>
          </w:p>
        </w:tc>
        <w:tc>
          <w:tcPr>
            <w:tcW w:w="336" w:type="pct"/>
            <w:tcBorders>
              <w:tl2br w:val="nil"/>
              <w:tr2bl w:val="nil"/>
            </w:tcBorders>
            <w:noWrap w:val="0"/>
            <w:vAlign w:val="center"/>
          </w:tcPr>
          <w:p w14:paraId="76F3A3E3">
            <w:pPr>
              <w:pStyle w:val="16"/>
              <w:bidi w:val="0"/>
              <w:rPr>
                <w:rFonts w:hint="default"/>
                <w:color w:val="auto"/>
                <w:sz w:val="21"/>
                <w:szCs w:val="21"/>
                <w:lang w:val="en-US" w:eastAsia="zh-CN"/>
              </w:rPr>
            </w:pPr>
            <w:r>
              <w:rPr>
                <w:rFonts w:hint="eastAsia"/>
                <w:color w:val="auto"/>
                <w:sz w:val="21"/>
                <w:szCs w:val="21"/>
                <w:lang w:val="en-US" w:eastAsia="zh-CN"/>
              </w:rPr>
              <w:t>33.2</w:t>
            </w:r>
          </w:p>
        </w:tc>
        <w:tc>
          <w:tcPr>
            <w:tcW w:w="336" w:type="pct"/>
            <w:tcBorders>
              <w:tl2br w:val="nil"/>
              <w:tr2bl w:val="nil"/>
            </w:tcBorders>
            <w:noWrap w:val="0"/>
            <w:vAlign w:val="center"/>
          </w:tcPr>
          <w:p w14:paraId="78EAD3D9">
            <w:pPr>
              <w:pStyle w:val="16"/>
              <w:bidi w:val="0"/>
              <w:rPr>
                <w:rFonts w:hint="default"/>
                <w:color w:val="auto"/>
                <w:sz w:val="21"/>
                <w:szCs w:val="21"/>
                <w:lang w:val="en-US" w:eastAsia="zh-CN"/>
              </w:rPr>
            </w:pPr>
            <w:r>
              <w:rPr>
                <w:rFonts w:hint="eastAsia"/>
                <w:color w:val="auto"/>
                <w:sz w:val="21"/>
                <w:szCs w:val="21"/>
                <w:lang w:val="en-US" w:eastAsia="zh-CN"/>
              </w:rPr>
              <w:t>8.4</w:t>
            </w:r>
          </w:p>
        </w:tc>
        <w:tc>
          <w:tcPr>
            <w:tcW w:w="644" w:type="pct"/>
            <w:tcBorders>
              <w:tl2br w:val="nil"/>
              <w:tr2bl w:val="nil"/>
            </w:tcBorders>
            <w:noWrap w:val="0"/>
            <w:vAlign w:val="center"/>
          </w:tcPr>
          <w:p w14:paraId="0D8091AE">
            <w:pPr>
              <w:pStyle w:val="16"/>
              <w:bidi w:val="0"/>
              <w:rPr>
                <w:rFonts w:hint="eastAsia"/>
                <w:color w:val="auto"/>
                <w:sz w:val="21"/>
                <w:szCs w:val="21"/>
                <w:lang w:val="en-US" w:eastAsia="zh-CN"/>
              </w:rPr>
            </w:pPr>
            <w:r>
              <w:rPr>
                <w:rFonts w:hint="eastAsia"/>
                <w:color w:val="auto"/>
                <w:sz w:val="21"/>
                <w:szCs w:val="21"/>
                <w:lang w:val="en-US" w:eastAsia="zh-CN"/>
              </w:rPr>
              <w:t>30</w:t>
            </w:r>
          </w:p>
        </w:tc>
        <w:tc>
          <w:tcPr>
            <w:tcW w:w="545" w:type="pct"/>
            <w:tcBorders>
              <w:tl2br w:val="nil"/>
              <w:tr2bl w:val="nil"/>
            </w:tcBorders>
            <w:noWrap w:val="0"/>
            <w:vAlign w:val="center"/>
          </w:tcPr>
          <w:p w14:paraId="13AE7FA0">
            <w:pPr>
              <w:pStyle w:val="16"/>
              <w:bidi w:val="0"/>
              <w:rPr>
                <w:rFonts w:hint="default" w:eastAsia="宋体"/>
                <w:color w:val="auto"/>
                <w:sz w:val="21"/>
                <w:szCs w:val="21"/>
                <w:lang w:val="en-US" w:eastAsia="zh-CN"/>
              </w:rPr>
            </w:pPr>
            <w:r>
              <w:rPr>
                <w:rFonts w:hint="eastAsia"/>
                <w:color w:val="auto"/>
                <w:sz w:val="21"/>
                <w:szCs w:val="21"/>
                <w:lang w:val="en-US" w:eastAsia="zh-CN"/>
              </w:rPr>
              <w:t>6.6</w:t>
            </w:r>
          </w:p>
        </w:tc>
        <w:tc>
          <w:tcPr>
            <w:tcW w:w="359" w:type="pct"/>
            <w:vMerge w:val="continue"/>
            <w:tcBorders>
              <w:tl2br w:val="nil"/>
              <w:tr2bl w:val="nil"/>
            </w:tcBorders>
            <w:noWrap w:val="0"/>
            <w:vAlign w:val="center"/>
          </w:tcPr>
          <w:p w14:paraId="582252F2">
            <w:pPr>
              <w:pStyle w:val="16"/>
              <w:bidi w:val="0"/>
              <w:ind w:left="0" w:leftChars="0" w:firstLine="0" w:firstLineChars="0"/>
              <w:rPr>
                <w:color w:val="auto"/>
                <w:sz w:val="21"/>
                <w:szCs w:val="21"/>
              </w:rPr>
            </w:pPr>
          </w:p>
        </w:tc>
        <w:tc>
          <w:tcPr>
            <w:tcW w:w="237" w:type="pct"/>
            <w:vMerge w:val="continue"/>
            <w:tcBorders>
              <w:tl2br w:val="nil"/>
              <w:tr2bl w:val="nil"/>
            </w:tcBorders>
            <w:noWrap w:val="0"/>
            <w:vAlign w:val="center"/>
          </w:tcPr>
          <w:p w14:paraId="351F9BCC">
            <w:pPr>
              <w:pStyle w:val="16"/>
              <w:bidi w:val="0"/>
              <w:ind w:left="0" w:leftChars="0" w:firstLine="0" w:firstLineChars="0"/>
              <w:rPr>
                <w:color w:val="auto"/>
                <w:sz w:val="21"/>
                <w:szCs w:val="21"/>
              </w:rPr>
            </w:pPr>
          </w:p>
        </w:tc>
        <w:tc>
          <w:tcPr>
            <w:tcW w:w="294" w:type="pct"/>
            <w:tcBorders>
              <w:tl2br w:val="nil"/>
              <w:tr2bl w:val="nil"/>
            </w:tcBorders>
            <w:noWrap w:val="0"/>
            <w:vAlign w:val="center"/>
          </w:tcPr>
          <w:p w14:paraId="2F3E4B71">
            <w:pPr>
              <w:pStyle w:val="16"/>
              <w:bidi w:val="0"/>
              <w:rPr>
                <w:rFonts w:hint="default"/>
                <w:color w:val="auto"/>
                <w:sz w:val="21"/>
                <w:szCs w:val="21"/>
                <w:lang w:val="en-US" w:eastAsia="zh-CN"/>
              </w:rPr>
            </w:pPr>
            <w:r>
              <w:rPr>
                <w:rFonts w:hint="eastAsia"/>
                <w:color w:val="auto"/>
                <w:sz w:val="21"/>
                <w:szCs w:val="21"/>
                <w:lang w:val="en-US" w:eastAsia="zh-CN"/>
              </w:rPr>
              <w:t>0.0046</w:t>
            </w:r>
          </w:p>
        </w:tc>
        <w:tc>
          <w:tcPr>
            <w:tcW w:w="331" w:type="pct"/>
            <w:tcBorders>
              <w:tl2br w:val="nil"/>
              <w:tr2bl w:val="nil"/>
            </w:tcBorders>
            <w:noWrap w:val="0"/>
            <w:vAlign w:val="center"/>
          </w:tcPr>
          <w:p w14:paraId="72398365">
            <w:pPr>
              <w:pStyle w:val="16"/>
              <w:bidi w:val="0"/>
              <w:rPr>
                <w:rFonts w:hint="default"/>
                <w:color w:val="auto"/>
                <w:sz w:val="21"/>
                <w:szCs w:val="21"/>
                <w:lang w:val="en-US" w:eastAsia="zh-CN"/>
              </w:rPr>
            </w:pPr>
            <w:r>
              <w:rPr>
                <w:rFonts w:hint="eastAsia"/>
                <w:color w:val="auto"/>
                <w:sz w:val="21"/>
                <w:szCs w:val="21"/>
                <w:lang w:val="en-US" w:eastAsia="zh-CN"/>
              </w:rPr>
              <w:t>0.00047</w:t>
            </w:r>
          </w:p>
        </w:tc>
      </w:tr>
      <w:tr w14:paraId="7E99AB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0" w:type="pct"/>
            <w:tcBorders>
              <w:tl2br w:val="nil"/>
              <w:tr2bl w:val="nil"/>
            </w:tcBorders>
            <w:noWrap w:val="0"/>
            <w:vAlign w:val="center"/>
          </w:tcPr>
          <w:p w14:paraId="02FF8E35">
            <w:pPr>
              <w:pStyle w:val="16"/>
              <w:bidi w:val="0"/>
              <w:rPr>
                <w:rFonts w:hint="default"/>
                <w:color w:val="auto"/>
                <w:sz w:val="21"/>
                <w:szCs w:val="21"/>
                <w:lang w:val="en-US" w:eastAsia="zh-CN"/>
              </w:rPr>
            </w:pPr>
            <w:r>
              <w:rPr>
                <w:rFonts w:hint="eastAsia"/>
                <w:color w:val="auto"/>
                <w:sz w:val="21"/>
                <w:szCs w:val="21"/>
                <w:lang w:val="en-US" w:eastAsia="zh-CN"/>
              </w:rPr>
              <w:t>4</w:t>
            </w:r>
          </w:p>
        </w:tc>
        <w:tc>
          <w:tcPr>
            <w:tcW w:w="702" w:type="pct"/>
            <w:tcBorders>
              <w:tl2br w:val="nil"/>
              <w:tr2bl w:val="nil"/>
            </w:tcBorders>
            <w:noWrap w:val="0"/>
            <w:vAlign w:val="center"/>
          </w:tcPr>
          <w:p w14:paraId="132BC689">
            <w:pPr>
              <w:pStyle w:val="16"/>
              <w:bidi w:val="0"/>
              <w:rPr>
                <w:rFonts w:hint="default"/>
                <w:color w:val="auto"/>
                <w:sz w:val="21"/>
                <w:szCs w:val="21"/>
                <w:lang w:val="en-US" w:eastAsia="zh-CN"/>
              </w:rPr>
            </w:pPr>
            <w:r>
              <w:rPr>
                <w:rFonts w:hint="eastAsia"/>
                <w:color w:val="auto"/>
                <w:sz w:val="21"/>
                <w:szCs w:val="21"/>
                <w:lang w:val="en-US" w:eastAsia="zh-CN"/>
              </w:rPr>
              <w:t>EBIS生化池</w:t>
            </w:r>
          </w:p>
        </w:tc>
        <w:tc>
          <w:tcPr>
            <w:tcW w:w="432" w:type="pct"/>
            <w:tcBorders>
              <w:tl2br w:val="nil"/>
              <w:tr2bl w:val="nil"/>
            </w:tcBorders>
            <w:noWrap w:val="0"/>
            <w:vAlign w:val="center"/>
          </w:tcPr>
          <w:p w14:paraId="3124AB2C">
            <w:pPr>
              <w:pStyle w:val="16"/>
              <w:bidi w:val="0"/>
              <w:rPr>
                <w:rFonts w:hint="eastAsia"/>
                <w:color w:val="auto"/>
                <w:sz w:val="21"/>
                <w:szCs w:val="21"/>
              </w:rPr>
            </w:pPr>
            <w:r>
              <w:rPr>
                <w:rFonts w:hint="eastAsia"/>
                <w:color w:val="auto"/>
                <w:sz w:val="21"/>
                <w:szCs w:val="21"/>
              </w:rPr>
              <w:t>106.890963</w:t>
            </w:r>
          </w:p>
        </w:tc>
        <w:tc>
          <w:tcPr>
            <w:tcW w:w="377" w:type="pct"/>
            <w:tcBorders>
              <w:tl2br w:val="nil"/>
              <w:tr2bl w:val="nil"/>
            </w:tcBorders>
            <w:noWrap w:val="0"/>
            <w:vAlign w:val="center"/>
          </w:tcPr>
          <w:p w14:paraId="4E2E3525">
            <w:pPr>
              <w:pStyle w:val="16"/>
              <w:bidi w:val="0"/>
              <w:rPr>
                <w:rFonts w:hint="eastAsia" w:eastAsia="宋体"/>
                <w:color w:val="auto"/>
                <w:sz w:val="21"/>
                <w:szCs w:val="21"/>
                <w:lang w:val="en-US" w:eastAsia="zh-CN"/>
              </w:rPr>
            </w:pPr>
            <w:r>
              <w:rPr>
                <w:rFonts w:hint="eastAsia"/>
                <w:color w:val="auto"/>
                <w:sz w:val="21"/>
                <w:szCs w:val="21"/>
              </w:rPr>
              <w:t>31.75308</w:t>
            </w:r>
            <w:r>
              <w:rPr>
                <w:rFonts w:hint="eastAsia"/>
                <w:color w:val="auto"/>
                <w:sz w:val="21"/>
                <w:szCs w:val="21"/>
                <w:lang w:val="en-US" w:eastAsia="zh-CN"/>
              </w:rPr>
              <w:t>7</w:t>
            </w:r>
          </w:p>
        </w:tc>
        <w:tc>
          <w:tcPr>
            <w:tcW w:w="301" w:type="pct"/>
            <w:tcBorders>
              <w:tl2br w:val="nil"/>
              <w:tr2bl w:val="nil"/>
            </w:tcBorders>
            <w:noWrap w:val="0"/>
            <w:vAlign w:val="center"/>
          </w:tcPr>
          <w:p w14:paraId="4F5B2ACF">
            <w:pPr>
              <w:pStyle w:val="16"/>
              <w:bidi w:val="0"/>
              <w:rPr>
                <w:rFonts w:hint="default"/>
                <w:color w:val="auto"/>
                <w:sz w:val="21"/>
                <w:szCs w:val="21"/>
                <w:lang w:val="en-US" w:eastAsia="zh-CN"/>
              </w:rPr>
            </w:pPr>
            <w:r>
              <w:rPr>
                <w:rFonts w:hint="eastAsia"/>
                <w:color w:val="auto"/>
                <w:sz w:val="21"/>
                <w:szCs w:val="21"/>
                <w:lang w:val="en-US" w:eastAsia="zh-CN"/>
              </w:rPr>
              <w:t>326</w:t>
            </w:r>
          </w:p>
        </w:tc>
        <w:tc>
          <w:tcPr>
            <w:tcW w:w="336" w:type="pct"/>
            <w:tcBorders>
              <w:tl2br w:val="nil"/>
              <w:tr2bl w:val="nil"/>
            </w:tcBorders>
            <w:noWrap w:val="0"/>
            <w:vAlign w:val="center"/>
          </w:tcPr>
          <w:p w14:paraId="0FCF952C">
            <w:pPr>
              <w:pStyle w:val="16"/>
              <w:bidi w:val="0"/>
              <w:rPr>
                <w:rFonts w:hint="default"/>
                <w:color w:val="auto"/>
                <w:sz w:val="21"/>
                <w:szCs w:val="21"/>
                <w:lang w:val="en-US" w:eastAsia="zh-CN"/>
              </w:rPr>
            </w:pPr>
            <w:r>
              <w:rPr>
                <w:rFonts w:hint="eastAsia"/>
                <w:color w:val="auto"/>
                <w:sz w:val="21"/>
                <w:szCs w:val="21"/>
                <w:lang w:val="en-US" w:eastAsia="zh-CN"/>
              </w:rPr>
              <w:t>32.7</w:t>
            </w:r>
          </w:p>
        </w:tc>
        <w:tc>
          <w:tcPr>
            <w:tcW w:w="336" w:type="pct"/>
            <w:tcBorders>
              <w:tl2br w:val="nil"/>
              <w:tr2bl w:val="nil"/>
            </w:tcBorders>
            <w:noWrap w:val="0"/>
            <w:vAlign w:val="center"/>
          </w:tcPr>
          <w:p w14:paraId="2B0B59FC">
            <w:pPr>
              <w:pStyle w:val="16"/>
              <w:bidi w:val="0"/>
              <w:rPr>
                <w:rFonts w:hint="default"/>
                <w:color w:val="auto"/>
                <w:sz w:val="21"/>
                <w:szCs w:val="21"/>
                <w:lang w:val="en-US" w:eastAsia="zh-CN"/>
              </w:rPr>
            </w:pPr>
            <w:r>
              <w:rPr>
                <w:rFonts w:hint="eastAsia"/>
                <w:color w:val="auto"/>
                <w:sz w:val="21"/>
                <w:szCs w:val="21"/>
                <w:lang w:val="en-US" w:eastAsia="zh-CN"/>
              </w:rPr>
              <w:t>20.8</w:t>
            </w:r>
          </w:p>
        </w:tc>
        <w:tc>
          <w:tcPr>
            <w:tcW w:w="644" w:type="pct"/>
            <w:tcBorders>
              <w:tl2br w:val="nil"/>
              <w:tr2bl w:val="nil"/>
            </w:tcBorders>
            <w:noWrap w:val="0"/>
            <w:vAlign w:val="center"/>
          </w:tcPr>
          <w:p w14:paraId="4E728B92">
            <w:pPr>
              <w:pStyle w:val="16"/>
              <w:bidi w:val="0"/>
              <w:rPr>
                <w:rFonts w:hint="eastAsia"/>
                <w:color w:val="auto"/>
                <w:sz w:val="21"/>
                <w:szCs w:val="21"/>
                <w:lang w:val="en-US" w:eastAsia="zh-CN"/>
              </w:rPr>
            </w:pPr>
            <w:r>
              <w:rPr>
                <w:rFonts w:hint="eastAsia"/>
                <w:color w:val="auto"/>
                <w:sz w:val="21"/>
                <w:szCs w:val="21"/>
                <w:lang w:val="en-US" w:eastAsia="zh-CN"/>
              </w:rPr>
              <w:t>30</w:t>
            </w:r>
          </w:p>
        </w:tc>
        <w:tc>
          <w:tcPr>
            <w:tcW w:w="545" w:type="pct"/>
            <w:tcBorders>
              <w:tl2br w:val="nil"/>
              <w:tr2bl w:val="nil"/>
            </w:tcBorders>
            <w:noWrap w:val="0"/>
            <w:vAlign w:val="center"/>
          </w:tcPr>
          <w:p w14:paraId="3D1DBA78">
            <w:pPr>
              <w:pStyle w:val="16"/>
              <w:bidi w:val="0"/>
              <w:rPr>
                <w:rFonts w:hint="default" w:eastAsia="宋体"/>
                <w:color w:val="auto"/>
                <w:sz w:val="21"/>
                <w:szCs w:val="21"/>
                <w:lang w:val="en-US" w:eastAsia="zh-CN"/>
              </w:rPr>
            </w:pPr>
            <w:r>
              <w:rPr>
                <w:rFonts w:hint="eastAsia"/>
                <w:color w:val="auto"/>
                <w:sz w:val="21"/>
                <w:szCs w:val="21"/>
                <w:lang w:val="en-US" w:eastAsia="zh-CN"/>
              </w:rPr>
              <w:t>6.3</w:t>
            </w:r>
          </w:p>
        </w:tc>
        <w:tc>
          <w:tcPr>
            <w:tcW w:w="359" w:type="pct"/>
            <w:vMerge w:val="continue"/>
            <w:tcBorders>
              <w:tl2br w:val="nil"/>
              <w:tr2bl w:val="nil"/>
            </w:tcBorders>
            <w:noWrap w:val="0"/>
            <w:vAlign w:val="center"/>
          </w:tcPr>
          <w:p w14:paraId="7721A1A7">
            <w:pPr>
              <w:pStyle w:val="16"/>
              <w:bidi w:val="0"/>
              <w:ind w:left="0" w:leftChars="0" w:firstLine="0" w:firstLineChars="0"/>
              <w:rPr>
                <w:color w:val="auto"/>
                <w:sz w:val="21"/>
                <w:szCs w:val="21"/>
              </w:rPr>
            </w:pPr>
          </w:p>
        </w:tc>
        <w:tc>
          <w:tcPr>
            <w:tcW w:w="237" w:type="pct"/>
            <w:vMerge w:val="continue"/>
            <w:tcBorders>
              <w:tl2br w:val="nil"/>
              <w:tr2bl w:val="nil"/>
            </w:tcBorders>
            <w:noWrap w:val="0"/>
            <w:vAlign w:val="center"/>
          </w:tcPr>
          <w:p w14:paraId="40EC71D3">
            <w:pPr>
              <w:pStyle w:val="16"/>
              <w:bidi w:val="0"/>
              <w:ind w:left="0" w:leftChars="0" w:firstLine="0" w:firstLineChars="0"/>
              <w:rPr>
                <w:color w:val="auto"/>
                <w:sz w:val="21"/>
                <w:szCs w:val="21"/>
              </w:rPr>
            </w:pPr>
          </w:p>
        </w:tc>
        <w:tc>
          <w:tcPr>
            <w:tcW w:w="294" w:type="pct"/>
            <w:tcBorders>
              <w:tl2br w:val="nil"/>
              <w:tr2bl w:val="nil"/>
            </w:tcBorders>
            <w:noWrap w:val="0"/>
            <w:vAlign w:val="center"/>
          </w:tcPr>
          <w:p w14:paraId="3BD57CBD">
            <w:pPr>
              <w:pStyle w:val="16"/>
              <w:bidi w:val="0"/>
              <w:rPr>
                <w:rFonts w:hint="default"/>
                <w:color w:val="auto"/>
                <w:sz w:val="21"/>
                <w:szCs w:val="21"/>
                <w:lang w:val="en-US" w:eastAsia="zh-CN"/>
              </w:rPr>
            </w:pPr>
            <w:r>
              <w:rPr>
                <w:rFonts w:hint="eastAsia"/>
                <w:color w:val="auto"/>
                <w:sz w:val="21"/>
                <w:szCs w:val="21"/>
                <w:lang w:val="en-US" w:eastAsia="zh-CN"/>
              </w:rPr>
              <w:t>0.0022</w:t>
            </w:r>
          </w:p>
        </w:tc>
        <w:tc>
          <w:tcPr>
            <w:tcW w:w="331" w:type="pct"/>
            <w:tcBorders>
              <w:tl2br w:val="nil"/>
              <w:tr2bl w:val="nil"/>
            </w:tcBorders>
            <w:noWrap w:val="0"/>
            <w:vAlign w:val="center"/>
          </w:tcPr>
          <w:p w14:paraId="4C50957A">
            <w:pPr>
              <w:pStyle w:val="16"/>
              <w:bidi w:val="0"/>
              <w:rPr>
                <w:rFonts w:hint="default"/>
                <w:color w:val="auto"/>
                <w:sz w:val="21"/>
                <w:szCs w:val="21"/>
                <w:lang w:val="en-US" w:eastAsia="zh-CN"/>
              </w:rPr>
            </w:pPr>
            <w:r>
              <w:rPr>
                <w:rFonts w:hint="eastAsia"/>
                <w:color w:val="auto"/>
                <w:sz w:val="21"/>
                <w:szCs w:val="21"/>
                <w:lang w:val="en-US" w:eastAsia="zh-CN"/>
              </w:rPr>
              <w:t>0.00006</w:t>
            </w:r>
          </w:p>
        </w:tc>
      </w:tr>
      <w:tr w14:paraId="71FCD3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0" w:type="pct"/>
            <w:tcBorders>
              <w:tl2br w:val="nil"/>
              <w:tr2bl w:val="nil"/>
            </w:tcBorders>
            <w:noWrap w:val="0"/>
            <w:vAlign w:val="center"/>
          </w:tcPr>
          <w:p w14:paraId="16BB8873">
            <w:pPr>
              <w:pStyle w:val="16"/>
              <w:bidi w:val="0"/>
              <w:rPr>
                <w:rFonts w:hint="default"/>
                <w:color w:val="auto"/>
                <w:sz w:val="21"/>
                <w:szCs w:val="21"/>
                <w:lang w:val="en-US" w:eastAsia="zh-CN"/>
              </w:rPr>
            </w:pPr>
            <w:r>
              <w:rPr>
                <w:rFonts w:hint="eastAsia"/>
                <w:color w:val="auto"/>
                <w:sz w:val="21"/>
                <w:szCs w:val="21"/>
                <w:lang w:val="en-US" w:eastAsia="zh-CN"/>
              </w:rPr>
              <w:t>5</w:t>
            </w:r>
          </w:p>
        </w:tc>
        <w:tc>
          <w:tcPr>
            <w:tcW w:w="702" w:type="pct"/>
            <w:tcBorders>
              <w:tl2br w:val="nil"/>
              <w:tr2bl w:val="nil"/>
            </w:tcBorders>
            <w:noWrap w:val="0"/>
            <w:vAlign w:val="center"/>
          </w:tcPr>
          <w:p w14:paraId="56C0343C">
            <w:pPr>
              <w:pStyle w:val="16"/>
              <w:bidi w:val="0"/>
              <w:rPr>
                <w:rFonts w:hint="default"/>
                <w:color w:val="auto"/>
                <w:sz w:val="21"/>
                <w:szCs w:val="21"/>
                <w:lang w:val="en-US" w:eastAsia="zh-CN"/>
              </w:rPr>
            </w:pPr>
            <w:r>
              <w:rPr>
                <w:rFonts w:hint="eastAsia"/>
                <w:color w:val="auto"/>
                <w:sz w:val="21"/>
                <w:szCs w:val="21"/>
                <w:lang w:val="en-US" w:eastAsia="zh-CN"/>
              </w:rPr>
              <w:t>磁混凝沉淀池</w:t>
            </w:r>
          </w:p>
        </w:tc>
        <w:tc>
          <w:tcPr>
            <w:tcW w:w="432" w:type="pct"/>
            <w:tcBorders>
              <w:tl2br w:val="nil"/>
              <w:tr2bl w:val="nil"/>
            </w:tcBorders>
            <w:noWrap w:val="0"/>
            <w:vAlign w:val="center"/>
          </w:tcPr>
          <w:p w14:paraId="64A161CE">
            <w:pPr>
              <w:pStyle w:val="16"/>
              <w:bidi w:val="0"/>
              <w:rPr>
                <w:rFonts w:hint="eastAsia" w:eastAsia="宋体"/>
                <w:color w:val="auto"/>
                <w:sz w:val="21"/>
                <w:szCs w:val="21"/>
                <w:lang w:val="en-US" w:eastAsia="zh-CN"/>
              </w:rPr>
            </w:pPr>
            <w:r>
              <w:rPr>
                <w:rFonts w:hint="eastAsia"/>
                <w:color w:val="auto"/>
                <w:sz w:val="21"/>
                <w:szCs w:val="21"/>
              </w:rPr>
              <w:t>106.89133</w:t>
            </w:r>
            <w:r>
              <w:rPr>
                <w:rFonts w:hint="eastAsia"/>
                <w:color w:val="auto"/>
                <w:sz w:val="21"/>
                <w:szCs w:val="21"/>
                <w:lang w:val="en-US" w:eastAsia="zh-CN"/>
              </w:rPr>
              <w:t>1</w:t>
            </w:r>
          </w:p>
        </w:tc>
        <w:tc>
          <w:tcPr>
            <w:tcW w:w="377" w:type="pct"/>
            <w:tcBorders>
              <w:tl2br w:val="nil"/>
              <w:tr2bl w:val="nil"/>
            </w:tcBorders>
            <w:noWrap w:val="0"/>
            <w:vAlign w:val="center"/>
          </w:tcPr>
          <w:p w14:paraId="5F48BE31">
            <w:pPr>
              <w:pStyle w:val="16"/>
              <w:bidi w:val="0"/>
              <w:rPr>
                <w:rFonts w:hint="eastAsia" w:eastAsia="宋体"/>
                <w:color w:val="auto"/>
                <w:sz w:val="21"/>
                <w:szCs w:val="21"/>
                <w:lang w:val="en-US" w:eastAsia="zh-CN"/>
              </w:rPr>
            </w:pPr>
            <w:r>
              <w:rPr>
                <w:rFonts w:hint="eastAsia"/>
                <w:color w:val="auto"/>
                <w:sz w:val="21"/>
                <w:szCs w:val="21"/>
              </w:rPr>
              <w:t>31.75331</w:t>
            </w:r>
            <w:r>
              <w:rPr>
                <w:rFonts w:hint="eastAsia"/>
                <w:color w:val="auto"/>
                <w:sz w:val="21"/>
                <w:szCs w:val="21"/>
                <w:lang w:val="en-US" w:eastAsia="zh-CN"/>
              </w:rPr>
              <w:t>5</w:t>
            </w:r>
          </w:p>
        </w:tc>
        <w:tc>
          <w:tcPr>
            <w:tcW w:w="301" w:type="pct"/>
            <w:tcBorders>
              <w:tl2br w:val="nil"/>
              <w:tr2bl w:val="nil"/>
            </w:tcBorders>
            <w:noWrap w:val="0"/>
            <w:vAlign w:val="center"/>
          </w:tcPr>
          <w:p w14:paraId="3D2C9B09">
            <w:pPr>
              <w:pStyle w:val="16"/>
              <w:bidi w:val="0"/>
              <w:rPr>
                <w:rFonts w:hint="default"/>
                <w:color w:val="auto"/>
                <w:sz w:val="21"/>
                <w:szCs w:val="21"/>
                <w:lang w:val="en-US" w:eastAsia="zh-CN"/>
              </w:rPr>
            </w:pPr>
            <w:r>
              <w:rPr>
                <w:rFonts w:hint="eastAsia"/>
                <w:color w:val="auto"/>
                <w:sz w:val="21"/>
                <w:szCs w:val="21"/>
                <w:lang w:val="en-US" w:eastAsia="zh-CN"/>
              </w:rPr>
              <w:t>326.5</w:t>
            </w:r>
          </w:p>
        </w:tc>
        <w:tc>
          <w:tcPr>
            <w:tcW w:w="336" w:type="pct"/>
            <w:tcBorders>
              <w:tl2br w:val="nil"/>
              <w:tr2bl w:val="nil"/>
            </w:tcBorders>
            <w:noWrap w:val="0"/>
            <w:vAlign w:val="center"/>
          </w:tcPr>
          <w:p w14:paraId="30BA7331">
            <w:pPr>
              <w:pStyle w:val="16"/>
              <w:bidi w:val="0"/>
              <w:rPr>
                <w:rFonts w:hint="default"/>
                <w:color w:val="auto"/>
                <w:sz w:val="21"/>
                <w:szCs w:val="21"/>
                <w:lang w:val="en-US" w:eastAsia="zh-CN"/>
              </w:rPr>
            </w:pPr>
            <w:r>
              <w:rPr>
                <w:rFonts w:hint="eastAsia"/>
                <w:color w:val="auto"/>
                <w:sz w:val="21"/>
                <w:szCs w:val="21"/>
                <w:lang w:val="en-US" w:eastAsia="zh-CN"/>
              </w:rPr>
              <w:t>19.2</w:t>
            </w:r>
          </w:p>
        </w:tc>
        <w:tc>
          <w:tcPr>
            <w:tcW w:w="336" w:type="pct"/>
            <w:tcBorders>
              <w:tl2br w:val="nil"/>
              <w:tr2bl w:val="nil"/>
            </w:tcBorders>
            <w:noWrap w:val="0"/>
            <w:vAlign w:val="center"/>
          </w:tcPr>
          <w:p w14:paraId="2D0F1C28">
            <w:pPr>
              <w:pStyle w:val="16"/>
              <w:bidi w:val="0"/>
              <w:rPr>
                <w:rFonts w:hint="default"/>
                <w:color w:val="auto"/>
                <w:sz w:val="21"/>
                <w:szCs w:val="21"/>
                <w:lang w:val="en-US" w:eastAsia="zh-CN"/>
              </w:rPr>
            </w:pPr>
            <w:r>
              <w:rPr>
                <w:rFonts w:hint="eastAsia"/>
                <w:color w:val="auto"/>
                <w:sz w:val="21"/>
                <w:szCs w:val="21"/>
                <w:lang w:val="en-US" w:eastAsia="zh-CN"/>
              </w:rPr>
              <w:t>12</w:t>
            </w:r>
          </w:p>
        </w:tc>
        <w:tc>
          <w:tcPr>
            <w:tcW w:w="644" w:type="pct"/>
            <w:tcBorders>
              <w:tl2br w:val="nil"/>
              <w:tr2bl w:val="nil"/>
            </w:tcBorders>
            <w:noWrap w:val="0"/>
            <w:vAlign w:val="center"/>
          </w:tcPr>
          <w:p w14:paraId="054B6B9E">
            <w:pPr>
              <w:pStyle w:val="16"/>
              <w:bidi w:val="0"/>
              <w:rPr>
                <w:rFonts w:hint="eastAsia"/>
                <w:color w:val="auto"/>
                <w:sz w:val="21"/>
                <w:szCs w:val="21"/>
                <w:lang w:val="en-US" w:eastAsia="zh-CN"/>
              </w:rPr>
            </w:pPr>
            <w:r>
              <w:rPr>
                <w:rFonts w:hint="eastAsia"/>
                <w:color w:val="auto"/>
                <w:sz w:val="21"/>
                <w:szCs w:val="21"/>
                <w:lang w:val="en-US" w:eastAsia="zh-CN"/>
              </w:rPr>
              <w:t>30</w:t>
            </w:r>
          </w:p>
        </w:tc>
        <w:tc>
          <w:tcPr>
            <w:tcW w:w="545" w:type="pct"/>
            <w:tcBorders>
              <w:tl2br w:val="nil"/>
              <w:tr2bl w:val="nil"/>
            </w:tcBorders>
            <w:noWrap w:val="0"/>
            <w:vAlign w:val="center"/>
          </w:tcPr>
          <w:p w14:paraId="75482A80">
            <w:pPr>
              <w:pStyle w:val="16"/>
              <w:bidi w:val="0"/>
              <w:rPr>
                <w:rFonts w:hint="default" w:eastAsia="宋体"/>
                <w:color w:val="auto"/>
                <w:sz w:val="21"/>
                <w:szCs w:val="21"/>
                <w:lang w:val="en-US" w:eastAsia="zh-CN"/>
              </w:rPr>
            </w:pPr>
            <w:r>
              <w:rPr>
                <w:rFonts w:hint="eastAsia"/>
                <w:color w:val="auto"/>
                <w:sz w:val="21"/>
                <w:szCs w:val="21"/>
                <w:lang w:val="en-US" w:eastAsia="zh-CN"/>
              </w:rPr>
              <w:t>3.3</w:t>
            </w:r>
          </w:p>
        </w:tc>
        <w:tc>
          <w:tcPr>
            <w:tcW w:w="359" w:type="pct"/>
            <w:vMerge w:val="continue"/>
            <w:tcBorders>
              <w:tl2br w:val="nil"/>
              <w:tr2bl w:val="nil"/>
            </w:tcBorders>
            <w:noWrap w:val="0"/>
            <w:vAlign w:val="center"/>
          </w:tcPr>
          <w:p w14:paraId="4DF574A7">
            <w:pPr>
              <w:pStyle w:val="16"/>
              <w:bidi w:val="0"/>
              <w:ind w:left="0" w:leftChars="0" w:firstLine="0" w:firstLineChars="0"/>
              <w:rPr>
                <w:color w:val="auto"/>
                <w:sz w:val="21"/>
                <w:szCs w:val="21"/>
              </w:rPr>
            </w:pPr>
          </w:p>
        </w:tc>
        <w:tc>
          <w:tcPr>
            <w:tcW w:w="237" w:type="pct"/>
            <w:vMerge w:val="continue"/>
            <w:tcBorders>
              <w:tl2br w:val="nil"/>
              <w:tr2bl w:val="nil"/>
            </w:tcBorders>
            <w:noWrap w:val="0"/>
            <w:vAlign w:val="center"/>
          </w:tcPr>
          <w:p w14:paraId="10FA8B99">
            <w:pPr>
              <w:pStyle w:val="16"/>
              <w:bidi w:val="0"/>
              <w:ind w:left="0" w:leftChars="0" w:firstLine="0" w:firstLineChars="0"/>
              <w:rPr>
                <w:color w:val="auto"/>
                <w:sz w:val="21"/>
                <w:szCs w:val="21"/>
              </w:rPr>
            </w:pPr>
          </w:p>
        </w:tc>
        <w:tc>
          <w:tcPr>
            <w:tcW w:w="294" w:type="pct"/>
            <w:tcBorders>
              <w:tl2br w:val="nil"/>
              <w:tr2bl w:val="nil"/>
            </w:tcBorders>
            <w:noWrap w:val="0"/>
            <w:vAlign w:val="center"/>
          </w:tcPr>
          <w:p w14:paraId="1E60D092">
            <w:pPr>
              <w:pStyle w:val="16"/>
              <w:bidi w:val="0"/>
              <w:rPr>
                <w:rFonts w:hint="default"/>
                <w:color w:val="auto"/>
                <w:sz w:val="21"/>
                <w:szCs w:val="21"/>
                <w:lang w:val="en-US" w:eastAsia="zh-CN"/>
              </w:rPr>
            </w:pPr>
            <w:r>
              <w:rPr>
                <w:rFonts w:hint="eastAsia"/>
                <w:color w:val="auto"/>
                <w:sz w:val="21"/>
                <w:szCs w:val="21"/>
                <w:lang w:val="en-US" w:eastAsia="zh-CN"/>
              </w:rPr>
              <w:t>0.0035</w:t>
            </w:r>
          </w:p>
        </w:tc>
        <w:tc>
          <w:tcPr>
            <w:tcW w:w="331" w:type="pct"/>
            <w:tcBorders>
              <w:tl2br w:val="nil"/>
              <w:tr2bl w:val="nil"/>
            </w:tcBorders>
            <w:noWrap w:val="0"/>
            <w:vAlign w:val="center"/>
          </w:tcPr>
          <w:p w14:paraId="39336629">
            <w:pPr>
              <w:pStyle w:val="16"/>
              <w:bidi w:val="0"/>
              <w:rPr>
                <w:rFonts w:hint="default"/>
                <w:color w:val="auto"/>
                <w:sz w:val="21"/>
                <w:szCs w:val="21"/>
                <w:lang w:val="en-US" w:eastAsia="zh-CN"/>
              </w:rPr>
            </w:pPr>
            <w:r>
              <w:rPr>
                <w:rFonts w:hint="eastAsia"/>
                <w:color w:val="auto"/>
                <w:sz w:val="21"/>
                <w:szCs w:val="21"/>
                <w:lang w:val="en-US" w:eastAsia="zh-CN"/>
              </w:rPr>
              <w:t>0.0001</w:t>
            </w:r>
          </w:p>
        </w:tc>
      </w:tr>
      <w:tr w14:paraId="033D56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0" w:type="pct"/>
            <w:tcBorders>
              <w:tl2br w:val="nil"/>
              <w:tr2bl w:val="nil"/>
            </w:tcBorders>
            <w:noWrap w:val="0"/>
            <w:vAlign w:val="center"/>
          </w:tcPr>
          <w:p w14:paraId="1B50481B">
            <w:pPr>
              <w:pStyle w:val="16"/>
              <w:bidi w:val="0"/>
              <w:rPr>
                <w:rFonts w:hint="default"/>
                <w:color w:val="auto"/>
                <w:sz w:val="21"/>
                <w:szCs w:val="21"/>
                <w:lang w:val="en-US" w:eastAsia="zh-CN"/>
              </w:rPr>
            </w:pPr>
            <w:r>
              <w:rPr>
                <w:rFonts w:hint="eastAsia"/>
                <w:color w:val="auto"/>
                <w:sz w:val="21"/>
                <w:szCs w:val="21"/>
                <w:lang w:val="en-US" w:eastAsia="zh-CN"/>
              </w:rPr>
              <w:t>6</w:t>
            </w:r>
          </w:p>
        </w:tc>
        <w:tc>
          <w:tcPr>
            <w:tcW w:w="702" w:type="pct"/>
            <w:tcBorders>
              <w:tl2br w:val="nil"/>
              <w:tr2bl w:val="nil"/>
            </w:tcBorders>
            <w:noWrap w:val="0"/>
            <w:vAlign w:val="center"/>
          </w:tcPr>
          <w:p w14:paraId="541F4884">
            <w:pPr>
              <w:pStyle w:val="16"/>
              <w:bidi w:val="0"/>
              <w:rPr>
                <w:rFonts w:hint="default"/>
                <w:color w:val="auto"/>
                <w:sz w:val="21"/>
                <w:szCs w:val="21"/>
                <w:lang w:val="en-US" w:eastAsia="zh-CN"/>
              </w:rPr>
            </w:pPr>
            <w:r>
              <w:rPr>
                <w:rFonts w:hint="eastAsia"/>
                <w:color w:val="auto"/>
                <w:sz w:val="21"/>
                <w:szCs w:val="21"/>
                <w:lang w:val="en-US" w:eastAsia="zh-CN"/>
              </w:rPr>
              <w:t>反硝化深床滤池</w:t>
            </w:r>
          </w:p>
        </w:tc>
        <w:tc>
          <w:tcPr>
            <w:tcW w:w="432" w:type="pct"/>
            <w:tcBorders>
              <w:tl2br w:val="nil"/>
              <w:tr2bl w:val="nil"/>
            </w:tcBorders>
            <w:noWrap w:val="0"/>
            <w:vAlign w:val="center"/>
          </w:tcPr>
          <w:p w14:paraId="215B621B">
            <w:pPr>
              <w:pStyle w:val="16"/>
              <w:bidi w:val="0"/>
              <w:rPr>
                <w:rFonts w:hint="eastAsia"/>
                <w:color w:val="auto"/>
                <w:sz w:val="21"/>
                <w:szCs w:val="21"/>
              </w:rPr>
            </w:pPr>
            <w:r>
              <w:rPr>
                <w:rFonts w:hint="eastAsia"/>
                <w:color w:val="auto"/>
                <w:sz w:val="21"/>
                <w:szCs w:val="21"/>
              </w:rPr>
              <w:t>106.890841</w:t>
            </w:r>
          </w:p>
        </w:tc>
        <w:tc>
          <w:tcPr>
            <w:tcW w:w="377" w:type="pct"/>
            <w:tcBorders>
              <w:tl2br w:val="nil"/>
              <w:tr2bl w:val="nil"/>
            </w:tcBorders>
            <w:noWrap w:val="0"/>
            <w:vAlign w:val="center"/>
          </w:tcPr>
          <w:p w14:paraId="1AC741A4">
            <w:pPr>
              <w:pStyle w:val="16"/>
              <w:bidi w:val="0"/>
              <w:rPr>
                <w:rFonts w:hint="eastAsia"/>
                <w:color w:val="auto"/>
                <w:sz w:val="21"/>
                <w:szCs w:val="21"/>
              </w:rPr>
            </w:pPr>
            <w:r>
              <w:rPr>
                <w:rFonts w:hint="eastAsia"/>
                <w:color w:val="auto"/>
                <w:sz w:val="21"/>
                <w:szCs w:val="21"/>
              </w:rPr>
              <w:t>31.752775</w:t>
            </w:r>
          </w:p>
        </w:tc>
        <w:tc>
          <w:tcPr>
            <w:tcW w:w="301" w:type="pct"/>
            <w:tcBorders>
              <w:tl2br w:val="nil"/>
              <w:tr2bl w:val="nil"/>
            </w:tcBorders>
            <w:noWrap w:val="0"/>
            <w:vAlign w:val="center"/>
          </w:tcPr>
          <w:p w14:paraId="0529ABCD">
            <w:pPr>
              <w:pStyle w:val="16"/>
              <w:bidi w:val="0"/>
              <w:rPr>
                <w:rFonts w:hint="default"/>
                <w:color w:val="auto"/>
                <w:sz w:val="21"/>
                <w:szCs w:val="21"/>
                <w:lang w:val="en-US" w:eastAsia="zh-CN"/>
              </w:rPr>
            </w:pPr>
            <w:r>
              <w:rPr>
                <w:rFonts w:hint="eastAsia"/>
                <w:color w:val="auto"/>
                <w:sz w:val="21"/>
                <w:szCs w:val="21"/>
                <w:lang w:val="en-US" w:eastAsia="zh-CN"/>
              </w:rPr>
              <w:t>323.5</w:t>
            </w:r>
          </w:p>
        </w:tc>
        <w:tc>
          <w:tcPr>
            <w:tcW w:w="336" w:type="pct"/>
            <w:tcBorders>
              <w:tl2br w:val="nil"/>
              <w:tr2bl w:val="nil"/>
            </w:tcBorders>
            <w:noWrap w:val="0"/>
            <w:vAlign w:val="center"/>
          </w:tcPr>
          <w:p w14:paraId="70854566">
            <w:pPr>
              <w:pStyle w:val="16"/>
              <w:bidi w:val="0"/>
              <w:rPr>
                <w:rFonts w:hint="default"/>
                <w:color w:val="auto"/>
                <w:sz w:val="21"/>
                <w:szCs w:val="21"/>
                <w:lang w:val="en-US" w:eastAsia="zh-CN"/>
              </w:rPr>
            </w:pPr>
            <w:r>
              <w:rPr>
                <w:rFonts w:hint="eastAsia"/>
                <w:color w:val="auto"/>
                <w:sz w:val="21"/>
                <w:szCs w:val="21"/>
                <w:lang w:val="en-US" w:eastAsia="zh-CN"/>
              </w:rPr>
              <w:t>21.9</w:t>
            </w:r>
          </w:p>
        </w:tc>
        <w:tc>
          <w:tcPr>
            <w:tcW w:w="336" w:type="pct"/>
            <w:tcBorders>
              <w:tl2br w:val="nil"/>
              <w:tr2bl w:val="nil"/>
            </w:tcBorders>
            <w:noWrap w:val="0"/>
            <w:vAlign w:val="center"/>
          </w:tcPr>
          <w:p w14:paraId="23BA859B">
            <w:pPr>
              <w:pStyle w:val="16"/>
              <w:bidi w:val="0"/>
              <w:rPr>
                <w:rFonts w:hint="default"/>
                <w:color w:val="auto"/>
                <w:sz w:val="21"/>
                <w:szCs w:val="21"/>
                <w:lang w:val="en-US" w:eastAsia="zh-CN"/>
              </w:rPr>
            </w:pPr>
            <w:r>
              <w:rPr>
                <w:rFonts w:hint="eastAsia"/>
                <w:color w:val="auto"/>
                <w:sz w:val="21"/>
                <w:szCs w:val="21"/>
                <w:lang w:val="en-US" w:eastAsia="zh-CN"/>
              </w:rPr>
              <w:t>14.6</w:t>
            </w:r>
          </w:p>
        </w:tc>
        <w:tc>
          <w:tcPr>
            <w:tcW w:w="644" w:type="pct"/>
            <w:tcBorders>
              <w:tl2br w:val="nil"/>
              <w:tr2bl w:val="nil"/>
            </w:tcBorders>
            <w:noWrap w:val="0"/>
            <w:vAlign w:val="center"/>
          </w:tcPr>
          <w:p w14:paraId="714B3701">
            <w:pPr>
              <w:pStyle w:val="16"/>
              <w:bidi w:val="0"/>
              <w:rPr>
                <w:rFonts w:hint="eastAsia"/>
                <w:color w:val="auto"/>
                <w:sz w:val="21"/>
                <w:szCs w:val="21"/>
                <w:lang w:val="en-US" w:eastAsia="zh-CN"/>
              </w:rPr>
            </w:pPr>
            <w:r>
              <w:rPr>
                <w:rFonts w:hint="eastAsia"/>
                <w:color w:val="auto"/>
                <w:sz w:val="21"/>
                <w:szCs w:val="21"/>
                <w:lang w:val="en-US" w:eastAsia="zh-CN"/>
              </w:rPr>
              <w:t>30</w:t>
            </w:r>
          </w:p>
        </w:tc>
        <w:tc>
          <w:tcPr>
            <w:tcW w:w="545" w:type="pct"/>
            <w:tcBorders>
              <w:tl2br w:val="nil"/>
              <w:tr2bl w:val="nil"/>
            </w:tcBorders>
            <w:noWrap w:val="0"/>
            <w:vAlign w:val="center"/>
          </w:tcPr>
          <w:p w14:paraId="3C194169">
            <w:pPr>
              <w:pStyle w:val="16"/>
              <w:bidi w:val="0"/>
              <w:rPr>
                <w:rFonts w:hint="eastAsia" w:eastAsia="宋体"/>
                <w:color w:val="auto"/>
                <w:sz w:val="21"/>
                <w:szCs w:val="21"/>
                <w:lang w:val="en-US" w:eastAsia="zh-CN"/>
              </w:rPr>
            </w:pPr>
            <w:r>
              <w:rPr>
                <w:rFonts w:hint="eastAsia"/>
                <w:color w:val="auto"/>
                <w:sz w:val="21"/>
                <w:szCs w:val="21"/>
                <w:lang w:val="en-US" w:eastAsia="zh-CN"/>
              </w:rPr>
              <w:t>3</w:t>
            </w:r>
          </w:p>
        </w:tc>
        <w:tc>
          <w:tcPr>
            <w:tcW w:w="359" w:type="pct"/>
            <w:vMerge w:val="continue"/>
            <w:tcBorders>
              <w:tl2br w:val="nil"/>
              <w:tr2bl w:val="nil"/>
            </w:tcBorders>
            <w:noWrap w:val="0"/>
            <w:vAlign w:val="center"/>
          </w:tcPr>
          <w:p w14:paraId="3FDEA374">
            <w:pPr>
              <w:pStyle w:val="16"/>
              <w:bidi w:val="0"/>
              <w:ind w:left="0" w:leftChars="0" w:firstLine="0" w:firstLineChars="0"/>
              <w:rPr>
                <w:color w:val="auto"/>
                <w:sz w:val="21"/>
                <w:szCs w:val="21"/>
              </w:rPr>
            </w:pPr>
          </w:p>
        </w:tc>
        <w:tc>
          <w:tcPr>
            <w:tcW w:w="237" w:type="pct"/>
            <w:vMerge w:val="continue"/>
            <w:tcBorders>
              <w:tl2br w:val="nil"/>
              <w:tr2bl w:val="nil"/>
            </w:tcBorders>
            <w:noWrap w:val="0"/>
            <w:vAlign w:val="center"/>
          </w:tcPr>
          <w:p w14:paraId="0BCA66A5">
            <w:pPr>
              <w:pStyle w:val="16"/>
              <w:bidi w:val="0"/>
              <w:ind w:left="0" w:leftChars="0" w:firstLine="0" w:firstLineChars="0"/>
              <w:rPr>
                <w:color w:val="auto"/>
                <w:sz w:val="21"/>
                <w:szCs w:val="21"/>
              </w:rPr>
            </w:pPr>
          </w:p>
        </w:tc>
        <w:tc>
          <w:tcPr>
            <w:tcW w:w="294" w:type="pct"/>
            <w:tcBorders>
              <w:tl2br w:val="nil"/>
              <w:tr2bl w:val="nil"/>
            </w:tcBorders>
            <w:noWrap w:val="0"/>
            <w:vAlign w:val="center"/>
          </w:tcPr>
          <w:p w14:paraId="0DC63BBA">
            <w:pPr>
              <w:pStyle w:val="16"/>
              <w:bidi w:val="0"/>
              <w:rPr>
                <w:rFonts w:hint="default"/>
                <w:color w:val="auto"/>
                <w:sz w:val="21"/>
                <w:szCs w:val="21"/>
                <w:lang w:val="en-US" w:eastAsia="zh-CN"/>
              </w:rPr>
            </w:pPr>
            <w:r>
              <w:rPr>
                <w:rFonts w:hint="eastAsia"/>
                <w:color w:val="auto"/>
                <w:sz w:val="21"/>
                <w:szCs w:val="21"/>
                <w:lang w:val="en-US" w:eastAsia="zh-CN"/>
              </w:rPr>
              <w:t>0.001</w:t>
            </w:r>
          </w:p>
        </w:tc>
        <w:tc>
          <w:tcPr>
            <w:tcW w:w="331" w:type="pct"/>
            <w:tcBorders>
              <w:tl2br w:val="nil"/>
              <w:tr2bl w:val="nil"/>
            </w:tcBorders>
            <w:noWrap w:val="0"/>
            <w:vAlign w:val="center"/>
          </w:tcPr>
          <w:p w14:paraId="757E9C19">
            <w:pPr>
              <w:pStyle w:val="16"/>
              <w:bidi w:val="0"/>
              <w:rPr>
                <w:rFonts w:hint="default"/>
                <w:color w:val="auto"/>
                <w:sz w:val="21"/>
                <w:szCs w:val="21"/>
                <w:lang w:val="en-US" w:eastAsia="zh-CN"/>
              </w:rPr>
            </w:pPr>
            <w:r>
              <w:rPr>
                <w:rFonts w:hint="eastAsia"/>
                <w:color w:val="auto"/>
                <w:sz w:val="21"/>
                <w:szCs w:val="21"/>
                <w:lang w:val="en-US" w:eastAsia="zh-CN"/>
              </w:rPr>
              <w:t>0.00003</w:t>
            </w:r>
          </w:p>
        </w:tc>
      </w:tr>
      <w:tr w14:paraId="5497E2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0" w:type="pct"/>
            <w:tcBorders>
              <w:tl2br w:val="nil"/>
              <w:tr2bl w:val="nil"/>
            </w:tcBorders>
            <w:noWrap w:val="0"/>
            <w:vAlign w:val="center"/>
          </w:tcPr>
          <w:p w14:paraId="6826A86E">
            <w:pPr>
              <w:pStyle w:val="16"/>
              <w:bidi w:val="0"/>
              <w:rPr>
                <w:rFonts w:hint="default"/>
                <w:color w:val="auto"/>
                <w:sz w:val="21"/>
                <w:szCs w:val="21"/>
                <w:lang w:val="en-US" w:eastAsia="zh-CN"/>
              </w:rPr>
            </w:pPr>
            <w:r>
              <w:rPr>
                <w:rFonts w:hint="eastAsia"/>
                <w:color w:val="auto"/>
                <w:sz w:val="21"/>
                <w:szCs w:val="21"/>
                <w:lang w:val="en-US" w:eastAsia="zh-CN"/>
              </w:rPr>
              <w:t>7</w:t>
            </w:r>
          </w:p>
        </w:tc>
        <w:tc>
          <w:tcPr>
            <w:tcW w:w="702" w:type="pct"/>
            <w:tcBorders>
              <w:tl2br w:val="nil"/>
              <w:tr2bl w:val="nil"/>
            </w:tcBorders>
            <w:noWrap w:val="0"/>
            <w:vAlign w:val="center"/>
          </w:tcPr>
          <w:p w14:paraId="7063B6A5">
            <w:pPr>
              <w:pStyle w:val="16"/>
              <w:bidi w:val="0"/>
              <w:rPr>
                <w:rFonts w:hint="default"/>
                <w:color w:val="auto"/>
                <w:sz w:val="21"/>
                <w:szCs w:val="21"/>
                <w:lang w:val="en-US" w:eastAsia="zh-CN"/>
              </w:rPr>
            </w:pPr>
            <w:r>
              <w:rPr>
                <w:rFonts w:hint="eastAsia"/>
                <w:color w:val="auto"/>
                <w:sz w:val="21"/>
                <w:szCs w:val="21"/>
                <w:lang w:val="en-US" w:eastAsia="zh-CN"/>
              </w:rPr>
              <w:t>高级氧化深度处理</w:t>
            </w:r>
          </w:p>
        </w:tc>
        <w:tc>
          <w:tcPr>
            <w:tcW w:w="432" w:type="pct"/>
            <w:tcBorders>
              <w:tl2br w:val="nil"/>
              <w:tr2bl w:val="nil"/>
            </w:tcBorders>
            <w:noWrap w:val="0"/>
            <w:vAlign w:val="center"/>
          </w:tcPr>
          <w:p w14:paraId="4C7C9950">
            <w:pPr>
              <w:pStyle w:val="16"/>
              <w:bidi w:val="0"/>
              <w:rPr>
                <w:rFonts w:hint="eastAsia" w:eastAsia="宋体"/>
                <w:color w:val="auto"/>
                <w:sz w:val="21"/>
                <w:szCs w:val="21"/>
                <w:lang w:val="en-US" w:eastAsia="zh-CN"/>
              </w:rPr>
            </w:pPr>
            <w:r>
              <w:rPr>
                <w:rFonts w:hint="eastAsia"/>
                <w:color w:val="auto"/>
                <w:sz w:val="21"/>
                <w:szCs w:val="21"/>
              </w:rPr>
              <w:t>106.89071</w:t>
            </w:r>
            <w:r>
              <w:rPr>
                <w:rFonts w:hint="eastAsia"/>
                <w:color w:val="auto"/>
                <w:sz w:val="21"/>
                <w:szCs w:val="21"/>
                <w:lang w:val="en-US" w:eastAsia="zh-CN"/>
              </w:rPr>
              <w:t>3</w:t>
            </w:r>
          </w:p>
        </w:tc>
        <w:tc>
          <w:tcPr>
            <w:tcW w:w="377" w:type="pct"/>
            <w:tcBorders>
              <w:tl2br w:val="nil"/>
              <w:tr2bl w:val="nil"/>
            </w:tcBorders>
            <w:noWrap w:val="0"/>
            <w:vAlign w:val="center"/>
          </w:tcPr>
          <w:p w14:paraId="6B01AFC2">
            <w:pPr>
              <w:pStyle w:val="16"/>
              <w:bidi w:val="0"/>
              <w:rPr>
                <w:rFonts w:hint="eastAsia" w:eastAsia="宋体"/>
                <w:color w:val="auto"/>
                <w:sz w:val="21"/>
                <w:szCs w:val="21"/>
                <w:lang w:val="en-US" w:eastAsia="zh-CN"/>
              </w:rPr>
            </w:pPr>
            <w:r>
              <w:rPr>
                <w:rFonts w:hint="eastAsia"/>
                <w:color w:val="auto"/>
                <w:sz w:val="21"/>
                <w:szCs w:val="21"/>
              </w:rPr>
              <w:t>31.75285</w:t>
            </w:r>
            <w:r>
              <w:rPr>
                <w:rFonts w:hint="eastAsia"/>
                <w:color w:val="auto"/>
                <w:sz w:val="21"/>
                <w:szCs w:val="21"/>
                <w:lang w:val="en-US" w:eastAsia="zh-CN"/>
              </w:rPr>
              <w:t>6</w:t>
            </w:r>
          </w:p>
        </w:tc>
        <w:tc>
          <w:tcPr>
            <w:tcW w:w="301" w:type="pct"/>
            <w:tcBorders>
              <w:tl2br w:val="nil"/>
              <w:tr2bl w:val="nil"/>
            </w:tcBorders>
            <w:noWrap w:val="0"/>
            <w:vAlign w:val="center"/>
          </w:tcPr>
          <w:p w14:paraId="1DB2B64F">
            <w:pPr>
              <w:pStyle w:val="16"/>
              <w:bidi w:val="0"/>
              <w:rPr>
                <w:rFonts w:hint="default"/>
                <w:color w:val="auto"/>
                <w:sz w:val="21"/>
                <w:szCs w:val="21"/>
                <w:lang w:val="en-US" w:eastAsia="zh-CN"/>
              </w:rPr>
            </w:pPr>
            <w:r>
              <w:rPr>
                <w:rFonts w:hint="eastAsia"/>
                <w:color w:val="auto"/>
                <w:sz w:val="21"/>
                <w:szCs w:val="21"/>
                <w:lang w:val="en-US" w:eastAsia="zh-CN"/>
              </w:rPr>
              <w:t>323.5</w:t>
            </w:r>
          </w:p>
        </w:tc>
        <w:tc>
          <w:tcPr>
            <w:tcW w:w="336" w:type="pct"/>
            <w:tcBorders>
              <w:tl2br w:val="nil"/>
              <w:tr2bl w:val="nil"/>
            </w:tcBorders>
            <w:noWrap w:val="0"/>
            <w:vAlign w:val="center"/>
          </w:tcPr>
          <w:p w14:paraId="34E130FA">
            <w:pPr>
              <w:pStyle w:val="16"/>
              <w:bidi w:val="0"/>
              <w:rPr>
                <w:rFonts w:hint="default"/>
                <w:color w:val="auto"/>
                <w:sz w:val="21"/>
                <w:szCs w:val="21"/>
                <w:lang w:val="en-US" w:eastAsia="zh-CN"/>
              </w:rPr>
            </w:pPr>
            <w:r>
              <w:rPr>
                <w:rFonts w:hint="eastAsia"/>
                <w:color w:val="auto"/>
                <w:sz w:val="21"/>
                <w:szCs w:val="21"/>
                <w:lang w:val="en-US" w:eastAsia="zh-CN"/>
              </w:rPr>
              <w:t>10</w:t>
            </w:r>
          </w:p>
        </w:tc>
        <w:tc>
          <w:tcPr>
            <w:tcW w:w="336" w:type="pct"/>
            <w:tcBorders>
              <w:tl2br w:val="nil"/>
              <w:tr2bl w:val="nil"/>
            </w:tcBorders>
            <w:noWrap w:val="0"/>
            <w:vAlign w:val="center"/>
          </w:tcPr>
          <w:p w14:paraId="1042B225">
            <w:pPr>
              <w:pStyle w:val="16"/>
              <w:bidi w:val="0"/>
              <w:rPr>
                <w:rFonts w:hint="default"/>
                <w:color w:val="auto"/>
                <w:sz w:val="21"/>
                <w:szCs w:val="21"/>
                <w:lang w:val="en-US" w:eastAsia="zh-CN"/>
              </w:rPr>
            </w:pPr>
            <w:r>
              <w:rPr>
                <w:rFonts w:hint="eastAsia"/>
                <w:color w:val="auto"/>
                <w:sz w:val="21"/>
                <w:szCs w:val="21"/>
                <w:lang w:val="en-US" w:eastAsia="zh-CN"/>
              </w:rPr>
              <w:t>4</w:t>
            </w:r>
          </w:p>
        </w:tc>
        <w:tc>
          <w:tcPr>
            <w:tcW w:w="644" w:type="pct"/>
            <w:tcBorders>
              <w:tl2br w:val="nil"/>
              <w:tr2bl w:val="nil"/>
            </w:tcBorders>
            <w:noWrap w:val="0"/>
            <w:vAlign w:val="center"/>
          </w:tcPr>
          <w:p w14:paraId="214DE205">
            <w:pPr>
              <w:pStyle w:val="16"/>
              <w:bidi w:val="0"/>
              <w:rPr>
                <w:rFonts w:hint="eastAsia"/>
                <w:color w:val="auto"/>
                <w:sz w:val="21"/>
                <w:szCs w:val="21"/>
                <w:lang w:val="en-US" w:eastAsia="zh-CN"/>
              </w:rPr>
            </w:pPr>
            <w:r>
              <w:rPr>
                <w:rFonts w:hint="eastAsia"/>
                <w:color w:val="auto"/>
                <w:sz w:val="21"/>
                <w:szCs w:val="21"/>
                <w:lang w:val="en-US" w:eastAsia="zh-CN"/>
              </w:rPr>
              <w:t>30</w:t>
            </w:r>
          </w:p>
        </w:tc>
        <w:tc>
          <w:tcPr>
            <w:tcW w:w="545" w:type="pct"/>
            <w:tcBorders>
              <w:tl2br w:val="nil"/>
              <w:tr2bl w:val="nil"/>
            </w:tcBorders>
            <w:noWrap w:val="0"/>
            <w:vAlign w:val="center"/>
          </w:tcPr>
          <w:p w14:paraId="302733A6">
            <w:pPr>
              <w:pStyle w:val="16"/>
              <w:bidi w:val="0"/>
              <w:rPr>
                <w:rFonts w:hint="default" w:eastAsia="宋体"/>
                <w:color w:val="auto"/>
                <w:sz w:val="21"/>
                <w:szCs w:val="21"/>
                <w:lang w:val="en-US" w:eastAsia="zh-CN"/>
              </w:rPr>
            </w:pPr>
            <w:r>
              <w:rPr>
                <w:rFonts w:hint="eastAsia"/>
                <w:color w:val="auto"/>
                <w:sz w:val="21"/>
                <w:szCs w:val="21"/>
                <w:lang w:val="en-US" w:eastAsia="zh-CN"/>
              </w:rPr>
              <w:t>2.3</w:t>
            </w:r>
          </w:p>
        </w:tc>
        <w:tc>
          <w:tcPr>
            <w:tcW w:w="359" w:type="pct"/>
            <w:vMerge w:val="continue"/>
            <w:tcBorders>
              <w:tl2br w:val="nil"/>
              <w:tr2bl w:val="nil"/>
            </w:tcBorders>
            <w:noWrap w:val="0"/>
            <w:vAlign w:val="center"/>
          </w:tcPr>
          <w:p w14:paraId="0350C467">
            <w:pPr>
              <w:pStyle w:val="16"/>
              <w:bidi w:val="0"/>
              <w:ind w:left="0" w:leftChars="0" w:firstLine="0" w:firstLineChars="0"/>
              <w:rPr>
                <w:color w:val="auto"/>
                <w:sz w:val="21"/>
                <w:szCs w:val="21"/>
              </w:rPr>
            </w:pPr>
          </w:p>
        </w:tc>
        <w:tc>
          <w:tcPr>
            <w:tcW w:w="237" w:type="pct"/>
            <w:vMerge w:val="continue"/>
            <w:tcBorders>
              <w:tl2br w:val="nil"/>
              <w:tr2bl w:val="nil"/>
            </w:tcBorders>
            <w:noWrap w:val="0"/>
            <w:vAlign w:val="center"/>
          </w:tcPr>
          <w:p w14:paraId="73E3D66B">
            <w:pPr>
              <w:pStyle w:val="16"/>
              <w:bidi w:val="0"/>
              <w:ind w:left="0" w:leftChars="0" w:firstLine="0" w:firstLineChars="0"/>
              <w:rPr>
                <w:color w:val="auto"/>
                <w:sz w:val="21"/>
                <w:szCs w:val="21"/>
              </w:rPr>
            </w:pPr>
          </w:p>
        </w:tc>
        <w:tc>
          <w:tcPr>
            <w:tcW w:w="294" w:type="pct"/>
            <w:tcBorders>
              <w:tl2br w:val="nil"/>
              <w:tr2bl w:val="nil"/>
            </w:tcBorders>
            <w:noWrap w:val="0"/>
            <w:vAlign w:val="center"/>
          </w:tcPr>
          <w:p w14:paraId="0725BC3B">
            <w:pPr>
              <w:pStyle w:val="16"/>
              <w:bidi w:val="0"/>
              <w:rPr>
                <w:rFonts w:hint="default"/>
                <w:color w:val="auto"/>
                <w:sz w:val="21"/>
                <w:szCs w:val="21"/>
                <w:lang w:val="en-US" w:eastAsia="zh-CN"/>
              </w:rPr>
            </w:pPr>
            <w:r>
              <w:rPr>
                <w:rFonts w:hint="eastAsia"/>
                <w:color w:val="auto"/>
                <w:sz w:val="21"/>
                <w:szCs w:val="21"/>
                <w:lang w:val="en-US" w:eastAsia="zh-CN"/>
              </w:rPr>
              <w:t>0.00013</w:t>
            </w:r>
          </w:p>
        </w:tc>
        <w:tc>
          <w:tcPr>
            <w:tcW w:w="331" w:type="pct"/>
            <w:tcBorders>
              <w:tl2br w:val="nil"/>
              <w:tr2bl w:val="nil"/>
            </w:tcBorders>
            <w:noWrap w:val="0"/>
            <w:vAlign w:val="center"/>
          </w:tcPr>
          <w:p w14:paraId="12818AF1">
            <w:pPr>
              <w:pStyle w:val="16"/>
              <w:bidi w:val="0"/>
              <w:rPr>
                <w:rFonts w:hint="default"/>
                <w:color w:val="auto"/>
                <w:sz w:val="21"/>
                <w:szCs w:val="21"/>
                <w:lang w:val="en-US" w:eastAsia="zh-CN"/>
              </w:rPr>
            </w:pPr>
            <w:r>
              <w:rPr>
                <w:rFonts w:hint="eastAsia"/>
                <w:color w:val="auto"/>
                <w:sz w:val="21"/>
                <w:szCs w:val="21"/>
                <w:lang w:val="en-US" w:eastAsia="zh-CN"/>
              </w:rPr>
              <w:t>0.000003</w:t>
            </w:r>
          </w:p>
        </w:tc>
      </w:tr>
      <w:tr w14:paraId="4FEB94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0" w:type="pct"/>
            <w:tcBorders>
              <w:tl2br w:val="nil"/>
              <w:tr2bl w:val="nil"/>
            </w:tcBorders>
            <w:noWrap w:val="0"/>
            <w:vAlign w:val="center"/>
          </w:tcPr>
          <w:p w14:paraId="6A9D04E6">
            <w:pPr>
              <w:pStyle w:val="16"/>
              <w:bidi w:val="0"/>
              <w:rPr>
                <w:rFonts w:hint="default"/>
                <w:color w:val="auto"/>
                <w:sz w:val="21"/>
                <w:szCs w:val="21"/>
                <w:lang w:val="en-US" w:eastAsia="zh-CN"/>
              </w:rPr>
            </w:pPr>
            <w:r>
              <w:rPr>
                <w:rFonts w:hint="eastAsia"/>
                <w:color w:val="auto"/>
                <w:sz w:val="21"/>
                <w:szCs w:val="21"/>
                <w:lang w:val="en-US" w:eastAsia="zh-CN"/>
              </w:rPr>
              <w:t>8</w:t>
            </w:r>
          </w:p>
        </w:tc>
        <w:tc>
          <w:tcPr>
            <w:tcW w:w="702" w:type="pct"/>
            <w:tcBorders>
              <w:tl2br w:val="nil"/>
              <w:tr2bl w:val="nil"/>
            </w:tcBorders>
            <w:noWrap w:val="0"/>
            <w:vAlign w:val="center"/>
          </w:tcPr>
          <w:p w14:paraId="0FC0A4A0">
            <w:pPr>
              <w:pStyle w:val="16"/>
              <w:bidi w:val="0"/>
              <w:rPr>
                <w:rFonts w:hint="default"/>
                <w:color w:val="auto"/>
                <w:sz w:val="21"/>
                <w:szCs w:val="21"/>
                <w:lang w:val="en-US" w:eastAsia="zh-CN"/>
              </w:rPr>
            </w:pPr>
            <w:r>
              <w:rPr>
                <w:rFonts w:hint="eastAsia"/>
                <w:color w:val="auto"/>
                <w:sz w:val="21"/>
                <w:szCs w:val="21"/>
                <w:lang w:val="en-US" w:eastAsia="zh-CN"/>
              </w:rPr>
              <w:t>污泥池</w:t>
            </w:r>
          </w:p>
        </w:tc>
        <w:tc>
          <w:tcPr>
            <w:tcW w:w="432" w:type="pct"/>
            <w:tcBorders>
              <w:tl2br w:val="nil"/>
              <w:tr2bl w:val="nil"/>
            </w:tcBorders>
            <w:noWrap w:val="0"/>
            <w:vAlign w:val="center"/>
          </w:tcPr>
          <w:p w14:paraId="026362E4">
            <w:pPr>
              <w:pStyle w:val="16"/>
              <w:bidi w:val="0"/>
              <w:rPr>
                <w:rFonts w:hint="eastAsia"/>
                <w:color w:val="auto"/>
                <w:sz w:val="21"/>
                <w:szCs w:val="21"/>
              </w:rPr>
            </w:pPr>
            <w:r>
              <w:rPr>
                <w:rFonts w:hint="eastAsia"/>
                <w:color w:val="auto"/>
                <w:sz w:val="21"/>
                <w:szCs w:val="21"/>
              </w:rPr>
              <w:t>106.890959</w:t>
            </w:r>
          </w:p>
        </w:tc>
        <w:tc>
          <w:tcPr>
            <w:tcW w:w="377" w:type="pct"/>
            <w:tcBorders>
              <w:tl2br w:val="nil"/>
              <w:tr2bl w:val="nil"/>
            </w:tcBorders>
            <w:noWrap w:val="0"/>
            <w:vAlign w:val="center"/>
          </w:tcPr>
          <w:p w14:paraId="31279F61">
            <w:pPr>
              <w:pStyle w:val="16"/>
              <w:bidi w:val="0"/>
              <w:rPr>
                <w:rFonts w:hint="eastAsia"/>
                <w:color w:val="auto"/>
                <w:sz w:val="21"/>
                <w:szCs w:val="21"/>
              </w:rPr>
            </w:pPr>
            <w:r>
              <w:rPr>
                <w:rFonts w:hint="eastAsia"/>
                <w:color w:val="auto"/>
                <w:sz w:val="21"/>
                <w:szCs w:val="21"/>
              </w:rPr>
              <w:t>31.753561</w:t>
            </w:r>
          </w:p>
        </w:tc>
        <w:tc>
          <w:tcPr>
            <w:tcW w:w="301" w:type="pct"/>
            <w:tcBorders>
              <w:tl2br w:val="nil"/>
              <w:tr2bl w:val="nil"/>
            </w:tcBorders>
            <w:noWrap w:val="0"/>
            <w:vAlign w:val="center"/>
          </w:tcPr>
          <w:p w14:paraId="337D4F9E">
            <w:pPr>
              <w:pStyle w:val="16"/>
              <w:bidi w:val="0"/>
              <w:rPr>
                <w:rFonts w:hint="default"/>
                <w:color w:val="auto"/>
                <w:sz w:val="21"/>
                <w:szCs w:val="21"/>
                <w:lang w:val="en-US" w:eastAsia="zh-CN"/>
              </w:rPr>
            </w:pPr>
            <w:r>
              <w:rPr>
                <w:rFonts w:hint="eastAsia"/>
                <w:color w:val="auto"/>
                <w:sz w:val="21"/>
                <w:szCs w:val="21"/>
                <w:lang w:val="en-US" w:eastAsia="zh-CN"/>
              </w:rPr>
              <w:t>323.7</w:t>
            </w:r>
          </w:p>
        </w:tc>
        <w:tc>
          <w:tcPr>
            <w:tcW w:w="336" w:type="pct"/>
            <w:tcBorders>
              <w:tl2br w:val="nil"/>
              <w:tr2bl w:val="nil"/>
            </w:tcBorders>
            <w:noWrap w:val="0"/>
            <w:vAlign w:val="center"/>
          </w:tcPr>
          <w:p w14:paraId="55F4636A">
            <w:pPr>
              <w:pStyle w:val="16"/>
              <w:bidi w:val="0"/>
              <w:rPr>
                <w:rFonts w:hint="default"/>
                <w:color w:val="auto"/>
                <w:sz w:val="21"/>
                <w:szCs w:val="21"/>
                <w:lang w:val="en-US" w:eastAsia="zh-CN"/>
              </w:rPr>
            </w:pPr>
            <w:r>
              <w:rPr>
                <w:rFonts w:hint="eastAsia"/>
                <w:color w:val="auto"/>
                <w:sz w:val="21"/>
                <w:szCs w:val="21"/>
                <w:lang w:val="en-US" w:eastAsia="zh-CN"/>
              </w:rPr>
              <w:t>8.3</w:t>
            </w:r>
          </w:p>
        </w:tc>
        <w:tc>
          <w:tcPr>
            <w:tcW w:w="336" w:type="pct"/>
            <w:tcBorders>
              <w:tl2br w:val="nil"/>
              <w:tr2bl w:val="nil"/>
            </w:tcBorders>
            <w:noWrap w:val="0"/>
            <w:vAlign w:val="center"/>
          </w:tcPr>
          <w:p w14:paraId="54D61B6F">
            <w:pPr>
              <w:pStyle w:val="16"/>
              <w:bidi w:val="0"/>
              <w:rPr>
                <w:rFonts w:hint="default"/>
                <w:color w:val="auto"/>
                <w:sz w:val="21"/>
                <w:szCs w:val="21"/>
                <w:lang w:val="en-US" w:eastAsia="zh-CN"/>
              </w:rPr>
            </w:pPr>
            <w:r>
              <w:rPr>
                <w:rFonts w:hint="eastAsia"/>
                <w:color w:val="auto"/>
                <w:sz w:val="21"/>
                <w:szCs w:val="21"/>
                <w:lang w:val="en-US" w:eastAsia="zh-CN"/>
              </w:rPr>
              <w:t>5</w:t>
            </w:r>
          </w:p>
        </w:tc>
        <w:tc>
          <w:tcPr>
            <w:tcW w:w="644" w:type="pct"/>
            <w:tcBorders>
              <w:tl2br w:val="nil"/>
              <w:tr2bl w:val="nil"/>
            </w:tcBorders>
            <w:noWrap w:val="0"/>
            <w:vAlign w:val="center"/>
          </w:tcPr>
          <w:p w14:paraId="2B8DCB79">
            <w:pPr>
              <w:pStyle w:val="16"/>
              <w:bidi w:val="0"/>
              <w:rPr>
                <w:rFonts w:hint="eastAsia"/>
                <w:color w:val="auto"/>
                <w:sz w:val="21"/>
                <w:szCs w:val="21"/>
                <w:lang w:val="en-US" w:eastAsia="zh-CN"/>
              </w:rPr>
            </w:pPr>
            <w:r>
              <w:rPr>
                <w:rFonts w:hint="eastAsia"/>
                <w:color w:val="auto"/>
                <w:sz w:val="21"/>
                <w:szCs w:val="21"/>
                <w:lang w:val="en-US" w:eastAsia="zh-CN"/>
              </w:rPr>
              <w:t>30</w:t>
            </w:r>
          </w:p>
        </w:tc>
        <w:tc>
          <w:tcPr>
            <w:tcW w:w="545" w:type="pct"/>
            <w:tcBorders>
              <w:tl2br w:val="nil"/>
              <w:tr2bl w:val="nil"/>
            </w:tcBorders>
            <w:noWrap w:val="0"/>
            <w:vAlign w:val="center"/>
          </w:tcPr>
          <w:p w14:paraId="515349EE">
            <w:pPr>
              <w:pStyle w:val="16"/>
              <w:bidi w:val="0"/>
              <w:rPr>
                <w:rFonts w:hint="default" w:eastAsia="宋体"/>
                <w:color w:val="auto"/>
                <w:sz w:val="21"/>
                <w:szCs w:val="21"/>
                <w:lang w:val="en-US" w:eastAsia="zh-CN"/>
              </w:rPr>
            </w:pPr>
            <w:r>
              <w:rPr>
                <w:rFonts w:hint="eastAsia"/>
                <w:color w:val="auto"/>
                <w:sz w:val="21"/>
                <w:szCs w:val="21"/>
                <w:lang w:val="en-US" w:eastAsia="zh-CN"/>
              </w:rPr>
              <w:t>2.2</w:t>
            </w:r>
          </w:p>
        </w:tc>
        <w:tc>
          <w:tcPr>
            <w:tcW w:w="359" w:type="pct"/>
            <w:vMerge w:val="continue"/>
            <w:tcBorders>
              <w:tl2br w:val="nil"/>
              <w:tr2bl w:val="nil"/>
            </w:tcBorders>
            <w:noWrap w:val="0"/>
            <w:vAlign w:val="center"/>
          </w:tcPr>
          <w:p w14:paraId="4FCC59DB">
            <w:pPr>
              <w:pStyle w:val="16"/>
              <w:bidi w:val="0"/>
              <w:ind w:left="0" w:leftChars="0" w:firstLine="0" w:firstLineChars="0"/>
              <w:rPr>
                <w:color w:val="auto"/>
                <w:sz w:val="21"/>
                <w:szCs w:val="21"/>
              </w:rPr>
            </w:pPr>
          </w:p>
        </w:tc>
        <w:tc>
          <w:tcPr>
            <w:tcW w:w="237" w:type="pct"/>
            <w:vMerge w:val="continue"/>
            <w:tcBorders>
              <w:tl2br w:val="nil"/>
              <w:tr2bl w:val="nil"/>
            </w:tcBorders>
            <w:noWrap w:val="0"/>
            <w:vAlign w:val="center"/>
          </w:tcPr>
          <w:p w14:paraId="7E424A7F">
            <w:pPr>
              <w:pStyle w:val="16"/>
              <w:bidi w:val="0"/>
              <w:ind w:left="0" w:leftChars="0" w:firstLine="0" w:firstLineChars="0"/>
              <w:rPr>
                <w:color w:val="auto"/>
                <w:sz w:val="21"/>
                <w:szCs w:val="21"/>
              </w:rPr>
            </w:pPr>
          </w:p>
        </w:tc>
        <w:tc>
          <w:tcPr>
            <w:tcW w:w="294" w:type="pct"/>
            <w:tcBorders>
              <w:tl2br w:val="nil"/>
              <w:tr2bl w:val="nil"/>
            </w:tcBorders>
            <w:noWrap w:val="0"/>
            <w:vAlign w:val="center"/>
          </w:tcPr>
          <w:p w14:paraId="3DBA1D22">
            <w:pPr>
              <w:pStyle w:val="16"/>
              <w:bidi w:val="0"/>
              <w:rPr>
                <w:rFonts w:hint="default"/>
                <w:color w:val="auto"/>
                <w:sz w:val="21"/>
                <w:szCs w:val="21"/>
                <w:lang w:val="en-US" w:eastAsia="zh-CN"/>
              </w:rPr>
            </w:pPr>
            <w:r>
              <w:rPr>
                <w:rFonts w:hint="eastAsia"/>
                <w:color w:val="auto"/>
                <w:sz w:val="21"/>
                <w:szCs w:val="21"/>
                <w:lang w:val="en-US" w:eastAsia="zh-CN"/>
              </w:rPr>
              <w:t>0.0042</w:t>
            </w:r>
          </w:p>
        </w:tc>
        <w:tc>
          <w:tcPr>
            <w:tcW w:w="331" w:type="pct"/>
            <w:tcBorders>
              <w:tl2br w:val="nil"/>
              <w:tr2bl w:val="nil"/>
            </w:tcBorders>
            <w:noWrap w:val="0"/>
            <w:vAlign w:val="center"/>
          </w:tcPr>
          <w:p w14:paraId="4DB22314">
            <w:pPr>
              <w:pStyle w:val="16"/>
              <w:bidi w:val="0"/>
              <w:rPr>
                <w:rFonts w:hint="default"/>
                <w:color w:val="auto"/>
                <w:sz w:val="21"/>
                <w:szCs w:val="21"/>
                <w:lang w:val="en-US" w:eastAsia="zh-CN"/>
              </w:rPr>
            </w:pPr>
            <w:r>
              <w:rPr>
                <w:rFonts w:hint="eastAsia"/>
                <w:color w:val="auto"/>
                <w:sz w:val="21"/>
                <w:szCs w:val="21"/>
                <w:lang w:val="en-US" w:eastAsia="zh-CN"/>
              </w:rPr>
              <w:t>0.00002</w:t>
            </w:r>
          </w:p>
        </w:tc>
      </w:tr>
      <w:tr w14:paraId="7D3FD5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0" w:type="pct"/>
            <w:tcBorders>
              <w:tl2br w:val="nil"/>
              <w:tr2bl w:val="nil"/>
            </w:tcBorders>
            <w:noWrap w:val="0"/>
            <w:vAlign w:val="center"/>
          </w:tcPr>
          <w:p w14:paraId="5BEECB93">
            <w:pPr>
              <w:pStyle w:val="16"/>
              <w:bidi w:val="0"/>
              <w:rPr>
                <w:rFonts w:hint="default"/>
                <w:color w:val="auto"/>
                <w:sz w:val="21"/>
                <w:szCs w:val="21"/>
                <w:lang w:val="en-US" w:eastAsia="zh-CN"/>
              </w:rPr>
            </w:pPr>
            <w:r>
              <w:rPr>
                <w:rFonts w:hint="eastAsia"/>
                <w:color w:val="auto"/>
                <w:sz w:val="21"/>
                <w:szCs w:val="21"/>
                <w:lang w:val="en-US" w:eastAsia="zh-CN"/>
              </w:rPr>
              <w:t>9</w:t>
            </w:r>
          </w:p>
        </w:tc>
        <w:tc>
          <w:tcPr>
            <w:tcW w:w="702" w:type="pct"/>
            <w:tcBorders>
              <w:tl2br w:val="nil"/>
              <w:tr2bl w:val="nil"/>
            </w:tcBorders>
            <w:noWrap w:val="0"/>
            <w:vAlign w:val="center"/>
          </w:tcPr>
          <w:p w14:paraId="4F37907B">
            <w:pPr>
              <w:pStyle w:val="16"/>
              <w:bidi w:val="0"/>
              <w:rPr>
                <w:rFonts w:hint="default"/>
                <w:color w:val="auto"/>
                <w:sz w:val="21"/>
                <w:szCs w:val="21"/>
                <w:lang w:val="en-US" w:eastAsia="zh-CN"/>
              </w:rPr>
            </w:pPr>
            <w:r>
              <w:rPr>
                <w:rFonts w:hint="eastAsia"/>
                <w:color w:val="auto"/>
                <w:sz w:val="21"/>
                <w:szCs w:val="21"/>
                <w:lang w:val="en-US" w:eastAsia="zh-CN"/>
              </w:rPr>
              <w:t>污泥脱水车间</w:t>
            </w:r>
          </w:p>
        </w:tc>
        <w:tc>
          <w:tcPr>
            <w:tcW w:w="432" w:type="pct"/>
            <w:tcBorders>
              <w:tl2br w:val="nil"/>
              <w:tr2bl w:val="nil"/>
            </w:tcBorders>
            <w:noWrap w:val="0"/>
            <w:vAlign w:val="center"/>
          </w:tcPr>
          <w:p w14:paraId="7EAC120B">
            <w:pPr>
              <w:pStyle w:val="16"/>
              <w:bidi w:val="0"/>
              <w:rPr>
                <w:rFonts w:hint="eastAsia" w:eastAsia="宋体"/>
                <w:color w:val="auto"/>
                <w:sz w:val="21"/>
                <w:szCs w:val="21"/>
                <w:lang w:val="en-US" w:eastAsia="zh-CN"/>
              </w:rPr>
            </w:pPr>
            <w:r>
              <w:rPr>
                <w:rFonts w:hint="eastAsia"/>
                <w:color w:val="auto"/>
                <w:sz w:val="21"/>
                <w:szCs w:val="21"/>
              </w:rPr>
              <w:t>106.89111</w:t>
            </w:r>
            <w:r>
              <w:rPr>
                <w:rFonts w:hint="eastAsia"/>
                <w:color w:val="auto"/>
                <w:sz w:val="21"/>
                <w:szCs w:val="21"/>
                <w:lang w:val="en-US" w:eastAsia="zh-CN"/>
              </w:rPr>
              <w:t>1</w:t>
            </w:r>
          </w:p>
        </w:tc>
        <w:tc>
          <w:tcPr>
            <w:tcW w:w="377" w:type="pct"/>
            <w:tcBorders>
              <w:tl2br w:val="nil"/>
              <w:tr2bl w:val="nil"/>
            </w:tcBorders>
            <w:noWrap w:val="0"/>
            <w:vAlign w:val="center"/>
          </w:tcPr>
          <w:p w14:paraId="6317522E">
            <w:pPr>
              <w:pStyle w:val="16"/>
              <w:bidi w:val="0"/>
              <w:rPr>
                <w:rFonts w:hint="eastAsia"/>
                <w:color w:val="auto"/>
                <w:sz w:val="21"/>
                <w:szCs w:val="21"/>
              </w:rPr>
            </w:pPr>
            <w:r>
              <w:rPr>
                <w:rFonts w:hint="eastAsia"/>
                <w:color w:val="auto"/>
                <w:sz w:val="21"/>
                <w:szCs w:val="21"/>
              </w:rPr>
              <w:t>31.753419</w:t>
            </w:r>
          </w:p>
        </w:tc>
        <w:tc>
          <w:tcPr>
            <w:tcW w:w="301" w:type="pct"/>
            <w:tcBorders>
              <w:tl2br w:val="nil"/>
              <w:tr2bl w:val="nil"/>
            </w:tcBorders>
            <w:noWrap w:val="0"/>
            <w:vAlign w:val="center"/>
          </w:tcPr>
          <w:p w14:paraId="1E4B0E48">
            <w:pPr>
              <w:pStyle w:val="16"/>
              <w:bidi w:val="0"/>
              <w:rPr>
                <w:rFonts w:hint="default"/>
                <w:color w:val="auto"/>
                <w:sz w:val="21"/>
                <w:szCs w:val="21"/>
                <w:lang w:val="en-US" w:eastAsia="zh-CN"/>
              </w:rPr>
            </w:pPr>
            <w:r>
              <w:rPr>
                <w:rFonts w:hint="eastAsia"/>
                <w:color w:val="auto"/>
                <w:sz w:val="21"/>
                <w:szCs w:val="21"/>
                <w:lang w:val="en-US" w:eastAsia="zh-CN"/>
              </w:rPr>
              <w:t>326.8</w:t>
            </w:r>
          </w:p>
        </w:tc>
        <w:tc>
          <w:tcPr>
            <w:tcW w:w="336" w:type="pct"/>
            <w:tcBorders>
              <w:tl2br w:val="nil"/>
              <w:tr2bl w:val="nil"/>
            </w:tcBorders>
            <w:noWrap w:val="0"/>
            <w:vAlign w:val="center"/>
          </w:tcPr>
          <w:p w14:paraId="3638BEB4">
            <w:pPr>
              <w:pStyle w:val="16"/>
              <w:bidi w:val="0"/>
              <w:rPr>
                <w:rFonts w:hint="default"/>
                <w:color w:val="auto"/>
                <w:sz w:val="21"/>
                <w:szCs w:val="21"/>
                <w:lang w:val="en-US" w:eastAsia="zh-CN"/>
              </w:rPr>
            </w:pPr>
            <w:r>
              <w:rPr>
                <w:rFonts w:hint="eastAsia"/>
                <w:color w:val="auto"/>
                <w:sz w:val="21"/>
                <w:szCs w:val="21"/>
                <w:lang w:val="en-US" w:eastAsia="zh-CN"/>
              </w:rPr>
              <w:t>28.4</w:t>
            </w:r>
          </w:p>
        </w:tc>
        <w:tc>
          <w:tcPr>
            <w:tcW w:w="336" w:type="pct"/>
            <w:tcBorders>
              <w:tl2br w:val="nil"/>
              <w:tr2bl w:val="nil"/>
            </w:tcBorders>
            <w:noWrap w:val="0"/>
            <w:vAlign w:val="center"/>
          </w:tcPr>
          <w:p w14:paraId="435ECFB5">
            <w:pPr>
              <w:pStyle w:val="16"/>
              <w:bidi w:val="0"/>
              <w:rPr>
                <w:rFonts w:hint="default"/>
                <w:color w:val="auto"/>
                <w:sz w:val="21"/>
                <w:szCs w:val="21"/>
                <w:lang w:val="en-US" w:eastAsia="zh-CN"/>
              </w:rPr>
            </w:pPr>
            <w:r>
              <w:rPr>
                <w:rFonts w:hint="eastAsia"/>
                <w:color w:val="auto"/>
                <w:sz w:val="21"/>
                <w:szCs w:val="21"/>
                <w:lang w:val="en-US" w:eastAsia="zh-CN"/>
              </w:rPr>
              <w:t>19.2</w:t>
            </w:r>
          </w:p>
        </w:tc>
        <w:tc>
          <w:tcPr>
            <w:tcW w:w="644" w:type="pct"/>
            <w:tcBorders>
              <w:tl2br w:val="nil"/>
              <w:tr2bl w:val="nil"/>
            </w:tcBorders>
            <w:noWrap w:val="0"/>
            <w:vAlign w:val="center"/>
          </w:tcPr>
          <w:p w14:paraId="1FC7151B">
            <w:pPr>
              <w:pStyle w:val="16"/>
              <w:bidi w:val="0"/>
              <w:rPr>
                <w:rFonts w:hint="eastAsia"/>
                <w:color w:val="auto"/>
                <w:sz w:val="21"/>
                <w:szCs w:val="21"/>
                <w:lang w:val="en-US" w:eastAsia="zh-CN"/>
              </w:rPr>
            </w:pPr>
            <w:r>
              <w:rPr>
                <w:rFonts w:hint="eastAsia"/>
                <w:color w:val="auto"/>
                <w:sz w:val="21"/>
                <w:szCs w:val="21"/>
                <w:lang w:val="en-US" w:eastAsia="zh-CN"/>
              </w:rPr>
              <w:t>30</w:t>
            </w:r>
          </w:p>
        </w:tc>
        <w:tc>
          <w:tcPr>
            <w:tcW w:w="545" w:type="pct"/>
            <w:tcBorders>
              <w:tl2br w:val="nil"/>
              <w:tr2bl w:val="nil"/>
            </w:tcBorders>
            <w:noWrap w:val="0"/>
            <w:vAlign w:val="center"/>
          </w:tcPr>
          <w:p w14:paraId="5AECF857">
            <w:pPr>
              <w:pStyle w:val="16"/>
              <w:bidi w:val="0"/>
              <w:rPr>
                <w:rFonts w:hint="default" w:eastAsia="宋体"/>
                <w:color w:val="auto"/>
                <w:sz w:val="21"/>
                <w:szCs w:val="21"/>
                <w:lang w:val="en-US" w:eastAsia="zh-CN"/>
              </w:rPr>
            </w:pPr>
            <w:r>
              <w:rPr>
                <w:rFonts w:hint="eastAsia"/>
                <w:color w:val="auto"/>
                <w:sz w:val="21"/>
                <w:szCs w:val="21"/>
                <w:lang w:val="en-US" w:eastAsia="zh-CN"/>
              </w:rPr>
              <w:t>15</w:t>
            </w:r>
          </w:p>
        </w:tc>
        <w:tc>
          <w:tcPr>
            <w:tcW w:w="359" w:type="pct"/>
            <w:vMerge w:val="continue"/>
            <w:tcBorders>
              <w:tl2br w:val="nil"/>
              <w:tr2bl w:val="nil"/>
            </w:tcBorders>
            <w:noWrap w:val="0"/>
            <w:vAlign w:val="center"/>
          </w:tcPr>
          <w:p w14:paraId="13E2C5B9">
            <w:pPr>
              <w:pStyle w:val="16"/>
              <w:bidi w:val="0"/>
              <w:ind w:left="0" w:leftChars="0" w:firstLine="0" w:firstLineChars="0"/>
              <w:rPr>
                <w:color w:val="auto"/>
                <w:sz w:val="21"/>
                <w:szCs w:val="21"/>
              </w:rPr>
            </w:pPr>
          </w:p>
        </w:tc>
        <w:tc>
          <w:tcPr>
            <w:tcW w:w="237" w:type="pct"/>
            <w:vMerge w:val="continue"/>
            <w:tcBorders>
              <w:tl2br w:val="nil"/>
              <w:tr2bl w:val="nil"/>
            </w:tcBorders>
            <w:noWrap w:val="0"/>
            <w:vAlign w:val="center"/>
          </w:tcPr>
          <w:p w14:paraId="7CC3FF8C">
            <w:pPr>
              <w:pStyle w:val="16"/>
              <w:bidi w:val="0"/>
              <w:ind w:left="0" w:leftChars="0" w:firstLine="0" w:firstLineChars="0"/>
              <w:rPr>
                <w:color w:val="auto"/>
                <w:sz w:val="21"/>
                <w:szCs w:val="21"/>
              </w:rPr>
            </w:pPr>
          </w:p>
        </w:tc>
        <w:tc>
          <w:tcPr>
            <w:tcW w:w="294" w:type="pct"/>
            <w:tcBorders>
              <w:tl2br w:val="nil"/>
              <w:tr2bl w:val="nil"/>
            </w:tcBorders>
            <w:noWrap w:val="0"/>
            <w:vAlign w:val="center"/>
          </w:tcPr>
          <w:p w14:paraId="2107CF83">
            <w:pPr>
              <w:pStyle w:val="16"/>
              <w:bidi w:val="0"/>
              <w:rPr>
                <w:rFonts w:hint="default"/>
                <w:color w:val="auto"/>
                <w:sz w:val="21"/>
                <w:szCs w:val="21"/>
                <w:lang w:val="en-US" w:eastAsia="zh-CN"/>
              </w:rPr>
            </w:pPr>
            <w:r>
              <w:rPr>
                <w:rFonts w:hint="eastAsia"/>
                <w:color w:val="auto"/>
                <w:sz w:val="21"/>
                <w:szCs w:val="21"/>
                <w:lang w:val="en-US" w:eastAsia="zh-CN"/>
              </w:rPr>
              <w:t>0.0046</w:t>
            </w:r>
          </w:p>
        </w:tc>
        <w:tc>
          <w:tcPr>
            <w:tcW w:w="331" w:type="pct"/>
            <w:tcBorders>
              <w:tl2br w:val="nil"/>
              <w:tr2bl w:val="nil"/>
            </w:tcBorders>
            <w:noWrap w:val="0"/>
            <w:vAlign w:val="center"/>
          </w:tcPr>
          <w:p w14:paraId="2AD45BDA">
            <w:pPr>
              <w:pStyle w:val="16"/>
              <w:bidi w:val="0"/>
              <w:rPr>
                <w:rFonts w:hint="default"/>
                <w:color w:val="auto"/>
                <w:sz w:val="21"/>
                <w:szCs w:val="21"/>
                <w:lang w:val="en-US" w:eastAsia="zh-CN"/>
              </w:rPr>
            </w:pPr>
            <w:r>
              <w:rPr>
                <w:rFonts w:hint="eastAsia"/>
                <w:color w:val="auto"/>
                <w:sz w:val="21"/>
                <w:szCs w:val="21"/>
                <w:lang w:val="en-US" w:eastAsia="zh-CN"/>
              </w:rPr>
              <w:t>0.00013</w:t>
            </w:r>
          </w:p>
        </w:tc>
      </w:tr>
    </w:tbl>
    <w:p w14:paraId="449229F6">
      <w:pPr>
        <w:pStyle w:val="23"/>
        <w:pageBreakBefore w:val="0"/>
        <w:wordWrap/>
        <w:bidi w:val="0"/>
        <w:adjustRightInd/>
        <w:snapToGrid/>
        <w:rPr>
          <w:color w:val="auto"/>
        </w:rPr>
        <w:sectPr>
          <w:pgSz w:w="16838" w:h="11906" w:orient="landscape"/>
          <w:pgMar w:top="1701" w:right="1701" w:bottom="1701" w:left="1701" w:header="1134" w:footer="1134" w:gutter="0"/>
          <w:pgBorders>
            <w:top w:val="none" w:sz="0" w:space="0"/>
            <w:left w:val="none" w:sz="0" w:space="0"/>
            <w:bottom w:val="none" w:sz="0" w:space="0"/>
            <w:right w:val="none" w:sz="0" w:space="0"/>
          </w:pgBorders>
          <w:pgNumType w:fmt="decimal"/>
          <w:cols w:space="720" w:num="1"/>
          <w:docGrid w:type="lines" w:linePitch="312" w:charSpace="0"/>
        </w:sectPr>
      </w:pPr>
    </w:p>
    <w:p w14:paraId="247F295B">
      <w:pPr>
        <w:pageBreakBefore w:val="0"/>
        <w:wordWrap/>
        <w:bidi w:val="0"/>
        <w:adjustRightInd/>
        <w:snapToGrid/>
        <w:ind w:firstLine="480"/>
        <w:rPr>
          <w:color w:val="auto"/>
        </w:rPr>
      </w:pPr>
      <w:r>
        <w:rPr>
          <w:color w:val="auto"/>
        </w:rPr>
        <w:t>（2）预测模式参数见下表</w:t>
      </w:r>
    </w:p>
    <w:p w14:paraId="5FF15842">
      <w:pPr>
        <w:pStyle w:val="19"/>
        <w:numPr>
          <w:ilvl w:val="0"/>
          <w:numId w:val="31"/>
        </w:numPr>
        <w:bidi w:val="0"/>
        <w:ind w:left="1440" w:leftChars="0" w:firstLine="0" w:firstLineChars="0"/>
        <w:rPr>
          <w:color w:val="auto"/>
        </w:rPr>
      </w:pPr>
      <w:r>
        <w:rPr>
          <w:color w:val="auto"/>
        </w:rPr>
        <w:t>估算模式参数取值</w:t>
      </w:r>
    </w:p>
    <w:tbl>
      <w:tblPr>
        <w:tblStyle w:val="5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80"/>
        <w:gridCol w:w="2983"/>
        <w:gridCol w:w="2981"/>
      </w:tblGrid>
      <w:tr w14:paraId="70366B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33" w:type="pct"/>
            <w:gridSpan w:val="2"/>
            <w:tcBorders>
              <w:tl2br w:val="nil"/>
              <w:tr2bl w:val="nil"/>
            </w:tcBorders>
            <w:noWrap w:val="0"/>
            <w:vAlign w:val="center"/>
          </w:tcPr>
          <w:p w14:paraId="01E5FBA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参数</w:t>
            </w:r>
          </w:p>
        </w:tc>
        <w:tc>
          <w:tcPr>
            <w:tcW w:w="1666" w:type="pct"/>
            <w:tcBorders>
              <w:tl2br w:val="nil"/>
              <w:tr2bl w:val="nil"/>
            </w:tcBorders>
            <w:noWrap w:val="0"/>
            <w:vAlign w:val="center"/>
          </w:tcPr>
          <w:p w14:paraId="6B8B80DA">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取值</w:t>
            </w:r>
          </w:p>
        </w:tc>
      </w:tr>
      <w:tr w14:paraId="57FAC1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restart"/>
            <w:tcBorders>
              <w:tl2br w:val="nil"/>
              <w:tr2bl w:val="nil"/>
            </w:tcBorders>
            <w:noWrap w:val="0"/>
            <w:vAlign w:val="center"/>
          </w:tcPr>
          <w:p w14:paraId="642E89B3">
            <w:pPr>
              <w:pageBreakBefore w:val="0"/>
              <w:wordWrap/>
              <w:bidi w:val="0"/>
              <w:adjustRightInd/>
              <w:snapToGrid/>
              <w:spacing w:line="240" w:lineRule="auto"/>
              <w:ind w:firstLine="0" w:firstLineChars="0"/>
              <w:jc w:val="center"/>
              <w:rPr>
                <w:color w:val="auto"/>
                <w:sz w:val="21"/>
                <w:szCs w:val="21"/>
              </w:rPr>
            </w:pPr>
            <w:r>
              <w:rPr>
                <w:color w:val="auto"/>
                <w:sz w:val="21"/>
                <w:szCs w:val="21"/>
              </w:rPr>
              <w:t>城市农村/选项</w:t>
            </w:r>
          </w:p>
        </w:tc>
        <w:tc>
          <w:tcPr>
            <w:tcW w:w="1666" w:type="pct"/>
            <w:tcBorders>
              <w:tl2br w:val="nil"/>
              <w:tr2bl w:val="nil"/>
            </w:tcBorders>
            <w:noWrap w:val="0"/>
            <w:vAlign w:val="center"/>
          </w:tcPr>
          <w:p w14:paraId="62D248FF">
            <w:pPr>
              <w:pageBreakBefore w:val="0"/>
              <w:wordWrap/>
              <w:bidi w:val="0"/>
              <w:adjustRightInd/>
              <w:snapToGrid/>
              <w:spacing w:line="240" w:lineRule="auto"/>
              <w:ind w:firstLine="0" w:firstLineChars="0"/>
              <w:jc w:val="center"/>
              <w:rPr>
                <w:color w:val="auto"/>
                <w:sz w:val="21"/>
                <w:szCs w:val="21"/>
              </w:rPr>
            </w:pPr>
            <w:r>
              <w:rPr>
                <w:color w:val="auto"/>
                <w:sz w:val="21"/>
                <w:szCs w:val="21"/>
              </w:rPr>
              <w:t>城市/农村</w:t>
            </w:r>
          </w:p>
        </w:tc>
        <w:tc>
          <w:tcPr>
            <w:tcW w:w="1666" w:type="pct"/>
            <w:tcBorders>
              <w:tl2br w:val="nil"/>
              <w:tr2bl w:val="nil"/>
            </w:tcBorders>
            <w:noWrap w:val="0"/>
            <w:vAlign w:val="center"/>
          </w:tcPr>
          <w:p w14:paraId="01F49C34">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农村</w:t>
            </w:r>
          </w:p>
        </w:tc>
      </w:tr>
      <w:tr w14:paraId="3887E3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continue"/>
            <w:tcBorders>
              <w:tl2br w:val="nil"/>
              <w:tr2bl w:val="nil"/>
            </w:tcBorders>
            <w:noWrap w:val="0"/>
            <w:vAlign w:val="center"/>
          </w:tcPr>
          <w:p w14:paraId="0776CFE7">
            <w:pPr>
              <w:pageBreakBefore w:val="0"/>
              <w:wordWrap/>
              <w:bidi w:val="0"/>
              <w:adjustRightInd/>
              <w:snapToGrid/>
              <w:spacing w:line="240" w:lineRule="auto"/>
              <w:ind w:firstLine="0" w:firstLineChars="0"/>
              <w:jc w:val="center"/>
              <w:rPr>
                <w:color w:val="auto"/>
                <w:sz w:val="21"/>
                <w:szCs w:val="21"/>
              </w:rPr>
            </w:pPr>
          </w:p>
        </w:tc>
        <w:tc>
          <w:tcPr>
            <w:tcW w:w="1666" w:type="pct"/>
            <w:tcBorders>
              <w:tl2br w:val="nil"/>
              <w:tr2bl w:val="nil"/>
            </w:tcBorders>
            <w:noWrap w:val="0"/>
            <w:vAlign w:val="center"/>
          </w:tcPr>
          <w:p w14:paraId="1E1E1553">
            <w:pPr>
              <w:pageBreakBefore w:val="0"/>
              <w:wordWrap/>
              <w:bidi w:val="0"/>
              <w:adjustRightInd/>
              <w:snapToGrid/>
              <w:spacing w:line="240" w:lineRule="auto"/>
              <w:ind w:firstLine="0" w:firstLineChars="0"/>
              <w:jc w:val="center"/>
              <w:rPr>
                <w:color w:val="auto"/>
                <w:sz w:val="21"/>
                <w:szCs w:val="21"/>
              </w:rPr>
            </w:pPr>
            <w:r>
              <w:rPr>
                <w:color w:val="auto"/>
                <w:sz w:val="21"/>
                <w:szCs w:val="21"/>
              </w:rPr>
              <w:t>人口数（城市人口数）</w:t>
            </w:r>
          </w:p>
        </w:tc>
        <w:tc>
          <w:tcPr>
            <w:tcW w:w="1666" w:type="pct"/>
            <w:tcBorders>
              <w:tl2br w:val="nil"/>
              <w:tr2bl w:val="nil"/>
            </w:tcBorders>
            <w:noWrap w:val="0"/>
            <w:vAlign w:val="center"/>
          </w:tcPr>
          <w:p w14:paraId="0192E761">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lang w:val="en-US" w:eastAsia="zh-CN"/>
              </w:rPr>
              <w:t>/</w:t>
            </w:r>
          </w:p>
        </w:tc>
      </w:tr>
      <w:tr w14:paraId="5E216E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33" w:type="pct"/>
            <w:gridSpan w:val="2"/>
            <w:tcBorders>
              <w:tl2br w:val="nil"/>
              <w:tr2bl w:val="nil"/>
            </w:tcBorders>
            <w:noWrap w:val="0"/>
            <w:vAlign w:val="center"/>
          </w:tcPr>
          <w:p w14:paraId="35610914">
            <w:pPr>
              <w:pageBreakBefore w:val="0"/>
              <w:wordWrap/>
              <w:bidi w:val="0"/>
              <w:adjustRightInd/>
              <w:snapToGrid/>
              <w:spacing w:line="240" w:lineRule="auto"/>
              <w:ind w:firstLine="0" w:firstLineChars="0"/>
              <w:jc w:val="center"/>
              <w:rPr>
                <w:color w:val="auto"/>
                <w:sz w:val="21"/>
                <w:szCs w:val="21"/>
              </w:rPr>
            </w:pPr>
            <w:r>
              <w:rPr>
                <w:color w:val="auto"/>
                <w:sz w:val="21"/>
                <w:szCs w:val="21"/>
              </w:rPr>
              <w:t>最高环境温度</w:t>
            </w:r>
          </w:p>
        </w:tc>
        <w:tc>
          <w:tcPr>
            <w:tcW w:w="1666" w:type="pct"/>
            <w:tcBorders>
              <w:tl2br w:val="nil"/>
              <w:tr2bl w:val="nil"/>
            </w:tcBorders>
            <w:noWrap w:val="0"/>
            <w:vAlign w:val="center"/>
          </w:tcPr>
          <w:p w14:paraId="5E26D6B6">
            <w:pPr>
              <w:pageBreakBefore w:val="0"/>
              <w:wordWrap/>
              <w:bidi w:val="0"/>
              <w:adjustRightInd/>
              <w:snapToGrid/>
              <w:spacing w:line="240" w:lineRule="auto"/>
              <w:ind w:firstLine="0" w:firstLineChars="0"/>
              <w:jc w:val="center"/>
              <w:rPr>
                <w:color w:val="auto"/>
                <w:sz w:val="21"/>
                <w:szCs w:val="21"/>
              </w:rPr>
            </w:pPr>
            <w:r>
              <w:rPr>
                <w:color w:val="auto"/>
                <w:sz w:val="21"/>
                <w:szCs w:val="21"/>
              </w:rPr>
              <w:t>40.</w:t>
            </w:r>
            <w:r>
              <w:rPr>
                <w:rFonts w:hint="eastAsia"/>
                <w:color w:val="auto"/>
                <w:sz w:val="21"/>
                <w:szCs w:val="21"/>
                <w:lang w:val="en-US" w:eastAsia="zh-CN"/>
              </w:rPr>
              <w:t>3</w:t>
            </w:r>
            <w:r>
              <w:rPr>
                <w:color w:val="auto"/>
                <w:sz w:val="21"/>
                <w:szCs w:val="21"/>
              </w:rPr>
              <w:t>℃</w:t>
            </w:r>
          </w:p>
        </w:tc>
      </w:tr>
      <w:tr w14:paraId="07CAE9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33" w:type="pct"/>
            <w:gridSpan w:val="2"/>
            <w:tcBorders>
              <w:tl2br w:val="nil"/>
              <w:tr2bl w:val="nil"/>
            </w:tcBorders>
            <w:noWrap w:val="0"/>
            <w:vAlign w:val="center"/>
          </w:tcPr>
          <w:p w14:paraId="17455FC3">
            <w:pPr>
              <w:pageBreakBefore w:val="0"/>
              <w:wordWrap/>
              <w:bidi w:val="0"/>
              <w:adjustRightInd/>
              <w:snapToGrid/>
              <w:spacing w:line="240" w:lineRule="auto"/>
              <w:ind w:firstLine="0" w:firstLineChars="0"/>
              <w:jc w:val="center"/>
              <w:rPr>
                <w:color w:val="auto"/>
                <w:sz w:val="21"/>
                <w:szCs w:val="21"/>
              </w:rPr>
            </w:pPr>
            <w:r>
              <w:rPr>
                <w:color w:val="auto"/>
                <w:sz w:val="21"/>
                <w:szCs w:val="21"/>
              </w:rPr>
              <w:t>最低环境温度</w:t>
            </w:r>
          </w:p>
        </w:tc>
        <w:tc>
          <w:tcPr>
            <w:tcW w:w="1666" w:type="pct"/>
            <w:tcBorders>
              <w:tl2br w:val="nil"/>
              <w:tr2bl w:val="nil"/>
            </w:tcBorders>
            <w:noWrap w:val="0"/>
            <w:vAlign w:val="center"/>
          </w:tcPr>
          <w:p w14:paraId="7EE56712">
            <w:pPr>
              <w:pageBreakBefore w:val="0"/>
              <w:wordWrap/>
              <w:bidi w:val="0"/>
              <w:adjustRightInd/>
              <w:snapToGrid/>
              <w:spacing w:line="240" w:lineRule="auto"/>
              <w:ind w:firstLine="0" w:firstLineChars="0"/>
              <w:jc w:val="center"/>
              <w:rPr>
                <w:color w:val="auto"/>
                <w:sz w:val="21"/>
                <w:szCs w:val="21"/>
              </w:rPr>
            </w:pPr>
            <w:r>
              <w:rPr>
                <w:color w:val="auto"/>
                <w:sz w:val="21"/>
                <w:szCs w:val="21"/>
              </w:rPr>
              <w:t>-</w:t>
            </w:r>
            <w:r>
              <w:rPr>
                <w:rFonts w:hint="eastAsia"/>
                <w:color w:val="auto"/>
                <w:sz w:val="21"/>
                <w:szCs w:val="21"/>
                <w:lang w:val="en-US" w:eastAsia="zh-CN"/>
              </w:rPr>
              <w:t>5.3</w:t>
            </w:r>
            <w:r>
              <w:rPr>
                <w:color w:val="auto"/>
                <w:sz w:val="21"/>
                <w:szCs w:val="21"/>
              </w:rPr>
              <w:t>℃</w:t>
            </w:r>
          </w:p>
        </w:tc>
      </w:tr>
      <w:tr w14:paraId="13C322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33" w:type="pct"/>
            <w:gridSpan w:val="2"/>
            <w:tcBorders>
              <w:tl2br w:val="nil"/>
              <w:tr2bl w:val="nil"/>
            </w:tcBorders>
            <w:noWrap w:val="0"/>
            <w:vAlign w:val="center"/>
          </w:tcPr>
          <w:p w14:paraId="02CF8FFF">
            <w:pPr>
              <w:pageBreakBefore w:val="0"/>
              <w:wordWrap/>
              <w:bidi w:val="0"/>
              <w:adjustRightInd/>
              <w:snapToGrid/>
              <w:spacing w:line="240" w:lineRule="auto"/>
              <w:ind w:firstLine="0" w:firstLineChars="0"/>
              <w:jc w:val="center"/>
              <w:rPr>
                <w:color w:val="auto"/>
                <w:sz w:val="21"/>
                <w:szCs w:val="21"/>
              </w:rPr>
            </w:pPr>
            <w:r>
              <w:rPr>
                <w:color w:val="auto"/>
                <w:sz w:val="21"/>
                <w:szCs w:val="21"/>
              </w:rPr>
              <w:t>土地利用类型</w:t>
            </w:r>
          </w:p>
        </w:tc>
        <w:tc>
          <w:tcPr>
            <w:tcW w:w="1666" w:type="pct"/>
            <w:tcBorders>
              <w:tl2br w:val="nil"/>
              <w:tr2bl w:val="nil"/>
            </w:tcBorders>
            <w:noWrap w:val="0"/>
            <w:vAlign w:val="center"/>
          </w:tcPr>
          <w:p w14:paraId="1DE9AC1A">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农作地</w:t>
            </w:r>
          </w:p>
        </w:tc>
      </w:tr>
      <w:tr w14:paraId="72DE7D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33" w:type="pct"/>
            <w:gridSpan w:val="2"/>
            <w:tcBorders>
              <w:tl2br w:val="nil"/>
              <w:tr2bl w:val="nil"/>
            </w:tcBorders>
            <w:noWrap w:val="0"/>
            <w:vAlign w:val="center"/>
          </w:tcPr>
          <w:p w14:paraId="41C19139">
            <w:pPr>
              <w:pageBreakBefore w:val="0"/>
              <w:wordWrap/>
              <w:bidi w:val="0"/>
              <w:adjustRightInd/>
              <w:snapToGrid/>
              <w:spacing w:line="240" w:lineRule="auto"/>
              <w:ind w:firstLine="0" w:firstLineChars="0"/>
              <w:jc w:val="center"/>
              <w:rPr>
                <w:color w:val="auto"/>
                <w:sz w:val="21"/>
                <w:szCs w:val="21"/>
              </w:rPr>
            </w:pPr>
            <w:r>
              <w:rPr>
                <w:color w:val="auto"/>
                <w:sz w:val="21"/>
                <w:szCs w:val="21"/>
              </w:rPr>
              <w:t>区域湿度条件</w:t>
            </w:r>
          </w:p>
        </w:tc>
        <w:tc>
          <w:tcPr>
            <w:tcW w:w="1666" w:type="pct"/>
            <w:tcBorders>
              <w:tl2br w:val="nil"/>
              <w:tr2bl w:val="nil"/>
            </w:tcBorders>
            <w:noWrap w:val="0"/>
            <w:vAlign w:val="center"/>
          </w:tcPr>
          <w:p w14:paraId="72CF59E8">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中度湿润气候</w:t>
            </w:r>
          </w:p>
        </w:tc>
      </w:tr>
      <w:tr w14:paraId="2648C5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restart"/>
            <w:tcBorders>
              <w:tl2br w:val="nil"/>
              <w:tr2bl w:val="nil"/>
            </w:tcBorders>
            <w:noWrap w:val="0"/>
            <w:vAlign w:val="center"/>
          </w:tcPr>
          <w:p w14:paraId="326A8D14">
            <w:pPr>
              <w:pageBreakBefore w:val="0"/>
              <w:wordWrap/>
              <w:bidi w:val="0"/>
              <w:adjustRightInd/>
              <w:snapToGrid/>
              <w:spacing w:line="240" w:lineRule="auto"/>
              <w:ind w:firstLine="0" w:firstLineChars="0"/>
              <w:jc w:val="center"/>
              <w:rPr>
                <w:color w:val="auto"/>
                <w:sz w:val="21"/>
                <w:szCs w:val="21"/>
              </w:rPr>
            </w:pPr>
            <w:r>
              <w:rPr>
                <w:color w:val="auto"/>
                <w:sz w:val="21"/>
                <w:szCs w:val="21"/>
              </w:rPr>
              <w:t>是否考虑地形</w:t>
            </w:r>
          </w:p>
        </w:tc>
        <w:tc>
          <w:tcPr>
            <w:tcW w:w="1666" w:type="pct"/>
            <w:tcBorders>
              <w:tl2br w:val="nil"/>
              <w:tr2bl w:val="nil"/>
            </w:tcBorders>
            <w:noWrap w:val="0"/>
            <w:vAlign w:val="center"/>
          </w:tcPr>
          <w:p w14:paraId="0075BB26">
            <w:pPr>
              <w:pageBreakBefore w:val="0"/>
              <w:wordWrap/>
              <w:bidi w:val="0"/>
              <w:adjustRightInd/>
              <w:snapToGrid/>
              <w:spacing w:line="240" w:lineRule="auto"/>
              <w:ind w:firstLine="0" w:firstLineChars="0"/>
              <w:jc w:val="center"/>
              <w:rPr>
                <w:color w:val="auto"/>
                <w:sz w:val="21"/>
                <w:szCs w:val="21"/>
              </w:rPr>
            </w:pPr>
            <w:r>
              <w:rPr>
                <w:color w:val="auto"/>
                <w:sz w:val="21"/>
                <w:szCs w:val="21"/>
              </w:rPr>
              <w:t>考虑地形</w:t>
            </w:r>
          </w:p>
        </w:tc>
        <w:tc>
          <w:tcPr>
            <w:tcW w:w="1666" w:type="pct"/>
            <w:tcBorders>
              <w:tl2br w:val="nil"/>
              <w:tr2bl w:val="nil"/>
            </w:tcBorders>
            <w:noWrap w:val="0"/>
            <w:vAlign w:val="center"/>
          </w:tcPr>
          <w:p w14:paraId="7188D026">
            <w:pPr>
              <w:pageBreakBefore w:val="0"/>
              <w:wordWrap/>
              <w:bidi w:val="0"/>
              <w:adjustRightInd/>
              <w:snapToGrid/>
              <w:spacing w:line="240" w:lineRule="auto"/>
              <w:ind w:firstLine="0" w:firstLineChars="0"/>
              <w:jc w:val="center"/>
              <w:rPr>
                <w:color w:val="auto"/>
                <w:sz w:val="21"/>
                <w:szCs w:val="21"/>
              </w:rPr>
            </w:pPr>
            <w:r>
              <w:rPr>
                <w:color w:val="auto"/>
                <w:sz w:val="21"/>
                <w:szCs w:val="21"/>
              </w:rPr>
              <w:t>是</w:t>
            </w:r>
          </w:p>
        </w:tc>
      </w:tr>
      <w:tr w14:paraId="4E32C1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continue"/>
            <w:tcBorders>
              <w:tl2br w:val="nil"/>
              <w:tr2bl w:val="nil"/>
            </w:tcBorders>
            <w:noWrap w:val="0"/>
            <w:vAlign w:val="center"/>
          </w:tcPr>
          <w:p w14:paraId="1E061A3A">
            <w:pPr>
              <w:pageBreakBefore w:val="0"/>
              <w:wordWrap/>
              <w:bidi w:val="0"/>
              <w:adjustRightInd/>
              <w:snapToGrid/>
              <w:spacing w:line="240" w:lineRule="auto"/>
              <w:ind w:firstLine="0" w:firstLineChars="0"/>
              <w:jc w:val="center"/>
              <w:rPr>
                <w:color w:val="auto"/>
                <w:sz w:val="21"/>
                <w:szCs w:val="21"/>
              </w:rPr>
            </w:pPr>
          </w:p>
        </w:tc>
        <w:tc>
          <w:tcPr>
            <w:tcW w:w="1666" w:type="pct"/>
            <w:tcBorders>
              <w:tl2br w:val="nil"/>
              <w:tr2bl w:val="nil"/>
            </w:tcBorders>
            <w:noWrap w:val="0"/>
            <w:vAlign w:val="center"/>
          </w:tcPr>
          <w:p w14:paraId="2A515899">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color w:val="auto"/>
                <w:sz w:val="21"/>
                <w:szCs w:val="21"/>
              </w:rPr>
              <w:t>地形数据分辨率</w:t>
            </w:r>
            <w:r>
              <w:rPr>
                <w:rFonts w:hint="eastAsia"/>
                <w:color w:val="auto"/>
                <w:sz w:val="21"/>
                <w:szCs w:val="21"/>
                <w:lang w:eastAsia="zh-CN"/>
              </w:rPr>
              <w:t>（</w:t>
            </w:r>
            <w:r>
              <w:rPr>
                <w:color w:val="auto"/>
                <w:sz w:val="21"/>
                <w:szCs w:val="21"/>
              </w:rPr>
              <w:t>m</w:t>
            </w:r>
            <w:r>
              <w:rPr>
                <w:rFonts w:hint="eastAsia"/>
                <w:color w:val="auto"/>
                <w:sz w:val="21"/>
                <w:szCs w:val="21"/>
                <w:lang w:eastAsia="zh-CN"/>
              </w:rPr>
              <w:t>）</w:t>
            </w:r>
          </w:p>
        </w:tc>
        <w:tc>
          <w:tcPr>
            <w:tcW w:w="1666" w:type="pct"/>
            <w:tcBorders>
              <w:tl2br w:val="nil"/>
              <w:tr2bl w:val="nil"/>
            </w:tcBorders>
            <w:noWrap w:val="0"/>
            <w:vAlign w:val="center"/>
          </w:tcPr>
          <w:p w14:paraId="4F606F81">
            <w:pPr>
              <w:pageBreakBefore w:val="0"/>
              <w:wordWrap/>
              <w:bidi w:val="0"/>
              <w:adjustRightInd/>
              <w:snapToGrid/>
              <w:spacing w:line="240" w:lineRule="auto"/>
              <w:ind w:firstLine="0" w:firstLineChars="0"/>
              <w:jc w:val="center"/>
              <w:rPr>
                <w:color w:val="auto"/>
                <w:sz w:val="21"/>
                <w:szCs w:val="21"/>
              </w:rPr>
            </w:pPr>
            <w:r>
              <w:rPr>
                <w:color w:val="auto"/>
                <w:sz w:val="21"/>
                <w:szCs w:val="21"/>
              </w:rPr>
              <w:t>90</w:t>
            </w:r>
          </w:p>
        </w:tc>
      </w:tr>
      <w:tr w14:paraId="40449B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restart"/>
            <w:tcBorders>
              <w:tl2br w:val="nil"/>
              <w:tr2bl w:val="nil"/>
            </w:tcBorders>
            <w:noWrap w:val="0"/>
            <w:vAlign w:val="center"/>
          </w:tcPr>
          <w:p w14:paraId="1693B963">
            <w:pPr>
              <w:pageBreakBefore w:val="0"/>
              <w:wordWrap/>
              <w:bidi w:val="0"/>
              <w:adjustRightInd/>
              <w:snapToGrid/>
              <w:spacing w:line="240" w:lineRule="auto"/>
              <w:ind w:firstLine="0" w:firstLineChars="0"/>
              <w:jc w:val="center"/>
              <w:rPr>
                <w:color w:val="auto"/>
                <w:sz w:val="21"/>
                <w:szCs w:val="21"/>
              </w:rPr>
            </w:pPr>
            <w:r>
              <w:rPr>
                <w:color w:val="auto"/>
                <w:sz w:val="21"/>
                <w:szCs w:val="21"/>
              </w:rPr>
              <w:t>是否考虑海岸线熏烟</w:t>
            </w:r>
          </w:p>
        </w:tc>
        <w:tc>
          <w:tcPr>
            <w:tcW w:w="1666" w:type="pct"/>
            <w:tcBorders>
              <w:tl2br w:val="nil"/>
              <w:tr2bl w:val="nil"/>
            </w:tcBorders>
            <w:noWrap w:val="0"/>
            <w:vAlign w:val="center"/>
          </w:tcPr>
          <w:p w14:paraId="282ACB43">
            <w:pPr>
              <w:pageBreakBefore w:val="0"/>
              <w:wordWrap/>
              <w:bidi w:val="0"/>
              <w:adjustRightInd/>
              <w:snapToGrid/>
              <w:spacing w:line="240" w:lineRule="auto"/>
              <w:ind w:firstLine="0" w:firstLineChars="0"/>
              <w:jc w:val="center"/>
              <w:rPr>
                <w:color w:val="auto"/>
                <w:sz w:val="21"/>
                <w:szCs w:val="21"/>
              </w:rPr>
            </w:pPr>
            <w:r>
              <w:rPr>
                <w:color w:val="auto"/>
                <w:sz w:val="21"/>
                <w:szCs w:val="21"/>
              </w:rPr>
              <w:t>考虑海岸线熏烟</w:t>
            </w:r>
          </w:p>
        </w:tc>
        <w:tc>
          <w:tcPr>
            <w:tcW w:w="1666" w:type="pct"/>
            <w:tcBorders>
              <w:tl2br w:val="nil"/>
              <w:tr2bl w:val="nil"/>
            </w:tcBorders>
            <w:noWrap w:val="0"/>
            <w:vAlign w:val="center"/>
          </w:tcPr>
          <w:p w14:paraId="557F1DB0">
            <w:pPr>
              <w:pageBreakBefore w:val="0"/>
              <w:wordWrap/>
              <w:bidi w:val="0"/>
              <w:adjustRightInd/>
              <w:snapToGrid/>
              <w:spacing w:line="240" w:lineRule="auto"/>
              <w:ind w:firstLine="0" w:firstLineChars="0"/>
              <w:jc w:val="center"/>
              <w:rPr>
                <w:color w:val="auto"/>
                <w:sz w:val="21"/>
                <w:szCs w:val="21"/>
              </w:rPr>
            </w:pPr>
            <w:r>
              <w:rPr>
                <w:color w:val="auto"/>
                <w:sz w:val="21"/>
                <w:szCs w:val="21"/>
              </w:rPr>
              <w:t>否</w:t>
            </w:r>
          </w:p>
        </w:tc>
      </w:tr>
      <w:tr w14:paraId="2507B5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continue"/>
            <w:tcBorders>
              <w:tl2br w:val="nil"/>
              <w:tr2bl w:val="nil"/>
            </w:tcBorders>
            <w:noWrap w:val="0"/>
            <w:vAlign w:val="center"/>
          </w:tcPr>
          <w:p w14:paraId="0A289F01">
            <w:pPr>
              <w:pageBreakBefore w:val="0"/>
              <w:wordWrap/>
              <w:bidi w:val="0"/>
              <w:adjustRightInd/>
              <w:snapToGrid/>
              <w:spacing w:line="240" w:lineRule="auto"/>
              <w:ind w:firstLine="0" w:firstLineChars="0"/>
              <w:jc w:val="center"/>
              <w:rPr>
                <w:color w:val="auto"/>
                <w:sz w:val="21"/>
                <w:szCs w:val="21"/>
              </w:rPr>
            </w:pPr>
          </w:p>
        </w:tc>
        <w:tc>
          <w:tcPr>
            <w:tcW w:w="1666" w:type="pct"/>
            <w:tcBorders>
              <w:tl2br w:val="nil"/>
              <w:tr2bl w:val="nil"/>
            </w:tcBorders>
            <w:noWrap w:val="0"/>
            <w:vAlign w:val="center"/>
          </w:tcPr>
          <w:p w14:paraId="2B53B2BA">
            <w:pPr>
              <w:pageBreakBefore w:val="0"/>
              <w:wordWrap/>
              <w:bidi w:val="0"/>
              <w:adjustRightInd/>
              <w:snapToGrid/>
              <w:spacing w:line="240" w:lineRule="auto"/>
              <w:ind w:firstLine="0" w:firstLineChars="0"/>
              <w:jc w:val="center"/>
              <w:rPr>
                <w:color w:val="auto"/>
                <w:sz w:val="21"/>
                <w:szCs w:val="21"/>
              </w:rPr>
            </w:pPr>
            <w:r>
              <w:rPr>
                <w:color w:val="auto"/>
                <w:sz w:val="21"/>
                <w:szCs w:val="21"/>
              </w:rPr>
              <w:t>海岸线距离/km</w:t>
            </w:r>
          </w:p>
        </w:tc>
        <w:tc>
          <w:tcPr>
            <w:tcW w:w="1666" w:type="pct"/>
            <w:tcBorders>
              <w:tl2br w:val="nil"/>
              <w:tr2bl w:val="nil"/>
            </w:tcBorders>
            <w:noWrap w:val="0"/>
            <w:vAlign w:val="center"/>
          </w:tcPr>
          <w:p w14:paraId="6312DE55">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r>
      <w:tr w14:paraId="4FBB0C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Merge w:val="continue"/>
            <w:tcBorders>
              <w:tl2br w:val="nil"/>
              <w:tr2bl w:val="nil"/>
            </w:tcBorders>
            <w:noWrap w:val="0"/>
            <w:vAlign w:val="center"/>
          </w:tcPr>
          <w:p w14:paraId="64022483">
            <w:pPr>
              <w:pageBreakBefore w:val="0"/>
              <w:wordWrap/>
              <w:bidi w:val="0"/>
              <w:adjustRightInd/>
              <w:snapToGrid/>
              <w:spacing w:line="240" w:lineRule="auto"/>
              <w:ind w:firstLine="0" w:firstLineChars="0"/>
              <w:jc w:val="center"/>
              <w:rPr>
                <w:color w:val="auto"/>
                <w:sz w:val="21"/>
                <w:szCs w:val="21"/>
              </w:rPr>
            </w:pPr>
          </w:p>
        </w:tc>
        <w:tc>
          <w:tcPr>
            <w:tcW w:w="1666" w:type="pct"/>
            <w:tcBorders>
              <w:tl2br w:val="nil"/>
              <w:tr2bl w:val="nil"/>
            </w:tcBorders>
            <w:noWrap w:val="0"/>
            <w:vAlign w:val="center"/>
          </w:tcPr>
          <w:p w14:paraId="5ACACB77">
            <w:pPr>
              <w:pageBreakBefore w:val="0"/>
              <w:wordWrap/>
              <w:bidi w:val="0"/>
              <w:adjustRightInd/>
              <w:snapToGrid/>
              <w:spacing w:line="240" w:lineRule="auto"/>
              <w:ind w:firstLine="0" w:firstLineChars="0"/>
              <w:jc w:val="center"/>
              <w:rPr>
                <w:color w:val="auto"/>
                <w:sz w:val="21"/>
                <w:szCs w:val="21"/>
              </w:rPr>
            </w:pPr>
            <w:r>
              <w:rPr>
                <w:color w:val="auto"/>
                <w:sz w:val="21"/>
                <w:szCs w:val="21"/>
              </w:rPr>
              <w:t>海岸线方向/</w:t>
            </w:r>
            <w:r>
              <w:rPr>
                <w:color w:val="auto"/>
                <w:sz w:val="21"/>
                <w:szCs w:val="21"/>
                <w:vertAlign w:val="superscript"/>
              </w:rPr>
              <w:t>o</w:t>
            </w:r>
          </w:p>
        </w:tc>
        <w:tc>
          <w:tcPr>
            <w:tcW w:w="1666" w:type="pct"/>
            <w:tcBorders>
              <w:tl2br w:val="nil"/>
              <w:tr2bl w:val="nil"/>
            </w:tcBorders>
            <w:noWrap w:val="0"/>
            <w:vAlign w:val="center"/>
          </w:tcPr>
          <w:p w14:paraId="36BBC3A4">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r>
    </w:tbl>
    <w:p w14:paraId="2BBEA6F6">
      <w:pPr>
        <w:pageBreakBefore w:val="0"/>
        <w:wordWrap/>
        <w:autoSpaceDE w:val="0"/>
        <w:autoSpaceDN w:val="0"/>
        <w:bidi w:val="0"/>
        <w:adjustRightInd/>
        <w:snapToGrid/>
        <w:spacing w:before="120" w:beforeLines="50"/>
        <w:ind w:firstLine="480"/>
        <w:rPr>
          <w:color w:val="auto"/>
        </w:rPr>
      </w:pPr>
      <w:r>
        <w:rPr>
          <w:color w:val="auto"/>
        </w:rPr>
        <w:t>（3）大气环境影响预测计算结果</w:t>
      </w:r>
    </w:p>
    <w:p w14:paraId="4DB8DA04">
      <w:pPr>
        <w:pageBreakBefore w:val="0"/>
        <w:wordWrap/>
        <w:autoSpaceDE w:val="0"/>
        <w:autoSpaceDN w:val="0"/>
        <w:bidi w:val="0"/>
        <w:adjustRightInd/>
        <w:snapToGrid/>
        <w:spacing w:before="120" w:beforeLines="50"/>
        <w:ind w:firstLine="480"/>
        <w:rPr>
          <w:rFonts w:hint="eastAsia" w:eastAsia="宋体"/>
          <w:color w:val="auto"/>
          <w:kern w:val="0"/>
          <w:lang w:val="en-US" w:eastAsia="zh-CN"/>
        </w:rPr>
      </w:pPr>
      <w:r>
        <w:rPr>
          <w:color w:val="auto"/>
          <w:kern w:val="0"/>
        </w:rPr>
        <w:t>由</w:t>
      </w:r>
      <w:r>
        <w:rPr>
          <w:rFonts w:hint="eastAsia"/>
          <w:color w:val="auto"/>
          <w:kern w:val="0"/>
          <w:lang w:val="en-US" w:eastAsia="zh-CN"/>
        </w:rPr>
        <w:t>上表</w:t>
      </w:r>
      <w:r>
        <w:rPr>
          <w:color w:val="auto"/>
          <w:kern w:val="0"/>
        </w:rPr>
        <w:t>可知，本项目新建污水处理厂恶臭NH</w:t>
      </w:r>
      <w:r>
        <w:rPr>
          <w:color w:val="auto"/>
          <w:kern w:val="0"/>
          <w:vertAlign w:val="subscript"/>
        </w:rPr>
        <w:t>3</w:t>
      </w:r>
      <w:r>
        <w:rPr>
          <w:color w:val="auto"/>
          <w:kern w:val="0"/>
        </w:rPr>
        <w:t>、H</w:t>
      </w:r>
      <w:r>
        <w:rPr>
          <w:color w:val="auto"/>
          <w:kern w:val="0"/>
          <w:vertAlign w:val="subscript"/>
        </w:rPr>
        <w:t>2</w:t>
      </w:r>
      <w:r>
        <w:rPr>
          <w:color w:val="auto"/>
          <w:kern w:val="0"/>
        </w:rPr>
        <w:t>S正常排放的最大地面小时浓度分别为</w:t>
      </w:r>
      <w:r>
        <w:rPr>
          <w:rFonts w:hint="eastAsia"/>
          <w:color w:val="auto"/>
          <w:kern w:val="0"/>
          <w:lang w:val="en-US" w:eastAsia="zh-CN"/>
        </w:rPr>
        <w:t>1.44×10</w:t>
      </w:r>
      <w:r>
        <w:rPr>
          <w:rFonts w:hint="eastAsia"/>
          <w:color w:val="auto"/>
          <w:kern w:val="0"/>
          <w:vertAlign w:val="superscript"/>
          <w:lang w:val="en-US" w:eastAsia="zh-CN"/>
        </w:rPr>
        <w:t>-2</w:t>
      </w:r>
      <w:r>
        <w:rPr>
          <w:color w:val="auto"/>
          <w:kern w:val="0"/>
        </w:rPr>
        <w:t>mg/</w:t>
      </w:r>
      <w:r>
        <w:rPr>
          <w:rFonts w:hint="eastAsia"/>
          <w:color w:val="auto"/>
          <w:kern w:val="0"/>
          <w:lang w:eastAsia="zh-CN"/>
        </w:rPr>
        <w:t>m³</w:t>
      </w:r>
      <w:r>
        <w:rPr>
          <w:color w:val="auto"/>
          <w:kern w:val="0"/>
        </w:rPr>
        <w:t>、</w:t>
      </w:r>
      <w:r>
        <w:rPr>
          <w:rFonts w:hint="eastAsia"/>
          <w:color w:val="auto"/>
          <w:kern w:val="0"/>
          <w:lang w:val="en-US" w:eastAsia="zh-CN"/>
        </w:rPr>
        <w:t>3.46×10</w:t>
      </w:r>
      <w:r>
        <w:rPr>
          <w:rFonts w:hint="eastAsia"/>
          <w:color w:val="auto"/>
          <w:kern w:val="0"/>
          <w:vertAlign w:val="superscript"/>
          <w:lang w:val="en-US" w:eastAsia="zh-CN"/>
        </w:rPr>
        <w:t>-4</w:t>
      </w:r>
      <w:r>
        <w:rPr>
          <w:color w:val="auto"/>
          <w:kern w:val="0"/>
        </w:rPr>
        <w:t>mg/</w:t>
      </w:r>
      <w:r>
        <w:rPr>
          <w:rFonts w:hint="eastAsia"/>
          <w:color w:val="auto"/>
          <w:kern w:val="0"/>
          <w:lang w:eastAsia="zh-CN"/>
        </w:rPr>
        <w:t>m³</w:t>
      </w:r>
      <w:r>
        <w:rPr>
          <w:color w:val="auto"/>
          <w:kern w:val="0"/>
        </w:rPr>
        <w:t>，占标率分别为</w:t>
      </w:r>
      <w:r>
        <w:rPr>
          <w:rFonts w:hint="eastAsia"/>
          <w:color w:val="auto"/>
          <w:kern w:val="0"/>
          <w:lang w:val="en-US" w:eastAsia="zh-CN"/>
        </w:rPr>
        <w:t>7.22%</w:t>
      </w:r>
      <w:r>
        <w:rPr>
          <w:color w:val="auto"/>
          <w:kern w:val="0"/>
        </w:rPr>
        <w:t>、</w:t>
      </w:r>
      <w:r>
        <w:rPr>
          <w:rFonts w:hint="eastAsia"/>
          <w:color w:val="auto"/>
          <w:kern w:val="0"/>
          <w:lang w:val="en-US" w:eastAsia="zh-CN"/>
        </w:rPr>
        <w:t>0.69%</w:t>
      </w:r>
      <w:r>
        <w:rPr>
          <w:color w:val="auto"/>
          <w:kern w:val="0"/>
        </w:rPr>
        <w:t>，NH</w:t>
      </w:r>
      <w:r>
        <w:rPr>
          <w:color w:val="auto"/>
          <w:kern w:val="0"/>
          <w:vertAlign w:val="subscript"/>
        </w:rPr>
        <w:t>3</w:t>
      </w:r>
      <w:r>
        <w:rPr>
          <w:color w:val="auto"/>
          <w:kern w:val="0"/>
        </w:rPr>
        <w:t>最大地面浓度距离</w:t>
      </w:r>
      <w:r>
        <w:rPr>
          <w:rFonts w:hint="eastAsia"/>
          <w:color w:val="auto"/>
          <w:kern w:val="0"/>
          <w:lang w:val="en-US" w:eastAsia="zh-CN"/>
        </w:rPr>
        <w:t>污水</w:t>
      </w:r>
      <w:r>
        <w:rPr>
          <w:color w:val="auto"/>
          <w:kern w:val="0"/>
        </w:rPr>
        <w:t>处理单元下风向</w:t>
      </w:r>
      <w:r>
        <w:rPr>
          <w:rFonts w:hint="eastAsia"/>
          <w:color w:val="auto"/>
          <w:kern w:val="0"/>
          <w:lang w:val="en-US" w:eastAsia="zh-CN"/>
        </w:rPr>
        <w:t>185</w:t>
      </w:r>
      <w:r>
        <w:rPr>
          <w:color w:val="auto"/>
          <w:kern w:val="0"/>
        </w:rPr>
        <w:t>米，H</w:t>
      </w:r>
      <w:r>
        <w:rPr>
          <w:color w:val="auto"/>
          <w:kern w:val="0"/>
          <w:vertAlign w:val="subscript"/>
        </w:rPr>
        <w:t>2</w:t>
      </w:r>
      <w:r>
        <w:rPr>
          <w:color w:val="auto"/>
          <w:kern w:val="0"/>
        </w:rPr>
        <w:t>S最大地面浓度距离</w:t>
      </w:r>
      <w:r>
        <w:rPr>
          <w:rFonts w:hint="eastAsia"/>
          <w:color w:val="auto"/>
          <w:kern w:val="0"/>
          <w:lang w:val="en-US" w:eastAsia="zh-CN"/>
        </w:rPr>
        <w:t>污水处理单元</w:t>
      </w:r>
      <w:r>
        <w:rPr>
          <w:color w:val="auto"/>
          <w:kern w:val="0"/>
        </w:rPr>
        <w:t>下风向</w:t>
      </w:r>
      <w:r>
        <w:rPr>
          <w:rFonts w:hint="eastAsia"/>
          <w:color w:val="auto"/>
          <w:kern w:val="0"/>
          <w:lang w:val="en-US" w:eastAsia="zh-CN"/>
        </w:rPr>
        <w:t>185</w:t>
      </w:r>
      <w:r>
        <w:rPr>
          <w:color w:val="auto"/>
          <w:kern w:val="0"/>
        </w:rPr>
        <w:t>米</w:t>
      </w:r>
      <w:r>
        <w:rPr>
          <w:rFonts w:hint="eastAsia"/>
          <w:color w:val="auto"/>
          <w:kern w:val="0"/>
          <w:lang w:eastAsia="zh-CN"/>
        </w:rPr>
        <w:t>。</w:t>
      </w:r>
    </w:p>
    <w:p w14:paraId="76B23191">
      <w:pPr>
        <w:pageBreakBefore w:val="0"/>
        <w:wordWrap/>
        <w:autoSpaceDE w:val="0"/>
        <w:autoSpaceDN w:val="0"/>
        <w:bidi w:val="0"/>
        <w:adjustRightInd/>
        <w:snapToGrid/>
        <w:ind w:firstLine="480"/>
        <w:rPr>
          <w:color w:val="auto"/>
          <w:kern w:val="0"/>
        </w:rPr>
      </w:pPr>
      <w:r>
        <w:rPr>
          <w:color w:val="auto"/>
          <w:kern w:val="0"/>
        </w:rPr>
        <w:t>污水处理厂各臭气收集装置收集的臭气经生物滤池除臭，且在本厂周边设置绿化带，进一步吸收恶臭气体，故污染物排放对周围环境的影响不大。</w:t>
      </w:r>
    </w:p>
    <w:p w14:paraId="1B0A695B">
      <w:pPr>
        <w:pageBreakBefore w:val="0"/>
        <w:wordWrap/>
        <w:autoSpaceDE w:val="0"/>
        <w:autoSpaceDN w:val="0"/>
        <w:bidi w:val="0"/>
        <w:adjustRightInd/>
        <w:snapToGrid/>
        <w:ind w:firstLine="480"/>
        <w:rPr>
          <w:color w:val="auto"/>
          <w:kern w:val="0"/>
        </w:rPr>
      </w:pPr>
      <w:r>
        <w:rPr>
          <w:color w:val="auto"/>
          <w:kern w:val="0"/>
        </w:rPr>
        <w:t>本项目新建污水处理厂恶臭NH</w:t>
      </w:r>
      <w:r>
        <w:rPr>
          <w:color w:val="auto"/>
          <w:kern w:val="0"/>
          <w:vertAlign w:val="subscript"/>
        </w:rPr>
        <w:t>3</w:t>
      </w:r>
      <w:r>
        <w:rPr>
          <w:color w:val="auto"/>
          <w:kern w:val="0"/>
        </w:rPr>
        <w:t>、H</w:t>
      </w:r>
      <w:r>
        <w:rPr>
          <w:color w:val="auto"/>
          <w:kern w:val="0"/>
          <w:vertAlign w:val="subscript"/>
        </w:rPr>
        <w:t>2</w:t>
      </w:r>
      <w:r>
        <w:rPr>
          <w:color w:val="auto"/>
          <w:kern w:val="0"/>
        </w:rPr>
        <w:t>S非正常排放的最大地面小时浓度分别为</w:t>
      </w:r>
      <w:r>
        <w:rPr>
          <w:rFonts w:hint="eastAsia"/>
          <w:color w:val="auto"/>
          <w:kern w:val="0"/>
          <w:lang w:val="en-US" w:eastAsia="zh-CN"/>
        </w:rPr>
        <w:t>0.0925</w:t>
      </w:r>
      <w:r>
        <w:rPr>
          <w:color w:val="auto"/>
          <w:kern w:val="0"/>
        </w:rPr>
        <w:t>mg/</w:t>
      </w:r>
      <w:r>
        <w:rPr>
          <w:rFonts w:hint="eastAsia"/>
          <w:color w:val="auto"/>
          <w:kern w:val="0"/>
          <w:lang w:eastAsia="zh-CN"/>
        </w:rPr>
        <w:t>m³</w:t>
      </w:r>
      <w:r>
        <w:rPr>
          <w:color w:val="auto"/>
          <w:kern w:val="0"/>
        </w:rPr>
        <w:t>、</w:t>
      </w:r>
      <w:r>
        <w:rPr>
          <w:rFonts w:hint="eastAsia"/>
          <w:color w:val="auto"/>
          <w:kern w:val="0"/>
          <w:lang w:val="en-US" w:eastAsia="zh-CN"/>
        </w:rPr>
        <w:t>0.00222</w:t>
      </w:r>
      <w:r>
        <w:rPr>
          <w:color w:val="auto"/>
          <w:kern w:val="0"/>
        </w:rPr>
        <w:t>mg/</w:t>
      </w:r>
      <w:r>
        <w:rPr>
          <w:rFonts w:hint="eastAsia"/>
          <w:color w:val="auto"/>
          <w:kern w:val="0"/>
          <w:lang w:eastAsia="zh-CN"/>
        </w:rPr>
        <w:t>m³</w:t>
      </w:r>
      <w:r>
        <w:rPr>
          <w:color w:val="auto"/>
          <w:kern w:val="0"/>
        </w:rPr>
        <w:t>，占标率分别为</w:t>
      </w:r>
      <w:r>
        <w:rPr>
          <w:rFonts w:hint="eastAsia"/>
          <w:color w:val="auto"/>
          <w:kern w:val="0"/>
          <w:lang w:val="en-US" w:eastAsia="zh-CN"/>
        </w:rPr>
        <w:t>46.26</w:t>
      </w:r>
      <w:r>
        <w:rPr>
          <w:color w:val="auto"/>
          <w:kern w:val="0"/>
        </w:rPr>
        <w:t>%、</w:t>
      </w:r>
      <w:r>
        <w:rPr>
          <w:rFonts w:hint="eastAsia"/>
          <w:color w:val="auto"/>
          <w:kern w:val="0"/>
          <w:lang w:val="en-US" w:eastAsia="zh-CN"/>
        </w:rPr>
        <w:t>4.44</w:t>
      </w:r>
      <w:r>
        <w:rPr>
          <w:color w:val="auto"/>
          <w:kern w:val="0"/>
        </w:rPr>
        <w:t>%，最大地面浓度距离</w:t>
      </w:r>
      <w:r>
        <w:rPr>
          <w:rFonts w:hint="eastAsia"/>
          <w:color w:val="auto"/>
          <w:kern w:val="0"/>
          <w:lang w:val="en-US" w:eastAsia="zh-CN"/>
        </w:rPr>
        <w:t>污水</w:t>
      </w:r>
      <w:r>
        <w:rPr>
          <w:color w:val="auto"/>
          <w:kern w:val="0"/>
        </w:rPr>
        <w:t>处理单元下风向</w:t>
      </w:r>
      <w:r>
        <w:rPr>
          <w:rFonts w:hint="eastAsia"/>
          <w:color w:val="auto"/>
          <w:kern w:val="0"/>
          <w:lang w:val="en-US" w:eastAsia="zh-CN"/>
        </w:rPr>
        <w:t>101</w:t>
      </w:r>
      <w:r>
        <w:rPr>
          <w:color w:val="auto"/>
          <w:kern w:val="0"/>
        </w:rPr>
        <w:t>米，对周边环境有一定的影响，应避免非正常排放。</w:t>
      </w:r>
    </w:p>
    <w:p w14:paraId="4383F160">
      <w:pPr>
        <w:pageBreakBefore w:val="0"/>
        <w:wordWrap/>
        <w:bidi w:val="0"/>
        <w:adjustRightInd/>
        <w:snapToGrid/>
        <w:ind w:firstLine="480"/>
        <w:rPr>
          <w:color w:val="auto"/>
        </w:rPr>
      </w:pPr>
      <w:r>
        <w:rPr>
          <w:color w:val="auto"/>
        </w:rPr>
        <w:t>（4）评价工作等级确定</w:t>
      </w:r>
    </w:p>
    <w:p w14:paraId="4E239D06">
      <w:pPr>
        <w:pageBreakBefore w:val="0"/>
        <w:wordWrap/>
        <w:bidi w:val="0"/>
        <w:adjustRightInd/>
        <w:snapToGrid/>
        <w:ind w:firstLine="480"/>
        <w:rPr>
          <w:color w:val="auto"/>
        </w:rPr>
      </w:pPr>
      <w:r>
        <w:rPr>
          <w:color w:val="auto"/>
        </w:rPr>
        <w:t>根据《环境影响评价技术导则</w:t>
      </w:r>
      <w:r>
        <w:rPr>
          <w:rFonts w:hint="eastAsia"/>
          <w:color w:val="auto"/>
          <w:lang w:val="en-US" w:eastAsia="zh-CN"/>
        </w:rPr>
        <w:t xml:space="preserve"> </w:t>
      </w:r>
      <w:r>
        <w:rPr>
          <w:color w:val="auto"/>
        </w:rPr>
        <w:t>大气环境》（HJ2.2-2018），本项目建成后全厂氨和硫化氢的最大占标率P</w:t>
      </w:r>
      <w:r>
        <w:rPr>
          <w:color w:val="auto"/>
          <w:vertAlign w:val="subscript"/>
        </w:rPr>
        <w:t>max</w:t>
      </w:r>
      <w:r>
        <w:rPr>
          <w:color w:val="auto"/>
        </w:rPr>
        <w:t>分别为</w:t>
      </w:r>
      <w:r>
        <w:rPr>
          <w:rFonts w:hint="eastAsia"/>
          <w:color w:val="auto"/>
          <w:kern w:val="0"/>
          <w:lang w:eastAsia="zh-CN"/>
        </w:rPr>
        <w:t>7.22%</w:t>
      </w:r>
      <w:r>
        <w:rPr>
          <w:color w:val="auto"/>
          <w:kern w:val="0"/>
        </w:rPr>
        <w:t>、</w:t>
      </w:r>
      <w:r>
        <w:rPr>
          <w:rFonts w:hint="eastAsia"/>
          <w:color w:val="auto"/>
          <w:kern w:val="0"/>
          <w:lang w:eastAsia="zh-CN"/>
        </w:rPr>
        <w:t>0.69%</w:t>
      </w:r>
      <w:r>
        <w:rPr>
          <w:color w:val="auto"/>
        </w:rPr>
        <w:t>，本项目为二级评价，二级评价项目不进行进一步预测与评价，只对污染物排放量进行核算。</w:t>
      </w:r>
    </w:p>
    <w:p w14:paraId="6C345401">
      <w:pPr>
        <w:pageBreakBefore w:val="0"/>
        <w:wordWrap/>
        <w:autoSpaceDE w:val="0"/>
        <w:autoSpaceDN w:val="0"/>
        <w:bidi w:val="0"/>
        <w:adjustRightInd/>
        <w:snapToGrid/>
        <w:ind w:firstLine="480"/>
        <w:rPr>
          <w:color w:val="auto"/>
        </w:rPr>
      </w:pPr>
      <w:r>
        <w:rPr>
          <w:color w:val="auto"/>
        </w:rPr>
        <w:t>（5）污染物排放量核算</w:t>
      </w:r>
    </w:p>
    <w:p w14:paraId="3DAB1988">
      <w:pPr>
        <w:pageBreakBefore w:val="0"/>
        <w:wordWrap/>
        <w:autoSpaceDE w:val="0"/>
        <w:autoSpaceDN w:val="0"/>
        <w:bidi w:val="0"/>
        <w:adjustRightInd/>
        <w:snapToGrid/>
        <w:ind w:firstLine="480"/>
        <w:rPr>
          <w:color w:val="auto"/>
        </w:rPr>
      </w:pPr>
      <w:r>
        <w:rPr>
          <w:color w:val="auto"/>
        </w:rPr>
        <w:t>根据Aerscreen输出结果，本项目为二级评价。二级评价项目不进行进一步预测与评价，只对污染物排放量进行核算。核算结果如下：</w:t>
      </w:r>
    </w:p>
    <w:p w14:paraId="74C6EB33">
      <w:pPr>
        <w:pageBreakBefore w:val="0"/>
        <w:wordWrap/>
        <w:bidi w:val="0"/>
        <w:adjustRightInd/>
        <w:snapToGrid/>
        <w:ind w:firstLine="480"/>
        <w:rPr>
          <w:color w:val="auto"/>
        </w:rPr>
      </w:pPr>
      <w:r>
        <w:rPr>
          <w:rFonts w:hint="eastAsia"/>
          <w:color w:val="auto"/>
        </w:rPr>
        <w:t>①有组织排放量核算</w:t>
      </w:r>
    </w:p>
    <w:p w14:paraId="3BAB7D0B">
      <w:pPr>
        <w:pStyle w:val="19"/>
        <w:numPr>
          <w:ilvl w:val="0"/>
          <w:numId w:val="31"/>
        </w:numPr>
        <w:bidi w:val="0"/>
        <w:ind w:left="1440" w:leftChars="0" w:firstLine="0" w:firstLineChars="0"/>
        <w:rPr>
          <w:color w:val="auto"/>
        </w:rPr>
      </w:pPr>
      <w:r>
        <w:rPr>
          <w:color w:val="auto"/>
        </w:rPr>
        <w:t>大气污染物有组织排放量核算表</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92"/>
        <w:gridCol w:w="1231"/>
        <w:gridCol w:w="817"/>
        <w:gridCol w:w="2251"/>
        <w:gridCol w:w="2041"/>
        <w:gridCol w:w="1949"/>
      </w:tblGrid>
      <w:tr w14:paraId="5360DE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80" w:type="pct"/>
            <w:tcBorders>
              <w:tl2br w:val="nil"/>
              <w:tr2bl w:val="nil"/>
            </w:tcBorders>
            <w:noWrap w:val="0"/>
            <w:vAlign w:val="center"/>
          </w:tcPr>
          <w:p w14:paraId="7315FE1B">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700" w:type="pct"/>
            <w:tcBorders>
              <w:tl2br w:val="nil"/>
              <w:tr2bl w:val="nil"/>
            </w:tcBorders>
            <w:noWrap w:val="0"/>
            <w:vAlign w:val="center"/>
          </w:tcPr>
          <w:p w14:paraId="30290D32">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排放口编号</w:t>
            </w:r>
          </w:p>
        </w:tc>
        <w:tc>
          <w:tcPr>
            <w:tcW w:w="465" w:type="pct"/>
            <w:tcBorders>
              <w:tl2br w:val="nil"/>
              <w:tr2bl w:val="nil"/>
            </w:tcBorders>
            <w:noWrap w:val="0"/>
            <w:vAlign w:val="center"/>
          </w:tcPr>
          <w:p w14:paraId="2448AA9A">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w:t>
            </w:r>
          </w:p>
        </w:tc>
        <w:tc>
          <w:tcPr>
            <w:tcW w:w="1282" w:type="pct"/>
            <w:tcBorders>
              <w:tl2br w:val="nil"/>
              <w:tr2bl w:val="nil"/>
            </w:tcBorders>
            <w:noWrap w:val="0"/>
            <w:vAlign w:val="center"/>
          </w:tcPr>
          <w:p w14:paraId="205D391F">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核算排放浓度（mg/</w:t>
            </w:r>
            <w:r>
              <w:rPr>
                <w:rFonts w:hint="eastAsia"/>
                <w:b/>
                <w:bCs/>
                <w:color w:val="auto"/>
                <w:sz w:val="21"/>
                <w:szCs w:val="21"/>
                <w:lang w:eastAsia="zh-CN"/>
              </w:rPr>
              <w:t>m³</w:t>
            </w:r>
            <w:r>
              <w:rPr>
                <w:b/>
                <w:bCs/>
                <w:color w:val="auto"/>
                <w:sz w:val="21"/>
                <w:szCs w:val="21"/>
              </w:rPr>
              <w:t>）</w:t>
            </w:r>
          </w:p>
        </w:tc>
        <w:tc>
          <w:tcPr>
            <w:tcW w:w="1161" w:type="pct"/>
            <w:tcBorders>
              <w:tl2br w:val="nil"/>
              <w:tr2bl w:val="nil"/>
            </w:tcBorders>
            <w:noWrap w:val="0"/>
            <w:vAlign w:val="center"/>
          </w:tcPr>
          <w:p w14:paraId="57A6C17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核算排放速率（kg/h）</w:t>
            </w:r>
          </w:p>
        </w:tc>
        <w:tc>
          <w:tcPr>
            <w:tcW w:w="1109" w:type="pct"/>
            <w:tcBorders>
              <w:tl2br w:val="nil"/>
              <w:tr2bl w:val="nil"/>
            </w:tcBorders>
            <w:noWrap w:val="0"/>
            <w:vAlign w:val="center"/>
          </w:tcPr>
          <w:p w14:paraId="0EC65082">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核算年排放量（t/a）</w:t>
            </w:r>
          </w:p>
        </w:tc>
      </w:tr>
      <w:tr w14:paraId="263BAA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00" w:type="pct"/>
            <w:gridSpan w:val="6"/>
            <w:tcBorders>
              <w:tl2br w:val="nil"/>
              <w:tr2bl w:val="nil"/>
            </w:tcBorders>
            <w:noWrap w:val="0"/>
            <w:vAlign w:val="center"/>
          </w:tcPr>
          <w:p w14:paraId="6ACCF5D8">
            <w:pPr>
              <w:pageBreakBefore w:val="0"/>
              <w:wordWrap/>
              <w:bidi w:val="0"/>
              <w:adjustRightInd/>
              <w:snapToGrid/>
              <w:spacing w:line="240" w:lineRule="auto"/>
              <w:ind w:firstLine="0" w:firstLineChars="0"/>
              <w:jc w:val="center"/>
              <w:rPr>
                <w:color w:val="auto"/>
                <w:sz w:val="21"/>
                <w:szCs w:val="21"/>
              </w:rPr>
            </w:pPr>
            <w:r>
              <w:rPr>
                <w:color w:val="auto"/>
                <w:sz w:val="21"/>
                <w:szCs w:val="21"/>
              </w:rPr>
              <w:t>一般排放口</w:t>
            </w:r>
          </w:p>
        </w:tc>
      </w:tr>
      <w:tr w14:paraId="0D97EC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80" w:type="pct"/>
            <w:vMerge w:val="restart"/>
            <w:tcBorders>
              <w:tl2br w:val="nil"/>
              <w:tr2bl w:val="nil"/>
            </w:tcBorders>
            <w:noWrap w:val="0"/>
            <w:vAlign w:val="center"/>
          </w:tcPr>
          <w:p w14:paraId="3F872DBC">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700" w:type="pct"/>
            <w:vMerge w:val="restart"/>
            <w:tcBorders>
              <w:tl2br w:val="nil"/>
              <w:tr2bl w:val="nil"/>
            </w:tcBorders>
            <w:noWrap w:val="0"/>
            <w:vAlign w:val="center"/>
          </w:tcPr>
          <w:p w14:paraId="785EFE11">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DA001</w:t>
            </w:r>
          </w:p>
        </w:tc>
        <w:tc>
          <w:tcPr>
            <w:tcW w:w="465" w:type="pct"/>
            <w:tcBorders>
              <w:tl2br w:val="nil"/>
              <w:tr2bl w:val="nil"/>
            </w:tcBorders>
            <w:noWrap w:val="0"/>
            <w:vAlign w:val="center"/>
          </w:tcPr>
          <w:p w14:paraId="52EC4950">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1282" w:type="pct"/>
            <w:tcBorders>
              <w:tl2br w:val="nil"/>
              <w:tr2bl w:val="nil"/>
            </w:tcBorders>
            <w:noWrap w:val="0"/>
            <w:vAlign w:val="center"/>
          </w:tcPr>
          <w:p w14:paraId="658322E1">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5.586</w:t>
            </w:r>
          </w:p>
        </w:tc>
        <w:tc>
          <w:tcPr>
            <w:tcW w:w="1161" w:type="pct"/>
            <w:tcBorders>
              <w:tl2br w:val="nil"/>
              <w:tr2bl w:val="nil"/>
            </w:tcBorders>
            <w:noWrap w:val="0"/>
            <w:vAlign w:val="center"/>
          </w:tcPr>
          <w:p w14:paraId="71764281">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0.1117</w:t>
            </w:r>
          </w:p>
        </w:tc>
        <w:tc>
          <w:tcPr>
            <w:tcW w:w="1109" w:type="pct"/>
            <w:tcBorders>
              <w:tl2br w:val="nil"/>
              <w:tr2bl w:val="nil"/>
            </w:tcBorders>
            <w:noWrap w:val="0"/>
            <w:vAlign w:val="center"/>
          </w:tcPr>
          <w:p w14:paraId="27008CB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0.9786</w:t>
            </w:r>
          </w:p>
        </w:tc>
      </w:tr>
      <w:tr w14:paraId="19C29A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80" w:type="pct"/>
            <w:vMerge w:val="continue"/>
            <w:tcBorders>
              <w:tl2br w:val="nil"/>
              <w:tr2bl w:val="nil"/>
            </w:tcBorders>
            <w:noWrap w:val="0"/>
            <w:vAlign w:val="center"/>
          </w:tcPr>
          <w:p w14:paraId="5B71A25B">
            <w:pPr>
              <w:pageBreakBefore w:val="0"/>
              <w:wordWrap/>
              <w:bidi w:val="0"/>
              <w:adjustRightInd/>
              <w:snapToGrid/>
              <w:spacing w:line="240" w:lineRule="auto"/>
              <w:ind w:firstLine="0" w:firstLineChars="0"/>
              <w:jc w:val="center"/>
              <w:rPr>
                <w:color w:val="auto"/>
                <w:sz w:val="21"/>
                <w:szCs w:val="21"/>
              </w:rPr>
            </w:pPr>
          </w:p>
        </w:tc>
        <w:tc>
          <w:tcPr>
            <w:tcW w:w="700" w:type="pct"/>
            <w:vMerge w:val="continue"/>
            <w:tcBorders>
              <w:tl2br w:val="nil"/>
              <w:tr2bl w:val="nil"/>
            </w:tcBorders>
            <w:noWrap w:val="0"/>
            <w:vAlign w:val="center"/>
          </w:tcPr>
          <w:p w14:paraId="6FC5B2B0">
            <w:pPr>
              <w:pageBreakBefore w:val="0"/>
              <w:wordWrap/>
              <w:bidi w:val="0"/>
              <w:adjustRightInd/>
              <w:snapToGrid/>
              <w:spacing w:line="240" w:lineRule="auto"/>
              <w:ind w:firstLine="0" w:firstLineChars="0"/>
              <w:jc w:val="center"/>
              <w:rPr>
                <w:color w:val="auto"/>
                <w:sz w:val="21"/>
                <w:szCs w:val="21"/>
              </w:rPr>
            </w:pPr>
          </w:p>
        </w:tc>
        <w:tc>
          <w:tcPr>
            <w:tcW w:w="465" w:type="pct"/>
            <w:tcBorders>
              <w:tl2br w:val="nil"/>
              <w:tr2bl w:val="nil"/>
            </w:tcBorders>
            <w:noWrap w:val="0"/>
            <w:vAlign w:val="center"/>
          </w:tcPr>
          <w:p w14:paraId="1DF3A4EC">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1282" w:type="pct"/>
            <w:tcBorders>
              <w:tl2br w:val="nil"/>
              <w:tr2bl w:val="nil"/>
            </w:tcBorders>
            <w:noWrap w:val="0"/>
            <w:vAlign w:val="center"/>
          </w:tcPr>
          <w:p w14:paraId="12803065">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0.175</w:t>
            </w:r>
          </w:p>
        </w:tc>
        <w:tc>
          <w:tcPr>
            <w:tcW w:w="1161" w:type="pct"/>
            <w:tcBorders>
              <w:tl2br w:val="nil"/>
              <w:tr2bl w:val="nil"/>
            </w:tcBorders>
            <w:noWrap w:val="0"/>
            <w:vAlign w:val="center"/>
          </w:tcPr>
          <w:p w14:paraId="66A6FD7D">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0.0035</w:t>
            </w:r>
          </w:p>
        </w:tc>
        <w:tc>
          <w:tcPr>
            <w:tcW w:w="1109" w:type="pct"/>
            <w:tcBorders>
              <w:tl2br w:val="nil"/>
              <w:tr2bl w:val="nil"/>
            </w:tcBorders>
            <w:noWrap w:val="0"/>
            <w:vAlign w:val="center"/>
          </w:tcPr>
          <w:p w14:paraId="31D4CF28">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0.0307</w:t>
            </w:r>
          </w:p>
        </w:tc>
      </w:tr>
      <w:tr w14:paraId="6F0ED2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00" w:type="pct"/>
            <w:gridSpan w:val="6"/>
            <w:tcBorders>
              <w:tl2br w:val="nil"/>
              <w:tr2bl w:val="nil"/>
            </w:tcBorders>
            <w:noWrap w:val="0"/>
            <w:vAlign w:val="center"/>
          </w:tcPr>
          <w:p w14:paraId="3FF2C30C">
            <w:pPr>
              <w:pageBreakBefore w:val="0"/>
              <w:wordWrap/>
              <w:bidi w:val="0"/>
              <w:adjustRightInd/>
              <w:snapToGrid/>
              <w:spacing w:line="240" w:lineRule="auto"/>
              <w:ind w:firstLine="0" w:firstLineChars="0"/>
              <w:jc w:val="center"/>
              <w:rPr>
                <w:color w:val="auto"/>
                <w:sz w:val="21"/>
                <w:szCs w:val="21"/>
              </w:rPr>
            </w:pPr>
            <w:r>
              <w:rPr>
                <w:color w:val="auto"/>
                <w:sz w:val="21"/>
                <w:szCs w:val="21"/>
              </w:rPr>
              <w:t>有组织排放总计</w:t>
            </w:r>
          </w:p>
        </w:tc>
      </w:tr>
      <w:tr w14:paraId="423B01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81" w:type="pct"/>
            <w:gridSpan w:val="2"/>
            <w:vMerge w:val="restart"/>
            <w:tcBorders>
              <w:tl2br w:val="nil"/>
              <w:tr2bl w:val="nil"/>
            </w:tcBorders>
            <w:noWrap w:val="0"/>
            <w:vAlign w:val="center"/>
          </w:tcPr>
          <w:p w14:paraId="4502D59C">
            <w:pPr>
              <w:pageBreakBefore w:val="0"/>
              <w:wordWrap/>
              <w:bidi w:val="0"/>
              <w:adjustRightInd/>
              <w:snapToGrid/>
              <w:spacing w:line="240" w:lineRule="auto"/>
              <w:ind w:firstLine="0" w:firstLineChars="0"/>
              <w:jc w:val="center"/>
              <w:rPr>
                <w:color w:val="auto"/>
                <w:sz w:val="21"/>
                <w:szCs w:val="21"/>
              </w:rPr>
            </w:pPr>
            <w:r>
              <w:rPr>
                <w:color w:val="auto"/>
                <w:sz w:val="21"/>
                <w:szCs w:val="21"/>
              </w:rPr>
              <w:t>有组织排放</w:t>
            </w:r>
          </w:p>
        </w:tc>
        <w:tc>
          <w:tcPr>
            <w:tcW w:w="2909" w:type="pct"/>
            <w:gridSpan w:val="3"/>
            <w:tcBorders>
              <w:tl2br w:val="nil"/>
              <w:tr2bl w:val="nil"/>
            </w:tcBorders>
            <w:noWrap w:val="0"/>
            <w:vAlign w:val="center"/>
          </w:tcPr>
          <w:p w14:paraId="0819F900">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1949" w:type="dxa"/>
            <w:tcBorders>
              <w:tl2br w:val="nil"/>
              <w:tr2bl w:val="nil"/>
            </w:tcBorders>
            <w:noWrap w:val="0"/>
            <w:vAlign w:val="center"/>
          </w:tcPr>
          <w:p w14:paraId="4BEB04D9">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lang w:val="en-US" w:eastAsia="zh-CN"/>
              </w:rPr>
              <w:t>0.9786</w:t>
            </w:r>
          </w:p>
        </w:tc>
      </w:tr>
      <w:tr w14:paraId="0070F3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981" w:type="pct"/>
            <w:gridSpan w:val="2"/>
            <w:vMerge w:val="continue"/>
            <w:tcBorders>
              <w:tl2br w:val="nil"/>
              <w:tr2bl w:val="nil"/>
            </w:tcBorders>
            <w:noWrap w:val="0"/>
            <w:vAlign w:val="center"/>
          </w:tcPr>
          <w:p w14:paraId="40602F16">
            <w:pPr>
              <w:pageBreakBefore w:val="0"/>
              <w:wordWrap/>
              <w:bidi w:val="0"/>
              <w:adjustRightInd/>
              <w:snapToGrid/>
              <w:spacing w:line="240" w:lineRule="auto"/>
              <w:ind w:firstLine="0" w:firstLineChars="0"/>
              <w:jc w:val="center"/>
              <w:rPr>
                <w:color w:val="auto"/>
                <w:sz w:val="21"/>
                <w:szCs w:val="21"/>
              </w:rPr>
            </w:pPr>
          </w:p>
        </w:tc>
        <w:tc>
          <w:tcPr>
            <w:tcW w:w="2909" w:type="pct"/>
            <w:gridSpan w:val="3"/>
            <w:tcBorders>
              <w:tl2br w:val="nil"/>
              <w:tr2bl w:val="nil"/>
            </w:tcBorders>
            <w:noWrap w:val="0"/>
            <w:vAlign w:val="center"/>
          </w:tcPr>
          <w:p w14:paraId="20F26A41">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1949" w:type="dxa"/>
            <w:tcBorders>
              <w:tl2br w:val="nil"/>
              <w:tr2bl w:val="nil"/>
            </w:tcBorders>
            <w:noWrap w:val="0"/>
            <w:vAlign w:val="center"/>
          </w:tcPr>
          <w:p w14:paraId="18C14D33">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lang w:val="en-US" w:eastAsia="zh-CN"/>
              </w:rPr>
              <w:t>0.0307</w:t>
            </w:r>
          </w:p>
        </w:tc>
      </w:tr>
    </w:tbl>
    <w:p w14:paraId="76770B83">
      <w:pPr>
        <w:pageBreakBefore w:val="0"/>
        <w:wordWrap/>
        <w:bidi w:val="0"/>
        <w:adjustRightInd/>
        <w:snapToGrid/>
        <w:spacing w:before="120" w:beforeLines="50"/>
        <w:ind w:firstLine="480"/>
        <w:rPr>
          <w:color w:val="auto"/>
          <w:sz w:val="21"/>
          <w:szCs w:val="21"/>
        </w:rPr>
      </w:pPr>
      <w:r>
        <w:rPr>
          <w:rFonts w:hint="eastAsia"/>
          <w:color w:val="auto"/>
        </w:rPr>
        <w:t>②无组织排放量核算</w:t>
      </w:r>
    </w:p>
    <w:p w14:paraId="359E3049">
      <w:pPr>
        <w:pStyle w:val="19"/>
        <w:numPr>
          <w:ilvl w:val="0"/>
          <w:numId w:val="31"/>
        </w:numPr>
        <w:bidi w:val="0"/>
        <w:ind w:left="1440" w:leftChars="0" w:firstLine="0" w:firstLineChars="0"/>
        <w:rPr>
          <w:color w:val="auto"/>
        </w:rPr>
      </w:pPr>
      <w:r>
        <w:rPr>
          <w:color w:val="auto"/>
        </w:rPr>
        <w:t>大气污染物无组织排放量核算表</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717"/>
        <w:gridCol w:w="1274"/>
        <w:gridCol w:w="917"/>
        <w:gridCol w:w="1369"/>
        <w:gridCol w:w="2367"/>
        <w:gridCol w:w="1204"/>
        <w:gridCol w:w="938"/>
      </w:tblGrid>
      <w:tr w14:paraId="03DBAC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vMerge w:val="restart"/>
            <w:tcBorders>
              <w:tl2br w:val="nil"/>
              <w:tr2bl w:val="nil"/>
            </w:tcBorders>
            <w:noWrap w:val="0"/>
            <w:vAlign w:val="center"/>
          </w:tcPr>
          <w:p w14:paraId="34FF8B78">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725" w:type="pct"/>
            <w:vMerge w:val="restart"/>
            <w:tcBorders>
              <w:tl2br w:val="nil"/>
              <w:tr2bl w:val="nil"/>
            </w:tcBorders>
            <w:noWrap w:val="0"/>
            <w:vAlign w:val="center"/>
          </w:tcPr>
          <w:p w14:paraId="1DB60B82">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产污环节</w:t>
            </w:r>
          </w:p>
        </w:tc>
        <w:tc>
          <w:tcPr>
            <w:tcW w:w="521" w:type="pct"/>
            <w:vMerge w:val="restart"/>
            <w:tcBorders>
              <w:tl2br w:val="nil"/>
              <w:tr2bl w:val="nil"/>
            </w:tcBorders>
            <w:noWrap w:val="0"/>
            <w:vAlign w:val="center"/>
          </w:tcPr>
          <w:p w14:paraId="75415EBD">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w:t>
            </w:r>
          </w:p>
        </w:tc>
        <w:tc>
          <w:tcPr>
            <w:tcW w:w="779" w:type="pct"/>
            <w:vMerge w:val="restart"/>
            <w:tcBorders>
              <w:tl2br w:val="nil"/>
              <w:tr2bl w:val="nil"/>
            </w:tcBorders>
            <w:noWrap w:val="0"/>
            <w:vAlign w:val="center"/>
          </w:tcPr>
          <w:p w14:paraId="2834BE0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主要污染防治措施</w:t>
            </w:r>
          </w:p>
        </w:tc>
        <w:tc>
          <w:tcPr>
            <w:tcW w:w="2032" w:type="pct"/>
            <w:gridSpan w:val="2"/>
            <w:tcBorders>
              <w:tl2br w:val="nil"/>
              <w:tr2bl w:val="nil"/>
            </w:tcBorders>
            <w:noWrap w:val="0"/>
            <w:vAlign w:val="center"/>
          </w:tcPr>
          <w:p w14:paraId="6CA3E9D2">
            <w:pPr>
              <w:pageBreakBefore w:val="0"/>
              <w:wordWrap/>
              <w:autoSpaceDE w:val="0"/>
              <w:autoSpaceDN w:val="0"/>
              <w:bidi w:val="0"/>
              <w:adjustRightInd/>
              <w:snapToGrid/>
              <w:spacing w:line="240" w:lineRule="auto"/>
              <w:ind w:firstLine="0" w:firstLineChars="0"/>
              <w:jc w:val="center"/>
              <w:rPr>
                <w:b/>
                <w:bCs/>
                <w:color w:val="auto"/>
                <w:sz w:val="21"/>
                <w:szCs w:val="21"/>
              </w:rPr>
            </w:pPr>
            <w:r>
              <w:rPr>
                <w:b/>
                <w:bCs/>
                <w:color w:val="auto"/>
                <w:kern w:val="0"/>
                <w:sz w:val="21"/>
                <w:szCs w:val="21"/>
              </w:rPr>
              <w:t>国家或地方污染物排放标准</w:t>
            </w:r>
          </w:p>
        </w:tc>
        <w:tc>
          <w:tcPr>
            <w:tcW w:w="533" w:type="pct"/>
            <w:vMerge w:val="restart"/>
            <w:tcBorders>
              <w:tl2br w:val="nil"/>
              <w:tr2bl w:val="nil"/>
            </w:tcBorders>
            <w:noWrap w:val="0"/>
            <w:vAlign w:val="center"/>
          </w:tcPr>
          <w:p w14:paraId="788879D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年排放量（t/a）</w:t>
            </w:r>
          </w:p>
        </w:tc>
      </w:tr>
      <w:tr w14:paraId="219C0C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vMerge w:val="continue"/>
            <w:tcBorders>
              <w:tl2br w:val="nil"/>
              <w:tr2bl w:val="nil"/>
            </w:tcBorders>
            <w:noWrap w:val="0"/>
            <w:vAlign w:val="center"/>
          </w:tcPr>
          <w:p w14:paraId="6C21B1A4">
            <w:pPr>
              <w:pageBreakBefore w:val="0"/>
              <w:wordWrap/>
              <w:bidi w:val="0"/>
              <w:adjustRightInd/>
              <w:snapToGrid/>
              <w:spacing w:line="240" w:lineRule="auto"/>
              <w:ind w:firstLine="0" w:firstLineChars="0"/>
              <w:jc w:val="center"/>
              <w:rPr>
                <w:color w:val="auto"/>
                <w:sz w:val="21"/>
                <w:szCs w:val="21"/>
              </w:rPr>
            </w:pPr>
          </w:p>
        </w:tc>
        <w:tc>
          <w:tcPr>
            <w:tcW w:w="725" w:type="pct"/>
            <w:vMerge w:val="continue"/>
            <w:tcBorders>
              <w:tl2br w:val="nil"/>
              <w:tr2bl w:val="nil"/>
            </w:tcBorders>
            <w:noWrap w:val="0"/>
            <w:vAlign w:val="center"/>
          </w:tcPr>
          <w:p w14:paraId="0E3AC635">
            <w:pPr>
              <w:pageBreakBefore w:val="0"/>
              <w:wordWrap/>
              <w:bidi w:val="0"/>
              <w:adjustRightInd/>
              <w:snapToGrid/>
              <w:spacing w:line="240" w:lineRule="auto"/>
              <w:ind w:firstLine="0" w:firstLineChars="0"/>
              <w:jc w:val="center"/>
              <w:rPr>
                <w:color w:val="auto"/>
                <w:sz w:val="21"/>
                <w:szCs w:val="21"/>
              </w:rPr>
            </w:pPr>
          </w:p>
        </w:tc>
        <w:tc>
          <w:tcPr>
            <w:tcW w:w="521" w:type="pct"/>
            <w:vMerge w:val="continue"/>
            <w:tcBorders>
              <w:tl2br w:val="nil"/>
              <w:tr2bl w:val="nil"/>
            </w:tcBorders>
            <w:noWrap w:val="0"/>
            <w:vAlign w:val="center"/>
          </w:tcPr>
          <w:p w14:paraId="2BA1023E">
            <w:pPr>
              <w:pageBreakBefore w:val="0"/>
              <w:wordWrap/>
              <w:bidi w:val="0"/>
              <w:adjustRightInd/>
              <w:snapToGrid/>
              <w:spacing w:line="240" w:lineRule="auto"/>
              <w:ind w:firstLine="0" w:firstLineChars="0"/>
              <w:jc w:val="center"/>
              <w:rPr>
                <w:color w:val="auto"/>
                <w:sz w:val="21"/>
                <w:szCs w:val="21"/>
              </w:rPr>
            </w:pPr>
          </w:p>
        </w:tc>
        <w:tc>
          <w:tcPr>
            <w:tcW w:w="779" w:type="pct"/>
            <w:vMerge w:val="continue"/>
            <w:tcBorders>
              <w:tl2br w:val="nil"/>
              <w:tr2bl w:val="nil"/>
            </w:tcBorders>
            <w:noWrap w:val="0"/>
            <w:vAlign w:val="center"/>
          </w:tcPr>
          <w:p w14:paraId="78E4F0E7">
            <w:pPr>
              <w:pageBreakBefore w:val="0"/>
              <w:wordWrap/>
              <w:bidi w:val="0"/>
              <w:adjustRightInd/>
              <w:snapToGrid/>
              <w:spacing w:line="240" w:lineRule="auto"/>
              <w:ind w:firstLine="0" w:firstLineChars="0"/>
              <w:jc w:val="center"/>
              <w:rPr>
                <w:color w:val="auto"/>
                <w:sz w:val="21"/>
                <w:szCs w:val="21"/>
              </w:rPr>
            </w:pPr>
          </w:p>
        </w:tc>
        <w:tc>
          <w:tcPr>
            <w:tcW w:w="1347" w:type="pct"/>
            <w:tcBorders>
              <w:tl2br w:val="nil"/>
              <w:tr2bl w:val="nil"/>
            </w:tcBorders>
            <w:noWrap w:val="0"/>
            <w:vAlign w:val="center"/>
          </w:tcPr>
          <w:p w14:paraId="0CFFEC7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标准名称</w:t>
            </w:r>
          </w:p>
        </w:tc>
        <w:tc>
          <w:tcPr>
            <w:tcW w:w="685" w:type="pct"/>
            <w:tcBorders>
              <w:tl2br w:val="nil"/>
              <w:tr2bl w:val="nil"/>
            </w:tcBorders>
            <w:noWrap w:val="0"/>
            <w:vAlign w:val="center"/>
          </w:tcPr>
          <w:p w14:paraId="54DE5F7E">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浓度限值（µg/</w:t>
            </w:r>
            <w:r>
              <w:rPr>
                <w:rFonts w:hint="eastAsia"/>
                <w:b/>
                <w:bCs/>
                <w:color w:val="auto"/>
                <w:sz w:val="21"/>
                <w:szCs w:val="21"/>
                <w:lang w:eastAsia="zh-CN"/>
              </w:rPr>
              <w:t>m³</w:t>
            </w:r>
            <w:r>
              <w:rPr>
                <w:b/>
                <w:bCs/>
                <w:color w:val="auto"/>
                <w:sz w:val="21"/>
                <w:szCs w:val="21"/>
              </w:rPr>
              <w:t>）</w:t>
            </w:r>
          </w:p>
        </w:tc>
        <w:tc>
          <w:tcPr>
            <w:tcW w:w="533" w:type="pct"/>
            <w:vMerge w:val="continue"/>
            <w:tcBorders>
              <w:tl2br w:val="nil"/>
              <w:tr2bl w:val="nil"/>
            </w:tcBorders>
            <w:noWrap w:val="0"/>
            <w:vAlign w:val="center"/>
          </w:tcPr>
          <w:p w14:paraId="1FDD2ADC">
            <w:pPr>
              <w:pageBreakBefore w:val="0"/>
              <w:wordWrap/>
              <w:bidi w:val="0"/>
              <w:adjustRightInd/>
              <w:snapToGrid/>
              <w:spacing w:line="240" w:lineRule="auto"/>
              <w:ind w:firstLine="0" w:firstLineChars="0"/>
              <w:jc w:val="center"/>
              <w:rPr>
                <w:color w:val="auto"/>
                <w:sz w:val="21"/>
                <w:szCs w:val="21"/>
              </w:rPr>
            </w:pPr>
          </w:p>
        </w:tc>
      </w:tr>
      <w:tr w14:paraId="630672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vMerge w:val="restart"/>
            <w:tcBorders>
              <w:tl2br w:val="nil"/>
              <w:tr2bl w:val="nil"/>
            </w:tcBorders>
            <w:noWrap w:val="0"/>
            <w:vAlign w:val="center"/>
          </w:tcPr>
          <w:p w14:paraId="65F7F4AD">
            <w:pPr>
              <w:pageBreakBefore w:val="0"/>
              <w:wordWrap/>
              <w:autoSpaceDE w:val="0"/>
              <w:autoSpaceDN w:val="0"/>
              <w:bidi w:val="0"/>
              <w:adjustRightInd/>
              <w:snapToGrid/>
              <w:spacing w:line="240" w:lineRule="auto"/>
              <w:ind w:firstLine="0" w:firstLineChars="0"/>
              <w:jc w:val="center"/>
              <w:rPr>
                <w:color w:val="auto"/>
                <w:kern w:val="0"/>
                <w:sz w:val="21"/>
                <w:szCs w:val="21"/>
              </w:rPr>
            </w:pPr>
            <w:bookmarkStart w:id="170" w:name="OLE_LINK1" w:colFirst="7" w:colLast="7"/>
            <w:r>
              <w:rPr>
                <w:color w:val="auto"/>
                <w:sz w:val="21"/>
                <w:szCs w:val="21"/>
              </w:rPr>
              <w:t>1</w:t>
            </w:r>
          </w:p>
        </w:tc>
        <w:tc>
          <w:tcPr>
            <w:tcW w:w="725" w:type="pct"/>
            <w:vMerge w:val="restart"/>
            <w:tcBorders>
              <w:tl2br w:val="nil"/>
              <w:tr2bl w:val="nil"/>
            </w:tcBorders>
            <w:noWrap w:val="0"/>
            <w:vAlign w:val="center"/>
          </w:tcPr>
          <w:p w14:paraId="3B8BA75C">
            <w:pPr>
              <w:pStyle w:val="16"/>
              <w:bidi w:val="0"/>
              <w:rPr>
                <w:color w:val="auto"/>
              </w:rPr>
            </w:pPr>
            <w:r>
              <w:rPr>
                <w:rFonts w:hint="eastAsia"/>
                <w:color w:val="auto"/>
                <w:lang w:val="en-US" w:eastAsia="zh-CN"/>
              </w:rPr>
              <w:t>超细格栅</w:t>
            </w:r>
          </w:p>
        </w:tc>
        <w:tc>
          <w:tcPr>
            <w:tcW w:w="521" w:type="pct"/>
            <w:tcBorders>
              <w:tl2br w:val="nil"/>
              <w:tr2bl w:val="nil"/>
            </w:tcBorders>
            <w:noWrap w:val="0"/>
            <w:vAlign w:val="center"/>
          </w:tcPr>
          <w:p w14:paraId="3AB498DC">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779" w:type="pct"/>
            <w:vMerge w:val="restart"/>
            <w:tcBorders>
              <w:tl2br w:val="nil"/>
              <w:tr2bl w:val="nil"/>
            </w:tcBorders>
            <w:noWrap w:val="0"/>
            <w:vAlign w:val="center"/>
          </w:tcPr>
          <w:p w14:paraId="3B9CD886">
            <w:pPr>
              <w:pageBreakBefore w:val="0"/>
              <w:wordWrap/>
              <w:autoSpaceDE w:val="0"/>
              <w:autoSpaceDN w:val="0"/>
              <w:bidi w:val="0"/>
              <w:adjustRightInd/>
              <w:snapToGrid/>
              <w:spacing w:line="240" w:lineRule="auto"/>
              <w:ind w:firstLine="0" w:firstLineChars="0"/>
              <w:jc w:val="center"/>
              <w:rPr>
                <w:color w:val="auto"/>
                <w:kern w:val="0"/>
                <w:sz w:val="21"/>
                <w:szCs w:val="21"/>
              </w:rPr>
            </w:pPr>
            <w:r>
              <w:rPr>
                <w:rFonts w:hint="eastAsia"/>
                <w:color w:val="auto"/>
                <w:kern w:val="0"/>
                <w:sz w:val="21"/>
                <w:szCs w:val="21"/>
                <w:lang w:val="en-US" w:eastAsia="zh-CN"/>
              </w:rPr>
              <w:t>池体地埋密闭，负压抽风</w:t>
            </w:r>
            <w:r>
              <w:rPr>
                <w:color w:val="auto"/>
                <w:kern w:val="0"/>
                <w:sz w:val="21"/>
                <w:szCs w:val="21"/>
              </w:rPr>
              <w:t>，臭气经过收集后，通过生物滤池除臭后，废气通过排气</w:t>
            </w:r>
          </w:p>
        </w:tc>
        <w:tc>
          <w:tcPr>
            <w:tcW w:w="1347" w:type="pct"/>
            <w:vMerge w:val="restart"/>
            <w:tcBorders>
              <w:tl2br w:val="nil"/>
              <w:tr2bl w:val="nil"/>
            </w:tcBorders>
            <w:noWrap w:val="0"/>
            <w:vAlign w:val="center"/>
          </w:tcPr>
          <w:p w14:paraId="6B72E810">
            <w:pPr>
              <w:pageBreakBefore w:val="0"/>
              <w:wordWrap/>
              <w:autoSpaceDE w:val="0"/>
              <w:autoSpaceDN w:val="0"/>
              <w:bidi w:val="0"/>
              <w:adjustRightInd/>
              <w:snapToGrid/>
              <w:spacing w:line="240" w:lineRule="auto"/>
              <w:ind w:firstLine="0" w:firstLineChars="0"/>
              <w:jc w:val="center"/>
              <w:rPr>
                <w:color w:val="auto"/>
                <w:sz w:val="21"/>
                <w:szCs w:val="21"/>
              </w:rPr>
            </w:pPr>
            <w:r>
              <w:rPr>
                <w:color w:val="auto"/>
                <w:sz w:val="21"/>
                <w:szCs w:val="21"/>
              </w:rPr>
              <w:t>《城镇污水处理厂污染物排放标准》（GB18918-2002）表4厂界（防护带边缘）废气排放最高允许浓度二级标准（与《恶臭污染物排放标准》（GB14554-93）二级标准数值相同）</w:t>
            </w:r>
          </w:p>
        </w:tc>
        <w:tc>
          <w:tcPr>
            <w:tcW w:w="685" w:type="pct"/>
            <w:tcBorders>
              <w:tl2br w:val="nil"/>
              <w:tr2bl w:val="nil"/>
            </w:tcBorders>
            <w:noWrap w:val="0"/>
            <w:vAlign w:val="center"/>
          </w:tcPr>
          <w:p w14:paraId="2D15C4ED">
            <w:pPr>
              <w:pageBreakBefore w:val="0"/>
              <w:wordWrap/>
              <w:bidi w:val="0"/>
              <w:adjustRightInd/>
              <w:snapToGrid/>
              <w:spacing w:line="240" w:lineRule="auto"/>
              <w:ind w:firstLine="0" w:firstLineChars="0"/>
              <w:jc w:val="center"/>
              <w:rPr>
                <w:color w:val="auto"/>
                <w:sz w:val="21"/>
                <w:szCs w:val="21"/>
              </w:rPr>
            </w:pPr>
            <w:r>
              <w:rPr>
                <w:color w:val="auto"/>
                <w:sz w:val="21"/>
                <w:szCs w:val="21"/>
              </w:rPr>
              <w:t>1500</w:t>
            </w:r>
          </w:p>
        </w:tc>
        <w:tc>
          <w:tcPr>
            <w:tcW w:w="533" w:type="pct"/>
            <w:tcBorders>
              <w:tl2br w:val="nil"/>
              <w:tr2bl w:val="nil"/>
            </w:tcBorders>
            <w:noWrap w:val="0"/>
            <w:vAlign w:val="center"/>
          </w:tcPr>
          <w:p w14:paraId="57E6821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0.0039</w:t>
            </w:r>
          </w:p>
        </w:tc>
      </w:tr>
      <w:tr w14:paraId="653F26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vMerge w:val="continue"/>
            <w:tcBorders>
              <w:tl2br w:val="nil"/>
              <w:tr2bl w:val="nil"/>
            </w:tcBorders>
            <w:noWrap w:val="0"/>
            <w:vAlign w:val="center"/>
          </w:tcPr>
          <w:p w14:paraId="2105A9C8">
            <w:pPr>
              <w:pageBreakBefore w:val="0"/>
              <w:wordWrap/>
              <w:bidi w:val="0"/>
              <w:adjustRightInd/>
              <w:snapToGrid/>
              <w:spacing w:line="240" w:lineRule="auto"/>
              <w:ind w:firstLine="0" w:firstLineChars="0"/>
              <w:jc w:val="center"/>
              <w:rPr>
                <w:color w:val="auto"/>
                <w:sz w:val="21"/>
                <w:szCs w:val="21"/>
              </w:rPr>
            </w:pPr>
          </w:p>
        </w:tc>
        <w:tc>
          <w:tcPr>
            <w:tcW w:w="725" w:type="pct"/>
            <w:vMerge w:val="continue"/>
            <w:tcBorders>
              <w:tl2br w:val="nil"/>
              <w:tr2bl w:val="nil"/>
            </w:tcBorders>
            <w:noWrap w:val="0"/>
            <w:vAlign w:val="center"/>
          </w:tcPr>
          <w:p w14:paraId="19F776EB">
            <w:pPr>
              <w:pStyle w:val="16"/>
              <w:bidi w:val="0"/>
              <w:rPr>
                <w:color w:val="auto"/>
              </w:rPr>
            </w:pPr>
          </w:p>
        </w:tc>
        <w:tc>
          <w:tcPr>
            <w:tcW w:w="521" w:type="pct"/>
            <w:tcBorders>
              <w:tl2br w:val="nil"/>
              <w:tr2bl w:val="nil"/>
            </w:tcBorders>
            <w:noWrap w:val="0"/>
            <w:vAlign w:val="center"/>
          </w:tcPr>
          <w:p w14:paraId="14FC600F">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779" w:type="pct"/>
            <w:vMerge w:val="continue"/>
            <w:tcBorders>
              <w:tl2br w:val="nil"/>
              <w:tr2bl w:val="nil"/>
            </w:tcBorders>
            <w:noWrap w:val="0"/>
            <w:vAlign w:val="center"/>
          </w:tcPr>
          <w:p w14:paraId="5752C4F9">
            <w:pPr>
              <w:pageBreakBefore w:val="0"/>
              <w:wordWrap/>
              <w:bidi w:val="0"/>
              <w:adjustRightInd/>
              <w:snapToGrid/>
              <w:spacing w:line="240" w:lineRule="auto"/>
              <w:ind w:firstLine="0" w:firstLineChars="0"/>
              <w:jc w:val="center"/>
              <w:rPr>
                <w:color w:val="auto"/>
                <w:sz w:val="21"/>
                <w:szCs w:val="21"/>
              </w:rPr>
            </w:pPr>
          </w:p>
        </w:tc>
        <w:tc>
          <w:tcPr>
            <w:tcW w:w="1347" w:type="pct"/>
            <w:vMerge w:val="continue"/>
            <w:tcBorders>
              <w:tl2br w:val="nil"/>
              <w:tr2bl w:val="nil"/>
            </w:tcBorders>
            <w:noWrap w:val="0"/>
            <w:vAlign w:val="center"/>
          </w:tcPr>
          <w:p w14:paraId="12FF4FC2">
            <w:pPr>
              <w:pageBreakBefore w:val="0"/>
              <w:wordWrap/>
              <w:bidi w:val="0"/>
              <w:adjustRightInd/>
              <w:snapToGrid/>
              <w:spacing w:line="240" w:lineRule="auto"/>
              <w:ind w:firstLine="0" w:firstLineChars="0"/>
              <w:jc w:val="center"/>
              <w:rPr>
                <w:color w:val="auto"/>
                <w:sz w:val="21"/>
                <w:szCs w:val="21"/>
              </w:rPr>
            </w:pPr>
          </w:p>
        </w:tc>
        <w:tc>
          <w:tcPr>
            <w:tcW w:w="685" w:type="pct"/>
            <w:tcBorders>
              <w:tl2br w:val="nil"/>
              <w:tr2bl w:val="nil"/>
            </w:tcBorders>
            <w:noWrap w:val="0"/>
            <w:vAlign w:val="center"/>
          </w:tcPr>
          <w:p w14:paraId="36396983">
            <w:pPr>
              <w:pageBreakBefore w:val="0"/>
              <w:wordWrap/>
              <w:bidi w:val="0"/>
              <w:adjustRightInd/>
              <w:snapToGrid/>
              <w:spacing w:line="240" w:lineRule="auto"/>
              <w:ind w:firstLine="0" w:firstLineChars="0"/>
              <w:jc w:val="center"/>
              <w:rPr>
                <w:color w:val="auto"/>
                <w:sz w:val="21"/>
                <w:szCs w:val="21"/>
              </w:rPr>
            </w:pPr>
            <w:r>
              <w:rPr>
                <w:color w:val="auto"/>
                <w:sz w:val="21"/>
                <w:szCs w:val="21"/>
              </w:rPr>
              <w:t>60</w:t>
            </w:r>
          </w:p>
        </w:tc>
        <w:tc>
          <w:tcPr>
            <w:tcW w:w="533" w:type="pct"/>
            <w:tcBorders>
              <w:tl2br w:val="nil"/>
              <w:tr2bl w:val="nil"/>
            </w:tcBorders>
            <w:noWrap w:val="0"/>
            <w:vAlign w:val="center"/>
          </w:tcPr>
          <w:p w14:paraId="6CC869AC">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w:t>
            </w:r>
          </w:p>
        </w:tc>
      </w:tr>
      <w:tr w14:paraId="41FBCE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vMerge w:val="restart"/>
            <w:tcBorders>
              <w:tl2br w:val="nil"/>
              <w:tr2bl w:val="nil"/>
            </w:tcBorders>
            <w:noWrap w:val="0"/>
            <w:vAlign w:val="center"/>
          </w:tcPr>
          <w:p w14:paraId="0479CB57">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2</w:t>
            </w:r>
          </w:p>
        </w:tc>
        <w:tc>
          <w:tcPr>
            <w:tcW w:w="725" w:type="pct"/>
            <w:vMerge w:val="restart"/>
            <w:tcBorders>
              <w:tl2br w:val="nil"/>
              <w:tr2bl w:val="nil"/>
            </w:tcBorders>
            <w:noWrap w:val="0"/>
            <w:vAlign w:val="center"/>
          </w:tcPr>
          <w:p w14:paraId="36509259">
            <w:pPr>
              <w:pStyle w:val="16"/>
              <w:bidi w:val="0"/>
              <w:rPr>
                <w:color w:val="auto"/>
              </w:rPr>
            </w:pPr>
            <w:r>
              <w:rPr>
                <w:rFonts w:hint="eastAsia"/>
                <w:color w:val="auto"/>
                <w:lang w:val="en-US" w:eastAsia="zh-CN"/>
              </w:rPr>
              <w:t>调节池</w:t>
            </w:r>
          </w:p>
        </w:tc>
        <w:tc>
          <w:tcPr>
            <w:tcW w:w="521" w:type="pct"/>
            <w:tcBorders>
              <w:tl2br w:val="nil"/>
              <w:tr2bl w:val="nil"/>
            </w:tcBorders>
            <w:noWrap w:val="0"/>
            <w:vAlign w:val="center"/>
          </w:tcPr>
          <w:p w14:paraId="14EA0742">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779" w:type="pct"/>
            <w:vMerge w:val="continue"/>
            <w:tcBorders>
              <w:tl2br w:val="nil"/>
              <w:tr2bl w:val="nil"/>
            </w:tcBorders>
            <w:noWrap w:val="0"/>
            <w:vAlign w:val="center"/>
          </w:tcPr>
          <w:p w14:paraId="3AAD6856">
            <w:pPr>
              <w:pageBreakBefore w:val="0"/>
              <w:wordWrap/>
              <w:bidi w:val="0"/>
              <w:adjustRightInd/>
              <w:snapToGrid/>
              <w:spacing w:line="240" w:lineRule="auto"/>
              <w:ind w:firstLine="0" w:firstLineChars="0"/>
              <w:jc w:val="center"/>
              <w:rPr>
                <w:color w:val="auto"/>
                <w:sz w:val="21"/>
                <w:szCs w:val="21"/>
              </w:rPr>
            </w:pPr>
          </w:p>
        </w:tc>
        <w:tc>
          <w:tcPr>
            <w:tcW w:w="1347" w:type="pct"/>
            <w:vMerge w:val="continue"/>
            <w:tcBorders>
              <w:tl2br w:val="nil"/>
              <w:tr2bl w:val="nil"/>
            </w:tcBorders>
            <w:noWrap w:val="0"/>
            <w:vAlign w:val="center"/>
          </w:tcPr>
          <w:p w14:paraId="5E269EA2">
            <w:pPr>
              <w:pageBreakBefore w:val="0"/>
              <w:wordWrap/>
              <w:bidi w:val="0"/>
              <w:adjustRightInd/>
              <w:snapToGrid/>
              <w:spacing w:line="240" w:lineRule="auto"/>
              <w:ind w:firstLine="0" w:firstLineChars="0"/>
              <w:jc w:val="center"/>
              <w:rPr>
                <w:color w:val="auto"/>
                <w:sz w:val="21"/>
                <w:szCs w:val="21"/>
              </w:rPr>
            </w:pPr>
          </w:p>
        </w:tc>
        <w:tc>
          <w:tcPr>
            <w:tcW w:w="1204" w:type="dxa"/>
            <w:tcBorders>
              <w:tl2br w:val="nil"/>
              <w:tr2bl w:val="nil"/>
            </w:tcBorders>
            <w:noWrap w:val="0"/>
            <w:vAlign w:val="center"/>
          </w:tcPr>
          <w:p w14:paraId="66218EAE">
            <w:pPr>
              <w:pageBreakBefore w:val="0"/>
              <w:wordWrap/>
              <w:bidi w:val="0"/>
              <w:adjustRightInd/>
              <w:snapToGrid/>
              <w:spacing w:line="240" w:lineRule="auto"/>
              <w:ind w:firstLine="0" w:firstLineChars="0"/>
              <w:jc w:val="center"/>
              <w:rPr>
                <w:color w:val="auto"/>
                <w:sz w:val="21"/>
                <w:szCs w:val="21"/>
              </w:rPr>
            </w:pPr>
            <w:r>
              <w:rPr>
                <w:color w:val="auto"/>
                <w:sz w:val="21"/>
                <w:szCs w:val="21"/>
              </w:rPr>
              <w:t>1500</w:t>
            </w:r>
          </w:p>
        </w:tc>
        <w:tc>
          <w:tcPr>
            <w:tcW w:w="533" w:type="pct"/>
            <w:tcBorders>
              <w:tl2br w:val="nil"/>
              <w:tr2bl w:val="nil"/>
            </w:tcBorders>
            <w:noWrap w:val="0"/>
            <w:vAlign w:val="center"/>
          </w:tcPr>
          <w:p w14:paraId="04A8AAD5">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0.1068</w:t>
            </w:r>
          </w:p>
        </w:tc>
      </w:tr>
      <w:tr w14:paraId="463709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vMerge w:val="continue"/>
            <w:tcBorders>
              <w:tl2br w:val="nil"/>
              <w:tr2bl w:val="nil"/>
            </w:tcBorders>
            <w:noWrap w:val="0"/>
            <w:vAlign w:val="center"/>
          </w:tcPr>
          <w:p w14:paraId="67C283A0">
            <w:pPr>
              <w:pageBreakBefore w:val="0"/>
              <w:wordWrap/>
              <w:bidi w:val="0"/>
              <w:adjustRightInd/>
              <w:snapToGrid/>
              <w:spacing w:line="240" w:lineRule="auto"/>
              <w:ind w:firstLine="0" w:firstLineChars="0"/>
              <w:jc w:val="center"/>
              <w:rPr>
                <w:color w:val="auto"/>
                <w:sz w:val="21"/>
                <w:szCs w:val="21"/>
              </w:rPr>
            </w:pPr>
          </w:p>
        </w:tc>
        <w:tc>
          <w:tcPr>
            <w:tcW w:w="725" w:type="pct"/>
            <w:vMerge w:val="continue"/>
            <w:tcBorders>
              <w:tl2br w:val="nil"/>
              <w:tr2bl w:val="nil"/>
            </w:tcBorders>
            <w:noWrap w:val="0"/>
            <w:vAlign w:val="center"/>
          </w:tcPr>
          <w:p w14:paraId="623D436F">
            <w:pPr>
              <w:pStyle w:val="16"/>
              <w:bidi w:val="0"/>
              <w:rPr>
                <w:color w:val="auto"/>
              </w:rPr>
            </w:pPr>
          </w:p>
        </w:tc>
        <w:tc>
          <w:tcPr>
            <w:tcW w:w="521" w:type="pct"/>
            <w:tcBorders>
              <w:tl2br w:val="nil"/>
              <w:tr2bl w:val="nil"/>
            </w:tcBorders>
            <w:noWrap w:val="0"/>
            <w:vAlign w:val="center"/>
          </w:tcPr>
          <w:p w14:paraId="3C78E234">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779" w:type="pct"/>
            <w:vMerge w:val="continue"/>
            <w:tcBorders>
              <w:tl2br w:val="nil"/>
              <w:tr2bl w:val="nil"/>
            </w:tcBorders>
            <w:noWrap w:val="0"/>
            <w:vAlign w:val="center"/>
          </w:tcPr>
          <w:p w14:paraId="2628901B">
            <w:pPr>
              <w:pageBreakBefore w:val="0"/>
              <w:wordWrap/>
              <w:bidi w:val="0"/>
              <w:adjustRightInd/>
              <w:snapToGrid/>
              <w:spacing w:line="240" w:lineRule="auto"/>
              <w:ind w:firstLine="0" w:firstLineChars="0"/>
              <w:jc w:val="center"/>
              <w:rPr>
                <w:color w:val="auto"/>
                <w:sz w:val="21"/>
                <w:szCs w:val="21"/>
              </w:rPr>
            </w:pPr>
          </w:p>
        </w:tc>
        <w:tc>
          <w:tcPr>
            <w:tcW w:w="1347" w:type="pct"/>
            <w:vMerge w:val="continue"/>
            <w:tcBorders>
              <w:tl2br w:val="nil"/>
              <w:tr2bl w:val="nil"/>
            </w:tcBorders>
            <w:noWrap w:val="0"/>
            <w:vAlign w:val="center"/>
          </w:tcPr>
          <w:p w14:paraId="7DE05AAD">
            <w:pPr>
              <w:pageBreakBefore w:val="0"/>
              <w:wordWrap/>
              <w:bidi w:val="0"/>
              <w:adjustRightInd/>
              <w:snapToGrid/>
              <w:spacing w:line="240" w:lineRule="auto"/>
              <w:ind w:firstLine="0" w:firstLineChars="0"/>
              <w:jc w:val="center"/>
              <w:rPr>
                <w:color w:val="auto"/>
                <w:sz w:val="21"/>
                <w:szCs w:val="21"/>
              </w:rPr>
            </w:pPr>
          </w:p>
        </w:tc>
        <w:tc>
          <w:tcPr>
            <w:tcW w:w="1204" w:type="dxa"/>
            <w:tcBorders>
              <w:tl2br w:val="nil"/>
              <w:tr2bl w:val="nil"/>
            </w:tcBorders>
            <w:noWrap w:val="0"/>
            <w:vAlign w:val="center"/>
          </w:tcPr>
          <w:p w14:paraId="04DDC901">
            <w:pPr>
              <w:pageBreakBefore w:val="0"/>
              <w:wordWrap/>
              <w:bidi w:val="0"/>
              <w:adjustRightInd/>
              <w:snapToGrid/>
              <w:spacing w:line="240" w:lineRule="auto"/>
              <w:ind w:firstLine="0" w:firstLineChars="0"/>
              <w:jc w:val="center"/>
              <w:rPr>
                <w:color w:val="auto"/>
                <w:sz w:val="21"/>
                <w:szCs w:val="21"/>
              </w:rPr>
            </w:pPr>
            <w:r>
              <w:rPr>
                <w:color w:val="auto"/>
                <w:sz w:val="21"/>
                <w:szCs w:val="21"/>
              </w:rPr>
              <w:t>60</w:t>
            </w:r>
          </w:p>
        </w:tc>
        <w:tc>
          <w:tcPr>
            <w:tcW w:w="533" w:type="pct"/>
            <w:tcBorders>
              <w:tl2br w:val="nil"/>
              <w:tr2bl w:val="nil"/>
            </w:tcBorders>
            <w:noWrap w:val="0"/>
            <w:vAlign w:val="center"/>
          </w:tcPr>
          <w:p w14:paraId="313AE68F">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0.0011</w:t>
            </w:r>
          </w:p>
        </w:tc>
      </w:tr>
      <w:tr w14:paraId="31D5FD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vMerge w:val="restart"/>
            <w:tcBorders>
              <w:tl2br w:val="nil"/>
              <w:tr2bl w:val="nil"/>
            </w:tcBorders>
            <w:noWrap w:val="0"/>
            <w:vAlign w:val="center"/>
          </w:tcPr>
          <w:p w14:paraId="597B242C">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3</w:t>
            </w:r>
          </w:p>
        </w:tc>
        <w:tc>
          <w:tcPr>
            <w:tcW w:w="725" w:type="pct"/>
            <w:vMerge w:val="restart"/>
            <w:tcBorders>
              <w:tl2br w:val="nil"/>
              <w:tr2bl w:val="nil"/>
            </w:tcBorders>
            <w:noWrap w:val="0"/>
            <w:vAlign w:val="center"/>
          </w:tcPr>
          <w:p w14:paraId="47287E1D">
            <w:pPr>
              <w:pStyle w:val="16"/>
              <w:bidi w:val="0"/>
              <w:rPr>
                <w:color w:val="auto"/>
              </w:rPr>
            </w:pPr>
            <w:r>
              <w:rPr>
                <w:rFonts w:hint="eastAsia"/>
                <w:color w:val="auto"/>
                <w:lang w:val="en-US" w:eastAsia="zh-CN"/>
              </w:rPr>
              <w:t>水解酸化池</w:t>
            </w:r>
          </w:p>
        </w:tc>
        <w:tc>
          <w:tcPr>
            <w:tcW w:w="521" w:type="pct"/>
            <w:tcBorders>
              <w:tl2br w:val="nil"/>
              <w:tr2bl w:val="nil"/>
            </w:tcBorders>
            <w:noWrap w:val="0"/>
            <w:vAlign w:val="center"/>
          </w:tcPr>
          <w:p w14:paraId="42AEA02A">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779" w:type="pct"/>
            <w:vMerge w:val="continue"/>
            <w:tcBorders>
              <w:tl2br w:val="nil"/>
              <w:tr2bl w:val="nil"/>
            </w:tcBorders>
            <w:noWrap w:val="0"/>
            <w:vAlign w:val="center"/>
          </w:tcPr>
          <w:p w14:paraId="497A0F72">
            <w:pPr>
              <w:pageBreakBefore w:val="0"/>
              <w:wordWrap/>
              <w:bidi w:val="0"/>
              <w:adjustRightInd/>
              <w:snapToGrid/>
              <w:spacing w:line="240" w:lineRule="auto"/>
              <w:ind w:firstLine="0" w:firstLineChars="0"/>
              <w:jc w:val="center"/>
              <w:rPr>
                <w:color w:val="auto"/>
                <w:sz w:val="21"/>
                <w:szCs w:val="21"/>
              </w:rPr>
            </w:pPr>
          </w:p>
        </w:tc>
        <w:tc>
          <w:tcPr>
            <w:tcW w:w="1347" w:type="pct"/>
            <w:vMerge w:val="continue"/>
            <w:tcBorders>
              <w:tl2br w:val="nil"/>
              <w:tr2bl w:val="nil"/>
            </w:tcBorders>
            <w:noWrap w:val="0"/>
            <w:vAlign w:val="center"/>
          </w:tcPr>
          <w:p w14:paraId="47BAA627">
            <w:pPr>
              <w:pageBreakBefore w:val="0"/>
              <w:wordWrap/>
              <w:bidi w:val="0"/>
              <w:adjustRightInd/>
              <w:snapToGrid/>
              <w:spacing w:line="240" w:lineRule="auto"/>
              <w:ind w:firstLine="0" w:firstLineChars="0"/>
              <w:jc w:val="center"/>
              <w:rPr>
                <w:color w:val="auto"/>
                <w:sz w:val="21"/>
                <w:szCs w:val="21"/>
              </w:rPr>
            </w:pPr>
          </w:p>
        </w:tc>
        <w:tc>
          <w:tcPr>
            <w:tcW w:w="1204" w:type="dxa"/>
            <w:tcBorders>
              <w:tl2br w:val="nil"/>
              <w:tr2bl w:val="nil"/>
            </w:tcBorders>
            <w:noWrap w:val="0"/>
            <w:vAlign w:val="center"/>
          </w:tcPr>
          <w:p w14:paraId="577D22DE">
            <w:pPr>
              <w:pageBreakBefore w:val="0"/>
              <w:wordWrap/>
              <w:bidi w:val="0"/>
              <w:adjustRightInd/>
              <w:snapToGrid/>
              <w:spacing w:line="240" w:lineRule="auto"/>
              <w:ind w:firstLine="0" w:firstLineChars="0"/>
              <w:jc w:val="center"/>
              <w:rPr>
                <w:color w:val="auto"/>
                <w:sz w:val="21"/>
                <w:szCs w:val="21"/>
              </w:rPr>
            </w:pPr>
            <w:r>
              <w:rPr>
                <w:color w:val="auto"/>
                <w:sz w:val="21"/>
                <w:szCs w:val="21"/>
              </w:rPr>
              <w:t>1500</w:t>
            </w:r>
          </w:p>
        </w:tc>
        <w:tc>
          <w:tcPr>
            <w:tcW w:w="533" w:type="pct"/>
            <w:tcBorders>
              <w:tl2br w:val="nil"/>
              <w:tr2bl w:val="nil"/>
            </w:tcBorders>
            <w:noWrap w:val="0"/>
            <w:vAlign w:val="center"/>
          </w:tcPr>
          <w:p w14:paraId="4096962B">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0.0405</w:t>
            </w:r>
          </w:p>
        </w:tc>
      </w:tr>
      <w:tr w14:paraId="3BAE77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vMerge w:val="continue"/>
            <w:tcBorders>
              <w:tl2br w:val="nil"/>
              <w:tr2bl w:val="nil"/>
            </w:tcBorders>
            <w:noWrap w:val="0"/>
            <w:vAlign w:val="center"/>
          </w:tcPr>
          <w:p w14:paraId="6690003F">
            <w:pPr>
              <w:pageBreakBefore w:val="0"/>
              <w:wordWrap/>
              <w:bidi w:val="0"/>
              <w:adjustRightInd/>
              <w:snapToGrid/>
              <w:spacing w:line="240" w:lineRule="auto"/>
              <w:ind w:firstLine="0" w:firstLineChars="0"/>
              <w:jc w:val="center"/>
              <w:rPr>
                <w:color w:val="auto"/>
                <w:sz w:val="21"/>
                <w:szCs w:val="21"/>
              </w:rPr>
            </w:pPr>
          </w:p>
        </w:tc>
        <w:tc>
          <w:tcPr>
            <w:tcW w:w="725" w:type="pct"/>
            <w:vMerge w:val="continue"/>
            <w:tcBorders>
              <w:tl2br w:val="nil"/>
              <w:tr2bl w:val="nil"/>
            </w:tcBorders>
            <w:noWrap w:val="0"/>
            <w:vAlign w:val="center"/>
          </w:tcPr>
          <w:p w14:paraId="7E616495">
            <w:pPr>
              <w:pStyle w:val="16"/>
              <w:bidi w:val="0"/>
              <w:rPr>
                <w:color w:val="auto"/>
              </w:rPr>
            </w:pPr>
          </w:p>
        </w:tc>
        <w:tc>
          <w:tcPr>
            <w:tcW w:w="521" w:type="pct"/>
            <w:tcBorders>
              <w:tl2br w:val="nil"/>
              <w:tr2bl w:val="nil"/>
            </w:tcBorders>
            <w:noWrap w:val="0"/>
            <w:vAlign w:val="center"/>
          </w:tcPr>
          <w:p w14:paraId="79A88A58">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779" w:type="pct"/>
            <w:vMerge w:val="continue"/>
            <w:tcBorders>
              <w:tl2br w:val="nil"/>
              <w:tr2bl w:val="nil"/>
            </w:tcBorders>
            <w:noWrap w:val="0"/>
            <w:vAlign w:val="center"/>
          </w:tcPr>
          <w:p w14:paraId="43676D53">
            <w:pPr>
              <w:pageBreakBefore w:val="0"/>
              <w:wordWrap/>
              <w:bidi w:val="0"/>
              <w:adjustRightInd/>
              <w:snapToGrid/>
              <w:spacing w:line="240" w:lineRule="auto"/>
              <w:ind w:firstLine="0" w:firstLineChars="0"/>
              <w:jc w:val="center"/>
              <w:rPr>
                <w:color w:val="auto"/>
                <w:sz w:val="21"/>
                <w:szCs w:val="21"/>
              </w:rPr>
            </w:pPr>
          </w:p>
        </w:tc>
        <w:tc>
          <w:tcPr>
            <w:tcW w:w="1347" w:type="pct"/>
            <w:vMerge w:val="continue"/>
            <w:tcBorders>
              <w:tl2br w:val="nil"/>
              <w:tr2bl w:val="nil"/>
            </w:tcBorders>
            <w:noWrap w:val="0"/>
            <w:vAlign w:val="center"/>
          </w:tcPr>
          <w:p w14:paraId="14FEB757">
            <w:pPr>
              <w:pageBreakBefore w:val="0"/>
              <w:wordWrap/>
              <w:bidi w:val="0"/>
              <w:adjustRightInd/>
              <w:snapToGrid/>
              <w:spacing w:line="240" w:lineRule="auto"/>
              <w:ind w:firstLine="0" w:firstLineChars="0"/>
              <w:jc w:val="center"/>
              <w:rPr>
                <w:color w:val="auto"/>
                <w:sz w:val="21"/>
                <w:szCs w:val="21"/>
              </w:rPr>
            </w:pPr>
          </w:p>
        </w:tc>
        <w:tc>
          <w:tcPr>
            <w:tcW w:w="1204" w:type="dxa"/>
            <w:tcBorders>
              <w:tl2br w:val="nil"/>
              <w:tr2bl w:val="nil"/>
            </w:tcBorders>
            <w:noWrap w:val="0"/>
            <w:vAlign w:val="center"/>
          </w:tcPr>
          <w:p w14:paraId="2754BAC5">
            <w:pPr>
              <w:pageBreakBefore w:val="0"/>
              <w:wordWrap/>
              <w:bidi w:val="0"/>
              <w:adjustRightInd/>
              <w:snapToGrid/>
              <w:spacing w:line="240" w:lineRule="auto"/>
              <w:ind w:firstLine="0" w:firstLineChars="0"/>
              <w:jc w:val="center"/>
              <w:rPr>
                <w:color w:val="auto"/>
                <w:sz w:val="21"/>
                <w:szCs w:val="21"/>
              </w:rPr>
            </w:pPr>
            <w:r>
              <w:rPr>
                <w:color w:val="auto"/>
                <w:sz w:val="21"/>
                <w:szCs w:val="21"/>
              </w:rPr>
              <w:t>60</w:t>
            </w:r>
          </w:p>
        </w:tc>
        <w:tc>
          <w:tcPr>
            <w:tcW w:w="533" w:type="pct"/>
            <w:tcBorders>
              <w:tl2br w:val="nil"/>
              <w:tr2bl w:val="nil"/>
            </w:tcBorders>
            <w:noWrap w:val="0"/>
            <w:vAlign w:val="center"/>
          </w:tcPr>
          <w:p w14:paraId="0D7CFD4C">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0.0041</w:t>
            </w:r>
          </w:p>
        </w:tc>
      </w:tr>
      <w:tr w14:paraId="1C362F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vMerge w:val="restart"/>
            <w:tcBorders>
              <w:tl2br w:val="nil"/>
              <w:tr2bl w:val="nil"/>
            </w:tcBorders>
            <w:noWrap w:val="0"/>
            <w:vAlign w:val="center"/>
          </w:tcPr>
          <w:p w14:paraId="193A250E">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4</w:t>
            </w:r>
          </w:p>
        </w:tc>
        <w:tc>
          <w:tcPr>
            <w:tcW w:w="725" w:type="pct"/>
            <w:vMerge w:val="restart"/>
            <w:tcBorders>
              <w:tl2br w:val="nil"/>
              <w:tr2bl w:val="nil"/>
            </w:tcBorders>
            <w:noWrap w:val="0"/>
            <w:vAlign w:val="center"/>
          </w:tcPr>
          <w:p w14:paraId="62EDE3BC">
            <w:pPr>
              <w:pStyle w:val="16"/>
              <w:bidi w:val="0"/>
              <w:rPr>
                <w:color w:val="auto"/>
              </w:rPr>
            </w:pPr>
            <w:r>
              <w:rPr>
                <w:rFonts w:hint="default"/>
                <w:color w:val="auto"/>
                <w:lang w:val="en-US" w:eastAsia="zh-CN"/>
              </w:rPr>
              <w:t>EBIS</w:t>
            </w:r>
            <w:r>
              <w:rPr>
                <w:rFonts w:hint="eastAsia"/>
                <w:color w:val="auto"/>
                <w:lang w:val="en-US" w:eastAsia="zh-CN"/>
              </w:rPr>
              <w:t>生化池</w:t>
            </w:r>
          </w:p>
        </w:tc>
        <w:tc>
          <w:tcPr>
            <w:tcW w:w="521" w:type="pct"/>
            <w:tcBorders>
              <w:tl2br w:val="nil"/>
              <w:tr2bl w:val="nil"/>
            </w:tcBorders>
            <w:noWrap w:val="0"/>
            <w:vAlign w:val="center"/>
          </w:tcPr>
          <w:p w14:paraId="038CDE5B">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779" w:type="pct"/>
            <w:vMerge w:val="continue"/>
            <w:tcBorders>
              <w:tl2br w:val="nil"/>
              <w:tr2bl w:val="nil"/>
            </w:tcBorders>
            <w:noWrap w:val="0"/>
            <w:vAlign w:val="center"/>
          </w:tcPr>
          <w:p w14:paraId="5B31A689">
            <w:pPr>
              <w:pageBreakBefore w:val="0"/>
              <w:wordWrap/>
              <w:bidi w:val="0"/>
              <w:adjustRightInd/>
              <w:snapToGrid/>
              <w:spacing w:line="240" w:lineRule="auto"/>
              <w:ind w:firstLine="0" w:firstLineChars="0"/>
              <w:jc w:val="center"/>
              <w:rPr>
                <w:color w:val="auto"/>
                <w:sz w:val="21"/>
                <w:szCs w:val="21"/>
              </w:rPr>
            </w:pPr>
          </w:p>
        </w:tc>
        <w:tc>
          <w:tcPr>
            <w:tcW w:w="1347" w:type="pct"/>
            <w:vMerge w:val="continue"/>
            <w:tcBorders>
              <w:tl2br w:val="nil"/>
              <w:tr2bl w:val="nil"/>
            </w:tcBorders>
            <w:noWrap w:val="0"/>
            <w:vAlign w:val="center"/>
          </w:tcPr>
          <w:p w14:paraId="5B36DA64">
            <w:pPr>
              <w:pageBreakBefore w:val="0"/>
              <w:wordWrap/>
              <w:bidi w:val="0"/>
              <w:adjustRightInd/>
              <w:snapToGrid/>
              <w:spacing w:line="240" w:lineRule="auto"/>
              <w:ind w:firstLine="0" w:firstLineChars="0"/>
              <w:jc w:val="center"/>
              <w:rPr>
                <w:color w:val="auto"/>
                <w:sz w:val="21"/>
                <w:szCs w:val="21"/>
              </w:rPr>
            </w:pPr>
          </w:p>
        </w:tc>
        <w:tc>
          <w:tcPr>
            <w:tcW w:w="1204" w:type="dxa"/>
            <w:tcBorders>
              <w:tl2br w:val="nil"/>
              <w:tr2bl w:val="nil"/>
            </w:tcBorders>
            <w:noWrap w:val="0"/>
            <w:vAlign w:val="center"/>
          </w:tcPr>
          <w:p w14:paraId="0DC88A75">
            <w:pPr>
              <w:pageBreakBefore w:val="0"/>
              <w:wordWrap/>
              <w:bidi w:val="0"/>
              <w:adjustRightInd/>
              <w:snapToGrid/>
              <w:spacing w:line="240" w:lineRule="auto"/>
              <w:ind w:firstLine="0" w:firstLineChars="0"/>
              <w:jc w:val="center"/>
              <w:rPr>
                <w:color w:val="auto"/>
                <w:sz w:val="21"/>
                <w:szCs w:val="21"/>
              </w:rPr>
            </w:pPr>
            <w:r>
              <w:rPr>
                <w:color w:val="auto"/>
                <w:sz w:val="21"/>
                <w:szCs w:val="21"/>
              </w:rPr>
              <w:t>1500</w:t>
            </w:r>
          </w:p>
        </w:tc>
        <w:tc>
          <w:tcPr>
            <w:tcW w:w="533" w:type="pct"/>
            <w:tcBorders>
              <w:tl2br w:val="nil"/>
              <w:tr2bl w:val="nil"/>
            </w:tcBorders>
            <w:noWrap w:val="0"/>
            <w:vAlign w:val="center"/>
          </w:tcPr>
          <w:p w14:paraId="5A2D33B1">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0.0193</w:t>
            </w:r>
          </w:p>
        </w:tc>
      </w:tr>
      <w:tr w14:paraId="5F928E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vMerge w:val="continue"/>
            <w:tcBorders>
              <w:tl2br w:val="nil"/>
              <w:tr2bl w:val="nil"/>
            </w:tcBorders>
            <w:noWrap w:val="0"/>
            <w:vAlign w:val="center"/>
          </w:tcPr>
          <w:p w14:paraId="13672A15">
            <w:pPr>
              <w:pageBreakBefore w:val="0"/>
              <w:wordWrap/>
              <w:bidi w:val="0"/>
              <w:adjustRightInd/>
              <w:snapToGrid/>
              <w:spacing w:line="240" w:lineRule="auto"/>
              <w:ind w:firstLine="0" w:firstLineChars="0"/>
              <w:jc w:val="center"/>
              <w:rPr>
                <w:color w:val="auto"/>
                <w:sz w:val="21"/>
                <w:szCs w:val="21"/>
              </w:rPr>
            </w:pPr>
          </w:p>
        </w:tc>
        <w:tc>
          <w:tcPr>
            <w:tcW w:w="725" w:type="pct"/>
            <w:vMerge w:val="continue"/>
            <w:tcBorders>
              <w:tl2br w:val="nil"/>
              <w:tr2bl w:val="nil"/>
            </w:tcBorders>
            <w:noWrap w:val="0"/>
            <w:vAlign w:val="center"/>
          </w:tcPr>
          <w:p w14:paraId="078DFB91">
            <w:pPr>
              <w:pStyle w:val="16"/>
              <w:bidi w:val="0"/>
              <w:rPr>
                <w:color w:val="auto"/>
              </w:rPr>
            </w:pPr>
          </w:p>
        </w:tc>
        <w:tc>
          <w:tcPr>
            <w:tcW w:w="521" w:type="pct"/>
            <w:tcBorders>
              <w:tl2br w:val="nil"/>
              <w:tr2bl w:val="nil"/>
            </w:tcBorders>
            <w:noWrap w:val="0"/>
            <w:vAlign w:val="center"/>
          </w:tcPr>
          <w:p w14:paraId="5F92C7A1">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779" w:type="pct"/>
            <w:vMerge w:val="continue"/>
            <w:tcBorders>
              <w:tl2br w:val="nil"/>
              <w:tr2bl w:val="nil"/>
            </w:tcBorders>
            <w:noWrap w:val="0"/>
            <w:vAlign w:val="center"/>
          </w:tcPr>
          <w:p w14:paraId="6BC4121C">
            <w:pPr>
              <w:pageBreakBefore w:val="0"/>
              <w:wordWrap/>
              <w:bidi w:val="0"/>
              <w:adjustRightInd/>
              <w:snapToGrid/>
              <w:spacing w:line="240" w:lineRule="auto"/>
              <w:ind w:firstLine="0" w:firstLineChars="0"/>
              <w:jc w:val="center"/>
              <w:rPr>
                <w:color w:val="auto"/>
                <w:sz w:val="21"/>
                <w:szCs w:val="21"/>
              </w:rPr>
            </w:pPr>
          </w:p>
        </w:tc>
        <w:tc>
          <w:tcPr>
            <w:tcW w:w="1347" w:type="pct"/>
            <w:vMerge w:val="continue"/>
            <w:tcBorders>
              <w:tl2br w:val="nil"/>
              <w:tr2bl w:val="nil"/>
            </w:tcBorders>
            <w:noWrap w:val="0"/>
            <w:vAlign w:val="center"/>
          </w:tcPr>
          <w:p w14:paraId="06143284">
            <w:pPr>
              <w:pageBreakBefore w:val="0"/>
              <w:wordWrap/>
              <w:bidi w:val="0"/>
              <w:adjustRightInd/>
              <w:snapToGrid/>
              <w:spacing w:line="240" w:lineRule="auto"/>
              <w:ind w:firstLine="0" w:firstLineChars="0"/>
              <w:jc w:val="center"/>
              <w:rPr>
                <w:color w:val="auto"/>
                <w:sz w:val="21"/>
                <w:szCs w:val="21"/>
              </w:rPr>
            </w:pPr>
          </w:p>
        </w:tc>
        <w:tc>
          <w:tcPr>
            <w:tcW w:w="1204" w:type="dxa"/>
            <w:tcBorders>
              <w:tl2br w:val="nil"/>
              <w:tr2bl w:val="nil"/>
            </w:tcBorders>
            <w:noWrap w:val="0"/>
            <w:vAlign w:val="center"/>
          </w:tcPr>
          <w:p w14:paraId="0AF690E0">
            <w:pPr>
              <w:pageBreakBefore w:val="0"/>
              <w:wordWrap/>
              <w:bidi w:val="0"/>
              <w:adjustRightInd/>
              <w:snapToGrid/>
              <w:spacing w:line="240" w:lineRule="auto"/>
              <w:ind w:firstLine="0" w:firstLineChars="0"/>
              <w:jc w:val="center"/>
              <w:rPr>
                <w:color w:val="auto"/>
                <w:sz w:val="21"/>
                <w:szCs w:val="21"/>
              </w:rPr>
            </w:pPr>
            <w:r>
              <w:rPr>
                <w:color w:val="auto"/>
                <w:sz w:val="21"/>
                <w:szCs w:val="21"/>
              </w:rPr>
              <w:t>60</w:t>
            </w:r>
          </w:p>
        </w:tc>
        <w:tc>
          <w:tcPr>
            <w:tcW w:w="533" w:type="pct"/>
            <w:tcBorders>
              <w:tl2br w:val="nil"/>
              <w:tr2bl w:val="nil"/>
            </w:tcBorders>
            <w:noWrap w:val="0"/>
            <w:vAlign w:val="center"/>
          </w:tcPr>
          <w:p w14:paraId="66E9EC1A">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0.0005</w:t>
            </w:r>
          </w:p>
        </w:tc>
      </w:tr>
      <w:tr w14:paraId="1BB902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vMerge w:val="restart"/>
            <w:tcBorders>
              <w:tl2br w:val="nil"/>
              <w:tr2bl w:val="nil"/>
            </w:tcBorders>
            <w:noWrap w:val="0"/>
            <w:vAlign w:val="center"/>
          </w:tcPr>
          <w:p w14:paraId="23772AF2">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5</w:t>
            </w:r>
          </w:p>
        </w:tc>
        <w:tc>
          <w:tcPr>
            <w:tcW w:w="725" w:type="pct"/>
            <w:vMerge w:val="restart"/>
            <w:tcBorders>
              <w:tl2br w:val="nil"/>
              <w:tr2bl w:val="nil"/>
            </w:tcBorders>
            <w:noWrap w:val="0"/>
            <w:vAlign w:val="center"/>
          </w:tcPr>
          <w:p w14:paraId="383BC99D">
            <w:pPr>
              <w:pStyle w:val="16"/>
              <w:bidi w:val="0"/>
              <w:rPr>
                <w:color w:val="auto"/>
              </w:rPr>
            </w:pPr>
            <w:r>
              <w:rPr>
                <w:rFonts w:hint="eastAsia"/>
                <w:color w:val="auto"/>
                <w:lang w:val="en-US" w:eastAsia="zh-CN"/>
              </w:rPr>
              <w:t>磁混凝沉淀池</w:t>
            </w:r>
          </w:p>
        </w:tc>
        <w:tc>
          <w:tcPr>
            <w:tcW w:w="521" w:type="pct"/>
            <w:tcBorders>
              <w:tl2br w:val="nil"/>
              <w:tr2bl w:val="nil"/>
            </w:tcBorders>
            <w:noWrap w:val="0"/>
            <w:vAlign w:val="center"/>
          </w:tcPr>
          <w:p w14:paraId="0BD7985E">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779" w:type="pct"/>
            <w:vMerge w:val="continue"/>
            <w:tcBorders>
              <w:tl2br w:val="nil"/>
              <w:tr2bl w:val="nil"/>
            </w:tcBorders>
            <w:noWrap w:val="0"/>
            <w:vAlign w:val="center"/>
          </w:tcPr>
          <w:p w14:paraId="33B85D41">
            <w:pPr>
              <w:pageBreakBefore w:val="0"/>
              <w:wordWrap/>
              <w:bidi w:val="0"/>
              <w:adjustRightInd/>
              <w:snapToGrid/>
              <w:spacing w:line="240" w:lineRule="auto"/>
              <w:ind w:firstLine="0" w:firstLineChars="0"/>
              <w:jc w:val="center"/>
              <w:rPr>
                <w:color w:val="auto"/>
                <w:sz w:val="21"/>
                <w:szCs w:val="21"/>
              </w:rPr>
            </w:pPr>
          </w:p>
        </w:tc>
        <w:tc>
          <w:tcPr>
            <w:tcW w:w="1347" w:type="pct"/>
            <w:vMerge w:val="continue"/>
            <w:tcBorders>
              <w:tl2br w:val="nil"/>
              <w:tr2bl w:val="nil"/>
            </w:tcBorders>
            <w:noWrap w:val="0"/>
            <w:vAlign w:val="center"/>
          </w:tcPr>
          <w:p w14:paraId="0F5950AE">
            <w:pPr>
              <w:pageBreakBefore w:val="0"/>
              <w:wordWrap/>
              <w:bidi w:val="0"/>
              <w:adjustRightInd/>
              <w:snapToGrid/>
              <w:spacing w:line="240" w:lineRule="auto"/>
              <w:ind w:firstLine="0" w:firstLineChars="0"/>
              <w:jc w:val="center"/>
              <w:rPr>
                <w:color w:val="auto"/>
                <w:sz w:val="21"/>
                <w:szCs w:val="21"/>
              </w:rPr>
            </w:pPr>
          </w:p>
        </w:tc>
        <w:tc>
          <w:tcPr>
            <w:tcW w:w="1204" w:type="dxa"/>
            <w:tcBorders>
              <w:tl2br w:val="nil"/>
              <w:tr2bl w:val="nil"/>
            </w:tcBorders>
            <w:noWrap w:val="0"/>
            <w:vAlign w:val="center"/>
          </w:tcPr>
          <w:p w14:paraId="7109ECDD">
            <w:pPr>
              <w:pageBreakBefore w:val="0"/>
              <w:wordWrap/>
              <w:bidi w:val="0"/>
              <w:adjustRightInd/>
              <w:snapToGrid/>
              <w:spacing w:line="240" w:lineRule="auto"/>
              <w:ind w:firstLine="0" w:firstLineChars="0"/>
              <w:jc w:val="center"/>
              <w:rPr>
                <w:color w:val="auto"/>
                <w:sz w:val="21"/>
                <w:szCs w:val="21"/>
              </w:rPr>
            </w:pPr>
            <w:r>
              <w:rPr>
                <w:color w:val="auto"/>
                <w:sz w:val="21"/>
                <w:szCs w:val="21"/>
              </w:rPr>
              <w:t>1500</w:t>
            </w:r>
          </w:p>
        </w:tc>
        <w:tc>
          <w:tcPr>
            <w:tcW w:w="533" w:type="pct"/>
            <w:tcBorders>
              <w:tl2br w:val="nil"/>
              <w:tr2bl w:val="nil"/>
            </w:tcBorders>
            <w:noWrap w:val="0"/>
            <w:vAlign w:val="center"/>
          </w:tcPr>
          <w:p w14:paraId="3094C16A">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0.0309</w:t>
            </w:r>
          </w:p>
        </w:tc>
      </w:tr>
      <w:tr w14:paraId="6B2AF7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vMerge w:val="continue"/>
            <w:tcBorders>
              <w:tl2br w:val="nil"/>
              <w:tr2bl w:val="nil"/>
            </w:tcBorders>
            <w:noWrap w:val="0"/>
            <w:vAlign w:val="center"/>
          </w:tcPr>
          <w:p w14:paraId="1421F242">
            <w:pPr>
              <w:pageBreakBefore w:val="0"/>
              <w:wordWrap/>
              <w:bidi w:val="0"/>
              <w:adjustRightInd/>
              <w:snapToGrid/>
              <w:spacing w:line="240" w:lineRule="auto"/>
              <w:ind w:firstLine="0" w:firstLineChars="0"/>
              <w:jc w:val="center"/>
              <w:rPr>
                <w:color w:val="auto"/>
                <w:sz w:val="21"/>
                <w:szCs w:val="21"/>
              </w:rPr>
            </w:pPr>
          </w:p>
        </w:tc>
        <w:tc>
          <w:tcPr>
            <w:tcW w:w="725" w:type="pct"/>
            <w:vMerge w:val="continue"/>
            <w:tcBorders>
              <w:tl2br w:val="nil"/>
              <w:tr2bl w:val="nil"/>
            </w:tcBorders>
            <w:noWrap w:val="0"/>
            <w:vAlign w:val="center"/>
          </w:tcPr>
          <w:p w14:paraId="241FC684">
            <w:pPr>
              <w:pStyle w:val="16"/>
              <w:bidi w:val="0"/>
              <w:rPr>
                <w:color w:val="auto"/>
              </w:rPr>
            </w:pPr>
          </w:p>
        </w:tc>
        <w:tc>
          <w:tcPr>
            <w:tcW w:w="521" w:type="pct"/>
            <w:tcBorders>
              <w:tl2br w:val="nil"/>
              <w:tr2bl w:val="nil"/>
            </w:tcBorders>
            <w:noWrap w:val="0"/>
            <w:vAlign w:val="center"/>
          </w:tcPr>
          <w:p w14:paraId="4F8C193F">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779" w:type="pct"/>
            <w:vMerge w:val="continue"/>
            <w:tcBorders>
              <w:tl2br w:val="nil"/>
              <w:tr2bl w:val="nil"/>
            </w:tcBorders>
            <w:noWrap w:val="0"/>
            <w:vAlign w:val="center"/>
          </w:tcPr>
          <w:p w14:paraId="2F21F62B">
            <w:pPr>
              <w:pageBreakBefore w:val="0"/>
              <w:wordWrap/>
              <w:bidi w:val="0"/>
              <w:adjustRightInd/>
              <w:snapToGrid/>
              <w:spacing w:line="240" w:lineRule="auto"/>
              <w:ind w:firstLine="0" w:firstLineChars="0"/>
              <w:jc w:val="center"/>
              <w:rPr>
                <w:color w:val="auto"/>
                <w:sz w:val="21"/>
                <w:szCs w:val="21"/>
              </w:rPr>
            </w:pPr>
          </w:p>
        </w:tc>
        <w:tc>
          <w:tcPr>
            <w:tcW w:w="1347" w:type="pct"/>
            <w:vMerge w:val="continue"/>
            <w:tcBorders>
              <w:tl2br w:val="nil"/>
              <w:tr2bl w:val="nil"/>
            </w:tcBorders>
            <w:noWrap w:val="0"/>
            <w:vAlign w:val="center"/>
          </w:tcPr>
          <w:p w14:paraId="2F2EB54C">
            <w:pPr>
              <w:pageBreakBefore w:val="0"/>
              <w:wordWrap/>
              <w:bidi w:val="0"/>
              <w:adjustRightInd/>
              <w:snapToGrid/>
              <w:spacing w:line="240" w:lineRule="auto"/>
              <w:ind w:firstLine="0" w:firstLineChars="0"/>
              <w:jc w:val="center"/>
              <w:rPr>
                <w:color w:val="auto"/>
                <w:sz w:val="21"/>
                <w:szCs w:val="21"/>
              </w:rPr>
            </w:pPr>
          </w:p>
        </w:tc>
        <w:tc>
          <w:tcPr>
            <w:tcW w:w="1204" w:type="dxa"/>
            <w:tcBorders>
              <w:tl2br w:val="nil"/>
              <w:tr2bl w:val="nil"/>
            </w:tcBorders>
            <w:noWrap w:val="0"/>
            <w:vAlign w:val="center"/>
          </w:tcPr>
          <w:p w14:paraId="0D5BFB25">
            <w:pPr>
              <w:pageBreakBefore w:val="0"/>
              <w:wordWrap/>
              <w:bidi w:val="0"/>
              <w:adjustRightInd/>
              <w:snapToGrid/>
              <w:spacing w:line="240" w:lineRule="auto"/>
              <w:ind w:firstLine="0" w:firstLineChars="0"/>
              <w:jc w:val="center"/>
              <w:rPr>
                <w:color w:val="auto"/>
                <w:sz w:val="21"/>
                <w:szCs w:val="21"/>
              </w:rPr>
            </w:pPr>
            <w:r>
              <w:rPr>
                <w:color w:val="auto"/>
                <w:sz w:val="21"/>
                <w:szCs w:val="21"/>
              </w:rPr>
              <w:t>60</w:t>
            </w:r>
          </w:p>
        </w:tc>
        <w:tc>
          <w:tcPr>
            <w:tcW w:w="533" w:type="pct"/>
            <w:tcBorders>
              <w:tl2br w:val="nil"/>
              <w:tr2bl w:val="nil"/>
            </w:tcBorders>
            <w:noWrap w:val="0"/>
            <w:vAlign w:val="center"/>
          </w:tcPr>
          <w:p w14:paraId="4AE9A13E">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0.0009</w:t>
            </w:r>
          </w:p>
        </w:tc>
      </w:tr>
      <w:tr w14:paraId="2D5B4E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vMerge w:val="restart"/>
            <w:tcBorders>
              <w:tl2br w:val="nil"/>
              <w:tr2bl w:val="nil"/>
            </w:tcBorders>
            <w:noWrap w:val="0"/>
            <w:vAlign w:val="center"/>
          </w:tcPr>
          <w:p w14:paraId="3F549ED1">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6</w:t>
            </w:r>
          </w:p>
        </w:tc>
        <w:tc>
          <w:tcPr>
            <w:tcW w:w="725" w:type="pct"/>
            <w:vMerge w:val="restart"/>
            <w:tcBorders>
              <w:tl2br w:val="nil"/>
              <w:tr2bl w:val="nil"/>
            </w:tcBorders>
            <w:noWrap w:val="0"/>
            <w:vAlign w:val="center"/>
          </w:tcPr>
          <w:p w14:paraId="6447A5DA">
            <w:pPr>
              <w:pStyle w:val="16"/>
              <w:bidi w:val="0"/>
              <w:rPr>
                <w:color w:val="auto"/>
              </w:rPr>
            </w:pPr>
            <w:r>
              <w:rPr>
                <w:rFonts w:hint="eastAsia"/>
                <w:color w:val="auto"/>
                <w:lang w:val="en-US" w:eastAsia="zh-CN"/>
              </w:rPr>
              <w:t>反硝化深床滤池</w:t>
            </w:r>
          </w:p>
        </w:tc>
        <w:tc>
          <w:tcPr>
            <w:tcW w:w="521" w:type="pct"/>
            <w:tcBorders>
              <w:tl2br w:val="nil"/>
              <w:tr2bl w:val="nil"/>
            </w:tcBorders>
            <w:noWrap w:val="0"/>
            <w:vAlign w:val="center"/>
          </w:tcPr>
          <w:p w14:paraId="469E52C3">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779" w:type="pct"/>
            <w:vMerge w:val="continue"/>
            <w:tcBorders>
              <w:tl2br w:val="nil"/>
              <w:tr2bl w:val="nil"/>
            </w:tcBorders>
            <w:noWrap w:val="0"/>
            <w:vAlign w:val="center"/>
          </w:tcPr>
          <w:p w14:paraId="5F7C8CDC">
            <w:pPr>
              <w:pageBreakBefore w:val="0"/>
              <w:wordWrap/>
              <w:bidi w:val="0"/>
              <w:adjustRightInd/>
              <w:snapToGrid/>
              <w:spacing w:line="240" w:lineRule="auto"/>
              <w:ind w:firstLine="0" w:firstLineChars="0"/>
              <w:jc w:val="center"/>
              <w:rPr>
                <w:color w:val="auto"/>
                <w:sz w:val="21"/>
                <w:szCs w:val="21"/>
              </w:rPr>
            </w:pPr>
          </w:p>
        </w:tc>
        <w:tc>
          <w:tcPr>
            <w:tcW w:w="1347" w:type="pct"/>
            <w:vMerge w:val="continue"/>
            <w:tcBorders>
              <w:tl2br w:val="nil"/>
              <w:tr2bl w:val="nil"/>
            </w:tcBorders>
            <w:noWrap w:val="0"/>
            <w:vAlign w:val="center"/>
          </w:tcPr>
          <w:p w14:paraId="24160396">
            <w:pPr>
              <w:pageBreakBefore w:val="0"/>
              <w:wordWrap/>
              <w:bidi w:val="0"/>
              <w:adjustRightInd/>
              <w:snapToGrid/>
              <w:spacing w:line="240" w:lineRule="auto"/>
              <w:ind w:firstLine="0" w:firstLineChars="0"/>
              <w:jc w:val="center"/>
              <w:rPr>
                <w:color w:val="auto"/>
                <w:sz w:val="21"/>
                <w:szCs w:val="21"/>
              </w:rPr>
            </w:pPr>
          </w:p>
        </w:tc>
        <w:tc>
          <w:tcPr>
            <w:tcW w:w="1204" w:type="dxa"/>
            <w:tcBorders>
              <w:tl2br w:val="nil"/>
              <w:tr2bl w:val="nil"/>
            </w:tcBorders>
            <w:noWrap w:val="0"/>
            <w:vAlign w:val="center"/>
          </w:tcPr>
          <w:p w14:paraId="22C5665B">
            <w:pPr>
              <w:pageBreakBefore w:val="0"/>
              <w:wordWrap/>
              <w:bidi w:val="0"/>
              <w:adjustRightInd/>
              <w:snapToGrid/>
              <w:spacing w:line="240" w:lineRule="auto"/>
              <w:ind w:firstLine="0" w:firstLineChars="0"/>
              <w:jc w:val="center"/>
              <w:rPr>
                <w:color w:val="auto"/>
                <w:sz w:val="21"/>
                <w:szCs w:val="21"/>
              </w:rPr>
            </w:pPr>
            <w:r>
              <w:rPr>
                <w:color w:val="auto"/>
                <w:sz w:val="21"/>
                <w:szCs w:val="21"/>
              </w:rPr>
              <w:t>1500</w:t>
            </w:r>
          </w:p>
        </w:tc>
        <w:tc>
          <w:tcPr>
            <w:tcW w:w="533" w:type="pct"/>
            <w:tcBorders>
              <w:tl2br w:val="nil"/>
              <w:tr2bl w:val="nil"/>
            </w:tcBorders>
            <w:noWrap w:val="0"/>
            <w:vAlign w:val="center"/>
          </w:tcPr>
          <w:p w14:paraId="2F5F2A09">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0.0091</w:t>
            </w:r>
          </w:p>
        </w:tc>
      </w:tr>
      <w:tr w14:paraId="37EE69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vMerge w:val="continue"/>
            <w:tcBorders>
              <w:tl2br w:val="nil"/>
              <w:tr2bl w:val="nil"/>
            </w:tcBorders>
            <w:noWrap w:val="0"/>
            <w:vAlign w:val="center"/>
          </w:tcPr>
          <w:p w14:paraId="29A8FB23">
            <w:pPr>
              <w:pageBreakBefore w:val="0"/>
              <w:wordWrap/>
              <w:bidi w:val="0"/>
              <w:adjustRightInd/>
              <w:snapToGrid/>
              <w:spacing w:line="240" w:lineRule="auto"/>
              <w:ind w:firstLine="0" w:firstLineChars="0"/>
              <w:jc w:val="center"/>
              <w:rPr>
                <w:color w:val="auto"/>
                <w:sz w:val="21"/>
                <w:szCs w:val="21"/>
              </w:rPr>
            </w:pPr>
          </w:p>
        </w:tc>
        <w:tc>
          <w:tcPr>
            <w:tcW w:w="725" w:type="pct"/>
            <w:vMerge w:val="continue"/>
            <w:tcBorders>
              <w:tl2br w:val="nil"/>
              <w:tr2bl w:val="nil"/>
            </w:tcBorders>
            <w:noWrap w:val="0"/>
            <w:vAlign w:val="center"/>
          </w:tcPr>
          <w:p w14:paraId="644DFE8C">
            <w:pPr>
              <w:pStyle w:val="16"/>
              <w:bidi w:val="0"/>
              <w:rPr>
                <w:color w:val="auto"/>
              </w:rPr>
            </w:pPr>
          </w:p>
        </w:tc>
        <w:tc>
          <w:tcPr>
            <w:tcW w:w="521" w:type="pct"/>
            <w:tcBorders>
              <w:tl2br w:val="nil"/>
              <w:tr2bl w:val="nil"/>
            </w:tcBorders>
            <w:noWrap w:val="0"/>
            <w:vAlign w:val="center"/>
          </w:tcPr>
          <w:p w14:paraId="034852E9">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779" w:type="pct"/>
            <w:vMerge w:val="continue"/>
            <w:tcBorders>
              <w:tl2br w:val="nil"/>
              <w:tr2bl w:val="nil"/>
            </w:tcBorders>
            <w:noWrap w:val="0"/>
            <w:vAlign w:val="center"/>
          </w:tcPr>
          <w:p w14:paraId="696A2EBD">
            <w:pPr>
              <w:pageBreakBefore w:val="0"/>
              <w:wordWrap/>
              <w:bidi w:val="0"/>
              <w:adjustRightInd/>
              <w:snapToGrid/>
              <w:spacing w:line="240" w:lineRule="auto"/>
              <w:ind w:firstLine="0" w:firstLineChars="0"/>
              <w:jc w:val="center"/>
              <w:rPr>
                <w:color w:val="auto"/>
                <w:sz w:val="21"/>
                <w:szCs w:val="21"/>
              </w:rPr>
            </w:pPr>
          </w:p>
        </w:tc>
        <w:tc>
          <w:tcPr>
            <w:tcW w:w="1347" w:type="pct"/>
            <w:vMerge w:val="continue"/>
            <w:tcBorders>
              <w:tl2br w:val="nil"/>
              <w:tr2bl w:val="nil"/>
            </w:tcBorders>
            <w:noWrap w:val="0"/>
            <w:vAlign w:val="center"/>
          </w:tcPr>
          <w:p w14:paraId="1E914C95">
            <w:pPr>
              <w:pageBreakBefore w:val="0"/>
              <w:wordWrap/>
              <w:bidi w:val="0"/>
              <w:adjustRightInd/>
              <w:snapToGrid/>
              <w:spacing w:line="240" w:lineRule="auto"/>
              <w:ind w:firstLine="0" w:firstLineChars="0"/>
              <w:jc w:val="center"/>
              <w:rPr>
                <w:color w:val="auto"/>
                <w:sz w:val="21"/>
                <w:szCs w:val="21"/>
              </w:rPr>
            </w:pPr>
          </w:p>
        </w:tc>
        <w:tc>
          <w:tcPr>
            <w:tcW w:w="1204" w:type="dxa"/>
            <w:tcBorders>
              <w:tl2br w:val="nil"/>
              <w:tr2bl w:val="nil"/>
            </w:tcBorders>
            <w:noWrap w:val="0"/>
            <w:vAlign w:val="center"/>
          </w:tcPr>
          <w:p w14:paraId="009C45F9">
            <w:pPr>
              <w:pageBreakBefore w:val="0"/>
              <w:wordWrap/>
              <w:bidi w:val="0"/>
              <w:adjustRightInd/>
              <w:snapToGrid/>
              <w:spacing w:line="240" w:lineRule="auto"/>
              <w:ind w:firstLine="0" w:firstLineChars="0"/>
              <w:jc w:val="center"/>
              <w:rPr>
                <w:color w:val="auto"/>
                <w:sz w:val="21"/>
                <w:szCs w:val="21"/>
              </w:rPr>
            </w:pPr>
            <w:r>
              <w:rPr>
                <w:color w:val="auto"/>
                <w:sz w:val="21"/>
                <w:szCs w:val="21"/>
              </w:rPr>
              <w:t>60</w:t>
            </w:r>
          </w:p>
        </w:tc>
        <w:tc>
          <w:tcPr>
            <w:tcW w:w="533" w:type="pct"/>
            <w:tcBorders>
              <w:tl2br w:val="nil"/>
              <w:tr2bl w:val="nil"/>
            </w:tcBorders>
            <w:noWrap w:val="0"/>
            <w:vAlign w:val="center"/>
          </w:tcPr>
          <w:p w14:paraId="0E032DA1">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0.0002</w:t>
            </w:r>
          </w:p>
        </w:tc>
      </w:tr>
      <w:tr w14:paraId="15419C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vMerge w:val="restart"/>
            <w:tcBorders>
              <w:tl2br w:val="nil"/>
              <w:tr2bl w:val="nil"/>
            </w:tcBorders>
            <w:noWrap w:val="0"/>
            <w:vAlign w:val="center"/>
          </w:tcPr>
          <w:p w14:paraId="21591871">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7</w:t>
            </w:r>
          </w:p>
        </w:tc>
        <w:tc>
          <w:tcPr>
            <w:tcW w:w="725" w:type="pct"/>
            <w:vMerge w:val="restart"/>
            <w:tcBorders>
              <w:tl2br w:val="nil"/>
              <w:tr2bl w:val="nil"/>
            </w:tcBorders>
            <w:noWrap w:val="0"/>
            <w:vAlign w:val="center"/>
          </w:tcPr>
          <w:p w14:paraId="44F823F5">
            <w:pPr>
              <w:pStyle w:val="16"/>
              <w:bidi w:val="0"/>
              <w:rPr>
                <w:color w:val="auto"/>
              </w:rPr>
            </w:pPr>
            <w:r>
              <w:rPr>
                <w:rFonts w:hint="eastAsia"/>
                <w:color w:val="auto"/>
                <w:lang w:val="en-US" w:eastAsia="zh-CN"/>
              </w:rPr>
              <w:t>高级氧化深度处理</w:t>
            </w:r>
          </w:p>
        </w:tc>
        <w:tc>
          <w:tcPr>
            <w:tcW w:w="521" w:type="pct"/>
            <w:tcBorders>
              <w:tl2br w:val="nil"/>
              <w:tr2bl w:val="nil"/>
            </w:tcBorders>
            <w:noWrap w:val="0"/>
            <w:vAlign w:val="center"/>
          </w:tcPr>
          <w:p w14:paraId="4D9854DB">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779" w:type="pct"/>
            <w:vMerge w:val="continue"/>
            <w:tcBorders>
              <w:tl2br w:val="nil"/>
              <w:tr2bl w:val="nil"/>
            </w:tcBorders>
            <w:noWrap w:val="0"/>
            <w:vAlign w:val="center"/>
          </w:tcPr>
          <w:p w14:paraId="6ED622BA">
            <w:pPr>
              <w:pageBreakBefore w:val="0"/>
              <w:wordWrap/>
              <w:bidi w:val="0"/>
              <w:adjustRightInd/>
              <w:snapToGrid/>
              <w:spacing w:line="240" w:lineRule="auto"/>
              <w:ind w:firstLine="0" w:firstLineChars="0"/>
              <w:jc w:val="center"/>
              <w:rPr>
                <w:color w:val="auto"/>
                <w:sz w:val="21"/>
                <w:szCs w:val="21"/>
              </w:rPr>
            </w:pPr>
          </w:p>
        </w:tc>
        <w:tc>
          <w:tcPr>
            <w:tcW w:w="1347" w:type="pct"/>
            <w:vMerge w:val="continue"/>
            <w:tcBorders>
              <w:tl2br w:val="nil"/>
              <w:tr2bl w:val="nil"/>
            </w:tcBorders>
            <w:noWrap w:val="0"/>
            <w:vAlign w:val="center"/>
          </w:tcPr>
          <w:p w14:paraId="690CD3B9">
            <w:pPr>
              <w:pageBreakBefore w:val="0"/>
              <w:wordWrap/>
              <w:bidi w:val="0"/>
              <w:adjustRightInd/>
              <w:snapToGrid/>
              <w:spacing w:line="240" w:lineRule="auto"/>
              <w:ind w:firstLine="0" w:firstLineChars="0"/>
              <w:jc w:val="center"/>
              <w:rPr>
                <w:color w:val="auto"/>
                <w:sz w:val="21"/>
                <w:szCs w:val="21"/>
              </w:rPr>
            </w:pPr>
          </w:p>
        </w:tc>
        <w:tc>
          <w:tcPr>
            <w:tcW w:w="1204" w:type="dxa"/>
            <w:tcBorders>
              <w:tl2br w:val="nil"/>
              <w:tr2bl w:val="nil"/>
            </w:tcBorders>
            <w:noWrap w:val="0"/>
            <w:vAlign w:val="center"/>
          </w:tcPr>
          <w:p w14:paraId="623677F0">
            <w:pPr>
              <w:pageBreakBefore w:val="0"/>
              <w:wordWrap/>
              <w:bidi w:val="0"/>
              <w:adjustRightInd/>
              <w:snapToGrid/>
              <w:spacing w:line="240" w:lineRule="auto"/>
              <w:ind w:firstLine="0" w:firstLineChars="0"/>
              <w:jc w:val="center"/>
              <w:rPr>
                <w:color w:val="auto"/>
                <w:sz w:val="21"/>
                <w:szCs w:val="21"/>
              </w:rPr>
            </w:pPr>
            <w:r>
              <w:rPr>
                <w:color w:val="auto"/>
                <w:sz w:val="21"/>
                <w:szCs w:val="21"/>
              </w:rPr>
              <w:t>1500</w:t>
            </w:r>
          </w:p>
        </w:tc>
        <w:tc>
          <w:tcPr>
            <w:tcW w:w="533" w:type="pct"/>
            <w:tcBorders>
              <w:tl2br w:val="nil"/>
              <w:tr2bl w:val="nil"/>
            </w:tcBorders>
            <w:noWrap w:val="0"/>
            <w:vAlign w:val="center"/>
          </w:tcPr>
          <w:p w14:paraId="18FCB3BD">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0.0011</w:t>
            </w:r>
          </w:p>
        </w:tc>
      </w:tr>
      <w:tr w14:paraId="04AE9D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vMerge w:val="continue"/>
            <w:tcBorders>
              <w:tl2br w:val="nil"/>
              <w:tr2bl w:val="nil"/>
            </w:tcBorders>
            <w:noWrap w:val="0"/>
            <w:vAlign w:val="center"/>
          </w:tcPr>
          <w:p w14:paraId="1D3D3108">
            <w:pPr>
              <w:pageBreakBefore w:val="0"/>
              <w:wordWrap/>
              <w:bidi w:val="0"/>
              <w:adjustRightInd/>
              <w:snapToGrid/>
              <w:spacing w:line="240" w:lineRule="auto"/>
              <w:ind w:firstLine="0" w:firstLineChars="0"/>
              <w:jc w:val="center"/>
              <w:rPr>
                <w:color w:val="auto"/>
                <w:sz w:val="21"/>
                <w:szCs w:val="21"/>
              </w:rPr>
            </w:pPr>
          </w:p>
        </w:tc>
        <w:tc>
          <w:tcPr>
            <w:tcW w:w="725" w:type="pct"/>
            <w:vMerge w:val="continue"/>
            <w:tcBorders>
              <w:tl2br w:val="nil"/>
              <w:tr2bl w:val="nil"/>
            </w:tcBorders>
            <w:noWrap w:val="0"/>
            <w:vAlign w:val="center"/>
          </w:tcPr>
          <w:p w14:paraId="1976C6B4">
            <w:pPr>
              <w:pStyle w:val="16"/>
              <w:bidi w:val="0"/>
              <w:rPr>
                <w:color w:val="auto"/>
              </w:rPr>
            </w:pPr>
          </w:p>
        </w:tc>
        <w:tc>
          <w:tcPr>
            <w:tcW w:w="521" w:type="pct"/>
            <w:tcBorders>
              <w:tl2br w:val="nil"/>
              <w:tr2bl w:val="nil"/>
            </w:tcBorders>
            <w:noWrap w:val="0"/>
            <w:vAlign w:val="center"/>
          </w:tcPr>
          <w:p w14:paraId="7435A662">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779" w:type="pct"/>
            <w:vMerge w:val="continue"/>
            <w:tcBorders>
              <w:tl2br w:val="nil"/>
              <w:tr2bl w:val="nil"/>
            </w:tcBorders>
            <w:noWrap w:val="0"/>
            <w:vAlign w:val="center"/>
          </w:tcPr>
          <w:p w14:paraId="2483E533">
            <w:pPr>
              <w:pageBreakBefore w:val="0"/>
              <w:wordWrap/>
              <w:bidi w:val="0"/>
              <w:adjustRightInd/>
              <w:snapToGrid/>
              <w:spacing w:line="240" w:lineRule="auto"/>
              <w:ind w:firstLine="0" w:firstLineChars="0"/>
              <w:jc w:val="center"/>
              <w:rPr>
                <w:color w:val="auto"/>
                <w:sz w:val="21"/>
                <w:szCs w:val="21"/>
              </w:rPr>
            </w:pPr>
          </w:p>
        </w:tc>
        <w:tc>
          <w:tcPr>
            <w:tcW w:w="1347" w:type="pct"/>
            <w:vMerge w:val="continue"/>
            <w:tcBorders>
              <w:tl2br w:val="nil"/>
              <w:tr2bl w:val="nil"/>
            </w:tcBorders>
            <w:noWrap w:val="0"/>
            <w:vAlign w:val="center"/>
          </w:tcPr>
          <w:p w14:paraId="230C9E13">
            <w:pPr>
              <w:pageBreakBefore w:val="0"/>
              <w:wordWrap/>
              <w:bidi w:val="0"/>
              <w:adjustRightInd/>
              <w:snapToGrid/>
              <w:spacing w:line="240" w:lineRule="auto"/>
              <w:ind w:firstLine="0" w:firstLineChars="0"/>
              <w:jc w:val="center"/>
              <w:rPr>
                <w:color w:val="auto"/>
                <w:sz w:val="21"/>
                <w:szCs w:val="21"/>
              </w:rPr>
            </w:pPr>
          </w:p>
        </w:tc>
        <w:tc>
          <w:tcPr>
            <w:tcW w:w="1204" w:type="dxa"/>
            <w:tcBorders>
              <w:tl2br w:val="nil"/>
              <w:tr2bl w:val="nil"/>
            </w:tcBorders>
            <w:noWrap w:val="0"/>
            <w:vAlign w:val="center"/>
          </w:tcPr>
          <w:p w14:paraId="29474BFA">
            <w:pPr>
              <w:pageBreakBefore w:val="0"/>
              <w:wordWrap/>
              <w:bidi w:val="0"/>
              <w:adjustRightInd/>
              <w:snapToGrid/>
              <w:spacing w:line="240" w:lineRule="auto"/>
              <w:ind w:firstLine="0" w:firstLineChars="0"/>
              <w:jc w:val="center"/>
              <w:rPr>
                <w:color w:val="auto"/>
                <w:sz w:val="21"/>
                <w:szCs w:val="21"/>
              </w:rPr>
            </w:pPr>
            <w:r>
              <w:rPr>
                <w:color w:val="auto"/>
                <w:sz w:val="21"/>
                <w:szCs w:val="21"/>
              </w:rPr>
              <w:t>60</w:t>
            </w:r>
          </w:p>
        </w:tc>
        <w:tc>
          <w:tcPr>
            <w:tcW w:w="533" w:type="pct"/>
            <w:tcBorders>
              <w:tl2br w:val="nil"/>
              <w:tr2bl w:val="nil"/>
            </w:tcBorders>
            <w:noWrap w:val="0"/>
            <w:vAlign w:val="center"/>
          </w:tcPr>
          <w:p w14:paraId="2A4F6333">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w:t>
            </w:r>
          </w:p>
        </w:tc>
      </w:tr>
      <w:tr w14:paraId="0DE239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vMerge w:val="restart"/>
            <w:tcBorders>
              <w:tl2br w:val="nil"/>
              <w:tr2bl w:val="nil"/>
            </w:tcBorders>
            <w:noWrap w:val="0"/>
            <w:vAlign w:val="center"/>
          </w:tcPr>
          <w:p w14:paraId="7F6E902A">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8</w:t>
            </w:r>
          </w:p>
        </w:tc>
        <w:tc>
          <w:tcPr>
            <w:tcW w:w="725" w:type="pct"/>
            <w:vMerge w:val="restart"/>
            <w:tcBorders>
              <w:tl2br w:val="nil"/>
              <w:tr2bl w:val="nil"/>
            </w:tcBorders>
            <w:noWrap w:val="0"/>
            <w:vAlign w:val="center"/>
          </w:tcPr>
          <w:p w14:paraId="466EA3D8">
            <w:pPr>
              <w:pStyle w:val="16"/>
              <w:bidi w:val="0"/>
              <w:rPr>
                <w:color w:val="auto"/>
              </w:rPr>
            </w:pPr>
            <w:r>
              <w:rPr>
                <w:rFonts w:hint="eastAsia"/>
                <w:color w:val="auto"/>
                <w:lang w:val="en-US" w:eastAsia="zh-CN"/>
              </w:rPr>
              <w:t>污泥池</w:t>
            </w:r>
          </w:p>
        </w:tc>
        <w:tc>
          <w:tcPr>
            <w:tcW w:w="521" w:type="pct"/>
            <w:tcBorders>
              <w:tl2br w:val="nil"/>
              <w:tr2bl w:val="nil"/>
            </w:tcBorders>
            <w:noWrap w:val="0"/>
            <w:vAlign w:val="center"/>
          </w:tcPr>
          <w:p w14:paraId="72CB0448">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779" w:type="pct"/>
            <w:vMerge w:val="continue"/>
            <w:tcBorders>
              <w:tl2br w:val="nil"/>
              <w:tr2bl w:val="nil"/>
            </w:tcBorders>
            <w:noWrap w:val="0"/>
            <w:vAlign w:val="center"/>
          </w:tcPr>
          <w:p w14:paraId="4C5154D7">
            <w:pPr>
              <w:pageBreakBefore w:val="0"/>
              <w:wordWrap/>
              <w:bidi w:val="0"/>
              <w:adjustRightInd/>
              <w:snapToGrid/>
              <w:spacing w:line="240" w:lineRule="auto"/>
              <w:ind w:firstLine="0" w:firstLineChars="0"/>
              <w:jc w:val="center"/>
              <w:rPr>
                <w:color w:val="auto"/>
                <w:sz w:val="21"/>
                <w:szCs w:val="21"/>
              </w:rPr>
            </w:pPr>
          </w:p>
        </w:tc>
        <w:tc>
          <w:tcPr>
            <w:tcW w:w="1347" w:type="pct"/>
            <w:vMerge w:val="continue"/>
            <w:tcBorders>
              <w:tl2br w:val="nil"/>
              <w:tr2bl w:val="nil"/>
            </w:tcBorders>
            <w:noWrap w:val="0"/>
            <w:vAlign w:val="center"/>
          </w:tcPr>
          <w:p w14:paraId="20006F65">
            <w:pPr>
              <w:pageBreakBefore w:val="0"/>
              <w:wordWrap/>
              <w:bidi w:val="0"/>
              <w:adjustRightInd/>
              <w:snapToGrid/>
              <w:spacing w:line="240" w:lineRule="auto"/>
              <w:ind w:firstLine="0" w:firstLineChars="0"/>
              <w:jc w:val="center"/>
              <w:rPr>
                <w:color w:val="auto"/>
                <w:sz w:val="21"/>
                <w:szCs w:val="21"/>
              </w:rPr>
            </w:pPr>
          </w:p>
        </w:tc>
        <w:tc>
          <w:tcPr>
            <w:tcW w:w="1204" w:type="dxa"/>
            <w:tcBorders>
              <w:tl2br w:val="nil"/>
              <w:tr2bl w:val="nil"/>
            </w:tcBorders>
            <w:noWrap w:val="0"/>
            <w:vAlign w:val="center"/>
          </w:tcPr>
          <w:p w14:paraId="2885EBEE">
            <w:pPr>
              <w:pageBreakBefore w:val="0"/>
              <w:wordWrap/>
              <w:bidi w:val="0"/>
              <w:adjustRightInd/>
              <w:snapToGrid/>
              <w:spacing w:line="240" w:lineRule="auto"/>
              <w:ind w:firstLine="0" w:firstLineChars="0"/>
              <w:jc w:val="center"/>
              <w:rPr>
                <w:color w:val="auto"/>
                <w:sz w:val="21"/>
                <w:szCs w:val="21"/>
              </w:rPr>
            </w:pPr>
            <w:r>
              <w:rPr>
                <w:color w:val="auto"/>
                <w:sz w:val="21"/>
                <w:szCs w:val="21"/>
              </w:rPr>
              <w:t>1500</w:t>
            </w:r>
          </w:p>
        </w:tc>
        <w:tc>
          <w:tcPr>
            <w:tcW w:w="533" w:type="pct"/>
            <w:tcBorders>
              <w:tl2br w:val="nil"/>
              <w:tr2bl w:val="nil"/>
            </w:tcBorders>
            <w:noWrap w:val="0"/>
            <w:vAlign w:val="center"/>
          </w:tcPr>
          <w:p w14:paraId="28C56901">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0.0056</w:t>
            </w:r>
          </w:p>
        </w:tc>
      </w:tr>
      <w:tr w14:paraId="274DEC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vMerge w:val="continue"/>
            <w:tcBorders>
              <w:tl2br w:val="nil"/>
              <w:tr2bl w:val="nil"/>
            </w:tcBorders>
            <w:noWrap w:val="0"/>
            <w:vAlign w:val="center"/>
          </w:tcPr>
          <w:p w14:paraId="1CAB5C7B">
            <w:pPr>
              <w:pageBreakBefore w:val="0"/>
              <w:wordWrap/>
              <w:bidi w:val="0"/>
              <w:adjustRightInd/>
              <w:snapToGrid/>
              <w:spacing w:line="240" w:lineRule="auto"/>
              <w:ind w:firstLine="0" w:firstLineChars="0"/>
              <w:jc w:val="center"/>
              <w:rPr>
                <w:color w:val="auto"/>
                <w:sz w:val="21"/>
                <w:szCs w:val="21"/>
              </w:rPr>
            </w:pPr>
          </w:p>
        </w:tc>
        <w:tc>
          <w:tcPr>
            <w:tcW w:w="725" w:type="pct"/>
            <w:vMerge w:val="continue"/>
            <w:tcBorders>
              <w:tl2br w:val="nil"/>
              <w:tr2bl w:val="nil"/>
            </w:tcBorders>
            <w:noWrap w:val="0"/>
            <w:vAlign w:val="center"/>
          </w:tcPr>
          <w:p w14:paraId="4C88A704">
            <w:pPr>
              <w:pStyle w:val="16"/>
              <w:bidi w:val="0"/>
              <w:rPr>
                <w:color w:val="auto"/>
              </w:rPr>
            </w:pPr>
          </w:p>
        </w:tc>
        <w:tc>
          <w:tcPr>
            <w:tcW w:w="521" w:type="pct"/>
            <w:tcBorders>
              <w:tl2br w:val="nil"/>
              <w:tr2bl w:val="nil"/>
            </w:tcBorders>
            <w:noWrap w:val="0"/>
            <w:vAlign w:val="center"/>
          </w:tcPr>
          <w:p w14:paraId="32C766D3">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779" w:type="pct"/>
            <w:vMerge w:val="continue"/>
            <w:tcBorders>
              <w:tl2br w:val="nil"/>
              <w:tr2bl w:val="nil"/>
            </w:tcBorders>
            <w:noWrap w:val="0"/>
            <w:vAlign w:val="center"/>
          </w:tcPr>
          <w:p w14:paraId="43A73B38">
            <w:pPr>
              <w:pageBreakBefore w:val="0"/>
              <w:wordWrap/>
              <w:bidi w:val="0"/>
              <w:adjustRightInd/>
              <w:snapToGrid/>
              <w:spacing w:line="240" w:lineRule="auto"/>
              <w:ind w:firstLine="0" w:firstLineChars="0"/>
              <w:jc w:val="center"/>
              <w:rPr>
                <w:color w:val="auto"/>
                <w:sz w:val="21"/>
                <w:szCs w:val="21"/>
              </w:rPr>
            </w:pPr>
          </w:p>
        </w:tc>
        <w:tc>
          <w:tcPr>
            <w:tcW w:w="1347" w:type="pct"/>
            <w:vMerge w:val="continue"/>
            <w:tcBorders>
              <w:tl2br w:val="nil"/>
              <w:tr2bl w:val="nil"/>
            </w:tcBorders>
            <w:noWrap w:val="0"/>
            <w:vAlign w:val="center"/>
          </w:tcPr>
          <w:p w14:paraId="0AE260FA">
            <w:pPr>
              <w:pageBreakBefore w:val="0"/>
              <w:wordWrap/>
              <w:bidi w:val="0"/>
              <w:adjustRightInd/>
              <w:snapToGrid/>
              <w:spacing w:line="240" w:lineRule="auto"/>
              <w:ind w:firstLine="0" w:firstLineChars="0"/>
              <w:jc w:val="center"/>
              <w:rPr>
                <w:color w:val="auto"/>
                <w:sz w:val="21"/>
                <w:szCs w:val="21"/>
              </w:rPr>
            </w:pPr>
          </w:p>
        </w:tc>
        <w:tc>
          <w:tcPr>
            <w:tcW w:w="1204" w:type="dxa"/>
            <w:tcBorders>
              <w:tl2br w:val="nil"/>
              <w:tr2bl w:val="nil"/>
            </w:tcBorders>
            <w:noWrap w:val="0"/>
            <w:vAlign w:val="center"/>
          </w:tcPr>
          <w:p w14:paraId="3A8B551B">
            <w:pPr>
              <w:pageBreakBefore w:val="0"/>
              <w:wordWrap/>
              <w:bidi w:val="0"/>
              <w:adjustRightInd/>
              <w:snapToGrid/>
              <w:spacing w:line="240" w:lineRule="auto"/>
              <w:ind w:firstLine="0" w:firstLineChars="0"/>
              <w:jc w:val="center"/>
              <w:rPr>
                <w:color w:val="auto"/>
                <w:sz w:val="21"/>
                <w:szCs w:val="21"/>
              </w:rPr>
            </w:pPr>
            <w:r>
              <w:rPr>
                <w:color w:val="auto"/>
                <w:sz w:val="21"/>
                <w:szCs w:val="21"/>
              </w:rPr>
              <w:t>60</w:t>
            </w:r>
          </w:p>
        </w:tc>
        <w:tc>
          <w:tcPr>
            <w:tcW w:w="533" w:type="pct"/>
            <w:tcBorders>
              <w:tl2br w:val="nil"/>
              <w:tr2bl w:val="nil"/>
            </w:tcBorders>
            <w:noWrap w:val="0"/>
            <w:vAlign w:val="center"/>
          </w:tcPr>
          <w:p w14:paraId="1768A798">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0.0002</w:t>
            </w:r>
          </w:p>
        </w:tc>
      </w:tr>
      <w:tr w14:paraId="7B43F1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vMerge w:val="restart"/>
            <w:tcBorders>
              <w:tl2br w:val="nil"/>
              <w:tr2bl w:val="nil"/>
            </w:tcBorders>
            <w:noWrap w:val="0"/>
            <w:vAlign w:val="center"/>
          </w:tcPr>
          <w:p w14:paraId="7AF09D56">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9</w:t>
            </w:r>
          </w:p>
        </w:tc>
        <w:tc>
          <w:tcPr>
            <w:tcW w:w="725" w:type="pct"/>
            <w:vMerge w:val="restart"/>
            <w:tcBorders>
              <w:tl2br w:val="nil"/>
              <w:tr2bl w:val="nil"/>
            </w:tcBorders>
            <w:noWrap w:val="0"/>
            <w:vAlign w:val="center"/>
          </w:tcPr>
          <w:p w14:paraId="738B80A9">
            <w:pPr>
              <w:pStyle w:val="16"/>
              <w:bidi w:val="0"/>
              <w:rPr>
                <w:color w:val="auto"/>
              </w:rPr>
            </w:pPr>
            <w:r>
              <w:rPr>
                <w:rFonts w:hint="eastAsia"/>
                <w:color w:val="auto"/>
                <w:lang w:val="en-US" w:eastAsia="zh-CN"/>
              </w:rPr>
              <w:t>污泥脱水车间</w:t>
            </w:r>
          </w:p>
        </w:tc>
        <w:tc>
          <w:tcPr>
            <w:tcW w:w="521" w:type="pct"/>
            <w:tcBorders>
              <w:tl2br w:val="nil"/>
              <w:tr2bl w:val="nil"/>
            </w:tcBorders>
            <w:noWrap w:val="0"/>
            <w:vAlign w:val="center"/>
          </w:tcPr>
          <w:p w14:paraId="6B23879E">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779" w:type="pct"/>
            <w:vMerge w:val="continue"/>
            <w:tcBorders>
              <w:tl2br w:val="nil"/>
              <w:tr2bl w:val="nil"/>
            </w:tcBorders>
            <w:noWrap w:val="0"/>
            <w:vAlign w:val="center"/>
          </w:tcPr>
          <w:p w14:paraId="0BD2BFB2">
            <w:pPr>
              <w:pageBreakBefore w:val="0"/>
              <w:wordWrap/>
              <w:bidi w:val="0"/>
              <w:adjustRightInd/>
              <w:snapToGrid/>
              <w:spacing w:line="240" w:lineRule="auto"/>
              <w:ind w:firstLine="0" w:firstLineChars="0"/>
              <w:jc w:val="center"/>
              <w:rPr>
                <w:color w:val="auto"/>
                <w:sz w:val="21"/>
                <w:szCs w:val="21"/>
              </w:rPr>
            </w:pPr>
          </w:p>
        </w:tc>
        <w:tc>
          <w:tcPr>
            <w:tcW w:w="1347" w:type="pct"/>
            <w:vMerge w:val="continue"/>
            <w:tcBorders>
              <w:tl2br w:val="nil"/>
              <w:tr2bl w:val="nil"/>
            </w:tcBorders>
            <w:noWrap w:val="0"/>
            <w:vAlign w:val="center"/>
          </w:tcPr>
          <w:p w14:paraId="60222C0F">
            <w:pPr>
              <w:pageBreakBefore w:val="0"/>
              <w:wordWrap/>
              <w:bidi w:val="0"/>
              <w:adjustRightInd/>
              <w:snapToGrid/>
              <w:spacing w:line="240" w:lineRule="auto"/>
              <w:ind w:firstLine="0" w:firstLineChars="0"/>
              <w:jc w:val="center"/>
              <w:rPr>
                <w:color w:val="auto"/>
                <w:sz w:val="21"/>
                <w:szCs w:val="21"/>
              </w:rPr>
            </w:pPr>
          </w:p>
        </w:tc>
        <w:tc>
          <w:tcPr>
            <w:tcW w:w="1204" w:type="dxa"/>
            <w:tcBorders>
              <w:tl2br w:val="nil"/>
              <w:tr2bl w:val="nil"/>
            </w:tcBorders>
            <w:noWrap w:val="0"/>
            <w:vAlign w:val="center"/>
          </w:tcPr>
          <w:p w14:paraId="2A18771A">
            <w:pPr>
              <w:pageBreakBefore w:val="0"/>
              <w:wordWrap/>
              <w:bidi w:val="0"/>
              <w:adjustRightInd/>
              <w:snapToGrid/>
              <w:spacing w:line="240" w:lineRule="auto"/>
              <w:ind w:firstLine="0" w:firstLineChars="0"/>
              <w:jc w:val="center"/>
              <w:rPr>
                <w:color w:val="auto"/>
                <w:sz w:val="21"/>
                <w:szCs w:val="21"/>
              </w:rPr>
            </w:pPr>
            <w:r>
              <w:rPr>
                <w:color w:val="auto"/>
                <w:sz w:val="21"/>
                <w:szCs w:val="21"/>
              </w:rPr>
              <w:t>1500</w:t>
            </w:r>
          </w:p>
        </w:tc>
        <w:tc>
          <w:tcPr>
            <w:tcW w:w="533" w:type="pct"/>
            <w:tcBorders>
              <w:tl2br w:val="nil"/>
              <w:tr2bl w:val="nil"/>
            </w:tcBorders>
            <w:noWrap w:val="0"/>
            <w:vAlign w:val="center"/>
          </w:tcPr>
          <w:p w14:paraId="335511F9">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0.0404</w:t>
            </w:r>
          </w:p>
        </w:tc>
      </w:tr>
      <w:tr w14:paraId="55510F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08" w:type="pct"/>
            <w:vMerge w:val="continue"/>
            <w:tcBorders>
              <w:tl2br w:val="nil"/>
              <w:tr2bl w:val="nil"/>
            </w:tcBorders>
            <w:noWrap w:val="0"/>
            <w:vAlign w:val="center"/>
          </w:tcPr>
          <w:p w14:paraId="4D0B5DA3">
            <w:pPr>
              <w:pageBreakBefore w:val="0"/>
              <w:wordWrap/>
              <w:bidi w:val="0"/>
              <w:adjustRightInd/>
              <w:snapToGrid/>
              <w:spacing w:line="240" w:lineRule="auto"/>
              <w:ind w:firstLine="0" w:firstLineChars="0"/>
              <w:jc w:val="center"/>
              <w:rPr>
                <w:color w:val="auto"/>
                <w:sz w:val="21"/>
                <w:szCs w:val="21"/>
              </w:rPr>
            </w:pPr>
          </w:p>
        </w:tc>
        <w:tc>
          <w:tcPr>
            <w:tcW w:w="725" w:type="pct"/>
            <w:vMerge w:val="continue"/>
            <w:tcBorders>
              <w:tl2br w:val="nil"/>
              <w:tr2bl w:val="nil"/>
            </w:tcBorders>
            <w:noWrap w:val="0"/>
            <w:vAlign w:val="center"/>
          </w:tcPr>
          <w:p w14:paraId="25C5637F">
            <w:pPr>
              <w:pageBreakBefore w:val="0"/>
              <w:wordWrap/>
              <w:bidi w:val="0"/>
              <w:adjustRightInd/>
              <w:snapToGrid/>
              <w:spacing w:line="240" w:lineRule="auto"/>
              <w:ind w:firstLine="0" w:firstLineChars="0"/>
              <w:jc w:val="center"/>
              <w:rPr>
                <w:color w:val="auto"/>
                <w:sz w:val="21"/>
                <w:szCs w:val="21"/>
              </w:rPr>
            </w:pPr>
          </w:p>
        </w:tc>
        <w:tc>
          <w:tcPr>
            <w:tcW w:w="521" w:type="pct"/>
            <w:tcBorders>
              <w:tl2br w:val="nil"/>
              <w:tr2bl w:val="nil"/>
            </w:tcBorders>
            <w:noWrap w:val="0"/>
            <w:vAlign w:val="center"/>
          </w:tcPr>
          <w:p w14:paraId="038C363E">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779" w:type="pct"/>
            <w:vMerge w:val="continue"/>
            <w:tcBorders>
              <w:tl2br w:val="nil"/>
              <w:tr2bl w:val="nil"/>
            </w:tcBorders>
            <w:noWrap w:val="0"/>
            <w:vAlign w:val="center"/>
          </w:tcPr>
          <w:p w14:paraId="115B3056">
            <w:pPr>
              <w:pageBreakBefore w:val="0"/>
              <w:wordWrap/>
              <w:bidi w:val="0"/>
              <w:adjustRightInd/>
              <w:snapToGrid/>
              <w:spacing w:line="240" w:lineRule="auto"/>
              <w:ind w:firstLine="0" w:firstLineChars="0"/>
              <w:jc w:val="center"/>
              <w:rPr>
                <w:color w:val="auto"/>
                <w:sz w:val="21"/>
                <w:szCs w:val="21"/>
              </w:rPr>
            </w:pPr>
          </w:p>
        </w:tc>
        <w:tc>
          <w:tcPr>
            <w:tcW w:w="1347" w:type="pct"/>
            <w:vMerge w:val="continue"/>
            <w:tcBorders>
              <w:tl2br w:val="nil"/>
              <w:tr2bl w:val="nil"/>
            </w:tcBorders>
            <w:noWrap w:val="0"/>
            <w:vAlign w:val="center"/>
          </w:tcPr>
          <w:p w14:paraId="4A9A2F69">
            <w:pPr>
              <w:pageBreakBefore w:val="0"/>
              <w:wordWrap/>
              <w:bidi w:val="0"/>
              <w:adjustRightInd/>
              <w:snapToGrid/>
              <w:spacing w:line="240" w:lineRule="auto"/>
              <w:ind w:firstLine="0" w:firstLineChars="0"/>
              <w:jc w:val="center"/>
              <w:rPr>
                <w:color w:val="auto"/>
                <w:sz w:val="21"/>
                <w:szCs w:val="21"/>
              </w:rPr>
            </w:pPr>
          </w:p>
        </w:tc>
        <w:tc>
          <w:tcPr>
            <w:tcW w:w="1204" w:type="dxa"/>
            <w:tcBorders>
              <w:tl2br w:val="nil"/>
              <w:tr2bl w:val="nil"/>
            </w:tcBorders>
            <w:noWrap w:val="0"/>
            <w:vAlign w:val="center"/>
          </w:tcPr>
          <w:p w14:paraId="3CBD0D4C">
            <w:pPr>
              <w:pageBreakBefore w:val="0"/>
              <w:wordWrap/>
              <w:bidi w:val="0"/>
              <w:adjustRightInd/>
              <w:snapToGrid/>
              <w:spacing w:line="240" w:lineRule="auto"/>
              <w:ind w:firstLine="0" w:firstLineChars="0"/>
              <w:jc w:val="center"/>
              <w:rPr>
                <w:color w:val="auto"/>
                <w:sz w:val="21"/>
                <w:szCs w:val="21"/>
              </w:rPr>
            </w:pPr>
            <w:r>
              <w:rPr>
                <w:color w:val="auto"/>
                <w:sz w:val="21"/>
                <w:szCs w:val="21"/>
              </w:rPr>
              <w:t>60</w:t>
            </w:r>
          </w:p>
        </w:tc>
        <w:tc>
          <w:tcPr>
            <w:tcW w:w="533" w:type="pct"/>
            <w:tcBorders>
              <w:tl2br w:val="nil"/>
              <w:tr2bl w:val="nil"/>
            </w:tcBorders>
            <w:noWrap w:val="0"/>
            <w:vAlign w:val="center"/>
          </w:tcPr>
          <w:p w14:paraId="70789C65">
            <w:pPr>
              <w:pageBreakBefore w:val="0"/>
              <w:wordWrap/>
              <w:bidi w:val="0"/>
              <w:adjustRightInd/>
              <w:snapToGrid/>
              <w:spacing w:line="240" w:lineRule="auto"/>
              <w:ind w:firstLine="0" w:firstLineChars="0"/>
              <w:jc w:val="center"/>
              <w:rPr>
                <w:rFonts w:hint="default"/>
                <w:color w:val="auto"/>
                <w:sz w:val="21"/>
                <w:szCs w:val="21"/>
                <w:lang w:val="en-US" w:eastAsia="zh-CN"/>
              </w:rPr>
            </w:pPr>
            <w:r>
              <w:rPr>
                <w:rFonts w:hint="eastAsia"/>
                <w:color w:val="auto"/>
                <w:sz w:val="21"/>
                <w:szCs w:val="21"/>
                <w:lang w:val="en-US" w:eastAsia="zh-CN"/>
              </w:rPr>
              <w:t>0.0011</w:t>
            </w:r>
          </w:p>
        </w:tc>
      </w:tr>
      <w:bookmarkEnd w:id="170"/>
      <w:tr w14:paraId="7021FE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000" w:type="pct"/>
            <w:gridSpan w:val="7"/>
            <w:tcBorders>
              <w:tl2br w:val="nil"/>
              <w:tr2bl w:val="nil"/>
            </w:tcBorders>
            <w:noWrap w:val="0"/>
            <w:vAlign w:val="center"/>
          </w:tcPr>
          <w:p w14:paraId="41F2F587">
            <w:pPr>
              <w:pageBreakBefore w:val="0"/>
              <w:wordWrap/>
              <w:bidi w:val="0"/>
              <w:adjustRightInd/>
              <w:snapToGrid/>
              <w:spacing w:line="240" w:lineRule="auto"/>
              <w:ind w:firstLine="0" w:firstLineChars="0"/>
              <w:jc w:val="center"/>
              <w:rPr>
                <w:color w:val="auto"/>
                <w:sz w:val="21"/>
                <w:szCs w:val="21"/>
              </w:rPr>
            </w:pPr>
            <w:r>
              <w:rPr>
                <w:color w:val="auto"/>
                <w:sz w:val="21"/>
                <w:szCs w:val="21"/>
              </w:rPr>
              <w:t>无组织排放总计</w:t>
            </w:r>
          </w:p>
        </w:tc>
      </w:tr>
      <w:tr w14:paraId="7A7FE4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55" w:type="pct"/>
            <w:gridSpan w:val="3"/>
            <w:vMerge w:val="restart"/>
            <w:tcBorders>
              <w:tl2br w:val="nil"/>
              <w:tr2bl w:val="nil"/>
            </w:tcBorders>
            <w:noWrap w:val="0"/>
            <w:vAlign w:val="center"/>
          </w:tcPr>
          <w:p w14:paraId="0E8686FF">
            <w:pPr>
              <w:pageBreakBefore w:val="0"/>
              <w:wordWrap/>
              <w:bidi w:val="0"/>
              <w:adjustRightInd/>
              <w:snapToGrid/>
              <w:spacing w:line="240" w:lineRule="auto"/>
              <w:ind w:firstLine="0" w:firstLineChars="0"/>
              <w:jc w:val="center"/>
              <w:rPr>
                <w:color w:val="auto"/>
                <w:sz w:val="21"/>
                <w:szCs w:val="21"/>
              </w:rPr>
            </w:pPr>
            <w:r>
              <w:rPr>
                <w:color w:val="auto"/>
                <w:sz w:val="21"/>
                <w:szCs w:val="21"/>
              </w:rPr>
              <w:t>无组织排放总计</w:t>
            </w:r>
          </w:p>
        </w:tc>
        <w:tc>
          <w:tcPr>
            <w:tcW w:w="2126" w:type="pct"/>
            <w:gridSpan w:val="2"/>
            <w:tcBorders>
              <w:tl2br w:val="nil"/>
              <w:tr2bl w:val="nil"/>
            </w:tcBorders>
            <w:noWrap w:val="0"/>
            <w:vAlign w:val="center"/>
          </w:tcPr>
          <w:p w14:paraId="552AFFF4">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685" w:type="pct"/>
            <w:tcBorders>
              <w:tl2br w:val="nil"/>
              <w:tr2bl w:val="nil"/>
            </w:tcBorders>
            <w:noWrap w:val="0"/>
            <w:vAlign w:val="center"/>
          </w:tcPr>
          <w:p w14:paraId="22963148">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533" w:type="pct"/>
            <w:tcBorders>
              <w:tl2br w:val="nil"/>
              <w:tr2bl w:val="nil"/>
            </w:tcBorders>
            <w:noWrap w:val="0"/>
            <w:vAlign w:val="center"/>
          </w:tcPr>
          <w:p w14:paraId="39A44461">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0.2576</w:t>
            </w:r>
          </w:p>
        </w:tc>
      </w:tr>
      <w:tr w14:paraId="636E5C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655" w:type="pct"/>
            <w:gridSpan w:val="3"/>
            <w:vMerge w:val="continue"/>
            <w:tcBorders>
              <w:tl2br w:val="nil"/>
              <w:tr2bl w:val="nil"/>
            </w:tcBorders>
            <w:noWrap w:val="0"/>
            <w:vAlign w:val="center"/>
          </w:tcPr>
          <w:p w14:paraId="12C8159B">
            <w:pPr>
              <w:pageBreakBefore w:val="0"/>
              <w:wordWrap/>
              <w:bidi w:val="0"/>
              <w:adjustRightInd/>
              <w:snapToGrid/>
              <w:spacing w:line="240" w:lineRule="auto"/>
              <w:ind w:firstLine="0" w:firstLineChars="0"/>
              <w:jc w:val="center"/>
              <w:rPr>
                <w:color w:val="auto"/>
                <w:sz w:val="21"/>
                <w:szCs w:val="21"/>
              </w:rPr>
            </w:pPr>
          </w:p>
        </w:tc>
        <w:tc>
          <w:tcPr>
            <w:tcW w:w="2126" w:type="pct"/>
            <w:gridSpan w:val="2"/>
            <w:tcBorders>
              <w:tl2br w:val="nil"/>
              <w:tr2bl w:val="nil"/>
            </w:tcBorders>
            <w:noWrap w:val="0"/>
            <w:vAlign w:val="center"/>
          </w:tcPr>
          <w:p w14:paraId="4D438AF8">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685" w:type="pct"/>
            <w:tcBorders>
              <w:tl2br w:val="nil"/>
              <w:tr2bl w:val="nil"/>
            </w:tcBorders>
            <w:noWrap w:val="0"/>
            <w:vAlign w:val="center"/>
          </w:tcPr>
          <w:p w14:paraId="1665D767">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533" w:type="pct"/>
            <w:tcBorders>
              <w:tl2br w:val="nil"/>
              <w:tr2bl w:val="nil"/>
            </w:tcBorders>
            <w:noWrap w:val="0"/>
            <w:vAlign w:val="center"/>
          </w:tcPr>
          <w:p w14:paraId="28D9FF9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0.0081</w:t>
            </w:r>
          </w:p>
        </w:tc>
      </w:tr>
    </w:tbl>
    <w:p w14:paraId="4CE36899">
      <w:pPr>
        <w:keepNext w:val="0"/>
        <w:keepLines w:val="0"/>
        <w:pageBreakBefore w:val="0"/>
        <w:widowControl w:val="0"/>
        <w:kinsoku/>
        <w:wordWrap/>
        <w:overflowPunct/>
        <w:topLinePunct w:val="0"/>
        <w:autoSpaceDE/>
        <w:autoSpaceDN/>
        <w:bidi w:val="0"/>
        <w:adjustRightInd/>
        <w:snapToGrid/>
        <w:spacing w:before="157" w:beforeLines="50"/>
        <w:textAlignment w:val="auto"/>
        <w:rPr>
          <w:color w:val="auto"/>
        </w:rPr>
      </w:pPr>
      <w:r>
        <w:rPr>
          <w:color w:val="auto"/>
        </w:rPr>
        <w:t>③大气污染物年排放量核算</w:t>
      </w:r>
    </w:p>
    <w:p w14:paraId="4785A5B4">
      <w:pPr>
        <w:bidi w:val="0"/>
        <w:rPr>
          <w:color w:val="auto"/>
        </w:rPr>
      </w:pPr>
      <w:r>
        <w:rPr>
          <w:color w:val="auto"/>
        </w:rPr>
        <w:t>项目大气污染物年排放量核算详见</w:t>
      </w:r>
      <w:r>
        <w:rPr>
          <w:rFonts w:hint="eastAsia"/>
          <w:color w:val="auto"/>
          <w:lang w:val="en-US" w:eastAsia="zh-CN"/>
        </w:rPr>
        <w:t>下表</w:t>
      </w:r>
      <w:r>
        <w:rPr>
          <w:color w:val="auto"/>
        </w:rPr>
        <w:t>。</w:t>
      </w:r>
    </w:p>
    <w:p w14:paraId="6F191A6F">
      <w:pPr>
        <w:pStyle w:val="19"/>
        <w:numPr>
          <w:ilvl w:val="0"/>
          <w:numId w:val="31"/>
        </w:numPr>
        <w:bidi w:val="0"/>
        <w:ind w:left="1440" w:leftChars="0" w:firstLine="0" w:firstLineChars="0"/>
        <w:rPr>
          <w:color w:val="auto"/>
        </w:rPr>
      </w:pPr>
      <w:r>
        <w:rPr>
          <w:color w:val="auto"/>
        </w:rPr>
        <w:t>大气污染物年排放量核算表</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65"/>
        <w:gridCol w:w="2984"/>
        <w:gridCol w:w="2993"/>
      </w:tblGrid>
      <w:tr w14:paraId="663E12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58" w:type="pct"/>
            <w:tcBorders>
              <w:tl2br w:val="nil"/>
              <w:tr2bl w:val="nil"/>
            </w:tcBorders>
            <w:noWrap w:val="0"/>
            <w:vAlign w:val="center"/>
          </w:tcPr>
          <w:p w14:paraId="75CF3D9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1668" w:type="pct"/>
            <w:tcBorders>
              <w:tl2br w:val="nil"/>
              <w:tr2bl w:val="nil"/>
            </w:tcBorders>
            <w:noWrap w:val="0"/>
            <w:vAlign w:val="center"/>
          </w:tcPr>
          <w:p w14:paraId="3B20B77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w:t>
            </w:r>
          </w:p>
        </w:tc>
        <w:tc>
          <w:tcPr>
            <w:tcW w:w="1673" w:type="pct"/>
            <w:vMerge w:val="restart"/>
            <w:tcBorders>
              <w:tl2br w:val="nil"/>
              <w:tr2bl w:val="nil"/>
            </w:tcBorders>
            <w:noWrap w:val="0"/>
            <w:vAlign w:val="center"/>
          </w:tcPr>
          <w:p w14:paraId="13FCF25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年排放量（t/a）</w:t>
            </w:r>
          </w:p>
        </w:tc>
      </w:tr>
      <w:tr w14:paraId="2E73DD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58" w:type="pct"/>
            <w:tcBorders>
              <w:tl2br w:val="nil"/>
              <w:tr2bl w:val="nil"/>
            </w:tcBorders>
            <w:noWrap w:val="0"/>
            <w:vAlign w:val="center"/>
          </w:tcPr>
          <w:p w14:paraId="6B78749E">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1668" w:type="pct"/>
            <w:tcBorders>
              <w:tl2br w:val="nil"/>
              <w:tr2bl w:val="nil"/>
            </w:tcBorders>
            <w:noWrap w:val="0"/>
            <w:vAlign w:val="center"/>
          </w:tcPr>
          <w:p w14:paraId="4D4DF28F">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1673" w:type="pct"/>
            <w:tcBorders>
              <w:tl2br w:val="nil"/>
              <w:tr2bl w:val="nil"/>
            </w:tcBorders>
            <w:noWrap w:val="0"/>
            <w:vAlign w:val="center"/>
          </w:tcPr>
          <w:p w14:paraId="628AE5F8">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1.2362</w:t>
            </w:r>
          </w:p>
        </w:tc>
      </w:tr>
      <w:tr w14:paraId="16EBA3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58" w:type="pct"/>
            <w:tcBorders>
              <w:tl2br w:val="nil"/>
              <w:tr2bl w:val="nil"/>
            </w:tcBorders>
            <w:noWrap w:val="0"/>
            <w:vAlign w:val="center"/>
          </w:tcPr>
          <w:p w14:paraId="32A0F693">
            <w:pPr>
              <w:pageBreakBefore w:val="0"/>
              <w:wordWrap/>
              <w:bidi w:val="0"/>
              <w:adjustRightInd/>
              <w:snapToGrid/>
              <w:spacing w:line="240" w:lineRule="auto"/>
              <w:ind w:firstLine="0" w:firstLineChars="0"/>
              <w:jc w:val="center"/>
              <w:rPr>
                <w:color w:val="auto"/>
                <w:sz w:val="21"/>
                <w:szCs w:val="21"/>
              </w:rPr>
            </w:pPr>
            <w:r>
              <w:rPr>
                <w:color w:val="auto"/>
                <w:sz w:val="21"/>
                <w:szCs w:val="21"/>
              </w:rPr>
              <w:t>2</w:t>
            </w:r>
          </w:p>
        </w:tc>
        <w:tc>
          <w:tcPr>
            <w:tcW w:w="1668" w:type="pct"/>
            <w:tcBorders>
              <w:tl2br w:val="nil"/>
              <w:tr2bl w:val="nil"/>
            </w:tcBorders>
            <w:noWrap w:val="0"/>
            <w:vAlign w:val="center"/>
          </w:tcPr>
          <w:p w14:paraId="21D97777">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1673" w:type="pct"/>
            <w:tcBorders>
              <w:tl2br w:val="nil"/>
              <w:tr2bl w:val="nil"/>
            </w:tcBorders>
            <w:noWrap w:val="0"/>
            <w:vAlign w:val="center"/>
          </w:tcPr>
          <w:p w14:paraId="71CFC426">
            <w:pPr>
              <w:pageBreakBefore w:val="0"/>
              <w:widowControl/>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0.0388</w:t>
            </w:r>
          </w:p>
        </w:tc>
      </w:tr>
    </w:tbl>
    <w:p w14:paraId="77ADA926">
      <w:pPr>
        <w:pageBreakBefore w:val="0"/>
        <w:wordWrap/>
        <w:bidi w:val="0"/>
        <w:adjustRightInd/>
        <w:snapToGrid/>
        <w:spacing w:before="120" w:beforeLines="50"/>
        <w:ind w:firstLine="480"/>
        <w:rPr>
          <w:color w:val="auto"/>
        </w:rPr>
      </w:pPr>
      <w:r>
        <w:rPr>
          <w:color w:val="auto"/>
        </w:rPr>
        <w:t>④污染源非正常排放量核算</w:t>
      </w:r>
    </w:p>
    <w:p w14:paraId="683F7C06">
      <w:pPr>
        <w:pStyle w:val="19"/>
        <w:numPr>
          <w:ilvl w:val="0"/>
          <w:numId w:val="31"/>
        </w:numPr>
        <w:bidi w:val="0"/>
        <w:ind w:left="1440" w:leftChars="0" w:firstLine="0" w:firstLineChars="0"/>
        <w:rPr>
          <w:color w:val="auto"/>
        </w:rPr>
      </w:pPr>
      <w:r>
        <w:rPr>
          <w:color w:val="auto"/>
        </w:rPr>
        <w:t>大气污染物有组织非正常排放量核算表</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677"/>
        <w:gridCol w:w="894"/>
        <w:gridCol w:w="1103"/>
        <w:gridCol w:w="760"/>
        <w:gridCol w:w="1358"/>
        <w:gridCol w:w="992"/>
        <w:gridCol w:w="950"/>
        <w:gridCol w:w="777"/>
        <w:gridCol w:w="1275"/>
      </w:tblGrid>
      <w:tr w14:paraId="1B3039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5" w:type="pct"/>
            <w:tcBorders>
              <w:tl2br w:val="nil"/>
              <w:tr2bl w:val="nil"/>
            </w:tcBorders>
            <w:noWrap w:val="0"/>
            <w:vAlign w:val="center"/>
          </w:tcPr>
          <w:p w14:paraId="40029DA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508" w:type="pct"/>
            <w:tcBorders>
              <w:tl2br w:val="nil"/>
              <w:tr2bl w:val="nil"/>
            </w:tcBorders>
            <w:noWrap w:val="0"/>
            <w:vAlign w:val="center"/>
          </w:tcPr>
          <w:p w14:paraId="5B8C7B3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排放口编号</w:t>
            </w:r>
          </w:p>
        </w:tc>
        <w:tc>
          <w:tcPr>
            <w:tcW w:w="627" w:type="pct"/>
            <w:tcBorders>
              <w:tl2br w:val="nil"/>
              <w:tr2bl w:val="nil"/>
            </w:tcBorders>
            <w:noWrap w:val="0"/>
            <w:vAlign w:val="center"/>
          </w:tcPr>
          <w:p w14:paraId="6643175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非正常排放原因</w:t>
            </w:r>
          </w:p>
        </w:tc>
        <w:tc>
          <w:tcPr>
            <w:tcW w:w="432" w:type="pct"/>
            <w:tcBorders>
              <w:tl2br w:val="nil"/>
              <w:tr2bl w:val="nil"/>
            </w:tcBorders>
            <w:noWrap w:val="0"/>
            <w:vAlign w:val="center"/>
          </w:tcPr>
          <w:p w14:paraId="68B7517E">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w:t>
            </w:r>
          </w:p>
        </w:tc>
        <w:tc>
          <w:tcPr>
            <w:tcW w:w="772" w:type="pct"/>
            <w:tcBorders>
              <w:tl2br w:val="nil"/>
              <w:tr2bl w:val="nil"/>
            </w:tcBorders>
            <w:noWrap w:val="0"/>
            <w:vAlign w:val="center"/>
          </w:tcPr>
          <w:p w14:paraId="372B54A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非正常排放浓度（mg/</w:t>
            </w:r>
            <w:r>
              <w:rPr>
                <w:rFonts w:hint="eastAsia"/>
                <w:b/>
                <w:bCs/>
                <w:color w:val="auto"/>
                <w:sz w:val="21"/>
                <w:szCs w:val="21"/>
                <w:lang w:eastAsia="zh-CN"/>
              </w:rPr>
              <w:t>m³</w:t>
            </w:r>
            <w:r>
              <w:rPr>
                <w:b/>
                <w:bCs/>
                <w:color w:val="auto"/>
                <w:sz w:val="21"/>
                <w:szCs w:val="21"/>
              </w:rPr>
              <w:t>）</w:t>
            </w:r>
          </w:p>
        </w:tc>
        <w:tc>
          <w:tcPr>
            <w:tcW w:w="564" w:type="pct"/>
            <w:tcBorders>
              <w:tl2br w:val="nil"/>
              <w:tr2bl w:val="nil"/>
            </w:tcBorders>
            <w:noWrap w:val="0"/>
            <w:vAlign w:val="center"/>
          </w:tcPr>
          <w:p w14:paraId="38903F06">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非正常排放速率（kg/h）</w:t>
            </w:r>
          </w:p>
        </w:tc>
        <w:tc>
          <w:tcPr>
            <w:tcW w:w="540" w:type="pct"/>
            <w:tcBorders>
              <w:tl2br w:val="nil"/>
              <w:tr2bl w:val="nil"/>
            </w:tcBorders>
            <w:noWrap w:val="0"/>
            <w:vAlign w:val="center"/>
          </w:tcPr>
          <w:p w14:paraId="78C92FB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单次持续时间/h</w:t>
            </w:r>
          </w:p>
        </w:tc>
        <w:tc>
          <w:tcPr>
            <w:tcW w:w="442" w:type="pct"/>
            <w:tcBorders>
              <w:tl2br w:val="nil"/>
              <w:tr2bl w:val="nil"/>
            </w:tcBorders>
            <w:noWrap w:val="0"/>
            <w:vAlign w:val="center"/>
          </w:tcPr>
          <w:p w14:paraId="247977D2">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年发生频次/次</w:t>
            </w:r>
          </w:p>
        </w:tc>
        <w:tc>
          <w:tcPr>
            <w:tcW w:w="725" w:type="pct"/>
            <w:tcBorders>
              <w:tl2br w:val="nil"/>
              <w:tr2bl w:val="nil"/>
            </w:tcBorders>
            <w:noWrap w:val="0"/>
            <w:vAlign w:val="center"/>
          </w:tcPr>
          <w:p w14:paraId="4219EC9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应对措施</w:t>
            </w:r>
          </w:p>
        </w:tc>
      </w:tr>
      <w:tr w14:paraId="438990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5" w:type="pct"/>
            <w:vMerge w:val="restart"/>
            <w:tcBorders>
              <w:tl2br w:val="nil"/>
              <w:tr2bl w:val="nil"/>
            </w:tcBorders>
            <w:noWrap w:val="0"/>
            <w:vAlign w:val="center"/>
          </w:tcPr>
          <w:p w14:paraId="5F395CB4">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508" w:type="pct"/>
            <w:vMerge w:val="restart"/>
            <w:tcBorders>
              <w:tl2br w:val="nil"/>
              <w:tr2bl w:val="nil"/>
            </w:tcBorders>
            <w:noWrap w:val="0"/>
            <w:vAlign w:val="center"/>
          </w:tcPr>
          <w:p w14:paraId="2CB9B8EA">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DA001</w:t>
            </w:r>
          </w:p>
        </w:tc>
        <w:tc>
          <w:tcPr>
            <w:tcW w:w="627" w:type="pct"/>
            <w:vMerge w:val="restart"/>
            <w:tcBorders>
              <w:tl2br w:val="nil"/>
              <w:tr2bl w:val="nil"/>
            </w:tcBorders>
            <w:noWrap w:val="0"/>
            <w:vAlign w:val="center"/>
          </w:tcPr>
          <w:p w14:paraId="4896973C">
            <w:pPr>
              <w:pageBreakBefore w:val="0"/>
              <w:wordWrap/>
              <w:bidi w:val="0"/>
              <w:adjustRightInd/>
              <w:snapToGrid/>
              <w:spacing w:line="240" w:lineRule="auto"/>
              <w:ind w:firstLine="0" w:firstLineChars="0"/>
              <w:jc w:val="center"/>
              <w:rPr>
                <w:color w:val="auto"/>
                <w:sz w:val="21"/>
                <w:szCs w:val="21"/>
              </w:rPr>
            </w:pPr>
            <w:r>
              <w:rPr>
                <w:color w:val="auto"/>
                <w:kern w:val="0"/>
                <w:sz w:val="21"/>
                <w:szCs w:val="21"/>
              </w:rPr>
              <w:t>生物除臭装置出现故障，处理效率为零</w:t>
            </w:r>
          </w:p>
        </w:tc>
        <w:tc>
          <w:tcPr>
            <w:tcW w:w="432" w:type="pct"/>
            <w:tcBorders>
              <w:tl2br w:val="nil"/>
              <w:tr2bl w:val="nil"/>
            </w:tcBorders>
            <w:noWrap w:val="0"/>
            <w:vAlign w:val="center"/>
          </w:tcPr>
          <w:p w14:paraId="5ECBAA95">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p>
        </w:tc>
        <w:tc>
          <w:tcPr>
            <w:tcW w:w="772" w:type="pct"/>
            <w:tcBorders>
              <w:tl2br w:val="nil"/>
              <w:tr2bl w:val="nil"/>
            </w:tcBorders>
            <w:noWrap w:val="0"/>
            <w:vAlign w:val="center"/>
          </w:tcPr>
          <w:p w14:paraId="6497EC91">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45.05</w:t>
            </w:r>
          </w:p>
        </w:tc>
        <w:tc>
          <w:tcPr>
            <w:tcW w:w="564" w:type="pct"/>
            <w:tcBorders>
              <w:tl2br w:val="nil"/>
              <w:tr2bl w:val="nil"/>
            </w:tcBorders>
            <w:noWrap w:val="0"/>
            <w:vAlign w:val="center"/>
          </w:tcPr>
          <w:p w14:paraId="08B8C13B">
            <w:pPr>
              <w:pageBreakBefore w:val="0"/>
              <w:wordWrap/>
              <w:bidi w:val="0"/>
              <w:adjustRightInd/>
              <w:snapToGrid/>
              <w:spacing w:line="240" w:lineRule="auto"/>
              <w:ind w:firstLine="0" w:firstLineChars="0"/>
              <w:jc w:val="center"/>
              <w:rPr>
                <w:color w:val="auto"/>
                <w:sz w:val="21"/>
                <w:szCs w:val="21"/>
              </w:rPr>
            </w:pPr>
            <w:r>
              <w:rPr>
                <w:color w:val="auto"/>
                <w:sz w:val="21"/>
                <w:szCs w:val="21"/>
              </w:rPr>
              <w:t>0.9</w:t>
            </w:r>
            <w:r>
              <w:rPr>
                <w:rFonts w:hint="eastAsia"/>
                <w:color w:val="auto"/>
                <w:sz w:val="21"/>
                <w:szCs w:val="21"/>
                <w:lang w:val="en-US" w:eastAsia="zh-CN"/>
              </w:rPr>
              <w:t>01</w:t>
            </w:r>
          </w:p>
        </w:tc>
        <w:tc>
          <w:tcPr>
            <w:tcW w:w="540" w:type="pct"/>
            <w:vMerge w:val="restart"/>
            <w:tcBorders>
              <w:tl2br w:val="nil"/>
              <w:tr2bl w:val="nil"/>
            </w:tcBorders>
            <w:noWrap w:val="0"/>
            <w:vAlign w:val="center"/>
          </w:tcPr>
          <w:p w14:paraId="21760BA2">
            <w:pPr>
              <w:pageBreakBefore w:val="0"/>
              <w:wordWrap/>
              <w:bidi w:val="0"/>
              <w:adjustRightInd/>
              <w:snapToGrid/>
              <w:spacing w:line="240" w:lineRule="auto"/>
              <w:ind w:firstLine="0" w:firstLineChars="0"/>
              <w:jc w:val="center"/>
              <w:rPr>
                <w:color w:val="auto"/>
                <w:sz w:val="21"/>
                <w:szCs w:val="21"/>
              </w:rPr>
            </w:pPr>
            <w:r>
              <w:rPr>
                <w:color w:val="auto"/>
                <w:sz w:val="21"/>
                <w:szCs w:val="21"/>
              </w:rPr>
              <w:t>0.5</w:t>
            </w:r>
          </w:p>
        </w:tc>
        <w:tc>
          <w:tcPr>
            <w:tcW w:w="442" w:type="pct"/>
            <w:vMerge w:val="restart"/>
            <w:tcBorders>
              <w:tl2br w:val="nil"/>
              <w:tr2bl w:val="nil"/>
            </w:tcBorders>
            <w:noWrap w:val="0"/>
            <w:vAlign w:val="center"/>
          </w:tcPr>
          <w:p w14:paraId="6577CF80">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725" w:type="pct"/>
            <w:vMerge w:val="restart"/>
            <w:tcBorders>
              <w:tl2br w:val="nil"/>
              <w:tr2bl w:val="nil"/>
            </w:tcBorders>
            <w:noWrap w:val="0"/>
            <w:vAlign w:val="center"/>
          </w:tcPr>
          <w:p w14:paraId="299E3DF3">
            <w:pPr>
              <w:pageBreakBefore w:val="0"/>
              <w:widowControl/>
              <w:wordWrap/>
              <w:bidi w:val="0"/>
              <w:adjustRightInd/>
              <w:snapToGrid/>
              <w:spacing w:line="240" w:lineRule="auto"/>
              <w:ind w:firstLine="0" w:firstLineChars="0"/>
              <w:jc w:val="center"/>
              <w:rPr>
                <w:color w:val="auto"/>
                <w:sz w:val="21"/>
                <w:szCs w:val="21"/>
              </w:rPr>
            </w:pPr>
            <w:r>
              <w:rPr>
                <w:color w:val="auto"/>
                <w:kern w:val="0"/>
                <w:sz w:val="21"/>
                <w:szCs w:val="21"/>
              </w:rPr>
              <w:t>加强日常管理维护，尽量避免非正常排放</w:t>
            </w:r>
          </w:p>
        </w:tc>
      </w:tr>
      <w:tr w14:paraId="76A159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85" w:type="pct"/>
            <w:vMerge w:val="continue"/>
            <w:tcBorders>
              <w:tl2br w:val="nil"/>
              <w:tr2bl w:val="nil"/>
            </w:tcBorders>
            <w:noWrap w:val="0"/>
            <w:vAlign w:val="center"/>
          </w:tcPr>
          <w:p w14:paraId="34C4F462">
            <w:pPr>
              <w:pageBreakBefore w:val="0"/>
              <w:wordWrap/>
              <w:bidi w:val="0"/>
              <w:adjustRightInd/>
              <w:snapToGrid/>
              <w:spacing w:line="240" w:lineRule="auto"/>
              <w:ind w:firstLine="0" w:firstLineChars="0"/>
              <w:jc w:val="center"/>
              <w:rPr>
                <w:color w:val="auto"/>
                <w:sz w:val="21"/>
                <w:szCs w:val="21"/>
              </w:rPr>
            </w:pPr>
          </w:p>
        </w:tc>
        <w:tc>
          <w:tcPr>
            <w:tcW w:w="508" w:type="pct"/>
            <w:vMerge w:val="continue"/>
            <w:tcBorders>
              <w:tl2br w:val="nil"/>
              <w:tr2bl w:val="nil"/>
            </w:tcBorders>
            <w:noWrap w:val="0"/>
            <w:vAlign w:val="center"/>
          </w:tcPr>
          <w:p w14:paraId="745BCE17">
            <w:pPr>
              <w:pageBreakBefore w:val="0"/>
              <w:wordWrap/>
              <w:bidi w:val="0"/>
              <w:adjustRightInd/>
              <w:snapToGrid/>
              <w:spacing w:line="240" w:lineRule="auto"/>
              <w:ind w:firstLine="0" w:firstLineChars="0"/>
              <w:jc w:val="center"/>
              <w:rPr>
                <w:color w:val="auto"/>
                <w:sz w:val="21"/>
                <w:szCs w:val="21"/>
              </w:rPr>
            </w:pPr>
          </w:p>
        </w:tc>
        <w:tc>
          <w:tcPr>
            <w:tcW w:w="627" w:type="pct"/>
            <w:vMerge w:val="continue"/>
            <w:tcBorders>
              <w:tl2br w:val="nil"/>
              <w:tr2bl w:val="nil"/>
            </w:tcBorders>
            <w:noWrap w:val="0"/>
            <w:vAlign w:val="center"/>
          </w:tcPr>
          <w:p w14:paraId="7C60C4EC">
            <w:pPr>
              <w:pageBreakBefore w:val="0"/>
              <w:wordWrap/>
              <w:bidi w:val="0"/>
              <w:adjustRightInd/>
              <w:snapToGrid/>
              <w:spacing w:line="240" w:lineRule="auto"/>
              <w:ind w:firstLine="0" w:firstLineChars="0"/>
              <w:jc w:val="center"/>
              <w:rPr>
                <w:color w:val="auto"/>
                <w:sz w:val="21"/>
                <w:szCs w:val="21"/>
              </w:rPr>
            </w:pPr>
          </w:p>
        </w:tc>
        <w:tc>
          <w:tcPr>
            <w:tcW w:w="432" w:type="pct"/>
            <w:tcBorders>
              <w:tl2br w:val="nil"/>
              <w:tr2bl w:val="nil"/>
            </w:tcBorders>
            <w:noWrap w:val="0"/>
            <w:vAlign w:val="center"/>
          </w:tcPr>
          <w:p w14:paraId="69A3EFEE">
            <w:pPr>
              <w:pageBreakBefore w:val="0"/>
              <w:wordWrap/>
              <w:bidi w:val="0"/>
              <w:adjustRightInd/>
              <w:snapToGrid/>
              <w:spacing w:line="240" w:lineRule="auto"/>
              <w:ind w:firstLine="0" w:firstLineChars="0"/>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772" w:type="pct"/>
            <w:tcBorders>
              <w:tl2br w:val="nil"/>
              <w:tr2bl w:val="nil"/>
            </w:tcBorders>
            <w:noWrap w:val="0"/>
            <w:vAlign w:val="center"/>
          </w:tcPr>
          <w:p w14:paraId="6A11CEF3">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1.08</w:t>
            </w:r>
          </w:p>
        </w:tc>
        <w:tc>
          <w:tcPr>
            <w:tcW w:w="564" w:type="pct"/>
            <w:tcBorders>
              <w:tl2br w:val="nil"/>
              <w:tr2bl w:val="nil"/>
            </w:tcBorders>
            <w:noWrap w:val="0"/>
            <w:vAlign w:val="center"/>
          </w:tcPr>
          <w:p w14:paraId="525293D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0.0216</w:t>
            </w:r>
          </w:p>
        </w:tc>
        <w:tc>
          <w:tcPr>
            <w:tcW w:w="540" w:type="pct"/>
            <w:vMerge w:val="continue"/>
            <w:tcBorders>
              <w:tl2br w:val="nil"/>
              <w:tr2bl w:val="nil"/>
            </w:tcBorders>
            <w:noWrap w:val="0"/>
            <w:vAlign w:val="center"/>
          </w:tcPr>
          <w:p w14:paraId="45C38C0F">
            <w:pPr>
              <w:pageBreakBefore w:val="0"/>
              <w:wordWrap/>
              <w:bidi w:val="0"/>
              <w:adjustRightInd/>
              <w:snapToGrid/>
              <w:spacing w:line="240" w:lineRule="auto"/>
              <w:ind w:firstLine="0" w:firstLineChars="0"/>
              <w:jc w:val="center"/>
              <w:rPr>
                <w:color w:val="auto"/>
                <w:sz w:val="21"/>
                <w:szCs w:val="21"/>
              </w:rPr>
            </w:pPr>
          </w:p>
        </w:tc>
        <w:tc>
          <w:tcPr>
            <w:tcW w:w="442" w:type="pct"/>
            <w:vMerge w:val="continue"/>
            <w:tcBorders>
              <w:tl2br w:val="nil"/>
              <w:tr2bl w:val="nil"/>
            </w:tcBorders>
            <w:noWrap w:val="0"/>
            <w:vAlign w:val="center"/>
          </w:tcPr>
          <w:p w14:paraId="64E5DD44">
            <w:pPr>
              <w:pageBreakBefore w:val="0"/>
              <w:wordWrap/>
              <w:bidi w:val="0"/>
              <w:adjustRightInd/>
              <w:snapToGrid/>
              <w:spacing w:line="240" w:lineRule="auto"/>
              <w:ind w:firstLine="0" w:firstLineChars="0"/>
              <w:jc w:val="center"/>
              <w:rPr>
                <w:color w:val="auto"/>
                <w:sz w:val="21"/>
                <w:szCs w:val="21"/>
              </w:rPr>
            </w:pPr>
          </w:p>
        </w:tc>
        <w:tc>
          <w:tcPr>
            <w:tcW w:w="725" w:type="pct"/>
            <w:vMerge w:val="continue"/>
            <w:tcBorders>
              <w:tl2br w:val="nil"/>
              <w:tr2bl w:val="nil"/>
            </w:tcBorders>
            <w:noWrap w:val="0"/>
            <w:vAlign w:val="center"/>
          </w:tcPr>
          <w:p w14:paraId="73688B0B">
            <w:pPr>
              <w:pageBreakBefore w:val="0"/>
              <w:wordWrap/>
              <w:bidi w:val="0"/>
              <w:adjustRightInd/>
              <w:snapToGrid/>
              <w:spacing w:line="240" w:lineRule="auto"/>
              <w:ind w:firstLine="0" w:firstLineChars="0"/>
              <w:jc w:val="center"/>
              <w:rPr>
                <w:color w:val="auto"/>
                <w:sz w:val="21"/>
                <w:szCs w:val="21"/>
              </w:rPr>
            </w:pPr>
          </w:p>
        </w:tc>
      </w:tr>
    </w:tbl>
    <w:p w14:paraId="300AD5DB">
      <w:pPr>
        <w:pStyle w:val="10"/>
        <w:keepNext/>
        <w:keepLines/>
        <w:pageBreakBefore w:val="0"/>
        <w:widowControl w:val="0"/>
        <w:kinsoku/>
        <w:wordWrap/>
        <w:overflowPunct/>
        <w:topLinePunct w:val="0"/>
        <w:autoSpaceDE/>
        <w:autoSpaceDN/>
        <w:bidi w:val="0"/>
        <w:adjustRightInd/>
        <w:snapToGrid/>
        <w:spacing w:before="157" w:beforeLines="50"/>
        <w:textAlignment w:val="auto"/>
        <w:rPr>
          <w:color w:val="auto"/>
        </w:rPr>
      </w:pPr>
      <w:r>
        <w:rPr>
          <w:rFonts w:hint="eastAsia"/>
          <w:color w:val="auto"/>
        </w:rPr>
        <w:t>大气污</w:t>
      </w:r>
      <w:r>
        <w:rPr>
          <w:color w:val="auto"/>
        </w:rPr>
        <w:t>恶臭影响分析</w:t>
      </w:r>
    </w:p>
    <w:p w14:paraId="523E97E4">
      <w:pPr>
        <w:bidi w:val="0"/>
        <w:rPr>
          <w:b/>
          <w:bCs/>
          <w:color w:val="auto"/>
        </w:rPr>
      </w:pPr>
      <w:r>
        <w:rPr>
          <w:rFonts w:hint="eastAsia"/>
          <w:b/>
          <w:bCs/>
          <w:color w:val="auto"/>
          <w:lang w:val="en-US" w:eastAsia="zh-CN"/>
        </w:rPr>
        <w:t>1、</w:t>
      </w:r>
      <w:r>
        <w:rPr>
          <w:b/>
          <w:bCs/>
          <w:color w:val="auto"/>
        </w:rPr>
        <w:t>恶臭污染物评价标准与方法</w:t>
      </w:r>
    </w:p>
    <w:p w14:paraId="178248CA">
      <w:pPr>
        <w:bidi w:val="0"/>
        <w:rPr>
          <w:color w:val="auto"/>
        </w:rPr>
      </w:pPr>
      <w:r>
        <w:rPr>
          <w:color w:val="auto"/>
        </w:rPr>
        <w:t>嗅觉是人的一种感观体验，不是严格的科学特性，嗅觉概念的定量尚难做到。恶臭学科还处于试验科学阶段，难以用模式计算办法来制定标准。国家环境保护科技部标准司编制的《大气环境标准手册》（1996.7）“恶臭污染物排放标准编制说明”中推荐臭气强度6级，级别标准如下表。</w:t>
      </w:r>
    </w:p>
    <w:p w14:paraId="35F056F4">
      <w:pPr>
        <w:pStyle w:val="19"/>
        <w:numPr>
          <w:ilvl w:val="0"/>
          <w:numId w:val="31"/>
        </w:numPr>
        <w:bidi w:val="0"/>
        <w:ind w:left="1440" w:leftChars="0" w:firstLine="0" w:firstLineChars="0"/>
        <w:rPr>
          <w:rFonts w:ascii="Times New Roman" w:hAnsi="Times New Roman"/>
          <w:b/>
          <w:color w:val="auto"/>
        </w:rPr>
      </w:pPr>
      <w:r>
        <w:rPr>
          <w:rFonts w:ascii="Times New Roman" w:hAnsi="Times New Roman"/>
          <w:b/>
          <w:color w:val="auto"/>
        </w:rPr>
        <w:t>臭气强度分级</w:t>
      </w:r>
    </w:p>
    <w:tbl>
      <w:tblPr>
        <w:tblStyle w:val="5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71"/>
        <w:gridCol w:w="4473"/>
      </w:tblGrid>
      <w:tr w14:paraId="397896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9" w:type="pct"/>
            <w:vAlign w:val="center"/>
          </w:tcPr>
          <w:p w14:paraId="5951245D">
            <w:pPr>
              <w:pStyle w:val="16"/>
              <w:bidi w:val="0"/>
              <w:rPr>
                <w:b/>
                <w:bCs/>
                <w:color w:val="auto"/>
              </w:rPr>
            </w:pPr>
            <w:r>
              <w:rPr>
                <w:b/>
                <w:bCs/>
                <w:color w:val="auto"/>
              </w:rPr>
              <w:t>臭气强度分级</w:t>
            </w:r>
          </w:p>
        </w:tc>
        <w:tc>
          <w:tcPr>
            <w:tcW w:w="2500" w:type="pct"/>
            <w:vAlign w:val="center"/>
          </w:tcPr>
          <w:p w14:paraId="3F4FC8E7">
            <w:pPr>
              <w:pStyle w:val="16"/>
              <w:bidi w:val="0"/>
              <w:rPr>
                <w:b/>
                <w:bCs/>
                <w:color w:val="auto"/>
              </w:rPr>
            </w:pPr>
            <w:r>
              <w:rPr>
                <w:b/>
                <w:bCs/>
                <w:color w:val="auto"/>
              </w:rPr>
              <w:t>指标</w:t>
            </w:r>
          </w:p>
        </w:tc>
      </w:tr>
      <w:tr w14:paraId="341665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9" w:type="pct"/>
            <w:vAlign w:val="center"/>
          </w:tcPr>
          <w:p w14:paraId="03AB8510">
            <w:pPr>
              <w:pStyle w:val="16"/>
              <w:bidi w:val="0"/>
              <w:rPr>
                <w:color w:val="auto"/>
              </w:rPr>
            </w:pPr>
            <w:r>
              <w:rPr>
                <w:color w:val="auto"/>
              </w:rPr>
              <w:t>0</w:t>
            </w:r>
          </w:p>
        </w:tc>
        <w:tc>
          <w:tcPr>
            <w:tcW w:w="2500" w:type="pct"/>
            <w:vAlign w:val="center"/>
          </w:tcPr>
          <w:p w14:paraId="1F9EB7AD">
            <w:pPr>
              <w:pStyle w:val="16"/>
              <w:bidi w:val="0"/>
              <w:rPr>
                <w:color w:val="auto"/>
              </w:rPr>
            </w:pPr>
            <w:r>
              <w:rPr>
                <w:color w:val="auto"/>
              </w:rPr>
              <w:t>无气味</w:t>
            </w:r>
          </w:p>
        </w:tc>
      </w:tr>
      <w:tr w14:paraId="1607CF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9" w:type="pct"/>
            <w:vAlign w:val="center"/>
          </w:tcPr>
          <w:p w14:paraId="33D22CB1">
            <w:pPr>
              <w:pStyle w:val="16"/>
              <w:bidi w:val="0"/>
              <w:rPr>
                <w:color w:val="auto"/>
              </w:rPr>
            </w:pPr>
            <w:r>
              <w:rPr>
                <w:color w:val="auto"/>
              </w:rPr>
              <w:t>1</w:t>
            </w:r>
          </w:p>
        </w:tc>
        <w:tc>
          <w:tcPr>
            <w:tcW w:w="2500" w:type="pct"/>
            <w:vAlign w:val="center"/>
          </w:tcPr>
          <w:p w14:paraId="144695AB">
            <w:pPr>
              <w:pStyle w:val="16"/>
              <w:bidi w:val="0"/>
              <w:rPr>
                <w:color w:val="auto"/>
              </w:rPr>
            </w:pPr>
            <w:r>
              <w:rPr>
                <w:color w:val="auto"/>
              </w:rPr>
              <w:t>勉强能感觉到气味</w:t>
            </w:r>
          </w:p>
        </w:tc>
      </w:tr>
      <w:tr w14:paraId="0F9473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9" w:type="pct"/>
            <w:vAlign w:val="center"/>
          </w:tcPr>
          <w:p w14:paraId="674B9607">
            <w:pPr>
              <w:pStyle w:val="16"/>
              <w:bidi w:val="0"/>
              <w:rPr>
                <w:color w:val="auto"/>
              </w:rPr>
            </w:pPr>
            <w:r>
              <w:rPr>
                <w:color w:val="auto"/>
              </w:rPr>
              <w:t>2</w:t>
            </w:r>
          </w:p>
        </w:tc>
        <w:tc>
          <w:tcPr>
            <w:tcW w:w="2500" w:type="pct"/>
            <w:vAlign w:val="center"/>
          </w:tcPr>
          <w:p w14:paraId="0E8E3C2B">
            <w:pPr>
              <w:pStyle w:val="16"/>
              <w:bidi w:val="0"/>
              <w:rPr>
                <w:color w:val="auto"/>
              </w:rPr>
            </w:pPr>
            <w:r>
              <w:rPr>
                <w:color w:val="auto"/>
              </w:rPr>
              <w:t>感觉到微弱气味</w:t>
            </w:r>
          </w:p>
        </w:tc>
      </w:tr>
      <w:tr w14:paraId="304B88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9" w:type="pct"/>
            <w:vAlign w:val="center"/>
          </w:tcPr>
          <w:p w14:paraId="31F7034A">
            <w:pPr>
              <w:pStyle w:val="16"/>
              <w:bidi w:val="0"/>
              <w:rPr>
                <w:color w:val="auto"/>
              </w:rPr>
            </w:pPr>
            <w:r>
              <w:rPr>
                <w:color w:val="auto"/>
              </w:rPr>
              <w:t>3</w:t>
            </w:r>
          </w:p>
        </w:tc>
        <w:tc>
          <w:tcPr>
            <w:tcW w:w="2500" w:type="pct"/>
            <w:vAlign w:val="center"/>
          </w:tcPr>
          <w:p w14:paraId="419A7EA8">
            <w:pPr>
              <w:pStyle w:val="16"/>
              <w:bidi w:val="0"/>
              <w:rPr>
                <w:color w:val="auto"/>
              </w:rPr>
            </w:pPr>
            <w:r>
              <w:rPr>
                <w:color w:val="auto"/>
              </w:rPr>
              <w:t>感觉到明显气味</w:t>
            </w:r>
          </w:p>
        </w:tc>
      </w:tr>
      <w:tr w14:paraId="471C67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9" w:type="pct"/>
            <w:vAlign w:val="center"/>
          </w:tcPr>
          <w:p w14:paraId="0B9347AD">
            <w:pPr>
              <w:pStyle w:val="16"/>
              <w:bidi w:val="0"/>
              <w:rPr>
                <w:color w:val="auto"/>
              </w:rPr>
            </w:pPr>
            <w:r>
              <w:rPr>
                <w:color w:val="auto"/>
              </w:rPr>
              <w:t>4</w:t>
            </w:r>
          </w:p>
        </w:tc>
        <w:tc>
          <w:tcPr>
            <w:tcW w:w="2500" w:type="pct"/>
            <w:vAlign w:val="center"/>
          </w:tcPr>
          <w:p w14:paraId="603D02A2">
            <w:pPr>
              <w:pStyle w:val="16"/>
              <w:bidi w:val="0"/>
              <w:rPr>
                <w:color w:val="auto"/>
              </w:rPr>
            </w:pPr>
            <w:r>
              <w:rPr>
                <w:color w:val="auto"/>
              </w:rPr>
              <w:t>较强气味</w:t>
            </w:r>
          </w:p>
        </w:tc>
      </w:tr>
      <w:tr w14:paraId="5B0971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9" w:type="pct"/>
            <w:vAlign w:val="center"/>
          </w:tcPr>
          <w:p w14:paraId="354507C1">
            <w:pPr>
              <w:pStyle w:val="16"/>
              <w:bidi w:val="0"/>
              <w:rPr>
                <w:color w:val="auto"/>
              </w:rPr>
            </w:pPr>
            <w:r>
              <w:rPr>
                <w:color w:val="auto"/>
              </w:rPr>
              <w:t>5</w:t>
            </w:r>
          </w:p>
        </w:tc>
        <w:tc>
          <w:tcPr>
            <w:tcW w:w="2500" w:type="pct"/>
            <w:vAlign w:val="center"/>
          </w:tcPr>
          <w:p w14:paraId="167B1004">
            <w:pPr>
              <w:pStyle w:val="16"/>
              <w:bidi w:val="0"/>
              <w:rPr>
                <w:color w:val="auto"/>
              </w:rPr>
            </w:pPr>
            <w:r>
              <w:rPr>
                <w:color w:val="auto"/>
              </w:rPr>
              <w:t>强烈的气味</w:t>
            </w:r>
          </w:p>
        </w:tc>
      </w:tr>
    </w:tbl>
    <w:p w14:paraId="14318419">
      <w:pPr>
        <w:keepNext w:val="0"/>
        <w:keepLines w:val="0"/>
        <w:pageBreakBefore w:val="0"/>
        <w:widowControl w:val="0"/>
        <w:kinsoku/>
        <w:wordWrap/>
        <w:overflowPunct/>
        <w:topLinePunct w:val="0"/>
        <w:autoSpaceDE/>
        <w:autoSpaceDN/>
        <w:bidi w:val="0"/>
        <w:adjustRightInd/>
        <w:snapToGrid/>
        <w:spacing w:before="157" w:beforeLines="50"/>
        <w:textAlignment w:val="auto"/>
        <w:rPr>
          <w:color w:val="auto"/>
        </w:rPr>
      </w:pPr>
      <w:r>
        <w:rPr>
          <w:color w:val="auto"/>
        </w:rPr>
        <w:t>各类区域臭气强度级别限值为：一类区执行一级控制标准，臭气强度2.5级；二类区执行二级控制标准，臭气强度限制3级。</w:t>
      </w:r>
      <w:r>
        <w:rPr>
          <w:rFonts w:hint="eastAsia"/>
          <w:color w:val="auto"/>
          <w:lang w:eastAsia="zh-CN"/>
        </w:rPr>
        <w:t>“</w:t>
      </w:r>
      <w:r>
        <w:rPr>
          <w:color w:val="auto"/>
        </w:rPr>
        <w:t>说明</w:t>
      </w:r>
      <w:r>
        <w:rPr>
          <w:rFonts w:hint="eastAsia"/>
          <w:color w:val="auto"/>
          <w:lang w:eastAsia="zh-CN"/>
        </w:rPr>
        <w:t>”</w:t>
      </w:r>
      <w:r>
        <w:rPr>
          <w:color w:val="auto"/>
        </w:rPr>
        <w:t>强调指出：</w:t>
      </w:r>
      <w:r>
        <w:rPr>
          <w:rFonts w:hint="eastAsia"/>
          <w:color w:val="auto"/>
          <w:lang w:eastAsia="zh-CN"/>
        </w:rPr>
        <w:t>“</w:t>
      </w:r>
      <w:r>
        <w:rPr>
          <w:color w:val="auto"/>
        </w:rPr>
        <w:t>将厂边界环境臭气强度控制在3级左右，是人们可以接受的水平</w:t>
      </w:r>
      <w:r>
        <w:rPr>
          <w:rFonts w:hint="eastAsia"/>
          <w:color w:val="auto"/>
          <w:lang w:eastAsia="zh-CN"/>
        </w:rPr>
        <w:t>”</w:t>
      </w:r>
      <w:r>
        <w:rPr>
          <w:color w:val="auto"/>
        </w:rPr>
        <w:t>。适合我国经济技术水平，能够达到。</w:t>
      </w:r>
    </w:p>
    <w:p w14:paraId="161F831F">
      <w:pPr>
        <w:bidi w:val="0"/>
        <w:rPr>
          <w:b/>
          <w:bCs/>
          <w:color w:val="auto"/>
        </w:rPr>
      </w:pPr>
      <w:r>
        <w:rPr>
          <w:rFonts w:hint="eastAsia"/>
          <w:b/>
          <w:bCs/>
          <w:color w:val="auto"/>
          <w:lang w:val="en-US" w:eastAsia="zh-CN"/>
        </w:rPr>
        <w:t>2、</w:t>
      </w:r>
      <w:r>
        <w:rPr>
          <w:b/>
          <w:bCs/>
          <w:color w:val="auto"/>
        </w:rPr>
        <w:t>恶臭污染物环境影响分析</w:t>
      </w:r>
    </w:p>
    <w:p w14:paraId="1FD57F96">
      <w:pPr>
        <w:bidi w:val="0"/>
        <w:rPr>
          <w:color w:val="auto"/>
        </w:rPr>
      </w:pPr>
      <w:r>
        <w:rPr>
          <w:color w:val="auto"/>
        </w:rPr>
        <w:t>根据相关资料显示，臭气强度级与嗅气阈值为对数关系，并得出恶臭污染物浓度与其臭气强度和臭气浓度三者之间有一定关系。</w:t>
      </w:r>
    </w:p>
    <w:p w14:paraId="6DB78CBE">
      <w:pPr>
        <w:pStyle w:val="19"/>
        <w:keepNext w:val="0"/>
        <w:keepLines w:val="0"/>
        <w:pageBreakBefore w:val="0"/>
        <w:widowControl w:val="0"/>
        <w:numPr>
          <w:ilvl w:val="0"/>
          <w:numId w:val="31"/>
        </w:numPr>
        <w:kinsoku/>
        <w:wordWrap/>
        <w:overflowPunct/>
        <w:topLinePunct w:val="0"/>
        <w:autoSpaceDE/>
        <w:autoSpaceDN/>
        <w:bidi w:val="0"/>
        <w:adjustRightInd/>
        <w:snapToGrid/>
        <w:ind w:left="0" w:leftChars="0" w:firstLine="0" w:firstLineChars="0"/>
        <w:textAlignment w:val="auto"/>
        <w:rPr>
          <w:rFonts w:ascii="Times New Roman" w:hAnsi="Times New Roman"/>
          <w:b/>
          <w:color w:val="auto"/>
          <w:kern w:val="0"/>
        </w:rPr>
      </w:pPr>
      <w:r>
        <w:rPr>
          <w:rFonts w:ascii="Times New Roman" w:hAnsi="Times New Roman"/>
          <w:b/>
          <w:color w:val="auto"/>
          <w:kern w:val="0"/>
        </w:rPr>
        <w:t>恶臭污染物浓度、臭气强度、臭气浓度关系表</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88"/>
        <w:gridCol w:w="1489"/>
        <w:gridCol w:w="1491"/>
        <w:gridCol w:w="1491"/>
        <w:gridCol w:w="1324"/>
        <w:gridCol w:w="1659"/>
      </w:tblGrid>
      <w:tr w14:paraId="543BBA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vMerge w:val="restart"/>
            <w:vAlign w:val="center"/>
          </w:tcPr>
          <w:p w14:paraId="5DEC421C">
            <w:pPr>
              <w:pStyle w:val="16"/>
              <w:bidi w:val="0"/>
              <w:rPr>
                <w:b/>
                <w:bCs/>
                <w:color w:val="auto"/>
              </w:rPr>
            </w:pPr>
            <w:r>
              <w:rPr>
                <w:b/>
                <w:bCs/>
                <w:color w:val="auto"/>
              </w:rPr>
              <w:t>臭气强度（级）</w:t>
            </w:r>
          </w:p>
        </w:tc>
        <w:tc>
          <w:tcPr>
            <w:tcW w:w="1665" w:type="pct"/>
            <w:gridSpan w:val="2"/>
            <w:vAlign w:val="center"/>
          </w:tcPr>
          <w:p w14:paraId="7F7826C3">
            <w:pPr>
              <w:pStyle w:val="16"/>
              <w:bidi w:val="0"/>
              <w:rPr>
                <w:b/>
                <w:bCs/>
                <w:color w:val="auto"/>
              </w:rPr>
            </w:pPr>
            <w:r>
              <w:rPr>
                <w:b/>
                <w:bCs/>
                <w:color w:val="auto"/>
              </w:rPr>
              <w:t>NH</w:t>
            </w:r>
            <w:r>
              <w:rPr>
                <w:b/>
                <w:bCs/>
                <w:color w:val="auto"/>
                <w:vertAlign w:val="subscript"/>
              </w:rPr>
              <w:t>3</w:t>
            </w:r>
          </w:p>
        </w:tc>
        <w:tc>
          <w:tcPr>
            <w:tcW w:w="1573" w:type="pct"/>
            <w:gridSpan w:val="2"/>
            <w:vAlign w:val="center"/>
          </w:tcPr>
          <w:p w14:paraId="11C7FBC5">
            <w:pPr>
              <w:pStyle w:val="16"/>
              <w:bidi w:val="0"/>
              <w:rPr>
                <w:b/>
                <w:bCs/>
                <w:color w:val="auto"/>
              </w:rPr>
            </w:pPr>
            <w:r>
              <w:rPr>
                <w:b/>
                <w:bCs/>
                <w:color w:val="auto"/>
              </w:rPr>
              <w:t>H</w:t>
            </w:r>
            <w:r>
              <w:rPr>
                <w:b/>
                <w:bCs/>
                <w:color w:val="auto"/>
                <w:vertAlign w:val="subscript"/>
              </w:rPr>
              <w:t>2</w:t>
            </w:r>
            <w:r>
              <w:rPr>
                <w:b/>
                <w:bCs/>
                <w:color w:val="auto"/>
              </w:rPr>
              <w:t>S</w:t>
            </w:r>
          </w:p>
        </w:tc>
        <w:tc>
          <w:tcPr>
            <w:tcW w:w="927" w:type="pct"/>
            <w:vMerge w:val="restart"/>
            <w:vAlign w:val="center"/>
          </w:tcPr>
          <w:p w14:paraId="0F00FE82">
            <w:pPr>
              <w:pStyle w:val="16"/>
              <w:bidi w:val="0"/>
              <w:rPr>
                <w:b/>
                <w:bCs/>
                <w:color w:val="auto"/>
              </w:rPr>
            </w:pPr>
            <w:r>
              <w:rPr>
                <w:b/>
                <w:bCs/>
                <w:color w:val="auto"/>
              </w:rPr>
              <w:t>臭气浓度</w:t>
            </w:r>
          </w:p>
          <w:p w14:paraId="684D1AA9">
            <w:pPr>
              <w:pStyle w:val="16"/>
              <w:bidi w:val="0"/>
              <w:rPr>
                <w:b/>
                <w:bCs/>
                <w:color w:val="auto"/>
              </w:rPr>
            </w:pPr>
            <w:r>
              <w:rPr>
                <w:b/>
                <w:bCs/>
                <w:color w:val="auto"/>
              </w:rPr>
              <w:t>（稀释倍数）</w:t>
            </w:r>
          </w:p>
        </w:tc>
      </w:tr>
      <w:tr w14:paraId="0DCD33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vMerge w:val="continue"/>
            <w:vAlign w:val="center"/>
          </w:tcPr>
          <w:p w14:paraId="402D6726">
            <w:pPr>
              <w:pStyle w:val="16"/>
              <w:bidi w:val="0"/>
              <w:rPr>
                <w:b/>
                <w:bCs/>
                <w:color w:val="auto"/>
              </w:rPr>
            </w:pPr>
          </w:p>
        </w:tc>
        <w:tc>
          <w:tcPr>
            <w:tcW w:w="832" w:type="pct"/>
            <w:vAlign w:val="center"/>
          </w:tcPr>
          <w:p w14:paraId="5EE7D18A">
            <w:pPr>
              <w:pStyle w:val="16"/>
              <w:bidi w:val="0"/>
              <w:rPr>
                <w:b/>
                <w:bCs/>
                <w:color w:val="auto"/>
              </w:rPr>
            </w:pPr>
            <w:r>
              <w:rPr>
                <w:b/>
                <w:bCs/>
                <w:color w:val="auto"/>
              </w:rPr>
              <w:t>ppm</w:t>
            </w:r>
          </w:p>
        </w:tc>
        <w:tc>
          <w:tcPr>
            <w:tcW w:w="832" w:type="pct"/>
            <w:vAlign w:val="center"/>
          </w:tcPr>
          <w:p w14:paraId="4BB0442C">
            <w:pPr>
              <w:pStyle w:val="16"/>
              <w:bidi w:val="0"/>
              <w:rPr>
                <w:rFonts w:hint="eastAsia" w:eastAsia="宋体"/>
                <w:b/>
                <w:bCs/>
                <w:color w:val="auto"/>
                <w:lang w:eastAsia="zh-CN"/>
              </w:rPr>
            </w:pPr>
            <w:r>
              <w:rPr>
                <w:b/>
                <w:bCs/>
                <w:color w:val="auto"/>
              </w:rPr>
              <w:t>mg/</w:t>
            </w:r>
            <w:r>
              <w:rPr>
                <w:rFonts w:hint="eastAsia"/>
                <w:b/>
                <w:bCs/>
                <w:color w:val="auto"/>
                <w:lang w:eastAsia="zh-CN"/>
              </w:rPr>
              <w:t>m³</w:t>
            </w:r>
          </w:p>
        </w:tc>
        <w:tc>
          <w:tcPr>
            <w:tcW w:w="833" w:type="pct"/>
            <w:vAlign w:val="center"/>
          </w:tcPr>
          <w:p w14:paraId="049FC17A">
            <w:pPr>
              <w:pStyle w:val="16"/>
              <w:bidi w:val="0"/>
              <w:rPr>
                <w:b/>
                <w:bCs/>
                <w:color w:val="auto"/>
              </w:rPr>
            </w:pPr>
            <w:r>
              <w:rPr>
                <w:b/>
                <w:bCs/>
                <w:color w:val="auto"/>
              </w:rPr>
              <w:t>ppm</w:t>
            </w:r>
          </w:p>
        </w:tc>
        <w:tc>
          <w:tcPr>
            <w:tcW w:w="739" w:type="pct"/>
            <w:vAlign w:val="center"/>
          </w:tcPr>
          <w:p w14:paraId="27ABD81D">
            <w:pPr>
              <w:pStyle w:val="16"/>
              <w:bidi w:val="0"/>
              <w:rPr>
                <w:rFonts w:hint="eastAsia" w:eastAsia="宋体"/>
                <w:b/>
                <w:bCs/>
                <w:color w:val="auto"/>
                <w:lang w:eastAsia="zh-CN"/>
              </w:rPr>
            </w:pPr>
            <w:r>
              <w:rPr>
                <w:b/>
                <w:bCs/>
                <w:color w:val="auto"/>
              </w:rPr>
              <w:t>mg/</w:t>
            </w:r>
            <w:r>
              <w:rPr>
                <w:rFonts w:hint="eastAsia"/>
                <w:b/>
                <w:bCs/>
                <w:color w:val="auto"/>
                <w:lang w:eastAsia="zh-CN"/>
              </w:rPr>
              <w:t>m³</w:t>
            </w:r>
          </w:p>
        </w:tc>
        <w:tc>
          <w:tcPr>
            <w:tcW w:w="927" w:type="pct"/>
            <w:vMerge w:val="continue"/>
            <w:vAlign w:val="center"/>
          </w:tcPr>
          <w:p w14:paraId="52706E8B">
            <w:pPr>
              <w:pStyle w:val="16"/>
              <w:bidi w:val="0"/>
              <w:rPr>
                <w:b/>
                <w:bCs/>
                <w:color w:val="auto"/>
              </w:rPr>
            </w:pPr>
          </w:p>
        </w:tc>
      </w:tr>
      <w:tr w14:paraId="708558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vAlign w:val="center"/>
          </w:tcPr>
          <w:p w14:paraId="31B20080">
            <w:pPr>
              <w:pStyle w:val="16"/>
              <w:bidi w:val="0"/>
              <w:rPr>
                <w:b/>
                <w:bCs/>
                <w:color w:val="auto"/>
              </w:rPr>
            </w:pPr>
            <w:r>
              <w:rPr>
                <w:b/>
                <w:bCs/>
                <w:color w:val="auto"/>
              </w:rPr>
              <w:t>1</w:t>
            </w:r>
          </w:p>
        </w:tc>
        <w:tc>
          <w:tcPr>
            <w:tcW w:w="832" w:type="pct"/>
            <w:vAlign w:val="center"/>
          </w:tcPr>
          <w:p w14:paraId="73A1A328">
            <w:pPr>
              <w:pStyle w:val="16"/>
              <w:bidi w:val="0"/>
              <w:rPr>
                <w:b/>
                <w:bCs/>
                <w:color w:val="auto"/>
              </w:rPr>
            </w:pPr>
            <w:r>
              <w:rPr>
                <w:b/>
                <w:bCs/>
                <w:color w:val="auto"/>
              </w:rPr>
              <w:t>0.1</w:t>
            </w:r>
          </w:p>
        </w:tc>
        <w:tc>
          <w:tcPr>
            <w:tcW w:w="832" w:type="pct"/>
            <w:vAlign w:val="center"/>
          </w:tcPr>
          <w:p w14:paraId="52157617">
            <w:pPr>
              <w:pStyle w:val="16"/>
              <w:bidi w:val="0"/>
              <w:rPr>
                <w:b/>
                <w:bCs/>
                <w:color w:val="auto"/>
              </w:rPr>
            </w:pPr>
            <w:r>
              <w:rPr>
                <w:b/>
                <w:bCs/>
                <w:color w:val="auto"/>
              </w:rPr>
              <w:t>0.0760</w:t>
            </w:r>
          </w:p>
        </w:tc>
        <w:tc>
          <w:tcPr>
            <w:tcW w:w="833" w:type="pct"/>
            <w:vAlign w:val="center"/>
          </w:tcPr>
          <w:p w14:paraId="61ED22CD">
            <w:pPr>
              <w:pStyle w:val="16"/>
              <w:bidi w:val="0"/>
              <w:rPr>
                <w:b/>
                <w:bCs/>
                <w:color w:val="auto"/>
              </w:rPr>
            </w:pPr>
            <w:r>
              <w:rPr>
                <w:b/>
                <w:bCs/>
                <w:color w:val="auto"/>
              </w:rPr>
              <w:t>0.0005</w:t>
            </w:r>
          </w:p>
        </w:tc>
        <w:tc>
          <w:tcPr>
            <w:tcW w:w="739" w:type="pct"/>
            <w:vAlign w:val="center"/>
          </w:tcPr>
          <w:p w14:paraId="72B3D3D9">
            <w:pPr>
              <w:pStyle w:val="16"/>
              <w:bidi w:val="0"/>
              <w:rPr>
                <w:b/>
                <w:bCs/>
                <w:color w:val="auto"/>
              </w:rPr>
            </w:pPr>
            <w:r>
              <w:rPr>
                <w:b/>
                <w:bCs/>
                <w:color w:val="auto"/>
              </w:rPr>
              <w:t>0.00076</w:t>
            </w:r>
          </w:p>
        </w:tc>
        <w:tc>
          <w:tcPr>
            <w:tcW w:w="927" w:type="pct"/>
            <w:vAlign w:val="center"/>
          </w:tcPr>
          <w:p w14:paraId="5C972AFB">
            <w:pPr>
              <w:pStyle w:val="16"/>
              <w:bidi w:val="0"/>
              <w:rPr>
                <w:b/>
                <w:bCs/>
                <w:color w:val="auto"/>
              </w:rPr>
            </w:pPr>
            <w:r>
              <w:rPr>
                <w:b/>
                <w:bCs/>
                <w:color w:val="auto"/>
              </w:rPr>
              <w:t>/</w:t>
            </w:r>
          </w:p>
        </w:tc>
      </w:tr>
      <w:tr w14:paraId="45A8D5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vAlign w:val="center"/>
          </w:tcPr>
          <w:p w14:paraId="7C48E32F">
            <w:pPr>
              <w:pStyle w:val="16"/>
              <w:bidi w:val="0"/>
              <w:rPr>
                <w:color w:val="auto"/>
              </w:rPr>
            </w:pPr>
            <w:r>
              <w:rPr>
                <w:color w:val="auto"/>
              </w:rPr>
              <w:t>2</w:t>
            </w:r>
          </w:p>
        </w:tc>
        <w:tc>
          <w:tcPr>
            <w:tcW w:w="832" w:type="pct"/>
            <w:vAlign w:val="center"/>
          </w:tcPr>
          <w:p w14:paraId="7F21983C">
            <w:pPr>
              <w:pStyle w:val="16"/>
              <w:bidi w:val="0"/>
              <w:rPr>
                <w:color w:val="auto"/>
              </w:rPr>
            </w:pPr>
            <w:r>
              <w:rPr>
                <w:color w:val="auto"/>
              </w:rPr>
              <w:t>0.6</w:t>
            </w:r>
          </w:p>
        </w:tc>
        <w:tc>
          <w:tcPr>
            <w:tcW w:w="832" w:type="pct"/>
            <w:vAlign w:val="center"/>
          </w:tcPr>
          <w:p w14:paraId="7FB7B690">
            <w:pPr>
              <w:pStyle w:val="16"/>
              <w:bidi w:val="0"/>
              <w:rPr>
                <w:color w:val="auto"/>
              </w:rPr>
            </w:pPr>
            <w:r>
              <w:rPr>
                <w:color w:val="auto"/>
              </w:rPr>
              <w:t>0.4562</w:t>
            </w:r>
          </w:p>
        </w:tc>
        <w:tc>
          <w:tcPr>
            <w:tcW w:w="833" w:type="pct"/>
            <w:vAlign w:val="center"/>
          </w:tcPr>
          <w:p w14:paraId="343586DF">
            <w:pPr>
              <w:pStyle w:val="16"/>
              <w:bidi w:val="0"/>
              <w:rPr>
                <w:color w:val="auto"/>
              </w:rPr>
            </w:pPr>
            <w:r>
              <w:rPr>
                <w:color w:val="auto"/>
              </w:rPr>
              <w:t>0.006</w:t>
            </w:r>
          </w:p>
        </w:tc>
        <w:tc>
          <w:tcPr>
            <w:tcW w:w="739" w:type="pct"/>
            <w:vAlign w:val="center"/>
          </w:tcPr>
          <w:p w14:paraId="28BBE495">
            <w:pPr>
              <w:pStyle w:val="16"/>
              <w:bidi w:val="0"/>
              <w:rPr>
                <w:color w:val="auto"/>
              </w:rPr>
            </w:pPr>
            <w:r>
              <w:rPr>
                <w:color w:val="auto"/>
              </w:rPr>
              <w:t>0.00912</w:t>
            </w:r>
          </w:p>
        </w:tc>
        <w:tc>
          <w:tcPr>
            <w:tcW w:w="927" w:type="pct"/>
            <w:vAlign w:val="center"/>
          </w:tcPr>
          <w:p w14:paraId="24F2CB6A">
            <w:pPr>
              <w:pStyle w:val="16"/>
              <w:bidi w:val="0"/>
              <w:rPr>
                <w:color w:val="auto"/>
              </w:rPr>
            </w:pPr>
            <w:r>
              <w:rPr>
                <w:color w:val="auto"/>
              </w:rPr>
              <w:t>约为6</w:t>
            </w:r>
          </w:p>
        </w:tc>
      </w:tr>
      <w:tr w14:paraId="0817AF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vAlign w:val="center"/>
          </w:tcPr>
          <w:p w14:paraId="74EEFDE5">
            <w:pPr>
              <w:pStyle w:val="16"/>
              <w:bidi w:val="0"/>
              <w:rPr>
                <w:color w:val="auto"/>
              </w:rPr>
            </w:pPr>
            <w:r>
              <w:rPr>
                <w:color w:val="auto"/>
              </w:rPr>
              <w:t>2.5</w:t>
            </w:r>
          </w:p>
        </w:tc>
        <w:tc>
          <w:tcPr>
            <w:tcW w:w="832" w:type="pct"/>
            <w:vAlign w:val="center"/>
          </w:tcPr>
          <w:p w14:paraId="77AB2659">
            <w:pPr>
              <w:pStyle w:val="16"/>
              <w:bidi w:val="0"/>
              <w:rPr>
                <w:color w:val="auto"/>
              </w:rPr>
            </w:pPr>
            <w:r>
              <w:rPr>
                <w:color w:val="auto"/>
              </w:rPr>
              <w:t>1</w:t>
            </w:r>
          </w:p>
        </w:tc>
        <w:tc>
          <w:tcPr>
            <w:tcW w:w="832" w:type="pct"/>
            <w:vAlign w:val="center"/>
          </w:tcPr>
          <w:p w14:paraId="2D72E859">
            <w:pPr>
              <w:pStyle w:val="16"/>
              <w:bidi w:val="0"/>
              <w:rPr>
                <w:color w:val="auto"/>
              </w:rPr>
            </w:pPr>
            <w:r>
              <w:rPr>
                <w:color w:val="auto"/>
              </w:rPr>
              <w:t>0.7603</w:t>
            </w:r>
          </w:p>
        </w:tc>
        <w:tc>
          <w:tcPr>
            <w:tcW w:w="833" w:type="pct"/>
            <w:vAlign w:val="center"/>
          </w:tcPr>
          <w:p w14:paraId="2E03260D">
            <w:pPr>
              <w:pStyle w:val="16"/>
              <w:bidi w:val="0"/>
              <w:rPr>
                <w:color w:val="auto"/>
              </w:rPr>
            </w:pPr>
            <w:r>
              <w:rPr>
                <w:color w:val="auto"/>
              </w:rPr>
              <w:t>0.006</w:t>
            </w:r>
          </w:p>
        </w:tc>
        <w:tc>
          <w:tcPr>
            <w:tcW w:w="739" w:type="pct"/>
            <w:vAlign w:val="center"/>
          </w:tcPr>
          <w:p w14:paraId="16B9163C">
            <w:pPr>
              <w:pStyle w:val="16"/>
              <w:bidi w:val="0"/>
              <w:rPr>
                <w:color w:val="auto"/>
              </w:rPr>
            </w:pPr>
            <w:r>
              <w:rPr>
                <w:color w:val="auto"/>
              </w:rPr>
              <w:t>0.00912</w:t>
            </w:r>
          </w:p>
        </w:tc>
        <w:tc>
          <w:tcPr>
            <w:tcW w:w="927" w:type="pct"/>
            <w:vAlign w:val="center"/>
          </w:tcPr>
          <w:p w14:paraId="165CC007">
            <w:pPr>
              <w:pStyle w:val="16"/>
              <w:bidi w:val="0"/>
              <w:rPr>
                <w:color w:val="auto"/>
              </w:rPr>
            </w:pPr>
            <w:r>
              <w:rPr>
                <w:color w:val="auto"/>
              </w:rPr>
              <w:t>约为10</w:t>
            </w:r>
          </w:p>
        </w:tc>
      </w:tr>
      <w:tr w14:paraId="4FE0B4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vAlign w:val="center"/>
          </w:tcPr>
          <w:p w14:paraId="08F3FA64">
            <w:pPr>
              <w:pStyle w:val="16"/>
              <w:bidi w:val="0"/>
              <w:rPr>
                <w:color w:val="auto"/>
              </w:rPr>
            </w:pPr>
            <w:r>
              <w:rPr>
                <w:color w:val="auto"/>
              </w:rPr>
              <w:t>3</w:t>
            </w:r>
          </w:p>
        </w:tc>
        <w:tc>
          <w:tcPr>
            <w:tcW w:w="832" w:type="pct"/>
            <w:vAlign w:val="center"/>
          </w:tcPr>
          <w:p w14:paraId="0E4E04A8">
            <w:pPr>
              <w:pStyle w:val="16"/>
              <w:bidi w:val="0"/>
              <w:rPr>
                <w:color w:val="auto"/>
              </w:rPr>
            </w:pPr>
            <w:r>
              <w:rPr>
                <w:color w:val="auto"/>
              </w:rPr>
              <w:t>2</w:t>
            </w:r>
          </w:p>
        </w:tc>
        <w:tc>
          <w:tcPr>
            <w:tcW w:w="832" w:type="pct"/>
            <w:vAlign w:val="center"/>
          </w:tcPr>
          <w:p w14:paraId="6264B1A2">
            <w:pPr>
              <w:pStyle w:val="16"/>
              <w:bidi w:val="0"/>
              <w:rPr>
                <w:color w:val="auto"/>
              </w:rPr>
            </w:pPr>
            <w:r>
              <w:rPr>
                <w:color w:val="auto"/>
              </w:rPr>
              <w:t>1.5206</w:t>
            </w:r>
          </w:p>
        </w:tc>
        <w:tc>
          <w:tcPr>
            <w:tcW w:w="833" w:type="pct"/>
            <w:vAlign w:val="center"/>
          </w:tcPr>
          <w:p w14:paraId="6C2909E2">
            <w:pPr>
              <w:pStyle w:val="16"/>
              <w:bidi w:val="0"/>
              <w:rPr>
                <w:color w:val="auto"/>
              </w:rPr>
            </w:pPr>
            <w:r>
              <w:rPr>
                <w:color w:val="auto"/>
              </w:rPr>
              <w:t>0.06</w:t>
            </w:r>
          </w:p>
        </w:tc>
        <w:tc>
          <w:tcPr>
            <w:tcW w:w="739" w:type="pct"/>
            <w:vAlign w:val="center"/>
          </w:tcPr>
          <w:p w14:paraId="3632D9D0">
            <w:pPr>
              <w:pStyle w:val="16"/>
              <w:bidi w:val="0"/>
              <w:rPr>
                <w:color w:val="auto"/>
              </w:rPr>
            </w:pPr>
            <w:r>
              <w:rPr>
                <w:color w:val="auto"/>
              </w:rPr>
              <w:t>0.09127</w:t>
            </w:r>
          </w:p>
        </w:tc>
        <w:tc>
          <w:tcPr>
            <w:tcW w:w="927" w:type="pct"/>
            <w:vAlign w:val="center"/>
          </w:tcPr>
          <w:p w14:paraId="181223C5">
            <w:pPr>
              <w:pStyle w:val="16"/>
              <w:bidi w:val="0"/>
              <w:rPr>
                <w:color w:val="auto"/>
              </w:rPr>
            </w:pPr>
            <w:r>
              <w:rPr>
                <w:color w:val="auto"/>
              </w:rPr>
              <w:t>约为30</w:t>
            </w:r>
          </w:p>
        </w:tc>
      </w:tr>
      <w:tr w14:paraId="33429E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vAlign w:val="center"/>
          </w:tcPr>
          <w:p w14:paraId="7CBC90F0">
            <w:pPr>
              <w:pStyle w:val="16"/>
              <w:bidi w:val="0"/>
              <w:rPr>
                <w:color w:val="auto"/>
              </w:rPr>
            </w:pPr>
            <w:r>
              <w:rPr>
                <w:color w:val="auto"/>
              </w:rPr>
              <w:t>3.5</w:t>
            </w:r>
          </w:p>
        </w:tc>
        <w:tc>
          <w:tcPr>
            <w:tcW w:w="832" w:type="pct"/>
            <w:vAlign w:val="center"/>
          </w:tcPr>
          <w:p w14:paraId="7522283A">
            <w:pPr>
              <w:pStyle w:val="16"/>
              <w:bidi w:val="0"/>
              <w:rPr>
                <w:color w:val="auto"/>
              </w:rPr>
            </w:pPr>
            <w:r>
              <w:rPr>
                <w:color w:val="auto"/>
              </w:rPr>
              <w:t>5</w:t>
            </w:r>
          </w:p>
        </w:tc>
        <w:tc>
          <w:tcPr>
            <w:tcW w:w="832" w:type="pct"/>
            <w:vAlign w:val="center"/>
          </w:tcPr>
          <w:p w14:paraId="3B69A691">
            <w:pPr>
              <w:pStyle w:val="16"/>
              <w:bidi w:val="0"/>
              <w:rPr>
                <w:color w:val="auto"/>
              </w:rPr>
            </w:pPr>
            <w:r>
              <w:rPr>
                <w:color w:val="auto"/>
              </w:rPr>
              <w:t>3.8014</w:t>
            </w:r>
          </w:p>
        </w:tc>
        <w:tc>
          <w:tcPr>
            <w:tcW w:w="833" w:type="pct"/>
            <w:vAlign w:val="center"/>
          </w:tcPr>
          <w:p w14:paraId="0339732C">
            <w:pPr>
              <w:pStyle w:val="16"/>
              <w:bidi w:val="0"/>
              <w:rPr>
                <w:color w:val="auto"/>
              </w:rPr>
            </w:pPr>
            <w:r>
              <w:rPr>
                <w:color w:val="auto"/>
              </w:rPr>
              <w:t>0.2</w:t>
            </w:r>
          </w:p>
        </w:tc>
        <w:tc>
          <w:tcPr>
            <w:tcW w:w="739" w:type="pct"/>
            <w:vAlign w:val="center"/>
          </w:tcPr>
          <w:p w14:paraId="7EDCB5D1">
            <w:pPr>
              <w:pStyle w:val="16"/>
              <w:bidi w:val="0"/>
              <w:rPr>
                <w:color w:val="auto"/>
              </w:rPr>
            </w:pPr>
            <w:r>
              <w:rPr>
                <w:color w:val="auto"/>
              </w:rPr>
              <w:t>0.30424</w:t>
            </w:r>
          </w:p>
        </w:tc>
        <w:tc>
          <w:tcPr>
            <w:tcW w:w="927" w:type="pct"/>
            <w:vAlign w:val="center"/>
          </w:tcPr>
          <w:p w14:paraId="195807B0">
            <w:pPr>
              <w:pStyle w:val="16"/>
              <w:bidi w:val="0"/>
              <w:rPr>
                <w:color w:val="auto"/>
              </w:rPr>
            </w:pPr>
            <w:r>
              <w:rPr>
                <w:color w:val="auto"/>
              </w:rPr>
              <w:t>约为70</w:t>
            </w:r>
          </w:p>
        </w:tc>
      </w:tr>
      <w:tr w14:paraId="094AE3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vAlign w:val="center"/>
          </w:tcPr>
          <w:p w14:paraId="0CCE1639">
            <w:pPr>
              <w:pStyle w:val="16"/>
              <w:bidi w:val="0"/>
              <w:rPr>
                <w:color w:val="auto"/>
              </w:rPr>
            </w:pPr>
            <w:r>
              <w:rPr>
                <w:color w:val="auto"/>
              </w:rPr>
              <w:t>4</w:t>
            </w:r>
          </w:p>
        </w:tc>
        <w:tc>
          <w:tcPr>
            <w:tcW w:w="832" w:type="pct"/>
            <w:vAlign w:val="center"/>
          </w:tcPr>
          <w:p w14:paraId="43EC2EA0">
            <w:pPr>
              <w:pStyle w:val="16"/>
              <w:bidi w:val="0"/>
              <w:rPr>
                <w:color w:val="auto"/>
              </w:rPr>
            </w:pPr>
            <w:r>
              <w:rPr>
                <w:color w:val="auto"/>
              </w:rPr>
              <w:t>10</w:t>
            </w:r>
          </w:p>
        </w:tc>
        <w:tc>
          <w:tcPr>
            <w:tcW w:w="832" w:type="pct"/>
            <w:vAlign w:val="center"/>
          </w:tcPr>
          <w:p w14:paraId="5B88ECA9">
            <w:pPr>
              <w:pStyle w:val="16"/>
              <w:bidi w:val="0"/>
              <w:rPr>
                <w:color w:val="auto"/>
              </w:rPr>
            </w:pPr>
            <w:r>
              <w:rPr>
                <w:color w:val="auto"/>
              </w:rPr>
              <w:t>7.6029</w:t>
            </w:r>
          </w:p>
        </w:tc>
        <w:tc>
          <w:tcPr>
            <w:tcW w:w="833" w:type="pct"/>
            <w:vAlign w:val="center"/>
          </w:tcPr>
          <w:p w14:paraId="55954E5B">
            <w:pPr>
              <w:pStyle w:val="16"/>
              <w:bidi w:val="0"/>
              <w:rPr>
                <w:color w:val="auto"/>
              </w:rPr>
            </w:pPr>
            <w:r>
              <w:rPr>
                <w:color w:val="auto"/>
              </w:rPr>
              <w:t>0.7</w:t>
            </w:r>
          </w:p>
        </w:tc>
        <w:tc>
          <w:tcPr>
            <w:tcW w:w="739" w:type="pct"/>
            <w:vAlign w:val="center"/>
          </w:tcPr>
          <w:p w14:paraId="14774EF3">
            <w:pPr>
              <w:pStyle w:val="16"/>
              <w:bidi w:val="0"/>
              <w:rPr>
                <w:color w:val="auto"/>
              </w:rPr>
            </w:pPr>
            <w:r>
              <w:rPr>
                <w:color w:val="auto"/>
              </w:rPr>
              <w:t>1.0648</w:t>
            </w:r>
          </w:p>
        </w:tc>
        <w:tc>
          <w:tcPr>
            <w:tcW w:w="927" w:type="pct"/>
            <w:vAlign w:val="center"/>
          </w:tcPr>
          <w:p w14:paraId="0CE94641">
            <w:pPr>
              <w:pStyle w:val="16"/>
              <w:bidi w:val="0"/>
              <w:rPr>
                <w:color w:val="auto"/>
              </w:rPr>
            </w:pPr>
            <w:r>
              <w:rPr>
                <w:color w:val="auto"/>
              </w:rPr>
              <w:t>/</w:t>
            </w:r>
          </w:p>
        </w:tc>
      </w:tr>
      <w:tr w14:paraId="14AD4B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vAlign w:val="center"/>
          </w:tcPr>
          <w:p w14:paraId="4FDB5325">
            <w:pPr>
              <w:pStyle w:val="16"/>
              <w:bidi w:val="0"/>
              <w:rPr>
                <w:color w:val="auto"/>
              </w:rPr>
            </w:pPr>
            <w:r>
              <w:rPr>
                <w:color w:val="auto"/>
              </w:rPr>
              <w:t>5</w:t>
            </w:r>
          </w:p>
        </w:tc>
        <w:tc>
          <w:tcPr>
            <w:tcW w:w="832" w:type="pct"/>
            <w:vAlign w:val="center"/>
          </w:tcPr>
          <w:p w14:paraId="0D114F70">
            <w:pPr>
              <w:pStyle w:val="16"/>
              <w:bidi w:val="0"/>
              <w:rPr>
                <w:color w:val="auto"/>
              </w:rPr>
            </w:pPr>
            <w:r>
              <w:rPr>
                <w:color w:val="auto"/>
              </w:rPr>
              <w:t>40</w:t>
            </w:r>
          </w:p>
        </w:tc>
        <w:tc>
          <w:tcPr>
            <w:tcW w:w="832" w:type="pct"/>
            <w:vAlign w:val="center"/>
          </w:tcPr>
          <w:p w14:paraId="1A3C8301">
            <w:pPr>
              <w:pStyle w:val="16"/>
              <w:bidi w:val="0"/>
              <w:rPr>
                <w:color w:val="auto"/>
              </w:rPr>
            </w:pPr>
            <w:r>
              <w:rPr>
                <w:color w:val="auto"/>
              </w:rPr>
              <w:t>30.4114</w:t>
            </w:r>
          </w:p>
        </w:tc>
        <w:tc>
          <w:tcPr>
            <w:tcW w:w="833" w:type="pct"/>
            <w:vAlign w:val="center"/>
          </w:tcPr>
          <w:p w14:paraId="45F036E2">
            <w:pPr>
              <w:pStyle w:val="16"/>
              <w:bidi w:val="0"/>
              <w:rPr>
                <w:color w:val="auto"/>
              </w:rPr>
            </w:pPr>
            <w:r>
              <w:rPr>
                <w:color w:val="auto"/>
              </w:rPr>
              <w:t>8</w:t>
            </w:r>
          </w:p>
        </w:tc>
        <w:tc>
          <w:tcPr>
            <w:tcW w:w="739" w:type="pct"/>
            <w:vAlign w:val="center"/>
          </w:tcPr>
          <w:p w14:paraId="40381ACF">
            <w:pPr>
              <w:pStyle w:val="16"/>
              <w:bidi w:val="0"/>
              <w:rPr>
                <w:color w:val="auto"/>
              </w:rPr>
            </w:pPr>
            <w:r>
              <w:rPr>
                <w:color w:val="auto"/>
              </w:rPr>
              <w:t>12.16993</w:t>
            </w:r>
          </w:p>
        </w:tc>
        <w:tc>
          <w:tcPr>
            <w:tcW w:w="927" w:type="pct"/>
            <w:vAlign w:val="center"/>
          </w:tcPr>
          <w:p w14:paraId="63A30BAE">
            <w:pPr>
              <w:pStyle w:val="16"/>
              <w:bidi w:val="0"/>
              <w:rPr>
                <w:color w:val="auto"/>
              </w:rPr>
            </w:pPr>
            <w:r>
              <w:rPr>
                <w:color w:val="auto"/>
              </w:rPr>
              <w:t>/</w:t>
            </w:r>
          </w:p>
        </w:tc>
      </w:tr>
      <w:tr w14:paraId="54CDF6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vAlign w:val="center"/>
          </w:tcPr>
          <w:p w14:paraId="2E05B06A">
            <w:pPr>
              <w:pStyle w:val="16"/>
              <w:bidi w:val="0"/>
              <w:rPr>
                <w:color w:val="auto"/>
              </w:rPr>
            </w:pPr>
            <w:r>
              <w:rPr>
                <w:color w:val="auto"/>
              </w:rPr>
              <w:t>标注值</w:t>
            </w:r>
          </w:p>
        </w:tc>
        <w:tc>
          <w:tcPr>
            <w:tcW w:w="832" w:type="pct"/>
            <w:vAlign w:val="center"/>
          </w:tcPr>
          <w:p w14:paraId="6F640287">
            <w:pPr>
              <w:pStyle w:val="16"/>
              <w:bidi w:val="0"/>
              <w:rPr>
                <w:color w:val="auto"/>
              </w:rPr>
            </w:pPr>
            <w:r>
              <w:rPr>
                <w:color w:val="auto"/>
              </w:rPr>
              <w:t>/</w:t>
            </w:r>
          </w:p>
        </w:tc>
        <w:tc>
          <w:tcPr>
            <w:tcW w:w="832" w:type="pct"/>
            <w:vAlign w:val="center"/>
          </w:tcPr>
          <w:p w14:paraId="4AE7586F">
            <w:pPr>
              <w:pStyle w:val="16"/>
              <w:bidi w:val="0"/>
              <w:rPr>
                <w:color w:val="auto"/>
              </w:rPr>
            </w:pPr>
            <w:r>
              <w:rPr>
                <w:color w:val="auto"/>
              </w:rPr>
              <w:t>1.5</w:t>
            </w:r>
          </w:p>
        </w:tc>
        <w:tc>
          <w:tcPr>
            <w:tcW w:w="833" w:type="pct"/>
            <w:vAlign w:val="center"/>
          </w:tcPr>
          <w:p w14:paraId="3FDF8266">
            <w:pPr>
              <w:pStyle w:val="16"/>
              <w:bidi w:val="0"/>
              <w:rPr>
                <w:color w:val="auto"/>
              </w:rPr>
            </w:pPr>
            <w:r>
              <w:rPr>
                <w:color w:val="auto"/>
              </w:rPr>
              <w:t>/</w:t>
            </w:r>
          </w:p>
        </w:tc>
        <w:tc>
          <w:tcPr>
            <w:tcW w:w="739" w:type="pct"/>
            <w:vAlign w:val="center"/>
          </w:tcPr>
          <w:p w14:paraId="1DFD9DC4">
            <w:pPr>
              <w:pStyle w:val="16"/>
              <w:bidi w:val="0"/>
              <w:rPr>
                <w:color w:val="auto"/>
              </w:rPr>
            </w:pPr>
            <w:r>
              <w:rPr>
                <w:color w:val="auto"/>
              </w:rPr>
              <w:t>0.06</w:t>
            </w:r>
          </w:p>
        </w:tc>
        <w:tc>
          <w:tcPr>
            <w:tcW w:w="927" w:type="pct"/>
            <w:vAlign w:val="center"/>
          </w:tcPr>
          <w:p w14:paraId="488E621D">
            <w:pPr>
              <w:pStyle w:val="16"/>
              <w:bidi w:val="0"/>
              <w:rPr>
                <w:color w:val="auto"/>
              </w:rPr>
            </w:pPr>
            <w:r>
              <w:rPr>
                <w:color w:val="auto"/>
              </w:rPr>
              <w:t>20</w:t>
            </w:r>
          </w:p>
        </w:tc>
      </w:tr>
    </w:tbl>
    <w:p w14:paraId="6B438113">
      <w:pPr>
        <w:spacing w:before="120" w:beforeLines="50" w:line="360" w:lineRule="auto"/>
        <w:ind w:firstLine="480" w:firstLineChars="200"/>
        <w:rPr>
          <w:color w:val="auto"/>
        </w:rPr>
      </w:pPr>
      <w:r>
        <w:rPr>
          <w:rFonts w:ascii="Times New Roman" w:hAnsi="Times New Roman"/>
          <w:color w:val="auto"/>
          <w:sz w:val="24"/>
          <w:szCs w:val="24"/>
        </w:rPr>
        <w:t>根据预测结果，本项目NH</w:t>
      </w:r>
      <w:r>
        <w:rPr>
          <w:rFonts w:ascii="Times New Roman" w:hAnsi="Times New Roman"/>
          <w:color w:val="auto"/>
          <w:sz w:val="24"/>
          <w:szCs w:val="24"/>
          <w:vertAlign w:val="subscript"/>
        </w:rPr>
        <w:t>3</w:t>
      </w:r>
      <w:r>
        <w:rPr>
          <w:rFonts w:ascii="Times New Roman" w:hAnsi="Times New Roman"/>
          <w:color w:val="auto"/>
          <w:sz w:val="24"/>
          <w:szCs w:val="24"/>
        </w:rPr>
        <w:t>、H</w:t>
      </w:r>
      <w:r>
        <w:rPr>
          <w:rFonts w:ascii="Times New Roman" w:hAnsi="Times New Roman"/>
          <w:color w:val="auto"/>
          <w:sz w:val="24"/>
          <w:szCs w:val="24"/>
          <w:vertAlign w:val="subscript"/>
        </w:rPr>
        <w:t>2</w:t>
      </w:r>
      <w:r>
        <w:rPr>
          <w:rFonts w:ascii="Times New Roman" w:hAnsi="Times New Roman"/>
          <w:color w:val="auto"/>
          <w:sz w:val="24"/>
          <w:szCs w:val="24"/>
        </w:rPr>
        <w:t>S的最大浓度叠加后分别为</w:t>
      </w:r>
      <w:r>
        <w:rPr>
          <w:rFonts w:hint="eastAsia"/>
          <w:color w:val="auto"/>
          <w:sz w:val="24"/>
          <w:szCs w:val="24"/>
          <w:lang w:val="en-US" w:eastAsia="zh-CN"/>
        </w:rPr>
        <w:t>0.01733m</w:t>
      </w:r>
      <w:r>
        <w:rPr>
          <w:rFonts w:ascii="Times New Roman" w:hAnsi="Times New Roman"/>
          <w:color w:val="auto"/>
          <w:sz w:val="24"/>
          <w:szCs w:val="24"/>
        </w:rPr>
        <w:t>g/</w:t>
      </w:r>
      <w:r>
        <w:rPr>
          <w:rFonts w:hint="eastAsia" w:ascii="Times New Roman" w:hAnsi="Times New Roman"/>
          <w:color w:val="auto"/>
          <w:sz w:val="24"/>
          <w:szCs w:val="24"/>
          <w:lang w:eastAsia="zh-CN"/>
        </w:rPr>
        <w:t>m³</w:t>
      </w:r>
      <w:r>
        <w:rPr>
          <w:rFonts w:hint="eastAsia" w:ascii="Times New Roman" w:hAnsi="Times New Roman"/>
          <w:color w:val="auto"/>
          <w:sz w:val="24"/>
          <w:szCs w:val="24"/>
        </w:rPr>
        <w:t>、</w:t>
      </w:r>
      <w:r>
        <w:rPr>
          <w:rFonts w:hint="eastAsia"/>
          <w:color w:val="auto"/>
          <w:sz w:val="24"/>
          <w:szCs w:val="24"/>
          <w:lang w:val="en-US" w:eastAsia="zh-CN"/>
        </w:rPr>
        <w:t>0.00042m</w:t>
      </w:r>
      <w:r>
        <w:rPr>
          <w:rFonts w:ascii="Times New Roman" w:hAnsi="Times New Roman"/>
          <w:color w:val="auto"/>
          <w:sz w:val="24"/>
          <w:szCs w:val="24"/>
        </w:rPr>
        <w:t>g/</w:t>
      </w:r>
      <w:r>
        <w:rPr>
          <w:rFonts w:hint="eastAsia" w:ascii="Times New Roman" w:hAnsi="Times New Roman"/>
          <w:color w:val="auto"/>
          <w:sz w:val="24"/>
          <w:szCs w:val="24"/>
          <w:lang w:eastAsia="zh-CN"/>
        </w:rPr>
        <w:t>m³</w:t>
      </w:r>
      <w:r>
        <w:rPr>
          <w:rFonts w:ascii="Times New Roman" w:hAnsi="Times New Roman"/>
          <w:color w:val="auto"/>
          <w:sz w:val="24"/>
          <w:szCs w:val="24"/>
        </w:rPr>
        <w:t>，对比上表可知，厂界NH</w:t>
      </w:r>
      <w:r>
        <w:rPr>
          <w:rFonts w:ascii="Times New Roman" w:hAnsi="Times New Roman"/>
          <w:color w:val="auto"/>
          <w:sz w:val="24"/>
          <w:szCs w:val="24"/>
          <w:vertAlign w:val="subscript"/>
        </w:rPr>
        <w:t>3</w:t>
      </w:r>
      <w:r>
        <w:rPr>
          <w:rFonts w:ascii="Times New Roman" w:hAnsi="Times New Roman"/>
          <w:color w:val="auto"/>
          <w:sz w:val="24"/>
          <w:szCs w:val="24"/>
        </w:rPr>
        <w:t>、H</w:t>
      </w:r>
      <w:r>
        <w:rPr>
          <w:rFonts w:ascii="Times New Roman" w:hAnsi="Times New Roman"/>
          <w:color w:val="auto"/>
          <w:sz w:val="24"/>
          <w:szCs w:val="24"/>
          <w:vertAlign w:val="subscript"/>
        </w:rPr>
        <w:t>2</w:t>
      </w:r>
      <w:r>
        <w:rPr>
          <w:rFonts w:ascii="Times New Roman" w:hAnsi="Times New Roman"/>
          <w:color w:val="auto"/>
          <w:sz w:val="24"/>
          <w:szCs w:val="24"/>
        </w:rPr>
        <w:t xml:space="preserve">S </w:t>
      </w:r>
      <w:r>
        <w:rPr>
          <w:rFonts w:hint="eastAsia" w:ascii="Times New Roman" w:hAnsi="Times New Roman"/>
          <w:color w:val="auto"/>
          <w:sz w:val="24"/>
          <w:szCs w:val="24"/>
        </w:rPr>
        <w:t>达到</w:t>
      </w:r>
      <w:r>
        <w:rPr>
          <w:rFonts w:hint="eastAsia"/>
          <w:color w:val="auto"/>
          <w:sz w:val="24"/>
          <w:szCs w:val="24"/>
          <w:lang w:val="en-US" w:eastAsia="zh-CN"/>
        </w:rPr>
        <w:t>1</w:t>
      </w:r>
      <w:r>
        <w:rPr>
          <w:rFonts w:ascii="Times New Roman" w:hAnsi="Times New Roman"/>
          <w:color w:val="auto"/>
          <w:sz w:val="24"/>
          <w:szCs w:val="24"/>
        </w:rPr>
        <w:t>级臭气强度标准</w:t>
      </w:r>
      <w:r>
        <w:rPr>
          <w:rFonts w:hint="eastAsia" w:ascii="Times New Roman" w:hAnsi="Times New Roman"/>
          <w:color w:val="auto"/>
          <w:sz w:val="24"/>
          <w:szCs w:val="24"/>
        </w:rPr>
        <w:t>，</w:t>
      </w:r>
      <w:r>
        <w:rPr>
          <w:rFonts w:ascii="Times New Roman" w:hAnsi="Times New Roman"/>
          <w:color w:val="auto"/>
          <w:sz w:val="24"/>
          <w:szCs w:val="24"/>
        </w:rPr>
        <w:t>满足标准限值要求（臭气浓度限值20）。因此，本项目厂界环境臭气强度为人们可接受水平。</w:t>
      </w:r>
    </w:p>
    <w:p w14:paraId="033CB3CE">
      <w:pPr>
        <w:pStyle w:val="10"/>
        <w:keepNext/>
        <w:keepLines/>
        <w:pageBreakBefore w:val="0"/>
        <w:widowControl w:val="0"/>
        <w:kinsoku/>
        <w:wordWrap/>
        <w:overflowPunct/>
        <w:topLinePunct w:val="0"/>
        <w:autoSpaceDE/>
        <w:autoSpaceDN/>
        <w:bidi w:val="0"/>
        <w:adjustRightInd/>
        <w:snapToGrid/>
        <w:spacing w:before="157" w:beforeLines="50"/>
        <w:textAlignment w:val="auto"/>
        <w:rPr>
          <w:color w:val="auto"/>
        </w:rPr>
      </w:pPr>
      <w:r>
        <w:rPr>
          <w:color w:val="auto"/>
        </w:rPr>
        <w:t>大气环境防护距离及卫生防护距离</w:t>
      </w:r>
    </w:p>
    <w:p w14:paraId="08E498DA">
      <w:pPr>
        <w:bidi w:val="0"/>
        <w:rPr>
          <w:b/>
          <w:bCs/>
          <w:color w:val="auto"/>
        </w:rPr>
      </w:pPr>
      <w:r>
        <w:rPr>
          <w:b/>
          <w:bCs/>
          <w:color w:val="auto"/>
        </w:rPr>
        <w:t>（1）大气环境防护距离</w:t>
      </w:r>
    </w:p>
    <w:p w14:paraId="33EFBCE9">
      <w:pPr>
        <w:bidi w:val="0"/>
        <w:rPr>
          <w:rFonts w:hint="eastAsia"/>
          <w:color w:val="auto"/>
        </w:rPr>
      </w:pPr>
      <w:r>
        <w:rPr>
          <w:rFonts w:hint="eastAsia"/>
          <w:color w:val="auto"/>
        </w:rPr>
        <w:t>根据《环境影响评价技术导则  大气环境》（HJ2.2-2018）中“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w:t>
      </w:r>
      <w:r>
        <w:rPr>
          <w:rFonts w:hint="eastAsia"/>
          <w:color w:val="auto"/>
          <w:lang w:eastAsia="zh-CN"/>
        </w:rPr>
        <w:t>标</w:t>
      </w:r>
      <w:r>
        <w:rPr>
          <w:rFonts w:hint="eastAsia"/>
          <w:color w:val="auto"/>
        </w:rPr>
        <w:t>准”的要求。根据本项目预测结果可知，本项目有组织和无组织排放最大落地浓度均没超过《环境空气质量标准》（GB3095-2012）或《环境影响评价技术导则 大气环境》（HJ2.2-2018）中“附录D”相应标准限值要求。因此本项目无需设置大气环境防护距离。</w:t>
      </w:r>
    </w:p>
    <w:p w14:paraId="0ED50B87">
      <w:pPr>
        <w:bidi w:val="0"/>
        <w:rPr>
          <w:b/>
          <w:bCs/>
          <w:color w:val="auto"/>
        </w:rPr>
      </w:pPr>
      <w:r>
        <w:rPr>
          <w:b/>
          <w:bCs/>
          <w:color w:val="auto"/>
        </w:rPr>
        <w:t>（2）卫生防护距离</w:t>
      </w:r>
    </w:p>
    <w:p w14:paraId="61837B4F">
      <w:pPr>
        <w:bidi w:val="0"/>
        <w:rPr>
          <w:color w:val="auto"/>
        </w:rPr>
      </w:pPr>
      <w:r>
        <w:rPr>
          <w:rFonts w:hint="eastAsia"/>
          <w:color w:val="auto"/>
        </w:rPr>
        <w:t>本次评价采用《大气有害物质无组织排放卫生防护距离推导技术导则》（GB/T39499-2020）所确定的方法进行卫生防护距离计算</w:t>
      </w:r>
      <w:r>
        <w:rPr>
          <w:color w:val="auto"/>
        </w:rPr>
        <w:t>：</w:t>
      </w:r>
    </w:p>
    <w:p w14:paraId="76BEE972">
      <w:pPr>
        <w:bidi w:val="0"/>
        <w:rPr>
          <w:color w:val="auto"/>
        </w:rPr>
      </w:pPr>
      <w:r>
        <w:rPr>
          <w:color w:val="auto"/>
        </w:rPr>
        <w:t>卫生防护距离计算模式：</w:t>
      </w:r>
    </w:p>
    <w:p w14:paraId="430DDC00">
      <w:pPr>
        <w:pageBreakBefore w:val="0"/>
        <w:wordWrap/>
        <w:bidi w:val="0"/>
        <w:adjustRightInd/>
        <w:snapToGrid/>
        <w:spacing w:after="120"/>
        <w:ind w:left="480" w:leftChars="200" w:firstLine="0" w:firstLineChars="0"/>
        <w:jc w:val="center"/>
        <w:rPr>
          <w:color w:val="auto"/>
          <w:sz w:val="21"/>
        </w:rPr>
      </w:pPr>
      <w:r>
        <w:rPr>
          <w:color w:val="auto"/>
        </w:rPr>
        <w:drawing>
          <wp:inline distT="0" distB="0" distL="114300" distR="114300">
            <wp:extent cx="2133600" cy="514350"/>
            <wp:effectExtent l="0" t="0" r="0" b="0"/>
            <wp:docPr id="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
                    <pic:cNvPicPr>
                      <a:picLocks noChangeAspect="1"/>
                    </pic:cNvPicPr>
                  </pic:nvPicPr>
                  <pic:blipFill>
                    <a:blip r:embed="rId89"/>
                    <a:stretch>
                      <a:fillRect/>
                    </a:stretch>
                  </pic:blipFill>
                  <pic:spPr>
                    <a:xfrm>
                      <a:off x="0" y="0"/>
                      <a:ext cx="2133600" cy="514350"/>
                    </a:xfrm>
                    <a:prstGeom prst="rect">
                      <a:avLst/>
                    </a:prstGeom>
                    <a:noFill/>
                    <a:ln>
                      <a:noFill/>
                    </a:ln>
                  </pic:spPr>
                </pic:pic>
              </a:graphicData>
            </a:graphic>
          </wp:inline>
        </w:drawing>
      </w:r>
    </w:p>
    <w:p w14:paraId="62CD3F81">
      <w:pPr>
        <w:pageBreakBefore w:val="0"/>
        <w:wordWrap/>
        <w:bidi w:val="0"/>
        <w:adjustRightInd/>
        <w:snapToGrid/>
        <w:ind w:firstLine="480"/>
        <w:rPr>
          <w:color w:val="auto"/>
        </w:rPr>
      </w:pPr>
      <w:r>
        <w:rPr>
          <w:color w:val="auto"/>
        </w:rPr>
        <w:t>式中：C</w:t>
      </w:r>
      <w:r>
        <w:rPr>
          <w:color w:val="auto"/>
          <w:vertAlign w:val="subscript"/>
        </w:rPr>
        <w:t>m</w:t>
      </w:r>
      <w:r>
        <w:rPr>
          <w:color w:val="auto"/>
        </w:rPr>
        <w:t>——标准浓度限值，mg/</w:t>
      </w:r>
      <w:r>
        <w:rPr>
          <w:rFonts w:hint="eastAsia"/>
          <w:color w:val="auto"/>
          <w:lang w:eastAsia="zh-CN"/>
        </w:rPr>
        <w:t>m³</w:t>
      </w:r>
      <w:r>
        <w:rPr>
          <w:color w:val="auto"/>
        </w:rPr>
        <w:t>；</w:t>
      </w:r>
    </w:p>
    <w:p w14:paraId="47EC8968">
      <w:pPr>
        <w:pageBreakBefore w:val="0"/>
        <w:wordWrap/>
        <w:bidi w:val="0"/>
        <w:adjustRightInd/>
        <w:snapToGrid/>
        <w:ind w:firstLine="1200" w:firstLineChars="500"/>
        <w:rPr>
          <w:color w:val="auto"/>
        </w:rPr>
      </w:pPr>
      <w:r>
        <w:rPr>
          <w:color w:val="auto"/>
        </w:rPr>
        <w:t>Q</w:t>
      </w:r>
      <w:r>
        <w:rPr>
          <w:color w:val="auto"/>
          <w:vertAlign w:val="subscript"/>
        </w:rPr>
        <w:t>c</w:t>
      </w:r>
      <w:r>
        <w:rPr>
          <w:color w:val="auto"/>
        </w:rPr>
        <w:t>——有害气体无组织排放量，kg/h；</w:t>
      </w:r>
    </w:p>
    <w:p w14:paraId="301CA510">
      <w:pPr>
        <w:pageBreakBefore w:val="0"/>
        <w:wordWrap/>
        <w:bidi w:val="0"/>
        <w:adjustRightInd/>
        <w:snapToGrid/>
        <w:ind w:firstLine="1200" w:firstLineChars="500"/>
        <w:rPr>
          <w:color w:val="auto"/>
        </w:rPr>
      </w:pPr>
      <w:r>
        <w:rPr>
          <w:color w:val="auto"/>
        </w:rPr>
        <w:t>L——工业企业所需卫生防护距离，m；</w:t>
      </w:r>
    </w:p>
    <w:p w14:paraId="1264A049">
      <w:pPr>
        <w:pageBreakBefore w:val="0"/>
        <w:wordWrap/>
        <w:bidi w:val="0"/>
        <w:adjustRightInd/>
        <w:snapToGrid/>
        <w:ind w:firstLine="1200" w:firstLineChars="500"/>
        <w:rPr>
          <w:color w:val="auto"/>
        </w:rPr>
      </w:pPr>
      <w:r>
        <w:rPr>
          <w:color w:val="auto"/>
        </w:rPr>
        <w:t>r——</w:t>
      </w:r>
      <w:r>
        <w:rPr>
          <w:rFonts w:hint="eastAsia"/>
          <w:color w:val="auto"/>
        </w:rPr>
        <w:t>有害气体无组织排放源所在生产单元的等效半径，m。根据该生产单元占地面积S（</w:t>
      </w:r>
      <w:r>
        <w:rPr>
          <w:rFonts w:hint="eastAsia"/>
          <w:color w:val="auto"/>
          <w:lang w:eastAsia="zh-CN"/>
        </w:rPr>
        <w:t>m²</w:t>
      </w:r>
      <w:r>
        <w:rPr>
          <w:rFonts w:hint="eastAsia"/>
          <w:color w:val="auto"/>
        </w:rPr>
        <w:t>）计算，r=（S/п）</w:t>
      </w:r>
      <w:r>
        <w:rPr>
          <w:rFonts w:hint="eastAsia"/>
          <w:color w:val="auto"/>
          <w:vertAlign w:val="superscript"/>
        </w:rPr>
        <w:t>0.5</w:t>
      </w:r>
      <w:r>
        <w:rPr>
          <w:rFonts w:hint="eastAsia"/>
          <w:color w:val="auto"/>
        </w:rPr>
        <w:t>；</w:t>
      </w:r>
    </w:p>
    <w:p w14:paraId="36594BA4">
      <w:pPr>
        <w:pStyle w:val="506"/>
        <w:keepNext w:val="0"/>
        <w:keepLines w:val="0"/>
        <w:pageBreakBefore w:val="0"/>
        <w:widowControl/>
        <w:suppressLineNumbers w:val="0"/>
        <w:kinsoku/>
        <w:wordWrap/>
        <w:topLinePunct w:val="0"/>
        <w:bidi w:val="0"/>
        <w:adjustRightInd/>
        <w:snapToGrid/>
        <w:spacing w:before="0" w:beforeAutospacing="0" w:after="0" w:afterAutospacing="0"/>
        <w:ind w:left="0" w:right="0" w:firstLine="480"/>
        <w:rPr>
          <w:rFonts w:hint="default" w:ascii="Times New Roman" w:hAnsi="Times New Roman" w:eastAsia="宋体" w:cs="Times New Roman"/>
          <w:color w:val="auto"/>
          <w:sz w:val="24"/>
        </w:rPr>
      </w:pPr>
      <w:r>
        <w:rPr>
          <w:rFonts w:hint="eastAsia"/>
          <w:color w:val="auto"/>
        </w:rPr>
        <w:t>B</w:t>
      </w:r>
      <w:r>
        <w:rPr>
          <w:rFonts w:hint="eastAsia"/>
          <w:color w:val="auto"/>
          <w:lang w:eastAsia="zh-CN"/>
        </w:rPr>
        <w:t>.</w:t>
      </w:r>
      <w:r>
        <w:rPr>
          <w:rFonts w:hint="eastAsia"/>
          <w:color w:val="auto"/>
        </w:rPr>
        <w:t>C、D——卫生防护距离计算系数</w:t>
      </w:r>
      <w:r>
        <w:rPr>
          <w:rFonts w:hint="eastAsia"/>
          <w:color w:val="auto"/>
          <w:lang w:eastAsia="zh-CN"/>
        </w:rPr>
        <w:t>。</w:t>
      </w:r>
      <w:r>
        <w:rPr>
          <w:rFonts w:hint="default" w:ascii="Times New Roman" w:hAnsi="Times New Roman" w:eastAsia="宋体" w:cs="Times New Roman"/>
          <w:color w:val="auto"/>
          <w:szCs w:val="24"/>
        </w:rPr>
        <w:t>由《大气有害物质无组织排放卫生防护距离推导技术导则（GB/T39499-2020）》中表1查取。</w:t>
      </w:r>
    </w:p>
    <w:p w14:paraId="7C08B764">
      <w:pPr>
        <w:pStyle w:val="19"/>
        <w:numPr>
          <w:ilvl w:val="0"/>
          <w:numId w:val="31"/>
        </w:numPr>
        <w:bidi w:val="0"/>
        <w:ind w:left="1440" w:leftChars="0" w:firstLine="0" w:firstLineChars="0"/>
        <w:rPr>
          <w:rFonts w:hint="default"/>
          <w:color w:val="auto"/>
        </w:rPr>
      </w:pPr>
      <w:r>
        <w:rPr>
          <w:rFonts w:hint="default"/>
          <w:color w:val="auto"/>
        </w:rPr>
        <w:t>卫生防护距离初值计算系数</w:t>
      </w:r>
    </w:p>
    <w:tbl>
      <w:tblPr>
        <w:tblStyle w:val="5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272"/>
        <w:gridCol w:w="1135"/>
        <w:gridCol w:w="703"/>
        <w:gridCol w:w="703"/>
        <w:gridCol w:w="713"/>
        <w:gridCol w:w="703"/>
        <w:gridCol w:w="703"/>
        <w:gridCol w:w="713"/>
        <w:gridCol w:w="703"/>
        <w:gridCol w:w="703"/>
        <w:gridCol w:w="731"/>
      </w:tblGrid>
      <w:tr w14:paraId="3D6D7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restart"/>
            <w:tcBorders>
              <w:top w:val="single" w:color="auto" w:sz="12" w:space="0"/>
              <w:left w:val="nil"/>
              <w:bottom w:val="single" w:color="auto" w:sz="6" w:space="0"/>
              <w:right w:val="single" w:color="auto" w:sz="6" w:space="0"/>
            </w:tcBorders>
            <w:noWrap w:val="0"/>
            <w:vAlign w:val="center"/>
          </w:tcPr>
          <w:p w14:paraId="6DD262A5">
            <w:pPr>
              <w:pStyle w:val="16"/>
              <w:bidi w:val="0"/>
              <w:rPr>
                <w:rFonts w:hint="default"/>
                <w:b/>
                <w:bCs/>
                <w:color w:val="auto"/>
              </w:rPr>
            </w:pPr>
            <w:r>
              <w:rPr>
                <w:rFonts w:hint="default"/>
                <w:b/>
                <w:bCs/>
                <w:color w:val="auto"/>
              </w:rPr>
              <w:t>卫生防护距离初值计算系数</w:t>
            </w:r>
          </w:p>
        </w:tc>
        <w:tc>
          <w:tcPr>
            <w:tcW w:w="647" w:type="pct"/>
            <w:vMerge w:val="restart"/>
            <w:tcBorders>
              <w:top w:val="single" w:color="auto" w:sz="12" w:space="0"/>
              <w:left w:val="single" w:color="auto" w:sz="6" w:space="0"/>
              <w:bottom w:val="single" w:color="auto" w:sz="6" w:space="0"/>
              <w:right w:val="single" w:color="auto" w:sz="6" w:space="0"/>
            </w:tcBorders>
            <w:noWrap w:val="0"/>
            <w:vAlign w:val="center"/>
          </w:tcPr>
          <w:p w14:paraId="7C9603E4">
            <w:pPr>
              <w:pStyle w:val="16"/>
              <w:bidi w:val="0"/>
              <w:rPr>
                <w:rFonts w:hint="default"/>
                <w:b/>
                <w:bCs/>
                <w:color w:val="auto"/>
              </w:rPr>
            </w:pPr>
            <w:r>
              <w:rPr>
                <w:rFonts w:hint="default"/>
                <w:b/>
                <w:bCs/>
                <w:color w:val="auto"/>
              </w:rPr>
              <w:t>工业企业所在地区近5年平均风速m/s</w:t>
            </w:r>
          </w:p>
        </w:tc>
        <w:tc>
          <w:tcPr>
            <w:tcW w:w="3626" w:type="pct"/>
            <w:gridSpan w:val="9"/>
            <w:tcBorders>
              <w:top w:val="single" w:color="auto" w:sz="12" w:space="0"/>
              <w:left w:val="single" w:color="auto" w:sz="6" w:space="0"/>
              <w:bottom w:val="single" w:color="auto" w:sz="6" w:space="0"/>
              <w:right w:val="nil"/>
            </w:tcBorders>
            <w:noWrap w:val="0"/>
            <w:vAlign w:val="center"/>
          </w:tcPr>
          <w:p w14:paraId="13914466">
            <w:pPr>
              <w:pStyle w:val="16"/>
              <w:bidi w:val="0"/>
              <w:rPr>
                <w:rFonts w:hint="default"/>
                <w:b/>
                <w:bCs/>
                <w:color w:val="auto"/>
              </w:rPr>
            </w:pPr>
            <w:r>
              <w:rPr>
                <w:rFonts w:hint="default"/>
                <w:b/>
                <w:bCs/>
                <w:color w:val="auto"/>
              </w:rPr>
              <w:t>卫生防护距离L，m</w:t>
            </w:r>
          </w:p>
        </w:tc>
      </w:tr>
      <w:tr w14:paraId="19216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continue"/>
            <w:tcBorders>
              <w:top w:val="single" w:color="auto" w:sz="12" w:space="0"/>
              <w:left w:val="nil"/>
              <w:bottom w:val="single" w:color="auto" w:sz="6" w:space="0"/>
              <w:right w:val="single" w:color="auto" w:sz="6" w:space="0"/>
            </w:tcBorders>
            <w:noWrap w:val="0"/>
            <w:vAlign w:val="center"/>
          </w:tcPr>
          <w:p w14:paraId="65008E9D">
            <w:pPr>
              <w:pStyle w:val="16"/>
              <w:bidi w:val="0"/>
              <w:rPr>
                <w:rFonts w:hint="default"/>
                <w:b/>
                <w:bCs/>
                <w:color w:val="auto"/>
              </w:rPr>
            </w:pPr>
          </w:p>
        </w:tc>
        <w:tc>
          <w:tcPr>
            <w:tcW w:w="647" w:type="pct"/>
            <w:vMerge w:val="continue"/>
            <w:tcBorders>
              <w:top w:val="single" w:color="auto" w:sz="12" w:space="0"/>
              <w:left w:val="single" w:color="auto" w:sz="6" w:space="0"/>
              <w:bottom w:val="single" w:color="auto" w:sz="6" w:space="0"/>
              <w:right w:val="single" w:color="auto" w:sz="6" w:space="0"/>
            </w:tcBorders>
            <w:noWrap w:val="0"/>
            <w:vAlign w:val="center"/>
          </w:tcPr>
          <w:p w14:paraId="6EDFF436">
            <w:pPr>
              <w:pStyle w:val="16"/>
              <w:bidi w:val="0"/>
              <w:rPr>
                <w:rFonts w:hint="default"/>
                <w:b/>
                <w:bCs/>
                <w:color w:val="auto"/>
              </w:rPr>
            </w:pP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2D30AA65">
            <w:pPr>
              <w:pStyle w:val="16"/>
              <w:bidi w:val="0"/>
              <w:rPr>
                <w:rFonts w:hint="default"/>
                <w:b/>
                <w:bCs/>
                <w:color w:val="auto"/>
              </w:rPr>
            </w:pPr>
            <w:r>
              <w:rPr>
                <w:rFonts w:hint="default"/>
                <w:b/>
                <w:bCs/>
                <w:color w:val="auto"/>
              </w:rPr>
              <w:t>L≤1000</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0ABB5A29">
            <w:pPr>
              <w:pStyle w:val="16"/>
              <w:bidi w:val="0"/>
              <w:rPr>
                <w:rFonts w:hint="default"/>
                <w:b/>
                <w:bCs/>
                <w:color w:val="auto"/>
              </w:rPr>
            </w:pPr>
            <w:r>
              <w:rPr>
                <w:rFonts w:hint="default"/>
                <w:b/>
                <w:bCs/>
                <w:color w:val="auto"/>
              </w:rPr>
              <w:t>1000＜L≤2000</w:t>
            </w:r>
          </w:p>
        </w:tc>
        <w:tc>
          <w:tcPr>
            <w:tcW w:w="1213" w:type="pct"/>
            <w:gridSpan w:val="3"/>
            <w:tcBorders>
              <w:top w:val="single" w:color="auto" w:sz="6" w:space="0"/>
              <w:left w:val="single" w:color="auto" w:sz="6" w:space="0"/>
              <w:bottom w:val="single" w:color="auto" w:sz="6" w:space="0"/>
              <w:right w:val="nil"/>
            </w:tcBorders>
            <w:noWrap w:val="0"/>
            <w:vAlign w:val="center"/>
          </w:tcPr>
          <w:p w14:paraId="01E1F05A">
            <w:pPr>
              <w:pStyle w:val="16"/>
              <w:bidi w:val="0"/>
              <w:rPr>
                <w:rFonts w:hint="default"/>
                <w:b/>
                <w:bCs/>
                <w:color w:val="auto"/>
              </w:rPr>
            </w:pPr>
            <w:r>
              <w:rPr>
                <w:rFonts w:hint="default"/>
                <w:b/>
                <w:bCs/>
                <w:color w:val="auto"/>
              </w:rPr>
              <w:t>L＞2000</w:t>
            </w:r>
          </w:p>
        </w:tc>
      </w:tr>
      <w:tr w14:paraId="10F6E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continue"/>
            <w:tcBorders>
              <w:top w:val="single" w:color="auto" w:sz="12" w:space="0"/>
              <w:left w:val="nil"/>
              <w:bottom w:val="single" w:color="auto" w:sz="6" w:space="0"/>
              <w:right w:val="single" w:color="auto" w:sz="6" w:space="0"/>
            </w:tcBorders>
            <w:noWrap w:val="0"/>
            <w:vAlign w:val="center"/>
          </w:tcPr>
          <w:p w14:paraId="7D00AD25">
            <w:pPr>
              <w:pStyle w:val="16"/>
              <w:bidi w:val="0"/>
              <w:rPr>
                <w:rFonts w:hint="default"/>
                <w:b/>
                <w:bCs/>
                <w:color w:val="auto"/>
              </w:rPr>
            </w:pPr>
          </w:p>
        </w:tc>
        <w:tc>
          <w:tcPr>
            <w:tcW w:w="647" w:type="pct"/>
            <w:vMerge w:val="continue"/>
            <w:tcBorders>
              <w:top w:val="single" w:color="auto" w:sz="12" w:space="0"/>
              <w:left w:val="single" w:color="auto" w:sz="6" w:space="0"/>
              <w:bottom w:val="single" w:color="auto" w:sz="6" w:space="0"/>
              <w:right w:val="single" w:color="auto" w:sz="6" w:space="0"/>
            </w:tcBorders>
            <w:noWrap w:val="0"/>
            <w:vAlign w:val="center"/>
          </w:tcPr>
          <w:p w14:paraId="2F7523A1">
            <w:pPr>
              <w:pStyle w:val="16"/>
              <w:bidi w:val="0"/>
              <w:rPr>
                <w:rFonts w:hint="default"/>
                <w:b/>
                <w:bCs/>
                <w:color w:val="auto"/>
              </w:rPr>
            </w:pPr>
          </w:p>
        </w:tc>
        <w:tc>
          <w:tcPr>
            <w:tcW w:w="3626" w:type="pct"/>
            <w:gridSpan w:val="9"/>
            <w:tcBorders>
              <w:top w:val="single" w:color="auto" w:sz="6" w:space="0"/>
              <w:left w:val="single" w:color="auto" w:sz="6" w:space="0"/>
              <w:bottom w:val="single" w:color="auto" w:sz="6" w:space="0"/>
              <w:right w:val="nil"/>
            </w:tcBorders>
            <w:noWrap w:val="0"/>
            <w:vAlign w:val="center"/>
          </w:tcPr>
          <w:p w14:paraId="4FBF56AD">
            <w:pPr>
              <w:pStyle w:val="16"/>
              <w:bidi w:val="0"/>
              <w:rPr>
                <w:rFonts w:hint="default"/>
                <w:b/>
                <w:bCs/>
                <w:color w:val="auto"/>
              </w:rPr>
            </w:pPr>
            <w:r>
              <w:rPr>
                <w:rFonts w:hint="default"/>
                <w:b/>
                <w:bCs/>
                <w:color w:val="auto"/>
              </w:rPr>
              <w:t>工业企业大气污染源构成类别</w:t>
            </w:r>
          </w:p>
        </w:tc>
      </w:tr>
      <w:tr w14:paraId="78115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continue"/>
            <w:tcBorders>
              <w:top w:val="single" w:color="auto" w:sz="12" w:space="0"/>
              <w:left w:val="nil"/>
              <w:bottom w:val="single" w:color="000000" w:sz="12" w:space="0"/>
              <w:right w:val="single" w:color="auto" w:sz="6" w:space="0"/>
            </w:tcBorders>
            <w:noWrap w:val="0"/>
            <w:vAlign w:val="center"/>
          </w:tcPr>
          <w:p w14:paraId="2CC65B69">
            <w:pPr>
              <w:pStyle w:val="16"/>
              <w:bidi w:val="0"/>
              <w:rPr>
                <w:rFonts w:hint="default"/>
                <w:b/>
                <w:bCs/>
                <w:color w:val="auto"/>
              </w:rPr>
            </w:pPr>
          </w:p>
        </w:tc>
        <w:tc>
          <w:tcPr>
            <w:tcW w:w="647" w:type="pct"/>
            <w:vMerge w:val="continue"/>
            <w:tcBorders>
              <w:top w:val="single" w:color="auto" w:sz="12" w:space="0"/>
              <w:left w:val="single" w:color="auto" w:sz="6" w:space="0"/>
              <w:bottom w:val="single" w:color="000000" w:sz="12" w:space="0"/>
              <w:right w:val="single" w:color="auto" w:sz="6" w:space="0"/>
            </w:tcBorders>
            <w:noWrap w:val="0"/>
            <w:vAlign w:val="center"/>
          </w:tcPr>
          <w:p w14:paraId="44B2814A">
            <w:pPr>
              <w:pStyle w:val="16"/>
              <w:bidi w:val="0"/>
              <w:rPr>
                <w:rFonts w:hint="default"/>
                <w:b/>
                <w:bCs/>
                <w:color w:val="auto"/>
              </w:rPr>
            </w:pPr>
          </w:p>
        </w:tc>
        <w:tc>
          <w:tcPr>
            <w:tcW w:w="400" w:type="pct"/>
            <w:tcBorders>
              <w:top w:val="single" w:color="auto" w:sz="6" w:space="0"/>
              <w:left w:val="single" w:color="auto" w:sz="6" w:space="0"/>
              <w:bottom w:val="single" w:color="000000" w:sz="12" w:space="0"/>
              <w:right w:val="single" w:color="auto" w:sz="6" w:space="0"/>
            </w:tcBorders>
            <w:noWrap w:val="0"/>
            <w:vAlign w:val="center"/>
          </w:tcPr>
          <w:p w14:paraId="4FD7710B">
            <w:pPr>
              <w:pStyle w:val="16"/>
              <w:bidi w:val="0"/>
              <w:rPr>
                <w:rFonts w:hint="default"/>
                <w:b/>
                <w:bCs/>
                <w:color w:val="auto"/>
              </w:rPr>
            </w:pPr>
            <w:r>
              <w:rPr>
                <w:rFonts w:hint="default"/>
                <w:b/>
                <w:bCs/>
                <w:color w:val="auto"/>
              </w:rPr>
              <w:t>Ⅰ</w:t>
            </w:r>
          </w:p>
        </w:tc>
        <w:tc>
          <w:tcPr>
            <w:tcW w:w="400" w:type="pct"/>
            <w:tcBorders>
              <w:top w:val="single" w:color="auto" w:sz="6" w:space="0"/>
              <w:left w:val="single" w:color="auto" w:sz="6" w:space="0"/>
              <w:bottom w:val="single" w:color="000000" w:sz="12" w:space="0"/>
              <w:right w:val="single" w:color="auto" w:sz="6" w:space="0"/>
            </w:tcBorders>
            <w:noWrap w:val="0"/>
            <w:vAlign w:val="center"/>
          </w:tcPr>
          <w:p w14:paraId="328336CD">
            <w:pPr>
              <w:pStyle w:val="16"/>
              <w:bidi w:val="0"/>
              <w:rPr>
                <w:rFonts w:hint="default"/>
                <w:b/>
                <w:bCs/>
                <w:color w:val="auto"/>
              </w:rPr>
            </w:pPr>
            <w:r>
              <w:rPr>
                <w:rFonts w:hint="default"/>
                <w:b/>
                <w:bCs/>
                <w:color w:val="auto"/>
              </w:rPr>
              <w:t>Ⅱ</w:t>
            </w:r>
          </w:p>
        </w:tc>
        <w:tc>
          <w:tcPr>
            <w:tcW w:w="405" w:type="pct"/>
            <w:tcBorders>
              <w:top w:val="single" w:color="auto" w:sz="6" w:space="0"/>
              <w:left w:val="single" w:color="auto" w:sz="6" w:space="0"/>
              <w:bottom w:val="single" w:color="000000" w:sz="12" w:space="0"/>
              <w:right w:val="single" w:color="auto" w:sz="6" w:space="0"/>
            </w:tcBorders>
            <w:noWrap w:val="0"/>
            <w:vAlign w:val="center"/>
          </w:tcPr>
          <w:p w14:paraId="0CF1EB60">
            <w:pPr>
              <w:pStyle w:val="16"/>
              <w:bidi w:val="0"/>
              <w:rPr>
                <w:rFonts w:hint="default"/>
                <w:b/>
                <w:bCs/>
                <w:color w:val="auto"/>
              </w:rPr>
            </w:pPr>
            <w:r>
              <w:rPr>
                <w:rFonts w:hint="default"/>
                <w:b/>
                <w:bCs/>
                <w:color w:val="auto"/>
              </w:rPr>
              <w:t>Ⅲ</w:t>
            </w:r>
          </w:p>
        </w:tc>
        <w:tc>
          <w:tcPr>
            <w:tcW w:w="400" w:type="pct"/>
            <w:tcBorders>
              <w:top w:val="single" w:color="auto" w:sz="6" w:space="0"/>
              <w:left w:val="single" w:color="auto" w:sz="6" w:space="0"/>
              <w:bottom w:val="single" w:color="000000" w:sz="12" w:space="0"/>
              <w:right w:val="single" w:color="auto" w:sz="6" w:space="0"/>
            </w:tcBorders>
            <w:noWrap w:val="0"/>
            <w:vAlign w:val="center"/>
          </w:tcPr>
          <w:p w14:paraId="1D3C8A16">
            <w:pPr>
              <w:pStyle w:val="16"/>
              <w:bidi w:val="0"/>
              <w:rPr>
                <w:rFonts w:hint="default"/>
                <w:b/>
                <w:bCs/>
                <w:color w:val="auto"/>
              </w:rPr>
            </w:pPr>
            <w:r>
              <w:rPr>
                <w:rFonts w:hint="default"/>
                <w:b/>
                <w:bCs/>
                <w:color w:val="auto"/>
              </w:rPr>
              <w:t>Ⅰ</w:t>
            </w:r>
          </w:p>
        </w:tc>
        <w:tc>
          <w:tcPr>
            <w:tcW w:w="400" w:type="pct"/>
            <w:tcBorders>
              <w:top w:val="single" w:color="auto" w:sz="6" w:space="0"/>
              <w:left w:val="single" w:color="auto" w:sz="6" w:space="0"/>
              <w:bottom w:val="single" w:color="000000" w:sz="12" w:space="0"/>
              <w:right w:val="single" w:color="auto" w:sz="6" w:space="0"/>
            </w:tcBorders>
            <w:noWrap w:val="0"/>
            <w:vAlign w:val="center"/>
          </w:tcPr>
          <w:p w14:paraId="05073498">
            <w:pPr>
              <w:pStyle w:val="16"/>
              <w:bidi w:val="0"/>
              <w:rPr>
                <w:rFonts w:hint="default"/>
                <w:b/>
                <w:bCs/>
                <w:color w:val="auto"/>
              </w:rPr>
            </w:pPr>
            <w:r>
              <w:rPr>
                <w:rFonts w:hint="default"/>
                <w:b/>
                <w:bCs/>
                <w:color w:val="auto"/>
              </w:rPr>
              <w:t>Ⅱ</w:t>
            </w:r>
          </w:p>
        </w:tc>
        <w:tc>
          <w:tcPr>
            <w:tcW w:w="405" w:type="pct"/>
            <w:tcBorders>
              <w:top w:val="single" w:color="auto" w:sz="6" w:space="0"/>
              <w:left w:val="single" w:color="auto" w:sz="6" w:space="0"/>
              <w:bottom w:val="single" w:color="000000" w:sz="12" w:space="0"/>
              <w:right w:val="single" w:color="auto" w:sz="6" w:space="0"/>
            </w:tcBorders>
            <w:noWrap w:val="0"/>
            <w:vAlign w:val="center"/>
          </w:tcPr>
          <w:p w14:paraId="4104F54C">
            <w:pPr>
              <w:pStyle w:val="16"/>
              <w:bidi w:val="0"/>
              <w:rPr>
                <w:rFonts w:hint="default"/>
                <w:b/>
                <w:bCs/>
                <w:color w:val="auto"/>
              </w:rPr>
            </w:pPr>
            <w:r>
              <w:rPr>
                <w:rFonts w:hint="default"/>
                <w:b/>
                <w:bCs/>
                <w:color w:val="auto"/>
              </w:rPr>
              <w:t>Ⅲ</w:t>
            </w:r>
          </w:p>
        </w:tc>
        <w:tc>
          <w:tcPr>
            <w:tcW w:w="400" w:type="pct"/>
            <w:tcBorders>
              <w:top w:val="single" w:color="auto" w:sz="6" w:space="0"/>
              <w:left w:val="single" w:color="auto" w:sz="6" w:space="0"/>
              <w:bottom w:val="single" w:color="000000" w:sz="12" w:space="0"/>
              <w:right w:val="single" w:color="auto" w:sz="6" w:space="0"/>
            </w:tcBorders>
            <w:noWrap w:val="0"/>
            <w:vAlign w:val="center"/>
          </w:tcPr>
          <w:p w14:paraId="21512CFA">
            <w:pPr>
              <w:pStyle w:val="16"/>
              <w:bidi w:val="0"/>
              <w:rPr>
                <w:rFonts w:hint="default"/>
                <w:b/>
                <w:bCs/>
                <w:color w:val="auto"/>
              </w:rPr>
            </w:pPr>
            <w:r>
              <w:rPr>
                <w:rFonts w:hint="default"/>
                <w:b/>
                <w:bCs/>
                <w:color w:val="auto"/>
              </w:rPr>
              <w:t>Ⅰ</w:t>
            </w:r>
          </w:p>
        </w:tc>
        <w:tc>
          <w:tcPr>
            <w:tcW w:w="400" w:type="pct"/>
            <w:tcBorders>
              <w:top w:val="single" w:color="auto" w:sz="6" w:space="0"/>
              <w:left w:val="single" w:color="auto" w:sz="6" w:space="0"/>
              <w:bottom w:val="single" w:color="000000" w:sz="12" w:space="0"/>
              <w:right w:val="single" w:color="auto" w:sz="6" w:space="0"/>
            </w:tcBorders>
            <w:noWrap w:val="0"/>
            <w:vAlign w:val="center"/>
          </w:tcPr>
          <w:p w14:paraId="5861C4C7">
            <w:pPr>
              <w:pStyle w:val="16"/>
              <w:bidi w:val="0"/>
              <w:rPr>
                <w:rFonts w:hint="default"/>
                <w:b/>
                <w:bCs/>
                <w:color w:val="auto"/>
              </w:rPr>
            </w:pPr>
            <w:r>
              <w:rPr>
                <w:rFonts w:hint="default"/>
                <w:b/>
                <w:bCs/>
                <w:color w:val="auto"/>
              </w:rPr>
              <w:t>Ⅱ</w:t>
            </w:r>
          </w:p>
        </w:tc>
        <w:tc>
          <w:tcPr>
            <w:tcW w:w="413" w:type="pct"/>
            <w:tcBorders>
              <w:top w:val="single" w:color="auto" w:sz="6" w:space="0"/>
              <w:left w:val="single" w:color="auto" w:sz="6" w:space="0"/>
              <w:bottom w:val="single" w:color="000000" w:sz="12" w:space="0"/>
              <w:right w:val="nil"/>
            </w:tcBorders>
            <w:noWrap w:val="0"/>
            <w:vAlign w:val="center"/>
          </w:tcPr>
          <w:p w14:paraId="32412CFC">
            <w:pPr>
              <w:pStyle w:val="16"/>
              <w:bidi w:val="0"/>
              <w:rPr>
                <w:rFonts w:hint="default"/>
                <w:b/>
                <w:bCs/>
                <w:color w:val="auto"/>
              </w:rPr>
            </w:pPr>
            <w:r>
              <w:rPr>
                <w:rFonts w:hint="default"/>
                <w:b/>
                <w:bCs/>
                <w:color w:val="auto"/>
              </w:rPr>
              <w:t>Ⅲ</w:t>
            </w:r>
          </w:p>
        </w:tc>
      </w:tr>
      <w:tr w14:paraId="7BCAB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restart"/>
            <w:tcBorders>
              <w:top w:val="single" w:color="000000" w:sz="12" w:space="0"/>
              <w:left w:val="nil"/>
              <w:bottom w:val="single" w:color="auto" w:sz="6" w:space="0"/>
              <w:right w:val="single" w:color="auto" w:sz="6" w:space="0"/>
            </w:tcBorders>
            <w:noWrap w:val="0"/>
            <w:vAlign w:val="center"/>
          </w:tcPr>
          <w:p w14:paraId="7AFF9915">
            <w:pPr>
              <w:pStyle w:val="16"/>
              <w:bidi w:val="0"/>
              <w:rPr>
                <w:rFonts w:hint="default"/>
                <w:color w:val="auto"/>
              </w:rPr>
            </w:pPr>
            <w:r>
              <w:rPr>
                <w:rFonts w:hint="default"/>
                <w:color w:val="auto"/>
              </w:rPr>
              <w:t>A</w:t>
            </w:r>
          </w:p>
        </w:tc>
        <w:tc>
          <w:tcPr>
            <w:tcW w:w="647" w:type="pct"/>
            <w:tcBorders>
              <w:top w:val="single" w:color="000000" w:sz="12" w:space="0"/>
              <w:left w:val="single" w:color="auto" w:sz="6" w:space="0"/>
              <w:bottom w:val="single" w:color="auto" w:sz="6" w:space="0"/>
              <w:right w:val="single" w:color="auto" w:sz="6" w:space="0"/>
            </w:tcBorders>
            <w:noWrap w:val="0"/>
            <w:vAlign w:val="center"/>
          </w:tcPr>
          <w:p w14:paraId="7DAE53C7">
            <w:pPr>
              <w:pStyle w:val="16"/>
              <w:bidi w:val="0"/>
              <w:rPr>
                <w:rFonts w:hint="default"/>
                <w:color w:val="auto"/>
              </w:rPr>
            </w:pPr>
            <w:r>
              <w:rPr>
                <w:rFonts w:hint="default"/>
                <w:color w:val="auto"/>
              </w:rPr>
              <w:t>&lt;2</w:t>
            </w:r>
          </w:p>
        </w:tc>
        <w:tc>
          <w:tcPr>
            <w:tcW w:w="400" w:type="pct"/>
            <w:tcBorders>
              <w:top w:val="single" w:color="000000" w:sz="12" w:space="0"/>
              <w:left w:val="single" w:color="auto" w:sz="6" w:space="0"/>
              <w:bottom w:val="single" w:color="auto" w:sz="6" w:space="0"/>
              <w:right w:val="single" w:color="auto" w:sz="6" w:space="0"/>
            </w:tcBorders>
            <w:noWrap w:val="0"/>
            <w:vAlign w:val="center"/>
          </w:tcPr>
          <w:p w14:paraId="42176E9B">
            <w:pPr>
              <w:pStyle w:val="16"/>
              <w:bidi w:val="0"/>
              <w:rPr>
                <w:rFonts w:hint="default"/>
                <w:color w:val="auto"/>
              </w:rPr>
            </w:pPr>
            <w:r>
              <w:rPr>
                <w:rFonts w:hint="default"/>
                <w:color w:val="auto"/>
              </w:rPr>
              <w:t>400</w:t>
            </w:r>
          </w:p>
        </w:tc>
        <w:tc>
          <w:tcPr>
            <w:tcW w:w="400" w:type="pct"/>
            <w:tcBorders>
              <w:top w:val="single" w:color="000000" w:sz="12" w:space="0"/>
              <w:left w:val="single" w:color="auto" w:sz="6" w:space="0"/>
              <w:bottom w:val="single" w:color="auto" w:sz="6" w:space="0"/>
              <w:right w:val="single" w:color="auto" w:sz="6" w:space="0"/>
            </w:tcBorders>
            <w:noWrap w:val="0"/>
            <w:vAlign w:val="center"/>
          </w:tcPr>
          <w:p w14:paraId="28F98B15">
            <w:pPr>
              <w:pStyle w:val="16"/>
              <w:bidi w:val="0"/>
              <w:rPr>
                <w:rFonts w:hint="default"/>
                <w:color w:val="auto"/>
              </w:rPr>
            </w:pPr>
            <w:r>
              <w:rPr>
                <w:rFonts w:hint="default"/>
                <w:color w:val="auto"/>
              </w:rPr>
              <w:t>400</w:t>
            </w:r>
          </w:p>
        </w:tc>
        <w:tc>
          <w:tcPr>
            <w:tcW w:w="405" w:type="pct"/>
            <w:tcBorders>
              <w:top w:val="single" w:color="000000" w:sz="12" w:space="0"/>
              <w:left w:val="single" w:color="auto" w:sz="6" w:space="0"/>
              <w:bottom w:val="single" w:color="auto" w:sz="6" w:space="0"/>
              <w:right w:val="single" w:color="auto" w:sz="6" w:space="0"/>
            </w:tcBorders>
            <w:noWrap w:val="0"/>
            <w:vAlign w:val="center"/>
          </w:tcPr>
          <w:p w14:paraId="6F4CA590">
            <w:pPr>
              <w:pStyle w:val="16"/>
              <w:bidi w:val="0"/>
              <w:rPr>
                <w:rFonts w:hint="default"/>
                <w:color w:val="auto"/>
              </w:rPr>
            </w:pPr>
            <w:r>
              <w:rPr>
                <w:rFonts w:hint="default"/>
                <w:color w:val="auto"/>
              </w:rPr>
              <w:t>400</w:t>
            </w:r>
          </w:p>
        </w:tc>
        <w:tc>
          <w:tcPr>
            <w:tcW w:w="400" w:type="pct"/>
            <w:tcBorders>
              <w:top w:val="single" w:color="000000" w:sz="12" w:space="0"/>
              <w:left w:val="single" w:color="auto" w:sz="6" w:space="0"/>
              <w:bottom w:val="single" w:color="auto" w:sz="6" w:space="0"/>
              <w:right w:val="single" w:color="auto" w:sz="6" w:space="0"/>
            </w:tcBorders>
            <w:noWrap w:val="0"/>
            <w:vAlign w:val="center"/>
          </w:tcPr>
          <w:p w14:paraId="7F23FEC6">
            <w:pPr>
              <w:pStyle w:val="16"/>
              <w:bidi w:val="0"/>
              <w:rPr>
                <w:rFonts w:hint="default"/>
                <w:color w:val="auto"/>
              </w:rPr>
            </w:pPr>
            <w:r>
              <w:rPr>
                <w:rFonts w:hint="default"/>
                <w:color w:val="auto"/>
              </w:rPr>
              <w:t>400</w:t>
            </w:r>
          </w:p>
        </w:tc>
        <w:tc>
          <w:tcPr>
            <w:tcW w:w="400" w:type="pct"/>
            <w:tcBorders>
              <w:top w:val="single" w:color="000000" w:sz="12" w:space="0"/>
              <w:left w:val="single" w:color="auto" w:sz="6" w:space="0"/>
              <w:bottom w:val="single" w:color="auto" w:sz="6" w:space="0"/>
              <w:right w:val="single" w:color="auto" w:sz="6" w:space="0"/>
            </w:tcBorders>
            <w:noWrap w:val="0"/>
            <w:vAlign w:val="center"/>
          </w:tcPr>
          <w:p w14:paraId="09E34015">
            <w:pPr>
              <w:pStyle w:val="16"/>
              <w:bidi w:val="0"/>
              <w:rPr>
                <w:rFonts w:hint="default"/>
                <w:color w:val="auto"/>
              </w:rPr>
            </w:pPr>
            <w:r>
              <w:rPr>
                <w:rFonts w:hint="default"/>
                <w:color w:val="auto"/>
              </w:rPr>
              <w:t>400</w:t>
            </w:r>
          </w:p>
        </w:tc>
        <w:tc>
          <w:tcPr>
            <w:tcW w:w="405" w:type="pct"/>
            <w:tcBorders>
              <w:top w:val="single" w:color="000000" w:sz="12" w:space="0"/>
              <w:left w:val="single" w:color="auto" w:sz="6" w:space="0"/>
              <w:bottom w:val="single" w:color="auto" w:sz="6" w:space="0"/>
              <w:right w:val="single" w:color="auto" w:sz="6" w:space="0"/>
            </w:tcBorders>
            <w:noWrap w:val="0"/>
            <w:vAlign w:val="center"/>
          </w:tcPr>
          <w:p w14:paraId="1DBD6A74">
            <w:pPr>
              <w:pStyle w:val="16"/>
              <w:bidi w:val="0"/>
              <w:rPr>
                <w:rFonts w:hint="default"/>
                <w:color w:val="auto"/>
              </w:rPr>
            </w:pPr>
            <w:r>
              <w:rPr>
                <w:rFonts w:hint="default"/>
                <w:color w:val="auto"/>
              </w:rPr>
              <w:t>400</w:t>
            </w:r>
          </w:p>
        </w:tc>
        <w:tc>
          <w:tcPr>
            <w:tcW w:w="400" w:type="pct"/>
            <w:tcBorders>
              <w:top w:val="single" w:color="000000" w:sz="12" w:space="0"/>
              <w:left w:val="single" w:color="auto" w:sz="6" w:space="0"/>
              <w:bottom w:val="single" w:color="auto" w:sz="6" w:space="0"/>
              <w:right w:val="single" w:color="auto" w:sz="6" w:space="0"/>
            </w:tcBorders>
            <w:noWrap w:val="0"/>
            <w:vAlign w:val="center"/>
          </w:tcPr>
          <w:p w14:paraId="15191146">
            <w:pPr>
              <w:pStyle w:val="16"/>
              <w:bidi w:val="0"/>
              <w:rPr>
                <w:rFonts w:hint="default"/>
                <w:color w:val="auto"/>
              </w:rPr>
            </w:pPr>
            <w:r>
              <w:rPr>
                <w:rFonts w:hint="default"/>
                <w:color w:val="auto"/>
              </w:rPr>
              <w:t>80</w:t>
            </w:r>
          </w:p>
        </w:tc>
        <w:tc>
          <w:tcPr>
            <w:tcW w:w="400" w:type="pct"/>
            <w:tcBorders>
              <w:top w:val="single" w:color="000000" w:sz="12" w:space="0"/>
              <w:left w:val="single" w:color="auto" w:sz="6" w:space="0"/>
              <w:bottom w:val="single" w:color="auto" w:sz="6" w:space="0"/>
              <w:right w:val="single" w:color="auto" w:sz="6" w:space="0"/>
            </w:tcBorders>
            <w:noWrap w:val="0"/>
            <w:vAlign w:val="center"/>
          </w:tcPr>
          <w:p w14:paraId="7123EAC5">
            <w:pPr>
              <w:pStyle w:val="16"/>
              <w:bidi w:val="0"/>
              <w:rPr>
                <w:rFonts w:hint="default"/>
                <w:color w:val="auto"/>
              </w:rPr>
            </w:pPr>
            <w:r>
              <w:rPr>
                <w:rFonts w:hint="default"/>
                <w:color w:val="auto"/>
              </w:rPr>
              <w:t>80</w:t>
            </w:r>
          </w:p>
        </w:tc>
        <w:tc>
          <w:tcPr>
            <w:tcW w:w="413" w:type="pct"/>
            <w:tcBorders>
              <w:top w:val="single" w:color="000000" w:sz="12" w:space="0"/>
              <w:left w:val="single" w:color="auto" w:sz="6" w:space="0"/>
              <w:bottom w:val="single" w:color="auto" w:sz="6" w:space="0"/>
              <w:right w:val="nil"/>
            </w:tcBorders>
            <w:noWrap w:val="0"/>
            <w:vAlign w:val="center"/>
          </w:tcPr>
          <w:p w14:paraId="68C7B287">
            <w:pPr>
              <w:pStyle w:val="16"/>
              <w:bidi w:val="0"/>
              <w:rPr>
                <w:rFonts w:hint="default"/>
                <w:color w:val="auto"/>
              </w:rPr>
            </w:pPr>
            <w:r>
              <w:rPr>
                <w:rFonts w:hint="default"/>
                <w:color w:val="auto"/>
              </w:rPr>
              <w:t>80</w:t>
            </w:r>
          </w:p>
        </w:tc>
      </w:tr>
      <w:tr w14:paraId="66E6E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continue"/>
            <w:tcBorders>
              <w:top w:val="single" w:color="auto" w:sz="6" w:space="0"/>
              <w:left w:val="nil"/>
              <w:bottom w:val="single" w:color="auto" w:sz="6" w:space="0"/>
              <w:right w:val="single" w:color="auto" w:sz="6" w:space="0"/>
            </w:tcBorders>
            <w:noWrap w:val="0"/>
            <w:vAlign w:val="center"/>
          </w:tcPr>
          <w:p w14:paraId="336A9055">
            <w:pPr>
              <w:pStyle w:val="16"/>
              <w:bidi w:val="0"/>
              <w:rPr>
                <w:rFonts w:hint="default"/>
                <w:color w:val="auto"/>
              </w:rPr>
            </w:pPr>
          </w:p>
        </w:tc>
        <w:tc>
          <w:tcPr>
            <w:tcW w:w="647" w:type="pct"/>
            <w:tcBorders>
              <w:top w:val="single" w:color="auto" w:sz="6" w:space="0"/>
              <w:left w:val="single" w:color="auto" w:sz="6" w:space="0"/>
              <w:bottom w:val="single" w:color="auto" w:sz="6" w:space="0"/>
              <w:right w:val="single" w:color="auto" w:sz="6" w:space="0"/>
            </w:tcBorders>
            <w:noWrap w:val="0"/>
            <w:vAlign w:val="center"/>
          </w:tcPr>
          <w:p w14:paraId="21531795">
            <w:pPr>
              <w:pStyle w:val="16"/>
              <w:bidi w:val="0"/>
              <w:rPr>
                <w:rFonts w:hint="default"/>
                <w:color w:val="auto"/>
              </w:rPr>
            </w:pPr>
            <w:r>
              <w:rPr>
                <w:rFonts w:hint="default"/>
                <w:color w:val="auto"/>
              </w:rPr>
              <w:t>2～4</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780ADEEF">
            <w:pPr>
              <w:pStyle w:val="16"/>
              <w:bidi w:val="0"/>
              <w:rPr>
                <w:rFonts w:hint="default"/>
                <w:color w:val="auto"/>
              </w:rPr>
            </w:pPr>
            <w:r>
              <w:rPr>
                <w:rFonts w:hint="default"/>
                <w:color w:val="auto"/>
              </w:rPr>
              <w:t>700</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1A83A24F">
            <w:pPr>
              <w:pStyle w:val="16"/>
              <w:bidi w:val="0"/>
              <w:rPr>
                <w:rFonts w:hint="default"/>
                <w:color w:val="auto"/>
              </w:rPr>
            </w:pPr>
            <w:r>
              <w:rPr>
                <w:rFonts w:hint="default"/>
                <w:color w:val="auto"/>
              </w:rPr>
              <w:t>470</w:t>
            </w:r>
          </w:p>
        </w:tc>
        <w:tc>
          <w:tcPr>
            <w:tcW w:w="405" w:type="pct"/>
            <w:tcBorders>
              <w:top w:val="single" w:color="auto" w:sz="6" w:space="0"/>
              <w:left w:val="single" w:color="auto" w:sz="6" w:space="0"/>
              <w:bottom w:val="single" w:color="auto" w:sz="6" w:space="0"/>
              <w:right w:val="single" w:color="auto" w:sz="6" w:space="0"/>
            </w:tcBorders>
            <w:noWrap w:val="0"/>
            <w:vAlign w:val="center"/>
          </w:tcPr>
          <w:p w14:paraId="7E867E56">
            <w:pPr>
              <w:pStyle w:val="16"/>
              <w:bidi w:val="0"/>
              <w:rPr>
                <w:rFonts w:hint="default"/>
                <w:color w:val="auto"/>
              </w:rPr>
            </w:pPr>
            <w:r>
              <w:rPr>
                <w:rFonts w:hint="default"/>
                <w:color w:val="auto"/>
              </w:rPr>
              <w:t>350</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670B43E2">
            <w:pPr>
              <w:pStyle w:val="16"/>
              <w:bidi w:val="0"/>
              <w:rPr>
                <w:rFonts w:hint="default"/>
                <w:color w:val="auto"/>
              </w:rPr>
            </w:pPr>
            <w:r>
              <w:rPr>
                <w:rFonts w:hint="default"/>
                <w:color w:val="auto"/>
              </w:rPr>
              <w:t>700</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4AE8BC43">
            <w:pPr>
              <w:pStyle w:val="16"/>
              <w:bidi w:val="0"/>
              <w:rPr>
                <w:rFonts w:hint="default"/>
                <w:color w:val="auto"/>
              </w:rPr>
            </w:pPr>
            <w:r>
              <w:rPr>
                <w:rFonts w:hint="default"/>
                <w:color w:val="auto"/>
              </w:rPr>
              <w:t>470</w:t>
            </w:r>
          </w:p>
        </w:tc>
        <w:tc>
          <w:tcPr>
            <w:tcW w:w="405" w:type="pct"/>
            <w:tcBorders>
              <w:top w:val="single" w:color="auto" w:sz="6" w:space="0"/>
              <w:left w:val="single" w:color="auto" w:sz="6" w:space="0"/>
              <w:bottom w:val="single" w:color="auto" w:sz="6" w:space="0"/>
              <w:right w:val="single" w:color="auto" w:sz="6" w:space="0"/>
            </w:tcBorders>
            <w:noWrap w:val="0"/>
            <w:vAlign w:val="center"/>
          </w:tcPr>
          <w:p w14:paraId="6A487026">
            <w:pPr>
              <w:pStyle w:val="16"/>
              <w:bidi w:val="0"/>
              <w:rPr>
                <w:rFonts w:hint="default"/>
                <w:color w:val="auto"/>
              </w:rPr>
            </w:pPr>
            <w:r>
              <w:rPr>
                <w:rFonts w:hint="default"/>
                <w:color w:val="auto"/>
              </w:rPr>
              <w:t>350</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6CECD4CE">
            <w:pPr>
              <w:pStyle w:val="16"/>
              <w:bidi w:val="0"/>
              <w:rPr>
                <w:rFonts w:hint="default"/>
                <w:color w:val="auto"/>
              </w:rPr>
            </w:pPr>
            <w:r>
              <w:rPr>
                <w:rFonts w:hint="default"/>
                <w:color w:val="auto"/>
              </w:rPr>
              <w:t>380</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56B498A9">
            <w:pPr>
              <w:pStyle w:val="16"/>
              <w:bidi w:val="0"/>
              <w:rPr>
                <w:rFonts w:hint="default"/>
                <w:color w:val="auto"/>
              </w:rPr>
            </w:pPr>
            <w:r>
              <w:rPr>
                <w:rFonts w:hint="default"/>
                <w:color w:val="auto"/>
              </w:rPr>
              <w:t>250</w:t>
            </w:r>
          </w:p>
        </w:tc>
        <w:tc>
          <w:tcPr>
            <w:tcW w:w="413" w:type="pct"/>
            <w:tcBorders>
              <w:top w:val="single" w:color="auto" w:sz="6" w:space="0"/>
              <w:left w:val="single" w:color="auto" w:sz="6" w:space="0"/>
              <w:bottom w:val="single" w:color="auto" w:sz="6" w:space="0"/>
              <w:right w:val="nil"/>
            </w:tcBorders>
            <w:noWrap w:val="0"/>
            <w:vAlign w:val="center"/>
          </w:tcPr>
          <w:p w14:paraId="2D6A164F">
            <w:pPr>
              <w:pStyle w:val="16"/>
              <w:bidi w:val="0"/>
              <w:rPr>
                <w:rFonts w:hint="default"/>
                <w:color w:val="auto"/>
              </w:rPr>
            </w:pPr>
            <w:r>
              <w:rPr>
                <w:rFonts w:hint="default"/>
                <w:color w:val="auto"/>
              </w:rPr>
              <w:t>190</w:t>
            </w:r>
          </w:p>
        </w:tc>
      </w:tr>
      <w:tr w14:paraId="51EEA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continue"/>
            <w:tcBorders>
              <w:top w:val="single" w:color="auto" w:sz="6" w:space="0"/>
              <w:left w:val="nil"/>
              <w:bottom w:val="single" w:color="auto" w:sz="6" w:space="0"/>
              <w:right w:val="single" w:color="auto" w:sz="6" w:space="0"/>
            </w:tcBorders>
            <w:noWrap w:val="0"/>
            <w:vAlign w:val="center"/>
          </w:tcPr>
          <w:p w14:paraId="5BC7455D">
            <w:pPr>
              <w:pStyle w:val="16"/>
              <w:bidi w:val="0"/>
              <w:rPr>
                <w:rFonts w:hint="default"/>
                <w:color w:val="auto"/>
              </w:rPr>
            </w:pPr>
          </w:p>
        </w:tc>
        <w:tc>
          <w:tcPr>
            <w:tcW w:w="647" w:type="pct"/>
            <w:tcBorders>
              <w:top w:val="single" w:color="auto" w:sz="6" w:space="0"/>
              <w:left w:val="single" w:color="auto" w:sz="6" w:space="0"/>
              <w:bottom w:val="single" w:color="auto" w:sz="6" w:space="0"/>
              <w:right w:val="single" w:color="auto" w:sz="6" w:space="0"/>
            </w:tcBorders>
            <w:noWrap w:val="0"/>
            <w:vAlign w:val="center"/>
          </w:tcPr>
          <w:p w14:paraId="1C9ACDE8">
            <w:pPr>
              <w:pStyle w:val="16"/>
              <w:bidi w:val="0"/>
              <w:rPr>
                <w:rFonts w:hint="default"/>
                <w:color w:val="auto"/>
              </w:rPr>
            </w:pPr>
            <w:r>
              <w:rPr>
                <w:rFonts w:hint="default"/>
                <w:color w:val="auto"/>
              </w:rPr>
              <w:t>&gt;4</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6D86C4E9">
            <w:pPr>
              <w:pStyle w:val="16"/>
              <w:bidi w:val="0"/>
              <w:rPr>
                <w:rFonts w:hint="default"/>
                <w:color w:val="auto"/>
              </w:rPr>
            </w:pPr>
            <w:r>
              <w:rPr>
                <w:rFonts w:hint="default"/>
                <w:color w:val="auto"/>
              </w:rPr>
              <w:t>530</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5FEC9728">
            <w:pPr>
              <w:pStyle w:val="16"/>
              <w:bidi w:val="0"/>
              <w:rPr>
                <w:rFonts w:hint="default"/>
                <w:color w:val="auto"/>
              </w:rPr>
            </w:pPr>
            <w:r>
              <w:rPr>
                <w:rFonts w:hint="default"/>
                <w:color w:val="auto"/>
              </w:rPr>
              <w:t>350</w:t>
            </w:r>
          </w:p>
        </w:tc>
        <w:tc>
          <w:tcPr>
            <w:tcW w:w="405" w:type="pct"/>
            <w:tcBorders>
              <w:top w:val="single" w:color="auto" w:sz="6" w:space="0"/>
              <w:left w:val="single" w:color="auto" w:sz="6" w:space="0"/>
              <w:bottom w:val="single" w:color="auto" w:sz="6" w:space="0"/>
              <w:right w:val="single" w:color="auto" w:sz="6" w:space="0"/>
            </w:tcBorders>
            <w:noWrap w:val="0"/>
            <w:vAlign w:val="center"/>
          </w:tcPr>
          <w:p w14:paraId="60C4D916">
            <w:pPr>
              <w:pStyle w:val="16"/>
              <w:bidi w:val="0"/>
              <w:rPr>
                <w:rFonts w:hint="default"/>
                <w:color w:val="auto"/>
              </w:rPr>
            </w:pPr>
            <w:r>
              <w:rPr>
                <w:rFonts w:hint="default"/>
                <w:color w:val="auto"/>
              </w:rPr>
              <w:t>260</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29D232BE">
            <w:pPr>
              <w:pStyle w:val="16"/>
              <w:bidi w:val="0"/>
              <w:rPr>
                <w:rFonts w:hint="default"/>
                <w:color w:val="auto"/>
              </w:rPr>
            </w:pPr>
            <w:r>
              <w:rPr>
                <w:rFonts w:hint="default"/>
                <w:color w:val="auto"/>
              </w:rPr>
              <w:t>530</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06BAA925">
            <w:pPr>
              <w:pStyle w:val="16"/>
              <w:bidi w:val="0"/>
              <w:rPr>
                <w:rFonts w:hint="default"/>
                <w:color w:val="auto"/>
              </w:rPr>
            </w:pPr>
            <w:r>
              <w:rPr>
                <w:rFonts w:hint="default"/>
                <w:color w:val="auto"/>
              </w:rPr>
              <w:t>350</w:t>
            </w:r>
          </w:p>
        </w:tc>
        <w:tc>
          <w:tcPr>
            <w:tcW w:w="405" w:type="pct"/>
            <w:tcBorders>
              <w:top w:val="single" w:color="auto" w:sz="6" w:space="0"/>
              <w:left w:val="single" w:color="auto" w:sz="6" w:space="0"/>
              <w:bottom w:val="single" w:color="auto" w:sz="6" w:space="0"/>
              <w:right w:val="single" w:color="auto" w:sz="6" w:space="0"/>
            </w:tcBorders>
            <w:noWrap w:val="0"/>
            <w:vAlign w:val="center"/>
          </w:tcPr>
          <w:p w14:paraId="0252CD52">
            <w:pPr>
              <w:pStyle w:val="16"/>
              <w:bidi w:val="0"/>
              <w:rPr>
                <w:rFonts w:hint="default"/>
                <w:color w:val="auto"/>
              </w:rPr>
            </w:pPr>
            <w:r>
              <w:rPr>
                <w:rFonts w:hint="default"/>
                <w:color w:val="auto"/>
              </w:rPr>
              <w:t>260</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239C1FA6">
            <w:pPr>
              <w:pStyle w:val="16"/>
              <w:bidi w:val="0"/>
              <w:rPr>
                <w:rFonts w:hint="default"/>
                <w:color w:val="auto"/>
              </w:rPr>
            </w:pPr>
            <w:r>
              <w:rPr>
                <w:rFonts w:hint="default"/>
                <w:color w:val="auto"/>
              </w:rPr>
              <w:t>290</w:t>
            </w:r>
          </w:p>
        </w:tc>
        <w:tc>
          <w:tcPr>
            <w:tcW w:w="400" w:type="pct"/>
            <w:tcBorders>
              <w:top w:val="single" w:color="auto" w:sz="6" w:space="0"/>
              <w:left w:val="single" w:color="auto" w:sz="6" w:space="0"/>
              <w:bottom w:val="single" w:color="auto" w:sz="6" w:space="0"/>
              <w:right w:val="single" w:color="auto" w:sz="6" w:space="0"/>
            </w:tcBorders>
            <w:noWrap w:val="0"/>
            <w:vAlign w:val="center"/>
          </w:tcPr>
          <w:p w14:paraId="703550BF">
            <w:pPr>
              <w:pStyle w:val="16"/>
              <w:bidi w:val="0"/>
              <w:rPr>
                <w:rFonts w:hint="default"/>
                <w:color w:val="auto"/>
              </w:rPr>
            </w:pPr>
            <w:r>
              <w:rPr>
                <w:rFonts w:hint="default"/>
                <w:color w:val="auto"/>
              </w:rPr>
              <w:t>190</w:t>
            </w:r>
          </w:p>
        </w:tc>
        <w:tc>
          <w:tcPr>
            <w:tcW w:w="413" w:type="pct"/>
            <w:tcBorders>
              <w:top w:val="single" w:color="auto" w:sz="6" w:space="0"/>
              <w:left w:val="single" w:color="auto" w:sz="6" w:space="0"/>
              <w:bottom w:val="single" w:color="auto" w:sz="6" w:space="0"/>
              <w:right w:val="nil"/>
            </w:tcBorders>
            <w:noWrap w:val="0"/>
            <w:vAlign w:val="center"/>
          </w:tcPr>
          <w:p w14:paraId="1F480E92">
            <w:pPr>
              <w:pStyle w:val="16"/>
              <w:bidi w:val="0"/>
              <w:rPr>
                <w:rFonts w:hint="default"/>
                <w:color w:val="auto"/>
              </w:rPr>
            </w:pPr>
            <w:r>
              <w:rPr>
                <w:rFonts w:hint="default"/>
                <w:color w:val="auto"/>
              </w:rPr>
              <w:t>110</w:t>
            </w:r>
          </w:p>
        </w:tc>
      </w:tr>
      <w:tr w14:paraId="23808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restart"/>
            <w:tcBorders>
              <w:top w:val="single" w:color="auto" w:sz="6" w:space="0"/>
              <w:left w:val="nil"/>
              <w:bottom w:val="single" w:color="auto" w:sz="6" w:space="0"/>
              <w:right w:val="single" w:color="auto" w:sz="6" w:space="0"/>
            </w:tcBorders>
            <w:noWrap w:val="0"/>
            <w:vAlign w:val="center"/>
          </w:tcPr>
          <w:p w14:paraId="0886C228">
            <w:pPr>
              <w:pStyle w:val="16"/>
              <w:bidi w:val="0"/>
              <w:rPr>
                <w:rFonts w:hint="default"/>
                <w:color w:val="auto"/>
              </w:rPr>
            </w:pPr>
            <w:r>
              <w:rPr>
                <w:rFonts w:hint="default"/>
                <w:color w:val="auto"/>
              </w:rPr>
              <w:t>B</w:t>
            </w:r>
          </w:p>
        </w:tc>
        <w:tc>
          <w:tcPr>
            <w:tcW w:w="647" w:type="pct"/>
            <w:tcBorders>
              <w:top w:val="single" w:color="auto" w:sz="6" w:space="0"/>
              <w:left w:val="single" w:color="auto" w:sz="6" w:space="0"/>
              <w:bottom w:val="single" w:color="auto" w:sz="6" w:space="0"/>
              <w:right w:val="single" w:color="auto" w:sz="6" w:space="0"/>
            </w:tcBorders>
            <w:noWrap w:val="0"/>
            <w:vAlign w:val="center"/>
          </w:tcPr>
          <w:p w14:paraId="024DCA50">
            <w:pPr>
              <w:pStyle w:val="16"/>
              <w:bidi w:val="0"/>
              <w:rPr>
                <w:rFonts w:hint="default"/>
                <w:color w:val="auto"/>
              </w:rPr>
            </w:pPr>
            <w:r>
              <w:rPr>
                <w:rFonts w:hint="default"/>
                <w:color w:val="auto"/>
              </w:rPr>
              <w:t>&lt;2</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1DFF2349">
            <w:pPr>
              <w:pStyle w:val="16"/>
              <w:bidi w:val="0"/>
              <w:rPr>
                <w:rFonts w:hint="default"/>
                <w:color w:val="auto"/>
              </w:rPr>
            </w:pPr>
            <w:r>
              <w:rPr>
                <w:rFonts w:hint="default"/>
                <w:color w:val="auto"/>
              </w:rPr>
              <w:t>0.01</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0223C23F">
            <w:pPr>
              <w:pStyle w:val="16"/>
              <w:bidi w:val="0"/>
              <w:rPr>
                <w:rFonts w:hint="default"/>
                <w:color w:val="auto"/>
              </w:rPr>
            </w:pPr>
            <w:r>
              <w:rPr>
                <w:rFonts w:hint="default"/>
                <w:color w:val="auto"/>
              </w:rPr>
              <w:t>0.015</w:t>
            </w:r>
          </w:p>
        </w:tc>
        <w:tc>
          <w:tcPr>
            <w:tcW w:w="1213" w:type="pct"/>
            <w:gridSpan w:val="3"/>
            <w:tcBorders>
              <w:top w:val="single" w:color="auto" w:sz="6" w:space="0"/>
              <w:left w:val="single" w:color="auto" w:sz="6" w:space="0"/>
              <w:bottom w:val="single" w:color="auto" w:sz="6" w:space="0"/>
              <w:right w:val="nil"/>
            </w:tcBorders>
            <w:noWrap w:val="0"/>
            <w:vAlign w:val="center"/>
          </w:tcPr>
          <w:p w14:paraId="3F15416D">
            <w:pPr>
              <w:pStyle w:val="16"/>
              <w:bidi w:val="0"/>
              <w:rPr>
                <w:rFonts w:hint="default"/>
                <w:color w:val="auto"/>
              </w:rPr>
            </w:pPr>
            <w:r>
              <w:rPr>
                <w:rFonts w:hint="default"/>
                <w:color w:val="auto"/>
              </w:rPr>
              <w:t>0.015</w:t>
            </w:r>
          </w:p>
        </w:tc>
      </w:tr>
      <w:tr w14:paraId="513E8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continue"/>
            <w:tcBorders>
              <w:top w:val="single" w:color="auto" w:sz="6" w:space="0"/>
              <w:left w:val="nil"/>
              <w:bottom w:val="single" w:color="auto" w:sz="6" w:space="0"/>
              <w:right w:val="single" w:color="auto" w:sz="6" w:space="0"/>
            </w:tcBorders>
            <w:noWrap w:val="0"/>
            <w:vAlign w:val="center"/>
          </w:tcPr>
          <w:p w14:paraId="1254AE70">
            <w:pPr>
              <w:pStyle w:val="16"/>
              <w:bidi w:val="0"/>
              <w:rPr>
                <w:rFonts w:hint="default"/>
                <w:color w:val="auto"/>
              </w:rPr>
            </w:pPr>
          </w:p>
        </w:tc>
        <w:tc>
          <w:tcPr>
            <w:tcW w:w="647" w:type="pct"/>
            <w:tcBorders>
              <w:top w:val="single" w:color="auto" w:sz="6" w:space="0"/>
              <w:left w:val="single" w:color="auto" w:sz="6" w:space="0"/>
              <w:bottom w:val="single" w:color="auto" w:sz="6" w:space="0"/>
              <w:right w:val="single" w:color="auto" w:sz="6" w:space="0"/>
            </w:tcBorders>
            <w:noWrap w:val="0"/>
            <w:vAlign w:val="center"/>
          </w:tcPr>
          <w:p w14:paraId="2EC36E97">
            <w:pPr>
              <w:pStyle w:val="16"/>
              <w:bidi w:val="0"/>
              <w:rPr>
                <w:rFonts w:hint="default"/>
                <w:color w:val="auto"/>
              </w:rPr>
            </w:pPr>
            <w:r>
              <w:rPr>
                <w:rFonts w:hint="default"/>
                <w:color w:val="auto"/>
              </w:rPr>
              <w:t>&gt;2</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048E3C12">
            <w:pPr>
              <w:pStyle w:val="16"/>
              <w:bidi w:val="0"/>
              <w:rPr>
                <w:rFonts w:hint="default"/>
                <w:color w:val="auto"/>
              </w:rPr>
            </w:pPr>
            <w:r>
              <w:rPr>
                <w:rFonts w:hint="default"/>
                <w:color w:val="auto"/>
              </w:rPr>
              <w:t>0.021</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03FFC52E">
            <w:pPr>
              <w:pStyle w:val="16"/>
              <w:bidi w:val="0"/>
              <w:rPr>
                <w:rFonts w:hint="default"/>
                <w:color w:val="auto"/>
              </w:rPr>
            </w:pPr>
            <w:r>
              <w:rPr>
                <w:rFonts w:hint="default"/>
                <w:color w:val="auto"/>
              </w:rPr>
              <w:t>0.036</w:t>
            </w:r>
          </w:p>
        </w:tc>
        <w:tc>
          <w:tcPr>
            <w:tcW w:w="1213" w:type="pct"/>
            <w:gridSpan w:val="3"/>
            <w:tcBorders>
              <w:top w:val="single" w:color="auto" w:sz="6" w:space="0"/>
              <w:left w:val="single" w:color="auto" w:sz="6" w:space="0"/>
              <w:bottom w:val="single" w:color="auto" w:sz="6" w:space="0"/>
              <w:right w:val="nil"/>
            </w:tcBorders>
            <w:noWrap w:val="0"/>
            <w:vAlign w:val="center"/>
          </w:tcPr>
          <w:p w14:paraId="4AD22727">
            <w:pPr>
              <w:pStyle w:val="16"/>
              <w:bidi w:val="0"/>
              <w:rPr>
                <w:rFonts w:hint="default"/>
                <w:color w:val="auto"/>
              </w:rPr>
            </w:pPr>
            <w:r>
              <w:rPr>
                <w:rFonts w:hint="default"/>
                <w:color w:val="auto"/>
              </w:rPr>
              <w:t>0.036</w:t>
            </w:r>
          </w:p>
        </w:tc>
      </w:tr>
      <w:tr w14:paraId="3BE17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restart"/>
            <w:tcBorders>
              <w:top w:val="single" w:color="auto" w:sz="6" w:space="0"/>
              <w:left w:val="nil"/>
              <w:bottom w:val="single" w:color="auto" w:sz="6" w:space="0"/>
              <w:right w:val="single" w:color="auto" w:sz="6" w:space="0"/>
            </w:tcBorders>
            <w:noWrap w:val="0"/>
            <w:vAlign w:val="center"/>
          </w:tcPr>
          <w:p w14:paraId="21ED40B6">
            <w:pPr>
              <w:pStyle w:val="16"/>
              <w:bidi w:val="0"/>
              <w:rPr>
                <w:rFonts w:hint="default"/>
                <w:color w:val="auto"/>
              </w:rPr>
            </w:pPr>
            <w:r>
              <w:rPr>
                <w:rFonts w:hint="default"/>
                <w:color w:val="auto"/>
              </w:rPr>
              <w:t>C</w:t>
            </w:r>
          </w:p>
        </w:tc>
        <w:tc>
          <w:tcPr>
            <w:tcW w:w="647" w:type="pct"/>
            <w:tcBorders>
              <w:top w:val="single" w:color="auto" w:sz="6" w:space="0"/>
              <w:left w:val="single" w:color="auto" w:sz="6" w:space="0"/>
              <w:bottom w:val="single" w:color="auto" w:sz="6" w:space="0"/>
              <w:right w:val="single" w:color="auto" w:sz="6" w:space="0"/>
            </w:tcBorders>
            <w:noWrap w:val="0"/>
            <w:vAlign w:val="center"/>
          </w:tcPr>
          <w:p w14:paraId="341EA3C0">
            <w:pPr>
              <w:pStyle w:val="16"/>
              <w:bidi w:val="0"/>
              <w:rPr>
                <w:rFonts w:hint="default"/>
                <w:color w:val="auto"/>
              </w:rPr>
            </w:pPr>
            <w:r>
              <w:rPr>
                <w:rFonts w:hint="default"/>
                <w:color w:val="auto"/>
              </w:rPr>
              <w:t>&lt;2</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157F5875">
            <w:pPr>
              <w:pStyle w:val="16"/>
              <w:bidi w:val="0"/>
              <w:rPr>
                <w:rFonts w:hint="default"/>
                <w:color w:val="auto"/>
              </w:rPr>
            </w:pPr>
            <w:r>
              <w:rPr>
                <w:rFonts w:hint="default"/>
                <w:color w:val="auto"/>
              </w:rPr>
              <w:t>1.85</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2CA95BB8">
            <w:pPr>
              <w:pStyle w:val="16"/>
              <w:bidi w:val="0"/>
              <w:rPr>
                <w:rFonts w:hint="default"/>
                <w:color w:val="auto"/>
              </w:rPr>
            </w:pPr>
            <w:r>
              <w:rPr>
                <w:rFonts w:hint="default"/>
                <w:color w:val="auto"/>
              </w:rPr>
              <w:t>1.79</w:t>
            </w:r>
          </w:p>
        </w:tc>
        <w:tc>
          <w:tcPr>
            <w:tcW w:w="1213" w:type="pct"/>
            <w:gridSpan w:val="3"/>
            <w:tcBorders>
              <w:top w:val="single" w:color="auto" w:sz="6" w:space="0"/>
              <w:left w:val="single" w:color="auto" w:sz="6" w:space="0"/>
              <w:bottom w:val="single" w:color="auto" w:sz="6" w:space="0"/>
              <w:right w:val="nil"/>
            </w:tcBorders>
            <w:noWrap w:val="0"/>
            <w:vAlign w:val="center"/>
          </w:tcPr>
          <w:p w14:paraId="117EE219">
            <w:pPr>
              <w:pStyle w:val="16"/>
              <w:bidi w:val="0"/>
              <w:rPr>
                <w:rFonts w:hint="default"/>
                <w:color w:val="auto"/>
              </w:rPr>
            </w:pPr>
            <w:r>
              <w:rPr>
                <w:rFonts w:hint="default"/>
                <w:color w:val="auto"/>
              </w:rPr>
              <w:t>1.79</w:t>
            </w:r>
          </w:p>
        </w:tc>
      </w:tr>
      <w:tr w14:paraId="18A67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continue"/>
            <w:tcBorders>
              <w:top w:val="single" w:color="auto" w:sz="6" w:space="0"/>
              <w:left w:val="nil"/>
              <w:bottom w:val="single" w:color="auto" w:sz="6" w:space="0"/>
              <w:right w:val="single" w:color="auto" w:sz="6" w:space="0"/>
            </w:tcBorders>
            <w:noWrap w:val="0"/>
            <w:vAlign w:val="center"/>
          </w:tcPr>
          <w:p w14:paraId="08B57EF0">
            <w:pPr>
              <w:pStyle w:val="16"/>
              <w:bidi w:val="0"/>
              <w:rPr>
                <w:rFonts w:hint="default"/>
                <w:color w:val="auto"/>
              </w:rPr>
            </w:pPr>
          </w:p>
        </w:tc>
        <w:tc>
          <w:tcPr>
            <w:tcW w:w="647" w:type="pct"/>
            <w:tcBorders>
              <w:top w:val="single" w:color="auto" w:sz="6" w:space="0"/>
              <w:left w:val="single" w:color="auto" w:sz="6" w:space="0"/>
              <w:bottom w:val="single" w:color="auto" w:sz="6" w:space="0"/>
              <w:right w:val="single" w:color="auto" w:sz="6" w:space="0"/>
            </w:tcBorders>
            <w:noWrap w:val="0"/>
            <w:vAlign w:val="center"/>
          </w:tcPr>
          <w:p w14:paraId="1B83ACDF">
            <w:pPr>
              <w:pStyle w:val="16"/>
              <w:bidi w:val="0"/>
              <w:rPr>
                <w:rFonts w:hint="default"/>
                <w:color w:val="auto"/>
              </w:rPr>
            </w:pPr>
            <w:r>
              <w:rPr>
                <w:rFonts w:hint="default"/>
                <w:color w:val="auto"/>
              </w:rPr>
              <w:t>&gt;2</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28CC993B">
            <w:pPr>
              <w:pStyle w:val="16"/>
              <w:bidi w:val="0"/>
              <w:rPr>
                <w:rFonts w:hint="default"/>
                <w:color w:val="auto"/>
              </w:rPr>
            </w:pPr>
            <w:r>
              <w:rPr>
                <w:rFonts w:hint="default"/>
                <w:color w:val="auto"/>
              </w:rPr>
              <w:t>1.85</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3A230268">
            <w:pPr>
              <w:pStyle w:val="16"/>
              <w:bidi w:val="0"/>
              <w:rPr>
                <w:rFonts w:hint="default"/>
                <w:color w:val="auto"/>
              </w:rPr>
            </w:pPr>
            <w:r>
              <w:rPr>
                <w:rFonts w:hint="default"/>
                <w:color w:val="auto"/>
              </w:rPr>
              <w:t>1.77</w:t>
            </w:r>
          </w:p>
        </w:tc>
        <w:tc>
          <w:tcPr>
            <w:tcW w:w="1213" w:type="pct"/>
            <w:gridSpan w:val="3"/>
            <w:tcBorders>
              <w:top w:val="single" w:color="auto" w:sz="6" w:space="0"/>
              <w:left w:val="single" w:color="auto" w:sz="6" w:space="0"/>
              <w:bottom w:val="single" w:color="auto" w:sz="6" w:space="0"/>
              <w:right w:val="nil"/>
            </w:tcBorders>
            <w:noWrap w:val="0"/>
            <w:vAlign w:val="center"/>
          </w:tcPr>
          <w:p w14:paraId="753122AC">
            <w:pPr>
              <w:pStyle w:val="16"/>
              <w:bidi w:val="0"/>
              <w:rPr>
                <w:rFonts w:hint="default"/>
                <w:color w:val="auto"/>
              </w:rPr>
            </w:pPr>
            <w:r>
              <w:rPr>
                <w:rFonts w:hint="default"/>
                <w:color w:val="auto"/>
              </w:rPr>
              <w:t>1.77</w:t>
            </w:r>
          </w:p>
        </w:tc>
      </w:tr>
      <w:tr w14:paraId="360F5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restart"/>
            <w:tcBorders>
              <w:top w:val="single" w:color="auto" w:sz="6" w:space="0"/>
              <w:left w:val="nil"/>
              <w:bottom w:val="single" w:color="auto" w:sz="6" w:space="0"/>
              <w:right w:val="single" w:color="auto" w:sz="6" w:space="0"/>
            </w:tcBorders>
            <w:noWrap w:val="0"/>
            <w:vAlign w:val="center"/>
          </w:tcPr>
          <w:p w14:paraId="562875D8">
            <w:pPr>
              <w:pStyle w:val="16"/>
              <w:bidi w:val="0"/>
              <w:rPr>
                <w:rFonts w:hint="default"/>
                <w:color w:val="auto"/>
              </w:rPr>
            </w:pPr>
            <w:r>
              <w:rPr>
                <w:rFonts w:hint="default"/>
                <w:color w:val="auto"/>
              </w:rPr>
              <w:t>D</w:t>
            </w:r>
          </w:p>
        </w:tc>
        <w:tc>
          <w:tcPr>
            <w:tcW w:w="647" w:type="pct"/>
            <w:tcBorders>
              <w:top w:val="single" w:color="auto" w:sz="6" w:space="0"/>
              <w:left w:val="single" w:color="auto" w:sz="6" w:space="0"/>
              <w:bottom w:val="single" w:color="auto" w:sz="6" w:space="0"/>
              <w:right w:val="single" w:color="auto" w:sz="6" w:space="0"/>
            </w:tcBorders>
            <w:noWrap w:val="0"/>
            <w:vAlign w:val="center"/>
          </w:tcPr>
          <w:p w14:paraId="73E9640B">
            <w:pPr>
              <w:pStyle w:val="16"/>
              <w:bidi w:val="0"/>
              <w:rPr>
                <w:rFonts w:hint="default"/>
                <w:color w:val="auto"/>
              </w:rPr>
            </w:pPr>
            <w:r>
              <w:rPr>
                <w:rFonts w:hint="default"/>
                <w:color w:val="auto"/>
              </w:rPr>
              <w:t>&lt;2</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7D222BF7">
            <w:pPr>
              <w:pStyle w:val="16"/>
              <w:bidi w:val="0"/>
              <w:rPr>
                <w:rFonts w:hint="default"/>
                <w:color w:val="auto"/>
              </w:rPr>
            </w:pPr>
            <w:r>
              <w:rPr>
                <w:rFonts w:hint="default"/>
                <w:color w:val="auto"/>
              </w:rPr>
              <w:t>0.78</w:t>
            </w:r>
          </w:p>
        </w:tc>
        <w:tc>
          <w:tcPr>
            <w:tcW w:w="1206" w:type="pct"/>
            <w:gridSpan w:val="3"/>
            <w:tcBorders>
              <w:top w:val="single" w:color="auto" w:sz="6" w:space="0"/>
              <w:left w:val="single" w:color="auto" w:sz="6" w:space="0"/>
              <w:bottom w:val="single" w:color="auto" w:sz="6" w:space="0"/>
              <w:right w:val="single" w:color="auto" w:sz="6" w:space="0"/>
            </w:tcBorders>
            <w:noWrap w:val="0"/>
            <w:vAlign w:val="center"/>
          </w:tcPr>
          <w:p w14:paraId="43EAE736">
            <w:pPr>
              <w:pStyle w:val="16"/>
              <w:bidi w:val="0"/>
              <w:rPr>
                <w:rFonts w:hint="default"/>
                <w:color w:val="auto"/>
              </w:rPr>
            </w:pPr>
            <w:r>
              <w:rPr>
                <w:rFonts w:hint="default"/>
                <w:color w:val="auto"/>
              </w:rPr>
              <w:t>0.78</w:t>
            </w:r>
          </w:p>
        </w:tc>
        <w:tc>
          <w:tcPr>
            <w:tcW w:w="1213" w:type="pct"/>
            <w:gridSpan w:val="3"/>
            <w:tcBorders>
              <w:top w:val="single" w:color="auto" w:sz="6" w:space="0"/>
              <w:left w:val="single" w:color="auto" w:sz="6" w:space="0"/>
              <w:bottom w:val="single" w:color="auto" w:sz="6" w:space="0"/>
              <w:right w:val="nil"/>
            </w:tcBorders>
            <w:noWrap w:val="0"/>
            <w:vAlign w:val="center"/>
          </w:tcPr>
          <w:p w14:paraId="4938BDE4">
            <w:pPr>
              <w:pStyle w:val="16"/>
              <w:bidi w:val="0"/>
              <w:rPr>
                <w:rFonts w:hint="default"/>
                <w:color w:val="auto"/>
              </w:rPr>
            </w:pPr>
            <w:r>
              <w:rPr>
                <w:rFonts w:hint="default"/>
                <w:color w:val="auto"/>
              </w:rPr>
              <w:t>0.57</w:t>
            </w:r>
          </w:p>
        </w:tc>
      </w:tr>
      <w:tr w14:paraId="0EFF8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725" w:type="pct"/>
            <w:vMerge w:val="continue"/>
            <w:tcBorders>
              <w:top w:val="single" w:color="auto" w:sz="6" w:space="0"/>
              <w:left w:val="nil"/>
              <w:bottom w:val="single" w:color="000000" w:sz="12" w:space="0"/>
              <w:right w:val="single" w:color="auto" w:sz="6" w:space="0"/>
            </w:tcBorders>
            <w:noWrap w:val="0"/>
            <w:vAlign w:val="center"/>
          </w:tcPr>
          <w:p w14:paraId="72645C57">
            <w:pPr>
              <w:pStyle w:val="16"/>
              <w:bidi w:val="0"/>
              <w:rPr>
                <w:rFonts w:hint="default"/>
                <w:color w:val="auto"/>
              </w:rPr>
            </w:pPr>
          </w:p>
        </w:tc>
        <w:tc>
          <w:tcPr>
            <w:tcW w:w="647" w:type="pct"/>
            <w:tcBorders>
              <w:top w:val="single" w:color="auto" w:sz="6" w:space="0"/>
              <w:left w:val="single" w:color="auto" w:sz="6" w:space="0"/>
              <w:bottom w:val="single" w:color="000000" w:sz="12" w:space="0"/>
              <w:right w:val="single" w:color="auto" w:sz="6" w:space="0"/>
            </w:tcBorders>
            <w:noWrap w:val="0"/>
            <w:vAlign w:val="center"/>
          </w:tcPr>
          <w:p w14:paraId="48F5B22B">
            <w:pPr>
              <w:pStyle w:val="16"/>
              <w:bidi w:val="0"/>
              <w:rPr>
                <w:rFonts w:hint="default"/>
                <w:color w:val="auto"/>
              </w:rPr>
            </w:pPr>
            <w:r>
              <w:rPr>
                <w:rFonts w:hint="default"/>
                <w:color w:val="auto"/>
              </w:rPr>
              <w:t>&gt;2</w:t>
            </w:r>
          </w:p>
        </w:tc>
        <w:tc>
          <w:tcPr>
            <w:tcW w:w="1206" w:type="pct"/>
            <w:gridSpan w:val="3"/>
            <w:tcBorders>
              <w:top w:val="single" w:color="auto" w:sz="6" w:space="0"/>
              <w:left w:val="single" w:color="auto" w:sz="6" w:space="0"/>
              <w:bottom w:val="single" w:color="000000" w:sz="12" w:space="0"/>
              <w:right w:val="single" w:color="auto" w:sz="6" w:space="0"/>
            </w:tcBorders>
            <w:noWrap w:val="0"/>
            <w:vAlign w:val="center"/>
          </w:tcPr>
          <w:p w14:paraId="187F29F8">
            <w:pPr>
              <w:pStyle w:val="16"/>
              <w:bidi w:val="0"/>
              <w:rPr>
                <w:rFonts w:hint="default"/>
                <w:color w:val="auto"/>
              </w:rPr>
            </w:pPr>
            <w:r>
              <w:rPr>
                <w:rFonts w:hint="default"/>
                <w:color w:val="auto"/>
              </w:rPr>
              <w:t>0.84</w:t>
            </w:r>
          </w:p>
        </w:tc>
        <w:tc>
          <w:tcPr>
            <w:tcW w:w="1206" w:type="pct"/>
            <w:gridSpan w:val="3"/>
            <w:tcBorders>
              <w:top w:val="single" w:color="auto" w:sz="6" w:space="0"/>
              <w:left w:val="single" w:color="auto" w:sz="6" w:space="0"/>
              <w:bottom w:val="single" w:color="000000" w:sz="12" w:space="0"/>
              <w:right w:val="single" w:color="auto" w:sz="6" w:space="0"/>
            </w:tcBorders>
            <w:noWrap w:val="0"/>
            <w:vAlign w:val="center"/>
          </w:tcPr>
          <w:p w14:paraId="0AECF7F3">
            <w:pPr>
              <w:pStyle w:val="16"/>
              <w:bidi w:val="0"/>
              <w:rPr>
                <w:rFonts w:hint="default"/>
                <w:color w:val="auto"/>
              </w:rPr>
            </w:pPr>
            <w:r>
              <w:rPr>
                <w:rFonts w:hint="default"/>
                <w:color w:val="auto"/>
              </w:rPr>
              <w:t>0.84</w:t>
            </w:r>
          </w:p>
        </w:tc>
        <w:tc>
          <w:tcPr>
            <w:tcW w:w="1213" w:type="pct"/>
            <w:gridSpan w:val="3"/>
            <w:tcBorders>
              <w:top w:val="single" w:color="auto" w:sz="6" w:space="0"/>
              <w:left w:val="single" w:color="auto" w:sz="6" w:space="0"/>
              <w:bottom w:val="single" w:color="000000" w:sz="12" w:space="0"/>
              <w:right w:val="nil"/>
            </w:tcBorders>
            <w:noWrap w:val="0"/>
            <w:vAlign w:val="center"/>
          </w:tcPr>
          <w:p w14:paraId="1C267230">
            <w:pPr>
              <w:pStyle w:val="16"/>
              <w:bidi w:val="0"/>
              <w:rPr>
                <w:rFonts w:hint="default"/>
                <w:color w:val="auto"/>
              </w:rPr>
            </w:pPr>
            <w:r>
              <w:rPr>
                <w:rFonts w:hint="default"/>
                <w:color w:val="auto"/>
              </w:rPr>
              <w:t>0.76</w:t>
            </w:r>
          </w:p>
        </w:tc>
      </w:tr>
      <w:tr w14:paraId="27C4F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5000" w:type="pct"/>
            <w:gridSpan w:val="11"/>
            <w:tcBorders>
              <w:top w:val="single" w:color="000000" w:sz="12" w:space="0"/>
              <w:left w:val="nil"/>
              <w:bottom w:val="single" w:color="000000" w:sz="12" w:space="0"/>
              <w:right w:val="nil"/>
            </w:tcBorders>
            <w:noWrap w:val="0"/>
            <w:vAlign w:val="center"/>
          </w:tcPr>
          <w:p w14:paraId="1E3F5EC8">
            <w:pPr>
              <w:pStyle w:val="16"/>
              <w:bidi w:val="0"/>
              <w:jc w:val="left"/>
              <w:rPr>
                <w:rFonts w:hint="default"/>
                <w:color w:val="auto"/>
              </w:rPr>
            </w:pPr>
            <w:r>
              <w:rPr>
                <w:rFonts w:hint="default"/>
                <w:color w:val="auto"/>
              </w:rPr>
              <w:t>注：I类：与无组织排放源共存的排放同种有害气体的排气筒的排放量，大于或等于标准规定的允许排放量的三分之一者。</w:t>
            </w:r>
          </w:p>
          <w:p w14:paraId="7DCE39F7">
            <w:pPr>
              <w:pStyle w:val="16"/>
              <w:bidi w:val="0"/>
              <w:jc w:val="left"/>
              <w:rPr>
                <w:rFonts w:hint="default"/>
                <w:color w:val="auto"/>
              </w:rPr>
            </w:pPr>
            <w:r>
              <w:rPr>
                <w:rFonts w:hint="default"/>
                <w:color w:val="auto"/>
              </w:rPr>
              <w:t>II类：与无组织排放源共存的排放同种有害气体的排气筒的排放量，小于标准规定的允许排放量的三分之一，或虽无排放同种大气污染物之排气筒共存，但无组织排放的有害物质的容许浓度指标是按急性反应指标确定者。</w:t>
            </w:r>
          </w:p>
          <w:p w14:paraId="36F7DD8F">
            <w:pPr>
              <w:pStyle w:val="16"/>
              <w:bidi w:val="0"/>
              <w:jc w:val="left"/>
              <w:rPr>
                <w:rFonts w:hint="default"/>
                <w:color w:val="auto"/>
              </w:rPr>
            </w:pPr>
            <w:r>
              <w:rPr>
                <w:rFonts w:hint="default"/>
                <w:color w:val="auto"/>
              </w:rPr>
              <w:t>Ⅲ类：无排放同种有害气体的排气筒与无组织排放源共存，但无组织排放的有害物质的容许浓度是按慢性反应指标确定者。</w:t>
            </w:r>
          </w:p>
        </w:tc>
      </w:tr>
    </w:tbl>
    <w:p w14:paraId="40EB8C31">
      <w:pPr>
        <w:keepNext w:val="0"/>
        <w:keepLines w:val="0"/>
        <w:pageBreakBefore w:val="0"/>
        <w:widowControl w:val="0"/>
        <w:kinsoku/>
        <w:wordWrap/>
        <w:overflowPunct/>
        <w:topLinePunct w:val="0"/>
        <w:autoSpaceDE/>
        <w:autoSpaceDN/>
        <w:bidi w:val="0"/>
        <w:adjustRightInd/>
        <w:snapToGrid/>
        <w:spacing w:before="157" w:beforeLines="50"/>
        <w:textAlignment w:val="auto"/>
        <w:rPr>
          <w:color w:val="auto"/>
          <w:szCs w:val="32"/>
        </w:rPr>
      </w:pPr>
      <w:r>
        <w:rPr>
          <w:color w:val="auto"/>
          <w:szCs w:val="32"/>
        </w:rPr>
        <w:t>根据</w:t>
      </w:r>
      <w:r>
        <w:rPr>
          <w:rFonts w:hint="eastAsia"/>
          <w:color w:val="auto"/>
          <w:szCs w:val="32"/>
        </w:rPr>
        <w:t>《大气有害物质无组织排放卫生防护距离推导技术导则（GB/T39499-2020）》</w:t>
      </w:r>
      <w:r>
        <w:rPr>
          <w:color w:val="auto"/>
          <w:szCs w:val="32"/>
        </w:rPr>
        <w:t>的有关规定</w:t>
      </w:r>
      <w:r>
        <w:rPr>
          <w:rFonts w:hint="eastAsia"/>
          <w:color w:val="auto"/>
          <w:szCs w:val="32"/>
        </w:rPr>
        <w:t>：不同行业及生产工艺产生无组织排放的特征大气有害物质差别较大。在选取特征大气有害物质时，应首先考虑其对人体健康损害毒性特点，并根据目标行业企业的产品产量及其原辅材料、工艺特征、中间产物、产排污特点等具体情况，确定单个大气有害物质的无组织排放量及等标排放量</w:t>
      </w:r>
      <w:r>
        <w:rPr>
          <w:rFonts w:hint="eastAsia"/>
          <w:color w:val="auto"/>
          <w:szCs w:val="32"/>
          <w:lang w:eastAsia="zh-CN"/>
        </w:rPr>
        <w:t>（</w:t>
      </w:r>
      <w:r>
        <w:rPr>
          <w:rFonts w:hint="eastAsia"/>
          <w:color w:val="auto"/>
          <w:szCs w:val="32"/>
        </w:rPr>
        <w:t>Q</w:t>
      </w:r>
      <w:r>
        <w:rPr>
          <w:rFonts w:hint="eastAsia"/>
          <w:color w:val="auto"/>
          <w:szCs w:val="32"/>
          <w:vertAlign w:val="subscript"/>
        </w:rPr>
        <w:t>c</w:t>
      </w:r>
      <w:r>
        <w:rPr>
          <w:rFonts w:hint="eastAsia"/>
          <w:color w:val="auto"/>
          <w:szCs w:val="32"/>
        </w:rPr>
        <w:t>/cm</w:t>
      </w:r>
      <w:r>
        <w:rPr>
          <w:rFonts w:hint="eastAsia"/>
          <w:color w:val="auto"/>
          <w:szCs w:val="32"/>
          <w:lang w:eastAsia="zh-CN"/>
        </w:rPr>
        <w:t>）</w:t>
      </w:r>
      <w:r>
        <w:rPr>
          <w:rFonts w:hint="eastAsia"/>
          <w:color w:val="auto"/>
          <w:szCs w:val="32"/>
        </w:rPr>
        <w:t>，最终确定卫生防护距离相关的主要特征大气有害物质1种</w:t>
      </w:r>
      <w:r>
        <w:rPr>
          <w:rFonts w:hint="eastAsia"/>
          <w:color w:val="auto"/>
          <w:szCs w:val="32"/>
          <w:lang w:eastAsia="zh-CN"/>
        </w:rPr>
        <w:t>～</w:t>
      </w:r>
      <w:r>
        <w:rPr>
          <w:rFonts w:hint="eastAsia"/>
          <w:color w:val="auto"/>
          <w:szCs w:val="32"/>
        </w:rPr>
        <w:t>2种。</w:t>
      </w:r>
    </w:p>
    <w:p w14:paraId="2EA8CA08">
      <w:pPr>
        <w:ind w:firstLine="480"/>
        <w:rPr>
          <w:color w:val="auto"/>
          <w:szCs w:val="32"/>
        </w:rPr>
      </w:pPr>
      <w:r>
        <w:rPr>
          <w:rFonts w:hint="eastAsia"/>
          <w:color w:val="auto"/>
          <w:szCs w:val="32"/>
        </w:rPr>
        <w:t>等标排放量计算公式如下：P</w:t>
      </w:r>
      <w:r>
        <w:rPr>
          <w:rFonts w:hint="eastAsia"/>
          <w:color w:val="auto"/>
          <w:szCs w:val="32"/>
          <w:vertAlign w:val="subscript"/>
        </w:rPr>
        <w:t>i</w:t>
      </w:r>
      <w:r>
        <w:rPr>
          <w:rFonts w:hint="eastAsia"/>
          <w:color w:val="auto"/>
          <w:szCs w:val="32"/>
        </w:rPr>
        <w:t>=Q</w:t>
      </w:r>
      <w:r>
        <w:rPr>
          <w:rFonts w:hint="eastAsia"/>
          <w:color w:val="auto"/>
          <w:szCs w:val="32"/>
          <w:vertAlign w:val="subscript"/>
        </w:rPr>
        <w:t>i</w:t>
      </w:r>
      <w:r>
        <w:rPr>
          <w:rFonts w:hint="eastAsia"/>
          <w:color w:val="auto"/>
          <w:szCs w:val="32"/>
        </w:rPr>
        <w:t>/C</w:t>
      </w:r>
      <w:r>
        <w:rPr>
          <w:rFonts w:hint="eastAsia"/>
          <w:color w:val="auto"/>
          <w:szCs w:val="32"/>
          <w:vertAlign w:val="subscript"/>
        </w:rPr>
        <w:t>oi</w:t>
      </w:r>
      <w:r>
        <w:rPr>
          <w:rFonts w:hint="eastAsia"/>
          <w:color w:val="auto"/>
          <w:szCs w:val="32"/>
        </w:rPr>
        <w:t>╳10</w:t>
      </w:r>
      <w:r>
        <w:rPr>
          <w:rFonts w:hint="eastAsia"/>
          <w:color w:val="auto"/>
          <w:szCs w:val="32"/>
          <w:vertAlign w:val="superscript"/>
        </w:rPr>
        <w:t>9</w:t>
      </w:r>
    </w:p>
    <w:p w14:paraId="7309FF73">
      <w:pPr>
        <w:ind w:firstLine="480"/>
        <w:rPr>
          <w:color w:val="auto"/>
          <w:szCs w:val="32"/>
        </w:rPr>
      </w:pPr>
      <w:r>
        <w:rPr>
          <w:rFonts w:hint="eastAsia"/>
          <w:color w:val="auto"/>
          <w:szCs w:val="32"/>
        </w:rPr>
        <w:t>式中，P</w:t>
      </w:r>
      <w:r>
        <w:rPr>
          <w:rFonts w:hint="eastAsia"/>
          <w:color w:val="auto"/>
          <w:szCs w:val="32"/>
          <w:vertAlign w:val="subscript"/>
        </w:rPr>
        <w:t>i</w:t>
      </w:r>
      <w:r>
        <w:rPr>
          <w:rFonts w:hint="eastAsia"/>
          <w:color w:val="auto"/>
          <w:szCs w:val="32"/>
        </w:rPr>
        <w:t>——评价等级判别参数</w:t>
      </w:r>
      <w:r>
        <w:rPr>
          <w:rFonts w:hint="eastAsia"/>
          <w:color w:val="auto"/>
          <w:szCs w:val="32"/>
          <w:lang w:eastAsia="zh-CN"/>
        </w:rPr>
        <w:t>，</w:t>
      </w:r>
      <w:r>
        <w:rPr>
          <w:rFonts w:hint="eastAsia"/>
          <w:color w:val="auto"/>
          <w:szCs w:val="32"/>
        </w:rPr>
        <w:t>即通常所谓的等标排放量，</w:t>
      </w:r>
      <w:r>
        <w:rPr>
          <w:rFonts w:hint="eastAsia"/>
          <w:color w:val="auto"/>
          <w:szCs w:val="32"/>
          <w:lang w:eastAsia="zh-CN"/>
        </w:rPr>
        <w:t>m³</w:t>
      </w:r>
      <w:r>
        <w:rPr>
          <w:rFonts w:hint="eastAsia"/>
          <w:color w:val="auto"/>
          <w:szCs w:val="32"/>
        </w:rPr>
        <w:t>/h；</w:t>
      </w:r>
    </w:p>
    <w:p w14:paraId="65513E83">
      <w:pPr>
        <w:ind w:firstLine="1200" w:firstLineChars="500"/>
        <w:rPr>
          <w:color w:val="auto"/>
          <w:szCs w:val="32"/>
        </w:rPr>
      </w:pPr>
      <w:r>
        <w:rPr>
          <w:rFonts w:hint="eastAsia"/>
          <w:color w:val="auto"/>
          <w:szCs w:val="32"/>
        </w:rPr>
        <w:t>Q</w:t>
      </w:r>
      <w:r>
        <w:rPr>
          <w:rFonts w:hint="eastAsia"/>
          <w:color w:val="auto"/>
          <w:szCs w:val="32"/>
          <w:vertAlign w:val="subscript"/>
        </w:rPr>
        <w:t>i</w:t>
      </w:r>
      <w:r>
        <w:rPr>
          <w:rFonts w:hint="eastAsia"/>
          <w:color w:val="auto"/>
          <w:szCs w:val="32"/>
        </w:rPr>
        <w:t>——单位时间的排放量，t/h；</w:t>
      </w:r>
    </w:p>
    <w:p w14:paraId="434AF121">
      <w:pPr>
        <w:ind w:firstLine="1200" w:firstLineChars="500"/>
        <w:rPr>
          <w:color w:val="auto"/>
          <w:szCs w:val="32"/>
        </w:rPr>
      </w:pPr>
      <w:r>
        <w:rPr>
          <w:rFonts w:hint="eastAsia"/>
          <w:color w:val="auto"/>
          <w:szCs w:val="32"/>
        </w:rPr>
        <w:t>C</w:t>
      </w:r>
      <w:r>
        <w:rPr>
          <w:rFonts w:hint="eastAsia"/>
          <w:color w:val="auto"/>
          <w:szCs w:val="32"/>
          <w:vertAlign w:val="subscript"/>
        </w:rPr>
        <w:t>oi</w:t>
      </w:r>
      <w:r>
        <w:rPr>
          <w:rFonts w:hint="eastAsia"/>
          <w:color w:val="auto"/>
          <w:szCs w:val="32"/>
        </w:rPr>
        <w:t>——环境空气质量标准，mg/</w:t>
      </w:r>
      <w:r>
        <w:rPr>
          <w:rFonts w:hint="eastAsia"/>
          <w:color w:val="auto"/>
          <w:szCs w:val="32"/>
          <w:lang w:eastAsia="zh-CN"/>
        </w:rPr>
        <w:t>m³</w:t>
      </w:r>
      <w:r>
        <w:rPr>
          <w:rFonts w:hint="eastAsia"/>
          <w:color w:val="auto"/>
          <w:szCs w:val="32"/>
        </w:rPr>
        <w:t>。</w:t>
      </w:r>
    </w:p>
    <w:p w14:paraId="678B5399">
      <w:pPr>
        <w:ind w:firstLine="480"/>
        <w:rPr>
          <w:color w:val="auto"/>
        </w:rPr>
      </w:pPr>
      <w:r>
        <w:rPr>
          <w:rFonts w:hint="eastAsia"/>
          <w:color w:val="auto"/>
          <w:szCs w:val="32"/>
        </w:rPr>
        <w:t>根据以上公式，本项目污染物为</w:t>
      </w:r>
      <w:r>
        <w:rPr>
          <w:rFonts w:hint="eastAsia"/>
          <w:color w:val="auto"/>
          <w:szCs w:val="32"/>
          <w:lang w:val="en-US" w:eastAsia="zh-CN"/>
        </w:rPr>
        <w:t>NH</w:t>
      </w:r>
      <w:r>
        <w:rPr>
          <w:rFonts w:hint="eastAsia"/>
          <w:color w:val="auto"/>
          <w:szCs w:val="32"/>
          <w:vertAlign w:val="subscript"/>
          <w:lang w:val="en-US" w:eastAsia="zh-CN"/>
        </w:rPr>
        <w:t>3</w:t>
      </w:r>
      <w:r>
        <w:rPr>
          <w:rFonts w:hint="eastAsia"/>
          <w:color w:val="auto"/>
          <w:szCs w:val="32"/>
          <w:lang w:val="en-US" w:eastAsia="zh-CN"/>
        </w:rPr>
        <w:t>、H</w:t>
      </w:r>
      <w:r>
        <w:rPr>
          <w:rFonts w:hint="eastAsia"/>
          <w:color w:val="auto"/>
          <w:szCs w:val="32"/>
          <w:vertAlign w:val="subscript"/>
          <w:lang w:val="en-US" w:eastAsia="zh-CN"/>
        </w:rPr>
        <w:t>2</w:t>
      </w:r>
      <w:r>
        <w:rPr>
          <w:rFonts w:hint="eastAsia"/>
          <w:color w:val="auto"/>
          <w:szCs w:val="32"/>
          <w:lang w:val="en-US" w:eastAsia="zh-CN"/>
        </w:rPr>
        <w:t>S</w:t>
      </w:r>
      <w:r>
        <w:rPr>
          <w:rFonts w:hint="eastAsia"/>
          <w:color w:val="auto"/>
          <w:szCs w:val="32"/>
        </w:rPr>
        <w:t>，计算得出的等标排放量分别为</w:t>
      </w:r>
      <w:r>
        <w:rPr>
          <w:rFonts w:hint="eastAsia"/>
          <w:color w:val="auto"/>
          <w:szCs w:val="32"/>
          <w:lang w:val="en-US" w:eastAsia="zh-CN"/>
        </w:rPr>
        <w:t>37500</w:t>
      </w:r>
      <w:r>
        <w:rPr>
          <w:rFonts w:hint="eastAsia"/>
          <w:color w:val="auto"/>
          <w:szCs w:val="32"/>
          <w:lang w:eastAsia="zh-CN"/>
        </w:rPr>
        <w:t>m³</w:t>
      </w:r>
      <w:r>
        <w:rPr>
          <w:rFonts w:hint="eastAsia"/>
          <w:color w:val="auto"/>
          <w:szCs w:val="32"/>
        </w:rPr>
        <w:t>/h、</w:t>
      </w:r>
      <w:r>
        <w:rPr>
          <w:rFonts w:hint="eastAsia"/>
          <w:color w:val="auto"/>
          <w:szCs w:val="32"/>
          <w:lang w:val="en-US" w:eastAsia="zh-CN"/>
        </w:rPr>
        <w:t>10833</w:t>
      </w:r>
      <w:r>
        <w:rPr>
          <w:rFonts w:hint="eastAsia"/>
          <w:color w:val="auto"/>
          <w:szCs w:val="32"/>
          <w:lang w:eastAsia="zh-CN"/>
        </w:rPr>
        <w:t>m³</w:t>
      </w:r>
      <w:r>
        <w:rPr>
          <w:rFonts w:hint="eastAsia"/>
          <w:color w:val="auto"/>
          <w:szCs w:val="32"/>
        </w:rPr>
        <w:t>/h，则本项目主要污染物为</w:t>
      </w:r>
      <w:r>
        <w:rPr>
          <w:rFonts w:hint="eastAsia"/>
          <w:color w:val="auto"/>
          <w:szCs w:val="32"/>
          <w:lang w:val="en-US" w:eastAsia="zh-CN"/>
        </w:rPr>
        <w:t>NH</w:t>
      </w:r>
      <w:r>
        <w:rPr>
          <w:rFonts w:hint="eastAsia"/>
          <w:color w:val="auto"/>
          <w:szCs w:val="32"/>
          <w:vertAlign w:val="subscript"/>
          <w:lang w:val="en-US" w:eastAsia="zh-CN"/>
        </w:rPr>
        <w:t>3</w:t>
      </w:r>
      <w:r>
        <w:rPr>
          <w:rFonts w:hint="eastAsia"/>
          <w:color w:val="auto"/>
          <w:szCs w:val="32"/>
          <w:lang w:val="en-US" w:eastAsia="zh-CN"/>
        </w:rPr>
        <w:t>、H</w:t>
      </w:r>
      <w:r>
        <w:rPr>
          <w:rFonts w:hint="eastAsia"/>
          <w:color w:val="auto"/>
          <w:szCs w:val="32"/>
          <w:vertAlign w:val="subscript"/>
          <w:lang w:val="en-US" w:eastAsia="zh-CN"/>
        </w:rPr>
        <w:t>2</w:t>
      </w:r>
      <w:r>
        <w:rPr>
          <w:rFonts w:hint="eastAsia"/>
          <w:color w:val="auto"/>
          <w:szCs w:val="32"/>
          <w:lang w:val="en-US" w:eastAsia="zh-CN"/>
        </w:rPr>
        <w:t>S</w:t>
      </w:r>
      <w:r>
        <w:rPr>
          <w:rFonts w:hint="eastAsia"/>
          <w:color w:val="auto"/>
          <w:szCs w:val="32"/>
        </w:rPr>
        <w:t>，这两种污染物的等标排放量相差大于10%，则本项目按照</w:t>
      </w:r>
      <w:r>
        <w:rPr>
          <w:rFonts w:hint="eastAsia"/>
          <w:color w:val="auto"/>
          <w:szCs w:val="32"/>
          <w:lang w:val="en-US" w:eastAsia="zh-CN"/>
        </w:rPr>
        <w:t>NH</w:t>
      </w:r>
      <w:r>
        <w:rPr>
          <w:rFonts w:hint="eastAsia"/>
          <w:color w:val="auto"/>
          <w:szCs w:val="32"/>
          <w:vertAlign w:val="subscript"/>
          <w:lang w:val="en-US" w:eastAsia="zh-CN"/>
        </w:rPr>
        <w:t>3</w:t>
      </w:r>
      <w:r>
        <w:rPr>
          <w:rFonts w:hint="eastAsia"/>
          <w:color w:val="auto"/>
          <w:szCs w:val="32"/>
        </w:rPr>
        <w:t>来核算本项目卫生防护距离。</w:t>
      </w:r>
    </w:p>
    <w:p w14:paraId="2449D98B">
      <w:pPr>
        <w:bidi w:val="0"/>
        <w:rPr>
          <w:color w:val="auto"/>
        </w:rPr>
      </w:pPr>
      <w:r>
        <w:rPr>
          <w:rFonts w:hint="eastAsia"/>
          <w:color w:val="auto"/>
        </w:rPr>
        <w:t>根据工业企业所在地区近五年平均风速及工业企业大气污染源构成类别。项目卫生防护距离计算参数见</w:t>
      </w:r>
      <w:r>
        <w:rPr>
          <w:rFonts w:hint="eastAsia"/>
          <w:color w:val="auto"/>
          <w:lang w:val="en-US" w:eastAsia="zh-CN"/>
        </w:rPr>
        <w:t>下表</w:t>
      </w:r>
      <w:r>
        <w:rPr>
          <w:rFonts w:hint="eastAsia"/>
          <w:color w:val="auto"/>
        </w:rPr>
        <w:t>。</w:t>
      </w:r>
    </w:p>
    <w:p w14:paraId="3DD5A4A7">
      <w:pPr>
        <w:pStyle w:val="19"/>
        <w:numPr>
          <w:ilvl w:val="0"/>
          <w:numId w:val="31"/>
        </w:numPr>
        <w:bidi w:val="0"/>
        <w:ind w:left="1440" w:leftChars="0" w:firstLine="0" w:firstLineChars="0"/>
        <w:rPr>
          <w:rFonts w:hint="eastAsia"/>
          <w:color w:val="auto"/>
        </w:rPr>
      </w:pPr>
      <w:r>
        <w:rPr>
          <w:color w:val="auto"/>
        </w:rPr>
        <w:t>卫生防护距离计算系数</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877"/>
        <w:gridCol w:w="570"/>
        <w:gridCol w:w="795"/>
        <w:gridCol w:w="645"/>
        <w:gridCol w:w="630"/>
        <w:gridCol w:w="843"/>
        <w:gridCol w:w="1016"/>
        <w:gridCol w:w="586"/>
        <w:gridCol w:w="428"/>
        <w:gridCol w:w="481"/>
        <w:gridCol w:w="482"/>
        <w:gridCol w:w="491"/>
      </w:tblGrid>
      <w:tr w14:paraId="4220B2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1061" w:type="pct"/>
            <w:vMerge w:val="restart"/>
            <w:tcBorders>
              <w:tl2br w:val="nil"/>
              <w:tr2bl w:val="nil"/>
            </w:tcBorders>
            <w:noWrap w:val="0"/>
            <w:vAlign w:val="center"/>
          </w:tcPr>
          <w:p w14:paraId="527F792C">
            <w:pPr>
              <w:pStyle w:val="16"/>
              <w:bidi w:val="0"/>
              <w:rPr>
                <w:b/>
                <w:bCs/>
                <w:color w:val="auto"/>
              </w:rPr>
            </w:pPr>
            <w:r>
              <w:rPr>
                <w:b/>
                <w:bCs/>
                <w:color w:val="auto"/>
              </w:rPr>
              <w:t>装置区</w:t>
            </w:r>
          </w:p>
        </w:tc>
        <w:tc>
          <w:tcPr>
            <w:tcW w:w="322" w:type="pct"/>
            <w:vMerge w:val="restart"/>
            <w:tcBorders>
              <w:tl2br w:val="nil"/>
              <w:tr2bl w:val="nil"/>
            </w:tcBorders>
            <w:noWrap w:val="0"/>
            <w:vAlign w:val="center"/>
          </w:tcPr>
          <w:p w14:paraId="2E333C1A">
            <w:pPr>
              <w:pStyle w:val="16"/>
              <w:bidi w:val="0"/>
              <w:rPr>
                <w:b/>
                <w:bCs/>
                <w:color w:val="auto"/>
              </w:rPr>
            </w:pPr>
            <w:r>
              <w:rPr>
                <w:b/>
                <w:bCs/>
                <w:color w:val="auto"/>
              </w:rPr>
              <w:t>污染物</w:t>
            </w:r>
          </w:p>
        </w:tc>
        <w:tc>
          <w:tcPr>
            <w:tcW w:w="814" w:type="pct"/>
            <w:gridSpan w:val="2"/>
            <w:tcBorders>
              <w:tl2br w:val="nil"/>
              <w:tr2bl w:val="nil"/>
            </w:tcBorders>
            <w:noWrap w:val="0"/>
            <w:vAlign w:val="center"/>
          </w:tcPr>
          <w:p w14:paraId="3784EB57">
            <w:pPr>
              <w:pStyle w:val="16"/>
              <w:bidi w:val="0"/>
              <w:rPr>
                <w:b/>
                <w:bCs/>
                <w:color w:val="auto"/>
              </w:rPr>
            </w:pPr>
            <w:r>
              <w:rPr>
                <w:rFonts w:hint="eastAsia"/>
                <w:b/>
                <w:bCs/>
                <w:color w:val="auto"/>
              </w:rPr>
              <w:t>无组织排放源</w:t>
            </w:r>
          </w:p>
        </w:tc>
        <w:tc>
          <w:tcPr>
            <w:tcW w:w="356" w:type="pct"/>
            <w:vMerge w:val="restart"/>
            <w:tcBorders>
              <w:tl2br w:val="nil"/>
              <w:tr2bl w:val="nil"/>
            </w:tcBorders>
            <w:noWrap w:val="0"/>
            <w:vAlign w:val="center"/>
          </w:tcPr>
          <w:p w14:paraId="4FAE4ED5">
            <w:pPr>
              <w:pStyle w:val="16"/>
              <w:bidi w:val="0"/>
              <w:rPr>
                <w:b/>
                <w:bCs/>
                <w:color w:val="auto"/>
              </w:rPr>
            </w:pPr>
            <w:r>
              <w:rPr>
                <w:b/>
                <w:bCs/>
                <w:color w:val="auto"/>
              </w:rPr>
              <w:t>有效高度（m）</w:t>
            </w:r>
          </w:p>
        </w:tc>
        <w:tc>
          <w:tcPr>
            <w:tcW w:w="476" w:type="pct"/>
            <w:vMerge w:val="restart"/>
            <w:tcBorders>
              <w:tl2br w:val="nil"/>
              <w:tr2bl w:val="nil"/>
            </w:tcBorders>
            <w:noWrap w:val="0"/>
            <w:vAlign w:val="center"/>
          </w:tcPr>
          <w:p w14:paraId="45483E98">
            <w:pPr>
              <w:pStyle w:val="16"/>
              <w:bidi w:val="0"/>
              <w:rPr>
                <w:b/>
                <w:bCs/>
                <w:color w:val="auto"/>
              </w:rPr>
            </w:pPr>
            <w:r>
              <w:rPr>
                <w:b/>
                <w:bCs/>
                <w:color w:val="auto"/>
              </w:rPr>
              <w:t>排放强度（kg/h）</w:t>
            </w:r>
          </w:p>
        </w:tc>
        <w:tc>
          <w:tcPr>
            <w:tcW w:w="574" w:type="pct"/>
            <w:vMerge w:val="restart"/>
            <w:tcBorders>
              <w:tl2br w:val="nil"/>
              <w:tr2bl w:val="nil"/>
            </w:tcBorders>
            <w:noWrap w:val="0"/>
            <w:vAlign w:val="center"/>
          </w:tcPr>
          <w:p w14:paraId="74F1E76C">
            <w:pPr>
              <w:pStyle w:val="16"/>
              <w:bidi w:val="0"/>
              <w:rPr>
                <w:rFonts w:hint="eastAsia"/>
                <w:b/>
                <w:bCs/>
                <w:color w:val="auto"/>
                <w:lang w:eastAsia="zh-CN"/>
              </w:rPr>
            </w:pPr>
            <w:r>
              <w:rPr>
                <w:rFonts w:hint="eastAsia"/>
                <w:b/>
                <w:bCs/>
                <w:color w:val="auto"/>
              </w:rPr>
              <w:t>标准浓度限值</w:t>
            </w:r>
            <w:r>
              <w:rPr>
                <w:rFonts w:hint="eastAsia"/>
                <w:b/>
                <w:bCs/>
                <w:color w:val="auto"/>
                <w:lang w:val="en-US" w:eastAsia="zh-CN"/>
              </w:rPr>
              <w:t>m</w:t>
            </w:r>
            <w:r>
              <w:rPr>
                <w:rFonts w:hint="eastAsia"/>
                <w:b/>
                <w:bCs/>
                <w:color w:val="auto"/>
              </w:rPr>
              <w:t>g/</w:t>
            </w:r>
            <w:r>
              <w:rPr>
                <w:rFonts w:hint="eastAsia"/>
                <w:b/>
                <w:bCs/>
                <w:color w:val="auto"/>
                <w:lang w:eastAsia="zh-CN"/>
              </w:rPr>
              <w:t>m³</w:t>
            </w:r>
          </w:p>
        </w:tc>
        <w:tc>
          <w:tcPr>
            <w:tcW w:w="331" w:type="pct"/>
            <w:vMerge w:val="restart"/>
            <w:tcBorders>
              <w:tl2br w:val="nil"/>
              <w:tr2bl w:val="nil"/>
            </w:tcBorders>
            <w:noWrap w:val="0"/>
            <w:vAlign w:val="center"/>
          </w:tcPr>
          <w:p w14:paraId="12AA9FFE">
            <w:pPr>
              <w:pStyle w:val="16"/>
              <w:bidi w:val="0"/>
              <w:rPr>
                <w:b/>
                <w:bCs/>
                <w:color w:val="auto"/>
              </w:rPr>
            </w:pPr>
            <w:r>
              <w:rPr>
                <w:b/>
                <w:bCs/>
                <w:color w:val="auto"/>
              </w:rPr>
              <w:t>按级差划定</w:t>
            </w:r>
          </w:p>
        </w:tc>
        <w:tc>
          <w:tcPr>
            <w:tcW w:w="1063" w:type="pct"/>
            <w:gridSpan w:val="4"/>
            <w:tcBorders>
              <w:tl2br w:val="nil"/>
              <w:tr2bl w:val="nil"/>
            </w:tcBorders>
            <w:noWrap w:val="0"/>
            <w:vAlign w:val="center"/>
          </w:tcPr>
          <w:p w14:paraId="1C00347B">
            <w:pPr>
              <w:pStyle w:val="16"/>
              <w:bidi w:val="0"/>
              <w:rPr>
                <w:b/>
                <w:bCs/>
                <w:color w:val="auto"/>
              </w:rPr>
            </w:pPr>
            <w:r>
              <w:rPr>
                <w:rFonts w:hint="eastAsia"/>
                <w:b/>
                <w:bCs/>
                <w:color w:val="auto"/>
              </w:rPr>
              <w:t>计算系数</w:t>
            </w:r>
          </w:p>
        </w:tc>
      </w:tr>
      <w:tr w14:paraId="7578A6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1061" w:type="pct"/>
            <w:vMerge w:val="continue"/>
            <w:tcBorders>
              <w:tl2br w:val="nil"/>
              <w:tr2bl w:val="nil"/>
            </w:tcBorders>
            <w:noWrap w:val="0"/>
            <w:vAlign w:val="center"/>
          </w:tcPr>
          <w:p w14:paraId="0EABE4E9">
            <w:pPr>
              <w:pStyle w:val="16"/>
              <w:bidi w:val="0"/>
              <w:rPr>
                <w:b/>
                <w:bCs/>
                <w:color w:val="auto"/>
              </w:rPr>
            </w:pPr>
          </w:p>
        </w:tc>
        <w:tc>
          <w:tcPr>
            <w:tcW w:w="322" w:type="pct"/>
            <w:vMerge w:val="continue"/>
            <w:tcBorders>
              <w:tl2br w:val="nil"/>
              <w:tr2bl w:val="nil"/>
            </w:tcBorders>
            <w:noWrap w:val="0"/>
            <w:vAlign w:val="center"/>
          </w:tcPr>
          <w:p w14:paraId="3D10B5D5">
            <w:pPr>
              <w:pStyle w:val="16"/>
              <w:bidi w:val="0"/>
              <w:rPr>
                <w:b/>
                <w:bCs/>
                <w:color w:val="auto"/>
              </w:rPr>
            </w:pPr>
          </w:p>
        </w:tc>
        <w:tc>
          <w:tcPr>
            <w:tcW w:w="449" w:type="pct"/>
            <w:tcBorders>
              <w:tl2br w:val="nil"/>
              <w:tr2bl w:val="nil"/>
            </w:tcBorders>
            <w:noWrap w:val="0"/>
            <w:vAlign w:val="center"/>
          </w:tcPr>
          <w:p w14:paraId="224967ED">
            <w:pPr>
              <w:pStyle w:val="16"/>
              <w:bidi w:val="0"/>
              <w:rPr>
                <w:rFonts w:hint="eastAsia"/>
                <w:b/>
                <w:bCs/>
                <w:color w:val="auto"/>
              </w:rPr>
            </w:pPr>
            <w:r>
              <w:rPr>
                <w:b/>
                <w:bCs/>
                <w:color w:val="auto"/>
              </w:rPr>
              <w:t>长度（m）</w:t>
            </w:r>
          </w:p>
        </w:tc>
        <w:tc>
          <w:tcPr>
            <w:tcW w:w="364" w:type="pct"/>
            <w:tcBorders>
              <w:tl2br w:val="nil"/>
              <w:tr2bl w:val="nil"/>
            </w:tcBorders>
            <w:noWrap w:val="0"/>
            <w:vAlign w:val="center"/>
          </w:tcPr>
          <w:p w14:paraId="40571D35">
            <w:pPr>
              <w:pStyle w:val="16"/>
              <w:bidi w:val="0"/>
              <w:rPr>
                <w:rFonts w:hint="eastAsia"/>
                <w:b/>
                <w:bCs/>
                <w:color w:val="auto"/>
              </w:rPr>
            </w:pPr>
            <w:r>
              <w:rPr>
                <w:b/>
                <w:bCs/>
                <w:color w:val="auto"/>
              </w:rPr>
              <w:t>宽度（m）</w:t>
            </w:r>
          </w:p>
        </w:tc>
        <w:tc>
          <w:tcPr>
            <w:tcW w:w="356" w:type="pct"/>
            <w:vMerge w:val="continue"/>
            <w:tcBorders>
              <w:tl2br w:val="nil"/>
              <w:tr2bl w:val="nil"/>
            </w:tcBorders>
            <w:noWrap w:val="0"/>
            <w:vAlign w:val="center"/>
          </w:tcPr>
          <w:p w14:paraId="3269B86B">
            <w:pPr>
              <w:pStyle w:val="16"/>
              <w:bidi w:val="0"/>
              <w:rPr>
                <w:b/>
                <w:bCs/>
                <w:color w:val="auto"/>
              </w:rPr>
            </w:pPr>
          </w:p>
        </w:tc>
        <w:tc>
          <w:tcPr>
            <w:tcW w:w="476" w:type="pct"/>
            <w:vMerge w:val="continue"/>
            <w:tcBorders>
              <w:tl2br w:val="nil"/>
              <w:tr2bl w:val="nil"/>
            </w:tcBorders>
            <w:noWrap w:val="0"/>
            <w:vAlign w:val="center"/>
          </w:tcPr>
          <w:p w14:paraId="5D435B6B">
            <w:pPr>
              <w:pStyle w:val="16"/>
              <w:bidi w:val="0"/>
              <w:rPr>
                <w:b/>
                <w:bCs/>
                <w:color w:val="auto"/>
              </w:rPr>
            </w:pPr>
          </w:p>
        </w:tc>
        <w:tc>
          <w:tcPr>
            <w:tcW w:w="574" w:type="pct"/>
            <w:vMerge w:val="continue"/>
            <w:tcBorders>
              <w:tl2br w:val="nil"/>
              <w:tr2bl w:val="nil"/>
            </w:tcBorders>
            <w:noWrap w:val="0"/>
            <w:vAlign w:val="center"/>
          </w:tcPr>
          <w:p w14:paraId="18137226">
            <w:pPr>
              <w:pStyle w:val="16"/>
              <w:bidi w:val="0"/>
              <w:rPr>
                <w:b/>
                <w:bCs/>
                <w:color w:val="auto"/>
              </w:rPr>
            </w:pPr>
          </w:p>
        </w:tc>
        <w:tc>
          <w:tcPr>
            <w:tcW w:w="331" w:type="pct"/>
            <w:vMerge w:val="continue"/>
            <w:tcBorders>
              <w:tl2br w:val="nil"/>
              <w:tr2bl w:val="nil"/>
            </w:tcBorders>
            <w:noWrap w:val="0"/>
            <w:vAlign w:val="center"/>
          </w:tcPr>
          <w:p w14:paraId="70D265B7">
            <w:pPr>
              <w:pStyle w:val="16"/>
              <w:bidi w:val="0"/>
              <w:rPr>
                <w:b/>
                <w:bCs/>
                <w:color w:val="auto"/>
              </w:rPr>
            </w:pPr>
          </w:p>
        </w:tc>
        <w:tc>
          <w:tcPr>
            <w:tcW w:w="241" w:type="pct"/>
            <w:tcBorders>
              <w:tl2br w:val="nil"/>
              <w:tr2bl w:val="nil"/>
            </w:tcBorders>
            <w:noWrap w:val="0"/>
            <w:vAlign w:val="center"/>
          </w:tcPr>
          <w:p w14:paraId="184473D2">
            <w:pPr>
              <w:pStyle w:val="16"/>
              <w:bidi w:val="0"/>
              <w:rPr>
                <w:b/>
                <w:bCs/>
                <w:color w:val="auto"/>
              </w:rPr>
            </w:pPr>
            <w:r>
              <w:rPr>
                <w:rFonts w:hint="eastAsia"/>
                <w:b/>
                <w:bCs/>
                <w:color w:val="auto"/>
              </w:rPr>
              <w:t>A</w:t>
            </w:r>
          </w:p>
        </w:tc>
        <w:tc>
          <w:tcPr>
            <w:tcW w:w="271" w:type="pct"/>
            <w:tcBorders>
              <w:tl2br w:val="nil"/>
              <w:tr2bl w:val="nil"/>
            </w:tcBorders>
            <w:noWrap w:val="0"/>
            <w:vAlign w:val="center"/>
          </w:tcPr>
          <w:p w14:paraId="283DD6E1">
            <w:pPr>
              <w:pStyle w:val="16"/>
              <w:bidi w:val="0"/>
              <w:rPr>
                <w:b/>
                <w:bCs/>
                <w:color w:val="auto"/>
              </w:rPr>
            </w:pPr>
            <w:r>
              <w:rPr>
                <w:rFonts w:hint="eastAsia"/>
                <w:b/>
                <w:bCs/>
                <w:color w:val="auto"/>
              </w:rPr>
              <w:t>B</w:t>
            </w:r>
          </w:p>
        </w:tc>
        <w:tc>
          <w:tcPr>
            <w:tcW w:w="272" w:type="pct"/>
            <w:tcBorders>
              <w:tl2br w:val="nil"/>
              <w:tr2bl w:val="nil"/>
            </w:tcBorders>
            <w:noWrap w:val="0"/>
            <w:vAlign w:val="center"/>
          </w:tcPr>
          <w:p w14:paraId="4FD5EBCE">
            <w:pPr>
              <w:pStyle w:val="16"/>
              <w:bidi w:val="0"/>
              <w:rPr>
                <w:b/>
                <w:bCs/>
                <w:color w:val="auto"/>
              </w:rPr>
            </w:pPr>
            <w:r>
              <w:rPr>
                <w:rFonts w:hint="eastAsia"/>
                <w:b/>
                <w:bCs/>
                <w:color w:val="auto"/>
              </w:rPr>
              <w:t>C</w:t>
            </w:r>
          </w:p>
        </w:tc>
        <w:tc>
          <w:tcPr>
            <w:tcW w:w="277" w:type="pct"/>
            <w:tcBorders>
              <w:tl2br w:val="nil"/>
              <w:tr2bl w:val="nil"/>
            </w:tcBorders>
            <w:noWrap w:val="0"/>
            <w:vAlign w:val="center"/>
          </w:tcPr>
          <w:p w14:paraId="48236B3F">
            <w:pPr>
              <w:pStyle w:val="16"/>
              <w:bidi w:val="0"/>
              <w:rPr>
                <w:b/>
                <w:bCs/>
                <w:color w:val="auto"/>
              </w:rPr>
            </w:pPr>
            <w:r>
              <w:rPr>
                <w:rFonts w:hint="eastAsia"/>
                <w:b/>
                <w:bCs/>
                <w:color w:val="auto"/>
              </w:rPr>
              <w:t>D</w:t>
            </w:r>
          </w:p>
        </w:tc>
      </w:tr>
      <w:tr w14:paraId="08A2E3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1061" w:type="pct"/>
            <w:tcBorders>
              <w:tl2br w:val="nil"/>
              <w:tr2bl w:val="nil"/>
            </w:tcBorders>
            <w:noWrap w:val="0"/>
            <w:vAlign w:val="center"/>
          </w:tcPr>
          <w:p w14:paraId="4FA14B93">
            <w:pPr>
              <w:pStyle w:val="16"/>
              <w:bidi w:val="0"/>
              <w:rPr>
                <w:color w:val="auto"/>
              </w:rPr>
            </w:pPr>
            <w:r>
              <w:rPr>
                <w:rFonts w:hint="eastAsia"/>
                <w:color w:val="auto"/>
                <w:lang w:val="en-US" w:eastAsia="zh-CN"/>
              </w:rPr>
              <w:t>超细格栅</w:t>
            </w:r>
          </w:p>
        </w:tc>
        <w:tc>
          <w:tcPr>
            <w:tcW w:w="322" w:type="pct"/>
            <w:tcBorders>
              <w:tl2br w:val="nil"/>
              <w:tr2bl w:val="nil"/>
            </w:tcBorders>
            <w:noWrap w:val="0"/>
            <w:vAlign w:val="center"/>
          </w:tcPr>
          <w:p w14:paraId="2EDAB1DE">
            <w:pPr>
              <w:pStyle w:val="16"/>
              <w:bidi w:val="0"/>
              <w:rPr>
                <w:color w:val="auto"/>
              </w:rPr>
            </w:pPr>
            <w:r>
              <w:rPr>
                <w:color w:val="auto"/>
              </w:rPr>
              <w:t>NH</w:t>
            </w:r>
            <w:r>
              <w:rPr>
                <w:color w:val="auto"/>
                <w:vertAlign w:val="subscript"/>
              </w:rPr>
              <w:t>3</w:t>
            </w:r>
          </w:p>
        </w:tc>
        <w:tc>
          <w:tcPr>
            <w:tcW w:w="449" w:type="pct"/>
            <w:tcBorders>
              <w:tl2br w:val="nil"/>
              <w:tr2bl w:val="nil"/>
            </w:tcBorders>
            <w:noWrap w:val="0"/>
            <w:vAlign w:val="center"/>
          </w:tcPr>
          <w:p w14:paraId="067F7A2B">
            <w:pPr>
              <w:pStyle w:val="16"/>
              <w:bidi w:val="0"/>
              <w:rPr>
                <w:rFonts w:hint="default"/>
                <w:color w:val="auto"/>
                <w:lang w:val="en-US" w:eastAsia="zh-CN"/>
              </w:rPr>
            </w:pPr>
            <w:r>
              <w:rPr>
                <w:rFonts w:hint="default"/>
                <w:color w:val="auto"/>
                <w:lang w:val="en-US" w:eastAsia="zh-CN"/>
              </w:rPr>
              <w:t>7.7</w:t>
            </w:r>
          </w:p>
        </w:tc>
        <w:tc>
          <w:tcPr>
            <w:tcW w:w="364" w:type="pct"/>
            <w:tcBorders>
              <w:tl2br w:val="nil"/>
              <w:tr2bl w:val="nil"/>
            </w:tcBorders>
            <w:noWrap w:val="0"/>
            <w:vAlign w:val="center"/>
          </w:tcPr>
          <w:p w14:paraId="00F11D52">
            <w:pPr>
              <w:pStyle w:val="16"/>
              <w:bidi w:val="0"/>
              <w:rPr>
                <w:rFonts w:hint="default"/>
                <w:color w:val="auto"/>
                <w:lang w:val="en-US" w:eastAsia="zh-CN"/>
              </w:rPr>
            </w:pPr>
            <w:r>
              <w:rPr>
                <w:rFonts w:hint="default"/>
                <w:color w:val="auto"/>
                <w:lang w:val="en-US" w:eastAsia="zh-CN"/>
              </w:rPr>
              <w:t>3.5</w:t>
            </w:r>
          </w:p>
        </w:tc>
        <w:tc>
          <w:tcPr>
            <w:tcW w:w="356" w:type="pct"/>
            <w:tcBorders>
              <w:tl2br w:val="nil"/>
              <w:tr2bl w:val="nil"/>
            </w:tcBorders>
            <w:noWrap w:val="0"/>
            <w:vAlign w:val="center"/>
          </w:tcPr>
          <w:p w14:paraId="61B5CFBD">
            <w:pPr>
              <w:pStyle w:val="16"/>
              <w:bidi w:val="0"/>
              <w:rPr>
                <w:color w:val="auto"/>
              </w:rPr>
            </w:pPr>
            <w:r>
              <w:rPr>
                <w:rFonts w:hint="default"/>
                <w:color w:val="auto"/>
                <w:lang w:val="en-US" w:eastAsia="zh-CN"/>
              </w:rPr>
              <w:t>2</w:t>
            </w:r>
          </w:p>
        </w:tc>
        <w:tc>
          <w:tcPr>
            <w:tcW w:w="476" w:type="pct"/>
            <w:tcBorders>
              <w:tl2br w:val="nil"/>
              <w:tr2bl w:val="nil"/>
            </w:tcBorders>
            <w:noWrap w:val="0"/>
            <w:vAlign w:val="center"/>
          </w:tcPr>
          <w:p w14:paraId="2303BA7B">
            <w:pPr>
              <w:pStyle w:val="16"/>
              <w:bidi w:val="0"/>
              <w:rPr>
                <w:color w:val="auto"/>
              </w:rPr>
            </w:pPr>
            <w:r>
              <w:rPr>
                <w:rFonts w:hint="default"/>
                <w:color w:val="auto"/>
                <w:lang w:val="en-US" w:eastAsia="zh-CN"/>
              </w:rPr>
              <w:t>0.00045</w:t>
            </w:r>
          </w:p>
        </w:tc>
        <w:tc>
          <w:tcPr>
            <w:tcW w:w="574" w:type="pct"/>
            <w:tcBorders>
              <w:tl2br w:val="nil"/>
              <w:tr2bl w:val="nil"/>
            </w:tcBorders>
            <w:noWrap w:val="0"/>
            <w:vAlign w:val="center"/>
          </w:tcPr>
          <w:p w14:paraId="622F3AD1">
            <w:pPr>
              <w:pStyle w:val="16"/>
              <w:bidi w:val="0"/>
              <w:ind w:left="0" w:leftChars="0" w:firstLine="0" w:firstLineChars="0"/>
              <w:rPr>
                <w:rFonts w:hint="default" w:eastAsia="宋体"/>
                <w:color w:val="auto"/>
                <w:lang w:val="en-US" w:eastAsia="zh-CN"/>
              </w:rPr>
            </w:pPr>
            <w:r>
              <w:rPr>
                <w:rFonts w:hint="eastAsia"/>
                <w:color w:val="auto"/>
                <w:lang w:val="en-US" w:eastAsia="zh-CN"/>
              </w:rPr>
              <w:t>1.5</w:t>
            </w:r>
          </w:p>
        </w:tc>
        <w:tc>
          <w:tcPr>
            <w:tcW w:w="331" w:type="pct"/>
            <w:vMerge w:val="restart"/>
            <w:tcBorders>
              <w:tl2br w:val="nil"/>
              <w:tr2bl w:val="nil"/>
            </w:tcBorders>
            <w:noWrap w:val="0"/>
            <w:vAlign w:val="center"/>
          </w:tcPr>
          <w:p w14:paraId="1DF7DF3F">
            <w:pPr>
              <w:pStyle w:val="16"/>
              <w:bidi w:val="0"/>
              <w:rPr>
                <w:color w:val="auto"/>
              </w:rPr>
            </w:pPr>
            <w:r>
              <w:rPr>
                <w:rFonts w:hint="eastAsia"/>
                <w:color w:val="auto"/>
              </w:rPr>
              <w:t>II类</w:t>
            </w:r>
          </w:p>
        </w:tc>
        <w:tc>
          <w:tcPr>
            <w:tcW w:w="241" w:type="pct"/>
            <w:vMerge w:val="restart"/>
            <w:tcBorders>
              <w:tl2br w:val="nil"/>
              <w:tr2bl w:val="nil"/>
            </w:tcBorders>
            <w:noWrap w:val="0"/>
            <w:vAlign w:val="center"/>
          </w:tcPr>
          <w:p w14:paraId="1DC234BB">
            <w:pPr>
              <w:pStyle w:val="16"/>
              <w:bidi w:val="0"/>
              <w:rPr>
                <w:rFonts w:hint="default" w:eastAsia="宋体"/>
                <w:color w:val="auto"/>
                <w:lang w:val="en-US" w:eastAsia="zh-CN"/>
              </w:rPr>
            </w:pPr>
            <w:r>
              <w:rPr>
                <w:rFonts w:hint="eastAsia"/>
                <w:color w:val="auto"/>
                <w:lang w:val="en-US" w:eastAsia="zh-CN"/>
              </w:rPr>
              <w:t>400</w:t>
            </w:r>
          </w:p>
        </w:tc>
        <w:tc>
          <w:tcPr>
            <w:tcW w:w="271" w:type="pct"/>
            <w:vMerge w:val="restart"/>
            <w:tcBorders>
              <w:tl2br w:val="nil"/>
              <w:tr2bl w:val="nil"/>
            </w:tcBorders>
            <w:noWrap w:val="0"/>
            <w:vAlign w:val="center"/>
          </w:tcPr>
          <w:p w14:paraId="404B1347">
            <w:pPr>
              <w:pStyle w:val="16"/>
              <w:bidi w:val="0"/>
              <w:rPr>
                <w:color w:val="auto"/>
              </w:rPr>
            </w:pPr>
            <w:r>
              <w:rPr>
                <w:rFonts w:hint="eastAsia"/>
                <w:color w:val="auto"/>
              </w:rPr>
              <w:t>0.01</w:t>
            </w:r>
          </w:p>
        </w:tc>
        <w:tc>
          <w:tcPr>
            <w:tcW w:w="272" w:type="pct"/>
            <w:vMerge w:val="restart"/>
            <w:tcBorders>
              <w:tl2br w:val="nil"/>
              <w:tr2bl w:val="nil"/>
            </w:tcBorders>
            <w:noWrap w:val="0"/>
            <w:vAlign w:val="center"/>
          </w:tcPr>
          <w:p w14:paraId="4021251F">
            <w:pPr>
              <w:pStyle w:val="16"/>
              <w:bidi w:val="0"/>
              <w:rPr>
                <w:color w:val="auto"/>
              </w:rPr>
            </w:pPr>
            <w:r>
              <w:rPr>
                <w:rFonts w:hint="eastAsia"/>
                <w:color w:val="auto"/>
              </w:rPr>
              <w:t>1.85</w:t>
            </w:r>
          </w:p>
        </w:tc>
        <w:tc>
          <w:tcPr>
            <w:tcW w:w="277" w:type="pct"/>
            <w:vMerge w:val="restart"/>
            <w:tcBorders>
              <w:tl2br w:val="nil"/>
              <w:tr2bl w:val="nil"/>
            </w:tcBorders>
            <w:noWrap w:val="0"/>
            <w:vAlign w:val="center"/>
          </w:tcPr>
          <w:p w14:paraId="6AF19C20">
            <w:pPr>
              <w:pStyle w:val="16"/>
              <w:bidi w:val="0"/>
              <w:rPr>
                <w:rFonts w:hint="default" w:eastAsia="宋体"/>
                <w:color w:val="auto"/>
                <w:lang w:val="en-US" w:eastAsia="zh-CN"/>
              </w:rPr>
            </w:pPr>
            <w:r>
              <w:rPr>
                <w:rFonts w:hint="eastAsia"/>
                <w:color w:val="auto"/>
              </w:rPr>
              <w:t>0.</w:t>
            </w:r>
            <w:r>
              <w:rPr>
                <w:rFonts w:hint="eastAsia"/>
                <w:color w:val="auto"/>
                <w:lang w:val="en-US" w:eastAsia="zh-CN"/>
              </w:rPr>
              <w:t>78</w:t>
            </w:r>
          </w:p>
        </w:tc>
      </w:tr>
      <w:tr w14:paraId="493481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1061" w:type="pct"/>
            <w:tcBorders>
              <w:tl2br w:val="nil"/>
              <w:tr2bl w:val="nil"/>
            </w:tcBorders>
            <w:noWrap w:val="0"/>
            <w:vAlign w:val="center"/>
          </w:tcPr>
          <w:p w14:paraId="1C24D932">
            <w:pPr>
              <w:pStyle w:val="16"/>
              <w:bidi w:val="0"/>
              <w:rPr>
                <w:color w:val="auto"/>
              </w:rPr>
            </w:pPr>
            <w:r>
              <w:rPr>
                <w:rFonts w:hint="eastAsia"/>
                <w:color w:val="auto"/>
                <w:lang w:val="en-US" w:eastAsia="zh-CN"/>
              </w:rPr>
              <w:t>调节池</w:t>
            </w:r>
          </w:p>
        </w:tc>
        <w:tc>
          <w:tcPr>
            <w:tcW w:w="322" w:type="pct"/>
            <w:tcBorders>
              <w:tl2br w:val="nil"/>
              <w:tr2bl w:val="nil"/>
            </w:tcBorders>
            <w:noWrap w:val="0"/>
            <w:vAlign w:val="center"/>
          </w:tcPr>
          <w:p w14:paraId="33BEA521">
            <w:pPr>
              <w:pStyle w:val="16"/>
              <w:bidi w:val="0"/>
              <w:rPr>
                <w:color w:val="auto"/>
              </w:rPr>
            </w:pPr>
            <w:r>
              <w:rPr>
                <w:color w:val="auto"/>
              </w:rPr>
              <w:t>NH</w:t>
            </w:r>
            <w:r>
              <w:rPr>
                <w:color w:val="auto"/>
                <w:vertAlign w:val="subscript"/>
              </w:rPr>
              <w:t>3</w:t>
            </w:r>
          </w:p>
        </w:tc>
        <w:tc>
          <w:tcPr>
            <w:tcW w:w="449" w:type="pct"/>
            <w:tcBorders>
              <w:tl2br w:val="nil"/>
              <w:tr2bl w:val="nil"/>
            </w:tcBorders>
            <w:noWrap w:val="0"/>
            <w:vAlign w:val="center"/>
          </w:tcPr>
          <w:p w14:paraId="233E742A">
            <w:pPr>
              <w:pStyle w:val="16"/>
              <w:bidi w:val="0"/>
              <w:rPr>
                <w:rFonts w:hint="eastAsia"/>
                <w:color w:val="auto"/>
                <w:lang w:val="en-US" w:eastAsia="zh-CN"/>
              </w:rPr>
            </w:pPr>
            <w:r>
              <w:rPr>
                <w:rFonts w:hint="default"/>
                <w:color w:val="auto"/>
                <w:lang w:val="en-US" w:eastAsia="zh-CN"/>
              </w:rPr>
              <w:t>21.1</w:t>
            </w:r>
          </w:p>
        </w:tc>
        <w:tc>
          <w:tcPr>
            <w:tcW w:w="364" w:type="pct"/>
            <w:tcBorders>
              <w:tl2br w:val="nil"/>
              <w:tr2bl w:val="nil"/>
            </w:tcBorders>
            <w:noWrap w:val="0"/>
            <w:vAlign w:val="center"/>
          </w:tcPr>
          <w:p w14:paraId="16B1B243">
            <w:pPr>
              <w:pStyle w:val="16"/>
              <w:bidi w:val="0"/>
              <w:rPr>
                <w:rFonts w:hint="eastAsia"/>
                <w:color w:val="auto"/>
                <w:lang w:val="en-US" w:eastAsia="zh-CN"/>
              </w:rPr>
            </w:pPr>
            <w:r>
              <w:rPr>
                <w:rFonts w:hint="default"/>
                <w:color w:val="auto"/>
                <w:lang w:val="en-US" w:eastAsia="zh-CN"/>
              </w:rPr>
              <w:t>14</w:t>
            </w:r>
          </w:p>
        </w:tc>
        <w:tc>
          <w:tcPr>
            <w:tcW w:w="356" w:type="pct"/>
            <w:tcBorders>
              <w:tl2br w:val="nil"/>
              <w:tr2bl w:val="nil"/>
            </w:tcBorders>
            <w:noWrap w:val="0"/>
            <w:vAlign w:val="center"/>
          </w:tcPr>
          <w:p w14:paraId="7EE0406B">
            <w:pPr>
              <w:pStyle w:val="16"/>
              <w:bidi w:val="0"/>
              <w:rPr>
                <w:rFonts w:hint="eastAsia"/>
                <w:color w:val="auto"/>
              </w:rPr>
            </w:pPr>
            <w:r>
              <w:rPr>
                <w:rFonts w:hint="default"/>
                <w:color w:val="auto"/>
                <w:lang w:val="en-US" w:eastAsia="zh-CN"/>
              </w:rPr>
              <w:t>0</w:t>
            </w:r>
          </w:p>
        </w:tc>
        <w:tc>
          <w:tcPr>
            <w:tcW w:w="476" w:type="pct"/>
            <w:tcBorders>
              <w:tl2br w:val="nil"/>
              <w:tr2bl w:val="nil"/>
            </w:tcBorders>
            <w:noWrap w:val="0"/>
            <w:vAlign w:val="center"/>
          </w:tcPr>
          <w:p w14:paraId="40F14E0E">
            <w:pPr>
              <w:pStyle w:val="16"/>
              <w:bidi w:val="0"/>
              <w:rPr>
                <w:rFonts w:hint="eastAsia"/>
                <w:color w:val="auto"/>
                <w:lang w:val="en-US" w:eastAsia="zh-CN"/>
              </w:rPr>
            </w:pPr>
            <w:r>
              <w:rPr>
                <w:rFonts w:hint="default"/>
                <w:color w:val="auto"/>
                <w:lang w:val="en-US" w:eastAsia="zh-CN"/>
              </w:rPr>
              <w:t>0.122</w:t>
            </w:r>
          </w:p>
        </w:tc>
        <w:tc>
          <w:tcPr>
            <w:tcW w:w="574" w:type="pct"/>
            <w:tcBorders>
              <w:tl2br w:val="nil"/>
              <w:tr2bl w:val="nil"/>
            </w:tcBorders>
            <w:noWrap w:val="0"/>
            <w:vAlign w:val="center"/>
          </w:tcPr>
          <w:p w14:paraId="7037ACAF">
            <w:pPr>
              <w:pStyle w:val="16"/>
              <w:bidi w:val="0"/>
              <w:ind w:left="0" w:leftChars="0" w:firstLine="0" w:firstLineChars="0"/>
              <w:rPr>
                <w:rFonts w:hint="eastAsia"/>
                <w:color w:val="auto"/>
                <w:lang w:val="en-US" w:eastAsia="zh-CN"/>
              </w:rPr>
            </w:pPr>
            <w:r>
              <w:rPr>
                <w:rFonts w:hint="eastAsia"/>
                <w:color w:val="auto"/>
                <w:lang w:val="en-US" w:eastAsia="zh-CN"/>
              </w:rPr>
              <w:t>1.5</w:t>
            </w:r>
          </w:p>
        </w:tc>
        <w:tc>
          <w:tcPr>
            <w:tcW w:w="331" w:type="pct"/>
            <w:vMerge w:val="continue"/>
            <w:tcBorders>
              <w:tl2br w:val="nil"/>
              <w:tr2bl w:val="nil"/>
            </w:tcBorders>
            <w:noWrap w:val="0"/>
            <w:vAlign w:val="center"/>
          </w:tcPr>
          <w:p w14:paraId="143D0B50">
            <w:pPr>
              <w:pStyle w:val="16"/>
              <w:bidi w:val="0"/>
              <w:rPr>
                <w:rFonts w:hint="eastAsia"/>
                <w:color w:val="auto"/>
              </w:rPr>
            </w:pPr>
          </w:p>
        </w:tc>
        <w:tc>
          <w:tcPr>
            <w:tcW w:w="241" w:type="pct"/>
            <w:vMerge w:val="continue"/>
            <w:tcBorders>
              <w:tl2br w:val="nil"/>
              <w:tr2bl w:val="nil"/>
            </w:tcBorders>
            <w:noWrap w:val="0"/>
            <w:vAlign w:val="center"/>
          </w:tcPr>
          <w:p w14:paraId="17487DEF">
            <w:pPr>
              <w:pStyle w:val="16"/>
              <w:bidi w:val="0"/>
              <w:rPr>
                <w:rFonts w:hint="eastAsia"/>
                <w:color w:val="auto"/>
                <w:lang w:val="en-US" w:eastAsia="zh-CN"/>
              </w:rPr>
            </w:pPr>
          </w:p>
        </w:tc>
        <w:tc>
          <w:tcPr>
            <w:tcW w:w="271" w:type="pct"/>
            <w:vMerge w:val="continue"/>
            <w:tcBorders>
              <w:tl2br w:val="nil"/>
              <w:tr2bl w:val="nil"/>
            </w:tcBorders>
            <w:noWrap w:val="0"/>
            <w:vAlign w:val="center"/>
          </w:tcPr>
          <w:p w14:paraId="7BAC9B0B">
            <w:pPr>
              <w:pStyle w:val="16"/>
              <w:bidi w:val="0"/>
              <w:rPr>
                <w:rFonts w:hint="eastAsia"/>
                <w:color w:val="auto"/>
              </w:rPr>
            </w:pPr>
          </w:p>
        </w:tc>
        <w:tc>
          <w:tcPr>
            <w:tcW w:w="272" w:type="pct"/>
            <w:vMerge w:val="continue"/>
            <w:tcBorders>
              <w:tl2br w:val="nil"/>
              <w:tr2bl w:val="nil"/>
            </w:tcBorders>
            <w:noWrap w:val="0"/>
            <w:vAlign w:val="center"/>
          </w:tcPr>
          <w:p w14:paraId="5B64B843">
            <w:pPr>
              <w:pStyle w:val="16"/>
              <w:bidi w:val="0"/>
              <w:rPr>
                <w:rFonts w:hint="eastAsia"/>
                <w:color w:val="auto"/>
              </w:rPr>
            </w:pPr>
          </w:p>
        </w:tc>
        <w:tc>
          <w:tcPr>
            <w:tcW w:w="277" w:type="pct"/>
            <w:vMerge w:val="continue"/>
            <w:tcBorders>
              <w:tl2br w:val="nil"/>
              <w:tr2bl w:val="nil"/>
            </w:tcBorders>
            <w:noWrap w:val="0"/>
            <w:vAlign w:val="center"/>
          </w:tcPr>
          <w:p w14:paraId="68B3DA37">
            <w:pPr>
              <w:pStyle w:val="16"/>
              <w:bidi w:val="0"/>
              <w:rPr>
                <w:rFonts w:hint="eastAsia"/>
                <w:color w:val="auto"/>
              </w:rPr>
            </w:pPr>
          </w:p>
        </w:tc>
      </w:tr>
      <w:tr w14:paraId="57B508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1061" w:type="pct"/>
            <w:tcBorders>
              <w:tl2br w:val="nil"/>
              <w:tr2bl w:val="nil"/>
            </w:tcBorders>
            <w:noWrap w:val="0"/>
            <w:vAlign w:val="center"/>
          </w:tcPr>
          <w:p w14:paraId="58096EC1">
            <w:pPr>
              <w:pStyle w:val="16"/>
              <w:bidi w:val="0"/>
              <w:rPr>
                <w:color w:val="auto"/>
              </w:rPr>
            </w:pPr>
            <w:r>
              <w:rPr>
                <w:rFonts w:hint="eastAsia"/>
                <w:color w:val="auto"/>
                <w:lang w:val="en-US" w:eastAsia="zh-CN"/>
              </w:rPr>
              <w:t>水解酸化池</w:t>
            </w:r>
          </w:p>
        </w:tc>
        <w:tc>
          <w:tcPr>
            <w:tcW w:w="322" w:type="pct"/>
            <w:tcBorders>
              <w:tl2br w:val="nil"/>
              <w:tr2bl w:val="nil"/>
            </w:tcBorders>
            <w:noWrap w:val="0"/>
            <w:vAlign w:val="center"/>
          </w:tcPr>
          <w:p w14:paraId="79DFE3A7">
            <w:pPr>
              <w:pStyle w:val="16"/>
              <w:bidi w:val="0"/>
              <w:ind w:left="0" w:leftChars="0" w:firstLine="0" w:firstLineChars="0"/>
              <w:rPr>
                <w:color w:val="auto"/>
              </w:rPr>
            </w:pPr>
            <w:r>
              <w:rPr>
                <w:color w:val="auto"/>
              </w:rPr>
              <w:t>NH</w:t>
            </w:r>
            <w:r>
              <w:rPr>
                <w:color w:val="auto"/>
                <w:vertAlign w:val="subscript"/>
              </w:rPr>
              <w:t>3</w:t>
            </w:r>
          </w:p>
        </w:tc>
        <w:tc>
          <w:tcPr>
            <w:tcW w:w="449" w:type="pct"/>
            <w:tcBorders>
              <w:tl2br w:val="nil"/>
              <w:tr2bl w:val="nil"/>
            </w:tcBorders>
            <w:noWrap w:val="0"/>
            <w:vAlign w:val="center"/>
          </w:tcPr>
          <w:p w14:paraId="5FD4031D">
            <w:pPr>
              <w:pStyle w:val="16"/>
              <w:bidi w:val="0"/>
              <w:rPr>
                <w:rFonts w:hint="eastAsia"/>
                <w:color w:val="auto"/>
                <w:lang w:val="en-US" w:eastAsia="zh-CN"/>
              </w:rPr>
            </w:pPr>
            <w:r>
              <w:rPr>
                <w:rFonts w:hint="default"/>
                <w:color w:val="auto"/>
                <w:lang w:val="en-US" w:eastAsia="zh-CN"/>
              </w:rPr>
              <w:t>33.2</w:t>
            </w:r>
          </w:p>
        </w:tc>
        <w:tc>
          <w:tcPr>
            <w:tcW w:w="364" w:type="pct"/>
            <w:tcBorders>
              <w:tl2br w:val="nil"/>
              <w:tr2bl w:val="nil"/>
            </w:tcBorders>
            <w:noWrap w:val="0"/>
            <w:vAlign w:val="center"/>
          </w:tcPr>
          <w:p w14:paraId="305AF080">
            <w:pPr>
              <w:pStyle w:val="16"/>
              <w:bidi w:val="0"/>
              <w:rPr>
                <w:rFonts w:hint="eastAsia"/>
                <w:color w:val="auto"/>
                <w:lang w:val="en-US" w:eastAsia="zh-CN"/>
              </w:rPr>
            </w:pPr>
            <w:r>
              <w:rPr>
                <w:rFonts w:hint="default"/>
                <w:color w:val="auto"/>
                <w:lang w:val="en-US" w:eastAsia="zh-CN"/>
              </w:rPr>
              <w:t>8.4</w:t>
            </w:r>
          </w:p>
        </w:tc>
        <w:tc>
          <w:tcPr>
            <w:tcW w:w="356" w:type="pct"/>
            <w:tcBorders>
              <w:tl2br w:val="nil"/>
              <w:tr2bl w:val="nil"/>
            </w:tcBorders>
            <w:noWrap w:val="0"/>
            <w:vAlign w:val="center"/>
          </w:tcPr>
          <w:p w14:paraId="57C088CE">
            <w:pPr>
              <w:pStyle w:val="16"/>
              <w:bidi w:val="0"/>
              <w:rPr>
                <w:rFonts w:hint="eastAsia"/>
                <w:color w:val="auto"/>
              </w:rPr>
            </w:pPr>
            <w:r>
              <w:rPr>
                <w:rFonts w:hint="default"/>
                <w:color w:val="auto"/>
                <w:lang w:val="en-US" w:eastAsia="zh-CN"/>
              </w:rPr>
              <w:t>6.6</w:t>
            </w:r>
          </w:p>
        </w:tc>
        <w:tc>
          <w:tcPr>
            <w:tcW w:w="476" w:type="pct"/>
            <w:tcBorders>
              <w:tl2br w:val="nil"/>
              <w:tr2bl w:val="nil"/>
            </w:tcBorders>
            <w:noWrap w:val="0"/>
            <w:vAlign w:val="center"/>
          </w:tcPr>
          <w:p w14:paraId="4BED8EE3">
            <w:pPr>
              <w:pStyle w:val="16"/>
              <w:bidi w:val="0"/>
              <w:rPr>
                <w:rFonts w:hint="eastAsia"/>
                <w:color w:val="auto"/>
                <w:lang w:val="en-US" w:eastAsia="zh-CN"/>
              </w:rPr>
            </w:pPr>
            <w:r>
              <w:rPr>
                <w:rFonts w:hint="default"/>
                <w:color w:val="auto"/>
                <w:lang w:val="en-US" w:eastAsia="zh-CN"/>
              </w:rPr>
              <w:t>0.0046</w:t>
            </w:r>
          </w:p>
        </w:tc>
        <w:tc>
          <w:tcPr>
            <w:tcW w:w="574" w:type="pct"/>
            <w:tcBorders>
              <w:tl2br w:val="nil"/>
              <w:tr2bl w:val="nil"/>
            </w:tcBorders>
            <w:noWrap w:val="0"/>
            <w:vAlign w:val="center"/>
          </w:tcPr>
          <w:p w14:paraId="4816DC98">
            <w:pPr>
              <w:pStyle w:val="16"/>
              <w:bidi w:val="0"/>
              <w:ind w:left="0" w:leftChars="0" w:firstLine="0" w:firstLineChars="0"/>
              <w:rPr>
                <w:rFonts w:hint="eastAsia"/>
                <w:color w:val="auto"/>
                <w:lang w:val="en-US" w:eastAsia="zh-CN"/>
              </w:rPr>
            </w:pPr>
            <w:r>
              <w:rPr>
                <w:rFonts w:hint="eastAsia"/>
                <w:color w:val="auto"/>
                <w:lang w:val="en-US" w:eastAsia="zh-CN"/>
              </w:rPr>
              <w:t>1.5</w:t>
            </w:r>
          </w:p>
        </w:tc>
        <w:tc>
          <w:tcPr>
            <w:tcW w:w="331" w:type="pct"/>
            <w:vMerge w:val="continue"/>
            <w:tcBorders>
              <w:tl2br w:val="nil"/>
              <w:tr2bl w:val="nil"/>
            </w:tcBorders>
            <w:noWrap w:val="0"/>
            <w:vAlign w:val="center"/>
          </w:tcPr>
          <w:p w14:paraId="6ED7D1E4">
            <w:pPr>
              <w:pStyle w:val="16"/>
              <w:bidi w:val="0"/>
              <w:rPr>
                <w:rFonts w:hint="eastAsia"/>
                <w:color w:val="auto"/>
              </w:rPr>
            </w:pPr>
          </w:p>
        </w:tc>
        <w:tc>
          <w:tcPr>
            <w:tcW w:w="241" w:type="pct"/>
            <w:vMerge w:val="continue"/>
            <w:tcBorders>
              <w:tl2br w:val="nil"/>
              <w:tr2bl w:val="nil"/>
            </w:tcBorders>
            <w:noWrap w:val="0"/>
            <w:vAlign w:val="center"/>
          </w:tcPr>
          <w:p w14:paraId="3BDD4FEB">
            <w:pPr>
              <w:pStyle w:val="16"/>
              <w:bidi w:val="0"/>
              <w:rPr>
                <w:rFonts w:hint="eastAsia"/>
                <w:color w:val="auto"/>
                <w:lang w:val="en-US" w:eastAsia="zh-CN"/>
              </w:rPr>
            </w:pPr>
          </w:p>
        </w:tc>
        <w:tc>
          <w:tcPr>
            <w:tcW w:w="271" w:type="pct"/>
            <w:vMerge w:val="continue"/>
            <w:tcBorders>
              <w:tl2br w:val="nil"/>
              <w:tr2bl w:val="nil"/>
            </w:tcBorders>
            <w:noWrap w:val="0"/>
            <w:vAlign w:val="center"/>
          </w:tcPr>
          <w:p w14:paraId="63DD830E">
            <w:pPr>
              <w:pStyle w:val="16"/>
              <w:bidi w:val="0"/>
              <w:rPr>
                <w:rFonts w:hint="eastAsia"/>
                <w:color w:val="auto"/>
              </w:rPr>
            </w:pPr>
          </w:p>
        </w:tc>
        <w:tc>
          <w:tcPr>
            <w:tcW w:w="272" w:type="pct"/>
            <w:vMerge w:val="continue"/>
            <w:tcBorders>
              <w:tl2br w:val="nil"/>
              <w:tr2bl w:val="nil"/>
            </w:tcBorders>
            <w:noWrap w:val="0"/>
            <w:vAlign w:val="center"/>
          </w:tcPr>
          <w:p w14:paraId="5A62111F">
            <w:pPr>
              <w:pStyle w:val="16"/>
              <w:bidi w:val="0"/>
              <w:rPr>
                <w:rFonts w:hint="eastAsia"/>
                <w:color w:val="auto"/>
              </w:rPr>
            </w:pPr>
          </w:p>
        </w:tc>
        <w:tc>
          <w:tcPr>
            <w:tcW w:w="277" w:type="pct"/>
            <w:vMerge w:val="continue"/>
            <w:tcBorders>
              <w:tl2br w:val="nil"/>
              <w:tr2bl w:val="nil"/>
            </w:tcBorders>
            <w:noWrap w:val="0"/>
            <w:vAlign w:val="center"/>
          </w:tcPr>
          <w:p w14:paraId="2C641F30">
            <w:pPr>
              <w:pStyle w:val="16"/>
              <w:bidi w:val="0"/>
              <w:rPr>
                <w:rFonts w:hint="eastAsia"/>
                <w:color w:val="auto"/>
              </w:rPr>
            </w:pPr>
          </w:p>
        </w:tc>
      </w:tr>
      <w:tr w14:paraId="6E2532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1061" w:type="pct"/>
            <w:tcBorders>
              <w:tl2br w:val="nil"/>
              <w:tr2bl w:val="nil"/>
            </w:tcBorders>
            <w:noWrap w:val="0"/>
            <w:vAlign w:val="center"/>
          </w:tcPr>
          <w:p w14:paraId="16750C75">
            <w:pPr>
              <w:pStyle w:val="16"/>
              <w:bidi w:val="0"/>
              <w:rPr>
                <w:color w:val="auto"/>
              </w:rPr>
            </w:pPr>
            <w:r>
              <w:rPr>
                <w:rFonts w:hint="default"/>
                <w:color w:val="auto"/>
                <w:lang w:val="en-US" w:eastAsia="zh-CN"/>
              </w:rPr>
              <w:t>EBIS</w:t>
            </w:r>
            <w:r>
              <w:rPr>
                <w:rFonts w:hint="eastAsia"/>
                <w:color w:val="auto"/>
                <w:lang w:val="en-US" w:eastAsia="zh-CN"/>
              </w:rPr>
              <w:t>生化池</w:t>
            </w:r>
          </w:p>
        </w:tc>
        <w:tc>
          <w:tcPr>
            <w:tcW w:w="322" w:type="pct"/>
            <w:tcBorders>
              <w:tl2br w:val="nil"/>
              <w:tr2bl w:val="nil"/>
            </w:tcBorders>
            <w:noWrap w:val="0"/>
            <w:vAlign w:val="center"/>
          </w:tcPr>
          <w:p w14:paraId="7CBE04C8">
            <w:pPr>
              <w:pStyle w:val="16"/>
              <w:bidi w:val="0"/>
              <w:ind w:left="0" w:leftChars="0" w:firstLine="0" w:firstLineChars="0"/>
              <w:rPr>
                <w:color w:val="auto"/>
              </w:rPr>
            </w:pPr>
            <w:r>
              <w:rPr>
                <w:color w:val="auto"/>
              </w:rPr>
              <w:t>NH</w:t>
            </w:r>
            <w:r>
              <w:rPr>
                <w:color w:val="auto"/>
                <w:vertAlign w:val="subscript"/>
              </w:rPr>
              <w:t>3</w:t>
            </w:r>
          </w:p>
        </w:tc>
        <w:tc>
          <w:tcPr>
            <w:tcW w:w="449" w:type="pct"/>
            <w:tcBorders>
              <w:tl2br w:val="nil"/>
              <w:tr2bl w:val="nil"/>
            </w:tcBorders>
            <w:noWrap w:val="0"/>
            <w:vAlign w:val="center"/>
          </w:tcPr>
          <w:p w14:paraId="0300D124">
            <w:pPr>
              <w:pStyle w:val="16"/>
              <w:bidi w:val="0"/>
              <w:rPr>
                <w:rFonts w:hint="eastAsia"/>
                <w:color w:val="auto"/>
                <w:lang w:val="en-US" w:eastAsia="zh-CN"/>
              </w:rPr>
            </w:pPr>
            <w:r>
              <w:rPr>
                <w:rFonts w:hint="default"/>
                <w:color w:val="auto"/>
                <w:lang w:val="en-US" w:eastAsia="zh-CN"/>
              </w:rPr>
              <w:t>32.7</w:t>
            </w:r>
          </w:p>
        </w:tc>
        <w:tc>
          <w:tcPr>
            <w:tcW w:w="364" w:type="pct"/>
            <w:tcBorders>
              <w:tl2br w:val="nil"/>
              <w:tr2bl w:val="nil"/>
            </w:tcBorders>
            <w:noWrap w:val="0"/>
            <w:vAlign w:val="center"/>
          </w:tcPr>
          <w:p w14:paraId="1AE14476">
            <w:pPr>
              <w:pStyle w:val="16"/>
              <w:bidi w:val="0"/>
              <w:rPr>
                <w:rFonts w:hint="eastAsia"/>
                <w:color w:val="auto"/>
                <w:lang w:val="en-US" w:eastAsia="zh-CN"/>
              </w:rPr>
            </w:pPr>
            <w:r>
              <w:rPr>
                <w:rFonts w:hint="default"/>
                <w:color w:val="auto"/>
                <w:lang w:val="en-US" w:eastAsia="zh-CN"/>
              </w:rPr>
              <w:t>20.8</w:t>
            </w:r>
          </w:p>
        </w:tc>
        <w:tc>
          <w:tcPr>
            <w:tcW w:w="356" w:type="pct"/>
            <w:tcBorders>
              <w:tl2br w:val="nil"/>
              <w:tr2bl w:val="nil"/>
            </w:tcBorders>
            <w:noWrap w:val="0"/>
            <w:vAlign w:val="center"/>
          </w:tcPr>
          <w:p w14:paraId="02CD5ABA">
            <w:pPr>
              <w:pStyle w:val="16"/>
              <w:bidi w:val="0"/>
              <w:rPr>
                <w:rFonts w:hint="eastAsia"/>
                <w:color w:val="auto"/>
              </w:rPr>
            </w:pPr>
            <w:r>
              <w:rPr>
                <w:rFonts w:hint="default"/>
                <w:color w:val="auto"/>
                <w:lang w:val="en-US" w:eastAsia="zh-CN"/>
              </w:rPr>
              <w:t>6.3</w:t>
            </w:r>
          </w:p>
        </w:tc>
        <w:tc>
          <w:tcPr>
            <w:tcW w:w="476" w:type="pct"/>
            <w:tcBorders>
              <w:tl2br w:val="nil"/>
              <w:tr2bl w:val="nil"/>
            </w:tcBorders>
            <w:noWrap w:val="0"/>
            <w:vAlign w:val="center"/>
          </w:tcPr>
          <w:p w14:paraId="1C4EF721">
            <w:pPr>
              <w:pStyle w:val="16"/>
              <w:bidi w:val="0"/>
              <w:rPr>
                <w:rFonts w:hint="eastAsia"/>
                <w:color w:val="auto"/>
                <w:lang w:val="en-US" w:eastAsia="zh-CN"/>
              </w:rPr>
            </w:pPr>
            <w:r>
              <w:rPr>
                <w:rFonts w:hint="default"/>
                <w:color w:val="auto"/>
                <w:lang w:val="en-US" w:eastAsia="zh-CN"/>
              </w:rPr>
              <w:t>0.0022</w:t>
            </w:r>
          </w:p>
        </w:tc>
        <w:tc>
          <w:tcPr>
            <w:tcW w:w="1016" w:type="dxa"/>
            <w:tcBorders>
              <w:tl2br w:val="nil"/>
              <w:tr2bl w:val="nil"/>
            </w:tcBorders>
            <w:noWrap w:val="0"/>
            <w:vAlign w:val="center"/>
          </w:tcPr>
          <w:p w14:paraId="064C82F9">
            <w:pPr>
              <w:pStyle w:val="16"/>
              <w:bidi w:val="0"/>
              <w:ind w:left="0" w:leftChars="0" w:firstLine="0" w:firstLineChars="0"/>
              <w:rPr>
                <w:rFonts w:hint="eastAsia"/>
                <w:color w:val="auto"/>
                <w:lang w:val="en-US" w:eastAsia="zh-CN"/>
              </w:rPr>
            </w:pPr>
            <w:r>
              <w:rPr>
                <w:rFonts w:hint="eastAsia"/>
                <w:color w:val="auto"/>
                <w:lang w:val="en-US" w:eastAsia="zh-CN"/>
              </w:rPr>
              <w:t>1.5</w:t>
            </w:r>
          </w:p>
        </w:tc>
        <w:tc>
          <w:tcPr>
            <w:tcW w:w="331" w:type="pct"/>
            <w:vMerge w:val="continue"/>
            <w:tcBorders>
              <w:tl2br w:val="nil"/>
              <w:tr2bl w:val="nil"/>
            </w:tcBorders>
            <w:noWrap w:val="0"/>
            <w:vAlign w:val="center"/>
          </w:tcPr>
          <w:p w14:paraId="0936C257">
            <w:pPr>
              <w:pStyle w:val="16"/>
              <w:bidi w:val="0"/>
              <w:rPr>
                <w:rFonts w:hint="eastAsia"/>
                <w:color w:val="auto"/>
              </w:rPr>
            </w:pPr>
          </w:p>
        </w:tc>
        <w:tc>
          <w:tcPr>
            <w:tcW w:w="241" w:type="pct"/>
            <w:vMerge w:val="continue"/>
            <w:tcBorders>
              <w:tl2br w:val="nil"/>
              <w:tr2bl w:val="nil"/>
            </w:tcBorders>
            <w:noWrap w:val="0"/>
            <w:vAlign w:val="center"/>
          </w:tcPr>
          <w:p w14:paraId="30E0AD6A">
            <w:pPr>
              <w:pStyle w:val="16"/>
              <w:bidi w:val="0"/>
              <w:rPr>
                <w:rFonts w:hint="eastAsia"/>
                <w:color w:val="auto"/>
                <w:lang w:val="en-US" w:eastAsia="zh-CN"/>
              </w:rPr>
            </w:pPr>
          </w:p>
        </w:tc>
        <w:tc>
          <w:tcPr>
            <w:tcW w:w="271" w:type="pct"/>
            <w:vMerge w:val="continue"/>
            <w:tcBorders>
              <w:tl2br w:val="nil"/>
              <w:tr2bl w:val="nil"/>
            </w:tcBorders>
            <w:noWrap w:val="0"/>
            <w:vAlign w:val="center"/>
          </w:tcPr>
          <w:p w14:paraId="68EDD066">
            <w:pPr>
              <w:pStyle w:val="16"/>
              <w:bidi w:val="0"/>
              <w:rPr>
                <w:rFonts w:hint="eastAsia"/>
                <w:color w:val="auto"/>
              </w:rPr>
            </w:pPr>
          </w:p>
        </w:tc>
        <w:tc>
          <w:tcPr>
            <w:tcW w:w="272" w:type="pct"/>
            <w:vMerge w:val="continue"/>
            <w:tcBorders>
              <w:tl2br w:val="nil"/>
              <w:tr2bl w:val="nil"/>
            </w:tcBorders>
            <w:noWrap w:val="0"/>
            <w:vAlign w:val="center"/>
          </w:tcPr>
          <w:p w14:paraId="276B6521">
            <w:pPr>
              <w:pStyle w:val="16"/>
              <w:bidi w:val="0"/>
              <w:rPr>
                <w:rFonts w:hint="eastAsia"/>
                <w:color w:val="auto"/>
              </w:rPr>
            </w:pPr>
          </w:p>
        </w:tc>
        <w:tc>
          <w:tcPr>
            <w:tcW w:w="277" w:type="pct"/>
            <w:vMerge w:val="continue"/>
            <w:tcBorders>
              <w:tl2br w:val="nil"/>
              <w:tr2bl w:val="nil"/>
            </w:tcBorders>
            <w:noWrap w:val="0"/>
            <w:vAlign w:val="center"/>
          </w:tcPr>
          <w:p w14:paraId="468DF087">
            <w:pPr>
              <w:pStyle w:val="16"/>
              <w:bidi w:val="0"/>
              <w:rPr>
                <w:rFonts w:hint="eastAsia"/>
                <w:color w:val="auto"/>
              </w:rPr>
            </w:pPr>
          </w:p>
        </w:tc>
      </w:tr>
      <w:tr w14:paraId="3F1D3E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1061" w:type="pct"/>
            <w:tcBorders>
              <w:tl2br w:val="nil"/>
              <w:tr2bl w:val="nil"/>
            </w:tcBorders>
            <w:noWrap w:val="0"/>
            <w:vAlign w:val="center"/>
          </w:tcPr>
          <w:p w14:paraId="73563902">
            <w:pPr>
              <w:pStyle w:val="16"/>
              <w:bidi w:val="0"/>
              <w:rPr>
                <w:color w:val="auto"/>
              </w:rPr>
            </w:pPr>
            <w:r>
              <w:rPr>
                <w:rFonts w:hint="eastAsia"/>
                <w:color w:val="auto"/>
                <w:lang w:val="en-US" w:eastAsia="zh-CN"/>
              </w:rPr>
              <w:t>磁混凝沉淀池</w:t>
            </w:r>
          </w:p>
        </w:tc>
        <w:tc>
          <w:tcPr>
            <w:tcW w:w="322" w:type="pct"/>
            <w:tcBorders>
              <w:tl2br w:val="nil"/>
              <w:tr2bl w:val="nil"/>
            </w:tcBorders>
            <w:noWrap w:val="0"/>
            <w:vAlign w:val="center"/>
          </w:tcPr>
          <w:p w14:paraId="01E0B1C4">
            <w:pPr>
              <w:pStyle w:val="16"/>
              <w:bidi w:val="0"/>
              <w:ind w:left="0" w:leftChars="0" w:firstLine="0" w:firstLineChars="0"/>
              <w:rPr>
                <w:color w:val="auto"/>
              </w:rPr>
            </w:pPr>
            <w:r>
              <w:rPr>
                <w:color w:val="auto"/>
              </w:rPr>
              <w:t>NH</w:t>
            </w:r>
            <w:r>
              <w:rPr>
                <w:color w:val="auto"/>
                <w:vertAlign w:val="subscript"/>
              </w:rPr>
              <w:t>3</w:t>
            </w:r>
          </w:p>
        </w:tc>
        <w:tc>
          <w:tcPr>
            <w:tcW w:w="449" w:type="pct"/>
            <w:tcBorders>
              <w:tl2br w:val="nil"/>
              <w:tr2bl w:val="nil"/>
            </w:tcBorders>
            <w:noWrap w:val="0"/>
            <w:vAlign w:val="center"/>
          </w:tcPr>
          <w:p w14:paraId="22E283FB">
            <w:pPr>
              <w:pStyle w:val="16"/>
              <w:bidi w:val="0"/>
              <w:rPr>
                <w:rFonts w:hint="eastAsia"/>
                <w:color w:val="auto"/>
                <w:lang w:val="en-US" w:eastAsia="zh-CN"/>
              </w:rPr>
            </w:pPr>
            <w:r>
              <w:rPr>
                <w:rFonts w:hint="default"/>
                <w:color w:val="auto"/>
                <w:lang w:val="en-US" w:eastAsia="zh-CN"/>
              </w:rPr>
              <w:t>19.2</w:t>
            </w:r>
          </w:p>
        </w:tc>
        <w:tc>
          <w:tcPr>
            <w:tcW w:w="364" w:type="pct"/>
            <w:tcBorders>
              <w:tl2br w:val="nil"/>
              <w:tr2bl w:val="nil"/>
            </w:tcBorders>
            <w:noWrap w:val="0"/>
            <w:vAlign w:val="center"/>
          </w:tcPr>
          <w:p w14:paraId="33B34D59">
            <w:pPr>
              <w:pStyle w:val="16"/>
              <w:bidi w:val="0"/>
              <w:rPr>
                <w:rFonts w:hint="eastAsia"/>
                <w:color w:val="auto"/>
                <w:lang w:val="en-US" w:eastAsia="zh-CN"/>
              </w:rPr>
            </w:pPr>
            <w:r>
              <w:rPr>
                <w:rFonts w:hint="default"/>
                <w:color w:val="auto"/>
                <w:lang w:val="en-US" w:eastAsia="zh-CN"/>
              </w:rPr>
              <w:t>12</w:t>
            </w:r>
          </w:p>
        </w:tc>
        <w:tc>
          <w:tcPr>
            <w:tcW w:w="356" w:type="pct"/>
            <w:tcBorders>
              <w:tl2br w:val="nil"/>
              <w:tr2bl w:val="nil"/>
            </w:tcBorders>
            <w:noWrap w:val="0"/>
            <w:vAlign w:val="center"/>
          </w:tcPr>
          <w:p w14:paraId="6644267B">
            <w:pPr>
              <w:pStyle w:val="16"/>
              <w:bidi w:val="0"/>
              <w:rPr>
                <w:rFonts w:hint="eastAsia"/>
                <w:color w:val="auto"/>
              </w:rPr>
            </w:pPr>
            <w:r>
              <w:rPr>
                <w:rFonts w:hint="default"/>
                <w:color w:val="auto"/>
                <w:lang w:val="en-US" w:eastAsia="zh-CN"/>
              </w:rPr>
              <w:t>3.3</w:t>
            </w:r>
          </w:p>
        </w:tc>
        <w:tc>
          <w:tcPr>
            <w:tcW w:w="476" w:type="pct"/>
            <w:tcBorders>
              <w:tl2br w:val="nil"/>
              <w:tr2bl w:val="nil"/>
            </w:tcBorders>
            <w:noWrap w:val="0"/>
            <w:vAlign w:val="center"/>
          </w:tcPr>
          <w:p w14:paraId="7F6B7770">
            <w:pPr>
              <w:pStyle w:val="16"/>
              <w:bidi w:val="0"/>
              <w:rPr>
                <w:rFonts w:hint="eastAsia"/>
                <w:color w:val="auto"/>
                <w:lang w:val="en-US" w:eastAsia="zh-CN"/>
              </w:rPr>
            </w:pPr>
            <w:r>
              <w:rPr>
                <w:rFonts w:hint="default"/>
                <w:color w:val="auto"/>
                <w:lang w:val="en-US" w:eastAsia="zh-CN"/>
              </w:rPr>
              <w:t>0.0035</w:t>
            </w:r>
          </w:p>
        </w:tc>
        <w:tc>
          <w:tcPr>
            <w:tcW w:w="1016" w:type="dxa"/>
            <w:tcBorders>
              <w:tl2br w:val="nil"/>
              <w:tr2bl w:val="nil"/>
            </w:tcBorders>
            <w:noWrap w:val="0"/>
            <w:vAlign w:val="center"/>
          </w:tcPr>
          <w:p w14:paraId="20E64F8D">
            <w:pPr>
              <w:pStyle w:val="16"/>
              <w:bidi w:val="0"/>
              <w:ind w:left="0" w:leftChars="0" w:firstLine="0" w:firstLineChars="0"/>
              <w:rPr>
                <w:rFonts w:hint="eastAsia"/>
                <w:color w:val="auto"/>
                <w:lang w:val="en-US" w:eastAsia="zh-CN"/>
              </w:rPr>
            </w:pPr>
            <w:r>
              <w:rPr>
                <w:rFonts w:hint="eastAsia"/>
                <w:color w:val="auto"/>
                <w:lang w:val="en-US" w:eastAsia="zh-CN"/>
              </w:rPr>
              <w:t>1.5</w:t>
            </w:r>
          </w:p>
        </w:tc>
        <w:tc>
          <w:tcPr>
            <w:tcW w:w="331" w:type="pct"/>
            <w:vMerge w:val="continue"/>
            <w:tcBorders>
              <w:tl2br w:val="nil"/>
              <w:tr2bl w:val="nil"/>
            </w:tcBorders>
            <w:noWrap w:val="0"/>
            <w:vAlign w:val="center"/>
          </w:tcPr>
          <w:p w14:paraId="11942C9F">
            <w:pPr>
              <w:pStyle w:val="16"/>
              <w:bidi w:val="0"/>
              <w:rPr>
                <w:rFonts w:hint="eastAsia"/>
                <w:color w:val="auto"/>
              </w:rPr>
            </w:pPr>
          </w:p>
        </w:tc>
        <w:tc>
          <w:tcPr>
            <w:tcW w:w="241" w:type="pct"/>
            <w:vMerge w:val="continue"/>
            <w:tcBorders>
              <w:tl2br w:val="nil"/>
              <w:tr2bl w:val="nil"/>
            </w:tcBorders>
            <w:noWrap w:val="0"/>
            <w:vAlign w:val="center"/>
          </w:tcPr>
          <w:p w14:paraId="68105CB5">
            <w:pPr>
              <w:pStyle w:val="16"/>
              <w:bidi w:val="0"/>
              <w:rPr>
                <w:rFonts w:hint="eastAsia"/>
                <w:color w:val="auto"/>
                <w:lang w:val="en-US" w:eastAsia="zh-CN"/>
              </w:rPr>
            </w:pPr>
          </w:p>
        </w:tc>
        <w:tc>
          <w:tcPr>
            <w:tcW w:w="271" w:type="pct"/>
            <w:vMerge w:val="continue"/>
            <w:tcBorders>
              <w:tl2br w:val="nil"/>
              <w:tr2bl w:val="nil"/>
            </w:tcBorders>
            <w:noWrap w:val="0"/>
            <w:vAlign w:val="center"/>
          </w:tcPr>
          <w:p w14:paraId="41B1AB6F">
            <w:pPr>
              <w:pStyle w:val="16"/>
              <w:bidi w:val="0"/>
              <w:rPr>
                <w:rFonts w:hint="eastAsia"/>
                <w:color w:val="auto"/>
              </w:rPr>
            </w:pPr>
          </w:p>
        </w:tc>
        <w:tc>
          <w:tcPr>
            <w:tcW w:w="272" w:type="pct"/>
            <w:vMerge w:val="continue"/>
            <w:tcBorders>
              <w:tl2br w:val="nil"/>
              <w:tr2bl w:val="nil"/>
            </w:tcBorders>
            <w:noWrap w:val="0"/>
            <w:vAlign w:val="center"/>
          </w:tcPr>
          <w:p w14:paraId="6577487C">
            <w:pPr>
              <w:pStyle w:val="16"/>
              <w:bidi w:val="0"/>
              <w:rPr>
                <w:rFonts w:hint="eastAsia"/>
                <w:color w:val="auto"/>
              </w:rPr>
            </w:pPr>
          </w:p>
        </w:tc>
        <w:tc>
          <w:tcPr>
            <w:tcW w:w="277" w:type="pct"/>
            <w:vMerge w:val="continue"/>
            <w:tcBorders>
              <w:tl2br w:val="nil"/>
              <w:tr2bl w:val="nil"/>
            </w:tcBorders>
            <w:noWrap w:val="0"/>
            <w:vAlign w:val="center"/>
          </w:tcPr>
          <w:p w14:paraId="2B1FEC04">
            <w:pPr>
              <w:pStyle w:val="16"/>
              <w:bidi w:val="0"/>
              <w:rPr>
                <w:rFonts w:hint="eastAsia"/>
                <w:color w:val="auto"/>
              </w:rPr>
            </w:pPr>
          </w:p>
        </w:tc>
      </w:tr>
      <w:tr w14:paraId="1DA9E4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1061" w:type="pct"/>
            <w:tcBorders>
              <w:tl2br w:val="nil"/>
              <w:tr2bl w:val="nil"/>
            </w:tcBorders>
            <w:noWrap w:val="0"/>
            <w:vAlign w:val="center"/>
          </w:tcPr>
          <w:p w14:paraId="25E44AEB">
            <w:pPr>
              <w:pStyle w:val="16"/>
              <w:bidi w:val="0"/>
              <w:rPr>
                <w:color w:val="auto"/>
              </w:rPr>
            </w:pPr>
            <w:r>
              <w:rPr>
                <w:rFonts w:hint="eastAsia"/>
                <w:color w:val="auto"/>
                <w:lang w:val="en-US" w:eastAsia="zh-CN"/>
              </w:rPr>
              <w:t>反硝化深床滤池</w:t>
            </w:r>
          </w:p>
        </w:tc>
        <w:tc>
          <w:tcPr>
            <w:tcW w:w="322" w:type="pct"/>
            <w:tcBorders>
              <w:tl2br w:val="nil"/>
              <w:tr2bl w:val="nil"/>
            </w:tcBorders>
            <w:noWrap w:val="0"/>
            <w:vAlign w:val="center"/>
          </w:tcPr>
          <w:p w14:paraId="2EEA27F3">
            <w:pPr>
              <w:pStyle w:val="16"/>
              <w:bidi w:val="0"/>
              <w:ind w:left="0" w:leftChars="0" w:firstLine="0" w:firstLineChars="0"/>
              <w:rPr>
                <w:color w:val="auto"/>
              </w:rPr>
            </w:pPr>
            <w:r>
              <w:rPr>
                <w:color w:val="auto"/>
              </w:rPr>
              <w:t>NH</w:t>
            </w:r>
            <w:r>
              <w:rPr>
                <w:color w:val="auto"/>
                <w:vertAlign w:val="subscript"/>
              </w:rPr>
              <w:t>3</w:t>
            </w:r>
          </w:p>
        </w:tc>
        <w:tc>
          <w:tcPr>
            <w:tcW w:w="449" w:type="pct"/>
            <w:tcBorders>
              <w:tl2br w:val="nil"/>
              <w:tr2bl w:val="nil"/>
            </w:tcBorders>
            <w:noWrap w:val="0"/>
            <w:vAlign w:val="center"/>
          </w:tcPr>
          <w:p w14:paraId="7F251C3F">
            <w:pPr>
              <w:pStyle w:val="16"/>
              <w:bidi w:val="0"/>
              <w:rPr>
                <w:rFonts w:hint="eastAsia"/>
                <w:color w:val="auto"/>
                <w:lang w:val="en-US" w:eastAsia="zh-CN"/>
              </w:rPr>
            </w:pPr>
            <w:r>
              <w:rPr>
                <w:rFonts w:hint="default"/>
                <w:color w:val="auto"/>
                <w:lang w:val="en-US" w:eastAsia="zh-CN"/>
              </w:rPr>
              <w:t>21.9</w:t>
            </w:r>
          </w:p>
        </w:tc>
        <w:tc>
          <w:tcPr>
            <w:tcW w:w="364" w:type="pct"/>
            <w:tcBorders>
              <w:tl2br w:val="nil"/>
              <w:tr2bl w:val="nil"/>
            </w:tcBorders>
            <w:noWrap w:val="0"/>
            <w:vAlign w:val="center"/>
          </w:tcPr>
          <w:p w14:paraId="3CD2BB61">
            <w:pPr>
              <w:pStyle w:val="16"/>
              <w:bidi w:val="0"/>
              <w:rPr>
                <w:rFonts w:hint="eastAsia"/>
                <w:color w:val="auto"/>
                <w:lang w:val="en-US" w:eastAsia="zh-CN"/>
              </w:rPr>
            </w:pPr>
            <w:r>
              <w:rPr>
                <w:rFonts w:hint="default"/>
                <w:color w:val="auto"/>
                <w:lang w:val="en-US" w:eastAsia="zh-CN"/>
              </w:rPr>
              <w:t>14.6</w:t>
            </w:r>
          </w:p>
        </w:tc>
        <w:tc>
          <w:tcPr>
            <w:tcW w:w="356" w:type="pct"/>
            <w:tcBorders>
              <w:tl2br w:val="nil"/>
              <w:tr2bl w:val="nil"/>
            </w:tcBorders>
            <w:noWrap w:val="0"/>
            <w:vAlign w:val="center"/>
          </w:tcPr>
          <w:p w14:paraId="5FE3964F">
            <w:pPr>
              <w:pStyle w:val="16"/>
              <w:bidi w:val="0"/>
              <w:rPr>
                <w:rFonts w:hint="eastAsia"/>
                <w:color w:val="auto"/>
              </w:rPr>
            </w:pPr>
            <w:r>
              <w:rPr>
                <w:rFonts w:hint="default"/>
                <w:color w:val="auto"/>
                <w:lang w:val="en-US" w:eastAsia="zh-CN"/>
              </w:rPr>
              <w:t>3</w:t>
            </w:r>
          </w:p>
        </w:tc>
        <w:tc>
          <w:tcPr>
            <w:tcW w:w="476" w:type="pct"/>
            <w:tcBorders>
              <w:tl2br w:val="nil"/>
              <w:tr2bl w:val="nil"/>
            </w:tcBorders>
            <w:noWrap w:val="0"/>
            <w:vAlign w:val="center"/>
          </w:tcPr>
          <w:p w14:paraId="4B800D0D">
            <w:pPr>
              <w:pStyle w:val="16"/>
              <w:bidi w:val="0"/>
              <w:rPr>
                <w:rFonts w:hint="eastAsia"/>
                <w:color w:val="auto"/>
                <w:lang w:val="en-US" w:eastAsia="zh-CN"/>
              </w:rPr>
            </w:pPr>
            <w:r>
              <w:rPr>
                <w:rFonts w:hint="default"/>
                <w:color w:val="auto"/>
                <w:lang w:val="en-US" w:eastAsia="zh-CN"/>
              </w:rPr>
              <w:t>0.001</w:t>
            </w:r>
          </w:p>
        </w:tc>
        <w:tc>
          <w:tcPr>
            <w:tcW w:w="1016" w:type="dxa"/>
            <w:tcBorders>
              <w:tl2br w:val="nil"/>
              <w:tr2bl w:val="nil"/>
            </w:tcBorders>
            <w:noWrap w:val="0"/>
            <w:vAlign w:val="center"/>
          </w:tcPr>
          <w:p w14:paraId="6A7453E0">
            <w:pPr>
              <w:pStyle w:val="16"/>
              <w:bidi w:val="0"/>
              <w:ind w:left="0" w:leftChars="0" w:firstLine="0" w:firstLineChars="0"/>
              <w:rPr>
                <w:rFonts w:hint="eastAsia"/>
                <w:color w:val="auto"/>
                <w:lang w:val="en-US" w:eastAsia="zh-CN"/>
              </w:rPr>
            </w:pPr>
            <w:r>
              <w:rPr>
                <w:rFonts w:hint="eastAsia"/>
                <w:color w:val="auto"/>
                <w:lang w:val="en-US" w:eastAsia="zh-CN"/>
              </w:rPr>
              <w:t>1.5</w:t>
            </w:r>
          </w:p>
        </w:tc>
        <w:tc>
          <w:tcPr>
            <w:tcW w:w="331" w:type="pct"/>
            <w:vMerge w:val="continue"/>
            <w:tcBorders>
              <w:tl2br w:val="nil"/>
              <w:tr2bl w:val="nil"/>
            </w:tcBorders>
            <w:noWrap w:val="0"/>
            <w:vAlign w:val="center"/>
          </w:tcPr>
          <w:p w14:paraId="11083D50">
            <w:pPr>
              <w:pStyle w:val="16"/>
              <w:bidi w:val="0"/>
              <w:rPr>
                <w:rFonts w:hint="eastAsia"/>
                <w:color w:val="auto"/>
              </w:rPr>
            </w:pPr>
          </w:p>
        </w:tc>
        <w:tc>
          <w:tcPr>
            <w:tcW w:w="241" w:type="pct"/>
            <w:vMerge w:val="continue"/>
            <w:tcBorders>
              <w:tl2br w:val="nil"/>
              <w:tr2bl w:val="nil"/>
            </w:tcBorders>
            <w:noWrap w:val="0"/>
            <w:vAlign w:val="center"/>
          </w:tcPr>
          <w:p w14:paraId="4EC4C9B5">
            <w:pPr>
              <w:pStyle w:val="16"/>
              <w:bidi w:val="0"/>
              <w:rPr>
                <w:rFonts w:hint="eastAsia"/>
                <w:color w:val="auto"/>
                <w:lang w:val="en-US" w:eastAsia="zh-CN"/>
              </w:rPr>
            </w:pPr>
          </w:p>
        </w:tc>
        <w:tc>
          <w:tcPr>
            <w:tcW w:w="271" w:type="pct"/>
            <w:vMerge w:val="continue"/>
            <w:tcBorders>
              <w:tl2br w:val="nil"/>
              <w:tr2bl w:val="nil"/>
            </w:tcBorders>
            <w:noWrap w:val="0"/>
            <w:vAlign w:val="center"/>
          </w:tcPr>
          <w:p w14:paraId="34B174DE">
            <w:pPr>
              <w:pStyle w:val="16"/>
              <w:bidi w:val="0"/>
              <w:rPr>
                <w:rFonts w:hint="eastAsia"/>
                <w:color w:val="auto"/>
              </w:rPr>
            </w:pPr>
          </w:p>
        </w:tc>
        <w:tc>
          <w:tcPr>
            <w:tcW w:w="272" w:type="pct"/>
            <w:vMerge w:val="continue"/>
            <w:tcBorders>
              <w:tl2br w:val="nil"/>
              <w:tr2bl w:val="nil"/>
            </w:tcBorders>
            <w:noWrap w:val="0"/>
            <w:vAlign w:val="center"/>
          </w:tcPr>
          <w:p w14:paraId="2538ABE4">
            <w:pPr>
              <w:pStyle w:val="16"/>
              <w:bidi w:val="0"/>
              <w:rPr>
                <w:rFonts w:hint="eastAsia"/>
                <w:color w:val="auto"/>
              </w:rPr>
            </w:pPr>
          </w:p>
        </w:tc>
        <w:tc>
          <w:tcPr>
            <w:tcW w:w="277" w:type="pct"/>
            <w:vMerge w:val="continue"/>
            <w:tcBorders>
              <w:tl2br w:val="nil"/>
              <w:tr2bl w:val="nil"/>
            </w:tcBorders>
            <w:noWrap w:val="0"/>
            <w:vAlign w:val="center"/>
          </w:tcPr>
          <w:p w14:paraId="05425DB2">
            <w:pPr>
              <w:pStyle w:val="16"/>
              <w:bidi w:val="0"/>
              <w:rPr>
                <w:rFonts w:hint="eastAsia"/>
                <w:color w:val="auto"/>
              </w:rPr>
            </w:pPr>
          </w:p>
        </w:tc>
      </w:tr>
      <w:tr w14:paraId="1B66A3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1061" w:type="pct"/>
            <w:tcBorders>
              <w:tl2br w:val="nil"/>
              <w:tr2bl w:val="nil"/>
            </w:tcBorders>
            <w:noWrap w:val="0"/>
            <w:vAlign w:val="center"/>
          </w:tcPr>
          <w:p w14:paraId="0DB56851">
            <w:pPr>
              <w:pStyle w:val="16"/>
              <w:bidi w:val="0"/>
              <w:rPr>
                <w:color w:val="auto"/>
              </w:rPr>
            </w:pPr>
            <w:r>
              <w:rPr>
                <w:rFonts w:hint="eastAsia"/>
                <w:color w:val="auto"/>
                <w:lang w:val="en-US" w:eastAsia="zh-CN"/>
              </w:rPr>
              <w:t>高级氧化深度处理</w:t>
            </w:r>
          </w:p>
        </w:tc>
        <w:tc>
          <w:tcPr>
            <w:tcW w:w="322" w:type="pct"/>
            <w:tcBorders>
              <w:tl2br w:val="nil"/>
              <w:tr2bl w:val="nil"/>
            </w:tcBorders>
            <w:noWrap w:val="0"/>
            <w:vAlign w:val="center"/>
          </w:tcPr>
          <w:p w14:paraId="63B34DA9">
            <w:pPr>
              <w:pStyle w:val="16"/>
              <w:bidi w:val="0"/>
              <w:ind w:left="0" w:leftChars="0" w:firstLine="0" w:firstLineChars="0"/>
              <w:rPr>
                <w:color w:val="auto"/>
              </w:rPr>
            </w:pPr>
            <w:r>
              <w:rPr>
                <w:color w:val="auto"/>
              </w:rPr>
              <w:t>NH</w:t>
            </w:r>
            <w:r>
              <w:rPr>
                <w:color w:val="auto"/>
                <w:vertAlign w:val="subscript"/>
              </w:rPr>
              <w:t>3</w:t>
            </w:r>
          </w:p>
        </w:tc>
        <w:tc>
          <w:tcPr>
            <w:tcW w:w="449" w:type="pct"/>
            <w:tcBorders>
              <w:tl2br w:val="nil"/>
              <w:tr2bl w:val="nil"/>
            </w:tcBorders>
            <w:noWrap w:val="0"/>
            <w:vAlign w:val="center"/>
          </w:tcPr>
          <w:p w14:paraId="3C472E72">
            <w:pPr>
              <w:pStyle w:val="16"/>
              <w:bidi w:val="0"/>
              <w:rPr>
                <w:rFonts w:hint="eastAsia"/>
                <w:color w:val="auto"/>
                <w:lang w:val="en-US" w:eastAsia="zh-CN"/>
              </w:rPr>
            </w:pPr>
            <w:r>
              <w:rPr>
                <w:rFonts w:hint="default"/>
                <w:color w:val="auto"/>
                <w:lang w:val="en-US" w:eastAsia="zh-CN"/>
              </w:rPr>
              <w:t>10</w:t>
            </w:r>
          </w:p>
        </w:tc>
        <w:tc>
          <w:tcPr>
            <w:tcW w:w="364" w:type="pct"/>
            <w:tcBorders>
              <w:tl2br w:val="nil"/>
              <w:tr2bl w:val="nil"/>
            </w:tcBorders>
            <w:noWrap w:val="0"/>
            <w:vAlign w:val="center"/>
          </w:tcPr>
          <w:p w14:paraId="3E794887">
            <w:pPr>
              <w:pStyle w:val="16"/>
              <w:bidi w:val="0"/>
              <w:rPr>
                <w:rFonts w:hint="eastAsia"/>
                <w:color w:val="auto"/>
                <w:lang w:val="en-US" w:eastAsia="zh-CN"/>
              </w:rPr>
            </w:pPr>
            <w:r>
              <w:rPr>
                <w:rFonts w:hint="default"/>
                <w:color w:val="auto"/>
                <w:lang w:val="en-US" w:eastAsia="zh-CN"/>
              </w:rPr>
              <w:t>4</w:t>
            </w:r>
          </w:p>
        </w:tc>
        <w:tc>
          <w:tcPr>
            <w:tcW w:w="356" w:type="pct"/>
            <w:tcBorders>
              <w:tl2br w:val="nil"/>
              <w:tr2bl w:val="nil"/>
            </w:tcBorders>
            <w:noWrap w:val="0"/>
            <w:vAlign w:val="center"/>
          </w:tcPr>
          <w:p w14:paraId="6A1D3CEE">
            <w:pPr>
              <w:pStyle w:val="16"/>
              <w:bidi w:val="0"/>
              <w:rPr>
                <w:rFonts w:hint="eastAsia"/>
                <w:color w:val="auto"/>
              </w:rPr>
            </w:pPr>
            <w:r>
              <w:rPr>
                <w:rFonts w:hint="default"/>
                <w:color w:val="auto"/>
                <w:lang w:val="en-US" w:eastAsia="zh-CN"/>
              </w:rPr>
              <w:t>2.3</w:t>
            </w:r>
          </w:p>
        </w:tc>
        <w:tc>
          <w:tcPr>
            <w:tcW w:w="476" w:type="pct"/>
            <w:tcBorders>
              <w:tl2br w:val="nil"/>
              <w:tr2bl w:val="nil"/>
            </w:tcBorders>
            <w:noWrap w:val="0"/>
            <w:vAlign w:val="center"/>
          </w:tcPr>
          <w:p w14:paraId="44D68CAF">
            <w:pPr>
              <w:pStyle w:val="16"/>
              <w:bidi w:val="0"/>
              <w:rPr>
                <w:rFonts w:hint="eastAsia"/>
                <w:color w:val="auto"/>
                <w:lang w:val="en-US" w:eastAsia="zh-CN"/>
              </w:rPr>
            </w:pPr>
            <w:r>
              <w:rPr>
                <w:rFonts w:hint="default"/>
                <w:color w:val="auto"/>
                <w:lang w:val="en-US" w:eastAsia="zh-CN"/>
              </w:rPr>
              <w:t>0.00013</w:t>
            </w:r>
          </w:p>
        </w:tc>
        <w:tc>
          <w:tcPr>
            <w:tcW w:w="1016" w:type="dxa"/>
            <w:tcBorders>
              <w:tl2br w:val="nil"/>
              <w:tr2bl w:val="nil"/>
            </w:tcBorders>
            <w:noWrap w:val="0"/>
            <w:vAlign w:val="center"/>
          </w:tcPr>
          <w:p w14:paraId="44487A95">
            <w:pPr>
              <w:pStyle w:val="16"/>
              <w:bidi w:val="0"/>
              <w:ind w:left="0" w:leftChars="0" w:firstLine="0" w:firstLineChars="0"/>
              <w:rPr>
                <w:rFonts w:hint="eastAsia"/>
                <w:color w:val="auto"/>
                <w:lang w:val="en-US" w:eastAsia="zh-CN"/>
              </w:rPr>
            </w:pPr>
            <w:r>
              <w:rPr>
                <w:rFonts w:hint="eastAsia"/>
                <w:color w:val="auto"/>
                <w:lang w:val="en-US" w:eastAsia="zh-CN"/>
              </w:rPr>
              <w:t>1.5</w:t>
            </w:r>
          </w:p>
        </w:tc>
        <w:tc>
          <w:tcPr>
            <w:tcW w:w="331" w:type="pct"/>
            <w:vMerge w:val="continue"/>
            <w:tcBorders>
              <w:tl2br w:val="nil"/>
              <w:tr2bl w:val="nil"/>
            </w:tcBorders>
            <w:noWrap w:val="0"/>
            <w:vAlign w:val="center"/>
          </w:tcPr>
          <w:p w14:paraId="72761506">
            <w:pPr>
              <w:pStyle w:val="16"/>
              <w:bidi w:val="0"/>
              <w:rPr>
                <w:rFonts w:hint="eastAsia"/>
                <w:color w:val="auto"/>
              </w:rPr>
            </w:pPr>
          </w:p>
        </w:tc>
        <w:tc>
          <w:tcPr>
            <w:tcW w:w="241" w:type="pct"/>
            <w:vMerge w:val="continue"/>
            <w:tcBorders>
              <w:tl2br w:val="nil"/>
              <w:tr2bl w:val="nil"/>
            </w:tcBorders>
            <w:noWrap w:val="0"/>
            <w:vAlign w:val="center"/>
          </w:tcPr>
          <w:p w14:paraId="2A178DED">
            <w:pPr>
              <w:pStyle w:val="16"/>
              <w:bidi w:val="0"/>
              <w:rPr>
                <w:rFonts w:hint="eastAsia"/>
                <w:color w:val="auto"/>
                <w:lang w:val="en-US" w:eastAsia="zh-CN"/>
              </w:rPr>
            </w:pPr>
          </w:p>
        </w:tc>
        <w:tc>
          <w:tcPr>
            <w:tcW w:w="271" w:type="pct"/>
            <w:vMerge w:val="continue"/>
            <w:tcBorders>
              <w:tl2br w:val="nil"/>
              <w:tr2bl w:val="nil"/>
            </w:tcBorders>
            <w:noWrap w:val="0"/>
            <w:vAlign w:val="center"/>
          </w:tcPr>
          <w:p w14:paraId="69F68613">
            <w:pPr>
              <w:pStyle w:val="16"/>
              <w:bidi w:val="0"/>
              <w:rPr>
                <w:rFonts w:hint="eastAsia"/>
                <w:color w:val="auto"/>
              </w:rPr>
            </w:pPr>
          </w:p>
        </w:tc>
        <w:tc>
          <w:tcPr>
            <w:tcW w:w="272" w:type="pct"/>
            <w:vMerge w:val="continue"/>
            <w:tcBorders>
              <w:tl2br w:val="nil"/>
              <w:tr2bl w:val="nil"/>
            </w:tcBorders>
            <w:noWrap w:val="0"/>
            <w:vAlign w:val="center"/>
          </w:tcPr>
          <w:p w14:paraId="000B1995">
            <w:pPr>
              <w:pStyle w:val="16"/>
              <w:bidi w:val="0"/>
              <w:rPr>
                <w:rFonts w:hint="eastAsia"/>
                <w:color w:val="auto"/>
              </w:rPr>
            </w:pPr>
          </w:p>
        </w:tc>
        <w:tc>
          <w:tcPr>
            <w:tcW w:w="277" w:type="pct"/>
            <w:vMerge w:val="continue"/>
            <w:tcBorders>
              <w:tl2br w:val="nil"/>
              <w:tr2bl w:val="nil"/>
            </w:tcBorders>
            <w:noWrap w:val="0"/>
            <w:vAlign w:val="center"/>
          </w:tcPr>
          <w:p w14:paraId="1B20FFC7">
            <w:pPr>
              <w:pStyle w:val="16"/>
              <w:bidi w:val="0"/>
              <w:rPr>
                <w:rFonts w:hint="eastAsia"/>
                <w:color w:val="auto"/>
              </w:rPr>
            </w:pPr>
          </w:p>
        </w:tc>
      </w:tr>
      <w:tr w14:paraId="106C38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1061" w:type="pct"/>
            <w:tcBorders>
              <w:tl2br w:val="nil"/>
              <w:tr2bl w:val="nil"/>
            </w:tcBorders>
            <w:noWrap w:val="0"/>
            <w:vAlign w:val="center"/>
          </w:tcPr>
          <w:p w14:paraId="4C702DD3">
            <w:pPr>
              <w:pStyle w:val="16"/>
              <w:bidi w:val="0"/>
              <w:rPr>
                <w:color w:val="auto"/>
              </w:rPr>
            </w:pPr>
            <w:r>
              <w:rPr>
                <w:rFonts w:hint="eastAsia"/>
                <w:color w:val="auto"/>
                <w:lang w:val="en-US" w:eastAsia="zh-CN"/>
              </w:rPr>
              <w:t>污泥池</w:t>
            </w:r>
          </w:p>
        </w:tc>
        <w:tc>
          <w:tcPr>
            <w:tcW w:w="322" w:type="pct"/>
            <w:tcBorders>
              <w:tl2br w:val="nil"/>
              <w:tr2bl w:val="nil"/>
            </w:tcBorders>
            <w:noWrap w:val="0"/>
            <w:vAlign w:val="center"/>
          </w:tcPr>
          <w:p w14:paraId="627DDDB3">
            <w:pPr>
              <w:pStyle w:val="16"/>
              <w:bidi w:val="0"/>
              <w:ind w:left="0" w:leftChars="0" w:firstLine="0" w:firstLineChars="0"/>
              <w:rPr>
                <w:color w:val="auto"/>
              </w:rPr>
            </w:pPr>
            <w:r>
              <w:rPr>
                <w:color w:val="auto"/>
              </w:rPr>
              <w:t>NH</w:t>
            </w:r>
            <w:r>
              <w:rPr>
                <w:color w:val="auto"/>
                <w:vertAlign w:val="subscript"/>
              </w:rPr>
              <w:t>3</w:t>
            </w:r>
          </w:p>
        </w:tc>
        <w:tc>
          <w:tcPr>
            <w:tcW w:w="449" w:type="pct"/>
            <w:tcBorders>
              <w:tl2br w:val="nil"/>
              <w:tr2bl w:val="nil"/>
            </w:tcBorders>
            <w:noWrap w:val="0"/>
            <w:vAlign w:val="center"/>
          </w:tcPr>
          <w:p w14:paraId="13469BB3">
            <w:pPr>
              <w:pStyle w:val="16"/>
              <w:bidi w:val="0"/>
              <w:rPr>
                <w:rFonts w:hint="eastAsia"/>
                <w:color w:val="auto"/>
                <w:lang w:val="en-US" w:eastAsia="zh-CN"/>
              </w:rPr>
            </w:pPr>
            <w:r>
              <w:rPr>
                <w:rFonts w:hint="default"/>
                <w:color w:val="auto"/>
                <w:lang w:val="en-US" w:eastAsia="zh-CN"/>
              </w:rPr>
              <w:t>8.3</w:t>
            </w:r>
          </w:p>
        </w:tc>
        <w:tc>
          <w:tcPr>
            <w:tcW w:w="364" w:type="pct"/>
            <w:tcBorders>
              <w:tl2br w:val="nil"/>
              <w:tr2bl w:val="nil"/>
            </w:tcBorders>
            <w:noWrap w:val="0"/>
            <w:vAlign w:val="center"/>
          </w:tcPr>
          <w:p w14:paraId="185F3F59">
            <w:pPr>
              <w:pStyle w:val="16"/>
              <w:bidi w:val="0"/>
              <w:rPr>
                <w:rFonts w:hint="eastAsia"/>
                <w:color w:val="auto"/>
                <w:lang w:val="en-US" w:eastAsia="zh-CN"/>
              </w:rPr>
            </w:pPr>
            <w:r>
              <w:rPr>
                <w:rFonts w:hint="default"/>
                <w:color w:val="auto"/>
                <w:lang w:val="en-US" w:eastAsia="zh-CN"/>
              </w:rPr>
              <w:t>5</w:t>
            </w:r>
          </w:p>
        </w:tc>
        <w:tc>
          <w:tcPr>
            <w:tcW w:w="356" w:type="pct"/>
            <w:tcBorders>
              <w:tl2br w:val="nil"/>
              <w:tr2bl w:val="nil"/>
            </w:tcBorders>
            <w:noWrap w:val="0"/>
            <w:vAlign w:val="center"/>
          </w:tcPr>
          <w:p w14:paraId="521647A7">
            <w:pPr>
              <w:pStyle w:val="16"/>
              <w:bidi w:val="0"/>
              <w:rPr>
                <w:rFonts w:hint="eastAsia"/>
                <w:color w:val="auto"/>
              </w:rPr>
            </w:pPr>
            <w:r>
              <w:rPr>
                <w:rFonts w:hint="default"/>
                <w:color w:val="auto"/>
                <w:lang w:val="en-US" w:eastAsia="zh-CN"/>
              </w:rPr>
              <w:t>2.2</w:t>
            </w:r>
          </w:p>
        </w:tc>
        <w:tc>
          <w:tcPr>
            <w:tcW w:w="476" w:type="pct"/>
            <w:tcBorders>
              <w:tl2br w:val="nil"/>
              <w:tr2bl w:val="nil"/>
            </w:tcBorders>
            <w:noWrap w:val="0"/>
            <w:vAlign w:val="center"/>
          </w:tcPr>
          <w:p w14:paraId="70DBBD91">
            <w:pPr>
              <w:pStyle w:val="16"/>
              <w:bidi w:val="0"/>
              <w:rPr>
                <w:rFonts w:hint="eastAsia"/>
                <w:color w:val="auto"/>
                <w:lang w:val="en-US" w:eastAsia="zh-CN"/>
              </w:rPr>
            </w:pPr>
            <w:r>
              <w:rPr>
                <w:rFonts w:hint="default"/>
                <w:color w:val="auto"/>
                <w:lang w:val="en-US" w:eastAsia="zh-CN"/>
              </w:rPr>
              <w:t>0.0042</w:t>
            </w:r>
          </w:p>
        </w:tc>
        <w:tc>
          <w:tcPr>
            <w:tcW w:w="1016" w:type="dxa"/>
            <w:tcBorders>
              <w:tl2br w:val="nil"/>
              <w:tr2bl w:val="nil"/>
            </w:tcBorders>
            <w:noWrap w:val="0"/>
            <w:vAlign w:val="center"/>
          </w:tcPr>
          <w:p w14:paraId="661E1696">
            <w:pPr>
              <w:pStyle w:val="16"/>
              <w:bidi w:val="0"/>
              <w:ind w:left="0" w:leftChars="0" w:firstLine="0" w:firstLineChars="0"/>
              <w:rPr>
                <w:rFonts w:hint="eastAsia"/>
                <w:color w:val="auto"/>
                <w:lang w:val="en-US" w:eastAsia="zh-CN"/>
              </w:rPr>
            </w:pPr>
            <w:r>
              <w:rPr>
                <w:rFonts w:hint="eastAsia"/>
                <w:color w:val="auto"/>
                <w:lang w:val="en-US" w:eastAsia="zh-CN"/>
              </w:rPr>
              <w:t>1.5</w:t>
            </w:r>
          </w:p>
        </w:tc>
        <w:tc>
          <w:tcPr>
            <w:tcW w:w="331" w:type="pct"/>
            <w:vMerge w:val="continue"/>
            <w:tcBorders>
              <w:tl2br w:val="nil"/>
              <w:tr2bl w:val="nil"/>
            </w:tcBorders>
            <w:noWrap w:val="0"/>
            <w:vAlign w:val="center"/>
          </w:tcPr>
          <w:p w14:paraId="10A52881">
            <w:pPr>
              <w:pStyle w:val="16"/>
              <w:bidi w:val="0"/>
              <w:rPr>
                <w:rFonts w:hint="eastAsia"/>
                <w:color w:val="auto"/>
              </w:rPr>
            </w:pPr>
          </w:p>
        </w:tc>
        <w:tc>
          <w:tcPr>
            <w:tcW w:w="241" w:type="pct"/>
            <w:vMerge w:val="continue"/>
            <w:tcBorders>
              <w:tl2br w:val="nil"/>
              <w:tr2bl w:val="nil"/>
            </w:tcBorders>
            <w:noWrap w:val="0"/>
            <w:vAlign w:val="center"/>
          </w:tcPr>
          <w:p w14:paraId="08C555D2">
            <w:pPr>
              <w:pStyle w:val="16"/>
              <w:bidi w:val="0"/>
              <w:rPr>
                <w:rFonts w:hint="eastAsia"/>
                <w:color w:val="auto"/>
                <w:lang w:val="en-US" w:eastAsia="zh-CN"/>
              </w:rPr>
            </w:pPr>
          </w:p>
        </w:tc>
        <w:tc>
          <w:tcPr>
            <w:tcW w:w="271" w:type="pct"/>
            <w:vMerge w:val="continue"/>
            <w:tcBorders>
              <w:tl2br w:val="nil"/>
              <w:tr2bl w:val="nil"/>
            </w:tcBorders>
            <w:noWrap w:val="0"/>
            <w:vAlign w:val="center"/>
          </w:tcPr>
          <w:p w14:paraId="635FF64B">
            <w:pPr>
              <w:pStyle w:val="16"/>
              <w:bidi w:val="0"/>
              <w:rPr>
                <w:rFonts w:hint="eastAsia"/>
                <w:color w:val="auto"/>
              </w:rPr>
            </w:pPr>
          </w:p>
        </w:tc>
        <w:tc>
          <w:tcPr>
            <w:tcW w:w="272" w:type="pct"/>
            <w:vMerge w:val="continue"/>
            <w:tcBorders>
              <w:tl2br w:val="nil"/>
              <w:tr2bl w:val="nil"/>
            </w:tcBorders>
            <w:noWrap w:val="0"/>
            <w:vAlign w:val="center"/>
          </w:tcPr>
          <w:p w14:paraId="309488A4">
            <w:pPr>
              <w:pStyle w:val="16"/>
              <w:bidi w:val="0"/>
              <w:rPr>
                <w:rFonts w:hint="eastAsia"/>
                <w:color w:val="auto"/>
              </w:rPr>
            </w:pPr>
          </w:p>
        </w:tc>
        <w:tc>
          <w:tcPr>
            <w:tcW w:w="277" w:type="pct"/>
            <w:vMerge w:val="continue"/>
            <w:tcBorders>
              <w:tl2br w:val="nil"/>
              <w:tr2bl w:val="nil"/>
            </w:tcBorders>
            <w:noWrap w:val="0"/>
            <w:vAlign w:val="center"/>
          </w:tcPr>
          <w:p w14:paraId="6F4E5744">
            <w:pPr>
              <w:pStyle w:val="16"/>
              <w:bidi w:val="0"/>
              <w:rPr>
                <w:rFonts w:hint="eastAsia"/>
                <w:color w:val="auto"/>
              </w:rPr>
            </w:pPr>
          </w:p>
        </w:tc>
      </w:tr>
      <w:tr w14:paraId="4CE440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1061" w:type="pct"/>
            <w:tcBorders>
              <w:tl2br w:val="nil"/>
              <w:tr2bl w:val="nil"/>
            </w:tcBorders>
            <w:noWrap w:val="0"/>
            <w:vAlign w:val="center"/>
          </w:tcPr>
          <w:p w14:paraId="091A253C">
            <w:pPr>
              <w:pStyle w:val="16"/>
              <w:bidi w:val="0"/>
              <w:rPr>
                <w:color w:val="auto"/>
              </w:rPr>
            </w:pPr>
            <w:r>
              <w:rPr>
                <w:rFonts w:hint="eastAsia"/>
                <w:color w:val="auto"/>
                <w:lang w:val="en-US" w:eastAsia="zh-CN"/>
              </w:rPr>
              <w:t>污泥脱水车间</w:t>
            </w:r>
          </w:p>
        </w:tc>
        <w:tc>
          <w:tcPr>
            <w:tcW w:w="322" w:type="pct"/>
            <w:tcBorders>
              <w:tl2br w:val="nil"/>
              <w:tr2bl w:val="nil"/>
            </w:tcBorders>
            <w:noWrap w:val="0"/>
            <w:vAlign w:val="center"/>
          </w:tcPr>
          <w:p w14:paraId="44106443">
            <w:pPr>
              <w:pStyle w:val="16"/>
              <w:bidi w:val="0"/>
              <w:ind w:left="0" w:leftChars="0" w:firstLine="0" w:firstLineChars="0"/>
              <w:rPr>
                <w:color w:val="auto"/>
              </w:rPr>
            </w:pPr>
            <w:r>
              <w:rPr>
                <w:color w:val="auto"/>
              </w:rPr>
              <w:t>NH</w:t>
            </w:r>
            <w:r>
              <w:rPr>
                <w:color w:val="auto"/>
                <w:vertAlign w:val="subscript"/>
              </w:rPr>
              <w:t>3</w:t>
            </w:r>
          </w:p>
        </w:tc>
        <w:tc>
          <w:tcPr>
            <w:tcW w:w="449" w:type="pct"/>
            <w:tcBorders>
              <w:tl2br w:val="nil"/>
              <w:tr2bl w:val="nil"/>
            </w:tcBorders>
            <w:noWrap w:val="0"/>
            <w:vAlign w:val="center"/>
          </w:tcPr>
          <w:p w14:paraId="5D875FB5">
            <w:pPr>
              <w:pStyle w:val="16"/>
              <w:bidi w:val="0"/>
              <w:rPr>
                <w:rFonts w:hint="eastAsia"/>
                <w:color w:val="auto"/>
                <w:lang w:val="en-US" w:eastAsia="zh-CN"/>
              </w:rPr>
            </w:pPr>
            <w:r>
              <w:rPr>
                <w:rFonts w:hint="default"/>
                <w:color w:val="auto"/>
                <w:lang w:val="en-US" w:eastAsia="zh-CN"/>
              </w:rPr>
              <w:t>28.4</w:t>
            </w:r>
          </w:p>
        </w:tc>
        <w:tc>
          <w:tcPr>
            <w:tcW w:w="364" w:type="pct"/>
            <w:tcBorders>
              <w:tl2br w:val="nil"/>
              <w:tr2bl w:val="nil"/>
            </w:tcBorders>
            <w:noWrap w:val="0"/>
            <w:vAlign w:val="center"/>
          </w:tcPr>
          <w:p w14:paraId="492EB933">
            <w:pPr>
              <w:pStyle w:val="16"/>
              <w:bidi w:val="0"/>
              <w:rPr>
                <w:rFonts w:hint="eastAsia"/>
                <w:color w:val="auto"/>
                <w:lang w:val="en-US" w:eastAsia="zh-CN"/>
              </w:rPr>
            </w:pPr>
            <w:r>
              <w:rPr>
                <w:rFonts w:hint="default"/>
                <w:color w:val="auto"/>
                <w:lang w:val="en-US" w:eastAsia="zh-CN"/>
              </w:rPr>
              <w:t>19.2</w:t>
            </w:r>
          </w:p>
        </w:tc>
        <w:tc>
          <w:tcPr>
            <w:tcW w:w="356" w:type="pct"/>
            <w:tcBorders>
              <w:tl2br w:val="nil"/>
              <w:tr2bl w:val="nil"/>
            </w:tcBorders>
            <w:noWrap w:val="0"/>
            <w:vAlign w:val="center"/>
          </w:tcPr>
          <w:p w14:paraId="5AB037F8">
            <w:pPr>
              <w:pStyle w:val="16"/>
              <w:bidi w:val="0"/>
              <w:rPr>
                <w:rFonts w:hint="eastAsia"/>
                <w:color w:val="auto"/>
              </w:rPr>
            </w:pPr>
            <w:r>
              <w:rPr>
                <w:rFonts w:hint="default"/>
                <w:color w:val="auto"/>
                <w:lang w:val="en-US" w:eastAsia="zh-CN"/>
              </w:rPr>
              <w:t>15</w:t>
            </w:r>
          </w:p>
        </w:tc>
        <w:tc>
          <w:tcPr>
            <w:tcW w:w="476" w:type="pct"/>
            <w:tcBorders>
              <w:tl2br w:val="nil"/>
              <w:tr2bl w:val="nil"/>
            </w:tcBorders>
            <w:noWrap w:val="0"/>
            <w:vAlign w:val="center"/>
          </w:tcPr>
          <w:p w14:paraId="2F20B4A4">
            <w:pPr>
              <w:pStyle w:val="16"/>
              <w:bidi w:val="0"/>
              <w:rPr>
                <w:rFonts w:hint="eastAsia"/>
                <w:color w:val="auto"/>
                <w:lang w:val="en-US" w:eastAsia="zh-CN"/>
              </w:rPr>
            </w:pPr>
            <w:r>
              <w:rPr>
                <w:rFonts w:hint="default"/>
                <w:color w:val="auto"/>
                <w:lang w:val="en-US" w:eastAsia="zh-CN"/>
              </w:rPr>
              <w:t>0.0046</w:t>
            </w:r>
          </w:p>
        </w:tc>
        <w:tc>
          <w:tcPr>
            <w:tcW w:w="1016" w:type="dxa"/>
            <w:tcBorders>
              <w:tl2br w:val="nil"/>
              <w:tr2bl w:val="nil"/>
            </w:tcBorders>
            <w:noWrap w:val="0"/>
            <w:vAlign w:val="center"/>
          </w:tcPr>
          <w:p w14:paraId="61350F33">
            <w:pPr>
              <w:pStyle w:val="16"/>
              <w:bidi w:val="0"/>
              <w:ind w:left="0" w:leftChars="0" w:firstLine="0" w:firstLineChars="0"/>
              <w:rPr>
                <w:rFonts w:hint="eastAsia"/>
                <w:color w:val="auto"/>
                <w:lang w:val="en-US" w:eastAsia="zh-CN"/>
              </w:rPr>
            </w:pPr>
            <w:r>
              <w:rPr>
                <w:rFonts w:hint="eastAsia"/>
                <w:color w:val="auto"/>
                <w:lang w:val="en-US" w:eastAsia="zh-CN"/>
              </w:rPr>
              <w:t>1.5</w:t>
            </w:r>
          </w:p>
        </w:tc>
        <w:tc>
          <w:tcPr>
            <w:tcW w:w="331" w:type="pct"/>
            <w:vMerge w:val="continue"/>
            <w:tcBorders>
              <w:tl2br w:val="nil"/>
              <w:tr2bl w:val="nil"/>
            </w:tcBorders>
            <w:noWrap w:val="0"/>
            <w:vAlign w:val="center"/>
          </w:tcPr>
          <w:p w14:paraId="5028175D">
            <w:pPr>
              <w:pStyle w:val="16"/>
              <w:bidi w:val="0"/>
              <w:rPr>
                <w:rFonts w:hint="eastAsia"/>
                <w:color w:val="auto"/>
              </w:rPr>
            </w:pPr>
          </w:p>
        </w:tc>
        <w:tc>
          <w:tcPr>
            <w:tcW w:w="241" w:type="pct"/>
            <w:vMerge w:val="continue"/>
            <w:tcBorders>
              <w:tl2br w:val="nil"/>
              <w:tr2bl w:val="nil"/>
            </w:tcBorders>
            <w:noWrap w:val="0"/>
            <w:vAlign w:val="center"/>
          </w:tcPr>
          <w:p w14:paraId="4CAC2094">
            <w:pPr>
              <w:pStyle w:val="16"/>
              <w:bidi w:val="0"/>
              <w:rPr>
                <w:rFonts w:hint="eastAsia"/>
                <w:color w:val="auto"/>
                <w:lang w:val="en-US" w:eastAsia="zh-CN"/>
              </w:rPr>
            </w:pPr>
          </w:p>
        </w:tc>
        <w:tc>
          <w:tcPr>
            <w:tcW w:w="271" w:type="pct"/>
            <w:vMerge w:val="continue"/>
            <w:tcBorders>
              <w:tl2br w:val="nil"/>
              <w:tr2bl w:val="nil"/>
            </w:tcBorders>
            <w:noWrap w:val="0"/>
            <w:vAlign w:val="center"/>
          </w:tcPr>
          <w:p w14:paraId="3205C22C">
            <w:pPr>
              <w:pStyle w:val="16"/>
              <w:bidi w:val="0"/>
              <w:rPr>
                <w:rFonts w:hint="eastAsia"/>
                <w:color w:val="auto"/>
              </w:rPr>
            </w:pPr>
          </w:p>
        </w:tc>
        <w:tc>
          <w:tcPr>
            <w:tcW w:w="272" w:type="pct"/>
            <w:vMerge w:val="continue"/>
            <w:tcBorders>
              <w:tl2br w:val="nil"/>
              <w:tr2bl w:val="nil"/>
            </w:tcBorders>
            <w:noWrap w:val="0"/>
            <w:vAlign w:val="center"/>
          </w:tcPr>
          <w:p w14:paraId="7567DAA8">
            <w:pPr>
              <w:pStyle w:val="16"/>
              <w:bidi w:val="0"/>
              <w:rPr>
                <w:rFonts w:hint="eastAsia"/>
                <w:color w:val="auto"/>
              </w:rPr>
            </w:pPr>
          </w:p>
        </w:tc>
        <w:tc>
          <w:tcPr>
            <w:tcW w:w="277" w:type="pct"/>
            <w:vMerge w:val="continue"/>
            <w:tcBorders>
              <w:tl2br w:val="nil"/>
              <w:tr2bl w:val="nil"/>
            </w:tcBorders>
            <w:noWrap w:val="0"/>
            <w:vAlign w:val="center"/>
          </w:tcPr>
          <w:p w14:paraId="39E03178">
            <w:pPr>
              <w:pStyle w:val="16"/>
              <w:bidi w:val="0"/>
              <w:rPr>
                <w:rFonts w:hint="eastAsia"/>
                <w:color w:val="auto"/>
              </w:rPr>
            </w:pPr>
          </w:p>
        </w:tc>
      </w:tr>
    </w:tbl>
    <w:p w14:paraId="1026FCCE">
      <w:pPr>
        <w:pStyle w:val="19"/>
        <w:keepNext w:val="0"/>
        <w:keepLines w:val="0"/>
        <w:pageBreakBefore w:val="0"/>
        <w:widowControl w:val="0"/>
        <w:numPr>
          <w:ilvl w:val="0"/>
          <w:numId w:val="31"/>
        </w:numPr>
        <w:kinsoku/>
        <w:wordWrap/>
        <w:overflowPunct/>
        <w:topLinePunct w:val="0"/>
        <w:autoSpaceDE/>
        <w:autoSpaceDN/>
        <w:bidi w:val="0"/>
        <w:adjustRightInd/>
        <w:snapToGrid/>
        <w:spacing w:before="157" w:beforeLines="50"/>
        <w:ind w:left="1440" w:leftChars="0" w:firstLine="0" w:firstLineChars="0"/>
        <w:textAlignment w:val="auto"/>
        <w:rPr>
          <w:color w:val="auto"/>
        </w:rPr>
      </w:pPr>
      <w:r>
        <w:rPr>
          <w:color w:val="auto"/>
        </w:rPr>
        <w:t>项目卫生防护距离计算结果表</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57" w:type="dxa"/>
          <w:bottom w:w="0" w:type="dxa"/>
          <w:right w:w="57" w:type="dxa"/>
        </w:tblCellMar>
      </w:tblPr>
      <w:tblGrid>
        <w:gridCol w:w="2078"/>
        <w:gridCol w:w="1099"/>
        <w:gridCol w:w="2209"/>
        <w:gridCol w:w="1421"/>
        <w:gridCol w:w="2037"/>
      </w:tblGrid>
      <w:tr w14:paraId="4BDC29B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397" w:hRule="atLeast"/>
          <w:tblHeader/>
          <w:jc w:val="center"/>
        </w:trPr>
        <w:tc>
          <w:tcPr>
            <w:tcW w:w="1174" w:type="pct"/>
            <w:tcBorders>
              <w:tl2br w:val="nil"/>
              <w:tr2bl w:val="nil"/>
            </w:tcBorders>
            <w:noWrap w:val="0"/>
            <w:vAlign w:val="center"/>
          </w:tcPr>
          <w:p w14:paraId="5D2D6BC6">
            <w:pPr>
              <w:pageBreakBefore w:val="0"/>
              <w:wordWrap/>
              <w:bidi w:val="0"/>
              <w:adjustRightInd/>
              <w:snapToGrid/>
              <w:spacing w:line="220" w:lineRule="exact"/>
              <w:ind w:firstLine="0" w:firstLineChars="0"/>
              <w:jc w:val="center"/>
              <w:rPr>
                <w:b/>
                <w:bCs w:val="0"/>
                <w:color w:val="auto"/>
                <w:sz w:val="21"/>
                <w:szCs w:val="21"/>
              </w:rPr>
            </w:pPr>
            <w:r>
              <w:rPr>
                <w:b/>
                <w:bCs w:val="0"/>
                <w:color w:val="auto"/>
                <w:sz w:val="21"/>
                <w:szCs w:val="21"/>
              </w:rPr>
              <w:t>装置区</w:t>
            </w:r>
          </w:p>
        </w:tc>
        <w:tc>
          <w:tcPr>
            <w:tcW w:w="621" w:type="pct"/>
            <w:tcBorders>
              <w:tl2br w:val="nil"/>
              <w:tr2bl w:val="nil"/>
            </w:tcBorders>
            <w:noWrap w:val="0"/>
            <w:vAlign w:val="center"/>
          </w:tcPr>
          <w:p w14:paraId="5CA1205C">
            <w:pPr>
              <w:pageBreakBefore w:val="0"/>
              <w:wordWrap/>
              <w:bidi w:val="0"/>
              <w:adjustRightInd/>
              <w:snapToGrid/>
              <w:spacing w:line="220" w:lineRule="exact"/>
              <w:ind w:firstLine="0" w:firstLineChars="0"/>
              <w:jc w:val="center"/>
              <w:rPr>
                <w:b/>
                <w:bCs w:val="0"/>
                <w:color w:val="auto"/>
                <w:sz w:val="21"/>
                <w:szCs w:val="21"/>
              </w:rPr>
            </w:pPr>
            <w:r>
              <w:rPr>
                <w:b/>
                <w:bCs w:val="0"/>
                <w:color w:val="auto"/>
                <w:sz w:val="21"/>
                <w:szCs w:val="21"/>
              </w:rPr>
              <w:t>污染物</w:t>
            </w:r>
          </w:p>
        </w:tc>
        <w:tc>
          <w:tcPr>
            <w:tcW w:w="1248" w:type="pct"/>
            <w:tcBorders>
              <w:tl2br w:val="nil"/>
              <w:tr2bl w:val="nil"/>
            </w:tcBorders>
            <w:noWrap w:val="0"/>
            <w:vAlign w:val="center"/>
          </w:tcPr>
          <w:p w14:paraId="425F0B39">
            <w:pPr>
              <w:pageBreakBefore w:val="0"/>
              <w:wordWrap/>
              <w:bidi w:val="0"/>
              <w:adjustRightInd/>
              <w:snapToGrid/>
              <w:spacing w:line="220" w:lineRule="exact"/>
              <w:ind w:firstLine="0" w:firstLineChars="0"/>
              <w:jc w:val="center"/>
              <w:rPr>
                <w:rFonts w:hint="eastAsia" w:eastAsia="宋体"/>
                <w:b/>
                <w:bCs w:val="0"/>
                <w:color w:val="auto"/>
                <w:sz w:val="21"/>
                <w:szCs w:val="21"/>
                <w:lang w:eastAsia="zh-CN"/>
              </w:rPr>
            </w:pPr>
            <w:r>
              <w:rPr>
                <w:b/>
                <w:bCs w:val="0"/>
                <w:color w:val="auto"/>
                <w:sz w:val="21"/>
                <w:szCs w:val="21"/>
              </w:rPr>
              <w:t>计算卫生防护距离</w:t>
            </w:r>
            <w:r>
              <w:rPr>
                <w:rFonts w:hint="eastAsia"/>
                <w:b/>
                <w:bCs w:val="0"/>
                <w:iCs/>
                <w:color w:val="auto"/>
                <w:sz w:val="21"/>
                <w:szCs w:val="21"/>
                <w:lang w:eastAsia="zh-CN"/>
              </w:rPr>
              <w:t>（</w:t>
            </w:r>
            <w:r>
              <w:rPr>
                <w:b/>
                <w:bCs w:val="0"/>
                <w:iCs/>
                <w:color w:val="auto"/>
                <w:sz w:val="21"/>
                <w:szCs w:val="21"/>
              </w:rPr>
              <w:t>m</w:t>
            </w:r>
            <w:r>
              <w:rPr>
                <w:rFonts w:hint="eastAsia"/>
                <w:b/>
                <w:bCs w:val="0"/>
                <w:iCs/>
                <w:color w:val="auto"/>
                <w:sz w:val="21"/>
                <w:szCs w:val="21"/>
                <w:lang w:eastAsia="zh-CN"/>
              </w:rPr>
              <w:t>）</w:t>
            </w:r>
          </w:p>
        </w:tc>
        <w:tc>
          <w:tcPr>
            <w:tcW w:w="803" w:type="pct"/>
            <w:tcBorders>
              <w:tl2br w:val="nil"/>
              <w:tr2bl w:val="nil"/>
            </w:tcBorders>
            <w:noWrap w:val="0"/>
            <w:vAlign w:val="center"/>
          </w:tcPr>
          <w:p w14:paraId="33F71903">
            <w:pPr>
              <w:pageBreakBefore w:val="0"/>
              <w:widowControl/>
              <w:wordWrap/>
              <w:bidi w:val="0"/>
              <w:adjustRightInd/>
              <w:snapToGrid/>
              <w:spacing w:line="240" w:lineRule="auto"/>
              <w:ind w:firstLine="0" w:firstLineChars="0"/>
              <w:jc w:val="center"/>
              <w:rPr>
                <w:b/>
                <w:bCs w:val="0"/>
                <w:color w:val="auto"/>
                <w:sz w:val="21"/>
                <w:szCs w:val="21"/>
              </w:rPr>
            </w:pPr>
            <w:r>
              <w:rPr>
                <w:b/>
                <w:bCs w:val="0"/>
                <w:color w:val="auto"/>
                <w:sz w:val="21"/>
                <w:szCs w:val="21"/>
              </w:rPr>
              <w:t>按级差划定</w:t>
            </w:r>
          </w:p>
        </w:tc>
        <w:tc>
          <w:tcPr>
            <w:tcW w:w="1151" w:type="pct"/>
            <w:tcBorders>
              <w:tl2br w:val="nil"/>
              <w:tr2bl w:val="nil"/>
            </w:tcBorders>
            <w:noWrap w:val="0"/>
            <w:vAlign w:val="center"/>
          </w:tcPr>
          <w:p w14:paraId="3BEA5048">
            <w:pPr>
              <w:pageBreakBefore w:val="0"/>
              <w:widowControl/>
              <w:wordWrap/>
              <w:bidi w:val="0"/>
              <w:adjustRightInd/>
              <w:snapToGrid/>
              <w:spacing w:line="240" w:lineRule="auto"/>
              <w:ind w:firstLine="0" w:firstLineChars="0"/>
              <w:jc w:val="center"/>
              <w:rPr>
                <w:rFonts w:hint="eastAsia" w:eastAsia="宋体"/>
                <w:b/>
                <w:bCs w:val="0"/>
                <w:color w:val="auto"/>
                <w:sz w:val="21"/>
                <w:szCs w:val="21"/>
                <w:lang w:eastAsia="zh-CN"/>
              </w:rPr>
            </w:pPr>
            <w:r>
              <w:rPr>
                <w:b/>
                <w:bCs w:val="0"/>
                <w:color w:val="auto"/>
                <w:sz w:val="21"/>
                <w:szCs w:val="21"/>
              </w:rPr>
              <w:t>卫生防护距离</w:t>
            </w:r>
            <w:r>
              <w:rPr>
                <w:rFonts w:hint="eastAsia"/>
                <w:b/>
                <w:bCs w:val="0"/>
                <w:iCs/>
                <w:color w:val="auto"/>
                <w:sz w:val="21"/>
                <w:szCs w:val="21"/>
                <w:lang w:eastAsia="zh-CN"/>
              </w:rPr>
              <w:t>（</w:t>
            </w:r>
            <w:r>
              <w:rPr>
                <w:b/>
                <w:bCs w:val="0"/>
                <w:iCs/>
                <w:color w:val="auto"/>
                <w:sz w:val="21"/>
                <w:szCs w:val="21"/>
              </w:rPr>
              <w:t>m</w:t>
            </w:r>
            <w:r>
              <w:rPr>
                <w:rFonts w:hint="eastAsia"/>
                <w:b/>
                <w:bCs w:val="0"/>
                <w:iCs/>
                <w:color w:val="auto"/>
                <w:sz w:val="21"/>
                <w:szCs w:val="21"/>
                <w:lang w:eastAsia="zh-CN"/>
              </w:rPr>
              <w:t>）</w:t>
            </w:r>
          </w:p>
        </w:tc>
      </w:tr>
      <w:tr w14:paraId="37E74E6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397" w:hRule="atLeast"/>
          <w:tblHeader/>
          <w:jc w:val="center"/>
        </w:trPr>
        <w:tc>
          <w:tcPr>
            <w:tcW w:w="2078" w:type="dxa"/>
            <w:tcBorders>
              <w:tl2br w:val="nil"/>
              <w:tr2bl w:val="nil"/>
            </w:tcBorders>
            <w:noWrap w:val="0"/>
            <w:vAlign w:val="center"/>
          </w:tcPr>
          <w:p w14:paraId="7E45D7B8">
            <w:pPr>
              <w:pStyle w:val="16"/>
              <w:bidi w:val="0"/>
              <w:ind w:left="0" w:leftChars="0" w:firstLine="0" w:firstLineChars="0"/>
              <w:rPr>
                <w:bCs/>
                <w:color w:val="auto"/>
                <w:sz w:val="21"/>
                <w:szCs w:val="21"/>
              </w:rPr>
            </w:pPr>
            <w:r>
              <w:rPr>
                <w:rFonts w:hint="eastAsia"/>
                <w:color w:val="auto"/>
                <w:lang w:val="en-US" w:eastAsia="zh-CN"/>
              </w:rPr>
              <w:t>超细格栅</w:t>
            </w:r>
          </w:p>
        </w:tc>
        <w:tc>
          <w:tcPr>
            <w:tcW w:w="621" w:type="pct"/>
            <w:tcBorders>
              <w:tl2br w:val="nil"/>
              <w:tr2bl w:val="nil"/>
            </w:tcBorders>
            <w:noWrap w:val="0"/>
            <w:vAlign w:val="center"/>
          </w:tcPr>
          <w:p w14:paraId="3D857BAB">
            <w:pPr>
              <w:pageBreakBefore w:val="0"/>
              <w:wordWrap/>
              <w:bidi w:val="0"/>
              <w:adjustRightInd/>
              <w:snapToGrid/>
              <w:spacing w:line="220" w:lineRule="exact"/>
              <w:ind w:firstLine="0" w:firstLineChars="0"/>
              <w:jc w:val="center"/>
              <w:rPr>
                <w:bCs/>
                <w:color w:val="auto"/>
                <w:sz w:val="21"/>
                <w:szCs w:val="21"/>
              </w:rPr>
            </w:pPr>
            <w:r>
              <w:rPr>
                <w:bCs/>
                <w:color w:val="auto"/>
                <w:sz w:val="21"/>
                <w:szCs w:val="21"/>
              </w:rPr>
              <w:t>NH</w:t>
            </w:r>
            <w:r>
              <w:rPr>
                <w:bCs/>
                <w:color w:val="auto"/>
                <w:sz w:val="21"/>
                <w:szCs w:val="21"/>
                <w:vertAlign w:val="subscript"/>
              </w:rPr>
              <w:t>3</w:t>
            </w:r>
          </w:p>
        </w:tc>
        <w:tc>
          <w:tcPr>
            <w:tcW w:w="1248" w:type="pct"/>
            <w:tcBorders>
              <w:tl2br w:val="nil"/>
              <w:tr2bl w:val="nil"/>
            </w:tcBorders>
            <w:noWrap w:val="0"/>
            <w:vAlign w:val="center"/>
          </w:tcPr>
          <w:p w14:paraId="793ADDBF">
            <w:pPr>
              <w:pageBreakBefore w:val="0"/>
              <w:wordWrap/>
              <w:bidi w:val="0"/>
              <w:adjustRightInd/>
              <w:snapToGrid/>
              <w:spacing w:line="26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0.02</w:t>
            </w:r>
          </w:p>
        </w:tc>
        <w:tc>
          <w:tcPr>
            <w:tcW w:w="803" w:type="pct"/>
            <w:tcBorders>
              <w:tl2br w:val="nil"/>
              <w:tr2bl w:val="nil"/>
            </w:tcBorders>
            <w:noWrap w:val="0"/>
            <w:vAlign w:val="center"/>
          </w:tcPr>
          <w:p w14:paraId="4EC5AD8F">
            <w:pPr>
              <w:pageBreakBefore w:val="0"/>
              <w:wordWrap/>
              <w:bidi w:val="0"/>
              <w:adjustRightInd/>
              <w:snapToGrid/>
              <w:spacing w:line="260" w:lineRule="exact"/>
              <w:ind w:firstLine="0" w:firstLineChars="0"/>
              <w:jc w:val="center"/>
              <w:rPr>
                <w:color w:val="auto"/>
                <w:sz w:val="21"/>
                <w:szCs w:val="21"/>
              </w:rPr>
            </w:pPr>
            <w:r>
              <w:rPr>
                <w:color w:val="auto"/>
                <w:sz w:val="21"/>
                <w:szCs w:val="21"/>
              </w:rPr>
              <w:t>50</w:t>
            </w:r>
          </w:p>
        </w:tc>
        <w:tc>
          <w:tcPr>
            <w:tcW w:w="1151" w:type="pct"/>
            <w:vMerge w:val="restart"/>
            <w:tcBorders>
              <w:tl2br w:val="nil"/>
              <w:tr2bl w:val="nil"/>
            </w:tcBorders>
            <w:noWrap w:val="0"/>
            <w:vAlign w:val="center"/>
          </w:tcPr>
          <w:p w14:paraId="6077619B">
            <w:pPr>
              <w:pageBreakBefore w:val="0"/>
              <w:wordWrap/>
              <w:bidi w:val="0"/>
              <w:adjustRightInd/>
              <w:snapToGrid/>
              <w:spacing w:line="26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50</w:t>
            </w:r>
          </w:p>
        </w:tc>
      </w:tr>
      <w:tr w14:paraId="3785B09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397" w:hRule="atLeast"/>
          <w:tblHeader/>
          <w:jc w:val="center"/>
        </w:trPr>
        <w:tc>
          <w:tcPr>
            <w:tcW w:w="2078" w:type="dxa"/>
            <w:tcBorders>
              <w:tl2br w:val="nil"/>
              <w:tr2bl w:val="nil"/>
            </w:tcBorders>
            <w:noWrap w:val="0"/>
            <w:vAlign w:val="center"/>
          </w:tcPr>
          <w:p w14:paraId="592FE691">
            <w:pPr>
              <w:pStyle w:val="16"/>
              <w:bidi w:val="0"/>
              <w:ind w:left="0" w:leftChars="0" w:firstLine="0" w:firstLineChars="0"/>
              <w:rPr>
                <w:bCs/>
                <w:color w:val="auto"/>
                <w:sz w:val="21"/>
                <w:szCs w:val="21"/>
              </w:rPr>
            </w:pPr>
            <w:r>
              <w:rPr>
                <w:rFonts w:hint="eastAsia"/>
                <w:color w:val="auto"/>
                <w:lang w:val="en-US" w:eastAsia="zh-CN"/>
              </w:rPr>
              <w:t>调节池</w:t>
            </w:r>
          </w:p>
        </w:tc>
        <w:tc>
          <w:tcPr>
            <w:tcW w:w="621" w:type="pct"/>
            <w:tcBorders>
              <w:tl2br w:val="nil"/>
              <w:tr2bl w:val="nil"/>
            </w:tcBorders>
            <w:noWrap w:val="0"/>
            <w:vAlign w:val="center"/>
          </w:tcPr>
          <w:p w14:paraId="05162F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auto"/>
                <w:sz w:val="21"/>
                <w:szCs w:val="21"/>
              </w:rPr>
            </w:pPr>
            <w:r>
              <w:rPr>
                <w:bCs/>
                <w:color w:val="auto"/>
                <w:sz w:val="21"/>
                <w:szCs w:val="21"/>
              </w:rPr>
              <w:t>NH</w:t>
            </w:r>
            <w:r>
              <w:rPr>
                <w:bCs/>
                <w:color w:val="auto"/>
                <w:sz w:val="21"/>
                <w:szCs w:val="21"/>
                <w:vertAlign w:val="subscript"/>
              </w:rPr>
              <w:t>3</w:t>
            </w:r>
          </w:p>
        </w:tc>
        <w:tc>
          <w:tcPr>
            <w:tcW w:w="1248" w:type="pct"/>
            <w:tcBorders>
              <w:tl2br w:val="nil"/>
              <w:tr2bl w:val="nil"/>
            </w:tcBorders>
            <w:noWrap w:val="0"/>
            <w:vAlign w:val="center"/>
          </w:tcPr>
          <w:p w14:paraId="24512AF3">
            <w:pPr>
              <w:pageBreakBefore w:val="0"/>
              <w:wordWrap/>
              <w:bidi w:val="0"/>
              <w:adjustRightInd/>
              <w:snapToGrid/>
              <w:spacing w:line="260" w:lineRule="exact"/>
              <w:ind w:firstLine="0" w:firstLineChars="0"/>
              <w:jc w:val="center"/>
              <w:rPr>
                <w:rFonts w:hint="default"/>
                <w:color w:val="auto"/>
                <w:sz w:val="21"/>
                <w:szCs w:val="21"/>
                <w:lang w:val="en-US" w:eastAsia="zh-CN"/>
              </w:rPr>
            </w:pPr>
            <w:r>
              <w:rPr>
                <w:rFonts w:hint="eastAsia"/>
                <w:color w:val="auto"/>
                <w:sz w:val="21"/>
                <w:szCs w:val="21"/>
                <w:lang w:val="en-US" w:eastAsia="zh-CN"/>
              </w:rPr>
              <w:t>5.5</w:t>
            </w:r>
          </w:p>
        </w:tc>
        <w:tc>
          <w:tcPr>
            <w:tcW w:w="803" w:type="pct"/>
            <w:tcBorders>
              <w:tl2br w:val="nil"/>
              <w:tr2bl w:val="nil"/>
            </w:tcBorders>
            <w:noWrap w:val="0"/>
            <w:vAlign w:val="center"/>
          </w:tcPr>
          <w:p w14:paraId="3CCA3BA1">
            <w:pPr>
              <w:pageBreakBefore w:val="0"/>
              <w:wordWrap/>
              <w:bidi w:val="0"/>
              <w:adjustRightInd/>
              <w:snapToGrid/>
              <w:spacing w:line="260" w:lineRule="exact"/>
              <w:ind w:firstLine="0" w:firstLineChars="0"/>
              <w:jc w:val="center"/>
              <w:rPr>
                <w:color w:val="auto"/>
                <w:sz w:val="21"/>
                <w:szCs w:val="21"/>
              </w:rPr>
            </w:pPr>
            <w:r>
              <w:rPr>
                <w:color w:val="auto"/>
                <w:sz w:val="21"/>
                <w:szCs w:val="21"/>
              </w:rPr>
              <w:t>50</w:t>
            </w:r>
          </w:p>
        </w:tc>
        <w:tc>
          <w:tcPr>
            <w:tcW w:w="1151" w:type="pct"/>
            <w:vMerge w:val="continue"/>
            <w:tcBorders>
              <w:tl2br w:val="nil"/>
              <w:tr2bl w:val="nil"/>
            </w:tcBorders>
            <w:noWrap w:val="0"/>
            <w:vAlign w:val="center"/>
          </w:tcPr>
          <w:p w14:paraId="3406A0D4">
            <w:pPr>
              <w:pageBreakBefore w:val="0"/>
              <w:wordWrap/>
              <w:bidi w:val="0"/>
              <w:adjustRightInd/>
              <w:snapToGrid/>
              <w:spacing w:line="260" w:lineRule="exact"/>
              <w:ind w:firstLine="0" w:firstLineChars="0"/>
              <w:jc w:val="center"/>
              <w:rPr>
                <w:color w:val="auto"/>
                <w:sz w:val="21"/>
                <w:szCs w:val="21"/>
              </w:rPr>
            </w:pPr>
          </w:p>
        </w:tc>
      </w:tr>
      <w:tr w14:paraId="6299BE8C">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397" w:hRule="atLeast"/>
          <w:tblHeader/>
          <w:jc w:val="center"/>
        </w:trPr>
        <w:tc>
          <w:tcPr>
            <w:tcW w:w="2078" w:type="dxa"/>
            <w:tcBorders>
              <w:tl2br w:val="nil"/>
              <w:tr2bl w:val="nil"/>
            </w:tcBorders>
            <w:noWrap w:val="0"/>
            <w:vAlign w:val="center"/>
          </w:tcPr>
          <w:p w14:paraId="1C0821A8">
            <w:pPr>
              <w:pStyle w:val="16"/>
              <w:bidi w:val="0"/>
              <w:ind w:left="0" w:leftChars="0" w:firstLine="0" w:firstLineChars="0"/>
              <w:rPr>
                <w:bCs/>
                <w:color w:val="auto"/>
                <w:sz w:val="21"/>
                <w:szCs w:val="21"/>
              </w:rPr>
            </w:pPr>
            <w:r>
              <w:rPr>
                <w:rFonts w:hint="eastAsia"/>
                <w:color w:val="auto"/>
                <w:lang w:val="en-US" w:eastAsia="zh-CN"/>
              </w:rPr>
              <w:t>水解酸化池</w:t>
            </w:r>
          </w:p>
        </w:tc>
        <w:tc>
          <w:tcPr>
            <w:tcW w:w="621" w:type="pct"/>
            <w:tcBorders>
              <w:tl2br w:val="nil"/>
              <w:tr2bl w:val="nil"/>
            </w:tcBorders>
            <w:noWrap w:val="0"/>
            <w:vAlign w:val="center"/>
          </w:tcPr>
          <w:p w14:paraId="75BF6C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auto"/>
                <w:sz w:val="21"/>
                <w:szCs w:val="21"/>
              </w:rPr>
            </w:pPr>
            <w:r>
              <w:rPr>
                <w:bCs/>
                <w:color w:val="auto"/>
                <w:sz w:val="21"/>
                <w:szCs w:val="21"/>
              </w:rPr>
              <w:t>NH</w:t>
            </w:r>
            <w:r>
              <w:rPr>
                <w:bCs/>
                <w:color w:val="auto"/>
                <w:sz w:val="21"/>
                <w:szCs w:val="21"/>
                <w:vertAlign w:val="subscript"/>
              </w:rPr>
              <w:t>3</w:t>
            </w:r>
          </w:p>
        </w:tc>
        <w:tc>
          <w:tcPr>
            <w:tcW w:w="1248" w:type="pct"/>
            <w:tcBorders>
              <w:tl2br w:val="nil"/>
              <w:tr2bl w:val="nil"/>
            </w:tcBorders>
            <w:noWrap w:val="0"/>
            <w:vAlign w:val="center"/>
          </w:tcPr>
          <w:p w14:paraId="09BE18D9">
            <w:pPr>
              <w:pageBreakBefore w:val="0"/>
              <w:wordWrap/>
              <w:bidi w:val="0"/>
              <w:adjustRightInd/>
              <w:snapToGrid/>
              <w:spacing w:line="260" w:lineRule="exact"/>
              <w:ind w:firstLine="0" w:firstLineChars="0"/>
              <w:jc w:val="center"/>
              <w:rPr>
                <w:rFonts w:hint="default"/>
                <w:color w:val="auto"/>
                <w:sz w:val="21"/>
                <w:szCs w:val="21"/>
                <w:lang w:val="en-US" w:eastAsia="zh-CN"/>
              </w:rPr>
            </w:pPr>
            <w:r>
              <w:rPr>
                <w:rFonts w:hint="eastAsia"/>
                <w:color w:val="auto"/>
                <w:sz w:val="21"/>
                <w:szCs w:val="21"/>
                <w:lang w:val="en-US" w:eastAsia="zh-CN"/>
              </w:rPr>
              <w:t>0.08</w:t>
            </w:r>
          </w:p>
        </w:tc>
        <w:tc>
          <w:tcPr>
            <w:tcW w:w="1421" w:type="dxa"/>
            <w:tcBorders>
              <w:tl2br w:val="nil"/>
              <w:tr2bl w:val="nil"/>
            </w:tcBorders>
            <w:noWrap w:val="0"/>
            <w:vAlign w:val="center"/>
          </w:tcPr>
          <w:p w14:paraId="7199CF02">
            <w:pPr>
              <w:pageBreakBefore w:val="0"/>
              <w:wordWrap/>
              <w:bidi w:val="0"/>
              <w:adjustRightInd/>
              <w:snapToGrid/>
              <w:spacing w:line="260" w:lineRule="exact"/>
              <w:ind w:firstLine="0" w:firstLineChars="0"/>
              <w:jc w:val="center"/>
              <w:rPr>
                <w:color w:val="auto"/>
                <w:sz w:val="21"/>
                <w:szCs w:val="21"/>
              </w:rPr>
            </w:pPr>
            <w:r>
              <w:rPr>
                <w:color w:val="auto"/>
                <w:sz w:val="21"/>
                <w:szCs w:val="21"/>
              </w:rPr>
              <w:t>50</w:t>
            </w:r>
          </w:p>
        </w:tc>
        <w:tc>
          <w:tcPr>
            <w:tcW w:w="1151" w:type="pct"/>
            <w:vMerge w:val="continue"/>
            <w:tcBorders>
              <w:tl2br w:val="nil"/>
              <w:tr2bl w:val="nil"/>
            </w:tcBorders>
            <w:noWrap w:val="0"/>
            <w:vAlign w:val="center"/>
          </w:tcPr>
          <w:p w14:paraId="7618D38F">
            <w:pPr>
              <w:pageBreakBefore w:val="0"/>
              <w:wordWrap/>
              <w:bidi w:val="0"/>
              <w:adjustRightInd/>
              <w:snapToGrid/>
              <w:spacing w:line="260" w:lineRule="exact"/>
              <w:ind w:firstLine="0" w:firstLineChars="0"/>
              <w:jc w:val="center"/>
              <w:rPr>
                <w:color w:val="auto"/>
                <w:sz w:val="21"/>
                <w:szCs w:val="21"/>
              </w:rPr>
            </w:pPr>
          </w:p>
        </w:tc>
      </w:tr>
      <w:tr w14:paraId="1561457A">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397" w:hRule="atLeast"/>
          <w:tblHeader/>
          <w:jc w:val="center"/>
        </w:trPr>
        <w:tc>
          <w:tcPr>
            <w:tcW w:w="2078" w:type="dxa"/>
            <w:tcBorders>
              <w:tl2br w:val="nil"/>
              <w:tr2bl w:val="nil"/>
            </w:tcBorders>
            <w:noWrap w:val="0"/>
            <w:vAlign w:val="center"/>
          </w:tcPr>
          <w:p w14:paraId="3EB60333">
            <w:pPr>
              <w:pStyle w:val="16"/>
              <w:bidi w:val="0"/>
              <w:ind w:left="0" w:leftChars="0" w:firstLine="0" w:firstLineChars="0"/>
              <w:rPr>
                <w:bCs/>
                <w:color w:val="auto"/>
                <w:sz w:val="21"/>
                <w:szCs w:val="21"/>
              </w:rPr>
            </w:pPr>
            <w:r>
              <w:rPr>
                <w:rFonts w:hint="default"/>
                <w:color w:val="auto"/>
                <w:lang w:val="en-US" w:eastAsia="zh-CN"/>
              </w:rPr>
              <w:t>EBIS</w:t>
            </w:r>
            <w:r>
              <w:rPr>
                <w:rFonts w:hint="eastAsia"/>
                <w:color w:val="auto"/>
                <w:lang w:val="en-US" w:eastAsia="zh-CN"/>
              </w:rPr>
              <w:t>生化池</w:t>
            </w:r>
          </w:p>
        </w:tc>
        <w:tc>
          <w:tcPr>
            <w:tcW w:w="621" w:type="pct"/>
            <w:tcBorders>
              <w:tl2br w:val="nil"/>
              <w:tr2bl w:val="nil"/>
            </w:tcBorders>
            <w:noWrap w:val="0"/>
            <w:vAlign w:val="center"/>
          </w:tcPr>
          <w:p w14:paraId="7FA4A5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auto"/>
                <w:sz w:val="21"/>
                <w:szCs w:val="21"/>
              </w:rPr>
            </w:pPr>
            <w:r>
              <w:rPr>
                <w:bCs/>
                <w:color w:val="auto"/>
                <w:sz w:val="21"/>
                <w:szCs w:val="21"/>
              </w:rPr>
              <w:t>NH</w:t>
            </w:r>
            <w:r>
              <w:rPr>
                <w:bCs/>
                <w:color w:val="auto"/>
                <w:sz w:val="21"/>
                <w:szCs w:val="21"/>
                <w:vertAlign w:val="subscript"/>
              </w:rPr>
              <w:t>3</w:t>
            </w:r>
          </w:p>
        </w:tc>
        <w:tc>
          <w:tcPr>
            <w:tcW w:w="1248" w:type="pct"/>
            <w:tcBorders>
              <w:tl2br w:val="nil"/>
              <w:tr2bl w:val="nil"/>
            </w:tcBorders>
            <w:noWrap w:val="0"/>
            <w:vAlign w:val="center"/>
          </w:tcPr>
          <w:p w14:paraId="778863EE">
            <w:pPr>
              <w:pageBreakBefore w:val="0"/>
              <w:wordWrap/>
              <w:bidi w:val="0"/>
              <w:adjustRightInd/>
              <w:snapToGrid/>
              <w:spacing w:line="260" w:lineRule="exact"/>
              <w:ind w:firstLine="0" w:firstLineChars="0"/>
              <w:jc w:val="center"/>
              <w:rPr>
                <w:rFonts w:hint="default"/>
                <w:color w:val="auto"/>
                <w:sz w:val="21"/>
                <w:szCs w:val="21"/>
                <w:lang w:val="en-US" w:eastAsia="zh-CN"/>
              </w:rPr>
            </w:pPr>
            <w:r>
              <w:rPr>
                <w:rFonts w:hint="eastAsia"/>
                <w:color w:val="auto"/>
                <w:sz w:val="21"/>
                <w:szCs w:val="21"/>
                <w:lang w:val="en-US" w:eastAsia="zh-CN"/>
              </w:rPr>
              <w:t>0.02</w:t>
            </w:r>
          </w:p>
        </w:tc>
        <w:tc>
          <w:tcPr>
            <w:tcW w:w="1421" w:type="dxa"/>
            <w:tcBorders>
              <w:tl2br w:val="nil"/>
              <w:tr2bl w:val="nil"/>
            </w:tcBorders>
            <w:noWrap w:val="0"/>
            <w:vAlign w:val="center"/>
          </w:tcPr>
          <w:p w14:paraId="04FAF45B">
            <w:pPr>
              <w:pageBreakBefore w:val="0"/>
              <w:wordWrap/>
              <w:bidi w:val="0"/>
              <w:adjustRightInd/>
              <w:snapToGrid/>
              <w:spacing w:line="260" w:lineRule="exact"/>
              <w:ind w:firstLine="0" w:firstLineChars="0"/>
              <w:jc w:val="center"/>
              <w:rPr>
                <w:color w:val="auto"/>
                <w:sz w:val="21"/>
                <w:szCs w:val="21"/>
              </w:rPr>
            </w:pPr>
            <w:r>
              <w:rPr>
                <w:color w:val="auto"/>
                <w:sz w:val="21"/>
                <w:szCs w:val="21"/>
              </w:rPr>
              <w:t>50</w:t>
            </w:r>
          </w:p>
        </w:tc>
        <w:tc>
          <w:tcPr>
            <w:tcW w:w="1151" w:type="pct"/>
            <w:vMerge w:val="continue"/>
            <w:tcBorders>
              <w:tl2br w:val="nil"/>
              <w:tr2bl w:val="nil"/>
            </w:tcBorders>
            <w:noWrap w:val="0"/>
            <w:vAlign w:val="center"/>
          </w:tcPr>
          <w:p w14:paraId="35A9D8F3">
            <w:pPr>
              <w:pageBreakBefore w:val="0"/>
              <w:wordWrap/>
              <w:bidi w:val="0"/>
              <w:adjustRightInd/>
              <w:snapToGrid/>
              <w:spacing w:line="260" w:lineRule="exact"/>
              <w:ind w:firstLine="0" w:firstLineChars="0"/>
              <w:jc w:val="center"/>
              <w:rPr>
                <w:color w:val="auto"/>
                <w:sz w:val="21"/>
                <w:szCs w:val="21"/>
              </w:rPr>
            </w:pPr>
          </w:p>
        </w:tc>
      </w:tr>
      <w:tr w14:paraId="6A21F254">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397" w:hRule="atLeast"/>
          <w:tblHeader/>
          <w:jc w:val="center"/>
        </w:trPr>
        <w:tc>
          <w:tcPr>
            <w:tcW w:w="2078" w:type="dxa"/>
            <w:tcBorders>
              <w:tl2br w:val="nil"/>
              <w:tr2bl w:val="nil"/>
            </w:tcBorders>
            <w:noWrap w:val="0"/>
            <w:vAlign w:val="center"/>
          </w:tcPr>
          <w:p w14:paraId="715DFF7E">
            <w:pPr>
              <w:pStyle w:val="16"/>
              <w:bidi w:val="0"/>
              <w:ind w:left="0" w:leftChars="0" w:firstLine="0" w:firstLineChars="0"/>
              <w:rPr>
                <w:bCs/>
                <w:color w:val="auto"/>
                <w:sz w:val="21"/>
                <w:szCs w:val="21"/>
              </w:rPr>
            </w:pPr>
            <w:r>
              <w:rPr>
                <w:rFonts w:hint="eastAsia"/>
                <w:color w:val="auto"/>
                <w:lang w:val="en-US" w:eastAsia="zh-CN"/>
              </w:rPr>
              <w:t>磁混凝沉淀池</w:t>
            </w:r>
          </w:p>
        </w:tc>
        <w:tc>
          <w:tcPr>
            <w:tcW w:w="621" w:type="pct"/>
            <w:tcBorders>
              <w:tl2br w:val="nil"/>
              <w:tr2bl w:val="nil"/>
            </w:tcBorders>
            <w:noWrap w:val="0"/>
            <w:vAlign w:val="center"/>
          </w:tcPr>
          <w:p w14:paraId="4AF7A6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auto"/>
                <w:sz w:val="21"/>
                <w:szCs w:val="21"/>
              </w:rPr>
            </w:pPr>
            <w:r>
              <w:rPr>
                <w:bCs/>
                <w:color w:val="auto"/>
                <w:sz w:val="21"/>
                <w:szCs w:val="21"/>
              </w:rPr>
              <w:t>NH</w:t>
            </w:r>
            <w:r>
              <w:rPr>
                <w:bCs/>
                <w:color w:val="auto"/>
                <w:sz w:val="21"/>
                <w:szCs w:val="21"/>
                <w:vertAlign w:val="subscript"/>
              </w:rPr>
              <w:t>3</w:t>
            </w:r>
          </w:p>
        </w:tc>
        <w:tc>
          <w:tcPr>
            <w:tcW w:w="1248" w:type="pct"/>
            <w:tcBorders>
              <w:tl2br w:val="nil"/>
              <w:tr2bl w:val="nil"/>
            </w:tcBorders>
            <w:noWrap w:val="0"/>
            <w:vAlign w:val="center"/>
          </w:tcPr>
          <w:p w14:paraId="3E3AE0E7">
            <w:pPr>
              <w:pageBreakBefore w:val="0"/>
              <w:wordWrap/>
              <w:bidi w:val="0"/>
              <w:adjustRightInd/>
              <w:snapToGrid/>
              <w:spacing w:line="260" w:lineRule="exact"/>
              <w:ind w:firstLine="0" w:firstLineChars="0"/>
              <w:jc w:val="center"/>
              <w:rPr>
                <w:rFonts w:hint="default"/>
                <w:color w:val="auto"/>
                <w:sz w:val="21"/>
                <w:szCs w:val="21"/>
                <w:lang w:val="en-US" w:eastAsia="zh-CN"/>
              </w:rPr>
            </w:pPr>
            <w:r>
              <w:rPr>
                <w:rFonts w:hint="eastAsia"/>
                <w:color w:val="auto"/>
                <w:sz w:val="21"/>
                <w:szCs w:val="21"/>
                <w:lang w:val="en-US" w:eastAsia="zh-CN"/>
              </w:rPr>
              <w:t>0.07</w:t>
            </w:r>
          </w:p>
        </w:tc>
        <w:tc>
          <w:tcPr>
            <w:tcW w:w="1421" w:type="dxa"/>
            <w:tcBorders>
              <w:tl2br w:val="nil"/>
              <w:tr2bl w:val="nil"/>
            </w:tcBorders>
            <w:noWrap w:val="0"/>
            <w:vAlign w:val="center"/>
          </w:tcPr>
          <w:p w14:paraId="129A6F86">
            <w:pPr>
              <w:pageBreakBefore w:val="0"/>
              <w:wordWrap/>
              <w:bidi w:val="0"/>
              <w:adjustRightInd/>
              <w:snapToGrid/>
              <w:spacing w:line="260" w:lineRule="exact"/>
              <w:ind w:firstLine="0" w:firstLineChars="0"/>
              <w:jc w:val="center"/>
              <w:rPr>
                <w:color w:val="auto"/>
                <w:sz w:val="21"/>
                <w:szCs w:val="21"/>
              </w:rPr>
            </w:pPr>
            <w:r>
              <w:rPr>
                <w:color w:val="auto"/>
                <w:sz w:val="21"/>
                <w:szCs w:val="21"/>
              </w:rPr>
              <w:t>50</w:t>
            </w:r>
          </w:p>
        </w:tc>
        <w:tc>
          <w:tcPr>
            <w:tcW w:w="1151" w:type="pct"/>
            <w:vMerge w:val="continue"/>
            <w:tcBorders>
              <w:tl2br w:val="nil"/>
              <w:tr2bl w:val="nil"/>
            </w:tcBorders>
            <w:noWrap w:val="0"/>
            <w:vAlign w:val="center"/>
          </w:tcPr>
          <w:p w14:paraId="1AD58D2C">
            <w:pPr>
              <w:pageBreakBefore w:val="0"/>
              <w:wordWrap/>
              <w:bidi w:val="0"/>
              <w:adjustRightInd/>
              <w:snapToGrid/>
              <w:spacing w:line="260" w:lineRule="exact"/>
              <w:ind w:firstLine="0" w:firstLineChars="0"/>
              <w:jc w:val="center"/>
              <w:rPr>
                <w:color w:val="auto"/>
                <w:sz w:val="21"/>
                <w:szCs w:val="21"/>
              </w:rPr>
            </w:pPr>
          </w:p>
        </w:tc>
      </w:tr>
      <w:tr w14:paraId="6E36BE1E">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397" w:hRule="atLeast"/>
          <w:tblHeader/>
          <w:jc w:val="center"/>
        </w:trPr>
        <w:tc>
          <w:tcPr>
            <w:tcW w:w="2078" w:type="dxa"/>
            <w:tcBorders>
              <w:tl2br w:val="nil"/>
              <w:tr2bl w:val="nil"/>
            </w:tcBorders>
            <w:noWrap w:val="0"/>
            <w:vAlign w:val="center"/>
          </w:tcPr>
          <w:p w14:paraId="7B5C7E57">
            <w:pPr>
              <w:pStyle w:val="16"/>
              <w:bidi w:val="0"/>
              <w:ind w:left="0" w:leftChars="0" w:firstLine="0" w:firstLineChars="0"/>
              <w:rPr>
                <w:bCs/>
                <w:color w:val="auto"/>
                <w:sz w:val="21"/>
                <w:szCs w:val="21"/>
              </w:rPr>
            </w:pPr>
            <w:r>
              <w:rPr>
                <w:rFonts w:hint="eastAsia"/>
                <w:color w:val="auto"/>
                <w:lang w:val="en-US" w:eastAsia="zh-CN"/>
              </w:rPr>
              <w:t>反硝化深床滤池</w:t>
            </w:r>
          </w:p>
        </w:tc>
        <w:tc>
          <w:tcPr>
            <w:tcW w:w="621" w:type="pct"/>
            <w:tcBorders>
              <w:tl2br w:val="nil"/>
              <w:tr2bl w:val="nil"/>
            </w:tcBorders>
            <w:noWrap w:val="0"/>
            <w:vAlign w:val="center"/>
          </w:tcPr>
          <w:p w14:paraId="0AD9C7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auto"/>
                <w:sz w:val="21"/>
                <w:szCs w:val="21"/>
              </w:rPr>
            </w:pPr>
            <w:r>
              <w:rPr>
                <w:bCs/>
                <w:color w:val="auto"/>
                <w:sz w:val="21"/>
                <w:szCs w:val="21"/>
              </w:rPr>
              <w:t>NH</w:t>
            </w:r>
            <w:r>
              <w:rPr>
                <w:bCs/>
                <w:color w:val="auto"/>
                <w:sz w:val="21"/>
                <w:szCs w:val="21"/>
                <w:vertAlign w:val="subscript"/>
              </w:rPr>
              <w:t>3</w:t>
            </w:r>
          </w:p>
        </w:tc>
        <w:tc>
          <w:tcPr>
            <w:tcW w:w="1248" w:type="pct"/>
            <w:tcBorders>
              <w:tl2br w:val="nil"/>
              <w:tr2bl w:val="nil"/>
            </w:tcBorders>
            <w:noWrap w:val="0"/>
            <w:vAlign w:val="center"/>
          </w:tcPr>
          <w:p w14:paraId="62EE4F8A">
            <w:pPr>
              <w:pageBreakBefore w:val="0"/>
              <w:wordWrap/>
              <w:bidi w:val="0"/>
              <w:adjustRightInd/>
              <w:snapToGrid/>
              <w:spacing w:line="260" w:lineRule="exact"/>
              <w:ind w:firstLine="0" w:firstLineChars="0"/>
              <w:jc w:val="center"/>
              <w:rPr>
                <w:rFonts w:hint="default"/>
                <w:color w:val="auto"/>
                <w:sz w:val="21"/>
                <w:szCs w:val="21"/>
                <w:lang w:val="en-US" w:eastAsia="zh-CN"/>
              </w:rPr>
            </w:pPr>
            <w:r>
              <w:rPr>
                <w:rFonts w:hint="eastAsia"/>
                <w:color w:val="auto"/>
                <w:sz w:val="21"/>
                <w:szCs w:val="21"/>
                <w:lang w:val="en-US" w:eastAsia="zh-CN"/>
              </w:rPr>
              <w:t>0.01</w:t>
            </w:r>
          </w:p>
        </w:tc>
        <w:tc>
          <w:tcPr>
            <w:tcW w:w="1421" w:type="dxa"/>
            <w:tcBorders>
              <w:tl2br w:val="nil"/>
              <w:tr2bl w:val="nil"/>
            </w:tcBorders>
            <w:noWrap w:val="0"/>
            <w:vAlign w:val="center"/>
          </w:tcPr>
          <w:p w14:paraId="7F4A33FC">
            <w:pPr>
              <w:pageBreakBefore w:val="0"/>
              <w:wordWrap/>
              <w:bidi w:val="0"/>
              <w:adjustRightInd/>
              <w:snapToGrid/>
              <w:spacing w:line="260" w:lineRule="exact"/>
              <w:ind w:firstLine="0" w:firstLineChars="0"/>
              <w:jc w:val="center"/>
              <w:rPr>
                <w:color w:val="auto"/>
                <w:sz w:val="21"/>
                <w:szCs w:val="21"/>
              </w:rPr>
            </w:pPr>
            <w:r>
              <w:rPr>
                <w:color w:val="auto"/>
                <w:sz w:val="21"/>
                <w:szCs w:val="21"/>
              </w:rPr>
              <w:t>50</w:t>
            </w:r>
          </w:p>
        </w:tc>
        <w:tc>
          <w:tcPr>
            <w:tcW w:w="1151" w:type="pct"/>
            <w:vMerge w:val="continue"/>
            <w:tcBorders>
              <w:tl2br w:val="nil"/>
              <w:tr2bl w:val="nil"/>
            </w:tcBorders>
            <w:noWrap w:val="0"/>
            <w:vAlign w:val="center"/>
          </w:tcPr>
          <w:p w14:paraId="5506B8EA">
            <w:pPr>
              <w:pageBreakBefore w:val="0"/>
              <w:wordWrap/>
              <w:bidi w:val="0"/>
              <w:adjustRightInd/>
              <w:snapToGrid/>
              <w:spacing w:line="260" w:lineRule="exact"/>
              <w:ind w:firstLine="0" w:firstLineChars="0"/>
              <w:jc w:val="center"/>
              <w:rPr>
                <w:color w:val="auto"/>
                <w:sz w:val="21"/>
                <w:szCs w:val="21"/>
              </w:rPr>
            </w:pPr>
          </w:p>
        </w:tc>
      </w:tr>
      <w:tr w14:paraId="0B927C0C">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397" w:hRule="atLeast"/>
          <w:tblHeader/>
          <w:jc w:val="center"/>
        </w:trPr>
        <w:tc>
          <w:tcPr>
            <w:tcW w:w="2078" w:type="dxa"/>
            <w:tcBorders>
              <w:tl2br w:val="nil"/>
              <w:tr2bl w:val="nil"/>
            </w:tcBorders>
            <w:noWrap w:val="0"/>
            <w:vAlign w:val="center"/>
          </w:tcPr>
          <w:p w14:paraId="7147ACC1">
            <w:pPr>
              <w:pStyle w:val="16"/>
              <w:bidi w:val="0"/>
              <w:ind w:left="0" w:leftChars="0" w:firstLine="0" w:firstLineChars="0"/>
              <w:rPr>
                <w:bCs/>
                <w:color w:val="auto"/>
                <w:sz w:val="21"/>
                <w:szCs w:val="21"/>
              </w:rPr>
            </w:pPr>
            <w:r>
              <w:rPr>
                <w:rFonts w:hint="eastAsia"/>
                <w:color w:val="auto"/>
                <w:lang w:val="en-US" w:eastAsia="zh-CN"/>
              </w:rPr>
              <w:t>高级氧化深度处理</w:t>
            </w:r>
          </w:p>
        </w:tc>
        <w:tc>
          <w:tcPr>
            <w:tcW w:w="621" w:type="pct"/>
            <w:tcBorders>
              <w:tl2br w:val="nil"/>
              <w:tr2bl w:val="nil"/>
            </w:tcBorders>
            <w:noWrap w:val="0"/>
            <w:vAlign w:val="center"/>
          </w:tcPr>
          <w:p w14:paraId="083C33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auto"/>
                <w:sz w:val="21"/>
                <w:szCs w:val="21"/>
              </w:rPr>
            </w:pPr>
            <w:r>
              <w:rPr>
                <w:bCs/>
                <w:color w:val="auto"/>
                <w:sz w:val="21"/>
                <w:szCs w:val="21"/>
              </w:rPr>
              <w:t>NH</w:t>
            </w:r>
            <w:r>
              <w:rPr>
                <w:bCs/>
                <w:color w:val="auto"/>
                <w:sz w:val="21"/>
                <w:szCs w:val="21"/>
                <w:vertAlign w:val="subscript"/>
              </w:rPr>
              <w:t>3</w:t>
            </w:r>
          </w:p>
        </w:tc>
        <w:tc>
          <w:tcPr>
            <w:tcW w:w="1248" w:type="pct"/>
            <w:tcBorders>
              <w:tl2br w:val="nil"/>
              <w:tr2bl w:val="nil"/>
            </w:tcBorders>
            <w:noWrap w:val="0"/>
            <w:vAlign w:val="center"/>
          </w:tcPr>
          <w:p w14:paraId="0488F089">
            <w:pPr>
              <w:pageBreakBefore w:val="0"/>
              <w:wordWrap/>
              <w:bidi w:val="0"/>
              <w:adjustRightInd/>
              <w:snapToGrid/>
              <w:spacing w:line="260" w:lineRule="exact"/>
              <w:ind w:firstLine="0" w:firstLineChars="0"/>
              <w:jc w:val="center"/>
              <w:rPr>
                <w:rFonts w:hint="default"/>
                <w:color w:val="auto"/>
                <w:sz w:val="21"/>
                <w:szCs w:val="21"/>
                <w:lang w:val="en-US" w:eastAsia="zh-CN"/>
              </w:rPr>
            </w:pPr>
            <w:r>
              <w:rPr>
                <w:rFonts w:hint="eastAsia"/>
                <w:color w:val="auto"/>
                <w:sz w:val="21"/>
                <w:szCs w:val="21"/>
                <w:lang w:val="en-US" w:eastAsia="zh-CN"/>
              </w:rPr>
              <w:t>0.003</w:t>
            </w:r>
          </w:p>
        </w:tc>
        <w:tc>
          <w:tcPr>
            <w:tcW w:w="1421" w:type="dxa"/>
            <w:tcBorders>
              <w:tl2br w:val="nil"/>
              <w:tr2bl w:val="nil"/>
            </w:tcBorders>
            <w:noWrap w:val="0"/>
            <w:vAlign w:val="center"/>
          </w:tcPr>
          <w:p w14:paraId="56A78070">
            <w:pPr>
              <w:pageBreakBefore w:val="0"/>
              <w:wordWrap/>
              <w:bidi w:val="0"/>
              <w:adjustRightInd/>
              <w:snapToGrid/>
              <w:spacing w:line="260" w:lineRule="exact"/>
              <w:ind w:firstLine="0" w:firstLineChars="0"/>
              <w:jc w:val="center"/>
              <w:rPr>
                <w:color w:val="auto"/>
                <w:sz w:val="21"/>
                <w:szCs w:val="21"/>
              </w:rPr>
            </w:pPr>
            <w:r>
              <w:rPr>
                <w:color w:val="auto"/>
                <w:sz w:val="21"/>
                <w:szCs w:val="21"/>
              </w:rPr>
              <w:t>50</w:t>
            </w:r>
          </w:p>
        </w:tc>
        <w:tc>
          <w:tcPr>
            <w:tcW w:w="1151" w:type="pct"/>
            <w:vMerge w:val="continue"/>
            <w:tcBorders>
              <w:tl2br w:val="nil"/>
              <w:tr2bl w:val="nil"/>
            </w:tcBorders>
            <w:noWrap w:val="0"/>
            <w:vAlign w:val="center"/>
          </w:tcPr>
          <w:p w14:paraId="11A00D61">
            <w:pPr>
              <w:pageBreakBefore w:val="0"/>
              <w:wordWrap/>
              <w:bidi w:val="0"/>
              <w:adjustRightInd/>
              <w:snapToGrid/>
              <w:spacing w:line="260" w:lineRule="exact"/>
              <w:ind w:firstLine="0" w:firstLineChars="0"/>
              <w:jc w:val="center"/>
              <w:rPr>
                <w:color w:val="auto"/>
                <w:sz w:val="21"/>
                <w:szCs w:val="21"/>
              </w:rPr>
            </w:pPr>
          </w:p>
        </w:tc>
      </w:tr>
      <w:tr w14:paraId="7A50936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397" w:hRule="atLeast"/>
          <w:tblHeader/>
          <w:jc w:val="center"/>
        </w:trPr>
        <w:tc>
          <w:tcPr>
            <w:tcW w:w="2078" w:type="dxa"/>
            <w:tcBorders>
              <w:tl2br w:val="nil"/>
              <w:tr2bl w:val="nil"/>
            </w:tcBorders>
            <w:noWrap w:val="0"/>
            <w:vAlign w:val="center"/>
          </w:tcPr>
          <w:p w14:paraId="5B5D340B">
            <w:pPr>
              <w:pStyle w:val="16"/>
              <w:bidi w:val="0"/>
              <w:ind w:left="0" w:leftChars="0" w:firstLine="0" w:firstLineChars="0"/>
              <w:rPr>
                <w:bCs/>
                <w:color w:val="auto"/>
                <w:sz w:val="21"/>
                <w:szCs w:val="21"/>
              </w:rPr>
            </w:pPr>
            <w:r>
              <w:rPr>
                <w:rFonts w:hint="eastAsia"/>
                <w:color w:val="auto"/>
                <w:lang w:val="en-US" w:eastAsia="zh-CN"/>
              </w:rPr>
              <w:t>污泥池</w:t>
            </w:r>
          </w:p>
        </w:tc>
        <w:tc>
          <w:tcPr>
            <w:tcW w:w="621" w:type="pct"/>
            <w:tcBorders>
              <w:tl2br w:val="nil"/>
              <w:tr2bl w:val="nil"/>
            </w:tcBorders>
            <w:noWrap w:val="0"/>
            <w:vAlign w:val="center"/>
          </w:tcPr>
          <w:p w14:paraId="137089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auto"/>
                <w:sz w:val="21"/>
                <w:szCs w:val="21"/>
              </w:rPr>
            </w:pPr>
            <w:r>
              <w:rPr>
                <w:bCs/>
                <w:color w:val="auto"/>
                <w:sz w:val="21"/>
                <w:szCs w:val="21"/>
              </w:rPr>
              <w:t>NH</w:t>
            </w:r>
            <w:r>
              <w:rPr>
                <w:bCs/>
                <w:color w:val="auto"/>
                <w:sz w:val="21"/>
                <w:szCs w:val="21"/>
                <w:vertAlign w:val="subscript"/>
              </w:rPr>
              <w:t>3</w:t>
            </w:r>
          </w:p>
        </w:tc>
        <w:tc>
          <w:tcPr>
            <w:tcW w:w="1248" w:type="pct"/>
            <w:tcBorders>
              <w:tl2br w:val="nil"/>
              <w:tr2bl w:val="nil"/>
            </w:tcBorders>
            <w:noWrap w:val="0"/>
            <w:vAlign w:val="center"/>
          </w:tcPr>
          <w:p w14:paraId="05429EFD">
            <w:pPr>
              <w:pageBreakBefore w:val="0"/>
              <w:wordWrap/>
              <w:bidi w:val="0"/>
              <w:adjustRightInd/>
              <w:snapToGrid/>
              <w:spacing w:line="260" w:lineRule="exact"/>
              <w:ind w:firstLine="0" w:firstLineChars="0"/>
              <w:jc w:val="center"/>
              <w:rPr>
                <w:rFonts w:hint="eastAsia"/>
                <w:color w:val="auto"/>
                <w:sz w:val="21"/>
                <w:szCs w:val="21"/>
                <w:lang w:val="en-US" w:eastAsia="zh-CN"/>
              </w:rPr>
            </w:pPr>
            <w:r>
              <w:rPr>
                <w:rFonts w:hint="eastAsia"/>
                <w:color w:val="auto"/>
                <w:sz w:val="21"/>
                <w:szCs w:val="21"/>
                <w:lang w:val="en-US" w:eastAsia="zh-CN"/>
              </w:rPr>
              <w:t>0.26</w:t>
            </w:r>
          </w:p>
        </w:tc>
        <w:tc>
          <w:tcPr>
            <w:tcW w:w="1421" w:type="dxa"/>
            <w:tcBorders>
              <w:tl2br w:val="nil"/>
              <w:tr2bl w:val="nil"/>
            </w:tcBorders>
            <w:noWrap w:val="0"/>
            <w:vAlign w:val="center"/>
          </w:tcPr>
          <w:p w14:paraId="03CA137A">
            <w:pPr>
              <w:pageBreakBefore w:val="0"/>
              <w:wordWrap/>
              <w:bidi w:val="0"/>
              <w:adjustRightInd/>
              <w:snapToGrid/>
              <w:spacing w:line="260" w:lineRule="exact"/>
              <w:ind w:firstLine="0" w:firstLineChars="0"/>
              <w:jc w:val="center"/>
              <w:rPr>
                <w:color w:val="auto"/>
                <w:sz w:val="21"/>
                <w:szCs w:val="21"/>
              </w:rPr>
            </w:pPr>
            <w:r>
              <w:rPr>
                <w:color w:val="auto"/>
                <w:sz w:val="21"/>
                <w:szCs w:val="21"/>
              </w:rPr>
              <w:t>50</w:t>
            </w:r>
          </w:p>
        </w:tc>
        <w:tc>
          <w:tcPr>
            <w:tcW w:w="1151" w:type="pct"/>
            <w:vMerge w:val="continue"/>
            <w:tcBorders>
              <w:tl2br w:val="nil"/>
              <w:tr2bl w:val="nil"/>
            </w:tcBorders>
            <w:noWrap w:val="0"/>
            <w:vAlign w:val="center"/>
          </w:tcPr>
          <w:p w14:paraId="4CA3A41D">
            <w:pPr>
              <w:pageBreakBefore w:val="0"/>
              <w:wordWrap/>
              <w:bidi w:val="0"/>
              <w:adjustRightInd/>
              <w:snapToGrid/>
              <w:spacing w:line="260" w:lineRule="exact"/>
              <w:ind w:firstLine="0" w:firstLineChars="0"/>
              <w:jc w:val="center"/>
              <w:rPr>
                <w:color w:val="auto"/>
                <w:sz w:val="21"/>
                <w:szCs w:val="21"/>
              </w:rPr>
            </w:pPr>
          </w:p>
        </w:tc>
      </w:tr>
      <w:tr w14:paraId="166761DF">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57" w:type="dxa"/>
            <w:bottom w:w="0" w:type="dxa"/>
            <w:right w:w="57" w:type="dxa"/>
          </w:tblCellMar>
        </w:tblPrEx>
        <w:trPr>
          <w:trHeight w:val="397" w:hRule="atLeast"/>
          <w:tblHeader/>
          <w:jc w:val="center"/>
        </w:trPr>
        <w:tc>
          <w:tcPr>
            <w:tcW w:w="2078" w:type="dxa"/>
            <w:tcBorders>
              <w:tl2br w:val="nil"/>
              <w:tr2bl w:val="nil"/>
            </w:tcBorders>
            <w:noWrap w:val="0"/>
            <w:vAlign w:val="center"/>
          </w:tcPr>
          <w:p w14:paraId="590CF42C">
            <w:pPr>
              <w:pStyle w:val="16"/>
              <w:bidi w:val="0"/>
              <w:ind w:left="0" w:leftChars="0" w:firstLine="0" w:firstLineChars="0"/>
              <w:rPr>
                <w:bCs/>
                <w:color w:val="auto"/>
                <w:sz w:val="21"/>
                <w:szCs w:val="21"/>
              </w:rPr>
            </w:pPr>
            <w:r>
              <w:rPr>
                <w:rFonts w:hint="eastAsia"/>
                <w:color w:val="auto"/>
                <w:lang w:val="en-US" w:eastAsia="zh-CN"/>
              </w:rPr>
              <w:t>污泥脱水车间</w:t>
            </w:r>
          </w:p>
        </w:tc>
        <w:tc>
          <w:tcPr>
            <w:tcW w:w="621" w:type="pct"/>
            <w:tcBorders>
              <w:tl2br w:val="nil"/>
              <w:tr2bl w:val="nil"/>
            </w:tcBorders>
            <w:noWrap w:val="0"/>
            <w:vAlign w:val="center"/>
          </w:tcPr>
          <w:p w14:paraId="0DCF06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Cs/>
                <w:color w:val="auto"/>
                <w:sz w:val="21"/>
                <w:szCs w:val="21"/>
              </w:rPr>
            </w:pPr>
            <w:r>
              <w:rPr>
                <w:bCs/>
                <w:color w:val="auto"/>
                <w:sz w:val="21"/>
                <w:szCs w:val="21"/>
              </w:rPr>
              <w:t>NH</w:t>
            </w:r>
            <w:r>
              <w:rPr>
                <w:bCs/>
                <w:color w:val="auto"/>
                <w:sz w:val="21"/>
                <w:szCs w:val="21"/>
                <w:vertAlign w:val="subscript"/>
              </w:rPr>
              <w:t>3</w:t>
            </w:r>
          </w:p>
        </w:tc>
        <w:tc>
          <w:tcPr>
            <w:tcW w:w="1248" w:type="pct"/>
            <w:tcBorders>
              <w:tl2br w:val="nil"/>
              <w:tr2bl w:val="nil"/>
            </w:tcBorders>
            <w:noWrap w:val="0"/>
            <w:vAlign w:val="center"/>
          </w:tcPr>
          <w:p w14:paraId="049E06FD">
            <w:pPr>
              <w:pageBreakBefore w:val="0"/>
              <w:wordWrap/>
              <w:bidi w:val="0"/>
              <w:adjustRightInd/>
              <w:snapToGrid/>
              <w:spacing w:line="26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0.05</w:t>
            </w:r>
          </w:p>
        </w:tc>
        <w:tc>
          <w:tcPr>
            <w:tcW w:w="803" w:type="pct"/>
            <w:tcBorders>
              <w:tl2br w:val="nil"/>
              <w:tr2bl w:val="nil"/>
            </w:tcBorders>
            <w:noWrap w:val="0"/>
            <w:vAlign w:val="center"/>
          </w:tcPr>
          <w:p w14:paraId="3C251230">
            <w:pPr>
              <w:pageBreakBefore w:val="0"/>
              <w:wordWrap/>
              <w:bidi w:val="0"/>
              <w:adjustRightInd/>
              <w:snapToGrid/>
              <w:spacing w:line="260" w:lineRule="exact"/>
              <w:ind w:firstLine="0" w:firstLineChars="0"/>
              <w:jc w:val="center"/>
              <w:rPr>
                <w:color w:val="auto"/>
                <w:sz w:val="21"/>
                <w:szCs w:val="21"/>
              </w:rPr>
            </w:pPr>
            <w:r>
              <w:rPr>
                <w:color w:val="auto"/>
                <w:sz w:val="21"/>
                <w:szCs w:val="21"/>
              </w:rPr>
              <w:t>50</w:t>
            </w:r>
          </w:p>
        </w:tc>
        <w:tc>
          <w:tcPr>
            <w:tcW w:w="1151" w:type="pct"/>
            <w:vMerge w:val="continue"/>
            <w:tcBorders>
              <w:tl2br w:val="nil"/>
              <w:tr2bl w:val="nil"/>
            </w:tcBorders>
            <w:noWrap w:val="0"/>
            <w:vAlign w:val="center"/>
          </w:tcPr>
          <w:p w14:paraId="7AB3CFCE">
            <w:pPr>
              <w:pageBreakBefore w:val="0"/>
              <w:wordWrap/>
              <w:bidi w:val="0"/>
              <w:adjustRightInd/>
              <w:snapToGrid/>
              <w:spacing w:line="260" w:lineRule="exact"/>
              <w:ind w:firstLine="0" w:firstLineChars="0"/>
              <w:jc w:val="center"/>
              <w:rPr>
                <w:color w:val="auto"/>
                <w:sz w:val="21"/>
                <w:szCs w:val="21"/>
              </w:rPr>
            </w:pPr>
          </w:p>
        </w:tc>
      </w:tr>
    </w:tbl>
    <w:p w14:paraId="120471FE">
      <w:pPr>
        <w:keepNext w:val="0"/>
        <w:keepLines w:val="0"/>
        <w:pageBreakBefore w:val="0"/>
        <w:widowControl w:val="0"/>
        <w:kinsoku/>
        <w:wordWrap/>
        <w:overflowPunct/>
        <w:topLinePunct w:val="0"/>
        <w:autoSpaceDE/>
        <w:autoSpaceDN/>
        <w:bidi w:val="0"/>
        <w:adjustRightInd/>
        <w:snapToGrid/>
        <w:spacing w:before="157" w:beforeLines="50"/>
        <w:ind w:firstLine="482"/>
        <w:textAlignment w:val="auto"/>
        <w:rPr>
          <w:color w:val="auto"/>
        </w:rPr>
      </w:pPr>
      <w:r>
        <w:rPr>
          <w:b/>
          <w:color w:val="auto"/>
        </w:rPr>
        <w:t>因此，本</w:t>
      </w:r>
      <w:r>
        <w:rPr>
          <w:b/>
          <w:bCs/>
          <w:color w:val="auto"/>
        </w:rPr>
        <w:t>项目分别以污水处理</w:t>
      </w:r>
      <w:r>
        <w:rPr>
          <w:rFonts w:hint="eastAsia"/>
          <w:b/>
          <w:bCs/>
          <w:color w:val="auto"/>
        </w:rPr>
        <w:t>区</w:t>
      </w:r>
      <w:r>
        <w:rPr>
          <w:b/>
          <w:bCs/>
          <w:color w:val="auto"/>
        </w:rPr>
        <w:t>（</w:t>
      </w:r>
      <w:r>
        <w:rPr>
          <w:rFonts w:hint="eastAsia"/>
          <w:b/>
          <w:bCs/>
          <w:color w:val="auto"/>
          <w:lang w:val="en-US" w:eastAsia="zh-CN"/>
        </w:rPr>
        <w:t>超细</w:t>
      </w:r>
      <w:r>
        <w:rPr>
          <w:b/>
          <w:bCs/>
          <w:color w:val="auto"/>
        </w:rPr>
        <w:t>格栅、</w:t>
      </w:r>
      <w:r>
        <w:rPr>
          <w:rFonts w:hint="eastAsia"/>
          <w:b/>
          <w:bCs/>
          <w:color w:val="auto"/>
          <w:lang w:val="en-US" w:eastAsia="zh-CN"/>
        </w:rPr>
        <w:t>调节池、水解酸化池、生化池和二沉池、磁混凝沉淀池、污泥池、污泥脱水车间等</w:t>
      </w:r>
      <w:r>
        <w:rPr>
          <w:b/>
          <w:bCs/>
          <w:color w:val="auto"/>
        </w:rPr>
        <w:t>）主要构筑物边界</w:t>
      </w:r>
      <w:r>
        <w:rPr>
          <w:rFonts w:hint="eastAsia"/>
          <w:b/>
          <w:bCs/>
          <w:color w:val="auto"/>
        </w:rPr>
        <w:t>为起点</w:t>
      </w:r>
      <w:r>
        <w:rPr>
          <w:b/>
          <w:bCs/>
          <w:color w:val="auto"/>
        </w:rPr>
        <w:t>划定</w:t>
      </w:r>
      <w:r>
        <w:rPr>
          <w:rFonts w:hint="eastAsia"/>
          <w:b/>
          <w:bCs/>
          <w:color w:val="auto"/>
          <w:lang w:val="en-US" w:eastAsia="zh-CN"/>
        </w:rPr>
        <w:t>50</w:t>
      </w:r>
      <w:r>
        <w:rPr>
          <w:b/>
          <w:bCs/>
          <w:color w:val="auto"/>
        </w:rPr>
        <w:t>m</w:t>
      </w:r>
      <w:r>
        <w:rPr>
          <w:rFonts w:hint="eastAsia"/>
          <w:b/>
          <w:bCs/>
          <w:color w:val="auto"/>
        </w:rPr>
        <w:t>包络线作</w:t>
      </w:r>
      <w:r>
        <w:rPr>
          <w:b/>
          <w:bCs/>
          <w:color w:val="auto"/>
        </w:rPr>
        <w:t>卫生防护距离。</w:t>
      </w:r>
    </w:p>
    <w:p w14:paraId="381FB758">
      <w:pPr>
        <w:pageBreakBefore w:val="0"/>
        <w:wordWrap/>
        <w:bidi w:val="0"/>
        <w:adjustRightInd/>
        <w:snapToGrid/>
        <w:ind w:firstLine="488"/>
        <w:rPr>
          <w:bCs/>
          <w:color w:val="auto"/>
        </w:rPr>
      </w:pPr>
      <w:r>
        <w:rPr>
          <w:color w:val="auto"/>
          <w:spacing w:val="2"/>
        </w:rPr>
        <w:t>同时</w:t>
      </w:r>
      <w:r>
        <w:rPr>
          <w:rFonts w:hint="eastAsia"/>
          <w:color w:val="auto"/>
          <w:spacing w:val="2"/>
          <w:lang w:eastAsia="zh-CN"/>
        </w:rPr>
        <w:t>，根</w:t>
      </w:r>
      <w:r>
        <w:rPr>
          <w:color w:val="auto"/>
          <w:spacing w:val="2"/>
        </w:rPr>
        <w:t>据现场踏勘：拟建项目</w:t>
      </w:r>
      <w:r>
        <w:rPr>
          <w:color w:val="auto"/>
        </w:rPr>
        <w:t>划定的</w:t>
      </w:r>
      <w:r>
        <w:rPr>
          <w:rFonts w:hint="eastAsia"/>
          <w:color w:val="auto"/>
          <w:lang w:val="en-US" w:eastAsia="zh-CN"/>
        </w:rPr>
        <w:t>50</w:t>
      </w:r>
      <w:r>
        <w:rPr>
          <w:color w:val="auto"/>
        </w:rPr>
        <w:t>m卫生防护距离范围内</w:t>
      </w:r>
      <w:r>
        <w:rPr>
          <w:rFonts w:hint="eastAsia"/>
          <w:color w:val="auto"/>
          <w:lang w:val="en-US" w:eastAsia="zh-CN"/>
        </w:rPr>
        <w:t>存在散居居民</w:t>
      </w:r>
      <w:r>
        <w:rPr>
          <w:bCs/>
          <w:color w:val="auto"/>
        </w:rPr>
        <w:t>，</w:t>
      </w:r>
      <w:r>
        <w:rPr>
          <w:rFonts w:hint="eastAsia"/>
          <w:bCs/>
          <w:color w:val="auto"/>
          <w:lang w:val="en-US" w:eastAsia="zh-CN"/>
        </w:rPr>
        <w:t>根据园区出具的《关于巴中市巴州区曾口片区污水处理厂、环境监测站建设项目周边农户搬迁情况说明》，目前园区已准备逐步实施搬迁工作</w:t>
      </w:r>
      <w:r>
        <w:rPr>
          <w:color w:val="auto"/>
        </w:rPr>
        <w:t>。</w:t>
      </w:r>
    </w:p>
    <w:p w14:paraId="6155108C">
      <w:pPr>
        <w:pageBreakBefore w:val="0"/>
        <w:wordWrap/>
        <w:bidi w:val="0"/>
        <w:adjustRightInd/>
        <w:snapToGrid/>
        <w:ind w:firstLine="490"/>
        <w:rPr>
          <w:color w:val="auto"/>
        </w:rPr>
      </w:pPr>
      <w:r>
        <w:rPr>
          <w:b/>
          <w:color w:val="auto"/>
          <w:spacing w:val="2"/>
        </w:rPr>
        <w:t>环评要求：</w:t>
      </w:r>
      <w:r>
        <w:rPr>
          <w:color w:val="auto"/>
          <w:spacing w:val="2"/>
        </w:rPr>
        <w:t>在项目所设定的卫生防护距离内禁止修建医院、学校、集中居住区等环境敏感设施。同时还要求：①在污泥脱水间等室内部分，考虑采用机械通风的方式，减少臭气影响；②运输车辆密闭，避开运输高峰期，尽量减少臭气对运输线路附近大气环境的影响；③</w:t>
      </w:r>
      <w:r>
        <w:rPr>
          <w:color w:val="auto"/>
        </w:rPr>
        <w:t>采取必要的减臭措施，污泥处理设施应设在非完全敞开式的建筑内；</w:t>
      </w:r>
      <w:r>
        <w:rPr>
          <w:color w:val="auto"/>
          <w:spacing w:val="2"/>
        </w:rPr>
        <w:t>④</w:t>
      </w:r>
      <w:r>
        <w:rPr>
          <w:color w:val="auto"/>
        </w:rPr>
        <w:t>污水处理厂运行过程中要加强管理，控制污泥发酵。污泥脱水后要及时清运，定时清洗污泥脱水机；避免一切固体废弃物在厂内长时间堆放；⑤在各构筑物停产修理时，池底积泥会暴露出来散发臭气，</w:t>
      </w:r>
      <w:r>
        <w:rPr>
          <w:rFonts w:hint="eastAsia"/>
          <w:color w:val="auto"/>
          <w:lang w:eastAsia="zh-CN"/>
        </w:rPr>
        <w:t>采取</w:t>
      </w:r>
      <w:r>
        <w:rPr>
          <w:color w:val="auto"/>
        </w:rPr>
        <w:t>及时清除积泥的措施来防止臭气的影响；⑥项目厂区需设置绿化带。以上措施属目前污水处理厂恶臭处理的主要措施，在大、中、小型污水处理厂（站）均得到广泛应用，取得良好的效果。</w:t>
      </w:r>
    </w:p>
    <w:p w14:paraId="171246BA">
      <w:pPr>
        <w:pStyle w:val="10"/>
        <w:pageBreakBefore w:val="0"/>
        <w:wordWrap/>
        <w:bidi w:val="0"/>
        <w:adjustRightInd/>
        <w:snapToGrid/>
        <w:rPr>
          <w:color w:val="auto"/>
        </w:rPr>
      </w:pPr>
      <w:r>
        <w:rPr>
          <w:color w:val="auto"/>
        </w:rPr>
        <w:t>大气环境影响评价结论与建议</w:t>
      </w:r>
    </w:p>
    <w:p w14:paraId="40111BC4">
      <w:pPr>
        <w:pageBreakBefore w:val="0"/>
        <w:wordWrap/>
        <w:bidi w:val="0"/>
        <w:adjustRightInd/>
        <w:snapToGrid/>
        <w:ind w:firstLine="480"/>
        <w:rPr>
          <w:color w:val="auto"/>
        </w:rPr>
      </w:pPr>
      <w:r>
        <w:rPr>
          <w:color w:val="auto"/>
        </w:rPr>
        <w:t>（1）项目选址及总图布置的合理性和可行性</w:t>
      </w:r>
    </w:p>
    <w:p w14:paraId="64C93C26">
      <w:pPr>
        <w:pageBreakBefore w:val="0"/>
        <w:wordWrap/>
        <w:bidi w:val="0"/>
        <w:adjustRightInd/>
        <w:snapToGrid/>
        <w:ind w:firstLine="480"/>
        <w:rPr>
          <w:color w:val="auto"/>
        </w:rPr>
      </w:pPr>
      <w:r>
        <w:rPr>
          <w:color w:val="auto"/>
        </w:rPr>
        <w:t>根据环境空气影响估算模式预测结果可知，本项目建成后全厂氨和硫化氢的最大占标率P</w:t>
      </w:r>
      <w:r>
        <w:rPr>
          <w:color w:val="auto"/>
          <w:vertAlign w:val="subscript"/>
        </w:rPr>
        <w:t>max</w:t>
      </w:r>
      <w:r>
        <w:rPr>
          <w:color w:val="auto"/>
        </w:rPr>
        <w:t>分别为</w:t>
      </w:r>
      <w:r>
        <w:rPr>
          <w:rFonts w:hint="eastAsia"/>
          <w:color w:val="auto"/>
          <w:kern w:val="0"/>
          <w:lang w:eastAsia="zh-CN"/>
        </w:rPr>
        <w:t>7.22%</w:t>
      </w:r>
      <w:r>
        <w:rPr>
          <w:color w:val="auto"/>
          <w:kern w:val="0"/>
        </w:rPr>
        <w:t>、</w:t>
      </w:r>
      <w:r>
        <w:rPr>
          <w:rFonts w:hint="eastAsia"/>
          <w:color w:val="auto"/>
          <w:kern w:val="0"/>
          <w:lang w:eastAsia="zh-CN"/>
        </w:rPr>
        <w:t>0.69%</w:t>
      </w:r>
      <w:r>
        <w:rPr>
          <w:color w:val="auto"/>
        </w:rPr>
        <w:t>。各污染物浓度贡献占标率&lt;100%，符合环境空气质量标准，选址合理。</w:t>
      </w:r>
    </w:p>
    <w:p w14:paraId="2F7AA76D">
      <w:pPr>
        <w:bidi w:val="0"/>
        <w:rPr>
          <w:color w:val="auto"/>
        </w:rPr>
      </w:pPr>
      <w:r>
        <w:rPr>
          <w:color w:val="auto"/>
        </w:rPr>
        <w:t>本项目办公生活区布置于生产区的侧风向，对生活区的污染降到</w:t>
      </w:r>
      <w:r>
        <w:rPr>
          <w:rFonts w:hint="eastAsia"/>
          <w:color w:val="auto"/>
          <w:lang w:eastAsia="zh-CN"/>
        </w:rPr>
        <w:t>最低</w:t>
      </w:r>
      <w:r>
        <w:rPr>
          <w:color w:val="auto"/>
        </w:rPr>
        <w:t>，总图布置合理。</w:t>
      </w:r>
    </w:p>
    <w:p w14:paraId="4DF2ECD6">
      <w:pPr>
        <w:bidi w:val="0"/>
        <w:rPr>
          <w:color w:val="auto"/>
        </w:rPr>
      </w:pPr>
      <w:r>
        <w:rPr>
          <w:color w:val="auto"/>
        </w:rPr>
        <w:t>综上所述，项目选址及总图布置合理，从大气环境角度可行。</w:t>
      </w:r>
    </w:p>
    <w:p w14:paraId="767B5452">
      <w:pPr>
        <w:bidi w:val="0"/>
        <w:rPr>
          <w:color w:val="auto"/>
        </w:rPr>
      </w:pPr>
      <w:r>
        <w:rPr>
          <w:color w:val="auto"/>
        </w:rPr>
        <w:t>（2）污染源的排放强度与排放方式</w:t>
      </w:r>
    </w:p>
    <w:p w14:paraId="0ACE57F5">
      <w:pPr>
        <w:bidi w:val="0"/>
        <w:rPr>
          <w:color w:val="auto"/>
        </w:rPr>
      </w:pPr>
      <w:r>
        <w:rPr>
          <w:color w:val="auto"/>
        </w:rPr>
        <w:t>根据工程污染源调查分析，本项目污染源主要为点源、面源排放，污染源的排放强度和排放方式直接决定了对周边环境的污染程度。预测结果表明，废气污染物排放对区域的影响在可接受范围内，对各关心点影响较小，因此工程污染源的排放强度和排放方式合理。</w:t>
      </w:r>
    </w:p>
    <w:p w14:paraId="2D325AFB">
      <w:pPr>
        <w:bidi w:val="0"/>
        <w:rPr>
          <w:color w:val="auto"/>
        </w:rPr>
      </w:pPr>
      <w:r>
        <w:rPr>
          <w:color w:val="auto"/>
        </w:rPr>
        <w:t>（3）大气污染控制措施</w:t>
      </w:r>
    </w:p>
    <w:p w14:paraId="2A150A7B">
      <w:pPr>
        <w:bidi w:val="0"/>
        <w:rPr>
          <w:color w:val="auto"/>
        </w:rPr>
      </w:pPr>
      <w:r>
        <w:rPr>
          <w:color w:val="auto"/>
        </w:rPr>
        <w:t>根据工程分析，污染源在采取合理的污染控制措施后，预测值能做到达标排放，满足控制标准要求。预测结果显示，预测值满足环境功能区划要求，大气污染防治措施可行。同时，评价建议加强污染源的控制措施，并定期对污染源实施监测，保证正常运行。</w:t>
      </w:r>
    </w:p>
    <w:p w14:paraId="5CBCC725">
      <w:pPr>
        <w:bidi w:val="0"/>
        <w:rPr>
          <w:color w:val="auto"/>
        </w:rPr>
      </w:pPr>
      <w:r>
        <w:rPr>
          <w:color w:val="auto"/>
        </w:rPr>
        <w:t>（4）污染控制措施可行性</w:t>
      </w:r>
    </w:p>
    <w:p w14:paraId="44A70AB3">
      <w:pPr>
        <w:bidi w:val="0"/>
        <w:rPr>
          <w:color w:val="auto"/>
        </w:rPr>
      </w:pPr>
      <w:r>
        <w:rPr>
          <w:color w:val="auto"/>
        </w:rPr>
        <w:t>本工程废气处理采用了集中收集+生物滤池除臭的方法，生物除臭属于生物过滤法的一种。生物过滤法是将恶臭吹进增湿器进行润湿，去除颗粒物并增加湿度，然后进入生物滤池，在生物细胞内生理代谢分解成简单的、无害的代谢产物。</w:t>
      </w:r>
    </w:p>
    <w:p w14:paraId="35D2FABB">
      <w:pPr>
        <w:bidi w:val="0"/>
        <w:rPr>
          <w:color w:val="auto"/>
        </w:rPr>
      </w:pPr>
      <w:r>
        <w:rPr>
          <w:rFonts w:hint="eastAsia"/>
          <w:color w:val="auto"/>
        </w:rPr>
        <w:t>工程拟采取</w:t>
      </w:r>
      <w:r>
        <w:rPr>
          <w:color w:val="auto"/>
        </w:rPr>
        <w:t>的措施技术成熟、满足稳定运行，可确保大气污染物排放满足国家有关标准要求。进一步预测结果表明，通过大气输送与扩散后能够满足相应环境质量标准的要求，使本工程对周围环境的影响尽可能降低</w:t>
      </w:r>
      <w:r>
        <w:rPr>
          <w:rFonts w:hint="eastAsia"/>
          <w:color w:val="auto"/>
          <w:lang w:eastAsia="zh-CN"/>
        </w:rPr>
        <w:t>到最低程度</w:t>
      </w:r>
      <w:r>
        <w:rPr>
          <w:color w:val="auto"/>
        </w:rPr>
        <w:t>。评价认为本项目采取的大气污染防治措施及排放方案可行、有效。</w:t>
      </w:r>
    </w:p>
    <w:p w14:paraId="34292433">
      <w:pPr>
        <w:bidi w:val="0"/>
        <w:rPr>
          <w:color w:val="auto"/>
        </w:rPr>
      </w:pPr>
      <w:r>
        <w:rPr>
          <w:color w:val="auto"/>
        </w:rPr>
        <w:t>（5）环境空气影响评价结论</w:t>
      </w:r>
    </w:p>
    <w:p w14:paraId="175C6EF7">
      <w:pPr>
        <w:bidi w:val="0"/>
        <w:rPr>
          <w:color w:val="auto"/>
        </w:rPr>
      </w:pPr>
      <w:r>
        <w:rPr>
          <w:color w:val="auto"/>
        </w:rPr>
        <w:t>从大气环境影响的角度来说本项目选址、总平面布置均较为合理，主要的大气污染源均配置了合理的污染防治设施，经治理后，污染物有效减排，项目大气污染物能够做到达标排放。</w:t>
      </w:r>
    </w:p>
    <w:p w14:paraId="542D9105">
      <w:pPr>
        <w:bidi w:val="0"/>
        <w:rPr>
          <w:color w:val="auto"/>
        </w:rPr>
      </w:pPr>
      <w:r>
        <w:rPr>
          <w:color w:val="auto"/>
        </w:rPr>
        <w:t>经分析预测，项目实施后评价区域及各敏感点处各污染物排放造成的最大地面浓度均小于相应标准值的10%。因此预计工程投产后，在采取环评规定的污染治理措施的情况下，本项目对评价区及关心点的环境空气质量的负面影响较轻微，所以，评价认为从环境空气角度出发，本工程的建设是可行的。</w:t>
      </w:r>
    </w:p>
    <w:p w14:paraId="19D3EE94">
      <w:pPr>
        <w:pStyle w:val="5"/>
        <w:pageBreakBefore w:val="0"/>
        <w:wordWrap/>
        <w:bidi w:val="0"/>
        <w:adjustRightInd/>
        <w:snapToGrid/>
        <w:spacing w:before="48" w:after="48"/>
        <w:ind w:left="0"/>
        <w:rPr>
          <w:rFonts w:eastAsia="宋体"/>
          <w:color w:val="auto"/>
        </w:rPr>
      </w:pPr>
      <w:bookmarkStart w:id="171" w:name="_Toc374627796"/>
      <w:bookmarkStart w:id="172" w:name="_Toc7411"/>
      <w:r>
        <w:rPr>
          <w:rFonts w:hint="eastAsia" w:eastAsia="宋体"/>
          <w:color w:val="auto"/>
        </w:rPr>
        <w:t xml:space="preserve"> </w:t>
      </w:r>
      <w:r>
        <w:rPr>
          <w:rFonts w:eastAsia="宋体"/>
          <w:color w:val="auto"/>
        </w:rPr>
        <w:t>营运期地表水</w:t>
      </w:r>
      <w:bookmarkEnd w:id="171"/>
      <w:bookmarkEnd w:id="172"/>
      <w:r>
        <w:rPr>
          <w:rFonts w:eastAsia="宋体"/>
          <w:color w:val="auto"/>
        </w:rPr>
        <w:t>环境影响预测与评价</w:t>
      </w:r>
    </w:p>
    <w:p w14:paraId="75F44C2C">
      <w:pPr>
        <w:pageBreakBefore w:val="0"/>
        <w:wordWrap/>
        <w:bidi w:val="0"/>
        <w:adjustRightInd/>
        <w:snapToGrid/>
        <w:ind w:firstLine="480"/>
        <w:jc w:val="left"/>
        <w:rPr>
          <w:bCs/>
          <w:color w:val="auto"/>
        </w:rPr>
      </w:pPr>
      <w:r>
        <w:rPr>
          <w:bCs/>
          <w:color w:val="auto"/>
        </w:rPr>
        <w:t>根据《环境影响评价技术导则 地表水环境》（HJ2.3-2018）要求，本次环评对项目废水进行环境影响分析。</w:t>
      </w:r>
    </w:p>
    <w:p w14:paraId="2C3D2454">
      <w:pPr>
        <w:pStyle w:val="10"/>
        <w:bidi w:val="0"/>
        <w:rPr>
          <w:rFonts w:hint="eastAsia"/>
          <w:color w:val="auto"/>
          <w:lang w:val="en-US" w:eastAsia="zh-CN"/>
        </w:rPr>
      </w:pPr>
      <w:r>
        <w:rPr>
          <w:color w:val="auto"/>
        </w:rPr>
        <w:t>评价因子、评价范围、评价时期、预测内容及评价标准</w:t>
      </w:r>
    </w:p>
    <w:p w14:paraId="606F8EF6">
      <w:pPr>
        <w:bidi w:val="0"/>
        <w:rPr>
          <w:rFonts w:hint="default"/>
          <w:b/>
          <w:bCs/>
          <w:color w:val="auto"/>
          <w:lang w:val="en-US" w:eastAsia="zh-CN"/>
        </w:rPr>
      </w:pPr>
      <w:r>
        <w:rPr>
          <w:rFonts w:hint="eastAsia"/>
          <w:b/>
          <w:bCs/>
          <w:color w:val="auto"/>
          <w:lang w:val="en-US" w:eastAsia="zh-CN"/>
        </w:rPr>
        <w:t>1、预测因子</w:t>
      </w:r>
    </w:p>
    <w:p w14:paraId="04BB1998">
      <w:pPr>
        <w:bidi w:val="0"/>
        <w:rPr>
          <w:rFonts w:hint="default"/>
          <w:color w:val="auto"/>
          <w:lang w:val="en-US" w:eastAsia="zh-CN"/>
        </w:rPr>
      </w:pPr>
      <w:r>
        <w:rPr>
          <w:color w:val="auto"/>
          <w:sz w:val="24"/>
        </w:rPr>
        <w:t>根据污水处理工艺及污水排放情况、排放特征等因素确定预测因子为</w:t>
      </w:r>
      <w:r>
        <w:rPr>
          <w:rFonts w:hint="eastAsia"/>
          <w:color w:val="auto"/>
          <w:lang w:val="en-US" w:eastAsia="zh-CN"/>
        </w:rPr>
        <w:t>：</w:t>
      </w:r>
      <w:r>
        <w:rPr>
          <w:rFonts w:hint="eastAsia"/>
          <w:color w:val="auto"/>
          <w:lang w:eastAsia="zh-CN"/>
        </w:rPr>
        <w:t>CODCr、NH</w:t>
      </w:r>
      <w:r>
        <w:rPr>
          <w:rFonts w:hint="eastAsia"/>
          <w:color w:val="auto"/>
          <w:vertAlign w:val="subscript"/>
          <w:lang w:eastAsia="zh-CN"/>
        </w:rPr>
        <w:t>3</w:t>
      </w:r>
      <w:r>
        <w:rPr>
          <w:rFonts w:hint="eastAsia"/>
          <w:color w:val="auto"/>
          <w:lang w:eastAsia="zh-CN"/>
        </w:rPr>
        <w:t>-N、TP、石油类、甲醛。</w:t>
      </w:r>
    </w:p>
    <w:p w14:paraId="2D407EB3">
      <w:pPr>
        <w:bidi w:val="0"/>
        <w:rPr>
          <w:rFonts w:hint="default"/>
          <w:b/>
          <w:bCs/>
          <w:color w:val="auto"/>
          <w:lang w:val="en-US" w:eastAsia="zh-CN"/>
        </w:rPr>
      </w:pPr>
      <w:r>
        <w:rPr>
          <w:rFonts w:hint="eastAsia"/>
          <w:b/>
          <w:bCs/>
          <w:color w:val="auto"/>
          <w:lang w:val="en-US" w:eastAsia="zh-CN"/>
        </w:rPr>
        <w:t>2、评价范围</w:t>
      </w:r>
    </w:p>
    <w:p w14:paraId="354D5E2D">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olor w:val="auto"/>
          <w:sz w:val="24"/>
          <w:highlight w:val="none"/>
          <w:lang w:val="en-US" w:eastAsia="zh-CN"/>
        </w:rPr>
      </w:pPr>
      <w:r>
        <w:rPr>
          <w:color w:val="auto"/>
          <w:sz w:val="24"/>
          <w:highlight w:val="none"/>
        </w:rPr>
        <w:t>根据调查，本项目排污口下游10km范围内不涉及城市（镇）集中式地表水饮用水水源取水口分布</w:t>
      </w:r>
      <w:r>
        <w:rPr>
          <w:rFonts w:hint="eastAsia"/>
          <w:color w:val="auto"/>
          <w:sz w:val="24"/>
          <w:highlight w:val="none"/>
          <w:lang w:eastAsia="zh-CN"/>
        </w:rPr>
        <w:t>，</w:t>
      </w:r>
      <w:r>
        <w:rPr>
          <w:rFonts w:hint="eastAsia"/>
          <w:color w:val="auto"/>
          <w:sz w:val="24"/>
          <w:highlight w:val="none"/>
          <w:lang w:val="en-US" w:eastAsia="zh-CN"/>
        </w:rPr>
        <w:t>排污口下游约8.7km为国控断面-金碑断面，金碑断面下游约 0.7km为平昌经开区（石龙门片区）规划的取水口（</w:t>
      </w:r>
      <w:r>
        <w:rPr>
          <w:rFonts w:hint="eastAsia"/>
          <w:b/>
          <w:bCs/>
          <w:color w:val="auto"/>
          <w:sz w:val="24"/>
          <w:highlight w:val="none"/>
          <w:lang w:val="en-US" w:eastAsia="zh-CN"/>
        </w:rPr>
        <w:t>工业用水</w:t>
      </w:r>
      <w:r>
        <w:rPr>
          <w:rFonts w:hint="eastAsia"/>
          <w:color w:val="auto"/>
          <w:sz w:val="24"/>
          <w:highlight w:val="none"/>
          <w:lang w:val="en-US" w:eastAsia="zh-CN"/>
        </w:rPr>
        <w:t>），该规划的工业取水口下游约1.4km为平昌经开区（石龙门片区）规划的污水排放口。</w:t>
      </w:r>
    </w:p>
    <w:p w14:paraId="71EA5CF2">
      <w:pPr>
        <w:spacing w:line="360" w:lineRule="auto"/>
        <w:ind w:firstLine="480" w:firstLineChars="200"/>
        <w:rPr>
          <w:rFonts w:ascii="Times New Roman" w:hAnsi="Times New Roman"/>
          <w:color w:val="auto"/>
          <w:sz w:val="24"/>
        </w:rPr>
      </w:pPr>
      <w:r>
        <w:rPr>
          <w:rFonts w:ascii="Times New Roman" w:hAnsi="Times New Roman"/>
          <w:color w:val="auto"/>
          <w:sz w:val="24"/>
        </w:rPr>
        <w:t>根据调查，</w:t>
      </w:r>
      <w:r>
        <w:rPr>
          <w:rFonts w:hint="eastAsia" w:ascii="Times New Roman" w:hAnsi="Times New Roman"/>
          <w:color w:val="auto"/>
          <w:sz w:val="24"/>
        </w:rPr>
        <w:t>本项目评价范围内</w:t>
      </w:r>
      <w:r>
        <w:rPr>
          <w:rFonts w:ascii="Times New Roman" w:hAnsi="Times New Roman"/>
          <w:color w:val="auto"/>
          <w:sz w:val="24"/>
        </w:rPr>
        <w:t>现有、在建、拟建污水</w:t>
      </w:r>
      <w:r>
        <w:rPr>
          <w:rFonts w:hint="eastAsia" w:ascii="Times New Roman" w:hAnsi="Times New Roman"/>
          <w:color w:val="auto"/>
          <w:sz w:val="24"/>
        </w:rPr>
        <w:t>废水</w:t>
      </w:r>
      <w:r>
        <w:rPr>
          <w:rFonts w:ascii="Times New Roman" w:hAnsi="Times New Roman"/>
          <w:color w:val="auto"/>
          <w:sz w:val="24"/>
        </w:rPr>
        <w:t>排放口</w:t>
      </w:r>
      <w:r>
        <w:rPr>
          <w:rFonts w:hint="eastAsia" w:ascii="Times New Roman" w:hAnsi="Times New Roman"/>
          <w:color w:val="auto"/>
          <w:sz w:val="24"/>
        </w:rPr>
        <w:t>共</w:t>
      </w:r>
      <w:r>
        <w:rPr>
          <w:rFonts w:hint="eastAsia" w:ascii="Times New Roman" w:hAnsi="Times New Roman"/>
          <w:color w:val="auto"/>
          <w:sz w:val="24"/>
          <w:lang w:val="en-US" w:eastAsia="zh-CN"/>
        </w:rPr>
        <w:t>2</w:t>
      </w:r>
      <w:r>
        <w:rPr>
          <w:rFonts w:hint="eastAsia" w:ascii="Times New Roman" w:hAnsi="Times New Roman"/>
          <w:color w:val="auto"/>
          <w:sz w:val="24"/>
        </w:rPr>
        <w:t>处，为</w:t>
      </w:r>
      <w:r>
        <w:rPr>
          <w:rFonts w:hint="eastAsia" w:ascii="Times New Roman" w:hAnsi="Times New Roman"/>
          <w:color w:val="auto"/>
          <w:sz w:val="24"/>
          <w:lang w:val="en-US" w:eastAsia="zh-CN"/>
        </w:rPr>
        <w:t>曾口镇污水处理厂和复兴社区污水站</w:t>
      </w:r>
      <w:r>
        <w:rPr>
          <w:rFonts w:hint="eastAsia" w:ascii="Times New Roman" w:hAnsi="Times New Roman"/>
          <w:color w:val="auto"/>
          <w:sz w:val="24"/>
        </w:rPr>
        <w:t>入河排污口，相关信息</w:t>
      </w:r>
      <w:r>
        <w:rPr>
          <w:rFonts w:ascii="Times New Roman" w:hAnsi="Times New Roman"/>
          <w:color w:val="auto"/>
          <w:sz w:val="24"/>
        </w:rPr>
        <w:t>如下表所示。</w:t>
      </w:r>
    </w:p>
    <w:p w14:paraId="6690DA8F">
      <w:pPr>
        <w:pStyle w:val="19"/>
        <w:numPr>
          <w:ilvl w:val="0"/>
          <w:numId w:val="31"/>
        </w:numPr>
        <w:bidi w:val="0"/>
        <w:ind w:left="1440" w:leftChars="0" w:firstLine="0" w:firstLineChars="0"/>
        <w:rPr>
          <w:rFonts w:ascii="Times New Roman" w:hAnsi="Times New Roman"/>
          <w:b/>
          <w:color w:val="auto"/>
        </w:rPr>
      </w:pPr>
      <w:r>
        <w:rPr>
          <w:rFonts w:hint="eastAsia"/>
          <w:color w:val="auto"/>
          <w:lang w:eastAsia="zh-CN"/>
        </w:rPr>
        <w:tab/>
      </w:r>
      <w:r>
        <w:rPr>
          <w:rFonts w:ascii="Times New Roman" w:hAnsi="Times New Roman"/>
          <w:b/>
          <w:color w:val="auto"/>
        </w:rPr>
        <w:t>本项目下游拟建污水排放口情况一览表</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467"/>
        <w:gridCol w:w="1422"/>
        <w:gridCol w:w="1061"/>
        <w:gridCol w:w="1628"/>
        <w:gridCol w:w="2688"/>
      </w:tblGrid>
      <w:tr w14:paraId="3039E0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377" w:type="pct"/>
            <w:vAlign w:val="center"/>
          </w:tcPr>
          <w:p w14:paraId="400D39E7">
            <w:pPr>
              <w:pStyle w:val="16"/>
              <w:bidi w:val="0"/>
              <w:rPr>
                <w:b/>
                <w:bCs/>
                <w:color w:val="auto"/>
              </w:rPr>
            </w:pPr>
            <w:r>
              <w:rPr>
                <w:b/>
                <w:bCs/>
                <w:color w:val="auto"/>
              </w:rPr>
              <w:t>序号</w:t>
            </w:r>
          </w:p>
        </w:tc>
        <w:tc>
          <w:tcPr>
            <w:tcW w:w="820" w:type="pct"/>
            <w:vAlign w:val="center"/>
          </w:tcPr>
          <w:p w14:paraId="253B17DE">
            <w:pPr>
              <w:pStyle w:val="16"/>
              <w:bidi w:val="0"/>
              <w:rPr>
                <w:b/>
                <w:bCs/>
                <w:color w:val="auto"/>
              </w:rPr>
            </w:pPr>
            <w:r>
              <w:rPr>
                <w:b/>
                <w:bCs/>
                <w:color w:val="auto"/>
              </w:rPr>
              <w:t>排污口名称</w:t>
            </w:r>
          </w:p>
        </w:tc>
        <w:tc>
          <w:tcPr>
            <w:tcW w:w="795" w:type="pct"/>
            <w:vAlign w:val="center"/>
          </w:tcPr>
          <w:p w14:paraId="19B494C8">
            <w:pPr>
              <w:pStyle w:val="16"/>
              <w:bidi w:val="0"/>
              <w:rPr>
                <w:b/>
                <w:bCs/>
                <w:color w:val="auto"/>
              </w:rPr>
            </w:pPr>
            <w:r>
              <w:rPr>
                <w:b/>
                <w:bCs/>
                <w:color w:val="auto"/>
              </w:rPr>
              <w:t>排污口坐标</w:t>
            </w:r>
          </w:p>
        </w:tc>
        <w:tc>
          <w:tcPr>
            <w:tcW w:w="593" w:type="pct"/>
            <w:vAlign w:val="center"/>
          </w:tcPr>
          <w:p w14:paraId="2A493A60">
            <w:pPr>
              <w:pStyle w:val="16"/>
              <w:bidi w:val="0"/>
              <w:rPr>
                <w:b/>
                <w:bCs/>
                <w:color w:val="auto"/>
              </w:rPr>
            </w:pPr>
            <w:r>
              <w:rPr>
                <w:b/>
                <w:bCs/>
                <w:color w:val="auto"/>
              </w:rPr>
              <w:t>污水排放情况</w:t>
            </w:r>
          </w:p>
        </w:tc>
        <w:tc>
          <w:tcPr>
            <w:tcW w:w="910" w:type="pct"/>
            <w:vAlign w:val="center"/>
          </w:tcPr>
          <w:p w14:paraId="5F63D374">
            <w:pPr>
              <w:pStyle w:val="16"/>
              <w:bidi w:val="0"/>
              <w:rPr>
                <w:b/>
                <w:bCs/>
                <w:color w:val="auto"/>
              </w:rPr>
            </w:pPr>
            <w:r>
              <w:rPr>
                <w:b/>
                <w:bCs/>
                <w:color w:val="auto"/>
              </w:rPr>
              <w:t>与本项目排污口的位置关系</w:t>
            </w:r>
          </w:p>
        </w:tc>
        <w:tc>
          <w:tcPr>
            <w:tcW w:w="1503" w:type="pct"/>
            <w:vAlign w:val="center"/>
          </w:tcPr>
          <w:p w14:paraId="2A66F0CB">
            <w:pPr>
              <w:pStyle w:val="16"/>
              <w:bidi w:val="0"/>
              <w:rPr>
                <w:b/>
                <w:bCs/>
                <w:color w:val="auto"/>
              </w:rPr>
            </w:pPr>
            <w:r>
              <w:rPr>
                <w:b/>
                <w:bCs/>
                <w:color w:val="auto"/>
              </w:rPr>
              <w:t>排放标准</w:t>
            </w:r>
          </w:p>
        </w:tc>
      </w:tr>
      <w:tr w14:paraId="7AC435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377" w:type="pct"/>
            <w:vAlign w:val="center"/>
          </w:tcPr>
          <w:p w14:paraId="013CA39F">
            <w:pPr>
              <w:pStyle w:val="16"/>
              <w:bidi w:val="0"/>
              <w:rPr>
                <w:color w:val="auto"/>
              </w:rPr>
            </w:pPr>
            <w:r>
              <w:rPr>
                <w:color w:val="auto"/>
              </w:rPr>
              <w:t>1</w:t>
            </w:r>
          </w:p>
        </w:tc>
        <w:tc>
          <w:tcPr>
            <w:tcW w:w="820" w:type="pct"/>
            <w:vAlign w:val="center"/>
          </w:tcPr>
          <w:p w14:paraId="301F95DC">
            <w:pPr>
              <w:pStyle w:val="16"/>
              <w:bidi w:val="0"/>
              <w:rPr>
                <w:color w:val="auto"/>
              </w:rPr>
            </w:pPr>
            <w:r>
              <w:rPr>
                <w:rFonts w:hint="eastAsia"/>
                <w:color w:val="auto"/>
                <w:lang w:val="en-US" w:eastAsia="zh-CN"/>
              </w:rPr>
              <w:t>曾口镇生活</w:t>
            </w:r>
            <w:r>
              <w:rPr>
                <w:rFonts w:hint="eastAsia"/>
                <w:color w:val="auto"/>
              </w:rPr>
              <w:t>污水处理厂</w:t>
            </w:r>
          </w:p>
        </w:tc>
        <w:tc>
          <w:tcPr>
            <w:tcW w:w="795" w:type="pct"/>
            <w:vAlign w:val="center"/>
          </w:tcPr>
          <w:p w14:paraId="5D713F4F">
            <w:pPr>
              <w:pStyle w:val="16"/>
              <w:bidi w:val="0"/>
              <w:rPr>
                <w:color w:val="auto"/>
              </w:rPr>
            </w:pPr>
            <w:r>
              <w:rPr>
                <w:rFonts w:hint="default" w:ascii="Times New Roman" w:hAnsi="Times New Roman" w:cs="Times New Roman"/>
                <w:color w:val="auto"/>
              </w:rPr>
              <w:t>106°53′3.26″</w:t>
            </w:r>
            <w:r>
              <w:rPr>
                <w:rFonts w:hint="eastAsia" w:ascii="Times New Roman" w:hAnsi="Times New Roman" w:cs="Times New Roman"/>
                <w:color w:val="auto"/>
                <w:lang w:val="en-US" w:eastAsia="zh-CN"/>
              </w:rPr>
              <w:t>,</w:t>
            </w:r>
            <w:r>
              <w:rPr>
                <w:rFonts w:hint="default" w:ascii="Times New Roman" w:hAnsi="Times New Roman" w:cs="Times New Roman"/>
                <w:color w:val="auto"/>
              </w:rPr>
              <w:t>31°45′12.92″</w:t>
            </w:r>
          </w:p>
        </w:tc>
        <w:tc>
          <w:tcPr>
            <w:tcW w:w="593" w:type="pct"/>
            <w:vAlign w:val="center"/>
          </w:tcPr>
          <w:p w14:paraId="488E27B9">
            <w:pPr>
              <w:pStyle w:val="16"/>
              <w:bidi w:val="0"/>
              <w:rPr>
                <w:color w:val="auto"/>
              </w:rPr>
            </w:pPr>
            <w:r>
              <w:rPr>
                <w:rFonts w:hint="eastAsia"/>
                <w:color w:val="auto"/>
                <w:lang w:val="en-US" w:eastAsia="zh-CN"/>
              </w:rPr>
              <w:t>3</w:t>
            </w:r>
            <w:r>
              <w:rPr>
                <w:color w:val="auto"/>
              </w:rPr>
              <w:t>00</w:t>
            </w:r>
            <w:r>
              <w:rPr>
                <w:rFonts w:hint="eastAsia"/>
                <w:color w:val="auto"/>
                <w:lang w:val="en-US" w:eastAsia="zh-CN"/>
              </w:rPr>
              <w:t>m³</w:t>
            </w:r>
            <w:r>
              <w:rPr>
                <w:color w:val="auto"/>
              </w:rPr>
              <w:t>/d</w:t>
            </w:r>
          </w:p>
        </w:tc>
        <w:tc>
          <w:tcPr>
            <w:tcW w:w="910" w:type="pct"/>
            <w:vAlign w:val="center"/>
          </w:tcPr>
          <w:p w14:paraId="7C2D9D5A">
            <w:pPr>
              <w:pStyle w:val="16"/>
              <w:bidi w:val="0"/>
              <w:rPr>
                <w:rFonts w:hint="default" w:eastAsia="宋体"/>
                <w:color w:val="auto"/>
                <w:lang w:val="en-US" w:eastAsia="zh-CN"/>
              </w:rPr>
            </w:pPr>
            <w:r>
              <w:rPr>
                <w:rFonts w:hint="eastAsia"/>
                <w:color w:val="auto"/>
                <w:lang w:val="en-US" w:eastAsia="zh-CN"/>
              </w:rPr>
              <w:t>与本项目排口位置一致</w:t>
            </w:r>
          </w:p>
        </w:tc>
        <w:tc>
          <w:tcPr>
            <w:tcW w:w="1503" w:type="pct"/>
            <w:vMerge w:val="restart"/>
            <w:vAlign w:val="center"/>
          </w:tcPr>
          <w:p w14:paraId="153C4CA3">
            <w:pPr>
              <w:pStyle w:val="16"/>
              <w:bidi w:val="0"/>
              <w:rPr>
                <w:color w:val="auto"/>
              </w:rPr>
            </w:pPr>
            <w:r>
              <w:rPr>
                <w:rFonts w:hint="eastAsia"/>
                <w:color w:val="auto"/>
              </w:rPr>
              <w:t>《城镇污水处理厂污染物排放标准》（GB18918-2002）一级A标准</w:t>
            </w:r>
          </w:p>
        </w:tc>
      </w:tr>
      <w:tr w14:paraId="1FE3B1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377" w:type="pct"/>
            <w:vAlign w:val="center"/>
          </w:tcPr>
          <w:p w14:paraId="381F3EE3">
            <w:pPr>
              <w:pStyle w:val="16"/>
              <w:bidi w:val="0"/>
              <w:rPr>
                <w:rFonts w:hint="eastAsia"/>
                <w:color w:val="auto"/>
                <w:lang w:val="en-US" w:eastAsia="zh-CN"/>
              </w:rPr>
            </w:pPr>
            <w:r>
              <w:rPr>
                <w:rFonts w:hint="eastAsia"/>
                <w:color w:val="auto"/>
                <w:lang w:val="en-US" w:eastAsia="zh-CN"/>
              </w:rPr>
              <w:t>2</w:t>
            </w:r>
          </w:p>
        </w:tc>
        <w:tc>
          <w:tcPr>
            <w:tcW w:w="820" w:type="pct"/>
            <w:vAlign w:val="center"/>
          </w:tcPr>
          <w:p w14:paraId="69BDDBB3">
            <w:pPr>
              <w:pStyle w:val="16"/>
              <w:bidi w:val="0"/>
              <w:rPr>
                <w:rFonts w:hint="eastAsia"/>
                <w:color w:val="auto"/>
                <w:lang w:val="en-US" w:eastAsia="zh-CN"/>
              </w:rPr>
            </w:pPr>
            <w:r>
              <w:rPr>
                <w:rFonts w:hint="eastAsia"/>
                <w:color w:val="auto"/>
                <w:lang w:val="en-US" w:eastAsia="zh-CN"/>
              </w:rPr>
              <w:t>复兴社区污水站排口</w:t>
            </w:r>
          </w:p>
        </w:tc>
        <w:tc>
          <w:tcPr>
            <w:tcW w:w="795" w:type="pct"/>
            <w:vAlign w:val="center"/>
          </w:tcPr>
          <w:p w14:paraId="65AAE04D">
            <w:pPr>
              <w:pStyle w:val="16"/>
              <w:bidi w:val="0"/>
              <w:rPr>
                <w:color w:val="auto"/>
              </w:rPr>
            </w:pPr>
          </w:p>
        </w:tc>
        <w:tc>
          <w:tcPr>
            <w:tcW w:w="593" w:type="pct"/>
            <w:vAlign w:val="center"/>
          </w:tcPr>
          <w:p w14:paraId="0F003131">
            <w:pPr>
              <w:pStyle w:val="16"/>
              <w:bidi w:val="0"/>
              <w:rPr>
                <w:rFonts w:hint="default"/>
                <w:color w:val="auto"/>
                <w:lang w:val="en-US" w:eastAsia="zh-CN"/>
              </w:rPr>
            </w:pPr>
            <w:r>
              <w:rPr>
                <w:rFonts w:hint="eastAsia"/>
                <w:color w:val="auto"/>
                <w:lang w:val="en-US" w:eastAsia="zh-CN"/>
              </w:rPr>
              <w:t>300m³</w:t>
            </w:r>
            <w:r>
              <w:rPr>
                <w:color w:val="auto"/>
              </w:rPr>
              <w:t>/d</w:t>
            </w:r>
          </w:p>
        </w:tc>
        <w:tc>
          <w:tcPr>
            <w:tcW w:w="910" w:type="pct"/>
            <w:vAlign w:val="center"/>
          </w:tcPr>
          <w:p w14:paraId="5956876E">
            <w:pPr>
              <w:pStyle w:val="16"/>
              <w:bidi w:val="0"/>
              <w:rPr>
                <w:rFonts w:hint="default"/>
                <w:color w:val="auto"/>
                <w:lang w:val="en-US" w:eastAsia="zh-CN"/>
              </w:rPr>
            </w:pPr>
            <w:r>
              <w:rPr>
                <w:rFonts w:hint="eastAsia"/>
                <w:color w:val="auto"/>
                <w:lang w:val="en-US" w:eastAsia="zh-CN"/>
              </w:rPr>
              <w:t>下游7.7km</w:t>
            </w:r>
          </w:p>
        </w:tc>
        <w:tc>
          <w:tcPr>
            <w:tcW w:w="1503" w:type="pct"/>
            <w:vMerge w:val="continue"/>
            <w:vAlign w:val="center"/>
          </w:tcPr>
          <w:p w14:paraId="285F2DA5">
            <w:pPr>
              <w:pStyle w:val="16"/>
              <w:bidi w:val="0"/>
              <w:rPr>
                <w:rFonts w:hint="eastAsia"/>
                <w:color w:val="auto"/>
              </w:rPr>
            </w:pPr>
          </w:p>
        </w:tc>
      </w:tr>
    </w:tbl>
    <w:p w14:paraId="4C666C5A">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b/>
          <w:color w:val="auto"/>
          <w:sz w:val="24"/>
          <w:highlight w:val="none"/>
        </w:rPr>
      </w:pPr>
      <w:r>
        <w:rPr>
          <w:color w:val="auto"/>
          <w:sz w:val="24"/>
          <w:highlight w:val="none"/>
        </w:rPr>
        <w:t>根据《环境影响评价技术导则 地表水环境》（HJ2.3-2018），建设项目地表水环境影响评价范围指整体实施后，可能对地表水环境造成的影响范围；根据评价等级、工程特点、影响方式及程度、地表水环境质量管理要求等确定；受纳水体为河流时，应满足覆盖对照断面、控制断面与消减断面等关心断面的要求。</w:t>
      </w:r>
      <w:r>
        <w:rPr>
          <w:b/>
          <w:color w:val="auto"/>
          <w:sz w:val="24"/>
          <w:highlight w:val="none"/>
        </w:rPr>
        <w:t>因此本项目地表水</w:t>
      </w:r>
      <w:r>
        <w:rPr>
          <w:rFonts w:hint="eastAsia"/>
          <w:b/>
          <w:color w:val="auto"/>
          <w:sz w:val="24"/>
          <w:highlight w:val="none"/>
          <w:lang w:eastAsia="zh-CN"/>
        </w:rPr>
        <w:t>环境影响评价</w:t>
      </w:r>
      <w:r>
        <w:rPr>
          <w:b/>
          <w:color w:val="auto"/>
          <w:sz w:val="24"/>
          <w:highlight w:val="none"/>
        </w:rPr>
        <w:t>范围为：排污口上游0.5km至下游</w:t>
      </w:r>
      <w:r>
        <w:rPr>
          <w:rFonts w:hint="eastAsia"/>
          <w:b/>
          <w:color w:val="auto"/>
          <w:sz w:val="24"/>
          <w:highlight w:val="none"/>
          <w:lang w:val="en-US" w:eastAsia="zh-CN"/>
        </w:rPr>
        <w:t>8.7</w:t>
      </w:r>
      <w:r>
        <w:rPr>
          <w:b/>
          <w:color w:val="auto"/>
          <w:sz w:val="24"/>
          <w:highlight w:val="none"/>
        </w:rPr>
        <w:t>km</w:t>
      </w:r>
      <w:r>
        <w:rPr>
          <w:rFonts w:hint="eastAsia"/>
          <w:b/>
          <w:color w:val="auto"/>
          <w:sz w:val="24"/>
          <w:highlight w:val="none"/>
          <w:lang w:eastAsia="zh-CN"/>
        </w:rPr>
        <w:t>（此处为</w:t>
      </w:r>
      <w:r>
        <w:rPr>
          <w:rFonts w:hint="eastAsia"/>
          <w:b/>
          <w:color w:val="auto"/>
          <w:sz w:val="24"/>
          <w:highlight w:val="none"/>
          <w:lang w:val="en-US" w:eastAsia="zh-CN"/>
        </w:rPr>
        <w:t>巴河国控断面-金碑断面</w:t>
      </w:r>
      <w:r>
        <w:rPr>
          <w:rFonts w:hint="eastAsia"/>
          <w:b/>
          <w:color w:val="auto"/>
          <w:sz w:val="24"/>
          <w:highlight w:val="none"/>
          <w:lang w:eastAsia="zh-CN"/>
        </w:rPr>
        <w:t>）</w:t>
      </w:r>
      <w:r>
        <w:rPr>
          <w:b/>
          <w:color w:val="auto"/>
          <w:sz w:val="24"/>
          <w:highlight w:val="none"/>
        </w:rPr>
        <w:t>。</w:t>
      </w:r>
    </w:p>
    <w:p w14:paraId="63D4ABDF">
      <w:pPr>
        <w:bidi w:val="0"/>
        <w:rPr>
          <w:rFonts w:hint="default"/>
          <w:b/>
          <w:bCs/>
          <w:color w:val="auto"/>
          <w:lang w:val="en-US" w:eastAsia="zh-CN"/>
        </w:rPr>
      </w:pPr>
      <w:r>
        <w:rPr>
          <w:rFonts w:hint="eastAsia"/>
          <w:b/>
          <w:bCs/>
          <w:color w:val="auto"/>
          <w:lang w:val="en-US" w:eastAsia="zh-CN"/>
        </w:rPr>
        <w:t>3、关心断面</w:t>
      </w:r>
    </w:p>
    <w:p w14:paraId="0C50AD05">
      <w:pPr>
        <w:pStyle w:val="66"/>
        <w:pageBreakBefore w:val="0"/>
        <w:widowControl w:val="0"/>
        <w:kinsoku/>
        <w:wordWrap/>
        <w:overflowPunct/>
        <w:topLinePunct w:val="0"/>
        <w:bidi w:val="0"/>
        <w:snapToGrid w:val="0"/>
        <w:spacing w:line="360" w:lineRule="auto"/>
        <w:textAlignment w:val="auto"/>
        <w:rPr>
          <w:rFonts w:hint="default" w:eastAsia="宋体"/>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本项目关心断面包含下游：2km处核算断面、</w:t>
      </w:r>
      <w:r>
        <w:rPr>
          <w:rFonts w:hint="eastAsia" w:ascii="Times New Roman" w:hAnsi="Times New Roman" w:cs="Times New Roman"/>
          <w:b w:val="0"/>
          <w:bCs/>
          <w:color w:val="auto"/>
          <w:sz w:val="24"/>
          <w:highlight w:val="none"/>
          <w:lang w:val="en-US" w:eastAsia="zh-CN"/>
        </w:rPr>
        <w:t>8.7</w:t>
      </w:r>
      <w:r>
        <w:rPr>
          <w:rFonts w:hint="default" w:ascii="Times New Roman" w:hAnsi="Times New Roman" w:cs="Times New Roman"/>
          <w:b w:val="0"/>
          <w:bCs/>
          <w:color w:val="auto"/>
          <w:sz w:val="24"/>
          <w:highlight w:val="none"/>
          <w:lang w:val="en-US" w:eastAsia="zh-CN"/>
        </w:rPr>
        <w:t>km</w:t>
      </w:r>
      <w:r>
        <w:rPr>
          <w:rFonts w:hint="eastAsia" w:ascii="Times New Roman" w:hAnsi="Times New Roman" w:cs="Times New Roman"/>
          <w:b w:val="0"/>
          <w:bCs/>
          <w:color w:val="auto"/>
          <w:sz w:val="24"/>
          <w:highlight w:val="none"/>
          <w:lang w:val="en-US" w:eastAsia="zh-CN"/>
        </w:rPr>
        <w:t>国控断面-金碑断面</w:t>
      </w:r>
      <w:r>
        <w:rPr>
          <w:rFonts w:hint="default" w:ascii="Times New Roman" w:hAnsi="Times New Roman" w:cs="Times New Roman"/>
          <w:b w:val="0"/>
          <w:bCs/>
          <w:color w:val="auto"/>
          <w:sz w:val="24"/>
          <w:highlight w:val="none"/>
          <w:lang w:val="en-US" w:eastAsia="zh-CN"/>
        </w:rPr>
        <w:t>。</w:t>
      </w:r>
    </w:p>
    <w:p w14:paraId="333B3389">
      <w:pPr>
        <w:pStyle w:val="19"/>
        <w:numPr>
          <w:ilvl w:val="0"/>
          <w:numId w:val="31"/>
        </w:numPr>
        <w:bidi w:val="0"/>
        <w:ind w:left="1440" w:leftChars="0" w:firstLine="0" w:firstLineChars="0"/>
        <w:rPr>
          <w:rFonts w:hint="eastAsia"/>
          <w:color w:val="auto"/>
          <w:lang w:eastAsia="zh-CN"/>
        </w:rPr>
      </w:pPr>
      <w:r>
        <w:rPr>
          <w:rFonts w:hint="eastAsia"/>
          <w:color w:val="auto"/>
          <w:lang w:eastAsia="zh-CN"/>
        </w:rPr>
        <w:t>排污口下游关心断面分布情况</w:t>
      </w:r>
      <w:r>
        <w:rPr>
          <w:rFonts w:hint="eastAsia"/>
          <w:color w:val="auto"/>
          <w:lang w:eastAsia="zh-CN"/>
        </w:rPr>
        <w:tab/>
      </w:r>
    </w:p>
    <w:tbl>
      <w:tblPr>
        <w:tblStyle w:val="53"/>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2"/>
        <w:gridCol w:w="3324"/>
        <w:gridCol w:w="3485"/>
      </w:tblGrid>
      <w:tr w14:paraId="3E10DF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2" w:type="pct"/>
            <w:tcBorders>
              <w:tl2br w:val="nil"/>
              <w:tr2bl w:val="nil"/>
            </w:tcBorders>
            <w:noWrap w:val="0"/>
            <w:vAlign w:val="center"/>
          </w:tcPr>
          <w:p w14:paraId="72CC2B0C">
            <w:pPr>
              <w:pStyle w:val="66"/>
              <w:jc w:val="center"/>
              <w:rPr>
                <w:rFonts w:hint="default" w:ascii="Times New Roman" w:hAnsi="Times New Roman" w:eastAsia="宋体" w:cs="Times New Roman"/>
                <w:b/>
                <w:bCs w:val="0"/>
                <w:color w:val="auto"/>
                <w:kern w:val="0"/>
                <w:sz w:val="21"/>
                <w:szCs w:val="21"/>
                <w:highlight w:val="none"/>
                <w:vertAlign w:val="baseline"/>
                <w:lang w:eastAsia="zh-CN"/>
              </w:rPr>
            </w:pPr>
            <w:r>
              <w:rPr>
                <w:rFonts w:hint="default" w:ascii="Times New Roman" w:hAnsi="Times New Roman" w:cs="Times New Roman"/>
                <w:b/>
                <w:bCs w:val="0"/>
                <w:color w:val="auto"/>
                <w:kern w:val="0"/>
                <w:sz w:val="21"/>
                <w:szCs w:val="21"/>
                <w:highlight w:val="none"/>
                <w:vertAlign w:val="baseline"/>
                <w:lang w:eastAsia="zh-CN"/>
              </w:rPr>
              <w:t>关心断面名称</w:t>
            </w:r>
          </w:p>
        </w:tc>
        <w:tc>
          <w:tcPr>
            <w:tcW w:w="1858" w:type="pct"/>
            <w:tcBorders>
              <w:tl2br w:val="nil"/>
              <w:tr2bl w:val="nil"/>
            </w:tcBorders>
            <w:noWrap w:val="0"/>
            <w:vAlign w:val="center"/>
          </w:tcPr>
          <w:p w14:paraId="43D9FBC8">
            <w:pPr>
              <w:pStyle w:val="66"/>
              <w:jc w:val="center"/>
              <w:rPr>
                <w:rFonts w:hint="default" w:ascii="Times New Roman" w:hAnsi="Times New Roman" w:eastAsia="宋体" w:cs="Times New Roman"/>
                <w:b/>
                <w:bCs w:val="0"/>
                <w:color w:val="auto"/>
                <w:kern w:val="0"/>
                <w:sz w:val="21"/>
                <w:szCs w:val="21"/>
                <w:highlight w:val="none"/>
                <w:vertAlign w:val="baseline"/>
                <w:lang w:eastAsia="zh-CN"/>
              </w:rPr>
            </w:pPr>
            <w:r>
              <w:rPr>
                <w:rFonts w:hint="default" w:ascii="Times New Roman" w:hAnsi="Times New Roman" w:cs="Times New Roman"/>
                <w:b/>
                <w:bCs w:val="0"/>
                <w:color w:val="auto"/>
                <w:kern w:val="0"/>
                <w:sz w:val="21"/>
                <w:szCs w:val="21"/>
                <w:highlight w:val="none"/>
                <w:vertAlign w:val="baseline"/>
                <w:lang w:eastAsia="zh-CN"/>
              </w:rPr>
              <w:t>距离本项目排污口下游距离（</w:t>
            </w:r>
            <w:r>
              <w:rPr>
                <w:rFonts w:hint="default" w:ascii="Times New Roman" w:hAnsi="Times New Roman" w:cs="Times New Roman"/>
                <w:b/>
                <w:bCs w:val="0"/>
                <w:color w:val="auto"/>
                <w:kern w:val="0"/>
                <w:sz w:val="21"/>
                <w:szCs w:val="21"/>
                <w:highlight w:val="none"/>
                <w:vertAlign w:val="baseline"/>
                <w:lang w:val="en-US" w:eastAsia="zh-CN"/>
              </w:rPr>
              <w:t>km</w:t>
            </w:r>
            <w:r>
              <w:rPr>
                <w:rFonts w:hint="default" w:ascii="Times New Roman" w:hAnsi="Times New Roman" w:cs="Times New Roman"/>
                <w:b/>
                <w:bCs w:val="0"/>
                <w:color w:val="auto"/>
                <w:kern w:val="0"/>
                <w:sz w:val="21"/>
                <w:szCs w:val="21"/>
                <w:highlight w:val="none"/>
                <w:vertAlign w:val="baseline"/>
                <w:lang w:eastAsia="zh-CN"/>
              </w:rPr>
              <w:t>）</w:t>
            </w:r>
          </w:p>
        </w:tc>
        <w:tc>
          <w:tcPr>
            <w:tcW w:w="1948" w:type="pct"/>
            <w:tcBorders>
              <w:tl2br w:val="nil"/>
              <w:tr2bl w:val="nil"/>
            </w:tcBorders>
            <w:noWrap w:val="0"/>
            <w:vAlign w:val="center"/>
          </w:tcPr>
          <w:p w14:paraId="21C22AB5">
            <w:pPr>
              <w:pStyle w:val="66"/>
              <w:jc w:val="center"/>
              <w:rPr>
                <w:rFonts w:hint="default" w:ascii="Times New Roman" w:hAnsi="Times New Roman" w:eastAsia="宋体" w:cs="Times New Roman"/>
                <w:b/>
                <w:bCs w:val="0"/>
                <w:color w:val="auto"/>
                <w:kern w:val="0"/>
                <w:sz w:val="21"/>
                <w:szCs w:val="21"/>
                <w:highlight w:val="none"/>
                <w:vertAlign w:val="baseline"/>
                <w:lang w:val="en-US" w:eastAsia="zh-CN"/>
              </w:rPr>
            </w:pPr>
            <w:r>
              <w:rPr>
                <w:rFonts w:hint="default" w:ascii="Times New Roman" w:hAnsi="Times New Roman" w:cs="Times New Roman"/>
                <w:b/>
                <w:bCs w:val="0"/>
                <w:color w:val="auto"/>
                <w:kern w:val="0"/>
                <w:sz w:val="21"/>
                <w:szCs w:val="21"/>
                <w:highlight w:val="none"/>
                <w:vertAlign w:val="baseline"/>
                <w:lang w:val="en-US" w:eastAsia="zh-CN"/>
              </w:rPr>
              <w:t>备注</w:t>
            </w:r>
          </w:p>
        </w:tc>
      </w:tr>
      <w:tr w14:paraId="4AF2E3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2" w:type="pct"/>
            <w:tcBorders>
              <w:tl2br w:val="nil"/>
              <w:tr2bl w:val="nil"/>
            </w:tcBorders>
            <w:noWrap w:val="0"/>
            <w:vAlign w:val="center"/>
          </w:tcPr>
          <w:p w14:paraId="3657464E">
            <w:pPr>
              <w:pStyle w:val="66"/>
              <w:jc w:val="center"/>
              <w:rPr>
                <w:rFonts w:hint="eastAsia" w:ascii="Times New Roman" w:hAnsi="Times New Roman" w:eastAsia="宋体" w:cs="Times New Roman"/>
                <w:b w:val="0"/>
                <w:bCs/>
                <w:color w:val="auto"/>
                <w:kern w:val="0"/>
                <w:sz w:val="21"/>
                <w:szCs w:val="21"/>
                <w:highlight w:val="none"/>
                <w:vertAlign w:val="baseline"/>
                <w:lang w:eastAsia="zh-CN"/>
              </w:rPr>
            </w:pPr>
            <w:r>
              <w:rPr>
                <w:rFonts w:hint="eastAsia" w:ascii="Times New Roman" w:hAnsi="Times New Roman" w:cs="Times New Roman"/>
                <w:b w:val="0"/>
                <w:bCs/>
                <w:color w:val="auto"/>
                <w:kern w:val="0"/>
                <w:sz w:val="21"/>
                <w:szCs w:val="21"/>
                <w:highlight w:val="none"/>
                <w:vertAlign w:val="baseline"/>
                <w:lang w:eastAsia="zh-CN"/>
              </w:rPr>
              <w:t>核算断面</w:t>
            </w:r>
          </w:p>
        </w:tc>
        <w:tc>
          <w:tcPr>
            <w:tcW w:w="1858" w:type="pct"/>
            <w:tcBorders>
              <w:tl2br w:val="nil"/>
              <w:tr2bl w:val="nil"/>
            </w:tcBorders>
            <w:noWrap w:val="0"/>
            <w:vAlign w:val="center"/>
          </w:tcPr>
          <w:p w14:paraId="6F0E998B">
            <w:pPr>
              <w:pStyle w:val="66"/>
              <w:jc w:val="center"/>
              <w:rPr>
                <w:rFonts w:hint="default" w:ascii="Times New Roman" w:hAnsi="Times New Roman" w:eastAsia="宋体" w:cs="Times New Roman"/>
                <w:b w:val="0"/>
                <w:bCs/>
                <w:color w:val="auto"/>
                <w:kern w:val="0"/>
                <w:sz w:val="21"/>
                <w:szCs w:val="21"/>
                <w:highlight w:val="none"/>
                <w:vertAlign w:val="baseline"/>
                <w:lang w:val="en-US" w:eastAsia="zh-CN"/>
              </w:rPr>
            </w:pPr>
            <w:r>
              <w:rPr>
                <w:rFonts w:hint="default" w:ascii="Times New Roman" w:hAnsi="Times New Roman" w:cs="Times New Roman"/>
                <w:b w:val="0"/>
                <w:bCs/>
                <w:color w:val="auto"/>
                <w:kern w:val="0"/>
                <w:sz w:val="21"/>
                <w:szCs w:val="21"/>
                <w:highlight w:val="none"/>
                <w:vertAlign w:val="baseline"/>
                <w:lang w:val="en-US" w:eastAsia="zh-CN"/>
              </w:rPr>
              <w:t>2.0</w:t>
            </w:r>
          </w:p>
        </w:tc>
        <w:tc>
          <w:tcPr>
            <w:tcW w:w="1948" w:type="pct"/>
            <w:tcBorders>
              <w:tl2br w:val="nil"/>
              <w:tr2bl w:val="nil"/>
            </w:tcBorders>
            <w:noWrap w:val="0"/>
            <w:vAlign w:val="center"/>
          </w:tcPr>
          <w:p w14:paraId="06FC1B79">
            <w:pPr>
              <w:pStyle w:val="66"/>
              <w:jc w:val="center"/>
              <w:rPr>
                <w:rFonts w:hint="eastAsia" w:ascii="Times New Roman" w:hAnsi="Times New Roman" w:eastAsia="宋体" w:cs="Times New Roman"/>
                <w:b w:val="0"/>
                <w:bCs/>
                <w:color w:val="auto"/>
                <w:kern w:val="0"/>
                <w:sz w:val="21"/>
                <w:szCs w:val="21"/>
                <w:highlight w:val="none"/>
                <w:vertAlign w:val="baseline"/>
                <w:lang w:eastAsia="zh-CN"/>
              </w:rPr>
            </w:pPr>
            <w:r>
              <w:rPr>
                <w:rFonts w:hint="eastAsia" w:ascii="Times New Roman" w:hAnsi="Times New Roman" w:cs="Times New Roman"/>
                <w:b w:val="0"/>
                <w:bCs/>
                <w:color w:val="auto"/>
                <w:kern w:val="0"/>
                <w:sz w:val="21"/>
                <w:szCs w:val="21"/>
                <w:highlight w:val="none"/>
                <w:vertAlign w:val="baseline"/>
                <w:lang w:eastAsia="zh-CN"/>
              </w:rPr>
              <w:t>污染物核算断面</w:t>
            </w:r>
          </w:p>
        </w:tc>
      </w:tr>
      <w:tr w14:paraId="246A94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2" w:type="pct"/>
            <w:tcBorders>
              <w:tl2br w:val="nil"/>
              <w:tr2bl w:val="nil"/>
            </w:tcBorders>
            <w:noWrap w:val="0"/>
            <w:vAlign w:val="center"/>
          </w:tcPr>
          <w:p w14:paraId="7BA47605">
            <w:pPr>
              <w:pStyle w:val="66"/>
              <w:jc w:val="center"/>
              <w:rPr>
                <w:rFonts w:hint="eastAsia" w:ascii="Times New Roman" w:hAnsi="Times New Roman" w:eastAsia="宋体" w:cs="Times New Roman"/>
                <w:b w:val="0"/>
                <w:bCs/>
                <w:color w:val="auto"/>
                <w:kern w:val="0"/>
                <w:sz w:val="21"/>
                <w:szCs w:val="21"/>
                <w:highlight w:val="none"/>
                <w:vertAlign w:val="baseline"/>
                <w:lang w:eastAsia="zh-CN"/>
              </w:rPr>
            </w:pPr>
            <w:r>
              <w:rPr>
                <w:rFonts w:hint="eastAsia" w:ascii="Times New Roman" w:hAnsi="Times New Roman" w:cs="Times New Roman"/>
                <w:b w:val="0"/>
                <w:bCs/>
                <w:color w:val="auto"/>
                <w:kern w:val="0"/>
                <w:sz w:val="21"/>
                <w:szCs w:val="21"/>
                <w:highlight w:val="none"/>
                <w:vertAlign w:val="baseline"/>
                <w:lang w:val="en-US" w:eastAsia="zh-CN"/>
              </w:rPr>
              <w:t>金碑断面</w:t>
            </w:r>
          </w:p>
        </w:tc>
        <w:tc>
          <w:tcPr>
            <w:tcW w:w="1858" w:type="pct"/>
            <w:tcBorders>
              <w:tl2br w:val="nil"/>
              <w:tr2bl w:val="nil"/>
            </w:tcBorders>
            <w:noWrap w:val="0"/>
            <w:vAlign w:val="center"/>
          </w:tcPr>
          <w:p w14:paraId="6111DCFD">
            <w:pPr>
              <w:pStyle w:val="66"/>
              <w:jc w:val="center"/>
              <w:rPr>
                <w:rFonts w:hint="default" w:ascii="Times New Roman" w:hAnsi="Times New Roman" w:eastAsia="宋体" w:cs="Times New Roman"/>
                <w:b w:val="0"/>
                <w:bCs/>
                <w:color w:val="auto"/>
                <w:kern w:val="0"/>
                <w:sz w:val="21"/>
                <w:szCs w:val="21"/>
                <w:highlight w:val="none"/>
                <w:vertAlign w:val="baseline"/>
                <w:lang w:val="en-US" w:eastAsia="zh-CN"/>
              </w:rPr>
            </w:pPr>
            <w:r>
              <w:rPr>
                <w:rFonts w:hint="eastAsia" w:ascii="Times New Roman" w:hAnsi="Times New Roman" w:cs="Times New Roman"/>
                <w:b w:val="0"/>
                <w:bCs/>
                <w:color w:val="auto"/>
                <w:kern w:val="0"/>
                <w:sz w:val="21"/>
                <w:szCs w:val="21"/>
                <w:highlight w:val="none"/>
                <w:vertAlign w:val="baseline"/>
                <w:lang w:val="en-US" w:eastAsia="zh-CN"/>
              </w:rPr>
              <w:t>8.7</w:t>
            </w:r>
          </w:p>
        </w:tc>
        <w:tc>
          <w:tcPr>
            <w:tcW w:w="1948" w:type="pct"/>
            <w:tcBorders>
              <w:tl2br w:val="nil"/>
              <w:tr2bl w:val="nil"/>
            </w:tcBorders>
            <w:noWrap w:val="0"/>
            <w:vAlign w:val="center"/>
          </w:tcPr>
          <w:p w14:paraId="4CC78FA9">
            <w:pPr>
              <w:pStyle w:val="66"/>
              <w:jc w:val="center"/>
              <w:rPr>
                <w:rFonts w:hint="default" w:ascii="Times New Roman" w:hAnsi="Times New Roman" w:eastAsia="宋体" w:cs="Times New Roman"/>
                <w:b w:val="0"/>
                <w:bCs/>
                <w:color w:val="auto"/>
                <w:kern w:val="0"/>
                <w:sz w:val="21"/>
                <w:szCs w:val="21"/>
                <w:highlight w:val="none"/>
                <w:vertAlign w:val="baseline"/>
                <w:lang w:val="en-US" w:eastAsia="zh-CN"/>
              </w:rPr>
            </w:pPr>
            <w:r>
              <w:rPr>
                <w:rFonts w:hint="eastAsia" w:ascii="Times New Roman" w:hAnsi="Times New Roman" w:cs="Times New Roman"/>
                <w:b w:val="0"/>
                <w:bCs/>
                <w:color w:val="auto"/>
                <w:kern w:val="0"/>
                <w:sz w:val="21"/>
                <w:szCs w:val="21"/>
                <w:highlight w:val="none"/>
                <w:vertAlign w:val="baseline"/>
                <w:lang w:val="en-US" w:eastAsia="zh-CN"/>
              </w:rPr>
              <w:t>巴河国控断面</w:t>
            </w:r>
          </w:p>
        </w:tc>
      </w:tr>
    </w:tbl>
    <w:p w14:paraId="40994AD3">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b/>
          <w:bCs/>
          <w:color w:val="auto"/>
          <w:lang w:val="en-US" w:eastAsia="zh-CN"/>
        </w:rPr>
      </w:pPr>
      <w:r>
        <w:rPr>
          <w:rFonts w:hint="eastAsia"/>
          <w:b/>
          <w:bCs/>
          <w:color w:val="auto"/>
          <w:lang w:val="en-US" w:eastAsia="zh-CN"/>
        </w:rPr>
        <w:t>4、评价时期</w:t>
      </w:r>
    </w:p>
    <w:p w14:paraId="0062FE56">
      <w:pPr>
        <w:bidi w:val="0"/>
        <w:rPr>
          <w:color w:val="auto"/>
        </w:rPr>
      </w:pPr>
      <w:r>
        <w:rPr>
          <w:color w:val="auto"/>
        </w:rPr>
        <w:t>本项目为地表水</w:t>
      </w:r>
      <w:r>
        <w:rPr>
          <w:rFonts w:hint="eastAsia"/>
          <w:color w:val="auto"/>
          <w:lang w:val="en-US" w:eastAsia="zh-CN"/>
        </w:rPr>
        <w:t>二</w:t>
      </w:r>
      <w:r>
        <w:rPr>
          <w:color w:val="auto"/>
        </w:rPr>
        <w:t>级评价，根据导则要求应至少评价枯水期，本次评价时期为</w:t>
      </w:r>
      <w:r>
        <w:rPr>
          <w:rFonts w:hint="eastAsia"/>
          <w:color w:val="auto"/>
          <w:lang w:val="en-US" w:eastAsia="zh-CN"/>
        </w:rPr>
        <w:t>枯水期</w:t>
      </w:r>
      <w:r>
        <w:rPr>
          <w:color w:val="auto"/>
        </w:rPr>
        <w:t>。</w:t>
      </w:r>
    </w:p>
    <w:p w14:paraId="6BF8725D">
      <w:pPr>
        <w:bidi w:val="0"/>
        <w:rPr>
          <w:b/>
          <w:bCs/>
          <w:color w:val="auto"/>
        </w:rPr>
      </w:pPr>
      <w:r>
        <w:rPr>
          <w:rFonts w:hint="eastAsia"/>
          <w:b/>
          <w:bCs/>
          <w:color w:val="auto"/>
          <w:lang w:val="en-US" w:eastAsia="zh-CN"/>
        </w:rPr>
        <w:t>5</w:t>
      </w:r>
      <w:r>
        <w:rPr>
          <w:b/>
          <w:bCs/>
          <w:color w:val="auto"/>
        </w:rPr>
        <w:t>、预测内容</w:t>
      </w:r>
    </w:p>
    <w:p w14:paraId="3519DFB9">
      <w:pPr>
        <w:bidi w:val="0"/>
        <w:rPr>
          <w:color w:val="auto"/>
        </w:rPr>
      </w:pPr>
      <w:r>
        <w:rPr>
          <w:color w:val="auto"/>
        </w:rPr>
        <w:t>预测内容为尾水正常及事故排放对受纳水体</w:t>
      </w:r>
      <w:r>
        <w:rPr>
          <w:rFonts w:hint="eastAsia"/>
          <w:color w:val="auto"/>
          <w:lang w:eastAsia="zh-CN"/>
        </w:rPr>
        <w:t>巴河</w:t>
      </w:r>
      <w:r>
        <w:rPr>
          <w:color w:val="auto"/>
        </w:rPr>
        <w:t>中主要水质指标的影响程度。</w:t>
      </w:r>
    </w:p>
    <w:p w14:paraId="2D2EB7BE">
      <w:pPr>
        <w:bidi w:val="0"/>
        <w:rPr>
          <w:b/>
          <w:bCs/>
          <w:color w:val="auto"/>
        </w:rPr>
      </w:pPr>
      <w:r>
        <w:rPr>
          <w:rFonts w:hint="eastAsia"/>
          <w:b/>
          <w:bCs/>
          <w:color w:val="auto"/>
          <w:lang w:val="en-US" w:eastAsia="zh-CN"/>
        </w:rPr>
        <w:t>6</w:t>
      </w:r>
      <w:r>
        <w:rPr>
          <w:b/>
          <w:bCs/>
          <w:color w:val="auto"/>
        </w:rPr>
        <w:t>、评价标准</w:t>
      </w:r>
    </w:p>
    <w:p w14:paraId="1BE5B261">
      <w:pPr>
        <w:bidi w:val="0"/>
        <w:rPr>
          <w:color w:val="auto"/>
        </w:rPr>
      </w:pPr>
      <w:r>
        <w:rPr>
          <w:color w:val="auto"/>
        </w:rPr>
        <w:t>执行《地表水环境质量标准》（GB3838-2002）中Ⅲ类标准。</w:t>
      </w:r>
    </w:p>
    <w:p w14:paraId="694D759B">
      <w:pPr>
        <w:pStyle w:val="10"/>
        <w:bidi w:val="0"/>
        <w:rPr>
          <w:color w:val="auto"/>
        </w:rPr>
      </w:pPr>
      <w:r>
        <w:rPr>
          <w:color w:val="auto"/>
        </w:rPr>
        <w:t>预测模型</w:t>
      </w:r>
    </w:p>
    <w:p w14:paraId="79139C87">
      <w:pPr>
        <w:bidi w:val="0"/>
        <w:rPr>
          <w:rFonts w:hint="default"/>
          <w:b/>
          <w:bCs/>
          <w:color w:val="auto"/>
          <w:lang w:val="en-US" w:eastAsia="zh-CN"/>
        </w:rPr>
      </w:pPr>
      <w:r>
        <w:rPr>
          <w:rFonts w:hint="eastAsia"/>
          <w:b/>
          <w:bCs/>
          <w:color w:val="auto"/>
          <w:lang w:val="en-US" w:eastAsia="zh-CN"/>
        </w:rPr>
        <w:t>1、混合过程段</w:t>
      </w:r>
    </w:p>
    <w:p w14:paraId="35560E69">
      <w:pPr>
        <w:bidi w:val="0"/>
        <w:rPr>
          <w:color w:val="auto"/>
        </w:rPr>
      </w:pPr>
      <w:r>
        <w:rPr>
          <w:color w:val="auto"/>
        </w:rPr>
        <w:t>根据调查，本项目拟建排污口下游1</w:t>
      </w:r>
      <w:r>
        <w:rPr>
          <w:rFonts w:hint="eastAsia"/>
          <w:color w:val="auto"/>
          <w:lang w:val="en-US" w:eastAsia="zh-CN"/>
        </w:rPr>
        <w:t>0</w:t>
      </w:r>
      <w:r>
        <w:rPr>
          <w:color w:val="auto"/>
        </w:rPr>
        <w:t>km范围内不涉及城市（镇）集中式地表水饮用水水源取水口分布。预测范围内河段可以分为充分混合段、混合过程段。充分混合段是指污染物浓度在断面上分布均匀的河段，混合过程段是指排放口下游达到充分混合以前的河段。</w:t>
      </w:r>
    </w:p>
    <w:p w14:paraId="0CDE2A46">
      <w:pPr>
        <w:bidi w:val="0"/>
        <w:rPr>
          <w:color w:val="auto"/>
        </w:rPr>
      </w:pPr>
      <w:r>
        <w:rPr>
          <w:color w:val="auto"/>
        </w:rPr>
        <w:t>根据《</w:t>
      </w:r>
      <w:r>
        <w:rPr>
          <w:rFonts w:hint="eastAsia"/>
          <w:color w:val="auto"/>
          <w:lang w:eastAsia="zh-CN"/>
        </w:rPr>
        <w:t>环境影响评价技术导则 地表水环境</w:t>
      </w:r>
      <w:r>
        <w:rPr>
          <w:color w:val="auto"/>
        </w:rPr>
        <w:t>》（HJ2.3-2018）附录E.1，混合过程段长度可由下式进行估算：</w:t>
      </w:r>
    </w:p>
    <w:p w14:paraId="4AF17CF6">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color w:val="auto"/>
          <w:position w:val="-42"/>
        </w:rPr>
      </w:pPr>
      <w:r>
        <w:rPr>
          <w:color w:val="auto"/>
          <w:position w:val="-42"/>
        </w:rPr>
        <w:object>
          <v:shape id="_x0000_i1033" o:spt="75" type="#_x0000_t75" style="height:45.1pt;width:204.1pt;" o:ole="t" filled="f" o:preferrelative="t" stroked="f" coordsize="21600,21600">
            <v:path/>
            <v:fill on="f" focussize="0,0"/>
            <v:stroke on="f" joinstyle="miter"/>
            <v:imagedata r:id="rId91" o:title=""/>
            <o:lock v:ext="edit" aspectratio="t"/>
            <w10:wrap type="none"/>
            <w10:anchorlock/>
          </v:shape>
          <o:OLEObject Type="Embed" ProgID="Equation.3" ShapeID="_x0000_i1033" DrawAspect="Content" ObjectID="_1468075733" r:id="rId90">
            <o:LockedField>false</o:LockedField>
          </o:OLEObject>
        </w:object>
      </w:r>
    </w:p>
    <w:p w14:paraId="703F3463">
      <w:pPr>
        <w:pageBreakBefore w:val="0"/>
        <w:wordWrap/>
        <w:autoSpaceDE w:val="0"/>
        <w:autoSpaceDN w:val="0"/>
        <w:bidi w:val="0"/>
        <w:adjustRightInd/>
        <w:snapToGrid/>
        <w:ind w:firstLine="480"/>
        <w:rPr>
          <w:color w:val="auto"/>
        </w:rPr>
      </w:pPr>
      <w:r>
        <w:rPr>
          <w:color w:val="auto"/>
        </w:rPr>
        <w:t>式中：Lm——混合段长度，m；</w:t>
      </w:r>
    </w:p>
    <w:p w14:paraId="1D2FE58A">
      <w:pPr>
        <w:pageBreakBefore w:val="0"/>
        <w:wordWrap/>
        <w:autoSpaceDE w:val="0"/>
        <w:autoSpaceDN w:val="0"/>
        <w:bidi w:val="0"/>
        <w:adjustRightInd/>
        <w:snapToGrid/>
        <w:ind w:firstLine="480"/>
        <w:rPr>
          <w:color w:val="auto"/>
        </w:rPr>
      </w:pPr>
      <w:r>
        <w:rPr>
          <w:color w:val="auto"/>
        </w:rPr>
        <w:t xml:space="preserve">      B ——水面宽度，m；</w:t>
      </w:r>
    </w:p>
    <w:p w14:paraId="1F273DF2">
      <w:pPr>
        <w:pageBreakBefore w:val="0"/>
        <w:wordWrap/>
        <w:autoSpaceDE w:val="0"/>
        <w:autoSpaceDN w:val="0"/>
        <w:bidi w:val="0"/>
        <w:adjustRightInd/>
        <w:snapToGrid/>
        <w:ind w:firstLine="480"/>
        <w:rPr>
          <w:color w:val="auto"/>
        </w:rPr>
      </w:pPr>
      <w:r>
        <w:rPr>
          <w:color w:val="auto"/>
        </w:rPr>
        <w:t xml:space="preserve">      a ——排放口到岸边的距离，m；</w:t>
      </w:r>
    </w:p>
    <w:p w14:paraId="63CFFB56">
      <w:pPr>
        <w:pageBreakBefore w:val="0"/>
        <w:wordWrap/>
        <w:autoSpaceDE w:val="0"/>
        <w:autoSpaceDN w:val="0"/>
        <w:bidi w:val="0"/>
        <w:adjustRightInd/>
        <w:snapToGrid/>
        <w:ind w:firstLine="480"/>
        <w:rPr>
          <w:color w:val="auto"/>
        </w:rPr>
      </w:pPr>
      <w:r>
        <w:rPr>
          <w:color w:val="auto"/>
        </w:rPr>
        <w:t xml:space="preserve">      u ——断面流速，m/s；</w:t>
      </w:r>
    </w:p>
    <w:p w14:paraId="61C235A2">
      <w:pPr>
        <w:pageBreakBefore w:val="0"/>
        <w:wordWrap/>
        <w:autoSpaceDE w:val="0"/>
        <w:autoSpaceDN w:val="0"/>
        <w:bidi w:val="0"/>
        <w:adjustRightInd/>
        <w:snapToGrid/>
        <w:ind w:firstLine="480"/>
        <w:rPr>
          <w:color w:val="auto"/>
        </w:rPr>
      </w:pPr>
      <w:r>
        <w:rPr>
          <w:color w:val="auto"/>
        </w:rPr>
        <w:t xml:space="preserve">      Ey——污染物横向扩散系数，</w:t>
      </w:r>
      <w:r>
        <w:rPr>
          <w:rFonts w:hint="eastAsia"/>
          <w:color w:val="auto"/>
          <w:lang w:eastAsia="zh-CN"/>
        </w:rPr>
        <w:t>m²</w:t>
      </w:r>
      <w:r>
        <w:rPr>
          <w:color w:val="auto"/>
        </w:rPr>
        <w:t>/s。</w:t>
      </w:r>
    </w:p>
    <w:p w14:paraId="7960F324">
      <w:pPr>
        <w:widowControl/>
        <w:snapToGrid w:val="0"/>
        <w:ind w:firstLine="480"/>
        <w:rPr>
          <w:color w:val="auto"/>
        </w:rPr>
      </w:pPr>
      <w:r>
        <w:rPr>
          <w:color w:val="auto"/>
        </w:rPr>
        <w:t>Ey值采用泰勒法。即</w:t>
      </w:r>
    </w:p>
    <w:p w14:paraId="676EAA6C">
      <w:pPr>
        <w:snapToGrid w:val="0"/>
        <w:ind w:firstLine="2400" w:firstLineChars="1000"/>
        <w:rPr>
          <w:color w:val="auto"/>
        </w:rPr>
      </w:pPr>
      <w:r>
        <w:rPr>
          <w:color w:val="auto"/>
        </w:rPr>
        <w:t>E</w:t>
      </w:r>
      <w:r>
        <w:rPr>
          <w:color w:val="auto"/>
          <w:vertAlign w:val="subscript"/>
        </w:rPr>
        <w:t>y</w:t>
      </w:r>
      <w:r>
        <w:rPr>
          <w:color w:val="auto"/>
        </w:rPr>
        <w:t>=</w:t>
      </w:r>
      <w:r>
        <w:rPr>
          <w:rFonts w:hint="eastAsia"/>
          <w:color w:val="auto"/>
          <w:lang w:eastAsia="zh-CN"/>
        </w:rPr>
        <w:t>（</w:t>
      </w:r>
      <w:r>
        <w:rPr>
          <w:color w:val="auto"/>
        </w:rPr>
        <w:t>0.058H+0.0065B</w:t>
      </w:r>
      <w:r>
        <w:rPr>
          <w:rFonts w:hint="eastAsia"/>
          <w:color w:val="auto"/>
          <w:lang w:eastAsia="zh-CN"/>
        </w:rPr>
        <w:t>）（</w:t>
      </w:r>
      <w:r>
        <w:rPr>
          <w:color w:val="auto"/>
        </w:rPr>
        <w:t>gHI</w:t>
      </w:r>
      <w:r>
        <w:rPr>
          <w:rFonts w:hint="eastAsia"/>
          <w:color w:val="auto"/>
          <w:lang w:eastAsia="zh-CN"/>
        </w:rPr>
        <w:t>）</w:t>
      </w:r>
      <w:r>
        <w:rPr>
          <w:color w:val="auto"/>
          <w:vertAlign w:val="superscript"/>
        </w:rPr>
        <w:t>1/2</w:t>
      </w:r>
    </w:p>
    <w:p w14:paraId="68DCE66C">
      <w:pPr>
        <w:autoSpaceDE w:val="0"/>
        <w:autoSpaceDN w:val="0"/>
        <w:snapToGrid w:val="0"/>
        <w:ind w:firstLine="480"/>
        <w:rPr>
          <w:color w:val="auto"/>
        </w:rPr>
      </w:pPr>
      <w:r>
        <w:rPr>
          <w:color w:val="auto"/>
        </w:rPr>
        <w:t>式中：g——重力加速度，m/s</w:t>
      </w:r>
      <w:r>
        <w:rPr>
          <w:color w:val="auto"/>
          <w:vertAlign w:val="superscript"/>
        </w:rPr>
        <w:t>2</w:t>
      </w:r>
    </w:p>
    <w:p w14:paraId="2F9F4028">
      <w:pPr>
        <w:autoSpaceDE w:val="0"/>
        <w:autoSpaceDN w:val="0"/>
        <w:snapToGrid w:val="0"/>
        <w:ind w:firstLine="1200" w:firstLineChars="500"/>
        <w:rPr>
          <w:color w:val="auto"/>
        </w:rPr>
      </w:pPr>
      <w:r>
        <w:rPr>
          <w:color w:val="auto"/>
        </w:rPr>
        <w:t>I——河流平均比降，m/m；</w:t>
      </w:r>
    </w:p>
    <w:p w14:paraId="26447BB0">
      <w:pPr>
        <w:autoSpaceDE w:val="0"/>
        <w:autoSpaceDN w:val="0"/>
        <w:snapToGrid w:val="0"/>
        <w:ind w:firstLine="480"/>
        <w:rPr>
          <w:color w:val="auto"/>
        </w:rPr>
      </w:pPr>
      <w:r>
        <w:rPr>
          <w:color w:val="auto"/>
        </w:rPr>
        <w:t xml:space="preserve">      H——平均水深，m；</w:t>
      </w:r>
    </w:p>
    <w:p w14:paraId="31AEE3FB">
      <w:pPr>
        <w:autoSpaceDE w:val="0"/>
        <w:autoSpaceDN w:val="0"/>
        <w:snapToGrid w:val="0"/>
        <w:ind w:firstLine="1200" w:firstLineChars="500"/>
        <w:rPr>
          <w:color w:val="auto"/>
        </w:rPr>
      </w:pPr>
      <w:r>
        <w:rPr>
          <w:color w:val="auto"/>
          <w:kern w:val="0"/>
        </w:rPr>
        <w:t>B——平均河流宽度，m；</w:t>
      </w:r>
    </w:p>
    <w:p w14:paraId="01FE6C3B">
      <w:pPr>
        <w:bidi w:val="0"/>
        <w:rPr>
          <w:color w:val="auto"/>
        </w:rPr>
      </w:pPr>
      <w:r>
        <w:rPr>
          <w:rFonts w:hint="eastAsia"/>
          <w:color w:val="auto"/>
          <w:lang w:val="en-US" w:eastAsia="zh-CN"/>
        </w:rPr>
        <w:t>本项目</w:t>
      </w:r>
      <w:r>
        <w:rPr>
          <w:color w:val="auto"/>
        </w:rPr>
        <w:t>尾水经</w:t>
      </w:r>
      <w:r>
        <w:rPr>
          <w:rFonts w:hint="eastAsia"/>
          <w:color w:val="auto"/>
          <w:lang w:val="en-US" w:eastAsia="zh-CN"/>
        </w:rPr>
        <w:t>管道</w:t>
      </w:r>
      <w:r>
        <w:rPr>
          <w:color w:val="auto"/>
        </w:rPr>
        <w:t>排入</w:t>
      </w:r>
      <w:r>
        <w:rPr>
          <w:rFonts w:hint="eastAsia"/>
          <w:color w:val="auto"/>
          <w:lang w:eastAsia="zh-CN"/>
        </w:rPr>
        <w:t>巴河</w:t>
      </w:r>
      <w:r>
        <w:rPr>
          <w:color w:val="auto"/>
        </w:rPr>
        <w:t>，属岸边点源排放，即a=0，计算参数和完全混合所需长度计算结果见下表。</w:t>
      </w:r>
    </w:p>
    <w:p w14:paraId="621F197E">
      <w:pPr>
        <w:pStyle w:val="19"/>
        <w:numPr>
          <w:ilvl w:val="0"/>
          <w:numId w:val="31"/>
        </w:numPr>
        <w:bidi w:val="0"/>
        <w:ind w:left="1440" w:leftChars="0" w:firstLine="0" w:firstLineChars="0"/>
        <w:rPr>
          <w:color w:val="auto"/>
        </w:rPr>
      </w:pPr>
      <w:r>
        <w:rPr>
          <w:color w:val="auto"/>
        </w:rPr>
        <w:t>尾水与河流水体完全混合所需长度计算参数选取</w:t>
      </w:r>
    </w:p>
    <w:tbl>
      <w:tblPr>
        <w:tblStyle w:val="53"/>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539"/>
        <w:gridCol w:w="5402"/>
      </w:tblGrid>
      <w:tr w14:paraId="29485E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9" w:type="pct"/>
            <w:vMerge w:val="restart"/>
            <w:tcBorders>
              <w:tl2br w:val="nil"/>
              <w:tr2bl w:val="nil"/>
            </w:tcBorders>
            <w:vAlign w:val="center"/>
          </w:tcPr>
          <w:p w14:paraId="6DE8A163">
            <w:pPr>
              <w:pStyle w:val="16"/>
              <w:bidi w:val="0"/>
              <w:rPr>
                <w:b/>
                <w:bCs/>
                <w:color w:val="auto"/>
              </w:rPr>
            </w:pPr>
            <w:r>
              <w:rPr>
                <w:b/>
                <w:bCs/>
                <w:color w:val="auto"/>
              </w:rPr>
              <w:t>参数</w:t>
            </w:r>
          </w:p>
        </w:tc>
        <w:tc>
          <w:tcPr>
            <w:tcW w:w="3020" w:type="pct"/>
            <w:tcBorders>
              <w:tl2br w:val="nil"/>
              <w:tr2bl w:val="nil"/>
            </w:tcBorders>
            <w:vAlign w:val="center"/>
          </w:tcPr>
          <w:p w14:paraId="7FB87D31">
            <w:pPr>
              <w:pStyle w:val="16"/>
              <w:bidi w:val="0"/>
              <w:rPr>
                <w:b/>
                <w:bCs/>
                <w:color w:val="auto"/>
              </w:rPr>
            </w:pPr>
            <w:r>
              <w:rPr>
                <w:b/>
                <w:bCs/>
                <w:color w:val="auto"/>
              </w:rPr>
              <w:t>取值</w:t>
            </w:r>
          </w:p>
        </w:tc>
      </w:tr>
      <w:tr w14:paraId="5BFE57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9" w:type="pct"/>
            <w:vMerge w:val="continue"/>
            <w:tcBorders>
              <w:tl2br w:val="nil"/>
              <w:tr2bl w:val="nil"/>
            </w:tcBorders>
            <w:vAlign w:val="center"/>
          </w:tcPr>
          <w:p w14:paraId="24668E04">
            <w:pPr>
              <w:pStyle w:val="16"/>
              <w:bidi w:val="0"/>
              <w:rPr>
                <w:b/>
                <w:bCs/>
                <w:color w:val="auto"/>
              </w:rPr>
            </w:pPr>
          </w:p>
        </w:tc>
        <w:tc>
          <w:tcPr>
            <w:tcW w:w="3020" w:type="pct"/>
            <w:tcBorders>
              <w:tl2br w:val="nil"/>
              <w:tr2bl w:val="nil"/>
            </w:tcBorders>
            <w:vAlign w:val="center"/>
          </w:tcPr>
          <w:p w14:paraId="621A0BF6">
            <w:pPr>
              <w:pStyle w:val="16"/>
              <w:bidi w:val="0"/>
              <w:rPr>
                <w:rFonts w:hint="default" w:eastAsia="宋体"/>
                <w:b/>
                <w:bCs/>
                <w:color w:val="auto"/>
                <w:lang w:val="en-US" w:eastAsia="zh-CN"/>
              </w:rPr>
            </w:pPr>
            <w:r>
              <w:rPr>
                <w:rFonts w:hint="eastAsia"/>
                <w:b/>
                <w:bCs/>
                <w:color w:val="auto"/>
                <w:lang w:val="en-US" w:eastAsia="zh-CN"/>
              </w:rPr>
              <w:t>枯水期</w:t>
            </w:r>
          </w:p>
        </w:tc>
      </w:tr>
      <w:tr w14:paraId="31B6E1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9" w:type="pct"/>
            <w:tcBorders>
              <w:tl2br w:val="nil"/>
              <w:tr2bl w:val="nil"/>
            </w:tcBorders>
            <w:vAlign w:val="center"/>
          </w:tcPr>
          <w:p w14:paraId="745A77C9">
            <w:pPr>
              <w:pStyle w:val="16"/>
              <w:bidi w:val="0"/>
              <w:rPr>
                <w:color w:val="auto"/>
              </w:rPr>
            </w:pPr>
            <w:r>
              <w:rPr>
                <w:color w:val="auto"/>
              </w:rPr>
              <w:t>河宽B（m）</w:t>
            </w:r>
          </w:p>
        </w:tc>
        <w:tc>
          <w:tcPr>
            <w:tcW w:w="3020" w:type="pct"/>
            <w:tcBorders>
              <w:tl2br w:val="nil"/>
              <w:tr2bl w:val="nil"/>
            </w:tcBorders>
            <w:vAlign w:val="center"/>
          </w:tcPr>
          <w:p w14:paraId="1ECF604F">
            <w:pPr>
              <w:pStyle w:val="16"/>
              <w:bidi w:val="0"/>
              <w:rPr>
                <w:rFonts w:hint="eastAsia"/>
                <w:color w:val="auto"/>
                <w:lang w:val="en-US" w:eastAsia="zh-CN"/>
              </w:rPr>
            </w:pPr>
            <w:r>
              <w:rPr>
                <w:rFonts w:hint="eastAsia"/>
                <w:color w:val="auto"/>
                <w:lang w:val="en-US" w:eastAsia="zh-CN"/>
              </w:rPr>
              <w:t>120</w:t>
            </w:r>
          </w:p>
        </w:tc>
      </w:tr>
      <w:tr w14:paraId="4FFE91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9" w:type="pct"/>
            <w:tcBorders>
              <w:tl2br w:val="nil"/>
              <w:tr2bl w:val="nil"/>
            </w:tcBorders>
            <w:vAlign w:val="center"/>
          </w:tcPr>
          <w:p w14:paraId="76F858D7">
            <w:pPr>
              <w:pStyle w:val="16"/>
              <w:bidi w:val="0"/>
              <w:rPr>
                <w:color w:val="auto"/>
              </w:rPr>
            </w:pPr>
            <w:r>
              <w:rPr>
                <w:color w:val="auto"/>
              </w:rPr>
              <w:t>岸边距离a（m）</w:t>
            </w:r>
          </w:p>
        </w:tc>
        <w:tc>
          <w:tcPr>
            <w:tcW w:w="3020" w:type="pct"/>
            <w:tcBorders>
              <w:tl2br w:val="nil"/>
              <w:tr2bl w:val="nil"/>
            </w:tcBorders>
            <w:vAlign w:val="center"/>
          </w:tcPr>
          <w:p w14:paraId="432226B2">
            <w:pPr>
              <w:pStyle w:val="16"/>
              <w:bidi w:val="0"/>
              <w:rPr>
                <w:color w:val="auto"/>
              </w:rPr>
            </w:pPr>
            <w:r>
              <w:rPr>
                <w:color w:val="auto"/>
              </w:rPr>
              <w:t>0</w:t>
            </w:r>
          </w:p>
        </w:tc>
      </w:tr>
      <w:tr w14:paraId="79832A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9" w:type="pct"/>
            <w:tcBorders>
              <w:tl2br w:val="nil"/>
              <w:tr2bl w:val="nil"/>
            </w:tcBorders>
            <w:vAlign w:val="center"/>
          </w:tcPr>
          <w:p w14:paraId="36088547">
            <w:pPr>
              <w:pStyle w:val="16"/>
              <w:bidi w:val="0"/>
              <w:rPr>
                <w:color w:val="auto"/>
              </w:rPr>
            </w:pPr>
            <w:r>
              <w:rPr>
                <w:color w:val="auto"/>
              </w:rPr>
              <w:t>流速u（m/s）</w:t>
            </w:r>
          </w:p>
        </w:tc>
        <w:tc>
          <w:tcPr>
            <w:tcW w:w="3020" w:type="pct"/>
            <w:tcBorders>
              <w:tl2br w:val="nil"/>
              <w:tr2bl w:val="nil"/>
            </w:tcBorders>
            <w:vAlign w:val="center"/>
          </w:tcPr>
          <w:p w14:paraId="68F2843E">
            <w:pPr>
              <w:pStyle w:val="16"/>
              <w:bidi w:val="0"/>
              <w:rPr>
                <w:rFonts w:hint="eastAsia"/>
                <w:color w:val="auto"/>
                <w:lang w:val="en-US" w:eastAsia="zh-CN"/>
              </w:rPr>
            </w:pPr>
            <w:r>
              <w:rPr>
                <w:rFonts w:hint="eastAsia"/>
                <w:color w:val="auto"/>
                <w:lang w:val="en-US" w:eastAsia="zh-CN"/>
              </w:rPr>
              <w:t>0.005</w:t>
            </w:r>
          </w:p>
        </w:tc>
      </w:tr>
      <w:tr w14:paraId="4619F1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9" w:type="pct"/>
            <w:tcBorders>
              <w:tl2br w:val="nil"/>
              <w:tr2bl w:val="nil"/>
            </w:tcBorders>
            <w:vAlign w:val="center"/>
          </w:tcPr>
          <w:p w14:paraId="2CD49064">
            <w:pPr>
              <w:pStyle w:val="16"/>
              <w:bidi w:val="0"/>
              <w:rPr>
                <w:color w:val="auto"/>
              </w:rPr>
            </w:pPr>
            <w:r>
              <w:rPr>
                <w:color w:val="auto"/>
              </w:rPr>
              <w:t>水深H（m）</w:t>
            </w:r>
          </w:p>
        </w:tc>
        <w:tc>
          <w:tcPr>
            <w:tcW w:w="3020" w:type="pct"/>
            <w:tcBorders>
              <w:tl2br w:val="nil"/>
              <w:tr2bl w:val="nil"/>
            </w:tcBorders>
            <w:vAlign w:val="center"/>
          </w:tcPr>
          <w:p w14:paraId="3DE05D28">
            <w:pPr>
              <w:pStyle w:val="16"/>
              <w:bidi w:val="0"/>
              <w:rPr>
                <w:rFonts w:hint="eastAsia"/>
                <w:color w:val="auto"/>
                <w:lang w:val="en-US" w:eastAsia="zh-CN"/>
              </w:rPr>
            </w:pPr>
            <w:r>
              <w:rPr>
                <w:rFonts w:hint="eastAsia"/>
                <w:color w:val="auto"/>
                <w:lang w:val="en-US" w:eastAsia="zh-CN"/>
              </w:rPr>
              <w:t>12</w:t>
            </w:r>
          </w:p>
        </w:tc>
      </w:tr>
      <w:tr w14:paraId="2413F6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9" w:type="pct"/>
            <w:tcBorders>
              <w:tl2br w:val="nil"/>
              <w:tr2bl w:val="nil"/>
            </w:tcBorders>
            <w:vAlign w:val="center"/>
          </w:tcPr>
          <w:p w14:paraId="025EAE03">
            <w:pPr>
              <w:pStyle w:val="16"/>
              <w:bidi w:val="0"/>
              <w:rPr>
                <w:color w:val="auto"/>
              </w:rPr>
            </w:pPr>
            <w:r>
              <w:rPr>
                <w:color w:val="auto"/>
              </w:rPr>
              <w:t>河道比降I（‰）</w:t>
            </w:r>
          </w:p>
        </w:tc>
        <w:tc>
          <w:tcPr>
            <w:tcW w:w="3020" w:type="pct"/>
            <w:tcBorders>
              <w:tl2br w:val="nil"/>
              <w:tr2bl w:val="nil"/>
            </w:tcBorders>
            <w:vAlign w:val="center"/>
          </w:tcPr>
          <w:p w14:paraId="73BBDB7C">
            <w:pPr>
              <w:pStyle w:val="16"/>
              <w:bidi w:val="0"/>
              <w:rPr>
                <w:rFonts w:hint="eastAsia"/>
                <w:color w:val="auto"/>
                <w:lang w:val="en-US" w:eastAsia="zh-CN"/>
              </w:rPr>
            </w:pPr>
            <w:r>
              <w:rPr>
                <w:rFonts w:hint="eastAsia"/>
                <w:color w:val="auto"/>
                <w:lang w:val="en-US" w:eastAsia="zh-CN"/>
              </w:rPr>
              <w:t>0.42</w:t>
            </w:r>
          </w:p>
        </w:tc>
      </w:tr>
      <w:tr w14:paraId="0DC299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9" w:type="pct"/>
            <w:tcBorders>
              <w:tl2br w:val="nil"/>
              <w:tr2bl w:val="nil"/>
            </w:tcBorders>
            <w:vAlign w:val="center"/>
          </w:tcPr>
          <w:p w14:paraId="23AEE807">
            <w:pPr>
              <w:pStyle w:val="16"/>
              <w:bidi w:val="0"/>
              <w:rPr>
                <w:color w:val="auto"/>
              </w:rPr>
            </w:pPr>
            <w:r>
              <w:rPr>
                <w:color w:val="auto"/>
              </w:rPr>
              <w:t>重力加速度g（m/s</w:t>
            </w:r>
            <w:r>
              <w:rPr>
                <w:color w:val="auto"/>
                <w:vertAlign w:val="superscript"/>
              </w:rPr>
              <w:t>2</w:t>
            </w:r>
            <w:r>
              <w:rPr>
                <w:color w:val="auto"/>
              </w:rPr>
              <w:t>）</w:t>
            </w:r>
          </w:p>
        </w:tc>
        <w:tc>
          <w:tcPr>
            <w:tcW w:w="3020" w:type="pct"/>
            <w:tcBorders>
              <w:tl2br w:val="nil"/>
              <w:tr2bl w:val="nil"/>
            </w:tcBorders>
            <w:vAlign w:val="center"/>
          </w:tcPr>
          <w:p w14:paraId="2E450B2F">
            <w:pPr>
              <w:pStyle w:val="16"/>
              <w:bidi w:val="0"/>
              <w:rPr>
                <w:color w:val="auto"/>
              </w:rPr>
            </w:pPr>
            <w:r>
              <w:rPr>
                <w:color w:val="auto"/>
              </w:rPr>
              <w:t>9.81</w:t>
            </w:r>
          </w:p>
        </w:tc>
      </w:tr>
      <w:tr w14:paraId="376FC0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2"/>
            <w:tcBorders>
              <w:tl2br w:val="nil"/>
              <w:tr2bl w:val="nil"/>
            </w:tcBorders>
            <w:vAlign w:val="center"/>
          </w:tcPr>
          <w:p w14:paraId="62B6D77C">
            <w:pPr>
              <w:pStyle w:val="16"/>
              <w:bidi w:val="0"/>
              <w:rPr>
                <w:color w:val="auto"/>
              </w:rPr>
            </w:pPr>
            <w:r>
              <w:rPr>
                <w:color w:val="auto"/>
              </w:rPr>
              <w:t>计算结果</w:t>
            </w:r>
          </w:p>
        </w:tc>
      </w:tr>
      <w:tr w14:paraId="236F60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9" w:type="pct"/>
            <w:tcBorders>
              <w:tl2br w:val="nil"/>
              <w:tr2bl w:val="nil"/>
            </w:tcBorders>
            <w:vAlign w:val="center"/>
          </w:tcPr>
          <w:p w14:paraId="6A56526C">
            <w:pPr>
              <w:pStyle w:val="16"/>
              <w:bidi w:val="0"/>
              <w:rPr>
                <w:color w:val="auto"/>
              </w:rPr>
            </w:pPr>
            <w:r>
              <w:rPr>
                <w:color w:val="auto"/>
              </w:rPr>
              <w:t>混合所需长度L（m）</w:t>
            </w:r>
          </w:p>
        </w:tc>
        <w:tc>
          <w:tcPr>
            <w:tcW w:w="3020" w:type="pct"/>
            <w:tcBorders>
              <w:tl2br w:val="nil"/>
              <w:tr2bl w:val="nil"/>
            </w:tcBorders>
            <w:vAlign w:val="center"/>
          </w:tcPr>
          <w:p w14:paraId="2221D090">
            <w:pPr>
              <w:pStyle w:val="16"/>
              <w:bidi w:val="0"/>
              <w:rPr>
                <w:rFonts w:hint="eastAsia"/>
                <w:color w:val="auto"/>
                <w:lang w:val="en-US" w:eastAsia="zh-CN"/>
              </w:rPr>
            </w:pPr>
            <w:r>
              <w:rPr>
                <w:rFonts w:hint="eastAsia"/>
                <w:color w:val="auto"/>
                <w:lang w:val="en-US" w:eastAsia="zh-CN"/>
              </w:rPr>
              <w:t>73</w:t>
            </w:r>
          </w:p>
        </w:tc>
      </w:tr>
    </w:tbl>
    <w:p w14:paraId="541DBA79">
      <w:pPr>
        <w:keepNext w:val="0"/>
        <w:keepLines w:val="0"/>
        <w:pageBreakBefore w:val="0"/>
        <w:widowControl w:val="0"/>
        <w:kinsoku/>
        <w:wordWrap/>
        <w:overflowPunct/>
        <w:topLinePunct w:val="0"/>
        <w:autoSpaceDE/>
        <w:autoSpaceDN/>
        <w:bidi w:val="0"/>
        <w:adjustRightInd/>
        <w:snapToGrid/>
        <w:spacing w:before="157" w:beforeLines="50"/>
        <w:textAlignment w:val="auto"/>
        <w:rPr>
          <w:color w:val="auto"/>
        </w:rPr>
      </w:pPr>
      <w:r>
        <w:rPr>
          <w:color w:val="auto"/>
        </w:rPr>
        <w:t>经计算，污水处理厂处理后尾水在</w:t>
      </w:r>
      <w:r>
        <w:rPr>
          <w:rFonts w:hint="eastAsia"/>
          <w:color w:val="auto"/>
          <w:lang w:eastAsia="zh-CN"/>
        </w:rPr>
        <w:t>巴河</w:t>
      </w:r>
      <w:r>
        <w:rPr>
          <w:color w:val="auto"/>
        </w:rPr>
        <w:t>枯水期的水文条件下，在排污口下游约</w:t>
      </w:r>
      <w:r>
        <w:rPr>
          <w:rFonts w:hint="eastAsia"/>
          <w:color w:val="auto"/>
          <w:lang w:val="en-US" w:eastAsia="zh-CN"/>
        </w:rPr>
        <w:t>73</w:t>
      </w:r>
      <w:r>
        <w:rPr>
          <w:color w:val="auto"/>
        </w:rPr>
        <w:t>m以下为完全混合段，以内为混合过程段。</w:t>
      </w:r>
    </w:p>
    <w:p w14:paraId="2CD9E69B">
      <w:pPr>
        <w:bidi w:val="0"/>
        <w:rPr>
          <w:rFonts w:hint="default"/>
          <w:b/>
          <w:bCs/>
          <w:color w:val="auto"/>
          <w:lang w:val="en-US" w:eastAsia="zh-CN"/>
        </w:rPr>
      </w:pPr>
      <w:r>
        <w:rPr>
          <w:rFonts w:hint="eastAsia"/>
          <w:b/>
          <w:bCs/>
          <w:color w:val="auto"/>
          <w:lang w:val="en-US" w:eastAsia="zh-CN"/>
        </w:rPr>
        <w:t>2、预测模型</w:t>
      </w:r>
    </w:p>
    <w:p w14:paraId="3E457BC8">
      <w:pPr>
        <w:bidi w:val="0"/>
        <w:rPr>
          <w:rFonts w:hint="eastAsia"/>
          <w:color w:val="auto"/>
          <w:lang w:eastAsia="zh-CN"/>
        </w:rPr>
      </w:pPr>
      <w:r>
        <w:rPr>
          <w:rFonts w:hint="eastAsia"/>
          <w:color w:val="auto"/>
          <w:lang w:eastAsia="zh-CN"/>
        </w:rPr>
        <w:t>根据《环境影响评价技术导则</w:t>
      </w:r>
      <w:r>
        <w:rPr>
          <w:rFonts w:hint="eastAsia"/>
          <w:color w:val="auto"/>
          <w:lang w:val="en-US" w:eastAsia="zh-CN"/>
        </w:rPr>
        <w:t xml:space="preserve"> </w:t>
      </w:r>
      <w:r>
        <w:rPr>
          <w:rFonts w:hint="eastAsia"/>
          <w:color w:val="auto"/>
          <w:lang w:eastAsia="zh-CN"/>
        </w:rPr>
        <w:t>地表水环境》（HJ2.3-2018）中7.6预测模型中7.6.1地表水环境影响预测模型包括数学模型、物理模型。地表水环境影响预测宜选用数学模型。7.6.3.2水动力模型及水质模型。按照时间分为稳态模型与非稳态模型，按照空间分为零维、一维、二维以及三维模型，按照是否需要采用数值离散方法分为解析解模型与数值解模型。</w:t>
      </w:r>
    </w:p>
    <w:p w14:paraId="7CCCF4CE">
      <w:pPr>
        <w:bidi w:val="0"/>
        <w:rPr>
          <w:rFonts w:hint="eastAsia"/>
          <w:color w:val="auto"/>
          <w:lang w:eastAsia="zh-CN"/>
        </w:rPr>
      </w:pPr>
      <w:r>
        <w:rPr>
          <w:rFonts w:hint="eastAsia"/>
          <w:color w:val="auto"/>
          <w:lang w:eastAsia="zh-CN"/>
        </w:rPr>
        <w:t>根据调查：本项目</w:t>
      </w:r>
      <w:r>
        <w:rPr>
          <w:rFonts w:hint="eastAsia"/>
          <w:color w:val="auto"/>
          <w:lang w:val="en-US" w:eastAsia="zh-CN"/>
        </w:rPr>
        <w:t>依托曾口镇污水处理厂已建</w:t>
      </w:r>
      <w:r>
        <w:rPr>
          <w:rFonts w:hint="eastAsia"/>
          <w:color w:val="auto"/>
          <w:lang w:eastAsia="zh-CN"/>
        </w:rPr>
        <w:t>尾水排放口（</w:t>
      </w:r>
      <w:r>
        <w:rPr>
          <w:rFonts w:hint="eastAsia"/>
          <w:color w:val="auto"/>
          <w:lang w:val="en-US" w:eastAsia="zh-CN"/>
        </w:rPr>
        <w:t>坐标：</w:t>
      </w:r>
      <w:r>
        <w:rPr>
          <w:rFonts w:hint="eastAsia" w:cs="Times New Roman"/>
          <w:color w:val="auto"/>
          <w:lang w:val="en-US" w:eastAsia="zh-CN"/>
        </w:rPr>
        <w:t>东经</w:t>
      </w:r>
      <w:r>
        <w:rPr>
          <w:rFonts w:hint="default" w:ascii="Times New Roman" w:hAnsi="Times New Roman" w:cs="Times New Roman"/>
          <w:color w:val="auto"/>
        </w:rPr>
        <w:t>106°53′3.26″</w:t>
      </w:r>
      <w:r>
        <w:rPr>
          <w:rFonts w:hint="eastAsia" w:cs="Times New Roman"/>
          <w:color w:val="auto"/>
          <w:lang w:eastAsia="zh-CN"/>
        </w:rPr>
        <w:t>，</w:t>
      </w:r>
      <w:r>
        <w:rPr>
          <w:rFonts w:hint="eastAsia" w:cs="Times New Roman"/>
          <w:color w:val="auto"/>
          <w:lang w:val="en-US" w:eastAsia="zh-CN"/>
        </w:rPr>
        <w:t>北纬</w:t>
      </w:r>
      <w:r>
        <w:rPr>
          <w:rFonts w:hint="default" w:ascii="Times New Roman" w:hAnsi="Times New Roman" w:cs="Times New Roman"/>
          <w:color w:val="auto"/>
        </w:rPr>
        <w:t>31°45′12.92″</w:t>
      </w:r>
      <w:r>
        <w:rPr>
          <w:rFonts w:hint="eastAsia"/>
          <w:color w:val="auto"/>
          <w:lang w:eastAsia="zh-CN"/>
        </w:rPr>
        <w:t>）直接排入巴河。排污口下游约</w:t>
      </w:r>
      <w:r>
        <w:rPr>
          <w:rFonts w:hint="eastAsia"/>
          <w:color w:val="auto"/>
          <w:lang w:val="en-US" w:eastAsia="zh-CN"/>
        </w:rPr>
        <w:t>8.7</w:t>
      </w:r>
      <w:r>
        <w:rPr>
          <w:rFonts w:hint="eastAsia"/>
          <w:color w:val="auto"/>
          <w:lang w:eastAsia="zh-CN"/>
        </w:rPr>
        <w:t>km处为</w:t>
      </w:r>
      <w:r>
        <w:rPr>
          <w:rFonts w:hint="eastAsia"/>
          <w:color w:val="auto"/>
          <w:lang w:val="en-US" w:eastAsia="zh-CN"/>
        </w:rPr>
        <w:t>巴河国控断面-金碑断面</w:t>
      </w:r>
      <w:r>
        <w:rPr>
          <w:rFonts w:hint="eastAsia"/>
          <w:color w:val="auto"/>
          <w:lang w:eastAsia="zh-CN"/>
        </w:rPr>
        <w:t>（例行监测断面）。</w:t>
      </w:r>
    </w:p>
    <w:p w14:paraId="52E3374E">
      <w:pPr>
        <w:bidi w:val="0"/>
        <w:rPr>
          <w:rFonts w:hint="eastAsia"/>
          <w:color w:val="auto"/>
          <w:lang w:eastAsia="zh-CN"/>
        </w:rPr>
      </w:pPr>
      <w:r>
        <w:rPr>
          <w:rFonts w:hint="eastAsia"/>
          <w:color w:val="auto"/>
          <w:lang w:eastAsia="zh-CN"/>
        </w:rPr>
        <w:t>根据本项目受纳水体情况，评价范围河段弯曲系数约</w:t>
      </w:r>
      <w:r>
        <w:rPr>
          <w:rFonts w:hint="eastAsia"/>
          <w:color w:val="auto"/>
          <w:lang w:val="en-US" w:eastAsia="zh-CN"/>
        </w:rPr>
        <w:t>2.9</w:t>
      </w:r>
      <w:r>
        <w:rPr>
          <w:rFonts w:hint="eastAsia"/>
          <w:color w:val="auto"/>
          <w:lang w:eastAsia="zh-CN"/>
        </w:rPr>
        <w:t>大于1.3视为弯曲河段，本次评价采取分段概化：根据河流流向，排污口至下游</w:t>
      </w:r>
      <w:r>
        <w:rPr>
          <w:rFonts w:hint="eastAsia"/>
          <w:color w:val="auto"/>
          <w:lang w:val="en-US" w:eastAsia="zh-CN"/>
        </w:rPr>
        <w:t>1</w:t>
      </w:r>
      <w:r>
        <w:rPr>
          <w:rFonts w:hint="eastAsia"/>
          <w:color w:val="auto"/>
          <w:lang w:eastAsia="zh-CN"/>
        </w:rPr>
        <w:t>000m河段弯曲系数约1.0</w:t>
      </w:r>
      <w:r>
        <w:rPr>
          <w:rFonts w:hint="eastAsia"/>
          <w:color w:val="auto"/>
          <w:lang w:val="en-US" w:eastAsia="zh-CN"/>
        </w:rPr>
        <w:t>8</w:t>
      </w:r>
      <w:r>
        <w:rPr>
          <w:rFonts w:hint="eastAsia"/>
          <w:color w:val="auto"/>
          <w:lang w:eastAsia="zh-CN"/>
        </w:rPr>
        <w:t>、</w:t>
      </w:r>
      <w:r>
        <w:rPr>
          <w:rFonts w:hint="eastAsia"/>
          <w:color w:val="auto"/>
          <w:lang w:val="en-US" w:eastAsia="zh-CN"/>
        </w:rPr>
        <w:t>1000m至4500m河段弯曲系数约1.177，45</w:t>
      </w:r>
      <w:r>
        <w:rPr>
          <w:rFonts w:hint="eastAsia"/>
          <w:color w:val="auto"/>
          <w:lang w:eastAsia="zh-CN"/>
        </w:rPr>
        <w:t>00m至</w:t>
      </w:r>
      <w:r>
        <w:rPr>
          <w:rFonts w:hint="eastAsia"/>
          <w:color w:val="auto"/>
          <w:lang w:val="en-US" w:eastAsia="zh-CN"/>
        </w:rPr>
        <w:t>87</w:t>
      </w:r>
      <w:r>
        <w:rPr>
          <w:rFonts w:hint="eastAsia"/>
          <w:color w:val="auto"/>
          <w:lang w:eastAsia="zh-CN"/>
        </w:rPr>
        <w:t>00m河段弯曲系数约1.</w:t>
      </w:r>
      <w:r>
        <w:rPr>
          <w:rFonts w:hint="eastAsia"/>
          <w:color w:val="auto"/>
          <w:lang w:val="en-US" w:eastAsia="zh-CN"/>
        </w:rPr>
        <w:t>23</w:t>
      </w:r>
      <w:r>
        <w:rPr>
          <w:rFonts w:hint="eastAsia"/>
          <w:color w:val="auto"/>
          <w:lang w:eastAsia="zh-CN"/>
        </w:rPr>
        <w:t>，均＜1.3，</w:t>
      </w:r>
      <w:r>
        <w:rPr>
          <w:rFonts w:hint="eastAsia"/>
          <w:color w:val="auto"/>
          <w:lang w:val="en-US" w:eastAsia="zh-CN"/>
        </w:rPr>
        <w:t>均</w:t>
      </w:r>
      <w:r>
        <w:rPr>
          <w:rFonts w:hint="eastAsia"/>
          <w:color w:val="auto"/>
          <w:lang w:eastAsia="zh-CN"/>
        </w:rPr>
        <w:t>可概化为平直河段。</w:t>
      </w:r>
    </w:p>
    <w:p w14:paraId="7DC3C6CA">
      <w:pPr>
        <w:spacing w:line="360" w:lineRule="auto"/>
        <w:ind w:firstLine="480" w:firstLineChars="200"/>
        <w:rPr>
          <w:color w:val="auto"/>
          <w:shd w:val="clear" w:color="auto" w:fill="auto"/>
        </w:rPr>
      </w:pPr>
      <w:r>
        <w:rPr>
          <w:color w:val="auto"/>
          <w:sz w:val="24"/>
          <w:shd w:val="clear" w:color="auto" w:fill="auto"/>
        </w:rPr>
        <w:t>本次评价</w:t>
      </w:r>
      <w:r>
        <w:rPr>
          <w:rFonts w:hint="eastAsia"/>
          <w:color w:val="auto"/>
          <w:sz w:val="24"/>
          <w:shd w:val="clear" w:color="auto" w:fill="auto"/>
          <w:lang w:eastAsia="zh-CN"/>
        </w:rPr>
        <w:t>均</w:t>
      </w:r>
      <w:r>
        <w:rPr>
          <w:color w:val="auto"/>
          <w:sz w:val="24"/>
          <w:shd w:val="clear" w:color="auto" w:fill="auto"/>
        </w:rPr>
        <w:t>采取平面二维数学模型-解析法-连续稳定排放公式进行预测（不考虑岸边反射影响的宽浅平直恒定均匀河流，岸边点源稳定排放，浓度分布公式）。</w:t>
      </w:r>
    </w:p>
    <w:p w14:paraId="413AC41E">
      <w:pPr>
        <w:spacing w:line="360" w:lineRule="auto"/>
        <w:ind w:firstLine="482" w:firstLineChars="200"/>
        <w:rPr>
          <w:b/>
          <w:color w:val="auto"/>
          <w:sz w:val="24"/>
        </w:rPr>
      </w:pPr>
      <w:r>
        <w:rPr>
          <w:b/>
          <w:color w:val="auto"/>
          <w:sz w:val="24"/>
        </w:rPr>
        <w:t>平面二维连续稳定排放模型</w:t>
      </w:r>
    </w:p>
    <w:p w14:paraId="020595FF">
      <w:pPr>
        <w:spacing w:line="360" w:lineRule="auto"/>
        <w:ind w:firstLine="480" w:firstLineChars="200"/>
        <w:rPr>
          <w:color w:val="auto"/>
          <w:sz w:val="24"/>
        </w:rPr>
      </w:pPr>
      <w:r>
        <w:rPr>
          <w:color w:val="auto"/>
          <w:sz w:val="24"/>
        </w:rPr>
        <w:t>混合过程段二维连续稳定排放模型：</w:t>
      </w:r>
    </w:p>
    <w:p w14:paraId="1EBD174C">
      <w:pPr>
        <w:jc w:val="center"/>
        <w:rPr>
          <w:color w:val="auto"/>
        </w:rPr>
      </w:pPr>
      <w:r>
        <w:rPr>
          <w:color w:val="auto"/>
          <w:position w:val="-36"/>
        </w:rPr>
        <w:object>
          <v:shape id="_x0000_i1034" o:spt="75" type="#_x0000_t75" style="height:39pt;width:239pt;" o:ole="t" filled="f" o:preferrelative="t" stroked="f" coordsize="21600,21600">
            <v:path/>
            <v:fill on="f" alignshape="1" focussize="0,0"/>
            <v:stroke on="f"/>
            <v:imagedata r:id="rId93" o:title=""/>
            <o:lock v:ext="edit" aspectratio="t"/>
            <w10:wrap type="none"/>
            <w10:anchorlock/>
          </v:shape>
          <o:OLEObject Type="Embed" ProgID="Equation.KSEE3" ShapeID="_x0000_i1034" DrawAspect="Content" ObjectID="_1468075734" r:id="rId92">
            <o:LockedField>false</o:LockedField>
          </o:OLEObject>
        </w:object>
      </w:r>
    </w:p>
    <w:p w14:paraId="556A5FEB">
      <w:pPr>
        <w:spacing w:line="360" w:lineRule="auto"/>
        <w:ind w:firstLine="480" w:firstLineChars="200"/>
        <w:rPr>
          <w:color w:val="auto"/>
          <w:sz w:val="24"/>
        </w:rPr>
      </w:pPr>
      <w:r>
        <w:rPr>
          <w:color w:val="auto"/>
          <w:sz w:val="24"/>
        </w:rPr>
        <w:t>式中：C（x，y）—纵向距离x、横向距离y点的污染物浓度，mg/L；</w:t>
      </w:r>
    </w:p>
    <w:p w14:paraId="2DD07A4C">
      <w:pPr>
        <w:spacing w:line="360" w:lineRule="auto"/>
        <w:ind w:firstLine="480" w:firstLineChars="200"/>
        <w:rPr>
          <w:color w:val="auto"/>
          <w:sz w:val="24"/>
        </w:rPr>
      </w:pPr>
      <w:r>
        <w:rPr>
          <w:color w:val="auto"/>
          <w:sz w:val="24"/>
        </w:rPr>
        <w:t xml:space="preserve">      C</w:t>
      </w:r>
      <w:r>
        <w:rPr>
          <w:color w:val="auto"/>
          <w:sz w:val="24"/>
          <w:vertAlign w:val="subscript"/>
        </w:rPr>
        <w:t>h</w:t>
      </w:r>
      <w:r>
        <w:rPr>
          <w:color w:val="auto"/>
          <w:sz w:val="24"/>
        </w:rPr>
        <w:t>—河流上游污染物浓度，mg/L；</w:t>
      </w:r>
    </w:p>
    <w:p w14:paraId="6DB6AFD3">
      <w:pPr>
        <w:spacing w:line="360" w:lineRule="auto"/>
        <w:ind w:firstLine="480" w:firstLineChars="200"/>
        <w:rPr>
          <w:color w:val="auto"/>
          <w:sz w:val="24"/>
        </w:rPr>
      </w:pPr>
      <w:r>
        <w:rPr>
          <w:color w:val="auto"/>
          <w:sz w:val="24"/>
        </w:rPr>
        <w:t xml:space="preserve">      m—污染物排放速率，g/s；</w:t>
      </w:r>
    </w:p>
    <w:p w14:paraId="53F58991">
      <w:pPr>
        <w:spacing w:line="360" w:lineRule="auto"/>
        <w:ind w:firstLine="480" w:firstLineChars="200"/>
        <w:rPr>
          <w:color w:val="auto"/>
          <w:sz w:val="24"/>
        </w:rPr>
      </w:pPr>
      <w:r>
        <w:rPr>
          <w:color w:val="auto"/>
          <w:sz w:val="24"/>
        </w:rPr>
        <w:t xml:space="preserve">      h—断面水深，m；</w:t>
      </w:r>
    </w:p>
    <w:p w14:paraId="41519CE2">
      <w:pPr>
        <w:spacing w:line="360" w:lineRule="auto"/>
        <w:ind w:firstLine="480" w:firstLineChars="200"/>
        <w:rPr>
          <w:color w:val="auto"/>
          <w:sz w:val="24"/>
        </w:rPr>
      </w:pPr>
      <w:r>
        <w:rPr>
          <w:color w:val="auto"/>
          <w:sz w:val="24"/>
        </w:rPr>
        <w:t xml:space="preserve">      π—圆周率。</w:t>
      </w:r>
    </w:p>
    <w:p w14:paraId="3F5A7324">
      <w:pPr>
        <w:spacing w:line="360" w:lineRule="auto"/>
        <w:ind w:firstLine="480" w:firstLineChars="200"/>
        <w:rPr>
          <w:color w:val="auto"/>
          <w:sz w:val="24"/>
        </w:rPr>
      </w:pPr>
      <w:r>
        <w:rPr>
          <w:color w:val="auto"/>
          <w:sz w:val="24"/>
        </w:rPr>
        <w:t xml:space="preserve">      u—断面流速，m/s；</w:t>
      </w:r>
    </w:p>
    <w:p w14:paraId="752C5B46">
      <w:pPr>
        <w:spacing w:line="360" w:lineRule="auto"/>
        <w:ind w:firstLine="480" w:firstLineChars="200"/>
        <w:rPr>
          <w:color w:val="auto"/>
          <w:sz w:val="24"/>
        </w:rPr>
      </w:pPr>
      <w:r>
        <w:rPr>
          <w:color w:val="auto"/>
          <w:sz w:val="24"/>
        </w:rPr>
        <w:t xml:space="preserve">      x—笛卡尔坐标系X向的坐标，m；</w:t>
      </w:r>
    </w:p>
    <w:p w14:paraId="3517389C">
      <w:pPr>
        <w:spacing w:line="360" w:lineRule="auto"/>
        <w:ind w:firstLine="480" w:firstLineChars="200"/>
        <w:rPr>
          <w:color w:val="auto"/>
          <w:sz w:val="24"/>
        </w:rPr>
      </w:pPr>
      <w:r>
        <w:rPr>
          <w:color w:val="auto"/>
          <w:sz w:val="24"/>
        </w:rPr>
        <w:t xml:space="preserve">      y—笛卡尔坐标系Y向的坐标，m；</w:t>
      </w:r>
    </w:p>
    <w:p w14:paraId="616967D6">
      <w:pPr>
        <w:spacing w:line="360" w:lineRule="auto"/>
        <w:ind w:firstLine="480" w:firstLineChars="200"/>
        <w:rPr>
          <w:color w:val="auto"/>
          <w:sz w:val="24"/>
        </w:rPr>
      </w:pPr>
      <w:r>
        <w:rPr>
          <w:color w:val="auto"/>
          <w:sz w:val="24"/>
        </w:rPr>
        <w:t xml:space="preserve">      k—污染物综合衰减系数，1/s；</w:t>
      </w:r>
    </w:p>
    <w:p w14:paraId="48C00D29">
      <w:pPr>
        <w:spacing w:line="360" w:lineRule="auto"/>
        <w:ind w:firstLine="480" w:firstLineChars="200"/>
        <w:rPr>
          <w:color w:val="auto"/>
          <w:sz w:val="24"/>
        </w:rPr>
      </w:pPr>
      <w:r>
        <w:rPr>
          <w:color w:val="auto"/>
          <w:sz w:val="24"/>
        </w:rPr>
        <w:t xml:space="preserve">      E</w:t>
      </w:r>
      <w:r>
        <w:rPr>
          <w:color w:val="auto"/>
          <w:sz w:val="24"/>
          <w:vertAlign w:val="subscript"/>
        </w:rPr>
        <w:t>y</w:t>
      </w:r>
      <w:r>
        <w:rPr>
          <w:color w:val="auto"/>
          <w:sz w:val="24"/>
        </w:rPr>
        <w:t>—污染物横向扩散系数，</w:t>
      </w:r>
      <w:r>
        <w:rPr>
          <w:rFonts w:hint="eastAsia"/>
          <w:color w:val="auto"/>
          <w:sz w:val="24"/>
          <w:lang w:eastAsia="zh-CN"/>
        </w:rPr>
        <w:t>m²</w:t>
      </w:r>
      <w:r>
        <w:rPr>
          <w:color w:val="auto"/>
          <w:sz w:val="24"/>
        </w:rPr>
        <w:t>/s</w:t>
      </w:r>
    </w:p>
    <w:p w14:paraId="3F6F6BEC">
      <w:pPr>
        <w:spacing w:line="360" w:lineRule="auto"/>
        <w:ind w:firstLine="480" w:firstLineChars="200"/>
        <w:rPr>
          <w:color w:val="auto"/>
          <w:sz w:val="24"/>
        </w:rPr>
      </w:pPr>
      <w:r>
        <w:rPr>
          <w:color w:val="auto"/>
          <w:sz w:val="24"/>
        </w:rPr>
        <w:t>其中，E</w:t>
      </w:r>
      <w:r>
        <w:rPr>
          <w:color w:val="auto"/>
          <w:sz w:val="24"/>
          <w:vertAlign w:val="subscript"/>
        </w:rPr>
        <w:t>y</w:t>
      </w:r>
      <w:r>
        <w:rPr>
          <w:color w:val="auto"/>
          <w:sz w:val="24"/>
        </w:rPr>
        <w:t>采用泰勒（Taylor）法进行计算：</w:t>
      </w:r>
    </w:p>
    <w:p w14:paraId="5A6341C1">
      <w:pPr>
        <w:spacing w:line="360" w:lineRule="auto"/>
        <w:jc w:val="center"/>
        <w:rPr>
          <w:color w:val="auto"/>
          <w:sz w:val="24"/>
        </w:rPr>
      </w:pPr>
      <w:r>
        <w:rPr>
          <w:color w:val="auto"/>
          <w:position w:val="-12"/>
          <w:sz w:val="24"/>
        </w:rPr>
        <w:object>
          <v:shape id="_x0000_i1035" o:spt="75" type="#_x0000_t75" style="height:20pt;width:172pt;" o:ole="t" filled="f" o:preferrelative="t" stroked="f" coordsize="21600,21600">
            <v:path/>
            <v:fill on="f" alignshape="1" focussize="0,0"/>
            <v:stroke on="f"/>
            <v:imagedata r:id="rId95" o:title=""/>
            <o:lock v:ext="edit" aspectratio="t"/>
            <w10:wrap type="none"/>
            <w10:anchorlock/>
          </v:shape>
          <o:OLEObject Type="Embed" ProgID="Equation.KSEE3" ShapeID="_x0000_i1035" DrawAspect="Content" ObjectID="_1468075735" r:id="rId94">
            <o:LockedField>false</o:LockedField>
          </o:OLEObject>
        </w:object>
      </w:r>
    </w:p>
    <w:p w14:paraId="0BEC3C6A">
      <w:pPr>
        <w:spacing w:line="360" w:lineRule="auto"/>
        <w:ind w:firstLine="480" w:firstLineChars="200"/>
        <w:rPr>
          <w:color w:val="auto"/>
          <w:sz w:val="24"/>
        </w:rPr>
      </w:pPr>
      <w:r>
        <w:rPr>
          <w:color w:val="auto"/>
          <w:sz w:val="24"/>
        </w:rPr>
        <w:t>式中：g—重力加速度，9.81m/s</w:t>
      </w:r>
      <w:r>
        <w:rPr>
          <w:color w:val="auto"/>
          <w:sz w:val="24"/>
          <w:vertAlign w:val="superscript"/>
        </w:rPr>
        <w:t>2</w:t>
      </w:r>
      <w:r>
        <w:rPr>
          <w:color w:val="auto"/>
          <w:sz w:val="24"/>
        </w:rPr>
        <w:t>；</w:t>
      </w:r>
    </w:p>
    <w:p w14:paraId="52ABF572">
      <w:pPr>
        <w:spacing w:line="360" w:lineRule="auto"/>
        <w:ind w:firstLine="480" w:firstLineChars="200"/>
        <w:rPr>
          <w:color w:val="auto"/>
          <w:sz w:val="24"/>
        </w:rPr>
      </w:pPr>
      <w:r>
        <w:rPr>
          <w:color w:val="auto"/>
          <w:sz w:val="24"/>
        </w:rPr>
        <w:t xml:space="preserve">      H—平均水深</w:t>
      </w:r>
      <w:r>
        <w:rPr>
          <w:rFonts w:hint="eastAsia"/>
          <w:color w:val="auto"/>
          <w:sz w:val="24"/>
        </w:rPr>
        <w:t>，m</w:t>
      </w:r>
      <w:r>
        <w:rPr>
          <w:color w:val="auto"/>
          <w:sz w:val="24"/>
        </w:rPr>
        <w:t>；</w:t>
      </w:r>
    </w:p>
    <w:p w14:paraId="576576A7">
      <w:pPr>
        <w:spacing w:line="360" w:lineRule="auto"/>
        <w:ind w:firstLine="480" w:firstLineChars="200"/>
        <w:rPr>
          <w:color w:val="auto"/>
          <w:sz w:val="24"/>
        </w:rPr>
      </w:pPr>
      <w:r>
        <w:rPr>
          <w:color w:val="auto"/>
          <w:sz w:val="24"/>
        </w:rPr>
        <w:t xml:space="preserve">      B—水面宽度</w:t>
      </w:r>
      <w:r>
        <w:rPr>
          <w:rFonts w:hint="eastAsia"/>
          <w:color w:val="auto"/>
          <w:sz w:val="24"/>
        </w:rPr>
        <w:t>，m</w:t>
      </w:r>
      <w:r>
        <w:rPr>
          <w:color w:val="auto"/>
          <w:sz w:val="24"/>
        </w:rPr>
        <w:t>；</w:t>
      </w:r>
    </w:p>
    <w:p w14:paraId="77BDD5F6">
      <w:pPr>
        <w:spacing w:line="360" w:lineRule="auto"/>
        <w:rPr>
          <w:b/>
          <w:color w:val="auto"/>
          <w:sz w:val="24"/>
        </w:rPr>
      </w:pPr>
      <w:r>
        <w:rPr>
          <w:color w:val="auto"/>
          <w:sz w:val="24"/>
        </w:rPr>
        <w:t xml:space="preserve">      I—河流坡度</w:t>
      </w:r>
      <w:r>
        <w:rPr>
          <w:rFonts w:hint="eastAsia"/>
          <w:color w:val="auto"/>
          <w:sz w:val="24"/>
        </w:rPr>
        <w:t>，</w:t>
      </w:r>
      <w:r>
        <w:rPr>
          <w:color w:val="auto"/>
          <w:sz w:val="24"/>
        </w:rPr>
        <w:t>‰。</w:t>
      </w:r>
    </w:p>
    <w:p w14:paraId="2DFF4E3B">
      <w:pPr>
        <w:pStyle w:val="10"/>
        <w:bidi w:val="0"/>
        <w:rPr>
          <w:rFonts w:hint="default"/>
          <w:color w:val="auto"/>
          <w:lang w:val="en-US" w:eastAsia="zh-CN"/>
        </w:rPr>
      </w:pPr>
      <w:r>
        <w:rPr>
          <w:rFonts w:hint="eastAsia"/>
          <w:color w:val="auto"/>
          <w:lang w:val="en-US" w:eastAsia="zh-CN"/>
        </w:rPr>
        <w:t>预测参数</w:t>
      </w:r>
    </w:p>
    <w:p w14:paraId="6588CDFD">
      <w:pPr>
        <w:bidi w:val="0"/>
        <w:rPr>
          <w:rFonts w:hint="default"/>
          <w:b/>
          <w:bCs/>
          <w:color w:val="auto"/>
          <w:lang w:val="en-US" w:eastAsia="zh-CN"/>
        </w:rPr>
      </w:pPr>
      <w:r>
        <w:rPr>
          <w:rFonts w:hint="eastAsia"/>
          <w:b/>
          <w:bCs/>
          <w:color w:val="auto"/>
          <w:lang w:val="en-US" w:eastAsia="zh-CN"/>
        </w:rPr>
        <w:t>（1）本项目产排污情况</w:t>
      </w:r>
    </w:p>
    <w:p w14:paraId="5CA3B507">
      <w:pPr>
        <w:bidi w:val="0"/>
        <w:rPr>
          <w:color w:val="auto"/>
        </w:rPr>
      </w:pPr>
      <w:r>
        <w:rPr>
          <w:color w:val="auto"/>
        </w:rPr>
        <w:t>正常情况考虑本项目达标排放的情况；非正常工况</w:t>
      </w:r>
      <w:r>
        <w:rPr>
          <w:rFonts w:hint="eastAsia"/>
          <w:color w:val="auto"/>
          <w:lang w:eastAsia="zh-CN"/>
        </w:rPr>
        <w:t>考虑</w:t>
      </w:r>
      <w:r>
        <w:rPr>
          <w:color w:val="auto"/>
        </w:rPr>
        <w:t>本项目工业污水处理厂发生事故，污染物按进厂浓度计。</w:t>
      </w:r>
    </w:p>
    <w:p w14:paraId="783BC6EB">
      <w:pPr>
        <w:pStyle w:val="19"/>
        <w:numPr>
          <w:ilvl w:val="0"/>
          <w:numId w:val="31"/>
        </w:numPr>
        <w:bidi w:val="0"/>
        <w:ind w:left="1440" w:leftChars="0" w:firstLine="0" w:firstLineChars="0"/>
        <w:rPr>
          <w:rFonts w:hint="default"/>
          <w:color w:val="auto"/>
          <w:lang w:val="en-US" w:eastAsia="zh-CN"/>
        </w:rPr>
      </w:pPr>
      <w:r>
        <w:rPr>
          <w:color w:val="auto"/>
        </w:rPr>
        <w:t>污水处理厂</w:t>
      </w:r>
      <w:r>
        <w:rPr>
          <w:rFonts w:hint="eastAsia"/>
          <w:color w:val="auto"/>
          <w:lang w:val="en-US" w:eastAsia="zh-CN"/>
        </w:rPr>
        <w:t>污染物排放情况</w:t>
      </w:r>
    </w:p>
    <w:tbl>
      <w:tblPr>
        <w:tblStyle w:val="5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15" w:type="dxa"/>
          <w:left w:w="15" w:type="dxa"/>
          <w:bottom w:w="15" w:type="dxa"/>
          <w:right w:w="15" w:type="dxa"/>
        </w:tblCellMar>
      </w:tblPr>
      <w:tblGrid>
        <w:gridCol w:w="1057"/>
        <w:gridCol w:w="617"/>
        <w:gridCol w:w="585"/>
        <w:gridCol w:w="832"/>
        <w:gridCol w:w="585"/>
        <w:gridCol w:w="832"/>
        <w:gridCol w:w="585"/>
        <w:gridCol w:w="832"/>
        <w:gridCol w:w="585"/>
        <w:gridCol w:w="832"/>
        <w:gridCol w:w="585"/>
        <w:gridCol w:w="833"/>
      </w:tblGrid>
      <w:tr w14:paraId="4137DD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0" w:type="auto"/>
            <w:vMerge w:val="restart"/>
            <w:tcBorders>
              <w:tl2br w:val="nil"/>
              <w:tr2bl w:val="nil"/>
            </w:tcBorders>
            <w:noWrap w:val="0"/>
            <w:vAlign w:val="center"/>
          </w:tcPr>
          <w:p w14:paraId="7D72EA1D">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预测情景</w:t>
            </w:r>
          </w:p>
        </w:tc>
        <w:tc>
          <w:tcPr>
            <w:tcW w:w="0" w:type="auto"/>
            <w:vMerge w:val="restart"/>
            <w:tcBorders>
              <w:tl2br w:val="nil"/>
              <w:tr2bl w:val="nil"/>
            </w:tcBorders>
            <w:noWrap w:val="0"/>
            <w:vAlign w:val="center"/>
          </w:tcPr>
          <w:p w14:paraId="28B1754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废水量</w:t>
            </w:r>
          </w:p>
          <w:p w14:paraId="3744D73E">
            <w:pPr>
              <w:pageBreakBefore w:val="0"/>
              <w:wordWrap/>
              <w:bidi w:val="0"/>
              <w:adjustRightInd/>
              <w:snapToGrid/>
              <w:spacing w:line="240" w:lineRule="auto"/>
              <w:ind w:firstLine="0" w:firstLineChars="0"/>
              <w:jc w:val="center"/>
              <w:rPr>
                <w:b/>
                <w:bCs/>
                <w:color w:val="auto"/>
                <w:sz w:val="21"/>
                <w:szCs w:val="21"/>
              </w:rPr>
            </w:pPr>
            <w:r>
              <w:rPr>
                <w:rFonts w:hint="eastAsia"/>
                <w:b/>
                <w:bCs/>
                <w:color w:val="auto"/>
                <w:sz w:val="21"/>
                <w:szCs w:val="21"/>
                <w:lang w:eastAsia="zh-CN"/>
              </w:rPr>
              <w:t>m³</w:t>
            </w:r>
            <w:r>
              <w:rPr>
                <w:b/>
                <w:bCs/>
                <w:color w:val="auto"/>
                <w:sz w:val="21"/>
                <w:szCs w:val="21"/>
              </w:rPr>
              <w:t>/s</w:t>
            </w:r>
          </w:p>
        </w:tc>
        <w:tc>
          <w:tcPr>
            <w:tcW w:w="0" w:type="auto"/>
            <w:gridSpan w:val="10"/>
            <w:tcBorders>
              <w:tl2br w:val="nil"/>
              <w:tr2bl w:val="nil"/>
            </w:tcBorders>
            <w:noWrap w:val="0"/>
            <w:vAlign w:val="center"/>
          </w:tcPr>
          <w:p w14:paraId="1D37C59B">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w:t>
            </w:r>
          </w:p>
        </w:tc>
      </w:tr>
      <w:tr w14:paraId="69FA0A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0" w:type="auto"/>
            <w:vMerge w:val="continue"/>
            <w:tcBorders>
              <w:tl2br w:val="nil"/>
              <w:tr2bl w:val="nil"/>
            </w:tcBorders>
            <w:noWrap w:val="0"/>
            <w:vAlign w:val="center"/>
          </w:tcPr>
          <w:p w14:paraId="1128395C">
            <w:pPr>
              <w:pageBreakBefore w:val="0"/>
              <w:wordWrap/>
              <w:bidi w:val="0"/>
              <w:adjustRightInd/>
              <w:snapToGrid/>
              <w:spacing w:line="240" w:lineRule="auto"/>
              <w:ind w:firstLine="0" w:firstLineChars="0"/>
              <w:jc w:val="center"/>
              <w:rPr>
                <w:b/>
                <w:bCs/>
                <w:color w:val="auto"/>
                <w:sz w:val="21"/>
                <w:szCs w:val="21"/>
              </w:rPr>
            </w:pPr>
          </w:p>
        </w:tc>
        <w:tc>
          <w:tcPr>
            <w:tcW w:w="0" w:type="auto"/>
            <w:vMerge w:val="continue"/>
            <w:tcBorders>
              <w:tl2br w:val="nil"/>
              <w:tr2bl w:val="nil"/>
            </w:tcBorders>
            <w:noWrap w:val="0"/>
            <w:vAlign w:val="center"/>
          </w:tcPr>
          <w:p w14:paraId="32569A10">
            <w:pPr>
              <w:pageBreakBefore w:val="0"/>
              <w:wordWrap/>
              <w:bidi w:val="0"/>
              <w:adjustRightInd/>
              <w:snapToGrid/>
              <w:spacing w:line="240" w:lineRule="auto"/>
              <w:ind w:firstLine="0" w:firstLineChars="0"/>
              <w:jc w:val="center"/>
              <w:rPr>
                <w:b/>
                <w:bCs/>
                <w:color w:val="auto"/>
                <w:sz w:val="21"/>
                <w:szCs w:val="21"/>
              </w:rPr>
            </w:pPr>
          </w:p>
        </w:tc>
        <w:tc>
          <w:tcPr>
            <w:tcW w:w="0" w:type="auto"/>
            <w:gridSpan w:val="2"/>
            <w:tcBorders>
              <w:tl2br w:val="nil"/>
              <w:tr2bl w:val="nil"/>
            </w:tcBorders>
            <w:noWrap w:val="0"/>
            <w:vAlign w:val="center"/>
          </w:tcPr>
          <w:p w14:paraId="13F7EE9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COD</w:t>
            </w:r>
          </w:p>
        </w:tc>
        <w:tc>
          <w:tcPr>
            <w:tcW w:w="0" w:type="auto"/>
            <w:gridSpan w:val="2"/>
            <w:tcBorders>
              <w:tl2br w:val="nil"/>
              <w:tr2bl w:val="nil"/>
            </w:tcBorders>
            <w:noWrap w:val="0"/>
            <w:vAlign w:val="center"/>
          </w:tcPr>
          <w:p w14:paraId="5D73271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NH</w:t>
            </w:r>
            <w:r>
              <w:rPr>
                <w:b/>
                <w:bCs/>
                <w:color w:val="auto"/>
                <w:sz w:val="21"/>
                <w:szCs w:val="21"/>
                <w:vertAlign w:val="subscript"/>
              </w:rPr>
              <w:t>3</w:t>
            </w:r>
            <w:r>
              <w:rPr>
                <w:b/>
                <w:bCs/>
                <w:color w:val="auto"/>
                <w:sz w:val="21"/>
                <w:szCs w:val="21"/>
              </w:rPr>
              <w:t>-N</w:t>
            </w:r>
          </w:p>
        </w:tc>
        <w:tc>
          <w:tcPr>
            <w:tcW w:w="0" w:type="auto"/>
            <w:gridSpan w:val="2"/>
            <w:tcBorders>
              <w:tl2br w:val="nil"/>
              <w:tr2bl w:val="nil"/>
            </w:tcBorders>
            <w:noWrap w:val="0"/>
            <w:vAlign w:val="center"/>
          </w:tcPr>
          <w:p w14:paraId="0CBD4B0F">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TP</w:t>
            </w:r>
          </w:p>
        </w:tc>
        <w:tc>
          <w:tcPr>
            <w:tcW w:w="0" w:type="auto"/>
            <w:gridSpan w:val="2"/>
            <w:tcBorders>
              <w:tl2br w:val="nil"/>
              <w:tr2bl w:val="nil"/>
            </w:tcBorders>
            <w:noWrap w:val="0"/>
            <w:vAlign w:val="center"/>
          </w:tcPr>
          <w:p w14:paraId="41B32276">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rFonts w:hint="eastAsia"/>
                <w:b/>
                <w:bCs/>
                <w:color w:val="auto"/>
                <w:sz w:val="21"/>
                <w:szCs w:val="21"/>
                <w:lang w:val="en-US" w:eastAsia="zh-CN"/>
              </w:rPr>
              <w:t>石油类</w:t>
            </w:r>
          </w:p>
        </w:tc>
        <w:tc>
          <w:tcPr>
            <w:tcW w:w="0" w:type="auto"/>
            <w:gridSpan w:val="2"/>
            <w:tcBorders>
              <w:tl2br w:val="nil"/>
              <w:tr2bl w:val="nil"/>
            </w:tcBorders>
            <w:noWrap w:val="0"/>
            <w:vAlign w:val="center"/>
          </w:tcPr>
          <w:p w14:paraId="3A0D1135">
            <w:pPr>
              <w:pageBreakBefore w:val="0"/>
              <w:wordWrap/>
              <w:bidi w:val="0"/>
              <w:adjustRightInd/>
              <w:snapToGrid/>
              <w:spacing w:line="240" w:lineRule="auto"/>
              <w:ind w:firstLine="0" w:firstLineChars="0"/>
              <w:jc w:val="center"/>
              <w:rPr>
                <w:rFonts w:hint="eastAsia" w:eastAsia="宋体"/>
                <w:b/>
                <w:bCs/>
                <w:color w:val="auto"/>
                <w:sz w:val="21"/>
                <w:szCs w:val="21"/>
                <w:lang w:val="en-US" w:eastAsia="zh-CN"/>
              </w:rPr>
            </w:pPr>
            <w:r>
              <w:rPr>
                <w:rFonts w:hint="eastAsia"/>
                <w:b/>
                <w:bCs/>
                <w:color w:val="auto"/>
                <w:sz w:val="21"/>
                <w:szCs w:val="21"/>
                <w:lang w:val="en-US" w:eastAsia="zh-CN"/>
              </w:rPr>
              <w:t>甲醛</w:t>
            </w:r>
          </w:p>
        </w:tc>
      </w:tr>
      <w:tr w14:paraId="758DE4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0" w:type="auto"/>
            <w:vMerge w:val="continue"/>
            <w:tcBorders>
              <w:tl2br w:val="nil"/>
              <w:tr2bl w:val="nil"/>
            </w:tcBorders>
            <w:noWrap w:val="0"/>
            <w:vAlign w:val="center"/>
          </w:tcPr>
          <w:p w14:paraId="2D6CCB08">
            <w:pPr>
              <w:pageBreakBefore w:val="0"/>
              <w:wordWrap/>
              <w:bidi w:val="0"/>
              <w:adjustRightInd/>
              <w:snapToGrid/>
              <w:spacing w:line="240" w:lineRule="auto"/>
              <w:ind w:firstLine="0" w:firstLineChars="0"/>
              <w:jc w:val="center"/>
              <w:rPr>
                <w:b/>
                <w:bCs/>
                <w:color w:val="auto"/>
                <w:sz w:val="21"/>
                <w:szCs w:val="21"/>
              </w:rPr>
            </w:pPr>
          </w:p>
        </w:tc>
        <w:tc>
          <w:tcPr>
            <w:tcW w:w="0" w:type="auto"/>
            <w:vMerge w:val="continue"/>
            <w:tcBorders>
              <w:tl2br w:val="nil"/>
              <w:tr2bl w:val="nil"/>
            </w:tcBorders>
            <w:noWrap w:val="0"/>
            <w:vAlign w:val="center"/>
          </w:tcPr>
          <w:p w14:paraId="1FA499A4">
            <w:pPr>
              <w:pageBreakBefore w:val="0"/>
              <w:wordWrap/>
              <w:bidi w:val="0"/>
              <w:adjustRightInd/>
              <w:snapToGrid/>
              <w:spacing w:line="240" w:lineRule="auto"/>
              <w:ind w:firstLine="0" w:firstLineChars="0"/>
              <w:jc w:val="center"/>
              <w:rPr>
                <w:b/>
                <w:bCs/>
                <w:color w:val="auto"/>
                <w:sz w:val="21"/>
                <w:szCs w:val="21"/>
              </w:rPr>
            </w:pPr>
          </w:p>
        </w:tc>
        <w:tc>
          <w:tcPr>
            <w:tcW w:w="0" w:type="auto"/>
            <w:tcBorders>
              <w:tl2br w:val="nil"/>
              <w:tr2bl w:val="nil"/>
            </w:tcBorders>
            <w:noWrap w:val="0"/>
            <w:vAlign w:val="center"/>
          </w:tcPr>
          <w:p w14:paraId="083F455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浓度mg/L</w:t>
            </w:r>
          </w:p>
        </w:tc>
        <w:tc>
          <w:tcPr>
            <w:tcW w:w="0" w:type="auto"/>
            <w:tcBorders>
              <w:tl2br w:val="nil"/>
              <w:tr2bl w:val="nil"/>
            </w:tcBorders>
            <w:noWrap w:val="0"/>
            <w:vAlign w:val="center"/>
          </w:tcPr>
          <w:p w14:paraId="36B168C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排放速率（g/s）</w:t>
            </w:r>
          </w:p>
        </w:tc>
        <w:tc>
          <w:tcPr>
            <w:tcW w:w="0" w:type="auto"/>
            <w:tcBorders>
              <w:tl2br w:val="nil"/>
              <w:tr2bl w:val="nil"/>
            </w:tcBorders>
            <w:noWrap w:val="0"/>
            <w:vAlign w:val="center"/>
          </w:tcPr>
          <w:p w14:paraId="613BE97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浓度mg/L</w:t>
            </w:r>
          </w:p>
        </w:tc>
        <w:tc>
          <w:tcPr>
            <w:tcW w:w="0" w:type="auto"/>
            <w:tcBorders>
              <w:tl2br w:val="nil"/>
              <w:tr2bl w:val="nil"/>
            </w:tcBorders>
            <w:noWrap w:val="0"/>
            <w:vAlign w:val="center"/>
          </w:tcPr>
          <w:p w14:paraId="50CC838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排放速率（g/s）</w:t>
            </w:r>
          </w:p>
        </w:tc>
        <w:tc>
          <w:tcPr>
            <w:tcW w:w="0" w:type="auto"/>
            <w:tcBorders>
              <w:tl2br w:val="nil"/>
              <w:tr2bl w:val="nil"/>
            </w:tcBorders>
            <w:noWrap w:val="0"/>
            <w:vAlign w:val="center"/>
          </w:tcPr>
          <w:p w14:paraId="5534016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浓度mg/L</w:t>
            </w:r>
          </w:p>
        </w:tc>
        <w:tc>
          <w:tcPr>
            <w:tcW w:w="0" w:type="auto"/>
            <w:tcBorders>
              <w:tl2br w:val="nil"/>
              <w:tr2bl w:val="nil"/>
            </w:tcBorders>
            <w:noWrap w:val="0"/>
            <w:vAlign w:val="center"/>
          </w:tcPr>
          <w:p w14:paraId="563CFD92">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排放速率（g/s）</w:t>
            </w:r>
          </w:p>
        </w:tc>
        <w:tc>
          <w:tcPr>
            <w:tcW w:w="0" w:type="auto"/>
            <w:tcBorders>
              <w:tl2br w:val="nil"/>
              <w:tr2bl w:val="nil"/>
            </w:tcBorders>
            <w:noWrap w:val="0"/>
            <w:vAlign w:val="center"/>
          </w:tcPr>
          <w:p w14:paraId="406F133F">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浓度mg/L</w:t>
            </w:r>
          </w:p>
        </w:tc>
        <w:tc>
          <w:tcPr>
            <w:tcW w:w="0" w:type="auto"/>
            <w:tcBorders>
              <w:tl2br w:val="nil"/>
              <w:tr2bl w:val="nil"/>
            </w:tcBorders>
            <w:noWrap w:val="0"/>
            <w:vAlign w:val="center"/>
          </w:tcPr>
          <w:p w14:paraId="6C05561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排放速率（g/s）</w:t>
            </w:r>
          </w:p>
        </w:tc>
        <w:tc>
          <w:tcPr>
            <w:tcW w:w="585" w:type="dxa"/>
            <w:tcBorders>
              <w:tl2br w:val="nil"/>
              <w:tr2bl w:val="nil"/>
            </w:tcBorders>
            <w:noWrap w:val="0"/>
            <w:vAlign w:val="center"/>
          </w:tcPr>
          <w:p w14:paraId="0E60E03B">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浓度mg/L</w:t>
            </w:r>
          </w:p>
        </w:tc>
        <w:tc>
          <w:tcPr>
            <w:tcW w:w="833" w:type="dxa"/>
            <w:tcBorders>
              <w:tl2br w:val="nil"/>
              <w:tr2bl w:val="nil"/>
            </w:tcBorders>
            <w:noWrap w:val="0"/>
            <w:vAlign w:val="center"/>
          </w:tcPr>
          <w:p w14:paraId="231A9B6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排放速率（g/s）</w:t>
            </w:r>
          </w:p>
        </w:tc>
      </w:tr>
      <w:tr w14:paraId="4A8919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0" w:type="auto"/>
            <w:tcBorders>
              <w:tl2br w:val="nil"/>
              <w:tr2bl w:val="nil"/>
            </w:tcBorders>
            <w:noWrap w:val="0"/>
            <w:vAlign w:val="center"/>
          </w:tcPr>
          <w:p w14:paraId="33FD206E">
            <w:pPr>
              <w:pageBreakBefore w:val="0"/>
              <w:wordWrap/>
              <w:bidi w:val="0"/>
              <w:adjustRightInd/>
              <w:snapToGrid/>
              <w:spacing w:line="240" w:lineRule="auto"/>
              <w:ind w:firstLine="0" w:firstLineChars="0"/>
              <w:jc w:val="center"/>
              <w:rPr>
                <w:color w:val="auto"/>
                <w:sz w:val="21"/>
                <w:szCs w:val="21"/>
              </w:rPr>
            </w:pPr>
            <w:r>
              <w:rPr>
                <w:color w:val="auto"/>
                <w:sz w:val="21"/>
                <w:szCs w:val="21"/>
              </w:rPr>
              <w:t>本项目正常运行</w:t>
            </w:r>
          </w:p>
        </w:tc>
        <w:tc>
          <w:tcPr>
            <w:tcW w:w="0" w:type="auto"/>
            <w:tcBorders>
              <w:tl2br w:val="nil"/>
              <w:tr2bl w:val="nil"/>
            </w:tcBorders>
            <w:noWrap w:val="0"/>
            <w:vAlign w:val="center"/>
          </w:tcPr>
          <w:p w14:paraId="208B8833">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0.0347</w:t>
            </w:r>
          </w:p>
        </w:tc>
        <w:tc>
          <w:tcPr>
            <w:tcW w:w="0" w:type="auto"/>
            <w:tcBorders>
              <w:tl2br w:val="nil"/>
              <w:tr2bl w:val="nil"/>
            </w:tcBorders>
            <w:noWrap w:val="0"/>
            <w:vAlign w:val="center"/>
          </w:tcPr>
          <w:p w14:paraId="2A57601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50</w:t>
            </w:r>
          </w:p>
        </w:tc>
        <w:tc>
          <w:tcPr>
            <w:tcW w:w="0" w:type="auto"/>
            <w:tcBorders>
              <w:tl2br w:val="nil"/>
              <w:tr2bl w:val="nil"/>
            </w:tcBorders>
            <w:noWrap w:val="0"/>
            <w:vAlign w:val="center"/>
          </w:tcPr>
          <w:p w14:paraId="705C1ACB">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1.7361</w:t>
            </w:r>
          </w:p>
        </w:tc>
        <w:tc>
          <w:tcPr>
            <w:tcW w:w="0" w:type="auto"/>
            <w:tcBorders>
              <w:tl2br w:val="nil"/>
              <w:tr2bl w:val="nil"/>
            </w:tcBorders>
            <w:noWrap w:val="0"/>
            <w:vAlign w:val="center"/>
          </w:tcPr>
          <w:p w14:paraId="39D13C4E">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5</w:t>
            </w:r>
          </w:p>
        </w:tc>
        <w:tc>
          <w:tcPr>
            <w:tcW w:w="0" w:type="auto"/>
            <w:tcBorders>
              <w:tl2br w:val="nil"/>
              <w:tr2bl w:val="nil"/>
            </w:tcBorders>
            <w:noWrap w:val="0"/>
            <w:vAlign w:val="center"/>
          </w:tcPr>
          <w:p w14:paraId="01E01F94">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0.1736</w:t>
            </w:r>
          </w:p>
        </w:tc>
        <w:tc>
          <w:tcPr>
            <w:tcW w:w="0" w:type="auto"/>
            <w:tcBorders>
              <w:tl2br w:val="nil"/>
              <w:tr2bl w:val="nil"/>
            </w:tcBorders>
            <w:noWrap w:val="0"/>
            <w:vAlign w:val="center"/>
          </w:tcPr>
          <w:p w14:paraId="58CC67F2">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0.5</w:t>
            </w:r>
          </w:p>
        </w:tc>
        <w:tc>
          <w:tcPr>
            <w:tcW w:w="0" w:type="auto"/>
            <w:tcBorders>
              <w:tl2br w:val="nil"/>
              <w:tr2bl w:val="nil"/>
            </w:tcBorders>
            <w:noWrap w:val="0"/>
            <w:vAlign w:val="center"/>
          </w:tcPr>
          <w:p w14:paraId="369B44A1">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0.0174</w:t>
            </w:r>
          </w:p>
        </w:tc>
        <w:tc>
          <w:tcPr>
            <w:tcW w:w="0" w:type="auto"/>
            <w:tcBorders>
              <w:tl2br w:val="nil"/>
              <w:tr2bl w:val="nil"/>
            </w:tcBorders>
            <w:noWrap w:val="0"/>
            <w:vAlign w:val="center"/>
          </w:tcPr>
          <w:p w14:paraId="5E386AFF">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1</w:t>
            </w:r>
          </w:p>
        </w:tc>
        <w:tc>
          <w:tcPr>
            <w:tcW w:w="0" w:type="auto"/>
            <w:tcBorders>
              <w:tl2br w:val="nil"/>
              <w:tr2bl w:val="nil"/>
            </w:tcBorders>
            <w:noWrap w:val="0"/>
            <w:vAlign w:val="center"/>
          </w:tcPr>
          <w:p w14:paraId="6C8DA3AF">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0.0347</w:t>
            </w:r>
          </w:p>
        </w:tc>
        <w:tc>
          <w:tcPr>
            <w:tcW w:w="585" w:type="dxa"/>
            <w:tcBorders>
              <w:tl2br w:val="nil"/>
              <w:tr2bl w:val="nil"/>
            </w:tcBorders>
            <w:noWrap w:val="0"/>
            <w:vAlign w:val="center"/>
          </w:tcPr>
          <w:p w14:paraId="277808EC">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1</w:t>
            </w:r>
          </w:p>
        </w:tc>
        <w:tc>
          <w:tcPr>
            <w:tcW w:w="833" w:type="dxa"/>
            <w:tcBorders>
              <w:tl2br w:val="nil"/>
              <w:tr2bl w:val="nil"/>
            </w:tcBorders>
            <w:noWrap w:val="0"/>
            <w:vAlign w:val="center"/>
          </w:tcPr>
          <w:p w14:paraId="1996E5C7">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0.0347</w:t>
            </w:r>
          </w:p>
        </w:tc>
      </w:tr>
      <w:tr w14:paraId="446EC5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0" w:type="auto"/>
            <w:tcBorders>
              <w:tl2br w:val="nil"/>
              <w:tr2bl w:val="nil"/>
            </w:tcBorders>
            <w:noWrap w:val="0"/>
            <w:vAlign w:val="center"/>
          </w:tcPr>
          <w:p w14:paraId="5B389BCA">
            <w:pPr>
              <w:pageBreakBefore w:val="0"/>
              <w:wordWrap/>
              <w:bidi w:val="0"/>
              <w:adjustRightInd/>
              <w:snapToGrid/>
              <w:spacing w:line="240" w:lineRule="auto"/>
              <w:ind w:firstLine="0" w:firstLineChars="0"/>
              <w:jc w:val="center"/>
              <w:rPr>
                <w:color w:val="auto"/>
                <w:sz w:val="21"/>
                <w:szCs w:val="21"/>
              </w:rPr>
            </w:pPr>
            <w:r>
              <w:rPr>
                <w:color w:val="auto"/>
                <w:sz w:val="21"/>
                <w:szCs w:val="21"/>
              </w:rPr>
              <w:t>本项目非正常运行（污水处理设施完全故障）</w:t>
            </w:r>
          </w:p>
        </w:tc>
        <w:tc>
          <w:tcPr>
            <w:tcW w:w="0" w:type="auto"/>
            <w:tcBorders>
              <w:tl2br w:val="nil"/>
              <w:tr2bl w:val="nil"/>
            </w:tcBorders>
            <w:noWrap w:val="0"/>
            <w:vAlign w:val="center"/>
          </w:tcPr>
          <w:p w14:paraId="30BB19C7">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0.0347</w:t>
            </w:r>
          </w:p>
        </w:tc>
        <w:tc>
          <w:tcPr>
            <w:tcW w:w="585" w:type="dxa"/>
            <w:tcBorders>
              <w:tl2br w:val="nil"/>
              <w:tr2bl w:val="nil"/>
            </w:tcBorders>
            <w:noWrap w:val="0"/>
            <w:vAlign w:val="center"/>
          </w:tcPr>
          <w:p w14:paraId="40D67DEE">
            <w:pPr>
              <w:pStyle w:val="16"/>
              <w:bidi w:val="0"/>
              <w:rPr>
                <w:color w:val="auto"/>
              </w:rPr>
            </w:pPr>
            <w:r>
              <w:rPr>
                <w:rFonts w:hint="default"/>
                <w:color w:val="auto"/>
                <w:lang w:val="en-US" w:eastAsia="zh-CN"/>
              </w:rPr>
              <w:t>350</w:t>
            </w:r>
          </w:p>
        </w:tc>
        <w:tc>
          <w:tcPr>
            <w:tcW w:w="832" w:type="dxa"/>
            <w:tcBorders>
              <w:tl2br w:val="nil"/>
              <w:tr2bl w:val="nil"/>
            </w:tcBorders>
            <w:noWrap w:val="0"/>
            <w:vAlign w:val="center"/>
          </w:tcPr>
          <w:p w14:paraId="58BAC27E">
            <w:pPr>
              <w:pStyle w:val="16"/>
              <w:bidi w:val="0"/>
              <w:rPr>
                <w:color w:val="auto"/>
              </w:rPr>
            </w:pPr>
            <w:r>
              <w:rPr>
                <w:rFonts w:hint="default"/>
                <w:color w:val="auto"/>
                <w:lang w:val="en-US" w:eastAsia="zh-CN"/>
              </w:rPr>
              <w:t xml:space="preserve">12.1528 </w:t>
            </w:r>
          </w:p>
        </w:tc>
        <w:tc>
          <w:tcPr>
            <w:tcW w:w="585" w:type="dxa"/>
            <w:tcBorders>
              <w:tl2br w:val="nil"/>
              <w:tr2bl w:val="nil"/>
            </w:tcBorders>
            <w:noWrap w:val="0"/>
            <w:vAlign w:val="center"/>
          </w:tcPr>
          <w:p w14:paraId="3AC77F80">
            <w:pPr>
              <w:pStyle w:val="16"/>
              <w:bidi w:val="0"/>
              <w:rPr>
                <w:color w:val="auto"/>
              </w:rPr>
            </w:pPr>
            <w:r>
              <w:rPr>
                <w:rFonts w:hint="default"/>
                <w:color w:val="auto"/>
                <w:lang w:val="en-US" w:eastAsia="zh-CN"/>
              </w:rPr>
              <w:t>50</w:t>
            </w:r>
          </w:p>
        </w:tc>
        <w:tc>
          <w:tcPr>
            <w:tcW w:w="832" w:type="dxa"/>
            <w:tcBorders>
              <w:tl2br w:val="nil"/>
              <w:tr2bl w:val="nil"/>
            </w:tcBorders>
            <w:noWrap w:val="0"/>
            <w:vAlign w:val="center"/>
          </w:tcPr>
          <w:p w14:paraId="7FC4889F">
            <w:pPr>
              <w:pStyle w:val="16"/>
              <w:bidi w:val="0"/>
              <w:rPr>
                <w:color w:val="auto"/>
              </w:rPr>
            </w:pPr>
            <w:r>
              <w:rPr>
                <w:rFonts w:hint="default"/>
                <w:color w:val="auto"/>
                <w:lang w:val="en-US" w:eastAsia="zh-CN"/>
              </w:rPr>
              <w:t xml:space="preserve">1.7361 </w:t>
            </w:r>
          </w:p>
        </w:tc>
        <w:tc>
          <w:tcPr>
            <w:tcW w:w="585" w:type="dxa"/>
            <w:tcBorders>
              <w:tl2br w:val="nil"/>
              <w:tr2bl w:val="nil"/>
            </w:tcBorders>
            <w:noWrap w:val="0"/>
            <w:vAlign w:val="center"/>
          </w:tcPr>
          <w:p w14:paraId="73BB1269">
            <w:pPr>
              <w:pStyle w:val="16"/>
              <w:bidi w:val="0"/>
              <w:rPr>
                <w:color w:val="auto"/>
              </w:rPr>
            </w:pPr>
            <w:r>
              <w:rPr>
                <w:rFonts w:hint="default"/>
                <w:color w:val="auto"/>
                <w:lang w:val="en-US" w:eastAsia="zh-CN"/>
              </w:rPr>
              <w:t>4</w:t>
            </w:r>
          </w:p>
        </w:tc>
        <w:tc>
          <w:tcPr>
            <w:tcW w:w="832" w:type="dxa"/>
            <w:tcBorders>
              <w:tl2br w:val="nil"/>
              <w:tr2bl w:val="nil"/>
            </w:tcBorders>
            <w:noWrap w:val="0"/>
            <w:vAlign w:val="center"/>
          </w:tcPr>
          <w:p w14:paraId="1863C0A1">
            <w:pPr>
              <w:pStyle w:val="16"/>
              <w:bidi w:val="0"/>
              <w:rPr>
                <w:color w:val="auto"/>
              </w:rPr>
            </w:pPr>
            <w:r>
              <w:rPr>
                <w:rFonts w:hint="default"/>
                <w:color w:val="auto"/>
                <w:lang w:val="en-US" w:eastAsia="zh-CN"/>
              </w:rPr>
              <w:t xml:space="preserve">0.1389 </w:t>
            </w:r>
          </w:p>
        </w:tc>
        <w:tc>
          <w:tcPr>
            <w:tcW w:w="585" w:type="dxa"/>
            <w:tcBorders>
              <w:tl2br w:val="nil"/>
              <w:tr2bl w:val="nil"/>
            </w:tcBorders>
            <w:noWrap w:val="0"/>
            <w:vAlign w:val="center"/>
          </w:tcPr>
          <w:p w14:paraId="536C88A5">
            <w:pPr>
              <w:pStyle w:val="16"/>
              <w:bidi w:val="0"/>
              <w:rPr>
                <w:color w:val="auto"/>
              </w:rPr>
            </w:pPr>
            <w:r>
              <w:rPr>
                <w:rFonts w:hint="default"/>
                <w:color w:val="auto"/>
                <w:lang w:val="en-US" w:eastAsia="zh-CN"/>
              </w:rPr>
              <w:t>1</w:t>
            </w:r>
          </w:p>
        </w:tc>
        <w:tc>
          <w:tcPr>
            <w:tcW w:w="832" w:type="dxa"/>
            <w:tcBorders>
              <w:tl2br w:val="nil"/>
              <w:tr2bl w:val="nil"/>
            </w:tcBorders>
            <w:noWrap w:val="0"/>
            <w:vAlign w:val="center"/>
          </w:tcPr>
          <w:p w14:paraId="410C2D46">
            <w:pPr>
              <w:pStyle w:val="16"/>
              <w:bidi w:val="0"/>
              <w:rPr>
                <w:color w:val="auto"/>
              </w:rPr>
            </w:pPr>
            <w:r>
              <w:rPr>
                <w:rFonts w:hint="default"/>
                <w:color w:val="auto"/>
                <w:lang w:val="en-US" w:eastAsia="zh-CN"/>
              </w:rPr>
              <w:t xml:space="preserve">0.0347 </w:t>
            </w:r>
          </w:p>
        </w:tc>
        <w:tc>
          <w:tcPr>
            <w:tcW w:w="585" w:type="dxa"/>
            <w:tcBorders>
              <w:tl2br w:val="nil"/>
              <w:tr2bl w:val="nil"/>
            </w:tcBorders>
            <w:noWrap w:val="0"/>
            <w:vAlign w:val="center"/>
          </w:tcPr>
          <w:p w14:paraId="52FE19EA">
            <w:pPr>
              <w:pStyle w:val="16"/>
              <w:bidi w:val="0"/>
              <w:rPr>
                <w:color w:val="auto"/>
              </w:rPr>
            </w:pPr>
            <w:r>
              <w:rPr>
                <w:rFonts w:hint="default"/>
                <w:color w:val="auto"/>
                <w:lang w:val="en-US" w:eastAsia="zh-CN"/>
              </w:rPr>
              <w:t>1</w:t>
            </w:r>
          </w:p>
        </w:tc>
        <w:tc>
          <w:tcPr>
            <w:tcW w:w="833" w:type="dxa"/>
            <w:tcBorders>
              <w:tl2br w:val="nil"/>
              <w:tr2bl w:val="nil"/>
            </w:tcBorders>
            <w:noWrap w:val="0"/>
            <w:vAlign w:val="center"/>
          </w:tcPr>
          <w:p w14:paraId="2E74CBF4">
            <w:pPr>
              <w:pStyle w:val="16"/>
              <w:bidi w:val="0"/>
              <w:rPr>
                <w:color w:val="auto"/>
              </w:rPr>
            </w:pPr>
            <w:r>
              <w:rPr>
                <w:rFonts w:hint="default"/>
                <w:color w:val="auto"/>
                <w:lang w:val="en-US" w:eastAsia="zh-CN"/>
              </w:rPr>
              <w:t xml:space="preserve">0.0347 </w:t>
            </w:r>
          </w:p>
        </w:tc>
      </w:tr>
    </w:tbl>
    <w:p w14:paraId="53E59CAD">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b/>
          <w:bCs/>
          <w:color w:val="auto"/>
          <w:lang w:val="en-US" w:eastAsia="zh-CN"/>
        </w:rPr>
      </w:pPr>
      <w:r>
        <w:rPr>
          <w:rFonts w:hint="eastAsia"/>
          <w:b/>
          <w:bCs/>
          <w:color w:val="auto"/>
          <w:lang w:val="en-US" w:eastAsia="zh-CN"/>
        </w:rPr>
        <w:t>（2）纳污河流水文参数</w:t>
      </w:r>
    </w:p>
    <w:p w14:paraId="4F0DC316">
      <w:pPr>
        <w:pageBreakBefore w:val="0"/>
        <w:widowControl/>
        <w:wordWrap/>
        <w:bidi w:val="0"/>
        <w:adjustRightInd/>
        <w:snapToGrid/>
        <w:ind w:firstLine="480"/>
        <w:rPr>
          <w:color w:val="auto"/>
        </w:rPr>
      </w:pPr>
      <w:r>
        <w:rPr>
          <w:color w:val="auto"/>
        </w:rPr>
        <w:t>根据《</w:t>
      </w:r>
      <w:r>
        <w:rPr>
          <w:rFonts w:hint="eastAsia"/>
          <w:color w:val="auto"/>
          <w:lang w:val="en-US" w:eastAsia="zh-CN"/>
        </w:rPr>
        <w:t>四川巴中经济开发区规划修编</w:t>
      </w:r>
      <w:r>
        <w:rPr>
          <w:color w:val="auto"/>
        </w:rPr>
        <w:t>环境影响报告书》，</w:t>
      </w:r>
      <w:r>
        <w:rPr>
          <w:rFonts w:hint="eastAsia"/>
          <w:color w:val="auto"/>
          <w:lang w:eastAsia="zh-CN"/>
        </w:rPr>
        <w:t>巴河</w:t>
      </w:r>
      <w:r>
        <w:rPr>
          <w:color w:val="auto"/>
          <w:kern w:val="0"/>
          <w:lang w:bidi="ar"/>
        </w:rPr>
        <w:t>枯水期水文参数具体见下表：</w:t>
      </w:r>
    </w:p>
    <w:p w14:paraId="04A285CC">
      <w:pPr>
        <w:pStyle w:val="19"/>
        <w:numPr>
          <w:ilvl w:val="0"/>
          <w:numId w:val="31"/>
        </w:numPr>
        <w:bidi w:val="0"/>
        <w:ind w:left="1440" w:leftChars="0" w:firstLine="0" w:firstLineChars="0"/>
        <w:rPr>
          <w:color w:val="auto"/>
        </w:rPr>
      </w:pPr>
      <w:r>
        <w:rPr>
          <w:rFonts w:hint="eastAsia"/>
          <w:color w:val="auto"/>
          <w:lang w:eastAsia="zh-CN"/>
        </w:rPr>
        <w:t>巴河</w:t>
      </w:r>
      <w:r>
        <w:rPr>
          <w:color w:val="auto"/>
        </w:rPr>
        <w:t xml:space="preserve">评价河段水文要素统计表  </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97"/>
        <w:gridCol w:w="6249"/>
      </w:tblGrid>
      <w:tr w14:paraId="485B42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7" w:type="pct"/>
            <w:tcBorders>
              <w:tl2br w:val="nil"/>
              <w:tr2bl w:val="nil"/>
            </w:tcBorders>
            <w:noWrap w:val="0"/>
            <w:vAlign w:val="center"/>
          </w:tcPr>
          <w:p w14:paraId="012D0EE2">
            <w:pPr>
              <w:pageBreakBefore w:val="0"/>
              <w:widowControl/>
              <w:wordWrap/>
              <w:bidi w:val="0"/>
              <w:adjustRightInd/>
              <w:snapToGrid/>
              <w:spacing w:line="240" w:lineRule="auto"/>
              <w:jc w:val="center"/>
              <w:rPr>
                <w:b/>
                <w:bCs/>
                <w:color w:val="auto"/>
                <w:sz w:val="21"/>
                <w:szCs w:val="21"/>
              </w:rPr>
            </w:pPr>
            <w:r>
              <w:rPr>
                <w:b/>
                <w:bCs/>
                <w:color w:val="auto"/>
                <w:sz w:val="21"/>
                <w:szCs w:val="21"/>
              </w:rPr>
              <w:t>项目</w:t>
            </w:r>
          </w:p>
        </w:tc>
        <w:tc>
          <w:tcPr>
            <w:tcW w:w="3492" w:type="pct"/>
            <w:tcBorders>
              <w:tl2br w:val="nil"/>
              <w:tr2bl w:val="nil"/>
            </w:tcBorders>
            <w:noWrap w:val="0"/>
            <w:vAlign w:val="center"/>
          </w:tcPr>
          <w:p w14:paraId="43AA4C8F">
            <w:pPr>
              <w:pageBreakBefore w:val="0"/>
              <w:widowControl/>
              <w:wordWrap/>
              <w:bidi w:val="0"/>
              <w:adjustRightInd/>
              <w:snapToGrid/>
              <w:spacing w:line="240" w:lineRule="auto"/>
              <w:jc w:val="center"/>
              <w:rPr>
                <w:b/>
                <w:bCs/>
                <w:color w:val="auto"/>
                <w:sz w:val="21"/>
                <w:szCs w:val="21"/>
              </w:rPr>
            </w:pPr>
            <w:r>
              <w:rPr>
                <w:b/>
                <w:bCs/>
                <w:color w:val="auto"/>
                <w:sz w:val="21"/>
                <w:szCs w:val="21"/>
              </w:rPr>
              <w:t>枯水期</w:t>
            </w:r>
          </w:p>
        </w:tc>
      </w:tr>
      <w:tr w14:paraId="58F9D2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7" w:type="pct"/>
            <w:tcBorders>
              <w:tl2br w:val="nil"/>
              <w:tr2bl w:val="nil"/>
            </w:tcBorders>
            <w:noWrap w:val="0"/>
            <w:vAlign w:val="center"/>
          </w:tcPr>
          <w:p w14:paraId="11495738">
            <w:pPr>
              <w:pageBreakBefore w:val="0"/>
              <w:widowControl/>
              <w:wordWrap/>
              <w:bidi w:val="0"/>
              <w:adjustRightInd/>
              <w:snapToGrid/>
              <w:spacing w:line="240" w:lineRule="auto"/>
              <w:jc w:val="center"/>
              <w:rPr>
                <w:color w:val="auto"/>
                <w:sz w:val="21"/>
                <w:szCs w:val="21"/>
              </w:rPr>
            </w:pPr>
            <w:r>
              <w:rPr>
                <w:color w:val="auto"/>
                <w:sz w:val="21"/>
                <w:szCs w:val="21"/>
              </w:rPr>
              <w:t>平均流量（</w:t>
            </w:r>
            <w:r>
              <w:rPr>
                <w:rFonts w:hint="eastAsia"/>
                <w:color w:val="auto"/>
                <w:sz w:val="21"/>
                <w:szCs w:val="21"/>
                <w:lang w:eastAsia="zh-CN"/>
              </w:rPr>
              <w:t>m³</w:t>
            </w:r>
            <w:r>
              <w:rPr>
                <w:color w:val="auto"/>
                <w:sz w:val="21"/>
                <w:szCs w:val="21"/>
              </w:rPr>
              <w:t>/s）</w:t>
            </w:r>
          </w:p>
        </w:tc>
        <w:tc>
          <w:tcPr>
            <w:tcW w:w="3492" w:type="pct"/>
            <w:tcBorders>
              <w:tl2br w:val="nil"/>
              <w:tr2bl w:val="nil"/>
            </w:tcBorders>
            <w:noWrap w:val="0"/>
            <w:vAlign w:val="center"/>
          </w:tcPr>
          <w:p w14:paraId="1B9795C6">
            <w:pPr>
              <w:pageBreakBefore w:val="0"/>
              <w:widowControl/>
              <w:wordWrap/>
              <w:bidi w:val="0"/>
              <w:adjustRightInd/>
              <w:snapToGrid/>
              <w:spacing w:line="240" w:lineRule="auto"/>
              <w:jc w:val="center"/>
              <w:rPr>
                <w:color w:val="auto"/>
                <w:sz w:val="21"/>
                <w:szCs w:val="21"/>
              </w:rPr>
            </w:pPr>
            <w:r>
              <w:rPr>
                <w:rFonts w:hint="eastAsia"/>
                <w:color w:val="auto"/>
                <w:sz w:val="21"/>
                <w:szCs w:val="21"/>
                <w:lang w:val="en-US" w:eastAsia="zh-CN"/>
              </w:rPr>
              <w:t>8.67</w:t>
            </w:r>
          </w:p>
        </w:tc>
      </w:tr>
      <w:tr w14:paraId="1BB8B5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7" w:type="pct"/>
            <w:tcBorders>
              <w:tl2br w:val="nil"/>
              <w:tr2bl w:val="nil"/>
            </w:tcBorders>
            <w:noWrap w:val="0"/>
            <w:vAlign w:val="center"/>
          </w:tcPr>
          <w:p w14:paraId="250231F1">
            <w:pPr>
              <w:pageBreakBefore w:val="0"/>
              <w:widowControl/>
              <w:wordWrap/>
              <w:bidi w:val="0"/>
              <w:adjustRightInd/>
              <w:snapToGrid/>
              <w:spacing w:line="240" w:lineRule="auto"/>
              <w:jc w:val="center"/>
              <w:rPr>
                <w:color w:val="auto"/>
                <w:sz w:val="21"/>
                <w:szCs w:val="21"/>
              </w:rPr>
            </w:pPr>
            <w:r>
              <w:rPr>
                <w:color w:val="auto"/>
                <w:sz w:val="21"/>
                <w:szCs w:val="21"/>
              </w:rPr>
              <w:t>流速（m/s）</w:t>
            </w:r>
          </w:p>
        </w:tc>
        <w:tc>
          <w:tcPr>
            <w:tcW w:w="3492" w:type="pct"/>
            <w:tcBorders>
              <w:tl2br w:val="nil"/>
              <w:tr2bl w:val="nil"/>
            </w:tcBorders>
            <w:noWrap w:val="0"/>
            <w:vAlign w:val="center"/>
          </w:tcPr>
          <w:p w14:paraId="3853E280">
            <w:pPr>
              <w:pageBreakBefore w:val="0"/>
              <w:widowControl/>
              <w:wordWrap/>
              <w:bidi w:val="0"/>
              <w:adjustRightInd/>
              <w:snapToGrid/>
              <w:spacing w:line="240" w:lineRule="auto"/>
              <w:jc w:val="center"/>
              <w:rPr>
                <w:color w:val="auto"/>
                <w:sz w:val="21"/>
                <w:szCs w:val="21"/>
              </w:rPr>
            </w:pPr>
            <w:r>
              <w:rPr>
                <w:rFonts w:hint="eastAsia"/>
                <w:color w:val="auto"/>
                <w:sz w:val="21"/>
                <w:szCs w:val="21"/>
                <w:lang w:val="en-US" w:eastAsia="zh-CN"/>
              </w:rPr>
              <w:t>0.005</w:t>
            </w:r>
          </w:p>
        </w:tc>
      </w:tr>
      <w:tr w14:paraId="15A510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7" w:type="pct"/>
            <w:tcBorders>
              <w:tl2br w:val="nil"/>
              <w:tr2bl w:val="nil"/>
            </w:tcBorders>
            <w:noWrap w:val="0"/>
            <w:vAlign w:val="center"/>
          </w:tcPr>
          <w:p w14:paraId="3951B25A">
            <w:pPr>
              <w:pageBreakBefore w:val="0"/>
              <w:widowControl/>
              <w:wordWrap/>
              <w:bidi w:val="0"/>
              <w:adjustRightInd/>
              <w:snapToGrid/>
              <w:spacing w:line="240" w:lineRule="auto"/>
              <w:jc w:val="center"/>
              <w:rPr>
                <w:color w:val="auto"/>
                <w:sz w:val="21"/>
                <w:szCs w:val="21"/>
              </w:rPr>
            </w:pPr>
            <w:r>
              <w:rPr>
                <w:color w:val="auto"/>
                <w:sz w:val="21"/>
                <w:szCs w:val="21"/>
              </w:rPr>
              <w:t>河宽（m）</w:t>
            </w:r>
          </w:p>
        </w:tc>
        <w:tc>
          <w:tcPr>
            <w:tcW w:w="3492" w:type="pct"/>
            <w:tcBorders>
              <w:tl2br w:val="nil"/>
              <w:tr2bl w:val="nil"/>
            </w:tcBorders>
            <w:noWrap w:val="0"/>
            <w:vAlign w:val="center"/>
          </w:tcPr>
          <w:p w14:paraId="7A4CB183">
            <w:pPr>
              <w:pageBreakBefore w:val="0"/>
              <w:widowControl/>
              <w:wordWrap/>
              <w:bidi w:val="0"/>
              <w:adjustRightInd/>
              <w:snapToGrid/>
              <w:spacing w:line="240" w:lineRule="auto"/>
              <w:jc w:val="center"/>
              <w:rPr>
                <w:color w:val="auto"/>
                <w:sz w:val="21"/>
                <w:szCs w:val="21"/>
              </w:rPr>
            </w:pPr>
            <w:r>
              <w:rPr>
                <w:rFonts w:hint="eastAsia"/>
                <w:color w:val="auto"/>
                <w:sz w:val="21"/>
                <w:szCs w:val="21"/>
                <w:lang w:val="en-US" w:eastAsia="zh-CN"/>
              </w:rPr>
              <w:t>120</w:t>
            </w:r>
          </w:p>
        </w:tc>
      </w:tr>
      <w:tr w14:paraId="658652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7" w:type="pct"/>
            <w:tcBorders>
              <w:tl2br w:val="nil"/>
              <w:tr2bl w:val="nil"/>
            </w:tcBorders>
            <w:noWrap w:val="0"/>
            <w:vAlign w:val="center"/>
          </w:tcPr>
          <w:p w14:paraId="5A3383CE">
            <w:pPr>
              <w:pageBreakBefore w:val="0"/>
              <w:widowControl/>
              <w:wordWrap/>
              <w:bidi w:val="0"/>
              <w:adjustRightInd/>
              <w:snapToGrid/>
              <w:spacing w:line="240" w:lineRule="auto"/>
              <w:jc w:val="center"/>
              <w:rPr>
                <w:color w:val="auto"/>
                <w:sz w:val="21"/>
                <w:szCs w:val="21"/>
              </w:rPr>
            </w:pPr>
            <w:r>
              <w:rPr>
                <w:color w:val="auto"/>
                <w:sz w:val="21"/>
                <w:szCs w:val="21"/>
              </w:rPr>
              <w:t>水深（m）</w:t>
            </w:r>
          </w:p>
        </w:tc>
        <w:tc>
          <w:tcPr>
            <w:tcW w:w="3492" w:type="pct"/>
            <w:tcBorders>
              <w:tl2br w:val="nil"/>
              <w:tr2bl w:val="nil"/>
            </w:tcBorders>
            <w:noWrap w:val="0"/>
            <w:vAlign w:val="center"/>
          </w:tcPr>
          <w:p w14:paraId="363BEADA">
            <w:pPr>
              <w:pageBreakBefore w:val="0"/>
              <w:widowControl/>
              <w:wordWrap/>
              <w:bidi w:val="0"/>
              <w:adjustRightInd/>
              <w:snapToGrid/>
              <w:spacing w:line="240" w:lineRule="auto"/>
              <w:jc w:val="center"/>
              <w:rPr>
                <w:color w:val="auto"/>
                <w:sz w:val="21"/>
                <w:szCs w:val="21"/>
              </w:rPr>
            </w:pPr>
            <w:r>
              <w:rPr>
                <w:rFonts w:hint="eastAsia"/>
                <w:color w:val="auto"/>
                <w:sz w:val="21"/>
                <w:szCs w:val="21"/>
                <w:lang w:val="en-US" w:eastAsia="zh-CN"/>
              </w:rPr>
              <w:t>12</w:t>
            </w:r>
          </w:p>
        </w:tc>
      </w:tr>
      <w:tr w14:paraId="7B5403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7" w:type="pct"/>
            <w:tcBorders>
              <w:tl2br w:val="nil"/>
              <w:tr2bl w:val="nil"/>
            </w:tcBorders>
            <w:noWrap w:val="0"/>
            <w:vAlign w:val="center"/>
          </w:tcPr>
          <w:p w14:paraId="47B5A6C6">
            <w:pPr>
              <w:pageBreakBefore w:val="0"/>
              <w:widowControl/>
              <w:wordWrap/>
              <w:bidi w:val="0"/>
              <w:adjustRightInd/>
              <w:snapToGrid/>
              <w:spacing w:line="240" w:lineRule="auto"/>
              <w:jc w:val="center"/>
              <w:rPr>
                <w:color w:val="auto"/>
                <w:sz w:val="21"/>
                <w:szCs w:val="21"/>
              </w:rPr>
            </w:pPr>
            <w:r>
              <w:rPr>
                <w:color w:val="auto"/>
                <w:sz w:val="21"/>
                <w:szCs w:val="21"/>
              </w:rPr>
              <w:t>坡降</w:t>
            </w:r>
          </w:p>
        </w:tc>
        <w:tc>
          <w:tcPr>
            <w:tcW w:w="3492" w:type="pct"/>
            <w:tcBorders>
              <w:tl2br w:val="nil"/>
              <w:tr2bl w:val="nil"/>
            </w:tcBorders>
            <w:noWrap w:val="0"/>
            <w:vAlign w:val="center"/>
          </w:tcPr>
          <w:p w14:paraId="494572A8">
            <w:pPr>
              <w:pageBreakBefore w:val="0"/>
              <w:widowControl/>
              <w:wordWrap/>
              <w:bidi w:val="0"/>
              <w:adjustRightInd/>
              <w:snapToGrid/>
              <w:spacing w:line="240" w:lineRule="auto"/>
              <w:jc w:val="center"/>
              <w:rPr>
                <w:color w:val="auto"/>
                <w:sz w:val="21"/>
                <w:szCs w:val="21"/>
              </w:rPr>
            </w:pPr>
            <w:r>
              <w:rPr>
                <w:rFonts w:hint="eastAsia"/>
                <w:color w:val="auto"/>
                <w:sz w:val="21"/>
                <w:szCs w:val="21"/>
                <w:lang w:val="en-US" w:eastAsia="zh-CN"/>
              </w:rPr>
              <w:t>0.42</w:t>
            </w:r>
            <w:r>
              <w:rPr>
                <w:color w:val="auto"/>
                <w:sz w:val="21"/>
                <w:szCs w:val="21"/>
              </w:rPr>
              <w:t>‰</w:t>
            </w:r>
          </w:p>
        </w:tc>
      </w:tr>
    </w:tbl>
    <w:p w14:paraId="6EC9714C">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b/>
          <w:bCs/>
          <w:color w:val="auto"/>
          <w:lang w:val="en-US" w:eastAsia="zh-CN"/>
        </w:rPr>
      </w:pPr>
      <w:r>
        <w:rPr>
          <w:rFonts w:hint="eastAsia"/>
          <w:b/>
          <w:bCs/>
          <w:color w:val="auto"/>
          <w:lang w:val="en-US" w:eastAsia="zh-CN"/>
        </w:rPr>
        <w:t>（3）污染物降解系数</w:t>
      </w:r>
    </w:p>
    <w:p w14:paraId="5E3AA2E5">
      <w:pPr>
        <w:bidi w:val="0"/>
        <w:rPr>
          <w:rFonts w:hint="eastAsia"/>
          <w:color w:val="auto"/>
          <w:lang w:eastAsia="zh-CN"/>
        </w:rPr>
      </w:pPr>
      <w:r>
        <w:rPr>
          <w:color w:val="auto"/>
        </w:rPr>
        <w:t>污染物综合降解系数K是反映污染物沿程综合衰变的特征参数，与污染物本身的性质、河段水文特性等因素相关，它是计算水体纳污能力的一项重要参数，对于不同的污染物、不同的环境条件，其值是不同的。根据《水域纳污能力计算规程》（GB/T25173-2010）污染物降解系数可通过分析借用法、实测法等确定</w:t>
      </w:r>
      <w:bookmarkStart w:id="173" w:name="_Hlk81228342"/>
      <w:r>
        <w:rPr>
          <w:color w:val="auto"/>
        </w:rPr>
        <w:t>，本项目采用分析借用法</w:t>
      </w:r>
      <w:bookmarkEnd w:id="173"/>
      <w:r>
        <w:rPr>
          <w:rFonts w:hint="eastAsia"/>
          <w:color w:val="auto"/>
          <w:lang w:eastAsia="zh-CN"/>
        </w:rPr>
        <w:t>。</w:t>
      </w:r>
    </w:p>
    <w:p w14:paraId="76133CAE">
      <w:pPr>
        <w:bidi w:val="0"/>
        <w:rPr>
          <w:rFonts w:hint="eastAsia"/>
          <w:color w:val="auto"/>
          <w:lang w:eastAsia="zh-CN"/>
        </w:rPr>
      </w:pPr>
      <w:r>
        <w:rPr>
          <w:rFonts w:hint="eastAsia"/>
          <w:color w:val="auto"/>
          <w:lang w:eastAsia="zh-CN"/>
        </w:rPr>
        <w:t>根据《全国地表水水环境容量核定技术复核要点》中一般河道水质降解系参考值表和巴中“三线一单”地表水环境容量计算采取的根据流速确定降解系数法，本次</w:t>
      </w:r>
      <w:r>
        <w:rPr>
          <w:rFonts w:hint="eastAsia"/>
          <w:color w:val="auto"/>
          <w:lang w:val="en-US" w:eastAsia="zh-CN"/>
        </w:rPr>
        <w:t>修编</w:t>
      </w:r>
      <w:r>
        <w:rPr>
          <w:rFonts w:hint="eastAsia"/>
          <w:color w:val="auto"/>
        </w:rPr>
        <w:t>规划环评</w:t>
      </w:r>
      <w:r>
        <w:rPr>
          <w:rFonts w:hint="eastAsia"/>
          <w:color w:val="auto"/>
          <w:lang w:eastAsia="zh-CN"/>
        </w:rPr>
        <w:t>选用COD</w:t>
      </w:r>
      <w:r>
        <w:rPr>
          <w:rFonts w:hint="eastAsia"/>
          <w:color w:val="auto"/>
          <w:vertAlign w:val="subscript"/>
          <w:lang w:eastAsia="zh-CN"/>
        </w:rPr>
        <w:t>Cr</w:t>
      </w:r>
      <w:r>
        <w:rPr>
          <w:rFonts w:hint="eastAsia"/>
          <w:color w:val="auto"/>
          <w:lang w:eastAsia="zh-CN"/>
        </w:rPr>
        <w:t>、NH</w:t>
      </w:r>
      <w:r>
        <w:rPr>
          <w:rFonts w:hint="eastAsia"/>
          <w:color w:val="auto"/>
          <w:vertAlign w:val="subscript"/>
          <w:lang w:eastAsia="zh-CN"/>
        </w:rPr>
        <w:t>3</w:t>
      </w:r>
      <w:r>
        <w:rPr>
          <w:rFonts w:hint="eastAsia"/>
          <w:color w:val="auto"/>
          <w:lang w:eastAsia="zh-CN"/>
        </w:rPr>
        <w:t>-N降解系数为0.1（1/d），TP降解系数为0.01（1/d），石油类、甲醛的衰减系数为0。</w:t>
      </w:r>
    </w:p>
    <w:p w14:paraId="13E4656F">
      <w:pPr>
        <w:bidi w:val="0"/>
        <w:rPr>
          <w:b/>
          <w:bCs/>
          <w:color w:val="auto"/>
        </w:rPr>
      </w:pPr>
      <w:r>
        <w:rPr>
          <w:b/>
          <w:bCs/>
          <w:color w:val="auto"/>
        </w:rPr>
        <w:t>（</w:t>
      </w:r>
      <w:r>
        <w:rPr>
          <w:rFonts w:hint="eastAsia"/>
          <w:b/>
          <w:bCs/>
          <w:color w:val="auto"/>
          <w:lang w:val="en-US" w:eastAsia="zh-CN"/>
        </w:rPr>
        <w:t>4</w:t>
      </w:r>
      <w:r>
        <w:rPr>
          <w:b/>
          <w:bCs/>
          <w:color w:val="auto"/>
        </w:rPr>
        <w:t>）排污河段预测本底值确定</w:t>
      </w:r>
    </w:p>
    <w:p w14:paraId="09F7343F">
      <w:pPr>
        <w:bidi w:val="0"/>
        <w:rPr>
          <w:rFonts w:hint="default"/>
          <w:color w:val="auto"/>
          <w:lang w:val="en-US" w:eastAsia="zh-CN"/>
        </w:rPr>
      </w:pPr>
      <w:r>
        <w:rPr>
          <w:rFonts w:hint="eastAsia"/>
          <w:color w:val="auto"/>
          <w:lang w:val="en-US" w:eastAsia="zh-CN"/>
        </w:rPr>
        <w:t>本次预测枯水期数据常规因子（pH、COD、氨氮、TP）和特征因子（石油类）选择信息产业电子第十一设计研究院科技工程股份有限公司于2022年12月7日～2022年12月9日委托四川省工业环境监测研究院对污水排口上游进行的监测（监测报告：川工环监字（2022）第03120069号），特征因子（甲醛）引用信息产业电子第十一设计研究院科技工程股份有限公司于2023年5月22日～2024年5月25日委托四川省工业环境监测研究院对污水排口上游进行的监测（监测报告：川工环监字（2023）第03050220号），具体数值如下：</w:t>
      </w:r>
    </w:p>
    <w:p w14:paraId="1D1770DE">
      <w:pPr>
        <w:pStyle w:val="19"/>
        <w:numPr>
          <w:ilvl w:val="0"/>
          <w:numId w:val="31"/>
        </w:numPr>
        <w:bidi w:val="0"/>
        <w:ind w:left="1440" w:leftChars="0" w:firstLine="0" w:firstLineChars="0"/>
        <w:rPr>
          <w:color w:val="auto"/>
        </w:rPr>
      </w:pPr>
      <w:r>
        <w:rPr>
          <w:rFonts w:hint="eastAsia"/>
          <w:color w:val="auto"/>
          <w:lang w:val="en-US" w:eastAsia="zh-CN"/>
        </w:rPr>
        <w:t>污水排口上游500m</w:t>
      </w:r>
      <w:r>
        <w:rPr>
          <w:rFonts w:hint="eastAsia"/>
          <w:color w:val="auto"/>
        </w:rPr>
        <w:t xml:space="preserve">枯水期情况表  </w:t>
      </w:r>
      <w:r>
        <w:rPr>
          <w:color w:val="auto"/>
        </w:rPr>
        <w:t>单位：mg/L</w:t>
      </w:r>
    </w:p>
    <w:tbl>
      <w:tblPr>
        <w:tblStyle w:val="5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35"/>
        <w:gridCol w:w="1143"/>
        <w:gridCol w:w="1061"/>
        <w:gridCol w:w="1061"/>
        <w:gridCol w:w="1148"/>
        <w:gridCol w:w="986"/>
        <w:gridCol w:w="1052"/>
        <w:gridCol w:w="1053"/>
      </w:tblGrid>
      <w:tr w14:paraId="6B7512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vMerge w:val="restart"/>
            <w:tcBorders>
              <w:tl2br w:val="nil"/>
              <w:tr2bl w:val="nil"/>
            </w:tcBorders>
            <w:noWrap w:val="0"/>
            <w:vAlign w:val="center"/>
          </w:tcPr>
          <w:p w14:paraId="3CBE2381">
            <w:pPr>
              <w:pageBreakBefore w:val="0"/>
              <w:widowControl/>
              <w:wordWrap/>
              <w:bidi w:val="0"/>
              <w:adjustRightInd/>
              <w:snapToGrid/>
              <w:spacing w:line="240" w:lineRule="auto"/>
              <w:ind w:firstLine="0" w:firstLineChars="0"/>
              <w:jc w:val="center"/>
              <w:rPr>
                <w:b/>
                <w:bCs/>
                <w:color w:val="auto"/>
                <w:sz w:val="21"/>
                <w:szCs w:val="21"/>
              </w:rPr>
            </w:pPr>
            <w:r>
              <w:rPr>
                <w:rFonts w:hint="eastAsia"/>
                <w:b/>
                <w:bCs/>
                <w:color w:val="auto"/>
                <w:sz w:val="21"/>
                <w:szCs w:val="21"/>
              </w:rPr>
              <w:t>名称</w:t>
            </w:r>
          </w:p>
        </w:tc>
        <w:tc>
          <w:tcPr>
            <w:tcW w:w="639" w:type="pct"/>
            <w:vMerge w:val="restart"/>
            <w:tcBorders>
              <w:tl2br w:val="nil"/>
              <w:tr2bl w:val="nil"/>
            </w:tcBorders>
            <w:noWrap w:val="0"/>
            <w:vAlign w:val="center"/>
          </w:tcPr>
          <w:p w14:paraId="29F944B3">
            <w:pPr>
              <w:pageBreakBefore w:val="0"/>
              <w:widowControl/>
              <w:wordWrap/>
              <w:bidi w:val="0"/>
              <w:adjustRightInd/>
              <w:snapToGrid/>
              <w:spacing w:line="240" w:lineRule="auto"/>
              <w:ind w:firstLine="0" w:firstLineChars="0"/>
              <w:jc w:val="center"/>
              <w:rPr>
                <w:b/>
                <w:bCs/>
                <w:color w:val="auto"/>
                <w:sz w:val="21"/>
                <w:szCs w:val="21"/>
              </w:rPr>
            </w:pPr>
            <w:r>
              <w:rPr>
                <w:b/>
                <w:bCs/>
                <w:color w:val="auto"/>
                <w:sz w:val="21"/>
                <w:szCs w:val="21"/>
              </w:rPr>
              <w:t>水期</w:t>
            </w:r>
          </w:p>
        </w:tc>
        <w:tc>
          <w:tcPr>
            <w:tcW w:w="2379" w:type="pct"/>
            <w:gridSpan w:val="4"/>
            <w:tcBorders>
              <w:tl2br w:val="nil"/>
              <w:tr2bl w:val="nil"/>
            </w:tcBorders>
            <w:noWrap w:val="0"/>
            <w:vAlign w:val="center"/>
          </w:tcPr>
          <w:p w14:paraId="6D7619C3">
            <w:pPr>
              <w:pageBreakBefore w:val="0"/>
              <w:widowControl/>
              <w:wordWrap/>
              <w:bidi w:val="0"/>
              <w:adjustRightInd/>
              <w:snapToGrid/>
              <w:spacing w:line="240" w:lineRule="auto"/>
              <w:ind w:firstLine="0" w:firstLineChars="0"/>
              <w:jc w:val="center"/>
              <w:rPr>
                <w:rFonts w:hint="default" w:eastAsia="宋体"/>
                <w:b/>
                <w:bCs/>
                <w:color w:val="auto"/>
                <w:sz w:val="21"/>
                <w:szCs w:val="21"/>
                <w:lang w:val="en-US" w:eastAsia="zh-CN"/>
              </w:rPr>
            </w:pPr>
            <w:r>
              <w:rPr>
                <w:rFonts w:hint="eastAsia"/>
                <w:b/>
                <w:bCs/>
                <w:color w:val="auto"/>
                <w:sz w:val="21"/>
                <w:szCs w:val="21"/>
                <w:lang w:val="en-US" w:eastAsia="zh-CN"/>
              </w:rPr>
              <w:t>常规因子</w:t>
            </w:r>
          </w:p>
        </w:tc>
        <w:tc>
          <w:tcPr>
            <w:tcW w:w="1177" w:type="pct"/>
            <w:gridSpan w:val="2"/>
            <w:tcBorders>
              <w:tl2br w:val="nil"/>
              <w:tr2bl w:val="nil"/>
            </w:tcBorders>
            <w:noWrap w:val="0"/>
            <w:vAlign w:val="center"/>
          </w:tcPr>
          <w:p w14:paraId="1DFE6876">
            <w:pPr>
              <w:pageBreakBefore w:val="0"/>
              <w:widowControl/>
              <w:wordWrap/>
              <w:bidi w:val="0"/>
              <w:adjustRightInd/>
              <w:snapToGrid/>
              <w:spacing w:line="240" w:lineRule="auto"/>
              <w:ind w:firstLine="0" w:firstLineChars="0"/>
              <w:jc w:val="center"/>
              <w:rPr>
                <w:rFonts w:hint="eastAsia"/>
                <w:b/>
                <w:bCs/>
                <w:color w:val="auto"/>
                <w:sz w:val="21"/>
                <w:szCs w:val="21"/>
                <w:lang w:val="en-US" w:eastAsia="zh-CN"/>
              </w:rPr>
            </w:pPr>
            <w:r>
              <w:rPr>
                <w:rFonts w:hint="eastAsia"/>
                <w:b/>
                <w:bCs/>
                <w:color w:val="auto"/>
                <w:sz w:val="21"/>
                <w:szCs w:val="21"/>
                <w:lang w:val="en-US" w:eastAsia="zh-CN"/>
              </w:rPr>
              <w:t>特征因子</w:t>
            </w:r>
          </w:p>
        </w:tc>
      </w:tr>
      <w:tr w14:paraId="63925C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vMerge w:val="continue"/>
            <w:tcBorders>
              <w:tl2br w:val="nil"/>
              <w:tr2bl w:val="nil"/>
            </w:tcBorders>
            <w:noWrap w:val="0"/>
            <w:vAlign w:val="center"/>
          </w:tcPr>
          <w:p w14:paraId="2B9C98A4">
            <w:pPr>
              <w:pageBreakBefore w:val="0"/>
              <w:widowControl/>
              <w:wordWrap/>
              <w:bidi w:val="0"/>
              <w:adjustRightInd/>
              <w:snapToGrid/>
              <w:spacing w:line="240" w:lineRule="auto"/>
              <w:ind w:firstLine="0" w:firstLineChars="0"/>
              <w:jc w:val="center"/>
              <w:rPr>
                <w:b/>
                <w:bCs/>
                <w:color w:val="auto"/>
                <w:sz w:val="21"/>
                <w:szCs w:val="21"/>
              </w:rPr>
            </w:pPr>
          </w:p>
        </w:tc>
        <w:tc>
          <w:tcPr>
            <w:tcW w:w="639" w:type="pct"/>
            <w:vMerge w:val="continue"/>
            <w:tcBorders>
              <w:tl2br w:val="nil"/>
              <w:tr2bl w:val="nil"/>
            </w:tcBorders>
            <w:noWrap w:val="0"/>
            <w:vAlign w:val="center"/>
          </w:tcPr>
          <w:p w14:paraId="6D6C8971">
            <w:pPr>
              <w:pageBreakBefore w:val="0"/>
              <w:widowControl/>
              <w:wordWrap/>
              <w:bidi w:val="0"/>
              <w:adjustRightInd/>
              <w:snapToGrid/>
              <w:spacing w:line="240" w:lineRule="auto"/>
              <w:ind w:firstLine="0" w:firstLineChars="0"/>
              <w:jc w:val="center"/>
              <w:rPr>
                <w:b/>
                <w:bCs/>
                <w:color w:val="auto"/>
                <w:sz w:val="21"/>
                <w:szCs w:val="21"/>
              </w:rPr>
            </w:pPr>
          </w:p>
        </w:tc>
        <w:tc>
          <w:tcPr>
            <w:tcW w:w="593" w:type="pct"/>
            <w:tcBorders>
              <w:tl2br w:val="nil"/>
              <w:tr2bl w:val="nil"/>
            </w:tcBorders>
            <w:noWrap w:val="0"/>
            <w:vAlign w:val="center"/>
          </w:tcPr>
          <w:p w14:paraId="530AF99F">
            <w:pPr>
              <w:pageBreakBefore w:val="0"/>
              <w:widowControl/>
              <w:wordWrap/>
              <w:bidi w:val="0"/>
              <w:adjustRightInd/>
              <w:snapToGrid/>
              <w:spacing w:line="240" w:lineRule="auto"/>
              <w:ind w:firstLine="0" w:firstLineChars="0"/>
              <w:jc w:val="center"/>
              <w:rPr>
                <w:rFonts w:hint="default" w:eastAsia="宋体"/>
                <w:b/>
                <w:bCs/>
                <w:color w:val="auto"/>
                <w:sz w:val="21"/>
                <w:szCs w:val="21"/>
                <w:lang w:val="en-US" w:eastAsia="zh-CN"/>
              </w:rPr>
            </w:pPr>
            <w:r>
              <w:rPr>
                <w:rFonts w:hint="eastAsia"/>
                <w:b/>
                <w:bCs/>
                <w:color w:val="auto"/>
                <w:sz w:val="21"/>
                <w:szCs w:val="21"/>
                <w:lang w:val="en-US" w:eastAsia="zh-CN"/>
              </w:rPr>
              <w:t>pH</w:t>
            </w:r>
          </w:p>
        </w:tc>
        <w:tc>
          <w:tcPr>
            <w:tcW w:w="593" w:type="pct"/>
            <w:tcBorders>
              <w:tl2br w:val="nil"/>
              <w:tr2bl w:val="nil"/>
            </w:tcBorders>
            <w:noWrap w:val="0"/>
            <w:vAlign w:val="center"/>
          </w:tcPr>
          <w:p w14:paraId="0766BB5D">
            <w:pPr>
              <w:pageBreakBefore w:val="0"/>
              <w:widowControl/>
              <w:wordWrap/>
              <w:bidi w:val="0"/>
              <w:adjustRightInd/>
              <w:snapToGrid/>
              <w:spacing w:line="240" w:lineRule="auto"/>
              <w:ind w:firstLine="0" w:firstLineChars="0"/>
              <w:jc w:val="center"/>
              <w:rPr>
                <w:b/>
                <w:bCs/>
                <w:color w:val="auto"/>
                <w:sz w:val="21"/>
                <w:szCs w:val="21"/>
              </w:rPr>
            </w:pPr>
            <w:r>
              <w:rPr>
                <w:b/>
                <w:bCs/>
                <w:color w:val="auto"/>
                <w:sz w:val="21"/>
                <w:szCs w:val="21"/>
              </w:rPr>
              <w:t>COD</w:t>
            </w:r>
            <w:r>
              <w:rPr>
                <w:b/>
                <w:bCs/>
                <w:color w:val="auto"/>
                <w:sz w:val="21"/>
                <w:szCs w:val="21"/>
                <w:vertAlign w:val="subscript"/>
              </w:rPr>
              <w:t>Cr</w:t>
            </w:r>
          </w:p>
        </w:tc>
        <w:tc>
          <w:tcPr>
            <w:tcW w:w="642" w:type="pct"/>
            <w:tcBorders>
              <w:tl2br w:val="nil"/>
              <w:tr2bl w:val="nil"/>
            </w:tcBorders>
            <w:noWrap w:val="0"/>
            <w:vAlign w:val="center"/>
          </w:tcPr>
          <w:p w14:paraId="36AB36DD">
            <w:pPr>
              <w:pageBreakBefore w:val="0"/>
              <w:widowControl/>
              <w:wordWrap/>
              <w:bidi w:val="0"/>
              <w:adjustRightInd/>
              <w:snapToGrid/>
              <w:spacing w:line="240" w:lineRule="auto"/>
              <w:ind w:firstLine="0" w:firstLineChars="0"/>
              <w:jc w:val="center"/>
              <w:rPr>
                <w:b/>
                <w:bCs/>
                <w:color w:val="auto"/>
                <w:sz w:val="21"/>
                <w:szCs w:val="21"/>
              </w:rPr>
            </w:pPr>
            <w:r>
              <w:rPr>
                <w:b/>
                <w:bCs/>
                <w:color w:val="auto"/>
                <w:sz w:val="21"/>
                <w:szCs w:val="21"/>
              </w:rPr>
              <w:t>氨氮</w:t>
            </w:r>
          </w:p>
        </w:tc>
        <w:tc>
          <w:tcPr>
            <w:tcW w:w="550" w:type="pct"/>
            <w:tcBorders>
              <w:tl2br w:val="nil"/>
              <w:tr2bl w:val="nil"/>
            </w:tcBorders>
            <w:noWrap w:val="0"/>
            <w:vAlign w:val="center"/>
          </w:tcPr>
          <w:p w14:paraId="173CCC87">
            <w:pPr>
              <w:pageBreakBefore w:val="0"/>
              <w:widowControl/>
              <w:wordWrap/>
              <w:bidi w:val="0"/>
              <w:adjustRightInd/>
              <w:snapToGrid/>
              <w:spacing w:line="240" w:lineRule="auto"/>
              <w:ind w:firstLine="0" w:firstLineChars="0"/>
              <w:jc w:val="center"/>
              <w:rPr>
                <w:b/>
                <w:bCs/>
                <w:color w:val="auto"/>
                <w:sz w:val="21"/>
                <w:szCs w:val="21"/>
              </w:rPr>
            </w:pPr>
            <w:r>
              <w:rPr>
                <w:b/>
                <w:bCs/>
                <w:color w:val="auto"/>
                <w:sz w:val="21"/>
                <w:szCs w:val="21"/>
              </w:rPr>
              <w:t>总磷</w:t>
            </w:r>
          </w:p>
        </w:tc>
        <w:tc>
          <w:tcPr>
            <w:tcW w:w="588" w:type="pct"/>
            <w:tcBorders>
              <w:tl2br w:val="nil"/>
              <w:tr2bl w:val="nil"/>
            </w:tcBorders>
            <w:noWrap w:val="0"/>
            <w:vAlign w:val="center"/>
          </w:tcPr>
          <w:p w14:paraId="463856F0">
            <w:pPr>
              <w:pageBreakBefore w:val="0"/>
              <w:widowControl/>
              <w:wordWrap/>
              <w:bidi w:val="0"/>
              <w:adjustRightInd/>
              <w:snapToGrid/>
              <w:spacing w:line="240" w:lineRule="auto"/>
              <w:ind w:firstLine="0" w:firstLineChars="0"/>
              <w:jc w:val="center"/>
              <w:rPr>
                <w:rFonts w:hint="default" w:eastAsia="宋体"/>
                <w:b/>
                <w:bCs/>
                <w:color w:val="auto"/>
                <w:sz w:val="21"/>
                <w:szCs w:val="21"/>
                <w:lang w:val="en-US" w:eastAsia="zh-CN"/>
              </w:rPr>
            </w:pPr>
            <w:r>
              <w:rPr>
                <w:rFonts w:hint="eastAsia"/>
                <w:b/>
                <w:bCs/>
                <w:color w:val="auto"/>
                <w:sz w:val="21"/>
                <w:szCs w:val="21"/>
                <w:lang w:val="en-US" w:eastAsia="zh-CN"/>
              </w:rPr>
              <w:t>石油类</w:t>
            </w:r>
          </w:p>
        </w:tc>
        <w:tc>
          <w:tcPr>
            <w:tcW w:w="588" w:type="pct"/>
            <w:tcBorders>
              <w:tl2br w:val="nil"/>
              <w:tr2bl w:val="nil"/>
            </w:tcBorders>
            <w:noWrap w:val="0"/>
            <w:vAlign w:val="center"/>
          </w:tcPr>
          <w:p w14:paraId="0E11AF6E">
            <w:pPr>
              <w:pageBreakBefore w:val="0"/>
              <w:widowControl/>
              <w:wordWrap/>
              <w:bidi w:val="0"/>
              <w:adjustRightInd/>
              <w:snapToGrid/>
              <w:spacing w:line="240" w:lineRule="auto"/>
              <w:ind w:firstLine="0" w:firstLineChars="0"/>
              <w:jc w:val="center"/>
              <w:rPr>
                <w:rFonts w:hint="eastAsia" w:eastAsia="宋体"/>
                <w:b/>
                <w:bCs/>
                <w:color w:val="auto"/>
                <w:sz w:val="21"/>
                <w:szCs w:val="21"/>
                <w:lang w:val="en-US" w:eastAsia="zh-CN"/>
              </w:rPr>
            </w:pPr>
            <w:r>
              <w:rPr>
                <w:rFonts w:hint="eastAsia"/>
                <w:b/>
                <w:bCs/>
                <w:color w:val="auto"/>
                <w:sz w:val="21"/>
                <w:szCs w:val="21"/>
                <w:lang w:val="en-US" w:eastAsia="zh-CN"/>
              </w:rPr>
              <w:t>甲醛</w:t>
            </w:r>
          </w:p>
        </w:tc>
      </w:tr>
      <w:tr w14:paraId="1943AB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 w:type="pct"/>
            <w:tcBorders>
              <w:tl2br w:val="nil"/>
              <w:tr2bl w:val="nil"/>
            </w:tcBorders>
            <w:noWrap w:val="0"/>
            <w:vAlign w:val="center"/>
          </w:tcPr>
          <w:p w14:paraId="7B919483">
            <w:pPr>
              <w:pageBreakBefore w:val="0"/>
              <w:widowControl/>
              <w:wordWrap/>
              <w:bidi w:val="0"/>
              <w:adjustRightInd/>
              <w:snapToGrid/>
              <w:spacing w:line="240" w:lineRule="auto"/>
              <w:ind w:firstLine="0" w:firstLineChars="0"/>
              <w:jc w:val="center"/>
              <w:rPr>
                <w:rFonts w:hint="default"/>
                <w:color w:val="auto"/>
                <w:sz w:val="21"/>
                <w:szCs w:val="21"/>
                <w:lang w:val="en-US"/>
              </w:rPr>
            </w:pPr>
            <w:r>
              <w:rPr>
                <w:rFonts w:hint="eastAsia"/>
                <w:color w:val="auto"/>
                <w:sz w:val="21"/>
                <w:szCs w:val="21"/>
                <w:lang w:val="en-US" w:eastAsia="zh-CN"/>
              </w:rPr>
              <w:t>污水排口上游500m</w:t>
            </w:r>
          </w:p>
        </w:tc>
        <w:tc>
          <w:tcPr>
            <w:tcW w:w="639" w:type="pct"/>
            <w:tcBorders>
              <w:tl2br w:val="nil"/>
              <w:tr2bl w:val="nil"/>
            </w:tcBorders>
            <w:noWrap w:val="0"/>
            <w:vAlign w:val="center"/>
          </w:tcPr>
          <w:p w14:paraId="4E160D32">
            <w:pPr>
              <w:pageBreakBefore w:val="0"/>
              <w:wordWrap/>
              <w:bidi w:val="0"/>
              <w:adjustRightInd/>
              <w:snapToGrid/>
              <w:spacing w:line="240" w:lineRule="auto"/>
              <w:ind w:firstLine="0" w:firstLineChars="0"/>
              <w:jc w:val="center"/>
              <w:rPr>
                <w:color w:val="auto"/>
                <w:sz w:val="21"/>
                <w:szCs w:val="21"/>
              </w:rPr>
            </w:pPr>
            <w:r>
              <w:rPr>
                <w:color w:val="auto"/>
                <w:sz w:val="21"/>
                <w:szCs w:val="21"/>
              </w:rPr>
              <w:t>枯水期</w:t>
            </w:r>
          </w:p>
        </w:tc>
        <w:tc>
          <w:tcPr>
            <w:tcW w:w="593" w:type="pct"/>
            <w:tcBorders>
              <w:tl2br w:val="nil"/>
              <w:tr2bl w:val="nil"/>
            </w:tcBorders>
            <w:noWrap w:val="0"/>
            <w:vAlign w:val="center"/>
          </w:tcPr>
          <w:p w14:paraId="40E75B9A">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7.9</w:t>
            </w:r>
          </w:p>
        </w:tc>
        <w:tc>
          <w:tcPr>
            <w:tcW w:w="593" w:type="pct"/>
            <w:tcBorders>
              <w:tl2br w:val="nil"/>
              <w:tr2bl w:val="nil"/>
            </w:tcBorders>
            <w:noWrap w:val="0"/>
            <w:vAlign w:val="center"/>
          </w:tcPr>
          <w:p w14:paraId="3EB137EE">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12.7</w:t>
            </w:r>
          </w:p>
        </w:tc>
        <w:tc>
          <w:tcPr>
            <w:tcW w:w="642" w:type="pct"/>
            <w:tcBorders>
              <w:tl2br w:val="nil"/>
              <w:tr2bl w:val="nil"/>
            </w:tcBorders>
            <w:noWrap w:val="0"/>
            <w:vAlign w:val="center"/>
          </w:tcPr>
          <w:p w14:paraId="51BDAC37">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0.217</w:t>
            </w:r>
          </w:p>
        </w:tc>
        <w:tc>
          <w:tcPr>
            <w:tcW w:w="550" w:type="pct"/>
            <w:tcBorders>
              <w:tl2br w:val="nil"/>
              <w:tr2bl w:val="nil"/>
            </w:tcBorders>
            <w:noWrap w:val="0"/>
            <w:vAlign w:val="center"/>
          </w:tcPr>
          <w:p w14:paraId="39D4FF94">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0.037</w:t>
            </w:r>
          </w:p>
        </w:tc>
        <w:tc>
          <w:tcPr>
            <w:tcW w:w="588" w:type="pct"/>
            <w:tcBorders>
              <w:tl2br w:val="nil"/>
              <w:tr2bl w:val="nil"/>
            </w:tcBorders>
            <w:noWrap w:val="0"/>
            <w:vAlign w:val="center"/>
          </w:tcPr>
          <w:p w14:paraId="2864366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＜0.01</w:t>
            </w:r>
          </w:p>
        </w:tc>
        <w:tc>
          <w:tcPr>
            <w:tcW w:w="588" w:type="pct"/>
            <w:tcBorders>
              <w:tl2br w:val="nil"/>
              <w:tr2bl w:val="nil"/>
            </w:tcBorders>
            <w:noWrap w:val="0"/>
            <w:vAlign w:val="center"/>
          </w:tcPr>
          <w:p w14:paraId="15D3E7EF">
            <w:pPr>
              <w:pageBreakBefore w:val="0"/>
              <w:wordWrap/>
              <w:bidi w:val="0"/>
              <w:adjustRightInd/>
              <w:snapToGrid/>
              <w:spacing w:line="240" w:lineRule="auto"/>
              <w:ind w:firstLine="0" w:firstLineChars="0"/>
              <w:jc w:val="center"/>
              <w:rPr>
                <w:rFonts w:hint="default"/>
                <w:color w:val="auto"/>
                <w:sz w:val="21"/>
                <w:szCs w:val="21"/>
                <w:lang w:val="en-US"/>
              </w:rPr>
            </w:pPr>
            <w:r>
              <w:rPr>
                <w:rFonts w:hint="eastAsia"/>
                <w:color w:val="auto"/>
                <w:sz w:val="21"/>
                <w:szCs w:val="21"/>
                <w:lang w:val="en-US" w:eastAsia="zh-CN"/>
              </w:rPr>
              <w:t>＜0.05</w:t>
            </w:r>
          </w:p>
        </w:tc>
      </w:tr>
    </w:tbl>
    <w:p w14:paraId="157DEF0B">
      <w:pPr>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b/>
          <w:bCs/>
          <w:color w:val="auto"/>
          <w:lang w:eastAsia="zh-CN"/>
        </w:rPr>
      </w:pPr>
      <w:r>
        <w:rPr>
          <w:rFonts w:hint="eastAsia"/>
          <w:b/>
          <w:bCs/>
          <w:color w:val="auto"/>
          <w:lang w:val="en-US" w:eastAsia="zh-CN"/>
        </w:rPr>
        <w:t>（5）</w:t>
      </w:r>
      <w:r>
        <w:rPr>
          <w:rFonts w:hint="eastAsia"/>
          <w:b/>
          <w:bCs/>
          <w:color w:val="auto"/>
          <w:lang w:eastAsia="zh-CN"/>
        </w:rPr>
        <w:t>二维</w:t>
      </w:r>
      <w:r>
        <w:rPr>
          <w:b/>
          <w:bCs/>
          <w:color w:val="auto"/>
        </w:rPr>
        <w:t>模型</w:t>
      </w:r>
      <w:r>
        <w:rPr>
          <w:rFonts w:hint="eastAsia"/>
          <w:b/>
          <w:bCs/>
          <w:color w:val="auto"/>
          <w:lang w:eastAsia="zh-CN"/>
        </w:rPr>
        <w:t>预测参数选择</w:t>
      </w:r>
    </w:p>
    <w:p w14:paraId="2147E178">
      <w:pPr>
        <w:pStyle w:val="19"/>
        <w:numPr>
          <w:ilvl w:val="0"/>
          <w:numId w:val="31"/>
        </w:numPr>
        <w:bidi w:val="0"/>
        <w:ind w:left="1440" w:leftChars="0" w:firstLine="0" w:firstLineChars="0"/>
        <w:rPr>
          <w:rFonts w:hint="eastAsia"/>
          <w:color w:val="auto"/>
          <w:lang w:eastAsia="zh-CN"/>
        </w:rPr>
      </w:pPr>
      <w:r>
        <w:rPr>
          <w:rFonts w:hint="eastAsia"/>
          <w:color w:val="auto"/>
          <w:lang w:eastAsia="zh-CN"/>
        </w:rPr>
        <w:t>枯水期平面二维连续稳定排放（不考虑岸边反射）模型参数选取表</w:t>
      </w:r>
    </w:p>
    <w:tbl>
      <w:tblPr>
        <w:tblStyle w:val="53"/>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6"/>
        <w:gridCol w:w="2395"/>
        <w:gridCol w:w="1077"/>
        <w:gridCol w:w="1077"/>
        <w:gridCol w:w="1077"/>
        <w:gridCol w:w="1077"/>
        <w:gridCol w:w="1077"/>
      </w:tblGrid>
      <w:tr w14:paraId="7A1EEF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1" w:type="dxa"/>
            <w:gridSpan w:val="2"/>
            <w:tcBorders>
              <w:tl2br w:val="nil"/>
              <w:tr2bl w:val="nil"/>
            </w:tcBorders>
            <w:noWrap w:val="0"/>
            <w:vAlign w:val="center"/>
          </w:tcPr>
          <w:p w14:paraId="3494DE9F">
            <w:pPr>
              <w:pStyle w:val="16"/>
              <w:bidi w:val="0"/>
              <w:rPr>
                <w:rFonts w:hint="default"/>
                <w:b/>
                <w:bCs/>
                <w:color w:val="auto"/>
                <w:lang w:val="en-US" w:eastAsia="zh-CN"/>
              </w:rPr>
            </w:pPr>
            <w:r>
              <w:rPr>
                <w:rFonts w:hint="eastAsia"/>
                <w:b/>
                <w:bCs/>
                <w:color w:val="auto"/>
                <w:lang w:val="en-US" w:eastAsia="zh-CN"/>
              </w:rPr>
              <w:t>预测因子</w:t>
            </w:r>
          </w:p>
        </w:tc>
        <w:tc>
          <w:tcPr>
            <w:tcW w:w="1077" w:type="dxa"/>
            <w:tcBorders>
              <w:tl2br w:val="nil"/>
              <w:tr2bl w:val="nil"/>
            </w:tcBorders>
            <w:noWrap w:val="0"/>
            <w:vAlign w:val="center"/>
          </w:tcPr>
          <w:p w14:paraId="0F12FF44">
            <w:pPr>
              <w:pStyle w:val="16"/>
              <w:bidi w:val="0"/>
              <w:rPr>
                <w:rFonts w:hint="default"/>
                <w:b/>
                <w:bCs/>
                <w:color w:val="auto"/>
                <w:lang w:val="en-US" w:eastAsia="zh-CN"/>
              </w:rPr>
            </w:pPr>
            <w:r>
              <w:rPr>
                <w:rFonts w:hint="eastAsia"/>
                <w:b/>
                <w:bCs/>
                <w:color w:val="auto"/>
                <w:lang w:val="en-US" w:eastAsia="zh-CN"/>
              </w:rPr>
              <w:t>COD</w:t>
            </w:r>
          </w:p>
        </w:tc>
        <w:tc>
          <w:tcPr>
            <w:tcW w:w="1077" w:type="dxa"/>
            <w:tcBorders>
              <w:tl2br w:val="nil"/>
              <w:tr2bl w:val="nil"/>
            </w:tcBorders>
            <w:noWrap w:val="0"/>
            <w:vAlign w:val="center"/>
          </w:tcPr>
          <w:p w14:paraId="326576D0">
            <w:pPr>
              <w:pStyle w:val="16"/>
              <w:bidi w:val="0"/>
              <w:rPr>
                <w:rFonts w:hint="eastAsia"/>
                <w:b/>
                <w:bCs/>
                <w:color w:val="auto"/>
                <w:lang w:val="en-US" w:eastAsia="zh-CN"/>
              </w:rPr>
            </w:pPr>
            <w:r>
              <w:rPr>
                <w:rFonts w:hint="eastAsia"/>
                <w:b/>
                <w:bCs/>
                <w:color w:val="auto"/>
                <w:lang w:val="en-US" w:eastAsia="zh-CN"/>
              </w:rPr>
              <w:t>氨氮</w:t>
            </w:r>
          </w:p>
        </w:tc>
        <w:tc>
          <w:tcPr>
            <w:tcW w:w="1077" w:type="dxa"/>
            <w:tcBorders>
              <w:tl2br w:val="nil"/>
              <w:tr2bl w:val="nil"/>
            </w:tcBorders>
            <w:noWrap w:val="0"/>
            <w:vAlign w:val="center"/>
          </w:tcPr>
          <w:p w14:paraId="6E81A8FE">
            <w:pPr>
              <w:pStyle w:val="16"/>
              <w:bidi w:val="0"/>
              <w:rPr>
                <w:rFonts w:hint="default"/>
                <w:b/>
                <w:bCs/>
                <w:color w:val="auto"/>
                <w:lang w:val="en-US" w:eastAsia="zh-CN"/>
              </w:rPr>
            </w:pPr>
            <w:r>
              <w:rPr>
                <w:rFonts w:hint="eastAsia"/>
                <w:b/>
                <w:bCs/>
                <w:color w:val="auto"/>
                <w:lang w:val="en-US" w:eastAsia="zh-CN"/>
              </w:rPr>
              <w:t>TP</w:t>
            </w:r>
          </w:p>
        </w:tc>
        <w:tc>
          <w:tcPr>
            <w:tcW w:w="1077" w:type="dxa"/>
            <w:tcBorders>
              <w:tl2br w:val="nil"/>
              <w:tr2bl w:val="nil"/>
            </w:tcBorders>
            <w:noWrap w:val="0"/>
            <w:vAlign w:val="center"/>
          </w:tcPr>
          <w:p w14:paraId="498A03AF">
            <w:pPr>
              <w:pStyle w:val="16"/>
              <w:bidi w:val="0"/>
              <w:rPr>
                <w:rFonts w:hint="default"/>
                <w:b/>
                <w:bCs/>
                <w:color w:val="auto"/>
                <w:lang w:val="en-US" w:eastAsia="zh-CN"/>
              </w:rPr>
            </w:pPr>
            <w:r>
              <w:rPr>
                <w:rFonts w:hint="eastAsia"/>
                <w:b/>
                <w:bCs/>
                <w:color w:val="auto"/>
                <w:lang w:val="en-US" w:eastAsia="zh-CN"/>
              </w:rPr>
              <w:t>石油类</w:t>
            </w:r>
          </w:p>
        </w:tc>
        <w:tc>
          <w:tcPr>
            <w:tcW w:w="1077" w:type="dxa"/>
            <w:tcBorders>
              <w:tl2br w:val="nil"/>
              <w:tr2bl w:val="nil"/>
            </w:tcBorders>
            <w:noWrap w:val="0"/>
            <w:vAlign w:val="center"/>
          </w:tcPr>
          <w:p w14:paraId="1D37E46F">
            <w:pPr>
              <w:pStyle w:val="16"/>
              <w:bidi w:val="0"/>
              <w:rPr>
                <w:rFonts w:hint="default"/>
                <w:b/>
                <w:bCs/>
                <w:color w:val="auto"/>
                <w:lang w:val="en-US" w:eastAsia="zh-CN"/>
              </w:rPr>
            </w:pPr>
            <w:r>
              <w:rPr>
                <w:rFonts w:hint="eastAsia"/>
                <w:b/>
                <w:bCs/>
                <w:color w:val="auto"/>
                <w:lang w:val="en-US" w:eastAsia="zh-CN"/>
              </w:rPr>
              <w:t>甲醛</w:t>
            </w:r>
          </w:p>
        </w:tc>
      </w:tr>
      <w:tr w14:paraId="648771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6" w:type="dxa"/>
            <w:tcBorders>
              <w:tl2br w:val="nil"/>
              <w:tr2bl w:val="nil"/>
            </w:tcBorders>
            <w:noWrap w:val="0"/>
            <w:vAlign w:val="center"/>
          </w:tcPr>
          <w:p w14:paraId="35F927ED">
            <w:pPr>
              <w:pStyle w:val="16"/>
              <w:bidi w:val="0"/>
              <w:rPr>
                <w:rFonts w:hint="default"/>
                <w:color w:val="auto"/>
                <w:lang w:val="en-US" w:eastAsia="zh-CN"/>
              </w:rPr>
            </w:pPr>
            <w:r>
              <w:rPr>
                <w:rFonts w:hint="eastAsia"/>
                <w:color w:val="auto"/>
                <w:lang w:val="en-US" w:eastAsia="zh-CN"/>
              </w:rPr>
              <w:t>K（1/d）</w:t>
            </w:r>
          </w:p>
        </w:tc>
        <w:tc>
          <w:tcPr>
            <w:tcW w:w="2395" w:type="dxa"/>
            <w:tcBorders>
              <w:tl2br w:val="nil"/>
              <w:tr2bl w:val="nil"/>
            </w:tcBorders>
            <w:noWrap w:val="0"/>
            <w:vAlign w:val="center"/>
          </w:tcPr>
          <w:p w14:paraId="5FE6320E">
            <w:pPr>
              <w:pStyle w:val="16"/>
              <w:bidi w:val="0"/>
              <w:rPr>
                <w:rFonts w:hint="default"/>
                <w:color w:val="auto"/>
                <w:lang w:val="en-US" w:eastAsia="zh-CN"/>
              </w:rPr>
            </w:pPr>
            <w:r>
              <w:rPr>
                <w:rFonts w:hint="eastAsia"/>
                <w:color w:val="auto"/>
                <w:lang w:val="en-US" w:eastAsia="zh-CN"/>
              </w:rPr>
              <w:t>污染物综合衰减系数</w:t>
            </w:r>
          </w:p>
        </w:tc>
        <w:tc>
          <w:tcPr>
            <w:tcW w:w="1077" w:type="dxa"/>
            <w:tcBorders>
              <w:tl2br w:val="nil"/>
              <w:tr2bl w:val="nil"/>
            </w:tcBorders>
            <w:noWrap w:val="0"/>
            <w:vAlign w:val="center"/>
          </w:tcPr>
          <w:p w14:paraId="67993327">
            <w:pPr>
              <w:pStyle w:val="16"/>
              <w:bidi w:val="0"/>
              <w:rPr>
                <w:rFonts w:hint="default" w:eastAsia="宋体"/>
                <w:color w:val="auto"/>
                <w:lang w:val="en-US" w:eastAsia="zh-CN"/>
              </w:rPr>
            </w:pPr>
            <w:r>
              <w:rPr>
                <w:rFonts w:hint="eastAsia"/>
                <w:color w:val="auto"/>
                <w:lang w:val="en-US" w:eastAsia="zh-CN"/>
              </w:rPr>
              <w:t>0.1</w:t>
            </w:r>
          </w:p>
        </w:tc>
        <w:tc>
          <w:tcPr>
            <w:tcW w:w="1077" w:type="dxa"/>
            <w:tcBorders>
              <w:tl2br w:val="nil"/>
              <w:tr2bl w:val="nil"/>
            </w:tcBorders>
            <w:noWrap w:val="0"/>
            <w:vAlign w:val="center"/>
          </w:tcPr>
          <w:p w14:paraId="53ADEF07">
            <w:pPr>
              <w:pStyle w:val="16"/>
              <w:bidi w:val="0"/>
              <w:rPr>
                <w:rFonts w:hint="default" w:eastAsia="宋体"/>
                <w:color w:val="auto"/>
                <w:lang w:val="en-US" w:eastAsia="zh-CN"/>
              </w:rPr>
            </w:pPr>
            <w:r>
              <w:rPr>
                <w:rFonts w:hint="eastAsia"/>
                <w:color w:val="auto"/>
                <w:lang w:val="en-US" w:eastAsia="zh-CN"/>
              </w:rPr>
              <w:t>0.1</w:t>
            </w:r>
          </w:p>
        </w:tc>
        <w:tc>
          <w:tcPr>
            <w:tcW w:w="1077" w:type="dxa"/>
            <w:tcBorders>
              <w:tl2br w:val="nil"/>
              <w:tr2bl w:val="nil"/>
            </w:tcBorders>
            <w:noWrap w:val="0"/>
            <w:vAlign w:val="center"/>
          </w:tcPr>
          <w:p w14:paraId="255166E6">
            <w:pPr>
              <w:pStyle w:val="16"/>
              <w:bidi w:val="0"/>
              <w:rPr>
                <w:rFonts w:hint="default" w:eastAsia="宋体"/>
                <w:color w:val="auto"/>
                <w:lang w:val="en-US" w:eastAsia="zh-CN"/>
              </w:rPr>
            </w:pPr>
            <w:r>
              <w:rPr>
                <w:rFonts w:hint="eastAsia"/>
                <w:color w:val="auto"/>
                <w:lang w:val="en-US" w:eastAsia="zh-CN"/>
              </w:rPr>
              <w:t>0.1</w:t>
            </w:r>
          </w:p>
        </w:tc>
        <w:tc>
          <w:tcPr>
            <w:tcW w:w="1077" w:type="dxa"/>
            <w:tcBorders>
              <w:tl2br w:val="nil"/>
              <w:tr2bl w:val="nil"/>
            </w:tcBorders>
            <w:noWrap w:val="0"/>
            <w:vAlign w:val="center"/>
          </w:tcPr>
          <w:p w14:paraId="014AE511">
            <w:pPr>
              <w:pStyle w:val="16"/>
              <w:bidi w:val="0"/>
              <w:rPr>
                <w:rFonts w:hint="default"/>
                <w:color w:val="auto"/>
                <w:lang w:val="en-US" w:eastAsia="zh-CN"/>
              </w:rPr>
            </w:pPr>
            <w:r>
              <w:rPr>
                <w:rFonts w:hint="eastAsia"/>
                <w:color w:val="auto"/>
                <w:lang w:val="en-US" w:eastAsia="zh-CN"/>
              </w:rPr>
              <w:t>0</w:t>
            </w:r>
          </w:p>
        </w:tc>
        <w:tc>
          <w:tcPr>
            <w:tcW w:w="1077" w:type="dxa"/>
            <w:tcBorders>
              <w:tl2br w:val="nil"/>
              <w:tr2bl w:val="nil"/>
            </w:tcBorders>
            <w:noWrap w:val="0"/>
            <w:vAlign w:val="center"/>
          </w:tcPr>
          <w:p w14:paraId="11A6492E">
            <w:pPr>
              <w:pStyle w:val="16"/>
              <w:bidi w:val="0"/>
              <w:rPr>
                <w:rFonts w:hint="default"/>
                <w:color w:val="auto"/>
                <w:lang w:val="en-US" w:eastAsia="zh-CN"/>
              </w:rPr>
            </w:pPr>
            <w:r>
              <w:rPr>
                <w:rFonts w:hint="eastAsia"/>
                <w:color w:val="auto"/>
                <w:lang w:val="en-US" w:eastAsia="zh-CN"/>
              </w:rPr>
              <w:t>0</w:t>
            </w:r>
          </w:p>
        </w:tc>
      </w:tr>
      <w:tr w14:paraId="209255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6" w:type="dxa"/>
            <w:tcBorders>
              <w:tl2br w:val="nil"/>
              <w:tr2bl w:val="nil"/>
            </w:tcBorders>
            <w:noWrap w:val="0"/>
            <w:vAlign w:val="center"/>
          </w:tcPr>
          <w:p w14:paraId="26DA0567">
            <w:pPr>
              <w:pStyle w:val="16"/>
              <w:bidi w:val="0"/>
              <w:rPr>
                <w:rFonts w:hint="eastAsia"/>
                <w:color w:val="auto"/>
              </w:rPr>
            </w:pPr>
            <w:r>
              <w:rPr>
                <w:rFonts w:hint="eastAsia"/>
                <w:color w:val="auto"/>
                <w:lang w:val="en-US" w:eastAsia="zh-CN"/>
              </w:rPr>
              <w:t>u（m/s）</w:t>
            </w:r>
          </w:p>
        </w:tc>
        <w:tc>
          <w:tcPr>
            <w:tcW w:w="2395" w:type="dxa"/>
            <w:tcBorders>
              <w:tl2br w:val="nil"/>
              <w:tr2bl w:val="nil"/>
            </w:tcBorders>
            <w:noWrap w:val="0"/>
            <w:vAlign w:val="center"/>
          </w:tcPr>
          <w:p w14:paraId="26DDFA38">
            <w:pPr>
              <w:pStyle w:val="16"/>
              <w:bidi w:val="0"/>
              <w:rPr>
                <w:rFonts w:hint="default"/>
                <w:color w:val="auto"/>
                <w:lang w:val="en-US" w:eastAsia="zh-CN"/>
              </w:rPr>
            </w:pPr>
            <w:r>
              <w:rPr>
                <w:rFonts w:hint="eastAsia"/>
                <w:color w:val="auto"/>
                <w:lang w:val="en-US" w:eastAsia="zh-CN"/>
              </w:rPr>
              <w:t>断面流速</w:t>
            </w:r>
          </w:p>
        </w:tc>
        <w:tc>
          <w:tcPr>
            <w:tcW w:w="1077" w:type="dxa"/>
            <w:tcBorders>
              <w:tl2br w:val="nil"/>
              <w:tr2bl w:val="nil"/>
            </w:tcBorders>
            <w:noWrap w:val="0"/>
            <w:vAlign w:val="center"/>
          </w:tcPr>
          <w:p w14:paraId="0315F1E4">
            <w:pPr>
              <w:pStyle w:val="16"/>
              <w:bidi w:val="0"/>
              <w:rPr>
                <w:rFonts w:hint="default"/>
                <w:color w:val="auto"/>
                <w:lang w:val="en-US" w:eastAsia="zh-CN"/>
              </w:rPr>
            </w:pPr>
            <w:r>
              <w:rPr>
                <w:rFonts w:hint="eastAsia"/>
                <w:color w:val="auto"/>
                <w:lang w:val="en-US" w:eastAsia="zh-CN"/>
              </w:rPr>
              <w:t>0.005</w:t>
            </w:r>
          </w:p>
        </w:tc>
        <w:tc>
          <w:tcPr>
            <w:tcW w:w="1077" w:type="dxa"/>
            <w:tcBorders>
              <w:tl2br w:val="nil"/>
              <w:tr2bl w:val="nil"/>
            </w:tcBorders>
            <w:noWrap w:val="0"/>
            <w:vAlign w:val="center"/>
          </w:tcPr>
          <w:p w14:paraId="69C54444">
            <w:pPr>
              <w:pStyle w:val="16"/>
              <w:bidi w:val="0"/>
              <w:ind w:left="0" w:leftChars="0" w:firstLine="0" w:firstLineChars="0"/>
              <w:rPr>
                <w:rFonts w:hint="eastAsia"/>
                <w:color w:val="auto"/>
              </w:rPr>
            </w:pPr>
            <w:r>
              <w:rPr>
                <w:rFonts w:hint="eastAsia"/>
                <w:color w:val="auto"/>
                <w:lang w:val="en-US" w:eastAsia="zh-CN"/>
              </w:rPr>
              <w:t>0.005</w:t>
            </w:r>
          </w:p>
        </w:tc>
        <w:tc>
          <w:tcPr>
            <w:tcW w:w="1077" w:type="dxa"/>
            <w:tcBorders>
              <w:tl2br w:val="nil"/>
              <w:tr2bl w:val="nil"/>
            </w:tcBorders>
            <w:noWrap w:val="0"/>
            <w:vAlign w:val="center"/>
          </w:tcPr>
          <w:p w14:paraId="399B996D">
            <w:pPr>
              <w:pStyle w:val="16"/>
              <w:bidi w:val="0"/>
              <w:ind w:left="0" w:leftChars="0" w:firstLine="0" w:firstLineChars="0"/>
              <w:rPr>
                <w:rFonts w:hint="eastAsia"/>
                <w:color w:val="auto"/>
              </w:rPr>
            </w:pPr>
            <w:r>
              <w:rPr>
                <w:rFonts w:hint="eastAsia"/>
                <w:color w:val="auto"/>
                <w:lang w:val="en-US" w:eastAsia="zh-CN"/>
              </w:rPr>
              <w:t>0.005</w:t>
            </w:r>
          </w:p>
        </w:tc>
        <w:tc>
          <w:tcPr>
            <w:tcW w:w="1077" w:type="dxa"/>
            <w:tcBorders>
              <w:tl2br w:val="nil"/>
              <w:tr2bl w:val="nil"/>
            </w:tcBorders>
            <w:noWrap w:val="0"/>
            <w:vAlign w:val="center"/>
          </w:tcPr>
          <w:p w14:paraId="05B0DAA6">
            <w:pPr>
              <w:pStyle w:val="16"/>
              <w:bidi w:val="0"/>
              <w:ind w:left="0" w:leftChars="0" w:firstLine="0" w:firstLineChars="0"/>
              <w:rPr>
                <w:rFonts w:hint="eastAsia"/>
                <w:color w:val="auto"/>
                <w:lang w:val="en-US" w:eastAsia="zh-CN"/>
              </w:rPr>
            </w:pPr>
            <w:r>
              <w:rPr>
                <w:rFonts w:hint="eastAsia"/>
                <w:color w:val="auto"/>
                <w:lang w:val="en-US" w:eastAsia="zh-CN"/>
              </w:rPr>
              <w:t>0.005</w:t>
            </w:r>
          </w:p>
        </w:tc>
        <w:tc>
          <w:tcPr>
            <w:tcW w:w="1077" w:type="dxa"/>
            <w:tcBorders>
              <w:tl2br w:val="nil"/>
              <w:tr2bl w:val="nil"/>
            </w:tcBorders>
            <w:noWrap w:val="0"/>
            <w:vAlign w:val="center"/>
          </w:tcPr>
          <w:p w14:paraId="4D4ED1DB">
            <w:pPr>
              <w:pStyle w:val="16"/>
              <w:bidi w:val="0"/>
              <w:ind w:left="0" w:leftChars="0" w:firstLine="0" w:firstLineChars="0"/>
              <w:rPr>
                <w:rFonts w:hint="eastAsia"/>
                <w:color w:val="auto"/>
                <w:lang w:val="en-US" w:eastAsia="zh-CN"/>
              </w:rPr>
            </w:pPr>
            <w:r>
              <w:rPr>
                <w:rFonts w:hint="eastAsia"/>
                <w:color w:val="auto"/>
                <w:lang w:val="en-US" w:eastAsia="zh-CN"/>
              </w:rPr>
              <w:t>0.005</w:t>
            </w:r>
          </w:p>
        </w:tc>
      </w:tr>
      <w:tr w14:paraId="6D8657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6" w:type="dxa"/>
            <w:tcBorders>
              <w:tl2br w:val="nil"/>
              <w:tr2bl w:val="nil"/>
            </w:tcBorders>
            <w:noWrap w:val="0"/>
            <w:vAlign w:val="center"/>
          </w:tcPr>
          <w:p w14:paraId="21C7BB70">
            <w:pPr>
              <w:pStyle w:val="16"/>
              <w:bidi w:val="0"/>
              <w:rPr>
                <w:rFonts w:hint="eastAsia"/>
                <w:color w:val="auto"/>
              </w:rPr>
            </w:pPr>
            <w:r>
              <w:rPr>
                <w:rFonts w:hint="eastAsia"/>
                <w:color w:val="auto"/>
                <w:lang w:val="en-US" w:eastAsia="zh-CN"/>
              </w:rPr>
              <w:t>h（m）</w:t>
            </w:r>
          </w:p>
        </w:tc>
        <w:tc>
          <w:tcPr>
            <w:tcW w:w="2395" w:type="dxa"/>
            <w:tcBorders>
              <w:tl2br w:val="nil"/>
              <w:tr2bl w:val="nil"/>
            </w:tcBorders>
            <w:noWrap w:val="0"/>
            <w:vAlign w:val="center"/>
          </w:tcPr>
          <w:p w14:paraId="5CF36010">
            <w:pPr>
              <w:pStyle w:val="16"/>
              <w:bidi w:val="0"/>
              <w:rPr>
                <w:rFonts w:hint="default"/>
                <w:color w:val="auto"/>
                <w:lang w:val="en-US" w:eastAsia="zh-CN"/>
              </w:rPr>
            </w:pPr>
            <w:r>
              <w:rPr>
                <w:rFonts w:hint="eastAsia"/>
                <w:color w:val="auto"/>
                <w:lang w:val="en-US" w:eastAsia="zh-CN"/>
              </w:rPr>
              <w:t>断面水深</w:t>
            </w:r>
          </w:p>
        </w:tc>
        <w:tc>
          <w:tcPr>
            <w:tcW w:w="1077" w:type="dxa"/>
            <w:tcBorders>
              <w:tl2br w:val="nil"/>
              <w:tr2bl w:val="nil"/>
            </w:tcBorders>
            <w:noWrap w:val="0"/>
            <w:vAlign w:val="center"/>
          </w:tcPr>
          <w:p w14:paraId="23229E40">
            <w:pPr>
              <w:pStyle w:val="16"/>
              <w:bidi w:val="0"/>
              <w:rPr>
                <w:rFonts w:hint="default"/>
                <w:color w:val="auto"/>
                <w:lang w:val="en-US" w:eastAsia="zh-CN"/>
              </w:rPr>
            </w:pPr>
            <w:r>
              <w:rPr>
                <w:rFonts w:hint="eastAsia"/>
                <w:color w:val="auto"/>
                <w:lang w:val="en-US" w:eastAsia="zh-CN"/>
              </w:rPr>
              <w:t>12</w:t>
            </w:r>
          </w:p>
        </w:tc>
        <w:tc>
          <w:tcPr>
            <w:tcW w:w="1077" w:type="dxa"/>
            <w:tcBorders>
              <w:tl2br w:val="nil"/>
              <w:tr2bl w:val="nil"/>
            </w:tcBorders>
            <w:noWrap w:val="0"/>
            <w:vAlign w:val="center"/>
          </w:tcPr>
          <w:p w14:paraId="7D86950A">
            <w:pPr>
              <w:pStyle w:val="16"/>
              <w:bidi w:val="0"/>
              <w:ind w:left="0" w:leftChars="0" w:firstLine="0" w:firstLineChars="0"/>
              <w:rPr>
                <w:rFonts w:hint="eastAsia"/>
                <w:color w:val="auto"/>
              </w:rPr>
            </w:pPr>
            <w:r>
              <w:rPr>
                <w:rFonts w:hint="eastAsia"/>
                <w:color w:val="auto"/>
                <w:lang w:val="en-US" w:eastAsia="zh-CN"/>
              </w:rPr>
              <w:t>12</w:t>
            </w:r>
          </w:p>
        </w:tc>
        <w:tc>
          <w:tcPr>
            <w:tcW w:w="1077" w:type="dxa"/>
            <w:tcBorders>
              <w:tl2br w:val="nil"/>
              <w:tr2bl w:val="nil"/>
            </w:tcBorders>
            <w:noWrap w:val="0"/>
            <w:vAlign w:val="center"/>
          </w:tcPr>
          <w:p w14:paraId="6793DC12">
            <w:pPr>
              <w:pStyle w:val="16"/>
              <w:bidi w:val="0"/>
              <w:ind w:left="0" w:leftChars="0" w:firstLine="0" w:firstLineChars="0"/>
              <w:rPr>
                <w:rFonts w:hint="eastAsia"/>
                <w:color w:val="auto"/>
              </w:rPr>
            </w:pPr>
            <w:r>
              <w:rPr>
                <w:rFonts w:hint="eastAsia"/>
                <w:color w:val="auto"/>
                <w:lang w:val="en-US" w:eastAsia="zh-CN"/>
              </w:rPr>
              <w:t>12</w:t>
            </w:r>
          </w:p>
        </w:tc>
        <w:tc>
          <w:tcPr>
            <w:tcW w:w="1077" w:type="dxa"/>
            <w:tcBorders>
              <w:tl2br w:val="nil"/>
              <w:tr2bl w:val="nil"/>
            </w:tcBorders>
            <w:noWrap w:val="0"/>
            <w:vAlign w:val="center"/>
          </w:tcPr>
          <w:p w14:paraId="4A58D052">
            <w:pPr>
              <w:pStyle w:val="16"/>
              <w:bidi w:val="0"/>
              <w:ind w:left="0" w:leftChars="0" w:firstLine="0" w:firstLineChars="0"/>
              <w:rPr>
                <w:rFonts w:hint="eastAsia"/>
                <w:color w:val="auto"/>
                <w:lang w:val="en-US" w:eastAsia="zh-CN"/>
              </w:rPr>
            </w:pPr>
            <w:r>
              <w:rPr>
                <w:rFonts w:hint="eastAsia"/>
                <w:color w:val="auto"/>
                <w:lang w:val="en-US" w:eastAsia="zh-CN"/>
              </w:rPr>
              <w:t>12</w:t>
            </w:r>
          </w:p>
        </w:tc>
        <w:tc>
          <w:tcPr>
            <w:tcW w:w="1077" w:type="dxa"/>
            <w:tcBorders>
              <w:tl2br w:val="nil"/>
              <w:tr2bl w:val="nil"/>
            </w:tcBorders>
            <w:noWrap w:val="0"/>
            <w:vAlign w:val="center"/>
          </w:tcPr>
          <w:p w14:paraId="10C97C65">
            <w:pPr>
              <w:pStyle w:val="16"/>
              <w:bidi w:val="0"/>
              <w:ind w:left="0" w:leftChars="0" w:firstLine="0" w:firstLineChars="0"/>
              <w:rPr>
                <w:rFonts w:hint="eastAsia"/>
                <w:color w:val="auto"/>
                <w:lang w:val="en-US" w:eastAsia="zh-CN"/>
              </w:rPr>
            </w:pPr>
            <w:r>
              <w:rPr>
                <w:rFonts w:hint="eastAsia"/>
                <w:color w:val="auto"/>
                <w:lang w:val="en-US" w:eastAsia="zh-CN"/>
              </w:rPr>
              <w:t>12</w:t>
            </w:r>
          </w:p>
        </w:tc>
      </w:tr>
      <w:tr w14:paraId="33F2B4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6" w:type="dxa"/>
            <w:tcBorders>
              <w:tl2br w:val="nil"/>
              <w:tr2bl w:val="nil"/>
            </w:tcBorders>
            <w:noWrap w:val="0"/>
            <w:vAlign w:val="center"/>
          </w:tcPr>
          <w:p w14:paraId="2DE8C415">
            <w:pPr>
              <w:pStyle w:val="16"/>
              <w:bidi w:val="0"/>
              <w:rPr>
                <w:rFonts w:hint="eastAsia"/>
                <w:color w:val="auto"/>
                <w:lang w:val="en-US" w:eastAsia="zh-CN"/>
              </w:rPr>
            </w:pPr>
            <w:r>
              <w:rPr>
                <w:rFonts w:hint="eastAsia"/>
                <w:color w:val="auto"/>
                <w:lang w:val="en-US" w:eastAsia="zh-CN"/>
              </w:rPr>
              <w:t>I</w:t>
            </w:r>
          </w:p>
        </w:tc>
        <w:tc>
          <w:tcPr>
            <w:tcW w:w="2395" w:type="dxa"/>
            <w:tcBorders>
              <w:tl2br w:val="nil"/>
              <w:tr2bl w:val="nil"/>
            </w:tcBorders>
            <w:noWrap w:val="0"/>
            <w:vAlign w:val="center"/>
          </w:tcPr>
          <w:p w14:paraId="252F0506">
            <w:pPr>
              <w:pStyle w:val="16"/>
              <w:bidi w:val="0"/>
              <w:rPr>
                <w:rFonts w:hint="eastAsia"/>
                <w:color w:val="auto"/>
                <w:lang w:eastAsia="zh-CN"/>
              </w:rPr>
            </w:pPr>
            <w:r>
              <w:rPr>
                <w:rFonts w:hint="eastAsia"/>
                <w:color w:val="auto"/>
                <w:lang w:eastAsia="zh-CN"/>
              </w:rPr>
              <w:t>河流地坡系数</w:t>
            </w:r>
          </w:p>
        </w:tc>
        <w:tc>
          <w:tcPr>
            <w:tcW w:w="1077" w:type="dxa"/>
            <w:tcBorders>
              <w:tl2br w:val="nil"/>
              <w:tr2bl w:val="nil"/>
            </w:tcBorders>
            <w:noWrap w:val="0"/>
            <w:vAlign w:val="center"/>
          </w:tcPr>
          <w:p w14:paraId="412F1BD9">
            <w:pPr>
              <w:pStyle w:val="16"/>
              <w:bidi w:val="0"/>
              <w:rPr>
                <w:rFonts w:hint="default" w:eastAsia="宋体"/>
                <w:color w:val="auto"/>
                <w:lang w:val="en-US" w:eastAsia="zh-CN"/>
              </w:rPr>
            </w:pPr>
            <w:r>
              <w:rPr>
                <w:rFonts w:hint="eastAsia"/>
                <w:color w:val="auto"/>
                <w:lang w:val="en-US" w:eastAsia="zh-CN"/>
              </w:rPr>
              <w:t>0.00042</w:t>
            </w:r>
          </w:p>
        </w:tc>
        <w:tc>
          <w:tcPr>
            <w:tcW w:w="1077" w:type="dxa"/>
            <w:tcBorders>
              <w:tl2br w:val="nil"/>
              <w:tr2bl w:val="nil"/>
            </w:tcBorders>
            <w:noWrap w:val="0"/>
            <w:vAlign w:val="center"/>
          </w:tcPr>
          <w:p w14:paraId="669025AC">
            <w:pPr>
              <w:pStyle w:val="16"/>
              <w:bidi w:val="0"/>
              <w:ind w:left="0" w:leftChars="0" w:firstLine="0" w:firstLineChars="0"/>
              <w:rPr>
                <w:rFonts w:hint="default"/>
                <w:color w:val="auto"/>
                <w:lang w:val="en-US"/>
              </w:rPr>
            </w:pPr>
            <w:r>
              <w:rPr>
                <w:rFonts w:hint="eastAsia"/>
                <w:color w:val="auto"/>
                <w:lang w:val="en-US" w:eastAsia="zh-CN"/>
              </w:rPr>
              <w:t>0.00042</w:t>
            </w:r>
          </w:p>
        </w:tc>
        <w:tc>
          <w:tcPr>
            <w:tcW w:w="1077" w:type="dxa"/>
            <w:tcBorders>
              <w:tl2br w:val="nil"/>
              <w:tr2bl w:val="nil"/>
            </w:tcBorders>
            <w:noWrap w:val="0"/>
            <w:vAlign w:val="center"/>
          </w:tcPr>
          <w:p w14:paraId="1BE3C8AF">
            <w:pPr>
              <w:pStyle w:val="16"/>
              <w:bidi w:val="0"/>
              <w:ind w:left="0" w:leftChars="0" w:firstLine="0" w:firstLineChars="0"/>
              <w:rPr>
                <w:rFonts w:hint="eastAsia"/>
                <w:color w:val="auto"/>
              </w:rPr>
            </w:pPr>
            <w:r>
              <w:rPr>
                <w:rFonts w:hint="eastAsia"/>
                <w:color w:val="auto"/>
                <w:lang w:val="en-US" w:eastAsia="zh-CN"/>
              </w:rPr>
              <w:t>0.00042</w:t>
            </w:r>
          </w:p>
        </w:tc>
        <w:tc>
          <w:tcPr>
            <w:tcW w:w="1077" w:type="dxa"/>
            <w:tcBorders>
              <w:tl2br w:val="nil"/>
              <w:tr2bl w:val="nil"/>
            </w:tcBorders>
            <w:noWrap w:val="0"/>
            <w:vAlign w:val="center"/>
          </w:tcPr>
          <w:p w14:paraId="47FBF5DA">
            <w:pPr>
              <w:pStyle w:val="16"/>
              <w:bidi w:val="0"/>
              <w:ind w:left="0" w:leftChars="0" w:firstLine="0" w:firstLineChars="0"/>
              <w:rPr>
                <w:rFonts w:hint="eastAsia"/>
                <w:color w:val="auto"/>
                <w:lang w:val="en-US" w:eastAsia="zh-CN"/>
              </w:rPr>
            </w:pPr>
            <w:r>
              <w:rPr>
                <w:rFonts w:hint="eastAsia"/>
                <w:color w:val="auto"/>
                <w:lang w:val="en-US" w:eastAsia="zh-CN"/>
              </w:rPr>
              <w:t>0.00042</w:t>
            </w:r>
          </w:p>
        </w:tc>
        <w:tc>
          <w:tcPr>
            <w:tcW w:w="1077" w:type="dxa"/>
            <w:tcBorders>
              <w:tl2br w:val="nil"/>
              <w:tr2bl w:val="nil"/>
            </w:tcBorders>
            <w:noWrap w:val="0"/>
            <w:vAlign w:val="center"/>
          </w:tcPr>
          <w:p w14:paraId="622D8667">
            <w:pPr>
              <w:pStyle w:val="16"/>
              <w:bidi w:val="0"/>
              <w:ind w:left="0" w:leftChars="0" w:firstLine="0" w:firstLineChars="0"/>
              <w:rPr>
                <w:rFonts w:hint="eastAsia"/>
                <w:color w:val="auto"/>
                <w:lang w:val="en-US" w:eastAsia="zh-CN"/>
              </w:rPr>
            </w:pPr>
            <w:r>
              <w:rPr>
                <w:rFonts w:hint="eastAsia"/>
                <w:color w:val="auto"/>
                <w:lang w:val="en-US" w:eastAsia="zh-CN"/>
              </w:rPr>
              <w:t>0.00042</w:t>
            </w:r>
          </w:p>
        </w:tc>
      </w:tr>
      <w:tr w14:paraId="05D3C7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6" w:type="dxa"/>
            <w:tcBorders>
              <w:tl2br w:val="nil"/>
              <w:tr2bl w:val="nil"/>
            </w:tcBorders>
            <w:noWrap w:val="0"/>
            <w:vAlign w:val="center"/>
          </w:tcPr>
          <w:p w14:paraId="14AC8682">
            <w:pPr>
              <w:pStyle w:val="16"/>
              <w:bidi w:val="0"/>
              <w:rPr>
                <w:rFonts w:hint="eastAsia"/>
                <w:color w:val="auto"/>
                <w:lang w:val="en-US" w:eastAsia="zh-CN"/>
              </w:rPr>
            </w:pPr>
            <w:r>
              <w:rPr>
                <w:rFonts w:hint="eastAsia"/>
                <w:color w:val="auto"/>
                <w:lang w:val="en-US" w:eastAsia="zh-CN"/>
              </w:rPr>
              <w:t>B（m）</w:t>
            </w:r>
          </w:p>
        </w:tc>
        <w:tc>
          <w:tcPr>
            <w:tcW w:w="2395" w:type="dxa"/>
            <w:tcBorders>
              <w:tl2br w:val="nil"/>
              <w:tr2bl w:val="nil"/>
            </w:tcBorders>
            <w:noWrap w:val="0"/>
            <w:vAlign w:val="center"/>
          </w:tcPr>
          <w:p w14:paraId="035B5E13">
            <w:pPr>
              <w:pStyle w:val="16"/>
              <w:bidi w:val="0"/>
              <w:rPr>
                <w:rFonts w:hint="eastAsia"/>
                <w:color w:val="auto"/>
                <w:lang w:eastAsia="zh-CN"/>
              </w:rPr>
            </w:pPr>
            <w:r>
              <w:rPr>
                <w:rFonts w:hint="eastAsia"/>
                <w:color w:val="auto"/>
                <w:lang w:eastAsia="zh-CN"/>
              </w:rPr>
              <w:t>水面宽度</w:t>
            </w:r>
          </w:p>
        </w:tc>
        <w:tc>
          <w:tcPr>
            <w:tcW w:w="1077" w:type="dxa"/>
            <w:tcBorders>
              <w:tl2br w:val="nil"/>
              <w:tr2bl w:val="nil"/>
            </w:tcBorders>
            <w:noWrap w:val="0"/>
            <w:vAlign w:val="center"/>
          </w:tcPr>
          <w:p w14:paraId="1ED887F0">
            <w:pPr>
              <w:pStyle w:val="16"/>
              <w:bidi w:val="0"/>
              <w:rPr>
                <w:rFonts w:hint="default"/>
                <w:color w:val="auto"/>
                <w:lang w:val="en-US" w:eastAsia="zh-CN"/>
              </w:rPr>
            </w:pPr>
            <w:r>
              <w:rPr>
                <w:rFonts w:hint="eastAsia"/>
                <w:color w:val="auto"/>
                <w:lang w:val="en-US" w:eastAsia="zh-CN"/>
              </w:rPr>
              <w:t>120</w:t>
            </w:r>
          </w:p>
        </w:tc>
        <w:tc>
          <w:tcPr>
            <w:tcW w:w="1077" w:type="dxa"/>
            <w:tcBorders>
              <w:tl2br w:val="nil"/>
              <w:tr2bl w:val="nil"/>
            </w:tcBorders>
            <w:noWrap w:val="0"/>
            <w:vAlign w:val="center"/>
          </w:tcPr>
          <w:p w14:paraId="1738A8D0">
            <w:pPr>
              <w:pStyle w:val="16"/>
              <w:bidi w:val="0"/>
              <w:ind w:left="0" w:leftChars="0" w:firstLine="0" w:firstLineChars="0"/>
              <w:rPr>
                <w:rFonts w:hint="default"/>
                <w:color w:val="auto"/>
                <w:lang w:val="en-US" w:eastAsia="zh-CN"/>
              </w:rPr>
            </w:pPr>
            <w:r>
              <w:rPr>
                <w:rFonts w:hint="eastAsia"/>
                <w:color w:val="auto"/>
                <w:lang w:val="en-US" w:eastAsia="zh-CN"/>
              </w:rPr>
              <w:t>120</w:t>
            </w:r>
          </w:p>
        </w:tc>
        <w:tc>
          <w:tcPr>
            <w:tcW w:w="1077" w:type="dxa"/>
            <w:tcBorders>
              <w:tl2br w:val="nil"/>
              <w:tr2bl w:val="nil"/>
            </w:tcBorders>
            <w:noWrap w:val="0"/>
            <w:vAlign w:val="center"/>
          </w:tcPr>
          <w:p w14:paraId="7A1B888F">
            <w:pPr>
              <w:pStyle w:val="16"/>
              <w:bidi w:val="0"/>
              <w:ind w:left="0" w:leftChars="0" w:firstLine="0" w:firstLineChars="0"/>
              <w:rPr>
                <w:rFonts w:hint="default"/>
                <w:color w:val="auto"/>
                <w:lang w:val="en-US" w:eastAsia="zh-CN"/>
              </w:rPr>
            </w:pPr>
            <w:r>
              <w:rPr>
                <w:rFonts w:hint="eastAsia"/>
                <w:color w:val="auto"/>
                <w:lang w:val="en-US" w:eastAsia="zh-CN"/>
              </w:rPr>
              <w:t>120</w:t>
            </w:r>
          </w:p>
        </w:tc>
        <w:tc>
          <w:tcPr>
            <w:tcW w:w="1077" w:type="dxa"/>
            <w:tcBorders>
              <w:tl2br w:val="nil"/>
              <w:tr2bl w:val="nil"/>
            </w:tcBorders>
            <w:noWrap w:val="0"/>
            <w:vAlign w:val="center"/>
          </w:tcPr>
          <w:p w14:paraId="4741AF64">
            <w:pPr>
              <w:pStyle w:val="16"/>
              <w:bidi w:val="0"/>
              <w:ind w:left="0" w:leftChars="0" w:firstLine="0" w:firstLineChars="0"/>
              <w:rPr>
                <w:rFonts w:hint="eastAsia"/>
                <w:color w:val="auto"/>
                <w:lang w:val="en-US" w:eastAsia="zh-CN"/>
              </w:rPr>
            </w:pPr>
            <w:r>
              <w:rPr>
                <w:rFonts w:hint="eastAsia"/>
                <w:color w:val="auto"/>
                <w:lang w:val="en-US" w:eastAsia="zh-CN"/>
              </w:rPr>
              <w:t>120</w:t>
            </w:r>
          </w:p>
        </w:tc>
        <w:tc>
          <w:tcPr>
            <w:tcW w:w="1077" w:type="dxa"/>
            <w:tcBorders>
              <w:tl2br w:val="nil"/>
              <w:tr2bl w:val="nil"/>
            </w:tcBorders>
            <w:noWrap w:val="0"/>
            <w:vAlign w:val="center"/>
          </w:tcPr>
          <w:p w14:paraId="2EBB9EC5">
            <w:pPr>
              <w:pStyle w:val="16"/>
              <w:bidi w:val="0"/>
              <w:ind w:left="0" w:leftChars="0" w:firstLine="0" w:firstLineChars="0"/>
              <w:rPr>
                <w:rFonts w:hint="eastAsia"/>
                <w:color w:val="auto"/>
                <w:lang w:val="en-US" w:eastAsia="zh-CN"/>
              </w:rPr>
            </w:pPr>
            <w:r>
              <w:rPr>
                <w:rFonts w:hint="eastAsia"/>
                <w:color w:val="auto"/>
                <w:lang w:val="en-US" w:eastAsia="zh-CN"/>
              </w:rPr>
              <w:t>120</w:t>
            </w:r>
          </w:p>
        </w:tc>
      </w:tr>
      <w:tr w14:paraId="3EC17B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6" w:type="dxa"/>
            <w:tcBorders>
              <w:tl2br w:val="nil"/>
              <w:tr2bl w:val="nil"/>
            </w:tcBorders>
            <w:noWrap w:val="0"/>
            <w:vAlign w:val="center"/>
          </w:tcPr>
          <w:p w14:paraId="3204F6FA">
            <w:pPr>
              <w:pStyle w:val="16"/>
              <w:bidi w:val="0"/>
              <w:rPr>
                <w:rFonts w:hint="default"/>
                <w:color w:val="auto"/>
                <w:lang w:val="en-US" w:eastAsia="zh-CN"/>
              </w:rPr>
            </w:pPr>
            <w:r>
              <w:rPr>
                <w:color w:val="auto"/>
              </w:rPr>
              <w:t>Ey</w:t>
            </w:r>
          </w:p>
        </w:tc>
        <w:tc>
          <w:tcPr>
            <w:tcW w:w="2395" w:type="dxa"/>
            <w:tcBorders>
              <w:tl2br w:val="nil"/>
              <w:tr2bl w:val="nil"/>
            </w:tcBorders>
            <w:noWrap w:val="0"/>
            <w:vAlign w:val="center"/>
          </w:tcPr>
          <w:p w14:paraId="26155BE7">
            <w:pPr>
              <w:pStyle w:val="16"/>
              <w:bidi w:val="0"/>
              <w:rPr>
                <w:rFonts w:hint="eastAsia"/>
                <w:color w:val="auto"/>
                <w:lang w:eastAsia="zh-CN"/>
              </w:rPr>
            </w:pPr>
            <w:r>
              <w:rPr>
                <w:rFonts w:hint="eastAsia"/>
                <w:color w:val="auto"/>
                <w:lang w:eastAsia="zh-CN"/>
              </w:rPr>
              <w:t>污染物横向扩散系数</w:t>
            </w:r>
          </w:p>
        </w:tc>
        <w:tc>
          <w:tcPr>
            <w:tcW w:w="1077" w:type="dxa"/>
            <w:tcBorders>
              <w:tl2br w:val="nil"/>
              <w:tr2bl w:val="nil"/>
            </w:tcBorders>
            <w:noWrap w:val="0"/>
            <w:vAlign w:val="center"/>
          </w:tcPr>
          <w:p w14:paraId="2298982C">
            <w:pPr>
              <w:pStyle w:val="16"/>
              <w:bidi w:val="0"/>
              <w:rPr>
                <w:rFonts w:hint="default"/>
                <w:color w:val="auto"/>
                <w:lang w:val="en-US" w:eastAsia="zh-CN"/>
              </w:rPr>
            </w:pPr>
            <w:r>
              <w:rPr>
                <w:rFonts w:hint="eastAsia"/>
                <w:color w:val="auto"/>
                <w:lang w:val="en-US" w:eastAsia="zh-CN"/>
              </w:rPr>
              <w:t>0.328</w:t>
            </w:r>
          </w:p>
        </w:tc>
        <w:tc>
          <w:tcPr>
            <w:tcW w:w="1077" w:type="dxa"/>
            <w:tcBorders>
              <w:tl2br w:val="nil"/>
              <w:tr2bl w:val="nil"/>
            </w:tcBorders>
            <w:noWrap w:val="0"/>
            <w:vAlign w:val="center"/>
          </w:tcPr>
          <w:p w14:paraId="10A9B738">
            <w:pPr>
              <w:pStyle w:val="16"/>
              <w:bidi w:val="0"/>
              <w:ind w:left="0" w:leftChars="0" w:firstLine="0" w:firstLineChars="0"/>
              <w:rPr>
                <w:rFonts w:hint="eastAsia"/>
                <w:color w:val="auto"/>
              </w:rPr>
            </w:pPr>
            <w:r>
              <w:rPr>
                <w:rFonts w:hint="eastAsia"/>
                <w:color w:val="auto"/>
                <w:lang w:val="en-US" w:eastAsia="zh-CN"/>
              </w:rPr>
              <w:t>0.328</w:t>
            </w:r>
          </w:p>
        </w:tc>
        <w:tc>
          <w:tcPr>
            <w:tcW w:w="1077" w:type="dxa"/>
            <w:tcBorders>
              <w:tl2br w:val="nil"/>
              <w:tr2bl w:val="nil"/>
            </w:tcBorders>
            <w:noWrap w:val="0"/>
            <w:vAlign w:val="center"/>
          </w:tcPr>
          <w:p w14:paraId="709DE0E7">
            <w:pPr>
              <w:pStyle w:val="16"/>
              <w:bidi w:val="0"/>
              <w:ind w:left="0" w:leftChars="0" w:firstLine="0" w:firstLineChars="0"/>
              <w:rPr>
                <w:rFonts w:hint="eastAsia"/>
                <w:color w:val="auto"/>
              </w:rPr>
            </w:pPr>
            <w:r>
              <w:rPr>
                <w:rFonts w:hint="eastAsia"/>
                <w:color w:val="auto"/>
                <w:lang w:val="en-US" w:eastAsia="zh-CN"/>
              </w:rPr>
              <w:t>0.328</w:t>
            </w:r>
          </w:p>
        </w:tc>
        <w:tc>
          <w:tcPr>
            <w:tcW w:w="1077" w:type="dxa"/>
            <w:tcBorders>
              <w:tl2br w:val="nil"/>
              <w:tr2bl w:val="nil"/>
            </w:tcBorders>
            <w:noWrap w:val="0"/>
            <w:vAlign w:val="center"/>
          </w:tcPr>
          <w:p w14:paraId="154C97A5">
            <w:pPr>
              <w:pStyle w:val="16"/>
              <w:bidi w:val="0"/>
              <w:ind w:left="0" w:leftChars="0" w:firstLine="0" w:firstLineChars="0"/>
              <w:rPr>
                <w:rFonts w:hint="eastAsia"/>
                <w:color w:val="auto"/>
                <w:lang w:val="en-US" w:eastAsia="zh-CN"/>
              </w:rPr>
            </w:pPr>
            <w:r>
              <w:rPr>
                <w:rFonts w:hint="eastAsia"/>
                <w:color w:val="auto"/>
                <w:lang w:val="en-US" w:eastAsia="zh-CN"/>
              </w:rPr>
              <w:t>0.328</w:t>
            </w:r>
          </w:p>
        </w:tc>
        <w:tc>
          <w:tcPr>
            <w:tcW w:w="1077" w:type="dxa"/>
            <w:tcBorders>
              <w:tl2br w:val="nil"/>
              <w:tr2bl w:val="nil"/>
            </w:tcBorders>
            <w:noWrap w:val="0"/>
            <w:vAlign w:val="center"/>
          </w:tcPr>
          <w:p w14:paraId="23FED856">
            <w:pPr>
              <w:pStyle w:val="16"/>
              <w:bidi w:val="0"/>
              <w:ind w:left="0" w:leftChars="0" w:firstLine="0" w:firstLineChars="0"/>
              <w:rPr>
                <w:rFonts w:hint="eastAsia"/>
                <w:color w:val="auto"/>
                <w:lang w:val="en-US" w:eastAsia="zh-CN"/>
              </w:rPr>
            </w:pPr>
            <w:r>
              <w:rPr>
                <w:rFonts w:hint="eastAsia"/>
                <w:color w:val="auto"/>
                <w:lang w:val="en-US" w:eastAsia="zh-CN"/>
              </w:rPr>
              <w:t>0.328</w:t>
            </w:r>
          </w:p>
        </w:tc>
      </w:tr>
      <w:tr w14:paraId="129314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6" w:type="dxa"/>
            <w:tcBorders>
              <w:tl2br w:val="nil"/>
              <w:tr2bl w:val="nil"/>
            </w:tcBorders>
            <w:noWrap w:val="0"/>
            <w:vAlign w:val="center"/>
          </w:tcPr>
          <w:p w14:paraId="1E53462C">
            <w:pPr>
              <w:pStyle w:val="16"/>
              <w:bidi w:val="0"/>
              <w:rPr>
                <w:rFonts w:hint="default"/>
                <w:color w:val="auto"/>
                <w:lang w:val="en-US" w:eastAsia="zh-CN"/>
              </w:rPr>
            </w:pPr>
            <w:r>
              <w:rPr>
                <w:rFonts w:hint="eastAsia"/>
                <w:color w:val="auto"/>
                <w:lang w:val="en-US" w:eastAsia="zh-CN"/>
              </w:rPr>
              <w:t>Ch（mg/L）</w:t>
            </w:r>
          </w:p>
        </w:tc>
        <w:tc>
          <w:tcPr>
            <w:tcW w:w="2395" w:type="dxa"/>
            <w:tcBorders>
              <w:tl2br w:val="nil"/>
              <w:tr2bl w:val="nil"/>
            </w:tcBorders>
            <w:noWrap w:val="0"/>
            <w:vAlign w:val="center"/>
          </w:tcPr>
          <w:p w14:paraId="3F1630D1">
            <w:pPr>
              <w:pStyle w:val="16"/>
              <w:bidi w:val="0"/>
              <w:rPr>
                <w:rFonts w:hint="default"/>
                <w:color w:val="auto"/>
                <w:lang w:val="en-US" w:eastAsia="zh-CN"/>
              </w:rPr>
            </w:pPr>
            <w:r>
              <w:rPr>
                <w:rFonts w:hint="eastAsia"/>
                <w:color w:val="auto"/>
                <w:lang w:val="en-US" w:eastAsia="zh-CN"/>
              </w:rPr>
              <w:t>河流上游污染物浓度</w:t>
            </w:r>
          </w:p>
        </w:tc>
        <w:tc>
          <w:tcPr>
            <w:tcW w:w="1077" w:type="dxa"/>
            <w:tcBorders>
              <w:tl2br w:val="nil"/>
              <w:tr2bl w:val="nil"/>
            </w:tcBorders>
            <w:noWrap w:val="0"/>
            <w:vAlign w:val="center"/>
          </w:tcPr>
          <w:p w14:paraId="3199AA86">
            <w:pPr>
              <w:pStyle w:val="16"/>
              <w:bidi w:val="0"/>
              <w:rPr>
                <w:rFonts w:hint="default"/>
                <w:color w:val="auto"/>
                <w:lang w:val="en-US" w:eastAsia="zh-CN"/>
              </w:rPr>
            </w:pPr>
            <w:r>
              <w:rPr>
                <w:rFonts w:hint="eastAsia"/>
                <w:color w:val="auto"/>
                <w:lang w:val="en-US" w:eastAsia="zh-CN"/>
              </w:rPr>
              <w:t>12.7</w:t>
            </w:r>
          </w:p>
        </w:tc>
        <w:tc>
          <w:tcPr>
            <w:tcW w:w="1077" w:type="dxa"/>
            <w:tcBorders>
              <w:tl2br w:val="nil"/>
              <w:tr2bl w:val="nil"/>
            </w:tcBorders>
            <w:noWrap w:val="0"/>
            <w:vAlign w:val="center"/>
          </w:tcPr>
          <w:p w14:paraId="6ED62673">
            <w:pPr>
              <w:pStyle w:val="16"/>
              <w:bidi w:val="0"/>
              <w:rPr>
                <w:rFonts w:hint="default"/>
                <w:color w:val="auto"/>
                <w:lang w:val="en-US" w:eastAsia="zh-CN"/>
              </w:rPr>
            </w:pPr>
            <w:r>
              <w:rPr>
                <w:rFonts w:hint="eastAsia"/>
                <w:color w:val="auto"/>
                <w:lang w:val="en-US" w:eastAsia="zh-CN"/>
              </w:rPr>
              <w:t>0.217</w:t>
            </w:r>
          </w:p>
        </w:tc>
        <w:tc>
          <w:tcPr>
            <w:tcW w:w="1077" w:type="dxa"/>
            <w:tcBorders>
              <w:tl2br w:val="nil"/>
              <w:tr2bl w:val="nil"/>
            </w:tcBorders>
            <w:noWrap w:val="0"/>
            <w:vAlign w:val="center"/>
          </w:tcPr>
          <w:p w14:paraId="1A8C76FD">
            <w:pPr>
              <w:pStyle w:val="16"/>
              <w:bidi w:val="0"/>
              <w:rPr>
                <w:rFonts w:hint="default"/>
                <w:color w:val="auto"/>
                <w:lang w:val="en-US" w:eastAsia="zh-CN"/>
              </w:rPr>
            </w:pPr>
            <w:r>
              <w:rPr>
                <w:rFonts w:hint="eastAsia"/>
                <w:color w:val="auto"/>
                <w:lang w:val="en-US" w:eastAsia="zh-CN"/>
              </w:rPr>
              <w:t>0.037</w:t>
            </w:r>
          </w:p>
        </w:tc>
        <w:tc>
          <w:tcPr>
            <w:tcW w:w="1077" w:type="dxa"/>
            <w:tcBorders>
              <w:tl2br w:val="nil"/>
              <w:tr2bl w:val="nil"/>
            </w:tcBorders>
            <w:noWrap w:val="0"/>
            <w:vAlign w:val="center"/>
          </w:tcPr>
          <w:p w14:paraId="2BD578BC">
            <w:pPr>
              <w:pStyle w:val="16"/>
              <w:bidi w:val="0"/>
              <w:rPr>
                <w:rFonts w:hint="default"/>
                <w:color w:val="auto"/>
                <w:lang w:val="en-US" w:eastAsia="zh-CN"/>
              </w:rPr>
            </w:pPr>
            <w:r>
              <w:rPr>
                <w:rFonts w:hint="eastAsia"/>
                <w:color w:val="auto"/>
                <w:lang w:val="en-US" w:eastAsia="zh-CN"/>
              </w:rPr>
              <w:t>＜0.01</w:t>
            </w:r>
          </w:p>
        </w:tc>
        <w:tc>
          <w:tcPr>
            <w:tcW w:w="1077" w:type="dxa"/>
            <w:tcBorders>
              <w:tl2br w:val="nil"/>
              <w:tr2bl w:val="nil"/>
            </w:tcBorders>
            <w:noWrap w:val="0"/>
            <w:vAlign w:val="center"/>
          </w:tcPr>
          <w:p w14:paraId="12A9D6E5">
            <w:pPr>
              <w:pStyle w:val="16"/>
              <w:bidi w:val="0"/>
              <w:rPr>
                <w:rFonts w:hint="default"/>
                <w:color w:val="auto"/>
                <w:lang w:val="en-US" w:eastAsia="zh-CN"/>
              </w:rPr>
            </w:pPr>
            <w:r>
              <w:rPr>
                <w:rFonts w:hint="eastAsia"/>
                <w:color w:val="auto"/>
                <w:lang w:val="en-US" w:eastAsia="zh-CN"/>
              </w:rPr>
              <w:t>＜0.05</w:t>
            </w:r>
          </w:p>
        </w:tc>
      </w:tr>
      <w:tr w14:paraId="0C4682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6" w:type="dxa"/>
            <w:vMerge w:val="restart"/>
            <w:tcBorders>
              <w:tl2br w:val="nil"/>
              <w:tr2bl w:val="nil"/>
            </w:tcBorders>
            <w:noWrap w:val="0"/>
            <w:vAlign w:val="center"/>
          </w:tcPr>
          <w:p w14:paraId="2B39BA9E">
            <w:pPr>
              <w:pStyle w:val="16"/>
              <w:bidi w:val="0"/>
              <w:rPr>
                <w:rFonts w:hint="eastAsia"/>
                <w:color w:val="auto"/>
              </w:rPr>
            </w:pPr>
            <w:r>
              <w:rPr>
                <w:rFonts w:hint="eastAsia"/>
                <w:color w:val="auto"/>
                <w:lang w:val="en-US" w:eastAsia="zh-CN"/>
              </w:rPr>
              <w:t>m（g/s）</w:t>
            </w:r>
          </w:p>
        </w:tc>
        <w:tc>
          <w:tcPr>
            <w:tcW w:w="2395" w:type="dxa"/>
            <w:tcBorders>
              <w:tl2br w:val="nil"/>
              <w:tr2bl w:val="nil"/>
            </w:tcBorders>
            <w:noWrap w:val="0"/>
            <w:vAlign w:val="center"/>
          </w:tcPr>
          <w:p w14:paraId="6568E87A">
            <w:pPr>
              <w:pStyle w:val="16"/>
              <w:bidi w:val="0"/>
              <w:rPr>
                <w:rFonts w:hint="eastAsia"/>
                <w:color w:val="auto"/>
                <w:lang w:eastAsia="zh-CN"/>
              </w:rPr>
            </w:pPr>
            <w:r>
              <w:rPr>
                <w:rFonts w:hint="eastAsia"/>
                <w:color w:val="auto"/>
                <w:lang w:eastAsia="zh-CN"/>
              </w:rPr>
              <w:t>污染物排放速率（正常排放）</w:t>
            </w:r>
          </w:p>
        </w:tc>
        <w:tc>
          <w:tcPr>
            <w:tcW w:w="1077" w:type="dxa"/>
            <w:tcBorders>
              <w:tl2br w:val="nil"/>
              <w:tr2bl w:val="nil"/>
            </w:tcBorders>
            <w:noWrap w:val="0"/>
            <w:vAlign w:val="center"/>
          </w:tcPr>
          <w:p w14:paraId="546B17C0">
            <w:pPr>
              <w:pageBreakBefore w:val="0"/>
              <w:wordWrap/>
              <w:bidi w:val="0"/>
              <w:adjustRightInd/>
              <w:snapToGrid/>
              <w:spacing w:line="240" w:lineRule="auto"/>
              <w:ind w:firstLine="0" w:firstLineChars="0"/>
              <w:jc w:val="center"/>
              <w:rPr>
                <w:rFonts w:hint="default"/>
                <w:color w:val="auto"/>
                <w:lang w:val="en-US"/>
              </w:rPr>
            </w:pPr>
            <w:r>
              <w:rPr>
                <w:rFonts w:hint="eastAsia"/>
                <w:color w:val="auto"/>
                <w:sz w:val="21"/>
                <w:szCs w:val="21"/>
                <w:lang w:val="en-US" w:eastAsia="zh-CN"/>
              </w:rPr>
              <w:t>1.7361</w:t>
            </w:r>
          </w:p>
        </w:tc>
        <w:tc>
          <w:tcPr>
            <w:tcW w:w="1077" w:type="dxa"/>
            <w:tcBorders>
              <w:tl2br w:val="nil"/>
              <w:tr2bl w:val="nil"/>
            </w:tcBorders>
            <w:noWrap w:val="0"/>
            <w:vAlign w:val="center"/>
          </w:tcPr>
          <w:p w14:paraId="033D1CFF">
            <w:pPr>
              <w:pageBreakBefore w:val="0"/>
              <w:wordWrap/>
              <w:bidi w:val="0"/>
              <w:adjustRightInd/>
              <w:snapToGrid/>
              <w:spacing w:line="240" w:lineRule="auto"/>
              <w:ind w:firstLine="0" w:firstLineChars="0"/>
              <w:jc w:val="center"/>
              <w:rPr>
                <w:rFonts w:hint="default"/>
                <w:color w:val="auto"/>
                <w:lang w:val="en-US"/>
              </w:rPr>
            </w:pPr>
            <w:r>
              <w:rPr>
                <w:rFonts w:hint="eastAsia"/>
                <w:color w:val="auto"/>
                <w:sz w:val="21"/>
                <w:szCs w:val="21"/>
                <w:lang w:val="en-US" w:eastAsia="zh-CN"/>
              </w:rPr>
              <w:t>0.1736</w:t>
            </w:r>
          </w:p>
        </w:tc>
        <w:tc>
          <w:tcPr>
            <w:tcW w:w="1077" w:type="dxa"/>
            <w:tcBorders>
              <w:tl2br w:val="nil"/>
              <w:tr2bl w:val="nil"/>
            </w:tcBorders>
            <w:noWrap w:val="0"/>
            <w:vAlign w:val="center"/>
          </w:tcPr>
          <w:p w14:paraId="3CF6E69D">
            <w:pPr>
              <w:pageBreakBefore w:val="0"/>
              <w:wordWrap/>
              <w:bidi w:val="0"/>
              <w:adjustRightInd/>
              <w:snapToGrid/>
              <w:spacing w:line="240" w:lineRule="auto"/>
              <w:ind w:firstLine="0" w:firstLineChars="0"/>
              <w:jc w:val="center"/>
              <w:rPr>
                <w:rFonts w:hint="default"/>
                <w:color w:val="auto"/>
                <w:lang w:val="en-US"/>
              </w:rPr>
            </w:pPr>
            <w:r>
              <w:rPr>
                <w:rFonts w:hint="eastAsia"/>
                <w:color w:val="auto"/>
                <w:sz w:val="21"/>
                <w:szCs w:val="21"/>
                <w:lang w:val="en-US" w:eastAsia="zh-CN"/>
              </w:rPr>
              <w:t>0.0174</w:t>
            </w:r>
          </w:p>
        </w:tc>
        <w:tc>
          <w:tcPr>
            <w:tcW w:w="1077" w:type="dxa"/>
            <w:tcBorders>
              <w:tl2br w:val="nil"/>
              <w:tr2bl w:val="nil"/>
            </w:tcBorders>
            <w:noWrap w:val="0"/>
            <w:vAlign w:val="center"/>
          </w:tcPr>
          <w:p w14:paraId="5E7C037F">
            <w:pPr>
              <w:pageBreakBefore w:val="0"/>
              <w:wordWrap/>
              <w:bidi w:val="0"/>
              <w:adjustRightInd/>
              <w:snapToGrid/>
              <w:spacing w:line="240" w:lineRule="auto"/>
              <w:ind w:firstLine="0" w:firstLineChars="0"/>
              <w:jc w:val="center"/>
              <w:rPr>
                <w:rFonts w:hint="eastAsia"/>
                <w:color w:val="auto"/>
                <w:lang w:val="en-US" w:eastAsia="zh-CN"/>
              </w:rPr>
            </w:pPr>
            <w:r>
              <w:rPr>
                <w:rFonts w:hint="eastAsia"/>
                <w:color w:val="auto"/>
                <w:sz w:val="21"/>
                <w:szCs w:val="21"/>
                <w:lang w:val="en-US" w:eastAsia="zh-CN"/>
              </w:rPr>
              <w:t>0.0347</w:t>
            </w:r>
          </w:p>
        </w:tc>
        <w:tc>
          <w:tcPr>
            <w:tcW w:w="1077" w:type="dxa"/>
            <w:tcBorders>
              <w:tl2br w:val="nil"/>
              <w:tr2bl w:val="nil"/>
            </w:tcBorders>
            <w:noWrap w:val="0"/>
            <w:vAlign w:val="center"/>
          </w:tcPr>
          <w:p w14:paraId="38B7098A">
            <w:pPr>
              <w:pageBreakBefore w:val="0"/>
              <w:wordWrap/>
              <w:bidi w:val="0"/>
              <w:adjustRightInd/>
              <w:snapToGrid/>
              <w:spacing w:line="240" w:lineRule="auto"/>
              <w:ind w:firstLine="0" w:firstLineChars="0"/>
              <w:jc w:val="center"/>
              <w:rPr>
                <w:rFonts w:hint="eastAsia"/>
                <w:color w:val="auto"/>
                <w:lang w:val="en-US" w:eastAsia="zh-CN"/>
              </w:rPr>
            </w:pPr>
            <w:r>
              <w:rPr>
                <w:rFonts w:hint="eastAsia"/>
                <w:color w:val="auto"/>
                <w:sz w:val="21"/>
                <w:szCs w:val="21"/>
                <w:lang w:val="en-US" w:eastAsia="zh-CN"/>
              </w:rPr>
              <w:t>0.0347</w:t>
            </w:r>
          </w:p>
        </w:tc>
      </w:tr>
      <w:tr w14:paraId="25B954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6" w:type="dxa"/>
            <w:vMerge w:val="continue"/>
            <w:tcBorders>
              <w:tl2br w:val="nil"/>
              <w:tr2bl w:val="nil"/>
            </w:tcBorders>
            <w:noWrap w:val="0"/>
            <w:vAlign w:val="center"/>
          </w:tcPr>
          <w:p w14:paraId="38D7A7E6">
            <w:pPr>
              <w:pStyle w:val="16"/>
              <w:bidi w:val="0"/>
              <w:rPr>
                <w:rFonts w:hint="eastAsia"/>
                <w:color w:val="auto"/>
              </w:rPr>
            </w:pPr>
          </w:p>
        </w:tc>
        <w:tc>
          <w:tcPr>
            <w:tcW w:w="2395" w:type="dxa"/>
            <w:tcBorders>
              <w:tl2br w:val="nil"/>
              <w:tr2bl w:val="nil"/>
            </w:tcBorders>
            <w:noWrap w:val="0"/>
            <w:vAlign w:val="center"/>
          </w:tcPr>
          <w:p w14:paraId="66BADB73">
            <w:pPr>
              <w:pStyle w:val="16"/>
              <w:bidi w:val="0"/>
              <w:rPr>
                <w:rFonts w:hint="eastAsia"/>
                <w:color w:val="auto"/>
                <w:lang w:val="en-US" w:eastAsia="zh-CN"/>
              </w:rPr>
            </w:pPr>
            <w:r>
              <w:rPr>
                <w:rFonts w:hint="eastAsia"/>
                <w:color w:val="auto"/>
                <w:lang w:eastAsia="zh-CN"/>
              </w:rPr>
              <w:t>污染物排放速率（事故排放）</w:t>
            </w:r>
          </w:p>
        </w:tc>
        <w:tc>
          <w:tcPr>
            <w:tcW w:w="1077" w:type="dxa"/>
            <w:tcBorders>
              <w:tl2br w:val="nil"/>
              <w:tr2bl w:val="nil"/>
            </w:tcBorders>
            <w:noWrap w:val="0"/>
            <w:vAlign w:val="center"/>
          </w:tcPr>
          <w:p w14:paraId="1B07722F">
            <w:pPr>
              <w:pStyle w:val="16"/>
              <w:bidi w:val="0"/>
              <w:ind w:left="0" w:leftChars="0" w:firstLine="0" w:firstLineChars="0"/>
              <w:rPr>
                <w:rFonts w:hint="default"/>
                <w:color w:val="auto"/>
                <w:lang w:val="en-US"/>
              </w:rPr>
            </w:pPr>
            <w:r>
              <w:rPr>
                <w:rFonts w:hint="default"/>
                <w:color w:val="auto"/>
                <w:lang w:val="en-US" w:eastAsia="zh-CN"/>
              </w:rPr>
              <w:t xml:space="preserve">12.1528 </w:t>
            </w:r>
          </w:p>
        </w:tc>
        <w:tc>
          <w:tcPr>
            <w:tcW w:w="1077" w:type="dxa"/>
            <w:tcBorders>
              <w:tl2br w:val="nil"/>
              <w:tr2bl w:val="nil"/>
            </w:tcBorders>
            <w:noWrap w:val="0"/>
            <w:vAlign w:val="center"/>
          </w:tcPr>
          <w:p w14:paraId="4CFC1141">
            <w:pPr>
              <w:pStyle w:val="16"/>
              <w:bidi w:val="0"/>
              <w:ind w:left="0" w:leftChars="0" w:firstLine="0" w:firstLineChars="0"/>
              <w:rPr>
                <w:rFonts w:hint="default"/>
                <w:color w:val="auto"/>
                <w:lang w:val="en-US"/>
              </w:rPr>
            </w:pPr>
            <w:r>
              <w:rPr>
                <w:rFonts w:hint="default"/>
                <w:color w:val="auto"/>
                <w:lang w:val="en-US" w:eastAsia="zh-CN"/>
              </w:rPr>
              <w:t xml:space="preserve">1.7361 </w:t>
            </w:r>
          </w:p>
        </w:tc>
        <w:tc>
          <w:tcPr>
            <w:tcW w:w="1077" w:type="dxa"/>
            <w:tcBorders>
              <w:tl2br w:val="nil"/>
              <w:tr2bl w:val="nil"/>
            </w:tcBorders>
            <w:noWrap w:val="0"/>
            <w:vAlign w:val="center"/>
          </w:tcPr>
          <w:p w14:paraId="32F5E788">
            <w:pPr>
              <w:pStyle w:val="16"/>
              <w:bidi w:val="0"/>
              <w:ind w:left="0" w:leftChars="0" w:firstLine="0" w:firstLineChars="0"/>
              <w:rPr>
                <w:rFonts w:hint="default"/>
                <w:color w:val="auto"/>
                <w:lang w:val="en-US"/>
              </w:rPr>
            </w:pPr>
            <w:r>
              <w:rPr>
                <w:rFonts w:hint="default"/>
                <w:color w:val="auto"/>
                <w:lang w:val="en-US" w:eastAsia="zh-CN"/>
              </w:rPr>
              <w:t xml:space="preserve">0.1389 </w:t>
            </w:r>
          </w:p>
        </w:tc>
        <w:tc>
          <w:tcPr>
            <w:tcW w:w="1077" w:type="dxa"/>
            <w:tcBorders>
              <w:tl2br w:val="nil"/>
              <w:tr2bl w:val="nil"/>
            </w:tcBorders>
            <w:noWrap w:val="0"/>
            <w:vAlign w:val="center"/>
          </w:tcPr>
          <w:p w14:paraId="0382CAE5">
            <w:pPr>
              <w:pStyle w:val="16"/>
              <w:bidi w:val="0"/>
              <w:ind w:left="0" w:leftChars="0" w:firstLine="0" w:firstLineChars="0"/>
              <w:rPr>
                <w:rFonts w:hint="eastAsia"/>
                <w:color w:val="auto"/>
                <w:lang w:val="en-US" w:eastAsia="zh-CN"/>
              </w:rPr>
            </w:pPr>
            <w:r>
              <w:rPr>
                <w:rFonts w:hint="default"/>
                <w:color w:val="auto"/>
                <w:lang w:val="en-US" w:eastAsia="zh-CN"/>
              </w:rPr>
              <w:t xml:space="preserve">0.0347 </w:t>
            </w:r>
          </w:p>
        </w:tc>
        <w:tc>
          <w:tcPr>
            <w:tcW w:w="1077" w:type="dxa"/>
            <w:tcBorders>
              <w:tl2br w:val="nil"/>
              <w:tr2bl w:val="nil"/>
            </w:tcBorders>
            <w:noWrap w:val="0"/>
            <w:vAlign w:val="center"/>
          </w:tcPr>
          <w:p w14:paraId="4BEDD761">
            <w:pPr>
              <w:pStyle w:val="16"/>
              <w:bidi w:val="0"/>
              <w:ind w:left="0" w:leftChars="0" w:firstLine="0" w:firstLineChars="0"/>
              <w:rPr>
                <w:rFonts w:hint="eastAsia"/>
                <w:color w:val="auto"/>
                <w:lang w:val="en-US" w:eastAsia="zh-CN"/>
              </w:rPr>
            </w:pPr>
            <w:r>
              <w:rPr>
                <w:rFonts w:hint="default"/>
                <w:color w:val="auto"/>
                <w:lang w:val="en-US" w:eastAsia="zh-CN"/>
              </w:rPr>
              <w:t xml:space="preserve">0.0347 </w:t>
            </w:r>
          </w:p>
        </w:tc>
      </w:tr>
      <w:tr w14:paraId="196692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46" w:type="dxa"/>
            <w:gridSpan w:val="7"/>
            <w:tcBorders>
              <w:tl2br w:val="nil"/>
              <w:tr2bl w:val="nil"/>
            </w:tcBorders>
            <w:noWrap w:val="0"/>
            <w:vAlign w:val="center"/>
          </w:tcPr>
          <w:p w14:paraId="0F1D71A0">
            <w:pPr>
              <w:pStyle w:val="16"/>
              <w:bidi w:val="0"/>
              <w:jc w:val="left"/>
              <w:rPr>
                <w:rFonts w:hint="default"/>
                <w:color w:val="auto"/>
                <w:lang w:val="en-US" w:eastAsia="zh-CN"/>
              </w:rPr>
            </w:pPr>
            <w:r>
              <w:rPr>
                <w:rFonts w:hint="eastAsia"/>
                <w:color w:val="auto"/>
                <w:lang w:val="en-US" w:eastAsia="zh-CN"/>
              </w:rPr>
              <w:t>注：石油类和甲醛浓度本底值低于检出限，按照检出限进行预测</w:t>
            </w:r>
          </w:p>
        </w:tc>
      </w:tr>
    </w:tbl>
    <w:p w14:paraId="74B08A1A">
      <w:pPr>
        <w:pStyle w:val="10"/>
        <w:keepNext/>
        <w:keepLines/>
        <w:pageBreakBefore w:val="0"/>
        <w:widowControl w:val="0"/>
        <w:kinsoku/>
        <w:wordWrap/>
        <w:overflowPunct/>
        <w:topLinePunct w:val="0"/>
        <w:autoSpaceDE/>
        <w:autoSpaceDN/>
        <w:bidi w:val="0"/>
        <w:adjustRightInd/>
        <w:snapToGrid/>
        <w:spacing w:before="157" w:beforeLines="50"/>
        <w:textAlignment w:val="auto"/>
        <w:rPr>
          <w:rFonts w:hint="default"/>
          <w:color w:val="auto"/>
          <w:lang w:val="en-US" w:eastAsia="zh-CN"/>
        </w:rPr>
      </w:pPr>
      <w:r>
        <w:rPr>
          <w:rFonts w:hint="eastAsia"/>
          <w:color w:val="auto"/>
          <w:lang w:val="en-US" w:eastAsia="zh-CN"/>
        </w:rPr>
        <w:t>预测情景</w:t>
      </w:r>
    </w:p>
    <w:p w14:paraId="1F2E2178">
      <w:pPr>
        <w:bidi w:val="0"/>
        <w:rPr>
          <w:color w:val="auto"/>
        </w:rPr>
      </w:pPr>
      <w:r>
        <w:rPr>
          <w:color w:val="auto"/>
        </w:rPr>
        <w:t>本次预测按照项目对生产运行期中尾水正常排放、</w:t>
      </w:r>
      <w:r>
        <w:rPr>
          <w:rFonts w:hint="eastAsia"/>
          <w:color w:val="auto"/>
          <w:lang w:val="en-US" w:eastAsia="zh-CN"/>
        </w:rPr>
        <w:t>本项目</w:t>
      </w:r>
      <w:r>
        <w:rPr>
          <w:color w:val="auto"/>
        </w:rPr>
        <w:t>非正常排放</w:t>
      </w:r>
      <w:r>
        <w:rPr>
          <w:rFonts w:hint="eastAsia"/>
          <w:color w:val="auto"/>
          <w:lang w:val="en-US" w:eastAsia="zh-CN"/>
        </w:rPr>
        <w:t>和3个排口均非正常排放三</w:t>
      </w:r>
      <w:r>
        <w:rPr>
          <w:color w:val="auto"/>
        </w:rPr>
        <w:t>种工况考虑。分别预测尾水排放对</w:t>
      </w:r>
      <w:r>
        <w:rPr>
          <w:rFonts w:hint="eastAsia"/>
          <w:color w:val="auto"/>
          <w:lang w:eastAsia="zh-CN"/>
        </w:rPr>
        <w:t>巴河</w:t>
      </w:r>
      <w:r>
        <w:rPr>
          <w:color w:val="auto"/>
        </w:rPr>
        <w:t>的水环境质量影响。</w:t>
      </w:r>
    </w:p>
    <w:p w14:paraId="14CB1733">
      <w:pPr>
        <w:bidi w:val="0"/>
        <w:rPr>
          <w:color w:val="auto"/>
        </w:rPr>
      </w:pPr>
      <w:r>
        <w:rPr>
          <w:color w:val="auto"/>
        </w:rPr>
        <w:t>情景1：</w:t>
      </w:r>
      <w:r>
        <w:rPr>
          <w:rFonts w:hint="eastAsia"/>
          <w:color w:val="auto"/>
          <w:lang w:val="en-US" w:eastAsia="zh-CN"/>
        </w:rPr>
        <w:t>本项目污水处理厂、曾口镇生活污水处理厂和复兴社区污水站处理措施均</w:t>
      </w:r>
      <w:r>
        <w:rPr>
          <w:color w:val="auto"/>
        </w:rPr>
        <w:t>正常运行，按设计出水水质排放</w:t>
      </w:r>
      <w:r>
        <w:rPr>
          <w:rFonts w:hint="eastAsia"/>
          <w:color w:val="auto"/>
          <w:lang w:eastAsia="zh-CN"/>
        </w:rPr>
        <w:t>，</w:t>
      </w:r>
      <w:r>
        <w:rPr>
          <w:rFonts w:hint="eastAsia"/>
          <w:color w:val="auto"/>
          <w:lang w:val="en-US" w:eastAsia="zh-CN"/>
        </w:rPr>
        <w:t>满足</w:t>
      </w:r>
      <w:r>
        <w:rPr>
          <w:rFonts w:hint="eastAsia"/>
          <w:color w:val="auto"/>
        </w:rPr>
        <w:t>《城镇污水处理厂污染物排放标准》</w:t>
      </w:r>
      <w:r>
        <w:rPr>
          <w:rFonts w:hint="eastAsia"/>
          <w:color w:val="auto"/>
          <w:lang w:eastAsia="zh-CN"/>
        </w:rPr>
        <w:t>（</w:t>
      </w:r>
      <w:r>
        <w:rPr>
          <w:rFonts w:hint="eastAsia"/>
          <w:color w:val="auto"/>
        </w:rPr>
        <w:t>GB18918-2002</w:t>
      </w:r>
      <w:r>
        <w:rPr>
          <w:rFonts w:hint="eastAsia"/>
          <w:color w:val="auto"/>
          <w:lang w:eastAsia="zh-CN"/>
        </w:rPr>
        <w:t>）</w:t>
      </w:r>
      <w:r>
        <w:rPr>
          <w:rFonts w:hint="eastAsia"/>
          <w:color w:val="auto"/>
          <w:lang w:val="en-US" w:eastAsia="zh-CN"/>
        </w:rPr>
        <w:t>一级A</w:t>
      </w:r>
      <w:r>
        <w:rPr>
          <w:color w:val="auto"/>
        </w:rPr>
        <w:t>标准</w:t>
      </w:r>
      <w:r>
        <w:rPr>
          <w:rFonts w:hint="eastAsia"/>
          <w:color w:val="auto"/>
          <w:lang w:eastAsia="zh-CN"/>
        </w:rPr>
        <w:t>，</w:t>
      </w:r>
      <w:r>
        <w:rPr>
          <w:color w:val="auto"/>
        </w:rPr>
        <w:t>尾水排入</w:t>
      </w:r>
      <w:r>
        <w:rPr>
          <w:rFonts w:hint="eastAsia"/>
          <w:color w:val="auto"/>
          <w:lang w:val="en-US" w:eastAsia="zh-CN"/>
        </w:rPr>
        <w:t>巴河</w:t>
      </w:r>
      <w:r>
        <w:rPr>
          <w:color w:val="auto"/>
        </w:rPr>
        <w:t>。</w:t>
      </w:r>
    </w:p>
    <w:p w14:paraId="57109A37">
      <w:pPr>
        <w:bidi w:val="0"/>
        <w:rPr>
          <w:color w:val="auto"/>
        </w:rPr>
      </w:pPr>
      <w:r>
        <w:rPr>
          <w:color w:val="auto"/>
        </w:rPr>
        <w:t>情景2：</w:t>
      </w:r>
      <w:r>
        <w:rPr>
          <w:rFonts w:hint="eastAsia"/>
          <w:color w:val="auto"/>
          <w:lang w:val="en-US" w:eastAsia="zh-CN"/>
        </w:rPr>
        <w:t>本项目</w:t>
      </w:r>
      <w:r>
        <w:rPr>
          <w:color w:val="auto"/>
        </w:rPr>
        <w:t>非正常排放，</w:t>
      </w:r>
      <w:r>
        <w:rPr>
          <w:rFonts w:hint="eastAsia"/>
          <w:color w:val="auto"/>
          <w:lang w:val="en-US" w:eastAsia="zh-CN"/>
        </w:rPr>
        <w:t>曾口镇生活污水处理厂和复兴社区污水站处理措施均</w:t>
      </w:r>
      <w:r>
        <w:rPr>
          <w:color w:val="auto"/>
        </w:rPr>
        <w:t>正常运行，假设</w:t>
      </w:r>
      <w:r>
        <w:rPr>
          <w:rFonts w:hint="eastAsia"/>
          <w:color w:val="auto"/>
          <w:lang w:val="en-US" w:eastAsia="zh-CN"/>
        </w:rPr>
        <w:t>本项目</w:t>
      </w:r>
      <w:r>
        <w:rPr>
          <w:color w:val="auto"/>
        </w:rPr>
        <w:t>废水处理效率为0，废水未经处理直接排入</w:t>
      </w:r>
      <w:r>
        <w:rPr>
          <w:rFonts w:hint="eastAsia"/>
          <w:color w:val="auto"/>
          <w:lang w:val="en-US" w:eastAsia="zh-CN"/>
        </w:rPr>
        <w:t>巴河</w:t>
      </w:r>
      <w:r>
        <w:rPr>
          <w:color w:val="auto"/>
        </w:rPr>
        <w:t>，以进水水质进行预测。</w:t>
      </w:r>
    </w:p>
    <w:p w14:paraId="587AC25D">
      <w:pPr>
        <w:bidi w:val="0"/>
        <w:rPr>
          <w:rFonts w:hint="eastAsia" w:eastAsia="宋体"/>
          <w:color w:val="auto"/>
          <w:lang w:val="en-US" w:eastAsia="zh-CN"/>
        </w:rPr>
      </w:pPr>
      <w:r>
        <w:rPr>
          <w:rFonts w:hint="eastAsia"/>
          <w:color w:val="auto"/>
          <w:lang w:val="en-US" w:eastAsia="zh-CN"/>
        </w:rPr>
        <w:t>情景3：本项目污水处理厂、曾口镇生活污水处理厂和复兴社区污水站处理措施均非正常排放</w:t>
      </w:r>
      <w:r>
        <w:rPr>
          <w:color w:val="auto"/>
        </w:rPr>
        <w:t>，假设废水处理效率为0，废水未经处理直接排入</w:t>
      </w:r>
      <w:r>
        <w:rPr>
          <w:rFonts w:hint="eastAsia"/>
          <w:color w:val="auto"/>
          <w:lang w:val="en-US" w:eastAsia="zh-CN"/>
        </w:rPr>
        <w:t>巴河</w:t>
      </w:r>
      <w:r>
        <w:rPr>
          <w:color w:val="auto"/>
        </w:rPr>
        <w:t>，以进水水质进行预测。</w:t>
      </w:r>
    </w:p>
    <w:p w14:paraId="49C06D30">
      <w:pPr>
        <w:pStyle w:val="10"/>
        <w:bidi w:val="0"/>
        <w:rPr>
          <w:color w:val="auto"/>
        </w:rPr>
      </w:pPr>
      <w:r>
        <w:rPr>
          <w:color w:val="auto"/>
        </w:rPr>
        <w:t>预测结果及分析</w:t>
      </w:r>
    </w:p>
    <w:p w14:paraId="49028C5F">
      <w:pPr>
        <w:pageBreakBefore w:val="0"/>
        <w:widowControl/>
        <w:wordWrap/>
        <w:bidi w:val="0"/>
        <w:adjustRightInd/>
        <w:snapToGrid/>
        <w:spacing w:before="120" w:beforeLines="50"/>
        <w:ind w:firstLine="480"/>
        <w:rPr>
          <w:color w:val="auto"/>
        </w:rPr>
      </w:pPr>
      <w:r>
        <w:rPr>
          <w:color w:val="auto"/>
        </w:rPr>
        <w:t>根据以上预测结果：枯水期正常情况下，本项目污水处理厂排放口COD、氨氮、总磷</w:t>
      </w:r>
      <w:r>
        <w:rPr>
          <w:rFonts w:hint="eastAsia"/>
          <w:color w:val="auto"/>
          <w:lang w:eastAsia="zh-CN"/>
        </w:rPr>
        <w:t>、</w:t>
      </w:r>
      <w:r>
        <w:rPr>
          <w:rFonts w:hint="eastAsia"/>
          <w:color w:val="auto"/>
          <w:lang w:val="en-US" w:eastAsia="zh-CN"/>
        </w:rPr>
        <w:t>石油类、甲醛</w:t>
      </w:r>
      <w:r>
        <w:rPr>
          <w:color w:val="auto"/>
        </w:rPr>
        <w:t>的排放标准值参照执行《地表水环境质量标准》（GB3838-2002）Ⅲ类标准要求，</w:t>
      </w:r>
      <w:r>
        <w:rPr>
          <w:rFonts w:hint="eastAsia"/>
          <w:color w:val="auto"/>
          <w:lang w:val="en-US" w:eastAsia="zh-CN"/>
        </w:rPr>
        <w:t>均能满足要求；非</w:t>
      </w:r>
      <w:r>
        <w:rPr>
          <w:color w:val="auto"/>
        </w:rPr>
        <w:t>正常情况下，本项目污水处理厂排放口COD、氨氮、总磷</w:t>
      </w:r>
      <w:r>
        <w:rPr>
          <w:rFonts w:hint="eastAsia"/>
          <w:color w:val="auto"/>
          <w:lang w:eastAsia="zh-CN"/>
        </w:rPr>
        <w:t>、</w:t>
      </w:r>
      <w:r>
        <w:rPr>
          <w:rFonts w:hint="eastAsia"/>
          <w:color w:val="auto"/>
          <w:lang w:val="en-US" w:eastAsia="zh-CN"/>
        </w:rPr>
        <w:t>石油类、甲醛</w:t>
      </w:r>
      <w:r>
        <w:rPr>
          <w:color w:val="auto"/>
        </w:rPr>
        <w:t>的排放标准值参照执行《地表水环境质量标准》（GB3838-2002）Ⅲ类标准要求，</w:t>
      </w:r>
      <w:r>
        <w:rPr>
          <w:rFonts w:hint="eastAsia"/>
          <w:color w:val="auto"/>
          <w:lang w:val="en-US" w:eastAsia="zh-CN"/>
        </w:rPr>
        <w:t>均能满足要求，但会有一定影响</w:t>
      </w:r>
      <w:r>
        <w:rPr>
          <w:color w:val="auto"/>
        </w:rPr>
        <w:t>。</w:t>
      </w:r>
    </w:p>
    <w:p w14:paraId="2645411E">
      <w:pPr>
        <w:pageBreakBefore w:val="0"/>
        <w:widowControl/>
        <w:wordWrap/>
        <w:bidi w:val="0"/>
        <w:adjustRightInd/>
        <w:snapToGrid/>
        <w:ind w:firstLine="480"/>
        <w:rPr>
          <w:color w:val="auto"/>
        </w:rPr>
      </w:pPr>
      <w:r>
        <w:rPr>
          <w:color w:val="auto"/>
        </w:rPr>
        <w:t>故正常排放情况下，项目尾水对</w:t>
      </w:r>
      <w:r>
        <w:rPr>
          <w:rFonts w:hint="eastAsia"/>
          <w:color w:val="auto"/>
          <w:lang w:eastAsia="zh-CN"/>
        </w:rPr>
        <w:t>巴河</w:t>
      </w:r>
      <w:r>
        <w:rPr>
          <w:color w:val="auto"/>
        </w:rPr>
        <w:t>水质影响较小，非正常排放（污水处理设施完全故障）下对</w:t>
      </w:r>
      <w:r>
        <w:rPr>
          <w:rFonts w:hint="eastAsia"/>
          <w:color w:val="auto"/>
          <w:lang w:eastAsia="zh-CN"/>
        </w:rPr>
        <w:t>巴河</w:t>
      </w:r>
      <w:r>
        <w:rPr>
          <w:color w:val="auto"/>
        </w:rPr>
        <w:t>水质有着明显的不利影响。</w:t>
      </w:r>
    </w:p>
    <w:p w14:paraId="5C0D9A83">
      <w:pPr>
        <w:pageBreakBefore w:val="0"/>
        <w:widowControl/>
        <w:wordWrap/>
        <w:bidi w:val="0"/>
        <w:adjustRightInd/>
        <w:snapToGrid/>
        <w:ind w:firstLine="480"/>
        <w:rPr>
          <w:color w:val="auto"/>
        </w:rPr>
      </w:pPr>
      <w:r>
        <w:rPr>
          <w:color w:val="auto"/>
        </w:rPr>
        <w:t>鉴于上述废水非正常排放预测，污水处理厂需加强日常的运行管理，尽量避免事故的发生。污水处理厂应设置专门的事故应急部门，当事故发生时，迅速启动事故应急预案，统一由事故应急部门指挥。污水处理厂排口设置自动截止阀，一旦废水处理设施发生故障，必须迅速关闭排污口。污水处理厂进出水口应安装主要污染指标在线监测仪，便于及时发现并处理异常情况。</w:t>
      </w:r>
    </w:p>
    <w:p w14:paraId="6C0E9784">
      <w:pPr>
        <w:spacing w:line="360" w:lineRule="auto"/>
        <w:ind w:firstLine="482" w:firstLineChars="200"/>
        <w:rPr>
          <w:b/>
          <w:color w:val="auto"/>
          <w:sz w:val="24"/>
        </w:rPr>
      </w:pPr>
      <w:r>
        <w:rPr>
          <w:rFonts w:hint="eastAsia"/>
          <w:b/>
          <w:color w:val="auto"/>
          <w:sz w:val="24"/>
          <w:lang w:val="en-US" w:eastAsia="zh-CN"/>
        </w:rPr>
        <w:t>2、</w:t>
      </w:r>
      <w:r>
        <w:rPr>
          <w:b/>
          <w:color w:val="auto"/>
          <w:sz w:val="24"/>
        </w:rPr>
        <w:t>核算断面和完全混合断面预测结果</w:t>
      </w:r>
    </w:p>
    <w:p w14:paraId="56BC2DFF">
      <w:pPr>
        <w:spacing w:line="360" w:lineRule="auto"/>
        <w:ind w:firstLine="480" w:firstLineChars="200"/>
        <w:rPr>
          <w:color w:val="auto"/>
          <w:sz w:val="24"/>
        </w:rPr>
      </w:pPr>
      <w:r>
        <w:rPr>
          <w:color w:val="auto"/>
          <w:sz w:val="24"/>
        </w:rPr>
        <w:t>本项目正常排放</w:t>
      </w:r>
      <w:r>
        <w:rPr>
          <w:rFonts w:hint="eastAsia"/>
          <w:color w:val="auto"/>
          <w:sz w:val="24"/>
          <w:lang w:val="en-US" w:eastAsia="zh-CN"/>
        </w:rPr>
        <w:t>和非正常排放</w:t>
      </w:r>
      <w:r>
        <w:rPr>
          <w:color w:val="auto"/>
          <w:sz w:val="24"/>
        </w:rPr>
        <w:t>污染物完全混合断面和核算断面预测结果见</w:t>
      </w:r>
      <w:r>
        <w:rPr>
          <w:rFonts w:hint="eastAsia"/>
          <w:color w:val="auto"/>
          <w:sz w:val="24"/>
          <w:lang w:val="en-US" w:eastAsia="zh-CN"/>
        </w:rPr>
        <w:t>下表</w:t>
      </w:r>
      <w:r>
        <w:rPr>
          <w:color w:val="auto"/>
          <w:sz w:val="24"/>
        </w:rPr>
        <w:t>所示。</w:t>
      </w:r>
    </w:p>
    <w:p w14:paraId="2BA7726E">
      <w:pPr>
        <w:keepNext w:val="0"/>
        <w:keepLines w:val="0"/>
        <w:pageBreakBefore w:val="0"/>
        <w:widowControl w:val="0"/>
        <w:kinsoku/>
        <w:wordWrap/>
        <w:overflowPunct/>
        <w:topLinePunct w:val="0"/>
        <w:autoSpaceDE/>
        <w:autoSpaceDN/>
        <w:bidi w:val="0"/>
        <w:adjustRightInd/>
        <w:snapToGrid/>
        <w:spacing w:before="157" w:beforeLines="50"/>
        <w:textAlignment w:val="auto"/>
        <w:rPr>
          <w:color w:val="auto"/>
        </w:rPr>
      </w:pPr>
      <w:r>
        <w:rPr>
          <w:rFonts w:hint="eastAsia"/>
          <w:color w:val="auto"/>
        </w:rPr>
        <w:t>目前，</w:t>
      </w:r>
      <w:r>
        <w:rPr>
          <w:rFonts w:hint="eastAsia"/>
          <w:color w:val="auto"/>
          <w:lang w:eastAsia="zh-CN"/>
        </w:rPr>
        <w:t>巴河</w:t>
      </w:r>
      <w:r>
        <w:rPr>
          <w:rFonts w:hint="eastAsia"/>
          <w:color w:val="auto"/>
        </w:rPr>
        <w:t>水质良好，</w:t>
      </w:r>
      <w:r>
        <w:rPr>
          <w:rFonts w:hint="eastAsia"/>
          <w:color w:val="auto"/>
          <w:lang w:eastAsia="zh-CN"/>
        </w:rPr>
        <w:t>水流量较大，</w:t>
      </w:r>
      <w:r>
        <w:rPr>
          <w:color w:val="auto"/>
        </w:rPr>
        <w:t>COD</w:t>
      </w:r>
      <w:r>
        <w:rPr>
          <w:color w:val="auto"/>
          <w:vertAlign w:val="subscript"/>
        </w:rPr>
        <w:t>Cr</w:t>
      </w:r>
      <w:r>
        <w:rPr>
          <w:rFonts w:hint="eastAsia"/>
          <w:color w:val="auto"/>
        </w:rPr>
        <w:t>、</w:t>
      </w:r>
      <w:r>
        <w:rPr>
          <w:color w:val="auto"/>
        </w:rPr>
        <w:t>NH</w:t>
      </w:r>
      <w:r>
        <w:rPr>
          <w:color w:val="auto"/>
          <w:vertAlign w:val="subscript"/>
        </w:rPr>
        <w:t>3</w:t>
      </w:r>
      <w:r>
        <w:rPr>
          <w:color w:val="auto"/>
        </w:rPr>
        <w:t>-N</w:t>
      </w:r>
      <w:r>
        <w:rPr>
          <w:rFonts w:hint="eastAsia"/>
          <w:color w:val="auto"/>
        </w:rPr>
        <w:t>、</w:t>
      </w:r>
      <w:r>
        <w:rPr>
          <w:color w:val="auto"/>
        </w:rPr>
        <w:t>TP</w:t>
      </w:r>
      <w:r>
        <w:rPr>
          <w:rFonts w:hint="eastAsia"/>
          <w:color w:val="auto"/>
          <w:lang w:eastAsia="zh-CN"/>
        </w:rPr>
        <w:t>、</w:t>
      </w:r>
      <w:r>
        <w:rPr>
          <w:rFonts w:hint="eastAsia"/>
          <w:color w:val="auto"/>
          <w:lang w:val="en-US" w:eastAsia="zh-CN"/>
        </w:rPr>
        <w:t>石油类、甲醛</w:t>
      </w:r>
      <w:r>
        <w:rPr>
          <w:rFonts w:hint="eastAsia"/>
          <w:color w:val="auto"/>
        </w:rPr>
        <w:t>均可达到《地表水环境质量标准》（</w:t>
      </w:r>
      <w:r>
        <w:rPr>
          <w:color w:val="auto"/>
        </w:rPr>
        <w:t>GB3838-2002</w:t>
      </w:r>
      <w:r>
        <w:rPr>
          <w:rFonts w:hint="eastAsia"/>
          <w:color w:val="auto"/>
        </w:rPr>
        <w:t>）Ⅲ类水域标准</w:t>
      </w:r>
      <w:r>
        <w:rPr>
          <w:rFonts w:hint="eastAsia"/>
          <w:color w:val="auto"/>
          <w:lang w:eastAsia="zh-CN"/>
        </w:rPr>
        <w:t>。</w:t>
      </w:r>
      <w:r>
        <w:rPr>
          <w:color w:val="auto"/>
        </w:rPr>
        <w:t>由上表的计算结果可知：枯水期预测因子CODCr、氨氮</w:t>
      </w:r>
      <w:r>
        <w:rPr>
          <w:rFonts w:hint="eastAsia"/>
          <w:color w:val="auto"/>
          <w:lang w:eastAsia="zh-CN"/>
        </w:rPr>
        <w:t>、</w:t>
      </w:r>
      <w:r>
        <w:rPr>
          <w:color w:val="auto"/>
        </w:rPr>
        <w:t>TP</w:t>
      </w:r>
      <w:r>
        <w:rPr>
          <w:rFonts w:hint="eastAsia"/>
          <w:color w:val="auto"/>
          <w:lang w:eastAsia="zh-CN"/>
        </w:rPr>
        <w:t>、</w:t>
      </w:r>
      <w:r>
        <w:rPr>
          <w:rFonts w:hint="eastAsia"/>
          <w:color w:val="auto"/>
          <w:lang w:val="en-US" w:eastAsia="zh-CN"/>
        </w:rPr>
        <w:t>石油类和甲醛</w:t>
      </w:r>
      <w:r>
        <w:rPr>
          <w:color w:val="auto"/>
        </w:rPr>
        <w:t>经混合、衰减后到距离排放口下游</w:t>
      </w:r>
      <w:r>
        <w:rPr>
          <w:rFonts w:hint="eastAsia"/>
          <w:color w:val="auto"/>
          <w:lang w:val="en-US" w:eastAsia="zh-CN"/>
        </w:rPr>
        <w:t>73</w:t>
      </w:r>
      <w:r>
        <w:rPr>
          <w:color w:val="auto"/>
        </w:rPr>
        <w:t>m处完全混合段断面处的浓度均</w:t>
      </w:r>
      <w:r>
        <w:rPr>
          <w:rFonts w:hint="eastAsia"/>
          <w:color w:val="auto"/>
          <w:lang w:eastAsia="zh-CN"/>
        </w:rPr>
        <w:t>未</w:t>
      </w:r>
      <w:r>
        <w:rPr>
          <w:color w:val="auto"/>
        </w:rPr>
        <w:t>超过《地表水环境质量标准》（GB3838-2002）中的Ⅲ类水域标准限值。</w:t>
      </w:r>
    </w:p>
    <w:p w14:paraId="68626612">
      <w:pPr>
        <w:pageBreakBefore w:val="0"/>
        <w:wordWrap/>
        <w:bidi w:val="0"/>
        <w:adjustRightInd/>
        <w:snapToGrid/>
        <w:ind w:firstLine="482"/>
        <w:rPr>
          <w:b/>
          <w:bCs/>
          <w:color w:val="auto"/>
        </w:rPr>
      </w:pPr>
      <w:r>
        <w:rPr>
          <w:rFonts w:hint="eastAsia"/>
          <w:b/>
          <w:bCs/>
          <w:color w:val="auto"/>
          <w:lang w:val="en-US" w:eastAsia="zh-CN"/>
        </w:rPr>
        <w:t>3、</w:t>
      </w:r>
      <w:r>
        <w:rPr>
          <w:b/>
          <w:bCs/>
          <w:color w:val="auto"/>
        </w:rPr>
        <w:t>对</w:t>
      </w:r>
      <w:r>
        <w:rPr>
          <w:rFonts w:hint="eastAsia"/>
          <w:b/>
          <w:bCs/>
          <w:color w:val="auto"/>
          <w:lang w:eastAsia="zh-CN"/>
        </w:rPr>
        <w:t>金碑断面</w:t>
      </w:r>
      <w:r>
        <w:rPr>
          <w:b/>
          <w:bCs/>
          <w:color w:val="auto"/>
        </w:rPr>
        <w:t>的影响预测分析</w:t>
      </w:r>
    </w:p>
    <w:p w14:paraId="7820D157">
      <w:pPr>
        <w:pageBreakBefore w:val="0"/>
        <w:wordWrap/>
        <w:bidi w:val="0"/>
        <w:adjustRightInd/>
        <w:snapToGrid/>
        <w:ind w:firstLine="480"/>
        <w:rPr>
          <w:color w:val="auto"/>
        </w:rPr>
      </w:pPr>
      <w:r>
        <w:rPr>
          <w:rFonts w:hint="eastAsia"/>
          <w:color w:val="auto"/>
          <w:lang w:eastAsia="zh-CN"/>
        </w:rPr>
        <w:t>金碑断面</w:t>
      </w:r>
      <w:r>
        <w:rPr>
          <w:color w:val="auto"/>
        </w:rPr>
        <w:t>位于本项目拟建排口下游约</w:t>
      </w:r>
      <w:r>
        <w:rPr>
          <w:rFonts w:hint="eastAsia"/>
          <w:color w:val="auto"/>
          <w:lang w:val="en-US" w:eastAsia="zh-CN"/>
        </w:rPr>
        <w:t>8.7km</w:t>
      </w:r>
      <w:r>
        <w:rPr>
          <w:color w:val="auto"/>
        </w:rPr>
        <w:t>处，现为</w:t>
      </w:r>
      <w:r>
        <w:rPr>
          <w:rFonts w:hint="eastAsia"/>
          <w:color w:val="auto"/>
          <w:lang w:val="en-US" w:eastAsia="zh-CN"/>
        </w:rPr>
        <w:t>四川省控</w:t>
      </w:r>
      <w:r>
        <w:rPr>
          <w:color w:val="auto"/>
        </w:rPr>
        <w:t>考核监测断面，已被生态环境部列入</w:t>
      </w:r>
      <w:r>
        <w:rPr>
          <w:rFonts w:hint="eastAsia"/>
          <w:color w:val="auto"/>
          <w:lang w:eastAsia="zh-CN"/>
        </w:rPr>
        <w:t>“</w:t>
      </w:r>
      <w:r>
        <w:rPr>
          <w:color w:val="auto"/>
        </w:rPr>
        <w:t>十四五</w:t>
      </w:r>
      <w:r>
        <w:rPr>
          <w:rFonts w:hint="eastAsia"/>
          <w:color w:val="auto"/>
          <w:lang w:eastAsia="zh-CN"/>
        </w:rPr>
        <w:t>”</w:t>
      </w:r>
      <w:r>
        <w:rPr>
          <w:color w:val="auto"/>
        </w:rPr>
        <w:t>地表水国控考核监测断面。本项目排水对</w:t>
      </w:r>
      <w:r>
        <w:rPr>
          <w:rFonts w:hint="eastAsia"/>
          <w:color w:val="auto"/>
          <w:lang w:eastAsia="zh-CN"/>
        </w:rPr>
        <w:t>金碑断面</w:t>
      </w:r>
      <w:r>
        <w:rPr>
          <w:color w:val="auto"/>
        </w:rPr>
        <w:t>的影响</w:t>
      </w:r>
      <w:r>
        <w:rPr>
          <w:rFonts w:hint="eastAsia"/>
          <w:color w:val="auto"/>
          <w:lang w:eastAsia="zh-CN"/>
        </w:rPr>
        <w:t>如</w:t>
      </w:r>
      <w:r>
        <w:rPr>
          <w:color w:val="auto"/>
        </w:rPr>
        <w:t>下表所示：</w:t>
      </w:r>
    </w:p>
    <w:p w14:paraId="310057C4">
      <w:pPr>
        <w:keepNext w:val="0"/>
        <w:keepLines w:val="0"/>
        <w:pageBreakBefore w:val="0"/>
        <w:widowControl w:val="0"/>
        <w:kinsoku/>
        <w:wordWrap/>
        <w:overflowPunct/>
        <w:topLinePunct w:val="0"/>
        <w:autoSpaceDE/>
        <w:autoSpaceDN/>
        <w:bidi w:val="0"/>
        <w:adjustRightInd/>
        <w:snapToGrid/>
        <w:spacing w:before="157" w:beforeLines="50"/>
        <w:textAlignment w:val="auto"/>
        <w:rPr>
          <w:color w:val="auto"/>
          <w:sz w:val="24"/>
          <w:szCs w:val="24"/>
        </w:rPr>
      </w:pPr>
      <w:r>
        <w:rPr>
          <w:color w:val="auto"/>
          <w:sz w:val="24"/>
          <w:szCs w:val="24"/>
        </w:rPr>
        <w:t>由上表可以看出：枯水期，正常排放情况下，项目尾水不会对</w:t>
      </w:r>
      <w:r>
        <w:rPr>
          <w:rFonts w:hint="eastAsia"/>
          <w:color w:val="auto"/>
          <w:sz w:val="24"/>
          <w:szCs w:val="24"/>
          <w:lang w:eastAsia="zh-CN"/>
        </w:rPr>
        <w:t>金碑断面</w:t>
      </w:r>
      <w:r>
        <w:rPr>
          <w:color w:val="auto"/>
          <w:sz w:val="24"/>
          <w:szCs w:val="24"/>
        </w:rPr>
        <w:t>水质造成污染影响，该处水质依旧为</w:t>
      </w:r>
      <w:r>
        <w:rPr>
          <w:rFonts w:hint="default" w:ascii="Times New Roman" w:hAnsi="Times New Roman" w:cs="Times New Roman"/>
          <w:color w:val="auto"/>
          <w:sz w:val="24"/>
          <w:szCs w:val="24"/>
        </w:rPr>
        <w:t>Ⅱ</w:t>
      </w:r>
      <w:r>
        <w:rPr>
          <w:color w:val="auto"/>
          <w:sz w:val="24"/>
          <w:szCs w:val="24"/>
        </w:rPr>
        <w:t>类水质，且满足10%的安全余量；枯水期，非正常排放情况下（污水处理设施完全故障，污水不经处理直接排放），项目尾水不会对</w:t>
      </w:r>
      <w:r>
        <w:rPr>
          <w:rFonts w:hint="eastAsia"/>
          <w:color w:val="auto"/>
          <w:sz w:val="24"/>
          <w:szCs w:val="24"/>
          <w:lang w:eastAsia="zh-CN"/>
        </w:rPr>
        <w:t>金碑断面</w:t>
      </w:r>
      <w:r>
        <w:rPr>
          <w:color w:val="auto"/>
          <w:sz w:val="24"/>
          <w:szCs w:val="24"/>
        </w:rPr>
        <w:t>水质造成污染影响，该处水质依旧为</w:t>
      </w:r>
      <w:r>
        <w:rPr>
          <w:rFonts w:hint="default" w:ascii="Times New Roman" w:hAnsi="Times New Roman" w:cs="Times New Roman"/>
          <w:color w:val="auto"/>
          <w:sz w:val="24"/>
          <w:szCs w:val="24"/>
        </w:rPr>
        <w:t>Ⅱ</w:t>
      </w:r>
      <w:r>
        <w:rPr>
          <w:color w:val="auto"/>
          <w:sz w:val="24"/>
          <w:szCs w:val="24"/>
        </w:rPr>
        <w:t>类水质，且满足10%的安全余量。</w:t>
      </w:r>
    </w:p>
    <w:p w14:paraId="75DE4C62">
      <w:pPr>
        <w:pStyle w:val="10"/>
        <w:pageBreakBefore w:val="0"/>
        <w:wordWrap/>
        <w:bidi w:val="0"/>
        <w:adjustRightInd/>
        <w:snapToGrid/>
        <w:rPr>
          <w:color w:val="auto"/>
        </w:rPr>
      </w:pPr>
      <w:r>
        <w:rPr>
          <w:color w:val="auto"/>
        </w:rPr>
        <w:t>建设项目污染物排放信息</w:t>
      </w:r>
    </w:p>
    <w:p w14:paraId="10A52542">
      <w:pPr>
        <w:pageBreakBefore w:val="0"/>
        <w:wordWrap/>
        <w:bidi w:val="0"/>
        <w:adjustRightInd/>
        <w:snapToGrid/>
        <w:ind w:firstLine="480"/>
        <w:jc w:val="left"/>
        <w:rPr>
          <w:color w:val="auto"/>
          <w:kern w:val="0"/>
        </w:rPr>
      </w:pPr>
      <w:r>
        <w:rPr>
          <w:color w:val="auto"/>
          <w:kern w:val="0"/>
        </w:rPr>
        <w:t>①废水类别、污染物及污染治理设施信息</w:t>
      </w:r>
      <w:r>
        <w:rPr>
          <w:rFonts w:hint="eastAsia"/>
          <w:color w:val="auto"/>
          <w:kern w:val="0"/>
          <w:lang w:val="en-US" w:eastAsia="zh-CN"/>
        </w:rPr>
        <w:t>见下表</w:t>
      </w:r>
      <w:r>
        <w:rPr>
          <w:color w:val="auto"/>
          <w:kern w:val="0"/>
        </w:rPr>
        <w:t>。</w:t>
      </w:r>
    </w:p>
    <w:p w14:paraId="37D96497">
      <w:pPr>
        <w:pStyle w:val="19"/>
        <w:numPr>
          <w:ilvl w:val="0"/>
          <w:numId w:val="31"/>
        </w:numPr>
        <w:bidi w:val="0"/>
        <w:ind w:left="1440" w:leftChars="0" w:firstLine="0" w:firstLineChars="0"/>
        <w:rPr>
          <w:color w:val="auto"/>
        </w:rPr>
      </w:pPr>
      <w:r>
        <w:rPr>
          <w:color w:val="auto"/>
        </w:rPr>
        <w:t>废水类别、污染物及污染治理设施信息表</w:t>
      </w:r>
    </w:p>
    <w:tbl>
      <w:tblPr>
        <w:tblStyle w:val="5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37"/>
        <w:gridCol w:w="397"/>
        <w:gridCol w:w="1311"/>
        <w:gridCol w:w="397"/>
        <w:gridCol w:w="730"/>
        <w:gridCol w:w="736"/>
        <w:gridCol w:w="657"/>
        <w:gridCol w:w="1601"/>
        <w:gridCol w:w="410"/>
        <w:gridCol w:w="779"/>
        <w:gridCol w:w="1425"/>
      </w:tblGrid>
      <w:tr w14:paraId="099867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37" w:type="dxa"/>
            <w:vMerge w:val="restart"/>
            <w:tcBorders>
              <w:tl2br w:val="nil"/>
              <w:tr2bl w:val="nil"/>
            </w:tcBorders>
            <w:noWrap w:val="0"/>
            <w:vAlign w:val="center"/>
          </w:tcPr>
          <w:p w14:paraId="0D651EED">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397" w:type="dxa"/>
            <w:vMerge w:val="restart"/>
            <w:tcBorders>
              <w:tl2br w:val="nil"/>
              <w:tr2bl w:val="nil"/>
            </w:tcBorders>
            <w:noWrap w:val="0"/>
            <w:vAlign w:val="center"/>
          </w:tcPr>
          <w:p w14:paraId="4A9A3696">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废水类别</w:t>
            </w:r>
          </w:p>
        </w:tc>
        <w:tc>
          <w:tcPr>
            <w:tcW w:w="1311" w:type="dxa"/>
            <w:vMerge w:val="restart"/>
            <w:tcBorders>
              <w:tl2br w:val="nil"/>
              <w:tr2bl w:val="nil"/>
            </w:tcBorders>
            <w:noWrap w:val="0"/>
            <w:vAlign w:val="center"/>
          </w:tcPr>
          <w:p w14:paraId="1B03D30F">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w:t>
            </w:r>
          </w:p>
          <w:p w14:paraId="35B9805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种类</w:t>
            </w:r>
          </w:p>
        </w:tc>
        <w:tc>
          <w:tcPr>
            <w:tcW w:w="397" w:type="dxa"/>
            <w:vMerge w:val="restart"/>
            <w:tcBorders>
              <w:tl2br w:val="nil"/>
              <w:tr2bl w:val="nil"/>
            </w:tcBorders>
            <w:noWrap w:val="0"/>
            <w:vAlign w:val="center"/>
          </w:tcPr>
          <w:p w14:paraId="2CFF8B32">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排放去向</w:t>
            </w:r>
          </w:p>
        </w:tc>
        <w:tc>
          <w:tcPr>
            <w:tcW w:w="730" w:type="dxa"/>
            <w:vMerge w:val="restart"/>
            <w:tcBorders>
              <w:tl2br w:val="nil"/>
              <w:tr2bl w:val="nil"/>
            </w:tcBorders>
            <w:noWrap w:val="0"/>
            <w:vAlign w:val="center"/>
          </w:tcPr>
          <w:p w14:paraId="2AF2EDDA">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排放规律</w:t>
            </w:r>
          </w:p>
        </w:tc>
        <w:tc>
          <w:tcPr>
            <w:tcW w:w="2994" w:type="dxa"/>
            <w:gridSpan w:val="3"/>
            <w:tcBorders>
              <w:tl2br w:val="nil"/>
              <w:tr2bl w:val="nil"/>
            </w:tcBorders>
            <w:noWrap w:val="0"/>
            <w:vAlign w:val="center"/>
          </w:tcPr>
          <w:p w14:paraId="46D76BD2">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污染治理设施</w:t>
            </w:r>
          </w:p>
        </w:tc>
        <w:tc>
          <w:tcPr>
            <w:tcW w:w="410" w:type="dxa"/>
            <w:vMerge w:val="restart"/>
            <w:tcBorders>
              <w:tl2br w:val="nil"/>
              <w:tr2bl w:val="nil"/>
            </w:tcBorders>
            <w:noWrap w:val="0"/>
            <w:vAlign w:val="center"/>
          </w:tcPr>
          <w:p w14:paraId="04D3441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排放口编号</w:t>
            </w:r>
          </w:p>
        </w:tc>
        <w:tc>
          <w:tcPr>
            <w:tcW w:w="779" w:type="dxa"/>
            <w:vMerge w:val="restart"/>
            <w:tcBorders>
              <w:tl2br w:val="nil"/>
              <w:tr2bl w:val="nil"/>
            </w:tcBorders>
            <w:noWrap w:val="0"/>
            <w:vAlign w:val="center"/>
          </w:tcPr>
          <w:p w14:paraId="206F3DF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排放口设置是否符合要求</w:t>
            </w:r>
          </w:p>
        </w:tc>
        <w:tc>
          <w:tcPr>
            <w:tcW w:w="1425" w:type="dxa"/>
            <w:vMerge w:val="restart"/>
            <w:tcBorders>
              <w:tl2br w:val="nil"/>
              <w:tr2bl w:val="nil"/>
            </w:tcBorders>
            <w:noWrap w:val="0"/>
            <w:vAlign w:val="center"/>
          </w:tcPr>
          <w:p w14:paraId="7446F0F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排放口</w:t>
            </w:r>
          </w:p>
          <w:p w14:paraId="6937984D">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类型</w:t>
            </w:r>
          </w:p>
        </w:tc>
      </w:tr>
      <w:tr w14:paraId="494E55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37" w:type="dxa"/>
            <w:vMerge w:val="continue"/>
            <w:tcBorders>
              <w:tl2br w:val="nil"/>
              <w:tr2bl w:val="nil"/>
            </w:tcBorders>
            <w:noWrap w:val="0"/>
            <w:vAlign w:val="center"/>
          </w:tcPr>
          <w:p w14:paraId="48DCA0C6">
            <w:pPr>
              <w:pageBreakBefore w:val="0"/>
              <w:wordWrap/>
              <w:bidi w:val="0"/>
              <w:adjustRightInd/>
              <w:snapToGrid/>
              <w:spacing w:line="240" w:lineRule="auto"/>
              <w:ind w:firstLine="0" w:firstLineChars="0"/>
              <w:jc w:val="center"/>
              <w:rPr>
                <w:color w:val="auto"/>
                <w:sz w:val="21"/>
                <w:szCs w:val="21"/>
              </w:rPr>
            </w:pPr>
          </w:p>
        </w:tc>
        <w:tc>
          <w:tcPr>
            <w:tcW w:w="397" w:type="dxa"/>
            <w:vMerge w:val="continue"/>
            <w:tcBorders>
              <w:tl2br w:val="nil"/>
              <w:tr2bl w:val="nil"/>
            </w:tcBorders>
            <w:noWrap w:val="0"/>
            <w:vAlign w:val="center"/>
          </w:tcPr>
          <w:p w14:paraId="58404A36">
            <w:pPr>
              <w:pageBreakBefore w:val="0"/>
              <w:wordWrap/>
              <w:bidi w:val="0"/>
              <w:adjustRightInd/>
              <w:snapToGrid/>
              <w:spacing w:line="240" w:lineRule="auto"/>
              <w:ind w:firstLine="0" w:firstLineChars="0"/>
              <w:jc w:val="center"/>
              <w:rPr>
                <w:color w:val="auto"/>
                <w:sz w:val="21"/>
                <w:szCs w:val="21"/>
              </w:rPr>
            </w:pPr>
          </w:p>
        </w:tc>
        <w:tc>
          <w:tcPr>
            <w:tcW w:w="1311" w:type="dxa"/>
            <w:vMerge w:val="continue"/>
            <w:tcBorders>
              <w:tl2br w:val="nil"/>
              <w:tr2bl w:val="nil"/>
            </w:tcBorders>
            <w:noWrap w:val="0"/>
            <w:vAlign w:val="center"/>
          </w:tcPr>
          <w:p w14:paraId="75F6C0FB">
            <w:pPr>
              <w:pageBreakBefore w:val="0"/>
              <w:wordWrap/>
              <w:bidi w:val="0"/>
              <w:adjustRightInd/>
              <w:snapToGrid/>
              <w:spacing w:line="240" w:lineRule="auto"/>
              <w:ind w:firstLine="0" w:firstLineChars="0"/>
              <w:jc w:val="center"/>
              <w:rPr>
                <w:color w:val="auto"/>
                <w:sz w:val="21"/>
                <w:szCs w:val="21"/>
              </w:rPr>
            </w:pPr>
          </w:p>
        </w:tc>
        <w:tc>
          <w:tcPr>
            <w:tcW w:w="397" w:type="dxa"/>
            <w:vMerge w:val="continue"/>
            <w:tcBorders>
              <w:tl2br w:val="nil"/>
              <w:tr2bl w:val="nil"/>
            </w:tcBorders>
            <w:noWrap w:val="0"/>
            <w:vAlign w:val="center"/>
          </w:tcPr>
          <w:p w14:paraId="6C87DA38">
            <w:pPr>
              <w:pageBreakBefore w:val="0"/>
              <w:wordWrap/>
              <w:bidi w:val="0"/>
              <w:adjustRightInd/>
              <w:snapToGrid/>
              <w:spacing w:line="240" w:lineRule="auto"/>
              <w:ind w:firstLine="0" w:firstLineChars="0"/>
              <w:jc w:val="center"/>
              <w:rPr>
                <w:color w:val="auto"/>
                <w:sz w:val="21"/>
                <w:szCs w:val="21"/>
              </w:rPr>
            </w:pPr>
          </w:p>
        </w:tc>
        <w:tc>
          <w:tcPr>
            <w:tcW w:w="730" w:type="dxa"/>
            <w:vMerge w:val="continue"/>
            <w:tcBorders>
              <w:tl2br w:val="nil"/>
              <w:tr2bl w:val="nil"/>
            </w:tcBorders>
            <w:noWrap w:val="0"/>
            <w:vAlign w:val="center"/>
          </w:tcPr>
          <w:p w14:paraId="154EA9C4">
            <w:pPr>
              <w:pageBreakBefore w:val="0"/>
              <w:wordWrap/>
              <w:bidi w:val="0"/>
              <w:adjustRightInd/>
              <w:snapToGrid/>
              <w:spacing w:line="240" w:lineRule="auto"/>
              <w:ind w:firstLine="0" w:firstLineChars="0"/>
              <w:jc w:val="center"/>
              <w:rPr>
                <w:color w:val="auto"/>
                <w:sz w:val="21"/>
                <w:szCs w:val="21"/>
              </w:rPr>
            </w:pPr>
          </w:p>
        </w:tc>
        <w:tc>
          <w:tcPr>
            <w:tcW w:w="736" w:type="dxa"/>
            <w:tcBorders>
              <w:tl2br w:val="nil"/>
              <w:tr2bl w:val="nil"/>
            </w:tcBorders>
            <w:noWrap w:val="0"/>
            <w:vAlign w:val="center"/>
          </w:tcPr>
          <w:p w14:paraId="5F7269BA">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污染治理设施</w:t>
            </w:r>
          </w:p>
          <w:p w14:paraId="00F4298E">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编号</w:t>
            </w:r>
          </w:p>
        </w:tc>
        <w:tc>
          <w:tcPr>
            <w:tcW w:w="657" w:type="dxa"/>
            <w:tcBorders>
              <w:tl2br w:val="nil"/>
              <w:tr2bl w:val="nil"/>
            </w:tcBorders>
            <w:noWrap w:val="0"/>
            <w:vAlign w:val="center"/>
          </w:tcPr>
          <w:p w14:paraId="5E519F8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污染治理设施</w:t>
            </w:r>
          </w:p>
          <w:p w14:paraId="2E630A96">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名称</w:t>
            </w:r>
          </w:p>
        </w:tc>
        <w:tc>
          <w:tcPr>
            <w:tcW w:w="1601" w:type="dxa"/>
            <w:tcBorders>
              <w:tl2br w:val="nil"/>
              <w:tr2bl w:val="nil"/>
            </w:tcBorders>
            <w:noWrap w:val="0"/>
            <w:vAlign w:val="center"/>
          </w:tcPr>
          <w:p w14:paraId="59339A2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污染治理设施工艺</w:t>
            </w:r>
          </w:p>
        </w:tc>
        <w:tc>
          <w:tcPr>
            <w:tcW w:w="410" w:type="dxa"/>
            <w:vMerge w:val="continue"/>
            <w:tcBorders>
              <w:tl2br w:val="nil"/>
              <w:tr2bl w:val="nil"/>
            </w:tcBorders>
            <w:noWrap w:val="0"/>
            <w:vAlign w:val="center"/>
          </w:tcPr>
          <w:p w14:paraId="4199E067">
            <w:pPr>
              <w:pageBreakBefore w:val="0"/>
              <w:wordWrap/>
              <w:bidi w:val="0"/>
              <w:adjustRightInd/>
              <w:snapToGrid/>
              <w:spacing w:line="240" w:lineRule="auto"/>
              <w:ind w:firstLine="0" w:firstLineChars="0"/>
              <w:jc w:val="center"/>
              <w:rPr>
                <w:color w:val="auto"/>
                <w:sz w:val="21"/>
                <w:szCs w:val="21"/>
              </w:rPr>
            </w:pPr>
          </w:p>
        </w:tc>
        <w:tc>
          <w:tcPr>
            <w:tcW w:w="779" w:type="dxa"/>
            <w:vMerge w:val="continue"/>
            <w:tcBorders>
              <w:tl2br w:val="nil"/>
              <w:tr2bl w:val="nil"/>
            </w:tcBorders>
            <w:noWrap w:val="0"/>
            <w:vAlign w:val="center"/>
          </w:tcPr>
          <w:p w14:paraId="69B13F0C">
            <w:pPr>
              <w:pageBreakBefore w:val="0"/>
              <w:wordWrap/>
              <w:bidi w:val="0"/>
              <w:adjustRightInd/>
              <w:snapToGrid/>
              <w:spacing w:line="240" w:lineRule="auto"/>
              <w:ind w:firstLine="0" w:firstLineChars="0"/>
              <w:jc w:val="center"/>
              <w:rPr>
                <w:color w:val="auto"/>
                <w:sz w:val="21"/>
                <w:szCs w:val="21"/>
              </w:rPr>
            </w:pPr>
          </w:p>
        </w:tc>
        <w:tc>
          <w:tcPr>
            <w:tcW w:w="1425" w:type="dxa"/>
            <w:vMerge w:val="continue"/>
            <w:tcBorders>
              <w:tl2br w:val="nil"/>
              <w:tr2bl w:val="nil"/>
            </w:tcBorders>
            <w:noWrap w:val="0"/>
            <w:vAlign w:val="center"/>
          </w:tcPr>
          <w:p w14:paraId="3A3D0D50">
            <w:pPr>
              <w:pageBreakBefore w:val="0"/>
              <w:wordWrap/>
              <w:bidi w:val="0"/>
              <w:adjustRightInd/>
              <w:snapToGrid/>
              <w:spacing w:line="240" w:lineRule="auto"/>
              <w:ind w:firstLine="0" w:firstLineChars="0"/>
              <w:jc w:val="center"/>
              <w:rPr>
                <w:color w:val="auto"/>
                <w:sz w:val="21"/>
                <w:szCs w:val="21"/>
              </w:rPr>
            </w:pPr>
          </w:p>
        </w:tc>
      </w:tr>
      <w:tr w14:paraId="420939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37" w:type="dxa"/>
            <w:tcBorders>
              <w:tl2br w:val="nil"/>
              <w:tr2bl w:val="nil"/>
            </w:tcBorders>
            <w:noWrap w:val="0"/>
            <w:vAlign w:val="center"/>
          </w:tcPr>
          <w:p w14:paraId="27386298">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397" w:type="dxa"/>
            <w:tcBorders>
              <w:tl2br w:val="nil"/>
              <w:tr2bl w:val="nil"/>
            </w:tcBorders>
            <w:noWrap w:val="0"/>
            <w:vAlign w:val="center"/>
          </w:tcPr>
          <w:p w14:paraId="7BD52A51">
            <w:pPr>
              <w:pageBreakBefore w:val="0"/>
              <w:wordWrap/>
              <w:bidi w:val="0"/>
              <w:adjustRightInd/>
              <w:snapToGrid/>
              <w:spacing w:line="240" w:lineRule="auto"/>
              <w:ind w:firstLine="0" w:firstLineChars="0"/>
              <w:jc w:val="center"/>
              <w:rPr>
                <w:color w:val="auto"/>
                <w:sz w:val="21"/>
                <w:szCs w:val="21"/>
              </w:rPr>
            </w:pPr>
            <w:r>
              <w:rPr>
                <w:color w:val="auto"/>
                <w:sz w:val="21"/>
                <w:szCs w:val="21"/>
              </w:rPr>
              <w:t>工业废水</w:t>
            </w:r>
          </w:p>
        </w:tc>
        <w:tc>
          <w:tcPr>
            <w:tcW w:w="1311" w:type="dxa"/>
            <w:tcBorders>
              <w:tl2br w:val="nil"/>
              <w:tr2bl w:val="nil"/>
            </w:tcBorders>
            <w:noWrap w:val="0"/>
            <w:vAlign w:val="center"/>
          </w:tcPr>
          <w:p w14:paraId="5152B519">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color w:val="auto"/>
                <w:sz w:val="21"/>
                <w:szCs w:val="21"/>
              </w:rPr>
              <w:t>CODcr、NH</w:t>
            </w:r>
            <w:r>
              <w:rPr>
                <w:color w:val="auto"/>
                <w:sz w:val="21"/>
                <w:szCs w:val="21"/>
                <w:vertAlign w:val="subscript"/>
              </w:rPr>
              <w:t>3</w:t>
            </w:r>
            <w:r>
              <w:rPr>
                <w:color w:val="auto"/>
                <w:sz w:val="21"/>
                <w:szCs w:val="21"/>
              </w:rPr>
              <w:t>-N、总磷、</w:t>
            </w:r>
            <w:r>
              <w:rPr>
                <w:rFonts w:hint="eastAsia"/>
                <w:color w:val="auto"/>
                <w:sz w:val="21"/>
                <w:szCs w:val="21"/>
                <w:lang w:val="en-US" w:eastAsia="zh-CN"/>
              </w:rPr>
              <w:t>石油类、甲醛</w:t>
            </w:r>
          </w:p>
        </w:tc>
        <w:tc>
          <w:tcPr>
            <w:tcW w:w="397" w:type="dxa"/>
            <w:tcBorders>
              <w:tl2br w:val="nil"/>
              <w:tr2bl w:val="nil"/>
            </w:tcBorders>
            <w:noWrap w:val="0"/>
            <w:vAlign w:val="center"/>
          </w:tcPr>
          <w:p w14:paraId="5071ED38">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巴河</w:t>
            </w:r>
          </w:p>
        </w:tc>
        <w:tc>
          <w:tcPr>
            <w:tcW w:w="730" w:type="dxa"/>
            <w:tcBorders>
              <w:tl2br w:val="nil"/>
              <w:tr2bl w:val="nil"/>
            </w:tcBorders>
            <w:noWrap w:val="0"/>
            <w:vAlign w:val="center"/>
          </w:tcPr>
          <w:p w14:paraId="71113B24">
            <w:pPr>
              <w:pageBreakBefore w:val="0"/>
              <w:wordWrap/>
              <w:bidi w:val="0"/>
              <w:adjustRightInd/>
              <w:snapToGrid/>
              <w:spacing w:line="240" w:lineRule="auto"/>
              <w:ind w:firstLine="0" w:firstLineChars="0"/>
              <w:jc w:val="center"/>
              <w:rPr>
                <w:color w:val="auto"/>
                <w:sz w:val="21"/>
                <w:szCs w:val="21"/>
              </w:rPr>
            </w:pPr>
            <w:r>
              <w:rPr>
                <w:color w:val="auto"/>
                <w:sz w:val="21"/>
                <w:szCs w:val="21"/>
              </w:rPr>
              <w:t>连续排放，流量稳定</w:t>
            </w:r>
          </w:p>
        </w:tc>
        <w:tc>
          <w:tcPr>
            <w:tcW w:w="736" w:type="dxa"/>
            <w:tcBorders>
              <w:tl2br w:val="nil"/>
              <w:tr2bl w:val="nil"/>
            </w:tcBorders>
            <w:noWrap w:val="0"/>
            <w:vAlign w:val="center"/>
          </w:tcPr>
          <w:p w14:paraId="07F7193F">
            <w:pPr>
              <w:pageBreakBefore w:val="0"/>
              <w:wordWrap/>
              <w:bidi w:val="0"/>
              <w:adjustRightInd/>
              <w:snapToGrid/>
              <w:spacing w:line="240" w:lineRule="auto"/>
              <w:ind w:firstLine="0" w:firstLineChars="0"/>
              <w:jc w:val="center"/>
              <w:rPr>
                <w:color w:val="auto"/>
                <w:sz w:val="21"/>
                <w:szCs w:val="21"/>
              </w:rPr>
            </w:pPr>
            <w:r>
              <w:rPr>
                <w:color w:val="auto"/>
                <w:sz w:val="21"/>
                <w:szCs w:val="21"/>
              </w:rPr>
              <w:t>TW001</w:t>
            </w:r>
          </w:p>
        </w:tc>
        <w:tc>
          <w:tcPr>
            <w:tcW w:w="657" w:type="dxa"/>
            <w:tcBorders>
              <w:tl2br w:val="nil"/>
              <w:tr2bl w:val="nil"/>
            </w:tcBorders>
            <w:noWrap w:val="0"/>
            <w:vAlign w:val="center"/>
          </w:tcPr>
          <w:p w14:paraId="495F4A21">
            <w:pPr>
              <w:pageBreakBefore w:val="0"/>
              <w:wordWrap/>
              <w:bidi w:val="0"/>
              <w:adjustRightInd/>
              <w:snapToGrid/>
              <w:spacing w:line="240" w:lineRule="auto"/>
              <w:ind w:firstLine="0" w:firstLineChars="0"/>
              <w:jc w:val="center"/>
              <w:rPr>
                <w:color w:val="auto"/>
                <w:sz w:val="21"/>
                <w:szCs w:val="21"/>
              </w:rPr>
            </w:pPr>
            <w:r>
              <w:rPr>
                <w:color w:val="auto"/>
                <w:sz w:val="21"/>
                <w:szCs w:val="21"/>
              </w:rPr>
              <w:t>废水处理系统</w:t>
            </w:r>
          </w:p>
        </w:tc>
        <w:tc>
          <w:tcPr>
            <w:tcW w:w="1601" w:type="dxa"/>
            <w:tcBorders>
              <w:tl2br w:val="nil"/>
              <w:tr2bl w:val="nil"/>
            </w:tcBorders>
            <w:noWrap w:val="0"/>
            <w:vAlign w:val="center"/>
          </w:tcPr>
          <w:p w14:paraId="485FE961">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rPr>
              <w:t>超细格栅+调节池+水解酸化池+生化池+二沉池+磁混凝沉淀池+深床反硝化+高级氧化深度处理+紫外线消毒</w:t>
            </w:r>
          </w:p>
        </w:tc>
        <w:tc>
          <w:tcPr>
            <w:tcW w:w="410" w:type="dxa"/>
            <w:tcBorders>
              <w:tl2br w:val="nil"/>
              <w:tr2bl w:val="nil"/>
            </w:tcBorders>
            <w:noWrap w:val="0"/>
            <w:vAlign w:val="center"/>
          </w:tcPr>
          <w:p w14:paraId="4BF8A76B">
            <w:pPr>
              <w:pageBreakBefore w:val="0"/>
              <w:wordWrap/>
              <w:bidi w:val="0"/>
              <w:adjustRightInd/>
              <w:snapToGrid/>
              <w:spacing w:line="240" w:lineRule="auto"/>
              <w:ind w:firstLine="0" w:firstLineChars="0"/>
              <w:jc w:val="center"/>
              <w:rPr>
                <w:color w:val="auto"/>
                <w:sz w:val="21"/>
                <w:szCs w:val="21"/>
              </w:rPr>
            </w:pPr>
            <w:r>
              <w:rPr>
                <w:color w:val="auto"/>
                <w:sz w:val="21"/>
                <w:szCs w:val="21"/>
              </w:rPr>
              <w:t>DW001</w:t>
            </w:r>
          </w:p>
        </w:tc>
        <w:tc>
          <w:tcPr>
            <w:tcW w:w="779" w:type="dxa"/>
            <w:tcBorders>
              <w:tl2br w:val="nil"/>
              <w:tr2bl w:val="nil"/>
            </w:tcBorders>
            <w:noWrap w:val="0"/>
            <w:vAlign w:val="center"/>
          </w:tcPr>
          <w:p w14:paraId="19F355E5">
            <w:pPr>
              <w:pageBreakBefore w:val="0"/>
              <w:wordWrap/>
              <w:bidi w:val="0"/>
              <w:adjustRightInd/>
              <w:snapToGrid/>
              <w:spacing w:line="240" w:lineRule="auto"/>
              <w:ind w:firstLine="0" w:firstLineChars="0"/>
              <w:jc w:val="center"/>
              <w:rPr>
                <w:snapToGrid w:val="0"/>
                <w:color w:val="auto"/>
                <w:kern w:val="20"/>
                <w:sz w:val="21"/>
                <w:szCs w:val="21"/>
              </w:rPr>
            </w:pPr>
            <w:r>
              <w:rPr>
                <w:rFonts w:hint="eastAsia"/>
                <w:color w:val="auto"/>
                <w:kern w:val="0"/>
                <w:sz w:val="21"/>
                <w:szCs w:val="21"/>
                <w:lang w:eastAsia="zh-CN"/>
              </w:rPr>
              <w:t>☑</w:t>
            </w:r>
            <w:r>
              <w:rPr>
                <w:color w:val="auto"/>
                <w:sz w:val="21"/>
                <w:szCs w:val="21"/>
              </w:rPr>
              <w:t>是</w:t>
            </w:r>
          </w:p>
          <w:p w14:paraId="3815B7B3">
            <w:pPr>
              <w:pageBreakBefore w:val="0"/>
              <w:wordWrap/>
              <w:bidi w:val="0"/>
              <w:adjustRightInd/>
              <w:snapToGrid/>
              <w:spacing w:line="240" w:lineRule="auto"/>
              <w:ind w:firstLine="0" w:firstLineChars="0"/>
              <w:jc w:val="center"/>
              <w:rPr>
                <w:color w:val="auto"/>
                <w:sz w:val="21"/>
                <w:szCs w:val="21"/>
              </w:rPr>
            </w:pPr>
            <w:r>
              <w:rPr>
                <w:color w:val="auto"/>
                <w:kern w:val="0"/>
                <w:sz w:val="21"/>
                <w:szCs w:val="21"/>
              </w:rPr>
              <w:t>□</w:t>
            </w:r>
            <w:r>
              <w:rPr>
                <w:color w:val="auto"/>
                <w:sz w:val="21"/>
                <w:szCs w:val="21"/>
              </w:rPr>
              <w:t>否</w:t>
            </w:r>
          </w:p>
        </w:tc>
        <w:tc>
          <w:tcPr>
            <w:tcW w:w="1425" w:type="dxa"/>
            <w:tcBorders>
              <w:tl2br w:val="nil"/>
              <w:tr2bl w:val="nil"/>
            </w:tcBorders>
            <w:noWrap w:val="0"/>
            <w:vAlign w:val="center"/>
          </w:tcPr>
          <w:p w14:paraId="3776D274">
            <w:pPr>
              <w:pageBreakBefore w:val="0"/>
              <w:wordWrap/>
              <w:bidi w:val="0"/>
              <w:adjustRightInd/>
              <w:snapToGrid/>
              <w:spacing w:line="240" w:lineRule="auto"/>
              <w:ind w:firstLine="0" w:firstLineChars="0"/>
              <w:jc w:val="center"/>
              <w:rPr>
                <w:rFonts w:ascii="宋体" w:hAnsi="宋体"/>
                <w:snapToGrid w:val="0"/>
                <w:color w:val="auto"/>
                <w:kern w:val="20"/>
                <w:sz w:val="21"/>
                <w:szCs w:val="21"/>
              </w:rPr>
            </w:pPr>
            <w:r>
              <w:rPr>
                <w:rFonts w:hint="eastAsia"/>
                <w:color w:val="auto"/>
                <w:kern w:val="0"/>
                <w:sz w:val="21"/>
                <w:szCs w:val="21"/>
                <w:lang w:eastAsia="zh-CN"/>
              </w:rPr>
              <w:t>☑</w:t>
            </w:r>
            <w:r>
              <w:rPr>
                <w:rFonts w:ascii="宋体" w:hAnsi="宋体"/>
                <w:color w:val="auto"/>
                <w:sz w:val="21"/>
                <w:szCs w:val="21"/>
              </w:rPr>
              <w:t>企业总排</w:t>
            </w:r>
          </w:p>
          <w:p w14:paraId="0A4A5AF1">
            <w:pPr>
              <w:pageBreakBefore w:val="0"/>
              <w:wordWrap/>
              <w:bidi w:val="0"/>
              <w:adjustRightInd/>
              <w:snapToGrid/>
              <w:spacing w:line="240" w:lineRule="auto"/>
              <w:ind w:firstLine="0" w:firstLineChars="0"/>
              <w:jc w:val="center"/>
              <w:rPr>
                <w:rFonts w:ascii="宋体" w:hAnsi="宋体"/>
                <w:color w:val="auto"/>
                <w:sz w:val="21"/>
                <w:szCs w:val="21"/>
              </w:rPr>
            </w:pPr>
            <w:r>
              <w:rPr>
                <w:rFonts w:hint="eastAsia" w:ascii="宋体" w:hAnsi="宋体"/>
                <w:color w:val="auto"/>
                <w:kern w:val="0"/>
                <w:sz w:val="21"/>
                <w:szCs w:val="21"/>
                <w:lang w:eastAsia="zh-CN"/>
              </w:rPr>
              <w:t>□</w:t>
            </w:r>
            <w:r>
              <w:rPr>
                <w:rFonts w:ascii="宋体" w:hAnsi="宋体"/>
                <w:color w:val="auto"/>
                <w:sz w:val="21"/>
                <w:szCs w:val="21"/>
              </w:rPr>
              <w:t>雨水排放</w:t>
            </w:r>
          </w:p>
          <w:p w14:paraId="4C86D284">
            <w:pPr>
              <w:pageBreakBefore w:val="0"/>
              <w:wordWrap/>
              <w:bidi w:val="0"/>
              <w:adjustRightInd/>
              <w:snapToGrid/>
              <w:spacing w:line="240" w:lineRule="auto"/>
              <w:ind w:firstLine="0" w:firstLineChars="0"/>
              <w:jc w:val="center"/>
              <w:rPr>
                <w:rFonts w:ascii="宋体" w:hAnsi="宋体"/>
                <w:color w:val="auto"/>
                <w:sz w:val="21"/>
                <w:szCs w:val="21"/>
              </w:rPr>
            </w:pPr>
            <w:r>
              <w:rPr>
                <w:rFonts w:ascii="宋体" w:hAnsi="宋体"/>
                <w:color w:val="auto"/>
                <w:kern w:val="0"/>
                <w:sz w:val="21"/>
                <w:szCs w:val="21"/>
              </w:rPr>
              <w:t>□</w:t>
            </w:r>
            <w:r>
              <w:rPr>
                <w:rFonts w:ascii="宋体" w:hAnsi="宋体"/>
                <w:color w:val="auto"/>
                <w:spacing w:val="-10"/>
                <w:sz w:val="21"/>
                <w:szCs w:val="21"/>
              </w:rPr>
              <w:t>清净下水排放</w:t>
            </w:r>
          </w:p>
          <w:p w14:paraId="20CD390E">
            <w:pPr>
              <w:pageBreakBefore w:val="0"/>
              <w:wordWrap/>
              <w:bidi w:val="0"/>
              <w:adjustRightInd/>
              <w:snapToGrid/>
              <w:spacing w:line="240" w:lineRule="auto"/>
              <w:ind w:firstLine="0" w:firstLineChars="0"/>
              <w:jc w:val="center"/>
              <w:rPr>
                <w:rFonts w:ascii="宋体" w:hAnsi="宋体"/>
                <w:color w:val="auto"/>
                <w:sz w:val="21"/>
                <w:szCs w:val="21"/>
              </w:rPr>
            </w:pPr>
            <w:r>
              <w:rPr>
                <w:rFonts w:ascii="宋体" w:hAnsi="宋体"/>
                <w:color w:val="auto"/>
                <w:kern w:val="0"/>
                <w:sz w:val="21"/>
                <w:szCs w:val="21"/>
              </w:rPr>
              <w:t>□</w:t>
            </w:r>
            <w:r>
              <w:rPr>
                <w:rFonts w:ascii="宋体" w:hAnsi="宋体"/>
                <w:color w:val="auto"/>
                <w:sz w:val="21"/>
                <w:szCs w:val="21"/>
              </w:rPr>
              <w:t>温排水排放</w:t>
            </w:r>
          </w:p>
          <w:p w14:paraId="13BE69F5">
            <w:pPr>
              <w:pageBreakBefore w:val="0"/>
              <w:wordWrap/>
              <w:bidi w:val="0"/>
              <w:adjustRightInd/>
              <w:snapToGrid/>
              <w:spacing w:line="240" w:lineRule="auto"/>
              <w:ind w:firstLine="0" w:firstLineChars="0"/>
              <w:jc w:val="center"/>
              <w:rPr>
                <w:rFonts w:ascii="宋体" w:hAnsi="宋体"/>
                <w:color w:val="auto"/>
                <w:sz w:val="21"/>
                <w:szCs w:val="21"/>
              </w:rPr>
            </w:pPr>
            <w:r>
              <w:rPr>
                <w:color w:val="auto"/>
                <w:kern w:val="0"/>
                <w:sz w:val="21"/>
                <w:szCs w:val="21"/>
              </w:rPr>
              <w:t>□</w:t>
            </w:r>
            <w:r>
              <w:rPr>
                <w:rFonts w:ascii="宋体" w:hAnsi="宋体"/>
                <w:color w:val="auto"/>
                <w:sz w:val="21"/>
                <w:szCs w:val="21"/>
              </w:rPr>
              <w:t>车间或车间处理设施排放</w:t>
            </w:r>
          </w:p>
        </w:tc>
      </w:tr>
    </w:tbl>
    <w:p w14:paraId="1E5E3B81">
      <w:pPr>
        <w:pageBreakBefore w:val="0"/>
        <w:wordWrap/>
        <w:bidi w:val="0"/>
        <w:adjustRightInd/>
        <w:snapToGrid/>
        <w:spacing w:line="440" w:lineRule="exact"/>
        <w:ind w:firstLine="480"/>
        <w:jc w:val="left"/>
        <w:rPr>
          <w:bCs/>
          <w:color w:val="auto"/>
        </w:rPr>
      </w:pPr>
      <w:r>
        <w:rPr>
          <w:bCs/>
          <w:color w:val="auto"/>
        </w:rPr>
        <w:t>②废水排放口基本情况</w:t>
      </w:r>
    </w:p>
    <w:p w14:paraId="2912D589">
      <w:pPr>
        <w:pStyle w:val="19"/>
        <w:numPr>
          <w:ilvl w:val="0"/>
          <w:numId w:val="31"/>
        </w:numPr>
        <w:bidi w:val="0"/>
        <w:ind w:left="1440" w:leftChars="0" w:firstLine="0" w:firstLineChars="0"/>
        <w:rPr>
          <w:color w:val="auto"/>
        </w:rPr>
      </w:pPr>
      <w:r>
        <w:rPr>
          <w:color w:val="auto"/>
        </w:rPr>
        <w:t>废水排放口基本情况表</w:t>
      </w:r>
    </w:p>
    <w:tbl>
      <w:tblPr>
        <w:tblStyle w:val="52"/>
        <w:tblW w:w="894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99"/>
        <w:gridCol w:w="830"/>
        <w:gridCol w:w="834"/>
        <w:gridCol w:w="923"/>
        <w:gridCol w:w="743"/>
        <w:gridCol w:w="600"/>
        <w:gridCol w:w="944"/>
        <w:gridCol w:w="584"/>
        <w:gridCol w:w="504"/>
        <w:gridCol w:w="709"/>
        <w:gridCol w:w="780"/>
        <w:gridCol w:w="856"/>
        <w:gridCol w:w="240"/>
      </w:tblGrid>
      <w:tr w14:paraId="1D89F5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9" w:type="dxa"/>
            <w:vMerge w:val="restart"/>
            <w:tcBorders>
              <w:tl2br w:val="nil"/>
              <w:tr2bl w:val="nil"/>
            </w:tcBorders>
            <w:noWrap w:val="0"/>
            <w:vAlign w:val="center"/>
          </w:tcPr>
          <w:p w14:paraId="404F91F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830" w:type="dxa"/>
            <w:vMerge w:val="restart"/>
            <w:tcBorders>
              <w:tl2br w:val="nil"/>
              <w:tr2bl w:val="nil"/>
            </w:tcBorders>
            <w:noWrap w:val="0"/>
            <w:vAlign w:val="center"/>
          </w:tcPr>
          <w:p w14:paraId="447EB5E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排放口</w:t>
            </w:r>
          </w:p>
          <w:p w14:paraId="6180514E">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编号</w:t>
            </w:r>
          </w:p>
        </w:tc>
        <w:tc>
          <w:tcPr>
            <w:tcW w:w="1757" w:type="dxa"/>
            <w:gridSpan w:val="2"/>
            <w:tcBorders>
              <w:tl2br w:val="nil"/>
              <w:tr2bl w:val="nil"/>
            </w:tcBorders>
            <w:noWrap w:val="0"/>
            <w:vAlign w:val="center"/>
          </w:tcPr>
          <w:p w14:paraId="74D3C2A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排放口地理坐标</w:t>
            </w:r>
          </w:p>
        </w:tc>
        <w:tc>
          <w:tcPr>
            <w:tcW w:w="743" w:type="dxa"/>
            <w:vMerge w:val="restart"/>
            <w:tcBorders>
              <w:tl2br w:val="nil"/>
              <w:tr2bl w:val="nil"/>
            </w:tcBorders>
            <w:noWrap w:val="0"/>
            <w:vAlign w:val="center"/>
          </w:tcPr>
          <w:p w14:paraId="53A30FD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废水排放量/</w:t>
            </w:r>
          </w:p>
          <w:p w14:paraId="3D244F6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（万t/a）</w:t>
            </w:r>
          </w:p>
        </w:tc>
        <w:tc>
          <w:tcPr>
            <w:tcW w:w="600" w:type="dxa"/>
            <w:vMerge w:val="restart"/>
            <w:tcBorders>
              <w:tl2br w:val="nil"/>
              <w:tr2bl w:val="nil"/>
            </w:tcBorders>
            <w:noWrap w:val="0"/>
            <w:vAlign w:val="center"/>
          </w:tcPr>
          <w:p w14:paraId="4076D09B">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w:t>
            </w:r>
          </w:p>
          <w:p w14:paraId="4696E9EA">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去向</w:t>
            </w:r>
          </w:p>
        </w:tc>
        <w:tc>
          <w:tcPr>
            <w:tcW w:w="944" w:type="dxa"/>
            <w:vMerge w:val="restart"/>
            <w:tcBorders>
              <w:tl2br w:val="nil"/>
              <w:tr2bl w:val="nil"/>
            </w:tcBorders>
            <w:noWrap w:val="0"/>
            <w:vAlign w:val="center"/>
          </w:tcPr>
          <w:p w14:paraId="771204F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w:t>
            </w:r>
          </w:p>
          <w:p w14:paraId="0B85135E">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规律</w:t>
            </w:r>
          </w:p>
        </w:tc>
        <w:tc>
          <w:tcPr>
            <w:tcW w:w="584" w:type="dxa"/>
            <w:vMerge w:val="restart"/>
            <w:tcBorders>
              <w:tl2br w:val="nil"/>
              <w:tr2bl w:val="nil"/>
            </w:tcBorders>
            <w:noWrap w:val="0"/>
            <w:vAlign w:val="center"/>
          </w:tcPr>
          <w:p w14:paraId="4D20A0C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间歇排放时段</w:t>
            </w:r>
          </w:p>
        </w:tc>
        <w:tc>
          <w:tcPr>
            <w:tcW w:w="1213" w:type="dxa"/>
            <w:gridSpan w:val="2"/>
            <w:tcBorders>
              <w:tl2br w:val="nil"/>
              <w:tr2bl w:val="nil"/>
            </w:tcBorders>
            <w:noWrap w:val="0"/>
            <w:vAlign w:val="center"/>
          </w:tcPr>
          <w:p w14:paraId="010571A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受纳自然水体信息</w:t>
            </w:r>
          </w:p>
        </w:tc>
        <w:tc>
          <w:tcPr>
            <w:tcW w:w="1636" w:type="dxa"/>
            <w:gridSpan w:val="2"/>
            <w:tcBorders>
              <w:tl2br w:val="nil"/>
              <w:tr2bl w:val="nil"/>
            </w:tcBorders>
            <w:noWrap w:val="0"/>
            <w:vAlign w:val="center"/>
          </w:tcPr>
          <w:p w14:paraId="04234916">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汇入受纳自然水体处地理坐标</w:t>
            </w:r>
          </w:p>
        </w:tc>
        <w:tc>
          <w:tcPr>
            <w:tcW w:w="240" w:type="dxa"/>
            <w:vMerge w:val="restart"/>
            <w:tcBorders>
              <w:tl2br w:val="nil"/>
              <w:tr2bl w:val="nil"/>
            </w:tcBorders>
            <w:noWrap w:val="0"/>
            <w:vAlign w:val="center"/>
          </w:tcPr>
          <w:p w14:paraId="61CB1E4B">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备注</w:t>
            </w:r>
          </w:p>
        </w:tc>
      </w:tr>
      <w:tr w14:paraId="4BCCDD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9" w:type="dxa"/>
            <w:vMerge w:val="continue"/>
            <w:tcBorders>
              <w:tl2br w:val="nil"/>
              <w:tr2bl w:val="nil"/>
            </w:tcBorders>
            <w:noWrap w:val="0"/>
            <w:vAlign w:val="center"/>
          </w:tcPr>
          <w:p w14:paraId="04AF6FFB">
            <w:pPr>
              <w:pageBreakBefore w:val="0"/>
              <w:wordWrap/>
              <w:bidi w:val="0"/>
              <w:adjustRightInd/>
              <w:snapToGrid/>
              <w:spacing w:line="240" w:lineRule="auto"/>
              <w:ind w:firstLine="0" w:firstLineChars="0"/>
              <w:jc w:val="center"/>
              <w:rPr>
                <w:color w:val="auto"/>
                <w:sz w:val="21"/>
                <w:szCs w:val="21"/>
              </w:rPr>
            </w:pPr>
          </w:p>
        </w:tc>
        <w:tc>
          <w:tcPr>
            <w:tcW w:w="830" w:type="dxa"/>
            <w:vMerge w:val="continue"/>
            <w:tcBorders>
              <w:tl2br w:val="nil"/>
              <w:tr2bl w:val="nil"/>
            </w:tcBorders>
            <w:noWrap w:val="0"/>
            <w:vAlign w:val="center"/>
          </w:tcPr>
          <w:p w14:paraId="0FDFDCF8">
            <w:pPr>
              <w:pageBreakBefore w:val="0"/>
              <w:wordWrap/>
              <w:bidi w:val="0"/>
              <w:adjustRightInd/>
              <w:snapToGrid/>
              <w:spacing w:line="240" w:lineRule="auto"/>
              <w:ind w:firstLine="0" w:firstLineChars="0"/>
              <w:jc w:val="center"/>
              <w:rPr>
                <w:color w:val="auto"/>
                <w:sz w:val="21"/>
                <w:szCs w:val="21"/>
              </w:rPr>
            </w:pPr>
          </w:p>
        </w:tc>
        <w:tc>
          <w:tcPr>
            <w:tcW w:w="834" w:type="dxa"/>
            <w:tcBorders>
              <w:tl2br w:val="nil"/>
              <w:tr2bl w:val="nil"/>
            </w:tcBorders>
            <w:noWrap w:val="0"/>
            <w:vAlign w:val="center"/>
          </w:tcPr>
          <w:p w14:paraId="5B1B924E">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经度</w:t>
            </w:r>
          </w:p>
        </w:tc>
        <w:tc>
          <w:tcPr>
            <w:tcW w:w="923" w:type="dxa"/>
            <w:tcBorders>
              <w:tl2br w:val="nil"/>
              <w:tr2bl w:val="nil"/>
            </w:tcBorders>
            <w:noWrap w:val="0"/>
            <w:vAlign w:val="center"/>
          </w:tcPr>
          <w:p w14:paraId="17581E9A">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纬度</w:t>
            </w:r>
          </w:p>
        </w:tc>
        <w:tc>
          <w:tcPr>
            <w:tcW w:w="743" w:type="dxa"/>
            <w:vMerge w:val="continue"/>
            <w:tcBorders>
              <w:tl2br w:val="nil"/>
              <w:tr2bl w:val="nil"/>
            </w:tcBorders>
            <w:noWrap w:val="0"/>
            <w:vAlign w:val="center"/>
          </w:tcPr>
          <w:p w14:paraId="38A11C62">
            <w:pPr>
              <w:pageBreakBefore w:val="0"/>
              <w:wordWrap/>
              <w:bidi w:val="0"/>
              <w:adjustRightInd/>
              <w:snapToGrid/>
              <w:spacing w:line="240" w:lineRule="auto"/>
              <w:ind w:firstLine="0" w:firstLineChars="0"/>
              <w:jc w:val="center"/>
              <w:rPr>
                <w:color w:val="auto"/>
                <w:sz w:val="21"/>
                <w:szCs w:val="21"/>
              </w:rPr>
            </w:pPr>
          </w:p>
        </w:tc>
        <w:tc>
          <w:tcPr>
            <w:tcW w:w="600" w:type="dxa"/>
            <w:vMerge w:val="continue"/>
            <w:tcBorders>
              <w:tl2br w:val="nil"/>
              <w:tr2bl w:val="nil"/>
            </w:tcBorders>
            <w:noWrap w:val="0"/>
            <w:vAlign w:val="center"/>
          </w:tcPr>
          <w:p w14:paraId="57BF3EF7">
            <w:pPr>
              <w:pageBreakBefore w:val="0"/>
              <w:wordWrap/>
              <w:bidi w:val="0"/>
              <w:adjustRightInd/>
              <w:snapToGrid/>
              <w:spacing w:line="240" w:lineRule="auto"/>
              <w:ind w:firstLine="0" w:firstLineChars="0"/>
              <w:jc w:val="center"/>
              <w:rPr>
                <w:color w:val="auto"/>
                <w:sz w:val="21"/>
                <w:szCs w:val="21"/>
              </w:rPr>
            </w:pPr>
          </w:p>
        </w:tc>
        <w:tc>
          <w:tcPr>
            <w:tcW w:w="944" w:type="dxa"/>
            <w:vMerge w:val="continue"/>
            <w:tcBorders>
              <w:tl2br w:val="nil"/>
              <w:tr2bl w:val="nil"/>
            </w:tcBorders>
            <w:noWrap w:val="0"/>
            <w:vAlign w:val="center"/>
          </w:tcPr>
          <w:p w14:paraId="3B13066D">
            <w:pPr>
              <w:pageBreakBefore w:val="0"/>
              <w:wordWrap/>
              <w:bidi w:val="0"/>
              <w:adjustRightInd/>
              <w:snapToGrid/>
              <w:spacing w:line="240" w:lineRule="auto"/>
              <w:ind w:firstLine="0" w:firstLineChars="0"/>
              <w:jc w:val="center"/>
              <w:rPr>
                <w:color w:val="auto"/>
                <w:sz w:val="21"/>
                <w:szCs w:val="21"/>
              </w:rPr>
            </w:pPr>
          </w:p>
        </w:tc>
        <w:tc>
          <w:tcPr>
            <w:tcW w:w="584" w:type="dxa"/>
            <w:vMerge w:val="continue"/>
            <w:tcBorders>
              <w:tl2br w:val="nil"/>
              <w:tr2bl w:val="nil"/>
            </w:tcBorders>
            <w:noWrap w:val="0"/>
            <w:vAlign w:val="center"/>
          </w:tcPr>
          <w:p w14:paraId="2350F750">
            <w:pPr>
              <w:pageBreakBefore w:val="0"/>
              <w:wordWrap/>
              <w:bidi w:val="0"/>
              <w:adjustRightInd/>
              <w:snapToGrid/>
              <w:spacing w:line="240" w:lineRule="auto"/>
              <w:ind w:firstLine="0" w:firstLineChars="0"/>
              <w:jc w:val="center"/>
              <w:rPr>
                <w:color w:val="auto"/>
                <w:sz w:val="21"/>
                <w:szCs w:val="21"/>
              </w:rPr>
            </w:pPr>
          </w:p>
        </w:tc>
        <w:tc>
          <w:tcPr>
            <w:tcW w:w="504" w:type="dxa"/>
            <w:tcBorders>
              <w:tl2br w:val="nil"/>
              <w:tr2bl w:val="nil"/>
            </w:tcBorders>
            <w:noWrap w:val="0"/>
            <w:vAlign w:val="center"/>
          </w:tcPr>
          <w:p w14:paraId="1425C790">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名称</w:t>
            </w:r>
          </w:p>
        </w:tc>
        <w:tc>
          <w:tcPr>
            <w:tcW w:w="709" w:type="dxa"/>
            <w:tcBorders>
              <w:tl2br w:val="nil"/>
              <w:tr2bl w:val="nil"/>
            </w:tcBorders>
            <w:noWrap w:val="0"/>
            <w:vAlign w:val="center"/>
          </w:tcPr>
          <w:p w14:paraId="7FDC47A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污染物种类</w:t>
            </w:r>
          </w:p>
        </w:tc>
        <w:tc>
          <w:tcPr>
            <w:tcW w:w="780" w:type="dxa"/>
            <w:tcBorders>
              <w:tl2br w:val="nil"/>
              <w:tr2bl w:val="nil"/>
            </w:tcBorders>
            <w:noWrap w:val="0"/>
            <w:vAlign w:val="center"/>
          </w:tcPr>
          <w:p w14:paraId="49E487E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经度</w:t>
            </w:r>
          </w:p>
        </w:tc>
        <w:tc>
          <w:tcPr>
            <w:tcW w:w="856" w:type="dxa"/>
            <w:tcBorders>
              <w:tl2br w:val="nil"/>
              <w:tr2bl w:val="nil"/>
            </w:tcBorders>
            <w:noWrap w:val="0"/>
            <w:vAlign w:val="center"/>
          </w:tcPr>
          <w:p w14:paraId="18CD4BBA">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纬度</w:t>
            </w:r>
          </w:p>
        </w:tc>
        <w:tc>
          <w:tcPr>
            <w:tcW w:w="240" w:type="dxa"/>
            <w:vMerge w:val="continue"/>
            <w:tcBorders>
              <w:tl2br w:val="nil"/>
              <w:tr2bl w:val="nil"/>
            </w:tcBorders>
            <w:noWrap w:val="0"/>
            <w:vAlign w:val="center"/>
          </w:tcPr>
          <w:p w14:paraId="00C3D5B7">
            <w:pPr>
              <w:pageBreakBefore w:val="0"/>
              <w:wordWrap/>
              <w:bidi w:val="0"/>
              <w:adjustRightInd/>
              <w:snapToGrid/>
              <w:spacing w:line="240" w:lineRule="auto"/>
              <w:ind w:firstLine="0" w:firstLineChars="0"/>
              <w:jc w:val="center"/>
              <w:rPr>
                <w:color w:val="auto"/>
                <w:sz w:val="21"/>
                <w:szCs w:val="21"/>
              </w:rPr>
            </w:pPr>
          </w:p>
        </w:tc>
      </w:tr>
      <w:tr w14:paraId="52CD83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99" w:type="dxa"/>
            <w:tcBorders>
              <w:tl2br w:val="nil"/>
              <w:tr2bl w:val="nil"/>
            </w:tcBorders>
            <w:noWrap w:val="0"/>
            <w:vAlign w:val="center"/>
          </w:tcPr>
          <w:p w14:paraId="31E74694">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830" w:type="dxa"/>
            <w:tcBorders>
              <w:tl2br w:val="nil"/>
              <w:tr2bl w:val="nil"/>
            </w:tcBorders>
            <w:noWrap w:val="0"/>
            <w:vAlign w:val="center"/>
          </w:tcPr>
          <w:p w14:paraId="40208D39">
            <w:pPr>
              <w:pageBreakBefore w:val="0"/>
              <w:wordWrap/>
              <w:bidi w:val="0"/>
              <w:adjustRightInd/>
              <w:snapToGrid/>
              <w:spacing w:line="240" w:lineRule="auto"/>
              <w:ind w:firstLine="0" w:firstLineChars="0"/>
              <w:jc w:val="center"/>
              <w:rPr>
                <w:color w:val="auto"/>
                <w:sz w:val="21"/>
                <w:szCs w:val="21"/>
              </w:rPr>
            </w:pPr>
            <w:r>
              <w:rPr>
                <w:color w:val="auto"/>
                <w:sz w:val="21"/>
                <w:szCs w:val="21"/>
              </w:rPr>
              <w:t>DW001</w:t>
            </w:r>
          </w:p>
        </w:tc>
        <w:tc>
          <w:tcPr>
            <w:tcW w:w="834" w:type="dxa"/>
            <w:tcBorders>
              <w:tl2br w:val="nil"/>
              <w:tr2bl w:val="nil"/>
            </w:tcBorders>
            <w:noWrap w:val="0"/>
            <w:vAlign w:val="center"/>
          </w:tcPr>
          <w:p w14:paraId="44C5C946">
            <w:pPr>
              <w:pageBreakBefore w:val="0"/>
              <w:wordWrap/>
              <w:bidi w:val="0"/>
              <w:adjustRightInd/>
              <w:snapToGrid/>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106°53′3.26″</w:t>
            </w:r>
          </w:p>
        </w:tc>
        <w:tc>
          <w:tcPr>
            <w:tcW w:w="923" w:type="dxa"/>
            <w:tcBorders>
              <w:tl2br w:val="nil"/>
              <w:tr2bl w:val="nil"/>
            </w:tcBorders>
            <w:noWrap w:val="0"/>
            <w:vAlign w:val="center"/>
          </w:tcPr>
          <w:p w14:paraId="6E2BCDF9">
            <w:pPr>
              <w:pageBreakBefore w:val="0"/>
              <w:wordWrap/>
              <w:bidi w:val="0"/>
              <w:adjustRightInd/>
              <w:snapToGrid/>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31°45′12.92″</w:t>
            </w:r>
          </w:p>
        </w:tc>
        <w:tc>
          <w:tcPr>
            <w:tcW w:w="743" w:type="dxa"/>
            <w:tcBorders>
              <w:tl2br w:val="nil"/>
              <w:tr2bl w:val="nil"/>
            </w:tcBorders>
            <w:noWrap w:val="0"/>
            <w:vAlign w:val="center"/>
          </w:tcPr>
          <w:p w14:paraId="3A1D6D33">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109.5</w:t>
            </w:r>
          </w:p>
        </w:tc>
        <w:tc>
          <w:tcPr>
            <w:tcW w:w="600" w:type="dxa"/>
            <w:tcBorders>
              <w:tl2br w:val="nil"/>
              <w:tr2bl w:val="nil"/>
            </w:tcBorders>
            <w:noWrap w:val="0"/>
            <w:vAlign w:val="center"/>
          </w:tcPr>
          <w:p w14:paraId="2376ECAD">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巴河</w:t>
            </w:r>
          </w:p>
        </w:tc>
        <w:tc>
          <w:tcPr>
            <w:tcW w:w="944" w:type="dxa"/>
            <w:tcBorders>
              <w:tl2br w:val="nil"/>
              <w:tr2bl w:val="nil"/>
            </w:tcBorders>
            <w:noWrap w:val="0"/>
            <w:vAlign w:val="center"/>
          </w:tcPr>
          <w:p w14:paraId="741147A3">
            <w:pPr>
              <w:pageBreakBefore w:val="0"/>
              <w:wordWrap/>
              <w:bidi w:val="0"/>
              <w:adjustRightInd/>
              <w:snapToGrid/>
              <w:spacing w:line="240" w:lineRule="auto"/>
              <w:ind w:firstLine="0" w:firstLineChars="0"/>
              <w:jc w:val="center"/>
              <w:rPr>
                <w:color w:val="auto"/>
                <w:sz w:val="21"/>
                <w:szCs w:val="21"/>
              </w:rPr>
            </w:pPr>
            <w:r>
              <w:rPr>
                <w:color w:val="auto"/>
                <w:sz w:val="21"/>
                <w:szCs w:val="21"/>
              </w:rPr>
              <w:t>连续排放，流量稳定</w:t>
            </w:r>
          </w:p>
        </w:tc>
        <w:tc>
          <w:tcPr>
            <w:tcW w:w="584" w:type="dxa"/>
            <w:tcBorders>
              <w:tl2br w:val="nil"/>
              <w:tr2bl w:val="nil"/>
            </w:tcBorders>
            <w:noWrap w:val="0"/>
            <w:vAlign w:val="center"/>
          </w:tcPr>
          <w:p w14:paraId="2856E1F4">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504" w:type="dxa"/>
            <w:tcBorders>
              <w:tl2br w:val="nil"/>
              <w:tr2bl w:val="nil"/>
            </w:tcBorders>
            <w:noWrap w:val="0"/>
            <w:vAlign w:val="center"/>
          </w:tcPr>
          <w:p w14:paraId="168CBFC9">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巴河</w:t>
            </w:r>
          </w:p>
        </w:tc>
        <w:tc>
          <w:tcPr>
            <w:tcW w:w="709" w:type="dxa"/>
            <w:tcBorders>
              <w:tl2br w:val="nil"/>
              <w:tr2bl w:val="nil"/>
            </w:tcBorders>
            <w:noWrap w:val="0"/>
            <w:vAlign w:val="center"/>
          </w:tcPr>
          <w:p w14:paraId="4647EF18">
            <w:pPr>
              <w:pageBreakBefore w:val="0"/>
              <w:wordWrap/>
              <w:bidi w:val="0"/>
              <w:adjustRightInd/>
              <w:snapToGrid/>
              <w:spacing w:line="240" w:lineRule="auto"/>
              <w:ind w:firstLine="0" w:firstLineChars="0"/>
              <w:jc w:val="center"/>
              <w:rPr>
                <w:color w:val="auto"/>
                <w:sz w:val="21"/>
                <w:szCs w:val="21"/>
              </w:rPr>
            </w:pPr>
            <w:r>
              <w:rPr>
                <w:color w:val="auto"/>
                <w:sz w:val="21"/>
                <w:szCs w:val="21"/>
              </w:rPr>
              <w:t>Ⅲ类</w:t>
            </w:r>
          </w:p>
        </w:tc>
        <w:tc>
          <w:tcPr>
            <w:tcW w:w="780" w:type="dxa"/>
            <w:tcBorders>
              <w:tl2br w:val="nil"/>
              <w:tr2bl w:val="nil"/>
            </w:tcBorders>
            <w:noWrap w:val="0"/>
            <w:vAlign w:val="center"/>
          </w:tcPr>
          <w:p w14:paraId="744EA79F">
            <w:pPr>
              <w:pageBreakBefore w:val="0"/>
              <w:wordWrap/>
              <w:bidi w:val="0"/>
              <w:adjustRightInd/>
              <w:snapToGrid/>
              <w:spacing w:line="240" w:lineRule="auto"/>
              <w:ind w:firstLine="0" w:firstLineChars="0"/>
              <w:jc w:val="center"/>
              <w:rPr>
                <w:color w:val="auto"/>
                <w:sz w:val="21"/>
                <w:szCs w:val="21"/>
              </w:rPr>
            </w:pPr>
            <w:r>
              <w:rPr>
                <w:rFonts w:hint="default" w:ascii="Times New Roman" w:hAnsi="Times New Roman" w:cs="Times New Roman"/>
                <w:color w:val="auto"/>
                <w:sz w:val="21"/>
                <w:szCs w:val="21"/>
              </w:rPr>
              <w:t>106°53′3.26″</w:t>
            </w:r>
          </w:p>
        </w:tc>
        <w:tc>
          <w:tcPr>
            <w:tcW w:w="856" w:type="dxa"/>
            <w:tcBorders>
              <w:tl2br w:val="nil"/>
              <w:tr2bl w:val="nil"/>
            </w:tcBorders>
            <w:noWrap w:val="0"/>
            <w:vAlign w:val="center"/>
          </w:tcPr>
          <w:p w14:paraId="1C14CA7B">
            <w:pPr>
              <w:pageBreakBefore w:val="0"/>
              <w:wordWrap/>
              <w:bidi w:val="0"/>
              <w:adjustRightInd/>
              <w:snapToGrid/>
              <w:spacing w:line="240" w:lineRule="auto"/>
              <w:ind w:firstLine="0" w:firstLineChars="0"/>
              <w:jc w:val="center"/>
              <w:rPr>
                <w:color w:val="auto"/>
                <w:sz w:val="21"/>
                <w:szCs w:val="21"/>
              </w:rPr>
            </w:pPr>
            <w:r>
              <w:rPr>
                <w:rFonts w:hint="default" w:ascii="Times New Roman" w:hAnsi="Times New Roman" w:cs="Times New Roman"/>
                <w:color w:val="auto"/>
                <w:sz w:val="21"/>
                <w:szCs w:val="21"/>
              </w:rPr>
              <w:t>31°45′12.92″</w:t>
            </w:r>
          </w:p>
        </w:tc>
        <w:tc>
          <w:tcPr>
            <w:tcW w:w="240" w:type="dxa"/>
            <w:tcBorders>
              <w:tl2br w:val="nil"/>
              <w:tr2bl w:val="nil"/>
            </w:tcBorders>
            <w:noWrap w:val="0"/>
            <w:vAlign w:val="center"/>
          </w:tcPr>
          <w:p w14:paraId="4E57D02F">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w:t>
            </w:r>
          </w:p>
        </w:tc>
      </w:tr>
    </w:tbl>
    <w:p w14:paraId="50763F58">
      <w:pPr>
        <w:pageBreakBefore w:val="0"/>
        <w:wordWrap/>
        <w:bidi w:val="0"/>
        <w:adjustRightInd/>
        <w:snapToGrid/>
        <w:spacing w:line="440" w:lineRule="exact"/>
        <w:ind w:firstLine="480"/>
        <w:jc w:val="left"/>
        <w:rPr>
          <w:bCs/>
          <w:color w:val="auto"/>
        </w:rPr>
      </w:pPr>
      <w:r>
        <w:rPr>
          <w:bCs/>
          <w:color w:val="auto"/>
        </w:rPr>
        <w:t>③废水污染物排放执行标准表</w:t>
      </w:r>
    </w:p>
    <w:p w14:paraId="12701D57">
      <w:pPr>
        <w:pStyle w:val="19"/>
        <w:numPr>
          <w:ilvl w:val="0"/>
          <w:numId w:val="31"/>
        </w:numPr>
        <w:bidi w:val="0"/>
        <w:ind w:left="1440" w:leftChars="0" w:firstLine="0" w:firstLineChars="0"/>
        <w:rPr>
          <w:color w:val="auto"/>
        </w:rPr>
      </w:pPr>
      <w:r>
        <w:rPr>
          <w:color w:val="auto"/>
        </w:rPr>
        <w:t>废水污染物排放执行标准表</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460"/>
        <w:gridCol w:w="1029"/>
        <w:gridCol w:w="1328"/>
        <w:gridCol w:w="3955"/>
        <w:gridCol w:w="2067"/>
      </w:tblGrid>
      <w:tr w14:paraId="538A93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0" w:type="auto"/>
            <w:vMerge w:val="restart"/>
            <w:tcBorders>
              <w:tl2br w:val="nil"/>
              <w:tr2bl w:val="nil"/>
            </w:tcBorders>
            <w:noWrap w:val="0"/>
            <w:vAlign w:val="center"/>
          </w:tcPr>
          <w:p w14:paraId="01370AE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0" w:type="auto"/>
            <w:vMerge w:val="restart"/>
            <w:tcBorders>
              <w:tl2br w:val="nil"/>
              <w:tr2bl w:val="nil"/>
            </w:tcBorders>
            <w:noWrap w:val="0"/>
            <w:vAlign w:val="center"/>
          </w:tcPr>
          <w:p w14:paraId="26BCDEC5">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排放口编号</w:t>
            </w:r>
          </w:p>
        </w:tc>
        <w:tc>
          <w:tcPr>
            <w:tcW w:w="751" w:type="pct"/>
            <w:vMerge w:val="restart"/>
            <w:tcBorders>
              <w:tl2br w:val="nil"/>
              <w:tr2bl w:val="nil"/>
            </w:tcBorders>
            <w:noWrap w:val="0"/>
            <w:vAlign w:val="center"/>
          </w:tcPr>
          <w:p w14:paraId="2FA8FC3F">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污染物种类</w:t>
            </w:r>
          </w:p>
        </w:tc>
        <w:tc>
          <w:tcPr>
            <w:tcW w:w="3406" w:type="pct"/>
            <w:gridSpan w:val="2"/>
            <w:tcBorders>
              <w:tl2br w:val="nil"/>
              <w:tr2bl w:val="nil"/>
            </w:tcBorders>
            <w:noWrap w:val="0"/>
            <w:vAlign w:val="center"/>
          </w:tcPr>
          <w:p w14:paraId="29EF82B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国家或地方污染物排放标准及其他按规定商定的排放协议</w:t>
            </w:r>
          </w:p>
        </w:tc>
      </w:tr>
      <w:tr w14:paraId="4AEB4A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0" w:type="auto"/>
            <w:vMerge w:val="continue"/>
            <w:tcBorders>
              <w:tl2br w:val="nil"/>
              <w:tr2bl w:val="nil"/>
            </w:tcBorders>
            <w:noWrap w:val="0"/>
            <w:vAlign w:val="center"/>
          </w:tcPr>
          <w:p w14:paraId="40B6A705">
            <w:pPr>
              <w:pageBreakBefore w:val="0"/>
              <w:wordWrap/>
              <w:bidi w:val="0"/>
              <w:adjustRightInd/>
              <w:snapToGrid/>
              <w:spacing w:line="240" w:lineRule="auto"/>
              <w:ind w:firstLine="0" w:firstLineChars="0"/>
              <w:jc w:val="center"/>
              <w:rPr>
                <w:b/>
                <w:bCs/>
                <w:color w:val="auto"/>
                <w:sz w:val="21"/>
                <w:szCs w:val="21"/>
              </w:rPr>
            </w:pPr>
          </w:p>
        </w:tc>
        <w:tc>
          <w:tcPr>
            <w:tcW w:w="0" w:type="auto"/>
            <w:vMerge w:val="continue"/>
            <w:tcBorders>
              <w:tl2br w:val="nil"/>
              <w:tr2bl w:val="nil"/>
            </w:tcBorders>
            <w:noWrap w:val="0"/>
            <w:vAlign w:val="center"/>
          </w:tcPr>
          <w:p w14:paraId="311D64B6">
            <w:pPr>
              <w:pageBreakBefore w:val="0"/>
              <w:wordWrap/>
              <w:bidi w:val="0"/>
              <w:adjustRightInd/>
              <w:snapToGrid/>
              <w:spacing w:line="240" w:lineRule="auto"/>
              <w:ind w:firstLine="0" w:firstLineChars="0"/>
              <w:jc w:val="center"/>
              <w:rPr>
                <w:b/>
                <w:bCs/>
                <w:color w:val="auto"/>
                <w:sz w:val="21"/>
                <w:szCs w:val="21"/>
              </w:rPr>
            </w:pPr>
          </w:p>
        </w:tc>
        <w:tc>
          <w:tcPr>
            <w:tcW w:w="751" w:type="pct"/>
            <w:vMerge w:val="continue"/>
            <w:tcBorders>
              <w:tl2br w:val="nil"/>
              <w:tr2bl w:val="nil"/>
            </w:tcBorders>
            <w:noWrap w:val="0"/>
            <w:vAlign w:val="center"/>
          </w:tcPr>
          <w:p w14:paraId="5084F42E">
            <w:pPr>
              <w:pageBreakBefore w:val="0"/>
              <w:wordWrap/>
              <w:bidi w:val="0"/>
              <w:adjustRightInd/>
              <w:snapToGrid/>
              <w:spacing w:line="240" w:lineRule="auto"/>
              <w:ind w:firstLine="0" w:firstLineChars="0"/>
              <w:jc w:val="center"/>
              <w:rPr>
                <w:b/>
                <w:bCs/>
                <w:color w:val="auto"/>
                <w:sz w:val="21"/>
                <w:szCs w:val="21"/>
              </w:rPr>
            </w:pPr>
          </w:p>
        </w:tc>
        <w:tc>
          <w:tcPr>
            <w:tcW w:w="2237" w:type="pct"/>
            <w:tcBorders>
              <w:tl2br w:val="nil"/>
              <w:tr2bl w:val="nil"/>
            </w:tcBorders>
            <w:noWrap w:val="0"/>
            <w:vAlign w:val="center"/>
          </w:tcPr>
          <w:p w14:paraId="3C087DA8">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名称</w:t>
            </w:r>
          </w:p>
        </w:tc>
        <w:tc>
          <w:tcPr>
            <w:tcW w:w="1169" w:type="pct"/>
            <w:tcBorders>
              <w:tl2br w:val="nil"/>
              <w:tr2bl w:val="nil"/>
            </w:tcBorders>
            <w:noWrap w:val="0"/>
            <w:vAlign w:val="center"/>
          </w:tcPr>
          <w:p w14:paraId="4CED25E8">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b/>
                <w:bCs/>
                <w:color w:val="auto"/>
                <w:sz w:val="21"/>
                <w:szCs w:val="21"/>
              </w:rPr>
              <w:t>浓度限值/</w:t>
            </w:r>
            <w:r>
              <w:rPr>
                <w:rFonts w:hint="eastAsia"/>
                <w:b/>
                <w:bCs/>
                <w:color w:val="auto"/>
                <w:sz w:val="21"/>
                <w:szCs w:val="21"/>
                <w:lang w:eastAsia="zh-CN"/>
              </w:rPr>
              <w:t>（</w:t>
            </w:r>
            <w:r>
              <w:rPr>
                <w:b/>
                <w:bCs/>
                <w:color w:val="auto"/>
                <w:sz w:val="21"/>
                <w:szCs w:val="21"/>
              </w:rPr>
              <w:t>mg/L</w:t>
            </w:r>
            <w:r>
              <w:rPr>
                <w:rFonts w:hint="eastAsia"/>
                <w:b/>
                <w:bCs/>
                <w:color w:val="auto"/>
                <w:sz w:val="21"/>
                <w:szCs w:val="21"/>
                <w:lang w:eastAsia="zh-CN"/>
              </w:rPr>
              <w:t>）</w:t>
            </w:r>
          </w:p>
        </w:tc>
      </w:tr>
      <w:tr w14:paraId="4E19B1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0" w:type="auto"/>
            <w:tcBorders>
              <w:tl2br w:val="nil"/>
              <w:tr2bl w:val="nil"/>
            </w:tcBorders>
            <w:noWrap w:val="0"/>
            <w:vAlign w:val="center"/>
          </w:tcPr>
          <w:p w14:paraId="0F9BF922">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0" w:type="auto"/>
            <w:vMerge w:val="restart"/>
            <w:tcBorders>
              <w:tl2br w:val="nil"/>
              <w:tr2bl w:val="nil"/>
            </w:tcBorders>
            <w:noWrap w:val="0"/>
            <w:vAlign w:val="center"/>
          </w:tcPr>
          <w:p w14:paraId="4489B06F">
            <w:pPr>
              <w:pageBreakBefore w:val="0"/>
              <w:wordWrap/>
              <w:bidi w:val="0"/>
              <w:adjustRightInd/>
              <w:snapToGrid/>
              <w:spacing w:line="240" w:lineRule="auto"/>
              <w:ind w:firstLine="0" w:firstLineChars="0"/>
              <w:jc w:val="center"/>
              <w:rPr>
                <w:color w:val="auto"/>
                <w:sz w:val="21"/>
                <w:szCs w:val="21"/>
              </w:rPr>
            </w:pPr>
            <w:r>
              <w:rPr>
                <w:color w:val="auto"/>
                <w:sz w:val="21"/>
                <w:szCs w:val="21"/>
              </w:rPr>
              <w:t>DW001</w:t>
            </w:r>
          </w:p>
        </w:tc>
        <w:tc>
          <w:tcPr>
            <w:tcW w:w="751" w:type="pct"/>
            <w:tcBorders>
              <w:tl2br w:val="nil"/>
              <w:tr2bl w:val="nil"/>
            </w:tcBorders>
            <w:noWrap w:val="0"/>
            <w:vAlign w:val="center"/>
          </w:tcPr>
          <w:p w14:paraId="2EA2FCB8">
            <w:pPr>
              <w:pageBreakBefore w:val="0"/>
              <w:wordWrap/>
              <w:bidi w:val="0"/>
              <w:adjustRightInd/>
              <w:snapToGrid/>
              <w:spacing w:line="240" w:lineRule="auto"/>
              <w:ind w:firstLine="0" w:firstLineChars="0"/>
              <w:jc w:val="center"/>
              <w:rPr>
                <w:color w:val="auto"/>
                <w:sz w:val="21"/>
                <w:szCs w:val="21"/>
              </w:rPr>
            </w:pPr>
            <w:r>
              <w:rPr>
                <w:color w:val="auto"/>
                <w:sz w:val="21"/>
                <w:szCs w:val="21"/>
              </w:rPr>
              <w:t>CODcr</w:t>
            </w:r>
          </w:p>
        </w:tc>
        <w:tc>
          <w:tcPr>
            <w:tcW w:w="2237" w:type="pct"/>
            <w:vMerge w:val="restart"/>
            <w:tcBorders>
              <w:tl2br w:val="nil"/>
              <w:tr2bl w:val="nil"/>
            </w:tcBorders>
            <w:noWrap w:val="0"/>
            <w:vAlign w:val="center"/>
          </w:tcPr>
          <w:p w14:paraId="4868382E">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rPr>
              <w:t>《城镇污水处理厂污染物排放标准》（GB18918-2002）一级A标准</w:t>
            </w:r>
          </w:p>
        </w:tc>
        <w:tc>
          <w:tcPr>
            <w:tcW w:w="1169" w:type="pct"/>
            <w:tcBorders>
              <w:tl2br w:val="nil"/>
              <w:tr2bl w:val="nil"/>
            </w:tcBorders>
            <w:noWrap w:val="0"/>
            <w:vAlign w:val="center"/>
          </w:tcPr>
          <w:p w14:paraId="5DE8EDE7">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50</w:t>
            </w:r>
          </w:p>
        </w:tc>
      </w:tr>
      <w:tr w14:paraId="7D3E84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0" w:type="auto"/>
            <w:tcBorders>
              <w:tl2br w:val="nil"/>
              <w:tr2bl w:val="nil"/>
            </w:tcBorders>
            <w:noWrap w:val="0"/>
            <w:vAlign w:val="center"/>
          </w:tcPr>
          <w:p w14:paraId="7336034D">
            <w:pPr>
              <w:pageBreakBefore w:val="0"/>
              <w:wordWrap/>
              <w:bidi w:val="0"/>
              <w:adjustRightInd/>
              <w:snapToGrid/>
              <w:spacing w:line="240" w:lineRule="auto"/>
              <w:ind w:firstLine="0" w:firstLineChars="0"/>
              <w:jc w:val="center"/>
              <w:rPr>
                <w:color w:val="auto"/>
                <w:sz w:val="21"/>
                <w:szCs w:val="21"/>
              </w:rPr>
            </w:pPr>
            <w:r>
              <w:rPr>
                <w:color w:val="auto"/>
                <w:sz w:val="21"/>
                <w:szCs w:val="21"/>
              </w:rPr>
              <w:t>2</w:t>
            </w:r>
          </w:p>
        </w:tc>
        <w:tc>
          <w:tcPr>
            <w:tcW w:w="0" w:type="auto"/>
            <w:vMerge w:val="continue"/>
            <w:tcBorders>
              <w:tl2br w:val="nil"/>
              <w:tr2bl w:val="nil"/>
            </w:tcBorders>
            <w:noWrap w:val="0"/>
            <w:vAlign w:val="center"/>
          </w:tcPr>
          <w:p w14:paraId="0CFE4855">
            <w:pPr>
              <w:pageBreakBefore w:val="0"/>
              <w:wordWrap/>
              <w:bidi w:val="0"/>
              <w:adjustRightInd/>
              <w:snapToGrid/>
              <w:spacing w:line="240" w:lineRule="auto"/>
              <w:ind w:firstLine="0" w:firstLineChars="0"/>
              <w:jc w:val="center"/>
              <w:rPr>
                <w:color w:val="auto"/>
                <w:sz w:val="21"/>
                <w:szCs w:val="21"/>
              </w:rPr>
            </w:pPr>
          </w:p>
        </w:tc>
        <w:tc>
          <w:tcPr>
            <w:tcW w:w="751" w:type="pct"/>
            <w:tcBorders>
              <w:tl2br w:val="nil"/>
              <w:tr2bl w:val="nil"/>
            </w:tcBorders>
            <w:noWrap w:val="0"/>
            <w:vAlign w:val="center"/>
          </w:tcPr>
          <w:p w14:paraId="151FB809">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r>
              <w:rPr>
                <w:color w:val="auto"/>
                <w:sz w:val="21"/>
                <w:szCs w:val="21"/>
              </w:rPr>
              <w:t>-N</w:t>
            </w:r>
          </w:p>
        </w:tc>
        <w:tc>
          <w:tcPr>
            <w:tcW w:w="2237" w:type="pct"/>
            <w:vMerge w:val="continue"/>
            <w:tcBorders>
              <w:tl2br w:val="nil"/>
              <w:tr2bl w:val="nil"/>
            </w:tcBorders>
            <w:noWrap w:val="0"/>
            <w:vAlign w:val="center"/>
          </w:tcPr>
          <w:p w14:paraId="68BE6E34">
            <w:pPr>
              <w:pageBreakBefore w:val="0"/>
              <w:wordWrap/>
              <w:bidi w:val="0"/>
              <w:adjustRightInd/>
              <w:snapToGrid/>
              <w:spacing w:line="240" w:lineRule="auto"/>
              <w:ind w:firstLine="0" w:firstLineChars="0"/>
              <w:jc w:val="center"/>
              <w:rPr>
                <w:color w:val="auto"/>
                <w:sz w:val="21"/>
                <w:szCs w:val="21"/>
              </w:rPr>
            </w:pPr>
          </w:p>
        </w:tc>
        <w:tc>
          <w:tcPr>
            <w:tcW w:w="1169" w:type="pct"/>
            <w:tcBorders>
              <w:tl2br w:val="nil"/>
              <w:tr2bl w:val="nil"/>
            </w:tcBorders>
            <w:noWrap w:val="0"/>
            <w:vAlign w:val="center"/>
          </w:tcPr>
          <w:p w14:paraId="4DFC50C9">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5</w:t>
            </w:r>
          </w:p>
        </w:tc>
      </w:tr>
      <w:tr w14:paraId="396560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0" w:type="auto"/>
            <w:tcBorders>
              <w:tl2br w:val="nil"/>
              <w:tr2bl w:val="nil"/>
            </w:tcBorders>
            <w:noWrap w:val="0"/>
            <w:vAlign w:val="center"/>
          </w:tcPr>
          <w:p w14:paraId="4F0E7682">
            <w:pPr>
              <w:pageBreakBefore w:val="0"/>
              <w:wordWrap/>
              <w:bidi w:val="0"/>
              <w:adjustRightInd/>
              <w:snapToGrid/>
              <w:spacing w:line="240" w:lineRule="auto"/>
              <w:ind w:firstLine="0" w:firstLineChars="0"/>
              <w:jc w:val="center"/>
              <w:rPr>
                <w:color w:val="auto"/>
                <w:sz w:val="21"/>
                <w:szCs w:val="21"/>
              </w:rPr>
            </w:pPr>
            <w:r>
              <w:rPr>
                <w:color w:val="auto"/>
                <w:sz w:val="21"/>
                <w:szCs w:val="21"/>
              </w:rPr>
              <w:t>3</w:t>
            </w:r>
          </w:p>
        </w:tc>
        <w:tc>
          <w:tcPr>
            <w:tcW w:w="0" w:type="auto"/>
            <w:vMerge w:val="continue"/>
            <w:tcBorders>
              <w:tl2br w:val="nil"/>
              <w:tr2bl w:val="nil"/>
            </w:tcBorders>
            <w:noWrap w:val="0"/>
            <w:vAlign w:val="center"/>
          </w:tcPr>
          <w:p w14:paraId="128F3EA4">
            <w:pPr>
              <w:pageBreakBefore w:val="0"/>
              <w:wordWrap/>
              <w:bidi w:val="0"/>
              <w:adjustRightInd/>
              <w:snapToGrid/>
              <w:spacing w:line="240" w:lineRule="auto"/>
              <w:ind w:firstLine="0" w:firstLineChars="0"/>
              <w:jc w:val="center"/>
              <w:rPr>
                <w:color w:val="auto"/>
                <w:sz w:val="21"/>
                <w:szCs w:val="21"/>
              </w:rPr>
            </w:pPr>
          </w:p>
        </w:tc>
        <w:tc>
          <w:tcPr>
            <w:tcW w:w="751" w:type="pct"/>
            <w:tcBorders>
              <w:tl2br w:val="nil"/>
              <w:tr2bl w:val="nil"/>
            </w:tcBorders>
            <w:noWrap w:val="0"/>
            <w:vAlign w:val="center"/>
          </w:tcPr>
          <w:p w14:paraId="7B1A7898">
            <w:pPr>
              <w:pageBreakBefore w:val="0"/>
              <w:wordWrap/>
              <w:bidi w:val="0"/>
              <w:adjustRightInd/>
              <w:snapToGrid/>
              <w:spacing w:line="240" w:lineRule="auto"/>
              <w:ind w:firstLine="0" w:firstLineChars="0"/>
              <w:jc w:val="center"/>
              <w:rPr>
                <w:color w:val="auto"/>
                <w:sz w:val="21"/>
                <w:szCs w:val="21"/>
              </w:rPr>
            </w:pPr>
            <w:r>
              <w:rPr>
                <w:color w:val="auto"/>
                <w:sz w:val="21"/>
                <w:szCs w:val="21"/>
              </w:rPr>
              <w:t>总磷</w:t>
            </w:r>
          </w:p>
        </w:tc>
        <w:tc>
          <w:tcPr>
            <w:tcW w:w="2237" w:type="pct"/>
            <w:vMerge w:val="continue"/>
            <w:tcBorders>
              <w:tl2br w:val="nil"/>
              <w:tr2bl w:val="nil"/>
            </w:tcBorders>
            <w:noWrap w:val="0"/>
            <w:vAlign w:val="center"/>
          </w:tcPr>
          <w:p w14:paraId="5E73B170">
            <w:pPr>
              <w:pageBreakBefore w:val="0"/>
              <w:wordWrap/>
              <w:bidi w:val="0"/>
              <w:adjustRightInd/>
              <w:snapToGrid/>
              <w:spacing w:line="240" w:lineRule="auto"/>
              <w:ind w:firstLine="0" w:firstLineChars="0"/>
              <w:jc w:val="center"/>
              <w:rPr>
                <w:color w:val="auto"/>
                <w:sz w:val="21"/>
                <w:szCs w:val="21"/>
              </w:rPr>
            </w:pPr>
          </w:p>
        </w:tc>
        <w:tc>
          <w:tcPr>
            <w:tcW w:w="1169" w:type="pct"/>
            <w:tcBorders>
              <w:tl2br w:val="nil"/>
              <w:tr2bl w:val="nil"/>
            </w:tcBorders>
            <w:noWrap w:val="0"/>
            <w:vAlign w:val="center"/>
          </w:tcPr>
          <w:p w14:paraId="1E6D75B5">
            <w:pPr>
              <w:pageBreakBefore w:val="0"/>
              <w:wordWrap/>
              <w:bidi w:val="0"/>
              <w:adjustRightInd/>
              <w:snapToGrid/>
              <w:spacing w:line="240" w:lineRule="auto"/>
              <w:ind w:firstLine="0" w:firstLineChars="0"/>
              <w:jc w:val="center"/>
              <w:rPr>
                <w:color w:val="auto"/>
                <w:sz w:val="21"/>
                <w:szCs w:val="21"/>
              </w:rPr>
            </w:pPr>
            <w:r>
              <w:rPr>
                <w:color w:val="auto"/>
                <w:sz w:val="21"/>
                <w:szCs w:val="21"/>
              </w:rPr>
              <w:t>0.5</w:t>
            </w:r>
          </w:p>
        </w:tc>
      </w:tr>
      <w:tr w14:paraId="5AEE2E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0" w:type="auto"/>
            <w:tcBorders>
              <w:tl2br w:val="nil"/>
              <w:tr2bl w:val="nil"/>
            </w:tcBorders>
            <w:noWrap w:val="0"/>
            <w:vAlign w:val="center"/>
          </w:tcPr>
          <w:p w14:paraId="550FC2F8">
            <w:pPr>
              <w:pageBreakBefore w:val="0"/>
              <w:wordWrap/>
              <w:bidi w:val="0"/>
              <w:adjustRightInd/>
              <w:snapToGrid/>
              <w:spacing w:line="240" w:lineRule="auto"/>
              <w:ind w:firstLine="0" w:firstLineChars="0"/>
              <w:jc w:val="center"/>
              <w:rPr>
                <w:color w:val="auto"/>
                <w:sz w:val="21"/>
                <w:szCs w:val="21"/>
              </w:rPr>
            </w:pPr>
            <w:r>
              <w:rPr>
                <w:color w:val="auto"/>
                <w:sz w:val="21"/>
                <w:szCs w:val="21"/>
              </w:rPr>
              <w:t>4</w:t>
            </w:r>
          </w:p>
        </w:tc>
        <w:tc>
          <w:tcPr>
            <w:tcW w:w="0" w:type="auto"/>
            <w:vMerge w:val="continue"/>
            <w:tcBorders>
              <w:tl2br w:val="nil"/>
              <w:tr2bl w:val="nil"/>
            </w:tcBorders>
            <w:noWrap w:val="0"/>
            <w:vAlign w:val="center"/>
          </w:tcPr>
          <w:p w14:paraId="5D1D3F9B">
            <w:pPr>
              <w:pageBreakBefore w:val="0"/>
              <w:wordWrap/>
              <w:bidi w:val="0"/>
              <w:adjustRightInd/>
              <w:snapToGrid/>
              <w:spacing w:line="240" w:lineRule="auto"/>
              <w:ind w:firstLine="0" w:firstLineChars="0"/>
              <w:jc w:val="center"/>
              <w:rPr>
                <w:color w:val="auto"/>
                <w:sz w:val="21"/>
                <w:szCs w:val="21"/>
              </w:rPr>
            </w:pPr>
          </w:p>
        </w:tc>
        <w:tc>
          <w:tcPr>
            <w:tcW w:w="751" w:type="pct"/>
            <w:tcBorders>
              <w:tl2br w:val="nil"/>
              <w:tr2bl w:val="nil"/>
            </w:tcBorders>
            <w:noWrap w:val="0"/>
            <w:vAlign w:val="center"/>
          </w:tcPr>
          <w:p w14:paraId="7D167A0C">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石油类</w:t>
            </w:r>
          </w:p>
        </w:tc>
        <w:tc>
          <w:tcPr>
            <w:tcW w:w="2237" w:type="pct"/>
            <w:vMerge w:val="continue"/>
            <w:tcBorders>
              <w:tl2br w:val="nil"/>
              <w:tr2bl w:val="nil"/>
            </w:tcBorders>
            <w:noWrap w:val="0"/>
            <w:vAlign w:val="center"/>
          </w:tcPr>
          <w:p w14:paraId="214C0B78">
            <w:pPr>
              <w:pageBreakBefore w:val="0"/>
              <w:wordWrap/>
              <w:bidi w:val="0"/>
              <w:adjustRightInd/>
              <w:snapToGrid/>
              <w:spacing w:line="240" w:lineRule="auto"/>
              <w:ind w:firstLine="0" w:firstLineChars="0"/>
              <w:jc w:val="center"/>
              <w:rPr>
                <w:color w:val="auto"/>
                <w:sz w:val="21"/>
                <w:szCs w:val="21"/>
              </w:rPr>
            </w:pPr>
          </w:p>
        </w:tc>
        <w:tc>
          <w:tcPr>
            <w:tcW w:w="1169" w:type="pct"/>
            <w:tcBorders>
              <w:tl2br w:val="nil"/>
              <w:tr2bl w:val="nil"/>
            </w:tcBorders>
            <w:noWrap w:val="0"/>
            <w:vAlign w:val="center"/>
          </w:tcPr>
          <w:p w14:paraId="0C4FC3F7">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1</w:t>
            </w:r>
          </w:p>
        </w:tc>
      </w:tr>
      <w:tr w14:paraId="5B7A09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0" w:type="auto"/>
            <w:tcBorders>
              <w:tl2br w:val="nil"/>
              <w:tr2bl w:val="nil"/>
            </w:tcBorders>
            <w:noWrap w:val="0"/>
            <w:vAlign w:val="center"/>
          </w:tcPr>
          <w:p w14:paraId="22C2083C">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5</w:t>
            </w:r>
          </w:p>
        </w:tc>
        <w:tc>
          <w:tcPr>
            <w:tcW w:w="0" w:type="auto"/>
            <w:vMerge w:val="continue"/>
            <w:tcBorders>
              <w:tl2br w:val="nil"/>
              <w:tr2bl w:val="nil"/>
            </w:tcBorders>
            <w:noWrap w:val="0"/>
            <w:vAlign w:val="center"/>
          </w:tcPr>
          <w:p w14:paraId="4C33BE29">
            <w:pPr>
              <w:pageBreakBefore w:val="0"/>
              <w:wordWrap/>
              <w:bidi w:val="0"/>
              <w:adjustRightInd/>
              <w:snapToGrid/>
              <w:spacing w:line="240" w:lineRule="auto"/>
              <w:ind w:firstLine="0" w:firstLineChars="0"/>
              <w:jc w:val="center"/>
              <w:rPr>
                <w:color w:val="auto"/>
                <w:sz w:val="21"/>
                <w:szCs w:val="21"/>
              </w:rPr>
            </w:pPr>
          </w:p>
        </w:tc>
        <w:tc>
          <w:tcPr>
            <w:tcW w:w="751" w:type="pct"/>
            <w:tcBorders>
              <w:tl2br w:val="nil"/>
              <w:tr2bl w:val="nil"/>
            </w:tcBorders>
            <w:noWrap w:val="0"/>
            <w:vAlign w:val="center"/>
          </w:tcPr>
          <w:p w14:paraId="1ACCC0DD">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甲醛</w:t>
            </w:r>
          </w:p>
        </w:tc>
        <w:tc>
          <w:tcPr>
            <w:tcW w:w="2237" w:type="pct"/>
            <w:vMerge w:val="continue"/>
            <w:tcBorders>
              <w:tl2br w:val="nil"/>
              <w:tr2bl w:val="nil"/>
            </w:tcBorders>
            <w:noWrap w:val="0"/>
            <w:vAlign w:val="center"/>
          </w:tcPr>
          <w:p w14:paraId="0C18EC56">
            <w:pPr>
              <w:pageBreakBefore w:val="0"/>
              <w:wordWrap/>
              <w:bidi w:val="0"/>
              <w:adjustRightInd/>
              <w:snapToGrid/>
              <w:spacing w:line="240" w:lineRule="auto"/>
              <w:ind w:firstLine="0" w:firstLineChars="0"/>
              <w:jc w:val="center"/>
              <w:rPr>
                <w:color w:val="auto"/>
                <w:sz w:val="21"/>
                <w:szCs w:val="21"/>
              </w:rPr>
            </w:pPr>
          </w:p>
        </w:tc>
        <w:tc>
          <w:tcPr>
            <w:tcW w:w="1169" w:type="pct"/>
            <w:tcBorders>
              <w:tl2br w:val="nil"/>
              <w:tr2bl w:val="nil"/>
            </w:tcBorders>
            <w:noWrap w:val="0"/>
            <w:vAlign w:val="center"/>
          </w:tcPr>
          <w:p w14:paraId="0FBA9A26">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1</w:t>
            </w:r>
          </w:p>
        </w:tc>
      </w:tr>
    </w:tbl>
    <w:p w14:paraId="48EC8CF0">
      <w:pPr>
        <w:pageBreakBefore w:val="0"/>
        <w:wordWrap/>
        <w:bidi w:val="0"/>
        <w:adjustRightInd/>
        <w:snapToGrid/>
        <w:spacing w:line="440" w:lineRule="exact"/>
        <w:ind w:firstLine="480"/>
        <w:jc w:val="left"/>
        <w:rPr>
          <w:bCs/>
          <w:color w:val="auto"/>
        </w:rPr>
      </w:pPr>
      <w:r>
        <w:rPr>
          <w:bCs/>
          <w:color w:val="auto"/>
        </w:rPr>
        <w:t>④废水污染物排放信息表</w:t>
      </w:r>
    </w:p>
    <w:p w14:paraId="26D98FEB">
      <w:pPr>
        <w:pStyle w:val="19"/>
        <w:numPr>
          <w:ilvl w:val="0"/>
          <w:numId w:val="31"/>
        </w:numPr>
        <w:bidi w:val="0"/>
        <w:ind w:left="1440" w:leftChars="0" w:firstLine="0" w:firstLineChars="0"/>
        <w:rPr>
          <w:rFonts w:eastAsia="宋体"/>
          <w:b/>
          <w:color w:val="auto"/>
          <w:sz w:val="21"/>
          <w:szCs w:val="21"/>
        </w:rPr>
      </w:pPr>
      <w:r>
        <w:rPr>
          <w:rFonts w:eastAsia="宋体"/>
          <w:b/>
          <w:color w:val="auto"/>
          <w:sz w:val="21"/>
          <w:szCs w:val="21"/>
        </w:rPr>
        <w:t>废水污染物排放信息表</w:t>
      </w:r>
    </w:p>
    <w:tbl>
      <w:tblPr>
        <w:tblStyle w:val="52"/>
        <w:tblW w:w="894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547"/>
        <w:gridCol w:w="1212"/>
        <w:gridCol w:w="1275"/>
        <w:gridCol w:w="2100"/>
        <w:gridCol w:w="2263"/>
        <w:gridCol w:w="1544"/>
      </w:tblGrid>
      <w:tr w14:paraId="01A5A8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547" w:type="dxa"/>
            <w:tcBorders>
              <w:tl2br w:val="nil"/>
              <w:tr2bl w:val="nil"/>
            </w:tcBorders>
            <w:noWrap w:val="0"/>
            <w:vAlign w:val="center"/>
          </w:tcPr>
          <w:p w14:paraId="3682A94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1212" w:type="dxa"/>
            <w:tcBorders>
              <w:tl2br w:val="nil"/>
              <w:tr2bl w:val="nil"/>
            </w:tcBorders>
            <w:noWrap w:val="0"/>
            <w:vAlign w:val="center"/>
          </w:tcPr>
          <w:p w14:paraId="0EB68BD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排放口编号</w:t>
            </w:r>
          </w:p>
        </w:tc>
        <w:tc>
          <w:tcPr>
            <w:tcW w:w="1275" w:type="dxa"/>
            <w:tcBorders>
              <w:tl2br w:val="nil"/>
              <w:tr2bl w:val="nil"/>
            </w:tcBorders>
            <w:noWrap w:val="0"/>
            <w:vAlign w:val="center"/>
          </w:tcPr>
          <w:p w14:paraId="32CB39E6">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污染物种类</w:t>
            </w:r>
          </w:p>
        </w:tc>
        <w:tc>
          <w:tcPr>
            <w:tcW w:w="2100" w:type="dxa"/>
            <w:tcBorders>
              <w:tl2br w:val="nil"/>
              <w:tr2bl w:val="nil"/>
            </w:tcBorders>
            <w:noWrap w:val="0"/>
            <w:vAlign w:val="center"/>
          </w:tcPr>
          <w:p w14:paraId="6F50DD8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排放浓度/（mg/L）</w:t>
            </w:r>
          </w:p>
        </w:tc>
        <w:tc>
          <w:tcPr>
            <w:tcW w:w="2263" w:type="dxa"/>
            <w:tcBorders>
              <w:tl2br w:val="nil"/>
              <w:tr2bl w:val="nil"/>
            </w:tcBorders>
            <w:noWrap w:val="0"/>
            <w:vAlign w:val="center"/>
          </w:tcPr>
          <w:p w14:paraId="5231049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日排放量/（t/d）</w:t>
            </w:r>
          </w:p>
        </w:tc>
        <w:tc>
          <w:tcPr>
            <w:tcW w:w="1544" w:type="dxa"/>
            <w:tcBorders>
              <w:tl2br w:val="nil"/>
              <w:tr2bl w:val="nil"/>
            </w:tcBorders>
            <w:noWrap w:val="0"/>
            <w:vAlign w:val="center"/>
          </w:tcPr>
          <w:p w14:paraId="452946BD">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年排放量/（t/a）</w:t>
            </w:r>
          </w:p>
        </w:tc>
      </w:tr>
      <w:tr w14:paraId="6D825C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47" w:type="dxa"/>
            <w:tcBorders>
              <w:tl2br w:val="nil"/>
              <w:tr2bl w:val="nil"/>
            </w:tcBorders>
            <w:noWrap w:val="0"/>
            <w:vAlign w:val="center"/>
          </w:tcPr>
          <w:p w14:paraId="4B418D51">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1212" w:type="dxa"/>
            <w:vMerge w:val="restart"/>
            <w:tcBorders>
              <w:tl2br w:val="nil"/>
              <w:tr2bl w:val="nil"/>
            </w:tcBorders>
            <w:noWrap w:val="0"/>
            <w:vAlign w:val="center"/>
          </w:tcPr>
          <w:p w14:paraId="3E01F2EC">
            <w:pPr>
              <w:pageBreakBefore w:val="0"/>
              <w:wordWrap/>
              <w:bidi w:val="0"/>
              <w:adjustRightInd/>
              <w:snapToGrid/>
              <w:spacing w:line="240" w:lineRule="auto"/>
              <w:ind w:firstLine="0" w:firstLineChars="0"/>
              <w:jc w:val="center"/>
              <w:rPr>
                <w:color w:val="auto"/>
                <w:sz w:val="21"/>
                <w:szCs w:val="21"/>
              </w:rPr>
            </w:pPr>
            <w:r>
              <w:rPr>
                <w:color w:val="auto"/>
                <w:sz w:val="21"/>
                <w:szCs w:val="21"/>
              </w:rPr>
              <w:t>DW001</w:t>
            </w:r>
          </w:p>
        </w:tc>
        <w:tc>
          <w:tcPr>
            <w:tcW w:w="1275" w:type="dxa"/>
            <w:tcBorders>
              <w:tl2br w:val="nil"/>
              <w:tr2bl w:val="nil"/>
            </w:tcBorders>
            <w:noWrap w:val="0"/>
            <w:vAlign w:val="center"/>
          </w:tcPr>
          <w:p w14:paraId="34659EBF">
            <w:pPr>
              <w:pageBreakBefore w:val="0"/>
              <w:wordWrap/>
              <w:bidi w:val="0"/>
              <w:adjustRightInd/>
              <w:snapToGrid/>
              <w:spacing w:line="240" w:lineRule="auto"/>
              <w:ind w:firstLine="0" w:firstLineChars="0"/>
              <w:jc w:val="center"/>
              <w:rPr>
                <w:color w:val="auto"/>
                <w:sz w:val="21"/>
                <w:szCs w:val="21"/>
              </w:rPr>
            </w:pPr>
            <w:r>
              <w:rPr>
                <w:color w:val="auto"/>
                <w:sz w:val="21"/>
                <w:szCs w:val="21"/>
              </w:rPr>
              <w:t>CODcr</w:t>
            </w:r>
          </w:p>
        </w:tc>
        <w:tc>
          <w:tcPr>
            <w:tcW w:w="2100" w:type="dxa"/>
            <w:tcBorders>
              <w:tl2br w:val="nil"/>
              <w:tr2bl w:val="nil"/>
            </w:tcBorders>
            <w:noWrap w:val="0"/>
            <w:vAlign w:val="center"/>
          </w:tcPr>
          <w:p w14:paraId="54E902E1">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50</w:t>
            </w:r>
          </w:p>
        </w:tc>
        <w:tc>
          <w:tcPr>
            <w:tcW w:w="2263" w:type="dxa"/>
            <w:tcBorders>
              <w:tl2br w:val="nil"/>
              <w:tr2bl w:val="nil"/>
            </w:tcBorders>
            <w:noWrap w:val="0"/>
            <w:vAlign w:val="center"/>
          </w:tcPr>
          <w:p w14:paraId="45F534EF">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0.15</w:t>
            </w:r>
          </w:p>
        </w:tc>
        <w:tc>
          <w:tcPr>
            <w:tcW w:w="1544" w:type="dxa"/>
            <w:tcBorders>
              <w:tl2br w:val="nil"/>
              <w:tr2bl w:val="nil"/>
            </w:tcBorders>
            <w:noWrap w:val="0"/>
            <w:vAlign w:val="center"/>
          </w:tcPr>
          <w:p w14:paraId="16233B2F">
            <w:pPr>
              <w:pageBreakBefore w:val="0"/>
              <w:widowControl/>
              <w:wordWrap/>
              <w:bidi w:val="0"/>
              <w:adjustRightInd/>
              <w:snapToGrid/>
              <w:spacing w:line="240" w:lineRule="auto"/>
              <w:ind w:firstLine="0" w:firstLineChars="0"/>
              <w:jc w:val="center"/>
              <w:textAlignment w:val="center"/>
              <w:rPr>
                <w:rFonts w:hint="default" w:eastAsia="宋体"/>
                <w:color w:val="auto"/>
                <w:sz w:val="21"/>
                <w:szCs w:val="21"/>
                <w:lang w:val="en-US" w:eastAsia="zh-CN"/>
              </w:rPr>
            </w:pPr>
            <w:r>
              <w:rPr>
                <w:rFonts w:hint="eastAsia"/>
                <w:color w:val="auto"/>
                <w:sz w:val="21"/>
                <w:szCs w:val="21"/>
                <w:lang w:val="en-US" w:eastAsia="zh-CN"/>
              </w:rPr>
              <w:t>54.75</w:t>
            </w:r>
          </w:p>
        </w:tc>
      </w:tr>
      <w:tr w14:paraId="3FD56F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47" w:type="dxa"/>
            <w:tcBorders>
              <w:tl2br w:val="nil"/>
              <w:tr2bl w:val="nil"/>
            </w:tcBorders>
            <w:noWrap w:val="0"/>
            <w:vAlign w:val="center"/>
          </w:tcPr>
          <w:p w14:paraId="049DA9C0">
            <w:pPr>
              <w:pageBreakBefore w:val="0"/>
              <w:wordWrap/>
              <w:bidi w:val="0"/>
              <w:adjustRightInd/>
              <w:snapToGrid/>
              <w:spacing w:line="240" w:lineRule="auto"/>
              <w:ind w:firstLine="0" w:firstLineChars="0"/>
              <w:jc w:val="center"/>
              <w:rPr>
                <w:color w:val="auto"/>
                <w:sz w:val="21"/>
                <w:szCs w:val="21"/>
              </w:rPr>
            </w:pPr>
            <w:r>
              <w:rPr>
                <w:color w:val="auto"/>
                <w:sz w:val="21"/>
                <w:szCs w:val="21"/>
              </w:rPr>
              <w:t>2</w:t>
            </w:r>
          </w:p>
        </w:tc>
        <w:tc>
          <w:tcPr>
            <w:tcW w:w="1212" w:type="dxa"/>
            <w:vMerge w:val="continue"/>
            <w:tcBorders>
              <w:tl2br w:val="nil"/>
              <w:tr2bl w:val="nil"/>
            </w:tcBorders>
            <w:noWrap w:val="0"/>
            <w:vAlign w:val="center"/>
          </w:tcPr>
          <w:p w14:paraId="4698633B">
            <w:pPr>
              <w:pageBreakBefore w:val="0"/>
              <w:wordWrap/>
              <w:bidi w:val="0"/>
              <w:adjustRightInd/>
              <w:snapToGrid/>
              <w:spacing w:line="240" w:lineRule="auto"/>
              <w:ind w:firstLine="0" w:firstLineChars="0"/>
              <w:jc w:val="center"/>
              <w:rPr>
                <w:color w:val="auto"/>
                <w:sz w:val="21"/>
                <w:szCs w:val="21"/>
              </w:rPr>
            </w:pPr>
          </w:p>
        </w:tc>
        <w:tc>
          <w:tcPr>
            <w:tcW w:w="1275" w:type="dxa"/>
            <w:tcBorders>
              <w:tl2br w:val="nil"/>
              <w:tr2bl w:val="nil"/>
            </w:tcBorders>
            <w:noWrap w:val="0"/>
            <w:vAlign w:val="center"/>
          </w:tcPr>
          <w:p w14:paraId="3FFA9003">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r>
              <w:rPr>
                <w:color w:val="auto"/>
                <w:sz w:val="21"/>
                <w:szCs w:val="21"/>
              </w:rPr>
              <w:t>-N</w:t>
            </w:r>
          </w:p>
        </w:tc>
        <w:tc>
          <w:tcPr>
            <w:tcW w:w="2100" w:type="dxa"/>
            <w:tcBorders>
              <w:tl2br w:val="nil"/>
              <w:tr2bl w:val="nil"/>
            </w:tcBorders>
            <w:noWrap w:val="0"/>
            <w:vAlign w:val="center"/>
          </w:tcPr>
          <w:p w14:paraId="64AF4155">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5</w:t>
            </w:r>
          </w:p>
        </w:tc>
        <w:tc>
          <w:tcPr>
            <w:tcW w:w="2263" w:type="dxa"/>
            <w:tcBorders>
              <w:tl2br w:val="nil"/>
              <w:tr2bl w:val="nil"/>
            </w:tcBorders>
            <w:noWrap w:val="0"/>
            <w:vAlign w:val="center"/>
          </w:tcPr>
          <w:p w14:paraId="6977AF4C">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0.015</w:t>
            </w:r>
          </w:p>
        </w:tc>
        <w:tc>
          <w:tcPr>
            <w:tcW w:w="1544" w:type="dxa"/>
            <w:tcBorders>
              <w:tl2br w:val="nil"/>
              <w:tr2bl w:val="nil"/>
            </w:tcBorders>
            <w:noWrap w:val="0"/>
            <w:vAlign w:val="center"/>
          </w:tcPr>
          <w:p w14:paraId="6C76F337">
            <w:pPr>
              <w:pageBreakBefore w:val="0"/>
              <w:widowControl/>
              <w:wordWrap/>
              <w:bidi w:val="0"/>
              <w:adjustRightInd/>
              <w:snapToGrid/>
              <w:spacing w:line="240" w:lineRule="auto"/>
              <w:ind w:firstLine="0" w:firstLineChars="0"/>
              <w:jc w:val="center"/>
              <w:textAlignment w:val="center"/>
              <w:rPr>
                <w:rFonts w:hint="default" w:eastAsia="宋体"/>
                <w:color w:val="auto"/>
                <w:sz w:val="21"/>
                <w:szCs w:val="21"/>
                <w:lang w:val="en-US" w:eastAsia="zh-CN"/>
              </w:rPr>
            </w:pPr>
            <w:r>
              <w:rPr>
                <w:rFonts w:hint="eastAsia"/>
                <w:color w:val="auto"/>
                <w:sz w:val="21"/>
                <w:szCs w:val="21"/>
                <w:lang w:val="en-US" w:eastAsia="zh-CN"/>
              </w:rPr>
              <w:t>5.475</w:t>
            </w:r>
          </w:p>
        </w:tc>
      </w:tr>
      <w:tr w14:paraId="39B0FB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47" w:type="dxa"/>
            <w:tcBorders>
              <w:tl2br w:val="nil"/>
              <w:tr2bl w:val="nil"/>
            </w:tcBorders>
            <w:noWrap w:val="0"/>
            <w:vAlign w:val="center"/>
          </w:tcPr>
          <w:p w14:paraId="598465D6">
            <w:pPr>
              <w:pageBreakBefore w:val="0"/>
              <w:wordWrap/>
              <w:bidi w:val="0"/>
              <w:adjustRightInd/>
              <w:snapToGrid/>
              <w:spacing w:line="240" w:lineRule="auto"/>
              <w:ind w:firstLine="0" w:firstLineChars="0"/>
              <w:jc w:val="center"/>
              <w:rPr>
                <w:color w:val="auto"/>
                <w:sz w:val="21"/>
                <w:szCs w:val="21"/>
              </w:rPr>
            </w:pPr>
            <w:r>
              <w:rPr>
                <w:color w:val="auto"/>
                <w:sz w:val="21"/>
                <w:szCs w:val="21"/>
              </w:rPr>
              <w:t>3</w:t>
            </w:r>
          </w:p>
        </w:tc>
        <w:tc>
          <w:tcPr>
            <w:tcW w:w="1212" w:type="dxa"/>
            <w:vMerge w:val="continue"/>
            <w:tcBorders>
              <w:tl2br w:val="nil"/>
              <w:tr2bl w:val="nil"/>
            </w:tcBorders>
            <w:noWrap w:val="0"/>
            <w:vAlign w:val="center"/>
          </w:tcPr>
          <w:p w14:paraId="402C0A07">
            <w:pPr>
              <w:pageBreakBefore w:val="0"/>
              <w:wordWrap/>
              <w:bidi w:val="0"/>
              <w:adjustRightInd/>
              <w:snapToGrid/>
              <w:spacing w:line="240" w:lineRule="auto"/>
              <w:ind w:firstLine="0" w:firstLineChars="0"/>
              <w:jc w:val="center"/>
              <w:rPr>
                <w:color w:val="auto"/>
                <w:sz w:val="21"/>
                <w:szCs w:val="21"/>
              </w:rPr>
            </w:pPr>
          </w:p>
        </w:tc>
        <w:tc>
          <w:tcPr>
            <w:tcW w:w="1275" w:type="dxa"/>
            <w:tcBorders>
              <w:tl2br w:val="nil"/>
              <w:tr2bl w:val="nil"/>
            </w:tcBorders>
            <w:noWrap w:val="0"/>
            <w:vAlign w:val="center"/>
          </w:tcPr>
          <w:p w14:paraId="3CCA35C0">
            <w:pPr>
              <w:pageBreakBefore w:val="0"/>
              <w:wordWrap/>
              <w:bidi w:val="0"/>
              <w:adjustRightInd/>
              <w:snapToGrid/>
              <w:spacing w:line="240" w:lineRule="auto"/>
              <w:ind w:firstLine="0" w:firstLineChars="0"/>
              <w:jc w:val="center"/>
              <w:rPr>
                <w:color w:val="auto"/>
                <w:sz w:val="21"/>
                <w:szCs w:val="21"/>
              </w:rPr>
            </w:pPr>
            <w:r>
              <w:rPr>
                <w:color w:val="auto"/>
                <w:sz w:val="21"/>
                <w:szCs w:val="21"/>
              </w:rPr>
              <w:t>总磷</w:t>
            </w:r>
          </w:p>
        </w:tc>
        <w:tc>
          <w:tcPr>
            <w:tcW w:w="2100" w:type="dxa"/>
            <w:tcBorders>
              <w:tl2br w:val="nil"/>
              <w:tr2bl w:val="nil"/>
            </w:tcBorders>
            <w:noWrap w:val="0"/>
            <w:vAlign w:val="center"/>
          </w:tcPr>
          <w:p w14:paraId="1DAB5615">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0.5</w:t>
            </w:r>
          </w:p>
        </w:tc>
        <w:tc>
          <w:tcPr>
            <w:tcW w:w="2263" w:type="dxa"/>
            <w:tcBorders>
              <w:tl2br w:val="nil"/>
              <w:tr2bl w:val="nil"/>
            </w:tcBorders>
            <w:noWrap w:val="0"/>
            <w:vAlign w:val="center"/>
          </w:tcPr>
          <w:p w14:paraId="31502E74">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0.0015</w:t>
            </w:r>
          </w:p>
        </w:tc>
        <w:tc>
          <w:tcPr>
            <w:tcW w:w="1544" w:type="dxa"/>
            <w:tcBorders>
              <w:tl2br w:val="nil"/>
              <w:tr2bl w:val="nil"/>
            </w:tcBorders>
            <w:noWrap w:val="0"/>
            <w:vAlign w:val="center"/>
          </w:tcPr>
          <w:p w14:paraId="1DA16656">
            <w:pPr>
              <w:pageBreakBefore w:val="0"/>
              <w:widowControl/>
              <w:wordWrap/>
              <w:bidi w:val="0"/>
              <w:adjustRightInd/>
              <w:snapToGrid/>
              <w:spacing w:line="240" w:lineRule="auto"/>
              <w:ind w:firstLine="0" w:firstLineChars="0"/>
              <w:jc w:val="center"/>
              <w:textAlignment w:val="center"/>
              <w:rPr>
                <w:rFonts w:hint="default" w:eastAsia="宋体"/>
                <w:color w:val="auto"/>
                <w:sz w:val="21"/>
                <w:szCs w:val="21"/>
                <w:lang w:val="en-US" w:eastAsia="zh-CN"/>
              </w:rPr>
            </w:pPr>
            <w:r>
              <w:rPr>
                <w:rFonts w:hint="eastAsia"/>
                <w:color w:val="auto"/>
                <w:sz w:val="21"/>
                <w:szCs w:val="21"/>
                <w:lang w:val="en-US" w:eastAsia="zh-CN"/>
              </w:rPr>
              <w:t>0.5475</w:t>
            </w:r>
          </w:p>
        </w:tc>
      </w:tr>
      <w:tr w14:paraId="562E0A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47" w:type="dxa"/>
            <w:tcBorders>
              <w:tl2br w:val="nil"/>
              <w:tr2bl w:val="nil"/>
            </w:tcBorders>
            <w:noWrap w:val="0"/>
            <w:vAlign w:val="center"/>
          </w:tcPr>
          <w:p w14:paraId="309DB962">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4</w:t>
            </w:r>
          </w:p>
        </w:tc>
        <w:tc>
          <w:tcPr>
            <w:tcW w:w="1212" w:type="dxa"/>
            <w:vMerge w:val="continue"/>
            <w:tcBorders>
              <w:tl2br w:val="nil"/>
              <w:tr2bl w:val="nil"/>
            </w:tcBorders>
            <w:noWrap w:val="0"/>
            <w:vAlign w:val="center"/>
          </w:tcPr>
          <w:p w14:paraId="31BA0E00">
            <w:pPr>
              <w:pageBreakBefore w:val="0"/>
              <w:wordWrap/>
              <w:bidi w:val="0"/>
              <w:adjustRightInd/>
              <w:snapToGrid/>
              <w:spacing w:line="240" w:lineRule="auto"/>
              <w:ind w:firstLine="0" w:firstLineChars="0"/>
              <w:jc w:val="center"/>
              <w:rPr>
                <w:color w:val="auto"/>
                <w:sz w:val="21"/>
                <w:szCs w:val="21"/>
              </w:rPr>
            </w:pPr>
          </w:p>
        </w:tc>
        <w:tc>
          <w:tcPr>
            <w:tcW w:w="1275" w:type="dxa"/>
            <w:tcBorders>
              <w:tl2br w:val="nil"/>
              <w:tr2bl w:val="nil"/>
            </w:tcBorders>
            <w:noWrap w:val="0"/>
            <w:vAlign w:val="center"/>
          </w:tcPr>
          <w:p w14:paraId="3411E645">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石油类</w:t>
            </w:r>
          </w:p>
        </w:tc>
        <w:tc>
          <w:tcPr>
            <w:tcW w:w="2100" w:type="dxa"/>
            <w:tcBorders>
              <w:tl2br w:val="nil"/>
              <w:tr2bl w:val="nil"/>
            </w:tcBorders>
            <w:noWrap w:val="0"/>
            <w:vAlign w:val="center"/>
          </w:tcPr>
          <w:p w14:paraId="35266695">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1</w:t>
            </w:r>
          </w:p>
        </w:tc>
        <w:tc>
          <w:tcPr>
            <w:tcW w:w="2263" w:type="dxa"/>
            <w:tcBorders>
              <w:tl2br w:val="nil"/>
              <w:tr2bl w:val="nil"/>
            </w:tcBorders>
            <w:noWrap w:val="0"/>
            <w:vAlign w:val="center"/>
          </w:tcPr>
          <w:p w14:paraId="2A54F47D">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0.003</w:t>
            </w:r>
          </w:p>
        </w:tc>
        <w:tc>
          <w:tcPr>
            <w:tcW w:w="1544" w:type="dxa"/>
            <w:tcBorders>
              <w:tl2br w:val="nil"/>
              <w:tr2bl w:val="nil"/>
            </w:tcBorders>
            <w:noWrap w:val="0"/>
            <w:vAlign w:val="center"/>
          </w:tcPr>
          <w:p w14:paraId="29A83850">
            <w:pPr>
              <w:pageBreakBefore w:val="0"/>
              <w:widowControl/>
              <w:wordWrap/>
              <w:bidi w:val="0"/>
              <w:adjustRightInd/>
              <w:snapToGrid/>
              <w:spacing w:line="240" w:lineRule="auto"/>
              <w:ind w:firstLine="0" w:firstLineChars="0"/>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1.095</w:t>
            </w:r>
          </w:p>
        </w:tc>
      </w:tr>
      <w:tr w14:paraId="78E58F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47" w:type="dxa"/>
            <w:tcBorders>
              <w:tl2br w:val="nil"/>
              <w:tr2bl w:val="nil"/>
            </w:tcBorders>
            <w:noWrap w:val="0"/>
            <w:vAlign w:val="center"/>
          </w:tcPr>
          <w:p w14:paraId="2C80A5A9">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5</w:t>
            </w:r>
          </w:p>
        </w:tc>
        <w:tc>
          <w:tcPr>
            <w:tcW w:w="1212" w:type="dxa"/>
            <w:vMerge w:val="continue"/>
            <w:tcBorders>
              <w:tl2br w:val="nil"/>
              <w:tr2bl w:val="nil"/>
            </w:tcBorders>
            <w:noWrap w:val="0"/>
            <w:vAlign w:val="center"/>
          </w:tcPr>
          <w:p w14:paraId="1BD76640">
            <w:pPr>
              <w:pageBreakBefore w:val="0"/>
              <w:wordWrap/>
              <w:bidi w:val="0"/>
              <w:adjustRightInd/>
              <w:snapToGrid/>
              <w:spacing w:line="240" w:lineRule="auto"/>
              <w:ind w:firstLine="0" w:firstLineChars="0"/>
              <w:jc w:val="center"/>
              <w:rPr>
                <w:color w:val="auto"/>
                <w:sz w:val="21"/>
                <w:szCs w:val="21"/>
              </w:rPr>
            </w:pPr>
          </w:p>
        </w:tc>
        <w:tc>
          <w:tcPr>
            <w:tcW w:w="1275" w:type="dxa"/>
            <w:tcBorders>
              <w:tl2br w:val="nil"/>
              <w:tr2bl w:val="nil"/>
            </w:tcBorders>
            <w:noWrap w:val="0"/>
            <w:vAlign w:val="center"/>
          </w:tcPr>
          <w:p w14:paraId="77224B12">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甲醛</w:t>
            </w:r>
          </w:p>
        </w:tc>
        <w:tc>
          <w:tcPr>
            <w:tcW w:w="2100" w:type="dxa"/>
            <w:tcBorders>
              <w:tl2br w:val="nil"/>
              <w:tr2bl w:val="nil"/>
            </w:tcBorders>
            <w:noWrap w:val="0"/>
            <w:vAlign w:val="center"/>
          </w:tcPr>
          <w:p w14:paraId="173094AE">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1</w:t>
            </w:r>
          </w:p>
        </w:tc>
        <w:tc>
          <w:tcPr>
            <w:tcW w:w="2263" w:type="dxa"/>
            <w:tcBorders>
              <w:tl2br w:val="nil"/>
              <w:tr2bl w:val="nil"/>
            </w:tcBorders>
            <w:noWrap w:val="0"/>
            <w:vAlign w:val="center"/>
          </w:tcPr>
          <w:p w14:paraId="58F6E7C0">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0.003</w:t>
            </w:r>
          </w:p>
        </w:tc>
        <w:tc>
          <w:tcPr>
            <w:tcW w:w="1544" w:type="dxa"/>
            <w:tcBorders>
              <w:tl2br w:val="nil"/>
              <w:tr2bl w:val="nil"/>
            </w:tcBorders>
            <w:noWrap w:val="0"/>
            <w:vAlign w:val="center"/>
          </w:tcPr>
          <w:p w14:paraId="7181D3D6">
            <w:pPr>
              <w:pageBreakBefore w:val="0"/>
              <w:widowControl/>
              <w:wordWrap/>
              <w:bidi w:val="0"/>
              <w:adjustRightInd/>
              <w:snapToGrid/>
              <w:spacing w:line="240" w:lineRule="auto"/>
              <w:ind w:firstLine="0" w:firstLineChars="0"/>
              <w:jc w:val="center"/>
              <w:textAlignment w:val="center"/>
              <w:rPr>
                <w:rFonts w:hint="default" w:eastAsia="宋体"/>
                <w:color w:val="auto"/>
                <w:sz w:val="21"/>
                <w:szCs w:val="21"/>
                <w:lang w:val="en-US" w:eastAsia="zh-CN"/>
              </w:rPr>
            </w:pPr>
            <w:r>
              <w:rPr>
                <w:rFonts w:hint="eastAsia"/>
                <w:color w:val="auto"/>
                <w:sz w:val="21"/>
                <w:szCs w:val="21"/>
                <w:lang w:val="en-US" w:eastAsia="zh-CN"/>
              </w:rPr>
              <w:t>1.095</w:t>
            </w:r>
          </w:p>
        </w:tc>
      </w:tr>
      <w:tr w14:paraId="777F2C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59" w:type="dxa"/>
            <w:gridSpan w:val="2"/>
            <w:vMerge w:val="restart"/>
            <w:tcBorders>
              <w:tl2br w:val="nil"/>
              <w:tr2bl w:val="nil"/>
            </w:tcBorders>
            <w:noWrap w:val="0"/>
            <w:vAlign w:val="center"/>
          </w:tcPr>
          <w:p w14:paraId="10B097D3">
            <w:pPr>
              <w:pageBreakBefore w:val="0"/>
              <w:wordWrap/>
              <w:bidi w:val="0"/>
              <w:adjustRightInd/>
              <w:snapToGrid/>
              <w:spacing w:line="240" w:lineRule="auto"/>
              <w:ind w:firstLine="0" w:firstLineChars="0"/>
              <w:jc w:val="center"/>
              <w:rPr>
                <w:color w:val="auto"/>
                <w:sz w:val="21"/>
                <w:szCs w:val="21"/>
              </w:rPr>
            </w:pPr>
            <w:r>
              <w:rPr>
                <w:color w:val="auto"/>
                <w:sz w:val="21"/>
                <w:szCs w:val="21"/>
              </w:rPr>
              <w:t>全厂排放口合计</w:t>
            </w:r>
          </w:p>
        </w:tc>
        <w:tc>
          <w:tcPr>
            <w:tcW w:w="1275" w:type="dxa"/>
            <w:tcBorders>
              <w:tl2br w:val="nil"/>
              <w:tr2bl w:val="nil"/>
            </w:tcBorders>
            <w:noWrap w:val="0"/>
            <w:vAlign w:val="center"/>
          </w:tcPr>
          <w:p w14:paraId="0A3A03ED">
            <w:pPr>
              <w:pageBreakBefore w:val="0"/>
              <w:wordWrap/>
              <w:bidi w:val="0"/>
              <w:adjustRightInd/>
              <w:snapToGrid/>
              <w:spacing w:line="240" w:lineRule="auto"/>
              <w:ind w:firstLine="0" w:firstLineChars="0"/>
              <w:jc w:val="center"/>
              <w:rPr>
                <w:color w:val="auto"/>
                <w:sz w:val="21"/>
                <w:szCs w:val="21"/>
              </w:rPr>
            </w:pPr>
            <w:r>
              <w:rPr>
                <w:color w:val="auto"/>
                <w:sz w:val="21"/>
                <w:szCs w:val="21"/>
              </w:rPr>
              <w:t>COD</w:t>
            </w:r>
            <w:r>
              <w:rPr>
                <w:color w:val="auto"/>
                <w:sz w:val="21"/>
                <w:szCs w:val="21"/>
                <w:vertAlign w:val="subscript"/>
              </w:rPr>
              <w:t>Cr</w:t>
            </w:r>
          </w:p>
        </w:tc>
        <w:tc>
          <w:tcPr>
            <w:tcW w:w="5907" w:type="dxa"/>
            <w:gridSpan w:val="3"/>
            <w:tcBorders>
              <w:tl2br w:val="nil"/>
              <w:tr2bl w:val="nil"/>
            </w:tcBorders>
            <w:noWrap w:val="0"/>
            <w:vAlign w:val="center"/>
          </w:tcPr>
          <w:p w14:paraId="6B708EC7">
            <w:pPr>
              <w:pageBreakBefore w:val="0"/>
              <w:widowControl/>
              <w:wordWrap/>
              <w:bidi w:val="0"/>
              <w:adjustRightInd/>
              <w:snapToGrid/>
              <w:spacing w:line="240" w:lineRule="auto"/>
              <w:ind w:firstLine="0" w:firstLineChars="0"/>
              <w:jc w:val="center"/>
              <w:textAlignment w:val="center"/>
              <w:rPr>
                <w:color w:val="auto"/>
                <w:sz w:val="21"/>
                <w:szCs w:val="21"/>
              </w:rPr>
            </w:pPr>
            <w:r>
              <w:rPr>
                <w:rFonts w:hint="eastAsia"/>
                <w:color w:val="auto"/>
                <w:sz w:val="21"/>
                <w:szCs w:val="21"/>
                <w:lang w:val="en-US" w:eastAsia="zh-CN"/>
              </w:rPr>
              <w:t>54.75</w:t>
            </w:r>
          </w:p>
        </w:tc>
      </w:tr>
      <w:tr w14:paraId="69AC8E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59" w:type="dxa"/>
            <w:gridSpan w:val="2"/>
            <w:vMerge w:val="continue"/>
            <w:tcBorders>
              <w:tl2br w:val="nil"/>
              <w:tr2bl w:val="nil"/>
            </w:tcBorders>
            <w:noWrap w:val="0"/>
            <w:vAlign w:val="center"/>
          </w:tcPr>
          <w:p w14:paraId="451A537C">
            <w:pPr>
              <w:pageBreakBefore w:val="0"/>
              <w:wordWrap/>
              <w:bidi w:val="0"/>
              <w:adjustRightInd/>
              <w:snapToGrid/>
              <w:spacing w:line="240" w:lineRule="auto"/>
              <w:ind w:firstLine="0" w:firstLineChars="0"/>
              <w:jc w:val="center"/>
              <w:rPr>
                <w:color w:val="auto"/>
                <w:sz w:val="21"/>
                <w:szCs w:val="21"/>
              </w:rPr>
            </w:pPr>
          </w:p>
        </w:tc>
        <w:tc>
          <w:tcPr>
            <w:tcW w:w="1275" w:type="dxa"/>
            <w:tcBorders>
              <w:tl2br w:val="nil"/>
              <w:tr2bl w:val="nil"/>
            </w:tcBorders>
            <w:noWrap w:val="0"/>
            <w:vAlign w:val="center"/>
          </w:tcPr>
          <w:p w14:paraId="0BF53C30">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r>
              <w:rPr>
                <w:color w:val="auto"/>
                <w:sz w:val="21"/>
                <w:szCs w:val="21"/>
              </w:rPr>
              <w:t>-N</w:t>
            </w:r>
          </w:p>
        </w:tc>
        <w:tc>
          <w:tcPr>
            <w:tcW w:w="5907" w:type="dxa"/>
            <w:gridSpan w:val="3"/>
            <w:tcBorders>
              <w:tl2br w:val="nil"/>
              <w:tr2bl w:val="nil"/>
            </w:tcBorders>
            <w:noWrap w:val="0"/>
            <w:vAlign w:val="center"/>
          </w:tcPr>
          <w:p w14:paraId="38770AF0">
            <w:pPr>
              <w:pageBreakBefore w:val="0"/>
              <w:widowControl/>
              <w:wordWrap/>
              <w:bidi w:val="0"/>
              <w:adjustRightInd/>
              <w:snapToGrid/>
              <w:spacing w:line="240" w:lineRule="auto"/>
              <w:ind w:firstLine="0" w:firstLineChars="0"/>
              <w:jc w:val="center"/>
              <w:textAlignment w:val="center"/>
              <w:rPr>
                <w:color w:val="auto"/>
                <w:sz w:val="21"/>
                <w:szCs w:val="21"/>
              </w:rPr>
            </w:pPr>
            <w:r>
              <w:rPr>
                <w:rFonts w:hint="eastAsia"/>
                <w:color w:val="auto"/>
                <w:sz w:val="21"/>
                <w:szCs w:val="21"/>
                <w:lang w:val="en-US" w:eastAsia="zh-CN"/>
              </w:rPr>
              <w:t>5.475</w:t>
            </w:r>
          </w:p>
        </w:tc>
      </w:tr>
      <w:tr w14:paraId="37C6C2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59" w:type="dxa"/>
            <w:gridSpan w:val="2"/>
            <w:vMerge w:val="continue"/>
            <w:tcBorders>
              <w:tl2br w:val="nil"/>
              <w:tr2bl w:val="nil"/>
            </w:tcBorders>
            <w:noWrap w:val="0"/>
            <w:vAlign w:val="center"/>
          </w:tcPr>
          <w:p w14:paraId="5D606917">
            <w:pPr>
              <w:pageBreakBefore w:val="0"/>
              <w:wordWrap/>
              <w:bidi w:val="0"/>
              <w:adjustRightInd/>
              <w:snapToGrid/>
              <w:spacing w:line="240" w:lineRule="auto"/>
              <w:ind w:firstLine="0" w:firstLineChars="0"/>
              <w:jc w:val="center"/>
              <w:rPr>
                <w:color w:val="auto"/>
                <w:sz w:val="21"/>
                <w:szCs w:val="21"/>
              </w:rPr>
            </w:pPr>
          </w:p>
        </w:tc>
        <w:tc>
          <w:tcPr>
            <w:tcW w:w="1275" w:type="dxa"/>
            <w:tcBorders>
              <w:tl2br w:val="nil"/>
              <w:tr2bl w:val="nil"/>
            </w:tcBorders>
            <w:noWrap w:val="0"/>
            <w:vAlign w:val="center"/>
          </w:tcPr>
          <w:p w14:paraId="116248BC">
            <w:pPr>
              <w:pageBreakBefore w:val="0"/>
              <w:wordWrap/>
              <w:bidi w:val="0"/>
              <w:adjustRightInd/>
              <w:snapToGrid/>
              <w:spacing w:line="240" w:lineRule="auto"/>
              <w:ind w:firstLine="0" w:firstLineChars="0"/>
              <w:jc w:val="center"/>
              <w:rPr>
                <w:color w:val="auto"/>
                <w:sz w:val="21"/>
                <w:szCs w:val="21"/>
              </w:rPr>
            </w:pPr>
            <w:r>
              <w:rPr>
                <w:color w:val="auto"/>
                <w:sz w:val="21"/>
                <w:szCs w:val="21"/>
              </w:rPr>
              <w:t>总磷</w:t>
            </w:r>
          </w:p>
        </w:tc>
        <w:tc>
          <w:tcPr>
            <w:tcW w:w="5907" w:type="dxa"/>
            <w:gridSpan w:val="3"/>
            <w:tcBorders>
              <w:tl2br w:val="nil"/>
              <w:tr2bl w:val="nil"/>
            </w:tcBorders>
            <w:noWrap w:val="0"/>
            <w:vAlign w:val="center"/>
          </w:tcPr>
          <w:p w14:paraId="3450D91E">
            <w:pPr>
              <w:pageBreakBefore w:val="0"/>
              <w:widowControl/>
              <w:wordWrap/>
              <w:bidi w:val="0"/>
              <w:adjustRightInd/>
              <w:snapToGrid/>
              <w:spacing w:line="240" w:lineRule="auto"/>
              <w:ind w:firstLine="0" w:firstLineChars="0"/>
              <w:jc w:val="center"/>
              <w:textAlignment w:val="center"/>
              <w:rPr>
                <w:color w:val="auto"/>
                <w:sz w:val="21"/>
                <w:szCs w:val="21"/>
              </w:rPr>
            </w:pPr>
            <w:r>
              <w:rPr>
                <w:rFonts w:hint="eastAsia"/>
                <w:color w:val="auto"/>
                <w:sz w:val="21"/>
                <w:szCs w:val="21"/>
                <w:lang w:val="en-US" w:eastAsia="zh-CN"/>
              </w:rPr>
              <w:t>0.5475</w:t>
            </w:r>
          </w:p>
        </w:tc>
      </w:tr>
      <w:tr w14:paraId="5A4DD6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59" w:type="dxa"/>
            <w:gridSpan w:val="2"/>
            <w:vMerge w:val="continue"/>
            <w:tcBorders>
              <w:tl2br w:val="nil"/>
              <w:tr2bl w:val="nil"/>
            </w:tcBorders>
            <w:noWrap w:val="0"/>
            <w:vAlign w:val="center"/>
          </w:tcPr>
          <w:p w14:paraId="7FD8949C">
            <w:pPr>
              <w:pageBreakBefore w:val="0"/>
              <w:wordWrap/>
              <w:bidi w:val="0"/>
              <w:adjustRightInd/>
              <w:snapToGrid/>
              <w:spacing w:line="240" w:lineRule="auto"/>
              <w:ind w:firstLine="0" w:firstLineChars="0"/>
              <w:jc w:val="center"/>
              <w:rPr>
                <w:color w:val="auto"/>
                <w:sz w:val="21"/>
                <w:szCs w:val="21"/>
              </w:rPr>
            </w:pPr>
          </w:p>
        </w:tc>
        <w:tc>
          <w:tcPr>
            <w:tcW w:w="1275" w:type="dxa"/>
            <w:tcBorders>
              <w:tl2br w:val="nil"/>
              <w:tr2bl w:val="nil"/>
            </w:tcBorders>
            <w:noWrap w:val="0"/>
            <w:vAlign w:val="center"/>
          </w:tcPr>
          <w:p w14:paraId="62F96DB3">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石油类</w:t>
            </w:r>
          </w:p>
        </w:tc>
        <w:tc>
          <w:tcPr>
            <w:tcW w:w="5907" w:type="dxa"/>
            <w:gridSpan w:val="3"/>
            <w:tcBorders>
              <w:tl2br w:val="nil"/>
              <w:tr2bl w:val="nil"/>
            </w:tcBorders>
            <w:noWrap w:val="0"/>
            <w:vAlign w:val="center"/>
          </w:tcPr>
          <w:p w14:paraId="76101B9D">
            <w:pPr>
              <w:pageBreakBefore w:val="0"/>
              <w:widowControl/>
              <w:wordWrap/>
              <w:bidi w:val="0"/>
              <w:adjustRightInd/>
              <w:snapToGrid/>
              <w:spacing w:line="240" w:lineRule="auto"/>
              <w:ind w:firstLine="0" w:firstLineChars="0"/>
              <w:jc w:val="center"/>
              <w:textAlignment w:val="center"/>
              <w:rPr>
                <w:color w:val="auto"/>
                <w:kern w:val="0"/>
                <w:sz w:val="21"/>
                <w:szCs w:val="21"/>
                <w:lang w:bidi="ar"/>
              </w:rPr>
            </w:pPr>
            <w:r>
              <w:rPr>
                <w:rFonts w:hint="eastAsia"/>
                <w:color w:val="auto"/>
                <w:kern w:val="0"/>
                <w:sz w:val="21"/>
                <w:szCs w:val="21"/>
                <w:lang w:val="en-US" w:eastAsia="zh-CN" w:bidi="ar"/>
              </w:rPr>
              <w:t>1.095</w:t>
            </w:r>
          </w:p>
        </w:tc>
      </w:tr>
      <w:tr w14:paraId="698086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759" w:type="dxa"/>
            <w:gridSpan w:val="2"/>
            <w:vMerge w:val="continue"/>
            <w:tcBorders>
              <w:tl2br w:val="nil"/>
              <w:tr2bl w:val="nil"/>
            </w:tcBorders>
            <w:noWrap w:val="0"/>
            <w:vAlign w:val="center"/>
          </w:tcPr>
          <w:p w14:paraId="00C4E750">
            <w:pPr>
              <w:pageBreakBefore w:val="0"/>
              <w:wordWrap/>
              <w:bidi w:val="0"/>
              <w:adjustRightInd/>
              <w:snapToGrid/>
              <w:spacing w:line="240" w:lineRule="auto"/>
              <w:ind w:firstLine="0" w:firstLineChars="0"/>
              <w:jc w:val="center"/>
              <w:rPr>
                <w:color w:val="auto"/>
                <w:sz w:val="21"/>
                <w:szCs w:val="21"/>
              </w:rPr>
            </w:pPr>
          </w:p>
        </w:tc>
        <w:tc>
          <w:tcPr>
            <w:tcW w:w="1275" w:type="dxa"/>
            <w:tcBorders>
              <w:tl2br w:val="nil"/>
              <w:tr2bl w:val="nil"/>
            </w:tcBorders>
            <w:noWrap w:val="0"/>
            <w:vAlign w:val="center"/>
          </w:tcPr>
          <w:p w14:paraId="34098D92">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甲醛</w:t>
            </w:r>
          </w:p>
        </w:tc>
        <w:tc>
          <w:tcPr>
            <w:tcW w:w="5907" w:type="dxa"/>
            <w:gridSpan w:val="3"/>
            <w:tcBorders>
              <w:tl2br w:val="nil"/>
              <w:tr2bl w:val="nil"/>
            </w:tcBorders>
            <w:noWrap w:val="0"/>
            <w:vAlign w:val="center"/>
          </w:tcPr>
          <w:p w14:paraId="3A376BFB">
            <w:pPr>
              <w:pageBreakBefore w:val="0"/>
              <w:widowControl/>
              <w:wordWrap/>
              <w:bidi w:val="0"/>
              <w:adjustRightInd/>
              <w:snapToGrid/>
              <w:spacing w:line="240" w:lineRule="auto"/>
              <w:ind w:firstLine="0" w:firstLineChars="0"/>
              <w:jc w:val="center"/>
              <w:textAlignment w:val="center"/>
              <w:rPr>
                <w:color w:val="auto"/>
                <w:sz w:val="21"/>
                <w:szCs w:val="21"/>
              </w:rPr>
            </w:pPr>
            <w:r>
              <w:rPr>
                <w:rFonts w:hint="eastAsia"/>
                <w:color w:val="auto"/>
                <w:sz w:val="21"/>
                <w:szCs w:val="21"/>
                <w:lang w:val="en-US" w:eastAsia="zh-CN"/>
              </w:rPr>
              <w:t>1.095</w:t>
            </w:r>
          </w:p>
        </w:tc>
      </w:tr>
    </w:tbl>
    <w:p w14:paraId="4B9BF190">
      <w:pPr>
        <w:pStyle w:val="5"/>
        <w:keepNext/>
        <w:keepLines/>
        <w:pageBreakBefore w:val="0"/>
        <w:widowControl w:val="0"/>
        <w:kinsoku/>
        <w:wordWrap/>
        <w:overflowPunct/>
        <w:topLinePunct w:val="0"/>
        <w:autoSpaceDE/>
        <w:autoSpaceDN/>
        <w:bidi w:val="0"/>
        <w:adjustRightInd/>
        <w:snapToGrid/>
        <w:spacing w:before="219" w:beforeLines="70" w:after="48"/>
        <w:ind w:left="0"/>
        <w:textAlignment w:val="auto"/>
        <w:rPr>
          <w:rFonts w:eastAsia="宋体"/>
          <w:color w:val="auto"/>
        </w:rPr>
      </w:pPr>
      <w:r>
        <w:rPr>
          <w:rFonts w:hint="eastAsia"/>
          <w:color w:val="auto"/>
          <w:lang w:val="en-US" w:eastAsia="zh-CN"/>
        </w:rPr>
        <w:t xml:space="preserve"> </w:t>
      </w:r>
      <w:r>
        <w:rPr>
          <w:rFonts w:eastAsia="宋体"/>
          <w:color w:val="auto"/>
        </w:rPr>
        <w:t>营运期声环境影响预测与评价</w:t>
      </w:r>
    </w:p>
    <w:p w14:paraId="07647835">
      <w:pPr>
        <w:bidi w:val="0"/>
        <w:rPr>
          <w:b/>
          <w:bCs/>
          <w:color w:val="auto"/>
        </w:rPr>
      </w:pPr>
      <w:r>
        <w:rPr>
          <w:rFonts w:hint="eastAsia"/>
          <w:b/>
          <w:bCs/>
          <w:color w:val="auto"/>
          <w:lang w:val="en-US" w:eastAsia="zh-CN"/>
        </w:rPr>
        <w:t>1</w:t>
      </w:r>
      <w:r>
        <w:rPr>
          <w:b/>
          <w:bCs/>
          <w:color w:val="auto"/>
        </w:rPr>
        <w:t>、</w:t>
      </w:r>
      <w:r>
        <w:rPr>
          <w:rFonts w:hint="eastAsia"/>
          <w:b/>
          <w:bCs/>
          <w:color w:val="auto"/>
        </w:rPr>
        <w:t>噪声源强调查清单参数</w:t>
      </w:r>
    </w:p>
    <w:p w14:paraId="63BC24D7">
      <w:pPr>
        <w:bidi w:val="0"/>
        <w:rPr>
          <w:color w:val="auto"/>
        </w:rPr>
      </w:pPr>
      <w:r>
        <w:rPr>
          <w:rFonts w:hint="eastAsia"/>
          <w:color w:val="auto"/>
        </w:rPr>
        <w:t>本次评价根据《环境影响评价技术导则 声环境》（HJ2.4-2021）附录B的公式计算设备噪声的室内边界及室外建筑噪声。</w:t>
      </w:r>
    </w:p>
    <w:p w14:paraId="554E3662">
      <w:pPr>
        <w:bidi w:val="0"/>
        <w:rPr>
          <w:b/>
          <w:bCs/>
          <w:color w:val="auto"/>
        </w:rPr>
      </w:pPr>
      <w:r>
        <w:rPr>
          <w:rFonts w:hint="eastAsia"/>
          <w:b/>
          <w:bCs/>
          <w:color w:val="auto"/>
        </w:rPr>
        <w:t>①室内边界声级计算</w:t>
      </w:r>
      <w:r>
        <w:rPr>
          <w:b/>
          <w:bCs/>
          <w:color w:val="auto"/>
        </w:rPr>
        <w:t>方法</w:t>
      </w:r>
      <w:r>
        <w:rPr>
          <w:rFonts w:hint="eastAsia"/>
          <w:b/>
          <w:bCs/>
          <w:color w:val="auto"/>
        </w:rPr>
        <w:t>：</w:t>
      </w:r>
    </w:p>
    <w:p w14:paraId="29E9ED20">
      <w:pPr>
        <w:bidi w:val="0"/>
        <w:rPr>
          <w:color w:val="auto"/>
        </w:rPr>
      </w:pPr>
      <w:r>
        <w:rPr>
          <w:color w:val="auto"/>
        </w:rPr>
        <w:t>计算某一室内声源靠近围护结构处产生的倍频带声压级或A声级：</w:t>
      </w:r>
    </w:p>
    <w:p w14:paraId="449ED4FC">
      <w:pPr>
        <w:pStyle w:val="193"/>
        <w:spacing w:line="360" w:lineRule="auto"/>
        <w:ind w:firstLine="0" w:firstLineChars="0"/>
        <w:jc w:val="center"/>
        <w:textAlignment w:val="baseline"/>
        <w:rPr>
          <w:rFonts w:eastAsia="宋体"/>
          <w:snapToGrid w:val="0"/>
          <w:color w:val="auto"/>
          <w:sz w:val="24"/>
        </w:rPr>
      </w:pPr>
      <w:r>
        <w:rPr>
          <w:color w:val="auto"/>
        </w:rPr>
        <w:drawing>
          <wp:inline distT="0" distB="0" distL="114300" distR="114300">
            <wp:extent cx="1635125" cy="447040"/>
            <wp:effectExtent l="0" t="0" r="3175" b="1016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96"/>
                    <a:stretch>
                      <a:fillRect/>
                    </a:stretch>
                  </pic:blipFill>
                  <pic:spPr>
                    <a:xfrm>
                      <a:off x="0" y="0"/>
                      <a:ext cx="1635125" cy="447040"/>
                    </a:xfrm>
                    <a:prstGeom prst="rect">
                      <a:avLst/>
                    </a:prstGeom>
                    <a:noFill/>
                    <a:ln>
                      <a:noFill/>
                    </a:ln>
                  </pic:spPr>
                </pic:pic>
              </a:graphicData>
            </a:graphic>
          </wp:inline>
        </w:drawing>
      </w:r>
    </w:p>
    <w:p w14:paraId="3F05EAB2">
      <w:pPr>
        <w:bidi w:val="0"/>
        <w:rPr>
          <w:color w:val="auto"/>
        </w:rPr>
      </w:pPr>
      <w:r>
        <w:rPr>
          <w:rFonts w:hint="eastAsia"/>
          <w:color w:val="auto"/>
        </w:rPr>
        <w:t>式中：</w:t>
      </w:r>
    </w:p>
    <w:p w14:paraId="00B37C6B">
      <w:pPr>
        <w:bidi w:val="0"/>
        <w:rPr>
          <w:color w:val="auto"/>
        </w:rPr>
      </w:pPr>
      <w:r>
        <w:rPr>
          <w:color w:val="auto"/>
        </w:rPr>
        <w:t>Lp1—靠近开口处（或窗户）室内某倍频带的声压级或A声级，dB；</w:t>
      </w:r>
    </w:p>
    <w:p w14:paraId="3EE484C3">
      <w:pPr>
        <w:bidi w:val="0"/>
        <w:rPr>
          <w:color w:val="auto"/>
        </w:rPr>
      </w:pPr>
      <w:r>
        <w:rPr>
          <w:color w:val="auto"/>
        </w:rPr>
        <w:t>Lw—点声源声功率级（A计权或倍频带），dB；</w:t>
      </w:r>
    </w:p>
    <w:p w14:paraId="47584436">
      <w:pPr>
        <w:bidi w:val="0"/>
        <w:rPr>
          <w:color w:val="auto"/>
        </w:rPr>
      </w:pPr>
      <w:r>
        <w:rPr>
          <w:color w:val="auto"/>
        </w:rPr>
        <w:t>Q—指向性因数；通常对无指向性声源，当声源放在房间中心时，Q=1；当放在一面墙的中心时，Q=2；当放在两面墙夹角处时，Q=4；当放在三面墙夹角处时，Q=8；</w:t>
      </w:r>
    </w:p>
    <w:p w14:paraId="3B70308B">
      <w:pPr>
        <w:bidi w:val="0"/>
        <w:rPr>
          <w:color w:val="auto"/>
        </w:rPr>
      </w:pPr>
      <w:r>
        <w:rPr>
          <w:color w:val="auto"/>
        </w:rPr>
        <w:t>R—房间常数；R=Sα/（1</w:t>
      </w:r>
      <w:r>
        <w:rPr>
          <w:rFonts w:hint="eastAsia"/>
          <w:color w:val="auto"/>
          <w:lang w:val="en-US" w:eastAsia="zh-CN"/>
        </w:rPr>
        <w:t>-</w:t>
      </w:r>
      <w:r>
        <w:rPr>
          <w:color w:val="auto"/>
        </w:rPr>
        <w:t>α），S为房间内表面面积，m</w:t>
      </w:r>
      <w:r>
        <w:rPr>
          <w:rFonts w:hint="eastAsia"/>
          <w:color w:val="auto"/>
          <w:lang w:val="en-US" w:eastAsia="zh-CN"/>
        </w:rPr>
        <w:t>²</w:t>
      </w:r>
      <w:r>
        <w:rPr>
          <w:color w:val="auto"/>
        </w:rPr>
        <w:t>；α为平均吸声系数；</w:t>
      </w:r>
    </w:p>
    <w:p w14:paraId="569DFAE0">
      <w:pPr>
        <w:bidi w:val="0"/>
        <w:rPr>
          <w:color w:val="auto"/>
        </w:rPr>
      </w:pPr>
      <w:r>
        <w:rPr>
          <w:color w:val="auto"/>
        </w:rPr>
        <w:t>r—声源到靠近围护结构某点处的距离，m。</w:t>
      </w:r>
    </w:p>
    <w:p w14:paraId="7B0CBD71">
      <w:pPr>
        <w:spacing w:line="336" w:lineRule="auto"/>
        <w:ind w:firstLine="480" w:firstLineChars="200"/>
        <w:rPr>
          <w:color w:val="auto"/>
          <w:sz w:val="24"/>
        </w:rPr>
      </w:pPr>
      <w:r>
        <w:rPr>
          <w:rFonts w:hint="eastAsia"/>
          <w:color w:val="auto"/>
          <w:sz w:val="24"/>
        </w:rPr>
        <w:t>本项目</w:t>
      </w:r>
      <w:r>
        <w:rPr>
          <w:rFonts w:hint="eastAsia"/>
          <w:color w:val="auto"/>
          <w:sz w:val="24"/>
          <w:lang w:val="en-US" w:eastAsia="zh-CN"/>
        </w:rPr>
        <w:t>建筑</w:t>
      </w:r>
      <w:r>
        <w:rPr>
          <w:rFonts w:hint="eastAsia"/>
          <w:color w:val="auto"/>
          <w:sz w:val="24"/>
        </w:rPr>
        <w:t>墙体、顶面均采用</w:t>
      </w:r>
      <w:r>
        <w:rPr>
          <w:rFonts w:hint="eastAsia"/>
          <w:color w:val="auto"/>
          <w:sz w:val="24"/>
          <w:lang w:val="en-US" w:eastAsia="zh-CN"/>
        </w:rPr>
        <w:t>钢混结构</w:t>
      </w:r>
      <w:r>
        <w:rPr>
          <w:rFonts w:hint="eastAsia"/>
          <w:color w:val="auto"/>
          <w:sz w:val="24"/>
        </w:rPr>
        <w:t>，地面为混凝土硬化（未刷漆），参考《环境工程手册 环境噪声控制卷》（2000年）中表4-1常用建筑材料类的吸声系数，混凝土地面吸声系数取值0</w:t>
      </w:r>
      <w:r>
        <w:rPr>
          <w:color w:val="auto"/>
          <w:sz w:val="24"/>
        </w:rPr>
        <w:t>.0</w:t>
      </w:r>
      <w:r>
        <w:rPr>
          <w:rFonts w:hint="eastAsia"/>
          <w:color w:val="auto"/>
          <w:sz w:val="24"/>
          <w:lang w:val="en-US" w:eastAsia="zh-CN"/>
        </w:rPr>
        <w:t>7</w:t>
      </w:r>
      <w:r>
        <w:rPr>
          <w:rFonts w:hint="eastAsia"/>
          <w:color w:val="auto"/>
          <w:sz w:val="24"/>
        </w:rPr>
        <w:t>；混凝土</w:t>
      </w:r>
      <w:r>
        <w:rPr>
          <w:rFonts w:hint="eastAsia"/>
          <w:color w:val="auto"/>
          <w:sz w:val="24"/>
          <w:lang w:val="en-US" w:eastAsia="zh-CN"/>
        </w:rPr>
        <w:t>墙面</w:t>
      </w:r>
      <w:r>
        <w:rPr>
          <w:rFonts w:hint="eastAsia"/>
          <w:color w:val="auto"/>
          <w:sz w:val="24"/>
        </w:rPr>
        <w:t>吸声系数取值</w:t>
      </w:r>
      <w:r>
        <w:rPr>
          <w:rFonts w:hint="eastAsia"/>
          <w:color w:val="auto"/>
          <w:sz w:val="24"/>
          <w:lang w:val="en-US" w:eastAsia="zh-CN"/>
        </w:rPr>
        <w:t>0.07</w:t>
      </w:r>
      <w:r>
        <w:rPr>
          <w:rFonts w:hint="eastAsia"/>
          <w:color w:val="auto"/>
          <w:sz w:val="24"/>
        </w:rPr>
        <w:t>；则根据本项目</w:t>
      </w:r>
      <w:r>
        <w:rPr>
          <w:rFonts w:hint="eastAsia"/>
          <w:color w:val="auto"/>
          <w:sz w:val="24"/>
          <w:lang w:val="en-US" w:eastAsia="zh-CN"/>
        </w:rPr>
        <w:t>建筑物</w:t>
      </w:r>
      <w:r>
        <w:rPr>
          <w:rFonts w:hint="eastAsia"/>
          <w:color w:val="auto"/>
          <w:sz w:val="24"/>
        </w:rPr>
        <w:t>各部分表面积，计算其</w:t>
      </w:r>
      <w:r>
        <w:rPr>
          <w:rFonts w:hint="eastAsia"/>
          <w:color w:val="auto"/>
          <w:sz w:val="24"/>
          <w:lang w:val="en-US" w:eastAsia="zh-CN"/>
        </w:rPr>
        <w:t>建筑物</w:t>
      </w:r>
      <w:r>
        <w:rPr>
          <w:rFonts w:hint="eastAsia"/>
          <w:color w:val="auto"/>
          <w:sz w:val="24"/>
        </w:rPr>
        <w:t>平均吸声系数以及房间常数如下表所示。</w:t>
      </w:r>
    </w:p>
    <w:p w14:paraId="1F79D692">
      <w:pPr>
        <w:pStyle w:val="19"/>
        <w:numPr>
          <w:ilvl w:val="0"/>
          <w:numId w:val="31"/>
        </w:numPr>
        <w:bidi w:val="0"/>
        <w:ind w:left="1440" w:leftChars="0" w:firstLine="0" w:firstLineChars="0"/>
        <w:rPr>
          <w:b/>
          <w:bCs/>
          <w:color w:val="auto"/>
          <w:szCs w:val="21"/>
        </w:rPr>
      </w:pPr>
      <w:r>
        <w:rPr>
          <w:rFonts w:hint="eastAsia"/>
          <w:b/>
          <w:bCs/>
          <w:color w:val="auto"/>
          <w:szCs w:val="21"/>
        </w:rPr>
        <w:t>本项目</w:t>
      </w:r>
      <w:r>
        <w:rPr>
          <w:rFonts w:hint="eastAsia"/>
          <w:b/>
          <w:bCs/>
          <w:color w:val="auto"/>
          <w:szCs w:val="21"/>
          <w:lang w:val="en-US" w:eastAsia="zh-CN"/>
        </w:rPr>
        <w:t>建筑物</w:t>
      </w:r>
      <w:r>
        <w:rPr>
          <w:rFonts w:hint="eastAsia"/>
          <w:b/>
          <w:bCs/>
          <w:color w:val="auto"/>
          <w:szCs w:val="21"/>
        </w:rPr>
        <w:t>房间常数以及平均吸声系数计算结果</w:t>
      </w:r>
    </w:p>
    <w:tbl>
      <w:tblPr>
        <w:tblStyle w:val="52"/>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508"/>
        <w:gridCol w:w="908"/>
        <w:gridCol w:w="836"/>
        <w:gridCol w:w="1027"/>
        <w:gridCol w:w="1258"/>
        <w:gridCol w:w="1892"/>
        <w:gridCol w:w="1516"/>
      </w:tblGrid>
      <w:tr w14:paraId="0A9079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tcBorders>
              <w:right w:val="single" w:color="auto" w:sz="4" w:space="0"/>
              <w:tl2br w:val="nil"/>
              <w:tr2bl w:val="nil"/>
            </w:tcBorders>
            <w:noWrap/>
            <w:vAlign w:val="center"/>
          </w:tcPr>
          <w:p w14:paraId="234FCFB1">
            <w:pPr>
              <w:pStyle w:val="16"/>
              <w:bidi w:val="0"/>
              <w:rPr>
                <w:b/>
                <w:bCs/>
                <w:color w:val="auto"/>
              </w:rPr>
            </w:pPr>
            <w:r>
              <w:rPr>
                <w:rFonts w:hint="eastAsia"/>
                <w:b/>
                <w:bCs/>
                <w:color w:val="auto"/>
              </w:rPr>
              <w:t>建筑物</w:t>
            </w:r>
          </w:p>
        </w:tc>
        <w:tc>
          <w:tcPr>
            <w:tcW w:w="974" w:type="pct"/>
            <w:gridSpan w:val="2"/>
            <w:tcBorders>
              <w:left w:val="single" w:color="auto" w:sz="4" w:space="0"/>
              <w:tl2br w:val="nil"/>
              <w:tr2bl w:val="nil"/>
            </w:tcBorders>
            <w:noWrap w:val="0"/>
            <w:vAlign w:val="center"/>
          </w:tcPr>
          <w:p w14:paraId="5FFFD78E">
            <w:pPr>
              <w:pStyle w:val="16"/>
              <w:bidi w:val="0"/>
              <w:rPr>
                <w:b/>
                <w:bCs/>
                <w:color w:val="auto"/>
              </w:rPr>
            </w:pPr>
            <w:r>
              <w:rPr>
                <w:b/>
                <w:bCs/>
                <w:color w:val="auto"/>
              </w:rPr>
              <w:t>a吸声系数</w:t>
            </w:r>
          </w:p>
        </w:tc>
        <w:tc>
          <w:tcPr>
            <w:tcW w:w="1277" w:type="pct"/>
            <w:gridSpan w:val="2"/>
            <w:tcBorders>
              <w:tl2br w:val="nil"/>
              <w:tr2bl w:val="nil"/>
            </w:tcBorders>
            <w:noWrap/>
            <w:vAlign w:val="center"/>
          </w:tcPr>
          <w:p w14:paraId="68D6F9AF">
            <w:pPr>
              <w:pStyle w:val="16"/>
              <w:bidi w:val="0"/>
              <w:rPr>
                <w:b/>
                <w:bCs/>
                <w:color w:val="auto"/>
              </w:rPr>
            </w:pPr>
            <w:r>
              <w:rPr>
                <w:b/>
                <w:bCs/>
                <w:color w:val="auto"/>
              </w:rPr>
              <w:t>S房间表面积</w:t>
            </w:r>
          </w:p>
        </w:tc>
        <w:tc>
          <w:tcPr>
            <w:tcW w:w="1057" w:type="pct"/>
            <w:tcBorders>
              <w:tl2br w:val="nil"/>
              <w:tr2bl w:val="nil"/>
            </w:tcBorders>
            <w:noWrap/>
            <w:vAlign w:val="center"/>
          </w:tcPr>
          <w:p w14:paraId="035BF6EC">
            <w:pPr>
              <w:pStyle w:val="16"/>
              <w:bidi w:val="0"/>
              <w:rPr>
                <w:b/>
                <w:bCs/>
                <w:color w:val="auto"/>
              </w:rPr>
            </w:pPr>
            <w:r>
              <w:rPr>
                <w:b/>
                <w:bCs/>
                <w:color w:val="auto"/>
              </w:rPr>
              <w:t>α</w:t>
            </w:r>
            <w:r>
              <w:rPr>
                <w:rFonts w:hint="eastAsia"/>
                <w:b/>
                <w:bCs/>
                <w:color w:val="auto"/>
              </w:rPr>
              <w:t>平均吸声系数</w:t>
            </w:r>
          </w:p>
        </w:tc>
        <w:tc>
          <w:tcPr>
            <w:tcW w:w="847" w:type="pct"/>
            <w:tcBorders>
              <w:tl2br w:val="nil"/>
              <w:tr2bl w:val="nil"/>
            </w:tcBorders>
            <w:noWrap/>
            <w:vAlign w:val="center"/>
          </w:tcPr>
          <w:p w14:paraId="36BB0341">
            <w:pPr>
              <w:pStyle w:val="16"/>
              <w:bidi w:val="0"/>
              <w:rPr>
                <w:b/>
                <w:bCs/>
                <w:color w:val="auto"/>
              </w:rPr>
            </w:pPr>
            <w:r>
              <w:rPr>
                <w:rFonts w:hint="eastAsia"/>
                <w:b/>
                <w:bCs/>
                <w:color w:val="auto"/>
              </w:rPr>
              <w:t>R</w:t>
            </w:r>
            <w:r>
              <w:rPr>
                <w:b/>
                <w:bCs/>
                <w:color w:val="auto"/>
              </w:rPr>
              <w:t>房间常数</w:t>
            </w:r>
          </w:p>
        </w:tc>
      </w:tr>
      <w:tr w14:paraId="75C9E3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restart"/>
            <w:tcBorders>
              <w:right w:val="single" w:color="auto" w:sz="4" w:space="0"/>
              <w:tl2br w:val="nil"/>
              <w:tr2bl w:val="nil"/>
            </w:tcBorders>
            <w:noWrap/>
            <w:vAlign w:val="center"/>
          </w:tcPr>
          <w:p w14:paraId="0FD906FA">
            <w:pPr>
              <w:pStyle w:val="16"/>
              <w:bidi w:val="0"/>
              <w:rPr>
                <w:rFonts w:hint="default"/>
                <w:color w:val="auto"/>
                <w:lang w:val="en-US"/>
              </w:rPr>
            </w:pPr>
            <w:r>
              <w:rPr>
                <w:rFonts w:hint="eastAsia"/>
                <w:color w:val="auto"/>
                <w:lang w:val="en-US" w:eastAsia="zh-CN"/>
              </w:rPr>
              <w:t>污泥脱水车间</w:t>
            </w:r>
          </w:p>
        </w:tc>
        <w:tc>
          <w:tcPr>
            <w:tcW w:w="507" w:type="pct"/>
            <w:tcBorders>
              <w:left w:val="single" w:color="auto" w:sz="4" w:space="0"/>
              <w:tl2br w:val="nil"/>
              <w:tr2bl w:val="nil"/>
            </w:tcBorders>
            <w:noWrap w:val="0"/>
            <w:vAlign w:val="center"/>
          </w:tcPr>
          <w:p w14:paraId="298ECCA2">
            <w:pPr>
              <w:pStyle w:val="16"/>
              <w:bidi w:val="0"/>
              <w:rPr>
                <w:color w:val="auto"/>
              </w:rPr>
            </w:pPr>
            <w:r>
              <w:rPr>
                <w:color w:val="auto"/>
              </w:rPr>
              <w:t>顶面</w:t>
            </w:r>
          </w:p>
        </w:tc>
        <w:tc>
          <w:tcPr>
            <w:tcW w:w="467" w:type="pct"/>
            <w:tcBorders>
              <w:tl2br w:val="nil"/>
              <w:tr2bl w:val="nil"/>
            </w:tcBorders>
            <w:noWrap/>
            <w:vAlign w:val="center"/>
          </w:tcPr>
          <w:p w14:paraId="04E97E82">
            <w:pPr>
              <w:pStyle w:val="16"/>
              <w:bidi w:val="0"/>
              <w:rPr>
                <w:rFonts w:hint="eastAsia" w:eastAsia="宋体"/>
                <w:color w:val="auto"/>
                <w:lang w:eastAsia="zh-CN"/>
              </w:rPr>
            </w:pPr>
            <w:r>
              <w:rPr>
                <w:color w:val="auto"/>
              </w:rPr>
              <w:t>0.0</w:t>
            </w:r>
            <w:r>
              <w:rPr>
                <w:rFonts w:hint="eastAsia"/>
                <w:color w:val="auto"/>
                <w:lang w:val="en-US" w:eastAsia="zh-CN"/>
              </w:rPr>
              <w:t>7</w:t>
            </w:r>
          </w:p>
        </w:tc>
        <w:tc>
          <w:tcPr>
            <w:tcW w:w="574" w:type="pct"/>
            <w:tcBorders>
              <w:tl2br w:val="nil"/>
              <w:tr2bl w:val="nil"/>
            </w:tcBorders>
            <w:noWrap/>
            <w:vAlign w:val="center"/>
          </w:tcPr>
          <w:p w14:paraId="4270DEA0">
            <w:pPr>
              <w:pStyle w:val="16"/>
              <w:bidi w:val="0"/>
              <w:rPr>
                <w:color w:val="auto"/>
              </w:rPr>
            </w:pPr>
            <w:r>
              <w:rPr>
                <w:color w:val="auto"/>
              </w:rPr>
              <w:t>顶棚</w:t>
            </w:r>
          </w:p>
        </w:tc>
        <w:tc>
          <w:tcPr>
            <w:tcW w:w="703" w:type="pct"/>
            <w:tcBorders>
              <w:tl2br w:val="nil"/>
              <w:tr2bl w:val="nil"/>
            </w:tcBorders>
            <w:noWrap/>
            <w:vAlign w:val="center"/>
          </w:tcPr>
          <w:p w14:paraId="13D3D6C5">
            <w:pPr>
              <w:pStyle w:val="16"/>
              <w:bidi w:val="0"/>
              <w:rPr>
                <w:rFonts w:hint="default"/>
                <w:color w:val="auto"/>
                <w:lang w:val="en-US" w:eastAsia="zh-CN"/>
              </w:rPr>
            </w:pPr>
            <w:r>
              <w:rPr>
                <w:rFonts w:hint="default"/>
                <w:color w:val="auto"/>
                <w:lang w:val="en-US" w:eastAsia="zh-CN"/>
              </w:rPr>
              <w:t>545.28</w:t>
            </w:r>
          </w:p>
        </w:tc>
        <w:tc>
          <w:tcPr>
            <w:tcW w:w="1057" w:type="pct"/>
            <w:vMerge w:val="restart"/>
            <w:tcBorders>
              <w:tl2br w:val="nil"/>
              <w:tr2bl w:val="nil"/>
            </w:tcBorders>
            <w:noWrap/>
            <w:vAlign w:val="center"/>
          </w:tcPr>
          <w:p w14:paraId="4F5A0587">
            <w:pPr>
              <w:pStyle w:val="16"/>
              <w:bidi w:val="0"/>
              <w:rPr>
                <w:rFonts w:hint="default"/>
                <w:color w:val="auto"/>
                <w:lang w:val="en-US" w:eastAsia="zh-CN"/>
              </w:rPr>
            </w:pPr>
            <w:r>
              <w:rPr>
                <w:rFonts w:hint="default"/>
                <w:color w:val="auto"/>
                <w:lang w:val="en-US" w:eastAsia="zh-CN"/>
              </w:rPr>
              <w:t>0.035</w:t>
            </w:r>
          </w:p>
        </w:tc>
        <w:tc>
          <w:tcPr>
            <w:tcW w:w="847" w:type="pct"/>
            <w:vMerge w:val="restart"/>
            <w:tcBorders>
              <w:tl2br w:val="nil"/>
              <w:tr2bl w:val="nil"/>
            </w:tcBorders>
            <w:noWrap/>
            <w:vAlign w:val="center"/>
          </w:tcPr>
          <w:p w14:paraId="60BBBA11">
            <w:pPr>
              <w:pStyle w:val="16"/>
              <w:bidi w:val="0"/>
              <w:rPr>
                <w:rFonts w:hint="default"/>
                <w:color w:val="auto"/>
                <w:lang w:val="en-US" w:eastAsia="zh-CN"/>
              </w:rPr>
            </w:pPr>
            <w:r>
              <w:rPr>
                <w:rFonts w:hint="default"/>
                <w:color w:val="auto"/>
                <w:lang w:val="en-US" w:eastAsia="zh-CN"/>
              </w:rPr>
              <w:t>93.76</w:t>
            </w:r>
          </w:p>
        </w:tc>
      </w:tr>
      <w:tr w14:paraId="47CA0B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continue"/>
            <w:tcBorders>
              <w:right w:val="single" w:color="auto" w:sz="4" w:space="0"/>
              <w:tl2br w:val="nil"/>
              <w:tr2bl w:val="nil"/>
            </w:tcBorders>
            <w:noWrap/>
            <w:vAlign w:val="center"/>
          </w:tcPr>
          <w:p w14:paraId="783F8EE1">
            <w:pPr>
              <w:pStyle w:val="16"/>
              <w:bidi w:val="0"/>
              <w:rPr>
                <w:color w:val="auto"/>
              </w:rPr>
            </w:pPr>
          </w:p>
        </w:tc>
        <w:tc>
          <w:tcPr>
            <w:tcW w:w="507" w:type="pct"/>
            <w:tcBorders>
              <w:left w:val="single" w:color="auto" w:sz="4" w:space="0"/>
              <w:tl2br w:val="nil"/>
              <w:tr2bl w:val="nil"/>
            </w:tcBorders>
            <w:noWrap w:val="0"/>
            <w:vAlign w:val="center"/>
          </w:tcPr>
          <w:p w14:paraId="2B10A347">
            <w:pPr>
              <w:pStyle w:val="16"/>
              <w:bidi w:val="0"/>
              <w:rPr>
                <w:color w:val="auto"/>
              </w:rPr>
            </w:pPr>
            <w:r>
              <w:rPr>
                <w:color w:val="auto"/>
              </w:rPr>
              <w:t>墙面</w:t>
            </w:r>
          </w:p>
        </w:tc>
        <w:tc>
          <w:tcPr>
            <w:tcW w:w="467" w:type="pct"/>
            <w:tcBorders>
              <w:tl2br w:val="nil"/>
              <w:tr2bl w:val="nil"/>
            </w:tcBorders>
            <w:noWrap/>
            <w:vAlign w:val="center"/>
          </w:tcPr>
          <w:p w14:paraId="03E4494E">
            <w:pPr>
              <w:pStyle w:val="16"/>
              <w:bidi w:val="0"/>
              <w:rPr>
                <w:rFonts w:hint="eastAsia" w:eastAsia="宋体"/>
                <w:color w:val="auto"/>
                <w:lang w:eastAsia="zh-CN"/>
              </w:rPr>
            </w:pPr>
            <w:r>
              <w:rPr>
                <w:color w:val="auto"/>
              </w:rPr>
              <w:t>0.0</w:t>
            </w:r>
            <w:r>
              <w:rPr>
                <w:rFonts w:hint="eastAsia"/>
                <w:color w:val="auto"/>
                <w:lang w:val="en-US" w:eastAsia="zh-CN"/>
              </w:rPr>
              <w:t>7</w:t>
            </w:r>
          </w:p>
        </w:tc>
        <w:tc>
          <w:tcPr>
            <w:tcW w:w="574" w:type="pct"/>
            <w:tcBorders>
              <w:tl2br w:val="nil"/>
              <w:tr2bl w:val="nil"/>
            </w:tcBorders>
            <w:noWrap/>
            <w:vAlign w:val="center"/>
          </w:tcPr>
          <w:p w14:paraId="39996A07">
            <w:pPr>
              <w:pStyle w:val="16"/>
              <w:bidi w:val="0"/>
              <w:rPr>
                <w:color w:val="auto"/>
              </w:rPr>
            </w:pPr>
            <w:r>
              <w:rPr>
                <w:color w:val="auto"/>
              </w:rPr>
              <w:t>墙面</w:t>
            </w:r>
          </w:p>
        </w:tc>
        <w:tc>
          <w:tcPr>
            <w:tcW w:w="703" w:type="pct"/>
            <w:tcBorders>
              <w:tl2br w:val="nil"/>
              <w:tr2bl w:val="nil"/>
            </w:tcBorders>
            <w:noWrap/>
            <w:vAlign w:val="center"/>
          </w:tcPr>
          <w:p w14:paraId="5F4038DC">
            <w:pPr>
              <w:pStyle w:val="16"/>
              <w:bidi w:val="0"/>
              <w:rPr>
                <w:rFonts w:hint="default"/>
                <w:color w:val="auto"/>
                <w:lang w:val="en-US" w:eastAsia="zh-CN"/>
              </w:rPr>
            </w:pPr>
            <w:r>
              <w:rPr>
                <w:rFonts w:hint="default"/>
                <w:color w:val="auto"/>
                <w:lang w:val="en-US" w:eastAsia="zh-CN"/>
              </w:rPr>
              <w:t>1494.64</w:t>
            </w:r>
          </w:p>
        </w:tc>
        <w:tc>
          <w:tcPr>
            <w:tcW w:w="1057" w:type="pct"/>
            <w:vMerge w:val="continue"/>
            <w:tcBorders>
              <w:tl2br w:val="nil"/>
              <w:tr2bl w:val="nil"/>
            </w:tcBorders>
            <w:noWrap/>
            <w:vAlign w:val="center"/>
          </w:tcPr>
          <w:p w14:paraId="034F7061">
            <w:pPr>
              <w:pStyle w:val="16"/>
              <w:bidi w:val="0"/>
              <w:rPr>
                <w:color w:val="auto"/>
              </w:rPr>
            </w:pPr>
          </w:p>
        </w:tc>
        <w:tc>
          <w:tcPr>
            <w:tcW w:w="847" w:type="pct"/>
            <w:vMerge w:val="continue"/>
            <w:tcBorders>
              <w:tl2br w:val="nil"/>
              <w:tr2bl w:val="nil"/>
            </w:tcBorders>
            <w:noWrap/>
            <w:vAlign w:val="center"/>
          </w:tcPr>
          <w:p w14:paraId="37A00BDE">
            <w:pPr>
              <w:pStyle w:val="16"/>
              <w:bidi w:val="0"/>
              <w:rPr>
                <w:color w:val="auto"/>
              </w:rPr>
            </w:pPr>
          </w:p>
        </w:tc>
      </w:tr>
      <w:tr w14:paraId="16FB4D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continue"/>
            <w:tcBorders>
              <w:right w:val="single" w:color="auto" w:sz="4" w:space="0"/>
              <w:tl2br w:val="nil"/>
              <w:tr2bl w:val="nil"/>
            </w:tcBorders>
            <w:noWrap/>
            <w:vAlign w:val="center"/>
          </w:tcPr>
          <w:p w14:paraId="5B6A475E">
            <w:pPr>
              <w:pStyle w:val="16"/>
              <w:bidi w:val="0"/>
              <w:rPr>
                <w:color w:val="auto"/>
              </w:rPr>
            </w:pPr>
          </w:p>
        </w:tc>
        <w:tc>
          <w:tcPr>
            <w:tcW w:w="507" w:type="pct"/>
            <w:tcBorders>
              <w:left w:val="single" w:color="auto" w:sz="4" w:space="0"/>
              <w:tl2br w:val="nil"/>
              <w:tr2bl w:val="nil"/>
            </w:tcBorders>
            <w:noWrap w:val="0"/>
            <w:vAlign w:val="center"/>
          </w:tcPr>
          <w:p w14:paraId="0E72811E">
            <w:pPr>
              <w:pStyle w:val="16"/>
              <w:bidi w:val="0"/>
              <w:rPr>
                <w:color w:val="auto"/>
              </w:rPr>
            </w:pPr>
            <w:r>
              <w:rPr>
                <w:color w:val="auto"/>
              </w:rPr>
              <w:t>地面</w:t>
            </w:r>
          </w:p>
        </w:tc>
        <w:tc>
          <w:tcPr>
            <w:tcW w:w="467" w:type="pct"/>
            <w:tcBorders>
              <w:tl2br w:val="nil"/>
              <w:tr2bl w:val="nil"/>
            </w:tcBorders>
            <w:noWrap/>
            <w:vAlign w:val="center"/>
          </w:tcPr>
          <w:p w14:paraId="2CFC901A">
            <w:pPr>
              <w:pStyle w:val="16"/>
              <w:bidi w:val="0"/>
              <w:rPr>
                <w:rFonts w:hint="eastAsia"/>
                <w:color w:val="auto"/>
                <w:lang w:val="en-US" w:eastAsia="zh-CN"/>
              </w:rPr>
            </w:pPr>
            <w:r>
              <w:rPr>
                <w:color w:val="auto"/>
              </w:rPr>
              <w:t>0.0</w:t>
            </w:r>
            <w:r>
              <w:rPr>
                <w:rFonts w:hint="eastAsia"/>
                <w:color w:val="auto"/>
                <w:lang w:val="en-US" w:eastAsia="zh-CN"/>
              </w:rPr>
              <w:t>7</w:t>
            </w:r>
          </w:p>
        </w:tc>
        <w:tc>
          <w:tcPr>
            <w:tcW w:w="574" w:type="pct"/>
            <w:tcBorders>
              <w:tl2br w:val="nil"/>
              <w:tr2bl w:val="nil"/>
            </w:tcBorders>
            <w:noWrap/>
            <w:vAlign w:val="center"/>
          </w:tcPr>
          <w:p w14:paraId="2E269154">
            <w:pPr>
              <w:pStyle w:val="16"/>
              <w:bidi w:val="0"/>
              <w:rPr>
                <w:color w:val="auto"/>
              </w:rPr>
            </w:pPr>
            <w:r>
              <w:rPr>
                <w:color w:val="auto"/>
              </w:rPr>
              <w:t>地面</w:t>
            </w:r>
          </w:p>
        </w:tc>
        <w:tc>
          <w:tcPr>
            <w:tcW w:w="703" w:type="pct"/>
            <w:tcBorders>
              <w:tl2br w:val="nil"/>
              <w:tr2bl w:val="nil"/>
            </w:tcBorders>
            <w:noWrap/>
            <w:vAlign w:val="center"/>
          </w:tcPr>
          <w:p w14:paraId="606C80BF">
            <w:pPr>
              <w:pStyle w:val="16"/>
              <w:bidi w:val="0"/>
              <w:rPr>
                <w:rFonts w:hint="default"/>
                <w:color w:val="auto"/>
                <w:lang w:val="en-US" w:eastAsia="zh-CN"/>
              </w:rPr>
            </w:pPr>
            <w:r>
              <w:rPr>
                <w:rFonts w:hint="default"/>
                <w:color w:val="auto"/>
                <w:lang w:val="en-US" w:eastAsia="zh-CN"/>
              </w:rPr>
              <w:t>545.28</w:t>
            </w:r>
          </w:p>
        </w:tc>
        <w:tc>
          <w:tcPr>
            <w:tcW w:w="1057" w:type="pct"/>
            <w:vMerge w:val="continue"/>
            <w:tcBorders>
              <w:tl2br w:val="nil"/>
              <w:tr2bl w:val="nil"/>
            </w:tcBorders>
            <w:noWrap/>
            <w:vAlign w:val="center"/>
          </w:tcPr>
          <w:p w14:paraId="543D570C">
            <w:pPr>
              <w:pStyle w:val="16"/>
              <w:bidi w:val="0"/>
              <w:rPr>
                <w:color w:val="auto"/>
              </w:rPr>
            </w:pPr>
          </w:p>
        </w:tc>
        <w:tc>
          <w:tcPr>
            <w:tcW w:w="847" w:type="pct"/>
            <w:vMerge w:val="continue"/>
            <w:tcBorders>
              <w:tl2br w:val="nil"/>
              <w:tr2bl w:val="nil"/>
            </w:tcBorders>
            <w:noWrap/>
            <w:vAlign w:val="center"/>
          </w:tcPr>
          <w:p w14:paraId="2F65E10D">
            <w:pPr>
              <w:pStyle w:val="16"/>
              <w:bidi w:val="0"/>
              <w:rPr>
                <w:color w:val="auto"/>
              </w:rPr>
            </w:pPr>
          </w:p>
        </w:tc>
      </w:tr>
      <w:tr w14:paraId="332E06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restart"/>
            <w:tcBorders>
              <w:right w:val="single" w:color="auto" w:sz="4" w:space="0"/>
              <w:tl2br w:val="nil"/>
              <w:tr2bl w:val="nil"/>
            </w:tcBorders>
            <w:noWrap/>
            <w:vAlign w:val="center"/>
          </w:tcPr>
          <w:p w14:paraId="03AA7B2F">
            <w:pPr>
              <w:pStyle w:val="16"/>
              <w:bidi w:val="0"/>
              <w:rPr>
                <w:rFonts w:hint="default" w:eastAsia="宋体"/>
                <w:color w:val="auto"/>
                <w:lang w:val="en-US" w:eastAsia="zh-CN"/>
              </w:rPr>
            </w:pPr>
            <w:r>
              <w:rPr>
                <w:rFonts w:hint="eastAsia"/>
                <w:color w:val="auto"/>
                <w:lang w:val="en-US" w:eastAsia="zh-CN"/>
              </w:rPr>
              <w:t>泵房</w:t>
            </w:r>
          </w:p>
        </w:tc>
        <w:tc>
          <w:tcPr>
            <w:tcW w:w="507" w:type="pct"/>
            <w:tcBorders>
              <w:left w:val="single" w:color="auto" w:sz="4" w:space="0"/>
              <w:tl2br w:val="nil"/>
              <w:tr2bl w:val="nil"/>
            </w:tcBorders>
            <w:noWrap w:val="0"/>
            <w:vAlign w:val="center"/>
          </w:tcPr>
          <w:p w14:paraId="504A6B6C">
            <w:pPr>
              <w:pStyle w:val="16"/>
              <w:bidi w:val="0"/>
              <w:rPr>
                <w:color w:val="auto"/>
              </w:rPr>
            </w:pPr>
            <w:r>
              <w:rPr>
                <w:color w:val="auto"/>
              </w:rPr>
              <w:t>顶面</w:t>
            </w:r>
          </w:p>
        </w:tc>
        <w:tc>
          <w:tcPr>
            <w:tcW w:w="467" w:type="pct"/>
            <w:tcBorders>
              <w:tl2br w:val="nil"/>
              <w:tr2bl w:val="nil"/>
            </w:tcBorders>
            <w:noWrap/>
            <w:vAlign w:val="center"/>
          </w:tcPr>
          <w:p w14:paraId="6DBC7537">
            <w:pPr>
              <w:pStyle w:val="16"/>
              <w:bidi w:val="0"/>
              <w:rPr>
                <w:rFonts w:hint="eastAsia" w:eastAsia="宋体"/>
                <w:color w:val="auto"/>
                <w:lang w:eastAsia="zh-CN"/>
              </w:rPr>
            </w:pPr>
            <w:r>
              <w:rPr>
                <w:color w:val="auto"/>
              </w:rPr>
              <w:t>0.0</w:t>
            </w:r>
            <w:r>
              <w:rPr>
                <w:rFonts w:hint="eastAsia"/>
                <w:color w:val="auto"/>
                <w:lang w:val="en-US" w:eastAsia="zh-CN"/>
              </w:rPr>
              <w:t>7</w:t>
            </w:r>
          </w:p>
        </w:tc>
        <w:tc>
          <w:tcPr>
            <w:tcW w:w="574" w:type="pct"/>
            <w:tcBorders>
              <w:tl2br w:val="nil"/>
              <w:tr2bl w:val="nil"/>
            </w:tcBorders>
            <w:noWrap/>
            <w:vAlign w:val="center"/>
          </w:tcPr>
          <w:p w14:paraId="189E9F07">
            <w:pPr>
              <w:pStyle w:val="16"/>
              <w:bidi w:val="0"/>
              <w:rPr>
                <w:color w:val="auto"/>
              </w:rPr>
            </w:pPr>
            <w:r>
              <w:rPr>
                <w:color w:val="auto"/>
              </w:rPr>
              <w:t>顶棚</w:t>
            </w:r>
          </w:p>
        </w:tc>
        <w:tc>
          <w:tcPr>
            <w:tcW w:w="703" w:type="pct"/>
            <w:tcBorders>
              <w:tl2br w:val="nil"/>
              <w:tr2bl w:val="nil"/>
            </w:tcBorders>
            <w:noWrap/>
            <w:vAlign w:val="center"/>
          </w:tcPr>
          <w:p w14:paraId="2EAD6816">
            <w:pPr>
              <w:pStyle w:val="16"/>
              <w:bidi w:val="0"/>
              <w:rPr>
                <w:rFonts w:hint="eastAsia"/>
                <w:color w:val="auto"/>
                <w:lang w:val="en-US" w:eastAsia="zh-CN"/>
              </w:rPr>
            </w:pPr>
            <w:r>
              <w:rPr>
                <w:rFonts w:hint="default"/>
                <w:color w:val="auto"/>
                <w:lang w:val="en-US" w:eastAsia="zh-CN"/>
              </w:rPr>
              <w:t>150</w:t>
            </w:r>
          </w:p>
        </w:tc>
        <w:tc>
          <w:tcPr>
            <w:tcW w:w="1057" w:type="pct"/>
            <w:vMerge w:val="restart"/>
            <w:tcBorders>
              <w:tl2br w:val="nil"/>
              <w:tr2bl w:val="nil"/>
            </w:tcBorders>
            <w:noWrap/>
            <w:vAlign w:val="center"/>
          </w:tcPr>
          <w:p w14:paraId="54A392C6">
            <w:pPr>
              <w:pStyle w:val="16"/>
              <w:bidi w:val="0"/>
              <w:rPr>
                <w:rFonts w:hint="default"/>
                <w:color w:val="auto"/>
                <w:lang w:val="en-US" w:eastAsia="zh-CN"/>
              </w:rPr>
            </w:pPr>
            <w:r>
              <w:rPr>
                <w:rFonts w:hint="default"/>
                <w:color w:val="auto"/>
                <w:lang w:val="en-US" w:eastAsia="zh-CN"/>
              </w:rPr>
              <w:t>0.035</w:t>
            </w:r>
          </w:p>
        </w:tc>
        <w:tc>
          <w:tcPr>
            <w:tcW w:w="847" w:type="pct"/>
            <w:vMerge w:val="restart"/>
            <w:tcBorders>
              <w:tl2br w:val="nil"/>
              <w:tr2bl w:val="nil"/>
            </w:tcBorders>
            <w:noWrap/>
            <w:vAlign w:val="center"/>
          </w:tcPr>
          <w:p w14:paraId="18177BF0">
            <w:pPr>
              <w:pStyle w:val="16"/>
              <w:bidi w:val="0"/>
              <w:rPr>
                <w:color w:val="auto"/>
              </w:rPr>
            </w:pPr>
            <w:r>
              <w:rPr>
                <w:rFonts w:hint="default"/>
                <w:color w:val="auto"/>
                <w:lang w:val="en-US" w:eastAsia="zh-CN"/>
              </w:rPr>
              <w:t>16.32</w:t>
            </w:r>
          </w:p>
        </w:tc>
      </w:tr>
      <w:tr w14:paraId="617788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continue"/>
            <w:tcBorders>
              <w:right w:val="single" w:color="auto" w:sz="4" w:space="0"/>
              <w:tl2br w:val="nil"/>
              <w:tr2bl w:val="nil"/>
            </w:tcBorders>
            <w:noWrap/>
            <w:vAlign w:val="center"/>
          </w:tcPr>
          <w:p w14:paraId="408F3480">
            <w:pPr>
              <w:pStyle w:val="16"/>
              <w:bidi w:val="0"/>
              <w:rPr>
                <w:color w:val="auto"/>
              </w:rPr>
            </w:pPr>
          </w:p>
        </w:tc>
        <w:tc>
          <w:tcPr>
            <w:tcW w:w="507" w:type="pct"/>
            <w:tcBorders>
              <w:left w:val="single" w:color="auto" w:sz="4" w:space="0"/>
              <w:tl2br w:val="nil"/>
              <w:tr2bl w:val="nil"/>
            </w:tcBorders>
            <w:noWrap w:val="0"/>
            <w:vAlign w:val="center"/>
          </w:tcPr>
          <w:p w14:paraId="6CC84F57">
            <w:pPr>
              <w:pStyle w:val="16"/>
              <w:bidi w:val="0"/>
              <w:rPr>
                <w:color w:val="auto"/>
              </w:rPr>
            </w:pPr>
            <w:r>
              <w:rPr>
                <w:color w:val="auto"/>
              </w:rPr>
              <w:t>墙面</w:t>
            </w:r>
          </w:p>
        </w:tc>
        <w:tc>
          <w:tcPr>
            <w:tcW w:w="467" w:type="pct"/>
            <w:tcBorders>
              <w:tl2br w:val="nil"/>
              <w:tr2bl w:val="nil"/>
            </w:tcBorders>
            <w:noWrap/>
            <w:vAlign w:val="center"/>
          </w:tcPr>
          <w:p w14:paraId="2AB4F1A9">
            <w:pPr>
              <w:pStyle w:val="16"/>
              <w:bidi w:val="0"/>
              <w:rPr>
                <w:rFonts w:hint="eastAsia" w:eastAsia="宋体"/>
                <w:color w:val="auto"/>
                <w:lang w:eastAsia="zh-CN"/>
              </w:rPr>
            </w:pPr>
            <w:r>
              <w:rPr>
                <w:color w:val="auto"/>
              </w:rPr>
              <w:t>0.0</w:t>
            </w:r>
            <w:r>
              <w:rPr>
                <w:rFonts w:hint="eastAsia"/>
                <w:color w:val="auto"/>
                <w:lang w:val="en-US" w:eastAsia="zh-CN"/>
              </w:rPr>
              <w:t>7</w:t>
            </w:r>
          </w:p>
        </w:tc>
        <w:tc>
          <w:tcPr>
            <w:tcW w:w="574" w:type="pct"/>
            <w:tcBorders>
              <w:tl2br w:val="nil"/>
              <w:tr2bl w:val="nil"/>
            </w:tcBorders>
            <w:noWrap/>
            <w:vAlign w:val="center"/>
          </w:tcPr>
          <w:p w14:paraId="46F6D31A">
            <w:pPr>
              <w:pStyle w:val="16"/>
              <w:bidi w:val="0"/>
              <w:rPr>
                <w:color w:val="auto"/>
              </w:rPr>
            </w:pPr>
            <w:r>
              <w:rPr>
                <w:color w:val="auto"/>
              </w:rPr>
              <w:t>墙面</w:t>
            </w:r>
          </w:p>
        </w:tc>
        <w:tc>
          <w:tcPr>
            <w:tcW w:w="703" w:type="pct"/>
            <w:tcBorders>
              <w:tl2br w:val="nil"/>
              <w:tr2bl w:val="nil"/>
            </w:tcBorders>
            <w:noWrap/>
            <w:vAlign w:val="center"/>
          </w:tcPr>
          <w:p w14:paraId="09F7A485">
            <w:pPr>
              <w:pStyle w:val="16"/>
              <w:bidi w:val="0"/>
              <w:rPr>
                <w:rFonts w:hint="eastAsia"/>
                <w:color w:val="auto"/>
                <w:lang w:val="en-US" w:eastAsia="zh-CN"/>
              </w:rPr>
            </w:pPr>
            <w:r>
              <w:rPr>
                <w:rFonts w:hint="default"/>
                <w:color w:val="auto"/>
                <w:lang w:val="en-US" w:eastAsia="zh-CN"/>
              </w:rPr>
              <w:t>150</w:t>
            </w:r>
          </w:p>
        </w:tc>
        <w:tc>
          <w:tcPr>
            <w:tcW w:w="1057" w:type="pct"/>
            <w:vMerge w:val="continue"/>
            <w:tcBorders>
              <w:tl2br w:val="nil"/>
              <w:tr2bl w:val="nil"/>
            </w:tcBorders>
            <w:noWrap/>
            <w:vAlign w:val="center"/>
          </w:tcPr>
          <w:p w14:paraId="218E7313">
            <w:pPr>
              <w:pStyle w:val="16"/>
              <w:bidi w:val="0"/>
              <w:rPr>
                <w:color w:val="auto"/>
              </w:rPr>
            </w:pPr>
          </w:p>
        </w:tc>
        <w:tc>
          <w:tcPr>
            <w:tcW w:w="847" w:type="pct"/>
            <w:vMerge w:val="continue"/>
            <w:tcBorders>
              <w:tl2br w:val="nil"/>
              <w:tr2bl w:val="nil"/>
            </w:tcBorders>
            <w:noWrap/>
            <w:vAlign w:val="center"/>
          </w:tcPr>
          <w:p w14:paraId="3C49A51C">
            <w:pPr>
              <w:pStyle w:val="16"/>
              <w:bidi w:val="0"/>
              <w:rPr>
                <w:color w:val="auto"/>
              </w:rPr>
            </w:pPr>
          </w:p>
        </w:tc>
      </w:tr>
      <w:tr w14:paraId="15761F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continue"/>
            <w:tcBorders>
              <w:right w:val="single" w:color="auto" w:sz="4" w:space="0"/>
              <w:tl2br w:val="nil"/>
              <w:tr2bl w:val="nil"/>
            </w:tcBorders>
            <w:noWrap/>
            <w:vAlign w:val="center"/>
          </w:tcPr>
          <w:p w14:paraId="4E3CA75D">
            <w:pPr>
              <w:pStyle w:val="16"/>
              <w:bidi w:val="0"/>
              <w:rPr>
                <w:color w:val="auto"/>
              </w:rPr>
            </w:pPr>
          </w:p>
        </w:tc>
        <w:tc>
          <w:tcPr>
            <w:tcW w:w="507" w:type="pct"/>
            <w:tcBorders>
              <w:left w:val="single" w:color="auto" w:sz="4" w:space="0"/>
              <w:tl2br w:val="nil"/>
              <w:tr2bl w:val="nil"/>
            </w:tcBorders>
            <w:noWrap w:val="0"/>
            <w:vAlign w:val="center"/>
          </w:tcPr>
          <w:p w14:paraId="79AE9815">
            <w:pPr>
              <w:pStyle w:val="16"/>
              <w:bidi w:val="0"/>
              <w:rPr>
                <w:color w:val="auto"/>
              </w:rPr>
            </w:pPr>
            <w:r>
              <w:rPr>
                <w:color w:val="auto"/>
              </w:rPr>
              <w:t>地面</w:t>
            </w:r>
          </w:p>
        </w:tc>
        <w:tc>
          <w:tcPr>
            <w:tcW w:w="467" w:type="pct"/>
            <w:tcBorders>
              <w:tl2br w:val="nil"/>
              <w:tr2bl w:val="nil"/>
            </w:tcBorders>
            <w:noWrap/>
            <w:vAlign w:val="center"/>
          </w:tcPr>
          <w:p w14:paraId="5900C9C0">
            <w:pPr>
              <w:pStyle w:val="16"/>
              <w:bidi w:val="0"/>
              <w:rPr>
                <w:rFonts w:hint="eastAsia"/>
                <w:color w:val="auto"/>
                <w:lang w:eastAsia="zh-CN"/>
              </w:rPr>
            </w:pPr>
            <w:r>
              <w:rPr>
                <w:color w:val="auto"/>
              </w:rPr>
              <w:t>0.0</w:t>
            </w:r>
            <w:r>
              <w:rPr>
                <w:rFonts w:hint="eastAsia"/>
                <w:color w:val="auto"/>
                <w:lang w:val="en-US" w:eastAsia="zh-CN"/>
              </w:rPr>
              <w:t>7</w:t>
            </w:r>
          </w:p>
        </w:tc>
        <w:tc>
          <w:tcPr>
            <w:tcW w:w="574" w:type="pct"/>
            <w:tcBorders>
              <w:tl2br w:val="nil"/>
              <w:tr2bl w:val="nil"/>
            </w:tcBorders>
            <w:noWrap/>
            <w:vAlign w:val="center"/>
          </w:tcPr>
          <w:p w14:paraId="79DB92FE">
            <w:pPr>
              <w:pStyle w:val="16"/>
              <w:bidi w:val="0"/>
              <w:rPr>
                <w:color w:val="auto"/>
              </w:rPr>
            </w:pPr>
            <w:r>
              <w:rPr>
                <w:color w:val="auto"/>
              </w:rPr>
              <w:t>地面</w:t>
            </w:r>
          </w:p>
        </w:tc>
        <w:tc>
          <w:tcPr>
            <w:tcW w:w="703" w:type="pct"/>
            <w:tcBorders>
              <w:tl2br w:val="nil"/>
              <w:tr2bl w:val="nil"/>
            </w:tcBorders>
            <w:noWrap/>
            <w:vAlign w:val="center"/>
          </w:tcPr>
          <w:p w14:paraId="4BBA4C95">
            <w:pPr>
              <w:pStyle w:val="16"/>
              <w:bidi w:val="0"/>
              <w:rPr>
                <w:rFonts w:hint="eastAsia"/>
                <w:color w:val="auto"/>
                <w:lang w:val="en-US" w:eastAsia="zh-CN"/>
              </w:rPr>
            </w:pPr>
            <w:r>
              <w:rPr>
                <w:rFonts w:hint="default"/>
                <w:color w:val="auto"/>
                <w:lang w:val="en-US" w:eastAsia="zh-CN"/>
              </w:rPr>
              <w:t>150</w:t>
            </w:r>
          </w:p>
        </w:tc>
        <w:tc>
          <w:tcPr>
            <w:tcW w:w="1057" w:type="pct"/>
            <w:vMerge w:val="continue"/>
            <w:tcBorders>
              <w:tl2br w:val="nil"/>
              <w:tr2bl w:val="nil"/>
            </w:tcBorders>
            <w:noWrap/>
            <w:vAlign w:val="center"/>
          </w:tcPr>
          <w:p w14:paraId="683587F9">
            <w:pPr>
              <w:pStyle w:val="16"/>
              <w:bidi w:val="0"/>
              <w:rPr>
                <w:color w:val="auto"/>
              </w:rPr>
            </w:pPr>
          </w:p>
        </w:tc>
        <w:tc>
          <w:tcPr>
            <w:tcW w:w="847" w:type="pct"/>
            <w:vMerge w:val="continue"/>
            <w:tcBorders>
              <w:tl2br w:val="nil"/>
              <w:tr2bl w:val="nil"/>
            </w:tcBorders>
            <w:noWrap/>
            <w:vAlign w:val="center"/>
          </w:tcPr>
          <w:p w14:paraId="19688263">
            <w:pPr>
              <w:pStyle w:val="16"/>
              <w:bidi w:val="0"/>
              <w:rPr>
                <w:color w:val="auto"/>
              </w:rPr>
            </w:pPr>
          </w:p>
        </w:tc>
      </w:tr>
      <w:tr w14:paraId="07DE25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restart"/>
            <w:tcBorders>
              <w:right w:val="single" w:color="auto" w:sz="4" w:space="0"/>
              <w:tl2br w:val="nil"/>
              <w:tr2bl w:val="nil"/>
            </w:tcBorders>
            <w:noWrap/>
            <w:vAlign w:val="center"/>
          </w:tcPr>
          <w:p w14:paraId="4D0B72DB">
            <w:pPr>
              <w:pStyle w:val="16"/>
              <w:bidi w:val="0"/>
              <w:rPr>
                <w:color w:val="auto"/>
              </w:rPr>
            </w:pPr>
            <w:r>
              <w:rPr>
                <w:rFonts w:hint="eastAsia"/>
                <w:color w:val="auto"/>
                <w:lang w:val="en-US" w:eastAsia="zh-CN"/>
              </w:rPr>
              <w:t>风机房</w:t>
            </w:r>
          </w:p>
        </w:tc>
        <w:tc>
          <w:tcPr>
            <w:tcW w:w="507" w:type="pct"/>
            <w:tcBorders>
              <w:left w:val="single" w:color="auto" w:sz="4" w:space="0"/>
              <w:tl2br w:val="nil"/>
              <w:tr2bl w:val="nil"/>
            </w:tcBorders>
            <w:noWrap w:val="0"/>
            <w:vAlign w:val="center"/>
          </w:tcPr>
          <w:p w14:paraId="30045F0D">
            <w:pPr>
              <w:pStyle w:val="16"/>
              <w:bidi w:val="0"/>
              <w:rPr>
                <w:color w:val="auto"/>
              </w:rPr>
            </w:pPr>
            <w:r>
              <w:rPr>
                <w:color w:val="auto"/>
              </w:rPr>
              <w:t>顶面</w:t>
            </w:r>
          </w:p>
        </w:tc>
        <w:tc>
          <w:tcPr>
            <w:tcW w:w="467" w:type="pct"/>
            <w:tcBorders>
              <w:tl2br w:val="nil"/>
              <w:tr2bl w:val="nil"/>
            </w:tcBorders>
            <w:noWrap/>
            <w:vAlign w:val="center"/>
          </w:tcPr>
          <w:p w14:paraId="660DCB44">
            <w:pPr>
              <w:pStyle w:val="16"/>
              <w:bidi w:val="0"/>
              <w:rPr>
                <w:rFonts w:hint="eastAsia" w:eastAsia="宋体"/>
                <w:color w:val="auto"/>
                <w:lang w:eastAsia="zh-CN"/>
              </w:rPr>
            </w:pPr>
            <w:r>
              <w:rPr>
                <w:color w:val="auto"/>
              </w:rPr>
              <w:t>0.0</w:t>
            </w:r>
            <w:r>
              <w:rPr>
                <w:rFonts w:hint="eastAsia"/>
                <w:color w:val="auto"/>
                <w:lang w:val="en-US" w:eastAsia="zh-CN"/>
              </w:rPr>
              <w:t>7</w:t>
            </w:r>
          </w:p>
        </w:tc>
        <w:tc>
          <w:tcPr>
            <w:tcW w:w="574" w:type="pct"/>
            <w:tcBorders>
              <w:tl2br w:val="nil"/>
              <w:tr2bl w:val="nil"/>
            </w:tcBorders>
            <w:noWrap/>
            <w:vAlign w:val="center"/>
          </w:tcPr>
          <w:p w14:paraId="53B923E4">
            <w:pPr>
              <w:pStyle w:val="16"/>
              <w:bidi w:val="0"/>
              <w:rPr>
                <w:color w:val="auto"/>
              </w:rPr>
            </w:pPr>
            <w:r>
              <w:rPr>
                <w:color w:val="auto"/>
              </w:rPr>
              <w:t>顶棚</w:t>
            </w:r>
          </w:p>
        </w:tc>
        <w:tc>
          <w:tcPr>
            <w:tcW w:w="703" w:type="pct"/>
            <w:tcBorders>
              <w:tl2br w:val="nil"/>
              <w:tr2bl w:val="nil"/>
            </w:tcBorders>
            <w:noWrap/>
            <w:vAlign w:val="center"/>
          </w:tcPr>
          <w:p w14:paraId="7AF79FD1">
            <w:pPr>
              <w:pStyle w:val="16"/>
              <w:bidi w:val="0"/>
              <w:rPr>
                <w:rFonts w:hint="eastAsia"/>
                <w:color w:val="auto"/>
                <w:lang w:val="en-US" w:eastAsia="zh-CN"/>
              </w:rPr>
            </w:pPr>
            <w:r>
              <w:rPr>
                <w:rFonts w:hint="default"/>
                <w:color w:val="auto"/>
                <w:lang w:val="en-US" w:eastAsia="zh-CN"/>
              </w:rPr>
              <w:t>275.26</w:t>
            </w:r>
          </w:p>
        </w:tc>
        <w:tc>
          <w:tcPr>
            <w:tcW w:w="1057" w:type="pct"/>
            <w:vMerge w:val="restart"/>
            <w:tcBorders>
              <w:tl2br w:val="nil"/>
              <w:tr2bl w:val="nil"/>
            </w:tcBorders>
            <w:noWrap/>
            <w:vAlign w:val="center"/>
          </w:tcPr>
          <w:p w14:paraId="358A7E20">
            <w:pPr>
              <w:pStyle w:val="16"/>
              <w:bidi w:val="0"/>
              <w:rPr>
                <w:rFonts w:hint="default"/>
                <w:color w:val="auto"/>
                <w:lang w:val="en-US" w:eastAsia="zh-CN"/>
              </w:rPr>
            </w:pPr>
            <w:r>
              <w:rPr>
                <w:rFonts w:hint="default"/>
                <w:color w:val="auto"/>
                <w:lang w:val="en-US" w:eastAsia="zh-CN"/>
              </w:rPr>
              <w:t>0.035</w:t>
            </w:r>
          </w:p>
        </w:tc>
        <w:tc>
          <w:tcPr>
            <w:tcW w:w="847" w:type="pct"/>
            <w:vMerge w:val="restart"/>
            <w:tcBorders>
              <w:tl2br w:val="nil"/>
              <w:tr2bl w:val="nil"/>
            </w:tcBorders>
            <w:noWrap/>
            <w:vAlign w:val="center"/>
          </w:tcPr>
          <w:p w14:paraId="5FF7AF19">
            <w:pPr>
              <w:pStyle w:val="16"/>
              <w:bidi w:val="0"/>
              <w:rPr>
                <w:color w:val="auto"/>
              </w:rPr>
            </w:pPr>
            <w:r>
              <w:rPr>
                <w:rFonts w:hint="default"/>
                <w:color w:val="auto"/>
                <w:lang w:val="en-US" w:eastAsia="zh-CN"/>
              </w:rPr>
              <w:t>38.84</w:t>
            </w:r>
          </w:p>
        </w:tc>
      </w:tr>
      <w:tr w14:paraId="2DAC47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continue"/>
            <w:tcBorders>
              <w:right w:val="single" w:color="auto" w:sz="4" w:space="0"/>
              <w:tl2br w:val="nil"/>
              <w:tr2bl w:val="nil"/>
            </w:tcBorders>
            <w:noWrap/>
            <w:vAlign w:val="center"/>
          </w:tcPr>
          <w:p w14:paraId="7257E32A">
            <w:pPr>
              <w:pStyle w:val="16"/>
              <w:bidi w:val="0"/>
              <w:rPr>
                <w:color w:val="auto"/>
              </w:rPr>
            </w:pPr>
          </w:p>
        </w:tc>
        <w:tc>
          <w:tcPr>
            <w:tcW w:w="507" w:type="pct"/>
            <w:tcBorders>
              <w:left w:val="single" w:color="auto" w:sz="4" w:space="0"/>
              <w:tl2br w:val="nil"/>
              <w:tr2bl w:val="nil"/>
            </w:tcBorders>
            <w:noWrap w:val="0"/>
            <w:vAlign w:val="center"/>
          </w:tcPr>
          <w:p w14:paraId="20347909">
            <w:pPr>
              <w:pStyle w:val="16"/>
              <w:bidi w:val="0"/>
              <w:rPr>
                <w:color w:val="auto"/>
              </w:rPr>
            </w:pPr>
            <w:r>
              <w:rPr>
                <w:color w:val="auto"/>
              </w:rPr>
              <w:t>墙面</w:t>
            </w:r>
          </w:p>
        </w:tc>
        <w:tc>
          <w:tcPr>
            <w:tcW w:w="467" w:type="pct"/>
            <w:tcBorders>
              <w:tl2br w:val="nil"/>
              <w:tr2bl w:val="nil"/>
            </w:tcBorders>
            <w:noWrap/>
            <w:vAlign w:val="center"/>
          </w:tcPr>
          <w:p w14:paraId="614EF6EA">
            <w:pPr>
              <w:pStyle w:val="16"/>
              <w:bidi w:val="0"/>
              <w:rPr>
                <w:rFonts w:hint="eastAsia" w:eastAsia="宋体"/>
                <w:color w:val="auto"/>
                <w:lang w:eastAsia="zh-CN"/>
              </w:rPr>
            </w:pPr>
            <w:r>
              <w:rPr>
                <w:color w:val="auto"/>
              </w:rPr>
              <w:t>0.0</w:t>
            </w:r>
            <w:r>
              <w:rPr>
                <w:rFonts w:hint="eastAsia"/>
                <w:color w:val="auto"/>
                <w:lang w:val="en-US" w:eastAsia="zh-CN"/>
              </w:rPr>
              <w:t>7</w:t>
            </w:r>
          </w:p>
        </w:tc>
        <w:tc>
          <w:tcPr>
            <w:tcW w:w="574" w:type="pct"/>
            <w:tcBorders>
              <w:tl2br w:val="nil"/>
              <w:tr2bl w:val="nil"/>
            </w:tcBorders>
            <w:noWrap/>
            <w:vAlign w:val="center"/>
          </w:tcPr>
          <w:p w14:paraId="5BC1061E">
            <w:pPr>
              <w:pStyle w:val="16"/>
              <w:bidi w:val="0"/>
              <w:rPr>
                <w:color w:val="auto"/>
              </w:rPr>
            </w:pPr>
            <w:r>
              <w:rPr>
                <w:color w:val="auto"/>
              </w:rPr>
              <w:t>墙面</w:t>
            </w:r>
          </w:p>
        </w:tc>
        <w:tc>
          <w:tcPr>
            <w:tcW w:w="703" w:type="pct"/>
            <w:tcBorders>
              <w:tl2br w:val="nil"/>
              <w:tr2bl w:val="nil"/>
            </w:tcBorders>
            <w:noWrap/>
            <w:vAlign w:val="center"/>
          </w:tcPr>
          <w:p w14:paraId="4850EB8E">
            <w:pPr>
              <w:pStyle w:val="16"/>
              <w:bidi w:val="0"/>
              <w:rPr>
                <w:rFonts w:hint="eastAsia"/>
                <w:color w:val="auto"/>
                <w:lang w:val="en-US" w:eastAsia="zh-CN"/>
              </w:rPr>
            </w:pPr>
            <w:r>
              <w:rPr>
                <w:rFonts w:hint="default"/>
                <w:color w:val="auto"/>
                <w:lang w:val="en-US" w:eastAsia="zh-CN"/>
              </w:rPr>
              <w:t>520.26</w:t>
            </w:r>
          </w:p>
        </w:tc>
        <w:tc>
          <w:tcPr>
            <w:tcW w:w="1057" w:type="pct"/>
            <w:vMerge w:val="continue"/>
            <w:tcBorders>
              <w:tl2br w:val="nil"/>
              <w:tr2bl w:val="nil"/>
            </w:tcBorders>
            <w:noWrap/>
            <w:vAlign w:val="center"/>
          </w:tcPr>
          <w:p w14:paraId="725456E1">
            <w:pPr>
              <w:pStyle w:val="16"/>
              <w:bidi w:val="0"/>
              <w:rPr>
                <w:color w:val="auto"/>
              </w:rPr>
            </w:pPr>
          </w:p>
        </w:tc>
        <w:tc>
          <w:tcPr>
            <w:tcW w:w="847" w:type="pct"/>
            <w:vMerge w:val="continue"/>
            <w:tcBorders>
              <w:tl2br w:val="nil"/>
              <w:tr2bl w:val="nil"/>
            </w:tcBorders>
            <w:noWrap/>
            <w:vAlign w:val="center"/>
          </w:tcPr>
          <w:p w14:paraId="4B8B1DE0">
            <w:pPr>
              <w:pStyle w:val="16"/>
              <w:bidi w:val="0"/>
              <w:rPr>
                <w:color w:val="auto"/>
              </w:rPr>
            </w:pPr>
          </w:p>
        </w:tc>
      </w:tr>
      <w:tr w14:paraId="367A0E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continue"/>
            <w:tcBorders>
              <w:right w:val="single" w:color="auto" w:sz="4" w:space="0"/>
              <w:tl2br w:val="nil"/>
              <w:tr2bl w:val="nil"/>
            </w:tcBorders>
            <w:noWrap/>
            <w:vAlign w:val="center"/>
          </w:tcPr>
          <w:p w14:paraId="2ED58324">
            <w:pPr>
              <w:pStyle w:val="16"/>
              <w:bidi w:val="0"/>
              <w:rPr>
                <w:color w:val="auto"/>
              </w:rPr>
            </w:pPr>
          </w:p>
        </w:tc>
        <w:tc>
          <w:tcPr>
            <w:tcW w:w="507" w:type="pct"/>
            <w:tcBorders>
              <w:left w:val="single" w:color="auto" w:sz="4" w:space="0"/>
              <w:tl2br w:val="nil"/>
              <w:tr2bl w:val="nil"/>
            </w:tcBorders>
            <w:noWrap w:val="0"/>
            <w:vAlign w:val="center"/>
          </w:tcPr>
          <w:p w14:paraId="7AAEAD0A">
            <w:pPr>
              <w:pStyle w:val="16"/>
              <w:bidi w:val="0"/>
              <w:rPr>
                <w:color w:val="auto"/>
              </w:rPr>
            </w:pPr>
            <w:r>
              <w:rPr>
                <w:color w:val="auto"/>
              </w:rPr>
              <w:t>地面</w:t>
            </w:r>
          </w:p>
        </w:tc>
        <w:tc>
          <w:tcPr>
            <w:tcW w:w="467" w:type="pct"/>
            <w:tcBorders>
              <w:tl2br w:val="nil"/>
              <w:tr2bl w:val="nil"/>
            </w:tcBorders>
            <w:noWrap/>
            <w:vAlign w:val="center"/>
          </w:tcPr>
          <w:p w14:paraId="03721D66">
            <w:pPr>
              <w:pStyle w:val="16"/>
              <w:bidi w:val="0"/>
              <w:rPr>
                <w:rFonts w:hint="eastAsia"/>
                <w:color w:val="auto"/>
                <w:lang w:eastAsia="zh-CN"/>
              </w:rPr>
            </w:pPr>
            <w:r>
              <w:rPr>
                <w:color w:val="auto"/>
              </w:rPr>
              <w:t>0.0</w:t>
            </w:r>
            <w:r>
              <w:rPr>
                <w:rFonts w:hint="eastAsia"/>
                <w:color w:val="auto"/>
                <w:lang w:val="en-US" w:eastAsia="zh-CN"/>
              </w:rPr>
              <w:t>7</w:t>
            </w:r>
          </w:p>
        </w:tc>
        <w:tc>
          <w:tcPr>
            <w:tcW w:w="574" w:type="pct"/>
            <w:tcBorders>
              <w:tl2br w:val="nil"/>
              <w:tr2bl w:val="nil"/>
            </w:tcBorders>
            <w:noWrap/>
            <w:vAlign w:val="center"/>
          </w:tcPr>
          <w:p w14:paraId="606D7DD2">
            <w:pPr>
              <w:pStyle w:val="16"/>
              <w:bidi w:val="0"/>
              <w:rPr>
                <w:color w:val="auto"/>
              </w:rPr>
            </w:pPr>
            <w:r>
              <w:rPr>
                <w:color w:val="auto"/>
              </w:rPr>
              <w:t>地面</w:t>
            </w:r>
          </w:p>
        </w:tc>
        <w:tc>
          <w:tcPr>
            <w:tcW w:w="703" w:type="pct"/>
            <w:tcBorders>
              <w:tl2br w:val="nil"/>
              <w:tr2bl w:val="nil"/>
            </w:tcBorders>
            <w:noWrap/>
            <w:vAlign w:val="center"/>
          </w:tcPr>
          <w:p w14:paraId="2F4E639C">
            <w:pPr>
              <w:pStyle w:val="16"/>
              <w:bidi w:val="0"/>
              <w:rPr>
                <w:rFonts w:hint="eastAsia"/>
                <w:color w:val="auto"/>
                <w:lang w:val="en-US" w:eastAsia="zh-CN"/>
              </w:rPr>
            </w:pPr>
            <w:r>
              <w:rPr>
                <w:rFonts w:hint="default"/>
                <w:color w:val="auto"/>
                <w:lang w:val="en-US" w:eastAsia="zh-CN"/>
              </w:rPr>
              <w:t>275.26</w:t>
            </w:r>
          </w:p>
        </w:tc>
        <w:tc>
          <w:tcPr>
            <w:tcW w:w="1057" w:type="pct"/>
            <w:vMerge w:val="continue"/>
            <w:tcBorders>
              <w:tl2br w:val="nil"/>
              <w:tr2bl w:val="nil"/>
            </w:tcBorders>
            <w:noWrap/>
            <w:vAlign w:val="center"/>
          </w:tcPr>
          <w:p w14:paraId="2F823C04">
            <w:pPr>
              <w:pStyle w:val="16"/>
              <w:bidi w:val="0"/>
              <w:rPr>
                <w:color w:val="auto"/>
              </w:rPr>
            </w:pPr>
          </w:p>
        </w:tc>
        <w:tc>
          <w:tcPr>
            <w:tcW w:w="847" w:type="pct"/>
            <w:vMerge w:val="continue"/>
            <w:tcBorders>
              <w:tl2br w:val="nil"/>
              <w:tr2bl w:val="nil"/>
            </w:tcBorders>
            <w:noWrap/>
            <w:vAlign w:val="center"/>
          </w:tcPr>
          <w:p w14:paraId="23E48497">
            <w:pPr>
              <w:pStyle w:val="16"/>
              <w:bidi w:val="0"/>
              <w:rPr>
                <w:color w:val="auto"/>
              </w:rPr>
            </w:pPr>
          </w:p>
        </w:tc>
      </w:tr>
      <w:tr w14:paraId="51461D2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restart"/>
            <w:tcBorders>
              <w:right w:val="single" w:color="auto" w:sz="4" w:space="0"/>
              <w:tl2br w:val="nil"/>
              <w:tr2bl w:val="nil"/>
            </w:tcBorders>
            <w:noWrap/>
            <w:vAlign w:val="center"/>
          </w:tcPr>
          <w:p w14:paraId="72B0B375">
            <w:pPr>
              <w:pStyle w:val="16"/>
              <w:bidi w:val="0"/>
              <w:rPr>
                <w:rFonts w:hint="default"/>
                <w:color w:val="auto"/>
                <w:lang w:val="en-US"/>
              </w:rPr>
            </w:pPr>
            <w:r>
              <w:rPr>
                <w:rFonts w:hint="eastAsia"/>
                <w:color w:val="auto"/>
                <w:lang w:val="en-US" w:eastAsia="zh-CN"/>
              </w:rPr>
              <w:t>机修危废间</w:t>
            </w:r>
          </w:p>
        </w:tc>
        <w:tc>
          <w:tcPr>
            <w:tcW w:w="507" w:type="pct"/>
            <w:tcBorders>
              <w:left w:val="single" w:color="auto" w:sz="4" w:space="0"/>
              <w:tl2br w:val="nil"/>
              <w:tr2bl w:val="nil"/>
            </w:tcBorders>
            <w:noWrap w:val="0"/>
            <w:vAlign w:val="center"/>
          </w:tcPr>
          <w:p w14:paraId="3F6C61BA">
            <w:pPr>
              <w:pStyle w:val="16"/>
              <w:bidi w:val="0"/>
              <w:rPr>
                <w:color w:val="auto"/>
              </w:rPr>
            </w:pPr>
            <w:r>
              <w:rPr>
                <w:color w:val="auto"/>
              </w:rPr>
              <w:t>顶面</w:t>
            </w:r>
          </w:p>
        </w:tc>
        <w:tc>
          <w:tcPr>
            <w:tcW w:w="467" w:type="pct"/>
            <w:tcBorders>
              <w:tl2br w:val="nil"/>
              <w:tr2bl w:val="nil"/>
            </w:tcBorders>
            <w:noWrap/>
            <w:vAlign w:val="center"/>
          </w:tcPr>
          <w:p w14:paraId="3E945052">
            <w:pPr>
              <w:pStyle w:val="16"/>
              <w:bidi w:val="0"/>
              <w:ind w:left="0" w:leftChars="0" w:firstLine="0" w:firstLineChars="0"/>
              <w:rPr>
                <w:color w:val="auto"/>
              </w:rPr>
            </w:pPr>
            <w:r>
              <w:rPr>
                <w:color w:val="auto"/>
              </w:rPr>
              <w:t>0.0</w:t>
            </w:r>
            <w:r>
              <w:rPr>
                <w:rFonts w:hint="eastAsia"/>
                <w:color w:val="auto"/>
                <w:lang w:val="en-US" w:eastAsia="zh-CN"/>
              </w:rPr>
              <w:t>7</w:t>
            </w:r>
          </w:p>
        </w:tc>
        <w:tc>
          <w:tcPr>
            <w:tcW w:w="574" w:type="pct"/>
            <w:tcBorders>
              <w:tl2br w:val="nil"/>
              <w:tr2bl w:val="nil"/>
            </w:tcBorders>
            <w:noWrap/>
            <w:vAlign w:val="center"/>
          </w:tcPr>
          <w:p w14:paraId="69BC6C8D">
            <w:pPr>
              <w:pStyle w:val="16"/>
              <w:bidi w:val="0"/>
              <w:rPr>
                <w:color w:val="auto"/>
              </w:rPr>
            </w:pPr>
            <w:r>
              <w:rPr>
                <w:color w:val="auto"/>
              </w:rPr>
              <w:t>顶棚</w:t>
            </w:r>
          </w:p>
        </w:tc>
        <w:tc>
          <w:tcPr>
            <w:tcW w:w="703" w:type="pct"/>
            <w:tcBorders>
              <w:tl2br w:val="nil"/>
              <w:tr2bl w:val="nil"/>
            </w:tcBorders>
            <w:noWrap/>
            <w:vAlign w:val="center"/>
          </w:tcPr>
          <w:p w14:paraId="45571CFC">
            <w:pPr>
              <w:pStyle w:val="16"/>
              <w:bidi w:val="0"/>
              <w:rPr>
                <w:rFonts w:hint="eastAsia"/>
                <w:color w:val="auto"/>
                <w:lang w:val="en-US" w:eastAsia="zh-CN"/>
              </w:rPr>
            </w:pPr>
            <w:r>
              <w:rPr>
                <w:rFonts w:hint="default"/>
                <w:color w:val="auto"/>
                <w:lang w:val="en-US" w:eastAsia="zh-CN"/>
              </w:rPr>
              <w:t>222.39</w:t>
            </w:r>
          </w:p>
        </w:tc>
        <w:tc>
          <w:tcPr>
            <w:tcW w:w="1057" w:type="pct"/>
            <w:vMerge w:val="restart"/>
            <w:tcBorders>
              <w:tl2br w:val="nil"/>
              <w:tr2bl w:val="nil"/>
            </w:tcBorders>
            <w:noWrap/>
            <w:vAlign w:val="center"/>
          </w:tcPr>
          <w:p w14:paraId="49D172FB">
            <w:pPr>
              <w:pStyle w:val="16"/>
              <w:bidi w:val="0"/>
              <w:rPr>
                <w:rFonts w:hint="default"/>
                <w:color w:val="auto"/>
                <w:lang w:val="en-US" w:eastAsia="zh-CN"/>
              </w:rPr>
            </w:pPr>
            <w:r>
              <w:rPr>
                <w:rFonts w:hint="default"/>
                <w:color w:val="auto"/>
                <w:lang w:val="en-US" w:eastAsia="zh-CN"/>
              </w:rPr>
              <w:t>0.035</w:t>
            </w:r>
          </w:p>
        </w:tc>
        <w:tc>
          <w:tcPr>
            <w:tcW w:w="847" w:type="pct"/>
            <w:vMerge w:val="restart"/>
            <w:tcBorders>
              <w:tl2br w:val="nil"/>
              <w:tr2bl w:val="nil"/>
            </w:tcBorders>
            <w:noWrap/>
            <w:vAlign w:val="center"/>
          </w:tcPr>
          <w:p w14:paraId="5483F8BB">
            <w:pPr>
              <w:pStyle w:val="16"/>
              <w:bidi w:val="0"/>
              <w:rPr>
                <w:color w:val="auto"/>
              </w:rPr>
            </w:pPr>
            <w:r>
              <w:rPr>
                <w:rFonts w:hint="default"/>
                <w:color w:val="auto"/>
                <w:lang w:val="en-US" w:eastAsia="zh-CN"/>
              </w:rPr>
              <w:t>37.15</w:t>
            </w:r>
          </w:p>
        </w:tc>
      </w:tr>
      <w:tr w14:paraId="3B00838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continue"/>
            <w:tcBorders>
              <w:right w:val="single" w:color="auto" w:sz="4" w:space="0"/>
              <w:tl2br w:val="nil"/>
              <w:tr2bl w:val="nil"/>
            </w:tcBorders>
            <w:noWrap/>
            <w:vAlign w:val="center"/>
          </w:tcPr>
          <w:p w14:paraId="1F822C06">
            <w:pPr>
              <w:pStyle w:val="16"/>
              <w:bidi w:val="0"/>
              <w:rPr>
                <w:color w:val="auto"/>
              </w:rPr>
            </w:pPr>
          </w:p>
        </w:tc>
        <w:tc>
          <w:tcPr>
            <w:tcW w:w="507" w:type="pct"/>
            <w:tcBorders>
              <w:left w:val="single" w:color="auto" w:sz="4" w:space="0"/>
              <w:tl2br w:val="nil"/>
              <w:tr2bl w:val="nil"/>
            </w:tcBorders>
            <w:noWrap w:val="0"/>
            <w:vAlign w:val="center"/>
          </w:tcPr>
          <w:p w14:paraId="6558DBB0">
            <w:pPr>
              <w:pStyle w:val="16"/>
              <w:bidi w:val="0"/>
              <w:rPr>
                <w:color w:val="auto"/>
              </w:rPr>
            </w:pPr>
            <w:r>
              <w:rPr>
                <w:color w:val="auto"/>
              </w:rPr>
              <w:t>墙面</w:t>
            </w:r>
          </w:p>
        </w:tc>
        <w:tc>
          <w:tcPr>
            <w:tcW w:w="467" w:type="pct"/>
            <w:tcBorders>
              <w:tl2br w:val="nil"/>
              <w:tr2bl w:val="nil"/>
            </w:tcBorders>
            <w:noWrap/>
            <w:vAlign w:val="center"/>
          </w:tcPr>
          <w:p w14:paraId="46118A18">
            <w:pPr>
              <w:pStyle w:val="16"/>
              <w:bidi w:val="0"/>
              <w:ind w:left="0" w:leftChars="0" w:firstLine="0" w:firstLineChars="0"/>
              <w:rPr>
                <w:color w:val="auto"/>
              </w:rPr>
            </w:pPr>
            <w:r>
              <w:rPr>
                <w:color w:val="auto"/>
              </w:rPr>
              <w:t>0.0</w:t>
            </w:r>
            <w:r>
              <w:rPr>
                <w:rFonts w:hint="eastAsia"/>
                <w:color w:val="auto"/>
                <w:lang w:val="en-US" w:eastAsia="zh-CN"/>
              </w:rPr>
              <w:t>7</w:t>
            </w:r>
          </w:p>
        </w:tc>
        <w:tc>
          <w:tcPr>
            <w:tcW w:w="574" w:type="pct"/>
            <w:tcBorders>
              <w:tl2br w:val="nil"/>
              <w:tr2bl w:val="nil"/>
            </w:tcBorders>
            <w:noWrap/>
            <w:vAlign w:val="center"/>
          </w:tcPr>
          <w:p w14:paraId="7D07704D">
            <w:pPr>
              <w:pStyle w:val="16"/>
              <w:bidi w:val="0"/>
              <w:rPr>
                <w:color w:val="auto"/>
              </w:rPr>
            </w:pPr>
            <w:r>
              <w:rPr>
                <w:color w:val="auto"/>
              </w:rPr>
              <w:t>墙面</w:t>
            </w:r>
          </w:p>
        </w:tc>
        <w:tc>
          <w:tcPr>
            <w:tcW w:w="703" w:type="pct"/>
            <w:tcBorders>
              <w:tl2br w:val="nil"/>
              <w:tr2bl w:val="nil"/>
            </w:tcBorders>
            <w:noWrap/>
            <w:vAlign w:val="center"/>
          </w:tcPr>
          <w:p w14:paraId="3F13E9D7">
            <w:pPr>
              <w:pStyle w:val="16"/>
              <w:bidi w:val="0"/>
              <w:rPr>
                <w:rFonts w:hint="eastAsia"/>
                <w:color w:val="auto"/>
                <w:lang w:val="en-US" w:eastAsia="zh-CN"/>
              </w:rPr>
            </w:pPr>
            <w:r>
              <w:rPr>
                <w:rFonts w:hint="default"/>
                <w:color w:val="auto"/>
                <w:lang w:val="en-US" w:eastAsia="zh-CN"/>
              </w:rPr>
              <w:t xml:space="preserve">579.57 </w:t>
            </w:r>
          </w:p>
        </w:tc>
        <w:tc>
          <w:tcPr>
            <w:tcW w:w="1057" w:type="pct"/>
            <w:vMerge w:val="continue"/>
            <w:tcBorders>
              <w:tl2br w:val="nil"/>
              <w:tr2bl w:val="nil"/>
            </w:tcBorders>
            <w:noWrap/>
            <w:vAlign w:val="center"/>
          </w:tcPr>
          <w:p w14:paraId="1D5858B9">
            <w:pPr>
              <w:pStyle w:val="16"/>
              <w:bidi w:val="0"/>
              <w:rPr>
                <w:color w:val="auto"/>
              </w:rPr>
            </w:pPr>
          </w:p>
        </w:tc>
        <w:tc>
          <w:tcPr>
            <w:tcW w:w="847" w:type="pct"/>
            <w:vMerge w:val="continue"/>
            <w:tcBorders>
              <w:tl2br w:val="nil"/>
              <w:tr2bl w:val="nil"/>
            </w:tcBorders>
            <w:noWrap/>
            <w:vAlign w:val="center"/>
          </w:tcPr>
          <w:p w14:paraId="5AA129D0">
            <w:pPr>
              <w:pStyle w:val="16"/>
              <w:bidi w:val="0"/>
              <w:rPr>
                <w:color w:val="auto"/>
              </w:rPr>
            </w:pPr>
          </w:p>
        </w:tc>
      </w:tr>
      <w:tr w14:paraId="5D74EE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continue"/>
            <w:tcBorders>
              <w:right w:val="single" w:color="auto" w:sz="4" w:space="0"/>
              <w:tl2br w:val="nil"/>
              <w:tr2bl w:val="nil"/>
            </w:tcBorders>
            <w:noWrap/>
            <w:vAlign w:val="center"/>
          </w:tcPr>
          <w:p w14:paraId="08C14262">
            <w:pPr>
              <w:pStyle w:val="16"/>
              <w:bidi w:val="0"/>
              <w:rPr>
                <w:color w:val="auto"/>
              </w:rPr>
            </w:pPr>
          </w:p>
        </w:tc>
        <w:tc>
          <w:tcPr>
            <w:tcW w:w="507" w:type="pct"/>
            <w:tcBorders>
              <w:left w:val="single" w:color="auto" w:sz="4" w:space="0"/>
              <w:tl2br w:val="nil"/>
              <w:tr2bl w:val="nil"/>
            </w:tcBorders>
            <w:noWrap w:val="0"/>
            <w:vAlign w:val="center"/>
          </w:tcPr>
          <w:p w14:paraId="49297F98">
            <w:pPr>
              <w:pStyle w:val="16"/>
              <w:bidi w:val="0"/>
              <w:rPr>
                <w:color w:val="auto"/>
              </w:rPr>
            </w:pPr>
            <w:r>
              <w:rPr>
                <w:color w:val="auto"/>
              </w:rPr>
              <w:t>地面</w:t>
            </w:r>
          </w:p>
        </w:tc>
        <w:tc>
          <w:tcPr>
            <w:tcW w:w="467" w:type="pct"/>
            <w:tcBorders>
              <w:tl2br w:val="nil"/>
              <w:tr2bl w:val="nil"/>
            </w:tcBorders>
            <w:noWrap/>
            <w:vAlign w:val="center"/>
          </w:tcPr>
          <w:p w14:paraId="57C324AC">
            <w:pPr>
              <w:pStyle w:val="16"/>
              <w:bidi w:val="0"/>
              <w:ind w:left="0" w:leftChars="0" w:firstLine="0" w:firstLineChars="0"/>
              <w:rPr>
                <w:rFonts w:hint="eastAsia"/>
                <w:color w:val="auto"/>
                <w:lang w:eastAsia="zh-CN"/>
              </w:rPr>
            </w:pPr>
            <w:r>
              <w:rPr>
                <w:color w:val="auto"/>
              </w:rPr>
              <w:t>0.0</w:t>
            </w:r>
            <w:r>
              <w:rPr>
                <w:rFonts w:hint="eastAsia"/>
                <w:color w:val="auto"/>
                <w:lang w:val="en-US" w:eastAsia="zh-CN"/>
              </w:rPr>
              <w:t>7</w:t>
            </w:r>
          </w:p>
        </w:tc>
        <w:tc>
          <w:tcPr>
            <w:tcW w:w="574" w:type="pct"/>
            <w:tcBorders>
              <w:tl2br w:val="nil"/>
              <w:tr2bl w:val="nil"/>
            </w:tcBorders>
            <w:noWrap/>
            <w:vAlign w:val="center"/>
          </w:tcPr>
          <w:p w14:paraId="1641D75A">
            <w:pPr>
              <w:pStyle w:val="16"/>
              <w:bidi w:val="0"/>
              <w:rPr>
                <w:color w:val="auto"/>
              </w:rPr>
            </w:pPr>
            <w:r>
              <w:rPr>
                <w:color w:val="auto"/>
              </w:rPr>
              <w:t>地面</w:t>
            </w:r>
          </w:p>
        </w:tc>
        <w:tc>
          <w:tcPr>
            <w:tcW w:w="703" w:type="pct"/>
            <w:tcBorders>
              <w:tl2br w:val="nil"/>
              <w:tr2bl w:val="nil"/>
            </w:tcBorders>
            <w:noWrap/>
            <w:vAlign w:val="center"/>
          </w:tcPr>
          <w:p w14:paraId="13B94CEB">
            <w:pPr>
              <w:pStyle w:val="16"/>
              <w:bidi w:val="0"/>
              <w:rPr>
                <w:rFonts w:hint="eastAsia"/>
                <w:color w:val="auto"/>
                <w:lang w:val="en-US" w:eastAsia="zh-CN"/>
              </w:rPr>
            </w:pPr>
            <w:r>
              <w:rPr>
                <w:rFonts w:hint="default"/>
                <w:color w:val="auto"/>
                <w:lang w:val="en-US" w:eastAsia="zh-CN"/>
              </w:rPr>
              <w:t>222.39</w:t>
            </w:r>
          </w:p>
        </w:tc>
        <w:tc>
          <w:tcPr>
            <w:tcW w:w="1057" w:type="pct"/>
            <w:vMerge w:val="continue"/>
            <w:tcBorders>
              <w:tl2br w:val="nil"/>
              <w:tr2bl w:val="nil"/>
            </w:tcBorders>
            <w:noWrap/>
            <w:vAlign w:val="center"/>
          </w:tcPr>
          <w:p w14:paraId="31E9AE55">
            <w:pPr>
              <w:pStyle w:val="16"/>
              <w:bidi w:val="0"/>
              <w:rPr>
                <w:color w:val="auto"/>
              </w:rPr>
            </w:pPr>
          </w:p>
        </w:tc>
        <w:tc>
          <w:tcPr>
            <w:tcW w:w="847" w:type="pct"/>
            <w:vMerge w:val="continue"/>
            <w:tcBorders>
              <w:tl2br w:val="nil"/>
              <w:tr2bl w:val="nil"/>
            </w:tcBorders>
            <w:noWrap/>
            <w:vAlign w:val="center"/>
          </w:tcPr>
          <w:p w14:paraId="069DFB00">
            <w:pPr>
              <w:pStyle w:val="16"/>
              <w:bidi w:val="0"/>
              <w:rPr>
                <w:color w:val="auto"/>
              </w:rPr>
            </w:pPr>
          </w:p>
        </w:tc>
      </w:tr>
      <w:tr w14:paraId="1EE7CE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restart"/>
            <w:tcBorders>
              <w:right w:val="single" w:color="auto" w:sz="4" w:space="0"/>
              <w:tl2br w:val="nil"/>
              <w:tr2bl w:val="nil"/>
            </w:tcBorders>
            <w:noWrap/>
            <w:vAlign w:val="center"/>
          </w:tcPr>
          <w:p w14:paraId="4040C5C1">
            <w:pPr>
              <w:pStyle w:val="16"/>
              <w:bidi w:val="0"/>
              <w:rPr>
                <w:rFonts w:hint="default" w:eastAsia="宋体"/>
                <w:color w:val="auto"/>
                <w:lang w:val="en-US" w:eastAsia="zh-CN"/>
              </w:rPr>
            </w:pPr>
            <w:r>
              <w:rPr>
                <w:rFonts w:hint="eastAsia"/>
                <w:color w:val="auto"/>
                <w:lang w:val="en-US" w:eastAsia="zh-CN"/>
              </w:rPr>
              <w:t>在线监测间</w:t>
            </w:r>
          </w:p>
        </w:tc>
        <w:tc>
          <w:tcPr>
            <w:tcW w:w="507" w:type="pct"/>
            <w:tcBorders>
              <w:left w:val="single" w:color="auto" w:sz="4" w:space="0"/>
              <w:tl2br w:val="nil"/>
              <w:tr2bl w:val="nil"/>
            </w:tcBorders>
            <w:noWrap w:val="0"/>
            <w:vAlign w:val="center"/>
          </w:tcPr>
          <w:p w14:paraId="6CB477C7">
            <w:pPr>
              <w:pStyle w:val="16"/>
              <w:bidi w:val="0"/>
              <w:ind w:left="0" w:leftChars="0" w:firstLine="0" w:firstLineChars="0"/>
              <w:rPr>
                <w:color w:val="auto"/>
              </w:rPr>
            </w:pPr>
            <w:r>
              <w:rPr>
                <w:color w:val="auto"/>
              </w:rPr>
              <w:t>顶面</w:t>
            </w:r>
          </w:p>
        </w:tc>
        <w:tc>
          <w:tcPr>
            <w:tcW w:w="467" w:type="pct"/>
            <w:tcBorders>
              <w:tl2br w:val="nil"/>
              <w:tr2bl w:val="nil"/>
            </w:tcBorders>
            <w:noWrap/>
            <w:vAlign w:val="center"/>
          </w:tcPr>
          <w:p w14:paraId="7A38425A">
            <w:pPr>
              <w:pStyle w:val="16"/>
              <w:bidi w:val="0"/>
              <w:ind w:left="0" w:leftChars="0" w:firstLine="0" w:firstLineChars="0"/>
              <w:rPr>
                <w:color w:val="auto"/>
              </w:rPr>
            </w:pPr>
            <w:r>
              <w:rPr>
                <w:color w:val="auto"/>
              </w:rPr>
              <w:t>0.0</w:t>
            </w:r>
            <w:r>
              <w:rPr>
                <w:rFonts w:hint="eastAsia"/>
                <w:color w:val="auto"/>
                <w:lang w:val="en-US" w:eastAsia="zh-CN"/>
              </w:rPr>
              <w:t>7</w:t>
            </w:r>
          </w:p>
        </w:tc>
        <w:tc>
          <w:tcPr>
            <w:tcW w:w="574" w:type="pct"/>
            <w:tcBorders>
              <w:tl2br w:val="nil"/>
              <w:tr2bl w:val="nil"/>
            </w:tcBorders>
            <w:noWrap/>
            <w:vAlign w:val="center"/>
          </w:tcPr>
          <w:p w14:paraId="5DA97674">
            <w:pPr>
              <w:pStyle w:val="16"/>
              <w:bidi w:val="0"/>
              <w:ind w:left="0" w:leftChars="0" w:firstLine="0" w:firstLineChars="0"/>
              <w:rPr>
                <w:color w:val="auto"/>
              </w:rPr>
            </w:pPr>
            <w:r>
              <w:rPr>
                <w:color w:val="auto"/>
              </w:rPr>
              <w:t>顶棚</w:t>
            </w:r>
          </w:p>
        </w:tc>
        <w:tc>
          <w:tcPr>
            <w:tcW w:w="703" w:type="pct"/>
            <w:tcBorders>
              <w:tl2br w:val="nil"/>
              <w:tr2bl w:val="nil"/>
            </w:tcBorders>
            <w:noWrap/>
            <w:vAlign w:val="center"/>
          </w:tcPr>
          <w:p w14:paraId="1EEC1024">
            <w:pPr>
              <w:pStyle w:val="16"/>
              <w:bidi w:val="0"/>
              <w:rPr>
                <w:rFonts w:hint="eastAsia"/>
                <w:color w:val="auto"/>
                <w:lang w:val="en-US" w:eastAsia="zh-CN"/>
              </w:rPr>
            </w:pPr>
            <w:r>
              <w:rPr>
                <w:rFonts w:hint="default"/>
                <w:color w:val="auto"/>
                <w:lang w:val="en-US" w:eastAsia="zh-CN"/>
              </w:rPr>
              <w:t>38.8</w:t>
            </w:r>
          </w:p>
        </w:tc>
        <w:tc>
          <w:tcPr>
            <w:tcW w:w="1057" w:type="pct"/>
            <w:vMerge w:val="restart"/>
            <w:tcBorders>
              <w:tl2br w:val="nil"/>
              <w:tr2bl w:val="nil"/>
            </w:tcBorders>
            <w:noWrap/>
            <w:vAlign w:val="center"/>
          </w:tcPr>
          <w:p w14:paraId="4051012B">
            <w:pPr>
              <w:pStyle w:val="16"/>
              <w:bidi w:val="0"/>
              <w:rPr>
                <w:rFonts w:hint="default"/>
                <w:color w:val="auto"/>
                <w:lang w:val="en-US" w:eastAsia="zh-CN"/>
              </w:rPr>
            </w:pPr>
            <w:r>
              <w:rPr>
                <w:rFonts w:hint="default"/>
                <w:color w:val="auto"/>
                <w:lang w:val="en-US" w:eastAsia="zh-CN"/>
              </w:rPr>
              <w:t>0.035</w:t>
            </w:r>
          </w:p>
        </w:tc>
        <w:tc>
          <w:tcPr>
            <w:tcW w:w="847" w:type="pct"/>
            <w:vMerge w:val="restart"/>
            <w:tcBorders>
              <w:tl2br w:val="nil"/>
              <w:tr2bl w:val="nil"/>
            </w:tcBorders>
            <w:noWrap/>
            <w:vAlign w:val="center"/>
          </w:tcPr>
          <w:p w14:paraId="3FD00BB5">
            <w:pPr>
              <w:pStyle w:val="16"/>
              <w:bidi w:val="0"/>
              <w:rPr>
                <w:color w:val="auto"/>
              </w:rPr>
            </w:pPr>
            <w:r>
              <w:rPr>
                <w:rFonts w:hint="default"/>
                <w:color w:val="auto"/>
                <w:lang w:val="en-US" w:eastAsia="zh-CN"/>
              </w:rPr>
              <w:t>6.09</w:t>
            </w:r>
          </w:p>
        </w:tc>
      </w:tr>
      <w:tr w14:paraId="75F960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continue"/>
            <w:tcBorders>
              <w:right w:val="single" w:color="auto" w:sz="4" w:space="0"/>
              <w:tl2br w:val="nil"/>
              <w:tr2bl w:val="nil"/>
            </w:tcBorders>
            <w:noWrap/>
            <w:vAlign w:val="center"/>
          </w:tcPr>
          <w:p w14:paraId="387A4E80">
            <w:pPr>
              <w:pStyle w:val="16"/>
              <w:bidi w:val="0"/>
              <w:rPr>
                <w:color w:val="auto"/>
              </w:rPr>
            </w:pPr>
          </w:p>
        </w:tc>
        <w:tc>
          <w:tcPr>
            <w:tcW w:w="507" w:type="pct"/>
            <w:tcBorders>
              <w:left w:val="single" w:color="auto" w:sz="4" w:space="0"/>
              <w:tl2br w:val="nil"/>
              <w:tr2bl w:val="nil"/>
            </w:tcBorders>
            <w:noWrap w:val="0"/>
            <w:vAlign w:val="center"/>
          </w:tcPr>
          <w:p w14:paraId="3E1DD348">
            <w:pPr>
              <w:pStyle w:val="16"/>
              <w:bidi w:val="0"/>
              <w:ind w:left="0" w:leftChars="0" w:firstLine="0" w:firstLineChars="0"/>
              <w:rPr>
                <w:color w:val="auto"/>
              </w:rPr>
            </w:pPr>
            <w:r>
              <w:rPr>
                <w:color w:val="auto"/>
              </w:rPr>
              <w:t>墙面</w:t>
            </w:r>
          </w:p>
        </w:tc>
        <w:tc>
          <w:tcPr>
            <w:tcW w:w="467" w:type="pct"/>
            <w:tcBorders>
              <w:tl2br w:val="nil"/>
              <w:tr2bl w:val="nil"/>
            </w:tcBorders>
            <w:noWrap/>
            <w:vAlign w:val="center"/>
          </w:tcPr>
          <w:p w14:paraId="58D47DB3">
            <w:pPr>
              <w:pStyle w:val="16"/>
              <w:bidi w:val="0"/>
              <w:ind w:left="0" w:leftChars="0" w:firstLine="0" w:firstLineChars="0"/>
              <w:rPr>
                <w:color w:val="auto"/>
              </w:rPr>
            </w:pPr>
            <w:r>
              <w:rPr>
                <w:color w:val="auto"/>
              </w:rPr>
              <w:t>0.0</w:t>
            </w:r>
            <w:r>
              <w:rPr>
                <w:rFonts w:hint="eastAsia"/>
                <w:color w:val="auto"/>
                <w:lang w:val="en-US" w:eastAsia="zh-CN"/>
              </w:rPr>
              <w:t>7</w:t>
            </w:r>
          </w:p>
        </w:tc>
        <w:tc>
          <w:tcPr>
            <w:tcW w:w="574" w:type="pct"/>
            <w:tcBorders>
              <w:tl2br w:val="nil"/>
              <w:tr2bl w:val="nil"/>
            </w:tcBorders>
            <w:noWrap/>
            <w:vAlign w:val="center"/>
          </w:tcPr>
          <w:p w14:paraId="4AD230A4">
            <w:pPr>
              <w:pStyle w:val="16"/>
              <w:bidi w:val="0"/>
              <w:ind w:left="0" w:leftChars="0" w:firstLine="0" w:firstLineChars="0"/>
              <w:rPr>
                <w:color w:val="auto"/>
              </w:rPr>
            </w:pPr>
            <w:r>
              <w:rPr>
                <w:color w:val="auto"/>
              </w:rPr>
              <w:t>墙面</w:t>
            </w:r>
          </w:p>
        </w:tc>
        <w:tc>
          <w:tcPr>
            <w:tcW w:w="703" w:type="pct"/>
            <w:tcBorders>
              <w:tl2br w:val="nil"/>
              <w:tr2bl w:val="nil"/>
            </w:tcBorders>
            <w:noWrap/>
            <w:vAlign w:val="center"/>
          </w:tcPr>
          <w:p w14:paraId="41686647">
            <w:pPr>
              <w:pStyle w:val="16"/>
              <w:bidi w:val="0"/>
              <w:rPr>
                <w:rFonts w:hint="eastAsia"/>
                <w:color w:val="auto"/>
                <w:lang w:val="en-US" w:eastAsia="zh-CN"/>
              </w:rPr>
            </w:pPr>
            <w:r>
              <w:rPr>
                <w:rFonts w:hint="default"/>
                <w:color w:val="auto"/>
                <w:lang w:val="en-US" w:eastAsia="zh-CN"/>
              </w:rPr>
              <w:t>90.21</w:t>
            </w:r>
          </w:p>
        </w:tc>
        <w:tc>
          <w:tcPr>
            <w:tcW w:w="1057" w:type="pct"/>
            <w:vMerge w:val="continue"/>
            <w:tcBorders>
              <w:tl2br w:val="nil"/>
              <w:tr2bl w:val="nil"/>
            </w:tcBorders>
            <w:noWrap/>
            <w:vAlign w:val="center"/>
          </w:tcPr>
          <w:p w14:paraId="04948FD9">
            <w:pPr>
              <w:pStyle w:val="16"/>
              <w:bidi w:val="0"/>
              <w:rPr>
                <w:color w:val="auto"/>
              </w:rPr>
            </w:pPr>
          </w:p>
        </w:tc>
        <w:tc>
          <w:tcPr>
            <w:tcW w:w="847" w:type="pct"/>
            <w:vMerge w:val="continue"/>
            <w:tcBorders>
              <w:tl2br w:val="nil"/>
              <w:tr2bl w:val="nil"/>
            </w:tcBorders>
            <w:noWrap/>
            <w:vAlign w:val="center"/>
          </w:tcPr>
          <w:p w14:paraId="3EC9979C">
            <w:pPr>
              <w:pStyle w:val="16"/>
              <w:bidi w:val="0"/>
              <w:rPr>
                <w:color w:val="auto"/>
              </w:rPr>
            </w:pPr>
          </w:p>
        </w:tc>
      </w:tr>
      <w:tr w14:paraId="41788A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42" w:type="pct"/>
            <w:vMerge w:val="continue"/>
            <w:tcBorders>
              <w:right w:val="single" w:color="auto" w:sz="4" w:space="0"/>
              <w:tl2br w:val="nil"/>
              <w:tr2bl w:val="nil"/>
            </w:tcBorders>
            <w:noWrap/>
            <w:vAlign w:val="center"/>
          </w:tcPr>
          <w:p w14:paraId="68ABB8E1">
            <w:pPr>
              <w:pStyle w:val="16"/>
              <w:bidi w:val="0"/>
              <w:rPr>
                <w:color w:val="auto"/>
              </w:rPr>
            </w:pPr>
          </w:p>
        </w:tc>
        <w:tc>
          <w:tcPr>
            <w:tcW w:w="507" w:type="pct"/>
            <w:tcBorders>
              <w:left w:val="single" w:color="auto" w:sz="4" w:space="0"/>
              <w:tl2br w:val="nil"/>
              <w:tr2bl w:val="nil"/>
            </w:tcBorders>
            <w:noWrap w:val="0"/>
            <w:vAlign w:val="center"/>
          </w:tcPr>
          <w:p w14:paraId="139AB5DE">
            <w:pPr>
              <w:pStyle w:val="16"/>
              <w:bidi w:val="0"/>
              <w:ind w:left="0" w:leftChars="0" w:firstLine="0" w:firstLineChars="0"/>
              <w:rPr>
                <w:color w:val="auto"/>
              </w:rPr>
            </w:pPr>
            <w:r>
              <w:rPr>
                <w:color w:val="auto"/>
              </w:rPr>
              <w:t>地面</w:t>
            </w:r>
          </w:p>
        </w:tc>
        <w:tc>
          <w:tcPr>
            <w:tcW w:w="467" w:type="pct"/>
            <w:tcBorders>
              <w:tl2br w:val="nil"/>
              <w:tr2bl w:val="nil"/>
            </w:tcBorders>
            <w:noWrap/>
            <w:vAlign w:val="center"/>
          </w:tcPr>
          <w:p w14:paraId="3D30770A">
            <w:pPr>
              <w:pStyle w:val="16"/>
              <w:bidi w:val="0"/>
              <w:ind w:left="0" w:leftChars="0" w:firstLine="0" w:firstLineChars="0"/>
              <w:rPr>
                <w:color w:val="auto"/>
              </w:rPr>
            </w:pPr>
            <w:r>
              <w:rPr>
                <w:color w:val="auto"/>
              </w:rPr>
              <w:t>0.0</w:t>
            </w:r>
            <w:r>
              <w:rPr>
                <w:rFonts w:hint="eastAsia"/>
                <w:color w:val="auto"/>
                <w:lang w:val="en-US" w:eastAsia="zh-CN"/>
              </w:rPr>
              <w:t>7</w:t>
            </w:r>
          </w:p>
        </w:tc>
        <w:tc>
          <w:tcPr>
            <w:tcW w:w="574" w:type="pct"/>
            <w:tcBorders>
              <w:tl2br w:val="nil"/>
              <w:tr2bl w:val="nil"/>
            </w:tcBorders>
            <w:noWrap/>
            <w:vAlign w:val="center"/>
          </w:tcPr>
          <w:p w14:paraId="66F305B4">
            <w:pPr>
              <w:pStyle w:val="16"/>
              <w:bidi w:val="0"/>
              <w:ind w:left="0" w:leftChars="0" w:firstLine="0" w:firstLineChars="0"/>
              <w:rPr>
                <w:color w:val="auto"/>
              </w:rPr>
            </w:pPr>
            <w:r>
              <w:rPr>
                <w:color w:val="auto"/>
              </w:rPr>
              <w:t>地面</w:t>
            </w:r>
          </w:p>
        </w:tc>
        <w:tc>
          <w:tcPr>
            <w:tcW w:w="703" w:type="pct"/>
            <w:tcBorders>
              <w:tl2br w:val="nil"/>
              <w:tr2bl w:val="nil"/>
            </w:tcBorders>
            <w:noWrap/>
            <w:vAlign w:val="center"/>
          </w:tcPr>
          <w:p w14:paraId="46D5E241">
            <w:pPr>
              <w:pStyle w:val="16"/>
              <w:bidi w:val="0"/>
              <w:rPr>
                <w:rFonts w:hint="eastAsia"/>
                <w:color w:val="auto"/>
                <w:lang w:val="en-US" w:eastAsia="zh-CN"/>
              </w:rPr>
            </w:pPr>
            <w:r>
              <w:rPr>
                <w:rFonts w:hint="default"/>
                <w:color w:val="auto"/>
                <w:lang w:val="en-US" w:eastAsia="zh-CN"/>
              </w:rPr>
              <w:t>38.8</w:t>
            </w:r>
          </w:p>
        </w:tc>
        <w:tc>
          <w:tcPr>
            <w:tcW w:w="1057" w:type="pct"/>
            <w:vMerge w:val="continue"/>
            <w:tcBorders>
              <w:tl2br w:val="nil"/>
              <w:tr2bl w:val="nil"/>
            </w:tcBorders>
            <w:noWrap/>
            <w:vAlign w:val="center"/>
          </w:tcPr>
          <w:p w14:paraId="159E77C4">
            <w:pPr>
              <w:pStyle w:val="16"/>
              <w:bidi w:val="0"/>
              <w:rPr>
                <w:color w:val="auto"/>
              </w:rPr>
            </w:pPr>
          </w:p>
        </w:tc>
        <w:tc>
          <w:tcPr>
            <w:tcW w:w="847" w:type="pct"/>
            <w:vMerge w:val="continue"/>
            <w:tcBorders>
              <w:tl2br w:val="nil"/>
              <w:tr2bl w:val="nil"/>
            </w:tcBorders>
            <w:noWrap/>
            <w:vAlign w:val="center"/>
          </w:tcPr>
          <w:p w14:paraId="4705E600">
            <w:pPr>
              <w:pStyle w:val="16"/>
              <w:bidi w:val="0"/>
              <w:rPr>
                <w:color w:val="auto"/>
              </w:rPr>
            </w:pPr>
          </w:p>
        </w:tc>
      </w:tr>
    </w:tbl>
    <w:p w14:paraId="6B9BB2C5">
      <w:pPr>
        <w:keepNext w:val="0"/>
        <w:keepLines w:val="0"/>
        <w:pageBreakBefore w:val="0"/>
        <w:widowControl w:val="0"/>
        <w:kinsoku/>
        <w:wordWrap/>
        <w:overflowPunct/>
        <w:topLinePunct w:val="0"/>
        <w:autoSpaceDE/>
        <w:autoSpaceDN/>
        <w:bidi w:val="0"/>
        <w:adjustRightInd/>
        <w:snapToGrid/>
        <w:spacing w:before="157" w:beforeLines="50"/>
        <w:textAlignment w:val="auto"/>
        <w:rPr>
          <w:color w:val="auto"/>
        </w:rPr>
      </w:pPr>
      <w:r>
        <w:rPr>
          <w:rFonts w:hint="eastAsia"/>
          <w:color w:val="auto"/>
        </w:rPr>
        <w:t>声源处于半自由声场，按如下公式计算。</w:t>
      </w:r>
    </w:p>
    <w:p w14:paraId="4C29CC9C">
      <w:pPr>
        <w:adjustRightInd w:val="0"/>
        <w:snapToGrid w:val="0"/>
        <w:spacing w:before="48" w:beforeLines="20" w:after="48" w:afterLines="20" w:line="360" w:lineRule="auto"/>
        <w:jc w:val="center"/>
        <w:rPr>
          <w:color w:val="auto"/>
          <w:sz w:val="24"/>
        </w:rPr>
      </w:pPr>
      <w:r>
        <w:rPr>
          <w:i/>
          <w:color w:val="auto"/>
          <w:position w:val="2"/>
          <w:sz w:val="24"/>
        </w:rPr>
        <w:t>L</w:t>
      </w:r>
      <w:r>
        <w:rPr>
          <w:rFonts w:hint="eastAsia"/>
          <w:iCs/>
          <w:color w:val="auto"/>
          <w:position w:val="-4"/>
          <w:sz w:val="24"/>
          <w:vertAlign w:val="subscript"/>
        </w:rPr>
        <w:t>A</w:t>
      </w:r>
      <w:r>
        <w:rPr>
          <w:rFonts w:ascii="Symbol" w:hAnsi="Symbol"/>
          <w:color w:val="auto"/>
          <w:sz w:val="24"/>
        </w:rPr>
        <w:t></w:t>
      </w:r>
      <w:r>
        <w:rPr>
          <w:i/>
          <w:color w:val="auto"/>
          <w:position w:val="2"/>
          <w:sz w:val="24"/>
        </w:rPr>
        <w:t>r</w:t>
      </w:r>
      <w:r>
        <w:rPr>
          <w:rFonts w:ascii="Symbol" w:hAnsi="Symbol"/>
          <w:color w:val="auto"/>
          <w:sz w:val="24"/>
        </w:rPr>
        <w:t></w:t>
      </w:r>
      <w:r>
        <w:rPr>
          <w:rFonts w:ascii="Symbol" w:hAnsi="Symbol"/>
          <w:color w:val="auto"/>
          <w:position w:val="2"/>
          <w:sz w:val="24"/>
        </w:rPr>
        <w:t></w:t>
      </w:r>
      <w:r>
        <w:rPr>
          <w:i/>
          <w:color w:val="auto"/>
          <w:position w:val="2"/>
          <w:sz w:val="24"/>
        </w:rPr>
        <w:t>L</w:t>
      </w:r>
      <w:r>
        <w:rPr>
          <w:rFonts w:hint="eastAsia"/>
          <w:iCs/>
          <w:color w:val="auto"/>
          <w:position w:val="-4"/>
          <w:sz w:val="24"/>
          <w:vertAlign w:val="subscript"/>
        </w:rPr>
        <w:t>A</w:t>
      </w:r>
      <w:r>
        <w:rPr>
          <w:i/>
          <w:color w:val="auto"/>
          <w:position w:val="-4"/>
          <w:sz w:val="24"/>
        </w:rPr>
        <w:t>w</w:t>
      </w:r>
      <w:r>
        <w:rPr>
          <w:rFonts w:ascii="Symbol" w:hAnsi="Symbol"/>
          <w:color w:val="auto"/>
          <w:position w:val="2"/>
          <w:sz w:val="24"/>
        </w:rPr>
        <w:t></w:t>
      </w:r>
      <w:r>
        <w:rPr>
          <w:color w:val="auto"/>
          <w:position w:val="2"/>
          <w:sz w:val="24"/>
        </w:rPr>
        <w:t>20lg</w:t>
      </w:r>
      <w:r>
        <w:rPr>
          <w:i/>
          <w:color w:val="auto"/>
          <w:position w:val="2"/>
          <w:sz w:val="24"/>
        </w:rPr>
        <w:t>r</w:t>
      </w:r>
      <w:r>
        <w:rPr>
          <w:rFonts w:ascii="Symbol" w:hAnsi="Symbol"/>
          <w:color w:val="auto"/>
          <w:position w:val="2"/>
          <w:sz w:val="24"/>
        </w:rPr>
        <w:t></w:t>
      </w:r>
      <w:r>
        <w:rPr>
          <w:color w:val="auto"/>
          <w:position w:val="2"/>
          <w:sz w:val="24"/>
        </w:rPr>
        <w:t>8</w:t>
      </w:r>
    </w:p>
    <w:p w14:paraId="3497414B">
      <w:pPr>
        <w:bidi w:val="0"/>
        <w:rPr>
          <w:color w:val="auto"/>
        </w:rPr>
      </w:pPr>
      <w:r>
        <w:rPr>
          <w:rFonts w:hint="eastAsia"/>
          <w:color w:val="auto"/>
        </w:rPr>
        <w:t>式中：</w:t>
      </w:r>
      <w:r>
        <w:rPr>
          <w:color w:val="auto"/>
        </w:rPr>
        <w:t>LA</w:t>
      </w:r>
      <w:r>
        <w:rPr>
          <w:rFonts w:hint="eastAsia"/>
          <w:color w:val="auto"/>
          <w:lang w:eastAsia="zh-CN"/>
        </w:rPr>
        <w:t>（</w:t>
      </w:r>
      <w:r>
        <w:rPr>
          <w:color w:val="auto"/>
        </w:rPr>
        <w:t>r</w:t>
      </w:r>
      <w:r>
        <w:rPr>
          <w:rFonts w:hint="eastAsia"/>
          <w:color w:val="auto"/>
          <w:lang w:eastAsia="zh-CN"/>
        </w:rPr>
        <w:t>）</w:t>
      </w:r>
      <w:r>
        <w:rPr>
          <w:color w:val="auto"/>
        </w:rPr>
        <w:t>——距声源r处的A声级，dB</w:t>
      </w:r>
      <w:r>
        <w:rPr>
          <w:rFonts w:hint="eastAsia"/>
          <w:color w:val="auto"/>
          <w:lang w:eastAsia="zh-CN"/>
        </w:rPr>
        <w:t>（</w:t>
      </w:r>
      <w:r>
        <w:rPr>
          <w:color w:val="auto"/>
        </w:rPr>
        <w:t>A</w:t>
      </w:r>
      <w:r>
        <w:rPr>
          <w:rFonts w:hint="eastAsia"/>
          <w:color w:val="auto"/>
          <w:lang w:eastAsia="zh-CN"/>
        </w:rPr>
        <w:t>）</w:t>
      </w:r>
      <w:r>
        <w:rPr>
          <w:color w:val="auto"/>
        </w:rPr>
        <w:t>；</w:t>
      </w:r>
    </w:p>
    <w:p w14:paraId="50315DFF">
      <w:pPr>
        <w:bidi w:val="0"/>
        <w:ind w:firstLine="1200" w:firstLineChars="500"/>
        <w:rPr>
          <w:color w:val="auto"/>
        </w:rPr>
      </w:pPr>
      <w:r>
        <w:rPr>
          <w:color w:val="auto"/>
        </w:rPr>
        <w:t>LAw——点声源A计权声功率级，dB；</w:t>
      </w:r>
    </w:p>
    <w:p w14:paraId="066F10C5">
      <w:pPr>
        <w:bidi w:val="0"/>
        <w:ind w:firstLine="1200" w:firstLineChars="500"/>
        <w:rPr>
          <w:color w:val="auto"/>
        </w:rPr>
      </w:pPr>
      <w:r>
        <w:rPr>
          <w:color w:val="auto"/>
        </w:rPr>
        <w:t>r——预测点距声源的距离。</w:t>
      </w:r>
    </w:p>
    <w:p w14:paraId="24677D42">
      <w:pPr>
        <w:bidi w:val="0"/>
        <w:rPr>
          <w:b/>
          <w:bCs/>
          <w:color w:val="auto"/>
        </w:rPr>
      </w:pPr>
      <w:r>
        <w:rPr>
          <w:rFonts w:hint="eastAsia"/>
          <w:b/>
          <w:bCs/>
          <w:color w:val="auto"/>
        </w:rPr>
        <w:t>②建筑物外噪声计算</w:t>
      </w:r>
    </w:p>
    <w:p w14:paraId="2D303544">
      <w:pPr>
        <w:bidi w:val="0"/>
        <w:rPr>
          <w:color w:val="auto"/>
        </w:rPr>
      </w:pPr>
      <w:r>
        <w:rPr>
          <w:rFonts w:hint="eastAsia"/>
          <w:color w:val="auto"/>
        </w:rPr>
        <w:t>根据《环境影响评价技术导则 声环境》（HJ2.4-2021）附录B.1.3室内声源等效室外声源声功率级计算方法，按下式计算出靠近室外围挡结构处的声压级。</w:t>
      </w:r>
    </w:p>
    <w:p w14:paraId="5C76E127">
      <w:pPr>
        <w:pStyle w:val="193"/>
        <w:spacing w:line="360" w:lineRule="auto"/>
        <w:ind w:firstLine="0" w:firstLineChars="0"/>
        <w:jc w:val="center"/>
        <w:textAlignment w:val="baseline"/>
        <w:rPr>
          <w:rFonts w:hint="default" w:ascii="Times New Roman" w:hAnsi="Times New Roman" w:eastAsia="宋体" w:cs="Times New Roman"/>
          <w:snapToGrid w:val="0"/>
          <w:color w:val="auto"/>
          <w:sz w:val="24"/>
        </w:rPr>
      </w:pPr>
      <w:r>
        <w:rPr>
          <w:rFonts w:hint="default" w:ascii="Times New Roman" w:hAnsi="Times New Roman" w:eastAsia="宋体" w:cs="Times New Roman"/>
          <w:i/>
          <w:iCs/>
          <w:snapToGrid w:val="0"/>
          <w:color w:val="auto"/>
          <w:sz w:val="24"/>
        </w:rPr>
        <w:t>Lp</w:t>
      </w:r>
      <w:r>
        <w:rPr>
          <w:rFonts w:hint="default" w:ascii="Times New Roman" w:hAnsi="Times New Roman" w:eastAsia="宋体" w:cs="Times New Roman"/>
          <w:i/>
          <w:iCs/>
          <w:snapToGrid w:val="0"/>
          <w:color w:val="auto"/>
          <w:sz w:val="24"/>
          <w:vertAlign w:val="subscript"/>
        </w:rPr>
        <w:t>2i</w:t>
      </w:r>
      <w:r>
        <w:rPr>
          <w:rFonts w:hint="default" w:ascii="Times New Roman" w:hAnsi="Times New Roman" w:eastAsia="宋体" w:cs="Times New Roman"/>
          <w:i/>
          <w:iCs/>
          <w:snapToGrid w:val="0"/>
          <w:color w:val="auto"/>
          <w:sz w:val="24"/>
        </w:rPr>
        <w:t>（T）</w:t>
      </w:r>
      <w:r>
        <w:rPr>
          <w:rFonts w:hint="default" w:ascii="Times New Roman" w:hAnsi="Times New Roman" w:eastAsia="宋体" w:cs="Times New Roman"/>
          <w:snapToGrid w:val="0"/>
          <w:color w:val="auto"/>
          <w:sz w:val="24"/>
        </w:rPr>
        <w:t>=</w:t>
      </w:r>
      <w:r>
        <w:rPr>
          <w:rFonts w:hint="default" w:ascii="Times New Roman" w:hAnsi="Times New Roman" w:eastAsia="宋体" w:cs="Times New Roman"/>
          <w:i/>
          <w:iCs/>
          <w:snapToGrid w:val="0"/>
          <w:color w:val="auto"/>
          <w:sz w:val="24"/>
        </w:rPr>
        <w:t>Lp</w:t>
      </w:r>
      <w:r>
        <w:rPr>
          <w:rFonts w:hint="default" w:ascii="Times New Roman" w:hAnsi="Times New Roman" w:eastAsia="宋体" w:cs="Times New Roman"/>
          <w:i/>
          <w:iCs/>
          <w:snapToGrid w:val="0"/>
          <w:color w:val="auto"/>
          <w:sz w:val="24"/>
          <w:vertAlign w:val="subscript"/>
        </w:rPr>
        <w:t>1i</w:t>
      </w:r>
      <w:r>
        <w:rPr>
          <w:rFonts w:hint="default" w:ascii="Times New Roman" w:hAnsi="Times New Roman" w:eastAsia="宋体" w:cs="Times New Roman"/>
          <w:i/>
          <w:iCs/>
          <w:snapToGrid w:val="0"/>
          <w:color w:val="auto"/>
          <w:sz w:val="24"/>
        </w:rPr>
        <w:t>（T）</w:t>
      </w:r>
      <w:r>
        <w:rPr>
          <w:rFonts w:hint="default" w:ascii="Times New Roman" w:hAnsi="Times New Roman" w:eastAsia="宋体" w:cs="Times New Roman"/>
          <w:snapToGrid w:val="0"/>
          <w:color w:val="auto"/>
          <w:sz w:val="24"/>
        </w:rPr>
        <w:t>-（</w:t>
      </w:r>
      <w:r>
        <w:rPr>
          <w:rFonts w:hint="default" w:ascii="Times New Roman" w:hAnsi="Times New Roman" w:eastAsia="宋体" w:cs="Times New Roman"/>
          <w:i/>
          <w:iCs/>
          <w:snapToGrid w:val="0"/>
          <w:color w:val="auto"/>
          <w:sz w:val="24"/>
        </w:rPr>
        <w:t>T</w:t>
      </w:r>
      <w:r>
        <w:rPr>
          <w:rFonts w:hint="default" w:ascii="Times New Roman" w:hAnsi="Times New Roman" w:eastAsia="宋体" w:cs="Times New Roman"/>
          <w:i/>
          <w:iCs/>
          <w:snapToGrid w:val="0"/>
          <w:color w:val="auto"/>
          <w:sz w:val="24"/>
          <w:vertAlign w:val="subscript"/>
        </w:rPr>
        <w:t>L</w:t>
      </w:r>
      <w:r>
        <w:rPr>
          <w:rFonts w:hint="default" w:ascii="Times New Roman" w:hAnsi="Times New Roman" w:eastAsia="宋体" w:cs="Times New Roman"/>
          <w:snapToGrid w:val="0"/>
          <w:color w:val="auto"/>
          <w:sz w:val="24"/>
        </w:rPr>
        <w:t>+6）</w:t>
      </w:r>
    </w:p>
    <w:p w14:paraId="23366E70">
      <w:pPr>
        <w:bidi w:val="0"/>
        <w:rPr>
          <w:color w:val="auto"/>
        </w:rPr>
      </w:pPr>
      <w:r>
        <w:rPr>
          <w:rFonts w:hint="eastAsia"/>
          <w:color w:val="auto"/>
        </w:rPr>
        <w:t>式中：</w:t>
      </w:r>
    </w:p>
    <w:p w14:paraId="01717B58">
      <w:pPr>
        <w:bidi w:val="0"/>
        <w:rPr>
          <w:color w:val="auto"/>
        </w:rPr>
      </w:pPr>
      <w:r>
        <w:rPr>
          <w:rFonts w:hint="eastAsia"/>
          <w:color w:val="auto"/>
        </w:rPr>
        <w:t>L</w:t>
      </w:r>
      <w:r>
        <w:rPr>
          <w:rFonts w:hint="eastAsia"/>
          <w:color w:val="auto"/>
          <w:vertAlign w:val="subscript"/>
        </w:rPr>
        <w:t>P</w:t>
      </w:r>
      <w:r>
        <w:rPr>
          <w:color w:val="auto"/>
          <w:vertAlign w:val="subscript"/>
        </w:rPr>
        <w:t>2</w:t>
      </w:r>
      <w:r>
        <w:rPr>
          <w:rFonts w:hint="eastAsia"/>
          <w:color w:val="auto"/>
          <w:vertAlign w:val="subscript"/>
        </w:rPr>
        <w:t>i</w:t>
      </w:r>
      <w:r>
        <w:rPr>
          <w:rFonts w:hint="eastAsia"/>
          <w:color w:val="auto"/>
        </w:rPr>
        <w:t>（T）—</w:t>
      </w:r>
      <w:r>
        <w:rPr>
          <w:color w:val="auto"/>
        </w:rPr>
        <w:t>靠近围护结构处室</w:t>
      </w:r>
      <w:r>
        <w:rPr>
          <w:rFonts w:hint="eastAsia"/>
          <w:color w:val="auto"/>
        </w:rPr>
        <w:t>外</w:t>
      </w:r>
      <w:r>
        <w:rPr>
          <w:color w:val="auto"/>
        </w:rPr>
        <w:t>N个声源i倍频带的叠加声压级，dB；</w:t>
      </w:r>
    </w:p>
    <w:p w14:paraId="78B9811D">
      <w:pPr>
        <w:bidi w:val="0"/>
        <w:rPr>
          <w:color w:val="auto"/>
        </w:rPr>
      </w:pPr>
      <w:r>
        <w:rPr>
          <w:color w:val="auto"/>
        </w:rPr>
        <w:t>L</w:t>
      </w:r>
      <w:r>
        <w:rPr>
          <w:color w:val="auto"/>
          <w:vertAlign w:val="subscript"/>
        </w:rPr>
        <w:t>P1i</w:t>
      </w:r>
      <w:r>
        <w:rPr>
          <w:rFonts w:hint="eastAsia"/>
          <w:color w:val="auto"/>
          <w:lang w:eastAsia="zh-CN"/>
        </w:rPr>
        <w:t>（</w:t>
      </w:r>
      <w:r>
        <w:rPr>
          <w:color w:val="auto"/>
        </w:rPr>
        <w:t>T</w:t>
      </w:r>
      <w:r>
        <w:rPr>
          <w:rFonts w:hint="eastAsia"/>
          <w:color w:val="auto"/>
          <w:lang w:eastAsia="zh-CN"/>
        </w:rPr>
        <w:t>）</w:t>
      </w:r>
      <w:r>
        <w:rPr>
          <w:color w:val="auto"/>
        </w:rPr>
        <w:t>—靠近围护结构处室内N个声源i倍频带的叠加声压级，dB；</w:t>
      </w:r>
    </w:p>
    <w:p w14:paraId="7B77D0F3">
      <w:pPr>
        <w:bidi w:val="0"/>
        <w:rPr>
          <w:rFonts w:hint="eastAsia" w:eastAsia="宋体"/>
          <w:color w:val="auto"/>
          <w:lang w:eastAsia="zh-CN"/>
        </w:rPr>
      </w:pPr>
      <w:r>
        <w:rPr>
          <w:rFonts w:hint="eastAsia"/>
          <w:color w:val="auto"/>
          <w:vertAlign w:val="baseline"/>
        </w:rPr>
        <w:t>T</w:t>
      </w:r>
      <w:r>
        <w:rPr>
          <w:rFonts w:hint="eastAsia"/>
          <w:color w:val="auto"/>
          <w:vertAlign w:val="subscript"/>
        </w:rPr>
        <w:t>Li</w:t>
      </w:r>
      <w:r>
        <w:rPr>
          <w:rFonts w:hint="eastAsia"/>
          <w:color w:val="auto"/>
        </w:rPr>
        <w:t>—围挡结构隔声量，dB</w:t>
      </w:r>
      <w:r>
        <w:rPr>
          <w:rFonts w:hint="eastAsia"/>
          <w:color w:val="auto"/>
          <w:lang w:eastAsia="zh-CN"/>
        </w:rPr>
        <w:t>。</w:t>
      </w:r>
    </w:p>
    <w:p w14:paraId="2E779099">
      <w:pPr>
        <w:bidi w:val="0"/>
        <w:rPr>
          <w:b/>
          <w:bCs/>
          <w:color w:val="auto"/>
        </w:rPr>
      </w:pPr>
      <w:r>
        <w:rPr>
          <w:rFonts w:hint="eastAsia"/>
          <w:b/>
          <w:bCs/>
          <w:color w:val="auto"/>
        </w:rPr>
        <w:t>③建筑隔声量取值</w:t>
      </w:r>
    </w:p>
    <w:p w14:paraId="66E44E9E">
      <w:pPr>
        <w:bidi w:val="0"/>
        <w:rPr>
          <w:color w:val="auto"/>
        </w:rPr>
      </w:pPr>
      <w:r>
        <w:rPr>
          <w:rFonts w:hint="eastAsia" w:cs="Times New Roman"/>
          <w:bCs/>
          <w:color w:val="auto"/>
          <w:sz w:val="24"/>
          <w:lang w:val="en-US" w:eastAsia="zh-CN"/>
        </w:rPr>
        <w:t>根据计算，本项目建筑物四周均为混凝土墙体，安装有钢门，根据《环境工程手册 环境噪声控制卷》（郑长聚/2000年/高等教育出版社）中表4-14可知，75厚加气混凝土墙（砌块两面抹灰），墙体隔声量平均值为</w:t>
      </w:r>
      <w:r>
        <w:rPr>
          <w:rFonts w:hint="eastAsia"/>
          <w:color w:val="auto"/>
          <w:kern w:val="21"/>
          <w:sz w:val="24"/>
          <w:lang w:val="en-US" w:eastAsia="zh-CN"/>
        </w:rPr>
        <w:t>38.8</w:t>
      </w:r>
      <w:r>
        <w:rPr>
          <w:rFonts w:hint="eastAsia"/>
          <w:color w:val="auto"/>
          <w:kern w:val="21"/>
          <w:sz w:val="24"/>
        </w:rPr>
        <w:t>dB</w:t>
      </w:r>
      <w:r>
        <w:rPr>
          <w:rFonts w:hint="eastAsia"/>
          <w:color w:val="auto"/>
          <w:kern w:val="21"/>
          <w:sz w:val="24"/>
          <w:lang w:eastAsia="zh-CN"/>
        </w:rPr>
        <w:t>。</w:t>
      </w:r>
    </w:p>
    <w:p w14:paraId="2C125662">
      <w:pPr>
        <w:bidi w:val="0"/>
        <w:rPr>
          <w:color w:val="auto"/>
        </w:rPr>
      </w:pPr>
      <w:r>
        <w:rPr>
          <w:color w:val="auto"/>
        </w:rPr>
        <w:t>本项目噪声主要来源于各类泵、风机、电机，噪声多为中低频，声级值范围75~95dB</w:t>
      </w:r>
      <w:r>
        <w:rPr>
          <w:rFonts w:hint="eastAsia"/>
          <w:color w:val="auto"/>
          <w:lang w:eastAsia="zh-CN"/>
        </w:rPr>
        <w:t>（</w:t>
      </w:r>
      <w:r>
        <w:rPr>
          <w:color w:val="auto"/>
        </w:rPr>
        <w:t>Α</w:t>
      </w:r>
      <w:r>
        <w:rPr>
          <w:rFonts w:hint="eastAsia"/>
          <w:color w:val="auto"/>
          <w:lang w:eastAsia="zh-CN"/>
        </w:rPr>
        <w:t>）</w:t>
      </w:r>
      <w:r>
        <w:rPr>
          <w:color w:val="auto"/>
        </w:rPr>
        <w:t>。拟采取消、隔声、减振及优化总图布置的方式来确保厂界达标。项目设备噪声源强及降噪措施见</w:t>
      </w:r>
      <w:r>
        <w:rPr>
          <w:rFonts w:hint="eastAsia"/>
          <w:color w:val="auto"/>
          <w:lang w:val="en-US" w:eastAsia="zh-CN"/>
        </w:rPr>
        <w:t>表2.5-5和表2.5-6</w:t>
      </w:r>
      <w:r>
        <w:rPr>
          <w:color w:val="auto"/>
        </w:rPr>
        <w:t>。</w:t>
      </w:r>
    </w:p>
    <w:p w14:paraId="72D6AA8D">
      <w:pPr>
        <w:bidi w:val="0"/>
        <w:rPr>
          <w:b/>
          <w:bCs/>
          <w:color w:val="auto"/>
        </w:rPr>
      </w:pPr>
      <w:r>
        <w:rPr>
          <w:rFonts w:hint="eastAsia"/>
          <w:b/>
          <w:bCs/>
          <w:color w:val="auto"/>
          <w:lang w:val="en-US" w:eastAsia="zh-CN"/>
        </w:rPr>
        <w:t>2、</w:t>
      </w:r>
      <w:r>
        <w:rPr>
          <w:rFonts w:hint="eastAsia"/>
          <w:b/>
          <w:bCs/>
          <w:color w:val="auto"/>
        </w:rPr>
        <w:t>噪声影响估算</w:t>
      </w:r>
    </w:p>
    <w:p w14:paraId="29BADC55">
      <w:pPr>
        <w:adjustRightInd w:val="0"/>
        <w:snapToGrid w:val="0"/>
        <w:spacing w:line="360" w:lineRule="auto"/>
        <w:ind w:firstLine="480" w:firstLineChars="200"/>
        <w:rPr>
          <w:rFonts w:hint="default" w:ascii="Times New Roman" w:hAnsi="Times New Roman" w:cs="Times New Roman"/>
          <w:snapToGrid w:val="0"/>
          <w:color w:val="auto"/>
          <w:sz w:val="24"/>
        </w:rPr>
      </w:pPr>
      <w:r>
        <w:rPr>
          <w:rFonts w:hint="default" w:ascii="Times New Roman" w:hAnsi="Times New Roman" w:cs="Times New Roman"/>
          <w:color w:val="auto"/>
          <w:sz w:val="24"/>
        </w:rPr>
        <w:t>为了解本项目建成</w:t>
      </w:r>
      <w:r>
        <w:rPr>
          <w:rFonts w:hint="default" w:ascii="Times New Roman" w:hAnsi="Times New Roman" w:cs="Times New Roman"/>
          <w:color w:val="auto"/>
          <w:sz w:val="24"/>
          <w:lang w:eastAsia="zh-CN"/>
        </w:rPr>
        <w:t>运营</w:t>
      </w:r>
      <w:r>
        <w:rPr>
          <w:rFonts w:hint="default" w:ascii="Times New Roman" w:hAnsi="Times New Roman" w:cs="Times New Roman"/>
          <w:color w:val="auto"/>
          <w:sz w:val="24"/>
        </w:rPr>
        <w:t>后对周边环境影响，本项目参考</w:t>
      </w:r>
      <w:r>
        <w:rPr>
          <w:rFonts w:hint="default" w:ascii="Times New Roman" w:hAnsi="Times New Roman" w:cs="Times New Roman"/>
          <w:snapToGrid w:val="0"/>
          <w:color w:val="auto"/>
          <w:sz w:val="24"/>
        </w:rPr>
        <w:t>《环境影响评价技术导则 声环境》（HJ2.4-2021）推荐的噪声传播衰减模式预测项目噪声对周边环境影响。</w:t>
      </w:r>
    </w:p>
    <w:p w14:paraId="17DDE16A">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snapToGrid w:val="0"/>
          <w:color w:val="auto"/>
          <w:sz w:val="24"/>
        </w:rPr>
        <w:t>1）预测模式</w:t>
      </w:r>
    </w:p>
    <w:p w14:paraId="4ECE9621">
      <w:pPr>
        <w:pStyle w:val="193"/>
        <w:spacing w:line="360" w:lineRule="auto"/>
        <w:ind w:left="0" w:leftChars="0" w:firstLine="482" w:firstLineChars="200"/>
        <w:textAlignment w:val="baseline"/>
        <w:rPr>
          <w:rFonts w:hint="default" w:ascii="Times New Roman" w:hAnsi="Times New Roman" w:eastAsia="宋体" w:cs="Times New Roman"/>
          <w:b/>
          <w:bCs/>
          <w:snapToGrid w:val="0"/>
          <w:color w:val="auto"/>
          <w:sz w:val="24"/>
          <w:szCs w:val="24"/>
        </w:rPr>
      </w:pPr>
      <w:r>
        <w:rPr>
          <w:rFonts w:hint="default" w:ascii="Times New Roman" w:hAnsi="Times New Roman" w:eastAsia="宋体" w:cs="Times New Roman"/>
          <w:b/>
          <w:bCs/>
          <w:snapToGrid w:val="0"/>
          <w:color w:val="auto"/>
          <w:sz w:val="24"/>
          <w:szCs w:val="24"/>
        </w:rPr>
        <w:t>室内声源等效室外声源声功率级计算方法：</w:t>
      </w:r>
    </w:p>
    <w:p w14:paraId="5F86D0E3">
      <w:pPr>
        <w:pStyle w:val="193"/>
        <w:spacing w:line="360" w:lineRule="auto"/>
        <w:ind w:left="0" w:leftChars="0" w:firstLine="480" w:firstLineChars="20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设靠近开口处（或窗户）室内、室外某倍频带的声压级或A声级分别为Lp1和Lp2。若声源所在室内声场为近似扩散声场，则室外的倍频带声压级可按式（B.1）近似求出：</w:t>
      </w:r>
    </w:p>
    <w:p w14:paraId="41C5F4AB">
      <w:pPr>
        <w:pStyle w:val="193"/>
        <w:spacing w:line="360" w:lineRule="auto"/>
        <w:ind w:firstLine="480"/>
        <w:jc w:val="center"/>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drawing>
          <wp:inline distT="0" distB="0" distL="114300" distR="114300">
            <wp:extent cx="2229485" cy="338455"/>
            <wp:effectExtent l="0" t="0" r="18415" b="4445"/>
            <wp:docPr id="6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9"/>
                    <pic:cNvPicPr>
                      <a:picLocks noChangeAspect="1"/>
                    </pic:cNvPicPr>
                  </pic:nvPicPr>
                  <pic:blipFill>
                    <a:blip r:embed="rId97"/>
                    <a:stretch>
                      <a:fillRect/>
                    </a:stretch>
                  </pic:blipFill>
                  <pic:spPr>
                    <a:xfrm>
                      <a:off x="0" y="0"/>
                      <a:ext cx="2229485" cy="338455"/>
                    </a:xfrm>
                    <a:prstGeom prst="rect">
                      <a:avLst/>
                    </a:prstGeom>
                    <a:noFill/>
                    <a:ln>
                      <a:noFill/>
                    </a:ln>
                  </pic:spPr>
                </pic:pic>
              </a:graphicData>
            </a:graphic>
          </wp:inline>
        </w:drawing>
      </w:r>
    </w:p>
    <w:p w14:paraId="2A1A3CB0">
      <w:pPr>
        <w:pStyle w:val="193"/>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式中：L</w:t>
      </w:r>
      <w:r>
        <w:rPr>
          <w:rFonts w:hint="default" w:ascii="Times New Roman" w:hAnsi="Times New Roman" w:eastAsia="宋体" w:cs="Times New Roman"/>
          <w:snapToGrid w:val="0"/>
          <w:color w:val="auto"/>
          <w:sz w:val="24"/>
          <w:szCs w:val="24"/>
          <w:vertAlign w:val="subscript"/>
        </w:rPr>
        <w:t>p</w:t>
      </w:r>
      <w:r>
        <w:rPr>
          <w:rFonts w:hint="default" w:ascii="Times New Roman" w:hAnsi="Times New Roman" w:eastAsia="宋体" w:cs="Times New Roman"/>
          <w:snapToGrid w:val="0"/>
          <w:color w:val="auto"/>
          <w:sz w:val="24"/>
          <w:szCs w:val="24"/>
          <w:vertAlign w:val="subscript"/>
          <w:lang w:val="en-US" w:eastAsia="zh-CN"/>
        </w:rPr>
        <w:t>1</w:t>
      </w:r>
      <w:r>
        <w:rPr>
          <w:rFonts w:hint="default" w:ascii="Times New Roman" w:hAnsi="Times New Roman" w:eastAsia="宋体" w:cs="Times New Roman"/>
          <w:snapToGrid w:val="0"/>
          <w:color w:val="auto"/>
          <w:sz w:val="24"/>
          <w:szCs w:val="24"/>
          <w:lang w:eastAsia="zh-CN"/>
        </w:rPr>
        <w:t>——</w:t>
      </w:r>
      <w:r>
        <w:rPr>
          <w:rFonts w:hint="default" w:ascii="Times New Roman" w:hAnsi="Times New Roman" w:eastAsia="宋体" w:cs="Times New Roman"/>
          <w:snapToGrid w:val="0"/>
          <w:color w:val="auto"/>
          <w:sz w:val="24"/>
          <w:szCs w:val="24"/>
        </w:rPr>
        <w:t>靠近开口处（或窗户）室内某倍频带的声压级或A声级，dB；</w:t>
      </w:r>
    </w:p>
    <w:p w14:paraId="60F39BC2">
      <w:pPr>
        <w:pStyle w:val="193"/>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L</w:t>
      </w:r>
      <w:r>
        <w:rPr>
          <w:rFonts w:hint="default" w:ascii="Times New Roman" w:hAnsi="Times New Roman" w:eastAsia="宋体" w:cs="Times New Roman"/>
          <w:snapToGrid w:val="0"/>
          <w:color w:val="auto"/>
          <w:sz w:val="24"/>
          <w:szCs w:val="24"/>
          <w:vertAlign w:val="subscript"/>
        </w:rPr>
        <w:t>p2</w:t>
      </w:r>
      <w:r>
        <w:rPr>
          <w:rFonts w:hint="default" w:ascii="Times New Roman" w:hAnsi="Times New Roman" w:eastAsia="宋体" w:cs="Times New Roman"/>
          <w:snapToGrid w:val="0"/>
          <w:color w:val="auto"/>
          <w:sz w:val="24"/>
          <w:szCs w:val="24"/>
        </w:rPr>
        <w:t>——靠近开口处（或窗户）室外某倍频带的声压级或A声级，dB；</w:t>
      </w:r>
    </w:p>
    <w:p w14:paraId="1843299A">
      <w:pPr>
        <w:pStyle w:val="193"/>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TL——隔墙（或窗户）倍频带或A声级的隔声量，dB。</w:t>
      </w:r>
    </w:p>
    <w:p w14:paraId="51724B7D">
      <w:pPr>
        <w:pStyle w:val="193"/>
        <w:spacing w:line="360" w:lineRule="auto"/>
        <w:ind w:left="0" w:leftChars="0" w:firstLine="480" w:firstLineChars="20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也可按式（B.2）计算某一室内声源靠近围护结构处产生的倍频带声压级或A声级：</w:t>
      </w:r>
    </w:p>
    <w:p w14:paraId="39200DE7">
      <w:pPr>
        <w:pStyle w:val="193"/>
        <w:spacing w:line="360" w:lineRule="auto"/>
        <w:ind w:firstLine="480"/>
        <w:jc w:val="center"/>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w:t>
      </w:r>
      <w:r>
        <w:rPr>
          <w:rFonts w:hint="default" w:ascii="Times New Roman" w:hAnsi="Times New Roman" w:cs="Times New Roman"/>
          <w:color w:val="auto"/>
          <w:sz w:val="24"/>
          <w:szCs w:val="24"/>
        </w:rPr>
        <w:drawing>
          <wp:inline distT="0" distB="0" distL="114300" distR="114300">
            <wp:extent cx="2667000" cy="485775"/>
            <wp:effectExtent l="0" t="0" r="0" b="9525"/>
            <wp:docPr id="6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0"/>
                    <pic:cNvPicPr>
                      <a:picLocks noChangeAspect="1"/>
                    </pic:cNvPicPr>
                  </pic:nvPicPr>
                  <pic:blipFill>
                    <a:blip r:embed="rId98"/>
                    <a:stretch>
                      <a:fillRect/>
                    </a:stretch>
                  </pic:blipFill>
                  <pic:spPr>
                    <a:xfrm>
                      <a:off x="0" y="0"/>
                      <a:ext cx="2667000" cy="485775"/>
                    </a:xfrm>
                    <a:prstGeom prst="rect">
                      <a:avLst/>
                    </a:prstGeom>
                    <a:noFill/>
                    <a:ln>
                      <a:noFill/>
                    </a:ln>
                  </pic:spPr>
                </pic:pic>
              </a:graphicData>
            </a:graphic>
          </wp:inline>
        </w:drawing>
      </w:r>
    </w:p>
    <w:p w14:paraId="73E8F4F2">
      <w:pPr>
        <w:pStyle w:val="193"/>
        <w:spacing w:line="360" w:lineRule="auto"/>
        <w:ind w:left="0" w:leftChars="0" w:firstLine="480" w:firstLineChars="20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式中：L</w:t>
      </w:r>
      <w:r>
        <w:rPr>
          <w:rFonts w:hint="default" w:ascii="Times New Roman" w:hAnsi="Times New Roman" w:eastAsia="宋体" w:cs="Times New Roman"/>
          <w:snapToGrid w:val="0"/>
          <w:color w:val="auto"/>
          <w:sz w:val="24"/>
          <w:szCs w:val="24"/>
          <w:vertAlign w:val="subscript"/>
        </w:rPr>
        <w:t>p</w:t>
      </w:r>
      <w:r>
        <w:rPr>
          <w:rFonts w:hint="default" w:ascii="Times New Roman" w:hAnsi="Times New Roman" w:eastAsia="宋体" w:cs="Times New Roman"/>
          <w:snapToGrid w:val="0"/>
          <w:color w:val="auto"/>
          <w:sz w:val="24"/>
          <w:szCs w:val="24"/>
          <w:vertAlign w:val="subscript"/>
          <w:lang w:val="en-US" w:eastAsia="zh-CN"/>
        </w:rPr>
        <w:t>1</w:t>
      </w:r>
      <w:r>
        <w:rPr>
          <w:rFonts w:hint="default" w:ascii="Times New Roman" w:hAnsi="Times New Roman" w:eastAsia="宋体" w:cs="Times New Roman"/>
          <w:snapToGrid w:val="0"/>
          <w:color w:val="auto"/>
          <w:sz w:val="24"/>
          <w:szCs w:val="24"/>
        </w:rPr>
        <w:t>——靠近开口处（或窗户）室内某倍频带的声压级或A声级，dB；</w:t>
      </w:r>
    </w:p>
    <w:p w14:paraId="1EC8C19C">
      <w:pPr>
        <w:pStyle w:val="193"/>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Lw——点声源声功率级（A计权或倍频带），dB；</w:t>
      </w:r>
    </w:p>
    <w:p w14:paraId="06AEAAA5">
      <w:pPr>
        <w:pStyle w:val="193"/>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Q——指向性因数；通常对无指向性声源，当声源放在房间中心时，Q=1；当放在一面墙的中心时，Q=2；当放在两面墙夹角处时，Q=4；当放在三面墙夹角处时，Q=8；</w:t>
      </w:r>
    </w:p>
    <w:p w14:paraId="2DCA5996">
      <w:pPr>
        <w:keepNext w:val="0"/>
        <w:keepLines w:val="0"/>
        <w:widowControl/>
        <w:suppressLineNumbers w:val="0"/>
        <w:spacing w:line="360" w:lineRule="auto"/>
        <w:ind w:firstLine="480" w:firstLineChars="200"/>
        <w:jc w:val="left"/>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R——房间常数；R=Sα/（1—</w:t>
      </w:r>
      <w:r>
        <w:rPr>
          <w:rFonts w:hint="default" w:ascii="Times New Roman" w:hAnsi="Times New Roman" w:eastAsia="宋体" w:cs="Times New Roman"/>
          <w:i/>
          <w:iCs/>
          <w:color w:val="auto"/>
          <w:kern w:val="0"/>
          <w:sz w:val="24"/>
          <w:szCs w:val="24"/>
          <w:lang w:val="en-US" w:eastAsia="zh-CN" w:bidi="ar"/>
        </w:rPr>
        <w:t>α</w:t>
      </w:r>
      <w:r>
        <w:rPr>
          <w:rFonts w:hint="default" w:ascii="Times New Roman" w:hAnsi="Times New Roman" w:eastAsia="宋体" w:cs="Times New Roman"/>
          <w:snapToGrid w:val="0"/>
          <w:color w:val="auto"/>
          <w:sz w:val="24"/>
          <w:szCs w:val="24"/>
        </w:rPr>
        <w:t>），S为房间内表面面积，</w:t>
      </w:r>
      <w:r>
        <w:rPr>
          <w:rFonts w:hint="default" w:ascii="Times New Roman" w:hAnsi="Times New Roman" w:cs="Times New Roman"/>
          <w:snapToGrid w:val="0"/>
          <w:color w:val="auto"/>
          <w:sz w:val="24"/>
          <w:szCs w:val="24"/>
          <w:lang w:eastAsia="zh-CN"/>
        </w:rPr>
        <w:t>m²</w:t>
      </w:r>
      <w:r>
        <w:rPr>
          <w:rFonts w:hint="default" w:ascii="Times New Roman" w:hAnsi="Times New Roman" w:eastAsia="宋体" w:cs="Times New Roman"/>
          <w:snapToGrid w:val="0"/>
          <w:color w:val="auto"/>
          <w:sz w:val="24"/>
          <w:szCs w:val="24"/>
        </w:rPr>
        <w:t>；</w:t>
      </w:r>
      <w:r>
        <w:rPr>
          <w:rFonts w:hint="default" w:ascii="Times New Roman" w:hAnsi="Times New Roman" w:eastAsia="宋体" w:cs="Times New Roman"/>
          <w:i/>
          <w:iCs/>
          <w:color w:val="auto"/>
          <w:kern w:val="0"/>
          <w:sz w:val="24"/>
          <w:szCs w:val="24"/>
          <w:lang w:val="en-US" w:eastAsia="zh-CN" w:bidi="ar"/>
        </w:rPr>
        <w:t>α</w:t>
      </w:r>
      <w:r>
        <w:rPr>
          <w:rFonts w:hint="default" w:ascii="Times New Roman" w:hAnsi="Times New Roman" w:eastAsia="宋体" w:cs="Times New Roman"/>
          <w:snapToGrid w:val="0"/>
          <w:color w:val="auto"/>
          <w:sz w:val="24"/>
          <w:szCs w:val="24"/>
        </w:rPr>
        <w:t>为平均吸声系数；</w:t>
      </w:r>
    </w:p>
    <w:p w14:paraId="03C85D5F">
      <w:pPr>
        <w:pStyle w:val="193"/>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r——声源到靠近围护结构某点处的距离，m。</w:t>
      </w:r>
    </w:p>
    <w:p w14:paraId="7DE56A9F">
      <w:pPr>
        <w:pStyle w:val="193"/>
        <w:spacing w:line="360" w:lineRule="auto"/>
        <w:ind w:left="0" w:leftChars="0" w:firstLine="480" w:firstLineChars="20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然后按式（B.3）计算出所有室内声源在围护结构处产生的i倍频带叠加声压级：</w:t>
      </w:r>
    </w:p>
    <w:p w14:paraId="794443F3">
      <w:pPr>
        <w:pStyle w:val="193"/>
        <w:spacing w:line="360" w:lineRule="auto"/>
        <w:ind w:firstLine="480"/>
        <w:jc w:val="center"/>
        <w:textAlignment w:val="baseline"/>
        <w:rPr>
          <w:rFonts w:hint="default" w:ascii="Times New Roman" w:hAnsi="Times New Roman" w:eastAsia="宋体" w:cs="Times New Roman"/>
          <w:snapToGrid w:val="0"/>
          <w:color w:val="auto"/>
          <w:sz w:val="24"/>
          <w:szCs w:val="24"/>
        </w:rPr>
      </w:pPr>
      <w:r>
        <w:rPr>
          <w:rFonts w:hint="default" w:ascii="Times New Roman" w:hAnsi="Times New Roman" w:cs="Times New Roman"/>
          <w:color w:val="auto"/>
          <w:sz w:val="24"/>
          <w:szCs w:val="24"/>
        </w:rPr>
        <w:drawing>
          <wp:inline distT="0" distB="0" distL="114300" distR="114300">
            <wp:extent cx="2495550" cy="469265"/>
            <wp:effectExtent l="0" t="0" r="0" b="6985"/>
            <wp:docPr id="6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1"/>
                    <pic:cNvPicPr>
                      <a:picLocks noChangeAspect="1"/>
                    </pic:cNvPicPr>
                  </pic:nvPicPr>
                  <pic:blipFill>
                    <a:blip r:embed="rId99"/>
                    <a:stretch>
                      <a:fillRect/>
                    </a:stretch>
                  </pic:blipFill>
                  <pic:spPr>
                    <a:xfrm>
                      <a:off x="0" y="0"/>
                      <a:ext cx="2495550" cy="469265"/>
                    </a:xfrm>
                    <a:prstGeom prst="rect">
                      <a:avLst/>
                    </a:prstGeom>
                    <a:noFill/>
                    <a:ln>
                      <a:noFill/>
                    </a:ln>
                  </pic:spPr>
                </pic:pic>
              </a:graphicData>
            </a:graphic>
          </wp:inline>
        </w:drawing>
      </w:r>
    </w:p>
    <w:p w14:paraId="1E5FCE6D">
      <w:pPr>
        <w:pStyle w:val="193"/>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式中：LP1i</w:t>
      </w:r>
      <w:r>
        <w:rPr>
          <w:rFonts w:hint="eastAsia" w:ascii="Times New Roman" w:hAnsi="Times New Roman" w:cs="Times New Roman"/>
          <w:snapToGrid w:val="0"/>
          <w:color w:val="auto"/>
          <w:sz w:val="24"/>
          <w:szCs w:val="24"/>
          <w:lang w:eastAsia="zh-CN"/>
        </w:rPr>
        <w:t>（</w:t>
      </w:r>
      <w:r>
        <w:rPr>
          <w:rFonts w:hint="default" w:ascii="Times New Roman" w:hAnsi="Times New Roman" w:eastAsia="宋体" w:cs="Times New Roman"/>
          <w:snapToGrid w:val="0"/>
          <w:color w:val="auto"/>
          <w:sz w:val="24"/>
          <w:szCs w:val="24"/>
        </w:rPr>
        <w:t>T</w:t>
      </w:r>
      <w:r>
        <w:rPr>
          <w:rFonts w:hint="eastAsia" w:ascii="Times New Roman" w:hAnsi="Times New Roman" w:cs="Times New Roman"/>
          <w:snapToGrid w:val="0"/>
          <w:color w:val="auto"/>
          <w:sz w:val="24"/>
          <w:szCs w:val="24"/>
          <w:lang w:eastAsia="zh-CN"/>
        </w:rPr>
        <w:t>）</w:t>
      </w:r>
      <w:r>
        <w:rPr>
          <w:rFonts w:hint="default" w:ascii="Times New Roman" w:hAnsi="Times New Roman" w:eastAsia="宋体" w:cs="Times New Roman"/>
          <w:snapToGrid w:val="0"/>
          <w:color w:val="auto"/>
          <w:sz w:val="24"/>
          <w:szCs w:val="24"/>
        </w:rPr>
        <w:t>——靠近围护结构处室内N个声源i倍频带的叠加声压级，dB；</w:t>
      </w:r>
    </w:p>
    <w:p w14:paraId="6491DCAD">
      <w:pPr>
        <w:pStyle w:val="193"/>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LP1ij——室内j声源i倍频带的声压级，dB；</w:t>
      </w:r>
    </w:p>
    <w:p w14:paraId="2B1727ED">
      <w:pPr>
        <w:pStyle w:val="193"/>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N——室内声源总数。</w:t>
      </w:r>
    </w:p>
    <w:p w14:paraId="6C2BA1C0">
      <w:pPr>
        <w:pStyle w:val="193"/>
        <w:spacing w:line="360" w:lineRule="auto"/>
        <w:ind w:left="0" w:leftChars="0" w:firstLine="480" w:firstLineChars="20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在室内近似为扩散声场时，按式（B.4）计算出靠近室外围护结构处的声压级：</w:t>
      </w:r>
    </w:p>
    <w:p w14:paraId="5A23C406">
      <w:pPr>
        <w:pStyle w:val="193"/>
        <w:spacing w:line="360" w:lineRule="auto"/>
        <w:ind w:firstLine="480"/>
        <w:jc w:val="center"/>
        <w:textAlignment w:val="baseline"/>
        <w:rPr>
          <w:rFonts w:hint="default" w:ascii="Times New Roman" w:hAnsi="Times New Roman" w:eastAsia="宋体" w:cs="Times New Roman"/>
          <w:snapToGrid w:val="0"/>
          <w:color w:val="auto"/>
          <w:sz w:val="24"/>
          <w:szCs w:val="24"/>
        </w:rPr>
      </w:pPr>
      <w:r>
        <w:rPr>
          <w:rFonts w:hint="default" w:ascii="Times New Roman" w:hAnsi="Times New Roman" w:cs="Times New Roman"/>
          <w:color w:val="auto"/>
          <w:sz w:val="24"/>
          <w:szCs w:val="24"/>
        </w:rPr>
        <w:drawing>
          <wp:inline distT="0" distB="0" distL="114300" distR="114300">
            <wp:extent cx="2572385" cy="267970"/>
            <wp:effectExtent l="0" t="0" r="18415" b="17780"/>
            <wp:docPr id="6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2"/>
                    <pic:cNvPicPr>
                      <a:picLocks noChangeAspect="1"/>
                    </pic:cNvPicPr>
                  </pic:nvPicPr>
                  <pic:blipFill>
                    <a:blip r:embed="rId100"/>
                    <a:stretch>
                      <a:fillRect/>
                    </a:stretch>
                  </pic:blipFill>
                  <pic:spPr>
                    <a:xfrm>
                      <a:off x="0" y="0"/>
                      <a:ext cx="2572385" cy="267970"/>
                    </a:xfrm>
                    <a:prstGeom prst="rect">
                      <a:avLst/>
                    </a:prstGeom>
                    <a:noFill/>
                    <a:ln>
                      <a:noFill/>
                    </a:ln>
                  </pic:spPr>
                </pic:pic>
              </a:graphicData>
            </a:graphic>
          </wp:inline>
        </w:drawing>
      </w:r>
    </w:p>
    <w:p w14:paraId="7BA70F07">
      <w:pPr>
        <w:pStyle w:val="193"/>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式中：L</w:t>
      </w:r>
      <w:r>
        <w:rPr>
          <w:rFonts w:hint="default" w:ascii="Times New Roman" w:hAnsi="Times New Roman" w:eastAsia="宋体" w:cs="Times New Roman"/>
          <w:snapToGrid w:val="0"/>
          <w:color w:val="auto"/>
          <w:sz w:val="24"/>
          <w:szCs w:val="24"/>
          <w:vertAlign w:val="subscript"/>
        </w:rPr>
        <w:t>P2</w:t>
      </w:r>
      <w:r>
        <w:rPr>
          <w:rFonts w:hint="default" w:ascii="Times New Roman" w:hAnsi="Times New Roman" w:eastAsia="宋体" w:cs="Times New Roman"/>
          <w:snapToGrid w:val="0"/>
          <w:color w:val="auto"/>
          <w:sz w:val="24"/>
          <w:szCs w:val="24"/>
        </w:rPr>
        <w:t>i</w:t>
      </w:r>
      <w:r>
        <w:rPr>
          <w:rFonts w:hint="eastAsia" w:ascii="Times New Roman" w:hAnsi="Times New Roman" w:cs="Times New Roman"/>
          <w:snapToGrid w:val="0"/>
          <w:color w:val="auto"/>
          <w:sz w:val="24"/>
          <w:szCs w:val="24"/>
          <w:lang w:eastAsia="zh-CN"/>
        </w:rPr>
        <w:t>（</w:t>
      </w:r>
      <w:r>
        <w:rPr>
          <w:rFonts w:hint="default" w:ascii="Times New Roman" w:hAnsi="Times New Roman" w:eastAsia="宋体" w:cs="Times New Roman"/>
          <w:snapToGrid w:val="0"/>
          <w:color w:val="auto"/>
          <w:sz w:val="24"/>
          <w:szCs w:val="24"/>
        </w:rPr>
        <w:t>T</w:t>
      </w:r>
      <w:r>
        <w:rPr>
          <w:rFonts w:hint="eastAsia" w:ascii="Times New Roman" w:hAnsi="Times New Roman" w:cs="Times New Roman"/>
          <w:snapToGrid w:val="0"/>
          <w:color w:val="auto"/>
          <w:sz w:val="24"/>
          <w:szCs w:val="24"/>
          <w:lang w:eastAsia="zh-CN"/>
        </w:rPr>
        <w:t>）</w:t>
      </w:r>
      <w:r>
        <w:rPr>
          <w:rFonts w:hint="default" w:ascii="Times New Roman" w:hAnsi="Times New Roman" w:eastAsia="宋体" w:cs="Times New Roman"/>
          <w:snapToGrid w:val="0"/>
          <w:color w:val="auto"/>
          <w:sz w:val="24"/>
          <w:szCs w:val="24"/>
        </w:rPr>
        <w:t>——靠近围护结构处室外N个声源i倍频带的叠加声压级，</w:t>
      </w:r>
    </w:p>
    <w:p w14:paraId="0AEEA9FB">
      <w:pPr>
        <w:pStyle w:val="193"/>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dB；</w:t>
      </w:r>
    </w:p>
    <w:p w14:paraId="1BF94C8C">
      <w:pPr>
        <w:pStyle w:val="193"/>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L</w:t>
      </w:r>
      <w:r>
        <w:rPr>
          <w:rFonts w:hint="default" w:ascii="Times New Roman" w:hAnsi="Times New Roman" w:eastAsia="宋体" w:cs="Times New Roman"/>
          <w:snapToGrid w:val="0"/>
          <w:color w:val="auto"/>
          <w:sz w:val="24"/>
          <w:szCs w:val="24"/>
          <w:vertAlign w:val="subscript"/>
        </w:rPr>
        <w:t>P1i</w:t>
      </w:r>
      <w:r>
        <w:rPr>
          <w:rFonts w:hint="eastAsia" w:ascii="Times New Roman" w:hAnsi="Times New Roman" w:cs="Times New Roman"/>
          <w:snapToGrid w:val="0"/>
          <w:color w:val="auto"/>
          <w:sz w:val="24"/>
          <w:szCs w:val="24"/>
          <w:lang w:eastAsia="zh-CN"/>
        </w:rPr>
        <w:t>（</w:t>
      </w:r>
      <w:r>
        <w:rPr>
          <w:rFonts w:hint="default" w:ascii="Times New Roman" w:hAnsi="Times New Roman" w:eastAsia="宋体" w:cs="Times New Roman"/>
          <w:snapToGrid w:val="0"/>
          <w:color w:val="auto"/>
          <w:sz w:val="24"/>
          <w:szCs w:val="24"/>
        </w:rPr>
        <w:t>T</w:t>
      </w:r>
      <w:r>
        <w:rPr>
          <w:rFonts w:hint="eastAsia" w:ascii="Times New Roman" w:hAnsi="Times New Roman" w:cs="Times New Roman"/>
          <w:snapToGrid w:val="0"/>
          <w:color w:val="auto"/>
          <w:sz w:val="24"/>
          <w:szCs w:val="24"/>
          <w:lang w:eastAsia="zh-CN"/>
        </w:rPr>
        <w:t>）</w:t>
      </w:r>
      <w:r>
        <w:rPr>
          <w:rFonts w:hint="default" w:ascii="Times New Roman" w:hAnsi="Times New Roman" w:eastAsia="宋体" w:cs="Times New Roman"/>
          <w:snapToGrid w:val="0"/>
          <w:color w:val="auto"/>
          <w:sz w:val="24"/>
          <w:szCs w:val="24"/>
        </w:rPr>
        <w:t>——靠近围护结构处室内N个声源i倍频带的叠加声压级，dB；</w:t>
      </w:r>
    </w:p>
    <w:p w14:paraId="25ED6FFC">
      <w:pPr>
        <w:pStyle w:val="193"/>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TL</w:t>
      </w:r>
      <w:r>
        <w:rPr>
          <w:rFonts w:hint="default" w:ascii="Times New Roman" w:hAnsi="Times New Roman" w:eastAsia="宋体" w:cs="Times New Roman"/>
          <w:snapToGrid w:val="0"/>
          <w:color w:val="auto"/>
          <w:sz w:val="24"/>
          <w:szCs w:val="24"/>
          <w:vertAlign w:val="subscript"/>
        </w:rPr>
        <w:t>i</w:t>
      </w:r>
      <w:r>
        <w:rPr>
          <w:rFonts w:hint="default" w:ascii="Times New Roman" w:hAnsi="Times New Roman" w:eastAsia="宋体" w:cs="Times New Roman"/>
          <w:snapToGrid w:val="0"/>
          <w:color w:val="auto"/>
          <w:sz w:val="24"/>
          <w:szCs w:val="24"/>
        </w:rPr>
        <w:t>——围护结构i倍频带的隔声量，dB。</w:t>
      </w:r>
    </w:p>
    <w:p w14:paraId="50AFFC74">
      <w:pPr>
        <w:pStyle w:val="193"/>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然后按式（B.5）将室外声源的声压级和透过面积换算成等效的室外声源，</w:t>
      </w:r>
    </w:p>
    <w:p w14:paraId="61D0669A">
      <w:pPr>
        <w:pStyle w:val="193"/>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计算出中心位置位于透声面积（S）处的等效声源的倍频带声功率级。</w:t>
      </w:r>
    </w:p>
    <w:p w14:paraId="0FB067C7">
      <w:pPr>
        <w:pStyle w:val="193"/>
        <w:spacing w:line="360" w:lineRule="auto"/>
        <w:ind w:firstLine="480"/>
        <w:jc w:val="center"/>
        <w:textAlignment w:val="baseline"/>
        <w:rPr>
          <w:rFonts w:hint="default" w:ascii="Times New Roman" w:hAnsi="Times New Roman" w:eastAsia="宋体" w:cs="Times New Roman"/>
          <w:snapToGrid w:val="0"/>
          <w:color w:val="auto"/>
          <w:sz w:val="24"/>
          <w:szCs w:val="24"/>
        </w:rPr>
      </w:pPr>
      <w:r>
        <w:rPr>
          <w:rFonts w:hint="default" w:ascii="Times New Roman" w:hAnsi="Times New Roman" w:cs="Times New Roman"/>
          <w:color w:val="auto"/>
          <w:sz w:val="24"/>
          <w:szCs w:val="24"/>
        </w:rPr>
        <w:drawing>
          <wp:inline distT="0" distB="0" distL="114300" distR="114300">
            <wp:extent cx="2495550" cy="342900"/>
            <wp:effectExtent l="0" t="0" r="0" b="0"/>
            <wp:docPr id="6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3"/>
                    <pic:cNvPicPr>
                      <a:picLocks noChangeAspect="1"/>
                    </pic:cNvPicPr>
                  </pic:nvPicPr>
                  <pic:blipFill>
                    <a:blip r:embed="rId101"/>
                    <a:stretch>
                      <a:fillRect/>
                    </a:stretch>
                  </pic:blipFill>
                  <pic:spPr>
                    <a:xfrm>
                      <a:off x="0" y="0"/>
                      <a:ext cx="2495550" cy="342900"/>
                    </a:xfrm>
                    <a:prstGeom prst="rect">
                      <a:avLst/>
                    </a:prstGeom>
                    <a:noFill/>
                    <a:ln>
                      <a:noFill/>
                    </a:ln>
                  </pic:spPr>
                </pic:pic>
              </a:graphicData>
            </a:graphic>
          </wp:inline>
        </w:drawing>
      </w:r>
    </w:p>
    <w:p w14:paraId="394243F9">
      <w:pPr>
        <w:pStyle w:val="193"/>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式中：L</w:t>
      </w:r>
      <w:r>
        <w:rPr>
          <w:rFonts w:hint="default" w:ascii="Times New Roman" w:hAnsi="Times New Roman" w:eastAsia="宋体" w:cs="Times New Roman"/>
          <w:snapToGrid w:val="0"/>
          <w:color w:val="auto"/>
          <w:sz w:val="24"/>
          <w:szCs w:val="24"/>
          <w:vertAlign w:val="subscript"/>
        </w:rPr>
        <w:t>W</w:t>
      </w:r>
      <w:r>
        <w:rPr>
          <w:rFonts w:hint="default" w:ascii="Times New Roman" w:hAnsi="Times New Roman" w:eastAsia="宋体" w:cs="Times New Roman"/>
          <w:snapToGrid w:val="0"/>
          <w:color w:val="auto"/>
          <w:sz w:val="24"/>
          <w:szCs w:val="24"/>
        </w:rPr>
        <w:t>——中心位置位于透声面积</w:t>
      </w:r>
      <w:r>
        <w:rPr>
          <w:rFonts w:hint="default" w:ascii="Times New Roman" w:hAnsi="Times New Roman" w:eastAsia="宋体" w:cs="Times New Roman"/>
          <w:snapToGrid w:val="0"/>
          <w:color w:val="auto"/>
          <w:sz w:val="24"/>
          <w:szCs w:val="24"/>
          <w:lang w:eastAsia="zh-CN"/>
        </w:rPr>
        <w:t>（</w:t>
      </w:r>
      <w:r>
        <w:rPr>
          <w:rFonts w:hint="default" w:ascii="Times New Roman" w:hAnsi="Times New Roman" w:eastAsia="宋体" w:cs="Times New Roman"/>
          <w:snapToGrid w:val="0"/>
          <w:color w:val="auto"/>
          <w:sz w:val="24"/>
          <w:szCs w:val="24"/>
        </w:rPr>
        <w:t>S）处的等效声源的倍频带声功率级，dB；</w:t>
      </w:r>
    </w:p>
    <w:p w14:paraId="4B043E0D">
      <w:pPr>
        <w:pStyle w:val="193"/>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L</w:t>
      </w:r>
      <w:r>
        <w:rPr>
          <w:rFonts w:hint="default" w:ascii="Times New Roman" w:hAnsi="Times New Roman" w:eastAsia="宋体" w:cs="Times New Roman"/>
          <w:snapToGrid w:val="0"/>
          <w:color w:val="auto"/>
          <w:sz w:val="24"/>
          <w:szCs w:val="24"/>
          <w:vertAlign w:val="subscript"/>
        </w:rPr>
        <w:t>P2</w:t>
      </w:r>
      <w:r>
        <w:rPr>
          <w:rFonts w:hint="eastAsia" w:ascii="Times New Roman" w:hAnsi="Times New Roman" w:cs="Times New Roman"/>
          <w:snapToGrid w:val="0"/>
          <w:color w:val="auto"/>
          <w:sz w:val="24"/>
          <w:szCs w:val="24"/>
          <w:lang w:eastAsia="zh-CN"/>
        </w:rPr>
        <w:t>（</w:t>
      </w:r>
      <w:r>
        <w:rPr>
          <w:rFonts w:hint="default" w:ascii="Times New Roman" w:hAnsi="Times New Roman" w:eastAsia="宋体" w:cs="Times New Roman"/>
          <w:snapToGrid w:val="0"/>
          <w:color w:val="auto"/>
          <w:sz w:val="24"/>
          <w:szCs w:val="24"/>
        </w:rPr>
        <w:t>T</w:t>
      </w:r>
      <w:r>
        <w:rPr>
          <w:rFonts w:hint="eastAsia" w:ascii="Times New Roman" w:hAnsi="Times New Roman" w:cs="Times New Roman"/>
          <w:snapToGrid w:val="0"/>
          <w:color w:val="auto"/>
          <w:sz w:val="24"/>
          <w:szCs w:val="24"/>
          <w:lang w:eastAsia="zh-CN"/>
        </w:rPr>
        <w:t>）</w:t>
      </w:r>
      <w:r>
        <w:rPr>
          <w:rFonts w:hint="default" w:ascii="Times New Roman" w:hAnsi="Times New Roman" w:eastAsia="宋体" w:cs="Times New Roman"/>
          <w:snapToGrid w:val="0"/>
          <w:color w:val="auto"/>
          <w:sz w:val="24"/>
          <w:szCs w:val="24"/>
        </w:rPr>
        <w:t>——靠近围护结构处室外声源的声压级，dB；</w:t>
      </w:r>
    </w:p>
    <w:p w14:paraId="002C0D19">
      <w:pPr>
        <w:pStyle w:val="193"/>
        <w:spacing w:line="360" w:lineRule="auto"/>
        <w:ind w:firstLine="480"/>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S——透声面积，</w:t>
      </w:r>
      <w:r>
        <w:rPr>
          <w:rFonts w:hint="default" w:ascii="Times New Roman" w:hAnsi="Times New Roman" w:eastAsia="宋体" w:cs="Times New Roman"/>
          <w:snapToGrid w:val="0"/>
          <w:color w:val="auto"/>
          <w:sz w:val="24"/>
          <w:szCs w:val="24"/>
          <w:lang w:eastAsia="zh-CN"/>
        </w:rPr>
        <w:t>m²</w:t>
      </w:r>
      <w:r>
        <w:rPr>
          <w:rFonts w:hint="default" w:ascii="Times New Roman" w:hAnsi="Times New Roman" w:eastAsia="宋体" w:cs="Times New Roman"/>
          <w:snapToGrid w:val="0"/>
          <w:color w:val="auto"/>
          <w:sz w:val="24"/>
          <w:szCs w:val="24"/>
        </w:rPr>
        <w:t>。</w:t>
      </w:r>
    </w:p>
    <w:p w14:paraId="5D953D6E">
      <w:pPr>
        <w:pStyle w:val="193"/>
        <w:spacing w:line="360" w:lineRule="auto"/>
        <w:ind w:firstLine="480"/>
        <w:jc w:val="left"/>
        <w:textAlignment w:val="baseline"/>
        <w:rPr>
          <w:rFonts w:hint="default" w:ascii="Times New Roman" w:hAnsi="Times New Roman" w:eastAsia="宋体" w:cs="Times New Roman"/>
          <w:b/>
          <w:bCs/>
          <w:snapToGrid w:val="0"/>
          <w:color w:val="auto"/>
          <w:sz w:val="24"/>
          <w:szCs w:val="24"/>
          <w:lang w:eastAsia="zh-CN"/>
        </w:rPr>
      </w:pPr>
      <w:r>
        <w:rPr>
          <w:rFonts w:hint="default" w:ascii="Times New Roman" w:hAnsi="Times New Roman" w:eastAsia="宋体" w:cs="Times New Roman"/>
          <w:b/>
          <w:bCs/>
          <w:snapToGrid w:val="0"/>
          <w:color w:val="auto"/>
          <w:sz w:val="24"/>
          <w:szCs w:val="24"/>
          <w:lang w:eastAsia="zh-CN"/>
        </w:rPr>
        <w:t>户外</w:t>
      </w:r>
      <w:r>
        <w:rPr>
          <w:rFonts w:hint="default" w:ascii="Times New Roman" w:hAnsi="Times New Roman" w:eastAsia="宋体" w:cs="Times New Roman"/>
          <w:b/>
          <w:bCs/>
          <w:snapToGrid w:val="0"/>
          <w:color w:val="auto"/>
          <w:sz w:val="24"/>
          <w:szCs w:val="24"/>
        </w:rPr>
        <w:t>点声源几何发散衰减公式</w:t>
      </w:r>
      <w:r>
        <w:rPr>
          <w:rFonts w:hint="default" w:ascii="Times New Roman" w:hAnsi="Times New Roman" w:eastAsia="宋体" w:cs="Times New Roman"/>
          <w:b/>
          <w:bCs/>
          <w:snapToGrid w:val="0"/>
          <w:color w:val="auto"/>
          <w:sz w:val="24"/>
          <w:szCs w:val="24"/>
          <w:lang w:eastAsia="zh-CN"/>
        </w:rPr>
        <w:t>：</w:t>
      </w:r>
    </w:p>
    <w:p w14:paraId="31F1D1EA">
      <w:pPr>
        <w:pStyle w:val="193"/>
        <w:spacing w:line="360" w:lineRule="auto"/>
        <w:ind w:firstLine="480"/>
        <w:jc w:val="left"/>
        <w:textAlignment w:val="baseline"/>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本次评价拟采用《环境影响评价技术导则 声环境》（HJ2.4-2021）点声源几何发散衰减公式进行预测，预测模式如下。</w:t>
      </w:r>
    </w:p>
    <w:p w14:paraId="3C68B2B6">
      <w:pPr>
        <w:spacing w:line="360" w:lineRule="auto"/>
        <w:ind w:firstLine="480" w:firstLineChars="200"/>
        <w:jc w:val="center"/>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rPr>
        <w:drawing>
          <wp:inline distT="0" distB="0" distL="114300" distR="114300">
            <wp:extent cx="1581150" cy="245745"/>
            <wp:effectExtent l="0" t="0" r="0" b="1905"/>
            <wp:docPr id="7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4"/>
                    <pic:cNvPicPr>
                      <a:picLocks noChangeAspect="1"/>
                    </pic:cNvPicPr>
                  </pic:nvPicPr>
                  <pic:blipFill>
                    <a:blip r:embed="rId102"/>
                    <a:stretch>
                      <a:fillRect/>
                    </a:stretch>
                  </pic:blipFill>
                  <pic:spPr>
                    <a:xfrm>
                      <a:off x="0" y="0"/>
                      <a:ext cx="1581150" cy="245745"/>
                    </a:xfrm>
                    <a:prstGeom prst="rect">
                      <a:avLst/>
                    </a:prstGeom>
                    <a:noFill/>
                    <a:ln>
                      <a:noFill/>
                    </a:ln>
                  </pic:spPr>
                </pic:pic>
              </a:graphicData>
            </a:graphic>
          </wp:inline>
        </w:drawing>
      </w:r>
      <w:r>
        <w:rPr>
          <w:rFonts w:hint="default" w:ascii="Times New Roman" w:hAnsi="Times New Roman" w:cs="Times New Roman"/>
          <w:color w:val="auto"/>
          <w:sz w:val="24"/>
          <w:szCs w:val="24"/>
          <w:lang w:val="en-US" w:eastAsia="zh-CN"/>
        </w:rPr>
        <w:t xml:space="preserve">   </w:t>
      </w:r>
      <w:r>
        <w:rPr>
          <w:rFonts w:hint="default" w:ascii="Times New Roman" w:hAnsi="Times New Roman" w:eastAsia="宋体" w:cs="Times New Roman"/>
          <w:color w:val="auto"/>
          <w:kern w:val="0"/>
          <w:sz w:val="24"/>
          <w:szCs w:val="24"/>
          <w:lang w:val="en-US" w:eastAsia="zh-CN" w:bidi="ar"/>
        </w:rPr>
        <w:t>（A.5）</w:t>
      </w:r>
    </w:p>
    <w:p w14:paraId="2E40CBDD">
      <w:pPr>
        <w:keepNext w:val="0"/>
        <w:keepLines w:val="0"/>
        <w:widowControl/>
        <w:suppressLineNumbers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式中：</w:t>
      </w:r>
      <w:r>
        <w:rPr>
          <w:rFonts w:hint="default" w:ascii="Times New Roman" w:hAnsi="Times New Roman" w:eastAsia="宋体" w:cs="Times New Roman"/>
          <w:i/>
          <w:iCs/>
          <w:color w:val="auto"/>
          <w:kern w:val="0"/>
          <w:sz w:val="24"/>
          <w:szCs w:val="24"/>
          <w:lang w:val="en-US" w:eastAsia="zh-CN" w:bidi="ar"/>
        </w:rPr>
        <w:t>Lp</w:t>
      </w:r>
      <w:r>
        <w:rPr>
          <w:rFonts w:hint="eastAsia" w:cs="Times New Roman"/>
          <w:color w:val="auto"/>
          <w:kern w:val="0"/>
          <w:sz w:val="24"/>
          <w:szCs w:val="24"/>
          <w:lang w:val="en-US" w:eastAsia="zh-CN" w:bidi="ar"/>
        </w:rPr>
        <w:t>（</w:t>
      </w:r>
      <w:r>
        <w:rPr>
          <w:rFonts w:hint="default" w:ascii="Times New Roman" w:hAnsi="Times New Roman" w:eastAsia="宋体" w:cs="Times New Roman"/>
          <w:i/>
          <w:iCs/>
          <w:color w:val="auto"/>
          <w:kern w:val="0"/>
          <w:sz w:val="24"/>
          <w:szCs w:val="24"/>
          <w:lang w:val="en-US" w:eastAsia="zh-CN" w:bidi="ar"/>
        </w:rPr>
        <w:t>r</w:t>
      </w:r>
      <w:r>
        <w:rPr>
          <w:rFonts w:hint="eastAsia"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——预测点处声压级，dB；</w:t>
      </w:r>
    </w:p>
    <w:p w14:paraId="018811EB">
      <w:pPr>
        <w:keepNext w:val="0"/>
        <w:keepLines w:val="0"/>
        <w:widowControl/>
        <w:suppressLineNumbers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Lp</w:t>
      </w:r>
      <w:r>
        <w:rPr>
          <w:rFonts w:hint="eastAsia" w:cs="Times New Roman"/>
          <w:color w:val="auto"/>
          <w:kern w:val="0"/>
          <w:sz w:val="24"/>
          <w:szCs w:val="24"/>
          <w:lang w:val="en-US" w:eastAsia="zh-CN" w:bidi="ar"/>
        </w:rPr>
        <w:t>（</w:t>
      </w:r>
      <w:r>
        <w:rPr>
          <w:rFonts w:hint="default" w:ascii="Times New Roman" w:hAnsi="Times New Roman" w:eastAsia="宋体" w:cs="Times New Roman"/>
          <w:i/>
          <w:iCs/>
          <w:color w:val="auto"/>
          <w:kern w:val="0"/>
          <w:sz w:val="24"/>
          <w:szCs w:val="24"/>
          <w:lang w:val="en-US" w:eastAsia="zh-CN" w:bidi="ar"/>
        </w:rPr>
        <w:t>r</w:t>
      </w:r>
      <w:r>
        <w:rPr>
          <w:rFonts w:hint="default" w:ascii="Times New Roman" w:hAnsi="Times New Roman" w:eastAsia="宋体" w:cs="Times New Roman"/>
          <w:color w:val="auto"/>
          <w:kern w:val="0"/>
          <w:sz w:val="24"/>
          <w:szCs w:val="24"/>
          <w:vertAlign w:val="subscript"/>
          <w:lang w:val="en-US" w:eastAsia="zh-CN" w:bidi="ar"/>
        </w:rPr>
        <w:t>0</w:t>
      </w:r>
      <w:r>
        <w:rPr>
          <w:rFonts w:hint="eastAsia"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——参考位置</w:t>
      </w:r>
      <w:r>
        <w:rPr>
          <w:rFonts w:hint="default" w:ascii="Times New Roman" w:hAnsi="Times New Roman" w:eastAsia="宋体" w:cs="Times New Roman"/>
          <w:i/>
          <w:iCs/>
          <w:color w:val="auto"/>
          <w:kern w:val="0"/>
          <w:sz w:val="24"/>
          <w:szCs w:val="24"/>
          <w:lang w:val="en-US" w:eastAsia="zh-CN" w:bidi="ar"/>
        </w:rPr>
        <w:t>r</w:t>
      </w:r>
      <w:r>
        <w:rPr>
          <w:rFonts w:hint="default" w:ascii="Times New Roman" w:hAnsi="Times New Roman" w:eastAsia="宋体" w:cs="Times New Roman"/>
          <w:color w:val="auto"/>
          <w:kern w:val="0"/>
          <w:sz w:val="24"/>
          <w:szCs w:val="24"/>
          <w:vertAlign w:val="subscript"/>
          <w:lang w:val="en-US" w:eastAsia="zh-CN" w:bidi="ar"/>
        </w:rPr>
        <w:t>0</w:t>
      </w:r>
      <w:r>
        <w:rPr>
          <w:rFonts w:hint="default" w:ascii="Times New Roman" w:hAnsi="Times New Roman" w:eastAsia="宋体" w:cs="Times New Roman"/>
          <w:color w:val="auto"/>
          <w:kern w:val="0"/>
          <w:sz w:val="24"/>
          <w:szCs w:val="24"/>
          <w:lang w:val="en-US" w:eastAsia="zh-CN" w:bidi="ar"/>
        </w:rPr>
        <w:t>处的声压级，dB；</w:t>
      </w:r>
    </w:p>
    <w:p w14:paraId="334C3C24">
      <w:pPr>
        <w:keepNext w:val="0"/>
        <w:keepLines w:val="0"/>
        <w:widowControl/>
        <w:suppressLineNumbers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r</w:t>
      </w:r>
      <w:r>
        <w:rPr>
          <w:rFonts w:hint="default" w:ascii="Times New Roman" w:hAnsi="Times New Roman" w:eastAsia="宋体" w:cs="Times New Roman"/>
          <w:color w:val="auto"/>
          <w:kern w:val="0"/>
          <w:sz w:val="24"/>
          <w:szCs w:val="24"/>
          <w:lang w:val="en-US" w:eastAsia="zh-CN" w:bidi="ar"/>
        </w:rPr>
        <w:t>——预测点距声源的距离；</w:t>
      </w:r>
    </w:p>
    <w:p w14:paraId="78C01250">
      <w:pPr>
        <w:keepNext w:val="0"/>
        <w:keepLines w:val="0"/>
        <w:widowControl/>
        <w:suppressLineNumbers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r</w:t>
      </w:r>
      <w:r>
        <w:rPr>
          <w:rFonts w:hint="default" w:ascii="Times New Roman" w:hAnsi="Times New Roman" w:eastAsia="宋体" w:cs="Times New Roman"/>
          <w:color w:val="auto"/>
          <w:kern w:val="0"/>
          <w:sz w:val="24"/>
          <w:szCs w:val="24"/>
          <w:vertAlign w:val="subscript"/>
          <w:lang w:val="en-US" w:eastAsia="zh-CN" w:bidi="ar"/>
        </w:rPr>
        <w:t>0</w:t>
      </w:r>
      <w:r>
        <w:rPr>
          <w:rFonts w:hint="default" w:ascii="Times New Roman" w:hAnsi="Times New Roman" w:eastAsia="宋体" w:cs="Times New Roman"/>
          <w:color w:val="auto"/>
          <w:kern w:val="0"/>
          <w:sz w:val="24"/>
          <w:szCs w:val="24"/>
          <w:lang w:val="en-US" w:eastAsia="zh-CN" w:bidi="ar"/>
        </w:rPr>
        <w:t>——参考位置距声源的距离。</w:t>
      </w:r>
    </w:p>
    <w:p w14:paraId="2F04A48A">
      <w:pPr>
        <w:keepNext w:val="0"/>
        <w:keepLines w:val="0"/>
        <w:widowControl/>
        <w:suppressLineNumbers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式（A.5）中第二项表示了点声源的几何发散衰减：</w:t>
      </w:r>
    </w:p>
    <w:p w14:paraId="1C800306">
      <w:pPr>
        <w:pStyle w:val="193"/>
        <w:spacing w:line="360" w:lineRule="auto"/>
        <w:ind w:firstLine="480"/>
        <w:jc w:val="center"/>
        <w:textAlignment w:val="baseline"/>
        <w:rPr>
          <w:rFonts w:hint="default" w:ascii="Times New Roman" w:hAnsi="Times New Roman" w:eastAsia="宋体" w:cs="Times New Roman"/>
          <w:color w:val="auto"/>
          <w:sz w:val="24"/>
          <w:szCs w:val="24"/>
        </w:rPr>
      </w:pPr>
      <w:r>
        <w:rPr>
          <w:rFonts w:hint="default" w:ascii="Times New Roman" w:hAnsi="Times New Roman" w:cs="Times New Roman"/>
          <w:color w:val="auto"/>
          <w:sz w:val="24"/>
          <w:szCs w:val="24"/>
        </w:rPr>
        <w:drawing>
          <wp:inline distT="0" distB="0" distL="114300" distR="114300">
            <wp:extent cx="1019810" cy="260350"/>
            <wp:effectExtent l="0" t="0" r="8890" b="6350"/>
            <wp:docPr id="7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5"/>
                    <pic:cNvPicPr>
                      <a:picLocks noChangeAspect="1"/>
                    </pic:cNvPicPr>
                  </pic:nvPicPr>
                  <pic:blipFill>
                    <a:blip r:embed="rId103"/>
                    <a:stretch>
                      <a:fillRect/>
                    </a:stretch>
                  </pic:blipFill>
                  <pic:spPr>
                    <a:xfrm>
                      <a:off x="0" y="0"/>
                      <a:ext cx="1019810" cy="260350"/>
                    </a:xfrm>
                    <a:prstGeom prst="rect">
                      <a:avLst/>
                    </a:prstGeom>
                    <a:noFill/>
                    <a:ln>
                      <a:noFill/>
                    </a:ln>
                  </pic:spPr>
                </pic:pic>
              </a:graphicData>
            </a:graphic>
          </wp:inline>
        </w:drawing>
      </w:r>
    </w:p>
    <w:p w14:paraId="3B922943">
      <w:pPr>
        <w:keepNext w:val="0"/>
        <w:keepLines w:val="0"/>
        <w:widowControl/>
        <w:suppressLineNumbers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式中：</w:t>
      </w:r>
      <w:r>
        <w:rPr>
          <w:rFonts w:hint="default" w:ascii="Times New Roman" w:hAnsi="Times New Roman" w:eastAsia="宋体" w:cs="Times New Roman"/>
          <w:i/>
          <w:iCs/>
          <w:color w:val="auto"/>
          <w:kern w:val="0"/>
          <w:sz w:val="24"/>
          <w:szCs w:val="24"/>
          <w:lang w:val="en-US" w:eastAsia="zh-CN" w:bidi="ar"/>
        </w:rPr>
        <w:t>A</w:t>
      </w:r>
      <w:r>
        <w:rPr>
          <w:rFonts w:hint="default" w:ascii="Times New Roman" w:hAnsi="Times New Roman" w:eastAsia="宋体" w:cs="Times New Roman"/>
          <w:color w:val="auto"/>
          <w:kern w:val="0"/>
          <w:sz w:val="24"/>
          <w:szCs w:val="24"/>
          <w:vertAlign w:val="subscript"/>
          <w:lang w:val="en-US" w:eastAsia="zh-CN" w:bidi="ar"/>
        </w:rPr>
        <w:t>div</w:t>
      </w:r>
      <w:r>
        <w:rPr>
          <w:rFonts w:hint="default" w:ascii="Times New Roman" w:hAnsi="Times New Roman" w:eastAsia="宋体" w:cs="Times New Roman"/>
          <w:color w:val="auto"/>
          <w:kern w:val="0"/>
          <w:sz w:val="24"/>
          <w:szCs w:val="24"/>
          <w:lang w:val="en-US" w:eastAsia="zh-CN" w:bidi="ar"/>
        </w:rPr>
        <w:t>——几何发散引起的衰减，dB；</w:t>
      </w:r>
    </w:p>
    <w:p w14:paraId="02B132B8">
      <w:pPr>
        <w:keepNext w:val="0"/>
        <w:keepLines w:val="0"/>
        <w:widowControl/>
        <w:suppressLineNumbers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r</w:t>
      </w:r>
      <w:r>
        <w:rPr>
          <w:rFonts w:hint="default" w:ascii="Times New Roman" w:hAnsi="Times New Roman" w:eastAsia="宋体" w:cs="Times New Roman"/>
          <w:color w:val="auto"/>
          <w:kern w:val="0"/>
          <w:sz w:val="24"/>
          <w:szCs w:val="24"/>
          <w:lang w:val="en-US" w:eastAsia="zh-CN" w:bidi="ar"/>
        </w:rPr>
        <w:t>——预测点距声源的距离；</w:t>
      </w:r>
    </w:p>
    <w:p w14:paraId="6AF87B07">
      <w:pPr>
        <w:pStyle w:val="711"/>
        <w:snapToGrid w:val="0"/>
        <w:ind w:firstLine="480" w:firstLineChars="200"/>
        <w:rPr>
          <w:rFonts w:hint="default" w:ascii="Times New Roman" w:hAnsi="Times New Roman" w:cs="Times New Roman"/>
          <w:snapToGrid w:val="0"/>
          <w:color w:val="auto"/>
        </w:rPr>
      </w:pPr>
      <w:r>
        <w:rPr>
          <w:rFonts w:hint="default" w:ascii="Times New Roman" w:hAnsi="Times New Roman" w:eastAsia="宋体" w:cs="Times New Roman"/>
          <w:i/>
          <w:iCs/>
          <w:color w:val="auto"/>
          <w:kern w:val="0"/>
          <w:sz w:val="24"/>
          <w:szCs w:val="24"/>
          <w:lang w:val="en-US" w:eastAsia="zh-CN" w:bidi="ar"/>
        </w:rPr>
        <w:t>r</w:t>
      </w:r>
      <w:r>
        <w:rPr>
          <w:rFonts w:hint="default" w:ascii="Times New Roman" w:hAnsi="Times New Roman" w:eastAsia="宋体" w:cs="Times New Roman"/>
          <w:color w:val="auto"/>
          <w:kern w:val="0"/>
          <w:sz w:val="24"/>
          <w:szCs w:val="24"/>
          <w:vertAlign w:val="subscript"/>
          <w:lang w:val="en-US" w:eastAsia="zh-CN" w:bidi="ar"/>
        </w:rPr>
        <w:t>0</w:t>
      </w:r>
      <w:r>
        <w:rPr>
          <w:rFonts w:hint="default" w:ascii="Times New Roman" w:hAnsi="Times New Roman" w:eastAsia="宋体" w:cs="Times New Roman"/>
          <w:color w:val="auto"/>
          <w:kern w:val="0"/>
          <w:sz w:val="24"/>
          <w:szCs w:val="24"/>
          <w:lang w:val="en-US" w:eastAsia="zh-CN" w:bidi="ar"/>
        </w:rPr>
        <w:t>——参考位置距声源的距离。</w:t>
      </w:r>
    </w:p>
    <w:p w14:paraId="43D0C6B1">
      <w:pPr>
        <w:numPr>
          <w:ilvl w:val="0"/>
          <w:numId w:val="23"/>
        </w:numPr>
        <w:spacing w:line="360" w:lineRule="auto"/>
        <w:ind w:left="0" w:leftChars="0" w:firstLine="482" w:firstLineChars="200"/>
        <w:rPr>
          <w:rFonts w:hint="eastAsia"/>
          <w:b/>
          <w:bCs/>
          <w:color w:val="auto"/>
          <w:lang w:val="en-US" w:eastAsia="zh-CN"/>
        </w:rPr>
      </w:pPr>
      <w:r>
        <w:rPr>
          <w:rFonts w:hint="eastAsia"/>
          <w:b/>
          <w:bCs/>
          <w:color w:val="auto"/>
          <w:lang w:val="en-US" w:eastAsia="zh-CN"/>
        </w:rPr>
        <w:t>预测结果</w:t>
      </w:r>
    </w:p>
    <w:p w14:paraId="7058BF38">
      <w:pPr>
        <w:pStyle w:val="193"/>
        <w:spacing w:line="360" w:lineRule="auto"/>
        <w:ind w:firstLine="480"/>
        <w:textAlignment w:val="baseline"/>
        <w:rPr>
          <w:rFonts w:hint="default" w:ascii="Times New Roman" w:hAnsi="Times New Roman" w:eastAsia="宋体" w:cs="Times New Roman"/>
          <w:color w:val="auto"/>
          <w:sz w:val="24"/>
          <w:lang w:val="en-US" w:eastAsia="zh-CN"/>
        </w:rPr>
      </w:pPr>
      <w:r>
        <w:rPr>
          <w:rFonts w:hint="eastAsia" w:ascii="Times New Roman" w:hAnsi="Times New Roman" w:cs="Times New Roman"/>
          <w:color w:val="auto"/>
          <w:sz w:val="24"/>
          <w:lang w:val="en-US" w:eastAsia="zh-CN"/>
        </w:rPr>
        <w:t>根据《环境影响评价技术导则 声环境》（HJ 2.4-2021）要求，本项目使用软件预测噪声结果如下图。</w:t>
      </w:r>
    </w:p>
    <w:p w14:paraId="71F6DB4E">
      <w:pPr>
        <w:pStyle w:val="193"/>
        <w:spacing w:line="360" w:lineRule="auto"/>
        <w:ind w:left="0" w:leftChars="0" w:firstLine="0" w:firstLineChars="0"/>
        <w:textAlignment w:val="baseline"/>
        <w:rPr>
          <w:rFonts w:hint="eastAsia" w:ascii="Times New Roman" w:hAnsi="Times New Roman" w:eastAsia="宋体" w:cs="Times New Roman"/>
          <w:color w:val="auto"/>
          <w:sz w:val="24"/>
          <w:lang w:eastAsia="zh-CN"/>
        </w:rPr>
      </w:pPr>
    </w:p>
    <w:p w14:paraId="20AE6845">
      <w:pPr>
        <w:pStyle w:val="17"/>
        <w:bidi w:val="0"/>
        <w:rPr>
          <w:rFonts w:hint="default"/>
          <w:color w:val="auto"/>
          <w:lang w:val="en-US" w:eastAsia="zh-CN"/>
        </w:rPr>
      </w:pPr>
      <w:r>
        <w:rPr>
          <w:rFonts w:hint="eastAsia"/>
          <w:color w:val="auto"/>
          <w:lang w:val="en-US" w:eastAsia="zh-CN"/>
        </w:rPr>
        <w:t>附图4.2-2 噪声预测等值线图</w:t>
      </w:r>
    </w:p>
    <w:p w14:paraId="630CFE7E">
      <w:pPr>
        <w:pStyle w:val="193"/>
        <w:spacing w:line="360" w:lineRule="auto"/>
        <w:ind w:firstLine="480"/>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根据预测模式计算各厂界噪声值，本项目建成后各方向厂界</w:t>
      </w:r>
      <w:r>
        <w:rPr>
          <w:rFonts w:hint="default" w:ascii="Times New Roman" w:hAnsi="Times New Roman" w:eastAsia="宋体" w:cs="Times New Roman"/>
          <w:color w:val="auto"/>
          <w:sz w:val="24"/>
          <w:lang w:eastAsia="zh-CN"/>
        </w:rPr>
        <w:t>和最近居民处</w:t>
      </w:r>
      <w:r>
        <w:rPr>
          <w:rFonts w:hint="default" w:ascii="Times New Roman" w:hAnsi="Times New Roman" w:eastAsia="宋体" w:cs="Times New Roman"/>
          <w:color w:val="auto"/>
          <w:sz w:val="24"/>
        </w:rPr>
        <w:t>噪声值如下所示。</w:t>
      </w:r>
    </w:p>
    <w:p w14:paraId="67D4BB5B">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color w:val="auto"/>
        </w:rPr>
      </w:pPr>
      <w:r>
        <w:rPr>
          <w:rFonts w:hint="default"/>
          <w:color w:val="auto"/>
        </w:rPr>
        <w:t>由上表可见，厂界昼间能满足《工业企业厂界环境噪声排放标准》</w:t>
      </w:r>
      <w:r>
        <w:rPr>
          <w:rFonts w:hint="eastAsia"/>
          <w:color w:val="auto"/>
          <w:lang w:eastAsia="zh-CN"/>
        </w:rPr>
        <w:t>（</w:t>
      </w:r>
      <w:r>
        <w:rPr>
          <w:rFonts w:hint="default"/>
          <w:color w:val="auto"/>
        </w:rPr>
        <w:t>GB12348-2008</w:t>
      </w:r>
      <w:r>
        <w:rPr>
          <w:rFonts w:hint="eastAsia"/>
          <w:color w:val="auto"/>
          <w:lang w:eastAsia="zh-CN"/>
        </w:rPr>
        <w:t>）</w:t>
      </w:r>
      <w:r>
        <w:rPr>
          <w:rFonts w:hint="default"/>
          <w:color w:val="auto"/>
        </w:rPr>
        <w:t>中</w:t>
      </w:r>
      <w:r>
        <w:rPr>
          <w:rFonts w:hint="eastAsia"/>
          <w:color w:val="auto"/>
          <w:lang w:val="en-US" w:eastAsia="zh-CN"/>
        </w:rPr>
        <w:t>3</w:t>
      </w:r>
      <w:r>
        <w:rPr>
          <w:rFonts w:hint="default"/>
          <w:color w:val="auto"/>
        </w:rPr>
        <w:t>类</w:t>
      </w:r>
      <w:r>
        <w:rPr>
          <w:rFonts w:hint="eastAsia"/>
          <w:color w:val="auto"/>
          <w:lang w:eastAsia="zh-CN"/>
        </w:rPr>
        <w:t>（</w:t>
      </w:r>
      <w:r>
        <w:rPr>
          <w:rFonts w:hint="eastAsia"/>
          <w:color w:val="auto"/>
          <w:lang w:val="en-US" w:eastAsia="zh-CN"/>
        </w:rPr>
        <w:t>临路侧4类</w:t>
      </w:r>
      <w:r>
        <w:rPr>
          <w:rFonts w:hint="eastAsia"/>
          <w:color w:val="auto"/>
          <w:lang w:eastAsia="zh-CN"/>
        </w:rPr>
        <w:t>）</w:t>
      </w:r>
      <w:r>
        <w:rPr>
          <w:rFonts w:hint="default"/>
          <w:color w:val="auto"/>
        </w:rPr>
        <w:t>排放标准限值要求，同时敏感点能满足《声环境质量标准》（GB3096-2008）2类限值要求。</w:t>
      </w:r>
    </w:p>
    <w:p w14:paraId="36F314A8">
      <w:pPr>
        <w:pStyle w:val="5"/>
        <w:pageBreakBefore w:val="0"/>
        <w:wordWrap/>
        <w:bidi w:val="0"/>
        <w:adjustRightInd/>
        <w:snapToGrid/>
        <w:spacing w:before="48" w:after="48"/>
        <w:ind w:left="0"/>
        <w:rPr>
          <w:rFonts w:eastAsia="宋体"/>
          <w:color w:val="auto"/>
        </w:rPr>
      </w:pPr>
      <w:bookmarkStart w:id="174" w:name="_Toc374627798"/>
      <w:bookmarkStart w:id="175" w:name="_Toc4756"/>
      <w:r>
        <w:rPr>
          <w:rFonts w:hint="eastAsia" w:eastAsia="宋体"/>
          <w:color w:val="auto"/>
        </w:rPr>
        <w:t xml:space="preserve"> </w:t>
      </w:r>
      <w:r>
        <w:rPr>
          <w:rFonts w:eastAsia="宋体"/>
          <w:color w:val="auto"/>
        </w:rPr>
        <w:t>营运期固体废物</w:t>
      </w:r>
      <w:bookmarkEnd w:id="174"/>
      <w:bookmarkEnd w:id="175"/>
      <w:r>
        <w:rPr>
          <w:rFonts w:eastAsia="宋体"/>
          <w:color w:val="auto"/>
        </w:rPr>
        <w:t>环境影响预测与评价</w:t>
      </w:r>
    </w:p>
    <w:p w14:paraId="25C7CE04">
      <w:pPr>
        <w:pageBreakBefore w:val="0"/>
        <w:tabs>
          <w:tab w:val="left" w:pos="423"/>
          <w:tab w:val="left" w:pos="611"/>
        </w:tabs>
        <w:wordWrap/>
        <w:bidi w:val="0"/>
        <w:adjustRightInd/>
        <w:snapToGrid/>
        <w:ind w:firstLine="480"/>
        <w:rPr>
          <w:color w:val="auto"/>
        </w:rPr>
      </w:pPr>
      <w:bookmarkStart w:id="176" w:name="_Toc362082747"/>
      <w:bookmarkStart w:id="177" w:name="_Toc374627799"/>
      <w:r>
        <w:rPr>
          <w:color w:val="auto"/>
        </w:rPr>
        <w:tab/>
      </w:r>
      <w:r>
        <w:rPr>
          <w:color w:val="auto"/>
        </w:rPr>
        <w:t>1、固废产生及处置情况</w:t>
      </w:r>
    </w:p>
    <w:p w14:paraId="154A7DF4">
      <w:pPr>
        <w:pageBreakBefore w:val="0"/>
        <w:tabs>
          <w:tab w:val="left" w:pos="611"/>
        </w:tabs>
        <w:wordWrap/>
        <w:bidi w:val="0"/>
        <w:adjustRightInd/>
        <w:snapToGrid/>
        <w:ind w:firstLine="480"/>
        <w:rPr>
          <w:color w:val="auto"/>
        </w:rPr>
        <w:sectPr>
          <w:headerReference r:id="rId21" w:type="default"/>
          <w:footerReference r:id="rId22" w:type="default"/>
          <w:pgSz w:w="11906" w:h="16838"/>
          <w:pgMar w:top="1440" w:right="1588" w:bottom="1440" w:left="1588" w:header="794" w:footer="992" w:gutter="0"/>
          <w:pgBorders>
            <w:top w:val="none" w:sz="0" w:space="0"/>
            <w:left w:val="none" w:sz="0" w:space="0"/>
            <w:bottom w:val="none" w:sz="0" w:space="0"/>
            <w:right w:val="none" w:sz="0" w:space="0"/>
          </w:pgBorders>
          <w:pgNumType w:fmt="decimal"/>
          <w:cols w:space="720" w:num="1"/>
          <w:docGrid w:linePitch="312" w:charSpace="0"/>
        </w:sectPr>
      </w:pPr>
      <w:r>
        <w:rPr>
          <w:color w:val="auto"/>
        </w:rPr>
        <w:t>本项目固体废物产生量</w:t>
      </w:r>
      <w:r>
        <w:rPr>
          <w:rFonts w:hint="eastAsia"/>
          <w:color w:val="auto"/>
          <w:lang w:val="en-US" w:eastAsia="zh-CN"/>
        </w:rPr>
        <w:t>194.665</w:t>
      </w:r>
      <w:r>
        <w:rPr>
          <w:color w:val="auto"/>
        </w:rPr>
        <w:t>t/a，包括一般固废、危险固废，固废去向合理明确，不会造成二次污染。</w:t>
      </w:r>
    </w:p>
    <w:p w14:paraId="75D892F6">
      <w:pPr>
        <w:pStyle w:val="19"/>
        <w:numPr>
          <w:ilvl w:val="0"/>
          <w:numId w:val="31"/>
        </w:numPr>
        <w:bidi w:val="0"/>
        <w:ind w:left="1440" w:leftChars="0" w:firstLine="0" w:firstLineChars="0"/>
        <w:rPr>
          <w:color w:val="auto"/>
        </w:rPr>
      </w:pPr>
      <w:r>
        <w:rPr>
          <w:color w:val="auto"/>
        </w:rPr>
        <w:t>项目固废利用处置方式评价表</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424"/>
        <w:gridCol w:w="1203"/>
        <w:gridCol w:w="1253"/>
        <w:gridCol w:w="1094"/>
        <w:gridCol w:w="1296"/>
        <w:gridCol w:w="727"/>
        <w:gridCol w:w="1011"/>
        <w:gridCol w:w="1375"/>
        <w:gridCol w:w="828"/>
        <w:gridCol w:w="769"/>
        <w:gridCol w:w="2042"/>
        <w:gridCol w:w="2042"/>
      </w:tblGrid>
      <w:tr w14:paraId="30BA9C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1" w:type="pct"/>
            <w:tcBorders>
              <w:tl2br w:val="nil"/>
              <w:tr2bl w:val="nil"/>
            </w:tcBorders>
            <w:noWrap w:val="0"/>
            <w:vAlign w:val="center"/>
          </w:tcPr>
          <w:p w14:paraId="7D1617CF">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编号</w:t>
            </w:r>
          </w:p>
        </w:tc>
        <w:tc>
          <w:tcPr>
            <w:tcW w:w="427" w:type="pct"/>
            <w:tcBorders>
              <w:tl2br w:val="nil"/>
              <w:tr2bl w:val="nil"/>
            </w:tcBorders>
            <w:noWrap w:val="0"/>
            <w:vAlign w:val="center"/>
          </w:tcPr>
          <w:p w14:paraId="303D7E38">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名称</w:t>
            </w:r>
          </w:p>
        </w:tc>
        <w:tc>
          <w:tcPr>
            <w:tcW w:w="445" w:type="pct"/>
            <w:tcBorders>
              <w:tl2br w:val="nil"/>
              <w:tr2bl w:val="nil"/>
            </w:tcBorders>
            <w:noWrap w:val="0"/>
            <w:vAlign w:val="center"/>
          </w:tcPr>
          <w:p w14:paraId="0EAEA4C9">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废物类别</w:t>
            </w:r>
          </w:p>
        </w:tc>
        <w:tc>
          <w:tcPr>
            <w:tcW w:w="388" w:type="pct"/>
            <w:tcBorders>
              <w:tl2br w:val="nil"/>
              <w:tr2bl w:val="nil"/>
            </w:tcBorders>
            <w:noWrap w:val="0"/>
            <w:vAlign w:val="center"/>
          </w:tcPr>
          <w:p w14:paraId="4B0F0C93">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废物代码</w:t>
            </w:r>
          </w:p>
        </w:tc>
        <w:tc>
          <w:tcPr>
            <w:tcW w:w="460" w:type="pct"/>
            <w:tcBorders>
              <w:tl2br w:val="nil"/>
              <w:tr2bl w:val="nil"/>
            </w:tcBorders>
            <w:noWrap w:val="0"/>
            <w:vAlign w:val="center"/>
          </w:tcPr>
          <w:p w14:paraId="3B8FD8C8">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主要成分</w:t>
            </w:r>
          </w:p>
        </w:tc>
        <w:tc>
          <w:tcPr>
            <w:tcW w:w="258" w:type="pct"/>
            <w:tcBorders>
              <w:tl2br w:val="nil"/>
              <w:tr2bl w:val="nil"/>
            </w:tcBorders>
            <w:noWrap w:val="0"/>
            <w:vAlign w:val="center"/>
          </w:tcPr>
          <w:p w14:paraId="279672B8">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性状</w:t>
            </w:r>
          </w:p>
        </w:tc>
        <w:tc>
          <w:tcPr>
            <w:tcW w:w="359" w:type="pct"/>
            <w:tcBorders>
              <w:tl2br w:val="nil"/>
              <w:tr2bl w:val="nil"/>
            </w:tcBorders>
            <w:noWrap w:val="0"/>
            <w:vAlign w:val="center"/>
          </w:tcPr>
          <w:p w14:paraId="74C7F8AA">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产生数量（t/a）</w:t>
            </w:r>
          </w:p>
        </w:tc>
        <w:tc>
          <w:tcPr>
            <w:tcW w:w="488" w:type="pct"/>
            <w:tcBorders>
              <w:tl2br w:val="nil"/>
              <w:tr2bl w:val="nil"/>
            </w:tcBorders>
            <w:noWrap w:val="0"/>
            <w:vAlign w:val="center"/>
          </w:tcPr>
          <w:p w14:paraId="7A4EC567">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产生工序及装置</w:t>
            </w:r>
          </w:p>
        </w:tc>
        <w:tc>
          <w:tcPr>
            <w:tcW w:w="294" w:type="pct"/>
            <w:tcBorders>
              <w:tl2br w:val="nil"/>
              <w:tr2bl w:val="nil"/>
            </w:tcBorders>
            <w:noWrap w:val="0"/>
            <w:vAlign w:val="center"/>
          </w:tcPr>
          <w:p w14:paraId="299F2BB8">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产生周期</w:t>
            </w:r>
          </w:p>
        </w:tc>
        <w:tc>
          <w:tcPr>
            <w:tcW w:w="273" w:type="pct"/>
            <w:tcBorders>
              <w:tl2br w:val="nil"/>
              <w:tr2bl w:val="nil"/>
            </w:tcBorders>
            <w:noWrap w:val="0"/>
            <w:vAlign w:val="center"/>
          </w:tcPr>
          <w:p w14:paraId="112E2B00">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危险特性</w:t>
            </w:r>
          </w:p>
        </w:tc>
        <w:tc>
          <w:tcPr>
            <w:tcW w:w="725" w:type="pct"/>
            <w:tcBorders>
              <w:tl2br w:val="nil"/>
              <w:tr2bl w:val="nil"/>
            </w:tcBorders>
            <w:noWrap w:val="0"/>
            <w:vAlign w:val="center"/>
          </w:tcPr>
          <w:p w14:paraId="4FC8B99D">
            <w:pPr>
              <w:pStyle w:val="498"/>
              <w:pageBreakBefore w:val="0"/>
              <w:wordWrap/>
              <w:bidi w:val="0"/>
              <w:adjustRightInd/>
              <w:snapToGrid/>
              <w:ind w:firstLine="0" w:firstLineChars="0"/>
              <w:jc w:val="center"/>
              <w:rPr>
                <w:b/>
                <w:bCs w:val="0"/>
                <w:color w:val="auto"/>
                <w:sz w:val="21"/>
                <w:szCs w:val="21"/>
              </w:rPr>
            </w:pPr>
            <w:r>
              <w:rPr>
                <w:b/>
                <w:bCs w:val="0"/>
                <w:color w:val="auto"/>
                <w:sz w:val="21"/>
                <w:szCs w:val="21"/>
              </w:rPr>
              <w:t>处置方式</w:t>
            </w:r>
          </w:p>
        </w:tc>
        <w:tc>
          <w:tcPr>
            <w:tcW w:w="725" w:type="pct"/>
            <w:tcBorders>
              <w:tl2br w:val="nil"/>
              <w:tr2bl w:val="nil"/>
            </w:tcBorders>
            <w:noWrap w:val="0"/>
            <w:vAlign w:val="center"/>
          </w:tcPr>
          <w:p w14:paraId="19A27849">
            <w:pPr>
              <w:pStyle w:val="498"/>
              <w:pageBreakBefore w:val="0"/>
              <w:wordWrap/>
              <w:bidi w:val="0"/>
              <w:adjustRightInd/>
              <w:snapToGrid/>
              <w:ind w:firstLine="0" w:firstLineChars="0"/>
              <w:jc w:val="center"/>
              <w:rPr>
                <w:rFonts w:hint="default" w:eastAsia="宋体"/>
                <w:b/>
                <w:bCs w:val="0"/>
                <w:color w:val="auto"/>
                <w:sz w:val="21"/>
                <w:szCs w:val="21"/>
                <w:lang w:val="en-US" w:eastAsia="zh-CN"/>
              </w:rPr>
            </w:pPr>
            <w:r>
              <w:rPr>
                <w:rFonts w:hint="eastAsia"/>
                <w:b/>
                <w:bCs w:val="0"/>
                <w:color w:val="auto"/>
                <w:sz w:val="21"/>
                <w:szCs w:val="21"/>
                <w:lang w:val="en-US" w:eastAsia="zh-CN"/>
              </w:rPr>
              <w:t>是否符合环保要求</w:t>
            </w:r>
          </w:p>
        </w:tc>
      </w:tr>
      <w:tr w14:paraId="3FADB2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1" w:type="pct"/>
            <w:tcBorders>
              <w:tl2br w:val="nil"/>
              <w:tr2bl w:val="nil"/>
            </w:tcBorders>
            <w:noWrap w:val="0"/>
            <w:vAlign w:val="center"/>
          </w:tcPr>
          <w:p w14:paraId="0716AE00">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1</w:t>
            </w:r>
          </w:p>
        </w:tc>
        <w:tc>
          <w:tcPr>
            <w:tcW w:w="427" w:type="pct"/>
            <w:tcBorders>
              <w:tl2br w:val="nil"/>
              <w:tr2bl w:val="nil"/>
            </w:tcBorders>
            <w:noWrap w:val="0"/>
            <w:vAlign w:val="center"/>
          </w:tcPr>
          <w:p w14:paraId="3C5842C4">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生活垃圾</w:t>
            </w:r>
          </w:p>
        </w:tc>
        <w:tc>
          <w:tcPr>
            <w:tcW w:w="445" w:type="pct"/>
            <w:tcBorders>
              <w:tl2br w:val="nil"/>
              <w:tr2bl w:val="nil"/>
            </w:tcBorders>
            <w:noWrap w:val="0"/>
            <w:vAlign w:val="center"/>
          </w:tcPr>
          <w:p w14:paraId="7C0CD626">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生活垃圾</w:t>
            </w:r>
          </w:p>
        </w:tc>
        <w:tc>
          <w:tcPr>
            <w:tcW w:w="388" w:type="pct"/>
            <w:tcBorders>
              <w:tl2br w:val="nil"/>
              <w:tr2bl w:val="nil"/>
            </w:tcBorders>
            <w:noWrap w:val="0"/>
            <w:vAlign w:val="center"/>
          </w:tcPr>
          <w:p w14:paraId="004B496D">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460" w:type="pct"/>
            <w:tcBorders>
              <w:tl2br w:val="nil"/>
              <w:tr2bl w:val="nil"/>
            </w:tcBorders>
            <w:noWrap w:val="0"/>
            <w:vAlign w:val="center"/>
          </w:tcPr>
          <w:p w14:paraId="1DA58121">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58" w:type="pct"/>
            <w:tcBorders>
              <w:tl2br w:val="nil"/>
              <w:tr2bl w:val="nil"/>
            </w:tcBorders>
            <w:noWrap w:val="0"/>
            <w:vAlign w:val="center"/>
          </w:tcPr>
          <w:p w14:paraId="381DD5E8">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固态</w:t>
            </w:r>
          </w:p>
        </w:tc>
        <w:tc>
          <w:tcPr>
            <w:tcW w:w="359" w:type="pct"/>
            <w:tcBorders>
              <w:tl2br w:val="nil"/>
              <w:tr2bl w:val="nil"/>
            </w:tcBorders>
            <w:noWrap w:val="0"/>
            <w:vAlign w:val="center"/>
          </w:tcPr>
          <w:p w14:paraId="7B61746C">
            <w:pPr>
              <w:pStyle w:val="498"/>
              <w:pageBreakBefore w:val="0"/>
              <w:wordWrap/>
              <w:bidi w:val="0"/>
              <w:adjustRightInd/>
              <w:snapToGrid/>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3.285</w:t>
            </w:r>
          </w:p>
        </w:tc>
        <w:tc>
          <w:tcPr>
            <w:tcW w:w="488" w:type="pct"/>
            <w:tcBorders>
              <w:tl2br w:val="nil"/>
              <w:tr2bl w:val="nil"/>
            </w:tcBorders>
            <w:noWrap w:val="0"/>
            <w:vAlign w:val="center"/>
          </w:tcPr>
          <w:p w14:paraId="119D8F64">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员工办公生活</w:t>
            </w:r>
          </w:p>
        </w:tc>
        <w:tc>
          <w:tcPr>
            <w:tcW w:w="294" w:type="pct"/>
            <w:tcBorders>
              <w:tl2br w:val="nil"/>
              <w:tr2bl w:val="nil"/>
            </w:tcBorders>
            <w:noWrap w:val="0"/>
            <w:vAlign w:val="center"/>
          </w:tcPr>
          <w:p w14:paraId="5DD7F221">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间歇</w:t>
            </w:r>
          </w:p>
        </w:tc>
        <w:tc>
          <w:tcPr>
            <w:tcW w:w="273" w:type="pct"/>
            <w:tcBorders>
              <w:tl2br w:val="nil"/>
              <w:tr2bl w:val="nil"/>
            </w:tcBorders>
            <w:noWrap w:val="0"/>
            <w:vAlign w:val="center"/>
          </w:tcPr>
          <w:p w14:paraId="3929EDE2">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725" w:type="pct"/>
            <w:tcBorders>
              <w:tl2br w:val="nil"/>
              <w:tr2bl w:val="nil"/>
            </w:tcBorders>
            <w:noWrap w:val="0"/>
            <w:vAlign w:val="center"/>
          </w:tcPr>
          <w:p w14:paraId="6198D003">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环卫清运</w:t>
            </w:r>
          </w:p>
        </w:tc>
        <w:tc>
          <w:tcPr>
            <w:tcW w:w="725" w:type="pct"/>
            <w:tcBorders>
              <w:tl2br w:val="nil"/>
              <w:tr2bl w:val="nil"/>
            </w:tcBorders>
            <w:noWrap w:val="0"/>
            <w:vAlign w:val="center"/>
          </w:tcPr>
          <w:p w14:paraId="13D98668">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符合</w:t>
            </w:r>
          </w:p>
        </w:tc>
      </w:tr>
      <w:tr w14:paraId="564AAF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1" w:type="pct"/>
            <w:tcBorders>
              <w:tl2br w:val="nil"/>
              <w:tr2bl w:val="nil"/>
            </w:tcBorders>
            <w:noWrap w:val="0"/>
            <w:vAlign w:val="center"/>
          </w:tcPr>
          <w:p w14:paraId="51E1B244">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2</w:t>
            </w:r>
          </w:p>
        </w:tc>
        <w:tc>
          <w:tcPr>
            <w:tcW w:w="427" w:type="pct"/>
            <w:tcBorders>
              <w:tl2br w:val="nil"/>
              <w:tr2bl w:val="nil"/>
            </w:tcBorders>
            <w:noWrap w:val="0"/>
            <w:vAlign w:val="center"/>
          </w:tcPr>
          <w:p w14:paraId="21617C5B">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食堂餐厨垃圾</w:t>
            </w:r>
          </w:p>
        </w:tc>
        <w:tc>
          <w:tcPr>
            <w:tcW w:w="445" w:type="pct"/>
            <w:tcBorders>
              <w:tl2br w:val="nil"/>
              <w:tr2bl w:val="nil"/>
            </w:tcBorders>
            <w:noWrap w:val="0"/>
            <w:vAlign w:val="center"/>
          </w:tcPr>
          <w:p w14:paraId="717BC818">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生活垃圾</w:t>
            </w:r>
          </w:p>
        </w:tc>
        <w:tc>
          <w:tcPr>
            <w:tcW w:w="388" w:type="pct"/>
            <w:tcBorders>
              <w:tl2br w:val="nil"/>
              <w:tr2bl w:val="nil"/>
            </w:tcBorders>
            <w:noWrap w:val="0"/>
            <w:vAlign w:val="center"/>
          </w:tcPr>
          <w:p w14:paraId="6EF70221">
            <w:pPr>
              <w:pStyle w:val="498"/>
              <w:pageBreakBefore w:val="0"/>
              <w:wordWrap/>
              <w:bidi w:val="0"/>
              <w:adjustRightInd/>
              <w:snapToGrid/>
              <w:ind w:firstLine="0" w:firstLineChars="0"/>
              <w:jc w:val="center"/>
              <w:rPr>
                <w:color w:val="auto"/>
                <w:sz w:val="21"/>
                <w:szCs w:val="21"/>
              </w:rPr>
            </w:pPr>
            <w:r>
              <w:rPr>
                <w:color w:val="auto"/>
                <w:sz w:val="21"/>
                <w:szCs w:val="21"/>
              </w:rPr>
              <w:t>/</w:t>
            </w:r>
          </w:p>
        </w:tc>
        <w:tc>
          <w:tcPr>
            <w:tcW w:w="460" w:type="pct"/>
            <w:tcBorders>
              <w:tl2br w:val="nil"/>
              <w:tr2bl w:val="nil"/>
            </w:tcBorders>
            <w:noWrap w:val="0"/>
            <w:vAlign w:val="center"/>
          </w:tcPr>
          <w:p w14:paraId="364854A9">
            <w:pPr>
              <w:pStyle w:val="498"/>
              <w:pageBreakBefore w:val="0"/>
              <w:wordWrap/>
              <w:bidi w:val="0"/>
              <w:adjustRightInd/>
              <w:snapToGrid/>
              <w:ind w:firstLine="0" w:firstLineChars="0"/>
              <w:jc w:val="center"/>
              <w:rPr>
                <w:color w:val="auto"/>
                <w:sz w:val="21"/>
                <w:szCs w:val="21"/>
              </w:rPr>
            </w:pPr>
            <w:r>
              <w:rPr>
                <w:color w:val="auto"/>
                <w:sz w:val="21"/>
                <w:szCs w:val="21"/>
              </w:rPr>
              <w:t>/</w:t>
            </w:r>
          </w:p>
        </w:tc>
        <w:tc>
          <w:tcPr>
            <w:tcW w:w="258" w:type="pct"/>
            <w:tcBorders>
              <w:tl2br w:val="nil"/>
              <w:tr2bl w:val="nil"/>
            </w:tcBorders>
            <w:noWrap w:val="0"/>
            <w:vAlign w:val="center"/>
          </w:tcPr>
          <w:p w14:paraId="76B5E81E">
            <w:pPr>
              <w:pStyle w:val="498"/>
              <w:pageBreakBefore w:val="0"/>
              <w:wordWrap/>
              <w:bidi w:val="0"/>
              <w:adjustRightInd/>
              <w:snapToGrid/>
              <w:ind w:firstLine="0" w:firstLineChars="0"/>
              <w:jc w:val="center"/>
              <w:rPr>
                <w:color w:val="auto"/>
                <w:sz w:val="21"/>
                <w:szCs w:val="21"/>
              </w:rPr>
            </w:pPr>
            <w:r>
              <w:rPr>
                <w:color w:val="auto"/>
                <w:sz w:val="21"/>
                <w:szCs w:val="21"/>
              </w:rPr>
              <w:t>固态</w:t>
            </w:r>
          </w:p>
        </w:tc>
        <w:tc>
          <w:tcPr>
            <w:tcW w:w="359" w:type="pct"/>
            <w:tcBorders>
              <w:tl2br w:val="nil"/>
              <w:tr2bl w:val="nil"/>
            </w:tcBorders>
            <w:noWrap w:val="0"/>
            <w:vAlign w:val="center"/>
          </w:tcPr>
          <w:p w14:paraId="7E1223CA">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1.314</w:t>
            </w:r>
          </w:p>
        </w:tc>
        <w:tc>
          <w:tcPr>
            <w:tcW w:w="488" w:type="pct"/>
            <w:tcBorders>
              <w:tl2br w:val="nil"/>
              <w:tr2bl w:val="nil"/>
            </w:tcBorders>
            <w:noWrap w:val="0"/>
            <w:vAlign w:val="center"/>
          </w:tcPr>
          <w:p w14:paraId="55BA7F04">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食堂</w:t>
            </w:r>
          </w:p>
        </w:tc>
        <w:tc>
          <w:tcPr>
            <w:tcW w:w="294" w:type="pct"/>
            <w:tcBorders>
              <w:tl2br w:val="nil"/>
              <w:tr2bl w:val="nil"/>
            </w:tcBorders>
            <w:noWrap w:val="0"/>
            <w:vAlign w:val="center"/>
          </w:tcPr>
          <w:p w14:paraId="1561E398">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间歇</w:t>
            </w:r>
          </w:p>
        </w:tc>
        <w:tc>
          <w:tcPr>
            <w:tcW w:w="273" w:type="pct"/>
            <w:tcBorders>
              <w:tl2br w:val="nil"/>
              <w:tr2bl w:val="nil"/>
            </w:tcBorders>
            <w:noWrap w:val="0"/>
            <w:vAlign w:val="center"/>
          </w:tcPr>
          <w:p w14:paraId="294CFD83">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c>
          <w:tcPr>
            <w:tcW w:w="725" w:type="pct"/>
            <w:tcBorders>
              <w:tl2br w:val="nil"/>
              <w:tr2bl w:val="nil"/>
            </w:tcBorders>
            <w:noWrap w:val="0"/>
            <w:vAlign w:val="center"/>
          </w:tcPr>
          <w:p w14:paraId="72013B4B">
            <w:pPr>
              <w:pStyle w:val="498"/>
              <w:pageBreakBefore w:val="0"/>
              <w:wordWrap/>
              <w:bidi w:val="0"/>
              <w:adjustRightInd/>
              <w:snapToGrid/>
              <w:ind w:firstLine="0" w:firstLineChars="0"/>
              <w:jc w:val="center"/>
              <w:rPr>
                <w:color w:val="auto"/>
                <w:sz w:val="21"/>
                <w:szCs w:val="21"/>
              </w:rPr>
            </w:pPr>
            <w:r>
              <w:rPr>
                <w:rFonts w:hint="eastAsia"/>
                <w:color w:val="auto"/>
                <w:sz w:val="21"/>
                <w:szCs w:val="21"/>
              </w:rPr>
              <w:t>有相应处理能力的单位清运处置</w:t>
            </w:r>
          </w:p>
        </w:tc>
        <w:tc>
          <w:tcPr>
            <w:tcW w:w="725" w:type="pct"/>
            <w:tcBorders>
              <w:tl2br w:val="nil"/>
              <w:tr2bl w:val="nil"/>
            </w:tcBorders>
            <w:noWrap w:val="0"/>
            <w:vAlign w:val="center"/>
          </w:tcPr>
          <w:p w14:paraId="7DCCBF2E">
            <w:pPr>
              <w:pStyle w:val="498"/>
              <w:pageBreakBefore w:val="0"/>
              <w:wordWrap/>
              <w:bidi w:val="0"/>
              <w:adjustRightInd/>
              <w:snapToGrid/>
              <w:ind w:firstLine="0" w:firstLineChars="0"/>
              <w:jc w:val="center"/>
              <w:rPr>
                <w:rFonts w:hint="eastAsia"/>
                <w:color w:val="auto"/>
                <w:sz w:val="21"/>
                <w:szCs w:val="21"/>
              </w:rPr>
            </w:pPr>
            <w:r>
              <w:rPr>
                <w:rFonts w:hint="eastAsia"/>
                <w:color w:val="auto"/>
                <w:sz w:val="21"/>
                <w:szCs w:val="21"/>
                <w:lang w:val="en-US" w:eastAsia="zh-CN"/>
              </w:rPr>
              <w:t>符合</w:t>
            </w:r>
          </w:p>
        </w:tc>
      </w:tr>
      <w:tr w14:paraId="7114F5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1" w:type="pct"/>
            <w:tcBorders>
              <w:tl2br w:val="nil"/>
              <w:tr2bl w:val="nil"/>
            </w:tcBorders>
            <w:noWrap w:val="0"/>
            <w:vAlign w:val="center"/>
          </w:tcPr>
          <w:p w14:paraId="70787243">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3</w:t>
            </w:r>
          </w:p>
        </w:tc>
        <w:tc>
          <w:tcPr>
            <w:tcW w:w="427" w:type="pct"/>
            <w:tcBorders>
              <w:tl2br w:val="nil"/>
              <w:tr2bl w:val="nil"/>
            </w:tcBorders>
            <w:noWrap w:val="0"/>
            <w:vAlign w:val="center"/>
          </w:tcPr>
          <w:p w14:paraId="1E6E2EF5">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废包装材料</w:t>
            </w:r>
          </w:p>
        </w:tc>
        <w:tc>
          <w:tcPr>
            <w:tcW w:w="445" w:type="pct"/>
            <w:tcBorders>
              <w:tl2br w:val="nil"/>
              <w:tr2bl w:val="nil"/>
            </w:tcBorders>
            <w:noWrap w:val="0"/>
            <w:vAlign w:val="center"/>
          </w:tcPr>
          <w:p w14:paraId="1859E2F5">
            <w:pPr>
              <w:pStyle w:val="498"/>
              <w:pageBreakBefore w:val="0"/>
              <w:wordWrap/>
              <w:bidi w:val="0"/>
              <w:adjustRightInd/>
              <w:snapToGrid/>
              <w:ind w:firstLine="0" w:firstLineChars="0"/>
              <w:jc w:val="center"/>
              <w:rPr>
                <w:color w:val="auto"/>
                <w:sz w:val="21"/>
                <w:szCs w:val="21"/>
              </w:rPr>
            </w:pPr>
            <w:r>
              <w:rPr>
                <w:color w:val="auto"/>
                <w:sz w:val="21"/>
                <w:szCs w:val="21"/>
              </w:rPr>
              <w:t>一般工业固废</w:t>
            </w:r>
          </w:p>
        </w:tc>
        <w:tc>
          <w:tcPr>
            <w:tcW w:w="388" w:type="pct"/>
            <w:tcBorders>
              <w:tl2br w:val="nil"/>
              <w:tr2bl w:val="nil"/>
            </w:tcBorders>
            <w:noWrap w:val="0"/>
            <w:vAlign w:val="center"/>
          </w:tcPr>
          <w:p w14:paraId="38D31E8B">
            <w:pPr>
              <w:pStyle w:val="498"/>
              <w:pageBreakBefore w:val="0"/>
              <w:wordWrap/>
              <w:bidi w:val="0"/>
              <w:adjustRightInd/>
              <w:snapToGrid/>
              <w:ind w:firstLine="0" w:firstLineChars="0"/>
              <w:jc w:val="center"/>
              <w:rPr>
                <w:color w:val="auto"/>
                <w:sz w:val="21"/>
                <w:szCs w:val="21"/>
              </w:rPr>
            </w:pPr>
            <w:r>
              <w:rPr>
                <w:color w:val="auto"/>
                <w:sz w:val="21"/>
                <w:szCs w:val="21"/>
              </w:rPr>
              <w:t>/</w:t>
            </w:r>
          </w:p>
        </w:tc>
        <w:tc>
          <w:tcPr>
            <w:tcW w:w="460" w:type="pct"/>
            <w:tcBorders>
              <w:tl2br w:val="nil"/>
              <w:tr2bl w:val="nil"/>
            </w:tcBorders>
            <w:noWrap w:val="0"/>
            <w:vAlign w:val="center"/>
          </w:tcPr>
          <w:p w14:paraId="3459452A">
            <w:pPr>
              <w:pStyle w:val="498"/>
              <w:pageBreakBefore w:val="0"/>
              <w:wordWrap/>
              <w:bidi w:val="0"/>
              <w:adjustRightInd/>
              <w:snapToGrid/>
              <w:ind w:firstLine="0" w:firstLineChars="0"/>
              <w:jc w:val="center"/>
              <w:rPr>
                <w:color w:val="auto"/>
                <w:sz w:val="21"/>
                <w:szCs w:val="21"/>
              </w:rPr>
            </w:pPr>
            <w:r>
              <w:rPr>
                <w:color w:val="auto"/>
                <w:sz w:val="21"/>
                <w:szCs w:val="21"/>
              </w:rPr>
              <w:t>/</w:t>
            </w:r>
          </w:p>
        </w:tc>
        <w:tc>
          <w:tcPr>
            <w:tcW w:w="258" w:type="pct"/>
            <w:tcBorders>
              <w:tl2br w:val="nil"/>
              <w:tr2bl w:val="nil"/>
            </w:tcBorders>
            <w:noWrap w:val="0"/>
            <w:vAlign w:val="center"/>
          </w:tcPr>
          <w:p w14:paraId="760E2487">
            <w:pPr>
              <w:pStyle w:val="498"/>
              <w:pageBreakBefore w:val="0"/>
              <w:wordWrap/>
              <w:bidi w:val="0"/>
              <w:adjustRightInd/>
              <w:snapToGrid/>
              <w:ind w:firstLine="0" w:firstLineChars="0"/>
              <w:jc w:val="center"/>
              <w:rPr>
                <w:color w:val="auto"/>
                <w:sz w:val="21"/>
                <w:szCs w:val="21"/>
              </w:rPr>
            </w:pPr>
            <w:r>
              <w:rPr>
                <w:color w:val="auto"/>
                <w:sz w:val="21"/>
                <w:szCs w:val="21"/>
              </w:rPr>
              <w:t>固态</w:t>
            </w:r>
          </w:p>
        </w:tc>
        <w:tc>
          <w:tcPr>
            <w:tcW w:w="359" w:type="pct"/>
            <w:tcBorders>
              <w:tl2br w:val="nil"/>
              <w:tr2bl w:val="nil"/>
            </w:tcBorders>
            <w:noWrap w:val="0"/>
            <w:vAlign w:val="center"/>
          </w:tcPr>
          <w:p w14:paraId="7D88CB66">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0.5</w:t>
            </w:r>
          </w:p>
        </w:tc>
        <w:tc>
          <w:tcPr>
            <w:tcW w:w="488" w:type="pct"/>
            <w:tcBorders>
              <w:tl2br w:val="nil"/>
              <w:tr2bl w:val="nil"/>
            </w:tcBorders>
            <w:noWrap w:val="0"/>
            <w:vAlign w:val="center"/>
          </w:tcPr>
          <w:p w14:paraId="22C21505">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加药间等</w:t>
            </w:r>
          </w:p>
        </w:tc>
        <w:tc>
          <w:tcPr>
            <w:tcW w:w="294" w:type="pct"/>
            <w:tcBorders>
              <w:tl2br w:val="nil"/>
              <w:tr2bl w:val="nil"/>
            </w:tcBorders>
            <w:noWrap w:val="0"/>
            <w:vAlign w:val="center"/>
          </w:tcPr>
          <w:p w14:paraId="0A9CFE5F">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间歇</w:t>
            </w:r>
          </w:p>
        </w:tc>
        <w:tc>
          <w:tcPr>
            <w:tcW w:w="273" w:type="pct"/>
            <w:tcBorders>
              <w:tl2br w:val="nil"/>
              <w:tr2bl w:val="nil"/>
            </w:tcBorders>
            <w:noWrap w:val="0"/>
            <w:vAlign w:val="center"/>
          </w:tcPr>
          <w:p w14:paraId="0F802AD9">
            <w:pPr>
              <w:pStyle w:val="498"/>
              <w:pageBreakBefore w:val="0"/>
              <w:wordWrap/>
              <w:bidi w:val="0"/>
              <w:adjustRightInd/>
              <w:snapToGrid/>
              <w:ind w:firstLine="0" w:firstLineChars="0"/>
              <w:jc w:val="center"/>
              <w:rPr>
                <w:color w:val="auto"/>
                <w:sz w:val="21"/>
                <w:szCs w:val="21"/>
              </w:rPr>
            </w:pPr>
            <w:r>
              <w:rPr>
                <w:color w:val="auto"/>
                <w:sz w:val="21"/>
                <w:szCs w:val="21"/>
              </w:rPr>
              <w:t>/</w:t>
            </w:r>
          </w:p>
        </w:tc>
        <w:tc>
          <w:tcPr>
            <w:tcW w:w="725" w:type="pct"/>
            <w:tcBorders>
              <w:tl2br w:val="nil"/>
              <w:tr2bl w:val="nil"/>
            </w:tcBorders>
            <w:noWrap w:val="0"/>
            <w:vAlign w:val="center"/>
          </w:tcPr>
          <w:p w14:paraId="101A00F8">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外售废品回收站</w:t>
            </w:r>
          </w:p>
        </w:tc>
        <w:tc>
          <w:tcPr>
            <w:tcW w:w="725" w:type="pct"/>
            <w:tcBorders>
              <w:tl2br w:val="nil"/>
              <w:tr2bl w:val="nil"/>
            </w:tcBorders>
            <w:noWrap w:val="0"/>
            <w:vAlign w:val="center"/>
          </w:tcPr>
          <w:p w14:paraId="745C2AB6">
            <w:pPr>
              <w:pStyle w:val="498"/>
              <w:pageBreakBefore w:val="0"/>
              <w:wordWrap/>
              <w:bidi w:val="0"/>
              <w:adjustRightInd/>
              <w:snapToGrid/>
              <w:ind w:firstLine="0" w:firstLineChars="0"/>
              <w:jc w:val="center"/>
              <w:rPr>
                <w:rFonts w:hint="eastAsia"/>
                <w:color w:val="auto"/>
                <w:sz w:val="21"/>
                <w:szCs w:val="21"/>
                <w:lang w:val="en-US" w:eastAsia="zh-CN"/>
              </w:rPr>
            </w:pPr>
            <w:r>
              <w:rPr>
                <w:rFonts w:hint="eastAsia"/>
                <w:color w:val="auto"/>
                <w:sz w:val="21"/>
                <w:szCs w:val="21"/>
                <w:lang w:val="en-US" w:eastAsia="zh-CN"/>
              </w:rPr>
              <w:t>符合</w:t>
            </w:r>
          </w:p>
        </w:tc>
      </w:tr>
      <w:tr w14:paraId="331E49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1" w:type="pct"/>
            <w:tcBorders>
              <w:tl2br w:val="nil"/>
              <w:tr2bl w:val="nil"/>
            </w:tcBorders>
            <w:noWrap w:val="0"/>
            <w:vAlign w:val="center"/>
          </w:tcPr>
          <w:p w14:paraId="7E67BAB1">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4</w:t>
            </w:r>
          </w:p>
        </w:tc>
        <w:tc>
          <w:tcPr>
            <w:tcW w:w="427" w:type="pct"/>
            <w:tcBorders>
              <w:tl2br w:val="nil"/>
              <w:tr2bl w:val="nil"/>
            </w:tcBorders>
            <w:noWrap w:val="0"/>
            <w:vAlign w:val="center"/>
          </w:tcPr>
          <w:p w14:paraId="385BFBDE">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栅渣</w:t>
            </w:r>
          </w:p>
        </w:tc>
        <w:tc>
          <w:tcPr>
            <w:tcW w:w="445" w:type="pct"/>
            <w:tcBorders>
              <w:tl2br w:val="nil"/>
              <w:tr2bl w:val="nil"/>
            </w:tcBorders>
            <w:noWrap w:val="0"/>
            <w:vAlign w:val="center"/>
          </w:tcPr>
          <w:p w14:paraId="299B6098">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一般工业固废</w:t>
            </w:r>
          </w:p>
        </w:tc>
        <w:tc>
          <w:tcPr>
            <w:tcW w:w="388" w:type="pct"/>
            <w:tcBorders>
              <w:tl2br w:val="nil"/>
              <w:tr2bl w:val="nil"/>
            </w:tcBorders>
            <w:noWrap w:val="0"/>
            <w:vAlign w:val="center"/>
          </w:tcPr>
          <w:p w14:paraId="4FE5C41D">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460" w:type="pct"/>
            <w:tcBorders>
              <w:tl2br w:val="nil"/>
              <w:tr2bl w:val="nil"/>
            </w:tcBorders>
            <w:noWrap w:val="0"/>
            <w:vAlign w:val="center"/>
          </w:tcPr>
          <w:p w14:paraId="7CA4A40D">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58" w:type="pct"/>
            <w:tcBorders>
              <w:tl2br w:val="nil"/>
              <w:tr2bl w:val="nil"/>
            </w:tcBorders>
            <w:noWrap w:val="0"/>
            <w:vAlign w:val="center"/>
          </w:tcPr>
          <w:p w14:paraId="2F662AAD">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固态</w:t>
            </w:r>
          </w:p>
        </w:tc>
        <w:tc>
          <w:tcPr>
            <w:tcW w:w="359" w:type="pct"/>
            <w:tcBorders>
              <w:tl2br w:val="nil"/>
              <w:tr2bl w:val="nil"/>
            </w:tcBorders>
            <w:noWrap w:val="0"/>
            <w:vAlign w:val="center"/>
          </w:tcPr>
          <w:p w14:paraId="12281AD8">
            <w:pPr>
              <w:pStyle w:val="498"/>
              <w:pageBreakBefore w:val="0"/>
              <w:wordWrap/>
              <w:bidi w:val="0"/>
              <w:adjustRightInd/>
              <w:snapToGrid/>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31.536</w:t>
            </w:r>
          </w:p>
        </w:tc>
        <w:tc>
          <w:tcPr>
            <w:tcW w:w="488" w:type="pct"/>
            <w:tcBorders>
              <w:tl2br w:val="nil"/>
              <w:tr2bl w:val="nil"/>
            </w:tcBorders>
            <w:noWrap w:val="0"/>
            <w:vAlign w:val="center"/>
          </w:tcPr>
          <w:p w14:paraId="32BBE0D6">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格栅</w:t>
            </w:r>
          </w:p>
        </w:tc>
        <w:tc>
          <w:tcPr>
            <w:tcW w:w="294" w:type="pct"/>
            <w:tcBorders>
              <w:tl2br w:val="nil"/>
              <w:tr2bl w:val="nil"/>
            </w:tcBorders>
            <w:noWrap w:val="0"/>
            <w:vAlign w:val="center"/>
          </w:tcPr>
          <w:p w14:paraId="32F19BF2">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间歇</w:t>
            </w:r>
          </w:p>
        </w:tc>
        <w:tc>
          <w:tcPr>
            <w:tcW w:w="273" w:type="pct"/>
            <w:tcBorders>
              <w:tl2br w:val="nil"/>
              <w:tr2bl w:val="nil"/>
            </w:tcBorders>
            <w:noWrap w:val="0"/>
            <w:vAlign w:val="center"/>
          </w:tcPr>
          <w:p w14:paraId="0006E8C2">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725" w:type="pct"/>
            <w:tcBorders>
              <w:tl2br w:val="nil"/>
              <w:tr2bl w:val="nil"/>
            </w:tcBorders>
            <w:noWrap w:val="0"/>
            <w:vAlign w:val="center"/>
          </w:tcPr>
          <w:p w14:paraId="27A7C5C5">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环卫部门清运</w:t>
            </w:r>
          </w:p>
        </w:tc>
        <w:tc>
          <w:tcPr>
            <w:tcW w:w="725" w:type="pct"/>
            <w:tcBorders>
              <w:tl2br w:val="nil"/>
              <w:tr2bl w:val="nil"/>
            </w:tcBorders>
            <w:noWrap w:val="0"/>
            <w:vAlign w:val="center"/>
          </w:tcPr>
          <w:p w14:paraId="4F59E5E0">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符合</w:t>
            </w:r>
          </w:p>
        </w:tc>
      </w:tr>
      <w:tr w14:paraId="1E35AB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1" w:type="pct"/>
            <w:tcBorders>
              <w:tl2br w:val="nil"/>
              <w:tr2bl w:val="nil"/>
            </w:tcBorders>
            <w:noWrap w:val="0"/>
            <w:vAlign w:val="center"/>
          </w:tcPr>
          <w:p w14:paraId="3CFB9295">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5</w:t>
            </w:r>
          </w:p>
        </w:tc>
        <w:tc>
          <w:tcPr>
            <w:tcW w:w="427" w:type="pct"/>
            <w:tcBorders>
              <w:tl2br w:val="nil"/>
              <w:tr2bl w:val="nil"/>
            </w:tcBorders>
            <w:noWrap w:val="0"/>
            <w:vAlign w:val="center"/>
          </w:tcPr>
          <w:p w14:paraId="2ACBBA6B">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污泥</w:t>
            </w:r>
          </w:p>
        </w:tc>
        <w:tc>
          <w:tcPr>
            <w:tcW w:w="445" w:type="pct"/>
            <w:tcBorders>
              <w:tl2br w:val="nil"/>
              <w:tr2bl w:val="nil"/>
            </w:tcBorders>
            <w:noWrap w:val="0"/>
            <w:vAlign w:val="center"/>
          </w:tcPr>
          <w:p w14:paraId="5CE89706">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根据鉴定结果判别</w:t>
            </w:r>
          </w:p>
        </w:tc>
        <w:tc>
          <w:tcPr>
            <w:tcW w:w="388" w:type="pct"/>
            <w:tcBorders>
              <w:tl2br w:val="nil"/>
              <w:tr2bl w:val="nil"/>
            </w:tcBorders>
            <w:noWrap w:val="0"/>
            <w:vAlign w:val="center"/>
          </w:tcPr>
          <w:p w14:paraId="3812334E">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460" w:type="pct"/>
            <w:tcBorders>
              <w:tl2br w:val="nil"/>
              <w:tr2bl w:val="nil"/>
            </w:tcBorders>
            <w:noWrap w:val="0"/>
            <w:vAlign w:val="center"/>
          </w:tcPr>
          <w:p w14:paraId="03FC1E66">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58" w:type="pct"/>
            <w:tcBorders>
              <w:tl2br w:val="nil"/>
              <w:tr2bl w:val="nil"/>
            </w:tcBorders>
            <w:noWrap w:val="0"/>
            <w:vAlign w:val="center"/>
          </w:tcPr>
          <w:p w14:paraId="2225106A">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固态</w:t>
            </w:r>
          </w:p>
        </w:tc>
        <w:tc>
          <w:tcPr>
            <w:tcW w:w="359" w:type="pct"/>
            <w:tcBorders>
              <w:tl2br w:val="nil"/>
              <w:tr2bl w:val="nil"/>
            </w:tcBorders>
            <w:noWrap w:val="0"/>
            <w:vAlign w:val="center"/>
          </w:tcPr>
          <w:p w14:paraId="0F9292C7">
            <w:pPr>
              <w:pStyle w:val="498"/>
              <w:pageBreakBefore w:val="0"/>
              <w:wordWrap/>
              <w:bidi w:val="0"/>
              <w:adjustRightInd/>
              <w:snapToGrid/>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152.7</w:t>
            </w:r>
          </w:p>
        </w:tc>
        <w:tc>
          <w:tcPr>
            <w:tcW w:w="488" w:type="pct"/>
            <w:tcBorders>
              <w:tl2br w:val="nil"/>
              <w:tr2bl w:val="nil"/>
            </w:tcBorders>
            <w:noWrap w:val="0"/>
            <w:vAlign w:val="center"/>
          </w:tcPr>
          <w:p w14:paraId="72275762">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水解酸化池、</w:t>
            </w:r>
            <w:r>
              <w:rPr>
                <w:rFonts w:hint="eastAsia"/>
                <w:color w:val="auto"/>
                <w:sz w:val="21"/>
                <w:szCs w:val="21"/>
                <w:lang w:val="en-US" w:eastAsia="zh-CN"/>
              </w:rPr>
              <w:t>生化池、</w:t>
            </w:r>
            <w:r>
              <w:rPr>
                <w:color w:val="auto"/>
                <w:sz w:val="21"/>
                <w:szCs w:val="21"/>
              </w:rPr>
              <w:t>二沉池、</w:t>
            </w:r>
            <w:r>
              <w:rPr>
                <w:rFonts w:hint="eastAsia"/>
                <w:color w:val="auto"/>
                <w:sz w:val="21"/>
                <w:szCs w:val="21"/>
                <w:lang w:val="en-US" w:eastAsia="zh-CN"/>
              </w:rPr>
              <w:t>磁混凝</w:t>
            </w:r>
            <w:r>
              <w:rPr>
                <w:color w:val="auto"/>
                <w:sz w:val="21"/>
                <w:szCs w:val="21"/>
              </w:rPr>
              <w:t>沉淀池</w:t>
            </w:r>
          </w:p>
        </w:tc>
        <w:tc>
          <w:tcPr>
            <w:tcW w:w="294" w:type="pct"/>
            <w:tcBorders>
              <w:tl2br w:val="nil"/>
              <w:tr2bl w:val="nil"/>
            </w:tcBorders>
            <w:noWrap w:val="0"/>
            <w:vAlign w:val="center"/>
          </w:tcPr>
          <w:p w14:paraId="19DF7B1A">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间歇</w:t>
            </w:r>
          </w:p>
        </w:tc>
        <w:tc>
          <w:tcPr>
            <w:tcW w:w="273" w:type="pct"/>
            <w:tcBorders>
              <w:tl2br w:val="nil"/>
              <w:tr2bl w:val="nil"/>
            </w:tcBorders>
            <w:noWrap w:val="0"/>
            <w:vAlign w:val="center"/>
          </w:tcPr>
          <w:p w14:paraId="1E7AD6A3">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725" w:type="pct"/>
            <w:tcBorders>
              <w:tl2br w:val="nil"/>
              <w:tr2bl w:val="nil"/>
            </w:tcBorders>
            <w:noWrap w:val="0"/>
            <w:vAlign w:val="center"/>
          </w:tcPr>
          <w:p w14:paraId="20DF5BA4">
            <w:pPr>
              <w:pageBreakBefore w:val="0"/>
              <w:widowControl/>
              <w:wordWrap/>
              <w:bidi w:val="0"/>
              <w:adjustRightInd/>
              <w:snapToGrid/>
              <w:spacing w:line="240" w:lineRule="auto"/>
              <w:ind w:firstLine="0" w:firstLineChars="0"/>
              <w:jc w:val="left"/>
              <w:rPr>
                <w:rFonts w:hint="eastAsia"/>
                <w:color w:val="auto"/>
                <w:kern w:val="0"/>
                <w:sz w:val="21"/>
                <w:szCs w:val="21"/>
                <w:lang w:bidi="ar"/>
              </w:rPr>
            </w:pPr>
            <w:r>
              <w:rPr>
                <w:rFonts w:hint="eastAsia"/>
                <w:color w:val="auto"/>
                <w:kern w:val="0"/>
                <w:sz w:val="21"/>
                <w:szCs w:val="21"/>
                <w:lang w:bidi="ar"/>
              </w:rPr>
              <w:t xml:space="preserve">根据鉴定结果，确定最终处置方式。 </w:t>
            </w:r>
          </w:p>
          <w:p w14:paraId="2A448B55">
            <w:pPr>
              <w:pageBreakBefore w:val="0"/>
              <w:widowControl/>
              <w:wordWrap/>
              <w:bidi w:val="0"/>
              <w:adjustRightInd/>
              <w:snapToGrid/>
              <w:spacing w:line="240" w:lineRule="auto"/>
              <w:ind w:firstLine="0" w:firstLineChars="0"/>
              <w:jc w:val="left"/>
              <w:rPr>
                <w:rFonts w:ascii="Times New Roman" w:hAnsi="Times New Roman" w:eastAsia="宋体" w:cs="Times New Roman"/>
                <w:color w:val="auto"/>
                <w:kern w:val="2"/>
                <w:sz w:val="21"/>
                <w:szCs w:val="21"/>
                <w:lang w:val="en-US" w:eastAsia="zh-CN" w:bidi="ar-SA"/>
              </w:rPr>
            </w:pPr>
            <w:r>
              <w:rPr>
                <w:rFonts w:hint="eastAsia"/>
                <w:color w:val="auto"/>
                <w:kern w:val="0"/>
                <w:sz w:val="21"/>
                <w:szCs w:val="21"/>
                <w:lang w:bidi="ar"/>
              </w:rPr>
              <w:t>若属危废→危废处置单位；若不属危废→外运至填埋场处置或制砖厂烧砖</w:t>
            </w:r>
          </w:p>
        </w:tc>
        <w:tc>
          <w:tcPr>
            <w:tcW w:w="725" w:type="pct"/>
            <w:tcBorders>
              <w:tl2br w:val="nil"/>
              <w:tr2bl w:val="nil"/>
            </w:tcBorders>
            <w:noWrap w:val="0"/>
            <w:vAlign w:val="center"/>
          </w:tcPr>
          <w:p w14:paraId="3362297C">
            <w:pPr>
              <w:pageBreakBefore w:val="0"/>
              <w:widowControl/>
              <w:wordWrap/>
              <w:bidi w:val="0"/>
              <w:adjustRightInd/>
              <w:snapToGrid/>
              <w:spacing w:line="240" w:lineRule="auto"/>
              <w:ind w:firstLine="0" w:firstLineChars="0"/>
              <w:jc w:val="center"/>
              <w:rPr>
                <w:color w:val="auto"/>
                <w:kern w:val="0"/>
                <w:sz w:val="21"/>
                <w:szCs w:val="21"/>
                <w:lang w:bidi="ar"/>
              </w:rPr>
            </w:pPr>
            <w:r>
              <w:rPr>
                <w:rFonts w:hint="eastAsia"/>
                <w:color w:val="auto"/>
                <w:sz w:val="21"/>
                <w:szCs w:val="21"/>
                <w:lang w:val="en-US" w:eastAsia="zh-CN"/>
              </w:rPr>
              <w:t>符合</w:t>
            </w:r>
          </w:p>
        </w:tc>
      </w:tr>
      <w:tr w14:paraId="4CFD01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1" w:type="pct"/>
            <w:tcBorders>
              <w:tl2br w:val="nil"/>
              <w:tr2bl w:val="nil"/>
            </w:tcBorders>
            <w:noWrap w:val="0"/>
            <w:vAlign w:val="center"/>
          </w:tcPr>
          <w:p w14:paraId="7897551B">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6</w:t>
            </w:r>
          </w:p>
        </w:tc>
        <w:tc>
          <w:tcPr>
            <w:tcW w:w="427" w:type="pct"/>
            <w:tcBorders>
              <w:tl2br w:val="nil"/>
              <w:tr2bl w:val="nil"/>
            </w:tcBorders>
            <w:noWrap w:val="0"/>
            <w:vAlign w:val="center"/>
          </w:tcPr>
          <w:p w14:paraId="1E56C37C">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生物除臭系统废弃填料</w:t>
            </w:r>
          </w:p>
        </w:tc>
        <w:tc>
          <w:tcPr>
            <w:tcW w:w="445" w:type="pct"/>
            <w:tcBorders>
              <w:tl2br w:val="nil"/>
              <w:tr2bl w:val="nil"/>
            </w:tcBorders>
            <w:noWrap w:val="0"/>
            <w:vAlign w:val="center"/>
          </w:tcPr>
          <w:p w14:paraId="14A44D2A">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一般工业固废</w:t>
            </w:r>
          </w:p>
        </w:tc>
        <w:tc>
          <w:tcPr>
            <w:tcW w:w="388" w:type="pct"/>
            <w:tcBorders>
              <w:tl2br w:val="nil"/>
              <w:tr2bl w:val="nil"/>
            </w:tcBorders>
            <w:noWrap w:val="0"/>
            <w:vAlign w:val="center"/>
          </w:tcPr>
          <w:p w14:paraId="651237E2">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460" w:type="pct"/>
            <w:tcBorders>
              <w:tl2br w:val="nil"/>
              <w:tr2bl w:val="nil"/>
            </w:tcBorders>
            <w:noWrap w:val="0"/>
            <w:vAlign w:val="center"/>
          </w:tcPr>
          <w:p w14:paraId="0455386C">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258" w:type="pct"/>
            <w:tcBorders>
              <w:tl2br w:val="nil"/>
              <w:tr2bl w:val="nil"/>
            </w:tcBorders>
            <w:noWrap w:val="0"/>
            <w:vAlign w:val="center"/>
          </w:tcPr>
          <w:p w14:paraId="45AECA04">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固态</w:t>
            </w:r>
          </w:p>
        </w:tc>
        <w:tc>
          <w:tcPr>
            <w:tcW w:w="359" w:type="pct"/>
            <w:tcBorders>
              <w:tl2br w:val="nil"/>
              <w:tr2bl w:val="nil"/>
            </w:tcBorders>
            <w:noWrap w:val="0"/>
            <w:vAlign w:val="center"/>
          </w:tcPr>
          <w:p w14:paraId="6041875E">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4.6</w:t>
            </w:r>
          </w:p>
        </w:tc>
        <w:tc>
          <w:tcPr>
            <w:tcW w:w="488" w:type="pct"/>
            <w:tcBorders>
              <w:tl2br w:val="nil"/>
              <w:tr2bl w:val="nil"/>
            </w:tcBorders>
            <w:noWrap w:val="0"/>
            <w:vAlign w:val="center"/>
          </w:tcPr>
          <w:p w14:paraId="58EBFD1E">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生物除臭系统</w:t>
            </w:r>
          </w:p>
        </w:tc>
        <w:tc>
          <w:tcPr>
            <w:tcW w:w="294" w:type="pct"/>
            <w:tcBorders>
              <w:tl2br w:val="nil"/>
              <w:tr2bl w:val="nil"/>
            </w:tcBorders>
            <w:noWrap w:val="0"/>
            <w:vAlign w:val="center"/>
          </w:tcPr>
          <w:p w14:paraId="3D7F6BB7">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间歇</w:t>
            </w:r>
          </w:p>
        </w:tc>
        <w:tc>
          <w:tcPr>
            <w:tcW w:w="273" w:type="pct"/>
            <w:tcBorders>
              <w:tl2br w:val="nil"/>
              <w:tr2bl w:val="nil"/>
            </w:tcBorders>
            <w:noWrap w:val="0"/>
            <w:vAlign w:val="center"/>
          </w:tcPr>
          <w:p w14:paraId="141B3935">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w:t>
            </w:r>
          </w:p>
        </w:tc>
        <w:tc>
          <w:tcPr>
            <w:tcW w:w="725" w:type="pct"/>
            <w:tcBorders>
              <w:tl2br w:val="nil"/>
              <w:tr2bl w:val="nil"/>
            </w:tcBorders>
            <w:noWrap w:val="0"/>
            <w:vAlign w:val="center"/>
          </w:tcPr>
          <w:p w14:paraId="07156647">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厂家回收</w:t>
            </w:r>
          </w:p>
        </w:tc>
        <w:tc>
          <w:tcPr>
            <w:tcW w:w="725" w:type="pct"/>
            <w:tcBorders>
              <w:tl2br w:val="nil"/>
              <w:tr2bl w:val="nil"/>
            </w:tcBorders>
            <w:noWrap w:val="0"/>
            <w:vAlign w:val="center"/>
          </w:tcPr>
          <w:p w14:paraId="4BB2623E">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符合</w:t>
            </w:r>
          </w:p>
        </w:tc>
      </w:tr>
      <w:tr w14:paraId="11B6ED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1" w:type="pct"/>
            <w:tcBorders>
              <w:tl2br w:val="nil"/>
              <w:tr2bl w:val="nil"/>
            </w:tcBorders>
            <w:noWrap w:val="0"/>
            <w:vAlign w:val="center"/>
          </w:tcPr>
          <w:p w14:paraId="65895A68">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7</w:t>
            </w:r>
          </w:p>
        </w:tc>
        <w:tc>
          <w:tcPr>
            <w:tcW w:w="427" w:type="pct"/>
            <w:tcBorders>
              <w:tl2br w:val="nil"/>
              <w:tr2bl w:val="nil"/>
            </w:tcBorders>
            <w:noWrap w:val="0"/>
            <w:vAlign w:val="center"/>
          </w:tcPr>
          <w:p w14:paraId="59689838">
            <w:pPr>
              <w:pStyle w:val="498"/>
              <w:pageBreakBefore w:val="0"/>
              <w:wordWrap/>
              <w:bidi w:val="0"/>
              <w:adjustRightInd/>
              <w:snapToGrid/>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废机油</w:t>
            </w:r>
          </w:p>
        </w:tc>
        <w:tc>
          <w:tcPr>
            <w:tcW w:w="445" w:type="pct"/>
            <w:tcBorders>
              <w:tl2br w:val="nil"/>
              <w:tr2bl w:val="nil"/>
            </w:tcBorders>
            <w:noWrap w:val="0"/>
            <w:vAlign w:val="center"/>
          </w:tcPr>
          <w:p w14:paraId="5BC34BC0">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HW08</w:t>
            </w:r>
          </w:p>
        </w:tc>
        <w:tc>
          <w:tcPr>
            <w:tcW w:w="388" w:type="pct"/>
            <w:tcBorders>
              <w:tl2br w:val="nil"/>
              <w:tr2bl w:val="nil"/>
            </w:tcBorders>
            <w:noWrap w:val="0"/>
            <w:vAlign w:val="center"/>
          </w:tcPr>
          <w:p w14:paraId="6CCF1838">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900-2</w:t>
            </w:r>
            <w:r>
              <w:rPr>
                <w:rFonts w:hint="eastAsia"/>
                <w:color w:val="auto"/>
                <w:sz w:val="21"/>
                <w:szCs w:val="21"/>
                <w:lang w:val="en-US" w:eastAsia="zh-CN"/>
              </w:rPr>
              <w:t>14</w:t>
            </w:r>
            <w:r>
              <w:rPr>
                <w:color w:val="auto"/>
                <w:sz w:val="21"/>
                <w:szCs w:val="21"/>
              </w:rPr>
              <w:t>-08</w:t>
            </w:r>
          </w:p>
        </w:tc>
        <w:tc>
          <w:tcPr>
            <w:tcW w:w="460" w:type="pct"/>
            <w:tcBorders>
              <w:tl2br w:val="nil"/>
              <w:tr2bl w:val="nil"/>
            </w:tcBorders>
            <w:noWrap w:val="0"/>
            <w:vAlign w:val="center"/>
          </w:tcPr>
          <w:p w14:paraId="2952B98C">
            <w:pPr>
              <w:pStyle w:val="498"/>
              <w:pageBreakBefore w:val="0"/>
              <w:wordWrap/>
              <w:bidi w:val="0"/>
              <w:adjustRightInd/>
              <w:snapToGrid/>
              <w:ind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矿物油</w:t>
            </w:r>
          </w:p>
        </w:tc>
        <w:tc>
          <w:tcPr>
            <w:tcW w:w="258" w:type="pct"/>
            <w:tcBorders>
              <w:tl2br w:val="nil"/>
              <w:tr2bl w:val="nil"/>
            </w:tcBorders>
            <w:noWrap w:val="0"/>
            <w:vAlign w:val="center"/>
          </w:tcPr>
          <w:p w14:paraId="67517C96">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液态</w:t>
            </w:r>
          </w:p>
        </w:tc>
        <w:tc>
          <w:tcPr>
            <w:tcW w:w="359" w:type="pct"/>
            <w:tcBorders>
              <w:tl2br w:val="nil"/>
              <w:tr2bl w:val="nil"/>
            </w:tcBorders>
            <w:noWrap w:val="0"/>
            <w:vAlign w:val="center"/>
          </w:tcPr>
          <w:p w14:paraId="22BE923D">
            <w:pPr>
              <w:pStyle w:val="498"/>
              <w:pageBreakBefore w:val="0"/>
              <w:wordWrap/>
              <w:bidi w:val="0"/>
              <w:adjustRightInd/>
              <w:snapToGrid/>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0.01</w:t>
            </w:r>
          </w:p>
        </w:tc>
        <w:tc>
          <w:tcPr>
            <w:tcW w:w="488" w:type="pct"/>
            <w:tcBorders>
              <w:tl2br w:val="nil"/>
              <w:tr2bl w:val="nil"/>
            </w:tcBorders>
            <w:noWrap w:val="0"/>
            <w:vAlign w:val="center"/>
          </w:tcPr>
          <w:p w14:paraId="6F331487">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设备维护</w:t>
            </w:r>
          </w:p>
        </w:tc>
        <w:tc>
          <w:tcPr>
            <w:tcW w:w="294" w:type="pct"/>
            <w:tcBorders>
              <w:tl2br w:val="nil"/>
              <w:tr2bl w:val="nil"/>
            </w:tcBorders>
            <w:noWrap w:val="0"/>
            <w:vAlign w:val="center"/>
          </w:tcPr>
          <w:p w14:paraId="0E9515E8">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间歇</w:t>
            </w:r>
          </w:p>
        </w:tc>
        <w:tc>
          <w:tcPr>
            <w:tcW w:w="273" w:type="pct"/>
            <w:tcBorders>
              <w:tl2br w:val="nil"/>
              <w:tr2bl w:val="nil"/>
            </w:tcBorders>
            <w:noWrap w:val="0"/>
            <w:vAlign w:val="center"/>
          </w:tcPr>
          <w:p w14:paraId="58A1F9F3">
            <w:pPr>
              <w:pStyle w:val="498"/>
              <w:pageBreakBefore w:val="0"/>
              <w:wordWrap/>
              <w:bidi w:val="0"/>
              <w:adjustRightInd/>
              <w:snapToGrid/>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T/I</w:t>
            </w:r>
          </w:p>
        </w:tc>
        <w:tc>
          <w:tcPr>
            <w:tcW w:w="725" w:type="pct"/>
            <w:vMerge w:val="restart"/>
            <w:tcBorders>
              <w:tl2br w:val="nil"/>
              <w:tr2bl w:val="nil"/>
            </w:tcBorders>
            <w:noWrap w:val="0"/>
            <w:vAlign w:val="center"/>
          </w:tcPr>
          <w:p w14:paraId="054299FF">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分类收集后暂存于危废暂存间，</w:t>
            </w:r>
            <w:r>
              <w:rPr>
                <w:color w:val="auto"/>
                <w:sz w:val="21"/>
                <w:szCs w:val="21"/>
              </w:rPr>
              <w:t>委托有资质单位</w:t>
            </w:r>
            <w:r>
              <w:rPr>
                <w:rFonts w:hint="eastAsia"/>
                <w:color w:val="auto"/>
                <w:sz w:val="21"/>
                <w:szCs w:val="21"/>
                <w:lang w:val="en-US" w:eastAsia="zh-CN"/>
              </w:rPr>
              <w:t>处置</w:t>
            </w:r>
          </w:p>
        </w:tc>
        <w:tc>
          <w:tcPr>
            <w:tcW w:w="725" w:type="pct"/>
            <w:tcBorders>
              <w:tl2br w:val="nil"/>
              <w:tr2bl w:val="nil"/>
            </w:tcBorders>
            <w:noWrap w:val="0"/>
            <w:vAlign w:val="center"/>
          </w:tcPr>
          <w:p w14:paraId="65F90988">
            <w:pPr>
              <w:pStyle w:val="498"/>
              <w:pageBreakBefore w:val="0"/>
              <w:wordWrap/>
              <w:bidi w:val="0"/>
              <w:adjustRightInd/>
              <w:snapToGrid/>
              <w:ind w:firstLine="0" w:firstLineChars="0"/>
              <w:jc w:val="center"/>
              <w:rPr>
                <w:rFonts w:hint="eastAsia"/>
                <w:color w:val="auto"/>
                <w:sz w:val="21"/>
                <w:szCs w:val="21"/>
                <w:lang w:val="en-US" w:eastAsia="zh-CN"/>
              </w:rPr>
            </w:pPr>
            <w:r>
              <w:rPr>
                <w:rFonts w:hint="eastAsia"/>
                <w:color w:val="auto"/>
                <w:sz w:val="21"/>
                <w:szCs w:val="21"/>
                <w:lang w:val="en-US" w:eastAsia="zh-CN"/>
              </w:rPr>
              <w:t>符合</w:t>
            </w:r>
          </w:p>
        </w:tc>
      </w:tr>
      <w:tr w14:paraId="2B2144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1" w:type="pct"/>
            <w:tcBorders>
              <w:tl2br w:val="nil"/>
              <w:tr2bl w:val="nil"/>
            </w:tcBorders>
            <w:noWrap w:val="0"/>
            <w:vAlign w:val="center"/>
          </w:tcPr>
          <w:p w14:paraId="0FDA9F5F">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8</w:t>
            </w:r>
          </w:p>
        </w:tc>
        <w:tc>
          <w:tcPr>
            <w:tcW w:w="427" w:type="pct"/>
            <w:tcBorders>
              <w:tl2br w:val="nil"/>
              <w:tr2bl w:val="nil"/>
            </w:tcBorders>
            <w:noWrap w:val="0"/>
            <w:vAlign w:val="center"/>
          </w:tcPr>
          <w:p w14:paraId="1B654A10">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废机油桶</w:t>
            </w:r>
          </w:p>
        </w:tc>
        <w:tc>
          <w:tcPr>
            <w:tcW w:w="445" w:type="pct"/>
            <w:tcBorders>
              <w:tl2br w:val="nil"/>
              <w:tr2bl w:val="nil"/>
            </w:tcBorders>
            <w:noWrap w:val="0"/>
            <w:vAlign w:val="center"/>
          </w:tcPr>
          <w:p w14:paraId="2CAB284B">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HW08</w:t>
            </w:r>
          </w:p>
        </w:tc>
        <w:tc>
          <w:tcPr>
            <w:tcW w:w="388" w:type="pct"/>
            <w:tcBorders>
              <w:tl2br w:val="nil"/>
              <w:tr2bl w:val="nil"/>
            </w:tcBorders>
            <w:noWrap w:val="0"/>
            <w:vAlign w:val="center"/>
          </w:tcPr>
          <w:p w14:paraId="0E861EBC">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900-249-08</w:t>
            </w:r>
          </w:p>
        </w:tc>
        <w:tc>
          <w:tcPr>
            <w:tcW w:w="460" w:type="pct"/>
            <w:tcBorders>
              <w:tl2br w:val="nil"/>
              <w:tr2bl w:val="nil"/>
            </w:tcBorders>
            <w:noWrap w:val="0"/>
            <w:vAlign w:val="center"/>
          </w:tcPr>
          <w:p w14:paraId="1389B2BE">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c>
          <w:tcPr>
            <w:tcW w:w="258" w:type="pct"/>
            <w:tcBorders>
              <w:tl2br w:val="nil"/>
              <w:tr2bl w:val="nil"/>
            </w:tcBorders>
            <w:noWrap w:val="0"/>
            <w:vAlign w:val="center"/>
          </w:tcPr>
          <w:p w14:paraId="6ED5A556">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固态</w:t>
            </w:r>
          </w:p>
        </w:tc>
        <w:tc>
          <w:tcPr>
            <w:tcW w:w="359" w:type="pct"/>
            <w:tcBorders>
              <w:tl2br w:val="nil"/>
              <w:tr2bl w:val="nil"/>
            </w:tcBorders>
            <w:noWrap w:val="0"/>
            <w:vAlign w:val="center"/>
          </w:tcPr>
          <w:p w14:paraId="1A742CEA">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0.01</w:t>
            </w:r>
          </w:p>
        </w:tc>
        <w:tc>
          <w:tcPr>
            <w:tcW w:w="488" w:type="pct"/>
            <w:tcBorders>
              <w:tl2br w:val="nil"/>
              <w:tr2bl w:val="nil"/>
            </w:tcBorders>
            <w:noWrap w:val="0"/>
            <w:vAlign w:val="center"/>
          </w:tcPr>
          <w:p w14:paraId="15C61E25">
            <w:pPr>
              <w:pStyle w:val="498"/>
              <w:pageBreakBefore w:val="0"/>
              <w:wordWrap/>
              <w:bidi w:val="0"/>
              <w:adjustRightInd/>
              <w:snapToGrid/>
              <w:ind w:firstLine="0" w:firstLineChars="0"/>
              <w:jc w:val="center"/>
              <w:rPr>
                <w:color w:val="auto"/>
                <w:sz w:val="21"/>
                <w:szCs w:val="21"/>
              </w:rPr>
            </w:pPr>
            <w:r>
              <w:rPr>
                <w:color w:val="auto"/>
                <w:sz w:val="21"/>
                <w:szCs w:val="21"/>
              </w:rPr>
              <w:t>设备维护</w:t>
            </w:r>
          </w:p>
        </w:tc>
        <w:tc>
          <w:tcPr>
            <w:tcW w:w="294" w:type="pct"/>
            <w:tcBorders>
              <w:tl2br w:val="nil"/>
              <w:tr2bl w:val="nil"/>
            </w:tcBorders>
            <w:noWrap w:val="0"/>
            <w:vAlign w:val="center"/>
          </w:tcPr>
          <w:p w14:paraId="7FE2B897">
            <w:pPr>
              <w:pStyle w:val="498"/>
              <w:pageBreakBefore w:val="0"/>
              <w:wordWrap/>
              <w:bidi w:val="0"/>
              <w:adjustRightInd/>
              <w:snapToGrid/>
              <w:ind w:firstLine="0" w:firstLineChars="0"/>
              <w:jc w:val="center"/>
              <w:rPr>
                <w:color w:val="auto"/>
                <w:sz w:val="21"/>
                <w:szCs w:val="21"/>
              </w:rPr>
            </w:pPr>
            <w:r>
              <w:rPr>
                <w:color w:val="auto"/>
                <w:sz w:val="21"/>
                <w:szCs w:val="21"/>
              </w:rPr>
              <w:t>间歇</w:t>
            </w:r>
          </w:p>
        </w:tc>
        <w:tc>
          <w:tcPr>
            <w:tcW w:w="273" w:type="pct"/>
            <w:tcBorders>
              <w:tl2br w:val="nil"/>
              <w:tr2bl w:val="nil"/>
            </w:tcBorders>
            <w:noWrap w:val="0"/>
            <w:vAlign w:val="center"/>
          </w:tcPr>
          <w:p w14:paraId="22C666FB">
            <w:pPr>
              <w:pStyle w:val="498"/>
              <w:pageBreakBefore w:val="0"/>
              <w:wordWrap/>
              <w:bidi w:val="0"/>
              <w:adjustRightInd/>
              <w:snapToGrid/>
              <w:ind w:firstLine="0" w:firstLineChars="0"/>
              <w:jc w:val="center"/>
              <w:rPr>
                <w:color w:val="auto"/>
                <w:sz w:val="21"/>
                <w:szCs w:val="21"/>
              </w:rPr>
            </w:pPr>
            <w:r>
              <w:rPr>
                <w:color w:val="auto"/>
                <w:sz w:val="21"/>
                <w:szCs w:val="21"/>
              </w:rPr>
              <w:t>T/I</w:t>
            </w:r>
          </w:p>
        </w:tc>
        <w:tc>
          <w:tcPr>
            <w:tcW w:w="725" w:type="pct"/>
            <w:vMerge w:val="continue"/>
            <w:tcBorders>
              <w:tl2br w:val="nil"/>
              <w:tr2bl w:val="nil"/>
            </w:tcBorders>
            <w:noWrap w:val="0"/>
            <w:vAlign w:val="center"/>
          </w:tcPr>
          <w:p w14:paraId="1DA75857">
            <w:pPr>
              <w:pStyle w:val="498"/>
              <w:pageBreakBefore w:val="0"/>
              <w:wordWrap/>
              <w:bidi w:val="0"/>
              <w:adjustRightInd/>
              <w:snapToGrid/>
              <w:ind w:firstLine="0" w:firstLineChars="0"/>
              <w:jc w:val="center"/>
              <w:rPr>
                <w:color w:val="auto"/>
                <w:sz w:val="21"/>
                <w:szCs w:val="21"/>
              </w:rPr>
            </w:pPr>
          </w:p>
        </w:tc>
        <w:tc>
          <w:tcPr>
            <w:tcW w:w="725" w:type="pct"/>
            <w:tcBorders>
              <w:tl2br w:val="nil"/>
              <w:tr2bl w:val="nil"/>
            </w:tcBorders>
            <w:noWrap w:val="0"/>
            <w:vAlign w:val="center"/>
          </w:tcPr>
          <w:p w14:paraId="55442AB8">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符合</w:t>
            </w:r>
          </w:p>
        </w:tc>
      </w:tr>
      <w:tr w14:paraId="0086E8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1" w:type="pct"/>
            <w:tcBorders>
              <w:tl2br w:val="nil"/>
              <w:tr2bl w:val="nil"/>
            </w:tcBorders>
            <w:noWrap w:val="0"/>
            <w:vAlign w:val="center"/>
          </w:tcPr>
          <w:p w14:paraId="216C32F4">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9</w:t>
            </w:r>
          </w:p>
        </w:tc>
        <w:tc>
          <w:tcPr>
            <w:tcW w:w="427" w:type="pct"/>
            <w:tcBorders>
              <w:tl2br w:val="nil"/>
              <w:tr2bl w:val="nil"/>
            </w:tcBorders>
            <w:noWrap w:val="0"/>
            <w:vAlign w:val="center"/>
          </w:tcPr>
          <w:p w14:paraId="6C37F15C">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含油棉纱手套</w:t>
            </w:r>
          </w:p>
        </w:tc>
        <w:tc>
          <w:tcPr>
            <w:tcW w:w="445" w:type="pct"/>
            <w:tcBorders>
              <w:tl2br w:val="nil"/>
              <w:tr2bl w:val="nil"/>
            </w:tcBorders>
            <w:noWrap w:val="0"/>
            <w:vAlign w:val="center"/>
          </w:tcPr>
          <w:p w14:paraId="18948BA0">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HW49</w:t>
            </w:r>
          </w:p>
        </w:tc>
        <w:tc>
          <w:tcPr>
            <w:tcW w:w="388" w:type="pct"/>
            <w:tcBorders>
              <w:tl2br w:val="nil"/>
              <w:tr2bl w:val="nil"/>
            </w:tcBorders>
            <w:noWrap w:val="0"/>
            <w:vAlign w:val="center"/>
          </w:tcPr>
          <w:p w14:paraId="415AEFDE">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900-041-49</w:t>
            </w:r>
          </w:p>
        </w:tc>
        <w:tc>
          <w:tcPr>
            <w:tcW w:w="460" w:type="pct"/>
            <w:tcBorders>
              <w:tl2br w:val="nil"/>
              <w:tr2bl w:val="nil"/>
            </w:tcBorders>
            <w:noWrap w:val="0"/>
            <w:vAlign w:val="center"/>
          </w:tcPr>
          <w:p w14:paraId="1BE0B1D2">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c>
          <w:tcPr>
            <w:tcW w:w="258" w:type="pct"/>
            <w:tcBorders>
              <w:tl2br w:val="nil"/>
              <w:tr2bl w:val="nil"/>
            </w:tcBorders>
            <w:noWrap w:val="0"/>
            <w:vAlign w:val="center"/>
          </w:tcPr>
          <w:p w14:paraId="00BADED7">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固态</w:t>
            </w:r>
          </w:p>
        </w:tc>
        <w:tc>
          <w:tcPr>
            <w:tcW w:w="359" w:type="pct"/>
            <w:tcBorders>
              <w:tl2br w:val="nil"/>
              <w:tr2bl w:val="nil"/>
            </w:tcBorders>
            <w:noWrap w:val="0"/>
            <w:vAlign w:val="center"/>
          </w:tcPr>
          <w:p w14:paraId="63272223">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0.01</w:t>
            </w:r>
          </w:p>
        </w:tc>
        <w:tc>
          <w:tcPr>
            <w:tcW w:w="488" w:type="pct"/>
            <w:tcBorders>
              <w:tl2br w:val="nil"/>
              <w:tr2bl w:val="nil"/>
            </w:tcBorders>
            <w:noWrap w:val="0"/>
            <w:vAlign w:val="center"/>
          </w:tcPr>
          <w:p w14:paraId="3747911F">
            <w:pPr>
              <w:pStyle w:val="498"/>
              <w:pageBreakBefore w:val="0"/>
              <w:wordWrap/>
              <w:bidi w:val="0"/>
              <w:adjustRightInd/>
              <w:snapToGrid/>
              <w:ind w:firstLine="0" w:firstLineChars="0"/>
              <w:jc w:val="center"/>
              <w:rPr>
                <w:color w:val="auto"/>
                <w:sz w:val="21"/>
                <w:szCs w:val="21"/>
              </w:rPr>
            </w:pPr>
            <w:r>
              <w:rPr>
                <w:color w:val="auto"/>
                <w:sz w:val="21"/>
                <w:szCs w:val="21"/>
              </w:rPr>
              <w:t>设备维护</w:t>
            </w:r>
          </w:p>
        </w:tc>
        <w:tc>
          <w:tcPr>
            <w:tcW w:w="294" w:type="pct"/>
            <w:tcBorders>
              <w:tl2br w:val="nil"/>
              <w:tr2bl w:val="nil"/>
            </w:tcBorders>
            <w:noWrap w:val="0"/>
            <w:vAlign w:val="center"/>
          </w:tcPr>
          <w:p w14:paraId="76EA3D46">
            <w:pPr>
              <w:pStyle w:val="498"/>
              <w:pageBreakBefore w:val="0"/>
              <w:wordWrap/>
              <w:bidi w:val="0"/>
              <w:adjustRightInd/>
              <w:snapToGrid/>
              <w:ind w:firstLine="0" w:firstLineChars="0"/>
              <w:jc w:val="center"/>
              <w:rPr>
                <w:color w:val="auto"/>
                <w:sz w:val="21"/>
                <w:szCs w:val="21"/>
              </w:rPr>
            </w:pPr>
            <w:r>
              <w:rPr>
                <w:color w:val="auto"/>
                <w:sz w:val="21"/>
                <w:szCs w:val="21"/>
              </w:rPr>
              <w:t>间歇</w:t>
            </w:r>
          </w:p>
        </w:tc>
        <w:tc>
          <w:tcPr>
            <w:tcW w:w="273" w:type="pct"/>
            <w:tcBorders>
              <w:tl2br w:val="nil"/>
              <w:tr2bl w:val="nil"/>
            </w:tcBorders>
            <w:noWrap w:val="0"/>
            <w:vAlign w:val="center"/>
          </w:tcPr>
          <w:p w14:paraId="5AC519B7">
            <w:pPr>
              <w:pStyle w:val="498"/>
              <w:pageBreakBefore w:val="0"/>
              <w:wordWrap/>
              <w:bidi w:val="0"/>
              <w:adjustRightInd/>
              <w:snapToGrid/>
              <w:ind w:firstLine="0" w:firstLineChars="0"/>
              <w:jc w:val="center"/>
              <w:rPr>
                <w:color w:val="auto"/>
                <w:sz w:val="21"/>
                <w:szCs w:val="21"/>
              </w:rPr>
            </w:pPr>
            <w:r>
              <w:rPr>
                <w:rFonts w:hint="eastAsia"/>
                <w:color w:val="auto"/>
                <w:sz w:val="21"/>
                <w:szCs w:val="21"/>
              </w:rPr>
              <w:t>T/In</w:t>
            </w:r>
          </w:p>
        </w:tc>
        <w:tc>
          <w:tcPr>
            <w:tcW w:w="725" w:type="pct"/>
            <w:vMerge w:val="continue"/>
            <w:tcBorders>
              <w:tl2br w:val="nil"/>
              <w:tr2bl w:val="nil"/>
            </w:tcBorders>
            <w:noWrap w:val="0"/>
            <w:vAlign w:val="center"/>
          </w:tcPr>
          <w:p w14:paraId="5FF7EFED">
            <w:pPr>
              <w:pStyle w:val="498"/>
              <w:pageBreakBefore w:val="0"/>
              <w:wordWrap/>
              <w:bidi w:val="0"/>
              <w:adjustRightInd/>
              <w:snapToGrid/>
              <w:ind w:firstLine="0" w:firstLineChars="0"/>
              <w:jc w:val="center"/>
              <w:rPr>
                <w:color w:val="auto"/>
                <w:sz w:val="21"/>
                <w:szCs w:val="21"/>
              </w:rPr>
            </w:pPr>
          </w:p>
        </w:tc>
        <w:tc>
          <w:tcPr>
            <w:tcW w:w="725" w:type="pct"/>
            <w:tcBorders>
              <w:tl2br w:val="nil"/>
              <w:tr2bl w:val="nil"/>
            </w:tcBorders>
            <w:noWrap w:val="0"/>
            <w:vAlign w:val="center"/>
          </w:tcPr>
          <w:p w14:paraId="5392E327">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符合</w:t>
            </w:r>
          </w:p>
        </w:tc>
      </w:tr>
      <w:tr w14:paraId="3CEE4A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1" w:type="pct"/>
            <w:tcBorders>
              <w:tl2br w:val="nil"/>
              <w:tr2bl w:val="nil"/>
            </w:tcBorders>
            <w:noWrap w:val="0"/>
            <w:vAlign w:val="center"/>
          </w:tcPr>
          <w:p w14:paraId="3C80B7D2">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10</w:t>
            </w:r>
          </w:p>
        </w:tc>
        <w:tc>
          <w:tcPr>
            <w:tcW w:w="427" w:type="pct"/>
            <w:tcBorders>
              <w:tl2br w:val="nil"/>
              <w:tr2bl w:val="nil"/>
            </w:tcBorders>
            <w:noWrap w:val="0"/>
            <w:vAlign w:val="center"/>
          </w:tcPr>
          <w:p w14:paraId="61650E2C">
            <w:pPr>
              <w:pStyle w:val="498"/>
              <w:pageBreakBefore w:val="0"/>
              <w:wordWrap/>
              <w:bidi w:val="0"/>
              <w:adjustRightInd/>
              <w:snapToGrid/>
              <w:ind w:firstLine="0" w:firstLineChars="0"/>
              <w:jc w:val="center"/>
              <w:rPr>
                <w:color w:val="auto"/>
                <w:sz w:val="21"/>
                <w:szCs w:val="21"/>
              </w:rPr>
            </w:pPr>
            <w:r>
              <w:rPr>
                <w:color w:val="auto"/>
                <w:sz w:val="21"/>
                <w:szCs w:val="21"/>
              </w:rPr>
              <w:t>化验废液</w:t>
            </w:r>
          </w:p>
        </w:tc>
        <w:tc>
          <w:tcPr>
            <w:tcW w:w="445" w:type="pct"/>
            <w:tcBorders>
              <w:tl2br w:val="nil"/>
              <w:tr2bl w:val="nil"/>
            </w:tcBorders>
            <w:noWrap w:val="0"/>
            <w:vAlign w:val="center"/>
          </w:tcPr>
          <w:p w14:paraId="409F970A">
            <w:pPr>
              <w:pStyle w:val="498"/>
              <w:pageBreakBefore w:val="0"/>
              <w:wordWrap/>
              <w:bidi w:val="0"/>
              <w:adjustRightInd/>
              <w:snapToGrid/>
              <w:ind w:firstLine="0" w:firstLineChars="0"/>
              <w:jc w:val="center"/>
              <w:rPr>
                <w:color w:val="auto"/>
                <w:sz w:val="21"/>
                <w:szCs w:val="21"/>
              </w:rPr>
            </w:pPr>
            <w:r>
              <w:rPr>
                <w:color w:val="auto"/>
                <w:sz w:val="21"/>
                <w:szCs w:val="21"/>
              </w:rPr>
              <w:t>HW49</w:t>
            </w:r>
          </w:p>
        </w:tc>
        <w:tc>
          <w:tcPr>
            <w:tcW w:w="388" w:type="pct"/>
            <w:tcBorders>
              <w:tl2br w:val="nil"/>
              <w:tr2bl w:val="nil"/>
            </w:tcBorders>
            <w:noWrap w:val="0"/>
            <w:vAlign w:val="center"/>
          </w:tcPr>
          <w:p w14:paraId="5F356157">
            <w:pPr>
              <w:pStyle w:val="498"/>
              <w:pageBreakBefore w:val="0"/>
              <w:wordWrap/>
              <w:bidi w:val="0"/>
              <w:adjustRightInd/>
              <w:snapToGrid/>
              <w:ind w:firstLine="0" w:firstLineChars="0"/>
              <w:jc w:val="center"/>
              <w:rPr>
                <w:color w:val="auto"/>
                <w:sz w:val="21"/>
                <w:szCs w:val="21"/>
              </w:rPr>
            </w:pPr>
            <w:r>
              <w:rPr>
                <w:color w:val="auto"/>
                <w:sz w:val="21"/>
                <w:szCs w:val="21"/>
              </w:rPr>
              <w:t>900-047-49</w:t>
            </w:r>
          </w:p>
        </w:tc>
        <w:tc>
          <w:tcPr>
            <w:tcW w:w="460" w:type="pct"/>
            <w:tcBorders>
              <w:tl2br w:val="nil"/>
              <w:tr2bl w:val="nil"/>
            </w:tcBorders>
            <w:noWrap w:val="0"/>
            <w:vAlign w:val="center"/>
          </w:tcPr>
          <w:p w14:paraId="1773A5B5">
            <w:pPr>
              <w:pStyle w:val="498"/>
              <w:pageBreakBefore w:val="0"/>
              <w:wordWrap/>
              <w:bidi w:val="0"/>
              <w:adjustRightInd/>
              <w:snapToGrid/>
              <w:ind w:firstLine="0" w:firstLineChars="0"/>
              <w:jc w:val="center"/>
              <w:rPr>
                <w:color w:val="auto"/>
                <w:sz w:val="21"/>
                <w:szCs w:val="21"/>
              </w:rPr>
            </w:pPr>
            <w:r>
              <w:rPr>
                <w:color w:val="auto"/>
                <w:sz w:val="21"/>
                <w:szCs w:val="21"/>
              </w:rPr>
              <w:t>/</w:t>
            </w:r>
          </w:p>
        </w:tc>
        <w:tc>
          <w:tcPr>
            <w:tcW w:w="258" w:type="pct"/>
            <w:tcBorders>
              <w:tl2br w:val="nil"/>
              <w:tr2bl w:val="nil"/>
            </w:tcBorders>
            <w:noWrap w:val="0"/>
            <w:vAlign w:val="center"/>
          </w:tcPr>
          <w:p w14:paraId="3F8D12A7">
            <w:pPr>
              <w:pStyle w:val="498"/>
              <w:pageBreakBefore w:val="0"/>
              <w:wordWrap/>
              <w:bidi w:val="0"/>
              <w:adjustRightInd/>
              <w:snapToGrid/>
              <w:ind w:firstLine="0" w:firstLineChars="0"/>
              <w:jc w:val="center"/>
              <w:rPr>
                <w:color w:val="auto"/>
                <w:sz w:val="21"/>
                <w:szCs w:val="21"/>
              </w:rPr>
            </w:pPr>
            <w:r>
              <w:rPr>
                <w:color w:val="auto"/>
                <w:sz w:val="21"/>
                <w:szCs w:val="21"/>
              </w:rPr>
              <w:t>液态</w:t>
            </w:r>
          </w:p>
        </w:tc>
        <w:tc>
          <w:tcPr>
            <w:tcW w:w="359" w:type="pct"/>
            <w:tcBorders>
              <w:tl2br w:val="nil"/>
              <w:tr2bl w:val="nil"/>
            </w:tcBorders>
            <w:noWrap w:val="0"/>
            <w:vAlign w:val="center"/>
          </w:tcPr>
          <w:p w14:paraId="64325165">
            <w:pPr>
              <w:pStyle w:val="498"/>
              <w:pageBreakBefore w:val="0"/>
              <w:wordWrap/>
              <w:bidi w:val="0"/>
              <w:adjustRightInd/>
              <w:snapToGrid/>
              <w:ind w:firstLine="0" w:firstLineChars="0"/>
              <w:jc w:val="center"/>
              <w:rPr>
                <w:rFonts w:hint="eastAsia" w:eastAsia="宋体"/>
                <w:color w:val="auto"/>
                <w:sz w:val="21"/>
                <w:szCs w:val="21"/>
                <w:lang w:val="en-US" w:eastAsia="zh-CN"/>
              </w:rPr>
            </w:pPr>
            <w:r>
              <w:rPr>
                <w:color w:val="auto"/>
                <w:sz w:val="21"/>
                <w:szCs w:val="21"/>
              </w:rPr>
              <w:t>0.</w:t>
            </w:r>
            <w:r>
              <w:rPr>
                <w:rFonts w:hint="eastAsia"/>
                <w:color w:val="auto"/>
                <w:sz w:val="21"/>
                <w:szCs w:val="21"/>
                <w:lang w:val="en-US" w:eastAsia="zh-CN"/>
              </w:rPr>
              <w:t>1</w:t>
            </w:r>
          </w:p>
        </w:tc>
        <w:tc>
          <w:tcPr>
            <w:tcW w:w="488" w:type="pct"/>
            <w:tcBorders>
              <w:tl2br w:val="nil"/>
              <w:tr2bl w:val="nil"/>
            </w:tcBorders>
            <w:noWrap w:val="0"/>
            <w:vAlign w:val="center"/>
          </w:tcPr>
          <w:p w14:paraId="031512CA">
            <w:pPr>
              <w:pStyle w:val="498"/>
              <w:pageBreakBefore w:val="0"/>
              <w:wordWrap/>
              <w:bidi w:val="0"/>
              <w:adjustRightInd/>
              <w:snapToGrid/>
              <w:ind w:firstLine="0" w:firstLineChars="0"/>
              <w:jc w:val="center"/>
              <w:rPr>
                <w:rFonts w:hint="eastAsia" w:eastAsia="宋体"/>
                <w:color w:val="auto"/>
                <w:sz w:val="21"/>
                <w:szCs w:val="21"/>
                <w:lang w:eastAsia="zh-CN"/>
              </w:rPr>
            </w:pPr>
            <w:r>
              <w:rPr>
                <w:rFonts w:hint="eastAsia"/>
                <w:color w:val="auto"/>
                <w:sz w:val="21"/>
                <w:szCs w:val="21"/>
                <w:lang w:val="en-US" w:eastAsia="zh-CN"/>
              </w:rPr>
              <w:t>化验室</w:t>
            </w:r>
          </w:p>
        </w:tc>
        <w:tc>
          <w:tcPr>
            <w:tcW w:w="294" w:type="pct"/>
            <w:tcBorders>
              <w:tl2br w:val="nil"/>
              <w:tr2bl w:val="nil"/>
            </w:tcBorders>
            <w:noWrap w:val="0"/>
            <w:vAlign w:val="center"/>
          </w:tcPr>
          <w:p w14:paraId="6BDFD3A5">
            <w:pPr>
              <w:pStyle w:val="498"/>
              <w:pageBreakBefore w:val="0"/>
              <w:wordWrap/>
              <w:bidi w:val="0"/>
              <w:adjustRightInd/>
              <w:snapToGrid/>
              <w:ind w:firstLine="0" w:firstLineChars="0"/>
              <w:jc w:val="center"/>
              <w:rPr>
                <w:color w:val="auto"/>
                <w:sz w:val="21"/>
                <w:szCs w:val="21"/>
              </w:rPr>
            </w:pPr>
            <w:r>
              <w:rPr>
                <w:color w:val="auto"/>
                <w:sz w:val="21"/>
                <w:szCs w:val="21"/>
              </w:rPr>
              <w:t>间歇</w:t>
            </w:r>
          </w:p>
        </w:tc>
        <w:tc>
          <w:tcPr>
            <w:tcW w:w="273" w:type="pct"/>
            <w:tcBorders>
              <w:tl2br w:val="nil"/>
              <w:tr2bl w:val="nil"/>
            </w:tcBorders>
            <w:noWrap w:val="0"/>
            <w:vAlign w:val="center"/>
          </w:tcPr>
          <w:p w14:paraId="61931F68">
            <w:pPr>
              <w:pStyle w:val="498"/>
              <w:pageBreakBefore w:val="0"/>
              <w:wordWrap/>
              <w:bidi w:val="0"/>
              <w:adjustRightInd/>
              <w:snapToGrid/>
              <w:ind w:firstLine="0" w:firstLineChars="0"/>
              <w:jc w:val="center"/>
              <w:rPr>
                <w:color w:val="auto"/>
                <w:sz w:val="21"/>
                <w:szCs w:val="21"/>
              </w:rPr>
            </w:pPr>
            <w:r>
              <w:rPr>
                <w:rFonts w:hint="eastAsia"/>
                <w:color w:val="auto"/>
                <w:sz w:val="21"/>
                <w:szCs w:val="21"/>
              </w:rPr>
              <w:t>T/C/I/R</w:t>
            </w:r>
          </w:p>
        </w:tc>
        <w:tc>
          <w:tcPr>
            <w:tcW w:w="725" w:type="pct"/>
            <w:vMerge w:val="continue"/>
            <w:tcBorders>
              <w:tl2br w:val="nil"/>
              <w:tr2bl w:val="nil"/>
            </w:tcBorders>
            <w:noWrap w:val="0"/>
            <w:vAlign w:val="center"/>
          </w:tcPr>
          <w:p w14:paraId="1828C3CD">
            <w:pPr>
              <w:pStyle w:val="498"/>
              <w:pageBreakBefore w:val="0"/>
              <w:wordWrap/>
              <w:bidi w:val="0"/>
              <w:adjustRightInd/>
              <w:snapToGrid/>
              <w:ind w:firstLine="0" w:firstLineChars="0"/>
              <w:jc w:val="center"/>
              <w:rPr>
                <w:color w:val="auto"/>
                <w:sz w:val="21"/>
                <w:szCs w:val="21"/>
              </w:rPr>
            </w:pPr>
          </w:p>
        </w:tc>
        <w:tc>
          <w:tcPr>
            <w:tcW w:w="725" w:type="pct"/>
            <w:tcBorders>
              <w:tl2br w:val="nil"/>
              <w:tr2bl w:val="nil"/>
            </w:tcBorders>
            <w:noWrap w:val="0"/>
            <w:vAlign w:val="center"/>
          </w:tcPr>
          <w:p w14:paraId="54112CAB">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符合</w:t>
            </w:r>
          </w:p>
        </w:tc>
      </w:tr>
      <w:tr w14:paraId="6AA126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1" w:type="pct"/>
            <w:tcBorders>
              <w:tl2br w:val="nil"/>
              <w:tr2bl w:val="nil"/>
            </w:tcBorders>
            <w:noWrap w:val="0"/>
            <w:vAlign w:val="center"/>
          </w:tcPr>
          <w:p w14:paraId="096A9DD9">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11</w:t>
            </w:r>
          </w:p>
        </w:tc>
        <w:tc>
          <w:tcPr>
            <w:tcW w:w="427" w:type="pct"/>
            <w:tcBorders>
              <w:tl2br w:val="nil"/>
              <w:tr2bl w:val="nil"/>
            </w:tcBorders>
            <w:noWrap w:val="0"/>
            <w:vAlign w:val="center"/>
          </w:tcPr>
          <w:p w14:paraId="7344B17A">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废化学试剂瓶</w:t>
            </w:r>
          </w:p>
        </w:tc>
        <w:tc>
          <w:tcPr>
            <w:tcW w:w="445" w:type="pct"/>
            <w:tcBorders>
              <w:tl2br w:val="nil"/>
              <w:tr2bl w:val="nil"/>
            </w:tcBorders>
            <w:noWrap w:val="0"/>
            <w:vAlign w:val="center"/>
          </w:tcPr>
          <w:p w14:paraId="2DAEF79D">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HW49</w:t>
            </w:r>
          </w:p>
        </w:tc>
        <w:tc>
          <w:tcPr>
            <w:tcW w:w="388" w:type="pct"/>
            <w:tcBorders>
              <w:tl2br w:val="nil"/>
              <w:tr2bl w:val="nil"/>
            </w:tcBorders>
            <w:noWrap w:val="0"/>
            <w:vAlign w:val="center"/>
          </w:tcPr>
          <w:p w14:paraId="7122F204">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900-041-49</w:t>
            </w:r>
          </w:p>
        </w:tc>
        <w:tc>
          <w:tcPr>
            <w:tcW w:w="460" w:type="pct"/>
            <w:tcBorders>
              <w:tl2br w:val="nil"/>
              <w:tr2bl w:val="nil"/>
            </w:tcBorders>
            <w:noWrap w:val="0"/>
            <w:vAlign w:val="center"/>
          </w:tcPr>
          <w:p w14:paraId="18AA3373">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w:t>
            </w:r>
          </w:p>
        </w:tc>
        <w:tc>
          <w:tcPr>
            <w:tcW w:w="258" w:type="pct"/>
            <w:tcBorders>
              <w:tl2br w:val="nil"/>
              <w:tr2bl w:val="nil"/>
            </w:tcBorders>
            <w:noWrap w:val="0"/>
            <w:vAlign w:val="center"/>
          </w:tcPr>
          <w:p w14:paraId="7E0D7E90">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固态</w:t>
            </w:r>
          </w:p>
        </w:tc>
        <w:tc>
          <w:tcPr>
            <w:tcW w:w="359" w:type="pct"/>
            <w:tcBorders>
              <w:tl2br w:val="nil"/>
              <w:tr2bl w:val="nil"/>
            </w:tcBorders>
            <w:noWrap w:val="0"/>
            <w:vAlign w:val="center"/>
          </w:tcPr>
          <w:p w14:paraId="3AF60BEA">
            <w:pPr>
              <w:pStyle w:val="498"/>
              <w:pageBreakBefore w:val="0"/>
              <w:wordWrap/>
              <w:bidi w:val="0"/>
              <w:adjustRightInd/>
              <w:snapToGrid/>
              <w:ind w:firstLine="0" w:firstLineChars="0"/>
              <w:jc w:val="center"/>
              <w:rPr>
                <w:rFonts w:hint="default" w:eastAsia="宋体"/>
                <w:color w:val="auto"/>
                <w:sz w:val="21"/>
                <w:szCs w:val="21"/>
                <w:lang w:val="en-US" w:eastAsia="zh-CN"/>
              </w:rPr>
            </w:pPr>
            <w:r>
              <w:rPr>
                <w:rFonts w:hint="eastAsia"/>
                <w:color w:val="auto"/>
                <w:sz w:val="21"/>
                <w:szCs w:val="21"/>
                <w:lang w:val="en-US" w:eastAsia="zh-CN"/>
              </w:rPr>
              <w:t>0.5</w:t>
            </w:r>
          </w:p>
        </w:tc>
        <w:tc>
          <w:tcPr>
            <w:tcW w:w="488" w:type="pct"/>
            <w:tcBorders>
              <w:tl2br w:val="nil"/>
              <w:tr2bl w:val="nil"/>
            </w:tcBorders>
            <w:noWrap w:val="0"/>
            <w:vAlign w:val="center"/>
          </w:tcPr>
          <w:p w14:paraId="7F6C7989">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化验室</w:t>
            </w:r>
          </w:p>
        </w:tc>
        <w:tc>
          <w:tcPr>
            <w:tcW w:w="294" w:type="pct"/>
            <w:tcBorders>
              <w:tl2br w:val="nil"/>
              <w:tr2bl w:val="nil"/>
            </w:tcBorders>
            <w:noWrap w:val="0"/>
            <w:vAlign w:val="center"/>
          </w:tcPr>
          <w:p w14:paraId="6098A860">
            <w:pPr>
              <w:pStyle w:val="498"/>
              <w:pageBreakBefore w:val="0"/>
              <w:wordWrap/>
              <w:bidi w:val="0"/>
              <w:adjustRightInd/>
              <w:snapToGrid/>
              <w:ind w:firstLine="0" w:firstLineChars="0"/>
              <w:jc w:val="center"/>
              <w:rPr>
                <w:color w:val="auto"/>
                <w:sz w:val="21"/>
                <w:szCs w:val="21"/>
              </w:rPr>
            </w:pPr>
            <w:r>
              <w:rPr>
                <w:color w:val="auto"/>
                <w:sz w:val="21"/>
                <w:szCs w:val="21"/>
              </w:rPr>
              <w:t>间歇</w:t>
            </w:r>
          </w:p>
        </w:tc>
        <w:tc>
          <w:tcPr>
            <w:tcW w:w="273" w:type="pct"/>
            <w:tcBorders>
              <w:tl2br w:val="nil"/>
              <w:tr2bl w:val="nil"/>
            </w:tcBorders>
            <w:noWrap w:val="0"/>
            <w:vAlign w:val="center"/>
          </w:tcPr>
          <w:p w14:paraId="0F53D76F">
            <w:pPr>
              <w:pStyle w:val="498"/>
              <w:pageBreakBefore w:val="0"/>
              <w:wordWrap/>
              <w:bidi w:val="0"/>
              <w:adjustRightInd/>
              <w:snapToGrid/>
              <w:ind w:firstLine="0" w:firstLineChars="0"/>
              <w:jc w:val="center"/>
              <w:rPr>
                <w:color w:val="auto"/>
                <w:sz w:val="21"/>
                <w:szCs w:val="21"/>
              </w:rPr>
            </w:pPr>
            <w:r>
              <w:rPr>
                <w:rFonts w:hint="eastAsia"/>
                <w:color w:val="auto"/>
                <w:sz w:val="21"/>
                <w:szCs w:val="21"/>
              </w:rPr>
              <w:t>T/In</w:t>
            </w:r>
          </w:p>
        </w:tc>
        <w:tc>
          <w:tcPr>
            <w:tcW w:w="725" w:type="pct"/>
            <w:vMerge w:val="continue"/>
            <w:tcBorders>
              <w:tl2br w:val="nil"/>
              <w:tr2bl w:val="nil"/>
            </w:tcBorders>
            <w:noWrap w:val="0"/>
            <w:vAlign w:val="center"/>
          </w:tcPr>
          <w:p w14:paraId="247DC4C9">
            <w:pPr>
              <w:pStyle w:val="498"/>
              <w:pageBreakBefore w:val="0"/>
              <w:wordWrap/>
              <w:bidi w:val="0"/>
              <w:adjustRightInd/>
              <w:snapToGrid/>
              <w:ind w:firstLine="0" w:firstLineChars="0"/>
              <w:jc w:val="center"/>
              <w:rPr>
                <w:color w:val="auto"/>
                <w:sz w:val="21"/>
                <w:szCs w:val="21"/>
              </w:rPr>
            </w:pPr>
          </w:p>
        </w:tc>
        <w:tc>
          <w:tcPr>
            <w:tcW w:w="725" w:type="pct"/>
            <w:tcBorders>
              <w:tl2br w:val="nil"/>
              <w:tr2bl w:val="nil"/>
            </w:tcBorders>
            <w:noWrap w:val="0"/>
            <w:vAlign w:val="center"/>
          </w:tcPr>
          <w:p w14:paraId="2C4CE553">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符合</w:t>
            </w:r>
          </w:p>
        </w:tc>
      </w:tr>
      <w:tr w14:paraId="4C485C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1" w:type="pct"/>
            <w:tcBorders>
              <w:tl2br w:val="nil"/>
              <w:tr2bl w:val="nil"/>
            </w:tcBorders>
            <w:noWrap w:val="0"/>
            <w:vAlign w:val="center"/>
          </w:tcPr>
          <w:p w14:paraId="23BDA172">
            <w:pPr>
              <w:pStyle w:val="498"/>
              <w:pageBreakBefore w:val="0"/>
              <w:wordWrap/>
              <w:bidi w:val="0"/>
              <w:adjustRightInd/>
              <w:snapToGrid/>
              <w:ind w:firstLine="0" w:firstLineChars="0"/>
              <w:jc w:val="center"/>
              <w:rPr>
                <w:rFonts w:hint="default"/>
                <w:color w:val="auto"/>
                <w:sz w:val="21"/>
                <w:szCs w:val="21"/>
                <w:lang w:val="en-US" w:eastAsia="zh-CN"/>
              </w:rPr>
            </w:pPr>
            <w:r>
              <w:rPr>
                <w:rFonts w:hint="eastAsia"/>
                <w:color w:val="auto"/>
                <w:sz w:val="21"/>
                <w:szCs w:val="21"/>
                <w:lang w:val="en-US" w:eastAsia="zh-CN"/>
              </w:rPr>
              <w:t>12</w:t>
            </w:r>
          </w:p>
        </w:tc>
        <w:tc>
          <w:tcPr>
            <w:tcW w:w="427" w:type="pct"/>
            <w:tcBorders>
              <w:tl2br w:val="nil"/>
              <w:tr2bl w:val="nil"/>
            </w:tcBorders>
            <w:noWrap w:val="0"/>
            <w:vAlign w:val="center"/>
          </w:tcPr>
          <w:p w14:paraId="2D7DDC3B">
            <w:pPr>
              <w:pStyle w:val="498"/>
              <w:pageBreakBefore w:val="0"/>
              <w:wordWrap/>
              <w:bidi w:val="0"/>
              <w:adjustRightInd/>
              <w:snapToGrid/>
              <w:ind w:firstLine="0" w:firstLineChars="0"/>
              <w:jc w:val="center"/>
              <w:rPr>
                <w:rFonts w:hint="eastAsia"/>
                <w:color w:val="auto"/>
                <w:sz w:val="21"/>
                <w:szCs w:val="21"/>
                <w:lang w:val="en-US" w:eastAsia="zh-CN"/>
              </w:rPr>
            </w:pPr>
            <w:r>
              <w:rPr>
                <w:rFonts w:hint="eastAsia"/>
                <w:color w:val="auto"/>
                <w:sz w:val="21"/>
                <w:szCs w:val="21"/>
                <w:lang w:val="en-US" w:eastAsia="zh-CN"/>
              </w:rPr>
              <w:t>废紫外线灯管</w:t>
            </w:r>
          </w:p>
        </w:tc>
        <w:tc>
          <w:tcPr>
            <w:tcW w:w="445" w:type="pct"/>
            <w:tcBorders>
              <w:tl2br w:val="nil"/>
              <w:tr2bl w:val="nil"/>
            </w:tcBorders>
            <w:noWrap w:val="0"/>
            <w:vAlign w:val="center"/>
          </w:tcPr>
          <w:p w14:paraId="3ADF06EF">
            <w:pPr>
              <w:pStyle w:val="498"/>
              <w:pageBreakBefore w:val="0"/>
              <w:wordWrap/>
              <w:bidi w:val="0"/>
              <w:adjustRightInd/>
              <w:snapToGrid/>
              <w:ind w:firstLine="0" w:firstLineChars="0"/>
              <w:jc w:val="center"/>
              <w:rPr>
                <w:rFonts w:hint="default"/>
                <w:color w:val="auto"/>
                <w:sz w:val="21"/>
                <w:szCs w:val="21"/>
                <w:lang w:val="en-US" w:eastAsia="zh-CN"/>
              </w:rPr>
            </w:pPr>
            <w:r>
              <w:rPr>
                <w:rFonts w:hint="eastAsia"/>
                <w:color w:val="auto"/>
                <w:sz w:val="21"/>
                <w:szCs w:val="21"/>
                <w:lang w:val="en-US" w:eastAsia="zh-CN"/>
              </w:rPr>
              <w:t>HW29</w:t>
            </w:r>
          </w:p>
        </w:tc>
        <w:tc>
          <w:tcPr>
            <w:tcW w:w="388" w:type="pct"/>
            <w:tcBorders>
              <w:tl2br w:val="nil"/>
              <w:tr2bl w:val="nil"/>
            </w:tcBorders>
            <w:noWrap w:val="0"/>
            <w:vAlign w:val="center"/>
          </w:tcPr>
          <w:p w14:paraId="0D77543E">
            <w:pPr>
              <w:pStyle w:val="498"/>
              <w:pageBreakBefore w:val="0"/>
              <w:wordWrap/>
              <w:bidi w:val="0"/>
              <w:adjustRightInd/>
              <w:snapToGrid/>
              <w:ind w:firstLine="0" w:firstLineChars="0"/>
              <w:jc w:val="center"/>
              <w:rPr>
                <w:rFonts w:hint="default"/>
                <w:color w:val="auto"/>
                <w:sz w:val="21"/>
                <w:szCs w:val="21"/>
                <w:lang w:val="en-US" w:eastAsia="zh-CN"/>
              </w:rPr>
            </w:pPr>
            <w:r>
              <w:rPr>
                <w:rFonts w:hint="eastAsia"/>
                <w:color w:val="auto"/>
                <w:sz w:val="21"/>
                <w:szCs w:val="21"/>
                <w:lang w:val="en-US" w:eastAsia="zh-CN"/>
              </w:rPr>
              <w:t>900-023-29</w:t>
            </w:r>
          </w:p>
        </w:tc>
        <w:tc>
          <w:tcPr>
            <w:tcW w:w="460" w:type="pct"/>
            <w:tcBorders>
              <w:tl2br w:val="nil"/>
              <w:tr2bl w:val="nil"/>
            </w:tcBorders>
            <w:noWrap w:val="0"/>
            <w:vAlign w:val="center"/>
          </w:tcPr>
          <w:p w14:paraId="528D1C37">
            <w:pPr>
              <w:pStyle w:val="498"/>
              <w:pageBreakBefore w:val="0"/>
              <w:wordWrap/>
              <w:bidi w:val="0"/>
              <w:adjustRightInd/>
              <w:snapToGrid/>
              <w:ind w:firstLine="0" w:firstLineChars="0"/>
              <w:jc w:val="center"/>
              <w:rPr>
                <w:rFonts w:hint="eastAsia"/>
                <w:color w:val="auto"/>
                <w:sz w:val="21"/>
                <w:szCs w:val="21"/>
                <w:lang w:val="en-US" w:eastAsia="zh-CN"/>
              </w:rPr>
            </w:pPr>
          </w:p>
        </w:tc>
        <w:tc>
          <w:tcPr>
            <w:tcW w:w="258" w:type="pct"/>
            <w:tcBorders>
              <w:tl2br w:val="nil"/>
              <w:tr2bl w:val="nil"/>
            </w:tcBorders>
            <w:noWrap w:val="0"/>
            <w:vAlign w:val="center"/>
          </w:tcPr>
          <w:p w14:paraId="67F46B6C">
            <w:pPr>
              <w:pStyle w:val="498"/>
              <w:pageBreakBefore w:val="0"/>
              <w:wordWrap/>
              <w:bidi w:val="0"/>
              <w:adjustRightInd/>
              <w:snapToGrid/>
              <w:ind w:firstLine="0" w:firstLineChars="0"/>
              <w:jc w:val="center"/>
              <w:rPr>
                <w:rFonts w:hint="default"/>
                <w:color w:val="auto"/>
                <w:sz w:val="21"/>
                <w:szCs w:val="21"/>
                <w:lang w:val="en-US" w:eastAsia="zh-CN"/>
              </w:rPr>
            </w:pPr>
            <w:r>
              <w:rPr>
                <w:rFonts w:hint="eastAsia"/>
                <w:color w:val="auto"/>
                <w:sz w:val="21"/>
                <w:szCs w:val="21"/>
                <w:lang w:val="en-US" w:eastAsia="zh-CN"/>
              </w:rPr>
              <w:t>固态</w:t>
            </w:r>
          </w:p>
        </w:tc>
        <w:tc>
          <w:tcPr>
            <w:tcW w:w="359" w:type="pct"/>
            <w:tcBorders>
              <w:tl2br w:val="nil"/>
              <w:tr2bl w:val="nil"/>
            </w:tcBorders>
            <w:noWrap w:val="0"/>
            <w:vAlign w:val="center"/>
          </w:tcPr>
          <w:p w14:paraId="2DEF55C6">
            <w:pPr>
              <w:pStyle w:val="498"/>
              <w:pageBreakBefore w:val="0"/>
              <w:wordWrap/>
              <w:bidi w:val="0"/>
              <w:adjustRightInd/>
              <w:snapToGrid/>
              <w:ind w:firstLine="0" w:firstLineChars="0"/>
              <w:jc w:val="center"/>
              <w:rPr>
                <w:rFonts w:hint="default"/>
                <w:color w:val="auto"/>
                <w:sz w:val="21"/>
                <w:szCs w:val="21"/>
                <w:lang w:val="en-US" w:eastAsia="zh-CN"/>
              </w:rPr>
            </w:pPr>
            <w:r>
              <w:rPr>
                <w:rFonts w:hint="eastAsia"/>
                <w:color w:val="auto"/>
                <w:sz w:val="21"/>
                <w:szCs w:val="21"/>
                <w:lang w:val="en-US" w:eastAsia="zh-CN"/>
              </w:rPr>
              <w:t>0.1</w:t>
            </w:r>
          </w:p>
        </w:tc>
        <w:tc>
          <w:tcPr>
            <w:tcW w:w="488" w:type="pct"/>
            <w:tcBorders>
              <w:tl2br w:val="nil"/>
              <w:tr2bl w:val="nil"/>
            </w:tcBorders>
            <w:noWrap w:val="0"/>
            <w:vAlign w:val="center"/>
          </w:tcPr>
          <w:p w14:paraId="235AD1DE">
            <w:pPr>
              <w:pStyle w:val="498"/>
              <w:pageBreakBefore w:val="0"/>
              <w:wordWrap/>
              <w:bidi w:val="0"/>
              <w:adjustRightInd/>
              <w:snapToGrid/>
              <w:ind w:firstLine="0" w:firstLineChars="0"/>
              <w:jc w:val="center"/>
              <w:rPr>
                <w:rFonts w:hint="default"/>
                <w:color w:val="auto"/>
                <w:sz w:val="21"/>
                <w:szCs w:val="21"/>
                <w:lang w:val="en-US" w:eastAsia="zh-CN"/>
              </w:rPr>
            </w:pPr>
            <w:r>
              <w:rPr>
                <w:rFonts w:hint="eastAsia"/>
                <w:color w:val="auto"/>
                <w:sz w:val="21"/>
                <w:szCs w:val="21"/>
                <w:lang w:val="en-US" w:eastAsia="zh-CN"/>
              </w:rPr>
              <w:t>紫外消毒</w:t>
            </w:r>
          </w:p>
        </w:tc>
        <w:tc>
          <w:tcPr>
            <w:tcW w:w="294" w:type="pct"/>
            <w:tcBorders>
              <w:tl2br w:val="nil"/>
              <w:tr2bl w:val="nil"/>
            </w:tcBorders>
            <w:noWrap w:val="0"/>
            <w:vAlign w:val="center"/>
          </w:tcPr>
          <w:p w14:paraId="6162D73D">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间歇</w:t>
            </w:r>
          </w:p>
        </w:tc>
        <w:tc>
          <w:tcPr>
            <w:tcW w:w="273" w:type="pct"/>
            <w:tcBorders>
              <w:tl2br w:val="nil"/>
              <w:tr2bl w:val="nil"/>
            </w:tcBorders>
            <w:noWrap w:val="0"/>
            <w:vAlign w:val="center"/>
          </w:tcPr>
          <w:p w14:paraId="010E4D7E">
            <w:pPr>
              <w:pStyle w:val="498"/>
              <w:pageBreakBefore w:val="0"/>
              <w:wordWrap/>
              <w:bidi w:val="0"/>
              <w:adjustRightInd/>
              <w:snapToGrid/>
              <w:ind w:firstLine="0" w:firstLineChars="0"/>
              <w:jc w:val="center"/>
              <w:rPr>
                <w:rFonts w:hint="eastAsia" w:eastAsia="宋体"/>
                <w:color w:val="auto"/>
                <w:sz w:val="21"/>
                <w:szCs w:val="21"/>
                <w:lang w:val="en-US" w:eastAsia="zh-CN"/>
              </w:rPr>
            </w:pPr>
            <w:r>
              <w:rPr>
                <w:rFonts w:hint="eastAsia"/>
                <w:color w:val="auto"/>
                <w:sz w:val="21"/>
                <w:szCs w:val="21"/>
                <w:lang w:val="en-US" w:eastAsia="zh-CN"/>
              </w:rPr>
              <w:t>T</w:t>
            </w:r>
          </w:p>
        </w:tc>
        <w:tc>
          <w:tcPr>
            <w:tcW w:w="725" w:type="pct"/>
            <w:vMerge w:val="continue"/>
            <w:tcBorders>
              <w:tl2br w:val="nil"/>
              <w:tr2bl w:val="nil"/>
            </w:tcBorders>
            <w:noWrap w:val="0"/>
            <w:vAlign w:val="center"/>
          </w:tcPr>
          <w:p w14:paraId="3B85DC48">
            <w:pPr>
              <w:pStyle w:val="498"/>
              <w:pageBreakBefore w:val="0"/>
              <w:wordWrap/>
              <w:bidi w:val="0"/>
              <w:adjustRightInd/>
              <w:snapToGrid/>
              <w:ind w:firstLine="0" w:firstLineChars="0"/>
              <w:jc w:val="center"/>
              <w:rPr>
                <w:color w:val="auto"/>
                <w:sz w:val="21"/>
                <w:szCs w:val="21"/>
              </w:rPr>
            </w:pPr>
          </w:p>
        </w:tc>
        <w:tc>
          <w:tcPr>
            <w:tcW w:w="725" w:type="pct"/>
            <w:tcBorders>
              <w:tl2br w:val="nil"/>
              <w:tr2bl w:val="nil"/>
            </w:tcBorders>
            <w:noWrap w:val="0"/>
            <w:vAlign w:val="center"/>
          </w:tcPr>
          <w:p w14:paraId="3785E0E1">
            <w:pPr>
              <w:pStyle w:val="498"/>
              <w:pageBreakBefore w:val="0"/>
              <w:wordWrap/>
              <w:bidi w:val="0"/>
              <w:adjustRightInd/>
              <w:snapToGrid/>
              <w:ind w:firstLine="0" w:firstLineChars="0"/>
              <w:jc w:val="center"/>
              <w:rPr>
                <w:rFonts w:hint="default"/>
                <w:color w:val="auto"/>
                <w:sz w:val="21"/>
                <w:szCs w:val="21"/>
                <w:lang w:val="en-US" w:eastAsia="zh-CN"/>
              </w:rPr>
            </w:pPr>
            <w:r>
              <w:rPr>
                <w:rFonts w:hint="eastAsia"/>
                <w:color w:val="auto"/>
                <w:sz w:val="21"/>
                <w:szCs w:val="21"/>
                <w:lang w:val="en-US" w:eastAsia="zh-CN"/>
              </w:rPr>
              <w:t>符合</w:t>
            </w:r>
          </w:p>
        </w:tc>
      </w:tr>
    </w:tbl>
    <w:p w14:paraId="44177CAF">
      <w:pPr>
        <w:pageBreakBefore w:val="0"/>
        <w:numPr>
          <w:ilvl w:val="0"/>
          <w:numId w:val="0"/>
        </w:numPr>
        <w:wordWrap/>
        <w:bidi w:val="0"/>
        <w:adjustRightInd/>
        <w:snapToGrid/>
        <w:spacing w:before="120" w:beforeLines="50"/>
        <w:rPr>
          <w:b/>
          <w:bCs/>
          <w:color w:val="auto"/>
        </w:rPr>
        <w:sectPr>
          <w:pgSz w:w="16838" w:h="11906" w:orient="landscape"/>
          <w:pgMar w:top="1588" w:right="1440" w:bottom="1588" w:left="1440" w:header="1134" w:footer="992" w:gutter="0"/>
          <w:pgBorders>
            <w:top w:val="none" w:sz="0" w:space="0"/>
            <w:left w:val="none" w:sz="0" w:space="0"/>
            <w:bottom w:val="none" w:sz="0" w:space="0"/>
            <w:right w:val="none" w:sz="0" w:space="0"/>
          </w:pgBorders>
          <w:pgNumType w:fmt="decimal"/>
          <w:cols w:space="720" w:num="1"/>
          <w:docGrid w:linePitch="312" w:charSpace="0"/>
        </w:sectPr>
      </w:pPr>
    </w:p>
    <w:p w14:paraId="1DF3ACD0">
      <w:pPr>
        <w:bidi w:val="0"/>
        <w:rPr>
          <w:b/>
          <w:bCs/>
          <w:color w:val="auto"/>
        </w:rPr>
      </w:pPr>
      <w:r>
        <w:rPr>
          <w:rFonts w:hint="eastAsia"/>
          <w:b/>
          <w:bCs/>
          <w:color w:val="auto"/>
          <w:lang w:val="en-US" w:eastAsia="zh-CN"/>
        </w:rPr>
        <w:t>1、</w:t>
      </w:r>
      <w:r>
        <w:rPr>
          <w:b/>
          <w:bCs/>
          <w:color w:val="auto"/>
        </w:rPr>
        <w:t>固废管理措施</w:t>
      </w:r>
    </w:p>
    <w:p w14:paraId="7775E0DA">
      <w:pPr>
        <w:ind w:firstLine="480"/>
        <w:rPr>
          <w:color w:val="auto"/>
        </w:rPr>
      </w:pPr>
      <w:r>
        <w:rPr>
          <w:color w:val="auto"/>
        </w:rPr>
        <w:t>项目设置一般固废暂存区和危险废物暂存间，用于上述废物的收集与暂存，同时严格按照工业固体废物申报登记制度，对固废产生种类、产生量、处置去向进行记录和申报。为了进一步确保项目产生的固体废物得到合理有效的收集处理，避免造成环境二次污染，项目拟按以下要求，完善固废管理措施：</w:t>
      </w:r>
    </w:p>
    <w:p w14:paraId="62146BB4">
      <w:pPr>
        <w:ind w:firstLine="482"/>
        <w:rPr>
          <w:b/>
          <w:bCs/>
          <w:color w:val="auto"/>
          <w:u w:val="single"/>
        </w:rPr>
      </w:pPr>
      <w:r>
        <w:rPr>
          <w:b/>
          <w:bCs/>
          <w:color w:val="auto"/>
          <w:u w:val="single"/>
        </w:rPr>
        <w:t>一般固废管理与暂存要求：</w:t>
      </w:r>
    </w:p>
    <w:p w14:paraId="58169618">
      <w:pPr>
        <w:ind w:firstLine="480"/>
        <w:rPr>
          <w:color w:val="auto"/>
        </w:rPr>
      </w:pPr>
      <w:r>
        <w:rPr>
          <w:color w:val="auto"/>
        </w:rPr>
        <w:t>本项目</w:t>
      </w:r>
      <w:r>
        <w:rPr>
          <w:rFonts w:hint="eastAsia"/>
          <w:color w:val="auto"/>
          <w:lang w:val="en-US" w:eastAsia="zh-CN"/>
        </w:rPr>
        <w:t>新建一个50m²的</w:t>
      </w:r>
      <w:r>
        <w:rPr>
          <w:color w:val="auto"/>
        </w:rPr>
        <w:t>一般固废暂存间，</w:t>
      </w:r>
      <w:r>
        <w:rPr>
          <w:rFonts w:hint="eastAsia"/>
          <w:color w:val="auto"/>
          <w:lang w:val="en-US" w:eastAsia="zh-CN"/>
        </w:rPr>
        <w:t>位于厂区东侧，</w:t>
      </w:r>
      <w:r>
        <w:rPr>
          <w:color w:val="auto"/>
        </w:rPr>
        <w:t>评价要求采取以下措施加强固废治理：</w:t>
      </w:r>
    </w:p>
    <w:p w14:paraId="1C9FD7D9">
      <w:pPr>
        <w:ind w:firstLine="480"/>
        <w:rPr>
          <w:color w:val="auto"/>
        </w:rPr>
      </w:pPr>
      <w:r>
        <w:rPr>
          <w:rFonts w:hint="eastAsia" w:ascii="宋体" w:hAnsi="宋体" w:cs="宋体"/>
          <w:color w:val="auto"/>
        </w:rPr>
        <w:t>①</w:t>
      </w:r>
      <w:r>
        <w:rPr>
          <w:color w:val="auto"/>
        </w:rPr>
        <w:t>建设单位对项目产生的固体废物进行分类收集和暂存，设置垃圾桶对厂区生活垃圾进行收集。</w:t>
      </w:r>
    </w:p>
    <w:p w14:paraId="26321FFF">
      <w:pPr>
        <w:ind w:firstLine="480"/>
        <w:rPr>
          <w:color w:val="auto"/>
        </w:rPr>
      </w:pPr>
      <w:r>
        <w:rPr>
          <w:rFonts w:hint="eastAsia" w:ascii="宋体" w:hAnsi="宋体" w:cs="宋体"/>
          <w:color w:val="auto"/>
        </w:rPr>
        <w:t>②</w:t>
      </w:r>
      <w:r>
        <w:rPr>
          <w:color w:val="auto"/>
        </w:rPr>
        <w:t>车间地面应收拾干净，各工段产生的废弃物应及时分类收集，不得外溢，及时转运。废弃物转运时，运输车辆需密闭，严禁泄漏。</w:t>
      </w:r>
    </w:p>
    <w:p w14:paraId="0EBD05E6">
      <w:pPr>
        <w:ind w:firstLine="480"/>
        <w:rPr>
          <w:color w:val="auto"/>
        </w:rPr>
      </w:pPr>
      <w:r>
        <w:rPr>
          <w:rFonts w:hint="eastAsia" w:ascii="宋体" w:hAnsi="宋体" w:cs="宋体"/>
          <w:color w:val="auto"/>
        </w:rPr>
        <w:t>③</w:t>
      </w:r>
      <w:r>
        <w:rPr>
          <w:color w:val="auto"/>
        </w:rPr>
        <w:t>运输路线避免经过居民集中区和饮用水源地，运输途中防止扬尘、洒落和</w:t>
      </w:r>
      <w:r>
        <w:rPr>
          <w:rFonts w:hint="eastAsia"/>
          <w:color w:val="auto"/>
        </w:rPr>
        <w:t>泄漏</w:t>
      </w:r>
      <w:r>
        <w:rPr>
          <w:color w:val="auto"/>
        </w:rPr>
        <w:t>造成严重污染。环评要求建设单位设置的一般固废暂存区用于各处固废的收集运输，并有运输通道与厂外连接。另外，一般固废间应有完善的防风、防雨、防晒措施，分类堆放，设标识牌。</w:t>
      </w:r>
    </w:p>
    <w:p w14:paraId="0457E1A9">
      <w:pPr>
        <w:widowControl/>
        <w:ind w:firstLine="482"/>
        <w:jc w:val="left"/>
        <w:rPr>
          <w:b/>
          <w:bCs/>
          <w:color w:val="auto"/>
          <w:szCs w:val="32"/>
          <w:u w:val="single"/>
        </w:rPr>
      </w:pPr>
      <w:r>
        <w:rPr>
          <w:b/>
          <w:bCs/>
          <w:color w:val="auto"/>
          <w:szCs w:val="32"/>
          <w:u w:val="single"/>
        </w:rPr>
        <w:t>危险废物具体要求：</w:t>
      </w:r>
    </w:p>
    <w:p w14:paraId="66FD7D2C">
      <w:pPr>
        <w:ind w:firstLine="482"/>
        <w:rPr>
          <w:b/>
          <w:color w:val="auto"/>
        </w:rPr>
      </w:pPr>
      <w:r>
        <w:rPr>
          <w:b/>
          <w:color w:val="auto"/>
          <w:spacing w:val="-10"/>
        </w:rPr>
        <w:fldChar w:fldCharType="begin"/>
      </w:r>
      <w:r>
        <w:rPr>
          <w:b/>
          <w:color w:val="auto"/>
          <w:spacing w:val="-10"/>
        </w:rPr>
        <w:instrText xml:space="preserve"> </w:instrText>
      </w:r>
      <w:r>
        <w:rPr>
          <w:rFonts w:hint="eastAsia"/>
          <w:b/>
          <w:color w:val="auto"/>
          <w:spacing w:val="-10"/>
        </w:rPr>
        <w:instrText xml:space="preserve">= 1 \* GB3</w:instrText>
      </w:r>
      <w:r>
        <w:rPr>
          <w:b/>
          <w:color w:val="auto"/>
          <w:spacing w:val="-10"/>
        </w:rPr>
        <w:instrText xml:space="preserve"> </w:instrText>
      </w:r>
      <w:r>
        <w:rPr>
          <w:b/>
          <w:color w:val="auto"/>
          <w:spacing w:val="-10"/>
        </w:rPr>
        <w:fldChar w:fldCharType="separate"/>
      </w:r>
      <w:r>
        <w:rPr>
          <w:rFonts w:hint="eastAsia"/>
          <w:b/>
          <w:color w:val="auto"/>
          <w:spacing w:val="-10"/>
        </w:rPr>
        <w:t>①</w:t>
      </w:r>
      <w:r>
        <w:rPr>
          <w:b/>
          <w:color w:val="auto"/>
          <w:spacing w:val="-10"/>
        </w:rPr>
        <w:fldChar w:fldCharType="end"/>
      </w:r>
      <w:r>
        <w:rPr>
          <w:b/>
          <w:color w:val="auto"/>
          <w:kern w:val="0"/>
          <w:lang w:bidi="ar"/>
        </w:rPr>
        <w:t>危险废物收集、贮存、运输的一般要求</w:t>
      </w:r>
    </w:p>
    <w:p w14:paraId="716A7BAD">
      <w:pPr>
        <w:ind w:firstLine="480"/>
        <w:rPr>
          <w:color w:val="auto"/>
        </w:rPr>
      </w:pPr>
      <w:r>
        <w:rPr>
          <w:rFonts w:hint="eastAsia" w:ascii="宋体" w:hAnsi="宋体" w:cs="宋体"/>
          <w:color w:val="auto"/>
        </w:rPr>
        <w:t>A.</w:t>
      </w:r>
      <w:r>
        <w:rPr>
          <w:color w:val="auto"/>
        </w:rPr>
        <w:t>危险废物的收集、贮存、运输活动应遵照国家相关管理规定，建立健全规章制度及操作流程，确保该过程的安全、可靠。</w:t>
      </w:r>
    </w:p>
    <w:p w14:paraId="53218524">
      <w:pPr>
        <w:ind w:firstLine="480"/>
        <w:rPr>
          <w:color w:val="auto"/>
        </w:rPr>
      </w:pPr>
      <w:r>
        <w:rPr>
          <w:rFonts w:hint="eastAsia" w:ascii="宋体" w:hAnsi="宋体" w:cs="宋体"/>
          <w:color w:val="auto"/>
        </w:rPr>
        <w:t>B.</w:t>
      </w:r>
      <w:r>
        <w:rPr>
          <w:color w:val="auto"/>
        </w:rPr>
        <w:t>危险废物收集、贮存、运输时应按危险特性对危险废物进行分类、包装并设置相应的标志及标签。</w:t>
      </w:r>
    </w:p>
    <w:p w14:paraId="1B4A9935">
      <w:pPr>
        <w:ind w:firstLine="480"/>
        <w:rPr>
          <w:color w:val="auto"/>
        </w:rPr>
      </w:pPr>
      <w:r>
        <w:rPr>
          <w:rFonts w:hint="eastAsia" w:ascii="宋体" w:hAnsi="宋体" w:cs="宋体"/>
          <w:color w:val="auto"/>
        </w:rPr>
        <w:t>C.</w:t>
      </w:r>
      <w:r>
        <w:rPr>
          <w:color w:val="auto"/>
        </w:rPr>
        <w:t>危险废物转移过程应按《危险废物转移联单管理办法》执行。</w:t>
      </w:r>
    </w:p>
    <w:p w14:paraId="19358D3E">
      <w:pPr>
        <w:ind w:firstLine="482"/>
        <w:rPr>
          <w:b/>
          <w:bCs/>
          <w:color w:val="auto"/>
        </w:rPr>
      </w:pPr>
      <w:r>
        <w:rPr>
          <w:b/>
          <w:bCs/>
          <w:color w:val="auto"/>
        </w:rPr>
        <w:fldChar w:fldCharType="begin"/>
      </w:r>
      <w:r>
        <w:rPr>
          <w:b/>
          <w:bCs/>
          <w:color w:val="auto"/>
        </w:rPr>
        <w:instrText xml:space="preserve"> </w:instrText>
      </w:r>
      <w:r>
        <w:rPr>
          <w:rFonts w:hint="eastAsia"/>
          <w:b/>
          <w:bCs/>
          <w:color w:val="auto"/>
        </w:rPr>
        <w:instrText xml:space="preserve">= 2 \* GB3</w:instrText>
      </w:r>
      <w:r>
        <w:rPr>
          <w:b/>
          <w:bCs/>
          <w:color w:val="auto"/>
        </w:rPr>
        <w:instrText xml:space="preserve"> </w:instrText>
      </w:r>
      <w:r>
        <w:rPr>
          <w:b/>
          <w:bCs/>
          <w:color w:val="auto"/>
        </w:rPr>
        <w:fldChar w:fldCharType="separate"/>
      </w:r>
      <w:r>
        <w:rPr>
          <w:rFonts w:hint="eastAsia"/>
          <w:b/>
          <w:bCs/>
          <w:color w:val="auto"/>
        </w:rPr>
        <w:t>②</w:t>
      </w:r>
      <w:r>
        <w:rPr>
          <w:b/>
          <w:bCs/>
          <w:color w:val="auto"/>
        </w:rPr>
        <w:fldChar w:fldCharType="end"/>
      </w:r>
      <w:r>
        <w:rPr>
          <w:b/>
          <w:bCs/>
          <w:color w:val="auto"/>
        </w:rPr>
        <w:t>危险废物收集污染防治措施</w:t>
      </w:r>
    </w:p>
    <w:p w14:paraId="156ECBE4">
      <w:pPr>
        <w:ind w:firstLine="480"/>
        <w:rPr>
          <w:color w:val="auto"/>
        </w:rPr>
      </w:pPr>
      <w:r>
        <w:rPr>
          <w:color w:val="auto"/>
        </w:rPr>
        <w:t>项目危险废物的收集包括两个方面，一是在危险废物产生节点将危险废物集中到包装桶或包装袋中，二是将已包装的危险废物集中到危废暂存间内。在危险废物的收集过程中，项目应采取如下污染防治措施：</w:t>
      </w:r>
    </w:p>
    <w:p w14:paraId="0A7CC8C0">
      <w:pPr>
        <w:ind w:firstLine="480"/>
        <w:rPr>
          <w:color w:val="auto"/>
        </w:rPr>
      </w:pPr>
      <w:r>
        <w:rPr>
          <w:rFonts w:hint="eastAsia" w:ascii="宋体" w:hAnsi="宋体" w:cs="宋体"/>
          <w:color w:val="auto"/>
        </w:rPr>
        <w:t>A.</w:t>
      </w:r>
      <w:r>
        <w:rPr>
          <w:color w:val="auto"/>
        </w:rPr>
        <w:t>危险废物的收集应根据危险废物产生工艺特征、排放周期、危险废物特性、废物管理计划等因素制定收集计划。收集计划应包括收集任务概述、收集目标及原则、危险废物特性评估、危险废物收集量估算、收集作业范围和方法、收集设备与包装容器、安全生产与个人防护、工程防护与事故应急、进度安排与组织管理等。</w:t>
      </w:r>
    </w:p>
    <w:p w14:paraId="62825BCE">
      <w:pPr>
        <w:ind w:firstLine="480"/>
        <w:rPr>
          <w:color w:val="auto"/>
        </w:rPr>
      </w:pPr>
      <w:r>
        <w:rPr>
          <w:rFonts w:hint="eastAsia" w:ascii="宋体" w:hAnsi="宋体" w:cs="宋体"/>
          <w:color w:val="auto"/>
        </w:rPr>
        <w:t>B.</w:t>
      </w:r>
      <w:r>
        <w:rPr>
          <w:color w:val="auto"/>
        </w:rPr>
        <w:t>危险废物的收集应制定详细的操作规程，内容至少应包括适用范围、操作程序和方法、专用设备和工具、转移和交接、安全保障和应急防护等。</w:t>
      </w:r>
    </w:p>
    <w:p w14:paraId="0FF14BD6">
      <w:pPr>
        <w:ind w:firstLine="480"/>
        <w:rPr>
          <w:color w:val="auto"/>
        </w:rPr>
      </w:pPr>
      <w:r>
        <w:rPr>
          <w:rFonts w:hint="eastAsia" w:ascii="宋体" w:hAnsi="宋体" w:cs="宋体"/>
          <w:color w:val="auto"/>
        </w:rPr>
        <w:t>C.</w:t>
      </w:r>
      <w:r>
        <w:rPr>
          <w:color w:val="auto"/>
        </w:rPr>
        <w:t>危险废物收集和转运作业人员应根据工作需要配备必要的个人防护装备，如手套等。</w:t>
      </w:r>
    </w:p>
    <w:p w14:paraId="587BB37C">
      <w:pPr>
        <w:ind w:firstLine="480"/>
        <w:rPr>
          <w:color w:val="auto"/>
        </w:rPr>
      </w:pPr>
      <w:r>
        <w:rPr>
          <w:rFonts w:hint="eastAsia"/>
          <w:color w:val="auto"/>
        </w:rPr>
        <w:t>D.</w:t>
      </w:r>
      <w:r>
        <w:rPr>
          <w:color w:val="auto"/>
        </w:rPr>
        <w:t>危险废物应存放于符合国家标准的容器中，贮存容器必须具有耐腐蚀、耐压、密封和不与所贮存的废物发生反应等特性，贮存容器应保证完好无损并具有明显标志。液体危险废物可注入开孔直径不超过70毫米并有放气孔的桶中，并留有10mm空余空间。</w:t>
      </w:r>
    </w:p>
    <w:p w14:paraId="4412FFEA">
      <w:pPr>
        <w:ind w:firstLine="480"/>
        <w:rPr>
          <w:color w:val="auto"/>
        </w:rPr>
      </w:pPr>
      <w:r>
        <w:rPr>
          <w:rFonts w:hint="eastAsia" w:ascii="宋体" w:hAnsi="宋体" w:cs="宋体"/>
          <w:color w:val="auto"/>
        </w:rPr>
        <w:t>E.</w:t>
      </w:r>
      <w:r>
        <w:rPr>
          <w:color w:val="auto"/>
        </w:rPr>
        <w:t>应根据收集设备、转运车辆以及现场人员等实际情况确定相应作业区域，同时要设置作业界限标志和警示牌；作业区域内应设置危险废物收集专用通道和人员避险通道；收集时应配备必要的收集工具和包装物，以及必要的应急监测设备及应急装备；应填写记录表，并将记录表作为危险废物管理的重要档案妥善保存；收集结束后应清理和恢复收集作业区域，确保作业区域环境整洁安全；收集过危险废物的容器、设备、设施、场所及其他物品转作</w:t>
      </w:r>
      <w:r>
        <w:rPr>
          <w:rFonts w:hint="eastAsia"/>
          <w:color w:val="auto"/>
        </w:rPr>
        <w:t>他</w:t>
      </w:r>
      <w:r>
        <w:rPr>
          <w:color w:val="auto"/>
        </w:rPr>
        <w:t>用时，应消除污染，确保其使用安全。</w:t>
      </w:r>
    </w:p>
    <w:p w14:paraId="202B362D">
      <w:pPr>
        <w:ind w:firstLine="480"/>
        <w:rPr>
          <w:color w:val="auto"/>
        </w:rPr>
      </w:pPr>
      <w:r>
        <w:rPr>
          <w:rFonts w:hint="eastAsia" w:ascii="宋体" w:hAnsi="宋体" w:cs="宋体"/>
          <w:color w:val="auto"/>
        </w:rPr>
        <w:t>F.</w:t>
      </w:r>
      <w:r>
        <w:rPr>
          <w:color w:val="auto"/>
        </w:rPr>
        <w:t>危险废物内部转运应综合考虑厂区的实际情况确定转运路线，尽量避开办公区和生活区；应采用专用的工具，并填写厂内转运记录表；转运结束后，应对转运路线进行检查和清理，确保无危险废物遗失在转运路线上，并对转运工具进行清洗。</w:t>
      </w:r>
    </w:p>
    <w:p w14:paraId="7E5577D2">
      <w:pPr>
        <w:ind w:firstLine="482"/>
        <w:rPr>
          <w:b/>
          <w:bCs/>
          <w:color w:val="auto"/>
        </w:rPr>
      </w:pPr>
      <w:r>
        <w:rPr>
          <w:b/>
          <w:bCs/>
          <w:color w:val="auto"/>
        </w:rPr>
        <w:fldChar w:fldCharType="begin"/>
      </w:r>
      <w:r>
        <w:rPr>
          <w:b/>
          <w:bCs/>
          <w:color w:val="auto"/>
        </w:rPr>
        <w:instrText xml:space="preserve"> </w:instrText>
      </w:r>
      <w:r>
        <w:rPr>
          <w:rFonts w:hint="eastAsia"/>
          <w:b/>
          <w:bCs/>
          <w:color w:val="auto"/>
        </w:rPr>
        <w:instrText xml:space="preserve">= 3 \* GB3</w:instrText>
      </w:r>
      <w:r>
        <w:rPr>
          <w:b/>
          <w:bCs/>
          <w:color w:val="auto"/>
        </w:rPr>
        <w:instrText xml:space="preserve"> </w:instrText>
      </w:r>
      <w:r>
        <w:rPr>
          <w:b/>
          <w:bCs/>
          <w:color w:val="auto"/>
        </w:rPr>
        <w:fldChar w:fldCharType="separate"/>
      </w:r>
      <w:r>
        <w:rPr>
          <w:rFonts w:hint="eastAsia"/>
          <w:b/>
          <w:bCs/>
          <w:color w:val="auto"/>
        </w:rPr>
        <w:t>③</w:t>
      </w:r>
      <w:r>
        <w:rPr>
          <w:b/>
          <w:bCs/>
          <w:color w:val="auto"/>
        </w:rPr>
        <w:fldChar w:fldCharType="end"/>
      </w:r>
      <w:r>
        <w:rPr>
          <w:b/>
          <w:bCs/>
          <w:color w:val="auto"/>
        </w:rPr>
        <w:t>危险废物贮存污染防治措施</w:t>
      </w:r>
    </w:p>
    <w:p w14:paraId="7E587DD1">
      <w:pPr>
        <w:ind w:firstLine="480"/>
        <w:rPr>
          <w:color w:val="auto"/>
        </w:rPr>
      </w:pPr>
      <w:r>
        <w:rPr>
          <w:rFonts w:hint="eastAsia" w:ascii="宋体" w:hAnsi="宋体" w:cs="宋体"/>
          <w:color w:val="auto"/>
        </w:rPr>
        <w:t>A.</w:t>
      </w:r>
      <w:r>
        <w:rPr>
          <w:color w:val="auto"/>
        </w:rPr>
        <w:t>厂区内所有危废收集后应暂存于危废暂存间内。</w:t>
      </w:r>
    </w:p>
    <w:p w14:paraId="6D768E30">
      <w:pPr>
        <w:ind w:firstLine="480"/>
        <w:rPr>
          <w:color w:val="auto"/>
        </w:rPr>
      </w:pPr>
      <w:r>
        <w:rPr>
          <w:rFonts w:hint="eastAsia" w:ascii="宋体" w:hAnsi="宋体" w:cs="宋体"/>
          <w:color w:val="auto"/>
        </w:rPr>
        <w:t>B.</w:t>
      </w:r>
      <w:r>
        <w:rPr>
          <w:color w:val="auto"/>
        </w:rPr>
        <w:t>装载液态、半固态危险废物的容器内必须留足足够空间，容器顶部与液体表面之间留足100mm以上的空间。</w:t>
      </w:r>
    </w:p>
    <w:p w14:paraId="4330B5FC">
      <w:pPr>
        <w:ind w:firstLine="480"/>
        <w:rPr>
          <w:color w:val="auto"/>
        </w:rPr>
      </w:pPr>
      <w:r>
        <w:rPr>
          <w:rFonts w:hint="eastAsia" w:ascii="宋体" w:hAnsi="宋体" w:cs="宋体"/>
          <w:color w:val="auto"/>
        </w:rPr>
        <w:t>C.</w:t>
      </w:r>
      <w:r>
        <w:rPr>
          <w:color w:val="auto"/>
        </w:rPr>
        <w:t>贮存危险废物时应按危险废物的种类和特性进行分区贮存，每个贮存区域之间宜设置挡墙间隔，危险废物应储存在危废存放设施内，并设置警示标志。性质不相容危废不能混放，应单独分区存放。</w:t>
      </w:r>
    </w:p>
    <w:p w14:paraId="7C9F42D7">
      <w:pPr>
        <w:ind w:firstLine="480"/>
        <w:rPr>
          <w:color w:val="auto"/>
        </w:rPr>
      </w:pPr>
      <w:r>
        <w:rPr>
          <w:rFonts w:hint="eastAsia" w:ascii="宋体" w:hAnsi="宋体" w:cs="宋体"/>
          <w:color w:val="auto"/>
        </w:rPr>
        <w:t>D.</w:t>
      </w:r>
      <w:r>
        <w:rPr>
          <w:color w:val="auto"/>
        </w:rPr>
        <w:t>危险废物贮存设施内应设置照明</w:t>
      </w:r>
      <w:r>
        <w:rPr>
          <w:rFonts w:hint="eastAsia"/>
          <w:color w:val="auto"/>
        </w:rPr>
        <w:t>设施</w:t>
      </w:r>
      <w:r>
        <w:rPr>
          <w:color w:val="auto"/>
        </w:rPr>
        <w:t>和观察口。</w:t>
      </w:r>
    </w:p>
    <w:p w14:paraId="33B2675C">
      <w:pPr>
        <w:ind w:firstLine="480"/>
        <w:rPr>
          <w:color w:val="auto"/>
        </w:rPr>
      </w:pPr>
      <w:r>
        <w:rPr>
          <w:rFonts w:hint="eastAsia" w:ascii="宋体" w:hAnsi="宋体" w:cs="宋体"/>
          <w:color w:val="auto"/>
        </w:rPr>
        <w:t>E.</w:t>
      </w:r>
      <w:r>
        <w:rPr>
          <w:color w:val="auto"/>
        </w:rPr>
        <w:t>危险废物存放间做好防雨、防风、防晒措施。地面不得有裂纹，对危废暂存间地面进行重点防渗，渗透系数K≤1×10</w:t>
      </w:r>
      <w:r>
        <w:rPr>
          <w:color w:val="auto"/>
          <w:vertAlign w:val="superscript"/>
        </w:rPr>
        <w:t>-10</w:t>
      </w:r>
      <w:r>
        <w:rPr>
          <w:color w:val="auto"/>
        </w:rPr>
        <w:t>cm/s，达到危废存放防渗要求。</w:t>
      </w:r>
    </w:p>
    <w:p w14:paraId="2B31504C">
      <w:pPr>
        <w:ind w:firstLine="480"/>
        <w:rPr>
          <w:color w:val="auto"/>
        </w:rPr>
      </w:pPr>
      <w:r>
        <w:rPr>
          <w:rFonts w:hint="eastAsia" w:ascii="宋体" w:hAnsi="宋体" w:cs="宋体"/>
          <w:color w:val="auto"/>
        </w:rPr>
        <w:t>F.</w:t>
      </w:r>
      <w:r>
        <w:rPr>
          <w:color w:val="auto"/>
        </w:rPr>
        <w:t>应建立危险废物贮存的台账制度，做好危险废物出入库交接记录。</w:t>
      </w:r>
    </w:p>
    <w:p w14:paraId="29978DCD">
      <w:pPr>
        <w:ind w:firstLine="480"/>
        <w:rPr>
          <w:color w:val="auto"/>
        </w:rPr>
      </w:pPr>
      <w:r>
        <w:rPr>
          <w:rFonts w:hint="eastAsia"/>
          <w:color w:val="auto"/>
        </w:rPr>
        <w:t>G.</w:t>
      </w:r>
      <w:r>
        <w:rPr>
          <w:color w:val="auto"/>
        </w:rPr>
        <w:t>危险废物贮存设施应根据贮存的废物种类和特性设置标志。</w:t>
      </w:r>
    </w:p>
    <w:p w14:paraId="45C80B7A">
      <w:pPr>
        <w:ind w:firstLine="480"/>
        <w:rPr>
          <w:color w:val="auto"/>
        </w:rPr>
      </w:pPr>
      <w:r>
        <w:rPr>
          <w:rFonts w:hint="eastAsia" w:ascii="宋体" w:hAnsi="宋体" w:cs="宋体"/>
          <w:color w:val="auto"/>
        </w:rPr>
        <w:t>H.</w:t>
      </w:r>
      <w:r>
        <w:rPr>
          <w:color w:val="auto"/>
        </w:rPr>
        <w:t>危险废物贮存期限应符合《中华人民共和国固体废物污染环境防治法》的有关规定。</w:t>
      </w:r>
    </w:p>
    <w:p w14:paraId="3CC18212">
      <w:pPr>
        <w:ind w:firstLine="480"/>
        <w:rPr>
          <w:color w:val="auto"/>
        </w:rPr>
      </w:pPr>
      <w:r>
        <w:rPr>
          <w:rFonts w:hint="eastAsia" w:ascii="宋体" w:hAnsi="宋体" w:cs="宋体"/>
          <w:color w:val="auto"/>
        </w:rPr>
        <w:t>I.</w:t>
      </w:r>
      <w:r>
        <w:rPr>
          <w:color w:val="auto"/>
        </w:rPr>
        <w:t>定期对危废包装容器及暂存设施进行检查，发现破损、应及时采取措施清理更换。</w:t>
      </w:r>
    </w:p>
    <w:p w14:paraId="5857857E">
      <w:pPr>
        <w:ind w:firstLine="482"/>
        <w:rPr>
          <w:b/>
          <w:bCs/>
          <w:color w:val="auto"/>
        </w:rPr>
      </w:pPr>
      <w:r>
        <w:rPr>
          <w:b/>
          <w:bCs/>
          <w:color w:val="auto"/>
        </w:rPr>
        <w:fldChar w:fldCharType="begin"/>
      </w:r>
      <w:r>
        <w:rPr>
          <w:b/>
          <w:bCs/>
          <w:color w:val="auto"/>
        </w:rPr>
        <w:instrText xml:space="preserve"> </w:instrText>
      </w:r>
      <w:r>
        <w:rPr>
          <w:rFonts w:hint="eastAsia"/>
          <w:b/>
          <w:bCs/>
          <w:color w:val="auto"/>
        </w:rPr>
        <w:instrText xml:space="preserve">= 4 \* GB3</w:instrText>
      </w:r>
      <w:r>
        <w:rPr>
          <w:b/>
          <w:bCs/>
          <w:color w:val="auto"/>
        </w:rPr>
        <w:instrText xml:space="preserve"> </w:instrText>
      </w:r>
      <w:r>
        <w:rPr>
          <w:b/>
          <w:bCs/>
          <w:color w:val="auto"/>
        </w:rPr>
        <w:fldChar w:fldCharType="separate"/>
      </w:r>
      <w:r>
        <w:rPr>
          <w:rFonts w:hint="eastAsia"/>
          <w:b/>
          <w:bCs/>
          <w:color w:val="auto"/>
        </w:rPr>
        <w:t>④</w:t>
      </w:r>
      <w:r>
        <w:rPr>
          <w:b/>
          <w:bCs/>
          <w:color w:val="auto"/>
        </w:rPr>
        <w:fldChar w:fldCharType="end"/>
      </w:r>
      <w:r>
        <w:rPr>
          <w:b/>
          <w:bCs/>
          <w:color w:val="auto"/>
        </w:rPr>
        <w:t>危险废物运输污染防治措施</w:t>
      </w:r>
    </w:p>
    <w:p w14:paraId="21EFCB18">
      <w:pPr>
        <w:ind w:firstLine="480"/>
        <w:rPr>
          <w:color w:val="auto"/>
        </w:rPr>
      </w:pPr>
      <w:r>
        <w:rPr>
          <w:rFonts w:hint="eastAsia" w:ascii="宋体" w:hAnsi="宋体" w:cs="宋体"/>
          <w:color w:val="auto"/>
        </w:rPr>
        <w:t>A.</w:t>
      </w:r>
      <w:r>
        <w:rPr>
          <w:color w:val="auto"/>
        </w:rPr>
        <w:t>危险废物运输由持有危险废物经营许可证的单位按照其许可证的经营范围组织实施，承担危险废物运输的单位应获得交通运输部门颁发的危险货物运输资质。</w:t>
      </w:r>
    </w:p>
    <w:p w14:paraId="629AE527">
      <w:pPr>
        <w:ind w:firstLine="480"/>
        <w:rPr>
          <w:color w:val="auto"/>
        </w:rPr>
      </w:pPr>
      <w:r>
        <w:rPr>
          <w:rFonts w:hint="eastAsia" w:ascii="宋体" w:hAnsi="宋体" w:cs="宋体"/>
          <w:color w:val="auto"/>
        </w:rPr>
        <w:t>B.</w:t>
      </w:r>
      <w:r>
        <w:rPr>
          <w:color w:val="auto"/>
        </w:rPr>
        <w:t>运输单位承运危险废物时，应在危险废物包装上设置标志。</w:t>
      </w:r>
    </w:p>
    <w:p w14:paraId="3E512C6F">
      <w:pPr>
        <w:ind w:firstLine="480"/>
        <w:rPr>
          <w:rFonts w:ascii="宋体" w:hAnsi="宋体" w:cs="宋体"/>
          <w:color w:val="auto"/>
        </w:rPr>
      </w:pPr>
      <w:r>
        <w:rPr>
          <w:rFonts w:hint="eastAsia" w:ascii="宋体" w:hAnsi="宋体" w:cs="宋体"/>
          <w:color w:val="auto"/>
        </w:rPr>
        <w:t>C.</w:t>
      </w:r>
      <w:r>
        <w:rPr>
          <w:color w:val="auto"/>
        </w:rPr>
        <w:t>危险废物运输时的中转、装卸过程应遵守如下技术要求：工作人员应熟悉废物</w:t>
      </w:r>
      <w:r>
        <w:rPr>
          <w:rFonts w:ascii="宋体" w:hAnsi="宋体" w:cs="宋体"/>
          <w:color w:val="auto"/>
        </w:rPr>
        <w:t>的危险特性，并配备适当个人防护装备；配备必要消防设备和设施，并设置明显的指示标志；危险废物装卸区应设置隔离设施。</w:t>
      </w:r>
    </w:p>
    <w:p w14:paraId="55CEB7D6">
      <w:pPr>
        <w:ind w:firstLine="480"/>
        <w:rPr>
          <w:rFonts w:hint="eastAsia" w:ascii="宋体" w:hAnsi="宋体" w:cs="宋体"/>
          <w:color w:val="auto"/>
        </w:rPr>
      </w:pPr>
      <w:r>
        <w:rPr>
          <w:rFonts w:hint="eastAsia" w:ascii="宋体" w:hAnsi="宋体" w:cs="宋体"/>
          <w:b/>
          <w:bCs/>
          <w:color w:val="auto"/>
        </w:rPr>
        <w:t>评价要求</w:t>
      </w:r>
      <w:r>
        <w:rPr>
          <w:rFonts w:hint="eastAsia" w:ascii="宋体" w:hAnsi="宋体" w:cs="宋体"/>
          <w:b/>
          <w:bCs/>
          <w:color w:val="auto"/>
          <w:lang w:eastAsia="zh-CN"/>
        </w:rPr>
        <w:t>：</w:t>
      </w:r>
      <w:r>
        <w:rPr>
          <w:rFonts w:hint="eastAsia" w:ascii="宋体" w:hAnsi="宋体" w:cs="宋体"/>
          <w:color w:val="auto"/>
        </w:rPr>
        <w:t>建设</w:t>
      </w:r>
      <w:r>
        <w:rPr>
          <w:rFonts w:hint="eastAsia" w:ascii="宋体" w:hAnsi="宋体" w:cs="宋体"/>
          <w:color w:val="auto"/>
          <w:lang w:val="en-US" w:eastAsia="zh-CN"/>
        </w:rPr>
        <w:t>单位</w:t>
      </w:r>
      <w:r>
        <w:rPr>
          <w:rFonts w:hint="eastAsia" w:ascii="宋体" w:hAnsi="宋体" w:cs="宋体"/>
          <w:color w:val="auto"/>
        </w:rPr>
        <w:t>和污泥处理处置单位应当建立污泥管理台账，详细记录污泥产生量、转移量、处理处置量及其去向等情况，定期向所在地县级以上地方环保部门报告；污水处理厂转出污泥时应如实填写转移联单；禁止污泥运输单位、处理处置单位接收无转移联单的污泥。</w:t>
      </w:r>
    </w:p>
    <w:p w14:paraId="19266BC5">
      <w:pPr>
        <w:ind w:firstLine="480"/>
        <w:rPr>
          <w:rFonts w:ascii="宋体" w:hAnsi="宋体" w:cs="宋体"/>
          <w:color w:val="auto"/>
        </w:rPr>
      </w:pPr>
      <w:r>
        <w:rPr>
          <w:rFonts w:hint="eastAsia" w:ascii="宋体" w:hAnsi="宋体" w:cs="宋体"/>
          <w:color w:val="auto"/>
        </w:rPr>
        <w:t>建设单位禁止委托个人和没有获得相关运营资质的单位从事污泥运输，保证污泥运输车辆已采取密封、防水、防渗漏和防遗撒等措施。含水污泥需用密封容器分装，加强污泥运输管理，避免运输途中污泥渗滤液泄漏造成二次污染。</w:t>
      </w:r>
    </w:p>
    <w:p w14:paraId="2FA0CD43">
      <w:pPr>
        <w:bidi w:val="0"/>
        <w:rPr>
          <w:color w:val="auto"/>
        </w:rPr>
      </w:pPr>
      <w:r>
        <w:rPr>
          <w:color w:val="auto"/>
        </w:rPr>
        <w:t>综上，项目采取以上固废处置措施后，可避免固废二次污染。</w:t>
      </w:r>
    </w:p>
    <w:p w14:paraId="59433BA3">
      <w:pPr>
        <w:pStyle w:val="5"/>
        <w:bidi w:val="0"/>
        <w:rPr>
          <w:color w:val="auto"/>
        </w:rPr>
      </w:pPr>
      <w:r>
        <w:rPr>
          <w:rFonts w:hint="eastAsia"/>
          <w:color w:val="auto"/>
        </w:rPr>
        <w:t xml:space="preserve"> </w:t>
      </w:r>
      <w:r>
        <w:rPr>
          <w:color w:val="auto"/>
        </w:rPr>
        <w:t>营运期地下水环境</w:t>
      </w:r>
      <w:r>
        <w:rPr>
          <w:rFonts w:hint="eastAsia"/>
          <w:color w:val="auto"/>
          <w:lang w:val="en-US" w:eastAsia="zh-CN"/>
        </w:rPr>
        <w:t>影响分析</w:t>
      </w:r>
    </w:p>
    <w:p w14:paraId="4492C6E5">
      <w:pPr>
        <w:pStyle w:val="10"/>
        <w:bidi w:val="0"/>
        <w:rPr>
          <w:color w:val="auto"/>
        </w:rPr>
      </w:pPr>
      <w:r>
        <w:rPr>
          <w:rFonts w:hint="eastAsia"/>
          <w:color w:val="auto"/>
          <w:lang w:val="en-US" w:eastAsia="zh-CN"/>
        </w:rPr>
        <w:t xml:space="preserve"> </w:t>
      </w:r>
      <w:r>
        <w:rPr>
          <w:color w:val="auto"/>
        </w:rPr>
        <w:t>总论</w:t>
      </w:r>
    </w:p>
    <w:p w14:paraId="4DE50CF7">
      <w:pPr>
        <w:bidi w:val="0"/>
        <w:rPr>
          <w:b/>
          <w:bCs/>
          <w:color w:val="auto"/>
        </w:rPr>
      </w:pPr>
      <w:r>
        <w:rPr>
          <w:rFonts w:hint="eastAsia"/>
          <w:b/>
          <w:bCs/>
          <w:color w:val="auto"/>
          <w:lang w:val="en-US" w:eastAsia="zh-CN"/>
        </w:rPr>
        <w:t>1、</w:t>
      </w:r>
      <w:r>
        <w:rPr>
          <w:b/>
          <w:bCs/>
          <w:color w:val="auto"/>
        </w:rPr>
        <w:t>评价目的</w:t>
      </w:r>
    </w:p>
    <w:p w14:paraId="672F4E66">
      <w:pPr>
        <w:bidi w:val="0"/>
        <w:rPr>
          <w:color w:val="auto"/>
        </w:rPr>
      </w:pPr>
      <w:r>
        <w:rPr>
          <w:color w:val="auto"/>
        </w:rPr>
        <w:t>（1）结合资料调研和实地调查，掌握拟建项目地区水文地质条件，查明环境现状；</w:t>
      </w:r>
    </w:p>
    <w:p w14:paraId="1CDF83C3">
      <w:pPr>
        <w:bidi w:val="0"/>
        <w:rPr>
          <w:color w:val="auto"/>
        </w:rPr>
      </w:pPr>
      <w:r>
        <w:rPr>
          <w:color w:val="auto"/>
        </w:rPr>
        <w:t>（2）根据工程建设、运行特点，对项目建设的地下水环境影响要素进行分析和识别，预测工程建设及生产运营可能对地下水环境产生的影响，评价其影响程度和范围及其可能导致的地下水环境变化趋势；</w:t>
      </w:r>
    </w:p>
    <w:p w14:paraId="45CE881C">
      <w:pPr>
        <w:bidi w:val="0"/>
        <w:rPr>
          <w:color w:val="auto"/>
        </w:rPr>
      </w:pPr>
      <w:r>
        <w:rPr>
          <w:color w:val="auto"/>
        </w:rPr>
        <w:t>（3）针对项目建设可能产生的不利影响，提出针对性的防治对策或减缓措施，使工程建设带来的负面环境影响降至最低程度，达到项目建设和环境保护的协调发展；</w:t>
      </w:r>
    </w:p>
    <w:p w14:paraId="1F4883D3">
      <w:pPr>
        <w:bidi w:val="0"/>
        <w:rPr>
          <w:color w:val="auto"/>
        </w:rPr>
      </w:pPr>
      <w:r>
        <w:rPr>
          <w:color w:val="auto"/>
        </w:rPr>
        <w:t>（4）从地下水环境保护角度论证项目建设的可行性，为工程建设决策和环境管理提供科学依据。</w:t>
      </w:r>
    </w:p>
    <w:p w14:paraId="3BF5ED79">
      <w:pPr>
        <w:bidi w:val="0"/>
        <w:rPr>
          <w:b/>
          <w:bCs/>
          <w:color w:val="auto"/>
        </w:rPr>
      </w:pPr>
      <w:r>
        <w:rPr>
          <w:rFonts w:hint="eastAsia"/>
          <w:b/>
          <w:bCs/>
          <w:color w:val="auto"/>
          <w:lang w:val="en-US" w:eastAsia="zh-CN"/>
        </w:rPr>
        <w:t>2、</w:t>
      </w:r>
      <w:r>
        <w:rPr>
          <w:b/>
          <w:bCs/>
          <w:color w:val="auto"/>
        </w:rPr>
        <w:t>评价原则</w:t>
      </w:r>
    </w:p>
    <w:p w14:paraId="64A42128">
      <w:pPr>
        <w:bidi w:val="0"/>
        <w:rPr>
          <w:color w:val="auto"/>
        </w:rPr>
      </w:pPr>
      <w:r>
        <w:rPr>
          <w:color w:val="auto"/>
        </w:rPr>
        <w:t>地下水环境影响评价对项目在建设期、运营期对地下水水质可能造成的直接影响进行分析、预测和评估，提出预防、保护或者减轻不良影响的对策和措施，制定地下水环境影响跟踪监测计划，为建设项目地下水环境保护提供科学依据。</w:t>
      </w:r>
    </w:p>
    <w:p w14:paraId="0798F272">
      <w:pPr>
        <w:pStyle w:val="10"/>
        <w:bidi w:val="0"/>
        <w:rPr>
          <w:color w:val="auto"/>
        </w:rPr>
      </w:pPr>
      <w:r>
        <w:rPr>
          <w:rFonts w:hint="eastAsia"/>
          <w:color w:val="auto"/>
          <w:lang w:val="en-US" w:eastAsia="zh-CN"/>
        </w:rPr>
        <w:t xml:space="preserve"> </w:t>
      </w:r>
      <w:r>
        <w:rPr>
          <w:color w:val="auto"/>
        </w:rPr>
        <w:t>地下水环境功能与环境保护目标</w:t>
      </w:r>
    </w:p>
    <w:p w14:paraId="1199BD02">
      <w:pPr>
        <w:bidi w:val="0"/>
        <w:rPr>
          <w:b/>
          <w:bCs/>
          <w:color w:val="auto"/>
        </w:rPr>
      </w:pPr>
      <w:r>
        <w:rPr>
          <w:rFonts w:hint="eastAsia"/>
          <w:b/>
          <w:bCs/>
          <w:color w:val="auto"/>
          <w:lang w:val="en-US" w:eastAsia="zh-CN"/>
        </w:rPr>
        <w:t>1、</w:t>
      </w:r>
      <w:r>
        <w:rPr>
          <w:b/>
          <w:bCs/>
          <w:color w:val="auto"/>
        </w:rPr>
        <w:t>地下水功能划分</w:t>
      </w:r>
    </w:p>
    <w:p w14:paraId="51F4B50A">
      <w:pPr>
        <w:bidi w:val="0"/>
        <w:rPr>
          <w:color w:val="auto"/>
        </w:rPr>
      </w:pPr>
      <w:bookmarkStart w:id="178" w:name="_Toc317876254"/>
      <w:bookmarkStart w:id="179" w:name="_Toc317876328"/>
      <w:bookmarkStart w:id="180" w:name="_Toc317876402"/>
      <w:bookmarkStart w:id="181" w:name="_Toc317974768"/>
      <w:bookmarkStart w:id="182" w:name="_Toc317876073"/>
      <w:bookmarkStart w:id="183" w:name="_Toc327221702"/>
      <w:r>
        <w:rPr>
          <w:color w:val="auto"/>
        </w:rPr>
        <w:t>地下水系统是一个具有综合服务功能的开放系统，是维持社会经济发展的重要供水水源，也是维持生态环境系统稳定的重要因素。本次评价确定工程区地下水环境功能从两个方面进行：</w:t>
      </w:r>
    </w:p>
    <w:p w14:paraId="33D22D21">
      <w:pPr>
        <w:bidi w:val="0"/>
        <w:rPr>
          <w:color w:val="auto"/>
        </w:rPr>
      </w:pPr>
      <w:r>
        <w:rPr>
          <w:color w:val="auto"/>
        </w:rPr>
        <w:t>（1）依据《全国地下水功能区划分技术大纲》的要求和规定；</w:t>
      </w:r>
    </w:p>
    <w:p w14:paraId="211A256E">
      <w:pPr>
        <w:bidi w:val="0"/>
        <w:rPr>
          <w:color w:val="auto"/>
        </w:rPr>
      </w:pPr>
      <w:r>
        <w:rPr>
          <w:color w:val="auto"/>
        </w:rPr>
        <w:t>（2）根据实地调查的本项目工程区地下水环境状况。</w:t>
      </w:r>
    </w:p>
    <w:p w14:paraId="031AA9A8">
      <w:pPr>
        <w:bidi w:val="0"/>
        <w:rPr>
          <w:color w:val="auto"/>
        </w:rPr>
      </w:pPr>
      <w:r>
        <w:rPr>
          <w:color w:val="auto"/>
        </w:rPr>
        <w:t>简述如下：</w:t>
      </w:r>
    </w:p>
    <w:p w14:paraId="30EB4A74">
      <w:pPr>
        <w:bidi w:val="0"/>
        <w:rPr>
          <w:color w:val="auto"/>
        </w:rPr>
      </w:pPr>
      <w:r>
        <w:rPr>
          <w:color w:val="auto"/>
        </w:rPr>
        <w:t>（1）关于地下水功能及其划分</w:t>
      </w:r>
    </w:p>
    <w:p w14:paraId="4D94155D">
      <w:pPr>
        <w:bidi w:val="0"/>
        <w:rPr>
          <w:color w:val="auto"/>
        </w:rPr>
      </w:pPr>
      <w:r>
        <w:rPr>
          <w:color w:val="auto"/>
        </w:rPr>
        <w:t>地下水功能是指地下水的水质和水量及其在空间和时间上的变化对人类社会和环境所产生的作用或效应，它由地下水的资源功能、生态环境功能和地质环境功能组成。</w:t>
      </w:r>
    </w:p>
    <w:p w14:paraId="45047DBB">
      <w:pPr>
        <w:bidi w:val="0"/>
        <w:rPr>
          <w:color w:val="auto"/>
        </w:rPr>
      </w:pPr>
      <w:r>
        <w:rPr>
          <w:color w:val="auto"/>
        </w:rPr>
        <w:t>1）地下水的资源功能是指具备一定的补给、储存和更新条件的地下水资源供给保障作用或效应。为了保持地下水的资源供给功能，首先在水量上，地下水要得到可持续的稳定补给，这样才能保障可持续开发。</w:t>
      </w:r>
    </w:p>
    <w:p w14:paraId="58584CD1">
      <w:pPr>
        <w:bidi w:val="0"/>
        <w:rPr>
          <w:color w:val="auto"/>
        </w:rPr>
      </w:pPr>
      <w:r>
        <w:rPr>
          <w:color w:val="auto"/>
        </w:rPr>
        <w:t>2）地下水的生态功能是指地下水系统对陆表植被或湖泊、湿地或土地质量良性维持的作用或效应，如果地下水系统发生变化，则生态环境出现相应的改变。地表水生态系统（河道基流、湿地、泉水等）和陆地非地带性植被都需要地下水补给和调节。地下水位下降和水质恶化对地表生态系统会带来严重影响。</w:t>
      </w:r>
    </w:p>
    <w:p w14:paraId="4E87DE9E">
      <w:pPr>
        <w:bidi w:val="0"/>
        <w:rPr>
          <w:color w:val="auto"/>
        </w:rPr>
      </w:pPr>
      <w:r>
        <w:rPr>
          <w:color w:val="auto"/>
        </w:rPr>
        <w:t>3）地下水的地质环境功能是指地下水的地质安全保障功能，是指地下水系统对其所赋存的地质环境稳定性所具有支撑和保护的作用或效应，如果地下水系统发生变化，则地质环境出现相应的改变。</w:t>
      </w:r>
    </w:p>
    <w:p w14:paraId="4D74346E">
      <w:pPr>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auto"/>
        </w:rPr>
      </w:pPr>
      <w:r>
        <w:rPr>
          <w:rFonts w:hint="default" w:ascii="Times New Roman" w:hAnsi="Times New Roman" w:cs="Times New Roman"/>
          <w:color w:val="auto"/>
        </w:rPr>
        <w:t>（2）地下水环境调查</w:t>
      </w:r>
    </w:p>
    <w:p w14:paraId="7E0C426A">
      <w:pPr>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auto"/>
        </w:rPr>
      </w:pPr>
      <w:r>
        <w:rPr>
          <w:rFonts w:hint="default" w:ascii="Times New Roman" w:hAnsi="Times New Roman" w:cs="Times New Roman"/>
          <w:color w:val="auto"/>
        </w:rPr>
        <w:t>通过对评价区环境状况、地下水、地表水及居民用水调查，本项目评价区地下水类型包括第四系松散岩类孔隙水和基岩裂隙水，其中松散岩类孔隙水赋存于第四系冲积层（Q</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al</w:t>
      </w:r>
      <w:r>
        <w:rPr>
          <w:rFonts w:hint="default" w:ascii="Times New Roman" w:hAnsi="Times New Roman" w:cs="Times New Roman"/>
          <w:color w:val="auto"/>
        </w:rPr>
        <w:t>）及第四系上更新冲积层上段（Q</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al</w:t>
      </w:r>
      <w:r>
        <w:rPr>
          <w:rFonts w:hint="default" w:ascii="Times New Roman" w:hAnsi="Times New Roman" w:cs="Times New Roman"/>
          <w:color w:val="auto"/>
        </w:rPr>
        <w:t>）冲积层孔隙中，基岩裂隙水赋存于白垩系下统白龙组（K</w:t>
      </w:r>
      <w:r>
        <w:rPr>
          <w:rFonts w:hint="default" w:ascii="Times New Roman" w:hAnsi="Times New Roman" w:cs="Times New Roman"/>
          <w:color w:val="auto"/>
          <w:vertAlign w:val="subscript"/>
        </w:rPr>
        <w:t>1</w:t>
      </w:r>
      <w:r>
        <w:rPr>
          <w:rFonts w:hint="default" w:ascii="Times New Roman" w:hAnsi="Times New Roman" w:cs="Times New Roman"/>
          <w:color w:val="auto"/>
        </w:rPr>
        <w:t>b）浅层裂隙风化带中。</w:t>
      </w:r>
    </w:p>
    <w:p w14:paraId="375CD046">
      <w:pPr>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auto"/>
        </w:rPr>
      </w:pPr>
      <w:r>
        <w:rPr>
          <w:rFonts w:hint="default" w:ascii="Times New Roman" w:hAnsi="Times New Roman" w:cs="Times New Roman"/>
          <w:color w:val="auto"/>
        </w:rPr>
        <w:t>根据现场调查，项目位于巴中市巴州区曾口镇寿星村13组，区域不涉及已有或规划的地下水集中式饮用水水源保护区以及与地下水环境相关的其它保护区，也不属于已有或规划的集中式饮用水水源补给径流区。项目场址附近分布有寿星村散居农户（部分待拆迁），经调查，评价范围内共存在散户居民约25户53人，地下水资源的开发利用主要为当地散户居民的分散式饮用地下水井，大部分为1户1井，少部分为2~3户合用1井，共存在分散饮用水井约16口，其</w:t>
      </w:r>
      <w:r>
        <w:rPr>
          <w:rFonts w:hint="default" w:ascii="Times New Roman" w:hAnsi="Times New Roman" w:eastAsia="宋体" w:cs="Times New Roman"/>
          <w:snapToGrid w:val="0"/>
          <w:color w:val="auto"/>
          <w:kern w:val="0"/>
          <w:szCs w:val="24"/>
        </w:rPr>
        <w:t>居民井</w:t>
      </w:r>
      <w:r>
        <w:rPr>
          <w:rFonts w:hint="default" w:ascii="Times New Roman" w:hAnsi="Times New Roman" w:cs="Times New Roman"/>
          <w:color w:val="auto"/>
        </w:rPr>
        <w:t>地下水枯水期水位埋深约0.61</w:t>
      </w:r>
      <w:r>
        <w:rPr>
          <w:rFonts w:hint="eastAsia" w:cs="Times New Roman"/>
          <w:color w:val="auto"/>
          <w:lang w:eastAsia="zh-CN"/>
        </w:rPr>
        <w:t>～</w:t>
      </w:r>
      <w:r>
        <w:rPr>
          <w:rFonts w:hint="default" w:ascii="Times New Roman" w:hAnsi="Times New Roman" w:cs="Times New Roman"/>
          <w:color w:val="auto"/>
        </w:rPr>
        <w:t>4.90m，丰水期水位埋深约为0.10</w:t>
      </w:r>
      <w:r>
        <w:rPr>
          <w:rFonts w:hint="eastAsia" w:cs="Times New Roman"/>
          <w:color w:val="auto"/>
          <w:lang w:eastAsia="zh-CN"/>
        </w:rPr>
        <w:t>～</w:t>
      </w:r>
      <w:r>
        <w:rPr>
          <w:rFonts w:hint="default" w:ascii="Times New Roman" w:hAnsi="Times New Roman" w:cs="Times New Roman"/>
          <w:color w:val="auto"/>
        </w:rPr>
        <w:t>4.10m，开采方式主要为大口井、管井开采等方式，无集中式地下水饮用水源地。评价范围内无大型企业取用地下水，评价区未出现突出的水资源利用问题。</w:t>
      </w:r>
    </w:p>
    <w:p w14:paraId="7EAED954">
      <w:pPr>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auto"/>
          <w:szCs w:val="24"/>
        </w:rPr>
      </w:pPr>
      <w:r>
        <w:rPr>
          <w:rFonts w:hint="default" w:ascii="Times New Roman" w:hAnsi="Times New Roman" w:cs="Times New Roman"/>
          <w:color w:val="auto"/>
          <w:kern w:val="0"/>
        </w:rPr>
        <w:t>综上，</w:t>
      </w:r>
      <w:r>
        <w:rPr>
          <w:rFonts w:hint="default" w:ascii="Times New Roman" w:hAnsi="Times New Roman" w:cs="Times New Roman"/>
          <w:color w:val="auto"/>
        </w:rPr>
        <w:t>本项目评价区内地下水未得以集中开发和利用，仅作为部分零星散户居民的分散饮用水源，且无与地下水相关的水源保护区和</w:t>
      </w:r>
      <w:r>
        <w:rPr>
          <w:rFonts w:hint="eastAsia" w:cs="Times New Roman"/>
          <w:color w:val="auto"/>
          <w:lang w:eastAsia="zh-CN"/>
        </w:rPr>
        <w:t>其他资源</w:t>
      </w:r>
      <w:r>
        <w:rPr>
          <w:rFonts w:hint="default" w:ascii="Times New Roman" w:hAnsi="Times New Roman" w:cs="Times New Roman"/>
          <w:color w:val="auto"/>
        </w:rPr>
        <w:t>保护区。根据《全国地下水功能区划分技术大纲》的要求和实地调查项目区的地下水环境状况，本项目评价区地下水</w:t>
      </w:r>
      <w:r>
        <w:rPr>
          <w:rFonts w:hint="default" w:ascii="Times New Roman" w:hAnsi="Times New Roman" w:cs="Times New Roman"/>
          <w:color w:val="auto"/>
          <w:szCs w:val="24"/>
        </w:rPr>
        <w:t>环境的主要功能为分散供水和生态涵养功能。</w:t>
      </w:r>
    </w:p>
    <w:p w14:paraId="1CD14598">
      <w:pPr>
        <w:spacing w:after="120" w:line="240" w:lineRule="auto"/>
        <w:ind w:firstLine="0" w:firstLineChars="0"/>
        <w:jc w:val="center"/>
        <w:rPr>
          <w:rFonts w:cs="Times New Roman"/>
          <w:b/>
          <w:color w:val="auto"/>
          <w:sz w:val="21"/>
        </w:rPr>
      </w:pPr>
      <w:r>
        <w:rPr>
          <w:color w:val="auto"/>
        </w:rPr>
        <w:drawing>
          <wp:inline distT="0" distB="0" distL="0" distR="0">
            <wp:extent cx="2591435" cy="2320290"/>
            <wp:effectExtent l="0" t="0" r="18415" b="3810"/>
            <wp:docPr id="13078544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854474" name="图片 1"/>
                    <pic:cNvPicPr>
                      <a:picLocks noChangeAspect="1"/>
                    </pic:cNvPicPr>
                  </pic:nvPicPr>
                  <pic:blipFill>
                    <a:blip r:embed="rId104"/>
                    <a:stretch>
                      <a:fillRect/>
                    </a:stretch>
                  </pic:blipFill>
                  <pic:spPr>
                    <a:xfrm>
                      <a:off x="0" y="0"/>
                      <a:ext cx="2593031" cy="2321458"/>
                    </a:xfrm>
                    <a:prstGeom prst="rect">
                      <a:avLst/>
                    </a:prstGeom>
                  </pic:spPr>
                </pic:pic>
              </a:graphicData>
            </a:graphic>
          </wp:inline>
        </w:drawing>
      </w:r>
      <w:r>
        <w:rPr>
          <w:rFonts w:hint="eastAsia" w:cs="Times New Roman"/>
          <w:b/>
          <w:color w:val="auto"/>
          <w:sz w:val="21"/>
        </w:rPr>
        <w:t xml:space="preserve"> </w:t>
      </w:r>
      <w:r>
        <w:rPr>
          <w:color w:val="auto"/>
        </w:rPr>
        <w:drawing>
          <wp:inline distT="0" distB="0" distL="0" distR="0">
            <wp:extent cx="2537460" cy="2311400"/>
            <wp:effectExtent l="0" t="0" r="15240" b="12700"/>
            <wp:docPr id="16579905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990532" name="图片 1"/>
                    <pic:cNvPicPr>
                      <a:picLocks noChangeAspect="1"/>
                    </pic:cNvPicPr>
                  </pic:nvPicPr>
                  <pic:blipFill>
                    <a:blip r:embed="rId105"/>
                    <a:srcRect b="9499"/>
                    <a:stretch>
                      <a:fillRect/>
                    </a:stretch>
                  </pic:blipFill>
                  <pic:spPr>
                    <a:xfrm>
                      <a:off x="0" y="0"/>
                      <a:ext cx="2552331" cy="2325101"/>
                    </a:xfrm>
                    <a:prstGeom prst="rect">
                      <a:avLst/>
                    </a:prstGeom>
                    <a:ln>
                      <a:noFill/>
                    </a:ln>
                  </pic:spPr>
                </pic:pic>
              </a:graphicData>
            </a:graphic>
          </wp:inline>
        </w:drawing>
      </w:r>
    </w:p>
    <w:p w14:paraId="73C8A9E1">
      <w:pPr>
        <w:spacing w:after="120" w:line="240" w:lineRule="auto"/>
        <w:ind w:firstLine="0" w:firstLineChars="0"/>
        <w:jc w:val="center"/>
        <w:rPr>
          <w:rFonts w:cs="Times New Roman"/>
          <w:color w:val="auto"/>
          <w:szCs w:val="24"/>
        </w:rPr>
      </w:pPr>
      <w:r>
        <w:rPr>
          <w:rFonts w:cs="Times New Roman"/>
          <w:b/>
          <w:color w:val="auto"/>
          <w:sz w:val="21"/>
        </w:rPr>
        <w:t>图</w:t>
      </w:r>
      <w:r>
        <w:rPr>
          <w:rFonts w:hint="eastAsia" w:cs="Times New Roman"/>
          <w:b/>
          <w:color w:val="auto"/>
          <w:sz w:val="21"/>
          <w:lang w:val="en-US" w:eastAsia="zh-CN"/>
        </w:rPr>
        <w:t>4.2</w:t>
      </w:r>
      <w:r>
        <w:rPr>
          <w:rFonts w:cs="Times New Roman"/>
          <w:b/>
          <w:color w:val="auto"/>
          <w:sz w:val="21"/>
        </w:rPr>
        <w:t>-</w:t>
      </w:r>
      <w:r>
        <w:rPr>
          <w:rFonts w:hint="eastAsia" w:cs="Times New Roman"/>
          <w:b/>
          <w:color w:val="auto"/>
          <w:sz w:val="21"/>
          <w:lang w:val="en-US" w:eastAsia="zh-CN"/>
        </w:rPr>
        <w:t>3</w:t>
      </w:r>
      <w:r>
        <w:rPr>
          <w:rFonts w:cs="Times New Roman"/>
          <w:b/>
          <w:color w:val="auto"/>
          <w:sz w:val="21"/>
        </w:rPr>
        <w:t xml:space="preserve">  分散农户水井现状照片</w:t>
      </w:r>
    </w:p>
    <w:bookmarkEnd w:id="178"/>
    <w:bookmarkEnd w:id="179"/>
    <w:bookmarkEnd w:id="180"/>
    <w:bookmarkEnd w:id="181"/>
    <w:bookmarkEnd w:id="182"/>
    <w:bookmarkEnd w:id="183"/>
    <w:p w14:paraId="5DC3CD5E">
      <w:pPr>
        <w:bidi w:val="0"/>
        <w:rPr>
          <w:b/>
          <w:bCs/>
          <w:color w:val="auto"/>
        </w:rPr>
      </w:pPr>
      <w:r>
        <w:rPr>
          <w:rFonts w:hint="eastAsia"/>
          <w:b/>
          <w:bCs/>
          <w:color w:val="auto"/>
          <w:lang w:val="en-US" w:eastAsia="zh-CN"/>
        </w:rPr>
        <w:t>2、</w:t>
      </w:r>
      <w:r>
        <w:rPr>
          <w:b/>
          <w:bCs/>
          <w:color w:val="auto"/>
        </w:rPr>
        <w:t>地下水环境保护目标</w:t>
      </w:r>
    </w:p>
    <w:p w14:paraId="4B0A7C61">
      <w:pPr>
        <w:ind w:firstLine="480"/>
        <w:rPr>
          <w:rFonts w:cs="Times New Roman"/>
          <w:color w:val="auto"/>
        </w:rPr>
      </w:pPr>
      <w:r>
        <w:rPr>
          <w:color w:val="auto"/>
        </w:rPr>
        <w:t>项目位于</w:t>
      </w:r>
      <w:r>
        <w:rPr>
          <w:rFonts w:hint="eastAsia"/>
          <w:color w:val="auto"/>
        </w:rPr>
        <w:t>巴中市巴州区曾口镇寿星村13</w:t>
      </w:r>
      <w:r>
        <w:rPr>
          <w:color w:val="auto"/>
        </w:rPr>
        <w:t>组</w:t>
      </w:r>
      <w:r>
        <w:rPr>
          <w:rFonts w:cs="Times New Roman"/>
          <w:color w:val="auto"/>
        </w:rPr>
        <w:t>。根据现场调查，</w:t>
      </w:r>
      <w:r>
        <w:rPr>
          <w:rFonts w:hint="eastAsia" w:cs="Times New Roman"/>
          <w:color w:val="auto"/>
        </w:rPr>
        <w:t>评价范围内分布有少量居民。厂址周边人口聚居极为稀疏，民房呈零星分布。根据现场调查，评价区内地下水未得到集中开发和利用，且无与地下水相关的水源保护区和</w:t>
      </w:r>
      <w:r>
        <w:rPr>
          <w:rFonts w:hint="eastAsia" w:cs="Times New Roman"/>
          <w:color w:val="auto"/>
          <w:lang w:eastAsia="zh-CN"/>
        </w:rPr>
        <w:t>其他资源</w:t>
      </w:r>
      <w:r>
        <w:rPr>
          <w:rFonts w:hint="eastAsia" w:cs="Times New Roman"/>
          <w:color w:val="auto"/>
        </w:rPr>
        <w:t>保护区。项目评价范围内主要有16口分散式地下水饮用水井。</w:t>
      </w:r>
      <w:r>
        <w:rPr>
          <w:rFonts w:cs="Times New Roman"/>
          <w:color w:val="auto"/>
        </w:rPr>
        <w:t>本项目运行过程中，若液态原辅料、生产废液、废水收集处理不当发生渗漏下渗进入地下水系统，将可能对项目区下伏含水层水质造成影响。</w:t>
      </w:r>
    </w:p>
    <w:p w14:paraId="3BAA786C">
      <w:pPr>
        <w:ind w:firstLine="480"/>
        <w:rPr>
          <w:rFonts w:cs="Times New Roman"/>
          <w:color w:val="auto"/>
        </w:rPr>
      </w:pPr>
      <w:r>
        <w:rPr>
          <w:rFonts w:cs="Times New Roman"/>
          <w:color w:val="auto"/>
        </w:rPr>
        <w:t>本项目地下水环境保护目标见</w:t>
      </w:r>
      <w:r>
        <w:rPr>
          <w:rFonts w:hint="eastAsia" w:cs="Times New Roman"/>
          <w:color w:val="auto"/>
          <w:lang w:val="en-US" w:eastAsia="zh-CN"/>
        </w:rPr>
        <w:t>下表</w:t>
      </w:r>
      <w:r>
        <w:rPr>
          <w:rFonts w:cs="Times New Roman"/>
          <w:color w:val="auto"/>
        </w:rPr>
        <w:t>。</w:t>
      </w:r>
    </w:p>
    <w:p w14:paraId="15DAA8F2">
      <w:pPr>
        <w:pStyle w:val="19"/>
        <w:numPr>
          <w:ilvl w:val="0"/>
          <w:numId w:val="31"/>
        </w:numPr>
        <w:bidi w:val="0"/>
        <w:ind w:left="1440" w:leftChars="0" w:firstLine="0" w:firstLineChars="0"/>
        <w:rPr>
          <w:rFonts w:cs="Times New Roman"/>
          <w:color w:val="auto"/>
        </w:rPr>
      </w:pPr>
      <w:r>
        <w:rPr>
          <w:rFonts w:cs="Times New Roman"/>
          <w:color w:val="auto"/>
        </w:rPr>
        <w:t>项目地下水环境保护目标表</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3"/>
        <w:gridCol w:w="1701"/>
        <w:gridCol w:w="1559"/>
        <w:gridCol w:w="1417"/>
        <w:gridCol w:w="2382"/>
      </w:tblGrid>
      <w:tr w14:paraId="61FDE8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6" w:type="pct"/>
            <w:gridSpan w:val="2"/>
            <w:tcBorders>
              <w:tl2br w:val="nil"/>
              <w:tr2bl w:val="nil"/>
            </w:tcBorders>
            <w:shd w:val="clear" w:color="auto" w:fill="auto"/>
            <w:tcMar>
              <w:left w:w="28" w:type="dxa"/>
              <w:right w:w="28" w:type="dxa"/>
            </w:tcMar>
            <w:vAlign w:val="center"/>
          </w:tcPr>
          <w:p w14:paraId="663BDD56">
            <w:pPr>
              <w:pStyle w:val="714"/>
              <w:rPr>
                <w:rFonts w:cs="Times New Roman"/>
                <w:b/>
                <w:bCs/>
                <w:color w:val="auto"/>
              </w:rPr>
            </w:pPr>
            <w:r>
              <w:rPr>
                <w:rFonts w:cs="Times New Roman"/>
                <w:b/>
                <w:bCs/>
                <w:color w:val="auto"/>
              </w:rPr>
              <w:t>保护目标</w:t>
            </w:r>
          </w:p>
        </w:tc>
        <w:tc>
          <w:tcPr>
            <w:tcW w:w="932" w:type="pct"/>
            <w:tcBorders>
              <w:tl2br w:val="nil"/>
              <w:tr2bl w:val="nil"/>
            </w:tcBorders>
            <w:shd w:val="clear" w:color="auto" w:fill="auto"/>
            <w:tcMar>
              <w:left w:w="28" w:type="dxa"/>
              <w:right w:w="28" w:type="dxa"/>
            </w:tcMar>
            <w:vAlign w:val="center"/>
          </w:tcPr>
          <w:p w14:paraId="21A70E40">
            <w:pPr>
              <w:pStyle w:val="714"/>
              <w:rPr>
                <w:rFonts w:cs="Times New Roman"/>
                <w:b/>
                <w:bCs/>
                <w:color w:val="auto"/>
              </w:rPr>
            </w:pPr>
            <w:r>
              <w:rPr>
                <w:rFonts w:cs="Times New Roman"/>
                <w:b/>
                <w:bCs/>
                <w:color w:val="auto"/>
              </w:rPr>
              <w:t>位置关系</w:t>
            </w:r>
          </w:p>
        </w:tc>
        <w:tc>
          <w:tcPr>
            <w:tcW w:w="847" w:type="pct"/>
            <w:tcBorders>
              <w:tl2br w:val="nil"/>
              <w:tr2bl w:val="nil"/>
            </w:tcBorders>
            <w:shd w:val="clear" w:color="auto" w:fill="auto"/>
            <w:tcMar>
              <w:left w:w="28" w:type="dxa"/>
              <w:right w:w="28" w:type="dxa"/>
            </w:tcMar>
            <w:vAlign w:val="center"/>
          </w:tcPr>
          <w:p w14:paraId="20DA7735">
            <w:pPr>
              <w:pStyle w:val="714"/>
              <w:rPr>
                <w:rFonts w:cs="Times New Roman"/>
                <w:b/>
                <w:bCs/>
                <w:color w:val="auto"/>
              </w:rPr>
            </w:pPr>
            <w:r>
              <w:rPr>
                <w:rFonts w:cs="Times New Roman"/>
                <w:b/>
                <w:bCs/>
                <w:color w:val="auto"/>
              </w:rPr>
              <w:t>主要保护内容</w:t>
            </w:r>
          </w:p>
        </w:tc>
        <w:tc>
          <w:tcPr>
            <w:tcW w:w="1424" w:type="pct"/>
            <w:tcBorders>
              <w:tl2br w:val="nil"/>
              <w:tr2bl w:val="nil"/>
            </w:tcBorders>
            <w:shd w:val="clear" w:color="auto" w:fill="auto"/>
            <w:tcMar>
              <w:left w:w="28" w:type="dxa"/>
              <w:right w:w="28" w:type="dxa"/>
            </w:tcMar>
            <w:vAlign w:val="center"/>
          </w:tcPr>
          <w:p w14:paraId="781BEA71">
            <w:pPr>
              <w:pStyle w:val="714"/>
              <w:rPr>
                <w:rFonts w:cs="Times New Roman"/>
                <w:b/>
                <w:bCs/>
                <w:color w:val="auto"/>
              </w:rPr>
            </w:pPr>
            <w:r>
              <w:rPr>
                <w:rFonts w:cs="Times New Roman"/>
                <w:b/>
                <w:bCs/>
                <w:color w:val="auto"/>
              </w:rPr>
              <w:t>影响因素</w:t>
            </w:r>
          </w:p>
        </w:tc>
      </w:tr>
      <w:tr w14:paraId="13B5DE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6" w:type="pct"/>
            <w:gridSpan w:val="2"/>
            <w:tcBorders>
              <w:tl2br w:val="nil"/>
              <w:tr2bl w:val="nil"/>
            </w:tcBorders>
            <w:shd w:val="clear" w:color="auto" w:fill="auto"/>
            <w:tcMar>
              <w:left w:w="28" w:type="dxa"/>
              <w:right w:w="28" w:type="dxa"/>
            </w:tcMar>
            <w:vAlign w:val="center"/>
          </w:tcPr>
          <w:p w14:paraId="64BE6C23">
            <w:pPr>
              <w:pStyle w:val="714"/>
              <w:rPr>
                <w:rFonts w:cs="Times New Roman"/>
                <w:color w:val="auto"/>
              </w:rPr>
            </w:pPr>
            <w:r>
              <w:rPr>
                <w:rFonts w:cs="Times New Roman"/>
                <w:color w:val="auto"/>
              </w:rPr>
              <w:t>第四系冲积层（Q</w:t>
            </w:r>
            <w:r>
              <w:rPr>
                <w:rFonts w:cs="Times New Roman"/>
                <w:color w:val="auto"/>
                <w:vertAlign w:val="subscript"/>
              </w:rPr>
              <w:t>4</w:t>
            </w:r>
            <w:r>
              <w:rPr>
                <w:rFonts w:cs="Times New Roman"/>
                <w:color w:val="auto"/>
                <w:vertAlign w:val="superscript"/>
              </w:rPr>
              <w:t>al</w:t>
            </w:r>
            <w:r>
              <w:rPr>
                <w:rFonts w:cs="Times New Roman"/>
                <w:color w:val="auto"/>
              </w:rPr>
              <w:t>）及第四系上更新</w:t>
            </w:r>
            <w:r>
              <w:rPr>
                <w:rFonts w:hint="eastAsia" w:cs="Times New Roman"/>
                <w:color w:val="auto"/>
              </w:rPr>
              <w:t>冲</w:t>
            </w:r>
            <w:r>
              <w:rPr>
                <w:rFonts w:cs="Times New Roman"/>
                <w:color w:val="auto"/>
              </w:rPr>
              <w:t>积层上段（Q</w:t>
            </w:r>
            <w:r>
              <w:rPr>
                <w:rFonts w:cs="Times New Roman"/>
                <w:color w:val="auto"/>
                <w:vertAlign w:val="subscript"/>
              </w:rPr>
              <w:t>3</w:t>
            </w:r>
            <w:r>
              <w:rPr>
                <w:rFonts w:cs="Times New Roman"/>
                <w:color w:val="auto"/>
                <w:vertAlign w:val="superscript"/>
              </w:rPr>
              <w:t>al</w:t>
            </w:r>
            <w:r>
              <w:rPr>
                <w:rFonts w:cs="Times New Roman"/>
                <w:color w:val="auto"/>
              </w:rPr>
              <w:t>）</w:t>
            </w:r>
            <w:r>
              <w:rPr>
                <w:rFonts w:hint="eastAsia" w:cs="Times New Roman"/>
                <w:color w:val="auto"/>
              </w:rPr>
              <w:t>冲积</w:t>
            </w:r>
            <w:r>
              <w:rPr>
                <w:rFonts w:cs="Times New Roman"/>
                <w:color w:val="auto"/>
              </w:rPr>
              <w:t>层</w:t>
            </w:r>
            <w:r>
              <w:rPr>
                <w:rFonts w:hint="eastAsia" w:cs="Times New Roman"/>
                <w:color w:val="auto"/>
              </w:rPr>
              <w:t>孔隙</w:t>
            </w:r>
            <w:r>
              <w:rPr>
                <w:rFonts w:cs="Times New Roman"/>
                <w:color w:val="auto"/>
              </w:rPr>
              <w:t>含水层</w:t>
            </w:r>
          </w:p>
        </w:tc>
        <w:tc>
          <w:tcPr>
            <w:tcW w:w="932" w:type="pct"/>
            <w:tcBorders>
              <w:tl2br w:val="nil"/>
              <w:tr2bl w:val="nil"/>
            </w:tcBorders>
            <w:shd w:val="clear" w:color="auto" w:fill="auto"/>
            <w:tcMar>
              <w:left w:w="28" w:type="dxa"/>
              <w:right w:w="28" w:type="dxa"/>
            </w:tcMar>
            <w:vAlign w:val="center"/>
          </w:tcPr>
          <w:p w14:paraId="78475F1E">
            <w:pPr>
              <w:pStyle w:val="714"/>
              <w:rPr>
                <w:rFonts w:cs="Times New Roman"/>
                <w:color w:val="auto"/>
              </w:rPr>
            </w:pPr>
            <w:r>
              <w:rPr>
                <w:rFonts w:hint="eastAsia" w:cs="Times New Roman"/>
                <w:color w:val="auto"/>
                <w:lang w:val="en-US" w:eastAsia="zh-CN"/>
              </w:rPr>
              <w:t>项目区</w:t>
            </w:r>
            <w:r>
              <w:rPr>
                <w:rFonts w:hint="eastAsia" w:cs="Times New Roman"/>
                <w:color w:val="auto"/>
              </w:rPr>
              <w:t>下游</w:t>
            </w:r>
            <w:r>
              <w:rPr>
                <w:rFonts w:cs="Times New Roman"/>
                <w:color w:val="auto"/>
              </w:rPr>
              <w:t>含水层</w:t>
            </w:r>
          </w:p>
        </w:tc>
        <w:tc>
          <w:tcPr>
            <w:tcW w:w="847" w:type="pct"/>
            <w:vMerge w:val="restart"/>
            <w:tcBorders>
              <w:tl2br w:val="nil"/>
              <w:tr2bl w:val="nil"/>
            </w:tcBorders>
            <w:shd w:val="clear" w:color="auto" w:fill="auto"/>
            <w:tcMar>
              <w:left w:w="28" w:type="dxa"/>
              <w:right w:w="28" w:type="dxa"/>
            </w:tcMar>
            <w:vAlign w:val="center"/>
          </w:tcPr>
          <w:p w14:paraId="6518EB05">
            <w:pPr>
              <w:pStyle w:val="714"/>
              <w:rPr>
                <w:rFonts w:cs="Times New Roman"/>
                <w:color w:val="auto"/>
              </w:rPr>
            </w:pPr>
            <w:r>
              <w:rPr>
                <w:rFonts w:cs="Times New Roman"/>
                <w:color w:val="auto"/>
              </w:rPr>
              <w:t>含水层水质</w:t>
            </w:r>
          </w:p>
        </w:tc>
        <w:tc>
          <w:tcPr>
            <w:tcW w:w="1424" w:type="pct"/>
            <w:vMerge w:val="restart"/>
            <w:tcBorders>
              <w:tl2br w:val="nil"/>
              <w:tr2bl w:val="nil"/>
            </w:tcBorders>
            <w:shd w:val="clear" w:color="auto" w:fill="auto"/>
            <w:tcMar>
              <w:left w:w="28" w:type="dxa"/>
              <w:right w:w="28" w:type="dxa"/>
            </w:tcMar>
            <w:vAlign w:val="center"/>
          </w:tcPr>
          <w:p w14:paraId="07FD1907">
            <w:pPr>
              <w:pStyle w:val="714"/>
              <w:rPr>
                <w:rFonts w:cs="Times New Roman"/>
                <w:color w:val="auto"/>
              </w:rPr>
            </w:pPr>
            <w:r>
              <w:rPr>
                <w:rFonts w:cs="Times New Roman"/>
                <w:color w:val="auto"/>
              </w:rPr>
              <w:t>本项目运行过程中，若液态原辅料、生产废液、废水收集处理不当发生渗漏下渗进入地下水系统，将可能对项目区下伏</w:t>
            </w:r>
            <w:r>
              <w:rPr>
                <w:rFonts w:hint="eastAsia" w:cs="Times New Roman"/>
                <w:color w:val="auto"/>
              </w:rPr>
              <w:t>、下游</w:t>
            </w:r>
            <w:r>
              <w:rPr>
                <w:rFonts w:cs="Times New Roman"/>
                <w:color w:val="auto"/>
              </w:rPr>
              <w:t>含水层及项目周边分散居民饮用水井水质造成影响。</w:t>
            </w:r>
          </w:p>
        </w:tc>
      </w:tr>
      <w:tr w14:paraId="3FDC13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6" w:type="pct"/>
            <w:gridSpan w:val="2"/>
            <w:tcBorders>
              <w:tl2br w:val="nil"/>
              <w:tr2bl w:val="nil"/>
            </w:tcBorders>
            <w:shd w:val="clear" w:color="auto" w:fill="auto"/>
            <w:tcMar>
              <w:left w:w="28" w:type="dxa"/>
              <w:right w:w="28" w:type="dxa"/>
            </w:tcMar>
            <w:vAlign w:val="center"/>
          </w:tcPr>
          <w:p w14:paraId="4332818C">
            <w:pPr>
              <w:pStyle w:val="714"/>
              <w:rPr>
                <w:rFonts w:cs="Times New Roman"/>
                <w:color w:val="auto"/>
              </w:rPr>
            </w:pPr>
            <w:r>
              <w:rPr>
                <w:rFonts w:hint="eastAsia" w:cs="Times New Roman"/>
                <w:color w:val="auto"/>
              </w:rPr>
              <w:t>白垩系下统白龙组（K</w:t>
            </w:r>
            <w:r>
              <w:rPr>
                <w:rFonts w:hint="eastAsia" w:cs="Times New Roman"/>
                <w:color w:val="auto"/>
                <w:vertAlign w:val="subscript"/>
              </w:rPr>
              <w:t>1</w:t>
            </w:r>
            <w:r>
              <w:rPr>
                <w:rFonts w:hint="eastAsia" w:cs="Times New Roman"/>
                <w:color w:val="auto"/>
              </w:rPr>
              <w:t>b）浅层基岩裂隙含水层</w:t>
            </w:r>
          </w:p>
        </w:tc>
        <w:tc>
          <w:tcPr>
            <w:tcW w:w="932" w:type="pct"/>
            <w:tcBorders>
              <w:tl2br w:val="nil"/>
              <w:tr2bl w:val="nil"/>
            </w:tcBorders>
            <w:shd w:val="clear" w:color="auto" w:fill="auto"/>
            <w:tcMar>
              <w:left w:w="28" w:type="dxa"/>
              <w:right w:w="28" w:type="dxa"/>
            </w:tcMar>
            <w:vAlign w:val="center"/>
          </w:tcPr>
          <w:p w14:paraId="03A0AE7B">
            <w:pPr>
              <w:pStyle w:val="714"/>
              <w:rPr>
                <w:rFonts w:cs="Times New Roman"/>
                <w:color w:val="auto"/>
              </w:rPr>
            </w:pPr>
            <w:r>
              <w:rPr>
                <w:rFonts w:cs="Times New Roman"/>
                <w:color w:val="auto"/>
              </w:rPr>
              <w:t>项目区下伏含水层项</w:t>
            </w:r>
          </w:p>
        </w:tc>
        <w:tc>
          <w:tcPr>
            <w:tcW w:w="847" w:type="pct"/>
            <w:vMerge w:val="continue"/>
            <w:tcBorders>
              <w:tl2br w:val="nil"/>
              <w:tr2bl w:val="nil"/>
            </w:tcBorders>
            <w:shd w:val="clear" w:color="auto" w:fill="auto"/>
            <w:tcMar>
              <w:left w:w="28" w:type="dxa"/>
              <w:right w:w="28" w:type="dxa"/>
            </w:tcMar>
            <w:vAlign w:val="center"/>
          </w:tcPr>
          <w:p w14:paraId="46525743">
            <w:pPr>
              <w:pStyle w:val="714"/>
              <w:rPr>
                <w:rFonts w:cs="Times New Roman"/>
                <w:color w:val="auto"/>
              </w:rPr>
            </w:pPr>
          </w:p>
        </w:tc>
        <w:tc>
          <w:tcPr>
            <w:tcW w:w="1424" w:type="pct"/>
            <w:vMerge w:val="continue"/>
            <w:tcBorders>
              <w:tl2br w:val="nil"/>
              <w:tr2bl w:val="nil"/>
            </w:tcBorders>
            <w:shd w:val="clear" w:color="auto" w:fill="auto"/>
            <w:tcMar>
              <w:left w:w="28" w:type="dxa"/>
              <w:right w:w="28" w:type="dxa"/>
            </w:tcMar>
            <w:vAlign w:val="center"/>
          </w:tcPr>
          <w:p w14:paraId="5FEA701E">
            <w:pPr>
              <w:pStyle w:val="714"/>
              <w:rPr>
                <w:rFonts w:cs="Times New Roman"/>
                <w:color w:val="auto"/>
              </w:rPr>
            </w:pPr>
          </w:p>
        </w:tc>
      </w:tr>
      <w:tr w14:paraId="1E6958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9" w:type="pct"/>
            <w:tcBorders>
              <w:tl2br w:val="nil"/>
              <w:tr2bl w:val="nil"/>
            </w:tcBorders>
            <w:shd w:val="clear" w:color="auto" w:fill="auto"/>
            <w:tcMar>
              <w:left w:w="28" w:type="dxa"/>
              <w:right w:w="28" w:type="dxa"/>
            </w:tcMar>
            <w:vAlign w:val="center"/>
          </w:tcPr>
          <w:p w14:paraId="78E039F7">
            <w:pPr>
              <w:pStyle w:val="714"/>
              <w:rPr>
                <w:rFonts w:cs="Times New Roman"/>
                <w:color w:val="auto"/>
              </w:rPr>
            </w:pPr>
            <w:r>
              <w:rPr>
                <w:rFonts w:cs="Times New Roman"/>
                <w:color w:val="auto"/>
              </w:rPr>
              <w:t>居民分散饮用水井</w:t>
            </w:r>
          </w:p>
        </w:tc>
        <w:tc>
          <w:tcPr>
            <w:tcW w:w="1017" w:type="pct"/>
            <w:tcBorders>
              <w:tl2br w:val="nil"/>
              <w:tr2bl w:val="nil"/>
            </w:tcBorders>
            <w:shd w:val="clear" w:color="auto" w:fill="auto"/>
            <w:tcMar>
              <w:left w:w="28" w:type="dxa"/>
              <w:right w:w="28" w:type="dxa"/>
            </w:tcMar>
            <w:vAlign w:val="center"/>
          </w:tcPr>
          <w:p w14:paraId="4D1CAEBE">
            <w:pPr>
              <w:pStyle w:val="714"/>
              <w:rPr>
                <w:rFonts w:cs="Times New Roman"/>
                <w:color w:val="auto"/>
              </w:rPr>
            </w:pPr>
            <w:r>
              <w:rPr>
                <w:rFonts w:hint="eastAsia" w:cs="Times New Roman"/>
                <w:color w:val="auto"/>
              </w:rPr>
              <w:t>寿星村25户居民16口</w:t>
            </w:r>
            <w:r>
              <w:rPr>
                <w:rFonts w:cs="Times New Roman"/>
                <w:color w:val="auto"/>
              </w:rPr>
              <w:t>分散式饮用水井</w:t>
            </w:r>
          </w:p>
        </w:tc>
        <w:tc>
          <w:tcPr>
            <w:tcW w:w="932" w:type="pct"/>
            <w:tcBorders>
              <w:tl2br w:val="nil"/>
              <w:tr2bl w:val="nil"/>
            </w:tcBorders>
            <w:shd w:val="clear" w:color="auto" w:fill="auto"/>
            <w:tcMar>
              <w:left w:w="28" w:type="dxa"/>
              <w:right w:w="28" w:type="dxa"/>
            </w:tcMar>
            <w:vAlign w:val="center"/>
          </w:tcPr>
          <w:p w14:paraId="60688C28">
            <w:pPr>
              <w:pStyle w:val="714"/>
              <w:rPr>
                <w:rFonts w:cs="Times New Roman"/>
                <w:color w:val="auto"/>
              </w:rPr>
            </w:pPr>
            <w:r>
              <w:rPr>
                <w:rFonts w:cs="Times New Roman"/>
                <w:color w:val="auto"/>
              </w:rPr>
              <w:t>项目周边</w:t>
            </w:r>
            <w:r>
              <w:rPr>
                <w:rFonts w:hint="eastAsia" w:cs="Times New Roman"/>
                <w:color w:val="auto"/>
              </w:rPr>
              <w:t>40</w:t>
            </w:r>
            <w:r>
              <w:rPr>
                <w:rFonts w:hint="eastAsia" w:cs="Times New Roman"/>
                <w:color w:val="auto"/>
                <w:lang w:eastAsia="zh-CN"/>
              </w:rPr>
              <w:t>～</w:t>
            </w:r>
            <w:r>
              <w:rPr>
                <w:rFonts w:hint="eastAsia" w:cs="Times New Roman"/>
                <w:color w:val="auto"/>
              </w:rPr>
              <w:t>890</w:t>
            </w:r>
            <w:r>
              <w:rPr>
                <w:rFonts w:cs="Times New Roman"/>
                <w:color w:val="auto"/>
              </w:rPr>
              <w:t>m</w:t>
            </w:r>
          </w:p>
        </w:tc>
        <w:tc>
          <w:tcPr>
            <w:tcW w:w="847" w:type="pct"/>
            <w:tcBorders>
              <w:tl2br w:val="nil"/>
              <w:tr2bl w:val="nil"/>
            </w:tcBorders>
            <w:shd w:val="clear" w:color="auto" w:fill="auto"/>
            <w:tcMar>
              <w:left w:w="28" w:type="dxa"/>
              <w:right w:w="28" w:type="dxa"/>
            </w:tcMar>
            <w:vAlign w:val="center"/>
          </w:tcPr>
          <w:p w14:paraId="25D5D245">
            <w:pPr>
              <w:pStyle w:val="714"/>
              <w:rPr>
                <w:rFonts w:cs="Times New Roman"/>
                <w:color w:val="auto"/>
              </w:rPr>
            </w:pPr>
            <w:r>
              <w:rPr>
                <w:rFonts w:cs="Times New Roman"/>
                <w:color w:val="auto"/>
              </w:rPr>
              <w:t>饮用井水质</w:t>
            </w:r>
          </w:p>
        </w:tc>
        <w:tc>
          <w:tcPr>
            <w:tcW w:w="1424" w:type="pct"/>
            <w:vMerge w:val="continue"/>
            <w:tcBorders>
              <w:tl2br w:val="nil"/>
              <w:tr2bl w:val="nil"/>
            </w:tcBorders>
            <w:tcMar>
              <w:left w:w="28" w:type="dxa"/>
              <w:right w:w="28" w:type="dxa"/>
            </w:tcMar>
            <w:vAlign w:val="center"/>
          </w:tcPr>
          <w:p w14:paraId="16F05E96">
            <w:pPr>
              <w:pStyle w:val="714"/>
              <w:rPr>
                <w:rFonts w:cs="Times New Roman"/>
                <w:color w:val="auto"/>
              </w:rPr>
            </w:pPr>
          </w:p>
        </w:tc>
      </w:tr>
    </w:tbl>
    <w:p w14:paraId="62C32D15">
      <w:pPr>
        <w:pStyle w:val="10"/>
        <w:bidi w:val="0"/>
        <w:rPr>
          <w:color w:val="auto"/>
        </w:rPr>
      </w:pPr>
      <w:bookmarkStart w:id="184" w:name="_Toc317876115"/>
      <w:bookmarkStart w:id="185" w:name="_Toc317876370"/>
      <w:bookmarkStart w:id="186" w:name="_Toc317876296"/>
      <w:bookmarkStart w:id="187" w:name="_Toc317876444"/>
      <w:bookmarkStart w:id="188" w:name="_Toc317974810"/>
      <w:r>
        <w:rPr>
          <w:rFonts w:hint="eastAsia"/>
          <w:color w:val="auto"/>
          <w:lang w:val="en-US" w:eastAsia="zh-CN"/>
        </w:rPr>
        <w:t xml:space="preserve"> </w:t>
      </w:r>
      <w:bookmarkEnd w:id="184"/>
      <w:bookmarkEnd w:id="185"/>
      <w:bookmarkEnd w:id="186"/>
      <w:bookmarkEnd w:id="187"/>
      <w:bookmarkEnd w:id="188"/>
      <w:bookmarkStart w:id="189" w:name="_Toc339908708"/>
      <w:bookmarkStart w:id="190" w:name="_Toc365818164"/>
      <w:r>
        <w:rPr>
          <w:color w:val="auto"/>
        </w:rPr>
        <w:t>地下水环境影响识别</w:t>
      </w:r>
    </w:p>
    <w:p w14:paraId="74A56906">
      <w:pPr>
        <w:bidi w:val="0"/>
        <w:rPr>
          <w:color w:val="auto"/>
        </w:rPr>
      </w:pPr>
      <w:bookmarkStart w:id="191" w:name="_Hlk90160597"/>
      <w:r>
        <w:rPr>
          <w:rFonts w:cs="Times New Roman"/>
          <w:color w:val="auto"/>
        </w:rPr>
        <w:t>（</w:t>
      </w:r>
      <w:r>
        <w:rPr>
          <w:color w:val="auto"/>
        </w:rPr>
        <w:t>1）项目类型识别</w:t>
      </w:r>
    </w:p>
    <w:p w14:paraId="08BB08B0">
      <w:pPr>
        <w:bidi w:val="0"/>
        <w:rPr>
          <w:color w:val="auto"/>
        </w:rPr>
      </w:pPr>
      <w:r>
        <w:rPr>
          <w:color w:val="auto"/>
        </w:rPr>
        <w:t>根据建设项目对地下水环境影响程度，结合《建设项目环境影响评价分类管理名录》，将建设项目分为四类，其中Ⅰ类、Ⅱ类及Ⅲ类建设项目的地下水环境影响评价应执行导则要求，Ⅳ类建设项目不开展地下水环境影响评价，分类详见《环境影响评价技术导则</w:t>
      </w:r>
      <w:r>
        <w:rPr>
          <w:rFonts w:hint="eastAsia"/>
          <w:color w:val="auto"/>
          <w:lang w:val="en-US" w:eastAsia="zh-CN"/>
        </w:rPr>
        <w:t xml:space="preserve"> </w:t>
      </w:r>
      <w:r>
        <w:rPr>
          <w:color w:val="auto"/>
        </w:rPr>
        <w:t>地下水环境》（HJ610-2016）附录A（以下简称附录A）。</w:t>
      </w:r>
    </w:p>
    <w:p w14:paraId="0A490502">
      <w:pPr>
        <w:bidi w:val="0"/>
        <w:rPr>
          <w:color w:val="auto"/>
        </w:rPr>
      </w:pPr>
      <w:r>
        <w:rPr>
          <w:color w:val="auto"/>
        </w:rPr>
        <w:t>依据附录A，本项目为</w:t>
      </w:r>
      <w:r>
        <w:rPr>
          <w:rFonts w:hint="eastAsia"/>
          <w:color w:val="auto"/>
        </w:rPr>
        <w:t>巴中市巴州区曾口片区污水处理厂、环境监测站建设项目</w:t>
      </w:r>
      <w:r>
        <w:rPr>
          <w:color w:val="auto"/>
        </w:rPr>
        <w:t>，按照国民经济行业分类归类为</w:t>
      </w:r>
      <w:r>
        <w:rPr>
          <w:rFonts w:hint="eastAsia"/>
          <w:color w:val="auto"/>
        </w:rPr>
        <w:t>U 城镇基础设施及房地产</w:t>
      </w:r>
      <w:r>
        <w:rPr>
          <w:color w:val="auto"/>
        </w:rPr>
        <w:t>—</w:t>
      </w:r>
      <w:r>
        <w:rPr>
          <w:rFonts w:hint="eastAsia"/>
          <w:color w:val="auto"/>
        </w:rPr>
        <w:t>145、工业废水集中处理</w:t>
      </w:r>
      <w:r>
        <w:rPr>
          <w:color w:val="auto"/>
        </w:rPr>
        <w:t>，为Ⅰ类建设项目。建设项目所属地下水环境影响评价项目类别如下表所示：</w:t>
      </w:r>
    </w:p>
    <w:p w14:paraId="2E51D2A1">
      <w:pPr>
        <w:pStyle w:val="19"/>
        <w:numPr>
          <w:ilvl w:val="0"/>
          <w:numId w:val="31"/>
        </w:numPr>
        <w:bidi w:val="0"/>
        <w:ind w:left="1440" w:leftChars="0" w:firstLine="0" w:firstLineChars="0"/>
        <w:rPr>
          <w:rFonts w:cs="Times New Roman"/>
          <w:color w:val="auto"/>
        </w:rPr>
      </w:pPr>
      <w:r>
        <w:rPr>
          <w:rFonts w:cs="Times New Roman"/>
          <w:color w:val="auto"/>
        </w:rPr>
        <w:t>建设项目所属地下水环境影响评价项目类别</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1135"/>
        <w:gridCol w:w="1416"/>
        <w:gridCol w:w="3571"/>
        <w:gridCol w:w="1299"/>
      </w:tblGrid>
      <w:tr w14:paraId="19ABC9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12" w:type="pct"/>
            <w:gridSpan w:val="2"/>
            <w:vMerge w:val="restart"/>
            <w:tcBorders>
              <w:tl2br w:val="nil"/>
              <w:tr2bl w:val="nil"/>
            </w:tcBorders>
            <w:shd w:val="clear" w:color="auto" w:fill="auto"/>
            <w:vAlign w:val="center"/>
          </w:tcPr>
          <w:p w14:paraId="140A271C">
            <w:pPr>
              <w:pStyle w:val="714"/>
              <w:jc w:val="right"/>
              <w:rPr>
                <w:rFonts w:cs="Times New Roman"/>
                <w:b/>
                <w:bCs/>
                <w:color w:val="auto"/>
              </w:rPr>
            </w:pPr>
            <w:r>
              <w:rPr>
                <w:rFonts w:cs="Times New Roman"/>
                <w:b/>
                <w:bCs/>
                <w:color w:val="auto"/>
              </w:rPr>
              <w:t>环评类别</w:t>
            </w:r>
          </w:p>
          <w:p w14:paraId="648B0E9F">
            <w:pPr>
              <w:pStyle w:val="714"/>
              <w:jc w:val="left"/>
              <w:rPr>
                <w:rFonts w:cs="Times New Roman"/>
                <w:b/>
                <w:bCs/>
                <w:color w:val="auto"/>
              </w:rPr>
            </w:pPr>
            <w:r>
              <w:rPr>
                <w:rFonts w:cs="Times New Roman"/>
                <w:b/>
                <w:bCs/>
                <w:color w:val="auto"/>
              </w:rPr>
              <w:t>行业类别</w:t>
            </w:r>
          </w:p>
        </w:tc>
        <w:tc>
          <w:tcPr>
            <w:tcW w:w="831" w:type="pct"/>
            <w:vMerge w:val="restart"/>
            <w:tcBorders>
              <w:tl2br w:val="nil"/>
              <w:tr2bl w:val="nil"/>
            </w:tcBorders>
            <w:shd w:val="clear" w:color="auto" w:fill="auto"/>
            <w:vAlign w:val="center"/>
          </w:tcPr>
          <w:p w14:paraId="45BCE578">
            <w:pPr>
              <w:pStyle w:val="714"/>
              <w:rPr>
                <w:rFonts w:cs="Times New Roman"/>
                <w:b/>
                <w:bCs/>
                <w:color w:val="auto"/>
              </w:rPr>
            </w:pPr>
            <w:r>
              <w:rPr>
                <w:rFonts w:cs="Times New Roman"/>
                <w:b/>
                <w:bCs/>
                <w:color w:val="auto"/>
              </w:rPr>
              <w:t>报告类别</w:t>
            </w:r>
          </w:p>
        </w:tc>
        <w:tc>
          <w:tcPr>
            <w:tcW w:w="2857" w:type="pct"/>
            <w:gridSpan w:val="2"/>
            <w:tcBorders>
              <w:tl2br w:val="nil"/>
              <w:tr2bl w:val="nil"/>
            </w:tcBorders>
            <w:shd w:val="clear" w:color="auto" w:fill="auto"/>
            <w:vAlign w:val="center"/>
          </w:tcPr>
          <w:p w14:paraId="7ABC0229">
            <w:pPr>
              <w:pStyle w:val="714"/>
              <w:rPr>
                <w:rFonts w:cs="Times New Roman"/>
                <w:b/>
                <w:bCs/>
                <w:color w:val="auto"/>
              </w:rPr>
            </w:pPr>
            <w:r>
              <w:rPr>
                <w:rFonts w:cs="Times New Roman"/>
                <w:b/>
                <w:bCs/>
                <w:color w:val="auto"/>
              </w:rPr>
              <w:t>本项目建设内容及项目类型识别</w:t>
            </w:r>
          </w:p>
        </w:tc>
      </w:tr>
      <w:tr w14:paraId="5816E7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12" w:type="pct"/>
            <w:gridSpan w:val="2"/>
            <w:vMerge w:val="continue"/>
            <w:tcBorders>
              <w:tl2br w:val="nil"/>
              <w:tr2bl w:val="nil"/>
            </w:tcBorders>
            <w:shd w:val="clear" w:color="auto" w:fill="auto"/>
            <w:vAlign w:val="center"/>
          </w:tcPr>
          <w:p w14:paraId="6E58F955">
            <w:pPr>
              <w:pStyle w:val="714"/>
              <w:rPr>
                <w:rFonts w:cs="Times New Roman"/>
                <w:b/>
                <w:bCs/>
                <w:color w:val="auto"/>
              </w:rPr>
            </w:pPr>
          </w:p>
        </w:tc>
        <w:tc>
          <w:tcPr>
            <w:tcW w:w="831" w:type="pct"/>
            <w:vMerge w:val="continue"/>
            <w:tcBorders>
              <w:tl2br w:val="nil"/>
              <w:tr2bl w:val="nil"/>
            </w:tcBorders>
            <w:shd w:val="clear" w:color="auto" w:fill="auto"/>
            <w:vAlign w:val="center"/>
          </w:tcPr>
          <w:p w14:paraId="66621814">
            <w:pPr>
              <w:pStyle w:val="714"/>
              <w:rPr>
                <w:rFonts w:cs="Times New Roman"/>
                <w:b/>
                <w:bCs/>
                <w:color w:val="auto"/>
              </w:rPr>
            </w:pPr>
          </w:p>
        </w:tc>
        <w:tc>
          <w:tcPr>
            <w:tcW w:w="2095" w:type="pct"/>
            <w:tcBorders>
              <w:tl2br w:val="nil"/>
              <w:tr2bl w:val="nil"/>
            </w:tcBorders>
            <w:shd w:val="clear" w:color="auto" w:fill="auto"/>
            <w:vAlign w:val="center"/>
          </w:tcPr>
          <w:p w14:paraId="5C42AE2D">
            <w:pPr>
              <w:pStyle w:val="714"/>
              <w:rPr>
                <w:rFonts w:cs="Times New Roman"/>
                <w:b/>
                <w:bCs/>
                <w:color w:val="auto"/>
              </w:rPr>
            </w:pPr>
            <w:r>
              <w:rPr>
                <w:rFonts w:cs="Times New Roman"/>
                <w:b/>
                <w:bCs/>
                <w:color w:val="auto"/>
              </w:rPr>
              <w:t>建设内容</w:t>
            </w:r>
          </w:p>
        </w:tc>
        <w:tc>
          <w:tcPr>
            <w:tcW w:w="762" w:type="pct"/>
            <w:tcBorders>
              <w:tl2br w:val="nil"/>
              <w:tr2bl w:val="nil"/>
            </w:tcBorders>
            <w:shd w:val="clear" w:color="auto" w:fill="auto"/>
            <w:vAlign w:val="center"/>
          </w:tcPr>
          <w:p w14:paraId="0520D84E">
            <w:pPr>
              <w:pStyle w:val="714"/>
              <w:rPr>
                <w:rFonts w:cs="Times New Roman"/>
                <w:b/>
                <w:bCs/>
                <w:color w:val="auto"/>
              </w:rPr>
            </w:pPr>
            <w:r>
              <w:rPr>
                <w:rFonts w:cs="Times New Roman"/>
                <w:b/>
                <w:bCs/>
                <w:color w:val="auto"/>
              </w:rPr>
              <w:t>项目类型</w:t>
            </w:r>
          </w:p>
        </w:tc>
      </w:tr>
      <w:tr w14:paraId="12B0AA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46" w:type="pct"/>
            <w:tcBorders>
              <w:tl2br w:val="nil"/>
              <w:tr2bl w:val="nil"/>
            </w:tcBorders>
            <w:shd w:val="clear" w:color="auto" w:fill="auto"/>
            <w:vAlign w:val="center"/>
          </w:tcPr>
          <w:p w14:paraId="01C1B7CE">
            <w:pPr>
              <w:pStyle w:val="714"/>
              <w:rPr>
                <w:rFonts w:cs="Times New Roman"/>
                <w:color w:val="auto"/>
              </w:rPr>
            </w:pPr>
            <w:r>
              <w:rPr>
                <w:rFonts w:hint="eastAsia" w:cs="Times New Roman"/>
                <w:color w:val="auto"/>
              </w:rPr>
              <w:t>U 城镇基础设施及房地产</w:t>
            </w:r>
          </w:p>
        </w:tc>
        <w:tc>
          <w:tcPr>
            <w:tcW w:w="666" w:type="pct"/>
            <w:tcBorders>
              <w:tl2br w:val="nil"/>
              <w:tr2bl w:val="nil"/>
            </w:tcBorders>
            <w:shd w:val="clear" w:color="auto" w:fill="auto"/>
            <w:vAlign w:val="center"/>
          </w:tcPr>
          <w:p w14:paraId="7FB50DE8">
            <w:pPr>
              <w:pStyle w:val="714"/>
              <w:rPr>
                <w:rFonts w:cs="Times New Roman"/>
                <w:color w:val="auto"/>
              </w:rPr>
            </w:pPr>
            <w:r>
              <w:rPr>
                <w:rFonts w:hint="eastAsia" w:cs="Times New Roman"/>
                <w:color w:val="auto"/>
              </w:rPr>
              <w:t>145、工业废水集中处理</w:t>
            </w:r>
          </w:p>
        </w:tc>
        <w:tc>
          <w:tcPr>
            <w:tcW w:w="831" w:type="pct"/>
            <w:tcBorders>
              <w:tl2br w:val="nil"/>
              <w:tr2bl w:val="nil"/>
            </w:tcBorders>
            <w:shd w:val="clear" w:color="auto" w:fill="auto"/>
            <w:vAlign w:val="center"/>
          </w:tcPr>
          <w:p w14:paraId="5FE386B3">
            <w:pPr>
              <w:pStyle w:val="714"/>
              <w:rPr>
                <w:rFonts w:cs="Times New Roman"/>
                <w:color w:val="auto"/>
              </w:rPr>
            </w:pPr>
            <w:r>
              <w:rPr>
                <w:rFonts w:cs="Times New Roman"/>
                <w:color w:val="auto"/>
              </w:rPr>
              <w:t>报告书</w:t>
            </w:r>
          </w:p>
        </w:tc>
        <w:tc>
          <w:tcPr>
            <w:tcW w:w="2095" w:type="pct"/>
            <w:tcBorders>
              <w:tl2br w:val="nil"/>
              <w:tr2bl w:val="nil"/>
            </w:tcBorders>
            <w:shd w:val="clear" w:color="auto" w:fill="auto"/>
            <w:vAlign w:val="center"/>
          </w:tcPr>
          <w:p w14:paraId="36B376BE">
            <w:pPr>
              <w:pStyle w:val="714"/>
              <w:rPr>
                <w:rFonts w:cs="Times New Roman"/>
                <w:color w:val="auto"/>
              </w:rPr>
            </w:pPr>
            <w:r>
              <w:rPr>
                <w:rFonts w:hint="eastAsia" w:cs="Times New Roman"/>
                <w:color w:val="auto"/>
              </w:rPr>
              <w:t>建设内容包括：（1）新建污水处理厂一座及配套尾水排放管网，总建设规模为1.6万m³/d，本次主要设计按照一期规模0.3万m³/d进行建设。（2）新建园区环境监测站1座。</w:t>
            </w:r>
          </w:p>
        </w:tc>
        <w:tc>
          <w:tcPr>
            <w:tcW w:w="762" w:type="pct"/>
            <w:tcBorders>
              <w:tl2br w:val="nil"/>
              <w:tr2bl w:val="nil"/>
            </w:tcBorders>
            <w:shd w:val="clear" w:color="auto" w:fill="auto"/>
            <w:vAlign w:val="center"/>
          </w:tcPr>
          <w:p w14:paraId="1DDF1837">
            <w:pPr>
              <w:pStyle w:val="714"/>
              <w:rPr>
                <w:rFonts w:cs="Times New Roman"/>
                <w:color w:val="auto"/>
              </w:rPr>
            </w:pPr>
            <w:r>
              <w:rPr>
                <w:rFonts w:cs="Times New Roman"/>
                <w:color w:val="auto"/>
              </w:rPr>
              <w:t>Ⅰ类</w:t>
            </w:r>
          </w:p>
        </w:tc>
      </w:tr>
    </w:tbl>
    <w:p w14:paraId="27E1A02D">
      <w:pPr>
        <w:bidi w:val="0"/>
        <w:rPr>
          <w:color w:val="auto"/>
        </w:rPr>
      </w:pPr>
      <w:bookmarkStart w:id="192" w:name="_Hlk119140518"/>
      <w:r>
        <w:rPr>
          <w:color w:val="auto"/>
        </w:rPr>
        <w:t>（2）项目污染源项识别及污染因子识别</w:t>
      </w:r>
    </w:p>
    <w:p w14:paraId="52D1506A">
      <w:pPr>
        <w:bidi w:val="0"/>
        <w:rPr>
          <w:color w:val="auto"/>
        </w:rPr>
      </w:pPr>
      <w:bookmarkStart w:id="193" w:name="_Hlk119093547"/>
      <w:bookmarkStart w:id="194" w:name="_Hlk49121779"/>
      <w:r>
        <w:rPr>
          <w:color w:val="auto"/>
        </w:rPr>
        <w:t>根据项目可研资料及工程分析，本项目</w:t>
      </w:r>
      <w:r>
        <w:rPr>
          <w:rFonts w:hint="eastAsia"/>
          <w:color w:val="auto"/>
        </w:rPr>
        <w:t>污水处理厂</w:t>
      </w:r>
      <w:r>
        <w:rPr>
          <w:color w:val="auto"/>
        </w:rPr>
        <w:t>可能对地下水环境产生影响的构筑物主要包括：</w:t>
      </w:r>
    </w:p>
    <w:p w14:paraId="4306D184">
      <w:pPr>
        <w:ind w:firstLine="480"/>
        <w:rPr>
          <w:color w:val="auto"/>
        </w:rPr>
      </w:pPr>
      <w:r>
        <w:rPr>
          <w:rFonts w:hint="eastAsia" w:ascii="宋体" w:hAnsi="宋体" w:cs="宋体"/>
          <w:color w:val="auto"/>
        </w:rPr>
        <w:t>①</w:t>
      </w:r>
      <w:r>
        <w:rPr>
          <w:rFonts w:hint="eastAsia"/>
          <w:color w:val="auto"/>
        </w:rPr>
        <w:t>主体工程</w:t>
      </w:r>
    </w:p>
    <w:p w14:paraId="77A09B14">
      <w:pPr>
        <w:ind w:firstLine="480"/>
        <w:rPr>
          <w:color w:val="auto"/>
        </w:rPr>
      </w:pPr>
      <w:r>
        <w:rPr>
          <w:rFonts w:hint="eastAsia"/>
          <w:color w:val="auto"/>
        </w:rPr>
        <w:t>一级处理单元</w:t>
      </w:r>
      <w:r>
        <w:rPr>
          <w:color w:val="auto"/>
        </w:rPr>
        <w:t>：</w:t>
      </w:r>
      <w:r>
        <w:rPr>
          <w:rFonts w:hint="eastAsia"/>
          <w:color w:val="auto"/>
        </w:rPr>
        <w:t>超细格栅池</w:t>
      </w:r>
      <w:r>
        <w:rPr>
          <w:color w:val="auto"/>
        </w:rPr>
        <w:t>、</w:t>
      </w:r>
      <w:r>
        <w:rPr>
          <w:rFonts w:hint="eastAsia"/>
          <w:color w:val="auto"/>
        </w:rPr>
        <w:t>调节池、水解酸化池；</w:t>
      </w:r>
    </w:p>
    <w:p w14:paraId="676A3E35">
      <w:pPr>
        <w:ind w:firstLine="480"/>
        <w:rPr>
          <w:color w:val="auto"/>
        </w:rPr>
      </w:pPr>
      <w:r>
        <w:rPr>
          <w:rFonts w:hint="eastAsia"/>
          <w:color w:val="auto"/>
        </w:rPr>
        <w:t>二级处理单元</w:t>
      </w:r>
      <w:r>
        <w:rPr>
          <w:color w:val="auto"/>
        </w:rPr>
        <w:t>：</w:t>
      </w:r>
      <w:r>
        <w:rPr>
          <w:rFonts w:hint="eastAsia"/>
          <w:color w:val="auto"/>
        </w:rPr>
        <w:t>微氧低循环生化池</w:t>
      </w:r>
      <w:r>
        <w:rPr>
          <w:color w:val="auto"/>
        </w:rPr>
        <w:t>、</w:t>
      </w:r>
      <w:r>
        <w:rPr>
          <w:rFonts w:hint="eastAsia"/>
          <w:color w:val="auto"/>
        </w:rPr>
        <w:t>反硝化深床滤池；</w:t>
      </w:r>
    </w:p>
    <w:p w14:paraId="71E15F7A">
      <w:pPr>
        <w:ind w:firstLine="480"/>
        <w:rPr>
          <w:color w:val="auto"/>
        </w:rPr>
      </w:pPr>
      <w:r>
        <w:rPr>
          <w:rFonts w:hint="eastAsia"/>
          <w:color w:val="auto"/>
        </w:rPr>
        <w:t>深度处理单元：高级氧化撬装设备；</w:t>
      </w:r>
    </w:p>
    <w:p w14:paraId="6E18BE8F">
      <w:pPr>
        <w:ind w:firstLine="480"/>
        <w:rPr>
          <w:color w:val="auto"/>
        </w:rPr>
      </w:pPr>
      <w:r>
        <w:rPr>
          <w:rFonts w:hint="eastAsia" w:ascii="宋体" w:hAnsi="宋体" w:cs="宋体"/>
          <w:color w:val="auto"/>
        </w:rPr>
        <w:t>②</w:t>
      </w:r>
      <w:r>
        <w:rPr>
          <w:rFonts w:hint="eastAsia"/>
          <w:color w:val="auto"/>
        </w:rPr>
        <w:t>配套</w:t>
      </w:r>
      <w:r>
        <w:rPr>
          <w:color w:val="auto"/>
        </w:rPr>
        <w:t>工程</w:t>
      </w:r>
    </w:p>
    <w:p w14:paraId="46535BE0">
      <w:pPr>
        <w:ind w:firstLine="480"/>
        <w:rPr>
          <w:color w:val="auto"/>
        </w:rPr>
      </w:pPr>
      <w:r>
        <w:rPr>
          <w:rFonts w:hint="eastAsia"/>
          <w:color w:val="auto"/>
        </w:rPr>
        <w:t>污泥处理单元：磁混凝沉淀池、污泥池；</w:t>
      </w:r>
    </w:p>
    <w:p w14:paraId="06F877D2">
      <w:pPr>
        <w:ind w:firstLine="480"/>
        <w:rPr>
          <w:color w:val="auto"/>
        </w:rPr>
      </w:pPr>
      <w:r>
        <w:rPr>
          <w:rFonts w:hint="eastAsia" w:ascii="宋体" w:hAnsi="宋体" w:cs="宋体"/>
          <w:color w:val="auto"/>
        </w:rPr>
        <w:t>③</w:t>
      </w:r>
      <w:r>
        <w:rPr>
          <w:rFonts w:hint="eastAsia"/>
          <w:color w:val="auto"/>
        </w:rPr>
        <w:t>辅助</w:t>
      </w:r>
      <w:r>
        <w:rPr>
          <w:color w:val="auto"/>
        </w:rPr>
        <w:t>工程</w:t>
      </w:r>
    </w:p>
    <w:p w14:paraId="051965CB">
      <w:pPr>
        <w:ind w:firstLine="480"/>
        <w:rPr>
          <w:color w:val="auto"/>
        </w:rPr>
      </w:pPr>
      <w:r>
        <w:rPr>
          <w:rFonts w:hint="eastAsia"/>
          <w:color w:val="auto"/>
        </w:rPr>
        <w:t>机修间、</w:t>
      </w:r>
      <w:r>
        <w:rPr>
          <w:color w:val="auto"/>
        </w:rPr>
        <w:t>危废暂存间</w:t>
      </w:r>
      <w:bookmarkEnd w:id="193"/>
      <w:r>
        <w:rPr>
          <w:rFonts w:hint="eastAsia"/>
          <w:color w:val="auto"/>
        </w:rPr>
        <w:t>、事故池、园区事故应急池。</w:t>
      </w:r>
    </w:p>
    <w:p w14:paraId="3A62E08F">
      <w:pPr>
        <w:ind w:firstLine="480"/>
        <w:rPr>
          <w:color w:val="auto"/>
        </w:rPr>
      </w:pPr>
      <w:r>
        <w:rPr>
          <w:color w:val="auto"/>
        </w:rPr>
        <w:t>根据《环境影响评价技术导则</w:t>
      </w:r>
      <w:r>
        <w:rPr>
          <w:rFonts w:hint="eastAsia"/>
          <w:color w:val="auto"/>
          <w:lang w:val="en-US" w:eastAsia="zh-CN"/>
        </w:rPr>
        <w:t xml:space="preserve"> </w:t>
      </w:r>
      <w:r>
        <w:rPr>
          <w:color w:val="auto"/>
        </w:rPr>
        <w:t>地下水环境》（HJ610-2016）及《危险废物贮存污染控制标准》（GB18597），以上构筑物均需进行重点防渗。在采取防渗措施后，正常状况，以上构筑物运行过程中对地下水环境影响较小。</w:t>
      </w:r>
      <w:r>
        <w:rPr>
          <w:color w:val="auto"/>
          <w:kern w:val="0"/>
          <w:szCs w:val="24"/>
        </w:rPr>
        <w:t>非正常运行状态下，受</w:t>
      </w:r>
      <w:r>
        <w:rPr>
          <w:rFonts w:hint="eastAsia"/>
          <w:color w:val="auto"/>
          <w:kern w:val="0"/>
          <w:szCs w:val="24"/>
        </w:rPr>
        <w:t>处理</w:t>
      </w:r>
      <w:r>
        <w:rPr>
          <w:color w:val="auto"/>
          <w:kern w:val="0"/>
          <w:szCs w:val="24"/>
        </w:rPr>
        <w:t>设备老化及防渗系统等环保设施腐蚀等因素影响，本项目废水泄漏并部分入渗含水层，将会对</w:t>
      </w:r>
      <w:r>
        <w:rPr>
          <w:rFonts w:hint="eastAsia"/>
          <w:color w:val="auto"/>
          <w:kern w:val="0"/>
          <w:szCs w:val="24"/>
        </w:rPr>
        <w:t>区域</w:t>
      </w:r>
      <w:r>
        <w:rPr>
          <w:color w:val="auto"/>
          <w:kern w:val="0"/>
          <w:szCs w:val="24"/>
        </w:rPr>
        <w:t>内地下水水质造成影响。</w:t>
      </w:r>
    </w:p>
    <w:p w14:paraId="7E4D902F">
      <w:pPr>
        <w:ind w:firstLine="480"/>
        <w:rPr>
          <w:color w:val="auto"/>
        </w:rPr>
      </w:pPr>
      <w:bookmarkStart w:id="195" w:name="_Hlk119105895"/>
      <w:r>
        <w:rPr>
          <w:color w:val="auto"/>
        </w:rPr>
        <w:t>本项目主要地下水污染源及其特征污染因子统计见</w:t>
      </w:r>
      <w:r>
        <w:rPr>
          <w:rFonts w:hint="eastAsia"/>
          <w:color w:val="auto"/>
          <w:lang w:val="en-US" w:eastAsia="zh-CN"/>
        </w:rPr>
        <w:t>下表</w:t>
      </w:r>
      <w:r>
        <w:rPr>
          <w:color w:val="auto"/>
        </w:rPr>
        <w:t>。</w:t>
      </w:r>
    </w:p>
    <w:p w14:paraId="00A14ACC">
      <w:pPr>
        <w:pStyle w:val="19"/>
        <w:keepNext w:val="0"/>
        <w:keepLines w:val="0"/>
        <w:pageBreakBefore w:val="0"/>
        <w:widowControl w:val="0"/>
        <w:numPr>
          <w:ilvl w:val="0"/>
          <w:numId w:val="31"/>
        </w:numPr>
        <w:kinsoku/>
        <w:wordWrap/>
        <w:overflowPunct/>
        <w:topLinePunct w:val="0"/>
        <w:autoSpaceDE/>
        <w:autoSpaceDN/>
        <w:bidi w:val="0"/>
        <w:adjustRightInd/>
        <w:snapToGrid/>
        <w:ind w:left="0" w:leftChars="0" w:firstLine="0" w:firstLineChars="0"/>
        <w:textAlignment w:val="auto"/>
        <w:rPr>
          <w:color w:val="auto"/>
        </w:rPr>
      </w:pPr>
      <w:r>
        <w:rPr>
          <w:color w:val="auto"/>
        </w:rPr>
        <w:t>各主要产污构筑物及污染因子统计表</w:t>
      </w:r>
    </w:p>
    <w:tbl>
      <w:tblPr>
        <w:tblStyle w:val="5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8"/>
        <w:gridCol w:w="974"/>
        <w:gridCol w:w="3484"/>
        <w:gridCol w:w="829"/>
        <w:gridCol w:w="696"/>
        <w:gridCol w:w="1780"/>
      </w:tblGrid>
      <w:tr w14:paraId="24946F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5" w:type="pct"/>
            <w:tcBorders>
              <w:tl2br w:val="nil"/>
              <w:tr2bl w:val="nil"/>
            </w:tcBorders>
            <w:tcMar>
              <w:left w:w="11" w:type="dxa"/>
              <w:right w:w="11" w:type="dxa"/>
            </w:tcMar>
            <w:vAlign w:val="center"/>
          </w:tcPr>
          <w:p w14:paraId="46BF20FE">
            <w:pPr>
              <w:pStyle w:val="714"/>
              <w:rPr>
                <w:b/>
                <w:bCs/>
                <w:color w:val="auto"/>
              </w:rPr>
            </w:pPr>
            <w:bookmarkStart w:id="196" w:name="_Hlk119153953"/>
            <w:r>
              <w:rPr>
                <w:b/>
                <w:bCs/>
                <w:color w:val="auto"/>
              </w:rPr>
              <w:t>工程类别</w:t>
            </w:r>
          </w:p>
        </w:tc>
        <w:tc>
          <w:tcPr>
            <w:tcW w:w="585" w:type="pct"/>
            <w:tcBorders>
              <w:tl2br w:val="nil"/>
              <w:tr2bl w:val="nil"/>
            </w:tcBorders>
            <w:tcMar>
              <w:left w:w="11" w:type="dxa"/>
              <w:right w:w="11" w:type="dxa"/>
            </w:tcMar>
            <w:vAlign w:val="center"/>
          </w:tcPr>
          <w:p w14:paraId="2D61828C">
            <w:pPr>
              <w:pStyle w:val="714"/>
              <w:rPr>
                <w:b/>
                <w:bCs/>
                <w:color w:val="auto"/>
              </w:rPr>
            </w:pPr>
            <w:r>
              <w:rPr>
                <w:rFonts w:hint="eastAsia"/>
                <w:b/>
                <w:bCs/>
                <w:color w:val="auto"/>
              </w:rPr>
              <w:t>处理工段</w:t>
            </w:r>
          </w:p>
        </w:tc>
        <w:tc>
          <w:tcPr>
            <w:tcW w:w="2093" w:type="pct"/>
            <w:tcBorders>
              <w:tl2br w:val="nil"/>
              <w:tr2bl w:val="nil"/>
            </w:tcBorders>
            <w:tcMar>
              <w:left w:w="11" w:type="dxa"/>
              <w:right w:w="11" w:type="dxa"/>
            </w:tcMar>
            <w:vAlign w:val="center"/>
          </w:tcPr>
          <w:p w14:paraId="10DA04BC">
            <w:pPr>
              <w:pStyle w:val="714"/>
              <w:rPr>
                <w:b/>
                <w:bCs/>
                <w:color w:val="auto"/>
              </w:rPr>
            </w:pPr>
            <w:r>
              <w:rPr>
                <w:b/>
                <w:bCs/>
                <w:color w:val="auto"/>
              </w:rPr>
              <w:t>潜在污染设施及规模型号</w:t>
            </w:r>
          </w:p>
        </w:tc>
        <w:tc>
          <w:tcPr>
            <w:tcW w:w="498" w:type="pct"/>
            <w:tcBorders>
              <w:tl2br w:val="nil"/>
              <w:tr2bl w:val="nil"/>
            </w:tcBorders>
            <w:tcMar>
              <w:left w:w="11" w:type="dxa"/>
              <w:right w:w="11" w:type="dxa"/>
            </w:tcMar>
            <w:vAlign w:val="center"/>
          </w:tcPr>
          <w:p w14:paraId="16F46BE7">
            <w:pPr>
              <w:pStyle w:val="714"/>
              <w:rPr>
                <w:b/>
                <w:bCs/>
                <w:color w:val="auto"/>
              </w:rPr>
            </w:pPr>
            <w:r>
              <w:rPr>
                <w:b/>
                <w:bCs/>
                <w:color w:val="auto"/>
              </w:rPr>
              <w:t>数量</w:t>
            </w:r>
            <w:r>
              <w:rPr>
                <w:rFonts w:hint="eastAsia"/>
                <w:b/>
                <w:bCs/>
                <w:color w:val="auto"/>
                <w:lang w:eastAsia="zh-CN"/>
              </w:rPr>
              <w:t>（</w:t>
            </w:r>
            <w:r>
              <w:rPr>
                <w:b/>
                <w:bCs/>
                <w:color w:val="auto"/>
              </w:rPr>
              <w:t>个/台</w:t>
            </w:r>
            <w:r>
              <w:rPr>
                <w:rFonts w:hint="eastAsia"/>
                <w:b/>
                <w:bCs/>
                <w:color w:val="auto"/>
                <w:lang w:eastAsia="zh-CN"/>
              </w:rPr>
              <w:t>）</w:t>
            </w:r>
          </w:p>
        </w:tc>
        <w:tc>
          <w:tcPr>
            <w:tcW w:w="418" w:type="pct"/>
            <w:tcBorders>
              <w:tl2br w:val="nil"/>
              <w:tr2bl w:val="nil"/>
            </w:tcBorders>
            <w:tcMar>
              <w:left w:w="11" w:type="dxa"/>
              <w:right w:w="11" w:type="dxa"/>
            </w:tcMar>
            <w:vAlign w:val="center"/>
          </w:tcPr>
          <w:p w14:paraId="39DC3AF6">
            <w:pPr>
              <w:pStyle w:val="714"/>
              <w:rPr>
                <w:b/>
                <w:bCs/>
                <w:color w:val="auto"/>
              </w:rPr>
            </w:pPr>
            <w:r>
              <w:rPr>
                <w:b/>
                <w:bCs/>
                <w:color w:val="auto"/>
              </w:rPr>
              <w:t>材质</w:t>
            </w:r>
          </w:p>
        </w:tc>
        <w:tc>
          <w:tcPr>
            <w:tcW w:w="1069" w:type="pct"/>
            <w:tcBorders>
              <w:tl2br w:val="nil"/>
              <w:tr2bl w:val="nil"/>
            </w:tcBorders>
            <w:tcMar>
              <w:left w:w="11" w:type="dxa"/>
              <w:right w:w="11" w:type="dxa"/>
            </w:tcMar>
            <w:vAlign w:val="center"/>
          </w:tcPr>
          <w:p w14:paraId="50CEB221">
            <w:pPr>
              <w:pStyle w:val="714"/>
              <w:rPr>
                <w:b/>
                <w:bCs/>
                <w:color w:val="auto"/>
              </w:rPr>
            </w:pPr>
            <w:r>
              <w:rPr>
                <w:b/>
                <w:bCs/>
                <w:color w:val="auto"/>
              </w:rPr>
              <w:t>主要特征污染因子</w:t>
            </w:r>
          </w:p>
        </w:tc>
      </w:tr>
      <w:tr w14:paraId="202309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5" w:type="pct"/>
            <w:vMerge w:val="restart"/>
            <w:tcBorders>
              <w:tl2br w:val="nil"/>
              <w:tr2bl w:val="nil"/>
            </w:tcBorders>
            <w:tcMar>
              <w:left w:w="11" w:type="dxa"/>
              <w:right w:w="11" w:type="dxa"/>
            </w:tcMar>
            <w:vAlign w:val="center"/>
          </w:tcPr>
          <w:p w14:paraId="6D904229">
            <w:pPr>
              <w:pStyle w:val="714"/>
              <w:rPr>
                <w:color w:val="auto"/>
              </w:rPr>
            </w:pPr>
            <w:r>
              <w:rPr>
                <w:color w:val="auto"/>
              </w:rPr>
              <w:t>主体工程</w:t>
            </w:r>
          </w:p>
        </w:tc>
        <w:tc>
          <w:tcPr>
            <w:tcW w:w="585" w:type="pct"/>
            <w:vMerge w:val="restart"/>
            <w:tcBorders>
              <w:tl2br w:val="nil"/>
              <w:tr2bl w:val="nil"/>
            </w:tcBorders>
            <w:tcMar>
              <w:left w:w="11" w:type="dxa"/>
              <w:right w:w="11" w:type="dxa"/>
            </w:tcMar>
            <w:vAlign w:val="center"/>
          </w:tcPr>
          <w:p w14:paraId="5247132F">
            <w:pPr>
              <w:pStyle w:val="714"/>
              <w:rPr>
                <w:color w:val="auto"/>
              </w:rPr>
            </w:pPr>
            <w:r>
              <w:rPr>
                <w:rFonts w:hint="eastAsia"/>
                <w:color w:val="auto"/>
              </w:rPr>
              <w:t>一级处理单元</w:t>
            </w:r>
          </w:p>
        </w:tc>
        <w:tc>
          <w:tcPr>
            <w:tcW w:w="2093" w:type="pct"/>
            <w:tcBorders>
              <w:tl2br w:val="nil"/>
              <w:tr2bl w:val="nil"/>
            </w:tcBorders>
            <w:tcMar>
              <w:left w:w="11" w:type="dxa"/>
              <w:right w:w="11" w:type="dxa"/>
            </w:tcMar>
            <w:vAlign w:val="center"/>
          </w:tcPr>
          <w:p w14:paraId="248CA7E4">
            <w:pPr>
              <w:pStyle w:val="714"/>
              <w:rPr>
                <w:color w:val="auto"/>
              </w:rPr>
            </w:pPr>
            <w:r>
              <w:rPr>
                <w:rFonts w:hint="eastAsia"/>
                <w:color w:val="auto"/>
              </w:rPr>
              <w:t>超细格栅池</w:t>
            </w:r>
            <w:r>
              <w:rPr>
                <w:color w:val="auto"/>
              </w:rPr>
              <w:t>（7.70m×3.50m×2.00m）</w:t>
            </w:r>
          </w:p>
        </w:tc>
        <w:tc>
          <w:tcPr>
            <w:tcW w:w="498" w:type="pct"/>
            <w:tcBorders>
              <w:tl2br w:val="nil"/>
              <w:tr2bl w:val="nil"/>
            </w:tcBorders>
            <w:tcMar>
              <w:left w:w="11" w:type="dxa"/>
              <w:right w:w="11" w:type="dxa"/>
            </w:tcMar>
            <w:vAlign w:val="center"/>
          </w:tcPr>
          <w:p w14:paraId="43118ED9">
            <w:pPr>
              <w:pStyle w:val="714"/>
              <w:rPr>
                <w:color w:val="auto"/>
              </w:rPr>
            </w:pPr>
            <w:r>
              <w:rPr>
                <w:rFonts w:hint="eastAsia"/>
                <w:color w:val="auto"/>
              </w:rPr>
              <w:t>1</w:t>
            </w:r>
          </w:p>
        </w:tc>
        <w:tc>
          <w:tcPr>
            <w:tcW w:w="418" w:type="pct"/>
            <w:tcBorders>
              <w:tl2br w:val="nil"/>
              <w:tr2bl w:val="nil"/>
            </w:tcBorders>
            <w:tcMar>
              <w:left w:w="11" w:type="dxa"/>
              <w:right w:w="11" w:type="dxa"/>
            </w:tcMar>
            <w:vAlign w:val="center"/>
          </w:tcPr>
          <w:p w14:paraId="13A1FD71">
            <w:pPr>
              <w:pStyle w:val="714"/>
              <w:rPr>
                <w:color w:val="auto"/>
              </w:rPr>
            </w:pPr>
            <w:r>
              <w:rPr>
                <w:rFonts w:hint="eastAsia"/>
                <w:color w:val="auto"/>
              </w:rPr>
              <w:t>钢筋砼</w:t>
            </w:r>
          </w:p>
        </w:tc>
        <w:tc>
          <w:tcPr>
            <w:tcW w:w="1069" w:type="pct"/>
            <w:vMerge w:val="restart"/>
            <w:tcBorders>
              <w:tl2br w:val="nil"/>
              <w:tr2bl w:val="nil"/>
            </w:tcBorders>
            <w:tcMar>
              <w:left w:w="11" w:type="dxa"/>
              <w:right w:w="11" w:type="dxa"/>
            </w:tcMar>
            <w:vAlign w:val="center"/>
          </w:tcPr>
          <w:p w14:paraId="48848D06">
            <w:pPr>
              <w:pStyle w:val="714"/>
              <w:rPr>
                <w:color w:val="auto"/>
              </w:rPr>
            </w:pPr>
            <w:r>
              <w:rPr>
                <w:color w:val="auto"/>
              </w:rPr>
              <w:t>pH、</w:t>
            </w:r>
            <w:r>
              <w:rPr>
                <w:rFonts w:hint="eastAsia"/>
                <w:color w:val="auto"/>
              </w:rPr>
              <w:t>COD</w:t>
            </w:r>
            <w:r>
              <w:rPr>
                <w:rFonts w:hint="eastAsia"/>
                <w:color w:val="auto"/>
                <w:vertAlign w:val="subscript"/>
              </w:rPr>
              <w:t>Cr</w:t>
            </w:r>
            <w:r>
              <w:rPr>
                <w:rFonts w:hint="eastAsia"/>
                <w:color w:val="auto"/>
              </w:rPr>
              <w:t>、氨氮、总氮、总磷、氯化物、硫酸盐、氟化物、石油类、挥发酚、甲醛等</w:t>
            </w:r>
          </w:p>
        </w:tc>
      </w:tr>
      <w:tr w14:paraId="49E797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5" w:type="pct"/>
            <w:vMerge w:val="continue"/>
            <w:tcBorders>
              <w:tl2br w:val="nil"/>
              <w:tr2bl w:val="nil"/>
            </w:tcBorders>
            <w:tcMar>
              <w:left w:w="11" w:type="dxa"/>
              <w:right w:w="11" w:type="dxa"/>
            </w:tcMar>
            <w:vAlign w:val="center"/>
          </w:tcPr>
          <w:p w14:paraId="7B220AAE">
            <w:pPr>
              <w:pStyle w:val="714"/>
              <w:rPr>
                <w:color w:val="auto"/>
              </w:rPr>
            </w:pPr>
          </w:p>
        </w:tc>
        <w:tc>
          <w:tcPr>
            <w:tcW w:w="585" w:type="pct"/>
            <w:vMerge w:val="continue"/>
            <w:tcBorders>
              <w:tl2br w:val="nil"/>
              <w:tr2bl w:val="nil"/>
            </w:tcBorders>
            <w:tcMar>
              <w:left w:w="11" w:type="dxa"/>
              <w:right w:w="11" w:type="dxa"/>
            </w:tcMar>
            <w:vAlign w:val="center"/>
          </w:tcPr>
          <w:p w14:paraId="6400B14A">
            <w:pPr>
              <w:pStyle w:val="714"/>
              <w:rPr>
                <w:color w:val="auto"/>
              </w:rPr>
            </w:pPr>
          </w:p>
        </w:tc>
        <w:tc>
          <w:tcPr>
            <w:tcW w:w="2093" w:type="pct"/>
            <w:tcBorders>
              <w:tl2br w:val="nil"/>
              <w:tr2bl w:val="nil"/>
            </w:tcBorders>
            <w:tcMar>
              <w:left w:w="11" w:type="dxa"/>
              <w:right w:w="11" w:type="dxa"/>
            </w:tcMar>
            <w:vAlign w:val="center"/>
          </w:tcPr>
          <w:p w14:paraId="1B477F1E">
            <w:pPr>
              <w:pStyle w:val="714"/>
              <w:rPr>
                <w:color w:val="auto"/>
              </w:rPr>
            </w:pPr>
            <w:r>
              <w:rPr>
                <w:rFonts w:hint="eastAsia"/>
                <w:color w:val="auto"/>
              </w:rPr>
              <w:t>调节池</w:t>
            </w:r>
            <w:r>
              <w:rPr>
                <w:color w:val="auto"/>
              </w:rPr>
              <w:t>（21.10m×14.00m×8.05m）</w:t>
            </w:r>
          </w:p>
        </w:tc>
        <w:tc>
          <w:tcPr>
            <w:tcW w:w="498" w:type="pct"/>
            <w:tcBorders>
              <w:tl2br w:val="nil"/>
              <w:tr2bl w:val="nil"/>
            </w:tcBorders>
            <w:tcMar>
              <w:left w:w="11" w:type="dxa"/>
              <w:right w:w="11" w:type="dxa"/>
            </w:tcMar>
            <w:vAlign w:val="center"/>
          </w:tcPr>
          <w:p w14:paraId="20E45B85">
            <w:pPr>
              <w:pStyle w:val="714"/>
              <w:rPr>
                <w:color w:val="auto"/>
              </w:rPr>
            </w:pPr>
            <w:r>
              <w:rPr>
                <w:rFonts w:hint="eastAsia"/>
                <w:color w:val="auto"/>
              </w:rPr>
              <w:t>1</w:t>
            </w:r>
          </w:p>
        </w:tc>
        <w:tc>
          <w:tcPr>
            <w:tcW w:w="418" w:type="pct"/>
            <w:tcBorders>
              <w:tl2br w:val="nil"/>
              <w:tr2bl w:val="nil"/>
            </w:tcBorders>
            <w:tcMar>
              <w:left w:w="11" w:type="dxa"/>
              <w:right w:w="11" w:type="dxa"/>
            </w:tcMar>
            <w:vAlign w:val="center"/>
          </w:tcPr>
          <w:p w14:paraId="7397CAF0">
            <w:pPr>
              <w:pStyle w:val="714"/>
              <w:rPr>
                <w:color w:val="auto"/>
              </w:rPr>
            </w:pPr>
            <w:r>
              <w:rPr>
                <w:rFonts w:hint="eastAsia"/>
                <w:color w:val="auto"/>
              </w:rPr>
              <w:t>钢筋砼</w:t>
            </w:r>
          </w:p>
        </w:tc>
        <w:tc>
          <w:tcPr>
            <w:tcW w:w="1069" w:type="pct"/>
            <w:vMerge w:val="continue"/>
            <w:tcBorders>
              <w:tl2br w:val="nil"/>
              <w:tr2bl w:val="nil"/>
            </w:tcBorders>
            <w:tcMar>
              <w:left w:w="11" w:type="dxa"/>
              <w:right w:w="11" w:type="dxa"/>
            </w:tcMar>
            <w:vAlign w:val="center"/>
          </w:tcPr>
          <w:p w14:paraId="21516049">
            <w:pPr>
              <w:pStyle w:val="714"/>
              <w:rPr>
                <w:color w:val="auto"/>
              </w:rPr>
            </w:pPr>
          </w:p>
        </w:tc>
      </w:tr>
      <w:tr w14:paraId="6190BC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5" w:type="pct"/>
            <w:vMerge w:val="continue"/>
            <w:tcBorders>
              <w:tl2br w:val="nil"/>
              <w:tr2bl w:val="nil"/>
            </w:tcBorders>
            <w:tcMar>
              <w:left w:w="11" w:type="dxa"/>
              <w:right w:w="11" w:type="dxa"/>
            </w:tcMar>
            <w:vAlign w:val="center"/>
          </w:tcPr>
          <w:p w14:paraId="549F7E33">
            <w:pPr>
              <w:pStyle w:val="714"/>
              <w:rPr>
                <w:color w:val="auto"/>
              </w:rPr>
            </w:pPr>
          </w:p>
        </w:tc>
        <w:tc>
          <w:tcPr>
            <w:tcW w:w="585" w:type="pct"/>
            <w:vMerge w:val="continue"/>
            <w:tcBorders>
              <w:tl2br w:val="nil"/>
              <w:tr2bl w:val="nil"/>
            </w:tcBorders>
            <w:tcMar>
              <w:left w:w="11" w:type="dxa"/>
              <w:right w:w="11" w:type="dxa"/>
            </w:tcMar>
            <w:vAlign w:val="center"/>
          </w:tcPr>
          <w:p w14:paraId="05B9571A">
            <w:pPr>
              <w:pStyle w:val="714"/>
              <w:rPr>
                <w:color w:val="auto"/>
              </w:rPr>
            </w:pPr>
          </w:p>
        </w:tc>
        <w:tc>
          <w:tcPr>
            <w:tcW w:w="2093" w:type="pct"/>
            <w:tcBorders>
              <w:tl2br w:val="nil"/>
              <w:tr2bl w:val="nil"/>
            </w:tcBorders>
            <w:tcMar>
              <w:left w:w="11" w:type="dxa"/>
              <w:right w:w="11" w:type="dxa"/>
            </w:tcMar>
            <w:vAlign w:val="center"/>
          </w:tcPr>
          <w:p w14:paraId="24AA0959">
            <w:pPr>
              <w:pStyle w:val="714"/>
              <w:rPr>
                <w:color w:val="auto"/>
              </w:rPr>
            </w:pPr>
            <w:r>
              <w:rPr>
                <w:rFonts w:hint="eastAsia"/>
                <w:color w:val="auto"/>
              </w:rPr>
              <w:t>应急事故池</w:t>
            </w:r>
            <w:r>
              <w:rPr>
                <w:color w:val="auto"/>
              </w:rPr>
              <w:t>（29.60m×14.9m×8.05m）</w:t>
            </w:r>
          </w:p>
        </w:tc>
        <w:tc>
          <w:tcPr>
            <w:tcW w:w="498" w:type="pct"/>
            <w:tcBorders>
              <w:tl2br w:val="nil"/>
              <w:tr2bl w:val="nil"/>
            </w:tcBorders>
            <w:tcMar>
              <w:left w:w="11" w:type="dxa"/>
              <w:right w:w="11" w:type="dxa"/>
            </w:tcMar>
            <w:vAlign w:val="center"/>
          </w:tcPr>
          <w:p w14:paraId="2A355421">
            <w:pPr>
              <w:pStyle w:val="714"/>
              <w:rPr>
                <w:color w:val="auto"/>
              </w:rPr>
            </w:pPr>
            <w:r>
              <w:rPr>
                <w:rFonts w:hint="eastAsia"/>
                <w:color w:val="auto"/>
              </w:rPr>
              <w:t>1</w:t>
            </w:r>
          </w:p>
        </w:tc>
        <w:tc>
          <w:tcPr>
            <w:tcW w:w="418" w:type="pct"/>
            <w:tcBorders>
              <w:tl2br w:val="nil"/>
              <w:tr2bl w:val="nil"/>
            </w:tcBorders>
            <w:tcMar>
              <w:left w:w="11" w:type="dxa"/>
              <w:right w:w="11" w:type="dxa"/>
            </w:tcMar>
            <w:vAlign w:val="center"/>
          </w:tcPr>
          <w:p w14:paraId="5AE943B0">
            <w:pPr>
              <w:pStyle w:val="714"/>
              <w:rPr>
                <w:color w:val="auto"/>
              </w:rPr>
            </w:pPr>
            <w:r>
              <w:rPr>
                <w:rFonts w:hint="eastAsia"/>
                <w:color w:val="auto"/>
              </w:rPr>
              <w:t>钢筋砼</w:t>
            </w:r>
          </w:p>
        </w:tc>
        <w:tc>
          <w:tcPr>
            <w:tcW w:w="1069" w:type="pct"/>
            <w:vMerge w:val="continue"/>
            <w:tcBorders>
              <w:tl2br w:val="nil"/>
              <w:tr2bl w:val="nil"/>
            </w:tcBorders>
            <w:tcMar>
              <w:left w:w="11" w:type="dxa"/>
              <w:right w:w="11" w:type="dxa"/>
            </w:tcMar>
            <w:vAlign w:val="center"/>
          </w:tcPr>
          <w:p w14:paraId="41D69EA3">
            <w:pPr>
              <w:pStyle w:val="714"/>
              <w:rPr>
                <w:color w:val="auto"/>
              </w:rPr>
            </w:pPr>
          </w:p>
        </w:tc>
      </w:tr>
      <w:tr w14:paraId="407CF1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5" w:type="pct"/>
            <w:vMerge w:val="continue"/>
            <w:tcBorders>
              <w:tl2br w:val="nil"/>
              <w:tr2bl w:val="nil"/>
            </w:tcBorders>
            <w:tcMar>
              <w:left w:w="11" w:type="dxa"/>
              <w:right w:w="11" w:type="dxa"/>
            </w:tcMar>
            <w:vAlign w:val="center"/>
          </w:tcPr>
          <w:p w14:paraId="088AA9E5">
            <w:pPr>
              <w:pStyle w:val="714"/>
              <w:rPr>
                <w:color w:val="auto"/>
              </w:rPr>
            </w:pPr>
          </w:p>
        </w:tc>
        <w:tc>
          <w:tcPr>
            <w:tcW w:w="585" w:type="pct"/>
            <w:vMerge w:val="continue"/>
            <w:tcBorders>
              <w:tl2br w:val="nil"/>
              <w:tr2bl w:val="nil"/>
            </w:tcBorders>
            <w:tcMar>
              <w:left w:w="11" w:type="dxa"/>
              <w:right w:w="11" w:type="dxa"/>
            </w:tcMar>
            <w:vAlign w:val="center"/>
          </w:tcPr>
          <w:p w14:paraId="4AA47D00">
            <w:pPr>
              <w:pStyle w:val="714"/>
              <w:rPr>
                <w:color w:val="auto"/>
              </w:rPr>
            </w:pPr>
          </w:p>
        </w:tc>
        <w:tc>
          <w:tcPr>
            <w:tcW w:w="2093" w:type="pct"/>
            <w:tcBorders>
              <w:tl2br w:val="nil"/>
              <w:tr2bl w:val="nil"/>
            </w:tcBorders>
            <w:tcMar>
              <w:left w:w="11" w:type="dxa"/>
              <w:right w:w="11" w:type="dxa"/>
            </w:tcMar>
            <w:vAlign w:val="center"/>
          </w:tcPr>
          <w:p w14:paraId="237A7AEE">
            <w:pPr>
              <w:pStyle w:val="714"/>
              <w:rPr>
                <w:color w:val="auto"/>
              </w:rPr>
            </w:pPr>
            <w:r>
              <w:rPr>
                <w:rFonts w:hint="eastAsia"/>
                <w:color w:val="auto"/>
              </w:rPr>
              <w:t>水解酸化池</w:t>
            </w:r>
            <w:r>
              <w:rPr>
                <w:color w:val="auto"/>
              </w:rPr>
              <w:t>（33.20m×8.4m×6.6m）</w:t>
            </w:r>
          </w:p>
        </w:tc>
        <w:tc>
          <w:tcPr>
            <w:tcW w:w="498" w:type="pct"/>
            <w:tcBorders>
              <w:tl2br w:val="nil"/>
              <w:tr2bl w:val="nil"/>
            </w:tcBorders>
            <w:tcMar>
              <w:left w:w="11" w:type="dxa"/>
              <w:right w:w="11" w:type="dxa"/>
            </w:tcMar>
            <w:vAlign w:val="center"/>
          </w:tcPr>
          <w:p w14:paraId="2CCAB841">
            <w:pPr>
              <w:pStyle w:val="714"/>
              <w:rPr>
                <w:color w:val="auto"/>
              </w:rPr>
            </w:pPr>
            <w:r>
              <w:rPr>
                <w:color w:val="auto"/>
              </w:rPr>
              <w:t>1</w:t>
            </w:r>
          </w:p>
        </w:tc>
        <w:tc>
          <w:tcPr>
            <w:tcW w:w="418" w:type="pct"/>
            <w:tcBorders>
              <w:tl2br w:val="nil"/>
              <w:tr2bl w:val="nil"/>
            </w:tcBorders>
            <w:tcMar>
              <w:left w:w="11" w:type="dxa"/>
              <w:right w:w="11" w:type="dxa"/>
            </w:tcMar>
            <w:vAlign w:val="center"/>
          </w:tcPr>
          <w:p w14:paraId="780B6D80">
            <w:pPr>
              <w:pStyle w:val="714"/>
              <w:rPr>
                <w:color w:val="auto"/>
              </w:rPr>
            </w:pPr>
            <w:r>
              <w:rPr>
                <w:rFonts w:hint="eastAsia"/>
                <w:color w:val="auto"/>
              </w:rPr>
              <w:t>钢筋砼</w:t>
            </w:r>
          </w:p>
        </w:tc>
        <w:tc>
          <w:tcPr>
            <w:tcW w:w="1069" w:type="pct"/>
            <w:vMerge w:val="continue"/>
            <w:tcBorders>
              <w:tl2br w:val="nil"/>
              <w:tr2bl w:val="nil"/>
            </w:tcBorders>
            <w:tcMar>
              <w:left w:w="11" w:type="dxa"/>
              <w:right w:w="11" w:type="dxa"/>
            </w:tcMar>
            <w:vAlign w:val="center"/>
          </w:tcPr>
          <w:p w14:paraId="6974CA2C">
            <w:pPr>
              <w:pStyle w:val="714"/>
              <w:rPr>
                <w:color w:val="auto"/>
              </w:rPr>
            </w:pPr>
          </w:p>
        </w:tc>
      </w:tr>
      <w:tr w14:paraId="2689DB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5" w:type="pct"/>
            <w:vMerge w:val="continue"/>
            <w:tcBorders>
              <w:tl2br w:val="nil"/>
              <w:tr2bl w:val="nil"/>
            </w:tcBorders>
            <w:tcMar>
              <w:left w:w="11" w:type="dxa"/>
              <w:right w:w="11" w:type="dxa"/>
            </w:tcMar>
            <w:vAlign w:val="center"/>
          </w:tcPr>
          <w:p w14:paraId="1454E399">
            <w:pPr>
              <w:pStyle w:val="714"/>
              <w:rPr>
                <w:color w:val="auto"/>
              </w:rPr>
            </w:pPr>
          </w:p>
        </w:tc>
        <w:tc>
          <w:tcPr>
            <w:tcW w:w="585" w:type="pct"/>
            <w:vMerge w:val="restart"/>
            <w:tcBorders>
              <w:tl2br w:val="nil"/>
              <w:tr2bl w:val="nil"/>
            </w:tcBorders>
            <w:tcMar>
              <w:left w:w="11" w:type="dxa"/>
              <w:right w:w="11" w:type="dxa"/>
            </w:tcMar>
            <w:vAlign w:val="center"/>
          </w:tcPr>
          <w:p w14:paraId="17AC18CF">
            <w:pPr>
              <w:pStyle w:val="714"/>
              <w:rPr>
                <w:color w:val="auto"/>
              </w:rPr>
            </w:pPr>
            <w:r>
              <w:rPr>
                <w:rFonts w:hint="eastAsia"/>
                <w:color w:val="auto"/>
              </w:rPr>
              <w:t>二级处理单元</w:t>
            </w:r>
          </w:p>
        </w:tc>
        <w:tc>
          <w:tcPr>
            <w:tcW w:w="2093" w:type="pct"/>
            <w:tcBorders>
              <w:tl2br w:val="nil"/>
              <w:tr2bl w:val="nil"/>
            </w:tcBorders>
            <w:tcMar>
              <w:left w:w="11" w:type="dxa"/>
              <w:right w:w="11" w:type="dxa"/>
            </w:tcMar>
            <w:vAlign w:val="center"/>
          </w:tcPr>
          <w:p w14:paraId="1B73E859">
            <w:pPr>
              <w:pStyle w:val="714"/>
              <w:rPr>
                <w:color w:val="auto"/>
              </w:rPr>
            </w:pPr>
            <w:r>
              <w:rPr>
                <w:rFonts w:hint="eastAsia"/>
                <w:color w:val="auto"/>
              </w:rPr>
              <w:t>微氧低循环生化池</w:t>
            </w:r>
          </w:p>
          <w:p w14:paraId="404087D4">
            <w:pPr>
              <w:pStyle w:val="714"/>
              <w:rPr>
                <w:color w:val="auto"/>
              </w:rPr>
            </w:pPr>
            <w:r>
              <w:rPr>
                <w:color w:val="auto"/>
              </w:rPr>
              <w:t>（</w:t>
            </w:r>
            <w:r>
              <w:rPr>
                <w:rFonts w:hint="eastAsia"/>
                <w:color w:val="auto"/>
              </w:rPr>
              <w:t>2个总尺寸</w:t>
            </w:r>
            <w:r>
              <w:rPr>
                <w:color w:val="auto"/>
              </w:rPr>
              <w:t>32.70m×20.8m×6.3m）</w:t>
            </w:r>
          </w:p>
        </w:tc>
        <w:tc>
          <w:tcPr>
            <w:tcW w:w="498" w:type="pct"/>
            <w:tcBorders>
              <w:tl2br w:val="nil"/>
              <w:tr2bl w:val="nil"/>
            </w:tcBorders>
            <w:tcMar>
              <w:left w:w="11" w:type="dxa"/>
              <w:right w:w="11" w:type="dxa"/>
            </w:tcMar>
            <w:vAlign w:val="center"/>
          </w:tcPr>
          <w:p w14:paraId="06A7A690">
            <w:pPr>
              <w:pStyle w:val="714"/>
              <w:rPr>
                <w:color w:val="auto"/>
              </w:rPr>
            </w:pPr>
            <w:r>
              <w:rPr>
                <w:rFonts w:hint="eastAsia"/>
                <w:color w:val="auto"/>
              </w:rPr>
              <w:t>2</w:t>
            </w:r>
          </w:p>
        </w:tc>
        <w:tc>
          <w:tcPr>
            <w:tcW w:w="418" w:type="pct"/>
            <w:tcBorders>
              <w:tl2br w:val="nil"/>
              <w:tr2bl w:val="nil"/>
            </w:tcBorders>
            <w:tcMar>
              <w:left w:w="11" w:type="dxa"/>
              <w:right w:w="11" w:type="dxa"/>
            </w:tcMar>
            <w:vAlign w:val="center"/>
          </w:tcPr>
          <w:p w14:paraId="68AD8DEB">
            <w:pPr>
              <w:pStyle w:val="714"/>
              <w:rPr>
                <w:color w:val="auto"/>
              </w:rPr>
            </w:pPr>
            <w:r>
              <w:rPr>
                <w:rFonts w:hint="eastAsia"/>
                <w:color w:val="auto"/>
              </w:rPr>
              <w:t>钢筋砼</w:t>
            </w:r>
          </w:p>
        </w:tc>
        <w:tc>
          <w:tcPr>
            <w:tcW w:w="1069" w:type="pct"/>
            <w:vMerge w:val="continue"/>
            <w:tcBorders>
              <w:tl2br w:val="nil"/>
              <w:tr2bl w:val="nil"/>
            </w:tcBorders>
            <w:tcMar>
              <w:left w:w="11" w:type="dxa"/>
              <w:right w:w="11" w:type="dxa"/>
            </w:tcMar>
            <w:vAlign w:val="center"/>
          </w:tcPr>
          <w:p w14:paraId="652A65A2">
            <w:pPr>
              <w:pStyle w:val="714"/>
              <w:rPr>
                <w:color w:val="auto"/>
              </w:rPr>
            </w:pPr>
          </w:p>
        </w:tc>
      </w:tr>
      <w:tr w14:paraId="52EAB6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5" w:type="pct"/>
            <w:vMerge w:val="continue"/>
            <w:tcBorders>
              <w:tl2br w:val="nil"/>
              <w:tr2bl w:val="nil"/>
            </w:tcBorders>
            <w:tcMar>
              <w:left w:w="11" w:type="dxa"/>
              <w:right w:w="11" w:type="dxa"/>
            </w:tcMar>
            <w:vAlign w:val="center"/>
          </w:tcPr>
          <w:p w14:paraId="11C81342">
            <w:pPr>
              <w:pStyle w:val="714"/>
              <w:rPr>
                <w:color w:val="auto"/>
              </w:rPr>
            </w:pPr>
          </w:p>
        </w:tc>
        <w:tc>
          <w:tcPr>
            <w:tcW w:w="585" w:type="pct"/>
            <w:vMerge w:val="continue"/>
            <w:tcBorders>
              <w:tl2br w:val="nil"/>
              <w:tr2bl w:val="nil"/>
            </w:tcBorders>
            <w:tcMar>
              <w:left w:w="11" w:type="dxa"/>
              <w:right w:w="11" w:type="dxa"/>
            </w:tcMar>
            <w:vAlign w:val="center"/>
          </w:tcPr>
          <w:p w14:paraId="439788DE">
            <w:pPr>
              <w:pStyle w:val="714"/>
              <w:rPr>
                <w:color w:val="auto"/>
              </w:rPr>
            </w:pPr>
          </w:p>
        </w:tc>
        <w:tc>
          <w:tcPr>
            <w:tcW w:w="2093" w:type="pct"/>
            <w:tcBorders>
              <w:tl2br w:val="nil"/>
              <w:tr2bl w:val="nil"/>
            </w:tcBorders>
            <w:tcMar>
              <w:left w:w="11" w:type="dxa"/>
              <w:right w:w="11" w:type="dxa"/>
            </w:tcMar>
            <w:vAlign w:val="center"/>
          </w:tcPr>
          <w:p w14:paraId="57E29D3B">
            <w:pPr>
              <w:pStyle w:val="714"/>
              <w:rPr>
                <w:color w:val="auto"/>
              </w:rPr>
            </w:pPr>
            <w:r>
              <w:rPr>
                <w:rFonts w:hint="eastAsia"/>
                <w:color w:val="auto"/>
              </w:rPr>
              <w:t>反硝化深床滤池</w:t>
            </w:r>
          </w:p>
          <w:p w14:paraId="3CE9F8C1">
            <w:pPr>
              <w:pStyle w:val="714"/>
              <w:rPr>
                <w:color w:val="auto"/>
              </w:rPr>
            </w:pPr>
            <w:r>
              <w:rPr>
                <w:color w:val="auto"/>
              </w:rPr>
              <w:t>（</w:t>
            </w:r>
            <w:r>
              <w:rPr>
                <w:rFonts w:hint="eastAsia"/>
                <w:color w:val="auto"/>
              </w:rPr>
              <w:t>21.90m×14.60m×5.94m</w:t>
            </w:r>
            <w:r>
              <w:rPr>
                <w:color w:val="auto"/>
              </w:rPr>
              <w:t>）</w:t>
            </w:r>
          </w:p>
        </w:tc>
        <w:tc>
          <w:tcPr>
            <w:tcW w:w="498" w:type="pct"/>
            <w:tcBorders>
              <w:tl2br w:val="nil"/>
              <w:tr2bl w:val="nil"/>
            </w:tcBorders>
            <w:tcMar>
              <w:left w:w="11" w:type="dxa"/>
              <w:right w:w="11" w:type="dxa"/>
            </w:tcMar>
            <w:vAlign w:val="center"/>
          </w:tcPr>
          <w:p w14:paraId="76F8E00C">
            <w:pPr>
              <w:pStyle w:val="714"/>
              <w:rPr>
                <w:color w:val="auto"/>
              </w:rPr>
            </w:pPr>
            <w:r>
              <w:rPr>
                <w:rFonts w:hint="eastAsia"/>
                <w:color w:val="auto"/>
              </w:rPr>
              <w:t>1</w:t>
            </w:r>
          </w:p>
        </w:tc>
        <w:tc>
          <w:tcPr>
            <w:tcW w:w="418" w:type="pct"/>
            <w:tcBorders>
              <w:tl2br w:val="nil"/>
              <w:tr2bl w:val="nil"/>
            </w:tcBorders>
            <w:tcMar>
              <w:left w:w="11" w:type="dxa"/>
              <w:right w:w="11" w:type="dxa"/>
            </w:tcMar>
            <w:vAlign w:val="center"/>
          </w:tcPr>
          <w:p w14:paraId="44B827B1">
            <w:pPr>
              <w:pStyle w:val="714"/>
              <w:rPr>
                <w:color w:val="auto"/>
              </w:rPr>
            </w:pPr>
            <w:r>
              <w:rPr>
                <w:rFonts w:hint="eastAsia"/>
                <w:color w:val="auto"/>
              </w:rPr>
              <w:t>钢筋砼</w:t>
            </w:r>
          </w:p>
        </w:tc>
        <w:tc>
          <w:tcPr>
            <w:tcW w:w="1069" w:type="pct"/>
            <w:vMerge w:val="continue"/>
            <w:tcBorders>
              <w:tl2br w:val="nil"/>
              <w:tr2bl w:val="nil"/>
            </w:tcBorders>
            <w:tcMar>
              <w:left w:w="11" w:type="dxa"/>
              <w:right w:w="11" w:type="dxa"/>
            </w:tcMar>
            <w:vAlign w:val="center"/>
          </w:tcPr>
          <w:p w14:paraId="67D78A8A">
            <w:pPr>
              <w:pStyle w:val="714"/>
              <w:rPr>
                <w:color w:val="auto"/>
              </w:rPr>
            </w:pPr>
          </w:p>
        </w:tc>
      </w:tr>
      <w:tr w14:paraId="17A841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5" w:type="pct"/>
            <w:vMerge w:val="continue"/>
            <w:tcBorders>
              <w:tl2br w:val="nil"/>
              <w:tr2bl w:val="nil"/>
            </w:tcBorders>
            <w:tcMar>
              <w:left w:w="11" w:type="dxa"/>
              <w:right w:w="11" w:type="dxa"/>
            </w:tcMar>
            <w:vAlign w:val="center"/>
          </w:tcPr>
          <w:p w14:paraId="11731104">
            <w:pPr>
              <w:pStyle w:val="714"/>
              <w:rPr>
                <w:color w:val="auto"/>
              </w:rPr>
            </w:pPr>
          </w:p>
        </w:tc>
        <w:tc>
          <w:tcPr>
            <w:tcW w:w="585" w:type="pct"/>
            <w:tcBorders>
              <w:tl2br w:val="nil"/>
              <w:tr2bl w:val="nil"/>
            </w:tcBorders>
            <w:tcMar>
              <w:left w:w="11" w:type="dxa"/>
              <w:right w:w="11" w:type="dxa"/>
            </w:tcMar>
            <w:vAlign w:val="center"/>
          </w:tcPr>
          <w:p w14:paraId="066091AF">
            <w:pPr>
              <w:pStyle w:val="714"/>
              <w:rPr>
                <w:color w:val="auto"/>
              </w:rPr>
            </w:pPr>
            <w:r>
              <w:rPr>
                <w:rFonts w:hint="eastAsia"/>
                <w:color w:val="auto"/>
              </w:rPr>
              <w:t>深度处理单元</w:t>
            </w:r>
          </w:p>
        </w:tc>
        <w:tc>
          <w:tcPr>
            <w:tcW w:w="2093" w:type="pct"/>
            <w:tcBorders>
              <w:tl2br w:val="nil"/>
              <w:tr2bl w:val="nil"/>
            </w:tcBorders>
            <w:tcMar>
              <w:left w:w="11" w:type="dxa"/>
              <w:right w:w="11" w:type="dxa"/>
            </w:tcMar>
            <w:vAlign w:val="center"/>
          </w:tcPr>
          <w:p w14:paraId="5E056F2E">
            <w:pPr>
              <w:pStyle w:val="714"/>
              <w:rPr>
                <w:color w:val="auto"/>
              </w:rPr>
            </w:pPr>
            <w:r>
              <w:rPr>
                <w:rFonts w:hint="eastAsia"/>
                <w:color w:val="auto"/>
              </w:rPr>
              <w:t>高级氧化撬装设备</w:t>
            </w:r>
          </w:p>
          <w:p w14:paraId="3D5C1E15">
            <w:pPr>
              <w:pStyle w:val="714"/>
              <w:rPr>
                <w:color w:val="auto"/>
              </w:rPr>
            </w:pPr>
            <w:r>
              <w:rPr>
                <w:color w:val="auto"/>
              </w:rPr>
              <w:t>（</w:t>
            </w:r>
            <w:r>
              <w:rPr>
                <w:rFonts w:hint="eastAsia"/>
                <w:color w:val="auto"/>
              </w:rPr>
              <w:t>10.00m×4.00m</w:t>
            </w:r>
            <w:r>
              <w:rPr>
                <w:color w:val="auto"/>
              </w:rPr>
              <w:t>×</w:t>
            </w:r>
            <w:r>
              <w:rPr>
                <w:rFonts w:hint="eastAsia"/>
                <w:color w:val="auto"/>
              </w:rPr>
              <w:t>3.50</w:t>
            </w:r>
            <w:r>
              <w:rPr>
                <w:color w:val="auto"/>
              </w:rPr>
              <w:t>m）</w:t>
            </w:r>
          </w:p>
        </w:tc>
        <w:tc>
          <w:tcPr>
            <w:tcW w:w="498" w:type="pct"/>
            <w:tcBorders>
              <w:tl2br w:val="nil"/>
              <w:tr2bl w:val="nil"/>
            </w:tcBorders>
            <w:tcMar>
              <w:left w:w="11" w:type="dxa"/>
              <w:right w:w="11" w:type="dxa"/>
            </w:tcMar>
            <w:vAlign w:val="center"/>
          </w:tcPr>
          <w:p w14:paraId="11FADD87">
            <w:pPr>
              <w:pStyle w:val="714"/>
              <w:rPr>
                <w:color w:val="auto"/>
              </w:rPr>
            </w:pPr>
            <w:r>
              <w:rPr>
                <w:rFonts w:hint="eastAsia"/>
                <w:color w:val="auto"/>
              </w:rPr>
              <w:t>1</w:t>
            </w:r>
          </w:p>
        </w:tc>
        <w:tc>
          <w:tcPr>
            <w:tcW w:w="418" w:type="pct"/>
            <w:tcBorders>
              <w:tl2br w:val="nil"/>
              <w:tr2bl w:val="nil"/>
            </w:tcBorders>
            <w:tcMar>
              <w:left w:w="11" w:type="dxa"/>
              <w:right w:w="11" w:type="dxa"/>
            </w:tcMar>
            <w:vAlign w:val="center"/>
          </w:tcPr>
          <w:p w14:paraId="60114BF9">
            <w:pPr>
              <w:pStyle w:val="714"/>
              <w:rPr>
                <w:color w:val="auto"/>
              </w:rPr>
            </w:pPr>
            <w:r>
              <w:rPr>
                <w:rFonts w:hint="eastAsia"/>
                <w:color w:val="auto"/>
              </w:rPr>
              <w:t>撬装</w:t>
            </w:r>
            <w:r>
              <w:rPr>
                <w:color w:val="auto"/>
              </w:rPr>
              <w:t>设备</w:t>
            </w:r>
          </w:p>
        </w:tc>
        <w:tc>
          <w:tcPr>
            <w:tcW w:w="1069" w:type="pct"/>
            <w:vMerge w:val="continue"/>
            <w:tcBorders>
              <w:tl2br w:val="nil"/>
              <w:tr2bl w:val="nil"/>
            </w:tcBorders>
            <w:tcMar>
              <w:left w:w="11" w:type="dxa"/>
              <w:right w:w="11" w:type="dxa"/>
            </w:tcMar>
            <w:vAlign w:val="center"/>
          </w:tcPr>
          <w:p w14:paraId="129C77AF">
            <w:pPr>
              <w:pStyle w:val="714"/>
              <w:rPr>
                <w:color w:val="auto"/>
              </w:rPr>
            </w:pPr>
          </w:p>
        </w:tc>
      </w:tr>
      <w:tr w14:paraId="73203A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5" w:type="pct"/>
            <w:vMerge w:val="restart"/>
            <w:tcBorders>
              <w:tl2br w:val="nil"/>
              <w:tr2bl w:val="nil"/>
            </w:tcBorders>
            <w:tcMar>
              <w:left w:w="11" w:type="dxa"/>
              <w:right w:w="11" w:type="dxa"/>
            </w:tcMar>
            <w:vAlign w:val="center"/>
          </w:tcPr>
          <w:p w14:paraId="2CE3C08E">
            <w:pPr>
              <w:pStyle w:val="714"/>
              <w:rPr>
                <w:color w:val="auto"/>
              </w:rPr>
            </w:pPr>
            <w:r>
              <w:rPr>
                <w:rFonts w:hint="eastAsia"/>
                <w:color w:val="auto"/>
              </w:rPr>
              <w:t>配套</w:t>
            </w:r>
            <w:r>
              <w:rPr>
                <w:color w:val="auto"/>
              </w:rPr>
              <w:t>工程</w:t>
            </w:r>
          </w:p>
        </w:tc>
        <w:tc>
          <w:tcPr>
            <w:tcW w:w="585" w:type="pct"/>
            <w:vMerge w:val="restart"/>
            <w:tcBorders>
              <w:tl2br w:val="nil"/>
              <w:tr2bl w:val="nil"/>
            </w:tcBorders>
            <w:tcMar>
              <w:left w:w="11" w:type="dxa"/>
              <w:right w:w="11" w:type="dxa"/>
            </w:tcMar>
            <w:vAlign w:val="center"/>
          </w:tcPr>
          <w:p w14:paraId="385ED104">
            <w:pPr>
              <w:pStyle w:val="714"/>
              <w:rPr>
                <w:color w:val="auto"/>
              </w:rPr>
            </w:pPr>
            <w:r>
              <w:rPr>
                <w:rFonts w:hint="eastAsia"/>
                <w:color w:val="auto"/>
              </w:rPr>
              <w:t>污泥处理单元</w:t>
            </w:r>
          </w:p>
        </w:tc>
        <w:tc>
          <w:tcPr>
            <w:tcW w:w="2093" w:type="pct"/>
            <w:tcBorders>
              <w:tl2br w:val="nil"/>
              <w:tr2bl w:val="nil"/>
            </w:tcBorders>
            <w:tcMar>
              <w:left w:w="11" w:type="dxa"/>
              <w:right w:w="11" w:type="dxa"/>
            </w:tcMar>
            <w:vAlign w:val="center"/>
          </w:tcPr>
          <w:p w14:paraId="40FB3B74">
            <w:pPr>
              <w:pStyle w:val="714"/>
              <w:rPr>
                <w:color w:val="auto"/>
              </w:rPr>
            </w:pPr>
            <w:r>
              <w:rPr>
                <w:rFonts w:hint="eastAsia"/>
                <w:color w:val="auto"/>
              </w:rPr>
              <w:t>磁混凝沉淀池</w:t>
            </w:r>
          </w:p>
          <w:p w14:paraId="1FD76E67">
            <w:pPr>
              <w:pStyle w:val="714"/>
              <w:rPr>
                <w:color w:val="auto"/>
              </w:rPr>
            </w:pPr>
            <w:r>
              <w:rPr>
                <w:rFonts w:hint="eastAsia"/>
                <w:color w:val="auto"/>
              </w:rPr>
              <w:t>（19.20m×12.00m×11.1m）</w:t>
            </w:r>
          </w:p>
        </w:tc>
        <w:tc>
          <w:tcPr>
            <w:tcW w:w="498" w:type="pct"/>
            <w:tcBorders>
              <w:tl2br w:val="nil"/>
              <w:tr2bl w:val="nil"/>
            </w:tcBorders>
            <w:tcMar>
              <w:left w:w="11" w:type="dxa"/>
              <w:right w:w="11" w:type="dxa"/>
            </w:tcMar>
            <w:vAlign w:val="center"/>
          </w:tcPr>
          <w:p w14:paraId="26B32E53">
            <w:pPr>
              <w:pStyle w:val="714"/>
              <w:rPr>
                <w:color w:val="auto"/>
              </w:rPr>
            </w:pPr>
            <w:r>
              <w:rPr>
                <w:color w:val="auto"/>
              </w:rPr>
              <w:t>1</w:t>
            </w:r>
          </w:p>
        </w:tc>
        <w:tc>
          <w:tcPr>
            <w:tcW w:w="418" w:type="pct"/>
            <w:tcBorders>
              <w:tl2br w:val="nil"/>
              <w:tr2bl w:val="nil"/>
            </w:tcBorders>
            <w:tcMar>
              <w:left w:w="11" w:type="dxa"/>
              <w:right w:w="11" w:type="dxa"/>
            </w:tcMar>
            <w:vAlign w:val="center"/>
          </w:tcPr>
          <w:p w14:paraId="4304F5E0">
            <w:pPr>
              <w:pStyle w:val="714"/>
              <w:rPr>
                <w:color w:val="auto"/>
              </w:rPr>
            </w:pPr>
            <w:r>
              <w:rPr>
                <w:rFonts w:hint="eastAsia"/>
                <w:color w:val="auto"/>
              </w:rPr>
              <w:t>钢筋砼</w:t>
            </w:r>
          </w:p>
        </w:tc>
        <w:tc>
          <w:tcPr>
            <w:tcW w:w="1069" w:type="pct"/>
            <w:vMerge w:val="continue"/>
            <w:tcBorders>
              <w:tl2br w:val="nil"/>
              <w:tr2bl w:val="nil"/>
            </w:tcBorders>
            <w:tcMar>
              <w:left w:w="11" w:type="dxa"/>
              <w:right w:w="11" w:type="dxa"/>
            </w:tcMar>
            <w:vAlign w:val="center"/>
          </w:tcPr>
          <w:p w14:paraId="30597668">
            <w:pPr>
              <w:pStyle w:val="714"/>
              <w:rPr>
                <w:color w:val="auto"/>
              </w:rPr>
            </w:pPr>
          </w:p>
        </w:tc>
      </w:tr>
      <w:tr w14:paraId="788214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5" w:type="pct"/>
            <w:vMerge w:val="continue"/>
            <w:tcBorders>
              <w:tl2br w:val="nil"/>
              <w:tr2bl w:val="nil"/>
            </w:tcBorders>
            <w:tcMar>
              <w:left w:w="11" w:type="dxa"/>
              <w:right w:w="11" w:type="dxa"/>
            </w:tcMar>
            <w:vAlign w:val="center"/>
          </w:tcPr>
          <w:p w14:paraId="36606030">
            <w:pPr>
              <w:pStyle w:val="714"/>
              <w:rPr>
                <w:color w:val="auto"/>
              </w:rPr>
            </w:pPr>
          </w:p>
        </w:tc>
        <w:tc>
          <w:tcPr>
            <w:tcW w:w="585" w:type="pct"/>
            <w:vMerge w:val="continue"/>
            <w:tcBorders>
              <w:tl2br w:val="nil"/>
              <w:tr2bl w:val="nil"/>
            </w:tcBorders>
            <w:tcMar>
              <w:left w:w="11" w:type="dxa"/>
              <w:right w:w="11" w:type="dxa"/>
            </w:tcMar>
            <w:vAlign w:val="center"/>
          </w:tcPr>
          <w:p w14:paraId="2A56EC54">
            <w:pPr>
              <w:pStyle w:val="714"/>
              <w:rPr>
                <w:color w:val="auto"/>
              </w:rPr>
            </w:pPr>
          </w:p>
        </w:tc>
        <w:tc>
          <w:tcPr>
            <w:tcW w:w="2093" w:type="pct"/>
            <w:tcBorders>
              <w:tl2br w:val="nil"/>
              <w:tr2bl w:val="nil"/>
            </w:tcBorders>
            <w:tcMar>
              <w:left w:w="11" w:type="dxa"/>
              <w:right w:w="11" w:type="dxa"/>
            </w:tcMar>
            <w:vAlign w:val="center"/>
          </w:tcPr>
          <w:p w14:paraId="34997D17">
            <w:pPr>
              <w:pStyle w:val="714"/>
              <w:rPr>
                <w:color w:val="auto"/>
              </w:rPr>
            </w:pPr>
            <w:r>
              <w:rPr>
                <w:rFonts w:hint="eastAsia"/>
                <w:color w:val="auto"/>
              </w:rPr>
              <w:t>污泥池（8.30m×5.00m×5.0m）</w:t>
            </w:r>
          </w:p>
        </w:tc>
        <w:tc>
          <w:tcPr>
            <w:tcW w:w="498" w:type="pct"/>
            <w:tcBorders>
              <w:tl2br w:val="nil"/>
              <w:tr2bl w:val="nil"/>
            </w:tcBorders>
            <w:tcMar>
              <w:left w:w="11" w:type="dxa"/>
              <w:right w:w="11" w:type="dxa"/>
            </w:tcMar>
            <w:vAlign w:val="center"/>
          </w:tcPr>
          <w:p w14:paraId="7F60AED2">
            <w:pPr>
              <w:pStyle w:val="714"/>
              <w:rPr>
                <w:color w:val="auto"/>
              </w:rPr>
            </w:pPr>
            <w:r>
              <w:rPr>
                <w:color w:val="auto"/>
              </w:rPr>
              <w:t>1</w:t>
            </w:r>
          </w:p>
        </w:tc>
        <w:tc>
          <w:tcPr>
            <w:tcW w:w="418" w:type="pct"/>
            <w:tcBorders>
              <w:tl2br w:val="nil"/>
              <w:tr2bl w:val="nil"/>
            </w:tcBorders>
            <w:tcMar>
              <w:left w:w="11" w:type="dxa"/>
              <w:right w:w="11" w:type="dxa"/>
            </w:tcMar>
            <w:vAlign w:val="center"/>
          </w:tcPr>
          <w:p w14:paraId="3B1FBBD4">
            <w:pPr>
              <w:pStyle w:val="714"/>
              <w:rPr>
                <w:color w:val="auto"/>
              </w:rPr>
            </w:pPr>
            <w:r>
              <w:rPr>
                <w:rFonts w:hint="eastAsia"/>
                <w:color w:val="auto"/>
              </w:rPr>
              <w:t>钢筋砼</w:t>
            </w:r>
          </w:p>
        </w:tc>
        <w:tc>
          <w:tcPr>
            <w:tcW w:w="1069" w:type="pct"/>
            <w:vMerge w:val="continue"/>
            <w:tcBorders>
              <w:tl2br w:val="nil"/>
              <w:tr2bl w:val="nil"/>
            </w:tcBorders>
            <w:tcMar>
              <w:left w:w="11" w:type="dxa"/>
              <w:right w:w="11" w:type="dxa"/>
            </w:tcMar>
            <w:vAlign w:val="center"/>
          </w:tcPr>
          <w:p w14:paraId="4B759280">
            <w:pPr>
              <w:pStyle w:val="714"/>
              <w:rPr>
                <w:color w:val="auto"/>
              </w:rPr>
            </w:pPr>
          </w:p>
        </w:tc>
      </w:tr>
      <w:tr w14:paraId="17B2AD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5" w:type="pct"/>
            <w:vMerge w:val="restart"/>
            <w:tcBorders>
              <w:tl2br w:val="nil"/>
              <w:tr2bl w:val="nil"/>
            </w:tcBorders>
            <w:tcMar>
              <w:left w:w="11" w:type="dxa"/>
              <w:right w:w="11" w:type="dxa"/>
            </w:tcMar>
            <w:vAlign w:val="center"/>
          </w:tcPr>
          <w:p w14:paraId="314E420C">
            <w:pPr>
              <w:pStyle w:val="714"/>
              <w:rPr>
                <w:color w:val="auto"/>
              </w:rPr>
            </w:pPr>
            <w:r>
              <w:rPr>
                <w:rFonts w:hint="eastAsia"/>
                <w:color w:val="auto"/>
              </w:rPr>
              <w:t>辅助工程</w:t>
            </w:r>
          </w:p>
        </w:tc>
        <w:tc>
          <w:tcPr>
            <w:tcW w:w="585" w:type="pct"/>
            <w:tcBorders>
              <w:tl2br w:val="nil"/>
              <w:tr2bl w:val="nil"/>
            </w:tcBorders>
            <w:tcMar>
              <w:left w:w="11" w:type="dxa"/>
              <w:right w:w="11" w:type="dxa"/>
            </w:tcMar>
            <w:vAlign w:val="center"/>
          </w:tcPr>
          <w:p w14:paraId="22488587">
            <w:pPr>
              <w:pStyle w:val="714"/>
              <w:rPr>
                <w:color w:val="auto"/>
              </w:rPr>
            </w:pPr>
            <w:r>
              <w:rPr>
                <w:rFonts w:hint="eastAsia"/>
                <w:color w:val="auto"/>
              </w:rPr>
              <w:t>机修间</w:t>
            </w:r>
          </w:p>
        </w:tc>
        <w:tc>
          <w:tcPr>
            <w:tcW w:w="2093" w:type="pct"/>
            <w:vMerge w:val="restart"/>
            <w:tcBorders>
              <w:tl2br w:val="nil"/>
              <w:tr2bl w:val="nil"/>
            </w:tcBorders>
            <w:tcMar>
              <w:left w:w="11" w:type="dxa"/>
              <w:right w:w="11" w:type="dxa"/>
            </w:tcMar>
            <w:vAlign w:val="center"/>
          </w:tcPr>
          <w:p w14:paraId="5337443D">
            <w:pPr>
              <w:pStyle w:val="714"/>
              <w:rPr>
                <w:color w:val="auto"/>
              </w:rPr>
            </w:pPr>
            <w:r>
              <w:rPr>
                <w:rFonts w:hint="eastAsia"/>
                <w:color w:val="auto"/>
              </w:rPr>
              <w:t>二者为合建建筑，为丙类单层厂房，总建筑面积：222.39平方米，建筑高度7.8m，为全厂设备进行维修提供场所及暂存全厂的危险废物。</w:t>
            </w:r>
          </w:p>
        </w:tc>
        <w:tc>
          <w:tcPr>
            <w:tcW w:w="498" w:type="pct"/>
            <w:tcBorders>
              <w:tl2br w:val="nil"/>
              <w:tr2bl w:val="nil"/>
            </w:tcBorders>
            <w:tcMar>
              <w:left w:w="11" w:type="dxa"/>
              <w:right w:w="11" w:type="dxa"/>
            </w:tcMar>
            <w:vAlign w:val="center"/>
          </w:tcPr>
          <w:p w14:paraId="0A41BAD8">
            <w:pPr>
              <w:pStyle w:val="714"/>
              <w:rPr>
                <w:color w:val="auto"/>
              </w:rPr>
            </w:pPr>
            <w:r>
              <w:rPr>
                <w:rFonts w:hint="eastAsia"/>
                <w:color w:val="auto"/>
              </w:rPr>
              <w:t>1</w:t>
            </w:r>
          </w:p>
        </w:tc>
        <w:tc>
          <w:tcPr>
            <w:tcW w:w="418" w:type="pct"/>
            <w:tcBorders>
              <w:tl2br w:val="nil"/>
              <w:tr2bl w:val="nil"/>
            </w:tcBorders>
            <w:tcMar>
              <w:left w:w="11" w:type="dxa"/>
              <w:right w:w="11" w:type="dxa"/>
            </w:tcMar>
            <w:vAlign w:val="center"/>
          </w:tcPr>
          <w:p w14:paraId="16A9AC6A">
            <w:pPr>
              <w:pStyle w:val="714"/>
              <w:rPr>
                <w:color w:val="auto"/>
              </w:rPr>
            </w:pPr>
            <w:r>
              <w:rPr>
                <w:rFonts w:hint="eastAsia"/>
                <w:color w:val="auto"/>
              </w:rPr>
              <w:t>钢筋砼</w:t>
            </w:r>
          </w:p>
        </w:tc>
        <w:tc>
          <w:tcPr>
            <w:tcW w:w="1069" w:type="pct"/>
            <w:tcBorders>
              <w:tl2br w:val="nil"/>
              <w:tr2bl w:val="nil"/>
            </w:tcBorders>
            <w:tcMar>
              <w:left w:w="11" w:type="dxa"/>
              <w:right w:w="11" w:type="dxa"/>
            </w:tcMar>
            <w:vAlign w:val="center"/>
          </w:tcPr>
          <w:p w14:paraId="06481DFA">
            <w:pPr>
              <w:pStyle w:val="714"/>
              <w:rPr>
                <w:color w:val="auto"/>
              </w:rPr>
            </w:pPr>
            <w:r>
              <w:rPr>
                <w:rFonts w:hint="eastAsia"/>
                <w:color w:val="auto"/>
              </w:rPr>
              <w:t>石油类</w:t>
            </w:r>
          </w:p>
        </w:tc>
      </w:tr>
      <w:tr w14:paraId="3282A3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5" w:type="pct"/>
            <w:vMerge w:val="continue"/>
            <w:tcBorders>
              <w:tl2br w:val="nil"/>
              <w:tr2bl w:val="nil"/>
            </w:tcBorders>
            <w:tcMar>
              <w:left w:w="11" w:type="dxa"/>
              <w:right w:w="11" w:type="dxa"/>
            </w:tcMar>
            <w:vAlign w:val="center"/>
          </w:tcPr>
          <w:p w14:paraId="3CB7E63D">
            <w:pPr>
              <w:pStyle w:val="714"/>
              <w:rPr>
                <w:color w:val="auto"/>
              </w:rPr>
            </w:pPr>
          </w:p>
        </w:tc>
        <w:tc>
          <w:tcPr>
            <w:tcW w:w="585" w:type="pct"/>
            <w:tcBorders>
              <w:tl2br w:val="nil"/>
              <w:tr2bl w:val="nil"/>
            </w:tcBorders>
            <w:tcMar>
              <w:left w:w="11" w:type="dxa"/>
              <w:right w:w="11" w:type="dxa"/>
            </w:tcMar>
            <w:vAlign w:val="center"/>
          </w:tcPr>
          <w:p w14:paraId="760895F6">
            <w:pPr>
              <w:pStyle w:val="714"/>
              <w:rPr>
                <w:color w:val="auto"/>
              </w:rPr>
            </w:pPr>
            <w:r>
              <w:rPr>
                <w:color w:val="auto"/>
              </w:rPr>
              <w:t>危险废物暂存间</w:t>
            </w:r>
          </w:p>
        </w:tc>
        <w:tc>
          <w:tcPr>
            <w:tcW w:w="2093" w:type="pct"/>
            <w:vMerge w:val="continue"/>
            <w:tcBorders>
              <w:tl2br w:val="nil"/>
              <w:tr2bl w:val="nil"/>
            </w:tcBorders>
            <w:tcMar>
              <w:left w:w="11" w:type="dxa"/>
              <w:right w:w="11" w:type="dxa"/>
            </w:tcMar>
            <w:vAlign w:val="center"/>
          </w:tcPr>
          <w:p w14:paraId="426DFC79">
            <w:pPr>
              <w:pStyle w:val="714"/>
              <w:rPr>
                <w:color w:val="auto"/>
              </w:rPr>
            </w:pPr>
          </w:p>
        </w:tc>
        <w:tc>
          <w:tcPr>
            <w:tcW w:w="498" w:type="pct"/>
            <w:tcBorders>
              <w:tl2br w:val="nil"/>
              <w:tr2bl w:val="nil"/>
            </w:tcBorders>
            <w:tcMar>
              <w:left w:w="11" w:type="dxa"/>
              <w:right w:w="11" w:type="dxa"/>
            </w:tcMar>
            <w:vAlign w:val="center"/>
          </w:tcPr>
          <w:p w14:paraId="107B7C69">
            <w:pPr>
              <w:pStyle w:val="714"/>
              <w:rPr>
                <w:color w:val="auto"/>
              </w:rPr>
            </w:pPr>
            <w:r>
              <w:rPr>
                <w:rFonts w:hint="eastAsia"/>
                <w:color w:val="auto"/>
              </w:rPr>
              <w:t>1</w:t>
            </w:r>
          </w:p>
        </w:tc>
        <w:tc>
          <w:tcPr>
            <w:tcW w:w="418" w:type="pct"/>
            <w:tcBorders>
              <w:tl2br w:val="nil"/>
              <w:tr2bl w:val="nil"/>
            </w:tcBorders>
            <w:tcMar>
              <w:left w:w="11" w:type="dxa"/>
              <w:right w:w="11" w:type="dxa"/>
            </w:tcMar>
            <w:vAlign w:val="center"/>
          </w:tcPr>
          <w:p w14:paraId="6C608270">
            <w:pPr>
              <w:pStyle w:val="714"/>
              <w:rPr>
                <w:color w:val="auto"/>
              </w:rPr>
            </w:pPr>
            <w:r>
              <w:rPr>
                <w:rFonts w:hint="eastAsia"/>
                <w:color w:val="auto"/>
              </w:rPr>
              <w:t>钢筋砼</w:t>
            </w:r>
          </w:p>
        </w:tc>
        <w:tc>
          <w:tcPr>
            <w:tcW w:w="1069" w:type="pct"/>
            <w:tcBorders>
              <w:tl2br w:val="nil"/>
              <w:tr2bl w:val="nil"/>
            </w:tcBorders>
            <w:tcMar>
              <w:left w:w="11" w:type="dxa"/>
              <w:right w:w="11" w:type="dxa"/>
            </w:tcMar>
            <w:vAlign w:val="center"/>
          </w:tcPr>
          <w:p w14:paraId="4D78E8AA">
            <w:pPr>
              <w:pStyle w:val="714"/>
              <w:rPr>
                <w:color w:val="auto"/>
              </w:rPr>
            </w:pPr>
            <w:r>
              <w:rPr>
                <w:color w:val="auto"/>
              </w:rPr>
              <w:t>pH、</w:t>
            </w:r>
            <w:r>
              <w:rPr>
                <w:rFonts w:hint="eastAsia"/>
                <w:color w:val="auto"/>
              </w:rPr>
              <w:t>COD</w:t>
            </w:r>
            <w:r>
              <w:rPr>
                <w:rFonts w:hint="eastAsia"/>
                <w:color w:val="auto"/>
                <w:vertAlign w:val="subscript"/>
              </w:rPr>
              <w:t>Cr</w:t>
            </w:r>
            <w:r>
              <w:rPr>
                <w:rFonts w:hint="eastAsia"/>
                <w:color w:val="auto"/>
              </w:rPr>
              <w:t>、氨氮、汞、六价铬、总磷、氯化物、硫酸盐、石油类、钼等</w:t>
            </w:r>
          </w:p>
        </w:tc>
      </w:tr>
      <w:tr w14:paraId="5AE775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5" w:type="pct"/>
            <w:vMerge w:val="continue"/>
            <w:tcBorders>
              <w:tl2br w:val="nil"/>
              <w:tr2bl w:val="nil"/>
            </w:tcBorders>
            <w:tcMar>
              <w:left w:w="11" w:type="dxa"/>
              <w:right w:w="11" w:type="dxa"/>
            </w:tcMar>
            <w:vAlign w:val="center"/>
          </w:tcPr>
          <w:p w14:paraId="58D44007">
            <w:pPr>
              <w:pStyle w:val="714"/>
              <w:rPr>
                <w:color w:val="auto"/>
              </w:rPr>
            </w:pPr>
          </w:p>
        </w:tc>
        <w:tc>
          <w:tcPr>
            <w:tcW w:w="585" w:type="pct"/>
            <w:tcBorders>
              <w:tl2br w:val="nil"/>
              <w:tr2bl w:val="nil"/>
            </w:tcBorders>
            <w:tcMar>
              <w:left w:w="11" w:type="dxa"/>
              <w:right w:w="11" w:type="dxa"/>
            </w:tcMar>
            <w:vAlign w:val="center"/>
          </w:tcPr>
          <w:p w14:paraId="61A92CF9">
            <w:pPr>
              <w:pStyle w:val="714"/>
              <w:rPr>
                <w:color w:val="auto"/>
              </w:rPr>
            </w:pPr>
            <w:r>
              <w:rPr>
                <w:rFonts w:hint="eastAsia"/>
                <w:color w:val="auto"/>
              </w:rPr>
              <w:t>事故池</w:t>
            </w:r>
          </w:p>
        </w:tc>
        <w:tc>
          <w:tcPr>
            <w:tcW w:w="2093" w:type="pct"/>
            <w:tcBorders>
              <w:tl2br w:val="nil"/>
              <w:tr2bl w:val="nil"/>
            </w:tcBorders>
            <w:tcMar>
              <w:left w:w="11" w:type="dxa"/>
              <w:right w:w="11" w:type="dxa"/>
            </w:tcMar>
            <w:vAlign w:val="center"/>
          </w:tcPr>
          <w:p w14:paraId="322F43E5">
            <w:pPr>
              <w:pStyle w:val="714"/>
              <w:rPr>
                <w:rFonts w:cs="Times New Roman"/>
                <w:color w:val="auto"/>
              </w:rPr>
            </w:pPr>
            <w:r>
              <w:rPr>
                <w:rFonts w:cs="Times New Roman"/>
                <w:color w:val="auto"/>
              </w:rPr>
              <w:t>总尺寸L×B×H=29.60m×14.9m×8.05m，有效水深6.8m；设计规模：6000</w:t>
            </w:r>
            <w:r>
              <w:rPr>
                <w:rFonts w:hint="eastAsia" w:cs="Times New Roman"/>
                <w:color w:val="auto"/>
                <w:lang w:eastAsia="zh-CN"/>
              </w:rPr>
              <w:t>m³</w:t>
            </w:r>
            <w:r>
              <w:rPr>
                <w:rFonts w:cs="Times New Roman"/>
                <w:color w:val="auto"/>
              </w:rPr>
              <w:t>/d，有效容积3000</w:t>
            </w:r>
            <w:r>
              <w:rPr>
                <w:rFonts w:hint="eastAsia" w:cs="Times New Roman"/>
                <w:color w:val="auto"/>
                <w:lang w:eastAsia="zh-CN"/>
              </w:rPr>
              <w:t>m³</w:t>
            </w:r>
            <w:r>
              <w:rPr>
                <w:rFonts w:cs="Times New Roman"/>
                <w:color w:val="auto"/>
              </w:rPr>
              <w:t>，</w:t>
            </w:r>
            <w:r>
              <w:rPr>
                <w:rFonts w:hint="eastAsia" w:cs="Times New Roman"/>
                <w:color w:val="auto"/>
                <w:lang w:eastAsia="zh-CN"/>
              </w:rPr>
              <w:t>污水处理厂</w:t>
            </w:r>
            <w:r>
              <w:rPr>
                <w:rFonts w:cs="Times New Roman"/>
                <w:color w:val="auto"/>
              </w:rPr>
              <w:t>出现事故时将暂不能处理的事故废水进行暂存</w:t>
            </w:r>
          </w:p>
        </w:tc>
        <w:tc>
          <w:tcPr>
            <w:tcW w:w="498" w:type="pct"/>
            <w:tcBorders>
              <w:tl2br w:val="nil"/>
              <w:tr2bl w:val="nil"/>
            </w:tcBorders>
            <w:tcMar>
              <w:left w:w="11" w:type="dxa"/>
              <w:right w:w="11" w:type="dxa"/>
            </w:tcMar>
            <w:vAlign w:val="center"/>
          </w:tcPr>
          <w:p w14:paraId="5A4C7032">
            <w:pPr>
              <w:pStyle w:val="714"/>
              <w:rPr>
                <w:color w:val="auto"/>
              </w:rPr>
            </w:pPr>
            <w:r>
              <w:rPr>
                <w:rFonts w:hint="eastAsia"/>
                <w:color w:val="auto"/>
              </w:rPr>
              <w:t>1</w:t>
            </w:r>
          </w:p>
        </w:tc>
        <w:tc>
          <w:tcPr>
            <w:tcW w:w="418" w:type="pct"/>
            <w:tcBorders>
              <w:tl2br w:val="nil"/>
              <w:tr2bl w:val="nil"/>
            </w:tcBorders>
            <w:tcMar>
              <w:left w:w="11" w:type="dxa"/>
              <w:right w:w="11" w:type="dxa"/>
            </w:tcMar>
            <w:vAlign w:val="center"/>
          </w:tcPr>
          <w:p w14:paraId="41791D5C">
            <w:pPr>
              <w:pStyle w:val="714"/>
              <w:rPr>
                <w:color w:val="auto"/>
              </w:rPr>
            </w:pPr>
            <w:r>
              <w:rPr>
                <w:rFonts w:hint="eastAsia"/>
                <w:color w:val="auto"/>
              </w:rPr>
              <w:t>钢筋砼</w:t>
            </w:r>
          </w:p>
        </w:tc>
        <w:tc>
          <w:tcPr>
            <w:tcW w:w="1069" w:type="pct"/>
            <w:vMerge w:val="restart"/>
            <w:tcBorders>
              <w:tl2br w:val="nil"/>
              <w:tr2bl w:val="nil"/>
            </w:tcBorders>
            <w:tcMar>
              <w:left w:w="11" w:type="dxa"/>
              <w:right w:w="11" w:type="dxa"/>
            </w:tcMar>
            <w:vAlign w:val="center"/>
          </w:tcPr>
          <w:p w14:paraId="5E681B2D">
            <w:pPr>
              <w:pStyle w:val="714"/>
              <w:rPr>
                <w:color w:val="auto"/>
              </w:rPr>
            </w:pPr>
            <w:r>
              <w:rPr>
                <w:color w:val="auto"/>
              </w:rPr>
              <w:t>pH、</w:t>
            </w:r>
            <w:r>
              <w:rPr>
                <w:rFonts w:hint="eastAsia"/>
                <w:color w:val="auto"/>
              </w:rPr>
              <w:t>COD</w:t>
            </w:r>
            <w:r>
              <w:rPr>
                <w:rFonts w:hint="eastAsia"/>
                <w:color w:val="auto"/>
                <w:vertAlign w:val="subscript"/>
              </w:rPr>
              <w:t>Cr</w:t>
            </w:r>
            <w:r>
              <w:rPr>
                <w:rFonts w:hint="eastAsia"/>
                <w:color w:val="auto"/>
              </w:rPr>
              <w:t>、氨氮、氯化物、硫酸盐、石油类、挥发酚</w:t>
            </w:r>
            <w:r>
              <w:rPr>
                <w:rFonts w:hint="eastAsia"/>
                <w:color w:val="auto"/>
                <w:lang w:eastAsia="zh-CN"/>
              </w:rPr>
              <w:t>、</w:t>
            </w:r>
            <w:r>
              <w:rPr>
                <w:rFonts w:hint="eastAsia"/>
                <w:color w:val="auto"/>
              </w:rPr>
              <w:t>甲醛等</w:t>
            </w:r>
          </w:p>
        </w:tc>
      </w:tr>
      <w:tr w14:paraId="007578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35" w:type="pct"/>
            <w:vMerge w:val="continue"/>
            <w:tcBorders>
              <w:tl2br w:val="nil"/>
              <w:tr2bl w:val="nil"/>
            </w:tcBorders>
            <w:tcMar>
              <w:left w:w="11" w:type="dxa"/>
              <w:right w:w="11" w:type="dxa"/>
            </w:tcMar>
            <w:vAlign w:val="center"/>
          </w:tcPr>
          <w:p w14:paraId="7C937568">
            <w:pPr>
              <w:pStyle w:val="714"/>
              <w:rPr>
                <w:color w:val="auto"/>
              </w:rPr>
            </w:pPr>
          </w:p>
        </w:tc>
        <w:tc>
          <w:tcPr>
            <w:tcW w:w="585" w:type="pct"/>
            <w:tcBorders>
              <w:tl2br w:val="nil"/>
              <w:tr2bl w:val="nil"/>
            </w:tcBorders>
            <w:tcMar>
              <w:left w:w="11" w:type="dxa"/>
              <w:right w:w="11" w:type="dxa"/>
            </w:tcMar>
            <w:vAlign w:val="center"/>
          </w:tcPr>
          <w:p w14:paraId="400C02AE">
            <w:pPr>
              <w:pStyle w:val="714"/>
              <w:rPr>
                <w:color w:val="auto"/>
              </w:rPr>
            </w:pPr>
            <w:r>
              <w:rPr>
                <w:rFonts w:hint="eastAsia"/>
                <w:color w:val="auto"/>
              </w:rPr>
              <w:t>园区事故应急池</w:t>
            </w:r>
          </w:p>
        </w:tc>
        <w:tc>
          <w:tcPr>
            <w:tcW w:w="2093" w:type="pct"/>
            <w:tcBorders>
              <w:tl2br w:val="nil"/>
              <w:tr2bl w:val="nil"/>
            </w:tcBorders>
            <w:tcMar>
              <w:left w:w="11" w:type="dxa"/>
              <w:right w:w="11" w:type="dxa"/>
            </w:tcMar>
            <w:vAlign w:val="center"/>
          </w:tcPr>
          <w:p w14:paraId="27CF9645">
            <w:pPr>
              <w:pStyle w:val="714"/>
              <w:rPr>
                <w:rFonts w:cs="Times New Roman"/>
                <w:color w:val="auto"/>
              </w:rPr>
            </w:pPr>
            <w:r>
              <w:rPr>
                <w:rFonts w:cs="Times New Roman"/>
                <w:color w:val="auto"/>
              </w:rPr>
              <w:t>地下水池，内分2格，总有效容积：6000</w:t>
            </w:r>
            <w:r>
              <w:rPr>
                <w:rFonts w:hint="eastAsia" w:cs="Times New Roman"/>
                <w:color w:val="auto"/>
                <w:lang w:eastAsia="zh-CN"/>
              </w:rPr>
              <w:t>m³</w:t>
            </w:r>
            <w:r>
              <w:rPr>
                <w:rFonts w:cs="Times New Roman"/>
                <w:color w:val="auto"/>
              </w:rPr>
              <w:t>，L×B×H=45.00m×21.00m×7.0m</w:t>
            </w:r>
          </w:p>
        </w:tc>
        <w:tc>
          <w:tcPr>
            <w:tcW w:w="498" w:type="pct"/>
            <w:tcBorders>
              <w:tl2br w:val="nil"/>
              <w:tr2bl w:val="nil"/>
            </w:tcBorders>
            <w:tcMar>
              <w:left w:w="11" w:type="dxa"/>
              <w:right w:w="11" w:type="dxa"/>
            </w:tcMar>
            <w:vAlign w:val="center"/>
          </w:tcPr>
          <w:p w14:paraId="61C48C5D">
            <w:pPr>
              <w:pStyle w:val="714"/>
              <w:rPr>
                <w:color w:val="auto"/>
              </w:rPr>
            </w:pPr>
            <w:r>
              <w:rPr>
                <w:rFonts w:hint="eastAsia"/>
                <w:color w:val="auto"/>
              </w:rPr>
              <w:t>1</w:t>
            </w:r>
          </w:p>
        </w:tc>
        <w:tc>
          <w:tcPr>
            <w:tcW w:w="418" w:type="pct"/>
            <w:tcBorders>
              <w:tl2br w:val="nil"/>
              <w:tr2bl w:val="nil"/>
            </w:tcBorders>
            <w:tcMar>
              <w:left w:w="11" w:type="dxa"/>
              <w:right w:w="11" w:type="dxa"/>
            </w:tcMar>
            <w:vAlign w:val="center"/>
          </w:tcPr>
          <w:p w14:paraId="4C49A792">
            <w:pPr>
              <w:pStyle w:val="714"/>
              <w:rPr>
                <w:color w:val="auto"/>
              </w:rPr>
            </w:pPr>
            <w:r>
              <w:rPr>
                <w:rFonts w:hint="eastAsia"/>
                <w:color w:val="auto"/>
              </w:rPr>
              <w:t>钢筋砼</w:t>
            </w:r>
          </w:p>
        </w:tc>
        <w:tc>
          <w:tcPr>
            <w:tcW w:w="1069" w:type="pct"/>
            <w:vMerge w:val="continue"/>
            <w:tcBorders>
              <w:tl2br w:val="nil"/>
              <w:tr2bl w:val="nil"/>
            </w:tcBorders>
            <w:tcMar>
              <w:left w:w="11" w:type="dxa"/>
              <w:right w:w="11" w:type="dxa"/>
            </w:tcMar>
            <w:vAlign w:val="center"/>
          </w:tcPr>
          <w:p w14:paraId="40AE796F">
            <w:pPr>
              <w:pStyle w:val="714"/>
              <w:rPr>
                <w:color w:val="auto"/>
              </w:rPr>
            </w:pPr>
          </w:p>
        </w:tc>
      </w:tr>
      <w:bookmarkEnd w:id="191"/>
      <w:bookmarkEnd w:id="192"/>
      <w:bookmarkEnd w:id="194"/>
      <w:bookmarkEnd w:id="195"/>
      <w:bookmarkEnd w:id="196"/>
    </w:tbl>
    <w:p w14:paraId="773D961D">
      <w:pPr>
        <w:bidi w:val="0"/>
        <w:rPr>
          <w:b/>
          <w:bCs/>
          <w:color w:val="auto"/>
        </w:rPr>
      </w:pPr>
      <w:bookmarkStart w:id="197" w:name="_Toc317876331"/>
      <w:bookmarkStart w:id="198" w:name="_Toc327221705"/>
      <w:bookmarkStart w:id="199" w:name="_Toc317876257"/>
      <w:bookmarkStart w:id="200" w:name="_Toc317974771"/>
      <w:bookmarkStart w:id="201" w:name="_Toc317876076"/>
      <w:bookmarkStart w:id="202" w:name="_Toc317876405"/>
      <w:bookmarkStart w:id="203" w:name="_Toc306211314"/>
      <w:r>
        <w:rPr>
          <w:rFonts w:hint="eastAsia"/>
          <w:b/>
          <w:bCs/>
          <w:color w:val="auto"/>
          <w:lang w:val="en-US" w:eastAsia="zh-CN"/>
        </w:rPr>
        <w:t>2、</w:t>
      </w:r>
      <w:r>
        <w:rPr>
          <w:b/>
          <w:bCs/>
          <w:color w:val="auto"/>
        </w:rPr>
        <w:t>评价工作等级及评价范围</w:t>
      </w:r>
    </w:p>
    <w:p w14:paraId="10B4C296">
      <w:pPr>
        <w:bidi w:val="0"/>
        <w:rPr>
          <w:b/>
          <w:bCs/>
          <w:color w:val="auto"/>
        </w:rPr>
      </w:pPr>
      <w:r>
        <w:rPr>
          <w:rFonts w:hint="eastAsia"/>
          <w:b/>
          <w:bCs/>
          <w:color w:val="auto"/>
          <w:lang w:val="en-US" w:eastAsia="zh-CN"/>
        </w:rPr>
        <w:t>（1）</w:t>
      </w:r>
      <w:r>
        <w:rPr>
          <w:b/>
          <w:bCs/>
          <w:color w:val="auto"/>
        </w:rPr>
        <w:t>工作等级</w:t>
      </w:r>
    </w:p>
    <w:bookmarkEnd w:id="197"/>
    <w:bookmarkEnd w:id="198"/>
    <w:bookmarkEnd w:id="199"/>
    <w:bookmarkEnd w:id="200"/>
    <w:bookmarkEnd w:id="201"/>
    <w:bookmarkEnd w:id="202"/>
    <w:bookmarkEnd w:id="203"/>
    <w:p w14:paraId="0199A520">
      <w:pPr>
        <w:ind w:firstLine="480"/>
        <w:rPr>
          <w:rFonts w:cs="Times New Roman"/>
          <w:color w:val="auto"/>
        </w:rPr>
      </w:pPr>
      <w:r>
        <w:rPr>
          <w:rFonts w:cs="Times New Roman"/>
          <w:color w:val="auto"/>
        </w:rPr>
        <w:t>建设项目地下水环境影响评价等级划分应根据建设项目行业分类和地下水环境敏感程度（</w:t>
      </w:r>
      <w:r>
        <w:rPr>
          <w:rFonts w:hint="eastAsia" w:cs="Times New Roman"/>
          <w:color w:val="auto"/>
          <w:lang w:val="en-US" w:eastAsia="zh-CN"/>
        </w:rPr>
        <w:t>详见下表</w:t>
      </w:r>
      <w:r>
        <w:rPr>
          <w:rFonts w:cs="Times New Roman"/>
          <w:color w:val="auto"/>
        </w:rPr>
        <w:t>）进行判定。</w:t>
      </w:r>
    </w:p>
    <w:p w14:paraId="7E606BAD">
      <w:pPr>
        <w:pStyle w:val="19"/>
        <w:keepNext w:val="0"/>
        <w:keepLines w:val="0"/>
        <w:pageBreakBefore w:val="0"/>
        <w:widowControl w:val="0"/>
        <w:numPr>
          <w:ilvl w:val="0"/>
          <w:numId w:val="31"/>
        </w:numPr>
        <w:kinsoku/>
        <w:wordWrap/>
        <w:overflowPunct/>
        <w:topLinePunct w:val="0"/>
        <w:autoSpaceDE/>
        <w:autoSpaceDN/>
        <w:bidi w:val="0"/>
        <w:adjustRightInd/>
        <w:snapToGrid/>
        <w:ind w:left="0" w:leftChars="0" w:firstLine="0" w:firstLineChars="0"/>
        <w:textAlignment w:val="auto"/>
        <w:rPr>
          <w:rFonts w:cs="Times New Roman"/>
          <w:color w:val="auto"/>
        </w:rPr>
      </w:pPr>
      <w:r>
        <w:rPr>
          <w:rFonts w:cs="Times New Roman"/>
          <w:color w:val="auto"/>
        </w:rPr>
        <w:t>本项目地下水环境敏感程度分级</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2"/>
        <w:gridCol w:w="5192"/>
        <w:gridCol w:w="2392"/>
      </w:tblGrid>
      <w:tr w14:paraId="7B6DF0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8" w:type="pct"/>
            <w:tcBorders>
              <w:tl2br w:val="nil"/>
              <w:tr2bl w:val="nil"/>
            </w:tcBorders>
            <w:tcMar>
              <w:left w:w="40" w:type="dxa"/>
              <w:right w:w="40" w:type="dxa"/>
            </w:tcMar>
            <w:vAlign w:val="center"/>
          </w:tcPr>
          <w:p w14:paraId="540FCEBF">
            <w:pPr>
              <w:pStyle w:val="714"/>
              <w:rPr>
                <w:rFonts w:eastAsia="宋体" w:cs="Times New Roman"/>
                <w:b/>
                <w:color w:val="auto"/>
                <w:szCs w:val="21"/>
              </w:rPr>
            </w:pPr>
            <w:r>
              <w:rPr>
                <w:rFonts w:eastAsia="宋体" w:cs="Times New Roman"/>
                <w:b/>
                <w:color w:val="auto"/>
                <w:szCs w:val="21"/>
              </w:rPr>
              <w:t>分级</w:t>
            </w:r>
          </w:p>
        </w:tc>
        <w:tc>
          <w:tcPr>
            <w:tcW w:w="3095" w:type="pct"/>
            <w:tcBorders>
              <w:tl2br w:val="nil"/>
              <w:tr2bl w:val="nil"/>
            </w:tcBorders>
            <w:tcMar>
              <w:left w:w="40" w:type="dxa"/>
              <w:right w:w="40" w:type="dxa"/>
            </w:tcMar>
            <w:vAlign w:val="center"/>
          </w:tcPr>
          <w:p w14:paraId="7D7B6733">
            <w:pPr>
              <w:pStyle w:val="714"/>
              <w:rPr>
                <w:rFonts w:eastAsia="宋体" w:cs="Times New Roman"/>
                <w:b/>
                <w:color w:val="auto"/>
                <w:szCs w:val="21"/>
              </w:rPr>
            </w:pPr>
            <w:r>
              <w:rPr>
                <w:rFonts w:eastAsia="宋体" w:cs="Times New Roman"/>
                <w:b/>
                <w:color w:val="auto"/>
                <w:szCs w:val="21"/>
              </w:rPr>
              <w:t>项目场地的地下水环境敏感特征</w:t>
            </w:r>
          </w:p>
        </w:tc>
        <w:tc>
          <w:tcPr>
            <w:tcW w:w="1426" w:type="pct"/>
            <w:tcBorders>
              <w:tl2br w:val="nil"/>
              <w:tr2bl w:val="nil"/>
            </w:tcBorders>
            <w:tcMar>
              <w:left w:w="40" w:type="dxa"/>
              <w:right w:w="40" w:type="dxa"/>
            </w:tcMar>
            <w:vAlign w:val="center"/>
          </w:tcPr>
          <w:p w14:paraId="02330C5D">
            <w:pPr>
              <w:pStyle w:val="714"/>
              <w:rPr>
                <w:rFonts w:eastAsia="宋体" w:cs="Times New Roman"/>
                <w:b/>
                <w:color w:val="auto"/>
                <w:szCs w:val="21"/>
              </w:rPr>
            </w:pPr>
            <w:r>
              <w:rPr>
                <w:rFonts w:eastAsia="宋体" w:cs="Times New Roman"/>
                <w:b/>
                <w:color w:val="auto"/>
                <w:szCs w:val="21"/>
              </w:rPr>
              <w:t>本</w:t>
            </w:r>
            <w:r>
              <w:rPr>
                <w:rFonts w:hint="eastAsia" w:eastAsia="宋体" w:cs="Times New Roman"/>
                <w:b/>
                <w:color w:val="auto"/>
                <w:szCs w:val="21"/>
              </w:rPr>
              <w:t>项目</w:t>
            </w:r>
          </w:p>
        </w:tc>
      </w:tr>
      <w:tr w14:paraId="2879A8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8" w:type="pct"/>
            <w:tcBorders>
              <w:tl2br w:val="nil"/>
              <w:tr2bl w:val="nil"/>
            </w:tcBorders>
            <w:tcMar>
              <w:left w:w="40" w:type="dxa"/>
              <w:right w:w="40" w:type="dxa"/>
            </w:tcMar>
            <w:vAlign w:val="center"/>
          </w:tcPr>
          <w:p w14:paraId="43AD589F">
            <w:pPr>
              <w:pStyle w:val="714"/>
              <w:rPr>
                <w:rFonts w:eastAsia="宋体" w:cs="Times New Roman"/>
                <w:color w:val="auto"/>
                <w:szCs w:val="21"/>
              </w:rPr>
            </w:pPr>
            <w:r>
              <w:rPr>
                <w:rFonts w:eastAsia="宋体" w:cs="Times New Roman"/>
                <w:color w:val="auto"/>
                <w:szCs w:val="21"/>
              </w:rPr>
              <w:t>敏感</w:t>
            </w:r>
          </w:p>
        </w:tc>
        <w:tc>
          <w:tcPr>
            <w:tcW w:w="3095" w:type="pct"/>
            <w:tcBorders>
              <w:tl2br w:val="nil"/>
              <w:tr2bl w:val="nil"/>
            </w:tcBorders>
            <w:tcMar>
              <w:left w:w="40" w:type="dxa"/>
              <w:right w:w="40" w:type="dxa"/>
            </w:tcMar>
            <w:vAlign w:val="center"/>
          </w:tcPr>
          <w:p w14:paraId="6C2DA00E">
            <w:pPr>
              <w:pStyle w:val="714"/>
              <w:jc w:val="left"/>
              <w:rPr>
                <w:rFonts w:eastAsia="宋体" w:cs="Times New Roman"/>
                <w:color w:val="auto"/>
                <w:szCs w:val="21"/>
              </w:rPr>
            </w:pPr>
            <w:r>
              <w:rPr>
                <w:rFonts w:eastAsia="宋体" w:cs="Times New Roman"/>
                <w:color w:val="auto"/>
                <w:szCs w:val="21"/>
              </w:rPr>
              <w:t>集中式饮用水源地（包括已建成的在用、备用、应急水源地，在建和规划的水源地）准保护区；除集中式饮用水源地以外的国家或地方政府设定的与地下水环境相关的其它保护区，如热水、矿泉水、温泉等特殊地下水资源保护区。</w:t>
            </w:r>
          </w:p>
        </w:tc>
        <w:tc>
          <w:tcPr>
            <w:tcW w:w="1426" w:type="pct"/>
            <w:vMerge w:val="restart"/>
            <w:tcBorders>
              <w:tl2br w:val="nil"/>
              <w:tr2bl w:val="nil"/>
            </w:tcBorders>
            <w:tcMar>
              <w:left w:w="40" w:type="dxa"/>
              <w:right w:w="40" w:type="dxa"/>
            </w:tcMar>
            <w:vAlign w:val="center"/>
          </w:tcPr>
          <w:p w14:paraId="2D622030">
            <w:pPr>
              <w:pStyle w:val="714"/>
              <w:rPr>
                <w:rFonts w:eastAsia="宋体" w:cs="Times New Roman"/>
                <w:color w:val="auto"/>
                <w:szCs w:val="21"/>
              </w:rPr>
            </w:pPr>
            <w:r>
              <w:rPr>
                <w:rFonts w:cs="Times New Roman"/>
                <w:color w:val="auto"/>
              </w:rPr>
              <w:t>本项目区域不涉及已有或规划的集中式饮用水水源准保护区以及与地下水环境相关的其它保护区，也不属于已有或规划的集中式饮用水水源补给径流区；</w:t>
            </w:r>
            <w:r>
              <w:rPr>
                <w:rFonts w:hint="eastAsia" w:cs="Times New Roman"/>
                <w:color w:val="auto"/>
              </w:rPr>
              <w:t>但</w:t>
            </w:r>
            <w:r>
              <w:rPr>
                <w:rFonts w:cs="Times New Roman"/>
                <w:color w:val="auto"/>
              </w:rPr>
              <w:t>区域涉及使用地下水作为生活用水水源的分散式饮用水</w:t>
            </w:r>
            <w:r>
              <w:rPr>
                <w:rFonts w:hint="eastAsia" w:cs="Times New Roman"/>
                <w:color w:val="auto"/>
              </w:rPr>
              <w:t>井</w:t>
            </w:r>
            <w:r>
              <w:rPr>
                <w:rFonts w:cs="Times New Roman"/>
                <w:color w:val="auto"/>
              </w:rPr>
              <w:t>。综上确定评价区地下水环境敏感程度为“</w:t>
            </w:r>
            <w:r>
              <w:rPr>
                <w:rFonts w:hint="eastAsia" w:cs="Times New Roman"/>
                <w:color w:val="auto"/>
              </w:rPr>
              <w:t>较</w:t>
            </w:r>
            <w:r>
              <w:rPr>
                <w:rFonts w:cs="Times New Roman"/>
                <w:color w:val="auto"/>
              </w:rPr>
              <w:t>敏感”。</w:t>
            </w:r>
          </w:p>
        </w:tc>
      </w:tr>
      <w:tr w14:paraId="7FD7C8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8" w:type="pct"/>
            <w:tcBorders>
              <w:tl2br w:val="nil"/>
              <w:tr2bl w:val="nil"/>
            </w:tcBorders>
            <w:tcMar>
              <w:left w:w="40" w:type="dxa"/>
              <w:right w:w="40" w:type="dxa"/>
            </w:tcMar>
            <w:vAlign w:val="center"/>
          </w:tcPr>
          <w:p w14:paraId="5E50989A">
            <w:pPr>
              <w:pStyle w:val="714"/>
              <w:rPr>
                <w:rFonts w:eastAsia="宋体" w:cs="Times New Roman"/>
                <w:b/>
                <w:bCs/>
                <w:color w:val="auto"/>
                <w:szCs w:val="21"/>
              </w:rPr>
            </w:pPr>
            <w:r>
              <w:rPr>
                <w:rFonts w:eastAsia="宋体" w:cs="Times New Roman"/>
                <w:b/>
                <w:bCs/>
                <w:color w:val="auto"/>
                <w:szCs w:val="21"/>
              </w:rPr>
              <w:t>较敏感（√）</w:t>
            </w:r>
          </w:p>
        </w:tc>
        <w:tc>
          <w:tcPr>
            <w:tcW w:w="3095" w:type="pct"/>
            <w:tcBorders>
              <w:tl2br w:val="nil"/>
              <w:tr2bl w:val="nil"/>
            </w:tcBorders>
            <w:tcMar>
              <w:left w:w="40" w:type="dxa"/>
              <w:right w:w="40" w:type="dxa"/>
            </w:tcMar>
            <w:vAlign w:val="center"/>
          </w:tcPr>
          <w:p w14:paraId="54FB361E">
            <w:pPr>
              <w:pStyle w:val="714"/>
              <w:jc w:val="left"/>
              <w:rPr>
                <w:rFonts w:eastAsia="宋体" w:cs="Times New Roman"/>
                <w:color w:val="auto"/>
                <w:szCs w:val="21"/>
              </w:rPr>
            </w:pPr>
            <w:r>
              <w:rPr>
                <w:rFonts w:eastAsia="宋体" w:cs="Times New Roman"/>
                <w:color w:val="auto"/>
                <w:szCs w:val="21"/>
              </w:rPr>
              <w:t>集中式饮用水源地（包括已建成的在用、备用、应急水源地，在建和规划的水源地）准保护区以外的补给径流区；特殊地下水资源（如矿泉水、温泉等）保护区以外的分布区以及分散居民饮用水源等其它未列入上述敏感分级的环境敏感区。</w:t>
            </w:r>
          </w:p>
        </w:tc>
        <w:tc>
          <w:tcPr>
            <w:tcW w:w="1426" w:type="pct"/>
            <w:vMerge w:val="continue"/>
            <w:tcBorders>
              <w:tl2br w:val="nil"/>
              <w:tr2bl w:val="nil"/>
            </w:tcBorders>
            <w:tcMar>
              <w:left w:w="40" w:type="dxa"/>
              <w:right w:w="40" w:type="dxa"/>
            </w:tcMar>
            <w:vAlign w:val="center"/>
          </w:tcPr>
          <w:p w14:paraId="44580580">
            <w:pPr>
              <w:pStyle w:val="714"/>
              <w:rPr>
                <w:rFonts w:eastAsia="宋体" w:cs="Times New Roman"/>
                <w:color w:val="auto"/>
                <w:szCs w:val="21"/>
              </w:rPr>
            </w:pPr>
          </w:p>
        </w:tc>
      </w:tr>
      <w:tr w14:paraId="2425AA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8" w:type="pct"/>
            <w:tcBorders>
              <w:tl2br w:val="nil"/>
              <w:tr2bl w:val="nil"/>
            </w:tcBorders>
            <w:tcMar>
              <w:left w:w="40" w:type="dxa"/>
              <w:right w:w="40" w:type="dxa"/>
            </w:tcMar>
            <w:vAlign w:val="center"/>
          </w:tcPr>
          <w:p w14:paraId="14414CBB">
            <w:pPr>
              <w:pStyle w:val="714"/>
              <w:rPr>
                <w:rFonts w:eastAsia="宋体" w:cs="Times New Roman"/>
                <w:bCs/>
                <w:color w:val="auto"/>
                <w:szCs w:val="21"/>
              </w:rPr>
            </w:pPr>
            <w:r>
              <w:rPr>
                <w:rFonts w:eastAsia="宋体" w:cs="Times New Roman"/>
                <w:bCs/>
                <w:color w:val="auto"/>
                <w:szCs w:val="21"/>
              </w:rPr>
              <w:t>不敏感</w:t>
            </w:r>
          </w:p>
        </w:tc>
        <w:tc>
          <w:tcPr>
            <w:tcW w:w="3095" w:type="pct"/>
            <w:tcBorders>
              <w:tl2br w:val="nil"/>
              <w:tr2bl w:val="nil"/>
            </w:tcBorders>
            <w:tcMar>
              <w:left w:w="40" w:type="dxa"/>
              <w:right w:w="40" w:type="dxa"/>
            </w:tcMar>
            <w:vAlign w:val="center"/>
          </w:tcPr>
          <w:p w14:paraId="28296D3D">
            <w:pPr>
              <w:pStyle w:val="714"/>
              <w:rPr>
                <w:rFonts w:eastAsia="宋体" w:cs="Times New Roman"/>
                <w:color w:val="auto"/>
                <w:szCs w:val="21"/>
              </w:rPr>
            </w:pPr>
            <w:r>
              <w:rPr>
                <w:rFonts w:eastAsia="宋体" w:cs="Times New Roman"/>
                <w:color w:val="auto"/>
                <w:szCs w:val="21"/>
              </w:rPr>
              <w:t>上述地区之外的其它地区。</w:t>
            </w:r>
          </w:p>
        </w:tc>
        <w:tc>
          <w:tcPr>
            <w:tcW w:w="1426" w:type="pct"/>
            <w:vMerge w:val="continue"/>
            <w:tcBorders>
              <w:tl2br w:val="nil"/>
              <w:tr2bl w:val="nil"/>
            </w:tcBorders>
            <w:tcMar>
              <w:left w:w="40" w:type="dxa"/>
              <w:right w:w="40" w:type="dxa"/>
            </w:tcMar>
            <w:vAlign w:val="center"/>
          </w:tcPr>
          <w:p w14:paraId="585085B1">
            <w:pPr>
              <w:pStyle w:val="714"/>
              <w:rPr>
                <w:rFonts w:eastAsia="宋体" w:cs="Times New Roman"/>
                <w:color w:val="auto"/>
                <w:szCs w:val="21"/>
              </w:rPr>
            </w:pPr>
          </w:p>
        </w:tc>
      </w:tr>
    </w:tbl>
    <w:p w14:paraId="1B584988">
      <w:pPr>
        <w:bidi w:val="0"/>
        <w:rPr>
          <w:color w:val="auto"/>
        </w:rPr>
      </w:pPr>
      <w:r>
        <w:rPr>
          <w:color w:val="auto"/>
        </w:rPr>
        <w:t>根据《环境影响评价技术导则</w:t>
      </w:r>
      <w:r>
        <w:rPr>
          <w:rFonts w:hint="eastAsia"/>
          <w:color w:val="auto"/>
          <w:lang w:val="en-US" w:eastAsia="zh-CN"/>
        </w:rPr>
        <w:t xml:space="preserve"> </w:t>
      </w:r>
      <w:r>
        <w:rPr>
          <w:color w:val="auto"/>
        </w:rPr>
        <w:t>地下水环境》（HJ610</w:t>
      </w:r>
      <w:r>
        <w:rPr>
          <w:rFonts w:hint="eastAsia"/>
          <w:color w:val="auto"/>
          <w:lang w:val="en-US" w:eastAsia="zh-CN"/>
        </w:rPr>
        <w:t>-</w:t>
      </w:r>
      <w:r>
        <w:rPr>
          <w:color w:val="auto"/>
        </w:rPr>
        <w:t>2016），本项目属于Ⅰ类建设项目，地下水环境敏感程度为</w:t>
      </w:r>
      <w:r>
        <w:rPr>
          <w:rFonts w:hint="eastAsia"/>
          <w:color w:val="auto"/>
        </w:rPr>
        <w:t>较</w:t>
      </w:r>
      <w:r>
        <w:rPr>
          <w:color w:val="auto"/>
        </w:rPr>
        <w:t>敏感，综合确定本项目地下水环境影响评价工作等级为</w:t>
      </w:r>
      <w:bookmarkStart w:id="204" w:name="_Hlk173789359"/>
      <w:r>
        <w:rPr>
          <w:rFonts w:hint="eastAsia"/>
          <w:color w:val="auto"/>
        </w:rPr>
        <w:t>“一”</w:t>
      </w:r>
      <w:r>
        <w:rPr>
          <w:color w:val="auto"/>
        </w:rPr>
        <w:t>级</w:t>
      </w:r>
      <w:bookmarkEnd w:id="204"/>
      <w:r>
        <w:rPr>
          <w:color w:val="auto"/>
        </w:rPr>
        <w:t>。（</w:t>
      </w:r>
      <w:r>
        <w:rPr>
          <w:rFonts w:hint="eastAsia"/>
          <w:color w:val="auto"/>
          <w:lang w:val="en-US" w:eastAsia="zh-CN"/>
        </w:rPr>
        <w:t>详见下表</w:t>
      </w:r>
      <w:r>
        <w:rPr>
          <w:color w:val="auto"/>
        </w:rPr>
        <w:t>）。</w:t>
      </w:r>
    </w:p>
    <w:p w14:paraId="0BBE3F77">
      <w:pPr>
        <w:pStyle w:val="19"/>
        <w:keepNext w:val="0"/>
        <w:keepLines w:val="0"/>
        <w:pageBreakBefore w:val="0"/>
        <w:widowControl w:val="0"/>
        <w:numPr>
          <w:ilvl w:val="0"/>
          <w:numId w:val="31"/>
        </w:numPr>
        <w:kinsoku/>
        <w:wordWrap/>
        <w:overflowPunct/>
        <w:topLinePunct w:val="0"/>
        <w:autoSpaceDE/>
        <w:autoSpaceDN/>
        <w:bidi w:val="0"/>
        <w:adjustRightInd/>
        <w:snapToGrid/>
        <w:ind w:left="0" w:leftChars="0" w:firstLine="0" w:firstLineChars="0"/>
        <w:textAlignment w:val="auto"/>
        <w:rPr>
          <w:rFonts w:cs="Times New Roman"/>
          <w:color w:val="auto"/>
        </w:rPr>
      </w:pPr>
      <w:r>
        <w:rPr>
          <w:rFonts w:cs="Times New Roman"/>
          <w:color w:val="auto"/>
        </w:rPr>
        <w:t>本项目地下水评价工作等级分级</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61"/>
        <w:gridCol w:w="1531"/>
        <w:gridCol w:w="4227"/>
      </w:tblGrid>
      <w:tr w14:paraId="57237C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 w:hRule="atLeast"/>
          <w:jc w:val="center"/>
        </w:trPr>
        <w:tc>
          <w:tcPr>
            <w:tcW w:w="1620" w:type="pct"/>
            <w:tcBorders>
              <w:tl2br w:val="single" w:color="auto" w:sz="4" w:space="0"/>
            </w:tcBorders>
            <w:vAlign w:val="center"/>
          </w:tcPr>
          <w:p w14:paraId="1C95609F">
            <w:pPr>
              <w:pStyle w:val="714"/>
              <w:jc w:val="right"/>
              <w:rPr>
                <w:rFonts w:cs="Times New Roman"/>
                <w:b/>
                <w:bCs/>
                <w:color w:val="auto"/>
              </w:rPr>
            </w:pPr>
            <w:bookmarkStart w:id="205" w:name="_Toc317876259"/>
            <w:bookmarkStart w:id="206" w:name="_Toc317876333"/>
            <w:bookmarkStart w:id="207" w:name="_Toc327221707"/>
            <w:bookmarkStart w:id="208" w:name="_Toc317876078"/>
            <w:bookmarkStart w:id="209" w:name="_Toc317876407"/>
            <w:bookmarkStart w:id="210" w:name="_Toc317974773"/>
            <w:bookmarkStart w:id="211" w:name="_Toc317876334"/>
            <w:bookmarkStart w:id="212" w:name="_Toc327221708"/>
            <w:bookmarkStart w:id="213" w:name="_Toc317876408"/>
            <w:bookmarkStart w:id="214" w:name="_Toc317876079"/>
            <w:bookmarkStart w:id="215" w:name="_Toc317974774"/>
            <w:bookmarkStart w:id="216" w:name="_Toc317876260"/>
            <w:bookmarkStart w:id="217" w:name="_Toc306211317"/>
            <w:r>
              <w:rPr>
                <w:rFonts w:cs="Times New Roman"/>
                <w:b/>
                <w:bCs/>
                <w:color w:val="auto"/>
              </w:rPr>
              <w:t>项目类别</w:t>
            </w:r>
          </w:p>
          <w:p w14:paraId="29A86F12">
            <w:pPr>
              <w:pStyle w:val="714"/>
              <w:jc w:val="left"/>
              <w:rPr>
                <w:rFonts w:cs="Times New Roman"/>
                <w:b/>
                <w:bCs/>
                <w:color w:val="auto"/>
              </w:rPr>
            </w:pPr>
            <w:r>
              <w:rPr>
                <w:rFonts w:cs="Times New Roman"/>
                <w:b/>
                <w:bCs/>
                <w:color w:val="auto"/>
              </w:rPr>
              <w:t>环境敏感程度</w:t>
            </w:r>
          </w:p>
        </w:tc>
        <w:tc>
          <w:tcPr>
            <w:tcW w:w="898" w:type="pct"/>
            <w:tcBorders>
              <w:tl2br w:val="nil"/>
              <w:tr2bl w:val="nil"/>
            </w:tcBorders>
            <w:vAlign w:val="center"/>
          </w:tcPr>
          <w:p w14:paraId="3DB9C351">
            <w:pPr>
              <w:pStyle w:val="714"/>
              <w:rPr>
                <w:rFonts w:cs="Times New Roman"/>
                <w:b/>
                <w:bCs/>
                <w:color w:val="auto"/>
              </w:rPr>
            </w:pPr>
            <w:r>
              <w:rPr>
                <w:rFonts w:cs="Times New Roman"/>
                <w:b/>
                <w:bCs/>
                <w:color w:val="auto"/>
              </w:rPr>
              <w:t>Ⅰ类建设项目评价等级</w:t>
            </w:r>
          </w:p>
        </w:tc>
        <w:tc>
          <w:tcPr>
            <w:tcW w:w="2480" w:type="pct"/>
            <w:tcBorders>
              <w:tl2br w:val="nil"/>
              <w:tr2bl w:val="nil"/>
            </w:tcBorders>
            <w:vAlign w:val="center"/>
          </w:tcPr>
          <w:p w14:paraId="430CA505">
            <w:pPr>
              <w:pStyle w:val="714"/>
              <w:rPr>
                <w:rFonts w:cs="Times New Roman"/>
                <w:b/>
                <w:bCs/>
                <w:color w:val="auto"/>
              </w:rPr>
            </w:pPr>
            <w:r>
              <w:rPr>
                <w:rFonts w:cs="Times New Roman"/>
                <w:b/>
                <w:bCs/>
                <w:color w:val="auto"/>
              </w:rPr>
              <w:t>本项目评价等级</w:t>
            </w:r>
          </w:p>
        </w:tc>
      </w:tr>
      <w:tr w14:paraId="51ABEB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 w:hRule="atLeast"/>
          <w:jc w:val="center"/>
        </w:trPr>
        <w:tc>
          <w:tcPr>
            <w:tcW w:w="1620" w:type="pct"/>
            <w:tcBorders>
              <w:tl2br w:val="nil"/>
              <w:tr2bl w:val="nil"/>
            </w:tcBorders>
            <w:vAlign w:val="center"/>
          </w:tcPr>
          <w:p w14:paraId="19EA3576">
            <w:pPr>
              <w:pStyle w:val="714"/>
              <w:rPr>
                <w:rFonts w:cs="Times New Roman"/>
                <w:color w:val="auto"/>
              </w:rPr>
            </w:pPr>
            <w:r>
              <w:rPr>
                <w:rFonts w:cs="Times New Roman"/>
                <w:color w:val="auto"/>
              </w:rPr>
              <w:t>敏感</w:t>
            </w:r>
          </w:p>
        </w:tc>
        <w:tc>
          <w:tcPr>
            <w:tcW w:w="898" w:type="pct"/>
            <w:tcBorders>
              <w:tl2br w:val="nil"/>
              <w:tr2bl w:val="nil"/>
            </w:tcBorders>
            <w:vAlign w:val="center"/>
          </w:tcPr>
          <w:p w14:paraId="4911BAB8">
            <w:pPr>
              <w:pStyle w:val="714"/>
              <w:rPr>
                <w:rFonts w:cs="Times New Roman"/>
                <w:color w:val="auto"/>
              </w:rPr>
            </w:pPr>
            <w:r>
              <w:rPr>
                <w:rFonts w:cs="Times New Roman"/>
                <w:color w:val="auto"/>
              </w:rPr>
              <w:t>一</w:t>
            </w:r>
          </w:p>
        </w:tc>
        <w:tc>
          <w:tcPr>
            <w:tcW w:w="2480" w:type="pct"/>
            <w:vMerge w:val="restart"/>
            <w:tcBorders>
              <w:tl2br w:val="nil"/>
              <w:tr2bl w:val="nil"/>
            </w:tcBorders>
            <w:vAlign w:val="center"/>
          </w:tcPr>
          <w:p w14:paraId="36BED2DB">
            <w:pPr>
              <w:pStyle w:val="714"/>
              <w:rPr>
                <w:rFonts w:cs="Times New Roman"/>
                <w:color w:val="auto"/>
              </w:rPr>
            </w:pPr>
            <w:r>
              <w:rPr>
                <w:rFonts w:cs="Times New Roman"/>
                <w:color w:val="auto"/>
              </w:rPr>
              <w:t>本项目属于Ⅰ类建设项目，地下水环境敏感程度为</w:t>
            </w:r>
            <w:r>
              <w:rPr>
                <w:rFonts w:hint="eastAsia" w:cs="Times New Roman"/>
                <w:color w:val="auto"/>
              </w:rPr>
              <w:t>较</w:t>
            </w:r>
            <w:r>
              <w:rPr>
                <w:rFonts w:cs="Times New Roman"/>
                <w:color w:val="auto"/>
              </w:rPr>
              <w:t>敏感，根据HJ610-2016判定依据，综合判定本项目评价等级为</w:t>
            </w:r>
            <w:r>
              <w:rPr>
                <w:rFonts w:hint="eastAsia" w:cs="Times New Roman"/>
                <w:color w:val="auto"/>
              </w:rPr>
              <w:t>一</w:t>
            </w:r>
            <w:r>
              <w:rPr>
                <w:rFonts w:cs="Times New Roman"/>
                <w:color w:val="auto"/>
              </w:rPr>
              <w:t>级。</w:t>
            </w:r>
          </w:p>
        </w:tc>
      </w:tr>
      <w:tr w14:paraId="66C4CF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 w:hRule="atLeast"/>
          <w:jc w:val="center"/>
        </w:trPr>
        <w:tc>
          <w:tcPr>
            <w:tcW w:w="1620" w:type="pct"/>
            <w:tcBorders>
              <w:tl2br w:val="nil"/>
              <w:tr2bl w:val="nil"/>
            </w:tcBorders>
            <w:shd w:val="clear" w:color="auto" w:fill="auto"/>
            <w:vAlign w:val="center"/>
          </w:tcPr>
          <w:p w14:paraId="4B798CAB">
            <w:pPr>
              <w:pStyle w:val="714"/>
              <w:rPr>
                <w:rFonts w:cs="Times New Roman"/>
                <w:b/>
                <w:bCs/>
                <w:color w:val="auto"/>
              </w:rPr>
            </w:pPr>
            <w:r>
              <w:rPr>
                <w:rFonts w:eastAsia="宋体" w:cs="Times New Roman"/>
                <w:b/>
                <w:bCs/>
                <w:color w:val="auto"/>
                <w:szCs w:val="21"/>
                <w:shd w:val="pct15" w:color="auto" w:fill="FFFFFF"/>
              </w:rPr>
              <w:t>较敏感</w:t>
            </w:r>
            <w:r>
              <w:rPr>
                <w:rFonts w:cs="Times New Roman"/>
                <w:b/>
                <w:bCs/>
                <w:color w:val="auto"/>
                <w:shd w:val="pct15" w:color="auto" w:fill="FFFFFF"/>
              </w:rPr>
              <w:t>√</w:t>
            </w:r>
          </w:p>
        </w:tc>
        <w:tc>
          <w:tcPr>
            <w:tcW w:w="898" w:type="pct"/>
            <w:tcBorders>
              <w:tl2br w:val="nil"/>
              <w:tr2bl w:val="nil"/>
            </w:tcBorders>
            <w:shd w:val="clear" w:color="auto" w:fill="auto"/>
            <w:vAlign w:val="center"/>
          </w:tcPr>
          <w:p w14:paraId="11165849">
            <w:pPr>
              <w:pStyle w:val="714"/>
              <w:rPr>
                <w:rFonts w:cs="Times New Roman"/>
                <w:b/>
                <w:bCs/>
                <w:color w:val="auto"/>
                <w:shd w:val="pct15" w:color="auto" w:fill="FFFFFF"/>
              </w:rPr>
            </w:pPr>
            <w:r>
              <w:rPr>
                <w:rFonts w:cs="Times New Roman"/>
                <w:b/>
                <w:bCs/>
                <w:color w:val="auto"/>
                <w:shd w:val="pct15" w:color="auto" w:fill="FFFFFF"/>
              </w:rPr>
              <w:t>一√</w:t>
            </w:r>
          </w:p>
        </w:tc>
        <w:tc>
          <w:tcPr>
            <w:tcW w:w="2480" w:type="pct"/>
            <w:vMerge w:val="continue"/>
            <w:tcBorders>
              <w:tl2br w:val="nil"/>
              <w:tr2bl w:val="nil"/>
            </w:tcBorders>
            <w:vAlign w:val="center"/>
          </w:tcPr>
          <w:p w14:paraId="08E57BA3">
            <w:pPr>
              <w:pStyle w:val="714"/>
              <w:rPr>
                <w:rFonts w:cs="Times New Roman"/>
                <w:color w:val="auto"/>
              </w:rPr>
            </w:pPr>
          </w:p>
        </w:tc>
      </w:tr>
      <w:tr w14:paraId="256437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 w:hRule="atLeast"/>
          <w:jc w:val="center"/>
        </w:trPr>
        <w:tc>
          <w:tcPr>
            <w:tcW w:w="1620" w:type="pct"/>
            <w:tcBorders>
              <w:tl2br w:val="nil"/>
              <w:tr2bl w:val="nil"/>
            </w:tcBorders>
            <w:vAlign w:val="center"/>
          </w:tcPr>
          <w:p w14:paraId="27608AF9">
            <w:pPr>
              <w:pStyle w:val="714"/>
              <w:rPr>
                <w:rFonts w:cs="Times New Roman"/>
                <w:bCs/>
                <w:color w:val="auto"/>
                <w:shd w:val="pct15" w:color="auto" w:fill="FFFFFF"/>
              </w:rPr>
            </w:pPr>
            <w:r>
              <w:rPr>
                <w:rFonts w:cs="Times New Roman"/>
                <w:bCs/>
                <w:color w:val="auto"/>
              </w:rPr>
              <w:t>不敏感</w:t>
            </w:r>
          </w:p>
        </w:tc>
        <w:tc>
          <w:tcPr>
            <w:tcW w:w="898" w:type="pct"/>
            <w:tcBorders>
              <w:tl2br w:val="nil"/>
              <w:tr2bl w:val="nil"/>
            </w:tcBorders>
            <w:vAlign w:val="center"/>
          </w:tcPr>
          <w:p w14:paraId="3DC04BD9">
            <w:pPr>
              <w:pStyle w:val="714"/>
              <w:rPr>
                <w:rFonts w:cs="Times New Roman"/>
                <w:b/>
                <w:color w:val="auto"/>
                <w:shd w:val="pct15" w:color="auto" w:fill="FFFFFF"/>
              </w:rPr>
            </w:pPr>
            <w:r>
              <w:rPr>
                <w:rFonts w:cs="Times New Roman"/>
                <w:b/>
                <w:color w:val="auto"/>
              </w:rPr>
              <w:t>二</w:t>
            </w:r>
          </w:p>
        </w:tc>
        <w:tc>
          <w:tcPr>
            <w:tcW w:w="2480" w:type="pct"/>
            <w:vMerge w:val="continue"/>
            <w:tcBorders>
              <w:tl2br w:val="nil"/>
              <w:tr2bl w:val="nil"/>
            </w:tcBorders>
            <w:vAlign w:val="center"/>
          </w:tcPr>
          <w:p w14:paraId="1D321534">
            <w:pPr>
              <w:pStyle w:val="714"/>
              <w:rPr>
                <w:rFonts w:cs="Times New Roman"/>
                <w:color w:val="auto"/>
              </w:rPr>
            </w:pPr>
          </w:p>
        </w:tc>
      </w:tr>
      <w:bookmarkEnd w:id="205"/>
      <w:bookmarkEnd w:id="206"/>
      <w:bookmarkEnd w:id="207"/>
      <w:bookmarkEnd w:id="208"/>
      <w:bookmarkEnd w:id="209"/>
      <w:bookmarkEnd w:id="210"/>
    </w:tbl>
    <w:p w14:paraId="35ACD5ED">
      <w:pPr>
        <w:ind w:firstLine="482"/>
        <w:rPr>
          <w:rFonts w:cs="Times New Roman"/>
          <w:b/>
          <w:color w:val="auto"/>
        </w:rPr>
      </w:pPr>
      <w:r>
        <w:rPr>
          <w:rFonts w:hint="eastAsia" w:cs="Times New Roman"/>
          <w:b/>
          <w:color w:val="auto"/>
          <w:lang w:val="en-US" w:eastAsia="zh-CN"/>
        </w:rPr>
        <w:t>2、</w:t>
      </w:r>
      <w:r>
        <w:rPr>
          <w:rFonts w:cs="Times New Roman"/>
          <w:b/>
          <w:color w:val="auto"/>
        </w:rPr>
        <w:t>评价范围</w:t>
      </w:r>
    </w:p>
    <w:p w14:paraId="4297BABE">
      <w:pPr>
        <w:bidi w:val="0"/>
        <w:rPr>
          <w:color w:val="auto"/>
        </w:rPr>
      </w:pPr>
      <w:r>
        <w:rPr>
          <w:color w:val="auto"/>
        </w:rPr>
        <w:t>根据《环境影响评价技术导则</w:t>
      </w:r>
      <w:r>
        <w:rPr>
          <w:rFonts w:hint="eastAsia"/>
          <w:color w:val="auto"/>
          <w:lang w:val="en-US" w:eastAsia="zh-CN"/>
        </w:rPr>
        <w:t xml:space="preserve"> </w:t>
      </w:r>
      <w:r>
        <w:rPr>
          <w:color w:val="auto"/>
        </w:rPr>
        <w:t>地下水环境》（HJ610-2016），地下水环境现状调查评价范围应包括与建设项目相关的地下水环境保护目标，以能说明地下水环境现状，反映调查评价区地下水基本渗流特征，满足地下水环境影响预测和评价为基本原则。</w:t>
      </w:r>
    </w:p>
    <w:p w14:paraId="51E3D61A">
      <w:pPr>
        <w:bidi w:val="0"/>
        <w:rPr>
          <w:color w:val="auto"/>
        </w:rPr>
      </w:pPr>
      <w:r>
        <w:rPr>
          <w:color w:val="auto"/>
        </w:rPr>
        <w:t>建设项目地下水环境现状调查评价范围的确定可采用公式计算法、查表法及自定义法。</w:t>
      </w:r>
    </w:p>
    <w:p w14:paraId="2C997D70">
      <w:pPr>
        <w:bidi w:val="0"/>
        <w:rPr>
          <w:color w:val="auto"/>
        </w:rPr>
      </w:pPr>
      <w:r>
        <w:rPr>
          <w:color w:val="auto"/>
        </w:rPr>
        <w:t>（1）公式计算法</w:t>
      </w:r>
    </w:p>
    <w:p w14:paraId="176DEAEF">
      <w:pPr>
        <w:bidi w:val="0"/>
        <w:rPr>
          <w:color w:val="auto"/>
        </w:rPr>
      </w:pPr>
      <w:r>
        <w:rPr>
          <w:color w:val="auto"/>
        </w:rPr>
        <w:t>当建设项目所在地水文地质条件相对简单，且所掌握的资料能够满足公式计算法的要求时，应采用公式计算法确定：</w:t>
      </w:r>
    </w:p>
    <w:p w14:paraId="6EDAA3F8">
      <w:pPr>
        <w:ind w:firstLine="480"/>
        <w:jc w:val="right"/>
        <w:rPr>
          <w:rFonts w:cs="Times New Roman"/>
          <w:color w:val="auto"/>
        </w:rPr>
      </w:pPr>
      <w:r>
        <w:rPr>
          <w:rFonts w:cs="Times New Roman"/>
          <w:color w:val="auto"/>
        </w:rPr>
        <w:t>L=α×K×I×T/n</w:t>
      </w:r>
      <w:r>
        <w:rPr>
          <w:rFonts w:cs="Times New Roman"/>
          <w:color w:val="auto"/>
          <w:vertAlign w:val="subscript"/>
        </w:rPr>
        <w:t xml:space="preserve">e                              </w:t>
      </w:r>
      <w:r>
        <w:rPr>
          <w:rFonts w:cs="Times New Roman"/>
          <w:color w:val="auto"/>
        </w:rPr>
        <w:t>（式</w:t>
      </w:r>
      <w:r>
        <w:rPr>
          <w:rFonts w:hint="eastAsia" w:cs="Times New Roman"/>
          <w:color w:val="auto"/>
          <w:lang w:val="en-US" w:eastAsia="zh-CN"/>
        </w:rPr>
        <w:t>4</w:t>
      </w:r>
      <w:r>
        <w:rPr>
          <w:rFonts w:cs="Times New Roman"/>
          <w:color w:val="auto"/>
        </w:rPr>
        <w:t>-1）</w:t>
      </w:r>
    </w:p>
    <w:p w14:paraId="54D1566E">
      <w:pPr>
        <w:ind w:firstLine="480"/>
        <w:rPr>
          <w:rFonts w:cs="Times New Roman"/>
          <w:color w:val="auto"/>
        </w:rPr>
      </w:pPr>
      <w:r>
        <w:rPr>
          <w:rFonts w:cs="Times New Roman"/>
          <w:color w:val="auto"/>
        </w:rPr>
        <w:t>式中：L—下游迁移距离</w:t>
      </w:r>
    </w:p>
    <w:p w14:paraId="7DEDA508">
      <w:pPr>
        <w:ind w:firstLine="1200" w:firstLineChars="500"/>
        <w:rPr>
          <w:rFonts w:cs="Times New Roman"/>
          <w:color w:val="auto"/>
        </w:rPr>
      </w:pPr>
      <w:r>
        <w:rPr>
          <w:rFonts w:cs="Times New Roman"/>
          <w:i/>
          <w:color w:val="auto"/>
        </w:rPr>
        <w:t>α</w:t>
      </w:r>
      <w:r>
        <w:rPr>
          <w:rFonts w:cs="Times New Roman"/>
          <w:color w:val="auto"/>
        </w:rPr>
        <w:t>—变化系数，</w:t>
      </w:r>
      <w:r>
        <w:rPr>
          <w:rFonts w:cs="Times New Roman"/>
          <w:i/>
          <w:color w:val="auto"/>
        </w:rPr>
        <w:t>α≥</w:t>
      </w:r>
      <w:r>
        <w:rPr>
          <w:rFonts w:cs="Times New Roman"/>
          <w:color w:val="auto"/>
        </w:rPr>
        <w:t>1，一般取2；</w:t>
      </w:r>
    </w:p>
    <w:p w14:paraId="20E11367">
      <w:pPr>
        <w:ind w:left="1559" w:leftChars="473" w:hanging="424" w:hangingChars="177"/>
        <w:rPr>
          <w:rFonts w:cs="Times New Roman"/>
          <w:color w:val="auto"/>
        </w:rPr>
      </w:pPr>
      <w:r>
        <w:rPr>
          <w:rFonts w:cs="Times New Roman"/>
          <w:color w:val="auto"/>
        </w:rPr>
        <w:t>K—渗透系数，m/d；</w:t>
      </w:r>
    </w:p>
    <w:p w14:paraId="75B214AE">
      <w:pPr>
        <w:ind w:firstLine="1132" w:firstLineChars="472"/>
        <w:rPr>
          <w:rFonts w:cs="Times New Roman"/>
          <w:color w:val="auto"/>
        </w:rPr>
      </w:pPr>
      <w:r>
        <w:rPr>
          <w:rFonts w:cs="Times New Roman"/>
          <w:color w:val="auto"/>
        </w:rPr>
        <w:t>I—水力坡度，无量纲；</w:t>
      </w:r>
    </w:p>
    <w:p w14:paraId="4BD0553D">
      <w:pPr>
        <w:ind w:firstLine="1132" w:firstLineChars="472"/>
        <w:rPr>
          <w:rFonts w:cs="Times New Roman"/>
          <w:color w:val="auto"/>
        </w:rPr>
      </w:pPr>
      <w:r>
        <w:rPr>
          <w:rFonts w:cs="Times New Roman"/>
          <w:color w:val="auto"/>
        </w:rPr>
        <w:t>T—质点迁移天数，取值不小于5000 d；</w:t>
      </w:r>
    </w:p>
    <w:p w14:paraId="1262F2EF">
      <w:pPr>
        <w:ind w:firstLine="1132" w:firstLineChars="472"/>
        <w:rPr>
          <w:rFonts w:cs="Times New Roman"/>
          <w:color w:val="auto"/>
        </w:rPr>
      </w:pPr>
      <w:r>
        <w:rPr>
          <w:rFonts w:cs="Times New Roman"/>
          <w:color w:val="auto"/>
        </w:rPr>
        <w:t>n</w:t>
      </w:r>
      <w:r>
        <w:rPr>
          <w:rFonts w:cs="Times New Roman"/>
          <w:color w:val="auto"/>
          <w:vertAlign w:val="subscript"/>
        </w:rPr>
        <w:t>e</w:t>
      </w:r>
      <w:r>
        <w:rPr>
          <w:rFonts w:cs="Times New Roman"/>
          <w:color w:val="auto"/>
        </w:rPr>
        <w:t>—有效孔隙度，无量纲。</w:t>
      </w:r>
    </w:p>
    <w:p w14:paraId="790E7245">
      <w:pPr>
        <w:ind w:firstLine="480"/>
        <w:rPr>
          <w:rFonts w:cs="Times New Roman"/>
          <w:color w:val="auto"/>
        </w:rPr>
      </w:pPr>
      <w:r>
        <w:rPr>
          <w:rFonts w:cs="Times New Roman"/>
          <w:color w:val="auto"/>
        </w:rPr>
        <w:t>（2）查表法</w:t>
      </w:r>
    </w:p>
    <w:p w14:paraId="6CFD83D0">
      <w:pPr>
        <w:ind w:firstLine="480"/>
        <w:rPr>
          <w:rFonts w:cs="Times New Roman"/>
          <w:color w:val="auto"/>
        </w:rPr>
      </w:pPr>
      <w:r>
        <w:rPr>
          <w:rFonts w:cs="Times New Roman"/>
          <w:color w:val="auto"/>
        </w:rPr>
        <w:t>当不满足公式计算法的要求时，可采用查表法确定（</w:t>
      </w:r>
      <w:r>
        <w:rPr>
          <w:rFonts w:hint="eastAsia" w:cs="Times New Roman"/>
          <w:color w:val="auto"/>
          <w:lang w:val="en-US" w:eastAsia="zh-CN"/>
        </w:rPr>
        <w:t>详见下表</w:t>
      </w:r>
      <w:r>
        <w:rPr>
          <w:rFonts w:cs="Times New Roman"/>
          <w:color w:val="auto"/>
        </w:rPr>
        <w:t>）。</w:t>
      </w:r>
    </w:p>
    <w:p w14:paraId="2A9EEC9D">
      <w:pPr>
        <w:pStyle w:val="19"/>
        <w:keepNext w:val="0"/>
        <w:keepLines w:val="0"/>
        <w:pageBreakBefore w:val="0"/>
        <w:widowControl w:val="0"/>
        <w:numPr>
          <w:ilvl w:val="0"/>
          <w:numId w:val="31"/>
        </w:numPr>
        <w:kinsoku/>
        <w:wordWrap/>
        <w:overflowPunct/>
        <w:topLinePunct w:val="0"/>
        <w:autoSpaceDE/>
        <w:autoSpaceDN/>
        <w:bidi w:val="0"/>
        <w:adjustRightInd/>
        <w:snapToGrid/>
        <w:ind w:left="0" w:leftChars="0" w:firstLine="0" w:firstLineChars="0"/>
        <w:textAlignment w:val="auto"/>
        <w:rPr>
          <w:rFonts w:cs="Times New Roman"/>
          <w:color w:val="auto"/>
        </w:rPr>
      </w:pPr>
      <w:r>
        <w:rPr>
          <w:rFonts w:cs="Times New Roman"/>
          <w:color w:val="auto"/>
        </w:rPr>
        <w:t>地下水环境现状调查评价范围参照</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78"/>
        <w:gridCol w:w="4327"/>
        <w:gridCol w:w="2514"/>
      </w:tblGrid>
      <w:tr w14:paraId="63C7FD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5" w:type="pct"/>
            <w:tcBorders>
              <w:tl2br w:val="nil"/>
              <w:tr2bl w:val="nil"/>
            </w:tcBorders>
            <w:shd w:val="clear" w:color="auto" w:fill="auto"/>
            <w:vAlign w:val="center"/>
          </w:tcPr>
          <w:p w14:paraId="2DE805B9">
            <w:pPr>
              <w:pStyle w:val="714"/>
              <w:rPr>
                <w:rFonts w:cs="Times New Roman"/>
                <w:b/>
                <w:bCs/>
                <w:color w:val="auto"/>
              </w:rPr>
            </w:pPr>
            <w:r>
              <w:rPr>
                <w:rFonts w:cs="Times New Roman"/>
                <w:b/>
                <w:bCs/>
                <w:color w:val="auto"/>
              </w:rPr>
              <w:t>评价等级</w:t>
            </w:r>
          </w:p>
        </w:tc>
        <w:tc>
          <w:tcPr>
            <w:tcW w:w="2539" w:type="pct"/>
            <w:tcBorders>
              <w:tl2br w:val="nil"/>
              <w:tr2bl w:val="nil"/>
            </w:tcBorders>
            <w:shd w:val="clear" w:color="auto" w:fill="auto"/>
            <w:vAlign w:val="center"/>
          </w:tcPr>
          <w:p w14:paraId="39305702">
            <w:pPr>
              <w:pStyle w:val="714"/>
              <w:rPr>
                <w:rFonts w:cs="Times New Roman"/>
                <w:b/>
                <w:bCs/>
                <w:color w:val="auto"/>
              </w:rPr>
            </w:pPr>
            <w:r>
              <w:rPr>
                <w:rFonts w:cs="Times New Roman"/>
                <w:b/>
                <w:bCs/>
                <w:color w:val="auto"/>
              </w:rPr>
              <w:t>调查评价面积（</w:t>
            </w:r>
            <w:r>
              <w:rPr>
                <w:rFonts w:hint="eastAsia" w:cs="Times New Roman"/>
                <w:b/>
                <w:bCs/>
                <w:color w:val="auto"/>
                <w:lang w:eastAsia="zh-CN"/>
              </w:rPr>
              <w:t>km²</w:t>
            </w:r>
            <w:r>
              <w:rPr>
                <w:rFonts w:cs="Times New Roman"/>
                <w:b/>
                <w:bCs/>
                <w:color w:val="auto"/>
              </w:rPr>
              <w:t>）</w:t>
            </w:r>
          </w:p>
        </w:tc>
        <w:tc>
          <w:tcPr>
            <w:tcW w:w="1475" w:type="pct"/>
            <w:tcBorders>
              <w:tl2br w:val="nil"/>
              <w:tr2bl w:val="nil"/>
            </w:tcBorders>
            <w:shd w:val="clear" w:color="auto" w:fill="auto"/>
            <w:vAlign w:val="center"/>
          </w:tcPr>
          <w:p w14:paraId="0E86C88A">
            <w:pPr>
              <w:pStyle w:val="714"/>
              <w:rPr>
                <w:rFonts w:cs="Times New Roman"/>
                <w:b/>
                <w:bCs/>
                <w:color w:val="auto"/>
              </w:rPr>
            </w:pPr>
            <w:r>
              <w:rPr>
                <w:rFonts w:cs="Times New Roman"/>
                <w:b/>
                <w:bCs/>
                <w:color w:val="auto"/>
              </w:rPr>
              <w:t>备注</w:t>
            </w:r>
          </w:p>
        </w:tc>
      </w:tr>
      <w:tr w14:paraId="74F7F2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5" w:type="pct"/>
            <w:tcBorders>
              <w:tl2br w:val="nil"/>
              <w:tr2bl w:val="nil"/>
            </w:tcBorders>
            <w:shd w:val="clear" w:color="auto" w:fill="auto"/>
            <w:vAlign w:val="center"/>
          </w:tcPr>
          <w:p w14:paraId="0A4E0C8F">
            <w:pPr>
              <w:pStyle w:val="714"/>
              <w:rPr>
                <w:rFonts w:cs="Times New Roman"/>
                <w:color w:val="auto"/>
              </w:rPr>
            </w:pPr>
            <w:r>
              <w:rPr>
                <w:rFonts w:cs="Times New Roman"/>
                <w:color w:val="auto"/>
              </w:rPr>
              <w:t>一级</w:t>
            </w:r>
          </w:p>
        </w:tc>
        <w:tc>
          <w:tcPr>
            <w:tcW w:w="2539" w:type="pct"/>
            <w:tcBorders>
              <w:tl2br w:val="nil"/>
              <w:tr2bl w:val="nil"/>
            </w:tcBorders>
            <w:shd w:val="clear" w:color="auto" w:fill="auto"/>
            <w:vAlign w:val="center"/>
          </w:tcPr>
          <w:p w14:paraId="6F446E49">
            <w:pPr>
              <w:pStyle w:val="714"/>
              <w:rPr>
                <w:rFonts w:cs="Times New Roman"/>
                <w:color w:val="auto"/>
              </w:rPr>
            </w:pPr>
            <w:r>
              <w:rPr>
                <w:rFonts w:cs="Times New Roman"/>
                <w:color w:val="auto"/>
              </w:rPr>
              <w:t>≥20</w:t>
            </w:r>
          </w:p>
        </w:tc>
        <w:tc>
          <w:tcPr>
            <w:tcW w:w="1475" w:type="pct"/>
            <w:vMerge w:val="restart"/>
            <w:tcBorders>
              <w:tl2br w:val="nil"/>
              <w:tr2bl w:val="nil"/>
            </w:tcBorders>
            <w:shd w:val="clear" w:color="auto" w:fill="auto"/>
            <w:vAlign w:val="center"/>
          </w:tcPr>
          <w:p w14:paraId="2F47EA65">
            <w:pPr>
              <w:pStyle w:val="714"/>
              <w:rPr>
                <w:rFonts w:cs="Times New Roman"/>
                <w:color w:val="auto"/>
              </w:rPr>
            </w:pPr>
            <w:r>
              <w:rPr>
                <w:rFonts w:cs="Times New Roman"/>
                <w:color w:val="auto"/>
              </w:rPr>
              <w:t>应包括重要的地下水环境保护目标，必要时适当扩大范围</w:t>
            </w:r>
          </w:p>
        </w:tc>
      </w:tr>
      <w:tr w14:paraId="16AD38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5" w:type="pct"/>
            <w:tcBorders>
              <w:tl2br w:val="nil"/>
              <w:tr2bl w:val="nil"/>
            </w:tcBorders>
            <w:shd w:val="clear" w:color="auto" w:fill="auto"/>
            <w:vAlign w:val="center"/>
          </w:tcPr>
          <w:p w14:paraId="67208DC5">
            <w:pPr>
              <w:pStyle w:val="714"/>
              <w:rPr>
                <w:rFonts w:cs="Times New Roman"/>
                <w:color w:val="auto"/>
              </w:rPr>
            </w:pPr>
            <w:r>
              <w:rPr>
                <w:rFonts w:cs="Times New Roman"/>
                <w:color w:val="auto"/>
              </w:rPr>
              <w:t>二级</w:t>
            </w:r>
          </w:p>
        </w:tc>
        <w:tc>
          <w:tcPr>
            <w:tcW w:w="2539" w:type="pct"/>
            <w:tcBorders>
              <w:tl2br w:val="nil"/>
              <w:tr2bl w:val="nil"/>
            </w:tcBorders>
            <w:shd w:val="clear" w:color="auto" w:fill="auto"/>
            <w:vAlign w:val="center"/>
          </w:tcPr>
          <w:p w14:paraId="66EB9F26">
            <w:pPr>
              <w:pStyle w:val="714"/>
              <w:rPr>
                <w:rFonts w:cs="Times New Roman"/>
                <w:color w:val="auto"/>
              </w:rPr>
            </w:pPr>
            <w:r>
              <w:rPr>
                <w:rFonts w:cs="Times New Roman"/>
                <w:color w:val="auto"/>
              </w:rPr>
              <w:t>6～20</w:t>
            </w:r>
          </w:p>
        </w:tc>
        <w:tc>
          <w:tcPr>
            <w:tcW w:w="1475" w:type="pct"/>
            <w:vMerge w:val="continue"/>
            <w:tcBorders>
              <w:tl2br w:val="nil"/>
              <w:tr2bl w:val="nil"/>
            </w:tcBorders>
            <w:shd w:val="clear" w:color="auto" w:fill="auto"/>
            <w:vAlign w:val="center"/>
          </w:tcPr>
          <w:p w14:paraId="784553D0">
            <w:pPr>
              <w:pStyle w:val="714"/>
              <w:rPr>
                <w:rFonts w:cs="Times New Roman"/>
                <w:color w:val="auto"/>
              </w:rPr>
            </w:pPr>
          </w:p>
        </w:tc>
      </w:tr>
      <w:tr w14:paraId="7B4948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5" w:type="pct"/>
            <w:tcBorders>
              <w:tl2br w:val="nil"/>
              <w:tr2bl w:val="nil"/>
            </w:tcBorders>
            <w:shd w:val="clear" w:color="auto" w:fill="auto"/>
            <w:vAlign w:val="center"/>
          </w:tcPr>
          <w:p w14:paraId="0E64A7F5">
            <w:pPr>
              <w:pStyle w:val="714"/>
              <w:rPr>
                <w:rFonts w:cs="Times New Roman"/>
                <w:color w:val="auto"/>
              </w:rPr>
            </w:pPr>
            <w:r>
              <w:rPr>
                <w:rFonts w:cs="Times New Roman"/>
                <w:color w:val="auto"/>
              </w:rPr>
              <w:t>三级</w:t>
            </w:r>
          </w:p>
        </w:tc>
        <w:tc>
          <w:tcPr>
            <w:tcW w:w="2539" w:type="pct"/>
            <w:tcBorders>
              <w:tl2br w:val="nil"/>
              <w:tr2bl w:val="nil"/>
            </w:tcBorders>
            <w:shd w:val="clear" w:color="auto" w:fill="auto"/>
            <w:vAlign w:val="center"/>
          </w:tcPr>
          <w:p w14:paraId="468C2AAF">
            <w:pPr>
              <w:pStyle w:val="714"/>
              <w:rPr>
                <w:rFonts w:cs="Times New Roman"/>
                <w:color w:val="auto"/>
              </w:rPr>
            </w:pPr>
            <w:r>
              <w:rPr>
                <w:rFonts w:cs="Times New Roman"/>
                <w:color w:val="auto"/>
              </w:rPr>
              <w:t>≤6</w:t>
            </w:r>
          </w:p>
        </w:tc>
        <w:tc>
          <w:tcPr>
            <w:tcW w:w="1475" w:type="pct"/>
            <w:vMerge w:val="continue"/>
            <w:tcBorders>
              <w:tl2br w:val="nil"/>
              <w:tr2bl w:val="nil"/>
            </w:tcBorders>
            <w:shd w:val="clear" w:color="auto" w:fill="auto"/>
            <w:vAlign w:val="center"/>
          </w:tcPr>
          <w:p w14:paraId="0A4E5CC3">
            <w:pPr>
              <w:pStyle w:val="714"/>
              <w:rPr>
                <w:rFonts w:cs="Times New Roman"/>
                <w:color w:val="auto"/>
              </w:rPr>
            </w:pPr>
          </w:p>
        </w:tc>
      </w:tr>
    </w:tbl>
    <w:p w14:paraId="5E046A9D">
      <w:pPr>
        <w:bidi w:val="0"/>
        <w:rPr>
          <w:color w:val="auto"/>
        </w:rPr>
      </w:pPr>
      <w:r>
        <w:rPr>
          <w:color w:val="auto"/>
        </w:rPr>
        <w:t>（3）自定义法</w:t>
      </w:r>
    </w:p>
    <w:p w14:paraId="6A7B0244">
      <w:pPr>
        <w:bidi w:val="0"/>
        <w:rPr>
          <w:color w:val="auto"/>
        </w:rPr>
      </w:pPr>
      <w:r>
        <w:rPr>
          <w:color w:val="auto"/>
        </w:rPr>
        <w:t>当计算或查表范围超出所处水文地质单元边界时，应以所处水文地质单元边界为宜，可根据建设项目所在区域水文地质条件确定。</w:t>
      </w:r>
    </w:p>
    <w:p w14:paraId="0C12E6DD">
      <w:pPr>
        <w:bidi w:val="0"/>
        <w:rPr>
          <w:color w:val="auto"/>
        </w:rPr>
      </w:pPr>
      <w:r>
        <w:rPr>
          <w:color w:val="auto"/>
        </w:rPr>
        <w:t>根据现场调查及区域水文地质</w:t>
      </w:r>
      <w:r>
        <w:rPr>
          <w:rFonts w:hint="eastAsia"/>
          <w:color w:val="auto"/>
        </w:rPr>
        <w:t>条件</w:t>
      </w:r>
      <w:r>
        <w:rPr>
          <w:color w:val="auto"/>
        </w:rPr>
        <w:t>，本次选取自定义法确定本项目调查评价范围：项目区</w:t>
      </w:r>
      <w:r>
        <w:rPr>
          <w:rFonts w:hint="eastAsia"/>
          <w:color w:val="auto"/>
        </w:rPr>
        <w:t>西侧以巴河支流小河沟为界</w:t>
      </w:r>
      <w:r>
        <w:rPr>
          <w:color w:val="auto"/>
        </w:rPr>
        <w:t>，</w:t>
      </w:r>
      <w:r>
        <w:rPr>
          <w:rFonts w:hint="eastAsia"/>
          <w:color w:val="auto"/>
        </w:rPr>
        <w:t>东南</w:t>
      </w:r>
      <w:r>
        <w:rPr>
          <w:color w:val="auto"/>
        </w:rPr>
        <w:t>侧以</w:t>
      </w:r>
      <w:r>
        <w:rPr>
          <w:rFonts w:hint="eastAsia"/>
          <w:color w:val="auto"/>
        </w:rPr>
        <w:t>店子河</w:t>
      </w:r>
      <w:r>
        <w:rPr>
          <w:color w:val="auto"/>
        </w:rPr>
        <w:t>为边界，</w:t>
      </w:r>
      <w:r>
        <w:rPr>
          <w:rFonts w:hint="eastAsia"/>
          <w:color w:val="auto"/>
        </w:rPr>
        <w:t>南</w:t>
      </w:r>
      <w:r>
        <w:rPr>
          <w:color w:val="auto"/>
        </w:rPr>
        <w:t>侧</w:t>
      </w:r>
      <w:r>
        <w:rPr>
          <w:rFonts w:hint="eastAsia"/>
          <w:color w:val="auto"/>
        </w:rPr>
        <w:t>下</w:t>
      </w:r>
      <w:r>
        <w:rPr>
          <w:color w:val="auto"/>
        </w:rPr>
        <w:t>游</w:t>
      </w:r>
      <w:r>
        <w:rPr>
          <w:rFonts w:hint="eastAsia"/>
          <w:color w:val="auto"/>
        </w:rPr>
        <w:t>以当地最低侵蚀基准面巴河为界</w:t>
      </w:r>
      <w:r>
        <w:rPr>
          <w:color w:val="auto"/>
        </w:rPr>
        <w:t>，</w:t>
      </w:r>
      <w:r>
        <w:rPr>
          <w:rFonts w:hint="eastAsia"/>
          <w:color w:val="auto"/>
        </w:rPr>
        <w:t>北西侧以小河沟与店子河之间的山脊线为界，北东侧以店子河及其支流间的山脊线为界</w:t>
      </w:r>
      <w:r>
        <w:rPr>
          <w:color w:val="auto"/>
        </w:rPr>
        <w:t>，评价范围为</w:t>
      </w:r>
      <w:r>
        <w:rPr>
          <w:rFonts w:hint="eastAsia"/>
          <w:color w:val="auto"/>
        </w:rPr>
        <w:t>0.49</w:t>
      </w:r>
      <w:r>
        <w:rPr>
          <w:color w:val="auto"/>
        </w:rPr>
        <w:t xml:space="preserve"> </w:t>
      </w:r>
      <w:r>
        <w:rPr>
          <w:rFonts w:hint="eastAsia"/>
          <w:color w:val="auto"/>
          <w:lang w:eastAsia="zh-CN"/>
        </w:rPr>
        <w:t>km²</w:t>
      </w:r>
      <w:r>
        <w:rPr>
          <w:color w:val="auto"/>
        </w:rPr>
        <w:t>。本项目调查评价范围见</w:t>
      </w:r>
      <w:r>
        <w:rPr>
          <w:rFonts w:hint="eastAsia"/>
          <w:color w:val="auto"/>
          <w:lang w:val="en-US" w:eastAsia="zh-CN"/>
        </w:rPr>
        <w:t>下图</w:t>
      </w:r>
      <w:r>
        <w:rPr>
          <w:color w:val="auto"/>
        </w:rPr>
        <w:t>。</w:t>
      </w:r>
    </w:p>
    <w:p w14:paraId="4C2F5EF0">
      <w:pPr>
        <w:pStyle w:val="714"/>
        <w:rPr>
          <w:rFonts w:cs="Times New Roman"/>
          <w:color w:val="auto"/>
          <w:sz w:val="30"/>
        </w:rPr>
      </w:pPr>
      <w:r>
        <w:rPr>
          <w:rFonts w:cs="Times New Roman"/>
          <w:color w:val="auto"/>
          <w:sz w:val="30"/>
        </w:rPr>
        <w:drawing>
          <wp:inline distT="0" distB="0" distL="0" distR="0">
            <wp:extent cx="4937760" cy="5039995"/>
            <wp:effectExtent l="0" t="0" r="15240" b="8255"/>
            <wp:docPr id="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957618" cy="5060279"/>
                    </a:xfrm>
                    <a:prstGeom prst="rect">
                      <a:avLst/>
                    </a:prstGeom>
                  </pic:spPr>
                </pic:pic>
              </a:graphicData>
            </a:graphic>
          </wp:inline>
        </w:drawing>
      </w:r>
    </w:p>
    <w:p w14:paraId="5059EEEF">
      <w:pPr>
        <w:pStyle w:val="713"/>
        <w:rPr>
          <w:rFonts w:cs="Times New Roman"/>
          <w:color w:val="auto"/>
        </w:rPr>
      </w:pPr>
      <w:r>
        <w:rPr>
          <w:rFonts w:cs="Times New Roman"/>
          <w:color w:val="auto"/>
        </w:rPr>
        <w:t>图</w:t>
      </w:r>
      <w:r>
        <w:rPr>
          <w:rFonts w:hint="eastAsia" w:cs="Times New Roman"/>
          <w:color w:val="auto"/>
          <w:lang w:val="en-US" w:eastAsia="zh-CN"/>
        </w:rPr>
        <w:t>4.2-4</w:t>
      </w:r>
      <w:r>
        <w:rPr>
          <w:rFonts w:cs="Times New Roman"/>
          <w:color w:val="auto"/>
        </w:rPr>
        <w:t xml:space="preserve">  本项目地下水环境调查评价范围</w:t>
      </w:r>
    </w:p>
    <w:bookmarkEnd w:id="211"/>
    <w:bookmarkEnd w:id="212"/>
    <w:bookmarkEnd w:id="213"/>
    <w:bookmarkEnd w:id="214"/>
    <w:bookmarkEnd w:id="215"/>
    <w:bookmarkEnd w:id="216"/>
    <w:bookmarkEnd w:id="217"/>
    <w:p w14:paraId="2530272F">
      <w:pPr>
        <w:pStyle w:val="10"/>
        <w:bidi w:val="0"/>
        <w:rPr>
          <w:color w:val="auto"/>
        </w:rPr>
      </w:pPr>
      <w:bookmarkStart w:id="218" w:name="_Toc317974775"/>
      <w:bookmarkStart w:id="219" w:name="_Toc317876080"/>
      <w:bookmarkStart w:id="220" w:name="_Toc317876261"/>
      <w:bookmarkStart w:id="221" w:name="_Toc327221709"/>
      <w:bookmarkStart w:id="222" w:name="_Toc317876335"/>
      <w:bookmarkStart w:id="223" w:name="_Toc306211318"/>
      <w:bookmarkStart w:id="224" w:name="_Toc317876409"/>
      <w:r>
        <w:rPr>
          <w:rFonts w:hint="eastAsia"/>
          <w:color w:val="auto"/>
          <w:lang w:val="en-US" w:eastAsia="zh-CN"/>
        </w:rPr>
        <w:t xml:space="preserve"> </w:t>
      </w:r>
      <w:r>
        <w:rPr>
          <w:color w:val="auto"/>
        </w:rPr>
        <w:t>评价内容及重点</w:t>
      </w:r>
    </w:p>
    <w:p w14:paraId="435C002E">
      <w:pPr>
        <w:bidi w:val="0"/>
        <w:rPr>
          <w:color w:val="auto"/>
        </w:rPr>
      </w:pPr>
      <w:r>
        <w:rPr>
          <w:color w:val="auto"/>
        </w:rPr>
        <w:t>根据本工程项目的性质、建设特点及其地下水环境影响特性，并结合本项目及周边地区自然和社会环境，按照《环境影响评价技术导则</w:t>
      </w:r>
      <w:r>
        <w:rPr>
          <w:rFonts w:hint="eastAsia"/>
          <w:color w:val="auto"/>
          <w:lang w:val="en-US" w:eastAsia="zh-CN"/>
        </w:rPr>
        <w:t xml:space="preserve"> </w:t>
      </w:r>
      <w:r>
        <w:rPr>
          <w:color w:val="auto"/>
        </w:rPr>
        <w:t>地下水环境》（HJ610-2016）要求，确定本项目地下水环境影响评价工作内容包括：</w:t>
      </w:r>
    </w:p>
    <w:p w14:paraId="3B7FB0D7">
      <w:pPr>
        <w:bidi w:val="0"/>
        <w:rPr>
          <w:color w:val="auto"/>
        </w:rPr>
      </w:pPr>
      <w:r>
        <w:rPr>
          <w:color w:val="auto"/>
        </w:rPr>
        <w:t>（1）工程分析</w:t>
      </w:r>
    </w:p>
    <w:p w14:paraId="2CAFF090">
      <w:pPr>
        <w:bidi w:val="0"/>
        <w:rPr>
          <w:color w:val="auto"/>
        </w:rPr>
      </w:pPr>
      <w:r>
        <w:rPr>
          <w:color w:val="auto"/>
        </w:rPr>
        <w:t>根据项目特征分析：</w:t>
      </w:r>
      <w:r>
        <w:rPr>
          <w:rFonts w:hint="eastAsia"/>
          <w:color w:val="auto"/>
        </w:rPr>
        <w:t>①</w:t>
      </w:r>
      <w:r>
        <w:rPr>
          <w:color w:val="auto"/>
        </w:rPr>
        <w:t>本项目运行过程中地下水污染物产生环节分析；</w:t>
      </w:r>
      <w:r>
        <w:rPr>
          <w:rFonts w:hint="eastAsia"/>
          <w:color w:val="auto"/>
        </w:rPr>
        <w:t>②</w:t>
      </w:r>
      <w:r>
        <w:rPr>
          <w:color w:val="auto"/>
        </w:rPr>
        <w:t>工况设计及污染源强估算。</w:t>
      </w:r>
    </w:p>
    <w:p w14:paraId="74AC9096">
      <w:pPr>
        <w:bidi w:val="0"/>
        <w:rPr>
          <w:color w:val="auto"/>
        </w:rPr>
      </w:pPr>
      <w:r>
        <w:rPr>
          <w:color w:val="auto"/>
        </w:rPr>
        <w:t>（2）地下水环境现状调查与评价</w:t>
      </w:r>
    </w:p>
    <w:p w14:paraId="1B33C740">
      <w:pPr>
        <w:bidi w:val="0"/>
        <w:rPr>
          <w:color w:val="auto"/>
        </w:rPr>
      </w:pPr>
      <w:r>
        <w:rPr>
          <w:color w:val="auto"/>
        </w:rPr>
        <w:t>根据建设项目所在地区的水环境特点，地下水环境保护目标开展调查。调查内容包括：水文地质基础调查、环境水文地质调查、地下水水质和污染调查等。主要查明工程区地质环境，水文地质条件，环境水文地质问题及地下水水质背景值。</w:t>
      </w:r>
    </w:p>
    <w:p w14:paraId="2C6FA65D">
      <w:pPr>
        <w:bidi w:val="0"/>
        <w:rPr>
          <w:color w:val="auto"/>
        </w:rPr>
      </w:pPr>
      <w:r>
        <w:rPr>
          <w:color w:val="auto"/>
        </w:rPr>
        <w:t>（3）地下水环境影响预测</w:t>
      </w:r>
    </w:p>
    <w:p w14:paraId="524DF588">
      <w:pPr>
        <w:bidi w:val="0"/>
        <w:rPr>
          <w:color w:val="auto"/>
        </w:rPr>
      </w:pPr>
      <w:r>
        <w:rPr>
          <w:color w:val="auto"/>
        </w:rPr>
        <w:t>根据工程分析确定的本项目原辅料、处理废水或废液渗漏进入地下水系统的下渗量，利用数值法Visual MODFLOW软件预测项目运行后污染物渗漏进入地下水后的影响程度和范围分析项目实施对当地地下水环境的影响。</w:t>
      </w:r>
    </w:p>
    <w:p w14:paraId="13D141A5">
      <w:pPr>
        <w:bidi w:val="0"/>
        <w:rPr>
          <w:color w:val="auto"/>
        </w:rPr>
      </w:pPr>
      <w:r>
        <w:rPr>
          <w:color w:val="auto"/>
        </w:rPr>
        <w:t>（4）地下水污染控制对策及措施</w:t>
      </w:r>
    </w:p>
    <w:p w14:paraId="5DD0053F">
      <w:pPr>
        <w:bidi w:val="0"/>
        <w:rPr>
          <w:color w:val="auto"/>
        </w:rPr>
      </w:pPr>
      <w:r>
        <w:rPr>
          <w:color w:val="auto"/>
        </w:rPr>
        <w:t>根据工程特点，在分析工程产污环节和预测工程建设、运行对地下水环境影响的基础上，提出针对性的控制对策和措施，最大程度缓减项目实施对当地地下水环境的影响。</w:t>
      </w:r>
    </w:p>
    <w:p w14:paraId="10662578">
      <w:pPr>
        <w:bidi w:val="0"/>
        <w:rPr>
          <w:color w:val="auto"/>
        </w:rPr>
      </w:pPr>
      <w:r>
        <w:rPr>
          <w:color w:val="auto"/>
        </w:rPr>
        <w:t>本项目地下水环境影响评价的重点为：本项目非正常运行状况泄漏的废水废液对地下水环境的影响及污染防治措施。</w:t>
      </w:r>
    </w:p>
    <w:bookmarkEnd w:id="218"/>
    <w:bookmarkEnd w:id="219"/>
    <w:bookmarkEnd w:id="220"/>
    <w:bookmarkEnd w:id="221"/>
    <w:bookmarkEnd w:id="222"/>
    <w:bookmarkEnd w:id="223"/>
    <w:bookmarkEnd w:id="224"/>
    <w:p w14:paraId="2F6B3D7E">
      <w:pPr>
        <w:pStyle w:val="10"/>
        <w:bidi w:val="0"/>
        <w:rPr>
          <w:color w:val="auto"/>
        </w:rPr>
      </w:pPr>
      <w:bookmarkStart w:id="225" w:name="_Toc306211321"/>
      <w:bookmarkStart w:id="226" w:name="_Toc327221716"/>
      <w:bookmarkStart w:id="227" w:name="_Toc317876338"/>
      <w:bookmarkStart w:id="228" w:name="_Toc317974778"/>
      <w:bookmarkStart w:id="229" w:name="_Toc317876083"/>
      <w:bookmarkStart w:id="230" w:name="_Toc317876264"/>
      <w:bookmarkStart w:id="231" w:name="_Toc317876412"/>
      <w:r>
        <w:rPr>
          <w:rFonts w:hint="eastAsia"/>
          <w:color w:val="auto"/>
          <w:lang w:val="en-US" w:eastAsia="zh-CN"/>
        </w:rPr>
        <w:t xml:space="preserve"> </w:t>
      </w:r>
      <w:r>
        <w:rPr>
          <w:color w:val="auto"/>
        </w:rPr>
        <w:t>工程分析</w:t>
      </w:r>
    </w:p>
    <w:bookmarkEnd w:id="225"/>
    <w:bookmarkEnd w:id="226"/>
    <w:bookmarkEnd w:id="227"/>
    <w:bookmarkEnd w:id="228"/>
    <w:bookmarkEnd w:id="229"/>
    <w:bookmarkEnd w:id="230"/>
    <w:bookmarkEnd w:id="231"/>
    <w:p w14:paraId="5D5CC879">
      <w:pPr>
        <w:bidi w:val="0"/>
        <w:rPr>
          <w:b/>
          <w:bCs/>
          <w:color w:val="auto"/>
        </w:rPr>
      </w:pPr>
      <w:bookmarkStart w:id="232" w:name="_Hlk90166074"/>
      <w:bookmarkStart w:id="233" w:name="_Hlk49629172"/>
      <w:r>
        <w:rPr>
          <w:b/>
          <w:bCs/>
          <w:color w:val="auto"/>
        </w:rPr>
        <w:t>（1）施工期</w:t>
      </w:r>
    </w:p>
    <w:p w14:paraId="4B83ABD0">
      <w:pPr>
        <w:bidi w:val="0"/>
        <w:rPr>
          <w:color w:val="auto"/>
        </w:rPr>
      </w:pPr>
      <w:r>
        <w:rPr>
          <w:color w:val="auto"/>
        </w:rPr>
        <w:t>本项目施工期的主要工程为</w:t>
      </w:r>
      <w:r>
        <w:rPr>
          <w:rFonts w:hint="eastAsia"/>
          <w:color w:val="auto"/>
        </w:rPr>
        <w:t>各污水处理池体</w:t>
      </w:r>
      <w:r>
        <w:rPr>
          <w:color w:val="auto"/>
        </w:rPr>
        <w:t>、</w:t>
      </w:r>
      <w:r>
        <w:rPr>
          <w:rFonts w:hint="eastAsia"/>
          <w:color w:val="auto"/>
        </w:rPr>
        <w:t>污泥脱水车间</w:t>
      </w:r>
      <w:r>
        <w:rPr>
          <w:color w:val="auto"/>
        </w:rPr>
        <w:t>、</w:t>
      </w:r>
      <w:r>
        <w:rPr>
          <w:rFonts w:hint="eastAsia"/>
          <w:color w:val="auto"/>
        </w:rPr>
        <w:t>泵房</w:t>
      </w:r>
      <w:r>
        <w:rPr>
          <w:color w:val="auto"/>
        </w:rPr>
        <w:t>、</w:t>
      </w:r>
      <w:r>
        <w:rPr>
          <w:rFonts w:hint="eastAsia"/>
          <w:color w:val="auto"/>
        </w:rPr>
        <w:t>综合楼、值班室</w:t>
      </w:r>
      <w:r>
        <w:rPr>
          <w:color w:val="auto"/>
        </w:rPr>
        <w:t>、</w:t>
      </w:r>
      <w:r>
        <w:rPr>
          <w:rFonts w:hint="eastAsia"/>
          <w:color w:val="auto"/>
        </w:rPr>
        <w:t>尾水排水管道、环境监测站</w:t>
      </w:r>
      <w:r>
        <w:rPr>
          <w:color w:val="auto"/>
        </w:rPr>
        <w:t>等的建设。施工期的污染源主要来自施工过程中机械跑冒滴漏产生的油污、施工人员产生的</w:t>
      </w:r>
      <w:r>
        <w:rPr>
          <w:rFonts w:hint="eastAsia"/>
          <w:color w:val="auto"/>
        </w:rPr>
        <w:t>生活污水</w:t>
      </w:r>
      <w:r>
        <w:rPr>
          <w:color w:val="auto"/>
        </w:rPr>
        <w:t>若收集处理不当进入地下系统后可能对地下水造成污染。</w:t>
      </w:r>
    </w:p>
    <w:p w14:paraId="15632CF2">
      <w:pPr>
        <w:bidi w:val="0"/>
        <w:rPr>
          <w:b/>
          <w:bCs/>
          <w:color w:val="auto"/>
        </w:rPr>
      </w:pPr>
      <w:r>
        <w:rPr>
          <w:b/>
          <w:bCs/>
          <w:color w:val="auto"/>
        </w:rPr>
        <w:t>（2）运营期</w:t>
      </w:r>
    </w:p>
    <w:p w14:paraId="18C00659">
      <w:pPr>
        <w:bidi w:val="0"/>
        <w:rPr>
          <w:color w:val="auto"/>
        </w:rPr>
      </w:pPr>
      <w:r>
        <w:rPr>
          <w:color w:val="auto"/>
        </w:rPr>
        <w:t>本项目为</w:t>
      </w:r>
      <w:r>
        <w:rPr>
          <w:rFonts w:hint="eastAsia"/>
          <w:color w:val="auto"/>
        </w:rPr>
        <w:t>新建污水处理厂及配套尾水排放管网</w:t>
      </w:r>
      <w:r>
        <w:rPr>
          <w:color w:val="auto"/>
        </w:rPr>
        <w:t>，</w:t>
      </w:r>
      <w:r>
        <w:rPr>
          <w:rFonts w:hint="eastAsia"/>
          <w:color w:val="auto"/>
        </w:rPr>
        <w:t>同步建设园区环境监测站，</w:t>
      </w:r>
      <w:r>
        <w:rPr>
          <w:color w:val="auto"/>
        </w:rPr>
        <w:t>占地</w:t>
      </w:r>
      <w:r>
        <w:rPr>
          <w:rFonts w:hint="eastAsia"/>
          <w:color w:val="auto"/>
        </w:rPr>
        <w:t>面积40490.09m²</w:t>
      </w:r>
      <w:r>
        <w:rPr>
          <w:color w:val="auto"/>
        </w:rPr>
        <w:t>，</w:t>
      </w:r>
      <w:r>
        <w:rPr>
          <w:rFonts w:hint="eastAsia"/>
          <w:color w:val="auto"/>
        </w:rPr>
        <w:t>总建设规模为1.6万m³/d，本次主要设计按照一期规模0.3万m³/d进行建设。</w:t>
      </w:r>
      <w:r>
        <w:rPr>
          <w:color w:val="auto"/>
        </w:rPr>
        <w:t>根据前述潜在污染源和污染途径分析，本项目可能对地下水环境产生影响的构筑物主要包括：</w:t>
      </w:r>
    </w:p>
    <w:p w14:paraId="19C05448">
      <w:pPr>
        <w:bidi w:val="0"/>
        <w:rPr>
          <w:color w:val="auto"/>
        </w:rPr>
      </w:pPr>
      <w:r>
        <w:rPr>
          <w:rFonts w:hint="eastAsia"/>
          <w:color w:val="auto"/>
        </w:rPr>
        <w:t>①主体工程</w:t>
      </w:r>
    </w:p>
    <w:p w14:paraId="026E20BB">
      <w:pPr>
        <w:bidi w:val="0"/>
        <w:rPr>
          <w:color w:val="auto"/>
        </w:rPr>
      </w:pPr>
      <w:r>
        <w:rPr>
          <w:rFonts w:hint="eastAsia"/>
          <w:color w:val="auto"/>
        </w:rPr>
        <w:t>一级处理单元</w:t>
      </w:r>
      <w:r>
        <w:rPr>
          <w:color w:val="auto"/>
        </w:rPr>
        <w:t>：</w:t>
      </w:r>
      <w:r>
        <w:rPr>
          <w:rFonts w:hint="eastAsia"/>
          <w:color w:val="auto"/>
        </w:rPr>
        <w:t>超细格栅池</w:t>
      </w:r>
      <w:r>
        <w:rPr>
          <w:color w:val="auto"/>
        </w:rPr>
        <w:t>、</w:t>
      </w:r>
      <w:r>
        <w:rPr>
          <w:rFonts w:hint="eastAsia"/>
          <w:color w:val="auto"/>
        </w:rPr>
        <w:t>调节池、水解酸化池；</w:t>
      </w:r>
    </w:p>
    <w:p w14:paraId="55EA5FDA">
      <w:pPr>
        <w:bidi w:val="0"/>
        <w:rPr>
          <w:color w:val="auto"/>
        </w:rPr>
      </w:pPr>
      <w:r>
        <w:rPr>
          <w:rFonts w:hint="eastAsia"/>
          <w:color w:val="auto"/>
        </w:rPr>
        <w:t>二级处理单元</w:t>
      </w:r>
      <w:r>
        <w:rPr>
          <w:color w:val="auto"/>
        </w:rPr>
        <w:t>：</w:t>
      </w:r>
      <w:r>
        <w:rPr>
          <w:rFonts w:hint="eastAsia"/>
          <w:color w:val="auto"/>
        </w:rPr>
        <w:t>微氧低循环生化池</w:t>
      </w:r>
      <w:r>
        <w:rPr>
          <w:color w:val="auto"/>
        </w:rPr>
        <w:t>、</w:t>
      </w:r>
      <w:r>
        <w:rPr>
          <w:rFonts w:hint="eastAsia"/>
          <w:color w:val="auto"/>
        </w:rPr>
        <w:t>反硝化深床滤池；</w:t>
      </w:r>
    </w:p>
    <w:p w14:paraId="1B6C17B3">
      <w:pPr>
        <w:bidi w:val="0"/>
        <w:rPr>
          <w:color w:val="auto"/>
        </w:rPr>
      </w:pPr>
      <w:r>
        <w:rPr>
          <w:rFonts w:hint="eastAsia"/>
          <w:color w:val="auto"/>
        </w:rPr>
        <w:t>深度处理单元：高级氧化撬装设备；</w:t>
      </w:r>
    </w:p>
    <w:p w14:paraId="1CD5EEEB">
      <w:pPr>
        <w:bidi w:val="0"/>
        <w:rPr>
          <w:color w:val="auto"/>
        </w:rPr>
      </w:pPr>
      <w:r>
        <w:rPr>
          <w:rFonts w:hint="eastAsia"/>
          <w:color w:val="auto"/>
        </w:rPr>
        <w:t>②配套</w:t>
      </w:r>
      <w:r>
        <w:rPr>
          <w:color w:val="auto"/>
        </w:rPr>
        <w:t>工程</w:t>
      </w:r>
    </w:p>
    <w:p w14:paraId="563B6C62">
      <w:pPr>
        <w:bidi w:val="0"/>
        <w:rPr>
          <w:color w:val="auto"/>
        </w:rPr>
      </w:pPr>
      <w:r>
        <w:rPr>
          <w:rFonts w:hint="eastAsia"/>
          <w:color w:val="auto"/>
        </w:rPr>
        <w:t>污泥处理单元：磁混凝沉淀池、污泥池；</w:t>
      </w:r>
    </w:p>
    <w:p w14:paraId="40B9E297">
      <w:pPr>
        <w:bidi w:val="0"/>
        <w:rPr>
          <w:color w:val="auto"/>
        </w:rPr>
      </w:pPr>
      <w:r>
        <w:rPr>
          <w:rFonts w:hint="eastAsia"/>
          <w:color w:val="auto"/>
        </w:rPr>
        <w:t>③辅助</w:t>
      </w:r>
      <w:r>
        <w:rPr>
          <w:color w:val="auto"/>
        </w:rPr>
        <w:t>工程</w:t>
      </w:r>
    </w:p>
    <w:p w14:paraId="36367F6A">
      <w:pPr>
        <w:bidi w:val="0"/>
        <w:rPr>
          <w:color w:val="auto"/>
        </w:rPr>
      </w:pPr>
      <w:r>
        <w:rPr>
          <w:rFonts w:hint="eastAsia"/>
          <w:color w:val="auto"/>
        </w:rPr>
        <w:t>机修间、</w:t>
      </w:r>
      <w:r>
        <w:rPr>
          <w:color w:val="auto"/>
        </w:rPr>
        <w:t>危废暂存间</w:t>
      </w:r>
      <w:r>
        <w:rPr>
          <w:rFonts w:hint="eastAsia"/>
          <w:color w:val="auto"/>
        </w:rPr>
        <w:t>、事故池、园区事故应急池。</w:t>
      </w:r>
    </w:p>
    <w:p w14:paraId="63C2E710">
      <w:pPr>
        <w:bidi w:val="0"/>
        <w:rPr>
          <w:color w:val="auto"/>
        </w:rPr>
      </w:pPr>
      <w:r>
        <w:rPr>
          <w:color w:val="auto"/>
        </w:rPr>
        <w:t>根据《环境影响评价技术导则</w:t>
      </w:r>
      <w:r>
        <w:rPr>
          <w:rFonts w:hint="eastAsia"/>
          <w:color w:val="auto"/>
          <w:lang w:val="en-US" w:eastAsia="zh-CN"/>
        </w:rPr>
        <w:t xml:space="preserve"> </w:t>
      </w:r>
      <w:r>
        <w:rPr>
          <w:color w:val="auto"/>
        </w:rPr>
        <w:t>地下水环境》（HJ610-2016）及《危险废物贮存污染控制标准》（GB18597），以上构筑物均需进行重点防渗。在采取防渗措施后，正常状况，以上构筑物运行过程中对地下水环境影响较小。非正常运行状态下，受</w:t>
      </w:r>
      <w:r>
        <w:rPr>
          <w:rFonts w:hint="eastAsia"/>
          <w:color w:val="auto"/>
        </w:rPr>
        <w:t>池体</w:t>
      </w:r>
      <w:r>
        <w:rPr>
          <w:color w:val="auto"/>
        </w:rPr>
        <w:t>老化及防渗系统腐蚀等因素影响，本项目</w:t>
      </w:r>
      <w:r>
        <w:rPr>
          <w:rFonts w:hint="eastAsia"/>
          <w:color w:val="auto"/>
        </w:rPr>
        <w:t>处理的</w:t>
      </w:r>
      <w:r>
        <w:rPr>
          <w:color w:val="auto"/>
        </w:rPr>
        <w:t>废水泄漏并部分入渗含水层，将会对区内地下水水质造成影响。</w:t>
      </w:r>
    </w:p>
    <w:p w14:paraId="47273DAF">
      <w:pPr>
        <w:bidi w:val="0"/>
        <w:rPr>
          <w:color w:val="auto"/>
        </w:rPr>
      </w:pPr>
      <w:r>
        <w:rPr>
          <w:color w:val="auto"/>
        </w:rPr>
        <w:t>项目分区防渗情况详见6.</w:t>
      </w:r>
      <w:r>
        <w:rPr>
          <w:rFonts w:hint="eastAsia"/>
          <w:color w:val="auto"/>
          <w:lang w:val="en-US" w:eastAsia="zh-CN"/>
        </w:rPr>
        <w:t>2.5</w:t>
      </w:r>
      <w:r>
        <w:rPr>
          <w:color w:val="auto"/>
        </w:rPr>
        <w:t xml:space="preserve"> 营运期地下水环境保护措施。</w:t>
      </w:r>
    </w:p>
    <w:p w14:paraId="4776397E">
      <w:pPr>
        <w:bidi w:val="0"/>
        <w:rPr>
          <w:b/>
          <w:bCs/>
          <w:color w:val="auto"/>
        </w:rPr>
      </w:pPr>
      <w:r>
        <w:rPr>
          <w:b/>
          <w:bCs/>
          <w:color w:val="auto"/>
        </w:rPr>
        <w:t>（3）项目运行状况设计</w:t>
      </w:r>
    </w:p>
    <w:p w14:paraId="13982114">
      <w:pPr>
        <w:bidi w:val="0"/>
        <w:rPr>
          <w:color w:val="auto"/>
        </w:rPr>
      </w:pPr>
      <w:r>
        <w:rPr>
          <w:color w:val="auto"/>
        </w:rPr>
        <w:t>依据产污环节分析，本项目可能产生地下水污染的构筑物及设备中，</w:t>
      </w:r>
      <w:bookmarkStart w:id="234" w:name="_Hlk172487907"/>
      <w:r>
        <w:rPr>
          <w:rFonts w:hint="eastAsia"/>
          <w:color w:val="auto"/>
        </w:rPr>
        <w:t>机修间车辆废机油泄漏后落于车间地表极易被发现，在车间地表重点防渗的条件下</w:t>
      </w:r>
      <w:r>
        <w:rPr>
          <w:color w:val="auto"/>
        </w:rPr>
        <w:t>发生非正常状态泄漏量有限，形成水力梯度较小，污染地下水系统可能性</w:t>
      </w:r>
      <w:r>
        <w:rPr>
          <w:rFonts w:hint="eastAsia"/>
          <w:color w:val="auto"/>
        </w:rPr>
        <w:t>极</w:t>
      </w:r>
      <w:r>
        <w:rPr>
          <w:color w:val="auto"/>
        </w:rPr>
        <w:t>小。危废暂存间储存的危险废物采用50L小型</w:t>
      </w:r>
      <w:r>
        <w:rPr>
          <w:rFonts w:hint="eastAsia"/>
          <w:color w:val="auto"/>
        </w:rPr>
        <w:t>铁</w:t>
      </w:r>
      <w:r>
        <w:rPr>
          <w:color w:val="auto"/>
        </w:rPr>
        <w:t>制</w:t>
      </w:r>
      <w:r>
        <w:rPr>
          <w:rFonts w:hint="eastAsia"/>
          <w:color w:val="auto"/>
        </w:rPr>
        <w:t>或P</w:t>
      </w:r>
      <w:r>
        <w:rPr>
          <w:color w:val="auto"/>
        </w:rPr>
        <w:t>VC密闭容器储存</w:t>
      </w:r>
      <w:r>
        <w:rPr>
          <w:rFonts w:hint="eastAsia"/>
          <w:color w:val="auto"/>
        </w:rPr>
        <w:t>废矿物油、在线监测系统废液等，</w:t>
      </w:r>
      <w:r>
        <w:rPr>
          <w:color w:val="auto"/>
        </w:rPr>
        <w:t>发生非正常状态泄漏量有限，形成水力梯度较小，污染地下水系统可能性较小</w:t>
      </w:r>
      <w:r>
        <w:rPr>
          <w:rFonts w:hint="eastAsia"/>
          <w:color w:val="auto"/>
        </w:rPr>
        <w:t>。</w:t>
      </w:r>
      <w:bookmarkEnd w:id="234"/>
      <w:r>
        <w:rPr>
          <w:rFonts w:hint="eastAsia"/>
          <w:color w:val="auto"/>
        </w:rPr>
        <w:t>事故池及园区事故应急池</w:t>
      </w:r>
      <w:r>
        <w:rPr>
          <w:color w:val="auto"/>
        </w:rPr>
        <w:t>为非正常状况生产</w:t>
      </w:r>
      <w:r>
        <w:rPr>
          <w:rFonts w:hint="eastAsia"/>
          <w:color w:val="auto"/>
        </w:rPr>
        <w:t>废水</w:t>
      </w:r>
      <w:r>
        <w:rPr>
          <w:color w:val="auto"/>
        </w:rPr>
        <w:t>及</w:t>
      </w:r>
      <w:r>
        <w:rPr>
          <w:rFonts w:hint="eastAsia"/>
          <w:color w:val="auto"/>
        </w:rPr>
        <w:t>消防</w:t>
      </w:r>
      <w:r>
        <w:rPr>
          <w:color w:val="auto"/>
        </w:rPr>
        <w:t>废水临时储存构筑物，平时为空置；环评要求以上构筑物须采取</w:t>
      </w:r>
      <w:r>
        <w:rPr>
          <w:rFonts w:hint="eastAsia"/>
          <w:color w:val="auto"/>
        </w:rPr>
        <w:t>重点</w:t>
      </w:r>
      <w:r>
        <w:rPr>
          <w:color w:val="auto"/>
        </w:rPr>
        <w:t>防渗及地下水环境保护措施；在采取相应措施后，以上构筑物运行过程中产生污染物下渗进入含水层几率</w:t>
      </w:r>
      <w:r>
        <w:rPr>
          <w:rFonts w:hint="eastAsia"/>
          <w:color w:val="auto"/>
        </w:rPr>
        <w:t>极</w:t>
      </w:r>
      <w:r>
        <w:rPr>
          <w:color w:val="auto"/>
        </w:rPr>
        <w:t>小</w:t>
      </w:r>
      <w:r>
        <w:rPr>
          <w:rFonts w:hint="eastAsia"/>
          <w:color w:val="auto"/>
        </w:rPr>
        <w:t>，影响极其有限</w:t>
      </w:r>
      <w:r>
        <w:rPr>
          <w:color w:val="auto"/>
        </w:rPr>
        <w:t>。因此，以上构筑物不作为本次预测工作重点。</w:t>
      </w:r>
    </w:p>
    <w:p w14:paraId="4E39A94C">
      <w:pPr>
        <w:bidi w:val="0"/>
        <w:rPr>
          <w:color w:val="auto"/>
        </w:rPr>
      </w:pPr>
      <w:r>
        <w:rPr>
          <w:color w:val="auto"/>
        </w:rPr>
        <w:t>本次环评将重点针对以下区域进行地下水影响预测：</w:t>
      </w:r>
    </w:p>
    <w:p w14:paraId="1520A8D2">
      <w:pPr>
        <w:bidi w:val="0"/>
        <w:rPr>
          <w:color w:val="auto"/>
        </w:rPr>
      </w:pPr>
      <w:r>
        <w:rPr>
          <w:rFonts w:hint="eastAsia"/>
          <w:color w:val="auto"/>
        </w:rPr>
        <w:t>①主体工程</w:t>
      </w:r>
    </w:p>
    <w:p w14:paraId="20F93C75">
      <w:pPr>
        <w:bidi w:val="0"/>
        <w:rPr>
          <w:color w:val="auto"/>
        </w:rPr>
      </w:pPr>
      <w:bookmarkStart w:id="235" w:name="_Hlk172488679"/>
      <w:r>
        <w:rPr>
          <w:rFonts w:hint="eastAsia"/>
          <w:color w:val="auto"/>
        </w:rPr>
        <w:t>一级处理单元</w:t>
      </w:r>
      <w:r>
        <w:rPr>
          <w:color w:val="auto"/>
        </w:rPr>
        <w:t>：</w:t>
      </w:r>
      <w:r>
        <w:rPr>
          <w:rFonts w:hint="eastAsia"/>
          <w:color w:val="auto"/>
        </w:rPr>
        <w:t>超细格栅池</w:t>
      </w:r>
      <w:r>
        <w:rPr>
          <w:color w:val="auto"/>
        </w:rPr>
        <w:t>、</w:t>
      </w:r>
      <w:r>
        <w:rPr>
          <w:rFonts w:hint="eastAsia"/>
          <w:color w:val="auto"/>
        </w:rPr>
        <w:t>调节池、水解酸化池；</w:t>
      </w:r>
    </w:p>
    <w:p w14:paraId="149128E0">
      <w:pPr>
        <w:bidi w:val="0"/>
        <w:rPr>
          <w:color w:val="auto"/>
        </w:rPr>
      </w:pPr>
      <w:r>
        <w:rPr>
          <w:rFonts w:hint="eastAsia"/>
          <w:color w:val="auto"/>
        </w:rPr>
        <w:t>二级处理单元</w:t>
      </w:r>
      <w:r>
        <w:rPr>
          <w:color w:val="auto"/>
        </w:rPr>
        <w:t>：</w:t>
      </w:r>
      <w:r>
        <w:rPr>
          <w:rFonts w:hint="eastAsia"/>
          <w:color w:val="auto"/>
        </w:rPr>
        <w:t>微氧低循环生化池</w:t>
      </w:r>
      <w:r>
        <w:rPr>
          <w:color w:val="auto"/>
        </w:rPr>
        <w:t>、</w:t>
      </w:r>
      <w:r>
        <w:rPr>
          <w:rFonts w:hint="eastAsia"/>
          <w:color w:val="auto"/>
        </w:rPr>
        <w:t>反硝化深床滤池；</w:t>
      </w:r>
    </w:p>
    <w:p w14:paraId="1FD9E115">
      <w:pPr>
        <w:bidi w:val="0"/>
        <w:rPr>
          <w:color w:val="auto"/>
        </w:rPr>
      </w:pPr>
      <w:r>
        <w:rPr>
          <w:rFonts w:hint="eastAsia"/>
          <w:color w:val="auto"/>
        </w:rPr>
        <w:t>深度处理单元：高级氧化撬装设备；</w:t>
      </w:r>
    </w:p>
    <w:p w14:paraId="049CB5F4">
      <w:pPr>
        <w:bidi w:val="0"/>
        <w:rPr>
          <w:color w:val="auto"/>
        </w:rPr>
      </w:pPr>
      <w:r>
        <w:rPr>
          <w:rFonts w:hint="eastAsia"/>
          <w:color w:val="auto"/>
        </w:rPr>
        <w:t>②配套</w:t>
      </w:r>
      <w:r>
        <w:rPr>
          <w:color w:val="auto"/>
        </w:rPr>
        <w:t>工程</w:t>
      </w:r>
    </w:p>
    <w:p w14:paraId="0AFD0485">
      <w:pPr>
        <w:bidi w:val="0"/>
        <w:rPr>
          <w:color w:val="auto"/>
        </w:rPr>
      </w:pPr>
      <w:r>
        <w:rPr>
          <w:rFonts w:hint="eastAsia"/>
          <w:color w:val="auto"/>
        </w:rPr>
        <w:t>污泥处理单元：磁混凝沉淀池、污泥池；</w:t>
      </w:r>
    </w:p>
    <w:bookmarkEnd w:id="235"/>
    <w:p w14:paraId="27A3229B">
      <w:pPr>
        <w:bidi w:val="0"/>
        <w:rPr>
          <w:color w:val="auto"/>
        </w:rPr>
      </w:pPr>
      <w:r>
        <w:rPr>
          <w:color w:val="auto"/>
        </w:rPr>
        <w:t>本项目运行状况设计见</w:t>
      </w:r>
      <w:r>
        <w:rPr>
          <w:rFonts w:hint="eastAsia"/>
          <w:color w:val="auto"/>
          <w:lang w:val="en-US" w:eastAsia="zh-CN"/>
        </w:rPr>
        <w:t>下表</w:t>
      </w:r>
      <w:r>
        <w:rPr>
          <w:color w:val="auto"/>
        </w:rPr>
        <w:t>。</w:t>
      </w:r>
    </w:p>
    <w:p w14:paraId="3873684E">
      <w:pPr>
        <w:pStyle w:val="19"/>
        <w:keepNext w:val="0"/>
        <w:keepLines w:val="0"/>
        <w:pageBreakBefore w:val="0"/>
        <w:widowControl w:val="0"/>
        <w:numPr>
          <w:ilvl w:val="0"/>
          <w:numId w:val="31"/>
        </w:numPr>
        <w:kinsoku/>
        <w:wordWrap/>
        <w:overflowPunct/>
        <w:topLinePunct w:val="0"/>
        <w:autoSpaceDE/>
        <w:autoSpaceDN/>
        <w:bidi w:val="0"/>
        <w:adjustRightInd/>
        <w:snapToGrid/>
        <w:ind w:left="0" w:leftChars="0" w:firstLine="0" w:firstLineChars="0"/>
        <w:textAlignment w:val="auto"/>
        <w:rPr>
          <w:color w:val="auto"/>
        </w:rPr>
      </w:pPr>
      <w:r>
        <w:rPr>
          <w:color w:val="auto"/>
        </w:rPr>
        <w:t>本项目运行状况设计</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6"/>
        <w:gridCol w:w="1177"/>
        <w:gridCol w:w="1843"/>
        <w:gridCol w:w="2091"/>
        <w:gridCol w:w="2415"/>
      </w:tblGrid>
      <w:tr w14:paraId="7A031D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 w:type="pct"/>
            <w:tcBorders>
              <w:tl2br w:val="nil"/>
              <w:tr2bl w:val="nil"/>
            </w:tcBorders>
            <w:tcMar>
              <w:left w:w="28" w:type="dxa"/>
              <w:right w:w="28" w:type="dxa"/>
            </w:tcMar>
            <w:vAlign w:val="center"/>
          </w:tcPr>
          <w:p w14:paraId="3E754390">
            <w:pPr>
              <w:pStyle w:val="714"/>
              <w:rPr>
                <w:b/>
                <w:bCs/>
                <w:color w:val="auto"/>
              </w:rPr>
            </w:pPr>
            <w:r>
              <w:rPr>
                <w:b/>
                <w:bCs/>
                <w:color w:val="auto"/>
              </w:rPr>
              <w:t>功能分区</w:t>
            </w:r>
          </w:p>
        </w:tc>
        <w:tc>
          <w:tcPr>
            <w:tcW w:w="704" w:type="pct"/>
            <w:tcBorders>
              <w:tl2br w:val="nil"/>
              <w:tr2bl w:val="nil"/>
            </w:tcBorders>
            <w:vAlign w:val="center"/>
          </w:tcPr>
          <w:p w14:paraId="33ADD33D">
            <w:pPr>
              <w:pStyle w:val="714"/>
              <w:rPr>
                <w:b/>
                <w:bCs/>
                <w:color w:val="auto"/>
              </w:rPr>
            </w:pPr>
            <w:r>
              <w:rPr>
                <w:rFonts w:hint="eastAsia"/>
                <w:b/>
                <w:bCs/>
                <w:color w:val="auto"/>
              </w:rPr>
              <w:t>处理单元类型</w:t>
            </w:r>
          </w:p>
        </w:tc>
        <w:tc>
          <w:tcPr>
            <w:tcW w:w="1102" w:type="pct"/>
            <w:tcBorders>
              <w:tl2br w:val="nil"/>
              <w:tr2bl w:val="nil"/>
            </w:tcBorders>
            <w:shd w:val="clear" w:color="auto" w:fill="auto"/>
            <w:tcMar>
              <w:left w:w="28" w:type="dxa"/>
              <w:right w:w="28" w:type="dxa"/>
            </w:tcMar>
            <w:vAlign w:val="center"/>
          </w:tcPr>
          <w:p w14:paraId="2E8DA287">
            <w:pPr>
              <w:pStyle w:val="714"/>
              <w:rPr>
                <w:b/>
                <w:bCs/>
                <w:color w:val="auto"/>
              </w:rPr>
            </w:pPr>
            <w:r>
              <w:rPr>
                <w:b/>
                <w:bCs/>
                <w:color w:val="auto"/>
              </w:rPr>
              <w:t>构筑物</w:t>
            </w:r>
          </w:p>
        </w:tc>
        <w:tc>
          <w:tcPr>
            <w:tcW w:w="1250" w:type="pct"/>
            <w:tcBorders>
              <w:tl2br w:val="nil"/>
              <w:tr2bl w:val="nil"/>
            </w:tcBorders>
            <w:shd w:val="clear" w:color="auto" w:fill="auto"/>
            <w:noWrap/>
            <w:tcMar>
              <w:left w:w="28" w:type="dxa"/>
              <w:right w:w="28" w:type="dxa"/>
            </w:tcMar>
            <w:vAlign w:val="center"/>
          </w:tcPr>
          <w:p w14:paraId="0AA0E6F1">
            <w:pPr>
              <w:pStyle w:val="714"/>
              <w:rPr>
                <w:b/>
                <w:bCs/>
                <w:color w:val="auto"/>
              </w:rPr>
            </w:pPr>
            <w:r>
              <w:rPr>
                <w:b/>
                <w:bCs/>
                <w:color w:val="auto"/>
              </w:rPr>
              <w:t>正常状态</w:t>
            </w:r>
          </w:p>
        </w:tc>
        <w:tc>
          <w:tcPr>
            <w:tcW w:w="1444" w:type="pct"/>
            <w:tcBorders>
              <w:tl2br w:val="nil"/>
              <w:tr2bl w:val="nil"/>
            </w:tcBorders>
            <w:shd w:val="clear" w:color="auto" w:fill="auto"/>
            <w:noWrap/>
            <w:tcMar>
              <w:left w:w="28" w:type="dxa"/>
              <w:right w:w="28" w:type="dxa"/>
            </w:tcMar>
            <w:vAlign w:val="center"/>
          </w:tcPr>
          <w:p w14:paraId="59C8737B">
            <w:pPr>
              <w:pStyle w:val="714"/>
              <w:rPr>
                <w:b/>
                <w:bCs/>
                <w:color w:val="auto"/>
              </w:rPr>
            </w:pPr>
            <w:r>
              <w:rPr>
                <w:b/>
                <w:bCs/>
                <w:color w:val="auto"/>
              </w:rPr>
              <w:t>非正常状态</w:t>
            </w:r>
          </w:p>
        </w:tc>
      </w:tr>
      <w:tr w14:paraId="482C38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 w:type="pct"/>
            <w:vMerge w:val="restart"/>
            <w:tcBorders>
              <w:tl2br w:val="nil"/>
              <w:tr2bl w:val="nil"/>
            </w:tcBorders>
            <w:tcMar>
              <w:left w:w="28" w:type="dxa"/>
              <w:right w:w="28" w:type="dxa"/>
            </w:tcMar>
            <w:vAlign w:val="center"/>
          </w:tcPr>
          <w:p w14:paraId="649F4085">
            <w:pPr>
              <w:pStyle w:val="714"/>
              <w:rPr>
                <w:color w:val="auto"/>
              </w:rPr>
            </w:pPr>
            <w:r>
              <w:rPr>
                <w:rFonts w:hint="eastAsia"/>
                <w:color w:val="auto"/>
              </w:rPr>
              <w:t>主体工程</w:t>
            </w:r>
          </w:p>
        </w:tc>
        <w:tc>
          <w:tcPr>
            <w:tcW w:w="704" w:type="pct"/>
            <w:vMerge w:val="restart"/>
            <w:tcBorders>
              <w:tl2br w:val="nil"/>
              <w:tr2bl w:val="nil"/>
            </w:tcBorders>
            <w:vAlign w:val="center"/>
          </w:tcPr>
          <w:p w14:paraId="4C7B163E">
            <w:pPr>
              <w:pStyle w:val="714"/>
              <w:rPr>
                <w:color w:val="auto"/>
              </w:rPr>
            </w:pPr>
            <w:r>
              <w:rPr>
                <w:rFonts w:hint="eastAsia"/>
                <w:color w:val="auto"/>
              </w:rPr>
              <w:t>一级处理单元</w:t>
            </w:r>
          </w:p>
        </w:tc>
        <w:tc>
          <w:tcPr>
            <w:tcW w:w="1102" w:type="pct"/>
            <w:tcBorders>
              <w:tl2br w:val="nil"/>
              <w:tr2bl w:val="nil"/>
            </w:tcBorders>
            <w:shd w:val="clear" w:color="auto" w:fill="auto"/>
            <w:tcMar>
              <w:left w:w="28" w:type="dxa"/>
              <w:right w:w="28" w:type="dxa"/>
            </w:tcMar>
            <w:vAlign w:val="center"/>
          </w:tcPr>
          <w:p w14:paraId="29111FE4">
            <w:pPr>
              <w:pStyle w:val="714"/>
              <w:rPr>
                <w:color w:val="auto"/>
              </w:rPr>
            </w:pPr>
            <w:r>
              <w:rPr>
                <w:rFonts w:hint="eastAsia"/>
                <w:color w:val="auto"/>
              </w:rPr>
              <w:t>超细格栅池</w:t>
            </w:r>
          </w:p>
        </w:tc>
        <w:tc>
          <w:tcPr>
            <w:tcW w:w="1250" w:type="pct"/>
            <w:vMerge w:val="restart"/>
            <w:tcBorders>
              <w:tl2br w:val="nil"/>
              <w:tr2bl w:val="nil"/>
            </w:tcBorders>
            <w:shd w:val="clear" w:color="auto" w:fill="auto"/>
            <w:noWrap/>
            <w:tcMar>
              <w:left w:w="28" w:type="dxa"/>
              <w:right w:w="28" w:type="dxa"/>
            </w:tcMar>
            <w:vAlign w:val="center"/>
          </w:tcPr>
          <w:p w14:paraId="11013FBA">
            <w:pPr>
              <w:pStyle w:val="714"/>
              <w:rPr>
                <w:color w:val="auto"/>
              </w:rPr>
            </w:pPr>
            <w:r>
              <w:rPr>
                <w:color w:val="auto"/>
              </w:rPr>
              <w:t>根据</w:t>
            </w:r>
            <w:r>
              <w:rPr>
                <w:rFonts w:hint="eastAsia"/>
                <w:color w:val="auto"/>
              </w:rPr>
              <w:t>导则要求，</w:t>
            </w:r>
            <w:r>
              <w:rPr>
                <w:color w:val="auto"/>
              </w:rPr>
              <w:t>采取重点防渗措施。在采取</w:t>
            </w:r>
            <w:r>
              <w:rPr>
                <w:rFonts w:hint="eastAsia"/>
                <w:color w:val="auto"/>
              </w:rPr>
              <w:t>重点</w:t>
            </w:r>
            <w:r>
              <w:rPr>
                <w:color w:val="auto"/>
              </w:rPr>
              <w:t>措施情况下，正常运行状况对地下水环境较小，将不作为预测重点。</w:t>
            </w:r>
          </w:p>
        </w:tc>
        <w:tc>
          <w:tcPr>
            <w:tcW w:w="1444" w:type="pct"/>
            <w:vMerge w:val="restart"/>
            <w:tcBorders>
              <w:tl2br w:val="nil"/>
              <w:tr2bl w:val="nil"/>
            </w:tcBorders>
            <w:shd w:val="clear" w:color="auto" w:fill="auto"/>
            <w:noWrap/>
            <w:tcMar>
              <w:left w:w="28" w:type="dxa"/>
              <w:right w:w="28" w:type="dxa"/>
            </w:tcMar>
            <w:vAlign w:val="center"/>
          </w:tcPr>
          <w:p w14:paraId="77F68A80">
            <w:pPr>
              <w:pStyle w:val="714"/>
              <w:rPr>
                <w:color w:val="auto"/>
              </w:rPr>
            </w:pPr>
            <w:r>
              <w:rPr>
                <w:rFonts w:hint="eastAsia"/>
                <w:color w:val="auto"/>
              </w:rPr>
              <w:t>污水</w:t>
            </w:r>
            <w:r>
              <w:rPr>
                <w:color w:val="auto"/>
              </w:rPr>
              <w:t>处理</w:t>
            </w:r>
            <w:r>
              <w:rPr>
                <w:rFonts w:hint="eastAsia"/>
                <w:color w:val="auto"/>
              </w:rPr>
              <w:t>厂</w:t>
            </w:r>
            <w:r>
              <w:rPr>
                <w:color w:val="auto"/>
              </w:rPr>
              <w:t>中</w:t>
            </w:r>
            <w:r>
              <w:rPr>
                <w:rFonts w:hint="eastAsia"/>
                <w:color w:val="auto"/>
              </w:rPr>
              <w:t>各</w:t>
            </w:r>
            <w:r>
              <w:rPr>
                <w:color w:val="auto"/>
              </w:rPr>
              <w:t>主要池体因腐蚀</w:t>
            </w:r>
            <w:r>
              <w:rPr>
                <w:rFonts w:hint="eastAsia"/>
                <w:color w:val="auto"/>
              </w:rPr>
              <w:t>、沉陷</w:t>
            </w:r>
            <w:r>
              <w:rPr>
                <w:color w:val="auto"/>
              </w:rPr>
              <w:t>等原因出现裂缝，池体防渗层裂缝面积占池体面积10%，</w:t>
            </w:r>
            <w:r>
              <w:rPr>
                <w:rFonts w:hint="eastAsia"/>
                <w:color w:val="auto"/>
              </w:rPr>
              <w:t>各</w:t>
            </w:r>
            <w:r>
              <w:rPr>
                <w:color w:val="auto"/>
              </w:rPr>
              <w:t>池体内水位高度</w:t>
            </w:r>
            <w:r>
              <w:rPr>
                <w:rFonts w:hint="eastAsia"/>
                <w:color w:val="auto"/>
              </w:rPr>
              <w:t>分别</w:t>
            </w:r>
            <w:r>
              <w:rPr>
                <w:color w:val="auto"/>
              </w:rPr>
              <w:t>取</w:t>
            </w:r>
            <w:r>
              <w:rPr>
                <w:rFonts w:hint="eastAsia"/>
                <w:color w:val="auto"/>
              </w:rPr>
              <w:t>各自</w:t>
            </w:r>
            <w:r>
              <w:rPr>
                <w:color w:val="auto"/>
              </w:rPr>
              <w:t>有效水深。</w:t>
            </w:r>
          </w:p>
        </w:tc>
      </w:tr>
      <w:tr w14:paraId="05B33B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 w:type="pct"/>
            <w:vMerge w:val="continue"/>
            <w:tcBorders>
              <w:tl2br w:val="nil"/>
              <w:tr2bl w:val="nil"/>
            </w:tcBorders>
            <w:tcMar>
              <w:left w:w="28" w:type="dxa"/>
              <w:right w:w="28" w:type="dxa"/>
            </w:tcMar>
            <w:vAlign w:val="center"/>
          </w:tcPr>
          <w:p w14:paraId="63890485">
            <w:pPr>
              <w:pStyle w:val="714"/>
              <w:rPr>
                <w:color w:val="auto"/>
              </w:rPr>
            </w:pPr>
          </w:p>
        </w:tc>
        <w:tc>
          <w:tcPr>
            <w:tcW w:w="704" w:type="pct"/>
            <w:vMerge w:val="continue"/>
            <w:tcBorders>
              <w:tl2br w:val="nil"/>
              <w:tr2bl w:val="nil"/>
            </w:tcBorders>
            <w:vAlign w:val="center"/>
          </w:tcPr>
          <w:p w14:paraId="1A7F5110">
            <w:pPr>
              <w:pStyle w:val="714"/>
              <w:rPr>
                <w:color w:val="auto"/>
              </w:rPr>
            </w:pPr>
          </w:p>
        </w:tc>
        <w:tc>
          <w:tcPr>
            <w:tcW w:w="1102" w:type="pct"/>
            <w:tcBorders>
              <w:tl2br w:val="nil"/>
              <w:tr2bl w:val="nil"/>
            </w:tcBorders>
            <w:shd w:val="clear" w:color="auto" w:fill="auto"/>
            <w:tcMar>
              <w:left w:w="28" w:type="dxa"/>
              <w:right w:w="28" w:type="dxa"/>
            </w:tcMar>
            <w:vAlign w:val="center"/>
          </w:tcPr>
          <w:p w14:paraId="21559820">
            <w:pPr>
              <w:pStyle w:val="714"/>
              <w:rPr>
                <w:color w:val="auto"/>
              </w:rPr>
            </w:pPr>
            <w:r>
              <w:rPr>
                <w:rFonts w:hint="eastAsia"/>
                <w:color w:val="auto"/>
              </w:rPr>
              <w:t>调节池</w:t>
            </w:r>
          </w:p>
        </w:tc>
        <w:tc>
          <w:tcPr>
            <w:tcW w:w="1250" w:type="pct"/>
            <w:vMerge w:val="continue"/>
            <w:tcBorders>
              <w:tl2br w:val="nil"/>
              <w:tr2bl w:val="nil"/>
            </w:tcBorders>
            <w:shd w:val="clear" w:color="auto" w:fill="auto"/>
            <w:noWrap/>
            <w:tcMar>
              <w:left w:w="28" w:type="dxa"/>
              <w:right w:w="28" w:type="dxa"/>
            </w:tcMar>
            <w:vAlign w:val="center"/>
          </w:tcPr>
          <w:p w14:paraId="6BB9B7C6">
            <w:pPr>
              <w:pStyle w:val="714"/>
              <w:rPr>
                <w:color w:val="auto"/>
              </w:rPr>
            </w:pPr>
          </w:p>
        </w:tc>
        <w:tc>
          <w:tcPr>
            <w:tcW w:w="1444" w:type="pct"/>
            <w:vMerge w:val="continue"/>
            <w:tcBorders>
              <w:tl2br w:val="nil"/>
              <w:tr2bl w:val="nil"/>
            </w:tcBorders>
            <w:shd w:val="clear" w:color="auto" w:fill="auto"/>
            <w:noWrap/>
            <w:tcMar>
              <w:left w:w="28" w:type="dxa"/>
              <w:right w:w="28" w:type="dxa"/>
            </w:tcMar>
            <w:vAlign w:val="center"/>
          </w:tcPr>
          <w:p w14:paraId="4ECC10F4">
            <w:pPr>
              <w:pStyle w:val="714"/>
              <w:rPr>
                <w:color w:val="auto"/>
              </w:rPr>
            </w:pPr>
          </w:p>
        </w:tc>
      </w:tr>
      <w:tr w14:paraId="04B7B0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 w:type="pct"/>
            <w:vMerge w:val="continue"/>
            <w:tcBorders>
              <w:tl2br w:val="nil"/>
              <w:tr2bl w:val="nil"/>
            </w:tcBorders>
            <w:tcMar>
              <w:left w:w="28" w:type="dxa"/>
              <w:right w:w="28" w:type="dxa"/>
            </w:tcMar>
            <w:vAlign w:val="center"/>
          </w:tcPr>
          <w:p w14:paraId="47F9D0CE">
            <w:pPr>
              <w:pStyle w:val="714"/>
              <w:rPr>
                <w:color w:val="auto"/>
              </w:rPr>
            </w:pPr>
          </w:p>
        </w:tc>
        <w:tc>
          <w:tcPr>
            <w:tcW w:w="704" w:type="pct"/>
            <w:vMerge w:val="continue"/>
            <w:tcBorders>
              <w:tl2br w:val="nil"/>
              <w:tr2bl w:val="nil"/>
            </w:tcBorders>
            <w:vAlign w:val="center"/>
          </w:tcPr>
          <w:p w14:paraId="55CC3D23">
            <w:pPr>
              <w:pStyle w:val="714"/>
              <w:rPr>
                <w:color w:val="auto"/>
              </w:rPr>
            </w:pPr>
          </w:p>
        </w:tc>
        <w:tc>
          <w:tcPr>
            <w:tcW w:w="1102" w:type="pct"/>
            <w:tcBorders>
              <w:tl2br w:val="nil"/>
              <w:tr2bl w:val="nil"/>
            </w:tcBorders>
            <w:shd w:val="clear" w:color="auto" w:fill="auto"/>
            <w:tcMar>
              <w:left w:w="28" w:type="dxa"/>
              <w:right w:w="28" w:type="dxa"/>
            </w:tcMar>
            <w:vAlign w:val="center"/>
          </w:tcPr>
          <w:p w14:paraId="17523A70">
            <w:pPr>
              <w:pStyle w:val="714"/>
              <w:rPr>
                <w:color w:val="auto"/>
              </w:rPr>
            </w:pPr>
            <w:r>
              <w:rPr>
                <w:rFonts w:hint="eastAsia"/>
                <w:color w:val="auto"/>
              </w:rPr>
              <w:t>水解酸化池</w:t>
            </w:r>
          </w:p>
        </w:tc>
        <w:tc>
          <w:tcPr>
            <w:tcW w:w="1250" w:type="pct"/>
            <w:vMerge w:val="continue"/>
            <w:tcBorders>
              <w:tl2br w:val="nil"/>
              <w:tr2bl w:val="nil"/>
            </w:tcBorders>
            <w:shd w:val="clear" w:color="auto" w:fill="auto"/>
            <w:noWrap/>
            <w:tcMar>
              <w:left w:w="28" w:type="dxa"/>
              <w:right w:w="28" w:type="dxa"/>
            </w:tcMar>
            <w:vAlign w:val="center"/>
          </w:tcPr>
          <w:p w14:paraId="4898A28B">
            <w:pPr>
              <w:pStyle w:val="714"/>
              <w:rPr>
                <w:color w:val="auto"/>
              </w:rPr>
            </w:pPr>
          </w:p>
        </w:tc>
        <w:tc>
          <w:tcPr>
            <w:tcW w:w="1444" w:type="pct"/>
            <w:vMerge w:val="continue"/>
            <w:tcBorders>
              <w:tl2br w:val="nil"/>
              <w:tr2bl w:val="nil"/>
            </w:tcBorders>
            <w:shd w:val="clear" w:color="auto" w:fill="auto"/>
            <w:noWrap/>
            <w:tcMar>
              <w:left w:w="28" w:type="dxa"/>
              <w:right w:w="28" w:type="dxa"/>
            </w:tcMar>
            <w:vAlign w:val="center"/>
          </w:tcPr>
          <w:p w14:paraId="22A08FC1">
            <w:pPr>
              <w:pStyle w:val="714"/>
              <w:rPr>
                <w:color w:val="auto"/>
              </w:rPr>
            </w:pPr>
          </w:p>
        </w:tc>
      </w:tr>
      <w:tr w14:paraId="333DC5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 w:type="pct"/>
            <w:vMerge w:val="continue"/>
            <w:tcBorders>
              <w:tl2br w:val="nil"/>
              <w:tr2bl w:val="nil"/>
            </w:tcBorders>
            <w:tcMar>
              <w:left w:w="28" w:type="dxa"/>
              <w:right w:w="28" w:type="dxa"/>
            </w:tcMar>
            <w:vAlign w:val="center"/>
          </w:tcPr>
          <w:p w14:paraId="15EC0993">
            <w:pPr>
              <w:pStyle w:val="714"/>
              <w:rPr>
                <w:color w:val="auto"/>
              </w:rPr>
            </w:pPr>
          </w:p>
        </w:tc>
        <w:tc>
          <w:tcPr>
            <w:tcW w:w="704" w:type="pct"/>
            <w:vMerge w:val="restart"/>
            <w:tcBorders>
              <w:tl2br w:val="nil"/>
              <w:tr2bl w:val="nil"/>
            </w:tcBorders>
            <w:vAlign w:val="center"/>
          </w:tcPr>
          <w:p w14:paraId="1B38195B">
            <w:pPr>
              <w:pStyle w:val="714"/>
              <w:rPr>
                <w:color w:val="auto"/>
              </w:rPr>
            </w:pPr>
            <w:r>
              <w:rPr>
                <w:rFonts w:hint="eastAsia"/>
                <w:color w:val="auto"/>
              </w:rPr>
              <w:t>二级处理单元</w:t>
            </w:r>
          </w:p>
        </w:tc>
        <w:tc>
          <w:tcPr>
            <w:tcW w:w="1102" w:type="pct"/>
            <w:tcBorders>
              <w:tl2br w:val="nil"/>
              <w:tr2bl w:val="nil"/>
            </w:tcBorders>
            <w:shd w:val="clear" w:color="auto" w:fill="auto"/>
            <w:tcMar>
              <w:left w:w="28" w:type="dxa"/>
              <w:right w:w="28" w:type="dxa"/>
            </w:tcMar>
            <w:vAlign w:val="center"/>
          </w:tcPr>
          <w:p w14:paraId="52318070">
            <w:pPr>
              <w:pStyle w:val="714"/>
              <w:rPr>
                <w:color w:val="auto"/>
              </w:rPr>
            </w:pPr>
            <w:r>
              <w:rPr>
                <w:rFonts w:hint="eastAsia"/>
                <w:color w:val="auto"/>
              </w:rPr>
              <w:t>微氧低循环生化池</w:t>
            </w:r>
          </w:p>
        </w:tc>
        <w:tc>
          <w:tcPr>
            <w:tcW w:w="1250" w:type="pct"/>
            <w:vMerge w:val="continue"/>
            <w:tcBorders>
              <w:tl2br w:val="nil"/>
              <w:tr2bl w:val="nil"/>
            </w:tcBorders>
            <w:shd w:val="clear" w:color="auto" w:fill="auto"/>
            <w:noWrap/>
            <w:tcMar>
              <w:left w:w="28" w:type="dxa"/>
              <w:right w:w="28" w:type="dxa"/>
            </w:tcMar>
            <w:vAlign w:val="center"/>
          </w:tcPr>
          <w:p w14:paraId="5019345C">
            <w:pPr>
              <w:pStyle w:val="714"/>
              <w:rPr>
                <w:color w:val="auto"/>
              </w:rPr>
            </w:pPr>
          </w:p>
        </w:tc>
        <w:tc>
          <w:tcPr>
            <w:tcW w:w="1444" w:type="pct"/>
            <w:vMerge w:val="continue"/>
            <w:tcBorders>
              <w:tl2br w:val="nil"/>
              <w:tr2bl w:val="nil"/>
            </w:tcBorders>
            <w:shd w:val="clear" w:color="auto" w:fill="auto"/>
            <w:noWrap/>
            <w:tcMar>
              <w:left w:w="28" w:type="dxa"/>
              <w:right w:w="28" w:type="dxa"/>
            </w:tcMar>
            <w:vAlign w:val="center"/>
          </w:tcPr>
          <w:p w14:paraId="71FA87EF">
            <w:pPr>
              <w:pStyle w:val="714"/>
              <w:rPr>
                <w:color w:val="auto"/>
              </w:rPr>
            </w:pPr>
          </w:p>
        </w:tc>
      </w:tr>
      <w:tr w14:paraId="4BAE4A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 w:type="pct"/>
            <w:vMerge w:val="continue"/>
            <w:tcBorders>
              <w:tl2br w:val="nil"/>
              <w:tr2bl w:val="nil"/>
            </w:tcBorders>
            <w:tcMar>
              <w:left w:w="28" w:type="dxa"/>
              <w:right w:w="28" w:type="dxa"/>
            </w:tcMar>
            <w:vAlign w:val="center"/>
          </w:tcPr>
          <w:p w14:paraId="63DBF091">
            <w:pPr>
              <w:pStyle w:val="714"/>
              <w:rPr>
                <w:color w:val="auto"/>
              </w:rPr>
            </w:pPr>
          </w:p>
        </w:tc>
        <w:tc>
          <w:tcPr>
            <w:tcW w:w="704" w:type="pct"/>
            <w:vMerge w:val="continue"/>
            <w:tcBorders>
              <w:tl2br w:val="nil"/>
              <w:tr2bl w:val="nil"/>
            </w:tcBorders>
            <w:vAlign w:val="center"/>
          </w:tcPr>
          <w:p w14:paraId="07A8E99C">
            <w:pPr>
              <w:pStyle w:val="714"/>
              <w:rPr>
                <w:color w:val="auto"/>
              </w:rPr>
            </w:pPr>
          </w:p>
        </w:tc>
        <w:tc>
          <w:tcPr>
            <w:tcW w:w="1102" w:type="pct"/>
            <w:tcBorders>
              <w:tl2br w:val="nil"/>
              <w:tr2bl w:val="nil"/>
            </w:tcBorders>
            <w:shd w:val="clear" w:color="auto" w:fill="auto"/>
            <w:tcMar>
              <w:left w:w="28" w:type="dxa"/>
              <w:right w:w="28" w:type="dxa"/>
            </w:tcMar>
            <w:vAlign w:val="center"/>
          </w:tcPr>
          <w:p w14:paraId="7616AD9B">
            <w:pPr>
              <w:pStyle w:val="714"/>
              <w:rPr>
                <w:color w:val="auto"/>
              </w:rPr>
            </w:pPr>
            <w:r>
              <w:rPr>
                <w:rFonts w:hint="eastAsia"/>
                <w:color w:val="auto"/>
              </w:rPr>
              <w:t>反硝化深床滤池</w:t>
            </w:r>
          </w:p>
        </w:tc>
        <w:tc>
          <w:tcPr>
            <w:tcW w:w="1250" w:type="pct"/>
            <w:vMerge w:val="continue"/>
            <w:tcBorders>
              <w:tl2br w:val="nil"/>
              <w:tr2bl w:val="nil"/>
            </w:tcBorders>
            <w:shd w:val="clear" w:color="auto" w:fill="auto"/>
            <w:noWrap/>
            <w:tcMar>
              <w:left w:w="28" w:type="dxa"/>
              <w:right w:w="28" w:type="dxa"/>
            </w:tcMar>
            <w:vAlign w:val="center"/>
          </w:tcPr>
          <w:p w14:paraId="5F0F0C64">
            <w:pPr>
              <w:pStyle w:val="714"/>
              <w:rPr>
                <w:color w:val="auto"/>
              </w:rPr>
            </w:pPr>
          </w:p>
        </w:tc>
        <w:tc>
          <w:tcPr>
            <w:tcW w:w="1444" w:type="pct"/>
            <w:vMerge w:val="continue"/>
            <w:tcBorders>
              <w:tl2br w:val="nil"/>
              <w:tr2bl w:val="nil"/>
            </w:tcBorders>
            <w:shd w:val="clear" w:color="auto" w:fill="auto"/>
            <w:noWrap/>
            <w:tcMar>
              <w:left w:w="28" w:type="dxa"/>
              <w:right w:w="28" w:type="dxa"/>
            </w:tcMar>
            <w:vAlign w:val="center"/>
          </w:tcPr>
          <w:p w14:paraId="5F5B468C">
            <w:pPr>
              <w:pStyle w:val="714"/>
              <w:rPr>
                <w:color w:val="auto"/>
              </w:rPr>
            </w:pPr>
          </w:p>
        </w:tc>
      </w:tr>
      <w:tr w14:paraId="0A0E4B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 w:type="pct"/>
            <w:vMerge w:val="continue"/>
            <w:tcBorders>
              <w:tl2br w:val="nil"/>
              <w:tr2bl w:val="nil"/>
            </w:tcBorders>
            <w:tcMar>
              <w:left w:w="28" w:type="dxa"/>
              <w:right w:w="28" w:type="dxa"/>
            </w:tcMar>
            <w:vAlign w:val="center"/>
          </w:tcPr>
          <w:p w14:paraId="785E31E5">
            <w:pPr>
              <w:pStyle w:val="714"/>
              <w:rPr>
                <w:color w:val="auto"/>
              </w:rPr>
            </w:pPr>
          </w:p>
        </w:tc>
        <w:tc>
          <w:tcPr>
            <w:tcW w:w="704" w:type="pct"/>
            <w:tcBorders>
              <w:tl2br w:val="nil"/>
              <w:tr2bl w:val="nil"/>
            </w:tcBorders>
            <w:vAlign w:val="center"/>
          </w:tcPr>
          <w:p w14:paraId="50AD0597">
            <w:pPr>
              <w:pStyle w:val="714"/>
              <w:rPr>
                <w:color w:val="auto"/>
              </w:rPr>
            </w:pPr>
            <w:r>
              <w:rPr>
                <w:rFonts w:hint="eastAsia"/>
                <w:color w:val="auto"/>
              </w:rPr>
              <w:t>深度处理单元</w:t>
            </w:r>
          </w:p>
        </w:tc>
        <w:tc>
          <w:tcPr>
            <w:tcW w:w="1102" w:type="pct"/>
            <w:tcBorders>
              <w:tl2br w:val="nil"/>
              <w:tr2bl w:val="nil"/>
            </w:tcBorders>
            <w:shd w:val="clear" w:color="auto" w:fill="auto"/>
            <w:tcMar>
              <w:left w:w="28" w:type="dxa"/>
              <w:right w:w="28" w:type="dxa"/>
            </w:tcMar>
            <w:vAlign w:val="center"/>
          </w:tcPr>
          <w:p w14:paraId="18BC652C">
            <w:pPr>
              <w:pStyle w:val="714"/>
              <w:rPr>
                <w:color w:val="auto"/>
              </w:rPr>
            </w:pPr>
            <w:r>
              <w:rPr>
                <w:rFonts w:hint="eastAsia"/>
                <w:color w:val="auto"/>
              </w:rPr>
              <w:t>高级氧化撬装设备</w:t>
            </w:r>
          </w:p>
        </w:tc>
        <w:tc>
          <w:tcPr>
            <w:tcW w:w="1250" w:type="pct"/>
            <w:vMerge w:val="continue"/>
            <w:tcBorders>
              <w:tl2br w:val="nil"/>
              <w:tr2bl w:val="nil"/>
            </w:tcBorders>
            <w:shd w:val="clear" w:color="auto" w:fill="auto"/>
            <w:noWrap/>
            <w:tcMar>
              <w:left w:w="28" w:type="dxa"/>
              <w:right w:w="28" w:type="dxa"/>
            </w:tcMar>
            <w:vAlign w:val="center"/>
          </w:tcPr>
          <w:p w14:paraId="0E82115E">
            <w:pPr>
              <w:pStyle w:val="714"/>
              <w:rPr>
                <w:color w:val="auto"/>
              </w:rPr>
            </w:pPr>
          </w:p>
        </w:tc>
        <w:tc>
          <w:tcPr>
            <w:tcW w:w="1444" w:type="pct"/>
            <w:vMerge w:val="continue"/>
            <w:tcBorders>
              <w:tl2br w:val="nil"/>
              <w:tr2bl w:val="nil"/>
            </w:tcBorders>
            <w:shd w:val="clear" w:color="auto" w:fill="auto"/>
            <w:noWrap/>
            <w:tcMar>
              <w:left w:w="28" w:type="dxa"/>
              <w:right w:w="28" w:type="dxa"/>
            </w:tcMar>
            <w:vAlign w:val="center"/>
          </w:tcPr>
          <w:p w14:paraId="2EE10875">
            <w:pPr>
              <w:pStyle w:val="714"/>
              <w:rPr>
                <w:color w:val="auto"/>
              </w:rPr>
            </w:pPr>
          </w:p>
        </w:tc>
      </w:tr>
      <w:tr w14:paraId="57128C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 w:type="pct"/>
            <w:vMerge w:val="restart"/>
            <w:tcBorders>
              <w:tl2br w:val="nil"/>
              <w:tr2bl w:val="nil"/>
            </w:tcBorders>
            <w:tcMar>
              <w:left w:w="28" w:type="dxa"/>
              <w:right w:w="28" w:type="dxa"/>
            </w:tcMar>
            <w:vAlign w:val="center"/>
          </w:tcPr>
          <w:p w14:paraId="6160C27A">
            <w:pPr>
              <w:pStyle w:val="714"/>
              <w:rPr>
                <w:color w:val="auto"/>
              </w:rPr>
            </w:pPr>
            <w:r>
              <w:rPr>
                <w:rFonts w:hint="eastAsia"/>
                <w:color w:val="auto"/>
              </w:rPr>
              <w:t>配套工程</w:t>
            </w:r>
          </w:p>
        </w:tc>
        <w:tc>
          <w:tcPr>
            <w:tcW w:w="704" w:type="pct"/>
            <w:vMerge w:val="restart"/>
            <w:tcBorders>
              <w:tl2br w:val="nil"/>
              <w:tr2bl w:val="nil"/>
            </w:tcBorders>
            <w:vAlign w:val="center"/>
          </w:tcPr>
          <w:p w14:paraId="58119CFB">
            <w:pPr>
              <w:pStyle w:val="714"/>
              <w:rPr>
                <w:color w:val="auto"/>
              </w:rPr>
            </w:pPr>
            <w:r>
              <w:rPr>
                <w:rFonts w:hint="eastAsia"/>
                <w:color w:val="auto"/>
              </w:rPr>
              <w:t>污泥处理单元</w:t>
            </w:r>
          </w:p>
        </w:tc>
        <w:tc>
          <w:tcPr>
            <w:tcW w:w="1102" w:type="pct"/>
            <w:tcBorders>
              <w:tl2br w:val="nil"/>
              <w:tr2bl w:val="nil"/>
            </w:tcBorders>
            <w:shd w:val="clear" w:color="auto" w:fill="auto"/>
            <w:tcMar>
              <w:left w:w="28" w:type="dxa"/>
              <w:right w:w="28" w:type="dxa"/>
            </w:tcMar>
            <w:vAlign w:val="center"/>
          </w:tcPr>
          <w:p w14:paraId="36C04125">
            <w:pPr>
              <w:pStyle w:val="714"/>
              <w:rPr>
                <w:color w:val="auto"/>
              </w:rPr>
            </w:pPr>
            <w:r>
              <w:rPr>
                <w:rFonts w:hint="eastAsia"/>
                <w:color w:val="auto"/>
              </w:rPr>
              <w:t>磁混凝沉淀池</w:t>
            </w:r>
          </w:p>
        </w:tc>
        <w:tc>
          <w:tcPr>
            <w:tcW w:w="1250" w:type="pct"/>
            <w:vMerge w:val="continue"/>
            <w:tcBorders>
              <w:tl2br w:val="nil"/>
              <w:tr2bl w:val="nil"/>
            </w:tcBorders>
            <w:shd w:val="clear" w:color="auto" w:fill="auto"/>
            <w:noWrap/>
            <w:tcMar>
              <w:left w:w="28" w:type="dxa"/>
              <w:right w:w="28" w:type="dxa"/>
            </w:tcMar>
            <w:vAlign w:val="center"/>
          </w:tcPr>
          <w:p w14:paraId="088FFADE">
            <w:pPr>
              <w:pStyle w:val="714"/>
              <w:rPr>
                <w:color w:val="auto"/>
              </w:rPr>
            </w:pPr>
          </w:p>
        </w:tc>
        <w:tc>
          <w:tcPr>
            <w:tcW w:w="1444" w:type="pct"/>
            <w:vMerge w:val="continue"/>
            <w:tcBorders>
              <w:tl2br w:val="nil"/>
              <w:tr2bl w:val="nil"/>
            </w:tcBorders>
            <w:shd w:val="clear" w:color="auto" w:fill="auto"/>
            <w:noWrap/>
            <w:tcMar>
              <w:left w:w="28" w:type="dxa"/>
              <w:right w:w="28" w:type="dxa"/>
            </w:tcMar>
            <w:vAlign w:val="center"/>
          </w:tcPr>
          <w:p w14:paraId="1697C2A2">
            <w:pPr>
              <w:pStyle w:val="714"/>
              <w:rPr>
                <w:color w:val="auto"/>
              </w:rPr>
            </w:pPr>
          </w:p>
        </w:tc>
      </w:tr>
      <w:tr w14:paraId="69A415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 w:type="pct"/>
            <w:vMerge w:val="continue"/>
            <w:tcBorders>
              <w:tl2br w:val="nil"/>
              <w:tr2bl w:val="nil"/>
            </w:tcBorders>
            <w:tcMar>
              <w:left w:w="28" w:type="dxa"/>
              <w:right w:w="28" w:type="dxa"/>
            </w:tcMar>
            <w:vAlign w:val="center"/>
          </w:tcPr>
          <w:p w14:paraId="7D9A82EE">
            <w:pPr>
              <w:pStyle w:val="714"/>
              <w:rPr>
                <w:color w:val="auto"/>
              </w:rPr>
            </w:pPr>
          </w:p>
        </w:tc>
        <w:tc>
          <w:tcPr>
            <w:tcW w:w="704" w:type="pct"/>
            <w:vMerge w:val="continue"/>
            <w:tcBorders>
              <w:tl2br w:val="nil"/>
              <w:tr2bl w:val="nil"/>
            </w:tcBorders>
            <w:vAlign w:val="center"/>
          </w:tcPr>
          <w:p w14:paraId="2B9DD9F3">
            <w:pPr>
              <w:pStyle w:val="714"/>
              <w:rPr>
                <w:color w:val="auto"/>
              </w:rPr>
            </w:pPr>
          </w:p>
        </w:tc>
        <w:tc>
          <w:tcPr>
            <w:tcW w:w="1102" w:type="pct"/>
            <w:tcBorders>
              <w:tl2br w:val="nil"/>
              <w:tr2bl w:val="nil"/>
            </w:tcBorders>
            <w:shd w:val="clear" w:color="auto" w:fill="auto"/>
            <w:tcMar>
              <w:left w:w="28" w:type="dxa"/>
              <w:right w:w="28" w:type="dxa"/>
            </w:tcMar>
            <w:vAlign w:val="center"/>
          </w:tcPr>
          <w:p w14:paraId="61BF11EC">
            <w:pPr>
              <w:pStyle w:val="714"/>
              <w:rPr>
                <w:color w:val="auto"/>
              </w:rPr>
            </w:pPr>
            <w:r>
              <w:rPr>
                <w:rFonts w:hint="eastAsia"/>
                <w:color w:val="auto"/>
              </w:rPr>
              <w:t>污泥池</w:t>
            </w:r>
          </w:p>
        </w:tc>
        <w:tc>
          <w:tcPr>
            <w:tcW w:w="1250" w:type="pct"/>
            <w:vMerge w:val="continue"/>
            <w:tcBorders>
              <w:tl2br w:val="nil"/>
              <w:tr2bl w:val="nil"/>
            </w:tcBorders>
            <w:shd w:val="clear" w:color="auto" w:fill="auto"/>
            <w:noWrap/>
            <w:tcMar>
              <w:left w:w="28" w:type="dxa"/>
              <w:right w:w="28" w:type="dxa"/>
            </w:tcMar>
            <w:vAlign w:val="center"/>
          </w:tcPr>
          <w:p w14:paraId="7A1F71FB">
            <w:pPr>
              <w:pStyle w:val="714"/>
              <w:rPr>
                <w:color w:val="auto"/>
              </w:rPr>
            </w:pPr>
          </w:p>
        </w:tc>
        <w:tc>
          <w:tcPr>
            <w:tcW w:w="1444" w:type="pct"/>
            <w:vMerge w:val="continue"/>
            <w:tcBorders>
              <w:tl2br w:val="nil"/>
              <w:tr2bl w:val="nil"/>
            </w:tcBorders>
            <w:shd w:val="clear" w:color="auto" w:fill="auto"/>
            <w:noWrap/>
            <w:tcMar>
              <w:left w:w="28" w:type="dxa"/>
              <w:right w:w="28" w:type="dxa"/>
            </w:tcMar>
            <w:vAlign w:val="center"/>
          </w:tcPr>
          <w:p w14:paraId="2364B5ED">
            <w:pPr>
              <w:pStyle w:val="714"/>
              <w:rPr>
                <w:color w:val="auto"/>
              </w:rPr>
            </w:pPr>
          </w:p>
        </w:tc>
      </w:tr>
    </w:tbl>
    <w:p w14:paraId="2A0990A7">
      <w:pPr>
        <w:ind w:firstLine="482"/>
        <w:rPr>
          <w:b/>
          <w:bCs/>
          <w:color w:val="auto"/>
        </w:rPr>
      </w:pPr>
      <w:r>
        <w:rPr>
          <w:b/>
          <w:bCs/>
          <w:color w:val="auto"/>
        </w:rPr>
        <w:t>（4）计算方法</w:t>
      </w:r>
    </w:p>
    <w:p w14:paraId="4BFF1D8D">
      <w:pPr>
        <w:ind w:firstLine="480"/>
        <w:rPr>
          <w:color w:val="auto"/>
        </w:rPr>
      </w:pPr>
      <w:r>
        <w:rPr>
          <w:color w:val="auto"/>
        </w:rPr>
        <w:t>假设正常状况下，池体内废水下渗满足达西定律，正常运行状况下，废水穿过防渗层及包气带，渗漏进入含水层废水下渗量可采用基于达西定律具有防渗层条件的下渗量估算公式（式</w:t>
      </w:r>
      <w:r>
        <w:rPr>
          <w:rFonts w:hint="eastAsia"/>
          <w:color w:val="auto"/>
          <w:lang w:val="en-US" w:eastAsia="zh-CN"/>
        </w:rPr>
        <w:t>4</w:t>
      </w:r>
      <w:r>
        <w:rPr>
          <w:color w:val="auto"/>
        </w:rPr>
        <w:t>-2和式</w:t>
      </w:r>
      <w:r>
        <w:rPr>
          <w:rFonts w:hint="eastAsia"/>
          <w:color w:val="auto"/>
          <w:lang w:val="en-US" w:eastAsia="zh-CN"/>
        </w:rPr>
        <w:t>4</w:t>
      </w:r>
      <w:r>
        <w:rPr>
          <w:color w:val="auto"/>
        </w:rPr>
        <w:t>-3）进行估算：</w:t>
      </w:r>
    </w:p>
    <w:tbl>
      <w:tblPr>
        <w:tblStyle w:val="52"/>
        <w:tblW w:w="0" w:type="auto"/>
        <w:tblInd w:w="0" w:type="dxa"/>
        <w:tblLayout w:type="autofit"/>
        <w:tblCellMar>
          <w:top w:w="0" w:type="dxa"/>
          <w:left w:w="108" w:type="dxa"/>
          <w:bottom w:w="0" w:type="dxa"/>
          <w:right w:w="108" w:type="dxa"/>
        </w:tblCellMar>
      </w:tblPr>
      <w:tblGrid>
        <w:gridCol w:w="1242"/>
        <w:gridCol w:w="5245"/>
        <w:gridCol w:w="2035"/>
      </w:tblGrid>
      <w:tr w14:paraId="4C7A5E79">
        <w:tblPrEx>
          <w:tblCellMar>
            <w:top w:w="0" w:type="dxa"/>
            <w:left w:w="108" w:type="dxa"/>
            <w:bottom w:w="0" w:type="dxa"/>
            <w:right w:w="108" w:type="dxa"/>
          </w:tblCellMar>
        </w:tblPrEx>
        <w:tc>
          <w:tcPr>
            <w:tcW w:w="1242" w:type="dxa"/>
            <w:vAlign w:val="center"/>
          </w:tcPr>
          <w:p w14:paraId="151D7D9F">
            <w:pPr>
              <w:ind w:firstLine="480"/>
              <w:rPr>
                <w:rFonts w:cs="Times New Roman"/>
                <w:color w:val="auto"/>
              </w:rPr>
            </w:pPr>
          </w:p>
        </w:tc>
        <w:tc>
          <w:tcPr>
            <w:tcW w:w="5245" w:type="dxa"/>
            <w:vAlign w:val="center"/>
          </w:tcPr>
          <w:p w14:paraId="2768F69C">
            <w:pPr>
              <w:ind w:firstLine="480"/>
              <w:rPr>
                <w:rFonts w:cs="Times New Roman"/>
                <w:color w:val="auto"/>
              </w:rPr>
            </w:pPr>
            <m:oMathPara>
              <m:oMathParaPr>
                <m:jc m:val="center"/>
              </m:oMathParaPr>
              <m:oMath>
                <m:r>
                  <m:rPr>
                    <m:sty m:val="p"/>
                  </m:rPr>
                  <w:rPr>
                    <w:rFonts w:ascii="Cambria Math" w:hAnsi="Cambria Math" w:cs="Times New Roman"/>
                    <w:color w:val="auto"/>
                  </w:rPr>
                  <m:t>Q=</m:t>
                </m:r>
                <m:sSub>
                  <m:sSubPr>
                    <m:ctrlPr>
                      <w:rPr>
                        <w:rFonts w:ascii="Cambria Math" w:hAnsi="Cambria Math" w:cs="Times New Roman"/>
                        <w:color w:val="auto"/>
                      </w:rPr>
                    </m:ctrlPr>
                  </m:sSubPr>
                  <m:e>
                    <m:r>
                      <m:rPr>
                        <m:sty m:val="p"/>
                      </m:rPr>
                      <w:rPr>
                        <w:rFonts w:ascii="Cambria Math" w:hAnsi="Cambria Math" w:cs="Times New Roman"/>
                        <w:color w:val="auto"/>
                      </w:rPr>
                      <m:t>K</m:t>
                    </m:r>
                    <m:ctrlPr>
                      <w:rPr>
                        <w:rFonts w:ascii="Cambria Math" w:hAnsi="Cambria Math" w:cs="Times New Roman"/>
                        <w:color w:val="auto"/>
                      </w:rPr>
                    </m:ctrlPr>
                  </m:e>
                  <m:sub>
                    <m:r>
                      <m:rPr/>
                      <w:rPr>
                        <w:rFonts w:ascii="Cambria Math" w:hAnsi="Cambria Math" w:cs="Times New Roman"/>
                        <w:color w:val="auto"/>
                      </w:rPr>
                      <m:t>1</m:t>
                    </m:r>
                    <m:ctrlPr>
                      <w:rPr>
                        <w:rFonts w:ascii="Cambria Math" w:hAnsi="Cambria Math" w:cs="Times New Roman"/>
                        <w:color w:val="auto"/>
                      </w:rPr>
                    </m:ctrlPr>
                  </m:sub>
                </m:sSub>
                <m:r>
                  <m:rPr>
                    <m:sty m:val="p"/>
                  </m:rPr>
                  <w:rPr>
                    <w:rFonts w:ascii="Cambria Math" w:hAnsi="Cambria Math" w:cs="Times New Roman"/>
                    <w:color w:val="auto"/>
                  </w:rPr>
                  <m:t>A</m:t>
                </m:r>
                <m:f>
                  <m:fPr>
                    <m:ctrlPr>
                      <w:rPr>
                        <w:rFonts w:ascii="Cambria Math" w:hAnsi="Cambria Math" w:cs="Times New Roman"/>
                        <w:color w:val="auto"/>
                      </w:rPr>
                    </m:ctrlPr>
                  </m:fPr>
                  <m:num>
                    <m:sSub>
                      <m:sSubPr>
                        <m:ctrlPr>
                          <w:rPr>
                            <w:rFonts w:ascii="Cambria Math" w:hAnsi="Cambria Math" w:cs="Times New Roman"/>
                            <w:i/>
                            <w:color w:val="auto"/>
                          </w:rPr>
                        </m:ctrlPr>
                      </m:sSubPr>
                      <m:e>
                        <m:r>
                          <m:rPr/>
                          <w:rPr>
                            <w:rFonts w:ascii="Cambria Math" w:hAnsi="Cambria Math" w:cs="Times New Roman"/>
                            <w:color w:val="auto"/>
                          </w:rPr>
                          <m:t>ℎ</m:t>
                        </m:r>
                        <m:ctrlPr>
                          <w:rPr>
                            <w:rFonts w:ascii="Cambria Math" w:hAnsi="Cambria Math" w:cs="Times New Roman"/>
                            <w:i/>
                            <w:color w:val="auto"/>
                          </w:rPr>
                        </m:ctrlPr>
                      </m:e>
                      <m:sub>
                        <m:r>
                          <m:rPr/>
                          <w:rPr>
                            <w:rFonts w:ascii="Cambria Math" w:hAnsi="Cambria Math" w:cs="Times New Roman"/>
                            <w:color w:val="auto"/>
                          </w:rPr>
                          <m:t>池</m:t>
                        </m:r>
                        <m:ctrlPr>
                          <w:rPr>
                            <w:rFonts w:ascii="Cambria Math" w:hAnsi="Cambria Math" w:cs="Times New Roman"/>
                            <w:i/>
                            <w:color w:val="auto"/>
                          </w:rPr>
                        </m:ctrlPr>
                      </m:sub>
                    </m:sSub>
                    <m:r>
                      <m:rPr/>
                      <w:rPr>
                        <w:rFonts w:ascii="Cambria Math" w:hAnsi="Cambria Math" w:eastAsia="MS Gothic" w:cs="Times New Roman"/>
                        <w:color w:val="auto"/>
                      </w:rPr>
                      <m:t>−</m:t>
                    </m:r>
                    <m:sSub>
                      <m:sSubPr>
                        <m:ctrlPr>
                          <w:rPr>
                            <w:rFonts w:ascii="Cambria Math" w:hAnsi="Cambria Math" w:cs="Times New Roman"/>
                            <w:i/>
                            <w:color w:val="auto"/>
                          </w:rPr>
                        </m:ctrlPr>
                      </m:sSubPr>
                      <m:e>
                        <m:r>
                          <m:rPr/>
                          <w:rPr>
                            <w:rFonts w:ascii="Cambria Math" w:hAnsi="Cambria Math" w:cs="Times New Roman"/>
                            <w:color w:val="auto"/>
                          </w:rPr>
                          <m:t>ℎ</m:t>
                        </m:r>
                        <m:ctrlPr>
                          <w:rPr>
                            <w:rFonts w:ascii="Cambria Math" w:hAnsi="Cambria Math" w:cs="Times New Roman"/>
                            <w:i/>
                            <w:color w:val="auto"/>
                          </w:rPr>
                        </m:ctrlPr>
                      </m:e>
                      <m:sub>
                        <m:r>
                          <m:rPr/>
                          <w:rPr>
                            <w:rFonts w:ascii="Cambria Math" w:hAnsi="Cambria Math" w:cs="Times New Roman"/>
                            <w:color w:val="auto"/>
                          </w:rPr>
                          <m:t>1</m:t>
                        </m:r>
                        <m:ctrlPr>
                          <w:rPr>
                            <w:rFonts w:ascii="Cambria Math" w:hAnsi="Cambria Math" w:cs="Times New Roman"/>
                            <w:i/>
                            <w:color w:val="auto"/>
                          </w:rPr>
                        </m:ctrlPr>
                      </m:sub>
                    </m:sSub>
                    <m:ctrlPr>
                      <w:rPr>
                        <w:rFonts w:ascii="Cambria Math" w:hAnsi="Cambria Math" w:cs="Times New Roman"/>
                        <w:color w:val="auto"/>
                      </w:rPr>
                    </m:ctrlPr>
                  </m:num>
                  <m:den>
                    <m:sSub>
                      <m:sSubPr>
                        <m:ctrlPr>
                          <w:rPr>
                            <w:rFonts w:ascii="Cambria Math" w:hAnsi="Cambria Math" w:cs="Times New Roman"/>
                            <w:i/>
                            <w:color w:val="auto"/>
                          </w:rPr>
                        </m:ctrlPr>
                      </m:sSubPr>
                      <m:e>
                        <m:r>
                          <m:rPr/>
                          <w:rPr>
                            <w:rFonts w:ascii="Cambria Math" w:hAnsi="Cambria Math" w:cs="Times New Roman"/>
                            <w:color w:val="auto"/>
                          </w:rPr>
                          <m:t>ℎ</m:t>
                        </m:r>
                        <m:ctrlPr>
                          <w:rPr>
                            <w:rFonts w:ascii="Cambria Math" w:hAnsi="Cambria Math" w:cs="Times New Roman"/>
                            <w:i/>
                            <w:color w:val="auto"/>
                          </w:rPr>
                        </m:ctrlPr>
                      </m:e>
                      <m:sub>
                        <m:r>
                          <m:rPr/>
                          <w:rPr>
                            <w:rFonts w:ascii="Cambria Math" w:hAnsi="Cambria Math" w:cs="Times New Roman"/>
                            <w:color w:val="auto"/>
                          </w:rPr>
                          <m:t>防</m:t>
                        </m:r>
                        <m:ctrlPr>
                          <w:rPr>
                            <w:rFonts w:ascii="Cambria Math" w:hAnsi="Cambria Math" w:cs="Times New Roman"/>
                            <w:i/>
                            <w:color w:val="auto"/>
                          </w:rPr>
                        </m:ctrlPr>
                      </m:sub>
                    </m:sSub>
                    <m:ctrlPr>
                      <w:rPr>
                        <w:rFonts w:ascii="Cambria Math" w:hAnsi="Cambria Math" w:cs="Times New Roman"/>
                        <w:color w:val="auto"/>
                      </w:rPr>
                    </m:ctrlPr>
                  </m:den>
                </m:f>
              </m:oMath>
            </m:oMathPara>
          </w:p>
        </w:tc>
        <w:tc>
          <w:tcPr>
            <w:tcW w:w="2035" w:type="dxa"/>
            <w:vAlign w:val="center"/>
          </w:tcPr>
          <w:p w14:paraId="00C97AD8">
            <w:pPr>
              <w:ind w:firstLine="480"/>
              <w:rPr>
                <w:rFonts w:cs="Times New Roman"/>
                <w:color w:val="auto"/>
              </w:rPr>
            </w:pPr>
            <w:r>
              <w:rPr>
                <w:rFonts w:cs="Times New Roman"/>
                <w:color w:val="auto"/>
              </w:rPr>
              <w:t>（式</w:t>
            </w:r>
            <w:r>
              <w:rPr>
                <w:rFonts w:hint="eastAsia" w:cs="Times New Roman"/>
                <w:color w:val="auto"/>
                <w:lang w:val="en-US" w:eastAsia="zh-CN"/>
              </w:rPr>
              <w:t>4</w:t>
            </w:r>
            <w:r>
              <w:rPr>
                <w:rFonts w:cs="Times New Roman"/>
                <w:color w:val="auto"/>
              </w:rPr>
              <w:t>-2）</w:t>
            </w:r>
          </w:p>
        </w:tc>
      </w:tr>
      <w:tr w14:paraId="79EE249A">
        <w:tblPrEx>
          <w:tblCellMar>
            <w:top w:w="0" w:type="dxa"/>
            <w:left w:w="108" w:type="dxa"/>
            <w:bottom w:w="0" w:type="dxa"/>
            <w:right w:w="108" w:type="dxa"/>
          </w:tblCellMar>
        </w:tblPrEx>
        <w:tc>
          <w:tcPr>
            <w:tcW w:w="1242" w:type="dxa"/>
            <w:vAlign w:val="center"/>
          </w:tcPr>
          <w:p w14:paraId="0D873608">
            <w:pPr>
              <w:ind w:firstLine="480"/>
              <w:rPr>
                <w:rFonts w:cs="Times New Roman"/>
                <w:color w:val="auto"/>
              </w:rPr>
            </w:pPr>
          </w:p>
        </w:tc>
        <w:tc>
          <w:tcPr>
            <w:tcW w:w="5245" w:type="dxa"/>
            <w:vAlign w:val="center"/>
          </w:tcPr>
          <w:p w14:paraId="17308954">
            <w:pPr>
              <w:ind w:firstLine="480"/>
              <w:rPr>
                <w:rFonts w:cs="Times New Roman"/>
                <w:color w:val="auto"/>
              </w:rPr>
            </w:pPr>
            <m:oMathPara>
              <m:oMath>
                <m:sSub>
                  <m:sSubPr>
                    <m:ctrlPr>
                      <w:rPr>
                        <w:rFonts w:ascii="Cambria Math" w:hAnsi="Cambria Math" w:cs="Times New Roman"/>
                        <w:color w:val="auto"/>
                      </w:rPr>
                    </m:ctrlPr>
                  </m:sSubPr>
                  <m:e>
                    <m:r>
                      <m:rPr>
                        <m:sty m:val="p"/>
                      </m:rPr>
                      <w:rPr>
                        <w:rFonts w:ascii="Cambria Math" w:hAnsi="Cambria Math" w:cs="Times New Roman"/>
                        <w:color w:val="auto"/>
                      </w:rPr>
                      <m:t>K</m:t>
                    </m:r>
                    <m:ctrlPr>
                      <w:rPr>
                        <w:rFonts w:ascii="Cambria Math" w:hAnsi="Cambria Math" w:cs="Times New Roman"/>
                        <w:color w:val="auto"/>
                      </w:rPr>
                    </m:ctrlPr>
                  </m:e>
                  <m:sub>
                    <m:r>
                      <m:rPr/>
                      <w:rPr>
                        <w:rFonts w:ascii="Cambria Math" w:hAnsi="Cambria Math" w:cs="Times New Roman"/>
                        <w:color w:val="auto"/>
                      </w:rPr>
                      <m:t>1</m:t>
                    </m:r>
                    <m:ctrlPr>
                      <w:rPr>
                        <w:rFonts w:ascii="Cambria Math" w:hAnsi="Cambria Math" w:cs="Times New Roman"/>
                        <w:color w:val="auto"/>
                      </w:rPr>
                    </m:ctrlPr>
                  </m:sub>
                </m:sSub>
                <m:r>
                  <m:rPr/>
                  <w:rPr>
                    <w:rFonts w:ascii="Cambria Math" w:hAnsi="Cambria Math" w:cs="Times New Roman"/>
                    <w:color w:val="auto"/>
                  </w:rPr>
                  <m:t>A</m:t>
                </m:r>
                <m:f>
                  <m:fPr>
                    <m:ctrlPr>
                      <w:rPr>
                        <w:rFonts w:ascii="Cambria Math" w:hAnsi="Cambria Math" w:cs="Times New Roman"/>
                        <w:color w:val="auto"/>
                      </w:rPr>
                    </m:ctrlPr>
                  </m:fPr>
                  <m:num>
                    <m:sSub>
                      <m:sSubPr>
                        <m:ctrlPr>
                          <w:rPr>
                            <w:rFonts w:ascii="Cambria Math" w:hAnsi="Cambria Math" w:cs="Times New Roman"/>
                            <w:i/>
                            <w:color w:val="auto"/>
                          </w:rPr>
                        </m:ctrlPr>
                      </m:sSubPr>
                      <m:e>
                        <m:r>
                          <m:rPr/>
                          <w:rPr>
                            <w:rFonts w:ascii="Cambria Math" w:hAnsi="Cambria Math" w:cs="Times New Roman"/>
                            <w:color w:val="auto"/>
                          </w:rPr>
                          <m:t>ℎ</m:t>
                        </m:r>
                        <m:ctrlPr>
                          <w:rPr>
                            <w:rFonts w:ascii="Cambria Math" w:hAnsi="Cambria Math" w:cs="Times New Roman"/>
                            <w:i/>
                            <w:color w:val="auto"/>
                          </w:rPr>
                        </m:ctrlPr>
                      </m:e>
                      <m:sub>
                        <m:r>
                          <m:rPr/>
                          <w:rPr>
                            <w:rFonts w:ascii="Cambria Math" w:hAnsi="Cambria Math" w:cs="Times New Roman"/>
                            <w:color w:val="auto"/>
                          </w:rPr>
                          <m:t>池</m:t>
                        </m:r>
                        <m:ctrlPr>
                          <w:rPr>
                            <w:rFonts w:ascii="Cambria Math" w:hAnsi="Cambria Math" w:cs="Times New Roman"/>
                            <w:i/>
                            <w:color w:val="auto"/>
                          </w:rPr>
                        </m:ctrlPr>
                      </m:sub>
                    </m:sSub>
                    <m:r>
                      <m:rPr/>
                      <w:rPr>
                        <w:rFonts w:ascii="Cambria Math" w:hAnsi="Cambria Math" w:eastAsia="MS Gothic" w:cs="Times New Roman"/>
                        <w:color w:val="auto"/>
                      </w:rPr>
                      <m:t>−</m:t>
                    </m:r>
                    <m:sSub>
                      <m:sSubPr>
                        <m:ctrlPr>
                          <w:rPr>
                            <w:rFonts w:ascii="Cambria Math" w:hAnsi="Cambria Math" w:cs="Times New Roman"/>
                            <w:i/>
                            <w:color w:val="auto"/>
                          </w:rPr>
                        </m:ctrlPr>
                      </m:sSubPr>
                      <m:e>
                        <m:r>
                          <m:rPr/>
                          <w:rPr>
                            <w:rFonts w:ascii="Cambria Math" w:hAnsi="Cambria Math" w:cs="Times New Roman"/>
                            <w:color w:val="auto"/>
                          </w:rPr>
                          <m:t>ℎ</m:t>
                        </m:r>
                        <m:ctrlPr>
                          <w:rPr>
                            <w:rFonts w:ascii="Cambria Math" w:hAnsi="Cambria Math" w:cs="Times New Roman"/>
                            <w:i/>
                            <w:color w:val="auto"/>
                          </w:rPr>
                        </m:ctrlPr>
                      </m:e>
                      <m:sub>
                        <m:r>
                          <m:rPr/>
                          <w:rPr>
                            <w:rFonts w:ascii="Cambria Math" w:hAnsi="Cambria Math" w:cs="Times New Roman"/>
                            <w:color w:val="auto"/>
                          </w:rPr>
                          <m:t>1</m:t>
                        </m:r>
                        <m:ctrlPr>
                          <w:rPr>
                            <w:rFonts w:ascii="Cambria Math" w:hAnsi="Cambria Math" w:cs="Times New Roman"/>
                            <w:i/>
                            <w:color w:val="auto"/>
                          </w:rPr>
                        </m:ctrlPr>
                      </m:sub>
                    </m:sSub>
                    <m:ctrlPr>
                      <w:rPr>
                        <w:rFonts w:ascii="Cambria Math" w:hAnsi="Cambria Math" w:cs="Times New Roman"/>
                        <w:color w:val="auto"/>
                      </w:rPr>
                    </m:ctrlPr>
                  </m:num>
                  <m:den>
                    <m:sSub>
                      <m:sSubPr>
                        <m:ctrlPr>
                          <w:rPr>
                            <w:rFonts w:ascii="Cambria Math" w:hAnsi="Cambria Math" w:cs="Times New Roman"/>
                            <w:i/>
                            <w:color w:val="auto"/>
                          </w:rPr>
                        </m:ctrlPr>
                      </m:sSubPr>
                      <m:e>
                        <m:r>
                          <m:rPr/>
                          <w:rPr>
                            <w:rFonts w:ascii="Cambria Math" w:hAnsi="Cambria Math" w:cs="Times New Roman"/>
                            <w:color w:val="auto"/>
                          </w:rPr>
                          <m:t>ℎ</m:t>
                        </m:r>
                        <m:ctrlPr>
                          <w:rPr>
                            <w:rFonts w:ascii="Cambria Math" w:hAnsi="Cambria Math" w:cs="Times New Roman"/>
                            <w:i/>
                            <w:color w:val="auto"/>
                          </w:rPr>
                        </m:ctrlPr>
                      </m:e>
                      <m:sub>
                        <m:r>
                          <m:rPr/>
                          <w:rPr>
                            <w:rFonts w:ascii="Cambria Math" w:hAnsi="Cambria Math" w:cs="Times New Roman"/>
                            <w:color w:val="auto"/>
                          </w:rPr>
                          <m:t>防</m:t>
                        </m:r>
                        <m:ctrlPr>
                          <w:rPr>
                            <w:rFonts w:ascii="Cambria Math" w:hAnsi="Cambria Math" w:cs="Times New Roman"/>
                            <w:i/>
                            <w:color w:val="auto"/>
                          </w:rPr>
                        </m:ctrlPr>
                      </m:sub>
                    </m:sSub>
                    <m:ctrlPr>
                      <w:rPr>
                        <w:rFonts w:ascii="Cambria Math" w:hAnsi="Cambria Math" w:cs="Times New Roman"/>
                        <w:color w:val="auto"/>
                      </w:rPr>
                    </m:ctrlPr>
                  </m:den>
                </m:f>
                <m:r>
                  <m:rPr>
                    <m:sty m:val="p"/>
                  </m:rPr>
                  <w:rPr>
                    <w:rFonts w:ascii="Cambria Math" w:hAnsi="Cambria Math" w:cs="Times New Roman"/>
                    <w:color w:val="auto"/>
                  </w:rPr>
                  <m:t>=</m:t>
                </m:r>
                <m:sSub>
                  <m:sSubPr>
                    <m:ctrlPr>
                      <w:rPr>
                        <w:rFonts w:ascii="Cambria Math" w:hAnsi="Cambria Math" w:cs="Times New Roman"/>
                        <w:color w:val="auto"/>
                      </w:rPr>
                    </m:ctrlPr>
                  </m:sSubPr>
                  <m:e>
                    <m:r>
                      <m:rPr>
                        <m:sty m:val="p"/>
                      </m:rPr>
                      <w:rPr>
                        <w:rFonts w:ascii="Cambria Math" w:hAnsi="Cambria Math" w:cs="Times New Roman"/>
                        <w:color w:val="auto"/>
                      </w:rPr>
                      <m:t>K</m:t>
                    </m:r>
                    <m:ctrlPr>
                      <w:rPr>
                        <w:rFonts w:ascii="Cambria Math" w:hAnsi="Cambria Math" w:cs="Times New Roman"/>
                        <w:color w:val="auto"/>
                      </w:rPr>
                    </m:ctrlPr>
                  </m:e>
                  <m:sub>
                    <m:r>
                      <m:rPr/>
                      <w:rPr>
                        <w:rFonts w:ascii="Cambria Math" w:hAnsi="Cambria Math" w:cs="Times New Roman"/>
                        <w:color w:val="auto"/>
                      </w:rPr>
                      <m:t>2</m:t>
                    </m:r>
                    <m:ctrlPr>
                      <w:rPr>
                        <w:rFonts w:ascii="Cambria Math" w:hAnsi="Cambria Math" w:cs="Times New Roman"/>
                        <w:color w:val="auto"/>
                      </w:rPr>
                    </m:ctrlPr>
                  </m:sub>
                </m:sSub>
                <m:r>
                  <m:rPr>
                    <m:sty m:val="p"/>
                  </m:rPr>
                  <w:rPr>
                    <w:rFonts w:ascii="Cambria Math" w:hAnsi="Cambria Math" w:cs="Times New Roman"/>
                    <w:color w:val="auto"/>
                  </w:rPr>
                  <m:t>A</m:t>
                </m:r>
                <m:f>
                  <m:fPr>
                    <m:ctrlPr>
                      <w:rPr>
                        <w:rFonts w:ascii="Cambria Math" w:hAnsi="Cambria Math" w:cs="Times New Roman"/>
                        <w:color w:val="auto"/>
                      </w:rPr>
                    </m:ctrlPr>
                  </m:fPr>
                  <m:num>
                    <m:sSub>
                      <m:sSubPr>
                        <m:ctrlPr>
                          <w:rPr>
                            <w:rFonts w:ascii="Cambria Math" w:hAnsi="Cambria Math" w:cs="Times New Roman"/>
                            <w:i/>
                            <w:color w:val="auto"/>
                          </w:rPr>
                        </m:ctrlPr>
                      </m:sSubPr>
                      <m:e>
                        <m:r>
                          <m:rPr/>
                          <w:rPr>
                            <w:rFonts w:ascii="Cambria Math" w:hAnsi="Cambria Math" w:cs="Times New Roman"/>
                            <w:color w:val="auto"/>
                          </w:rPr>
                          <m:t>ℎ</m:t>
                        </m:r>
                        <m:ctrlPr>
                          <w:rPr>
                            <w:rFonts w:ascii="Cambria Math" w:hAnsi="Cambria Math" w:cs="Times New Roman"/>
                            <w:i/>
                            <w:color w:val="auto"/>
                          </w:rPr>
                        </m:ctrlPr>
                      </m:e>
                      <m:sub>
                        <m:r>
                          <m:rPr/>
                          <w:rPr>
                            <w:rFonts w:ascii="Cambria Math" w:hAnsi="Cambria Math" w:cs="Times New Roman"/>
                            <w:color w:val="auto"/>
                          </w:rPr>
                          <m:t>1</m:t>
                        </m:r>
                        <m:ctrlPr>
                          <w:rPr>
                            <w:rFonts w:ascii="Cambria Math" w:hAnsi="Cambria Math" w:cs="Times New Roman"/>
                            <w:i/>
                            <w:color w:val="auto"/>
                          </w:rPr>
                        </m:ctrlPr>
                      </m:sub>
                    </m:sSub>
                    <m:ctrlPr>
                      <w:rPr>
                        <w:rFonts w:ascii="Cambria Math" w:hAnsi="Cambria Math" w:cs="Times New Roman"/>
                        <w:color w:val="auto"/>
                      </w:rPr>
                    </m:ctrlPr>
                  </m:num>
                  <m:den>
                    <m:sSub>
                      <m:sSubPr>
                        <m:ctrlPr>
                          <w:rPr>
                            <w:rFonts w:ascii="Cambria Math" w:hAnsi="Cambria Math" w:cs="Times New Roman"/>
                            <w:i/>
                            <w:color w:val="auto"/>
                          </w:rPr>
                        </m:ctrlPr>
                      </m:sSubPr>
                      <m:e>
                        <m:r>
                          <m:rPr/>
                          <w:rPr>
                            <w:rFonts w:ascii="Cambria Math" w:hAnsi="Cambria Math" w:cs="Times New Roman"/>
                            <w:color w:val="auto"/>
                          </w:rPr>
                          <m:t>ℎ</m:t>
                        </m:r>
                        <m:ctrlPr>
                          <w:rPr>
                            <w:rFonts w:ascii="Cambria Math" w:hAnsi="Cambria Math" w:cs="Times New Roman"/>
                            <w:i/>
                            <w:color w:val="auto"/>
                          </w:rPr>
                        </m:ctrlPr>
                      </m:e>
                      <m:sub>
                        <m:r>
                          <m:rPr/>
                          <w:rPr>
                            <w:rFonts w:ascii="Cambria Math" w:hAnsi="Cambria Math" w:cs="Times New Roman"/>
                            <w:color w:val="auto"/>
                          </w:rPr>
                          <m:t>包</m:t>
                        </m:r>
                        <m:ctrlPr>
                          <w:rPr>
                            <w:rFonts w:ascii="Cambria Math" w:hAnsi="Cambria Math" w:cs="Times New Roman"/>
                            <w:i/>
                            <w:color w:val="auto"/>
                          </w:rPr>
                        </m:ctrlPr>
                      </m:sub>
                    </m:sSub>
                    <m:ctrlPr>
                      <w:rPr>
                        <w:rFonts w:ascii="Cambria Math" w:hAnsi="Cambria Math" w:cs="Times New Roman"/>
                        <w:color w:val="auto"/>
                      </w:rPr>
                    </m:ctrlPr>
                  </m:den>
                </m:f>
              </m:oMath>
            </m:oMathPara>
          </w:p>
        </w:tc>
        <w:tc>
          <w:tcPr>
            <w:tcW w:w="2035" w:type="dxa"/>
            <w:vAlign w:val="center"/>
          </w:tcPr>
          <w:p w14:paraId="3C112CBD">
            <w:pPr>
              <w:ind w:firstLine="480"/>
              <w:rPr>
                <w:rFonts w:cs="Times New Roman"/>
                <w:color w:val="auto"/>
              </w:rPr>
            </w:pPr>
            <w:r>
              <w:rPr>
                <w:rFonts w:cs="Times New Roman"/>
                <w:color w:val="auto"/>
              </w:rPr>
              <w:t>（式</w:t>
            </w:r>
            <w:r>
              <w:rPr>
                <w:rFonts w:hint="eastAsia" w:cs="Times New Roman"/>
                <w:color w:val="auto"/>
                <w:lang w:val="en-US" w:eastAsia="zh-CN"/>
              </w:rPr>
              <w:t>4</w:t>
            </w:r>
            <w:r>
              <w:rPr>
                <w:rFonts w:cs="Times New Roman"/>
                <w:color w:val="auto"/>
              </w:rPr>
              <w:t>-3）</w:t>
            </w:r>
          </w:p>
        </w:tc>
      </w:tr>
      <w:tr w14:paraId="36EB5736">
        <w:tblPrEx>
          <w:tblCellMar>
            <w:top w:w="0" w:type="dxa"/>
            <w:left w:w="108" w:type="dxa"/>
            <w:bottom w:w="0" w:type="dxa"/>
            <w:right w:w="108" w:type="dxa"/>
          </w:tblCellMar>
        </w:tblPrEx>
        <w:tc>
          <w:tcPr>
            <w:tcW w:w="8522" w:type="dxa"/>
            <w:gridSpan w:val="3"/>
          </w:tcPr>
          <w:p w14:paraId="3FFF0EE6">
            <w:pPr>
              <w:pStyle w:val="714"/>
              <w:rPr>
                <w:color w:val="auto"/>
              </w:rPr>
            </w:pPr>
            <w:r>
              <w:rPr>
                <w:color w:val="auto"/>
              </w:rPr>
              <w:drawing>
                <wp:inline distT="0" distB="0" distL="0" distR="0">
                  <wp:extent cx="3599815" cy="2940685"/>
                  <wp:effectExtent l="9525" t="9525" r="10160" b="21590"/>
                  <wp:docPr id="224" name="图片 224" descr="池体构筑物渗透示意图-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池体构筑物渗透示意图-Model"/>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3600000" cy="2940961"/>
                          </a:xfrm>
                          <a:prstGeom prst="rect">
                            <a:avLst/>
                          </a:prstGeom>
                          <a:noFill/>
                          <a:ln w="9525" cmpd="sng">
                            <a:solidFill>
                              <a:srgbClr val="000000"/>
                            </a:solidFill>
                            <a:miter lim="800000"/>
                            <a:headEnd/>
                            <a:tailEnd/>
                          </a:ln>
                          <a:effectLst/>
                        </pic:spPr>
                      </pic:pic>
                    </a:graphicData>
                  </a:graphic>
                </wp:inline>
              </w:drawing>
            </w:r>
          </w:p>
        </w:tc>
      </w:tr>
      <w:tr w14:paraId="51EFF3CA">
        <w:tblPrEx>
          <w:tblCellMar>
            <w:top w:w="0" w:type="dxa"/>
            <w:left w:w="108" w:type="dxa"/>
            <w:bottom w:w="0" w:type="dxa"/>
            <w:right w:w="108" w:type="dxa"/>
          </w:tblCellMar>
        </w:tblPrEx>
        <w:trPr>
          <w:trHeight w:val="390" w:hRule="atLeast"/>
        </w:trPr>
        <w:tc>
          <w:tcPr>
            <w:tcW w:w="8522" w:type="dxa"/>
            <w:gridSpan w:val="3"/>
          </w:tcPr>
          <w:p w14:paraId="7D7D7B4B">
            <w:pPr>
              <w:pStyle w:val="713"/>
              <w:rPr>
                <w:color w:val="auto"/>
              </w:rPr>
            </w:pPr>
            <w:r>
              <w:rPr>
                <w:color w:val="auto"/>
              </w:rPr>
              <w:t>图</w:t>
            </w:r>
            <w:r>
              <w:rPr>
                <w:rFonts w:hint="eastAsia"/>
                <w:color w:val="auto"/>
                <w:lang w:val="en-US" w:eastAsia="zh-CN"/>
              </w:rPr>
              <w:t>4</w:t>
            </w:r>
            <w:r>
              <w:rPr>
                <w:color w:val="auto"/>
              </w:rPr>
              <w:t>.2-</w:t>
            </w:r>
            <w:r>
              <w:rPr>
                <w:rFonts w:hint="eastAsia"/>
                <w:color w:val="auto"/>
                <w:lang w:val="en-US" w:eastAsia="zh-CN"/>
              </w:rPr>
              <w:t>5</w:t>
            </w:r>
            <w:r>
              <w:rPr>
                <w:color w:val="auto"/>
              </w:rPr>
              <w:t xml:space="preserve">  正常状况下池体构筑物废水下渗示意图</w:t>
            </w:r>
          </w:p>
        </w:tc>
      </w:tr>
    </w:tbl>
    <w:p w14:paraId="7D687CD9">
      <w:pPr>
        <w:bidi w:val="0"/>
        <w:rPr>
          <w:color w:val="auto"/>
        </w:rPr>
      </w:pPr>
      <w:r>
        <w:rPr>
          <w:rFonts w:hint="eastAsia"/>
          <w:color w:val="auto"/>
        </w:rPr>
        <w:t>根据估算，正常状况下废水处理站泄漏下渗量可忽略不计。</w:t>
      </w:r>
    </w:p>
    <w:p w14:paraId="2C8A8353">
      <w:pPr>
        <w:bidi w:val="0"/>
        <w:rPr>
          <w:color w:val="auto"/>
        </w:rPr>
      </w:pPr>
      <w:r>
        <w:rPr>
          <w:color w:val="auto"/>
        </w:rPr>
        <w:t>非正常运行状况，池体未破损区仍采用式6-2和式6-3进行估算，破损区可直接依据达西公式（式</w:t>
      </w:r>
      <w:r>
        <w:rPr>
          <w:rFonts w:hint="eastAsia"/>
          <w:color w:val="auto"/>
          <w:lang w:val="en-US" w:eastAsia="zh-CN"/>
        </w:rPr>
        <w:t>4</w:t>
      </w:r>
      <w:r>
        <w:rPr>
          <w:color w:val="auto"/>
        </w:rPr>
        <w:t>-4）进行估算：</w:t>
      </w:r>
    </w:p>
    <w:tbl>
      <w:tblPr>
        <w:tblStyle w:val="52"/>
        <w:tblW w:w="0" w:type="auto"/>
        <w:tblInd w:w="0" w:type="dxa"/>
        <w:tblLayout w:type="autofit"/>
        <w:tblCellMar>
          <w:top w:w="0" w:type="dxa"/>
          <w:left w:w="108" w:type="dxa"/>
          <w:bottom w:w="0" w:type="dxa"/>
          <w:right w:w="108" w:type="dxa"/>
        </w:tblCellMar>
      </w:tblPr>
      <w:tblGrid>
        <w:gridCol w:w="2840"/>
        <w:gridCol w:w="2841"/>
        <w:gridCol w:w="2841"/>
      </w:tblGrid>
      <w:tr w14:paraId="7E756184">
        <w:tblPrEx>
          <w:tblCellMar>
            <w:top w:w="0" w:type="dxa"/>
            <w:left w:w="108" w:type="dxa"/>
            <w:bottom w:w="0" w:type="dxa"/>
            <w:right w:w="108" w:type="dxa"/>
          </w:tblCellMar>
        </w:tblPrEx>
        <w:tc>
          <w:tcPr>
            <w:tcW w:w="2840" w:type="dxa"/>
            <w:vAlign w:val="center"/>
          </w:tcPr>
          <w:p w14:paraId="58DCCF9B">
            <w:pPr>
              <w:ind w:firstLine="480"/>
              <w:rPr>
                <w:color w:val="auto"/>
              </w:rPr>
            </w:pPr>
          </w:p>
        </w:tc>
        <w:tc>
          <w:tcPr>
            <w:tcW w:w="2841" w:type="dxa"/>
            <w:vAlign w:val="center"/>
          </w:tcPr>
          <w:p w14:paraId="2A155FF3">
            <w:pPr>
              <w:ind w:firstLine="480"/>
              <w:rPr>
                <w:color w:val="auto"/>
              </w:rPr>
            </w:pPr>
            <m:oMathPara>
              <m:oMathParaPr>
                <m:jc m:val="left"/>
              </m:oMathParaPr>
              <m:oMath>
                <m:r>
                  <m:rPr>
                    <m:sty m:val="p"/>
                  </m:rPr>
                  <w:rPr>
                    <w:rFonts w:ascii="Cambria Math" w:hAnsi="Cambria Math"/>
                    <w:color w:val="auto"/>
                  </w:rPr>
                  <m:t>Q=</m:t>
                </m:r>
                <m:sSub>
                  <m:sSubPr>
                    <m:ctrlPr>
                      <w:rPr>
                        <w:rFonts w:ascii="Cambria Math" w:hAnsi="Cambria Math"/>
                        <w:color w:val="auto"/>
                      </w:rPr>
                    </m:ctrlPr>
                  </m:sSubPr>
                  <m:e>
                    <m:r>
                      <m:rPr>
                        <m:sty m:val="p"/>
                      </m:rPr>
                      <w:rPr>
                        <w:rFonts w:ascii="Cambria Math" w:hAnsi="Cambria Math"/>
                        <w:color w:val="auto"/>
                      </w:rPr>
                      <m:t>K</m:t>
                    </m:r>
                    <m:ctrlPr>
                      <w:rPr>
                        <w:rFonts w:ascii="Cambria Math" w:hAnsi="Cambria Math"/>
                        <w:color w:val="auto"/>
                      </w:rPr>
                    </m:ctrlPr>
                  </m:e>
                  <m:sub>
                    <m:r>
                      <m:rPr>
                        <m:sty m:val="p"/>
                      </m:rPr>
                      <w:rPr>
                        <w:rFonts w:ascii="Cambria Math" w:hAnsi="Cambria Math"/>
                        <w:color w:val="auto"/>
                      </w:rPr>
                      <m:t>1</m:t>
                    </m:r>
                    <m:ctrlPr>
                      <w:rPr>
                        <w:rFonts w:ascii="Cambria Math" w:hAnsi="Cambria Math"/>
                        <w:color w:val="auto"/>
                      </w:rPr>
                    </m:ctrlPr>
                  </m:sub>
                </m:sSub>
                <m:r>
                  <m:rPr>
                    <m:sty m:val="p"/>
                  </m:rPr>
                  <w:rPr>
                    <w:rFonts w:ascii="Cambria Math" w:hAnsi="Cambria Math"/>
                    <w:color w:val="auto"/>
                  </w:rPr>
                  <m:t>A</m:t>
                </m:r>
                <m:f>
                  <m:fPr>
                    <m:ctrlPr>
                      <w:rPr>
                        <w:rFonts w:ascii="Cambria Math" w:hAnsi="Cambria Math"/>
                        <w:color w:val="auto"/>
                      </w:rPr>
                    </m:ctrlPr>
                  </m:fPr>
                  <m:num>
                    <m:sSub>
                      <m:sSubPr>
                        <m:ctrlPr>
                          <w:rPr>
                            <w:rFonts w:ascii="Cambria Math" w:hAnsi="Cambria Math"/>
                            <w:color w:val="auto"/>
                          </w:rPr>
                        </m:ctrlPr>
                      </m:sSubPr>
                      <m:e>
                        <m:r>
                          <m:rPr/>
                          <w:rPr>
                            <w:rFonts w:ascii="Cambria Math" w:hAnsi="Cambria Math"/>
                            <w:color w:val="auto"/>
                          </w:rPr>
                          <m:t>ℎ</m:t>
                        </m:r>
                        <m:ctrlPr>
                          <w:rPr>
                            <w:rFonts w:ascii="Cambria Math" w:hAnsi="Cambria Math"/>
                            <w:color w:val="auto"/>
                          </w:rPr>
                        </m:ctrlPr>
                      </m:e>
                      <m:sub>
                        <m:r>
                          <m:rPr>
                            <m:sty m:val="p"/>
                          </m:rPr>
                          <w:rPr>
                            <w:rFonts w:ascii="Cambria Math" w:hAnsi="Cambria Math"/>
                            <w:color w:val="auto"/>
                          </w:rPr>
                          <m:t>池</m:t>
                        </m:r>
                        <m:ctrlPr>
                          <w:rPr>
                            <w:rFonts w:ascii="Cambria Math" w:hAnsi="Cambria Math"/>
                            <w:color w:val="auto"/>
                          </w:rPr>
                        </m:ctrlPr>
                      </m:sub>
                    </m:sSub>
                    <m:r>
                      <m:rPr>
                        <m:sty m:val="p"/>
                      </m:rPr>
                      <w:rPr>
                        <w:rFonts w:ascii="Cambria Math" w:hAnsi="Cambria Math"/>
                        <w:color w:val="auto"/>
                      </w:rPr>
                      <m:t>+</m:t>
                    </m:r>
                    <m:sSub>
                      <m:sSubPr>
                        <m:ctrlPr>
                          <w:rPr>
                            <w:rFonts w:ascii="Cambria Math" w:hAnsi="Cambria Math"/>
                            <w:color w:val="auto"/>
                          </w:rPr>
                        </m:ctrlPr>
                      </m:sSubPr>
                      <m:e>
                        <m:r>
                          <m:rPr/>
                          <w:rPr>
                            <w:rFonts w:ascii="Cambria Math" w:hAnsi="Cambria Math"/>
                            <w:color w:val="auto"/>
                          </w:rPr>
                          <m:t>ℎ</m:t>
                        </m:r>
                        <m:ctrlPr>
                          <w:rPr>
                            <w:rFonts w:ascii="Cambria Math" w:hAnsi="Cambria Math"/>
                            <w:color w:val="auto"/>
                          </w:rPr>
                        </m:ctrlPr>
                      </m:e>
                      <m:sub>
                        <m:r>
                          <m:rPr>
                            <m:sty m:val="p"/>
                          </m:rPr>
                          <w:rPr>
                            <w:rFonts w:ascii="Cambria Math" w:hAnsi="Cambria Math"/>
                            <w:color w:val="auto"/>
                          </w:rPr>
                          <m:t>包</m:t>
                        </m:r>
                        <m:ctrlPr>
                          <w:rPr>
                            <w:rFonts w:ascii="Cambria Math" w:hAnsi="Cambria Math"/>
                            <w:color w:val="auto"/>
                          </w:rPr>
                        </m:ctrlPr>
                      </m:sub>
                    </m:sSub>
                    <m:ctrlPr>
                      <w:rPr>
                        <w:rFonts w:ascii="Cambria Math" w:hAnsi="Cambria Math"/>
                        <w:color w:val="auto"/>
                      </w:rPr>
                    </m:ctrlPr>
                  </m:num>
                  <m:den>
                    <m:sSub>
                      <m:sSubPr>
                        <m:ctrlPr>
                          <w:rPr>
                            <w:rFonts w:ascii="Cambria Math" w:hAnsi="Cambria Math"/>
                            <w:color w:val="auto"/>
                          </w:rPr>
                        </m:ctrlPr>
                      </m:sSubPr>
                      <m:e>
                        <m:r>
                          <m:rPr/>
                          <w:rPr>
                            <w:rFonts w:ascii="Cambria Math" w:hAnsi="Cambria Math"/>
                            <w:color w:val="auto"/>
                          </w:rPr>
                          <m:t>ℎ</m:t>
                        </m:r>
                        <m:ctrlPr>
                          <w:rPr>
                            <w:rFonts w:ascii="Cambria Math" w:hAnsi="Cambria Math"/>
                            <w:color w:val="auto"/>
                          </w:rPr>
                        </m:ctrlPr>
                      </m:e>
                      <m:sub>
                        <m:r>
                          <m:rPr>
                            <m:sty m:val="p"/>
                          </m:rPr>
                          <w:rPr>
                            <w:rFonts w:ascii="Cambria Math" w:hAnsi="Cambria Math"/>
                            <w:color w:val="auto"/>
                          </w:rPr>
                          <m:t>包</m:t>
                        </m:r>
                        <m:ctrlPr>
                          <w:rPr>
                            <w:rFonts w:ascii="Cambria Math" w:hAnsi="Cambria Math"/>
                            <w:color w:val="auto"/>
                          </w:rPr>
                        </m:ctrlPr>
                      </m:sub>
                    </m:sSub>
                    <m:ctrlPr>
                      <w:rPr>
                        <w:rFonts w:ascii="Cambria Math" w:hAnsi="Cambria Math"/>
                        <w:color w:val="auto"/>
                      </w:rPr>
                    </m:ctrlPr>
                  </m:den>
                </m:f>
              </m:oMath>
            </m:oMathPara>
          </w:p>
        </w:tc>
        <w:tc>
          <w:tcPr>
            <w:tcW w:w="2841" w:type="dxa"/>
            <w:vAlign w:val="center"/>
          </w:tcPr>
          <w:p w14:paraId="110EC3AC">
            <w:pPr>
              <w:ind w:firstLine="480"/>
              <w:jc w:val="right"/>
              <w:rPr>
                <w:color w:val="auto"/>
              </w:rPr>
            </w:pPr>
            <w:r>
              <w:rPr>
                <w:color w:val="auto"/>
              </w:rPr>
              <w:t>（式</w:t>
            </w:r>
            <w:r>
              <w:rPr>
                <w:rFonts w:hint="eastAsia"/>
                <w:color w:val="auto"/>
                <w:lang w:val="en-US" w:eastAsia="zh-CN"/>
              </w:rPr>
              <w:t>4</w:t>
            </w:r>
            <w:r>
              <w:rPr>
                <w:color w:val="auto"/>
              </w:rPr>
              <w:t>-4）</w:t>
            </w:r>
            <w:r>
              <w:rPr>
                <w:rFonts w:hint="eastAsia"/>
                <w:color w:val="auto"/>
              </w:rPr>
              <w:t xml:space="preserve"> </w:t>
            </w:r>
          </w:p>
        </w:tc>
      </w:tr>
    </w:tbl>
    <w:p w14:paraId="782B0274">
      <w:pPr>
        <w:ind w:firstLine="480"/>
        <w:rPr>
          <w:color w:val="auto"/>
        </w:rPr>
      </w:pPr>
      <w:r>
        <w:rPr>
          <w:color w:val="auto"/>
        </w:rPr>
        <w:t>式中：K</w:t>
      </w:r>
      <w:r>
        <w:rPr>
          <w:color w:val="auto"/>
          <w:vertAlign w:val="subscript"/>
        </w:rPr>
        <w:t>1</w:t>
      </w:r>
      <w:r>
        <w:rPr>
          <w:color w:val="auto"/>
        </w:rPr>
        <w:t>—防渗层渗透系数（m/d）；</w:t>
      </w:r>
    </w:p>
    <w:p w14:paraId="250A25F0">
      <w:pPr>
        <w:ind w:firstLine="1274" w:firstLineChars="531"/>
        <w:rPr>
          <w:color w:val="auto"/>
        </w:rPr>
      </w:pPr>
      <w:r>
        <w:rPr>
          <w:color w:val="auto"/>
        </w:rPr>
        <w:t>K</w:t>
      </w:r>
      <w:r>
        <w:rPr>
          <w:color w:val="auto"/>
          <w:vertAlign w:val="subscript"/>
        </w:rPr>
        <w:t>2</w:t>
      </w:r>
      <w:r>
        <w:rPr>
          <w:color w:val="auto"/>
        </w:rPr>
        <w:t>—包气带渗透系数（m/d）；</w:t>
      </w:r>
    </w:p>
    <w:p w14:paraId="115E1D2A">
      <w:pPr>
        <w:ind w:firstLine="1274" w:firstLineChars="531"/>
        <w:rPr>
          <w:color w:val="auto"/>
        </w:rPr>
      </w:pPr>
      <w:r>
        <w:rPr>
          <w:color w:val="auto"/>
        </w:rPr>
        <w:t>h</w:t>
      </w:r>
      <w:r>
        <w:rPr>
          <w:color w:val="auto"/>
          <w:vertAlign w:val="subscript"/>
        </w:rPr>
        <w:t>池</w:t>
      </w:r>
      <w:r>
        <w:rPr>
          <w:color w:val="auto"/>
        </w:rPr>
        <w:t>—池体内水头高度；</w:t>
      </w:r>
    </w:p>
    <w:p w14:paraId="629197D7">
      <w:pPr>
        <w:ind w:firstLine="1274" w:firstLineChars="531"/>
        <w:rPr>
          <w:color w:val="auto"/>
        </w:rPr>
      </w:pPr>
      <w:r>
        <w:rPr>
          <w:color w:val="auto"/>
        </w:rPr>
        <w:t>h</w:t>
      </w:r>
      <w:r>
        <w:rPr>
          <w:color w:val="auto"/>
          <w:vertAlign w:val="subscript"/>
        </w:rPr>
        <w:t>1</w:t>
      </w:r>
      <w:r>
        <w:rPr>
          <w:color w:val="auto"/>
        </w:rPr>
        <w:t>—池内水头克服防渗层阻力后，防渗层底板水头（m）；</w:t>
      </w:r>
    </w:p>
    <w:p w14:paraId="067B0D2B">
      <w:pPr>
        <w:ind w:firstLine="1274" w:firstLineChars="531"/>
        <w:rPr>
          <w:color w:val="auto"/>
        </w:rPr>
      </w:pPr>
      <w:r>
        <w:rPr>
          <w:color w:val="auto"/>
        </w:rPr>
        <w:t>Q—池体内废水渗漏量（</w:t>
      </w:r>
      <w:r>
        <w:rPr>
          <w:rFonts w:hint="eastAsia"/>
          <w:color w:val="auto"/>
          <w:lang w:eastAsia="zh-CN"/>
        </w:rPr>
        <w:t>m³</w:t>
      </w:r>
      <w:r>
        <w:rPr>
          <w:color w:val="auto"/>
        </w:rPr>
        <w:t>/d）；</w:t>
      </w:r>
    </w:p>
    <w:p w14:paraId="39B4D9FA">
      <w:pPr>
        <w:ind w:firstLine="1274" w:firstLineChars="531"/>
        <w:rPr>
          <w:color w:val="auto"/>
        </w:rPr>
      </w:pPr>
      <w:r>
        <w:rPr>
          <w:color w:val="auto"/>
        </w:rPr>
        <w:t>h</w:t>
      </w:r>
      <w:r>
        <w:rPr>
          <w:color w:val="auto"/>
          <w:vertAlign w:val="subscript"/>
        </w:rPr>
        <w:t>防</w:t>
      </w:r>
      <w:r>
        <w:rPr>
          <w:color w:val="auto"/>
        </w:rPr>
        <w:t>—防渗层厚度（m）；</w:t>
      </w:r>
    </w:p>
    <w:p w14:paraId="6A1B1DDD">
      <w:pPr>
        <w:ind w:firstLine="1274" w:firstLineChars="531"/>
        <w:rPr>
          <w:color w:val="auto"/>
        </w:rPr>
      </w:pPr>
      <w:r>
        <w:rPr>
          <w:color w:val="auto"/>
        </w:rPr>
        <w:t>h</w:t>
      </w:r>
      <w:r>
        <w:rPr>
          <w:color w:val="auto"/>
          <w:vertAlign w:val="subscript"/>
        </w:rPr>
        <w:t>包</w:t>
      </w:r>
      <w:r>
        <w:rPr>
          <w:color w:val="auto"/>
        </w:rPr>
        <w:t>—包气带厚度（m）；</w:t>
      </w:r>
    </w:p>
    <w:p w14:paraId="2D55A385">
      <w:pPr>
        <w:ind w:firstLine="1274" w:firstLineChars="531"/>
        <w:rPr>
          <w:b/>
          <w:color w:val="auto"/>
        </w:rPr>
      </w:pPr>
      <w:r>
        <w:rPr>
          <w:color w:val="auto"/>
        </w:rPr>
        <w:t>A—池体面积（m</w:t>
      </w:r>
      <w:r>
        <w:rPr>
          <w:color w:val="auto"/>
          <w:vertAlign w:val="superscript"/>
        </w:rPr>
        <w:t>2</w:t>
      </w:r>
      <w:r>
        <w:rPr>
          <w:color w:val="auto"/>
        </w:rPr>
        <w:t>）。</w:t>
      </w:r>
    </w:p>
    <w:p w14:paraId="496EDEF0">
      <w:pPr>
        <w:ind w:firstLine="482"/>
        <w:rPr>
          <w:b/>
          <w:color w:val="auto"/>
        </w:rPr>
      </w:pPr>
      <w:r>
        <w:rPr>
          <w:b/>
          <w:color w:val="auto"/>
        </w:rPr>
        <w:t>（5）污染源强计算结果</w:t>
      </w:r>
    </w:p>
    <w:p w14:paraId="3D6B6AD0">
      <w:pPr>
        <w:ind w:firstLine="480"/>
        <w:rPr>
          <w:color w:val="auto"/>
        </w:rPr>
      </w:pPr>
      <w:r>
        <w:rPr>
          <w:color w:val="auto"/>
        </w:rPr>
        <w:t>根据估算，非正常状况下</w:t>
      </w:r>
      <w:r>
        <w:rPr>
          <w:rFonts w:hint="eastAsia"/>
          <w:color w:val="auto"/>
        </w:rPr>
        <w:t>污水处理厂</w:t>
      </w:r>
      <w:r>
        <w:rPr>
          <w:color w:val="auto"/>
        </w:rPr>
        <w:t>废水</w:t>
      </w:r>
      <w:r>
        <w:rPr>
          <w:rFonts w:hint="eastAsia"/>
          <w:color w:val="auto"/>
        </w:rPr>
        <w:t>总</w:t>
      </w:r>
      <w:r>
        <w:rPr>
          <w:color w:val="auto"/>
        </w:rPr>
        <w:t>下渗量为</w:t>
      </w:r>
      <w:r>
        <w:rPr>
          <w:rFonts w:hint="eastAsia"/>
          <w:color w:val="auto"/>
        </w:rPr>
        <w:t xml:space="preserve">95.39 </w:t>
      </w:r>
      <w:r>
        <w:rPr>
          <w:rFonts w:hint="eastAsia"/>
          <w:color w:val="auto"/>
          <w:lang w:eastAsia="zh-CN"/>
        </w:rPr>
        <w:t>m³</w:t>
      </w:r>
      <w:r>
        <w:rPr>
          <w:color w:val="auto"/>
        </w:rPr>
        <w:t>/d（</w:t>
      </w:r>
      <w:r>
        <w:rPr>
          <w:rFonts w:hint="eastAsia"/>
          <w:color w:val="auto"/>
          <w:lang w:val="en-US" w:eastAsia="zh-CN"/>
        </w:rPr>
        <w:t>详见下表</w:t>
      </w:r>
      <w:r>
        <w:rPr>
          <w:color w:val="auto"/>
        </w:rPr>
        <w:t>）。</w:t>
      </w:r>
    </w:p>
    <w:p w14:paraId="5CED8E4B">
      <w:pPr>
        <w:pStyle w:val="19"/>
        <w:keepNext w:val="0"/>
        <w:keepLines w:val="0"/>
        <w:pageBreakBefore w:val="0"/>
        <w:widowControl w:val="0"/>
        <w:numPr>
          <w:ilvl w:val="0"/>
          <w:numId w:val="31"/>
        </w:numPr>
        <w:kinsoku/>
        <w:wordWrap/>
        <w:overflowPunct/>
        <w:topLinePunct w:val="0"/>
        <w:autoSpaceDE/>
        <w:autoSpaceDN/>
        <w:bidi w:val="0"/>
        <w:adjustRightInd/>
        <w:snapToGrid/>
        <w:ind w:left="0" w:leftChars="0" w:firstLine="0" w:firstLineChars="0"/>
        <w:textAlignment w:val="auto"/>
        <w:rPr>
          <w:color w:val="auto"/>
        </w:rPr>
      </w:pPr>
      <w:bookmarkStart w:id="236" w:name="_Hlk114353566"/>
      <w:r>
        <w:rPr>
          <w:color w:val="auto"/>
        </w:rPr>
        <w:t>非正常状态</w:t>
      </w:r>
      <w:r>
        <w:rPr>
          <w:rFonts w:hint="eastAsia"/>
          <w:color w:val="auto"/>
        </w:rPr>
        <w:t>污水处理厂</w:t>
      </w:r>
      <w:r>
        <w:rPr>
          <w:rFonts w:eastAsia="宋体"/>
          <w:color w:val="auto"/>
        </w:rPr>
        <w:t>废水</w:t>
      </w:r>
      <w:r>
        <w:rPr>
          <w:color w:val="auto"/>
        </w:rPr>
        <w:t>下渗量计算</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06"/>
        <w:gridCol w:w="667"/>
        <w:gridCol w:w="939"/>
        <w:gridCol w:w="807"/>
        <w:gridCol w:w="667"/>
        <w:gridCol w:w="528"/>
        <w:gridCol w:w="960"/>
        <w:gridCol w:w="521"/>
        <w:gridCol w:w="459"/>
        <w:gridCol w:w="1143"/>
        <w:gridCol w:w="390"/>
        <w:gridCol w:w="728"/>
      </w:tblGrid>
      <w:tr w14:paraId="33EA3D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9" w:hRule="atLeast"/>
          <w:jc w:val="center"/>
        </w:trPr>
        <w:tc>
          <w:tcPr>
            <w:tcW w:w="304" w:type="pct"/>
            <w:vMerge w:val="restart"/>
            <w:tcBorders>
              <w:tl2br w:val="nil"/>
              <w:tr2bl w:val="nil"/>
            </w:tcBorders>
            <w:noWrap/>
            <w:tcMar>
              <w:left w:w="6" w:type="dxa"/>
              <w:right w:w="6" w:type="dxa"/>
            </w:tcMar>
            <w:vAlign w:val="center"/>
          </w:tcPr>
          <w:p w14:paraId="2078C032">
            <w:pPr>
              <w:pStyle w:val="714"/>
              <w:rPr>
                <w:b/>
                <w:bCs/>
                <w:color w:val="auto"/>
              </w:rPr>
            </w:pPr>
            <w:r>
              <w:rPr>
                <w:b/>
                <w:bCs/>
                <w:color w:val="auto"/>
              </w:rPr>
              <w:t>构筑物</w:t>
            </w:r>
          </w:p>
        </w:tc>
        <w:tc>
          <w:tcPr>
            <w:tcW w:w="401" w:type="pct"/>
            <w:vMerge w:val="restart"/>
            <w:tcBorders>
              <w:tl2br w:val="nil"/>
              <w:tr2bl w:val="nil"/>
            </w:tcBorders>
            <w:noWrap/>
            <w:tcMar>
              <w:left w:w="6" w:type="dxa"/>
              <w:right w:w="6" w:type="dxa"/>
            </w:tcMar>
            <w:vAlign w:val="center"/>
          </w:tcPr>
          <w:p w14:paraId="5371F5AF">
            <w:pPr>
              <w:pStyle w:val="714"/>
              <w:rPr>
                <w:b/>
                <w:bCs/>
                <w:color w:val="auto"/>
              </w:rPr>
            </w:pPr>
            <w:r>
              <w:rPr>
                <w:rFonts w:hint="eastAsia"/>
                <w:b/>
                <w:bCs/>
                <w:color w:val="auto"/>
              </w:rPr>
              <w:t>处理单元类型</w:t>
            </w:r>
          </w:p>
        </w:tc>
        <w:tc>
          <w:tcPr>
            <w:tcW w:w="564" w:type="pct"/>
            <w:vMerge w:val="restart"/>
            <w:tcBorders>
              <w:tl2br w:val="nil"/>
              <w:tr2bl w:val="nil"/>
            </w:tcBorders>
            <w:shd w:val="clear" w:color="auto" w:fill="auto"/>
            <w:noWrap/>
            <w:tcMar>
              <w:left w:w="6" w:type="dxa"/>
              <w:right w:w="6" w:type="dxa"/>
            </w:tcMar>
            <w:vAlign w:val="center"/>
          </w:tcPr>
          <w:p w14:paraId="55EB2B44">
            <w:pPr>
              <w:pStyle w:val="714"/>
              <w:rPr>
                <w:b/>
                <w:bCs/>
                <w:color w:val="auto"/>
              </w:rPr>
            </w:pPr>
            <w:r>
              <w:rPr>
                <w:rFonts w:hint="eastAsia"/>
                <w:b/>
                <w:bCs/>
                <w:color w:val="auto"/>
              </w:rPr>
              <w:t>池体名称</w:t>
            </w:r>
          </w:p>
        </w:tc>
        <w:tc>
          <w:tcPr>
            <w:tcW w:w="485" w:type="pct"/>
            <w:vMerge w:val="restart"/>
            <w:tcBorders>
              <w:tl2br w:val="nil"/>
              <w:tr2bl w:val="nil"/>
            </w:tcBorders>
            <w:shd w:val="clear" w:color="auto" w:fill="auto"/>
            <w:noWrap/>
            <w:tcMar>
              <w:left w:w="6" w:type="dxa"/>
              <w:right w:w="6" w:type="dxa"/>
            </w:tcMar>
            <w:vAlign w:val="center"/>
          </w:tcPr>
          <w:p w14:paraId="39E7B0BC">
            <w:pPr>
              <w:pStyle w:val="714"/>
              <w:rPr>
                <w:b/>
                <w:bCs/>
                <w:color w:val="auto"/>
              </w:rPr>
            </w:pPr>
            <w:r>
              <w:rPr>
                <w:b/>
                <w:bCs/>
                <w:color w:val="auto"/>
              </w:rPr>
              <w:t>等效水深</w:t>
            </w:r>
          </w:p>
          <w:p w14:paraId="0873FEC2">
            <w:pPr>
              <w:pStyle w:val="714"/>
              <w:rPr>
                <w:b/>
                <w:bCs/>
                <w:color w:val="auto"/>
              </w:rPr>
            </w:pPr>
            <w:r>
              <w:rPr>
                <w:b/>
                <w:bCs/>
                <w:color w:val="auto"/>
              </w:rPr>
              <w:t>h</w:t>
            </w:r>
            <w:r>
              <w:rPr>
                <w:b/>
                <w:bCs/>
                <w:color w:val="auto"/>
                <w:vertAlign w:val="subscript"/>
              </w:rPr>
              <w:t>池</w:t>
            </w:r>
            <w:r>
              <w:rPr>
                <w:rFonts w:hint="eastAsia"/>
                <w:b/>
                <w:bCs/>
                <w:color w:val="auto"/>
                <w:vertAlign w:val="subscript"/>
                <w:lang w:eastAsia="zh-CN"/>
              </w:rPr>
              <w:t>（</w:t>
            </w:r>
            <w:r>
              <w:rPr>
                <w:b/>
                <w:bCs/>
                <w:color w:val="auto"/>
              </w:rPr>
              <w:t>m)</w:t>
            </w:r>
          </w:p>
        </w:tc>
        <w:tc>
          <w:tcPr>
            <w:tcW w:w="401" w:type="pct"/>
            <w:vMerge w:val="restart"/>
            <w:tcBorders>
              <w:tl2br w:val="nil"/>
              <w:tr2bl w:val="nil"/>
            </w:tcBorders>
            <w:shd w:val="clear" w:color="auto" w:fill="auto"/>
            <w:noWrap/>
            <w:tcMar>
              <w:left w:w="6" w:type="dxa"/>
              <w:right w:w="6" w:type="dxa"/>
            </w:tcMar>
            <w:vAlign w:val="center"/>
          </w:tcPr>
          <w:p w14:paraId="6500FF83">
            <w:pPr>
              <w:pStyle w:val="714"/>
              <w:rPr>
                <w:b/>
                <w:bCs/>
                <w:color w:val="auto"/>
              </w:rPr>
            </w:pPr>
            <w:r>
              <w:rPr>
                <w:b/>
                <w:bCs/>
                <w:color w:val="auto"/>
              </w:rPr>
              <w:t>占地面积A(m</w:t>
            </w:r>
            <w:r>
              <w:rPr>
                <w:b/>
                <w:bCs/>
                <w:color w:val="auto"/>
                <w:vertAlign w:val="superscript"/>
              </w:rPr>
              <w:t>2</w:t>
            </w:r>
            <w:r>
              <w:rPr>
                <w:b/>
                <w:bCs/>
                <w:color w:val="auto"/>
              </w:rPr>
              <w:t>)</w:t>
            </w:r>
          </w:p>
        </w:tc>
        <w:tc>
          <w:tcPr>
            <w:tcW w:w="1207" w:type="pct"/>
            <w:gridSpan w:val="3"/>
            <w:tcBorders>
              <w:tl2br w:val="nil"/>
              <w:tr2bl w:val="nil"/>
            </w:tcBorders>
            <w:shd w:val="clear" w:color="auto" w:fill="auto"/>
            <w:noWrap/>
            <w:tcMar>
              <w:left w:w="6" w:type="dxa"/>
              <w:right w:w="6" w:type="dxa"/>
            </w:tcMar>
            <w:vAlign w:val="center"/>
          </w:tcPr>
          <w:p w14:paraId="725736C7">
            <w:pPr>
              <w:pStyle w:val="714"/>
              <w:rPr>
                <w:b/>
                <w:bCs/>
                <w:color w:val="auto"/>
              </w:rPr>
            </w:pPr>
            <w:r>
              <w:rPr>
                <w:b/>
                <w:bCs/>
                <w:color w:val="auto"/>
              </w:rPr>
              <w:t>防渗层</w:t>
            </w:r>
          </w:p>
        </w:tc>
        <w:tc>
          <w:tcPr>
            <w:tcW w:w="1197" w:type="pct"/>
            <w:gridSpan w:val="3"/>
            <w:tcBorders>
              <w:tl2br w:val="nil"/>
              <w:tr2bl w:val="nil"/>
            </w:tcBorders>
            <w:shd w:val="clear" w:color="auto" w:fill="auto"/>
            <w:noWrap/>
            <w:tcMar>
              <w:left w:w="6" w:type="dxa"/>
              <w:right w:w="6" w:type="dxa"/>
            </w:tcMar>
            <w:vAlign w:val="center"/>
          </w:tcPr>
          <w:p w14:paraId="16DD699B">
            <w:pPr>
              <w:pStyle w:val="714"/>
              <w:rPr>
                <w:b/>
                <w:bCs/>
                <w:color w:val="auto"/>
              </w:rPr>
            </w:pPr>
            <w:r>
              <w:rPr>
                <w:b/>
                <w:bCs/>
                <w:color w:val="auto"/>
              </w:rPr>
              <w:t>下伏介质+夯实基础</w:t>
            </w:r>
          </w:p>
        </w:tc>
        <w:tc>
          <w:tcPr>
            <w:tcW w:w="437" w:type="pct"/>
            <w:vMerge w:val="restart"/>
            <w:tcBorders>
              <w:tl2br w:val="nil"/>
              <w:tr2bl w:val="nil"/>
            </w:tcBorders>
            <w:shd w:val="clear" w:color="auto" w:fill="auto"/>
            <w:noWrap/>
            <w:tcMar>
              <w:left w:w="6" w:type="dxa"/>
              <w:right w:w="6" w:type="dxa"/>
            </w:tcMar>
            <w:vAlign w:val="center"/>
          </w:tcPr>
          <w:p w14:paraId="472915C8">
            <w:pPr>
              <w:pStyle w:val="714"/>
              <w:rPr>
                <w:b/>
                <w:bCs/>
                <w:color w:val="auto"/>
              </w:rPr>
            </w:pPr>
            <w:r>
              <w:rPr>
                <w:b/>
                <w:bCs/>
                <w:color w:val="auto"/>
              </w:rPr>
              <w:t>下渗量</w:t>
            </w:r>
          </w:p>
          <w:p w14:paraId="0E357586">
            <w:pPr>
              <w:pStyle w:val="714"/>
              <w:rPr>
                <w:b/>
                <w:bCs/>
                <w:color w:val="auto"/>
              </w:rPr>
            </w:pPr>
            <w:r>
              <w:rPr>
                <w:b/>
                <w:bCs/>
                <w:color w:val="auto"/>
              </w:rPr>
              <w:t>(</w:t>
            </w:r>
            <w:r>
              <w:rPr>
                <w:rFonts w:hint="eastAsia"/>
                <w:b/>
                <w:bCs/>
                <w:color w:val="auto"/>
                <w:lang w:eastAsia="zh-CN"/>
              </w:rPr>
              <w:t>m³</w:t>
            </w:r>
            <w:r>
              <w:rPr>
                <w:b/>
                <w:bCs/>
                <w:color w:val="auto"/>
              </w:rPr>
              <w:t>/d)</w:t>
            </w:r>
          </w:p>
        </w:tc>
      </w:tr>
      <w:tr w14:paraId="7C8977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9" w:hRule="atLeast"/>
          <w:jc w:val="center"/>
        </w:trPr>
        <w:tc>
          <w:tcPr>
            <w:tcW w:w="304" w:type="pct"/>
            <w:vMerge w:val="continue"/>
            <w:tcBorders>
              <w:tl2br w:val="nil"/>
              <w:tr2bl w:val="nil"/>
            </w:tcBorders>
            <w:noWrap/>
            <w:tcMar>
              <w:left w:w="6" w:type="dxa"/>
              <w:right w:w="6" w:type="dxa"/>
            </w:tcMar>
            <w:vAlign w:val="center"/>
          </w:tcPr>
          <w:p w14:paraId="3C3F29A3">
            <w:pPr>
              <w:pStyle w:val="714"/>
              <w:rPr>
                <w:color w:val="auto"/>
              </w:rPr>
            </w:pPr>
          </w:p>
        </w:tc>
        <w:tc>
          <w:tcPr>
            <w:tcW w:w="401" w:type="pct"/>
            <w:vMerge w:val="continue"/>
            <w:tcBorders>
              <w:tl2br w:val="nil"/>
              <w:tr2bl w:val="nil"/>
            </w:tcBorders>
            <w:noWrap/>
            <w:tcMar>
              <w:left w:w="6" w:type="dxa"/>
              <w:right w:w="6" w:type="dxa"/>
            </w:tcMar>
            <w:vAlign w:val="center"/>
          </w:tcPr>
          <w:p w14:paraId="5E2D2A8E">
            <w:pPr>
              <w:pStyle w:val="714"/>
              <w:rPr>
                <w:color w:val="auto"/>
              </w:rPr>
            </w:pPr>
          </w:p>
        </w:tc>
        <w:tc>
          <w:tcPr>
            <w:tcW w:w="564" w:type="pct"/>
            <w:vMerge w:val="continue"/>
            <w:tcBorders>
              <w:tl2br w:val="nil"/>
              <w:tr2bl w:val="nil"/>
            </w:tcBorders>
            <w:noWrap/>
            <w:tcMar>
              <w:left w:w="6" w:type="dxa"/>
              <w:right w:w="6" w:type="dxa"/>
            </w:tcMar>
            <w:vAlign w:val="center"/>
          </w:tcPr>
          <w:p w14:paraId="05C66959">
            <w:pPr>
              <w:pStyle w:val="714"/>
              <w:rPr>
                <w:color w:val="auto"/>
              </w:rPr>
            </w:pPr>
          </w:p>
        </w:tc>
        <w:tc>
          <w:tcPr>
            <w:tcW w:w="485" w:type="pct"/>
            <w:vMerge w:val="continue"/>
            <w:tcBorders>
              <w:tl2br w:val="nil"/>
              <w:tr2bl w:val="nil"/>
            </w:tcBorders>
            <w:noWrap/>
            <w:tcMar>
              <w:left w:w="6" w:type="dxa"/>
              <w:right w:w="6" w:type="dxa"/>
            </w:tcMar>
            <w:vAlign w:val="center"/>
          </w:tcPr>
          <w:p w14:paraId="27C4340E">
            <w:pPr>
              <w:pStyle w:val="714"/>
              <w:rPr>
                <w:color w:val="auto"/>
              </w:rPr>
            </w:pPr>
          </w:p>
        </w:tc>
        <w:tc>
          <w:tcPr>
            <w:tcW w:w="401" w:type="pct"/>
            <w:vMerge w:val="continue"/>
            <w:tcBorders>
              <w:tl2br w:val="nil"/>
              <w:tr2bl w:val="nil"/>
            </w:tcBorders>
            <w:noWrap/>
            <w:tcMar>
              <w:left w:w="6" w:type="dxa"/>
              <w:right w:w="6" w:type="dxa"/>
            </w:tcMar>
            <w:vAlign w:val="center"/>
          </w:tcPr>
          <w:p w14:paraId="2D0DC3D2">
            <w:pPr>
              <w:pStyle w:val="714"/>
              <w:rPr>
                <w:color w:val="auto"/>
              </w:rPr>
            </w:pPr>
          </w:p>
        </w:tc>
        <w:tc>
          <w:tcPr>
            <w:tcW w:w="317" w:type="pct"/>
            <w:tcBorders>
              <w:tl2br w:val="nil"/>
              <w:tr2bl w:val="nil"/>
            </w:tcBorders>
            <w:shd w:val="clear" w:color="auto" w:fill="auto"/>
            <w:noWrap/>
            <w:tcMar>
              <w:left w:w="6" w:type="dxa"/>
              <w:right w:w="6" w:type="dxa"/>
            </w:tcMar>
            <w:vAlign w:val="center"/>
          </w:tcPr>
          <w:p w14:paraId="041E14C0">
            <w:pPr>
              <w:pStyle w:val="714"/>
              <w:rPr>
                <w:b/>
                <w:bCs/>
                <w:color w:val="auto"/>
              </w:rPr>
            </w:pPr>
            <w:r>
              <w:rPr>
                <w:b/>
                <w:bCs/>
                <w:color w:val="auto"/>
              </w:rPr>
              <w:t>h</w:t>
            </w:r>
            <w:r>
              <w:rPr>
                <w:b/>
                <w:bCs/>
                <w:color w:val="auto"/>
                <w:vertAlign w:val="subscript"/>
              </w:rPr>
              <w:t>防</w:t>
            </w:r>
          </w:p>
          <w:p w14:paraId="110ECBD7">
            <w:pPr>
              <w:pStyle w:val="714"/>
              <w:rPr>
                <w:b/>
                <w:bCs/>
                <w:color w:val="auto"/>
              </w:rPr>
            </w:pPr>
            <w:r>
              <w:rPr>
                <w:b/>
                <w:bCs/>
                <w:color w:val="auto"/>
              </w:rPr>
              <w:t>(m)</w:t>
            </w:r>
          </w:p>
        </w:tc>
        <w:tc>
          <w:tcPr>
            <w:tcW w:w="577" w:type="pct"/>
            <w:tcBorders>
              <w:tl2br w:val="nil"/>
              <w:tr2bl w:val="nil"/>
            </w:tcBorders>
            <w:shd w:val="clear" w:color="auto" w:fill="auto"/>
            <w:noWrap/>
            <w:tcMar>
              <w:left w:w="6" w:type="dxa"/>
              <w:right w:w="6" w:type="dxa"/>
            </w:tcMar>
            <w:vAlign w:val="center"/>
          </w:tcPr>
          <w:p w14:paraId="7FAEB285">
            <w:pPr>
              <w:pStyle w:val="714"/>
              <w:rPr>
                <w:b/>
                <w:bCs/>
                <w:color w:val="auto"/>
              </w:rPr>
            </w:pPr>
            <w:r>
              <w:rPr>
                <w:b/>
                <w:bCs/>
                <w:color w:val="auto"/>
              </w:rPr>
              <w:t>渗透系数K</w:t>
            </w:r>
            <w:r>
              <w:rPr>
                <w:b/>
                <w:bCs/>
                <w:color w:val="auto"/>
                <w:vertAlign w:val="subscript"/>
              </w:rPr>
              <w:t>1</w:t>
            </w:r>
            <w:r>
              <w:rPr>
                <w:b/>
                <w:bCs/>
                <w:color w:val="auto"/>
              </w:rPr>
              <w:t>(cm/s)</w:t>
            </w:r>
          </w:p>
        </w:tc>
        <w:tc>
          <w:tcPr>
            <w:tcW w:w="312" w:type="pct"/>
            <w:tcBorders>
              <w:tl2br w:val="nil"/>
              <w:tr2bl w:val="nil"/>
            </w:tcBorders>
            <w:shd w:val="clear" w:color="auto" w:fill="auto"/>
            <w:noWrap/>
            <w:tcMar>
              <w:left w:w="6" w:type="dxa"/>
              <w:right w:w="6" w:type="dxa"/>
            </w:tcMar>
            <w:vAlign w:val="center"/>
          </w:tcPr>
          <w:p w14:paraId="6C039A17">
            <w:pPr>
              <w:pStyle w:val="714"/>
              <w:rPr>
                <w:b/>
                <w:bCs/>
                <w:color w:val="auto"/>
              </w:rPr>
            </w:pPr>
            <w:r>
              <w:rPr>
                <w:b/>
                <w:bCs/>
                <w:color w:val="auto"/>
              </w:rPr>
              <w:t>比例</w:t>
            </w:r>
          </w:p>
        </w:tc>
        <w:tc>
          <w:tcPr>
            <w:tcW w:w="276" w:type="pct"/>
            <w:tcBorders>
              <w:tl2br w:val="nil"/>
              <w:tr2bl w:val="nil"/>
            </w:tcBorders>
            <w:shd w:val="clear" w:color="auto" w:fill="auto"/>
            <w:noWrap/>
            <w:tcMar>
              <w:left w:w="6" w:type="dxa"/>
              <w:right w:w="6" w:type="dxa"/>
            </w:tcMar>
            <w:vAlign w:val="center"/>
          </w:tcPr>
          <w:p w14:paraId="613B5545">
            <w:pPr>
              <w:pStyle w:val="714"/>
              <w:rPr>
                <w:b/>
                <w:bCs/>
                <w:color w:val="auto"/>
              </w:rPr>
            </w:pPr>
            <w:r>
              <w:rPr>
                <w:b/>
                <w:bCs/>
                <w:color w:val="auto"/>
              </w:rPr>
              <w:t>h</w:t>
            </w:r>
            <w:r>
              <w:rPr>
                <w:b/>
                <w:bCs/>
                <w:color w:val="auto"/>
                <w:vertAlign w:val="subscript"/>
              </w:rPr>
              <w:t>包</w:t>
            </w:r>
          </w:p>
          <w:p w14:paraId="3C432E14">
            <w:pPr>
              <w:pStyle w:val="714"/>
              <w:rPr>
                <w:b/>
                <w:bCs/>
                <w:color w:val="auto"/>
              </w:rPr>
            </w:pPr>
            <w:r>
              <w:rPr>
                <w:b/>
                <w:bCs/>
                <w:color w:val="auto"/>
              </w:rPr>
              <w:t>(m)</w:t>
            </w:r>
          </w:p>
        </w:tc>
        <w:tc>
          <w:tcPr>
            <w:tcW w:w="687" w:type="pct"/>
            <w:tcBorders>
              <w:tl2br w:val="nil"/>
              <w:tr2bl w:val="nil"/>
            </w:tcBorders>
            <w:shd w:val="clear" w:color="auto" w:fill="auto"/>
            <w:noWrap/>
            <w:tcMar>
              <w:left w:w="6" w:type="dxa"/>
              <w:right w:w="6" w:type="dxa"/>
            </w:tcMar>
            <w:vAlign w:val="center"/>
          </w:tcPr>
          <w:p w14:paraId="784B9253">
            <w:pPr>
              <w:pStyle w:val="714"/>
              <w:rPr>
                <w:b/>
                <w:bCs/>
                <w:color w:val="auto"/>
              </w:rPr>
            </w:pPr>
            <w:r>
              <w:rPr>
                <w:b/>
                <w:bCs/>
                <w:color w:val="auto"/>
              </w:rPr>
              <w:t>等效渗透系数K</w:t>
            </w:r>
            <w:r>
              <w:rPr>
                <w:b/>
                <w:bCs/>
                <w:color w:val="auto"/>
                <w:vertAlign w:val="subscript"/>
              </w:rPr>
              <w:t>2</w:t>
            </w:r>
            <w:r>
              <w:rPr>
                <w:b/>
                <w:bCs/>
                <w:color w:val="auto"/>
              </w:rPr>
              <w:t>（cm/s</w:t>
            </w:r>
            <w:r>
              <w:rPr>
                <w:rFonts w:hint="eastAsia"/>
                <w:b/>
                <w:bCs/>
                <w:color w:val="auto"/>
                <w:lang w:eastAsia="zh-CN"/>
              </w:rPr>
              <w:t>）</w:t>
            </w:r>
          </w:p>
        </w:tc>
        <w:tc>
          <w:tcPr>
            <w:tcW w:w="232" w:type="pct"/>
            <w:tcBorders>
              <w:tl2br w:val="nil"/>
              <w:tr2bl w:val="nil"/>
            </w:tcBorders>
            <w:shd w:val="clear" w:color="auto" w:fill="auto"/>
            <w:noWrap/>
            <w:tcMar>
              <w:left w:w="6" w:type="dxa"/>
              <w:right w:w="6" w:type="dxa"/>
            </w:tcMar>
            <w:vAlign w:val="center"/>
          </w:tcPr>
          <w:p w14:paraId="06396AEC">
            <w:pPr>
              <w:pStyle w:val="714"/>
              <w:rPr>
                <w:b/>
                <w:bCs/>
                <w:color w:val="auto"/>
              </w:rPr>
            </w:pPr>
            <w:r>
              <w:rPr>
                <w:b/>
                <w:bCs/>
                <w:color w:val="auto"/>
              </w:rPr>
              <w:t>比例</w:t>
            </w:r>
          </w:p>
        </w:tc>
        <w:tc>
          <w:tcPr>
            <w:tcW w:w="437" w:type="pct"/>
            <w:vMerge w:val="continue"/>
            <w:tcBorders>
              <w:tl2br w:val="nil"/>
              <w:tr2bl w:val="nil"/>
            </w:tcBorders>
            <w:noWrap/>
            <w:tcMar>
              <w:left w:w="6" w:type="dxa"/>
              <w:right w:w="6" w:type="dxa"/>
            </w:tcMar>
            <w:vAlign w:val="center"/>
          </w:tcPr>
          <w:p w14:paraId="63C7A172">
            <w:pPr>
              <w:pStyle w:val="714"/>
              <w:rPr>
                <w:color w:val="auto"/>
              </w:rPr>
            </w:pPr>
          </w:p>
        </w:tc>
      </w:tr>
      <w:tr w14:paraId="4EE507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304" w:type="pct"/>
            <w:vMerge w:val="restart"/>
            <w:tcBorders>
              <w:tl2br w:val="nil"/>
              <w:tr2bl w:val="nil"/>
            </w:tcBorders>
            <w:noWrap/>
            <w:tcMar>
              <w:left w:w="6" w:type="dxa"/>
              <w:right w:w="6" w:type="dxa"/>
            </w:tcMar>
            <w:vAlign w:val="center"/>
          </w:tcPr>
          <w:p w14:paraId="40C29780">
            <w:pPr>
              <w:pStyle w:val="714"/>
              <w:rPr>
                <w:color w:val="auto"/>
              </w:rPr>
            </w:pPr>
            <w:r>
              <w:rPr>
                <w:rFonts w:hint="eastAsia"/>
                <w:color w:val="auto"/>
              </w:rPr>
              <w:t>主体工程</w:t>
            </w:r>
          </w:p>
        </w:tc>
        <w:tc>
          <w:tcPr>
            <w:tcW w:w="401" w:type="pct"/>
            <w:vMerge w:val="restart"/>
            <w:tcBorders>
              <w:tl2br w:val="nil"/>
              <w:tr2bl w:val="nil"/>
            </w:tcBorders>
            <w:noWrap/>
            <w:tcMar>
              <w:left w:w="6" w:type="dxa"/>
              <w:right w:w="6" w:type="dxa"/>
            </w:tcMar>
            <w:vAlign w:val="center"/>
          </w:tcPr>
          <w:p w14:paraId="043AD242">
            <w:pPr>
              <w:pStyle w:val="714"/>
              <w:rPr>
                <w:color w:val="auto"/>
              </w:rPr>
            </w:pPr>
            <w:r>
              <w:rPr>
                <w:rFonts w:hint="eastAsia"/>
                <w:color w:val="auto"/>
              </w:rPr>
              <w:t>一级处理</w:t>
            </w:r>
          </w:p>
        </w:tc>
        <w:tc>
          <w:tcPr>
            <w:tcW w:w="564" w:type="pct"/>
            <w:tcBorders>
              <w:tl2br w:val="nil"/>
              <w:tr2bl w:val="nil"/>
            </w:tcBorders>
            <w:shd w:val="clear" w:color="auto" w:fill="auto"/>
            <w:noWrap/>
            <w:tcMar>
              <w:left w:w="6" w:type="dxa"/>
              <w:right w:w="6" w:type="dxa"/>
            </w:tcMar>
            <w:vAlign w:val="center"/>
          </w:tcPr>
          <w:p w14:paraId="5FA0EFC3">
            <w:pPr>
              <w:pStyle w:val="714"/>
              <w:rPr>
                <w:color w:val="auto"/>
              </w:rPr>
            </w:pPr>
            <w:r>
              <w:rPr>
                <w:rFonts w:hint="eastAsia"/>
                <w:color w:val="auto"/>
              </w:rPr>
              <w:t>超细格栅池</w:t>
            </w:r>
          </w:p>
        </w:tc>
        <w:tc>
          <w:tcPr>
            <w:tcW w:w="485" w:type="pct"/>
            <w:tcBorders>
              <w:tl2br w:val="nil"/>
              <w:tr2bl w:val="nil"/>
            </w:tcBorders>
            <w:shd w:val="clear" w:color="auto" w:fill="auto"/>
            <w:noWrap/>
            <w:tcMar>
              <w:left w:w="6" w:type="dxa"/>
              <w:right w:w="6" w:type="dxa"/>
            </w:tcMar>
            <w:vAlign w:val="center"/>
          </w:tcPr>
          <w:p w14:paraId="3C1AF81D">
            <w:pPr>
              <w:pStyle w:val="714"/>
              <w:rPr>
                <w:color w:val="auto"/>
              </w:rPr>
            </w:pPr>
            <w:r>
              <w:rPr>
                <w:rFonts w:hint="eastAsia"/>
                <w:color w:val="auto"/>
              </w:rPr>
              <w:t>1.5</w:t>
            </w:r>
          </w:p>
        </w:tc>
        <w:tc>
          <w:tcPr>
            <w:tcW w:w="401" w:type="pct"/>
            <w:tcBorders>
              <w:tl2br w:val="nil"/>
              <w:tr2bl w:val="nil"/>
            </w:tcBorders>
            <w:shd w:val="clear" w:color="auto" w:fill="auto"/>
            <w:noWrap/>
            <w:tcMar>
              <w:left w:w="6" w:type="dxa"/>
              <w:right w:w="6" w:type="dxa"/>
            </w:tcMar>
            <w:vAlign w:val="center"/>
          </w:tcPr>
          <w:p w14:paraId="71AD3611">
            <w:pPr>
              <w:pStyle w:val="714"/>
              <w:rPr>
                <w:color w:val="auto"/>
              </w:rPr>
            </w:pPr>
            <w:r>
              <w:rPr>
                <w:rFonts w:hint="eastAsia"/>
                <w:color w:val="auto"/>
              </w:rPr>
              <w:t>26.95</w:t>
            </w:r>
          </w:p>
        </w:tc>
        <w:tc>
          <w:tcPr>
            <w:tcW w:w="317" w:type="pct"/>
            <w:tcBorders>
              <w:tl2br w:val="nil"/>
              <w:tr2bl w:val="nil"/>
            </w:tcBorders>
            <w:shd w:val="clear" w:color="auto" w:fill="auto"/>
            <w:noWrap/>
            <w:tcMar>
              <w:left w:w="6" w:type="dxa"/>
              <w:right w:w="6" w:type="dxa"/>
            </w:tcMar>
            <w:vAlign w:val="center"/>
          </w:tcPr>
          <w:p w14:paraId="1D001999">
            <w:pPr>
              <w:pStyle w:val="714"/>
              <w:rPr>
                <w:color w:val="auto"/>
              </w:rPr>
            </w:pPr>
            <w:r>
              <w:rPr>
                <w:color w:val="auto"/>
              </w:rPr>
              <w:t>0.30</w:t>
            </w:r>
          </w:p>
        </w:tc>
        <w:tc>
          <w:tcPr>
            <w:tcW w:w="577" w:type="pct"/>
            <w:tcBorders>
              <w:tl2br w:val="nil"/>
              <w:tr2bl w:val="nil"/>
            </w:tcBorders>
            <w:shd w:val="clear" w:color="auto" w:fill="auto"/>
            <w:noWrap/>
            <w:tcMar>
              <w:left w:w="6" w:type="dxa"/>
              <w:right w:w="6" w:type="dxa"/>
            </w:tcMar>
            <w:vAlign w:val="center"/>
          </w:tcPr>
          <w:p w14:paraId="27E2B9F5">
            <w:pPr>
              <w:pStyle w:val="714"/>
              <w:rPr>
                <w:color w:val="auto"/>
              </w:rPr>
            </w:pPr>
            <w:r>
              <w:rPr>
                <w:color w:val="auto"/>
              </w:rPr>
              <w:t>0.26E-8</w:t>
            </w:r>
          </w:p>
        </w:tc>
        <w:tc>
          <w:tcPr>
            <w:tcW w:w="312" w:type="pct"/>
            <w:tcBorders>
              <w:tl2br w:val="nil"/>
              <w:tr2bl w:val="nil"/>
            </w:tcBorders>
            <w:shd w:val="clear" w:color="auto" w:fill="auto"/>
            <w:noWrap/>
            <w:tcMar>
              <w:left w:w="6" w:type="dxa"/>
              <w:right w:w="6" w:type="dxa"/>
            </w:tcMar>
            <w:vAlign w:val="center"/>
          </w:tcPr>
          <w:p w14:paraId="4004A865">
            <w:pPr>
              <w:pStyle w:val="714"/>
              <w:rPr>
                <w:color w:val="auto"/>
              </w:rPr>
            </w:pPr>
            <w:r>
              <w:rPr>
                <w:color w:val="auto"/>
              </w:rPr>
              <w:t>0.9</w:t>
            </w:r>
          </w:p>
        </w:tc>
        <w:tc>
          <w:tcPr>
            <w:tcW w:w="276" w:type="pct"/>
            <w:tcBorders>
              <w:tl2br w:val="nil"/>
              <w:tr2bl w:val="nil"/>
            </w:tcBorders>
            <w:shd w:val="clear" w:color="auto" w:fill="auto"/>
            <w:noWrap/>
            <w:tcMar>
              <w:left w:w="6" w:type="dxa"/>
              <w:right w:w="6" w:type="dxa"/>
            </w:tcMar>
            <w:vAlign w:val="center"/>
          </w:tcPr>
          <w:p w14:paraId="0DBD13F8">
            <w:pPr>
              <w:pStyle w:val="714"/>
              <w:rPr>
                <w:color w:val="auto"/>
              </w:rPr>
            </w:pPr>
            <w:r>
              <w:rPr>
                <w:rFonts w:hint="eastAsia"/>
                <w:color w:val="auto"/>
              </w:rPr>
              <w:t>2.47</w:t>
            </w:r>
          </w:p>
        </w:tc>
        <w:tc>
          <w:tcPr>
            <w:tcW w:w="687" w:type="pct"/>
            <w:tcBorders>
              <w:tl2br w:val="nil"/>
              <w:tr2bl w:val="nil"/>
            </w:tcBorders>
            <w:shd w:val="clear" w:color="auto" w:fill="auto"/>
            <w:noWrap/>
            <w:tcMar>
              <w:left w:w="6" w:type="dxa"/>
              <w:right w:w="6" w:type="dxa"/>
            </w:tcMar>
            <w:vAlign w:val="center"/>
          </w:tcPr>
          <w:p w14:paraId="29B3CC70">
            <w:pPr>
              <w:pStyle w:val="714"/>
              <w:rPr>
                <w:color w:val="auto"/>
              </w:rPr>
            </w:pPr>
            <w:r>
              <w:rPr>
                <w:color w:val="auto"/>
              </w:rPr>
              <w:t>1.</w:t>
            </w:r>
            <w:r>
              <w:rPr>
                <w:rFonts w:hint="eastAsia"/>
                <w:color w:val="auto"/>
              </w:rPr>
              <w:t>71</w:t>
            </w:r>
            <w:r>
              <w:rPr>
                <w:color w:val="auto"/>
              </w:rPr>
              <w:t>E-4</w:t>
            </w:r>
          </w:p>
        </w:tc>
        <w:tc>
          <w:tcPr>
            <w:tcW w:w="232" w:type="pct"/>
            <w:tcBorders>
              <w:tl2br w:val="nil"/>
              <w:tr2bl w:val="nil"/>
            </w:tcBorders>
            <w:shd w:val="clear" w:color="auto" w:fill="auto"/>
            <w:noWrap/>
            <w:tcMar>
              <w:left w:w="6" w:type="dxa"/>
              <w:right w:w="6" w:type="dxa"/>
            </w:tcMar>
            <w:vAlign w:val="center"/>
          </w:tcPr>
          <w:p w14:paraId="71B6B921">
            <w:pPr>
              <w:pStyle w:val="714"/>
              <w:rPr>
                <w:color w:val="auto"/>
              </w:rPr>
            </w:pPr>
            <w:r>
              <w:rPr>
                <w:color w:val="auto"/>
              </w:rPr>
              <w:t>0.1</w:t>
            </w:r>
          </w:p>
        </w:tc>
        <w:tc>
          <w:tcPr>
            <w:tcW w:w="437" w:type="pct"/>
            <w:tcBorders>
              <w:tl2br w:val="nil"/>
              <w:tr2bl w:val="nil"/>
            </w:tcBorders>
            <w:shd w:val="clear" w:color="auto" w:fill="auto"/>
            <w:noWrap/>
            <w:tcMar>
              <w:left w:w="6" w:type="dxa"/>
              <w:right w:w="6" w:type="dxa"/>
            </w:tcMar>
            <w:vAlign w:val="center"/>
          </w:tcPr>
          <w:p w14:paraId="09E91C08">
            <w:pPr>
              <w:pStyle w:val="714"/>
              <w:rPr>
                <w:color w:val="auto"/>
              </w:rPr>
            </w:pPr>
            <w:r>
              <w:rPr>
                <w:rFonts w:hint="eastAsia"/>
                <w:color w:val="auto"/>
              </w:rPr>
              <w:t>0.64</w:t>
            </w:r>
          </w:p>
        </w:tc>
      </w:tr>
      <w:tr w14:paraId="071287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9" w:hRule="atLeast"/>
          <w:jc w:val="center"/>
        </w:trPr>
        <w:tc>
          <w:tcPr>
            <w:tcW w:w="304" w:type="pct"/>
            <w:vMerge w:val="continue"/>
            <w:tcBorders>
              <w:tl2br w:val="nil"/>
              <w:tr2bl w:val="nil"/>
            </w:tcBorders>
            <w:noWrap/>
            <w:tcMar>
              <w:left w:w="6" w:type="dxa"/>
              <w:right w:w="6" w:type="dxa"/>
            </w:tcMar>
            <w:vAlign w:val="center"/>
          </w:tcPr>
          <w:p w14:paraId="436C9D61">
            <w:pPr>
              <w:pStyle w:val="714"/>
              <w:rPr>
                <w:color w:val="auto"/>
              </w:rPr>
            </w:pPr>
          </w:p>
        </w:tc>
        <w:tc>
          <w:tcPr>
            <w:tcW w:w="401" w:type="pct"/>
            <w:vMerge w:val="continue"/>
            <w:tcBorders>
              <w:tl2br w:val="nil"/>
              <w:tr2bl w:val="nil"/>
            </w:tcBorders>
            <w:noWrap/>
            <w:tcMar>
              <w:left w:w="6" w:type="dxa"/>
              <w:right w:w="6" w:type="dxa"/>
            </w:tcMar>
            <w:vAlign w:val="center"/>
          </w:tcPr>
          <w:p w14:paraId="38DE6D21">
            <w:pPr>
              <w:pStyle w:val="714"/>
              <w:rPr>
                <w:color w:val="auto"/>
              </w:rPr>
            </w:pPr>
          </w:p>
        </w:tc>
        <w:tc>
          <w:tcPr>
            <w:tcW w:w="564" w:type="pct"/>
            <w:tcBorders>
              <w:tl2br w:val="nil"/>
              <w:tr2bl w:val="nil"/>
            </w:tcBorders>
            <w:shd w:val="clear" w:color="auto" w:fill="auto"/>
            <w:noWrap/>
            <w:tcMar>
              <w:left w:w="6" w:type="dxa"/>
              <w:right w:w="6" w:type="dxa"/>
            </w:tcMar>
            <w:vAlign w:val="center"/>
          </w:tcPr>
          <w:p w14:paraId="480D4B20">
            <w:pPr>
              <w:pStyle w:val="714"/>
              <w:rPr>
                <w:color w:val="auto"/>
              </w:rPr>
            </w:pPr>
            <w:r>
              <w:rPr>
                <w:rFonts w:hint="eastAsia"/>
                <w:color w:val="auto"/>
              </w:rPr>
              <w:t>调节池</w:t>
            </w:r>
          </w:p>
        </w:tc>
        <w:tc>
          <w:tcPr>
            <w:tcW w:w="485" w:type="pct"/>
            <w:tcBorders>
              <w:tl2br w:val="nil"/>
              <w:tr2bl w:val="nil"/>
            </w:tcBorders>
            <w:shd w:val="clear" w:color="auto" w:fill="auto"/>
            <w:noWrap/>
            <w:tcMar>
              <w:left w:w="6" w:type="dxa"/>
              <w:right w:w="6" w:type="dxa"/>
            </w:tcMar>
            <w:vAlign w:val="center"/>
          </w:tcPr>
          <w:p w14:paraId="4107F70C">
            <w:pPr>
              <w:pStyle w:val="714"/>
              <w:rPr>
                <w:color w:val="auto"/>
              </w:rPr>
            </w:pPr>
            <w:r>
              <w:rPr>
                <w:rFonts w:hint="eastAsia"/>
                <w:color w:val="auto"/>
              </w:rPr>
              <w:t>6.8</w:t>
            </w:r>
          </w:p>
        </w:tc>
        <w:tc>
          <w:tcPr>
            <w:tcW w:w="401" w:type="pct"/>
            <w:tcBorders>
              <w:tl2br w:val="nil"/>
              <w:tr2bl w:val="nil"/>
            </w:tcBorders>
            <w:shd w:val="clear" w:color="auto" w:fill="auto"/>
            <w:noWrap/>
            <w:tcMar>
              <w:left w:w="6" w:type="dxa"/>
              <w:right w:w="6" w:type="dxa"/>
            </w:tcMar>
            <w:vAlign w:val="center"/>
          </w:tcPr>
          <w:p w14:paraId="699D5AD4">
            <w:pPr>
              <w:pStyle w:val="714"/>
              <w:rPr>
                <w:color w:val="auto"/>
              </w:rPr>
            </w:pPr>
            <w:r>
              <w:rPr>
                <w:rFonts w:hint="eastAsia"/>
                <w:color w:val="auto"/>
              </w:rPr>
              <w:t>295.40</w:t>
            </w:r>
          </w:p>
        </w:tc>
        <w:tc>
          <w:tcPr>
            <w:tcW w:w="317" w:type="pct"/>
            <w:tcBorders>
              <w:tl2br w:val="nil"/>
              <w:tr2bl w:val="nil"/>
            </w:tcBorders>
            <w:shd w:val="clear" w:color="auto" w:fill="auto"/>
            <w:noWrap/>
            <w:tcMar>
              <w:left w:w="6" w:type="dxa"/>
              <w:right w:w="6" w:type="dxa"/>
            </w:tcMar>
            <w:vAlign w:val="center"/>
          </w:tcPr>
          <w:p w14:paraId="54B25E31">
            <w:pPr>
              <w:pStyle w:val="714"/>
              <w:rPr>
                <w:color w:val="auto"/>
              </w:rPr>
            </w:pPr>
            <w:r>
              <w:rPr>
                <w:color w:val="auto"/>
              </w:rPr>
              <w:t>0.30</w:t>
            </w:r>
          </w:p>
        </w:tc>
        <w:tc>
          <w:tcPr>
            <w:tcW w:w="577" w:type="pct"/>
            <w:tcBorders>
              <w:tl2br w:val="nil"/>
              <w:tr2bl w:val="nil"/>
            </w:tcBorders>
            <w:shd w:val="clear" w:color="auto" w:fill="auto"/>
            <w:noWrap/>
            <w:tcMar>
              <w:left w:w="6" w:type="dxa"/>
              <w:right w:w="6" w:type="dxa"/>
            </w:tcMar>
            <w:vAlign w:val="center"/>
          </w:tcPr>
          <w:p w14:paraId="59D45C36">
            <w:pPr>
              <w:pStyle w:val="714"/>
              <w:rPr>
                <w:color w:val="auto"/>
              </w:rPr>
            </w:pPr>
            <w:r>
              <w:rPr>
                <w:color w:val="auto"/>
              </w:rPr>
              <w:t>0.26E-8</w:t>
            </w:r>
          </w:p>
        </w:tc>
        <w:tc>
          <w:tcPr>
            <w:tcW w:w="312" w:type="pct"/>
            <w:tcBorders>
              <w:tl2br w:val="nil"/>
              <w:tr2bl w:val="nil"/>
            </w:tcBorders>
            <w:shd w:val="clear" w:color="auto" w:fill="auto"/>
            <w:noWrap/>
            <w:tcMar>
              <w:left w:w="6" w:type="dxa"/>
              <w:right w:w="6" w:type="dxa"/>
            </w:tcMar>
            <w:vAlign w:val="center"/>
          </w:tcPr>
          <w:p w14:paraId="42E2585C">
            <w:pPr>
              <w:pStyle w:val="714"/>
              <w:rPr>
                <w:color w:val="auto"/>
              </w:rPr>
            </w:pPr>
            <w:r>
              <w:rPr>
                <w:color w:val="auto"/>
              </w:rPr>
              <w:t>0.9</w:t>
            </w:r>
          </w:p>
        </w:tc>
        <w:tc>
          <w:tcPr>
            <w:tcW w:w="276" w:type="pct"/>
            <w:tcBorders>
              <w:tl2br w:val="nil"/>
              <w:tr2bl w:val="nil"/>
            </w:tcBorders>
            <w:shd w:val="clear" w:color="auto" w:fill="auto"/>
            <w:noWrap/>
            <w:tcMar>
              <w:left w:w="6" w:type="dxa"/>
              <w:right w:w="6" w:type="dxa"/>
            </w:tcMar>
            <w:vAlign w:val="center"/>
          </w:tcPr>
          <w:p w14:paraId="0064ABF9">
            <w:pPr>
              <w:pStyle w:val="714"/>
              <w:rPr>
                <w:color w:val="auto"/>
              </w:rPr>
            </w:pPr>
            <w:r>
              <w:rPr>
                <w:rFonts w:hint="eastAsia"/>
                <w:color w:val="auto"/>
              </w:rPr>
              <w:t>0</w:t>
            </w:r>
          </w:p>
        </w:tc>
        <w:tc>
          <w:tcPr>
            <w:tcW w:w="687" w:type="pct"/>
            <w:tcBorders>
              <w:tl2br w:val="nil"/>
              <w:tr2bl w:val="nil"/>
            </w:tcBorders>
            <w:shd w:val="clear" w:color="auto" w:fill="auto"/>
            <w:noWrap/>
            <w:tcMar>
              <w:left w:w="6" w:type="dxa"/>
              <w:right w:w="6" w:type="dxa"/>
            </w:tcMar>
            <w:vAlign w:val="center"/>
          </w:tcPr>
          <w:p w14:paraId="31262E2C">
            <w:pPr>
              <w:pStyle w:val="714"/>
              <w:rPr>
                <w:color w:val="auto"/>
              </w:rPr>
            </w:pPr>
            <w:r>
              <w:rPr>
                <w:color w:val="auto"/>
              </w:rPr>
              <w:t>1.</w:t>
            </w:r>
            <w:r>
              <w:rPr>
                <w:rFonts w:hint="eastAsia"/>
                <w:color w:val="auto"/>
              </w:rPr>
              <w:t>71</w:t>
            </w:r>
            <w:r>
              <w:rPr>
                <w:color w:val="auto"/>
              </w:rPr>
              <w:t>E-4</w:t>
            </w:r>
          </w:p>
        </w:tc>
        <w:tc>
          <w:tcPr>
            <w:tcW w:w="232" w:type="pct"/>
            <w:tcBorders>
              <w:tl2br w:val="nil"/>
              <w:tr2bl w:val="nil"/>
            </w:tcBorders>
            <w:shd w:val="clear" w:color="auto" w:fill="auto"/>
            <w:noWrap/>
            <w:tcMar>
              <w:left w:w="6" w:type="dxa"/>
              <w:right w:w="6" w:type="dxa"/>
            </w:tcMar>
            <w:vAlign w:val="center"/>
          </w:tcPr>
          <w:p w14:paraId="20C6291A">
            <w:pPr>
              <w:pStyle w:val="714"/>
              <w:rPr>
                <w:color w:val="auto"/>
              </w:rPr>
            </w:pPr>
            <w:r>
              <w:rPr>
                <w:color w:val="auto"/>
              </w:rPr>
              <w:t>0.1</w:t>
            </w:r>
          </w:p>
        </w:tc>
        <w:tc>
          <w:tcPr>
            <w:tcW w:w="437" w:type="pct"/>
            <w:tcBorders>
              <w:tl2br w:val="nil"/>
              <w:tr2bl w:val="nil"/>
            </w:tcBorders>
            <w:shd w:val="clear" w:color="auto" w:fill="auto"/>
            <w:noWrap/>
            <w:tcMar>
              <w:left w:w="6" w:type="dxa"/>
              <w:right w:w="6" w:type="dxa"/>
            </w:tcMar>
            <w:vAlign w:val="center"/>
          </w:tcPr>
          <w:p w14:paraId="6D238782">
            <w:pPr>
              <w:pStyle w:val="714"/>
              <w:rPr>
                <w:color w:val="auto"/>
              </w:rPr>
            </w:pPr>
            <w:r>
              <w:rPr>
                <w:rFonts w:hint="eastAsia"/>
                <w:color w:val="auto"/>
              </w:rPr>
              <w:t>4.61</w:t>
            </w:r>
          </w:p>
        </w:tc>
      </w:tr>
      <w:tr w14:paraId="389AC4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9" w:hRule="atLeast"/>
          <w:jc w:val="center"/>
        </w:trPr>
        <w:tc>
          <w:tcPr>
            <w:tcW w:w="304" w:type="pct"/>
            <w:vMerge w:val="continue"/>
            <w:tcBorders>
              <w:tl2br w:val="nil"/>
              <w:tr2bl w:val="nil"/>
            </w:tcBorders>
            <w:noWrap/>
            <w:tcMar>
              <w:left w:w="6" w:type="dxa"/>
              <w:right w:w="6" w:type="dxa"/>
            </w:tcMar>
            <w:vAlign w:val="center"/>
          </w:tcPr>
          <w:p w14:paraId="6CF29953">
            <w:pPr>
              <w:pStyle w:val="714"/>
              <w:rPr>
                <w:color w:val="auto"/>
              </w:rPr>
            </w:pPr>
          </w:p>
        </w:tc>
        <w:tc>
          <w:tcPr>
            <w:tcW w:w="401" w:type="pct"/>
            <w:vMerge w:val="continue"/>
            <w:tcBorders>
              <w:tl2br w:val="nil"/>
              <w:tr2bl w:val="nil"/>
            </w:tcBorders>
            <w:noWrap/>
            <w:tcMar>
              <w:left w:w="6" w:type="dxa"/>
              <w:right w:w="6" w:type="dxa"/>
            </w:tcMar>
            <w:vAlign w:val="center"/>
          </w:tcPr>
          <w:p w14:paraId="31F0EAE8">
            <w:pPr>
              <w:pStyle w:val="714"/>
              <w:rPr>
                <w:color w:val="auto"/>
              </w:rPr>
            </w:pPr>
          </w:p>
        </w:tc>
        <w:tc>
          <w:tcPr>
            <w:tcW w:w="564" w:type="pct"/>
            <w:tcBorders>
              <w:tl2br w:val="nil"/>
              <w:tr2bl w:val="nil"/>
            </w:tcBorders>
            <w:shd w:val="clear" w:color="auto" w:fill="auto"/>
            <w:noWrap/>
            <w:tcMar>
              <w:left w:w="6" w:type="dxa"/>
              <w:right w:w="6" w:type="dxa"/>
            </w:tcMar>
            <w:vAlign w:val="center"/>
          </w:tcPr>
          <w:p w14:paraId="02709389">
            <w:pPr>
              <w:pStyle w:val="714"/>
              <w:rPr>
                <w:color w:val="auto"/>
              </w:rPr>
            </w:pPr>
            <w:r>
              <w:rPr>
                <w:rFonts w:hint="eastAsia"/>
                <w:color w:val="auto"/>
              </w:rPr>
              <w:t>水解酸化池</w:t>
            </w:r>
          </w:p>
        </w:tc>
        <w:tc>
          <w:tcPr>
            <w:tcW w:w="485" w:type="pct"/>
            <w:tcBorders>
              <w:tl2br w:val="nil"/>
              <w:tr2bl w:val="nil"/>
            </w:tcBorders>
            <w:shd w:val="clear" w:color="auto" w:fill="auto"/>
            <w:noWrap/>
            <w:tcMar>
              <w:left w:w="6" w:type="dxa"/>
              <w:right w:w="6" w:type="dxa"/>
            </w:tcMar>
            <w:vAlign w:val="center"/>
          </w:tcPr>
          <w:p w14:paraId="33D8ACA9">
            <w:pPr>
              <w:pStyle w:val="714"/>
              <w:rPr>
                <w:color w:val="auto"/>
              </w:rPr>
            </w:pPr>
            <w:r>
              <w:rPr>
                <w:rFonts w:hint="eastAsia"/>
                <w:color w:val="auto"/>
              </w:rPr>
              <w:t>6.0</w:t>
            </w:r>
          </w:p>
        </w:tc>
        <w:tc>
          <w:tcPr>
            <w:tcW w:w="401" w:type="pct"/>
            <w:tcBorders>
              <w:tl2br w:val="nil"/>
              <w:tr2bl w:val="nil"/>
            </w:tcBorders>
            <w:shd w:val="clear" w:color="auto" w:fill="auto"/>
            <w:noWrap/>
            <w:tcMar>
              <w:left w:w="6" w:type="dxa"/>
              <w:right w:w="6" w:type="dxa"/>
            </w:tcMar>
            <w:vAlign w:val="center"/>
          </w:tcPr>
          <w:p w14:paraId="1A64AA96">
            <w:pPr>
              <w:pStyle w:val="714"/>
              <w:rPr>
                <w:color w:val="auto"/>
              </w:rPr>
            </w:pPr>
            <w:r>
              <w:rPr>
                <w:rFonts w:hint="eastAsia"/>
                <w:color w:val="auto"/>
              </w:rPr>
              <w:t>278.88</w:t>
            </w:r>
          </w:p>
        </w:tc>
        <w:tc>
          <w:tcPr>
            <w:tcW w:w="317" w:type="pct"/>
            <w:tcBorders>
              <w:tl2br w:val="nil"/>
              <w:tr2bl w:val="nil"/>
            </w:tcBorders>
            <w:shd w:val="clear" w:color="auto" w:fill="auto"/>
            <w:noWrap/>
            <w:tcMar>
              <w:left w:w="6" w:type="dxa"/>
              <w:right w:w="6" w:type="dxa"/>
            </w:tcMar>
            <w:vAlign w:val="center"/>
          </w:tcPr>
          <w:p w14:paraId="22F10925">
            <w:pPr>
              <w:pStyle w:val="714"/>
              <w:rPr>
                <w:color w:val="auto"/>
              </w:rPr>
            </w:pPr>
            <w:r>
              <w:rPr>
                <w:color w:val="auto"/>
              </w:rPr>
              <w:t>0.30</w:t>
            </w:r>
          </w:p>
        </w:tc>
        <w:tc>
          <w:tcPr>
            <w:tcW w:w="577" w:type="pct"/>
            <w:tcBorders>
              <w:tl2br w:val="nil"/>
              <w:tr2bl w:val="nil"/>
            </w:tcBorders>
            <w:shd w:val="clear" w:color="auto" w:fill="auto"/>
            <w:noWrap/>
            <w:tcMar>
              <w:left w:w="6" w:type="dxa"/>
              <w:right w:w="6" w:type="dxa"/>
            </w:tcMar>
            <w:vAlign w:val="center"/>
          </w:tcPr>
          <w:p w14:paraId="13F8A351">
            <w:pPr>
              <w:pStyle w:val="714"/>
              <w:rPr>
                <w:color w:val="auto"/>
              </w:rPr>
            </w:pPr>
            <w:r>
              <w:rPr>
                <w:color w:val="auto"/>
              </w:rPr>
              <w:t>0.26E-8</w:t>
            </w:r>
          </w:p>
        </w:tc>
        <w:tc>
          <w:tcPr>
            <w:tcW w:w="312" w:type="pct"/>
            <w:tcBorders>
              <w:tl2br w:val="nil"/>
              <w:tr2bl w:val="nil"/>
            </w:tcBorders>
            <w:shd w:val="clear" w:color="auto" w:fill="auto"/>
            <w:noWrap/>
            <w:tcMar>
              <w:left w:w="6" w:type="dxa"/>
              <w:right w:w="6" w:type="dxa"/>
            </w:tcMar>
            <w:vAlign w:val="center"/>
          </w:tcPr>
          <w:p w14:paraId="449E09DB">
            <w:pPr>
              <w:pStyle w:val="714"/>
              <w:rPr>
                <w:color w:val="auto"/>
              </w:rPr>
            </w:pPr>
            <w:r>
              <w:rPr>
                <w:color w:val="auto"/>
              </w:rPr>
              <w:t>0.9</w:t>
            </w:r>
          </w:p>
        </w:tc>
        <w:tc>
          <w:tcPr>
            <w:tcW w:w="276" w:type="pct"/>
            <w:tcBorders>
              <w:tl2br w:val="nil"/>
              <w:tr2bl w:val="nil"/>
            </w:tcBorders>
            <w:shd w:val="clear" w:color="auto" w:fill="auto"/>
            <w:noWrap/>
            <w:tcMar>
              <w:left w:w="6" w:type="dxa"/>
              <w:right w:w="6" w:type="dxa"/>
            </w:tcMar>
            <w:vAlign w:val="center"/>
          </w:tcPr>
          <w:p w14:paraId="7DECEF92">
            <w:pPr>
              <w:pStyle w:val="714"/>
              <w:rPr>
                <w:color w:val="auto"/>
              </w:rPr>
            </w:pPr>
            <w:r>
              <w:rPr>
                <w:rFonts w:hint="eastAsia"/>
                <w:color w:val="auto"/>
              </w:rPr>
              <w:t>3.27</w:t>
            </w:r>
          </w:p>
        </w:tc>
        <w:tc>
          <w:tcPr>
            <w:tcW w:w="687" w:type="pct"/>
            <w:tcBorders>
              <w:tl2br w:val="nil"/>
              <w:tr2bl w:val="nil"/>
            </w:tcBorders>
            <w:shd w:val="clear" w:color="auto" w:fill="auto"/>
            <w:noWrap/>
            <w:tcMar>
              <w:left w:w="6" w:type="dxa"/>
              <w:right w:w="6" w:type="dxa"/>
            </w:tcMar>
            <w:vAlign w:val="center"/>
          </w:tcPr>
          <w:p w14:paraId="05AFAC27">
            <w:pPr>
              <w:pStyle w:val="714"/>
              <w:rPr>
                <w:color w:val="auto"/>
              </w:rPr>
            </w:pPr>
            <w:r>
              <w:rPr>
                <w:color w:val="auto"/>
              </w:rPr>
              <w:t>1.</w:t>
            </w:r>
            <w:r>
              <w:rPr>
                <w:rFonts w:hint="eastAsia"/>
                <w:color w:val="auto"/>
              </w:rPr>
              <w:t>71</w:t>
            </w:r>
            <w:r>
              <w:rPr>
                <w:color w:val="auto"/>
              </w:rPr>
              <w:t>E-4</w:t>
            </w:r>
          </w:p>
        </w:tc>
        <w:tc>
          <w:tcPr>
            <w:tcW w:w="232" w:type="pct"/>
            <w:tcBorders>
              <w:tl2br w:val="nil"/>
              <w:tr2bl w:val="nil"/>
            </w:tcBorders>
            <w:shd w:val="clear" w:color="auto" w:fill="auto"/>
            <w:noWrap/>
            <w:tcMar>
              <w:left w:w="6" w:type="dxa"/>
              <w:right w:w="6" w:type="dxa"/>
            </w:tcMar>
            <w:vAlign w:val="center"/>
          </w:tcPr>
          <w:p w14:paraId="3F6C0E3D">
            <w:pPr>
              <w:pStyle w:val="714"/>
              <w:rPr>
                <w:color w:val="auto"/>
              </w:rPr>
            </w:pPr>
            <w:r>
              <w:rPr>
                <w:color w:val="auto"/>
              </w:rPr>
              <w:t>0.1</w:t>
            </w:r>
          </w:p>
        </w:tc>
        <w:tc>
          <w:tcPr>
            <w:tcW w:w="437" w:type="pct"/>
            <w:tcBorders>
              <w:tl2br w:val="nil"/>
              <w:tr2bl w:val="nil"/>
            </w:tcBorders>
            <w:shd w:val="clear" w:color="auto" w:fill="auto"/>
            <w:noWrap/>
            <w:tcMar>
              <w:left w:w="6" w:type="dxa"/>
              <w:right w:w="6" w:type="dxa"/>
            </w:tcMar>
            <w:vAlign w:val="center"/>
          </w:tcPr>
          <w:p w14:paraId="2F6B0B3C">
            <w:pPr>
              <w:pStyle w:val="714"/>
              <w:rPr>
                <w:color w:val="auto"/>
              </w:rPr>
            </w:pPr>
            <w:r>
              <w:rPr>
                <w:rFonts w:hint="eastAsia"/>
                <w:color w:val="auto"/>
              </w:rPr>
              <w:t>11.68</w:t>
            </w:r>
          </w:p>
        </w:tc>
      </w:tr>
      <w:tr w14:paraId="78FD6E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9" w:hRule="atLeast"/>
          <w:jc w:val="center"/>
        </w:trPr>
        <w:tc>
          <w:tcPr>
            <w:tcW w:w="304" w:type="pct"/>
            <w:vMerge w:val="continue"/>
            <w:tcBorders>
              <w:tl2br w:val="nil"/>
              <w:tr2bl w:val="nil"/>
            </w:tcBorders>
            <w:noWrap/>
            <w:tcMar>
              <w:left w:w="6" w:type="dxa"/>
              <w:right w:w="6" w:type="dxa"/>
            </w:tcMar>
            <w:vAlign w:val="center"/>
          </w:tcPr>
          <w:p w14:paraId="247CDBAB">
            <w:pPr>
              <w:pStyle w:val="714"/>
              <w:rPr>
                <w:color w:val="auto"/>
              </w:rPr>
            </w:pPr>
          </w:p>
        </w:tc>
        <w:tc>
          <w:tcPr>
            <w:tcW w:w="401" w:type="pct"/>
            <w:vMerge w:val="restart"/>
            <w:tcBorders>
              <w:tl2br w:val="nil"/>
              <w:tr2bl w:val="nil"/>
            </w:tcBorders>
            <w:noWrap/>
            <w:tcMar>
              <w:left w:w="6" w:type="dxa"/>
              <w:right w:w="6" w:type="dxa"/>
            </w:tcMar>
            <w:vAlign w:val="center"/>
          </w:tcPr>
          <w:p w14:paraId="6503F7E0">
            <w:pPr>
              <w:pStyle w:val="714"/>
              <w:rPr>
                <w:color w:val="auto"/>
              </w:rPr>
            </w:pPr>
            <w:r>
              <w:rPr>
                <w:rFonts w:hint="eastAsia"/>
                <w:color w:val="auto"/>
              </w:rPr>
              <w:t>二级处理</w:t>
            </w:r>
          </w:p>
        </w:tc>
        <w:tc>
          <w:tcPr>
            <w:tcW w:w="564" w:type="pct"/>
            <w:tcBorders>
              <w:tl2br w:val="nil"/>
              <w:tr2bl w:val="nil"/>
            </w:tcBorders>
            <w:shd w:val="clear" w:color="auto" w:fill="auto"/>
            <w:noWrap/>
            <w:tcMar>
              <w:left w:w="6" w:type="dxa"/>
              <w:right w:w="6" w:type="dxa"/>
            </w:tcMar>
            <w:vAlign w:val="center"/>
          </w:tcPr>
          <w:p w14:paraId="64493486">
            <w:pPr>
              <w:pStyle w:val="714"/>
              <w:rPr>
                <w:color w:val="auto"/>
              </w:rPr>
            </w:pPr>
            <w:r>
              <w:rPr>
                <w:rFonts w:hint="eastAsia"/>
                <w:color w:val="auto"/>
              </w:rPr>
              <w:t>微氧低循环生化池</w:t>
            </w:r>
          </w:p>
        </w:tc>
        <w:tc>
          <w:tcPr>
            <w:tcW w:w="485" w:type="pct"/>
            <w:tcBorders>
              <w:tl2br w:val="nil"/>
              <w:tr2bl w:val="nil"/>
            </w:tcBorders>
            <w:shd w:val="clear" w:color="auto" w:fill="auto"/>
            <w:noWrap/>
            <w:tcMar>
              <w:left w:w="6" w:type="dxa"/>
              <w:right w:w="6" w:type="dxa"/>
            </w:tcMar>
            <w:vAlign w:val="center"/>
          </w:tcPr>
          <w:p w14:paraId="6770E4F3">
            <w:pPr>
              <w:pStyle w:val="714"/>
              <w:rPr>
                <w:color w:val="auto"/>
              </w:rPr>
            </w:pPr>
            <w:r>
              <w:rPr>
                <w:rFonts w:hint="eastAsia"/>
                <w:color w:val="auto"/>
              </w:rPr>
              <w:t>5.5</w:t>
            </w:r>
          </w:p>
        </w:tc>
        <w:tc>
          <w:tcPr>
            <w:tcW w:w="401" w:type="pct"/>
            <w:tcBorders>
              <w:tl2br w:val="nil"/>
              <w:tr2bl w:val="nil"/>
            </w:tcBorders>
            <w:shd w:val="clear" w:color="auto" w:fill="auto"/>
            <w:noWrap/>
            <w:tcMar>
              <w:left w:w="6" w:type="dxa"/>
              <w:right w:w="6" w:type="dxa"/>
            </w:tcMar>
            <w:vAlign w:val="center"/>
          </w:tcPr>
          <w:p w14:paraId="710C2A2C">
            <w:pPr>
              <w:pStyle w:val="714"/>
              <w:rPr>
                <w:color w:val="auto"/>
              </w:rPr>
            </w:pPr>
            <w:r>
              <w:rPr>
                <w:rFonts w:hint="eastAsia"/>
                <w:color w:val="auto"/>
              </w:rPr>
              <w:t>680.16</w:t>
            </w:r>
          </w:p>
        </w:tc>
        <w:tc>
          <w:tcPr>
            <w:tcW w:w="317" w:type="pct"/>
            <w:tcBorders>
              <w:tl2br w:val="nil"/>
              <w:tr2bl w:val="nil"/>
            </w:tcBorders>
            <w:shd w:val="clear" w:color="auto" w:fill="auto"/>
            <w:noWrap/>
            <w:tcMar>
              <w:left w:w="6" w:type="dxa"/>
              <w:right w:w="6" w:type="dxa"/>
            </w:tcMar>
            <w:vAlign w:val="center"/>
          </w:tcPr>
          <w:p w14:paraId="7ABAC966">
            <w:pPr>
              <w:pStyle w:val="714"/>
              <w:rPr>
                <w:color w:val="auto"/>
              </w:rPr>
            </w:pPr>
            <w:r>
              <w:rPr>
                <w:color w:val="auto"/>
              </w:rPr>
              <w:t>0.30</w:t>
            </w:r>
          </w:p>
        </w:tc>
        <w:tc>
          <w:tcPr>
            <w:tcW w:w="577" w:type="pct"/>
            <w:tcBorders>
              <w:tl2br w:val="nil"/>
              <w:tr2bl w:val="nil"/>
            </w:tcBorders>
            <w:shd w:val="clear" w:color="auto" w:fill="auto"/>
            <w:noWrap/>
            <w:tcMar>
              <w:left w:w="6" w:type="dxa"/>
              <w:right w:w="6" w:type="dxa"/>
            </w:tcMar>
            <w:vAlign w:val="center"/>
          </w:tcPr>
          <w:p w14:paraId="6ACD5227">
            <w:pPr>
              <w:pStyle w:val="714"/>
              <w:rPr>
                <w:color w:val="auto"/>
              </w:rPr>
            </w:pPr>
            <w:r>
              <w:rPr>
                <w:color w:val="auto"/>
              </w:rPr>
              <w:t>0.26E-8</w:t>
            </w:r>
          </w:p>
        </w:tc>
        <w:tc>
          <w:tcPr>
            <w:tcW w:w="312" w:type="pct"/>
            <w:tcBorders>
              <w:tl2br w:val="nil"/>
              <w:tr2bl w:val="nil"/>
            </w:tcBorders>
            <w:shd w:val="clear" w:color="auto" w:fill="auto"/>
            <w:noWrap/>
            <w:tcMar>
              <w:left w:w="6" w:type="dxa"/>
              <w:right w:w="6" w:type="dxa"/>
            </w:tcMar>
            <w:vAlign w:val="center"/>
          </w:tcPr>
          <w:p w14:paraId="61D584FF">
            <w:pPr>
              <w:pStyle w:val="714"/>
              <w:rPr>
                <w:color w:val="auto"/>
              </w:rPr>
            </w:pPr>
            <w:r>
              <w:rPr>
                <w:color w:val="auto"/>
              </w:rPr>
              <w:t>0.9</w:t>
            </w:r>
          </w:p>
        </w:tc>
        <w:tc>
          <w:tcPr>
            <w:tcW w:w="276" w:type="pct"/>
            <w:tcBorders>
              <w:tl2br w:val="nil"/>
              <w:tr2bl w:val="nil"/>
            </w:tcBorders>
            <w:shd w:val="clear" w:color="auto" w:fill="auto"/>
            <w:noWrap/>
            <w:tcMar>
              <w:left w:w="6" w:type="dxa"/>
              <w:right w:w="6" w:type="dxa"/>
            </w:tcMar>
            <w:vAlign w:val="center"/>
          </w:tcPr>
          <w:p w14:paraId="575C1AF4">
            <w:pPr>
              <w:pStyle w:val="714"/>
              <w:rPr>
                <w:color w:val="auto"/>
              </w:rPr>
            </w:pPr>
            <w:r>
              <w:rPr>
                <w:rFonts w:hint="eastAsia"/>
                <w:color w:val="auto"/>
              </w:rPr>
              <w:t>3.27</w:t>
            </w:r>
          </w:p>
        </w:tc>
        <w:tc>
          <w:tcPr>
            <w:tcW w:w="687" w:type="pct"/>
            <w:tcBorders>
              <w:tl2br w:val="nil"/>
              <w:tr2bl w:val="nil"/>
            </w:tcBorders>
            <w:shd w:val="clear" w:color="auto" w:fill="auto"/>
            <w:noWrap/>
            <w:tcMar>
              <w:left w:w="6" w:type="dxa"/>
              <w:right w:w="6" w:type="dxa"/>
            </w:tcMar>
            <w:vAlign w:val="center"/>
          </w:tcPr>
          <w:p w14:paraId="0382E733">
            <w:pPr>
              <w:pStyle w:val="714"/>
              <w:rPr>
                <w:color w:val="auto"/>
              </w:rPr>
            </w:pPr>
            <w:r>
              <w:rPr>
                <w:color w:val="auto"/>
              </w:rPr>
              <w:t>1.</w:t>
            </w:r>
            <w:r>
              <w:rPr>
                <w:rFonts w:hint="eastAsia"/>
                <w:color w:val="auto"/>
              </w:rPr>
              <w:t>71</w:t>
            </w:r>
            <w:r>
              <w:rPr>
                <w:color w:val="auto"/>
              </w:rPr>
              <w:t>E-4</w:t>
            </w:r>
          </w:p>
        </w:tc>
        <w:tc>
          <w:tcPr>
            <w:tcW w:w="232" w:type="pct"/>
            <w:tcBorders>
              <w:tl2br w:val="nil"/>
              <w:tr2bl w:val="nil"/>
            </w:tcBorders>
            <w:shd w:val="clear" w:color="auto" w:fill="auto"/>
            <w:noWrap/>
            <w:tcMar>
              <w:left w:w="6" w:type="dxa"/>
              <w:right w:w="6" w:type="dxa"/>
            </w:tcMar>
            <w:vAlign w:val="center"/>
          </w:tcPr>
          <w:p w14:paraId="4FEC39DC">
            <w:pPr>
              <w:pStyle w:val="714"/>
              <w:rPr>
                <w:color w:val="auto"/>
              </w:rPr>
            </w:pPr>
            <w:r>
              <w:rPr>
                <w:color w:val="auto"/>
              </w:rPr>
              <w:t>0.1</w:t>
            </w:r>
          </w:p>
        </w:tc>
        <w:tc>
          <w:tcPr>
            <w:tcW w:w="437" w:type="pct"/>
            <w:tcBorders>
              <w:tl2br w:val="nil"/>
              <w:tr2bl w:val="nil"/>
            </w:tcBorders>
            <w:shd w:val="clear" w:color="auto" w:fill="auto"/>
            <w:noWrap/>
            <w:tcMar>
              <w:left w:w="6" w:type="dxa"/>
              <w:right w:w="6" w:type="dxa"/>
            </w:tcMar>
            <w:vAlign w:val="center"/>
          </w:tcPr>
          <w:p w14:paraId="34749ED0">
            <w:pPr>
              <w:pStyle w:val="714"/>
              <w:rPr>
                <w:color w:val="auto"/>
              </w:rPr>
            </w:pPr>
            <w:r>
              <w:rPr>
                <w:rFonts w:hint="eastAsia"/>
                <w:color w:val="auto"/>
              </w:rPr>
              <w:t>26.95</w:t>
            </w:r>
          </w:p>
        </w:tc>
      </w:tr>
      <w:tr w14:paraId="1E3C56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9" w:hRule="atLeast"/>
          <w:jc w:val="center"/>
        </w:trPr>
        <w:tc>
          <w:tcPr>
            <w:tcW w:w="304" w:type="pct"/>
            <w:vMerge w:val="continue"/>
            <w:tcBorders>
              <w:tl2br w:val="nil"/>
              <w:tr2bl w:val="nil"/>
            </w:tcBorders>
            <w:noWrap/>
            <w:tcMar>
              <w:left w:w="6" w:type="dxa"/>
              <w:right w:w="6" w:type="dxa"/>
            </w:tcMar>
            <w:vAlign w:val="center"/>
          </w:tcPr>
          <w:p w14:paraId="2D9819E2">
            <w:pPr>
              <w:pStyle w:val="714"/>
              <w:rPr>
                <w:color w:val="auto"/>
              </w:rPr>
            </w:pPr>
          </w:p>
        </w:tc>
        <w:tc>
          <w:tcPr>
            <w:tcW w:w="401" w:type="pct"/>
            <w:vMerge w:val="continue"/>
            <w:tcBorders>
              <w:tl2br w:val="nil"/>
              <w:tr2bl w:val="nil"/>
            </w:tcBorders>
            <w:noWrap/>
            <w:tcMar>
              <w:left w:w="6" w:type="dxa"/>
              <w:right w:w="6" w:type="dxa"/>
            </w:tcMar>
            <w:vAlign w:val="center"/>
          </w:tcPr>
          <w:p w14:paraId="3F25C6A6">
            <w:pPr>
              <w:pStyle w:val="714"/>
              <w:rPr>
                <w:color w:val="auto"/>
              </w:rPr>
            </w:pPr>
          </w:p>
        </w:tc>
        <w:tc>
          <w:tcPr>
            <w:tcW w:w="564" w:type="pct"/>
            <w:tcBorders>
              <w:tl2br w:val="nil"/>
              <w:tr2bl w:val="nil"/>
            </w:tcBorders>
            <w:shd w:val="clear" w:color="auto" w:fill="auto"/>
            <w:noWrap/>
            <w:tcMar>
              <w:left w:w="6" w:type="dxa"/>
              <w:right w:w="6" w:type="dxa"/>
            </w:tcMar>
            <w:vAlign w:val="center"/>
          </w:tcPr>
          <w:p w14:paraId="27429616">
            <w:pPr>
              <w:pStyle w:val="714"/>
              <w:rPr>
                <w:color w:val="auto"/>
              </w:rPr>
            </w:pPr>
            <w:r>
              <w:rPr>
                <w:rFonts w:hint="eastAsia"/>
                <w:color w:val="auto"/>
              </w:rPr>
              <w:t>反硝化深床滤池</w:t>
            </w:r>
          </w:p>
        </w:tc>
        <w:tc>
          <w:tcPr>
            <w:tcW w:w="485" w:type="pct"/>
            <w:tcBorders>
              <w:tl2br w:val="nil"/>
              <w:tr2bl w:val="nil"/>
            </w:tcBorders>
            <w:shd w:val="clear" w:color="auto" w:fill="auto"/>
            <w:noWrap/>
            <w:tcMar>
              <w:left w:w="6" w:type="dxa"/>
              <w:right w:w="6" w:type="dxa"/>
            </w:tcMar>
            <w:vAlign w:val="center"/>
          </w:tcPr>
          <w:p w14:paraId="4084A448">
            <w:pPr>
              <w:pStyle w:val="714"/>
              <w:rPr>
                <w:color w:val="auto"/>
              </w:rPr>
            </w:pPr>
            <w:r>
              <w:rPr>
                <w:rFonts w:hint="eastAsia"/>
                <w:color w:val="auto"/>
              </w:rPr>
              <w:t>5.0</w:t>
            </w:r>
          </w:p>
        </w:tc>
        <w:tc>
          <w:tcPr>
            <w:tcW w:w="401" w:type="pct"/>
            <w:tcBorders>
              <w:tl2br w:val="nil"/>
              <w:tr2bl w:val="nil"/>
            </w:tcBorders>
            <w:shd w:val="clear" w:color="auto" w:fill="auto"/>
            <w:noWrap/>
            <w:tcMar>
              <w:left w:w="6" w:type="dxa"/>
              <w:right w:w="6" w:type="dxa"/>
            </w:tcMar>
            <w:vAlign w:val="center"/>
          </w:tcPr>
          <w:p w14:paraId="3B9F3346">
            <w:pPr>
              <w:pStyle w:val="714"/>
              <w:rPr>
                <w:color w:val="auto"/>
              </w:rPr>
            </w:pPr>
            <w:r>
              <w:rPr>
                <w:rFonts w:hint="eastAsia"/>
                <w:color w:val="auto"/>
              </w:rPr>
              <w:t>319.74</w:t>
            </w:r>
          </w:p>
        </w:tc>
        <w:tc>
          <w:tcPr>
            <w:tcW w:w="317" w:type="pct"/>
            <w:tcBorders>
              <w:tl2br w:val="nil"/>
              <w:tr2bl w:val="nil"/>
            </w:tcBorders>
            <w:shd w:val="clear" w:color="auto" w:fill="auto"/>
            <w:noWrap/>
            <w:tcMar>
              <w:left w:w="6" w:type="dxa"/>
              <w:right w:w="6" w:type="dxa"/>
            </w:tcMar>
            <w:vAlign w:val="center"/>
          </w:tcPr>
          <w:p w14:paraId="657EEB74">
            <w:pPr>
              <w:pStyle w:val="714"/>
              <w:rPr>
                <w:color w:val="auto"/>
              </w:rPr>
            </w:pPr>
            <w:r>
              <w:rPr>
                <w:color w:val="auto"/>
              </w:rPr>
              <w:t>0.30</w:t>
            </w:r>
          </w:p>
        </w:tc>
        <w:tc>
          <w:tcPr>
            <w:tcW w:w="577" w:type="pct"/>
            <w:tcBorders>
              <w:tl2br w:val="nil"/>
              <w:tr2bl w:val="nil"/>
            </w:tcBorders>
            <w:shd w:val="clear" w:color="auto" w:fill="auto"/>
            <w:noWrap/>
            <w:tcMar>
              <w:left w:w="6" w:type="dxa"/>
              <w:right w:w="6" w:type="dxa"/>
            </w:tcMar>
            <w:vAlign w:val="center"/>
          </w:tcPr>
          <w:p w14:paraId="511BB7FA">
            <w:pPr>
              <w:pStyle w:val="714"/>
              <w:rPr>
                <w:color w:val="auto"/>
              </w:rPr>
            </w:pPr>
            <w:r>
              <w:rPr>
                <w:color w:val="auto"/>
              </w:rPr>
              <w:t>0.26E-8</w:t>
            </w:r>
          </w:p>
        </w:tc>
        <w:tc>
          <w:tcPr>
            <w:tcW w:w="312" w:type="pct"/>
            <w:tcBorders>
              <w:tl2br w:val="nil"/>
              <w:tr2bl w:val="nil"/>
            </w:tcBorders>
            <w:shd w:val="clear" w:color="auto" w:fill="auto"/>
            <w:noWrap/>
            <w:tcMar>
              <w:left w:w="6" w:type="dxa"/>
              <w:right w:w="6" w:type="dxa"/>
            </w:tcMar>
            <w:vAlign w:val="center"/>
          </w:tcPr>
          <w:p w14:paraId="2F6DCECF">
            <w:pPr>
              <w:pStyle w:val="714"/>
              <w:rPr>
                <w:color w:val="auto"/>
              </w:rPr>
            </w:pPr>
            <w:r>
              <w:rPr>
                <w:color w:val="auto"/>
              </w:rPr>
              <w:t>0.9</w:t>
            </w:r>
          </w:p>
        </w:tc>
        <w:tc>
          <w:tcPr>
            <w:tcW w:w="276" w:type="pct"/>
            <w:tcBorders>
              <w:tl2br w:val="nil"/>
              <w:tr2bl w:val="nil"/>
            </w:tcBorders>
            <w:shd w:val="clear" w:color="auto" w:fill="auto"/>
            <w:noWrap/>
            <w:tcMar>
              <w:left w:w="6" w:type="dxa"/>
              <w:right w:w="6" w:type="dxa"/>
            </w:tcMar>
            <w:vAlign w:val="center"/>
          </w:tcPr>
          <w:p w14:paraId="22A39EA3">
            <w:pPr>
              <w:pStyle w:val="714"/>
              <w:rPr>
                <w:color w:val="auto"/>
              </w:rPr>
            </w:pPr>
            <w:r>
              <w:rPr>
                <w:rFonts w:hint="eastAsia"/>
                <w:color w:val="auto"/>
              </w:rPr>
              <w:t>0.83</w:t>
            </w:r>
          </w:p>
        </w:tc>
        <w:tc>
          <w:tcPr>
            <w:tcW w:w="687" w:type="pct"/>
            <w:tcBorders>
              <w:tl2br w:val="nil"/>
              <w:tr2bl w:val="nil"/>
            </w:tcBorders>
            <w:shd w:val="clear" w:color="auto" w:fill="auto"/>
            <w:noWrap/>
            <w:tcMar>
              <w:left w:w="6" w:type="dxa"/>
              <w:right w:w="6" w:type="dxa"/>
            </w:tcMar>
            <w:vAlign w:val="center"/>
          </w:tcPr>
          <w:p w14:paraId="7A0998F8">
            <w:pPr>
              <w:pStyle w:val="714"/>
              <w:rPr>
                <w:color w:val="auto"/>
              </w:rPr>
            </w:pPr>
            <w:r>
              <w:rPr>
                <w:color w:val="auto"/>
              </w:rPr>
              <w:t>1.</w:t>
            </w:r>
            <w:r>
              <w:rPr>
                <w:rFonts w:hint="eastAsia"/>
                <w:color w:val="auto"/>
              </w:rPr>
              <w:t>71</w:t>
            </w:r>
            <w:r>
              <w:rPr>
                <w:color w:val="auto"/>
              </w:rPr>
              <w:t>E-4</w:t>
            </w:r>
          </w:p>
        </w:tc>
        <w:tc>
          <w:tcPr>
            <w:tcW w:w="232" w:type="pct"/>
            <w:tcBorders>
              <w:tl2br w:val="nil"/>
              <w:tr2bl w:val="nil"/>
            </w:tcBorders>
            <w:shd w:val="clear" w:color="auto" w:fill="auto"/>
            <w:noWrap/>
            <w:tcMar>
              <w:left w:w="6" w:type="dxa"/>
              <w:right w:w="6" w:type="dxa"/>
            </w:tcMar>
            <w:vAlign w:val="center"/>
          </w:tcPr>
          <w:p w14:paraId="5D3E666A">
            <w:pPr>
              <w:pStyle w:val="714"/>
              <w:rPr>
                <w:color w:val="auto"/>
              </w:rPr>
            </w:pPr>
            <w:r>
              <w:rPr>
                <w:color w:val="auto"/>
              </w:rPr>
              <w:t>0.1</w:t>
            </w:r>
          </w:p>
        </w:tc>
        <w:tc>
          <w:tcPr>
            <w:tcW w:w="437" w:type="pct"/>
            <w:tcBorders>
              <w:tl2br w:val="nil"/>
              <w:tr2bl w:val="nil"/>
            </w:tcBorders>
            <w:shd w:val="clear" w:color="auto" w:fill="auto"/>
            <w:noWrap/>
            <w:tcMar>
              <w:left w:w="6" w:type="dxa"/>
              <w:right w:w="6" w:type="dxa"/>
            </w:tcMar>
            <w:vAlign w:val="center"/>
          </w:tcPr>
          <w:p w14:paraId="3DEBE852">
            <w:pPr>
              <w:pStyle w:val="714"/>
              <w:rPr>
                <w:color w:val="auto"/>
              </w:rPr>
            </w:pPr>
            <w:r>
              <w:rPr>
                <w:rFonts w:hint="eastAsia"/>
                <w:color w:val="auto"/>
              </w:rPr>
              <w:t>33.18</w:t>
            </w:r>
          </w:p>
        </w:tc>
      </w:tr>
      <w:tr w14:paraId="727AE9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9" w:hRule="atLeast"/>
          <w:jc w:val="center"/>
        </w:trPr>
        <w:tc>
          <w:tcPr>
            <w:tcW w:w="304" w:type="pct"/>
            <w:vMerge w:val="continue"/>
            <w:tcBorders>
              <w:tl2br w:val="nil"/>
              <w:tr2bl w:val="nil"/>
            </w:tcBorders>
            <w:noWrap/>
            <w:tcMar>
              <w:left w:w="6" w:type="dxa"/>
              <w:right w:w="6" w:type="dxa"/>
            </w:tcMar>
            <w:vAlign w:val="center"/>
          </w:tcPr>
          <w:p w14:paraId="0BC69606">
            <w:pPr>
              <w:pStyle w:val="714"/>
              <w:rPr>
                <w:color w:val="auto"/>
              </w:rPr>
            </w:pPr>
          </w:p>
        </w:tc>
        <w:tc>
          <w:tcPr>
            <w:tcW w:w="401" w:type="pct"/>
            <w:tcBorders>
              <w:tl2br w:val="nil"/>
              <w:tr2bl w:val="nil"/>
            </w:tcBorders>
            <w:noWrap/>
            <w:tcMar>
              <w:left w:w="6" w:type="dxa"/>
              <w:right w:w="6" w:type="dxa"/>
            </w:tcMar>
            <w:vAlign w:val="center"/>
          </w:tcPr>
          <w:p w14:paraId="5C760872">
            <w:pPr>
              <w:pStyle w:val="714"/>
              <w:rPr>
                <w:color w:val="auto"/>
              </w:rPr>
            </w:pPr>
            <w:r>
              <w:rPr>
                <w:rFonts w:hint="eastAsia"/>
                <w:color w:val="auto"/>
              </w:rPr>
              <w:t>深度处理</w:t>
            </w:r>
          </w:p>
        </w:tc>
        <w:tc>
          <w:tcPr>
            <w:tcW w:w="564" w:type="pct"/>
            <w:tcBorders>
              <w:tl2br w:val="nil"/>
              <w:tr2bl w:val="nil"/>
            </w:tcBorders>
            <w:shd w:val="clear" w:color="auto" w:fill="auto"/>
            <w:noWrap/>
            <w:tcMar>
              <w:left w:w="6" w:type="dxa"/>
              <w:right w:w="6" w:type="dxa"/>
            </w:tcMar>
            <w:vAlign w:val="center"/>
          </w:tcPr>
          <w:p w14:paraId="372ED3F5">
            <w:pPr>
              <w:pStyle w:val="714"/>
              <w:rPr>
                <w:color w:val="auto"/>
              </w:rPr>
            </w:pPr>
            <w:r>
              <w:rPr>
                <w:rFonts w:hint="eastAsia"/>
                <w:color w:val="auto"/>
              </w:rPr>
              <w:t>高级氧化撬装设备</w:t>
            </w:r>
          </w:p>
        </w:tc>
        <w:tc>
          <w:tcPr>
            <w:tcW w:w="485" w:type="pct"/>
            <w:tcBorders>
              <w:tl2br w:val="nil"/>
              <w:tr2bl w:val="nil"/>
            </w:tcBorders>
            <w:shd w:val="clear" w:color="auto" w:fill="auto"/>
            <w:noWrap/>
            <w:tcMar>
              <w:left w:w="6" w:type="dxa"/>
              <w:right w:w="6" w:type="dxa"/>
            </w:tcMar>
            <w:vAlign w:val="center"/>
          </w:tcPr>
          <w:p w14:paraId="1A862FFA">
            <w:pPr>
              <w:pStyle w:val="714"/>
              <w:rPr>
                <w:color w:val="auto"/>
              </w:rPr>
            </w:pPr>
            <w:r>
              <w:rPr>
                <w:rFonts w:hint="eastAsia"/>
                <w:color w:val="auto"/>
              </w:rPr>
              <w:t>3.0</w:t>
            </w:r>
          </w:p>
        </w:tc>
        <w:tc>
          <w:tcPr>
            <w:tcW w:w="401" w:type="pct"/>
            <w:tcBorders>
              <w:tl2br w:val="nil"/>
              <w:tr2bl w:val="nil"/>
            </w:tcBorders>
            <w:shd w:val="clear" w:color="auto" w:fill="auto"/>
            <w:noWrap/>
            <w:tcMar>
              <w:left w:w="6" w:type="dxa"/>
              <w:right w:w="6" w:type="dxa"/>
            </w:tcMar>
            <w:vAlign w:val="center"/>
          </w:tcPr>
          <w:p w14:paraId="28EB58B9">
            <w:pPr>
              <w:pStyle w:val="714"/>
              <w:rPr>
                <w:color w:val="auto"/>
              </w:rPr>
            </w:pPr>
            <w:r>
              <w:rPr>
                <w:rFonts w:hint="eastAsia"/>
                <w:color w:val="auto"/>
              </w:rPr>
              <w:t>40.00</w:t>
            </w:r>
          </w:p>
        </w:tc>
        <w:tc>
          <w:tcPr>
            <w:tcW w:w="317" w:type="pct"/>
            <w:tcBorders>
              <w:tl2br w:val="nil"/>
              <w:tr2bl w:val="nil"/>
            </w:tcBorders>
            <w:shd w:val="clear" w:color="auto" w:fill="auto"/>
            <w:noWrap/>
            <w:tcMar>
              <w:left w:w="6" w:type="dxa"/>
              <w:right w:w="6" w:type="dxa"/>
            </w:tcMar>
            <w:vAlign w:val="center"/>
          </w:tcPr>
          <w:p w14:paraId="67B76EF2">
            <w:pPr>
              <w:pStyle w:val="714"/>
              <w:rPr>
                <w:color w:val="auto"/>
              </w:rPr>
            </w:pPr>
            <w:r>
              <w:rPr>
                <w:color w:val="auto"/>
              </w:rPr>
              <w:t>0.30</w:t>
            </w:r>
          </w:p>
        </w:tc>
        <w:tc>
          <w:tcPr>
            <w:tcW w:w="577" w:type="pct"/>
            <w:tcBorders>
              <w:tl2br w:val="nil"/>
              <w:tr2bl w:val="nil"/>
            </w:tcBorders>
            <w:shd w:val="clear" w:color="auto" w:fill="auto"/>
            <w:noWrap/>
            <w:tcMar>
              <w:left w:w="6" w:type="dxa"/>
              <w:right w:w="6" w:type="dxa"/>
            </w:tcMar>
            <w:vAlign w:val="center"/>
          </w:tcPr>
          <w:p w14:paraId="03282D88">
            <w:pPr>
              <w:pStyle w:val="714"/>
              <w:rPr>
                <w:color w:val="auto"/>
              </w:rPr>
            </w:pPr>
            <w:r>
              <w:rPr>
                <w:color w:val="auto"/>
              </w:rPr>
              <w:t>0.26E-8</w:t>
            </w:r>
          </w:p>
        </w:tc>
        <w:tc>
          <w:tcPr>
            <w:tcW w:w="312" w:type="pct"/>
            <w:tcBorders>
              <w:tl2br w:val="nil"/>
              <w:tr2bl w:val="nil"/>
            </w:tcBorders>
            <w:shd w:val="clear" w:color="auto" w:fill="auto"/>
            <w:noWrap/>
            <w:tcMar>
              <w:left w:w="6" w:type="dxa"/>
              <w:right w:w="6" w:type="dxa"/>
            </w:tcMar>
            <w:vAlign w:val="center"/>
          </w:tcPr>
          <w:p w14:paraId="3767784C">
            <w:pPr>
              <w:pStyle w:val="714"/>
              <w:rPr>
                <w:color w:val="auto"/>
              </w:rPr>
            </w:pPr>
            <w:r>
              <w:rPr>
                <w:color w:val="auto"/>
              </w:rPr>
              <w:t>0.9</w:t>
            </w:r>
          </w:p>
        </w:tc>
        <w:tc>
          <w:tcPr>
            <w:tcW w:w="276" w:type="pct"/>
            <w:tcBorders>
              <w:tl2br w:val="nil"/>
              <w:tr2bl w:val="nil"/>
            </w:tcBorders>
            <w:shd w:val="clear" w:color="auto" w:fill="auto"/>
            <w:noWrap/>
            <w:tcMar>
              <w:left w:w="6" w:type="dxa"/>
              <w:right w:w="6" w:type="dxa"/>
            </w:tcMar>
            <w:vAlign w:val="center"/>
          </w:tcPr>
          <w:p w14:paraId="177ED6CD">
            <w:pPr>
              <w:pStyle w:val="714"/>
              <w:rPr>
                <w:color w:val="auto"/>
              </w:rPr>
            </w:pPr>
            <w:r>
              <w:rPr>
                <w:rFonts w:hint="eastAsia"/>
                <w:color w:val="auto"/>
              </w:rPr>
              <w:t>3.77</w:t>
            </w:r>
          </w:p>
        </w:tc>
        <w:tc>
          <w:tcPr>
            <w:tcW w:w="687" w:type="pct"/>
            <w:tcBorders>
              <w:tl2br w:val="nil"/>
              <w:tr2bl w:val="nil"/>
            </w:tcBorders>
            <w:shd w:val="clear" w:color="auto" w:fill="auto"/>
            <w:noWrap/>
            <w:tcMar>
              <w:left w:w="6" w:type="dxa"/>
              <w:right w:w="6" w:type="dxa"/>
            </w:tcMar>
            <w:vAlign w:val="center"/>
          </w:tcPr>
          <w:p w14:paraId="7803431F">
            <w:pPr>
              <w:pStyle w:val="714"/>
              <w:rPr>
                <w:color w:val="auto"/>
              </w:rPr>
            </w:pPr>
            <w:r>
              <w:rPr>
                <w:color w:val="auto"/>
              </w:rPr>
              <w:t>1.</w:t>
            </w:r>
            <w:r>
              <w:rPr>
                <w:rFonts w:hint="eastAsia"/>
                <w:color w:val="auto"/>
              </w:rPr>
              <w:t>71</w:t>
            </w:r>
            <w:r>
              <w:rPr>
                <w:color w:val="auto"/>
              </w:rPr>
              <w:t>E-4</w:t>
            </w:r>
          </w:p>
        </w:tc>
        <w:tc>
          <w:tcPr>
            <w:tcW w:w="232" w:type="pct"/>
            <w:tcBorders>
              <w:tl2br w:val="nil"/>
              <w:tr2bl w:val="nil"/>
            </w:tcBorders>
            <w:shd w:val="clear" w:color="auto" w:fill="auto"/>
            <w:noWrap/>
            <w:tcMar>
              <w:left w:w="6" w:type="dxa"/>
              <w:right w:w="6" w:type="dxa"/>
            </w:tcMar>
            <w:vAlign w:val="center"/>
          </w:tcPr>
          <w:p w14:paraId="3032F57F">
            <w:pPr>
              <w:pStyle w:val="714"/>
              <w:rPr>
                <w:color w:val="auto"/>
              </w:rPr>
            </w:pPr>
            <w:r>
              <w:rPr>
                <w:color w:val="auto"/>
              </w:rPr>
              <w:t>0.1</w:t>
            </w:r>
          </w:p>
        </w:tc>
        <w:tc>
          <w:tcPr>
            <w:tcW w:w="437" w:type="pct"/>
            <w:tcBorders>
              <w:tl2br w:val="nil"/>
              <w:tr2bl w:val="nil"/>
            </w:tcBorders>
            <w:shd w:val="clear" w:color="auto" w:fill="auto"/>
            <w:noWrap/>
            <w:tcMar>
              <w:left w:w="6" w:type="dxa"/>
              <w:right w:w="6" w:type="dxa"/>
            </w:tcMar>
            <w:vAlign w:val="center"/>
          </w:tcPr>
          <w:p w14:paraId="2E00DF15">
            <w:pPr>
              <w:pStyle w:val="714"/>
              <w:rPr>
                <w:color w:val="auto"/>
              </w:rPr>
            </w:pPr>
            <w:r>
              <w:rPr>
                <w:rFonts w:hint="eastAsia"/>
                <w:color w:val="auto"/>
              </w:rPr>
              <w:t>1.06</w:t>
            </w:r>
          </w:p>
        </w:tc>
      </w:tr>
      <w:tr w14:paraId="39EDB2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9" w:hRule="atLeast"/>
          <w:jc w:val="center"/>
        </w:trPr>
        <w:tc>
          <w:tcPr>
            <w:tcW w:w="304" w:type="pct"/>
            <w:vMerge w:val="restart"/>
            <w:tcBorders>
              <w:tl2br w:val="nil"/>
              <w:tr2bl w:val="nil"/>
            </w:tcBorders>
            <w:noWrap/>
            <w:tcMar>
              <w:left w:w="6" w:type="dxa"/>
              <w:right w:w="6" w:type="dxa"/>
            </w:tcMar>
            <w:vAlign w:val="center"/>
          </w:tcPr>
          <w:p w14:paraId="7051D2D9">
            <w:pPr>
              <w:pStyle w:val="714"/>
              <w:rPr>
                <w:color w:val="auto"/>
              </w:rPr>
            </w:pPr>
            <w:r>
              <w:rPr>
                <w:rFonts w:hint="eastAsia"/>
                <w:color w:val="auto"/>
              </w:rPr>
              <w:t>配套工程</w:t>
            </w:r>
          </w:p>
        </w:tc>
        <w:tc>
          <w:tcPr>
            <w:tcW w:w="401" w:type="pct"/>
            <w:vMerge w:val="restart"/>
            <w:tcBorders>
              <w:tl2br w:val="nil"/>
              <w:tr2bl w:val="nil"/>
            </w:tcBorders>
            <w:noWrap/>
            <w:tcMar>
              <w:left w:w="6" w:type="dxa"/>
              <w:right w:w="6" w:type="dxa"/>
            </w:tcMar>
            <w:vAlign w:val="center"/>
          </w:tcPr>
          <w:p w14:paraId="0E12B004">
            <w:pPr>
              <w:pStyle w:val="714"/>
              <w:rPr>
                <w:color w:val="auto"/>
              </w:rPr>
            </w:pPr>
            <w:r>
              <w:rPr>
                <w:rFonts w:hint="eastAsia"/>
                <w:color w:val="auto"/>
              </w:rPr>
              <w:t>污泥处理</w:t>
            </w:r>
          </w:p>
        </w:tc>
        <w:tc>
          <w:tcPr>
            <w:tcW w:w="564" w:type="pct"/>
            <w:tcBorders>
              <w:tl2br w:val="nil"/>
              <w:tr2bl w:val="nil"/>
            </w:tcBorders>
            <w:shd w:val="clear" w:color="auto" w:fill="auto"/>
            <w:noWrap/>
            <w:tcMar>
              <w:left w:w="6" w:type="dxa"/>
              <w:right w:w="6" w:type="dxa"/>
            </w:tcMar>
            <w:vAlign w:val="center"/>
          </w:tcPr>
          <w:p w14:paraId="7DF7538E">
            <w:pPr>
              <w:pStyle w:val="714"/>
              <w:rPr>
                <w:color w:val="auto"/>
              </w:rPr>
            </w:pPr>
            <w:r>
              <w:rPr>
                <w:rFonts w:hint="eastAsia"/>
                <w:color w:val="auto"/>
              </w:rPr>
              <w:t>磁混凝沉淀池</w:t>
            </w:r>
          </w:p>
        </w:tc>
        <w:tc>
          <w:tcPr>
            <w:tcW w:w="485" w:type="pct"/>
            <w:tcBorders>
              <w:tl2br w:val="nil"/>
              <w:tr2bl w:val="nil"/>
            </w:tcBorders>
            <w:shd w:val="clear" w:color="auto" w:fill="auto"/>
            <w:noWrap/>
            <w:tcMar>
              <w:left w:w="6" w:type="dxa"/>
              <w:right w:w="6" w:type="dxa"/>
            </w:tcMar>
            <w:vAlign w:val="center"/>
          </w:tcPr>
          <w:p w14:paraId="144D6114">
            <w:pPr>
              <w:pStyle w:val="714"/>
              <w:rPr>
                <w:color w:val="auto"/>
              </w:rPr>
            </w:pPr>
            <w:r>
              <w:rPr>
                <w:rFonts w:hint="eastAsia"/>
                <w:color w:val="auto"/>
              </w:rPr>
              <w:t>10.0</w:t>
            </w:r>
          </w:p>
        </w:tc>
        <w:tc>
          <w:tcPr>
            <w:tcW w:w="401" w:type="pct"/>
            <w:tcBorders>
              <w:tl2br w:val="nil"/>
              <w:tr2bl w:val="nil"/>
            </w:tcBorders>
            <w:shd w:val="clear" w:color="auto" w:fill="auto"/>
            <w:noWrap/>
            <w:tcMar>
              <w:left w:w="6" w:type="dxa"/>
              <w:right w:w="6" w:type="dxa"/>
            </w:tcMar>
            <w:vAlign w:val="center"/>
          </w:tcPr>
          <w:p w14:paraId="779204B8">
            <w:pPr>
              <w:pStyle w:val="714"/>
              <w:rPr>
                <w:color w:val="auto"/>
              </w:rPr>
            </w:pPr>
            <w:r>
              <w:rPr>
                <w:rFonts w:hint="eastAsia"/>
                <w:color w:val="auto"/>
              </w:rPr>
              <w:t>230.4</w:t>
            </w:r>
          </w:p>
        </w:tc>
        <w:tc>
          <w:tcPr>
            <w:tcW w:w="317" w:type="pct"/>
            <w:tcBorders>
              <w:tl2br w:val="nil"/>
              <w:tr2bl w:val="nil"/>
            </w:tcBorders>
            <w:shd w:val="clear" w:color="auto" w:fill="auto"/>
            <w:noWrap/>
            <w:tcMar>
              <w:left w:w="6" w:type="dxa"/>
              <w:right w:w="6" w:type="dxa"/>
            </w:tcMar>
            <w:vAlign w:val="center"/>
          </w:tcPr>
          <w:p w14:paraId="37CBF97C">
            <w:pPr>
              <w:pStyle w:val="714"/>
              <w:rPr>
                <w:color w:val="auto"/>
              </w:rPr>
            </w:pPr>
            <w:r>
              <w:rPr>
                <w:color w:val="auto"/>
              </w:rPr>
              <w:t>0.30</w:t>
            </w:r>
          </w:p>
        </w:tc>
        <w:tc>
          <w:tcPr>
            <w:tcW w:w="577" w:type="pct"/>
            <w:tcBorders>
              <w:tl2br w:val="nil"/>
              <w:tr2bl w:val="nil"/>
            </w:tcBorders>
            <w:shd w:val="clear" w:color="auto" w:fill="auto"/>
            <w:noWrap/>
            <w:tcMar>
              <w:left w:w="6" w:type="dxa"/>
              <w:right w:w="6" w:type="dxa"/>
            </w:tcMar>
            <w:vAlign w:val="center"/>
          </w:tcPr>
          <w:p w14:paraId="272EE097">
            <w:pPr>
              <w:pStyle w:val="714"/>
              <w:rPr>
                <w:color w:val="auto"/>
              </w:rPr>
            </w:pPr>
            <w:r>
              <w:rPr>
                <w:color w:val="auto"/>
              </w:rPr>
              <w:t>0.26E-8</w:t>
            </w:r>
          </w:p>
        </w:tc>
        <w:tc>
          <w:tcPr>
            <w:tcW w:w="312" w:type="pct"/>
            <w:tcBorders>
              <w:tl2br w:val="nil"/>
              <w:tr2bl w:val="nil"/>
            </w:tcBorders>
            <w:shd w:val="clear" w:color="auto" w:fill="auto"/>
            <w:noWrap/>
            <w:tcMar>
              <w:left w:w="6" w:type="dxa"/>
              <w:right w:w="6" w:type="dxa"/>
            </w:tcMar>
            <w:vAlign w:val="center"/>
          </w:tcPr>
          <w:p w14:paraId="4C6AD2D4">
            <w:pPr>
              <w:pStyle w:val="714"/>
              <w:rPr>
                <w:color w:val="auto"/>
              </w:rPr>
            </w:pPr>
            <w:r>
              <w:rPr>
                <w:color w:val="auto"/>
              </w:rPr>
              <w:t>0.9</w:t>
            </w:r>
          </w:p>
        </w:tc>
        <w:tc>
          <w:tcPr>
            <w:tcW w:w="276" w:type="pct"/>
            <w:tcBorders>
              <w:tl2br w:val="nil"/>
              <w:tr2bl w:val="nil"/>
            </w:tcBorders>
            <w:shd w:val="clear" w:color="auto" w:fill="auto"/>
            <w:noWrap/>
            <w:tcMar>
              <w:left w:w="6" w:type="dxa"/>
              <w:right w:w="6" w:type="dxa"/>
            </w:tcMar>
            <w:vAlign w:val="center"/>
          </w:tcPr>
          <w:p w14:paraId="3926DDEA">
            <w:pPr>
              <w:pStyle w:val="714"/>
              <w:rPr>
                <w:color w:val="auto"/>
              </w:rPr>
            </w:pPr>
            <w:r>
              <w:rPr>
                <w:rFonts w:hint="eastAsia"/>
                <w:color w:val="auto"/>
              </w:rPr>
              <w:t>3.27</w:t>
            </w:r>
          </w:p>
        </w:tc>
        <w:tc>
          <w:tcPr>
            <w:tcW w:w="687" w:type="pct"/>
            <w:tcBorders>
              <w:tl2br w:val="nil"/>
              <w:tr2bl w:val="nil"/>
            </w:tcBorders>
            <w:shd w:val="clear" w:color="auto" w:fill="auto"/>
            <w:noWrap/>
            <w:tcMar>
              <w:left w:w="6" w:type="dxa"/>
              <w:right w:w="6" w:type="dxa"/>
            </w:tcMar>
            <w:vAlign w:val="center"/>
          </w:tcPr>
          <w:p w14:paraId="231C3E1D">
            <w:pPr>
              <w:pStyle w:val="714"/>
              <w:rPr>
                <w:color w:val="auto"/>
              </w:rPr>
            </w:pPr>
            <w:r>
              <w:rPr>
                <w:color w:val="auto"/>
              </w:rPr>
              <w:t>1.</w:t>
            </w:r>
            <w:r>
              <w:rPr>
                <w:rFonts w:hint="eastAsia"/>
                <w:color w:val="auto"/>
              </w:rPr>
              <w:t>71</w:t>
            </w:r>
            <w:r>
              <w:rPr>
                <w:color w:val="auto"/>
              </w:rPr>
              <w:t>E-4</w:t>
            </w:r>
          </w:p>
        </w:tc>
        <w:tc>
          <w:tcPr>
            <w:tcW w:w="232" w:type="pct"/>
            <w:tcBorders>
              <w:tl2br w:val="nil"/>
              <w:tr2bl w:val="nil"/>
            </w:tcBorders>
            <w:shd w:val="clear" w:color="auto" w:fill="auto"/>
            <w:noWrap/>
            <w:tcMar>
              <w:left w:w="6" w:type="dxa"/>
              <w:right w:w="6" w:type="dxa"/>
            </w:tcMar>
            <w:vAlign w:val="center"/>
          </w:tcPr>
          <w:p w14:paraId="0D87ABCA">
            <w:pPr>
              <w:pStyle w:val="714"/>
              <w:rPr>
                <w:color w:val="auto"/>
              </w:rPr>
            </w:pPr>
            <w:r>
              <w:rPr>
                <w:color w:val="auto"/>
              </w:rPr>
              <w:t>0.1</w:t>
            </w:r>
          </w:p>
        </w:tc>
        <w:tc>
          <w:tcPr>
            <w:tcW w:w="437" w:type="pct"/>
            <w:tcBorders>
              <w:tl2br w:val="nil"/>
              <w:tr2bl w:val="nil"/>
            </w:tcBorders>
            <w:shd w:val="clear" w:color="auto" w:fill="auto"/>
            <w:noWrap/>
            <w:tcMar>
              <w:left w:w="6" w:type="dxa"/>
              <w:right w:w="6" w:type="dxa"/>
            </w:tcMar>
            <w:vAlign w:val="center"/>
          </w:tcPr>
          <w:p w14:paraId="28D62246">
            <w:pPr>
              <w:pStyle w:val="714"/>
              <w:rPr>
                <w:color w:val="auto"/>
              </w:rPr>
            </w:pPr>
            <w:r>
              <w:rPr>
                <w:rFonts w:hint="eastAsia"/>
                <w:color w:val="auto"/>
              </w:rPr>
              <w:t>13.81</w:t>
            </w:r>
          </w:p>
        </w:tc>
      </w:tr>
      <w:tr w14:paraId="3DEDE4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9" w:hRule="atLeast"/>
          <w:jc w:val="center"/>
        </w:trPr>
        <w:tc>
          <w:tcPr>
            <w:tcW w:w="304" w:type="pct"/>
            <w:vMerge w:val="continue"/>
            <w:tcBorders>
              <w:tl2br w:val="nil"/>
              <w:tr2bl w:val="nil"/>
            </w:tcBorders>
            <w:noWrap/>
            <w:tcMar>
              <w:left w:w="6" w:type="dxa"/>
              <w:right w:w="6" w:type="dxa"/>
            </w:tcMar>
            <w:vAlign w:val="center"/>
          </w:tcPr>
          <w:p w14:paraId="6EEA3368">
            <w:pPr>
              <w:pStyle w:val="714"/>
              <w:rPr>
                <w:color w:val="auto"/>
              </w:rPr>
            </w:pPr>
          </w:p>
        </w:tc>
        <w:tc>
          <w:tcPr>
            <w:tcW w:w="401" w:type="pct"/>
            <w:vMerge w:val="continue"/>
            <w:tcBorders>
              <w:tl2br w:val="nil"/>
              <w:tr2bl w:val="nil"/>
            </w:tcBorders>
            <w:noWrap/>
            <w:tcMar>
              <w:left w:w="6" w:type="dxa"/>
              <w:right w:w="6" w:type="dxa"/>
            </w:tcMar>
            <w:vAlign w:val="center"/>
          </w:tcPr>
          <w:p w14:paraId="29C31F15">
            <w:pPr>
              <w:pStyle w:val="714"/>
              <w:rPr>
                <w:color w:val="auto"/>
              </w:rPr>
            </w:pPr>
          </w:p>
        </w:tc>
        <w:tc>
          <w:tcPr>
            <w:tcW w:w="564" w:type="pct"/>
            <w:tcBorders>
              <w:tl2br w:val="nil"/>
              <w:tr2bl w:val="nil"/>
            </w:tcBorders>
            <w:shd w:val="clear" w:color="auto" w:fill="auto"/>
            <w:noWrap/>
            <w:tcMar>
              <w:left w:w="6" w:type="dxa"/>
              <w:right w:w="6" w:type="dxa"/>
            </w:tcMar>
            <w:vAlign w:val="center"/>
          </w:tcPr>
          <w:p w14:paraId="3D8C3DAC">
            <w:pPr>
              <w:pStyle w:val="714"/>
              <w:rPr>
                <w:color w:val="auto"/>
              </w:rPr>
            </w:pPr>
            <w:r>
              <w:rPr>
                <w:rFonts w:hint="eastAsia"/>
                <w:color w:val="auto"/>
              </w:rPr>
              <w:t>污泥池</w:t>
            </w:r>
          </w:p>
        </w:tc>
        <w:tc>
          <w:tcPr>
            <w:tcW w:w="485" w:type="pct"/>
            <w:tcBorders>
              <w:tl2br w:val="nil"/>
              <w:tr2bl w:val="nil"/>
            </w:tcBorders>
            <w:shd w:val="clear" w:color="auto" w:fill="auto"/>
            <w:noWrap/>
            <w:tcMar>
              <w:left w:w="6" w:type="dxa"/>
              <w:right w:w="6" w:type="dxa"/>
            </w:tcMar>
            <w:vAlign w:val="center"/>
          </w:tcPr>
          <w:p w14:paraId="4826CF8B">
            <w:pPr>
              <w:pStyle w:val="714"/>
              <w:rPr>
                <w:color w:val="auto"/>
              </w:rPr>
            </w:pPr>
            <w:r>
              <w:rPr>
                <w:rFonts w:hint="eastAsia"/>
                <w:color w:val="auto"/>
              </w:rPr>
              <w:t>4.5</w:t>
            </w:r>
          </w:p>
        </w:tc>
        <w:tc>
          <w:tcPr>
            <w:tcW w:w="401" w:type="pct"/>
            <w:tcBorders>
              <w:tl2br w:val="nil"/>
              <w:tr2bl w:val="nil"/>
            </w:tcBorders>
            <w:shd w:val="clear" w:color="auto" w:fill="auto"/>
            <w:noWrap/>
            <w:tcMar>
              <w:left w:w="6" w:type="dxa"/>
              <w:right w:w="6" w:type="dxa"/>
            </w:tcMar>
            <w:vAlign w:val="center"/>
          </w:tcPr>
          <w:p w14:paraId="13F4DC18">
            <w:pPr>
              <w:pStyle w:val="714"/>
              <w:rPr>
                <w:color w:val="auto"/>
              </w:rPr>
            </w:pPr>
            <w:r>
              <w:rPr>
                <w:rFonts w:hint="eastAsia"/>
                <w:color w:val="auto"/>
              </w:rPr>
              <w:t>41.50</w:t>
            </w:r>
          </w:p>
        </w:tc>
        <w:tc>
          <w:tcPr>
            <w:tcW w:w="317" w:type="pct"/>
            <w:tcBorders>
              <w:tl2br w:val="nil"/>
              <w:tr2bl w:val="nil"/>
            </w:tcBorders>
            <w:shd w:val="clear" w:color="auto" w:fill="auto"/>
            <w:noWrap/>
            <w:tcMar>
              <w:left w:w="6" w:type="dxa"/>
              <w:right w:w="6" w:type="dxa"/>
            </w:tcMar>
            <w:vAlign w:val="center"/>
          </w:tcPr>
          <w:p w14:paraId="33AC3AF8">
            <w:pPr>
              <w:pStyle w:val="714"/>
              <w:rPr>
                <w:color w:val="auto"/>
              </w:rPr>
            </w:pPr>
            <w:r>
              <w:rPr>
                <w:color w:val="auto"/>
              </w:rPr>
              <w:t>0.30</w:t>
            </w:r>
          </w:p>
        </w:tc>
        <w:tc>
          <w:tcPr>
            <w:tcW w:w="577" w:type="pct"/>
            <w:tcBorders>
              <w:tl2br w:val="nil"/>
              <w:tr2bl w:val="nil"/>
            </w:tcBorders>
            <w:shd w:val="clear" w:color="auto" w:fill="auto"/>
            <w:noWrap/>
            <w:tcMar>
              <w:left w:w="6" w:type="dxa"/>
              <w:right w:w="6" w:type="dxa"/>
            </w:tcMar>
            <w:vAlign w:val="center"/>
          </w:tcPr>
          <w:p w14:paraId="715F030C">
            <w:pPr>
              <w:pStyle w:val="714"/>
              <w:rPr>
                <w:color w:val="auto"/>
              </w:rPr>
            </w:pPr>
            <w:r>
              <w:rPr>
                <w:color w:val="auto"/>
              </w:rPr>
              <w:t>0.26E-8</w:t>
            </w:r>
          </w:p>
        </w:tc>
        <w:tc>
          <w:tcPr>
            <w:tcW w:w="312" w:type="pct"/>
            <w:tcBorders>
              <w:tl2br w:val="nil"/>
              <w:tr2bl w:val="nil"/>
            </w:tcBorders>
            <w:shd w:val="clear" w:color="auto" w:fill="auto"/>
            <w:noWrap/>
            <w:tcMar>
              <w:left w:w="6" w:type="dxa"/>
              <w:right w:w="6" w:type="dxa"/>
            </w:tcMar>
            <w:vAlign w:val="center"/>
          </w:tcPr>
          <w:p w14:paraId="6504E416">
            <w:pPr>
              <w:pStyle w:val="714"/>
              <w:rPr>
                <w:color w:val="auto"/>
              </w:rPr>
            </w:pPr>
            <w:r>
              <w:rPr>
                <w:color w:val="auto"/>
              </w:rPr>
              <w:t>0.9</w:t>
            </w:r>
          </w:p>
        </w:tc>
        <w:tc>
          <w:tcPr>
            <w:tcW w:w="276" w:type="pct"/>
            <w:tcBorders>
              <w:tl2br w:val="nil"/>
              <w:tr2bl w:val="nil"/>
            </w:tcBorders>
            <w:shd w:val="clear" w:color="auto" w:fill="auto"/>
            <w:noWrap/>
            <w:tcMar>
              <w:left w:w="6" w:type="dxa"/>
              <w:right w:w="6" w:type="dxa"/>
            </w:tcMar>
            <w:vAlign w:val="center"/>
          </w:tcPr>
          <w:p w14:paraId="07AEFC3C">
            <w:pPr>
              <w:pStyle w:val="714"/>
              <w:rPr>
                <w:color w:val="auto"/>
              </w:rPr>
            </w:pPr>
            <w:r>
              <w:rPr>
                <w:rFonts w:hint="eastAsia"/>
                <w:color w:val="auto"/>
              </w:rPr>
              <w:t>0.97</w:t>
            </w:r>
          </w:p>
        </w:tc>
        <w:tc>
          <w:tcPr>
            <w:tcW w:w="687" w:type="pct"/>
            <w:tcBorders>
              <w:tl2br w:val="nil"/>
              <w:tr2bl w:val="nil"/>
            </w:tcBorders>
            <w:shd w:val="clear" w:color="auto" w:fill="auto"/>
            <w:noWrap/>
            <w:tcMar>
              <w:left w:w="6" w:type="dxa"/>
              <w:right w:w="6" w:type="dxa"/>
            </w:tcMar>
            <w:vAlign w:val="center"/>
          </w:tcPr>
          <w:p w14:paraId="5F0F2DE9">
            <w:pPr>
              <w:pStyle w:val="714"/>
              <w:rPr>
                <w:color w:val="auto"/>
              </w:rPr>
            </w:pPr>
            <w:r>
              <w:rPr>
                <w:color w:val="auto"/>
              </w:rPr>
              <w:t>1.</w:t>
            </w:r>
            <w:r>
              <w:rPr>
                <w:rFonts w:hint="eastAsia"/>
                <w:color w:val="auto"/>
              </w:rPr>
              <w:t>71</w:t>
            </w:r>
            <w:r>
              <w:rPr>
                <w:color w:val="auto"/>
              </w:rPr>
              <w:t>E-4</w:t>
            </w:r>
          </w:p>
        </w:tc>
        <w:tc>
          <w:tcPr>
            <w:tcW w:w="232" w:type="pct"/>
            <w:tcBorders>
              <w:tl2br w:val="nil"/>
              <w:tr2bl w:val="nil"/>
            </w:tcBorders>
            <w:shd w:val="clear" w:color="auto" w:fill="auto"/>
            <w:noWrap/>
            <w:tcMar>
              <w:left w:w="6" w:type="dxa"/>
              <w:right w:w="6" w:type="dxa"/>
            </w:tcMar>
            <w:vAlign w:val="center"/>
          </w:tcPr>
          <w:p w14:paraId="6461329D">
            <w:pPr>
              <w:pStyle w:val="714"/>
              <w:rPr>
                <w:color w:val="auto"/>
              </w:rPr>
            </w:pPr>
            <w:r>
              <w:rPr>
                <w:color w:val="auto"/>
              </w:rPr>
              <w:t>0.1</w:t>
            </w:r>
          </w:p>
        </w:tc>
        <w:tc>
          <w:tcPr>
            <w:tcW w:w="437" w:type="pct"/>
            <w:tcBorders>
              <w:tl2br w:val="nil"/>
              <w:tr2bl w:val="nil"/>
            </w:tcBorders>
            <w:shd w:val="clear" w:color="auto" w:fill="auto"/>
            <w:noWrap/>
            <w:tcMar>
              <w:left w:w="6" w:type="dxa"/>
              <w:right w:w="6" w:type="dxa"/>
            </w:tcMar>
            <w:vAlign w:val="center"/>
          </w:tcPr>
          <w:p w14:paraId="7FDF8B3F">
            <w:pPr>
              <w:pStyle w:val="714"/>
              <w:rPr>
                <w:color w:val="auto"/>
              </w:rPr>
            </w:pPr>
            <w:r>
              <w:rPr>
                <w:rFonts w:hint="eastAsia"/>
                <w:color w:val="auto"/>
              </w:rPr>
              <w:t>3.46</w:t>
            </w:r>
          </w:p>
        </w:tc>
      </w:tr>
      <w:tr w14:paraId="76426E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9" w:hRule="atLeast"/>
          <w:jc w:val="center"/>
        </w:trPr>
        <w:tc>
          <w:tcPr>
            <w:tcW w:w="1269" w:type="pct"/>
            <w:gridSpan w:val="3"/>
            <w:tcBorders>
              <w:tl2br w:val="nil"/>
              <w:tr2bl w:val="nil"/>
            </w:tcBorders>
            <w:noWrap/>
            <w:tcMar>
              <w:left w:w="6" w:type="dxa"/>
              <w:right w:w="6" w:type="dxa"/>
            </w:tcMar>
            <w:vAlign w:val="center"/>
          </w:tcPr>
          <w:p w14:paraId="6A600846">
            <w:pPr>
              <w:pStyle w:val="714"/>
              <w:rPr>
                <w:color w:val="auto"/>
              </w:rPr>
            </w:pPr>
            <w:r>
              <w:rPr>
                <w:rFonts w:hint="eastAsia"/>
                <w:color w:val="auto"/>
              </w:rPr>
              <w:t>合计</w:t>
            </w:r>
          </w:p>
        </w:tc>
        <w:tc>
          <w:tcPr>
            <w:tcW w:w="485" w:type="pct"/>
            <w:tcBorders>
              <w:tl2br w:val="nil"/>
              <w:tr2bl w:val="nil"/>
            </w:tcBorders>
            <w:shd w:val="clear" w:color="auto" w:fill="auto"/>
            <w:noWrap/>
            <w:tcMar>
              <w:left w:w="6" w:type="dxa"/>
              <w:right w:w="6" w:type="dxa"/>
            </w:tcMar>
            <w:vAlign w:val="center"/>
          </w:tcPr>
          <w:p w14:paraId="012A62DD">
            <w:pPr>
              <w:pStyle w:val="714"/>
              <w:rPr>
                <w:color w:val="auto"/>
                <w:highlight w:val="yellow"/>
              </w:rPr>
            </w:pPr>
          </w:p>
        </w:tc>
        <w:tc>
          <w:tcPr>
            <w:tcW w:w="401" w:type="pct"/>
            <w:tcBorders>
              <w:tl2br w:val="nil"/>
              <w:tr2bl w:val="nil"/>
            </w:tcBorders>
            <w:shd w:val="clear" w:color="auto" w:fill="auto"/>
            <w:noWrap/>
            <w:tcMar>
              <w:left w:w="6" w:type="dxa"/>
              <w:right w:w="6" w:type="dxa"/>
            </w:tcMar>
            <w:vAlign w:val="center"/>
          </w:tcPr>
          <w:p w14:paraId="521F6E4F">
            <w:pPr>
              <w:pStyle w:val="714"/>
              <w:rPr>
                <w:color w:val="auto"/>
                <w:highlight w:val="yellow"/>
              </w:rPr>
            </w:pPr>
          </w:p>
        </w:tc>
        <w:tc>
          <w:tcPr>
            <w:tcW w:w="317" w:type="pct"/>
            <w:tcBorders>
              <w:tl2br w:val="nil"/>
              <w:tr2bl w:val="nil"/>
            </w:tcBorders>
            <w:shd w:val="clear" w:color="auto" w:fill="auto"/>
            <w:noWrap/>
            <w:tcMar>
              <w:left w:w="6" w:type="dxa"/>
              <w:right w:w="6" w:type="dxa"/>
            </w:tcMar>
            <w:vAlign w:val="center"/>
          </w:tcPr>
          <w:p w14:paraId="1AD7A51E">
            <w:pPr>
              <w:pStyle w:val="714"/>
              <w:rPr>
                <w:color w:val="auto"/>
              </w:rPr>
            </w:pPr>
          </w:p>
        </w:tc>
        <w:tc>
          <w:tcPr>
            <w:tcW w:w="577" w:type="pct"/>
            <w:tcBorders>
              <w:tl2br w:val="nil"/>
              <w:tr2bl w:val="nil"/>
            </w:tcBorders>
            <w:shd w:val="clear" w:color="auto" w:fill="auto"/>
            <w:noWrap/>
            <w:tcMar>
              <w:left w:w="6" w:type="dxa"/>
              <w:right w:w="6" w:type="dxa"/>
            </w:tcMar>
            <w:vAlign w:val="center"/>
          </w:tcPr>
          <w:p w14:paraId="5DE63BB9">
            <w:pPr>
              <w:pStyle w:val="714"/>
              <w:rPr>
                <w:color w:val="auto"/>
              </w:rPr>
            </w:pPr>
          </w:p>
        </w:tc>
        <w:tc>
          <w:tcPr>
            <w:tcW w:w="312" w:type="pct"/>
            <w:tcBorders>
              <w:tl2br w:val="nil"/>
              <w:tr2bl w:val="nil"/>
            </w:tcBorders>
            <w:shd w:val="clear" w:color="auto" w:fill="auto"/>
            <w:noWrap/>
            <w:tcMar>
              <w:left w:w="6" w:type="dxa"/>
              <w:right w:w="6" w:type="dxa"/>
            </w:tcMar>
            <w:vAlign w:val="center"/>
          </w:tcPr>
          <w:p w14:paraId="648E2184">
            <w:pPr>
              <w:pStyle w:val="714"/>
              <w:rPr>
                <w:color w:val="auto"/>
              </w:rPr>
            </w:pPr>
          </w:p>
        </w:tc>
        <w:tc>
          <w:tcPr>
            <w:tcW w:w="276" w:type="pct"/>
            <w:tcBorders>
              <w:tl2br w:val="nil"/>
              <w:tr2bl w:val="nil"/>
            </w:tcBorders>
            <w:shd w:val="clear" w:color="auto" w:fill="auto"/>
            <w:noWrap/>
            <w:tcMar>
              <w:left w:w="6" w:type="dxa"/>
              <w:right w:w="6" w:type="dxa"/>
            </w:tcMar>
            <w:vAlign w:val="center"/>
          </w:tcPr>
          <w:p w14:paraId="3BA8A1B7">
            <w:pPr>
              <w:pStyle w:val="714"/>
              <w:rPr>
                <w:color w:val="auto"/>
              </w:rPr>
            </w:pPr>
          </w:p>
        </w:tc>
        <w:tc>
          <w:tcPr>
            <w:tcW w:w="687" w:type="pct"/>
            <w:tcBorders>
              <w:tl2br w:val="nil"/>
              <w:tr2bl w:val="nil"/>
            </w:tcBorders>
            <w:shd w:val="clear" w:color="auto" w:fill="auto"/>
            <w:noWrap/>
            <w:tcMar>
              <w:left w:w="6" w:type="dxa"/>
              <w:right w:w="6" w:type="dxa"/>
            </w:tcMar>
            <w:vAlign w:val="center"/>
          </w:tcPr>
          <w:p w14:paraId="4F50BE60">
            <w:pPr>
              <w:pStyle w:val="714"/>
              <w:rPr>
                <w:color w:val="auto"/>
              </w:rPr>
            </w:pPr>
          </w:p>
        </w:tc>
        <w:tc>
          <w:tcPr>
            <w:tcW w:w="232" w:type="pct"/>
            <w:tcBorders>
              <w:tl2br w:val="nil"/>
              <w:tr2bl w:val="nil"/>
            </w:tcBorders>
            <w:shd w:val="clear" w:color="auto" w:fill="auto"/>
            <w:noWrap/>
            <w:tcMar>
              <w:left w:w="6" w:type="dxa"/>
              <w:right w:w="6" w:type="dxa"/>
            </w:tcMar>
            <w:vAlign w:val="center"/>
          </w:tcPr>
          <w:p w14:paraId="67A43AFF">
            <w:pPr>
              <w:pStyle w:val="714"/>
              <w:rPr>
                <w:color w:val="auto"/>
              </w:rPr>
            </w:pPr>
          </w:p>
        </w:tc>
        <w:tc>
          <w:tcPr>
            <w:tcW w:w="437" w:type="pct"/>
            <w:tcBorders>
              <w:tl2br w:val="nil"/>
              <w:tr2bl w:val="nil"/>
            </w:tcBorders>
            <w:shd w:val="clear" w:color="auto" w:fill="auto"/>
            <w:noWrap/>
            <w:tcMar>
              <w:left w:w="6" w:type="dxa"/>
              <w:right w:w="6" w:type="dxa"/>
            </w:tcMar>
            <w:vAlign w:val="center"/>
          </w:tcPr>
          <w:p w14:paraId="2278257A">
            <w:pPr>
              <w:pStyle w:val="714"/>
              <w:rPr>
                <w:color w:val="auto"/>
              </w:rPr>
            </w:pPr>
            <w:r>
              <w:rPr>
                <w:rFonts w:hint="eastAsia"/>
                <w:color w:val="auto"/>
              </w:rPr>
              <w:t>95.39</w:t>
            </w:r>
          </w:p>
        </w:tc>
      </w:tr>
      <w:bookmarkEnd w:id="236"/>
    </w:tbl>
    <w:p w14:paraId="6DA23C49">
      <w:pPr>
        <w:bidi w:val="0"/>
        <w:rPr>
          <w:b/>
          <w:bCs/>
          <w:color w:val="auto"/>
          <w:sz w:val="21"/>
          <w:szCs w:val="21"/>
        </w:rPr>
      </w:pPr>
      <w:r>
        <w:rPr>
          <w:rFonts w:hint="eastAsia"/>
          <w:b/>
          <w:bCs/>
          <w:color w:val="auto"/>
          <w:sz w:val="21"/>
          <w:szCs w:val="21"/>
        </w:rPr>
        <w:t>注：地下水埋深按照区域实测丰水期平均埋深3.77m计，由于各池体地下深度存在差异，本次按照各水池分别统计计算包气带厚度。</w:t>
      </w:r>
    </w:p>
    <w:p w14:paraId="03EFC02C">
      <w:pPr>
        <w:ind w:firstLine="480"/>
        <w:rPr>
          <w:b/>
          <w:bCs/>
          <w:color w:val="auto"/>
        </w:rPr>
      </w:pPr>
      <w:r>
        <w:rPr>
          <w:color w:val="auto"/>
        </w:rPr>
        <w:t>（</w:t>
      </w:r>
      <w:r>
        <w:rPr>
          <w:b/>
          <w:bCs/>
          <w:color w:val="auto"/>
        </w:rPr>
        <w:t>6）本项目污染因子及浓度分析</w:t>
      </w:r>
    </w:p>
    <w:p w14:paraId="6B4B8405">
      <w:pPr>
        <w:bidi w:val="0"/>
        <w:rPr>
          <w:color w:val="auto"/>
        </w:rPr>
      </w:pPr>
      <w:r>
        <w:rPr>
          <w:color w:val="auto"/>
        </w:rPr>
        <w:t>根据产污环节分析，本项目主要地下水污染源</w:t>
      </w:r>
      <w:r>
        <w:rPr>
          <w:rFonts w:hint="eastAsia"/>
          <w:color w:val="auto"/>
        </w:rPr>
        <w:t>为处理的工业废水</w:t>
      </w:r>
      <w:r>
        <w:rPr>
          <w:color w:val="auto"/>
        </w:rPr>
        <w:t>。</w:t>
      </w:r>
      <w:bookmarkStart w:id="237" w:name="_Hlk90164012"/>
      <w:r>
        <w:rPr>
          <w:rFonts w:hint="eastAsia"/>
          <w:color w:val="auto"/>
        </w:rPr>
        <w:t>保守起见，各池体泄露的</w:t>
      </w:r>
      <w:r>
        <w:rPr>
          <w:color w:val="auto"/>
        </w:rPr>
        <w:t>废水</w:t>
      </w:r>
      <w:bookmarkEnd w:id="237"/>
      <w:r>
        <w:rPr>
          <w:color w:val="auto"/>
        </w:rPr>
        <w:t>水质</w:t>
      </w:r>
      <w:r>
        <w:rPr>
          <w:rFonts w:hint="eastAsia"/>
          <w:color w:val="auto"/>
        </w:rPr>
        <w:t>按照最大不利浓度即污水处理厂设计进水浓度考虑</w:t>
      </w:r>
      <w:r>
        <w:rPr>
          <w:color w:val="auto"/>
        </w:rPr>
        <w:t>，</w:t>
      </w:r>
      <w:r>
        <w:rPr>
          <w:rFonts w:hint="eastAsia"/>
          <w:color w:val="auto"/>
        </w:rPr>
        <w:t>污水处理厂设计</w:t>
      </w:r>
      <w:r>
        <w:rPr>
          <w:color w:val="auto"/>
        </w:rPr>
        <w:t>进水水质值见表6.2-</w:t>
      </w:r>
      <w:r>
        <w:rPr>
          <w:rFonts w:hint="eastAsia"/>
          <w:color w:val="auto"/>
        </w:rPr>
        <w:t>3。</w:t>
      </w:r>
      <w:r>
        <w:rPr>
          <w:color w:val="auto"/>
        </w:rPr>
        <w:t>本次选取</w:t>
      </w:r>
      <w:r>
        <w:rPr>
          <w:rFonts w:hint="eastAsia"/>
          <w:color w:val="auto"/>
        </w:rPr>
        <w:t>污水处理厂</w:t>
      </w:r>
      <w:r>
        <w:rPr>
          <w:color w:val="auto"/>
        </w:rPr>
        <w:t>进水水质</w:t>
      </w:r>
      <w:r>
        <w:rPr>
          <w:rFonts w:hint="eastAsia"/>
          <w:color w:val="auto"/>
        </w:rPr>
        <w:t>特征污染因子中污染物产生量大、毒性较强、占标率较高的</w:t>
      </w:r>
      <w:r>
        <w:rPr>
          <w:color w:val="auto"/>
        </w:rPr>
        <w:t>CODMn、</w:t>
      </w:r>
      <w:r>
        <w:rPr>
          <w:rFonts w:hint="eastAsia"/>
          <w:color w:val="auto"/>
        </w:rPr>
        <w:t>氨氮、总磷、甲醛、石油类</w:t>
      </w:r>
      <w:r>
        <w:rPr>
          <w:color w:val="auto"/>
        </w:rPr>
        <w:t>作为预测因子</w:t>
      </w:r>
      <w:r>
        <w:rPr>
          <w:rFonts w:hint="eastAsia"/>
          <w:color w:val="auto"/>
        </w:rPr>
        <w:t>，</w:t>
      </w:r>
      <w:r>
        <w:rPr>
          <w:color w:val="auto"/>
        </w:rPr>
        <w:t>各污染物浓度见</w:t>
      </w:r>
      <w:r>
        <w:rPr>
          <w:rFonts w:hint="eastAsia"/>
          <w:color w:val="auto"/>
          <w:lang w:val="en-US" w:eastAsia="zh-CN"/>
        </w:rPr>
        <w:t>下表</w:t>
      </w:r>
      <w:r>
        <w:rPr>
          <w:color w:val="auto"/>
        </w:rPr>
        <w:t>。</w:t>
      </w:r>
    </w:p>
    <w:p w14:paraId="271535F9">
      <w:pPr>
        <w:pStyle w:val="19"/>
        <w:keepNext w:val="0"/>
        <w:keepLines w:val="0"/>
        <w:pageBreakBefore w:val="0"/>
        <w:widowControl w:val="0"/>
        <w:numPr>
          <w:ilvl w:val="0"/>
          <w:numId w:val="31"/>
        </w:numPr>
        <w:kinsoku/>
        <w:wordWrap/>
        <w:overflowPunct/>
        <w:topLinePunct w:val="0"/>
        <w:autoSpaceDE/>
        <w:autoSpaceDN/>
        <w:bidi w:val="0"/>
        <w:adjustRightInd/>
        <w:snapToGrid/>
        <w:ind w:left="0" w:leftChars="0" w:firstLine="0" w:firstLineChars="0"/>
        <w:textAlignment w:val="auto"/>
        <w:rPr>
          <w:color w:val="auto"/>
        </w:rPr>
      </w:pPr>
      <w:r>
        <w:rPr>
          <w:rFonts w:hint="eastAsia"/>
          <w:color w:val="auto"/>
          <w:lang w:val="en-US" w:eastAsia="zh-CN"/>
        </w:rPr>
        <w:t xml:space="preserve"> </w:t>
      </w:r>
      <w:r>
        <w:rPr>
          <w:rFonts w:hint="eastAsia"/>
          <w:color w:val="auto"/>
        </w:rPr>
        <w:t>项目设计进水</w:t>
      </w:r>
      <w:r>
        <w:rPr>
          <w:color w:val="auto"/>
        </w:rPr>
        <w:t>水质</w:t>
      </w:r>
      <w:r>
        <w:rPr>
          <w:rFonts w:hint="eastAsia"/>
          <w:color w:val="auto"/>
          <w:lang w:val="en-US" w:eastAsia="zh-CN"/>
        </w:rPr>
        <w:t xml:space="preserve">  </w:t>
      </w:r>
      <w:r>
        <w:rPr>
          <w:rFonts w:hint="eastAsia"/>
          <w:color w:val="auto"/>
          <w:szCs w:val="21"/>
        </w:rPr>
        <w:t>（单位：</w:t>
      </w:r>
      <w:r>
        <w:rPr>
          <w:color w:val="auto"/>
          <w:szCs w:val="21"/>
        </w:rPr>
        <w:t>mg/L</w:t>
      </w:r>
      <w:r>
        <w:rPr>
          <w:rFonts w:hint="eastAsia"/>
          <w:color w:val="auto"/>
          <w:szCs w:val="21"/>
        </w:rPr>
        <w:t>）</w:t>
      </w:r>
    </w:p>
    <w:tbl>
      <w:tblPr>
        <w:tblStyle w:val="5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2"/>
        <w:gridCol w:w="3216"/>
        <w:gridCol w:w="1901"/>
        <w:gridCol w:w="2498"/>
      </w:tblGrid>
      <w:tr w14:paraId="610BA5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tcBorders>
              <w:tl2br w:val="nil"/>
              <w:tr2bl w:val="nil"/>
            </w:tcBorders>
            <w:tcMar>
              <w:left w:w="57" w:type="dxa"/>
              <w:right w:w="57" w:type="dxa"/>
            </w:tcMar>
            <w:vAlign w:val="center"/>
          </w:tcPr>
          <w:p w14:paraId="73C4466E">
            <w:pPr>
              <w:pStyle w:val="714"/>
              <w:widowControl w:val="0"/>
              <w:rPr>
                <w:b/>
                <w:bCs/>
                <w:color w:val="auto"/>
              </w:rPr>
            </w:pPr>
            <w:bookmarkStart w:id="238" w:name="_Hlk172489953"/>
            <w:r>
              <w:rPr>
                <w:b/>
                <w:bCs/>
                <w:color w:val="auto"/>
              </w:rPr>
              <w:t>序号</w:t>
            </w:r>
          </w:p>
        </w:tc>
        <w:tc>
          <w:tcPr>
            <w:tcW w:w="1910" w:type="pct"/>
            <w:tcBorders>
              <w:tl2br w:val="nil"/>
              <w:tr2bl w:val="nil"/>
            </w:tcBorders>
            <w:tcMar>
              <w:left w:w="57" w:type="dxa"/>
              <w:right w:w="57" w:type="dxa"/>
            </w:tcMar>
            <w:vAlign w:val="center"/>
          </w:tcPr>
          <w:p w14:paraId="4BCED3E9">
            <w:pPr>
              <w:pStyle w:val="714"/>
              <w:widowControl w:val="0"/>
              <w:rPr>
                <w:b/>
                <w:bCs/>
                <w:color w:val="auto"/>
              </w:rPr>
            </w:pPr>
            <w:r>
              <w:rPr>
                <w:b/>
                <w:bCs/>
                <w:color w:val="auto"/>
              </w:rPr>
              <w:t>项目</w:t>
            </w:r>
          </w:p>
        </w:tc>
        <w:tc>
          <w:tcPr>
            <w:tcW w:w="1129" w:type="pct"/>
            <w:tcBorders>
              <w:tl2br w:val="nil"/>
              <w:tr2bl w:val="nil"/>
            </w:tcBorders>
            <w:tcMar>
              <w:left w:w="57" w:type="dxa"/>
              <w:right w:w="57" w:type="dxa"/>
            </w:tcMar>
            <w:vAlign w:val="center"/>
          </w:tcPr>
          <w:p w14:paraId="58A4657D">
            <w:pPr>
              <w:pStyle w:val="714"/>
              <w:widowControl w:val="0"/>
              <w:rPr>
                <w:b/>
                <w:bCs/>
                <w:color w:val="auto"/>
              </w:rPr>
            </w:pPr>
            <w:r>
              <w:rPr>
                <w:b/>
                <w:bCs/>
                <w:color w:val="auto"/>
              </w:rPr>
              <w:t>单位</w:t>
            </w:r>
          </w:p>
        </w:tc>
        <w:tc>
          <w:tcPr>
            <w:tcW w:w="1483" w:type="pct"/>
            <w:tcBorders>
              <w:tl2br w:val="nil"/>
              <w:tr2bl w:val="nil"/>
            </w:tcBorders>
            <w:tcMar>
              <w:left w:w="57" w:type="dxa"/>
              <w:right w:w="57" w:type="dxa"/>
            </w:tcMar>
            <w:vAlign w:val="center"/>
          </w:tcPr>
          <w:p w14:paraId="35D65011">
            <w:pPr>
              <w:pStyle w:val="714"/>
              <w:widowControl w:val="0"/>
              <w:rPr>
                <w:b/>
                <w:bCs/>
                <w:color w:val="auto"/>
              </w:rPr>
            </w:pPr>
            <w:r>
              <w:rPr>
                <w:b/>
                <w:bCs/>
                <w:color w:val="auto"/>
              </w:rPr>
              <w:t>数值</w:t>
            </w:r>
          </w:p>
        </w:tc>
      </w:tr>
      <w:tr w14:paraId="5EEDDF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tcBorders>
              <w:tl2br w:val="nil"/>
              <w:tr2bl w:val="nil"/>
            </w:tcBorders>
            <w:tcMar>
              <w:left w:w="57" w:type="dxa"/>
              <w:right w:w="57" w:type="dxa"/>
            </w:tcMar>
            <w:vAlign w:val="center"/>
          </w:tcPr>
          <w:p w14:paraId="16D59E4A">
            <w:pPr>
              <w:pStyle w:val="714"/>
              <w:widowControl w:val="0"/>
              <w:rPr>
                <w:color w:val="auto"/>
              </w:rPr>
            </w:pPr>
            <w:r>
              <w:rPr>
                <w:color w:val="auto"/>
              </w:rPr>
              <w:t>1</w:t>
            </w:r>
          </w:p>
        </w:tc>
        <w:tc>
          <w:tcPr>
            <w:tcW w:w="1910" w:type="pct"/>
            <w:tcBorders>
              <w:tl2br w:val="nil"/>
              <w:tr2bl w:val="nil"/>
            </w:tcBorders>
            <w:tcMar>
              <w:left w:w="57" w:type="dxa"/>
              <w:right w:w="57" w:type="dxa"/>
            </w:tcMar>
            <w:vAlign w:val="center"/>
          </w:tcPr>
          <w:p w14:paraId="1C263B00">
            <w:pPr>
              <w:pStyle w:val="714"/>
              <w:widowControl w:val="0"/>
              <w:rPr>
                <w:color w:val="auto"/>
              </w:rPr>
            </w:pPr>
            <w:r>
              <w:rPr>
                <w:color w:val="auto"/>
              </w:rPr>
              <w:t>温度</w:t>
            </w:r>
          </w:p>
        </w:tc>
        <w:tc>
          <w:tcPr>
            <w:tcW w:w="1129" w:type="pct"/>
            <w:tcBorders>
              <w:tl2br w:val="nil"/>
              <w:tr2bl w:val="nil"/>
            </w:tcBorders>
            <w:tcMar>
              <w:left w:w="57" w:type="dxa"/>
              <w:right w:w="57" w:type="dxa"/>
            </w:tcMar>
            <w:vAlign w:val="center"/>
          </w:tcPr>
          <w:p w14:paraId="01B238BC">
            <w:pPr>
              <w:pStyle w:val="714"/>
              <w:widowControl w:val="0"/>
              <w:rPr>
                <w:color w:val="auto"/>
              </w:rPr>
            </w:pPr>
            <w:r>
              <w:rPr>
                <w:color w:val="auto"/>
              </w:rPr>
              <w:t>℃</w:t>
            </w:r>
          </w:p>
        </w:tc>
        <w:tc>
          <w:tcPr>
            <w:tcW w:w="1483" w:type="pct"/>
            <w:tcBorders>
              <w:tl2br w:val="nil"/>
              <w:tr2bl w:val="nil"/>
            </w:tcBorders>
            <w:tcMar>
              <w:left w:w="57" w:type="dxa"/>
              <w:right w:w="57" w:type="dxa"/>
            </w:tcMar>
            <w:vAlign w:val="center"/>
          </w:tcPr>
          <w:p w14:paraId="2D372D95">
            <w:pPr>
              <w:pStyle w:val="714"/>
              <w:widowControl w:val="0"/>
              <w:rPr>
                <w:color w:val="auto"/>
              </w:rPr>
            </w:pPr>
            <w:r>
              <w:rPr>
                <w:color w:val="auto"/>
              </w:rPr>
              <w:t>10~30</w:t>
            </w:r>
          </w:p>
        </w:tc>
      </w:tr>
      <w:tr w14:paraId="5C4B78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tcBorders>
              <w:tl2br w:val="nil"/>
              <w:tr2bl w:val="nil"/>
            </w:tcBorders>
            <w:tcMar>
              <w:left w:w="57" w:type="dxa"/>
              <w:right w:w="57" w:type="dxa"/>
            </w:tcMar>
            <w:vAlign w:val="center"/>
          </w:tcPr>
          <w:p w14:paraId="669813AB">
            <w:pPr>
              <w:pStyle w:val="714"/>
              <w:widowControl w:val="0"/>
              <w:rPr>
                <w:color w:val="auto"/>
              </w:rPr>
            </w:pPr>
            <w:r>
              <w:rPr>
                <w:color w:val="auto"/>
              </w:rPr>
              <w:t>2</w:t>
            </w:r>
          </w:p>
        </w:tc>
        <w:tc>
          <w:tcPr>
            <w:tcW w:w="1910" w:type="pct"/>
            <w:tcBorders>
              <w:tl2br w:val="nil"/>
              <w:tr2bl w:val="nil"/>
            </w:tcBorders>
            <w:tcMar>
              <w:left w:w="57" w:type="dxa"/>
              <w:right w:w="57" w:type="dxa"/>
            </w:tcMar>
            <w:vAlign w:val="center"/>
          </w:tcPr>
          <w:p w14:paraId="73378227">
            <w:pPr>
              <w:pStyle w:val="714"/>
              <w:widowControl w:val="0"/>
              <w:rPr>
                <w:color w:val="auto"/>
              </w:rPr>
            </w:pPr>
            <w:r>
              <w:rPr>
                <w:color w:val="auto"/>
              </w:rPr>
              <w:t>pH值</w:t>
            </w:r>
          </w:p>
        </w:tc>
        <w:tc>
          <w:tcPr>
            <w:tcW w:w="1129" w:type="pct"/>
            <w:tcBorders>
              <w:tl2br w:val="nil"/>
              <w:tr2bl w:val="nil"/>
            </w:tcBorders>
            <w:tcMar>
              <w:left w:w="57" w:type="dxa"/>
              <w:right w:w="57" w:type="dxa"/>
            </w:tcMar>
            <w:vAlign w:val="center"/>
          </w:tcPr>
          <w:p w14:paraId="3388F5C0">
            <w:pPr>
              <w:pStyle w:val="714"/>
              <w:widowControl w:val="0"/>
              <w:rPr>
                <w:color w:val="auto"/>
              </w:rPr>
            </w:pPr>
            <w:r>
              <w:rPr>
                <w:color w:val="auto"/>
              </w:rPr>
              <w:t>—</w:t>
            </w:r>
          </w:p>
        </w:tc>
        <w:tc>
          <w:tcPr>
            <w:tcW w:w="1483" w:type="pct"/>
            <w:tcBorders>
              <w:tl2br w:val="nil"/>
              <w:tr2bl w:val="nil"/>
            </w:tcBorders>
            <w:tcMar>
              <w:left w:w="57" w:type="dxa"/>
              <w:right w:w="57" w:type="dxa"/>
            </w:tcMar>
            <w:vAlign w:val="center"/>
          </w:tcPr>
          <w:p w14:paraId="284889AA">
            <w:pPr>
              <w:pStyle w:val="714"/>
              <w:widowControl w:val="0"/>
              <w:rPr>
                <w:color w:val="auto"/>
              </w:rPr>
            </w:pPr>
            <w:r>
              <w:rPr>
                <w:color w:val="auto"/>
              </w:rPr>
              <w:t>6.0~9.0</w:t>
            </w:r>
          </w:p>
        </w:tc>
      </w:tr>
      <w:tr w14:paraId="065CA2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tcBorders>
              <w:tl2br w:val="nil"/>
              <w:tr2bl w:val="nil"/>
            </w:tcBorders>
            <w:tcMar>
              <w:left w:w="57" w:type="dxa"/>
              <w:right w:w="57" w:type="dxa"/>
            </w:tcMar>
            <w:vAlign w:val="center"/>
          </w:tcPr>
          <w:p w14:paraId="565AD30E">
            <w:pPr>
              <w:pStyle w:val="714"/>
              <w:widowControl w:val="0"/>
              <w:rPr>
                <w:color w:val="auto"/>
              </w:rPr>
            </w:pPr>
            <w:r>
              <w:rPr>
                <w:color w:val="auto"/>
              </w:rPr>
              <w:t>3</w:t>
            </w:r>
          </w:p>
        </w:tc>
        <w:tc>
          <w:tcPr>
            <w:tcW w:w="1910" w:type="pct"/>
            <w:tcBorders>
              <w:tl2br w:val="nil"/>
              <w:tr2bl w:val="nil"/>
            </w:tcBorders>
            <w:tcMar>
              <w:left w:w="57" w:type="dxa"/>
              <w:right w:w="57" w:type="dxa"/>
            </w:tcMar>
            <w:vAlign w:val="center"/>
          </w:tcPr>
          <w:p w14:paraId="755FA7B5">
            <w:pPr>
              <w:pStyle w:val="714"/>
              <w:widowControl w:val="0"/>
              <w:rPr>
                <w:color w:val="auto"/>
              </w:rPr>
            </w:pPr>
            <w:r>
              <w:rPr>
                <w:color w:val="auto"/>
              </w:rPr>
              <w:t>溶解性总固体（TDS）</w:t>
            </w:r>
          </w:p>
        </w:tc>
        <w:tc>
          <w:tcPr>
            <w:tcW w:w="1129" w:type="pct"/>
            <w:tcBorders>
              <w:tl2br w:val="nil"/>
              <w:tr2bl w:val="nil"/>
            </w:tcBorders>
            <w:tcMar>
              <w:left w:w="57" w:type="dxa"/>
              <w:right w:w="57" w:type="dxa"/>
            </w:tcMar>
            <w:vAlign w:val="center"/>
          </w:tcPr>
          <w:p w14:paraId="71B1D2F9">
            <w:pPr>
              <w:pStyle w:val="714"/>
              <w:widowControl w:val="0"/>
              <w:rPr>
                <w:color w:val="auto"/>
              </w:rPr>
            </w:pPr>
            <w:r>
              <w:rPr>
                <w:color w:val="auto"/>
              </w:rPr>
              <w:t>mg/L</w:t>
            </w:r>
          </w:p>
        </w:tc>
        <w:tc>
          <w:tcPr>
            <w:tcW w:w="1483" w:type="pct"/>
            <w:tcBorders>
              <w:tl2br w:val="nil"/>
              <w:tr2bl w:val="nil"/>
            </w:tcBorders>
            <w:tcMar>
              <w:left w:w="57" w:type="dxa"/>
              <w:right w:w="57" w:type="dxa"/>
            </w:tcMar>
            <w:vAlign w:val="center"/>
          </w:tcPr>
          <w:p w14:paraId="4DF77CFD">
            <w:pPr>
              <w:pStyle w:val="714"/>
              <w:widowControl w:val="0"/>
              <w:rPr>
                <w:color w:val="auto"/>
              </w:rPr>
            </w:pPr>
            <w:r>
              <w:rPr>
                <w:color w:val="auto"/>
              </w:rPr>
              <w:t>2000</w:t>
            </w:r>
          </w:p>
        </w:tc>
      </w:tr>
      <w:tr w14:paraId="012D13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tcBorders>
              <w:tl2br w:val="nil"/>
              <w:tr2bl w:val="nil"/>
            </w:tcBorders>
            <w:tcMar>
              <w:left w:w="57" w:type="dxa"/>
              <w:right w:w="57" w:type="dxa"/>
            </w:tcMar>
            <w:vAlign w:val="center"/>
          </w:tcPr>
          <w:p w14:paraId="2AD2BBD4">
            <w:pPr>
              <w:pStyle w:val="714"/>
              <w:widowControl w:val="0"/>
              <w:rPr>
                <w:color w:val="auto"/>
              </w:rPr>
            </w:pPr>
            <w:r>
              <w:rPr>
                <w:color w:val="auto"/>
              </w:rPr>
              <w:t>4</w:t>
            </w:r>
          </w:p>
        </w:tc>
        <w:tc>
          <w:tcPr>
            <w:tcW w:w="1910" w:type="pct"/>
            <w:tcBorders>
              <w:tl2br w:val="nil"/>
              <w:tr2bl w:val="nil"/>
            </w:tcBorders>
            <w:tcMar>
              <w:left w:w="57" w:type="dxa"/>
              <w:right w:w="57" w:type="dxa"/>
            </w:tcMar>
            <w:vAlign w:val="center"/>
          </w:tcPr>
          <w:p w14:paraId="717C77C0">
            <w:pPr>
              <w:pStyle w:val="714"/>
              <w:widowControl w:val="0"/>
              <w:rPr>
                <w:color w:val="auto"/>
              </w:rPr>
            </w:pPr>
            <w:r>
              <w:rPr>
                <w:color w:val="auto"/>
              </w:rPr>
              <w:t>COD</w:t>
            </w:r>
            <w:r>
              <w:rPr>
                <w:rFonts w:hint="eastAsia"/>
                <w:color w:val="auto"/>
                <w:vertAlign w:val="subscript"/>
              </w:rPr>
              <w:t>C</w:t>
            </w:r>
            <w:r>
              <w:rPr>
                <w:color w:val="auto"/>
                <w:vertAlign w:val="subscript"/>
              </w:rPr>
              <w:t>r</w:t>
            </w:r>
          </w:p>
        </w:tc>
        <w:tc>
          <w:tcPr>
            <w:tcW w:w="1129" w:type="pct"/>
            <w:tcBorders>
              <w:tl2br w:val="nil"/>
              <w:tr2bl w:val="nil"/>
            </w:tcBorders>
            <w:tcMar>
              <w:left w:w="57" w:type="dxa"/>
              <w:right w:w="57" w:type="dxa"/>
            </w:tcMar>
            <w:vAlign w:val="center"/>
          </w:tcPr>
          <w:p w14:paraId="4F0AE262">
            <w:pPr>
              <w:pStyle w:val="714"/>
              <w:widowControl w:val="0"/>
              <w:rPr>
                <w:color w:val="auto"/>
              </w:rPr>
            </w:pPr>
            <w:r>
              <w:rPr>
                <w:color w:val="auto"/>
              </w:rPr>
              <w:t>mg/L</w:t>
            </w:r>
          </w:p>
        </w:tc>
        <w:tc>
          <w:tcPr>
            <w:tcW w:w="1483" w:type="pct"/>
            <w:tcBorders>
              <w:tl2br w:val="nil"/>
              <w:tr2bl w:val="nil"/>
            </w:tcBorders>
            <w:tcMar>
              <w:left w:w="57" w:type="dxa"/>
              <w:right w:w="57" w:type="dxa"/>
            </w:tcMar>
            <w:vAlign w:val="center"/>
          </w:tcPr>
          <w:p w14:paraId="6F9B9726">
            <w:pPr>
              <w:pStyle w:val="714"/>
              <w:widowControl w:val="0"/>
              <w:rPr>
                <w:color w:val="auto"/>
              </w:rPr>
            </w:pPr>
            <w:r>
              <w:rPr>
                <w:color w:val="auto"/>
              </w:rPr>
              <w:t>350</w:t>
            </w:r>
          </w:p>
        </w:tc>
      </w:tr>
      <w:tr w14:paraId="3BAB15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tcBorders>
              <w:tl2br w:val="nil"/>
              <w:tr2bl w:val="nil"/>
            </w:tcBorders>
            <w:tcMar>
              <w:left w:w="57" w:type="dxa"/>
              <w:right w:w="57" w:type="dxa"/>
            </w:tcMar>
            <w:vAlign w:val="center"/>
          </w:tcPr>
          <w:p w14:paraId="394A1038">
            <w:pPr>
              <w:pStyle w:val="714"/>
              <w:widowControl w:val="0"/>
              <w:rPr>
                <w:color w:val="auto"/>
              </w:rPr>
            </w:pPr>
            <w:r>
              <w:rPr>
                <w:color w:val="auto"/>
              </w:rPr>
              <w:t>5</w:t>
            </w:r>
          </w:p>
        </w:tc>
        <w:tc>
          <w:tcPr>
            <w:tcW w:w="1910" w:type="pct"/>
            <w:tcBorders>
              <w:tl2br w:val="nil"/>
              <w:tr2bl w:val="nil"/>
            </w:tcBorders>
            <w:tcMar>
              <w:left w:w="57" w:type="dxa"/>
              <w:right w:w="57" w:type="dxa"/>
            </w:tcMar>
            <w:vAlign w:val="center"/>
          </w:tcPr>
          <w:p w14:paraId="695D045E">
            <w:pPr>
              <w:pStyle w:val="714"/>
              <w:widowControl w:val="0"/>
              <w:rPr>
                <w:color w:val="auto"/>
              </w:rPr>
            </w:pPr>
            <w:r>
              <w:rPr>
                <w:color w:val="auto"/>
              </w:rPr>
              <w:t>BOD</w:t>
            </w:r>
            <w:r>
              <w:rPr>
                <w:color w:val="auto"/>
                <w:vertAlign w:val="subscript"/>
              </w:rPr>
              <w:t>5</w:t>
            </w:r>
          </w:p>
        </w:tc>
        <w:tc>
          <w:tcPr>
            <w:tcW w:w="1129" w:type="pct"/>
            <w:tcBorders>
              <w:tl2br w:val="nil"/>
              <w:tr2bl w:val="nil"/>
            </w:tcBorders>
            <w:tcMar>
              <w:left w:w="57" w:type="dxa"/>
              <w:right w:w="57" w:type="dxa"/>
            </w:tcMar>
            <w:vAlign w:val="center"/>
          </w:tcPr>
          <w:p w14:paraId="307D6F27">
            <w:pPr>
              <w:pStyle w:val="714"/>
              <w:widowControl w:val="0"/>
              <w:rPr>
                <w:color w:val="auto"/>
              </w:rPr>
            </w:pPr>
            <w:r>
              <w:rPr>
                <w:color w:val="auto"/>
              </w:rPr>
              <w:t>mg/L</w:t>
            </w:r>
          </w:p>
        </w:tc>
        <w:tc>
          <w:tcPr>
            <w:tcW w:w="1483" w:type="pct"/>
            <w:tcBorders>
              <w:tl2br w:val="nil"/>
              <w:tr2bl w:val="nil"/>
            </w:tcBorders>
            <w:tcMar>
              <w:left w:w="57" w:type="dxa"/>
              <w:right w:w="57" w:type="dxa"/>
            </w:tcMar>
            <w:vAlign w:val="center"/>
          </w:tcPr>
          <w:p w14:paraId="571DFF50">
            <w:pPr>
              <w:pStyle w:val="714"/>
              <w:widowControl w:val="0"/>
              <w:rPr>
                <w:color w:val="auto"/>
              </w:rPr>
            </w:pPr>
            <w:r>
              <w:rPr>
                <w:color w:val="auto"/>
              </w:rPr>
              <w:t>150</w:t>
            </w:r>
          </w:p>
        </w:tc>
      </w:tr>
      <w:tr w14:paraId="5DF222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tcBorders>
              <w:tl2br w:val="nil"/>
              <w:tr2bl w:val="nil"/>
            </w:tcBorders>
            <w:tcMar>
              <w:left w:w="57" w:type="dxa"/>
              <w:right w:w="57" w:type="dxa"/>
            </w:tcMar>
            <w:vAlign w:val="center"/>
          </w:tcPr>
          <w:p w14:paraId="2D5A434A">
            <w:pPr>
              <w:pStyle w:val="714"/>
              <w:widowControl w:val="0"/>
              <w:rPr>
                <w:color w:val="auto"/>
              </w:rPr>
            </w:pPr>
            <w:r>
              <w:rPr>
                <w:color w:val="auto"/>
              </w:rPr>
              <w:t>6</w:t>
            </w:r>
          </w:p>
        </w:tc>
        <w:tc>
          <w:tcPr>
            <w:tcW w:w="1910" w:type="pct"/>
            <w:tcBorders>
              <w:tl2br w:val="nil"/>
              <w:tr2bl w:val="nil"/>
            </w:tcBorders>
            <w:tcMar>
              <w:left w:w="57" w:type="dxa"/>
              <w:right w:w="57" w:type="dxa"/>
            </w:tcMar>
            <w:vAlign w:val="center"/>
          </w:tcPr>
          <w:p w14:paraId="7AD432F7">
            <w:pPr>
              <w:pStyle w:val="714"/>
              <w:widowControl w:val="0"/>
              <w:rPr>
                <w:color w:val="auto"/>
              </w:rPr>
            </w:pPr>
            <w:r>
              <w:rPr>
                <w:color w:val="auto"/>
              </w:rPr>
              <w:t>SS</w:t>
            </w:r>
          </w:p>
        </w:tc>
        <w:tc>
          <w:tcPr>
            <w:tcW w:w="1129" w:type="pct"/>
            <w:tcBorders>
              <w:tl2br w:val="nil"/>
              <w:tr2bl w:val="nil"/>
            </w:tcBorders>
            <w:tcMar>
              <w:left w:w="57" w:type="dxa"/>
              <w:right w:w="57" w:type="dxa"/>
            </w:tcMar>
            <w:vAlign w:val="center"/>
          </w:tcPr>
          <w:p w14:paraId="39B419B4">
            <w:pPr>
              <w:pStyle w:val="714"/>
              <w:widowControl w:val="0"/>
              <w:rPr>
                <w:color w:val="auto"/>
              </w:rPr>
            </w:pPr>
            <w:r>
              <w:rPr>
                <w:color w:val="auto"/>
              </w:rPr>
              <w:t>mg/L</w:t>
            </w:r>
          </w:p>
        </w:tc>
        <w:tc>
          <w:tcPr>
            <w:tcW w:w="1483" w:type="pct"/>
            <w:tcBorders>
              <w:tl2br w:val="nil"/>
              <w:tr2bl w:val="nil"/>
            </w:tcBorders>
            <w:tcMar>
              <w:left w:w="57" w:type="dxa"/>
              <w:right w:w="57" w:type="dxa"/>
            </w:tcMar>
            <w:vAlign w:val="center"/>
          </w:tcPr>
          <w:p w14:paraId="4D4ADE7D">
            <w:pPr>
              <w:pStyle w:val="714"/>
              <w:widowControl w:val="0"/>
              <w:rPr>
                <w:color w:val="auto"/>
              </w:rPr>
            </w:pPr>
            <w:r>
              <w:rPr>
                <w:color w:val="auto"/>
              </w:rPr>
              <w:t>400</w:t>
            </w:r>
          </w:p>
        </w:tc>
      </w:tr>
      <w:tr w14:paraId="560DA9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tcBorders>
              <w:tl2br w:val="nil"/>
              <w:tr2bl w:val="nil"/>
            </w:tcBorders>
            <w:tcMar>
              <w:left w:w="57" w:type="dxa"/>
              <w:right w:w="57" w:type="dxa"/>
            </w:tcMar>
            <w:vAlign w:val="center"/>
          </w:tcPr>
          <w:p w14:paraId="2D1E45E6">
            <w:pPr>
              <w:pStyle w:val="714"/>
              <w:widowControl w:val="0"/>
              <w:rPr>
                <w:color w:val="auto"/>
              </w:rPr>
            </w:pPr>
            <w:r>
              <w:rPr>
                <w:color w:val="auto"/>
              </w:rPr>
              <w:t>7</w:t>
            </w:r>
          </w:p>
        </w:tc>
        <w:tc>
          <w:tcPr>
            <w:tcW w:w="1910" w:type="pct"/>
            <w:tcBorders>
              <w:tl2br w:val="nil"/>
              <w:tr2bl w:val="nil"/>
            </w:tcBorders>
            <w:tcMar>
              <w:left w:w="57" w:type="dxa"/>
              <w:right w:w="57" w:type="dxa"/>
            </w:tcMar>
            <w:vAlign w:val="center"/>
          </w:tcPr>
          <w:p w14:paraId="7D6C4DC9">
            <w:pPr>
              <w:pStyle w:val="714"/>
              <w:widowControl w:val="0"/>
              <w:rPr>
                <w:color w:val="auto"/>
              </w:rPr>
            </w:pPr>
            <w:r>
              <w:rPr>
                <w:color w:val="auto"/>
              </w:rPr>
              <w:t>氨氮</w:t>
            </w:r>
          </w:p>
        </w:tc>
        <w:tc>
          <w:tcPr>
            <w:tcW w:w="1129" w:type="pct"/>
            <w:tcBorders>
              <w:tl2br w:val="nil"/>
              <w:tr2bl w:val="nil"/>
            </w:tcBorders>
            <w:tcMar>
              <w:left w:w="57" w:type="dxa"/>
              <w:right w:w="57" w:type="dxa"/>
            </w:tcMar>
            <w:vAlign w:val="center"/>
          </w:tcPr>
          <w:p w14:paraId="3EF111EE">
            <w:pPr>
              <w:pStyle w:val="714"/>
              <w:widowControl w:val="0"/>
              <w:rPr>
                <w:color w:val="auto"/>
              </w:rPr>
            </w:pPr>
            <w:r>
              <w:rPr>
                <w:color w:val="auto"/>
              </w:rPr>
              <w:t>mg/L</w:t>
            </w:r>
          </w:p>
        </w:tc>
        <w:tc>
          <w:tcPr>
            <w:tcW w:w="1483" w:type="pct"/>
            <w:tcBorders>
              <w:tl2br w:val="nil"/>
              <w:tr2bl w:val="nil"/>
            </w:tcBorders>
            <w:tcMar>
              <w:left w:w="57" w:type="dxa"/>
              <w:right w:w="57" w:type="dxa"/>
            </w:tcMar>
            <w:vAlign w:val="center"/>
          </w:tcPr>
          <w:p w14:paraId="41499F51">
            <w:pPr>
              <w:pStyle w:val="714"/>
              <w:widowControl w:val="0"/>
              <w:rPr>
                <w:color w:val="auto"/>
              </w:rPr>
            </w:pPr>
            <w:r>
              <w:rPr>
                <w:color w:val="auto"/>
              </w:rPr>
              <w:t>50</w:t>
            </w:r>
          </w:p>
        </w:tc>
      </w:tr>
      <w:tr w14:paraId="2976E5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tcBorders>
              <w:tl2br w:val="nil"/>
              <w:tr2bl w:val="nil"/>
            </w:tcBorders>
            <w:tcMar>
              <w:left w:w="57" w:type="dxa"/>
              <w:right w:w="57" w:type="dxa"/>
            </w:tcMar>
            <w:vAlign w:val="center"/>
          </w:tcPr>
          <w:p w14:paraId="652A2100">
            <w:pPr>
              <w:pStyle w:val="714"/>
              <w:widowControl w:val="0"/>
              <w:rPr>
                <w:color w:val="auto"/>
              </w:rPr>
            </w:pPr>
            <w:r>
              <w:rPr>
                <w:color w:val="auto"/>
              </w:rPr>
              <w:t>8</w:t>
            </w:r>
          </w:p>
        </w:tc>
        <w:tc>
          <w:tcPr>
            <w:tcW w:w="1910" w:type="pct"/>
            <w:tcBorders>
              <w:tl2br w:val="nil"/>
              <w:tr2bl w:val="nil"/>
            </w:tcBorders>
            <w:tcMar>
              <w:left w:w="57" w:type="dxa"/>
              <w:right w:w="57" w:type="dxa"/>
            </w:tcMar>
            <w:vAlign w:val="center"/>
          </w:tcPr>
          <w:p w14:paraId="1C40EBBF">
            <w:pPr>
              <w:pStyle w:val="714"/>
              <w:widowControl w:val="0"/>
              <w:rPr>
                <w:color w:val="auto"/>
              </w:rPr>
            </w:pPr>
            <w:r>
              <w:rPr>
                <w:color w:val="auto"/>
              </w:rPr>
              <w:t>总氮</w:t>
            </w:r>
          </w:p>
        </w:tc>
        <w:tc>
          <w:tcPr>
            <w:tcW w:w="1129" w:type="pct"/>
            <w:tcBorders>
              <w:tl2br w:val="nil"/>
              <w:tr2bl w:val="nil"/>
            </w:tcBorders>
            <w:tcMar>
              <w:left w:w="57" w:type="dxa"/>
              <w:right w:w="57" w:type="dxa"/>
            </w:tcMar>
            <w:vAlign w:val="center"/>
          </w:tcPr>
          <w:p w14:paraId="01A0C3B3">
            <w:pPr>
              <w:pStyle w:val="714"/>
              <w:widowControl w:val="0"/>
              <w:rPr>
                <w:color w:val="auto"/>
              </w:rPr>
            </w:pPr>
            <w:r>
              <w:rPr>
                <w:color w:val="auto"/>
              </w:rPr>
              <w:t>mg/L</w:t>
            </w:r>
          </w:p>
        </w:tc>
        <w:tc>
          <w:tcPr>
            <w:tcW w:w="1483" w:type="pct"/>
            <w:tcBorders>
              <w:tl2br w:val="nil"/>
              <w:tr2bl w:val="nil"/>
            </w:tcBorders>
            <w:tcMar>
              <w:left w:w="57" w:type="dxa"/>
              <w:right w:w="57" w:type="dxa"/>
            </w:tcMar>
            <w:vAlign w:val="center"/>
          </w:tcPr>
          <w:p w14:paraId="0F805E2E">
            <w:pPr>
              <w:pStyle w:val="714"/>
              <w:widowControl w:val="0"/>
              <w:rPr>
                <w:color w:val="auto"/>
              </w:rPr>
            </w:pPr>
            <w:r>
              <w:rPr>
                <w:color w:val="auto"/>
              </w:rPr>
              <w:t>80</w:t>
            </w:r>
          </w:p>
        </w:tc>
      </w:tr>
      <w:tr w14:paraId="639D2C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tcBorders>
              <w:tl2br w:val="nil"/>
              <w:tr2bl w:val="nil"/>
            </w:tcBorders>
            <w:tcMar>
              <w:left w:w="57" w:type="dxa"/>
              <w:right w:w="57" w:type="dxa"/>
            </w:tcMar>
            <w:vAlign w:val="center"/>
          </w:tcPr>
          <w:p w14:paraId="513E2C9E">
            <w:pPr>
              <w:pStyle w:val="714"/>
              <w:widowControl w:val="0"/>
              <w:rPr>
                <w:color w:val="auto"/>
              </w:rPr>
            </w:pPr>
            <w:r>
              <w:rPr>
                <w:color w:val="auto"/>
              </w:rPr>
              <w:t>9</w:t>
            </w:r>
          </w:p>
        </w:tc>
        <w:tc>
          <w:tcPr>
            <w:tcW w:w="1910" w:type="pct"/>
            <w:tcBorders>
              <w:tl2br w:val="nil"/>
              <w:tr2bl w:val="nil"/>
            </w:tcBorders>
            <w:tcMar>
              <w:left w:w="57" w:type="dxa"/>
              <w:right w:w="57" w:type="dxa"/>
            </w:tcMar>
            <w:vAlign w:val="center"/>
          </w:tcPr>
          <w:p w14:paraId="59427DC4">
            <w:pPr>
              <w:pStyle w:val="714"/>
              <w:widowControl w:val="0"/>
              <w:rPr>
                <w:color w:val="auto"/>
              </w:rPr>
            </w:pPr>
            <w:r>
              <w:rPr>
                <w:color w:val="auto"/>
              </w:rPr>
              <w:t>总磷</w:t>
            </w:r>
          </w:p>
        </w:tc>
        <w:tc>
          <w:tcPr>
            <w:tcW w:w="1129" w:type="pct"/>
            <w:tcBorders>
              <w:tl2br w:val="nil"/>
              <w:tr2bl w:val="nil"/>
            </w:tcBorders>
            <w:tcMar>
              <w:left w:w="57" w:type="dxa"/>
              <w:right w:w="57" w:type="dxa"/>
            </w:tcMar>
            <w:vAlign w:val="center"/>
          </w:tcPr>
          <w:p w14:paraId="66DFB645">
            <w:pPr>
              <w:pStyle w:val="714"/>
              <w:widowControl w:val="0"/>
              <w:rPr>
                <w:color w:val="auto"/>
              </w:rPr>
            </w:pPr>
            <w:r>
              <w:rPr>
                <w:color w:val="auto"/>
              </w:rPr>
              <w:t>mg/L</w:t>
            </w:r>
          </w:p>
        </w:tc>
        <w:tc>
          <w:tcPr>
            <w:tcW w:w="1483" w:type="pct"/>
            <w:tcBorders>
              <w:tl2br w:val="nil"/>
              <w:tr2bl w:val="nil"/>
            </w:tcBorders>
            <w:tcMar>
              <w:left w:w="57" w:type="dxa"/>
              <w:right w:w="57" w:type="dxa"/>
            </w:tcMar>
            <w:vAlign w:val="center"/>
          </w:tcPr>
          <w:p w14:paraId="2F606EC0">
            <w:pPr>
              <w:pStyle w:val="714"/>
              <w:widowControl w:val="0"/>
              <w:rPr>
                <w:color w:val="auto"/>
              </w:rPr>
            </w:pPr>
            <w:r>
              <w:rPr>
                <w:color w:val="auto"/>
              </w:rPr>
              <w:t>4</w:t>
            </w:r>
          </w:p>
        </w:tc>
      </w:tr>
      <w:tr w14:paraId="7C08A3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tcBorders>
              <w:tl2br w:val="nil"/>
              <w:tr2bl w:val="nil"/>
            </w:tcBorders>
            <w:tcMar>
              <w:left w:w="57" w:type="dxa"/>
              <w:right w:w="57" w:type="dxa"/>
            </w:tcMar>
            <w:vAlign w:val="center"/>
          </w:tcPr>
          <w:p w14:paraId="1FB99DEE">
            <w:pPr>
              <w:pStyle w:val="714"/>
              <w:widowControl w:val="0"/>
              <w:rPr>
                <w:color w:val="auto"/>
              </w:rPr>
            </w:pPr>
            <w:r>
              <w:rPr>
                <w:color w:val="auto"/>
              </w:rPr>
              <w:t>10</w:t>
            </w:r>
          </w:p>
        </w:tc>
        <w:tc>
          <w:tcPr>
            <w:tcW w:w="1910" w:type="pct"/>
            <w:tcBorders>
              <w:tl2br w:val="nil"/>
              <w:tr2bl w:val="nil"/>
            </w:tcBorders>
            <w:tcMar>
              <w:left w:w="57" w:type="dxa"/>
              <w:right w:w="57" w:type="dxa"/>
            </w:tcMar>
            <w:vAlign w:val="center"/>
          </w:tcPr>
          <w:p w14:paraId="2EEC7506">
            <w:pPr>
              <w:pStyle w:val="714"/>
              <w:widowControl w:val="0"/>
              <w:rPr>
                <w:color w:val="auto"/>
              </w:rPr>
            </w:pPr>
            <w:r>
              <w:rPr>
                <w:color w:val="auto"/>
              </w:rPr>
              <w:t>氯化物</w:t>
            </w:r>
          </w:p>
        </w:tc>
        <w:tc>
          <w:tcPr>
            <w:tcW w:w="1129" w:type="pct"/>
            <w:tcBorders>
              <w:tl2br w:val="nil"/>
              <w:tr2bl w:val="nil"/>
            </w:tcBorders>
            <w:tcMar>
              <w:left w:w="57" w:type="dxa"/>
              <w:right w:w="57" w:type="dxa"/>
            </w:tcMar>
            <w:vAlign w:val="center"/>
          </w:tcPr>
          <w:p w14:paraId="40523E8C">
            <w:pPr>
              <w:pStyle w:val="714"/>
              <w:widowControl w:val="0"/>
              <w:rPr>
                <w:color w:val="auto"/>
              </w:rPr>
            </w:pPr>
            <w:r>
              <w:rPr>
                <w:color w:val="auto"/>
              </w:rPr>
              <w:t>mg/L</w:t>
            </w:r>
          </w:p>
        </w:tc>
        <w:tc>
          <w:tcPr>
            <w:tcW w:w="1483" w:type="pct"/>
            <w:tcBorders>
              <w:tl2br w:val="nil"/>
              <w:tr2bl w:val="nil"/>
            </w:tcBorders>
            <w:tcMar>
              <w:left w:w="57" w:type="dxa"/>
              <w:right w:w="57" w:type="dxa"/>
            </w:tcMar>
            <w:vAlign w:val="center"/>
          </w:tcPr>
          <w:p w14:paraId="2E3652C2">
            <w:pPr>
              <w:pStyle w:val="714"/>
              <w:widowControl w:val="0"/>
              <w:rPr>
                <w:color w:val="auto"/>
              </w:rPr>
            </w:pPr>
            <w:r>
              <w:rPr>
                <w:color w:val="auto"/>
              </w:rPr>
              <w:t>500</w:t>
            </w:r>
          </w:p>
        </w:tc>
      </w:tr>
      <w:tr w14:paraId="5F8896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tcBorders>
              <w:tl2br w:val="nil"/>
              <w:tr2bl w:val="nil"/>
            </w:tcBorders>
            <w:tcMar>
              <w:left w:w="57" w:type="dxa"/>
              <w:right w:w="57" w:type="dxa"/>
            </w:tcMar>
            <w:vAlign w:val="center"/>
          </w:tcPr>
          <w:p w14:paraId="727C1297">
            <w:pPr>
              <w:pStyle w:val="714"/>
              <w:widowControl w:val="0"/>
              <w:rPr>
                <w:color w:val="auto"/>
              </w:rPr>
            </w:pPr>
            <w:r>
              <w:rPr>
                <w:color w:val="auto"/>
              </w:rPr>
              <w:t>11</w:t>
            </w:r>
          </w:p>
        </w:tc>
        <w:tc>
          <w:tcPr>
            <w:tcW w:w="1910" w:type="pct"/>
            <w:tcBorders>
              <w:tl2br w:val="nil"/>
              <w:tr2bl w:val="nil"/>
            </w:tcBorders>
            <w:tcMar>
              <w:left w:w="57" w:type="dxa"/>
              <w:right w:w="57" w:type="dxa"/>
            </w:tcMar>
            <w:vAlign w:val="center"/>
          </w:tcPr>
          <w:p w14:paraId="1CE216AE">
            <w:pPr>
              <w:pStyle w:val="714"/>
              <w:widowControl w:val="0"/>
              <w:rPr>
                <w:color w:val="auto"/>
              </w:rPr>
            </w:pPr>
            <w:r>
              <w:rPr>
                <w:color w:val="auto"/>
              </w:rPr>
              <w:t>硫酸盐</w:t>
            </w:r>
          </w:p>
        </w:tc>
        <w:tc>
          <w:tcPr>
            <w:tcW w:w="1129" w:type="pct"/>
            <w:tcBorders>
              <w:tl2br w:val="nil"/>
              <w:tr2bl w:val="nil"/>
            </w:tcBorders>
            <w:tcMar>
              <w:left w:w="57" w:type="dxa"/>
              <w:right w:w="57" w:type="dxa"/>
            </w:tcMar>
            <w:vAlign w:val="center"/>
          </w:tcPr>
          <w:p w14:paraId="288CD360">
            <w:pPr>
              <w:pStyle w:val="714"/>
              <w:widowControl w:val="0"/>
              <w:rPr>
                <w:color w:val="auto"/>
              </w:rPr>
            </w:pPr>
            <w:r>
              <w:rPr>
                <w:color w:val="auto"/>
              </w:rPr>
              <w:t>mg/L</w:t>
            </w:r>
          </w:p>
        </w:tc>
        <w:tc>
          <w:tcPr>
            <w:tcW w:w="1483" w:type="pct"/>
            <w:tcBorders>
              <w:tl2br w:val="nil"/>
              <w:tr2bl w:val="nil"/>
            </w:tcBorders>
            <w:tcMar>
              <w:left w:w="57" w:type="dxa"/>
              <w:right w:w="57" w:type="dxa"/>
            </w:tcMar>
            <w:vAlign w:val="center"/>
          </w:tcPr>
          <w:p w14:paraId="3D95CC43">
            <w:pPr>
              <w:pStyle w:val="714"/>
              <w:widowControl w:val="0"/>
              <w:rPr>
                <w:color w:val="auto"/>
              </w:rPr>
            </w:pPr>
            <w:r>
              <w:rPr>
                <w:color w:val="auto"/>
              </w:rPr>
              <w:t>400</w:t>
            </w:r>
          </w:p>
        </w:tc>
      </w:tr>
      <w:tr w14:paraId="793953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tcBorders>
              <w:tl2br w:val="nil"/>
              <w:tr2bl w:val="nil"/>
            </w:tcBorders>
            <w:tcMar>
              <w:left w:w="57" w:type="dxa"/>
              <w:right w:w="57" w:type="dxa"/>
            </w:tcMar>
            <w:vAlign w:val="center"/>
          </w:tcPr>
          <w:p w14:paraId="160A85AF">
            <w:pPr>
              <w:pStyle w:val="714"/>
              <w:widowControl w:val="0"/>
              <w:rPr>
                <w:color w:val="auto"/>
              </w:rPr>
            </w:pPr>
            <w:r>
              <w:rPr>
                <w:color w:val="auto"/>
              </w:rPr>
              <w:t>12</w:t>
            </w:r>
          </w:p>
        </w:tc>
        <w:tc>
          <w:tcPr>
            <w:tcW w:w="1910" w:type="pct"/>
            <w:tcBorders>
              <w:tl2br w:val="nil"/>
              <w:tr2bl w:val="nil"/>
            </w:tcBorders>
            <w:shd w:val="clear" w:color="auto" w:fill="auto"/>
            <w:tcMar>
              <w:left w:w="57" w:type="dxa"/>
              <w:right w:w="57" w:type="dxa"/>
            </w:tcMar>
            <w:vAlign w:val="center"/>
          </w:tcPr>
          <w:p w14:paraId="2CB73B94">
            <w:pPr>
              <w:pStyle w:val="714"/>
              <w:widowControl w:val="0"/>
              <w:rPr>
                <w:rFonts w:ascii="Times New Roman" w:hAnsi="Times New Roman" w:eastAsiaTheme="majorEastAsia" w:cstheme="minorBidi"/>
                <w:color w:val="auto"/>
                <w:kern w:val="2"/>
                <w:sz w:val="21"/>
                <w:szCs w:val="22"/>
                <w:lang w:val="en-US" w:eastAsia="zh-CN" w:bidi="ar-SA"/>
              </w:rPr>
            </w:pPr>
            <w:r>
              <w:rPr>
                <w:color w:val="auto"/>
              </w:rPr>
              <w:t>总硬度</w:t>
            </w:r>
          </w:p>
        </w:tc>
        <w:tc>
          <w:tcPr>
            <w:tcW w:w="1129" w:type="pct"/>
            <w:tcBorders>
              <w:tl2br w:val="nil"/>
              <w:tr2bl w:val="nil"/>
            </w:tcBorders>
            <w:shd w:val="clear" w:color="auto" w:fill="auto"/>
            <w:tcMar>
              <w:left w:w="57" w:type="dxa"/>
              <w:right w:w="57" w:type="dxa"/>
            </w:tcMar>
            <w:vAlign w:val="center"/>
          </w:tcPr>
          <w:p w14:paraId="0C756EAA">
            <w:pPr>
              <w:pStyle w:val="714"/>
              <w:widowControl w:val="0"/>
              <w:rPr>
                <w:rFonts w:ascii="Times New Roman" w:hAnsi="Times New Roman" w:eastAsiaTheme="majorEastAsia" w:cstheme="minorBidi"/>
                <w:color w:val="auto"/>
                <w:kern w:val="2"/>
                <w:sz w:val="21"/>
                <w:szCs w:val="22"/>
                <w:lang w:val="en-US" w:eastAsia="zh-CN" w:bidi="ar-SA"/>
              </w:rPr>
            </w:pPr>
            <w:r>
              <w:rPr>
                <w:color w:val="auto"/>
              </w:rPr>
              <w:t>mg/L</w:t>
            </w:r>
          </w:p>
        </w:tc>
        <w:tc>
          <w:tcPr>
            <w:tcW w:w="1483" w:type="pct"/>
            <w:tcBorders>
              <w:tl2br w:val="nil"/>
              <w:tr2bl w:val="nil"/>
            </w:tcBorders>
            <w:shd w:val="clear" w:color="auto" w:fill="auto"/>
            <w:tcMar>
              <w:left w:w="57" w:type="dxa"/>
              <w:right w:w="57" w:type="dxa"/>
            </w:tcMar>
            <w:vAlign w:val="center"/>
          </w:tcPr>
          <w:p w14:paraId="102337B1">
            <w:pPr>
              <w:pStyle w:val="714"/>
              <w:widowControl w:val="0"/>
              <w:rPr>
                <w:rFonts w:ascii="Times New Roman" w:hAnsi="Times New Roman" w:eastAsiaTheme="majorEastAsia" w:cstheme="minorBidi"/>
                <w:color w:val="auto"/>
                <w:kern w:val="2"/>
                <w:sz w:val="21"/>
                <w:szCs w:val="22"/>
                <w:lang w:val="en-US" w:eastAsia="zh-CN" w:bidi="ar-SA"/>
              </w:rPr>
            </w:pPr>
            <w:r>
              <w:rPr>
                <w:color w:val="auto"/>
              </w:rPr>
              <w:t>400</w:t>
            </w:r>
          </w:p>
        </w:tc>
      </w:tr>
      <w:tr w14:paraId="0064DC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tcBorders>
              <w:tl2br w:val="nil"/>
              <w:tr2bl w:val="nil"/>
            </w:tcBorders>
            <w:tcMar>
              <w:left w:w="57" w:type="dxa"/>
              <w:right w:w="57" w:type="dxa"/>
            </w:tcMar>
            <w:vAlign w:val="center"/>
          </w:tcPr>
          <w:p w14:paraId="2736E26C">
            <w:pPr>
              <w:pStyle w:val="714"/>
              <w:widowControl w:val="0"/>
              <w:rPr>
                <w:color w:val="auto"/>
              </w:rPr>
            </w:pPr>
            <w:r>
              <w:rPr>
                <w:color w:val="auto"/>
              </w:rPr>
              <w:t>13</w:t>
            </w:r>
          </w:p>
        </w:tc>
        <w:tc>
          <w:tcPr>
            <w:tcW w:w="1910" w:type="pct"/>
            <w:tcBorders>
              <w:tl2br w:val="nil"/>
              <w:tr2bl w:val="nil"/>
            </w:tcBorders>
            <w:shd w:val="clear" w:color="auto" w:fill="auto"/>
            <w:tcMar>
              <w:left w:w="57" w:type="dxa"/>
              <w:right w:w="57" w:type="dxa"/>
            </w:tcMar>
            <w:vAlign w:val="center"/>
          </w:tcPr>
          <w:p w14:paraId="7F99088C">
            <w:pPr>
              <w:pStyle w:val="714"/>
              <w:widowControl w:val="0"/>
              <w:rPr>
                <w:rFonts w:ascii="Times New Roman" w:hAnsi="Times New Roman" w:eastAsiaTheme="majorEastAsia" w:cstheme="minorBidi"/>
                <w:color w:val="auto"/>
                <w:kern w:val="2"/>
                <w:sz w:val="21"/>
                <w:szCs w:val="22"/>
                <w:lang w:val="en-US" w:eastAsia="zh-CN" w:bidi="ar-SA"/>
              </w:rPr>
            </w:pPr>
            <w:r>
              <w:rPr>
                <w:color w:val="auto"/>
              </w:rPr>
              <w:t>氟化物</w:t>
            </w:r>
          </w:p>
        </w:tc>
        <w:tc>
          <w:tcPr>
            <w:tcW w:w="1129" w:type="pct"/>
            <w:tcBorders>
              <w:tl2br w:val="nil"/>
              <w:tr2bl w:val="nil"/>
            </w:tcBorders>
            <w:shd w:val="clear" w:color="auto" w:fill="auto"/>
            <w:tcMar>
              <w:left w:w="57" w:type="dxa"/>
              <w:right w:w="57" w:type="dxa"/>
            </w:tcMar>
            <w:vAlign w:val="center"/>
          </w:tcPr>
          <w:p w14:paraId="2CE9CF5B">
            <w:pPr>
              <w:pStyle w:val="714"/>
              <w:widowControl w:val="0"/>
              <w:rPr>
                <w:rFonts w:ascii="Times New Roman" w:hAnsi="Times New Roman" w:eastAsiaTheme="majorEastAsia" w:cstheme="minorBidi"/>
                <w:color w:val="auto"/>
                <w:kern w:val="2"/>
                <w:sz w:val="21"/>
                <w:szCs w:val="22"/>
                <w:lang w:val="en-US" w:eastAsia="zh-CN" w:bidi="ar-SA"/>
              </w:rPr>
            </w:pPr>
            <w:r>
              <w:rPr>
                <w:color w:val="auto"/>
              </w:rPr>
              <w:t>mg/L</w:t>
            </w:r>
          </w:p>
        </w:tc>
        <w:tc>
          <w:tcPr>
            <w:tcW w:w="1483" w:type="pct"/>
            <w:tcBorders>
              <w:tl2br w:val="nil"/>
              <w:tr2bl w:val="nil"/>
            </w:tcBorders>
            <w:shd w:val="clear" w:color="auto" w:fill="auto"/>
            <w:tcMar>
              <w:left w:w="57" w:type="dxa"/>
              <w:right w:w="57" w:type="dxa"/>
            </w:tcMar>
            <w:vAlign w:val="center"/>
          </w:tcPr>
          <w:p w14:paraId="20C4B080">
            <w:pPr>
              <w:pStyle w:val="714"/>
              <w:widowControl w:val="0"/>
              <w:rPr>
                <w:rFonts w:ascii="Times New Roman" w:hAnsi="Times New Roman" w:eastAsiaTheme="majorEastAsia" w:cstheme="minorBidi"/>
                <w:color w:val="auto"/>
                <w:kern w:val="2"/>
                <w:sz w:val="21"/>
                <w:szCs w:val="22"/>
                <w:lang w:val="en-US" w:eastAsia="zh-CN" w:bidi="ar-SA"/>
              </w:rPr>
            </w:pPr>
            <w:r>
              <w:rPr>
                <w:color w:val="auto"/>
              </w:rPr>
              <w:t>20</w:t>
            </w:r>
          </w:p>
        </w:tc>
      </w:tr>
      <w:tr w14:paraId="0D1311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tcBorders>
              <w:tl2br w:val="nil"/>
              <w:tr2bl w:val="nil"/>
            </w:tcBorders>
            <w:tcMar>
              <w:left w:w="57" w:type="dxa"/>
              <w:right w:w="57" w:type="dxa"/>
            </w:tcMar>
            <w:vAlign w:val="center"/>
          </w:tcPr>
          <w:p w14:paraId="38742E6D">
            <w:pPr>
              <w:pStyle w:val="714"/>
              <w:widowControl w:val="0"/>
              <w:rPr>
                <w:color w:val="auto"/>
              </w:rPr>
            </w:pPr>
            <w:r>
              <w:rPr>
                <w:color w:val="auto"/>
              </w:rPr>
              <w:t>14</w:t>
            </w:r>
          </w:p>
        </w:tc>
        <w:tc>
          <w:tcPr>
            <w:tcW w:w="1910" w:type="pct"/>
            <w:tcBorders>
              <w:tl2br w:val="nil"/>
              <w:tr2bl w:val="nil"/>
            </w:tcBorders>
            <w:shd w:val="clear" w:color="auto" w:fill="auto"/>
            <w:tcMar>
              <w:left w:w="57" w:type="dxa"/>
              <w:right w:w="57" w:type="dxa"/>
            </w:tcMar>
            <w:vAlign w:val="center"/>
          </w:tcPr>
          <w:p w14:paraId="5C25CC30">
            <w:pPr>
              <w:pStyle w:val="714"/>
              <w:widowControl w:val="0"/>
              <w:rPr>
                <w:rFonts w:ascii="Times New Roman" w:hAnsi="Times New Roman" w:eastAsiaTheme="majorEastAsia" w:cstheme="minorBidi"/>
                <w:color w:val="auto"/>
                <w:kern w:val="2"/>
                <w:sz w:val="21"/>
                <w:szCs w:val="22"/>
                <w:lang w:val="en-US" w:eastAsia="zh-CN" w:bidi="ar-SA"/>
              </w:rPr>
            </w:pPr>
            <w:r>
              <w:rPr>
                <w:color w:val="auto"/>
              </w:rPr>
              <w:t>石油类</w:t>
            </w:r>
          </w:p>
        </w:tc>
        <w:tc>
          <w:tcPr>
            <w:tcW w:w="1129" w:type="pct"/>
            <w:tcBorders>
              <w:tl2br w:val="nil"/>
              <w:tr2bl w:val="nil"/>
            </w:tcBorders>
            <w:shd w:val="clear" w:color="auto" w:fill="auto"/>
            <w:tcMar>
              <w:left w:w="57" w:type="dxa"/>
              <w:right w:w="57" w:type="dxa"/>
            </w:tcMar>
            <w:vAlign w:val="center"/>
          </w:tcPr>
          <w:p w14:paraId="31172554">
            <w:pPr>
              <w:pStyle w:val="714"/>
              <w:widowControl w:val="0"/>
              <w:rPr>
                <w:rFonts w:ascii="Times New Roman" w:hAnsi="Times New Roman" w:eastAsiaTheme="majorEastAsia" w:cstheme="minorBidi"/>
                <w:color w:val="auto"/>
                <w:kern w:val="2"/>
                <w:sz w:val="21"/>
                <w:szCs w:val="22"/>
                <w:lang w:val="en-US" w:eastAsia="zh-CN" w:bidi="ar-SA"/>
              </w:rPr>
            </w:pPr>
            <w:r>
              <w:rPr>
                <w:color w:val="auto"/>
              </w:rPr>
              <w:t>mg/L</w:t>
            </w:r>
          </w:p>
        </w:tc>
        <w:tc>
          <w:tcPr>
            <w:tcW w:w="1483" w:type="pct"/>
            <w:tcBorders>
              <w:tl2br w:val="nil"/>
              <w:tr2bl w:val="nil"/>
            </w:tcBorders>
            <w:shd w:val="clear" w:color="auto" w:fill="auto"/>
            <w:tcMar>
              <w:left w:w="57" w:type="dxa"/>
              <w:right w:w="57" w:type="dxa"/>
            </w:tcMar>
            <w:vAlign w:val="center"/>
          </w:tcPr>
          <w:p w14:paraId="5FFFE3D3">
            <w:pPr>
              <w:pStyle w:val="714"/>
              <w:widowControl w:val="0"/>
              <w:rPr>
                <w:rFonts w:ascii="Times New Roman" w:hAnsi="Times New Roman" w:eastAsiaTheme="majorEastAsia" w:cstheme="minorBidi"/>
                <w:color w:val="auto"/>
                <w:kern w:val="2"/>
                <w:sz w:val="21"/>
                <w:szCs w:val="22"/>
                <w:lang w:val="en-US" w:eastAsia="zh-CN" w:bidi="ar-SA"/>
              </w:rPr>
            </w:pPr>
            <w:r>
              <w:rPr>
                <w:color w:val="auto"/>
              </w:rPr>
              <w:t>1.0</w:t>
            </w:r>
          </w:p>
        </w:tc>
      </w:tr>
      <w:tr w14:paraId="0C8C57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tcBorders>
              <w:tl2br w:val="nil"/>
              <w:tr2bl w:val="nil"/>
            </w:tcBorders>
            <w:tcMar>
              <w:left w:w="57" w:type="dxa"/>
              <w:right w:w="57" w:type="dxa"/>
            </w:tcMar>
            <w:vAlign w:val="center"/>
          </w:tcPr>
          <w:p w14:paraId="2F8869E9">
            <w:pPr>
              <w:pStyle w:val="714"/>
              <w:widowControl w:val="0"/>
              <w:rPr>
                <w:color w:val="auto"/>
              </w:rPr>
            </w:pPr>
            <w:r>
              <w:rPr>
                <w:color w:val="auto"/>
              </w:rPr>
              <w:t>15</w:t>
            </w:r>
          </w:p>
        </w:tc>
        <w:tc>
          <w:tcPr>
            <w:tcW w:w="1910" w:type="pct"/>
            <w:tcBorders>
              <w:tl2br w:val="nil"/>
              <w:tr2bl w:val="nil"/>
            </w:tcBorders>
            <w:shd w:val="clear" w:color="auto" w:fill="auto"/>
            <w:tcMar>
              <w:left w:w="57" w:type="dxa"/>
              <w:right w:w="57" w:type="dxa"/>
            </w:tcMar>
            <w:vAlign w:val="center"/>
          </w:tcPr>
          <w:p w14:paraId="1F53DDF2">
            <w:pPr>
              <w:pStyle w:val="714"/>
              <w:widowControl w:val="0"/>
              <w:rPr>
                <w:rFonts w:ascii="Times New Roman" w:hAnsi="Times New Roman" w:eastAsiaTheme="majorEastAsia" w:cstheme="minorBidi"/>
                <w:color w:val="auto"/>
                <w:kern w:val="2"/>
                <w:sz w:val="21"/>
                <w:szCs w:val="22"/>
                <w:lang w:val="en-US" w:eastAsia="zh-CN" w:bidi="ar-SA"/>
              </w:rPr>
            </w:pPr>
            <w:r>
              <w:rPr>
                <w:color w:val="auto"/>
              </w:rPr>
              <w:t>挥发酚</w:t>
            </w:r>
          </w:p>
        </w:tc>
        <w:tc>
          <w:tcPr>
            <w:tcW w:w="1129" w:type="pct"/>
            <w:tcBorders>
              <w:tl2br w:val="nil"/>
              <w:tr2bl w:val="nil"/>
            </w:tcBorders>
            <w:shd w:val="clear" w:color="auto" w:fill="auto"/>
            <w:tcMar>
              <w:left w:w="57" w:type="dxa"/>
              <w:right w:w="57" w:type="dxa"/>
            </w:tcMar>
            <w:vAlign w:val="center"/>
          </w:tcPr>
          <w:p w14:paraId="6F765FA2">
            <w:pPr>
              <w:pStyle w:val="714"/>
              <w:widowControl w:val="0"/>
              <w:rPr>
                <w:rFonts w:ascii="Times New Roman" w:hAnsi="Times New Roman" w:eastAsiaTheme="majorEastAsia" w:cstheme="minorBidi"/>
                <w:color w:val="auto"/>
                <w:kern w:val="2"/>
                <w:sz w:val="21"/>
                <w:szCs w:val="22"/>
                <w:lang w:val="en-US" w:eastAsia="zh-CN" w:bidi="ar-SA"/>
              </w:rPr>
            </w:pPr>
            <w:r>
              <w:rPr>
                <w:color w:val="auto"/>
              </w:rPr>
              <w:t>mg/L</w:t>
            </w:r>
          </w:p>
        </w:tc>
        <w:tc>
          <w:tcPr>
            <w:tcW w:w="1483" w:type="pct"/>
            <w:tcBorders>
              <w:tl2br w:val="nil"/>
              <w:tr2bl w:val="nil"/>
            </w:tcBorders>
            <w:shd w:val="clear" w:color="auto" w:fill="auto"/>
            <w:tcMar>
              <w:left w:w="57" w:type="dxa"/>
              <w:right w:w="57" w:type="dxa"/>
            </w:tcMar>
            <w:vAlign w:val="center"/>
          </w:tcPr>
          <w:p w14:paraId="2B3FB813">
            <w:pPr>
              <w:pStyle w:val="714"/>
              <w:widowControl w:val="0"/>
              <w:rPr>
                <w:rFonts w:ascii="Times New Roman" w:hAnsi="Times New Roman" w:eastAsiaTheme="majorEastAsia" w:cstheme="minorBidi"/>
                <w:color w:val="auto"/>
                <w:kern w:val="2"/>
                <w:sz w:val="21"/>
                <w:szCs w:val="22"/>
                <w:lang w:val="en-US" w:eastAsia="zh-CN" w:bidi="ar-SA"/>
              </w:rPr>
            </w:pPr>
            <w:r>
              <w:rPr>
                <w:color w:val="auto"/>
              </w:rPr>
              <w:t>0.5</w:t>
            </w:r>
          </w:p>
        </w:tc>
      </w:tr>
      <w:tr w14:paraId="0B4486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tcBorders>
              <w:tl2br w:val="nil"/>
              <w:tr2bl w:val="nil"/>
            </w:tcBorders>
            <w:tcMar>
              <w:left w:w="57" w:type="dxa"/>
              <w:right w:w="57" w:type="dxa"/>
            </w:tcMar>
            <w:vAlign w:val="center"/>
          </w:tcPr>
          <w:p w14:paraId="7EF64DC5">
            <w:pPr>
              <w:pStyle w:val="714"/>
              <w:widowControl w:val="0"/>
              <w:rPr>
                <w:color w:val="auto"/>
              </w:rPr>
            </w:pPr>
            <w:r>
              <w:rPr>
                <w:color w:val="auto"/>
              </w:rPr>
              <w:t>16</w:t>
            </w:r>
          </w:p>
        </w:tc>
        <w:tc>
          <w:tcPr>
            <w:tcW w:w="1910" w:type="pct"/>
            <w:tcBorders>
              <w:tl2br w:val="nil"/>
              <w:tr2bl w:val="nil"/>
            </w:tcBorders>
            <w:shd w:val="clear" w:color="auto" w:fill="auto"/>
            <w:tcMar>
              <w:left w:w="57" w:type="dxa"/>
              <w:right w:w="57" w:type="dxa"/>
            </w:tcMar>
            <w:vAlign w:val="center"/>
          </w:tcPr>
          <w:p w14:paraId="4A1269CA">
            <w:pPr>
              <w:pStyle w:val="714"/>
              <w:widowControl w:val="0"/>
              <w:rPr>
                <w:rFonts w:ascii="Times New Roman" w:hAnsi="Times New Roman" w:eastAsiaTheme="majorEastAsia" w:cstheme="minorBidi"/>
                <w:color w:val="auto"/>
                <w:kern w:val="2"/>
                <w:sz w:val="21"/>
                <w:szCs w:val="22"/>
                <w:lang w:val="en-US" w:eastAsia="zh-CN" w:bidi="ar-SA"/>
              </w:rPr>
            </w:pPr>
            <w:r>
              <w:rPr>
                <w:color w:val="auto"/>
              </w:rPr>
              <w:t>苯</w:t>
            </w:r>
          </w:p>
        </w:tc>
        <w:tc>
          <w:tcPr>
            <w:tcW w:w="1129" w:type="pct"/>
            <w:tcBorders>
              <w:tl2br w:val="nil"/>
              <w:tr2bl w:val="nil"/>
            </w:tcBorders>
            <w:shd w:val="clear" w:color="auto" w:fill="auto"/>
            <w:tcMar>
              <w:left w:w="57" w:type="dxa"/>
              <w:right w:w="57" w:type="dxa"/>
            </w:tcMar>
            <w:vAlign w:val="center"/>
          </w:tcPr>
          <w:p w14:paraId="3F714186">
            <w:pPr>
              <w:pStyle w:val="714"/>
              <w:widowControl w:val="0"/>
              <w:rPr>
                <w:rFonts w:ascii="Times New Roman" w:hAnsi="Times New Roman" w:eastAsiaTheme="majorEastAsia" w:cstheme="minorBidi"/>
                <w:color w:val="auto"/>
                <w:kern w:val="2"/>
                <w:sz w:val="21"/>
                <w:szCs w:val="22"/>
                <w:lang w:val="en-US" w:eastAsia="zh-CN" w:bidi="ar-SA"/>
              </w:rPr>
            </w:pPr>
            <w:r>
              <w:rPr>
                <w:color w:val="auto"/>
              </w:rPr>
              <w:t>mg/L</w:t>
            </w:r>
          </w:p>
        </w:tc>
        <w:tc>
          <w:tcPr>
            <w:tcW w:w="1483" w:type="pct"/>
            <w:tcBorders>
              <w:tl2br w:val="nil"/>
              <w:tr2bl w:val="nil"/>
            </w:tcBorders>
            <w:shd w:val="clear" w:color="auto" w:fill="auto"/>
            <w:tcMar>
              <w:left w:w="57" w:type="dxa"/>
              <w:right w:w="57" w:type="dxa"/>
            </w:tcMar>
            <w:vAlign w:val="center"/>
          </w:tcPr>
          <w:p w14:paraId="76EB9508">
            <w:pPr>
              <w:pStyle w:val="714"/>
              <w:widowControl w:val="0"/>
              <w:rPr>
                <w:rFonts w:ascii="Times New Roman" w:hAnsi="Times New Roman" w:eastAsiaTheme="majorEastAsia" w:cstheme="minorBidi"/>
                <w:color w:val="auto"/>
                <w:kern w:val="2"/>
                <w:sz w:val="21"/>
                <w:szCs w:val="22"/>
                <w:lang w:val="en-US" w:eastAsia="zh-CN" w:bidi="ar-SA"/>
              </w:rPr>
            </w:pPr>
            <w:r>
              <w:rPr>
                <w:color w:val="auto"/>
              </w:rPr>
              <w:t>0.1</w:t>
            </w:r>
          </w:p>
        </w:tc>
      </w:tr>
      <w:tr w14:paraId="138343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pct"/>
            <w:tcBorders>
              <w:tl2br w:val="nil"/>
              <w:tr2bl w:val="nil"/>
            </w:tcBorders>
            <w:tcMar>
              <w:left w:w="57" w:type="dxa"/>
              <w:right w:w="57" w:type="dxa"/>
            </w:tcMar>
            <w:vAlign w:val="center"/>
          </w:tcPr>
          <w:p w14:paraId="5EF4FB08">
            <w:pPr>
              <w:pStyle w:val="714"/>
              <w:widowControl w:val="0"/>
              <w:rPr>
                <w:color w:val="auto"/>
              </w:rPr>
            </w:pPr>
            <w:r>
              <w:rPr>
                <w:color w:val="auto"/>
              </w:rPr>
              <w:t>17</w:t>
            </w:r>
          </w:p>
        </w:tc>
        <w:tc>
          <w:tcPr>
            <w:tcW w:w="1910" w:type="pct"/>
            <w:tcBorders>
              <w:tl2br w:val="nil"/>
              <w:tr2bl w:val="nil"/>
            </w:tcBorders>
            <w:shd w:val="clear" w:color="auto" w:fill="auto"/>
            <w:tcMar>
              <w:left w:w="57" w:type="dxa"/>
              <w:right w:w="57" w:type="dxa"/>
            </w:tcMar>
            <w:vAlign w:val="center"/>
          </w:tcPr>
          <w:p w14:paraId="774F57F4">
            <w:pPr>
              <w:pStyle w:val="714"/>
              <w:widowControl w:val="0"/>
              <w:rPr>
                <w:rFonts w:ascii="Times New Roman" w:hAnsi="Times New Roman" w:eastAsiaTheme="majorEastAsia" w:cstheme="minorBidi"/>
                <w:color w:val="auto"/>
                <w:kern w:val="2"/>
                <w:sz w:val="21"/>
                <w:szCs w:val="22"/>
                <w:lang w:val="en-US" w:eastAsia="zh-CN" w:bidi="ar-SA"/>
              </w:rPr>
            </w:pPr>
            <w:r>
              <w:rPr>
                <w:color w:val="auto"/>
              </w:rPr>
              <w:t>甲醛</w:t>
            </w:r>
          </w:p>
        </w:tc>
        <w:tc>
          <w:tcPr>
            <w:tcW w:w="1129" w:type="pct"/>
            <w:tcBorders>
              <w:tl2br w:val="nil"/>
              <w:tr2bl w:val="nil"/>
            </w:tcBorders>
            <w:shd w:val="clear" w:color="auto" w:fill="auto"/>
            <w:tcMar>
              <w:left w:w="57" w:type="dxa"/>
              <w:right w:w="57" w:type="dxa"/>
            </w:tcMar>
            <w:vAlign w:val="center"/>
          </w:tcPr>
          <w:p w14:paraId="39EE1F55">
            <w:pPr>
              <w:pStyle w:val="714"/>
              <w:widowControl w:val="0"/>
              <w:rPr>
                <w:rFonts w:ascii="Times New Roman" w:hAnsi="Times New Roman" w:eastAsiaTheme="majorEastAsia" w:cstheme="minorBidi"/>
                <w:color w:val="auto"/>
                <w:kern w:val="2"/>
                <w:sz w:val="21"/>
                <w:szCs w:val="22"/>
                <w:lang w:val="en-US" w:eastAsia="zh-CN" w:bidi="ar-SA"/>
              </w:rPr>
            </w:pPr>
            <w:r>
              <w:rPr>
                <w:color w:val="auto"/>
              </w:rPr>
              <w:t>mg/L</w:t>
            </w:r>
          </w:p>
        </w:tc>
        <w:tc>
          <w:tcPr>
            <w:tcW w:w="1483" w:type="pct"/>
            <w:tcBorders>
              <w:tl2br w:val="nil"/>
              <w:tr2bl w:val="nil"/>
            </w:tcBorders>
            <w:shd w:val="clear" w:color="auto" w:fill="auto"/>
            <w:tcMar>
              <w:left w:w="57" w:type="dxa"/>
              <w:right w:w="57" w:type="dxa"/>
            </w:tcMar>
            <w:vAlign w:val="center"/>
          </w:tcPr>
          <w:p w14:paraId="7F34C4BC">
            <w:pPr>
              <w:pStyle w:val="714"/>
              <w:widowControl w:val="0"/>
              <w:rPr>
                <w:rFonts w:ascii="Times New Roman" w:hAnsi="Times New Roman" w:eastAsiaTheme="majorEastAsia" w:cstheme="minorBidi"/>
                <w:color w:val="auto"/>
                <w:kern w:val="2"/>
                <w:sz w:val="21"/>
                <w:szCs w:val="22"/>
                <w:lang w:val="en-US" w:eastAsia="zh-CN" w:bidi="ar-SA"/>
              </w:rPr>
            </w:pPr>
            <w:r>
              <w:rPr>
                <w:color w:val="auto"/>
              </w:rPr>
              <w:t>1.0</w:t>
            </w:r>
          </w:p>
        </w:tc>
      </w:tr>
      <w:bookmarkEnd w:id="238"/>
    </w:tbl>
    <w:p w14:paraId="3DA817C4">
      <w:pPr>
        <w:pStyle w:val="19"/>
        <w:keepNext w:val="0"/>
        <w:keepLines w:val="0"/>
        <w:pageBreakBefore w:val="0"/>
        <w:widowControl w:val="0"/>
        <w:numPr>
          <w:ilvl w:val="0"/>
          <w:numId w:val="31"/>
        </w:numPr>
        <w:kinsoku/>
        <w:wordWrap/>
        <w:overflowPunct/>
        <w:topLinePunct w:val="0"/>
        <w:autoSpaceDE/>
        <w:autoSpaceDN/>
        <w:bidi w:val="0"/>
        <w:adjustRightInd/>
        <w:snapToGrid/>
        <w:ind w:left="0" w:leftChars="0" w:firstLine="0" w:firstLineChars="0"/>
        <w:textAlignment w:val="auto"/>
        <w:rPr>
          <w:color w:val="auto"/>
        </w:rPr>
      </w:pPr>
      <w:bookmarkStart w:id="239" w:name="_Hlk172494789"/>
      <w:r>
        <w:rPr>
          <w:color w:val="auto"/>
        </w:rPr>
        <w:t>废水</w:t>
      </w:r>
      <w:r>
        <w:rPr>
          <w:rFonts w:hint="eastAsia"/>
          <w:color w:val="auto"/>
        </w:rPr>
        <w:t>泄漏</w:t>
      </w:r>
      <w:r>
        <w:rPr>
          <w:color w:val="auto"/>
        </w:rPr>
        <w:t>污染物浓度核算</w:t>
      </w:r>
    </w:p>
    <w:tbl>
      <w:tblPr>
        <w:tblStyle w:val="5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904"/>
        <w:gridCol w:w="1878"/>
        <w:gridCol w:w="1137"/>
        <w:gridCol w:w="898"/>
        <w:gridCol w:w="898"/>
        <w:gridCol w:w="898"/>
        <w:gridCol w:w="901"/>
        <w:gridCol w:w="904"/>
      </w:tblGrid>
      <w:tr w14:paraId="233F7F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37" w:type="pct"/>
            <w:vMerge w:val="restart"/>
            <w:tcBorders>
              <w:tl2br w:val="nil"/>
              <w:tr2bl w:val="nil"/>
            </w:tcBorders>
            <w:vAlign w:val="center"/>
          </w:tcPr>
          <w:p w14:paraId="74A47EC2">
            <w:pPr>
              <w:pStyle w:val="714"/>
              <w:rPr>
                <w:b/>
                <w:bCs/>
                <w:color w:val="auto"/>
              </w:rPr>
            </w:pPr>
            <w:bookmarkStart w:id="240" w:name="_Hlk154094011"/>
            <w:r>
              <w:rPr>
                <w:rFonts w:hint="eastAsia"/>
                <w:b/>
                <w:bCs/>
                <w:color w:val="auto"/>
              </w:rPr>
              <w:t>处理单元群</w:t>
            </w:r>
          </w:p>
        </w:tc>
        <w:tc>
          <w:tcPr>
            <w:tcW w:w="1115" w:type="pct"/>
            <w:vMerge w:val="restart"/>
            <w:tcBorders>
              <w:tl2br w:val="nil"/>
              <w:tr2bl w:val="nil"/>
            </w:tcBorders>
            <w:vAlign w:val="center"/>
          </w:tcPr>
          <w:p w14:paraId="659FE065">
            <w:pPr>
              <w:pStyle w:val="714"/>
              <w:rPr>
                <w:b/>
                <w:bCs/>
                <w:color w:val="auto"/>
              </w:rPr>
            </w:pPr>
            <w:r>
              <w:rPr>
                <w:rFonts w:hint="eastAsia"/>
                <w:b/>
                <w:bCs/>
                <w:color w:val="auto"/>
              </w:rPr>
              <w:t>池体名称</w:t>
            </w:r>
          </w:p>
        </w:tc>
        <w:tc>
          <w:tcPr>
            <w:tcW w:w="675" w:type="pct"/>
            <w:vMerge w:val="restart"/>
            <w:tcBorders>
              <w:tl2br w:val="nil"/>
              <w:tr2bl w:val="nil"/>
            </w:tcBorders>
            <w:vAlign w:val="center"/>
          </w:tcPr>
          <w:p w14:paraId="41706FB6">
            <w:pPr>
              <w:pStyle w:val="714"/>
              <w:rPr>
                <w:b/>
                <w:bCs/>
                <w:color w:val="auto"/>
              </w:rPr>
            </w:pPr>
            <w:r>
              <w:rPr>
                <w:rFonts w:hint="eastAsia"/>
                <w:b/>
                <w:bCs/>
                <w:color w:val="auto"/>
              </w:rPr>
              <w:t>泄漏废水量</w:t>
            </w:r>
            <w:r>
              <w:rPr>
                <w:b/>
                <w:bCs/>
                <w:color w:val="auto"/>
              </w:rPr>
              <w:t>（</w:t>
            </w:r>
            <w:r>
              <w:rPr>
                <w:rFonts w:hint="eastAsia"/>
                <w:b/>
                <w:bCs/>
                <w:color w:val="auto"/>
                <w:lang w:eastAsia="zh-CN"/>
              </w:rPr>
              <w:t>m³</w:t>
            </w:r>
            <w:r>
              <w:rPr>
                <w:b/>
                <w:bCs/>
                <w:color w:val="auto"/>
              </w:rPr>
              <w:t>/d）</w:t>
            </w:r>
          </w:p>
        </w:tc>
        <w:tc>
          <w:tcPr>
            <w:tcW w:w="2671" w:type="pct"/>
            <w:gridSpan w:val="5"/>
            <w:tcBorders>
              <w:tl2br w:val="nil"/>
              <w:tr2bl w:val="nil"/>
            </w:tcBorders>
            <w:vAlign w:val="center"/>
          </w:tcPr>
          <w:p w14:paraId="117A7DF9">
            <w:pPr>
              <w:pStyle w:val="714"/>
              <w:rPr>
                <w:b/>
                <w:bCs/>
                <w:color w:val="auto"/>
              </w:rPr>
            </w:pPr>
            <w:r>
              <w:rPr>
                <w:b/>
                <w:bCs/>
                <w:color w:val="auto"/>
              </w:rPr>
              <w:t>污染物浓度（mg/L）</w:t>
            </w:r>
          </w:p>
        </w:tc>
      </w:tr>
      <w:tr w14:paraId="0013AC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37" w:type="pct"/>
            <w:vMerge w:val="continue"/>
            <w:tcBorders>
              <w:tl2br w:val="nil"/>
              <w:tr2bl w:val="nil"/>
            </w:tcBorders>
            <w:vAlign w:val="center"/>
          </w:tcPr>
          <w:p w14:paraId="56117E2A">
            <w:pPr>
              <w:pStyle w:val="714"/>
              <w:rPr>
                <w:b/>
                <w:bCs/>
                <w:color w:val="auto"/>
              </w:rPr>
            </w:pPr>
          </w:p>
        </w:tc>
        <w:tc>
          <w:tcPr>
            <w:tcW w:w="1115" w:type="pct"/>
            <w:vMerge w:val="continue"/>
            <w:tcBorders>
              <w:tl2br w:val="nil"/>
              <w:tr2bl w:val="nil"/>
            </w:tcBorders>
            <w:vAlign w:val="center"/>
          </w:tcPr>
          <w:p w14:paraId="7821F030">
            <w:pPr>
              <w:pStyle w:val="714"/>
              <w:rPr>
                <w:b/>
                <w:bCs/>
                <w:color w:val="auto"/>
              </w:rPr>
            </w:pPr>
          </w:p>
        </w:tc>
        <w:tc>
          <w:tcPr>
            <w:tcW w:w="675" w:type="pct"/>
            <w:vMerge w:val="continue"/>
            <w:tcBorders>
              <w:tl2br w:val="nil"/>
              <w:tr2bl w:val="nil"/>
            </w:tcBorders>
            <w:vAlign w:val="center"/>
          </w:tcPr>
          <w:p w14:paraId="490866F6">
            <w:pPr>
              <w:pStyle w:val="714"/>
              <w:rPr>
                <w:b/>
                <w:bCs/>
                <w:color w:val="auto"/>
              </w:rPr>
            </w:pPr>
          </w:p>
        </w:tc>
        <w:tc>
          <w:tcPr>
            <w:tcW w:w="533" w:type="pct"/>
            <w:tcBorders>
              <w:tl2br w:val="nil"/>
              <w:tr2bl w:val="nil"/>
            </w:tcBorders>
            <w:vAlign w:val="center"/>
          </w:tcPr>
          <w:p w14:paraId="6262B937">
            <w:pPr>
              <w:pStyle w:val="714"/>
              <w:rPr>
                <w:b/>
                <w:bCs/>
                <w:color w:val="auto"/>
              </w:rPr>
            </w:pPr>
            <w:r>
              <w:rPr>
                <w:b/>
                <w:bCs/>
                <w:color w:val="auto"/>
              </w:rPr>
              <w:t>COD</w:t>
            </w:r>
            <w:r>
              <w:rPr>
                <w:b/>
                <w:bCs/>
                <w:color w:val="auto"/>
                <w:vertAlign w:val="subscript"/>
              </w:rPr>
              <w:t>Mn</w:t>
            </w:r>
          </w:p>
        </w:tc>
        <w:tc>
          <w:tcPr>
            <w:tcW w:w="533" w:type="pct"/>
            <w:tcBorders>
              <w:tl2br w:val="nil"/>
              <w:tr2bl w:val="nil"/>
            </w:tcBorders>
            <w:vAlign w:val="center"/>
          </w:tcPr>
          <w:p w14:paraId="0068689F">
            <w:pPr>
              <w:pStyle w:val="714"/>
              <w:rPr>
                <w:b/>
                <w:bCs/>
                <w:color w:val="auto"/>
              </w:rPr>
            </w:pPr>
            <w:r>
              <w:rPr>
                <w:rFonts w:hint="eastAsia"/>
                <w:b/>
                <w:bCs/>
                <w:color w:val="auto"/>
              </w:rPr>
              <w:t>氨氮</w:t>
            </w:r>
          </w:p>
        </w:tc>
        <w:tc>
          <w:tcPr>
            <w:tcW w:w="533" w:type="pct"/>
            <w:tcBorders>
              <w:tl2br w:val="nil"/>
              <w:tr2bl w:val="nil"/>
            </w:tcBorders>
            <w:vAlign w:val="center"/>
          </w:tcPr>
          <w:p w14:paraId="408255FB">
            <w:pPr>
              <w:pStyle w:val="714"/>
              <w:rPr>
                <w:b/>
                <w:bCs/>
                <w:color w:val="auto"/>
              </w:rPr>
            </w:pPr>
            <w:r>
              <w:rPr>
                <w:rFonts w:hint="eastAsia"/>
                <w:b/>
                <w:bCs/>
                <w:color w:val="auto"/>
              </w:rPr>
              <w:t>总磷</w:t>
            </w:r>
          </w:p>
        </w:tc>
        <w:tc>
          <w:tcPr>
            <w:tcW w:w="535" w:type="pct"/>
            <w:tcBorders>
              <w:tl2br w:val="nil"/>
              <w:tr2bl w:val="nil"/>
            </w:tcBorders>
            <w:vAlign w:val="center"/>
          </w:tcPr>
          <w:p w14:paraId="63295D31">
            <w:pPr>
              <w:pStyle w:val="714"/>
              <w:rPr>
                <w:rFonts w:ascii="Times New Roman" w:hAnsi="Times New Roman" w:eastAsiaTheme="majorEastAsia" w:cstheme="minorBidi"/>
                <w:b/>
                <w:bCs/>
                <w:color w:val="auto"/>
                <w:kern w:val="2"/>
                <w:sz w:val="21"/>
                <w:szCs w:val="22"/>
                <w:lang w:val="en-US" w:eastAsia="zh-CN" w:bidi="ar-SA"/>
              </w:rPr>
            </w:pPr>
            <w:r>
              <w:rPr>
                <w:rFonts w:hint="eastAsia"/>
                <w:b/>
                <w:bCs/>
                <w:color w:val="auto"/>
              </w:rPr>
              <w:t>甲醛</w:t>
            </w:r>
          </w:p>
        </w:tc>
        <w:tc>
          <w:tcPr>
            <w:tcW w:w="536" w:type="pct"/>
            <w:tcBorders>
              <w:tl2br w:val="nil"/>
              <w:tr2bl w:val="nil"/>
            </w:tcBorders>
            <w:vAlign w:val="center"/>
          </w:tcPr>
          <w:p w14:paraId="3CE38936">
            <w:pPr>
              <w:pStyle w:val="714"/>
              <w:rPr>
                <w:b/>
                <w:bCs/>
                <w:color w:val="auto"/>
              </w:rPr>
            </w:pPr>
            <w:r>
              <w:rPr>
                <w:rFonts w:hint="eastAsia"/>
                <w:b/>
                <w:bCs/>
                <w:color w:val="auto"/>
              </w:rPr>
              <w:t>石油类</w:t>
            </w:r>
          </w:p>
        </w:tc>
      </w:tr>
      <w:tr w14:paraId="2BD5F3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37" w:type="pct"/>
            <w:vMerge w:val="restart"/>
            <w:tcBorders>
              <w:tl2br w:val="nil"/>
              <w:tr2bl w:val="nil"/>
            </w:tcBorders>
            <w:vAlign w:val="center"/>
          </w:tcPr>
          <w:p w14:paraId="0DD5C8FE">
            <w:pPr>
              <w:pStyle w:val="714"/>
              <w:rPr>
                <w:color w:val="auto"/>
              </w:rPr>
            </w:pPr>
            <w:r>
              <w:rPr>
                <w:rFonts w:hint="eastAsia"/>
                <w:color w:val="auto"/>
              </w:rPr>
              <w:t>一级</w:t>
            </w:r>
          </w:p>
          <w:p w14:paraId="5D8C69F3">
            <w:pPr>
              <w:pStyle w:val="714"/>
              <w:rPr>
                <w:color w:val="auto"/>
              </w:rPr>
            </w:pPr>
            <w:r>
              <w:rPr>
                <w:rFonts w:hint="eastAsia"/>
                <w:color w:val="auto"/>
              </w:rPr>
              <w:t>处理</w:t>
            </w:r>
          </w:p>
        </w:tc>
        <w:tc>
          <w:tcPr>
            <w:tcW w:w="1115" w:type="pct"/>
            <w:tcBorders>
              <w:tl2br w:val="nil"/>
              <w:tr2bl w:val="nil"/>
            </w:tcBorders>
            <w:vAlign w:val="center"/>
          </w:tcPr>
          <w:p w14:paraId="6EC9872E">
            <w:pPr>
              <w:pStyle w:val="714"/>
              <w:rPr>
                <w:color w:val="auto"/>
              </w:rPr>
            </w:pPr>
            <w:r>
              <w:rPr>
                <w:rFonts w:hint="eastAsia"/>
                <w:color w:val="auto"/>
              </w:rPr>
              <w:t>超细格栅池</w:t>
            </w:r>
          </w:p>
        </w:tc>
        <w:tc>
          <w:tcPr>
            <w:tcW w:w="675" w:type="pct"/>
            <w:tcBorders>
              <w:tl2br w:val="nil"/>
              <w:tr2bl w:val="nil"/>
            </w:tcBorders>
            <w:vAlign w:val="center"/>
          </w:tcPr>
          <w:p w14:paraId="4453D9A9">
            <w:pPr>
              <w:pStyle w:val="714"/>
              <w:rPr>
                <w:color w:val="auto"/>
              </w:rPr>
            </w:pPr>
            <w:r>
              <w:rPr>
                <w:rFonts w:hint="eastAsia"/>
                <w:color w:val="auto"/>
              </w:rPr>
              <w:t>0.64</w:t>
            </w:r>
          </w:p>
        </w:tc>
        <w:tc>
          <w:tcPr>
            <w:tcW w:w="533" w:type="pct"/>
            <w:tcBorders>
              <w:tl2br w:val="nil"/>
              <w:tr2bl w:val="nil"/>
            </w:tcBorders>
            <w:vAlign w:val="center"/>
          </w:tcPr>
          <w:p w14:paraId="5FD1FC3D">
            <w:pPr>
              <w:pStyle w:val="714"/>
              <w:rPr>
                <w:color w:val="auto"/>
              </w:rPr>
            </w:pPr>
            <w:r>
              <w:rPr>
                <w:rFonts w:hint="eastAsia"/>
                <w:color w:val="auto"/>
              </w:rPr>
              <w:t>1</w:t>
            </w:r>
            <w:r>
              <w:rPr>
                <w:color w:val="auto"/>
              </w:rPr>
              <w:t>16.67</w:t>
            </w:r>
          </w:p>
        </w:tc>
        <w:tc>
          <w:tcPr>
            <w:tcW w:w="533" w:type="pct"/>
            <w:tcBorders>
              <w:tl2br w:val="nil"/>
              <w:tr2bl w:val="nil"/>
            </w:tcBorders>
            <w:vAlign w:val="center"/>
          </w:tcPr>
          <w:p w14:paraId="15C693D1">
            <w:pPr>
              <w:pStyle w:val="714"/>
              <w:rPr>
                <w:color w:val="auto"/>
              </w:rPr>
            </w:pPr>
            <w:r>
              <w:rPr>
                <w:rFonts w:hint="eastAsia"/>
                <w:color w:val="auto"/>
              </w:rPr>
              <w:t>50</w:t>
            </w:r>
          </w:p>
        </w:tc>
        <w:tc>
          <w:tcPr>
            <w:tcW w:w="533" w:type="pct"/>
            <w:tcBorders>
              <w:tl2br w:val="nil"/>
              <w:tr2bl w:val="nil"/>
            </w:tcBorders>
            <w:vAlign w:val="center"/>
          </w:tcPr>
          <w:p w14:paraId="7E2182BA">
            <w:pPr>
              <w:pStyle w:val="714"/>
              <w:rPr>
                <w:color w:val="auto"/>
              </w:rPr>
            </w:pPr>
            <w:r>
              <w:rPr>
                <w:rFonts w:hint="eastAsia"/>
                <w:color w:val="auto"/>
              </w:rPr>
              <w:t>4</w:t>
            </w:r>
          </w:p>
        </w:tc>
        <w:tc>
          <w:tcPr>
            <w:tcW w:w="535" w:type="pct"/>
            <w:tcBorders>
              <w:tl2br w:val="nil"/>
              <w:tr2bl w:val="nil"/>
            </w:tcBorders>
            <w:vAlign w:val="center"/>
          </w:tcPr>
          <w:p w14:paraId="66A1168C">
            <w:pPr>
              <w:pStyle w:val="714"/>
              <w:rPr>
                <w:rFonts w:ascii="Times New Roman" w:hAnsi="Times New Roman" w:eastAsiaTheme="majorEastAsia" w:cstheme="minorBidi"/>
                <w:color w:val="auto"/>
                <w:kern w:val="2"/>
                <w:sz w:val="21"/>
                <w:szCs w:val="22"/>
                <w:lang w:val="en-US" w:eastAsia="zh-CN" w:bidi="ar-SA"/>
              </w:rPr>
            </w:pPr>
            <w:r>
              <w:rPr>
                <w:rFonts w:hint="eastAsia"/>
                <w:color w:val="auto"/>
              </w:rPr>
              <w:t>1.0</w:t>
            </w:r>
          </w:p>
        </w:tc>
        <w:tc>
          <w:tcPr>
            <w:tcW w:w="536" w:type="pct"/>
            <w:tcBorders>
              <w:tl2br w:val="nil"/>
              <w:tr2bl w:val="nil"/>
            </w:tcBorders>
            <w:vAlign w:val="center"/>
          </w:tcPr>
          <w:p w14:paraId="6D3F2E09">
            <w:pPr>
              <w:pStyle w:val="714"/>
              <w:rPr>
                <w:color w:val="auto"/>
              </w:rPr>
            </w:pPr>
            <w:r>
              <w:rPr>
                <w:rFonts w:hint="eastAsia"/>
                <w:color w:val="auto"/>
              </w:rPr>
              <w:t>1.0</w:t>
            </w:r>
          </w:p>
        </w:tc>
      </w:tr>
      <w:tr w14:paraId="393D7E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37" w:type="pct"/>
            <w:vMerge w:val="continue"/>
            <w:tcBorders>
              <w:tl2br w:val="nil"/>
              <w:tr2bl w:val="nil"/>
            </w:tcBorders>
            <w:vAlign w:val="center"/>
          </w:tcPr>
          <w:p w14:paraId="49F4D68E">
            <w:pPr>
              <w:pStyle w:val="714"/>
              <w:rPr>
                <w:color w:val="auto"/>
              </w:rPr>
            </w:pPr>
          </w:p>
        </w:tc>
        <w:tc>
          <w:tcPr>
            <w:tcW w:w="1115" w:type="pct"/>
            <w:tcBorders>
              <w:tl2br w:val="nil"/>
              <w:tr2bl w:val="nil"/>
            </w:tcBorders>
            <w:vAlign w:val="center"/>
          </w:tcPr>
          <w:p w14:paraId="50D7DC34">
            <w:pPr>
              <w:pStyle w:val="714"/>
              <w:rPr>
                <w:color w:val="auto"/>
              </w:rPr>
            </w:pPr>
            <w:r>
              <w:rPr>
                <w:rFonts w:hint="eastAsia"/>
                <w:color w:val="auto"/>
              </w:rPr>
              <w:t>调节池</w:t>
            </w:r>
          </w:p>
        </w:tc>
        <w:tc>
          <w:tcPr>
            <w:tcW w:w="675" w:type="pct"/>
            <w:tcBorders>
              <w:tl2br w:val="nil"/>
              <w:tr2bl w:val="nil"/>
            </w:tcBorders>
            <w:vAlign w:val="center"/>
          </w:tcPr>
          <w:p w14:paraId="04278FD6">
            <w:pPr>
              <w:pStyle w:val="714"/>
              <w:rPr>
                <w:color w:val="auto"/>
              </w:rPr>
            </w:pPr>
            <w:r>
              <w:rPr>
                <w:rFonts w:hint="eastAsia"/>
                <w:color w:val="auto"/>
              </w:rPr>
              <w:t>4.61</w:t>
            </w:r>
          </w:p>
        </w:tc>
        <w:tc>
          <w:tcPr>
            <w:tcW w:w="533" w:type="pct"/>
            <w:tcBorders>
              <w:tl2br w:val="nil"/>
              <w:tr2bl w:val="nil"/>
            </w:tcBorders>
            <w:vAlign w:val="center"/>
          </w:tcPr>
          <w:p w14:paraId="7CC5A927">
            <w:pPr>
              <w:pStyle w:val="714"/>
              <w:rPr>
                <w:color w:val="auto"/>
              </w:rPr>
            </w:pPr>
            <w:r>
              <w:rPr>
                <w:rFonts w:hint="eastAsia"/>
                <w:color w:val="auto"/>
              </w:rPr>
              <w:t>1</w:t>
            </w:r>
            <w:r>
              <w:rPr>
                <w:color w:val="auto"/>
              </w:rPr>
              <w:t>16.67</w:t>
            </w:r>
          </w:p>
        </w:tc>
        <w:tc>
          <w:tcPr>
            <w:tcW w:w="533" w:type="pct"/>
            <w:tcBorders>
              <w:tl2br w:val="nil"/>
              <w:tr2bl w:val="nil"/>
            </w:tcBorders>
            <w:vAlign w:val="center"/>
          </w:tcPr>
          <w:p w14:paraId="45F74803">
            <w:pPr>
              <w:pStyle w:val="714"/>
              <w:rPr>
                <w:color w:val="auto"/>
              </w:rPr>
            </w:pPr>
            <w:r>
              <w:rPr>
                <w:rFonts w:hint="eastAsia"/>
                <w:color w:val="auto"/>
              </w:rPr>
              <w:t>50</w:t>
            </w:r>
          </w:p>
        </w:tc>
        <w:tc>
          <w:tcPr>
            <w:tcW w:w="533" w:type="pct"/>
            <w:tcBorders>
              <w:tl2br w:val="nil"/>
              <w:tr2bl w:val="nil"/>
            </w:tcBorders>
            <w:vAlign w:val="center"/>
          </w:tcPr>
          <w:p w14:paraId="3A9264E5">
            <w:pPr>
              <w:pStyle w:val="714"/>
              <w:rPr>
                <w:color w:val="auto"/>
              </w:rPr>
            </w:pPr>
            <w:r>
              <w:rPr>
                <w:rFonts w:hint="eastAsia"/>
                <w:color w:val="auto"/>
              </w:rPr>
              <w:t>4</w:t>
            </w:r>
          </w:p>
        </w:tc>
        <w:tc>
          <w:tcPr>
            <w:tcW w:w="535" w:type="pct"/>
            <w:tcBorders>
              <w:tl2br w:val="nil"/>
              <w:tr2bl w:val="nil"/>
            </w:tcBorders>
            <w:vAlign w:val="center"/>
          </w:tcPr>
          <w:p w14:paraId="1D357BD0">
            <w:pPr>
              <w:pStyle w:val="714"/>
              <w:rPr>
                <w:rFonts w:ascii="Times New Roman" w:hAnsi="Times New Roman" w:eastAsiaTheme="majorEastAsia" w:cstheme="minorBidi"/>
                <w:color w:val="auto"/>
                <w:kern w:val="2"/>
                <w:sz w:val="21"/>
                <w:szCs w:val="22"/>
                <w:lang w:val="en-US" w:eastAsia="zh-CN" w:bidi="ar-SA"/>
              </w:rPr>
            </w:pPr>
            <w:r>
              <w:rPr>
                <w:rFonts w:hint="eastAsia"/>
                <w:color w:val="auto"/>
              </w:rPr>
              <w:t>1.0</w:t>
            </w:r>
          </w:p>
        </w:tc>
        <w:tc>
          <w:tcPr>
            <w:tcW w:w="536" w:type="pct"/>
            <w:tcBorders>
              <w:tl2br w:val="nil"/>
              <w:tr2bl w:val="nil"/>
            </w:tcBorders>
            <w:vAlign w:val="center"/>
          </w:tcPr>
          <w:p w14:paraId="2CC268DC">
            <w:pPr>
              <w:pStyle w:val="714"/>
              <w:rPr>
                <w:color w:val="auto"/>
              </w:rPr>
            </w:pPr>
            <w:r>
              <w:rPr>
                <w:rFonts w:hint="eastAsia"/>
                <w:color w:val="auto"/>
              </w:rPr>
              <w:t>1.0</w:t>
            </w:r>
          </w:p>
        </w:tc>
      </w:tr>
      <w:tr w14:paraId="5BB920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37" w:type="pct"/>
            <w:vMerge w:val="continue"/>
            <w:tcBorders>
              <w:tl2br w:val="nil"/>
              <w:tr2bl w:val="nil"/>
            </w:tcBorders>
            <w:vAlign w:val="center"/>
          </w:tcPr>
          <w:p w14:paraId="07190F5E">
            <w:pPr>
              <w:pStyle w:val="714"/>
              <w:rPr>
                <w:color w:val="auto"/>
              </w:rPr>
            </w:pPr>
          </w:p>
        </w:tc>
        <w:tc>
          <w:tcPr>
            <w:tcW w:w="1115" w:type="pct"/>
            <w:tcBorders>
              <w:tl2br w:val="nil"/>
              <w:tr2bl w:val="nil"/>
            </w:tcBorders>
            <w:vAlign w:val="center"/>
          </w:tcPr>
          <w:p w14:paraId="676F326F">
            <w:pPr>
              <w:pStyle w:val="714"/>
              <w:rPr>
                <w:color w:val="auto"/>
              </w:rPr>
            </w:pPr>
            <w:r>
              <w:rPr>
                <w:rFonts w:hint="eastAsia"/>
                <w:color w:val="auto"/>
              </w:rPr>
              <w:t>水解酸化池</w:t>
            </w:r>
          </w:p>
        </w:tc>
        <w:tc>
          <w:tcPr>
            <w:tcW w:w="675" w:type="pct"/>
            <w:tcBorders>
              <w:tl2br w:val="nil"/>
              <w:tr2bl w:val="nil"/>
            </w:tcBorders>
            <w:vAlign w:val="center"/>
          </w:tcPr>
          <w:p w14:paraId="2FEEA963">
            <w:pPr>
              <w:pStyle w:val="714"/>
              <w:rPr>
                <w:color w:val="auto"/>
              </w:rPr>
            </w:pPr>
            <w:r>
              <w:rPr>
                <w:rFonts w:hint="eastAsia"/>
                <w:color w:val="auto"/>
              </w:rPr>
              <w:t>11.68</w:t>
            </w:r>
          </w:p>
        </w:tc>
        <w:tc>
          <w:tcPr>
            <w:tcW w:w="533" w:type="pct"/>
            <w:tcBorders>
              <w:tl2br w:val="nil"/>
              <w:tr2bl w:val="nil"/>
            </w:tcBorders>
            <w:vAlign w:val="center"/>
          </w:tcPr>
          <w:p w14:paraId="71E5055E">
            <w:pPr>
              <w:pStyle w:val="714"/>
              <w:rPr>
                <w:color w:val="auto"/>
              </w:rPr>
            </w:pPr>
            <w:r>
              <w:rPr>
                <w:rFonts w:hint="eastAsia"/>
                <w:color w:val="auto"/>
              </w:rPr>
              <w:t>1</w:t>
            </w:r>
            <w:r>
              <w:rPr>
                <w:color w:val="auto"/>
              </w:rPr>
              <w:t>16.67</w:t>
            </w:r>
          </w:p>
        </w:tc>
        <w:tc>
          <w:tcPr>
            <w:tcW w:w="533" w:type="pct"/>
            <w:tcBorders>
              <w:tl2br w:val="nil"/>
              <w:tr2bl w:val="nil"/>
            </w:tcBorders>
            <w:vAlign w:val="center"/>
          </w:tcPr>
          <w:p w14:paraId="7A0BCF25">
            <w:pPr>
              <w:pStyle w:val="714"/>
              <w:rPr>
                <w:color w:val="auto"/>
              </w:rPr>
            </w:pPr>
            <w:r>
              <w:rPr>
                <w:rFonts w:hint="eastAsia"/>
                <w:color w:val="auto"/>
              </w:rPr>
              <w:t>50</w:t>
            </w:r>
          </w:p>
        </w:tc>
        <w:tc>
          <w:tcPr>
            <w:tcW w:w="533" w:type="pct"/>
            <w:tcBorders>
              <w:tl2br w:val="nil"/>
              <w:tr2bl w:val="nil"/>
            </w:tcBorders>
            <w:vAlign w:val="center"/>
          </w:tcPr>
          <w:p w14:paraId="3216C324">
            <w:pPr>
              <w:pStyle w:val="714"/>
              <w:rPr>
                <w:color w:val="auto"/>
              </w:rPr>
            </w:pPr>
            <w:r>
              <w:rPr>
                <w:rFonts w:hint="eastAsia"/>
                <w:color w:val="auto"/>
              </w:rPr>
              <w:t>4</w:t>
            </w:r>
          </w:p>
        </w:tc>
        <w:tc>
          <w:tcPr>
            <w:tcW w:w="535" w:type="pct"/>
            <w:tcBorders>
              <w:tl2br w:val="nil"/>
              <w:tr2bl w:val="nil"/>
            </w:tcBorders>
            <w:vAlign w:val="center"/>
          </w:tcPr>
          <w:p w14:paraId="2E4909EE">
            <w:pPr>
              <w:pStyle w:val="714"/>
              <w:rPr>
                <w:rFonts w:ascii="Times New Roman" w:hAnsi="Times New Roman" w:eastAsiaTheme="majorEastAsia" w:cstheme="minorBidi"/>
                <w:color w:val="auto"/>
                <w:kern w:val="2"/>
                <w:sz w:val="21"/>
                <w:szCs w:val="22"/>
                <w:lang w:val="en-US" w:eastAsia="zh-CN" w:bidi="ar-SA"/>
              </w:rPr>
            </w:pPr>
            <w:r>
              <w:rPr>
                <w:rFonts w:hint="eastAsia"/>
                <w:color w:val="auto"/>
              </w:rPr>
              <w:t>1.0</w:t>
            </w:r>
          </w:p>
        </w:tc>
        <w:tc>
          <w:tcPr>
            <w:tcW w:w="536" w:type="pct"/>
            <w:tcBorders>
              <w:tl2br w:val="nil"/>
              <w:tr2bl w:val="nil"/>
            </w:tcBorders>
            <w:vAlign w:val="center"/>
          </w:tcPr>
          <w:p w14:paraId="27B812E2">
            <w:pPr>
              <w:pStyle w:val="714"/>
              <w:rPr>
                <w:color w:val="auto"/>
              </w:rPr>
            </w:pPr>
            <w:r>
              <w:rPr>
                <w:rFonts w:hint="eastAsia"/>
                <w:color w:val="auto"/>
              </w:rPr>
              <w:t>1.0</w:t>
            </w:r>
          </w:p>
        </w:tc>
      </w:tr>
      <w:tr w14:paraId="1C7B06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37" w:type="pct"/>
            <w:vMerge w:val="restart"/>
            <w:tcBorders>
              <w:tl2br w:val="nil"/>
              <w:tr2bl w:val="nil"/>
            </w:tcBorders>
            <w:vAlign w:val="center"/>
          </w:tcPr>
          <w:p w14:paraId="682A2583">
            <w:pPr>
              <w:pStyle w:val="714"/>
              <w:rPr>
                <w:color w:val="auto"/>
              </w:rPr>
            </w:pPr>
            <w:r>
              <w:rPr>
                <w:rFonts w:hint="eastAsia"/>
                <w:color w:val="auto"/>
              </w:rPr>
              <w:t>二级</w:t>
            </w:r>
          </w:p>
          <w:p w14:paraId="33EE0289">
            <w:pPr>
              <w:pStyle w:val="714"/>
              <w:rPr>
                <w:color w:val="auto"/>
              </w:rPr>
            </w:pPr>
            <w:r>
              <w:rPr>
                <w:rFonts w:hint="eastAsia"/>
                <w:color w:val="auto"/>
              </w:rPr>
              <w:t>处理</w:t>
            </w:r>
          </w:p>
        </w:tc>
        <w:tc>
          <w:tcPr>
            <w:tcW w:w="1115" w:type="pct"/>
            <w:tcBorders>
              <w:tl2br w:val="nil"/>
              <w:tr2bl w:val="nil"/>
            </w:tcBorders>
            <w:vAlign w:val="center"/>
          </w:tcPr>
          <w:p w14:paraId="4CE4037B">
            <w:pPr>
              <w:pStyle w:val="714"/>
              <w:rPr>
                <w:color w:val="auto"/>
              </w:rPr>
            </w:pPr>
            <w:r>
              <w:rPr>
                <w:rFonts w:hint="eastAsia"/>
                <w:color w:val="auto"/>
              </w:rPr>
              <w:t>微氧低循环生化池</w:t>
            </w:r>
          </w:p>
        </w:tc>
        <w:tc>
          <w:tcPr>
            <w:tcW w:w="675" w:type="pct"/>
            <w:tcBorders>
              <w:tl2br w:val="nil"/>
              <w:tr2bl w:val="nil"/>
            </w:tcBorders>
            <w:vAlign w:val="center"/>
          </w:tcPr>
          <w:p w14:paraId="62666AFC">
            <w:pPr>
              <w:pStyle w:val="714"/>
              <w:rPr>
                <w:color w:val="auto"/>
              </w:rPr>
            </w:pPr>
            <w:r>
              <w:rPr>
                <w:rFonts w:hint="eastAsia"/>
                <w:color w:val="auto"/>
              </w:rPr>
              <w:t>26.95</w:t>
            </w:r>
          </w:p>
        </w:tc>
        <w:tc>
          <w:tcPr>
            <w:tcW w:w="533" w:type="pct"/>
            <w:tcBorders>
              <w:tl2br w:val="nil"/>
              <w:tr2bl w:val="nil"/>
            </w:tcBorders>
            <w:vAlign w:val="center"/>
          </w:tcPr>
          <w:p w14:paraId="0E233591">
            <w:pPr>
              <w:pStyle w:val="714"/>
              <w:rPr>
                <w:color w:val="auto"/>
              </w:rPr>
            </w:pPr>
            <w:r>
              <w:rPr>
                <w:rFonts w:hint="eastAsia"/>
                <w:color w:val="auto"/>
              </w:rPr>
              <w:t>1</w:t>
            </w:r>
            <w:r>
              <w:rPr>
                <w:color w:val="auto"/>
              </w:rPr>
              <w:t>16.67</w:t>
            </w:r>
          </w:p>
        </w:tc>
        <w:tc>
          <w:tcPr>
            <w:tcW w:w="533" w:type="pct"/>
            <w:tcBorders>
              <w:tl2br w:val="nil"/>
              <w:tr2bl w:val="nil"/>
            </w:tcBorders>
            <w:vAlign w:val="center"/>
          </w:tcPr>
          <w:p w14:paraId="77CAC45A">
            <w:pPr>
              <w:pStyle w:val="714"/>
              <w:rPr>
                <w:color w:val="auto"/>
              </w:rPr>
            </w:pPr>
            <w:r>
              <w:rPr>
                <w:rFonts w:hint="eastAsia"/>
                <w:color w:val="auto"/>
              </w:rPr>
              <w:t>50</w:t>
            </w:r>
          </w:p>
        </w:tc>
        <w:tc>
          <w:tcPr>
            <w:tcW w:w="533" w:type="pct"/>
            <w:tcBorders>
              <w:tl2br w:val="nil"/>
              <w:tr2bl w:val="nil"/>
            </w:tcBorders>
            <w:vAlign w:val="center"/>
          </w:tcPr>
          <w:p w14:paraId="38DBB83E">
            <w:pPr>
              <w:pStyle w:val="714"/>
              <w:rPr>
                <w:color w:val="auto"/>
              </w:rPr>
            </w:pPr>
            <w:r>
              <w:rPr>
                <w:rFonts w:hint="eastAsia"/>
                <w:color w:val="auto"/>
              </w:rPr>
              <w:t>4</w:t>
            </w:r>
          </w:p>
        </w:tc>
        <w:tc>
          <w:tcPr>
            <w:tcW w:w="535" w:type="pct"/>
            <w:tcBorders>
              <w:tl2br w:val="nil"/>
              <w:tr2bl w:val="nil"/>
            </w:tcBorders>
            <w:vAlign w:val="center"/>
          </w:tcPr>
          <w:p w14:paraId="6037ECA0">
            <w:pPr>
              <w:pStyle w:val="714"/>
              <w:rPr>
                <w:rFonts w:ascii="Times New Roman" w:hAnsi="Times New Roman" w:eastAsiaTheme="majorEastAsia" w:cstheme="minorBidi"/>
                <w:color w:val="auto"/>
                <w:kern w:val="2"/>
                <w:sz w:val="21"/>
                <w:szCs w:val="22"/>
                <w:lang w:val="en-US" w:eastAsia="zh-CN" w:bidi="ar-SA"/>
              </w:rPr>
            </w:pPr>
            <w:r>
              <w:rPr>
                <w:rFonts w:hint="eastAsia"/>
                <w:color w:val="auto"/>
              </w:rPr>
              <w:t>1.0</w:t>
            </w:r>
          </w:p>
        </w:tc>
        <w:tc>
          <w:tcPr>
            <w:tcW w:w="536" w:type="pct"/>
            <w:tcBorders>
              <w:tl2br w:val="nil"/>
              <w:tr2bl w:val="nil"/>
            </w:tcBorders>
            <w:vAlign w:val="center"/>
          </w:tcPr>
          <w:p w14:paraId="5BBA7DDA">
            <w:pPr>
              <w:pStyle w:val="714"/>
              <w:rPr>
                <w:rFonts w:hint="eastAsia" w:eastAsiaTheme="majorEastAsia"/>
                <w:color w:val="auto"/>
                <w:lang w:val="en-US" w:eastAsia="zh-CN"/>
              </w:rPr>
            </w:pPr>
            <w:r>
              <w:rPr>
                <w:rFonts w:hint="eastAsia"/>
                <w:color w:val="auto"/>
              </w:rPr>
              <w:t>1.</w:t>
            </w:r>
            <w:r>
              <w:rPr>
                <w:rFonts w:hint="eastAsia"/>
                <w:color w:val="auto"/>
                <w:lang w:val="en-US" w:eastAsia="zh-CN"/>
              </w:rPr>
              <w:t>0</w:t>
            </w:r>
          </w:p>
        </w:tc>
      </w:tr>
      <w:tr w14:paraId="2EBD8C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37" w:type="pct"/>
            <w:vMerge w:val="continue"/>
            <w:tcBorders>
              <w:tl2br w:val="nil"/>
              <w:tr2bl w:val="nil"/>
            </w:tcBorders>
            <w:vAlign w:val="center"/>
          </w:tcPr>
          <w:p w14:paraId="36C21623">
            <w:pPr>
              <w:pStyle w:val="714"/>
              <w:rPr>
                <w:color w:val="auto"/>
              </w:rPr>
            </w:pPr>
          </w:p>
        </w:tc>
        <w:tc>
          <w:tcPr>
            <w:tcW w:w="1115" w:type="pct"/>
            <w:tcBorders>
              <w:tl2br w:val="nil"/>
              <w:tr2bl w:val="nil"/>
            </w:tcBorders>
            <w:vAlign w:val="center"/>
          </w:tcPr>
          <w:p w14:paraId="4ED800C0">
            <w:pPr>
              <w:pStyle w:val="714"/>
              <w:rPr>
                <w:color w:val="auto"/>
              </w:rPr>
            </w:pPr>
            <w:r>
              <w:rPr>
                <w:rFonts w:hint="eastAsia"/>
                <w:color w:val="auto"/>
              </w:rPr>
              <w:t>反硝化深床滤池</w:t>
            </w:r>
          </w:p>
        </w:tc>
        <w:tc>
          <w:tcPr>
            <w:tcW w:w="675" w:type="pct"/>
            <w:tcBorders>
              <w:tl2br w:val="nil"/>
              <w:tr2bl w:val="nil"/>
            </w:tcBorders>
            <w:vAlign w:val="center"/>
          </w:tcPr>
          <w:p w14:paraId="4FA19CE4">
            <w:pPr>
              <w:pStyle w:val="714"/>
              <w:rPr>
                <w:color w:val="auto"/>
              </w:rPr>
            </w:pPr>
            <w:r>
              <w:rPr>
                <w:rFonts w:hint="eastAsia"/>
                <w:color w:val="auto"/>
              </w:rPr>
              <w:t>33.18</w:t>
            </w:r>
          </w:p>
        </w:tc>
        <w:tc>
          <w:tcPr>
            <w:tcW w:w="533" w:type="pct"/>
            <w:tcBorders>
              <w:tl2br w:val="nil"/>
              <w:tr2bl w:val="nil"/>
            </w:tcBorders>
            <w:vAlign w:val="center"/>
          </w:tcPr>
          <w:p w14:paraId="060CBA30">
            <w:pPr>
              <w:pStyle w:val="714"/>
              <w:rPr>
                <w:color w:val="auto"/>
              </w:rPr>
            </w:pPr>
            <w:r>
              <w:rPr>
                <w:rFonts w:hint="eastAsia"/>
                <w:color w:val="auto"/>
              </w:rPr>
              <w:t>1</w:t>
            </w:r>
            <w:r>
              <w:rPr>
                <w:color w:val="auto"/>
              </w:rPr>
              <w:t>16.67</w:t>
            </w:r>
          </w:p>
        </w:tc>
        <w:tc>
          <w:tcPr>
            <w:tcW w:w="533" w:type="pct"/>
            <w:tcBorders>
              <w:tl2br w:val="nil"/>
              <w:tr2bl w:val="nil"/>
            </w:tcBorders>
            <w:vAlign w:val="center"/>
          </w:tcPr>
          <w:p w14:paraId="314F715F">
            <w:pPr>
              <w:pStyle w:val="714"/>
              <w:rPr>
                <w:color w:val="auto"/>
              </w:rPr>
            </w:pPr>
            <w:r>
              <w:rPr>
                <w:rFonts w:hint="eastAsia"/>
                <w:color w:val="auto"/>
              </w:rPr>
              <w:t>50</w:t>
            </w:r>
          </w:p>
        </w:tc>
        <w:tc>
          <w:tcPr>
            <w:tcW w:w="533" w:type="pct"/>
            <w:tcBorders>
              <w:tl2br w:val="nil"/>
              <w:tr2bl w:val="nil"/>
            </w:tcBorders>
            <w:vAlign w:val="center"/>
          </w:tcPr>
          <w:p w14:paraId="4FBD0A40">
            <w:pPr>
              <w:pStyle w:val="714"/>
              <w:rPr>
                <w:color w:val="auto"/>
              </w:rPr>
            </w:pPr>
            <w:r>
              <w:rPr>
                <w:rFonts w:hint="eastAsia"/>
                <w:color w:val="auto"/>
              </w:rPr>
              <w:t>4</w:t>
            </w:r>
          </w:p>
        </w:tc>
        <w:tc>
          <w:tcPr>
            <w:tcW w:w="535" w:type="pct"/>
            <w:tcBorders>
              <w:tl2br w:val="nil"/>
              <w:tr2bl w:val="nil"/>
            </w:tcBorders>
            <w:vAlign w:val="center"/>
          </w:tcPr>
          <w:p w14:paraId="223F10B2">
            <w:pPr>
              <w:pStyle w:val="714"/>
              <w:rPr>
                <w:rFonts w:ascii="Times New Roman" w:hAnsi="Times New Roman" w:eastAsiaTheme="majorEastAsia" w:cstheme="minorBidi"/>
                <w:color w:val="auto"/>
                <w:kern w:val="2"/>
                <w:sz w:val="21"/>
                <w:szCs w:val="22"/>
                <w:lang w:val="en-US" w:eastAsia="zh-CN" w:bidi="ar-SA"/>
              </w:rPr>
            </w:pPr>
            <w:r>
              <w:rPr>
                <w:rFonts w:hint="eastAsia"/>
                <w:color w:val="auto"/>
              </w:rPr>
              <w:t>1.0</w:t>
            </w:r>
          </w:p>
        </w:tc>
        <w:tc>
          <w:tcPr>
            <w:tcW w:w="536" w:type="pct"/>
            <w:tcBorders>
              <w:tl2br w:val="nil"/>
              <w:tr2bl w:val="nil"/>
            </w:tcBorders>
            <w:vAlign w:val="center"/>
          </w:tcPr>
          <w:p w14:paraId="32CE486F">
            <w:pPr>
              <w:pStyle w:val="714"/>
              <w:rPr>
                <w:color w:val="auto"/>
              </w:rPr>
            </w:pPr>
            <w:r>
              <w:rPr>
                <w:rFonts w:hint="eastAsia"/>
                <w:color w:val="auto"/>
              </w:rPr>
              <w:t>1.0</w:t>
            </w:r>
          </w:p>
        </w:tc>
      </w:tr>
      <w:tr w14:paraId="5EC87F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37" w:type="pct"/>
            <w:tcBorders>
              <w:tl2br w:val="nil"/>
              <w:tr2bl w:val="nil"/>
            </w:tcBorders>
            <w:vAlign w:val="center"/>
          </w:tcPr>
          <w:p w14:paraId="38C639AB">
            <w:pPr>
              <w:pStyle w:val="714"/>
              <w:rPr>
                <w:color w:val="auto"/>
              </w:rPr>
            </w:pPr>
            <w:r>
              <w:rPr>
                <w:rFonts w:hint="eastAsia"/>
                <w:color w:val="auto"/>
              </w:rPr>
              <w:t>深度</w:t>
            </w:r>
          </w:p>
          <w:p w14:paraId="279F284B">
            <w:pPr>
              <w:pStyle w:val="714"/>
              <w:rPr>
                <w:color w:val="auto"/>
              </w:rPr>
            </w:pPr>
            <w:r>
              <w:rPr>
                <w:rFonts w:hint="eastAsia"/>
                <w:color w:val="auto"/>
              </w:rPr>
              <w:t>处理</w:t>
            </w:r>
          </w:p>
        </w:tc>
        <w:tc>
          <w:tcPr>
            <w:tcW w:w="1115" w:type="pct"/>
            <w:tcBorders>
              <w:tl2br w:val="nil"/>
              <w:tr2bl w:val="nil"/>
            </w:tcBorders>
            <w:vAlign w:val="center"/>
          </w:tcPr>
          <w:p w14:paraId="1FD9908D">
            <w:pPr>
              <w:pStyle w:val="714"/>
              <w:rPr>
                <w:color w:val="auto"/>
              </w:rPr>
            </w:pPr>
            <w:r>
              <w:rPr>
                <w:rFonts w:hint="eastAsia"/>
                <w:color w:val="auto"/>
              </w:rPr>
              <w:t>高级氧化撬装设备</w:t>
            </w:r>
          </w:p>
        </w:tc>
        <w:tc>
          <w:tcPr>
            <w:tcW w:w="675" w:type="pct"/>
            <w:tcBorders>
              <w:tl2br w:val="nil"/>
              <w:tr2bl w:val="nil"/>
            </w:tcBorders>
            <w:vAlign w:val="center"/>
          </w:tcPr>
          <w:p w14:paraId="788B39C0">
            <w:pPr>
              <w:pStyle w:val="714"/>
              <w:rPr>
                <w:color w:val="auto"/>
              </w:rPr>
            </w:pPr>
            <w:r>
              <w:rPr>
                <w:rFonts w:hint="eastAsia"/>
                <w:color w:val="auto"/>
              </w:rPr>
              <w:t>1.06</w:t>
            </w:r>
          </w:p>
        </w:tc>
        <w:tc>
          <w:tcPr>
            <w:tcW w:w="533" w:type="pct"/>
            <w:tcBorders>
              <w:tl2br w:val="nil"/>
              <w:tr2bl w:val="nil"/>
            </w:tcBorders>
            <w:vAlign w:val="center"/>
          </w:tcPr>
          <w:p w14:paraId="1033745D">
            <w:pPr>
              <w:pStyle w:val="714"/>
              <w:rPr>
                <w:color w:val="auto"/>
              </w:rPr>
            </w:pPr>
            <w:r>
              <w:rPr>
                <w:rFonts w:hint="eastAsia"/>
                <w:color w:val="auto"/>
              </w:rPr>
              <w:t>1</w:t>
            </w:r>
            <w:r>
              <w:rPr>
                <w:color w:val="auto"/>
              </w:rPr>
              <w:t>16.67</w:t>
            </w:r>
          </w:p>
        </w:tc>
        <w:tc>
          <w:tcPr>
            <w:tcW w:w="533" w:type="pct"/>
            <w:tcBorders>
              <w:tl2br w:val="nil"/>
              <w:tr2bl w:val="nil"/>
            </w:tcBorders>
            <w:vAlign w:val="center"/>
          </w:tcPr>
          <w:p w14:paraId="2103BFC5">
            <w:pPr>
              <w:pStyle w:val="714"/>
              <w:rPr>
                <w:color w:val="auto"/>
              </w:rPr>
            </w:pPr>
            <w:r>
              <w:rPr>
                <w:rFonts w:hint="eastAsia"/>
                <w:color w:val="auto"/>
              </w:rPr>
              <w:t>50</w:t>
            </w:r>
          </w:p>
        </w:tc>
        <w:tc>
          <w:tcPr>
            <w:tcW w:w="533" w:type="pct"/>
            <w:tcBorders>
              <w:tl2br w:val="nil"/>
              <w:tr2bl w:val="nil"/>
            </w:tcBorders>
            <w:vAlign w:val="center"/>
          </w:tcPr>
          <w:p w14:paraId="27E0B3F2">
            <w:pPr>
              <w:pStyle w:val="714"/>
              <w:rPr>
                <w:color w:val="auto"/>
              </w:rPr>
            </w:pPr>
            <w:r>
              <w:rPr>
                <w:rFonts w:hint="eastAsia"/>
                <w:color w:val="auto"/>
              </w:rPr>
              <w:t>4</w:t>
            </w:r>
          </w:p>
        </w:tc>
        <w:tc>
          <w:tcPr>
            <w:tcW w:w="535" w:type="pct"/>
            <w:tcBorders>
              <w:tl2br w:val="nil"/>
              <w:tr2bl w:val="nil"/>
            </w:tcBorders>
            <w:vAlign w:val="center"/>
          </w:tcPr>
          <w:p w14:paraId="72641A69">
            <w:pPr>
              <w:pStyle w:val="714"/>
              <w:rPr>
                <w:rFonts w:ascii="Times New Roman" w:hAnsi="Times New Roman" w:eastAsiaTheme="majorEastAsia" w:cstheme="minorBidi"/>
                <w:color w:val="auto"/>
                <w:kern w:val="2"/>
                <w:sz w:val="21"/>
                <w:szCs w:val="22"/>
                <w:lang w:val="en-US" w:eastAsia="zh-CN" w:bidi="ar-SA"/>
              </w:rPr>
            </w:pPr>
            <w:r>
              <w:rPr>
                <w:rFonts w:hint="eastAsia"/>
                <w:color w:val="auto"/>
              </w:rPr>
              <w:t>1.0</w:t>
            </w:r>
          </w:p>
        </w:tc>
        <w:tc>
          <w:tcPr>
            <w:tcW w:w="536" w:type="pct"/>
            <w:tcBorders>
              <w:tl2br w:val="nil"/>
              <w:tr2bl w:val="nil"/>
            </w:tcBorders>
            <w:vAlign w:val="center"/>
          </w:tcPr>
          <w:p w14:paraId="54A1D07F">
            <w:pPr>
              <w:pStyle w:val="714"/>
              <w:rPr>
                <w:color w:val="auto"/>
              </w:rPr>
            </w:pPr>
            <w:r>
              <w:rPr>
                <w:rFonts w:hint="eastAsia"/>
                <w:color w:val="auto"/>
              </w:rPr>
              <w:t>1.0</w:t>
            </w:r>
          </w:p>
        </w:tc>
      </w:tr>
      <w:tr w14:paraId="0D3683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37" w:type="pct"/>
            <w:vMerge w:val="restart"/>
            <w:tcBorders>
              <w:tl2br w:val="nil"/>
              <w:tr2bl w:val="nil"/>
            </w:tcBorders>
            <w:vAlign w:val="center"/>
          </w:tcPr>
          <w:p w14:paraId="4CCBDE58">
            <w:pPr>
              <w:pStyle w:val="714"/>
              <w:rPr>
                <w:color w:val="auto"/>
              </w:rPr>
            </w:pPr>
            <w:r>
              <w:rPr>
                <w:rFonts w:hint="eastAsia"/>
                <w:color w:val="auto"/>
              </w:rPr>
              <w:t>污泥</w:t>
            </w:r>
          </w:p>
          <w:p w14:paraId="441DA697">
            <w:pPr>
              <w:pStyle w:val="714"/>
              <w:rPr>
                <w:color w:val="auto"/>
              </w:rPr>
            </w:pPr>
            <w:r>
              <w:rPr>
                <w:rFonts w:hint="eastAsia"/>
                <w:color w:val="auto"/>
              </w:rPr>
              <w:t>处理</w:t>
            </w:r>
          </w:p>
        </w:tc>
        <w:tc>
          <w:tcPr>
            <w:tcW w:w="1115" w:type="pct"/>
            <w:tcBorders>
              <w:tl2br w:val="nil"/>
              <w:tr2bl w:val="nil"/>
            </w:tcBorders>
            <w:vAlign w:val="center"/>
          </w:tcPr>
          <w:p w14:paraId="408CD9C7">
            <w:pPr>
              <w:pStyle w:val="714"/>
              <w:rPr>
                <w:color w:val="auto"/>
              </w:rPr>
            </w:pPr>
            <w:r>
              <w:rPr>
                <w:rFonts w:hint="eastAsia"/>
                <w:color w:val="auto"/>
              </w:rPr>
              <w:t>磁混凝沉淀池</w:t>
            </w:r>
          </w:p>
        </w:tc>
        <w:tc>
          <w:tcPr>
            <w:tcW w:w="675" w:type="pct"/>
            <w:tcBorders>
              <w:tl2br w:val="nil"/>
              <w:tr2bl w:val="nil"/>
            </w:tcBorders>
            <w:vAlign w:val="center"/>
          </w:tcPr>
          <w:p w14:paraId="768B88D9">
            <w:pPr>
              <w:pStyle w:val="714"/>
              <w:rPr>
                <w:color w:val="auto"/>
              </w:rPr>
            </w:pPr>
            <w:r>
              <w:rPr>
                <w:rFonts w:hint="eastAsia"/>
                <w:color w:val="auto"/>
              </w:rPr>
              <w:t>13.81</w:t>
            </w:r>
          </w:p>
        </w:tc>
        <w:tc>
          <w:tcPr>
            <w:tcW w:w="533" w:type="pct"/>
            <w:tcBorders>
              <w:tl2br w:val="nil"/>
              <w:tr2bl w:val="nil"/>
            </w:tcBorders>
            <w:vAlign w:val="center"/>
          </w:tcPr>
          <w:p w14:paraId="620DD9B3">
            <w:pPr>
              <w:pStyle w:val="714"/>
              <w:rPr>
                <w:color w:val="auto"/>
              </w:rPr>
            </w:pPr>
            <w:r>
              <w:rPr>
                <w:rFonts w:hint="eastAsia"/>
                <w:color w:val="auto"/>
              </w:rPr>
              <w:t>1</w:t>
            </w:r>
            <w:r>
              <w:rPr>
                <w:color w:val="auto"/>
              </w:rPr>
              <w:t>16.67</w:t>
            </w:r>
          </w:p>
        </w:tc>
        <w:tc>
          <w:tcPr>
            <w:tcW w:w="533" w:type="pct"/>
            <w:tcBorders>
              <w:tl2br w:val="nil"/>
              <w:tr2bl w:val="nil"/>
            </w:tcBorders>
            <w:vAlign w:val="center"/>
          </w:tcPr>
          <w:p w14:paraId="4865A562">
            <w:pPr>
              <w:pStyle w:val="714"/>
              <w:rPr>
                <w:color w:val="auto"/>
              </w:rPr>
            </w:pPr>
            <w:r>
              <w:rPr>
                <w:rFonts w:hint="eastAsia"/>
                <w:color w:val="auto"/>
              </w:rPr>
              <w:t>50</w:t>
            </w:r>
          </w:p>
        </w:tc>
        <w:tc>
          <w:tcPr>
            <w:tcW w:w="533" w:type="pct"/>
            <w:tcBorders>
              <w:tl2br w:val="nil"/>
              <w:tr2bl w:val="nil"/>
            </w:tcBorders>
            <w:vAlign w:val="center"/>
          </w:tcPr>
          <w:p w14:paraId="7E867604">
            <w:pPr>
              <w:pStyle w:val="714"/>
              <w:rPr>
                <w:color w:val="auto"/>
              </w:rPr>
            </w:pPr>
            <w:r>
              <w:rPr>
                <w:rFonts w:hint="eastAsia"/>
                <w:color w:val="auto"/>
              </w:rPr>
              <w:t>4</w:t>
            </w:r>
          </w:p>
        </w:tc>
        <w:tc>
          <w:tcPr>
            <w:tcW w:w="535" w:type="pct"/>
            <w:tcBorders>
              <w:tl2br w:val="nil"/>
              <w:tr2bl w:val="nil"/>
            </w:tcBorders>
            <w:vAlign w:val="center"/>
          </w:tcPr>
          <w:p w14:paraId="076A7A5B">
            <w:pPr>
              <w:pStyle w:val="714"/>
              <w:rPr>
                <w:rFonts w:ascii="Times New Roman" w:hAnsi="Times New Roman" w:eastAsiaTheme="majorEastAsia" w:cstheme="minorBidi"/>
                <w:color w:val="auto"/>
                <w:kern w:val="2"/>
                <w:sz w:val="21"/>
                <w:szCs w:val="22"/>
                <w:lang w:val="en-US" w:eastAsia="zh-CN" w:bidi="ar-SA"/>
              </w:rPr>
            </w:pPr>
            <w:r>
              <w:rPr>
                <w:rFonts w:hint="eastAsia"/>
                <w:color w:val="auto"/>
              </w:rPr>
              <w:t>1.0</w:t>
            </w:r>
          </w:p>
        </w:tc>
        <w:tc>
          <w:tcPr>
            <w:tcW w:w="536" w:type="pct"/>
            <w:tcBorders>
              <w:tl2br w:val="nil"/>
              <w:tr2bl w:val="nil"/>
            </w:tcBorders>
            <w:vAlign w:val="center"/>
          </w:tcPr>
          <w:p w14:paraId="53054BB7">
            <w:pPr>
              <w:pStyle w:val="714"/>
              <w:rPr>
                <w:color w:val="auto"/>
              </w:rPr>
            </w:pPr>
            <w:r>
              <w:rPr>
                <w:rFonts w:hint="eastAsia"/>
                <w:color w:val="auto"/>
              </w:rPr>
              <w:t>1.0</w:t>
            </w:r>
          </w:p>
        </w:tc>
      </w:tr>
      <w:tr w14:paraId="708E78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37" w:type="pct"/>
            <w:vMerge w:val="continue"/>
            <w:tcBorders>
              <w:tl2br w:val="nil"/>
              <w:tr2bl w:val="nil"/>
            </w:tcBorders>
            <w:vAlign w:val="center"/>
          </w:tcPr>
          <w:p w14:paraId="7F4F3056">
            <w:pPr>
              <w:pStyle w:val="714"/>
              <w:rPr>
                <w:color w:val="auto"/>
              </w:rPr>
            </w:pPr>
          </w:p>
        </w:tc>
        <w:tc>
          <w:tcPr>
            <w:tcW w:w="1115" w:type="pct"/>
            <w:tcBorders>
              <w:tl2br w:val="nil"/>
              <w:tr2bl w:val="nil"/>
            </w:tcBorders>
            <w:vAlign w:val="center"/>
          </w:tcPr>
          <w:p w14:paraId="1BFE5B8A">
            <w:pPr>
              <w:pStyle w:val="714"/>
              <w:rPr>
                <w:color w:val="auto"/>
              </w:rPr>
            </w:pPr>
            <w:r>
              <w:rPr>
                <w:rFonts w:hint="eastAsia"/>
                <w:color w:val="auto"/>
              </w:rPr>
              <w:t>污泥池</w:t>
            </w:r>
          </w:p>
        </w:tc>
        <w:tc>
          <w:tcPr>
            <w:tcW w:w="675" w:type="pct"/>
            <w:tcBorders>
              <w:tl2br w:val="nil"/>
              <w:tr2bl w:val="nil"/>
            </w:tcBorders>
            <w:vAlign w:val="center"/>
          </w:tcPr>
          <w:p w14:paraId="080A8033">
            <w:pPr>
              <w:pStyle w:val="714"/>
              <w:rPr>
                <w:color w:val="auto"/>
              </w:rPr>
            </w:pPr>
            <w:r>
              <w:rPr>
                <w:rFonts w:hint="eastAsia"/>
                <w:color w:val="auto"/>
              </w:rPr>
              <w:t>3.46</w:t>
            </w:r>
          </w:p>
        </w:tc>
        <w:tc>
          <w:tcPr>
            <w:tcW w:w="533" w:type="pct"/>
            <w:tcBorders>
              <w:tl2br w:val="nil"/>
              <w:tr2bl w:val="nil"/>
            </w:tcBorders>
            <w:vAlign w:val="center"/>
          </w:tcPr>
          <w:p w14:paraId="15E4C772">
            <w:pPr>
              <w:pStyle w:val="714"/>
              <w:rPr>
                <w:color w:val="auto"/>
              </w:rPr>
            </w:pPr>
            <w:r>
              <w:rPr>
                <w:rFonts w:hint="eastAsia"/>
                <w:color w:val="auto"/>
              </w:rPr>
              <w:t>1</w:t>
            </w:r>
            <w:r>
              <w:rPr>
                <w:color w:val="auto"/>
              </w:rPr>
              <w:t>16.67</w:t>
            </w:r>
          </w:p>
        </w:tc>
        <w:tc>
          <w:tcPr>
            <w:tcW w:w="533" w:type="pct"/>
            <w:tcBorders>
              <w:tl2br w:val="nil"/>
              <w:tr2bl w:val="nil"/>
            </w:tcBorders>
            <w:vAlign w:val="center"/>
          </w:tcPr>
          <w:p w14:paraId="04C42C9F">
            <w:pPr>
              <w:pStyle w:val="714"/>
              <w:rPr>
                <w:color w:val="auto"/>
              </w:rPr>
            </w:pPr>
            <w:r>
              <w:rPr>
                <w:rFonts w:hint="eastAsia"/>
                <w:color w:val="auto"/>
              </w:rPr>
              <w:t>50</w:t>
            </w:r>
          </w:p>
        </w:tc>
        <w:tc>
          <w:tcPr>
            <w:tcW w:w="533" w:type="pct"/>
            <w:tcBorders>
              <w:tl2br w:val="nil"/>
              <w:tr2bl w:val="nil"/>
            </w:tcBorders>
            <w:vAlign w:val="center"/>
          </w:tcPr>
          <w:p w14:paraId="74F078D2">
            <w:pPr>
              <w:pStyle w:val="714"/>
              <w:rPr>
                <w:color w:val="auto"/>
              </w:rPr>
            </w:pPr>
            <w:r>
              <w:rPr>
                <w:rFonts w:hint="eastAsia"/>
                <w:color w:val="auto"/>
              </w:rPr>
              <w:t>4</w:t>
            </w:r>
          </w:p>
        </w:tc>
        <w:tc>
          <w:tcPr>
            <w:tcW w:w="535" w:type="pct"/>
            <w:tcBorders>
              <w:tl2br w:val="nil"/>
              <w:tr2bl w:val="nil"/>
            </w:tcBorders>
            <w:vAlign w:val="center"/>
          </w:tcPr>
          <w:p w14:paraId="4857FECF">
            <w:pPr>
              <w:pStyle w:val="714"/>
              <w:rPr>
                <w:rFonts w:ascii="Times New Roman" w:hAnsi="Times New Roman" w:eastAsiaTheme="majorEastAsia" w:cstheme="minorBidi"/>
                <w:color w:val="auto"/>
                <w:kern w:val="2"/>
                <w:sz w:val="21"/>
                <w:szCs w:val="22"/>
                <w:lang w:val="en-US" w:eastAsia="zh-CN" w:bidi="ar-SA"/>
              </w:rPr>
            </w:pPr>
            <w:r>
              <w:rPr>
                <w:rFonts w:hint="eastAsia"/>
                <w:color w:val="auto"/>
              </w:rPr>
              <w:t>1.0</w:t>
            </w:r>
          </w:p>
        </w:tc>
        <w:tc>
          <w:tcPr>
            <w:tcW w:w="536" w:type="pct"/>
            <w:tcBorders>
              <w:tl2br w:val="nil"/>
              <w:tr2bl w:val="nil"/>
            </w:tcBorders>
            <w:vAlign w:val="center"/>
          </w:tcPr>
          <w:p w14:paraId="4241C77A">
            <w:pPr>
              <w:pStyle w:val="714"/>
              <w:rPr>
                <w:color w:val="auto"/>
              </w:rPr>
            </w:pPr>
            <w:r>
              <w:rPr>
                <w:rFonts w:hint="eastAsia"/>
                <w:color w:val="auto"/>
              </w:rPr>
              <w:t>1.0</w:t>
            </w:r>
          </w:p>
        </w:tc>
      </w:tr>
      <w:bookmarkEnd w:id="239"/>
      <w:bookmarkEnd w:id="240"/>
    </w:tbl>
    <w:p w14:paraId="24A7FC6E">
      <w:pPr>
        <w:pStyle w:val="700"/>
        <w:rPr>
          <w:b/>
          <w:bCs/>
          <w:color w:val="auto"/>
          <w:sz w:val="21"/>
          <w:szCs w:val="21"/>
        </w:rPr>
      </w:pPr>
      <w:r>
        <w:rPr>
          <w:b/>
          <w:bCs/>
          <w:color w:val="auto"/>
          <w:sz w:val="21"/>
          <w:szCs w:val="21"/>
        </w:rPr>
        <w:t>备注：本次COD</w:t>
      </w:r>
      <w:r>
        <w:rPr>
          <w:b/>
          <w:bCs/>
          <w:color w:val="auto"/>
          <w:sz w:val="21"/>
          <w:szCs w:val="21"/>
          <w:vertAlign w:val="subscript"/>
        </w:rPr>
        <w:t>Mn</w:t>
      </w:r>
      <w:r>
        <w:rPr>
          <w:b/>
          <w:bCs/>
          <w:color w:val="auto"/>
          <w:sz w:val="21"/>
          <w:szCs w:val="21"/>
        </w:rPr>
        <w:t>与COD</w:t>
      </w:r>
      <w:r>
        <w:rPr>
          <w:b/>
          <w:bCs/>
          <w:color w:val="auto"/>
          <w:sz w:val="21"/>
          <w:szCs w:val="21"/>
          <w:vertAlign w:val="subscript"/>
        </w:rPr>
        <w:t>Cr</w:t>
      </w:r>
      <w:r>
        <w:rPr>
          <w:b/>
          <w:bCs/>
          <w:color w:val="auto"/>
          <w:sz w:val="21"/>
          <w:szCs w:val="21"/>
        </w:rPr>
        <w:t>按照1：3的比例关系进行换算。</w:t>
      </w:r>
    </w:p>
    <w:bookmarkEnd w:id="232"/>
    <w:bookmarkEnd w:id="233"/>
    <w:p w14:paraId="190B128D">
      <w:pPr>
        <w:pStyle w:val="10"/>
        <w:bidi w:val="0"/>
        <w:rPr>
          <w:color w:val="auto"/>
        </w:rPr>
      </w:pPr>
      <w:r>
        <w:rPr>
          <w:rFonts w:hint="eastAsia"/>
          <w:color w:val="auto"/>
          <w:lang w:val="en-US" w:eastAsia="zh-CN"/>
        </w:rPr>
        <w:t xml:space="preserve"> </w:t>
      </w:r>
      <w:r>
        <w:rPr>
          <w:color w:val="auto"/>
        </w:rPr>
        <w:t>地下水环境现状调查与评价</w:t>
      </w:r>
    </w:p>
    <w:p w14:paraId="58D36178">
      <w:pPr>
        <w:bidi w:val="0"/>
        <w:rPr>
          <w:b/>
          <w:bCs/>
          <w:color w:val="auto"/>
        </w:rPr>
      </w:pPr>
      <w:r>
        <w:rPr>
          <w:rFonts w:hint="eastAsia"/>
          <w:b/>
          <w:bCs/>
          <w:color w:val="auto"/>
          <w:lang w:val="en-US" w:eastAsia="zh-CN"/>
        </w:rPr>
        <w:t>1、</w:t>
      </w:r>
      <w:r>
        <w:rPr>
          <w:b/>
          <w:bCs/>
          <w:color w:val="auto"/>
        </w:rPr>
        <w:t>地下水环境现状调查内容与方法</w:t>
      </w:r>
    </w:p>
    <w:p w14:paraId="404F25EA">
      <w:pPr>
        <w:ind w:firstLine="480"/>
        <w:rPr>
          <w:rFonts w:cs="Times New Roman"/>
          <w:color w:val="auto"/>
        </w:rPr>
      </w:pPr>
      <w:r>
        <w:rPr>
          <w:rFonts w:cs="Times New Roman"/>
          <w:color w:val="auto"/>
        </w:rPr>
        <w:t>项目区地下水环境调查是根据建设项目所在地区的水环境特点，根据地下水环境保护目标开展调查。调查的方法主要采用收集资料法、现场调查法及钻探等。现场调查包括：水文地质基础调查、环境水文地质调查、地下水水质和污染调查等。具体调查内容有：</w:t>
      </w:r>
    </w:p>
    <w:p w14:paraId="376E5C5F">
      <w:pPr>
        <w:ind w:firstLine="480"/>
        <w:rPr>
          <w:rFonts w:cs="Times New Roman"/>
          <w:color w:val="auto"/>
        </w:rPr>
      </w:pPr>
      <w:r>
        <w:rPr>
          <w:rFonts w:cs="Times New Roman"/>
          <w:color w:val="auto"/>
        </w:rPr>
        <w:t>（1）水文地质条件调查</w:t>
      </w:r>
    </w:p>
    <w:p w14:paraId="1FDA849A">
      <w:pPr>
        <w:ind w:firstLine="480"/>
        <w:rPr>
          <w:rFonts w:cs="Times New Roman"/>
          <w:color w:val="auto"/>
        </w:rPr>
      </w:pPr>
      <w:r>
        <w:rPr>
          <w:rFonts w:cs="Times New Roman"/>
          <w:color w:val="auto"/>
        </w:rPr>
        <w:t>1）气象、水文、土壤和植被状况。</w:t>
      </w:r>
    </w:p>
    <w:p w14:paraId="1D1DC47D">
      <w:pPr>
        <w:ind w:firstLine="480"/>
        <w:rPr>
          <w:rFonts w:cs="Times New Roman"/>
          <w:color w:val="auto"/>
        </w:rPr>
      </w:pPr>
      <w:r>
        <w:rPr>
          <w:rFonts w:cs="Times New Roman"/>
          <w:color w:val="auto"/>
        </w:rPr>
        <w:t>2）地层岩性、地质构造、地貌特征与矿产资源。</w:t>
      </w:r>
    </w:p>
    <w:p w14:paraId="1A07C043">
      <w:pPr>
        <w:ind w:firstLine="480"/>
        <w:rPr>
          <w:rFonts w:cs="Times New Roman"/>
          <w:color w:val="auto"/>
        </w:rPr>
      </w:pPr>
      <w:r>
        <w:rPr>
          <w:rFonts w:cs="Times New Roman"/>
          <w:color w:val="auto"/>
        </w:rPr>
        <w:t>3）通过实地钻孔资料分析含水层的岩性、分布、结构、厚度、埋藏条件、渗透性和富水程度等；隔水层（弱透水层）的岩性、厚度、渗透性等。</w:t>
      </w:r>
    </w:p>
    <w:p w14:paraId="36677D71">
      <w:pPr>
        <w:ind w:firstLine="480"/>
        <w:rPr>
          <w:rFonts w:cs="Times New Roman"/>
          <w:color w:val="auto"/>
        </w:rPr>
      </w:pPr>
      <w:r>
        <w:rPr>
          <w:rFonts w:cs="Times New Roman"/>
          <w:color w:val="auto"/>
        </w:rPr>
        <w:t>4）结合区域地质背景特征分析区域地下水类型、补给、径流和排泄条件。</w:t>
      </w:r>
    </w:p>
    <w:p w14:paraId="3B442D3F">
      <w:pPr>
        <w:ind w:firstLine="480"/>
        <w:rPr>
          <w:rFonts w:cs="Times New Roman"/>
          <w:color w:val="auto"/>
        </w:rPr>
      </w:pPr>
      <w:r>
        <w:rPr>
          <w:rFonts w:cs="Times New Roman"/>
          <w:color w:val="auto"/>
        </w:rPr>
        <w:t>5）地下水水位、水质、水量、水温、地下水化学类型。</w:t>
      </w:r>
    </w:p>
    <w:p w14:paraId="41889185">
      <w:pPr>
        <w:ind w:firstLine="480"/>
        <w:rPr>
          <w:rFonts w:cs="Times New Roman"/>
          <w:color w:val="auto"/>
        </w:rPr>
      </w:pPr>
      <w:r>
        <w:rPr>
          <w:rFonts w:cs="Times New Roman"/>
          <w:color w:val="auto"/>
        </w:rPr>
        <w:t>6）地下水资源量及现利用情况。</w:t>
      </w:r>
    </w:p>
    <w:p w14:paraId="2F4367AB">
      <w:pPr>
        <w:ind w:firstLine="480"/>
        <w:rPr>
          <w:rFonts w:cs="Times New Roman"/>
          <w:color w:val="auto"/>
        </w:rPr>
      </w:pPr>
      <w:r>
        <w:rPr>
          <w:rFonts w:cs="Times New Roman"/>
          <w:color w:val="auto"/>
        </w:rPr>
        <w:t>7）集中供水水源地和水源井的分布情况（包括开采层的成井的密度、水井结构、深度以及开采历史）。</w:t>
      </w:r>
    </w:p>
    <w:p w14:paraId="47ECE87B">
      <w:pPr>
        <w:ind w:firstLine="480"/>
        <w:rPr>
          <w:rFonts w:cs="Times New Roman"/>
          <w:color w:val="auto"/>
        </w:rPr>
      </w:pPr>
      <w:r>
        <w:rPr>
          <w:rFonts w:cs="Times New Roman"/>
          <w:color w:val="auto"/>
        </w:rPr>
        <w:t>8）地下水环境监测现状值（或地下水污染对照值）。</w:t>
      </w:r>
    </w:p>
    <w:p w14:paraId="669F9CF5">
      <w:pPr>
        <w:ind w:firstLine="480"/>
        <w:rPr>
          <w:rFonts w:cs="Times New Roman"/>
          <w:color w:val="auto"/>
        </w:rPr>
      </w:pPr>
      <w:r>
        <w:rPr>
          <w:rFonts w:cs="Times New Roman"/>
          <w:color w:val="auto"/>
        </w:rPr>
        <w:t>（2）地下水污染源调查</w:t>
      </w:r>
    </w:p>
    <w:p w14:paraId="145560E3">
      <w:pPr>
        <w:ind w:firstLine="480"/>
        <w:rPr>
          <w:rFonts w:cs="Times New Roman"/>
          <w:color w:val="auto"/>
        </w:rPr>
      </w:pPr>
      <w:r>
        <w:rPr>
          <w:rFonts w:cs="Times New Roman"/>
          <w:color w:val="auto"/>
        </w:rPr>
        <w:t>通过区域水文地质报告资料分析及现场调查厂区及周边地区可能造成或已经造成地下水污染的污染源和敏感区。</w:t>
      </w:r>
    </w:p>
    <w:p w14:paraId="2A729DF0">
      <w:pPr>
        <w:ind w:firstLine="480"/>
        <w:rPr>
          <w:rFonts w:cs="Times New Roman"/>
          <w:color w:val="auto"/>
        </w:rPr>
      </w:pPr>
      <w:r>
        <w:rPr>
          <w:rFonts w:cs="Times New Roman"/>
          <w:color w:val="auto"/>
        </w:rPr>
        <w:t>1）对已有污染源调查资料的地区，通过搜集现有资料解决。</w:t>
      </w:r>
    </w:p>
    <w:p w14:paraId="0A21BFE1">
      <w:pPr>
        <w:ind w:firstLine="480"/>
        <w:rPr>
          <w:rFonts w:cs="Times New Roman"/>
          <w:color w:val="auto"/>
        </w:rPr>
      </w:pPr>
      <w:r>
        <w:rPr>
          <w:rFonts w:cs="Times New Roman"/>
          <w:color w:val="auto"/>
        </w:rPr>
        <w:t>2）对于没有污染源调查资料，或已有部分调查资料，结合环境水文地质问题同步进行调查。对分散在评价区的非工业污染源，根据污染源的特点，参照上述规定进行调查。</w:t>
      </w:r>
    </w:p>
    <w:p w14:paraId="4BCADD59">
      <w:pPr>
        <w:bidi w:val="0"/>
        <w:rPr>
          <w:b/>
          <w:bCs/>
          <w:color w:val="auto"/>
        </w:rPr>
      </w:pPr>
      <w:r>
        <w:rPr>
          <w:rFonts w:hint="eastAsia"/>
          <w:b/>
          <w:bCs/>
          <w:color w:val="auto"/>
          <w:lang w:val="en-US" w:eastAsia="zh-CN"/>
        </w:rPr>
        <w:t>2、</w:t>
      </w:r>
      <w:r>
        <w:rPr>
          <w:b/>
          <w:bCs/>
          <w:color w:val="auto"/>
        </w:rPr>
        <w:t>地质背景</w:t>
      </w:r>
    </w:p>
    <w:p w14:paraId="409A8B87">
      <w:pPr>
        <w:bidi w:val="0"/>
        <w:rPr>
          <w:b/>
          <w:bCs/>
          <w:color w:val="auto"/>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b/>
          <w:bCs/>
          <w:color w:val="auto"/>
        </w:rPr>
        <w:t>地形地貌</w:t>
      </w:r>
    </w:p>
    <w:p w14:paraId="2562EC73">
      <w:pPr>
        <w:bidi w:val="0"/>
        <w:rPr>
          <w:color w:val="auto"/>
        </w:rPr>
      </w:pPr>
      <w:r>
        <w:rPr>
          <w:rFonts w:hint="eastAsia"/>
          <w:color w:val="auto"/>
        </w:rPr>
        <w:t>本项目评价区位于巴中市巴州区曾口镇，巴中地处四川盆地北部的低山区，地势北高南低，北及西北向南及西南倾斜。除溪河地势较低、山峰地势较高外，大部分海拔在400～800m之间。主要地貌类型有平坝、台地、低丘、高丘、低山、低中山、山原等。平坝主要分布在巴河、恩阳河、双桥河沿岸。台地除北部低中山区少见外，其余地区均有出现，较多的是东部的水宁寺镇等；低丘主要分布在巴河、恩阳河一带；高丘主要分布在区境的西南部，巴河、恩阳河两岸与平坝和低丘相邻地段；低山全区各地均有分布；低中山分布在区境北部与通江、南江交界的白庙、梓橦、寺岭、枣林等乡镇的全部或部分区域，海拔在1000～1400m之间，相对高差650～1090m；山原分布于区境低山、低中山的山顶、山脊及山坡上。恩阳区主要属米仓山南麓丘陵地貌，正好处于巴中境内低山、长梁高丘地貌向平缓坡台状丘陵地貌过渡地带，境内多为丘陵、低山，平坝较少，全区地势西北高、东南低，这与区域整体地貌轮廓一致，最高山峰高观山海拔1100余米。</w:t>
      </w:r>
    </w:p>
    <w:p w14:paraId="5F76F5D7">
      <w:pPr>
        <w:bidi w:val="0"/>
        <w:rPr>
          <w:color w:val="auto"/>
        </w:rPr>
      </w:pPr>
      <w:r>
        <w:rPr>
          <w:rFonts w:hint="eastAsia"/>
          <w:color w:val="auto"/>
        </w:rPr>
        <w:t>拟建污水处理厂原始地形起伏较大，为河流阶地，拟建场地地势北侧、西侧高，东侧、南侧较低，呈阶状分布，阶坎约1-3m。现状条件下主要为耕植地，分布有居民房屋，地表的植物未清理，场地未开挖平整。</w:t>
      </w:r>
    </w:p>
    <w:p w14:paraId="6DE090CB">
      <w:pPr>
        <w:bidi w:val="0"/>
        <w:rPr>
          <w:b/>
          <w:bCs/>
          <w:color w:val="auto"/>
        </w:rPr>
      </w:pPr>
      <w:r>
        <w:rPr>
          <w:rFonts w:hint="eastAsia"/>
          <w:b/>
          <w:bCs/>
          <w:color w:val="auto"/>
          <w:lang w:val="en-US" w:eastAsia="zh-CN"/>
        </w:rPr>
        <w:t>（2）</w:t>
      </w:r>
      <w:r>
        <w:rPr>
          <w:b/>
          <w:bCs/>
          <w:color w:val="auto"/>
        </w:rPr>
        <w:t>地层岩性</w:t>
      </w:r>
    </w:p>
    <w:p w14:paraId="0EAB604E">
      <w:pPr>
        <w:keepNext w:val="0"/>
        <w:keepLines w:val="0"/>
        <w:pageBreakBefore w:val="0"/>
        <w:widowControl w:val="0"/>
        <w:kinsoku/>
        <w:wordWrap/>
        <w:overflowPunct/>
        <w:topLinePunct w:val="0"/>
        <w:autoSpaceDE/>
        <w:autoSpaceDN/>
        <w:bidi w:val="0"/>
        <w:adjustRightInd/>
        <w:snapToGrid/>
        <w:ind w:firstLine="480"/>
        <w:rPr>
          <w:rFonts w:hint="default" w:ascii="Times New Roman" w:hAnsi="Times New Roman" w:cs="Times New Roman"/>
          <w:color w:val="auto"/>
        </w:rPr>
      </w:pPr>
      <w:r>
        <w:rPr>
          <w:rFonts w:hint="default" w:ascii="Times New Roman" w:hAnsi="Times New Roman" w:cs="Times New Roman"/>
          <w:color w:val="auto"/>
        </w:rPr>
        <w:t>根据区域地质资料并结合项目岩土工程勘察报告，项目评价区出露的地层包括第四系冲积层（Q</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al</w:t>
      </w:r>
      <w:r>
        <w:rPr>
          <w:rFonts w:hint="default" w:ascii="Times New Roman" w:hAnsi="Times New Roman" w:cs="Times New Roman"/>
          <w:color w:val="auto"/>
        </w:rPr>
        <w:t>）及第四系上更新统冲积层（Q</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al</w:t>
      </w:r>
      <w:r>
        <w:rPr>
          <w:rFonts w:hint="default" w:ascii="Times New Roman" w:hAnsi="Times New Roman" w:cs="Times New Roman"/>
          <w:color w:val="auto"/>
        </w:rPr>
        <w:t>）砂砾卵石层，下伏基岩地层为白垩系下统白龙组（K</w:t>
      </w:r>
      <w:r>
        <w:rPr>
          <w:rFonts w:hint="default" w:ascii="Times New Roman" w:hAnsi="Times New Roman" w:cs="Times New Roman"/>
          <w:color w:val="auto"/>
          <w:vertAlign w:val="subscript"/>
        </w:rPr>
        <w:t>1</w:t>
      </w:r>
      <w:r>
        <w:rPr>
          <w:rFonts w:hint="default" w:ascii="Times New Roman" w:hAnsi="Times New Roman" w:cs="Times New Roman"/>
          <w:color w:val="auto"/>
        </w:rPr>
        <w:t>b）砂泥岩。各地层岩性特征由老至新描述如下：</w:t>
      </w:r>
    </w:p>
    <w:p w14:paraId="2EE11F39">
      <w:pPr>
        <w:keepNext w:val="0"/>
        <w:keepLines w:val="0"/>
        <w:pageBreakBefore w:val="0"/>
        <w:widowControl w:val="0"/>
        <w:kinsoku/>
        <w:wordWrap/>
        <w:overflowPunct/>
        <w:topLinePunct w:val="0"/>
        <w:autoSpaceDE/>
        <w:autoSpaceDN/>
        <w:bidi w:val="0"/>
        <w:adjustRightInd/>
        <w:snapToGrid/>
        <w:ind w:firstLine="480"/>
        <w:rPr>
          <w:rFonts w:hint="default" w:ascii="Times New Roman" w:hAnsi="Times New Roman" w:cs="Times New Roman"/>
          <w:color w:val="auto"/>
        </w:rPr>
      </w:pPr>
      <w:r>
        <w:rPr>
          <w:rFonts w:hint="default" w:ascii="Times New Roman" w:hAnsi="Times New Roman" w:eastAsia="宋体" w:cs="Times New Roman"/>
          <w:color w:val="auto"/>
        </w:rPr>
        <w:t>①</w:t>
      </w:r>
      <w:r>
        <w:rPr>
          <w:rFonts w:hint="default" w:ascii="Times New Roman" w:hAnsi="Times New Roman" w:cs="Times New Roman"/>
          <w:color w:val="auto"/>
        </w:rPr>
        <w:t>白垩系下统白龙组（K</w:t>
      </w:r>
      <w:r>
        <w:rPr>
          <w:rFonts w:hint="default" w:ascii="Times New Roman" w:hAnsi="Times New Roman" w:cs="Times New Roman"/>
          <w:color w:val="auto"/>
          <w:vertAlign w:val="subscript"/>
        </w:rPr>
        <w:t>1</w:t>
      </w:r>
      <w:r>
        <w:rPr>
          <w:rFonts w:hint="default" w:ascii="Times New Roman" w:hAnsi="Times New Roman" w:cs="Times New Roman"/>
          <w:color w:val="auto"/>
        </w:rPr>
        <w:t>b）</w:t>
      </w:r>
    </w:p>
    <w:p w14:paraId="0D779F28">
      <w:pPr>
        <w:keepNext w:val="0"/>
        <w:keepLines w:val="0"/>
        <w:pageBreakBefore w:val="0"/>
        <w:widowControl w:val="0"/>
        <w:kinsoku/>
        <w:wordWrap/>
        <w:overflowPunct/>
        <w:topLinePunct w:val="0"/>
        <w:autoSpaceDE/>
        <w:autoSpaceDN/>
        <w:bidi w:val="0"/>
        <w:adjustRightInd/>
        <w:snapToGrid/>
        <w:ind w:firstLine="480"/>
        <w:rPr>
          <w:rFonts w:hint="default" w:ascii="Times New Roman" w:hAnsi="Times New Roman" w:cs="Times New Roman"/>
          <w:color w:val="auto"/>
        </w:rPr>
      </w:pPr>
      <w:r>
        <w:rPr>
          <w:rFonts w:hint="default" w:ascii="Times New Roman" w:hAnsi="Times New Roman" w:cs="Times New Roman"/>
          <w:color w:val="auto"/>
        </w:rPr>
        <w:t>岩性为青灰色块状中-细粒长石石英砂岩夹砖红色泥岩、粉砂质泥岩，底部有一层厚1m左右的砾岩。砂泥岩比例为3:1，砂岩共有5-9层，一般厚15-40m，个别层厚达50余米。根据本项目岩土工程勘察，覆盖层以下基岩均为砂岩，最大揭露厚度为15.8m，岩心多呈柱状，节理裂隙发育程度较低。</w:t>
      </w:r>
    </w:p>
    <w:p w14:paraId="41218604">
      <w:pPr>
        <w:keepNext w:val="0"/>
        <w:keepLines w:val="0"/>
        <w:pageBreakBefore w:val="0"/>
        <w:widowControl w:val="0"/>
        <w:kinsoku/>
        <w:wordWrap/>
        <w:overflowPunct/>
        <w:topLinePunct w:val="0"/>
        <w:autoSpaceDE/>
        <w:autoSpaceDN/>
        <w:bidi w:val="0"/>
        <w:adjustRightInd/>
        <w:snapToGrid/>
        <w:ind w:firstLine="480"/>
        <w:rPr>
          <w:rFonts w:hint="default" w:ascii="Times New Roman" w:hAnsi="Times New Roman" w:cs="Times New Roman"/>
          <w:color w:val="auto"/>
        </w:rPr>
      </w:pPr>
      <w:r>
        <w:rPr>
          <w:rFonts w:hint="default" w:ascii="Times New Roman" w:hAnsi="Times New Roman" w:eastAsia="宋体" w:cs="Times New Roman"/>
          <w:color w:val="auto"/>
        </w:rPr>
        <w:t>②</w:t>
      </w:r>
      <w:r>
        <w:rPr>
          <w:rFonts w:hint="default" w:ascii="Times New Roman" w:hAnsi="Times New Roman" w:cs="Times New Roman"/>
          <w:color w:val="auto"/>
        </w:rPr>
        <w:t>第四系上更新统冲积层（Q</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al</w:t>
      </w:r>
      <w:r>
        <w:rPr>
          <w:rFonts w:hint="default" w:ascii="Times New Roman" w:hAnsi="Times New Roman" w:cs="Times New Roman"/>
          <w:color w:val="auto"/>
        </w:rPr>
        <w:t>）</w:t>
      </w:r>
    </w:p>
    <w:p w14:paraId="7076510A">
      <w:pPr>
        <w:keepNext w:val="0"/>
        <w:keepLines w:val="0"/>
        <w:pageBreakBefore w:val="0"/>
        <w:widowControl w:val="0"/>
        <w:kinsoku/>
        <w:wordWrap/>
        <w:overflowPunct/>
        <w:topLinePunct w:val="0"/>
        <w:autoSpaceDE/>
        <w:autoSpaceDN/>
        <w:bidi w:val="0"/>
        <w:adjustRightInd/>
        <w:snapToGrid/>
        <w:ind w:firstLine="480"/>
        <w:textAlignment w:val="baseline"/>
        <w:rPr>
          <w:rFonts w:hint="default" w:ascii="Times New Roman" w:hAnsi="Times New Roman" w:cs="Times New Roman"/>
          <w:color w:val="auto"/>
          <w:szCs w:val="24"/>
        </w:rPr>
      </w:pPr>
      <w:r>
        <w:rPr>
          <w:rFonts w:hint="default" w:ascii="Times New Roman" w:hAnsi="Times New Roman" w:cs="Times New Roman"/>
          <w:color w:val="auto"/>
          <w:szCs w:val="24"/>
        </w:rPr>
        <w:t>为项目评价区主要出露地层，地貌上为河流二、三级阶地，上部为黄褐色软塑到可塑状粉质粘土，厚度一般0.5～9.70m，切面较光滑，无摇振反应，干强度，韧性中等。下部局部地段分布松散-稍密卵石层，灰褐色，湿，卵石成分为长石石英砂岩、呈亚圆形，卵石含量约55%～60%不等，粒径一般为15～70 mm，分选性中等，中等风化，间隙充填砂，厚度0.5～3.4 m。根据勘察资料，该层总厚度为2.1～11.0m。</w:t>
      </w:r>
    </w:p>
    <w:p w14:paraId="132A188E">
      <w:pPr>
        <w:keepNext w:val="0"/>
        <w:keepLines w:val="0"/>
        <w:pageBreakBefore w:val="0"/>
        <w:widowControl w:val="0"/>
        <w:kinsoku/>
        <w:wordWrap/>
        <w:overflowPunct/>
        <w:topLinePunct w:val="0"/>
        <w:autoSpaceDE/>
        <w:autoSpaceDN/>
        <w:bidi w:val="0"/>
        <w:adjustRightInd/>
        <w:snapToGrid/>
        <w:ind w:firstLine="480"/>
        <w:rPr>
          <w:rFonts w:hint="default" w:ascii="Times New Roman" w:hAnsi="Times New Roman" w:cs="Times New Roman"/>
          <w:color w:val="auto"/>
        </w:rPr>
      </w:pPr>
      <w:r>
        <w:rPr>
          <w:rFonts w:hint="default" w:ascii="Times New Roman" w:hAnsi="Times New Roman" w:eastAsia="宋体" w:cs="Times New Roman"/>
          <w:color w:val="auto"/>
        </w:rPr>
        <w:t>④</w:t>
      </w:r>
      <w:r>
        <w:rPr>
          <w:rFonts w:hint="default" w:ascii="Times New Roman" w:hAnsi="Times New Roman" w:cs="Times New Roman"/>
          <w:color w:val="auto"/>
        </w:rPr>
        <w:t>第四系全新统Q</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al</w:t>
      </w:r>
      <w:r>
        <w:rPr>
          <w:rFonts w:hint="default" w:ascii="Times New Roman" w:hAnsi="Times New Roman" w:cs="Times New Roman"/>
          <w:color w:val="auto"/>
        </w:rPr>
        <w:t>）冲积层</w:t>
      </w:r>
    </w:p>
    <w:p w14:paraId="0B23A95B">
      <w:pPr>
        <w:keepNext w:val="0"/>
        <w:keepLines w:val="0"/>
        <w:pageBreakBefore w:val="0"/>
        <w:widowControl w:val="0"/>
        <w:kinsoku/>
        <w:wordWrap/>
        <w:overflowPunct/>
        <w:topLinePunct w:val="0"/>
        <w:autoSpaceDE/>
        <w:autoSpaceDN/>
        <w:bidi w:val="0"/>
        <w:adjustRightInd/>
        <w:snapToGrid/>
        <w:ind w:firstLine="480"/>
        <w:rPr>
          <w:rFonts w:hint="default" w:ascii="Times New Roman" w:hAnsi="Times New Roman" w:cs="Times New Roman"/>
          <w:color w:val="auto"/>
        </w:rPr>
      </w:pPr>
      <w:r>
        <w:rPr>
          <w:rFonts w:hint="default" w:ascii="Times New Roman" w:hAnsi="Times New Roman" w:cs="Times New Roman"/>
          <w:color w:val="auto"/>
        </w:rPr>
        <w:t>在污水处理厂与巴河之间呈条带状分布，为近代河流冲积形成的一级阶地，宽度约30-70m。阶地上部为灰褐色亚粘土，厚2-5 m；下部为砂砾卵石层，其中砂约占30%。砾卵石直径一般3-8cm，大者15cm左右，磨圆较好，多呈次圆状，砾石成分主要为砂岩，次为灰岩、岩浆岩。根据勘察资料及现场调查，评价区该层厚度约10-15 m。</w:t>
      </w:r>
    </w:p>
    <w:p w14:paraId="76F04B57">
      <w:pPr>
        <w:bidi w:val="0"/>
        <w:rPr>
          <w:b/>
          <w:bCs/>
          <w:color w:val="auto"/>
        </w:rPr>
      </w:pPr>
      <w:r>
        <w:rPr>
          <w:rFonts w:hint="eastAsia"/>
          <w:b/>
          <w:bCs/>
          <w:color w:val="auto"/>
          <w:lang w:val="en-US" w:eastAsia="zh-CN"/>
        </w:rPr>
        <w:t>（3）</w:t>
      </w:r>
      <w:r>
        <w:rPr>
          <w:b/>
          <w:bCs/>
          <w:color w:val="auto"/>
        </w:rPr>
        <w:t>地质构造</w:t>
      </w:r>
    </w:p>
    <w:p w14:paraId="27AFC39B">
      <w:pPr>
        <w:bidi w:val="0"/>
        <w:rPr>
          <w:color w:val="auto"/>
        </w:rPr>
      </w:pPr>
      <w:r>
        <w:rPr>
          <w:color w:val="auto"/>
        </w:rPr>
        <w:t>项目评价区</w:t>
      </w:r>
      <w:r>
        <w:rPr>
          <w:rFonts w:hint="eastAsia"/>
          <w:color w:val="auto"/>
        </w:rPr>
        <w:t>位于新华夏系四川沉降带的川东褶皱带内的巴中—仪陇—平昌莲花状旋扭构造体系中。该构造体系是由一系列规模大小不一，两翼似斜平缓呈参差不齐的半环状排列的背、向斜褶皱构造形迹组成，区域地貌属大巴山南坡前山带，为构造剥蚀丘陵地貌。区内构造形态单一，未见断裂，无褶皱，地应力作用不强，岩层很平缓，拟建场地位于巴中向斜南翼，岩层产状223∠3，出露白垩系白龙组的砂岩、泥岩拟建场地无断裂和褶皱，无断裂构造通过，无新构造运动迹象，稳定性较好。</w:t>
      </w:r>
    </w:p>
    <w:p w14:paraId="7C780477">
      <w:pPr>
        <w:bidi w:val="0"/>
        <w:rPr>
          <w:b/>
          <w:bCs/>
          <w:color w:val="auto"/>
        </w:rPr>
      </w:pPr>
      <w:r>
        <w:rPr>
          <w:rFonts w:hint="eastAsia"/>
          <w:b/>
          <w:bCs/>
          <w:color w:val="auto"/>
          <w:lang w:val="en-US" w:eastAsia="zh-CN"/>
        </w:rPr>
        <w:t>3、</w:t>
      </w:r>
      <w:r>
        <w:rPr>
          <w:b/>
          <w:bCs/>
          <w:color w:val="auto"/>
        </w:rPr>
        <w:t>评价区水文地质条件</w:t>
      </w:r>
    </w:p>
    <w:p w14:paraId="4CD6ED21">
      <w:pPr>
        <w:bidi w:val="0"/>
        <w:rPr>
          <w:b/>
          <w:bCs/>
          <w:color w:val="auto"/>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b/>
          <w:bCs/>
          <w:color w:val="auto"/>
        </w:rPr>
        <w:t>地下水类型及其富水性</w:t>
      </w:r>
    </w:p>
    <w:p w14:paraId="4CF73F36">
      <w:pPr>
        <w:bidi w:val="0"/>
        <w:rPr>
          <w:color w:val="auto"/>
        </w:rPr>
      </w:pPr>
      <w:r>
        <w:rPr>
          <w:color w:val="auto"/>
        </w:rPr>
        <w:t>项目评价区</w:t>
      </w:r>
      <w:r>
        <w:rPr>
          <w:rFonts w:hint="eastAsia"/>
          <w:color w:val="auto"/>
        </w:rPr>
        <w:t>地下水类型包含第四系松散类孔隙水和基岩裂隙水两大类，第四系松散岩类孔隙水主要赋存于第四系粉质粘土及砂砾卵石层松散孔隙中，基岩裂隙水主要赋存于砂岩浅层裂隙中，两者有较强的水力联系。</w:t>
      </w:r>
    </w:p>
    <w:p w14:paraId="6D397697">
      <w:pPr>
        <w:bidi w:val="0"/>
        <w:rPr>
          <w:color w:val="auto"/>
        </w:rPr>
      </w:pPr>
      <w:r>
        <w:rPr>
          <w:rFonts w:hint="eastAsia"/>
          <w:color w:val="auto"/>
        </w:rPr>
        <w:t>1）第四系松散岩类孔隙水</w:t>
      </w:r>
    </w:p>
    <w:p w14:paraId="74F20482">
      <w:pPr>
        <w:bidi w:val="0"/>
        <w:rPr>
          <w:color w:val="auto"/>
        </w:rPr>
      </w:pPr>
      <w:r>
        <w:rPr>
          <w:rFonts w:hint="eastAsia"/>
          <w:color w:val="auto"/>
        </w:rPr>
        <w:t>广泛赋存于本项目评价区第四系更新世堆积的粘土、亚粘土及砂砾卵石层</w:t>
      </w:r>
      <w:r>
        <w:rPr>
          <w:rFonts w:hint="eastAsia"/>
          <w:color w:val="auto"/>
          <w:lang w:eastAsia="zh-CN"/>
        </w:rPr>
        <w:t>（</w:t>
      </w:r>
      <w:r>
        <w:rPr>
          <w:rFonts w:hint="eastAsia"/>
          <w:color w:val="auto"/>
        </w:rPr>
        <w:t>Q3al)，地貌上属巴河的二、三级阶地，污水处理厂到巴河之间的一级阶地全新统砂砾卵石层</w:t>
      </w:r>
      <w:r>
        <w:rPr>
          <w:rFonts w:hint="eastAsia"/>
          <w:color w:val="auto"/>
          <w:lang w:eastAsia="zh-CN"/>
        </w:rPr>
        <w:t>（</w:t>
      </w:r>
      <w:r>
        <w:rPr>
          <w:rFonts w:hint="eastAsia"/>
          <w:color w:val="auto"/>
        </w:rPr>
        <w:t>Q4al</w:t>
      </w:r>
      <w:r>
        <w:rPr>
          <w:rFonts w:hint="eastAsia"/>
          <w:color w:val="auto"/>
          <w:lang w:eastAsia="zh-CN"/>
        </w:rPr>
        <w:t>）</w:t>
      </w:r>
      <w:r>
        <w:rPr>
          <w:rFonts w:hint="eastAsia"/>
          <w:color w:val="auto"/>
        </w:rPr>
        <w:t xml:space="preserve">含泥质重，也划归此类。地层整体富水性较差，根据区域水文地质资料区域上只在堆积层底部近基座面上有泉水出露，流量0.015-0.454 L/s，水量相对贫乏，单井涌水量一般在10-100 </w:t>
      </w:r>
      <w:r>
        <w:rPr>
          <w:rFonts w:hint="eastAsia"/>
          <w:color w:val="auto"/>
          <w:lang w:eastAsia="zh-CN"/>
        </w:rPr>
        <w:t>m³</w:t>
      </w:r>
      <w:r>
        <w:rPr>
          <w:rFonts w:hint="eastAsia"/>
          <w:color w:val="auto"/>
        </w:rPr>
        <w:t>/d。</w:t>
      </w:r>
    </w:p>
    <w:p w14:paraId="4E149D21">
      <w:pPr>
        <w:ind w:firstLine="480"/>
        <w:rPr>
          <w:color w:val="auto"/>
        </w:rPr>
      </w:pPr>
      <w:r>
        <w:rPr>
          <w:rFonts w:hint="eastAsia"/>
          <w:color w:val="auto"/>
        </w:rPr>
        <w:t>2）基岩裂隙水</w:t>
      </w:r>
    </w:p>
    <w:p w14:paraId="57E41B05">
      <w:pPr>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auto"/>
        </w:rPr>
      </w:pPr>
      <w:r>
        <w:rPr>
          <w:rFonts w:hint="default" w:ascii="Times New Roman" w:hAnsi="Times New Roman" w:cs="Times New Roman"/>
          <w:color w:val="auto"/>
        </w:rPr>
        <w:t>根据项目岩土工程勘察报告，评价区“宽缓槽谷”内第四系粉质粘土及砂卵石层覆盖于下伏白垩系白龙组（K</w:t>
      </w:r>
      <w:r>
        <w:rPr>
          <w:rFonts w:hint="default" w:ascii="Times New Roman" w:hAnsi="Times New Roman" w:cs="Times New Roman"/>
          <w:color w:val="auto"/>
          <w:vertAlign w:val="subscript"/>
        </w:rPr>
        <w:t>1</w:t>
      </w:r>
      <w:r>
        <w:rPr>
          <w:rFonts w:hint="default" w:ascii="Times New Roman" w:hAnsi="Times New Roman" w:cs="Times New Roman"/>
          <w:color w:val="auto"/>
        </w:rPr>
        <w:t xml:space="preserve">b）长石石英砂岩地层之上，砂岩中浅部横张及X节理发育，由于埋藏浅，在长期外营力改造，裂隙进一步扩张，构成浅层地下水良好储存空间，裂隙发育厚度18～20m。评价区地表汇水条件好，浅层地下水主要接受大气降雨补给，槽谷两侧山体接受补给后，沿第四系孔隙及基岩裂隙带向地形低洼区域汇集，富集埋藏于地势低洼的沟谷、平坝、洼地地带。丘坡下部坡度变缓区域及槽谷内第四系之下的基岩裂隙是此类地下水最佳储水介质。因此，农户也较为集中地选择半坡以下及平坝而居。由于埋藏浅，径流时间短，因此地下水动态变化受气候因素影响较大。单井出水量小于50 </w:t>
      </w:r>
      <w:r>
        <w:rPr>
          <w:rFonts w:hint="default" w:ascii="Times New Roman" w:hAnsi="Times New Roman" w:cs="Times New Roman"/>
          <w:color w:val="auto"/>
          <w:lang w:eastAsia="zh-CN"/>
        </w:rPr>
        <w:t>m³</w:t>
      </w:r>
      <w:r>
        <w:rPr>
          <w:rFonts w:hint="default" w:ascii="Times New Roman" w:hAnsi="Times New Roman" w:cs="Times New Roman"/>
          <w:color w:val="auto"/>
        </w:rPr>
        <w:t>/d。</w:t>
      </w:r>
    </w:p>
    <w:p w14:paraId="21532650">
      <w:pPr>
        <w:bidi w:val="0"/>
        <w:rPr>
          <w:b/>
          <w:bCs/>
          <w:color w:val="auto"/>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b/>
          <w:bCs/>
          <w:color w:val="auto"/>
        </w:rPr>
        <w:t>地下水补给、径流和排泄条件</w:t>
      </w:r>
    </w:p>
    <w:p w14:paraId="58D6C099">
      <w:pPr>
        <w:ind w:firstLine="480"/>
        <w:rPr>
          <w:color w:val="auto"/>
        </w:rPr>
      </w:pPr>
      <w:r>
        <w:rPr>
          <w:rFonts w:hint="eastAsia"/>
          <w:color w:val="auto"/>
        </w:rPr>
        <w:t>评价区第四系松散岩类孔隙水及基岩裂隙水主要接受大气降雨垂直入渗补给，其次是地表水体，水库、堰塘、稻田、溪沟等对地下水均有一定的补给，评价区浅层地下水还接受来自北侧后缘的基岩裂隙水补给。由于降水的时空分布不均，因而这种补给是周期性的，当年4～10月为补给期，是地下水的峰值期，11月～次年3月为地下水消耗期，是地下水埋深、流量削减季节。评价区与广大红层丘陵地区相似，地下水一般由小沟至大沟，由支沟向主沟缓慢渗流，并以泉和渗流形式部分向低洼沟谷排泄，并最终排向当地最低侵蚀基准面，同时区内的居民打井抽汲地下水作为生产生活用水，也是常见的地下水排泄方式之一。</w:t>
      </w:r>
    </w:p>
    <w:p w14:paraId="25330913">
      <w:pPr>
        <w:bidi w:val="0"/>
        <w:rPr>
          <w:b/>
          <w:bCs/>
          <w:color w:val="auto"/>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b/>
          <w:bCs/>
          <w:color w:val="auto"/>
        </w:rPr>
        <w:t>地下水水位分布调查</w:t>
      </w:r>
    </w:p>
    <w:p w14:paraId="3D593E6E">
      <w:pPr>
        <w:bidi w:val="0"/>
        <w:rPr>
          <w:color w:val="auto"/>
        </w:rPr>
      </w:pPr>
      <w:r>
        <w:rPr>
          <w:color w:val="auto"/>
        </w:rPr>
        <w:t>评价区地下水</w:t>
      </w:r>
      <w:r>
        <w:rPr>
          <w:rFonts w:hint="eastAsia"/>
          <w:color w:val="auto"/>
        </w:rPr>
        <w:t>为降雨补给型，</w:t>
      </w:r>
      <w:r>
        <w:rPr>
          <w:color w:val="auto"/>
        </w:rPr>
        <w:t>动态具有明显季节变化特征，潜水位一般从4</w:t>
      </w:r>
      <w:r>
        <w:rPr>
          <w:rFonts w:hint="eastAsia"/>
          <w:color w:val="auto"/>
        </w:rPr>
        <w:t>-</w:t>
      </w:r>
      <w:r>
        <w:rPr>
          <w:color w:val="auto"/>
        </w:rPr>
        <w:t>5月开始上升至8月下旬最高峰出现于7</w:t>
      </w:r>
      <w:r>
        <w:rPr>
          <w:rFonts w:hint="eastAsia"/>
          <w:color w:val="auto"/>
        </w:rPr>
        <w:t>-</w:t>
      </w:r>
      <w:r>
        <w:rPr>
          <w:color w:val="auto"/>
        </w:rPr>
        <w:t>8月，最低在1</w:t>
      </w:r>
      <w:r>
        <w:rPr>
          <w:rFonts w:hint="eastAsia"/>
          <w:color w:val="auto"/>
        </w:rPr>
        <w:t>-</w:t>
      </w:r>
      <w:r>
        <w:rPr>
          <w:color w:val="auto"/>
        </w:rPr>
        <w:t>3月、12月中交替出现，动态曲线上峰谷起伏，动态变化明显。</w:t>
      </w:r>
    </w:p>
    <w:p w14:paraId="19762808">
      <w:pPr>
        <w:bidi w:val="0"/>
        <w:rPr>
          <w:color w:val="auto"/>
        </w:rPr>
      </w:pPr>
      <w:r>
        <w:rPr>
          <w:color w:val="auto"/>
        </w:rPr>
        <w:t>本项目调查显示评价区监测井井口高程介于</w:t>
      </w:r>
      <w:r>
        <w:rPr>
          <w:rFonts w:hint="eastAsia"/>
          <w:color w:val="auto"/>
        </w:rPr>
        <w:t>329.14</w:t>
      </w:r>
      <w:r>
        <w:rPr>
          <w:color w:val="auto"/>
        </w:rPr>
        <w:t>～</w:t>
      </w:r>
      <w:r>
        <w:rPr>
          <w:rFonts w:hint="eastAsia"/>
          <w:color w:val="auto"/>
        </w:rPr>
        <w:t>342.53</w:t>
      </w:r>
      <w:r>
        <w:rPr>
          <w:color w:val="auto"/>
        </w:rPr>
        <w:t xml:space="preserve"> m，枯水期水位埋深</w:t>
      </w:r>
      <w:r>
        <w:rPr>
          <w:rFonts w:hint="eastAsia"/>
          <w:color w:val="auto"/>
        </w:rPr>
        <w:t>0.61</w:t>
      </w:r>
      <w:r>
        <w:rPr>
          <w:color w:val="auto"/>
        </w:rPr>
        <w:t>～</w:t>
      </w:r>
      <w:r>
        <w:rPr>
          <w:rFonts w:hint="eastAsia"/>
          <w:color w:val="auto"/>
        </w:rPr>
        <w:t>4.90</w:t>
      </w:r>
      <w:r>
        <w:rPr>
          <w:color w:val="auto"/>
        </w:rPr>
        <w:t>m，水位高程介于</w:t>
      </w:r>
      <w:r>
        <w:rPr>
          <w:rFonts w:hint="eastAsia"/>
          <w:color w:val="auto"/>
        </w:rPr>
        <w:t>328.37</w:t>
      </w:r>
      <w:r>
        <w:rPr>
          <w:color w:val="auto"/>
        </w:rPr>
        <w:t>～</w:t>
      </w:r>
      <w:r>
        <w:rPr>
          <w:rFonts w:hint="eastAsia"/>
          <w:color w:val="auto"/>
        </w:rPr>
        <w:t>340.14</w:t>
      </w:r>
      <w:r>
        <w:rPr>
          <w:color w:val="auto"/>
        </w:rPr>
        <w:t>m，丰水期水位埋深</w:t>
      </w:r>
      <w:r>
        <w:rPr>
          <w:rFonts w:hint="eastAsia"/>
          <w:color w:val="auto"/>
        </w:rPr>
        <w:t>0.10</w:t>
      </w:r>
      <w:r>
        <w:rPr>
          <w:color w:val="auto"/>
        </w:rPr>
        <w:t>～</w:t>
      </w:r>
      <w:r>
        <w:rPr>
          <w:rFonts w:hint="eastAsia"/>
          <w:color w:val="auto"/>
        </w:rPr>
        <w:t>4.10</w:t>
      </w:r>
      <w:r>
        <w:rPr>
          <w:color w:val="auto"/>
        </w:rPr>
        <w:t>m，水位高程介于</w:t>
      </w:r>
      <w:r>
        <w:rPr>
          <w:rFonts w:hint="eastAsia"/>
          <w:color w:val="auto"/>
        </w:rPr>
        <w:t>328.57</w:t>
      </w:r>
      <w:r>
        <w:rPr>
          <w:color w:val="auto"/>
        </w:rPr>
        <w:t>～</w:t>
      </w:r>
      <w:r>
        <w:rPr>
          <w:rFonts w:hint="eastAsia"/>
          <w:color w:val="auto"/>
        </w:rPr>
        <w:t>340.64</w:t>
      </w:r>
      <w:r>
        <w:rPr>
          <w:color w:val="auto"/>
        </w:rPr>
        <w:t xml:space="preserve"> m，丰枯期水位变幅</w:t>
      </w:r>
      <w:r>
        <w:rPr>
          <w:rFonts w:hint="eastAsia"/>
          <w:color w:val="auto"/>
        </w:rPr>
        <w:t>0.21</w:t>
      </w:r>
      <w:r>
        <w:rPr>
          <w:color w:val="auto"/>
        </w:rPr>
        <w:t>～</w:t>
      </w:r>
      <w:r>
        <w:rPr>
          <w:rFonts w:hint="eastAsia"/>
          <w:color w:val="auto"/>
        </w:rPr>
        <w:t xml:space="preserve">1.72 </w:t>
      </w:r>
      <w:r>
        <w:rPr>
          <w:color w:val="auto"/>
        </w:rPr>
        <w:t>m。</w:t>
      </w:r>
    </w:p>
    <w:p w14:paraId="091532DB">
      <w:pPr>
        <w:pStyle w:val="19"/>
        <w:keepNext w:val="0"/>
        <w:keepLines w:val="0"/>
        <w:pageBreakBefore w:val="0"/>
        <w:widowControl w:val="0"/>
        <w:numPr>
          <w:ilvl w:val="0"/>
          <w:numId w:val="31"/>
        </w:numPr>
        <w:kinsoku/>
        <w:wordWrap/>
        <w:overflowPunct/>
        <w:topLinePunct w:val="0"/>
        <w:autoSpaceDE/>
        <w:autoSpaceDN/>
        <w:bidi w:val="0"/>
        <w:adjustRightInd/>
        <w:snapToGrid/>
        <w:ind w:left="0" w:leftChars="0" w:firstLine="0" w:firstLineChars="0"/>
        <w:textAlignment w:val="auto"/>
        <w:rPr>
          <w:rFonts w:cs="Times New Roman"/>
          <w:color w:val="auto"/>
        </w:rPr>
      </w:pPr>
      <w:r>
        <w:rPr>
          <w:rFonts w:cs="Times New Roman"/>
          <w:color w:val="auto"/>
        </w:rPr>
        <w:t>评价区内地下水井水位观测数据</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3"/>
        <w:gridCol w:w="1311"/>
        <w:gridCol w:w="998"/>
        <w:gridCol w:w="977"/>
        <w:gridCol w:w="1075"/>
        <w:gridCol w:w="1076"/>
        <w:gridCol w:w="1076"/>
        <w:gridCol w:w="1076"/>
      </w:tblGrid>
      <w:tr w14:paraId="25AF80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vMerge w:val="restart"/>
            <w:tcBorders>
              <w:tl2br w:val="nil"/>
              <w:tr2bl w:val="nil"/>
            </w:tcBorders>
            <w:shd w:val="clear" w:color="auto" w:fill="auto"/>
            <w:tcMar>
              <w:left w:w="28" w:type="dxa"/>
              <w:right w:w="28" w:type="dxa"/>
            </w:tcMar>
            <w:vAlign w:val="center"/>
          </w:tcPr>
          <w:p w14:paraId="36E48F03">
            <w:pPr>
              <w:pStyle w:val="714"/>
              <w:rPr>
                <w:b/>
                <w:bCs/>
                <w:color w:val="auto"/>
              </w:rPr>
            </w:pPr>
            <w:r>
              <w:rPr>
                <w:rFonts w:hint="eastAsia"/>
                <w:b/>
                <w:bCs/>
                <w:color w:val="auto"/>
              </w:rPr>
              <w:t>监测点编号</w:t>
            </w:r>
          </w:p>
        </w:tc>
        <w:tc>
          <w:tcPr>
            <w:tcW w:w="783" w:type="pct"/>
            <w:vMerge w:val="restart"/>
            <w:tcBorders>
              <w:tl2br w:val="nil"/>
              <w:tr2bl w:val="nil"/>
            </w:tcBorders>
            <w:shd w:val="clear" w:color="auto" w:fill="auto"/>
            <w:tcMar>
              <w:left w:w="28" w:type="dxa"/>
              <w:right w:w="28" w:type="dxa"/>
            </w:tcMar>
            <w:vAlign w:val="center"/>
          </w:tcPr>
          <w:p w14:paraId="794F361C">
            <w:pPr>
              <w:pStyle w:val="714"/>
              <w:rPr>
                <w:b/>
                <w:bCs/>
                <w:color w:val="auto"/>
              </w:rPr>
            </w:pPr>
            <w:r>
              <w:rPr>
                <w:rFonts w:hint="eastAsia"/>
                <w:b/>
                <w:bCs/>
                <w:color w:val="auto"/>
              </w:rPr>
              <w:t>经度</w:t>
            </w:r>
          </w:p>
        </w:tc>
        <w:tc>
          <w:tcPr>
            <w:tcW w:w="596" w:type="pct"/>
            <w:vMerge w:val="restart"/>
            <w:tcBorders>
              <w:tl2br w:val="nil"/>
              <w:tr2bl w:val="nil"/>
            </w:tcBorders>
            <w:shd w:val="clear" w:color="auto" w:fill="auto"/>
            <w:tcMar>
              <w:left w:w="28" w:type="dxa"/>
              <w:right w:w="28" w:type="dxa"/>
            </w:tcMar>
            <w:vAlign w:val="center"/>
          </w:tcPr>
          <w:p w14:paraId="6EDBD012">
            <w:pPr>
              <w:pStyle w:val="714"/>
              <w:rPr>
                <w:b/>
                <w:bCs/>
                <w:color w:val="auto"/>
              </w:rPr>
            </w:pPr>
            <w:r>
              <w:rPr>
                <w:rFonts w:hint="eastAsia"/>
                <w:b/>
                <w:bCs/>
                <w:color w:val="auto"/>
              </w:rPr>
              <w:t>纬度</w:t>
            </w:r>
          </w:p>
        </w:tc>
        <w:tc>
          <w:tcPr>
            <w:tcW w:w="584" w:type="pct"/>
            <w:vMerge w:val="restart"/>
            <w:tcBorders>
              <w:tl2br w:val="nil"/>
              <w:tr2bl w:val="nil"/>
            </w:tcBorders>
            <w:shd w:val="clear" w:color="auto" w:fill="auto"/>
            <w:tcMar>
              <w:left w:w="28" w:type="dxa"/>
              <w:right w:w="28" w:type="dxa"/>
            </w:tcMar>
            <w:vAlign w:val="center"/>
          </w:tcPr>
          <w:p w14:paraId="01CA4525">
            <w:pPr>
              <w:pStyle w:val="714"/>
              <w:rPr>
                <w:b/>
                <w:bCs/>
                <w:color w:val="auto"/>
              </w:rPr>
            </w:pPr>
            <w:r>
              <w:rPr>
                <w:rFonts w:hint="eastAsia"/>
                <w:b/>
                <w:bCs/>
                <w:color w:val="auto"/>
              </w:rPr>
              <w:t>井口高程</w:t>
            </w:r>
            <w:r>
              <w:rPr>
                <w:rFonts w:hint="eastAsia"/>
                <w:b/>
                <w:bCs/>
                <w:color w:val="auto"/>
                <w:lang w:eastAsia="zh-CN"/>
              </w:rPr>
              <w:t>（</w:t>
            </w:r>
            <w:r>
              <w:rPr>
                <w:b/>
                <w:bCs/>
                <w:color w:val="auto"/>
              </w:rPr>
              <w:t>m)</w:t>
            </w:r>
          </w:p>
        </w:tc>
        <w:tc>
          <w:tcPr>
            <w:tcW w:w="1285" w:type="pct"/>
            <w:gridSpan w:val="2"/>
            <w:tcBorders>
              <w:tl2br w:val="nil"/>
              <w:tr2bl w:val="nil"/>
            </w:tcBorders>
            <w:shd w:val="clear" w:color="auto" w:fill="auto"/>
            <w:tcMar>
              <w:left w:w="28" w:type="dxa"/>
              <w:right w:w="28" w:type="dxa"/>
            </w:tcMar>
            <w:vAlign w:val="center"/>
          </w:tcPr>
          <w:p w14:paraId="47CB40A2">
            <w:pPr>
              <w:pStyle w:val="714"/>
              <w:rPr>
                <w:b/>
                <w:bCs/>
                <w:color w:val="auto"/>
              </w:rPr>
            </w:pPr>
            <w:r>
              <w:rPr>
                <w:b/>
                <w:bCs/>
                <w:color w:val="auto"/>
              </w:rPr>
              <w:t>2024</w:t>
            </w:r>
            <w:r>
              <w:rPr>
                <w:rFonts w:hint="eastAsia"/>
                <w:b/>
                <w:bCs/>
                <w:color w:val="auto"/>
              </w:rPr>
              <w:t>年3月枯水期</w:t>
            </w:r>
          </w:p>
        </w:tc>
        <w:tc>
          <w:tcPr>
            <w:tcW w:w="1286" w:type="pct"/>
            <w:gridSpan w:val="2"/>
            <w:tcBorders>
              <w:tl2br w:val="nil"/>
              <w:tr2bl w:val="nil"/>
            </w:tcBorders>
            <w:shd w:val="clear" w:color="auto" w:fill="auto"/>
            <w:tcMar>
              <w:left w:w="28" w:type="dxa"/>
              <w:right w:w="28" w:type="dxa"/>
            </w:tcMar>
            <w:vAlign w:val="center"/>
          </w:tcPr>
          <w:p w14:paraId="5B7B566D">
            <w:pPr>
              <w:pStyle w:val="714"/>
              <w:rPr>
                <w:b/>
                <w:bCs/>
                <w:color w:val="auto"/>
              </w:rPr>
            </w:pPr>
            <w:r>
              <w:rPr>
                <w:b/>
                <w:bCs/>
                <w:color w:val="auto"/>
              </w:rPr>
              <w:t>2024</w:t>
            </w:r>
            <w:r>
              <w:rPr>
                <w:rFonts w:hint="eastAsia"/>
                <w:b/>
                <w:bCs/>
                <w:color w:val="auto"/>
              </w:rPr>
              <w:t>年</w:t>
            </w:r>
            <w:r>
              <w:rPr>
                <w:b/>
                <w:bCs/>
                <w:color w:val="auto"/>
              </w:rPr>
              <w:t>7</w:t>
            </w:r>
            <w:r>
              <w:rPr>
                <w:rFonts w:hint="eastAsia"/>
                <w:b/>
                <w:bCs/>
                <w:color w:val="auto"/>
              </w:rPr>
              <w:t>月丰水期</w:t>
            </w:r>
          </w:p>
        </w:tc>
      </w:tr>
      <w:tr w14:paraId="3DA58D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vMerge w:val="continue"/>
            <w:tcBorders>
              <w:tl2br w:val="nil"/>
              <w:tr2bl w:val="nil"/>
            </w:tcBorders>
            <w:tcMar>
              <w:left w:w="28" w:type="dxa"/>
              <w:right w:w="28" w:type="dxa"/>
            </w:tcMar>
            <w:vAlign w:val="center"/>
          </w:tcPr>
          <w:p w14:paraId="58E8F21F">
            <w:pPr>
              <w:pStyle w:val="714"/>
              <w:rPr>
                <w:b/>
                <w:bCs/>
                <w:color w:val="auto"/>
              </w:rPr>
            </w:pPr>
          </w:p>
        </w:tc>
        <w:tc>
          <w:tcPr>
            <w:tcW w:w="783" w:type="pct"/>
            <w:vMerge w:val="continue"/>
            <w:tcBorders>
              <w:tl2br w:val="nil"/>
              <w:tr2bl w:val="nil"/>
            </w:tcBorders>
            <w:tcMar>
              <w:left w:w="28" w:type="dxa"/>
              <w:right w:w="28" w:type="dxa"/>
            </w:tcMar>
            <w:vAlign w:val="center"/>
          </w:tcPr>
          <w:p w14:paraId="7B9D77B5">
            <w:pPr>
              <w:pStyle w:val="714"/>
              <w:rPr>
                <w:b/>
                <w:bCs/>
                <w:color w:val="auto"/>
              </w:rPr>
            </w:pPr>
          </w:p>
        </w:tc>
        <w:tc>
          <w:tcPr>
            <w:tcW w:w="596" w:type="pct"/>
            <w:vMerge w:val="continue"/>
            <w:tcBorders>
              <w:tl2br w:val="nil"/>
              <w:tr2bl w:val="nil"/>
            </w:tcBorders>
            <w:tcMar>
              <w:left w:w="28" w:type="dxa"/>
              <w:right w:w="28" w:type="dxa"/>
            </w:tcMar>
            <w:vAlign w:val="center"/>
          </w:tcPr>
          <w:p w14:paraId="630662E6">
            <w:pPr>
              <w:pStyle w:val="714"/>
              <w:rPr>
                <w:b/>
                <w:bCs/>
                <w:color w:val="auto"/>
              </w:rPr>
            </w:pPr>
          </w:p>
        </w:tc>
        <w:tc>
          <w:tcPr>
            <w:tcW w:w="584" w:type="pct"/>
            <w:vMerge w:val="continue"/>
            <w:tcBorders>
              <w:tl2br w:val="nil"/>
              <w:tr2bl w:val="nil"/>
            </w:tcBorders>
            <w:tcMar>
              <w:left w:w="28" w:type="dxa"/>
              <w:right w:w="28" w:type="dxa"/>
            </w:tcMar>
            <w:vAlign w:val="center"/>
          </w:tcPr>
          <w:p w14:paraId="070CED0C">
            <w:pPr>
              <w:pStyle w:val="714"/>
              <w:rPr>
                <w:b/>
                <w:bCs/>
                <w:color w:val="auto"/>
              </w:rPr>
            </w:pPr>
          </w:p>
        </w:tc>
        <w:tc>
          <w:tcPr>
            <w:tcW w:w="642" w:type="pct"/>
            <w:tcBorders>
              <w:tl2br w:val="nil"/>
              <w:tr2bl w:val="nil"/>
            </w:tcBorders>
            <w:shd w:val="clear" w:color="auto" w:fill="auto"/>
            <w:tcMar>
              <w:left w:w="28" w:type="dxa"/>
              <w:right w:w="28" w:type="dxa"/>
            </w:tcMar>
            <w:vAlign w:val="center"/>
          </w:tcPr>
          <w:p w14:paraId="15EE9085">
            <w:pPr>
              <w:pStyle w:val="714"/>
              <w:rPr>
                <w:b/>
                <w:bCs/>
                <w:color w:val="auto"/>
              </w:rPr>
            </w:pPr>
            <w:r>
              <w:rPr>
                <w:rFonts w:hint="eastAsia"/>
                <w:b/>
                <w:bCs/>
                <w:color w:val="auto"/>
              </w:rPr>
              <w:t>水位埋深（</w:t>
            </w:r>
            <w:r>
              <w:rPr>
                <w:b/>
                <w:bCs/>
                <w:color w:val="auto"/>
              </w:rPr>
              <w:t>m</w:t>
            </w:r>
            <w:r>
              <w:rPr>
                <w:rFonts w:hint="eastAsia"/>
                <w:b/>
                <w:bCs/>
                <w:color w:val="auto"/>
              </w:rPr>
              <w:t>）</w:t>
            </w:r>
          </w:p>
        </w:tc>
        <w:tc>
          <w:tcPr>
            <w:tcW w:w="642" w:type="pct"/>
            <w:tcBorders>
              <w:tl2br w:val="nil"/>
              <w:tr2bl w:val="nil"/>
            </w:tcBorders>
            <w:shd w:val="clear" w:color="auto" w:fill="auto"/>
            <w:tcMar>
              <w:left w:w="28" w:type="dxa"/>
              <w:right w:w="28" w:type="dxa"/>
            </w:tcMar>
            <w:vAlign w:val="center"/>
          </w:tcPr>
          <w:p w14:paraId="7C2B09C4">
            <w:pPr>
              <w:pStyle w:val="714"/>
              <w:rPr>
                <w:b/>
                <w:bCs/>
                <w:color w:val="auto"/>
              </w:rPr>
            </w:pPr>
            <w:r>
              <w:rPr>
                <w:rFonts w:hint="eastAsia"/>
                <w:b/>
                <w:bCs/>
                <w:color w:val="auto"/>
              </w:rPr>
              <w:t>水位高程（</w:t>
            </w:r>
            <w:r>
              <w:rPr>
                <w:b/>
                <w:bCs/>
                <w:color w:val="auto"/>
              </w:rPr>
              <w:t>m</w:t>
            </w:r>
            <w:r>
              <w:rPr>
                <w:rFonts w:hint="eastAsia"/>
                <w:b/>
                <w:bCs/>
                <w:color w:val="auto"/>
              </w:rPr>
              <w:t>）</w:t>
            </w:r>
          </w:p>
        </w:tc>
        <w:tc>
          <w:tcPr>
            <w:tcW w:w="643" w:type="pct"/>
            <w:tcBorders>
              <w:tl2br w:val="nil"/>
              <w:tr2bl w:val="nil"/>
            </w:tcBorders>
            <w:shd w:val="clear" w:color="auto" w:fill="auto"/>
            <w:tcMar>
              <w:left w:w="28" w:type="dxa"/>
              <w:right w:w="28" w:type="dxa"/>
            </w:tcMar>
            <w:vAlign w:val="center"/>
          </w:tcPr>
          <w:p w14:paraId="1A22A109">
            <w:pPr>
              <w:pStyle w:val="714"/>
              <w:rPr>
                <w:b/>
                <w:bCs/>
                <w:color w:val="auto"/>
              </w:rPr>
            </w:pPr>
            <w:r>
              <w:rPr>
                <w:rFonts w:hint="eastAsia"/>
                <w:b/>
                <w:bCs/>
                <w:color w:val="auto"/>
              </w:rPr>
              <w:t>水位埋深（</w:t>
            </w:r>
            <w:r>
              <w:rPr>
                <w:b/>
                <w:bCs/>
                <w:color w:val="auto"/>
              </w:rPr>
              <w:t>m</w:t>
            </w:r>
            <w:r>
              <w:rPr>
                <w:rFonts w:hint="eastAsia"/>
                <w:b/>
                <w:bCs/>
                <w:color w:val="auto"/>
              </w:rPr>
              <w:t>）</w:t>
            </w:r>
          </w:p>
        </w:tc>
        <w:tc>
          <w:tcPr>
            <w:tcW w:w="642" w:type="pct"/>
            <w:tcBorders>
              <w:tl2br w:val="nil"/>
              <w:tr2bl w:val="nil"/>
            </w:tcBorders>
            <w:shd w:val="clear" w:color="auto" w:fill="auto"/>
            <w:tcMar>
              <w:left w:w="28" w:type="dxa"/>
              <w:right w:w="28" w:type="dxa"/>
            </w:tcMar>
            <w:vAlign w:val="center"/>
          </w:tcPr>
          <w:p w14:paraId="3D88A16C">
            <w:pPr>
              <w:pStyle w:val="714"/>
              <w:rPr>
                <w:b/>
                <w:bCs/>
                <w:color w:val="auto"/>
              </w:rPr>
            </w:pPr>
            <w:r>
              <w:rPr>
                <w:rFonts w:hint="eastAsia"/>
                <w:b/>
                <w:bCs/>
                <w:color w:val="auto"/>
              </w:rPr>
              <w:t>水位高程（</w:t>
            </w:r>
            <w:r>
              <w:rPr>
                <w:b/>
                <w:bCs/>
                <w:color w:val="auto"/>
              </w:rPr>
              <w:t>m</w:t>
            </w:r>
            <w:r>
              <w:rPr>
                <w:rFonts w:hint="eastAsia"/>
                <w:b/>
                <w:bCs/>
                <w:color w:val="auto"/>
              </w:rPr>
              <w:t>）</w:t>
            </w:r>
          </w:p>
        </w:tc>
      </w:tr>
      <w:tr w14:paraId="776FA3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tcBorders>
              <w:tl2br w:val="nil"/>
              <w:tr2bl w:val="nil"/>
            </w:tcBorders>
            <w:shd w:val="clear" w:color="auto" w:fill="auto"/>
            <w:tcMar>
              <w:left w:w="28" w:type="dxa"/>
              <w:right w:w="28" w:type="dxa"/>
            </w:tcMar>
            <w:vAlign w:val="center"/>
          </w:tcPr>
          <w:p w14:paraId="13266C4B">
            <w:pPr>
              <w:pStyle w:val="714"/>
              <w:rPr>
                <w:color w:val="auto"/>
              </w:rPr>
            </w:pPr>
            <w:r>
              <w:rPr>
                <w:color w:val="auto"/>
              </w:rPr>
              <w:t>1#</w:t>
            </w:r>
          </w:p>
        </w:tc>
        <w:tc>
          <w:tcPr>
            <w:tcW w:w="783" w:type="pct"/>
            <w:tcBorders>
              <w:tl2br w:val="nil"/>
              <w:tr2bl w:val="nil"/>
            </w:tcBorders>
            <w:shd w:val="clear" w:color="auto" w:fill="auto"/>
            <w:tcMar>
              <w:left w:w="28" w:type="dxa"/>
              <w:right w:w="28" w:type="dxa"/>
            </w:tcMar>
            <w:vAlign w:val="center"/>
          </w:tcPr>
          <w:p w14:paraId="44152468">
            <w:pPr>
              <w:pStyle w:val="714"/>
              <w:rPr>
                <w:color w:val="auto"/>
              </w:rPr>
            </w:pPr>
            <w:r>
              <w:rPr>
                <w:color w:val="auto"/>
              </w:rPr>
              <w:t>106.5314243</w:t>
            </w:r>
          </w:p>
        </w:tc>
        <w:tc>
          <w:tcPr>
            <w:tcW w:w="596" w:type="pct"/>
            <w:tcBorders>
              <w:tl2br w:val="nil"/>
              <w:tr2bl w:val="nil"/>
            </w:tcBorders>
            <w:shd w:val="clear" w:color="auto" w:fill="auto"/>
            <w:tcMar>
              <w:left w:w="28" w:type="dxa"/>
              <w:right w:w="28" w:type="dxa"/>
            </w:tcMar>
            <w:vAlign w:val="center"/>
          </w:tcPr>
          <w:p w14:paraId="7A22753B">
            <w:pPr>
              <w:pStyle w:val="714"/>
              <w:rPr>
                <w:color w:val="auto"/>
              </w:rPr>
            </w:pPr>
            <w:r>
              <w:rPr>
                <w:color w:val="auto"/>
              </w:rPr>
              <w:t>31.45212</w:t>
            </w:r>
          </w:p>
        </w:tc>
        <w:tc>
          <w:tcPr>
            <w:tcW w:w="584" w:type="pct"/>
            <w:tcBorders>
              <w:tl2br w:val="nil"/>
              <w:tr2bl w:val="nil"/>
            </w:tcBorders>
            <w:shd w:val="clear" w:color="auto" w:fill="auto"/>
            <w:tcMar>
              <w:left w:w="28" w:type="dxa"/>
              <w:right w:w="28" w:type="dxa"/>
            </w:tcMar>
            <w:vAlign w:val="center"/>
          </w:tcPr>
          <w:p w14:paraId="16F85544">
            <w:pPr>
              <w:pStyle w:val="714"/>
              <w:rPr>
                <w:color w:val="auto"/>
              </w:rPr>
            </w:pPr>
            <w:r>
              <w:rPr>
                <w:color w:val="auto"/>
              </w:rPr>
              <w:t xml:space="preserve">333.38 </w:t>
            </w:r>
          </w:p>
        </w:tc>
        <w:tc>
          <w:tcPr>
            <w:tcW w:w="642" w:type="pct"/>
            <w:tcBorders>
              <w:tl2br w:val="nil"/>
              <w:tr2bl w:val="nil"/>
            </w:tcBorders>
            <w:shd w:val="clear" w:color="auto" w:fill="auto"/>
            <w:tcMar>
              <w:left w:w="28" w:type="dxa"/>
              <w:right w:w="28" w:type="dxa"/>
            </w:tcMar>
            <w:vAlign w:val="center"/>
          </w:tcPr>
          <w:p w14:paraId="4FEBDCDB">
            <w:pPr>
              <w:pStyle w:val="714"/>
              <w:rPr>
                <w:color w:val="auto"/>
              </w:rPr>
            </w:pPr>
            <w:r>
              <w:rPr>
                <w:color w:val="auto"/>
              </w:rPr>
              <w:t xml:space="preserve">0.61 </w:t>
            </w:r>
          </w:p>
        </w:tc>
        <w:tc>
          <w:tcPr>
            <w:tcW w:w="642" w:type="pct"/>
            <w:tcBorders>
              <w:tl2br w:val="nil"/>
              <w:tr2bl w:val="nil"/>
            </w:tcBorders>
            <w:shd w:val="clear" w:color="auto" w:fill="auto"/>
            <w:tcMar>
              <w:left w:w="28" w:type="dxa"/>
              <w:right w:w="28" w:type="dxa"/>
            </w:tcMar>
            <w:vAlign w:val="center"/>
          </w:tcPr>
          <w:p w14:paraId="26849E85">
            <w:pPr>
              <w:pStyle w:val="714"/>
              <w:rPr>
                <w:color w:val="auto"/>
              </w:rPr>
            </w:pPr>
            <w:r>
              <w:rPr>
                <w:color w:val="auto"/>
              </w:rPr>
              <w:t xml:space="preserve">332.77 </w:t>
            </w:r>
          </w:p>
        </w:tc>
        <w:tc>
          <w:tcPr>
            <w:tcW w:w="643" w:type="pct"/>
            <w:tcBorders>
              <w:tl2br w:val="nil"/>
              <w:tr2bl w:val="nil"/>
            </w:tcBorders>
            <w:shd w:val="clear" w:color="auto" w:fill="auto"/>
            <w:tcMar>
              <w:left w:w="28" w:type="dxa"/>
              <w:right w:w="28" w:type="dxa"/>
            </w:tcMar>
            <w:vAlign w:val="center"/>
          </w:tcPr>
          <w:p w14:paraId="48C20971">
            <w:pPr>
              <w:pStyle w:val="714"/>
              <w:rPr>
                <w:color w:val="auto"/>
                <w:szCs w:val="21"/>
              </w:rPr>
            </w:pPr>
            <w:r>
              <w:rPr>
                <w:color w:val="auto"/>
                <w:szCs w:val="21"/>
              </w:rPr>
              <w:t>0.</w:t>
            </w:r>
            <w:r>
              <w:rPr>
                <w:rFonts w:hint="eastAsia"/>
                <w:color w:val="auto"/>
                <w:szCs w:val="21"/>
              </w:rPr>
              <w:t>10</w:t>
            </w:r>
            <w:r>
              <w:rPr>
                <w:color w:val="auto"/>
                <w:szCs w:val="21"/>
              </w:rPr>
              <w:t xml:space="preserve"> </w:t>
            </w:r>
          </w:p>
        </w:tc>
        <w:tc>
          <w:tcPr>
            <w:tcW w:w="642" w:type="pct"/>
            <w:tcBorders>
              <w:tl2br w:val="nil"/>
              <w:tr2bl w:val="nil"/>
            </w:tcBorders>
            <w:shd w:val="clear" w:color="auto" w:fill="auto"/>
            <w:tcMar>
              <w:left w:w="28" w:type="dxa"/>
              <w:right w:w="28" w:type="dxa"/>
            </w:tcMar>
            <w:vAlign w:val="center"/>
          </w:tcPr>
          <w:p w14:paraId="56F10592">
            <w:pPr>
              <w:pStyle w:val="714"/>
              <w:rPr>
                <w:color w:val="auto"/>
              </w:rPr>
            </w:pPr>
            <w:r>
              <w:rPr>
                <w:color w:val="auto"/>
              </w:rPr>
              <w:t>333.</w:t>
            </w:r>
            <w:r>
              <w:rPr>
                <w:rFonts w:hint="eastAsia"/>
                <w:color w:val="auto"/>
              </w:rPr>
              <w:t>26</w:t>
            </w:r>
            <w:r>
              <w:rPr>
                <w:color w:val="auto"/>
              </w:rPr>
              <w:t xml:space="preserve"> </w:t>
            </w:r>
          </w:p>
        </w:tc>
      </w:tr>
      <w:tr w14:paraId="27ED2B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tcBorders>
              <w:tl2br w:val="nil"/>
              <w:tr2bl w:val="nil"/>
            </w:tcBorders>
            <w:shd w:val="clear" w:color="auto" w:fill="auto"/>
            <w:tcMar>
              <w:left w:w="28" w:type="dxa"/>
              <w:right w:w="28" w:type="dxa"/>
            </w:tcMar>
            <w:vAlign w:val="center"/>
          </w:tcPr>
          <w:p w14:paraId="10EDDF07">
            <w:pPr>
              <w:pStyle w:val="714"/>
              <w:rPr>
                <w:color w:val="auto"/>
              </w:rPr>
            </w:pPr>
            <w:r>
              <w:rPr>
                <w:color w:val="auto"/>
              </w:rPr>
              <w:t>2#</w:t>
            </w:r>
          </w:p>
        </w:tc>
        <w:tc>
          <w:tcPr>
            <w:tcW w:w="783" w:type="pct"/>
            <w:tcBorders>
              <w:tl2br w:val="nil"/>
              <w:tr2bl w:val="nil"/>
            </w:tcBorders>
            <w:shd w:val="clear" w:color="auto" w:fill="auto"/>
            <w:tcMar>
              <w:left w:w="28" w:type="dxa"/>
              <w:right w:w="28" w:type="dxa"/>
            </w:tcMar>
            <w:vAlign w:val="center"/>
          </w:tcPr>
          <w:p w14:paraId="1091DAB3">
            <w:pPr>
              <w:pStyle w:val="714"/>
              <w:rPr>
                <w:color w:val="auto"/>
              </w:rPr>
            </w:pPr>
            <w:r>
              <w:rPr>
                <w:color w:val="auto"/>
              </w:rPr>
              <w:t>106.5323725</w:t>
            </w:r>
          </w:p>
        </w:tc>
        <w:tc>
          <w:tcPr>
            <w:tcW w:w="596" w:type="pct"/>
            <w:tcBorders>
              <w:tl2br w:val="nil"/>
              <w:tr2bl w:val="nil"/>
            </w:tcBorders>
            <w:shd w:val="clear" w:color="auto" w:fill="auto"/>
            <w:tcMar>
              <w:left w:w="28" w:type="dxa"/>
              <w:right w:w="28" w:type="dxa"/>
            </w:tcMar>
            <w:vAlign w:val="center"/>
          </w:tcPr>
          <w:p w14:paraId="467FBF9F">
            <w:pPr>
              <w:pStyle w:val="714"/>
              <w:rPr>
                <w:color w:val="auto"/>
              </w:rPr>
            </w:pPr>
            <w:r>
              <w:rPr>
                <w:color w:val="auto"/>
              </w:rPr>
              <w:t>31.45232</w:t>
            </w:r>
          </w:p>
        </w:tc>
        <w:tc>
          <w:tcPr>
            <w:tcW w:w="584" w:type="pct"/>
            <w:tcBorders>
              <w:tl2br w:val="nil"/>
              <w:tr2bl w:val="nil"/>
            </w:tcBorders>
            <w:shd w:val="clear" w:color="auto" w:fill="auto"/>
            <w:tcMar>
              <w:left w:w="28" w:type="dxa"/>
              <w:right w:w="28" w:type="dxa"/>
            </w:tcMar>
            <w:vAlign w:val="center"/>
          </w:tcPr>
          <w:p w14:paraId="2DE71240">
            <w:pPr>
              <w:pStyle w:val="714"/>
              <w:rPr>
                <w:color w:val="auto"/>
              </w:rPr>
            </w:pPr>
            <w:r>
              <w:rPr>
                <w:color w:val="auto"/>
              </w:rPr>
              <w:t xml:space="preserve">342.53 </w:t>
            </w:r>
          </w:p>
        </w:tc>
        <w:tc>
          <w:tcPr>
            <w:tcW w:w="642" w:type="pct"/>
            <w:tcBorders>
              <w:tl2br w:val="nil"/>
              <w:tr2bl w:val="nil"/>
            </w:tcBorders>
            <w:shd w:val="clear" w:color="auto" w:fill="auto"/>
            <w:tcMar>
              <w:left w:w="28" w:type="dxa"/>
              <w:right w:w="28" w:type="dxa"/>
            </w:tcMar>
            <w:vAlign w:val="center"/>
          </w:tcPr>
          <w:p w14:paraId="14B3F2C6">
            <w:pPr>
              <w:pStyle w:val="714"/>
              <w:rPr>
                <w:color w:val="auto"/>
              </w:rPr>
            </w:pPr>
            <w:r>
              <w:rPr>
                <w:color w:val="auto"/>
              </w:rPr>
              <w:t xml:space="preserve">2.81 </w:t>
            </w:r>
          </w:p>
        </w:tc>
        <w:tc>
          <w:tcPr>
            <w:tcW w:w="642" w:type="pct"/>
            <w:tcBorders>
              <w:tl2br w:val="nil"/>
              <w:tr2bl w:val="nil"/>
            </w:tcBorders>
            <w:shd w:val="clear" w:color="auto" w:fill="auto"/>
            <w:tcMar>
              <w:left w:w="28" w:type="dxa"/>
              <w:right w:w="28" w:type="dxa"/>
            </w:tcMar>
            <w:vAlign w:val="center"/>
          </w:tcPr>
          <w:p w14:paraId="56756162">
            <w:pPr>
              <w:pStyle w:val="714"/>
              <w:rPr>
                <w:color w:val="auto"/>
              </w:rPr>
            </w:pPr>
            <w:r>
              <w:rPr>
                <w:color w:val="auto"/>
              </w:rPr>
              <w:t xml:space="preserve">339.72 </w:t>
            </w:r>
          </w:p>
        </w:tc>
        <w:tc>
          <w:tcPr>
            <w:tcW w:w="643" w:type="pct"/>
            <w:tcBorders>
              <w:tl2br w:val="nil"/>
              <w:tr2bl w:val="nil"/>
            </w:tcBorders>
            <w:shd w:val="clear" w:color="auto" w:fill="auto"/>
            <w:tcMar>
              <w:left w:w="28" w:type="dxa"/>
              <w:right w:w="28" w:type="dxa"/>
            </w:tcMar>
            <w:vAlign w:val="center"/>
          </w:tcPr>
          <w:p w14:paraId="7025C311">
            <w:pPr>
              <w:pStyle w:val="714"/>
              <w:rPr>
                <w:color w:val="auto"/>
                <w:szCs w:val="21"/>
              </w:rPr>
            </w:pPr>
            <w:r>
              <w:rPr>
                <w:color w:val="auto"/>
                <w:szCs w:val="21"/>
              </w:rPr>
              <w:t xml:space="preserve">2.41 </w:t>
            </w:r>
          </w:p>
        </w:tc>
        <w:tc>
          <w:tcPr>
            <w:tcW w:w="642" w:type="pct"/>
            <w:tcBorders>
              <w:tl2br w:val="nil"/>
              <w:tr2bl w:val="nil"/>
            </w:tcBorders>
            <w:shd w:val="clear" w:color="auto" w:fill="auto"/>
            <w:tcMar>
              <w:left w:w="28" w:type="dxa"/>
              <w:right w:w="28" w:type="dxa"/>
            </w:tcMar>
            <w:vAlign w:val="center"/>
          </w:tcPr>
          <w:p w14:paraId="73B9548A">
            <w:pPr>
              <w:pStyle w:val="714"/>
              <w:rPr>
                <w:color w:val="auto"/>
              </w:rPr>
            </w:pPr>
            <w:r>
              <w:rPr>
                <w:color w:val="auto"/>
              </w:rPr>
              <w:t xml:space="preserve">340.12 </w:t>
            </w:r>
          </w:p>
        </w:tc>
      </w:tr>
      <w:tr w14:paraId="101EDB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tcBorders>
              <w:tl2br w:val="nil"/>
              <w:tr2bl w:val="nil"/>
            </w:tcBorders>
            <w:shd w:val="clear" w:color="auto" w:fill="auto"/>
            <w:tcMar>
              <w:left w:w="28" w:type="dxa"/>
              <w:right w:w="28" w:type="dxa"/>
            </w:tcMar>
            <w:vAlign w:val="center"/>
          </w:tcPr>
          <w:p w14:paraId="50AE2AA1">
            <w:pPr>
              <w:pStyle w:val="714"/>
              <w:rPr>
                <w:color w:val="auto"/>
              </w:rPr>
            </w:pPr>
            <w:r>
              <w:rPr>
                <w:color w:val="auto"/>
              </w:rPr>
              <w:t>3#</w:t>
            </w:r>
          </w:p>
        </w:tc>
        <w:tc>
          <w:tcPr>
            <w:tcW w:w="783" w:type="pct"/>
            <w:tcBorders>
              <w:tl2br w:val="nil"/>
              <w:tr2bl w:val="nil"/>
            </w:tcBorders>
            <w:shd w:val="clear" w:color="auto" w:fill="auto"/>
            <w:tcMar>
              <w:left w:w="28" w:type="dxa"/>
              <w:right w:w="28" w:type="dxa"/>
            </w:tcMar>
            <w:vAlign w:val="center"/>
          </w:tcPr>
          <w:p w14:paraId="44A6361C">
            <w:pPr>
              <w:pStyle w:val="714"/>
              <w:rPr>
                <w:color w:val="auto"/>
              </w:rPr>
            </w:pPr>
            <w:r>
              <w:rPr>
                <w:color w:val="auto"/>
              </w:rPr>
              <w:t>106.5315103</w:t>
            </w:r>
          </w:p>
        </w:tc>
        <w:tc>
          <w:tcPr>
            <w:tcW w:w="596" w:type="pct"/>
            <w:tcBorders>
              <w:tl2br w:val="nil"/>
              <w:tr2bl w:val="nil"/>
            </w:tcBorders>
            <w:shd w:val="clear" w:color="auto" w:fill="auto"/>
            <w:tcMar>
              <w:left w:w="28" w:type="dxa"/>
              <w:right w:w="28" w:type="dxa"/>
            </w:tcMar>
            <w:vAlign w:val="center"/>
          </w:tcPr>
          <w:p w14:paraId="37769EEC">
            <w:pPr>
              <w:pStyle w:val="714"/>
              <w:rPr>
                <w:color w:val="auto"/>
              </w:rPr>
            </w:pPr>
            <w:r>
              <w:rPr>
                <w:color w:val="auto"/>
              </w:rPr>
              <w:t>31.45224</w:t>
            </w:r>
          </w:p>
        </w:tc>
        <w:tc>
          <w:tcPr>
            <w:tcW w:w="584" w:type="pct"/>
            <w:tcBorders>
              <w:tl2br w:val="nil"/>
              <w:tr2bl w:val="nil"/>
            </w:tcBorders>
            <w:shd w:val="clear" w:color="auto" w:fill="auto"/>
            <w:tcMar>
              <w:left w:w="28" w:type="dxa"/>
              <w:right w:w="28" w:type="dxa"/>
            </w:tcMar>
            <w:vAlign w:val="center"/>
          </w:tcPr>
          <w:p w14:paraId="5CBB99E7">
            <w:pPr>
              <w:pStyle w:val="714"/>
              <w:rPr>
                <w:color w:val="auto"/>
              </w:rPr>
            </w:pPr>
            <w:r>
              <w:rPr>
                <w:color w:val="auto"/>
              </w:rPr>
              <w:t xml:space="preserve">337.88 </w:t>
            </w:r>
          </w:p>
        </w:tc>
        <w:tc>
          <w:tcPr>
            <w:tcW w:w="642" w:type="pct"/>
            <w:tcBorders>
              <w:tl2br w:val="nil"/>
              <w:tr2bl w:val="nil"/>
            </w:tcBorders>
            <w:shd w:val="clear" w:color="auto" w:fill="auto"/>
            <w:tcMar>
              <w:left w:w="28" w:type="dxa"/>
              <w:right w:w="28" w:type="dxa"/>
            </w:tcMar>
            <w:vAlign w:val="center"/>
          </w:tcPr>
          <w:p w14:paraId="240C086A">
            <w:pPr>
              <w:pStyle w:val="714"/>
              <w:rPr>
                <w:color w:val="auto"/>
              </w:rPr>
            </w:pPr>
            <w:r>
              <w:rPr>
                <w:color w:val="auto"/>
              </w:rPr>
              <w:t xml:space="preserve">1.72 </w:t>
            </w:r>
          </w:p>
        </w:tc>
        <w:tc>
          <w:tcPr>
            <w:tcW w:w="642" w:type="pct"/>
            <w:tcBorders>
              <w:tl2br w:val="nil"/>
              <w:tr2bl w:val="nil"/>
            </w:tcBorders>
            <w:shd w:val="clear" w:color="auto" w:fill="auto"/>
            <w:tcMar>
              <w:left w:w="28" w:type="dxa"/>
              <w:right w:w="28" w:type="dxa"/>
            </w:tcMar>
            <w:vAlign w:val="center"/>
          </w:tcPr>
          <w:p w14:paraId="7CAB87A5">
            <w:pPr>
              <w:pStyle w:val="714"/>
              <w:rPr>
                <w:color w:val="auto"/>
              </w:rPr>
            </w:pPr>
            <w:r>
              <w:rPr>
                <w:color w:val="auto"/>
              </w:rPr>
              <w:t xml:space="preserve">336.16 </w:t>
            </w:r>
          </w:p>
        </w:tc>
        <w:tc>
          <w:tcPr>
            <w:tcW w:w="643" w:type="pct"/>
            <w:tcBorders>
              <w:tl2br w:val="nil"/>
              <w:tr2bl w:val="nil"/>
            </w:tcBorders>
            <w:shd w:val="clear" w:color="auto" w:fill="auto"/>
            <w:tcMar>
              <w:left w:w="28" w:type="dxa"/>
              <w:right w:w="28" w:type="dxa"/>
            </w:tcMar>
            <w:vAlign w:val="center"/>
          </w:tcPr>
          <w:p w14:paraId="5B7FCD89">
            <w:pPr>
              <w:pStyle w:val="714"/>
              <w:rPr>
                <w:color w:val="auto"/>
                <w:szCs w:val="21"/>
              </w:rPr>
            </w:pPr>
            <w:r>
              <w:rPr>
                <w:color w:val="auto"/>
                <w:szCs w:val="21"/>
              </w:rPr>
              <w:t xml:space="preserve">1.22 </w:t>
            </w:r>
          </w:p>
        </w:tc>
        <w:tc>
          <w:tcPr>
            <w:tcW w:w="642" w:type="pct"/>
            <w:tcBorders>
              <w:tl2br w:val="nil"/>
              <w:tr2bl w:val="nil"/>
            </w:tcBorders>
            <w:shd w:val="clear" w:color="auto" w:fill="auto"/>
            <w:tcMar>
              <w:left w:w="28" w:type="dxa"/>
              <w:right w:w="28" w:type="dxa"/>
            </w:tcMar>
            <w:vAlign w:val="center"/>
          </w:tcPr>
          <w:p w14:paraId="50FCDFB4">
            <w:pPr>
              <w:pStyle w:val="714"/>
              <w:rPr>
                <w:color w:val="auto"/>
              </w:rPr>
            </w:pPr>
            <w:r>
              <w:rPr>
                <w:color w:val="auto"/>
              </w:rPr>
              <w:t xml:space="preserve">336.66 </w:t>
            </w:r>
          </w:p>
        </w:tc>
      </w:tr>
      <w:tr w14:paraId="62ACAC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tcBorders>
              <w:tl2br w:val="nil"/>
              <w:tr2bl w:val="nil"/>
            </w:tcBorders>
            <w:shd w:val="clear" w:color="auto" w:fill="auto"/>
            <w:tcMar>
              <w:left w:w="28" w:type="dxa"/>
              <w:right w:w="28" w:type="dxa"/>
            </w:tcMar>
            <w:vAlign w:val="center"/>
          </w:tcPr>
          <w:p w14:paraId="0AD97DED">
            <w:pPr>
              <w:pStyle w:val="714"/>
              <w:rPr>
                <w:color w:val="auto"/>
              </w:rPr>
            </w:pPr>
            <w:r>
              <w:rPr>
                <w:color w:val="auto"/>
              </w:rPr>
              <w:t>4#</w:t>
            </w:r>
          </w:p>
        </w:tc>
        <w:tc>
          <w:tcPr>
            <w:tcW w:w="783" w:type="pct"/>
            <w:tcBorders>
              <w:tl2br w:val="nil"/>
              <w:tr2bl w:val="nil"/>
            </w:tcBorders>
            <w:shd w:val="clear" w:color="auto" w:fill="auto"/>
            <w:tcMar>
              <w:left w:w="28" w:type="dxa"/>
              <w:right w:w="28" w:type="dxa"/>
            </w:tcMar>
            <w:vAlign w:val="center"/>
          </w:tcPr>
          <w:p w14:paraId="54C0AE6F">
            <w:pPr>
              <w:pStyle w:val="714"/>
              <w:rPr>
                <w:color w:val="auto"/>
              </w:rPr>
            </w:pPr>
            <w:r>
              <w:rPr>
                <w:color w:val="auto"/>
              </w:rPr>
              <w:t>106.5332358</w:t>
            </w:r>
          </w:p>
        </w:tc>
        <w:tc>
          <w:tcPr>
            <w:tcW w:w="596" w:type="pct"/>
            <w:tcBorders>
              <w:tl2br w:val="nil"/>
              <w:tr2bl w:val="nil"/>
            </w:tcBorders>
            <w:shd w:val="clear" w:color="auto" w:fill="auto"/>
            <w:tcMar>
              <w:left w:w="28" w:type="dxa"/>
              <w:right w:w="28" w:type="dxa"/>
            </w:tcMar>
            <w:vAlign w:val="center"/>
          </w:tcPr>
          <w:p w14:paraId="7EF0C125">
            <w:pPr>
              <w:pStyle w:val="714"/>
              <w:rPr>
                <w:color w:val="auto"/>
              </w:rPr>
            </w:pPr>
            <w:r>
              <w:rPr>
                <w:color w:val="auto"/>
              </w:rPr>
              <w:t>31.45119</w:t>
            </w:r>
          </w:p>
        </w:tc>
        <w:tc>
          <w:tcPr>
            <w:tcW w:w="584" w:type="pct"/>
            <w:tcBorders>
              <w:tl2br w:val="nil"/>
              <w:tr2bl w:val="nil"/>
            </w:tcBorders>
            <w:shd w:val="clear" w:color="auto" w:fill="auto"/>
            <w:tcMar>
              <w:left w:w="28" w:type="dxa"/>
              <w:right w:w="28" w:type="dxa"/>
            </w:tcMar>
            <w:vAlign w:val="center"/>
          </w:tcPr>
          <w:p w14:paraId="752EAD10">
            <w:pPr>
              <w:pStyle w:val="714"/>
              <w:rPr>
                <w:color w:val="auto"/>
              </w:rPr>
            </w:pPr>
            <w:r>
              <w:rPr>
                <w:color w:val="auto"/>
              </w:rPr>
              <w:t xml:space="preserve">334.55 </w:t>
            </w:r>
          </w:p>
        </w:tc>
        <w:tc>
          <w:tcPr>
            <w:tcW w:w="642" w:type="pct"/>
            <w:tcBorders>
              <w:tl2br w:val="nil"/>
              <w:tr2bl w:val="nil"/>
            </w:tcBorders>
            <w:shd w:val="clear" w:color="auto" w:fill="auto"/>
            <w:tcMar>
              <w:left w:w="28" w:type="dxa"/>
              <w:right w:w="28" w:type="dxa"/>
            </w:tcMar>
            <w:vAlign w:val="center"/>
          </w:tcPr>
          <w:p w14:paraId="1AB22C23">
            <w:pPr>
              <w:pStyle w:val="714"/>
              <w:rPr>
                <w:color w:val="auto"/>
              </w:rPr>
            </w:pPr>
            <w:r>
              <w:rPr>
                <w:color w:val="auto"/>
              </w:rPr>
              <w:t xml:space="preserve">2.61 </w:t>
            </w:r>
          </w:p>
        </w:tc>
        <w:tc>
          <w:tcPr>
            <w:tcW w:w="642" w:type="pct"/>
            <w:tcBorders>
              <w:tl2br w:val="nil"/>
              <w:tr2bl w:val="nil"/>
            </w:tcBorders>
            <w:shd w:val="clear" w:color="auto" w:fill="auto"/>
            <w:tcMar>
              <w:left w:w="28" w:type="dxa"/>
              <w:right w:w="28" w:type="dxa"/>
            </w:tcMar>
            <w:vAlign w:val="center"/>
          </w:tcPr>
          <w:p w14:paraId="4053EECA">
            <w:pPr>
              <w:pStyle w:val="714"/>
              <w:rPr>
                <w:color w:val="auto"/>
              </w:rPr>
            </w:pPr>
            <w:r>
              <w:rPr>
                <w:color w:val="auto"/>
              </w:rPr>
              <w:t xml:space="preserve">331.94 </w:t>
            </w:r>
          </w:p>
        </w:tc>
        <w:tc>
          <w:tcPr>
            <w:tcW w:w="643" w:type="pct"/>
            <w:tcBorders>
              <w:tl2br w:val="nil"/>
              <w:tr2bl w:val="nil"/>
            </w:tcBorders>
            <w:shd w:val="clear" w:color="auto" w:fill="auto"/>
            <w:tcMar>
              <w:left w:w="28" w:type="dxa"/>
              <w:right w:w="28" w:type="dxa"/>
            </w:tcMar>
            <w:vAlign w:val="center"/>
          </w:tcPr>
          <w:p w14:paraId="6EFC9E6F">
            <w:pPr>
              <w:pStyle w:val="714"/>
              <w:rPr>
                <w:color w:val="auto"/>
                <w:szCs w:val="21"/>
              </w:rPr>
            </w:pPr>
            <w:r>
              <w:rPr>
                <w:color w:val="auto"/>
                <w:szCs w:val="21"/>
              </w:rPr>
              <w:t xml:space="preserve">2.31 </w:t>
            </w:r>
          </w:p>
        </w:tc>
        <w:tc>
          <w:tcPr>
            <w:tcW w:w="642" w:type="pct"/>
            <w:tcBorders>
              <w:tl2br w:val="nil"/>
              <w:tr2bl w:val="nil"/>
            </w:tcBorders>
            <w:shd w:val="clear" w:color="auto" w:fill="auto"/>
            <w:tcMar>
              <w:left w:w="28" w:type="dxa"/>
              <w:right w:w="28" w:type="dxa"/>
            </w:tcMar>
            <w:vAlign w:val="center"/>
          </w:tcPr>
          <w:p w14:paraId="6C570D78">
            <w:pPr>
              <w:pStyle w:val="714"/>
              <w:rPr>
                <w:color w:val="auto"/>
              </w:rPr>
            </w:pPr>
            <w:r>
              <w:rPr>
                <w:color w:val="auto"/>
              </w:rPr>
              <w:t xml:space="preserve">332.24 </w:t>
            </w:r>
          </w:p>
        </w:tc>
      </w:tr>
      <w:tr w14:paraId="520B93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tcBorders>
              <w:tl2br w:val="nil"/>
              <w:tr2bl w:val="nil"/>
            </w:tcBorders>
            <w:shd w:val="clear" w:color="auto" w:fill="auto"/>
            <w:tcMar>
              <w:left w:w="28" w:type="dxa"/>
              <w:right w:w="28" w:type="dxa"/>
            </w:tcMar>
            <w:vAlign w:val="center"/>
          </w:tcPr>
          <w:p w14:paraId="1559169A">
            <w:pPr>
              <w:pStyle w:val="714"/>
              <w:rPr>
                <w:color w:val="auto"/>
              </w:rPr>
            </w:pPr>
            <w:r>
              <w:rPr>
                <w:color w:val="auto"/>
              </w:rPr>
              <w:t>5#</w:t>
            </w:r>
          </w:p>
        </w:tc>
        <w:tc>
          <w:tcPr>
            <w:tcW w:w="783" w:type="pct"/>
            <w:tcBorders>
              <w:tl2br w:val="nil"/>
              <w:tr2bl w:val="nil"/>
            </w:tcBorders>
            <w:shd w:val="clear" w:color="auto" w:fill="auto"/>
            <w:tcMar>
              <w:left w:w="28" w:type="dxa"/>
              <w:right w:w="28" w:type="dxa"/>
            </w:tcMar>
            <w:vAlign w:val="center"/>
          </w:tcPr>
          <w:p w14:paraId="15C4D562">
            <w:pPr>
              <w:pStyle w:val="714"/>
              <w:rPr>
                <w:color w:val="auto"/>
              </w:rPr>
            </w:pPr>
            <w:r>
              <w:rPr>
                <w:color w:val="auto"/>
              </w:rPr>
              <w:t>106.5330697</w:t>
            </w:r>
          </w:p>
        </w:tc>
        <w:tc>
          <w:tcPr>
            <w:tcW w:w="596" w:type="pct"/>
            <w:tcBorders>
              <w:tl2br w:val="nil"/>
              <w:tr2bl w:val="nil"/>
            </w:tcBorders>
            <w:shd w:val="clear" w:color="auto" w:fill="auto"/>
            <w:tcMar>
              <w:left w:w="28" w:type="dxa"/>
              <w:right w:w="28" w:type="dxa"/>
            </w:tcMar>
            <w:vAlign w:val="center"/>
          </w:tcPr>
          <w:p w14:paraId="3B3AD65C">
            <w:pPr>
              <w:pStyle w:val="714"/>
              <w:rPr>
                <w:color w:val="auto"/>
              </w:rPr>
            </w:pPr>
            <w:r>
              <w:rPr>
                <w:color w:val="auto"/>
              </w:rPr>
              <w:t>31.4516</w:t>
            </w:r>
          </w:p>
        </w:tc>
        <w:tc>
          <w:tcPr>
            <w:tcW w:w="584" w:type="pct"/>
            <w:tcBorders>
              <w:tl2br w:val="nil"/>
              <w:tr2bl w:val="nil"/>
            </w:tcBorders>
            <w:shd w:val="clear" w:color="auto" w:fill="auto"/>
            <w:tcMar>
              <w:left w:w="28" w:type="dxa"/>
              <w:right w:w="28" w:type="dxa"/>
            </w:tcMar>
            <w:vAlign w:val="center"/>
          </w:tcPr>
          <w:p w14:paraId="5B3E6561">
            <w:pPr>
              <w:pStyle w:val="714"/>
              <w:rPr>
                <w:color w:val="auto"/>
              </w:rPr>
            </w:pPr>
            <w:r>
              <w:rPr>
                <w:color w:val="auto"/>
              </w:rPr>
              <w:t xml:space="preserve">329.14 </w:t>
            </w:r>
          </w:p>
        </w:tc>
        <w:tc>
          <w:tcPr>
            <w:tcW w:w="642" w:type="pct"/>
            <w:tcBorders>
              <w:tl2br w:val="nil"/>
              <w:tr2bl w:val="nil"/>
            </w:tcBorders>
            <w:shd w:val="clear" w:color="auto" w:fill="auto"/>
            <w:tcMar>
              <w:left w:w="28" w:type="dxa"/>
              <w:right w:w="28" w:type="dxa"/>
            </w:tcMar>
            <w:vAlign w:val="center"/>
          </w:tcPr>
          <w:p w14:paraId="03C431E7">
            <w:pPr>
              <w:pStyle w:val="714"/>
              <w:rPr>
                <w:color w:val="auto"/>
              </w:rPr>
            </w:pPr>
            <w:r>
              <w:rPr>
                <w:color w:val="auto"/>
              </w:rPr>
              <w:t xml:space="preserve">0.77 </w:t>
            </w:r>
          </w:p>
        </w:tc>
        <w:tc>
          <w:tcPr>
            <w:tcW w:w="642" w:type="pct"/>
            <w:tcBorders>
              <w:tl2br w:val="nil"/>
              <w:tr2bl w:val="nil"/>
            </w:tcBorders>
            <w:shd w:val="clear" w:color="auto" w:fill="auto"/>
            <w:tcMar>
              <w:left w:w="28" w:type="dxa"/>
              <w:right w:w="28" w:type="dxa"/>
            </w:tcMar>
            <w:vAlign w:val="center"/>
          </w:tcPr>
          <w:p w14:paraId="18BB2178">
            <w:pPr>
              <w:pStyle w:val="714"/>
              <w:rPr>
                <w:color w:val="auto"/>
              </w:rPr>
            </w:pPr>
            <w:r>
              <w:rPr>
                <w:color w:val="auto"/>
              </w:rPr>
              <w:t xml:space="preserve">328.37 </w:t>
            </w:r>
          </w:p>
        </w:tc>
        <w:tc>
          <w:tcPr>
            <w:tcW w:w="643" w:type="pct"/>
            <w:tcBorders>
              <w:tl2br w:val="nil"/>
              <w:tr2bl w:val="nil"/>
            </w:tcBorders>
            <w:shd w:val="clear" w:color="auto" w:fill="auto"/>
            <w:tcMar>
              <w:left w:w="28" w:type="dxa"/>
              <w:right w:w="28" w:type="dxa"/>
            </w:tcMar>
            <w:vAlign w:val="center"/>
          </w:tcPr>
          <w:p w14:paraId="5DFFB50F">
            <w:pPr>
              <w:pStyle w:val="714"/>
              <w:rPr>
                <w:color w:val="auto"/>
                <w:szCs w:val="21"/>
              </w:rPr>
            </w:pPr>
            <w:r>
              <w:rPr>
                <w:color w:val="auto"/>
                <w:szCs w:val="21"/>
              </w:rPr>
              <w:t xml:space="preserve">0.57 </w:t>
            </w:r>
          </w:p>
        </w:tc>
        <w:tc>
          <w:tcPr>
            <w:tcW w:w="642" w:type="pct"/>
            <w:tcBorders>
              <w:tl2br w:val="nil"/>
              <w:tr2bl w:val="nil"/>
            </w:tcBorders>
            <w:shd w:val="clear" w:color="auto" w:fill="auto"/>
            <w:tcMar>
              <w:left w:w="28" w:type="dxa"/>
              <w:right w:w="28" w:type="dxa"/>
            </w:tcMar>
            <w:vAlign w:val="center"/>
          </w:tcPr>
          <w:p w14:paraId="35D1F0B1">
            <w:pPr>
              <w:pStyle w:val="714"/>
              <w:rPr>
                <w:color w:val="auto"/>
              </w:rPr>
            </w:pPr>
            <w:r>
              <w:rPr>
                <w:color w:val="auto"/>
              </w:rPr>
              <w:t xml:space="preserve">328.57 </w:t>
            </w:r>
          </w:p>
        </w:tc>
      </w:tr>
      <w:tr w14:paraId="6CD306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tcBorders>
              <w:tl2br w:val="nil"/>
              <w:tr2bl w:val="nil"/>
            </w:tcBorders>
            <w:shd w:val="clear" w:color="auto" w:fill="auto"/>
            <w:tcMar>
              <w:left w:w="28" w:type="dxa"/>
              <w:right w:w="28" w:type="dxa"/>
            </w:tcMar>
            <w:vAlign w:val="center"/>
          </w:tcPr>
          <w:p w14:paraId="21354049">
            <w:pPr>
              <w:pStyle w:val="714"/>
              <w:rPr>
                <w:color w:val="auto"/>
              </w:rPr>
            </w:pPr>
            <w:r>
              <w:rPr>
                <w:color w:val="auto"/>
              </w:rPr>
              <w:t>6#</w:t>
            </w:r>
          </w:p>
        </w:tc>
        <w:tc>
          <w:tcPr>
            <w:tcW w:w="783" w:type="pct"/>
            <w:tcBorders>
              <w:tl2br w:val="nil"/>
              <w:tr2bl w:val="nil"/>
            </w:tcBorders>
            <w:shd w:val="clear" w:color="auto" w:fill="auto"/>
            <w:tcMar>
              <w:left w:w="28" w:type="dxa"/>
              <w:right w:w="28" w:type="dxa"/>
            </w:tcMar>
            <w:vAlign w:val="center"/>
          </w:tcPr>
          <w:p w14:paraId="12EFFBAD">
            <w:pPr>
              <w:pStyle w:val="714"/>
              <w:rPr>
                <w:color w:val="auto"/>
              </w:rPr>
            </w:pPr>
            <w:r>
              <w:rPr>
                <w:color w:val="auto"/>
              </w:rPr>
              <w:t>106.5331817</w:t>
            </w:r>
          </w:p>
        </w:tc>
        <w:tc>
          <w:tcPr>
            <w:tcW w:w="596" w:type="pct"/>
            <w:tcBorders>
              <w:tl2br w:val="nil"/>
              <w:tr2bl w:val="nil"/>
            </w:tcBorders>
            <w:shd w:val="clear" w:color="auto" w:fill="auto"/>
            <w:tcMar>
              <w:left w:w="28" w:type="dxa"/>
              <w:right w:w="28" w:type="dxa"/>
            </w:tcMar>
            <w:vAlign w:val="center"/>
          </w:tcPr>
          <w:p w14:paraId="1B96D672">
            <w:pPr>
              <w:pStyle w:val="714"/>
              <w:rPr>
                <w:color w:val="auto"/>
              </w:rPr>
            </w:pPr>
            <w:r>
              <w:rPr>
                <w:color w:val="auto"/>
              </w:rPr>
              <w:t>31.45158</w:t>
            </w:r>
          </w:p>
        </w:tc>
        <w:tc>
          <w:tcPr>
            <w:tcW w:w="584" w:type="pct"/>
            <w:tcBorders>
              <w:tl2br w:val="nil"/>
              <w:tr2bl w:val="nil"/>
            </w:tcBorders>
            <w:shd w:val="clear" w:color="auto" w:fill="auto"/>
            <w:tcMar>
              <w:left w:w="28" w:type="dxa"/>
              <w:right w:w="28" w:type="dxa"/>
            </w:tcMar>
            <w:vAlign w:val="center"/>
          </w:tcPr>
          <w:p w14:paraId="04AD888B">
            <w:pPr>
              <w:pStyle w:val="714"/>
              <w:rPr>
                <w:color w:val="auto"/>
              </w:rPr>
            </w:pPr>
            <w:r>
              <w:rPr>
                <w:color w:val="auto"/>
              </w:rPr>
              <w:t xml:space="preserve">338.49 </w:t>
            </w:r>
          </w:p>
        </w:tc>
        <w:tc>
          <w:tcPr>
            <w:tcW w:w="642" w:type="pct"/>
            <w:tcBorders>
              <w:tl2br w:val="nil"/>
              <w:tr2bl w:val="nil"/>
            </w:tcBorders>
            <w:shd w:val="clear" w:color="auto" w:fill="auto"/>
            <w:tcMar>
              <w:left w:w="28" w:type="dxa"/>
              <w:right w:w="28" w:type="dxa"/>
            </w:tcMar>
            <w:vAlign w:val="center"/>
          </w:tcPr>
          <w:p w14:paraId="105BE7A8">
            <w:pPr>
              <w:pStyle w:val="714"/>
              <w:rPr>
                <w:color w:val="auto"/>
              </w:rPr>
            </w:pPr>
            <w:r>
              <w:rPr>
                <w:color w:val="auto"/>
              </w:rPr>
              <w:t xml:space="preserve">4.90 </w:t>
            </w:r>
          </w:p>
        </w:tc>
        <w:tc>
          <w:tcPr>
            <w:tcW w:w="642" w:type="pct"/>
            <w:tcBorders>
              <w:tl2br w:val="nil"/>
              <w:tr2bl w:val="nil"/>
            </w:tcBorders>
            <w:shd w:val="clear" w:color="auto" w:fill="auto"/>
            <w:tcMar>
              <w:left w:w="28" w:type="dxa"/>
              <w:right w:w="28" w:type="dxa"/>
            </w:tcMar>
            <w:vAlign w:val="center"/>
          </w:tcPr>
          <w:p w14:paraId="30D2E37C">
            <w:pPr>
              <w:pStyle w:val="714"/>
              <w:rPr>
                <w:color w:val="auto"/>
              </w:rPr>
            </w:pPr>
            <w:r>
              <w:rPr>
                <w:color w:val="auto"/>
              </w:rPr>
              <w:t xml:space="preserve">333.59 </w:t>
            </w:r>
          </w:p>
        </w:tc>
        <w:tc>
          <w:tcPr>
            <w:tcW w:w="643" w:type="pct"/>
            <w:tcBorders>
              <w:tl2br w:val="nil"/>
              <w:tr2bl w:val="nil"/>
            </w:tcBorders>
            <w:shd w:val="clear" w:color="auto" w:fill="auto"/>
            <w:tcMar>
              <w:left w:w="28" w:type="dxa"/>
              <w:right w:w="28" w:type="dxa"/>
            </w:tcMar>
            <w:vAlign w:val="center"/>
          </w:tcPr>
          <w:p w14:paraId="256DE284">
            <w:pPr>
              <w:pStyle w:val="714"/>
              <w:rPr>
                <w:color w:val="auto"/>
              </w:rPr>
            </w:pPr>
            <w:r>
              <w:rPr>
                <w:color w:val="auto"/>
              </w:rPr>
              <w:t xml:space="preserve">4.10 </w:t>
            </w:r>
          </w:p>
        </w:tc>
        <w:tc>
          <w:tcPr>
            <w:tcW w:w="642" w:type="pct"/>
            <w:tcBorders>
              <w:tl2br w:val="nil"/>
              <w:tr2bl w:val="nil"/>
            </w:tcBorders>
            <w:shd w:val="clear" w:color="auto" w:fill="auto"/>
            <w:tcMar>
              <w:left w:w="28" w:type="dxa"/>
              <w:right w:w="28" w:type="dxa"/>
            </w:tcMar>
            <w:vAlign w:val="center"/>
          </w:tcPr>
          <w:p w14:paraId="0397ACF6">
            <w:pPr>
              <w:pStyle w:val="714"/>
              <w:rPr>
                <w:color w:val="auto"/>
              </w:rPr>
            </w:pPr>
            <w:r>
              <w:rPr>
                <w:color w:val="auto"/>
              </w:rPr>
              <w:t xml:space="preserve">334.39 </w:t>
            </w:r>
          </w:p>
        </w:tc>
      </w:tr>
      <w:tr w14:paraId="6F1697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tcBorders>
              <w:tl2br w:val="nil"/>
              <w:tr2bl w:val="nil"/>
            </w:tcBorders>
            <w:shd w:val="clear" w:color="auto" w:fill="auto"/>
            <w:tcMar>
              <w:left w:w="28" w:type="dxa"/>
              <w:right w:w="28" w:type="dxa"/>
            </w:tcMar>
            <w:vAlign w:val="center"/>
          </w:tcPr>
          <w:p w14:paraId="769AF7E8">
            <w:pPr>
              <w:pStyle w:val="714"/>
              <w:rPr>
                <w:color w:val="auto"/>
              </w:rPr>
            </w:pPr>
            <w:r>
              <w:rPr>
                <w:color w:val="auto"/>
              </w:rPr>
              <w:t>7#</w:t>
            </w:r>
          </w:p>
        </w:tc>
        <w:tc>
          <w:tcPr>
            <w:tcW w:w="783" w:type="pct"/>
            <w:tcBorders>
              <w:tl2br w:val="nil"/>
              <w:tr2bl w:val="nil"/>
            </w:tcBorders>
            <w:shd w:val="clear" w:color="auto" w:fill="auto"/>
            <w:tcMar>
              <w:left w:w="28" w:type="dxa"/>
              <w:right w:w="28" w:type="dxa"/>
            </w:tcMar>
            <w:vAlign w:val="center"/>
          </w:tcPr>
          <w:p w14:paraId="3225767E">
            <w:pPr>
              <w:pStyle w:val="714"/>
              <w:rPr>
                <w:color w:val="auto"/>
              </w:rPr>
            </w:pPr>
            <w:r>
              <w:rPr>
                <w:color w:val="auto"/>
              </w:rPr>
              <w:t>106.5330407</w:t>
            </w:r>
          </w:p>
        </w:tc>
        <w:tc>
          <w:tcPr>
            <w:tcW w:w="596" w:type="pct"/>
            <w:tcBorders>
              <w:tl2br w:val="nil"/>
              <w:tr2bl w:val="nil"/>
            </w:tcBorders>
            <w:shd w:val="clear" w:color="auto" w:fill="auto"/>
            <w:tcMar>
              <w:left w:w="28" w:type="dxa"/>
              <w:right w:w="28" w:type="dxa"/>
            </w:tcMar>
            <w:vAlign w:val="center"/>
          </w:tcPr>
          <w:p w14:paraId="623F9950">
            <w:pPr>
              <w:pStyle w:val="714"/>
              <w:rPr>
                <w:color w:val="auto"/>
              </w:rPr>
            </w:pPr>
            <w:r>
              <w:rPr>
                <w:color w:val="auto"/>
              </w:rPr>
              <w:t>31.45171</w:t>
            </w:r>
          </w:p>
        </w:tc>
        <w:tc>
          <w:tcPr>
            <w:tcW w:w="584" w:type="pct"/>
            <w:tcBorders>
              <w:tl2br w:val="nil"/>
              <w:tr2bl w:val="nil"/>
            </w:tcBorders>
            <w:shd w:val="clear" w:color="auto" w:fill="auto"/>
            <w:tcMar>
              <w:left w:w="28" w:type="dxa"/>
              <w:right w:w="28" w:type="dxa"/>
            </w:tcMar>
            <w:vAlign w:val="center"/>
          </w:tcPr>
          <w:p w14:paraId="3CE96E3A">
            <w:pPr>
              <w:pStyle w:val="714"/>
              <w:rPr>
                <w:color w:val="auto"/>
              </w:rPr>
            </w:pPr>
            <w:r>
              <w:rPr>
                <w:color w:val="auto"/>
              </w:rPr>
              <w:t xml:space="preserve">331.65 </w:t>
            </w:r>
          </w:p>
        </w:tc>
        <w:tc>
          <w:tcPr>
            <w:tcW w:w="642" w:type="pct"/>
            <w:tcBorders>
              <w:tl2br w:val="nil"/>
              <w:tr2bl w:val="nil"/>
            </w:tcBorders>
            <w:shd w:val="clear" w:color="auto" w:fill="auto"/>
            <w:tcMar>
              <w:left w:w="28" w:type="dxa"/>
              <w:right w:w="28" w:type="dxa"/>
            </w:tcMar>
            <w:vAlign w:val="center"/>
          </w:tcPr>
          <w:p w14:paraId="62366A94">
            <w:pPr>
              <w:pStyle w:val="714"/>
              <w:rPr>
                <w:color w:val="auto"/>
              </w:rPr>
            </w:pPr>
            <w:r>
              <w:rPr>
                <w:color w:val="auto"/>
              </w:rPr>
              <w:t xml:space="preserve">2.01 </w:t>
            </w:r>
          </w:p>
        </w:tc>
        <w:tc>
          <w:tcPr>
            <w:tcW w:w="642" w:type="pct"/>
            <w:tcBorders>
              <w:tl2br w:val="nil"/>
              <w:tr2bl w:val="nil"/>
            </w:tcBorders>
            <w:shd w:val="clear" w:color="auto" w:fill="auto"/>
            <w:tcMar>
              <w:left w:w="28" w:type="dxa"/>
              <w:right w:w="28" w:type="dxa"/>
            </w:tcMar>
            <w:vAlign w:val="center"/>
          </w:tcPr>
          <w:p w14:paraId="5CA3A2DB">
            <w:pPr>
              <w:pStyle w:val="714"/>
              <w:rPr>
                <w:color w:val="auto"/>
              </w:rPr>
            </w:pPr>
            <w:r>
              <w:rPr>
                <w:color w:val="auto"/>
              </w:rPr>
              <w:t xml:space="preserve">329.64 </w:t>
            </w:r>
          </w:p>
        </w:tc>
        <w:tc>
          <w:tcPr>
            <w:tcW w:w="643" w:type="pct"/>
            <w:tcBorders>
              <w:tl2br w:val="nil"/>
              <w:tr2bl w:val="nil"/>
            </w:tcBorders>
            <w:shd w:val="clear" w:color="auto" w:fill="auto"/>
            <w:tcMar>
              <w:left w:w="28" w:type="dxa"/>
              <w:right w:w="28" w:type="dxa"/>
            </w:tcMar>
            <w:vAlign w:val="center"/>
          </w:tcPr>
          <w:p w14:paraId="0CAB8567">
            <w:pPr>
              <w:pStyle w:val="714"/>
              <w:rPr>
                <w:color w:val="auto"/>
              </w:rPr>
            </w:pPr>
            <w:r>
              <w:rPr>
                <w:color w:val="auto"/>
              </w:rPr>
              <w:t xml:space="preserve">0.81 </w:t>
            </w:r>
          </w:p>
        </w:tc>
        <w:tc>
          <w:tcPr>
            <w:tcW w:w="642" w:type="pct"/>
            <w:tcBorders>
              <w:tl2br w:val="nil"/>
              <w:tr2bl w:val="nil"/>
            </w:tcBorders>
            <w:shd w:val="clear" w:color="auto" w:fill="auto"/>
            <w:tcMar>
              <w:left w:w="28" w:type="dxa"/>
              <w:right w:w="28" w:type="dxa"/>
            </w:tcMar>
            <w:vAlign w:val="center"/>
          </w:tcPr>
          <w:p w14:paraId="2B296BBA">
            <w:pPr>
              <w:pStyle w:val="714"/>
              <w:rPr>
                <w:color w:val="auto"/>
              </w:rPr>
            </w:pPr>
            <w:r>
              <w:rPr>
                <w:color w:val="auto"/>
              </w:rPr>
              <w:t xml:space="preserve">330.84 </w:t>
            </w:r>
          </w:p>
        </w:tc>
      </w:tr>
      <w:tr w14:paraId="4C8DD2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tcBorders>
              <w:tl2br w:val="nil"/>
              <w:tr2bl w:val="nil"/>
            </w:tcBorders>
            <w:shd w:val="clear" w:color="auto" w:fill="auto"/>
            <w:tcMar>
              <w:left w:w="28" w:type="dxa"/>
              <w:right w:w="28" w:type="dxa"/>
            </w:tcMar>
            <w:vAlign w:val="center"/>
          </w:tcPr>
          <w:p w14:paraId="50D08697">
            <w:pPr>
              <w:pStyle w:val="714"/>
              <w:rPr>
                <w:color w:val="auto"/>
              </w:rPr>
            </w:pPr>
            <w:r>
              <w:rPr>
                <w:color w:val="auto"/>
              </w:rPr>
              <w:t>8#</w:t>
            </w:r>
          </w:p>
        </w:tc>
        <w:tc>
          <w:tcPr>
            <w:tcW w:w="783" w:type="pct"/>
            <w:tcBorders>
              <w:tl2br w:val="nil"/>
              <w:tr2bl w:val="nil"/>
            </w:tcBorders>
            <w:shd w:val="clear" w:color="auto" w:fill="auto"/>
            <w:tcMar>
              <w:left w:w="28" w:type="dxa"/>
              <w:right w:w="28" w:type="dxa"/>
            </w:tcMar>
            <w:vAlign w:val="center"/>
          </w:tcPr>
          <w:p w14:paraId="6AC840F8">
            <w:pPr>
              <w:pStyle w:val="714"/>
              <w:rPr>
                <w:color w:val="auto"/>
              </w:rPr>
            </w:pPr>
            <w:r>
              <w:rPr>
                <w:color w:val="auto"/>
              </w:rPr>
              <w:t>106.5332474</w:t>
            </w:r>
          </w:p>
        </w:tc>
        <w:tc>
          <w:tcPr>
            <w:tcW w:w="596" w:type="pct"/>
            <w:tcBorders>
              <w:tl2br w:val="nil"/>
              <w:tr2bl w:val="nil"/>
            </w:tcBorders>
            <w:shd w:val="clear" w:color="auto" w:fill="auto"/>
            <w:tcMar>
              <w:left w:w="28" w:type="dxa"/>
              <w:right w:w="28" w:type="dxa"/>
            </w:tcMar>
            <w:vAlign w:val="center"/>
          </w:tcPr>
          <w:p w14:paraId="1F715C70">
            <w:pPr>
              <w:pStyle w:val="714"/>
              <w:rPr>
                <w:color w:val="auto"/>
              </w:rPr>
            </w:pPr>
            <w:r>
              <w:rPr>
                <w:color w:val="auto"/>
              </w:rPr>
              <w:t>31.45241</w:t>
            </w:r>
          </w:p>
        </w:tc>
        <w:tc>
          <w:tcPr>
            <w:tcW w:w="584" w:type="pct"/>
            <w:tcBorders>
              <w:tl2br w:val="nil"/>
              <w:tr2bl w:val="nil"/>
            </w:tcBorders>
            <w:shd w:val="clear" w:color="auto" w:fill="auto"/>
            <w:tcMar>
              <w:left w:w="28" w:type="dxa"/>
              <w:right w:w="28" w:type="dxa"/>
            </w:tcMar>
            <w:vAlign w:val="center"/>
          </w:tcPr>
          <w:p w14:paraId="5AF3EF5B">
            <w:pPr>
              <w:pStyle w:val="714"/>
              <w:rPr>
                <w:color w:val="auto"/>
              </w:rPr>
            </w:pPr>
            <w:r>
              <w:rPr>
                <w:color w:val="auto"/>
              </w:rPr>
              <w:t xml:space="preserve">339.57 </w:t>
            </w:r>
          </w:p>
        </w:tc>
        <w:tc>
          <w:tcPr>
            <w:tcW w:w="642" w:type="pct"/>
            <w:tcBorders>
              <w:tl2br w:val="nil"/>
              <w:tr2bl w:val="nil"/>
            </w:tcBorders>
            <w:shd w:val="clear" w:color="auto" w:fill="auto"/>
            <w:tcMar>
              <w:left w:w="28" w:type="dxa"/>
              <w:right w:w="28" w:type="dxa"/>
            </w:tcMar>
            <w:vAlign w:val="center"/>
          </w:tcPr>
          <w:p w14:paraId="5B325883">
            <w:pPr>
              <w:pStyle w:val="714"/>
              <w:rPr>
                <w:color w:val="auto"/>
              </w:rPr>
            </w:pPr>
            <w:r>
              <w:rPr>
                <w:color w:val="auto"/>
              </w:rPr>
              <w:t xml:space="preserve">1.61 </w:t>
            </w:r>
          </w:p>
        </w:tc>
        <w:tc>
          <w:tcPr>
            <w:tcW w:w="642" w:type="pct"/>
            <w:tcBorders>
              <w:tl2br w:val="nil"/>
              <w:tr2bl w:val="nil"/>
            </w:tcBorders>
            <w:shd w:val="clear" w:color="auto" w:fill="auto"/>
            <w:tcMar>
              <w:left w:w="28" w:type="dxa"/>
              <w:right w:w="28" w:type="dxa"/>
            </w:tcMar>
            <w:vAlign w:val="center"/>
          </w:tcPr>
          <w:p w14:paraId="357A8D5B">
            <w:pPr>
              <w:pStyle w:val="714"/>
              <w:rPr>
                <w:color w:val="auto"/>
              </w:rPr>
            </w:pPr>
            <w:r>
              <w:rPr>
                <w:color w:val="auto"/>
              </w:rPr>
              <w:t xml:space="preserve">337.96 </w:t>
            </w:r>
          </w:p>
        </w:tc>
        <w:tc>
          <w:tcPr>
            <w:tcW w:w="643" w:type="pct"/>
            <w:tcBorders>
              <w:tl2br w:val="nil"/>
              <w:tr2bl w:val="nil"/>
            </w:tcBorders>
            <w:shd w:val="clear" w:color="auto" w:fill="auto"/>
            <w:tcMar>
              <w:left w:w="28" w:type="dxa"/>
              <w:right w:w="28" w:type="dxa"/>
            </w:tcMar>
            <w:vAlign w:val="center"/>
          </w:tcPr>
          <w:p w14:paraId="398DA7E3">
            <w:pPr>
              <w:pStyle w:val="714"/>
              <w:rPr>
                <w:color w:val="auto"/>
              </w:rPr>
            </w:pPr>
            <w:r>
              <w:rPr>
                <w:color w:val="auto"/>
              </w:rPr>
              <w:t xml:space="preserve">1.11 </w:t>
            </w:r>
          </w:p>
        </w:tc>
        <w:tc>
          <w:tcPr>
            <w:tcW w:w="642" w:type="pct"/>
            <w:tcBorders>
              <w:tl2br w:val="nil"/>
              <w:tr2bl w:val="nil"/>
            </w:tcBorders>
            <w:shd w:val="clear" w:color="auto" w:fill="auto"/>
            <w:tcMar>
              <w:left w:w="28" w:type="dxa"/>
              <w:right w:w="28" w:type="dxa"/>
            </w:tcMar>
            <w:vAlign w:val="center"/>
          </w:tcPr>
          <w:p w14:paraId="0A6E826A">
            <w:pPr>
              <w:pStyle w:val="714"/>
              <w:rPr>
                <w:color w:val="auto"/>
              </w:rPr>
            </w:pPr>
            <w:r>
              <w:rPr>
                <w:color w:val="auto"/>
              </w:rPr>
              <w:t xml:space="preserve">338.46 </w:t>
            </w:r>
          </w:p>
        </w:tc>
      </w:tr>
      <w:tr w14:paraId="422D89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tcBorders>
              <w:tl2br w:val="nil"/>
              <w:tr2bl w:val="nil"/>
            </w:tcBorders>
            <w:shd w:val="clear" w:color="auto" w:fill="auto"/>
            <w:tcMar>
              <w:left w:w="28" w:type="dxa"/>
              <w:right w:w="28" w:type="dxa"/>
            </w:tcMar>
            <w:vAlign w:val="center"/>
          </w:tcPr>
          <w:p w14:paraId="77E0E32C">
            <w:pPr>
              <w:pStyle w:val="714"/>
              <w:rPr>
                <w:color w:val="auto"/>
              </w:rPr>
            </w:pPr>
            <w:r>
              <w:rPr>
                <w:color w:val="auto"/>
              </w:rPr>
              <w:t>9#</w:t>
            </w:r>
          </w:p>
        </w:tc>
        <w:tc>
          <w:tcPr>
            <w:tcW w:w="783" w:type="pct"/>
            <w:tcBorders>
              <w:tl2br w:val="nil"/>
              <w:tr2bl w:val="nil"/>
            </w:tcBorders>
            <w:shd w:val="clear" w:color="auto" w:fill="auto"/>
            <w:tcMar>
              <w:left w:w="28" w:type="dxa"/>
              <w:right w:w="28" w:type="dxa"/>
            </w:tcMar>
            <w:vAlign w:val="center"/>
          </w:tcPr>
          <w:p w14:paraId="09780779">
            <w:pPr>
              <w:pStyle w:val="714"/>
              <w:rPr>
                <w:color w:val="auto"/>
              </w:rPr>
            </w:pPr>
            <w:r>
              <w:rPr>
                <w:color w:val="auto"/>
              </w:rPr>
              <w:t>106.5323571</w:t>
            </w:r>
          </w:p>
        </w:tc>
        <w:tc>
          <w:tcPr>
            <w:tcW w:w="596" w:type="pct"/>
            <w:tcBorders>
              <w:tl2br w:val="nil"/>
              <w:tr2bl w:val="nil"/>
            </w:tcBorders>
            <w:shd w:val="clear" w:color="auto" w:fill="auto"/>
            <w:tcMar>
              <w:left w:w="28" w:type="dxa"/>
              <w:right w:w="28" w:type="dxa"/>
            </w:tcMar>
            <w:vAlign w:val="center"/>
          </w:tcPr>
          <w:p w14:paraId="5CC3636E">
            <w:pPr>
              <w:pStyle w:val="714"/>
              <w:rPr>
                <w:color w:val="auto"/>
              </w:rPr>
            </w:pPr>
            <w:r>
              <w:rPr>
                <w:color w:val="auto"/>
              </w:rPr>
              <w:t>31.45207</w:t>
            </w:r>
          </w:p>
        </w:tc>
        <w:tc>
          <w:tcPr>
            <w:tcW w:w="584" w:type="pct"/>
            <w:tcBorders>
              <w:tl2br w:val="nil"/>
              <w:tr2bl w:val="nil"/>
            </w:tcBorders>
            <w:shd w:val="clear" w:color="auto" w:fill="auto"/>
            <w:tcMar>
              <w:left w:w="28" w:type="dxa"/>
              <w:right w:w="28" w:type="dxa"/>
            </w:tcMar>
            <w:vAlign w:val="center"/>
          </w:tcPr>
          <w:p w14:paraId="4ECA4ED3">
            <w:pPr>
              <w:pStyle w:val="714"/>
              <w:rPr>
                <w:color w:val="auto"/>
              </w:rPr>
            </w:pPr>
            <w:r>
              <w:rPr>
                <w:color w:val="auto"/>
              </w:rPr>
              <w:t xml:space="preserve">337.37 </w:t>
            </w:r>
          </w:p>
        </w:tc>
        <w:tc>
          <w:tcPr>
            <w:tcW w:w="642" w:type="pct"/>
            <w:tcBorders>
              <w:tl2br w:val="nil"/>
              <w:tr2bl w:val="nil"/>
            </w:tcBorders>
            <w:shd w:val="clear" w:color="auto" w:fill="auto"/>
            <w:tcMar>
              <w:left w:w="28" w:type="dxa"/>
              <w:right w:w="28" w:type="dxa"/>
            </w:tcMar>
            <w:vAlign w:val="center"/>
          </w:tcPr>
          <w:p w14:paraId="423EC2A7">
            <w:pPr>
              <w:pStyle w:val="714"/>
              <w:rPr>
                <w:color w:val="auto"/>
              </w:rPr>
            </w:pPr>
            <w:r>
              <w:rPr>
                <w:color w:val="auto"/>
              </w:rPr>
              <w:t xml:space="preserve">0.67 </w:t>
            </w:r>
          </w:p>
        </w:tc>
        <w:tc>
          <w:tcPr>
            <w:tcW w:w="642" w:type="pct"/>
            <w:tcBorders>
              <w:tl2br w:val="nil"/>
              <w:tr2bl w:val="nil"/>
            </w:tcBorders>
            <w:shd w:val="clear" w:color="auto" w:fill="auto"/>
            <w:tcMar>
              <w:left w:w="28" w:type="dxa"/>
              <w:right w:w="28" w:type="dxa"/>
            </w:tcMar>
            <w:vAlign w:val="center"/>
          </w:tcPr>
          <w:p w14:paraId="7CBE5DE0">
            <w:pPr>
              <w:pStyle w:val="714"/>
              <w:rPr>
                <w:color w:val="auto"/>
              </w:rPr>
            </w:pPr>
            <w:r>
              <w:rPr>
                <w:color w:val="auto"/>
              </w:rPr>
              <w:t xml:space="preserve">336.70 </w:t>
            </w:r>
          </w:p>
        </w:tc>
        <w:tc>
          <w:tcPr>
            <w:tcW w:w="643" w:type="pct"/>
            <w:tcBorders>
              <w:tl2br w:val="nil"/>
              <w:tr2bl w:val="nil"/>
            </w:tcBorders>
            <w:shd w:val="clear" w:color="auto" w:fill="auto"/>
            <w:tcMar>
              <w:left w:w="28" w:type="dxa"/>
              <w:right w:w="28" w:type="dxa"/>
            </w:tcMar>
            <w:vAlign w:val="center"/>
          </w:tcPr>
          <w:p w14:paraId="2E245915">
            <w:pPr>
              <w:pStyle w:val="714"/>
              <w:rPr>
                <w:color w:val="auto"/>
              </w:rPr>
            </w:pPr>
            <w:r>
              <w:rPr>
                <w:color w:val="auto"/>
              </w:rPr>
              <w:t xml:space="preserve">0.37 </w:t>
            </w:r>
          </w:p>
        </w:tc>
        <w:tc>
          <w:tcPr>
            <w:tcW w:w="642" w:type="pct"/>
            <w:tcBorders>
              <w:tl2br w:val="nil"/>
              <w:tr2bl w:val="nil"/>
            </w:tcBorders>
            <w:shd w:val="clear" w:color="auto" w:fill="auto"/>
            <w:tcMar>
              <w:left w:w="28" w:type="dxa"/>
              <w:right w:w="28" w:type="dxa"/>
            </w:tcMar>
            <w:vAlign w:val="center"/>
          </w:tcPr>
          <w:p w14:paraId="437A3419">
            <w:pPr>
              <w:pStyle w:val="714"/>
              <w:rPr>
                <w:color w:val="auto"/>
              </w:rPr>
            </w:pPr>
            <w:r>
              <w:rPr>
                <w:color w:val="auto"/>
              </w:rPr>
              <w:t xml:space="preserve">337.00 </w:t>
            </w:r>
          </w:p>
        </w:tc>
      </w:tr>
      <w:tr w14:paraId="709A85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tcBorders>
              <w:tl2br w:val="nil"/>
              <w:tr2bl w:val="nil"/>
            </w:tcBorders>
            <w:shd w:val="clear" w:color="auto" w:fill="auto"/>
            <w:tcMar>
              <w:left w:w="28" w:type="dxa"/>
              <w:right w:w="28" w:type="dxa"/>
            </w:tcMar>
            <w:vAlign w:val="center"/>
          </w:tcPr>
          <w:p w14:paraId="67F2C653">
            <w:pPr>
              <w:pStyle w:val="714"/>
              <w:rPr>
                <w:color w:val="auto"/>
              </w:rPr>
            </w:pPr>
            <w:r>
              <w:rPr>
                <w:color w:val="auto"/>
              </w:rPr>
              <w:t>10#</w:t>
            </w:r>
          </w:p>
        </w:tc>
        <w:tc>
          <w:tcPr>
            <w:tcW w:w="783" w:type="pct"/>
            <w:tcBorders>
              <w:tl2br w:val="nil"/>
              <w:tr2bl w:val="nil"/>
            </w:tcBorders>
            <w:shd w:val="clear" w:color="auto" w:fill="auto"/>
            <w:tcMar>
              <w:left w:w="28" w:type="dxa"/>
              <w:right w:w="28" w:type="dxa"/>
            </w:tcMar>
            <w:vAlign w:val="center"/>
          </w:tcPr>
          <w:p w14:paraId="67AF4A59">
            <w:pPr>
              <w:pStyle w:val="714"/>
              <w:rPr>
                <w:color w:val="auto"/>
              </w:rPr>
            </w:pPr>
            <w:r>
              <w:rPr>
                <w:color w:val="auto"/>
              </w:rPr>
              <w:t>106.5337079</w:t>
            </w:r>
          </w:p>
        </w:tc>
        <w:tc>
          <w:tcPr>
            <w:tcW w:w="596" w:type="pct"/>
            <w:tcBorders>
              <w:tl2br w:val="nil"/>
              <w:tr2bl w:val="nil"/>
            </w:tcBorders>
            <w:shd w:val="clear" w:color="auto" w:fill="auto"/>
            <w:tcMar>
              <w:left w:w="28" w:type="dxa"/>
              <w:right w:w="28" w:type="dxa"/>
            </w:tcMar>
            <w:vAlign w:val="center"/>
          </w:tcPr>
          <w:p w14:paraId="4AC41D43">
            <w:pPr>
              <w:pStyle w:val="714"/>
              <w:rPr>
                <w:color w:val="auto"/>
              </w:rPr>
            </w:pPr>
            <w:r>
              <w:rPr>
                <w:color w:val="auto"/>
              </w:rPr>
              <w:t>31.45134</w:t>
            </w:r>
          </w:p>
        </w:tc>
        <w:tc>
          <w:tcPr>
            <w:tcW w:w="584" w:type="pct"/>
            <w:tcBorders>
              <w:tl2br w:val="nil"/>
              <w:tr2bl w:val="nil"/>
            </w:tcBorders>
            <w:shd w:val="clear" w:color="auto" w:fill="auto"/>
            <w:tcMar>
              <w:left w:w="28" w:type="dxa"/>
              <w:right w:w="28" w:type="dxa"/>
            </w:tcMar>
            <w:vAlign w:val="center"/>
          </w:tcPr>
          <w:p w14:paraId="60A36084">
            <w:pPr>
              <w:pStyle w:val="714"/>
              <w:rPr>
                <w:color w:val="auto"/>
              </w:rPr>
            </w:pPr>
            <w:r>
              <w:rPr>
                <w:color w:val="auto"/>
              </w:rPr>
              <w:t xml:space="preserve">337.91 </w:t>
            </w:r>
          </w:p>
        </w:tc>
        <w:tc>
          <w:tcPr>
            <w:tcW w:w="642" w:type="pct"/>
            <w:tcBorders>
              <w:tl2br w:val="nil"/>
              <w:tr2bl w:val="nil"/>
            </w:tcBorders>
            <w:shd w:val="clear" w:color="auto" w:fill="auto"/>
            <w:tcMar>
              <w:left w:w="28" w:type="dxa"/>
              <w:right w:w="28" w:type="dxa"/>
            </w:tcMar>
            <w:vAlign w:val="center"/>
          </w:tcPr>
          <w:p w14:paraId="76BA853C">
            <w:pPr>
              <w:pStyle w:val="714"/>
              <w:rPr>
                <w:color w:val="auto"/>
              </w:rPr>
            </w:pPr>
            <w:r>
              <w:rPr>
                <w:color w:val="auto"/>
              </w:rPr>
              <w:t xml:space="preserve">0.72 </w:t>
            </w:r>
          </w:p>
        </w:tc>
        <w:tc>
          <w:tcPr>
            <w:tcW w:w="642" w:type="pct"/>
            <w:tcBorders>
              <w:tl2br w:val="nil"/>
              <w:tr2bl w:val="nil"/>
            </w:tcBorders>
            <w:shd w:val="clear" w:color="auto" w:fill="auto"/>
            <w:tcMar>
              <w:left w:w="28" w:type="dxa"/>
              <w:right w:w="28" w:type="dxa"/>
            </w:tcMar>
            <w:vAlign w:val="center"/>
          </w:tcPr>
          <w:p w14:paraId="6C965477">
            <w:pPr>
              <w:pStyle w:val="714"/>
              <w:rPr>
                <w:color w:val="auto"/>
              </w:rPr>
            </w:pPr>
            <w:r>
              <w:rPr>
                <w:color w:val="auto"/>
              </w:rPr>
              <w:t xml:space="preserve">337.19 </w:t>
            </w:r>
          </w:p>
        </w:tc>
        <w:tc>
          <w:tcPr>
            <w:tcW w:w="643" w:type="pct"/>
            <w:tcBorders>
              <w:tl2br w:val="nil"/>
              <w:tr2bl w:val="nil"/>
            </w:tcBorders>
            <w:shd w:val="clear" w:color="auto" w:fill="auto"/>
            <w:tcMar>
              <w:left w:w="28" w:type="dxa"/>
              <w:right w:w="28" w:type="dxa"/>
            </w:tcMar>
            <w:vAlign w:val="center"/>
          </w:tcPr>
          <w:p w14:paraId="5E335B3B">
            <w:pPr>
              <w:pStyle w:val="714"/>
              <w:rPr>
                <w:color w:val="auto"/>
              </w:rPr>
            </w:pPr>
            <w:r>
              <w:rPr>
                <w:color w:val="auto"/>
              </w:rPr>
              <w:t xml:space="preserve">0.12 </w:t>
            </w:r>
          </w:p>
        </w:tc>
        <w:tc>
          <w:tcPr>
            <w:tcW w:w="642" w:type="pct"/>
            <w:tcBorders>
              <w:tl2br w:val="nil"/>
              <w:tr2bl w:val="nil"/>
            </w:tcBorders>
            <w:shd w:val="clear" w:color="auto" w:fill="auto"/>
            <w:tcMar>
              <w:left w:w="28" w:type="dxa"/>
              <w:right w:w="28" w:type="dxa"/>
            </w:tcMar>
            <w:vAlign w:val="center"/>
          </w:tcPr>
          <w:p w14:paraId="733FC5F7">
            <w:pPr>
              <w:pStyle w:val="714"/>
              <w:rPr>
                <w:color w:val="auto"/>
              </w:rPr>
            </w:pPr>
            <w:r>
              <w:rPr>
                <w:color w:val="auto"/>
              </w:rPr>
              <w:t xml:space="preserve">337.79 </w:t>
            </w:r>
          </w:p>
        </w:tc>
      </w:tr>
      <w:tr w14:paraId="5CC6C1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tcBorders>
              <w:tl2br w:val="nil"/>
              <w:tr2bl w:val="nil"/>
            </w:tcBorders>
            <w:shd w:val="clear" w:color="auto" w:fill="auto"/>
            <w:tcMar>
              <w:left w:w="28" w:type="dxa"/>
              <w:right w:w="28" w:type="dxa"/>
            </w:tcMar>
            <w:vAlign w:val="center"/>
          </w:tcPr>
          <w:p w14:paraId="72F7A1AC">
            <w:pPr>
              <w:pStyle w:val="714"/>
              <w:rPr>
                <w:color w:val="auto"/>
              </w:rPr>
            </w:pPr>
            <w:r>
              <w:rPr>
                <w:color w:val="auto"/>
              </w:rPr>
              <w:t>11#</w:t>
            </w:r>
          </w:p>
        </w:tc>
        <w:tc>
          <w:tcPr>
            <w:tcW w:w="783" w:type="pct"/>
            <w:tcBorders>
              <w:tl2br w:val="nil"/>
              <w:tr2bl w:val="nil"/>
            </w:tcBorders>
            <w:shd w:val="clear" w:color="auto" w:fill="auto"/>
            <w:tcMar>
              <w:left w:w="28" w:type="dxa"/>
              <w:right w:w="28" w:type="dxa"/>
            </w:tcMar>
            <w:vAlign w:val="center"/>
          </w:tcPr>
          <w:p w14:paraId="21023C32">
            <w:pPr>
              <w:pStyle w:val="714"/>
              <w:rPr>
                <w:color w:val="auto"/>
              </w:rPr>
            </w:pPr>
            <w:r>
              <w:rPr>
                <w:color w:val="auto"/>
              </w:rPr>
              <w:t>106.5344457</w:t>
            </w:r>
          </w:p>
        </w:tc>
        <w:tc>
          <w:tcPr>
            <w:tcW w:w="596" w:type="pct"/>
            <w:tcBorders>
              <w:tl2br w:val="nil"/>
              <w:tr2bl w:val="nil"/>
            </w:tcBorders>
            <w:shd w:val="clear" w:color="auto" w:fill="auto"/>
            <w:tcMar>
              <w:left w:w="28" w:type="dxa"/>
              <w:right w:w="28" w:type="dxa"/>
            </w:tcMar>
            <w:vAlign w:val="center"/>
          </w:tcPr>
          <w:p w14:paraId="6DCC159D">
            <w:pPr>
              <w:pStyle w:val="714"/>
              <w:rPr>
                <w:color w:val="auto"/>
              </w:rPr>
            </w:pPr>
            <w:r>
              <w:rPr>
                <w:color w:val="auto"/>
              </w:rPr>
              <w:t>31.45219</w:t>
            </w:r>
          </w:p>
        </w:tc>
        <w:tc>
          <w:tcPr>
            <w:tcW w:w="584" w:type="pct"/>
            <w:tcBorders>
              <w:tl2br w:val="nil"/>
              <w:tr2bl w:val="nil"/>
            </w:tcBorders>
            <w:shd w:val="clear" w:color="auto" w:fill="auto"/>
            <w:tcMar>
              <w:left w:w="28" w:type="dxa"/>
              <w:right w:w="28" w:type="dxa"/>
            </w:tcMar>
            <w:vAlign w:val="center"/>
          </w:tcPr>
          <w:p w14:paraId="496624DE">
            <w:pPr>
              <w:pStyle w:val="714"/>
              <w:rPr>
                <w:color w:val="auto"/>
              </w:rPr>
            </w:pPr>
            <w:r>
              <w:rPr>
                <w:color w:val="auto"/>
              </w:rPr>
              <w:t xml:space="preserve">339.58 </w:t>
            </w:r>
          </w:p>
        </w:tc>
        <w:tc>
          <w:tcPr>
            <w:tcW w:w="642" w:type="pct"/>
            <w:tcBorders>
              <w:tl2br w:val="nil"/>
              <w:tr2bl w:val="nil"/>
            </w:tcBorders>
            <w:shd w:val="clear" w:color="auto" w:fill="auto"/>
            <w:tcMar>
              <w:left w:w="28" w:type="dxa"/>
              <w:right w:w="28" w:type="dxa"/>
            </w:tcMar>
            <w:vAlign w:val="center"/>
          </w:tcPr>
          <w:p w14:paraId="6EA123CD">
            <w:pPr>
              <w:pStyle w:val="714"/>
              <w:rPr>
                <w:color w:val="auto"/>
              </w:rPr>
            </w:pPr>
            <w:r>
              <w:rPr>
                <w:color w:val="auto"/>
              </w:rPr>
              <w:t xml:space="preserve">1.41 </w:t>
            </w:r>
          </w:p>
        </w:tc>
        <w:tc>
          <w:tcPr>
            <w:tcW w:w="642" w:type="pct"/>
            <w:tcBorders>
              <w:tl2br w:val="nil"/>
              <w:tr2bl w:val="nil"/>
            </w:tcBorders>
            <w:shd w:val="clear" w:color="auto" w:fill="auto"/>
            <w:tcMar>
              <w:left w:w="28" w:type="dxa"/>
              <w:right w:w="28" w:type="dxa"/>
            </w:tcMar>
            <w:vAlign w:val="center"/>
          </w:tcPr>
          <w:p w14:paraId="36E7506E">
            <w:pPr>
              <w:pStyle w:val="714"/>
              <w:rPr>
                <w:color w:val="auto"/>
              </w:rPr>
            </w:pPr>
            <w:r>
              <w:rPr>
                <w:color w:val="auto"/>
              </w:rPr>
              <w:t xml:space="preserve">338.17 </w:t>
            </w:r>
          </w:p>
        </w:tc>
        <w:tc>
          <w:tcPr>
            <w:tcW w:w="643" w:type="pct"/>
            <w:tcBorders>
              <w:tl2br w:val="nil"/>
              <w:tr2bl w:val="nil"/>
            </w:tcBorders>
            <w:shd w:val="clear" w:color="auto" w:fill="auto"/>
            <w:tcMar>
              <w:left w:w="28" w:type="dxa"/>
              <w:right w:w="28" w:type="dxa"/>
            </w:tcMar>
            <w:vAlign w:val="center"/>
          </w:tcPr>
          <w:p w14:paraId="63056799">
            <w:pPr>
              <w:pStyle w:val="714"/>
              <w:rPr>
                <w:color w:val="auto"/>
              </w:rPr>
            </w:pPr>
            <w:r>
              <w:rPr>
                <w:color w:val="auto"/>
              </w:rPr>
              <w:t xml:space="preserve">0.71 </w:t>
            </w:r>
          </w:p>
        </w:tc>
        <w:tc>
          <w:tcPr>
            <w:tcW w:w="642" w:type="pct"/>
            <w:tcBorders>
              <w:tl2br w:val="nil"/>
              <w:tr2bl w:val="nil"/>
            </w:tcBorders>
            <w:shd w:val="clear" w:color="auto" w:fill="auto"/>
            <w:tcMar>
              <w:left w:w="28" w:type="dxa"/>
              <w:right w:w="28" w:type="dxa"/>
            </w:tcMar>
            <w:vAlign w:val="center"/>
          </w:tcPr>
          <w:p w14:paraId="6164380A">
            <w:pPr>
              <w:pStyle w:val="714"/>
              <w:rPr>
                <w:color w:val="auto"/>
              </w:rPr>
            </w:pPr>
            <w:r>
              <w:rPr>
                <w:color w:val="auto"/>
              </w:rPr>
              <w:t xml:space="preserve">338.87 </w:t>
            </w:r>
          </w:p>
        </w:tc>
      </w:tr>
      <w:tr w14:paraId="0AC390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tcBorders>
              <w:tl2br w:val="nil"/>
              <w:tr2bl w:val="nil"/>
            </w:tcBorders>
            <w:shd w:val="clear" w:color="auto" w:fill="auto"/>
            <w:tcMar>
              <w:left w:w="28" w:type="dxa"/>
              <w:right w:w="28" w:type="dxa"/>
            </w:tcMar>
            <w:vAlign w:val="center"/>
          </w:tcPr>
          <w:p w14:paraId="4FEEE578">
            <w:pPr>
              <w:pStyle w:val="714"/>
              <w:rPr>
                <w:color w:val="auto"/>
              </w:rPr>
            </w:pPr>
            <w:r>
              <w:rPr>
                <w:color w:val="auto"/>
              </w:rPr>
              <w:t>12#</w:t>
            </w:r>
          </w:p>
        </w:tc>
        <w:tc>
          <w:tcPr>
            <w:tcW w:w="783" w:type="pct"/>
            <w:tcBorders>
              <w:tl2br w:val="nil"/>
              <w:tr2bl w:val="nil"/>
            </w:tcBorders>
            <w:shd w:val="clear" w:color="auto" w:fill="auto"/>
            <w:tcMar>
              <w:left w:w="28" w:type="dxa"/>
              <w:right w:w="28" w:type="dxa"/>
            </w:tcMar>
            <w:vAlign w:val="center"/>
          </w:tcPr>
          <w:p w14:paraId="1AE616EB">
            <w:pPr>
              <w:pStyle w:val="714"/>
              <w:rPr>
                <w:color w:val="auto"/>
              </w:rPr>
            </w:pPr>
            <w:r>
              <w:rPr>
                <w:color w:val="auto"/>
              </w:rPr>
              <w:t>106.8930538</w:t>
            </w:r>
          </w:p>
        </w:tc>
        <w:tc>
          <w:tcPr>
            <w:tcW w:w="596" w:type="pct"/>
            <w:tcBorders>
              <w:tl2br w:val="nil"/>
              <w:tr2bl w:val="nil"/>
            </w:tcBorders>
            <w:shd w:val="clear" w:color="auto" w:fill="auto"/>
            <w:tcMar>
              <w:left w:w="28" w:type="dxa"/>
              <w:right w:w="28" w:type="dxa"/>
            </w:tcMar>
            <w:vAlign w:val="center"/>
          </w:tcPr>
          <w:p w14:paraId="080A058C">
            <w:pPr>
              <w:pStyle w:val="714"/>
              <w:rPr>
                <w:color w:val="auto"/>
              </w:rPr>
            </w:pPr>
            <w:r>
              <w:rPr>
                <w:color w:val="auto"/>
              </w:rPr>
              <w:t>31.75747</w:t>
            </w:r>
          </w:p>
        </w:tc>
        <w:tc>
          <w:tcPr>
            <w:tcW w:w="584" w:type="pct"/>
            <w:tcBorders>
              <w:tl2br w:val="nil"/>
              <w:tr2bl w:val="nil"/>
            </w:tcBorders>
            <w:shd w:val="clear" w:color="auto" w:fill="auto"/>
            <w:tcMar>
              <w:left w:w="28" w:type="dxa"/>
              <w:right w:w="28" w:type="dxa"/>
            </w:tcMar>
            <w:vAlign w:val="center"/>
          </w:tcPr>
          <w:p w14:paraId="03838CFA">
            <w:pPr>
              <w:pStyle w:val="714"/>
              <w:rPr>
                <w:color w:val="auto"/>
              </w:rPr>
            </w:pPr>
            <w:r>
              <w:rPr>
                <w:color w:val="auto"/>
              </w:rPr>
              <w:t xml:space="preserve">341.95 </w:t>
            </w:r>
          </w:p>
        </w:tc>
        <w:tc>
          <w:tcPr>
            <w:tcW w:w="642" w:type="pct"/>
            <w:tcBorders>
              <w:tl2br w:val="nil"/>
              <w:tr2bl w:val="nil"/>
            </w:tcBorders>
            <w:shd w:val="clear" w:color="auto" w:fill="auto"/>
            <w:tcMar>
              <w:left w:w="28" w:type="dxa"/>
              <w:right w:w="28" w:type="dxa"/>
            </w:tcMar>
            <w:vAlign w:val="center"/>
          </w:tcPr>
          <w:p w14:paraId="68C40060">
            <w:pPr>
              <w:pStyle w:val="714"/>
              <w:rPr>
                <w:color w:val="auto"/>
              </w:rPr>
            </w:pPr>
            <w:r>
              <w:rPr>
                <w:color w:val="auto"/>
              </w:rPr>
              <w:t xml:space="preserve">1.81 </w:t>
            </w:r>
          </w:p>
        </w:tc>
        <w:tc>
          <w:tcPr>
            <w:tcW w:w="642" w:type="pct"/>
            <w:tcBorders>
              <w:tl2br w:val="nil"/>
              <w:tr2bl w:val="nil"/>
            </w:tcBorders>
            <w:shd w:val="clear" w:color="auto" w:fill="auto"/>
            <w:tcMar>
              <w:left w:w="28" w:type="dxa"/>
              <w:right w:w="28" w:type="dxa"/>
            </w:tcMar>
            <w:vAlign w:val="center"/>
          </w:tcPr>
          <w:p w14:paraId="424F4D80">
            <w:pPr>
              <w:pStyle w:val="714"/>
              <w:rPr>
                <w:color w:val="auto"/>
              </w:rPr>
            </w:pPr>
            <w:r>
              <w:rPr>
                <w:color w:val="auto"/>
              </w:rPr>
              <w:t xml:space="preserve">340.14 </w:t>
            </w:r>
          </w:p>
        </w:tc>
        <w:tc>
          <w:tcPr>
            <w:tcW w:w="643" w:type="pct"/>
            <w:tcBorders>
              <w:tl2br w:val="nil"/>
              <w:tr2bl w:val="nil"/>
            </w:tcBorders>
            <w:shd w:val="clear" w:color="auto" w:fill="auto"/>
            <w:tcMar>
              <w:left w:w="28" w:type="dxa"/>
              <w:right w:w="28" w:type="dxa"/>
            </w:tcMar>
            <w:vAlign w:val="center"/>
          </w:tcPr>
          <w:p w14:paraId="775CED2E">
            <w:pPr>
              <w:pStyle w:val="714"/>
              <w:rPr>
                <w:color w:val="auto"/>
              </w:rPr>
            </w:pPr>
            <w:r>
              <w:rPr>
                <w:color w:val="auto"/>
              </w:rPr>
              <w:t xml:space="preserve">1.31 </w:t>
            </w:r>
          </w:p>
        </w:tc>
        <w:tc>
          <w:tcPr>
            <w:tcW w:w="642" w:type="pct"/>
            <w:tcBorders>
              <w:tl2br w:val="nil"/>
              <w:tr2bl w:val="nil"/>
            </w:tcBorders>
            <w:shd w:val="clear" w:color="auto" w:fill="auto"/>
            <w:tcMar>
              <w:left w:w="28" w:type="dxa"/>
              <w:right w:w="28" w:type="dxa"/>
            </w:tcMar>
            <w:vAlign w:val="center"/>
          </w:tcPr>
          <w:p w14:paraId="4303FB11">
            <w:pPr>
              <w:pStyle w:val="714"/>
              <w:rPr>
                <w:color w:val="auto"/>
              </w:rPr>
            </w:pPr>
            <w:r>
              <w:rPr>
                <w:color w:val="auto"/>
              </w:rPr>
              <w:t xml:space="preserve">340.64 </w:t>
            </w:r>
          </w:p>
        </w:tc>
      </w:tr>
      <w:tr w14:paraId="0F44A9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tcBorders>
              <w:tl2br w:val="nil"/>
              <w:tr2bl w:val="nil"/>
            </w:tcBorders>
            <w:shd w:val="clear" w:color="auto" w:fill="auto"/>
            <w:tcMar>
              <w:left w:w="28" w:type="dxa"/>
              <w:right w:w="28" w:type="dxa"/>
            </w:tcMar>
            <w:vAlign w:val="center"/>
          </w:tcPr>
          <w:p w14:paraId="0B91D3A1">
            <w:pPr>
              <w:pStyle w:val="714"/>
              <w:rPr>
                <w:color w:val="auto"/>
              </w:rPr>
            </w:pPr>
            <w:r>
              <w:rPr>
                <w:color w:val="auto"/>
              </w:rPr>
              <w:t>13#</w:t>
            </w:r>
          </w:p>
        </w:tc>
        <w:tc>
          <w:tcPr>
            <w:tcW w:w="783" w:type="pct"/>
            <w:tcBorders>
              <w:tl2br w:val="nil"/>
              <w:tr2bl w:val="nil"/>
            </w:tcBorders>
            <w:shd w:val="clear" w:color="auto" w:fill="auto"/>
            <w:tcMar>
              <w:left w:w="28" w:type="dxa"/>
              <w:right w:w="28" w:type="dxa"/>
            </w:tcMar>
            <w:vAlign w:val="center"/>
          </w:tcPr>
          <w:p w14:paraId="7470835A">
            <w:pPr>
              <w:pStyle w:val="714"/>
              <w:rPr>
                <w:color w:val="auto"/>
              </w:rPr>
            </w:pPr>
            <w:r>
              <w:rPr>
                <w:color w:val="auto"/>
              </w:rPr>
              <w:t>106.8914955</w:t>
            </w:r>
          </w:p>
        </w:tc>
        <w:tc>
          <w:tcPr>
            <w:tcW w:w="596" w:type="pct"/>
            <w:tcBorders>
              <w:tl2br w:val="nil"/>
              <w:tr2bl w:val="nil"/>
            </w:tcBorders>
            <w:shd w:val="clear" w:color="auto" w:fill="auto"/>
            <w:tcMar>
              <w:left w:w="28" w:type="dxa"/>
              <w:right w:w="28" w:type="dxa"/>
            </w:tcMar>
            <w:vAlign w:val="center"/>
          </w:tcPr>
          <w:p w14:paraId="1B6C18EC">
            <w:pPr>
              <w:pStyle w:val="714"/>
              <w:rPr>
                <w:color w:val="auto"/>
              </w:rPr>
            </w:pPr>
            <w:r>
              <w:rPr>
                <w:color w:val="auto"/>
              </w:rPr>
              <w:t>31.75676</w:t>
            </w:r>
          </w:p>
        </w:tc>
        <w:tc>
          <w:tcPr>
            <w:tcW w:w="584" w:type="pct"/>
            <w:tcBorders>
              <w:tl2br w:val="nil"/>
              <w:tr2bl w:val="nil"/>
            </w:tcBorders>
            <w:shd w:val="clear" w:color="auto" w:fill="auto"/>
            <w:tcMar>
              <w:left w:w="28" w:type="dxa"/>
              <w:right w:w="28" w:type="dxa"/>
            </w:tcMar>
            <w:vAlign w:val="center"/>
          </w:tcPr>
          <w:p w14:paraId="1D04C7B7">
            <w:pPr>
              <w:pStyle w:val="714"/>
              <w:rPr>
                <w:color w:val="auto"/>
              </w:rPr>
            </w:pPr>
            <w:r>
              <w:rPr>
                <w:color w:val="auto"/>
              </w:rPr>
              <w:t xml:space="preserve">339.54 </w:t>
            </w:r>
          </w:p>
        </w:tc>
        <w:tc>
          <w:tcPr>
            <w:tcW w:w="642" w:type="pct"/>
            <w:tcBorders>
              <w:tl2br w:val="nil"/>
              <w:tr2bl w:val="nil"/>
            </w:tcBorders>
            <w:shd w:val="clear" w:color="auto" w:fill="auto"/>
            <w:tcMar>
              <w:left w:w="28" w:type="dxa"/>
              <w:right w:w="28" w:type="dxa"/>
            </w:tcMar>
            <w:vAlign w:val="center"/>
          </w:tcPr>
          <w:p w14:paraId="5B6E70E0">
            <w:pPr>
              <w:pStyle w:val="714"/>
              <w:rPr>
                <w:color w:val="auto"/>
              </w:rPr>
            </w:pPr>
            <w:r>
              <w:rPr>
                <w:color w:val="auto"/>
              </w:rPr>
              <w:t xml:space="preserve">1.45 </w:t>
            </w:r>
          </w:p>
        </w:tc>
        <w:tc>
          <w:tcPr>
            <w:tcW w:w="642" w:type="pct"/>
            <w:tcBorders>
              <w:tl2br w:val="nil"/>
              <w:tr2bl w:val="nil"/>
            </w:tcBorders>
            <w:shd w:val="clear" w:color="auto" w:fill="auto"/>
            <w:tcMar>
              <w:left w:w="28" w:type="dxa"/>
              <w:right w:w="28" w:type="dxa"/>
            </w:tcMar>
            <w:vAlign w:val="center"/>
          </w:tcPr>
          <w:p w14:paraId="36ED2076">
            <w:pPr>
              <w:pStyle w:val="714"/>
              <w:rPr>
                <w:color w:val="auto"/>
              </w:rPr>
            </w:pPr>
            <w:r>
              <w:rPr>
                <w:color w:val="auto"/>
              </w:rPr>
              <w:t xml:space="preserve">338.09 </w:t>
            </w:r>
          </w:p>
        </w:tc>
        <w:tc>
          <w:tcPr>
            <w:tcW w:w="643" w:type="pct"/>
            <w:tcBorders>
              <w:tl2br w:val="nil"/>
              <w:tr2bl w:val="nil"/>
            </w:tcBorders>
            <w:shd w:val="clear" w:color="auto" w:fill="auto"/>
            <w:tcMar>
              <w:left w:w="28" w:type="dxa"/>
              <w:right w:w="28" w:type="dxa"/>
            </w:tcMar>
            <w:vAlign w:val="center"/>
          </w:tcPr>
          <w:p w14:paraId="4203159A">
            <w:pPr>
              <w:pStyle w:val="714"/>
              <w:rPr>
                <w:color w:val="auto"/>
              </w:rPr>
            </w:pPr>
            <w:r>
              <w:rPr>
                <w:color w:val="auto"/>
              </w:rPr>
              <w:t xml:space="preserve">1.15 </w:t>
            </w:r>
          </w:p>
        </w:tc>
        <w:tc>
          <w:tcPr>
            <w:tcW w:w="642" w:type="pct"/>
            <w:tcBorders>
              <w:tl2br w:val="nil"/>
              <w:tr2bl w:val="nil"/>
            </w:tcBorders>
            <w:shd w:val="clear" w:color="auto" w:fill="auto"/>
            <w:tcMar>
              <w:left w:w="28" w:type="dxa"/>
              <w:right w:w="28" w:type="dxa"/>
            </w:tcMar>
            <w:vAlign w:val="center"/>
          </w:tcPr>
          <w:p w14:paraId="0B607A68">
            <w:pPr>
              <w:pStyle w:val="714"/>
              <w:rPr>
                <w:color w:val="auto"/>
              </w:rPr>
            </w:pPr>
            <w:r>
              <w:rPr>
                <w:color w:val="auto"/>
              </w:rPr>
              <w:t xml:space="preserve">338.39 </w:t>
            </w:r>
          </w:p>
        </w:tc>
      </w:tr>
      <w:tr w14:paraId="01DC64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tcBorders>
              <w:tl2br w:val="nil"/>
              <w:tr2bl w:val="nil"/>
            </w:tcBorders>
            <w:shd w:val="clear" w:color="auto" w:fill="auto"/>
            <w:tcMar>
              <w:left w:w="28" w:type="dxa"/>
              <w:right w:w="28" w:type="dxa"/>
            </w:tcMar>
            <w:vAlign w:val="center"/>
          </w:tcPr>
          <w:p w14:paraId="58358B6E">
            <w:pPr>
              <w:pStyle w:val="714"/>
              <w:rPr>
                <w:color w:val="auto"/>
              </w:rPr>
            </w:pPr>
            <w:r>
              <w:rPr>
                <w:color w:val="auto"/>
              </w:rPr>
              <w:t>14#</w:t>
            </w:r>
          </w:p>
        </w:tc>
        <w:tc>
          <w:tcPr>
            <w:tcW w:w="783" w:type="pct"/>
            <w:tcBorders>
              <w:tl2br w:val="nil"/>
              <w:tr2bl w:val="nil"/>
            </w:tcBorders>
            <w:shd w:val="clear" w:color="auto" w:fill="auto"/>
            <w:tcMar>
              <w:left w:w="28" w:type="dxa"/>
              <w:right w:w="28" w:type="dxa"/>
            </w:tcMar>
            <w:vAlign w:val="center"/>
          </w:tcPr>
          <w:p w14:paraId="1932D660">
            <w:pPr>
              <w:pStyle w:val="714"/>
              <w:rPr>
                <w:color w:val="auto"/>
              </w:rPr>
            </w:pPr>
            <w:r>
              <w:rPr>
                <w:color w:val="auto"/>
              </w:rPr>
              <w:t>106.8925925</w:t>
            </w:r>
          </w:p>
        </w:tc>
        <w:tc>
          <w:tcPr>
            <w:tcW w:w="596" w:type="pct"/>
            <w:tcBorders>
              <w:tl2br w:val="nil"/>
              <w:tr2bl w:val="nil"/>
            </w:tcBorders>
            <w:shd w:val="clear" w:color="auto" w:fill="auto"/>
            <w:tcMar>
              <w:left w:w="28" w:type="dxa"/>
              <w:right w:w="28" w:type="dxa"/>
            </w:tcMar>
            <w:vAlign w:val="center"/>
          </w:tcPr>
          <w:p w14:paraId="4E56EB6E">
            <w:pPr>
              <w:pStyle w:val="714"/>
              <w:rPr>
                <w:color w:val="auto"/>
              </w:rPr>
            </w:pPr>
            <w:r>
              <w:rPr>
                <w:color w:val="auto"/>
              </w:rPr>
              <w:t>31.75288</w:t>
            </w:r>
          </w:p>
        </w:tc>
        <w:tc>
          <w:tcPr>
            <w:tcW w:w="584" w:type="pct"/>
            <w:tcBorders>
              <w:tl2br w:val="nil"/>
              <w:tr2bl w:val="nil"/>
            </w:tcBorders>
            <w:shd w:val="clear" w:color="auto" w:fill="auto"/>
            <w:tcMar>
              <w:left w:w="28" w:type="dxa"/>
              <w:right w:w="28" w:type="dxa"/>
            </w:tcMar>
            <w:vAlign w:val="center"/>
          </w:tcPr>
          <w:p w14:paraId="7792AA88">
            <w:pPr>
              <w:pStyle w:val="714"/>
              <w:rPr>
                <w:color w:val="auto"/>
              </w:rPr>
            </w:pPr>
            <w:r>
              <w:rPr>
                <w:color w:val="auto"/>
              </w:rPr>
              <w:t xml:space="preserve">331.11 </w:t>
            </w:r>
          </w:p>
        </w:tc>
        <w:tc>
          <w:tcPr>
            <w:tcW w:w="642" w:type="pct"/>
            <w:tcBorders>
              <w:tl2br w:val="nil"/>
              <w:tr2bl w:val="nil"/>
            </w:tcBorders>
            <w:shd w:val="clear" w:color="auto" w:fill="auto"/>
            <w:tcMar>
              <w:left w:w="28" w:type="dxa"/>
              <w:right w:w="28" w:type="dxa"/>
            </w:tcMar>
            <w:vAlign w:val="center"/>
          </w:tcPr>
          <w:p w14:paraId="50A51FDD">
            <w:pPr>
              <w:pStyle w:val="714"/>
              <w:rPr>
                <w:color w:val="auto"/>
              </w:rPr>
            </w:pPr>
            <w:r>
              <w:rPr>
                <w:color w:val="auto"/>
              </w:rPr>
              <w:t xml:space="preserve">1.71 </w:t>
            </w:r>
          </w:p>
        </w:tc>
        <w:tc>
          <w:tcPr>
            <w:tcW w:w="642" w:type="pct"/>
            <w:tcBorders>
              <w:tl2br w:val="nil"/>
              <w:tr2bl w:val="nil"/>
            </w:tcBorders>
            <w:shd w:val="clear" w:color="auto" w:fill="auto"/>
            <w:tcMar>
              <w:left w:w="28" w:type="dxa"/>
              <w:right w:w="28" w:type="dxa"/>
            </w:tcMar>
            <w:vAlign w:val="center"/>
          </w:tcPr>
          <w:p w14:paraId="69C42FE2">
            <w:pPr>
              <w:pStyle w:val="714"/>
              <w:rPr>
                <w:color w:val="auto"/>
              </w:rPr>
            </w:pPr>
            <w:r>
              <w:rPr>
                <w:color w:val="auto"/>
              </w:rPr>
              <w:t xml:space="preserve">329.40 </w:t>
            </w:r>
          </w:p>
        </w:tc>
        <w:tc>
          <w:tcPr>
            <w:tcW w:w="643" w:type="pct"/>
            <w:tcBorders>
              <w:tl2br w:val="nil"/>
              <w:tr2bl w:val="nil"/>
            </w:tcBorders>
            <w:shd w:val="clear" w:color="auto" w:fill="auto"/>
            <w:tcMar>
              <w:left w:w="28" w:type="dxa"/>
              <w:right w:w="28" w:type="dxa"/>
            </w:tcMar>
            <w:vAlign w:val="center"/>
          </w:tcPr>
          <w:p w14:paraId="266DDFB3">
            <w:pPr>
              <w:pStyle w:val="714"/>
              <w:rPr>
                <w:color w:val="auto"/>
              </w:rPr>
            </w:pPr>
            <w:r>
              <w:rPr>
                <w:color w:val="auto"/>
              </w:rPr>
              <w:t>0.</w:t>
            </w:r>
            <w:r>
              <w:rPr>
                <w:rFonts w:hint="eastAsia"/>
                <w:color w:val="auto"/>
              </w:rPr>
              <w:t>10</w:t>
            </w:r>
            <w:r>
              <w:rPr>
                <w:color w:val="auto"/>
              </w:rPr>
              <w:t xml:space="preserve"> </w:t>
            </w:r>
          </w:p>
        </w:tc>
        <w:tc>
          <w:tcPr>
            <w:tcW w:w="642" w:type="pct"/>
            <w:tcBorders>
              <w:tl2br w:val="nil"/>
              <w:tr2bl w:val="nil"/>
            </w:tcBorders>
            <w:shd w:val="clear" w:color="auto" w:fill="auto"/>
            <w:tcMar>
              <w:left w:w="28" w:type="dxa"/>
              <w:right w:w="28" w:type="dxa"/>
            </w:tcMar>
            <w:vAlign w:val="center"/>
          </w:tcPr>
          <w:p w14:paraId="602B8D66">
            <w:pPr>
              <w:pStyle w:val="714"/>
              <w:rPr>
                <w:color w:val="auto"/>
              </w:rPr>
            </w:pPr>
            <w:r>
              <w:rPr>
                <w:color w:val="auto"/>
              </w:rPr>
              <w:t>331.</w:t>
            </w:r>
            <w:r>
              <w:rPr>
                <w:rFonts w:hint="eastAsia"/>
                <w:color w:val="auto"/>
              </w:rPr>
              <w:t>01</w:t>
            </w:r>
            <w:r>
              <w:rPr>
                <w:color w:val="auto"/>
              </w:rPr>
              <w:t xml:space="preserve"> </w:t>
            </w:r>
          </w:p>
        </w:tc>
      </w:tr>
    </w:tbl>
    <w:p w14:paraId="375AD0AA">
      <w:pPr>
        <w:bidi w:val="0"/>
        <w:rPr>
          <w:b/>
          <w:bCs/>
          <w:color w:val="auto"/>
        </w:rPr>
      </w:pPr>
      <w:r>
        <w:rPr>
          <w:rFonts w:hint="eastAsia"/>
          <w:b/>
          <w:bCs/>
          <w:color w:val="auto"/>
          <w:lang w:eastAsia="zh-CN"/>
        </w:rPr>
        <w:t>（</w:t>
      </w:r>
      <w:r>
        <w:rPr>
          <w:rFonts w:hint="eastAsia"/>
          <w:b/>
          <w:bCs/>
          <w:color w:val="auto"/>
          <w:lang w:val="en-US" w:eastAsia="zh-CN"/>
        </w:rPr>
        <w:t>4</w:t>
      </w:r>
      <w:r>
        <w:rPr>
          <w:rFonts w:hint="eastAsia"/>
          <w:b/>
          <w:bCs/>
          <w:color w:val="auto"/>
          <w:lang w:eastAsia="zh-CN"/>
        </w:rPr>
        <w:t>）</w:t>
      </w:r>
      <w:r>
        <w:rPr>
          <w:b/>
          <w:bCs/>
          <w:color w:val="auto"/>
        </w:rPr>
        <w:t>水文地质试验统计</w:t>
      </w:r>
    </w:p>
    <w:p w14:paraId="3203CE3E">
      <w:pPr>
        <w:ind w:firstLine="480"/>
        <w:rPr>
          <w:rFonts w:cs="Times New Roman"/>
          <w:color w:val="auto"/>
        </w:rPr>
      </w:pPr>
      <w:r>
        <w:rPr>
          <w:rFonts w:cs="Times New Roman"/>
          <w:color w:val="auto"/>
        </w:rPr>
        <w:t>为查明本项目含水层渗透性及包气带防污性能，项目组收集了本项目评价区区域水文地质报告提供的抽水试验成果及包气带渗水试验成果。</w:t>
      </w:r>
    </w:p>
    <w:p w14:paraId="570BFB1C">
      <w:pPr>
        <w:ind w:firstLine="480"/>
        <w:rPr>
          <w:rFonts w:cs="Times New Roman"/>
          <w:color w:val="auto"/>
        </w:rPr>
      </w:pPr>
      <w:r>
        <w:rPr>
          <w:rFonts w:cs="Times New Roman"/>
          <w:color w:val="auto"/>
        </w:rPr>
        <w:t>1）抽水试验及水文地质参数</w:t>
      </w:r>
    </w:p>
    <w:p w14:paraId="48C3A1F2">
      <w:pPr>
        <w:ind w:firstLine="480"/>
        <w:rPr>
          <w:rFonts w:cs="Times New Roman"/>
          <w:color w:val="auto"/>
        </w:rPr>
      </w:pPr>
      <w:r>
        <w:rPr>
          <w:rFonts w:cs="Times New Roman"/>
          <w:color w:val="auto"/>
        </w:rPr>
        <w:t>本项目收集了区域水文地质报告中的第四系</w:t>
      </w:r>
      <w:r>
        <w:rPr>
          <w:rFonts w:hint="eastAsia" w:cs="Times New Roman"/>
          <w:color w:val="auto"/>
        </w:rPr>
        <w:t>全新统（Q</w:t>
      </w:r>
      <w:r>
        <w:rPr>
          <w:rFonts w:hint="eastAsia" w:cs="Times New Roman"/>
          <w:color w:val="auto"/>
          <w:vertAlign w:val="subscript"/>
        </w:rPr>
        <w:t>4</w:t>
      </w:r>
      <w:r>
        <w:rPr>
          <w:rFonts w:hint="eastAsia" w:cs="Times New Roman"/>
          <w:color w:val="auto"/>
          <w:vertAlign w:val="superscript"/>
        </w:rPr>
        <w:t>al</w:t>
      </w:r>
      <w:r>
        <w:rPr>
          <w:rFonts w:hint="eastAsia" w:cs="Times New Roman"/>
          <w:color w:val="auto"/>
        </w:rPr>
        <w:t>）、</w:t>
      </w:r>
      <w:r>
        <w:rPr>
          <w:rFonts w:cs="Times New Roman"/>
          <w:color w:val="auto"/>
        </w:rPr>
        <w:t>上更新统（Q</w:t>
      </w:r>
      <w:r>
        <w:rPr>
          <w:rFonts w:cs="Times New Roman"/>
          <w:color w:val="auto"/>
          <w:vertAlign w:val="subscript"/>
        </w:rPr>
        <w:t>3</w:t>
      </w:r>
      <w:r>
        <w:rPr>
          <w:rFonts w:hint="eastAsia" w:cs="Times New Roman"/>
          <w:color w:val="auto"/>
          <w:vertAlign w:val="superscript"/>
        </w:rPr>
        <w:t>al</w:t>
      </w:r>
      <w:r>
        <w:rPr>
          <w:rFonts w:cs="Times New Roman"/>
          <w:color w:val="auto"/>
        </w:rPr>
        <w:t>）</w:t>
      </w:r>
      <w:r>
        <w:rPr>
          <w:rFonts w:hint="eastAsia" w:cs="Times New Roman"/>
          <w:color w:val="auto"/>
        </w:rPr>
        <w:t>冲积</w:t>
      </w:r>
      <w:r>
        <w:rPr>
          <w:rFonts w:cs="Times New Roman"/>
          <w:color w:val="auto"/>
        </w:rPr>
        <w:t>层</w:t>
      </w:r>
      <w:r>
        <w:rPr>
          <w:rFonts w:hint="eastAsia" w:cs="Times New Roman"/>
          <w:color w:val="auto"/>
        </w:rPr>
        <w:t>及白垩系白龙组（K</w:t>
      </w:r>
      <w:r>
        <w:rPr>
          <w:rFonts w:hint="eastAsia" w:cs="Times New Roman"/>
          <w:color w:val="auto"/>
          <w:vertAlign w:val="subscript"/>
        </w:rPr>
        <w:t>1</w:t>
      </w:r>
      <w:r>
        <w:rPr>
          <w:rFonts w:hint="eastAsia" w:cs="Times New Roman"/>
          <w:color w:val="auto"/>
        </w:rPr>
        <w:t>b）基岩浅层地下水</w:t>
      </w:r>
      <w:r>
        <w:rPr>
          <w:rFonts w:cs="Times New Roman"/>
          <w:color w:val="auto"/>
        </w:rPr>
        <w:t>中开展的抽水试验数据，见</w:t>
      </w:r>
      <w:r>
        <w:rPr>
          <w:rFonts w:hint="eastAsia" w:cs="Times New Roman"/>
          <w:color w:val="auto"/>
          <w:lang w:val="en-US" w:eastAsia="zh-CN"/>
        </w:rPr>
        <w:t>下表</w:t>
      </w:r>
      <w:r>
        <w:rPr>
          <w:rFonts w:cs="Times New Roman"/>
          <w:color w:val="auto"/>
        </w:rPr>
        <w:t>。</w:t>
      </w:r>
    </w:p>
    <w:p w14:paraId="5A5A9C66">
      <w:pPr>
        <w:pStyle w:val="19"/>
        <w:keepNext w:val="0"/>
        <w:keepLines w:val="0"/>
        <w:pageBreakBefore w:val="0"/>
        <w:widowControl w:val="0"/>
        <w:numPr>
          <w:ilvl w:val="0"/>
          <w:numId w:val="31"/>
        </w:numPr>
        <w:kinsoku/>
        <w:wordWrap/>
        <w:overflowPunct/>
        <w:topLinePunct w:val="0"/>
        <w:autoSpaceDE/>
        <w:autoSpaceDN/>
        <w:bidi w:val="0"/>
        <w:adjustRightInd/>
        <w:snapToGrid/>
        <w:ind w:left="0" w:leftChars="0" w:firstLine="0" w:firstLineChars="0"/>
        <w:textAlignment w:val="auto"/>
        <w:rPr>
          <w:rFonts w:cs="Times New Roman"/>
          <w:color w:val="auto"/>
        </w:rPr>
      </w:pPr>
      <w:r>
        <w:rPr>
          <w:rFonts w:cs="Times New Roman"/>
          <w:color w:val="auto"/>
        </w:rPr>
        <w:t>第四系</w:t>
      </w:r>
      <w:r>
        <w:rPr>
          <w:rFonts w:hint="eastAsia" w:cs="Times New Roman"/>
          <w:color w:val="auto"/>
        </w:rPr>
        <w:t>全新统及</w:t>
      </w:r>
      <w:r>
        <w:rPr>
          <w:rFonts w:cs="Times New Roman"/>
          <w:color w:val="auto"/>
        </w:rPr>
        <w:t>上更新统地层抽水试验成果统计表</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608"/>
        <w:gridCol w:w="859"/>
        <w:gridCol w:w="937"/>
        <w:gridCol w:w="1168"/>
        <w:gridCol w:w="912"/>
        <w:gridCol w:w="676"/>
        <w:gridCol w:w="780"/>
        <w:gridCol w:w="603"/>
        <w:gridCol w:w="974"/>
        <w:gridCol w:w="845"/>
      </w:tblGrid>
      <w:tr w14:paraId="6A3CC6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63" w:type="pct"/>
            <w:vMerge w:val="restart"/>
            <w:tcBorders>
              <w:tl2br w:val="nil"/>
              <w:tr2bl w:val="nil"/>
            </w:tcBorders>
            <w:shd w:val="clear" w:color="auto" w:fill="auto"/>
            <w:vAlign w:val="center"/>
          </w:tcPr>
          <w:p w14:paraId="724A8247">
            <w:pPr>
              <w:pStyle w:val="714"/>
              <w:rPr>
                <w:b/>
                <w:bCs/>
                <w:color w:val="auto"/>
              </w:rPr>
            </w:pPr>
            <w:r>
              <w:rPr>
                <w:rFonts w:hint="eastAsia"/>
                <w:b/>
                <w:bCs/>
                <w:color w:val="auto"/>
              </w:rPr>
              <w:t>试验孔</w:t>
            </w:r>
          </w:p>
        </w:tc>
        <w:tc>
          <w:tcPr>
            <w:tcW w:w="513" w:type="pct"/>
            <w:vMerge w:val="restart"/>
            <w:tcBorders>
              <w:tl2br w:val="nil"/>
              <w:tr2bl w:val="nil"/>
            </w:tcBorders>
            <w:shd w:val="clear" w:color="auto" w:fill="auto"/>
            <w:vAlign w:val="center"/>
          </w:tcPr>
          <w:p w14:paraId="2F74E4F7">
            <w:pPr>
              <w:pStyle w:val="714"/>
              <w:rPr>
                <w:b/>
                <w:bCs/>
                <w:color w:val="auto"/>
              </w:rPr>
            </w:pPr>
            <w:r>
              <w:rPr>
                <w:rFonts w:hint="eastAsia"/>
                <w:b/>
                <w:bCs/>
                <w:color w:val="auto"/>
              </w:rPr>
              <w:t>含水层代号</w:t>
            </w:r>
          </w:p>
        </w:tc>
        <w:tc>
          <w:tcPr>
            <w:tcW w:w="560" w:type="pct"/>
            <w:vMerge w:val="restart"/>
            <w:tcBorders>
              <w:tl2br w:val="nil"/>
              <w:tr2bl w:val="nil"/>
            </w:tcBorders>
            <w:shd w:val="clear" w:color="auto" w:fill="auto"/>
            <w:vAlign w:val="center"/>
          </w:tcPr>
          <w:p w14:paraId="3280A548">
            <w:pPr>
              <w:pStyle w:val="714"/>
              <w:rPr>
                <w:b/>
                <w:bCs/>
                <w:color w:val="auto"/>
              </w:rPr>
            </w:pPr>
            <w:r>
              <w:rPr>
                <w:rFonts w:hint="eastAsia"/>
                <w:b/>
                <w:bCs/>
                <w:color w:val="auto"/>
              </w:rPr>
              <w:t>含水层厚度</w:t>
            </w:r>
          </w:p>
        </w:tc>
        <w:tc>
          <w:tcPr>
            <w:tcW w:w="698" w:type="pct"/>
            <w:vMerge w:val="restart"/>
            <w:tcBorders>
              <w:tl2br w:val="nil"/>
              <w:tr2bl w:val="nil"/>
            </w:tcBorders>
            <w:shd w:val="clear" w:color="auto" w:fill="auto"/>
            <w:vAlign w:val="center"/>
          </w:tcPr>
          <w:p w14:paraId="0C5194EC">
            <w:pPr>
              <w:pStyle w:val="714"/>
              <w:rPr>
                <w:b/>
                <w:bCs/>
                <w:color w:val="auto"/>
              </w:rPr>
            </w:pPr>
            <w:r>
              <w:rPr>
                <w:rFonts w:hint="eastAsia"/>
                <w:b/>
                <w:bCs/>
                <w:color w:val="auto"/>
              </w:rPr>
              <w:t>抽前静止水位埋深</w:t>
            </w:r>
          </w:p>
        </w:tc>
        <w:tc>
          <w:tcPr>
            <w:tcW w:w="545" w:type="pct"/>
            <w:vMerge w:val="restart"/>
            <w:tcBorders>
              <w:tl2br w:val="nil"/>
              <w:tr2bl w:val="nil"/>
            </w:tcBorders>
            <w:shd w:val="clear" w:color="auto" w:fill="auto"/>
            <w:vAlign w:val="center"/>
          </w:tcPr>
          <w:p w14:paraId="30CAEC70">
            <w:pPr>
              <w:pStyle w:val="714"/>
              <w:rPr>
                <w:b/>
                <w:bCs/>
                <w:color w:val="auto"/>
              </w:rPr>
            </w:pPr>
            <w:r>
              <w:rPr>
                <w:rFonts w:hint="eastAsia"/>
                <w:b/>
                <w:bCs/>
                <w:color w:val="auto"/>
              </w:rPr>
              <w:t>水位降深S</w:t>
            </w:r>
            <w:r>
              <w:rPr>
                <w:rFonts w:hint="eastAsia"/>
                <w:b/>
                <w:bCs/>
                <w:color w:val="auto"/>
                <w:vertAlign w:val="subscript"/>
              </w:rPr>
              <w:t>w</w:t>
            </w:r>
          </w:p>
        </w:tc>
        <w:tc>
          <w:tcPr>
            <w:tcW w:w="870" w:type="pct"/>
            <w:gridSpan w:val="2"/>
            <w:vMerge w:val="restart"/>
            <w:tcBorders>
              <w:tl2br w:val="nil"/>
              <w:tr2bl w:val="nil"/>
            </w:tcBorders>
            <w:shd w:val="clear" w:color="auto" w:fill="auto"/>
            <w:vAlign w:val="center"/>
          </w:tcPr>
          <w:p w14:paraId="73DD6232">
            <w:pPr>
              <w:pStyle w:val="714"/>
              <w:rPr>
                <w:b/>
                <w:bCs/>
                <w:color w:val="auto"/>
              </w:rPr>
            </w:pPr>
            <w:r>
              <w:rPr>
                <w:rFonts w:hint="eastAsia"/>
                <w:b/>
                <w:bCs/>
                <w:color w:val="auto"/>
              </w:rPr>
              <w:t>涌水量Q</w:t>
            </w:r>
          </w:p>
        </w:tc>
        <w:tc>
          <w:tcPr>
            <w:tcW w:w="942" w:type="pct"/>
            <w:gridSpan w:val="2"/>
            <w:vMerge w:val="restart"/>
            <w:tcBorders>
              <w:tl2br w:val="nil"/>
              <w:tr2bl w:val="nil"/>
            </w:tcBorders>
            <w:shd w:val="clear" w:color="auto" w:fill="auto"/>
            <w:vAlign w:val="center"/>
          </w:tcPr>
          <w:p w14:paraId="0F0D0C62">
            <w:pPr>
              <w:pStyle w:val="714"/>
              <w:rPr>
                <w:b/>
                <w:bCs/>
                <w:color w:val="auto"/>
              </w:rPr>
            </w:pPr>
            <w:r>
              <w:rPr>
                <w:rFonts w:hint="eastAsia"/>
                <w:b/>
                <w:bCs/>
                <w:color w:val="auto"/>
              </w:rPr>
              <w:t>渗透系数K</w:t>
            </w:r>
          </w:p>
        </w:tc>
        <w:tc>
          <w:tcPr>
            <w:tcW w:w="505" w:type="pct"/>
            <w:vMerge w:val="restart"/>
            <w:tcBorders>
              <w:tl2br w:val="nil"/>
              <w:tr2bl w:val="nil"/>
            </w:tcBorders>
            <w:shd w:val="clear" w:color="auto" w:fill="auto"/>
            <w:vAlign w:val="center"/>
          </w:tcPr>
          <w:p w14:paraId="02A0B497">
            <w:pPr>
              <w:pStyle w:val="714"/>
              <w:rPr>
                <w:b/>
                <w:bCs/>
                <w:color w:val="auto"/>
              </w:rPr>
            </w:pPr>
            <w:r>
              <w:rPr>
                <w:rFonts w:hint="eastAsia"/>
                <w:b/>
                <w:bCs/>
                <w:color w:val="auto"/>
              </w:rPr>
              <w:t>影响半径R</w:t>
            </w:r>
          </w:p>
        </w:tc>
      </w:tr>
      <w:tr w14:paraId="0517C8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63" w:type="pct"/>
            <w:vMerge w:val="continue"/>
            <w:tcBorders>
              <w:tl2br w:val="nil"/>
              <w:tr2bl w:val="nil"/>
            </w:tcBorders>
            <w:vAlign w:val="center"/>
          </w:tcPr>
          <w:p w14:paraId="38866EE3">
            <w:pPr>
              <w:pStyle w:val="714"/>
              <w:rPr>
                <w:color w:val="auto"/>
              </w:rPr>
            </w:pPr>
          </w:p>
        </w:tc>
        <w:tc>
          <w:tcPr>
            <w:tcW w:w="513" w:type="pct"/>
            <w:vMerge w:val="continue"/>
            <w:tcBorders>
              <w:tl2br w:val="nil"/>
              <w:tr2bl w:val="nil"/>
            </w:tcBorders>
            <w:vAlign w:val="center"/>
          </w:tcPr>
          <w:p w14:paraId="1858D19C">
            <w:pPr>
              <w:pStyle w:val="714"/>
              <w:rPr>
                <w:color w:val="auto"/>
              </w:rPr>
            </w:pPr>
          </w:p>
        </w:tc>
        <w:tc>
          <w:tcPr>
            <w:tcW w:w="560" w:type="pct"/>
            <w:vMerge w:val="continue"/>
            <w:tcBorders>
              <w:tl2br w:val="nil"/>
              <w:tr2bl w:val="nil"/>
            </w:tcBorders>
            <w:vAlign w:val="center"/>
          </w:tcPr>
          <w:p w14:paraId="226E0AAA">
            <w:pPr>
              <w:pStyle w:val="714"/>
              <w:rPr>
                <w:color w:val="auto"/>
              </w:rPr>
            </w:pPr>
          </w:p>
        </w:tc>
        <w:tc>
          <w:tcPr>
            <w:tcW w:w="698" w:type="pct"/>
            <w:vMerge w:val="continue"/>
            <w:tcBorders>
              <w:tl2br w:val="nil"/>
              <w:tr2bl w:val="nil"/>
            </w:tcBorders>
            <w:vAlign w:val="center"/>
          </w:tcPr>
          <w:p w14:paraId="729BF00D">
            <w:pPr>
              <w:pStyle w:val="714"/>
              <w:rPr>
                <w:color w:val="auto"/>
              </w:rPr>
            </w:pPr>
          </w:p>
        </w:tc>
        <w:tc>
          <w:tcPr>
            <w:tcW w:w="545" w:type="pct"/>
            <w:vMerge w:val="continue"/>
            <w:tcBorders>
              <w:tl2br w:val="nil"/>
              <w:tr2bl w:val="nil"/>
            </w:tcBorders>
            <w:vAlign w:val="center"/>
          </w:tcPr>
          <w:p w14:paraId="635509D2">
            <w:pPr>
              <w:pStyle w:val="714"/>
              <w:rPr>
                <w:color w:val="auto"/>
              </w:rPr>
            </w:pPr>
          </w:p>
        </w:tc>
        <w:tc>
          <w:tcPr>
            <w:tcW w:w="870" w:type="pct"/>
            <w:gridSpan w:val="2"/>
            <w:vMerge w:val="continue"/>
            <w:tcBorders>
              <w:tl2br w:val="nil"/>
              <w:tr2bl w:val="nil"/>
            </w:tcBorders>
            <w:vAlign w:val="center"/>
          </w:tcPr>
          <w:p w14:paraId="5066BB18">
            <w:pPr>
              <w:pStyle w:val="714"/>
              <w:rPr>
                <w:color w:val="auto"/>
              </w:rPr>
            </w:pPr>
          </w:p>
        </w:tc>
        <w:tc>
          <w:tcPr>
            <w:tcW w:w="942" w:type="pct"/>
            <w:gridSpan w:val="2"/>
            <w:vMerge w:val="continue"/>
            <w:tcBorders>
              <w:tl2br w:val="nil"/>
              <w:tr2bl w:val="nil"/>
            </w:tcBorders>
            <w:vAlign w:val="center"/>
          </w:tcPr>
          <w:p w14:paraId="10246096">
            <w:pPr>
              <w:pStyle w:val="714"/>
              <w:rPr>
                <w:color w:val="auto"/>
              </w:rPr>
            </w:pPr>
          </w:p>
        </w:tc>
        <w:tc>
          <w:tcPr>
            <w:tcW w:w="505" w:type="pct"/>
            <w:vMerge w:val="continue"/>
            <w:tcBorders>
              <w:tl2br w:val="nil"/>
              <w:tr2bl w:val="nil"/>
            </w:tcBorders>
            <w:vAlign w:val="center"/>
          </w:tcPr>
          <w:p w14:paraId="5E9A1E4D">
            <w:pPr>
              <w:pStyle w:val="714"/>
              <w:rPr>
                <w:color w:val="auto"/>
              </w:rPr>
            </w:pPr>
          </w:p>
        </w:tc>
      </w:tr>
      <w:tr w14:paraId="5D2311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63" w:type="pct"/>
            <w:vMerge w:val="continue"/>
            <w:tcBorders>
              <w:tl2br w:val="nil"/>
              <w:tr2bl w:val="nil"/>
            </w:tcBorders>
            <w:vAlign w:val="center"/>
          </w:tcPr>
          <w:p w14:paraId="7C7D8DA5">
            <w:pPr>
              <w:pStyle w:val="714"/>
              <w:rPr>
                <w:color w:val="auto"/>
              </w:rPr>
            </w:pPr>
          </w:p>
        </w:tc>
        <w:tc>
          <w:tcPr>
            <w:tcW w:w="513" w:type="pct"/>
            <w:vMerge w:val="continue"/>
            <w:tcBorders>
              <w:tl2br w:val="nil"/>
              <w:tr2bl w:val="nil"/>
            </w:tcBorders>
            <w:vAlign w:val="center"/>
          </w:tcPr>
          <w:p w14:paraId="77AFE49B">
            <w:pPr>
              <w:pStyle w:val="714"/>
              <w:rPr>
                <w:color w:val="auto"/>
              </w:rPr>
            </w:pPr>
          </w:p>
        </w:tc>
        <w:tc>
          <w:tcPr>
            <w:tcW w:w="560" w:type="pct"/>
            <w:tcBorders>
              <w:tl2br w:val="nil"/>
              <w:tr2bl w:val="nil"/>
            </w:tcBorders>
            <w:shd w:val="clear" w:color="auto" w:fill="auto"/>
            <w:vAlign w:val="center"/>
          </w:tcPr>
          <w:p w14:paraId="31E1FD47">
            <w:pPr>
              <w:pStyle w:val="714"/>
              <w:rPr>
                <w:b/>
                <w:bCs/>
                <w:color w:val="auto"/>
              </w:rPr>
            </w:pPr>
            <w:r>
              <w:rPr>
                <w:rFonts w:hint="eastAsia"/>
                <w:b/>
                <w:bCs/>
                <w:color w:val="auto"/>
              </w:rPr>
              <w:t>m</w:t>
            </w:r>
          </w:p>
        </w:tc>
        <w:tc>
          <w:tcPr>
            <w:tcW w:w="698" w:type="pct"/>
            <w:tcBorders>
              <w:tl2br w:val="nil"/>
              <w:tr2bl w:val="nil"/>
            </w:tcBorders>
            <w:shd w:val="clear" w:color="auto" w:fill="auto"/>
            <w:vAlign w:val="center"/>
          </w:tcPr>
          <w:p w14:paraId="45BE6715">
            <w:pPr>
              <w:pStyle w:val="714"/>
              <w:rPr>
                <w:b/>
                <w:bCs/>
                <w:color w:val="auto"/>
              </w:rPr>
            </w:pPr>
            <w:r>
              <w:rPr>
                <w:rFonts w:hint="eastAsia"/>
                <w:b/>
                <w:bCs/>
                <w:color w:val="auto"/>
              </w:rPr>
              <w:t>m</w:t>
            </w:r>
          </w:p>
        </w:tc>
        <w:tc>
          <w:tcPr>
            <w:tcW w:w="545" w:type="pct"/>
            <w:tcBorders>
              <w:tl2br w:val="nil"/>
              <w:tr2bl w:val="nil"/>
            </w:tcBorders>
            <w:shd w:val="clear" w:color="auto" w:fill="auto"/>
            <w:vAlign w:val="center"/>
          </w:tcPr>
          <w:p w14:paraId="348565C0">
            <w:pPr>
              <w:pStyle w:val="714"/>
              <w:rPr>
                <w:b/>
                <w:bCs/>
                <w:color w:val="auto"/>
              </w:rPr>
            </w:pPr>
            <w:r>
              <w:rPr>
                <w:rFonts w:hint="eastAsia"/>
                <w:b/>
                <w:bCs/>
                <w:color w:val="auto"/>
              </w:rPr>
              <w:t>m</w:t>
            </w:r>
          </w:p>
        </w:tc>
        <w:tc>
          <w:tcPr>
            <w:tcW w:w="404" w:type="pct"/>
            <w:tcBorders>
              <w:tl2br w:val="nil"/>
              <w:tr2bl w:val="nil"/>
            </w:tcBorders>
            <w:shd w:val="clear" w:color="auto" w:fill="auto"/>
            <w:vAlign w:val="center"/>
          </w:tcPr>
          <w:p w14:paraId="7C9D3769">
            <w:pPr>
              <w:pStyle w:val="714"/>
              <w:rPr>
                <w:b/>
                <w:bCs/>
                <w:color w:val="auto"/>
              </w:rPr>
            </w:pPr>
            <w:r>
              <w:rPr>
                <w:rFonts w:hint="eastAsia"/>
                <w:b/>
                <w:bCs/>
                <w:color w:val="auto"/>
              </w:rPr>
              <w:t>L/s</w:t>
            </w:r>
          </w:p>
        </w:tc>
        <w:tc>
          <w:tcPr>
            <w:tcW w:w="465" w:type="pct"/>
            <w:tcBorders>
              <w:tl2br w:val="nil"/>
              <w:tr2bl w:val="nil"/>
            </w:tcBorders>
            <w:shd w:val="clear" w:color="auto" w:fill="auto"/>
            <w:vAlign w:val="center"/>
          </w:tcPr>
          <w:p w14:paraId="3663ADFB">
            <w:pPr>
              <w:pStyle w:val="714"/>
              <w:rPr>
                <w:b/>
                <w:bCs/>
                <w:color w:val="auto"/>
              </w:rPr>
            </w:pPr>
            <w:r>
              <w:rPr>
                <w:rFonts w:hint="eastAsia"/>
                <w:b/>
                <w:bCs/>
                <w:color w:val="auto"/>
                <w:lang w:eastAsia="zh-CN"/>
              </w:rPr>
              <w:t>m³</w:t>
            </w:r>
            <w:r>
              <w:rPr>
                <w:rFonts w:hint="eastAsia"/>
                <w:b/>
                <w:bCs/>
                <w:color w:val="auto"/>
              </w:rPr>
              <w:t>/d</w:t>
            </w:r>
          </w:p>
        </w:tc>
        <w:tc>
          <w:tcPr>
            <w:tcW w:w="360" w:type="pct"/>
            <w:tcBorders>
              <w:tl2br w:val="nil"/>
              <w:tr2bl w:val="nil"/>
            </w:tcBorders>
            <w:shd w:val="clear" w:color="auto" w:fill="auto"/>
            <w:vAlign w:val="center"/>
          </w:tcPr>
          <w:p w14:paraId="29165352">
            <w:pPr>
              <w:pStyle w:val="714"/>
              <w:rPr>
                <w:b/>
                <w:bCs/>
                <w:color w:val="auto"/>
              </w:rPr>
            </w:pPr>
            <w:r>
              <w:rPr>
                <w:rFonts w:hint="eastAsia"/>
                <w:b/>
                <w:bCs/>
                <w:color w:val="auto"/>
              </w:rPr>
              <w:t>m/d</w:t>
            </w:r>
          </w:p>
        </w:tc>
        <w:tc>
          <w:tcPr>
            <w:tcW w:w="582" w:type="pct"/>
            <w:tcBorders>
              <w:tl2br w:val="nil"/>
              <w:tr2bl w:val="nil"/>
            </w:tcBorders>
            <w:shd w:val="clear" w:color="auto" w:fill="auto"/>
            <w:vAlign w:val="center"/>
          </w:tcPr>
          <w:p w14:paraId="58874229">
            <w:pPr>
              <w:pStyle w:val="714"/>
              <w:rPr>
                <w:b/>
                <w:bCs/>
                <w:color w:val="auto"/>
              </w:rPr>
            </w:pPr>
            <w:r>
              <w:rPr>
                <w:rFonts w:hint="eastAsia"/>
                <w:b/>
                <w:bCs/>
                <w:color w:val="auto"/>
              </w:rPr>
              <w:t>cm/s</w:t>
            </w:r>
          </w:p>
        </w:tc>
        <w:tc>
          <w:tcPr>
            <w:tcW w:w="505" w:type="pct"/>
            <w:tcBorders>
              <w:tl2br w:val="nil"/>
              <w:tr2bl w:val="nil"/>
            </w:tcBorders>
            <w:shd w:val="clear" w:color="auto" w:fill="auto"/>
            <w:vAlign w:val="center"/>
          </w:tcPr>
          <w:p w14:paraId="580202C6">
            <w:pPr>
              <w:pStyle w:val="714"/>
              <w:rPr>
                <w:color w:val="auto"/>
              </w:rPr>
            </w:pPr>
            <w:r>
              <w:rPr>
                <w:rFonts w:hint="eastAsia"/>
                <w:color w:val="auto"/>
              </w:rPr>
              <w:t>m</w:t>
            </w:r>
          </w:p>
        </w:tc>
      </w:tr>
      <w:tr w14:paraId="49120F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63" w:type="pct"/>
            <w:tcBorders>
              <w:tl2br w:val="nil"/>
              <w:tr2bl w:val="nil"/>
            </w:tcBorders>
            <w:shd w:val="clear" w:color="auto" w:fill="auto"/>
            <w:vAlign w:val="center"/>
          </w:tcPr>
          <w:p w14:paraId="256FF272">
            <w:pPr>
              <w:pStyle w:val="714"/>
              <w:rPr>
                <w:color w:val="auto"/>
              </w:rPr>
            </w:pPr>
            <w:r>
              <w:rPr>
                <w:rFonts w:hint="eastAsia"/>
                <w:color w:val="auto"/>
              </w:rPr>
              <w:t>23</w:t>
            </w:r>
          </w:p>
        </w:tc>
        <w:tc>
          <w:tcPr>
            <w:tcW w:w="513" w:type="pct"/>
            <w:tcBorders>
              <w:tl2br w:val="nil"/>
              <w:tr2bl w:val="nil"/>
            </w:tcBorders>
            <w:shd w:val="clear" w:color="auto" w:fill="auto"/>
            <w:vAlign w:val="center"/>
          </w:tcPr>
          <w:p w14:paraId="52B4BFA0">
            <w:pPr>
              <w:pStyle w:val="714"/>
              <w:rPr>
                <w:color w:val="auto"/>
              </w:rPr>
            </w:pPr>
            <w:r>
              <w:rPr>
                <w:rFonts w:hint="eastAsia"/>
                <w:color w:val="auto"/>
              </w:rPr>
              <w:t>Q</w:t>
            </w:r>
            <w:r>
              <w:rPr>
                <w:rFonts w:hint="eastAsia"/>
                <w:color w:val="auto"/>
                <w:vertAlign w:val="subscript"/>
              </w:rPr>
              <w:t>4</w:t>
            </w:r>
            <w:r>
              <w:rPr>
                <w:rFonts w:hint="eastAsia"/>
                <w:color w:val="auto"/>
                <w:vertAlign w:val="superscript"/>
              </w:rPr>
              <w:t>al</w:t>
            </w:r>
          </w:p>
        </w:tc>
        <w:tc>
          <w:tcPr>
            <w:tcW w:w="560" w:type="pct"/>
            <w:tcBorders>
              <w:tl2br w:val="nil"/>
              <w:tr2bl w:val="nil"/>
            </w:tcBorders>
            <w:shd w:val="clear" w:color="auto" w:fill="auto"/>
            <w:vAlign w:val="center"/>
          </w:tcPr>
          <w:p w14:paraId="7B285083">
            <w:pPr>
              <w:pStyle w:val="714"/>
              <w:rPr>
                <w:color w:val="auto"/>
              </w:rPr>
            </w:pPr>
            <w:r>
              <w:rPr>
                <w:rFonts w:hint="eastAsia"/>
                <w:color w:val="auto"/>
              </w:rPr>
              <w:t>17.34</w:t>
            </w:r>
          </w:p>
        </w:tc>
        <w:tc>
          <w:tcPr>
            <w:tcW w:w="698" w:type="pct"/>
            <w:tcBorders>
              <w:tl2br w:val="nil"/>
              <w:tr2bl w:val="nil"/>
            </w:tcBorders>
            <w:shd w:val="clear" w:color="auto" w:fill="auto"/>
            <w:vAlign w:val="center"/>
          </w:tcPr>
          <w:p w14:paraId="54A5A74D">
            <w:pPr>
              <w:pStyle w:val="714"/>
              <w:rPr>
                <w:color w:val="auto"/>
              </w:rPr>
            </w:pPr>
            <w:r>
              <w:rPr>
                <w:rFonts w:hint="eastAsia"/>
                <w:color w:val="auto"/>
              </w:rPr>
              <w:t>6.58</w:t>
            </w:r>
          </w:p>
        </w:tc>
        <w:tc>
          <w:tcPr>
            <w:tcW w:w="545" w:type="pct"/>
            <w:tcBorders>
              <w:tl2br w:val="nil"/>
              <w:tr2bl w:val="nil"/>
            </w:tcBorders>
            <w:shd w:val="clear" w:color="auto" w:fill="auto"/>
            <w:vAlign w:val="center"/>
          </w:tcPr>
          <w:p w14:paraId="72101C99">
            <w:pPr>
              <w:pStyle w:val="714"/>
              <w:rPr>
                <w:color w:val="auto"/>
              </w:rPr>
            </w:pPr>
            <w:r>
              <w:rPr>
                <w:rFonts w:hint="eastAsia"/>
                <w:color w:val="auto"/>
              </w:rPr>
              <w:t>6.13</w:t>
            </w:r>
          </w:p>
        </w:tc>
        <w:tc>
          <w:tcPr>
            <w:tcW w:w="404" w:type="pct"/>
            <w:tcBorders>
              <w:tl2br w:val="nil"/>
              <w:tr2bl w:val="nil"/>
            </w:tcBorders>
            <w:shd w:val="clear" w:color="auto" w:fill="auto"/>
            <w:vAlign w:val="center"/>
          </w:tcPr>
          <w:p w14:paraId="6F25FB70">
            <w:pPr>
              <w:pStyle w:val="714"/>
              <w:rPr>
                <w:color w:val="auto"/>
              </w:rPr>
            </w:pPr>
            <w:r>
              <w:rPr>
                <w:rFonts w:hint="eastAsia"/>
                <w:color w:val="auto"/>
              </w:rPr>
              <w:t>3.997</w:t>
            </w:r>
          </w:p>
        </w:tc>
        <w:tc>
          <w:tcPr>
            <w:tcW w:w="465" w:type="pct"/>
            <w:tcBorders>
              <w:tl2br w:val="nil"/>
              <w:tr2bl w:val="nil"/>
            </w:tcBorders>
            <w:shd w:val="clear" w:color="auto" w:fill="auto"/>
            <w:vAlign w:val="center"/>
          </w:tcPr>
          <w:p w14:paraId="1F2BDA38">
            <w:pPr>
              <w:pStyle w:val="714"/>
              <w:rPr>
                <w:color w:val="auto"/>
              </w:rPr>
            </w:pPr>
            <w:r>
              <w:rPr>
                <w:rFonts w:hint="eastAsia"/>
                <w:color w:val="auto"/>
              </w:rPr>
              <w:t>345.30</w:t>
            </w:r>
          </w:p>
        </w:tc>
        <w:tc>
          <w:tcPr>
            <w:tcW w:w="360" w:type="pct"/>
            <w:tcBorders>
              <w:tl2br w:val="nil"/>
              <w:tr2bl w:val="nil"/>
            </w:tcBorders>
            <w:shd w:val="clear" w:color="auto" w:fill="auto"/>
            <w:vAlign w:val="center"/>
          </w:tcPr>
          <w:p w14:paraId="705F6AC9">
            <w:pPr>
              <w:pStyle w:val="714"/>
              <w:rPr>
                <w:color w:val="auto"/>
              </w:rPr>
            </w:pPr>
            <w:r>
              <w:rPr>
                <w:rFonts w:hint="eastAsia"/>
                <w:color w:val="auto"/>
              </w:rPr>
              <w:t>4.17</w:t>
            </w:r>
          </w:p>
        </w:tc>
        <w:tc>
          <w:tcPr>
            <w:tcW w:w="582" w:type="pct"/>
            <w:tcBorders>
              <w:tl2br w:val="nil"/>
              <w:tr2bl w:val="nil"/>
            </w:tcBorders>
            <w:shd w:val="clear" w:color="auto" w:fill="auto"/>
            <w:vAlign w:val="center"/>
          </w:tcPr>
          <w:p w14:paraId="1790960F">
            <w:pPr>
              <w:pStyle w:val="714"/>
              <w:rPr>
                <w:color w:val="auto"/>
              </w:rPr>
            </w:pPr>
            <w:r>
              <w:rPr>
                <w:rFonts w:hint="eastAsia"/>
                <w:color w:val="auto"/>
              </w:rPr>
              <w:t>4.83E-03</w:t>
            </w:r>
          </w:p>
        </w:tc>
        <w:tc>
          <w:tcPr>
            <w:tcW w:w="505" w:type="pct"/>
            <w:tcBorders>
              <w:tl2br w:val="nil"/>
              <w:tr2bl w:val="nil"/>
            </w:tcBorders>
            <w:shd w:val="clear" w:color="auto" w:fill="auto"/>
            <w:vAlign w:val="center"/>
          </w:tcPr>
          <w:p w14:paraId="20D98CCD">
            <w:pPr>
              <w:pStyle w:val="714"/>
              <w:rPr>
                <w:color w:val="auto"/>
              </w:rPr>
            </w:pPr>
            <w:r>
              <w:rPr>
                <w:rFonts w:hint="eastAsia"/>
                <w:color w:val="auto"/>
              </w:rPr>
              <w:t>125</w:t>
            </w:r>
          </w:p>
        </w:tc>
      </w:tr>
      <w:tr w14:paraId="4CDB11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63" w:type="pct"/>
            <w:tcBorders>
              <w:tl2br w:val="nil"/>
              <w:tr2bl w:val="nil"/>
            </w:tcBorders>
            <w:shd w:val="clear" w:color="auto" w:fill="auto"/>
            <w:noWrap/>
            <w:vAlign w:val="center"/>
          </w:tcPr>
          <w:p w14:paraId="54E123A8">
            <w:pPr>
              <w:pStyle w:val="714"/>
              <w:rPr>
                <w:color w:val="auto"/>
              </w:rPr>
            </w:pPr>
            <w:r>
              <w:rPr>
                <w:rFonts w:hint="eastAsia"/>
                <w:color w:val="auto"/>
              </w:rPr>
              <w:t>24</w:t>
            </w:r>
          </w:p>
        </w:tc>
        <w:tc>
          <w:tcPr>
            <w:tcW w:w="513" w:type="pct"/>
            <w:tcBorders>
              <w:tl2br w:val="nil"/>
              <w:tr2bl w:val="nil"/>
            </w:tcBorders>
            <w:shd w:val="clear" w:color="auto" w:fill="auto"/>
            <w:vAlign w:val="center"/>
          </w:tcPr>
          <w:p w14:paraId="5C21D073">
            <w:pPr>
              <w:pStyle w:val="714"/>
              <w:rPr>
                <w:color w:val="auto"/>
              </w:rPr>
            </w:pPr>
            <w:r>
              <w:rPr>
                <w:rFonts w:hint="eastAsia"/>
                <w:color w:val="auto"/>
              </w:rPr>
              <w:t>Q</w:t>
            </w:r>
            <w:r>
              <w:rPr>
                <w:rFonts w:hint="eastAsia"/>
                <w:color w:val="auto"/>
                <w:vertAlign w:val="subscript"/>
              </w:rPr>
              <w:t>4</w:t>
            </w:r>
            <w:r>
              <w:rPr>
                <w:rFonts w:hint="eastAsia"/>
                <w:color w:val="auto"/>
                <w:vertAlign w:val="superscript"/>
              </w:rPr>
              <w:t>al</w:t>
            </w:r>
          </w:p>
        </w:tc>
        <w:tc>
          <w:tcPr>
            <w:tcW w:w="560" w:type="pct"/>
            <w:tcBorders>
              <w:tl2br w:val="nil"/>
              <w:tr2bl w:val="nil"/>
            </w:tcBorders>
            <w:shd w:val="clear" w:color="auto" w:fill="auto"/>
            <w:vAlign w:val="center"/>
          </w:tcPr>
          <w:p w14:paraId="1846C59D">
            <w:pPr>
              <w:pStyle w:val="714"/>
              <w:rPr>
                <w:color w:val="auto"/>
              </w:rPr>
            </w:pPr>
            <w:r>
              <w:rPr>
                <w:rFonts w:hint="eastAsia"/>
                <w:color w:val="auto"/>
              </w:rPr>
              <w:t>18.28</w:t>
            </w:r>
          </w:p>
        </w:tc>
        <w:tc>
          <w:tcPr>
            <w:tcW w:w="698" w:type="pct"/>
            <w:tcBorders>
              <w:tl2br w:val="nil"/>
              <w:tr2bl w:val="nil"/>
            </w:tcBorders>
            <w:shd w:val="clear" w:color="auto" w:fill="auto"/>
            <w:vAlign w:val="center"/>
          </w:tcPr>
          <w:p w14:paraId="6E17D8D8">
            <w:pPr>
              <w:pStyle w:val="714"/>
              <w:rPr>
                <w:color w:val="auto"/>
              </w:rPr>
            </w:pPr>
            <w:r>
              <w:rPr>
                <w:rFonts w:hint="eastAsia"/>
                <w:color w:val="auto"/>
              </w:rPr>
              <w:t>6.11</w:t>
            </w:r>
          </w:p>
        </w:tc>
        <w:tc>
          <w:tcPr>
            <w:tcW w:w="545" w:type="pct"/>
            <w:tcBorders>
              <w:tl2br w:val="nil"/>
              <w:tr2bl w:val="nil"/>
            </w:tcBorders>
            <w:shd w:val="clear" w:color="auto" w:fill="auto"/>
            <w:vAlign w:val="center"/>
          </w:tcPr>
          <w:p w14:paraId="23E6DB3E">
            <w:pPr>
              <w:pStyle w:val="714"/>
              <w:rPr>
                <w:color w:val="auto"/>
              </w:rPr>
            </w:pPr>
            <w:r>
              <w:rPr>
                <w:rFonts w:hint="eastAsia"/>
                <w:color w:val="auto"/>
              </w:rPr>
              <w:t>4.56</w:t>
            </w:r>
          </w:p>
        </w:tc>
        <w:tc>
          <w:tcPr>
            <w:tcW w:w="404" w:type="pct"/>
            <w:tcBorders>
              <w:tl2br w:val="nil"/>
              <w:tr2bl w:val="nil"/>
            </w:tcBorders>
            <w:shd w:val="clear" w:color="auto" w:fill="auto"/>
            <w:vAlign w:val="center"/>
          </w:tcPr>
          <w:p w14:paraId="6A75AE44">
            <w:pPr>
              <w:pStyle w:val="714"/>
              <w:rPr>
                <w:color w:val="auto"/>
              </w:rPr>
            </w:pPr>
            <w:r>
              <w:rPr>
                <w:rFonts w:hint="eastAsia"/>
                <w:color w:val="auto"/>
              </w:rPr>
              <w:t>4.317</w:t>
            </w:r>
          </w:p>
        </w:tc>
        <w:tc>
          <w:tcPr>
            <w:tcW w:w="465" w:type="pct"/>
            <w:tcBorders>
              <w:tl2br w:val="nil"/>
              <w:tr2bl w:val="nil"/>
            </w:tcBorders>
            <w:shd w:val="clear" w:color="auto" w:fill="auto"/>
            <w:vAlign w:val="center"/>
          </w:tcPr>
          <w:p w14:paraId="3FAB5140">
            <w:pPr>
              <w:pStyle w:val="714"/>
              <w:rPr>
                <w:color w:val="auto"/>
              </w:rPr>
            </w:pPr>
            <w:r>
              <w:rPr>
                <w:rFonts w:hint="eastAsia"/>
                <w:color w:val="auto"/>
              </w:rPr>
              <w:t>372.97</w:t>
            </w:r>
          </w:p>
        </w:tc>
        <w:tc>
          <w:tcPr>
            <w:tcW w:w="360" w:type="pct"/>
            <w:tcBorders>
              <w:tl2br w:val="nil"/>
              <w:tr2bl w:val="nil"/>
            </w:tcBorders>
            <w:shd w:val="clear" w:color="auto" w:fill="auto"/>
            <w:vAlign w:val="center"/>
          </w:tcPr>
          <w:p w14:paraId="2A58E954">
            <w:pPr>
              <w:pStyle w:val="714"/>
              <w:rPr>
                <w:color w:val="auto"/>
              </w:rPr>
            </w:pPr>
            <w:r>
              <w:rPr>
                <w:rFonts w:hint="eastAsia"/>
                <w:color w:val="auto"/>
              </w:rPr>
              <w:t>5.54</w:t>
            </w:r>
          </w:p>
        </w:tc>
        <w:tc>
          <w:tcPr>
            <w:tcW w:w="582" w:type="pct"/>
            <w:tcBorders>
              <w:tl2br w:val="nil"/>
              <w:tr2bl w:val="nil"/>
            </w:tcBorders>
            <w:shd w:val="clear" w:color="auto" w:fill="auto"/>
            <w:vAlign w:val="center"/>
          </w:tcPr>
          <w:p w14:paraId="2FFC16A1">
            <w:pPr>
              <w:pStyle w:val="714"/>
              <w:rPr>
                <w:color w:val="auto"/>
              </w:rPr>
            </w:pPr>
            <w:r>
              <w:rPr>
                <w:rFonts w:hint="eastAsia"/>
                <w:color w:val="auto"/>
              </w:rPr>
              <w:t>6.41E-03</w:t>
            </w:r>
          </w:p>
        </w:tc>
        <w:tc>
          <w:tcPr>
            <w:tcW w:w="505" w:type="pct"/>
            <w:tcBorders>
              <w:tl2br w:val="nil"/>
              <w:tr2bl w:val="nil"/>
            </w:tcBorders>
            <w:shd w:val="clear" w:color="auto" w:fill="auto"/>
            <w:vAlign w:val="center"/>
          </w:tcPr>
          <w:p w14:paraId="74FCF387">
            <w:pPr>
              <w:pStyle w:val="714"/>
              <w:rPr>
                <w:color w:val="auto"/>
              </w:rPr>
            </w:pPr>
            <w:r>
              <w:rPr>
                <w:rFonts w:hint="eastAsia"/>
                <w:color w:val="auto"/>
              </w:rPr>
              <w:t>107</w:t>
            </w:r>
          </w:p>
        </w:tc>
      </w:tr>
      <w:tr w14:paraId="45641D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63" w:type="pct"/>
            <w:tcBorders>
              <w:tl2br w:val="nil"/>
              <w:tr2bl w:val="nil"/>
            </w:tcBorders>
            <w:shd w:val="clear" w:color="auto" w:fill="auto"/>
            <w:vAlign w:val="center"/>
          </w:tcPr>
          <w:p w14:paraId="0B4D6802">
            <w:pPr>
              <w:pStyle w:val="714"/>
              <w:rPr>
                <w:color w:val="auto"/>
              </w:rPr>
            </w:pPr>
            <w:r>
              <w:rPr>
                <w:rFonts w:hint="eastAsia"/>
                <w:color w:val="auto"/>
              </w:rPr>
              <w:t>32</w:t>
            </w:r>
          </w:p>
        </w:tc>
        <w:tc>
          <w:tcPr>
            <w:tcW w:w="513" w:type="pct"/>
            <w:tcBorders>
              <w:tl2br w:val="nil"/>
              <w:tr2bl w:val="nil"/>
            </w:tcBorders>
            <w:shd w:val="clear" w:color="auto" w:fill="auto"/>
            <w:vAlign w:val="center"/>
          </w:tcPr>
          <w:p w14:paraId="339BD371">
            <w:pPr>
              <w:pStyle w:val="714"/>
              <w:rPr>
                <w:color w:val="auto"/>
              </w:rPr>
            </w:pPr>
            <w:r>
              <w:rPr>
                <w:rFonts w:hint="eastAsia"/>
                <w:color w:val="auto"/>
              </w:rPr>
              <w:t>Q</w:t>
            </w:r>
            <w:r>
              <w:rPr>
                <w:rFonts w:hint="eastAsia"/>
                <w:color w:val="auto"/>
                <w:vertAlign w:val="subscript"/>
              </w:rPr>
              <w:t>3</w:t>
            </w:r>
            <w:r>
              <w:rPr>
                <w:rFonts w:hint="eastAsia"/>
                <w:color w:val="auto"/>
                <w:vertAlign w:val="superscript"/>
              </w:rPr>
              <w:t>al</w:t>
            </w:r>
          </w:p>
        </w:tc>
        <w:tc>
          <w:tcPr>
            <w:tcW w:w="560" w:type="pct"/>
            <w:tcBorders>
              <w:tl2br w:val="nil"/>
              <w:tr2bl w:val="nil"/>
            </w:tcBorders>
            <w:shd w:val="clear" w:color="auto" w:fill="auto"/>
            <w:vAlign w:val="center"/>
          </w:tcPr>
          <w:p w14:paraId="7C0B7129">
            <w:pPr>
              <w:pStyle w:val="714"/>
              <w:rPr>
                <w:color w:val="auto"/>
              </w:rPr>
            </w:pPr>
            <w:r>
              <w:rPr>
                <w:rFonts w:hint="eastAsia"/>
                <w:color w:val="auto"/>
              </w:rPr>
              <w:t>12.9</w:t>
            </w:r>
          </w:p>
        </w:tc>
        <w:tc>
          <w:tcPr>
            <w:tcW w:w="698" w:type="pct"/>
            <w:tcBorders>
              <w:tl2br w:val="nil"/>
              <w:tr2bl w:val="nil"/>
            </w:tcBorders>
            <w:shd w:val="clear" w:color="auto" w:fill="auto"/>
            <w:vAlign w:val="center"/>
          </w:tcPr>
          <w:p w14:paraId="5E012D4D">
            <w:pPr>
              <w:pStyle w:val="714"/>
              <w:rPr>
                <w:color w:val="auto"/>
              </w:rPr>
            </w:pPr>
            <w:r>
              <w:rPr>
                <w:rFonts w:hint="eastAsia"/>
                <w:color w:val="auto"/>
              </w:rPr>
              <w:t>1.15</w:t>
            </w:r>
          </w:p>
        </w:tc>
        <w:tc>
          <w:tcPr>
            <w:tcW w:w="545" w:type="pct"/>
            <w:tcBorders>
              <w:tl2br w:val="nil"/>
              <w:tr2bl w:val="nil"/>
            </w:tcBorders>
            <w:shd w:val="clear" w:color="auto" w:fill="auto"/>
            <w:vAlign w:val="center"/>
          </w:tcPr>
          <w:p w14:paraId="6E33C31A">
            <w:pPr>
              <w:pStyle w:val="714"/>
              <w:rPr>
                <w:color w:val="auto"/>
              </w:rPr>
            </w:pPr>
            <w:r>
              <w:rPr>
                <w:rFonts w:hint="eastAsia"/>
                <w:color w:val="auto"/>
              </w:rPr>
              <w:t>4.18</w:t>
            </w:r>
          </w:p>
        </w:tc>
        <w:tc>
          <w:tcPr>
            <w:tcW w:w="404" w:type="pct"/>
            <w:tcBorders>
              <w:tl2br w:val="nil"/>
              <w:tr2bl w:val="nil"/>
            </w:tcBorders>
            <w:shd w:val="clear" w:color="auto" w:fill="auto"/>
            <w:vAlign w:val="center"/>
          </w:tcPr>
          <w:p w14:paraId="52D0BE5F">
            <w:pPr>
              <w:pStyle w:val="714"/>
              <w:rPr>
                <w:color w:val="auto"/>
              </w:rPr>
            </w:pPr>
            <w:r>
              <w:rPr>
                <w:rFonts w:hint="eastAsia"/>
                <w:color w:val="auto"/>
              </w:rPr>
              <w:t>4.239</w:t>
            </w:r>
          </w:p>
        </w:tc>
        <w:tc>
          <w:tcPr>
            <w:tcW w:w="465" w:type="pct"/>
            <w:tcBorders>
              <w:tl2br w:val="nil"/>
              <w:tr2bl w:val="nil"/>
            </w:tcBorders>
            <w:shd w:val="clear" w:color="auto" w:fill="auto"/>
            <w:vAlign w:val="center"/>
          </w:tcPr>
          <w:p w14:paraId="2D241B27">
            <w:pPr>
              <w:pStyle w:val="714"/>
              <w:rPr>
                <w:color w:val="auto"/>
              </w:rPr>
            </w:pPr>
            <w:r>
              <w:rPr>
                <w:rFonts w:hint="eastAsia"/>
                <w:color w:val="auto"/>
              </w:rPr>
              <w:t>366.25</w:t>
            </w:r>
          </w:p>
        </w:tc>
        <w:tc>
          <w:tcPr>
            <w:tcW w:w="360" w:type="pct"/>
            <w:tcBorders>
              <w:tl2br w:val="nil"/>
              <w:tr2bl w:val="nil"/>
            </w:tcBorders>
            <w:shd w:val="clear" w:color="auto" w:fill="auto"/>
            <w:vAlign w:val="center"/>
          </w:tcPr>
          <w:p w14:paraId="5D327C6F">
            <w:pPr>
              <w:pStyle w:val="714"/>
              <w:rPr>
                <w:color w:val="auto"/>
              </w:rPr>
            </w:pPr>
            <w:r>
              <w:rPr>
                <w:rFonts w:hint="eastAsia"/>
                <w:color w:val="auto"/>
              </w:rPr>
              <w:t>9.00</w:t>
            </w:r>
          </w:p>
        </w:tc>
        <w:tc>
          <w:tcPr>
            <w:tcW w:w="582" w:type="pct"/>
            <w:tcBorders>
              <w:tl2br w:val="nil"/>
              <w:tr2bl w:val="nil"/>
            </w:tcBorders>
            <w:shd w:val="clear" w:color="auto" w:fill="auto"/>
            <w:vAlign w:val="center"/>
          </w:tcPr>
          <w:p w14:paraId="74DCA349">
            <w:pPr>
              <w:pStyle w:val="714"/>
              <w:rPr>
                <w:color w:val="auto"/>
              </w:rPr>
            </w:pPr>
            <w:r>
              <w:rPr>
                <w:rFonts w:hint="eastAsia"/>
                <w:color w:val="auto"/>
              </w:rPr>
              <w:t>1.04E-02</w:t>
            </w:r>
          </w:p>
        </w:tc>
        <w:tc>
          <w:tcPr>
            <w:tcW w:w="505" w:type="pct"/>
            <w:tcBorders>
              <w:tl2br w:val="nil"/>
              <w:tr2bl w:val="nil"/>
            </w:tcBorders>
            <w:shd w:val="clear" w:color="auto" w:fill="auto"/>
            <w:vAlign w:val="center"/>
          </w:tcPr>
          <w:p w14:paraId="4F71161D">
            <w:pPr>
              <w:pStyle w:val="714"/>
              <w:rPr>
                <w:color w:val="auto"/>
              </w:rPr>
            </w:pPr>
            <w:r>
              <w:rPr>
                <w:rFonts w:hint="eastAsia"/>
                <w:color w:val="auto"/>
              </w:rPr>
              <w:t>90</w:t>
            </w:r>
          </w:p>
        </w:tc>
      </w:tr>
    </w:tbl>
    <w:p w14:paraId="5F310559">
      <w:pPr>
        <w:pStyle w:val="700"/>
        <w:keepNext w:val="0"/>
        <w:keepLines w:val="0"/>
        <w:pageBreakBefore w:val="0"/>
        <w:widowControl w:val="0"/>
        <w:kinsoku/>
        <w:wordWrap/>
        <w:overflowPunct/>
        <w:topLinePunct w:val="0"/>
        <w:autoSpaceDE/>
        <w:autoSpaceDN/>
        <w:bidi w:val="0"/>
        <w:adjustRightInd/>
        <w:snapToGrid/>
        <w:textAlignment w:val="auto"/>
        <w:rPr>
          <w:b/>
          <w:bCs/>
          <w:color w:val="auto"/>
          <w:sz w:val="21"/>
          <w:szCs w:val="21"/>
        </w:rPr>
      </w:pPr>
      <w:r>
        <w:rPr>
          <w:b/>
          <w:bCs/>
          <w:color w:val="auto"/>
          <w:sz w:val="21"/>
          <w:szCs w:val="21"/>
        </w:rPr>
        <w:t>注：数据参考自</w:t>
      </w:r>
      <w:r>
        <w:rPr>
          <w:rFonts w:hint="eastAsia"/>
          <w:b/>
          <w:bCs/>
          <w:color w:val="auto"/>
          <w:sz w:val="21"/>
          <w:szCs w:val="21"/>
        </w:rPr>
        <w:t>《1:20万仪陇幅区域水文地质普查报告》</w:t>
      </w:r>
      <w:r>
        <w:rPr>
          <w:b/>
          <w:bCs/>
          <w:color w:val="auto"/>
          <w:sz w:val="21"/>
          <w:szCs w:val="21"/>
        </w:rPr>
        <w:t>。</w:t>
      </w:r>
    </w:p>
    <w:p w14:paraId="22EC384F">
      <w:pPr>
        <w:pStyle w:val="19"/>
        <w:keepNext w:val="0"/>
        <w:keepLines w:val="0"/>
        <w:pageBreakBefore w:val="0"/>
        <w:widowControl w:val="0"/>
        <w:numPr>
          <w:ilvl w:val="0"/>
          <w:numId w:val="31"/>
        </w:numPr>
        <w:kinsoku/>
        <w:wordWrap/>
        <w:overflowPunct/>
        <w:topLinePunct w:val="0"/>
        <w:autoSpaceDE/>
        <w:autoSpaceDN/>
        <w:bidi w:val="0"/>
        <w:adjustRightInd/>
        <w:snapToGrid/>
        <w:ind w:left="0" w:leftChars="0" w:firstLine="0" w:firstLineChars="0"/>
        <w:textAlignment w:val="auto"/>
        <w:rPr>
          <w:rFonts w:cs="Times New Roman"/>
          <w:color w:val="auto"/>
        </w:rPr>
      </w:pPr>
      <w:r>
        <w:rPr>
          <w:rFonts w:hint="eastAsia" w:cs="Times New Roman"/>
          <w:color w:val="auto"/>
        </w:rPr>
        <w:t>白垩系白龙组（K</w:t>
      </w:r>
      <w:r>
        <w:rPr>
          <w:rFonts w:hint="eastAsia" w:cs="Times New Roman"/>
          <w:color w:val="auto"/>
          <w:vertAlign w:val="subscript"/>
        </w:rPr>
        <w:t>1</w:t>
      </w:r>
      <w:r>
        <w:rPr>
          <w:rFonts w:hint="eastAsia" w:cs="Times New Roman"/>
          <w:color w:val="auto"/>
        </w:rPr>
        <w:t>b）浅层地下水</w:t>
      </w:r>
      <w:r>
        <w:rPr>
          <w:rFonts w:cs="Times New Roman"/>
          <w:color w:val="auto"/>
        </w:rPr>
        <w:t>抽水试验成果统计表</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589"/>
        <w:gridCol w:w="821"/>
        <w:gridCol w:w="912"/>
        <w:gridCol w:w="1215"/>
        <w:gridCol w:w="940"/>
        <w:gridCol w:w="676"/>
        <w:gridCol w:w="780"/>
        <w:gridCol w:w="597"/>
        <w:gridCol w:w="974"/>
        <w:gridCol w:w="858"/>
      </w:tblGrid>
      <w:tr w14:paraId="399E9D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2" w:type="pct"/>
            <w:vMerge w:val="restart"/>
            <w:tcBorders>
              <w:tl2br w:val="nil"/>
              <w:tr2bl w:val="nil"/>
            </w:tcBorders>
            <w:shd w:val="clear" w:color="auto" w:fill="auto"/>
            <w:vAlign w:val="center"/>
          </w:tcPr>
          <w:p w14:paraId="0120DD9D">
            <w:pPr>
              <w:pStyle w:val="714"/>
              <w:rPr>
                <w:b/>
                <w:bCs/>
                <w:color w:val="auto"/>
              </w:rPr>
            </w:pPr>
            <w:r>
              <w:rPr>
                <w:rFonts w:hint="eastAsia"/>
                <w:b/>
                <w:bCs/>
                <w:color w:val="auto"/>
              </w:rPr>
              <w:t>试验孔</w:t>
            </w:r>
          </w:p>
        </w:tc>
        <w:tc>
          <w:tcPr>
            <w:tcW w:w="491" w:type="pct"/>
            <w:vMerge w:val="restart"/>
            <w:tcBorders>
              <w:tl2br w:val="nil"/>
              <w:tr2bl w:val="nil"/>
            </w:tcBorders>
            <w:shd w:val="clear" w:color="auto" w:fill="auto"/>
            <w:vAlign w:val="center"/>
          </w:tcPr>
          <w:p w14:paraId="64E290D9">
            <w:pPr>
              <w:pStyle w:val="714"/>
              <w:rPr>
                <w:b/>
                <w:bCs/>
                <w:color w:val="auto"/>
              </w:rPr>
            </w:pPr>
            <w:r>
              <w:rPr>
                <w:rFonts w:hint="eastAsia"/>
                <w:b/>
                <w:bCs/>
                <w:color w:val="auto"/>
              </w:rPr>
              <w:t>含水层代号</w:t>
            </w:r>
          </w:p>
        </w:tc>
        <w:tc>
          <w:tcPr>
            <w:tcW w:w="545" w:type="pct"/>
            <w:vMerge w:val="restart"/>
            <w:tcBorders>
              <w:tl2br w:val="nil"/>
              <w:tr2bl w:val="nil"/>
            </w:tcBorders>
            <w:shd w:val="clear" w:color="auto" w:fill="auto"/>
            <w:vAlign w:val="center"/>
          </w:tcPr>
          <w:p w14:paraId="62DBB33E">
            <w:pPr>
              <w:pStyle w:val="714"/>
              <w:rPr>
                <w:b/>
                <w:bCs/>
                <w:color w:val="auto"/>
              </w:rPr>
            </w:pPr>
            <w:r>
              <w:rPr>
                <w:rFonts w:hint="eastAsia"/>
                <w:b/>
                <w:bCs/>
                <w:color w:val="auto"/>
              </w:rPr>
              <w:t>含水层厚度</w:t>
            </w:r>
          </w:p>
        </w:tc>
        <w:tc>
          <w:tcPr>
            <w:tcW w:w="726" w:type="pct"/>
            <w:vMerge w:val="restart"/>
            <w:tcBorders>
              <w:tl2br w:val="nil"/>
              <w:tr2bl w:val="nil"/>
            </w:tcBorders>
            <w:shd w:val="clear" w:color="auto" w:fill="auto"/>
            <w:vAlign w:val="center"/>
          </w:tcPr>
          <w:p w14:paraId="217831BC">
            <w:pPr>
              <w:pStyle w:val="714"/>
              <w:rPr>
                <w:b/>
                <w:bCs/>
                <w:color w:val="auto"/>
              </w:rPr>
            </w:pPr>
            <w:r>
              <w:rPr>
                <w:rFonts w:hint="eastAsia"/>
                <w:b/>
                <w:bCs/>
                <w:color w:val="auto"/>
              </w:rPr>
              <w:t>抽前静止水位埋深</w:t>
            </w:r>
          </w:p>
        </w:tc>
        <w:tc>
          <w:tcPr>
            <w:tcW w:w="562" w:type="pct"/>
            <w:vMerge w:val="restart"/>
            <w:tcBorders>
              <w:tl2br w:val="nil"/>
              <w:tr2bl w:val="nil"/>
            </w:tcBorders>
            <w:shd w:val="clear" w:color="auto" w:fill="auto"/>
            <w:vAlign w:val="center"/>
          </w:tcPr>
          <w:p w14:paraId="1B18B578">
            <w:pPr>
              <w:pStyle w:val="714"/>
              <w:rPr>
                <w:b/>
                <w:bCs/>
                <w:color w:val="auto"/>
              </w:rPr>
            </w:pPr>
            <w:r>
              <w:rPr>
                <w:rFonts w:hint="eastAsia"/>
                <w:b/>
                <w:bCs/>
                <w:color w:val="auto"/>
              </w:rPr>
              <w:t>水位降深Sw</w:t>
            </w:r>
          </w:p>
        </w:tc>
        <w:tc>
          <w:tcPr>
            <w:tcW w:w="870" w:type="pct"/>
            <w:gridSpan w:val="2"/>
            <w:vMerge w:val="restart"/>
            <w:tcBorders>
              <w:tl2br w:val="nil"/>
              <w:tr2bl w:val="nil"/>
            </w:tcBorders>
            <w:shd w:val="clear" w:color="auto" w:fill="auto"/>
            <w:vAlign w:val="center"/>
          </w:tcPr>
          <w:p w14:paraId="1DF66A9A">
            <w:pPr>
              <w:pStyle w:val="714"/>
              <w:rPr>
                <w:b/>
                <w:bCs/>
                <w:color w:val="auto"/>
              </w:rPr>
            </w:pPr>
            <w:r>
              <w:rPr>
                <w:rFonts w:hint="eastAsia"/>
                <w:b/>
                <w:bCs/>
                <w:color w:val="auto"/>
              </w:rPr>
              <w:t>涌水量Q</w:t>
            </w:r>
          </w:p>
        </w:tc>
        <w:tc>
          <w:tcPr>
            <w:tcW w:w="939" w:type="pct"/>
            <w:gridSpan w:val="2"/>
            <w:vMerge w:val="restart"/>
            <w:tcBorders>
              <w:tl2br w:val="nil"/>
              <w:tr2bl w:val="nil"/>
            </w:tcBorders>
            <w:shd w:val="clear" w:color="auto" w:fill="auto"/>
            <w:vAlign w:val="center"/>
          </w:tcPr>
          <w:p w14:paraId="11645DA8">
            <w:pPr>
              <w:pStyle w:val="714"/>
              <w:rPr>
                <w:b/>
                <w:bCs/>
                <w:color w:val="auto"/>
              </w:rPr>
            </w:pPr>
            <w:r>
              <w:rPr>
                <w:rFonts w:hint="eastAsia"/>
                <w:b/>
                <w:bCs/>
                <w:color w:val="auto"/>
              </w:rPr>
              <w:t>渗透系数K</w:t>
            </w:r>
          </w:p>
        </w:tc>
        <w:tc>
          <w:tcPr>
            <w:tcW w:w="513" w:type="pct"/>
            <w:vMerge w:val="restart"/>
            <w:tcBorders>
              <w:tl2br w:val="nil"/>
              <w:tr2bl w:val="nil"/>
            </w:tcBorders>
            <w:shd w:val="clear" w:color="auto" w:fill="auto"/>
            <w:vAlign w:val="center"/>
          </w:tcPr>
          <w:p w14:paraId="5269A2FD">
            <w:pPr>
              <w:pStyle w:val="714"/>
              <w:rPr>
                <w:b/>
                <w:bCs/>
                <w:color w:val="auto"/>
              </w:rPr>
            </w:pPr>
            <w:r>
              <w:rPr>
                <w:rFonts w:hint="eastAsia"/>
                <w:b/>
                <w:bCs/>
                <w:color w:val="auto"/>
              </w:rPr>
              <w:t>影响半径R</w:t>
            </w:r>
          </w:p>
        </w:tc>
      </w:tr>
      <w:tr w14:paraId="3ED476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2" w:type="pct"/>
            <w:vMerge w:val="continue"/>
            <w:tcBorders>
              <w:tl2br w:val="nil"/>
              <w:tr2bl w:val="nil"/>
            </w:tcBorders>
            <w:vAlign w:val="center"/>
          </w:tcPr>
          <w:p w14:paraId="14FFA176">
            <w:pPr>
              <w:pStyle w:val="714"/>
              <w:rPr>
                <w:color w:val="auto"/>
              </w:rPr>
            </w:pPr>
          </w:p>
        </w:tc>
        <w:tc>
          <w:tcPr>
            <w:tcW w:w="491" w:type="pct"/>
            <w:vMerge w:val="continue"/>
            <w:tcBorders>
              <w:tl2br w:val="nil"/>
              <w:tr2bl w:val="nil"/>
            </w:tcBorders>
            <w:vAlign w:val="center"/>
          </w:tcPr>
          <w:p w14:paraId="2DE1D980">
            <w:pPr>
              <w:pStyle w:val="714"/>
              <w:rPr>
                <w:color w:val="auto"/>
              </w:rPr>
            </w:pPr>
          </w:p>
        </w:tc>
        <w:tc>
          <w:tcPr>
            <w:tcW w:w="545" w:type="pct"/>
            <w:vMerge w:val="continue"/>
            <w:tcBorders>
              <w:tl2br w:val="nil"/>
              <w:tr2bl w:val="nil"/>
            </w:tcBorders>
            <w:vAlign w:val="center"/>
          </w:tcPr>
          <w:p w14:paraId="4C61CEBA">
            <w:pPr>
              <w:pStyle w:val="714"/>
              <w:rPr>
                <w:color w:val="auto"/>
              </w:rPr>
            </w:pPr>
          </w:p>
        </w:tc>
        <w:tc>
          <w:tcPr>
            <w:tcW w:w="726" w:type="pct"/>
            <w:vMerge w:val="continue"/>
            <w:tcBorders>
              <w:tl2br w:val="nil"/>
              <w:tr2bl w:val="nil"/>
            </w:tcBorders>
            <w:vAlign w:val="center"/>
          </w:tcPr>
          <w:p w14:paraId="5F449D7F">
            <w:pPr>
              <w:pStyle w:val="714"/>
              <w:rPr>
                <w:color w:val="auto"/>
              </w:rPr>
            </w:pPr>
          </w:p>
        </w:tc>
        <w:tc>
          <w:tcPr>
            <w:tcW w:w="562" w:type="pct"/>
            <w:vMerge w:val="continue"/>
            <w:tcBorders>
              <w:tl2br w:val="nil"/>
              <w:tr2bl w:val="nil"/>
            </w:tcBorders>
            <w:vAlign w:val="center"/>
          </w:tcPr>
          <w:p w14:paraId="665AE880">
            <w:pPr>
              <w:pStyle w:val="714"/>
              <w:rPr>
                <w:color w:val="auto"/>
              </w:rPr>
            </w:pPr>
          </w:p>
        </w:tc>
        <w:tc>
          <w:tcPr>
            <w:tcW w:w="870" w:type="pct"/>
            <w:gridSpan w:val="2"/>
            <w:vMerge w:val="continue"/>
            <w:tcBorders>
              <w:tl2br w:val="nil"/>
              <w:tr2bl w:val="nil"/>
            </w:tcBorders>
            <w:vAlign w:val="center"/>
          </w:tcPr>
          <w:p w14:paraId="48966EC2">
            <w:pPr>
              <w:pStyle w:val="714"/>
              <w:rPr>
                <w:color w:val="auto"/>
              </w:rPr>
            </w:pPr>
          </w:p>
        </w:tc>
        <w:tc>
          <w:tcPr>
            <w:tcW w:w="939" w:type="pct"/>
            <w:gridSpan w:val="2"/>
            <w:vMerge w:val="continue"/>
            <w:tcBorders>
              <w:tl2br w:val="nil"/>
              <w:tr2bl w:val="nil"/>
            </w:tcBorders>
            <w:vAlign w:val="center"/>
          </w:tcPr>
          <w:p w14:paraId="4E23F6C5">
            <w:pPr>
              <w:pStyle w:val="714"/>
              <w:rPr>
                <w:color w:val="auto"/>
              </w:rPr>
            </w:pPr>
          </w:p>
        </w:tc>
        <w:tc>
          <w:tcPr>
            <w:tcW w:w="513" w:type="pct"/>
            <w:vMerge w:val="continue"/>
            <w:tcBorders>
              <w:tl2br w:val="nil"/>
              <w:tr2bl w:val="nil"/>
            </w:tcBorders>
            <w:vAlign w:val="center"/>
          </w:tcPr>
          <w:p w14:paraId="54BECBCA">
            <w:pPr>
              <w:pStyle w:val="714"/>
              <w:rPr>
                <w:color w:val="auto"/>
              </w:rPr>
            </w:pPr>
          </w:p>
        </w:tc>
      </w:tr>
      <w:tr w14:paraId="707713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2" w:type="pct"/>
            <w:vMerge w:val="continue"/>
            <w:tcBorders>
              <w:tl2br w:val="nil"/>
              <w:tr2bl w:val="nil"/>
            </w:tcBorders>
            <w:vAlign w:val="center"/>
          </w:tcPr>
          <w:p w14:paraId="77D4558F">
            <w:pPr>
              <w:pStyle w:val="714"/>
              <w:rPr>
                <w:color w:val="auto"/>
              </w:rPr>
            </w:pPr>
          </w:p>
        </w:tc>
        <w:tc>
          <w:tcPr>
            <w:tcW w:w="491" w:type="pct"/>
            <w:vMerge w:val="continue"/>
            <w:tcBorders>
              <w:tl2br w:val="nil"/>
              <w:tr2bl w:val="nil"/>
            </w:tcBorders>
            <w:vAlign w:val="center"/>
          </w:tcPr>
          <w:p w14:paraId="27E34F74">
            <w:pPr>
              <w:pStyle w:val="714"/>
              <w:rPr>
                <w:color w:val="auto"/>
              </w:rPr>
            </w:pPr>
          </w:p>
        </w:tc>
        <w:tc>
          <w:tcPr>
            <w:tcW w:w="545" w:type="pct"/>
            <w:tcBorders>
              <w:tl2br w:val="nil"/>
              <w:tr2bl w:val="nil"/>
            </w:tcBorders>
            <w:shd w:val="clear" w:color="auto" w:fill="auto"/>
            <w:vAlign w:val="center"/>
          </w:tcPr>
          <w:p w14:paraId="566BDC65">
            <w:pPr>
              <w:pStyle w:val="714"/>
              <w:rPr>
                <w:b/>
                <w:bCs/>
                <w:color w:val="auto"/>
              </w:rPr>
            </w:pPr>
            <w:r>
              <w:rPr>
                <w:rFonts w:hint="eastAsia"/>
                <w:b/>
                <w:bCs/>
                <w:color w:val="auto"/>
              </w:rPr>
              <w:t>m</w:t>
            </w:r>
          </w:p>
        </w:tc>
        <w:tc>
          <w:tcPr>
            <w:tcW w:w="726" w:type="pct"/>
            <w:tcBorders>
              <w:tl2br w:val="nil"/>
              <w:tr2bl w:val="nil"/>
            </w:tcBorders>
            <w:shd w:val="clear" w:color="auto" w:fill="auto"/>
            <w:vAlign w:val="center"/>
          </w:tcPr>
          <w:p w14:paraId="02F304EF">
            <w:pPr>
              <w:pStyle w:val="714"/>
              <w:rPr>
                <w:b/>
                <w:bCs/>
                <w:color w:val="auto"/>
              </w:rPr>
            </w:pPr>
            <w:r>
              <w:rPr>
                <w:rFonts w:hint="eastAsia"/>
                <w:b/>
                <w:bCs/>
                <w:color w:val="auto"/>
              </w:rPr>
              <w:t>m</w:t>
            </w:r>
          </w:p>
        </w:tc>
        <w:tc>
          <w:tcPr>
            <w:tcW w:w="562" w:type="pct"/>
            <w:tcBorders>
              <w:tl2br w:val="nil"/>
              <w:tr2bl w:val="nil"/>
            </w:tcBorders>
            <w:shd w:val="clear" w:color="auto" w:fill="auto"/>
            <w:vAlign w:val="center"/>
          </w:tcPr>
          <w:p w14:paraId="4010EA10">
            <w:pPr>
              <w:pStyle w:val="714"/>
              <w:rPr>
                <w:b/>
                <w:bCs/>
                <w:color w:val="auto"/>
              </w:rPr>
            </w:pPr>
            <w:r>
              <w:rPr>
                <w:rFonts w:hint="eastAsia"/>
                <w:b/>
                <w:bCs/>
                <w:color w:val="auto"/>
              </w:rPr>
              <w:t>m</w:t>
            </w:r>
          </w:p>
        </w:tc>
        <w:tc>
          <w:tcPr>
            <w:tcW w:w="404" w:type="pct"/>
            <w:tcBorders>
              <w:tl2br w:val="nil"/>
              <w:tr2bl w:val="nil"/>
            </w:tcBorders>
            <w:shd w:val="clear" w:color="auto" w:fill="auto"/>
            <w:vAlign w:val="center"/>
          </w:tcPr>
          <w:p w14:paraId="63F04C38">
            <w:pPr>
              <w:pStyle w:val="714"/>
              <w:rPr>
                <w:b/>
                <w:bCs/>
                <w:color w:val="auto"/>
              </w:rPr>
            </w:pPr>
            <w:r>
              <w:rPr>
                <w:rFonts w:hint="eastAsia"/>
                <w:b/>
                <w:bCs/>
                <w:color w:val="auto"/>
              </w:rPr>
              <w:t>L/s</w:t>
            </w:r>
          </w:p>
        </w:tc>
        <w:tc>
          <w:tcPr>
            <w:tcW w:w="465" w:type="pct"/>
            <w:tcBorders>
              <w:tl2br w:val="nil"/>
              <w:tr2bl w:val="nil"/>
            </w:tcBorders>
            <w:shd w:val="clear" w:color="auto" w:fill="auto"/>
            <w:vAlign w:val="center"/>
          </w:tcPr>
          <w:p w14:paraId="14A8DA1C">
            <w:pPr>
              <w:pStyle w:val="714"/>
              <w:rPr>
                <w:b/>
                <w:bCs/>
                <w:color w:val="auto"/>
              </w:rPr>
            </w:pPr>
            <w:r>
              <w:rPr>
                <w:rFonts w:hint="eastAsia"/>
                <w:b/>
                <w:bCs/>
                <w:color w:val="auto"/>
                <w:lang w:eastAsia="zh-CN"/>
              </w:rPr>
              <w:t>m³</w:t>
            </w:r>
            <w:r>
              <w:rPr>
                <w:rFonts w:hint="eastAsia"/>
                <w:b/>
                <w:bCs/>
                <w:color w:val="auto"/>
              </w:rPr>
              <w:t>/d</w:t>
            </w:r>
          </w:p>
        </w:tc>
        <w:tc>
          <w:tcPr>
            <w:tcW w:w="357" w:type="pct"/>
            <w:tcBorders>
              <w:tl2br w:val="nil"/>
              <w:tr2bl w:val="nil"/>
            </w:tcBorders>
            <w:shd w:val="clear" w:color="auto" w:fill="auto"/>
            <w:vAlign w:val="center"/>
          </w:tcPr>
          <w:p w14:paraId="2CC42EE0">
            <w:pPr>
              <w:pStyle w:val="714"/>
              <w:rPr>
                <w:b/>
                <w:bCs/>
                <w:color w:val="auto"/>
              </w:rPr>
            </w:pPr>
            <w:r>
              <w:rPr>
                <w:rFonts w:hint="eastAsia"/>
                <w:b/>
                <w:bCs/>
                <w:color w:val="auto"/>
              </w:rPr>
              <w:t>m/d</w:t>
            </w:r>
          </w:p>
        </w:tc>
        <w:tc>
          <w:tcPr>
            <w:tcW w:w="582" w:type="pct"/>
            <w:tcBorders>
              <w:tl2br w:val="nil"/>
              <w:tr2bl w:val="nil"/>
            </w:tcBorders>
            <w:shd w:val="clear" w:color="auto" w:fill="auto"/>
            <w:vAlign w:val="center"/>
          </w:tcPr>
          <w:p w14:paraId="7D4724E2">
            <w:pPr>
              <w:pStyle w:val="714"/>
              <w:rPr>
                <w:b/>
                <w:bCs/>
                <w:color w:val="auto"/>
              </w:rPr>
            </w:pPr>
            <w:r>
              <w:rPr>
                <w:rFonts w:hint="eastAsia"/>
                <w:b/>
                <w:bCs/>
                <w:color w:val="auto"/>
              </w:rPr>
              <w:t>cm/s</w:t>
            </w:r>
          </w:p>
        </w:tc>
        <w:tc>
          <w:tcPr>
            <w:tcW w:w="513" w:type="pct"/>
            <w:tcBorders>
              <w:tl2br w:val="nil"/>
              <w:tr2bl w:val="nil"/>
            </w:tcBorders>
            <w:shd w:val="clear" w:color="auto" w:fill="auto"/>
            <w:vAlign w:val="center"/>
          </w:tcPr>
          <w:p w14:paraId="2D5EE651">
            <w:pPr>
              <w:pStyle w:val="714"/>
              <w:rPr>
                <w:color w:val="auto"/>
              </w:rPr>
            </w:pPr>
            <w:r>
              <w:rPr>
                <w:rFonts w:hint="eastAsia"/>
                <w:color w:val="auto"/>
              </w:rPr>
              <w:t>m</w:t>
            </w:r>
          </w:p>
        </w:tc>
      </w:tr>
      <w:tr w14:paraId="59EC8F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2" w:type="pct"/>
            <w:tcBorders>
              <w:tl2br w:val="nil"/>
              <w:tr2bl w:val="nil"/>
            </w:tcBorders>
            <w:shd w:val="clear" w:color="auto" w:fill="auto"/>
            <w:vAlign w:val="center"/>
          </w:tcPr>
          <w:p w14:paraId="23333093">
            <w:pPr>
              <w:pStyle w:val="714"/>
              <w:rPr>
                <w:color w:val="auto"/>
              </w:rPr>
            </w:pPr>
            <w:r>
              <w:rPr>
                <w:rFonts w:hint="eastAsia"/>
                <w:color w:val="auto"/>
              </w:rPr>
              <w:t>4</w:t>
            </w:r>
          </w:p>
        </w:tc>
        <w:tc>
          <w:tcPr>
            <w:tcW w:w="491" w:type="pct"/>
            <w:tcBorders>
              <w:tl2br w:val="nil"/>
              <w:tr2bl w:val="nil"/>
            </w:tcBorders>
            <w:shd w:val="clear" w:color="auto" w:fill="auto"/>
            <w:vAlign w:val="center"/>
          </w:tcPr>
          <w:p w14:paraId="7DDB379D">
            <w:pPr>
              <w:pStyle w:val="714"/>
              <w:rPr>
                <w:color w:val="auto"/>
              </w:rPr>
            </w:pPr>
            <w:r>
              <w:rPr>
                <w:rFonts w:hint="eastAsia"/>
                <w:color w:val="auto"/>
              </w:rPr>
              <w:t>K</w:t>
            </w:r>
            <w:r>
              <w:rPr>
                <w:rFonts w:hint="eastAsia"/>
                <w:color w:val="auto"/>
                <w:vertAlign w:val="subscript"/>
              </w:rPr>
              <w:t>1</w:t>
            </w:r>
            <w:r>
              <w:rPr>
                <w:rFonts w:hint="eastAsia"/>
                <w:color w:val="auto"/>
              </w:rPr>
              <w:t>b</w:t>
            </w:r>
          </w:p>
        </w:tc>
        <w:tc>
          <w:tcPr>
            <w:tcW w:w="545" w:type="pct"/>
            <w:tcBorders>
              <w:tl2br w:val="nil"/>
              <w:tr2bl w:val="nil"/>
            </w:tcBorders>
            <w:shd w:val="clear" w:color="auto" w:fill="auto"/>
            <w:vAlign w:val="center"/>
          </w:tcPr>
          <w:p w14:paraId="5DF1756C">
            <w:pPr>
              <w:pStyle w:val="714"/>
              <w:rPr>
                <w:color w:val="auto"/>
              </w:rPr>
            </w:pPr>
            <w:r>
              <w:rPr>
                <w:rFonts w:hint="eastAsia"/>
                <w:color w:val="auto"/>
              </w:rPr>
              <w:t>25.87</w:t>
            </w:r>
          </w:p>
        </w:tc>
        <w:tc>
          <w:tcPr>
            <w:tcW w:w="726" w:type="pct"/>
            <w:tcBorders>
              <w:tl2br w:val="nil"/>
              <w:tr2bl w:val="nil"/>
            </w:tcBorders>
            <w:shd w:val="clear" w:color="auto" w:fill="auto"/>
            <w:vAlign w:val="center"/>
          </w:tcPr>
          <w:p w14:paraId="1332A5F3">
            <w:pPr>
              <w:pStyle w:val="714"/>
              <w:rPr>
                <w:color w:val="auto"/>
              </w:rPr>
            </w:pPr>
            <w:r>
              <w:rPr>
                <w:rFonts w:hint="eastAsia"/>
                <w:color w:val="auto"/>
              </w:rPr>
              <w:t>7.53</w:t>
            </w:r>
          </w:p>
        </w:tc>
        <w:tc>
          <w:tcPr>
            <w:tcW w:w="562" w:type="pct"/>
            <w:tcBorders>
              <w:tl2br w:val="nil"/>
              <w:tr2bl w:val="nil"/>
            </w:tcBorders>
            <w:shd w:val="clear" w:color="auto" w:fill="auto"/>
            <w:vAlign w:val="center"/>
          </w:tcPr>
          <w:p w14:paraId="19151C78">
            <w:pPr>
              <w:pStyle w:val="714"/>
              <w:rPr>
                <w:color w:val="auto"/>
              </w:rPr>
            </w:pPr>
            <w:r>
              <w:rPr>
                <w:rFonts w:hint="eastAsia"/>
                <w:color w:val="auto"/>
              </w:rPr>
              <w:t>7.6</w:t>
            </w:r>
          </w:p>
        </w:tc>
        <w:tc>
          <w:tcPr>
            <w:tcW w:w="404" w:type="pct"/>
            <w:tcBorders>
              <w:tl2br w:val="nil"/>
              <w:tr2bl w:val="nil"/>
            </w:tcBorders>
            <w:shd w:val="clear" w:color="auto" w:fill="auto"/>
            <w:vAlign w:val="center"/>
          </w:tcPr>
          <w:p w14:paraId="59F1DC1E">
            <w:pPr>
              <w:pStyle w:val="714"/>
              <w:rPr>
                <w:color w:val="auto"/>
              </w:rPr>
            </w:pPr>
            <w:r>
              <w:rPr>
                <w:rFonts w:hint="eastAsia"/>
                <w:color w:val="auto"/>
              </w:rPr>
              <w:t>5.618</w:t>
            </w:r>
          </w:p>
        </w:tc>
        <w:tc>
          <w:tcPr>
            <w:tcW w:w="465" w:type="pct"/>
            <w:tcBorders>
              <w:tl2br w:val="nil"/>
              <w:tr2bl w:val="nil"/>
            </w:tcBorders>
            <w:shd w:val="clear" w:color="auto" w:fill="auto"/>
            <w:vAlign w:val="center"/>
          </w:tcPr>
          <w:p w14:paraId="2E965167">
            <w:pPr>
              <w:pStyle w:val="714"/>
              <w:rPr>
                <w:color w:val="auto"/>
              </w:rPr>
            </w:pPr>
            <w:r>
              <w:rPr>
                <w:rFonts w:hint="eastAsia"/>
                <w:color w:val="auto"/>
              </w:rPr>
              <w:t>485.40</w:t>
            </w:r>
          </w:p>
        </w:tc>
        <w:tc>
          <w:tcPr>
            <w:tcW w:w="357" w:type="pct"/>
            <w:tcBorders>
              <w:tl2br w:val="nil"/>
              <w:tr2bl w:val="nil"/>
            </w:tcBorders>
            <w:shd w:val="clear" w:color="auto" w:fill="auto"/>
            <w:vAlign w:val="center"/>
          </w:tcPr>
          <w:p w14:paraId="57BDA27A">
            <w:pPr>
              <w:pStyle w:val="714"/>
              <w:rPr>
                <w:color w:val="auto"/>
              </w:rPr>
            </w:pPr>
            <w:r>
              <w:rPr>
                <w:rFonts w:hint="eastAsia"/>
                <w:color w:val="auto"/>
              </w:rPr>
              <w:t>1.34</w:t>
            </w:r>
          </w:p>
        </w:tc>
        <w:tc>
          <w:tcPr>
            <w:tcW w:w="582" w:type="pct"/>
            <w:tcBorders>
              <w:tl2br w:val="nil"/>
              <w:tr2bl w:val="nil"/>
            </w:tcBorders>
            <w:shd w:val="clear" w:color="auto" w:fill="auto"/>
            <w:vAlign w:val="center"/>
          </w:tcPr>
          <w:p w14:paraId="210EF5CB">
            <w:pPr>
              <w:pStyle w:val="714"/>
              <w:rPr>
                <w:color w:val="auto"/>
              </w:rPr>
            </w:pPr>
            <w:r>
              <w:rPr>
                <w:rFonts w:hint="eastAsia"/>
                <w:color w:val="auto"/>
              </w:rPr>
              <w:t>1.55E-03</w:t>
            </w:r>
          </w:p>
        </w:tc>
        <w:tc>
          <w:tcPr>
            <w:tcW w:w="513" w:type="pct"/>
            <w:tcBorders>
              <w:tl2br w:val="nil"/>
              <w:tr2bl w:val="nil"/>
            </w:tcBorders>
            <w:shd w:val="clear" w:color="auto" w:fill="auto"/>
            <w:vAlign w:val="center"/>
          </w:tcPr>
          <w:p w14:paraId="55F82D8F">
            <w:pPr>
              <w:pStyle w:val="714"/>
              <w:rPr>
                <w:color w:val="auto"/>
              </w:rPr>
            </w:pPr>
            <w:r>
              <w:rPr>
                <w:rFonts w:hint="eastAsia"/>
                <w:color w:val="auto"/>
              </w:rPr>
              <w:t>187</w:t>
            </w:r>
          </w:p>
        </w:tc>
      </w:tr>
      <w:tr w14:paraId="2AFB2F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2" w:type="pct"/>
            <w:tcBorders>
              <w:tl2br w:val="nil"/>
              <w:tr2bl w:val="nil"/>
            </w:tcBorders>
            <w:shd w:val="clear" w:color="auto" w:fill="auto"/>
            <w:noWrap/>
            <w:vAlign w:val="center"/>
          </w:tcPr>
          <w:p w14:paraId="633D28CE">
            <w:pPr>
              <w:pStyle w:val="714"/>
              <w:rPr>
                <w:color w:val="auto"/>
              </w:rPr>
            </w:pPr>
            <w:r>
              <w:rPr>
                <w:rFonts w:hint="eastAsia"/>
                <w:color w:val="auto"/>
              </w:rPr>
              <w:t>5</w:t>
            </w:r>
          </w:p>
        </w:tc>
        <w:tc>
          <w:tcPr>
            <w:tcW w:w="491" w:type="pct"/>
            <w:tcBorders>
              <w:tl2br w:val="nil"/>
              <w:tr2bl w:val="nil"/>
            </w:tcBorders>
            <w:shd w:val="clear" w:color="auto" w:fill="auto"/>
            <w:vAlign w:val="center"/>
          </w:tcPr>
          <w:p w14:paraId="3C534BEA">
            <w:pPr>
              <w:pStyle w:val="714"/>
              <w:rPr>
                <w:color w:val="auto"/>
              </w:rPr>
            </w:pPr>
            <w:r>
              <w:rPr>
                <w:rFonts w:hint="eastAsia"/>
                <w:color w:val="auto"/>
              </w:rPr>
              <w:t>K</w:t>
            </w:r>
            <w:r>
              <w:rPr>
                <w:rFonts w:hint="eastAsia"/>
                <w:color w:val="auto"/>
                <w:vertAlign w:val="subscript"/>
              </w:rPr>
              <w:t>1</w:t>
            </w:r>
            <w:r>
              <w:rPr>
                <w:rFonts w:hint="eastAsia"/>
                <w:color w:val="auto"/>
              </w:rPr>
              <w:t>b</w:t>
            </w:r>
          </w:p>
        </w:tc>
        <w:tc>
          <w:tcPr>
            <w:tcW w:w="545" w:type="pct"/>
            <w:tcBorders>
              <w:tl2br w:val="nil"/>
              <w:tr2bl w:val="nil"/>
            </w:tcBorders>
            <w:shd w:val="clear" w:color="auto" w:fill="auto"/>
            <w:vAlign w:val="center"/>
          </w:tcPr>
          <w:p w14:paraId="62942B1E">
            <w:pPr>
              <w:pStyle w:val="714"/>
              <w:rPr>
                <w:color w:val="auto"/>
              </w:rPr>
            </w:pPr>
            <w:r>
              <w:rPr>
                <w:rFonts w:hint="eastAsia"/>
                <w:color w:val="auto"/>
              </w:rPr>
              <w:t>50.4</w:t>
            </w:r>
          </w:p>
        </w:tc>
        <w:tc>
          <w:tcPr>
            <w:tcW w:w="726" w:type="pct"/>
            <w:tcBorders>
              <w:tl2br w:val="nil"/>
              <w:tr2bl w:val="nil"/>
            </w:tcBorders>
            <w:shd w:val="clear" w:color="auto" w:fill="auto"/>
            <w:vAlign w:val="center"/>
          </w:tcPr>
          <w:p w14:paraId="6947194E">
            <w:pPr>
              <w:pStyle w:val="714"/>
              <w:rPr>
                <w:color w:val="auto"/>
              </w:rPr>
            </w:pPr>
            <w:r>
              <w:rPr>
                <w:rFonts w:hint="eastAsia"/>
                <w:color w:val="auto"/>
              </w:rPr>
              <w:t>18.32</w:t>
            </w:r>
          </w:p>
        </w:tc>
        <w:tc>
          <w:tcPr>
            <w:tcW w:w="562" w:type="pct"/>
            <w:tcBorders>
              <w:tl2br w:val="nil"/>
              <w:tr2bl w:val="nil"/>
            </w:tcBorders>
            <w:shd w:val="clear" w:color="auto" w:fill="auto"/>
            <w:vAlign w:val="center"/>
          </w:tcPr>
          <w:p w14:paraId="67A2A564">
            <w:pPr>
              <w:pStyle w:val="714"/>
              <w:rPr>
                <w:color w:val="auto"/>
              </w:rPr>
            </w:pPr>
            <w:r>
              <w:rPr>
                <w:rFonts w:hint="eastAsia"/>
                <w:color w:val="auto"/>
              </w:rPr>
              <w:t>8.17</w:t>
            </w:r>
          </w:p>
        </w:tc>
        <w:tc>
          <w:tcPr>
            <w:tcW w:w="404" w:type="pct"/>
            <w:tcBorders>
              <w:tl2br w:val="nil"/>
              <w:tr2bl w:val="nil"/>
            </w:tcBorders>
            <w:shd w:val="clear" w:color="auto" w:fill="auto"/>
            <w:vAlign w:val="center"/>
          </w:tcPr>
          <w:p w14:paraId="65AFE849">
            <w:pPr>
              <w:pStyle w:val="714"/>
              <w:rPr>
                <w:color w:val="auto"/>
              </w:rPr>
            </w:pPr>
            <w:r>
              <w:rPr>
                <w:rFonts w:hint="eastAsia"/>
                <w:color w:val="auto"/>
              </w:rPr>
              <w:t>6.009</w:t>
            </w:r>
          </w:p>
        </w:tc>
        <w:tc>
          <w:tcPr>
            <w:tcW w:w="465" w:type="pct"/>
            <w:tcBorders>
              <w:tl2br w:val="nil"/>
              <w:tr2bl w:val="nil"/>
            </w:tcBorders>
            <w:shd w:val="clear" w:color="auto" w:fill="auto"/>
            <w:vAlign w:val="center"/>
          </w:tcPr>
          <w:p w14:paraId="286F1522">
            <w:pPr>
              <w:pStyle w:val="714"/>
              <w:rPr>
                <w:color w:val="auto"/>
              </w:rPr>
            </w:pPr>
            <w:r>
              <w:rPr>
                <w:rFonts w:hint="eastAsia"/>
                <w:color w:val="auto"/>
              </w:rPr>
              <w:t>519.2</w:t>
            </w:r>
          </w:p>
        </w:tc>
        <w:tc>
          <w:tcPr>
            <w:tcW w:w="357" w:type="pct"/>
            <w:tcBorders>
              <w:tl2br w:val="nil"/>
              <w:tr2bl w:val="nil"/>
            </w:tcBorders>
            <w:shd w:val="clear" w:color="auto" w:fill="auto"/>
            <w:vAlign w:val="center"/>
          </w:tcPr>
          <w:p w14:paraId="488A804F">
            <w:pPr>
              <w:pStyle w:val="714"/>
              <w:rPr>
                <w:color w:val="auto"/>
              </w:rPr>
            </w:pPr>
            <w:r>
              <w:rPr>
                <w:rFonts w:hint="eastAsia"/>
                <w:color w:val="auto"/>
              </w:rPr>
              <w:t>1.68</w:t>
            </w:r>
          </w:p>
        </w:tc>
        <w:tc>
          <w:tcPr>
            <w:tcW w:w="582" w:type="pct"/>
            <w:tcBorders>
              <w:tl2br w:val="nil"/>
              <w:tr2bl w:val="nil"/>
            </w:tcBorders>
            <w:shd w:val="clear" w:color="auto" w:fill="auto"/>
            <w:vAlign w:val="center"/>
          </w:tcPr>
          <w:p w14:paraId="04693111">
            <w:pPr>
              <w:pStyle w:val="714"/>
              <w:rPr>
                <w:color w:val="auto"/>
              </w:rPr>
            </w:pPr>
            <w:r>
              <w:rPr>
                <w:rFonts w:hint="eastAsia"/>
                <w:color w:val="auto"/>
              </w:rPr>
              <w:t>1.94E-03</w:t>
            </w:r>
          </w:p>
        </w:tc>
        <w:tc>
          <w:tcPr>
            <w:tcW w:w="513" w:type="pct"/>
            <w:tcBorders>
              <w:tl2br w:val="nil"/>
              <w:tr2bl w:val="nil"/>
            </w:tcBorders>
            <w:shd w:val="clear" w:color="auto" w:fill="auto"/>
            <w:vAlign w:val="center"/>
          </w:tcPr>
          <w:p w14:paraId="528C0EE6">
            <w:pPr>
              <w:pStyle w:val="714"/>
              <w:rPr>
                <w:color w:val="auto"/>
              </w:rPr>
            </w:pPr>
            <w:r>
              <w:rPr>
                <w:rFonts w:hint="eastAsia"/>
                <w:color w:val="auto"/>
              </w:rPr>
              <w:t>154</w:t>
            </w:r>
          </w:p>
        </w:tc>
      </w:tr>
      <w:tr w14:paraId="1054C7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2" w:type="pct"/>
            <w:tcBorders>
              <w:tl2br w:val="nil"/>
              <w:tr2bl w:val="nil"/>
            </w:tcBorders>
            <w:shd w:val="clear" w:color="auto" w:fill="auto"/>
            <w:vAlign w:val="center"/>
          </w:tcPr>
          <w:p w14:paraId="016258F3">
            <w:pPr>
              <w:pStyle w:val="714"/>
              <w:rPr>
                <w:color w:val="auto"/>
              </w:rPr>
            </w:pPr>
            <w:r>
              <w:rPr>
                <w:rFonts w:hint="eastAsia"/>
                <w:color w:val="auto"/>
              </w:rPr>
              <w:t>21</w:t>
            </w:r>
          </w:p>
        </w:tc>
        <w:tc>
          <w:tcPr>
            <w:tcW w:w="491" w:type="pct"/>
            <w:tcBorders>
              <w:tl2br w:val="nil"/>
              <w:tr2bl w:val="nil"/>
            </w:tcBorders>
            <w:shd w:val="clear" w:color="auto" w:fill="auto"/>
            <w:vAlign w:val="center"/>
          </w:tcPr>
          <w:p w14:paraId="34FB111C">
            <w:pPr>
              <w:pStyle w:val="714"/>
              <w:rPr>
                <w:color w:val="auto"/>
              </w:rPr>
            </w:pPr>
            <w:r>
              <w:rPr>
                <w:rFonts w:hint="eastAsia"/>
                <w:color w:val="auto"/>
              </w:rPr>
              <w:t>K</w:t>
            </w:r>
            <w:r>
              <w:rPr>
                <w:rFonts w:hint="eastAsia"/>
                <w:color w:val="auto"/>
                <w:vertAlign w:val="subscript"/>
              </w:rPr>
              <w:t>1</w:t>
            </w:r>
            <w:r>
              <w:rPr>
                <w:rFonts w:hint="eastAsia"/>
                <w:color w:val="auto"/>
              </w:rPr>
              <w:t>b</w:t>
            </w:r>
          </w:p>
        </w:tc>
        <w:tc>
          <w:tcPr>
            <w:tcW w:w="545" w:type="pct"/>
            <w:tcBorders>
              <w:tl2br w:val="nil"/>
              <w:tr2bl w:val="nil"/>
            </w:tcBorders>
            <w:shd w:val="clear" w:color="auto" w:fill="auto"/>
            <w:vAlign w:val="center"/>
          </w:tcPr>
          <w:p w14:paraId="1ECC26CF">
            <w:pPr>
              <w:pStyle w:val="714"/>
              <w:rPr>
                <w:color w:val="auto"/>
              </w:rPr>
            </w:pPr>
            <w:r>
              <w:rPr>
                <w:rFonts w:hint="eastAsia"/>
                <w:color w:val="auto"/>
              </w:rPr>
              <w:t>18.2</w:t>
            </w:r>
          </w:p>
        </w:tc>
        <w:tc>
          <w:tcPr>
            <w:tcW w:w="726" w:type="pct"/>
            <w:tcBorders>
              <w:tl2br w:val="nil"/>
              <w:tr2bl w:val="nil"/>
            </w:tcBorders>
            <w:shd w:val="clear" w:color="auto" w:fill="auto"/>
            <w:vAlign w:val="center"/>
          </w:tcPr>
          <w:p w14:paraId="18F984B1">
            <w:pPr>
              <w:pStyle w:val="714"/>
              <w:rPr>
                <w:color w:val="auto"/>
              </w:rPr>
            </w:pPr>
            <w:r>
              <w:rPr>
                <w:rFonts w:hint="eastAsia"/>
                <w:color w:val="auto"/>
              </w:rPr>
              <w:t>4.67</w:t>
            </w:r>
          </w:p>
        </w:tc>
        <w:tc>
          <w:tcPr>
            <w:tcW w:w="562" w:type="pct"/>
            <w:tcBorders>
              <w:tl2br w:val="nil"/>
              <w:tr2bl w:val="nil"/>
            </w:tcBorders>
            <w:shd w:val="clear" w:color="auto" w:fill="auto"/>
            <w:vAlign w:val="center"/>
          </w:tcPr>
          <w:p w14:paraId="37643FF3">
            <w:pPr>
              <w:pStyle w:val="714"/>
              <w:rPr>
                <w:color w:val="auto"/>
              </w:rPr>
            </w:pPr>
            <w:r>
              <w:rPr>
                <w:rFonts w:hint="eastAsia"/>
                <w:color w:val="auto"/>
              </w:rPr>
              <w:t>4.65</w:t>
            </w:r>
          </w:p>
        </w:tc>
        <w:tc>
          <w:tcPr>
            <w:tcW w:w="404" w:type="pct"/>
            <w:tcBorders>
              <w:tl2br w:val="nil"/>
              <w:tr2bl w:val="nil"/>
            </w:tcBorders>
            <w:shd w:val="clear" w:color="auto" w:fill="auto"/>
            <w:vAlign w:val="center"/>
          </w:tcPr>
          <w:p w14:paraId="1BF60D9B">
            <w:pPr>
              <w:pStyle w:val="714"/>
              <w:rPr>
                <w:color w:val="auto"/>
              </w:rPr>
            </w:pPr>
            <w:r>
              <w:rPr>
                <w:rFonts w:hint="eastAsia"/>
                <w:color w:val="auto"/>
              </w:rPr>
              <w:t>1.861</w:t>
            </w:r>
          </w:p>
        </w:tc>
        <w:tc>
          <w:tcPr>
            <w:tcW w:w="465" w:type="pct"/>
            <w:tcBorders>
              <w:tl2br w:val="nil"/>
              <w:tr2bl w:val="nil"/>
            </w:tcBorders>
            <w:shd w:val="clear" w:color="auto" w:fill="auto"/>
            <w:vAlign w:val="center"/>
          </w:tcPr>
          <w:p w14:paraId="4974B7A5">
            <w:pPr>
              <w:pStyle w:val="714"/>
              <w:rPr>
                <w:color w:val="auto"/>
              </w:rPr>
            </w:pPr>
            <w:r>
              <w:rPr>
                <w:rFonts w:hint="eastAsia"/>
                <w:color w:val="auto"/>
              </w:rPr>
              <w:t>160.79</w:t>
            </w:r>
          </w:p>
        </w:tc>
        <w:tc>
          <w:tcPr>
            <w:tcW w:w="357" w:type="pct"/>
            <w:tcBorders>
              <w:tl2br w:val="nil"/>
              <w:tr2bl w:val="nil"/>
            </w:tcBorders>
            <w:shd w:val="clear" w:color="auto" w:fill="auto"/>
            <w:vAlign w:val="center"/>
          </w:tcPr>
          <w:p w14:paraId="1DB60198">
            <w:pPr>
              <w:pStyle w:val="714"/>
              <w:rPr>
                <w:color w:val="auto"/>
              </w:rPr>
            </w:pPr>
            <w:r>
              <w:rPr>
                <w:rFonts w:hint="eastAsia"/>
                <w:color w:val="auto"/>
              </w:rPr>
              <w:t>2.21</w:t>
            </w:r>
          </w:p>
        </w:tc>
        <w:tc>
          <w:tcPr>
            <w:tcW w:w="582" w:type="pct"/>
            <w:tcBorders>
              <w:tl2br w:val="nil"/>
              <w:tr2bl w:val="nil"/>
            </w:tcBorders>
            <w:shd w:val="clear" w:color="auto" w:fill="auto"/>
            <w:vAlign w:val="center"/>
          </w:tcPr>
          <w:p w14:paraId="6A67F716">
            <w:pPr>
              <w:pStyle w:val="714"/>
              <w:rPr>
                <w:color w:val="auto"/>
              </w:rPr>
            </w:pPr>
            <w:r>
              <w:rPr>
                <w:rFonts w:hint="eastAsia"/>
                <w:color w:val="auto"/>
              </w:rPr>
              <w:t>2.56E-03</w:t>
            </w:r>
          </w:p>
        </w:tc>
        <w:tc>
          <w:tcPr>
            <w:tcW w:w="513" w:type="pct"/>
            <w:tcBorders>
              <w:tl2br w:val="nil"/>
              <w:tr2bl w:val="nil"/>
            </w:tcBorders>
            <w:shd w:val="clear" w:color="auto" w:fill="auto"/>
            <w:vAlign w:val="center"/>
          </w:tcPr>
          <w:p w14:paraId="317F0326">
            <w:pPr>
              <w:pStyle w:val="714"/>
              <w:rPr>
                <w:color w:val="auto"/>
              </w:rPr>
            </w:pPr>
            <w:r>
              <w:rPr>
                <w:rFonts w:hint="eastAsia"/>
                <w:color w:val="auto"/>
              </w:rPr>
              <w:t>59</w:t>
            </w:r>
          </w:p>
        </w:tc>
      </w:tr>
    </w:tbl>
    <w:p w14:paraId="5D6BAE87">
      <w:pPr>
        <w:pStyle w:val="700"/>
        <w:rPr>
          <w:b/>
          <w:bCs/>
          <w:color w:val="auto"/>
          <w:sz w:val="21"/>
          <w:szCs w:val="21"/>
        </w:rPr>
      </w:pPr>
      <w:r>
        <w:rPr>
          <w:b/>
          <w:bCs/>
          <w:color w:val="auto"/>
          <w:sz w:val="21"/>
          <w:szCs w:val="21"/>
        </w:rPr>
        <w:t>注：数据参考自</w:t>
      </w:r>
      <w:r>
        <w:rPr>
          <w:rFonts w:hint="eastAsia"/>
          <w:b/>
          <w:bCs/>
          <w:color w:val="auto"/>
          <w:sz w:val="21"/>
          <w:szCs w:val="21"/>
        </w:rPr>
        <w:t>《1:20万仪陇幅区域水文地质普查报告》</w:t>
      </w:r>
      <w:r>
        <w:rPr>
          <w:b/>
          <w:bCs/>
          <w:color w:val="auto"/>
          <w:sz w:val="21"/>
          <w:szCs w:val="21"/>
        </w:rPr>
        <w:t>。</w:t>
      </w:r>
    </w:p>
    <w:p w14:paraId="77018CDC">
      <w:pPr>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auto"/>
        </w:rPr>
      </w:pPr>
      <w:r>
        <w:rPr>
          <w:rFonts w:hint="default" w:ascii="Times New Roman" w:hAnsi="Times New Roman" w:cs="Times New Roman"/>
          <w:color w:val="auto"/>
        </w:rPr>
        <w:t>根据表</w:t>
      </w:r>
      <w:r>
        <w:rPr>
          <w:rFonts w:hint="eastAsia" w:ascii="Times New Roman" w:hAnsi="Times New Roman" w:cs="Times New Roman"/>
          <w:color w:val="auto"/>
          <w:lang w:val="en-US" w:eastAsia="zh-CN"/>
        </w:rPr>
        <w:t>4.2-62</w:t>
      </w:r>
      <w:r>
        <w:rPr>
          <w:rFonts w:hint="default" w:ascii="Times New Roman" w:hAnsi="Times New Roman" w:cs="Times New Roman"/>
          <w:color w:val="auto"/>
        </w:rPr>
        <w:t>，评价区内主要地层第四系全新统（Q</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al</w:t>
      </w:r>
      <w:r>
        <w:rPr>
          <w:rFonts w:hint="default" w:ascii="Times New Roman" w:hAnsi="Times New Roman" w:cs="Times New Roman"/>
          <w:color w:val="auto"/>
        </w:rPr>
        <w:t>）及上更新统（Q</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al</w:t>
      </w:r>
      <w:r>
        <w:rPr>
          <w:rFonts w:hint="default" w:ascii="Times New Roman" w:hAnsi="Times New Roman" w:cs="Times New Roman"/>
          <w:color w:val="auto"/>
        </w:rPr>
        <w:t>）冲积层渗透系数为4.17～9.00 m/d（4.83×10</w:t>
      </w:r>
      <w:r>
        <w:rPr>
          <w:rFonts w:hint="default" w:ascii="Times New Roman" w:hAnsi="Times New Roman" w:cs="Times New Roman"/>
          <w:color w:val="auto"/>
          <w:vertAlign w:val="superscript"/>
        </w:rPr>
        <w:t>-3</w:t>
      </w:r>
      <w:r>
        <w:rPr>
          <w:rFonts w:hint="default" w:ascii="Times New Roman" w:hAnsi="Times New Roman" w:cs="Times New Roman"/>
          <w:color w:val="auto"/>
        </w:rPr>
        <w:t>～1.05×10</w:t>
      </w:r>
      <w:r>
        <w:rPr>
          <w:rFonts w:hint="default" w:ascii="Times New Roman" w:hAnsi="Times New Roman" w:cs="Times New Roman"/>
          <w:color w:val="auto"/>
          <w:vertAlign w:val="superscript"/>
        </w:rPr>
        <w:t>-2</w:t>
      </w:r>
      <w:r>
        <w:rPr>
          <w:rFonts w:hint="default" w:ascii="Times New Roman" w:hAnsi="Times New Roman" w:cs="Times New Roman"/>
          <w:color w:val="auto"/>
        </w:rPr>
        <w:t xml:space="preserve"> cm/s）；根据表6.3-3，白垩系白龙组（K</w:t>
      </w:r>
      <w:r>
        <w:rPr>
          <w:rFonts w:hint="default" w:ascii="Times New Roman" w:hAnsi="Times New Roman" w:cs="Times New Roman"/>
          <w:color w:val="auto"/>
          <w:vertAlign w:val="subscript"/>
        </w:rPr>
        <w:t>1</w:t>
      </w:r>
      <w:r>
        <w:rPr>
          <w:rFonts w:hint="default" w:ascii="Times New Roman" w:hAnsi="Times New Roman" w:cs="Times New Roman"/>
          <w:color w:val="auto"/>
        </w:rPr>
        <w:t>b）含水层渗透系数为1.34～2.21m/d（1.55×10</w:t>
      </w:r>
      <w:r>
        <w:rPr>
          <w:rFonts w:hint="default" w:ascii="Times New Roman" w:hAnsi="Times New Roman" w:cs="Times New Roman"/>
          <w:color w:val="auto"/>
          <w:vertAlign w:val="superscript"/>
        </w:rPr>
        <w:t>-3</w:t>
      </w:r>
      <w:r>
        <w:rPr>
          <w:rFonts w:hint="default" w:ascii="Times New Roman" w:hAnsi="Times New Roman" w:cs="Times New Roman"/>
          <w:color w:val="auto"/>
        </w:rPr>
        <w:t>～2.56×10</w:t>
      </w:r>
      <w:r>
        <w:rPr>
          <w:rFonts w:hint="default" w:ascii="Times New Roman" w:hAnsi="Times New Roman" w:cs="Times New Roman"/>
          <w:color w:val="auto"/>
          <w:vertAlign w:val="superscript"/>
        </w:rPr>
        <w:t>-3</w:t>
      </w:r>
      <w:r>
        <w:rPr>
          <w:rFonts w:hint="default" w:ascii="Times New Roman" w:hAnsi="Times New Roman" w:cs="Times New Roman"/>
          <w:color w:val="auto"/>
        </w:rPr>
        <w:t>cm/s）。上述数据说明评价区松散岩类孔隙水含水层及白垩系白龙组含水层渗透系数均较大，属于中等透水岩组。</w:t>
      </w:r>
    </w:p>
    <w:p w14:paraId="137445A2">
      <w:pPr>
        <w:ind w:firstLine="480"/>
        <w:rPr>
          <w:rFonts w:hint="default" w:ascii="Times New Roman" w:hAnsi="Times New Roman" w:cs="Times New Roman"/>
          <w:color w:val="auto"/>
        </w:rPr>
      </w:pPr>
      <w:r>
        <w:rPr>
          <w:rFonts w:hint="default" w:ascii="Times New Roman" w:hAnsi="Times New Roman" w:cs="Times New Roman"/>
          <w:color w:val="auto"/>
        </w:rPr>
        <w:t>2）渗水试验</w:t>
      </w:r>
    </w:p>
    <w:p w14:paraId="1023E18F">
      <w:pPr>
        <w:ind w:firstLine="480"/>
        <w:rPr>
          <w:rFonts w:hint="default" w:ascii="Times New Roman" w:hAnsi="Times New Roman" w:cs="Times New Roman"/>
          <w:color w:val="auto"/>
        </w:rPr>
      </w:pPr>
      <w:r>
        <w:rPr>
          <w:rFonts w:hint="default" w:ascii="Times New Roman" w:hAnsi="Times New Roman" w:cs="Times New Roman"/>
          <w:color w:val="auto"/>
        </w:rPr>
        <w:t>本项目现场选取2处试验点，使用双环法进行试坑渗水试验。采用下式计算包气带渗透系数：</w:t>
      </w:r>
    </w:p>
    <w:p w14:paraId="081ABE9A">
      <w:pPr>
        <w:widowControl/>
        <w:ind w:firstLine="480"/>
        <w:jc w:val="center"/>
        <w:rPr>
          <w:rFonts w:hint="default" w:ascii="Times New Roman" w:hAnsi="Times New Roman" w:cs="Times New Roman"/>
          <w:color w:val="auto"/>
          <w:kern w:val="0"/>
          <w:szCs w:val="21"/>
        </w:rPr>
      </w:pPr>
      <m:oMathPara>
        <m:oMath>
          <m:r>
            <m:rPr/>
            <w:rPr>
              <w:rFonts w:hint="default" w:ascii="Cambria Math" w:hAnsi="Cambria Math" w:eastAsia="Cambria Math" w:cs="Times New Roman"/>
              <w:color w:val="auto"/>
              <w:kern w:val="0"/>
              <w:szCs w:val="21"/>
            </w:rPr>
            <m:t>K</m:t>
          </m:r>
          <m:r>
            <m:rPr>
              <m:sty m:val="p"/>
            </m:rPr>
            <w:rPr>
              <w:rFonts w:hint="default" w:ascii="Cambria Math" w:hAnsi="Cambria Math" w:eastAsia="Cambria Math" w:cs="Times New Roman"/>
              <w:color w:val="auto"/>
              <w:kern w:val="0"/>
              <w:szCs w:val="21"/>
            </w:rPr>
            <m:t>=</m:t>
          </m:r>
          <m:f>
            <m:fPr>
              <m:ctrlPr>
                <w:rPr>
                  <w:rFonts w:hint="default" w:ascii="Cambria Math" w:hAnsi="Cambria Math" w:eastAsia="Cambria Math" w:cs="Times New Roman"/>
                  <w:color w:val="auto"/>
                  <w:kern w:val="0"/>
                  <w:szCs w:val="21"/>
                </w:rPr>
              </m:ctrlPr>
            </m:fPr>
            <m:num>
              <m:r>
                <m:rPr>
                  <m:sty m:val="p"/>
                </m:rPr>
                <w:rPr>
                  <w:rFonts w:hint="default" w:ascii="Cambria Math" w:hAnsi="Cambria Math" w:eastAsia="Cambria Math" w:cs="Times New Roman"/>
                  <w:color w:val="auto"/>
                  <w:kern w:val="0"/>
                  <w:szCs w:val="21"/>
                </w:rPr>
                <m:t>16.67QZ</m:t>
              </m:r>
              <m:ctrlPr>
                <w:rPr>
                  <w:rFonts w:hint="default" w:ascii="Cambria Math" w:hAnsi="Cambria Math" w:eastAsia="Cambria Math" w:cs="Times New Roman"/>
                  <w:color w:val="auto"/>
                  <w:kern w:val="0"/>
                  <w:szCs w:val="21"/>
                </w:rPr>
              </m:ctrlPr>
            </m:num>
            <m:den>
              <m:r>
                <m:rPr>
                  <m:sty m:val="p"/>
                </m:rPr>
                <w:rPr>
                  <w:rFonts w:hint="default" w:ascii="Cambria Math" w:hAnsi="Cambria Math" w:eastAsia="Cambria Math" w:cs="Times New Roman"/>
                  <w:color w:val="auto"/>
                  <w:kern w:val="0"/>
                  <w:szCs w:val="21"/>
                </w:rPr>
                <m:t>F</m:t>
              </m:r>
              <m:r>
                <m:rPr>
                  <m:sty m:val="p"/>
                </m:rPr>
                <w:rPr>
                  <w:rFonts w:hint="default" w:ascii="Cambria Math" w:hAnsi="Cambria Math" w:cs="Times New Roman"/>
                  <w:color w:val="auto"/>
                  <w:kern w:val="0"/>
                  <w:szCs w:val="21"/>
                </w:rPr>
                <m:t>（H+Z+0.5</m:t>
              </m:r>
              <m:sSub>
                <m:sSubPr>
                  <m:ctrlPr>
                    <w:rPr>
                      <w:rFonts w:hint="default" w:ascii="Cambria Math" w:hAnsi="Cambria Math" w:cs="Times New Roman"/>
                      <w:color w:val="auto"/>
                      <w:kern w:val="0"/>
                      <w:szCs w:val="21"/>
                    </w:rPr>
                  </m:ctrlPr>
                </m:sSubPr>
                <m:e>
                  <m:r>
                    <m:rPr/>
                    <w:rPr>
                      <w:rFonts w:hint="default" w:ascii="Cambria Math" w:hAnsi="Cambria Math" w:cs="Times New Roman"/>
                      <w:color w:val="auto"/>
                      <w:kern w:val="0"/>
                      <w:szCs w:val="21"/>
                    </w:rPr>
                    <m:t>H</m:t>
                  </m:r>
                  <m:ctrlPr>
                    <w:rPr>
                      <w:rFonts w:hint="default" w:ascii="Cambria Math" w:hAnsi="Cambria Math" w:cs="Times New Roman"/>
                      <w:color w:val="auto"/>
                      <w:kern w:val="0"/>
                      <w:szCs w:val="21"/>
                    </w:rPr>
                  </m:ctrlPr>
                </m:e>
                <m:sub>
                  <m:r>
                    <m:rPr/>
                    <w:rPr>
                      <w:rFonts w:hint="default" w:ascii="Cambria Math" w:hAnsi="Cambria Math" w:cs="Times New Roman"/>
                      <w:color w:val="auto"/>
                      <w:kern w:val="0"/>
                      <w:szCs w:val="21"/>
                    </w:rPr>
                    <m:t>a</m:t>
                  </m:r>
                  <m:ctrlPr>
                    <w:rPr>
                      <w:rFonts w:hint="default" w:ascii="Cambria Math" w:hAnsi="Cambria Math" w:cs="Times New Roman"/>
                      <w:color w:val="auto"/>
                      <w:kern w:val="0"/>
                      <w:szCs w:val="21"/>
                    </w:rPr>
                  </m:ctrlPr>
                </m:sub>
              </m:sSub>
              <m:r>
                <m:rPr>
                  <m:sty m:val="p"/>
                </m:rPr>
                <w:rPr>
                  <w:rFonts w:hint="default" w:ascii="Cambria Math" w:hAnsi="Cambria Math" w:cs="Times New Roman"/>
                  <w:color w:val="auto"/>
                  <w:kern w:val="0"/>
                  <w:szCs w:val="21"/>
                </w:rPr>
                <m:t>）</m:t>
              </m:r>
              <m:ctrlPr>
                <w:rPr>
                  <w:rFonts w:hint="default" w:ascii="Cambria Math" w:hAnsi="Cambria Math" w:eastAsia="Cambria Math" w:cs="Times New Roman"/>
                  <w:color w:val="auto"/>
                  <w:kern w:val="0"/>
                  <w:szCs w:val="21"/>
                </w:rPr>
              </m:ctrlPr>
            </m:den>
          </m:f>
        </m:oMath>
      </m:oMathPara>
    </w:p>
    <w:p w14:paraId="050ED2E5">
      <w:pPr>
        <w:widowControl/>
        <w:ind w:firstLine="48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式中：K—渗透系数（cm/s）；</w:t>
      </w:r>
    </w:p>
    <w:p w14:paraId="24BD5078">
      <w:pPr>
        <w:widowControl/>
        <w:ind w:firstLine="720" w:firstLineChars="3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Q—内环的注入流量（L/min）；</w:t>
      </w:r>
    </w:p>
    <w:p w14:paraId="0DC4C4B1">
      <w:pPr>
        <w:widowControl/>
        <w:ind w:firstLine="720" w:firstLineChars="3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F—内环的底面积（cm</w:t>
      </w:r>
      <w:r>
        <w:rPr>
          <w:rFonts w:hint="default" w:ascii="Times New Roman" w:hAnsi="Times New Roman" w:cs="Times New Roman"/>
          <w:color w:val="auto"/>
          <w:kern w:val="0"/>
          <w:szCs w:val="21"/>
          <w:vertAlign w:val="superscript"/>
        </w:rPr>
        <w:t>2</w:t>
      </w:r>
      <w:r>
        <w:rPr>
          <w:rFonts w:hint="default" w:ascii="Times New Roman" w:hAnsi="Times New Roman" w:cs="Times New Roman"/>
          <w:color w:val="auto"/>
          <w:kern w:val="0"/>
          <w:szCs w:val="21"/>
        </w:rPr>
        <w:t>），本次取314 cm</w:t>
      </w:r>
      <w:r>
        <w:rPr>
          <w:rFonts w:hint="default" w:ascii="Times New Roman" w:hAnsi="Times New Roman" w:cs="Times New Roman"/>
          <w:color w:val="auto"/>
          <w:kern w:val="0"/>
          <w:szCs w:val="21"/>
          <w:vertAlign w:val="superscript"/>
        </w:rPr>
        <w:t>2</w:t>
      </w:r>
      <w:r>
        <w:rPr>
          <w:rFonts w:hint="default" w:ascii="Times New Roman" w:hAnsi="Times New Roman" w:cs="Times New Roman"/>
          <w:color w:val="auto"/>
          <w:kern w:val="0"/>
          <w:szCs w:val="21"/>
        </w:rPr>
        <w:t>；</w:t>
      </w:r>
    </w:p>
    <w:p w14:paraId="50BA7D83">
      <w:pPr>
        <w:widowControl/>
        <w:ind w:firstLine="720" w:firstLineChars="3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H—试验水头（cm），本次取10 cm；</w:t>
      </w:r>
    </w:p>
    <w:p w14:paraId="1D6DE1CF">
      <w:pPr>
        <w:widowControl/>
        <w:ind w:firstLine="720" w:firstLineChars="30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Z—下渗深度（cm）；</w:t>
      </w:r>
    </w:p>
    <w:p w14:paraId="7682D7F5">
      <w:pPr>
        <w:ind w:firstLine="679" w:firstLineChars="283"/>
        <w:rPr>
          <w:rFonts w:hint="default" w:ascii="Times New Roman" w:hAnsi="Times New Roman" w:cs="Times New Roman"/>
          <w:color w:val="auto"/>
        </w:rPr>
      </w:pPr>
      <w:r>
        <w:rPr>
          <w:rFonts w:hint="default" w:ascii="Times New Roman" w:hAnsi="Times New Roman" w:cs="Times New Roman"/>
          <w:color w:val="auto"/>
          <w:kern w:val="0"/>
          <w:szCs w:val="21"/>
        </w:rPr>
        <w:t>Ha—试验土层的毛细上升高度（cm），本次取270 cm。</w:t>
      </w:r>
    </w:p>
    <w:p w14:paraId="14A3BEE1">
      <w:pPr>
        <w:ind w:firstLine="480"/>
        <w:rPr>
          <w:rFonts w:hint="default" w:ascii="Times New Roman" w:hAnsi="Times New Roman" w:cs="Times New Roman"/>
          <w:color w:val="auto"/>
        </w:rPr>
      </w:pPr>
      <w:r>
        <w:rPr>
          <w:rFonts w:hint="default" w:ascii="Times New Roman" w:hAnsi="Times New Roman" w:cs="Times New Roman"/>
          <w:color w:val="auto"/>
        </w:rPr>
        <w:t>工作区包气带粉质粘土渗水试验结果见</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REF _Ref517300439 \h  \* MERGEFORMAT </w:instrText>
      </w:r>
      <w:r>
        <w:rPr>
          <w:rFonts w:hint="default" w:ascii="Times New Roman" w:hAnsi="Times New Roman" w:cs="Times New Roman"/>
          <w:color w:val="auto"/>
        </w:rPr>
        <w:fldChar w:fldCharType="separate"/>
      </w:r>
      <w:r>
        <w:rPr>
          <w:rFonts w:hint="default" w:ascii="Times New Roman" w:hAnsi="Times New Roman" w:cs="Times New Roman"/>
          <w:color w:val="auto"/>
        </w:rPr>
        <w:t>表6</w:t>
      </w:r>
      <w:r>
        <w:rPr>
          <w:rFonts w:hint="default" w:ascii="Times New Roman" w:hAnsi="Times New Roman" w:cs="Times New Roman"/>
          <w:color w:val="auto"/>
        </w:rPr>
        <w:fldChar w:fldCharType="end"/>
      </w:r>
      <w:r>
        <w:rPr>
          <w:rFonts w:hint="default" w:ascii="Times New Roman" w:hAnsi="Times New Roman" w:cs="Times New Roman"/>
          <w:color w:val="auto"/>
        </w:rPr>
        <w:t>.3-4。通过现场2处双环渗水试验，项目区内粉质粘土层的渗透系数为0.135～0.161 m/d（1.56×10</w:t>
      </w:r>
      <w:r>
        <w:rPr>
          <w:rFonts w:hint="default" w:ascii="Times New Roman" w:hAnsi="Times New Roman" w:cs="Times New Roman"/>
          <w:color w:val="auto"/>
          <w:vertAlign w:val="superscript"/>
        </w:rPr>
        <w:t>-4</w:t>
      </w:r>
      <w:r>
        <w:rPr>
          <w:rFonts w:hint="default" w:ascii="Times New Roman" w:hAnsi="Times New Roman" w:cs="Times New Roman"/>
          <w:color w:val="auto"/>
        </w:rPr>
        <w:t>～1.86×10</w:t>
      </w:r>
      <w:r>
        <w:rPr>
          <w:rFonts w:hint="default" w:ascii="Times New Roman" w:hAnsi="Times New Roman" w:cs="Times New Roman"/>
          <w:color w:val="auto"/>
          <w:vertAlign w:val="superscript"/>
        </w:rPr>
        <w:t>-4</w:t>
      </w:r>
      <w:r>
        <w:rPr>
          <w:rFonts w:hint="default" w:ascii="Times New Roman" w:hAnsi="Times New Roman" w:cs="Times New Roman"/>
          <w:color w:val="auto"/>
        </w:rPr>
        <w:t>cm/s），渗透性等级为弱透水。</w:t>
      </w:r>
    </w:p>
    <w:p w14:paraId="68DE6E5D">
      <w:pPr>
        <w:pStyle w:val="19"/>
        <w:keepNext w:val="0"/>
        <w:keepLines w:val="0"/>
        <w:pageBreakBefore w:val="0"/>
        <w:widowControl w:val="0"/>
        <w:numPr>
          <w:ilvl w:val="0"/>
          <w:numId w:val="31"/>
        </w:numPr>
        <w:kinsoku/>
        <w:wordWrap/>
        <w:overflowPunct/>
        <w:topLinePunct w:val="0"/>
        <w:autoSpaceDE/>
        <w:autoSpaceDN/>
        <w:bidi w:val="0"/>
        <w:adjustRightInd/>
        <w:snapToGrid/>
        <w:ind w:left="0" w:leftChars="0" w:firstLine="0" w:firstLineChars="0"/>
        <w:textAlignment w:val="auto"/>
        <w:rPr>
          <w:rFonts w:cs="Times New Roman"/>
          <w:color w:val="auto"/>
        </w:rPr>
      </w:pPr>
      <w:r>
        <w:rPr>
          <w:rFonts w:cs="Times New Roman"/>
          <w:color w:val="auto"/>
        </w:rPr>
        <w:t>双环渗水试验成果表</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93"/>
        <w:gridCol w:w="1197"/>
        <w:gridCol w:w="1304"/>
        <w:gridCol w:w="1157"/>
        <w:gridCol w:w="1555"/>
        <w:gridCol w:w="859"/>
        <w:gridCol w:w="790"/>
        <w:gridCol w:w="960"/>
      </w:tblGrid>
      <w:tr w14:paraId="399592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2" w:type="pct"/>
            <w:tcBorders>
              <w:tl2br w:val="nil"/>
              <w:tr2bl w:val="nil"/>
            </w:tcBorders>
            <w:shd w:val="clear" w:color="auto" w:fill="auto"/>
            <w:noWrap/>
            <w:tcMar>
              <w:left w:w="57" w:type="dxa"/>
              <w:right w:w="57" w:type="dxa"/>
            </w:tcMar>
            <w:vAlign w:val="center"/>
          </w:tcPr>
          <w:p w14:paraId="2AA7FC70">
            <w:pPr>
              <w:pStyle w:val="714"/>
              <w:rPr>
                <w:b/>
                <w:bCs/>
                <w:color w:val="auto"/>
              </w:rPr>
            </w:pPr>
            <w:r>
              <w:rPr>
                <w:rFonts w:hint="eastAsia"/>
                <w:b/>
                <w:bCs/>
                <w:color w:val="auto"/>
              </w:rPr>
              <w:t>编号</w:t>
            </w:r>
          </w:p>
        </w:tc>
        <w:tc>
          <w:tcPr>
            <w:tcW w:w="711" w:type="pct"/>
            <w:tcBorders>
              <w:tl2br w:val="nil"/>
              <w:tr2bl w:val="nil"/>
            </w:tcBorders>
            <w:shd w:val="clear" w:color="auto" w:fill="auto"/>
            <w:noWrap/>
            <w:tcMar>
              <w:left w:w="57" w:type="dxa"/>
              <w:right w:w="57" w:type="dxa"/>
            </w:tcMar>
            <w:vAlign w:val="center"/>
          </w:tcPr>
          <w:p w14:paraId="098C0E50">
            <w:pPr>
              <w:pStyle w:val="714"/>
              <w:rPr>
                <w:b/>
                <w:bCs/>
                <w:color w:val="auto"/>
              </w:rPr>
            </w:pPr>
            <w:r>
              <w:rPr>
                <w:rFonts w:hint="eastAsia"/>
                <w:b/>
                <w:bCs/>
                <w:color w:val="auto"/>
              </w:rPr>
              <w:t>岩性特征</w:t>
            </w:r>
          </w:p>
        </w:tc>
        <w:tc>
          <w:tcPr>
            <w:tcW w:w="774" w:type="pct"/>
            <w:tcBorders>
              <w:tl2br w:val="nil"/>
              <w:tr2bl w:val="nil"/>
            </w:tcBorders>
            <w:shd w:val="clear" w:color="auto" w:fill="auto"/>
            <w:noWrap/>
            <w:tcMar>
              <w:left w:w="57" w:type="dxa"/>
              <w:right w:w="57" w:type="dxa"/>
            </w:tcMar>
            <w:vAlign w:val="center"/>
          </w:tcPr>
          <w:p w14:paraId="5D0DBA53">
            <w:pPr>
              <w:pStyle w:val="714"/>
              <w:rPr>
                <w:b/>
                <w:bCs/>
                <w:color w:val="auto"/>
              </w:rPr>
            </w:pPr>
            <w:r>
              <w:rPr>
                <w:rFonts w:hint="eastAsia"/>
                <w:b/>
                <w:bCs/>
                <w:color w:val="auto"/>
              </w:rPr>
              <w:t>稳定流量（L/min）</w:t>
            </w:r>
          </w:p>
        </w:tc>
        <w:tc>
          <w:tcPr>
            <w:tcW w:w="687" w:type="pct"/>
            <w:tcBorders>
              <w:tl2br w:val="nil"/>
              <w:tr2bl w:val="nil"/>
            </w:tcBorders>
            <w:shd w:val="clear" w:color="auto" w:fill="auto"/>
            <w:tcMar>
              <w:left w:w="57" w:type="dxa"/>
              <w:right w:w="57" w:type="dxa"/>
            </w:tcMar>
            <w:vAlign w:val="center"/>
          </w:tcPr>
          <w:p w14:paraId="72B1E2E2">
            <w:pPr>
              <w:pStyle w:val="714"/>
              <w:rPr>
                <w:b/>
                <w:bCs/>
                <w:color w:val="auto"/>
              </w:rPr>
            </w:pPr>
            <w:r>
              <w:rPr>
                <w:rFonts w:hint="eastAsia"/>
                <w:b/>
                <w:bCs/>
                <w:color w:val="auto"/>
              </w:rPr>
              <w:t>H试验水头（cm）</w:t>
            </w:r>
          </w:p>
        </w:tc>
        <w:tc>
          <w:tcPr>
            <w:tcW w:w="923" w:type="pct"/>
            <w:tcBorders>
              <w:tl2br w:val="nil"/>
              <w:tr2bl w:val="nil"/>
            </w:tcBorders>
            <w:shd w:val="clear" w:color="auto" w:fill="auto"/>
            <w:tcMar>
              <w:left w:w="57" w:type="dxa"/>
              <w:right w:w="57" w:type="dxa"/>
            </w:tcMar>
            <w:vAlign w:val="center"/>
          </w:tcPr>
          <w:p w14:paraId="2D59E50C">
            <w:pPr>
              <w:pStyle w:val="714"/>
              <w:rPr>
                <w:b/>
                <w:bCs/>
                <w:color w:val="auto"/>
              </w:rPr>
            </w:pPr>
            <w:r>
              <w:rPr>
                <w:rFonts w:hint="eastAsia"/>
                <w:b/>
                <w:bCs/>
                <w:color w:val="auto"/>
              </w:rPr>
              <w:t>Ha毛细上升高度（cm）150-400</w:t>
            </w:r>
          </w:p>
        </w:tc>
        <w:tc>
          <w:tcPr>
            <w:tcW w:w="510" w:type="pct"/>
            <w:tcBorders>
              <w:tl2br w:val="nil"/>
              <w:tr2bl w:val="nil"/>
            </w:tcBorders>
            <w:shd w:val="clear" w:color="auto" w:fill="auto"/>
            <w:tcMar>
              <w:left w:w="57" w:type="dxa"/>
              <w:right w:w="57" w:type="dxa"/>
            </w:tcMar>
            <w:vAlign w:val="center"/>
          </w:tcPr>
          <w:p w14:paraId="3173011A">
            <w:pPr>
              <w:pStyle w:val="714"/>
              <w:rPr>
                <w:b/>
                <w:bCs/>
                <w:color w:val="auto"/>
              </w:rPr>
            </w:pPr>
            <w:r>
              <w:rPr>
                <w:rFonts w:hint="eastAsia"/>
                <w:b/>
                <w:bCs/>
                <w:color w:val="auto"/>
              </w:rPr>
              <w:t>F</w:t>
            </w:r>
          </w:p>
          <w:p w14:paraId="6CB4DB64">
            <w:pPr>
              <w:pStyle w:val="714"/>
              <w:rPr>
                <w:b/>
                <w:bCs/>
                <w:color w:val="auto"/>
              </w:rPr>
            </w:pPr>
            <w:r>
              <w:rPr>
                <w:rFonts w:hint="eastAsia"/>
                <w:b/>
                <w:bCs/>
                <w:color w:val="auto"/>
              </w:rPr>
              <w:t>（cm</w:t>
            </w:r>
            <w:r>
              <w:rPr>
                <w:rFonts w:hint="eastAsia"/>
                <w:b/>
                <w:bCs/>
                <w:color w:val="auto"/>
                <w:vertAlign w:val="superscript"/>
              </w:rPr>
              <w:t>2</w:t>
            </w:r>
            <w:r>
              <w:rPr>
                <w:rFonts w:hint="eastAsia"/>
                <w:b/>
                <w:bCs/>
                <w:color w:val="auto"/>
              </w:rPr>
              <w:t>）</w:t>
            </w:r>
          </w:p>
        </w:tc>
        <w:tc>
          <w:tcPr>
            <w:tcW w:w="469" w:type="pct"/>
            <w:tcBorders>
              <w:tl2br w:val="nil"/>
              <w:tr2bl w:val="nil"/>
            </w:tcBorders>
            <w:shd w:val="clear" w:color="auto" w:fill="auto"/>
            <w:tcMar>
              <w:left w:w="57" w:type="dxa"/>
              <w:right w:w="57" w:type="dxa"/>
            </w:tcMar>
            <w:vAlign w:val="center"/>
          </w:tcPr>
          <w:p w14:paraId="22081317">
            <w:pPr>
              <w:pStyle w:val="714"/>
              <w:rPr>
                <w:b/>
                <w:bCs/>
                <w:color w:val="auto"/>
              </w:rPr>
            </w:pPr>
            <w:r>
              <w:rPr>
                <w:rFonts w:hint="eastAsia"/>
                <w:b/>
                <w:bCs/>
                <w:color w:val="auto"/>
              </w:rPr>
              <w:t>Z</w:t>
            </w:r>
          </w:p>
          <w:p w14:paraId="715189F4">
            <w:pPr>
              <w:pStyle w:val="714"/>
              <w:rPr>
                <w:b/>
                <w:bCs/>
                <w:color w:val="auto"/>
              </w:rPr>
            </w:pPr>
            <w:r>
              <w:rPr>
                <w:rFonts w:hint="eastAsia"/>
                <w:b/>
                <w:bCs/>
                <w:color w:val="auto"/>
              </w:rPr>
              <w:t>（cm）</w:t>
            </w:r>
          </w:p>
        </w:tc>
        <w:tc>
          <w:tcPr>
            <w:tcW w:w="570" w:type="pct"/>
            <w:tcBorders>
              <w:tl2br w:val="nil"/>
              <w:tr2bl w:val="nil"/>
            </w:tcBorders>
            <w:shd w:val="clear" w:color="auto" w:fill="auto"/>
            <w:tcMar>
              <w:left w:w="57" w:type="dxa"/>
              <w:right w:w="57" w:type="dxa"/>
            </w:tcMar>
            <w:vAlign w:val="center"/>
          </w:tcPr>
          <w:p w14:paraId="602654F1">
            <w:pPr>
              <w:pStyle w:val="714"/>
              <w:rPr>
                <w:b/>
                <w:bCs/>
                <w:color w:val="auto"/>
              </w:rPr>
            </w:pPr>
            <w:r>
              <w:rPr>
                <w:rFonts w:hint="eastAsia"/>
                <w:b/>
                <w:bCs/>
                <w:color w:val="auto"/>
              </w:rPr>
              <w:t>K渗透系数</w:t>
            </w:r>
            <w:r>
              <w:rPr>
                <w:rFonts w:hint="eastAsia"/>
                <w:b/>
                <w:bCs/>
                <w:color w:val="auto"/>
                <w:lang w:eastAsia="zh-CN"/>
              </w:rPr>
              <w:t>（</w:t>
            </w:r>
            <w:r>
              <w:rPr>
                <w:rFonts w:hint="eastAsia"/>
                <w:b/>
                <w:bCs/>
                <w:color w:val="auto"/>
              </w:rPr>
              <w:t>cm/s)</w:t>
            </w:r>
          </w:p>
        </w:tc>
      </w:tr>
      <w:tr w14:paraId="4BD292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2" w:type="pct"/>
            <w:tcBorders>
              <w:tl2br w:val="nil"/>
              <w:tr2bl w:val="nil"/>
            </w:tcBorders>
            <w:shd w:val="clear" w:color="auto" w:fill="auto"/>
            <w:noWrap/>
            <w:tcMar>
              <w:left w:w="57" w:type="dxa"/>
              <w:right w:w="57" w:type="dxa"/>
            </w:tcMar>
            <w:vAlign w:val="center"/>
          </w:tcPr>
          <w:p w14:paraId="3A2C54A7">
            <w:pPr>
              <w:pStyle w:val="714"/>
              <w:rPr>
                <w:color w:val="auto"/>
              </w:rPr>
            </w:pPr>
            <w:r>
              <w:rPr>
                <w:rFonts w:hint="eastAsia"/>
                <w:color w:val="auto"/>
              </w:rPr>
              <w:t>SH01</w:t>
            </w:r>
          </w:p>
        </w:tc>
        <w:tc>
          <w:tcPr>
            <w:tcW w:w="711" w:type="pct"/>
            <w:tcBorders>
              <w:tl2br w:val="nil"/>
              <w:tr2bl w:val="nil"/>
            </w:tcBorders>
            <w:shd w:val="clear" w:color="auto" w:fill="auto"/>
            <w:noWrap/>
            <w:tcMar>
              <w:left w:w="57" w:type="dxa"/>
              <w:right w:w="57" w:type="dxa"/>
            </w:tcMar>
            <w:vAlign w:val="center"/>
          </w:tcPr>
          <w:p w14:paraId="51B85047">
            <w:pPr>
              <w:pStyle w:val="714"/>
              <w:rPr>
                <w:color w:val="auto"/>
              </w:rPr>
            </w:pPr>
            <w:r>
              <w:rPr>
                <w:rFonts w:hint="eastAsia"/>
                <w:color w:val="auto"/>
              </w:rPr>
              <w:t>粉质粘土</w:t>
            </w:r>
          </w:p>
        </w:tc>
        <w:tc>
          <w:tcPr>
            <w:tcW w:w="774" w:type="pct"/>
            <w:tcBorders>
              <w:tl2br w:val="nil"/>
              <w:tr2bl w:val="nil"/>
            </w:tcBorders>
            <w:shd w:val="clear" w:color="auto" w:fill="auto"/>
            <w:noWrap/>
            <w:tcMar>
              <w:left w:w="57" w:type="dxa"/>
              <w:right w:w="57" w:type="dxa"/>
            </w:tcMar>
            <w:vAlign w:val="center"/>
          </w:tcPr>
          <w:p w14:paraId="26EC83D1">
            <w:pPr>
              <w:pStyle w:val="714"/>
              <w:rPr>
                <w:color w:val="auto"/>
              </w:rPr>
            </w:pPr>
            <w:r>
              <w:rPr>
                <w:rFonts w:hint="eastAsia"/>
                <w:color w:val="auto"/>
              </w:rPr>
              <w:t>0.01526</w:t>
            </w:r>
          </w:p>
        </w:tc>
        <w:tc>
          <w:tcPr>
            <w:tcW w:w="687" w:type="pct"/>
            <w:tcBorders>
              <w:tl2br w:val="nil"/>
              <w:tr2bl w:val="nil"/>
            </w:tcBorders>
            <w:shd w:val="clear" w:color="auto" w:fill="auto"/>
            <w:tcMar>
              <w:left w:w="57" w:type="dxa"/>
              <w:right w:w="57" w:type="dxa"/>
            </w:tcMar>
            <w:vAlign w:val="center"/>
          </w:tcPr>
          <w:p w14:paraId="5A89C277">
            <w:pPr>
              <w:pStyle w:val="714"/>
              <w:rPr>
                <w:color w:val="auto"/>
              </w:rPr>
            </w:pPr>
            <w:r>
              <w:rPr>
                <w:rFonts w:hint="eastAsia"/>
                <w:color w:val="auto"/>
              </w:rPr>
              <w:t>10</w:t>
            </w:r>
          </w:p>
        </w:tc>
        <w:tc>
          <w:tcPr>
            <w:tcW w:w="923" w:type="pct"/>
            <w:tcBorders>
              <w:tl2br w:val="nil"/>
              <w:tr2bl w:val="nil"/>
            </w:tcBorders>
            <w:shd w:val="clear" w:color="auto" w:fill="auto"/>
            <w:tcMar>
              <w:left w:w="57" w:type="dxa"/>
              <w:right w:w="57" w:type="dxa"/>
            </w:tcMar>
            <w:vAlign w:val="center"/>
          </w:tcPr>
          <w:p w14:paraId="71F62B64">
            <w:pPr>
              <w:pStyle w:val="714"/>
              <w:rPr>
                <w:color w:val="auto"/>
              </w:rPr>
            </w:pPr>
            <w:r>
              <w:rPr>
                <w:rFonts w:hint="eastAsia"/>
                <w:color w:val="auto"/>
              </w:rPr>
              <w:t>270</w:t>
            </w:r>
          </w:p>
        </w:tc>
        <w:tc>
          <w:tcPr>
            <w:tcW w:w="510" w:type="pct"/>
            <w:tcBorders>
              <w:tl2br w:val="nil"/>
              <w:tr2bl w:val="nil"/>
            </w:tcBorders>
            <w:shd w:val="clear" w:color="auto" w:fill="auto"/>
            <w:tcMar>
              <w:left w:w="57" w:type="dxa"/>
              <w:right w:w="57" w:type="dxa"/>
            </w:tcMar>
            <w:vAlign w:val="center"/>
          </w:tcPr>
          <w:p w14:paraId="0BEB8535">
            <w:pPr>
              <w:pStyle w:val="714"/>
              <w:rPr>
                <w:color w:val="auto"/>
              </w:rPr>
            </w:pPr>
            <w:r>
              <w:rPr>
                <w:rFonts w:hint="eastAsia"/>
                <w:color w:val="auto"/>
              </w:rPr>
              <w:t>490.625</w:t>
            </w:r>
          </w:p>
        </w:tc>
        <w:tc>
          <w:tcPr>
            <w:tcW w:w="469" w:type="pct"/>
            <w:tcBorders>
              <w:tl2br w:val="nil"/>
              <w:tr2bl w:val="nil"/>
            </w:tcBorders>
            <w:shd w:val="clear" w:color="auto" w:fill="auto"/>
            <w:noWrap/>
            <w:tcMar>
              <w:left w:w="57" w:type="dxa"/>
              <w:right w:w="57" w:type="dxa"/>
            </w:tcMar>
            <w:vAlign w:val="center"/>
          </w:tcPr>
          <w:p w14:paraId="6561E8B1">
            <w:pPr>
              <w:pStyle w:val="714"/>
              <w:rPr>
                <w:color w:val="auto"/>
              </w:rPr>
            </w:pPr>
            <w:r>
              <w:rPr>
                <w:rFonts w:hint="eastAsia"/>
                <w:color w:val="auto"/>
              </w:rPr>
              <w:t>81</w:t>
            </w:r>
          </w:p>
        </w:tc>
        <w:tc>
          <w:tcPr>
            <w:tcW w:w="570" w:type="pct"/>
            <w:tcBorders>
              <w:tl2br w:val="nil"/>
              <w:tr2bl w:val="nil"/>
            </w:tcBorders>
            <w:shd w:val="clear" w:color="auto" w:fill="auto"/>
            <w:tcMar>
              <w:left w:w="57" w:type="dxa"/>
              <w:right w:w="57" w:type="dxa"/>
            </w:tcMar>
            <w:vAlign w:val="center"/>
          </w:tcPr>
          <w:p w14:paraId="7828AF1B">
            <w:pPr>
              <w:pStyle w:val="714"/>
              <w:rPr>
                <w:color w:val="auto"/>
              </w:rPr>
            </w:pPr>
            <w:r>
              <w:rPr>
                <w:rFonts w:hint="eastAsia"/>
                <w:color w:val="auto"/>
              </w:rPr>
              <w:t>1.86E-04</w:t>
            </w:r>
          </w:p>
        </w:tc>
      </w:tr>
      <w:tr w14:paraId="244EA8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2" w:type="pct"/>
            <w:tcBorders>
              <w:tl2br w:val="nil"/>
              <w:tr2bl w:val="nil"/>
            </w:tcBorders>
            <w:shd w:val="clear" w:color="auto" w:fill="auto"/>
            <w:noWrap/>
            <w:tcMar>
              <w:left w:w="57" w:type="dxa"/>
              <w:right w:w="57" w:type="dxa"/>
            </w:tcMar>
            <w:vAlign w:val="center"/>
          </w:tcPr>
          <w:p w14:paraId="68539D0B">
            <w:pPr>
              <w:pStyle w:val="714"/>
              <w:rPr>
                <w:color w:val="auto"/>
              </w:rPr>
            </w:pPr>
            <w:r>
              <w:rPr>
                <w:rFonts w:hint="eastAsia"/>
                <w:color w:val="auto"/>
              </w:rPr>
              <w:t>SH02</w:t>
            </w:r>
          </w:p>
        </w:tc>
        <w:tc>
          <w:tcPr>
            <w:tcW w:w="711" w:type="pct"/>
            <w:tcBorders>
              <w:tl2br w:val="nil"/>
              <w:tr2bl w:val="nil"/>
            </w:tcBorders>
            <w:shd w:val="clear" w:color="auto" w:fill="auto"/>
            <w:noWrap/>
            <w:tcMar>
              <w:left w:w="57" w:type="dxa"/>
              <w:right w:w="57" w:type="dxa"/>
            </w:tcMar>
            <w:vAlign w:val="center"/>
          </w:tcPr>
          <w:p w14:paraId="6ABCA707">
            <w:pPr>
              <w:pStyle w:val="714"/>
              <w:rPr>
                <w:color w:val="auto"/>
              </w:rPr>
            </w:pPr>
            <w:r>
              <w:rPr>
                <w:rFonts w:hint="eastAsia"/>
                <w:color w:val="auto"/>
              </w:rPr>
              <w:t>粉质粘土</w:t>
            </w:r>
          </w:p>
        </w:tc>
        <w:tc>
          <w:tcPr>
            <w:tcW w:w="774" w:type="pct"/>
            <w:tcBorders>
              <w:tl2br w:val="nil"/>
              <w:tr2bl w:val="nil"/>
            </w:tcBorders>
            <w:shd w:val="clear" w:color="auto" w:fill="auto"/>
            <w:noWrap/>
            <w:tcMar>
              <w:left w:w="57" w:type="dxa"/>
              <w:right w:w="57" w:type="dxa"/>
            </w:tcMar>
            <w:vAlign w:val="center"/>
          </w:tcPr>
          <w:p w14:paraId="6260B74B">
            <w:pPr>
              <w:pStyle w:val="714"/>
              <w:rPr>
                <w:color w:val="auto"/>
              </w:rPr>
            </w:pPr>
            <w:r>
              <w:rPr>
                <w:rFonts w:hint="eastAsia"/>
                <w:color w:val="auto"/>
              </w:rPr>
              <w:t>0.01348</w:t>
            </w:r>
          </w:p>
        </w:tc>
        <w:tc>
          <w:tcPr>
            <w:tcW w:w="687" w:type="pct"/>
            <w:tcBorders>
              <w:tl2br w:val="nil"/>
              <w:tr2bl w:val="nil"/>
            </w:tcBorders>
            <w:shd w:val="clear" w:color="auto" w:fill="auto"/>
            <w:tcMar>
              <w:left w:w="57" w:type="dxa"/>
              <w:right w:w="57" w:type="dxa"/>
            </w:tcMar>
            <w:vAlign w:val="center"/>
          </w:tcPr>
          <w:p w14:paraId="3364ACD6">
            <w:pPr>
              <w:pStyle w:val="714"/>
              <w:rPr>
                <w:color w:val="auto"/>
              </w:rPr>
            </w:pPr>
            <w:r>
              <w:rPr>
                <w:rFonts w:hint="eastAsia"/>
                <w:color w:val="auto"/>
              </w:rPr>
              <w:t>10</w:t>
            </w:r>
          </w:p>
        </w:tc>
        <w:tc>
          <w:tcPr>
            <w:tcW w:w="923" w:type="pct"/>
            <w:tcBorders>
              <w:tl2br w:val="nil"/>
              <w:tr2bl w:val="nil"/>
            </w:tcBorders>
            <w:shd w:val="clear" w:color="auto" w:fill="auto"/>
            <w:tcMar>
              <w:left w:w="57" w:type="dxa"/>
              <w:right w:w="57" w:type="dxa"/>
            </w:tcMar>
            <w:vAlign w:val="center"/>
          </w:tcPr>
          <w:p w14:paraId="3847597F">
            <w:pPr>
              <w:pStyle w:val="714"/>
              <w:rPr>
                <w:color w:val="auto"/>
              </w:rPr>
            </w:pPr>
            <w:r>
              <w:rPr>
                <w:rFonts w:hint="eastAsia"/>
                <w:color w:val="auto"/>
              </w:rPr>
              <w:t>270</w:t>
            </w:r>
          </w:p>
        </w:tc>
        <w:tc>
          <w:tcPr>
            <w:tcW w:w="510" w:type="pct"/>
            <w:tcBorders>
              <w:tl2br w:val="nil"/>
              <w:tr2bl w:val="nil"/>
            </w:tcBorders>
            <w:shd w:val="clear" w:color="auto" w:fill="auto"/>
            <w:tcMar>
              <w:left w:w="57" w:type="dxa"/>
              <w:right w:w="57" w:type="dxa"/>
            </w:tcMar>
            <w:vAlign w:val="center"/>
          </w:tcPr>
          <w:p w14:paraId="2441291E">
            <w:pPr>
              <w:pStyle w:val="714"/>
              <w:rPr>
                <w:color w:val="auto"/>
              </w:rPr>
            </w:pPr>
            <w:r>
              <w:rPr>
                <w:rFonts w:hint="eastAsia"/>
                <w:color w:val="auto"/>
              </w:rPr>
              <w:t>490.625</w:t>
            </w:r>
          </w:p>
        </w:tc>
        <w:tc>
          <w:tcPr>
            <w:tcW w:w="469" w:type="pct"/>
            <w:tcBorders>
              <w:tl2br w:val="nil"/>
              <w:tr2bl w:val="nil"/>
            </w:tcBorders>
            <w:shd w:val="clear" w:color="auto" w:fill="auto"/>
            <w:noWrap/>
            <w:tcMar>
              <w:left w:w="57" w:type="dxa"/>
              <w:right w:w="57" w:type="dxa"/>
            </w:tcMar>
            <w:vAlign w:val="center"/>
          </w:tcPr>
          <w:p w14:paraId="72D31E6A">
            <w:pPr>
              <w:pStyle w:val="714"/>
              <w:rPr>
                <w:color w:val="auto"/>
              </w:rPr>
            </w:pPr>
            <w:r>
              <w:rPr>
                <w:rFonts w:hint="eastAsia"/>
                <w:color w:val="auto"/>
              </w:rPr>
              <w:t>75</w:t>
            </w:r>
          </w:p>
        </w:tc>
        <w:tc>
          <w:tcPr>
            <w:tcW w:w="570" w:type="pct"/>
            <w:tcBorders>
              <w:tl2br w:val="nil"/>
              <w:tr2bl w:val="nil"/>
            </w:tcBorders>
            <w:shd w:val="clear" w:color="auto" w:fill="auto"/>
            <w:tcMar>
              <w:left w:w="57" w:type="dxa"/>
              <w:right w:w="57" w:type="dxa"/>
            </w:tcMar>
            <w:vAlign w:val="center"/>
          </w:tcPr>
          <w:p w14:paraId="2842C364">
            <w:pPr>
              <w:pStyle w:val="714"/>
              <w:rPr>
                <w:color w:val="auto"/>
              </w:rPr>
            </w:pPr>
            <w:r>
              <w:rPr>
                <w:rFonts w:hint="eastAsia"/>
                <w:color w:val="auto"/>
              </w:rPr>
              <w:t>1.56E-04</w:t>
            </w:r>
          </w:p>
        </w:tc>
      </w:tr>
    </w:tbl>
    <w:p w14:paraId="4DCD7CD5">
      <w:pPr>
        <w:bidi w:val="0"/>
        <w:rPr>
          <w:b/>
          <w:bCs/>
          <w:color w:val="auto"/>
        </w:rPr>
      </w:pPr>
      <w:r>
        <w:rPr>
          <w:rFonts w:hint="eastAsia"/>
          <w:b/>
          <w:bCs/>
          <w:color w:val="auto"/>
          <w:lang w:val="en-US" w:eastAsia="zh-CN"/>
        </w:rPr>
        <w:t>5、</w:t>
      </w:r>
      <w:r>
        <w:rPr>
          <w:b/>
          <w:bCs/>
          <w:color w:val="auto"/>
        </w:rPr>
        <w:t>地下水化学特征</w:t>
      </w:r>
    </w:p>
    <w:p w14:paraId="5F3ADEEE">
      <w:pPr>
        <w:bidi w:val="0"/>
        <w:rPr>
          <w:color w:val="auto"/>
        </w:rPr>
      </w:pPr>
      <w:r>
        <w:rPr>
          <w:color w:val="auto"/>
        </w:rPr>
        <w:t>为了查明评价区地下水水化学特征，项目组对评价区地下水水质分析结果中的宏量组分进行分析。根据各水样水化学常量组分监测结果统计（表</w:t>
      </w:r>
      <w:r>
        <w:rPr>
          <w:rFonts w:hint="eastAsia"/>
          <w:color w:val="auto"/>
          <w:lang w:val="en-US" w:eastAsia="zh-CN"/>
        </w:rPr>
        <w:t>4.2-64</w:t>
      </w:r>
      <w:r>
        <w:rPr>
          <w:color w:val="auto"/>
        </w:rPr>
        <w:t>），本项目所在区域地下水矿化度在</w:t>
      </w:r>
      <w:r>
        <w:rPr>
          <w:rFonts w:hint="eastAsia"/>
          <w:color w:val="auto"/>
        </w:rPr>
        <w:t>104</w:t>
      </w:r>
      <w:r>
        <w:rPr>
          <w:color w:val="auto"/>
        </w:rPr>
        <w:t>～</w:t>
      </w:r>
      <w:r>
        <w:rPr>
          <w:rFonts w:hint="eastAsia"/>
          <w:color w:val="auto"/>
        </w:rPr>
        <w:t>925</w:t>
      </w:r>
      <w:r>
        <w:rPr>
          <w:color w:val="auto"/>
        </w:rPr>
        <w:t xml:space="preserve"> mg/L，均&lt;1g/L，属于低矿化度水；pH介于6.9～7.</w:t>
      </w:r>
      <w:r>
        <w:rPr>
          <w:rFonts w:hint="eastAsia"/>
          <w:color w:val="auto"/>
        </w:rPr>
        <w:t>2</w:t>
      </w:r>
      <w:r>
        <w:rPr>
          <w:color w:val="auto"/>
        </w:rPr>
        <w:t>，呈弱酸-弱碱性。地下水水样水化学类型为HCO</w:t>
      </w:r>
      <w:r>
        <w:rPr>
          <w:color w:val="auto"/>
          <w:vertAlign w:val="subscript"/>
        </w:rPr>
        <w:t>3</w:t>
      </w:r>
      <w:r>
        <w:rPr>
          <w:color w:val="auto"/>
        </w:rPr>
        <w:t>-Ca•Mg型，本项目区地下水Piper三线图见图</w:t>
      </w:r>
      <w:r>
        <w:rPr>
          <w:rFonts w:hint="eastAsia"/>
          <w:color w:val="auto"/>
          <w:lang w:val="en-US" w:eastAsia="zh-CN"/>
        </w:rPr>
        <w:t>4.2</w:t>
      </w:r>
      <w:r>
        <w:rPr>
          <w:color w:val="auto"/>
        </w:rPr>
        <w:t>-</w:t>
      </w:r>
      <w:r>
        <w:rPr>
          <w:rFonts w:hint="eastAsia"/>
          <w:color w:val="auto"/>
          <w:lang w:val="en-US" w:eastAsia="zh-CN"/>
        </w:rPr>
        <w:t>6</w:t>
      </w:r>
      <w:r>
        <w:rPr>
          <w:color w:val="auto"/>
        </w:rPr>
        <w:t>。</w:t>
      </w:r>
    </w:p>
    <w:p w14:paraId="70872B59">
      <w:pPr>
        <w:pStyle w:val="19"/>
        <w:keepNext w:val="0"/>
        <w:keepLines w:val="0"/>
        <w:pageBreakBefore w:val="0"/>
        <w:widowControl w:val="0"/>
        <w:numPr>
          <w:ilvl w:val="0"/>
          <w:numId w:val="31"/>
        </w:numPr>
        <w:kinsoku/>
        <w:wordWrap/>
        <w:overflowPunct/>
        <w:topLinePunct w:val="0"/>
        <w:autoSpaceDE/>
        <w:autoSpaceDN/>
        <w:bidi w:val="0"/>
        <w:adjustRightInd/>
        <w:snapToGrid/>
        <w:ind w:left="0" w:leftChars="0" w:firstLine="0" w:firstLineChars="0"/>
        <w:textAlignment w:val="auto"/>
        <w:rPr>
          <w:rFonts w:cs="Times New Roman"/>
          <w:color w:val="auto"/>
        </w:rPr>
      </w:pPr>
      <w:r>
        <w:rPr>
          <w:rFonts w:cs="Times New Roman"/>
          <w:color w:val="auto"/>
        </w:rPr>
        <w:t>水样水化学常量组分监测结果</w:t>
      </w:r>
      <w:r>
        <w:rPr>
          <w:rFonts w:hint="eastAsia" w:cs="Times New Roman"/>
          <w:color w:val="auto"/>
          <w:lang w:eastAsia="zh-CN"/>
        </w:rPr>
        <w:t>（</w:t>
      </w:r>
      <w:r>
        <w:rPr>
          <w:rFonts w:cs="Times New Roman"/>
          <w:color w:val="auto"/>
        </w:rPr>
        <w:t>mg/L)</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8"/>
        <w:gridCol w:w="722"/>
        <w:gridCol w:w="535"/>
        <w:gridCol w:w="535"/>
        <w:gridCol w:w="571"/>
        <w:gridCol w:w="572"/>
        <w:gridCol w:w="689"/>
        <w:gridCol w:w="689"/>
        <w:gridCol w:w="967"/>
        <w:gridCol w:w="562"/>
        <w:gridCol w:w="579"/>
        <w:gridCol w:w="1373"/>
      </w:tblGrid>
      <w:tr w14:paraId="4A6889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3" w:type="pct"/>
            <w:tcBorders>
              <w:tl2br w:val="nil"/>
              <w:tr2bl w:val="nil"/>
            </w:tcBorders>
            <w:shd w:val="clear" w:color="auto" w:fill="auto"/>
            <w:tcMar>
              <w:left w:w="28" w:type="dxa"/>
              <w:right w:w="28" w:type="dxa"/>
            </w:tcMar>
            <w:vAlign w:val="center"/>
          </w:tcPr>
          <w:p w14:paraId="77628770">
            <w:pPr>
              <w:pStyle w:val="714"/>
              <w:rPr>
                <w:b/>
                <w:bCs/>
                <w:color w:val="auto"/>
              </w:rPr>
            </w:pPr>
            <w:r>
              <w:rPr>
                <w:rFonts w:hint="eastAsia"/>
                <w:b/>
                <w:bCs/>
                <w:color w:val="auto"/>
              </w:rPr>
              <w:t>监测项目</w:t>
            </w:r>
          </w:p>
        </w:tc>
        <w:tc>
          <w:tcPr>
            <w:tcW w:w="435" w:type="pct"/>
            <w:tcBorders>
              <w:tl2br w:val="nil"/>
              <w:tr2bl w:val="nil"/>
            </w:tcBorders>
            <w:shd w:val="clear" w:color="auto" w:fill="auto"/>
            <w:tcMar>
              <w:left w:w="28" w:type="dxa"/>
              <w:right w:w="28" w:type="dxa"/>
            </w:tcMar>
            <w:vAlign w:val="center"/>
          </w:tcPr>
          <w:p w14:paraId="19F2D65D">
            <w:pPr>
              <w:pStyle w:val="714"/>
              <w:rPr>
                <w:b/>
                <w:bCs/>
                <w:color w:val="auto"/>
              </w:rPr>
            </w:pPr>
            <w:r>
              <w:rPr>
                <w:rFonts w:hint="eastAsia"/>
                <w:b/>
                <w:bCs/>
                <w:color w:val="auto"/>
              </w:rPr>
              <w:t>pH值</w:t>
            </w:r>
          </w:p>
        </w:tc>
        <w:tc>
          <w:tcPr>
            <w:tcW w:w="312" w:type="pct"/>
            <w:tcBorders>
              <w:tl2br w:val="nil"/>
              <w:tr2bl w:val="nil"/>
            </w:tcBorders>
            <w:shd w:val="clear" w:color="auto" w:fill="auto"/>
            <w:tcMar>
              <w:left w:w="28" w:type="dxa"/>
              <w:right w:w="28" w:type="dxa"/>
            </w:tcMar>
            <w:vAlign w:val="center"/>
          </w:tcPr>
          <w:p w14:paraId="14167F3C">
            <w:pPr>
              <w:pStyle w:val="714"/>
              <w:rPr>
                <w:b/>
                <w:bCs/>
                <w:color w:val="auto"/>
              </w:rPr>
            </w:pPr>
            <w:r>
              <w:rPr>
                <w:rFonts w:hint="eastAsia"/>
                <w:b/>
                <w:bCs/>
                <w:color w:val="auto"/>
              </w:rPr>
              <w:t xml:space="preserve">钾 </w:t>
            </w:r>
          </w:p>
        </w:tc>
        <w:tc>
          <w:tcPr>
            <w:tcW w:w="305" w:type="pct"/>
            <w:tcBorders>
              <w:tl2br w:val="nil"/>
              <w:tr2bl w:val="nil"/>
            </w:tcBorders>
            <w:shd w:val="clear" w:color="auto" w:fill="auto"/>
            <w:tcMar>
              <w:left w:w="28" w:type="dxa"/>
              <w:right w:w="28" w:type="dxa"/>
            </w:tcMar>
            <w:vAlign w:val="center"/>
          </w:tcPr>
          <w:p w14:paraId="3E1BE548">
            <w:pPr>
              <w:pStyle w:val="714"/>
              <w:rPr>
                <w:b/>
                <w:bCs/>
                <w:color w:val="auto"/>
              </w:rPr>
            </w:pPr>
            <w:r>
              <w:rPr>
                <w:rFonts w:hint="eastAsia"/>
                <w:b/>
                <w:bCs/>
                <w:color w:val="auto"/>
              </w:rPr>
              <w:t xml:space="preserve">钠 </w:t>
            </w:r>
          </w:p>
        </w:tc>
        <w:tc>
          <w:tcPr>
            <w:tcW w:w="345" w:type="pct"/>
            <w:tcBorders>
              <w:tl2br w:val="nil"/>
              <w:tr2bl w:val="nil"/>
            </w:tcBorders>
            <w:shd w:val="clear" w:color="auto" w:fill="auto"/>
            <w:tcMar>
              <w:left w:w="28" w:type="dxa"/>
              <w:right w:w="28" w:type="dxa"/>
            </w:tcMar>
            <w:vAlign w:val="center"/>
          </w:tcPr>
          <w:p w14:paraId="4F37D5BE">
            <w:pPr>
              <w:pStyle w:val="714"/>
              <w:rPr>
                <w:b/>
                <w:bCs/>
                <w:color w:val="auto"/>
              </w:rPr>
            </w:pPr>
            <w:r>
              <w:rPr>
                <w:rFonts w:hint="eastAsia"/>
                <w:b/>
                <w:bCs/>
                <w:color w:val="auto"/>
              </w:rPr>
              <w:t xml:space="preserve">钙 </w:t>
            </w:r>
          </w:p>
        </w:tc>
        <w:tc>
          <w:tcPr>
            <w:tcW w:w="345" w:type="pct"/>
            <w:tcBorders>
              <w:tl2br w:val="nil"/>
              <w:tr2bl w:val="nil"/>
            </w:tcBorders>
            <w:shd w:val="clear" w:color="auto" w:fill="auto"/>
            <w:tcMar>
              <w:left w:w="28" w:type="dxa"/>
              <w:right w:w="28" w:type="dxa"/>
            </w:tcMar>
            <w:vAlign w:val="center"/>
          </w:tcPr>
          <w:p w14:paraId="2C0FCB04">
            <w:pPr>
              <w:pStyle w:val="714"/>
              <w:rPr>
                <w:b/>
                <w:bCs/>
                <w:color w:val="auto"/>
              </w:rPr>
            </w:pPr>
            <w:r>
              <w:rPr>
                <w:rFonts w:hint="eastAsia"/>
                <w:b/>
                <w:bCs/>
                <w:color w:val="auto"/>
              </w:rPr>
              <w:t xml:space="preserve">镁 </w:t>
            </w:r>
          </w:p>
        </w:tc>
        <w:tc>
          <w:tcPr>
            <w:tcW w:w="410" w:type="pct"/>
            <w:tcBorders>
              <w:tl2br w:val="nil"/>
              <w:tr2bl w:val="nil"/>
            </w:tcBorders>
            <w:shd w:val="clear" w:color="auto" w:fill="auto"/>
            <w:noWrap/>
            <w:tcMar>
              <w:left w:w="28" w:type="dxa"/>
              <w:right w:w="28" w:type="dxa"/>
            </w:tcMar>
            <w:vAlign w:val="center"/>
          </w:tcPr>
          <w:p w14:paraId="74EC2EFE">
            <w:pPr>
              <w:pStyle w:val="714"/>
              <w:rPr>
                <w:b/>
                <w:bCs/>
                <w:color w:val="auto"/>
              </w:rPr>
            </w:pPr>
            <w:r>
              <w:rPr>
                <w:rFonts w:hint="eastAsia"/>
                <w:b/>
                <w:bCs/>
                <w:color w:val="auto"/>
              </w:rPr>
              <w:t>氯化物</w:t>
            </w:r>
          </w:p>
        </w:tc>
        <w:tc>
          <w:tcPr>
            <w:tcW w:w="410" w:type="pct"/>
            <w:tcBorders>
              <w:tl2br w:val="nil"/>
              <w:tr2bl w:val="nil"/>
            </w:tcBorders>
            <w:shd w:val="clear" w:color="auto" w:fill="auto"/>
            <w:noWrap/>
            <w:tcMar>
              <w:left w:w="28" w:type="dxa"/>
              <w:right w:w="28" w:type="dxa"/>
            </w:tcMar>
            <w:vAlign w:val="center"/>
          </w:tcPr>
          <w:p w14:paraId="23D3BE9C">
            <w:pPr>
              <w:pStyle w:val="714"/>
              <w:rPr>
                <w:b/>
                <w:bCs/>
                <w:color w:val="auto"/>
              </w:rPr>
            </w:pPr>
            <w:r>
              <w:rPr>
                <w:rFonts w:hint="eastAsia"/>
                <w:b/>
                <w:bCs/>
                <w:color w:val="auto"/>
              </w:rPr>
              <w:t>硫酸盐</w:t>
            </w:r>
          </w:p>
        </w:tc>
        <w:tc>
          <w:tcPr>
            <w:tcW w:w="581" w:type="pct"/>
            <w:tcBorders>
              <w:tl2br w:val="nil"/>
              <w:tr2bl w:val="nil"/>
            </w:tcBorders>
            <w:shd w:val="clear" w:color="auto" w:fill="auto"/>
            <w:tcMar>
              <w:left w:w="28" w:type="dxa"/>
              <w:right w:w="28" w:type="dxa"/>
            </w:tcMar>
            <w:vAlign w:val="center"/>
          </w:tcPr>
          <w:p w14:paraId="0D4435BA">
            <w:pPr>
              <w:pStyle w:val="714"/>
              <w:rPr>
                <w:b/>
                <w:bCs/>
                <w:color w:val="auto"/>
              </w:rPr>
            </w:pPr>
            <w:r>
              <w:rPr>
                <w:rFonts w:hint="eastAsia"/>
                <w:b/>
                <w:bCs/>
                <w:color w:val="auto"/>
              </w:rPr>
              <w:t>重碳酸根</w:t>
            </w:r>
          </w:p>
        </w:tc>
        <w:tc>
          <w:tcPr>
            <w:tcW w:w="339" w:type="pct"/>
            <w:tcBorders>
              <w:tl2br w:val="nil"/>
              <w:tr2bl w:val="nil"/>
            </w:tcBorders>
            <w:shd w:val="clear" w:color="auto" w:fill="auto"/>
            <w:tcMar>
              <w:left w:w="28" w:type="dxa"/>
              <w:right w:w="28" w:type="dxa"/>
            </w:tcMar>
            <w:vAlign w:val="center"/>
          </w:tcPr>
          <w:p w14:paraId="0CCDC5E3">
            <w:pPr>
              <w:pStyle w:val="714"/>
              <w:rPr>
                <w:b/>
                <w:bCs/>
                <w:color w:val="auto"/>
              </w:rPr>
            </w:pPr>
            <w:r>
              <w:rPr>
                <w:rFonts w:hint="eastAsia"/>
                <w:b/>
                <w:bCs/>
                <w:color w:val="auto"/>
              </w:rPr>
              <w:t>碳酸根</w:t>
            </w:r>
          </w:p>
        </w:tc>
        <w:tc>
          <w:tcPr>
            <w:tcW w:w="349" w:type="pct"/>
            <w:tcBorders>
              <w:tl2br w:val="nil"/>
              <w:tr2bl w:val="nil"/>
            </w:tcBorders>
            <w:shd w:val="clear" w:color="auto" w:fill="auto"/>
            <w:noWrap/>
            <w:tcMar>
              <w:left w:w="28" w:type="dxa"/>
              <w:right w:w="28" w:type="dxa"/>
            </w:tcMar>
            <w:vAlign w:val="center"/>
          </w:tcPr>
          <w:p w14:paraId="4D2D5A79">
            <w:pPr>
              <w:pStyle w:val="714"/>
              <w:rPr>
                <w:b/>
                <w:bCs/>
                <w:color w:val="auto"/>
              </w:rPr>
            </w:pPr>
            <w:r>
              <w:rPr>
                <w:rFonts w:hint="eastAsia"/>
                <w:b/>
                <w:bCs/>
                <w:color w:val="auto"/>
              </w:rPr>
              <w:t>TDS</w:t>
            </w:r>
          </w:p>
        </w:tc>
        <w:tc>
          <w:tcPr>
            <w:tcW w:w="822" w:type="pct"/>
            <w:vMerge w:val="restart"/>
            <w:tcBorders>
              <w:tl2br w:val="nil"/>
              <w:tr2bl w:val="nil"/>
            </w:tcBorders>
            <w:shd w:val="clear" w:color="auto" w:fill="auto"/>
            <w:noWrap/>
            <w:tcMar>
              <w:left w:w="28" w:type="dxa"/>
              <w:right w:w="28" w:type="dxa"/>
            </w:tcMar>
            <w:vAlign w:val="center"/>
          </w:tcPr>
          <w:p w14:paraId="5FF4B8F5">
            <w:pPr>
              <w:pStyle w:val="714"/>
              <w:rPr>
                <w:color w:val="auto"/>
              </w:rPr>
            </w:pPr>
            <w:r>
              <w:rPr>
                <w:rFonts w:hint="eastAsia"/>
                <w:b/>
                <w:bCs/>
                <w:color w:val="auto"/>
              </w:rPr>
              <w:t>水化学类型</w:t>
            </w:r>
          </w:p>
        </w:tc>
      </w:tr>
      <w:tr w14:paraId="065641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3" w:type="pct"/>
            <w:tcBorders>
              <w:tl2br w:val="nil"/>
              <w:tr2bl w:val="nil"/>
            </w:tcBorders>
            <w:shd w:val="clear" w:color="auto" w:fill="auto"/>
            <w:tcMar>
              <w:left w:w="28" w:type="dxa"/>
              <w:right w:w="28" w:type="dxa"/>
            </w:tcMar>
            <w:vAlign w:val="center"/>
          </w:tcPr>
          <w:p w14:paraId="27703FC2">
            <w:pPr>
              <w:pStyle w:val="714"/>
              <w:rPr>
                <w:b/>
                <w:bCs/>
                <w:color w:val="auto"/>
              </w:rPr>
            </w:pPr>
            <w:r>
              <w:rPr>
                <w:rFonts w:hint="eastAsia"/>
                <w:b/>
                <w:bCs/>
                <w:color w:val="auto"/>
              </w:rPr>
              <w:t>单位</w:t>
            </w:r>
          </w:p>
        </w:tc>
        <w:tc>
          <w:tcPr>
            <w:tcW w:w="435" w:type="pct"/>
            <w:tcBorders>
              <w:tl2br w:val="nil"/>
              <w:tr2bl w:val="nil"/>
            </w:tcBorders>
            <w:shd w:val="clear" w:color="auto" w:fill="auto"/>
            <w:tcMar>
              <w:left w:w="28" w:type="dxa"/>
              <w:right w:w="28" w:type="dxa"/>
            </w:tcMar>
            <w:vAlign w:val="center"/>
          </w:tcPr>
          <w:p w14:paraId="184AAECD">
            <w:pPr>
              <w:pStyle w:val="714"/>
              <w:rPr>
                <w:b/>
                <w:bCs/>
                <w:color w:val="auto"/>
              </w:rPr>
            </w:pPr>
            <w:r>
              <w:rPr>
                <w:rFonts w:hint="eastAsia"/>
                <w:b/>
                <w:bCs/>
                <w:color w:val="auto"/>
              </w:rPr>
              <w:t>无量纲</w:t>
            </w:r>
          </w:p>
        </w:tc>
        <w:tc>
          <w:tcPr>
            <w:tcW w:w="312" w:type="pct"/>
            <w:tcBorders>
              <w:tl2br w:val="nil"/>
              <w:tr2bl w:val="nil"/>
            </w:tcBorders>
            <w:shd w:val="clear" w:color="auto" w:fill="auto"/>
            <w:tcMar>
              <w:left w:w="28" w:type="dxa"/>
              <w:right w:w="28" w:type="dxa"/>
            </w:tcMar>
            <w:vAlign w:val="center"/>
          </w:tcPr>
          <w:p w14:paraId="0420A03B">
            <w:pPr>
              <w:pStyle w:val="714"/>
              <w:rPr>
                <w:b/>
                <w:bCs/>
                <w:color w:val="auto"/>
              </w:rPr>
            </w:pPr>
            <w:r>
              <w:rPr>
                <w:rFonts w:hint="eastAsia"/>
                <w:b/>
                <w:bCs/>
                <w:color w:val="auto"/>
              </w:rPr>
              <w:t>mg/L</w:t>
            </w:r>
          </w:p>
        </w:tc>
        <w:tc>
          <w:tcPr>
            <w:tcW w:w="305" w:type="pct"/>
            <w:tcBorders>
              <w:tl2br w:val="nil"/>
              <w:tr2bl w:val="nil"/>
            </w:tcBorders>
            <w:shd w:val="clear" w:color="auto" w:fill="auto"/>
            <w:tcMar>
              <w:left w:w="28" w:type="dxa"/>
              <w:right w:w="28" w:type="dxa"/>
            </w:tcMar>
            <w:vAlign w:val="center"/>
          </w:tcPr>
          <w:p w14:paraId="72AF9BEC">
            <w:pPr>
              <w:pStyle w:val="714"/>
              <w:rPr>
                <w:b/>
                <w:bCs/>
                <w:color w:val="auto"/>
              </w:rPr>
            </w:pPr>
            <w:r>
              <w:rPr>
                <w:rFonts w:hint="eastAsia"/>
                <w:b/>
                <w:bCs/>
                <w:color w:val="auto"/>
              </w:rPr>
              <w:t>mg/L</w:t>
            </w:r>
          </w:p>
        </w:tc>
        <w:tc>
          <w:tcPr>
            <w:tcW w:w="345" w:type="pct"/>
            <w:tcBorders>
              <w:tl2br w:val="nil"/>
              <w:tr2bl w:val="nil"/>
            </w:tcBorders>
            <w:shd w:val="clear" w:color="auto" w:fill="auto"/>
            <w:tcMar>
              <w:left w:w="28" w:type="dxa"/>
              <w:right w:w="28" w:type="dxa"/>
            </w:tcMar>
            <w:vAlign w:val="center"/>
          </w:tcPr>
          <w:p w14:paraId="55FD982E">
            <w:pPr>
              <w:pStyle w:val="714"/>
              <w:rPr>
                <w:b/>
                <w:bCs/>
                <w:color w:val="auto"/>
              </w:rPr>
            </w:pPr>
            <w:r>
              <w:rPr>
                <w:rFonts w:hint="eastAsia"/>
                <w:b/>
                <w:bCs/>
                <w:color w:val="auto"/>
              </w:rPr>
              <w:t>mg/L</w:t>
            </w:r>
          </w:p>
        </w:tc>
        <w:tc>
          <w:tcPr>
            <w:tcW w:w="345" w:type="pct"/>
            <w:tcBorders>
              <w:tl2br w:val="nil"/>
              <w:tr2bl w:val="nil"/>
            </w:tcBorders>
            <w:shd w:val="clear" w:color="auto" w:fill="auto"/>
            <w:tcMar>
              <w:left w:w="28" w:type="dxa"/>
              <w:right w:w="28" w:type="dxa"/>
            </w:tcMar>
            <w:vAlign w:val="center"/>
          </w:tcPr>
          <w:p w14:paraId="7CC408D4">
            <w:pPr>
              <w:pStyle w:val="714"/>
              <w:rPr>
                <w:b/>
                <w:bCs/>
                <w:color w:val="auto"/>
              </w:rPr>
            </w:pPr>
            <w:r>
              <w:rPr>
                <w:rFonts w:hint="eastAsia"/>
                <w:b/>
                <w:bCs/>
                <w:color w:val="auto"/>
              </w:rPr>
              <w:t>mg/L</w:t>
            </w:r>
          </w:p>
        </w:tc>
        <w:tc>
          <w:tcPr>
            <w:tcW w:w="410" w:type="pct"/>
            <w:tcBorders>
              <w:tl2br w:val="nil"/>
              <w:tr2bl w:val="nil"/>
            </w:tcBorders>
            <w:shd w:val="clear" w:color="auto" w:fill="auto"/>
            <w:tcMar>
              <w:left w:w="28" w:type="dxa"/>
              <w:right w:w="28" w:type="dxa"/>
            </w:tcMar>
            <w:vAlign w:val="center"/>
          </w:tcPr>
          <w:p w14:paraId="0793B158">
            <w:pPr>
              <w:pStyle w:val="714"/>
              <w:rPr>
                <w:b/>
                <w:bCs/>
                <w:color w:val="auto"/>
              </w:rPr>
            </w:pPr>
            <w:r>
              <w:rPr>
                <w:rFonts w:hint="eastAsia"/>
                <w:b/>
                <w:bCs/>
                <w:color w:val="auto"/>
              </w:rPr>
              <w:t>mg/L</w:t>
            </w:r>
          </w:p>
        </w:tc>
        <w:tc>
          <w:tcPr>
            <w:tcW w:w="410" w:type="pct"/>
            <w:tcBorders>
              <w:tl2br w:val="nil"/>
              <w:tr2bl w:val="nil"/>
            </w:tcBorders>
            <w:shd w:val="clear" w:color="auto" w:fill="auto"/>
            <w:tcMar>
              <w:left w:w="28" w:type="dxa"/>
              <w:right w:w="28" w:type="dxa"/>
            </w:tcMar>
            <w:vAlign w:val="center"/>
          </w:tcPr>
          <w:p w14:paraId="4807280D">
            <w:pPr>
              <w:pStyle w:val="714"/>
              <w:rPr>
                <w:b/>
                <w:bCs/>
                <w:color w:val="auto"/>
              </w:rPr>
            </w:pPr>
            <w:r>
              <w:rPr>
                <w:rFonts w:hint="eastAsia"/>
                <w:b/>
                <w:bCs/>
                <w:color w:val="auto"/>
              </w:rPr>
              <w:t>mg/L</w:t>
            </w:r>
          </w:p>
        </w:tc>
        <w:tc>
          <w:tcPr>
            <w:tcW w:w="581" w:type="pct"/>
            <w:tcBorders>
              <w:tl2br w:val="nil"/>
              <w:tr2bl w:val="nil"/>
            </w:tcBorders>
            <w:shd w:val="clear" w:color="auto" w:fill="auto"/>
            <w:tcMar>
              <w:left w:w="28" w:type="dxa"/>
              <w:right w:w="28" w:type="dxa"/>
            </w:tcMar>
            <w:vAlign w:val="center"/>
          </w:tcPr>
          <w:p w14:paraId="55986592">
            <w:pPr>
              <w:pStyle w:val="714"/>
              <w:rPr>
                <w:b/>
                <w:bCs/>
                <w:color w:val="auto"/>
              </w:rPr>
            </w:pPr>
            <w:r>
              <w:rPr>
                <w:rFonts w:hint="eastAsia"/>
                <w:b/>
                <w:bCs/>
                <w:color w:val="auto"/>
              </w:rPr>
              <w:t>mg/L</w:t>
            </w:r>
          </w:p>
        </w:tc>
        <w:tc>
          <w:tcPr>
            <w:tcW w:w="339" w:type="pct"/>
            <w:tcBorders>
              <w:tl2br w:val="nil"/>
              <w:tr2bl w:val="nil"/>
            </w:tcBorders>
            <w:shd w:val="clear" w:color="auto" w:fill="auto"/>
            <w:tcMar>
              <w:left w:w="28" w:type="dxa"/>
              <w:right w:w="28" w:type="dxa"/>
            </w:tcMar>
            <w:vAlign w:val="center"/>
          </w:tcPr>
          <w:p w14:paraId="527D6CA0">
            <w:pPr>
              <w:pStyle w:val="714"/>
              <w:rPr>
                <w:b/>
                <w:bCs/>
                <w:color w:val="auto"/>
              </w:rPr>
            </w:pPr>
            <w:r>
              <w:rPr>
                <w:rFonts w:hint="eastAsia"/>
                <w:b/>
                <w:bCs/>
                <w:color w:val="auto"/>
              </w:rPr>
              <w:t>mg/L</w:t>
            </w:r>
          </w:p>
        </w:tc>
        <w:tc>
          <w:tcPr>
            <w:tcW w:w="349" w:type="pct"/>
            <w:tcBorders>
              <w:tl2br w:val="nil"/>
              <w:tr2bl w:val="nil"/>
            </w:tcBorders>
            <w:shd w:val="clear" w:color="auto" w:fill="auto"/>
            <w:tcMar>
              <w:left w:w="28" w:type="dxa"/>
              <w:right w:w="28" w:type="dxa"/>
            </w:tcMar>
            <w:vAlign w:val="center"/>
          </w:tcPr>
          <w:p w14:paraId="30BD271E">
            <w:pPr>
              <w:pStyle w:val="714"/>
              <w:rPr>
                <w:b/>
                <w:bCs/>
                <w:color w:val="auto"/>
              </w:rPr>
            </w:pPr>
            <w:r>
              <w:rPr>
                <w:rFonts w:hint="eastAsia"/>
                <w:b/>
                <w:bCs/>
                <w:color w:val="auto"/>
              </w:rPr>
              <w:t>mg/L</w:t>
            </w:r>
          </w:p>
        </w:tc>
        <w:tc>
          <w:tcPr>
            <w:tcW w:w="822" w:type="pct"/>
            <w:vMerge w:val="continue"/>
            <w:tcBorders>
              <w:tl2br w:val="nil"/>
              <w:tr2bl w:val="nil"/>
            </w:tcBorders>
            <w:tcMar>
              <w:left w:w="28" w:type="dxa"/>
              <w:right w:w="28" w:type="dxa"/>
            </w:tcMar>
            <w:vAlign w:val="center"/>
          </w:tcPr>
          <w:p w14:paraId="63928070">
            <w:pPr>
              <w:pStyle w:val="714"/>
              <w:rPr>
                <w:color w:val="auto"/>
              </w:rPr>
            </w:pPr>
          </w:p>
        </w:tc>
      </w:tr>
      <w:tr w14:paraId="6E10BE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3" w:type="pct"/>
            <w:tcBorders>
              <w:tl2br w:val="nil"/>
              <w:tr2bl w:val="nil"/>
            </w:tcBorders>
            <w:shd w:val="clear" w:color="auto" w:fill="auto"/>
            <w:tcMar>
              <w:left w:w="28" w:type="dxa"/>
              <w:right w:w="28" w:type="dxa"/>
            </w:tcMar>
            <w:vAlign w:val="center"/>
          </w:tcPr>
          <w:p w14:paraId="36095215">
            <w:pPr>
              <w:pStyle w:val="714"/>
              <w:rPr>
                <w:color w:val="auto"/>
              </w:rPr>
            </w:pPr>
            <w:r>
              <w:rPr>
                <w:rFonts w:hint="eastAsia"/>
                <w:color w:val="auto"/>
              </w:rPr>
              <w:t>1#</w:t>
            </w:r>
          </w:p>
        </w:tc>
        <w:tc>
          <w:tcPr>
            <w:tcW w:w="435" w:type="pct"/>
            <w:tcBorders>
              <w:tl2br w:val="nil"/>
              <w:tr2bl w:val="nil"/>
            </w:tcBorders>
            <w:shd w:val="clear" w:color="auto" w:fill="auto"/>
            <w:tcMar>
              <w:left w:w="28" w:type="dxa"/>
              <w:right w:w="28" w:type="dxa"/>
            </w:tcMar>
            <w:vAlign w:val="center"/>
          </w:tcPr>
          <w:p w14:paraId="1E9EAD5F">
            <w:pPr>
              <w:pStyle w:val="714"/>
              <w:rPr>
                <w:rFonts w:eastAsia="等线" w:cs="Times New Roman"/>
                <w:color w:val="auto"/>
                <w:szCs w:val="21"/>
              </w:rPr>
            </w:pPr>
            <w:r>
              <w:rPr>
                <w:rFonts w:eastAsia="等线" w:cs="Times New Roman"/>
                <w:color w:val="auto"/>
                <w:szCs w:val="21"/>
              </w:rPr>
              <w:t>6.9</w:t>
            </w:r>
          </w:p>
        </w:tc>
        <w:tc>
          <w:tcPr>
            <w:tcW w:w="312" w:type="pct"/>
            <w:tcBorders>
              <w:tl2br w:val="nil"/>
              <w:tr2bl w:val="nil"/>
            </w:tcBorders>
            <w:shd w:val="clear" w:color="auto" w:fill="auto"/>
            <w:tcMar>
              <w:left w:w="28" w:type="dxa"/>
              <w:right w:w="28" w:type="dxa"/>
            </w:tcMar>
            <w:vAlign w:val="center"/>
          </w:tcPr>
          <w:p w14:paraId="486DE2C3">
            <w:pPr>
              <w:pStyle w:val="714"/>
              <w:rPr>
                <w:rFonts w:eastAsia="等线" w:cs="Times New Roman"/>
                <w:color w:val="auto"/>
                <w:szCs w:val="21"/>
              </w:rPr>
            </w:pPr>
            <w:r>
              <w:rPr>
                <w:rFonts w:eastAsia="等线" w:cs="Times New Roman"/>
                <w:color w:val="auto"/>
                <w:szCs w:val="21"/>
              </w:rPr>
              <w:t>2.6</w:t>
            </w:r>
          </w:p>
        </w:tc>
        <w:tc>
          <w:tcPr>
            <w:tcW w:w="305" w:type="pct"/>
            <w:tcBorders>
              <w:tl2br w:val="nil"/>
              <w:tr2bl w:val="nil"/>
            </w:tcBorders>
            <w:shd w:val="clear" w:color="auto" w:fill="auto"/>
            <w:tcMar>
              <w:left w:w="28" w:type="dxa"/>
              <w:right w:w="28" w:type="dxa"/>
            </w:tcMar>
            <w:vAlign w:val="center"/>
          </w:tcPr>
          <w:p w14:paraId="3AA13718">
            <w:pPr>
              <w:pStyle w:val="714"/>
              <w:rPr>
                <w:rFonts w:eastAsia="等线" w:cs="Times New Roman"/>
                <w:color w:val="auto"/>
                <w:szCs w:val="21"/>
              </w:rPr>
            </w:pPr>
            <w:r>
              <w:rPr>
                <w:rFonts w:eastAsia="等线" w:cs="Times New Roman"/>
                <w:color w:val="auto"/>
                <w:szCs w:val="21"/>
              </w:rPr>
              <w:t>29.9</w:t>
            </w:r>
          </w:p>
        </w:tc>
        <w:tc>
          <w:tcPr>
            <w:tcW w:w="345" w:type="pct"/>
            <w:tcBorders>
              <w:tl2br w:val="nil"/>
              <w:tr2bl w:val="nil"/>
            </w:tcBorders>
            <w:shd w:val="clear" w:color="auto" w:fill="auto"/>
            <w:tcMar>
              <w:left w:w="28" w:type="dxa"/>
              <w:right w:w="28" w:type="dxa"/>
            </w:tcMar>
            <w:vAlign w:val="center"/>
          </w:tcPr>
          <w:p w14:paraId="55CB6EE8">
            <w:pPr>
              <w:pStyle w:val="714"/>
              <w:rPr>
                <w:rFonts w:eastAsia="等线" w:cs="Times New Roman"/>
                <w:color w:val="auto"/>
                <w:szCs w:val="21"/>
              </w:rPr>
            </w:pPr>
            <w:r>
              <w:rPr>
                <w:rFonts w:eastAsia="等线" w:cs="Times New Roman"/>
                <w:color w:val="auto"/>
                <w:szCs w:val="21"/>
              </w:rPr>
              <w:t>48.2</w:t>
            </w:r>
          </w:p>
        </w:tc>
        <w:tc>
          <w:tcPr>
            <w:tcW w:w="345" w:type="pct"/>
            <w:tcBorders>
              <w:tl2br w:val="nil"/>
              <w:tr2bl w:val="nil"/>
            </w:tcBorders>
            <w:shd w:val="clear" w:color="auto" w:fill="auto"/>
            <w:tcMar>
              <w:left w:w="28" w:type="dxa"/>
              <w:right w:w="28" w:type="dxa"/>
            </w:tcMar>
            <w:vAlign w:val="center"/>
          </w:tcPr>
          <w:p w14:paraId="786A964A">
            <w:pPr>
              <w:pStyle w:val="714"/>
              <w:rPr>
                <w:rFonts w:eastAsia="等线" w:cs="Times New Roman"/>
                <w:color w:val="auto"/>
                <w:szCs w:val="21"/>
              </w:rPr>
            </w:pPr>
            <w:r>
              <w:rPr>
                <w:rFonts w:eastAsia="等线" w:cs="Times New Roman"/>
                <w:color w:val="auto"/>
                <w:szCs w:val="21"/>
              </w:rPr>
              <w:t>18.6</w:t>
            </w:r>
          </w:p>
        </w:tc>
        <w:tc>
          <w:tcPr>
            <w:tcW w:w="410" w:type="pct"/>
            <w:tcBorders>
              <w:tl2br w:val="nil"/>
              <w:tr2bl w:val="nil"/>
            </w:tcBorders>
            <w:shd w:val="clear" w:color="auto" w:fill="auto"/>
            <w:tcMar>
              <w:left w:w="28" w:type="dxa"/>
              <w:right w:w="28" w:type="dxa"/>
            </w:tcMar>
            <w:vAlign w:val="center"/>
          </w:tcPr>
          <w:p w14:paraId="2C14972F">
            <w:pPr>
              <w:pStyle w:val="714"/>
              <w:rPr>
                <w:rFonts w:eastAsia="等线" w:cs="Times New Roman"/>
                <w:color w:val="auto"/>
                <w:szCs w:val="21"/>
              </w:rPr>
            </w:pPr>
            <w:r>
              <w:rPr>
                <w:rFonts w:eastAsia="等线" w:cs="Times New Roman"/>
                <w:color w:val="auto"/>
                <w:szCs w:val="21"/>
              </w:rPr>
              <w:t>18.7</w:t>
            </w:r>
          </w:p>
        </w:tc>
        <w:tc>
          <w:tcPr>
            <w:tcW w:w="410" w:type="pct"/>
            <w:tcBorders>
              <w:tl2br w:val="nil"/>
              <w:tr2bl w:val="nil"/>
            </w:tcBorders>
            <w:shd w:val="clear" w:color="auto" w:fill="auto"/>
            <w:tcMar>
              <w:left w:w="28" w:type="dxa"/>
              <w:right w:w="28" w:type="dxa"/>
            </w:tcMar>
            <w:vAlign w:val="center"/>
          </w:tcPr>
          <w:p w14:paraId="2CF8BB1F">
            <w:pPr>
              <w:pStyle w:val="714"/>
              <w:rPr>
                <w:rFonts w:eastAsia="等线" w:cs="Times New Roman"/>
                <w:color w:val="auto"/>
                <w:szCs w:val="21"/>
              </w:rPr>
            </w:pPr>
            <w:r>
              <w:rPr>
                <w:rFonts w:eastAsia="等线" w:cs="Times New Roman"/>
                <w:color w:val="auto"/>
                <w:szCs w:val="21"/>
              </w:rPr>
              <w:t>20.4</w:t>
            </w:r>
          </w:p>
        </w:tc>
        <w:tc>
          <w:tcPr>
            <w:tcW w:w="581" w:type="pct"/>
            <w:tcBorders>
              <w:tl2br w:val="nil"/>
              <w:tr2bl w:val="nil"/>
            </w:tcBorders>
            <w:shd w:val="clear" w:color="auto" w:fill="auto"/>
            <w:tcMar>
              <w:left w:w="28" w:type="dxa"/>
              <w:right w:w="28" w:type="dxa"/>
            </w:tcMar>
            <w:vAlign w:val="center"/>
          </w:tcPr>
          <w:p w14:paraId="5D2F4DF4">
            <w:pPr>
              <w:pStyle w:val="714"/>
              <w:rPr>
                <w:rFonts w:eastAsia="等线" w:cs="Times New Roman"/>
                <w:color w:val="auto"/>
                <w:szCs w:val="21"/>
              </w:rPr>
            </w:pPr>
            <w:r>
              <w:rPr>
                <w:rFonts w:eastAsia="等线" w:cs="Times New Roman"/>
                <w:color w:val="auto"/>
                <w:szCs w:val="21"/>
              </w:rPr>
              <w:t>243</w:t>
            </w:r>
          </w:p>
        </w:tc>
        <w:tc>
          <w:tcPr>
            <w:tcW w:w="339" w:type="pct"/>
            <w:tcBorders>
              <w:tl2br w:val="nil"/>
              <w:tr2bl w:val="nil"/>
            </w:tcBorders>
            <w:shd w:val="clear" w:color="auto" w:fill="auto"/>
            <w:tcMar>
              <w:left w:w="28" w:type="dxa"/>
              <w:right w:w="28" w:type="dxa"/>
            </w:tcMar>
            <w:vAlign w:val="center"/>
          </w:tcPr>
          <w:p w14:paraId="7ACE8498">
            <w:pPr>
              <w:pStyle w:val="714"/>
              <w:rPr>
                <w:rFonts w:eastAsia="等线" w:cs="Times New Roman"/>
                <w:color w:val="auto"/>
                <w:szCs w:val="21"/>
              </w:rPr>
            </w:pPr>
            <w:r>
              <w:rPr>
                <w:rFonts w:hint="eastAsia" w:eastAsia="等线" w:cs="Times New Roman"/>
                <w:color w:val="auto"/>
                <w:szCs w:val="21"/>
              </w:rPr>
              <w:t>＜5</w:t>
            </w:r>
          </w:p>
        </w:tc>
        <w:tc>
          <w:tcPr>
            <w:tcW w:w="349" w:type="pct"/>
            <w:tcBorders>
              <w:tl2br w:val="nil"/>
              <w:tr2bl w:val="nil"/>
            </w:tcBorders>
            <w:shd w:val="clear" w:color="auto" w:fill="auto"/>
            <w:tcMar>
              <w:left w:w="28" w:type="dxa"/>
              <w:right w:w="28" w:type="dxa"/>
            </w:tcMar>
            <w:vAlign w:val="center"/>
          </w:tcPr>
          <w:p w14:paraId="5FC1BE31">
            <w:pPr>
              <w:pStyle w:val="714"/>
              <w:rPr>
                <w:rFonts w:eastAsia="等线" w:cs="Times New Roman"/>
                <w:color w:val="auto"/>
                <w:szCs w:val="21"/>
              </w:rPr>
            </w:pPr>
            <w:r>
              <w:rPr>
                <w:rFonts w:eastAsia="等线" w:cs="Times New Roman"/>
                <w:color w:val="auto"/>
                <w:szCs w:val="21"/>
              </w:rPr>
              <w:t>290</w:t>
            </w:r>
          </w:p>
        </w:tc>
        <w:tc>
          <w:tcPr>
            <w:tcW w:w="822" w:type="pct"/>
            <w:tcBorders>
              <w:tl2br w:val="nil"/>
              <w:tr2bl w:val="nil"/>
            </w:tcBorders>
            <w:shd w:val="clear" w:color="auto" w:fill="auto"/>
            <w:noWrap/>
            <w:tcMar>
              <w:left w:w="28" w:type="dxa"/>
              <w:right w:w="28" w:type="dxa"/>
            </w:tcMar>
            <w:vAlign w:val="center"/>
          </w:tcPr>
          <w:p w14:paraId="26AA4B1F">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3BFD74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3" w:type="pct"/>
            <w:tcBorders>
              <w:tl2br w:val="nil"/>
              <w:tr2bl w:val="nil"/>
            </w:tcBorders>
            <w:shd w:val="clear" w:color="auto" w:fill="auto"/>
            <w:tcMar>
              <w:left w:w="28" w:type="dxa"/>
              <w:right w:w="28" w:type="dxa"/>
            </w:tcMar>
            <w:vAlign w:val="center"/>
          </w:tcPr>
          <w:p w14:paraId="136DDC37">
            <w:pPr>
              <w:pStyle w:val="714"/>
              <w:rPr>
                <w:color w:val="auto"/>
              </w:rPr>
            </w:pPr>
            <w:r>
              <w:rPr>
                <w:rFonts w:hint="eastAsia"/>
                <w:color w:val="auto"/>
              </w:rPr>
              <w:t>2#</w:t>
            </w:r>
          </w:p>
        </w:tc>
        <w:tc>
          <w:tcPr>
            <w:tcW w:w="435" w:type="pct"/>
            <w:tcBorders>
              <w:tl2br w:val="nil"/>
              <w:tr2bl w:val="nil"/>
            </w:tcBorders>
            <w:shd w:val="clear" w:color="auto" w:fill="auto"/>
            <w:tcMar>
              <w:left w:w="28" w:type="dxa"/>
              <w:right w:w="28" w:type="dxa"/>
            </w:tcMar>
            <w:vAlign w:val="center"/>
          </w:tcPr>
          <w:p w14:paraId="78A5E698">
            <w:pPr>
              <w:pStyle w:val="714"/>
              <w:rPr>
                <w:rFonts w:eastAsia="等线" w:cs="Times New Roman"/>
                <w:color w:val="auto"/>
                <w:szCs w:val="21"/>
              </w:rPr>
            </w:pPr>
            <w:r>
              <w:rPr>
                <w:rFonts w:eastAsia="等线" w:cs="Times New Roman"/>
                <w:color w:val="auto"/>
                <w:szCs w:val="21"/>
              </w:rPr>
              <w:t>7</w:t>
            </w:r>
          </w:p>
        </w:tc>
        <w:tc>
          <w:tcPr>
            <w:tcW w:w="312" w:type="pct"/>
            <w:tcBorders>
              <w:tl2br w:val="nil"/>
              <w:tr2bl w:val="nil"/>
            </w:tcBorders>
            <w:shd w:val="clear" w:color="auto" w:fill="auto"/>
            <w:tcMar>
              <w:left w:w="28" w:type="dxa"/>
              <w:right w:w="28" w:type="dxa"/>
            </w:tcMar>
            <w:vAlign w:val="center"/>
          </w:tcPr>
          <w:p w14:paraId="0F8C5367">
            <w:pPr>
              <w:pStyle w:val="714"/>
              <w:rPr>
                <w:rFonts w:eastAsia="等线" w:cs="Times New Roman"/>
                <w:color w:val="auto"/>
                <w:szCs w:val="21"/>
              </w:rPr>
            </w:pPr>
            <w:r>
              <w:rPr>
                <w:rFonts w:eastAsia="等线" w:cs="Times New Roman"/>
                <w:color w:val="auto"/>
                <w:szCs w:val="21"/>
              </w:rPr>
              <w:t>0.4</w:t>
            </w:r>
          </w:p>
        </w:tc>
        <w:tc>
          <w:tcPr>
            <w:tcW w:w="305" w:type="pct"/>
            <w:tcBorders>
              <w:tl2br w:val="nil"/>
              <w:tr2bl w:val="nil"/>
            </w:tcBorders>
            <w:shd w:val="clear" w:color="auto" w:fill="auto"/>
            <w:tcMar>
              <w:left w:w="28" w:type="dxa"/>
              <w:right w:w="28" w:type="dxa"/>
            </w:tcMar>
            <w:vAlign w:val="center"/>
          </w:tcPr>
          <w:p w14:paraId="15684567">
            <w:pPr>
              <w:pStyle w:val="714"/>
              <w:rPr>
                <w:rFonts w:eastAsia="等线" w:cs="Times New Roman"/>
                <w:color w:val="auto"/>
                <w:szCs w:val="21"/>
              </w:rPr>
            </w:pPr>
            <w:r>
              <w:rPr>
                <w:rFonts w:eastAsia="等线" w:cs="Times New Roman"/>
                <w:color w:val="auto"/>
                <w:szCs w:val="21"/>
              </w:rPr>
              <w:t>72.9</w:t>
            </w:r>
          </w:p>
        </w:tc>
        <w:tc>
          <w:tcPr>
            <w:tcW w:w="345" w:type="pct"/>
            <w:tcBorders>
              <w:tl2br w:val="nil"/>
              <w:tr2bl w:val="nil"/>
            </w:tcBorders>
            <w:shd w:val="clear" w:color="auto" w:fill="auto"/>
            <w:tcMar>
              <w:left w:w="28" w:type="dxa"/>
              <w:right w:w="28" w:type="dxa"/>
            </w:tcMar>
            <w:vAlign w:val="center"/>
          </w:tcPr>
          <w:p w14:paraId="5C3B2F9F">
            <w:pPr>
              <w:pStyle w:val="714"/>
              <w:rPr>
                <w:rFonts w:eastAsia="等线" w:cs="Times New Roman"/>
                <w:color w:val="auto"/>
                <w:szCs w:val="21"/>
              </w:rPr>
            </w:pPr>
            <w:r>
              <w:rPr>
                <w:rFonts w:eastAsia="等线" w:cs="Times New Roman"/>
                <w:color w:val="auto"/>
                <w:szCs w:val="21"/>
              </w:rPr>
              <w:t>81.8</w:t>
            </w:r>
          </w:p>
        </w:tc>
        <w:tc>
          <w:tcPr>
            <w:tcW w:w="345" w:type="pct"/>
            <w:tcBorders>
              <w:tl2br w:val="nil"/>
              <w:tr2bl w:val="nil"/>
            </w:tcBorders>
            <w:shd w:val="clear" w:color="auto" w:fill="auto"/>
            <w:tcMar>
              <w:left w:w="28" w:type="dxa"/>
              <w:right w:w="28" w:type="dxa"/>
            </w:tcMar>
            <w:vAlign w:val="center"/>
          </w:tcPr>
          <w:p w14:paraId="659ED13C">
            <w:pPr>
              <w:pStyle w:val="714"/>
              <w:rPr>
                <w:rFonts w:eastAsia="等线" w:cs="Times New Roman"/>
                <w:color w:val="auto"/>
                <w:szCs w:val="21"/>
              </w:rPr>
            </w:pPr>
            <w:r>
              <w:rPr>
                <w:rFonts w:eastAsia="等线" w:cs="Times New Roman"/>
                <w:color w:val="auto"/>
                <w:szCs w:val="21"/>
              </w:rPr>
              <w:t>34.7</w:t>
            </w:r>
          </w:p>
        </w:tc>
        <w:tc>
          <w:tcPr>
            <w:tcW w:w="410" w:type="pct"/>
            <w:tcBorders>
              <w:tl2br w:val="nil"/>
              <w:tr2bl w:val="nil"/>
            </w:tcBorders>
            <w:shd w:val="clear" w:color="auto" w:fill="auto"/>
            <w:tcMar>
              <w:left w:w="28" w:type="dxa"/>
              <w:right w:w="28" w:type="dxa"/>
            </w:tcMar>
            <w:vAlign w:val="center"/>
          </w:tcPr>
          <w:p w14:paraId="18CDC8E9">
            <w:pPr>
              <w:pStyle w:val="714"/>
              <w:rPr>
                <w:rFonts w:eastAsia="等线" w:cs="Times New Roman"/>
                <w:color w:val="auto"/>
                <w:szCs w:val="21"/>
              </w:rPr>
            </w:pPr>
            <w:r>
              <w:rPr>
                <w:rFonts w:eastAsia="等线" w:cs="Times New Roman"/>
                <w:color w:val="auto"/>
                <w:szCs w:val="21"/>
              </w:rPr>
              <w:t>41.1</w:t>
            </w:r>
          </w:p>
        </w:tc>
        <w:tc>
          <w:tcPr>
            <w:tcW w:w="410" w:type="pct"/>
            <w:tcBorders>
              <w:tl2br w:val="nil"/>
              <w:tr2bl w:val="nil"/>
            </w:tcBorders>
            <w:shd w:val="clear" w:color="auto" w:fill="auto"/>
            <w:tcMar>
              <w:left w:w="28" w:type="dxa"/>
              <w:right w:w="28" w:type="dxa"/>
            </w:tcMar>
            <w:vAlign w:val="center"/>
          </w:tcPr>
          <w:p w14:paraId="29A14B84">
            <w:pPr>
              <w:pStyle w:val="714"/>
              <w:rPr>
                <w:rFonts w:eastAsia="等线" w:cs="Times New Roman"/>
                <w:color w:val="auto"/>
                <w:szCs w:val="21"/>
              </w:rPr>
            </w:pPr>
            <w:r>
              <w:rPr>
                <w:rFonts w:eastAsia="等线" w:cs="Times New Roman"/>
                <w:color w:val="auto"/>
                <w:szCs w:val="21"/>
              </w:rPr>
              <w:t>10.6</w:t>
            </w:r>
          </w:p>
        </w:tc>
        <w:tc>
          <w:tcPr>
            <w:tcW w:w="581" w:type="pct"/>
            <w:tcBorders>
              <w:tl2br w:val="nil"/>
              <w:tr2bl w:val="nil"/>
            </w:tcBorders>
            <w:shd w:val="clear" w:color="auto" w:fill="auto"/>
            <w:tcMar>
              <w:left w:w="28" w:type="dxa"/>
              <w:right w:w="28" w:type="dxa"/>
            </w:tcMar>
            <w:vAlign w:val="center"/>
          </w:tcPr>
          <w:p w14:paraId="2BDADBA0">
            <w:pPr>
              <w:pStyle w:val="714"/>
              <w:rPr>
                <w:rFonts w:eastAsia="等线" w:cs="Times New Roman"/>
                <w:color w:val="auto"/>
                <w:szCs w:val="21"/>
              </w:rPr>
            </w:pPr>
            <w:r>
              <w:rPr>
                <w:rFonts w:eastAsia="等线" w:cs="Times New Roman"/>
                <w:color w:val="auto"/>
                <w:szCs w:val="21"/>
              </w:rPr>
              <w:t>508</w:t>
            </w:r>
          </w:p>
        </w:tc>
        <w:tc>
          <w:tcPr>
            <w:tcW w:w="339" w:type="pct"/>
            <w:tcBorders>
              <w:tl2br w:val="nil"/>
              <w:tr2bl w:val="nil"/>
            </w:tcBorders>
            <w:shd w:val="clear" w:color="auto" w:fill="auto"/>
            <w:tcMar>
              <w:left w:w="28" w:type="dxa"/>
              <w:right w:w="28" w:type="dxa"/>
            </w:tcMar>
            <w:vAlign w:val="center"/>
          </w:tcPr>
          <w:p w14:paraId="06284658">
            <w:pPr>
              <w:pStyle w:val="714"/>
              <w:rPr>
                <w:rFonts w:eastAsia="等线" w:cs="Times New Roman"/>
                <w:color w:val="auto"/>
                <w:szCs w:val="21"/>
              </w:rPr>
            </w:pPr>
            <w:r>
              <w:rPr>
                <w:rFonts w:hint="eastAsia" w:eastAsia="等线" w:cs="Times New Roman"/>
                <w:color w:val="auto"/>
                <w:szCs w:val="21"/>
              </w:rPr>
              <w:t>＜5</w:t>
            </w:r>
          </w:p>
        </w:tc>
        <w:tc>
          <w:tcPr>
            <w:tcW w:w="349" w:type="pct"/>
            <w:tcBorders>
              <w:tl2br w:val="nil"/>
              <w:tr2bl w:val="nil"/>
            </w:tcBorders>
            <w:shd w:val="clear" w:color="auto" w:fill="auto"/>
            <w:tcMar>
              <w:left w:w="28" w:type="dxa"/>
              <w:right w:w="28" w:type="dxa"/>
            </w:tcMar>
            <w:vAlign w:val="center"/>
          </w:tcPr>
          <w:p w14:paraId="521F60CE">
            <w:pPr>
              <w:pStyle w:val="714"/>
              <w:rPr>
                <w:rFonts w:eastAsia="等线" w:cs="Times New Roman"/>
                <w:color w:val="auto"/>
                <w:szCs w:val="21"/>
              </w:rPr>
            </w:pPr>
            <w:r>
              <w:rPr>
                <w:rFonts w:eastAsia="等线" w:cs="Times New Roman"/>
                <w:color w:val="auto"/>
                <w:szCs w:val="21"/>
              </w:rPr>
              <w:t>521</w:t>
            </w:r>
          </w:p>
        </w:tc>
        <w:tc>
          <w:tcPr>
            <w:tcW w:w="822" w:type="pct"/>
            <w:tcBorders>
              <w:tl2br w:val="nil"/>
              <w:tr2bl w:val="nil"/>
            </w:tcBorders>
            <w:shd w:val="clear" w:color="auto" w:fill="auto"/>
            <w:noWrap/>
            <w:tcMar>
              <w:left w:w="28" w:type="dxa"/>
              <w:right w:w="28" w:type="dxa"/>
            </w:tcMar>
            <w:vAlign w:val="center"/>
          </w:tcPr>
          <w:p w14:paraId="18D19994">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5EC739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3" w:type="pct"/>
            <w:tcBorders>
              <w:tl2br w:val="nil"/>
              <w:tr2bl w:val="nil"/>
            </w:tcBorders>
            <w:shd w:val="clear" w:color="auto" w:fill="auto"/>
            <w:tcMar>
              <w:left w:w="28" w:type="dxa"/>
              <w:right w:w="28" w:type="dxa"/>
            </w:tcMar>
            <w:vAlign w:val="center"/>
          </w:tcPr>
          <w:p w14:paraId="057D1C66">
            <w:pPr>
              <w:pStyle w:val="714"/>
              <w:rPr>
                <w:color w:val="auto"/>
              </w:rPr>
            </w:pPr>
            <w:r>
              <w:rPr>
                <w:rFonts w:hint="eastAsia"/>
                <w:color w:val="auto"/>
              </w:rPr>
              <w:t>3#</w:t>
            </w:r>
          </w:p>
        </w:tc>
        <w:tc>
          <w:tcPr>
            <w:tcW w:w="435" w:type="pct"/>
            <w:tcBorders>
              <w:tl2br w:val="nil"/>
              <w:tr2bl w:val="nil"/>
            </w:tcBorders>
            <w:shd w:val="clear" w:color="auto" w:fill="auto"/>
            <w:tcMar>
              <w:left w:w="28" w:type="dxa"/>
              <w:right w:w="28" w:type="dxa"/>
            </w:tcMar>
            <w:vAlign w:val="center"/>
          </w:tcPr>
          <w:p w14:paraId="2BB7216A">
            <w:pPr>
              <w:pStyle w:val="714"/>
              <w:rPr>
                <w:rFonts w:eastAsia="等线" w:cs="Times New Roman"/>
                <w:color w:val="auto"/>
                <w:szCs w:val="21"/>
              </w:rPr>
            </w:pPr>
            <w:r>
              <w:rPr>
                <w:rFonts w:eastAsia="等线" w:cs="Times New Roman"/>
                <w:color w:val="auto"/>
                <w:szCs w:val="21"/>
              </w:rPr>
              <w:t>7</w:t>
            </w:r>
          </w:p>
        </w:tc>
        <w:tc>
          <w:tcPr>
            <w:tcW w:w="312" w:type="pct"/>
            <w:tcBorders>
              <w:tl2br w:val="nil"/>
              <w:tr2bl w:val="nil"/>
            </w:tcBorders>
            <w:shd w:val="clear" w:color="auto" w:fill="auto"/>
            <w:tcMar>
              <w:left w:w="28" w:type="dxa"/>
              <w:right w:w="28" w:type="dxa"/>
            </w:tcMar>
            <w:vAlign w:val="center"/>
          </w:tcPr>
          <w:p w14:paraId="2B89A75E">
            <w:pPr>
              <w:pStyle w:val="714"/>
              <w:rPr>
                <w:rFonts w:eastAsia="等线" w:cs="Times New Roman"/>
                <w:color w:val="auto"/>
                <w:szCs w:val="21"/>
              </w:rPr>
            </w:pPr>
            <w:r>
              <w:rPr>
                <w:rFonts w:eastAsia="等线" w:cs="Times New Roman"/>
                <w:color w:val="auto"/>
                <w:szCs w:val="21"/>
              </w:rPr>
              <w:t>0.73</w:t>
            </w:r>
          </w:p>
        </w:tc>
        <w:tc>
          <w:tcPr>
            <w:tcW w:w="305" w:type="pct"/>
            <w:tcBorders>
              <w:tl2br w:val="nil"/>
              <w:tr2bl w:val="nil"/>
            </w:tcBorders>
            <w:shd w:val="clear" w:color="auto" w:fill="auto"/>
            <w:tcMar>
              <w:left w:w="28" w:type="dxa"/>
              <w:right w:w="28" w:type="dxa"/>
            </w:tcMar>
            <w:vAlign w:val="center"/>
          </w:tcPr>
          <w:p w14:paraId="5AE67C0A">
            <w:pPr>
              <w:pStyle w:val="714"/>
              <w:rPr>
                <w:rFonts w:eastAsia="等线" w:cs="Times New Roman"/>
                <w:color w:val="auto"/>
                <w:szCs w:val="21"/>
              </w:rPr>
            </w:pPr>
            <w:r>
              <w:rPr>
                <w:rFonts w:eastAsia="等线" w:cs="Times New Roman"/>
                <w:color w:val="auto"/>
                <w:szCs w:val="21"/>
              </w:rPr>
              <w:t>43.9</w:t>
            </w:r>
          </w:p>
        </w:tc>
        <w:tc>
          <w:tcPr>
            <w:tcW w:w="345" w:type="pct"/>
            <w:tcBorders>
              <w:tl2br w:val="nil"/>
              <w:tr2bl w:val="nil"/>
            </w:tcBorders>
            <w:shd w:val="clear" w:color="auto" w:fill="auto"/>
            <w:tcMar>
              <w:left w:w="28" w:type="dxa"/>
              <w:right w:w="28" w:type="dxa"/>
            </w:tcMar>
            <w:vAlign w:val="center"/>
          </w:tcPr>
          <w:p w14:paraId="573182FE">
            <w:pPr>
              <w:pStyle w:val="714"/>
              <w:rPr>
                <w:rFonts w:eastAsia="等线" w:cs="Times New Roman"/>
                <w:color w:val="auto"/>
                <w:szCs w:val="21"/>
              </w:rPr>
            </w:pPr>
            <w:r>
              <w:rPr>
                <w:rFonts w:eastAsia="等线" w:cs="Times New Roman"/>
                <w:color w:val="auto"/>
                <w:szCs w:val="21"/>
              </w:rPr>
              <w:t>113</w:t>
            </w:r>
          </w:p>
        </w:tc>
        <w:tc>
          <w:tcPr>
            <w:tcW w:w="345" w:type="pct"/>
            <w:tcBorders>
              <w:tl2br w:val="nil"/>
              <w:tr2bl w:val="nil"/>
            </w:tcBorders>
            <w:shd w:val="clear" w:color="auto" w:fill="auto"/>
            <w:tcMar>
              <w:left w:w="28" w:type="dxa"/>
              <w:right w:w="28" w:type="dxa"/>
            </w:tcMar>
            <w:vAlign w:val="center"/>
          </w:tcPr>
          <w:p w14:paraId="217B31AD">
            <w:pPr>
              <w:pStyle w:val="714"/>
              <w:rPr>
                <w:rFonts w:eastAsia="等线" w:cs="Times New Roman"/>
                <w:color w:val="auto"/>
                <w:szCs w:val="21"/>
              </w:rPr>
            </w:pPr>
            <w:r>
              <w:rPr>
                <w:rFonts w:eastAsia="等线" w:cs="Times New Roman"/>
                <w:color w:val="auto"/>
                <w:szCs w:val="21"/>
              </w:rPr>
              <w:t>42.6</w:t>
            </w:r>
          </w:p>
        </w:tc>
        <w:tc>
          <w:tcPr>
            <w:tcW w:w="410" w:type="pct"/>
            <w:tcBorders>
              <w:tl2br w:val="nil"/>
              <w:tr2bl w:val="nil"/>
            </w:tcBorders>
            <w:shd w:val="clear" w:color="auto" w:fill="auto"/>
            <w:tcMar>
              <w:left w:w="28" w:type="dxa"/>
              <w:right w:w="28" w:type="dxa"/>
            </w:tcMar>
            <w:vAlign w:val="center"/>
          </w:tcPr>
          <w:p w14:paraId="0E2D86CD">
            <w:pPr>
              <w:pStyle w:val="714"/>
              <w:rPr>
                <w:rFonts w:eastAsia="等线" w:cs="Times New Roman"/>
                <w:color w:val="auto"/>
                <w:szCs w:val="21"/>
              </w:rPr>
            </w:pPr>
            <w:r>
              <w:rPr>
                <w:rFonts w:eastAsia="等线" w:cs="Times New Roman"/>
                <w:color w:val="auto"/>
                <w:szCs w:val="21"/>
              </w:rPr>
              <w:t>48.9</w:t>
            </w:r>
          </w:p>
        </w:tc>
        <w:tc>
          <w:tcPr>
            <w:tcW w:w="410" w:type="pct"/>
            <w:tcBorders>
              <w:tl2br w:val="nil"/>
              <w:tr2bl w:val="nil"/>
            </w:tcBorders>
            <w:shd w:val="clear" w:color="auto" w:fill="auto"/>
            <w:tcMar>
              <w:left w:w="28" w:type="dxa"/>
              <w:right w:w="28" w:type="dxa"/>
            </w:tcMar>
            <w:vAlign w:val="center"/>
          </w:tcPr>
          <w:p w14:paraId="03992EDB">
            <w:pPr>
              <w:pStyle w:val="714"/>
              <w:rPr>
                <w:rFonts w:eastAsia="等线" w:cs="Times New Roman"/>
                <w:color w:val="auto"/>
                <w:szCs w:val="21"/>
              </w:rPr>
            </w:pPr>
            <w:r>
              <w:rPr>
                <w:rFonts w:eastAsia="等线" w:cs="Times New Roman"/>
                <w:color w:val="auto"/>
                <w:szCs w:val="21"/>
              </w:rPr>
              <w:t>22.6</w:t>
            </w:r>
          </w:p>
        </w:tc>
        <w:tc>
          <w:tcPr>
            <w:tcW w:w="581" w:type="pct"/>
            <w:tcBorders>
              <w:tl2br w:val="nil"/>
              <w:tr2bl w:val="nil"/>
            </w:tcBorders>
            <w:shd w:val="clear" w:color="auto" w:fill="auto"/>
            <w:tcMar>
              <w:left w:w="28" w:type="dxa"/>
              <w:right w:w="28" w:type="dxa"/>
            </w:tcMar>
            <w:vAlign w:val="center"/>
          </w:tcPr>
          <w:p w14:paraId="26A74CDE">
            <w:pPr>
              <w:pStyle w:val="714"/>
              <w:rPr>
                <w:rFonts w:eastAsia="等线" w:cs="Times New Roman"/>
                <w:color w:val="auto"/>
                <w:szCs w:val="21"/>
              </w:rPr>
            </w:pPr>
            <w:r>
              <w:rPr>
                <w:rFonts w:eastAsia="等线" w:cs="Times New Roman"/>
                <w:color w:val="auto"/>
                <w:szCs w:val="21"/>
              </w:rPr>
              <w:t>551</w:t>
            </w:r>
          </w:p>
        </w:tc>
        <w:tc>
          <w:tcPr>
            <w:tcW w:w="339" w:type="pct"/>
            <w:tcBorders>
              <w:tl2br w:val="nil"/>
              <w:tr2bl w:val="nil"/>
            </w:tcBorders>
            <w:shd w:val="clear" w:color="auto" w:fill="auto"/>
            <w:tcMar>
              <w:left w:w="28" w:type="dxa"/>
              <w:right w:w="28" w:type="dxa"/>
            </w:tcMar>
            <w:vAlign w:val="center"/>
          </w:tcPr>
          <w:p w14:paraId="7B3CBB29">
            <w:pPr>
              <w:pStyle w:val="714"/>
              <w:rPr>
                <w:rFonts w:eastAsia="等线" w:cs="Times New Roman"/>
                <w:color w:val="auto"/>
                <w:szCs w:val="21"/>
              </w:rPr>
            </w:pPr>
            <w:r>
              <w:rPr>
                <w:rFonts w:hint="eastAsia" w:eastAsia="等线" w:cs="Times New Roman"/>
                <w:color w:val="auto"/>
                <w:szCs w:val="21"/>
              </w:rPr>
              <w:t>＜5</w:t>
            </w:r>
          </w:p>
        </w:tc>
        <w:tc>
          <w:tcPr>
            <w:tcW w:w="349" w:type="pct"/>
            <w:tcBorders>
              <w:tl2br w:val="nil"/>
              <w:tr2bl w:val="nil"/>
            </w:tcBorders>
            <w:shd w:val="clear" w:color="auto" w:fill="auto"/>
            <w:tcMar>
              <w:left w:w="28" w:type="dxa"/>
              <w:right w:w="28" w:type="dxa"/>
            </w:tcMar>
            <w:vAlign w:val="center"/>
          </w:tcPr>
          <w:p w14:paraId="63E4FDEB">
            <w:pPr>
              <w:pStyle w:val="714"/>
              <w:rPr>
                <w:rFonts w:eastAsia="等线" w:cs="Times New Roman"/>
                <w:color w:val="auto"/>
                <w:szCs w:val="21"/>
              </w:rPr>
            </w:pPr>
            <w:r>
              <w:rPr>
                <w:rFonts w:eastAsia="等线" w:cs="Times New Roman"/>
                <w:color w:val="auto"/>
                <w:szCs w:val="21"/>
              </w:rPr>
              <w:t>555</w:t>
            </w:r>
          </w:p>
        </w:tc>
        <w:tc>
          <w:tcPr>
            <w:tcW w:w="822" w:type="pct"/>
            <w:tcBorders>
              <w:tl2br w:val="nil"/>
              <w:tr2bl w:val="nil"/>
            </w:tcBorders>
            <w:shd w:val="clear" w:color="auto" w:fill="auto"/>
            <w:noWrap/>
            <w:tcMar>
              <w:left w:w="28" w:type="dxa"/>
              <w:right w:w="28" w:type="dxa"/>
            </w:tcMar>
            <w:vAlign w:val="center"/>
          </w:tcPr>
          <w:p w14:paraId="62EDFB1C">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75B9E4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3" w:type="pct"/>
            <w:tcBorders>
              <w:tl2br w:val="nil"/>
              <w:tr2bl w:val="nil"/>
            </w:tcBorders>
            <w:shd w:val="clear" w:color="auto" w:fill="auto"/>
            <w:tcMar>
              <w:left w:w="28" w:type="dxa"/>
              <w:right w:w="28" w:type="dxa"/>
            </w:tcMar>
            <w:vAlign w:val="center"/>
          </w:tcPr>
          <w:p w14:paraId="1BFED5F6">
            <w:pPr>
              <w:pStyle w:val="714"/>
              <w:rPr>
                <w:color w:val="auto"/>
              </w:rPr>
            </w:pPr>
            <w:r>
              <w:rPr>
                <w:rFonts w:hint="eastAsia"/>
                <w:color w:val="auto"/>
              </w:rPr>
              <w:t>4#</w:t>
            </w:r>
          </w:p>
        </w:tc>
        <w:tc>
          <w:tcPr>
            <w:tcW w:w="435" w:type="pct"/>
            <w:tcBorders>
              <w:tl2br w:val="nil"/>
              <w:tr2bl w:val="nil"/>
            </w:tcBorders>
            <w:shd w:val="clear" w:color="auto" w:fill="auto"/>
            <w:tcMar>
              <w:left w:w="28" w:type="dxa"/>
              <w:right w:w="28" w:type="dxa"/>
            </w:tcMar>
            <w:vAlign w:val="center"/>
          </w:tcPr>
          <w:p w14:paraId="1A631117">
            <w:pPr>
              <w:pStyle w:val="714"/>
              <w:rPr>
                <w:rFonts w:eastAsia="等线" w:cs="Times New Roman"/>
                <w:color w:val="auto"/>
                <w:szCs w:val="21"/>
              </w:rPr>
            </w:pPr>
            <w:r>
              <w:rPr>
                <w:rFonts w:eastAsia="等线" w:cs="Times New Roman"/>
                <w:color w:val="auto"/>
                <w:szCs w:val="21"/>
              </w:rPr>
              <w:t>7.1</w:t>
            </w:r>
          </w:p>
        </w:tc>
        <w:tc>
          <w:tcPr>
            <w:tcW w:w="312" w:type="pct"/>
            <w:tcBorders>
              <w:tl2br w:val="nil"/>
              <w:tr2bl w:val="nil"/>
            </w:tcBorders>
            <w:shd w:val="clear" w:color="auto" w:fill="auto"/>
            <w:tcMar>
              <w:left w:w="28" w:type="dxa"/>
              <w:right w:w="28" w:type="dxa"/>
            </w:tcMar>
            <w:vAlign w:val="center"/>
          </w:tcPr>
          <w:p w14:paraId="65936736">
            <w:pPr>
              <w:pStyle w:val="714"/>
              <w:rPr>
                <w:rFonts w:eastAsia="等线" w:cs="Times New Roman"/>
                <w:color w:val="auto"/>
                <w:szCs w:val="21"/>
              </w:rPr>
            </w:pPr>
            <w:r>
              <w:rPr>
                <w:rFonts w:eastAsia="等线" w:cs="Times New Roman"/>
                <w:color w:val="auto"/>
                <w:szCs w:val="21"/>
              </w:rPr>
              <w:t>39.8</w:t>
            </w:r>
          </w:p>
        </w:tc>
        <w:tc>
          <w:tcPr>
            <w:tcW w:w="305" w:type="pct"/>
            <w:tcBorders>
              <w:tl2br w:val="nil"/>
              <w:tr2bl w:val="nil"/>
            </w:tcBorders>
            <w:shd w:val="clear" w:color="auto" w:fill="auto"/>
            <w:tcMar>
              <w:left w:w="28" w:type="dxa"/>
              <w:right w:w="28" w:type="dxa"/>
            </w:tcMar>
            <w:vAlign w:val="center"/>
          </w:tcPr>
          <w:p w14:paraId="62EB63DF">
            <w:pPr>
              <w:pStyle w:val="714"/>
              <w:rPr>
                <w:rFonts w:eastAsia="等线" w:cs="Times New Roman"/>
                <w:color w:val="auto"/>
                <w:szCs w:val="21"/>
              </w:rPr>
            </w:pPr>
            <w:r>
              <w:rPr>
                <w:rFonts w:eastAsia="等线" w:cs="Times New Roman"/>
                <w:color w:val="auto"/>
                <w:szCs w:val="21"/>
              </w:rPr>
              <w:t>69.3</w:t>
            </w:r>
          </w:p>
        </w:tc>
        <w:tc>
          <w:tcPr>
            <w:tcW w:w="345" w:type="pct"/>
            <w:tcBorders>
              <w:tl2br w:val="nil"/>
              <w:tr2bl w:val="nil"/>
            </w:tcBorders>
            <w:shd w:val="clear" w:color="auto" w:fill="auto"/>
            <w:tcMar>
              <w:left w:w="28" w:type="dxa"/>
              <w:right w:w="28" w:type="dxa"/>
            </w:tcMar>
            <w:vAlign w:val="center"/>
          </w:tcPr>
          <w:p w14:paraId="7B63595F">
            <w:pPr>
              <w:pStyle w:val="714"/>
              <w:rPr>
                <w:rFonts w:eastAsia="等线" w:cs="Times New Roman"/>
                <w:color w:val="auto"/>
                <w:szCs w:val="21"/>
              </w:rPr>
            </w:pPr>
            <w:r>
              <w:rPr>
                <w:rFonts w:eastAsia="等线" w:cs="Times New Roman"/>
                <w:color w:val="auto"/>
                <w:szCs w:val="21"/>
              </w:rPr>
              <w:t>103.7</w:t>
            </w:r>
          </w:p>
        </w:tc>
        <w:tc>
          <w:tcPr>
            <w:tcW w:w="345" w:type="pct"/>
            <w:tcBorders>
              <w:tl2br w:val="nil"/>
              <w:tr2bl w:val="nil"/>
            </w:tcBorders>
            <w:shd w:val="clear" w:color="auto" w:fill="auto"/>
            <w:tcMar>
              <w:left w:w="28" w:type="dxa"/>
              <w:right w:w="28" w:type="dxa"/>
            </w:tcMar>
            <w:vAlign w:val="center"/>
          </w:tcPr>
          <w:p w14:paraId="2D6878EA">
            <w:pPr>
              <w:pStyle w:val="714"/>
              <w:rPr>
                <w:rFonts w:eastAsia="等线" w:cs="Times New Roman"/>
                <w:color w:val="auto"/>
                <w:szCs w:val="21"/>
              </w:rPr>
            </w:pPr>
            <w:r>
              <w:rPr>
                <w:rFonts w:eastAsia="等线" w:cs="Times New Roman"/>
                <w:color w:val="auto"/>
                <w:szCs w:val="21"/>
              </w:rPr>
              <w:t>39.6</w:t>
            </w:r>
          </w:p>
        </w:tc>
        <w:tc>
          <w:tcPr>
            <w:tcW w:w="410" w:type="pct"/>
            <w:tcBorders>
              <w:tl2br w:val="nil"/>
              <w:tr2bl w:val="nil"/>
            </w:tcBorders>
            <w:shd w:val="clear" w:color="auto" w:fill="auto"/>
            <w:tcMar>
              <w:left w:w="28" w:type="dxa"/>
              <w:right w:w="28" w:type="dxa"/>
            </w:tcMar>
            <w:vAlign w:val="center"/>
          </w:tcPr>
          <w:p w14:paraId="1BF375F6">
            <w:pPr>
              <w:pStyle w:val="714"/>
              <w:rPr>
                <w:rFonts w:eastAsia="等线" w:cs="Times New Roman"/>
                <w:color w:val="auto"/>
                <w:szCs w:val="21"/>
              </w:rPr>
            </w:pPr>
            <w:r>
              <w:rPr>
                <w:rFonts w:eastAsia="等线" w:cs="Times New Roman"/>
                <w:color w:val="auto"/>
                <w:szCs w:val="21"/>
              </w:rPr>
              <w:t>175</w:t>
            </w:r>
          </w:p>
        </w:tc>
        <w:tc>
          <w:tcPr>
            <w:tcW w:w="410" w:type="pct"/>
            <w:tcBorders>
              <w:tl2br w:val="nil"/>
              <w:tr2bl w:val="nil"/>
            </w:tcBorders>
            <w:shd w:val="clear" w:color="auto" w:fill="auto"/>
            <w:tcMar>
              <w:left w:w="28" w:type="dxa"/>
              <w:right w:w="28" w:type="dxa"/>
            </w:tcMar>
            <w:vAlign w:val="center"/>
          </w:tcPr>
          <w:p w14:paraId="660126BF">
            <w:pPr>
              <w:pStyle w:val="714"/>
              <w:rPr>
                <w:rFonts w:eastAsia="等线" w:cs="Times New Roman"/>
                <w:color w:val="auto"/>
                <w:szCs w:val="21"/>
              </w:rPr>
            </w:pPr>
            <w:r>
              <w:rPr>
                <w:rFonts w:eastAsia="等线" w:cs="Times New Roman"/>
                <w:color w:val="auto"/>
                <w:szCs w:val="21"/>
              </w:rPr>
              <w:t>98</w:t>
            </w:r>
          </w:p>
        </w:tc>
        <w:tc>
          <w:tcPr>
            <w:tcW w:w="581" w:type="pct"/>
            <w:tcBorders>
              <w:tl2br w:val="nil"/>
              <w:tr2bl w:val="nil"/>
            </w:tcBorders>
            <w:shd w:val="clear" w:color="auto" w:fill="auto"/>
            <w:tcMar>
              <w:left w:w="28" w:type="dxa"/>
              <w:right w:w="28" w:type="dxa"/>
            </w:tcMar>
            <w:vAlign w:val="center"/>
          </w:tcPr>
          <w:p w14:paraId="5538590F">
            <w:pPr>
              <w:pStyle w:val="714"/>
              <w:rPr>
                <w:rFonts w:eastAsia="等线" w:cs="Times New Roman"/>
                <w:color w:val="auto"/>
                <w:szCs w:val="21"/>
              </w:rPr>
            </w:pPr>
            <w:r>
              <w:rPr>
                <w:rFonts w:eastAsia="等线" w:cs="Times New Roman"/>
                <w:color w:val="auto"/>
                <w:szCs w:val="21"/>
              </w:rPr>
              <w:t>236</w:t>
            </w:r>
          </w:p>
        </w:tc>
        <w:tc>
          <w:tcPr>
            <w:tcW w:w="339" w:type="pct"/>
            <w:tcBorders>
              <w:tl2br w:val="nil"/>
              <w:tr2bl w:val="nil"/>
            </w:tcBorders>
            <w:shd w:val="clear" w:color="auto" w:fill="auto"/>
            <w:tcMar>
              <w:left w:w="28" w:type="dxa"/>
              <w:right w:w="28" w:type="dxa"/>
            </w:tcMar>
            <w:vAlign w:val="center"/>
          </w:tcPr>
          <w:p w14:paraId="6DBD6EF6">
            <w:pPr>
              <w:pStyle w:val="714"/>
              <w:rPr>
                <w:rFonts w:eastAsia="等线" w:cs="Times New Roman"/>
                <w:color w:val="auto"/>
                <w:szCs w:val="21"/>
              </w:rPr>
            </w:pPr>
            <w:r>
              <w:rPr>
                <w:rFonts w:hint="eastAsia" w:eastAsia="等线" w:cs="Times New Roman"/>
                <w:color w:val="auto"/>
                <w:szCs w:val="21"/>
              </w:rPr>
              <w:t>＜5</w:t>
            </w:r>
          </w:p>
        </w:tc>
        <w:tc>
          <w:tcPr>
            <w:tcW w:w="349" w:type="pct"/>
            <w:tcBorders>
              <w:tl2br w:val="nil"/>
              <w:tr2bl w:val="nil"/>
            </w:tcBorders>
            <w:shd w:val="clear" w:color="auto" w:fill="auto"/>
            <w:tcMar>
              <w:left w:w="28" w:type="dxa"/>
              <w:right w:w="28" w:type="dxa"/>
            </w:tcMar>
            <w:vAlign w:val="center"/>
          </w:tcPr>
          <w:p w14:paraId="1756BD65">
            <w:pPr>
              <w:pStyle w:val="714"/>
              <w:rPr>
                <w:rFonts w:eastAsia="等线" w:cs="Times New Roman"/>
                <w:color w:val="auto"/>
                <w:szCs w:val="21"/>
              </w:rPr>
            </w:pPr>
            <w:r>
              <w:rPr>
                <w:rFonts w:eastAsia="等线" w:cs="Times New Roman"/>
                <w:color w:val="auto"/>
                <w:szCs w:val="21"/>
              </w:rPr>
              <w:t>625</w:t>
            </w:r>
          </w:p>
        </w:tc>
        <w:tc>
          <w:tcPr>
            <w:tcW w:w="822" w:type="pct"/>
            <w:tcBorders>
              <w:tl2br w:val="nil"/>
              <w:tr2bl w:val="nil"/>
            </w:tcBorders>
            <w:shd w:val="clear" w:color="auto" w:fill="auto"/>
            <w:noWrap/>
            <w:tcMar>
              <w:left w:w="28" w:type="dxa"/>
              <w:right w:w="28" w:type="dxa"/>
            </w:tcMar>
            <w:vAlign w:val="center"/>
          </w:tcPr>
          <w:p w14:paraId="75AC8010">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2F4462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3" w:type="pct"/>
            <w:tcBorders>
              <w:tl2br w:val="nil"/>
              <w:tr2bl w:val="nil"/>
            </w:tcBorders>
            <w:shd w:val="clear" w:color="auto" w:fill="auto"/>
            <w:tcMar>
              <w:left w:w="28" w:type="dxa"/>
              <w:right w:w="28" w:type="dxa"/>
            </w:tcMar>
            <w:vAlign w:val="center"/>
          </w:tcPr>
          <w:p w14:paraId="77891B78">
            <w:pPr>
              <w:pStyle w:val="714"/>
              <w:rPr>
                <w:color w:val="auto"/>
              </w:rPr>
            </w:pPr>
            <w:r>
              <w:rPr>
                <w:rFonts w:hint="eastAsia"/>
                <w:color w:val="auto"/>
              </w:rPr>
              <w:t>5#</w:t>
            </w:r>
          </w:p>
        </w:tc>
        <w:tc>
          <w:tcPr>
            <w:tcW w:w="435" w:type="pct"/>
            <w:tcBorders>
              <w:tl2br w:val="nil"/>
              <w:tr2bl w:val="nil"/>
            </w:tcBorders>
            <w:shd w:val="clear" w:color="auto" w:fill="auto"/>
            <w:tcMar>
              <w:left w:w="28" w:type="dxa"/>
              <w:right w:w="28" w:type="dxa"/>
            </w:tcMar>
            <w:vAlign w:val="center"/>
          </w:tcPr>
          <w:p w14:paraId="61EFD1B0">
            <w:pPr>
              <w:pStyle w:val="714"/>
              <w:rPr>
                <w:rFonts w:eastAsia="等线" w:cs="Times New Roman"/>
                <w:color w:val="auto"/>
                <w:szCs w:val="21"/>
              </w:rPr>
            </w:pPr>
            <w:r>
              <w:rPr>
                <w:rFonts w:eastAsia="等线" w:cs="Times New Roman"/>
                <w:color w:val="auto"/>
                <w:szCs w:val="21"/>
              </w:rPr>
              <w:t>7.2</w:t>
            </w:r>
          </w:p>
        </w:tc>
        <w:tc>
          <w:tcPr>
            <w:tcW w:w="312" w:type="pct"/>
            <w:tcBorders>
              <w:tl2br w:val="nil"/>
              <w:tr2bl w:val="nil"/>
            </w:tcBorders>
            <w:shd w:val="clear" w:color="auto" w:fill="auto"/>
            <w:tcMar>
              <w:left w:w="28" w:type="dxa"/>
              <w:right w:w="28" w:type="dxa"/>
            </w:tcMar>
            <w:vAlign w:val="center"/>
          </w:tcPr>
          <w:p w14:paraId="484C39F5">
            <w:pPr>
              <w:pStyle w:val="714"/>
              <w:rPr>
                <w:rFonts w:eastAsia="等线" w:cs="Times New Roman"/>
                <w:color w:val="auto"/>
                <w:szCs w:val="21"/>
              </w:rPr>
            </w:pPr>
            <w:r>
              <w:rPr>
                <w:rFonts w:eastAsia="等线" w:cs="Times New Roman"/>
                <w:color w:val="auto"/>
                <w:szCs w:val="21"/>
              </w:rPr>
              <w:t>0.83</w:t>
            </w:r>
          </w:p>
        </w:tc>
        <w:tc>
          <w:tcPr>
            <w:tcW w:w="305" w:type="pct"/>
            <w:tcBorders>
              <w:tl2br w:val="nil"/>
              <w:tr2bl w:val="nil"/>
            </w:tcBorders>
            <w:shd w:val="clear" w:color="auto" w:fill="auto"/>
            <w:tcMar>
              <w:left w:w="28" w:type="dxa"/>
              <w:right w:w="28" w:type="dxa"/>
            </w:tcMar>
            <w:vAlign w:val="center"/>
          </w:tcPr>
          <w:p w14:paraId="2F5850DC">
            <w:pPr>
              <w:pStyle w:val="714"/>
              <w:rPr>
                <w:rFonts w:eastAsia="等线" w:cs="Times New Roman"/>
                <w:color w:val="auto"/>
                <w:szCs w:val="21"/>
              </w:rPr>
            </w:pPr>
            <w:r>
              <w:rPr>
                <w:rFonts w:eastAsia="等线" w:cs="Times New Roman"/>
                <w:color w:val="auto"/>
                <w:szCs w:val="21"/>
              </w:rPr>
              <w:t>9.01</w:t>
            </w:r>
          </w:p>
        </w:tc>
        <w:tc>
          <w:tcPr>
            <w:tcW w:w="345" w:type="pct"/>
            <w:tcBorders>
              <w:tl2br w:val="nil"/>
              <w:tr2bl w:val="nil"/>
            </w:tcBorders>
            <w:shd w:val="clear" w:color="auto" w:fill="auto"/>
            <w:tcMar>
              <w:left w:w="28" w:type="dxa"/>
              <w:right w:w="28" w:type="dxa"/>
            </w:tcMar>
            <w:vAlign w:val="center"/>
          </w:tcPr>
          <w:p w14:paraId="6A22CE21">
            <w:pPr>
              <w:pStyle w:val="714"/>
              <w:rPr>
                <w:rFonts w:eastAsia="等线" w:cs="Times New Roman"/>
                <w:color w:val="auto"/>
                <w:szCs w:val="21"/>
              </w:rPr>
            </w:pPr>
            <w:r>
              <w:rPr>
                <w:rFonts w:eastAsia="等线" w:cs="Times New Roman"/>
                <w:color w:val="auto"/>
                <w:szCs w:val="21"/>
              </w:rPr>
              <w:t>20.3</w:t>
            </w:r>
          </w:p>
        </w:tc>
        <w:tc>
          <w:tcPr>
            <w:tcW w:w="345" w:type="pct"/>
            <w:tcBorders>
              <w:tl2br w:val="nil"/>
              <w:tr2bl w:val="nil"/>
            </w:tcBorders>
            <w:shd w:val="clear" w:color="auto" w:fill="auto"/>
            <w:tcMar>
              <w:left w:w="28" w:type="dxa"/>
              <w:right w:w="28" w:type="dxa"/>
            </w:tcMar>
            <w:vAlign w:val="center"/>
          </w:tcPr>
          <w:p w14:paraId="544AA965">
            <w:pPr>
              <w:pStyle w:val="714"/>
              <w:rPr>
                <w:rFonts w:eastAsia="等线" w:cs="Times New Roman"/>
                <w:color w:val="auto"/>
                <w:szCs w:val="21"/>
              </w:rPr>
            </w:pPr>
            <w:r>
              <w:rPr>
                <w:rFonts w:eastAsia="等线" w:cs="Times New Roman"/>
                <w:color w:val="auto"/>
                <w:szCs w:val="21"/>
              </w:rPr>
              <w:t>6.52</w:t>
            </w:r>
          </w:p>
        </w:tc>
        <w:tc>
          <w:tcPr>
            <w:tcW w:w="410" w:type="pct"/>
            <w:tcBorders>
              <w:tl2br w:val="nil"/>
              <w:tr2bl w:val="nil"/>
            </w:tcBorders>
            <w:shd w:val="clear" w:color="auto" w:fill="auto"/>
            <w:tcMar>
              <w:left w:w="28" w:type="dxa"/>
              <w:right w:w="28" w:type="dxa"/>
            </w:tcMar>
            <w:vAlign w:val="center"/>
          </w:tcPr>
          <w:p w14:paraId="4F5166A0">
            <w:pPr>
              <w:pStyle w:val="714"/>
              <w:rPr>
                <w:rFonts w:eastAsia="等线" w:cs="Times New Roman"/>
                <w:color w:val="auto"/>
                <w:szCs w:val="21"/>
              </w:rPr>
            </w:pPr>
            <w:r>
              <w:rPr>
                <w:rFonts w:eastAsia="等线" w:cs="Times New Roman"/>
                <w:color w:val="auto"/>
                <w:szCs w:val="21"/>
              </w:rPr>
              <w:t>11.4</w:t>
            </w:r>
          </w:p>
        </w:tc>
        <w:tc>
          <w:tcPr>
            <w:tcW w:w="410" w:type="pct"/>
            <w:tcBorders>
              <w:tl2br w:val="nil"/>
              <w:tr2bl w:val="nil"/>
            </w:tcBorders>
            <w:shd w:val="clear" w:color="auto" w:fill="auto"/>
            <w:tcMar>
              <w:left w:w="28" w:type="dxa"/>
              <w:right w:w="28" w:type="dxa"/>
            </w:tcMar>
            <w:vAlign w:val="center"/>
          </w:tcPr>
          <w:p w14:paraId="00DAE74A">
            <w:pPr>
              <w:pStyle w:val="714"/>
              <w:rPr>
                <w:rFonts w:eastAsia="等线" w:cs="Times New Roman"/>
                <w:color w:val="auto"/>
                <w:szCs w:val="21"/>
              </w:rPr>
            </w:pPr>
            <w:r>
              <w:rPr>
                <w:rFonts w:eastAsia="等线" w:cs="Times New Roman"/>
                <w:color w:val="auto"/>
                <w:szCs w:val="21"/>
              </w:rPr>
              <w:t>9.46</w:t>
            </w:r>
          </w:p>
        </w:tc>
        <w:tc>
          <w:tcPr>
            <w:tcW w:w="581" w:type="pct"/>
            <w:tcBorders>
              <w:tl2br w:val="nil"/>
              <w:tr2bl w:val="nil"/>
            </w:tcBorders>
            <w:shd w:val="clear" w:color="auto" w:fill="auto"/>
            <w:tcMar>
              <w:left w:w="28" w:type="dxa"/>
              <w:right w:w="28" w:type="dxa"/>
            </w:tcMar>
            <w:vAlign w:val="center"/>
          </w:tcPr>
          <w:p w14:paraId="68E7A938">
            <w:pPr>
              <w:pStyle w:val="714"/>
              <w:rPr>
                <w:rFonts w:eastAsia="等线" w:cs="Times New Roman"/>
                <w:color w:val="auto"/>
                <w:szCs w:val="21"/>
              </w:rPr>
            </w:pPr>
            <w:r>
              <w:rPr>
                <w:rFonts w:eastAsia="等线" w:cs="Times New Roman"/>
                <w:color w:val="auto"/>
                <w:szCs w:val="21"/>
              </w:rPr>
              <w:t>79</w:t>
            </w:r>
          </w:p>
        </w:tc>
        <w:tc>
          <w:tcPr>
            <w:tcW w:w="339" w:type="pct"/>
            <w:tcBorders>
              <w:tl2br w:val="nil"/>
              <w:tr2bl w:val="nil"/>
            </w:tcBorders>
            <w:shd w:val="clear" w:color="auto" w:fill="auto"/>
            <w:tcMar>
              <w:left w:w="28" w:type="dxa"/>
              <w:right w:w="28" w:type="dxa"/>
            </w:tcMar>
            <w:vAlign w:val="center"/>
          </w:tcPr>
          <w:p w14:paraId="1A53B10C">
            <w:pPr>
              <w:pStyle w:val="714"/>
              <w:rPr>
                <w:rFonts w:eastAsia="等线" w:cs="Times New Roman"/>
                <w:color w:val="auto"/>
                <w:szCs w:val="21"/>
              </w:rPr>
            </w:pPr>
            <w:r>
              <w:rPr>
                <w:rFonts w:hint="eastAsia" w:eastAsia="等线" w:cs="Times New Roman"/>
                <w:color w:val="auto"/>
                <w:szCs w:val="21"/>
              </w:rPr>
              <w:t>＜5</w:t>
            </w:r>
          </w:p>
        </w:tc>
        <w:tc>
          <w:tcPr>
            <w:tcW w:w="349" w:type="pct"/>
            <w:tcBorders>
              <w:tl2br w:val="nil"/>
              <w:tr2bl w:val="nil"/>
            </w:tcBorders>
            <w:shd w:val="clear" w:color="auto" w:fill="auto"/>
            <w:tcMar>
              <w:left w:w="28" w:type="dxa"/>
              <w:right w:w="28" w:type="dxa"/>
            </w:tcMar>
            <w:vAlign w:val="center"/>
          </w:tcPr>
          <w:p w14:paraId="17BBE74A">
            <w:pPr>
              <w:pStyle w:val="714"/>
              <w:rPr>
                <w:rFonts w:eastAsia="等线" w:cs="Times New Roman"/>
                <w:color w:val="auto"/>
                <w:szCs w:val="21"/>
              </w:rPr>
            </w:pPr>
            <w:r>
              <w:rPr>
                <w:rFonts w:eastAsia="等线" w:cs="Times New Roman"/>
                <w:color w:val="auto"/>
                <w:szCs w:val="21"/>
              </w:rPr>
              <w:t>104</w:t>
            </w:r>
          </w:p>
        </w:tc>
        <w:tc>
          <w:tcPr>
            <w:tcW w:w="822" w:type="pct"/>
            <w:tcBorders>
              <w:tl2br w:val="nil"/>
              <w:tr2bl w:val="nil"/>
            </w:tcBorders>
            <w:shd w:val="clear" w:color="auto" w:fill="auto"/>
            <w:noWrap/>
            <w:tcMar>
              <w:left w:w="28" w:type="dxa"/>
              <w:right w:w="28" w:type="dxa"/>
            </w:tcMar>
            <w:vAlign w:val="center"/>
          </w:tcPr>
          <w:p w14:paraId="1EA4B1C4">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19094C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3" w:type="pct"/>
            <w:tcBorders>
              <w:tl2br w:val="nil"/>
              <w:tr2bl w:val="nil"/>
            </w:tcBorders>
            <w:shd w:val="clear" w:color="auto" w:fill="auto"/>
            <w:tcMar>
              <w:left w:w="28" w:type="dxa"/>
              <w:right w:w="28" w:type="dxa"/>
            </w:tcMar>
            <w:vAlign w:val="center"/>
          </w:tcPr>
          <w:p w14:paraId="6D7C035B">
            <w:pPr>
              <w:pStyle w:val="714"/>
              <w:rPr>
                <w:color w:val="auto"/>
              </w:rPr>
            </w:pPr>
            <w:r>
              <w:rPr>
                <w:rFonts w:hint="eastAsia"/>
                <w:color w:val="auto"/>
              </w:rPr>
              <w:t>6#</w:t>
            </w:r>
          </w:p>
        </w:tc>
        <w:tc>
          <w:tcPr>
            <w:tcW w:w="435" w:type="pct"/>
            <w:tcBorders>
              <w:tl2br w:val="nil"/>
              <w:tr2bl w:val="nil"/>
            </w:tcBorders>
            <w:shd w:val="clear" w:color="auto" w:fill="auto"/>
            <w:tcMar>
              <w:left w:w="28" w:type="dxa"/>
              <w:right w:w="28" w:type="dxa"/>
            </w:tcMar>
            <w:vAlign w:val="center"/>
          </w:tcPr>
          <w:p w14:paraId="49999CAA">
            <w:pPr>
              <w:pStyle w:val="714"/>
              <w:rPr>
                <w:rFonts w:eastAsia="等线" w:cs="Times New Roman"/>
                <w:color w:val="auto"/>
                <w:szCs w:val="21"/>
              </w:rPr>
            </w:pPr>
            <w:r>
              <w:rPr>
                <w:rFonts w:eastAsia="等线" w:cs="Times New Roman"/>
                <w:color w:val="auto"/>
                <w:szCs w:val="21"/>
              </w:rPr>
              <w:t>7</w:t>
            </w:r>
          </w:p>
        </w:tc>
        <w:tc>
          <w:tcPr>
            <w:tcW w:w="312" w:type="pct"/>
            <w:tcBorders>
              <w:tl2br w:val="nil"/>
              <w:tr2bl w:val="nil"/>
            </w:tcBorders>
            <w:shd w:val="clear" w:color="auto" w:fill="auto"/>
            <w:tcMar>
              <w:left w:w="28" w:type="dxa"/>
              <w:right w:w="28" w:type="dxa"/>
            </w:tcMar>
            <w:vAlign w:val="center"/>
          </w:tcPr>
          <w:p w14:paraId="251C0119">
            <w:pPr>
              <w:pStyle w:val="714"/>
              <w:rPr>
                <w:rFonts w:eastAsia="等线" w:cs="Times New Roman"/>
                <w:color w:val="auto"/>
                <w:szCs w:val="21"/>
              </w:rPr>
            </w:pPr>
            <w:r>
              <w:rPr>
                <w:rFonts w:eastAsia="等线" w:cs="Times New Roman"/>
                <w:color w:val="auto"/>
                <w:szCs w:val="21"/>
              </w:rPr>
              <w:t>29.6</w:t>
            </w:r>
          </w:p>
        </w:tc>
        <w:tc>
          <w:tcPr>
            <w:tcW w:w="305" w:type="pct"/>
            <w:tcBorders>
              <w:tl2br w:val="nil"/>
              <w:tr2bl w:val="nil"/>
            </w:tcBorders>
            <w:shd w:val="clear" w:color="auto" w:fill="auto"/>
            <w:tcMar>
              <w:left w:w="28" w:type="dxa"/>
              <w:right w:w="28" w:type="dxa"/>
            </w:tcMar>
            <w:vAlign w:val="center"/>
          </w:tcPr>
          <w:p w14:paraId="3E62DFAB">
            <w:pPr>
              <w:pStyle w:val="714"/>
              <w:rPr>
                <w:rFonts w:eastAsia="等线" w:cs="Times New Roman"/>
                <w:color w:val="auto"/>
                <w:szCs w:val="21"/>
              </w:rPr>
            </w:pPr>
            <w:r>
              <w:rPr>
                <w:rFonts w:eastAsia="等线" w:cs="Times New Roman"/>
                <w:color w:val="auto"/>
                <w:szCs w:val="21"/>
              </w:rPr>
              <w:t>48.9</w:t>
            </w:r>
          </w:p>
        </w:tc>
        <w:tc>
          <w:tcPr>
            <w:tcW w:w="345" w:type="pct"/>
            <w:tcBorders>
              <w:tl2br w:val="nil"/>
              <w:tr2bl w:val="nil"/>
            </w:tcBorders>
            <w:shd w:val="clear" w:color="auto" w:fill="auto"/>
            <w:tcMar>
              <w:left w:w="28" w:type="dxa"/>
              <w:right w:w="28" w:type="dxa"/>
            </w:tcMar>
            <w:vAlign w:val="center"/>
          </w:tcPr>
          <w:p w14:paraId="722B76D0">
            <w:pPr>
              <w:pStyle w:val="714"/>
              <w:rPr>
                <w:rFonts w:eastAsia="等线" w:cs="Times New Roman"/>
                <w:color w:val="auto"/>
                <w:szCs w:val="21"/>
              </w:rPr>
            </w:pPr>
            <w:r>
              <w:rPr>
                <w:rFonts w:eastAsia="等线" w:cs="Times New Roman"/>
                <w:color w:val="auto"/>
                <w:szCs w:val="21"/>
              </w:rPr>
              <w:t>84.7</w:t>
            </w:r>
          </w:p>
        </w:tc>
        <w:tc>
          <w:tcPr>
            <w:tcW w:w="345" w:type="pct"/>
            <w:tcBorders>
              <w:tl2br w:val="nil"/>
              <w:tr2bl w:val="nil"/>
            </w:tcBorders>
            <w:shd w:val="clear" w:color="auto" w:fill="auto"/>
            <w:tcMar>
              <w:left w:w="28" w:type="dxa"/>
              <w:right w:w="28" w:type="dxa"/>
            </w:tcMar>
            <w:vAlign w:val="center"/>
          </w:tcPr>
          <w:p w14:paraId="087A05A6">
            <w:pPr>
              <w:pStyle w:val="714"/>
              <w:rPr>
                <w:rFonts w:eastAsia="等线" w:cs="Times New Roman"/>
                <w:color w:val="auto"/>
                <w:szCs w:val="21"/>
              </w:rPr>
            </w:pPr>
            <w:r>
              <w:rPr>
                <w:rFonts w:eastAsia="等线" w:cs="Times New Roman"/>
                <w:color w:val="auto"/>
                <w:szCs w:val="21"/>
              </w:rPr>
              <w:t>31.7</w:t>
            </w:r>
          </w:p>
        </w:tc>
        <w:tc>
          <w:tcPr>
            <w:tcW w:w="410" w:type="pct"/>
            <w:tcBorders>
              <w:tl2br w:val="nil"/>
              <w:tr2bl w:val="nil"/>
            </w:tcBorders>
            <w:shd w:val="clear" w:color="auto" w:fill="auto"/>
            <w:tcMar>
              <w:left w:w="28" w:type="dxa"/>
              <w:right w:w="28" w:type="dxa"/>
            </w:tcMar>
            <w:vAlign w:val="center"/>
          </w:tcPr>
          <w:p w14:paraId="4C375CFD">
            <w:pPr>
              <w:pStyle w:val="714"/>
              <w:rPr>
                <w:rFonts w:eastAsia="等线" w:cs="Times New Roman"/>
                <w:color w:val="auto"/>
                <w:szCs w:val="21"/>
              </w:rPr>
            </w:pPr>
            <w:r>
              <w:rPr>
                <w:rFonts w:eastAsia="等线" w:cs="Times New Roman"/>
                <w:color w:val="auto"/>
                <w:szCs w:val="21"/>
              </w:rPr>
              <w:t>49.8</w:t>
            </w:r>
          </w:p>
        </w:tc>
        <w:tc>
          <w:tcPr>
            <w:tcW w:w="410" w:type="pct"/>
            <w:tcBorders>
              <w:tl2br w:val="nil"/>
              <w:tr2bl w:val="nil"/>
            </w:tcBorders>
            <w:shd w:val="clear" w:color="auto" w:fill="auto"/>
            <w:tcMar>
              <w:left w:w="28" w:type="dxa"/>
              <w:right w:w="28" w:type="dxa"/>
            </w:tcMar>
            <w:vAlign w:val="center"/>
          </w:tcPr>
          <w:p w14:paraId="02F72BC8">
            <w:pPr>
              <w:pStyle w:val="714"/>
              <w:rPr>
                <w:rFonts w:eastAsia="等线" w:cs="Times New Roman"/>
                <w:color w:val="auto"/>
                <w:szCs w:val="21"/>
              </w:rPr>
            </w:pPr>
            <w:r>
              <w:rPr>
                <w:rFonts w:eastAsia="等线" w:cs="Times New Roman"/>
                <w:color w:val="auto"/>
                <w:szCs w:val="21"/>
              </w:rPr>
              <w:t>38.5</w:t>
            </w:r>
          </w:p>
        </w:tc>
        <w:tc>
          <w:tcPr>
            <w:tcW w:w="581" w:type="pct"/>
            <w:tcBorders>
              <w:tl2br w:val="nil"/>
              <w:tr2bl w:val="nil"/>
            </w:tcBorders>
            <w:shd w:val="clear" w:color="auto" w:fill="auto"/>
            <w:tcMar>
              <w:left w:w="28" w:type="dxa"/>
              <w:right w:w="28" w:type="dxa"/>
            </w:tcMar>
            <w:vAlign w:val="center"/>
          </w:tcPr>
          <w:p w14:paraId="5F575146">
            <w:pPr>
              <w:pStyle w:val="714"/>
              <w:rPr>
                <w:rFonts w:eastAsia="等线" w:cs="Times New Roman"/>
                <w:color w:val="auto"/>
                <w:szCs w:val="21"/>
              </w:rPr>
            </w:pPr>
            <w:r>
              <w:rPr>
                <w:rFonts w:eastAsia="等线" w:cs="Times New Roman"/>
                <w:color w:val="auto"/>
                <w:szCs w:val="21"/>
              </w:rPr>
              <w:t>427</w:t>
            </w:r>
          </w:p>
        </w:tc>
        <w:tc>
          <w:tcPr>
            <w:tcW w:w="339" w:type="pct"/>
            <w:tcBorders>
              <w:tl2br w:val="nil"/>
              <w:tr2bl w:val="nil"/>
            </w:tcBorders>
            <w:shd w:val="clear" w:color="auto" w:fill="auto"/>
            <w:tcMar>
              <w:left w:w="28" w:type="dxa"/>
              <w:right w:w="28" w:type="dxa"/>
            </w:tcMar>
            <w:vAlign w:val="center"/>
          </w:tcPr>
          <w:p w14:paraId="33D5DE6C">
            <w:pPr>
              <w:pStyle w:val="714"/>
              <w:rPr>
                <w:rFonts w:eastAsia="等线" w:cs="Times New Roman"/>
                <w:color w:val="auto"/>
                <w:szCs w:val="21"/>
              </w:rPr>
            </w:pPr>
            <w:r>
              <w:rPr>
                <w:rFonts w:hint="eastAsia" w:eastAsia="等线" w:cs="Times New Roman"/>
                <w:color w:val="auto"/>
                <w:szCs w:val="21"/>
              </w:rPr>
              <w:t>＜5</w:t>
            </w:r>
          </w:p>
        </w:tc>
        <w:tc>
          <w:tcPr>
            <w:tcW w:w="349" w:type="pct"/>
            <w:tcBorders>
              <w:tl2br w:val="nil"/>
              <w:tr2bl w:val="nil"/>
            </w:tcBorders>
            <w:shd w:val="clear" w:color="auto" w:fill="auto"/>
            <w:tcMar>
              <w:left w:w="28" w:type="dxa"/>
              <w:right w:w="28" w:type="dxa"/>
            </w:tcMar>
            <w:vAlign w:val="center"/>
          </w:tcPr>
          <w:p w14:paraId="2EC2A69C">
            <w:pPr>
              <w:pStyle w:val="714"/>
              <w:rPr>
                <w:rFonts w:eastAsia="等线" w:cs="Times New Roman"/>
                <w:color w:val="auto"/>
                <w:szCs w:val="21"/>
              </w:rPr>
            </w:pPr>
            <w:r>
              <w:rPr>
                <w:rFonts w:eastAsia="等线" w:cs="Times New Roman"/>
                <w:color w:val="auto"/>
                <w:szCs w:val="21"/>
              </w:rPr>
              <w:t>533</w:t>
            </w:r>
          </w:p>
        </w:tc>
        <w:tc>
          <w:tcPr>
            <w:tcW w:w="822" w:type="pct"/>
            <w:tcBorders>
              <w:tl2br w:val="nil"/>
              <w:tr2bl w:val="nil"/>
            </w:tcBorders>
            <w:shd w:val="clear" w:color="auto" w:fill="auto"/>
            <w:noWrap/>
            <w:tcMar>
              <w:left w:w="28" w:type="dxa"/>
              <w:right w:w="28" w:type="dxa"/>
            </w:tcMar>
            <w:vAlign w:val="center"/>
          </w:tcPr>
          <w:p w14:paraId="7C7E6C2F">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r w14:paraId="79CA84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3" w:type="pct"/>
            <w:tcBorders>
              <w:tl2br w:val="nil"/>
              <w:tr2bl w:val="nil"/>
            </w:tcBorders>
            <w:shd w:val="clear" w:color="auto" w:fill="auto"/>
            <w:tcMar>
              <w:left w:w="28" w:type="dxa"/>
              <w:right w:w="28" w:type="dxa"/>
            </w:tcMar>
            <w:vAlign w:val="center"/>
          </w:tcPr>
          <w:p w14:paraId="14BB1810">
            <w:pPr>
              <w:pStyle w:val="714"/>
              <w:rPr>
                <w:color w:val="auto"/>
              </w:rPr>
            </w:pPr>
            <w:r>
              <w:rPr>
                <w:rFonts w:hint="eastAsia"/>
                <w:color w:val="auto"/>
              </w:rPr>
              <w:t>7#</w:t>
            </w:r>
          </w:p>
        </w:tc>
        <w:tc>
          <w:tcPr>
            <w:tcW w:w="435" w:type="pct"/>
            <w:tcBorders>
              <w:tl2br w:val="nil"/>
              <w:tr2bl w:val="nil"/>
            </w:tcBorders>
            <w:shd w:val="clear" w:color="auto" w:fill="auto"/>
            <w:tcMar>
              <w:left w:w="28" w:type="dxa"/>
              <w:right w:w="28" w:type="dxa"/>
            </w:tcMar>
            <w:vAlign w:val="center"/>
          </w:tcPr>
          <w:p w14:paraId="6896D183">
            <w:pPr>
              <w:pStyle w:val="714"/>
              <w:rPr>
                <w:rFonts w:eastAsia="等线" w:cs="Times New Roman"/>
                <w:color w:val="auto"/>
                <w:szCs w:val="21"/>
              </w:rPr>
            </w:pPr>
            <w:r>
              <w:rPr>
                <w:rFonts w:eastAsia="等线" w:cs="Times New Roman"/>
                <w:color w:val="auto"/>
                <w:szCs w:val="21"/>
              </w:rPr>
              <w:t>7</w:t>
            </w:r>
          </w:p>
        </w:tc>
        <w:tc>
          <w:tcPr>
            <w:tcW w:w="312" w:type="pct"/>
            <w:tcBorders>
              <w:tl2br w:val="nil"/>
              <w:tr2bl w:val="nil"/>
            </w:tcBorders>
            <w:shd w:val="clear" w:color="auto" w:fill="auto"/>
            <w:tcMar>
              <w:left w:w="28" w:type="dxa"/>
              <w:right w:w="28" w:type="dxa"/>
            </w:tcMar>
            <w:vAlign w:val="center"/>
          </w:tcPr>
          <w:p w14:paraId="7CF0752A">
            <w:pPr>
              <w:pStyle w:val="714"/>
              <w:rPr>
                <w:rFonts w:eastAsia="等线" w:cs="Times New Roman"/>
                <w:color w:val="auto"/>
                <w:szCs w:val="21"/>
              </w:rPr>
            </w:pPr>
            <w:r>
              <w:rPr>
                <w:rFonts w:eastAsia="等线" w:cs="Times New Roman"/>
                <w:color w:val="auto"/>
                <w:szCs w:val="21"/>
              </w:rPr>
              <w:t>7.12</w:t>
            </w:r>
          </w:p>
        </w:tc>
        <w:tc>
          <w:tcPr>
            <w:tcW w:w="305" w:type="pct"/>
            <w:tcBorders>
              <w:tl2br w:val="nil"/>
              <w:tr2bl w:val="nil"/>
            </w:tcBorders>
            <w:shd w:val="clear" w:color="auto" w:fill="auto"/>
            <w:tcMar>
              <w:left w:w="28" w:type="dxa"/>
              <w:right w:w="28" w:type="dxa"/>
            </w:tcMar>
            <w:vAlign w:val="center"/>
          </w:tcPr>
          <w:p w14:paraId="2FCBBFA6">
            <w:pPr>
              <w:pStyle w:val="714"/>
              <w:rPr>
                <w:rFonts w:eastAsia="等线" w:cs="Times New Roman"/>
                <w:color w:val="auto"/>
                <w:szCs w:val="21"/>
              </w:rPr>
            </w:pPr>
            <w:r>
              <w:rPr>
                <w:rFonts w:eastAsia="等线" w:cs="Times New Roman"/>
                <w:color w:val="auto"/>
                <w:szCs w:val="21"/>
              </w:rPr>
              <w:t>19.7</w:t>
            </w:r>
          </w:p>
        </w:tc>
        <w:tc>
          <w:tcPr>
            <w:tcW w:w="345" w:type="pct"/>
            <w:tcBorders>
              <w:tl2br w:val="nil"/>
              <w:tr2bl w:val="nil"/>
            </w:tcBorders>
            <w:shd w:val="clear" w:color="auto" w:fill="auto"/>
            <w:tcMar>
              <w:left w:w="28" w:type="dxa"/>
              <w:right w:w="28" w:type="dxa"/>
            </w:tcMar>
            <w:vAlign w:val="center"/>
          </w:tcPr>
          <w:p w14:paraId="368412A8">
            <w:pPr>
              <w:pStyle w:val="714"/>
              <w:rPr>
                <w:rFonts w:eastAsia="等线" w:cs="Times New Roman"/>
                <w:color w:val="auto"/>
                <w:szCs w:val="21"/>
              </w:rPr>
            </w:pPr>
            <w:r>
              <w:rPr>
                <w:rFonts w:eastAsia="等线" w:cs="Times New Roman"/>
                <w:color w:val="auto"/>
                <w:szCs w:val="21"/>
              </w:rPr>
              <w:t>53.7</w:t>
            </w:r>
          </w:p>
        </w:tc>
        <w:tc>
          <w:tcPr>
            <w:tcW w:w="345" w:type="pct"/>
            <w:tcBorders>
              <w:tl2br w:val="nil"/>
              <w:tr2bl w:val="nil"/>
            </w:tcBorders>
            <w:shd w:val="clear" w:color="auto" w:fill="auto"/>
            <w:tcMar>
              <w:left w:w="28" w:type="dxa"/>
              <w:right w:w="28" w:type="dxa"/>
            </w:tcMar>
            <w:vAlign w:val="center"/>
          </w:tcPr>
          <w:p w14:paraId="03CC7839">
            <w:pPr>
              <w:pStyle w:val="714"/>
              <w:rPr>
                <w:rFonts w:eastAsia="等线" w:cs="Times New Roman"/>
                <w:color w:val="auto"/>
                <w:szCs w:val="21"/>
              </w:rPr>
            </w:pPr>
            <w:r>
              <w:rPr>
                <w:rFonts w:eastAsia="等线" w:cs="Times New Roman"/>
                <w:color w:val="auto"/>
                <w:szCs w:val="21"/>
              </w:rPr>
              <w:t>16.5</w:t>
            </w:r>
          </w:p>
        </w:tc>
        <w:tc>
          <w:tcPr>
            <w:tcW w:w="410" w:type="pct"/>
            <w:tcBorders>
              <w:tl2br w:val="nil"/>
              <w:tr2bl w:val="nil"/>
            </w:tcBorders>
            <w:shd w:val="clear" w:color="auto" w:fill="auto"/>
            <w:tcMar>
              <w:left w:w="28" w:type="dxa"/>
              <w:right w:w="28" w:type="dxa"/>
            </w:tcMar>
            <w:vAlign w:val="center"/>
          </w:tcPr>
          <w:p w14:paraId="562CD73B">
            <w:pPr>
              <w:pStyle w:val="714"/>
              <w:rPr>
                <w:rFonts w:eastAsia="等线" w:cs="Times New Roman"/>
                <w:color w:val="auto"/>
                <w:szCs w:val="21"/>
              </w:rPr>
            </w:pPr>
            <w:r>
              <w:rPr>
                <w:rFonts w:eastAsia="等线" w:cs="Times New Roman"/>
                <w:color w:val="auto"/>
                <w:szCs w:val="21"/>
              </w:rPr>
              <w:t>12.3</w:t>
            </w:r>
          </w:p>
        </w:tc>
        <w:tc>
          <w:tcPr>
            <w:tcW w:w="410" w:type="pct"/>
            <w:tcBorders>
              <w:tl2br w:val="nil"/>
              <w:tr2bl w:val="nil"/>
            </w:tcBorders>
            <w:shd w:val="clear" w:color="auto" w:fill="auto"/>
            <w:tcMar>
              <w:left w:w="28" w:type="dxa"/>
              <w:right w:w="28" w:type="dxa"/>
            </w:tcMar>
            <w:vAlign w:val="center"/>
          </w:tcPr>
          <w:p w14:paraId="1149D8F0">
            <w:pPr>
              <w:pStyle w:val="714"/>
              <w:rPr>
                <w:rFonts w:eastAsia="等线" w:cs="Times New Roman"/>
                <w:color w:val="auto"/>
                <w:szCs w:val="21"/>
              </w:rPr>
            </w:pPr>
            <w:r>
              <w:rPr>
                <w:rFonts w:eastAsia="等线" w:cs="Times New Roman"/>
                <w:color w:val="auto"/>
                <w:szCs w:val="21"/>
              </w:rPr>
              <w:t>14.9</w:t>
            </w:r>
          </w:p>
        </w:tc>
        <w:tc>
          <w:tcPr>
            <w:tcW w:w="581" w:type="pct"/>
            <w:tcBorders>
              <w:tl2br w:val="nil"/>
              <w:tr2bl w:val="nil"/>
            </w:tcBorders>
            <w:shd w:val="clear" w:color="auto" w:fill="auto"/>
            <w:tcMar>
              <w:left w:w="28" w:type="dxa"/>
              <w:right w:w="28" w:type="dxa"/>
            </w:tcMar>
            <w:vAlign w:val="center"/>
          </w:tcPr>
          <w:p w14:paraId="5914353F">
            <w:pPr>
              <w:pStyle w:val="714"/>
              <w:rPr>
                <w:rFonts w:eastAsia="等线" w:cs="Times New Roman"/>
                <w:color w:val="auto"/>
                <w:szCs w:val="21"/>
              </w:rPr>
            </w:pPr>
            <w:r>
              <w:rPr>
                <w:rFonts w:eastAsia="等线" w:cs="Times New Roman"/>
                <w:color w:val="auto"/>
                <w:szCs w:val="21"/>
              </w:rPr>
              <w:t>252</w:t>
            </w:r>
          </w:p>
        </w:tc>
        <w:tc>
          <w:tcPr>
            <w:tcW w:w="339" w:type="pct"/>
            <w:tcBorders>
              <w:tl2br w:val="nil"/>
              <w:tr2bl w:val="nil"/>
            </w:tcBorders>
            <w:shd w:val="clear" w:color="auto" w:fill="auto"/>
            <w:tcMar>
              <w:left w:w="28" w:type="dxa"/>
              <w:right w:w="28" w:type="dxa"/>
            </w:tcMar>
            <w:vAlign w:val="center"/>
          </w:tcPr>
          <w:p w14:paraId="774B855B">
            <w:pPr>
              <w:pStyle w:val="714"/>
              <w:rPr>
                <w:rFonts w:eastAsia="等线" w:cs="Times New Roman"/>
                <w:color w:val="auto"/>
                <w:szCs w:val="21"/>
              </w:rPr>
            </w:pPr>
            <w:r>
              <w:rPr>
                <w:rFonts w:hint="eastAsia" w:eastAsia="等线" w:cs="Times New Roman"/>
                <w:color w:val="auto"/>
                <w:szCs w:val="21"/>
              </w:rPr>
              <w:t>＜5</w:t>
            </w:r>
          </w:p>
        </w:tc>
        <w:tc>
          <w:tcPr>
            <w:tcW w:w="349" w:type="pct"/>
            <w:tcBorders>
              <w:tl2br w:val="nil"/>
              <w:tr2bl w:val="nil"/>
            </w:tcBorders>
            <w:shd w:val="clear" w:color="auto" w:fill="auto"/>
            <w:tcMar>
              <w:left w:w="28" w:type="dxa"/>
              <w:right w:w="28" w:type="dxa"/>
            </w:tcMar>
            <w:vAlign w:val="center"/>
          </w:tcPr>
          <w:p w14:paraId="2747DB3D">
            <w:pPr>
              <w:pStyle w:val="714"/>
              <w:rPr>
                <w:rFonts w:eastAsia="等线" w:cs="Times New Roman"/>
                <w:color w:val="auto"/>
                <w:szCs w:val="21"/>
              </w:rPr>
            </w:pPr>
            <w:r>
              <w:rPr>
                <w:rFonts w:eastAsia="等线" w:cs="Times New Roman"/>
                <w:color w:val="auto"/>
                <w:szCs w:val="21"/>
              </w:rPr>
              <w:t>270</w:t>
            </w:r>
          </w:p>
        </w:tc>
        <w:tc>
          <w:tcPr>
            <w:tcW w:w="822" w:type="pct"/>
            <w:tcBorders>
              <w:tl2br w:val="nil"/>
              <w:tr2bl w:val="nil"/>
            </w:tcBorders>
            <w:shd w:val="clear" w:color="auto" w:fill="auto"/>
            <w:noWrap/>
            <w:tcMar>
              <w:left w:w="28" w:type="dxa"/>
              <w:right w:w="28" w:type="dxa"/>
            </w:tcMar>
            <w:vAlign w:val="center"/>
          </w:tcPr>
          <w:p w14:paraId="0AB26B49">
            <w:pPr>
              <w:pStyle w:val="714"/>
              <w:rPr>
                <w:color w:val="auto"/>
                <w:szCs w:val="24"/>
              </w:rPr>
            </w:pPr>
            <w:r>
              <w:rPr>
                <w:rFonts w:hint="eastAsia"/>
                <w:color w:val="auto"/>
                <w:szCs w:val="24"/>
              </w:rPr>
              <w:t>HCO</w:t>
            </w:r>
            <w:r>
              <w:rPr>
                <w:rFonts w:hint="eastAsia"/>
                <w:color w:val="auto"/>
                <w:szCs w:val="24"/>
                <w:vertAlign w:val="subscript"/>
              </w:rPr>
              <w:t>3</w:t>
            </w:r>
            <w:r>
              <w:rPr>
                <w:rFonts w:hint="eastAsia"/>
                <w:color w:val="auto"/>
                <w:szCs w:val="24"/>
              </w:rPr>
              <w:t>-Ca·Mg</w:t>
            </w:r>
          </w:p>
        </w:tc>
      </w:tr>
    </w:tbl>
    <w:p w14:paraId="41B6C730">
      <w:pPr>
        <w:pStyle w:val="714"/>
        <w:rPr>
          <w:rFonts w:cs="Times New Roman"/>
          <w:snapToGrid w:val="0"/>
          <w:color w:val="auto"/>
        </w:rPr>
      </w:pPr>
      <w:r>
        <w:rPr>
          <w:rFonts w:cs="Times New Roman"/>
          <w:color w:val="auto"/>
        </w:rPr>
        <w:drawing>
          <wp:inline distT="0" distB="0" distL="0" distR="0">
            <wp:extent cx="4688840" cy="4086860"/>
            <wp:effectExtent l="0" t="0" r="16510" b="8890"/>
            <wp:docPr id="1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2"/>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694218" cy="4091628"/>
                    </a:xfrm>
                    <a:prstGeom prst="rect">
                      <a:avLst/>
                    </a:prstGeom>
                  </pic:spPr>
                </pic:pic>
              </a:graphicData>
            </a:graphic>
          </wp:inline>
        </w:drawing>
      </w:r>
    </w:p>
    <w:p w14:paraId="1C04511C">
      <w:pPr>
        <w:pStyle w:val="713"/>
        <w:rPr>
          <w:rFonts w:cs="Times New Roman"/>
          <w:color w:val="auto"/>
        </w:rPr>
      </w:pPr>
      <w:r>
        <w:rPr>
          <w:rFonts w:cs="Times New Roman"/>
          <w:color w:val="auto"/>
        </w:rPr>
        <w:t>图</w:t>
      </w:r>
      <w:r>
        <w:rPr>
          <w:rFonts w:hint="eastAsia" w:cs="Times New Roman"/>
          <w:color w:val="auto"/>
          <w:lang w:val="en-US" w:eastAsia="zh-CN"/>
        </w:rPr>
        <w:t>4.2</w:t>
      </w:r>
      <w:r>
        <w:rPr>
          <w:rFonts w:cs="Times New Roman"/>
          <w:color w:val="auto"/>
        </w:rPr>
        <w:t>-</w:t>
      </w:r>
      <w:r>
        <w:rPr>
          <w:rFonts w:hint="eastAsia" w:cs="Times New Roman"/>
          <w:color w:val="auto"/>
          <w:lang w:val="en-US" w:eastAsia="zh-CN"/>
        </w:rPr>
        <w:t>6</w:t>
      </w:r>
      <w:r>
        <w:rPr>
          <w:rFonts w:cs="Times New Roman"/>
          <w:color w:val="auto"/>
        </w:rPr>
        <w:t xml:space="preserve"> 水化学piper三线图</w:t>
      </w:r>
    </w:p>
    <w:p w14:paraId="099B4335">
      <w:pPr>
        <w:pStyle w:val="10"/>
        <w:bidi w:val="0"/>
        <w:rPr>
          <w:color w:val="auto"/>
        </w:rPr>
      </w:pPr>
      <w:r>
        <w:rPr>
          <w:rFonts w:hint="eastAsia"/>
          <w:color w:val="auto"/>
          <w:lang w:val="en-US" w:eastAsia="zh-CN"/>
        </w:rPr>
        <w:t xml:space="preserve"> </w:t>
      </w:r>
      <w:r>
        <w:rPr>
          <w:color w:val="auto"/>
        </w:rPr>
        <w:t>地下水污染源调查</w:t>
      </w:r>
    </w:p>
    <w:p w14:paraId="246DF031">
      <w:pPr>
        <w:bidi w:val="0"/>
        <w:rPr>
          <w:b/>
          <w:bCs/>
          <w:color w:val="auto"/>
        </w:rPr>
      </w:pPr>
      <w:r>
        <w:rPr>
          <w:rFonts w:hint="eastAsia"/>
          <w:b/>
          <w:bCs/>
          <w:color w:val="auto"/>
          <w:lang w:val="en-US" w:eastAsia="zh-CN"/>
        </w:rPr>
        <w:t>1、</w:t>
      </w:r>
      <w:r>
        <w:rPr>
          <w:b/>
          <w:bCs/>
          <w:color w:val="auto"/>
        </w:rPr>
        <w:t>原生水文地质问题调查</w:t>
      </w:r>
    </w:p>
    <w:p w14:paraId="28A45A86">
      <w:pPr>
        <w:bidi w:val="0"/>
        <w:rPr>
          <w:color w:val="auto"/>
        </w:rPr>
      </w:pPr>
      <w:r>
        <w:rPr>
          <w:color w:val="auto"/>
        </w:rPr>
        <w:t>根据评价区地下水水质监测结果，评价区地下水化学类型为HCO</w:t>
      </w:r>
      <w:r>
        <w:rPr>
          <w:color w:val="auto"/>
          <w:vertAlign w:val="subscript"/>
        </w:rPr>
        <w:t>3</w:t>
      </w:r>
      <w:r>
        <w:rPr>
          <w:color w:val="auto"/>
        </w:rPr>
        <w:t>-Ca•Mg型，pH介于6.9～7.</w:t>
      </w:r>
      <w:r>
        <w:rPr>
          <w:rFonts w:hint="eastAsia"/>
          <w:color w:val="auto"/>
        </w:rPr>
        <w:t>2</w:t>
      </w:r>
      <w:r>
        <w:rPr>
          <w:color w:val="auto"/>
        </w:rPr>
        <w:t>，呈弱酸-弱碱性，矿化度介于</w:t>
      </w:r>
      <w:r>
        <w:rPr>
          <w:rFonts w:hint="eastAsia"/>
          <w:color w:val="auto"/>
        </w:rPr>
        <w:t>1</w:t>
      </w:r>
      <w:r>
        <w:rPr>
          <w:color w:val="auto"/>
        </w:rPr>
        <w:t>0</w:t>
      </w:r>
      <w:r>
        <w:rPr>
          <w:rFonts w:hint="eastAsia"/>
          <w:color w:val="auto"/>
        </w:rPr>
        <w:t>4</w:t>
      </w:r>
      <w:r>
        <w:rPr>
          <w:color w:val="auto"/>
        </w:rPr>
        <w:t>～</w:t>
      </w:r>
      <w:r>
        <w:rPr>
          <w:rFonts w:hint="eastAsia"/>
          <w:color w:val="auto"/>
        </w:rPr>
        <w:t>925</w:t>
      </w:r>
      <w:r>
        <w:rPr>
          <w:color w:val="auto"/>
        </w:rPr>
        <w:t>mg/L，属低矿化度淡水。根据相关资料及调查访问，评价区未出现地方病等与地下水相关的环境问题。</w:t>
      </w:r>
    </w:p>
    <w:p w14:paraId="44318E89">
      <w:pPr>
        <w:bidi w:val="0"/>
        <w:rPr>
          <w:b/>
          <w:bCs/>
          <w:color w:val="auto"/>
        </w:rPr>
      </w:pPr>
      <w:r>
        <w:rPr>
          <w:rFonts w:hint="eastAsia"/>
          <w:b/>
          <w:bCs/>
          <w:color w:val="auto"/>
          <w:lang w:val="en-US" w:eastAsia="zh-CN"/>
        </w:rPr>
        <w:t>2、</w:t>
      </w:r>
      <w:r>
        <w:rPr>
          <w:b/>
          <w:bCs/>
          <w:color w:val="auto"/>
        </w:rPr>
        <w:t>地下水污染源调查</w:t>
      </w:r>
    </w:p>
    <w:p w14:paraId="3C35FF07">
      <w:pPr>
        <w:ind w:firstLine="480"/>
        <w:rPr>
          <w:rFonts w:cs="Times New Roman"/>
          <w:color w:val="auto"/>
        </w:rPr>
      </w:pPr>
      <w:r>
        <w:rPr>
          <w:color w:val="auto"/>
        </w:rPr>
        <w:t>通过现场调查和取样分析，评价区范围内地下水水质较好，无天然劣质水分布，无地方性疾病等地下水环境原生问题。项目地处</w:t>
      </w:r>
      <w:r>
        <w:rPr>
          <w:rFonts w:hint="eastAsia"/>
          <w:color w:val="auto"/>
        </w:rPr>
        <w:t>河流阶地，为尚未建设的规划园区部分</w:t>
      </w:r>
      <w:r>
        <w:rPr>
          <w:color w:val="auto"/>
        </w:rPr>
        <w:t>，地形相对平缓，项目周边评价范围内部分大量居民，生活污水若收集处理不当或发生泄漏，会对地下水环境产生一定的影响，主要的影响因子为高锰酸盐指数、氨氮和大肠杆菌等。</w:t>
      </w:r>
    </w:p>
    <w:bookmarkEnd w:id="189"/>
    <w:bookmarkEnd w:id="190"/>
    <w:p w14:paraId="6C1FAC31">
      <w:pPr>
        <w:pStyle w:val="10"/>
        <w:bidi w:val="0"/>
        <w:rPr>
          <w:color w:val="auto"/>
        </w:rPr>
      </w:pPr>
      <w:bookmarkStart w:id="241" w:name="_Toc339908709"/>
      <w:bookmarkStart w:id="242" w:name="_Toc365818165"/>
      <w:r>
        <w:rPr>
          <w:rFonts w:hint="eastAsia"/>
          <w:color w:val="auto"/>
          <w:lang w:val="en-US" w:eastAsia="zh-CN"/>
        </w:rPr>
        <w:t xml:space="preserve"> 地</w:t>
      </w:r>
      <w:r>
        <w:rPr>
          <w:color w:val="auto"/>
        </w:rPr>
        <w:t>下水环境影响预测与评价</w:t>
      </w:r>
    </w:p>
    <w:p w14:paraId="4927A113">
      <w:pPr>
        <w:bidi w:val="0"/>
        <w:rPr>
          <w:b/>
          <w:bCs/>
          <w:color w:val="auto"/>
        </w:rPr>
      </w:pPr>
      <w:r>
        <w:rPr>
          <w:rFonts w:hint="eastAsia"/>
          <w:b/>
          <w:bCs/>
          <w:color w:val="auto"/>
          <w:lang w:val="en-US" w:eastAsia="zh-CN"/>
        </w:rPr>
        <w:t>1、</w:t>
      </w:r>
      <w:r>
        <w:rPr>
          <w:b/>
          <w:bCs/>
          <w:color w:val="auto"/>
        </w:rPr>
        <w:t>预测原则</w:t>
      </w:r>
    </w:p>
    <w:p w14:paraId="105B3F41">
      <w:pPr>
        <w:bidi w:val="0"/>
        <w:rPr>
          <w:color w:val="auto"/>
        </w:rPr>
      </w:pPr>
      <w:r>
        <w:rPr>
          <w:color w:val="auto"/>
        </w:rPr>
        <w:t>本项目地下水环境影响预测原则为：</w:t>
      </w:r>
    </w:p>
    <w:p w14:paraId="179662ED">
      <w:pPr>
        <w:bidi w:val="0"/>
        <w:rPr>
          <w:color w:val="auto"/>
        </w:rPr>
      </w:pPr>
      <w:r>
        <w:rPr>
          <w:color w:val="auto"/>
        </w:rPr>
        <w:t>（1）考虑到地下水环境污染的隐蔽性和难恢复性，遵循环境安全性原则，为评价各方案的环境安全和环境保护措施的合理性提供依据。</w:t>
      </w:r>
    </w:p>
    <w:p w14:paraId="7F5DEE6B">
      <w:pPr>
        <w:bidi w:val="0"/>
        <w:rPr>
          <w:color w:val="auto"/>
        </w:rPr>
      </w:pPr>
      <w:r>
        <w:rPr>
          <w:color w:val="auto"/>
        </w:rPr>
        <w:t>（2）预测的范围、时段、内容和方法根据评价工作等级、工程特征与环境特征，结合当地环境功能和环保要求确定，以拟建项目对地下水水质的影响及由此而产生的主要环境水文地质问题为重点。</w:t>
      </w:r>
    </w:p>
    <w:p w14:paraId="51907448">
      <w:pPr>
        <w:bidi w:val="0"/>
        <w:rPr>
          <w:b/>
          <w:bCs/>
          <w:color w:val="auto"/>
        </w:rPr>
      </w:pPr>
      <w:r>
        <w:rPr>
          <w:rFonts w:hint="eastAsia"/>
          <w:b/>
          <w:bCs/>
          <w:color w:val="auto"/>
          <w:lang w:val="en-US" w:eastAsia="zh-CN"/>
        </w:rPr>
        <w:t>2、</w:t>
      </w:r>
      <w:r>
        <w:rPr>
          <w:b/>
          <w:bCs/>
          <w:color w:val="auto"/>
        </w:rPr>
        <w:t>模型概化范围及时段</w:t>
      </w:r>
    </w:p>
    <w:p w14:paraId="2DC9E046">
      <w:pPr>
        <w:bidi w:val="0"/>
        <w:rPr>
          <w:color w:val="auto"/>
        </w:rPr>
      </w:pPr>
      <w:r>
        <w:rPr>
          <w:color w:val="auto"/>
        </w:rPr>
        <w:t>（1）模型概化范围</w:t>
      </w:r>
    </w:p>
    <w:p w14:paraId="0B329EB9">
      <w:pPr>
        <w:bidi w:val="0"/>
        <w:rPr>
          <w:color w:val="auto"/>
        </w:rPr>
      </w:pPr>
      <w:r>
        <w:rPr>
          <w:color w:val="auto"/>
        </w:rPr>
        <w:t>本项目模型范围与调查评价范围相一致：项目区</w:t>
      </w:r>
      <w:r>
        <w:rPr>
          <w:rFonts w:hint="eastAsia"/>
          <w:color w:val="auto"/>
        </w:rPr>
        <w:t>西侧以巴河支流小河沟为界</w:t>
      </w:r>
      <w:r>
        <w:rPr>
          <w:color w:val="auto"/>
        </w:rPr>
        <w:t>，</w:t>
      </w:r>
      <w:r>
        <w:rPr>
          <w:rFonts w:hint="eastAsia"/>
          <w:color w:val="auto"/>
        </w:rPr>
        <w:t>东南</w:t>
      </w:r>
      <w:r>
        <w:rPr>
          <w:color w:val="auto"/>
        </w:rPr>
        <w:t>侧以</w:t>
      </w:r>
      <w:r>
        <w:rPr>
          <w:rFonts w:hint="eastAsia"/>
          <w:color w:val="auto"/>
        </w:rPr>
        <w:t>店子河</w:t>
      </w:r>
      <w:r>
        <w:rPr>
          <w:color w:val="auto"/>
        </w:rPr>
        <w:t>为边界，</w:t>
      </w:r>
      <w:r>
        <w:rPr>
          <w:rFonts w:hint="eastAsia"/>
          <w:color w:val="auto"/>
        </w:rPr>
        <w:t>南</w:t>
      </w:r>
      <w:r>
        <w:rPr>
          <w:color w:val="auto"/>
        </w:rPr>
        <w:t>侧</w:t>
      </w:r>
      <w:r>
        <w:rPr>
          <w:rFonts w:hint="eastAsia"/>
          <w:color w:val="auto"/>
        </w:rPr>
        <w:t>下</w:t>
      </w:r>
      <w:r>
        <w:rPr>
          <w:color w:val="auto"/>
        </w:rPr>
        <w:t>游</w:t>
      </w:r>
      <w:r>
        <w:rPr>
          <w:rFonts w:hint="eastAsia"/>
          <w:color w:val="auto"/>
        </w:rPr>
        <w:t>以当地最低侵蚀基准面巴河为界</w:t>
      </w:r>
      <w:r>
        <w:rPr>
          <w:color w:val="auto"/>
        </w:rPr>
        <w:t>，</w:t>
      </w:r>
      <w:r>
        <w:rPr>
          <w:rFonts w:hint="eastAsia"/>
          <w:color w:val="auto"/>
        </w:rPr>
        <w:t>北西侧以小河沟与店子河之间的山脊线为界，北东侧以店子河及其支流间的山脊线为界</w:t>
      </w:r>
      <w:r>
        <w:rPr>
          <w:color w:val="auto"/>
        </w:rPr>
        <w:t>。本项目地下水环境影响预测范围约</w:t>
      </w:r>
      <w:r>
        <w:rPr>
          <w:rFonts w:hint="eastAsia"/>
          <w:color w:val="auto"/>
        </w:rPr>
        <w:t>0.49</w:t>
      </w:r>
      <w:r>
        <w:rPr>
          <w:rFonts w:hint="eastAsia"/>
          <w:color w:val="auto"/>
          <w:lang w:eastAsia="zh-CN"/>
        </w:rPr>
        <w:t>km²</w:t>
      </w:r>
      <w:r>
        <w:rPr>
          <w:color w:val="auto"/>
        </w:rPr>
        <w:t>。</w:t>
      </w:r>
    </w:p>
    <w:p w14:paraId="0548DBAB">
      <w:pPr>
        <w:bidi w:val="0"/>
        <w:rPr>
          <w:color w:val="auto"/>
        </w:rPr>
      </w:pPr>
      <w:r>
        <w:rPr>
          <w:color w:val="auto"/>
        </w:rPr>
        <w:t>（2）预测时段</w:t>
      </w:r>
    </w:p>
    <w:p w14:paraId="571FDD47">
      <w:pPr>
        <w:bidi w:val="0"/>
        <w:rPr>
          <w:color w:val="auto"/>
        </w:rPr>
      </w:pPr>
      <w:bookmarkStart w:id="243" w:name="_Toc327221744"/>
      <w:bookmarkStart w:id="244" w:name="_Toc320481665"/>
      <w:bookmarkStart w:id="245" w:name="_Toc306736283"/>
      <w:r>
        <w:rPr>
          <w:color w:val="auto"/>
        </w:rPr>
        <w:t>针对本项目产污特征，本次预测时段为非正常状况发生后0～</w:t>
      </w:r>
      <w:r>
        <w:rPr>
          <w:rFonts w:hint="eastAsia"/>
          <w:color w:val="auto"/>
        </w:rPr>
        <w:t>3</w:t>
      </w:r>
      <w:r>
        <w:rPr>
          <w:color w:val="auto"/>
        </w:rPr>
        <w:t>0 a。</w:t>
      </w:r>
    </w:p>
    <w:bookmarkEnd w:id="243"/>
    <w:bookmarkEnd w:id="244"/>
    <w:bookmarkEnd w:id="245"/>
    <w:p w14:paraId="7C78C26F">
      <w:pPr>
        <w:bidi w:val="0"/>
        <w:rPr>
          <w:b/>
          <w:bCs/>
          <w:color w:val="auto"/>
        </w:rPr>
      </w:pPr>
      <w:r>
        <w:rPr>
          <w:rFonts w:hint="eastAsia"/>
          <w:b/>
          <w:bCs/>
          <w:color w:val="auto"/>
          <w:lang w:val="en-US" w:eastAsia="zh-CN"/>
        </w:rPr>
        <w:t>3、</w:t>
      </w:r>
      <w:r>
        <w:rPr>
          <w:b/>
          <w:bCs/>
          <w:color w:val="auto"/>
        </w:rPr>
        <w:t>预测因子</w:t>
      </w:r>
    </w:p>
    <w:p w14:paraId="47F89B4D">
      <w:pPr>
        <w:bidi w:val="0"/>
        <w:rPr>
          <w:color w:val="auto"/>
        </w:rPr>
      </w:pPr>
      <w:r>
        <w:rPr>
          <w:color w:val="auto"/>
        </w:rPr>
        <w:t>根据潜在污染源和污染途径分析，本项目可能对地下水环境产生影响的构筑物主要包括：</w:t>
      </w:r>
    </w:p>
    <w:p w14:paraId="276AA780">
      <w:pPr>
        <w:bidi w:val="0"/>
        <w:rPr>
          <w:color w:val="auto"/>
        </w:rPr>
      </w:pPr>
      <w:r>
        <w:rPr>
          <w:rFonts w:hint="eastAsia"/>
          <w:color w:val="auto"/>
        </w:rPr>
        <w:t>①主体工程</w:t>
      </w:r>
    </w:p>
    <w:p w14:paraId="41A89AC3">
      <w:pPr>
        <w:bidi w:val="0"/>
        <w:rPr>
          <w:color w:val="auto"/>
        </w:rPr>
      </w:pPr>
      <w:r>
        <w:rPr>
          <w:rFonts w:hint="eastAsia"/>
          <w:color w:val="auto"/>
        </w:rPr>
        <w:t>一级处理单元</w:t>
      </w:r>
      <w:r>
        <w:rPr>
          <w:color w:val="auto"/>
        </w:rPr>
        <w:t>：</w:t>
      </w:r>
      <w:r>
        <w:rPr>
          <w:rFonts w:hint="eastAsia"/>
          <w:color w:val="auto"/>
        </w:rPr>
        <w:t>超细格栅池</w:t>
      </w:r>
      <w:r>
        <w:rPr>
          <w:color w:val="auto"/>
        </w:rPr>
        <w:t>、</w:t>
      </w:r>
      <w:r>
        <w:rPr>
          <w:rFonts w:hint="eastAsia"/>
          <w:color w:val="auto"/>
        </w:rPr>
        <w:t>调节池、水解酸化池；</w:t>
      </w:r>
    </w:p>
    <w:p w14:paraId="7C460CB1">
      <w:pPr>
        <w:bidi w:val="0"/>
        <w:rPr>
          <w:color w:val="auto"/>
        </w:rPr>
      </w:pPr>
      <w:r>
        <w:rPr>
          <w:rFonts w:hint="eastAsia"/>
          <w:color w:val="auto"/>
        </w:rPr>
        <w:t>二级处理单元</w:t>
      </w:r>
      <w:r>
        <w:rPr>
          <w:color w:val="auto"/>
        </w:rPr>
        <w:t>：</w:t>
      </w:r>
      <w:r>
        <w:rPr>
          <w:rFonts w:hint="eastAsia"/>
          <w:color w:val="auto"/>
        </w:rPr>
        <w:t>微氧低循环生化池</w:t>
      </w:r>
      <w:r>
        <w:rPr>
          <w:color w:val="auto"/>
        </w:rPr>
        <w:t>、</w:t>
      </w:r>
      <w:r>
        <w:rPr>
          <w:rFonts w:hint="eastAsia"/>
          <w:color w:val="auto"/>
        </w:rPr>
        <w:t>反硝化深床滤池；</w:t>
      </w:r>
    </w:p>
    <w:p w14:paraId="2661EB0C">
      <w:pPr>
        <w:bidi w:val="0"/>
        <w:rPr>
          <w:color w:val="auto"/>
        </w:rPr>
      </w:pPr>
      <w:r>
        <w:rPr>
          <w:rFonts w:hint="eastAsia"/>
          <w:color w:val="auto"/>
        </w:rPr>
        <w:t>深度处理单元：高级氧化撬装设备；</w:t>
      </w:r>
    </w:p>
    <w:p w14:paraId="1582F1DF">
      <w:pPr>
        <w:bidi w:val="0"/>
        <w:rPr>
          <w:color w:val="auto"/>
        </w:rPr>
      </w:pPr>
      <w:r>
        <w:rPr>
          <w:rFonts w:hint="eastAsia"/>
          <w:color w:val="auto"/>
        </w:rPr>
        <w:t>②配套</w:t>
      </w:r>
      <w:r>
        <w:rPr>
          <w:color w:val="auto"/>
        </w:rPr>
        <w:t>工程</w:t>
      </w:r>
    </w:p>
    <w:p w14:paraId="5B85A890">
      <w:pPr>
        <w:bidi w:val="0"/>
        <w:rPr>
          <w:color w:val="auto"/>
        </w:rPr>
      </w:pPr>
      <w:r>
        <w:rPr>
          <w:rFonts w:hint="eastAsia"/>
          <w:color w:val="auto"/>
        </w:rPr>
        <w:t>污泥处理单元：磁混凝沉淀池、污泥池。</w:t>
      </w:r>
    </w:p>
    <w:p w14:paraId="31A09120">
      <w:pPr>
        <w:bidi w:val="0"/>
        <w:rPr>
          <w:color w:val="auto"/>
        </w:rPr>
      </w:pPr>
      <w:r>
        <w:rPr>
          <w:color w:val="auto"/>
        </w:rPr>
        <w:t>根据《环境影响评价技术导则</w:t>
      </w:r>
      <w:r>
        <w:rPr>
          <w:rFonts w:hint="eastAsia"/>
          <w:color w:val="auto"/>
          <w:lang w:val="en-US" w:eastAsia="zh-CN"/>
        </w:rPr>
        <w:t xml:space="preserve"> </w:t>
      </w:r>
      <w:r>
        <w:rPr>
          <w:color w:val="auto"/>
        </w:rPr>
        <w:t>地下水环境》（HJ610-2016）及《危险废物贮存污染控制标准》（GB18597），以上构筑物均需进行一般或重点防渗。在采取防渗措施后，正常状况，以上构筑物运行过程中对地下水环境影响较小。非正常运行状态下，受</w:t>
      </w:r>
      <w:r>
        <w:rPr>
          <w:rFonts w:hint="eastAsia"/>
          <w:color w:val="auto"/>
        </w:rPr>
        <w:t>池体</w:t>
      </w:r>
      <w:r>
        <w:rPr>
          <w:color w:val="auto"/>
        </w:rPr>
        <w:t>老化</w:t>
      </w:r>
      <w:r>
        <w:rPr>
          <w:rFonts w:hint="eastAsia"/>
          <w:color w:val="auto"/>
        </w:rPr>
        <w:t>、沉陷</w:t>
      </w:r>
      <w:r>
        <w:rPr>
          <w:color w:val="auto"/>
        </w:rPr>
        <w:t>及防渗系统腐蚀等因素影响，本项目废水泄漏并部分入渗含水层，将会对区内地下水水质造成影响。</w:t>
      </w:r>
    </w:p>
    <w:p w14:paraId="362328FF">
      <w:pPr>
        <w:bidi w:val="0"/>
        <w:rPr>
          <w:color w:val="auto"/>
        </w:rPr>
      </w:pPr>
      <w:r>
        <w:rPr>
          <w:color w:val="auto"/>
        </w:rPr>
        <w:t>非正常运行状况，根据产污环节分析</w:t>
      </w:r>
      <w:r>
        <w:rPr>
          <w:rFonts w:hint="eastAsia"/>
          <w:color w:val="auto"/>
        </w:rPr>
        <w:t>，</w:t>
      </w:r>
      <w:r>
        <w:rPr>
          <w:color w:val="auto"/>
        </w:rPr>
        <w:t>本项目主要地下水污染源</w:t>
      </w:r>
      <w:r>
        <w:rPr>
          <w:rFonts w:hint="eastAsia"/>
          <w:color w:val="auto"/>
        </w:rPr>
        <w:t>为处理的工业废水</w:t>
      </w:r>
      <w:r>
        <w:rPr>
          <w:color w:val="auto"/>
        </w:rPr>
        <w:t>。</w:t>
      </w:r>
      <w:r>
        <w:rPr>
          <w:rFonts w:hint="eastAsia"/>
          <w:color w:val="auto"/>
        </w:rPr>
        <w:t>保守起见，各池体泄露的</w:t>
      </w:r>
      <w:r>
        <w:rPr>
          <w:color w:val="auto"/>
        </w:rPr>
        <w:t>废水水质</w:t>
      </w:r>
      <w:r>
        <w:rPr>
          <w:rFonts w:hint="eastAsia"/>
          <w:color w:val="auto"/>
        </w:rPr>
        <w:t>按照最大不利浓度即污水处理厂设计进水浓度考虑。</w:t>
      </w:r>
      <w:r>
        <w:rPr>
          <w:color w:val="auto"/>
        </w:rPr>
        <w:t>本次选取</w:t>
      </w:r>
      <w:r>
        <w:rPr>
          <w:rFonts w:hint="eastAsia"/>
          <w:color w:val="auto"/>
        </w:rPr>
        <w:t>污水处理厂</w:t>
      </w:r>
      <w:r>
        <w:rPr>
          <w:color w:val="auto"/>
        </w:rPr>
        <w:t>进水水质</w:t>
      </w:r>
      <w:r>
        <w:rPr>
          <w:rFonts w:hint="eastAsia"/>
          <w:color w:val="auto"/>
        </w:rPr>
        <w:t>特征污染因子中污染物产生量大、毒性较强、占标率较高的</w:t>
      </w:r>
      <w:r>
        <w:rPr>
          <w:color w:val="auto"/>
        </w:rPr>
        <w:t>CODMn、</w:t>
      </w:r>
      <w:r>
        <w:rPr>
          <w:rFonts w:hint="eastAsia"/>
          <w:color w:val="auto"/>
        </w:rPr>
        <w:t>氨氮、总磷、苯、甲醛、石油类</w:t>
      </w:r>
      <w:r>
        <w:rPr>
          <w:color w:val="auto"/>
        </w:rPr>
        <w:t>作为预测因子</w:t>
      </w:r>
      <w:r>
        <w:rPr>
          <w:rFonts w:hint="eastAsia"/>
          <w:color w:val="auto"/>
        </w:rPr>
        <w:t>。</w:t>
      </w:r>
    </w:p>
    <w:p w14:paraId="15775E3A">
      <w:pPr>
        <w:bidi w:val="0"/>
        <w:rPr>
          <w:b/>
          <w:bCs/>
          <w:color w:val="auto"/>
        </w:rPr>
      </w:pPr>
      <w:r>
        <w:rPr>
          <w:rFonts w:hint="eastAsia"/>
          <w:b/>
          <w:bCs/>
          <w:color w:val="auto"/>
          <w:lang w:val="en-US" w:eastAsia="zh-CN"/>
        </w:rPr>
        <w:t>4、</w:t>
      </w:r>
      <w:r>
        <w:rPr>
          <w:b/>
          <w:bCs/>
          <w:color w:val="auto"/>
        </w:rPr>
        <w:t>地下水环境影响预测与评价</w:t>
      </w:r>
    </w:p>
    <w:p w14:paraId="32D366FE">
      <w:pPr>
        <w:ind w:firstLine="482"/>
        <w:rPr>
          <w:rFonts w:hint="default" w:ascii="Times New Roman" w:hAnsi="Times New Roman" w:cs="Times New Roman"/>
          <w:b/>
          <w:color w:val="auto"/>
        </w:rPr>
      </w:pPr>
      <w:r>
        <w:rPr>
          <w:rFonts w:cs="Times New Roman"/>
          <w:b/>
          <w:color w:val="auto"/>
        </w:rPr>
        <w:t>（</w:t>
      </w:r>
      <w:r>
        <w:rPr>
          <w:rFonts w:hint="default" w:ascii="Times New Roman" w:hAnsi="Times New Roman" w:cs="Times New Roman"/>
          <w:b/>
          <w:color w:val="auto"/>
        </w:rPr>
        <w:t>1）预测方法</w:t>
      </w:r>
    </w:p>
    <w:p w14:paraId="41327B27">
      <w:pPr>
        <w:ind w:firstLine="480"/>
        <w:rPr>
          <w:rFonts w:hint="default" w:ascii="Times New Roman" w:hAnsi="Times New Roman" w:cs="Times New Roman"/>
          <w:color w:val="auto"/>
        </w:rPr>
      </w:pPr>
      <w:r>
        <w:rPr>
          <w:rFonts w:hint="default" w:ascii="Times New Roman" w:hAnsi="Times New Roman" w:cs="Times New Roman"/>
          <w:color w:val="auto"/>
        </w:rPr>
        <w:t>基于资料收集和现场调查，分析并掌握项目区的环境和水文地质特征，建立地下水流动的污染物迁移的数学模型，根据工程分析确定各状况下的污染源强及预测参数，建立以Visual MODFLOW数值计算的水量和水质预测模型，针对本项目运行期非正常状况可能对地下水环境产生的影响进行预测。</w:t>
      </w:r>
    </w:p>
    <w:p w14:paraId="7E90B60A">
      <w:pPr>
        <w:ind w:firstLine="482"/>
        <w:rPr>
          <w:rFonts w:hint="default" w:ascii="Times New Roman" w:hAnsi="Times New Roman" w:cs="Times New Roman"/>
          <w:b/>
          <w:color w:val="auto"/>
        </w:rPr>
      </w:pPr>
      <w:r>
        <w:rPr>
          <w:rFonts w:hint="default" w:ascii="Times New Roman" w:hAnsi="Times New Roman" w:cs="Times New Roman"/>
          <w:b/>
          <w:color w:val="auto"/>
        </w:rPr>
        <w:t>（2）地下水流场数值模拟</w:t>
      </w:r>
    </w:p>
    <w:p w14:paraId="3D7E5AE8">
      <w:pPr>
        <w:ind w:firstLine="480"/>
        <w:rPr>
          <w:rFonts w:hint="default" w:ascii="Times New Roman" w:hAnsi="Times New Roman" w:cs="Times New Roman"/>
          <w:color w:val="auto"/>
        </w:rPr>
      </w:pPr>
      <w:r>
        <w:rPr>
          <w:rFonts w:hint="default" w:ascii="Times New Roman" w:hAnsi="Times New Roman" w:cs="Times New Roman"/>
          <w:color w:val="auto"/>
        </w:rPr>
        <w:t>1）数学模型</w:t>
      </w:r>
    </w:p>
    <w:p w14:paraId="2CD17FA3">
      <w:pPr>
        <w:ind w:firstLine="480"/>
        <w:rPr>
          <w:rFonts w:hint="default" w:ascii="Times New Roman" w:hAnsi="Times New Roman" w:cs="Times New Roman"/>
          <w:color w:val="auto"/>
        </w:rPr>
      </w:pPr>
      <w:r>
        <w:rPr>
          <w:rFonts w:hint="default" w:ascii="Times New Roman" w:hAnsi="Times New Roman" w:cs="Times New Roman"/>
          <w:color w:val="auto"/>
        </w:rPr>
        <w:t>地下水流模拟采用分块均质、各向异性、非稳定三维分布参数地下水流数学模型，其数学表达形式如下：</w:t>
      </w:r>
    </w:p>
    <w:p w14:paraId="31926ABD">
      <w:pPr>
        <w:ind w:firstLine="480"/>
        <w:rPr>
          <w:rFonts w:hint="default" w:ascii="Times New Roman" w:hAnsi="Times New Roman" w:cs="Times New Roman"/>
          <w:color w:val="auto"/>
        </w:rPr>
      </w:pPr>
      <w:r>
        <w:rPr>
          <w:rFonts w:hint="default" w:ascii="Times New Roman" w:hAnsi="Times New Roman" w:cs="Times New Roman"/>
          <w:color w:val="auto"/>
          <w:position w:val="-112"/>
          <w:szCs w:val="24"/>
        </w:rPr>
        <w:drawing>
          <wp:inline distT="0" distB="0" distL="0" distR="0">
            <wp:extent cx="4823460" cy="1264920"/>
            <wp:effectExtent l="0" t="0" r="15240" b="11430"/>
            <wp:docPr id="7189" name="图片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 name="图片 718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4823460" cy="1264920"/>
                    </a:xfrm>
                    <a:prstGeom prst="rect">
                      <a:avLst/>
                    </a:prstGeom>
                    <a:noFill/>
                    <a:ln>
                      <a:noFill/>
                    </a:ln>
                  </pic:spPr>
                </pic:pic>
              </a:graphicData>
            </a:graphic>
          </wp:inline>
        </w:drawing>
      </w:r>
    </w:p>
    <w:p w14:paraId="40645DEA">
      <w:pPr>
        <w:ind w:firstLine="482"/>
        <w:rPr>
          <w:rFonts w:hint="default" w:ascii="Times New Roman" w:hAnsi="Times New Roman" w:cs="Times New Roman"/>
          <w:b/>
          <w:color w:val="auto"/>
        </w:rPr>
      </w:pPr>
      <w:r>
        <w:rPr>
          <w:rFonts w:hint="default" w:ascii="Times New Roman" w:hAnsi="Times New Roman" w:cs="Times New Roman"/>
          <w:b/>
          <w:color w:val="auto"/>
        </w:rPr>
        <w:t>式中：</w:t>
      </w:r>
    </w:p>
    <w:p w14:paraId="25700866">
      <w:pPr>
        <w:ind w:firstLine="480"/>
        <w:rPr>
          <w:rFonts w:hint="default" w:ascii="Times New Roman" w:hAnsi="Times New Roman" w:cs="Times New Roman"/>
          <w:color w:val="auto"/>
        </w:rPr>
      </w:pPr>
      <w:r>
        <w:rPr>
          <w:rFonts w:hint="default" w:ascii="Times New Roman" w:hAnsi="Times New Roman" w:cs="Times New Roman"/>
          <w:color w:val="auto"/>
        </w:rPr>
        <w:t>H（x，y，z，t）表示模拟区任一点（x，y，z）任一时刻t的水头值（m）；</w:t>
      </w:r>
    </w:p>
    <w:p w14:paraId="7BCD21A0">
      <w:pPr>
        <w:ind w:firstLine="480"/>
        <w:rPr>
          <w:rFonts w:hint="default" w:ascii="Times New Roman" w:hAnsi="Times New Roman" w:cs="Times New Roman"/>
          <w:color w:val="auto"/>
        </w:rPr>
      </w:pPr>
      <w:r>
        <w:rPr>
          <w:rFonts w:hint="default" w:ascii="Times New Roman" w:hAnsi="Times New Roman" w:cs="Times New Roman"/>
          <w:color w:val="auto"/>
        </w:rPr>
        <w:t>Ω表示地下水渗流区域；</w:t>
      </w:r>
    </w:p>
    <w:p w14:paraId="721D3533">
      <w:pPr>
        <w:ind w:firstLine="480"/>
        <w:rPr>
          <w:rFonts w:hint="default" w:ascii="Times New Roman" w:hAnsi="Times New Roman" w:cs="Times New Roman"/>
          <w:color w:val="auto"/>
        </w:rPr>
      </w:pPr>
      <w:r>
        <w:rPr>
          <w:rFonts w:hint="default" w:ascii="Times New Roman" w:hAnsi="Times New Roman" w:cs="Times New Roman"/>
          <w:color w:val="auto"/>
        </w:rPr>
        <w:t>S1为模型的第一类边界；</w:t>
      </w:r>
    </w:p>
    <w:p w14:paraId="172CC4CC">
      <w:pPr>
        <w:ind w:firstLine="480"/>
        <w:rPr>
          <w:rFonts w:hint="default" w:ascii="Times New Roman" w:hAnsi="Times New Roman" w:cs="Times New Roman"/>
          <w:color w:val="auto"/>
        </w:rPr>
      </w:pPr>
      <w:r>
        <w:rPr>
          <w:rFonts w:hint="default" w:ascii="Times New Roman" w:hAnsi="Times New Roman" w:cs="Times New Roman"/>
          <w:color w:val="auto"/>
        </w:rPr>
        <w:t>S2为模型的第二类边界；</w:t>
      </w:r>
    </w:p>
    <w:p w14:paraId="12F53AE7">
      <w:pPr>
        <w:ind w:firstLine="480"/>
        <w:rPr>
          <w:rFonts w:hint="default" w:ascii="Times New Roman" w:hAnsi="Times New Roman" w:cs="Times New Roman"/>
          <w:color w:val="auto"/>
        </w:rPr>
      </w:pPr>
      <w:r>
        <w:rPr>
          <w:rFonts w:hint="default" w:ascii="Times New Roman" w:hAnsi="Times New Roman" w:cs="Times New Roman"/>
          <w:color w:val="auto"/>
        </w:rPr>
        <w:t>K</w:t>
      </w:r>
      <w:r>
        <w:rPr>
          <w:rFonts w:hint="default" w:ascii="Times New Roman" w:hAnsi="Times New Roman" w:cs="Times New Roman"/>
          <w:color w:val="auto"/>
          <w:vertAlign w:val="subscript"/>
        </w:rPr>
        <w:t>xx</w:t>
      </w:r>
      <w:r>
        <w:rPr>
          <w:rFonts w:hint="default" w:ascii="Times New Roman" w:hAnsi="Times New Roman" w:cs="Times New Roman"/>
          <w:color w:val="auto"/>
        </w:rPr>
        <w:t>，K</w:t>
      </w:r>
      <w:r>
        <w:rPr>
          <w:rFonts w:hint="default" w:ascii="Times New Roman" w:hAnsi="Times New Roman" w:cs="Times New Roman"/>
          <w:color w:val="auto"/>
          <w:vertAlign w:val="subscript"/>
        </w:rPr>
        <w:t>yy</w:t>
      </w:r>
      <w:r>
        <w:rPr>
          <w:rFonts w:hint="default" w:ascii="Times New Roman" w:hAnsi="Times New Roman" w:cs="Times New Roman"/>
          <w:color w:val="auto"/>
        </w:rPr>
        <w:t>，K</w:t>
      </w:r>
      <w:r>
        <w:rPr>
          <w:rFonts w:hint="default" w:ascii="Times New Roman" w:hAnsi="Times New Roman" w:cs="Times New Roman"/>
          <w:color w:val="auto"/>
          <w:vertAlign w:val="subscript"/>
        </w:rPr>
        <w:t>zz</w:t>
      </w:r>
      <w:r>
        <w:rPr>
          <w:rFonts w:hint="default" w:ascii="Times New Roman" w:hAnsi="Times New Roman" w:cs="Times New Roman"/>
          <w:color w:val="auto"/>
        </w:rPr>
        <w:t>分别表示x，y，z主方向的渗透系数（m/d）。</w:t>
      </w:r>
    </w:p>
    <w:p w14:paraId="29E8F1AB">
      <w:pPr>
        <w:ind w:firstLine="480"/>
        <w:rPr>
          <w:rFonts w:hint="default" w:ascii="Times New Roman" w:hAnsi="Times New Roman" w:cs="Times New Roman"/>
          <w:color w:val="auto"/>
        </w:rPr>
      </w:pPr>
      <w:r>
        <w:rPr>
          <w:rFonts w:hint="default" w:ascii="Times New Roman" w:hAnsi="Times New Roman" w:cs="Times New Roman"/>
          <w:color w:val="auto"/>
        </w:rPr>
        <w:t>w表示源汇项，包括降水入渗补给、蒸发、井的抽水量和泉的排泄量（d</w:t>
      </w:r>
      <w:r>
        <w:rPr>
          <w:rFonts w:hint="default" w:ascii="Times New Roman" w:hAnsi="Times New Roman" w:cs="Times New Roman"/>
          <w:color w:val="auto"/>
          <w:vertAlign w:val="superscript"/>
        </w:rPr>
        <w:t>-1</w:t>
      </w:r>
      <w:r>
        <w:rPr>
          <w:rFonts w:hint="default" w:ascii="Times New Roman" w:hAnsi="Times New Roman" w:cs="Times New Roman"/>
          <w:color w:val="auto"/>
        </w:rPr>
        <w:t>）；</w:t>
      </w:r>
    </w:p>
    <w:p w14:paraId="5DF14E78">
      <w:pPr>
        <w:ind w:firstLine="480"/>
        <w:rPr>
          <w:rFonts w:hint="default" w:ascii="Times New Roman" w:hAnsi="Times New Roman" w:cs="Times New Roman"/>
          <w:color w:val="auto"/>
        </w:rPr>
      </w:pPr>
      <w:r>
        <w:rPr>
          <w:rFonts w:hint="default" w:ascii="Times New Roman" w:hAnsi="Times New Roman" w:cs="Times New Roman"/>
          <w:color w:val="auto"/>
        </w:rPr>
        <w:t>μ</w:t>
      </w:r>
      <w:r>
        <w:rPr>
          <w:rFonts w:hint="default" w:ascii="Times New Roman" w:hAnsi="Times New Roman" w:cs="Times New Roman"/>
          <w:color w:val="auto"/>
          <w:vertAlign w:val="subscript"/>
        </w:rPr>
        <w:t>s</w:t>
      </w:r>
      <w:r>
        <w:rPr>
          <w:rFonts w:hint="default" w:ascii="Times New Roman" w:hAnsi="Times New Roman" w:cs="Times New Roman"/>
          <w:color w:val="auto"/>
        </w:rPr>
        <w:t>表示单位贮水率；</w:t>
      </w:r>
    </w:p>
    <w:p w14:paraId="02963BA7">
      <w:pPr>
        <w:ind w:firstLine="480"/>
        <w:rPr>
          <w:rFonts w:hint="default" w:ascii="Times New Roman" w:hAnsi="Times New Roman" w:cs="Times New Roman"/>
          <w:color w:val="auto"/>
        </w:rPr>
      </w:pPr>
      <w:r>
        <w:rPr>
          <w:rFonts w:hint="default" w:ascii="Times New Roman" w:hAnsi="Times New Roman" w:cs="Times New Roman"/>
          <w:color w:val="auto"/>
        </w:rPr>
        <w:t>H</w:t>
      </w:r>
      <w:r>
        <w:rPr>
          <w:rFonts w:hint="default" w:ascii="Times New Roman" w:hAnsi="Times New Roman" w:cs="Times New Roman"/>
          <w:color w:val="auto"/>
          <w:vertAlign w:val="subscript"/>
        </w:rPr>
        <w:t>0</w:t>
      </w:r>
      <w:r>
        <w:rPr>
          <w:rFonts w:hint="default" w:ascii="Times New Roman" w:hAnsi="Times New Roman" w:cs="Times New Roman"/>
          <w:color w:val="auto"/>
        </w:rPr>
        <w:t>（x，y，z）表示初始地下水水头函数（m）；</w:t>
      </w:r>
    </w:p>
    <w:p w14:paraId="7909EC1D">
      <w:pPr>
        <w:ind w:firstLine="480"/>
        <w:rPr>
          <w:rFonts w:hint="default" w:ascii="Times New Roman" w:hAnsi="Times New Roman" w:cs="Times New Roman"/>
          <w:color w:val="auto"/>
        </w:rPr>
      </w:pPr>
      <w:r>
        <w:rPr>
          <w:rFonts w:hint="default" w:ascii="Times New Roman" w:hAnsi="Times New Roman" w:cs="Times New Roman"/>
          <w:color w:val="auto"/>
        </w:rPr>
        <w:t>H</w:t>
      </w:r>
      <w:r>
        <w:rPr>
          <w:rFonts w:hint="default" w:ascii="Times New Roman" w:hAnsi="Times New Roman" w:cs="Times New Roman"/>
          <w:color w:val="auto"/>
          <w:vertAlign w:val="subscript"/>
        </w:rPr>
        <w:t>1</w:t>
      </w:r>
      <w:r>
        <w:rPr>
          <w:rFonts w:hint="default" w:ascii="Times New Roman" w:hAnsi="Times New Roman" w:cs="Times New Roman"/>
          <w:color w:val="auto"/>
        </w:rPr>
        <w:t>（x，y，z）为第一类边界</w:t>
      </w:r>
      <w:r>
        <w:rPr>
          <w:rFonts w:hint="eastAsia" w:cs="Times New Roman"/>
          <w:color w:val="auto"/>
          <w:lang w:eastAsia="zh-CN"/>
        </w:rPr>
        <w:t>已知</w:t>
      </w:r>
      <w:r>
        <w:rPr>
          <w:rFonts w:hint="default" w:ascii="Times New Roman" w:hAnsi="Times New Roman" w:cs="Times New Roman"/>
          <w:color w:val="auto"/>
        </w:rPr>
        <w:t>地下水水头函数（m）；</w:t>
      </w:r>
    </w:p>
    <w:p w14:paraId="6B3A62E0">
      <w:pPr>
        <w:ind w:firstLine="480"/>
        <w:rPr>
          <w:rFonts w:hint="default" w:ascii="Times New Roman" w:hAnsi="Times New Roman" w:cs="Times New Roman"/>
          <w:color w:val="auto"/>
        </w:rPr>
      </w:pPr>
      <w:r>
        <w:rPr>
          <w:rFonts w:hint="default" w:ascii="Times New Roman" w:hAnsi="Times New Roman" w:cs="Times New Roman"/>
          <w:color w:val="auto"/>
        </w:rPr>
        <w:t>Q（x，y，z，t）为第二类边界</w:t>
      </w:r>
      <w:r>
        <w:rPr>
          <w:rFonts w:hint="eastAsia" w:cs="Times New Roman"/>
          <w:color w:val="auto"/>
          <w:lang w:eastAsia="zh-CN"/>
        </w:rPr>
        <w:t>已知</w:t>
      </w:r>
      <w:r>
        <w:rPr>
          <w:rFonts w:hint="default" w:ascii="Times New Roman" w:hAnsi="Times New Roman" w:cs="Times New Roman"/>
          <w:color w:val="auto"/>
        </w:rPr>
        <w:t>单位面积流量或单宽流量函数（</w:t>
      </w:r>
      <w:r>
        <w:rPr>
          <w:rFonts w:hint="eastAsia" w:cs="Times New Roman"/>
          <w:color w:val="auto"/>
          <w:lang w:eastAsia="zh-CN"/>
        </w:rPr>
        <w:t>m³</w:t>
      </w:r>
      <w:r>
        <w:rPr>
          <w:rFonts w:hint="default" w:ascii="Times New Roman" w:hAnsi="Times New Roman" w:cs="Times New Roman"/>
          <w:color w:val="auto"/>
        </w:rPr>
        <w:t>/d·</w:t>
      </w:r>
      <w:r>
        <w:rPr>
          <w:rFonts w:hint="eastAsia" w:cs="Times New Roman"/>
          <w:color w:val="auto"/>
          <w:lang w:eastAsia="zh-CN"/>
        </w:rPr>
        <w:t>m²</w:t>
      </w:r>
      <w:r>
        <w:rPr>
          <w:rFonts w:hint="default" w:ascii="Times New Roman" w:hAnsi="Times New Roman" w:cs="Times New Roman"/>
          <w:color w:val="auto"/>
        </w:rPr>
        <w:t>），零流量边界或隔水边界q=0。</w:t>
      </w:r>
    </w:p>
    <w:p w14:paraId="2A12E399">
      <w:pPr>
        <w:ind w:firstLine="480"/>
        <w:rPr>
          <w:rFonts w:hint="default" w:ascii="Times New Roman" w:hAnsi="Times New Roman" w:cs="Times New Roman"/>
          <w:color w:val="auto"/>
        </w:rPr>
      </w:pPr>
      <w:r>
        <w:rPr>
          <w:rFonts w:hint="default" w:ascii="Times New Roman" w:hAnsi="Times New Roman" w:cs="Times New Roman"/>
          <w:color w:val="auto"/>
        </w:rPr>
        <w:t>2）预测软件</w:t>
      </w:r>
    </w:p>
    <w:p w14:paraId="01DBECC3">
      <w:pPr>
        <w:ind w:firstLine="480"/>
        <w:rPr>
          <w:rFonts w:hint="default" w:ascii="Times New Roman" w:hAnsi="Times New Roman" w:cs="Times New Roman"/>
          <w:color w:val="auto"/>
        </w:rPr>
      </w:pPr>
      <w:r>
        <w:rPr>
          <w:rFonts w:hint="default" w:ascii="Times New Roman" w:hAnsi="Times New Roman" w:cs="Times New Roman"/>
          <w:color w:val="auto"/>
        </w:rPr>
        <w:t>MODFLOW是Visual MODFLOW软件中的模块之一，它是美国地质调查局于80年代开发出的一套专门用于地下水流动的三维有限差分数值模拟软件。MODFLOW自问世以来，由于其程序结构的模块化、离散方法的简单化和求解方法的多样化等优点，已被广泛用来模拟</w:t>
      </w:r>
      <w:r>
        <w:rPr>
          <w:rFonts w:hint="eastAsia" w:cs="Times New Roman"/>
          <w:color w:val="auto"/>
          <w:lang w:eastAsia="zh-CN"/>
        </w:rPr>
        <w:t>径流</w:t>
      </w:r>
      <w:r>
        <w:rPr>
          <w:rFonts w:hint="default" w:ascii="Times New Roman" w:hAnsi="Times New Roman" w:cs="Times New Roman"/>
          <w:color w:val="auto"/>
        </w:rPr>
        <w:t>、河流、排泄、蒸发和补给对非均质和复杂边界条件的水流系统的影响。本次数值模拟计算采用Visual MODFLOW中的MODFLOW模块模拟项目所在区域地下水流场。</w:t>
      </w:r>
    </w:p>
    <w:p w14:paraId="1F460DE3">
      <w:pPr>
        <w:ind w:firstLine="480"/>
        <w:rPr>
          <w:rFonts w:hint="default" w:ascii="Times New Roman" w:hAnsi="Times New Roman" w:cs="Times New Roman"/>
          <w:color w:val="auto"/>
        </w:rPr>
      </w:pPr>
      <w:r>
        <w:rPr>
          <w:rFonts w:hint="default" w:ascii="Times New Roman" w:hAnsi="Times New Roman" w:cs="Times New Roman"/>
          <w:color w:val="auto"/>
        </w:rPr>
        <w:t>3）地下水概念模型的概化、离散及边界条件设置</w:t>
      </w:r>
    </w:p>
    <w:p w14:paraId="2FDA3F78">
      <w:pPr>
        <w:ind w:firstLine="480"/>
        <w:rPr>
          <w:rFonts w:hint="default" w:ascii="Times New Roman" w:hAnsi="Times New Roman" w:cs="Times New Roman"/>
          <w:color w:val="auto"/>
        </w:rPr>
      </w:pPr>
      <w:r>
        <w:rPr>
          <w:rFonts w:hint="default" w:ascii="Times New Roman" w:hAnsi="Times New Roman" w:cs="Times New Roman"/>
          <w:color w:val="auto"/>
        </w:rPr>
        <w:t>本项目地处巴中市巴州区巴河左岸的河流阶地上，模拟区关注的浅层地下水类型包括第四系松散岩类孔隙水和基岩裂隙水，其中松散岩类孔隙水赋存于第四系冲积层（Q</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al</w:t>
      </w:r>
      <w:r>
        <w:rPr>
          <w:rFonts w:hint="default" w:ascii="Times New Roman" w:hAnsi="Times New Roman" w:cs="Times New Roman"/>
          <w:color w:val="auto"/>
        </w:rPr>
        <w:t>）及第四系上更新冲积层上段（Q</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al</w:t>
      </w:r>
      <w:r>
        <w:rPr>
          <w:rFonts w:hint="default" w:ascii="Times New Roman" w:hAnsi="Times New Roman" w:cs="Times New Roman"/>
          <w:color w:val="auto"/>
        </w:rPr>
        <w:t>）冲积层孔隙中，基岩裂隙水赋存于白垩系下统白龙组（K</w:t>
      </w:r>
      <w:r>
        <w:rPr>
          <w:rFonts w:hint="default" w:ascii="Times New Roman" w:hAnsi="Times New Roman" w:cs="Times New Roman"/>
          <w:color w:val="auto"/>
          <w:vertAlign w:val="subscript"/>
        </w:rPr>
        <w:t>1</w:t>
      </w:r>
      <w:r>
        <w:rPr>
          <w:rFonts w:hint="default" w:ascii="Times New Roman" w:hAnsi="Times New Roman" w:cs="Times New Roman"/>
          <w:color w:val="auto"/>
        </w:rPr>
        <w:t>b）浅层裂隙带中。模拟区地下水主要来源于大气降水、地表水及侧向补给，接受补给后，地下水北东向南西径流，最终或以蒸发排泄，或以隐流形式排泄至巴河中。</w:t>
      </w:r>
    </w:p>
    <w:p w14:paraId="033019A8">
      <w:pPr>
        <w:ind w:firstLine="480"/>
        <w:rPr>
          <w:rFonts w:hint="default" w:ascii="Times New Roman" w:hAnsi="Times New Roman" w:cs="Times New Roman"/>
          <w:color w:val="auto"/>
        </w:rPr>
      </w:pPr>
      <w:r>
        <w:rPr>
          <w:rFonts w:hint="default" w:ascii="Times New Roman" w:hAnsi="Times New Roman" w:cs="Times New Roman"/>
          <w:color w:val="auto"/>
        </w:rPr>
        <w:t>模型以东西向为x轴方向，长度90 m，每10 m划分一个网格；南北向作为模型的y轴方向，宽1100 m，每10 m划分一个网格；垂直于xy平面向上为模型的z轴正方向，模拟范围地面高程305～380 m，垂向上概化为3层，上部为第四系含水层，中部为白垩系下统白龙组（K</w:t>
      </w:r>
      <w:r>
        <w:rPr>
          <w:rFonts w:hint="default" w:ascii="Times New Roman" w:hAnsi="Times New Roman" w:cs="Times New Roman"/>
          <w:color w:val="auto"/>
          <w:vertAlign w:val="subscript"/>
        </w:rPr>
        <w:t>1</w:t>
      </w:r>
      <w:r>
        <w:rPr>
          <w:rFonts w:hint="default" w:ascii="Times New Roman" w:hAnsi="Times New Roman" w:cs="Times New Roman"/>
          <w:color w:val="auto"/>
        </w:rPr>
        <w:t>b）砂岩裂隙含水层，下部白垩系下统白龙组（K</w:t>
      </w:r>
      <w:r>
        <w:rPr>
          <w:rFonts w:hint="default" w:ascii="Times New Roman" w:hAnsi="Times New Roman" w:cs="Times New Roman"/>
          <w:color w:val="auto"/>
          <w:vertAlign w:val="subscript"/>
        </w:rPr>
        <w:t>1</w:t>
      </w:r>
      <w:r>
        <w:rPr>
          <w:rFonts w:hint="default" w:ascii="Times New Roman" w:hAnsi="Times New Roman" w:cs="Times New Roman"/>
          <w:color w:val="auto"/>
        </w:rPr>
        <w:t>b）裂隙不发育地层为相对隔水层。</w:t>
      </w:r>
    </w:p>
    <w:p w14:paraId="121073C2">
      <w:pPr>
        <w:ind w:firstLine="480"/>
        <w:rPr>
          <w:rFonts w:hint="default" w:ascii="Times New Roman" w:hAnsi="Times New Roman" w:cs="Times New Roman"/>
          <w:color w:val="auto"/>
        </w:rPr>
      </w:pPr>
      <w:r>
        <w:rPr>
          <w:rFonts w:hint="default" w:ascii="Times New Roman" w:hAnsi="Times New Roman" w:cs="Times New Roman"/>
          <w:color w:val="auto"/>
        </w:rPr>
        <w:t>Modflow将计算单元分成了三大类：定水头单元、无效单元和变水头单元。模拟区巴河距离较短且水力坡度不大设置为定水头边界；巴河支流店子河、小河沟设置为河流边界；模型区北西及北东侧山脊线设定为零通量边界。巴河右岸、店子河左岸、小河沟右岸及北西、北东侧山脊线以外非本次模拟区设置为无效单元格。其余网格为计算单元格。模型网格划分见</w:t>
      </w:r>
      <w:r>
        <w:rPr>
          <w:rFonts w:hint="eastAsia" w:ascii="Times New Roman" w:hAnsi="Times New Roman" w:cs="Times New Roman"/>
          <w:color w:val="auto"/>
          <w:lang w:val="en-US" w:eastAsia="zh-CN"/>
        </w:rPr>
        <w:t>下图</w:t>
      </w:r>
      <w:r>
        <w:rPr>
          <w:rFonts w:hint="default" w:ascii="Times New Roman" w:hAnsi="Times New Roman" w:cs="Times New Roman"/>
          <w:color w:val="auto"/>
        </w:rPr>
        <w:t>。</w:t>
      </w:r>
    </w:p>
    <w:tbl>
      <w:tblPr>
        <w:tblStyle w:val="52"/>
        <w:tblW w:w="5000" w:type="pct"/>
        <w:tblInd w:w="0" w:type="dxa"/>
        <w:tblLayout w:type="autofit"/>
        <w:tblCellMar>
          <w:top w:w="0" w:type="dxa"/>
          <w:left w:w="108" w:type="dxa"/>
          <w:bottom w:w="0" w:type="dxa"/>
          <w:right w:w="108" w:type="dxa"/>
        </w:tblCellMar>
      </w:tblPr>
      <w:tblGrid>
        <w:gridCol w:w="8522"/>
      </w:tblGrid>
      <w:tr w14:paraId="6A0911AC">
        <w:tblPrEx>
          <w:tblCellMar>
            <w:top w:w="0" w:type="dxa"/>
            <w:left w:w="108" w:type="dxa"/>
            <w:bottom w:w="0" w:type="dxa"/>
            <w:right w:w="108" w:type="dxa"/>
          </w:tblCellMar>
        </w:tblPrEx>
        <w:trPr>
          <w:trHeight w:val="57" w:hRule="atLeast"/>
        </w:trPr>
        <w:tc>
          <w:tcPr>
            <w:tcW w:w="5000" w:type="pct"/>
            <w:shd w:val="clear" w:color="auto" w:fill="auto"/>
          </w:tcPr>
          <w:p w14:paraId="5910B090">
            <w:pPr>
              <w:pStyle w:val="714"/>
              <w:rPr>
                <w:rFonts w:cs="Times New Roman"/>
                <w:color w:val="auto"/>
              </w:rPr>
            </w:pPr>
            <w:r>
              <w:rPr>
                <w:color w:val="auto"/>
              </w:rPr>
              <w:drawing>
                <wp:inline distT="0" distB="0" distL="0" distR="0">
                  <wp:extent cx="5136515" cy="5919470"/>
                  <wp:effectExtent l="0" t="0" r="6985" b="5080"/>
                  <wp:docPr id="18699394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939406" name="图片 1"/>
                          <pic:cNvPicPr>
                            <a:picLocks noChangeAspect="1"/>
                          </pic:cNvPicPr>
                        </pic:nvPicPr>
                        <pic:blipFill>
                          <a:blip r:embed="rId108"/>
                          <a:stretch>
                            <a:fillRect/>
                          </a:stretch>
                        </pic:blipFill>
                        <pic:spPr>
                          <a:xfrm>
                            <a:off x="0" y="0"/>
                            <a:ext cx="5137654" cy="5921354"/>
                          </a:xfrm>
                          <a:prstGeom prst="rect">
                            <a:avLst/>
                          </a:prstGeom>
                        </pic:spPr>
                      </pic:pic>
                    </a:graphicData>
                  </a:graphic>
                </wp:inline>
              </w:drawing>
            </w:r>
          </w:p>
        </w:tc>
      </w:tr>
    </w:tbl>
    <w:p w14:paraId="4AA885D8">
      <w:pPr>
        <w:pStyle w:val="19"/>
        <w:numPr>
          <w:ilvl w:val="0"/>
          <w:numId w:val="0"/>
        </w:numPr>
        <w:tabs>
          <w:tab w:val="clear" w:pos="0"/>
        </w:tabs>
        <w:bidi w:val="0"/>
        <w:ind w:leftChars="0"/>
        <w:jc w:val="center"/>
        <w:rPr>
          <w:color w:val="auto"/>
        </w:rPr>
      </w:pPr>
      <w:r>
        <w:rPr>
          <w:rFonts w:hint="eastAsia"/>
          <w:color w:val="auto"/>
          <w:lang w:eastAsia="zh-CN"/>
        </w:rPr>
        <w:t>图</w:t>
      </w:r>
      <w:r>
        <w:rPr>
          <w:color w:val="auto"/>
        </w:rPr>
        <w:fldChar w:fldCharType="begin"/>
      </w:r>
      <w:r>
        <w:rPr>
          <w:color w:val="auto"/>
        </w:rPr>
        <w:instrText xml:space="preserve"> STYLEREF 2 \s </w:instrText>
      </w:r>
      <w:r>
        <w:rPr>
          <w:color w:val="auto"/>
        </w:rPr>
        <w:fldChar w:fldCharType="separate"/>
      </w:r>
      <w:r>
        <w:rPr>
          <w:color w:val="auto"/>
        </w:rPr>
        <w:t>4.2</w:t>
      </w:r>
      <w:r>
        <w:rPr>
          <w:color w:val="auto"/>
        </w:rPr>
        <w:fldChar w:fldCharType="end"/>
      </w:r>
      <w:r>
        <w:rPr>
          <w:rFonts w:hint="eastAsia"/>
          <w:color w:val="auto"/>
          <w:lang w:eastAsia="zh-CN"/>
        </w:rPr>
        <w:t>-</w:t>
      </w:r>
      <w:r>
        <w:rPr>
          <w:rFonts w:hint="eastAsia"/>
          <w:color w:val="auto"/>
          <w:lang w:val="en-US" w:eastAsia="zh-CN"/>
        </w:rPr>
        <w:t xml:space="preserve">7 </w:t>
      </w:r>
      <w:r>
        <w:rPr>
          <w:color w:val="auto"/>
        </w:rPr>
        <w:t>模型边界条件设置</w:t>
      </w:r>
    </w:p>
    <w:p w14:paraId="7C3A86FA">
      <w:pPr>
        <w:ind w:firstLine="480"/>
        <w:rPr>
          <w:rFonts w:hint="default" w:ascii="Times New Roman" w:hAnsi="Times New Roman" w:cs="Times New Roman"/>
          <w:color w:val="auto"/>
        </w:rPr>
      </w:pPr>
      <w:r>
        <w:rPr>
          <w:rFonts w:hint="default" w:ascii="Times New Roman" w:hAnsi="Times New Roman" w:cs="Times New Roman"/>
          <w:color w:val="auto"/>
        </w:rPr>
        <w:t>4）模型参数赋值</w:t>
      </w:r>
    </w:p>
    <w:p w14:paraId="593217E5">
      <w:pPr>
        <w:ind w:firstLine="482"/>
        <w:rPr>
          <w:rFonts w:hint="default" w:ascii="Times New Roman" w:hAnsi="Times New Roman" w:cs="Times New Roman"/>
          <w:color w:val="auto"/>
        </w:rPr>
      </w:pPr>
      <w:r>
        <w:rPr>
          <w:rFonts w:hint="default" w:ascii="Times New Roman" w:hAnsi="Times New Roman" w:eastAsia="宋体" w:cs="Times New Roman"/>
          <w:b/>
          <w:color w:val="auto"/>
        </w:rPr>
        <w:t>渗透系数：</w:t>
      </w:r>
      <w:r>
        <w:rPr>
          <w:rFonts w:hint="default" w:ascii="Times New Roman" w:hAnsi="Times New Roman" w:cs="Times New Roman"/>
          <w:color w:val="auto"/>
        </w:rPr>
        <w:t>本项所在评价区关注的浅层地下水含水层可概化为第四系冲积层（Q</w:t>
      </w:r>
      <w:r>
        <w:rPr>
          <w:rFonts w:hint="default" w:ascii="Times New Roman" w:hAnsi="Times New Roman" w:cs="Times New Roman"/>
          <w:color w:val="auto"/>
          <w:vertAlign w:val="subscript"/>
        </w:rPr>
        <w:t>4</w:t>
      </w:r>
      <w:r>
        <w:rPr>
          <w:rFonts w:hint="default" w:ascii="Times New Roman" w:hAnsi="Times New Roman" w:cs="Times New Roman"/>
          <w:color w:val="auto"/>
          <w:vertAlign w:val="superscript"/>
        </w:rPr>
        <w:t>al</w:t>
      </w:r>
      <w:r>
        <w:rPr>
          <w:rFonts w:hint="default" w:ascii="Times New Roman" w:hAnsi="Times New Roman" w:cs="Times New Roman"/>
          <w:color w:val="auto"/>
        </w:rPr>
        <w:t>）及第四系上更新统冲积层（Q</w:t>
      </w:r>
      <w:r>
        <w:rPr>
          <w:rFonts w:hint="default" w:ascii="Times New Roman" w:hAnsi="Times New Roman" w:cs="Times New Roman"/>
          <w:color w:val="auto"/>
          <w:vertAlign w:val="subscript"/>
        </w:rPr>
        <w:t>3</w:t>
      </w:r>
      <w:r>
        <w:rPr>
          <w:rFonts w:hint="default" w:ascii="Times New Roman" w:hAnsi="Times New Roman" w:cs="Times New Roman"/>
          <w:color w:val="auto"/>
          <w:vertAlign w:val="superscript"/>
        </w:rPr>
        <w:t>al</w:t>
      </w:r>
      <w:r>
        <w:rPr>
          <w:rFonts w:hint="default" w:ascii="Times New Roman" w:hAnsi="Times New Roman" w:cs="Times New Roman"/>
          <w:color w:val="auto"/>
        </w:rPr>
        <w:t>）孔隙含水层、白垩系下统白龙组（K</w:t>
      </w:r>
      <w:r>
        <w:rPr>
          <w:rFonts w:hint="default" w:ascii="Times New Roman" w:hAnsi="Times New Roman" w:cs="Times New Roman"/>
          <w:color w:val="auto"/>
          <w:vertAlign w:val="subscript"/>
        </w:rPr>
        <w:t>1</w:t>
      </w:r>
      <w:r>
        <w:rPr>
          <w:rFonts w:hint="default" w:ascii="Times New Roman" w:hAnsi="Times New Roman" w:cs="Times New Roman"/>
          <w:color w:val="auto"/>
        </w:rPr>
        <w:t>b）砂岩裂隙含水层。根据收集的评价区所在区域水文地质抽水试验资料，结合模型水位校验成果，模拟的松散岩类孔隙含水层水平渗透系数取6.20 m/d，垂向渗透系数0.62 m/d；白垩系下统白龙组（K</w:t>
      </w:r>
      <w:r>
        <w:rPr>
          <w:rFonts w:hint="default" w:ascii="Times New Roman" w:hAnsi="Times New Roman" w:cs="Times New Roman"/>
          <w:color w:val="auto"/>
          <w:vertAlign w:val="subscript"/>
        </w:rPr>
        <w:t>1</w:t>
      </w:r>
      <w:r>
        <w:rPr>
          <w:rFonts w:hint="default" w:ascii="Times New Roman" w:hAnsi="Times New Roman" w:cs="Times New Roman"/>
          <w:color w:val="auto"/>
        </w:rPr>
        <w:t>b）砂岩裂隙含水层水平渗透系数取1.75 m/d，垂向渗透系数0.17 m/d；根据项目岩土工程勘察报告，白垩系下统白龙组（K</w:t>
      </w:r>
      <w:r>
        <w:rPr>
          <w:rFonts w:hint="default" w:ascii="Times New Roman" w:hAnsi="Times New Roman" w:cs="Times New Roman"/>
          <w:color w:val="auto"/>
          <w:vertAlign w:val="subscript"/>
        </w:rPr>
        <w:t>1</w:t>
      </w:r>
      <w:r>
        <w:rPr>
          <w:rFonts w:hint="default" w:ascii="Times New Roman" w:hAnsi="Times New Roman" w:cs="Times New Roman"/>
          <w:color w:val="auto"/>
        </w:rPr>
        <w:t>b）砂岩裂隙不发育的相对隔水层水平渗透系数取0.03 m/d，垂向渗透系数0.003 m/d。</w:t>
      </w:r>
    </w:p>
    <w:p w14:paraId="58A15E86">
      <w:pPr>
        <w:pStyle w:val="19"/>
        <w:numPr>
          <w:ilvl w:val="0"/>
          <w:numId w:val="31"/>
        </w:numPr>
        <w:bidi w:val="0"/>
        <w:ind w:left="1440" w:leftChars="0" w:firstLine="0" w:firstLineChars="0"/>
        <w:rPr>
          <w:rFonts w:cs="Times New Roman"/>
          <w:color w:val="auto"/>
        </w:rPr>
      </w:pPr>
      <w:r>
        <w:rPr>
          <w:rFonts w:cs="Times New Roman"/>
          <w:color w:val="auto"/>
        </w:rPr>
        <w:t>本次模型渗透系数取值</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17"/>
        <w:gridCol w:w="1986"/>
        <w:gridCol w:w="2319"/>
      </w:tblGrid>
      <w:tr w14:paraId="0A702F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74" w:type="pct"/>
            <w:tcBorders>
              <w:tl2br w:val="nil"/>
              <w:tr2bl w:val="nil"/>
            </w:tcBorders>
            <w:vAlign w:val="center"/>
          </w:tcPr>
          <w:p w14:paraId="02E76141">
            <w:pPr>
              <w:pStyle w:val="714"/>
              <w:rPr>
                <w:b/>
                <w:bCs/>
                <w:color w:val="auto"/>
              </w:rPr>
            </w:pPr>
            <w:r>
              <w:rPr>
                <w:b/>
                <w:bCs/>
                <w:color w:val="auto"/>
              </w:rPr>
              <w:t>介质分类</w:t>
            </w:r>
          </w:p>
        </w:tc>
        <w:tc>
          <w:tcPr>
            <w:tcW w:w="1165" w:type="pct"/>
            <w:tcBorders>
              <w:tl2br w:val="nil"/>
              <w:tr2bl w:val="nil"/>
            </w:tcBorders>
            <w:vAlign w:val="center"/>
          </w:tcPr>
          <w:p w14:paraId="3D76DC0C">
            <w:pPr>
              <w:pStyle w:val="714"/>
              <w:rPr>
                <w:b/>
                <w:bCs/>
                <w:color w:val="auto"/>
              </w:rPr>
            </w:pPr>
            <w:r>
              <w:rPr>
                <w:b/>
                <w:bCs/>
                <w:color w:val="auto"/>
              </w:rPr>
              <w:t>Kx，Ky（m/d）</w:t>
            </w:r>
          </w:p>
        </w:tc>
        <w:tc>
          <w:tcPr>
            <w:tcW w:w="1360" w:type="pct"/>
            <w:tcBorders>
              <w:tl2br w:val="nil"/>
              <w:tr2bl w:val="nil"/>
            </w:tcBorders>
            <w:vAlign w:val="center"/>
          </w:tcPr>
          <w:p w14:paraId="5D1B6A4C">
            <w:pPr>
              <w:pStyle w:val="714"/>
              <w:rPr>
                <w:b/>
                <w:bCs/>
                <w:color w:val="auto"/>
              </w:rPr>
            </w:pPr>
            <w:r>
              <w:rPr>
                <w:b/>
                <w:bCs/>
                <w:color w:val="auto"/>
              </w:rPr>
              <w:t>Kz（m/d）</w:t>
            </w:r>
          </w:p>
        </w:tc>
      </w:tr>
      <w:tr w14:paraId="70AE69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74" w:type="pct"/>
            <w:tcBorders>
              <w:tl2br w:val="nil"/>
              <w:tr2bl w:val="nil"/>
            </w:tcBorders>
            <w:vAlign w:val="center"/>
          </w:tcPr>
          <w:p w14:paraId="5BE37312">
            <w:pPr>
              <w:pStyle w:val="714"/>
              <w:rPr>
                <w:color w:val="auto"/>
              </w:rPr>
            </w:pPr>
            <w:r>
              <w:rPr>
                <w:color w:val="auto"/>
              </w:rPr>
              <w:t>第四系全新统冲积层（Q</w:t>
            </w:r>
            <w:r>
              <w:rPr>
                <w:color w:val="auto"/>
                <w:vertAlign w:val="subscript"/>
              </w:rPr>
              <w:t>4</w:t>
            </w:r>
            <w:r>
              <w:rPr>
                <w:color w:val="auto"/>
                <w:vertAlign w:val="superscript"/>
              </w:rPr>
              <w:t>al</w:t>
            </w:r>
            <w:r>
              <w:rPr>
                <w:color w:val="auto"/>
              </w:rPr>
              <w:t>）及第四系上更新统冲积层上段（Q</w:t>
            </w:r>
            <w:r>
              <w:rPr>
                <w:color w:val="auto"/>
                <w:vertAlign w:val="subscript"/>
              </w:rPr>
              <w:t>3</w:t>
            </w:r>
            <w:r>
              <w:rPr>
                <w:color w:val="auto"/>
                <w:vertAlign w:val="superscript"/>
              </w:rPr>
              <w:t>al</w:t>
            </w:r>
            <w:r>
              <w:rPr>
                <w:color w:val="auto"/>
              </w:rPr>
              <w:t>）孔隙含水层</w:t>
            </w:r>
          </w:p>
        </w:tc>
        <w:tc>
          <w:tcPr>
            <w:tcW w:w="1165" w:type="pct"/>
            <w:tcBorders>
              <w:tl2br w:val="nil"/>
              <w:tr2bl w:val="nil"/>
            </w:tcBorders>
            <w:vAlign w:val="center"/>
          </w:tcPr>
          <w:p w14:paraId="62752D66">
            <w:pPr>
              <w:pStyle w:val="714"/>
              <w:rPr>
                <w:color w:val="auto"/>
              </w:rPr>
            </w:pPr>
            <w:r>
              <w:rPr>
                <w:rFonts w:hint="eastAsia"/>
                <w:color w:val="auto"/>
              </w:rPr>
              <w:t>6.20</w:t>
            </w:r>
          </w:p>
        </w:tc>
        <w:tc>
          <w:tcPr>
            <w:tcW w:w="1360" w:type="pct"/>
            <w:tcBorders>
              <w:tl2br w:val="nil"/>
              <w:tr2bl w:val="nil"/>
            </w:tcBorders>
            <w:vAlign w:val="center"/>
          </w:tcPr>
          <w:p w14:paraId="3B126472">
            <w:pPr>
              <w:pStyle w:val="714"/>
              <w:rPr>
                <w:color w:val="auto"/>
              </w:rPr>
            </w:pPr>
            <w:r>
              <w:rPr>
                <w:rFonts w:hint="eastAsia"/>
                <w:color w:val="auto"/>
              </w:rPr>
              <w:t>0.62</w:t>
            </w:r>
          </w:p>
        </w:tc>
      </w:tr>
      <w:tr w14:paraId="41768B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74" w:type="pct"/>
            <w:tcBorders>
              <w:tl2br w:val="nil"/>
              <w:tr2bl w:val="nil"/>
            </w:tcBorders>
            <w:vAlign w:val="center"/>
          </w:tcPr>
          <w:p w14:paraId="12D58324">
            <w:pPr>
              <w:pStyle w:val="714"/>
              <w:rPr>
                <w:color w:val="auto"/>
              </w:rPr>
            </w:pPr>
            <w:r>
              <w:rPr>
                <w:rFonts w:hint="eastAsia" w:cs="Times New Roman"/>
                <w:color w:val="auto"/>
              </w:rPr>
              <w:t>白垩系下统白龙组（K</w:t>
            </w:r>
            <w:r>
              <w:rPr>
                <w:rFonts w:hint="eastAsia" w:cs="Times New Roman"/>
                <w:color w:val="auto"/>
                <w:vertAlign w:val="subscript"/>
              </w:rPr>
              <w:t>1</w:t>
            </w:r>
            <w:r>
              <w:rPr>
                <w:rFonts w:hint="eastAsia" w:cs="Times New Roman"/>
                <w:color w:val="auto"/>
              </w:rPr>
              <w:t>b）砂岩裂隙含水层</w:t>
            </w:r>
          </w:p>
        </w:tc>
        <w:tc>
          <w:tcPr>
            <w:tcW w:w="1165" w:type="pct"/>
            <w:tcBorders>
              <w:tl2br w:val="nil"/>
              <w:tr2bl w:val="nil"/>
            </w:tcBorders>
            <w:vAlign w:val="center"/>
          </w:tcPr>
          <w:p w14:paraId="7B8F581C">
            <w:pPr>
              <w:pStyle w:val="714"/>
              <w:rPr>
                <w:color w:val="auto"/>
              </w:rPr>
            </w:pPr>
            <w:r>
              <w:rPr>
                <w:rFonts w:hint="eastAsia"/>
                <w:color w:val="auto"/>
              </w:rPr>
              <w:t>1.72</w:t>
            </w:r>
          </w:p>
        </w:tc>
        <w:tc>
          <w:tcPr>
            <w:tcW w:w="1360" w:type="pct"/>
            <w:tcBorders>
              <w:tl2br w:val="nil"/>
              <w:tr2bl w:val="nil"/>
            </w:tcBorders>
            <w:vAlign w:val="center"/>
          </w:tcPr>
          <w:p w14:paraId="598073E1">
            <w:pPr>
              <w:pStyle w:val="714"/>
              <w:rPr>
                <w:color w:val="auto"/>
              </w:rPr>
            </w:pPr>
            <w:r>
              <w:rPr>
                <w:color w:val="auto"/>
              </w:rPr>
              <w:t>0.</w:t>
            </w:r>
            <w:r>
              <w:rPr>
                <w:rFonts w:hint="eastAsia"/>
                <w:color w:val="auto"/>
              </w:rPr>
              <w:t>17</w:t>
            </w:r>
          </w:p>
        </w:tc>
      </w:tr>
      <w:tr w14:paraId="68257F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74" w:type="pct"/>
            <w:tcBorders>
              <w:tl2br w:val="nil"/>
              <w:tr2bl w:val="nil"/>
            </w:tcBorders>
            <w:vAlign w:val="center"/>
          </w:tcPr>
          <w:p w14:paraId="25DFD35F">
            <w:pPr>
              <w:pStyle w:val="714"/>
              <w:rPr>
                <w:color w:val="auto"/>
              </w:rPr>
            </w:pPr>
            <w:r>
              <w:rPr>
                <w:rFonts w:hint="eastAsia" w:cs="Times New Roman"/>
                <w:color w:val="auto"/>
              </w:rPr>
              <w:t>白垩系下统白龙组（K</w:t>
            </w:r>
            <w:r>
              <w:rPr>
                <w:rFonts w:hint="eastAsia" w:cs="Times New Roman"/>
                <w:color w:val="auto"/>
                <w:vertAlign w:val="subscript"/>
              </w:rPr>
              <w:t>1</w:t>
            </w:r>
            <w:r>
              <w:rPr>
                <w:rFonts w:hint="eastAsia" w:cs="Times New Roman"/>
                <w:color w:val="auto"/>
              </w:rPr>
              <w:t>b）砂岩裂隙不发育的相对隔水层</w:t>
            </w:r>
          </w:p>
        </w:tc>
        <w:tc>
          <w:tcPr>
            <w:tcW w:w="1165" w:type="pct"/>
            <w:tcBorders>
              <w:tl2br w:val="nil"/>
              <w:tr2bl w:val="nil"/>
            </w:tcBorders>
            <w:vAlign w:val="center"/>
          </w:tcPr>
          <w:p w14:paraId="1A7B9122">
            <w:pPr>
              <w:pStyle w:val="714"/>
              <w:rPr>
                <w:color w:val="auto"/>
              </w:rPr>
            </w:pPr>
            <w:r>
              <w:rPr>
                <w:rFonts w:hint="eastAsia"/>
                <w:color w:val="auto"/>
              </w:rPr>
              <w:t>0.03</w:t>
            </w:r>
          </w:p>
        </w:tc>
        <w:tc>
          <w:tcPr>
            <w:tcW w:w="1360" w:type="pct"/>
            <w:tcBorders>
              <w:tl2br w:val="nil"/>
              <w:tr2bl w:val="nil"/>
            </w:tcBorders>
            <w:vAlign w:val="center"/>
          </w:tcPr>
          <w:p w14:paraId="4142EFE8">
            <w:pPr>
              <w:pStyle w:val="714"/>
              <w:rPr>
                <w:color w:val="auto"/>
              </w:rPr>
            </w:pPr>
            <w:r>
              <w:rPr>
                <w:rFonts w:hint="eastAsia"/>
                <w:color w:val="auto"/>
              </w:rPr>
              <w:t>0.003</w:t>
            </w:r>
          </w:p>
        </w:tc>
      </w:tr>
    </w:tbl>
    <w:p w14:paraId="29EBB88C">
      <w:pPr>
        <w:ind w:firstLine="480"/>
        <w:rPr>
          <w:color w:val="auto"/>
        </w:rPr>
      </w:pPr>
      <w:r>
        <w:rPr>
          <w:color w:val="auto"/>
        </w:rPr>
        <w:t>给水度：根据区域水文地质资料及模型参数经验取值，模拟区</w:t>
      </w:r>
      <w:r>
        <w:rPr>
          <w:rFonts w:hint="eastAsia"/>
          <w:color w:val="auto"/>
        </w:rPr>
        <w:t>松散</w:t>
      </w:r>
      <w:r>
        <w:rPr>
          <w:color w:val="auto"/>
        </w:rPr>
        <w:t>岩类孔隙水含水层给水度设置为</w:t>
      </w:r>
      <w:r>
        <w:rPr>
          <w:rFonts w:hint="eastAsia"/>
          <w:color w:val="auto"/>
        </w:rPr>
        <w:t>20</w:t>
      </w:r>
      <w:r>
        <w:rPr>
          <w:color w:val="auto"/>
        </w:rPr>
        <w:t>%</w:t>
      </w:r>
      <w:r>
        <w:rPr>
          <w:rFonts w:hint="eastAsia"/>
          <w:color w:val="auto"/>
        </w:rPr>
        <w:t>；基岩裂隙含水层给水度设置为10%</w:t>
      </w:r>
      <w:r>
        <w:rPr>
          <w:color w:val="auto"/>
        </w:rPr>
        <w:t>。</w:t>
      </w:r>
    </w:p>
    <w:p w14:paraId="5C5DEE57">
      <w:pPr>
        <w:pStyle w:val="19"/>
        <w:numPr>
          <w:ilvl w:val="0"/>
          <w:numId w:val="31"/>
        </w:numPr>
        <w:bidi w:val="0"/>
        <w:ind w:left="1440" w:leftChars="0" w:firstLine="0" w:firstLineChars="0"/>
        <w:rPr>
          <w:rFonts w:cs="Times New Roman"/>
          <w:color w:val="auto"/>
        </w:rPr>
      </w:pPr>
      <w:r>
        <w:rPr>
          <w:rFonts w:cs="Times New Roman"/>
          <w:color w:val="auto"/>
        </w:rPr>
        <w:t>给水度经验数据《水文地质手册》</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7"/>
        <w:gridCol w:w="979"/>
        <w:gridCol w:w="979"/>
        <w:gridCol w:w="982"/>
        <w:gridCol w:w="1485"/>
        <w:gridCol w:w="1011"/>
        <w:gridCol w:w="1011"/>
        <w:gridCol w:w="1008"/>
      </w:tblGrid>
      <w:tr w14:paraId="29B09C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26" w:type="pct"/>
            <w:vMerge w:val="restart"/>
            <w:tcBorders>
              <w:tl2br w:val="nil"/>
              <w:tr2bl w:val="nil"/>
            </w:tcBorders>
            <w:shd w:val="clear" w:color="auto" w:fill="auto"/>
            <w:vAlign w:val="center"/>
          </w:tcPr>
          <w:p w14:paraId="7D2C0B10">
            <w:pPr>
              <w:pStyle w:val="714"/>
              <w:rPr>
                <w:rFonts w:cs="Times New Roman"/>
                <w:b/>
                <w:bCs/>
                <w:color w:val="auto"/>
              </w:rPr>
            </w:pPr>
            <w:r>
              <w:rPr>
                <w:rFonts w:cs="Times New Roman"/>
                <w:b/>
                <w:bCs/>
                <w:color w:val="auto"/>
              </w:rPr>
              <w:t>岩石名称</w:t>
            </w:r>
          </w:p>
        </w:tc>
        <w:tc>
          <w:tcPr>
            <w:tcW w:w="1724" w:type="pct"/>
            <w:gridSpan w:val="3"/>
            <w:tcBorders>
              <w:tl2br w:val="nil"/>
              <w:tr2bl w:val="nil"/>
            </w:tcBorders>
            <w:shd w:val="clear" w:color="auto" w:fill="auto"/>
            <w:vAlign w:val="center"/>
          </w:tcPr>
          <w:p w14:paraId="11B42477">
            <w:pPr>
              <w:pStyle w:val="714"/>
              <w:rPr>
                <w:rFonts w:cs="Times New Roman"/>
                <w:b/>
                <w:bCs/>
                <w:color w:val="auto"/>
              </w:rPr>
            </w:pPr>
            <w:r>
              <w:rPr>
                <w:rFonts w:cs="Times New Roman"/>
                <w:b/>
                <w:bCs/>
                <w:color w:val="auto"/>
              </w:rPr>
              <w:t>给水度（%）</w:t>
            </w:r>
          </w:p>
        </w:tc>
        <w:tc>
          <w:tcPr>
            <w:tcW w:w="871" w:type="pct"/>
            <w:vMerge w:val="restart"/>
            <w:tcBorders>
              <w:tl2br w:val="nil"/>
              <w:tr2bl w:val="nil"/>
            </w:tcBorders>
            <w:vAlign w:val="center"/>
          </w:tcPr>
          <w:p w14:paraId="4E998CD8">
            <w:pPr>
              <w:pStyle w:val="714"/>
              <w:rPr>
                <w:rFonts w:cs="Times New Roman"/>
                <w:b/>
                <w:bCs/>
                <w:color w:val="auto"/>
              </w:rPr>
            </w:pPr>
            <w:r>
              <w:rPr>
                <w:rFonts w:cs="Times New Roman"/>
                <w:b/>
                <w:bCs/>
                <w:color w:val="auto"/>
              </w:rPr>
              <w:t>岩石名称</w:t>
            </w:r>
          </w:p>
        </w:tc>
        <w:tc>
          <w:tcPr>
            <w:tcW w:w="1777" w:type="pct"/>
            <w:gridSpan w:val="3"/>
            <w:tcBorders>
              <w:tl2br w:val="nil"/>
              <w:tr2bl w:val="nil"/>
            </w:tcBorders>
            <w:vAlign w:val="center"/>
          </w:tcPr>
          <w:p w14:paraId="6D747A81">
            <w:pPr>
              <w:pStyle w:val="714"/>
              <w:rPr>
                <w:rFonts w:cs="Times New Roman"/>
                <w:b/>
                <w:bCs/>
                <w:color w:val="auto"/>
              </w:rPr>
            </w:pPr>
            <w:r>
              <w:rPr>
                <w:rFonts w:cs="Times New Roman"/>
                <w:b/>
                <w:bCs/>
                <w:color w:val="auto"/>
              </w:rPr>
              <w:t>给水度（%）</w:t>
            </w:r>
          </w:p>
        </w:tc>
      </w:tr>
      <w:tr w14:paraId="6FFFFD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26" w:type="pct"/>
            <w:vMerge w:val="continue"/>
            <w:tcBorders>
              <w:tl2br w:val="nil"/>
              <w:tr2bl w:val="nil"/>
            </w:tcBorders>
            <w:vAlign w:val="center"/>
          </w:tcPr>
          <w:p w14:paraId="0D3B3C8D">
            <w:pPr>
              <w:pStyle w:val="714"/>
              <w:rPr>
                <w:rFonts w:cs="Times New Roman"/>
                <w:b/>
                <w:bCs/>
                <w:color w:val="auto"/>
              </w:rPr>
            </w:pPr>
          </w:p>
        </w:tc>
        <w:tc>
          <w:tcPr>
            <w:tcW w:w="574" w:type="pct"/>
            <w:tcBorders>
              <w:tl2br w:val="nil"/>
              <w:tr2bl w:val="nil"/>
            </w:tcBorders>
            <w:shd w:val="clear" w:color="auto" w:fill="auto"/>
            <w:vAlign w:val="center"/>
          </w:tcPr>
          <w:p w14:paraId="55408523">
            <w:pPr>
              <w:pStyle w:val="714"/>
              <w:rPr>
                <w:rFonts w:cs="Times New Roman"/>
                <w:b/>
                <w:bCs/>
                <w:color w:val="auto"/>
              </w:rPr>
            </w:pPr>
            <w:r>
              <w:rPr>
                <w:rFonts w:cs="Times New Roman"/>
                <w:b/>
                <w:bCs/>
                <w:color w:val="auto"/>
              </w:rPr>
              <w:t>最大</w:t>
            </w:r>
          </w:p>
        </w:tc>
        <w:tc>
          <w:tcPr>
            <w:tcW w:w="574" w:type="pct"/>
            <w:tcBorders>
              <w:tl2br w:val="nil"/>
              <w:tr2bl w:val="nil"/>
            </w:tcBorders>
            <w:shd w:val="clear" w:color="auto" w:fill="auto"/>
            <w:vAlign w:val="center"/>
          </w:tcPr>
          <w:p w14:paraId="6CA6D878">
            <w:pPr>
              <w:pStyle w:val="714"/>
              <w:rPr>
                <w:rFonts w:cs="Times New Roman"/>
                <w:b/>
                <w:bCs/>
                <w:color w:val="auto"/>
              </w:rPr>
            </w:pPr>
            <w:r>
              <w:rPr>
                <w:rFonts w:cs="Times New Roman"/>
                <w:b/>
                <w:bCs/>
                <w:color w:val="auto"/>
              </w:rPr>
              <w:t>最小</w:t>
            </w:r>
          </w:p>
        </w:tc>
        <w:tc>
          <w:tcPr>
            <w:tcW w:w="574" w:type="pct"/>
            <w:tcBorders>
              <w:tl2br w:val="nil"/>
              <w:tr2bl w:val="nil"/>
            </w:tcBorders>
            <w:shd w:val="clear" w:color="auto" w:fill="auto"/>
            <w:vAlign w:val="center"/>
          </w:tcPr>
          <w:p w14:paraId="48BD63E9">
            <w:pPr>
              <w:pStyle w:val="714"/>
              <w:rPr>
                <w:rFonts w:cs="Times New Roman"/>
                <w:b/>
                <w:bCs/>
                <w:color w:val="auto"/>
              </w:rPr>
            </w:pPr>
            <w:r>
              <w:rPr>
                <w:rFonts w:cs="Times New Roman"/>
                <w:b/>
                <w:bCs/>
                <w:color w:val="auto"/>
              </w:rPr>
              <w:t>平均</w:t>
            </w:r>
          </w:p>
        </w:tc>
        <w:tc>
          <w:tcPr>
            <w:tcW w:w="871" w:type="pct"/>
            <w:vMerge w:val="continue"/>
            <w:tcBorders>
              <w:tl2br w:val="nil"/>
              <w:tr2bl w:val="nil"/>
            </w:tcBorders>
            <w:vAlign w:val="center"/>
          </w:tcPr>
          <w:p w14:paraId="6B55AC08">
            <w:pPr>
              <w:pStyle w:val="714"/>
              <w:rPr>
                <w:rFonts w:cs="Times New Roman"/>
                <w:b/>
                <w:bCs/>
                <w:color w:val="auto"/>
              </w:rPr>
            </w:pPr>
          </w:p>
        </w:tc>
        <w:tc>
          <w:tcPr>
            <w:tcW w:w="593" w:type="pct"/>
            <w:tcBorders>
              <w:tl2br w:val="nil"/>
              <w:tr2bl w:val="nil"/>
            </w:tcBorders>
            <w:vAlign w:val="center"/>
          </w:tcPr>
          <w:p w14:paraId="09C674A3">
            <w:pPr>
              <w:pStyle w:val="714"/>
              <w:rPr>
                <w:rFonts w:cs="Times New Roman"/>
                <w:b/>
                <w:bCs/>
                <w:color w:val="auto"/>
              </w:rPr>
            </w:pPr>
            <w:r>
              <w:rPr>
                <w:rFonts w:cs="Times New Roman"/>
                <w:b/>
                <w:bCs/>
                <w:color w:val="auto"/>
              </w:rPr>
              <w:t>最大</w:t>
            </w:r>
          </w:p>
        </w:tc>
        <w:tc>
          <w:tcPr>
            <w:tcW w:w="593" w:type="pct"/>
            <w:tcBorders>
              <w:tl2br w:val="nil"/>
              <w:tr2bl w:val="nil"/>
            </w:tcBorders>
            <w:vAlign w:val="center"/>
          </w:tcPr>
          <w:p w14:paraId="172085FD">
            <w:pPr>
              <w:pStyle w:val="714"/>
              <w:rPr>
                <w:rFonts w:cs="Times New Roman"/>
                <w:b/>
                <w:bCs/>
                <w:color w:val="auto"/>
              </w:rPr>
            </w:pPr>
            <w:r>
              <w:rPr>
                <w:rFonts w:cs="Times New Roman"/>
                <w:b/>
                <w:bCs/>
                <w:color w:val="auto"/>
              </w:rPr>
              <w:t>最小</w:t>
            </w:r>
          </w:p>
        </w:tc>
        <w:tc>
          <w:tcPr>
            <w:tcW w:w="590" w:type="pct"/>
            <w:tcBorders>
              <w:tl2br w:val="nil"/>
              <w:tr2bl w:val="nil"/>
            </w:tcBorders>
            <w:vAlign w:val="center"/>
          </w:tcPr>
          <w:p w14:paraId="49F948E4">
            <w:pPr>
              <w:pStyle w:val="714"/>
              <w:rPr>
                <w:rFonts w:cs="Times New Roman"/>
                <w:b/>
                <w:bCs/>
                <w:color w:val="auto"/>
              </w:rPr>
            </w:pPr>
            <w:r>
              <w:rPr>
                <w:rFonts w:cs="Times New Roman"/>
                <w:b/>
                <w:bCs/>
                <w:color w:val="auto"/>
              </w:rPr>
              <w:t>平均</w:t>
            </w:r>
          </w:p>
        </w:tc>
      </w:tr>
      <w:tr w14:paraId="07435F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 w:type="pct"/>
            <w:tcBorders>
              <w:tl2br w:val="nil"/>
              <w:tr2bl w:val="nil"/>
            </w:tcBorders>
            <w:shd w:val="clear" w:color="auto" w:fill="auto"/>
            <w:vAlign w:val="center"/>
          </w:tcPr>
          <w:p w14:paraId="2D648CC0">
            <w:pPr>
              <w:pStyle w:val="714"/>
              <w:rPr>
                <w:rFonts w:cs="Times New Roman"/>
                <w:color w:val="auto"/>
              </w:rPr>
            </w:pPr>
            <w:r>
              <w:rPr>
                <w:rFonts w:cs="Times New Roman"/>
                <w:color w:val="auto"/>
              </w:rPr>
              <w:t>粘土</w:t>
            </w:r>
          </w:p>
        </w:tc>
        <w:tc>
          <w:tcPr>
            <w:tcW w:w="574" w:type="pct"/>
            <w:tcBorders>
              <w:tl2br w:val="nil"/>
              <w:tr2bl w:val="nil"/>
            </w:tcBorders>
            <w:shd w:val="clear" w:color="auto" w:fill="auto"/>
            <w:vAlign w:val="center"/>
          </w:tcPr>
          <w:p w14:paraId="3B1A7D25">
            <w:pPr>
              <w:pStyle w:val="714"/>
              <w:rPr>
                <w:rFonts w:cs="Times New Roman"/>
                <w:color w:val="auto"/>
              </w:rPr>
            </w:pPr>
            <w:r>
              <w:rPr>
                <w:rFonts w:cs="Times New Roman"/>
                <w:color w:val="auto"/>
              </w:rPr>
              <w:t>5</w:t>
            </w:r>
          </w:p>
        </w:tc>
        <w:tc>
          <w:tcPr>
            <w:tcW w:w="574" w:type="pct"/>
            <w:tcBorders>
              <w:tl2br w:val="nil"/>
              <w:tr2bl w:val="nil"/>
            </w:tcBorders>
            <w:shd w:val="clear" w:color="auto" w:fill="auto"/>
            <w:vAlign w:val="center"/>
          </w:tcPr>
          <w:p w14:paraId="57A59665">
            <w:pPr>
              <w:pStyle w:val="714"/>
              <w:rPr>
                <w:rFonts w:cs="Times New Roman"/>
                <w:color w:val="auto"/>
              </w:rPr>
            </w:pPr>
            <w:r>
              <w:rPr>
                <w:rFonts w:cs="Times New Roman"/>
                <w:color w:val="auto"/>
              </w:rPr>
              <w:t>0</w:t>
            </w:r>
          </w:p>
        </w:tc>
        <w:tc>
          <w:tcPr>
            <w:tcW w:w="574" w:type="pct"/>
            <w:tcBorders>
              <w:tl2br w:val="nil"/>
              <w:tr2bl w:val="nil"/>
            </w:tcBorders>
            <w:shd w:val="clear" w:color="auto" w:fill="auto"/>
            <w:vAlign w:val="center"/>
          </w:tcPr>
          <w:p w14:paraId="7E16FB5F">
            <w:pPr>
              <w:pStyle w:val="714"/>
              <w:rPr>
                <w:rFonts w:cs="Times New Roman"/>
                <w:color w:val="auto"/>
              </w:rPr>
            </w:pPr>
            <w:r>
              <w:rPr>
                <w:rFonts w:cs="Times New Roman"/>
                <w:color w:val="auto"/>
              </w:rPr>
              <w:t>2</w:t>
            </w:r>
          </w:p>
        </w:tc>
        <w:tc>
          <w:tcPr>
            <w:tcW w:w="871" w:type="pct"/>
            <w:tcBorders>
              <w:tl2br w:val="nil"/>
              <w:tr2bl w:val="nil"/>
            </w:tcBorders>
            <w:vAlign w:val="center"/>
          </w:tcPr>
          <w:p w14:paraId="73D2A676">
            <w:pPr>
              <w:pStyle w:val="714"/>
              <w:rPr>
                <w:rFonts w:cs="Times New Roman"/>
                <w:color w:val="auto"/>
              </w:rPr>
            </w:pPr>
            <w:r>
              <w:rPr>
                <w:rFonts w:cs="Times New Roman"/>
                <w:color w:val="auto"/>
              </w:rPr>
              <w:t>砾砂</w:t>
            </w:r>
          </w:p>
        </w:tc>
        <w:tc>
          <w:tcPr>
            <w:tcW w:w="593" w:type="pct"/>
            <w:tcBorders>
              <w:tl2br w:val="nil"/>
              <w:tr2bl w:val="nil"/>
            </w:tcBorders>
            <w:vAlign w:val="center"/>
          </w:tcPr>
          <w:p w14:paraId="29DA4463">
            <w:pPr>
              <w:pStyle w:val="714"/>
              <w:rPr>
                <w:rFonts w:cs="Times New Roman"/>
                <w:color w:val="auto"/>
              </w:rPr>
            </w:pPr>
            <w:r>
              <w:rPr>
                <w:rFonts w:cs="Times New Roman"/>
                <w:color w:val="auto"/>
              </w:rPr>
              <w:t>35</w:t>
            </w:r>
          </w:p>
        </w:tc>
        <w:tc>
          <w:tcPr>
            <w:tcW w:w="593" w:type="pct"/>
            <w:tcBorders>
              <w:tl2br w:val="nil"/>
              <w:tr2bl w:val="nil"/>
            </w:tcBorders>
            <w:vAlign w:val="center"/>
          </w:tcPr>
          <w:p w14:paraId="1D2CB185">
            <w:pPr>
              <w:pStyle w:val="714"/>
              <w:rPr>
                <w:rFonts w:cs="Times New Roman"/>
                <w:color w:val="auto"/>
              </w:rPr>
            </w:pPr>
            <w:r>
              <w:rPr>
                <w:rFonts w:cs="Times New Roman"/>
                <w:color w:val="auto"/>
              </w:rPr>
              <w:t>20</w:t>
            </w:r>
          </w:p>
        </w:tc>
        <w:tc>
          <w:tcPr>
            <w:tcW w:w="590" w:type="pct"/>
            <w:tcBorders>
              <w:tl2br w:val="nil"/>
              <w:tr2bl w:val="nil"/>
            </w:tcBorders>
            <w:vAlign w:val="center"/>
          </w:tcPr>
          <w:p w14:paraId="087E45A9">
            <w:pPr>
              <w:pStyle w:val="714"/>
              <w:rPr>
                <w:rFonts w:cs="Times New Roman"/>
                <w:color w:val="auto"/>
              </w:rPr>
            </w:pPr>
            <w:r>
              <w:rPr>
                <w:rFonts w:cs="Times New Roman"/>
                <w:color w:val="auto"/>
              </w:rPr>
              <w:t>25</w:t>
            </w:r>
          </w:p>
        </w:tc>
      </w:tr>
      <w:tr w14:paraId="2DC64B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 w:type="pct"/>
            <w:tcBorders>
              <w:tl2br w:val="nil"/>
              <w:tr2bl w:val="nil"/>
            </w:tcBorders>
            <w:shd w:val="clear" w:color="auto" w:fill="auto"/>
            <w:vAlign w:val="center"/>
          </w:tcPr>
          <w:p w14:paraId="2494F4E4">
            <w:pPr>
              <w:pStyle w:val="714"/>
              <w:rPr>
                <w:rFonts w:cs="Times New Roman"/>
                <w:color w:val="auto"/>
              </w:rPr>
            </w:pPr>
            <w:r>
              <w:rPr>
                <w:rFonts w:cs="Times New Roman"/>
                <w:color w:val="auto"/>
              </w:rPr>
              <w:t>亚粘土</w:t>
            </w:r>
          </w:p>
        </w:tc>
        <w:tc>
          <w:tcPr>
            <w:tcW w:w="574" w:type="pct"/>
            <w:tcBorders>
              <w:tl2br w:val="nil"/>
              <w:tr2bl w:val="nil"/>
            </w:tcBorders>
            <w:shd w:val="clear" w:color="auto" w:fill="auto"/>
            <w:vAlign w:val="center"/>
          </w:tcPr>
          <w:p w14:paraId="50DF2F0D">
            <w:pPr>
              <w:pStyle w:val="714"/>
              <w:rPr>
                <w:rFonts w:cs="Times New Roman"/>
                <w:color w:val="auto"/>
              </w:rPr>
            </w:pPr>
            <w:r>
              <w:rPr>
                <w:rFonts w:cs="Times New Roman"/>
                <w:color w:val="auto"/>
              </w:rPr>
              <w:t>12</w:t>
            </w:r>
          </w:p>
        </w:tc>
        <w:tc>
          <w:tcPr>
            <w:tcW w:w="574" w:type="pct"/>
            <w:tcBorders>
              <w:tl2br w:val="nil"/>
              <w:tr2bl w:val="nil"/>
            </w:tcBorders>
            <w:shd w:val="clear" w:color="auto" w:fill="auto"/>
            <w:vAlign w:val="center"/>
          </w:tcPr>
          <w:p w14:paraId="51EBF2FA">
            <w:pPr>
              <w:pStyle w:val="714"/>
              <w:rPr>
                <w:rFonts w:cs="Times New Roman"/>
                <w:color w:val="auto"/>
              </w:rPr>
            </w:pPr>
            <w:r>
              <w:rPr>
                <w:rFonts w:cs="Times New Roman"/>
                <w:color w:val="auto"/>
              </w:rPr>
              <w:t>3</w:t>
            </w:r>
          </w:p>
        </w:tc>
        <w:tc>
          <w:tcPr>
            <w:tcW w:w="574" w:type="pct"/>
            <w:tcBorders>
              <w:tl2br w:val="nil"/>
              <w:tr2bl w:val="nil"/>
            </w:tcBorders>
            <w:shd w:val="clear" w:color="auto" w:fill="auto"/>
            <w:vAlign w:val="center"/>
          </w:tcPr>
          <w:p w14:paraId="2617EEE5">
            <w:pPr>
              <w:pStyle w:val="714"/>
              <w:rPr>
                <w:rFonts w:cs="Times New Roman"/>
                <w:color w:val="auto"/>
              </w:rPr>
            </w:pPr>
            <w:r>
              <w:rPr>
                <w:rFonts w:cs="Times New Roman"/>
                <w:color w:val="auto"/>
              </w:rPr>
              <w:t>7</w:t>
            </w:r>
          </w:p>
        </w:tc>
        <w:tc>
          <w:tcPr>
            <w:tcW w:w="871" w:type="pct"/>
            <w:tcBorders>
              <w:tl2br w:val="nil"/>
              <w:tr2bl w:val="nil"/>
            </w:tcBorders>
            <w:vAlign w:val="center"/>
          </w:tcPr>
          <w:p w14:paraId="0714FAFA">
            <w:pPr>
              <w:pStyle w:val="714"/>
              <w:rPr>
                <w:rFonts w:cs="Times New Roman"/>
                <w:color w:val="auto"/>
              </w:rPr>
            </w:pPr>
            <w:r>
              <w:rPr>
                <w:rFonts w:cs="Times New Roman"/>
                <w:color w:val="auto"/>
              </w:rPr>
              <w:t>细砾</w:t>
            </w:r>
          </w:p>
        </w:tc>
        <w:tc>
          <w:tcPr>
            <w:tcW w:w="593" w:type="pct"/>
            <w:tcBorders>
              <w:tl2br w:val="nil"/>
              <w:tr2bl w:val="nil"/>
            </w:tcBorders>
            <w:vAlign w:val="center"/>
          </w:tcPr>
          <w:p w14:paraId="3D7AF06D">
            <w:pPr>
              <w:pStyle w:val="714"/>
              <w:rPr>
                <w:rFonts w:cs="Times New Roman"/>
                <w:color w:val="auto"/>
              </w:rPr>
            </w:pPr>
            <w:r>
              <w:rPr>
                <w:rFonts w:cs="Times New Roman"/>
                <w:color w:val="auto"/>
              </w:rPr>
              <w:t>35</w:t>
            </w:r>
          </w:p>
        </w:tc>
        <w:tc>
          <w:tcPr>
            <w:tcW w:w="593" w:type="pct"/>
            <w:tcBorders>
              <w:tl2br w:val="nil"/>
              <w:tr2bl w:val="nil"/>
            </w:tcBorders>
            <w:vAlign w:val="center"/>
          </w:tcPr>
          <w:p w14:paraId="54F5B681">
            <w:pPr>
              <w:pStyle w:val="714"/>
              <w:rPr>
                <w:rFonts w:cs="Times New Roman"/>
                <w:color w:val="auto"/>
              </w:rPr>
            </w:pPr>
            <w:r>
              <w:rPr>
                <w:rFonts w:cs="Times New Roman"/>
                <w:color w:val="auto"/>
              </w:rPr>
              <w:t>21</w:t>
            </w:r>
          </w:p>
        </w:tc>
        <w:tc>
          <w:tcPr>
            <w:tcW w:w="590" w:type="pct"/>
            <w:tcBorders>
              <w:tl2br w:val="nil"/>
              <w:tr2bl w:val="nil"/>
            </w:tcBorders>
            <w:vAlign w:val="center"/>
          </w:tcPr>
          <w:p w14:paraId="58E6943C">
            <w:pPr>
              <w:pStyle w:val="714"/>
              <w:rPr>
                <w:rFonts w:cs="Times New Roman"/>
                <w:color w:val="auto"/>
              </w:rPr>
            </w:pPr>
            <w:r>
              <w:rPr>
                <w:rFonts w:cs="Times New Roman"/>
                <w:color w:val="auto"/>
              </w:rPr>
              <w:t>25</w:t>
            </w:r>
          </w:p>
        </w:tc>
      </w:tr>
      <w:tr w14:paraId="3A0F46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 w:type="pct"/>
            <w:tcBorders>
              <w:tl2br w:val="nil"/>
              <w:tr2bl w:val="nil"/>
            </w:tcBorders>
            <w:shd w:val="clear" w:color="auto" w:fill="auto"/>
            <w:vAlign w:val="center"/>
          </w:tcPr>
          <w:p w14:paraId="1F83FB86">
            <w:pPr>
              <w:pStyle w:val="714"/>
              <w:rPr>
                <w:rFonts w:cs="Times New Roman"/>
                <w:color w:val="auto"/>
              </w:rPr>
            </w:pPr>
            <w:r>
              <w:rPr>
                <w:rFonts w:cs="Times New Roman"/>
                <w:color w:val="auto"/>
              </w:rPr>
              <w:t>粉砂</w:t>
            </w:r>
          </w:p>
        </w:tc>
        <w:tc>
          <w:tcPr>
            <w:tcW w:w="574" w:type="pct"/>
            <w:tcBorders>
              <w:tl2br w:val="nil"/>
              <w:tr2bl w:val="nil"/>
            </w:tcBorders>
            <w:shd w:val="clear" w:color="auto" w:fill="auto"/>
            <w:vAlign w:val="center"/>
          </w:tcPr>
          <w:p w14:paraId="67CFD33F">
            <w:pPr>
              <w:pStyle w:val="714"/>
              <w:rPr>
                <w:rFonts w:cs="Times New Roman"/>
                <w:color w:val="auto"/>
              </w:rPr>
            </w:pPr>
            <w:r>
              <w:rPr>
                <w:rFonts w:cs="Times New Roman"/>
                <w:color w:val="auto"/>
              </w:rPr>
              <w:t>19</w:t>
            </w:r>
          </w:p>
        </w:tc>
        <w:tc>
          <w:tcPr>
            <w:tcW w:w="574" w:type="pct"/>
            <w:tcBorders>
              <w:tl2br w:val="nil"/>
              <w:tr2bl w:val="nil"/>
            </w:tcBorders>
            <w:shd w:val="clear" w:color="auto" w:fill="auto"/>
            <w:vAlign w:val="center"/>
          </w:tcPr>
          <w:p w14:paraId="0D6AE86F">
            <w:pPr>
              <w:pStyle w:val="714"/>
              <w:rPr>
                <w:rFonts w:cs="Times New Roman"/>
                <w:color w:val="auto"/>
              </w:rPr>
            </w:pPr>
            <w:r>
              <w:rPr>
                <w:rFonts w:cs="Times New Roman"/>
                <w:color w:val="auto"/>
              </w:rPr>
              <w:t>3</w:t>
            </w:r>
          </w:p>
        </w:tc>
        <w:tc>
          <w:tcPr>
            <w:tcW w:w="574" w:type="pct"/>
            <w:tcBorders>
              <w:tl2br w:val="nil"/>
              <w:tr2bl w:val="nil"/>
            </w:tcBorders>
            <w:shd w:val="clear" w:color="auto" w:fill="auto"/>
            <w:vAlign w:val="center"/>
          </w:tcPr>
          <w:p w14:paraId="00182F37">
            <w:pPr>
              <w:pStyle w:val="714"/>
              <w:rPr>
                <w:rFonts w:cs="Times New Roman"/>
                <w:color w:val="auto"/>
              </w:rPr>
            </w:pPr>
            <w:r>
              <w:rPr>
                <w:rFonts w:cs="Times New Roman"/>
                <w:color w:val="auto"/>
              </w:rPr>
              <w:t>18</w:t>
            </w:r>
          </w:p>
        </w:tc>
        <w:tc>
          <w:tcPr>
            <w:tcW w:w="871" w:type="pct"/>
            <w:tcBorders>
              <w:tl2br w:val="nil"/>
              <w:tr2bl w:val="nil"/>
            </w:tcBorders>
            <w:vAlign w:val="center"/>
          </w:tcPr>
          <w:p w14:paraId="328AA9EE">
            <w:pPr>
              <w:pStyle w:val="714"/>
              <w:rPr>
                <w:rFonts w:cs="Times New Roman"/>
                <w:color w:val="auto"/>
              </w:rPr>
            </w:pPr>
            <w:r>
              <w:rPr>
                <w:rFonts w:cs="Times New Roman"/>
                <w:color w:val="auto"/>
              </w:rPr>
              <w:t>中砾</w:t>
            </w:r>
          </w:p>
        </w:tc>
        <w:tc>
          <w:tcPr>
            <w:tcW w:w="593" w:type="pct"/>
            <w:tcBorders>
              <w:tl2br w:val="nil"/>
              <w:tr2bl w:val="nil"/>
            </w:tcBorders>
            <w:vAlign w:val="center"/>
          </w:tcPr>
          <w:p w14:paraId="60897D54">
            <w:pPr>
              <w:pStyle w:val="714"/>
              <w:rPr>
                <w:rFonts w:cs="Times New Roman"/>
                <w:color w:val="auto"/>
              </w:rPr>
            </w:pPr>
            <w:r>
              <w:rPr>
                <w:rFonts w:cs="Times New Roman"/>
                <w:color w:val="auto"/>
              </w:rPr>
              <w:t>26</w:t>
            </w:r>
          </w:p>
        </w:tc>
        <w:tc>
          <w:tcPr>
            <w:tcW w:w="593" w:type="pct"/>
            <w:tcBorders>
              <w:tl2br w:val="nil"/>
              <w:tr2bl w:val="nil"/>
            </w:tcBorders>
            <w:vAlign w:val="center"/>
          </w:tcPr>
          <w:p w14:paraId="2A78BA35">
            <w:pPr>
              <w:pStyle w:val="714"/>
              <w:rPr>
                <w:rFonts w:cs="Times New Roman"/>
                <w:color w:val="auto"/>
              </w:rPr>
            </w:pPr>
            <w:r>
              <w:rPr>
                <w:rFonts w:cs="Times New Roman"/>
                <w:color w:val="auto"/>
              </w:rPr>
              <w:t>13</w:t>
            </w:r>
          </w:p>
        </w:tc>
        <w:tc>
          <w:tcPr>
            <w:tcW w:w="590" w:type="pct"/>
            <w:tcBorders>
              <w:tl2br w:val="nil"/>
              <w:tr2bl w:val="nil"/>
            </w:tcBorders>
            <w:vAlign w:val="center"/>
          </w:tcPr>
          <w:p w14:paraId="3F97776A">
            <w:pPr>
              <w:pStyle w:val="714"/>
              <w:rPr>
                <w:rFonts w:cs="Times New Roman"/>
                <w:color w:val="auto"/>
              </w:rPr>
            </w:pPr>
            <w:r>
              <w:rPr>
                <w:rFonts w:cs="Times New Roman"/>
                <w:color w:val="auto"/>
              </w:rPr>
              <w:t>23</w:t>
            </w:r>
          </w:p>
        </w:tc>
      </w:tr>
      <w:tr w14:paraId="589997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 w:type="pct"/>
            <w:tcBorders>
              <w:tl2br w:val="nil"/>
              <w:tr2bl w:val="nil"/>
            </w:tcBorders>
            <w:shd w:val="clear" w:color="auto" w:fill="auto"/>
            <w:vAlign w:val="center"/>
          </w:tcPr>
          <w:p w14:paraId="400CE4E2">
            <w:pPr>
              <w:pStyle w:val="714"/>
              <w:rPr>
                <w:rFonts w:cs="Times New Roman"/>
                <w:color w:val="auto"/>
              </w:rPr>
            </w:pPr>
            <w:r>
              <w:rPr>
                <w:rFonts w:cs="Times New Roman"/>
                <w:color w:val="auto"/>
              </w:rPr>
              <w:t>细砂</w:t>
            </w:r>
          </w:p>
        </w:tc>
        <w:tc>
          <w:tcPr>
            <w:tcW w:w="574" w:type="pct"/>
            <w:tcBorders>
              <w:tl2br w:val="nil"/>
              <w:tr2bl w:val="nil"/>
            </w:tcBorders>
            <w:shd w:val="clear" w:color="auto" w:fill="auto"/>
            <w:vAlign w:val="center"/>
          </w:tcPr>
          <w:p w14:paraId="0D521F59">
            <w:pPr>
              <w:pStyle w:val="714"/>
              <w:rPr>
                <w:rFonts w:cs="Times New Roman"/>
                <w:color w:val="auto"/>
              </w:rPr>
            </w:pPr>
            <w:r>
              <w:rPr>
                <w:rFonts w:cs="Times New Roman"/>
                <w:color w:val="auto"/>
              </w:rPr>
              <w:t>28</w:t>
            </w:r>
          </w:p>
        </w:tc>
        <w:tc>
          <w:tcPr>
            <w:tcW w:w="574" w:type="pct"/>
            <w:tcBorders>
              <w:tl2br w:val="nil"/>
              <w:tr2bl w:val="nil"/>
            </w:tcBorders>
            <w:shd w:val="clear" w:color="auto" w:fill="auto"/>
            <w:vAlign w:val="center"/>
          </w:tcPr>
          <w:p w14:paraId="28F8B69A">
            <w:pPr>
              <w:pStyle w:val="714"/>
              <w:rPr>
                <w:rFonts w:cs="Times New Roman"/>
                <w:color w:val="auto"/>
              </w:rPr>
            </w:pPr>
            <w:r>
              <w:rPr>
                <w:rFonts w:cs="Times New Roman"/>
                <w:color w:val="auto"/>
              </w:rPr>
              <w:t>10</w:t>
            </w:r>
          </w:p>
        </w:tc>
        <w:tc>
          <w:tcPr>
            <w:tcW w:w="574" w:type="pct"/>
            <w:tcBorders>
              <w:tl2br w:val="nil"/>
              <w:tr2bl w:val="nil"/>
            </w:tcBorders>
            <w:shd w:val="clear" w:color="auto" w:fill="auto"/>
            <w:vAlign w:val="center"/>
          </w:tcPr>
          <w:p w14:paraId="01505F75">
            <w:pPr>
              <w:pStyle w:val="714"/>
              <w:rPr>
                <w:rFonts w:cs="Times New Roman"/>
                <w:color w:val="auto"/>
              </w:rPr>
            </w:pPr>
            <w:r>
              <w:rPr>
                <w:rFonts w:cs="Times New Roman"/>
                <w:color w:val="auto"/>
              </w:rPr>
              <w:t>21</w:t>
            </w:r>
          </w:p>
        </w:tc>
        <w:tc>
          <w:tcPr>
            <w:tcW w:w="871" w:type="pct"/>
            <w:tcBorders>
              <w:tl2br w:val="nil"/>
              <w:tr2bl w:val="nil"/>
            </w:tcBorders>
            <w:vAlign w:val="center"/>
          </w:tcPr>
          <w:p w14:paraId="447DB505">
            <w:pPr>
              <w:pStyle w:val="714"/>
              <w:rPr>
                <w:rFonts w:cs="Times New Roman"/>
                <w:color w:val="auto"/>
              </w:rPr>
            </w:pPr>
            <w:r>
              <w:rPr>
                <w:rFonts w:cs="Times New Roman"/>
                <w:color w:val="auto"/>
              </w:rPr>
              <w:t>粗砾</w:t>
            </w:r>
          </w:p>
        </w:tc>
        <w:tc>
          <w:tcPr>
            <w:tcW w:w="593" w:type="pct"/>
            <w:tcBorders>
              <w:tl2br w:val="nil"/>
              <w:tr2bl w:val="nil"/>
            </w:tcBorders>
            <w:vAlign w:val="center"/>
          </w:tcPr>
          <w:p w14:paraId="0D7EB1CC">
            <w:pPr>
              <w:pStyle w:val="714"/>
              <w:rPr>
                <w:rFonts w:cs="Times New Roman"/>
                <w:color w:val="auto"/>
              </w:rPr>
            </w:pPr>
            <w:r>
              <w:rPr>
                <w:rFonts w:cs="Times New Roman"/>
                <w:color w:val="auto"/>
              </w:rPr>
              <w:t>26</w:t>
            </w:r>
          </w:p>
        </w:tc>
        <w:tc>
          <w:tcPr>
            <w:tcW w:w="593" w:type="pct"/>
            <w:tcBorders>
              <w:tl2br w:val="nil"/>
              <w:tr2bl w:val="nil"/>
            </w:tcBorders>
            <w:vAlign w:val="center"/>
          </w:tcPr>
          <w:p w14:paraId="29AF8F18">
            <w:pPr>
              <w:pStyle w:val="714"/>
              <w:rPr>
                <w:rFonts w:cs="Times New Roman"/>
                <w:color w:val="auto"/>
              </w:rPr>
            </w:pPr>
            <w:r>
              <w:rPr>
                <w:rFonts w:cs="Times New Roman"/>
                <w:color w:val="auto"/>
              </w:rPr>
              <w:t>12</w:t>
            </w:r>
          </w:p>
        </w:tc>
        <w:tc>
          <w:tcPr>
            <w:tcW w:w="590" w:type="pct"/>
            <w:tcBorders>
              <w:tl2br w:val="nil"/>
              <w:tr2bl w:val="nil"/>
            </w:tcBorders>
            <w:vAlign w:val="center"/>
          </w:tcPr>
          <w:p w14:paraId="05D09550">
            <w:pPr>
              <w:pStyle w:val="714"/>
              <w:rPr>
                <w:rFonts w:cs="Times New Roman"/>
                <w:color w:val="auto"/>
              </w:rPr>
            </w:pPr>
            <w:r>
              <w:rPr>
                <w:rFonts w:cs="Times New Roman"/>
                <w:color w:val="auto"/>
              </w:rPr>
              <w:t>21</w:t>
            </w:r>
          </w:p>
        </w:tc>
      </w:tr>
      <w:tr w14:paraId="34CDC8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 w:type="pct"/>
            <w:tcBorders>
              <w:tl2br w:val="nil"/>
              <w:tr2bl w:val="nil"/>
            </w:tcBorders>
            <w:shd w:val="clear" w:color="auto" w:fill="auto"/>
            <w:vAlign w:val="center"/>
          </w:tcPr>
          <w:p w14:paraId="6E1739FC">
            <w:pPr>
              <w:pStyle w:val="714"/>
              <w:rPr>
                <w:rFonts w:cs="Times New Roman"/>
                <w:color w:val="auto"/>
              </w:rPr>
            </w:pPr>
            <w:r>
              <w:rPr>
                <w:rFonts w:cs="Times New Roman"/>
                <w:color w:val="auto"/>
              </w:rPr>
              <w:t>中砂</w:t>
            </w:r>
          </w:p>
        </w:tc>
        <w:tc>
          <w:tcPr>
            <w:tcW w:w="574" w:type="pct"/>
            <w:tcBorders>
              <w:tl2br w:val="nil"/>
              <w:tr2bl w:val="nil"/>
            </w:tcBorders>
            <w:shd w:val="clear" w:color="auto" w:fill="auto"/>
            <w:vAlign w:val="center"/>
          </w:tcPr>
          <w:p w14:paraId="681CB914">
            <w:pPr>
              <w:pStyle w:val="714"/>
              <w:rPr>
                <w:rFonts w:cs="Times New Roman"/>
                <w:color w:val="auto"/>
              </w:rPr>
            </w:pPr>
            <w:r>
              <w:rPr>
                <w:rFonts w:cs="Times New Roman"/>
                <w:color w:val="auto"/>
              </w:rPr>
              <w:t>32</w:t>
            </w:r>
          </w:p>
        </w:tc>
        <w:tc>
          <w:tcPr>
            <w:tcW w:w="574" w:type="pct"/>
            <w:tcBorders>
              <w:tl2br w:val="nil"/>
              <w:tr2bl w:val="nil"/>
            </w:tcBorders>
            <w:shd w:val="clear" w:color="auto" w:fill="auto"/>
            <w:vAlign w:val="center"/>
          </w:tcPr>
          <w:p w14:paraId="0BE59ACF">
            <w:pPr>
              <w:pStyle w:val="714"/>
              <w:rPr>
                <w:rFonts w:cs="Times New Roman"/>
                <w:color w:val="auto"/>
              </w:rPr>
            </w:pPr>
            <w:r>
              <w:rPr>
                <w:rFonts w:cs="Times New Roman"/>
                <w:color w:val="auto"/>
              </w:rPr>
              <w:t>15</w:t>
            </w:r>
          </w:p>
        </w:tc>
        <w:tc>
          <w:tcPr>
            <w:tcW w:w="574" w:type="pct"/>
            <w:tcBorders>
              <w:tl2br w:val="nil"/>
              <w:tr2bl w:val="nil"/>
            </w:tcBorders>
            <w:shd w:val="clear" w:color="auto" w:fill="auto"/>
            <w:vAlign w:val="center"/>
          </w:tcPr>
          <w:p w14:paraId="53C4F1A4">
            <w:pPr>
              <w:pStyle w:val="714"/>
              <w:rPr>
                <w:rFonts w:cs="Times New Roman"/>
                <w:color w:val="auto"/>
              </w:rPr>
            </w:pPr>
            <w:r>
              <w:rPr>
                <w:rFonts w:cs="Times New Roman"/>
                <w:color w:val="auto"/>
              </w:rPr>
              <w:t>26</w:t>
            </w:r>
          </w:p>
        </w:tc>
        <w:tc>
          <w:tcPr>
            <w:tcW w:w="871" w:type="pct"/>
            <w:tcBorders>
              <w:tl2br w:val="nil"/>
              <w:tr2bl w:val="nil"/>
            </w:tcBorders>
            <w:vAlign w:val="center"/>
          </w:tcPr>
          <w:p w14:paraId="250D2618">
            <w:pPr>
              <w:pStyle w:val="714"/>
              <w:rPr>
                <w:rFonts w:cs="Times New Roman"/>
                <w:color w:val="auto"/>
              </w:rPr>
            </w:pPr>
            <w:r>
              <w:rPr>
                <w:rFonts w:cs="Times New Roman"/>
                <w:color w:val="auto"/>
              </w:rPr>
              <w:t>粘土胶结砂岩</w:t>
            </w:r>
          </w:p>
        </w:tc>
        <w:tc>
          <w:tcPr>
            <w:tcW w:w="593" w:type="pct"/>
            <w:tcBorders>
              <w:tl2br w:val="nil"/>
              <w:tr2bl w:val="nil"/>
            </w:tcBorders>
            <w:vAlign w:val="center"/>
          </w:tcPr>
          <w:p w14:paraId="2256696C">
            <w:pPr>
              <w:pStyle w:val="714"/>
              <w:rPr>
                <w:rFonts w:cs="Times New Roman"/>
                <w:color w:val="auto"/>
              </w:rPr>
            </w:pPr>
            <w:r>
              <w:rPr>
                <w:rFonts w:cs="Times New Roman"/>
                <w:color w:val="auto"/>
              </w:rPr>
              <w:t>3</w:t>
            </w:r>
          </w:p>
        </w:tc>
        <w:tc>
          <w:tcPr>
            <w:tcW w:w="593" w:type="pct"/>
            <w:tcBorders>
              <w:tl2br w:val="nil"/>
              <w:tr2bl w:val="nil"/>
            </w:tcBorders>
            <w:vAlign w:val="center"/>
          </w:tcPr>
          <w:p w14:paraId="4056ACA9">
            <w:pPr>
              <w:pStyle w:val="714"/>
              <w:rPr>
                <w:rFonts w:cs="Times New Roman"/>
                <w:color w:val="auto"/>
              </w:rPr>
            </w:pPr>
            <w:r>
              <w:rPr>
                <w:rFonts w:cs="Times New Roman"/>
                <w:color w:val="auto"/>
              </w:rPr>
              <w:t>2</w:t>
            </w:r>
          </w:p>
        </w:tc>
        <w:tc>
          <w:tcPr>
            <w:tcW w:w="590" w:type="pct"/>
            <w:tcBorders>
              <w:tl2br w:val="nil"/>
              <w:tr2bl w:val="nil"/>
            </w:tcBorders>
            <w:vAlign w:val="center"/>
          </w:tcPr>
          <w:p w14:paraId="5D440295">
            <w:pPr>
              <w:pStyle w:val="714"/>
              <w:rPr>
                <w:rFonts w:cs="Times New Roman"/>
                <w:color w:val="auto"/>
              </w:rPr>
            </w:pPr>
            <w:r>
              <w:rPr>
                <w:rFonts w:cs="Times New Roman"/>
                <w:color w:val="auto"/>
              </w:rPr>
              <w:t>2.5</w:t>
            </w:r>
          </w:p>
        </w:tc>
      </w:tr>
      <w:tr w14:paraId="277110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 w:type="pct"/>
            <w:tcBorders>
              <w:tl2br w:val="nil"/>
              <w:tr2bl w:val="nil"/>
            </w:tcBorders>
            <w:shd w:val="clear" w:color="auto" w:fill="auto"/>
            <w:vAlign w:val="center"/>
          </w:tcPr>
          <w:p w14:paraId="7B93F1B6">
            <w:pPr>
              <w:pStyle w:val="714"/>
              <w:rPr>
                <w:rFonts w:cs="Times New Roman"/>
                <w:color w:val="auto"/>
              </w:rPr>
            </w:pPr>
            <w:r>
              <w:rPr>
                <w:rFonts w:cs="Times New Roman"/>
                <w:color w:val="auto"/>
              </w:rPr>
              <w:t>粗砂</w:t>
            </w:r>
          </w:p>
        </w:tc>
        <w:tc>
          <w:tcPr>
            <w:tcW w:w="574" w:type="pct"/>
            <w:tcBorders>
              <w:tl2br w:val="nil"/>
              <w:tr2bl w:val="nil"/>
            </w:tcBorders>
            <w:shd w:val="clear" w:color="auto" w:fill="auto"/>
            <w:vAlign w:val="center"/>
          </w:tcPr>
          <w:p w14:paraId="7E1B1669">
            <w:pPr>
              <w:pStyle w:val="714"/>
              <w:rPr>
                <w:rFonts w:cs="Times New Roman"/>
                <w:color w:val="auto"/>
              </w:rPr>
            </w:pPr>
            <w:r>
              <w:rPr>
                <w:rFonts w:cs="Times New Roman"/>
                <w:color w:val="auto"/>
              </w:rPr>
              <w:t>35</w:t>
            </w:r>
          </w:p>
        </w:tc>
        <w:tc>
          <w:tcPr>
            <w:tcW w:w="574" w:type="pct"/>
            <w:tcBorders>
              <w:tl2br w:val="nil"/>
              <w:tr2bl w:val="nil"/>
            </w:tcBorders>
            <w:shd w:val="clear" w:color="auto" w:fill="auto"/>
            <w:vAlign w:val="center"/>
          </w:tcPr>
          <w:p w14:paraId="505C5900">
            <w:pPr>
              <w:pStyle w:val="714"/>
              <w:rPr>
                <w:rFonts w:cs="Times New Roman"/>
                <w:color w:val="auto"/>
              </w:rPr>
            </w:pPr>
            <w:r>
              <w:rPr>
                <w:rFonts w:cs="Times New Roman"/>
                <w:color w:val="auto"/>
              </w:rPr>
              <w:t>20</w:t>
            </w:r>
          </w:p>
        </w:tc>
        <w:tc>
          <w:tcPr>
            <w:tcW w:w="574" w:type="pct"/>
            <w:tcBorders>
              <w:tl2br w:val="nil"/>
              <w:tr2bl w:val="nil"/>
            </w:tcBorders>
            <w:shd w:val="clear" w:color="auto" w:fill="auto"/>
            <w:vAlign w:val="center"/>
          </w:tcPr>
          <w:p w14:paraId="429EA2D4">
            <w:pPr>
              <w:pStyle w:val="714"/>
              <w:rPr>
                <w:rFonts w:cs="Times New Roman"/>
                <w:color w:val="auto"/>
              </w:rPr>
            </w:pPr>
            <w:r>
              <w:rPr>
                <w:rFonts w:cs="Times New Roman"/>
                <w:color w:val="auto"/>
              </w:rPr>
              <w:t>27</w:t>
            </w:r>
          </w:p>
        </w:tc>
        <w:tc>
          <w:tcPr>
            <w:tcW w:w="871" w:type="pct"/>
            <w:tcBorders>
              <w:tl2br w:val="nil"/>
              <w:tr2bl w:val="nil"/>
            </w:tcBorders>
            <w:vAlign w:val="center"/>
          </w:tcPr>
          <w:p w14:paraId="0AE78F33">
            <w:pPr>
              <w:pStyle w:val="714"/>
              <w:rPr>
                <w:rFonts w:cs="Times New Roman"/>
                <w:color w:val="auto"/>
              </w:rPr>
            </w:pPr>
            <w:r>
              <w:rPr>
                <w:rFonts w:cs="Times New Roman"/>
                <w:color w:val="auto"/>
              </w:rPr>
              <w:t>裂隙灰岩</w:t>
            </w:r>
          </w:p>
        </w:tc>
        <w:tc>
          <w:tcPr>
            <w:tcW w:w="593" w:type="pct"/>
            <w:tcBorders>
              <w:tl2br w:val="nil"/>
              <w:tr2bl w:val="nil"/>
            </w:tcBorders>
            <w:vAlign w:val="center"/>
          </w:tcPr>
          <w:p w14:paraId="7EFE5928">
            <w:pPr>
              <w:pStyle w:val="714"/>
              <w:rPr>
                <w:rFonts w:cs="Times New Roman"/>
                <w:color w:val="auto"/>
              </w:rPr>
            </w:pPr>
            <w:r>
              <w:rPr>
                <w:rFonts w:cs="Times New Roman"/>
                <w:color w:val="auto"/>
              </w:rPr>
              <w:t>0.8</w:t>
            </w:r>
          </w:p>
        </w:tc>
        <w:tc>
          <w:tcPr>
            <w:tcW w:w="593" w:type="pct"/>
            <w:tcBorders>
              <w:tl2br w:val="nil"/>
              <w:tr2bl w:val="nil"/>
            </w:tcBorders>
            <w:vAlign w:val="center"/>
          </w:tcPr>
          <w:p w14:paraId="5890C016">
            <w:pPr>
              <w:pStyle w:val="714"/>
              <w:rPr>
                <w:rFonts w:cs="Times New Roman"/>
                <w:color w:val="auto"/>
              </w:rPr>
            </w:pPr>
            <w:r>
              <w:rPr>
                <w:rFonts w:cs="Times New Roman"/>
                <w:color w:val="auto"/>
              </w:rPr>
              <w:t>10</w:t>
            </w:r>
          </w:p>
        </w:tc>
        <w:tc>
          <w:tcPr>
            <w:tcW w:w="590" w:type="pct"/>
            <w:tcBorders>
              <w:tl2br w:val="nil"/>
              <w:tr2bl w:val="nil"/>
            </w:tcBorders>
            <w:vAlign w:val="center"/>
          </w:tcPr>
          <w:p w14:paraId="281F50E2">
            <w:pPr>
              <w:pStyle w:val="714"/>
              <w:rPr>
                <w:rFonts w:cs="Times New Roman"/>
                <w:color w:val="auto"/>
              </w:rPr>
            </w:pPr>
            <w:r>
              <w:rPr>
                <w:rFonts w:cs="Times New Roman"/>
                <w:color w:val="auto"/>
              </w:rPr>
              <w:t>5.4</w:t>
            </w:r>
          </w:p>
        </w:tc>
      </w:tr>
    </w:tbl>
    <w:p w14:paraId="437800BE">
      <w:pPr>
        <w:ind w:firstLine="480"/>
        <w:rPr>
          <w:rFonts w:hint="default" w:ascii="Times New Roman" w:hAnsi="Times New Roman" w:cs="Times New Roman"/>
          <w:color w:val="auto"/>
        </w:rPr>
      </w:pPr>
      <w:r>
        <w:rPr>
          <w:rFonts w:hint="default" w:ascii="Times New Roman" w:hAnsi="Times New Roman" w:cs="Times New Roman"/>
          <w:color w:val="auto"/>
        </w:rPr>
        <w:t>补给量：评价区多年平均降雨量1120mm～1161.90mm，本次取1140 mm。依据《铁路工程水文勘测设计规范》（TB 10017-2021）提供的不同含水介质降雨入渗经验值</w:t>
      </w:r>
      <w:r>
        <w:rPr>
          <w:rFonts w:hint="default" w:ascii="Times New Roman" w:hAnsi="Times New Roman" w:cs="Times New Roman"/>
          <w:color w:val="auto"/>
          <w:kern w:val="0"/>
          <w:szCs w:val="24"/>
        </w:rPr>
        <w:t>（表6.4-3），同时结合《四川省巴中市巴州区红层丘陵地区找水打井工程调查和区划报告》，</w:t>
      </w:r>
      <w:r>
        <w:rPr>
          <w:rFonts w:hint="default" w:ascii="Times New Roman" w:hAnsi="Times New Roman" w:cs="Times New Roman"/>
          <w:color w:val="auto"/>
        </w:rPr>
        <w:t>本项目评价区所处的宽缓槽谷区降雨入渗系数取值0.10，降雨补给量Recharge分别设置为114 mm/a。</w:t>
      </w:r>
    </w:p>
    <w:p w14:paraId="45A9D0CE">
      <w:pPr>
        <w:pStyle w:val="19"/>
        <w:numPr>
          <w:ilvl w:val="0"/>
          <w:numId w:val="31"/>
        </w:numPr>
        <w:bidi w:val="0"/>
        <w:ind w:left="1440" w:leftChars="0" w:firstLine="0" w:firstLineChars="0"/>
        <w:rPr>
          <w:snapToGrid w:val="0"/>
          <w:color w:val="auto"/>
        </w:rPr>
      </w:pPr>
      <w:r>
        <w:rPr>
          <w:snapToGrid w:val="0"/>
          <w:color w:val="auto"/>
        </w:rPr>
        <w:t>降雨入渗系数经验数据</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01"/>
        <w:gridCol w:w="2176"/>
        <w:gridCol w:w="2153"/>
        <w:gridCol w:w="1992"/>
      </w:tblGrid>
      <w:tr w14:paraId="6F9FE3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291" w:type="pct"/>
            <w:tcBorders>
              <w:tl2br w:val="nil"/>
              <w:tr2bl w:val="nil"/>
            </w:tcBorders>
            <w:vAlign w:val="center"/>
          </w:tcPr>
          <w:p w14:paraId="17BCA195">
            <w:pPr>
              <w:pStyle w:val="714"/>
              <w:rPr>
                <w:b/>
                <w:bCs/>
                <w:color w:val="auto"/>
              </w:rPr>
            </w:pPr>
            <w:r>
              <w:rPr>
                <w:b/>
                <w:bCs/>
                <w:color w:val="auto"/>
              </w:rPr>
              <w:t>含水介质</w:t>
            </w:r>
          </w:p>
        </w:tc>
        <w:tc>
          <w:tcPr>
            <w:tcW w:w="1276" w:type="pct"/>
            <w:tcBorders>
              <w:tl2br w:val="nil"/>
              <w:tr2bl w:val="nil"/>
            </w:tcBorders>
            <w:vAlign w:val="center"/>
          </w:tcPr>
          <w:p w14:paraId="1D6460A3">
            <w:pPr>
              <w:pStyle w:val="714"/>
              <w:rPr>
                <w:b/>
                <w:bCs/>
                <w:color w:val="auto"/>
              </w:rPr>
            </w:pPr>
            <w:r>
              <w:rPr>
                <w:b/>
                <w:bCs/>
                <w:color w:val="auto"/>
              </w:rPr>
              <w:t>λ</w:t>
            </w:r>
          </w:p>
        </w:tc>
        <w:tc>
          <w:tcPr>
            <w:tcW w:w="1263" w:type="pct"/>
            <w:tcBorders>
              <w:tl2br w:val="nil"/>
              <w:tr2bl w:val="nil"/>
            </w:tcBorders>
            <w:vAlign w:val="center"/>
          </w:tcPr>
          <w:p w14:paraId="13DF7C44">
            <w:pPr>
              <w:pStyle w:val="714"/>
              <w:rPr>
                <w:b/>
                <w:bCs/>
                <w:color w:val="auto"/>
              </w:rPr>
            </w:pPr>
            <w:r>
              <w:rPr>
                <w:b/>
                <w:bCs/>
                <w:color w:val="auto"/>
              </w:rPr>
              <w:t>含水介质</w:t>
            </w:r>
          </w:p>
        </w:tc>
        <w:tc>
          <w:tcPr>
            <w:tcW w:w="1168" w:type="pct"/>
            <w:tcBorders>
              <w:tl2br w:val="nil"/>
              <w:tr2bl w:val="nil"/>
            </w:tcBorders>
            <w:vAlign w:val="center"/>
          </w:tcPr>
          <w:p w14:paraId="7059FF13">
            <w:pPr>
              <w:pStyle w:val="714"/>
              <w:rPr>
                <w:b/>
                <w:bCs/>
                <w:color w:val="auto"/>
              </w:rPr>
            </w:pPr>
            <w:r>
              <w:rPr>
                <w:b/>
                <w:bCs/>
                <w:color w:val="auto"/>
              </w:rPr>
              <w:t>λ</w:t>
            </w:r>
          </w:p>
        </w:tc>
      </w:tr>
      <w:tr w14:paraId="64D585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1" w:type="pct"/>
            <w:tcBorders>
              <w:tl2br w:val="nil"/>
              <w:tr2bl w:val="nil"/>
            </w:tcBorders>
            <w:vAlign w:val="center"/>
          </w:tcPr>
          <w:p w14:paraId="28215B65">
            <w:pPr>
              <w:pStyle w:val="714"/>
              <w:rPr>
                <w:color w:val="auto"/>
              </w:rPr>
            </w:pPr>
            <w:r>
              <w:rPr>
                <w:color w:val="auto"/>
              </w:rPr>
              <w:t>粉质粘土</w:t>
            </w:r>
          </w:p>
        </w:tc>
        <w:tc>
          <w:tcPr>
            <w:tcW w:w="1276" w:type="pct"/>
            <w:tcBorders>
              <w:tl2br w:val="nil"/>
              <w:tr2bl w:val="nil"/>
            </w:tcBorders>
            <w:vAlign w:val="center"/>
          </w:tcPr>
          <w:p w14:paraId="68CA4253">
            <w:pPr>
              <w:pStyle w:val="714"/>
              <w:rPr>
                <w:color w:val="auto"/>
              </w:rPr>
            </w:pPr>
            <w:r>
              <w:rPr>
                <w:color w:val="auto"/>
              </w:rPr>
              <w:t>0.01～0.02</w:t>
            </w:r>
          </w:p>
        </w:tc>
        <w:tc>
          <w:tcPr>
            <w:tcW w:w="1263" w:type="pct"/>
            <w:tcBorders>
              <w:tl2br w:val="nil"/>
              <w:tr2bl w:val="nil"/>
            </w:tcBorders>
            <w:vAlign w:val="center"/>
          </w:tcPr>
          <w:p w14:paraId="6C21AD63">
            <w:pPr>
              <w:pStyle w:val="714"/>
              <w:rPr>
                <w:color w:val="auto"/>
              </w:rPr>
            </w:pPr>
            <w:r>
              <w:rPr>
                <w:color w:val="auto"/>
              </w:rPr>
              <w:t>较完整岩石</w:t>
            </w:r>
          </w:p>
        </w:tc>
        <w:tc>
          <w:tcPr>
            <w:tcW w:w="1168" w:type="pct"/>
            <w:tcBorders>
              <w:tl2br w:val="nil"/>
              <w:tr2bl w:val="nil"/>
            </w:tcBorders>
            <w:vAlign w:val="center"/>
          </w:tcPr>
          <w:p w14:paraId="3DEE1C46">
            <w:pPr>
              <w:pStyle w:val="714"/>
              <w:rPr>
                <w:color w:val="auto"/>
              </w:rPr>
            </w:pPr>
            <w:r>
              <w:rPr>
                <w:color w:val="auto"/>
              </w:rPr>
              <w:t>0.10～0.15</w:t>
            </w:r>
          </w:p>
        </w:tc>
      </w:tr>
      <w:tr w14:paraId="21FC31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1" w:type="pct"/>
            <w:tcBorders>
              <w:tl2br w:val="nil"/>
              <w:tr2bl w:val="nil"/>
            </w:tcBorders>
            <w:vAlign w:val="center"/>
          </w:tcPr>
          <w:p w14:paraId="18E29EA1">
            <w:pPr>
              <w:pStyle w:val="714"/>
              <w:rPr>
                <w:color w:val="auto"/>
              </w:rPr>
            </w:pPr>
            <w:r>
              <w:rPr>
                <w:color w:val="auto"/>
              </w:rPr>
              <w:t>粉土</w:t>
            </w:r>
          </w:p>
        </w:tc>
        <w:tc>
          <w:tcPr>
            <w:tcW w:w="1276" w:type="pct"/>
            <w:tcBorders>
              <w:tl2br w:val="nil"/>
              <w:tr2bl w:val="nil"/>
            </w:tcBorders>
            <w:vAlign w:val="center"/>
          </w:tcPr>
          <w:p w14:paraId="4F739F83">
            <w:pPr>
              <w:pStyle w:val="714"/>
              <w:rPr>
                <w:color w:val="auto"/>
              </w:rPr>
            </w:pPr>
            <w:r>
              <w:rPr>
                <w:color w:val="auto"/>
              </w:rPr>
              <w:t>0.02～0.05</w:t>
            </w:r>
          </w:p>
        </w:tc>
        <w:tc>
          <w:tcPr>
            <w:tcW w:w="1263" w:type="pct"/>
            <w:tcBorders>
              <w:tl2br w:val="nil"/>
              <w:tr2bl w:val="nil"/>
            </w:tcBorders>
            <w:vAlign w:val="center"/>
          </w:tcPr>
          <w:p w14:paraId="780C2822">
            <w:pPr>
              <w:pStyle w:val="714"/>
              <w:rPr>
                <w:color w:val="auto"/>
              </w:rPr>
            </w:pPr>
            <w:r>
              <w:rPr>
                <w:color w:val="auto"/>
              </w:rPr>
              <w:t>较破碎岩石</w:t>
            </w:r>
          </w:p>
        </w:tc>
        <w:tc>
          <w:tcPr>
            <w:tcW w:w="1168" w:type="pct"/>
            <w:tcBorders>
              <w:tl2br w:val="nil"/>
              <w:tr2bl w:val="nil"/>
            </w:tcBorders>
            <w:vAlign w:val="center"/>
          </w:tcPr>
          <w:p w14:paraId="57B31059">
            <w:pPr>
              <w:pStyle w:val="714"/>
              <w:rPr>
                <w:color w:val="auto"/>
              </w:rPr>
            </w:pPr>
            <w:r>
              <w:rPr>
                <w:color w:val="auto"/>
              </w:rPr>
              <w:t>0.15～0.18</w:t>
            </w:r>
          </w:p>
        </w:tc>
      </w:tr>
      <w:tr w14:paraId="7823A0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1" w:type="pct"/>
            <w:tcBorders>
              <w:tl2br w:val="nil"/>
              <w:tr2bl w:val="nil"/>
            </w:tcBorders>
            <w:vAlign w:val="center"/>
          </w:tcPr>
          <w:p w14:paraId="332AD82E">
            <w:pPr>
              <w:pStyle w:val="714"/>
              <w:rPr>
                <w:color w:val="auto"/>
              </w:rPr>
            </w:pPr>
            <w:r>
              <w:rPr>
                <w:color w:val="auto"/>
              </w:rPr>
              <w:t>粉砂</w:t>
            </w:r>
          </w:p>
        </w:tc>
        <w:tc>
          <w:tcPr>
            <w:tcW w:w="1276" w:type="pct"/>
            <w:tcBorders>
              <w:tl2br w:val="nil"/>
              <w:tr2bl w:val="nil"/>
            </w:tcBorders>
            <w:vAlign w:val="center"/>
          </w:tcPr>
          <w:p w14:paraId="5A4CF3CC">
            <w:pPr>
              <w:pStyle w:val="714"/>
              <w:rPr>
                <w:color w:val="auto"/>
              </w:rPr>
            </w:pPr>
            <w:r>
              <w:rPr>
                <w:color w:val="auto"/>
              </w:rPr>
              <w:t>0.05～0.08</w:t>
            </w:r>
          </w:p>
        </w:tc>
        <w:tc>
          <w:tcPr>
            <w:tcW w:w="1263" w:type="pct"/>
            <w:tcBorders>
              <w:tl2br w:val="nil"/>
              <w:tr2bl w:val="nil"/>
            </w:tcBorders>
            <w:vAlign w:val="center"/>
          </w:tcPr>
          <w:p w14:paraId="05AA5D34">
            <w:pPr>
              <w:pStyle w:val="714"/>
              <w:rPr>
                <w:color w:val="auto"/>
              </w:rPr>
            </w:pPr>
            <w:r>
              <w:rPr>
                <w:color w:val="auto"/>
              </w:rPr>
              <w:t>破碎岩石</w:t>
            </w:r>
          </w:p>
        </w:tc>
        <w:tc>
          <w:tcPr>
            <w:tcW w:w="1168" w:type="pct"/>
            <w:tcBorders>
              <w:tl2br w:val="nil"/>
              <w:tr2bl w:val="nil"/>
            </w:tcBorders>
            <w:vAlign w:val="center"/>
          </w:tcPr>
          <w:p w14:paraId="78CA851F">
            <w:pPr>
              <w:pStyle w:val="714"/>
              <w:rPr>
                <w:color w:val="auto"/>
              </w:rPr>
            </w:pPr>
            <w:r>
              <w:rPr>
                <w:color w:val="auto"/>
              </w:rPr>
              <w:t>0.18～0.20</w:t>
            </w:r>
          </w:p>
        </w:tc>
      </w:tr>
      <w:tr w14:paraId="05AB3C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1" w:type="pct"/>
            <w:tcBorders>
              <w:tl2br w:val="nil"/>
              <w:tr2bl w:val="nil"/>
            </w:tcBorders>
            <w:vAlign w:val="center"/>
          </w:tcPr>
          <w:p w14:paraId="094F9F7F">
            <w:pPr>
              <w:pStyle w:val="714"/>
              <w:rPr>
                <w:color w:val="auto"/>
              </w:rPr>
            </w:pPr>
            <w:r>
              <w:rPr>
                <w:color w:val="auto"/>
              </w:rPr>
              <w:t>细砂</w:t>
            </w:r>
          </w:p>
        </w:tc>
        <w:tc>
          <w:tcPr>
            <w:tcW w:w="1276" w:type="pct"/>
            <w:tcBorders>
              <w:tl2br w:val="nil"/>
              <w:tr2bl w:val="nil"/>
            </w:tcBorders>
            <w:vAlign w:val="center"/>
          </w:tcPr>
          <w:p w14:paraId="25307370">
            <w:pPr>
              <w:pStyle w:val="714"/>
              <w:rPr>
                <w:color w:val="auto"/>
              </w:rPr>
            </w:pPr>
            <w:r>
              <w:rPr>
                <w:color w:val="auto"/>
              </w:rPr>
              <w:t>0.08～0.12</w:t>
            </w:r>
          </w:p>
        </w:tc>
        <w:tc>
          <w:tcPr>
            <w:tcW w:w="1263" w:type="pct"/>
            <w:tcBorders>
              <w:tl2br w:val="nil"/>
              <w:tr2bl w:val="nil"/>
            </w:tcBorders>
            <w:vAlign w:val="center"/>
          </w:tcPr>
          <w:p w14:paraId="67C526F3">
            <w:pPr>
              <w:pStyle w:val="714"/>
              <w:rPr>
                <w:color w:val="auto"/>
              </w:rPr>
            </w:pPr>
            <w:r>
              <w:rPr>
                <w:color w:val="auto"/>
              </w:rPr>
              <w:t>极破碎岩石</w:t>
            </w:r>
          </w:p>
        </w:tc>
        <w:tc>
          <w:tcPr>
            <w:tcW w:w="1168" w:type="pct"/>
            <w:tcBorders>
              <w:tl2br w:val="nil"/>
              <w:tr2bl w:val="nil"/>
            </w:tcBorders>
            <w:vAlign w:val="center"/>
          </w:tcPr>
          <w:p w14:paraId="16FA07C2">
            <w:pPr>
              <w:pStyle w:val="714"/>
              <w:rPr>
                <w:color w:val="auto"/>
              </w:rPr>
            </w:pPr>
            <w:r>
              <w:rPr>
                <w:color w:val="auto"/>
              </w:rPr>
              <w:t>0.20～0.25</w:t>
            </w:r>
          </w:p>
        </w:tc>
      </w:tr>
      <w:tr w14:paraId="3A2A9A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1" w:type="pct"/>
            <w:tcBorders>
              <w:tl2br w:val="nil"/>
              <w:tr2bl w:val="nil"/>
            </w:tcBorders>
            <w:vAlign w:val="center"/>
          </w:tcPr>
          <w:p w14:paraId="3F5D4B92">
            <w:pPr>
              <w:pStyle w:val="714"/>
              <w:rPr>
                <w:color w:val="auto"/>
              </w:rPr>
            </w:pPr>
            <w:r>
              <w:rPr>
                <w:color w:val="auto"/>
              </w:rPr>
              <w:t>中砂</w:t>
            </w:r>
          </w:p>
        </w:tc>
        <w:tc>
          <w:tcPr>
            <w:tcW w:w="1276" w:type="pct"/>
            <w:tcBorders>
              <w:tl2br w:val="nil"/>
              <w:tr2bl w:val="nil"/>
            </w:tcBorders>
            <w:vAlign w:val="center"/>
          </w:tcPr>
          <w:p w14:paraId="44F91336">
            <w:pPr>
              <w:pStyle w:val="714"/>
              <w:rPr>
                <w:color w:val="auto"/>
              </w:rPr>
            </w:pPr>
            <w:r>
              <w:rPr>
                <w:color w:val="auto"/>
              </w:rPr>
              <w:t>0.12～0.18</w:t>
            </w:r>
          </w:p>
        </w:tc>
        <w:tc>
          <w:tcPr>
            <w:tcW w:w="1263" w:type="pct"/>
            <w:tcBorders>
              <w:tl2br w:val="nil"/>
              <w:tr2bl w:val="nil"/>
            </w:tcBorders>
            <w:vAlign w:val="center"/>
          </w:tcPr>
          <w:p w14:paraId="73E18DE9">
            <w:pPr>
              <w:pStyle w:val="714"/>
              <w:rPr>
                <w:color w:val="auto"/>
              </w:rPr>
            </w:pPr>
            <w:r>
              <w:rPr>
                <w:color w:val="auto"/>
              </w:rPr>
              <w:t>岩溶微弱发育</w:t>
            </w:r>
          </w:p>
        </w:tc>
        <w:tc>
          <w:tcPr>
            <w:tcW w:w="1168" w:type="pct"/>
            <w:tcBorders>
              <w:tl2br w:val="nil"/>
              <w:tr2bl w:val="nil"/>
            </w:tcBorders>
            <w:vAlign w:val="center"/>
          </w:tcPr>
          <w:p w14:paraId="155DE0DA">
            <w:pPr>
              <w:pStyle w:val="714"/>
              <w:rPr>
                <w:color w:val="auto"/>
              </w:rPr>
            </w:pPr>
            <w:r>
              <w:rPr>
                <w:color w:val="auto"/>
              </w:rPr>
              <w:t>0.01～0.10</w:t>
            </w:r>
          </w:p>
        </w:tc>
      </w:tr>
      <w:tr w14:paraId="5714FC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1" w:type="pct"/>
            <w:tcBorders>
              <w:tl2br w:val="nil"/>
              <w:tr2bl w:val="nil"/>
            </w:tcBorders>
            <w:vAlign w:val="center"/>
          </w:tcPr>
          <w:p w14:paraId="471B9B99">
            <w:pPr>
              <w:pStyle w:val="714"/>
              <w:rPr>
                <w:color w:val="auto"/>
              </w:rPr>
            </w:pPr>
            <w:r>
              <w:rPr>
                <w:color w:val="auto"/>
              </w:rPr>
              <w:t>粗砂</w:t>
            </w:r>
          </w:p>
        </w:tc>
        <w:tc>
          <w:tcPr>
            <w:tcW w:w="1276" w:type="pct"/>
            <w:tcBorders>
              <w:tl2br w:val="nil"/>
              <w:tr2bl w:val="nil"/>
            </w:tcBorders>
            <w:vAlign w:val="center"/>
          </w:tcPr>
          <w:p w14:paraId="6361B8EC">
            <w:pPr>
              <w:pStyle w:val="714"/>
              <w:rPr>
                <w:color w:val="auto"/>
              </w:rPr>
            </w:pPr>
            <w:r>
              <w:rPr>
                <w:color w:val="auto"/>
              </w:rPr>
              <w:t>0.18～0.24</w:t>
            </w:r>
          </w:p>
        </w:tc>
        <w:tc>
          <w:tcPr>
            <w:tcW w:w="1263" w:type="pct"/>
            <w:tcBorders>
              <w:tl2br w:val="nil"/>
              <w:tr2bl w:val="nil"/>
            </w:tcBorders>
            <w:vAlign w:val="center"/>
          </w:tcPr>
          <w:p w14:paraId="38377CBB">
            <w:pPr>
              <w:pStyle w:val="714"/>
              <w:rPr>
                <w:color w:val="auto"/>
              </w:rPr>
            </w:pPr>
            <w:r>
              <w:rPr>
                <w:color w:val="auto"/>
              </w:rPr>
              <w:t>岩溶弱发育</w:t>
            </w:r>
          </w:p>
        </w:tc>
        <w:tc>
          <w:tcPr>
            <w:tcW w:w="1168" w:type="pct"/>
            <w:tcBorders>
              <w:tl2br w:val="nil"/>
              <w:tr2bl w:val="nil"/>
            </w:tcBorders>
            <w:vAlign w:val="center"/>
          </w:tcPr>
          <w:p w14:paraId="04B02E07">
            <w:pPr>
              <w:pStyle w:val="714"/>
              <w:rPr>
                <w:color w:val="auto"/>
              </w:rPr>
            </w:pPr>
            <w:r>
              <w:rPr>
                <w:color w:val="auto"/>
              </w:rPr>
              <w:t>0.10～0.15</w:t>
            </w:r>
          </w:p>
        </w:tc>
      </w:tr>
      <w:tr w14:paraId="58032C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1" w:type="pct"/>
            <w:tcBorders>
              <w:tl2br w:val="nil"/>
              <w:tr2bl w:val="nil"/>
            </w:tcBorders>
            <w:vAlign w:val="center"/>
          </w:tcPr>
          <w:p w14:paraId="7950BEA8">
            <w:pPr>
              <w:pStyle w:val="714"/>
              <w:rPr>
                <w:color w:val="auto"/>
              </w:rPr>
            </w:pPr>
            <w:r>
              <w:rPr>
                <w:color w:val="auto"/>
              </w:rPr>
              <w:t>圆砾（夹砂）</w:t>
            </w:r>
          </w:p>
        </w:tc>
        <w:tc>
          <w:tcPr>
            <w:tcW w:w="1276" w:type="pct"/>
            <w:tcBorders>
              <w:tl2br w:val="nil"/>
              <w:tr2bl w:val="nil"/>
            </w:tcBorders>
            <w:vAlign w:val="center"/>
          </w:tcPr>
          <w:p w14:paraId="4BA41F4D">
            <w:pPr>
              <w:pStyle w:val="714"/>
              <w:rPr>
                <w:color w:val="auto"/>
              </w:rPr>
            </w:pPr>
            <w:r>
              <w:rPr>
                <w:color w:val="auto"/>
              </w:rPr>
              <w:t>0.24～0.30</w:t>
            </w:r>
          </w:p>
        </w:tc>
        <w:tc>
          <w:tcPr>
            <w:tcW w:w="1263" w:type="pct"/>
            <w:tcBorders>
              <w:tl2br w:val="nil"/>
              <w:tr2bl w:val="nil"/>
            </w:tcBorders>
            <w:vAlign w:val="center"/>
          </w:tcPr>
          <w:p w14:paraId="1D0C8A3E">
            <w:pPr>
              <w:pStyle w:val="714"/>
              <w:rPr>
                <w:color w:val="auto"/>
              </w:rPr>
            </w:pPr>
            <w:r>
              <w:rPr>
                <w:color w:val="auto"/>
              </w:rPr>
              <w:t>岩溶中等发育</w:t>
            </w:r>
          </w:p>
        </w:tc>
        <w:tc>
          <w:tcPr>
            <w:tcW w:w="1168" w:type="pct"/>
            <w:tcBorders>
              <w:tl2br w:val="nil"/>
              <w:tr2bl w:val="nil"/>
            </w:tcBorders>
            <w:vAlign w:val="center"/>
          </w:tcPr>
          <w:p w14:paraId="415C860C">
            <w:pPr>
              <w:pStyle w:val="714"/>
              <w:rPr>
                <w:color w:val="auto"/>
              </w:rPr>
            </w:pPr>
            <w:r>
              <w:rPr>
                <w:color w:val="auto"/>
              </w:rPr>
              <w:t>0.15～0.20</w:t>
            </w:r>
          </w:p>
        </w:tc>
      </w:tr>
      <w:tr w14:paraId="317B47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1" w:type="pct"/>
            <w:tcBorders>
              <w:tl2br w:val="nil"/>
              <w:tr2bl w:val="nil"/>
            </w:tcBorders>
            <w:vAlign w:val="center"/>
          </w:tcPr>
          <w:p w14:paraId="6CDA4ABF">
            <w:pPr>
              <w:pStyle w:val="714"/>
              <w:rPr>
                <w:color w:val="auto"/>
              </w:rPr>
            </w:pPr>
            <w:r>
              <w:rPr>
                <w:color w:val="auto"/>
              </w:rPr>
              <w:t>卵石（夹砂）</w:t>
            </w:r>
          </w:p>
        </w:tc>
        <w:tc>
          <w:tcPr>
            <w:tcW w:w="1276" w:type="pct"/>
            <w:tcBorders>
              <w:tl2br w:val="nil"/>
              <w:tr2bl w:val="nil"/>
            </w:tcBorders>
            <w:vAlign w:val="center"/>
          </w:tcPr>
          <w:p w14:paraId="740F86BE">
            <w:pPr>
              <w:pStyle w:val="714"/>
              <w:rPr>
                <w:color w:val="auto"/>
              </w:rPr>
            </w:pPr>
            <w:r>
              <w:rPr>
                <w:color w:val="auto"/>
              </w:rPr>
              <w:t>0.30～0.35</w:t>
            </w:r>
          </w:p>
        </w:tc>
        <w:tc>
          <w:tcPr>
            <w:tcW w:w="1263" w:type="pct"/>
            <w:tcBorders>
              <w:tl2br w:val="nil"/>
              <w:tr2bl w:val="nil"/>
            </w:tcBorders>
            <w:vAlign w:val="center"/>
          </w:tcPr>
          <w:p w14:paraId="4B46C269">
            <w:pPr>
              <w:pStyle w:val="714"/>
              <w:rPr>
                <w:color w:val="auto"/>
              </w:rPr>
            </w:pPr>
            <w:r>
              <w:rPr>
                <w:color w:val="auto"/>
              </w:rPr>
              <w:t>岩溶强烈发育</w:t>
            </w:r>
          </w:p>
        </w:tc>
        <w:tc>
          <w:tcPr>
            <w:tcW w:w="1168" w:type="pct"/>
            <w:tcBorders>
              <w:tl2br w:val="nil"/>
              <w:tr2bl w:val="nil"/>
            </w:tcBorders>
            <w:vAlign w:val="center"/>
          </w:tcPr>
          <w:p w14:paraId="13E4053F">
            <w:pPr>
              <w:pStyle w:val="714"/>
              <w:rPr>
                <w:color w:val="auto"/>
              </w:rPr>
            </w:pPr>
            <w:r>
              <w:rPr>
                <w:color w:val="auto"/>
              </w:rPr>
              <w:t>0.20～0.50</w:t>
            </w:r>
          </w:p>
        </w:tc>
      </w:tr>
      <w:tr w14:paraId="179FEF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1" w:type="pct"/>
            <w:tcBorders>
              <w:tl2br w:val="nil"/>
              <w:tr2bl w:val="nil"/>
            </w:tcBorders>
            <w:vAlign w:val="center"/>
          </w:tcPr>
          <w:p w14:paraId="7A7E40CC">
            <w:pPr>
              <w:pStyle w:val="714"/>
              <w:rPr>
                <w:color w:val="auto"/>
              </w:rPr>
            </w:pPr>
            <w:r>
              <w:rPr>
                <w:color w:val="auto"/>
              </w:rPr>
              <w:t>完整岩石</w:t>
            </w:r>
          </w:p>
        </w:tc>
        <w:tc>
          <w:tcPr>
            <w:tcW w:w="1276" w:type="pct"/>
            <w:tcBorders>
              <w:tl2br w:val="nil"/>
              <w:tr2bl w:val="nil"/>
            </w:tcBorders>
            <w:vAlign w:val="center"/>
          </w:tcPr>
          <w:p w14:paraId="12BB09F4">
            <w:pPr>
              <w:pStyle w:val="714"/>
              <w:rPr>
                <w:color w:val="auto"/>
              </w:rPr>
            </w:pPr>
            <w:r>
              <w:rPr>
                <w:color w:val="auto"/>
              </w:rPr>
              <w:t>0.01～0.10</w:t>
            </w:r>
          </w:p>
        </w:tc>
        <w:tc>
          <w:tcPr>
            <w:tcW w:w="1263" w:type="pct"/>
            <w:tcBorders>
              <w:tl2br w:val="nil"/>
              <w:tr2bl w:val="nil"/>
            </w:tcBorders>
            <w:vAlign w:val="center"/>
          </w:tcPr>
          <w:p w14:paraId="272C0822">
            <w:pPr>
              <w:pStyle w:val="714"/>
              <w:rPr>
                <w:color w:val="auto"/>
              </w:rPr>
            </w:pPr>
          </w:p>
        </w:tc>
        <w:tc>
          <w:tcPr>
            <w:tcW w:w="1168" w:type="pct"/>
            <w:tcBorders>
              <w:tl2br w:val="nil"/>
              <w:tr2bl w:val="nil"/>
            </w:tcBorders>
            <w:vAlign w:val="center"/>
          </w:tcPr>
          <w:p w14:paraId="4602F5B4">
            <w:pPr>
              <w:pStyle w:val="714"/>
              <w:rPr>
                <w:color w:val="auto"/>
              </w:rPr>
            </w:pPr>
          </w:p>
        </w:tc>
      </w:tr>
    </w:tbl>
    <w:p w14:paraId="7D648FE0">
      <w:pPr>
        <w:bidi w:val="0"/>
        <w:rPr>
          <w:color w:val="auto"/>
        </w:rPr>
      </w:pPr>
      <w:r>
        <w:rPr>
          <w:color w:val="auto"/>
        </w:rPr>
        <w:t>弥散系数：依据文献资料（Gelhar，1992），弥散度具有空间尺度效应，其观测值随着弥散试验观测尺度的增大而增加。依据《地下水污染模拟预测评估工作指南》（2019）附表C1.1纵向弥散度与观测尺度之间的关系，统计孔隙介质及裂隙介质在不同试验尺度下弥散度。</w:t>
      </w:r>
    </w:p>
    <w:tbl>
      <w:tblPr>
        <w:tblStyle w:val="52"/>
        <w:tblW w:w="0" w:type="auto"/>
        <w:tblInd w:w="0" w:type="dxa"/>
        <w:tblBorders>
          <w:top w:val="none" w:color="auto" w:sz="0" w:space="0"/>
          <w:left w:val="none" w:color="auto" w:sz="0" w:space="0"/>
          <w:bottom w:val="none" w:color="auto" w:sz="0" w:space="0"/>
          <w:right w:val="none" w:color="auto" w:sz="0" w:space="0"/>
          <w:insideH w:val="none" w:color="auto" w:sz="0" w:space="0"/>
          <w:insideV w:val="single" w:color="000000" w:sz="4" w:space="0"/>
        </w:tblBorders>
        <w:tblLayout w:type="autofit"/>
        <w:tblCellMar>
          <w:top w:w="0" w:type="dxa"/>
          <w:left w:w="108" w:type="dxa"/>
          <w:bottom w:w="0" w:type="dxa"/>
          <w:right w:w="108" w:type="dxa"/>
        </w:tblCellMar>
      </w:tblPr>
      <w:tblGrid>
        <w:gridCol w:w="8296"/>
      </w:tblGrid>
      <w:tr w14:paraId="0F4F208E">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8296" w:type="dxa"/>
            <w:shd w:val="clear" w:color="auto" w:fill="auto"/>
          </w:tcPr>
          <w:p w14:paraId="4FB50FE1">
            <w:pPr>
              <w:pStyle w:val="714"/>
              <w:rPr>
                <w:rFonts w:cs="Times New Roman"/>
                <w:color w:val="auto"/>
              </w:rPr>
            </w:pPr>
            <w:r>
              <w:rPr>
                <w:rFonts w:cs="Times New Roman"/>
                <w:color w:val="auto"/>
              </w:rPr>
              <w:drawing>
                <wp:inline distT="0" distB="0" distL="0" distR="0">
                  <wp:extent cx="4340860" cy="3721100"/>
                  <wp:effectExtent l="0" t="0" r="2540" b="1270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109"/>
                          <a:srcRect t="2779" r="7623"/>
                          <a:stretch>
                            <a:fillRect/>
                          </a:stretch>
                        </pic:blipFill>
                        <pic:spPr>
                          <a:xfrm>
                            <a:off x="0" y="0"/>
                            <a:ext cx="4345689" cy="3724875"/>
                          </a:xfrm>
                          <a:prstGeom prst="rect">
                            <a:avLst/>
                          </a:prstGeom>
                          <a:ln>
                            <a:noFill/>
                          </a:ln>
                        </pic:spPr>
                      </pic:pic>
                    </a:graphicData>
                  </a:graphic>
                </wp:inline>
              </w:drawing>
            </w:r>
          </w:p>
        </w:tc>
      </w:tr>
      <w:tr w14:paraId="4710DB0D">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8296" w:type="dxa"/>
            <w:shd w:val="clear" w:color="auto" w:fill="auto"/>
          </w:tcPr>
          <w:p w14:paraId="19A5EC83">
            <w:pPr>
              <w:pStyle w:val="713"/>
              <w:rPr>
                <w:color w:val="auto"/>
              </w:rPr>
            </w:pPr>
            <w:r>
              <w:rPr>
                <w:color w:val="auto"/>
              </w:rPr>
              <w:t>图</w:t>
            </w:r>
            <w:r>
              <w:rPr>
                <w:rFonts w:hint="eastAsia"/>
                <w:color w:val="auto"/>
                <w:lang w:val="en-US" w:eastAsia="zh-CN"/>
              </w:rPr>
              <w:t>4.2</w:t>
            </w:r>
            <w:r>
              <w:rPr>
                <w:color w:val="auto"/>
              </w:rPr>
              <w:t>-</w:t>
            </w:r>
            <w:r>
              <w:rPr>
                <w:rFonts w:hint="eastAsia"/>
                <w:color w:val="auto"/>
                <w:lang w:val="en-US" w:eastAsia="zh-CN"/>
              </w:rPr>
              <w:t xml:space="preserve">8 </w:t>
            </w:r>
            <w:r>
              <w:rPr>
                <w:color w:val="auto"/>
              </w:rPr>
              <w:t xml:space="preserve"> 纵向弥散度与介质类别关系</w:t>
            </w:r>
          </w:p>
          <w:p w14:paraId="4D006425">
            <w:pPr>
              <w:pStyle w:val="700"/>
              <w:jc w:val="center"/>
              <w:rPr>
                <w:rFonts w:cs="Times New Roman"/>
                <w:color w:val="auto"/>
                <w:highlight w:val="yellow"/>
              </w:rPr>
            </w:pPr>
            <w:r>
              <w:rPr>
                <w:rFonts w:cs="Times New Roman"/>
                <w:color w:val="auto"/>
              </w:rPr>
              <w:t>弥散系数=弥散度*渗流速度</w:t>
            </w:r>
          </w:p>
        </w:tc>
      </w:tr>
    </w:tbl>
    <w:p w14:paraId="06454818">
      <w:pPr>
        <w:pStyle w:val="19"/>
        <w:numPr>
          <w:ilvl w:val="0"/>
          <w:numId w:val="31"/>
        </w:numPr>
        <w:bidi w:val="0"/>
        <w:ind w:left="1440" w:leftChars="0" w:firstLine="0" w:firstLineChars="0"/>
        <w:rPr>
          <w:color w:val="auto"/>
        </w:rPr>
      </w:pPr>
      <w:r>
        <w:rPr>
          <w:color w:val="auto"/>
        </w:rPr>
        <w:t>裂隙介质在不同试验尺度下弥散度统计</w:t>
      </w:r>
    </w:p>
    <w:tbl>
      <w:tblPr>
        <w:tblStyle w:val="52"/>
        <w:tblpPr w:leftFromText="180" w:rightFromText="180" w:vertAnchor="text" w:tblpXSpec="center" w:tblpY="1"/>
        <w:tblOverlap w:val="never"/>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34"/>
        <w:gridCol w:w="2500"/>
        <w:gridCol w:w="3164"/>
        <w:gridCol w:w="1324"/>
      </w:tblGrid>
      <w:tr w14:paraId="10B845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4" w:type="pct"/>
            <w:tcBorders>
              <w:tl2br w:val="nil"/>
              <w:tr2bl w:val="nil"/>
            </w:tcBorders>
            <w:noWrap/>
            <w:vAlign w:val="center"/>
          </w:tcPr>
          <w:p w14:paraId="7E63B38D">
            <w:pPr>
              <w:pStyle w:val="714"/>
              <w:rPr>
                <w:rFonts w:cs="Times New Roman"/>
                <w:b/>
                <w:bCs/>
                <w:color w:val="auto"/>
              </w:rPr>
            </w:pPr>
            <w:r>
              <w:rPr>
                <w:rFonts w:cs="Times New Roman"/>
                <w:b/>
                <w:bCs/>
                <w:color w:val="auto"/>
              </w:rPr>
              <w:t>介质类别</w:t>
            </w:r>
          </w:p>
        </w:tc>
        <w:tc>
          <w:tcPr>
            <w:tcW w:w="1455" w:type="pct"/>
            <w:tcBorders>
              <w:tl2br w:val="nil"/>
              <w:tr2bl w:val="nil"/>
            </w:tcBorders>
            <w:noWrap/>
            <w:vAlign w:val="center"/>
          </w:tcPr>
          <w:p w14:paraId="4A3CDA91">
            <w:pPr>
              <w:pStyle w:val="714"/>
              <w:rPr>
                <w:rFonts w:cs="Times New Roman"/>
                <w:b/>
                <w:bCs/>
                <w:color w:val="auto"/>
              </w:rPr>
            </w:pPr>
            <w:r>
              <w:rPr>
                <w:rFonts w:cs="Times New Roman"/>
                <w:b/>
                <w:bCs/>
                <w:color w:val="auto"/>
              </w:rPr>
              <w:t>弥散试验尺度范围（m）</w:t>
            </w:r>
          </w:p>
        </w:tc>
        <w:tc>
          <w:tcPr>
            <w:tcW w:w="1859" w:type="pct"/>
            <w:tcBorders>
              <w:tl2br w:val="nil"/>
              <w:tr2bl w:val="nil"/>
            </w:tcBorders>
            <w:noWrap/>
            <w:vAlign w:val="center"/>
          </w:tcPr>
          <w:p w14:paraId="6ED02FE0">
            <w:pPr>
              <w:pStyle w:val="714"/>
              <w:rPr>
                <w:rFonts w:cs="Times New Roman"/>
                <w:b/>
                <w:bCs/>
                <w:color w:val="auto"/>
              </w:rPr>
            </w:pPr>
            <w:r>
              <w:rPr>
                <w:rFonts w:cs="Times New Roman"/>
                <w:b/>
                <w:bCs/>
                <w:color w:val="auto"/>
              </w:rPr>
              <w:t>弥散度范围（m）</w:t>
            </w:r>
          </w:p>
        </w:tc>
        <w:tc>
          <w:tcPr>
            <w:tcW w:w="780" w:type="pct"/>
            <w:tcBorders>
              <w:tl2br w:val="nil"/>
              <w:tr2bl w:val="nil"/>
            </w:tcBorders>
            <w:noWrap/>
            <w:vAlign w:val="center"/>
          </w:tcPr>
          <w:p w14:paraId="608A7CDD">
            <w:pPr>
              <w:pStyle w:val="714"/>
              <w:rPr>
                <w:rFonts w:cs="Times New Roman"/>
                <w:b/>
                <w:bCs/>
                <w:color w:val="auto"/>
              </w:rPr>
            </w:pPr>
            <w:r>
              <w:rPr>
                <w:rFonts w:cs="Times New Roman"/>
                <w:b/>
                <w:bCs/>
                <w:color w:val="auto"/>
              </w:rPr>
              <w:t>试验次数</w:t>
            </w:r>
          </w:p>
        </w:tc>
      </w:tr>
      <w:tr w14:paraId="0CAAFE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restart"/>
            <w:tcBorders>
              <w:tl2br w:val="nil"/>
              <w:tr2bl w:val="nil"/>
            </w:tcBorders>
            <w:noWrap/>
            <w:vAlign w:val="center"/>
          </w:tcPr>
          <w:p w14:paraId="03C4EB1E">
            <w:pPr>
              <w:pStyle w:val="714"/>
              <w:rPr>
                <w:rFonts w:cs="Times New Roman"/>
                <w:color w:val="auto"/>
              </w:rPr>
            </w:pPr>
            <w:r>
              <w:rPr>
                <w:rFonts w:cs="Times New Roman"/>
                <w:color w:val="auto"/>
              </w:rPr>
              <w:t>孔隙介质</w:t>
            </w:r>
          </w:p>
        </w:tc>
        <w:tc>
          <w:tcPr>
            <w:tcW w:w="1455" w:type="pct"/>
            <w:vMerge w:val="restart"/>
            <w:tcBorders>
              <w:tl2br w:val="nil"/>
              <w:tr2bl w:val="nil"/>
            </w:tcBorders>
            <w:noWrap/>
            <w:vAlign w:val="center"/>
          </w:tcPr>
          <w:p w14:paraId="6883F6B4">
            <w:pPr>
              <w:pStyle w:val="714"/>
              <w:rPr>
                <w:rFonts w:cs="Times New Roman"/>
                <w:color w:val="auto"/>
              </w:rPr>
            </w:pPr>
            <w:r>
              <w:rPr>
                <w:rFonts w:cs="Times New Roman"/>
                <w:color w:val="auto"/>
              </w:rPr>
              <w:t>1－10m</w:t>
            </w:r>
          </w:p>
        </w:tc>
        <w:tc>
          <w:tcPr>
            <w:tcW w:w="1859" w:type="pct"/>
            <w:tcBorders>
              <w:tl2br w:val="nil"/>
              <w:tr2bl w:val="nil"/>
            </w:tcBorders>
            <w:noWrap/>
            <w:vAlign w:val="center"/>
          </w:tcPr>
          <w:p w14:paraId="3A7A6C23">
            <w:pPr>
              <w:pStyle w:val="714"/>
              <w:rPr>
                <w:rFonts w:cs="Times New Roman"/>
                <w:color w:val="auto"/>
              </w:rPr>
            </w:pPr>
            <w:r>
              <w:rPr>
                <w:rFonts w:cs="Times New Roman"/>
                <w:color w:val="auto"/>
              </w:rPr>
              <w:t>0.0161～0.073</w:t>
            </w:r>
          </w:p>
        </w:tc>
        <w:tc>
          <w:tcPr>
            <w:tcW w:w="780" w:type="pct"/>
            <w:tcBorders>
              <w:tl2br w:val="nil"/>
              <w:tr2bl w:val="nil"/>
            </w:tcBorders>
            <w:noWrap/>
            <w:vAlign w:val="center"/>
          </w:tcPr>
          <w:p w14:paraId="66615ABF">
            <w:pPr>
              <w:pStyle w:val="714"/>
              <w:rPr>
                <w:rFonts w:cs="Times New Roman"/>
                <w:color w:val="auto"/>
              </w:rPr>
            </w:pPr>
            <w:r>
              <w:rPr>
                <w:rFonts w:cs="Times New Roman"/>
                <w:color w:val="auto"/>
              </w:rPr>
              <w:t>4</w:t>
            </w:r>
          </w:p>
        </w:tc>
      </w:tr>
      <w:tr w14:paraId="63E3B3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7651F63E">
            <w:pPr>
              <w:pStyle w:val="714"/>
              <w:rPr>
                <w:rFonts w:cs="Times New Roman"/>
                <w:color w:val="auto"/>
              </w:rPr>
            </w:pPr>
          </w:p>
        </w:tc>
        <w:tc>
          <w:tcPr>
            <w:tcW w:w="1455" w:type="pct"/>
            <w:vMerge w:val="continue"/>
            <w:tcBorders>
              <w:tl2br w:val="nil"/>
              <w:tr2bl w:val="nil"/>
            </w:tcBorders>
            <w:vAlign w:val="center"/>
          </w:tcPr>
          <w:p w14:paraId="6B7D3192">
            <w:pPr>
              <w:pStyle w:val="714"/>
              <w:rPr>
                <w:rFonts w:cs="Times New Roman"/>
                <w:color w:val="auto"/>
              </w:rPr>
            </w:pPr>
          </w:p>
        </w:tc>
        <w:tc>
          <w:tcPr>
            <w:tcW w:w="1859" w:type="pct"/>
            <w:tcBorders>
              <w:tl2br w:val="nil"/>
              <w:tr2bl w:val="nil"/>
            </w:tcBorders>
            <w:noWrap/>
            <w:vAlign w:val="center"/>
          </w:tcPr>
          <w:p w14:paraId="6C524BF6">
            <w:pPr>
              <w:pStyle w:val="714"/>
              <w:rPr>
                <w:rFonts w:cs="Times New Roman"/>
                <w:color w:val="auto"/>
              </w:rPr>
            </w:pPr>
            <w:r>
              <w:rPr>
                <w:rFonts w:cs="Times New Roman"/>
                <w:color w:val="auto"/>
              </w:rPr>
              <w:t>0.1183～0.6893</w:t>
            </w:r>
          </w:p>
        </w:tc>
        <w:tc>
          <w:tcPr>
            <w:tcW w:w="780" w:type="pct"/>
            <w:tcBorders>
              <w:tl2br w:val="nil"/>
              <w:tr2bl w:val="nil"/>
            </w:tcBorders>
            <w:noWrap/>
            <w:vAlign w:val="center"/>
          </w:tcPr>
          <w:p w14:paraId="7D8DA7F0">
            <w:pPr>
              <w:pStyle w:val="714"/>
              <w:rPr>
                <w:rFonts w:cs="Times New Roman"/>
                <w:color w:val="auto"/>
              </w:rPr>
            </w:pPr>
            <w:r>
              <w:rPr>
                <w:rFonts w:cs="Times New Roman"/>
                <w:color w:val="auto"/>
              </w:rPr>
              <w:t>9</w:t>
            </w:r>
          </w:p>
        </w:tc>
      </w:tr>
      <w:tr w14:paraId="369901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32DCF77B">
            <w:pPr>
              <w:pStyle w:val="714"/>
              <w:rPr>
                <w:rFonts w:cs="Times New Roman"/>
                <w:color w:val="auto"/>
              </w:rPr>
            </w:pPr>
          </w:p>
        </w:tc>
        <w:tc>
          <w:tcPr>
            <w:tcW w:w="1455" w:type="pct"/>
            <w:vMerge w:val="continue"/>
            <w:tcBorders>
              <w:tl2br w:val="nil"/>
              <w:tr2bl w:val="nil"/>
            </w:tcBorders>
            <w:vAlign w:val="center"/>
          </w:tcPr>
          <w:p w14:paraId="6120E1E8">
            <w:pPr>
              <w:pStyle w:val="714"/>
              <w:rPr>
                <w:rFonts w:cs="Times New Roman"/>
                <w:color w:val="auto"/>
              </w:rPr>
            </w:pPr>
          </w:p>
        </w:tc>
        <w:tc>
          <w:tcPr>
            <w:tcW w:w="1859" w:type="pct"/>
            <w:tcBorders>
              <w:tl2br w:val="nil"/>
              <w:tr2bl w:val="nil"/>
            </w:tcBorders>
            <w:noWrap/>
            <w:vAlign w:val="center"/>
          </w:tcPr>
          <w:p w14:paraId="776689BF">
            <w:pPr>
              <w:pStyle w:val="714"/>
              <w:rPr>
                <w:rFonts w:cs="Times New Roman"/>
                <w:color w:val="auto"/>
              </w:rPr>
            </w:pPr>
            <w:r>
              <w:rPr>
                <w:rFonts w:cs="Times New Roman"/>
                <w:color w:val="auto"/>
              </w:rPr>
              <w:t>1.1679～9.6828</w:t>
            </w:r>
          </w:p>
        </w:tc>
        <w:tc>
          <w:tcPr>
            <w:tcW w:w="780" w:type="pct"/>
            <w:tcBorders>
              <w:tl2br w:val="nil"/>
              <w:tr2bl w:val="nil"/>
            </w:tcBorders>
            <w:noWrap/>
            <w:vAlign w:val="center"/>
          </w:tcPr>
          <w:p w14:paraId="0BA4057A">
            <w:pPr>
              <w:pStyle w:val="714"/>
              <w:rPr>
                <w:rFonts w:cs="Times New Roman"/>
                <w:color w:val="auto"/>
              </w:rPr>
            </w:pPr>
            <w:r>
              <w:rPr>
                <w:rFonts w:cs="Times New Roman"/>
                <w:color w:val="auto"/>
              </w:rPr>
              <w:t>6</w:t>
            </w:r>
          </w:p>
        </w:tc>
      </w:tr>
      <w:tr w14:paraId="00B955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4EC43281">
            <w:pPr>
              <w:pStyle w:val="714"/>
              <w:rPr>
                <w:rFonts w:cs="Times New Roman"/>
                <w:color w:val="auto"/>
              </w:rPr>
            </w:pPr>
          </w:p>
        </w:tc>
        <w:tc>
          <w:tcPr>
            <w:tcW w:w="1455" w:type="pct"/>
            <w:vMerge w:val="continue"/>
            <w:tcBorders>
              <w:tl2br w:val="nil"/>
              <w:tr2bl w:val="nil"/>
            </w:tcBorders>
            <w:vAlign w:val="center"/>
          </w:tcPr>
          <w:p w14:paraId="2B4A6AA2">
            <w:pPr>
              <w:pStyle w:val="714"/>
              <w:rPr>
                <w:rFonts w:cs="Times New Roman"/>
                <w:color w:val="auto"/>
              </w:rPr>
            </w:pPr>
          </w:p>
        </w:tc>
        <w:tc>
          <w:tcPr>
            <w:tcW w:w="1859" w:type="pct"/>
            <w:tcBorders>
              <w:tl2br w:val="nil"/>
              <w:tr2bl w:val="nil"/>
            </w:tcBorders>
            <w:noWrap/>
            <w:vAlign w:val="center"/>
          </w:tcPr>
          <w:p w14:paraId="35A1E706">
            <w:pPr>
              <w:pStyle w:val="714"/>
              <w:rPr>
                <w:rFonts w:cs="Times New Roman"/>
                <w:color w:val="auto"/>
              </w:rPr>
            </w:pPr>
            <w:r>
              <w:rPr>
                <w:rFonts w:cs="Times New Roman"/>
                <w:color w:val="auto"/>
              </w:rPr>
              <w:t>13.67</w:t>
            </w:r>
          </w:p>
        </w:tc>
        <w:tc>
          <w:tcPr>
            <w:tcW w:w="780" w:type="pct"/>
            <w:tcBorders>
              <w:tl2br w:val="nil"/>
              <w:tr2bl w:val="nil"/>
            </w:tcBorders>
            <w:noWrap/>
            <w:vAlign w:val="center"/>
          </w:tcPr>
          <w:p w14:paraId="512487DF">
            <w:pPr>
              <w:pStyle w:val="714"/>
              <w:rPr>
                <w:rFonts w:cs="Times New Roman"/>
                <w:color w:val="auto"/>
              </w:rPr>
            </w:pPr>
            <w:r>
              <w:rPr>
                <w:rFonts w:cs="Times New Roman"/>
                <w:color w:val="auto"/>
              </w:rPr>
              <w:t>1</w:t>
            </w:r>
          </w:p>
        </w:tc>
      </w:tr>
      <w:tr w14:paraId="5C0D90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restart"/>
            <w:tcBorders>
              <w:tl2br w:val="nil"/>
              <w:tr2bl w:val="nil"/>
            </w:tcBorders>
            <w:vAlign w:val="center"/>
          </w:tcPr>
          <w:p w14:paraId="622B9CED">
            <w:pPr>
              <w:pStyle w:val="714"/>
              <w:rPr>
                <w:rFonts w:cs="Times New Roman"/>
                <w:color w:val="auto"/>
              </w:rPr>
            </w:pPr>
            <w:r>
              <w:rPr>
                <w:rFonts w:cs="Times New Roman"/>
                <w:color w:val="auto"/>
              </w:rPr>
              <w:t>孔隙介质</w:t>
            </w:r>
          </w:p>
        </w:tc>
        <w:tc>
          <w:tcPr>
            <w:tcW w:w="1455" w:type="pct"/>
            <w:vMerge w:val="restart"/>
            <w:tcBorders>
              <w:tl2br w:val="nil"/>
              <w:tr2bl w:val="nil"/>
            </w:tcBorders>
            <w:noWrap/>
            <w:vAlign w:val="center"/>
          </w:tcPr>
          <w:p w14:paraId="0BA886A1">
            <w:pPr>
              <w:pStyle w:val="714"/>
              <w:rPr>
                <w:rFonts w:cs="Times New Roman"/>
                <w:color w:val="auto"/>
              </w:rPr>
            </w:pPr>
            <w:r>
              <w:rPr>
                <w:rFonts w:cs="Times New Roman"/>
                <w:color w:val="auto"/>
              </w:rPr>
              <w:t>10－100m</w:t>
            </w:r>
          </w:p>
        </w:tc>
        <w:tc>
          <w:tcPr>
            <w:tcW w:w="1859" w:type="pct"/>
            <w:tcBorders>
              <w:tl2br w:val="nil"/>
              <w:tr2bl w:val="nil"/>
            </w:tcBorders>
            <w:noWrap/>
            <w:vAlign w:val="center"/>
          </w:tcPr>
          <w:p w14:paraId="547AA02C">
            <w:pPr>
              <w:pStyle w:val="714"/>
              <w:rPr>
                <w:rFonts w:cs="Times New Roman"/>
                <w:color w:val="auto"/>
              </w:rPr>
            </w:pPr>
            <w:r>
              <w:rPr>
                <w:rFonts w:cs="Times New Roman"/>
                <w:color w:val="auto"/>
              </w:rPr>
              <w:t>0.10</w:t>
            </w:r>
          </w:p>
        </w:tc>
        <w:tc>
          <w:tcPr>
            <w:tcW w:w="780" w:type="pct"/>
            <w:tcBorders>
              <w:tl2br w:val="nil"/>
              <w:tr2bl w:val="nil"/>
            </w:tcBorders>
            <w:noWrap/>
            <w:vAlign w:val="center"/>
          </w:tcPr>
          <w:p w14:paraId="3753C9D5">
            <w:pPr>
              <w:pStyle w:val="714"/>
              <w:rPr>
                <w:rFonts w:cs="Times New Roman"/>
                <w:color w:val="auto"/>
              </w:rPr>
            </w:pPr>
            <w:r>
              <w:rPr>
                <w:rFonts w:cs="Times New Roman"/>
                <w:color w:val="auto"/>
              </w:rPr>
              <w:t>1</w:t>
            </w:r>
          </w:p>
        </w:tc>
      </w:tr>
      <w:tr w14:paraId="6B4889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23BC40F9">
            <w:pPr>
              <w:pStyle w:val="714"/>
              <w:rPr>
                <w:rFonts w:cs="Times New Roman"/>
                <w:color w:val="auto"/>
              </w:rPr>
            </w:pPr>
          </w:p>
        </w:tc>
        <w:tc>
          <w:tcPr>
            <w:tcW w:w="1455" w:type="pct"/>
            <w:vMerge w:val="continue"/>
            <w:tcBorders>
              <w:tl2br w:val="nil"/>
              <w:tr2bl w:val="nil"/>
            </w:tcBorders>
            <w:vAlign w:val="center"/>
          </w:tcPr>
          <w:p w14:paraId="338EEF92">
            <w:pPr>
              <w:pStyle w:val="714"/>
              <w:rPr>
                <w:rFonts w:cs="Times New Roman"/>
                <w:color w:val="auto"/>
              </w:rPr>
            </w:pPr>
          </w:p>
        </w:tc>
        <w:tc>
          <w:tcPr>
            <w:tcW w:w="1859" w:type="pct"/>
            <w:tcBorders>
              <w:tl2br w:val="nil"/>
              <w:tr2bl w:val="nil"/>
            </w:tcBorders>
            <w:noWrap/>
            <w:vAlign w:val="center"/>
          </w:tcPr>
          <w:p w14:paraId="106048E3">
            <w:pPr>
              <w:pStyle w:val="714"/>
              <w:rPr>
                <w:rFonts w:cs="Times New Roman"/>
                <w:color w:val="auto"/>
              </w:rPr>
            </w:pPr>
            <w:r>
              <w:rPr>
                <w:rFonts w:cs="Times New Roman"/>
                <w:color w:val="auto"/>
              </w:rPr>
              <w:t>0.1285～0.9217</w:t>
            </w:r>
          </w:p>
        </w:tc>
        <w:tc>
          <w:tcPr>
            <w:tcW w:w="780" w:type="pct"/>
            <w:tcBorders>
              <w:tl2br w:val="nil"/>
              <w:tr2bl w:val="nil"/>
            </w:tcBorders>
            <w:noWrap/>
            <w:vAlign w:val="center"/>
          </w:tcPr>
          <w:p w14:paraId="4E2FA6EE">
            <w:pPr>
              <w:pStyle w:val="714"/>
              <w:rPr>
                <w:rFonts w:cs="Times New Roman"/>
                <w:color w:val="auto"/>
              </w:rPr>
            </w:pPr>
            <w:r>
              <w:rPr>
                <w:rFonts w:cs="Times New Roman"/>
                <w:color w:val="auto"/>
              </w:rPr>
              <w:t>9</w:t>
            </w:r>
          </w:p>
        </w:tc>
      </w:tr>
      <w:tr w14:paraId="2BDD22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0EC4FBC0">
            <w:pPr>
              <w:pStyle w:val="714"/>
              <w:rPr>
                <w:rFonts w:cs="Times New Roman"/>
                <w:color w:val="auto"/>
              </w:rPr>
            </w:pPr>
          </w:p>
        </w:tc>
        <w:tc>
          <w:tcPr>
            <w:tcW w:w="1455" w:type="pct"/>
            <w:vMerge w:val="continue"/>
            <w:tcBorders>
              <w:tl2br w:val="nil"/>
              <w:tr2bl w:val="nil"/>
            </w:tcBorders>
            <w:vAlign w:val="center"/>
          </w:tcPr>
          <w:p w14:paraId="24ECE5B7">
            <w:pPr>
              <w:pStyle w:val="714"/>
              <w:rPr>
                <w:rFonts w:cs="Times New Roman"/>
                <w:color w:val="auto"/>
              </w:rPr>
            </w:pPr>
          </w:p>
        </w:tc>
        <w:tc>
          <w:tcPr>
            <w:tcW w:w="1859" w:type="pct"/>
            <w:tcBorders>
              <w:tl2br w:val="nil"/>
              <w:tr2bl w:val="nil"/>
            </w:tcBorders>
            <w:noWrap/>
            <w:vAlign w:val="center"/>
          </w:tcPr>
          <w:p w14:paraId="63A9AA16">
            <w:pPr>
              <w:pStyle w:val="714"/>
              <w:rPr>
                <w:rFonts w:cs="Times New Roman"/>
                <w:color w:val="auto"/>
              </w:rPr>
            </w:pPr>
            <w:r>
              <w:rPr>
                <w:rFonts w:cs="Times New Roman"/>
                <w:color w:val="auto"/>
              </w:rPr>
              <w:t>1～1.9445</w:t>
            </w:r>
          </w:p>
        </w:tc>
        <w:tc>
          <w:tcPr>
            <w:tcW w:w="780" w:type="pct"/>
            <w:tcBorders>
              <w:tl2br w:val="nil"/>
              <w:tr2bl w:val="nil"/>
            </w:tcBorders>
            <w:noWrap/>
            <w:vAlign w:val="center"/>
          </w:tcPr>
          <w:p w14:paraId="7B668026">
            <w:pPr>
              <w:pStyle w:val="714"/>
              <w:rPr>
                <w:rFonts w:cs="Times New Roman"/>
                <w:color w:val="auto"/>
              </w:rPr>
            </w:pPr>
            <w:r>
              <w:rPr>
                <w:rFonts w:cs="Times New Roman"/>
                <w:color w:val="auto"/>
              </w:rPr>
              <w:t>8</w:t>
            </w:r>
          </w:p>
        </w:tc>
      </w:tr>
      <w:tr w14:paraId="4C45DC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37F7A457">
            <w:pPr>
              <w:pStyle w:val="714"/>
              <w:rPr>
                <w:rFonts w:cs="Times New Roman"/>
                <w:color w:val="auto"/>
              </w:rPr>
            </w:pPr>
          </w:p>
        </w:tc>
        <w:tc>
          <w:tcPr>
            <w:tcW w:w="1455" w:type="pct"/>
            <w:vMerge w:val="continue"/>
            <w:tcBorders>
              <w:tl2br w:val="nil"/>
              <w:tr2bl w:val="nil"/>
            </w:tcBorders>
            <w:vAlign w:val="center"/>
          </w:tcPr>
          <w:p w14:paraId="206F8AC6">
            <w:pPr>
              <w:pStyle w:val="714"/>
              <w:rPr>
                <w:rFonts w:cs="Times New Roman"/>
                <w:color w:val="auto"/>
              </w:rPr>
            </w:pPr>
          </w:p>
        </w:tc>
        <w:tc>
          <w:tcPr>
            <w:tcW w:w="1859" w:type="pct"/>
            <w:tcBorders>
              <w:tl2br w:val="nil"/>
              <w:tr2bl w:val="nil"/>
            </w:tcBorders>
            <w:noWrap/>
            <w:vAlign w:val="center"/>
          </w:tcPr>
          <w:p w14:paraId="362FBFF7">
            <w:pPr>
              <w:pStyle w:val="714"/>
              <w:rPr>
                <w:rFonts w:cs="Times New Roman"/>
                <w:color w:val="auto"/>
              </w:rPr>
            </w:pPr>
            <w:r>
              <w:rPr>
                <w:rFonts w:cs="Times New Roman"/>
                <w:color w:val="auto"/>
              </w:rPr>
              <w:t>2.0673～2.939</w:t>
            </w:r>
          </w:p>
        </w:tc>
        <w:tc>
          <w:tcPr>
            <w:tcW w:w="780" w:type="pct"/>
            <w:tcBorders>
              <w:tl2br w:val="nil"/>
              <w:tr2bl w:val="nil"/>
            </w:tcBorders>
            <w:noWrap/>
            <w:vAlign w:val="center"/>
          </w:tcPr>
          <w:p w14:paraId="63BC0E28">
            <w:pPr>
              <w:pStyle w:val="714"/>
              <w:rPr>
                <w:rFonts w:cs="Times New Roman"/>
                <w:color w:val="auto"/>
              </w:rPr>
            </w:pPr>
            <w:r>
              <w:rPr>
                <w:rFonts w:cs="Times New Roman"/>
                <w:color w:val="auto"/>
              </w:rPr>
              <w:t>6</w:t>
            </w:r>
          </w:p>
        </w:tc>
      </w:tr>
      <w:tr w14:paraId="7BDA22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60277E9E">
            <w:pPr>
              <w:pStyle w:val="714"/>
              <w:rPr>
                <w:rFonts w:cs="Times New Roman"/>
                <w:color w:val="auto"/>
              </w:rPr>
            </w:pPr>
          </w:p>
        </w:tc>
        <w:tc>
          <w:tcPr>
            <w:tcW w:w="1455" w:type="pct"/>
            <w:vMerge w:val="continue"/>
            <w:tcBorders>
              <w:tl2br w:val="nil"/>
              <w:tr2bl w:val="nil"/>
            </w:tcBorders>
            <w:vAlign w:val="center"/>
          </w:tcPr>
          <w:p w14:paraId="3F1D3268">
            <w:pPr>
              <w:pStyle w:val="714"/>
              <w:rPr>
                <w:rFonts w:cs="Times New Roman"/>
                <w:color w:val="auto"/>
              </w:rPr>
            </w:pPr>
          </w:p>
        </w:tc>
        <w:tc>
          <w:tcPr>
            <w:tcW w:w="1859" w:type="pct"/>
            <w:tcBorders>
              <w:tl2br w:val="nil"/>
              <w:tr2bl w:val="nil"/>
            </w:tcBorders>
            <w:shd w:val="clear" w:color="auto" w:fill="A5A5A5" w:themeFill="background1" w:themeFillShade="A6"/>
            <w:noWrap/>
            <w:vAlign w:val="center"/>
          </w:tcPr>
          <w:p w14:paraId="70F378DA">
            <w:pPr>
              <w:pStyle w:val="714"/>
              <w:rPr>
                <w:rFonts w:cs="Times New Roman"/>
                <w:color w:val="auto"/>
              </w:rPr>
            </w:pPr>
            <w:r>
              <w:rPr>
                <w:rFonts w:cs="Times New Roman"/>
                <w:color w:val="auto"/>
              </w:rPr>
              <w:t>3.9012～9.8311</w:t>
            </w:r>
          </w:p>
        </w:tc>
        <w:tc>
          <w:tcPr>
            <w:tcW w:w="780" w:type="pct"/>
            <w:tcBorders>
              <w:tl2br w:val="nil"/>
              <w:tr2bl w:val="nil"/>
            </w:tcBorders>
            <w:shd w:val="clear" w:color="auto" w:fill="A5A5A5" w:themeFill="background1" w:themeFillShade="A6"/>
            <w:noWrap/>
            <w:vAlign w:val="center"/>
          </w:tcPr>
          <w:p w14:paraId="0B664E61">
            <w:pPr>
              <w:pStyle w:val="714"/>
              <w:rPr>
                <w:rFonts w:cs="Times New Roman"/>
                <w:color w:val="auto"/>
              </w:rPr>
            </w:pPr>
            <w:r>
              <w:rPr>
                <w:rFonts w:cs="Times New Roman"/>
                <w:color w:val="auto"/>
              </w:rPr>
              <w:t>8</w:t>
            </w:r>
          </w:p>
        </w:tc>
      </w:tr>
      <w:tr w14:paraId="0642CD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214B382E">
            <w:pPr>
              <w:pStyle w:val="714"/>
              <w:rPr>
                <w:rFonts w:cs="Times New Roman"/>
                <w:color w:val="auto"/>
              </w:rPr>
            </w:pPr>
          </w:p>
        </w:tc>
        <w:tc>
          <w:tcPr>
            <w:tcW w:w="1455" w:type="pct"/>
            <w:vMerge w:val="continue"/>
            <w:tcBorders>
              <w:tl2br w:val="nil"/>
              <w:tr2bl w:val="nil"/>
            </w:tcBorders>
            <w:vAlign w:val="center"/>
          </w:tcPr>
          <w:p w14:paraId="2DB620C8">
            <w:pPr>
              <w:pStyle w:val="714"/>
              <w:rPr>
                <w:rFonts w:cs="Times New Roman"/>
                <w:color w:val="auto"/>
              </w:rPr>
            </w:pPr>
          </w:p>
        </w:tc>
        <w:tc>
          <w:tcPr>
            <w:tcW w:w="1859" w:type="pct"/>
            <w:tcBorders>
              <w:tl2br w:val="nil"/>
              <w:tr2bl w:val="nil"/>
            </w:tcBorders>
            <w:noWrap/>
            <w:vAlign w:val="center"/>
          </w:tcPr>
          <w:p w14:paraId="21867116">
            <w:pPr>
              <w:pStyle w:val="714"/>
              <w:rPr>
                <w:rFonts w:cs="Times New Roman"/>
                <w:color w:val="auto"/>
              </w:rPr>
            </w:pPr>
            <w:r>
              <w:rPr>
                <w:rFonts w:cs="Times New Roman"/>
                <w:color w:val="auto"/>
              </w:rPr>
              <w:t>12.8469～17.2465</w:t>
            </w:r>
          </w:p>
        </w:tc>
        <w:tc>
          <w:tcPr>
            <w:tcW w:w="780" w:type="pct"/>
            <w:tcBorders>
              <w:tl2br w:val="nil"/>
              <w:tr2bl w:val="nil"/>
            </w:tcBorders>
            <w:noWrap/>
            <w:vAlign w:val="center"/>
          </w:tcPr>
          <w:p w14:paraId="2EF8F267">
            <w:pPr>
              <w:pStyle w:val="714"/>
              <w:rPr>
                <w:rFonts w:cs="Times New Roman"/>
                <w:color w:val="auto"/>
              </w:rPr>
            </w:pPr>
            <w:r>
              <w:rPr>
                <w:rFonts w:cs="Times New Roman"/>
                <w:color w:val="auto"/>
              </w:rPr>
              <w:t>3</w:t>
            </w:r>
          </w:p>
        </w:tc>
      </w:tr>
      <w:tr w14:paraId="6AC40A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1CC0B2C6">
            <w:pPr>
              <w:pStyle w:val="714"/>
              <w:rPr>
                <w:rFonts w:cs="Times New Roman"/>
                <w:color w:val="auto"/>
              </w:rPr>
            </w:pPr>
          </w:p>
        </w:tc>
        <w:tc>
          <w:tcPr>
            <w:tcW w:w="1455" w:type="pct"/>
            <w:vMerge w:val="continue"/>
            <w:tcBorders>
              <w:tl2br w:val="nil"/>
              <w:tr2bl w:val="nil"/>
            </w:tcBorders>
            <w:vAlign w:val="center"/>
          </w:tcPr>
          <w:p w14:paraId="02BEC91A">
            <w:pPr>
              <w:pStyle w:val="714"/>
              <w:rPr>
                <w:rFonts w:cs="Times New Roman"/>
                <w:color w:val="auto"/>
              </w:rPr>
            </w:pPr>
          </w:p>
        </w:tc>
        <w:tc>
          <w:tcPr>
            <w:tcW w:w="1859" w:type="pct"/>
            <w:tcBorders>
              <w:tl2br w:val="nil"/>
              <w:tr2bl w:val="nil"/>
            </w:tcBorders>
            <w:noWrap/>
            <w:vAlign w:val="center"/>
          </w:tcPr>
          <w:p w14:paraId="7F278311">
            <w:pPr>
              <w:pStyle w:val="714"/>
              <w:rPr>
                <w:rFonts w:cs="Times New Roman"/>
                <w:color w:val="auto"/>
              </w:rPr>
            </w:pPr>
            <w:r>
              <w:rPr>
                <w:rFonts w:cs="Times New Roman"/>
                <w:color w:val="auto"/>
              </w:rPr>
              <w:t>99.5405～153.7801</w:t>
            </w:r>
          </w:p>
        </w:tc>
        <w:tc>
          <w:tcPr>
            <w:tcW w:w="780" w:type="pct"/>
            <w:tcBorders>
              <w:tl2br w:val="nil"/>
              <w:tr2bl w:val="nil"/>
            </w:tcBorders>
            <w:noWrap/>
            <w:vAlign w:val="center"/>
          </w:tcPr>
          <w:p w14:paraId="6880C7D3">
            <w:pPr>
              <w:pStyle w:val="714"/>
              <w:rPr>
                <w:rFonts w:cs="Times New Roman"/>
                <w:color w:val="auto"/>
              </w:rPr>
            </w:pPr>
            <w:r>
              <w:rPr>
                <w:rFonts w:cs="Times New Roman"/>
                <w:color w:val="auto"/>
              </w:rPr>
              <w:t>2</w:t>
            </w:r>
          </w:p>
        </w:tc>
      </w:tr>
      <w:tr w14:paraId="34C5D4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5FF5FCFF">
            <w:pPr>
              <w:pStyle w:val="714"/>
              <w:rPr>
                <w:rFonts w:cs="Times New Roman"/>
                <w:color w:val="auto"/>
              </w:rPr>
            </w:pPr>
          </w:p>
        </w:tc>
        <w:tc>
          <w:tcPr>
            <w:tcW w:w="1455" w:type="pct"/>
            <w:vMerge w:val="restart"/>
            <w:tcBorders>
              <w:tl2br w:val="nil"/>
              <w:tr2bl w:val="nil"/>
            </w:tcBorders>
            <w:noWrap/>
            <w:vAlign w:val="center"/>
          </w:tcPr>
          <w:p w14:paraId="7A67E699">
            <w:pPr>
              <w:pStyle w:val="714"/>
              <w:rPr>
                <w:rFonts w:cs="Times New Roman"/>
                <w:color w:val="auto"/>
              </w:rPr>
            </w:pPr>
            <w:r>
              <w:rPr>
                <w:rFonts w:cs="Times New Roman"/>
                <w:color w:val="auto"/>
              </w:rPr>
              <w:t>100－1000m</w:t>
            </w:r>
          </w:p>
        </w:tc>
        <w:tc>
          <w:tcPr>
            <w:tcW w:w="1859" w:type="pct"/>
            <w:tcBorders>
              <w:tl2br w:val="nil"/>
              <w:tr2bl w:val="nil"/>
            </w:tcBorders>
            <w:noWrap/>
            <w:vAlign w:val="center"/>
          </w:tcPr>
          <w:p w14:paraId="7758FE78">
            <w:pPr>
              <w:pStyle w:val="714"/>
              <w:rPr>
                <w:rFonts w:cs="Times New Roman"/>
                <w:color w:val="auto"/>
              </w:rPr>
            </w:pPr>
            <w:r>
              <w:rPr>
                <w:rFonts w:cs="Times New Roman"/>
                <w:color w:val="auto"/>
              </w:rPr>
              <w:t>1～1.0083</w:t>
            </w:r>
          </w:p>
        </w:tc>
        <w:tc>
          <w:tcPr>
            <w:tcW w:w="780" w:type="pct"/>
            <w:tcBorders>
              <w:tl2br w:val="nil"/>
              <w:tr2bl w:val="nil"/>
            </w:tcBorders>
            <w:noWrap/>
            <w:vAlign w:val="center"/>
          </w:tcPr>
          <w:p w14:paraId="3DD2C058">
            <w:pPr>
              <w:pStyle w:val="714"/>
              <w:rPr>
                <w:rFonts w:cs="Times New Roman"/>
                <w:color w:val="auto"/>
              </w:rPr>
            </w:pPr>
            <w:r>
              <w:rPr>
                <w:rFonts w:cs="Times New Roman"/>
                <w:color w:val="auto"/>
              </w:rPr>
              <w:t>2</w:t>
            </w:r>
          </w:p>
        </w:tc>
      </w:tr>
      <w:tr w14:paraId="04B314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1AA4F83B">
            <w:pPr>
              <w:pStyle w:val="714"/>
              <w:rPr>
                <w:rFonts w:cs="Times New Roman"/>
                <w:color w:val="auto"/>
              </w:rPr>
            </w:pPr>
          </w:p>
        </w:tc>
        <w:tc>
          <w:tcPr>
            <w:tcW w:w="1455" w:type="pct"/>
            <w:vMerge w:val="continue"/>
            <w:tcBorders>
              <w:tl2br w:val="nil"/>
              <w:tr2bl w:val="nil"/>
            </w:tcBorders>
            <w:vAlign w:val="center"/>
          </w:tcPr>
          <w:p w14:paraId="6CF3A63C">
            <w:pPr>
              <w:pStyle w:val="714"/>
              <w:rPr>
                <w:rFonts w:cs="Times New Roman"/>
                <w:color w:val="auto"/>
              </w:rPr>
            </w:pPr>
          </w:p>
        </w:tc>
        <w:tc>
          <w:tcPr>
            <w:tcW w:w="1859" w:type="pct"/>
            <w:tcBorders>
              <w:tl2br w:val="nil"/>
              <w:tr2bl w:val="nil"/>
            </w:tcBorders>
            <w:shd w:val="clear" w:color="auto" w:fill="auto"/>
            <w:noWrap/>
            <w:vAlign w:val="center"/>
          </w:tcPr>
          <w:p w14:paraId="0D98838E">
            <w:pPr>
              <w:pStyle w:val="714"/>
              <w:rPr>
                <w:rFonts w:cs="Times New Roman"/>
                <w:color w:val="auto"/>
              </w:rPr>
            </w:pPr>
            <w:r>
              <w:rPr>
                <w:rFonts w:cs="Times New Roman"/>
                <w:color w:val="auto"/>
              </w:rPr>
              <w:t>6.9936～8.4898</w:t>
            </w:r>
          </w:p>
        </w:tc>
        <w:tc>
          <w:tcPr>
            <w:tcW w:w="780" w:type="pct"/>
            <w:tcBorders>
              <w:tl2br w:val="nil"/>
              <w:tr2bl w:val="nil"/>
            </w:tcBorders>
            <w:shd w:val="clear" w:color="auto" w:fill="auto"/>
            <w:noWrap/>
            <w:vAlign w:val="center"/>
          </w:tcPr>
          <w:p w14:paraId="01346465">
            <w:pPr>
              <w:pStyle w:val="714"/>
              <w:rPr>
                <w:rFonts w:cs="Times New Roman"/>
                <w:color w:val="auto"/>
              </w:rPr>
            </w:pPr>
            <w:r>
              <w:rPr>
                <w:rFonts w:cs="Times New Roman"/>
                <w:color w:val="auto"/>
              </w:rPr>
              <w:t>3</w:t>
            </w:r>
          </w:p>
        </w:tc>
      </w:tr>
      <w:tr w14:paraId="72C253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77567812">
            <w:pPr>
              <w:pStyle w:val="714"/>
              <w:rPr>
                <w:rFonts w:cs="Times New Roman"/>
                <w:color w:val="auto"/>
              </w:rPr>
            </w:pPr>
          </w:p>
        </w:tc>
        <w:tc>
          <w:tcPr>
            <w:tcW w:w="1455" w:type="pct"/>
            <w:vMerge w:val="continue"/>
            <w:tcBorders>
              <w:tl2br w:val="nil"/>
              <w:tr2bl w:val="nil"/>
            </w:tcBorders>
            <w:vAlign w:val="center"/>
          </w:tcPr>
          <w:p w14:paraId="708D774D">
            <w:pPr>
              <w:pStyle w:val="714"/>
              <w:rPr>
                <w:rFonts w:cs="Times New Roman"/>
                <w:color w:val="auto"/>
              </w:rPr>
            </w:pPr>
          </w:p>
        </w:tc>
        <w:tc>
          <w:tcPr>
            <w:tcW w:w="1859" w:type="pct"/>
            <w:tcBorders>
              <w:tl2br w:val="nil"/>
              <w:tr2bl w:val="nil"/>
            </w:tcBorders>
            <w:shd w:val="clear" w:color="auto" w:fill="auto"/>
            <w:noWrap/>
            <w:vAlign w:val="center"/>
          </w:tcPr>
          <w:p w14:paraId="6ABA1AB5">
            <w:pPr>
              <w:pStyle w:val="714"/>
              <w:rPr>
                <w:rFonts w:cs="Times New Roman"/>
                <w:color w:val="auto"/>
              </w:rPr>
            </w:pPr>
            <w:r>
              <w:rPr>
                <w:rFonts w:cs="Times New Roman"/>
                <w:color w:val="auto"/>
              </w:rPr>
              <w:t>10.3705～18.4247</w:t>
            </w:r>
          </w:p>
        </w:tc>
        <w:tc>
          <w:tcPr>
            <w:tcW w:w="780" w:type="pct"/>
            <w:tcBorders>
              <w:tl2br w:val="nil"/>
              <w:tr2bl w:val="nil"/>
            </w:tcBorders>
            <w:shd w:val="clear" w:color="auto" w:fill="auto"/>
            <w:noWrap/>
            <w:vAlign w:val="center"/>
          </w:tcPr>
          <w:p w14:paraId="0B711D2B">
            <w:pPr>
              <w:pStyle w:val="714"/>
              <w:rPr>
                <w:rFonts w:cs="Times New Roman"/>
                <w:color w:val="auto"/>
              </w:rPr>
            </w:pPr>
            <w:r>
              <w:rPr>
                <w:rFonts w:cs="Times New Roman"/>
                <w:color w:val="auto"/>
              </w:rPr>
              <w:t>4</w:t>
            </w:r>
          </w:p>
        </w:tc>
      </w:tr>
      <w:tr w14:paraId="14537F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21C8E5D6">
            <w:pPr>
              <w:pStyle w:val="714"/>
              <w:rPr>
                <w:rFonts w:cs="Times New Roman"/>
                <w:color w:val="auto"/>
              </w:rPr>
            </w:pPr>
          </w:p>
        </w:tc>
        <w:tc>
          <w:tcPr>
            <w:tcW w:w="1455" w:type="pct"/>
            <w:vMerge w:val="continue"/>
            <w:tcBorders>
              <w:tl2br w:val="nil"/>
              <w:tr2bl w:val="nil"/>
            </w:tcBorders>
            <w:vAlign w:val="center"/>
          </w:tcPr>
          <w:p w14:paraId="25699FB1">
            <w:pPr>
              <w:pStyle w:val="714"/>
              <w:rPr>
                <w:rFonts w:cs="Times New Roman"/>
                <w:color w:val="auto"/>
              </w:rPr>
            </w:pPr>
          </w:p>
        </w:tc>
        <w:tc>
          <w:tcPr>
            <w:tcW w:w="1859" w:type="pct"/>
            <w:tcBorders>
              <w:tl2br w:val="nil"/>
              <w:tr2bl w:val="nil"/>
            </w:tcBorders>
            <w:noWrap/>
            <w:vAlign w:val="center"/>
          </w:tcPr>
          <w:p w14:paraId="4FBD4C0B">
            <w:pPr>
              <w:pStyle w:val="714"/>
              <w:rPr>
                <w:rFonts w:cs="Times New Roman"/>
                <w:color w:val="auto"/>
              </w:rPr>
            </w:pPr>
            <w:r>
              <w:rPr>
                <w:rFonts w:cs="Times New Roman"/>
                <w:color w:val="auto"/>
              </w:rPr>
              <w:t>32.1292～48.0286</w:t>
            </w:r>
          </w:p>
        </w:tc>
        <w:tc>
          <w:tcPr>
            <w:tcW w:w="780" w:type="pct"/>
            <w:tcBorders>
              <w:tl2br w:val="nil"/>
              <w:tr2bl w:val="nil"/>
            </w:tcBorders>
            <w:noWrap/>
            <w:vAlign w:val="center"/>
          </w:tcPr>
          <w:p w14:paraId="56F21C95">
            <w:pPr>
              <w:pStyle w:val="714"/>
              <w:rPr>
                <w:rFonts w:cs="Times New Roman"/>
                <w:color w:val="auto"/>
              </w:rPr>
            </w:pPr>
            <w:r>
              <w:rPr>
                <w:rFonts w:cs="Times New Roman"/>
                <w:color w:val="auto"/>
              </w:rPr>
              <w:t>3</w:t>
            </w:r>
          </w:p>
        </w:tc>
      </w:tr>
      <w:tr w14:paraId="13DEFB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4B6EBCDB">
            <w:pPr>
              <w:pStyle w:val="714"/>
              <w:rPr>
                <w:rFonts w:cs="Times New Roman"/>
                <w:color w:val="auto"/>
              </w:rPr>
            </w:pPr>
          </w:p>
        </w:tc>
        <w:tc>
          <w:tcPr>
            <w:tcW w:w="1455" w:type="pct"/>
            <w:vMerge w:val="continue"/>
            <w:tcBorders>
              <w:tl2br w:val="nil"/>
              <w:tr2bl w:val="nil"/>
            </w:tcBorders>
            <w:vAlign w:val="center"/>
          </w:tcPr>
          <w:p w14:paraId="62DCDF25">
            <w:pPr>
              <w:pStyle w:val="714"/>
              <w:rPr>
                <w:rFonts w:cs="Times New Roman"/>
                <w:color w:val="auto"/>
              </w:rPr>
            </w:pPr>
          </w:p>
        </w:tc>
        <w:tc>
          <w:tcPr>
            <w:tcW w:w="1859" w:type="pct"/>
            <w:tcBorders>
              <w:tl2br w:val="nil"/>
              <w:tr2bl w:val="nil"/>
            </w:tcBorders>
            <w:noWrap/>
            <w:vAlign w:val="center"/>
          </w:tcPr>
          <w:p w14:paraId="789FE88D">
            <w:pPr>
              <w:pStyle w:val="714"/>
              <w:rPr>
                <w:rFonts w:cs="Times New Roman"/>
                <w:color w:val="auto"/>
              </w:rPr>
            </w:pPr>
            <w:r>
              <w:rPr>
                <w:rFonts w:cs="Times New Roman"/>
                <w:color w:val="auto"/>
              </w:rPr>
              <w:t>134.152～169.9417</w:t>
            </w:r>
          </w:p>
        </w:tc>
        <w:tc>
          <w:tcPr>
            <w:tcW w:w="780" w:type="pct"/>
            <w:tcBorders>
              <w:tl2br w:val="nil"/>
              <w:tr2bl w:val="nil"/>
            </w:tcBorders>
            <w:noWrap/>
            <w:vAlign w:val="center"/>
          </w:tcPr>
          <w:p w14:paraId="73C2EA6B">
            <w:pPr>
              <w:pStyle w:val="714"/>
              <w:rPr>
                <w:rFonts w:cs="Times New Roman"/>
                <w:color w:val="auto"/>
              </w:rPr>
            </w:pPr>
            <w:r>
              <w:rPr>
                <w:rFonts w:cs="Times New Roman"/>
                <w:color w:val="auto"/>
              </w:rPr>
              <w:t>2</w:t>
            </w:r>
          </w:p>
        </w:tc>
      </w:tr>
      <w:tr w14:paraId="3096B2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restart"/>
            <w:tcBorders>
              <w:tl2br w:val="nil"/>
              <w:tr2bl w:val="nil"/>
            </w:tcBorders>
            <w:noWrap/>
            <w:vAlign w:val="center"/>
          </w:tcPr>
          <w:p w14:paraId="71050D0D">
            <w:pPr>
              <w:pStyle w:val="714"/>
              <w:rPr>
                <w:rFonts w:cs="Times New Roman"/>
                <w:color w:val="auto"/>
              </w:rPr>
            </w:pPr>
            <w:r>
              <w:rPr>
                <w:rFonts w:cs="Times New Roman"/>
                <w:color w:val="auto"/>
              </w:rPr>
              <w:t>裂隙介质</w:t>
            </w:r>
          </w:p>
        </w:tc>
        <w:tc>
          <w:tcPr>
            <w:tcW w:w="1455" w:type="pct"/>
            <w:tcBorders>
              <w:tl2br w:val="nil"/>
              <w:tr2bl w:val="nil"/>
            </w:tcBorders>
            <w:noWrap/>
            <w:vAlign w:val="center"/>
          </w:tcPr>
          <w:p w14:paraId="325ED11E">
            <w:pPr>
              <w:pStyle w:val="714"/>
              <w:rPr>
                <w:rFonts w:cs="Times New Roman"/>
                <w:color w:val="auto"/>
              </w:rPr>
            </w:pPr>
            <w:r>
              <w:rPr>
                <w:rFonts w:cs="Times New Roman"/>
                <w:color w:val="auto"/>
              </w:rPr>
              <w:t>1－10m</w:t>
            </w:r>
          </w:p>
        </w:tc>
        <w:tc>
          <w:tcPr>
            <w:tcW w:w="1859" w:type="pct"/>
            <w:tcBorders>
              <w:tl2br w:val="nil"/>
              <w:tr2bl w:val="nil"/>
            </w:tcBorders>
            <w:noWrap/>
            <w:vAlign w:val="center"/>
          </w:tcPr>
          <w:p w14:paraId="344D1239">
            <w:pPr>
              <w:pStyle w:val="714"/>
              <w:rPr>
                <w:rFonts w:cs="Times New Roman"/>
                <w:color w:val="auto"/>
              </w:rPr>
            </w:pPr>
            <w:r>
              <w:rPr>
                <w:rFonts w:cs="Times New Roman"/>
                <w:color w:val="auto"/>
              </w:rPr>
              <w:t>1.0508～3.0683</w:t>
            </w:r>
          </w:p>
        </w:tc>
        <w:tc>
          <w:tcPr>
            <w:tcW w:w="780" w:type="pct"/>
            <w:tcBorders>
              <w:tl2br w:val="nil"/>
              <w:tr2bl w:val="nil"/>
            </w:tcBorders>
            <w:noWrap/>
            <w:vAlign w:val="center"/>
          </w:tcPr>
          <w:p w14:paraId="05BE7FFF">
            <w:pPr>
              <w:pStyle w:val="714"/>
              <w:rPr>
                <w:rFonts w:cs="Times New Roman"/>
                <w:color w:val="auto"/>
              </w:rPr>
            </w:pPr>
            <w:r>
              <w:rPr>
                <w:rFonts w:cs="Times New Roman"/>
                <w:color w:val="auto"/>
              </w:rPr>
              <w:t>2</w:t>
            </w:r>
          </w:p>
        </w:tc>
      </w:tr>
      <w:tr w14:paraId="30E34C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4E5CFB1A">
            <w:pPr>
              <w:pStyle w:val="714"/>
              <w:rPr>
                <w:rFonts w:cs="Times New Roman"/>
                <w:color w:val="auto"/>
              </w:rPr>
            </w:pPr>
          </w:p>
        </w:tc>
        <w:tc>
          <w:tcPr>
            <w:tcW w:w="1455" w:type="pct"/>
            <w:vMerge w:val="restart"/>
            <w:tcBorders>
              <w:tl2br w:val="nil"/>
              <w:tr2bl w:val="nil"/>
            </w:tcBorders>
            <w:noWrap/>
            <w:vAlign w:val="center"/>
          </w:tcPr>
          <w:p w14:paraId="11A19350">
            <w:pPr>
              <w:pStyle w:val="714"/>
              <w:rPr>
                <w:rFonts w:cs="Times New Roman"/>
                <w:color w:val="auto"/>
              </w:rPr>
            </w:pPr>
            <w:r>
              <w:rPr>
                <w:rFonts w:cs="Times New Roman"/>
                <w:color w:val="auto"/>
              </w:rPr>
              <w:t>10－100m</w:t>
            </w:r>
          </w:p>
        </w:tc>
        <w:tc>
          <w:tcPr>
            <w:tcW w:w="1859" w:type="pct"/>
            <w:tcBorders>
              <w:tl2br w:val="nil"/>
              <w:tr2bl w:val="nil"/>
            </w:tcBorders>
            <w:shd w:val="clear" w:color="auto" w:fill="A5A5A5" w:themeFill="background1" w:themeFillShade="A6"/>
            <w:noWrap/>
            <w:vAlign w:val="center"/>
          </w:tcPr>
          <w:p w14:paraId="36165B85">
            <w:pPr>
              <w:pStyle w:val="714"/>
              <w:rPr>
                <w:rFonts w:cs="Times New Roman"/>
                <w:color w:val="auto"/>
              </w:rPr>
            </w:pPr>
            <w:r>
              <w:rPr>
                <w:rFonts w:cs="Times New Roman"/>
                <w:color w:val="auto"/>
              </w:rPr>
              <w:t>2.0917～5.1098</w:t>
            </w:r>
          </w:p>
        </w:tc>
        <w:tc>
          <w:tcPr>
            <w:tcW w:w="780" w:type="pct"/>
            <w:tcBorders>
              <w:tl2br w:val="nil"/>
              <w:tr2bl w:val="nil"/>
            </w:tcBorders>
            <w:shd w:val="clear" w:color="auto" w:fill="A5A5A5" w:themeFill="background1" w:themeFillShade="A6"/>
            <w:noWrap/>
            <w:vAlign w:val="center"/>
          </w:tcPr>
          <w:p w14:paraId="64334B5C">
            <w:pPr>
              <w:pStyle w:val="714"/>
              <w:rPr>
                <w:rFonts w:cs="Times New Roman"/>
                <w:color w:val="auto"/>
              </w:rPr>
            </w:pPr>
            <w:r>
              <w:rPr>
                <w:rFonts w:cs="Times New Roman"/>
                <w:color w:val="auto"/>
              </w:rPr>
              <w:t>2</w:t>
            </w:r>
          </w:p>
        </w:tc>
      </w:tr>
      <w:tr w14:paraId="52EFC6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68A68770">
            <w:pPr>
              <w:pStyle w:val="714"/>
              <w:rPr>
                <w:rFonts w:cs="Times New Roman"/>
                <w:color w:val="auto"/>
              </w:rPr>
            </w:pPr>
          </w:p>
        </w:tc>
        <w:tc>
          <w:tcPr>
            <w:tcW w:w="1455" w:type="pct"/>
            <w:vMerge w:val="continue"/>
            <w:tcBorders>
              <w:tl2br w:val="nil"/>
              <w:tr2bl w:val="nil"/>
            </w:tcBorders>
            <w:vAlign w:val="center"/>
          </w:tcPr>
          <w:p w14:paraId="6C6756D2">
            <w:pPr>
              <w:pStyle w:val="714"/>
              <w:rPr>
                <w:rFonts w:cs="Times New Roman"/>
                <w:color w:val="auto"/>
              </w:rPr>
            </w:pPr>
          </w:p>
        </w:tc>
        <w:tc>
          <w:tcPr>
            <w:tcW w:w="1859" w:type="pct"/>
            <w:tcBorders>
              <w:tl2br w:val="nil"/>
              <w:tr2bl w:val="nil"/>
            </w:tcBorders>
            <w:shd w:val="clear" w:color="auto" w:fill="auto"/>
            <w:noWrap/>
            <w:vAlign w:val="center"/>
          </w:tcPr>
          <w:p w14:paraId="2439405D">
            <w:pPr>
              <w:pStyle w:val="714"/>
              <w:rPr>
                <w:rFonts w:cs="Times New Roman"/>
                <w:color w:val="auto"/>
              </w:rPr>
            </w:pPr>
            <w:r>
              <w:rPr>
                <w:rFonts w:cs="Times New Roman"/>
                <w:color w:val="auto"/>
              </w:rPr>
              <w:t>10.1836～17.9061</w:t>
            </w:r>
          </w:p>
        </w:tc>
        <w:tc>
          <w:tcPr>
            <w:tcW w:w="780" w:type="pct"/>
            <w:tcBorders>
              <w:tl2br w:val="nil"/>
              <w:tr2bl w:val="nil"/>
            </w:tcBorders>
            <w:shd w:val="clear" w:color="auto" w:fill="auto"/>
            <w:noWrap/>
            <w:vAlign w:val="center"/>
          </w:tcPr>
          <w:p w14:paraId="5436654A">
            <w:pPr>
              <w:pStyle w:val="714"/>
              <w:rPr>
                <w:rFonts w:cs="Times New Roman"/>
                <w:color w:val="auto"/>
              </w:rPr>
            </w:pPr>
            <w:r>
              <w:rPr>
                <w:rFonts w:cs="Times New Roman"/>
                <w:color w:val="auto"/>
              </w:rPr>
              <w:t>4</w:t>
            </w:r>
          </w:p>
        </w:tc>
      </w:tr>
      <w:tr w14:paraId="4963FB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3B15A49C">
            <w:pPr>
              <w:pStyle w:val="714"/>
              <w:rPr>
                <w:rFonts w:cs="Times New Roman"/>
                <w:color w:val="auto"/>
              </w:rPr>
            </w:pPr>
          </w:p>
        </w:tc>
        <w:tc>
          <w:tcPr>
            <w:tcW w:w="1455" w:type="pct"/>
            <w:vMerge w:val="continue"/>
            <w:tcBorders>
              <w:tl2br w:val="nil"/>
              <w:tr2bl w:val="nil"/>
            </w:tcBorders>
            <w:vAlign w:val="center"/>
          </w:tcPr>
          <w:p w14:paraId="5F408A36">
            <w:pPr>
              <w:pStyle w:val="714"/>
              <w:rPr>
                <w:rFonts w:cs="Times New Roman"/>
                <w:color w:val="auto"/>
              </w:rPr>
            </w:pPr>
          </w:p>
        </w:tc>
        <w:tc>
          <w:tcPr>
            <w:tcW w:w="1859" w:type="pct"/>
            <w:tcBorders>
              <w:tl2br w:val="nil"/>
              <w:tr2bl w:val="nil"/>
            </w:tcBorders>
            <w:noWrap/>
            <w:vAlign w:val="center"/>
          </w:tcPr>
          <w:p w14:paraId="1448F4F6">
            <w:pPr>
              <w:pStyle w:val="714"/>
              <w:rPr>
                <w:rFonts w:cs="Times New Roman"/>
                <w:color w:val="auto"/>
              </w:rPr>
            </w:pPr>
            <w:r>
              <w:rPr>
                <w:rFonts w:cs="Times New Roman"/>
                <w:color w:val="auto"/>
              </w:rPr>
              <w:t>30.7468～60.8415</w:t>
            </w:r>
          </w:p>
        </w:tc>
        <w:tc>
          <w:tcPr>
            <w:tcW w:w="780" w:type="pct"/>
            <w:tcBorders>
              <w:tl2br w:val="nil"/>
              <w:tr2bl w:val="nil"/>
            </w:tcBorders>
            <w:noWrap/>
            <w:vAlign w:val="center"/>
          </w:tcPr>
          <w:p w14:paraId="6BAD78F5">
            <w:pPr>
              <w:pStyle w:val="714"/>
              <w:rPr>
                <w:rFonts w:cs="Times New Roman"/>
                <w:color w:val="auto"/>
              </w:rPr>
            </w:pPr>
            <w:r>
              <w:rPr>
                <w:rFonts w:cs="Times New Roman"/>
                <w:color w:val="auto"/>
              </w:rPr>
              <w:t>2</w:t>
            </w:r>
          </w:p>
        </w:tc>
      </w:tr>
      <w:tr w14:paraId="0C8CD9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0A2C376B">
            <w:pPr>
              <w:pStyle w:val="714"/>
              <w:rPr>
                <w:rFonts w:cs="Times New Roman"/>
                <w:color w:val="auto"/>
              </w:rPr>
            </w:pPr>
          </w:p>
        </w:tc>
        <w:tc>
          <w:tcPr>
            <w:tcW w:w="1455" w:type="pct"/>
            <w:vMerge w:val="restart"/>
            <w:tcBorders>
              <w:tl2br w:val="nil"/>
              <w:tr2bl w:val="nil"/>
            </w:tcBorders>
            <w:noWrap/>
            <w:vAlign w:val="center"/>
          </w:tcPr>
          <w:p w14:paraId="1F718BA5">
            <w:pPr>
              <w:pStyle w:val="714"/>
              <w:rPr>
                <w:rFonts w:cs="Times New Roman"/>
                <w:color w:val="auto"/>
              </w:rPr>
            </w:pPr>
            <w:r>
              <w:rPr>
                <w:rFonts w:cs="Times New Roman"/>
                <w:color w:val="auto"/>
              </w:rPr>
              <w:t>100－1000m</w:t>
            </w:r>
          </w:p>
        </w:tc>
        <w:tc>
          <w:tcPr>
            <w:tcW w:w="1859" w:type="pct"/>
            <w:tcBorders>
              <w:tl2br w:val="nil"/>
              <w:tr2bl w:val="nil"/>
            </w:tcBorders>
            <w:noWrap/>
            <w:vAlign w:val="center"/>
          </w:tcPr>
          <w:p w14:paraId="05131E4F">
            <w:pPr>
              <w:pStyle w:val="714"/>
              <w:rPr>
                <w:rFonts w:cs="Times New Roman"/>
                <w:color w:val="auto"/>
              </w:rPr>
            </w:pPr>
            <w:r>
              <w:rPr>
                <w:rFonts w:cs="Times New Roman"/>
                <w:color w:val="auto"/>
              </w:rPr>
              <w:t>5.43～12.517</w:t>
            </w:r>
          </w:p>
        </w:tc>
        <w:tc>
          <w:tcPr>
            <w:tcW w:w="780" w:type="pct"/>
            <w:tcBorders>
              <w:tl2br w:val="nil"/>
              <w:tr2bl w:val="nil"/>
            </w:tcBorders>
            <w:noWrap/>
            <w:vAlign w:val="center"/>
          </w:tcPr>
          <w:p w14:paraId="4CF06488">
            <w:pPr>
              <w:pStyle w:val="714"/>
              <w:rPr>
                <w:rFonts w:cs="Times New Roman"/>
                <w:color w:val="auto"/>
              </w:rPr>
            </w:pPr>
            <w:r>
              <w:rPr>
                <w:rFonts w:cs="Times New Roman"/>
                <w:color w:val="auto"/>
              </w:rPr>
              <w:t>3</w:t>
            </w:r>
          </w:p>
        </w:tc>
      </w:tr>
      <w:tr w14:paraId="26E3A7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4" w:type="pct"/>
            <w:vMerge w:val="continue"/>
            <w:tcBorders>
              <w:tl2br w:val="nil"/>
              <w:tr2bl w:val="nil"/>
            </w:tcBorders>
            <w:vAlign w:val="center"/>
          </w:tcPr>
          <w:p w14:paraId="13FBA116">
            <w:pPr>
              <w:pStyle w:val="714"/>
              <w:rPr>
                <w:rFonts w:cs="Times New Roman"/>
                <w:color w:val="auto"/>
              </w:rPr>
            </w:pPr>
          </w:p>
        </w:tc>
        <w:tc>
          <w:tcPr>
            <w:tcW w:w="1455" w:type="pct"/>
            <w:vMerge w:val="continue"/>
            <w:tcBorders>
              <w:tl2br w:val="nil"/>
              <w:tr2bl w:val="nil"/>
            </w:tcBorders>
            <w:vAlign w:val="center"/>
          </w:tcPr>
          <w:p w14:paraId="440E60DD">
            <w:pPr>
              <w:pStyle w:val="714"/>
              <w:rPr>
                <w:rFonts w:cs="Times New Roman"/>
                <w:color w:val="auto"/>
              </w:rPr>
            </w:pPr>
          </w:p>
        </w:tc>
        <w:tc>
          <w:tcPr>
            <w:tcW w:w="1859" w:type="pct"/>
            <w:tcBorders>
              <w:tl2br w:val="nil"/>
              <w:tr2bl w:val="nil"/>
            </w:tcBorders>
            <w:noWrap/>
            <w:vAlign w:val="center"/>
          </w:tcPr>
          <w:p w14:paraId="621B3AFD">
            <w:pPr>
              <w:pStyle w:val="714"/>
              <w:rPr>
                <w:rFonts w:cs="Times New Roman"/>
                <w:color w:val="auto"/>
              </w:rPr>
            </w:pPr>
            <w:r>
              <w:rPr>
                <w:rFonts w:cs="Times New Roman"/>
                <w:color w:val="auto"/>
              </w:rPr>
              <w:t>101.00</w:t>
            </w:r>
          </w:p>
        </w:tc>
        <w:tc>
          <w:tcPr>
            <w:tcW w:w="780" w:type="pct"/>
            <w:tcBorders>
              <w:tl2br w:val="nil"/>
              <w:tr2bl w:val="nil"/>
            </w:tcBorders>
            <w:noWrap/>
            <w:vAlign w:val="center"/>
          </w:tcPr>
          <w:p w14:paraId="2F92DBF6">
            <w:pPr>
              <w:pStyle w:val="714"/>
              <w:rPr>
                <w:rFonts w:cs="Times New Roman"/>
                <w:color w:val="auto"/>
              </w:rPr>
            </w:pPr>
            <w:r>
              <w:rPr>
                <w:rFonts w:cs="Times New Roman"/>
                <w:color w:val="auto"/>
              </w:rPr>
              <w:t>1</w:t>
            </w:r>
          </w:p>
        </w:tc>
      </w:tr>
    </w:tbl>
    <w:p w14:paraId="5C6CE72F">
      <w:pPr>
        <w:bidi w:val="0"/>
        <w:rPr>
          <w:rFonts w:hint="default" w:ascii="Times New Roman" w:hAnsi="Times New Roman" w:cs="Times New Roman"/>
          <w:color w:val="auto"/>
        </w:rPr>
      </w:pPr>
      <w:r>
        <w:rPr>
          <w:rFonts w:hint="default" w:ascii="Times New Roman" w:hAnsi="Times New Roman" w:cs="Times New Roman"/>
          <w:color w:val="auto"/>
        </w:rPr>
        <w:t>通过模型试算发现，本项目发生非正常状况，污染物在含水层中的迁移范围为10</w:t>
      </w:r>
      <w:r>
        <w:rPr>
          <w:rFonts w:hint="default" w:ascii="Times New Roman" w:hAnsi="Times New Roman" w:cs="Times New Roman"/>
          <w:color w:val="auto"/>
          <w:vertAlign w:val="superscript"/>
        </w:rPr>
        <w:t>1</w:t>
      </w:r>
      <w:r>
        <w:rPr>
          <w:rFonts w:hint="default" w:ascii="Times New Roman" w:hAnsi="Times New Roman" w:cs="Times New Roman"/>
          <w:color w:val="auto"/>
        </w:rPr>
        <w:t>～10</w:t>
      </w:r>
      <w:r>
        <w:rPr>
          <w:rFonts w:hint="default" w:ascii="Times New Roman" w:hAnsi="Times New Roman" w:cs="Times New Roman"/>
          <w:color w:val="auto"/>
          <w:vertAlign w:val="superscript"/>
        </w:rPr>
        <w:t>2</w:t>
      </w:r>
      <w:r>
        <w:rPr>
          <w:rFonts w:hint="default" w:ascii="Times New Roman" w:hAnsi="Times New Roman" w:cs="Times New Roman"/>
          <w:color w:val="auto"/>
        </w:rPr>
        <w:t>m量级，考虑污染物在松散岩类孔隙含水层介质的迁移尺度，依据表6.3-4，将模拟区第四系松散岩类含水层弥散度设置为9 m，裂隙含水层弥散度设置为5 m。</w:t>
      </w:r>
    </w:p>
    <w:p w14:paraId="7BA25FD1">
      <w:pPr>
        <w:ind w:firstLine="480"/>
        <w:rPr>
          <w:rFonts w:hint="default" w:ascii="Times New Roman" w:hAnsi="Times New Roman" w:cs="Times New Roman"/>
          <w:color w:val="auto"/>
        </w:rPr>
      </w:pPr>
      <w:r>
        <w:rPr>
          <w:rFonts w:hint="default" w:ascii="Times New Roman" w:hAnsi="Times New Roman" w:cs="Times New Roman"/>
          <w:color w:val="auto"/>
        </w:rPr>
        <w:t xml:space="preserve">根据渗流场数值模拟结果，第四系松散岩类含水层渗流速度约为0.93 m/d，其纵向弥散系数取8.37 </w:t>
      </w:r>
      <w:r>
        <w:rPr>
          <w:rFonts w:hint="eastAsia" w:cs="Times New Roman"/>
          <w:color w:val="auto"/>
          <w:lang w:eastAsia="zh-CN"/>
        </w:rPr>
        <w:t>m²</w:t>
      </w:r>
      <w:r>
        <w:rPr>
          <w:rFonts w:hint="default" w:ascii="Times New Roman" w:hAnsi="Times New Roman" w:cs="Times New Roman"/>
          <w:color w:val="auto"/>
        </w:rPr>
        <w:t xml:space="preserve">/d；裂隙含水层渗流速度约为0.52 m/d，其纵向弥散系数取2.6 </w:t>
      </w:r>
      <w:r>
        <w:rPr>
          <w:rFonts w:hint="eastAsia" w:cs="Times New Roman"/>
          <w:color w:val="auto"/>
          <w:lang w:eastAsia="zh-CN"/>
        </w:rPr>
        <w:t>m²</w:t>
      </w:r>
      <w:r>
        <w:rPr>
          <w:rFonts w:hint="default" w:ascii="Times New Roman" w:hAnsi="Times New Roman" w:cs="Times New Roman"/>
          <w:color w:val="auto"/>
        </w:rPr>
        <w:t>/d。</w:t>
      </w:r>
    </w:p>
    <w:p w14:paraId="5CBDFB6E">
      <w:pPr>
        <w:ind w:firstLine="480"/>
        <w:rPr>
          <w:rFonts w:cs="Times New Roman"/>
          <w:color w:val="auto"/>
        </w:rPr>
      </w:pPr>
      <w:r>
        <w:rPr>
          <w:rFonts w:cs="Times New Roman"/>
          <w:color w:val="auto"/>
        </w:rPr>
        <w:t>5）初始渗流场模拟结果及校验</w:t>
      </w:r>
    </w:p>
    <w:p w14:paraId="68B2086F">
      <w:pPr>
        <w:ind w:firstLine="480"/>
        <w:rPr>
          <w:rFonts w:cs="Times New Roman"/>
          <w:color w:val="auto"/>
        </w:rPr>
      </w:pPr>
      <w:r>
        <w:rPr>
          <w:rFonts w:cs="Times New Roman"/>
          <w:color w:val="auto"/>
        </w:rPr>
        <w:t>按照前述建立的数值模型、边界条件和计算参数，以稳定流模型运行得到的流场作为初始渗流场，见图</w:t>
      </w:r>
      <w:r>
        <w:rPr>
          <w:rFonts w:hint="eastAsia" w:cs="Times New Roman"/>
          <w:color w:val="auto"/>
          <w:lang w:val="en-US" w:eastAsia="zh-CN"/>
        </w:rPr>
        <w:t>4.2</w:t>
      </w:r>
      <w:r>
        <w:rPr>
          <w:rFonts w:cs="Times New Roman"/>
          <w:color w:val="auto"/>
        </w:rPr>
        <w:t>-</w:t>
      </w:r>
      <w:r>
        <w:rPr>
          <w:rFonts w:hint="eastAsia" w:cs="Times New Roman"/>
          <w:color w:val="auto"/>
          <w:lang w:val="en-US" w:eastAsia="zh-CN"/>
        </w:rPr>
        <w:t>9</w:t>
      </w:r>
      <w:r>
        <w:rPr>
          <w:rFonts w:cs="Times New Roman"/>
          <w:color w:val="auto"/>
        </w:rPr>
        <w:t>。</w:t>
      </w:r>
    </w:p>
    <w:p w14:paraId="3C7E7581">
      <w:pPr>
        <w:ind w:firstLine="480"/>
        <w:rPr>
          <w:rFonts w:hint="default" w:ascii="Times New Roman" w:hAnsi="Times New Roman" w:cs="Times New Roman"/>
          <w:color w:val="auto"/>
        </w:rPr>
      </w:pPr>
      <w:r>
        <w:rPr>
          <w:rFonts w:hint="default" w:ascii="Times New Roman" w:hAnsi="Times New Roman" w:cs="Times New Roman"/>
          <w:color w:val="auto"/>
        </w:rPr>
        <w:t>根据模拟结果，本项目评价区地表水体及水文地质条件控制，模拟区内地下水由北西向南东径流，这与本项目评价区水文地质条件基本相符。根据本项目区内居民井水位观测资料，选取1#～9#等9个监测点丰水期水位对模型进行校验。各校验井实测水位介于328.57～340.12m，模拟水位介于328.74～340.40m，模拟水位与实测水位相差0.08～2.18 m。采用均方差分析本次模拟结果，模拟水位与统计水位差的均方差为0.422，实测值与模拟计算值偏移波动较小，利用此模型计算所得流场作为项目区初始渗流场基本合理，可用于污染物迁移模拟计算。</w:t>
      </w:r>
    </w:p>
    <w:tbl>
      <w:tblPr>
        <w:tblStyle w:val="5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14:paraId="2416E5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8" w:type="dxa"/>
          </w:tcPr>
          <w:p w14:paraId="4B895469">
            <w:pPr>
              <w:pStyle w:val="714"/>
              <w:widowControl w:val="0"/>
              <w:rPr>
                <w:rFonts w:cs="Times New Roman"/>
                <w:color w:val="auto"/>
              </w:rPr>
            </w:pPr>
            <w:r>
              <w:rPr>
                <w:rFonts w:cs="Times New Roman"/>
                <w:color w:val="auto"/>
              </w:rPr>
              <w:drawing>
                <wp:inline distT="0" distB="0" distL="0" distR="0">
                  <wp:extent cx="4708525" cy="5529580"/>
                  <wp:effectExtent l="0" t="0" r="15875" b="13970"/>
                  <wp:docPr id="18092708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70825" name="图片 12"/>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4708525" cy="5529580"/>
                          </a:xfrm>
                          <a:prstGeom prst="rect">
                            <a:avLst/>
                          </a:prstGeom>
                        </pic:spPr>
                      </pic:pic>
                    </a:graphicData>
                  </a:graphic>
                </wp:inline>
              </w:drawing>
            </w:r>
          </w:p>
        </w:tc>
      </w:tr>
      <w:tr w14:paraId="796BB2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8" w:type="dxa"/>
          </w:tcPr>
          <w:p w14:paraId="302AED8C">
            <w:pPr>
              <w:pStyle w:val="713"/>
              <w:widowControl w:val="0"/>
              <w:rPr>
                <w:rFonts w:cs="Times New Roman"/>
                <w:color w:val="auto"/>
              </w:rPr>
            </w:pPr>
            <w:r>
              <w:rPr>
                <w:rFonts w:cs="Times New Roman"/>
                <w:color w:val="auto"/>
              </w:rPr>
              <w:t>图</w:t>
            </w:r>
            <w:r>
              <w:rPr>
                <w:rFonts w:hint="eastAsia" w:cs="Times New Roman"/>
                <w:color w:val="auto"/>
                <w:lang w:val="en-US" w:eastAsia="zh-CN"/>
              </w:rPr>
              <w:t>4.2</w:t>
            </w:r>
            <w:r>
              <w:rPr>
                <w:rFonts w:cs="Times New Roman"/>
                <w:color w:val="auto"/>
              </w:rPr>
              <w:t>-</w:t>
            </w:r>
            <w:r>
              <w:rPr>
                <w:rFonts w:hint="eastAsia" w:cs="Times New Roman"/>
                <w:color w:val="auto"/>
                <w:lang w:val="en-US" w:eastAsia="zh-CN"/>
              </w:rPr>
              <w:t>9</w:t>
            </w:r>
            <w:r>
              <w:rPr>
                <w:rFonts w:cs="Times New Roman"/>
                <w:color w:val="auto"/>
              </w:rPr>
              <w:t xml:space="preserve">  初始渗流场模拟结果（单位：m）</w:t>
            </w:r>
          </w:p>
        </w:tc>
      </w:tr>
    </w:tbl>
    <w:p w14:paraId="4EC61B36">
      <w:pPr>
        <w:pStyle w:val="19"/>
        <w:numPr>
          <w:ilvl w:val="0"/>
          <w:numId w:val="31"/>
        </w:numPr>
        <w:bidi w:val="0"/>
        <w:ind w:left="1440" w:leftChars="0" w:firstLine="0" w:firstLineChars="0"/>
        <w:rPr>
          <w:rFonts w:cs="Times New Roman"/>
          <w:color w:val="auto"/>
        </w:rPr>
      </w:pPr>
      <w:r>
        <w:rPr>
          <w:rFonts w:cs="Times New Roman"/>
          <w:color w:val="auto"/>
        </w:rPr>
        <w:t>初始渗流场模拟与监测井实测值比对结果（单位：m）</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66"/>
        <w:gridCol w:w="660"/>
        <w:gridCol w:w="634"/>
        <w:gridCol w:w="634"/>
        <w:gridCol w:w="670"/>
        <w:gridCol w:w="665"/>
        <w:gridCol w:w="849"/>
        <w:gridCol w:w="807"/>
        <w:gridCol w:w="838"/>
        <w:gridCol w:w="914"/>
      </w:tblGrid>
      <w:tr w14:paraId="728057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8" w:type="pct"/>
            <w:tcBorders>
              <w:tl2br w:val="nil"/>
              <w:tr2bl w:val="nil"/>
            </w:tcBorders>
            <w:shd w:val="clear" w:color="auto" w:fill="auto"/>
            <w:tcMar>
              <w:left w:w="28" w:type="dxa"/>
              <w:right w:w="28" w:type="dxa"/>
            </w:tcMar>
            <w:vAlign w:val="center"/>
          </w:tcPr>
          <w:p w14:paraId="4446BA61">
            <w:pPr>
              <w:pStyle w:val="16"/>
              <w:bidi w:val="0"/>
              <w:rPr>
                <w:b/>
                <w:bCs/>
                <w:color w:val="auto"/>
              </w:rPr>
            </w:pPr>
            <w:r>
              <w:rPr>
                <w:b/>
                <w:bCs/>
                <w:color w:val="auto"/>
              </w:rPr>
              <w:t>观测点编号</w:t>
            </w:r>
          </w:p>
        </w:tc>
        <w:tc>
          <w:tcPr>
            <w:tcW w:w="393" w:type="pct"/>
            <w:tcBorders>
              <w:tl2br w:val="nil"/>
              <w:tr2bl w:val="nil"/>
            </w:tcBorders>
            <w:shd w:val="clear" w:color="auto" w:fill="auto"/>
            <w:noWrap/>
            <w:tcMar>
              <w:left w:w="28" w:type="dxa"/>
              <w:right w:w="28" w:type="dxa"/>
            </w:tcMar>
            <w:vAlign w:val="center"/>
          </w:tcPr>
          <w:p w14:paraId="199D83C1">
            <w:pPr>
              <w:pStyle w:val="16"/>
              <w:bidi w:val="0"/>
              <w:rPr>
                <w:b/>
                <w:bCs/>
                <w:color w:val="auto"/>
              </w:rPr>
            </w:pPr>
            <w:r>
              <w:rPr>
                <w:b/>
                <w:bCs/>
                <w:color w:val="auto"/>
              </w:rPr>
              <w:t>1#</w:t>
            </w:r>
          </w:p>
        </w:tc>
        <w:tc>
          <w:tcPr>
            <w:tcW w:w="373" w:type="pct"/>
            <w:tcBorders>
              <w:tl2br w:val="nil"/>
              <w:tr2bl w:val="nil"/>
            </w:tcBorders>
            <w:shd w:val="clear" w:color="auto" w:fill="auto"/>
            <w:noWrap/>
            <w:tcMar>
              <w:left w:w="28" w:type="dxa"/>
              <w:right w:w="28" w:type="dxa"/>
            </w:tcMar>
            <w:vAlign w:val="center"/>
          </w:tcPr>
          <w:p w14:paraId="194446D7">
            <w:pPr>
              <w:pStyle w:val="16"/>
              <w:bidi w:val="0"/>
              <w:rPr>
                <w:b/>
                <w:bCs/>
                <w:color w:val="auto"/>
              </w:rPr>
            </w:pPr>
            <w:r>
              <w:rPr>
                <w:b/>
                <w:bCs/>
                <w:color w:val="auto"/>
              </w:rPr>
              <w:t>2#</w:t>
            </w:r>
          </w:p>
        </w:tc>
        <w:tc>
          <w:tcPr>
            <w:tcW w:w="364" w:type="pct"/>
            <w:tcBorders>
              <w:tl2br w:val="nil"/>
              <w:tr2bl w:val="nil"/>
            </w:tcBorders>
            <w:shd w:val="clear" w:color="auto" w:fill="auto"/>
            <w:noWrap/>
            <w:tcMar>
              <w:left w:w="28" w:type="dxa"/>
              <w:right w:w="28" w:type="dxa"/>
            </w:tcMar>
            <w:vAlign w:val="center"/>
          </w:tcPr>
          <w:p w14:paraId="67E1FC89">
            <w:pPr>
              <w:pStyle w:val="16"/>
              <w:bidi w:val="0"/>
              <w:rPr>
                <w:b/>
                <w:bCs/>
                <w:color w:val="auto"/>
              </w:rPr>
            </w:pPr>
            <w:r>
              <w:rPr>
                <w:b/>
                <w:bCs/>
                <w:color w:val="auto"/>
              </w:rPr>
              <w:t>3#</w:t>
            </w:r>
          </w:p>
        </w:tc>
        <w:tc>
          <w:tcPr>
            <w:tcW w:w="399" w:type="pct"/>
            <w:tcBorders>
              <w:tl2br w:val="nil"/>
              <w:tr2bl w:val="nil"/>
            </w:tcBorders>
            <w:shd w:val="clear" w:color="auto" w:fill="auto"/>
            <w:noWrap/>
            <w:tcMar>
              <w:left w:w="28" w:type="dxa"/>
              <w:right w:w="28" w:type="dxa"/>
            </w:tcMar>
            <w:vAlign w:val="center"/>
          </w:tcPr>
          <w:p w14:paraId="7CD88A9C">
            <w:pPr>
              <w:pStyle w:val="16"/>
              <w:bidi w:val="0"/>
              <w:rPr>
                <w:b/>
                <w:bCs/>
                <w:color w:val="auto"/>
              </w:rPr>
            </w:pPr>
            <w:r>
              <w:rPr>
                <w:b/>
                <w:bCs/>
                <w:color w:val="auto"/>
              </w:rPr>
              <w:t>4#</w:t>
            </w:r>
          </w:p>
        </w:tc>
        <w:tc>
          <w:tcPr>
            <w:tcW w:w="396" w:type="pct"/>
            <w:tcBorders>
              <w:tl2br w:val="nil"/>
              <w:tr2bl w:val="nil"/>
            </w:tcBorders>
            <w:shd w:val="clear" w:color="auto" w:fill="auto"/>
            <w:noWrap/>
            <w:tcMar>
              <w:left w:w="28" w:type="dxa"/>
              <w:right w:w="28" w:type="dxa"/>
            </w:tcMar>
            <w:vAlign w:val="center"/>
          </w:tcPr>
          <w:p w14:paraId="7A9303CC">
            <w:pPr>
              <w:pStyle w:val="16"/>
              <w:bidi w:val="0"/>
              <w:rPr>
                <w:b/>
                <w:bCs/>
                <w:color w:val="auto"/>
              </w:rPr>
            </w:pPr>
            <w:r>
              <w:rPr>
                <w:b/>
                <w:bCs/>
                <w:color w:val="auto"/>
              </w:rPr>
              <w:t>5#</w:t>
            </w:r>
          </w:p>
        </w:tc>
        <w:tc>
          <w:tcPr>
            <w:tcW w:w="505" w:type="pct"/>
            <w:tcBorders>
              <w:tl2br w:val="nil"/>
              <w:tr2bl w:val="nil"/>
            </w:tcBorders>
            <w:vAlign w:val="center"/>
          </w:tcPr>
          <w:p w14:paraId="63B62009">
            <w:pPr>
              <w:pStyle w:val="16"/>
              <w:bidi w:val="0"/>
              <w:rPr>
                <w:b/>
                <w:bCs/>
                <w:color w:val="auto"/>
              </w:rPr>
            </w:pPr>
            <w:r>
              <w:rPr>
                <w:b/>
                <w:bCs/>
                <w:color w:val="auto"/>
              </w:rPr>
              <w:t>6#</w:t>
            </w:r>
          </w:p>
        </w:tc>
        <w:tc>
          <w:tcPr>
            <w:tcW w:w="480" w:type="pct"/>
            <w:tcBorders>
              <w:tl2br w:val="nil"/>
              <w:tr2bl w:val="nil"/>
            </w:tcBorders>
            <w:vAlign w:val="center"/>
          </w:tcPr>
          <w:p w14:paraId="3307B632">
            <w:pPr>
              <w:pStyle w:val="16"/>
              <w:bidi w:val="0"/>
              <w:rPr>
                <w:b/>
                <w:bCs/>
                <w:color w:val="auto"/>
              </w:rPr>
            </w:pPr>
            <w:r>
              <w:rPr>
                <w:b/>
                <w:bCs/>
                <w:color w:val="auto"/>
              </w:rPr>
              <w:t>7#</w:t>
            </w:r>
          </w:p>
        </w:tc>
        <w:tc>
          <w:tcPr>
            <w:tcW w:w="498" w:type="pct"/>
            <w:tcBorders>
              <w:tl2br w:val="nil"/>
              <w:tr2bl w:val="nil"/>
            </w:tcBorders>
            <w:vAlign w:val="center"/>
          </w:tcPr>
          <w:p w14:paraId="22ECBE8C">
            <w:pPr>
              <w:pStyle w:val="16"/>
              <w:bidi w:val="0"/>
              <w:rPr>
                <w:b/>
                <w:bCs/>
                <w:color w:val="auto"/>
              </w:rPr>
            </w:pPr>
            <w:r>
              <w:rPr>
                <w:b/>
                <w:bCs/>
                <w:color w:val="auto"/>
              </w:rPr>
              <w:t>8#</w:t>
            </w:r>
          </w:p>
        </w:tc>
        <w:tc>
          <w:tcPr>
            <w:tcW w:w="540" w:type="pct"/>
            <w:tcBorders>
              <w:tl2br w:val="nil"/>
              <w:tr2bl w:val="nil"/>
            </w:tcBorders>
            <w:vAlign w:val="center"/>
          </w:tcPr>
          <w:p w14:paraId="6BB20C15">
            <w:pPr>
              <w:pStyle w:val="16"/>
              <w:bidi w:val="0"/>
              <w:rPr>
                <w:b/>
                <w:bCs/>
                <w:color w:val="auto"/>
              </w:rPr>
            </w:pPr>
            <w:r>
              <w:rPr>
                <w:b/>
                <w:bCs/>
                <w:color w:val="auto"/>
              </w:rPr>
              <w:t>9#</w:t>
            </w:r>
          </w:p>
        </w:tc>
      </w:tr>
      <w:tr w14:paraId="6E15EB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8" w:type="pct"/>
            <w:tcBorders>
              <w:tl2br w:val="nil"/>
              <w:tr2bl w:val="nil"/>
            </w:tcBorders>
            <w:shd w:val="clear" w:color="auto" w:fill="auto"/>
            <w:tcMar>
              <w:left w:w="28" w:type="dxa"/>
              <w:right w:w="28" w:type="dxa"/>
            </w:tcMar>
            <w:vAlign w:val="center"/>
          </w:tcPr>
          <w:p w14:paraId="0CFE1EAB">
            <w:pPr>
              <w:pStyle w:val="16"/>
              <w:bidi w:val="0"/>
              <w:rPr>
                <w:color w:val="auto"/>
              </w:rPr>
            </w:pPr>
            <w:r>
              <w:rPr>
                <w:color w:val="auto"/>
              </w:rPr>
              <w:t>居民井水位高程实测值a</w:t>
            </w:r>
          </w:p>
        </w:tc>
        <w:tc>
          <w:tcPr>
            <w:tcW w:w="393" w:type="pct"/>
            <w:tcBorders>
              <w:tl2br w:val="nil"/>
              <w:tr2bl w:val="nil"/>
            </w:tcBorders>
            <w:shd w:val="clear" w:color="auto" w:fill="auto"/>
            <w:noWrap/>
            <w:tcMar>
              <w:left w:w="28" w:type="dxa"/>
              <w:right w:w="28" w:type="dxa"/>
            </w:tcMar>
            <w:vAlign w:val="center"/>
          </w:tcPr>
          <w:p w14:paraId="0B3FCC4A">
            <w:pPr>
              <w:pStyle w:val="16"/>
              <w:bidi w:val="0"/>
              <w:rPr>
                <w:color w:val="auto"/>
              </w:rPr>
            </w:pPr>
            <w:r>
              <w:rPr>
                <w:color w:val="auto"/>
              </w:rPr>
              <w:t>333.</w:t>
            </w:r>
            <w:r>
              <w:rPr>
                <w:rFonts w:hint="eastAsia"/>
                <w:color w:val="auto"/>
              </w:rPr>
              <w:t>26</w:t>
            </w:r>
            <w:r>
              <w:rPr>
                <w:color w:val="auto"/>
              </w:rPr>
              <w:t xml:space="preserve"> </w:t>
            </w:r>
          </w:p>
        </w:tc>
        <w:tc>
          <w:tcPr>
            <w:tcW w:w="373" w:type="pct"/>
            <w:tcBorders>
              <w:tl2br w:val="nil"/>
              <w:tr2bl w:val="nil"/>
            </w:tcBorders>
            <w:shd w:val="clear" w:color="auto" w:fill="auto"/>
            <w:noWrap/>
            <w:tcMar>
              <w:left w:w="28" w:type="dxa"/>
              <w:right w:w="28" w:type="dxa"/>
            </w:tcMar>
            <w:vAlign w:val="center"/>
          </w:tcPr>
          <w:p w14:paraId="3321B3D7">
            <w:pPr>
              <w:pStyle w:val="16"/>
              <w:bidi w:val="0"/>
              <w:rPr>
                <w:color w:val="auto"/>
              </w:rPr>
            </w:pPr>
            <w:r>
              <w:rPr>
                <w:color w:val="auto"/>
              </w:rPr>
              <w:t xml:space="preserve">340.12 </w:t>
            </w:r>
          </w:p>
        </w:tc>
        <w:tc>
          <w:tcPr>
            <w:tcW w:w="364" w:type="pct"/>
            <w:tcBorders>
              <w:tl2br w:val="nil"/>
              <w:tr2bl w:val="nil"/>
            </w:tcBorders>
            <w:shd w:val="clear" w:color="auto" w:fill="auto"/>
            <w:noWrap/>
            <w:tcMar>
              <w:left w:w="28" w:type="dxa"/>
              <w:right w:w="28" w:type="dxa"/>
            </w:tcMar>
            <w:vAlign w:val="center"/>
          </w:tcPr>
          <w:p w14:paraId="7F11E577">
            <w:pPr>
              <w:pStyle w:val="16"/>
              <w:bidi w:val="0"/>
              <w:rPr>
                <w:color w:val="auto"/>
              </w:rPr>
            </w:pPr>
            <w:r>
              <w:rPr>
                <w:color w:val="auto"/>
              </w:rPr>
              <w:t xml:space="preserve">336.66 </w:t>
            </w:r>
          </w:p>
        </w:tc>
        <w:tc>
          <w:tcPr>
            <w:tcW w:w="399" w:type="pct"/>
            <w:tcBorders>
              <w:tl2br w:val="nil"/>
              <w:tr2bl w:val="nil"/>
            </w:tcBorders>
            <w:shd w:val="clear" w:color="auto" w:fill="auto"/>
            <w:noWrap/>
            <w:tcMar>
              <w:left w:w="28" w:type="dxa"/>
              <w:right w:w="28" w:type="dxa"/>
            </w:tcMar>
            <w:vAlign w:val="center"/>
          </w:tcPr>
          <w:p w14:paraId="49E4F9CB">
            <w:pPr>
              <w:pStyle w:val="16"/>
              <w:bidi w:val="0"/>
              <w:rPr>
                <w:color w:val="auto"/>
              </w:rPr>
            </w:pPr>
            <w:r>
              <w:rPr>
                <w:color w:val="auto"/>
              </w:rPr>
              <w:t xml:space="preserve">332.24 </w:t>
            </w:r>
          </w:p>
        </w:tc>
        <w:tc>
          <w:tcPr>
            <w:tcW w:w="396" w:type="pct"/>
            <w:tcBorders>
              <w:tl2br w:val="nil"/>
              <w:tr2bl w:val="nil"/>
            </w:tcBorders>
            <w:shd w:val="clear" w:color="auto" w:fill="auto"/>
            <w:noWrap/>
            <w:tcMar>
              <w:left w:w="28" w:type="dxa"/>
              <w:right w:w="28" w:type="dxa"/>
            </w:tcMar>
            <w:vAlign w:val="center"/>
          </w:tcPr>
          <w:p w14:paraId="27B69F0A">
            <w:pPr>
              <w:pStyle w:val="16"/>
              <w:bidi w:val="0"/>
              <w:rPr>
                <w:color w:val="auto"/>
              </w:rPr>
            </w:pPr>
            <w:r>
              <w:rPr>
                <w:color w:val="auto"/>
              </w:rPr>
              <w:t xml:space="preserve">328.57 </w:t>
            </w:r>
          </w:p>
        </w:tc>
        <w:tc>
          <w:tcPr>
            <w:tcW w:w="505" w:type="pct"/>
            <w:tcBorders>
              <w:tl2br w:val="nil"/>
              <w:tr2bl w:val="nil"/>
            </w:tcBorders>
            <w:vAlign w:val="center"/>
          </w:tcPr>
          <w:p w14:paraId="0CDD20AA">
            <w:pPr>
              <w:pStyle w:val="16"/>
              <w:bidi w:val="0"/>
              <w:rPr>
                <w:color w:val="auto"/>
              </w:rPr>
            </w:pPr>
            <w:r>
              <w:rPr>
                <w:color w:val="auto"/>
              </w:rPr>
              <w:t>334.39</w:t>
            </w:r>
          </w:p>
        </w:tc>
        <w:tc>
          <w:tcPr>
            <w:tcW w:w="480" w:type="pct"/>
            <w:tcBorders>
              <w:tl2br w:val="nil"/>
              <w:tr2bl w:val="nil"/>
            </w:tcBorders>
            <w:vAlign w:val="center"/>
          </w:tcPr>
          <w:p w14:paraId="4D581391">
            <w:pPr>
              <w:pStyle w:val="16"/>
              <w:bidi w:val="0"/>
              <w:rPr>
                <w:color w:val="auto"/>
              </w:rPr>
            </w:pPr>
            <w:r>
              <w:rPr>
                <w:color w:val="auto"/>
              </w:rPr>
              <w:t>330.84</w:t>
            </w:r>
          </w:p>
        </w:tc>
        <w:tc>
          <w:tcPr>
            <w:tcW w:w="498" w:type="pct"/>
            <w:tcBorders>
              <w:tl2br w:val="nil"/>
              <w:tr2bl w:val="nil"/>
            </w:tcBorders>
            <w:vAlign w:val="center"/>
          </w:tcPr>
          <w:p w14:paraId="3912A425">
            <w:pPr>
              <w:pStyle w:val="16"/>
              <w:bidi w:val="0"/>
              <w:rPr>
                <w:color w:val="auto"/>
              </w:rPr>
            </w:pPr>
            <w:r>
              <w:rPr>
                <w:color w:val="auto"/>
              </w:rPr>
              <w:t>336.39</w:t>
            </w:r>
          </w:p>
        </w:tc>
        <w:tc>
          <w:tcPr>
            <w:tcW w:w="540" w:type="pct"/>
            <w:tcBorders>
              <w:tl2br w:val="nil"/>
              <w:tr2bl w:val="nil"/>
            </w:tcBorders>
            <w:vAlign w:val="center"/>
          </w:tcPr>
          <w:p w14:paraId="1CE7D2EA">
            <w:pPr>
              <w:pStyle w:val="16"/>
              <w:bidi w:val="0"/>
              <w:rPr>
                <w:color w:val="auto"/>
              </w:rPr>
            </w:pPr>
            <w:r>
              <w:rPr>
                <w:color w:val="auto"/>
              </w:rPr>
              <w:t xml:space="preserve">337.00 </w:t>
            </w:r>
          </w:p>
        </w:tc>
      </w:tr>
      <w:tr w14:paraId="74B536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8" w:type="pct"/>
            <w:tcBorders>
              <w:tl2br w:val="nil"/>
              <w:tr2bl w:val="nil"/>
            </w:tcBorders>
            <w:shd w:val="clear" w:color="auto" w:fill="auto"/>
            <w:tcMar>
              <w:left w:w="28" w:type="dxa"/>
              <w:right w:w="28" w:type="dxa"/>
            </w:tcMar>
            <w:vAlign w:val="center"/>
          </w:tcPr>
          <w:p w14:paraId="0E296AE0">
            <w:pPr>
              <w:pStyle w:val="16"/>
              <w:bidi w:val="0"/>
              <w:rPr>
                <w:color w:val="auto"/>
              </w:rPr>
            </w:pPr>
            <w:r>
              <w:rPr>
                <w:color w:val="auto"/>
              </w:rPr>
              <w:t>模型计算值b</w:t>
            </w:r>
          </w:p>
        </w:tc>
        <w:tc>
          <w:tcPr>
            <w:tcW w:w="393" w:type="pct"/>
            <w:tcBorders>
              <w:tl2br w:val="nil"/>
              <w:tr2bl w:val="nil"/>
            </w:tcBorders>
            <w:shd w:val="clear" w:color="auto" w:fill="auto"/>
            <w:noWrap/>
            <w:tcMar>
              <w:left w:w="28" w:type="dxa"/>
              <w:right w:w="28" w:type="dxa"/>
            </w:tcMar>
            <w:vAlign w:val="center"/>
          </w:tcPr>
          <w:p w14:paraId="2ACC917B">
            <w:pPr>
              <w:pStyle w:val="16"/>
              <w:bidi w:val="0"/>
              <w:rPr>
                <w:color w:val="auto"/>
              </w:rPr>
            </w:pPr>
            <w:r>
              <w:rPr>
                <w:color w:val="auto"/>
              </w:rPr>
              <w:t xml:space="preserve">333.87 </w:t>
            </w:r>
          </w:p>
        </w:tc>
        <w:tc>
          <w:tcPr>
            <w:tcW w:w="373" w:type="pct"/>
            <w:tcBorders>
              <w:tl2br w:val="nil"/>
              <w:tr2bl w:val="nil"/>
            </w:tcBorders>
            <w:shd w:val="clear" w:color="auto" w:fill="auto"/>
            <w:noWrap/>
            <w:tcMar>
              <w:left w:w="28" w:type="dxa"/>
              <w:right w:w="28" w:type="dxa"/>
            </w:tcMar>
            <w:vAlign w:val="center"/>
          </w:tcPr>
          <w:p w14:paraId="4263C1C6">
            <w:pPr>
              <w:pStyle w:val="16"/>
              <w:bidi w:val="0"/>
              <w:rPr>
                <w:color w:val="auto"/>
              </w:rPr>
            </w:pPr>
            <w:r>
              <w:rPr>
                <w:color w:val="auto"/>
              </w:rPr>
              <w:t xml:space="preserve">340.40 </w:t>
            </w:r>
          </w:p>
        </w:tc>
        <w:tc>
          <w:tcPr>
            <w:tcW w:w="364" w:type="pct"/>
            <w:tcBorders>
              <w:tl2br w:val="nil"/>
              <w:tr2bl w:val="nil"/>
            </w:tcBorders>
            <w:shd w:val="clear" w:color="auto" w:fill="auto"/>
            <w:noWrap/>
            <w:tcMar>
              <w:left w:w="28" w:type="dxa"/>
              <w:right w:w="28" w:type="dxa"/>
            </w:tcMar>
            <w:vAlign w:val="center"/>
          </w:tcPr>
          <w:p w14:paraId="7ED00E34">
            <w:pPr>
              <w:pStyle w:val="16"/>
              <w:bidi w:val="0"/>
              <w:rPr>
                <w:color w:val="auto"/>
              </w:rPr>
            </w:pPr>
            <w:r>
              <w:rPr>
                <w:color w:val="auto"/>
              </w:rPr>
              <w:t xml:space="preserve">335.82 </w:t>
            </w:r>
          </w:p>
        </w:tc>
        <w:tc>
          <w:tcPr>
            <w:tcW w:w="399" w:type="pct"/>
            <w:tcBorders>
              <w:tl2br w:val="nil"/>
              <w:tr2bl w:val="nil"/>
            </w:tcBorders>
            <w:shd w:val="clear" w:color="auto" w:fill="auto"/>
            <w:noWrap/>
            <w:tcMar>
              <w:left w:w="28" w:type="dxa"/>
              <w:right w:w="28" w:type="dxa"/>
            </w:tcMar>
            <w:vAlign w:val="center"/>
          </w:tcPr>
          <w:p w14:paraId="0399AF4D">
            <w:pPr>
              <w:pStyle w:val="16"/>
              <w:bidi w:val="0"/>
              <w:rPr>
                <w:color w:val="auto"/>
              </w:rPr>
            </w:pPr>
            <w:r>
              <w:rPr>
                <w:color w:val="auto"/>
              </w:rPr>
              <w:t xml:space="preserve">334.42 </w:t>
            </w:r>
          </w:p>
        </w:tc>
        <w:tc>
          <w:tcPr>
            <w:tcW w:w="396" w:type="pct"/>
            <w:tcBorders>
              <w:tl2br w:val="nil"/>
              <w:tr2bl w:val="nil"/>
            </w:tcBorders>
            <w:shd w:val="clear" w:color="auto" w:fill="auto"/>
            <w:noWrap/>
            <w:tcMar>
              <w:left w:w="28" w:type="dxa"/>
              <w:right w:w="28" w:type="dxa"/>
            </w:tcMar>
            <w:vAlign w:val="center"/>
          </w:tcPr>
          <w:p w14:paraId="3235DA13">
            <w:pPr>
              <w:pStyle w:val="16"/>
              <w:bidi w:val="0"/>
              <w:rPr>
                <w:color w:val="auto"/>
              </w:rPr>
            </w:pPr>
            <w:r>
              <w:rPr>
                <w:color w:val="auto"/>
              </w:rPr>
              <w:t xml:space="preserve">328.74 </w:t>
            </w:r>
          </w:p>
        </w:tc>
        <w:tc>
          <w:tcPr>
            <w:tcW w:w="505" w:type="pct"/>
            <w:tcBorders>
              <w:tl2br w:val="nil"/>
              <w:tr2bl w:val="nil"/>
            </w:tcBorders>
            <w:vAlign w:val="center"/>
          </w:tcPr>
          <w:p w14:paraId="08890D26">
            <w:pPr>
              <w:pStyle w:val="16"/>
              <w:bidi w:val="0"/>
              <w:rPr>
                <w:color w:val="auto"/>
              </w:rPr>
            </w:pPr>
            <w:r>
              <w:rPr>
                <w:color w:val="auto"/>
              </w:rPr>
              <w:t xml:space="preserve">334.47 </w:t>
            </w:r>
          </w:p>
        </w:tc>
        <w:tc>
          <w:tcPr>
            <w:tcW w:w="480" w:type="pct"/>
            <w:tcBorders>
              <w:tl2br w:val="nil"/>
              <w:tr2bl w:val="nil"/>
            </w:tcBorders>
            <w:vAlign w:val="center"/>
          </w:tcPr>
          <w:p w14:paraId="5C872C6D">
            <w:pPr>
              <w:pStyle w:val="16"/>
              <w:bidi w:val="0"/>
              <w:rPr>
                <w:color w:val="auto"/>
              </w:rPr>
            </w:pPr>
            <w:r>
              <w:rPr>
                <w:color w:val="auto"/>
              </w:rPr>
              <w:t xml:space="preserve">329.99 </w:t>
            </w:r>
          </w:p>
        </w:tc>
        <w:tc>
          <w:tcPr>
            <w:tcW w:w="498" w:type="pct"/>
            <w:tcBorders>
              <w:tl2br w:val="nil"/>
              <w:tr2bl w:val="nil"/>
            </w:tcBorders>
            <w:vAlign w:val="center"/>
          </w:tcPr>
          <w:p w14:paraId="0A8297AD">
            <w:pPr>
              <w:pStyle w:val="16"/>
              <w:bidi w:val="0"/>
              <w:rPr>
                <w:color w:val="auto"/>
              </w:rPr>
            </w:pPr>
            <w:r>
              <w:rPr>
                <w:color w:val="auto"/>
              </w:rPr>
              <w:t xml:space="preserve">334.93 </w:t>
            </w:r>
          </w:p>
        </w:tc>
        <w:tc>
          <w:tcPr>
            <w:tcW w:w="540" w:type="pct"/>
            <w:tcBorders>
              <w:tl2br w:val="nil"/>
              <w:tr2bl w:val="nil"/>
            </w:tcBorders>
            <w:vAlign w:val="center"/>
          </w:tcPr>
          <w:p w14:paraId="2DA4CC03">
            <w:pPr>
              <w:pStyle w:val="16"/>
              <w:bidi w:val="0"/>
              <w:rPr>
                <w:color w:val="auto"/>
              </w:rPr>
            </w:pPr>
            <w:r>
              <w:rPr>
                <w:color w:val="auto"/>
              </w:rPr>
              <w:t xml:space="preserve">336.65 </w:t>
            </w:r>
          </w:p>
        </w:tc>
      </w:tr>
      <w:tr w14:paraId="3A2981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8" w:type="pct"/>
            <w:tcBorders>
              <w:tl2br w:val="nil"/>
              <w:tr2bl w:val="nil"/>
            </w:tcBorders>
            <w:shd w:val="clear" w:color="auto" w:fill="auto"/>
            <w:tcMar>
              <w:left w:w="28" w:type="dxa"/>
              <w:right w:w="28" w:type="dxa"/>
            </w:tcMar>
            <w:vAlign w:val="center"/>
          </w:tcPr>
          <w:p w14:paraId="7ABF1CBA">
            <w:pPr>
              <w:pStyle w:val="16"/>
              <w:bidi w:val="0"/>
              <w:rPr>
                <w:color w:val="auto"/>
              </w:rPr>
            </w:pPr>
            <w:r>
              <w:rPr>
                <w:color w:val="auto"/>
              </w:rPr>
              <w:t>差值绝对值</w:t>
            </w:r>
          </w:p>
          <w:p w14:paraId="394D4A58">
            <w:pPr>
              <w:pStyle w:val="16"/>
              <w:bidi w:val="0"/>
              <w:rPr>
                <w:color w:val="auto"/>
              </w:rPr>
            </w:pPr>
            <w:r>
              <w:rPr>
                <w:color w:val="auto"/>
              </w:rPr>
              <w:t>（∣a-b∣）</w:t>
            </w:r>
          </w:p>
        </w:tc>
        <w:tc>
          <w:tcPr>
            <w:tcW w:w="393" w:type="pct"/>
            <w:tcBorders>
              <w:tl2br w:val="nil"/>
              <w:tr2bl w:val="nil"/>
            </w:tcBorders>
            <w:shd w:val="clear" w:color="auto" w:fill="auto"/>
            <w:noWrap/>
            <w:tcMar>
              <w:left w:w="28" w:type="dxa"/>
              <w:right w:w="28" w:type="dxa"/>
            </w:tcMar>
            <w:vAlign w:val="center"/>
          </w:tcPr>
          <w:p w14:paraId="736ACA4D">
            <w:pPr>
              <w:pStyle w:val="16"/>
              <w:bidi w:val="0"/>
              <w:rPr>
                <w:color w:val="auto"/>
              </w:rPr>
            </w:pPr>
            <w:r>
              <w:rPr>
                <w:color w:val="auto"/>
              </w:rPr>
              <w:t>0.</w:t>
            </w:r>
            <w:r>
              <w:rPr>
                <w:rFonts w:hint="eastAsia"/>
                <w:color w:val="auto"/>
              </w:rPr>
              <w:t>61</w:t>
            </w:r>
            <w:r>
              <w:rPr>
                <w:color w:val="auto"/>
              </w:rPr>
              <w:t xml:space="preserve"> </w:t>
            </w:r>
          </w:p>
        </w:tc>
        <w:tc>
          <w:tcPr>
            <w:tcW w:w="373" w:type="pct"/>
            <w:tcBorders>
              <w:tl2br w:val="nil"/>
              <w:tr2bl w:val="nil"/>
            </w:tcBorders>
            <w:shd w:val="clear" w:color="auto" w:fill="auto"/>
            <w:noWrap/>
            <w:tcMar>
              <w:left w:w="28" w:type="dxa"/>
              <w:right w:w="28" w:type="dxa"/>
            </w:tcMar>
            <w:vAlign w:val="center"/>
          </w:tcPr>
          <w:p w14:paraId="432909F2">
            <w:pPr>
              <w:pStyle w:val="16"/>
              <w:bidi w:val="0"/>
              <w:rPr>
                <w:color w:val="auto"/>
              </w:rPr>
            </w:pPr>
            <w:r>
              <w:rPr>
                <w:color w:val="auto"/>
              </w:rPr>
              <w:t xml:space="preserve">0.28 </w:t>
            </w:r>
          </w:p>
        </w:tc>
        <w:tc>
          <w:tcPr>
            <w:tcW w:w="364" w:type="pct"/>
            <w:tcBorders>
              <w:tl2br w:val="nil"/>
              <w:tr2bl w:val="nil"/>
            </w:tcBorders>
            <w:shd w:val="clear" w:color="auto" w:fill="auto"/>
            <w:noWrap/>
            <w:tcMar>
              <w:left w:w="28" w:type="dxa"/>
              <w:right w:w="28" w:type="dxa"/>
            </w:tcMar>
            <w:vAlign w:val="center"/>
          </w:tcPr>
          <w:p w14:paraId="5A1FE1EE">
            <w:pPr>
              <w:pStyle w:val="16"/>
              <w:bidi w:val="0"/>
              <w:rPr>
                <w:color w:val="auto"/>
              </w:rPr>
            </w:pPr>
            <w:r>
              <w:rPr>
                <w:color w:val="auto"/>
              </w:rPr>
              <w:t xml:space="preserve">0.84 </w:t>
            </w:r>
          </w:p>
        </w:tc>
        <w:tc>
          <w:tcPr>
            <w:tcW w:w="399" w:type="pct"/>
            <w:tcBorders>
              <w:tl2br w:val="nil"/>
              <w:tr2bl w:val="nil"/>
            </w:tcBorders>
            <w:shd w:val="clear" w:color="auto" w:fill="auto"/>
            <w:noWrap/>
            <w:tcMar>
              <w:left w:w="28" w:type="dxa"/>
              <w:right w:w="28" w:type="dxa"/>
            </w:tcMar>
            <w:vAlign w:val="center"/>
          </w:tcPr>
          <w:p w14:paraId="76F84B8A">
            <w:pPr>
              <w:pStyle w:val="16"/>
              <w:bidi w:val="0"/>
              <w:rPr>
                <w:color w:val="auto"/>
              </w:rPr>
            </w:pPr>
            <w:r>
              <w:rPr>
                <w:color w:val="auto"/>
              </w:rPr>
              <w:t xml:space="preserve">2.18 </w:t>
            </w:r>
          </w:p>
        </w:tc>
        <w:tc>
          <w:tcPr>
            <w:tcW w:w="396" w:type="pct"/>
            <w:tcBorders>
              <w:tl2br w:val="nil"/>
              <w:tr2bl w:val="nil"/>
            </w:tcBorders>
            <w:shd w:val="clear" w:color="auto" w:fill="auto"/>
            <w:noWrap/>
            <w:tcMar>
              <w:left w:w="28" w:type="dxa"/>
              <w:right w:w="28" w:type="dxa"/>
            </w:tcMar>
            <w:vAlign w:val="center"/>
          </w:tcPr>
          <w:p w14:paraId="2298BCB4">
            <w:pPr>
              <w:pStyle w:val="16"/>
              <w:bidi w:val="0"/>
              <w:rPr>
                <w:color w:val="auto"/>
              </w:rPr>
            </w:pPr>
            <w:r>
              <w:rPr>
                <w:color w:val="auto"/>
              </w:rPr>
              <w:t xml:space="preserve">0.17 </w:t>
            </w:r>
          </w:p>
        </w:tc>
        <w:tc>
          <w:tcPr>
            <w:tcW w:w="505" w:type="pct"/>
            <w:tcBorders>
              <w:tl2br w:val="nil"/>
              <w:tr2bl w:val="nil"/>
            </w:tcBorders>
            <w:vAlign w:val="center"/>
          </w:tcPr>
          <w:p w14:paraId="4559C7C8">
            <w:pPr>
              <w:pStyle w:val="16"/>
              <w:bidi w:val="0"/>
              <w:rPr>
                <w:color w:val="auto"/>
              </w:rPr>
            </w:pPr>
            <w:r>
              <w:rPr>
                <w:color w:val="auto"/>
              </w:rPr>
              <w:t xml:space="preserve">0.08 </w:t>
            </w:r>
          </w:p>
        </w:tc>
        <w:tc>
          <w:tcPr>
            <w:tcW w:w="480" w:type="pct"/>
            <w:tcBorders>
              <w:tl2br w:val="nil"/>
              <w:tr2bl w:val="nil"/>
            </w:tcBorders>
            <w:vAlign w:val="center"/>
          </w:tcPr>
          <w:p w14:paraId="23E1A440">
            <w:pPr>
              <w:pStyle w:val="16"/>
              <w:bidi w:val="0"/>
              <w:rPr>
                <w:color w:val="auto"/>
              </w:rPr>
            </w:pPr>
            <w:r>
              <w:rPr>
                <w:color w:val="auto"/>
              </w:rPr>
              <w:t xml:space="preserve">0.85 </w:t>
            </w:r>
          </w:p>
        </w:tc>
        <w:tc>
          <w:tcPr>
            <w:tcW w:w="498" w:type="pct"/>
            <w:tcBorders>
              <w:tl2br w:val="nil"/>
              <w:tr2bl w:val="nil"/>
            </w:tcBorders>
            <w:vAlign w:val="center"/>
          </w:tcPr>
          <w:p w14:paraId="593C20D9">
            <w:pPr>
              <w:pStyle w:val="16"/>
              <w:bidi w:val="0"/>
              <w:rPr>
                <w:color w:val="auto"/>
              </w:rPr>
            </w:pPr>
            <w:r>
              <w:rPr>
                <w:color w:val="auto"/>
              </w:rPr>
              <w:t xml:space="preserve">1.47 </w:t>
            </w:r>
          </w:p>
        </w:tc>
        <w:tc>
          <w:tcPr>
            <w:tcW w:w="540" w:type="pct"/>
            <w:tcBorders>
              <w:tl2br w:val="nil"/>
              <w:tr2bl w:val="nil"/>
            </w:tcBorders>
            <w:vAlign w:val="center"/>
          </w:tcPr>
          <w:p w14:paraId="3EF74281">
            <w:pPr>
              <w:pStyle w:val="16"/>
              <w:bidi w:val="0"/>
              <w:rPr>
                <w:color w:val="auto"/>
              </w:rPr>
            </w:pPr>
            <w:r>
              <w:rPr>
                <w:color w:val="auto"/>
              </w:rPr>
              <w:t xml:space="preserve">0.35 </w:t>
            </w:r>
          </w:p>
        </w:tc>
      </w:tr>
      <w:tr w14:paraId="60B67F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8" w:type="pct"/>
            <w:tcBorders>
              <w:tl2br w:val="nil"/>
              <w:tr2bl w:val="nil"/>
            </w:tcBorders>
            <w:shd w:val="clear" w:color="auto" w:fill="auto"/>
            <w:tcMar>
              <w:left w:w="28" w:type="dxa"/>
              <w:right w:w="28" w:type="dxa"/>
            </w:tcMar>
            <w:vAlign w:val="center"/>
          </w:tcPr>
          <w:p w14:paraId="6F5754C6">
            <w:pPr>
              <w:pStyle w:val="16"/>
              <w:bidi w:val="0"/>
              <w:rPr>
                <w:color w:val="auto"/>
              </w:rPr>
            </w:pPr>
            <w:r>
              <w:rPr>
                <w:color w:val="auto"/>
              </w:rPr>
              <w:t>差值方差（</w:t>
            </w:r>
            <m:oMath>
              <m:f>
                <m:fPr>
                  <m:ctrlPr>
                    <w:rPr>
                      <w:rFonts w:ascii="Cambria Math" w:hAnsi="Cambria Math"/>
                      <w:color w:val="auto"/>
                    </w:rPr>
                  </m:ctrlPr>
                </m:fPr>
                <m:num>
                  <m:r>
                    <m:rPr>
                      <m:sty m:val="p"/>
                    </m:rPr>
                    <w:rPr>
                      <w:rFonts w:ascii="Cambria Math" w:hAnsi="Cambria Math"/>
                      <w:color w:val="auto"/>
                    </w:rPr>
                    <m:t>1</m:t>
                  </m:r>
                  <m:ctrlPr>
                    <w:rPr>
                      <w:rFonts w:ascii="Cambria Math" w:hAnsi="Cambria Math"/>
                      <w:color w:val="auto"/>
                    </w:rPr>
                  </m:ctrlPr>
                </m:num>
                <m:den>
                  <m:r>
                    <m:rPr>
                      <m:sty m:val="p"/>
                    </m:rPr>
                    <w:rPr>
                      <w:rFonts w:ascii="Cambria Math" w:hAnsi="Cambria Math"/>
                      <w:color w:val="auto"/>
                    </w:rPr>
                    <m:t>n</m:t>
                  </m:r>
                  <m:ctrlPr>
                    <w:rPr>
                      <w:rFonts w:ascii="Cambria Math" w:hAnsi="Cambria Math"/>
                      <w:color w:val="auto"/>
                    </w:rPr>
                  </m:ctrlPr>
                </m:den>
              </m:f>
              <m:nary>
                <m:naryPr>
                  <m:chr m:val="∑"/>
                  <m:limLoc m:val="undOvr"/>
                  <m:ctrlPr>
                    <w:rPr>
                      <w:rFonts w:ascii="Cambria Math" w:hAnsi="Cambria Math"/>
                      <w:color w:val="auto"/>
                    </w:rPr>
                  </m:ctrlPr>
                </m:naryPr>
                <m:sub>
                  <m:r>
                    <m:rPr>
                      <m:sty m:val="p"/>
                    </m:rPr>
                    <w:rPr>
                      <w:rFonts w:ascii="Cambria Math" w:hAnsi="Cambria Math"/>
                      <w:color w:val="auto"/>
                    </w:rPr>
                    <m:t>1</m:t>
                  </m:r>
                  <m:ctrlPr>
                    <w:rPr>
                      <w:rFonts w:ascii="Cambria Math" w:hAnsi="Cambria Math"/>
                      <w:color w:val="auto"/>
                    </w:rPr>
                  </m:ctrlPr>
                </m:sub>
                <m:sup>
                  <m:r>
                    <m:rPr>
                      <m:sty m:val="p"/>
                    </m:rPr>
                    <w:rPr>
                      <w:rFonts w:ascii="Cambria Math" w:hAnsi="Cambria Math"/>
                      <w:color w:val="auto"/>
                    </w:rPr>
                    <m:t>n</m:t>
                  </m:r>
                  <m:ctrlPr>
                    <w:rPr>
                      <w:rFonts w:ascii="Cambria Math" w:hAnsi="Cambria Math"/>
                      <w:color w:val="auto"/>
                    </w:rPr>
                  </m:ctrlPr>
                </m:sup>
                <m:e>
                  <m:sSup>
                    <m:sSupPr>
                      <m:ctrlPr>
                        <w:rPr>
                          <w:rFonts w:ascii="Cambria Math" w:hAnsi="Cambria Math"/>
                          <w:color w:val="auto"/>
                        </w:rPr>
                      </m:ctrlPr>
                    </m:sSupPr>
                    <m:e>
                      <m:r>
                        <m:rPr>
                          <m:sty m:val="p"/>
                        </m:rPr>
                        <w:rPr>
                          <w:rFonts w:ascii="Cambria Math" w:hAnsi="Cambria Math"/>
                          <w:color w:val="auto"/>
                        </w:rPr>
                        <m:t>（∣a−b∣−</m:t>
                      </m:r>
                      <m:f>
                        <m:fPr>
                          <m:ctrlPr>
                            <w:rPr>
                              <w:rFonts w:ascii="Cambria Math" w:hAnsi="Cambria Math"/>
                              <w:color w:val="auto"/>
                            </w:rPr>
                          </m:ctrlPr>
                        </m:fPr>
                        <m:num>
                          <m:nary>
                            <m:naryPr>
                              <m:chr m:val="∑"/>
                              <m:limLoc m:val="undOvr"/>
                              <m:ctrlPr>
                                <w:rPr>
                                  <w:rFonts w:ascii="Cambria Math" w:hAnsi="Cambria Math"/>
                                  <w:color w:val="auto"/>
                                </w:rPr>
                              </m:ctrlPr>
                            </m:naryPr>
                            <m:sub>
                              <m:r>
                                <m:rPr>
                                  <m:sty m:val="p"/>
                                </m:rPr>
                                <w:rPr>
                                  <w:rFonts w:ascii="Cambria Math" w:hAnsi="Cambria Math"/>
                                  <w:color w:val="auto"/>
                                </w:rPr>
                                <m:t>1</m:t>
                              </m:r>
                              <m:ctrlPr>
                                <w:rPr>
                                  <w:rFonts w:ascii="Cambria Math" w:hAnsi="Cambria Math"/>
                                  <w:color w:val="auto"/>
                                </w:rPr>
                              </m:ctrlPr>
                            </m:sub>
                            <m:sup>
                              <m:r>
                                <m:rPr>
                                  <m:sty m:val="p"/>
                                </m:rPr>
                                <w:rPr>
                                  <w:rFonts w:ascii="Cambria Math" w:hAnsi="Cambria Math"/>
                                  <w:color w:val="auto"/>
                                </w:rPr>
                                <m:t>n</m:t>
                              </m:r>
                              <m:ctrlPr>
                                <w:rPr>
                                  <w:rFonts w:ascii="Cambria Math" w:hAnsi="Cambria Math"/>
                                  <w:color w:val="auto"/>
                                </w:rPr>
                              </m:ctrlPr>
                            </m:sup>
                            <m:e>
                              <m:r>
                                <m:rPr>
                                  <m:sty m:val="p"/>
                                </m:rPr>
                                <w:rPr>
                                  <w:rFonts w:ascii="Cambria Math" w:hAnsi="Cambria Math"/>
                                  <w:color w:val="auto"/>
                                </w:rPr>
                                <m:t>∣a−b∣</m:t>
                              </m:r>
                              <m:ctrlPr>
                                <w:rPr>
                                  <w:rFonts w:ascii="Cambria Math" w:hAnsi="Cambria Math"/>
                                  <w:color w:val="auto"/>
                                </w:rPr>
                              </m:ctrlPr>
                            </m:e>
                          </m:nary>
                          <m:ctrlPr>
                            <w:rPr>
                              <w:rFonts w:ascii="Cambria Math" w:hAnsi="Cambria Math"/>
                              <w:color w:val="auto"/>
                            </w:rPr>
                          </m:ctrlPr>
                        </m:num>
                        <m:den>
                          <m:r>
                            <m:rPr>
                              <m:sty m:val="p"/>
                            </m:rPr>
                            <w:rPr>
                              <w:rFonts w:ascii="Cambria Math" w:hAnsi="Cambria Math"/>
                              <w:color w:val="auto"/>
                            </w:rPr>
                            <m:t>n</m:t>
                          </m:r>
                          <m:ctrlPr>
                            <w:rPr>
                              <w:rFonts w:ascii="Cambria Math" w:hAnsi="Cambria Math"/>
                              <w:color w:val="auto"/>
                            </w:rPr>
                          </m:ctrlPr>
                        </m:den>
                      </m:f>
                      <m:r>
                        <m:rPr>
                          <m:sty m:val="p"/>
                        </m:rPr>
                        <w:rPr>
                          <w:rFonts w:ascii="Cambria Math" w:hAnsi="Cambria Math"/>
                          <w:color w:val="auto"/>
                        </w:rPr>
                        <m:t>）</m:t>
                      </m:r>
                      <m:ctrlPr>
                        <w:rPr>
                          <w:rFonts w:ascii="Cambria Math" w:hAnsi="Cambria Math"/>
                          <w:color w:val="auto"/>
                        </w:rPr>
                      </m:ctrlPr>
                    </m:e>
                    <m:sup>
                      <m:r>
                        <m:rPr>
                          <m:sty m:val="p"/>
                        </m:rPr>
                        <w:rPr>
                          <w:rFonts w:ascii="Cambria Math" w:hAnsi="Cambria Math"/>
                          <w:color w:val="auto"/>
                        </w:rPr>
                        <m:t>2</m:t>
                      </m:r>
                      <m:ctrlPr>
                        <w:rPr>
                          <w:rFonts w:ascii="Cambria Math" w:hAnsi="Cambria Math"/>
                          <w:color w:val="auto"/>
                        </w:rPr>
                      </m:ctrlPr>
                    </m:sup>
                  </m:sSup>
                  <m:ctrlPr>
                    <w:rPr>
                      <w:rFonts w:ascii="Cambria Math" w:hAnsi="Cambria Math"/>
                      <w:color w:val="auto"/>
                    </w:rPr>
                  </m:ctrlPr>
                </m:e>
              </m:nary>
            </m:oMath>
          </w:p>
        </w:tc>
        <w:tc>
          <w:tcPr>
            <w:tcW w:w="3951" w:type="pct"/>
            <w:gridSpan w:val="9"/>
            <w:tcBorders>
              <w:tl2br w:val="nil"/>
              <w:tr2bl w:val="nil"/>
            </w:tcBorders>
            <w:vAlign w:val="center"/>
          </w:tcPr>
          <w:p w14:paraId="3C4C74AA">
            <w:pPr>
              <w:pStyle w:val="16"/>
              <w:bidi w:val="0"/>
              <w:rPr>
                <w:color w:val="auto"/>
              </w:rPr>
            </w:pPr>
            <w:r>
              <w:rPr>
                <w:color w:val="auto"/>
              </w:rPr>
              <w:t>0.422</w:t>
            </w:r>
          </w:p>
        </w:tc>
      </w:tr>
    </w:tbl>
    <w:p w14:paraId="0EF7FCFD">
      <w:pPr>
        <w:ind w:firstLine="482"/>
        <w:contextualSpacing/>
        <w:rPr>
          <w:rFonts w:cs="Times New Roman"/>
          <w:b/>
          <w:color w:val="auto"/>
        </w:rPr>
      </w:pPr>
      <w:r>
        <w:rPr>
          <w:rFonts w:cs="Times New Roman"/>
          <w:b/>
          <w:color w:val="auto"/>
        </w:rPr>
        <w:t>（3）污染物迁移模拟</w:t>
      </w:r>
    </w:p>
    <w:p w14:paraId="2C538559">
      <w:pPr>
        <w:ind w:firstLine="480"/>
        <w:contextualSpacing/>
        <w:rPr>
          <w:rFonts w:cs="Times New Roman"/>
          <w:color w:val="auto"/>
        </w:rPr>
      </w:pPr>
      <w:r>
        <w:rPr>
          <w:rFonts w:cs="Times New Roman"/>
          <w:color w:val="auto"/>
        </w:rPr>
        <w:t>1）数学模型</w:t>
      </w:r>
    </w:p>
    <w:p w14:paraId="547E87D4">
      <w:pPr>
        <w:ind w:firstLine="480"/>
        <w:contextualSpacing/>
        <w:rPr>
          <w:rFonts w:cs="Times New Roman"/>
          <w:color w:val="auto"/>
        </w:rPr>
      </w:pPr>
      <w:r>
        <w:rPr>
          <w:rFonts w:cs="Times New Roman"/>
          <w:color w:val="auto"/>
        </w:rPr>
        <w:t>根据《环境影响评价技术导则</w:t>
      </w:r>
      <w:r>
        <w:rPr>
          <w:rFonts w:hint="eastAsia" w:cs="Times New Roman"/>
          <w:color w:val="auto"/>
          <w:lang w:val="en-US" w:eastAsia="zh-CN"/>
        </w:rPr>
        <w:t xml:space="preserve"> </w:t>
      </w:r>
      <w:r>
        <w:rPr>
          <w:rFonts w:cs="Times New Roman"/>
          <w:color w:val="auto"/>
        </w:rPr>
        <w:t>地下水环境》（HJ610-2016），污染物迁移的溶质运移模型可表达为：</w:t>
      </w:r>
    </w:p>
    <w:p w14:paraId="1ADC068A">
      <w:pPr>
        <w:widowControl/>
        <w:ind w:firstLine="1080" w:firstLineChars="450"/>
        <w:contextualSpacing/>
        <w:jc w:val="left"/>
        <w:rPr>
          <w:rFonts w:cs="Times New Roman"/>
          <w:color w:val="auto"/>
          <w:szCs w:val="24"/>
        </w:rPr>
      </w:pPr>
      <w:r>
        <w:rPr>
          <w:rFonts w:cs="Times New Roman"/>
          <w:color w:val="auto"/>
          <w:position w:val="-32"/>
          <w:szCs w:val="24"/>
        </w:rPr>
        <w:drawing>
          <wp:inline distT="0" distB="0" distL="0" distR="0">
            <wp:extent cx="4030980" cy="480060"/>
            <wp:effectExtent l="0" t="0" r="7620" b="15240"/>
            <wp:docPr id="7193" name="图片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3" name="图片 719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4030980" cy="480060"/>
                    </a:xfrm>
                    <a:prstGeom prst="rect">
                      <a:avLst/>
                    </a:prstGeom>
                    <a:noFill/>
                    <a:ln>
                      <a:noFill/>
                    </a:ln>
                  </pic:spPr>
                </pic:pic>
              </a:graphicData>
            </a:graphic>
          </wp:inline>
        </w:drawing>
      </w:r>
      <w:r>
        <w:rPr>
          <w:rFonts w:cs="Times New Roman"/>
          <w:color w:val="auto"/>
          <w:szCs w:val="24"/>
        </w:rPr>
        <w:t>（7-1）</w:t>
      </w:r>
    </w:p>
    <w:p w14:paraId="70E98814">
      <w:pPr>
        <w:widowControl/>
        <w:ind w:firstLine="480"/>
        <w:contextualSpacing/>
        <w:jc w:val="left"/>
        <w:rPr>
          <w:rFonts w:cs="Times New Roman"/>
          <w:color w:val="auto"/>
          <w:szCs w:val="24"/>
        </w:rPr>
      </w:pPr>
      <w:r>
        <w:rPr>
          <w:rFonts w:cs="Times New Roman"/>
          <w:color w:val="auto"/>
          <w:szCs w:val="24"/>
        </w:rPr>
        <w:t>式中：R——迟滞系数，无量纲。</w:t>
      </w:r>
      <w:r>
        <w:rPr>
          <w:rFonts w:cs="Times New Roman"/>
          <w:color w:val="auto"/>
          <w:position w:val="-24"/>
          <w:szCs w:val="24"/>
        </w:rPr>
        <w:drawing>
          <wp:inline distT="0" distB="0" distL="0" distR="0">
            <wp:extent cx="705485" cy="309245"/>
            <wp:effectExtent l="0" t="0" r="18415" b="14605"/>
            <wp:docPr id="7199" name="图片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图片 719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705485" cy="309245"/>
                    </a:xfrm>
                    <a:prstGeom prst="rect">
                      <a:avLst/>
                    </a:prstGeom>
                    <a:noFill/>
                    <a:ln>
                      <a:noFill/>
                    </a:ln>
                  </pic:spPr>
                </pic:pic>
              </a:graphicData>
            </a:graphic>
          </wp:inline>
        </w:drawing>
      </w:r>
    </w:p>
    <w:p w14:paraId="18A028FE">
      <w:pPr>
        <w:widowControl/>
        <w:spacing w:line="300" w:lineRule="auto"/>
        <w:ind w:firstLine="720" w:firstLineChars="300"/>
        <w:contextualSpacing/>
        <w:jc w:val="left"/>
        <w:rPr>
          <w:rFonts w:cs="Times New Roman"/>
          <w:color w:val="auto"/>
          <w:szCs w:val="24"/>
        </w:rPr>
      </w:pPr>
      <w:r>
        <w:rPr>
          <w:rFonts w:cs="Times New Roman"/>
          <w:color w:val="auto"/>
          <w:position w:val="-12"/>
          <w:szCs w:val="24"/>
        </w:rPr>
        <w:drawing>
          <wp:inline distT="0" distB="0" distL="0" distR="0">
            <wp:extent cx="190500" cy="228600"/>
            <wp:effectExtent l="0" t="0" r="0" b="0"/>
            <wp:docPr id="1344" name="图片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图片 134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190500" cy="228600"/>
                    </a:xfrm>
                    <a:prstGeom prst="rect">
                      <a:avLst/>
                    </a:prstGeom>
                    <a:noFill/>
                    <a:ln>
                      <a:noFill/>
                    </a:ln>
                  </pic:spPr>
                </pic:pic>
              </a:graphicData>
            </a:graphic>
          </wp:inline>
        </w:drawing>
      </w:r>
      <w:r>
        <w:rPr>
          <w:rFonts w:cs="Times New Roman"/>
          <w:color w:val="auto"/>
          <w:szCs w:val="24"/>
        </w:rPr>
        <w:t>——介质密度（mg/d</w:t>
      </w:r>
      <w:r>
        <w:rPr>
          <w:rFonts w:hint="eastAsia" w:cs="Times New Roman"/>
          <w:color w:val="auto"/>
          <w:szCs w:val="24"/>
          <w:lang w:eastAsia="zh-CN"/>
        </w:rPr>
        <w:t>m³</w:t>
      </w:r>
      <w:r>
        <w:rPr>
          <w:rFonts w:cs="Times New Roman"/>
          <w:color w:val="auto"/>
          <w:szCs w:val="24"/>
        </w:rPr>
        <w:t>）；</w:t>
      </w:r>
    </w:p>
    <w:p w14:paraId="67A2D3FE">
      <w:pPr>
        <w:widowControl/>
        <w:spacing w:line="300" w:lineRule="auto"/>
        <w:ind w:firstLine="720" w:firstLineChars="300"/>
        <w:contextualSpacing/>
        <w:jc w:val="left"/>
        <w:rPr>
          <w:rFonts w:cs="Times New Roman"/>
          <w:color w:val="auto"/>
          <w:szCs w:val="24"/>
        </w:rPr>
      </w:pPr>
      <w:r>
        <w:rPr>
          <w:rFonts w:cs="Times New Roman"/>
          <w:color w:val="auto"/>
          <w:position w:val="-6"/>
          <w:szCs w:val="24"/>
        </w:rPr>
        <w:drawing>
          <wp:inline distT="0" distB="0" distL="0" distR="0">
            <wp:extent cx="129540" cy="182880"/>
            <wp:effectExtent l="0" t="0" r="3810" b="6350"/>
            <wp:docPr id="1345" name="图片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图片 134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129540" cy="182880"/>
                    </a:xfrm>
                    <a:prstGeom prst="rect">
                      <a:avLst/>
                    </a:prstGeom>
                    <a:noFill/>
                    <a:ln>
                      <a:noFill/>
                    </a:ln>
                  </pic:spPr>
                </pic:pic>
              </a:graphicData>
            </a:graphic>
          </wp:inline>
        </w:drawing>
      </w:r>
      <w:r>
        <w:rPr>
          <w:rFonts w:cs="Times New Roman"/>
          <w:color w:val="auto"/>
          <w:szCs w:val="24"/>
        </w:rPr>
        <w:t>——介质孔隙度，（无量纲）；</w:t>
      </w:r>
    </w:p>
    <w:p w14:paraId="6C3E591D">
      <w:pPr>
        <w:widowControl/>
        <w:spacing w:line="300" w:lineRule="auto"/>
        <w:ind w:firstLine="720" w:firstLineChars="300"/>
        <w:contextualSpacing/>
        <w:jc w:val="left"/>
        <w:rPr>
          <w:rFonts w:cs="Times New Roman"/>
          <w:color w:val="auto"/>
          <w:szCs w:val="24"/>
        </w:rPr>
      </w:pPr>
      <w:r>
        <w:rPr>
          <w:rFonts w:cs="Times New Roman"/>
          <w:color w:val="auto"/>
          <w:szCs w:val="24"/>
        </w:rPr>
        <w:t>C——组分的浓度，mg/L；</w:t>
      </w:r>
    </w:p>
    <w:p w14:paraId="49B66349">
      <w:pPr>
        <w:widowControl/>
        <w:spacing w:line="300" w:lineRule="auto"/>
        <w:ind w:firstLine="720" w:firstLineChars="300"/>
        <w:contextualSpacing/>
        <w:jc w:val="left"/>
        <w:rPr>
          <w:rFonts w:cs="Times New Roman"/>
          <w:color w:val="auto"/>
          <w:szCs w:val="24"/>
        </w:rPr>
      </w:pPr>
      <w:r>
        <w:rPr>
          <w:rFonts w:cs="Times New Roman"/>
          <w:color w:val="auto"/>
          <w:szCs w:val="24"/>
        </w:rPr>
        <w:t>t——时间（d）；</w:t>
      </w:r>
    </w:p>
    <w:p w14:paraId="63A827C4">
      <w:pPr>
        <w:widowControl/>
        <w:spacing w:line="300" w:lineRule="auto"/>
        <w:ind w:firstLine="720" w:firstLineChars="300"/>
        <w:contextualSpacing/>
        <w:jc w:val="left"/>
        <w:rPr>
          <w:rFonts w:cs="Times New Roman"/>
          <w:color w:val="auto"/>
          <w:szCs w:val="24"/>
        </w:rPr>
      </w:pPr>
      <w:r>
        <w:rPr>
          <w:rFonts w:cs="Times New Roman"/>
          <w:color w:val="auto"/>
          <w:szCs w:val="24"/>
        </w:rPr>
        <w:t>x，y，z——空间位置坐标（m）；</w:t>
      </w:r>
    </w:p>
    <w:p w14:paraId="6C067E96">
      <w:pPr>
        <w:widowControl/>
        <w:spacing w:line="300" w:lineRule="auto"/>
        <w:ind w:left="1560" w:leftChars="300" w:hanging="840" w:hangingChars="350"/>
        <w:contextualSpacing/>
        <w:jc w:val="left"/>
        <w:rPr>
          <w:rFonts w:cs="Times New Roman"/>
          <w:color w:val="auto"/>
          <w:szCs w:val="24"/>
        </w:rPr>
      </w:pPr>
      <w:r>
        <w:rPr>
          <w:rFonts w:cs="Times New Roman"/>
          <w:color w:val="auto"/>
          <w:szCs w:val="24"/>
        </w:rPr>
        <w:t>D</w:t>
      </w:r>
      <w:r>
        <w:rPr>
          <w:rFonts w:cs="Times New Roman"/>
          <w:color w:val="auto"/>
          <w:szCs w:val="24"/>
          <w:vertAlign w:val="subscript"/>
        </w:rPr>
        <w:t>ij</w:t>
      </w:r>
      <w:r>
        <w:rPr>
          <w:rFonts w:cs="Times New Roman"/>
          <w:color w:val="auto"/>
          <w:szCs w:val="24"/>
        </w:rPr>
        <w:t>——水动力弥散系数张量；</w:t>
      </w:r>
    </w:p>
    <w:p w14:paraId="3AB87225">
      <w:pPr>
        <w:widowControl/>
        <w:spacing w:line="300" w:lineRule="auto"/>
        <w:ind w:firstLine="720" w:firstLineChars="300"/>
        <w:contextualSpacing/>
        <w:jc w:val="left"/>
        <w:rPr>
          <w:rFonts w:cs="Times New Roman"/>
          <w:color w:val="auto"/>
          <w:szCs w:val="24"/>
        </w:rPr>
      </w:pPr>
      <w:r>
        <w:rPr>
          <w:rFonts w:cs="Times New Roman"/>
          <w:color w:val="auto"/>
          <w:szCs w:val="24"/>
        </w:rPr>
        <w:t>Vi——地下水渗流速度张量；</w:t>
      </w:r>
    </w:p>
    <w:p w14:paraId="154111C4">
      <w:pPr>
        <w:widowControl/>
        <w:spacing w:line="300" w:lineRule="auto"/>
        <w:ind w:firstLine="720" w:firstLineChars="300"/>
        <w:contextualSpacing/>
        <w:jc w:val="left"/>
        <w:rPr>
          <w:rFonts w:cs="Times New Roman"/>
          <w:color w:val="auto"/>
          <w:szCs w:val="24"/>
        </w:rPr>
      </w:pPr>
      <w:r>
        <w:rPr>
          <w:rFonts w:cs="Times New Roman"/>
          <w:color w:val="auto"/>
          <w:szCs w:val="24"/>
        </w:rPr>
        <w:t>W——水流的源和汇（1/d）</w:t>
      </w:r>
    </w:p>
    <w:p w14:paraId="34785764">
      <w:pPr>
        <w:widowControl/>
        <w:spacing w:line="300" w:lineRule="auto"/>
        <w:ind w:firstLine="720" w:firstLineChars="300"/>
        <w:contextualSpacing/>
        <w:jc w:val="left"/>
        <w:rPr>
          <w:rFonts w:cs="Times New Roman"/>
          <w:color w:val="auto"/>
          <w:szCs w:val="24"/>
        </w:rPr>
      </w:pPr>
      <w:r>
        <w:rPr>
          <w:rFonts w:cs="Times New Roman"/>
          <w:color w:val="auto"/>
          <w:szCs w:val="24"/>
        </w:rPr>
        <w:t>Cs——组分的浓度，mg/L</w:t>
      </w:r>
    </w:p>
    <w:p w14:paraId="2380A330">
      <w:pPr>
        <w:keepNext w:val="0"/>
        <w:keepLines w:val="0"/>
        <w:pageBreakBefore w:val="0"/>
        <w:widowControl w:val="0"/>
        <w:kinsoku/>
        <w:wordWrap/>
        <w:overflowPunct/>
        <w:topLinePunct w:val="0"/>
        <w:autoSpaceDE/>
        <w:autoSpaceDN/>
        <w:bidi w:val="0"/>
        <w:adjustRightInd/>
        <w:snapToGrid w:val="0"/>
        <w:ind w:firstLine="720" w:firstLineChars="300"/>
        <w:textAlignment w:val="auto"/>
        <w:rPr>
          <w:color w:val="auto"/>
        </w:rPr>
      </w:pPr>
      <w:r>
        <w:rPr>
          <w:color w:val="auto"/>
        </w:rPr>
        <w:drawing>
          <wp:inline distT="0" distB="0" distL="0" distR="0">
            <wp:extent cx="167640" cy="220980"/>
            <wp:effectExtent l="0" t="0" r="3810" b="5715"/>
            <wp:docPr id="1346" name="图片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图片 134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167640" cy="220980"/>
                    </a:xfrm>
                    <a:prstGeom prst="rect">
                      <a:avLst/>
                    </a:prstGeom>
                    <a:noFill/>
                    <a:ln>
                      <a:noFill/>
                    </a:ln>
                  </pic:spPr>
                </pic:pic>
              </a:graphicData>
            </a:graphic>
          </wp:inline>
        </w:drawing>
      </w:r>
      <w:r>
        <w:rPr>
          <w:color w:val="auto"/>
        </w:rPr>
        <w:t>——溶解相一级反应速率（1/d）</w:t>
      </w:r>
    </w:p>
    <w:p w14:paraId="47AE5A42">
      <w:pPr>
        <w:keepNext w:val="0"/>
        <w:keepLines w:val="0"/>
        <w:pageBreakBefore w:val="0"/>
        <w:widowControl w:val="0"/>
        <w:kinsoku/>
        <w:wordWrap/>
        <w:overflowPunct/>
        <w:topLinePunct w:val="0"/>
        <w:autoSpaceDE/>
        <w:autoSpaceDN/>
        <w:bidi w:val="0"/>
        <w:adjustRightInd/>
        <w:snapToGrid w:val="0"/>
        <w:textAlignment w:val="auto"/>
        <w:rPr>
          <w:color w:val="auto"/>
        </w:rPr>
      </w:pPr>
      <w:r>
        <w:rPr>
          <w:rFonts w:hint="eastAsia"/>
          <w:color w:val="auto"/>
          <w:lang w:val="en-US" w:eastAsia="zh-CN"/>
        </w:rPr>
        <w:t xml:space="preserve">  </w:t>
      </w:r>
      <w:r>
        <w:rPr>
          <w:color w:val="auto"/>
        </w:rPr>
        <w:drawing>
          <wp:inline distT="0" distB="0" distL="0" distR="0">
            <wp:extent cx="182880" cy="220980"/>
            <wp:effectExtent l="0" t="0" r="7620" b="5715"/>
            <wp:docPr id="1347" name="图片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图片 134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182880" cy="220980"/>
                    </a:xfrm>
                    <a:prstGeom prst="rect">
                      <a:avLst/>
                    </a:prstGeom>
                    <a:noFill/>
                    <a:ln>
                      <a:noFill/>
                    </a:ln>
                  </pic:spPr>
                </pic:pic>
              </a:graphicData>
            </a:graphic>
          </wp:inline>
        </w:drawing>
      </w:r>
      <w:r>
        <w:rPr>
          <w:color w:val="auto"/>
        </w:rPr>
        <w:t>——吸附相反应速率，（L/mg·d）</w:t>
      </w:r>
    </w:p>
    <w:p w14:paraId="38A51840">
      <w:pPr>
        <w:bidi w:val="0"/>
        <w:rPr>
          <w:color w:val="auto"/>
        </w:rPr>
      </w:pPr>
      <w:r>
        <w:rPr>
          <w:color w:val="auto"/>
        </w:rPr>
        <w:t>2）预测软件</w:t>
      </w:r>
    </w:p>
    <w:p w14:paraId="6A78FD5B">
      <w:pPr>
        <w:bidi w:val="0"/>
        <w:rPr>
          <w:color w:val="auto"/>
        </w:rPr>
      </w:pPr>
      <w:r>
        <w:rPr>
          <w:color w:val="auto"/>
        </w:rPr>
        <w:t>MT3DMS模块是Visual MODFLOW软件中的模块之一，它是模拟地下水系统中对流、弥散和化学反应的三维溶质运移模型。在利用MODFLOW模块模拟计算评价区地下水的流场后，采用Visual MODFLOW中的MT3DMS预测本项目非正常状况下污染物的运移特征及浓度变化趋势。</w:t>
      </w:r>
    </w:p>
    <w:p w14:paraId="7E9F27AA">
      <w:pPr>
        <w:ind w:firstLine="480"/>
        <w:rPr>
          <w:color w:val="auto"/>
        </w:rPr>
      </w:pPr>
      <w:r>
        <w:rPr>
          <w:color w:val="auto"/>
        </w:rPr>
        <w:t>3）污染源源项分析</w:t>
      </w:r>
    </w:p>
    <w:p w14:paraId="08B08874">
      <w:pPr>
        <w:ind w:firstLine="480"/>
        <w:rPr>
          <w:color w:val="auto"/>
        </w:rPr>
      </w:pPr>
      <w:r>
        <w:rPr>
          <w:color w:val="auto"/>
        </w:rPr>
        <w:t>本次环评将重点针对以下区域进行地下水影响预测：</w:t>
      </w:r>
    </w:p>
    <w:p w14:paraId="46DA46DC">
      <w:pPr>
        <w:ind w:firstLine="480"/>
        <w:rPr>
          <w:color w:val="auto"/>
        </w:rPr>
      </w:pPr>
      <w:r>
        <w:rPr>
          <w:rFonts w:hint="eastAsia"/>
          <w:color w:val="auto"/>
        </w:rPr>
        <w:t>①主体工程</w:t>
      </w:r>
    </w:p>
    <w:p w14:paraId="6540F24A">
      <w:pPr>
        <w:ind w:firstLine="480"/>
        <w:rPr>
          <w:rFonts w:eastAsia="宋体"/>
          <w:color w:val="auto"/>
        </w:rPr>
      </w:pPr>
      <w:r>
        <w:rPr>
          <w:rFonts w:hint="eastAsia" w:eastAsia="宋体"/>
          <w:color w:val="auto"/>
        </w:rPr>
        <w:t>一级处理单元</w:t>
      </w:r>
      <w:r>
        <w:rPr>
          <w:rFonts w:eastAsia="宋体"/>
          <w:color w:val="auto"/>
        </w:rPr>
        <w:t>：</w:t>
      </w:r>
      <w:r>
        <w:rPr>
          <w:rFonts w:hint="eastAsia" w:eastAsia="宋体"/>
          <w:color w:val="auto"/>
        </w:rPr>
        <w:t>超细格栅池</w:t>
      </w:r>
      <w:r>
        <w:rPr>
          <w:color w:val="auto"/>
        </w:rPr>
        <w:t>、</w:t>
      </w:r>
      <w:r>
        <w:rPr>
          <w:rFonts w:hint="eastAsia" w:eastAsia="宋体"/>
          <w:color w:val="auto"/>
        </w:rPr>
        <w:t>调节池、水解酸化池；</w:t>
      </w:r>
    </w:p>
    <w:p w14:paraId="5FDA38A5">
      <w:pPr>
        <w:ind w:firstLine="480"/>
        <w:rPr>
          <w:color w:val="auto"/>
        </w:rPr>
      </w:pPr>
      <w:r>
        <w:rPr>
          <w:rFonts w:hint="eastAsia" w:eastAsia="宋体"/>
          <w:color w:val="auto"/>
        </w:rPr>
        <w:t>二级处理单元</w:t>
      </w:r>
      <w:r>
        <w:rPr>
          <w:rFonts w:eastAsia="宋体"/>
          <w:color w:val="auto"/>
        </w:rPr>
        <w:t>：</w:t>
      </w:r>
      <w:r>
        <w:rPr>
          <w:rFonts w:hint="eastAsia" w:eastAsia="宋体"/>
          <w:color w:val="auto"/>
        </w:rPr>
        <w:t>微氧低循环生化池</w:t>
      </w:r>
      <w:r>
        <w:rPr>
          <w:color w:val="auto"/>
        </w:rPr>
        <w:t>、</w:t>
      </w:r>
      <w:r>
        <w:rPr>
          <w:rFonts w:hint="eastAsia"/>
          <w:color w:val="auto"/>
        </w:rPr>
        <w:t>反硝化深床滤池；</w:t>
      </w:r>
    </w:p>
    <w:p w14:paraId="0EEC7937">
      <w:pPr>
        <w:ind w:firstLine="480"/>
        <w:rPr>
          <w:rFonts w:eastAsia="宋体"/>
          <w:color w:val="auto"/>
        </w:rPr>
      </w:pPr>
      <w:r>
        <w:rPr>
          <w:rFonts w:hint="eastAsia"/>
          <w:color w:val="auto"/>
        </w:rPr>
        <w:t>深度处理单元：高级氧化撬装设备；</w:t>
      </w:r>
    </w:p>
    <w:p w14:paraId="21D67A1C">
      <w:pPr>
        <w:ind w:firstLine="480"/>
        <w:rPr>
          <w:rFonts w:eastAsia="宋体"/>
          <w:color w:val="auto"/>
        </w:rPr>
      </w:pPr>
      <w:r>
        <w:rPr>
          <w:rFonts w:hint="eastAsia" w:ascii="宋体" w:hAnsi="宋体" w:eastAsia="宋体" w:cs="宋体"/>
          <w:color w:val="auto"/>
        </w:rPr>
        <w:t>②</w:t>
      </w:r>
      <w:r>
        <w:rPr>
          <w:rFonts w:hint="eastAsia" w:eastAsia="宋体"/>
          <w:color w:val="auto"/>
        </w:rPr>
        <w:t>配套</w:t>
      </w:r>
      <w:r>
        <w:rPr>
          <w:rFonts w:eastAsia="宋体"/>
          <w:color w:val="auto"/>
        </w:rPr>
        <w:t>工程</w:t>
      </w:r>
    </w:p>
    <w:p w14:paraId="52AF37E6">
      <w:pPr>
        <w:ind w:firstLine="480"/>
        <w:rPr>
          <w:color w:val="auto"/>
        </w:rPr>
      </w:pPr>
      <w:r>
        <w:rPr>
          <w:rFonts w:hint="eastAsia"/>
          <w:color w:val="auto"/>
        </w:rPr>
        <w:t>污泥处理单元：磁混凝沉淀池、污泥池。</w:t>
      </w:r>
    </w:p>
    <w:p w14:paraId="63269D2D">
      <w:pPr>
        <w:ind w:firstLine="480"/>
        <w:rPr>
          <w:color w:val="auto"/>
        </w:rPr>
      </w:pPr>
      <w:r>
        <w:rPr>
          <w:rFonts w:hint="eastAsia"/>
          <w:color w:val="auto"/>
        </w:rPr>
        <w:t>非正常状况下，污水处理厂</w:t>
      </w:r>
      <w:r>
        <w:rPr>
          <w:color w:val="auto"/>
        </w:rPr>
        <w:t>主要废水池体因腐蚀等原因出现裂缝，池体防渗层裂缝面积占池体面积10%，</w:t>
      </w:r>
      <w:r>
        <w:rPr>
          <w:rFonts w:hint="eastAsia"/>
          <w:color w:val="auto"/>
        </w:rPr>
        <w:t>各</w:t>
      </w:r>
      <w:r>
        <w:rPr>
          <w:color w:val="auto"/>
        </w:rPr>
        <w:t>池体内水位高度</w:t>
      </w:r>
      <w:r>
        <w:rPr>
          <w:rFonts w:hint="eastAsia"/>
          <w:color w:val="auto"/>
        </w:rPr>
        <w:t>分别</w:t>
      </w:r>
      <w:r>
        <w:rPr>
          <w:color w:val="auto"/>
        </w:rPr>
        <w:t>取</w:t>
      </w:r>
      <w:r>
        <w:rPr>
          <w:rFonts w:hint="eastAsia"/>
          <w:color w:val="auto"/>
        </w:rPr>
        <w:t>各自</w:t>
      </w:r>
      <w:r>
        <w:rPr>
          <w:color w:val="auto"/>
        </w:rPr>
        <w:t>有效水深。</w:t>
      </w:r>
      <w:r>
        <w:rPr>
          <w:rFonts w:hint="eastAsia"/>
          <w:color w:val="auto"/>
        </w:rPr>
        <w:t>因项目设定的地下水环境监测井的监测频率为每个季度1次，本次考虑废</w:t>
      </w:r>
      <w:r>
        <w:rPr>
          <w:color w:val="auto"/>
        </w:rPr>
        <w:t>水处理站</w:t>
      </w:r>
      <w:r>
        <w:rPr>
          <w:rFonts w:hint="eastAsia"/>
          <w:color w:val="auto"/>
        </w:rPr>
        <w:t>泄漏时长为3个月。</w:t>
      </w:r>
    </w:p>
    <w:p w14:paraId="15BBC47E">
      <w:pPr>
        <w:ind w:firstLine="480"/>
        <w:rPr>
          <w:color w:val="auto"/>
        </w:rPr>
      </w:pPr>
      <w:r>
        <w:rPr>
          <w:color w:val="auto"/>
        </w:rPr>
        <w:t>根据本项目生产工艺，</w:t>
      </w:r>
      <w:r>
        <w:rPr>
          <w:rFonts w:hint="eastAsia"/>
          <w:color w:val="auto"/>
        </w:rPr>
        <w:t>结合前述污染源强计算结果，</w:t>
      </w:r>
      <w:r>
        <w:rPr>
          <w:color w:val="auto"/>
        </w:rPr>
        <w:t>在</w:t>
      </w:r>
      <w:r>
        <w:rPr>
          <w:rFonts w:hint="eastAsia"/>
          <w:color w:val="auto"/>
        </w:rPr>
        <w:t>非正常</w:t>
      </w:r>
      <w:r>
        <w:rPr>
          <w:color w:val="auto"/>
        </w:rPr>
        <w:t>状况下本项目污染源源项分析见</w:t>
      </w:r>
      <w:r>
        <w:rPr>
          <w:rFonts w:hint="eastAsia"/>
          <w:color w:val="auto"/>
          <w:lang w:val="en-US" w:eastAsia="zh-CN"/>
        </w:rPr>
        <w:t>下表</w:t>
      </w:r>
      <w:r>
        <w:rPr>
          <w:color w:val="auto"/>
        </w:rPr>
        <w:t>。</w:t>
      </w:r>
    </w:p>
    <w:p w14:paraId="7946A42D">
      <w:pPr>
        <w:pStyle w:val="19"/>
        <w:numPr>
          <w:ilvl w:val="0"/>
          <w:numId w:val="31"/>
        </w:numPr>
        <w:bidi w:val="0"/>
        <w:ind w:left="1440" w:leftChars="0" w:firstLine="0" w:firstLineChars="0"/>
        <w:rPr>
          <w:color w:val="auto"/>
        </w:rPr>
      </w:pPr>
      <w:r>
        <w:rPr>
          <w:color w:val="auto"/>
        </w:rPr>
        <w:t>非正常运行状况污染源源项分析</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3"/>
        <w:gridCol w:w="852"/>
        <w:gridCol w:w="1716"/>
        <w:gridCol w:w="1522"/>
        <w:gridCol w:w="575"/>
        <w:gridCol w:w="728"/>
        <w:gridCol w:w="696"/>
        <w:gridCol w:w="583"/>
        <w:gridCol w:w="486"/>
        <w:gridCol w:w="664"/>
      </w:tblGrid>
      <w:tr w14:paraId="48DFAC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52" w:type="pct"/>
            <w:gridSpan w:val="3"/>
            <w:vMerge w:val="restart"/>
            <w:tcBorders>
              <w:tl2br w:val="nil"/>
              <w:tr2bl w:val="nil"/>
            </w:tcBorders>
            <w:tcMar>
              <w:left w:w="6" w:type="dxa"/>
              <w:right w:w="6" w:type="dxa"/>
            </w:tcMar>
            <w:vAlign w:val="center"/>
          </w:tcPr>
          <w:p w14:paraId="12A21E55">
            <w:pPr>
              <w:pStyle w:val="714"/>
              <w:rPr>
                <w:b/>
                <w:bCs/>
                <w:color w:val="auto"/>
              </w:rPr>
            </w:pPr>
            <w:r>
              <w:rPr>
                <w:b/>
                <w:bCs/>
                <w:color w:val="auto"/>
              </w:rPr>
              <w:t>赋值区域</w:t>
            </w:r>
          </w:p>
        </w:tc>
        <w:tc>
          <w:tcPr>
            <w:tcW w:w="458" w:type="pct"/>
            <w:vMerge w:val="restart"/>
            <w:tcBorders>
              <w:tl2br w:val="nil"/>
              <w:tr2bl w:val="nil"/>
            </w:tcBorders>
            <w:shd w:val="clear" w:color="auto" w:fill="auto"/>
            <w:noWrap/>
            <w:tcMar>
              <w:left w:w="6" w:type="dxa"/>
              <w:right w:w="6" w:type="dxa"/>
            </w:tcMar>
            <w:vAlign w:val="center"/>
          </w:tcPr>
          <w:p w14:paraId="272D3081">
            <w:pPr>
              <w:pStyle w:val="714"/>
              <w:rPr>
                <w:rFonts w:hint="eastAsia" w:eastAsiaTheme="majorEastAsia"/>
                <w:b/>
                <w:bCs/>
                <w:color w:val="auto"/>
                <w:lang w:eastAsia="zh-CN"/>
              </w:rPr>
            </w:pPr>
            <w:r>
              <w:rPr>
                <w:b/>
                <w:bCs/>
                <w:color w:val="auto"/>
              </w:rPr>
              <w:t>下渗量</w:t>
            </w:r>
            <w:r>
              <w:rPr>
                <w:rFonts w:hint="eastAsia"/>
                <w:b/>
                <w:bCs/>
                <w:color w:val="auto"/>
                <w:lang w:eastAsia="zh-CN"/>
              </w:rPr>
              <w:t>（m³</w:t>
            </w:r>
            <w:r>
              <w:rPr>
                <w:b/>
                <w:bCs/>
                <w:color w:val="auto"/>
              </w:rPr>
              <w:t>/d</w:t>
            </w:r>
            <w:r>
              <w:rPr>
                <w:rFonts w:hint="eastAsia"/>
                <w:b/>
                <w:bCs/>
                <w:color w:val="auto"/>
                <w:lang w:eastAsia="zh-CN"/>
              </w:rPr>
              <w:t>）</w:t>
            </w:r>
          </w:p>
        </w:tc>
        <w:tc>
          <w:tcPr>
            <w:tcW w:w="420" w:type="pct"/>
            <w:vMerge w:val="restart"/>
            <w:tcBorders>
              <w:tl2br w:val="nil"/>
              <w:tr2bl w:val="nil"/>
            </w:tcBorders>
            <w:tcMar>
              <w:left w:w="6" w:type="dxa"/>
              <w:right w:w="6" w:type="dxa"/>
            </w:tcMar>
            <w:vAlign w:val="center"/>
          </w:tcPr>
          <w:p w14:paraId="23B622C4">
            <w:pPr>
              <w:pStyle w:val="714"/>
              <w:rPr>
                <w:b/>
                <w:bCs/>
                <w:color w:val="auto"/>
              </w:rPr>
            </w:pPr>
            <w:r>
              <w:rPr>
                <w:b/>
                <w:bCs/>
                <w:color w:val="auto"/>
              </w:rPr>
              <w:t>下渗时长</w:t>
            </w:r>
          </w:p>
        </w:tc>
        <w:tc>
          <w:tcPr>
            <w:tcW w:w="1410" w:type="pct"/>
            <w:gridSpan w:val="3"/>
            <w:tcBorders>
              <w:tl2br w:val="nil"/>
              <w:tr2bl w:val="nil"/>
            </w:tcBorders>
            <w:tcMar>
              <w:left w:w="6" w:type="dxa"/>
              <w:right w:w="6" w:type="dxa"/>
            </w:tcMar>
            <w:vAlign w:val="center"/>
          </w:tcPr>
          <w:p w14:paraId="7BA47BB4">
            <w:pPr>
              <w:pStyle w:val="714"/>
              <w:rPr>
                <w:b/>
                <w:bCs/>
                <w:color w:val="auto"/>
              </w:rPr>
            </w:pPr>
            <w:r>
              <w:rPr>
                <w:b/>
                <w:bCs/>
                <w:color w:val="auto"/>
              </w:rPr>
              <w:t>污染物总下渗量（kg）</w:t>
            </w:r>
          </w:p>
        </w:tc>
        <w:tc>
          <w:tcPr>
            <w:tcW w:w="857" w:type="pct"/>
            <w:gridSpan w:val="2"/>
            <w:tcBorders>
              <w:tl2br w:val="nil"/>
              <w:tr2bl w:val="nil"/>
            </w:tcBorders>
            <w:tcMar>
              <w:left w:w="6" w:type="dxa"/>
              <w:right w:w="6" w:type="dxa"/>
            </w:tcMar>
            <w:vAlign w:val="center"/>
          </w:tcPr>
          <w:p w14:paraId="62D6F37E">
            <w:pPr>
              <w:pStyle w:val="714"/>
              <w:rPr>
                <w:b/>
                <w:bCs/>
                <w:color w:val="auto"/>
              </w:rPr>
            </w:pPr>
          </w:p>
        </w:tc>
      </w:tr>
      <w:tr w14:paraId="0D83FF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52" w:type="pct"/>
            <w:gridSpan w:val="3"/>
            <w:vMerge w:val="continue"/>
            <w:tcBorders>
              <w:tl2br w:val="nil"/>
              <w:tr2bl w:val="nil"/>
            </w:tcBorders>
            <w:tcMar>
              <w:left w:w="6" w:type="dxa"/>
              <w:right w:w="6" w:type="dxa"/>
            </w:tcMar>
            <w:vAlign w:val="center"/>
          </w:tcPr>
          <w:p w14:paraId="3D48C994">
            <w:pPr>
              <w:pStyle w:val="714"/>
              <w:rPr>
                <w:b/>
                <w:bCs/>
                <w:color w:val="auto"/>
              </w:rPr>
            </w:pPr>
          </w:p>
        </w:tc>
        <w:tc>
          <w:tcPr>
            <w:tcW w:w="458" w:type="pct"/>
            <w:vMerge w:val="continue"/>
            <w:tcBorders>
              <w:tl2br w:val="nil"/>
              <w:tr2bl w:val="nil"/>
            </w:tcBorders>
            <w:shd w:val="clear" w:color="auto" w:fill="auto"/>
            <w:noWrap/>
            <w:tcMar>
              <w:left w:w="6" w:type="dxa"/>
              <w:right w:w="6" w:type="dxa"/>
            </w:tcMar>
            <w:vAlign w:val="center"/>
          </w:tcPr>
          <w:p w14:paraId="149823E0">
            <w:pPr>
              <w:pStyle w:val="714"/>
              <w:rPr>
                <w:b/>
                <w:bCs/>
                <w:color w:val="auto"/>
              </w:rPr>
            </w:pPr>
          </w:p>
        </w:tc>
        <w:tc>
          <w:tcPr>
            <w:tcW w:w="420" w:type="pct"/>
            <w:vMerge w:val="continue"/>
            <w:tcBorders>
              <w:tl2br w:val="nil"/>
              <w:tr2bl w:val="nil"/>
            </w:tcBorders>
            <w:tcMar>
              <w:left w:w="6" w:type="dxa"/>
              <w:right w:w="6" w:type="dxa"/>
            </w:tcMar>
            <w:vAlign w:val="center"/>
          </w:tcPr>
          <w:p w14:paraId="391067A2">
            <w:pPr>
              <w:pStyle w:val="714"/>
              <w:rPr>
                <w:b/>
                <w:bCs/>
                <w:color w:val="auto"/>
              </w:rPr>
            </w:pPr>
          </w:p>
        </w:tc>
        <w:tc>
          <w:tcPr>
            <w:tcW w:w="512" w:type="pct"/>
            <w:tcBorders>
              <w:tl2br w:val="nil"/>
              <w:tr2bl w:val="nil"/>
            </w:tcBorders>
            <w:tcMar>
              <w:left w:w="6" w:type="dxa"/>
              <w:right w:w="6" w:type="dxa"/>
            </w:tcMar>
            <w:vAlign w:val="center"/>
          </w:tcPr>
          <w:p w14:paraId="7B452AFD">
            <w:pPr>
              <w:pStyle w:val="714"/>
              <w:rPr>
                <w:b/>
                <w:bCs/>
                <w:color w:val="auto"/>
              </w:rPr>
            </w:pPr>
            <w:r>
              <w:rPr>
                <w:b/>
                <w:bCs/>
                <w:color w:val="auto"/>
              </w:rPr>
              <w:t>COD</w:t>
            </w:r>
            <w:r>
              <w:rPr>
                <w:b/>
                <w:bCs/>
                <w:color w:val="auto"/>
                <w:vertAlign w:val="subscript"/>
              </w:rPr>
              <w:t>Mn</w:t>
            </w:r>
          </w:p>
        </w:tc>
        <w:tc>
          <w:tcPr>
            <w:tcW w:w="465" w:type="pct"/>
            <w:tcBorders>
              <w:tl2br w:val="nil"/>
              <w:tr2bl w:val="nil"/>
            </w:tcBorders>
            <w:tcMar>
              <w:left w:w="6" w:type="dxa"/>
              <w:right w:w="6" w:type="dxa"/>
            </w:tcMar>
            <w:vAlign w:val="center"/>
          </w:tcPr>
          <w:p w14:paraId="0A728481">
            <w:pPr>
              <w:pStyle w:val="714"/>
              <w:rPr>
                <w:b/>
                <w:bCs/>
                <w:color w:val="auto"/>
              </w:rPr>
            </w:pPr>
            <w:r>
              <w:rPr>
                <w:rFonts w:hint="eastAsia"/>
                <w:b/>
                <w:bCs/>
                <w:color w:val="auto"/>
              </w:rPr>
              <w:t>氨氮</w:t>
            </w:r>
          </w:p>
        </w:tc>
        <w:tc>
          <w:tcPr>
            <w:tcW w:w="431" w:type="pct"/>
            <w:tcBorders>
              <w:tl2br w:val="nil"/>
              <w:tr2bl w:val="nil"/>
            </w:tcBorders>
            <w:tcMar>
              <w:left w:w="6" w:type="dxa"/>
              <w:right w:w="6" w:type="dxa"/>
            </w:tcMar>
            <w:vAlign w:val="center"/>
          </w:tcPr>
          <w:p w14:paraId="467B6F12">
            <w:pPr>
              <w:pStyle w:val="714"/>
              <w:rPr>
                <w:b/>
                <w:bCs/>
                <w:color w:val="auto"/>
              </w:rPr>
            </w:pPr>
            <w:r>
              <w:rPr>
                <w:rFonts w:hint="eastAsia"/>
                <w:b/>
                <w:bCs/>
                <w:color w:val="auto"/>
              </w:rPr>
              <w:t>总磷</w:t>
            </w:r>
          </w:p>
        </w:tc>
        <w:tc>
          <w:tcPr>
            <w:tcW w:w="372" w:type="pct"/>
            <w:tcBorders>
              <w:tl2br w:val="nil"/>
              <w:tr2bl w:val="nil"/>
            </w:tcBorders>
            <w:tcMar>
              <w:left w:w="6" w:type="dxa"/>
              <w:right w:w="6" w:type="dxa"/>
            </w:tcMar>
            <w:vAlign w:val="center"/>
          </w:tcPr>
          <w:p w14:paraId="013F55A2">
            <w:pPr>
              <w:pStyle w:val="714"/>
              <w:rPr>
                <w:b/>
                <w:bCs/>
                <w:color w:val="auto"/>
              </w:rPr>
            </w:pPr>
            <w:r>
              <w:rPr>
                <w:rFonts w:hint="eastAsia"/>
                <w:b/>
                <w:bCs/>
                <w:color w:val="auto"/>
              </w:rPr>
              <w:t>甲醛</w:t>
            </w:r>
          </w:p>
        </w:tc>
        <w:tc>
          <w:tcPr>
            <w:tcW w:w="485" w:type="pct"/>
            <w:tcBorders>
              <w:tl2br w:val="nil"/>
              <w:tr2bl w:val="nil"/>
            </w:tcBorders>
            <w:tcMar>
              <w:left w:w="6" w:type="dxa"/>
              <w:right w:w="6" w:type="dxa"/>
            </w:tcMar>
            <w:vAlign w:val="center"/>
          </w:tcPr>
          <w:p w14:paraId="673307A6">
            <w:pPr>
              <w:pStyle w:val="714"/>
              <w:rPr>
                <w:b/>
                <w:bCs/>
                <w:color w:val="auto"/>
              </w:rPr>
            </w:pPr>
            <w:r>
              <w:rPr>
                <w:rFonts w:hint="eastAsia"/>
                <w:b/>
                <w:bCs/>
                <w:color w:val="auto"/>
              </w:rPr>
              <w:t>石油类</w:t>
            </w:r>
          </w:p>
        </w:tc>
      </w:tr>
      <w:tr w14:paraId="1146D9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tcBorders>
              <w:tl2br w:val="nil"/>
              <w:tr2bl w:val="nil"/>
            </w:tcBorders>
            <w:shd w:val="clear" w:color="auto" w:fill="auto"/>
            <w:tcMar>
              <w:left w:w="6" w:type="dxa"/>
              <w:right w:w="6" w:type="dxa"/>
            </w:tcMar>
            <w:vAlign w:val="center"/>
          </w:tcPr>
          <w:p w14:paraId="78ED6FA6">
            <w:pPr>
              <w:pStyle w:val="714"/>
              <w:rPr>
                <w:color w:val="auto"/>
              </w:rPr>
            </w:pPr>
            <w:r>
              <w:rPr>
                <w:rFonts w:hint="eastAsia"/>
                <w:color w:val="auto"/>
              </w:rPr>
              <w:t>一</w:t>
            </w:r>
            <w:r>
              <w:rPr>
                <w:color w:val="auto"/>
              </w:rPr>
              <w:t>类</w:t>
            </w:r>
          </w:p>
        </w:tc>
        <w:tc>
          <w:tcPr>
            <w:tcW w:w="375" w:type="pct"/>
            <w:vMerge w:val="restart"/>
            <w:tcBorders>
              <w:tl2br w:val="nil"/>
              <w:tr2bl w:val="nil"/>
            </w:tcBorders>
            <w:shd w:val="clear" w:color="auto" w:fill="auto"/>
            <w:noWrap/>
            <w:tcMar>
              <w:left w:w="6" w:type="dxa"/>
              <w:right w:w="6" w:type="dxa"/>
            </w:tcMar>
            <w:vAlign w:val="center"/>
          </w:tcPr>
          <w:p w14:paraId="533AA759">
            <w:pPr>
              <w:pStyle w:val="714"/>
              <w:rPr>
                <w:color w:val="auto"/>
              </w:rPr>
            </w:pPr>
            <w:r>
              <w:rPr>
                <w:rFonts w:hint="eastAsia"/>
                <w:color w:val="auto"/>
              </w:rPr>
              <w:t>一级处理</w:t>
            </w:r>
          </w:p>
        </w:tc>
        <w:tc>
          <w:tcPr>
            <w:tcW w:w="1105" w:type="pct"/>
            <w:tcBorders>
              <w:tl2br w:val="nil"/>
              <w:tr2bl w:val="nil"/>
            </w:tcBorders>
            <w:shd w:val="clear" w:color="auto" w:fill="auto"/>
            <w:noWrap/>
            <w:tcMar>
              <w:left w:w="6" w:type="dxa"/>
              <w:right w:w="6" w:type="dxa"/>
            </w:tcMar>
            <w:vAlign w:val="center"/>
          </w:tcPr>
          <w:p w14:paraId="0B7BEF0A">
            <w:pPr>
              <w:pStyle w:val="714"/>
              <w:rPr>
                <w:rFonts w:eastAsia="宋体" w:cs="Times New Roman"/>
                <w:color w:val="auto"/>
                <w:szCs w:val="21"/>
              </w:rPr>
            </w:pPr>
            <w:r>
              <w:rPr>
                <w:rFonts w:hint="eastAsia" w:eastAsia="宋体" w:cs="Times New Roman"/>
                <w:color w:val="auto"/>
              </w:rPr>
              <w:t>超细格栅池</w:t>
            </w:r>
          </w:p>
        </w:tc>
        <w:tc>
          <w:tcPr>
            <w:tcW w:w="458" w:type="pct"/>
            <w:tcBorders>
              <w:tl2br w:val="nil"/>
              <w:tr2bl w:val="nil"/>
            </w:tcBorders>
            <w:shd w:val="clear" w:color="auto" w:fill="auto"/>
            <w:noWrap/>
            <w:tcMar>
              <w:left w:w="6" w:type="dxa"/>
              <w:right w:w="6" w:type="dxa"/>
            </w:tcMar>
            <w:vAlign w:val="center"/>
          </w:tcPr>
          <w:p w14:paraId="4C4D722D">
            <w:pPr>
              <w:pStyle w:val="714"/>
              <w:rPr>
                <w:color w:val="auto"/>
              </w:rPr>
            </w:pPr>
            <w:r>
              <w:rPr>
                <w:rFonts w:hint="eastAsia" w:cs="Times New Roman"/>
                <w:color w:val="auto"/>
              </w:rPr>
              <w:t>0.64</w:t>
            </w:r>
          </w:p>
        </w:tc>
        <w:tc>
          <w:tcPr>
            <w:tcW w:w="420" w:type="pct"/>
            <w:vMerge w:val="restart"/>
            <w:tcBorders>
              <w:tl2br w:val="nil"/>
              <w:tr2bl w:val="nil"/>
            </w:tcBorders>
            <w:tcMar>
              <w:left w:w="6" w:type="dxa"/>
              <w:right w:w="6" w:type="dxa"/>
            </w:tcMar>
            <w:vAlign w:val="center"/>
          </w:tcPr>
          <w:p w14:paraId="6D396329">
            <w:pPr>
              <w:pStyle w:val="714"/>
              <w:rPr>
                <w:color w:val="auto"/>
              </w:rPr>
            </w:pPr>
            <w:r>
              <w:rPr>
                <w:rFonts w:hint="eastAsia"/>
                <w:color w:val="auto"/>
              </w:rPr>
              <w:t>短时泄漏持续</w:t>
            </w:r>
            <w:r>
              <w:rPr>
                <w:color w:val="auto"/>
              </w:rPr>
              <w:t>90d</w:t>
            </w:r>
          </w:p>
        </w:tc>
        <w:tc>
          <w:tcPr>
            <w:tcW w:w="512" w:type="pct"/>
            <w:tcBorders>
              <w:tl2br w:val="nil"/>
              <w:tr2bl w:val="nil"/>
            </w:tcBorders>
            <w:tcMar>
              <w:left w:w="6" w:type="dxa"/>
              <w:right w:w="6" w:type="dxa"/>
            </w:tcMar>
            <w:vAlign w:val="center"/>
          </w:tcPr>
          <w:p w14:paraId="3D897782">
            <w:pPr>
              <w:pStyle w:val="714"/>
              <w:rPr>
                <w:rFonts w:eastAsia="宋体" w:cs="Times New Roman"/>
                <w:color w:val="auto"/>
                <w:szCs w:val="21"/>
              </w:rPr>
            </w:pPr>
            <w:r>
              <w:rPr>
                <w:rFonts w:eastAsia="宋体" w:cs="Times New Roman"/>
                <w:color w:val="auto"/>
                <w:szCs w:val="21"/>
              </w:rPr>
              <w:t xml:space="preserve">6.720 </w:t>
            </w:r>
          </w:p>
        </w:tc>
        <w:tc>
          <w:tcPr>
            <w:tcW w:w="465" w:type="pct"/>
            <w:tcBorders>
              <w:tl2br w:val="nil"/>
              <w:tr2bl w:val="nil"/>
            </w:tcBorders>
            <w:tcMar>
              <w:left w:w="6" w:type="dxa"/>
              <w:right w:w="6" w:type="dxa"/>
            </w:tcMar>
            <w:vAlign w:val="center"/>
          </w:tcPr>
          <w:p w14:paraId="37D7EBB4">
            <w:pPr>
              <w:pStyle w:val="714"/>
              <w:rPr>
                <w:rFonts w:eastAsia="宋体" w:cs="Times New Roman"/>
                <w:color w:val="auto"/>
                <w:szCs w:val="21"/>
              </w:rPr>
            </w:pPr>
            <w:r>
              <w:rPr>
                <w:rFonts w:eastAsia="宋体" w:cs="Times New Roman"/>
                <w:color w:val="auto"/>
                <w:szCs w:val="21"/>
              </w:rPr>
              <w:t xml:space="preserve">2.880 </w:t>
            </w:r>
          </w:p>
        </w:tc>
        <w:tc>
          <w:tcPr>
            <w:tcW w:w="431" w:type="pct"/>
            <w:tcBorders>
              <w:tl2br w:val="nil"/>
              <w:tr2bl w:val="nil"/>
            </w:tcBorders>
            <w:tcMar>
              <w:left w:w="6" w:type="dxa"/>
              <w:right w:w="6" w:type="dxa"/>
            </w:tcMar>
            <w:vAlign w:val="center"/>
          </w:tcPr>
          <w:p w14:paraId="01497303">
            <w:pPr>
              <w:pStyle w:val="714"/>
              <w:rPr>
                <w:rFonts w:eastAsia="宋体" w:cs="Times New Roman"/>
                <w:color w:val="auto"/>
                <w:szCs w:val="21"/>
              </w:rPr>
            </w:pPr>
            <w:r>
              <w:rPr>
                <w:rFonts w:eastAsia="宋体" w:cs="Times New Roman"/>
                <w:color w:val="auto"/>
                <w:szCs w:val="21"/>
              </w:rPr>
              <w:t xml:space="preserve">0.230 </w:t>
            </w:r>
          </w:p>
        </w:tc>
        <w:tc>
          <w:tcPr>
            <w:tcW w:w="372" w:type="pct"/>
            <w:tcBorders>
              <w:tl2br w:val="nil"/>
              <w:tr2bl w:val="nil"/>
            </w:tcBorders>
            <w:tcMar>
              <w:left w:w="6" w:type="dxa"/>
              <w:right w:w="6" w:type="dxa"/>
            </w:tcMar>
            <w:vAlign w:val="center"/>
          </w:tcPr>
          <w:p w14:paraId="4268329A">
            <w:pPr>
              <w:pStyle w:val="714"/>
              <w:rPr>
                <w:rFonts w:eastAsia="宋体" w:cs="Times New Roman"/>
                <w:color w:val="auto"/>
                <w:szCs w:val="21"/>
              </w:rPr>
            </w:pPr>
            <w:r>
              <w:rPr>
                <w:rFonts w:eastAsia="宋体" w:cs="Times New Roman"/>
                <w:color w:val="auto"/>
                <w:szCs w:val="21"/>
              </w:rPr>
              <w:t xml:space="preserve">0.058 </w:t>
            </w:r>
          </w:p>
        </w:tc>
        <w:tc>
          <w:tcPr>
            <w:tcW w:w="485" w:type="pct"/>
            <w:tcBorders>
              <w:tl2br w:val="nil"/>
              <w:tr2bl w:val="nil"/>
            </w:tcBorders>
            <w:tcMar>
              <w:left w:w="6" w:type="dxa"/>
              <w:right w:w="6" w:type="dxa"/>
            </w:tcMar>
            <w:vAlign w:val="center"/>
          </w:tcPr>
          <w:p w14:paraId="4AA747AA">
            <w:pPr>
              <w:pStyle w:val="714"/>
              <w:rPr>
                <w:rFonts w:eastAsia="宋体" w:cs="Times New Roman"/>
                <w:color w:val="auto"/>
                <w:szCs w:val="21"/>
              </w:rPr>
            </w:pPr>
            <w:r>
              <w:rPr>
                <w:rFonts w:eastAsia="宋体" w:cs="Times New Roman"/>
                <w:color w:val="auto"/>
                <w:szCs w:val="21"/>
              </w:rPr>
              <w:t xml:space="preserve">0.058 </w:t>
            </w:r>
          </w:p>
        </w:tc>
      </w:tr>
      <w:tr w14:paraId="3B94B8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tcBorders>
              <w:tl2br w:val="nil"/>
              <w:tr2bl w:val="nil"/>
            </w:tcBorders>
            <w:shd w:val="clear" w:color="auto" w:fill="auto"/>
            <w:tcMar>
              <w:left w:w="6" w:type="dxa"/>
              <w:right w:w="6" w:type="dxa"/>
            </w:tcMar>
            <w:vAlign w:val="center"/>
          </w:tcPr>
          <w:p w14:paraId="30BF6789">
            <w:pPr>
              <w:pStyle w:val="714"/>
              <w:rPr>
                <w:color w:val="auto"/>
              </w:rPr>
            </w:pPr>
            <w:r>
              <w:rPr>
                <w:rFonts w:hint="eastAsia"/>
                <w:color w:val="auto"/>
              </w:rPr>
              <w:t>二</w:t>
            </w:r>
            <w:r>
              <w:rPr>
                <w:color w:val="auto"/>
              </w:rPr>
              <w:t>类</w:t>
            </w:r>
          </w:p>
        </w:tc>
        <w:tc>
          <w:tcPr>
            <w:tcW w:w="375" w:type="pct"/>
            <w:vMerge w:val="continue"/>
            <w:tcBorders>
              <w:tl2br w:val="nil"/>
              <w:tr2bl w:val="nil"/>
            </w:tcBorders>
            <w:shd w:val="clear" w:color="auto" w:fill="auto"/>
            <w:noWrap/>
            <w:tcMar>
              <w:left w:w="6" w:type="dxa"/>
              <w:right w:w="6" w:type="dxa"/>
            </w:tcMar>
            <w:vAlign w:val="center"/>
          </w:tcPr>
          <w:p w14:paraId="562874C7">
            <w:pPr>
              <w:pStyle w:val="714"/>
              <w:rPr>
                <w:color w:val="auto"/>
              </w:rPr>
            </w:pPr>
          </w:p>
        </w:tc>
        <w:tc>
          <w:tcPr>
            <w:tcW w:w="1105" w:type="pct"/>
            <w:tcBorders>
              <w:tl2br w:val="nil"/>
              <w:tr2bl w:val="nil"/>
            </w:tcBorders>
            <w:shd w:val="clear" w:color="auto" w:fill="auto"/>
            <w:noWrap/>
            <w:tcMar>
              <w:left w:w="6" w:type="dxa"/>
              <w:right w:w="6" w:type="dxa"/>
            </w:tcMar>
            <w:vAlign w:val="center"/>
          </w:tcPr>
          <w:p w14:paraId="09E779C1">
            <w:pPr>
              <w:pStyle w:val="714"/>
              <w:rPr>
                <w:rFonts w:eastAsia="宋体" w:cs="Times New Roman"/>
                <w:color w:val="auto"/>
                <w:szCs w:val="21"/>
              </w:rPr>
            </w:pPr>
            <w:r>
              <w:rPr>
                <w:rFonts w:hint="eastAsia" w:eastAsia="宋体" w:cs="Times New Roman"/>
                <w:color w:val="auto"/>
              </w:rPr>
              <w:t>调节池</w:t>
            </w:r>
          </w:p>
        </w:tc>
        <w:tc>
          <w:tcPr>
            <w:tcW w:w="458" w:type="pct"/>
            <w:tcBorders>
              <w:tl2br w:val="nil"/>
              <w:tr2bl w:val="nil"/>
            </w:tcBorders>
            <w:shd w:val="clear" w:color="auto" w:fill="auto"/>
            <w:noWrap/>
            <w:tcMar>
              <w:left w:w="6" w:type="dxa"/>
              <w:right w:w="6" w:type="dxa"/>
            </w:tcMar>
            <w:vAlign w:val="center"/>
          </w:tcPr>
          <w:p w14:paraId="6137757A">
            <w:pPr>
              <w:pStyle w:val="714"/>
              <w:rPr>
                <w:color w:val="auto"/>
              </w:rPr>
            </w:pPr>
            <w:r>
              <w:rPr>
                <w:rFonts w:hint="eastAsia" w:cs="Times New Roman"/>
                <w:color w:val="auto"/>
              </w:rPr>
              <w:t>4.61</w:t>
            </w:r>
          </w:p>
        </w:tc>
        <w:tc>
          <w:tcPr>
            <w:tcW w:w="420" w:type="pct"/>
            <w:vMerge w:val="continue"/>
            <w:tcBorders>
              <w:tl2br w:val="nil"/>
              <w:tr2bl w:val="nil"/>
            </w:tcBorders>
            <w:tcMar>
              <w:left w:w="6" w:type="dxa"/>
              <w:right w:w="6" w:type="dxa"/>
            </w:tcMar>
            <w:vAlign w:val="center"/>
          </w:tcPr>
          <w:p w14:paraId="4B5838FC">
            <w:pPr>
              <w:pStyle w:val="714"/>
              <w:rPr>
                <w:color w:val="auto"/>
              </w:rPr>
            </w:pPr>
          </w:p>
        </w:tc>
        <w:tc>
          <w:tcPr>
            <w:tcW w:w="512" w:type="pct"/>
            <w:tcBorders>
              <w:tl2br w:val="nil"/>
              <w:tr2bl w:val="nil"/>
            </w:tcBorders>
            <w:tcMar>
              <w:left w:w="6" w:type="dxa"/>
              <w:right w:w="6" w:type="dxa"/>
            </w:tcMar>
            <w:vAlign w:val="center"/>
          </w:tcPr>
          <w:p w14:paraId="06960027">
            <w:pPr>
              <w:pStyle w:val="714"/>
              <w:rPr>
                <w:rFonts w:eastAsia="宋体" w:cs="Times New Roman"/>
                <w:color w:val="auto"/>
                <w:szCs w:val="21"/>
              </w:rPr>
            </w:pPr>
            <w:r>
              <w:rPr>
                <w:rFonts w:eastAsia="宋体" w:cs="Times New Roman"/>
                <w:color w:val="auto"/>
                <w:szCs w:val="21"/>
              </w:rPr>
              <w:t xml:space="preserve">48.406 </w:t>
            </w:r>
          </w:p>
        </w:tc>
        <w:tc>
          <w:tcPr>
            <w:tcW w:w="465" w:type="pct"/>
            <w:tcBorders>
              <w:tl2br w:val="nil"/>
              <w:tr2bl w:val="nil"/>
            </w:tcBorders>
            <w:tcMar>
              <w:left w:w="6" w:type="dxa"/>
              <w:right w:w="6" w:type="dxa"/>
            </w:tcMar>
            <w:vAlign w:val="center"/>
          </w:tcPr>
          <w:p w14:paraId="38A86D75">
            <w:pPr>
              <w:pStyle w:val="714"/>
              <w:rPr>
                <w:rFonts w:eastAsia="宋体" w:cs="Times New Roman"/>
                <w:color w:val="auto"/>
                <w:szCs w:val="21"/>
              </w:rPr>
            </w:pPr>
            <w:r>
              <w:rPr>
                <w:rFonts w:eastAsia="宋体" w:cs="Times New Roman"/>
                <w:color w:val="auto"/>
                <w:szCs w:val="21"/>
              </w:rPr>
              <w:t xml:space="preserve">20.745 </w:t>
            </w:r>
          </w:p>
        </w:tc>
        <w:tc>
          <w:tcPr>
            <w:tcW w:w="431" w:type="pct"/>
            <w:tcBorders>
              <w:tl2br w:val="nil"/>
              <w:tr2bl w:val="nil"/>
            </w:tcBorders>
            <w:tcMar>
              <w:left w:w="6" w:type="dxa"/>
              <w:right w:w="6" w:type="dxa"/>
            </w:tcMar>
            <w:vAlign w:val="center"/>
          </w:tcPr>
          <w:p w14:paraId="14DD9FF1">
            <w:pPr>
              <w:pStyle w:val="714"/>
              <w:rPr>
                <w:rFonts w:eastAsia="宋体" w:cs="Times New Roman"/>
                <w:color w:val="auto"/>
                <w:szCs w:val="21"/>
              </w:rPr>
            </w:pPr>
            <w:r>
              <w:rPr>
                <w:rFonts w:eastAsia="宋体" w:cs="Times New Roman"/>
                <w:color w:val="auto"/>
                <w:szCs w:val="21"/>
              </w:rPr>
              <w:t xml:space="preserve">1.660 </w:t>
            </w:r>
          </w:p>
        </w:tc>
        <w:tc>
          <w:tcPr>
            <w:tcW w:w="372" w:type="pct"/>
            <w:tcBorders>
              <w:tl2br w:val="nil"/>
              <w:tr2bl w:val="nil"/>
            </w:tcBorders>
            <w:tcMar>
              <w:left w:w="6" w:type="dxa"/>
              <w:right w:w="6" w:type="dxa"/>
            </w:tcMar>
            <w:vAlign w:val="center"/>
          </w:tcPr>
          <w:p w14:paraId="335A0D8C">
            <w:pPr>
              <w:pStyle w:val="714"/>
              <w:rPr>
                <w:rFonts w:eastAsia="宋体" w:cs="Times New Roman"/>
                <w:color w:val="auto"/>
                <w:szCs w:val="21"/>
              </w:rPr>
            </w:pPr>
            <w:r>
              <w:rPr>
                <w:rFonts w:eastAsia="宋体" w:cs="Times New Roman"/>
                <w:color w:val="auto"/>
                <w:szCs w:val="21"/>
              </w:rPr>
              <w:t xml:space="preserve">0.415 </w:t>
            </w:r>
          </w:p>
        </w:tc>
        <w:tc>
          <w:tcPr>
            <w:tcW w:w="485" w:type="pct"/>
            <w:tcBorders>
              <w:tl2br w:val="nil"/>
              <w:tr2bl w:val="nil"/>
            </w:tcBorders>
            <w:tcMar>
              <w:left w:w="6" w:type="dxa"/>
              <w:right w:w="6" w:type="dxa"/>
            </w:tcMar>
            <w:vAlign w:val="center"/>
          </w:tcPr>
          <w:p w14:paraId="23FAF17C">
            <w:pPr>
              <w:pStyle w:val="714"/>
              <w:rPr>
                <w:rFonts w:eastAsia="宋体" w:cs="Times New Roman"/>
                <w:color w:val="auto"/>
                <w:szCs w:val="21"/>
              </w:rPr>
            </w:pPr>
            <w:r>
              <w:rPr>
                <w:rFonts w:eastAsia="宋体" w:cs="Times New Roman"/>
                <w:color w:val="auto"/>
                <w:szCs w:val="21"/>
              </w:rPr>
              <w:t xml:space="preserve">0.415 </w:t>
            </w:r>
          </w:p>
        </w:tc>
      </w:tr>
      <w:tr w14:paraId="02AE17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tcBorders>
              <w:tl2br w:val="nil"/>
              <w:tr2bl w:val="nil"/>
            </w:tcBorders>
            <w:shd w:val="clear" w:color="auto" w:fill="auto"/>
            <w:tcMar>
              <w:left w:w="6" w:type="dxa"/>
              <w:right w:w="6" w:type="dxa"/>
            </w:tcMar>
            <w:vAlign w:val="center"/>
          </w:tcPr>
          <w:p w14:paraId="7F4CFF6A">
            <w:pPr>
              <w:pStyle w:val="714"/>
              <w:rPr>
                <w:color w:val="auto"/>
              </w:rPr>
            </w:pPr>
            <w:r>
              <w:rPr>
                <w:rFonts w:hint="eastAsia"/>
                <w:color w:val="auto"/>
              </w:rPr>
              <w:t>三</w:t>
            </w:r>
            <w:r>
              <w:rPr>
                <w:color w:val="auto"/>
              </w:rPr>
              <w:t>类</w:t>
            </w:r>
          </w:p>
        </w:tc>
        <w:tc>
          <w:tcPr>
            <w:tcW w:w="375" w:type="pct"/>
            <w:vMerge w:val="continue"/>
            <w:tcBorders>
              <w:tl2br w:val="nil"/>
              <w:tr2bl w:val="nil"/>
            </w:tcBorders>
            <w:shd w:val="clear" w:color="auto" w:fill="auto"/>
            <w:noWrap/>
            <w:tcMar>
              <w:left w:w="6" w:type="dxa"/>
              <w:right w:w="6" w:type="dxa"/>
            </w:tcMar>
            <w:vAlign w:val="center"/>
          </w:tcPr>
          <w:p w14:paraId="3E41F51C">
            <w:pPr>
              <w:pStyle w:val="714"/>
              <w:rPr>
                <w:color w:val="auto"/>
              </w:rPr>
            </w:pPr>
          </w:p>
        </w:tc>
        <w:tc>
          <w:tcPr>
            <w:tcW w:w="1105" w:type="pct"/>
            <w:tcBorders>
              <w:tl2br w:val="nil"/>
              <w:tr2bl w:val="nil"/>
            </w:tcBorders>
            <w:shd w:val="clear" w:color="auto" w:fill="auto"/>
            <w:noWrap/>
            <w:tcMar>
              <w:left w:w="6" w:type="dxa"/>
              <w:right w:w="6" w:type="dxa"/>
            </w:tcMar>
            <w:vAlign w:val="center"/>
          </w:tcPr>
          <w:p w14:paraId="24B1D537">
            <w:pPr>
              <w:pStyle w:val="714"/>
              <w:rPr>
                <w:rFonts w:eastAsia="宋体" w:cs="Times New Roman"/>
                <w:color w:val="auto"/>
                <w:szCs w:val="21"/>
              </w:rPr>
            </w:pPr>
            <w:r>
              <w:rPr>
                <w:rFonts w:hint="eastAsia" w:eastAsia="宋体" w:cs="Times New Roman"/>
                <w:color w:val="auto"/>
              </w:rPr>
              <w:t>水解酸化池</w:t>
            </w:r>
          </w:p>
        </w:tc>
        <w:tc>
          <w:tcPr>
            <w:tcW w:w="458" w:type="pct"/>
            <w:tcBorders>
              <w:tl2br w:val="nil"/>
              <w:tr2bl w:val="nil"/>
            </w:tcBorders>
            <w:shd w:val="clear" w:color="auto" w:fill="auto"/>
            <w:noWrap/>
            <w:tcMar>
              <w:left w:w="6" w:type="dxa"/>
              <w:right w:w="6" w:type="dxa"/>
            </w:tcMar>
            <w:vAlign w:val="center"/>
          </w:tcPr>
          <w:p w14:paraId="42C2D715">
            <w:pPr>
              <w:pStyle w:val="714"/>
              <w:rPr>
                <w:color w:val="auto"/>
              </w:rPr>
            </w:pPr>
            <w:r>
              <w:rPr>
                <w:rFonts w:hint="eastAsia" w:cs="Times New Roman"/>
                <w:color w:val="auto"/>
              </w:rPr>
              <w:t>11.68</w:t>
            </w:r>
          </w:p>
        </w:tc>
        <w:tc>
          <w:tcPr>
            <w:tcW w:w="420" w:type="pct"/>
            <w:vMerge w:val="continue"/>
            <w:tcBorders>
              <w:tl2br w:val="nil"/>
              <w:tr2bl w:val="nil"/>
            </w:tcBorders>
            <w:tcMar>
              <w:left w:w="6" w:type="dxa"/>
              <w:right w:w="6" w:type="dxa"/>
            </w:tcMar>
            <w:vAlign w:val="center"/>
          </w:tcPr>
          <w:p w14:paraId="7905C964">
            <w:pPr>
              <w:pStyle w:val="714"/>
              <w:rPr>
                <w:color w:val="auto"/>
              </w:rPr>
            </w:pPr>
          </w:p>
        </w:tc>
        <w:tc>
          <w:tcPr>
            <w:tcW w:w="512" w:type="pct"/>
            <w:tcBorders>
              <w:tl2br w:val="nil"/>
              <w:tr2bl w:val="nil"/>
            </w:tcBorders>
            <w:tcMar>
              <w:left w:w="6" w:type="dxa"/>
              <w:right w:w="6" w:type="dxa"/>
            </w:tcMar>
            <w:vAlign w:val="center"/>
          </w:tcPr>
          <w:p w14:paraId="374B80FA">
            <w:pPr>
              <w:pStyle w:val="714"/>
              <w:rPr>
                <w:rFonts w:eastAsia="宋体" w:cs="Times New Roman"/>
                <w:color w:val="auto"/>
                <w:szCs w:val="21"/>
              </w:rPr>
            </w:pPr>
            <w:r>
              <w:rPr>
                <w:rFonts w:eastAsia="宋体" w:cs="Times New Roman"/>
                <w:color w:val="auto"/>
                <w:szCs w:val="21"/>
              </w:rPr>
              <w:t xml:space="preserve">122.644 </w:t>
            </w:r>
          </w:p>
        </w:tc>
        <w:tc>
          <w:tcPr>
            <w:tcW w:w="465" w:type="pct"/>
            <w:tcBorders>
              <w:tl2br w:val="nil"/>
              <w:tr2bl w:val="nil"/>
            </w:tcBorders>
            <w:tcMar>
              <w:left w:w="6" w:type="dxa"/>
              <w:right w:w="6" w:type="dxa"/>
            </w:tcMar>
            <w:vAlign w:val="center"/>
          </w:tcPr>
          <w:p w14:paraId="53AC76CC">
            <w:pPr>
              <w:pStyle w:val="714"/>
              <w:rPr>
                <w:rFonts w:eastAsia="宋体" w:cs="Times New Roman"/>
                <w:color w:val="auto"/>
                <w:szCs w:val="21"/>
              </w:rPr>
            </w:pPr>
            <w:r>
              <w:rPr>
                <w:rFonts w:eastAsia="宋体" w:cs="Times New Roman"/>
                <w:color w:val="auto"/>
                <w:szCs w:val="21"/>
              </w:rPr>
              <w:t xml:space="preserve">52.560 </w:t>
            </w:r>
          </w:p>
        </w:tc>
        <w:tc>
          <w:tcPr>
            <w:tcW w:w="431" w:type="pct"/>
            <w:tcBorders>
              <w:tl2br w:val="nil"/>
              <w:tr2bl w:val="nil"/>
            </w:tcBorders>
            <w:tcMar>
              <w:left w:w="6" w:type="dxa"/>
              <w:right w:w="6" w:type="dxa"/>
            </w:tcMar>
            <w:vAlign w:val="center"/>
          </w:tcPr>
          <w:p w14:paraId="181A9AF2">
            <w:pPr>
              <w:pStyle w:val="714"/>
              <w:rPr>
                <w:rFonts w:eastAsia="宋体" w:cs="Times New Roman"/>
                <w:color w:val="auto"/>
                <w:szCs w:val="21"/>
              </w:rPr>
            </w:pPr>
            <w:r>
              <w:rPr>
                <w:rFonts w:eastAsia="宋体" w:cs="Times New Roman"/>
                <w:color w:val="auto"/>
                <w:szCs w:val="21"/>
              </w:rPr>
              <w:t xml:space="preserve">4.205 </w:t>
            </w:r>
          </w:p>
        </w:tc>
        <w:tc>
          <w:tcPr>
            <w:tcW w:w="372" w:type="pct"/>
            <w:tcBorders>
              <w:tl2br w:val="nil"/>
              <w:tr2bl w:val="nil"/>
            </w:tcBorders>
            <w:tcMar>
              <w:left w:w="6" w:type="dxa"/>
              <w:right w:w="6" w:type="dxa"/>
            </w:tcMar>
            <w:vAlign w:val="center"/>
          </w:tcPr>
          <w:p w14:paraId="3D04A15F">
            <w:pPr>
              <w:pStyle w:val="714"/>
              <w:rPr>
                <w:rFonts w:eastAsia="宋体" w:cs="Times New Roman"/>
                <w:color w:val="auto"/>
                <w:szCs w:val="21"/>
              </w:rPr>
            </w:pPr>
            <w:r>
              <w:rPr>
                <w:rFonts w:eastAsia="宋体" w:cs="Times New Roman"/>
                <w:color w:val="auto"/>
                <w:szCs w:val="21"/>
              </w:rPr>
              <w:t xml:space="preserve">1.051 </w:t>
            </w:r>
          </w:p>
        </w:tc>
        <w:tc>
          <w:tcPr>
            <w:tcW w:w="485" w:type="pct"/>
            <w:tcBorders>
              <w:tl2br w:val="nil"/>
              <w:tr2bl w:val="nil"/>
            </w:tcBorders>
            <w:tcMar>
              <w:left w:w="6" w:type="dxa"/>
              <w:right w:w="6" w:type="dxa"/>
            </w:tcMar>
            <w:vAlign w:val="center"/>
          </w:tcPr>
          <w:p w14:paraId="2BD50D84">
            <w:pPr>
              <w:pStyle w:val="714"/>
              <w:rPr>
                <w:rFonts w:eastAsia="宋体" w:cs="Times New Roman"/>
                <w:color w:val="auto"/>
                <w:szCs w:val="21"/>
              </w:rPr>
            </w:pPr>
            <w:r>
              <w:rPr>
                <w:rFonts w:eastAsia="宋体" w:cs="Times New Roman"/>
                <w:color w:val="auto"/>
                <w:szCs w:val="21"/>
              </w:rPr>
              <w:t xml:space="preserve">1.051 </w:t>
            </w:r>
          </w:p>
        </w:tc>
      </w:tr>
      <w:tr w14:paraId="41F42F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tcBorders>
              <w:tl2br w:val="nil"/>
              <w:tr2bl w:val="nil"/>
            </w:tcBorders>
            <w:shd w:val="clear" w:color="auto" w:fill="auto"/>
            <w:tcMar>
              <w:left w:w="6" w:type="dxa"/>
              <w:right w:w="6" w:type="dxa"/>
            </w:tcMar>
            <w:vAlign w:val="center"/>
          </w:tcPr>
          <w:p w14:paraId="30A7FE2D">
            <w:pPr>
              <w:pStyle w:val="714"/>
              <w:rPr>
                <w:color w:val="auto"/>
              </w:rPr>
            </w:pPr>
            <w:r>
              <w:rPr>
                <w:rFonts w:hint="eastAsia"/>
                <w:color w:val="auto"/>
              </w:rPr>
              <w:t>四类</w:t>
            </w:r>
          </w:p>
        </w:tc>
        <w:tc>
          <w:tcPr>
            <w:tcW w:w="375" w:type="pct"/>
            <w:vMerge w:val="restart"/>
            <w:tcBorders>
              <w:tl2br w:val="nil"/>
              <w:tr2bl w:val="nil"/>
            </w:tcBorders>
            <w:shd w:val="clear" w:color="auto" w:fill="auto"/>
            <w:noWrap/>
            <w:tcMar>
              <w:left w:w="6" w:type="dxa"/>
              <w:right w:w="6" w:type="dxa"/>
            </w:tcMar>
            <w:vAlign w:val="center"/>
          </w:tcPr>
          <w:p w14:paraId="4D4D7369">
            <w:pPr>
              <w:pStyle w:val="714"/>
              <w:rPr>
                <w:color w:val="auto"/>
              </w:rPr>
            </w:pPr>
            <w:r>
              <w:rPr>
                <w:rFonts w:hint="eastAsia"/>
                <w:color w:val="auto"/>
              </w:rPr>
              <w:t>二级处理</w:t>
            </w:r>
          </w:p>
        </w:tc>
        <w:tc>
          <w:tcPr>
            <w:tcW w:w="1105" w:type="pct"/>
            <w:tcBorders>
              <w:tl2br w:val="nil"/>
              <w:tr2bl w:val="nil"/>
            </w:tcBorders>
            <w:shd w:val="clear" w:color="auto" w:fill="auto"/>
            <w:noWrap/>
            <w:tcMar>
              <w:left w:w="6" w:type="dxa"/>
              <w:right w:w="6" w:type="dxa"/>
            </w:tcMar>
            <w:vAlign w:val="center"/>
          </w:tcPr>
          <w:p w14:paraId="292F87C9">
            <w:pPr>
              <w:pStyle w:val="714"/>
              <w:rPr>
                <w:rFonts w:eastAsia="宋体" w:cs="Times New Roman"/>
                <w:color w:val="auto"/>
                <w:szCs w:val="21"/>
              </w:rPr>
            </w:pPr>
            <w:r>
              <w:rPr>
                <w:rFonts w:hint="eastAsia" w:eastAsia="宋体" w:cs="Times New Roman"/>
                <w:color w:val="auto"/>
              </w:rPr>
              <w:t>微氧低循环生化池</w:t>
            </w:r>
          </w:p>
        </w:tc>
        <w:tc>
          <w:tcPr>
            <w:tcW w:w="458" w:type="pct"/>
            <w:tcBorders>
              <w:tl2br w:val="nil"/>
              <w:tr2bl w:val="nil"/>
            </w:tcBorders>
            <w:shd w:val="clear" w:color="auto" w:fill="auto"/>
            <w:noWrap/>
            <w:tcMar>
              <w:left w:w="6" w:type="dxa"/>
              <w:right w:w="6" w:type="dxa"/>
            </w:tcMar>
            <w:vAlign w:val="center"/>
          </w:tcPr>
          <w:p w14:paraId="0AB6F013">
            <w:pPr>
              <w:pStyle w:val="714"/>
              <w:rPr>
                <w:color w:val="auto"/>
              </w:rPr>
            </w:pPr>
            <w:r>
              <w:rPr>
                <w:rFonts w:hint="eastAsia" w:cs="Times New Roman"/>
                <w:color w:val="auto"/>
              </w:rPr>
              <w:t>26.95</w:t>
            </w:r>
          </w:p>
        </w:tc>
        <w:tc>
          <w:tcPr>
            <w:tcW w:w="420" w:type="pct"/>
            <w:vMerge w:val="continue"/>
            <w:tcBorders>
              <w:tl2br w:val="nil"/>
              <w:tr2bl w:val="nil"/>
            </w:tcBorders>
            <w:tcMar>
              <w:left w:w="6" w:type="dxa"/>
              <w:right w:w="6" w:type="dxa"/>
            </w:tcMar>
            <w:vAlign w:val="center"/>
          </w:tcPr>
          <w:p w14:paraId="550D391A">
            <w:pPr>
              <w:pStyle w:val="714"/>
              <w:rPr>
                <w:color w:val="auto"/>
              </w:rPr>
            </w:pPr>
          </w:p>
        </w:tc>
        <w:tc>
          <w:tcPr>
            <w:tcW w:w="512" w:type="pct"/>
            <w:tcBorders>
              <w:tl2br w:val="nil"/>
              <w:tr2bl w:val="nil"/>
            </w:tcBorders>
            <w:tcMar>
              <w:left w:w="6" w:type="dxa"/>
              <w:right w:w="6" w:type="dxa"/>
            </w:tcMar>
            <w:vAlign w:val="center"/>
          </w:tcPr>
          <w:p w14:paraId="5EC484B4">
            <w:pPr>
              <w:pStyle w:val="714"/>
              <w:rPr>
                <w:rFonts w:eastAsia="宋体" w:cs="Times New Roman"/>
                <w:color w:val="auto"/>
                <w:szCs w:val="21"/>
              </w:rPr>
            </w:pPr>
            <w:r>
              <w:rPr>
                <w:rFonts w:eastAsia="宋体" w:cs="Times New Roman"/>
                <w:color w:val="auto"/>
                <w:szCs w:val="21"/>
              </w:rPr>
              <w:t xml:space="preserve">282.983 </w:t>
            </w:r>
          </w:p>
        </w:tc>
        <w:tc>
          <w:tcPr>
            <w:tcW w:w="465" w:type="pct"/>
            <w:tcBorders>
              <w:tl2br w:val="nil"/>
              <w:tr2bl w:val="nil"/>
            </w:tcBorders>
            <w:tcMar>
              <w:left w:w="6" w:type="dxa"/>
              <w:right w:w="6" w:type="dxa"/>
            </w:tcMar>
            <w:vAlign w:val="center"/>
          </w:tcPr>
          <w:p w14:paraId="665B6C66">
            <w:pPr>
              <w:pStyle w:val="714"/>
              <w:rPr>
                <w:rFonts w:eastAsia="宋体" w:cs="Times New Roman"/>
                <w:color w:val="auto"/>
                <w:szCs w:val="21"/>
              </w:rPr>
            </w:pPr>
            <w:r>
              <w:rPr>
                <w:rFonts w:eastAsia="宋体" w:cs="Times New Roman"/>
                <w:color w:val="auto"/>
                <w:szCs w:val="21"/>
              </w:rPr>
              <w:t xml:space="preserve">121.275 </w:t>
            </w:r>
          </w:p>
        </w:tc>
        <w:tc>
          <w:tcPr>
            <w:tcW w:w="431" w:type="pct"/>
            <w:tcBorders>
              <w:tl2br w:val="nil"/>
              <w:tr2bl w:val="nil"/>
            </w:tcBorders>
            <w:tcMar>
              <w:left w:w="6" w:type="dxa"/>
              <w:right w:w="6" w:type="dxa"/>
            </w:tcMar>
            <w:vAlign w:val="center"/>
          </w:tcPr>
          <w:p w14:paraId="7A819BB8">
            <w:pPr>
              <w:pStyle w:val="714"/>
              <w:rPr>
                <w:rFonts w:eastAsia="宋体" w:cs="Times New Roman"/>
                <w:color w:val="auto"/>
                <w:szCs w:val="21"/>
              </w:rPr>
            </w:pPr>
            <w:r>
              <w:rPr>
                <w:rFonts w:eastAsia="宋体" w:cs="Times New Roman"/>
                <w:color w:val="auto"/>
                <w:szCs w:val="21"/>
              </w:rPr>
              <w:t xml:space="preserve">9.702 </w:t>
            </w:r>
          </w:p>
        </w:tc>
        <w:tc>
          <w:tcPr>
            <w:tcW w:w="372" w:type="pct"/>
            <w:tcBorders>
              <w:tl2br w:val="nil"/>
              <w:tr2bl w:val="nil"/>
            </w:tcBorders>
            <w:tcMar>
              <w:left w:w="6" w:type="dxa"/>
              <w:right w:w="6" w:type="dxa"/>
            </w:tcMar>
            <w:vAlign w:val="center"/>
          </w:tcPr>
          <w:p w14:paraId="6D15018B">
            <w:pPr>
              <w:pStyle w:val="714"/>
              <w:rPr>
                <w:rFonts w:eastAsia="宋体" w:cs="Times New Roman"/>
                <w:color w:val="auto"/>
                <w:szCs w:val="21"/>
              </w:rPr>
            </w:pPr>
            <w:r>
              <w:rPr>
                <w:rFonts w:eastAsia="宋体" w:cs="Times New Roman"/>
                <w:color w:val="auto"/>
                <w:szCs w:val="21"/>
              </w:rPr>
              <w:t xml:space="preserve">2.426 </w:t>
            </w:r>
          </w:p>
        </w:tc>
        <w:tc>
          <w:tcPr>
            <w:tcW w:w="485" w:type="pct"/>
            <w:tcBorders>
              <w:tl2br w:val="nil"/>
              <w:tr2bl w:val="nil"/>
            </w:tcBorders>
            <w:tcMar>
              <w:left w:w="6" w:type="dxa"/>
              <w:right w:w="6" w:type="dxa"/>
            </w:tcMar>
            <w:vAlign w:val="center"/>
          </w:tcPr>
          <w:p w14:paraId="101F1779">
            <w:pPr>
              <w:pStyle w:val="714"/>
              <w:rPr>
                <w:rFonts w:eastAsia="宋体" w:cs="Times New Roman"/>
                <w:color w:val="auto"/>
                <w:szCs w:val="21"/>
              </w:rPr>
            </w:pPr>
            <w:r>
              <w:rPr>
                <w:rFonts w:eastAsia="宋体" w:cs="Times New Roman"/>
                <w:color w:val="auto"/>
                <w:szCs w:val="21"/>
              </w:rPr>
              <w:t xml:space="preserve">2.426 </w:t>
            </w:r>
          </w:p>
        </w:tc>
      </w:tr>
      <w:tr w14:paraId="498564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tcBorders>
              <w:tl2br w:val="nil"/>
              <w:tr2bl w:val="nil"/>
            </w:tcBorders>
            <w:shd w:val="clear" w:color="auto" w:fill="auto"/>
            <w:tcMar>
              <w:left w:w="6" w:type="dxa"/>
              <w:right w:w="6" w:type="dxa"/>
            </w:tcMar>
            <w:vAlign w:val="center"/>
          </w:tcPr>
          <w:p w14:paraId="158FAEFA">
            <w:pPr>
              <w:pStyle w:val="714"/>
              <w:rPr>
                <w:color w:val="auto"/>
              </w:rPr>
            </w:pPr>
            <w:r>
              <w:rPr>
                <w:rFonts w:hint="eastAsia"/>
                <w:color w:val="auto"/>
              </w:rPr>
              <w:t>五类</w:t>
            </w:r>
          </w:p>
        </w:tc>
        <w:tc>
          <w:tcPr>
            <w:tcW w:w="375" w:type="pct"/>
            <w:vMerge w:val="continue"/>
            <w:tcBorders>
              <w:tl2br w:val="nil"/>
              <w:tr2bl w:val="nil"/>
            </w:tcBorders>
            <w:shd w:val="clear" w:color="auto" w:fill="auto"/>
            <w:noWrap/>
            <w:tcMar>
              <w:left w:w="6" w:type="dxa"/>
              <w:right w:w="6" w:type="dxa"/>
            </w:tcMar>
            <w:vAlign w:val="center"/>
          </w:tcPr>
          <w:p w14:paraId="6D368204">
            <w:pPr>
              <w:pStyle w:val="714"/>
              <w:rPr>
                <w:color w:val="auto"/>
              </w:rPr>
            </w:pPr>
          </w:p>
        </w:tc>
        <w:tc>
          <w:tcPr>
            <w:tcW w:w="1105" w:type="pct"/>
            <w:tcBorders>
              <w:tl2br w:val="nil"/>
              <w:tr2bl w:val="nil"/>
            </w:tcBorders>
            <w:shd w:val="clear" w:color="auto" w:fill="auto"/>
            <w:noWrap/>
            <w:tcMar>
              <w:left w:w="6" w:type="dxa"/>
              <w:right w:w="6" w:type="dxa"/>
            </w:tcMar>
            <w:vAlign w:val="center"/>
          </w:tcPr>
          <w:p w14:paraId="532CC2B6">
            <w:pPr>
              <w:pStyle w:val="714"/>
              <w:rPr>
                <w:rFonts w:eastAsia="宋体" w:cs="Times New Roman"/>
                <w:color w:val="auto"/>
                <w:szCs w:val="21"/>
              </w:rPr>
            </w:pPr>
            <w:r>
              <w:rPr>
                <w:rFonts w:hint="eastAsia" w:cs="Times New Roman"/>
                <w:color w:val="auto"/>
              </w:rPr>
              <w:t>反硝化深床滤池</w:t>
            </w:r>
          </w:p>
        </w:tc>
        <w:tc>
          <w:tcPr>
            <w:tcW w:w="458" w:type="pct"/>
            <w:tcBorders>
              <w:tl2br w:val="nil"/>
              <w:tr2bl w:val="nil"/>
            </w:tcBorders>
            <w:shd w:val="clear" w:color="auto" w:fill="auto"/>
            <w:noWrap/>
            <w:tcMar>
              <w:left w:w="6" w:type="dxa"/>
              <w:right w:w="6" w:type="dxa"/>
            </w:tcMar>
            <w:vAlign w:val="center"/>
          </w:tcPr>
          <w:p w14:paraId="5B2113D0">
            <w:pPr>
              <w:pStyle w:val="714"/>
              <w:rPr>
                <w:color w:val="auto"/>
              </w:rPr>
            </w:pPr>
            <w:r>
              <w:rPr>
                <w:rFonts w:hint="eastAsia" w:cs="Times New Roman"/>
                <w:color w:val="auto"/>
              </w:rPr>
              <w:t>33.18</w:t>
            </w:r>
          </w:p>
        </w:tc>
        <w:tc>
          <w:tcPr>
            <w:tcW w:w="420" w:type="pct"/>
            <w:vMerge w:val="continue"/>
            <w:tcBorders>
              <w:tl2br w:val="nil"/>
              <w:tr2bl w:val="nil"/>
            </w:tcBorders>
            <w:tcMar>
              <w:left w:w="6" w:type="dxa"/>
              <w:right w:w="6" w:type="dxa"/>
            </w:tcMar>
            <w:vAlign w:val="center"/>
          </w:tcPr>
          <w:p w14:paraId="3FB8B493">
            <w:pPr>
              <w:pStyle w:val="714"/>
              <w:rPr>
                <w:color w:val="auto"/>
              </w:rPr>
            </w:pPr>
          </w:p>
        </w:tc>
        <w:tc>
          <w:tcPr>
            <w:tcW w:w="512" w:type="pct"/>
            <w:tcBorders>
              <w:tl2br w:val="nil"/>
              <w:tr2bl w:val="nil"/>
            </w:tcBorders>
            <w:tcMar>
              <w:left w:w="6" w:type="dxa"/>
              <w:right w:w="6" w:type="dxa"/>
            </w:tcMar>
            <w:vAlign w:val="center"/>
          </w:tcPr>
          <w:p w14:paraId="5E402F0F">
            <w:pPr>
              <w:pStyle w:val="714"/>
              <w:rPr>
                <w:rFonts w:eastAsia="宋体" w:cs="Times New Roman"/>
                <w:color w:val="auto"/>
                <w:szCs w:val="21"/>
              </w:rPr>
            </w:pPr>
            <w:r>
              <w:rPr>
                <w:rFonts w:eastAsia="宋体" w:cs="Times New Roman"/>
                <w:color w:val="auto"/>
                <w:szCs w:val="21"/>
              </w:rPr>
              <w:t xml:space="preserve">348.400 </w:t>
            </w:r>
          </w:p>
        </w:tc>
        <w:tc>
          <w:tcPr>
            <w:tcW w:w="465" w:type="pct"/>
            <w:tcBorders>
              <w:tl2br w:val="nil"/>
              <w:tr2bl w:val="nil"/>
            </w:tcBorders>
            <w:tcMar>
              <w:left w:w="6" w:type="dxa"/>
              <w:right w:w="6" w:type="dxa"/>
            </w:tcMar>
            <w:vAlign w:val="center"/>
          </w:tcPr>
          <w:p w14:paraId="52B5DC01">
            <w:pPr>
              <w:pStyle w:val="714"/>
              <w:rPr>
                <w:rFonts w:eastAsia="宋体" w:cs="Times New Roman"/>
                <w:color w:val="auto"/>
                <w:szCs w:val="21"/>
              </w:rPr>
            </w:pPr>
            <w:r>
              <w:rPr>
                <w:rFonts w:eastAsia="宋体" w:cs="Times New Roman"/>
                <w:color w:val="auto"/>
                <w:szCs w:val="21"/>
              </w:rPr>
              <w:t xml:space="preserve">149.31 </w:t>
            </w:r>
          </w:p>
        </w:tc>
        <w:tc>
          <w:tcPr>
            <w:tcW w:w="431" w:type="pct"/>
            <w:tcBorders>
              <w:tl2br w:val="nil"/>
              <w:tr2bl w:val="nil"/>
            </w:tcBorders>
            <w:tcMar>
              <w:left w:w="6" w:type="dxa"/>
              <w:right w:w="6" w:type="dxa"/>
            </w:tcMar>
            <w:vAlign w:val="center"/>
          </w:tcPr>
          <w:p w14:paraId="64567419">
            <w:pPr>
              <w:pStyle w:val="714"/>
              <w:rPr>
                <w:rFonts w:eastAsia="宋体" w:cs="Times New Roman"/>
                <w:color w:val="auto"/>
                <w:szCs w:val="21"/>
              </w:rPr>
            </w:pPr>
            <w:r>
              <w:rPr>
                <w:rFonts w:eastAsia="宋体" w:cs="Times New Roman"/>
                <w:color w:val="auto"/>
                <w:szCs w:val="21"/>
              </w:rPr>
              <w:t xml:space="preserve">11.945 </w:t>
            </w:r>
          </w:p>
        </w:tc>
        <w:tc>
          <w:tcPr>
            <w:tcW w:w="372" w:type="pct"/>
            <w:tcBorders>
              <w:tl2br w:val="nil"/>
              <w:tr2bl w:val="nil"/>
            </w:tcBorders>
            <w:tcMar>
              <w:left w:w="6" w:type="dxa"/>
              <w:right w:w="6" w:type="dxa"/>
            </w:tcMar>
            <w:vAlign w:val="center"/>
          </w:tcPr>
          <w:p w14:paraId="1BD0BE89">
            <w:pPr>
              <w:pStyle w:val="714"/>
              <w:rPr>
                <w:rFonts w:eastAsia="宋体" w:cs="Times New Roman"/>
                <w:color w:val="auto"/>
                <w:szCs w:val="21"/>
              </w:rPr>
            </w:pPr>
            <w:r>
              <w:rPr>
                <w:rFonts w:eastAsia="宋体" w:cs="Times New Roman"/>
                <w:color w:val="auto"/>
                <w:szCs w:val="21"/>
              </w:rPr>
              <w:t xml:space="preserve">2.986 </w:t>
            </w:r>
          </w:p>
        </w:tc>
        <w:tc>
          <w:tcPr>
            <w:tcW w:w="485" w:type="pct"/>
            <w:tcBorders>
              <w:tl2br w:val="nil"/>
              <w:tr2bl w:val="nil"/>
            </w:tcBorders>
            <w:tcMar>
              <w:left w:w="6" w:type="dxa"/>
              <w:right w:w="6" w:type="dxa"/>
            </w:tcMar>
            <w:vAlign w:val="center"/>
          </w:tcPr>
          <w:p w14:paraId="761E1BE2">
            <w:pPr>
              <w:pStyle w:val="714"/>
              <w:rPr>
                <w:rFonts w:eastAsia="宋体" w:cs="Times New Roman"/>
                <w:color w:val="auto"/>
                <w:szCs w:val="21"/>
              </w:rPr>
            </w:pPr>
            <w:r>
              <w:rPr>
                <w:rFonts w:eastAsia="宋体" w:cs="Times New Roman"/>
                <w:color w:val="auto"/>
                <w:szCs w:val="21"/>
              </w:rPr>
              <w:t xml:space="preserve">2.986 </w:t>
            </w:r>
          </w:p>
        </w:tc>
      </w:tr>
      <w:tr w14:paraId="02CA5F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tcBorders>
              <w:tl2br w:val="nil"/>
              <w:tr2bl w:val="nil"/>
            </w:tcBorders>
            <w:shd w:val="clear" w:color="auto" w:fill="auto"/>
            <w:tcMar>
              <w:left w:w="6" w:type="dxa"/>
              <w:right w:w="6" w:type="dxa"/>
            </w:tcMar>
            <w:vAlign w:val="center"/>
          </w:tcPr>
          <w:p w14:paraId="7B154679">
            <w:pPr>
              <w:pStyle w:val="714"/>
              <w:rPr>
                <w:color w:val="auto"/>
              </w:rPr>
            </w:pPr>
            <w:r>
              <w:rPr>
                <w:rFonts w:hint="eastAsia"/>
                <w:color w:val="auto"/>
              </w:rPr>
              <w:t>六类</w:t>
            </w:r>
          </w:p>
        </w:tc>
        <w:tc>
          <w:tcPr>
            <w:tcW w:w="375" w:type="pct"/>
            <w:tcBorders>
              <w:tl2br w:val="nil"/>
              <w:tr2bl w:val="nil"/>
            </w:tcBorders>
            <w:shd w:val="clear" w:color="auto" w:fill="auto"/>
            <w:noWrap/>
            <w:tcMar>
              <w:left w:w="6" w:type="dxa"/>
              <w:right w:w="6" w:type="dxa"/>
            </w:tcMar>
            <w:vAlign w:val="center"/>
          </w:tcPr>
          <w:p w14:paraId="0DE3EC98">
            <w:pPr>
              <w:pStyle w:val="714"/>
              <w:rPr>
                <w:color w:val="auto"/>
              </w:rPr>
            </w:pPr>
            <w:r>
              <w:rPr>
                <w:rFonts w:hint="eastAsia"/>
                <w:color w:val="auto"/>
              </w:rPr>
              <w:t>深度处理</w:t>
            </w:r>
          </w:p>
        </w:tc>
        <w:tc>
          <w:tcPr>
            <w:tcW w:w="1105" w:type="pct"/>
            <w:tcBorders>
              <w:tl2br w:val="nil"/>
              <w:tr2bl w:val="nil"/>
            </w:tcBorders>
            <w:shd w:val="clear" w:color="auto" w:fill="auto"/>
            <w:noWrap/>
            <w:tcMar>
              <w:left w:w="6" w:type="dxa"/>
              <w:right w:w="6" w:type="dxa"/>
            </w:tcMar>
            <w:vAlign w:val="center"/>
          </w:tcPr>
          <w:p w14:paraId="35891EC2">
            <w:pPr>
              <w:pStyle w:val="714"/>
              <w:rPr>
                <w:rFonts w:eastAsia="宋体" w:cs="Times New Roman"/>
                <w:color w:val="auto"/>
                <w:szCs w:val="21"/>
              </w:rPr>
            </w:pPr>
            <w:r>
              <w:rPr>
                <w:rFonts w:hint="eastAsia" w:cs="Times New Roman"/>
                <w:color w:val="auto"/>
              </w:rPr>
              <w:t>高级氧化撬装设备</w:t>
            </w:r>
          </w:p>
        </w:tc>
        <w:tc>
          <w:tcPr>
            <w:tcW w:w="458" w:type="pct"/>
            <w:tcBorders>
              <w:tl2br w:val="nil"/>
              <w:tr2bl w:val="nil"/>
            </w:tcBorders>
            <w:shd w:val="clear" w:color="auto" w:fill="auto"/>
            <w:noWrap/>
            <w:tcMar>
              <w:left w:w="6" w:type="dxa"/>
              <w:right w:w="6" w:type="dxa"/>
            </w:tcMar>
            <w:vAlign w:val="center"/>
          </w:tcPr>
          <w:p w14:paraId="4BA17D9B">
            <w:pPr>
              <w:pStyle w:val="714"/>
              <w:rPr>
                <w:color w:val="auto"/>
              </w:rPr>
            </w:pPr>
            <w:r>
              <w:rPr>
                <w:rFonts w:hint="eastAsia" w:cs="Times New Roman"/>
                <w:color w:val="auto"/>
              </w:rPr>
              <w:t>1.06</w:t>
            </w:r>
          </w:p>
        </w:tc>
        <w:tc>
          <w:tcPr>
            <w:tcW w:w="420" w:type="pct"/>
            <w:vMerge w:val="continue"/>
            <w:tcBorders>
              <w:tl2br w:val="nil"/>
              <w:tr2bl w:val="nil"/>
            </w:tcBorders>
            <w:tcMar>
              <w:left w:w="6" w:type="dxa"/>
              <w:right w:w="6" w:type="dxa"/>
            </w:tcMar>
            <w:vAlign w:val="center"/>
          </w:tcPr>
          <w:p w14:paraId="1836D1D6">
            <w:pPr>
              <w:pStyle w:val="714"/>
              <w:rPr>
                <w:color w:val="auto"/>
              </w:rPr>
            </w:pPr>
          </w:p>
        </w:tc>
        <w:tc>
          <w:tcPr>
            <w:tcW w:w="512" w:type="pct"/>
            <w:tcBorders>
              <w:tl2br w:val="nil"/>
              <w:tr2bl w:val="nil"/>
            </w:tcBorders>
            <w:tcMar>
              <w:left w:w="6" w:type="dxa"/>
              <w:right w:w="6" w:type="dxa"/>
            </w:tcMar>
            <w:vAlign w:val="center"/>
          </w:tcPr>
          <w:p w14:paraId="2FE0C20D">
            <w:pPr>
              <w:pStyle w:val="714"/>
              <w:rPr>
                <w:rFonts w:eastAsia="宋体" w:cs="Times New Roman"/>
                <w:color w:val="auto"/>
                <w:szCs w:val="21"/>
              </w:rPr>
            </w:pPr>
            <w:r>
              <w:rPr>
                <w:rFonts w:eastAsia="宋体" w:cs="Times New Roman"/>
                <w:color w:val="auto"/>
                <w:szCs w:val="21"/>
              </w:rPr>
              <w:t xml:space="preserve">11.130 </w:t>
            </w:r>
          </w:p>
        </w:tc>
        <w:tc>
          <w:tcPr>
            <w:tcW w:w="465" w:type="pct"/>
            <w:tcBorders>
              <w:tl2br w:val="nil"/>
              <w:tr2bl w:val="nil"/>
            </w:tcBorders>
            <w:tcMar>
              <w:left w:w="6" w:type="dxa"/>
              <w:right w:w="6" w:type="dxa"/>
            </w:tcMar>
            <w:vAlign w:val="center"/>
          </w:tcPr>
          <w:p w14:paraId="5FE9B45F">
            <w:pPr>
              <w:pStyle w:val="714"/>
              <w:rPr>
                <w:rFonts w:eastAsia="宋体" w:cs="Times New Roman"/>
                <w:color w:val="auto"/>
                <w:szCs w:val="21"/>
              </w:rPr>
            </w:pPr>
            <w:r>
              <w:rPr>
                <w:rFonts w:eastAsia="宋体" w:cs="Times New Roman"/>
                <w:color w:val="auto"/>
                <w:szCs w:val="21"/>
              </w:rPr>
              <w:t xml:space="preserve">4.770 </w:t>
            </w:r>
          </w:p>
        </w:tc>
        <w:tc>
          <w:tcPr>
            <w:tcW w:w="431" w:type="pct"/>
            <w:tcBorders>
              <w:tl2br w:val="nil"/>
              <w:tr2bl w:val="nil"/>
            </w:tcBorders>
            <w:tcMar>
              <w:left w:w="6" w:type="dxa"/>
              <w:right w:w="6" w:type="dxa"/>
            </w:tcMar>
            <w:vAlign w:val="center"/>
          </w:tcPr>
          <w:p w14:paraId="72599107">
            <w:pPr>
              <w:pStyle w:val="714"/>
              <w:rPr>
                <w:rFonts w:eastAsia="宋体" w:cs="Times New Roman"/>
                <w:color w:val="auto"/>
                <w:szCs w:val="21"/>
              </w:rPr>
            </w:pPr>
            <w:r>
              <w:rPr>
                <w:rFonts w:eastAsia="宋体" w:cs="Times New Roman"/>
                <w:color w:val="auto"/>
                <w:szCs w:val="21"/>
              </w:rPr>
              <w:t xml:space="preserve">0.382 </w:t>
            </w:r>
          </w:p>
        </w:tc>
        <w:tc>
          <w:tcPr>
            <w:tcW w:w="372" w:type="pct"/>
            <w:tcBorders>
              <w:tl2br w:val="nil"/>
              <w:tr2bl w:val="nil"/>
            </w:tcBorders>
            <w:tcMar>
              <w:left w:w="6" w:type="dxa"/>
              <w:right w:w="6" w:type="dxa"/>
            </w:tcMar>
            <w:vAlign w:val="center"/>
          </w:tcPr>
          <w:p w14:paraId="34C662EF">
            <w:pPr>
              <w:pStyle w:val="714"/>
              <w:rPr>
                <w:rFonts w:eastAsia="宋体" w:cs="Times New Roman"/>
                <w:color w:val="auto"/>
                <w:szCs w:val="21"/>
              </w:rPr>
            </w:pPr>
            <w:r>
              <w:rPr>
                <w:rFonts w:eastAsia="宋体" w:cs="Times New Roman"/>
                <w:color w:val="auto"/>
                <w:szCs w:val="21"/>
              </w:rPr>
              <w:t xml:space="preserve">0.095 </w:t>
            </w:r>
          </w:p>
        </w:tc>
        <w:tc>
          <w:tcPr>
            <w:tcW w:w="485" w:type="pct"/>
            <w:tcBorders>
              <w:tl2br w:val="nil"/>
              <w:tr2bl w:val="nil"/>
            </w:tcBorders>
            <w:tcMar>
              <w:left w:w="6" w:type="dxa"/>
              <w:right w:w="6" w:type="dxa"/>
            </w:tcMar>
            <w:vAlign w:val="center"/>
          </w:tcPr>
          <w:p w14:paraId="6A017DE6">
            <w:pPr>
              <w:pStyle w:val="714"/>
              <w:rPr>
                <w:rFonts w:eastAsia="宋体" w:cs="Times New Roman"/>
                <w:color w:val="auto"/>
                <w:szCs w:val="21"/>
              </w:rPr>
            </w:pPr>
            <w:r>
              <w:rPr>
                <w:rFonts w:eastAsia="宋体" w:cs="Times New Roman"/>
                <w:color w:val="auto"/>
                <w:szCs w:val="21"/>
              </w:rPr>
              <w:t xml:space="preserve">0.095 </w:t>
            </w:r>
          </w:p>
        </w:tc>
      </w:tr>
      <w:tr w14:paraId="3C4700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tcBorders>
              <w:tl2br w:val="nil"/>
              <w:tr2bl w:val="nil"/>
            </w:tcBorders>
            <w:shd w:val="clear" w:color="auto" w:fill="auto"/>
            <w:tcMar>
              <w:left w:w="6" w:type="dxa"/>
              <w:right w:w="6" w:type="dxa"/>
            </w:tcMar>
            <w:vAlign w:val="center"/>
          </w:tcPr>
          <w:p w14:paraId="56F58274">
            <w:pPr>
              <w:pStyle w:val="714"/>
              <w:rPr>
                <w:color w:val="auto"/>
              </w:rPr>
            </w:pPr>
            <w:r>
              <w:rPr>
                <w:rFonts w:hint="eastAsia"/>
                <w:color w:val="auto"/>
              </w:rPr>
              <w:t>七类</w:t>
            </w:r>
          </w:p>
        </w:tc>
        <w:tc>
          <w:tcPr>
            <w:tcW w:w="375" w:type="pct"/>
            <w:vMerge w:val="restart"/>
            <w:tcBorders>
              <w:tl2br w:val="nil"/>
              <w:tr2bl w:val="nil"/>
            </w:tcBorders>
            <w:shd w:val="clear" w:color="auto" w:fill="auto"/>
            <w:noWrap/>
            <w:tcMar>
              <w:left w:w="6" w:type="dxa"/>
              <w:right w:w="6" w:type="dxa"/>
            </w:tcMar>
            <w:vAlign w:val="center"/>
          </w:tcPr>
          <w:p w14:paraId="20669ADF">
            <w:pPr>
              <w:pStyle w:val="714"/>
              <w:rPr>
                <w:color w:val="auto"/>
              </w:rPr>
            </w:pPr>
            <w:r>
              <w:rPr>
                <w:rFonts w:hint="eastAsia"/>
                <w:color w:val="auto"/>
              </w:rPr>
              <w:t>污泥处理</w:t>
            </w:r>
          </w:p>
        </w:tc>
        <w:tc>
          <w:tcPr>
            <w:tcW w:w="1105" w:type="pct"/>
            <w:tcBorders>
              <w:tl2br w:val="nil"/>
              <w:tr2bl w:val="nil"/>
            </w:tcBorders>
            <w:shd w:val="clear" w:color="auto" w:fill="auto"/>
            <w:noWrap/>
            <w:tcMar>
              <w:left w:w="6" w:type="dxa"/>
              <w:right w:w="6" w:type="dxa"/>
            </w:tcMar>
            <w:vAlign w:val="center"/>
          </w:tcPr>
          <w:p w14:paraId="6AC7B254">
            <w:pPr>
              <w:pStyle w:val="714"/>
              <w:rPr>
                <w:rFonts w:eastAsia="宋体" w:cs="Times New Roman"/>
                <w:color w:val="auto"/>
                <w:szCs w:val="21"/>
              </w:rPr>
            </w:pPr>
            <w:r>
              <w:rPr>
                <w:rFonts w:hint="eastAsia" w:cs="Times New Roman"/>
                <w:color w:val="auto"/>
              </w:rPr>
              <w:t>磁混凝沉淀池</w:t>
            </w:r>
          </w:p>
        </w:tc>
        <w:tc>
          <w:tcPr>
            <w:tcW w:w="458" w:type="pct"/>
            <w:tcBorders>
              <w:tl2br w:val="nil"/>
              <w:tr2bl w:val="nil"/>
            </w:tcBorders>
            <w:shd w:val="clear" w:color="auto" w:fill="auto"/>
            <w:noWrap/>
            <w:tcMar>
              <w:left w:w="6" w:type="dxa"/>
              <w:right w:w="6" w:type="dxa"/>
            </w:tcMar>
            <w:vAlign w:val="center"/>
          </w:tcPr>
          <w:p w14:paraId="68D2F8B5">
            <w:pPr>
              <w:pStyle w:val="714"/>
              <w:rPr>
                <w:color w:val="auto"/>
              </w:rPr>
            </w:pPr>
            <w:r>
              <w:rPr>
                <w:rFonts w:hint="eastAsia"/>
                <w:color w:val="auto"/>
              </w:rPr>
              <w:t>13.81</w:t>
            </w:r>
          </w:p>
        </w:tc>
        <w:tc>
          <w:tcPr>
            <w:tcW w:w="420" w:type="pct"/>
            <w:vMerge w:val="continue"/>
            <w:tcBorders>
              <w:tl2br w:val="nil"/>
              <w:tr2bl w:val="nil"/>
            </w:tcBorders>
            <w:tcMar>
              <w:left w:w="6" w:type="dxa"/>
              <w:right w:w="6" w:type="dxa"/>
            </w:tcMar>
            <w:vAlign w:val="center"/>
          </w:tcPr>
          <w:p w14:paraId="440225DE">
            <w:pPr>
              <w:pStyle w:val="714"/>
              <w:rPr>
                <w:color w:val="auto"/>
              </w:rPr>
            </w:pPr>
          </w:p>
        </w:tc>
        <w:tc>
          <w:tcPr>
            <w:tcW w:w="512" w:type="pct"/>
            <w:tcBorders>
              <w:tl2br w:val="nil"/>
              <w:tr2bl w:val="nil"/>
            </w:tcBorders>
            <w:tcMar>
              <w:left w:w="6" w:type="dxa"/>
              <w:right w:w="6" w:type="dxa"/>
            </w:tcMar>
            <w:vAlign w:val="center"/>
          </w:tcPr>
          <w:p w14:paraId="24E889DD">
            <w:pPr>
              <w:pStyle w:val="714"/>
              <w:rPr>
                <w:rFonts w:eastAsia="宋体" w:cs="Times New Roman"/>
                <w:color w:val="auto"/>
                <w:szCs w:val="21"/>
              </w:rPr>
            </w:pPr>
            <w:r>
              <w:rPr>
                <w:rFonts w:eastAsia="宋体" w:cs="Times New Roman"/>
                <w:color w:val="auto"/>
                <w:szCs w:val="21"/>
              </w:rPr>
              <w:t xml:space="preserve">145.009 </w:t>
            </w:r>
          </w:p>
        </w:tc>
        <w:tc>
          <w:tcPr>
            <w:tcW w:w="465" w:type="pct"/>
            <w:tcBorders>
              <w:tl2br w:val="nil"/>
              <w:tr2bl w:val="nil"/>
            </w:tcBorders>
            <w:tcMar>
              <w:left w:w="6" w:type="dxa"/>
              <w:right w:w="6" w:type="dxa"/>
            </w:tcMar>
            <w:vAlign w:val="center"/>
          </w:tcPr>
          <w:p w14:paraId="0D6DCEDD">
            <w:pPr>
              <w:pStyle w:val="714"/>
              <w:rPr>
                <w:rFonts w:eastAsia="宋体" w:cs="Times New Roman"/>
                <w:color w:val="auto"/>
                <w:szCs w:val="21"/>
              </w:rPr>
            </w:pPr>
            <w:r>
              <w:rPr>
                <w:rFonts w:eastAsia="宋体" w:cs="Times New Roman"/>
                <w:color w:val="auto"/>
                <w:szCs w:val="21"/>
              </w:rPr>
              <w:t xml:space="preserve">62.145 </w:t>
            </w:r>
          </w:p>
        </w:tc>
        <w:tc>
          <w:tcPr>
            <w:tcW w:w="431" w:type="pct"/>
            <w:tcBorders>
              <w:tl2br w:val="nil"/>
              <w:tr2bl w:val="nil"/>
            </w:tcBorders>
            <w:tcMar>
              <w:left w:w="6" w:type="dxa"/>
              <w:right w:w="6" w:type="dxa"/>
            </w:tcMar>
            <w:vAlign w:val="center"/>
          </w:tcPr>
          <w:p w14:paraId="4A81619B">
            <w:pPr>
              <w:pStyle w:val="714"/>
              <w:rPr>
                <w:rFonts w:eastAsia="宋体" w:cs="Times New Roman"/>
                <w:color w:val="auto"/>
                <w:szCs w:val="21"/>
              </w:rPr>
            </w:pPr>
            <w:r>
              <w:rPr>
                <w:rFonts w:eastAsia="宋体" w:cs="Times New Roman"/>
                <w:color w:val="auto"/>
                <w:szCs w:val="21"/>
              </w:rPr>
              <w:t xml:space="preserve">4.972 </w:t>
            </w:r>
          </w:p>
        </w:tc>
        <w:tc>
          <w:tcPr>
            <w:tcW w:w="372" w:type="pct"/>
            <w:tcBorders>
              <w:tl2br w:val="nil"/>
              <w:tr2bl w:val="nil"/>
            </w:tcBorders>
            <w:tcMar>
              <w:left w:w="6" w:type="dxa"/>
              <w:right w:w="6" w:type="dxa"/>
            </w:tcMar>
            <w:vAlign w:val="center"/>
          </w:tcPr>
          <w:p w14:paraId="686FE448">
            <w:pPr>
              <w:pStyle w:val="714"/>
              <w:rPr>
                <w:rFonts w:eastAsia="宋体" w:cs="Times New Roman"/>
                <w:color w:val="auto"/>
                <w:szCs w:val="21"/>
              </w:rPr>
            </w:pPr>
            <w:r>
              <w:rPr>
                <w:rFonts w:eastAsia="宋体" w:cs="Times New Roman"/>
                <w:color w:val="auto"/>
                <w:szCs w:val="21"/>
              </w:rPr>
              <w:t xml:space="preserve">1.243 </w:t>
            </w:r>
          </w:p>
        </w:tc>
        <w:tc>
          <w:tcPr>
            <w:tcW w:w="485" w:type="pct"/>
            <w:tcBorders>
              <w:tl2br w:val="nil"/>
              <w:tr2bl w:val="nil"/>
            </w:tcBorders>
            <w:tcMar>
              <w:left w:w="6" w:type="dxa"/>
              <w:right w:w="6" w:type="dxa"/>
            </w:tcMar>
            <w:vAlign w:val="center"/>
          </w:tcPr>
          <w:p w14:paraId="1F6399C9">
            <w:pPr>
              <w:pStyle w:val="714"/>
              <w:rPr>
                <w:rFonts w:eastAsia="宋体" w:cs="Times New Roman"/>
                <w:color w:val="auto"/>
                <w:szCs w:val="21"/>
              </w:rPr>
            </w:pPr>
            <w:r>
              <w:rPr>
                <w:rFonts w:eastAsia="宋体" w:cs="Times New Roman"/>
                <w:color w:val="auto"/>
                <w:szCs w:val="21"/>
              </w:rPr>
              <w:t xml:space="preserve">1.243 </w:t>
            </w:r>
          </w:p>
        </w:tc>
      </w:tr>
      <w:tr w14:paraId="467363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tcBorders>
              <w:tl2br w:val="nil"/>
              <w:tr2bl w:val="nil"/>
            </w:tcBorders>
            <w:shd w:val="clear" w:color="auto" w:fill="auto"/>
            <w:tcMar>
              <w:left w:w="6" w:type="dxa"/>
              <w:right w:w="6" w:type="dxa"/>
            </w:tcMar>
            <w:vAlign w:val="center"/>
          </w:tcPr>
          <w:p w14:paraId="3CDEC04B">
            <w:pPr>
              <w:pStyle w:val="714"/>
              <w:rPr>
                <w:color w:val="auto"/>
              </w:rPr>
            </w:pPr>
            <w:r>
              <w:rPr>
                <w:rFonts w:hint="eastAsia"/>
                <w:color w:val="auto"/>
              </w:rPr>
              <w:t>八类</w:t>
            </w:r>
          </w:p>
        </w:tc>
        <w:tc>
          <w:tcPr>
            <w:tcW w:w="375" w:type="pct"/>
            <w:vMerge w:val="continue"/>
            <w:tcBorders>
              <w:tl2br w:val="nil"/>
              <w:tr2bl w:val="nil"/>
            </w:tcBorders>
            <w:shd w:val="clear" w:color="auto" w:fill="auto"/>
            <w:noWrap/>
            <w:tcMar>
              <w:left w:w="6" w:type="dxa"/>
              <w:right w:w="6" w:type="dxa"/>
            </w:tcMar>
            <w:vAlign w:val="center"/>
          </w:tcPr>
          <w:p w14:paraId="69C5B8B7">
            <w:pPr>
              <w:pStyle w:val="714"/>
              <w:rPr>
                <w:color w:val="auto"/>
              </w:rPr>
            </w:pPr>
          </w:p>
        </w:tc>
        <w:tc>
          <w:tcPr>
            <w:tcW w:w="1105" w:type="pct"/>
            <w:tcBorders>
              <w:tl2br w:val="nil"/>
              <w:tr2bl w:val="nil"/>
            </w:tcBorders>
            <w:shd w:val="clear" w:color="auto" w:fill="auto"/>
            <w:noWrap/>
            <w:tcMar>
              <w:left w:w="6" w:type="dxa"/>
              <w:right w:w="6" w:type="dxa"/>
            </w:tcMar>
            <w:vAlign w:val="center"/>
          </w:tcPr>
          <w:p w14:paraId="73503FCF">
            <w:pPr>
              <w:pStyle w:val="714"/>
              <w:rPr>
                <w:rFonts w:eastAsia="宋体" w:cs="Times New Roman"/>
                <w:color w:val="auto"/>
                <w:szCs w:val="21"/>
              </w:rPr>
            </w:pPr>
            <w:r>
              <w:rPr>
                <w:rFonts w:hint="eastAsia" w:cs="Times New Roman"/>
                <w:color w:val="auto"/>
              </w:rPr>
              <w:t>污泥池</w:t>
            </w:r>
          </w:p>
        </w:tc>
        <w:tc>
          <w:tcPr>
            <w:tcW w:w="458" w:type="pct"/>
            <w:tcBorders>
              <w:tl2br w:val="nil"/>
              <w:tr2bl w:val="nil"/>
            </w:tcBorders>
            <w:shd w:val="clear" w:color="auto" w:fill="auto"/>
            <w:noWrap/>
            <w:tcMar>
              <w:left w:w="6" w:type="dxa"/>
              <w:right w:w="6" w:type="dxa"/>
            </w:tcMar>
            <w:vAlign w:val="center"/>
          </w:tcPr>
          <w:p w14:paraId="4763704D">
            <w:pPr>
              <w:pStyle w:val="714"/>
              <w:rPr>
                <w:color w:val="auto"/>
              </w:rPr>
            </w:pPr>
            <w:r>
              <w:rPr>
                <w:rFonts w:hint="eastAsia"/>
                <w:color w:val="auto"/>
              </w:rPr>
              <w:t>3.46</w:t>
            </w:r>
          </w:p>
        </w:tc>
        <w:tc>
          <w:tcPr>
            <w:tcW w:w="420" w:type="pct"/>
            <w:vMerge w:val="continue"/>
            <w:tcBorders>
              <w:tl2br w:val="nil"/>
              <w:tr2bl w:val="nil"/>
            </w:tcBorders>
            <w:tcMar>
              <w:left w:w="6" w:type="dxa"/>
              <w:right w:w="6" w:type="dxa"/>
            </w:tcMar>
            <w:vAlign w:val="center"/>
          </w:tcPr>
          <w:p w14:paraId="38D7CF19">
            <w:pPr>
              <w:pStyle w:val="714"/>
              <w:rPr>
                <w:color w:val="auto"/>
              </w:rPr>
            </w:pPr>
          </w:p>
        </w:tc>
        <w:tc>
          <w:tcPr>
            <w:tcW w:w="512" w:type="pct"/>
            <w:tcBorders>
              <w:tl2br w:val="nil"/>
              <w:tr2bl w:val="nil"/>
            </w:tcBorders>
            <w:tcMar>
              <w:left w:w="6" w:type="dxa"/>
              <w:right w:w="6" w:type="dxa"/>
            </w:tcMar>
            <w:vAlign w:val="center"/>
          </w:tcPr>
          <w:p w14:paraId="70F29D48">
            <w:pPr>
              <w:pStyle w:val="714"/>
              <w:rPr>
                <w:rFonts w:eastAsia="宋体" w:cs="Times New Roman"/>
                <w:color w:val="auto"/>
                <w:szCs w:val="21"/>
              </w:rPr>
            </w:pPr>
            <w:r>
              <w:rPr>
                <w:rFonts w:eastAsia="宋体" w:cs="Times New Roman"/>
                <w:color w:val="auto"/>
                <w:szCs w:val="21"/>
              </w:rPr>
              <w:t xml:space="preserve">36.331 </w:t>
            </w:r>
          </w:p>
        </w:tc>
        <w:tc>
          <w:tcPr>
            <w:tcW w:w="465" w:type="pct"/>
            <w:tcBorders>
              <w:tl2br w:val="nil"/>
              <w:tr2bl w:val="nil"/>
            </w:tcBorders>
            <w:tcMar>
              <w:left w:w="6" w:type="dxa"/>
              <w:right w:w="6" w:type="dxa"/>
            </w:tcMar>
            <w:vAlign w:val="center"/>
          </w:tcPr>
          <w:p w14:paraId="158CE52B">
            <w:pPr>
              <w:pStyle w:val="714"/>
              <w:rPr>
                <w:rFonts w:eastAsia="宋体" w:cs="Times New Roman"/>
                <w:color w:val="auto"/>
                <w:szCs w:val="21"/>
              </w:rPr>
            </w:pPr>
            <w:r>
              <w:rPr>
                <w:rFonts w:eastAsia="宋体" w:cs="Times New Roman"/>
                <w:color w:val="auto"/>
                <w:szCs w:val="21"/>
              </w:rPr>
              <w:t xml:space="preserve">15.570 </w:t>
            </w:r>
          </w:p>
        </w:tc>
        <w:tc>
          <w:tcPr>
            <w:tcW w:w="431" w:type="pct"/>
            <w:tcBorders>
              <w:tl2br w:val="nil"/>
              <w:tr2bl w:val="nil"/>
            </w:tcBorders>
            <w:tcMar>
              <w:left w:w="6" w:type="dxa"/>
              <w:right w:w="6" w:type="dxa"/>
            </w:tcMar>
            <w:vAlign w:val="center"/>
          </w:tcPr>
          <w:p w14:paraId="5F7CD1EC">
            <w:pPr>
              <w:pStyle w:val="714"/>
              <w:rPr>
                <w:rFonts w:eastAsia="宋体" w:cs="Times New Roman"/>
                <w:color w:val="auto"/>
                <w:szCs w:val="21"/>
              </w:rPr>
            </w:pPr>
            <w:r>
              <w:rPr>
                <w:rFonts w:eastAsia="宋体" w:cs="Times New Roman"/>
                <w:color w:val="auto"/>
                <w:szCs w:val="21"/>
              </w:rPr>
              <w:t xml:space="preserve">1.246 </w:t>
            </w:r>
          </w:p>
        </w:tc>
        <w:tc>
          <w:tcPr>
            <w:tcW w:w="372" w:type="pct"/>
            <w:tcBorders>
              <w:tl2br w:val="nil"/>
              <w:tr2bl w:val="nil"/>
            </w:tcBorders>
            <w:tcMar>
              <w:left w:w="6" w:type="dxa"/>
              <w:right w:w="6" w:type="dxa"/>
            </w:tcMar>
            <w:vAlign w:val="center"/>
          </w:tcPr>
          <w:p w14:paraId="3F161699">
            <w:pPr>
              <w:pStyle w:val="714"/>
              <w:rPr>
                <w:rFonts w:eastAsia="宋体" w:cs="Times New Roman"/>
                <w:color w:val="auto"/>
                <w:szCs w:val="21"/>
              </w:rPr>
            </w:pPr>
            <w:r>
              <w:rPr>
                <w:rFonts w:eastAsia="宋体" w:cs="Times New Roman"/>
                <w:color w:val="auto"/>
                <w:szCs w:val="21"/>
              </w:rPr>
              <w:t xml:space="preserve">0.311 </w:t>
            </w:r>
          </w:p>
        </w:tc>
        <w:tc>
          <w:tcPr>
            <w:tcW w:w="485" w:type="pct"/>
            <w:tcBorders>
              <w:tl2br w:val="nil"/>
              <w:tr2bl w:val="nil"/>
            </w:tcBorders>
            <w:tcMar>
              <w:left w:w="6" w:type="dxa"/>
              <w:right w:w="6" w:type="dxa"/>
            </w:tcMar>
            <w:vAlign w:val="center"/>
          </w:tcPr>
          <w:p w14:paraId="72EB5A96">
            <w:pPr>
              <w:pStyle w:val="714"/>
              <w:rPr>
                <w:rFonts w:eastAsia="宋体" w:cs="Times New Roman"/>
                <w:color w:val="auto"/>
                <w:szCs w:val="21"/>
              </w:rPr>
            </w:pPr>
            <w:r>
              <w:rPr>
                <w:rFonts w:eastAsia="宋体" w:cs="Times New Roman"/>
                <w:color w:val="auto"/>
                <w:szCs w:val="21"/>
              </w:rPr>
              <w:t xml:space="preserve">0.311 </w:t>
            </w:r>
          </w:p>
        </w:tc>
      </w:tr>
    </w:tbl>
    <w:p w14:paraId="43EA266C">
      <w:pPr>
        <w:bidi w:val="0"/>
        <w:rPr>
          <w:color w:val="auto"/>
        </w:rPr>
      </w:pPr>
      <w:r>
        <w:rPr>
          <w:color w:val="auto"/>
        </w:rPr>
        <w:t>4）预测结果</w:t>
      </w:r>
    </w:p>
    <w:p w14:paraId="27D1FB1E">
      <w:pPr>
        <w:bidi w:val="0"/>
        <w:rPr>
          <w:color w:val="auto"/>
        </w:rPr>
      </w:pPr>
      <w:r>
        <w:rPr>
          <w:rFonts w:hint="eastAsia"/>
          <w:color w:val="auto"/>
        </w:rPr>
        <w:t>以前述运行模拟的初始渗流场作为溶质运移流场模拟本项目非正常运行状况地下水污染情况。根据模拟结果，非正常运行状况发生后污染物下渗进入地下水系统后，由项目区北西向南东。根据工况设计，污染物最长下渗时间为9</w:t>
      </w:r>
      <w:r>
        <w:rPr>
          <w:color w:val="auto"/>
        </w:rPr>
        <w:t>0d</w:t>
      </w:r>
      <w:r>
        <w:rPr>
          <w:rFonts w:hint="eastAsia"/>
          <w:color w:val="auto"/>
        </w:rPr>
        <w:t>，相对于3</w:t>
      </w:r>
      <w:r>
        <w:rPr>
          <w:color w:val="auto"/>
        </w:rPr>
        <w:t>0a</w:t>
      </w:r>
      <w:r>
        <w:rPr>
          <w:rFonts w:hint="eastAsia"/>
          <w:color w:val="auto"/>
        </w:rPr>
        <w:t>的模型预测时长，该源强下渗时间较短，其污染物下渗过程均可视为瞬时注入。</w:t>
      </w:r>
      <w:r>
        <w:rPr>
          <w:color w:val="auto"/>
        </w:rPr>
        <w:t>污染物迁移模拟结果见</w:t>
      </w:r>
      <w:r>
        <w:rPr>
          <w:rFonts w:hint="eastAsia"/>
          <w:color w:val="auto"/>
          <w:lang w:val="en-US" w:eastAsia="zh-CN"/>
        </w:rPr>
        <w:t>下图</w:t>
      </w:r>
      <w:r>
        <w:rPr>
          <w:color w:val="auto"/>
        </w:rPr>
        <w:t>。</w:t>
      </w:r>
    </w:p>
    <w:p w14:paraId="53BF5723">
      <w:pPr>
        <w:pStyle w:val="714"/>
        <w:rPr>
          <w:rFonts w:cs="Times New Roman"/>
          <w:color w:val="auto"/>
        </w:rPr>
        <w:sectPr>
          <w:headerReference r:id="rId23" w:type="default"/>
          <w:footerReference r:id="rId24"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26" w:charSpace="0"/>
        </w:sectPr>
      </w:pPr>
    </w:p>
    <w:p w14:paraId="2090F76B">
      <w:pPr>
        <w:pStyle w:val="714"/>
        <w:rPr>
          <w:color w:val="auto"/>
        </w:rPr>
      </w:pPr>
      <w:r>
        <w:rPr>
          <w:color w:val="auto"/>
        </w:rPr>
        <w:drawing>
          <wp:inline distT="0" distB="0" distL="0" distR="0">
            <wp:extent cx="5039995" cy="2672080"/>
            <wp:effectExtent l="0" t="0" r="8255" b="1397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040000" cy="2672194"/>
                    </a:xfrm>
                    <a:prstGeom prst="rect">
                      <a:avLst/>
                    </a:prstGeom>
                  </pic:spPr>
                </pic:pic>
              </a:graphicData>
            </a:graphic>
          </wp:inline>
        </w:drawing>
      </w:r>
    </w:p>
    <w:p w14:paraId="035AAE16">
      <w:pPr>
        <w:pStyle w:val="714"/>
        <w:rPr>
          <w:color w:val="auto"/>
        </w:rPr>
      </w:pPr>
      <w:r>
        <w:rPr>
          <w:rFonts w:hint="eastAsia"/>
          <w:color w:val="auto"/>
        </w:rPr>
        <w:t>9</w:t>
      </w:r>
      <w:r>
        <w:rPr>
          <w:color w:val="auto"/>
        </w:rPr>
        <w:t>0d</w:t>
      </w:r>
    </w:p>
    <w:p w14:paraId="1F1B7FA0">
      <w:pPr>
        <w:pStyle w:val="714"/>
        <w:rPr>
          <w:color w:val="auto"/>
        </w:rPr>
      </w:pPr>
      <w:r>
        <w:rPr>
          <w:color w:val="auto"/>
        </w:rPr>
        <w:drawing>
          <wp:inline distT="0" distB="0" distL="0" distR="0">
            <wp:extent cx="5039995" cy="2672080"/>
            <wp:effectExtent l="0" t="0" r="8255" b="1397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040000" cy="2672194"/>
                    </a:xfrm>
                    <a:prstGeom prst="rect">
                      <a:avLst/>
                    </a:prstGeom>
                  </pic:spPr>
                </pic:pic>
              </a:graphicData>
            </a:graphic>
          </wp:inline>
        </w:drawing>
      </w:r>
    </w:p>
    <w:p w14:paraId="58DC7D05">
      <w:pPr>
        <w:pStyle w:val="714"/>
        <w:rPr>
          <w:color w:val="auto"/>
        </w:rPr>
      </w:pPr>
      <w:r>
        <w:rPr>
          <w:color w:val="auto"/>
        </w:rPr>
        <w:t>100d</w:t>
      </w:r>
    </w:p>
    <w:p w14:paraId="005B19C3">
      <w:pPr>
        <w:pStyle w:val="714"/>
        <w:rPr>
          <w:color w:val="auto"/>
        </w:rPr>
      </w:pPr>
      <w:r>
        <w:rPr>
          <w:color w:val="auto"/>
        </w:rPr>
        <w:drawing>
          <wp:inline distT="0" distB="0" distL="0" distR="0">
            <wp:extent cx="5039995" cy="2672080"/>
            <wp:effectExtent l="0" t="0" r="8255" b="1397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040000" cy="2672194"/>
                    </a:xfrm>
                    <a:prstGeom prst="rect">
                      <a:avLst/>
                    </a:prstGeom>
                  </pic:spPr>
                </pic:pic>
              </a:graphicData>
            </a:graphic>
          </wp:inline>
        </w:drawing>
      </w:r>
    </w:p>
    <w:p w14:paraId="4E53812A">
      <w:pPr>
        <w:pStyle w:val="714"/>
        <w:rPr>
          <w:color w:val="auto"/>
        </w:rPr>
      </w:pPr>
      <w:r>
        <w:rPr>
          <w:rFonts w:hint="eastAsia"/>
          <w:color w:val="auto"/>
        </w:rPr>
        <w:t>1000</w:t>
      </w:r>
      <w:r>
        <w:rPr>
          <w:color w:val="auto"/>
        </w:rPr>
        <w:t>d</w:t>
      </w:r>
    </w:p>
    <w:p w14:paraId="741E5512">
      <w:pPr>
        <w:pStyle w:val="714"/>
        <w:rPr>
          <w:rFonts w:cs="Times New Roman"/>
          <w:color w:val="auto"/>
        </w:rPr>
      </w:pPr>
      <w:r>
        <w:rPr>
          <w:rFonts w:cs="Times New Roman"/>
          <w:color w:val="auto"/>
        </w:rPr>
        <w:drawing>
          <wp:inline distT="0" distB="0" distL="0" distR="0">
            <wp:extent cx="5029200" cy="2447925"/>
            <wp:effectExtent l="0" t="0" r="0" b="952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040000" cy="2453182"/>
                    </a:xfrm>
                    <a:prstGeom prst="rect">
                      <a:avLst/>
                    </a:prstGeom>
                  </pic:spPr>
                </pic:pic>
              </a:graphicData>
            </a:graphic>
          </wp:inline>
        </w:drawing>
      </w:r>
    </w:p>
    <w:p w14:paraId="7992E4C1">
      <w:pPr>
        <w:pStyle w:val="714"/>
        <w:rPr>
          <w:rFonts w:cs="Times New Roman"/>
          <w:color w:val="auto"/>
        </w:rPr>
      </w:pPr>
      <w:r>
        <w:rPr>
          <w:rFonts w:hint="eastAsia" w:cs="Times New Roman"/>
          <w:color w:val="auto"/>
        </w:rPr>
        <w:t>3650</w:t>
      </w:r>
      <w:r>
        <w:rPr>
          <w:rFonts w:cs="Times New Roman"/>
          <w:color w:val="auto"/>
        </w:rPr>
        <w:t>d</w:t>
      </w:r>
    </w:p>
    <w:p w14:paraId="28BEC793">
      <w:pPr>
        <w:pStyle w:val="714"/>
        <w:rPr>
          <w:rFonts w:cs="Times New Roman"/>
          <w:color w:val="auto"/>
        </w:rPr>
      </w:pPr>
      <w:r>
        <w:rPr>
          <w:rFonts w:cs="Times New Roman"/>
          <w:color w:val="auto"/>
        </w:rPr>
        <w:drawing>
          <wp:inline distT="0" distB="0" distL="0" distR="0">
            <wp:extent cx="5029200" cy="2514600"/>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040000" cy="2520000"/>
                    </a:xfrm>
                    <a:prstGeom prst="rect">
                      <a:avLst/>
                    </a:prstGeom>
                  </pic:spPr>
                </pic:pic>
              </a:graphicData>
            </a:graphic>
          </wp:inline>
        </w:drawing>
      </w:r>
    </w:p>
    <w:p w14:paraId="6D07BBC6">
      <w:pPr>
        <w:pStyle w:val="714"/>
        <w:rPr>
          <w:rFonts w:cs="Times New Roman"/>
          <w:color w:val="auto"/>
        </w:rPr>
      </w:pPr>
      <w:r>
        <w:rPr>
          <w:rFonts w:hint="eastAsia" w:cs="Times New Roman"/>
          <w:color w:val="auto"/>
        </w:rPr>
        <w:t>730</w:t>
      </w:r>
      <w:r>
        <w:rPr>
          <w:rFonts w:cs="Times New Roman"/>
          <w:color w:val="auto"/>
        </w:rPr>
        <w:t>0d</w:t>
      </w:r>
    </w:p>
    <w:p w14:paraId="234A2E26">
      <w:pPr>
        <w:pStyle w:val="714"/>
        <w:rPr>
          <w:rFonts w:cs="Times New Roman"/>
          <w:color w:val="auto"/>
        </w:rPr>
      </w:pPr>
      <w:r>
        <w:rPr>
          <w:rFonts w:cs="Times New Roman"/>
          <w:color w:val="auto"/>
        </w:rPr>
        <w:drawing>
          <wp:inline distT="0" distB="0" distL="0" distR="0">
            <wp:extent cx="5031105" cy="2590800"/>
            <wp:effectExtent l="0" t="0" r="17145"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040000" cy="2595364"/>
                    </a:xfrm>
                    <a:prstGeom prst="rect">
                      <a:avLst/>
                    </a:prstGeom>
                  </pic:spPr>
                </pic:pic>
              </a:graphicData>
            </a:graphic>
          </wp:inline>
        </w:drawing>
      </w:r>
    </w:p>
    <w:p w14:paraId="11E9372D">
      <w:pPr>
        <w:pStyle w:val="714"/>
        <w:rPr>
          <w:rFonts w:cs="Times New Roman"/>
          <w:color w:val="auto"/>
        </w:rPr>
      </w:pPr>
      <w:r>
        <w:rPr>
          <w:rFonts w:hint="eastAsia" w:cs="Times New Roman"/>
          <w:color w:val="auto"/>
        </w:rPr>
        <w:t>10950</w:t>
      </w:r>
      <w:r>
        <w:rPr>
          <w:rFonts w:cs="Times New Roman"/>
          <w:color w:val="auto"/>
        </w:rPr>
        <w:t>d</w:t>
      </w:r>
    </w:p>
    <w:p w14:paraId="423C6DAD">
      <w:pPr>
        <w:pStyle w:val="713"/>
        <w:spacing w:line="240" w:lineRule="auto"/>
        <w:rPr>
          <w:rFonts w:cs="Times New Roman"/>
          <w:color w:val="auto"/>
        </w:rPr>
      </w:pPr>
      <w:r>
        <w:rPr>
          <w:rFonts w:cs="Times New Roman"/>
          <w:color w:val="auto"/>
        </w:rPr>
        <w:t>图</w:t>
      </w:r>
      <w:r>
        <w:rPr>
          <w:rFonts w:hint="eastAsia" w:cs="Times New Roman"/>
          <w:color w:val="auto"/>
          <w:lang w:val="en-US" w:eastAsia="zh-CN"/>
        </w:rPr>
        <w:t>4.2-10</w:t>
      </w:r>
      <w:r>
        <w:rPr>
          <w:rFonts w:cs="Times New Roman"/>
          <w:color w:val="auto"/>
        </w:rPr>
        <w:t xml:space="preserve"> 非正常状况项目区COD</w:t>
      </w:r>
      <w:r>
        <w:rPr>
          <w:rFonts w:cs="Times New Roman"/>
          <w:color w:val="auto"/>
          <w:vertAlign w:val="subscript"/>
        </w:rPr>
        <w:t>Mn</w:t>
      </w:r>
      <w:r>
        <w:rPr>
          <w:rFonts w:cs="Times New Roman"/>
          <w:color w:val="auto"/>
        </w:rPr>
        <w:t>浓度迁移图mg/L</w:t>
      </w:r>
    </w:p>
    <w:p w14:paraId="610F0B7A">
      <w:pPr>
        <w:pStyle w:val="714"/>
        <w:rPr>
          <w:rFonts w:cs="Times New Roman"/>
          <w:color w:val="auto"/>
        </w:rPr>
      </w:pPr>
      <w:r>
        <w:rPr>
          <w:rFonts w:cs="Times New Roman"/>
          <w:color w:val="auto"/>
        </w:rPr>
        <w:drawing>
          <wp:inline distT="0" distB="0" distL="0" distR="0">
            <wp:extent cx="5039995" cy="2671445"/>
            <wp:effectExtent l="0" t="0" r="8255" b="1460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040000" cy="2671698"/>
                    </a:xfrm>
                    <a:prstGeom prst="rect">
                      <a:avLst/>
                    </a:prstGeom>
                  </pic:spPr>
                </pic:pic>
              </a:graphicData>
            </a:graphic>
          </wp:inline>
        </w:drawing>
      </w:r>
    </w:p>
    <w:p w14:paraId="7883DF25">
      <w:pPr>
        <w:pStyle w:val="714"/>
        <w:rPr>
          <w:rFonts w:cs="Times New Roman"/>
          <w:color w:val="auto"/>
        </w:rPr>
      </w:pPr>
      <w:r>
        <w:rPr>
          <w:rFonts w:cs="Times New Roman"/>
          <w:color w:val="auto"/>
        </w:rPr>
        <w:t>90d</w:t>
      </w:r>
    </w:p>
    <w:p w14:paraId="4B3DCF52">
      <w:pPr>
        <w:pStyle w:val="714"/>
        <w:rPr>
          <w:rFonts w:cs="Times New Roman"/>
          <w:color w:val="auto"/>
        </w:rPr>
      </w:pPr>
      <w:r>
        <w:rPr>
          <w:rFonts w:hint="eastAsia" w:cs="Times New Roman"/>
          <w:color w:val="auto"/>
        </w:rPr>
        <w:drawing>
          <wp:inline distT="0" distB="0" distL="0" distR="0">
            <wp:extent cx="5039995" cy="2671445"/>
            <wp:effectExtent l="0" t="0" r="8255" b="14605"/>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040000" cy="2671698"/>
                    </a:xfrm>
                    <a:prstGeom prst="rect">
                      <a:avLst/>
                    </a:prstGeom>
                  </pic:spPr>
                </pic:pic>
              </a:graphicData>
            </a:graphic>
          </wp:inline>
        </w:drawing>
      </w:r>
    </w:p>
    <w:p w14:paraId="040D104B">
      <w:pPr>
        <w:pStyle w:val="714"/>
        <w:rPr>
          <w:rFonts w:cs="Times New Roman"/>
          <w:color w:val="auto"/>
        </w:rPr>
      </w:pPr>
      <w:r>
        <w:rPr>
          <w:rFonts w:hint="eastAsia" w:cs="Times New Roman"/>
          <w:color w:val="auto"/>
        </w:rPr>
        <w:t>100d</w:t>
      </w:r>
    </w:p>
    <w:p w14:paraId="6608BCA5">
      <w:pPr>
        <w:pStyle w:val="714"/>
        <w:rPr>
          <w:rFonts w:cs="Times New Roman"/>
          <w:color w:val="auto"/>
        </w:rPr>
      </w:pPr>
      <w:r>
        <w:rPr>
          <w:rFonts w:hint="eastAsia" w:cs="Times New Roman"/>
          <w:color w:val="auto"/>
        </w:rPr>
        <w:drawing>
          <wp:inline distT="0" distB="0" distL="0" distR="0">
            <wp:extent cx="5039995" cy="2671445"/>
            <wp:effectExtent l="0" t="0" r="8255" b="1460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40000" cy="2671698"/>
                    </a:xfrm>
                    <a:prstGeom prst="rect">
                      <a:avLst/>
                    </a:prstGeom>
                  </pic:spPr>
                </pic:pic>
              </a:graphicData>
            </a:graphic>
          </wp:inline>
        </w:drawing>
      </w:r>
    </w:p>
    <w:p w14:paraId="421C6408">
      <w:pPr>
        <w:pStyle w:val="714"/>
        <w:rPr>
          <w:rFonts w:cs="Times New Roman"/>
          <w:color w:val="auto"/>
        </w:rPr>
      </w:pPr>
      <w:r>
        <w:rPr>
          <w:rFonts w:hint="eastAsia" w:cs="Times New Roman"/>
          <w:color w:val="auto"/>
        </w:rPr>
        <w:t>1000d</w:t>
      </w:r>
    </w:p>
    <w:p w14:paraId="57A275A5">
      <w:pPr>
        <w:pStyle w:val="714"/>
        <w:rPr>
          <w:rFonts w:cs="Times New Roman"/>
          <w:color w:val="auto"/>
        </w:rPr>
      </w:pPr>
      <w:r>
        <w:rPr>
          <w:rFonts w:hint="eastAsia" w:cs="Times New Roman"/>
          <w:color w:val="auto"/>
        </w:rPr>
        <w:drawing>
          <wp:inline distT="0" distB="0" distL="0" distR="0">
            <wp:extent cx="5031105" cy="2600325"/>
            <wp:effectExtent l="0" t="0" r="17145" b="952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040000" cy="2604906"/>
                    </a:xfrm>
                    <a:prstGeom prst="rect">
                      <a:avLst/>
                    </a:prstGeom>
                  </pic:spPr>
                </pic:pic>
              </a:graphicData>
            </a:graphic>
          </wp:inline>
        </w:drawing>
      </w:r>
    </w:p>
    <w:p w14:paraId="3C622BFF">
      <w:pPr>
        <w:pStyle w:val="714"/>
        <w:rPr>
          <w:rFonts w:cs="Times New Roman"/>
          <w:color w:val="auto"/>
        </w:rPr>
      </w:pPr>
      <w:r>
        <w:rPr>
          <w:rFonts w:hint="eastAsia" w:cs="Times New Roman"/>
          <w:color w:val="auto"/>
        </w:rPr>
        <w:t>3650d</w:t>
      </w:r>
    </w:p>
    <w:p w14:paraId="4A99F58A">
      <w:pPr>
        <w:pStyle w:val="714"/>
        <w:rPr>
          <w:rFonts w:cs="Times New Roman"/>
          <w:color w:val="auto"/>
        </w:rPr>
      </w:pPr>
      <w:r>
        <w:rPr>
          <w:rFonts w:hint="eastAsia" w:cs="Times New Roman"/>
          <w:color w:val="auto"/>
        </w:rPr>
        <w:drawing>
          <wp:inline distT="0" distB="0" distL="0" distR="0">
            <wp:extent cx="5029200" cy="2428875"/>
            <wp:effectExtent l="0" t="0" r="0" b="952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040000" cy="2434091"/>
                    </a:xfrm>
                    <a:prstGeom prst="rect">
                      <a:avLst/>
                    </a:prstGeom>
                  </pic:spPr>
                </pic:pic>
              </a:graphicData>
            </a:graphic>
          </wp:inline>
        </w:drawing>
      </w:r>
    </w:p>
    <w:p w14:paraId="5EF065BD">
      <w:pPr>
        <w:pStyle w:val="714"/>
        <w:rPr>
          <w:rFonts w:cs="Times New Roman"/>
          <w:color w:val="auto"/>
        </w:rPr>
      </w:pPr>
      <w:r>
        <w:rPr>
          <w:rFonts w:hint="eastAsia" w:cs="Times New Roman"/>
          <w:color w:val="auto"/>
        </w:rPr>
        <w:t>7300d</w:t>
      </w:r>
    </w:p>
    <w:p w14:paraId="3422A4C5">
      <w:pPr>
        <w:pStyle w:val="713"/>
        <w:spacing w:line="240" w:lineRule="auto"/>
        <w:rPr>
          <w:rFonts w:cs="Times New Roman"/>
          <w:color w:val="auto"/>
        </w:rPr>
      </w:pPr>
      <w:r>
        <w:rPr>
          <w:rFonts w:cs="Times New Roman"/>
          <w:color w:val="auto"/>
        </w:rPr>
        <w:t>图</w:t>
      </w:r>
      <w:r>
        <w:rPr>
          <w:rFonts w:hint="eastAsia" w:cs="Times New Roman"/>
          <w:color w:val="auto"/>
          <w:lang w:val="en-US" w:eastAsia="zh-CN"/>
        </w:rPr>
        <w:t>4.2</w:t>
      </w:r>
      <w:r>
        <w:rPr>
          <w:rFonts w:cs="Times New Roman"/>
          <w:color w:val="auto"/>
        </w:rPr>
        <w:t>-</w:t>
      </w:r>
      <w:r>
        <w:rPr>
          <w:rFonts w:hint="eastAsia" w:cs="Times New Roman"/>
          <w:color w:val="auto"/>
          <w:lang w:val="en-US" w:eastAsia="zh-CN"/>
        </w:rPr>
        <w:t>11</w:t>
      </w:r>
      <w:r>
        <w:rPr>
          <w:rFonts w:cs="Times New Roman"/>
          <w:color w:val="auto"/>
        </w:rPr>
        <w:t xml:space="preserve">  非正常状况项目区氨氮浓度迁移图mg/L</w:t>
      </w:r>
    </w:p>
    <w:p w14:paraId="62455D1A">
      <w:pPr>
        <w:pStyle w:val="714"/>
        <w:rPr>
          <w:rFonts w:cs="Times New Roman"/>
          <w:color w:val="auto"/>
        </w:rPr>
      </w:pPr>
      <w:r>
        <w:rPr>
          <w:rFonts w:cs="Times New Roman"/>
          <w:color w:val="auto"/>
        </w:rPr>
        <w:drawing>
          <wp:inline distT="0" distB="0" distL="0" distR="0">
            <wp:extent cx="5029200" cy="251460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040000" cy="2520000"/>
                    </a:xfrm>
                    <a:prstGeom prst="rect">
                      <a:avLst/>
                    </a:prstGeom>
                  </pic:spPr>
                </pic:pic>
              </a:graphicData>
            </a:graphic>
          </wp:inline>
        </w:drawing>
      </w:r>
    </w:p>
    <w:p w14:paraId="6B1ACB10">
      <w:pPr>
        <w:pStyle w:val="714"/>
        <w:rPr>
          <w:rFonts w:cs="Times New Roman"/>
          <w:color w:val="auto"/>
        </w:rPr>
      </w:pPr>
      <w:r>
        <w:rPr>
          <w:rFonts w:cs="Times New Roman"/>
          <w:color w:val="auto"/>
        </w:rPr>
        <w:t>90d</w:t>
      </w:r>
    </w:p>
    <w:p w14:paraId="4C13E205">
      <w:pPr>
        <w:pStyle w:val="714"/>
        <w:rPr>
          <w:rFonts w:cs="Times New Roman"/>
          <w:color w:val="auto"/>
        </w:rPr>
      </w:pPr>
      <w:r>
        <w:rPr>
          <w:rFonts w:hint="eastAsia" w:cs="Times New Roman"/>
          <w:color w:val="auto"/>
        </w:rPr>
        <w:drawing>
          <wp:inline distT="0" distB="0" distL="0" distR="0">
            <wp:extent cx="5039995" cy="2671445"/>
            <wp:effectExtent l="0" t="0" r="8255" b="1460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040000" cy="2671698"/>
                    </a:xfrm>
                    <a:prstGeom prst="rect">
                      <a:avLst/>
                    </a:prstGeom>
                  </pic:spPr>
                </pic:pic>
              </a:graphicData>
            </a:graphic>
          </wp:inline>
        </w:drawing>
      </w:r>
    </w:p>
    <w:p w14:paraId="18A514B3">
      <w:pPr>
        <w:pStyle w:val="714"/>
        <w:rPr>
          <w:rFonts w:cs="Times New Roman"/>
          <w:color w:val="auto"/>
        </w:rPr>
      </w:pPr>
      <w:r>
        <w:rPr>
          <w:rFonts w:hint="eastAsia" w:cs="Times New Roman"/>
          <w:color w:val="auto"/>
        </w:rPr>
        <w:t>100d</w:t>
      </w:r>
    </w:p>
    <w:p w14:paraId="7C6FCDAD">
      <w:pPr>
        <w:pStyle w:val="714"/>
        <w:rPr>
          <w:rFonts w:cs="Times New Roman"/>
          <w:color w:val="auto"/>
        </w:rPr>
      </w:pPr>
      <w:r>
        <w:rPr>
          <w:rFonts w:hint="eastAsia" w:cs="Times New Roman"/>
          <w:color w:val="auto"/>
        </w:rPr>
        <w:drawing>
          <wp:inline distT="0" distB="0" distL="0" distR="0">
            <wp:extent cx="5039995" cy="2671445"/>
            <wp:effectExtent l="0" t="0" r="8255" b="1460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040000" cy="2671698"/>
                    </a:xfrm>
                    <a:prstGeom prst="rect">
                      <a:avLst/>
                    </a:prstGeom>
                  </pic:spPr>
                </pic:pic>
              </a:graphicData>
            </a:graphic>
          </wp:inline>
        </w:drawing>
      </w:r>
    </w:p>
    <w:p w14:paraId="62A9A920">
      <w:pPr>
        <w:pStyle w:val="714"/>
        <w:rPr>
          <w:rFonts w:cs="Times New Roman"/>
          <w:color w:val="auto"/>
        </w:rPr>
      </w:pPr>
      <w:r>
        <w:rPr>
          <w:rFonts w:hint="eastAsia" w:cs="Times New Roman"/>
          <w:color w:val="auto"/>
        </w:rPr>
        <w:t>1000d</w:t>
      </w:r>
    </w:p>
    <w:p w14:paraId="05A97BA1">
      <w:pPr>
        <w:pStyle w:val="714"/>
        <w:rPr>
          <w:rFonts w:cs="Times New Roman"/>
          <w:color w:val="auto"/>
        </w:rPr>
      </w:pPr>
      <w:r>
        <w:rPr>
          <w:rFonts w:hint="eastAsia" w:cs="Times New Roman"/>
          <w:color w:val="auto"/>
        </w:rPr>
        <w:drawing>
          <wp:inline distT="0" distB="0" distL="0" distR="0">
            <wp:extent cx="5039995" cy="2671445"/>
            <wp:effectExtent l="0" t="0" r="8255" b="1460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040000" cy="2671698"/>
                    </a:xfrm>
                    <a:prstGeom prst="rect">
                      <a:avLst/>
                    </a:prstGeom>
                  </pic:spPr>
                </pic:pic>
              </a:graphicData>
            </a:graphic>
          </wp:inline>
        </w:drawing>
      </w:r>
    </w:p>
    <w:p w14:paraId="335F3ED8">
      <w:pPr>
        <w:pStyle w:val="714"/>
        <w:rPr>
          <w:rFonts w:cs="Times New Roman"/>
          <w:color w:val="auto"/>
        </w:rPr>
      </w:pPr>
      <w:r>
        <w:rPr>
          <w:rFonts w:hint="eastAsia" w:cs="Times New Roman"/>
          <w:color w:val="auto"/>
        </w:rPr>
        <w:t>3650d</w:t>
      </w:r>
    </w:p>
    <w:p w14:paraId="16C5AAD7">
      <w:pPr>
        <w:pStyle w:val="714"/>
        <w:rPr>
          <w:rFonts w:cs="Times New Roman"/>
          <w:color w:val="auto"/>
        </w:rPr>
      </w:pPr>
      <w:r>
        <w:rPr>
          <w:rFonts w:hint="eastAsia" w:cs="Times New Roman"/>
          <w:color w:val="auto"/>
        </w:rPr>
        <w:drawing>
          <wp:inline distT="0" distB="0" distL="0" distR="0">
            <wp:extent cx="5029200" cy="2543175"/>
            <wp:effectExtent l="0" t="0" r="0" b="952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040000" cy="2548636"/>
                    </a:xfrm>
                    <a:prstGeom prst="rect">
                      <a:avLst/>
                    </a:prstGeom>
                  </pic:spPr>
                </pic:pic>
              </a:graphicData>
            </a:graphic>
          </wp:inline>
        </w:drawing>
      </w:r>
    </w:p>
    <w:p w14:paraId="087ACBD1">
      <w:pPr>
        <w:pStyle w:val="714"/>
        <w:rPr>
          <w:rFonts w:cs="Times New Roman"/>
          <w:color w:val="auto"/>
        </w:rPr>
      </w:pPr>
      <w:r>
        <w:rPr>
          <w:rFonts w:hint="eastAsia" w:cs="Times New Roman"/>
          <w:color w:val="auto"/>
        </w:rPr>
        <w:t>7300d</w:t>
      </w:r>
    </w:p>
    <w:p w14:paraId="476D8525">
      <w:pPr>
        <w:pStyle w:val="713"/>
        <w:spacing w:line="240" w:lineRule="auto"/>
        <w:rPr>
          <w:rFonts w:cs="Times New Roman"/>
          <w:color w:val="auto"/>
        </w:rPr>
      </w:pPr>
      <w:r>
        <w:rPr>
          <w:rFonts w:cs="Times New Roman"/>
          <w:color w:val="auto"/>
        </w:rPr>
        <w:t>图</w:t>
      </w:r>
      <w:r>
        <w:rPr>
          <w:rFonts w:hint="eastAsia" w:cs="Times New Roman"/>
          <w:color w:val="auto"/>
          <w:lang w:val="en-US" w:eastAsia="zh-CN"/>
        </w:rPr>
        <w:t>4.2</w:t>
      </w:r>
      <w:r>
        <w:rPr>
          <w:rFonts w:cs="Times New Roman"/>
          <w:color w:val="auto"/>
        </w:rPr>
        <w:t>-</w:t>
      </w:r>
      <w:r>
        <w:rPr>
          <w:rFonts w:hint="eastAsia" w:cs="Times New Roman"/>
          <w:color w:val="auto"/>
          <w:lang w:val="en-US" w:eastAsia="zh-CN"/>
        </w:rPr>
        <w:t>12</w:t>
      </w:r>
      <w:r>
        <w:rPr>
          <w:rFonts w:cs="Times New Roman"/>
          <w:color w:val="auto"/>
        </w:rPr>
        <w:t xml:space="preserve">  非正常状况项目区</w:t>
      </w:r>
      <w:r>
        <w:rPr>
          <w:rFonts w:hint="eastAsia" w:cs="Times New Roman"/>
          <w:color w:val="auto"/>
        </w:rPr>
        <w:t>总磷</w:t>
      </w:r>
      <w:r>
        <w:rPr>
          <w:rFonts w:cs="Times New Roman"/>
          <w:color w:val="auto"/>
        </w:rPr>
        <w:t>浓度迁移图mg/L</w:t>
      </w:r>
    </w:p>
    <w:p w14:paraId="3BB97E22">
      <w:pPr>
        <w:keepNext w:val="0"/>
        <w:keepLines w:val="0"/>
        <w:pageBreakBefore w:val="0"/>
        <w:widowControl w:val="0"/>
        <w:kinsoku/>
        <w:wordWrap/>
        <w:overflowPunct/>
        <w:topLinePunct w:val="0"/>
        <w:autoSpaceDE/>
        <w:autoSpaceDN/>
        <w:bidi w:val="0"/>
        <w:adjustRightInd/>
        <w:snapToGrid/>
        <w:spacing w:before="157" w:beforeLines="50"/>
        <w:ind w:firstLine="480"/>
        <w:textAlignment w:val="auto"/>
        <w:rPr>
          <w:rFonts w:cs="Times New Roman"/>
          <w:color w:val="auto"/>
        </w:rPr>
      </w:pPr>
      <w:r>
        <w:rPr>
          <w:color w:val="auto"/>
        </w:rPr>
        <w:t>本项目区地下水主径流方向为由北</w:t>
      </w:r>
      <w:r>
        <w:rPr>
          <w:rFonts w:hint="eastAsia"/>
          <w:color w:val="auto"/>
        </w:rPr>
        <w:t>东</w:t>
      </w:r>
      <w:r>
        <w:rPr>
          <w:color w:val="auto"/>
        </w:rPr>
        <w:t>向南</w:t>
      </w:r>
      <w:r>
        <w:rPr>
          <w:rFonts w:hint="eastAsia"/>
          <w:color w:val="auto"/>
        </w:rPr>
        <w:t>西</w:t>
      </w:r>
      <w:r>
        <w:rPr>
          <w:color w:val="auto"/>
        </w:rPr>
        <w:t>，本项目污染源</w:t>
      </w:r>
      <w:r>
        <w:rPr>
          <w:rFonts w:hint="eastAsia"/>
          <w:color w:val="auto"/>
        </w:rPr>
        <w:t>相对</w:t>
      </w:r>
      <w:r>
        <w:rPr>
          <w:color w:val="auto"/>
        </w:rPr>
        <w:t>简单，根据源强分析及预测分析结果，污水处理站在非正常工况下，污染羽受控于水文地质条件向南</w:t>
      </w:r>
      <w:r>
        <w:rPr>
          <w:rFonts w:hint="eastAsia"/>
          <w:color w:val="auto"/>
        </w:rPr>
        <w:t>西</w:t>
      </w:r>
      <w:r>
        <w:rPr>
          <w:color w:val="auto"/>
        </w:rPr>
        <w:t>向迁移</w:t>
      </w:r>
      <w:r>
        <w:rPr>
          <w:rFonts w:hint="eastAsia"/>
          <w:color w:val="auto"/>
        </w:rPr>
        <w:t>扩散</w:t>
      </w:r>
      <w:r>
        <w:rPr>
          <w:color w:val="auto"/>
        </w:rPr>
        <w:t>。</w:t>
      </w:r>
      <w:r>
        <w:rPr>
          <w:rFonts w:cs="Times New Roman"/>
          <w:color w:val="auto"/>
        </w:rPr>
        <w:t>因此本次模拟，针对COD</w:t>
      </w:r>
      <w:r>
        <w:rPr>
          <w:rFonts w:cs="Times New Roman"/>
          <w:color w:val="auto"/>
          <w:vertAlign w:val="subscript"/>
        </w:rPr>
        <w:t>Mn</w:t>
      </w:r>
      <w:r>
        <w:rPr>
          <w:rFonts w:cs="Times New Roman"/>
          <w:color w:val="auto"/>
        </w:rPr>
        <w:t>、氨氮</w:t>
      </w:r>
      <w:r>
        <w:rPr>
          <w:rFonts w:hint="eastAsia" w:cs="Times New Roman"/>
          <w:color w:val="auto"/>
        </w:rPr>
        <w:t>、总磷、甲醛及石油类</w:t>
      </w:r>
      <w:r>
        <w:rPr>
          <w:rFonts w:cs="Times New Roman"/>
          <w:color w:val="auto"/>
        </w:rPr>
        <w:t>主要在厂区泄漏点、厂区边界、厂区</w:t>
      </w:r>
      <w:r>
        <w:rPr>
          <w:rFonts w:hint="eastAsia" w:cs="Times New Roman"/>
          <w:color w:val="auto"/>
        </w:rPr>
        <w:t>南西</w:t>
      </w:r>
      <w:r>
        <w:rPr>
          <w:rFonts w:cs="Times New Roman"/>
          <w:color w:val="auto"/>
        </w:rPr>
        <w:t>下游约</w:t>
      </w:r>
      <w:r>
        <w:rPr>
          <w:rFonts w:hint="eastAsia" w:cs="Times New Roman"/>
          <w:color w:val="auto"/>
        </w:rPr>
        <w:t>8</w:t>
      </w:r>
      <w:r>
        <w:rPr>
          <w:rFonts w:cs="Times New Roman"/>
          <w:color w:val="auto"/>
        </w:rPr>
        <w:t>0m</w:t>
      </w:r>
      <w:r>
        <w:rPr>
          <w:rFonts w:hint="eastAsia" w:cs="Times New Roman"/>
          <w:color w:val="auto"/>
        </w:rPr>
        <w:t>河边</w:t>
      </w:r>
      <w:r>
        <w:rPr>
          <w:rFonts w:cs="Times New Roman"/>
          <w:color w:val="auto"/>
        </w:rPr>
        <w:t>位置对污染物贡献值进行观测。各类污染物观测结果见</w:t>
      </w:r>
      <w:r>
        <w:rPr>
          <w:rFonts w:hint="eastAsia" w:cs="Times New Roman"/>
          <w:color w:val="auto"/>
          <w:lang w:val="en-US" w:eastAsia="zh-CN"/>
        </w:rPr>
        <w:t>下表</w:t>
      </w:r>
      <w:r>
        <w:rPr>
          <w:rFonts w:cs="Times New Roman"/>
          <w:color w:val="auto"/>
        </w:rPr>
        <w:t>。</w:t>
      </w:r>
    </w:p>
    <w:p w14:paraId="32B2AED3">
      <w:pPr>
        <w:pStyle w:val="19"/>
        <w:numPr>
          <w:ilvl w:val="0"/>
          <w:numId w:val="31"/>
        </w:numPr>
        <w:bidi w:val="0"/>
        <w:ind w:left="1440" w:leftChars="0" w:firstLine="0" w:firstLineChars="0"/>
        <w:rPr>
          <w:rFonts w:cs="Times New Roman"/>
          <w:color w:val="auto"/>
        </w:rPr>
      </w:pPr>
      <w:r>
        <w:rPr>
          <w:rFonts w:cs="Times New Roman"/>
          <w:color w:val="auto"/>
        </w:rPr>
        <w:t>COD</w:t>
      </w:r>
      <w:r>
        <w:rPr>
          <w:rFonts w:cs="Times New Roman"/>
          <w:color w:val="auto"/>
          <w:vertAlign w:val="subscript"/>
        </w:rPr>
        <w:t>Mn</w:t>
      </w:r>
      <w:r>
        <w:rPr>
          <w:rFonts w:cs="Times New Roman"/>
          <w:color w:val="auto"/>
        </w:rPr>
        <w:t>沿地下水径流方向贡献值随时间变化（单位：mg/L）</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1276"/>
        <w:gridCol w:w="1280"/>
        <w:gridCol w:w="1276"/>
        <w:gridCol w:w="1282"/>
        <w:gridCol w:w="1278"/>
        <w:gridCol w:w="1278"/>
      </w:tblGrid>
      <w:tr w14:paraId="54DF14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13" w:type="pct"/>
            <w:vMerge w:val="restart"/>
            <w:tcBorders>
              <w:tl2br w:val="nil"/>
              <w:tr2bl w:val="nil"/>
            </w:tcBorders>
            <w:shd w:val="clear" w:color="auto" w:fill="auto"/>
            <w:noWrap/>
            <w:vAlign w:val="center"/>
          </w:tcPr>
          <w:p w14:paraId="559D99AD">
            <w:pPr>
              <w:pStyle w:val="714"/>
              <w:rPr>
                <w:b/>
                <w:bCs/>
                <w:color w:val="auto"/>
                <w:shd w:val="clear" w:color="auto" w:fill="auto"/>
              </w:rPr>
            </w:pPr>
            <w:r>
              <w:rPr>
                <w:rFonts w:hint="eastAsia"/>
                <w:b/>
                <w:bCs/>
                <w:color w:val="auto"/>
                <w:shd w:val="clear" w:color="auto" w:fill="auto"/>
              </w:rPr>
              <w:t>时间（d）</w:t>
            </w:r>
          </w:p>
        </w:tc>
        <w:tc>
          <w:tcPr>
            <w:tcW w:w="1428" w:type="pct"/>
            <w:gridSpan w:val="2"/>
            <w:tcBorders>
              <w:tl2br w:val="nil"/>
              <w:tr2bl w:val="nil"/>
            </w:tcBorders>
            <w:shd w:val="clear" w:color="auto" w:fill="auto"/>
            <w:vAlign w:val="center"/>
          </w:tcPr>
          <w:p w14:paraId="4834595D">
            <w:pPr>
              <w:pStyle w:val="714"/>
              <w:rPr>
                <w:b/>
                <w:bCs/>
                <w:color w:val="auto"/>
                <w:shd w:val="clear" w:color="auto" w:fill="auto"/>
              </w:rPr>
            </w:pPr>
            <w:r>
              <w:rPr>
                <w:rFonts w:hint="eastAsia"/>
                <w:b/>
                <w:bCs/>
                <w:color w:val="auto"/>
                <w:shd w:val="clear" w:color="auto" w:fill="auto"/>
              </w:rPr>
              <w:t>厂区泄漏点</w:t>
            </w:r>
          </w:p>
        </w:tc>
        <w:tc>
          <w:tcPr>
            <w:tcW w:w="1429" w:type="pct"/>
            <w:gridSpan w:val="2"/>
            <w:tcBorders>
              <w:tl2br w:val="nil"/>
              <w:tr2bl w:val="nil"/>
            </w:tcBorders>
            <w:shd w:val="clear" w:color="auto" w:fill="auto"/>
            <w:vAlign w:val="center"/>
          </w:tcPr>
          <w:p w14:paraId="6EC6C150">
            <w:pPr>
              <w:pStyle w:val="714"/>
              <w:rPr>
                <w:b/>
                <w:bCs/>
                <w:color w:val="auto"/>
                <w:shd w:val="clear" w:color="auto" w:fill="auto"/>
              </w:rPr>
            </w:pPr>
            <w:r>
              <w:rPr>
                <w:rFonts w:hint="eastAsia"/>
                <w:b/>
                <w:bCs/>
                <w:color w:val="auto"/>
                <w:shd w:val="clear" w:color="auto" w:fill="auto"/>
              </w:rPr>
              <w:t>厂区边界</w:t>
            </w:r>
          </w:p>
        </w:tc>
        <w:tc>
          <w:tcPr>
            <w:tcW w:w="1428" w:type="pct"/>
            <w:gridSpan w:val="2"/>
            <w:tcBorders>
              <w:tl2br w:val="nil"/>
              <w:tr2bl w:val="nil"/>
            </w:tcBorders>
            <w:shd w:val="clear" w:color="auto" w:fill="auto"/>
            <w:vAlign w:val="center"/>
          </w:tcPr>
          <w:p w14:paraId="22528BB0">
            <w:pPr>
              <w:pStyle w:val="714"/>
              <w:rPr>
                <w:b/>
                <w:bCs/>
                <w:color w:val="auto"/>
                <w:shd w:val="clear" w:color="auto" w:fill="auto"/>
              </w:rPr>
            </w:pPr>
            <w:r>
              <w:rPr>
                <w:rFonts w:hint="eastAsia"/>
                <w:b/>
                <w:bCs/>
                <w:color w:val="auto"/>
                <w:shd w:val="clear" w:color="auto" w:fill="auto"/>
              </w:rPr>
              <w:t>厂区下游河边</w:t>
            </w:r>
          </w:p>
        </w:tc>
      </w:tr>
      <w:tr w14:paraId="047B2F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13" w:type="pct"/>
            <w:vMerge w:val="continue"/>
            <w:tcBorders>
              <w:tl2br w:val="nil"/>
              <w:tr2bl w:val="nil"/>
            </w:tcBorders>
            <w:vAlign w:val="center"/>
          </w:tcPr>
          <w:p w14:paraId="480BD4A4">
            <w:pPr>
              <w:pStyle w:val="714"/>
              <w:rPr>
                <w:b/>
                <w:bCs/>
                <w:color w:val="auto"/>
                <w:shd w:val="clear" w:color="auto" w:fill="auto"/>
              </w:rPr>
            </w:pPr>
          </w:p>
        </w:tc>
        <w:tc>
          <w:tcPr>
            <w:tcW w:w="713" w:type="pct"/>
            <w:tcBorders>
              <w:tl2br w:val="nil"/>
              <w:tr2bl w:val="nil"/>
            </w:tcBorders>
            <w:shd w:val="clear" w:color="auto" w:fill="auto"/>
            <w:vAlign w:val="center"/>
          </w:tcPr>
          <w:p w14:paraId="6A4A3336">
            <w:pPr>
              <w:pStyle w:val="714"/>
              <w:rPr>
                <w:b/>
                <w:bCs/>
                <w:color w:val="auto"/>
                <w:shd w:val="clear" w:color="auto" w:fill="auto"/>
              </w:rPr>
            </w:pPr>
            <w:r>
              <w:rPr>
                <w:rFonts w:hint="eastAsia"/>
                <w:b/>
                <w:bCs/>
                <w:color w:val="auto"/>
                <w:shd w:val="clear" w:color="auto" w:fill="auto"/>
              </w:rPr>
              <w:t>计算值</w:t>
            </w:r>
          </w:p>
        </w:tc>
        <w:tc>
          <w:tcPr>
            <w:tcW w:w="714" w:type="pct"/>
            <w:tcBorders>
              <w:tl2br w:val="nil"/>
              <w:tr2bl w:val="nil"/>
            </w:tcBorders>
            <w:shd w:val="clear" w:color="auto" w:fill="auto"/>
            <w:vAlign w:val="center"/>
          </w:tcPr>
          <w:p w14:paraId="04C054F5">
            <w:pPr>
              <w:pStyle w:val="714"/>
              <w:rPr>
                <w:b/>
                <w:bCs/>
                <w:color w:val="auto"/>
                <w:shd w:val="clear" w:color="auto" w:fill="auto"/>
              </w:rPr>
            </w:pPr>
            <w:r>
              <w:rPr>
                <w:rFonts w:hint="eastAsia"/>
                <w:b/>
                <w:bCs/>
                <w:color w:val="auto"/>
                <w:shd w:val="clear" w:color="auto" w:fill="auto"/>
              </w:rPr>
              <w:t>叠加值</w:t>
            </w:r>
          </w:p>
        </w:tc>
        <w:tc>
          <w:tcPr>
            <w:tcW w:w="713" w:type="pct"/>
            <w:tcBorders>
              <w:tl2br w:val="nil"/>
              <w:tr2bl w:val="nil"/>
            </w:tcBorders>
            <w:shd w:val="clear" w:color="auto" w:fill="auto"/>
            <w:vAlign w:val="center"/>
          </w:tcPr>
          <w:p w14:paraId="56EA4B25">
            <w:pPr>
              <w:pStyle w:val="714"/>
              <w:rPr>
                <w:b/>
                <w:bCs/>
                <w:color w:val="auto"/>
                <w:shd w:val="clear" w:color="auto" w:fill="auto"/>
              </w:rPr>
            </w:pPr>
            <w:r>
              <w:rPr>
                <w:rFonts w:hint="eastAsia"/>
                <w:b/>
                <w:bCs/>
                <w:color w:val="auto"/>
                <w:shd w:val="clear" w:color="auto" w:fill="auto"/>
              </w:rPr>
              <w:t>计算值</w:t>
            </w:r>
          </w:p>
        </w:tc>
        <w:tc>
          <w:tcPr>
            <w:tcW w:w="715" w:type="pct"/>
            <w:tcBorders>
              <w:tl2br w:val="nil"/>
              <w:tr2bl w:val="nil"/>
            </w:tcBorders>
            <w:shd w:val="clear" w:color="auto" w:fill="auto"/>
            <w:vAlign w:val="center"/>
          </w:tcPr>
          <w:p w14:paraId="6BEE2551">
            <w:pPr>
              <w:pStyle w:val="714"/>
              <w:rPr>
                <w:b/>
                <w:bCs/>
                <w:color w:val="auto"/>
                <w:shd w:val="clear" w:color="auto" w:fill="auto"/>
              </w:rPr>
            </w:pPr>
            <w:r>
              <w:rPr>
                <w:rFonts w:hint="eastAsia"/>
                <w:b/>
                <w:bCs/>
                <w:color w:val="auto"/>
                <w:shd w:val="clear" w:color="auto" w:fill="auto"/>
              </w:rPr>
              <w:t>叠加值</w:t>
            </w:r>
          </w:p>
        </w:tc>
        <w:tc>
          <w:tcPr>
            <w:tcW w:w="714" w:type="pct"/>
            <w:tcBorders>
              <w:tl2br w:val="nil"/>
              <w:tr2bl w:val="nil"/>
            </w:tcBorders>
            <w:shd w:val="clear" w:color="auto" w:fill="auto"/>
            <w:vAlign w:val="center"/>
          </w:tcPr>
          <w:p w14:paraId="6C2EC37B">
            <w:pPr>
              <w:pStyle w:val="714"/>
              <w:rPr>
                <w:b/>
                <w:bCs/>
                <w:color w:val="auto"/>
                <w:shd w:val="clear" w:color="auto" w:fill="auto"/>
              </w:rPr>
            </w:pPr>
            <w:r>
              <w:rPr>
                <w:rFonts w:hint="eastAsia"/>
                <w:b/>
                <w:bCs/>
                <w:color w:val="auto"/>
                <w:shd w:val="clear" w:color="auto" w:fill="auto"/>
              </w:rPr>
              <w:t>计算值</w:t>
            </w:r>
          </w:p>
        </w:tc>
        <w:tc>
          <w:tcPr>
            <w:tcW w:w="714" w:type="pct"/>
            <w:tcBorders>
              <w:tl2br w:val="nil"/>
              <w:tr2bl w:val="nil"/>
            </w:tcBorders>
            <w:shd w:val="clear" w:color="auto" w:fill="auto"/>
            <w:vAlign w:val="center"/>
          </w:tcPr>
          <w:p w14:paraId="4A4A874A">
            <w:pPr>
              <w:pStyle w:val="714"/>
              <w:rPr>
                <w:b/>
                <w:bCs/>
                <w:color w:val="auto"/>
                <w:shd w:val="clear" w:color="auto" w:fill="auto"/>
              </w:rPr>
            </w:pPr>
            <w:r>
              <w:rPr>
                <w:rFonts w:hint="eastAsia"/>
                <w:b/>
                <w:bCs/>
                <w:color w:val="auto"/>
                <w:shd w:val="clear" w:color="auto" w:fill="auto"/>
              </w:rPr>
              <w:t>叠加值</w:t>
            </w:r>
          </w:p>
        </w:tc>
      </w:tr>
      <w:tr w14:paraId="1D73EF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53A0C457">
            <w:pPr>
              <w:pStyle w:val="714"/>
              <w:rPr>
                <w:color w:val="auto"/>
                <w:shd w:val="clear" w:color="auto" w:fill="auto"/>
              </w:rPr>
            </w:pPr>
            <w:r>
              <w:rPr>
                <w:rFonts w:hint="eastAsia"/>
                <w:color w:val="auto"/>
                <w:shd w:val="clear" w:color="auto" w:fill="auto"/>
              </w:rPr>
              <w:t xml:space="preserve">37 </w:t>
            </w:r>
          </w:p>
        </w:tc>
        <w:tc>
          <w:tcPr>
            <w:tcW w:w="713" w:type="pct"/>
            <w:tcBorders>
              <w:tl2br w:val="nil"/>
              <w:tr2bl w:val="nil"/>
            </w:tcBorders>
            <w:shd w:val="clear" w:color="auto" w:fill="auto"/>
            <w:vAlign w:val="center"/>
          </w:tcPr>
          <w:p w14:paraId="3A5FDE5F">
            <w:pPr>
              <w:pStyle w:val="714"/>
              <w:rPr>
                <w:color w:val="auto"/>
                <w:shd w:val="clear" w:color="auto" w:fill="auto"/>
              </w:rPr>
            </w:pPr>
            <w:r>
              <w:rPr>
                <w:rFonts w:hint="eastAsia"/>
                <w:color w:val="auto"/>
                <w:shd w:val="clear" w:color="auto" w:fill="auto"/>
              </w:rPr>
              <w:t>40.97</w:t>
            </w:r>
          </w:p>
        </w:tc>
        <w:tc>
          <w:tcPr>
            <w:tcW w:w="714" w:type="pct"/>
            <w:tcBorders>
              <w:tl2br w:val="nil"/>
              <w:tr2bl w:val="nil"/>
            </w:tcBorders>
            <w:shd w:val="clear" w:color="auto" w:fill="auto"/>
            <w:vAlign w:val="center"/>
          </w:tcPr>
          <w:p w14:paraId="20426739">
            <w:pPr>
              <w:pStyle w:val="714"/>
              <w:rPr>
                <w:color w:val="auto"/>
                <w:shd w:val="clear" w:color="auto" w:fill="auto"/>
              </w:rPr>
            </w:pPr>
            <w:r>
              <w:rPr>
                <w:rFonts w:hint="eastAsia"/>
                <w:color w:val="auto"/>
                <w:shd w:val="clear" w:color="auto" w:fill="auto"/>
              </w:rPr>
              <w:t>42.45</w:t>
            </w:r>
          </w:p>
        </w:tc>
        <w:tc>
          <w:tcPr>
            <w:tcW w:w="713" w:type="pct"/>
            <w:tcBorders>
              <w:tl2br w:val="nil"/>
              <w:tr2bl w:val="nil"/>
            </w:tcBorders>
            <w:shd w:val="clear" w:color="auto" w:fill="auto"/>
            <w:vAlign w:val="center"/>
          </w:tcPr>
          <w:p w14:paraId="60694C64">
            <w:pPr>
              <w:pStyle w:val="714"/>
              <w:rPr>
                <w:color w:val="auto"/>
                <w:shd w:val="clear" w:color="auto" w:fill="auto"/>
              </w:rPr>
            </w:pPr>
            <w:r>
              <w:rPr>
                <w:rFonts w:hint="eastAsia"/>
                <w:color w:val="auto"/>
                <w:shd w:val="clear" w:color="auto" w:fill="auto"/>
              </w:rPr>
              <w:t>1.764</w:t>
            </w:r>
          </w:p>
        </w:tc>
        <w:tc>
          <w:tcPr>
            <w:tcW w:w="715" w:type="pct"/>
            <w:tcBorders>
              <w:tl2br w:val="nil"/>
              <w:tr2bl w:val="nil"/>
            </w:tcBorders>
            <w:shd w:val="clear" w:color="auto" w:fill="auto"/>
            <w:vAlign w:val="center"/>
          </w:tcPr>
          <w:p w14:paraId="691888E0">
            <w:pPr>
              <w:pStyle w:val="714"/>
              <w:rPr>
                <w:color w:val="auto"/>
                <w:shd w:val="clear" w:color="auto" w:fill="auto"/>
              </w:rPr>
            </w:pPr>
            <w:r>
              <w:rPr>
                <w:rFonts w:hint="eastAsia"/>
                <w:color w:val="auto"/>
                <w:shd w:val="clear" w:color="auto" w:fill="auto"/>
              </w:rPr>
              <w:t>3.243</w:t>
            </w:r>
          </w:p>
        </w:tc>
        <w:tc>
          <w:tcPr>
            <w:tcW w:w="714" w:type="pct"/>
            <w:tcBorders>
              <w:tl2br w:val="nil"/>
              <w:tr2bl w:val="nil"/>
            </w:tcBorders>
            <w:shd w:val="clear" w:color="auto" w:fill="auto"/>
            <w:vAlign w:val="center"/>
          </w:tcPr>
          <w:p w14:paraId="032F78C6">
            <w:pPr>
              <w:pStyle w:val="714"/>
              <w:rPr>
                <w:color w:val="auto"/>
                <w:shd w:val="clear" w:color="auto" w:fill="auto"/>
              </w:rPr>
            </w:pPr>
            <w:r>
              <w:rPr>
                <w:rFonts w:hint="eastAsia"/>
                <w:color w:val="auto"/>
                <w:shd w:val="clear" w:color="auto" w:fill="auto"/>
              </w:rPr>
              <w:t>0.000</w:t>
            </w:r>
          </w:p>
        </w:tc>
        <w:tc>
          <w:tcPr>
            <w:tcW w:w="714" w:type="pct"/>
            <w:tcBorders>
              <w:tl2br w:val="nil"/>
              <w:tr2bl w:val="nil"/>
            </w:tcBorders>
            <w:shd w:val="clear" w:color="auto" w:fill="auto"/>
            <w:vAlign w:val="center"/>
          </w:tcPr>
          <w:p w14:paraId="70C7B7B7">
            <w:pPr>
              <w:pStyle w:val="714"/>
              <w:rPr>
                <w:color w:val="auto"/>
                <w:shd w:val="clear" w:color="auto" w:fill="auto"/>
              </w:rPr>
            </w:pPr>
            <w:r>
              <w:rPr>
                <w:rFonts w:hint="eastAsia"/>
                <w:color w:val="auto"/>
                <w:shd w:val="clear" w:color="auto" w:fill="auto"/>
              </w:rPr>
              <w:t>1.479</w:t>
            </w:r>
          </w:p>
        </w:tc>
      </w:tr>
      <w:tr w14:paraId="26B0AC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628A5978">
            <w:pPr>
              <w:pStyle w:val="714"/>
              <w:rPr>
                <w:color w:val="auto"/>
                <w:shd w:val="clear" w:color="auto" w:fill="auto"/>
              </w:rPr>
            </w:pPr>
            <w:r>
              <w:rPr>
                <w:rFonts w:hint="eastAsia"/>
                <w:color w:val="auto"/>
                <w:shd w:val="clear" w:color="auto" w:fill="auto"/>
              </w:rPr>
              <w:t xml:space="preserve">79 </w:t>
            </w:r>
          </w:p>
        </w:tc>
        <w:tc>
          <w:tcPr>
            <w:tcW w:w="713" w:type="pct"/>
            <w:tcBorders>
              <w:tl2br w:val="nil"/>
              <w:tr2bl w:val="nil"/>
            </w:tcBorders>
            <w:shd w:val="clear" w:color="auto" w:fill="auto"/>
            <w:vAlign w:val="center"/>
          </w:tcPr>
          <w:p w14:paraId="02565D49">
            <w:pPr>
              <w:pStyle w:val="714"/>
              <w:rPr>
                <w:color w:val="auto"/>
                <w:shd w:val="clear" w:color="auto" w:fill="auto"/>
              </w:rPr>
            </w:pPr>
            <w:r>
              <w:rPr>
                <w:rFonts w:hint="eastAsia"/>
                <w:color w:val="auto"/>
                <w:shd w:val="clear" w:color="auto" w:fill="auto"/>
              </w:rPr>
              <w:t>81.04</w:t>
            </w:r>
          </w:p>
        </w:tc>
        <w:tc>
          <w:tcPr>
            <w:tcW w:w="714" w:type="pct"/>
            <w:tcBorders>
              <w:tl2br w:val="nil"/>
              <w:tr2bl w:val="nil"/>
            </w:tcBorders>
            <w:shd w:val="clear" w:color="auto" w:fill="auto"/>
            <w:vAlign w:val="center"/>
          </w:tcPr>
          <w:p w14:paraId="72C4D650">
            <w:pPr>
              <w:pStyle w:val="714"/>
              <w:rPr>
                <w:color w:val="auto"/>
                <w:shd w:val="clear" w:color="auto" w:fill="auto"/>
              </w:rPr>
            </w:pPr>
            <w:r>
              <w:rPr>
                <w:rFonts w:hint="eastAsia"/>
                <w:color w:val="auto"/>
                <w:shd w:val="clear" w:color="auto" w:fill="auto"/>
              </w:rPr>
              <w:t>82.52</w:t>
            </w:r>
          </w:p>
        </w:tc>
        <w:tc>
          <w:tcPr>
            <w:tcW w:w="713" w:type="pct"/>
            <w:tcBorders>
              <w:tl2br w:val="nil"/>
              <w:tr2bl w:val="nil"/>
            </w:tcBorders>
            <w:shd w:val="clear" w:color="auto" w:fill="auto"/>
            <w:vAlign w:val="center"/>
          </w:tcPr>
          <w:p w14:paraId="24DE5B78">
            <w:pPr>
              <w:pStyle w:val="714"/>
              <w:rPr>
                <w:color w:val="auto"/>
                <w:shd w:val="clear" w:color="auto" w:fill="auto"/>
              </w:rPr>
            </w:pPr>
            <w:r>
              <w:rPr>
                <w:rFonts w:hint="eastAsia"/>
                <w:color w:val="auto"/>
                <w:shd w:val="clear" w:color="auto" w:fill="auto"/>
              </w:rPr>
              <w:t>7.135</w:t>
            </w:r>
          </w:p>
        </w:tc>
        <w:tc>
          <w:tcPr>
            <w:tcW w:w="715" w:type="pct"/>
            <w:tcBorders>
              <w:tl2br w:val="nil"/>
              <w:tr2bl w:val="nil"/>
            </w:tcBorders>
            <w:shd w:val="clear" w:color="auto" w:fill="auto"/>
            <w:vAlign w:val="center"/>
          </w:tcPr>
          <w:p w14:paraId="2EC0E7FD">
            <w:pPr>
              <w:pStyle w:val="714"/>
              <w:rPr>
                <w:color w:val="auto"/>
                <w:shd w:val="clear" w:color="auto" w:fill="auto"/>
              </w:rPr>
            </w:pPr>
            <w:r>
              <w:rPr>
                <w:rFonts w:hint="eastAsia"/>
                <w:color w:val="auto"/>
                <w:shd w:val="clear" w:color="auto" w:fill="auto"/>
              </w:rPr>
              <w:t>8.614</w:t>
            </w:r>
          </w:p>
        </w:tc>
        <w:tc>
          <w:tcPr>
            <w:tcW w:w="714" w:type="pct"/>
            <w:tcBorders>
              <w:tl2br w:val="nil"/>
              <w:tr2bl w:val="nil"/>
            </w:tcBorders>
            <w:shd w:val="clear" w:color="auto" w:fill="auto"/>
            <w:vAlign w:val="center"/>
          </w:tcPr>
          <w:p w14:paraId="14023140">
            <w:pPr>
              <w:pStyle w:val="714"/>
              <w:rPr>
                <w:color w:val="auto"/>
                <w:shd w:val="clear" w:color="auto" w:fill="auto"/>
              </w:rPr>
            </w:pPr>
            <w:r>
              <w:rPr>
                <w:rFonts w:hint="eastAsia"/>
                <w:color w:val="auto"/>
                <w:shd w:val="clear" w:color="auto" w:fill="auto"/>
              </w:rPr>
              <w:t>0.000</w:t>
            </w:r>
          </w:p>
        </w:tc>
        <w:tc>
          <w:tcPr>
            <w:tcW w:w="714" w:type="pct"/>
            <w:tcBorders>
              <w:tl2br w:val="nil"/>
              <w:tr2bl w:val="nil"/>
            </w:tcBorders>
            <w:shd w:val="clear" w:color="auto" w:fill="auto"/>
            <w:vAlign w:val="center"/>
          </w:tcPr>
          <w:p w14:paraId="7B47E365">
            <w:pPr>
              <w:pStyle w:val="714"/>
              <w:rPr>
                <w:color w:val="auto"/>
                <w:shd w:val="clear" w:color="auto" w:fill="auto"/>
              </w:rPr>
            </w:pPr>
            <w:r>
              <w:rPr>
                <w:rFonts w:hint="eastAsia"/>
                <w:color w:val="auto"/>
                <w:shd w:val="clear" w:color="auto" w:fill="auto"/>
              </w:rPr>
              <w:t>1.479</w:t>
            </w:r>
          </w:p>
        </w:tc>
      </w:tr>
      <w:tr w14:paraId="5BBE36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7F26AC41">
            <w:pPr>
              <w:pStyle w:val="714"/>
              <w:rPr>
                <w:color w:val="auto"/>
                <w:shd w:val="clear" w:color="auto" w:fill="auto"/>
              </w:rPr>
            </w:pPr>
            <w:r>
              <w:rPr>
                <w:rFonts w:hint="eastAsia"/>
                <w:color w:val="auto"/>
                <w:shd w:val="clear" w:color="auto" w:fill="auto"/>
              </w:rPr>
              <w:t xml:space="preserve">90 </w:t>
            </w:r>
          </w:p>
        </w:tc>
        <w:tc>
          <w:tcPr>
            <w:tcW w:w="713" w:type="pct"/>
            <w:tcBorders>
              <w:tl2br w:val="nil"/>
              <w:tr2bl w:val="nil"/>
            </w:tcBorders>
            <w:shd w:val="clear" w:color="auto" w:fill="auto"/>
            <w:vAlign w:val="center"/>
          </w:tcPr>
          <w:p w14:paraId="69532CAA">
            <w:pPr>
              <w:pStyle w:val="714"/>
              <w:rPr>
                <w:color w:val="auto"/>
                <w:shd w:val="clear" w:color="auto" w:fill="auto"/>
              </w:rPr>
            </w:pPr>
            <w:r>
              <w:rPr>
                <w:rFonts w:hint="eastAsia"/>
                <w:color w:val="auto"/>
                <w:shd w:val="clear" w:color="auto" w:fill="auto"/>
              </w:rPr>
              <w:t>91.75</w:t>
            </w:r>
          </w:p>
        </w:tc>
        <w:tc>
          <w:tcPr>
            <w:tcW w:w="714" w:type="pct"/>
            <w:tcBorders>
              <w:tl2br w:val="nil"/>
              <w:tr2bl w:val="nil"/>
            </w:tcBorders>
            <w:shd w:val="clear" w:color="auto" w:fill="auto"/>
            <w:vAlign w:val="center"/>
          </w:tcPr>
          <w:p w14:paraId="64478143">
            <w:pPr>
              <w:pStyle w:val="714"/>
              <w:rPr>
                <w:color w:val="auto"/>
                <w:shd w:val="clear" w:color="auto" w:fill="auto"/>
              </w:rPr>
            </w:pPr>
            <w:r>
              <w:rPr>
                <w:rFonts w:hint="eastAsia"/>
                <w:color w:val="auto"/>
                <w:shd w:val="clear" w:color="auto" w:fill="auto"/>
              </w:rPr>
              <w:t>93.23</w:t>
            </w:r>
          </w:p>
        </w:tc>
        <w:tc>
          <w:tcPr>
            <w:tcW w:w="713" w:type="pct"/>
            <w:tcBorders>
              <w:tl2br w:val="nil"/>
              <w:tr2bl w:val="nil"/>
            </w:tcBorders>
            <w:shd w:val="clear" w:color="auto" w:fill="auto"/>
            <w:vAlign w:val="center"/>
          </w:tcPr>
          <w:p w14:paraId="7579BD8B">
            <w:pPr>
              <w:pStyle w:val="714"/>
              <w:rPr>
                <w:color w:val="auto"/>
                <w:shd w:val="clear" w:color="auto" w:fill="auto"/>
              </w:rPr>
            </w:pPr>
            <w:r>
              <w:rPr>
                <w:rFonts w:hint="eastAsia"/>
                <w:color w:val="auto"/>
                <w:shd w:val="clear" w:color="auto" w:fill="auto"/>
              </w:rPr>
              <w:t>9.015</w:t>
            </w:r>
          </w:p>
        </w:tc>
        <w:tc>
          <w:tcPr>
            <w:tcW w:w="715" w:type="pct"/>
            <w:tcBorders>
              <w:tl2br w:val="nil"/>
              <w:tr2bl w:val="nil"/>
            </w:tcBorders>
            <w:shd w:val="clear" w:color="auto" w:fill="auto"/>
            <w:vAlign w:val="center"/>
          </w:tcPr>
          <w:p w14:paraId="02FC1406">
            <w:pPr>
              <w:pStyle w:val="714"/>
              <w:rPr>
                <w:color w:val="auto"/>
                <w:shd w:val="clear" w:color="auto" w:fill="auto"/>
              </w:rPr>
            </w:pPr>
            <w:r>
              <w:rPr>
                <w:rFonts w:hint="eastAsia"/>
                <w:color w:val="auto"/>
                <w:shd w:val="clear" w:color="auto" w:fill="auto"/>
              </w:rPr>
              <w:t>10.49</w:t>
            </w:r>
          </w:p>
        </w:tc>
        <w:tc>
          <w:tcPr>
            <w:tcW w:w="714" w:type="pct"/>
            <w:tcBorders>
              <w:tl2br w:val="nil"/>
              <w:tr2bl w:val="nil"/>
            </w:tcBorders>
            <w:shd w:val="clear" w:color="auto" w:fill="auto"/>
            <w:vAlign w:val="center"/>
          </w:tcPr>
          <w:p w14:paraId="3784F6BA">
            <w:pPr>
              <w:pStyle w:val="714"/>
              <w:rPr>
                <w:color w:val="auto"/>
                <w:shd w:val="clear" w:color="auto" w:fill="auto"/>
              </w:rPr>
            </w:pPr>
            <w:r>
              <w:rPr>
                <w:rFonts w:hint="eastAsia"/>
                <w:color w:val="auto"/>
                <w:shd w:val="clear" w:color="auto" w:fill="auto"/>
              </w:rPr>
              <w:t>0.000</w:t>
            </w:r>
          </w:p>
        </w:tc>
        <w:tc>
          <w:tcPr>
            <w:tcW w:w="714" w:type="pct"/>
            <w:tcBorders>
              <w:tl2br w:val="nil"/>
              <w:tr2bl w:val="nil"/>
            </w:tcBorders>
            <w:shd w:val="clear" w:color="auto" w:fill="auto"/>
            <w:vAlign w:val="center"/>
          </w:tcPr>
          <w:p w14:paraId="6D6E43ED">
            <w:pPr>
              <w:pStyle w:val="714"/>
              <w:rPr>
                <w:color w:val="auto"/>
                <w:shd w:val="clear" w:color="auto" w:fill="auto"/>
              </w:rPr>
            </w:pPr>
            <w:r>
              <w:rPr>
                <w:rFonts w:hint="eastAsia"/>
                <w:color w:val="auto"/>
                <w:shd w:val="clear" w:color="auto" w:fill="auto"/>
              </w:rPr>
              <w:t>1.479</w:t>
            </w:r>
          </w:p>
        </w:tc>
      </w:tr>
      <w:tr w14:paraId="3C07C7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19F8822A">
            <w:pPr>
              <w:pStyle w:val="714"/>
              <w:rPr>
                <w:color w:val="auto"/>
                <w:shd w:val="clear" w:color="auto" w:fill="auto"/>
              </w:rPr>
            </w:pPr>
            <w:r>
              <w:rPr>
                <w:rFonts w:hint="eastAsia"/>
                <w:color w:val="auto"/>
                <w:shd w:val="clear" w:color="auto" w:fill="auto"/>
              </w:rPr>
              <w:t xml:space="preserve">100 </w:t>
            </w:r>
          </w:p>
        </w:tc>
        <w:tc>
          <w:tcPr>
            <w:tcW w:w="713" w:type="pct"/>
            <w:tcBorders>
              <w:tl2br w:val="nil"/>
              <w:tr2bl w:val="nil"/>
            </w:tcBorders>
            <w:shd w:val="clear" w:color="auto" w:fill="auto"/>
            <w:vAlign w:val="center"/>
          </w:tcPr>
          <w:p w14:paraId="165AD9C2">
            <w:pPr>
              <w:pStyle w:val="714"/>
              <w:rPr>
                <w:color w:val="auto"/>
                <w:shd w:val="clear" w:color="auto" w:fill="auto"/>
              </w:rPr>
            </w:pPr>
            <w:r>
              <w:rPr>
                <w:rFonts w:hint="eastAsia"/>
                <w:color w:val="auto"/>
                <w:shd w:val="clear" w:color="auto" w:fill="auto"/>
              </w:rPr>
              <w:t>89.00</w:t>
            </w:r>
          </w:p>
        </w:tc>
        <w:tc>
          <w:tcPr>
            <w:tcW w:w="714" w:type="pct"/>
            <w:tcBorders>
              <w:tl2br w:val="nil"/>
              <w:tr2bl w:val="nil"/>
            </w:tcBorders>
            <w:shd w:val="clear" w:color="auto" w:fill="auto"/>
            <w:vAlign w:val="center"/>
          </w:tcPr>
          <w:p w14:paraId="65A2987A">
            <w:pPr>
              <w:pStyle w:val="714"/>
              <w:rPr>
                <w:color w:val="auto"/>
                <w:shd w:val="clear" w:color="auto" w:fill="auto"/>
              </w:rPr>
            </w:pPr>
            <w:r>
              <w:rPr>
                <w:rFonts w:hint="eastAsia"/>
                <w:color w:val="auto"/>
                <w:shd w:val="clear" w:color="auto" w:fill="auto"/>
              </w:rPr>
              <w:t>90.48</w:t>
            </w:r>
          </w:p>
        </w:tc>
        <w:tc>
          <w:tcPr>
            <w:tcW w:w="713" w:type="pct"/>
            <w:tcBorders>
              <w:tl2br w:val="nil"/>
              <w:tr2bl w:val="nil"/>
            </w:tcBorders>
            <w:shd w:val="clear" w:color="auto" w:fill="auto"/>
            <w:vAlign w:val="center"/>
          </w:tcPr>
          <w:p w14:paraId="16B24C5C">
            <w:pPr>
              <w:pStyle w:val="714"/>
              <w:rPr>
                <w:color w:val="auto"/>
                <w:shd w:val="clear" w:color="auto" w:fill="auto"/>
              </w:rPr>
            </w:pPr>
            <w:r>
              <w:rPr>
                <w:rFonts w:hint="eastAsia"/>
                <w:color w:val="auto"/>
                <w:shd w:val="clear" w:color="auto" w:fill="auto"/>
              </w:rPr>
              <w:t>10.79</w:t>
            </w:r>
          </w:p>
        </w:tc>
        <w:tc>
          <w:tcPr>
            <w:tcW w:w="715" w:type="pct"/>
            <w:tcBorders>
              <w:tl2br w:val="nil"/>
              <w:tr2bl w:val="nil"/>
            </w:tcBorders>
            <w:shd w:val="clear" w:color="auto" w:fill="auto"/>
            <w:vAlign w:val="center"/>
          </w:tcPr>
          <w:p w14:paraId="64D49A77">
            <w:pPr>
              <w:pStyle w:val="714"/>
              <w:rPr>
                <w:color w:val="auto"/>
                <w:shd w:val="clear" w:color="auto" w:fill="auto"/>
              </w:rPr>
            </w:pPr>
            <w:r>
              <w:rPr>
                <w:rFonts w:hint="eastAsia"/>
                <w:color w:val="auto"/>
                <w:shd w:val="clear" w:color="auto" w:fill="auto"/>
              </w:rPr>
              <w:t>12.27</w:t>
            </w:r>
          </w:p>
        </w:tc>
        <w:tc>
          <w:tcPr>
            <w:tcW w:w="714" w:type="pct"/>
            <w:tcBorders>
              <w:tl2br w:val="nil"/>
              <w:tr2bl w:val="nil"/>
            </w:tcBorders>
            <w:shd w:val="clear" w:color="auto" w:fill="auto"/>
            <w:vAlign w:val="center"/>
          </w:tcPr>
          <w:p w14:paraId="7C4567C8">
            <w:pPr>
              <w:pStyle w:val="714"/>
              <w:rPr>
                <w:color w:val="auto"/>
                <w:shd w:val="clear" w:color="auto" w:fill="auto"/>
              </w:rPr>
            </w:pPr>
            <w:r>
              <w:rPr>
                <w:rFonts w:hint="eastAsia"/>
                <w:color w:val="auto"/>
                <w:shd w:val="clear" w:color="auto" w:fill="auto"/>
              </w:rPr>
              <w:t>0.000</w:t>
            </w:r>
          </w:p>
        </w:tc>
        <w:tc>
          <w:tcPr>
            <w:tcW w:w="714" w:type="pct"/>
            <w:tcBorders>
              <w:tl2br w:val="nil"/>
              <w:tr2bl w:val="nil"/>
            </w:tcBorders>
            <w:shd w:val="clear" w:color="auto" w:fill="auto"/>
            <w:vAlign w:val="center"/>
          </w:tcPr>
          <w:p w14:paraId="221F6E67">
            <w:pPr>
              <w:pStyle w:val="714"/>
              <w:rPr>
                <w:color w:val="auto"/>
                <w:shd w:val="clear" w:color="auto" w:fill="auto"/>
              </w:rPr>
            </w:pPr>
            <w:r>
              <w:rPr>
                <w:rFonts w:hint="eastAsia"/>
                <w:color w:val="auto"/>
                <w:shd w:val="clear" w:color="auto" w:fill="auto"/>
              </w:rPr>
              <w:t>1.479</w:t>
            </w:r>
          </w:p>
        </w:tc>
      </w:tr>
      <w:tr w14:paraId="0EDD4B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419370C9">
            <w:pPr>
              <w:pStyle w:val="714"/>
              <w:rPr>
                <w:color w:val="auto"/>
                <w:shd w:val="clear" w:color="auto" w:fill="auto"/>
              </w:rPr>
            </w:pPr>
            <w:r>
              <w:rPr>
                <w:rFonts w:hint="eastAsia"/>
                <w:color w:val="auto"/>
                <w:shd w:val="clear" w:color="auto" w:fill="auto"/>
              </w:rPr>
              <w:t xml:space="preserve">365 </w:t>
            </w:r>
          </w:p>
        </w:tc>
        <w:tc>
          <w:tcPr>
            <w:tcW w:w="713" w:type="pct"/>
            <w:tcBorders>
              <w:tl2br w:val="nil"/>
              <w:tr2bl w:val="nil"/>
            </w:tcBorders>
            <w:shd w:val="clear" w:color="auto" w:fill="auto"/>
            <w:vAlign w:val="center"/>
          </w:tcPr>
          <w:p w14:paraId="7B9E397F">
            <w:pPr>
              <w:pStyle w:val="714"/>
              <w:rPr>
                <w:color w:val="auto"/>
                <w:shd w:val="clear" w:color="auto" w:fill="auto"/>
              </w:rPr>
            </w:pPr>
            <w:r>
              <w:rPr>
                <w:rFonts w:hint="eastAsia"/>
                <w:color w:val="auto"/>
                <w:shd w:val="clear" w:color="auto" w:fill="auto"/>
              </w:rPr>
              <w:t>45.84</w:t>
            </w:r>
          </w:p>
        </w:tc>
        <w:tc>
          <w:tcPr>
            <w:tcW w:w="714" w:type="pct"/>
            <w:tcBorders>
              <w:tl2br w:val="nil"/>
              <w:tr2bl w:val="nil"/>
            </w:tcBorders>
            <w:shd w:val="clear" w:color="auto" w:fill="auto"/>
            <w:vAlign w:val="center"/>
          </w:tcPr>
          <w:p w14:paraId="14F750D6">
            <w:pPr>
              <w:pStyle w:val="714"/>
              <w:rPr>
                <w:color w:val="auto"/>
                <w:shd w:val="clear" w:color="auto" w:fill="auto"/>
              </w:rPr>
            </w:pPr>
            <w:r>
              <w:rPr>
                <w:rFonts w:hint="eastAsia"/>
                <w:color w:val="auto"/>
                <w:shd w:val="clear" w:color="auto" w:fill="auto"/>
              </w:rPr>
              <w:t>47.32</w:t>
            </w:r>
          </w:p>
        </w:tc>
        <w:tc>
          <w:tcPr>
            <w:tcW w:w="713" w:type="pct"/>
            <w:tcBorders>
              <w:tl2br w:val="nil"/>
              <w:tr2bl w:val="nil"/>
            </w:tcBorders>
            <w:shd w:val="clear" w:color="auto" w:fill="auto"/>
            <w:vAlign w:val="center"/>
          </w:tcPr>
          <w:p w14:paraId="4CF5C370">
            <w:pPr>
              <w:pStyle w:val="714"/>
              <w:rPr>
                <w:color w:val="auto"/>
                <w:shd w:val="clear" w:color="auto" w:fill="auto"/>
              </w:rPr>
            </w:pPr>
            <w:r>
              <w:rPr>
                <w:rFonts w:hint="eastAsia"/>
                <w:color w:val="auto"/>
                <w:shd w:val="clear" w:color="auto" w:fill="auto"/>
              </w:rPr>
              <w:t>26.37</w:t>
            </w:r>
          </w:p>
        </w:tc>
        <w:tc>
          <w:tcPr>
            <w:tcW w:w="715" w:type="pct"/>
            <w:tcBorders>
              <w:tl2br w:val="nil"/>
              <w:tr2bl w:val="nil"/>
            </w:tcBorders>
            <w:shd w:val="clear" w:color="auto" w:fill="auto"/>
            <w:vAlign w:val="center"/>
          </w:tcPr>
          <w:p w14:paraId="575080FF">
            <w:pPr>
              <w:pStyle w:val="714"/>
              <w:rPr>
                <w:color w:val="auto"/>
                <w:shd w:val="clear" w:color="auto" w:fill="auto"/>
              </w:rPr>
            </w:pPr>
            <w:r>
              <w:rPr>
                <w:rFonts w:hint="eastAsia"/>
                <w:color w:val="auto"/>
                <w:shd w:val="clear" w:color="auto" w:fill="auto"/>
              </w:rPr>
              <w:t>27.85</w:t>
            </w:r>
          </w:p>
        </w:tc>
        <w:tc>
          <w:tcPr>
            <w:tcW w:w="714" w:type="pct"/>
            <w:tcBorders>
              <w:tl2br w:val="nil"/>
              <w:tr2bl w:val="nil"/>
            </w:tcBorders>
            <w:shd w:val="clear" w:color="auto" w:fill="auto"/>
            <w:vAlign w:val="center"/>
          </w:tcPr>
          <w:p w14:paraId="6BA8EFE1">
            <w:pPr>
              <w:pStyle w:val="714"/>
              <w:rPr>
                <w:color w:val="auto"/>
                <w:shd w:val="clear" w:color="auto" w:fill="auto"/>
              </w:rPr>
            </w:pPr>
            <w:r>
              <w:rPr>
                <w:rFonts w:hint="eastAsia"/>
                <w:color w:val="auto"/>
                <w:shd w:val="clear" w:color="auto" w:fill="auto"/>
              </w:rPr>
              <w:t>0.129</w:t>
            </w:r>
          </w:p>
        </w:tc>
        <w:tc>
          <w:tcPr>
            <w:tcW w:w="714" w:type="pct"/>
            <w:tcBorders>
              <w:tl2br w:val="nil"/>
              <w:tr2bl w:val="nil"/>
            </w:tcBorders>
            <w:shd w:val="clear" w:color="auto" w:fill="auto"/>
            <w:vAlign w:val="center"/>
          </w:tcPr>
          <w:p w14:paraId="6737F13C">
            <w:pPr>
              <w:pStyle w:val="714"/>
              <w:rPr>
                <w:color w:val="auto"/>
                <w:shd w:val="clear" w:color="auto" w:fill="auto"/>
              </w:rPr>
            </w:pPr>
            <w:r>
              <w:rPr>
                <w:rFonts w:hint="eastAsia"/>
                <w:color w:val="auto"/>
                <w:shd w:val="clear" w:color="auto" w:fill="auto"/>
              </w:rPr>
              <w:t>1.608</w:t>
            </w:r>
          </w:p>
        </w:tc>
      </w:tr>
      <w:tr w14:paraId="416A10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27309699">
            <w:pPr>
              <w:pStyle w:val="714"/>
              <w:rPr>
                <w:color w:val="auto"/>
                <w:shd w:val="clear" w:color="auto" w:fill="auto"/>
              </w:rPr>
            </w:pPr>
            <w:r>
              <w:rPr>
                <w:rFonts w:hint="eastAsia"/>
                <w:color w:val="auto"/>
                <w:shd w:val="clear" w:color="auto" w:fill="auto"/>
              </w:rPr>
              <w:t xml:space="preserve">730 </w:t>
            </w:r>
          </w:p>
        </w:tc>
        <w:tc>
          <w:tcPr>
            <w:tcW w:w="713" w:type="pct"/>
            <w:tcBorders>
              <w:tl2br w:val="nil"/>
              <w:tr2bl w:val="nil"/>
            </w:tcBorders>
            <w:shd w:val="clear" w:color="auto" w:fill="auto"/>
            <w:vAlign w:val="center"/>
          </w:tcPr>
          <w:p w14:paraId="1A711CEE">
            <w:pPr>
              <w:pStyle w:val="714"/>
              <w:rPr>
                <w:color w:val="auto"/>
                <w:shd w:val="clear" w:color="auto" w:fill="auto"/>
              </w:rPr>
            </w:pPr>
            <w:r>
              <w:rPr>
                <w:rFonts w:hint="eastAsia"/>
                <w:color w:val="auto"/>
                <w:shd w:val="clear" w:color="auto" w:fill="auto"/>
              </w:rPr>
              <w:t>29.64</w:t>
            </w:r>
          </w:p>
        </w:tc>
        <w:tc>
          <w:tcPr>
            <w:tcW w:w="714" w:type="pct"/>
            <w:tcBorders>
              <w:tl2br w:val="nil"/>
              <w:tr2bl w:val="nil"/>
            </w:tcBorders>
            <w:shd w:val="clear" w:color="auto" w:fill="auto"/>
            <w:vAlign w:val="center"/>
          </w:tcPr>
          <w:p w14:paraId="75BAD18A">
            <w:pPr>
              <w:pStyle w:val="714"/>
              <w:rPr>
                <w:color w:val="auto"/>
                <w:shd w:val="clear" w:color="auto" w:fill="auto"/>
              </w:rPr>
            </w:pPr>
            <w:r>
              <w:rPr>
                <w:rFonts w:hint="eastAsia"/>
                <w:color w:val="auto"/>
                <w:shd w:val="clear" w:color="auto" w:fill="auto"/>
              </w:rPr>
              <w:t>31.12</w:t>
            </w:r>
          </w:p>
        </w:tc>
        <w:tc>
          <w:tcPr>
            <w:tcW w:w="713" w:type="pct"/>
            <w:tcBorders>
              <w:tl2br w:val="nil"/>
              <w:tr2bl w:val="nil"/>
            </w:tcBorders>
            <w:shd w:val="clear" w:color="auto" w:fill="auto"/>
            <w:vAlign w:val="center"/>
          </w:tcPr>
          <w:p w14:paraId="425100FF">
            <w:pPr>
              <w:pStyle w:val="714"/>
              <w:rPr>
                <w:color w:val="auto"/>
                <w:shd w:val="clear" w:color="auto" w:fill="auto"/>
              </w:rPr>
            </w:pPr>
            <w:r>
              <w:rPr>
                <w:rFonts w:hint="eastAsia"/>
                <w:color w:val="auto"/>
                <w:shd w:val="clear" w:color="auto" w:fill="auto"/>
              </w:rPr>
              <w:t>28.83</w:t>
            </w:r>
          </w:p>
        </w:tc>
        <w:tc>
          <w:tcPr>
            <w:tcW w:w="715" w:type="pct"/>
            <w:tcBorders>
              <w:tl2br w:val="nil"/>
              <w:tr2bl w:val="nil"/>
            </w:tcBorders>
            <w:shd w:val="clear" w:color="auto" w:fill="auto"/>
            <w:vAlign w:val="center"/>
          </w:tcPr>
          <w:p w14:paraId="7FA1F8A5">
            <w:pPr>
              <w:pStyle w:val="714"/>
              <w:rPr>
                <w:color w:val="auto"/>
                <w:shd w:val="clear" w:color="auto" w:fill="auto"/>
              </w:rPr>
            </w:pPr>
            <w:r>
              <w:rPr>
                <w:rFonts w:hint="eastAsia"/>
                <w:color w:val="auto"/>
                <w:shd w:val="clear" w:color="auto" w:fill="auto"/>
              </w:rPr>
              <w:t>30.31</w:t>
            </w:r>
          </w:p>
        </w:tc>
        <w:tc>
          <w:tcPr>
            <w:tcW w:w="714" w:type="pct"/>
            <w:tcBorders>
              <w:tl2br w:val="nil"/>
              <w:tr2bl w:val="nil"/>
            </w:tcBorders>
            <w:shd w:val="clear" w:color="auto" w:fill="auto"/>
            <w:vAlign w:val="center"/>
          </w:tcPr>
          <w:p w14:paraId="23AF5A98">
            <w:pPr>
              <w:pStyle w:val="714"/>
              <w:rPr>
                <w:color w:val="auto"/>
                <w:shd w:val="clear" w:color="auto" w:fill="auto"/>
              </w:rPr>
            </w:pPr>
            <w:r>
              <w:rPr>
                <w:rFonts w:hint="eastAsia"/>
                <w:color w:val="auto"/>
                <w:shd w:val="clear" w:color="auto" w:fill="auto"/>
              </w:rPr>
              <w:t>1.462</w:t>
            </w:r>
          </w:p>
        </w:tc>
        <w:tc>
          <w:tcPr>
            <w:tcW w:w="714" w:type="pct"/>
            <w:tcBorders>
              <w:tl2br w:val="nil"/>
              <w:tr2bl w:val="nil"/>
            </w:tcBorders>
            <w:shd w:val="clear" w:color="auto" w:fill="auto"/>
            <w:vAlign w:val="center"/>
          </w:tcPr>
          <w:p w14:paraId="70742E54">
            <w:pPr>
              <w:pStyle w:val="714"/>
              <w:rPr>
                <w:color w:val="auto"/>
                <w:shd w:val="clear" w:color="auto" w:fill="auto"/>
              </w:rPr>
            </w:pPr>
            <w:r>
              <w:rPr>
                <w:rFonts w:hint="eastAsia"/>
                <w:color w:val="auto"/>
                <w:shd w:val="clear" w:color="auto" w:fill="auto"/>
              </w:rPr>
              <w:t>2.941</w:t>
            </w:r>
          </w:p>
        </w:tc>
      </w:tr>
      <w:tr w14:paraId="2E89E6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48C48786">
            <w:pPr>
              <w:pStyle w:val="714"/>
              <w:rPr>
                <w:color w:val="auto"/>
                <w:shd w:val="clear" w:color="auto" w:fill="auto"/>
              </w:rPr>
            </w:pPr>
            <w:r>
              <w:rPr>
                <w:rFonts w:hint="eastAsia"/>
                <w:color w:val="auto"/>
                <w:shd w:val="clear" w:color="auto" w:fill="auto"/>
              </w:rPr>
              <w:t xml:space="preserve">1000 </w:t>
            </w:r>
          </w:p>
        </w:tc>
        <w:tc>
          <w:tcPr>
            <w:tcW w:w="713" w:type="pct"/>
            <w:tcBorders>
              <w:tl2br w:val="nil"/>
              <w:tr2bl w:val="nil"/>
            </w:tcBorders>
            <w:shd w:val="clear" w:color="auto" w:fill="auto"/>
            <w:vAlign w:val="center"/>
          </w:tcPr>
          <w:p w14:paraId="79BB63F1">
            <w:pPr>
              <w:pStyle w:val="714"/>
              <w:rPr>
                <w:color w:val="auto"/>
                <w:shd w:val="clear" w:color="auto" w:fill="auto"/>
              </w:rPr>
            </w:pPr>
            <w:r>
              <w:rPr>
                <w:rFonts w:hint="eastAsia"/>
                <w:color w:val="auto"/>
                <w:shd w:val="clear" w:color="auto" w:fill="auto"/>
              </w:rPr>
              <w:t>22.20</w:t>
            </w:r>
          </w:p>
        </w:tc>
        <w:tc>
          <w:tcPr>
            <w:tcW w:w="714" w:type="pct"/>
            <w:tcBorders>
              <w:tl2br w:val="nil"/>
              <w:tr2bl w:val="nil"/>
            </w:tcBorders>
            <w:shd w:val="clear" w:color="auto" w:fill="auto"/>
            <w:vAlign w:val="center"/>
          </w:tcPr>
          <w:p w14:paraId="5EC007B9">
            <w:pPr>
              <w:pStyle w:val="714"/>
              <w:rPr>
                <w:color w:val="auto"/>
                <w:shd w:val="clear" w:color="auto" w:fill="auto"/>
              </w:rPr>
            </w:pPr>
            <w:r>
              <w:rPr>
                <w:rFonts w:hint="eastAsia"/>
                <w:color w:val="auto"/>
                <w:shd w:val="clear" w:color="auto" w:fill="auto"/>
              </w:rPr>
              <w:t>23.68</w:t>
            </w:r>
          </w:p>
        </w:tc>
        <w:tc>
          <w:tcPr>
            <w:tcW w:w="713" w:type="pct"/>
            <w:tcBorders>
              <w:tl2br w:val="nil"/>
              <w:tr2bl w:val="nil"/>
            </w:tcBorders>
            <w:shd w:val="clear" w:color="auto" w:fill="auto"/>
            <w:vAlign w:val="center"/>
          </w:tcPr>
          <w:p w14:paraId="6FC942B7">
            <w:pPr>
              <w:pStyle w:val="714"/>
              <w:rPr>
                <w:color w:val="auto"/>
                <w:shd w:val="clear" w:color="auto" w:fill="auto"/>
              </w:rPr>
            </w:pPr>
            <w:r>
              <w:rPr>
                <w:rFonts w:hint="eastAsia"/>
                <w:color w:val="auto"/>
                <w:shd w:val="clear" w:color="auto" w:fill="auto"/>
              </w:rPr>
              <w:t>27.81</w:t>
            </w:r>
          </w:p>
        </w:tc>
        <w:tc>
          <w:tcPr>
            <w:tcW w:w="715" w:type="pct"/>
            <w:tcBorders>
              <w:tl2br w:val="nil"/>
              <w:tr2bl w:val="nil"/>
            </w:tcBorders>
            <w:shd w:val="clear" w:color="auto" w:fill="auto"/>
            <w:vAlign w:val="center"/>
          </w:tcPr>
          <w:p w14:paraId="70FDDC81">
            <w:pPr>
              <w:pStyle w:val="714"/>
              <w:rPr>
                <w:color w:val="auto"/>
                <w:shd w:val="clear" w:color="auto" w:fill="auto"/>
              </w:rPr>
            </w:pPr>
            <w:r>
              <w:rPr>
                <w:rFonts w:hint="eastAsia"/>
                <w:color w:val="auto"/>
                <w:shd w:val="clear" w:color="auto" w:fill="auto"/>
              </w:rPr>
              <w:t>29.29</w:t>
            </w:r>
          </w:p>
        </w:tc>
        <w:tc>
          <w:tcPr>
            <w:tcW w:w="714" w:type="pct"/>
            <w:tcBorders>
              <w:tl2br w:val="nil"/>
              <w:tr2bl w:val="nil"/>
            </w:tcBorders>
            <w:shd w:val="clear" w:color="auto" w:fill="auto"/>
            <w:vAlign w:val="center"/>
          </w:tcPr>
          <w:p w14:paraId="6EF96C9A">
            <w:pPr>
              <w:pStyle w:val="714"/>
              <w:rPr>
                <w:color w:val="auto"/>
                <w:shd w:val="clear" w:color="auto" w:fill="auto"/>
              </w:rPr>
            </w:pPr>
            <w:r>
              <w:rPr>
                <w:rFonts w:hint="eastAsia"/>
                <w:color w:val="auto"/>
                <w:shd w:val="clear" w:color="auto" w:fill="auto"/>
              </w:rPr>
              <w:t>2.765</w:t>
            </w:r>
          </w:p>
        </w:tc>
        <w:tc>
          <w:tcPr>
            <w:tcW w:w="714" w:type="pct"/>
            <w:tcBorders>
              <w:tl2br w:val="nil"/>
              <w:tr2bl w:val="nil"/>
            </w:tcBorders>
            <w:shd w:val="clear" w:color="auto" w:fill="auto"/>
            <w:vAlign w:val="center"/>
          </w:tcPr>
          <w:p w14:paraId="6F5887FD">
            <w:pPr>
              <w:pStyle w:val="714"/>
              <w:rPr>
                <w:color w:val="auto"/>
                <w:shd w:val="clear" w:color="auto" w:fill="auto"/>
              </w:rPr>
            </w:pPr>
            <w:r>
              <w:rPr>
                <w:rFonts w:hint="eastAsia"/>
                <w:color w:val="auto"/>
                <w:shd w:val="clear" w:color="auto" w:fill="auto"/>
              </w:rPr>
              <w:t>4.243</w:t>
            </w:r>
          </w:p>
        </w:tc>
      </w:tr>
      <w:tr w14:paraId="63760D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0F57C382">
            <w:pPr>
              <w:pStyle w:val="714"/>
              <w:rPr>
                <w:color w:val="auto"/>
                <w:shd w:val="clear" w:color="auto" w:fill="auto"/>
              </w:rPr>
            </w:pPr>
            <w:r>
              <w:rPr>
                <w:rFonts w:hint="eastAsia"/>
                <w:color w:val="auto"/>
                <w:shd w:val="clear" w:color="auto" w:fill="auto"/>
              </w:rPr>
              <w:t xml:space="preserve">1518 </w:t>
            </w:r>
          </w:p>
        </w:tc>
        <w:tc>
          <w:tcPr>
            <w:tcW w:w="713" w:type="pct"/>
            <w:tcBorders>
              <w:tl2br w:val="nil"/>
              <w:tr2bl w:val="nil"/>
            </w:tcBorders>
            <w:shd w:val="clear" w:color="auto" w:fill="auto"/>
            <w:vAlign w:val="center"/>
          </w:tcPr>
          <w:p w14:paraId="24A4A250">
            <w:pPr>
              <w:pStyle w:val="714"/>
              <w:rPr>
                <w:color w:val="auto"/>
                <w:shd w:val="clear" w:color="auto" w:fill="auto"/>
              </w:rPr>
            </w:pPr>
            <w:r>
              <w:rPr>
                <w:rFonts w:hint="eastAsia"/>
                <w:color w:val="auto"/>
                <w:shd w:val="clear" w:color="auto" w:fill="auto"/>
              </w:rPr>
              <w:t>12.73</w:t>
            </w:r>
          </w:p>
        </w:tc>
        <w:tc>
          <w:tcPr>
            <w:tcW w:w="714" w:type="pct"/>
            <w:tcBorders>
              <w:tl2br w:val="nil"/>
              <w:tr2bl w:val="nil"/>
            </w:tcBorders>
            <w:shd w:val="clear" w:color="auto" w:fill="auto"/>
            <w:vAlign w:val="center"/>
          </w:tcPr>
          <w:p w14:paraId="74198DBB">
            <w:pPr>
              <w:pStyle w:val="714"/>
              <w:rPr>
                <w:color w:val="auto"/>
                <w:shd w:val="clear" w:color="auto" w:fill="auto"/>
              </w:rPr>
            </w:pPr>
            <w:r>
              <w:rPr>
                <w:rFonts w:hint="eastAsia"/>
                <w:color w:val="auto"/>
                <w:shd w:val="clear" w:color="auto" w:fill="auto"/>
              </w:rPr>
              <w:t>14.20</w:t>
            </w:r>
          </w:p>
        </w:tc>
        <w:tc>
          <w:tcPr>
            <w:tcW w:w="713" w:type="pct"/>
            <w:tcBorders>
              <w:tl2br w:val="nil"/>
              <w:tr2bl w:val="nil"/>
            </w:tcBorders>
            <w:shd w:val="clear" w:color="auto" w:fill="auto"/>
            <w:vAlign w:val="center"/>
          </w:tcPr>
          <w:p w14:paraId="6BCF99CA">
            <w:pPr>
              <w:pStyle w:val="714"/>
              <w:rPr>
                <w:color w:val="auto"/>
                <w:shd w:val="clear" w:color="auto" w:fill="auto"/>
              </w:rPr>
            </w:pPr>
            <w:r>
              <w:rPr>
                <w:rFonts w:hint="eastAsia"/>
                <w:color w:val="auto"/>
                <w:shd w:val="clear" w:color="auto" w:fill="auto"/>
              </w:rPr>
              <w:t>22.75</w:t>
            </w:r>
          </w:p>
        </w:tc>
        <w:tc>
          <w:tcPr>
            <w:tcW w:w="715" w:type="pct"/>
            <w:tcBorders>
              <w:tl2br w:val="nil"/>
              <w:tr2bl w:val="nil"/>
            </w:tcBorders>
            <w:shd w:val="clear" w:color="auto" w:fill="auto"/>
            <w:vAlign w:val="center"/>
          </w:tcPr>
          <w:p w14:paraId="27F3BE70">
            <w:pPr>
              <w:pStyle w:val="714"/>
              <w:rPr>
                <w:color w:val="auto"/>
                <w:shd w:val="clear" w:color="auto" w:fill="auto"/>
              </w:rPr>
            </w:pPr>
            <w:r>
              <w:rPr>
                <w:rFonts w:hint="eastAsia"/>
                <w:color w:val="auto"/>
                <w:shd w:val="clear" w:color="auto" w:fill="auto"/>
              </w:rPr>
              <w:t>24.22</w:t>
            </w:r>
          </w:p>
        </w:tc>
        <w:tc>
          <w:tcPr>
            <w:tcW w:w="714" w:type="pct"/>
            <w:tcBorders>
              <w:tl2br w:val="nil"/>
              <w:tr2bl w:val="nil"/>
            </w:tcBorders>
            <w:shd w:val="clear" w:color="auto" w:fill="auto"/>
            <w:vAlign w:val="center"/>
          </w:tcPr>
          <w:p w14:paraId="51899281">
            <w:pPr>
              <w:pStyle w:val="714"/>
              <w:rPr>
                <w:color w:val="auto"/>
                <w:shd w:val="clear" w:color="auto" w:fill="auto"/>
              </w:rPr>
            </w:pPr>
            <w:r>
              <w:rPr>
                <w:rFonts w:hint="eastAsia"/>
                <w:color w:val="auto"/>
                <w:shd w:val="clear" w:color="auto" w:fill="auto"/>
              </w:rPr>
              <w:t>4.438</w:t>
            </w:r>
          </w:p>
        </w:tc>
        <w:tc>
          <w:tcPr>
            <w:tcW w:w="714" w:type="pct"/>
            <w:tcBorders>
              <w:tl2br w:val="nil"/>
              <w:tr2bl w:val="nil"/>
            </w:tcBorders>
            <w:shd w:val="clear" w:color="auto" w:fill="auto"/>
            <w:vAlign w:val="center"/>
          </w:tcPr>
          <w:p w14:paraId="2DD1D657">
            <w:pPr>
              <w:pStyle w:val="714"/>
              <w:rPr>
                <w:color w:val="auto"/>
                <w:shd w:val="clear" w:color="auto" w:fill="auto"/>
              </w:rPr>
            </w:pPr>
            <w:r>
              <w:rPr>
                <w:rFonts w:hint="eastAsia"/>
                <w:color w:val="auto"/>
                <w:shd w:val="clear" w:color="auto" w:fill="auto"/>
              </w:rPr>
              <w:t>5.917</w:t>
            </w:r>
          </w:p>
        </w:tc>
      </w:tr>
      <w:tr w14:paraId="0D37B4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0E80C9A7">
            <w:pPr>
              <w:pStyle w:val="714"/>
              <w:rPr>
                <w:color w:val="auto"/>
                <w:shd w:val="clear" w:color="auto" w:fill="auto"/>
              </w:rPr>
            </w:pPr>
            <w:r>
              <w:rPr>
                <w:rFonts w:hint="eastAsia"/>
                <w:color w:val="auto"/>
                <w:shd w:val="clear" w:color="auto" w:fill="auto"/>
              </w:rPr>
              <w:t xml:space="preserve">2000 </w:t>
            </w:r>
          </w:p>
        </w:tc>
        <w:tc>
          <w:tcPr>
            <w:tcW w:w="713" w:type="pct"/>
            <w:tcBorders>
              <w:tl2br w:val="nil"/>
              <w:tr2bl w:val="nil"/>
            </w:tcBorders>
            <w:shd w:val="clear" w:color="auto" w:fill="auto"/>
            <w:vAlign w:val="center"/>
          </w:tcPr>
          <w:p w14:paraId="425E5914">
            <w:pPr>
              <w:pStyle w:val="714"/>
              <w:rPr>
                <w:color w:val="auto"/>
                <w:shd w:val="clear" w:color="auto" w:fill="auto"/>
              </w:rPr>
            </w:pPr>
            <w:r>
              <w:rPr>
                <w:rFonts w:hint="eastAsia"/>
                <w:color w:val="auto"/>
                <w:shd w:val="clear" w:color="auto" w:fill="auto"/>
              </w:rPr>
              <w:t>7.521</w:t>
            </w:r>
          </w:p>
        </w:tc>
        <w:tc>
          <w:tcPr>
            <w:tcW w:w="714" w:type="pct"/>
            <w:tcBorders>
              <w:tl2br w:val="nil"/>
              <w:tr2bl w:val="nil"/>
            </w:tcBorders>
            <w:shd w:val="clear" w:color="auto" w:fill="auto"/>
            <w:vAlign w:val="center"/>
          </w:tcPr>
          <w:p w14:paraId="0EDD7332">
            <w:pPr>
              <w:pStyle w:val="714"/>
              <w:rPr>
                <w:color w:val="auto"/>
                <w:shd w:val="clear" w:color="auto" w:fill="auto"/>
              </w:rPr>
            </w:pPr>
            <w:r>
              <w:rPr>
                <w:rFonts w:hint="eastAsia"/>
                <w:color w:val="auto"/>
                <w:shd w:val="clear" w:color="auto" w:fill="auto"/>
              </w:rPr>
              <w:t>8.999</w:t>
            </w:r>
          </w:p>
        </w:tc>
        <w:tc>
          <w:tcPr>
            <w:tcW w:w="713" w:type="pct"/>
            <w:tcBorders>
              <w:tl2br w:val="nil"/>
              <w:tr2bl w:val="nil"/>
            </w:tcBorders>
            <w:shd w:val="clear" w:color="auto" w:fill="auto"/>
            <w:vAlign w:val="center"/>
          </w:tcPr>
          <w:p w14:paraId="21CF4CB3">
            <w:pPr>
              <w:pStyle w:val="714"/>
              <w:rPr>
                <w:color w:val="auto"/>
                <w:shd w:val="clear" w:color="auto" w:fill="auto"/>
              </w:rPr>
            </w:pPr>
            <w:r>
              <w:rPr>
                <w:rFonts w:hint="eastAsia"/>
                <w:color w:val="auto"/>
                <w:shd w:val="clear" w:color="auto" w:fill="auto"/>
              </w:rPr>
              <w:t>16.93</w:t>
            </w:r>
          </w:p>
        </w:tc>
        <w:tc>
          <w:tcPr>
            <w:tcW w:w="715" w:type="pct"/>
            <w:tcBorders>
              <w:tl2br w:val="nil"/>
              <w:tr2bl w:val="nil"/>
            </w:tcBorders>
            <w:shd w:val="clear" w:color="auto" w:fill="auto"/>
            <w:vAlign w:val="center"/>
          </w:tcPr>
          <w:p w14:paraId="44024010">
            <w:pPr>
              <w:pStyle w:val="714"/>
              <w:rPr>
                <w:color w:val="auto"/>
                <w:shd w:val="clear" w:color="auto" w:fill="auto"/>
              </w:rPr>
            </w:pPr>
            <w:r>
              <w:rPr>
                <w:rFonts w:hint="eastAsia"/>
                <w:color w:val="auto"/>
                <w:shd w:val="clear" w:color="auto" w:fill="auto"/>
              </w:rPr>
              <w:t>18.41</w:t>
            </w:r>
          </w:p>
        </w:tc>
        <w:tc>
          <w:tcPr>
            <w:tcW w:w="714" w:type="pct"/>
            <w:tcBorders>
              <w:tl2br w:val="nil"/>
              <w:tr2bl w:val="nil"/>
            </w:tcBorders>
            <w:shd w:val="clear" w:color="auto" w:fill="auto"/>
            <w:vAlign w:val="center"/>
          </w:tcPr>
          <w:p w14:paraId="214F6F93">
            <w:pPr>
              <w:pStyle w:val="714"/>
              <w:rPr>
                <w:color w:val="auto"/>
                <w:shd w:val="clear" w:color="auto" w:fill="auto"/>
              </w:rPr>
            </w:pPr>
            <w:r>
              <w:rPr>
                <w:rFonts w:hint="eastAsia"/>
                <w:color w:val="auto"/>
                <w:shd w:val="clear" w:color="auto" w:fill="auto"/>
              </w:rPr>
              <w:t>4.850</w:t>
            </w:r>
          </w:p>
        </w:tc>
        <w:tc>
          <w:tcPr>
            <w:tcW w:w="714" w:type="pct"/>
            <w:tcBorders>
              <w:tl2br w:val="nil"/>
              <w:tr2bl w:val="nil"/>
            </w:tcBorders>
            <w:shd w:val="clear" w:color="auto" w:fill="auto"/>
            <w:vAlign w:val="center"/>
          </w:tcPr>
          <w:p w14:paraId="71B31F55">
            <w:pPr>
              <w:pStyle w:val="714"/>
              <w:rPr>
                <w:color w:val="auto"/>
                <w:shd w:val="clear" w:color="auto" w:fill="auto"/>
              </w:rPr>
            </w:pPr>
            <w:r>
              <w:rPr>
                <w:rFonts w:hint="eastAsia"/>
                <w:color w:val="auto"/>
                <w:shd w:val="clear" w:color="auto" w:fill="auto"/>
              </w:rPr>
              <w:t>6.329</w:t>
            </w:r>
          </w:p>
        </w:tc>
      </w:tr>
      <w:tr w14:paraId="0C31AC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4CA88C52">
            <w:pPr>
              <w:pStyle w:val="714"/>
              <w:rPr>
                <w:color w:val="auto"/>
                <w:shd w:val="clear" w:color="auto" w:fill="auto"/>
              </w:rPr>
            </w:pPr>
            <w:r>
              <w:rPr>
                <w:rFonts w:hint="eastAsia"/>
                <w:color w:val="auto"/>
                <w:shd w:val="clear" w:color="auto" w:fill="auto"/>
              </w:rPr>
              <w:t xml:space="preserve">3000 </w:t>
            </w:r>
          </w:p>
        </w:tc>
        <w:tc>
          <w:tcPr>
            <w:tcW w:w="713" w:type="pct"/>
            <w:tcBorders>
              <w:tl2br w:val="nil"/>
              <w:tr2bl w:val="nil"/>
            </w:tcBorders>
            <w:shd w:val="clear" w:color="auto" w:fill="auto"/>
            <w:vAlign w:val="center"/>
          </w:tcPr>
          <w:p w14:paraId="2A363E32">
            <w:pPr>
              <w:pStyle w:val="714"/>
              <w:rPr>
                <w:color w:val="auto"/>
                <w:shd w:val="clear" w:color="auto" w:fill="auto"/>
              </w:rPr>
            </w:pPr>
            <w:r>
              <w:rPr>
                <w:rFonts w:hint="eastAsia"/>
                <w:color w:val="auto"/>
                <w:shd w:val="clear" w:color="auto" w:fill="auto"/>
              </w:rPr>
              <w:t>2.574</w:t>
            </w:r>
          </w:p>
        </w:tc>
        <w:tc>
          <w:tcPr>
            <w:tcW w:w="714" w:type="pct"/>
            <w:tcBorders>
              <w:tl2br w:val="nil"/>
              <w:tr2bl w:val="nil"/>
            </w:tcBorders>
            <w:shd w:val="clear" w:color="auto" w:fill="auto"/>
            <w:vAlign w:val="center"/>
          </w:tcPr>
          <w:p w14:paraId="622E0847">
            <w:pPr>
              <w:pStyle w:val="714"/>
              <w:rPr>
                <w:color w:val="auto"/>
                <w:shd w:val="clear" w:color="auto" w:fill="auto"/>
              </w:rPr>
            </w:pPr>
            <w:r>
              <w:rPr>
                <w:rFonts w:hint="eastAsia"/>
                <w:color w:val="auto"/>
                <w:shd w:val="clear" w:color="auto" w:fill="auto"/>
              </w:rPr>
              <w:t>4.053</w:t>
            </w:r>
          </w:p>
        </w:tc>
        <w:tc>
          <w:tcPr>
            <w:tcW w:w="713" w:type="pct"/>
            <w:tcBorders>
              <w:tl2br w:val="nil"/>
              <w:tr2bl w:val="nil"/>
            </w:tcBorders>
            <w:shd w:val="clear" w:color="auto" w:fill="auto"/>
            <w:vAlign w:val="center"/>
          </w:tcPr>
          <w:p w14:paraId="6E7F2C92">
            <w:pPr>
              <w:pStyle w:val="714"/>
              <w:rPr>
                <w:color w:val="auto"/>
                <w:shd w:val="clear" w:color="auto" w:fill="auto"/>
              </w:rPr>
            </w:pPr>
            <w:r>
              <w:rPr>
                <w:rFonts w:hint="eastAsia"/>
                <w:color w:val="auto"/>
                <w:shd w:val="clear" w:color="auto" w:fill="auto"/>
              </w:rPr>
              <w:t>7.664</w:t>
            </w:r>
          </w:p>
        </w:tc>
        <w:tc>
          <w:tcPr>
            <w:tcW w:w="715" w:type="pct"/>
            <w:tcBorders>
              <w:tl2br w:val="nil"/>
              <w:tr2bl w:val="nil"/>
            </w:tcBorders>
            <w:shd w:val="clear" w:color="auto" w:fill="auto"/>
            <w:vAlign w:val="center"/>
          </w:tcPr>
          <w:p w14:paraId="790551E2">
            <w:pPr>
              <w:pStyle w:val="714"/>
              <w:rPr>
                <w:color w:val="auto"/>
                <w:shd w:val="clear" w:color="auto" w:fill="auto"/>
              </w:rPr>
            </w:pPr>
            <w:r>
              <w:rPr>
                <w:rFonts w:hint="eastAsia"/>
                <w:color w:val="auto"/>
                <w:shd w:val="clear" w:color="auto" w:fill="auto"/>
              </w:rPr>
              <w:t>9.142</w:t>
            </w:r>
          </w:p>
        </w:tc>
        <w:tc>
          <w:tcPr>
            <w:tcW w:w="714" w:type="pct"/>
            <w:tcBorders>
              <w:tl2br w:val="nil"/>
              <w:tr2bl w:val="nil"/>
            </w:tcBorders>
            <w:shd w:val="clear" w:color="auto" w:fill="auto"/>
            <w:vAlign w:val="center"/>
          </w:tcPr>
          <w:p w14:paraId="558EE86E">
            <w:pPr>
              <w:pStyle w:val="714"/>
              <w:rPr>
                <w:color w:val="auto"/>
                <w:shd w:val="clear" w:color="auto" w:fill="auto"/>
              </w:rPr>
            </w:pPr>
            <w:r>
              <w:rPr>
                <w:rFonts w:hint="eastAsia"/>
                <w:color w:val="auto"/>
                <w:shd w:val="clear" w:color="auto" w:fill="auto"/>
              </w:rPr>
              <w:t>3.603</w:t>
            </w:r>
          </w:p>
        </w:tc>
        <w:tc>
          <w:tcPr>
            <w:tcW w:w="714" w:type="pct"/>
            <w:tcBorders>
              <w:tl2br w:val="nil"/>
              <w:tr2bl w:val="nil"/>
            </w:tcBorders>
            <w:shd w:val="clear" w:color="auto" w:fill="auto"/>
            <w:vAlign w:val="center"/>
          </w:tcPr>
          <w:p w14:paraId="47CD9F3F">
            <w:pPr>
              <w:pStyle w:val="714"/>
              <w:rPr>
                <w:color w:val="auto"/>
                <w:shd w:val="clear" w:color="auto" w:fill="auto"/>
              </w:rPr>
            </w:pPr>
            <w:r>
              <w:rPr>
                <w:rFonts w:hint="eastAsia"/>
                <w:color w:val="auto"/>
                <w:shd w:val="clear" w:color="auto" w:fill="auto"/>
              </w:rPr>
              <w:t>5.082</w:t>
            </w:r>
          </w:p>
        </w:tc>
      </w:tr>
      <w:tr w14:paraId="26CC76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36731BD5">
            <w:pPr>
              <w:pStyle w:val="714"/>
              <w:rPr>
                <w:color w:val="auto"/>
                <w:shd w:val="clear" w:color="auto" w:fill="auto"/>
              </w:rPr>
            </w:pPr>
            <w:r>
              <w:rPr>
                <w:rFonts w:hint="eastAsia"/>
                <w:color w:val="auto"/>
                <w:shd w:val="clear" w:color="auto" w:fill="auto"/>
              </w:rPr>
              <w:t xml:space="preserve">3650 </w:t>
            </w:r>
          </w:p>
        </w:tc>
        <w:tc>
          <w:tcPr>
            <w:tcW w:w="713" w:type="pct"/>
            <w:tcBorders>
              <w:tl2br w:val="nil"/>
              <w:tr2bl w:val="nil"/>
            </w:tcBorders>
            <w:shd w:val="clear" w:color="auto" w:fill="auto"/>
            <w:vAlign w:val="center"/>
          </w:tcPr>
          <w:p w14:paraId="3C7623E7">
            <w:pPr>
              <w:pStyle w:val="714"/>
              <w:rPr>
                <w:color w:val="auto"/>
                <w:shd w:val="clear" w:color="auto" w:fill="auto"/>
              </w:rPr>
            </w:pPr>
            <w:r>
              <w:rPr>
                <w:rFonts w:hint="eastAsia"/>
                <w:color w:val="auto"/>
                <w:shd w:val="clear" w:color="auto" w:fill="auto"/>
              </w:rPr>
              <w:t>1.290</w:t>
            </w:r>
          </w:p>
        </w:tc>
        <w:tc>
          <w:tcPr>
            <w:tcW w:w="714" w:type="pct"/>
            <w:tcBorders>
              <w:tl2br w:val="nil"/>
              <w:tr2bl w:val="nil"/>
            </w:tcBorders>
            <w:shd w:val="clear" w:color="auto" w:fill="auto"/>
            <w:vAlign w:val="center"/>
          </w:tcPr>
          <w:p w14:paraId="45B3C94F">
            <w:pPr>
              <w:pStyle w:val="714"/>
              <w:rPr>
                <w:color w:val="auto"/>
                <w:shd w:val="clear" w:color="auto" w:fill="auto"/>
              </w:rPr>
            </w:pPr>
            <w:r>
              <w:rPr>
                <w:rFonts w:hint="eastAsia"/>
                <w:color w:val="auto"/>
                <w:shd w:val="clear" w:color="auto" w:fill="auto"/>
              </w:rPr>
              <w:t>2.769</w:t>
            </w:r>
          </w:p>
        </w:tc>
        <w:tc>
          <w:tcPr>
            <w:tcW w:w="713" w:type="pct"/>
            <w:tcBorders>
              <w:tl2br w:val="nil"/>
              <w:tr2bl w:val="nil"/>
            </w:tcBorders>
            <w:shd w:val="clear" w:color="auto" w:fill="auto"/>
            <w:vAlign w:val="center"/>
          </w:tcPr>
          <w:p w14:paraId="4BE2883F">
            <w:pPr>
              <w:pStyle w:val="714"/>
              <w:rPr>
                <w:color w:val="auto"/>
                <w:shd w:val="clear" w:color="auto" w:fill="auto"/>
              </w:rPr>
            </w:pPr>
            <w:r>
              <w:rPr>
                <w:rFonts w:hint="eastAsia"/>
                <w:color w:val="auto"/>
                <w:shd w:val="clear" w:color="auto" w:fill="auto"/>
              </w:rPr>
              <w:t>4.261</w:t>
            </w:r>
          </w:p>
        </w:tc>
        <w:tc>
          <w:tcPr>
            <w:tcW w:w="715" w:type="pct"/>
            <w:tcBorders>
              <w:tl2br w:val="nil"/>
              <w:tr2bl w:val="nil"/>
            </w:tcBorders>
            <w:shd w:val="clear" w:color="auto" w:fill="auto"/>
            <w:vAlign w:val="center"/>
          </w:tcPr>
          <w:p w14:paraId="4422819D">
            <w:pPr>
              <w:pStyle w:val="714"/>
              <w:rPr>
                <w:color w:val="auto"/>
                <w:shd w:val="clear" w:color="auto" w:fill="auto"/>
              </w:rPr>
            </w:pPr>
            <w:r>
              <w:rPr>
                <w:rFonts w:hint="eastAsia"/>
                <w:color w:val="auto"/>
                <w:shd w:val="clear" w:color="auto" w:fill="auto"/>
              </w:rPr>
              <w:t>5.740</w:t>
            </w:r>
          </w:p>
        </w:tc>
        <w:tc>
          <w:tcPr>
            <w:tcW w:w="714" w:type="pct"/>
            <w:tcBorders>
              <w:tl2br w:val="nil"/>
              <w:tr2bl w:val="nil"/>
            </w:tcBorders>
            <w:shd w:val="clear" w:color="auto" w:fill="auto"/>
            <w:vAlign w:val="center"/>
          </w:tcPr>
          <w:p w14:paraId="3A97BA2E">
            <w:pPr>
              <w:pStyle w:val="714"/>
              <w:rPr>
                <w:color w:val="auto"/>
                <w:shd w:val="clear" w:color="auto" w:fill="auto"/>
              </w:rPr>
            </w:pPr>
            <w:r>
              <w:rPr>
                <w:rFonts w:hint="eastAsia"/>
                <w:color w:val="auto"/>
                <w:shd w:val="clear" w:color="auto" w:fill="auto"/>
              </w:rPr>
              <w:t>2.452</w:t>
            </w:r>
          </w:p>
        </w:tc>
        <w:tc>
          <w:tcPr>
            <w:tcW w:w="714" w:type="pct"/>
            <w:tcBorders>
              <w:tl2br w:val="nil"/>
              <w:tr2bl w:val="nil"/>
            </w:tcBorders>
            <w:shd w:val="clear" w:color="auto" w:fill="auto"/>
            <w:vAlign w:val="center"/>
          </w:tcPr>
          <w:p w14:paraId="669C2B2D">
            <w:pPr>
              <w:pStyle w:val="714"/>
              <w:rPr>
                <w:color w:val="auto"/>
                <w:shd w:val="clear" w:color="auto" w:fill="auto"/>
              </w:rPr>
            </w:pPr>
            <w:r>
              <w:rPr>
                <w:rFonts w:hint="eastAsia"/>
                <w:color w:val="auto"/>
                <w:shd w:val="clear" w:color="auto" w:fill="auto"/>
              </w:rPr>
              <w:t>3.931</w:t>
            </w:r>
          </w:p>
        </w:tc>
      </w:tr>
      <w:tr w14:paraId="104D6D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6072F854">
            <w:pPr>
              <w:pStyle w:val="714"/>
              <w:rPr>
                <w:color w:val="auto"/>
                <w:shd w:val="clear" w:color="auto" w:fill="auto"/>
              </w:rPr>
            </w:pPr>
            <w:r>
              <w:rPr>
                <w:rFonts w:hint="eastAsia"/>
                <w:color w:val="auto"/>
                <w:shd w:val="clear" w:color="auto" w:fill="auto"/>
              </w:rPr>
              <w:t xml:space="preserve">4050 </w:t>
            </w:r>
          </w:p>
        </w:tc>
        <w:tc>
          <w:tcPr>
            <w:tcW w:w="713" w:type="pct"/>
            <w:tcBorders>
              <w:tl2br w:val="nil"/>
              <w:tr2bl w:val="nil"/>
            </w:tcBorders>
            <w:shd w:val="clear" w:color="auto" w:fill="auto"/>
            <w:vAlign w:val="center"/>
          </w:tcPr>
          <w:p w14:paraId="4F73F590">
            <w:pPr>
              <w:pStyle w:val="714"/>
              <w:rPr>
                <w:color w:val="auto"/>
                <w:shd w:val="clear" w:color="auto" w:fill="auto"/>
              </w:rPr>
            </w:pPr>
            <w:r>
              <w:rPr>
                <w:rFonts w:hint="eastAsia"/>
                <w:color w:val="auto"/>
                <w:shd w:val="clear" w:color="auto" w:fill="auto"/>
              </w:rPr>
              <w:t>0.850</w:t>
            </w:r>
          </w:p>
        </w:tc>
        <w:tc>
          <w:tcPr>
            <w:tcW w:w="714" w:type="pct"/>
            <w:tcBorders>
              <w:tl2br w:val="nil"/>
              <w:tr2bl w:val="nil"/>
            </w:tcBorders>
            <w:shd w:val="clear" w:color="auto" w:fill="auto"/>
            <w:vAlign w:val="center"/>
          </w:tcPr>
          <w:p w14:paraId="354BEFFC">
            <w:pPr>
              <w:pStyle w:val="714"/>
              <w:rPr>
                <w:color w:val="auto"/>
                <w:shd w:val="clear" w:color="auto" w:fill="auto"/>
              </w:rPr>
            </w:pPr>
            <w:r>
              <w:rPr>
                <w:rFonts w:hint="eastAsia"/>
                <w:color w:val="auto"/>
                <w:shd w:val="clear" w:color="auto" w:fill="auto"/>
              </w:rPr>
              <w:t>2.329</w:t>
            </w:r>
          </w:p>
        </w:tc>
        <w:tc>
          <w:tcPr>
            <w:tcW w:w="713" w:type="pct"/>
            <w:tcBorders>
              <w:tl2br w:val="nil"/>
              <w:tr2bl w:val="nil"/>
            </w:tcBorders>
            <w:shd w:val="clear" w:color="auto" w:fill="auto"/>
            <w:vAlign w:val="center"/>
          </w:tcPr>
          <w:p w14:paraId="3515CD69">
            <w:pPr>
              <w:pStyle w:val="714"/>
              <w:rPr>
                <w:color w:val="auto"/>
                <w:shd w:val="clear" w:color="auto" w:fill="auto"/>
              </w:rPr>
            </w:pPr>
            <w:r>
              <w:rPr>
                <w:rFonts w:hint="eastAsia"/>
                <w:color w:val="auto"/>
                <w:shd w:val="clear" w:color="auto" w:fill="auto"/>
              </w:rPr>
              <w:t>2.934</w:t>
            </w:r>
          </w:p>
        </w:tc>
        <w:tc>
          <w:tcPr>
            <w:tcW w:w="715" w:type="pct"/>
            <w:tcBorders>
              <w:tl2br w:val="nil"/>
              <w:tr2bl w:val="nil"/>
            </w:tcBorders>
            <w:shd w:val="clear" w:color="auto" w:fill="auto"/>
            <w:vAlign w:val="center"/>
          </w:tcPr>
          <w:p w14:paraId="4C081710">
            <w:pPr>
              <w:pStyle w:val="714"/>
              <w:rPr>
                <w:color w:val="auto"/>
                <w:shd w:val="clear" w:color="auto" w:fill="auto"/>
              </w:rPr>
            </w:pPr>
            <w:r>
              <w:rPr>
                <w:rFonts w:hint="eastAsia"/>
                <w:color w:val="auto"/>
                <w:shd w:val="clear" w:color="auto" w:fill="auto"/>
              </w:rPr>
              <w:t>4.413</w:t>
            </w:r>
          </w:p>
        </w:tc>
        <w:tc>
          <w:tcPr>
            <w:tcW w:w="714" w:type="pct"/>
            <w:tcBorders>
              <w:tl2br w:val="nil"/>
              <w:tr2bl w:val="nil"/>
            </w:tcBorders>
            <w:shd w:val="clear" w:color="auto" w:fill="auto"/>
            <w:vAlign w:val="center"/>
          </w:tcPr>
          <w:p w14:paraId="1F48EB66">
            <w:pPr>
              <w:pStyle w:val="714"/>
              <w:rPr>
                <w:color w:val="auto"/>
                <w:shd w:val="clear" w:color="auto" w:fill="auto"/>
              </w:rPr>
            </w:pPr>
            <w:r>
              <w:rPr>
                <w:rFonts w:hint="eastAsia"/>
                <w:color w:val="auto"/>
                <w:shd w:val="clear" w:color="auto" w:fill="auto"/>
              </w:rPr>
              <w:t>1.843</w:t>
            </w:r>
          </w:p>
        </w:tc>
        <w:tc>
          <w:tcPr>
            <w:tcW w:w="714" w:type="pct"/>
            <w:tcBorders>
              <w:tl2br w:val="nil"/>
              <w:tr2bl w:val="nil"/>
            </w:tcBorders>
            <w:shd w:val="clear" w:color="auto" w:fill="auto"/>
            <w:vAlign w:val="center"/>
          </w:tcPr>
          <w:p w14:paraId="1D91241A">
            <w:pPr>
              <w:pStyle w:val="714"/>
              <w:rPr>
                <w:color w:val="auto"/>
                <w:shd w:val="clear" w:color="auto" w:fill="auto"/>
              </w:rPr>
            </w:pPr>
            <w:r>
              <w:rPr>
                <w:rFonts w:hint="eastAsia"/>
                <w:color w:val="auto"/>
                <w:shd w:val="clear" w:color="auto" w:fill="auto"/>
              </w:rPr>
              <w:t>3.322</w:t>
            </w:r>
          </w:p>
        </w:tc>
      </w:tr>
      <w:tr w14:paraId="618BDF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2B2B0A28">
            <w:pPr>
              <w:pStyle w:val="714"/>
              <w:rPr>
                <w:color w:val="auto"/>
                <w:shd w:val="clear" w:color="auto" w:fill="auto"/>
              </w:rPr>
            </w:pPr>
            <w:r>
              <w:rPr>
                <w:rFonts w:hint="eastAsia"/>
                <w:color w:val="auto"/>
                <w:shd w:val="clear" w:color="auto" w:fill="auto"/>
              </w:rPr>
              <w:t xml:space="preserve">5050 </w:t>
            </w:r>
          </w:p>
        </w:tc>
        <w:tc>
          <w:tcPr>
            <w:tcW w:w="713" w:type="pct"/>
            <w:tcBorders>
              <w:tl2br w:val="nil"/>
              <w:tr2bl w:val="nil"/>
            </w:tcBorders>
            <w:shd w:val="clear" w:color="auto" w:fill="auto"/>
            <w:vAlign w:val="center"/>
          </w:tcPr>
          <w:p w14:paraId="5587F322">
            <w:pPr>
              <w:pStyle w:val="714"/>
              <w:rPr>
                <w:color w:val="auto"/>
                <w:shd w:val="clear" w:color="auto" w:fill="auto"/>
              </w:rPr>
            </w:pPr>
            <w:r>
              <w:rPr>
                <w:rFonts w:hint="eastAsia"/>
                <w:color w:val="auto"/>
                <w:shd w:val="clear" w:color="auto" w:fill="auto"/>
              </w:rPr>
              <w:t>0.304</w:t>
            </w:r>
          </w:p>
        </w:tc>
        <w:tc>
          <w:tcPr>
            <w:tcW w:w="714" w:type="pct"/>
            <w:tcBorders>
              <w:tl2br w:val="nil"/>
              <w:tr2bl w:val="nil"/>
            </w:tcBorders>
            <w:shd w:val="clear" w:color="auto" w:fill="auto"/>
            <w:vAlign w:val="center"/>
          </w:tcPr>
          <w:p w14:paraId="40D52719">
            <w:pPr>
              <w:pStyle w:val="714"/>
              <w:rPr>
                <w:color w:val="auto"/>
                <w:shd w:val="clear" w:color="auto" w:fill="auto"/>
              </w:rPr>
            </w:pPr>
            <w:r>
              <w:rPr>
                <w:rFonts w:hint="eastAsia"/>
                <w:color w:val="auto"/>
                <w:shd w:val="clear" w:color="auto" w:fill="auto"/>
              </w:rPr>
              <w:t>1.783</w:t>
            </w:r>
          </w:p>
        </w:tc>
        <w:tc>
          <w:tcPr>
            <w:tcW w:w="713" w:type="pct"/>
            <w:tcBorders>
              <w:tl2br w:val="nil"/>
              <w:tr2bl w:val="nil"/>
            </w:tcBorders>
            <w:shd w:val="clear" w:color="auto" w:fill="auto"/>
            <w:vAlign w:val="center"/>
          </w:tcPr>
          <w:p w14:paraId="4C7FC9B2">
            <w:pPr>
              <w:pStyle w:val="714"/>
              <w:rPr>
                <w:color w:val="auto"/>
                <w:shd w:val="clear" w:color="auto" w:fill="auto"/>
              </w:rPr>
            </w:pPr>
            <w:r>
              <w:rPr>
                <w:rFonts w:hint="eastAsia"/>
                <w:color w:val="auto"/>
                <w:shd w:val="clear" w:color="auto" w:fill="auto"/>
              </w:rPr>
              <w:t>1.125</w:t>
            </w:r>
          </w:p>
        </w:tc>
        <w:tc>
          <w:tcPr>
            <w:tcW w:w="715" w:type="pct"/>
            <w:tcBorders>
              <w:tl2br w:val="nil"/>
              <w:tr2bl w:val="nil"/>
            </w:tcBorders>
            <w:shd w:val="clear" w:color="auto" w:fill="auto"/>
            <w:vAlign w:val="center"/>
          </w:tcPr>
          <w:p w14:paraId="16FCFBC3">
            <w:pPr>
              <w:pStyle w:val="714"/>
              <w:rPr>
                <w:color w:val="auto"/>
                <w:shd w:val="clear" w:color="auto" w:fill="auto"/>
              </w:rPr>
            </w:pPr>
            <w:r>
              <w:rPr>
                <w:rFonts w:hint="eastAsia"/>
                <w:color w:val="auto"/>
                <w:shd w:val="clear" w:color="auto" w:fill="auto"/>
              </w:rPr>
              <w:t>2.603</w:t>
            </w:r>
          </w:p>
        </w:tc>
        <w:tc>
          <w:tcPr>
            <w:tcW w:w="714" w:type="pct"/>
            <w:tcBorders>
              <w:tl2br w:val="nil"/>
              <w:tr2bl w:val="nil"/>
            </w:tcBorders>
            <w:shd w:val="clear" w:color="auto" w:fill="auto"/>
            <w:vAlign w:val="center"/>
          </w:tcPr>
          <w:p w14:paraId="78D758DF">
            <w:pPr>
              <w:pStyle w:val="714"/>
              <w:rPr>
                <w:color w:val="auto"/>
                <w:shd w:val="clear" w:color="auto" w:fill="auto"/>
              </w:rPr>
            </w:pPr>
            <w:r>
              <w:rPr>
                <w:rFonts w:hint="eastAsia"/>
                <w:color w:val="auto"/>
                <w:shd w:val="clear" w:color="auto" w:fill="auto"/>
              </w:rPr>
              <w:t>0.824</w:t>
            </w:r>
          </w:p>
        </w:tc>
        <w:tc>
          <w:tcPr>
            <w:tcW w:w="714" w:type="pct"/>
            <w:tcBorders>
              <w:tl2br w:val="nil"/>
              <w:tr2bl w:val="nil"/>
            </w:tcBorders>
            <w:shd w:val="clear" w:color="auto" w:fill="auto"/>
            <w:vAlign w:val="center"/>
          </w:tcPr>
          <w:p w14:paraId="406CC835">
            <w:pPr>
              <w:pStyle w:val="714"/>
              <w:rPr>
                <w:color w:val="auto"/>
                <w:shd w:val="clear" w:color="auto" w:fill="auto"/>
              </w:rPr>
            </w:pPr>
            <w:r>
              <w:rPr>
                <w:rFonts w:hint="eastAsia"/>
                <w:color w:val="auto"/>
                <w:shd w:val="clear" w:color="auto" w:fill="auto"/>
              </w:rPr>
              <w:t>2.303</w:t>
            </w:r>
          </w:p>
        </w:tc>
      </w:tr>
      <w:tr w14:paraId="49B4D4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06429FAC">
            <w:pPr>
              <w:pStyle w:val="714"/>
              <w:rPr>
                <w:color w:val="auto"/>
                <w:shd w:val="clear" w:color="auto" w:fill="auto"/>
              </w:rPr>
            </w:pPr>
            <w:r>
              <w:rPr>
                <w:rFonts w:hint="eastAsia"/>
                <w:color w:val="auto"/>
                <w:shd w:val="clear" w:color="auto" w:fill="auto"/>
              </w:rPr>
              <w:t xml:space="preserve">6050 </w:t>
            </w:r>
          </w:p>
        </w:tc>
        <w:tc>
          <w:tcPr>
            <w:tcW w:w="713" w:type="pct"/>
            <w:tcBorders>
              <w:tl2br w:val="nil"/>
              <w:tr2bl w:val="nil"/>
            </w:tcBorders>
            <w:shd w:val="clear" w:color="auto" w:fill="auto"/>
            <w:vAlign w:val="center"/>
          </w:tcPr>
          <w:p w14:paraId="4E449E5D">
            <w:pPr>
              <w:pStyle w:val="714"/>
              <w:rPr>
                <w:color w:val="auto"/>
                <w:shd w:val="clear" w:color="auto" w:fill="auto"/>
              </w:rPr>
            </w:pPr>
            <w:r>
              <w:rPr>
                <w:rFonts w:hint="eastAsia"/>
                <w:color w:val="auto"/>
                <w:shd w:val="clear" w:color="auto" w:fill="auto"/>
              </w:rPr>
              <w:t>0.111</w:t>
            </w:r>
          </w:p>
        </w:tc>
        <w:tc>
          <w:tcPr>
            <w:tcW w:w="714" w:type="pct"/>
            <w:tcBorders>
              <w:tl2br w:val="nil"/>
              <w:tr2bl w:val="nil"/>
            </w:tcBorders>
            <w:shd w:val="clear" w:color="auto" w:fill="auto"/>
            <w:vAlign w:val="center"/>
          </w:tcPr>
          <w:p w14:paraId="5628B52F">
            <w:pPr>
              <w:pStyle w:val="714"/>
              <w:rPr>
                <w:color w:val="auto"/>
                <w:shd w:val="clear" w:color="auto" w:fill="auto"/>
              </w:rPr>
            </w:pPr>
            <w:r>
              <w:rPr>
                <w:rFonts w:hint="eastAsia"/>
                <w:color w:val="auto"/>
                <w:shd w:val="clear" w:color="auto" w:fill="auto"/>
              </w:rPr>
              <w:t>1.590</w:t>
            </w:r>
          </w:p>
        </w:tc>
        <w:tc>
          <w:tcPr>
            <w:tcW w:w="713" w:type="pct"/>
            <w:tcBorders>
              <w:tl2br w:val="nil"/>
              <w:tr2bl w:val="nil"/>
            </w:tcBorders>
            <w:shd w:val="clear" w:color="auto" w:fill="auto"/>
            <w:vAlign w:val="center"/>
          </w:tcPr>
          <w:p w14:paraId="4CFE5C33">
            <w:pPr>
              <w:pStyle w:val="714"/>
              <w:rPr>
                <w:color w:val="auto"/>
                <w:shd w:val="clear" w:color="auto" w:fill="auto"/>
              </w:rPr>
            </w:pPr>
            <w:r>
              <w:rPr>
                <w:rFonts w:hint="eastAsia"/>
                <w:color w:val="auto"/>
                <w:shd w:val="clear" w:color="auto" w:fill="auto"/>
              </w:rPr>
              <w:t>0.423</w:t>
            </w:r>
          </w:p>
        </w:tc>
        <w:tc>
          <w:tcPr>
            <w:tcW w:w="715" w:type="pct"/>
            <w:tcBorders>
              <w:tl2br w:val="nil"/>
              <w:tr2bl w:val="nil"/>
            </w:tcBorders>
            <w:shd w:val="clear" w:color="auto" w:fill="auto"/>
            <w:vAlign w:val="center"/>
          </w:tcPr>
          <w:p w14:paraId="2BF8F8F2">
            <w:pPr>
              <w:pStyle w:val="714"/>
              <w:rPr>
                <w:color w:val="auto"/>
                <w:shd w:val="clear" w:color="auto" w:fill="auto"/>
              </w:rPr>
            </w:pPr>
            <w:r>
              <w:rPr>
                <w:rFonts w:hint="eastAsia"/>
                <w:color w:val="auto"/>
                <w:shd w:val="clear" w:color="auto" w:fill="auto"/>
              </w:rPr>
              <w:t>1.902</w:t>
            </w:r>
          </w:p>
        </w:tc>
        <w:tc>
          <w:tcPr>
            <w:tcW w:w="714" w:type="pct"/>
            <w:tcBorders>
              <w:tl2br w:val="nil"/>
              <w:tr2bl w:val="nil"/>
            </w:tcBorders>
            <w:shd w:val="clear" w:color="auto" w:fill="auto"/>
            <w:vAlign w:val="center"/>
          </w:tcPr>
          <w:p w14:paraId="0F66DC81">
            <w:pPr>
              <w:pStyle w:val="714"/>
              <w:rPr>
                <w:color w:val="auto"/>
                <w:shd w:val="clear" w:color="auto" w:fill="auto"/>
              </w:rPr>
            </w:pPr>
            <w:r>
              <w:rPr>
                <w:rFonts w:hint="eastAsia"/>
                <w:color w:val="auto"/>
                <w:shd w:val="clear" w:color="auto" w:fill="auto"/>
              </w:rPr>
              <w:t>0.340</w:t>
            </w:r>
          </w:p>
        </w:tc>
        <w:tc>
          <w:tcPr>
            <w:tcW w:w="714" w:type="pct"/>
            <w:tcBorders>
              <w:tl2br w:val="nil"/>
              <w:tr2bl w:val="nil"/>
            </w:tcBorders>
            <w:shd w:val="clear" w:color="auto" w:fill="auto"/>
            <w:vAlign w:val="center"/>
          </w:tcPr>
          <w:p w14:paraId="6EB9AA68">
            <w:pPr>
              <w:pStyle w:val="714"/>
              <w:rPr>
                <w:color w:val="auto"/>
                <w:shd w:val="clear" w:color="auto" w:fill="auto"/>
              </w:rPr>
            </w:pPr>
            <w:r>
              <w:rPr>
                <w:rFonts w:hint="eastAsia"/>
                <w:color w:val="auto"/>
                <w:shd w:val="clear" w:color="auto" w:fill="auto"/>
              </w:rPr>
              <w:t>1.818</w:t>
            </w:r>
          </w:p>
        </w:tc>
      </w:tr>
      <w:tr w14:paraId="7FFEE3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29698BFB">
            <w:pPr>
              <w:pStyle w:val="714"/>
              <w:rPr>
                <w:color w:val="auto"/>
                <w:shd w:val="clear" w:color="auto" w:fill="auto"/>
              </w:rPr>
            </w:pPr>
            <w:r>
              <w:rPr>
                <w:rFonts w:hint="eastAsia"/>
                <w:color w:val="auto"/>
                <w:shd w:val="clear" w:color="auto" w:fill="auto"/>
              </w:rPr>
              <w:t xml:space="preserve">7300 </w:t>
            </w:r>
          </w:p>
        </w:tc>
        <w:tc>
          <w:tcPr>
            <w:tcW w:w="713" w:type="pct"/>
            <w:tcBorders>
              <w:tl2br w:val="nil"/>
              <w:tr2bl w:val="nil"/>
            </w:tcBorders>
            <w:shd w:val="clear" w:color="auto" w:fill="auto"/>
            <w:vAlign w:val="center"/>
          </w:tcPr>
          <w:p w14:paraId="38AECA3B">
            <w:pPr>
              <w:pStyle w:val="714"/>
              <w:rPr>
                <w:color w:val="auto"/>
                <w:shd w:val="clear" w:color="auto" w:fill="auto"/>
              </w:rPr>
            </w:pPr>
            <w:r>
              <w:rPr>
                <w:rFonts w:hint="eastAsia"/>
                <w:color w:val="auto"/>
                <w:shd w:val="clear" w:color="auto" w:fill="auto"/>
              </w:rPr>
              <w:t>0.033</w:t>
            </w:r>
          </w:p>
        </w:tc>
        <w:tc>
          <w:tcPr>
            <w:tcW w:w="714" w:type="pct"/>
            <w:tcBorders>
              <w:tl2br w:val="nil"/>
              <w:tr2bl w:val="nil"/>
            </w:tcBorders>
            <w:shd w:val="clear" w:color="auto" w:fill="auto"/>
            <w:vAlign w:val="center"/>
          </w:tcPr>
          <w:p w14:paraId="671A56D4">
            <w:pPr>
              <w:pStyle w:val="714"/>
              <w:rPr>
                <w:color w:val="auto"/>
                <w:shd w:val="clear" w:color="auto" w:fill="auto"/>
              </w:rPr>
            </w:pPr>
            <w:r>
              <w:rPr>
                <w:rFonts w:hint="eastAsia"/>
                <w:color w:val="auto"/>
                <w:shd w:val="clear" w:color="auto" w:fill="auto"/>
              </w:rPr>
              <w:t>1.511</w:t>
            </w:r>
          </w:p>
        </w:tc>
        <w:tc>
          <w:tcPr>
            <w:tcW w:w="713" w:type="pct"/>
            <w:tcBorders>
              <w:tl2br w:val="nil"/>
              <w:tr2bl w:val="nil"/>
            </w:tcBorders>
            <w:shd w:val="clear" w:color="auto" w:fill="auto"/>
            <w:vAlign w:val="center"/>
          </w:tcPr>
          <w:p w14:paraId="57FECDBD">
            <w:pPr>
              <w:pStyle w:val="714"/>
              <w:rPr>
                <w:color w:val="auto"/>
                <w:shd w:val="clear" w:color="auto" w:fill="auto"/>
              </w:rPr>
            </w:pPr>
            <w:r>
              <w:rPr>
                <w:rFonts w:hint="eastAsia"/>
                <w:color w:val="auto"/>
                <w:shd w:val="clear" w:color="auto" w:fill="auto"/>
              </w:rPr>
              <w:t>0.124</w:t>
            </w:r>
          </w:p>
        </w:tc>
        <w:tc>
          <w:tcPr>
            <w:tcW w:w="715" w:type="pct"/>
            <w:tcBorders>
              <w:tl2br w:val="nil"/>
              <w:tr2bl w:val="nil"/>
            </w:tcBorders>
            <w:shd w:val="clear" w:color="auto" w:fill="auto"/>
            <w:vAlign w:val="center"/>
          </w:tcPr>
          <w:p w14:paraId="2C2E9305">
            <w:pPr>
              <w:pStyle w:val="714"/>
              <w:rPr>
                <w:color w:val="auto"/>
                <w:shd w:val="clear" w:color="auto" w:fill="auto"/>
              </w:rPr>
            </w:pPr>
            <w:r>
              <w:rPr>
                <w:rFonts w:hint="eastAsia"/>
                <w:color w:val="auto"/>
                <w:shd w:val="clear" w:color="auto" w:fill="auto"/>
              </w:rPr>
              <w:t>1.603</w:t>
            </w:r>
          </w:p>
        </w:tc>
        <w:tc>
          <w:tcPr>
            <w:tcW w:w="714" w:type="pct"/>
            <w:tcBorders>
              <w:tl2br w:val="nil"/>
              <w:tr2bl w:val="nil"/>
            </w:tcBorders>
            <w:shd w:val="clear" w:color="auto" w:fill="auto"/>
            <w:vAlign w:val="center"/>
          </w:tcPr>
          <w:p w14:paraId="3019476E">
            <w:pPr>
              <w:pStyle w:val="714"/>
              <w:rPr>
                <w:color w:val="auto"/>
                <w:shd w:val="clear" w:color="auto" w:fill="auto"/>
              </w:rPr>
            </w:pPr>
            <w:r>
              <w:rPr>
                <w:rFonts w:hint="eastAsia"/>
                <w:color w:val="auto"/>
                <w:shd w:val="clear" w:color="auto" w:fill="auto"/>
              </w:rPr>
              <w:t>0.106</w:t>
            </w:r>
          </w:p>
        </w:tc>
        <w:tc>
          <w:tcPr>
            <w:tcW w:w="714" w:type="pct"/>
            <w:tcBorders>
              <w:tl2br w:val="nil"/>
              <w:tr2bl w:val="nil"/>
            </w:tcBorders>
            <w:shd w:val="clear" w:color="auto" w:fill="auto"/>
            <w:vAlign w:val="center"/>
          </w:tcPr>
          <w:p w14:paraId="57F65574">
            <w:pPr>
              <w:pStyle w:val="714"/>
              <w:rPr>
                <w:color w:val="auto"/>
                <w:shd w:val="clear" w:color="auto" w:fill="auto"/>
              </w:rPr>
            </w:pPr>
            <w:r>
              <w:rPr>
                <w:rFonts w:hint="eastAsia"/>
                <w:color w:val="auto"/>
                <w:shd w:val="clear" w:color="auto" w:fill="auto"/>
              </w:rPr>
              <w:t>1.585</w:t>
            </w:r>
          </w:p>
        </w:tc>
      </w:tr>
      <w:tr w14:paraId="6CD6A6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37A0030C">
            <w:pPr>
              <w:pStyle w:val="714"/>
              <w:rPr>
                <w:color w:val="auto"/>
                <w:shd w:val="clear" w:color="auto" w:fill="auto"/>
              </w:rPr>
            </w:pPr>
            <w:r>
              <w:rPr>
                <w:rFonts w:hint="eastAsia"/>
                <w:color w:val="auto"/>
                <w:shd w:val="clear" w:color="auto" w:fill="auto"/>
              </w:rPr>
              <w:t xml:space="preserve">8100 </w:t>
            </w:r>
          </w:p>
        </w:tc>
        <w:tc>
          <w:tcPr>
            <w:tcW w:w="713" w:type="pct"/>
            <w:tcBorders>
              <w:tl2br w:val="nil"/>
              <w:tr2bl w:val="nil"/>
            </w:tcBorders>
            <w:shd w:val="clear" w:color="auto" w:fill="auto"/>
            <w:vAlign w:val="center"/>
          </w:tcPr>
          <w:p w14:paraId="67C5E4C4">
            <w:pPr>
              <w:pStyle w:val="714"/>
              <w:rPr>
                <w:color w:val="auto"/>
                <w:shd w:val="clear" w:color="auto" w:fill="auto"/>
              </w:rPr>
            </w:pPr>
            <w:r>
              <w:rPr>
                <w:rFonts w:hint="eastAsia"/>
                <w:color w:val="auto"/>
                <w:shd w:val="clear" w:color="auto" w:fill="auto"/>
              </w:rPr>
              <w:t>0.015</w:t>
            </w:r>
          </w:p>
        </w:tc>
        <w:tc>
          <w:tcPr>
            <w:tcW w:w="714" w:type="pct"/>
            <w:tcBorders>
              <w:tl2br w:val="nil"/>
              <w:tr2bl w:val="nil"/>
            </w:tcBorders>
            <w:shd w:val="clear" w:color="auto" w:fill="auto"/>
            <w:vAlign w:val="center"/>
          </w:tcPr>
          <w:p w14:paraId="4F8C7D8A">
            <w:pPr>
              <w:pStyle w:val="714"/>
              <w:rPr>
                <w:color w:val="auto"/>
                <w:shd w:val="clear" w:color="auto" w:fill="auto"/>
              </w:rPr>
            </w:pPr>
            <w:r>
              <w:rPr>
                <w:rFonts w:hint="eastAsia"/>
                <w:color w:val="auto"/>
                <w:shd w:val="clear" w:color="auto" w:fill="auto"/>
              </w:rPr>
              <w:t>1.494</w:t>
            </w:r>
          </w:p>
        </w:tc>
        <w:tc>
          <w:tcPr>
            <w:tcW w:w="713" w:type="pct"/>
            <w:tcBorders>
              <w:tl2br w:val="nil"/>
              <w:tr2bl w:val="nil"/>
            </w:tcBorders>
            <w:shd w:val="clear" w:color="auto" w:fill="auto"/>
            <w:vAlign w:val="center"/>
          </w:tcPr>
          <w:p w14:paraId="4EE51D91">
            <w:pPr>
              <w:pStyle w:val="714"/>
              <w:rPr>
                <w:color w:val="auto"/>
                <w:shd w:val="clear" w:color="auto" w:fill="auto"/>
              </w:rPr>
            </w:pPr>
            <w:r>
              <w:rPr>
                <w:rFonts w:hint="eastAsia"/>
                <w:color w:val="auto"/>
                <w:shd w:val="clear" w:color="auto" w:fill="auto"/>
              </w:rPr>
              <w:t>0.057</w:t>
            </w:r>
          </w:p>
        </w:tc>
        <w:tc>
          <w:tcPr>
            <w:tcW w:w="715" w:type="pct"/>
            <w:tcBorders>
              <w:tl2br w:val="nil"/>
              <w:tr2bl w:val="nil"/>
            </w:tcBorders>
            <w:shd w:val="clear" w:color="auto" w:fill="auto"/>
            <w:vAlign w:val="center"/>
          </w:tcPr>
          <w:p w14:paraId="2A8F41D8">
            <w:pPr>
              <w:pStyle w:val="714"/>
              <w:rPr>
                <w:color w:val="auto"/>
                <w:shd w:val="clear" w:color="auto" w:fill="auto"/>
              </w:rPr>
            </w:pPr>
            <w:r>
              <w:rPr>
                <w:rFonts w:hint="eastAsia"/>
                <w:color w:val="auto"/>
                <w:shd w:val="clear" w:color="auto" w:fill="auto"/>
              </w:rPr>
              <w:t>1.536</w:t>
            </w:r>
          </w:p>
        </w:tc>
        <w:tc>
          <w:tcPr>
            <w:tcW w:w="714" w:type="pct"/>
            <w:tcBorders>
              <w:tl2br w:val="nil"/>
              <w:tr2bl w:val="nil"/>
            </w:tcBorders>
            <w:shd w:val="clear" w:color="auto" w:fill="auto"/>
            <w:vAlign w:val="center"/>
          </w:tcPr>
          <w:p w14:paraId="32646CED">
            <w:pPr>
              <w:pStyle w:val="714"/>
              <w:rPr>
                <w:color w:val="auto"/>
                <w:shd w:val="clear" w:color="auto" w:fill="auto"/>
              </w:rPr>
            </w:pPr>
            <w:r>
              <w:rPr>
                <w:rFonts w:hint="eastAsia"/>
                <w:color w:val="auto"/>
                <w:shd w:val="clear" w:color="auto" w:fill="auto"/>
              </w:rPr>
              <w:t>0.050</w:t>
            </w:r>
          </w:p>
        </w:tc>
        <w:tc>
          <w:tcPr>
            <w:tcW w:w="714" w:type="pct"/>
            <w:tcBorders>
              <w:tl2br w:val="nil"/>
              <w:tr2bl w:val="nil"/>
            </w:tcBorders>
            <w:shd w:val="clear" w:color="auto" w:fill="auto"/>
            <w:vAlign w:val="center"/>
          </w:tcPr>
          <w:p w14:paraId="1A076196">
            <w:pPr>
              <w:pStyle w:val="714"/>
              <w:rPr>
                <w:color w:val="auto"/>
                <w:shd w:val="clear" w:color="auto" w:fill="auto"/>
              </w:rPr>
            </w:pPr>
            <w:r>
              <w:rPr>
                <w:rFonts w:hint="eastAsia"/>
                <w:color w:val="auto"/>
                <w:shd w:val="clear" w:color="auto" w:fill="auto"/>
              </w:rPr>
              <w:t>1.528</w:t>
            </w:r>
          </w:p>
        </w:tc>
      </w:tr>
      <w:tr w14:paraId="03FCF4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6B5ED93F">
            <w:pPr>
              <w:pStyle w:val="714"/>
              <w:rPr>
                <w:color w:val="auto"/>
                <w:shd w:val="clear" w:color="auto" w:fill="auto"/>
              </w:rPr>
            </w:pPr>
            <w:r>
              <w:rPr>
                <w:rFonts w:hint="eastAsia"/>
                <w:color w:val="auto"/>
                <w:shd w:val="clear" w:color="auto" w:fill="auto"/>
              </w:rPr>
              <w:t xml:space="preserve">9100 </w:t>
            </w:r>
          </w:p>
        </w:tc>
        <w:tc>
          <w:tcPr>
            <w:tcW w:w="713" w:type="pct"/>
            <w:tcBorders>
              <w:tl2br w:val="nil"/>
              <w:tr2bl w:val="nil"/>
            </w:tcBorders>
            <w:shd w:val="clear" w:color="auto" w:fill="auto"/>
            <w:vAlign w:val="center"/>
          </w:tcPr>
          <w:p w14:paraId="1091A2B1">
            <w:pPr>
              <w:pStyle w:val="714"/>
              <w:rPr>
                <w:color w:val="auto"/>
                <w:shd w:val="clear" w:color="auto" w:fill="auto"/>
              </w:rPr>
            </w:pPr>
            <w:r>
              <w:rPr>
                <w:rFonts w:hint="eastAsia"/>
                <w:color w:val="auto"/>
                <w:shd w:val="clear" w:color="auto" w:fill="auto"/>
              </w:rPr>
              <w:t>0.006</w:t>
            </w:r>
          </w:p>
        </w:tc>
        <w:tc>
          <w:tcPr>
            <w:tcW w:w="714" w:type="pct"/>
            <w:tcBorders>
              <w:tl2br w:val="nil"/>
              <w:tr2bl w:val="nil"/>
            </w:tcBorders>
            <w:shd w:val="clear" w:color="auto" w:fill="auto"/>
            <w:vAlign w:val="center"/>
          </w:tcPr>
          <w:p w14:paraId="3184865A">
            <w:pPr>
              <w:pStyle w:val="714"/>
              <w:rPr>
                <w:color w:val="auto"/>
                <w:shd w:val="clear" w:color="auto" w:fill="auto"/>
              </w:rPr>
            </w:pPr>
            <w:r>
              <w:rPr>
                <w:rFonts w:hint="eastAsia"/>
                <w:color w:val="auto"/>
                <w:shd w:val="clear" w:color="auto" w:fill="auto"/>
              </w:rPr>
              <w:t>1.485</w:t>
            </w:r>
          </w:p>
        </w:tc>
        <w:tc>
          <w:tcPr>
            <w:tcW w:w="713" w:type="pct"/>
            <w:tcBorders>
              <w:tl2br w:val="nil"/>
              <w:tr2bl w:val="nil"/>
            </w:tcBorders>
            <w:shd w:val="clear" w:color="auto" w:fill="auto"/>
            <w:vAlign w:val="center"/>
          </w:tcPr>
          <w:p w14:paraId="3ECE2F93">
            <w:pPr>
              <w:pStyle w:val="714"/>
              <w:rPr>
                <w:color w:val="auto"/>
                <w:shd w:val="clear" w:color="auto" w:fill="auto"/>
              </w:rPr>
            </w:pPr>
            <w:r>
              <w:rPr>
                <w:rFonts w:hint="eastAsia"/>
                <w:color w:val="auto"/>
                <w:shd w:val="clear" w:color="auto" w:fill="auto"/>
              </w:rPr>
              <w:t>0.022</w:t>
            </w:r>
          </w:p>
        </w:tc>
        <w:tc>
          <w:tcPr>
            <w:tcW w:w="715" w:type="pct"/>
            <w:tcBorders>
              <w:tl2br w:val="nil"/>
              <w:tr2bl w:val="nil"/>
            </w:tcBorders>
            <w:shd w:val="clear" w:color="auto" w:fill="auto"/>
            <w:vAlign w:val="center"/>
          </w:tcPr>
          <w:p w14:paraId="4DBD3227">
            <w:pPr>
              <w:pStyle w:val="714"/>
              <w:rPr>
                <w:color w:val="auto"/>
                <w:shd w:val="clear" w:color="auto" w:fill="auto"/>
              </w:rPr>
            </w:pPr>
            <w:r>
              <w:rPr>
                <w:rFonts w:hint="eastAsia"/>
                <w:color w:val="auto"/>
                <w:shd w:val="clear" w:color="auto" w:fill="auto"/>
              </w:rPr>
              <w:t>1.501</w:t>
            </w:r>
          </w:p>
        </w:tc>
        <w:tc>
          <w:tcPr>
            <w:tcW w:w="714" w:type="pct"/>
            <w:tcBorders>
              <w:tl2br w:val="nil"/>
              <w:tr2bl w:val="nil"/>
            </w:tcBorders>
            <w:shd w:val="clear" w:color="auto" w:fill="auto"/>
            <w:vAlign w:val="center"/>
          </w:tcPr>
          <w:p w14:paraId="57196F6A">
            <w:pPr>
              <w:pStyle w:val="714"/>
              <w:rPr>
                <w:color w:val="auto"/>
                <w:shd w:val="clear" w:color="auto" w:fill="auto"/>
              </w:rPr>
            </w:pPr>
            <w:r>
              <w:rPr>
                <w:rFonts w:hint="eastAsia"/>
                <w:color w:val="auto"/>
                <w:shd w:val="clear" w:color="auto" w:fill="auto"/>
              </w:rPr>
              <w:t>0.019</w:t>
            </w:r>
          </w:p>
        </w:tc>
        <w:tc>
          <w:tcPr>
            <w:tcW w:w="714" w:type="pct"/>
            <w:tcBorders>
              <w:tl2br w:val="nil"/>
              <w:tr2bl w:val="nil"/>
            </w:tcBorders>
            <w:shd w:val="clear" w:color="auto" w:fill="auto"/>
            <w:vAlign w:val="center"/>
          </w:tcPr>
          <w:p w14:paraId="57F91C35">
            <w:pPr>
              <w:pStyle w:val="714"/>
              <w:rPr>
                <w:color w:val="auto"/>
                <w:shd w:val="clear" w:color="auto" w:fill="auto"/>
              </w:rPr>
            </w:pPr>
            <w:r>
              <w:rPr>
                <w:rFonts w:hint="eastAsia"/>
                <w:color w:val="auto"/>
                <w:shd w:val="clear" w:color="auto" w:fill="auto"/>
              </w:rPr>
              <w:t>1.498</w:t>
            </w:r>
          </w:p>
        </w:tc>
      </w:tr>
      <w:tr w14:paraId="489EDA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0EFFE0B8">
            <w:pPr>
              <w:pStyle w:val="714"/>
              <w:rPr>
                <w:color w:val="auto"/>
                <w:shd w:val="clear" w:color="auto" w:fill="auto"/>
              </w:rPr>
            </w:pPr>
            <w:r>
              <w:rPr>
                <w:rFonts w:hint="eastAsia"/>
                <w:color w:val="auto"/>
                <w:shd w:val="clear" w:color="auto" w:fill="auto"/>
              </w:rPr>
              <w:t xml:space="preserve">10100 </w:t>
            </w:r>
          </w:p>
        </w:tc>
        <w:tc>
          <w:tcPr>
            <w:tcW w:w="713" w:type="pct"/>
            <w:tcBorders>
              <w:tl2br w:val="nil"/>
              <w:tr2bl w:val="nil"/>
            </w:tcBorders>
            <w:shd w:val="clear" w:color="auto" w:fill="auto"/>
            <w:vAlign w:val="center"/>
          </w:tcPr>
          <w:p w14:paraId="62298A73">
            <w:pPr>
              <w:pStyle w:val="714"/>
              <w:rPr>
                <w:color w:val="auto"/>
                <w:shd w:val="clear" w:color="auto" w:fill="auto"/>
              </w:rPr>
            </w:pPr>
            <w:r>
              <w:rPr>
                <w:rFonts w:hint="eastAsia"/>
                <w:color w:val="auto"/>
                <w:shd w:val="clear" w:color="auto" w:fill="auto"/>
              </w:rPr>
              <w:t>0.003</w:t>
            </w:r>
          </w:p>
        </w:tc>
        <w:tc>
          <w:tcPr>
            <w:tcW w:w="714" w:type="pct"/>
            <w:tcBorders>
              <w:tl2br w:val="nil"/>
              <w:tr2bl w:val="nil"/>
            </w:tcBorders>
            <w:shd w:val="clear" w:color="auto" w:fill="auto"/>
            <w:vAlign w:val="center"/>
          </w:tcPr>
          <w:p w14:paraId="5926D022">
            <w:pPr>
              <w:pStyle w:val="714"/>
              <w:rPr>
                <w:color w:val="auto"/>
                <w:shd w:val="clear" w:color="auto" w:fill="auto"/>
              </w:rPr>
            </w:pPr>
            <w:r>
              <w:rPr>
                <w:rFonts w:hint="eastAsia"/>
                <w:color w:val="auto"/>
                <w:shd w:val="clear" w:color="auto" w:fill="auto"/>
              </w:rPr>
              <w:t>1.481</w:t>
            </w:r>
          </w:p>
        </w:tc>
        <w:tc>
          <w:tcPr>
            <w:tcW w:w="713" w:type="pct"/>
            <w:tcBorders>
              <w:tl2br w:val="nil"/>
              <w:tr2bl w:val="nil"/>
            </w:tcBorders>
            <w:shd w:val="clear" w:color="auto" w:fill="auto"/>
            <w:vAlign w:val="center"/>
          </w:tcPr>
          <w:p w14:paraId="16886405">
            <w:pPr>
              <w:pStyle w:val="714"/>
              <w:rPr>
                <w:color w:val="auto"/>
                <w:shd w:val="clear" w:color="auto" w:fill="auto"/>
              </w:rPr>
            </w:pPr>
            <w:r>
              <w:rPr>
                <w:rFonts w:hint="eastAsia"/>
                <w:color w:val="auto"/>
                <w:shd w:val="clear" w:color="auto" w:fill="auto"/>
              </w:rPr>
              <w:t>0.009</w:t>
            </w:r>
          </w:p>
        </w:tc>
        <w:tc>
          <w:tcPr>
            <w:tcW w:w="715" w:type="pct"/>
            <w:tcBorders>
              <w:tl2br w:val="nil"/>
              <w:tr2bl w:val="nil"/>
            </w:tcBorders>
            <w:shd w:val="clear" w:color="auto" w:fill="auto"/>
            <w:vAlign w:val="center"/>
          </w:tcPr>
          <w:p w14:paraId="44D54379">
            <w:pPr>
              <w:pStyle w:val="714"/>
              <w:rPr>
                <w:color w:val="auto"/>
                <w:shd w:val="clear" w:color="auto" w:fill="auto"/>
              </w:rPr>
            </w:pPr>
            <w:r>
              <w:rPr>
                <w:rFonts w:hint="eastAsia"/>
                <w:color w:val="auto"/>
                <w:shd w:val="clear" w:color="auto" w:fill="auto"/>
              </w:rPr>
              <w:t>1.488</w:t>
            </w:r>
          </w:p>
        </w:tc>
        <w:tc>
          <w:tcPr>
            <w:tcW w:w="714" w:type="pct"/>
            <w:tcBorders>
              <w:tl2br w:val="nil"/>
              <w:tr2bl w:val="nil"/>
            </w:tcBorders>
            <w:shd w:val="clear" w:color="auto" w:fill="auto"/>
            <w:vAlign w:val="center"/>
          </w:tcPr>
          <w:p w14:paraId="290C5AB0">
            <w:pPr>
              <w:pStyle w:val="714"/>
              <w:rPr>
                <w:color w:val="auto"/>
                <w:shd w:val="clear" w:color="auto" w:fill="auto"/>
              </w:rPr>
            </w:pPr>
            <w:r>
              <w:rPr>
                <w:rFonts w:hint="eastAsia"/>
                <w:color w:val="auto"/>
                <w:shd w:val="clear" w:color="auto" w:fill="auto"/>
              </w:rPr>
              <w:t>0.008</w:t>
            </w:r>
          </w:p>
        </w:tc>
        <w:tc>
          <w:tcPr>
            <w:tcW w:w="714" w:type="pct"/>
            <w:tcBorders>
              <w:tl2br w:val="nil"/>
              <w:tr2bl w:val="nil"/>
            </w:tcBorders>
            <w:shd w:val="clear" w:color="auto" w:fill="auto"/>
            <w:vAlign w:val="center"/>
          </w:tcPr>
          <w:p w14:paraId="2A56F0F4">
            <w:pPr>
              <w:pStyle w:val="714"/>
              <w:rPr>
                <w:color w:val="auto"/>
                <w:shd w:val="clear" w:color="auto" w:fill="auto"/>
              </w:rPr>
            </w:pPr>
            <w:r>
              <w:rPr>
                <w:rFonts w:hint="eastAsia"/>
                <w:color w:val="auto"/>
                <w:shd w:val="clear" w:color="auto" w:fill="auto"/>
              </w:rPr>
              <w:t>1.486</w:t>
            </w:r>
          </w:p>
        </w:tc>
      </w:tr>
      <w:tr w14:paraId="645F72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76653331">
            <w:pPr>
              <w:pStyle w:val="714"/>
              <w:rPr>
                <w:color w:val="auto"/>
                <w:shd w:val="clear" w:color="auto" w:fill="auto"/>
              </w:rPr>
            </w:pPr>
            <w:r>
              <w:rPr>
                <w:rFonts w:hint="eastAsia"/>
                <w:color w:val="auto"/>
                <w:shd w:val="clear" w:color="auto" w:fill="auto"/>
              </w:rPr>
              <w:t xml:space="preserve">10950 </w:t>
            </w:r>
          </w:p>
        </w:tc>
        <w:tc>
          <w:tcPr>
            <w:tcW w:w="713" w:type="pct"/>
            <w:tcBorders>
              <w:tl2br w:val="nil"/>
              <w:tr2bl w:val="nil"/>
            </w:tcBorders>
            <w:shd w:val="clear" w:color="auto" w:fill="auto"/>
            <w:vAlign w:val="center"/>
          </w:tcPr>
          <w:p w14:paraId="10566883">
            <w:pPr>
              <w:pStyle w:val="714"/>
              <w:rPr>
                <w:color w:val="auto"/>
                <w:shd w:val="clear" w:color="auto" w:fill="auto"/>
              </w:rPr>
            </w:pPr>
            <w:r>
              <w:rPr>
                <w:rFonts w:hint="eastAsia"/>
                <w:color w:val="auto"/>
                <w:shd w:val="clear" w:color="auto" w:fill="auto"/>
              </w:rPr>
              <w:t>0.001</w:t>
            </w:r>
          </w:p>
        </w:tc>
        <w:tc>
          <w:tcPr>
            <w:tcW w:w="714" w:type="pct"/>
            <w:tcBorders>
              <w:tl2br w:val="nil"/>
              <w:tr2bl w:val="nil"/>
            </w:tcBorders>
            <w:shd w:val="clear" w:color="auto" w:fill="auto"/>
            <w:vAlign w:val="center"/>
          </w:tcPr>
          <w:p w14:paraId="58B0B52C">
            <w:pPr>
              <w:pStyle w:val="714"/>
              <w:rPr>
                <w:color w:val="auto"/>
                <w:shd w:val="clear" w:color="auto" w:fill="auto"/>
              </w:rPr>
            </w:pPr>
            <w:r>
              <w:rPr>
                <w:rFonts w:hint="eastAsia"/>
                <w:color w:val="auto"/>
                <w:shd w:val="clear" w:color="auto" w:fill="auto"/>
              </w:rPr>
              <w:t>1.480</w:t>
            </w:r>
          </w:p>
        </w:tc>
        <w:tc>
          <w:tcPr>
            <w:tcW w:w="713" w:type="pct"/>
            <w:tcBorders>
              <w:tl2br w:val="nil"/>
              <w:tr2bl w:val="nil"/>
            </w:tcBorders>
            <w:shd w:val="clear" w:color="auto" w:fill="auto"/>
            <w:vAlign w:val="center"/>
          </w:tcPr>
          <w:p w14:paraId="067A4DE8">
            <w:pPr>
              <w:pStyle w:val="714"/>
              <w:rPr>
                <w:color w:val="auto"/>
                <w:shd w:val="clear" w:color="auto" w:fill="auto"/>
              </w:rPr>
            </w:pPr>
            <w:r>
              <w:rPr>
                <w:rFonts w:hint="eastAsia"/>
                <w:color w:val="auto"/>
                <w:shd w:val="clear" w:color="auto" w:fill="auto"/>
              </w:rPr>
              <w:t>0.004</w:t>
            </w:r>
          </w:p>
        </w:tc>
        <w:tc>
          <w:tcPr>
            <w:tcW w:w="715" w:type="pct"/>
            <w:tcBorders>
              <w:tl2br w:val="nil"/>
              <w:tr2bl w:val="nil"/>
            </w:tcBorders>
            <w:shd w:val="clear" w:color="auto" w:fill="auto"/>
            <w:vAlign w:val="center"/>
          </w:tcPr>
          <w:p w14:paraId="538A9A88">
            <w:pPr>
              <w:pStyle w:val="714"/>
              <w:rPr>
                <w:color w:val="auto"/>
                <w:shd w:val="clear" w:color="auto" w:fill="auto"/>
              </w:rPr>
            </w:pPr>
            <w:r>
              <w:rPr>
                <w:rFonts w:hint="eastAsia"/>
                <w:color w:val="auto"/>
                <w:shd w:val="clear" w:color="auto" w:fill="auto"/>
              </w:rPr>
              <w:t>1.483</w:t>
            </w:r>
          </w:p>
        </w:tc>
        <w:tc>
          <w:tcPr>
            <w:tcW w:w="714" w:type="pct"/>
            <w:tcBorders>
              <w:tl2br w:val="nil"/>
              <w:tr2bl w:val="nil"/>
            </w:tcBorders>
            <w:shd w:val="clear" w:color="auto" w:fill="auto"/>
            <w:vAlign w:val="center"/>
          </w:tcPr>
          <w:p w14:paraId="3198D8CC">
            <w:pPr>
              <w:pStyle w:val="714"/>
              <w:rPr>
                <w:color w:val="auto"/>
                <w:shd w:val="clear" w:color="auto" w:fill="auto"/>
              </w:rPr>
            </w:pPr>
            <w:r>
              <w:rPr>
                <w:rFonts w:hint="eastAsia"/>
                <w:color w:val="auto"/>
                <w:shd w:val="clear" w:color="auto" w:fill="auto"/>
              </w:rPr>
              <w:t>0.004</w:t>
            </w:r>
          </w:p>
        </w:tc>
        <w:tc>
          <w:tcPr>
            <w:tcW w:w="714" w:type="pct"/>
            <w:tcBorders>
              <w:tl2br w:val="nil"/>
              <w:tr2bl w:val="nil"/>
            </w:tcBorders>
            <w:shd w:val="clear" w:color="auto" w:fill="auto"/>
            <w:vAlign w:val="center"/>
          </w:tcPr>
          <w:p w14:paraId="0D2C1286">
            <w:pPr>
              <w:pStyle w:val="714"/>
              <w:rPr>
                <w:color w:val="auto"/>
                <w:shd w:val="clear" w:color="auto" w:fill="auto"/>
              </w:rPr>
            </w:pPr>
            <w:r>
              <w:rPr>
                <w:rFonts w:hint="eastAsia"/>
                <w:color w:val="auto"/>
                <w:shd w:val="clear" w:color="auto" w:fill="auto"/>
              </w:rPr>
              <w:t>1.482</w:t>
            </w:r>
          </w:p>
        </w:tc>
      </w:tr>
    </w:tbl>
    <w:p w14:paraId="4D4833F4">
      <w:pPr>
        <w:pStyle w:val="19"/>
        <w:keepNext w:val="0"/>
        <w:keepLines w:val="0"/>
        <w:pageBreakBefore w:val="0"/>
        <w:widowControl w:val="0"/>
        <w:numPr>
          <w:ilvl w:val="0"/>
          <w:numId w:val="31"/>
        </w:numPr>
        <w:kinsoku/>
        <w:wordWrap/>
        <w:overflowPunct/>
        <w:topLinePunct w:val="0"/>
        <w:autoSpaceDE/>
        <w:autoSpaceDN/>
        <w:bidi w:val="0"/>
        <w:adjustRightInd/>
        <w:snapToGrid/>
        <w:spacing w:before="157" w:beforeLines="50"/>
        <w:ind w:left="1440" w:leftChars="0" w:firstLine="0" w:firstLineChars="0"/>
        <w:textAlignment w:val="auto"/>
        <w:rPr>
          <w:rFonts w:cs="Times New Roman"/>
          <w:color w:val="auto"/>
        </w:rPr>
      </w:pPr>
      <w:r>
        <w:rPr>
          <w:rFonts w:cs="Times New Roman"/>
          <w:color w:val="auto"/>
        </w:rPr>
        <w:t>氨氮沿地下水径流方向贡献值随时间变化（单位：mg/L）</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1276"/>
        <w:gridCol w:w="1280"/>
        <w:gridCol w:w="1276"/>
        <w:gridCol w:w="1282"/>
        <w:gridCol w:w="1278"/>
        <w:gridCol w:w="1278"/>
      </w:tblGrid>
      <w:tr w14:paraId="5E0D86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vMerge w:val="restart"/>
            <w:tcBorders>
              <w:tl2br w:val="nil"/>
              <w:tr2bl w:val="nil"/>
            </w:tcBorders>
            <w:shd w:val="clear" w:color="auto" w:fill="auto"/>
            <w:noWrap/>
            <w:vAlign w:val="center"/>
          </w:tcPr>
          <w:p w14:paraId="39868EB0">
            <w:pPr>
              <w:pStyle w:val="714"/>
              <w:rPr>
                <w:rFonts w:eastAsia="等线"/>
                <w:b/>
                <w:bCs/>
                <w:color w:val="auto"/>
                <w:shd w:val="clear" w:color="auto" w:fill="auto"/>
              </w:rPr>
            </w:pPr>
            <w:r>
              <w:rPr>
                <w:rFonts w:hint="eastAsia"/>
                <w:b/>
                <w:bCs/>
                <w:color w:val="auto"/>
                <w:shd w:val="clear" w:color="auto" w:fill="auto"/>
              </w:rPr>
              <w:t>时间（</w:t>
            </w:r>
            <w:r>
              <w:rPr>
                <w:rFonts w:eastAsia="等线"/>
                <w:b/>
                <w:bCs/>
                <w:color w:val="auto"/>
                <w:shd w:val="clear" w:color="auto" w:fill="auto"/>
              </w:rPr>
              <w:t>d</w:t>
            </w:r>
            <w:r>
              <w:rPr>
                <w:rFonts w:hint="eastAsia"/>
                <w:b/>
                <w:bCs/>
                <w:color w:val="auto"/>
                <w:shd w:val="clear" w:color="auto" w:fill="auto"/>
              </w:rPr>
              <w:t>）</w:t>
            </w:r>
          </w:p>
        </w:tc>
        <w:tc>
          <w:tcPr>
            <w:tcW w:w="1428" w:type="pct"/>
            <w:gridSpan w:val="2"/>
            <w:tcBorders>
              <w:tl2br w:val="nil"/>
              <w:tr2bl w:val="nil"/>
            </w:tcBorders>
            <w:shd w:val="clear" w:color="auto" w:fill="auto"/>
            <w:vAlign w:val="center"/>
          </w:tcPr>
          <w:p w14:paraId="480DE3F6">
            <w:pPr>
              <w:pStyle w:val="714"/>
              <w:rPr>
                <w:rFonts w:eastAsia="等线"/>
                <w:b/>
                <w:bCs/>
                <w:color w:val="auto"/>
                <w:shd w:val="clear" w:color="auto" w:fill="auto"/>
              </w:rPr>
            </w:pPr>
            <w:r>
              <w:rPr>
                <w:rFonts w:hint="eastAsia"/>
                <w:b/>
                <w:bCs/>
                <w:color w:val="auto"/>
                <w:shd w:val="clear" w:color="auto" w:fill="auto"/>
              </w:rPr>
              <w:t>厂区泄漏点</w:t>
            </w:r>
          </w:p>
        </w:tc>
        <w:tc>
          <w:tcPr>
            <w:tcW w:w="1429" w:type="pct"/>
            <w:gridSpan w:val="2"/>
            <w:tcBorders>
              <w:tl2br w:val="nil"/>
              <w:tr2bl w:val="nil"/>
            </w:tcBorders>
            <w:shd w:val="clear" w:color="auto" w:fill="auto"/>
            <w:vAlign w:val="center"/>
          </w:tcPr>
          <w:p w14:paraId="2EC3BC29">
            <w:pPr>
              <w:pStyle w:val="714"/>
              <w:rPr>
                <w:rFonts w:eastAsia="等线"/>
                <w:b/>
                <w:bCs/>
                <w:color w:val="auto"/>
                <w:shd w:val="clear" w:color="auto" w:fill="auto"/>
              </w:rPr>
            </w:pPr>
            <w:r>
              <w:rPr>
                <w:rFonts w:hint="eastAsia"/>
                <w:b/>
                <w:bCs/>
                <w:color w:val="auto"/>
                <w:shd w:val="clear" w:color="auto" w:fill="auto"/>
              </w:rPr>
              <w:t>厂区边界</w:t>
            </w:r>
          </w:p>
        </w:tc>
        <w:tc>
          <w:tcPr>
            <w:tcW w:w="1428" w:type="pct"/>
            <w:gridSpan w:val="2"/>
            <w:tcBorders>
              <w:tl2br w:val="nil"/>
              <w:tr2bl w:val="nil"/>
            </w:tcBorders>
            <w:shd w:val="clear" w:color="auto" w:fill="auto"/>
            <w:vAlign w:val="center"/>
          </w:tcPr>
          <w:p w14:paraId="2019A450">
            <w:pPr>
              <w:pStyle w:val="714"/>
              <w:rPr>
                <w:rFonts w:eastAsia="等线"/>
                <w:b/>
                <w:bCs/>
                <w:color w:val="auto"/>
                <w:shd w:val="clear" w:color="auto" w:fill="auto"/>
              </w:rPr>
            </w:pPr>
            <w:r>
              <w:rPr>
                <w:rFonts w:hint="eastAsia"/>
                <w:b/>
                <w:bCs/>
                <w:color w:val="auto"/>
                <w:shd w:val="clear" w:color="auto" w:fill="auto"/>
              </w:rPr>
              <w:t>厂区下游河边</w:t>
            </w:r>
          </w:p>
        </w:tc>
      </w:tr>
      <w:tr w14:paraId="6BF0DB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vMerge w:val="continue"/>
            <w:tcBorders>
              <w:tl2br w:val="nil"/>
              <w:tr2bl w:val="nil"/>
            </w:tcBorders>
            <w:vAlign w:val="center"/>
          </w:tcPr>
          <w:p w14:paraId="7E3718E7">
            <w:pPr>
              <w:pStyle w:val="714"/>
              <w:rPr>
                <w:rFonts w:eastAsia="等线"/>
                <w:b/>
                <w:bCs/>
                <w:color w:val="auto"/>
                <w:shd w:val="clear" w:color="auto" w:fill="auto"/>
              </w:rPr>
            </w:pPr>
          </w:p>
        </w:tc>
        <w:tc>
          <w:tcPr>
            <w:tcW w:w="713" w:type="pct"/>
            <w:tcBorders>
              <w:tl2br w:val="nil"/>
              <w:tr2bl w:val="nil"/>
            </w:tcBorders>
            <w:shd w:val="clear" w:color="auto" w:fill="auto"/>
            <w:vAlign w:val="center"/>
          </w:tcPr>
          <w:p w14:paraId="0221075B">
            <w:pPr>
              <w:pStyle w:val="714"/>
              <w:rPr>
                <w:rFonts w:eastAsia="等线"/>
                <w:b/>
                <w:bCs/>
                <w:color w:val="auto"/>
                <w:shd w:val="clear" w:color="auto" w:fill="auto"/>
              </w:rPr>
            </w:pPr>
            <w:r>
              <w:rPr>
                <w:rFonts w:hint="eastAsia"/>
                <w:b/>
                <w:bCs/>
                <w:color w:val="auto"/>
                <w:shd w:val="clear" w:color="auto" w:fill="auto"/>
              </w:rPr>
              <w:t>计算值</w:t>
            </w:r>
          </w:p>
        </w:tc>
        <w:tc>
          <w:tcPr>
            <w:tcW w:w="714" w:type="pct"/>
            <w:tcBorders>
              <w:tl2br w:val="nil"/>
              <w:tr2bl w:val="nil"/>
            </w:tcBorders>
            <w:shd w:val="clear" w:color="auto" w:fill="auto"/>
            <w:vAlign w:val="center"/>
          </w:tcPr>
          <w:p w14:paraId="3E4C9079">
            <w:pPr>
              <w:pStyle w:val="714"/>
              <w:rPr>
                <w:rFonts w:eastAsia="等线"/>
                <w:b/>
                <w:bCs/>
                <w:color w:val="auto"/>
                <w:shd w:val="clear" w:color="auto" w:fill="auto"/>
              </w:rPr>
            </w:pPr>
            <w:r>
              <w:rPr>
                <w:rFonts w:hint="eastAsia"/>
                <w:b/>
                <w:bCs/>
                <w:color w:val="auto"/>
                <w:shd w:val="clear" w:color="auto" w:fill="auto"/>
              </w:rPr>
              <w:t>叠加值</w:t>
            </w:r>
          </w:p>
        </w:tc>
        <w:tc>
          <w:tcPr>
            <w:tcW w:w="713" w:type="pct"/>
            <w:tcBorders>
              <w:tl2br w:val="nil"/>
              <w:tr2bl w:val="nil"/>
            </w:tcBorders>
            <w:shd w:val="clear" w:color="auto" w:fill="auto"/>
            <w:vAlign w:val="center"/>
          </w:tcPr>
          <w:p w14:paraId="0D6FC53D">
            <w:pPr>
              <w:pStyle w:val="714"/>
              <w:rPr>
                <w:rFonts w:eastAsia="等线"/>
                <w:b/>
                <w:bCs/>
                <w:color w:val="auto"/>
                <w:shd w:val="clear" w:color="auto" w:fill="auto"/>
              </w:rPr>
            </w:pPr>
            <w:r>
              <w:rPr>
                <w:rFonts w:hint="eastAsia"/>
                <w:b/>
                <w:bCs/>
                <w:color w:val="auto"/>
                <w:shd w:val="clear" w:color="auto" w:fill="auto"/>
              </w:rPr>
              <w:t>计算值</w:t>
            </w:r>
          </w:p>
        </w:tc>
        <w:tc>
          <w:tcPr>
            <w:tcW w:w="715" w:type="pct"/>
            <w:tcBorders>
              <w:tl2br w:val="nil"/>
              <w:tr2bl w:val="nil"/>
            </w:tcBorders>
            <w:shd w:val="clear" w:color="auto" w:fill="auto"/>
            <w:vAlign w:val="center"/>
          </w:tcPr>
          <w:p w14:paraId="6B51F2F1">
            <w:pPr>
              <w:pStyle w:val="714"/>
              <w:rPr>
                <w:rFonts w:eastAsia="等线"/>
                <w:b/>
                <w:bCs/>
                <w:color w:val="auto"/>
                <w:shd w:val="clear" w:color="auto" w:fill="auto"/>
              </w:rPr>
            </w:pPr>
            <w:r>
              <w:rPr>
                <w:rFonts w:hint="eastAsia"/>
                <w:b/>
                <w:bCs/>
                <w:color w:val="auto"/>
                <w:shd w:val="clear" w:color="auto" w:fill="auto"/>
              </w:rPr>
              <w:t>叠加值</w:t>
            </w:r>
          </w:p>
        </w:tc>
        <w:tc>
          <w:tcPr>
            <w:tcW w:w="714" w:type="pct"/>
            <w:tcBorders>
              <w:tl2br w:val="nil"/>
              <w:tr2bl w:val="nil"/>
            </w:tcBorders>
            <w:shd w:val="clear" w:color="auto" w:fill="auto"/>
            <w:vAlign w:val="center"/>
          </w:tcPr>
          <w:p w14:paraId="4C0E2C19">
            <w:pPr>
              <w:pStyle w:val="714"/>
              <w:rPr>
                <w:rFonts w:eastAsia="等线"/>
                <w:b/>
                <w:bCs/>
                <w:color w:val="auto"/>
                <w:shd w:val="clear" w:color="auto" w:fill="auto"/>
              </w:rPr>
            </w:pPr>
            <w:r>
              <w:rPr>
                <w:rFonts w:hint="eastAsia"/>
                <w:b/>
                <w:bCs/>
                <w:color w:val="auto"/>
                <w:shd w:val="clear" w:color="auto" w:fill="auto"/>
              </w:rPr>
              <w:t>计算值</w:t>
            </w:r>
          </w:p>
        </w:tc>
        <w:tc>
          <w:tcPr>
            <w:tcW w:w="714" w:type="pct"/>
            <w:tcBorders>
              <w:tl2br w:val="nil"/>
              <w:tr2bl w:val="nil"/>
            </w:tcBorders>
            <w:shd w:val="clear" w:color="auto" w:fill="auto"/>
            <w:vAlign w:val="center"/>
          </w:tcPr>
          <w:p w14:paraId="5173D5EC">
            <w:pPr>
              <w:pStyle w:val="714"/>
              <w:rPr>
                <w:rFonts w:eastAsia="等线"/>
                <w:b/>
                <w:bCs/>
                <w:color w:val="auto"/>
                <w:shd w:val="clear" w:color="auto" w:fill="auto"/>
              </w:rPr>
            </w:pPr>
            <w:r>
              <w:rPr>
                <w:rFonts w:hint="eastAsia"/>
                <w:b/>
                <w:bCs/>
                <w:color w:val="auto"/>
                <w:shd w:val="clear" w:color="auto" w:fill="auto"/>
              </w:rPr>
              <w:t>叠加值</w:t>
            </w:r>
          </w:p>
        </w:tc>
      </w:tr>
      <w:tr w14:paraId="33C297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17D5D125">
            <w:pPr>
              <w:pStyle w:val="714"/>
              <w:rPr>
                <w:rFonts w:eastAsia="等线"/>
                <w:color w:val="auto"/>
                <w:shd w:val="clear" w:color="auto" w:fill="auto"/>
              </w:rPr>
            </w:pPr>
            <w:r>
              <w:rPr>
                <w:rFonts w:eastAsia="等线"/>
                <w:color w:val="auto"/>
                <w:shd w:val="clear" w:color="auto" w:fill="auto"/>
              </w:rPr>
              <w:t xml:space="preserve">37 </w:t>
            </w:r>
          </w:p>
        </w:tc>
        <w:tc>
          <w:tcPr>
            <w:tcW w:w="713" w:type="pct"/>
            <w:tcBorders>
              <w:tl2br w:val="nil"/>
              <w:tr2bl w:val="nil"/>
            </w:tcBorders>
            <w:shd w:val="clear" w:color="auto" w:fill="auto"/>
            <w:vAlign w:val="center"/>
          </w:tcPr>
          <w:p w14:paraId="44DDBB9E">
            <w:pPr>
              <w:pStyle w:val="714"/>
              <w:rPr>
                <w:rFonts w:eastAsia="等线"/>
                <w:color w:val="auto"/>
                <w:shd w:val="clear" w:color="auto" w:fill="auto"/>
              </w:rPr>
            </w:pPr>
            <w:r>
              <w:rPr>
                <w:rFonts w:eastAsia="等线"/>
                <w:color w:val="auto"/>
                <w:shd w:val="clear" w:color="auto" w:fill="auto"/>
              </w:rPr>
              <w:t>17.56</w:t>
            </w:r>
          </w:p>
        </w:tc>
        <w:tc>
          <w:tcPr>
            <w:tcW w:w="714" w:type="pct"/>
            <w:tcBorders>
              <w:tl2br w:val="nil"/>
              <w:tr2bl w:val="nil"/>
            </w:tcBorders>
            <w:shd w:val="clear" w:color="auto" w:fill="auto"/>
            <w:vAlign w:val="center"/>
          </w:tcPr>
          <w:p w14:paraId="6E81121E">
            <w:pPr>
              <w:pStyle w:val="714"/>
              <w:rPr>
                <w:rFonts w:eastAsia="等线"/>
                <w:color w:val="auto"/>
                <w:shd w:val="clear" w:color="auto" w:fill="auto"/>
              </w:rPr>
            </w:pPr>
            <w:r>
              <w:rPr>
                <w:rFonts w:eastAsia="等线"/>
                <w:color w:val="auto"/>
                <w:shd w:val="clear" w:color="auto" w:fill="auto"/>
              </w:rPr>
              <w:t>17.81</w:t>
            </w:r>
          </w:p>
        </w:tc>
        <w:tc>
          <w:tcPr>
            <w:tcW w:w="713" w:type="pct"/>
            <w:tcBorders>
              <w:tl2br w:val="nil"/>
              <w:tr2bl w:val="nil"/>
            </w:tcBorders>
            <w:shd w:val="clear" w:color="auto" w:fill="auto"/>
            <w:vAlign w:val="center"/>
          </w:tcPr>
          <w:p w14:paraId="0174A006">
            <w:pPr>
              <w:pStyle w:val="714"/>
              <w:rPr>
                <w:rFonts w:eastAsia="等线"/>
                <w:color w:val="auto"/>
                <w:shd w:val="clear" w:color="auto" w:fill="auto"/>
              </w:rPr>
            </w:pPr>
            <w:r>
              <w:rPr>
                <w:rFonts w:eastAsia="等线"/>
                <w:color w:val="auto"/>
                <w:shd w:val="clear" w:color="auto" w:fill="auto"/>
              </w:rPr>
              <w:t>0.756</w:t>
            </w:r>
          </w:p>
        </w:tc>
        <w:tc>
          <w:tcPr>
            <w:tcW w:w="715" w:type="pct"/>
            <w:tcBorders>
              <w:tl2br w:val="nil"/>
              <w:tr2bl w:val="nil"/>
            </w:tcBorders>
            <w:shd w:val="clear" w:color="auto" w:fill="auto"/>
            <w:vAlign w:val="center"/>
          </w:tcPr>
          <w:p w14:paraId="7FA11201">
            <w:pPr>
              <w:pStyle w:val="714"/>
              <w:rPr>
                <w:rFonts w:eastAsia="等线"/>
                <w:color w:val="auto"/>
                <w:shd w:val="clear" w:color="auto" w:fill="auto"/>
              </w:rPr>
            </w:pPr>
            <w:r>
              <w:rPr>
                <w:rFonts w:eastAsia="等线"/>
                <w:color w:val="auto"/>
                <w:shd w:val="clear" w:color="auto" w:fill="auto"/>
              </w:rPr>
              <w:t>1.006</w:t>
            </w:r>
          </w:p>
        </w:tc>
        <w:tc>
          <w:tcPr>
            <w:tcW w:w="714" w:type="pct"/>
            <w:tcBorders>
              <w:tl2br w:val="nil"/>
              <w:tr2bl w:val="nil"/>
            </w:tcBorders>
            <w:shd w:val="clear" w:color="auto" w:fill="auto"/>
            <w:vAlign w:val="center"/>
          </w:tcPr>
          <w:p w14:paraId="1C670028">
            <w:pPr>
              <w:pStyle w:val="714"/>
              <w:rPr>
                <w:rFonts w:eastAsia="等线"/>
                <w:color w:val="auto"/>
                <w:shd w:val="clear" w:color="auto" w:fill="auto"/>
              </w:rPr>
            </w:pPr>
            <w:r>
              <w:rPr>
                <w:rFonts w:eastAsia="等线"/>
                <w:color w:val="auto"/>
                <w:shd w:val="clear" w:color="auto" w:fill="auto"/>
              </w:rPr>
              <w:t>0.000</w:t>
            </w:r>
          </w:p>
        </w:tc>
        <w:tc>
          <w:tcPr>
            <w:tcW w:w="714" w:type="pct"/>
            <w:tcBorders>
              <w:tl2br w:val="nil"/>
              <w:tr2bl w:val="nil"/>
            </w:tcBorders>
            <w:shd w:val="clear" w:color="auto" w:fill="auto"/>
            <w:vAlign w:val="center"/>
          </w:tcPr>
          <w:p w14:paraId="2A1C278D">
            <w:pPr>
              <w:pStyle w:val="714"/>
              <w:rPr>
                <w:rFonts w:eastAsia="等线"/>
                <w:color w:val="auto"/>
                <w:shd w:val="clear" w:color="auto" w:fill="auto"/>
              </w:rPr>
            </w:pPr>
            <w:r>
              <w:rPr>
                <w:rFonts w:eastAsia="等线"/>
                <w:color w:val="auto"/>
                <w:shd w:val="clear" w:color="auto" w:fill="auto"/>
              </w:rPr>
              <w:t>0.250</w:t>
            </w:r>
          </w:p>
        </w:tc>
      </w:tr>
      <w:tr w14:paraId="5DA373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72A0D17B">
            <w:pPr>
              <w:pStyle w:val="714"/>
              <w:rPr>
                <w:rFonts w:eastAsia="等线"/>
                <w:color w:val="auto"/>
                <w:shd w:val="clear" w:color="auto" w:fill="auto"/>
              </w:rPr>
            </w:pPr>
            <w:r>
              <w:rPr>
                <w:rFonts w:eastAsia="等线"/>
                <w:color w:val="auto"/>
                <w:shd w:val="clear" w:color="auto" w:fill="auto"/>
              </w:rPr>
              <w:t xml:space="preserve">79 </w:t>
            </w:r>
          </w:p>
        </w:tc>
        <w:tc>
          <w:tcPr>
            <w:tcW w:w="713" w:type="pct"/>
            <w:tcBorders>
              <w:tl2br w:val="nil"/>
              <w:tr2bl w:val="nil"/>
            </w:tcBorders>
            <w:shd w:val="clear" w:color="auto" w:fill="auto"/>
            <w:vAlign w:val="center"/>
          </w:tcPr>
          <w:p w14:paraId="615CDC46">
            <w:pPr>
              <w:pStyle w:val="714"/>
              <w:rPr>
                <w:rFonts w:eastAsia="等线"/>
                <w:color w:val="auto"/>
                <w:shd w:val="clear" w:color="auto" w:fill="auto"/>
              </w:rPr>
            </w:pPr>
            <w:r>
              <w:rPr>
                <w:rFonts w:eastAsia="等线"/>
                <w:color w:val="auto"/>
                <w:shd w:val="clear" w:color="auto" w:fill="auto"/>
              </w:rPr>
              <w:t>34.73</w:t>
            </w:r>
          </w:p>
        </w:tc>
        <w:tc>
          <w:tcPr>
            <w:tcW w:w="714" w:type="pct"/>
            <w:tcBorders>
              <w:tl2br w:val="nil"/>
              <w:tr2bl w:val="nil"/>
            </w:tcBorders>
            <w:shd w:val="clear" w:color="auto" w:fill="auto"/>
            <w:vAlign w:val="center"/>
          </w:tcPr>
          <w:p w14:paraId="2ED261A5">
            <w:pPr>
              <w:pStyle w:val="714"/>
              <w:rPr>
                <w:rFonts w:eastAsia="等线"/>
                <w:color w:val="auto"/>
                <w:shd w:val="clear" w:color="auto" w:fill="auto"/>
              </w:rPr>
            </w:pPr>
            <w:r>
              <w:rPr>
                <w:rFonts w:eastAsia="等线"/>
                <w:color w:val="auto"/>
                <w:shd w:val="clear" w:color="auto" w:fill="auto"/>
              </w:rPr>
              <w:t>34.98</w:t>
            </w:r>
          </w:p>
        </w:tc>
        <w:tc>
          <w:tcPr>
            <w:tcW w:w="713" w:type="pct"/>
            <w:tcBorders>
              <w:tl2br w:val="nil"/>
              <w:tr2bl w:val="nil"/>
            </w:tcBorders>
            <w:shd w:val="clear" w:color="auto" w:fill="auto"/>
            <w:vAlign w:val="center"/>
          </w:tcPr>
          <w:p w14:paraId="6786BF3B">
            <w:pPr>
              <w:pStyle w:val="714"/>
              <w:rPr>
                <w:rFonts w:eastAsia="等线"/>
                <w:color w:val="auto"/>
                <w:shd w:val="clear" w:color="auto" w:fill="auto"/>
              </w:rPr>
            </w:pPr>
            <w:r>
              <w:rPr>
                <w:rFonts w:eastAsia="等线"/>
                <w:color w:val="auto"/>
                <w:shd w:val="clear" w:color="auto" w:fill="auto"/>
              </w:rPr>
              <w:t>3.058</w:t>
            </w:r>
          </w:p>
        </w:tc>
        <w:tc>
          <w:tcPr>
            <w:tcW w:w="715" w:type="pct"/>
            <w:tcBorders>
              <w:tl2br w:val="nil"/>
              <w:tr2bl w:val="nil"/>
            </w:tcBorders>
            <w:shd w:val="clear" w:color="auto" w:fill="auto"/>
            <w:vAlign w:val="center"/>
          </w:tcPr>
          <w:p w14:paraId="16740C4E">
            <w:pPr>
              <w:pStyle w:val="714"/>
              <w:rPr>
                <w:rFonts w:eastAsia="等线"/>
                <w:color w:val="auto"/>
                <w:shd w:val="clear" w:color="auto" w:fill="auto"/>
              </w:rPr>
            </w:pPr>
            <w:r>
              <w:rPr>
                <w:rFonts w:eastAsia="等线"/>
                <w:color w:val="auto"/>
                <w:shd w:val="clear" w:color="auto" w:fill="auto"/>
              </w:rPr>
              <w:t>3.308</w:t>
            </w:r>
          </w:p>
        </w:tc>
        <w:tc>
          <w:tcPr>
            <w:tcW w:w="714" w:type="pct"/>
            <w:tcBorders>
              <w:tl2br w:val="nil"/>
              <w:tr2bl w:val="nil"/>
            </w:tcBorders>
            <w:shd w:val="clear" w:color="auto" w:fill="auto"/>
            <w:vAlign w:val="center"/>
          </w:tcPr>
          <w:p w14:paraId="4484ABC3">
            <w:pPr>
              <w:pStyle w:val="714"/>
              <w:rPr>
                <w:rFonts w:eastAsia="等线"/>
                <w:color w:val="auto"/>
                <w:shd w:val="clear" w:color="auto" w:fill="auto"/>
              </w:rPr>
            </w:pPr>
            <w:r>
              <w:rPr>
                <w:rFonts w:eastAsia="等线"/>
                <w:color w:val="auto"/>
                <w:shd w:val="clear" w:color="auto" w:fill="auto"/>
              </w:rPr>
              <w:t>0.000</w:t>
            </w:r>
          </w:p>
        </w:tc>
        <w:tc>
          <w:tcPr>
            <w:tcW w:w="714" w:type="pct"/>
            <w:tcBorders>
              <w:tl2br w:val="nil"/>
              <w:tr2bl w:val="nil"/>
            </w:tcBorders>
            <w:shd w:val="clear" w:color="auto" w:fill="auto"/>
            <w:vAlign w:val="center"/>
          </w:tcPr>
          <w:p w14:paraId="7D85E42A">
            <w:pPr>
              <w:pStyle w:val="714"/>
              <w:rPr>
                <w:rFonts w:eastAsia="等线"/>
                <w:color w:val="auto"/>
                <w:shd w:val="clear" w:color="auto" w:fill="auto"/>
              </w:rPr>
            </w:pPr>
            <w:r>
              <w:rPr>
                <w:rFonts w:eastAsia="等线"/>
                <w:color w:val="auto"/>
                <w:shd w:val="clear" w:color="auto" w:fill="auto"/>
              </w:rPr>
              <w:t>0.250</w:t>
            </w:r>
          </w:p>
        </w:tc>
      </w:tr>
      <w:tr w14:paraId="38FD31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0CB1D258">
            <w:pPr>
              <w:pStyle w:val="714"/>
              <w:rPr>
                <w:rFonts w:eastAsia="等线"/>
                <w:color w:val="auto"/>
                <w:shd w:val="clear" w:color="auto" w:fill="auto"/>
              </w:rPr>
            </w:pPr>
            <w:r>
              <w:rPr>
                <w:rFonts w:eastAsia="等线"/>
                <w:color w:val="auto"/>
                <w:shd w:val="clear" w:color="auto" w:fill="auto"/>
              </w:rPr>
              <w:t xml:space="preserve">90 </w:t>
            </w:r>
          </w:p>
        </w:tc>
        <w:tc>
          <w:tcPr>
            <w:tcW w:w="713" w:type="pct"/>
            <w:tcBorders>
              <w:tl2br w:val="nil"/>
              <w:tr2bl w:val="nil"/>
            </w:tcBorders>
            <w:shd w:val="clear" w:color="auto" w:fill="auto"/>
            <w:vAlign w:val="center"/>
          </w:tcPr>
          <w:p w14:paraId="324A8EF6">
            <w:pPr>
              <w:pStyle w:val="714"/>
              <w:rPr>
                <w:rFonts w:eastAsia="等线"/>
                <w:color w:val="auto"/>
                <w:shd w:val="clear" w:color="auto" w:fill="auto"/>
              </w:rPr>
            </w:pPr>
            <w:r>
              <w:rPr>
                <w:rFonts w:eastAsia="等线"/>
                <w:color w:val="auto"/>
                <w:shd w:val="clear" w:color="auto" w:fill="auto"/>
              </w:rPr>
              <w:t>39.32</w:t>
            </w:r>
          </w:p>
        </w:tc>
        <w:tc>
          <w:tcPr>
            <w:tcW w:w="714" w:type="pct"/>
            <w:tcBorders>
              <w:tl2br w:val="nil"/>
              <w:tr2bl w:val="nil"/>
            </w:tcBorders>
            <w:shd w:val="clear" w:color="auto" w:fill="auto"/>
            <w:vAlign w:val="center"/>
          </w:tcPr>
          <w:p w14:paraId="5594062B">
            <w:pPr>
              <w:pStyle w:val="714"/>
              <w:rPr>
                <w:rFonts w:eastAsia="等线"/>
                <w:color w:val="auto"/>
                <w:shd w:val="clear" w:color="auto" w:fill="auto"/>
              </w:rPr>
            </w:pPr>
            <w:r>
              <w:rPr>
                <w:rFonts w:eastAsia="等线"/>
                <w:color w:val="auto"/>
                <w:shd w:val="clear" w:color="auto" w:fill="auto"/>
              </w:rPr>
              <w:t>39.57</w:t>
            </w:r>
          </w:p>
        </w:tc>
        <w:tc>
          <w:tcPr>
            <w:tcW w:w="713" w:type="pct"/>
            <w:tcBorders>
              <w:tl2br w:val="nil"/>
              <w:tr2bl w:val="nil"/>
            </w:tcBorders>
            <w:shd w:val="clear" w:color="auto" w:fill="auto"/>
            <w:vAlign w:val="center"/>
          </w:tcPr>
          <w:p w14:paraId="0D410B97">
            <w:pPr>
              <w:pStyle w:val="714"/>
              <w:rPr>
                <w:rFonts w:eastAsia="等线"/>
                <w:color w:val="auto"/>
                <w:shd w:val="clear" w:color="auto" w:fill="auto"/>
              </w:rPr>
            </w:pPr>
            <w:r>
              <w:rPr>
                <w:rFonts w:eastAsia="等线"/>
                <w:color w:val="auto"/>
                <w:shd w:val="clear" w:color="auto" w:fill="auto"/>
              </w:rPr>
              <w:t>3.864</w:t>
            </w:r>
          </w:p>
        </w:tc>
        <w:tc>
          <w:tcPr>
            <w:tcW w:w="715" w:type="pct"/>
            <w:tcBorders>
              <w:tl2br w:val="nil"/>
              <w:tr2bl w:val="nil"/>
            </w:tcBorders>
            <w:shd w:val="clear" w:color="auto" w:fill="auto"/>
            <w:vAlign w:val="center"/>
          </w:tcPr>
          <w:p w14:paraId="02E80D61">
            <w:pPr>
              <w:pStyle w:val="714"/>
              <w:rPr>
                <w:rFonts w:eastAsia="等线"/>
                <w:color w:val="auto"/>
                <w:shd w:val="clear" w:color="auto" w:fill="auto"/>
              </w:rPr>
            </w:pPr>
            <w:r>
              <w:rPr>
                <w:rFonts w:eastAsia="等线"/>
                <w:color w:val="auto"/>
                <w:shd w:val="clear" w:color="auto" w:fill="auto"/>
              </w:rPr>
              <w:t>4.114</w:t>
            </w:r>
          </w:p>
        </w:tc>
        <w:tc>
          <w:tcPr>
            <w:tcW w:w="714" w:type="pct"/>
            <w:tcBorders>
              <w:tl2br w:val="nil"/>
              <w:tr2bl w:val="nil"/>
            </w:tcBorders>
            <w:shd w:val="clear" w:color="auto" w:fill="auto"/>
            <w:vAlign w:val="center"/>
          </w:tcPr>
          <w:p w14:paraId="3841A125">
            <w:pPr>
              <w:pStyle w:val="714"/>
              <w:rPr>
                <w:rFonts w:eastAsia="等线"/>
                <w:color w:val="auto"/>
                <w:shd w:val="clear" w:color="auto" w:fill="auto"/>
              </w:rPr>
            </w:pPr>
            <w:r>
              <w:rPr>
                <w:rFonts w:eastAsia="等线"/>
                <w:color w:val="auto"/>
                <w:shd w:val="clear" w:color="auto" w:fill="auto"/>
              </w:rPr>
              <w:t>0.000</w:t>
            </w:r>
          </w:p>
        </w:tc>
        <w:tc>
          <w:tcPr>
            <w:tcW w:w="714" w:type="pct"/>
            <w:tcBorders>
              <w:tl2br w:val="nil"/>
              <w:tr2bl w:val="nil"/>
            </w:tcBorders>
            <w:shd w:val="clear" w:color="auto" w:fill="auto"/>
            <w:vAlign w:val="center"/>
          </w:tcPr>
          <w:p w14:paraId="318BB690">
            <w:pPr>
              <w:pStyle w:val="714"/>
              <w:rPr>
                <w:rFonts w:eastAsia="等线"/>
                <w:color w:val="auto"/>
                <w:shd w:val="clear" w:color="auto" w:fill="auto"/>
              </w:rPr>
            </w:pPr>
            <w:r>
              <w:rPr>
                <w:rFonts w:eastAsia="等线"/>
                <w:color w:val="auto"/>
                <w:shd w:val="clear" w:color="auto" w:fill="auto"/>
              </w:rPr>
              <w:t>0.250</w:t>
            </w:r>
          </w:p>
        </w:tc>
      </w:tr>
      <w:tr w14:paraId="2327F1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3FD3C7CC">
            <w:pPr>
              <w:pStyle w:val="714"/>
              <w:rPr>
                <w:rFonts w:eastAsia="等线"/>
                <w:color w:val="auto"/>
                <w:shd w:val="clear" w:color="auto" w:fill="auto"/>
              </w:rPr>
            </w:pPr>
            <w:r>
              <w:rPr>
                <w:rFonts w:eastAsia="等线"/>
                <w:color w:val="auto"/>
                <w:shd w:val="clear" w:color="auto" w:fill="auto"/>
              </w:rPr>
              <w:t xml:space="preserve">100 </w:t>
            </w:r>
          </w:p>
        </w:tc>
        <w:tc>
          <w:tcPr>
            <w:tcW w:w="713" w:type="pct"/>
            <w:tcBorders>
              <w:tl2br w:val="nil"/>
              <w:tr2bl w:val="nil"/>
            </w:tcBorders>
            <w:shd w:val="clear" w:color="auto" w:fill="auto"/>
            <w:vAlign w:val="center"/>
          </w:tcPr>
          <w:p w14:paraId="7708D623">
            <w:pPr>
              <w:pStyle w:val="714"/>
              <w:rPr>
                <w:rFonts w:eastAsia="等线"/>
                <w:color w:val="auto"/>
                <w:shd w:val="clear" w:color="auto" w:fill="auto"/>
              </w:rPr>
            </w:pPr>
            <w:r>
              <w:rPr>
                <w:rFonts w:eastAsia="等线"/>
                <w:color w:val="auto"/>
                <w:shd w:val="clear" w:color="auto" w:fill="auto"/>
              </w:rPr>
              <w:t>38.14</w:t>
            </w:r>
          </w:p>
        </w:tc>
        <w:tc>
          <w:tcPr>
            <w:tcW w:w="714" w:type="pct"/>
            <w:tcBorders>
              <w:tl2br w:val="nil"/>
              <w:tr2bl w:val="nil"/>
            </w:tcBorders>
            <w:shd w:val="clear" w:color="auto" w:fill="auto"/>
            <w:vAlign w:val="center"/>
          </w:tcPr>
          <w:p w14:paraId="384DF6A4">
            <w:pPr>
              <w:pStyle w:val="714"/>
              <w:rPr>
                <w:rFonts w:eastAsia="等线"/>
                <w:color w:val="auto"/>
                <w:shd w:val="clear" w:color="auto" w:fill="auto"/>
              </w:rPr>
            </w:pPr>
            <w:r>
              <w:rPr>
                <w:rFonts w:eastAsia="等线"/>
                <w:color w:val="auto"/>
                <w:shd w:val="clear" w:color="auto" w:fill="auto"/>
              </w:rPr>
              <w:t>38.39</w:t>
            </w:r>
          </w:p>
        </w:tc>
        <w:tc>
          <w:tcPr>
            <w:tcW w:w="713" w:type="pct"/>
            <w:tcBorders>
              <w:tl2br w:val="nil"/>
              <w:tr2bl w:val="nil"/>
            </w:tcBorders>
            <w:shd w:val="clear" w:color="auto" w:fill="auto"/>
            <w:vAlign w:val="center"/>
          </w:tcPr>
          <w:p w14:paraId="6B882463">
            <w:pPr>
              <w:pStyle w:val="714"/>
              <w:rPr>
                <w:rFonts w:eastAsia="等线"/>
                <w:color w:val="auto"/>
                <w:shd w:val="clear" w:color="auto" w:fill="auto"/>
              </w:rPr>
            </w:pPr>
            <w:r>
              <w:rPr>
                <w:rFonts w:eastAsia="等线"/>
                <w:color w:val="auto"/>
                <w:shd w:val="clear" w:color="auto" w:fill="auto"/>
              </w:rPr>
              <w:t>4.625</w:t>
            </w:r>
          </w:p>
        </w:tc>
        <w:tc>
          <w:tcPr>
            <w:tcW w:w="715" w:type="pct"/>
            <w:tcBorders>
              <w:tl2br w:val="nil"/>
              <w:tr2bl w:val="nil"/>
            </w:tcBorders>
            <w:shd w:val="clear" w:color="auto" w:fill="auto"/>
            <w:vAlign w:val="center"/>
          </w:tcPr>
          <w:p w14:paraId="3A05FC5B">
            <w:pPr>
              <w:pStyle w:val="714"/>
              <w:rPr>
                <w:rFonts w:eastAsia="等线"/>
                <w:color w:val="auto"/>
                <w:shd w:val="clear" w:color="auto" w:fill="auto"/>
              </w:rPr>
            </w:pPr>
            <w:r>
              <w:rPr>
                <w:rFonts w:eastAsia="等线"/>
                <w:color w:val="auto"/>
                <w:shd w:val="clear" w:color="auto" w:fill="auto"/>
              </w:rPr>
              <w:t>4.875</w:t>
            </w:r>
          </w:p>
        </w:tc>
        <w:tc>
          <w:tcPr>
            <w:tcW w:w="714" w:type="pct"/>
            <w:tcBorders>
              <w:tl2br w:val="nil"/>
              <w:tr2bl w:val="nil"/>
            </w:tcBorders>
            <w:shd w:val="clear" w:color="auto" w:fill="auto"/>
            <w:vAlign w:val="center"/>
          </w:tcPr>
          <w:p w14:paraId="047B1E17">
            <w:pPr>
              <w:pStyle w:val="714"/>
              <w:rPr>
                <w:rFonts w:eastAsia="等线"/>
                <w:color w:val="auto"/>
                <w:shd w:val="clear" w:color="auto" w:fill="auto"/>
              </w:rPr>
            </w:pPr>
            <w:r>
              <w:rPr>
                <w:rFonts w:eastAsia="等线"/>
                <w:color w:val="auto"/>
                <w:shd w:val="clear" w:color="auto" w:fill="auto"/>
              </w:rPr>
              <w:t>0.000</w:t>
            </w:r>
          </w:p>
        </w:tc>
        <w:tc>
          <w:tcPr>
            <w:tcW w:w="714" w:type="pct"/>
            <w:tcBorders>
              <w:tl2br w:val="nil"/>
              <w:tr2bl w:val="nil"/>
            </w:tcBorders>
            <w:shd w:val="clear" w:color="auto" w:fill="auto"/>
            <w:vAlign w:val="center"/>
          </w:tcPr>
          <w:p w14:paraId="3C9DB2D1">
            <w:pPr>
              <w:pStyle w:val="714"/>
              <w:rPr>
                <w:rFonts w:eastAsia="等线"/>
                <w:color w:val="auto"/>
                <w:shd w:val="clear" w:color="auto" w:fill="auto"/>
              </w:rPr>
            </w:pPr>
            <w:r>
              <w:rPr>
                <w:rFonts w:eastAsia="等线"/>
                <w:color w:val="auto"/>
                <w:shd w:val="clear" w:color="auto" w:fill="auto"/>
              </w:rPr>
              <w:t>0.250</w:t>
            </w:r>
          </w:p>
        </w:tc>
      </w:tr>
      <w:tr w14:paraId="2A7A95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47BBB8A7">
            <w:pPr>
              <w:pStyle w:val="714"/>
              <w:rPr>
                <w:rFonts w:eastAsia="等线"/>
                <w:color w:val="auto"/>
                <w:shd w:val="clear" w:color="auto" w:fill="auto"/>
              </w:rPr>
            </w:pPr>
            <w:r>
              <w:rPr>
                <w:rFonts w:eastAsia="等线"/>
                <w:color w:val="auto"/>
                <w:shd w:val="clear" w:color="auto" w:fill="auto"/>
              </w:rPr>
              <w:t xml:space="preserve">365 </w:t>
            </w:r>
          </w:p>
        </w:tc>
        <w:tc>
          <w:tcPr>
            <w:tcW w:w="713" w:type="pct"/>
            <w:tcBorders>
              <w:tl2br w:val="nil"/>
              <w:tr2bl w:val="nil"/>
            </w:tcBorders>
            <w:shd w:val="clear" w:color="auto" w:fill="auto"/>
            <w:vAlign w:val="center"/>
          </w:tcPr>
          <w:p w14:paraId="65DB24DA">
            <w:pPr>
              <w:pStyle w:val="714"/>
              <w:rPr>
                <w:rFonts w:eastAsia="等线"/>
                <w:color w:val="auto"/>
                <w:shd w:val="clear" w:color="auto" w:fill="auto"/>
              </w:rPr>
            </w:pPr>
            <w:r>
              <w:rPr>
                <w:rFonts w:eastAsia="等线"/>
                <w:color w:val="auto"/>
                <w:shd w:val="clear" w:color="auto" w:fill="auto"/>
              </w:rPr>
              <w:t>19.65</w:t>
            </w:r>
          </w:p>
        </w:tc>
        <w:tc>
          <w:tcPr>
            <w:tcW w:w="714" w:type="pct"/>
            <w:tcBorders>
              <w:tl2br w:val="nil"/>
              <w:tr2bl w:val="nil"/>
            </w:tcBorders>
            <w:shd w:val="clear" w:color="auto" w:fill="auto"/>
            <w:vAlign w:val="center"/>
          </w:tcPr>
          <w:p w14:paraId="1362B365">
            <w:pPr>
              <w:pStyle w:val="714"/>
              <w:rPr>
                <w:rFonts w:eastAsia="等线"/>
                <w:color w:val="auto"/>
                <w:shd w:val="clear" w:color="auto" w:fill="auto"/>
              </w:rPr>
            </w:pPr>
            <w:r>
              <w:rPr>
                <w:rFonts w:eastAsia="等线"/>
                <w:color w:val="auto"/>
                <w:shd w:val="clear" w:color="auto" w:fill="auto"/>
              </w:rPr>
              <w:t>19.90</w:t>
            </w:r>
          </w:p>
        </w:tc>
        <w:tc>
          <w:tcPr>
            <w:tcW w:w="713" w:type="pct"/>
            <w:tcBorders>
              <w:tl2br w:val="nil"/>
              <w:tr2bl w:val="nil"/>
            </w:tcBorders>
            <w:shd w:val="clear" w:color="auto" w:fill="auto"/>
            <w:vAlign w:val="center"/>
          </w:tcPr>
          <w:p w14:paraId="76595014">
            <w:pPr>
              <w:pStyle w:val="714"/>
              <w:rPr>
                <w:rFonts w:eastAsia="等线"/>
                <w:color w:val="auto"/>
                <w:shd w:val="clear" w:color="auto" w:fill="auto"/>
              </w:rPr>
            </w:pPr>
            <w:r>
              <w:rPr>
                <w:rFonts w:eastAsia="等线"/>
                <w:color w:val="auto"/>
                <w:shd w:val="clear" w:color="auto" w:fill="auto"/>
              </w:rPr>
              <w:t>11.30</w:t>
            </w:r>
          </w:p>
        </w:tc>
        <w:tc>
          <w:tcPr>
            <w:tcW w:w="715" w:type="pct"/>
            <w:tcBorders>
              <w:tl2br w:val="nil"/>
              <w:tr2bl w:val="nil"/>
            </w:tcBorders>
            <w:shd w:val="clear" w:color="auto" w:fill="auto"/>
            <w:vAlign w:val="center"/>
          </w:tcPr>
          <w:p w14:paraId="49EB9192">
            <w:pPr>
              <w:pStyle w:val="714"/>
              <w:rPr>
                <w:rFonts w:eastAsia="等线"/>
                <w:color w:val="auto"/>
                <w:shd w:val="clear" w:color="auto" w:fill="auto"/>
              </w:rPr>
            </w:pPr>
            <w:r>
              <w:rPr>
                <w:rFonts w:eastAsia="等线"/>
                <w:color w:val="auto"/>
                <w:shd w:val="clear" w:color="auto" w:fill="auto"/>
              </w:rPr>
              <w:t>11.55</w:t>
            </w:r>
          </w:p>
        </w:tc>
        <w:tc>
          <w:tcPr>
            <w:tcW w:w="714" w:type="pct"/>
            <w:tcBorders>
              <w:tl2br w:val="nil"/>
              <w:tr2bl w:val="nil"/>
            </w:tcBorders>
            <w:shd w:val="clear" w:color="auto" w:fill="auto"/>
            <w:vAlign w:val="center"/>
          </w:tcPr>
          <w:p w14:paraId="2AD1506F">
            <w:pPr>
              <w:pStyle w:val="714"/>
              <w:rPr>
                <w:rFonts w:eastAsia="等线"/>
                <w:color w:val="auto"/>
                <w:shd w:val="clear" w:color="auto" w:fill="auto"/>
              </w:rPr>
            </w:pPr>
            <w:r>
              <w:rPr>
                <w:rFonts w:eastAsia="等线"/>
                <w:color w:val="auto"/>
                <w:shd w:val="clear" w:color="auto" w:fill="auto"/>
              </w:rPr>
              <w:t>0.055</w:t>
            </w:r>
          </w:p>
        </w:tc>
        <w:tc>
          <w:tcPr>
            <w:tcW w:w="714" w:type="pct"/>
            <w:tcBorders>
              <w:tl2br w:val="nil"/>
              <w:tr2bl w:val="nil"/>
            </w:tcBorders>
            <w:shd w:val="clear" w:color="auto" w:fill="auto"/>
            <w:vAlign w:val="center"/>
          </w:tcPr>
          <w:p w14:paraId="4ACF5898">
            <w:pPr>
              <w:pStyle w:val="714"/>
              <w:rPr>
                <w:rFonts w:eastAsia="等线"/>
                <w:color w:val="auto"/>
                <w:shd w:val="clear" w:color="auto" w:fill="auto"/>
              </w:rPr>
            </w:pPr>
            <w:r>
              <w:rPr>
                <w:rFonts w:eastAsia="等线"/>
                <w:color w:val="auto"/>
                <w:shd w:val="clear" w:color="auto" w:fill="auto"/>
              </w:rPr>
              <w:t>0.305</w:t>
            </w:r>
          </w:p>
        </w:tc>
      </w:tr>
      <w:tr w14:paraId="2AD2F0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5D303CE1">
            <w:pPr>
              <w:pStyle w:val="714"/>
              <w:rPr>
                <w:rFonts w:eastAsia="等线"/>
                <w:color w:val="auto"/>
                <w:shd w:val="clear" w:color="auto" w:fill="auto"/>
              </w:rPr>
            </w:pPr>
            <w:r>
              <w:rPr>
                <w:rFonts w:eastAsia="等线"/>
                <w:color w:val="auto"/>
                <w:shd w:val="clear" w:color="auto" w:fill="auto"/>
              </w:rPr>
              <w:t xml:space="preserve">730 </w:t>
            </w:r>
          </w:p>
        </w:tc>
        <w:tc>
          <w:tcPr>
            <w:tcW w:w="713" w:type="pct"/>
            <w:tcBorders>
              <w:tl2br w:val="nil"/>
              <w:tr2bl w:val="nil"/>
            </w:tcBorders>
            <w:shd w:val="clear" w:color="auto" w:fill="auto"/>
            <w:vAlign w:val="center"/>
          </w:tcPr>
          <w:p w14:paraId="2C471DA3">
            <w:pPr>
              <w:pStyle w:val="714"/>
              <w:rPr>
                <w:rFonts w:eastAsia="等线"/>
                <w:color w:val="auto"/>
                <w:shd w:val="clear" w:color="auto" w:fill="auto"/>
              </w:rPr>
            </w:pPr>
            <w:r>
              <w:rPr>
                <w:rFonts w:eastAsia="等线"/>
                <w:color w:val="auto"/>
                <w:shd w:val="clear" w:color="auto" w:fill="auto"/>
              </w:rPr>
              <w:t>12.69</w:t>
            </w:r>
          </w:p>
        </w:tc>
        <w:tc>
          <w:tcPr>
            <w:tcW w:w="714" w:type="pct"/>
            <w:tcBorders>
              <w:tl2br w:val="nil"/>
              <w:tr2bl w:val="nil"/>
            </w:tcBorders>
            <w:shd w:val="clear" w:color="auto" w:fill="auto"/>
            <w:vAlign w:val="center"/>
          </w:tcPr>
          <w:p w14:paraId="5B6456F7">
            <w:pPr>
              <w:pStyle w:val="714"/>
              <w:rPr>
                <w:rFonts w:eastAsia="等线"/>
                <w:color w:val="auto"/>
                <w:shd w:val="clear" w:color="auto" w:fill="auto"/>
              </w:rPr>
            </w:pPr>
            <w:r>
              <w:rPr>
                <w:rFonts w:eastAsia="等线"/>
                <w:color w:val="auto"/>
                <w:shd w:val="clear" w:color="auto" w:fill="auto"/>
              </w:rPr>
              <w:t>12.94</w:t>
            </w:r>
          </w:p>
        </w:tc>
        <w:tc>
          <w:tcPr>
            <w:tcW w:w="713" w:type="pct"/>
            <w:tcBorders>
              <w:tl2br w:val="nil"/>
              <w:tr2bl w:val="nil"/>
            </w:tcBorders>
            <w:shd w:val="clear" w:color="auto" w:fill="auto"/>
            <w:vAlign w:val="center"/>
          </w:tcPr>
          <w:p w14:paraId="57B384EE">
            <w:pPr>
              <w:pStyle w:val="714"/>
              <w:rPr>
                <w:rFonts w:eastAsia="等线"/>
                <w:color w:val="auto"/>
                <w:shd w:val="clear" w:color="auto" w:fill="auto"/>
              </w:rPr>
            </w:pPr>
            <w:r>
              <w:rPr>
                <w:rFonts w:eastAsia="等线"/>
                <w:color w:val="auto"/>
                <w:shd w:val="clear" w:color="auto" w:fill="auto"/>
              </w:rPr>
              <w:t>12.35</w:t>
            </w:r>
          </w:p>
        </w:tc>
        <w:tc>
          <w:tcPr>
            <w:tcW w:w="715" w:type="pct"/>
            <w:tcBorders>
              <w:tl2br w:val="nil"/>
              <w:tr2bl w:val="nil"/>
            </w:tcBorders>
            <w:shd w:val="clear" w:color="auto" w:fill="auto"/>
            <w:vAlign w:val="center"/>
          </w:tcPr>
          <w:p w14:paraId="56B7D21E">
            <w:pPr>
              <w:pStyle w:val="714"/>
              <w:rPr>
                <w:rFonts w:eastAsia="等线"/>
                <w:color w:val="auto"/>
                <w:shd w:val="clear" w:color="auto" w:fill="auto"/>
              </w:rPr>
            </w:pPr>
            <w:r>
              <w:rPr>
                <w:rFonts w:eastAsia="等线"/>
                <w:color w:val="auto"/>
                <w:shd w:val="clear" w:color="auto" w:fill="auto"/>
              </w:rPr>
              <w:t>12.60</w:t>
            </w:r>
          </w:p>
        </w:tc>
        <w:tc>
          <w:tcPr>
            <w:tcW w:w="714" w:type="pct"/>
            <w:tcBorders>
              <w:tl2br w:val="nil"/>
              <w:tr2bl w:val="nil"/>
            </w:tcBorders>
            <w:shd w:val="clear" w:color="auto" w:fill="auto"/>
            <w:vAlign w:val="center"/>
          </w:tcPr>
          <w:p w14:paraId="031E38B7">
            <w:pPr>
              <w:pStyle w:val="714"/>
              <w:rPr>
                <w:rFonts w:eastAsia="等线"/>
                <w:color w:val="auto"/>
                <w:shd w:val="clear" w:color="auto" w:fill="auto"/>
              </w:rPr>
            </w:pPr>
            <w:r>
              <w:rPr>
                <w:rFonts w:eastAsia="等线"/>
                <w:color w:val="auto"/>
                <w:shd w:val="clear" w:color="auto" w:fill="auto"/>
              </w:rPr>
              <w:t>0.636</w:t>
            </w:r>
          </w:p>
        </w:tc>
        <w:tc>
          <w:tcPr>
            <w:tcW w:w="714" w:type="pct"/>
            <w:tcBorders>
              <w:tl2br w:val="nil"/>
              <w:tr2bl w:val="nil"/>
            </w:tcBorders>
            <w:shd w:val="clear" w:color="auto" w:fill="auto"/>
            <w:vAlign w:val="center"/>
          </w:tcPr>
          <w:p w14:paraId="40F460FC">
            <w:pPr>
              <w:pStyle w:val="714"/>
              <w:rPr>
                <w:rFonts w:eastAsia="等线"/>
                <w:color w:val="auto"/>
                <w:shd w:val="clear" w:color="auto" w:fill="auto"/>
              </w:rPr>
            </w:pPr>
            <w:r>
              <w:rPr>
                <w:rFonts w:eastAsia="等线"/>
                <w:color w:val="auto"/>
                <w:shd w:val="clear" w:color="auto" w:fill="auto"/>
              </w:rPr>
              <w:t>0.886</w:t>
            </w:r>
          </w:p>
        </w:tc>
      </w:tr>
      <w:tr w14:paraId="657A3B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6E42A14A">
            <w:pPr>
              <w:pStyle w:val="714"/>
              <w:rPr>
                <w:rFonts w:eastAsia="等线"/>
                <w:color w:val="auto"/>
                <w:shd w:val="clear" w:color="auto" w:fill="auto"/>
              </w:rPr>
            </w:pPr>
            <w:r>
              <w:rPr>
                <w:rFonts w:eastAsia="等线"/>
                <w:color w:val="auto"/>
                <w:shd w:val="clear" w:color="auto" w:fill="auto"/>
              </w:rPr>
              <w:t xml:space="preserve">1000 </w:t>
            </w:r>
          </w:p>
        </w:tc>
        <w:tc>
          <w:tcPr>
            <w:tcW w:w="713" w:type="pct"/>
            <w:tcBorders>
              <w:tl2br w:val="nil"/>
              <w:tr2bl w:val="nil"/>
            </w:tcBorders>
            <w:shd w:val="clear" w:color="auto" w:fill="auto"/>
            <w:vAlign w:val="center"/>
          </w:tcPr>
          <w:p w14:paraId="19D0BD26">
            <w:pPr>
              <w:pStyle w:val="714"/>
              <w:rPr>
                <w:rFonts w:eastAsia="等线"/>
                <w:color w:val="auto"/>
                <w:shd w:val="clear" w:color="auto" w:fill="auto"/>
              </w:rPr>
            </w:pPr>
            <w:r>
              <w:rPr>
                <w:rFonts w:eastAsia="等线"/>
                <w:color w:val="auto"/>
                <w:shd w:val="clear" w:color="auto" w:fill="auto"/>
              </w:rPr>
              <w:t>9.506</w:t>
            </w:r>
          </w:p>
        </w:tc>
        <w:tc>
          <w:tcPr>
            <w:tcW w:w="714" w:type="pct"/>
            <w:tcBorders>
              <w:tl2br w:val="nil"/>
              <w:tr2bl w:val="nil"/>
            </w:tcBorders>
            <w:shd w:val="clear" w:color="auto" w:fill="auto"/>
            <w:vAlign w:val="center"/>
          </w:tcPr>
          <w:p w14:paraId="6A9611EF">
            <w:pPr>
              <w:pStyle w:val="714"/>
              <w:rPr>
                <w:rFonts w:eastAsia="等线"/>
                <w:color w:val="auto"/>
                <w:shd w:val="clear" w:color="auto" w:fill="auto"/>
              </w:rPr>
            </w:pPr>
            <w:r>
              <w:rPr>
                <w:rFonts w:eastAsia="等线"/>
                <w:color w:val="auto"/>
                <w:shd w:val="clear" w:color="auto" w:fill="auto"/>
              </w:rPr>
              <w:t>9.756</w:t>
            </w:r>
          </w:p>
        </w:tc>
        <w:tc>
          <w:tcPr>
            <w:tcW w:w="713" w:type="pct"/>
            <w:tcBorders>
              <w:tl2br w:val="nil"/>
              <w:tr2bl w:val="nil"/>
            </w:tcBorders>
            <w:shd w:val="clear" w:color="auto" w:fill="auto"/>
            <w:vAlign w:val="center"/>
          </w:tcPr>
          <w:p w14:paraId="5FEE699E">
            <w:pPr>
              <w:pStyle w:val="714"/>
              <w:rPr>
                <w:rFonts w:eastAsia="等线"/>
                <w:color w:val="auto"/>
                <w:shd w:val="clear" w:color="auto" w:fill="auto"/>
              </w:rPr>
            </w:pPr>
            <w:r>
              <w:rPr>
                <w:rFonts w:eastAsia="等线"/>
                <w:color w:val="auto"/>
                <w:shd w:val="clear" w:color="auto" w:fill="auto"/>
              </w:rPr>
              <w:t>11.91</w:t>
            </w:r>
          </w:p>
        </w:tc>
        <w:tc>
          <w:tcPr>
            <w:tcW w:w="715" w:type="pct"/>
            <w:tcBorders>
              <w:tl2br w:val="nil"/>
              <w:tr2bl w:val="nil"/>
            </w:tcBorders>
            <w:shd w:val="clear" w:color="auto" w:fill="auto"/>
            <w:vAlign w:val="center"/>
          </w:tcPr>
          <w:p w14:paraId="23D167B1">
            <w:pPr>
              <w:pStyle w:val="714"/>
              <w:rPr>
                <w:rFonts w:eastAsia="等线"/>
                <w:color w:val="auto"/>
                <w:shd w:val="clear" w:color="auto" w:fill="auto"/>
              </w:rPr>
            </w:pPr>
            <w:r>
              <w:rPr>
                <w:rFonts w:eastAsia="等线"/>
                <w:color w:val="auto"/>
                <w:shd w:val="clear" w:color="auto" w:fill="auto"/>
              </w:rPr>
              <w:t>12.16</w:t>
            </w:r>
          </w:p>
        </w:tc>
        <w:tc>
          <w:tcPr>
            <w:tcW w:w="714" w:type="pct"/>
            <w:tcBorders>
              <w:tl2br w:val="nil"/>
              <w:tr2bl w:val="nil"/>
            </w:tcBorders>
            <w:shd w:val="clear" w:color="auto" w:fill="auto"/>
            <w:vAlign w:val="center"/>
          </w:tcPr>
          <w:p w14:paraId="65AFF5D7">
            <w:pPr>
              <w:pStyle w:val="714"/>
              <w:rPr>
                <w:rFonts w:eastAsia="等线"/>
                <w:color w:val="auto"/>
                <w:shd w:val="clear" w:color="auto" w:fill="auto"/>
              </w:rPr>
            </w:pPr>
            <w:r>
              <w:rPr>
                <w:rFonts w:eastAsia="等线"/>
                <w:color w:val="auto"/>
                <w:shd w:val="clear" w:color="auto" w:fill="auto"/>
              </w:rPr>
              <w:t>1.190</w:t>
            </w:r>
          </w:p>
        </w:tc>
        <w:tc>
          <w:tcPr>
            <w:tcW w:w="714" w:type="pct"/>
            <w:tcBorders>
              <w:tl2br w:val="nil"/>
              <w:tr2bl w:val="nil"/>
            </w:tcBorders>
            <w:shd w:val="clear" w:color="auto" w:fill="auto"/>
            <w:vAlign w:val="center"/>
          </w:tcPr>
          <w:p w14:paraId="6D2CD1F5">
            <w:pPr>
              <w:pStyle w:val="714"/>
              <w:rPr>
                <w:rFonts w:eastAsia="等线"/>
                <w:color w:val="auto"/>
                <w:shd w:val="clear" w:color="auto" w:fill="auto"/>
              </w:rPr>
            </w:pPr>
            <w:r>
              <w:rPr>
                <w:rFonts w:eastAsia="等线"/>
                <w:color w:val="auto"/>
                <w:shd w:val="clear" w:color="auto" w:fill="auto"/>
              </w:rPr>
              <w:t>1.440</w:t>
            </w:r>
          </w:p>
        </w:tc>
      </w:tr>
      <w:tr w14:paraId="0F2A90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59C0F9D6">
            <w:pPr>
              <w:pStyle w:val="714"/>
              <w:rPr>
                <w:rFonts w:eastAsia="等线"/>
                <w:color w:val="auto"/>
                <w:shd w:val="clear" w:color="auto" w:fill="auto"/>
              </w:rPr>
            </w:pPr>
            <w:r>
              <w:rPr>
                <w:rFonts w:eastAsia="等线"/>
                <w:color w:val="auto"/>
                <w:shd w:val="clear" w:color="auto" w:fill="auto"/>
              </w:rPr>
              <w:t xml:space="preserve">1518 </w:t>
            </w:r>
          </w:p>
        </w:tc>
        <w:tc>
          <w:tcPr>
            <w:tcW w:w="713" w:type="pct"/>
            <w:tcBorders>
              <w:tl2br w:val="nil"/>
              <w:tr2bl w:val="nil"/>
            </w:tcBorders>
            <w:shd w:val="clear" w:color="auto" w:fill="auto"/>
            <w:vAlign w:val="center"/>
          </w:tcPr>
          <w:p w14:paraId="1C283EED">
            <w:pPr>
              <w:pStyle w:val="714"/>
              <w:rPr>
                <w:rFonts w:eastAsia="等线"/>
                <w:color w:val="auto"/>
                <w:shd w:val="clear" w:color="auto" w:fill="auto"/>
              </w:rPr>
            </w:pPr>
            <w:r>
              <w:rPr>
                <w:rFonts w:eastAsia="等线"/>
                <w:color w:val="auto"/>
                <w:shd w:val="clear" w:color="auto" w:fill="auto"/>
              </w:rPr>
              <w:t>5.451</w:t>
            </w:r>
          </w:p>
        </w:tc>
        <w:tc>
          <w:tcPr>
            <w:tcW w:w="714" w:type="pct"/>
            <w:tcBorders>
              <w:tl2br w:val="nil"/>
              <w:tr2bl w:val="nil"/>
            </w:tcBorders>
            <w:shd w:val="clear" w:color="auto" w:fill="auto"/>
            <w:vAlign w:val="center"/>
          </w:tcPr>
          <w:p w14:paraId="27315EE1">
            <w:pPr>
              <w:pStyle w:val="714"/>
              <w:rPr>
                <w:rFonts w:eastAsia="等线"/>
                <w:color w:val="auto"/>
                <w:shd w:val="clear" w:color="auto" w:fill="auto"/>
              </w:rPr>
            </w:pPr>
            <w:r>
              <w:rPr>
                <w:rFonts w:eastAsia="等线"/>
                <w:color w:val="auto"/>
                <w:shd w:val="clear" w:color="auto" w:fill="auto"/>
              </w:rPr>
              <w:t>5.701</w:t>
            </w:r>
          </w:p>
        </w:tc>
        <w:tc>
          <w:tcPr>
            <w:tcW w:w="713" w:type="pct"/>
            <w:tcBorders>
              <w:tl2br w:val="nil"/>
              <w:tr2bl w:val="nil"/>
            </w:tcBorders>
            <w:shd w:val="clear" w:color="auto" w:fill="auto"/>
            <w:vAlign w:val="center"/>
          </w:tcPr>
          <w:p w14:paraId="3C8749D5">
            <w:pPr>
              <w:pStyle w:val="714"/>
              <w:rPr>
                <w:rFonts w:eastAsia="等线"/>
                <w:color w:val="auto"/>
                <w:shd w:val="clear" w:color="auto" w:fill="auto"/>
              </w:rPr>
            </w:pPr>
            <w:r>
              <w:rPr>
                <w:rFonts w:eastAsia="等线"/>
                <w:color w:val="auto"/>
                <w:shd w:val="clear" w:color="auto" w:fill="auto"/>
              </w:rPr>
              <w:t>9.738</w:t>
            </w:r>
          </w:p>
        </w:tc>
        <w:tc>
          <w:tcPr>
            <w:tcW w:w="715" w:type="pct"/>
            <w:tcBorders>
              <w:tl2br w:val="nil"/>
              <w:tr2bl w:val="nil"/>
            </w:tcBorders>
            <w:shd w:val="clear" w:color="auto" w:fill="auto"/>
            <w:vAlign w:val="center"/>
          </w:tcPr>
          <w:p w14:paraId="68029A3A">
            <w:pPr>
              <w:pStyle w:val="714"/>
              <w:rPr>
                <w:rFonts w:eastAsia="等线"/>
                <w:color w:val="auto"/>
                <w:shd w:val="clear" w:color="auto" w:fill="auto"/>
              </w:rPr>
            </w:pPr>
            <w:r>
              <w:rPr>
                <w:rFonts w:eastAsia="等线"/>
                <w:color w:val="auto"/>
                <w:shd w:val="clear" w:color="auto" w:fill="auto"/>
              </w:rPr>
              <w:t>9.988</w:t>
            </w:r>
          </w:p>
        </w:tc>
        <w:tc>
          <w:tcPr>
            <w:tcW w:w="714" w:type="pct"/>
            <w:tcBorders>
              <w:tl2br w:val="nil"/>
              <w:tr2bl w:val="nil"/>
            </w:tcBorders>
            <w:shd w:val="clear" w:color="auto" w:fill="auto"/>
            <w:vAlign w:val="center"/>
          </w:tcPr>
          <w:p w14:paraId="2A77C346">
            <w:pPr>
              <w:pStyle w:val="714"/>
              <w:rPr>
                <w:rFonts w:eastAsia="等线"/>
                <w:color w:val="auto"/>
                <w:shd w:val="clear" w:color="auto" w:fill="auto"/>
              </w:rPr>
            </w:pPr>
            <w:r>
              <w:rPr>
                <w:rFonts w:eastAsia="等线"/>
                <w:color w:val="auto"/>
                <w:shd w:val="clear" w:color="auto" w:fill="auto"/>
              </w:rPr>
              <w:t>1.902</w:t>
            </w:r>
          </w:p>
        </w:tc>
        <w:tc>
          <w:tcPr>
            <w:tcW w:w="714" w:type="pct"/>
            <w:tcBorders>
              <w:tl2br w:val="nil"/>
              <w:tr2bl w:val="nil"/>
            </w:tcBorders>
            <w:shd w:val="clear" w:color="auto" w:fill="auto"/>
            <w:vAlign w:val="center"/>
          </w:tcPr>
          <w:p w14:paraId="0E9A2639">
            <w:pPr>
              <w:pStyle w:val="714"/>
              <w:rPr>
                <w:rFonts w:eastAsia="等线"/>
                <w:color w:val="auto"/>
                <w:shd w:val="clear" w:color="auto" w:fill="auto"/>
              </w:rPr>
            </w:pPr>
            <w:r>
              <w:rPr>
                <w:rFonts w:eastAsia="等线"/>
                <w:color w:val="auto"/>
                <w:shd w:val="clear" w:color="auto" w:fill="auto"/>
              </w:rPr>
              <w:t>2.152</w:t>
            </w:r>
          </w:p>
        </w:tc>
      </w:tr>
      <w:tr w14:paraId="7AD6B4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481A3B6F">
            <w:pPr>
              <w:pStyle w:val="714"/>
              <w:rPr>
                <w:rFonts w:eastAsia="等线"/>
                <w:color w:val="auto"/>
                <w:shd w:val="clear" w:color="auto" w:fill="auto"/>
              </w:rPr>
            </w:pPr>
            <w:r>
              <w:rPr>
                <w:rFonts w:eastAsia="等线"/>
                <w:color w:val="auto"/>
                <w:shd w:val="clear" w:color="auto" w:fill="auto"/>
              </w:rPr>
              <w:t xml:space="preserve">2000 </w:t>
            </w:r>
          </w:p>
        </w:tc>
        <w:tc>
          <w:tcPr>
            <w:tcW w:w="713" w:type="pct"/>
            <w:tcBorders>
              <w:tl2br w:val="nil"/>
              <w:tr2bl w:val="nil"/>
            </w:tcBorders>
            <w:shd w:val="clear" w:color="auto" w:fill="auto"/>
            <w:vAlign w:val="center"/>
          </w:tcPr>
          <w:p w14:paraId="661DA20E">
            <w:pPr>
              <w:pStyle w:val="714"/>
              <w:rPr>
                <w:rFonts w:eastAsia="等线"/>
                <w:color w:val="auto"/>
                <w:shd w:val="clear" w:color="auto" w:fill="auto"/>
              </w:rPr>
            </w:pPr>
            <w:r>
              <w:rPr>
                <w:rFonts w:eastAsia="等线"/>
                <w:color w:val="auto"/>
                <w:shd w:val="clear" w:color="auto" w:fill="auto"/>
              </w:rPr>
              <w:t>3.220</w:t>
            </w:r>
          </w:p>
        </w:tc>
        <w:tc>
          <w:tcPr>
            <w:tcW w:w="714" w:type="pct"/>
            <w:tcBorders>
              <w:tl2br w:val="nil"/>
              <w:tr2bl w:val="nil"/>
            </w:tcBorders>
            <w:shd w:val="clear" w:color="auto" w:fill="auto"/>
            <w:vAlign w:val="center"/>
          </w:tcPr>
          <w:p w14:paraId="3E0EE11C">
            <w:pPr>
              <w:pStyle w:val="714"/>
              <w:rPr>
                <w:rFonts w:eastAsia="等线"/>
                <w:color w:val="auto"/>
                <w:shd w:val="clear" w:color="auto" w:fill="auto"/>
              </w:rPr>
            </w:pPr>
            <w:r>
              <w:rPr>
                <w:rFonts w:eastAsia="等线"/>
                <w:color w:val="auto"/>
                <w:shd w:val="clear" w:color="auto" w:fill="auto"/>
              </w:rPr>
              <w:t>3.470</w:t>
            </w:r>
          </w:p>
        </w:tc>
        <w:tc>
          <w:tcPr>
            <w:tcW w:w="713" w:type="pct"/>
            <w:tcBorders>
              <w:tl2br w:val="nil"/>
              <w:tr2bl w:val="nil"/>
            </w:tcBorders>
            <w:shd w:val="clear" w:color="auto" w:fill="auto"/>
            <w:vAlign w:val="center"/>
          </w:tcPr>
          <w:p w14:paraId="42459F37">
            <w:pPr>
              <w:pStyle w:val="714"/>
              <w:rPr>
                <w:rFonts w:eastAsia="等线"/>
                <w:color w:val="auto"/>
                <w:shd w:val="clear" w:color="auto" w:fill="auto"/>
              </w:rPr>
            </w:pPr>
            <w:r>
              <w:rPr>
                <w:rFonts w:eastAsia="等线"/>
                <w:color w:val="auto"/>
                <w:shd w:val="clear" w:color="auto" w:fill="auto"/>
              </w:rPr>
              <w:t>7.247</w:t>
            </w:r>
          </w:p>
        </w:tc>
        <w:tc>
          <w:tcPr>
            <w:tcW w:w="715" w:type="pct"/>
            <w:tcBorders>
              <w:tl2br w:val="nil"/>
              <w:tr2bl w:val="nil"/>
            </w:tcBorders>
            <w:shd w:val="clear" w:color="auto" w:fill="auto"/>
            <w:vAlign w:val="center"/>
          </w:tcPr>
          <w:p w14:paraId="06EE1F9A">
            <w:pPr>
              <w:pStyle w:val="714"/>
              <w:rPr>
                <w:rFonts w:eastAsia="等线"/>
                <w:color w:val="auto"/>
                <w:shd w:val="clear" w:color="auto" w:fill="auto"/>
              </w:rPr>
            </w:pPr>
            <w:r>
              <w:rPr>
                <w:rFonts w:eastAsia="等线"/>
                <w:color w:val="auto"/>
                <w:shd w:val="clear" w:color="auto" w:fill="auto"/>
              </w:rPr>
              <w:t>7.497</w:t>
            </w:r>
          </w:p>
        </w:tc>
        <w:tc>
          <w:tcPr>
            <w:tcW w:w="714" w:type="pct"/>
            <w:tcBorders>
              <w:tl2br w:val="nil"/>
              <w:tr2bl w:val="nil"/>
            </w:tcBorders>
            <w:shd w:val="clear" w:color="auto" w:fill="auto"/>
            <w:vAlign w:val="center"/>
          </w:tcPr>
          <w:p w14:paraId="34A3852E">
            <w:pPr>
              <w:pStyle w:val="714"/>
              <w:rPr>
                <w:rFonts w:eastAsia="等线"/>
                <w:color w:val="auto"/>
                <w:shd w:val="clear" w:color="auto" w:fill="auto"/>
              </w:rPr>
            </w:pPr>
            <w:r>
              <w:rPr>
                <w:rFonts w:eastAsia="等线"/>
                <w:color w:val="auto"/>
                <w:shd w:val="clear" w:color="auto" w:fill="auto"/>
              </w:rPr>
              <w:t>2.077</w:t>
            </w:r>
          </w:p>
        </w:tc>
        <w:tc>
          <w:tcPr>
            <w:tcW w:w="714" w:type="pct"/>
            <w:tcBorders>
              <w:tl2br w:val="nil"/>
              <w:tr2bl w:val="nil"/>
            </w:tcBorders>
            <w:shd w:val="clear" w:color="auto" w:fill="auto"/>
            <w:vAlign w:val="center"/>
          </w:tcPr>
          <w:p w14:paraId="0C8ACED2">
            <w:pPr>
              <w:pStyle w:val="714"/>
              <w:rPr>
                <w:rFonts w:eastAsia="等线"/>
                <w:color w:val="auto"/>
                <w:shd w:val="clear" w:color="auto" w:fill="auto"/>
              </w:rPr>
            </w:pPr>
            <w:r>
              <w:rPr>
                <w:rFonts w:eastAsia="等线"/>
                <w:color w:val="auto"/>
                <w:shd w:val="clear" w:color="auto" w:fill="auto"/>
              </w:rPr>
              <w:t>2.327</w:t>
            </w:r>
          </w:p>
        </w:tc>
      </w:tr>
      <w:tr w14:paraId="61060D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7508C734">
            <w:pPr>
              <w:pStyle w:val="714"/>
              <w:rPr>
                <w:rFonts w:eastAsia="等线"/>
                <w:color w:val="auto"/>
                <w:shd w:val="clear" w:color="auto" w:fill="auto"/>
              </w:rPr>
            </w:pPr>
            <w:r>
              <w:rPr>
                <w:rFonts w:eastAsia="等线"/>
                <w:color w:val="auto"/>
                <w:shd w:val="clear" w:color="auto" w:fill="auto"/>
              </w:rPr>
              <w:t xml:space="preserve">3000 </w:t>
            </w:r>
          </w:p>
        </w:tc>
        <w:tc>
          <w:tcPr>
            <w:tcW w:w="713" w:type="pct"/>
            <w:tcBorders>
              <w:tl2br w:val="nil"/>
              <w:tr2bl w:val="nil"/>
            </w:tcBorders>
            <w:shd w:val="clear" w:color="auto" w:fill="auto"/>
            <w:vAlign w:val="center"/>
          </w:tcPr>
          <w:p w14:paraId="3CEBBCA7">
            <w:pPr>
              <w:pStyle w:val="714"/>
              <w:rPr>
                <w:rFonts w:eastAsia="等线"/>
                <w:color w:val="auto"/>
                <w:shd w:val="clear" w:color="auto" w:fill="auto"/>
              </w:rPr>
            </w:pPr>
            <w:r>
              <w:rPr>
                <w:rFonts w:eastAsia="等线"/>
                <w:color w:val="auto"/>
                <w:shd w:val="clear" w:color="auto" w:fill="auto"/>
              </w:rPr>
              <w:t>1.101</w:t>
            </w:r>
          </w:p>
        </w:tc>
        <w:tc>
          <w:tcPr>
            <w:tcW w:w="714" w:type="pct"/>
            <w:tcBorders>
              <w:tl2br w:val="nil"/>
              <w:tr2bl w:val="nil"/>
            </w:tcBorders>
            <w:shd w:val="clear" w:color="auto" w:fill="auto"/>
            <w:vAlign w:val="center"/>
          </w:tcPr>
          <w:p w14:paraId="6B685CBE">
            <w:pPr>
              <w:pStyle w:val="714"/>
              <w:rPr>
                <w:rFonts w:eastAsia="等线"/>
                <w:color w:val="auto"/>
                <w:shd w:val="clear" w:color="auto" w:fill="auto"/>
              </w:rPr>
            </w:pPr>
            <w:r>
              <w:rPr>
                <w:rFonts w:eastAsia="等线"/>
                <w:color w:val="auto"/>
                <w:shd w:val="clear" w:color="auto" w:fill="auto"/>
              </w:rPr>
              <w:t>1.351</w:t>
            </w:r>
          </w:p>
        </w:tc>
        <w:tc>
          <w:tcPr>
            <w:tcW w:w="713" w:type="pct"/>
            <w:tcBorders>
              <w:tl2br w:val="nil"/>
              <w:tr2bl w:val="nil"/>
            </w:tcBorders>
            <w:shd w:val="clear" w:color="auto" w:fill="auto"/>
            <w:vAlign w:val="center"/>
          </w:tcPr>
          <w:p w14:paraId="2E1DD2C0">
            <w:pPr>
              <w:pStyle w:val="714"/>
              <w:rPr>
                <w:rFonts w:eastAsia="等线"/>
                <w:color w:val="auto"/>
                <w:shd w:val="clear" w:color="auto" w:fill="auto"/>
              </w:rPr>
            </w:pPr>
            <w:r>
              <w:rPr>
                <w:rFonts w:eastAsia="等线"/>
                <w:color w:val="auto"/>
                <w:shd w:val="clear" w:color="auto" w:fill="auto"/>
              </w:rPr>
              <w:t>3.282</w:t>
            </w:r>
          </w:p>
        </w:tc>
        <w:tc>
          <w:tcPr>
            <w:tcW w:w="715" w:type="pct"/>
            <w:tcBorders>
              <w:tl2br w:val="nil"/>
              <w:tr2bl w:val="nil"/>
            </w:tcBorders>
            <w:shd w:val="clear" w:color="auto" w:fill="auto"/>
            <w:vAlign w:val="center"/>
          </w:tcPr>
          <w:p w14:paraId="0298D40F">
            <w:pPr>
              <w:pStyle w:val="714"/>
              <w:rPr>
                <w:rFonts w:eastAsia="等线"/>
                <w:color w:val="auto"/>
                <w:shd w:val="clear" w:color="auto" w:fill="auto"/>
              </w:rPr>
            </w:pPr>
            <w:r>
              <w:rPr>
                <w:rFonts w:eastAsia="等线"/>
                <w:color w:val="auto"/>
                <w:shd w:val="clear" w:color="auto" w:fill="auto"/>
              </w:rPr>
              <w:t>3.532</w:t>
            </w:r>
          </w:p>
        </w:tc>
        <w:tc>
          <w:tcPr>
            <w:tcW w:w="714" w:type="pct"/>
            <w:tcBorders>
              <w:tl2br w:val="nil"/>
              <w:tr2bl w:val="nil"/>
            </w:tcBorders>
            <w:shd w:val="clear" w:color="auto" w:fill="auto"/>
            <w:vAlign w:val="center"/>
          </w:tcPr>
          <w:p w14:paraId="0C257453">
            <w:pPr>
              <w:pStyle w:val="714"/>
              <w:rPr>
                <w:rFonts w:eastAsia="等线"/>
                <w:color w:val="auto"/>
                <w:shd w:val="clear" w:color="auto" w:fill="auto"/>
              </w:rPr>
            </w:pPr>
            <w:r>
              <w:rPr>
                <w:rFonts w:eastAsia="等线"/>
                <w:color w:val="auto"/>
                <w:shd w:val="clear" w:color="auto" w:fill="auto"/>
              </w:rPr>
              <w:t>1.542</w:t>
            </w:r>
          </w:p>
        </w:tc>
        <w:tc>
          <w:tcPr>
            <w:tcW w:w="714" w:type="pct"/>
            <w:tcBorders>
              <w:tl2br w:val="nil"/>
              <w:tr2bl w:val="nil"/>
            </w:tcBorders>
            <w:shd w:val="clear" w:color="auto" w:fill="auto"/>
            <w:vAlign w:val="center"/>
          </w:tcPr>
          <w:p w14:paraId="1D745032">
            <w:pPr>
              <w:pStyle w:val="714"/>
              <w:rPr>
                <w:rFonts w:eastAsia="等线"/>
                <w:color w:val="auto"/>
                <w:shd w:val="clear" w:color="auto" w:fill="auto"/>
              </w:rPr>
            </w:pPr>
            <w:r>
              <w:rPr>
                <w:rFonts w:eastAsia="等线"/>
                <w:color w:val="auto"/>
                <w:shd w:val="clear" w:color="auto" w:fill="auto"/>
              </w:rPr>
              <w:t>1.792</w:t>
            </w:r>
          </w:p>
        </w:tc>
      </w:tr>
      <w:tr w14:paraId="0C37F0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3124343D">
            <w:pPr>
              <w:pStyle w:val="714"/>
              <w:rPr>
                <w:rFonts w:eastAsia="等线"/>
                <w:color w:val="auto"/>
                <w:shd w:val="clear" w:color="auto" w:fill="auto"/>
              </w:rPr>
            </w:pPr>
            <w:r>
              <w:rPr>
                <w:rFonts w:eastAsia="等线"/>
                <w:color w:val="auto"/>
                <w:shd w:val="clear" w:color="auto" w:fill="auto"/>
              </w:rPr>
              <w:t xml:space="preserve">3650 </w:t>
            </w:r>
          </w:p>
        </w:tc>
        <w:tc>
          <w:tcPr>
            <w:tcW w:w="713" w:type="pct"/>
            <w:tcBorders>
              <w:tl2br w:val="nil"/>
              <w:tr2bl w:val="nil"/>
            </w:tcBorders>
            <w:shd w:val="clear" w:color="auto" w:fill="auto"/>
            <w:vAlign w:val="center"/>
          </w:tcPr>
          <w:p w14:paraId="7079598C">
            <w:pPr>
              <w:pStyle w:val="714"/>
              <w:rPr>
                <w:rFonts w:eastAsia="等线"/>
                <w:color w:val="auto"/>
                <w:shd w:val="clear" w:color="auto" w:fill="auto"/>
              </w:rPr>
            </w:pPr>
            <w:r>
              <w:rPr>
                <w:rFonts w:eastAsia="等线"/>
                <w:color w:val="auto"/>
                <w:shd w:val="clear" w:color="auto" w:fill="auto"/>
              </w:rPr>
              <w:t>0.551</w:t>
            </w:r>
          </w:p>
        </w:tc>
        <w:tc>
          <w:tcPr>
            <w:tcW w:w="714" w:type="pct"/>
            <w:tcBorders>
              <w:tl2br w:val="nil"/>
              <w:tr2bl w:val="nil"/>
            </w:tcBorders>
            <w:shd w:val="clear" w:color="auto" w:fill="auto"/>
            <w:vAlign w:val="center"/>
          </w:tcPr>
          <w:p w14:paraId="3E78D6DB">
            <w:pPr>
              <w:pStyle w:val="714"/>
              <w:rPr>
                <w:rFonts w:eastAsia="等线"/>
                <w:color w:val="auto"/>
                <w:shd w:val="clear" w:color="auto" w:fill="auto"/>
              </w:rPr>
            </w:pPr>
            <w:r>
              <w:rPr>
                <w:rFonts w:eastAsia="等线"/>
                <w:color w:val="auto"/>
                <w:shd w:val="clear" w:color="auto" w:fill="auto"/>
              </w:rPr>
              <w:t>0.801</w:t>
            </w:r>
          </w:p>
        </w:tc>
        <w:tc>
          <w:tcPr>
            <w:tcW w:w="713" w:type="pct"/>
            <w:tcBorders>
              <w:tl2br w:val="nil"/>
              <w:tr2bl w:val="nil"/>
            </w:tcBorders>
            <w:shd w:val="clear" w:color="auto" w:fill="auto"/>
            <w:vAlign w:val="center"/>
          </w:tcPr>
          <w:p w14:paraId="76CF6762">
            <w:pPr>
              <w:pStyle w:val="714"/>
              <w:rPr>
                <w:rFonts w:eastAsia="等线"/>
                <w:color w:val="auto"/>
                <w:shd w:val="clear" w:color="auto" w:fill="auto"/>
              </w:rPr>
            </w:pPr>
            <w:r>
              <w:rPr>
                <w:rFonts w:eastAsia="等线"/>
                <w:color w:val="auto"/>
                <w:shd w:val="clear" w:color="auto" w:fill="auto"/>
              </w:rPr>
              <w:t>1.823</w:t>
            </w:r>
          </w:p>
        </w:tc>
        <w:tc>
          <w:tcPr>
            <w:tcW w:w="715" w:type="pct"/>
            <w:tcBorders>
              <w:tl2br w:val="nil"/>
              <w:tr2bl w:val="nil"/>
            </w:tcBorders>
            <w:shd w:val="clear" w:color="auto" w:fill="auto"/>
            <w:vAlign w:val="center"/>
          </w:tcPr>
          <w:p w14:paraId="56BDF921">
            <w:pPr>
              <w:pStyle w:val="714"/>
              <w:rPr>
                <w:rFonts w:eastAsia="等线"/>
                <w:color w:val="auto"/>
                <w:shd w:val="clear" w:color="auto" w:fill="auto"/>
              </w:rPr>
            </w:pPr>
            <w:r>
              <w:rPr>
                <w:rFonts w:eastAsia="等线"/>
                <w:color w:val="auto"/>
                <w:shd w:val="clear" w:color="auto" w:fill="auto"/>
              </w:rPr>
              <w:t>2.073</w:t>
            </w:r>
          </w:p>
        </w:tc>
        <w:tc>
          <w:tcPr>
            <w:tcW w:w="714" w:type="pct"/>
            <w:tcBorders>
              <w:tl2br w:val="nil"/>
              <w:tr2bl w:val="nil"/>
            </w:tcBorders>
            <w:shd w:val="clear" w:color="auto" w:fill="auto"/>
            <w:vAlign w:val="center"/>
          </w:tcPr>
          <w:p w14:paraId="1C134008">
            <w:pPr>
              <w:pStyle w:val="714"/>
              <w:rPr>
                <w:rFonts w:eastAsia="等线"/>
                <w:color w:val="auto"/>
                <w:shd w:val="clear" w:color="auto" w:fill="auto"/>
              </w:rPr>
            </w:pPr>
            <w:r>
              <w:rPr>
                <w:rFonts w:eastAsia="等线"/>
                <w:color w:val="auto"/>
                <w:shd w:val="clear" w:color="auto" w:fill="auto"/>
              </w:rPr>
              <w:t>1.051</w:t>
            </w:r>
          </w:p>
        </w:tc>
        <w:tc>
          <w:tcPr>
            <w:tcW w:w="714" w:type="pct"/>
            <w:tcBorders>
              <w:tl2br w:val="nil"/>
              <w:tr2bl w:val="nil"/>
            </w:tcBorders>
            <w:shd w:val="clear" w:color="auto" w:fill="auto"/>
            <w:vAlign w:val="center"/>
          </w:tcPr>
          <w:p w14:paraId="3447E351">
            <w:pPr>
              <w:pStyle w:val="714"/>
              <w:rPr>
                <w:rFonts w:eastAsia="等线"/>
                <w:color w:val="auto"/>
                <w:shd w:val="clear" w:color="auto" w:fill="auto"/>
              </w:rPr>
            </w:pPr>
            <w:r>
              <w:rPr>
                <w:rFonts w:eastAsia="等线"/>
                <w:color w:val="auto"/>
                <w:shd w:val="clear" w:color="auto" w:fill="auto"/>
              </w:rPr>
              <w:t>1.301</w:t>
            </w:r>
          </w:p>
        </w:tc>
      </w:tr>
      <w:tr w14:paraId="0A40D4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437B9735">
            <w:pPr>
              <w:pStyle w:val="714"/>
              <w:rPr>
                <w:rFonts w:eastAsia="等线"/>
                <w:color w:val="auto"/>
                <w:shd w:val="clear" w:color="auto" w:fill="auto"/>
              </w:rPr>
            </w:pPr>
            <w:r>
              <w:rPr>
                <w:rFonts w:eastAsia="等线"/>
                <w:color w:val="auto"/>
                <w:shd w:val="clear" w:color="auto" w:fill="auto"/>
              </w:rPr>
              <w:t xml:space="preserve">4050 </w:t>
            </w:r>
          </w:p>
        </w:tc>
        <w:tc>
          <w:tcPr>
            <w:tcW w:w="713" w:type="pct"/>
            <w:tcBorders>
              <w:tl2br w:val="nil"/>
              <w:tr2bl w:val="nil"/>
            </w:tcBorders>
            <w:shd w:val="clear" w:color="auto" w:fill="auto"/>
            <w:vAlign w:val="center"/>
          </w:tcPr>
          <w:p w14:paraId="3E9CB615">
            <w:pPr>
              <w:pStyle w:val="714"/>
              <w:rPr>
                <w:rFonts w:eastAsia="等线"/>
                <w:color w:val="auto"/>
                <w:shd w:val="clear" w:color="auto" w:fill="auto"/>
              </w:rPr>
            </w:pPr>
            <w:r>
              <w:rPr>
                <w:rFonts w:eastAsia="等线"/>
                <w:color w:val="auto"/>
                <w:shd w:val="clear" w:color="auto" w:fill="auto"/>
              </w:rPr>
              <w:t>0.363</w:t>
            </w:r>
          </w:p>
        </w:tc>
        <w:tc>
          <w:tcPr>
            <w:tcW w:w="714" w:type="pct"/>
            <w:tcBorders>
              <w:tl2br w:val="nil"/>
              <w:tr2bl w:val="nil"/>
            </w:tcBorders>
            <w:shd w:val="clear" w:color="auto" w:fill="auto"/>
            <w:vAlign w:val="center"/>
          </w:tcPr>
          <w:p w14:paraId="601E7447">
            <w:pPr>
              <w:pStyle w:val="714"/>
              <w:rPr>
                <w:rFonts w:eastAsia="等线"/>
                <w:color w:val="auto"/>
                <w:shd w:val="clear" w:color="auto" w:fill="auto"/>
              </w:rPr>
            </w:pPr>
            <w:r>
              <w:rPr>
                <w:rFonts w:eastAsia="等线"/>
                <w:color w:val="auto"/>
                <w:shd w:val="clear" w:color="auto" w:fill="auto"/>
              </w:rPr>
              <w:t>0.613</w:t>
            </w:r>
          </w:p>
        </w:tc>
        <w:tc>
          <w:tcPr>
            <w:tcW w:w="713" w:type="pct"/>
            <w:tcBorders>
              <w:tl2br w:val="nil"/>
              <w:tr2bl w:val="nil"/>
            </w:tcBorders>
            <w:shd w:val="clear" w:color="auto" w:fill="auto"/>
            <w:vAlign w:val="center"/>
          </w:tcPr>
          <w:p w14:paraId="2F5462BA">
            <w:pPr>
              <w:pStyle w:val="714"/>
              <w:rPr>
                <w:rFonts w:eastAsia="等线"/>
                <w:color w:val="auto"/>
                <w:shd w:val="clear" w:color="auto" w:fill="auto"/>
              </w:rPr>
            </w:pPr>
            <w:r>
              <w:rPr>
                <w:rFonts w:eastAsia="等线"/>
                <w:color w:val="auto"/>
                <w:shd w:val="clear" w:color="auto" w:fill="auto"/>
              </w:rPr>
              <w:t>1.255</w:t>
            </w:r>
          </w:p>
        </w:tc>
        <w:tc>
          <w:tcPr>
            <w:tcW w:w="715" w:type="pct"/>
            <w:tcBorders>
              <w:tl2br w:val="nil"/>
              <w:tr2bl w:val="nil"/>
            </w:tcBorders>
            <w:shd w:val="clear" w:color="auto" w:fill="auto"/>
            <w:vAlign w:val="center"/>
          </w:tcPr>
          <w:p w14:paraId="51CD3CA3">
            <w:pPr>
              <w:pStyle w:val="714"/>
              <w:rPr>
                <w:rFonts w:eastAsia="等线"/>
                <w:color w:val="auto"/>
                <w:shd w:val="clear" w:color="auto" w:fill="auto"/>
              </w:rPr>
            </w:pPr>
            <w:r>
              <w:rPr>
                <w:rFonts w:eastAsia="等线"/>
                <w:color w:val="auto"/>
                <w:shd w:val="clear" w:color="auto" w:fill="auto"/>
              </w:rPr>
              <w:t>1.505</w:t>
            </w:r>
          </w:p>
        </w:tc>
        <w:tc>
          <w:tcPr>
            <w:tcW w:w="714" w:type="pct"/>
            <w:tcBorders>
              <w:tl2br w:val="nil"/>
              <w:tr2bl w:val="nil"/>
            </w:tcBorders>
            <w:shd w:val="clear" w:color="auto" w:fill="auto"/>
            <w:vAlign w:val="center"/>
          </w:tcPr>
          <w:p w14:paraId="19277B7A">
            <w:pPr>
              <w:pStyle w:val="714"/>
              <w:rPr>
                <w:rFonts w:eastAsia="等线"/>
                <w:color w:val="auto"/>
                <w:shd w:val="clear" w:color="auto" w:fill="auto"/>
              </w:rPr>
            </w:pPr>
            <w:r>
              <w:rPr>
                <w:rFonts w:eastAsia="等线"/>
                <w:color w:val="auto"/>
                <w:shd w:val="clear" w:color="auto" w:fill="auto"/>
              </w:rPr>
              <w:t>0.789</w:t>
            </w:r>
          </w:p>
        </w:tc>
        <w:tc>
          <w:tcPr>
            <w:tcW w:w="714" w:type="pct"/>
            <w:tcBorders>
              <w:tl2br w:val="nil"/>
              <w:tr2bl w:val="nil"/>
            </w:tcBorders>
            <w:shd w:val="clear" w:color="auto" w:fill="auto"/>
            <w:vAlign w:val="center"/>
          </w:tcPr>
          <w:p w14:paraId="18449010">
            <w:pPr>
              <w:pStyle w:val="714"/>
              <w:rPr>
                <w:rFonts w:eastAsia="等线"/>
                <w:color w:val="auto"/>
                <w:shd w:val="clear" w:color="auto" w:fill="auto"/>
              </w:rPr>
            </w:pPr>
            <w:r>
              <w:rPr>
                <w:rFonts w:eastAsia="等线"/>
                <w:color w:val="auto"/>
                <w:shd w:val="clear" w:color="auto" w:fill="auto"/>
              </w:rPr>
              <w:t>1.039</w:t>
            </w:r>
          </w:p>
        </w:tc>
      </w:tr>
      <w:tr w14:paraId="6E2A7D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3BC42BBE">
            <w:pPr>
              <w:pStyle w:val="714"/>
              <w:rPr>
                <w:rFonts w:eastAsia="等线"/>
                <w:color w:val="auto"/>
                <w:shd w:val="clear" w:color="auto" w:fill="auto"/>
              </w:rPr>
            </w:pPr>
            <w:r>
              <w:rPr>
                <w:rFonts w:eastAsia="等线"/>
                <w:color w:val="auto"/>
                <w:shd w:val="clear" w:color="auto" w:fill="auto"/>
              </w:rPr>
              <w:t xml:space="preserve">5050 </w:t>
            </w:r>
          </w:p>
        </w:tc>
        <w:tc>
          <w:tcPr>
            <w:tcW w:w="713" w:type="pct"/>
            <w:tcBorders>
              <w:tl2br w:val="nil"/>
              <w:tr2bl w:val="nil"/>
            </w:tcBorders>
            <w:shd w:val="clear" w:color="auto" w:fill="auto"/>
            <w:vAlign w:val="center"/>
          </w:tcPr>
          <w:p w14:paraId="51DCEDB9">
            <w:pPr>
              <w:pStyle w:val="714"/>
              <w:rPr>
                <w:rFonts w:eastAsia="等线"/>
                <w:color w:val="auto"/>
                <w:shd w:val="clear" w:color="auto" w:fill="auto"/>
              </w:rPr>
            </w:pPr>
            <w:r>
              <w:rPr>
                <w:rFonts w:eastAsia="等线"/>
                <w:color w:val="auto"/>
                <w:shd w:val="clear" w:color="auto" w:fill="auto"/>
              </w:rPr>
              <w:t>0.130</w:t>
            </w:r>
          </w:p>
        </w:tc>
        <w:tc>
          <w:tcPr>
            <w:tcW w:w="714" w:type="pct"/>
            <w:tcBorders>
              <w:tl2br w:val="nil"/>
              <w:tr2bl w:val="nil"/>
            </w:tcBorders>
            <w:shd w:val="clear" w:color="auto" w:fill="auto"/>
            <w:vAlign w:val="center"/>
          </w:tcPr>
          <w:p w14:paraId="7701D9D2">
            <w:pPr>
              <w:pStyle w:val="714"/>
              <w:rPr>
                <w:rFonts w:eastAsia="等线"/>
                <w:color w:val="auto"/>
                <w:shd w:val="clear" w:color="auto" w:fill="auto"/>
              </w:rPr>
            </w:pPr>
            <w:r>
              <w:rPr>
                <w:rFonts w:eastAsia="等线"/>
                <w:color w:val="auto"/>
                <w:shd w:val="clear" w:color="auto" w:fill="auto"/>
              </w:rPr>
              <w:t>0.380</w:t>
            </w:r>
          </w:p>
        </w:tc>
        <w:tc>
          <w:tcPr>
            <w:tcW w:w="713" w:type="pct"/>
            <w:tcBorders>
              <w:tl2br w:val="nil"/>
              <w:tr2bl w:val="nil"/>
            </w:tcBorders>
            <w:shd w:val="clear" w:color="auto" w:fill="auto"/>
            <w:vAlign w:val="center"/>
          </w:tcPr>
          <w:p w14:paraId="07DA1A4E">
            <w:pPr>
              <w:pStyle w:val="714"/>
              <w:rPr>
                <w:rFonts w:eastAsia="等线"/>
                <w:color w:val="auto"/>
                <w:shd w:val="clear" w:color="auto" w:fill="auto"/>
              </w:rPr>
            </w:pPr>
            <w:r>
              <w:rPr>
                <w:rFonts w:eastAsia="等线"/>
                <w:color w:val="auto"/>
                <w:shd w:val="clear" w:color="auto" w:fill="auto"/>
              </w:rPr>
              <w:t>0.480</w:t>
            </w:r>
          </w:p>
        </w:tc>
        <w:tc>
          <w:tcPr>
            <w:tcW w:w="715" w:type="pct"/>
            <w:tcBorders>
              <w:tl2br w:val="nil"/>
              <w:tr2bl w:val="nil"/>
            </w:tcBorders>
            <w:shd w:val="clear" w:color="auto" w:fill="auto"/>
            <w:vAlign w:val="center"/>
          </w:tcPr>
          <w:p w14:paraId="057DF14A">
            <w:pPr>
              <w:pStyle w:val="714"/>
              <w:rPr>
                <w:rFonts w:eastAsia="等线"/>
                <w:color w:val="auto"/>
                <w:shd w:val="clear" w:color="auto" w:fill="auto"/>
              </w:rPr>
            </w:pPr>
            <w:r>
              <w:rPr>
                <w:rFonts w:eastAsia="等线"/>
                <w:color w:val="auto"/>
                <w:shd w:val="clear" w:color="auto" w:fill="auto"/>
              </w:rPr>
              <w:t>0.730</w:t>
            </w:r>
          </w:p>
        </w:tc>
        <w:tc>
          <w:tcPr>
            <w:tcW w:w="714" w:type="pct"/>
            <w:tcBorders>
              <w:tl2br w:val="nil"/>
              <w:tr2bl w:val="nil"/>
            </w:tcBorders>
            <w:shd w:val="clear" w:color="auto" w:fill="auto"/>
            <w:vAlign w:val="center"/>
          </w:tcPr>
          <w:p w14:paraId="77DC7786">
            <w:pPr>
              <w:pStyle w:val="714"/>
              <w:rPr>
                <w:rFonts w:eastAsia="等线"/>
                <w:color w:val="auto"/>
                <w:shd w:val="clear" w:color="auto" w:fill="auto"/>
              </w:rPr>
            </w:pPr>
            <w:r>
              <w:rPr>
                <w:rFonts w:eastAsia="等线"/>
                <w:color w:val="auto"/>
                <w:shd w:val="clear" w:color="auto" w:fill="auto"/>
              </w:rPr>
              <w:t>0.353</w:t>
            </w:r>
          </w:p>
        </w:tc>
        <w:tc>
          <w:tcPr>
            <w:tcW w:w="714" w:type="pct"/>
            <w:tcBorders>
              <w:tl2br w:val="nil"/>
              <w:tr2bl w:val="nil"/>
            </w:tcBorders>
            <w:shd w:val="clear" w:color="auto" w:fill="auto"/>
            <w:vAlign w:val="center"/>
          </w:tcPr>
          <w:p w14:paraId="7022F1EB">
            <w:pPr>
              <w:pStyle w:val="714"/>
              <w:rPr>
                <w:rFonts w:eastAsia="等线"/>
                <w:color w:val="auto"/>
                <w:shd w:val="clear" w:color="auto" w:fill="auto"/>
              </w:rPr>
            </w:pPr>
            <w:r>
              <w:rPr>
                <w:rFonts w:eastAsia="等线"/>
                <w:color w:val="auto"/>
                <w:shd w:val="clear" w:color="auto" w:fill="auto"/>
              </w:rPr>
              <w:t>0.603</w:t>
            </w:r>
          </w:p>
        </w:tc>
      </w:tr>
      <w:tr w14:paraId="58714B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00CF6023">
            <w:pPr>
              <w:pStyle w:val="714"/>
              <w:rPr>
                <w:rFonts w:eastAsia="等线"/>
                <w:color w:val="auto"/>
                <w:shd w:val="clear" w:color="auto" w:fill="auto"/>
              </w:rPr>
            </w:pPr>
            <w:r>
              <w:rPr>
                <w:rFonts w:eastAsia="等线"/>
                <w:color w:val="auto"/>
                <w:shd w:val="clear" w:color="auto" w:fill="auto"/>
              </w:rPr>
              <w:t xml:space="preserve">6050 </w:t>
            </w:r>
          </w:p>
        </w:tc>
        <w:tc>
          <w:tcPr>
            <w:tcW w:w="713" w:type="pct"/>
            <w:tcBorders>
              <w:tl2br w:val="nil"/>
              <w:tr2bl w:val="nil"/>
            </w:tcBorders>
            <w:shd w:val="clear" w:color="auto" w:fill="auto"/>
            <w:vAlign w:val="center"/>
          </w:tcPr>
          <w:p w14:paraId="484FFACC">
            <w:pPr>
              <w:pStyle w:val="714"/>
              <w:rPr>
                <w:rFonts w:eastAsia="等线"/>
                <w:color w:val="auto"/>
                <w:shd w:val="clear" w:color="auto" w:fill="auto"/>
              </w:rPr>
            </w:pPr>
            <w:r>
              <w:rPr>
                <w:rFonts w:eastAsia="等线"/>
                <w:color w:val="auto"/>
                <w:shd w:val="clear" w:color="auto" w:fill="auto"/>
              </w:rPr>
              <w:t>0.047</w:t>
            </w:r>
          </w:p>
        </w:tc>
        <w:tc>
          <w:tcPr>
            <w:tcW w:w="714" w:type="pct"/>
            <w:tcBorders>
              <w:tl2br w:val="nil"/>
              <w:tr2bl w:val="nil"/>
            </w:tcBorders>
            <w:shd w:val="clear" w:color="auto" w:fill="auto"/>
            <w:vAlign w:val="center"/>
          </w:tcPr>
          <w:p w14:paraId="7EAC5EE3">
            <w:pPr>
              <w:pStyle w:val="714"/>
              <w:rPr>
                <w:rFonts w:eastAsia="等线"/>
                <w:color w:val="auto"/>
                <w:shd w:val="clear" w:color="auto" w:fill="auto"/>
              </w:rPr>
            </w:pPr>
            <w:r>
              <w:rPr>
                <w:rFonts w:eastAsia="等线"/>
                <w:color w:val="auto"/>
                <w:shd w:val="clear" w:color="auto" w:fill="auto"/>
              </w:rPr>
              <w:t>0.297</w:t>
            </w:r>
          </w:p>
        </w:tc>
        <w:tc>
          <w:tcPr>
            <w:tcW w:w="713" w:type="pct"/>
            <w:tcBorders>
              <w:tl2br w:val="nil"/>
              <w:tr2bl w:val="nil"/>
            </w:tcBorders>
            <w:shd w:val="clear" w:color="auto" w:fill="auto"/>
            <w:vAlign w:val="center"/>
          </w:tcPr>
          <w:p w14:paraId="29F29002">
            <w:pPr>
              <w:pStyle w:val="714"/>
              <w:rPr>
                <w:rFonts w:eastAsia="等线"/>
                <w:color w:val="auto"/>
                <w:shd w:val="clear" w:color="auto" w:fill="auto"/>
              </w:rPr>
            </w:pPr>
            <w:r>
              <w:rPr>
                <w:rFonts w:eastAsia="等线"/>
                <w:color w:val="auto"/>
                <w:shd w:val="clear" w:color="auto" w:fill="auto"/>
              </w:rPr>
              <w:t>0.181</w:t>
            </w:r>
          </w:p>
        </w:tc>
        <w:tc>
          <w:tcPr>
            <w:tcW w:w="715" w:type="pct"/>
            <w:tcBorders>
              <w:tl2br w:val="nil"/>
              <w:tr2bl w:val="nil"/>
            </w:tcBorders>
            <w:shd w:val="clear" w:color="auto" w:fill="auto"/>
            <w:vAlign w:val="center"/>
          </w:tcPr>
          <w:p w14:paraId="60B19A67">
            <w:pPr>
              <w:pStyle w:val="714"/>
              <w:rPr>
                <w:rFonts w:eastAsia="等线"/>
                <w:color w:val="auto"/>
                <w:shd w:val="clear" w:color="auto" w:fill="auto"/>
              </w:rPr>
            </w:pPr>
            <w:r>
              <w:rPr>
                <w:rFonts w:eastAsia="等线"/>
                <w:color w:val="auto"/>
                <w:shd w:val="clear" w:color="auto" w:fill="auto"/>
              </w:rPr>
              <w:t>0.431</w:t>
            </w:r>
          </w:p>
        </w:tc>
        <w:tc>
          <w:tcPr>
            <w:tcW w:w="714" w:type="pct"/>
            <w:tcBorders>
              <w:tl2br w:val="nil"/>
              <w:tr2bl w:val="nil"/>
            </w:tcBorders>
            <w:shd w:val="clear" w:color="auto" w:fill="auto"/>
            <w:vAlign w:val="center"/>
          </w:tcPr>
          <w:p w14:paraId="7C5CD544">
            <w:pPr>
              <w:pStyle w:val="714"/>
              <w:rPr>
                <w:rFonts w:eastAsia="等线"/>
                <w:color w:val="auto"/>
                <w:shd w:val="clear" w:color="auto" w:fill="auto"/>
              </w:rPr>
            </w:pPr>
            <w:r>
              <w:rPr>
                <w:rFonts w:eastAsia="等线"/>
                <w:color w:val="auto"/>
                <w:shd w:val="clear" w:color="auto" w:fill="auto"/>
              </w:rPr>
              <w:t>0.145</w:t>
            </w:r>
          </w:p>
        </w:tc>
        <w:tc>
          <w:tcPr>
            <w:tcW w:w="714" w:type="pct"/>
            <w:tcBorders>
              <w:tl2br w:val="nil"/>
              <w:tr2bl w:val="nil"/>
            </w:tcBorders>
            <w:shd w:val="clear" w:color="auto" w:fill="auto"/>
            <w:vAlign w:val="center"/>
          </w:tcPr>
          <w:p w14:paraId="5DA9546E">
            <w:pPr>
              <w:pStyle w:val="714"/>
              <w:rPr>
                <w:rFonts w:eastAsia="等线"/>
                <w:color w:val="auto"/>
                <w:shd w:val="clear" w:color="auto" w:fill="auto"/>
              </w:rPr>
            </w:pPr>
            <w:r>
              <w:rPr>
                <w:rFonts w:eastAsia="等线"/>
                <w:color w:val="auto"/>
                <w:shd w:val="clear" w:color="auto" w:fill="auto"/>
              </w:rPr>
              <w:t>0.395</w:t>
            </w:r>
          </w:p>
        </w:tc>
      </w:tr>
      <w:tr w14:paraId="218F8F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44F2D348">
            <w:pPr>
              <w:pStyle w:val="714"/>
              <w:rPr>
                <w:rFonts w:eastAsia="等线"/>
                <w:color w:val="auto"/>
                <w:shd w:val="clear" w:color="auto" w:fill="auto"/>
              </w:rPr>
            </w:pPr>
            <w:r>
              <w:rPr>
                <w:rFonts w:eastAsia="等线"/>
                <w:color w:val="auto"/>
                <w:shd w:val="clear" w:color="auto" w:fill="auto"/>
              </w:rPr>
              <w:t xml:space="preserve">7300 </w:t>
            </w:r>
          </w:p>
        </w:tc>
        <w:tc>
          <w:tcPr>
            <w:tcW w:w="713" w:type="pct"/>
            <w:tcBorders>
              <w:tl2br w:val="nil"/>
              <w:tr2bl w:val="nil"/>
            </w:tcBorders>
            <w:shd w:val="clear" w:color="auto" w:fill="auto"/>
            <w:vAlign w:val="center"/>
          </w:tcPr>
          <w:p w14:paraId="001CB77C">
            <w:pPr>
              <w:pStyle w:val="714"/>
              <w:rPr>
                <w:rFonts w:eastAsia="等线"/>
                <w:color w:val="auto"/>
                <w:shd w:val="clear" w:color="auto" w:fill="auto"/>
              </w:rPr>
            </w:pPr>
            <w:r>
              <w:rPr>
                <w:rFonts w:eastAsia="等线"/>
                <w:color w:val="auto"/>
                <w:shd w:val="clear" w:color="auto" w:fill="auto"/>
              </w:rPr>
              <w:t>0.014</w:t>
            </w:r>
          </w:p>
        </w:tc>
        <w:tc>
          <w:tcPr>
            <w:tcW w:w="714" w:type="pct"/>
            <w:tcBorders>
              <w:tl2br w:val="nil"/>
              <w:tr2bl w:val="nil"/>
            </w:tcBorders>
            <w:shd w:val="clear" w:color="auto" w:fill="auto"/>
            <w:vAlign w:val="center"/>
          </w:tcPr>
          <w:p w14:paraId="15634352">
            <w:pPr>
              <w:pStyle w:val="714"/>
              <w:rPr>
                <w:rFonts w:eastAsia="等线"/>
                <w:color w:val="auto"/>
                <w:shd w:val="clear" w:color="auto" w:fill="auto"/>
              </w:rPr>
            </w:pPr>
            <w:r>
              <w:rPr>
                <w:rFonts w:eastAsia="等线"/>
                <w:color w:val="auto"/>
                <w:shd w:val="clear" w:color="auto" w:fill="auto"/>
              </w:rPr>
              <w:t>0.264</w:t>
            </w:r>
          </w:p>
        </w:tc>
        <w:tc>
          <w:tcPr>
            <w:tcW w:w="713" w:type="pct"/>
            <w:tcBorders>
              <w:tl2br w:val="nil"/>
              <w:tr2bl w:val="nil"/>
            </w:tcBorders>
            <w:shd w:val="clear" w:color="auto" w:fill="auto"/>
            <w:vAlign w:val="center"/>
          </w:tcPr>
          <w:p w14:paraId="075EC76A">
            <w:pPr>
              <w:pStyle w:val="714"/>
              <w:rPr>
                <w:rFonts w:eastAsia="等线"/>
                <w:color w:val="auto"/>
                <w:shd w:val="clear" w:color="auto" w:fill="auto"/>
              </w:rPr>
            </w:pPr>
            <w:r>
              <w:rPr>
                <w:rFonts w:eastAsia="等线"/>
                <w:color w:val="auto"/>
                <w:shd w:val="clear" w:color="auto" w:fill="auto"/>
              </w:rPr>
              <w:t>0.053</w:t>
            </w:r>
          </w:p>
        </w:tc>
        <w:tc>
          <w:tcPr>
            <w:tcW w:w="715" w:type="pct"/>
            <w:tcBorders>
              <w:tl2br w:val="nil"/>
              <w:tr2bl w:val="nil"/>
            </w:tcBorders>
            <w:shd w:val="clear" w:color="auto" w:fill="auto"/>
            <w:vAlign w:val="center"/>
          </w:tcPr>
          <w:p w14:paraId="5DD05370">
            <w:pPr>
              <w:pStyle w:val="714"/>
              <w:rPr>
                <w:rFonts w:eastAsia="等线"/>
                <w:color w:val="auto"/>
                <w:shd w:val="clear" w:color="auto" w:fill="auto"/>
              </w:rPr>
            </w:pPr>
            <w:r>
              <w:rPr>
                <w:rFonts w:eastAsia="等线"/>
                <w:color w:val="auto"/>
                <w:shd w:val="clear" w:color="auto" w:fill="auto"/>
              </w:rPr>
              <w:t>0.303</w:t>
            </w:r>
          </w:p>
        </w:tc>
        <w:tc>
          <w:tcPr>
            <w:tcW w:w="714" w:type="pct"/>
            <w:tcBorders>
              <w:tl2br w:val="nil"/>
              <w:tr2bl w:val="nil"/>
            </w:tcBorders>
            <w:shd w:val="clear" w:color="auto" w:fill="auto"/>
            <w:vAlign w:val="center"/>
          </w:tcPr>
          <w:p w14:paraId="23F3BCC0">
            <w:pPr>
              <w:pStyle w:val="714"/>
              <w:rPr>
                <w:rFonts w:eastAsia="等线"/>
                <w:color w:val="auto"/>
                <w:shd w:val="clear" w:color="auto" w:fill="auto"/>
              </w:rPr>
            </w:pPr>
            <w:r>
              <w:rPr>
                <w:rFonts w:eastAsia="等线"/>
                <w:color w:val="auto"/>
                <w:shd w:val="clear" w:color="auto" w:fill="auto"/>
              </w:rPr>
              <w:t>0.045</w:t>
            </w:r>
          </w:p>
        </w:tc>
        <w:tc>
          <w:tcPr>
            <w:tcW w:w="714" w:type="pct"/>
            <w:tcBorders>
              <w:tl2br w:val="nil"/>
              <w:tr2bl w:val="nil"/>
            </w:tcBorders>
            <w:shd w:val="clear" w:color="auto" w:fill="auto"/>
            <w:vAlign w:val="center"/>
          </w:tcPr>
          <w:p w14:paraId="71DB801D">
            <w:pPr>
              <w:pStyle w:val="714"/>
              <w:rPr>
                <w:rFonts w:eastAsia="等线"/>
                <w:color w:val="auto"/>
                <w:shd w:val="clear" w:color="auto" w:fill="auto"/>
              </w:rPr>
            </w:pPr>
            <w:r>
              <w:rPr>
                <w:rFonts w:eastAsia="等线"/>
                <w:color w:val="auto"/>
                <w:shd w:val="clear" w:color="auto" w:fill="auto"/>
              </w:rPr>
              <w:t>0.295</w:t>
            </w:r>
          </w:p>
        </w:tc>
      </w:tr>
      <w:tr w14:paraId="32FE7B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0783A2D9">
            <w:pPr>
              <w:pStyle w:val="714"/>
              <w:rPr>
                <w:rFonts w:eastAsia="等线"/>
                <w:color w:val="auto"/>
                <w:shd w:val="clear" w:color="auto" w:fill="auto"/>
              </w:rPr>
            </w:pPr>
            <w:r>
              <w:rPr>
                <w:rFonts w:eastAsia="等线"/>
                <w:color w:val="auto"/>
                <w:shd w:val="clear" w:color="auto" w:fill="auto"/>
              </w:rPr>
              <w:t xml:space="preserve">8100 </w:t>
            </w:r>
          </w:p>
        </w:tc>
        <w:tc>
          <w:tcPr>
            <w:tcW w:w="713" w:type="pct"/>
            <w:tcBorders>
              <w:tl2br w:val="nil"/>
              <w:tr2bl w:val="nil"/>
            </w:tcBorders>
            <w:shd w:val="clear" w:color="auto" w:fill="auto"/>
            <w:vAlign w:val="center"/>
          </w:tcPr>
          <w:p w14:paraId="7019006B">
            <w:pPr>
              <w:pStyle w:val="714"/>
              <w:rPr>
                <w:rFonts w:eastAsia="等线"/>
                <w:color w:val="auto"/>
                <w:shd w:val="clear" w:color="auto" w:fill="auto"/>
              </w:rPr>
            </w:pPr>
            <w:r>
              <w:rPr>
                <w:rFonts w:eastAsia="等线"/>
                <w:color w:val="auto"/>
                <w:shd w:val="clear" w:color="auto" w:fill="auto"/>
              </w:rPr>
              <w:t>0.006</w:t>
            </w:r>
          </w:p>
        </w:tc>
        <w:tc>
          <w:tcPr>
            <w:tcW w:w="714" w:type="pct"/>
            <w:tcBorders>
              <w:tl2br w:val="nil"/>
              <w:tr2bl w:val="nil"/>
            </w:tcBorders>
            <w:shd w:val="clear" w:color="auto" w:fill="auto"/>
            <w:vAlign w:val="center"/>
          </w:tcPr>
          <w:p w14:paraId="47C9C5C9">
            <w:pPr>
              <w:pStyle w:val="714"/>
              <w:rPr>
                <w:rFonts w:eastAsia="等线"/>
                <w:color w:val="auto"/>
                <w:shd w:val="clear" w:color="auto" w:fill="auto"/>
              </w:rPr>
            </w:pPr>
            <w:r>
              <w:rPr>
                <w:rFonts w:eastAsia="等线"/>
                <w:color w:val="auto"/>
                <w:shd w:val="clear" w:color="auto" w:fill="auto"/>
              </w:rPr>
              <w:t>0.256</w:t>
            </w:r>
          </w:p>
        </w:tc>
        <w:tc>
          <w:tcPr>
            <w:tcW w:w="713" w:type="pct"/>
            <w:tcBorders>
              <w:tl2br w:val="nil"/>
              <w:tr2bl w:val="nil"/>
            </w:tcBorders>
            <w:shd w:val="clear" w:color="auto" w:fill="auto"/>
            <w:vAlign w:val="center"/>
          </w:tcPr>
          <w:p w14:paraId="0F6C092E">
            <w:pPr>
              <w:pStyle w:val="714"/>
              <w:rPr>
                <w:rFonts w:eastAsia="等线"/>
                <w:color w:val="auto"/>
                <w:shd w:val="clear" w:color="auto" w:fill="auto"/>
              </w:rPr>
            </w:pPr>
            <w:r>
              <w:rPr>
                <w:rFonts w:eastAsia="等线"/>
                <w:color w:val="auto"/>
                <w:shd w:val="clear" w:color="auto" w:fill="auto"/>
              </w:rPr>
              <w:t>0.024</w:t>
            </w:r>
          </w:p>
        </w:tc>
        <w:tc>
          <w:tcPr>
            <w:tcW w:w="715" w:type="pct"/>
            <w:tcBorders>
              <w:tl2br w:val="nil"/>
              <w:tr2bl w:val="nil"/>
            </w:tcBorders>
            <w:shd w:val="clear" w:color="auto" w:fill="auto"/>
            <w:vAlign w:val="center"/>
          </w:tcPr>
          <w:p w14:paraId="0A9703C3">
            <w:pPr>
              <w:pStyle w:val="714"/>
              <w:rPr>
                <w:rFonts w:eastAsia="等线"/>
                <w:color w:val="auto"/>
                <w:shd w:val="clear" w:color="auto" w:fill="auto"/>
              </w:rPr>
            </w:pPr>
            <w:r>
              <w:rPr>
                <w:rFonts w:eastAsia="等线"/>
                <w:color w:val="auto"/>
                <w:shd w:val="clear" w:color="auto" w:fill="auto"/>
              </w:rPr>
              <w:t>0.274</w:t>
            </w:r>
          </w:p>
        </w:tc>
        <w:tc>
          <w:tcPr>
            <w:tcW w:w="714" w:type="pct"/>
            <w:tcBorders>
              <w:tl2br w:val="nil"/>
              <w:tr2bl w:val="nil"/>
            </w:tcBorders>
            <w:shd w:val="clear" w:color="auto" w:fill="auto"/>
            <w:vAlign w:val="center"/>
          </w:tcPr>
          <w:p w14:paraId="2676F17F">
            <w:pPr>
              <w:pStyle w:val="714"/>
              <w:rPr>
                <w:rFonts w:eastAsia="等线"/>
                <w:color w:val="auto"/>
                <w:shd w:val="clear" w:color="auto" w:fill="auto"/>
              </w:rPr>
            </w:pPr>
            <w:r>
              <w:rPr>
                <w:rFonts w:eastAsia="等线"/>
                <w:color w:val="auto"/>
                <w:shd w:val="clear" w:color="auto" w:fill="auto"/>
              </w:rPr>
              <w:t>0.021</w:t>
            </w:r>
          </w:p>
        </w:tc>
        <w:tc>
          <w:tcPr>
            <w:tcW w:w="714" w:type="pct"/>
            <w:tcBorders>
              <w:tl2br w:val="nil"/>
              <w:tr2bl w:val="nil"/>
            </w:tcBorders>
            <w:shd w:val="clear" w:color="auto" w:fill="auto"/>
            <w:vAlign w:val="center"/>
          </w:tcPr>
          <w:p w14:paraId="67FD9F40">
            <w:pPr>
              <w:pStyle w:val="714"/>
              <w:rPr>
                <w:rFonts w:eastAsia="等线"/>
                <w:color w:val="auto"/>
                <w:shd w:val="clear" w:color="auto" w:fill="auto"/>
              </w:rPr>
            </w:pPr>
            <w:r>
              <w:rPr>
                <w:rFonts w:eastAsia="等线"/>
                <w:color w:val="auto"/>
                <w:shd w:val="clear" w:color="auto" w:fill="auto"/>
              </w:rPr>
              <w:t>0.271</w:t>
            </w:r>
          </w:p>
        </w:tc>
      </w:tr>
      <w:tr w14:paraId="357506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7AC5A6C7">
            <w:pPr>
              <w:pStyle w:val="714"/>
              <w:rPr>
                <w:rFonts w:eastAsia="等线"/>
                <w:color w:val="auto"/>
                <w:shd w:val="clear" w:color="auto" w:fill="auto"/>
              </w:rPr>
            </w:pPr>
            <w:r>
              <w:rPr>
                <w:rFonts w:eastAsia="等线"/>
                <w:color w:val="auto"/>
                <w:shd w:val="clear" w:color="auto" w:fill="auto"/>
              </w:rPr>
              <w:t xml:space="preserve">9100 </w:t>
            </w:r>
          </w:p>
        </w:tc>
        <w:tc>
          <w:tcPr>
            <w:tcW w:w="713" w:type="pct"/>
            <w:tcBorders>
              <w:tl2br w:val="nil"/>
              <w:tr2bl w:val="nil"/>
            </w:tcBorders>
            <w:shd w:val="clear" w:color="auto" w:fill="auto"/>
            <w:vAlign w:val="center"/>
          </w:tcPr>
          <w:p w14:paraId="5D891106">
            <w:pPr>
              <w:pStyle w:val="714"/>
              <w:rPr>
                <w:rFonts w:eastAsia="等线"/>
                <w:color w:val="auto"/>
                <w:shd w:val="clear" w:color="auto" w:fill="auto"/>
              </w:rPr>
            </w:pPr>
            <w:r>
              <w:rPr>
                <w:rFonts w:eastAsia="等线"/>
                <w:color w:val="auto"/>
                <w:shd w:val="clear" w:color="auto" w:fill="auto"/>
              </w:rPr>
              <w:t>0.003</w:t>
            </w:r>
          </w:p>
        </w:tc>
        <w:tc>
          <w:tcPr>
            <w:tcW w:w="714" w:type="pct"/>
            <w:tcBorders>
              <w:tl2br w:val="nil"/>
              <w:tr2bl w:val="nil"/>
            </w:tcBorders>
            <w:shd w:val="clear" w:color="auto" w:fill="auto"/>
            <w:vAlign w:val="center"/>
          </w:tcPr>
          <w:p w14:paraId="74D842BC">
            <w:pPr>
              <w:pStyle w:val="714"/>
              <w:rPr>
                <w:rFonts w:eastAsia="等线"/>
                <w:color w:val="auto"/>
                <w:shd w:val="clear" w:color="auto" w:fill="auto"/>
              </w:rPr>
            </w:pPr>
            <w:r>
              <w:rPr>
                <w:rFonts w:eastAsia="等线"/>
                <w:color w:val="auto"/>
                <w:shd w:val="clear" w:color="auto" w:fill="auto"/>
              </w:rPr>
              <w:t>0.253</w:t>
            </w:r>
          </w:p>
        </w:tc>
        <w:tc>
          <w:tcPr>
            <w:tcW w:w="713" w:type="pct"/>
            <w:tcBorders>
              <w:tl2br w:val="nil"/>
              <w:tr2bl w:val="nil"/>
            </w:tcBorders>
            <w:shd w:val="clear" w:color="auto" w:fill="auto"/>
            <w:vAlign w:val="center"/>
          </w:tcPr>
          <w:p w14:paraId="6B5AF635">
            <w:pPr>
              <w:pStyle w:val="714"/>
              <w:rPr>
                <w:rFonts w:eastAsia="等线"/>
                <w:color w:val="auto"/>
                <w:shd w:val="clear" w:color="auto" w:fill="auto"/>
              </w:rPr>
            </w:pPr>
            <w:r>
              <w:rPr>
                <w:rFonts w:eastAsia="等线"/>
                <w:color w:val="auto"/>
                <w:shd w:val="clear" w:color="auto" w:fill="auto"/>
              </w:rPr>
              <w:t>0.009</w:t>
            </w:r>
          </w:p>
        </w:tc>
        <w:tc>
          <w:tcPr>
            <w:tcW w:w="715" w:type="pct"/>
            <w:tcBorders>
              <w:tl2br w:val="nil"/>
              <w:tr2bl w:val="nil"/>
            </w:tcBorders>
            <w:shd w:val="clear" w:color="auto" w:fill="auto"/>
            <w:vAlign w:val="center"/>
          </w:tcPr>
          <w:p w14:paraId="71B23925">
            <w:pPr>
              <w:pStyle w:val="714"/>
              <w:rPr>
                <w:rFonts w:eastAsia="等线"/>
                <w:color w:val="auto"/>
                <w:shd w:val="clear" w:color="auto" w:fill="auto"/>
              </w:rPr>
            </w:pPr>
            <w:r>
              <w:rPr>
                <w:rFonts w:eastAsia="等线"/>
                <w:color w:val="auto"/>
                <w:shd w:val="clear" w:color="auto" w:fill="auto"/>
              </w:rPr>
              <w:t>0.259</w:t>
            </w:r>
          </w:p>
        </w:tc>
        <w:tc>
          <w:tcPr>
            <w:tcW w:w="714" w:type="pct"/>
            <w:tcBorders>
              <w:tl2br w:val="nil"/>
              <w:tr2bl w:val="nil"/>
            </w:tcBorders>
            <w:shd w:val="clear" w:color="auto" w:fill="auto"/>
            <w:vAlign w:val="center"/>
          </w:tcPr>
          <w:p w14:paraId="7E99CF6B">
            <w:pPr>
              <w:pStyle w:val="714"/>
              <w:rPr>
                <w:rFonts w:eastAsia="等线"/>
                <w:color w:val="auto"/>
                <w:shd w:val="clear" w:color="auto" w:fill="auto"/>
              </w:rPr>
            </w:pPr>
            <w:r>
              <w:rPr>
                <w:rFonts w:eastAsia="等线"/>
                <w:color w:val="auto"/>
                <w:shd w:val="clear" w:color="auto" w:fill="auto"/>
              </w:rPr>
              <w:t>0.008</w:t>
            </w:r>
          </w:p>
        </w:tc>
        <w:tc>
          <w:tcPr>
            <w:tcW w:w="714" w:type="pct"/>
            <w:tcBorders>
              <w:tl2br w:val="nil"/>
              <w:tr2bl w:val="nil"/>
            </w:tcBorders>
            <w:shd w:val="clear" w:color="auto" w:fill="auto"/>
            <w:vAlign w:val="center"/>
          </w:tcPr>
          <w:p w14:paraId="3892D45E">
            <w:pPr>
              <w:pStyle w:val="714"/>
              <w:rPr>
                <w:rFonts w:eastAsia="等线"/>
                <w:color w:val="auto"/>
                <w:shd w:val="clear" w:color="auto" w:fill="auto"/>
              </w:rPr>
            </w:pPr>
            <w:r>
              <w:rPr>
                <w:rFonts w:eastAsia="等线"/>
                <w:color w:val="auto"/>
                <w:shd w:val="clear" w:color="auto" w:fill="auto"/>
              </w:rPr>
              <w:t>0.258</w:t>
            </w:r>
          </w:p>
        </w:tc>
      </w:tr>
      <w:tr w14:paraId="12E7E4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4ED74894">
            <w:pPr>
              <w:pStyle w:val="714"/>
              <w:rPr>
                <w:rFonts w:eastAsia="等线"/>
                <w:color w:val="auto"/>
                <w:shd w:val="clear" w:color="auto" w:fill="auto"/>
              </w:rPr>
            </w:pPr>
            <w:r>
              <w:rPr>
                <w:rFonts w:eastAsia="等线"/>
                <w:color w:val="auto"/>
                <w:shd w:val="clear" w:color="auto" w:fill="auto"/>
              </w:rPr>
              <w:t xml:space="preserve">10100 </w:t>
            </w:r>
          </w:p>
        </w:tc>
        <w:tc>
          <w:tcPr>
            <w:tcW w:w="713" w:type="pct"/>
            <w:tcBorders>
              <w:tl2br w:val="nil"/>
              <w:tr2bl w:val="nil"/>
            </w:tcBorders>
            <w:shd w:val="clear" w:color="auto" w:fill="auto"/>
            <w:vAlign w:val="center"/>
          </w:tcPr>
          <w:p w14:paraId="0E595ABE">
            <w:pPr>
              <w:pStyle w:val="714"/>
              <w:rPr>
                <w:rFonts w:eastAsia="等线"/>
                <w:color w:val="auto"/>
                <w:shd w:val="clear" w:color="auto" w:fill="auto"/>
              </w:rPr>
            </w:pPr>
            <w:r>
              <w:rPr>
                <w:rFonts w:eastAsia="等线"/>
                <w:color w:val="auto"/>
                <w:shd w:val="clear" w:color="auto" w:fill="auto"/>
              </w:rPr>
              <w:t>0.001</w:t>
            </w:r>
          </w:p>
        </w:tc>
        <w:tc>
          <w:tcPr>
            <w:tcW w:w="714" w:type="pct"/>
            <w:tcBorders>
              <w:tl2br w:val="nil"/>
              <w:tr2bl w:val="nil"/>
            </w:tcBorders>
            <w:shd w:val="clear" w:color="auto" w:fill="auto"/>
            <w:vAlign w:val="center"/>
          </w:tcPr>
          <w:p w14:paraId="2D43726F">
            <w:pPr>
              <w:pStyle w:val="714"/>
              <w:rPr>
                <w:rFonts w:eastAsia="等线"/>
                <w:color w:val="auto"/>
                <w:shd w:val="clear" w:color="auto" w:fill="auto"/>
              </w:rPr>
            </w:pPr>
            <w:r>
              <w:rPr>
                <w:rFonts w:eastAsia="等线"/>
                <w:color w:val="auto"/>
                <w:shd w:val="clear" w:color="auto" w:fill="auto"/>
              </w:rPr>
              <w:t>0.251</w:t>
            </w:r>
          </w:p>
        </w:tc>
        <w:tc>
          <w:tcPr>
            <w:tcW w:w="713" w:type="pct"/>
            <w:tcBorders>
              <w:tl2br w:val="nil"/>
              <w:tr2bl w:val="nil"/>
            </w:tcBorders>
            <w:shd w:val="clear" w:color="auto" w:fill="auto"/>
            <w:vAlign w:val="center"/>
          </w:tcPr>
          <w:p w14:paraId="01DBA977">
            <w:pPr>
              <w:pStyle w:val="714"/>
              <w:rPr>
                <w:rFonts w:eastAsia="等线"/>
                <w:color w:val="auto"/>
                <w:shd w:val="clear" w:color="auto" w:fill="auto"/>
              </w:rPr>
            </w:pPr>
            <w:r>
              <w:rPr>
                <w:rFonts w:eastAsia="等线"/>
                <w:color w:val="auto"/>
                <w:shd w:val="clear" w:color="auto" w:fill="auto"/>
              </w:rPr>
              <w:t>0.004</w:t>
            </w:r>
          </w:p>
        </w:tc>
        <w:tc>
          <w:tcPr>
            <w:tcW w:w="715" w:type="pct"/>
            <w:tcBorders>
              <w:tl2br w:val="nil"/>
              <w:tr2bl w:val="nil"/>
            </w:tcBorders>
            <w:shd w:val="clear" w:color="auto" w:fill="auto"/>
            <w:vAlign w:val="center"/>
          </w:tcPr>
          <w:p w14:paraId="368CFB96">
            <w:pPr>
              <w:pStyle w:val="714"/>
              <w:rPr>
                <w:rFonts w:eastAsia="等线"/>
                <w:color w:val="auto"/>
                <w:shd w:val="clear" w:color="auto" w:fill="auto"/>
              </w:rPr>
            </w:pPr>
            <w:r>
              <w:rPr>
                <w:rFonts w:eastAsia="等线"/>
                <w:color w:val="auto"/>
                <w:shd w:val="clear" w:color="auto" w:fill="auto"/>
              </w:rPr>
              <w:t>0.254</w:t>
            </w:r>
          </w:p>
        </w:tc>
        <w:tc>
          <w:tcPr>
            <w:tcW w:w="714" w:type="pct"/>
            <w:tcBorders>
              <w:tl2br w:val="nil"/>
              <w:tr2bl w:val="nil"/>
            </w:tcBorders>
            <w:shd w:val="clear" w:color="auto" w:fill="auto"/>
            <w:vAlign w:val="center"/>
          </w:tcPr>
          <w:p w14:paraId="1FE57F31">
            <w:pPr>
              <w:pStyle w:val="714"/>
              <w:rPr>
                <w:rFonts w:eastAsia="等线"/>
                <w:color w:val="auto"/>
                <w:shd w:val="clear" w:color="auto" w:fill="auto"/>
              </w:rPr>
            </w:pPr>
            <w:r>
              <w:rPr>
                <w:rFonts w:eastAsia="等线"/>
                <w:color w:val="auto"/>
                <w:shd w:val="clear" w:color="auto" w:fill="auto"/>
              </w:rPr>
              <w:t>0.003</w:t>
            </w:r>
          </w:p>
        </w:tc>
        <w:tc>
          <w:tcPr>
            <w:tcW w:w="714" w:type="pct"/>
            <w:tcBorders>
              <w:tl2br w:val="nil"/>
              <w:tr2bl w:val="nil"/>
            </w:tcBorders>
            <w:shd w:val="clear" w:color="auto" w:fill="auto"/>
            <w:vAlign w:val="center"/>
          </w:tcPr>
          <w:p w14:paraId="5A3D0CBF">
            <w:pPr>
              <w:pStyle w:val="714"/>
              <w:rPr>
                <w:rFonts w:eastAsia="等线"/>
                <w:color w:val="auto"/>
                <w:shd w:val="clear" w:color="auto" w:fill="auto"/>
              </w:rPr>
            </w:pPr>
            <w:r>
              <w:rPr>
                <w:rFonts w:eastAsia="等线"/>
                <w:color w:val="auto"/>
                <w:shd w:val="clear" w:color="auto" w:fill="auto"/>
              </w:rPr>
              <w:t>0.253</w:t>
            </w:r>
          </w:p>
        </w:tc>
      </w:tr>
      <w:tr w14:paraId="5E6F6A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pct"/>
            <w:tcBorders>
              <w:tl2br w:val="nil"/>
              <w:tr2bl w:val="nil"/>
            </w:tcBorders>
            <w:shd w:val="clear" w:color="auto" w:fill="auto"/>
            <w:noWrap/>
            <w:vAlign w:val="center"/>
          </w:tcPr>
          <w:p w14:paraId="1EF7DEC4">
            <w:pPr>
              <w:pStyle w:val="714"/>
              <w:rPr>
                <w:rFonts w:eastAsia="等线"/>
                <w:color w:val="auto"/>
                <w:shd w:val="clear" w:color="auto" w:fill="auto"/>
              </w:rPr>
            </w:pPr>
            <w:r>
              <w:rPr>
                <w:rFonts w:eastAsia="等线"/>
                <w:color w:val="auto"/>
                <w:shd w:val="clear" w:color="auto" w:fill="auto"/>
              </w:rPr>
              <w:t xml:space="preserve">10950 </w:t>
            </w:r>
          </w:p>
        </w:tc>
        <w:tc>
          <w:tcPr>
            <w:tcW w:w="713" w:type="pct"/>
            <w:tcBorders>
              <w:tl2br w:val="nil"/>
              <w:tr2bl w:val="nil"/>
            </w:tcBorders>
            <w:shd w:val="clear" w:color="auto" w:fill="auto"/>
            <w:vAlign w:val="center"/>
          </w:tcPr>
          <w:p w14:paraId="398096B6">
            <w:pPr>
              <w:pStyle w:val="714"/>
              <w:rPr>
                <w:rFonts w:eastAsia="等线"/>
                <w:color w:val="auto"/>
                <w:shd w:val="clear" w:color="auto" w:fill="auto"/>
              </w:rPr>
            </w:pPr>
            <w:r>
              <w:rPr>
                <w:rFonts w:eastAsia="等线"/>
                <w:color w:val="auto"/>
                <w:shd w:val="clear" w:color="auto" w:fill="auto"/>
              </w:rPr>
              <w:t>0.001</w:t>
            </w:r>
          </w:p>
        </w:tc>
        <w:tc>
          <w:tcPr>
            <w:tcW w:w="714" w:type="pct"/>
            <w:tcBorders>
              <w:tl2br w:val="nil"/>
              <w:tr2bl w:val="nil"/>
            </w:tcBorders>
            <w:shd w:val="clear" w:color="auto" w:fill="auto"/>
            <w:vAlign w:val="center"/>
          </w:tcPr>
          <w:p w14:paraId="6E85120C">
            <w:pPr>
              <w:pStyle w:val="714"/>
              <w:rPr>
                <w:rFonts w:eastAsia="等线"/>
                <w:color w:val="auto"/>
                <w:shd w:val="clear" w:color="auto" w:fill="auto"/>
              </w:rPr>
            </w:pPr>
            <w:r>
              <w:rPr>
                <w:rFonts w:eastAsia="等线"/>
                <w:color w:val="auto"/>
                <w:shd w:val="clear" w:color="auto" w:fill="auto"/>
              </w:rPr>
              <w:t>0.251</w:t>
            </w:r>
          </w:p>
        </w:tc>
        <w:tc>
          <w:tcPr>
            <w:tcW w:w="713" w:type="pct"/>
            <w:tcBorders>
              <w:tl2br w:val="nil"/>
              <w:tr2bl w:val="nil"/>
            </w:tcBorders>
            <w:shd w:val="clear" w:color="auto" w:fill="auto"/>
            <w:vAlign w:val="center"/>
          </w:tcPr>
          <w:p w14:paraId="54A9DED1">
            <w:pPr>
              <w:pStyle w:val="714"/>
              <w:rPr>
                <w:rFonts w:eastAsia="等线"/>
                <w:color w:val="auto"/>
                <w:shd w:val="clear" w:color="auto" w:fill="auto"/>
              </w:rPr>
            </w:pPr>
            <w:r>
              <w:rPr>
                <w:rFonts w:eastAsia="等线"/>
                <w:color w:val="auto"/>
                <w:shd w:val="clear" w:color="auto" w:fill="auto"/>
              </w:rPr>
              <w:t>0.002</w:t>
            </w:r>
          </w:p>
        </w:tc>
        <w:tc>
          <w:tcPr>
            <w:tcW w:w="715" w:type="pct"/>
            <w:tcBorders>
              <w:tl2br w:val="nil"/>
              <w:tr2bl w:val="nil"/>
            </w:tcBorders>
            <w:shd w:val="clear" w:color="auto" w:fill="auto"/>
            <w:vAlign w:val="center"/>
          </w:tcPr>
          <w:p w14:paraId="2146DE85">
            <w:pPr>
              <w:pStyle w:val="714"/>
              <w:rPr>
                <w:rFonts w:eastAsia="等线"/>
                <w:color w:val="auto"/>
                <w:shd w:val="clear" w:color="auto" w:fill="auto"/>
              </w:rPr>
            </w:pPr>
            <w:r>
              <w:rPr>
                <w:rFonts w:eastAsia="等线"/>
                <w:color w:val="auto"/>
                <w:shd w:val="clear" w:color="auto" w:fill="auto"/>
              </w:rPr>
              <w:t>0.252</w:t>
            </w:r>
          </w:p>
        </w:tc>
        <w:tc>
          <w:tcPr>
            <w:tcW w:w="714" w:type="pct"/>
            <w:tcBorders>
              <w:tl2br w:val="nil"/>
              <w:tr2bl w:val="nil"/>
            </w:tcBorders>
            <w:shd w:val="clear" w:color="auto" w:fill="auto"/>
            <w:vAlign w:val="center"/>
          </w:tcPr>
          <w:p w14:paraId="0F77368C">
            <w:pPr>
              <w:pStyle w:val="714"/>
              <w:rPr>
                <w:rFonts w:eastAsia="等线"/>
                <w:color w:val="auto"/>
                <w:shd w:val="clear" w:color="auto" w:fill="auto"/>
              </w:rPr>
            </w:pPr>
            <w:r>
              <w:rPr>
                <w:rFonts w:eastAsia="等线"/>
                <w:color w:val="auto"/>
                <w:shd w:val="clear" w:color="auto" w:fill="auto"/>
              </w:rPr>
              <w:t>0.002</w:t>
            </w:r>
          </w:p>
        </w:tc>
        <w:tc>
          <w:tcPr>
            <w:tcW w:w="714" w:type="pct"/>
            <w:tcBorders>
              <w:tl2br w:val="nil"/>
              <w:tr2bl w:val="nil"/>
            </w:tcBorders>
            <w:shd w:val="clear" w:color="auto" w:fill="auto"/>
            <w:vAlign w:val="center"/>
          </w:tcPr>
          <w:p w14:paraId="2E6058A0">
            <w:pPr>
              <w:pStyle w:val="714"/>
              <w:rPr>
                <w:rFonts w:eastAsia="等线"/>
                <w:color w:val="auto"/>
                <w:shd w:val="clear" w:color="auto" w:fill="auto"/>
              </w:rPr>
            </w:pPr>
            <w:r>
              <w:rPr>
                <w:rFonts w:eastAsia="等线"/>
                <w:color w:val="auto"/>
                <w:shd w:val="clear" w:color="auto" w:fill="auto"/>
              </w:rPr>
              <w:t>0.252</w:t>
            </w:r>
          </w:p>
        </w:tc>
      </w:tr>
    </w:tbl>
    <w:p w14:paraId="71CABCC0">
      <w:pPr>
        <w:pStyle w:val="19"/>
        <w:keepNext w:val="0"/>
        <w:keepLines w:val="0"/>
        <w:pageBreakBefore w:val="0"/>
        <w:widowControl w:val="0"/>
        <w:numPr>
          <w:ilvl w:val="0"/>
          <w:numId w:val="31"/>
        </w:numPr>
        <w:kinsoku/>
        <w:wordWrap/>
        <w:overflowPunct/>
        <w:topLinePunct w:val="0"/>
        <w:autoSpaceDE/>
        <w:autoSpaceDN/>
        <w:bidi w:val="0"/>
        <w:adjustRightInd/>
        <w:snapToGrid/>
        <w:spacing w:before="157" w:beforeLines="50"/>
        <w:ind w:left="1440" w:leftChars="0" w:firstLine="0" w:firstLineChars="0"/>
        <w:textAlignment w:val="auto"/>
        <w:rPr>
          <w:rFonts w:cs="Times New Roman"/>
          <w:color w:val="auto"/>
        </w:rPr>
      </w:pPr>
      <w:r>
        <w:rPr>
          <w:rFonts w:hint="eastAsia" w:cs="Times New Roman"/>
          <w:color w:val="auto"/>
        </w:rPr>
        <w:t>总磷</w:t>
      </w:r>
      <w:r>
        <w:rPr>
          <w:rFonts w:cs="Times New Roman"/>
          <w:color w:val="auto"/>
        </w:rPr>
        <w:t>沿地下水径流方向贡献值随时间变化（单位：mg/L）</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35"/>
        <w:gridCol w:w="2235"/>
        <w:gridCol w:w="2238"/>
        <w:gridCol w:w="2238"/>
      </w:tblGrid>
      <w:tr w14:paraId="593599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0EA7F7AD">
            <w:pPr>
              <w:pStyle w:val="714"/>
              <w:rPr>
                <w:rFonts w:eastAsia="等线"/>
                <w:b/>
                <w:bCs/>
                <w:color w:val="auto"/>
                <w:shd w:val="clear" w:color="auto" w:fill="auto"/>
              </w:rPr>
            </w:pPr>
            <w:r>
              <w:rPr>
                <w:rFonts w:hint="eastAsia"/>
                <w:b/>
                <w:bCs/>
                <w:color w:val="auto"/>
                <w:shd w:val="clear" w:color="auto" w:fill="auto"/>
              </w:rPr>
              <w:t>时间（</w:t>
            </w:r>
            <w:r>
              <w:rPr>
                <w:rFonts w:eastAsia="等线"/>
                <w:b/>
                <w:bCs/>
                <w:color w:val="auto"/>
                <w:shd w:val="clear" w:color="auto" w:fill="auto"/>
              </w:rPr>
              <w:t>d</w:t>
            </w:r>
            <w:r>
              <w:rPr>
                <w:rFonts w:hint="eastAsia"/>
                <w:b/>
                <w:bCs/>
                <w:color w:val="auto"/>
                <w:shd w:val="clear" w:color="auto" w:fill="auto"/>
              </w:rPr>
              <w:t>）</w:t>
            </w:r>
          </w:p>
        </w:tc>
        <w:tc>
          <w:tcPr>
            <w:tcW w:w="1249" w:type="pct"/>
            <w:tcBorders>
              <w:tl2br w:val="nil"/>
              <w:tr2bl w:val="nil"/>
            </w:tcBorders>
            <w:shd w:val="clear" w:color="auto" w:fill="auto"/>
            <w:vAlign w:val="center"/>
          </w:tcPr>
          <w:p w14:paraId="0E72FF61">
            <w:pPr>
              <w:pStyle w:val="714"/>
              <w:rPr>
                <w:rFonts w:eastAsia="等线"/>
                <w:b/>
                <w:bCs/>
                <w:color w:val="auto"/>
                <w:shd w:val="clear" w:color="auto" w:fill="auto"/>
              </w:rPr>
            </w:pPr>
            <w:r>
              <w:rPr>
                <w:rFonts w:hint="eastAsia"/>
                <w:b/>
                <w:bCs/>
                <w:color w:val="auto"/>
                <w:shd w:val="clear" w:color="auto" w:fill="auto"/>
              </w:rPr>
              <w:t>厂区泄漏点</w:t>
            </w:r>
          </w:p>
        </w:tc>
        <w:tc>
          <w:tcPr>
            <w:tcW w:w="1250" w:type="pct"/>
            <w:tcBorders>
              <w:tl2br w:val="nil"/>
              <w:tr2bl w:val="nil"/>
            </w:tcBorders>
            <w:shd w:val="clear" w:color="auto" w:fill="auto"/>
            <w:vAlign w:val="center"/>
          </w:tcPr>
          <w:p w14:paraId="6083E09E">
            <w:pPr>
              <w:pStyle w:val="714"/>
              <w:rPr>
                <w:rFonts w:eastAsia="等线"/>
                <w:b/>
                <w:bCs/>
                <w:color w:val="auto"/>
                <w:shd w:val="clear" w:color="auto" w:fill="auto"/>
              </w:rPr>
            </w:pPr>
            <w:r>
              <w:rPr>
                <w:rFonts w:hint="eastAsia"/>
                <w:b/>
                <w:bCs/>
                <w:color w:val="auto"/>
                <w:shd w:val="clear" w:color="auto" w:fill="auto"/>
              </w:rPr>
              <w:t>厂区边界</w:t>
            </w:r>
          </w:p>
        </w:tc>
        <w:tc>
          <w:tcPr>
            <w:tcW w:w="1250" w:type="pct"/>
            <w:tcBorders>
              <w:tl2br w:val="nil"/>
              <w:tr2bl w:val="nil"/>
            </w:tcBorders>
            <w:shd w:val="clear" w:color="auto" w:fill="auto"/>
            <w:vAlign w:val="center"/>
          </w:tcPr>
          <w:p w14:paraId="5B2A3FAE">
            <w:pPr>
              <w:pStyle w:val="714"/>
              <w:rPr>
                <w:rFonts w:eastAsia="等线"/>
                <w:b/>
                <w:bCs/>
                <w:color w:val="auto"/>
                <w:shd w:val="clear" w:color="auto" w:fill="auto"/>
              </w:rPr>
            </w:pPr>
            <w:r>
              <w:rPr>
                <w:rFonts w:hint="eastAsia"/>
                <w:b/>
                <w:bCs/>
                <w:color w:val="auto"/>
                <w:shd w:val="clear" w:color="auto" w:fill="auto"/>
              </w:rPr>
              <w:t>厂区下游河边</w:t>
            </w:r>
          </w:p>
        </w:tc>
      </w:tr>
      <w:tr w14:paraId="5A640C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4B1D2193">
            <w:pPr>
              <w:pStyle w:val="714"/>
              <w:rPr>
                <w:rFonts w:eastAsia="等线"/>
                <w:color w:val="auto"/>
                <w:shd w:val="clear" w:color="auto" w:fill="auto"/>
              </w:rPr>
            </w:pPr>
            <w:r>
              <w:rPr>
                <w:rFonts w:eastAsia="等线"/>
                <w:color w:val="auto"/>
                <w:shd w:val="clear" w:color="auto" w:fill="auto"/>
              </w:rPr>
              <w:t xml:space="preserve">37 </w:t>
            </w:r>
          </w:p>
        </w:tc>
        <w:tc>
          <w:tcPr>
            <w:tcW w:w="1249" w:type="pct"/>
            <w:tcBorders>
              <w:tl2br w:val="nil"/>
              <w:tr2bl w:val="nil"/>
            </w:tcBorders>
            <w:shd w:val="clear" w:color="auto" w:fill="auto"/>
            <w:vAlign w:val="center"/>
          </w:tcPr>
          <w:p w14:paraId="085F4766">
            <w:pPr>
              <w:pStyle w:val="714"/>
              <w:rPr>
                <w:rFonts w:eastAsia="等线"/>
                <w:color w:val="auto"/>
                <w:shd w:val="clear" w:color="auto" w:fill="auto"/>
              </w:rPr>
            </w:pPr>
            <w:r>
              <w:rPr>
                <w:rFonts w:eastAsia="等线"/>
                <w:color w:val="auto"/>
                <w:shd w:val="clear" w:color="auto" w:fill="auto"/>
              </w:rPr>
              <w:t>1.418</w:t>
            </w:r>
          </w:p>
        </w:tc>
        <w:tc>
          <w:tcPr>
            <w:tcW w:w="1250" w:type="pct"/>
            <w:tcBorders>
              <w:tl2br w:val="nil"/>
              <w:tr2bl w:val="nil"/>
            </w:tcBorders>
            <w:shd w:val="clear" w:color="auto" w:fill="auto"/>
            <w:vAlign w:val="center"/>
          </w:tcPr>
          <w:p w14:paraId="1735A061">
            <w:pPr>
              <w:pStyle w:val="714"/>
              <w:rPr>
                <w:rFonts w:eastAsia="等线"/>
                <w:color w:val="auto"/>
                <w:shd w:val="clear" w:color="auto" w:fill="auto"/>
              </w:rPr>
            </w:pPr>
            <w:r>
              <w:rPr>
                <w:rFonts w:eastAsia="等线"/>
                <w:color w:val="auto"/>
                <w:shd w:val="clear" w:color="auto" w:fill="auto"/>
              </w:rPr>
              <w:t>0.032</w:t>
            </w:r>
          </w:p>
        </w:tc>
        <w:tc>
          <w:tcPr>
            <w:tcW w:w="1250" w:type="pct"/>
            <w:tcBorders>
              <w:tl2br w:val="nil"/>
              <w:tr2bl w:val="nil"/>
            </w:tcBorders>
            <w:shd w:val="clear" w:color="auto" w:fill="auto"/>
            <w:vAlign w:val="center"/>
          </w:tcPr>
          <w:p w14:paraId="5B9B9292">
            <w:pPr>
              <w:pStyle w:val="714"/>
              <w:rPr>
                <w:rFonts w:eastAsia="等线"/>
                <w:color w:val="auto"/>
                <w:shd w:val="clear" w:color="auto" w:fill="auto"/>
              </w:rPr>
            </w:pPr>
            <w:r>
              <w:rPr>
                <w:rFonts w:eastAsia="等线"/>
                <w:color w:val="auto"/>
                <w:shd w:val="clear" w:color="auto" w:fill="auto"/>
              </w:rPr>
              <w:t>0.000</w:t>
            </w:r>
          </w:p>
        </w:tc>
      </w:tr>
      <w:tr w14:paraId="352593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595AD9DA">
            <w:pPr>
              <w:pStyle w:val="714"/>
              <w:rPr>
                <w:rFonts w:eastAsia="等线"/>
                <w:color w:val="auto"/>
                <w:shd w:val="clear" w:color="auto" w:fill="auto"/>
              </w:rPr>
            </w:pPr>
            <w:r>
              <w:rPr>
                <w:rFonts w:eastAsia="等线"/>
                <w:color w:val="auto"/>
                <w:shd w:val="clear" w:color="auto" w:fill="auto"/>
              </w:rPr>
              <w:t xml:space="preserve">79 </w:t>
            </w:r>
          </w:p>
        </w:tc>
        <w:tc>
          <w:tcPr>
            <w:tcW w:w="1249" w:type="pct"/>
            <w:tcBorders>
              <w:tl2br w:val="nil"/>
              <w:tr2bl w:val="nil"/>
            </w:tcBorders>
            <w:shd w:val="clear" w:color="auto" w:fill="auto"/>
            <w:vAlign w:val="center"/>
          </w:tcPr>
          <w:p w14:paraId="3DA6A12A">
            <w:pPr>
              <w:pStyle w:val="714"/>
              <w:rPr>
                <w:rFonts w:eastAsia="等线"/>
                <w:color w:val="auto"/>
                <w:shd w:val="clear" w:color="auto" w:fill="auto"/>
              </w:rPr>
            </w:pPr>
            <w:r>
              <w:rPr>
                <w:rFonts w:eastAsia="等线"/>
                <w:color w:val="auto"/>
                <w:shd w:val="clear" w:color="auto" w:fill="auto"/>
              </w:rPr>
              <w:t>2.780</w:t>
            </w:r>
          </w:p>
        </w:tc>
        <w:tc>
          <w:tcPr>
            <w:tcW w:w="1250" w:type="pct"/>
            <w:tcBorders>
              <w:tl2br w:val="nil"/>
              <w:tr2bl w:val="nil"/>
            </w:tcBorders>
            <w:shd w:val="clear" w:color="auto" w:fill="auto"/>
            <w:vAlign w:val="center"/>
          </w:tcPr>
          <w:p w14:paraId="2B19060D">
            <w:pPr>
              <w:pStyle w:val="714"/>
              <w:rPr>
                <w:rFonts w:eastAsia="等线"/>
                <w:color w:val="auto"/>
                <w:shd w:val="clear" w:color="auto" w:fill="auto"/>
              </w:rPr>
            </w:pPr>
            <w:r>
              <w:rPr>
                <w:rFonts w:eastAsia="等线"/>
                <w:color w:val="auto"/>
                <w:shd w:val="clear" w:color="auto" w:fill="auto"/>
              </w:rPr>
              <w:t>0.230</w:t>
            </w:r>
          </w:p>
        </w:tc>
        <w:tc>
          <w:tcPr>
            <w:tcW w:w="1250" w:type="pct"/>
            <w:tcBorders>
              <w:tl2br w:val="nil"/>
              <w:tr2bl w:val="nil"/>
            </w:tcBorders>
            <w:shd w:val="clear" w:color="auto" w:fill="auto"/>
            <w:vAlign w:val="center"/>
          </w:tcPr>
          <w:p w14:paraId="6FC37AD3">
            <w:pPr>
              <w:pStyle w:val="714"/>
              <w:rPr>
                <w:rFonts w:eastAsia="等线"/>
                <w:color w:val="auto"/>
                <w:shd w:val="clear" w:color="auto" w:fill="auto"/>
              </w:rPr>
            </w:pPr>
            <w:r>
              <w:rPr>
                <w:rFonts w:eastAsia="等线"/>
                <w:color w:val="auto"/>
                <w:shd w:val="clear" w:color="auto" w:fill="auto"/>
              </w:rPr>
              <w:t>0.000</w:t>
            </w:r>
          </w:p>
        </w:tc>
      </w:tr>
      <w:tr w14:paraId="6B9701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3EB73DF0">
            <w:pPr>
              <w:pStyle w:val="714"/>
              <w:rPr>
                <w:rFonts w:eastAsia="等线"/>
                <w:color w:val="auto"/>
                <w:shd w:val="clear" w:color="auto" w:fill="auto"/>
              </w:rPr>
            </w:pPr>
            <w:r>
              <w:rPr>
                <w:rFonts w:eastAsia="等线"/>
                <w:color w:val="auto"/>
                <w:shd w:val="clear" w:color="auto" w:fill="auto"/>
              </w:rPr>
              <w:t xml:space="preserve">90 </w:t>
            </w:r>
          </w:p>
        </w:tc>
        <w:tc>
          <w:tcPr>
            <w:tcW w:w="1249" w:type="pct"/>
            <w:tcBorders>
              <w:tl2br w:val="nil"/>
              <w:tr2bl w:val="nil"/>
            </w:tcBorders>
            <w:shd w:val="clear" w:color="auto" w:fill="auto"/>
            <w:vAlign w:val="center"/>
          </w:tcPr>
          <w:p w14:paraId="07009951">
            <w:pPr>
              <w:pStyle w:val="714"/>
              <w:rPr>
                <w:rFonts w:eastAsia="等线"/>
                <w:color w:val="auto"/>
                <w:shd w:val="clear" w:color="auto" w:fill="auto"/>
              </w:rPr>
            </w:pPr>
            <w:r>
              <w:rPr>
                <w:rFonts w:eastAsia="等线"/>
                <w:color w:val="auto"/>
                <w:shd w:val="clear" w:color="auto" w:fill="auto"/>
              </w:rPr>
              <w:t>3.145</w:t>
            </w:r>
          </w:p>
        </w:tc>
        <w:tc>
          <w:tcPr>
            <w:tcW w:w="1250" w:type="pct"/>
            <w:tcBorders>
              <w:tl2br w:val="nil"/>
              <w:tr2bl w:val="nil"/>
            </w:tcBorders>
            <w:shd w:val="clear" w:color="auto" w:fill="auto"/>
            <w:vAlign w:val="center"/>
          </w:tcPr>
          <w:p w14:paraId="3DC379BD">
            <w:pPr>
              <w:pStyle w:val="714"/>
              <w:rPr>
                <w:rFonts w:eastAsia="等线"/>
                <w:color w:val="auto"/>
                <w:shd w:val="clear" w:color="auto" w:fill="auto"/>
              </w:rPr>
            </w:pPr>
            <w:r>
              <w:rPr>
                <w:rFonts w:eastAsia="等线"/>
                <w:color w:val="auto"/>
                <w:shd w:val="clear" w:color="auto" w:fill="auto"/>
              </w:rPr>
              <w:t>0.297</w:t>
            </w:r>
          </w:p>
        </w:tc>
        <w:tc>
          <w:tcPr>
            <w:tcW w:w="1250" w:type="pct"/>
            <w:tcBorders>
              <w:tl2br w:val="nil"/>
              <w:tr2bl w:val="nil"/>
            </w:tcBorders>
            <w:shd w:val="clear" w:color="auto" w:fill="auto"/>
            <w:vAlign w:val="center"/>
          </w:tcPr>
          <w:p w14:paraId="72F2A38F">
            <w:pPr>
              <w:pStyle w:val="714"/>
              <w:rPr>
                <w:rFonts w:eastAsia="等线"/>
                <w:color w:val="auto"/>
                <w:shd w:val="clear" w:color="auto" w:fill="auto"/>
              </w:rPr>
            </w:pPr>
            <w:r>
              <w:rPr>
                <w:rFonts w:eastAsia="等线"/>
                <w:color w:val="auto"/>
                <w:shd w:val="clear" w:color="auto" w:fill="auto"/>
              </w:rPr>
              <w:t>0.000</w:t>
            </w:r>
          </w:p>
        </w:tc>
      </w:tr>
      <w:tr w14:paraId="140E77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79A76B35">
            <w:pPr>
              <w:pStyle w:val="714"/>
              <w:rPr>
                <w:rFonts w:eastAsia="等线"/>
                <w:color w:val="auto"/>
                <w:shd w:val="clear" w:color="auto" w:fill="auto"/>
              </w:rPr>
            </w:pPr>
            <w:r>
              <w:rPr>
                <w:rFonts w:eastAsia="等线"/>
                <w:color w:val="auto"/>
                <w:shd w:val="clear" w:color="auto" w:fill="auto"/>
              </w:rPr>
              <w:t xml:space="preserve">100 </w:t>
            </w:r>
          </w:p>
        </w:tc>
        <w:tc>
          <w:tcPr>
            <w:tcW w:w="1249" w:type="pct"/>
            <w:tcBorders>
              <w:tl2br w:val="nil"/>
              <w:tr2bl w:val="nil"/>
            </w:tcBorders>
            <w:shd w:val="clear" w:color="auto" w:fill="auto"/>
            <w:vAlign w:val="center"/>
          </w:tcPr>
          <w:p w14:paraId="4BAEBB91">
            <w:pPr>
              <w:pStyle w:val="714"/>
              <w:rPr>
                <w:rFonts w:eastAsia="等线"/>
                <w:color w:val="auto"/>
                <w:shd w:val="clear" w:color="auto" w:fill="auto"/>
              </w:rPr>
            </w:pPr>
            <w:r>
              <w:rPr>
                <w:rFonts w:eastAsia="等线"/>
                <w:color w:val="auto"/>
                <w:shd w:val="clear" w:color="auto" w:fill="auto"/>
              </w:rPr>
              <w:t>3.050</w:t>
            </w:r>
          </w:p>
        </w:tc>
        <w:tc>
          <w:tcPr>
            <w:tcW w:w="1250" w:type="pct"/>
            <w:tcBorders>
              <w:tl2br w:val="nil"/>
              <w:tr2bl w:val="nil"/>
            </w:tcBorders>
            <w:shd w:val="clear" w:color="auto" w:fill="auto"/>
            <w:vAlign w:val="center"/>
          </w:tcPr>
          <w:p w14:paraId="145F787B">
            <w:pPr>
              <w:pStyle w:val="714"/>
              <w:rPr>
                <w:rFonts w:eastAsia="等线"/>
                <w:color w:val="auto"/>
                <w:shd w:val="clear" w:color="auto" w:fill="auto"/>
              </w:rPr>
            </w:pPr>
            <w:r>
              <w:rPr>
                <w:rFonts w:eastAsia="等线"/>
                <w:color w:val="auto"/>
                <w:shd w:val="clear" w:color="auto" w:fill="auto"/>
              </w:rPr>
              <w:t>0.359</w:t>
            </w:r>
          </w:p>
        </w:tc>
        <w:tc>
          <w:tcPr>
            <w:tcW w:w="1250" w:type="pct"/>
            <w:tcBorders>
              <w:tl2br w:val="nil"/>
              <w:tr2bl w:val="nil"/>
            </w:tcBorders>
            <w:shd w:val="clear" w:color="auto" w:fill="auto"/>
            <w:vAlign w:val="center"/>
          </w:tcPr>
          <w:p w14:paraId="78DC861A">
            <w:pPr>
              <w:pStyle w:val="714"/>
              <w:rPr>
                <w:rFonts w:eastAsia="等线"/>
                <w:color w:val="auto"/>
                <w:shd w:val="clear" w:color="auto" w:fill="auto"/>
              </w:rPr>
            </w:pPr>
            <w:r>
              <w:rPr>
                <w:rFonts w:eastAsia="等线"/>
                <w:color w:val="auto"/>
                <w:shd w:val="clear" w:color="auto" w:fill="auto"/>
              </w:rPr>
              <w:t>0.000</w:t>
            </w:r>
          </w:p>
        </w:tc>
      </w:tr>
      <w:tr w14:paraId="5D3189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0D8FA8A4">
            <w:pPr>
              <w:pStyle w:val="714"/>
              <w:rPr>
                <w:rFonts w:eastAsia="等线"/>
                <w:color w:val="auto"/>
                <w:shd w:val="clear" w:color="auto" w:fill="auto"/>
              </w:rPr>
            </w:pPr>
            <w:r>
              <w:rPr>
                <w:rFonts w:eastAsia="等线"/>
                <w:color w:val="auto"/>
                <w:shd w:val="clear" w:color="auto" w:fill="auto"/>
              </w:rPr>
              <w:t xml:space="preserve">365 </w:t>
            </w:r>
          </w:p>
        </w:tc>
        <w:tc>
          <w:tcPr>
            <w:tcW w:w="1249" w:type="pct"/>
            <w:tcBorders>
              <w:tl2br w:val="nil"/>
              <w:tr2bl w:val="nil"/>
            </w:tcBorders>
            <w:shd w:val="clear" w:color="auto" w:fill="auto"/>
            <w:vAlign w:val="center"/>
          </w:tcPr>
          <w:p w14:paraId="63710BD5">
            <w:pPr>
              <w:pStyle w:val="714"/>
              <w:rPr>
                <w:rFonts w:eastAsia="等线"/>
                <w:color w:val="auto"/>
                <w:shd w:val="clear" w:color="auto" w:fill="auto"/>
              </w:rPr>
            </w:pPr>
            <w:r>
              <w:rPr>
                <w:rFonts w:eastAsia="等线"/>
                <w:color w:val="auto"/>
                <w:shd w:val="clear" w:color="auto" w:fill="auto"/>
              </w:rPr>
              <w:t>1.566</w:t>
            </w:r>
          </w:p>
        </w:tc>
        <w:tc>
          <w:tcPr>
            <w:tcW w:w="1250" w:type="pct"/>
            <w:tcBorders>
              <w:tl2br w:val="nil"/>
              <w:tr2bl w:val="nil"/>
            </w:tcBorders>
            <w:shd w:val="clear" w:color="auto" w:fill="auto"/>
            <w:vAlign w:val="center"/>
          </w:tcPr>
          <w:p w14:paraId="1C44675A">
            <w:pPr>
              <w:pStyle w:val="714"/>
              <w:rPr>
                <w:rFonts w:eastAsia="等线"/>
                <w:color w:val="auto"/>
                <w:shd w:val="clear" w:color="auto" w:fill="auto"/>
              </w:rPr>
            </w:pPr>
            <w:r>
              <w:rPr>
                <w:rFonts w:eastAsia="等线"/>
                <w:color w:val="auto"/>
                <w:shd w:val="clear" w:color="auto" w:fill="auto"/>
              </w:rPr>
              <w:t>0.896</w:t>
            </w:r>
          </w:p>
        </w:tc>
        <w:tc>
          <w:tcPr>
            <w:tcW w:w="1250" w:type="pct"/>
            <w:tcBorders>
              <w:tl2br w:val="nil"/>
              <w:tr2bl w:val="nil"/>
            </w:tcBorders>
            <w:shd w:val="clear" w:color="auto" w:fill="auto"/>
            <w:vAlign w:val="center"/>
          </w:tcPr>
          <w:p w14:paraId="0E97A747">
            <w:pPr>
              <w:pStyle w:val="714"/>
              <w:rPr>
                <w:rFonts w:eastAsia="等线"/>
                <w:color w:val="auto"/>
                <w:shd w:val="clear" w:color="auto" w:fill="auto"/>
              </w:rPr>
            </w:pPr>
            <w:r>
              <w:rPr>
                <w:rFonts w:eastAsia="等线"/>
                <w:color w:val="auto"/>
                <w:shd w:val="clear" w:color="auto" w:fill="auto"/>
              </w:rPr>
              <w:t>0.004</w:t>
            </w:r>
          </w:p>
        </w:tc>
      </w:tr>
      <w:tr w14:paraId="17F07B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6F8BFA08">
            <w:pPr>
              <w:pStyle w:val="714"/>
              <w:rPr>
                <w:rFonts w:eastAsia="等线"/>
                <w:color w:val="auto"/>
                <w:shd w:val="clear" w:color="auto" w:fill="auto"/>
              </w:rPr>
            </w:pPr>
            <w:r>
              <w:rPr>
                <w:rFonts w:eastAsia="等线"/>
                <w:color w:val="auto"/>
                <w:shd w:val="clear" w:color="auto" w:fill="auto"/>
              </w:rPr>
              <w:t xml:space="preserve">730 </w:t>
            </w:r>
          </w:p>
        </w:tc>
        <w:tc>
          <w:tcPr>
            <w:tcW w:w="1249" w:type="pct"/>
            <w:tcBorders>
              <w:tl2br w:val="nil"/>
              <w:tr2bl w:val="nil"/>
            </w:tcBorders>
            <w:shd w:val="clear" w:color="auto" w:fill="auto"/>
            <w:vAlign w:val="center"/>
          </w:tcPr>
          <w:p w14:paraId="50985C3A">
            <w:pPr>
              <w:pStyle w:val="714"/>
              <w:rPr>
                <w:rFonts w:eastAsia="等线"/>
                <w:color w:val="auto"/>
                <w:shd w:val="clear" w:color="auto" w:fill="auto"/>
              </w:rPr>
            </w:pPr>
            <w:r>
              <w:rPr>
                <w:rFonts w:eastAsia="等线"/>
                <w:color w:val="auto"/>
                <w:shd w:val="clear" w:color="auto" w:fill="auto"/>
              </w:rPr>
              <w:t>1.013</w:t>
            </w:r>
          </w:p>
        </w:tc>
        <w:tc>
          <w:tcPr>
            <w:tcW w:w="1250" w:type="pct"/>
            <w:tcBorders>
              <w:tl2br w:val="nil"/>
              <w:tr2bl w:val="nil"/>
            </w:tcBorders>
            <w:shd w:val="clear" w:color="auto" w:fill="auto"/>
            <w:vAlign w:val="center"/>
          </w:tcPr>
          <w:p w14:paraId="2AD34323">
            <w:pPr>
              <w:pStyle w:val="714"/>
              <w:rPr>
                <w:rFonts w:eastAsia="等线"/>
                <w:color w:val="auto"/>
                <w:shd w:val="clear" w:color="auto" w:fill="auto"/>
              </w:rPr>
            </w:pPr>
            <w:r>
              <w:rPr>
                <w:rFonts w:eastAsia="等线"/>
                <w:color w:val="auto"/>
                <w:shd w:val="clear" w:color="auto" w:fill="auto"/>
              </w:rPr>
              <w:t>0.982</w:t>
            </w:r>
          </w:p>
        </w:tc>
        <w:tc>
          <w:tcPr>
            <w:tcW w:w="1250" w:type="pct"/>
            <w:tcBorders>
              <w:tl2br w:val="nil"/>
              <w:tr2bl w:val="nil"/>
            </w:tcBorders>
            <w:shd w:val="clear" w:color="auto" w:fill="auto"/>
            <w:vAlign w:val="center"/>
          </w:tcPr>
          <w:p w14:paraId="0F542F2E">
            <w:pPr>
              <w:pStyle w:val="714"/>
              <w:rPr>
                <w:rFonts w:eastAsia="等线"/>
                <w:color w:val="auto"/>
                <w:shd w:val="clear" w:color="auto" w:fill="auto"/>
              </w:rPr>
            </w:pPr>
            <w:r>
              <w:rPr>
                <w:rFonts w:eastAsia="等线"/>
                <w:color w:val="auto"/>
                <w:shd w:val="clear" w:color="auto" w:fill="auto"/>
              </w:rPr>
              <w:t>0.049</w:t>
            </w:r>
          </w:p>
        </w:tc>
      </w:tr>
      <w:tr w14:paraId="5D3412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0E24A10E">
            <w:pPr>
              <w:pStyle w:val="714"/>
              <w:rPr>
                <w:rFonts w:eastAsia="等线"/>
                <w:color w:val="auto"/>
                <w:shd w:val="clear" w:color="auto" w:fill="auto"/>
              </w:rPr>
            </w:pPr>
            <w:r>
              <w:rPr>
                <w:rFonts w:eastAsia="等线"/>
                <w:color w:val="auto"/>
                <w:shd w:val="clear" w:color="auto" w:fill="auto"/>
              </w:rPr>
              <w:t xml:space="preserve">1000 </w:t>
            </w:r>
          </w:p>
        </w:tc>
        <w:tc>
          <w:tcPr>
            <w:tcW w:w="1249" w:type="pct"/>
            <w:tcBorders>
              <w:tl2br w:val="nil"/>
              <w:tr2bl w:val="nil"/>
            </w:tcBorders>
            <w:shd w:val="clear" w:color="auto" w:fill="auto"/>
            <w:vAlign w:val="center"/>
          </w:tcPr>
          <w:p w14:paraId="570057A5">
            <w:pPr>
              <w:pStyle w:val="714"/>
              <w:rPr>
                <w:rFonts w:eastAsia="等线"/>
                <w:color w:val="auto"/>
                <w:shd w:val="clear" w:color="auto" w:fill="auto"/>
              </w:rPr>
            </w:pPr>
            <w:r>
              <w:rPr>
                <w:rFonts w:eastAsia="等线"/>
                <w:color w:val="auto"/>
                <w:shd w:val="clear" w:color="auto" w:fill="auto"/>
              </w:rPr>
              <w:t>0.759</w:t>
            </w:r>
          </w:p>
        </w:tc>
        <w:tc>
          <w:tcPr>
            <w:tcW w:w="1250" w:type="pct"/>
            <w:tcBorders>
              <w:tl2br w:val="nil"/>
              <w:tr2bl w:val="nil"/>
            </w:tcBorders>
            <w:shd w:val="clear" w:color="auto" w:fill="auto"/>
            <w:vAlign w:val="center"/>
          </w:tcPr>
          <w:p w14:paraId="323F55E3">
            <w:pPr>
              <w:pStyle w:val="714"/>
              <w:rPr>
                <w:rFonts w:eastAsia="等线"/>
                <w:color w:val="auto"/>
                <w:shd w:val="clear" w:color="auto" w:fill="auto"/>
              </w:rPr>
            </w:pPr>
            <w:r>
              <w:rPr>
                <w:rFonts w:eastAsia="等线"/>
                <w:color w:val="auto"/>
                <w:shd w:val="clear" w:color="auto" w:fill="auto"/>
              </w:rPr>
              <w:t>0.948</w:t>
            </w:r>
          </w:p>
        </w:tc>
        <w:tc>
          <w:tcPr>
            <w:tcW w:w="1250" w:type="pct"/>
            <w:tcBorders>
              <w:tl2br w:val="nil"/>
              <w:tr2bl w:val="nil"/>
            </w:tcBorders>
            <w:shd w:val="clear" w:color="auto" w:fill="auto"/>
            <w:vAlign w:val="center"/>
          </w:tcPr>
          <w:p w14:paraId="7E85E645">
            <w:pPr>
              <w:pStyle w:val="714"/>
              <w:rPr>
                <w:rFonts w:eastAsia="等线"/>
                <w:color w:val="auto"/>
                <w:shd w:val="clear" w:color="auto" w:fill="auto"/>
              </w:rPr>
            </w:pPr>
            <w:r>
              <w:rPr>
                <w:rFonts w:eastAsia="等线"/>
                <w:color w:val="auto"/>
                <w:shd w:val="clear" w:color="auto" w:fill="auto"/>
              </w:rPr>
              <w:t>0.094</w:t>
            </w:r>
          </w:p>
        </w:tc>
      </w:tr>
      <w:tr w14:paraId="399EFA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57AAAC32">
            <w:pPr>
              <w:pStyle w:val="714"/>
              <w:rPr>
                <w:rFonts w:eastAsia="等线"/>
                <w:color w:val="auto"/>
                <w:shd w:val="clear" w:color="auto" w:fill="auto"/>
              </w:rPr>
            </w:pPr>
            <w:r>
              <w:rPr>
                <w:rFonts w:eastAsia="等线"/>
                <w:color w:val="auto"/>
                <w:shd w:val="clear" w:color="auto" w:fill="auto"/>
              </w:rPr>
              <w:t xml:space="preserve">1518 </w:t>
            </w:r>
          </w:p>
        </w:tc>
        <w:tc>
          <w:tcPr>
            <w:tcW w:w="1249" w:type="pct"/>
            <w:tcBorders>
              <w:tl2br w:val="nil"/>
              <w:tr2bl w:val="nil"/>
            </w:tcBorders>
            <w:shd w:val="clear" w:color="auto" w:fill="auto"/>
            <w:vAlign w:val="center"/>
          </w:tcPr>
          <w:p w14:paraId="55CB6923">
            <w:pPr>
              <w:pStyle w:val="714"/>
              <w:rPr>
                <w:rFonts w:eastAsia="等线"/>
                <w:color w:val="auto"/>
                <w:shd w:val="clear" w:color="auto" w:fill="auto"/>
              </w:rPr>
            </w:pPr>
            <w:r>
              <w:rPr>
                <w:rFonts w:eastAsia="等线"/>
                <w:color w:val="auto"/>
                <w:shd w:val="clear" w:color="auto" w:fill="auto"/>
              </w:rPr>
              <w:t>0.435</w:t>
            </w:r>
          </w:p>
        </w:tc>
        <w:tc>
          <w:tcPr>
            <w:tcW w:w="1250" w:type="pct"/>
            <w:tcBorders>
              <w:tl2br w:val="nil"/>
              <w:tr2bl w:val="nil"/>
            </w:tcBorders>
            <w:shd w:val="clear" w:color="auto" w:fill="auto"/>
            <w:vAlign w:val="center"/>
          </w:tcPr>
          <w:p w14:paraId="71A25D13">
            <w:pPr>
              <w:pStyle w:val="714"/>
              <w:rPr>
                <w:rFonts w:eastAsia="等线"/>
                <w:color w:val="auto"/>
                <w:shd w:val="clear" w:color="auto" w:fill="auto"/>
              </w:rPr>
            </w:pPr>
            <w:r>
              <w:rPr>
                <w:rFonts w:eastAsia="等线"/>
                <w:color w:val="auto"/>
                <w:shd w:val="clear" w:color="auto" w:fill="auto"/>
              </w:rPr>
              <w:t>0.776</w:t>
            </w:r>
          </w:p>
        </w:tc>
        <w:tc>
          <w:tcPr>
            <w:tcW w:w="1250" w:type="pct"/>
            <w:tcBorders>
              <w:tl2br w:val="nil"/>
              <w:tr2bl w:val="nil"/>
            </w:tcBorders>
            <w:shd w:val="clear" w:color="auto" w:fill="auto"/>
            <w:vAlign w:val="center"/>
          </w:tcPr>
          <w:p w14:paraId="6E2E6159">
            <w:pPr>
              <w:pStyle w:val="714"/>
              <w:rPr>
                <w:rFonts w:eastAsia="等线"/>
                <w:color w:val="auto"/>
                <w:shd w:val="clear" w:color="auto" w:fill="auto"/>
              </w:rPr>
            </w:pPr>
            <w:r>
              <w:rPr>
                <w:rFonts w:eastAsia="等线"/>
                <w:color w:val="auto"/>
                <w:shd w:val="clear" w:color="auto" w:fill="auto"/>
              </w:rPr>
              <w:t>0.151</w:t>
            </w:r>
          </w:p>
        </w:tc>
      </w:tr>
      <w:tr w14:paraId="1033A6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0A9176AC">
            <w:pPr>
              <w:pStyle w:val="714"/>
              <w:rPr>
                <w:rFonts w:eastAsia="等线"/>
                <w:color w:val="auto"/>
                <w:shd w:val="clear" w:color="auto" w:fill="auto"/>
              </w:rPr>
            </w:pPr>
            <w:r>
              <w:rPr>
                <w:rFonts w:eastAsia="等线"/>
                <w:color w:val="auto"/>
                <w:shd w:val="clear" w:color="auto" w:fill="auto"/>
              </w:rPr>
              <w:t xml:space="preserve">2000 </w:t>
            </w:r>
          </w:p>
        </w:tc>
        <w:tc>
          <w:tcPr>
            <w:tcW w:w="1249" w:type="pct"/>
            <w:tcBorders>
              <w:tl2br w:val="nil"/>
              <w:tr2bl w:val="nil"/>
            </w:tcBorders>
            <w:shd w:val="clear" w:color="auto" w:fill="auto"/>
            <w:vAlign w:val="center"/>
          </w:tcPr>
          <w:p w14:paraId="345F4547">
            <w:pPr>
              <w:pStyle w:val="714"/>
              <w:rPr>
                <w:rFonts w:eastAsia="等线"/>
                <w:color w:val="auto"/>
                <w:shd w:val="clear" w:color="auto" w:fill="auto"/>
              </w:rPr>
            </w:pPr>
            <w:r>
              <w:rPr>
                <w:rFonts w:eastAsia="等线"/>
                <w:color w:val="auto"/>
                <w:shd w:val="clear" w:color="auto" w:fill="auto"/>
              </w:rPr>
              <w:t>0.257</w:t>
            </w:r>
          </w:p>
        </w:tc>
        <w:tc>
          <w:tcPr>
            <w:tcW w:w="1250" w:type="pct"/>
            <w:tcBorders>
              <w:tl2br w:val="nil"/>
              <w:tr2bl w:val="nil"/>
            </w:tcBorders>
            <w:shd w:val="clear" w:color="auto" w:fill="auto"/>
            <w:vAlign w:val="center"/>
          </w:tcPr>
          <w:p w14:paraId="3F58ED0C">
            <w:pPr>
              <w:pStyle w:val="714"/>
              <w:rPr>
                <w:rFonts w:eastAsia="等线"/>
                <w:color w:val="auto"/>
                <w:shd w:val="clear" w:color="auto" w:fill="auto"/>
              </w:rPr>
            </w:pPr>
            <w:r>
              <w:rPr>
                <w:rFonts w:eastAsia="等线"/>
                <w:color w:val="auto"/>
                <w:shd w:val="clear" w:color="auto" w:fill="auto"/>
              </w:rPr>
              <w:t>0.578</w:t>
            </w:r>
          </w:p>
        </w:tc>
        <w:tc>
          <w:tcPr>
            <w:tcW w:w="1250" w:type="pct"/>
            <w:tcBorders>
              <w:tl2br w:val="nil"/>
              <w:tr2bl w:val="nil"/>
            </w:tcBorders>
            <w:shd w:val="clear" w:color="auto" w:fill="auto"/>
            <w:vAlign w:val="center"/>
          </w:tcPr>
          <w:p w14:paraId="7F0A51A2">
            <w:pPr>
              <w:pStyle w:val="714"/>
              <w:rPr>
                <w:rFonts w:eastAsia="等线"/>
                <w:color w:val="auto"/>
                <w:shd w:val="clear" w:color="auto" w:fill="auto"/>
              </w:rPr>
            </w:pPr>
            <w:r>
              <w:rPr>
                <w:rFonts w:eastAsia="等线"/>
                <w:color w:val="auto"/>
                <w:shd w:val="clear" w:color="auto" w:fill="auto"/>
              </w:rPr>
              <w:t>0.165</w:t>
            </w:r>
          </w:p>
        </w:tc>
      </w:tr>
      <w:tr w14:paraId="1349C3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74E119E5">
            <w:pPr>
              <w:pStyle w:val="714"/>
              <w:rPr>
                <w:rFonts w:eastAsia="等线"/>
                <w:color w:val="auto"/>
                <w:shd w:val="clear" w:color="auto" w:fill="auto"/>
              </w:rPr>
            </w:pPr>
            <w:r>
              <w:rPr>
                <w:rFonts w:eastAsia="等线"/>
                <w:color w:val="auto"/>
                <w:shd w:val="clear" w:color="auto" w:fill="auto"/>
              </w:rPr>
              <w:t xml:space="preserve">3000 </w:t>
            </w:r>
          </w:p>
        </w:tc>
        <w:tc>
          <w:tcPr>
            <w:tcW w:w="1249" w:type="pct"/>
            <w:tcBorders>
              <w:tl2br w:val="nil"/>
              <w:tr2bl w:val="nil"/>
            </w:tcBorders>
            <w:shd w:val="clear" w:color="auto" w:fill="auto"/>
            <w:vAlign w:val="center"/>
          </w:tcPr>
          <w:p w14:paraId="0D0140F2">
            <w:pPr>
              <w:pStyle w:val="714"/>
              <w:rPr>
                <w:rFonts w:eastAsia="等线"/>
                <w:color w:val="auto"/>
                <w:shd w:val="clear" w:color="auto" w:fill="auto"/>
              </w:rPr>
            </w:pPr>
            <w:r>
              <w:rPr>
                <w:rFonts w:eastAsia="等线"/>
                <w:color w:val="auto"/>
                <w:shd w:val="clear" w:color="auto" w:fill="auto"/>
              </w:rPr>
              <w:t>0.088</w:t>
            </w:r>
          </w:p>
        </w:tc>
        <w:tc>
          <w:tcPr>
            <w:tcW w:w="1250" w:type="pct"/>
            <w:tcBorders>
              <w:tl2br w:val="nil"/>
              <w:tr2bl w:val="nil"/>
            </w:tcBorders>
            <w:shd w:val="clear" w:color="auto" w:fill="auto"/>
            <w:vAlign w:val="center"/>
          </w:tcPr>
          <w:p w14:paraId="1A912275">
            <w:pPr>
              <w:pStyle w:val="714"/>
              <w:rPr>
                <w:rFonts w:eastAsia="等线"/>
                <w:color w:val="auto"/>
                <w:shd w:val="clear" w:color="auto" w:fill="auto"/>
              </w:rPr>
            </w:pPr>
            <w:r>
              <w:rPr>
                <w:rFonts w:eastAsia="等线"/>
                <w:color w:val="auto"/>
                <w:shd w:val="clear" w:color="auto" w:fill="auto"/>
              </w:rPr>
              <w:t>0.262</w:t>
            </w:r>
          </w:p>
        </w:tc>
        <w:tc>
          <w:tcPr>
            <w:tcW w:w="1250" w:type="pct"/>
            <w:tcBorders>
              <w:tl2br w:val="nil"/>
              <w:tr2bl w:val="nil"/>
            </w:tcBorders>
            <w:shd w:val="clear" w:color="auto" w:fill="auto"/>
            <w:vAlign w:val="center"/>
          </w:tcPr>
          <w:p w14:paraId="6F80D9FA">
            <w:pPr>
              <w:pStyle w:val="714"/>
              <w:rPr>
                <w:rFonts w:eastAsia="等线"/>
                <w:color w:val="auto"/>
                <w:shd w:val="clear" w:color="auto" w:fill="auto"/>
              </w:rPr>
            </w:pPr>
            <w:r>
              <w:rPr>
                <w:rFonts w:eastAsia="等线"/>
                <w:color w:val="auto"/>
                <w:shd w:val="clear" w:color="auto" w:fill="auto"/>
              </w:rPr>
              <w:t>0.123</w:t>
            </w:r>
          </w:p>
        </w:tc>
      </w:tr>
      <w:tr w14:paraId="61A4A2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17E22E91">
            <w:pPr>
              <w:pStyle w:val="714"/>
              <w:rPr>
                <w:rFonts w:eastAsia="等线"/>
                <w:color w:val="auto"/>
                <w:shd w:val="clear" w:color="auto" w:fill="auto"/>
              </w:rPr>
            </w:pPr>
            <w:r>
              <w:rPr>
                <w:rFonts w:eastAsia="等线"/>
                <w:color w:val="auto"/>
                <w:shd w:val="clear" w:color="auto" w:fill="auto"/>
              </w:rPr>
              <w:t xml:space="preserve">3650 </w:t>
            </w:r>
          </w:p>
        </w:tc>
        <w:tc>
          <w:tcPr>
            <w:tcW w:w="1249" w:type="pct"/>
            <w:tcBorders>
              <w:tl2br w:val="nil"/>
              <w:tr2bl w:val="nil"/>
            </w:tcBorders>
            <w:shd w:val="clear" w:color="auto" w:fill="auto"/>
            <w:vAlign w:val="center"/>
          </w:tcPr>
          <w:p w14:paraId="0B4C9F4F">
            <w:pPr>
              <w:pStyle w:val="714"/>
              <w:rPr>
                <w:rFonts w:eastAsia="等线"/>
                <w:color w:val="auto"/>
                <w:shd w:val="clear" w:color="auto" w:fill="auto"/>
              </w:rPr>
            </w:pPr>
            <w:r>
              <w:rPr>
                <w:rFonts w:eastAsia="等线"/>
                <w:color w:val="auto"/>
                <w:shd w:val="clear" w:color="auto" w:fill="auto"/>
              </w:rPr>
              <w:t>0.044</w:t>
            </w:r>
          </w:p>
        </w:tc>
        <w:tc>
          <w:tcPr>
            <w:tcW w:w="1250" w:type="pct"/>
            <w:tcBorders>
              <w:tl2br w:val="nil"/>
              <w:tr2bl w:val="nil"/>
            </w:tcBorders>
            <w:shd w:val="clear" w:color="auto" w:fill="auto"/>
            <w:vAlign w:val="center"/>
          </w:tcPr>
          <w:p w14:paraId="117A0712">
            <w:pPr>
              <w:pStyle w:val="714"/>
              <w:rPr>
                <w:rFonts w:eastAsia="等线"/>
                <w:color w:val="auto"/>
                <w:shd w:val="clear" w:color="auto" w:fill="auto"/>
              </w:rPr>
            </w:pPr>
            <w:r>
              <w:rPr>
                <w:rFonts w:eastAsia="等线"/>
                <w:color w:val="auto"/>
                <w:shd w:val="clear" w:color="auto" w:fill="auto"/>
              </w:rPr>
              <w:t>0.146</w:t>
            </w:r>
          </w:p>
        </w:tc>
        <w:tc>
          <w:tcPr>
            <w:tcW w:w="1250" w:type="pct"/>
            <w:tcBorders>
              <w:tl2br w:val="nil"/>
              <w:tr2bl w:val="nil"/>
            </w:tcBorders>
            <w:shd w:val="clear" w:color="auto" w:fill="auto"/>
            <w:vAlign w:val="center"/>
          </w:tcPr>
          <w:p w14:paraId="6CF40898">
            <w:pPr>
              <w:pStyle w:val="714"/>
              <w:rPr>
                <w:rFonts w:eastAsia="等线"/>
                <w:color w:val="auto"/>
                <w:shd w:val="clear" w:color="auto" w:fill="auto"/>
              </w:rPr>
            </w:pPr>
            <w:r>
              <w:rPr>
                <w:rFonts w:eastAsia="等线"/>
                <w:color w:val="auto"/>
                <w:shd w:val="clear" w:color="auto" w:fill="auto"/>
              </w:rPr>
              <w:t>0.084</w:t>
            </w:r>
          </w:p>
        </w:tc>
      </w:tr>
      <w:tr w14:paraId="6AC5A9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3C20D197">
            <w:pPr>
              <w:pStyle w:val="714"/>
              <w:rPr>
                <w:rFonts w:eastAsia="等线"/>
                <w:color w:val="auto"/>
                <w:shd w:val="clear" w:color="auto" w:fill="auto"/>
              </w:rPr>
            </w:pPr>
            <w:r>
              <w:rPr>
                <w:rFonts w:eastAsia="等线"/>
                <w:color w:val="auto"/>
                <w:shd w:val="clear" w:color="auto" w:fill="auto"/>
              </w:rPr>
              <w:t xml:space="preserve">4050 </w:t>
            </w:r>
          </w:p>
        </w:tc>
        <w:tc>
          <w:tcPr>
            <w:tcW w:w="1249" w:type="pct"/>
            <w:tcBorders>
              <w:tl2br w:val="nil"/>
              <w:tr2bl w:val="nil"/>
            </w:tcBorders>
            <w:shd w:val="clear" w:color="auto" w:fill="auto"/>
            <w:vAlign w:val="center"/>
          </w:tcPr>
          <w:p w14:paraId="69362837">
            <w:pPr>
              <w:pStyle w:val="714"/>
              <w:rPr>
                <w:rFonts w:eastAsia="等线"/>
                <w:color w:val="auto"/>
                <w:shd w:val="clear" w:color="auto" w:fill="auto"/>
              </w:rPr>
            </w:pPr>
            <w:r>
              <w:rPr>
                <w:rFonts w:eastAsia="等线"/>
                <w:color w:val="auto"/>
                <w:shd w:val="clear" w:color="auto" w:fill="auto"/>
              </w:rPr>
              <w:t>0.029</w:t>
            </w:r>
          </w:p>
        </w:tc>
        <w:tc>
          <w:tcPr>
            <w:tcW w:w="1250" w:type="pct"/>
            <w:tcBorders>
              <w:tl2br w:val="nil"/>
              <w:tr2bl w:val="nil"/>
            </w:tcBorders>
            <w:shd w:val="clear" w:color="auto" w:fill="auto"/>
            <w:vAlign w:val="center"/>
          </w:tcPr>
          <w:p w14:paraId="0C8B44AD">
            <w:pPr>
              <w:pStyle w:val="714"/>
              <w:rPr>
                <w:rFonts w:eastAsia="等线"/>
                <w:color w:val="auto"/>
                <w:shd w:val="clear" w:color="auto" w:fill="auto"/>
              </w:rPr>
            </w:pPr>
            <w:r>
              <w:rPr>
                <w:rFonts w:eastAsia="等线"/>
                <w:color w:val="auto"/>
                <w:shd w:val="clear" w:color="auto" w:fill="auto"/>
              </w:rPr>
              <w:t>0.101</w:t>
            </w:r>
          </w:p>
        </w:tc>
        <w:tc>
          <w:tcPr>
            <w:tcW w:w="1250" w:type="pct"/>
            <w:tcBorders>
              <w:tl2br w:val="nil"/>
              <w:tr2bl w:val="nil"/>
            </w:tcBorders>
            <w:shd w:val="clear" w:color="auto" w:fill="auto"/>
            <w:vAlign w:val="center"/>
          </w:tcPr>
          <w:p w14:paraId="6599E914">
            <w:pPr>
              <w:pStyle w:val="714"/>
              <w:rPr>
                <w:rFonts w:eastAsia="等线"/>
                <w:color w:val="auto"/>
                <w:shd w:val="clear" w:color="auto" w:fill="auto"/>
              </w:rPr>
            </w:pPr>
            <w:r>
              <w:rPr>
                <w:rFonts w:eastAsia="等线"/>
                <w:color w:val="auto"/>
                <w:shd w:val="clear" w:color="auto" w:fill="auto"/>
              </w:rPr>
              <w:t>0.063</w:t>
            </w:r>
          </w:p>
        </w:tc>
      </w:tr>
      <w:tr w14:paraId="3BA172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72458F2C">
            <w:pPr>
              <w:pStyle w:val="714"/>
              <w:rPr>
                <w:rFonts w:eastAsia="等线"/>
                <w:color w:val="auto"/>
                <w:shd w:val="clear" w:color="auto" w:fill="auto"/>
              </w:rPr>
            </w:pPr>
            <w:r>
              <w:rPr>
                <w:rFonts w:eastAsia="等线"/>
                <w:color w:val="auto"/>
                <w:shd w:val="clear" w:color="auto" w:fill="auto"/>
              </w:rPr>
              <w:t xml:space="preserve">5050 </w:t>
            </w:r>
          </w:p>
        </w:tc>
        <w:tc>
          <w:tcPr>
            <w:tcW w:w="1249" w:type="pct"/>
            <w:tcBorders>
              <w:tl2br w:val="nil"/>
              <w:tr2bl w:val="nil"/>
            </w:tcBorders>
            <w:shd w:val="clear" w:color="auto" w:fill="auto"/>
            <w:vAlign w:val="center"/>
          </w:tcPr>
          <w:p w14:paraId="38967965">
            <w:pPr>
              <w:pStyle w:val="714"/>
              <w:rPr>
                <w:rFonts w:eastAsia="等线"/>
                <w:color w:val="auto"/>
                <w:shd w:val="clear" w:color="auto" w:fill="auto"/>
              </w:rPr>
            </w:pPr>
            <w:r>
              <w:rPr>
                <w:rFonts w:eastAsia="等线"/>
                <w:color w:val="auto"/>
                <w:shd w:val="clear" w:color="auto" w:fill="auto"/>
              </w:rPr>
              <w:t>0.010</w:t>
            </w:r>
          </w:p>
        </w:tc>
        <w:tc>
          <w:tcPr>
            <w:tcW w:w="1250" w:type="pct"/>
            <w:tcBorders>
              <w:tl2br w:val="nil"/>
              <w:tr2bl w:val="nil"/>
            </w:tcBorders>
            <w:shd w:val="clear" w:color="auto" w:fill="auto"/>
            <w:vAlign w:val="center"/>
          </w:tcPr>
          <w:p w14:paraId="24D63797">
            <w:pPr>
              <w:pStyle w:val="714"/>
              <w:rPr>
                <w:rFonts w:eastAsia="等线"/>
                <w:color w:val="auto"/>
                <w:shd w:val="clear" w:color="auto" w:fill="auto"/>
              </w:rPr>
            </w:pPr>
            <w:r>
              <w:rPr>
                <w:rFonts w:eastAsia="等线"/>
                <w:color w:val="auto"/>
                <w:shd w:val="clear" w:color="auto" w:fill="auto"/>
              </w:rPr>
              <w:t>0.039</w:t>
            </w:r>
          </w:p>
        </w:tc>
        <w:tc>
          <w:tcPr>
            <w:tcW w:w="1250" w:type="pct"/>
            <w:tcBorders>
              <w:tl2br w:val="nil"/>
              <w:tr2bl w:val="nil"/>
            </w:tcBorders>
            <w:shd w:val="clear" w:color="auto" w:fill="auto"/>
            <w:vAlign w:val="center"/>
          </w:tcPr>
          <w:p w14:paraId="4AC88057">
            <w:pPr>
              <w:pStyle w:val="714"/>
              <w:rPr>
                <w:rFonts w:eastAsia="等线"/>
                <w:color w:val="auto"/>
                <w:shd w:val="clear" w:color="auto" w:fill="auto"/>
              </w:rPr>
            </w:pPr>
            <w:r>
              <w:rPr>
                <w:rFonts w:eastAsia="等线"/>
                <w:color w:val="auto"/>
                <w:shd w:val="clear" w:color="auto" w:fill="auto"/>
              </w:rPr>
              <w:t>0.028</w:t>
            </w:r>
          </w:p>
        </w:tc>
      </w:tr>
      <w:tr w14:paraId="4C3289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4A8CDCBB">
            <w:pPr>
              <w:pStyle w:val="714"/>
              <w:rPr>
                <w:rFonts w:eastAsia="等线"/>
                <w:color w:val="auto"/>
                <w:shd w:val="clear" w:color="auto" w:fill="auto"/>
              </w:rPr>
            </w:pPr>
            <w:r>
              <w:rPr>
                <w:rFonts w:eastAsia="等线"/>
                <w:color w:val="auto"/>
                <w:shd w:val="clear" w:color="auto" w:fill="auto"/>
              </w:rPr>
              <w:t xml:space="preserve">6050 </w:t>
            </w:r>
          </w:p>
        </w:tc>
        <w:tc>
          <w:tcPr>
            <w:tcW w:w="1249" w:type="pct"/>
            <w:tcBorders>
              <w:tl2br w:val="nil"/>
              <w:tr2bl w:val="nil"/>
            </w:tcBorders>
            <w:shd w:val="clear" w:color="auto" w:fill="auto"/>
            <w:vAlign w:val="center"/>
          </w:tcPr>
          <w:p w14:paraId="305CA432">
            <w:pPr>
              <w:pStyle w:val="714"/>
              <w:rPr>
                <w:rFonts w:eastAsia="等线"/>
                <w:color w:val="auto"/>
                <w:shd w:val="clear" w:color="auto" w:fill="auto"/>
              </w:rPr>
            </w:pPr>
            <w:r>
              <w:rPr>
                <w:rFonts w:eastAsia="等线"/>
                <w:color w:val="auto"/>
                <w:shd w:val="clear" w:color="auto" w:fill="auto"/>
              </w:rPr>
              <w:t>0.004</w:t>
            </w:r>
          </w:p>
        </w:tc>
        <w:tc>
          <w:tcPr>
            <w:tcW w:w="1250" w:type="pct"/>
            <w:tcBorders>
              <w:tl2br w:val="nil"/>
              <w:tr2bl w:val="nil"/>
            </w:tcBorders>
            <w:shd w:val="clear" w:color="auto" w:fill="auto"/>
            <w:vAlign w:val="center"/>
          </w:tcPr>
          <w:p w14:paraId="7B4D48A4">
            <w:pPr>
              <w:pStyle w:val="714"/>
              <w:rPr>
                <w:rFonts w:eastAsia="等线"/>
                <w:color w:val="auto"/>
                <w:shd w:val="clear" w:color="auto" w:fill="auto"/>
              </w:rPr>
            </w:pPr>
            <w:r>
              <w:rPr>
                <w:rFonts w:eastAsia="等线"/>
                <w:color w:val="auto"/>
                <w:shd w:val="clear" w:color="auto" w:fill="auto"/>
              </w:rPr>
              <w:t>0.015</w:t>
            </w:r>
          </w:p>
        </w:tc>
        <w:tc>
          <w:tcPr>
            <w:tcW w:w="1250" w:type="pct"/>
            <w:tcBorders>
              <w:tl2br w:val="nil"/>
              <w:tr2bl w:val="nil"/>
            </w:tcBorders>
            <w:shd w:val="clear" w:color="auto" w:fill="auto"/>
            <w:vAlign w:val="center"/>
          </w:tcPr>
          <w:p w14:paraId="65555EDD">
            <w:pPr>
              <w:pStyle w:val="714"/>
              <w:rPr>
                <w:rFonts w:eastAsia="等线"/>
                <w:color w:val="auto"/>
                <w:shd w:val="clear" w:color="auto" w:fill="auto"/>
              </w:rPr>
            </w:pPr>
            <w:r>
              <w:rPr>
                <w:rFonts w:eastAsia="等线"/>
                <w:color w:val="auto"/>
                <w:shd w:val="clear" w:color="auto" w:fill="auto"/>
              </w:rPr>
              <w:t>0.012</w:t>
            </w:r>
          </w:p>
        </w:tc>
      </w:tr>
      <w:tr w14:paraId="2F14A1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65271727">
            <w:pPr>
              <w:pStyle w:val="714"/>
              <w:rPr>
                <w:rFonts w:eastAsia="等线"/>
                <w:color w:val="auto"/>
                <w:shd w:val="clear" w:color="auto" w:fill="auto"/>
              </w:rPr>
            </w:pPr>
            <w:r>
              <w:rPr>
                <w:rFonts w:eastAsia="等线"/>
                <w:color w:val="auto"/>
                <w:shd w:val="clear" w:color="auto" w:fill="auto"/>
              </w:rPr>
              <w:t xml:space="preserve">7300 </w:t>
            </w:r>
          </w:p>
        </w:tc>
        <w:tc>
          <w:tcPr>
            <w:tcW w:w="1249" w:type="pct"/>
            <w:tcBorders>
              <w:tl2br w:val="nil"/>
              <w:tr2bl w:val="nil"/>
            </w:tcBorders>
            <w:shd w:val="clear" w:color="auto" w:fill="auto"/>
            <w:vAlign w:val="center"/>
          </w:tcPr>
          <w:p w14:paraId="6C29982B">
            <w:pPr>
              <w:pStyle w:val="714"/>
              <w:rPr>
                <w:rFonts w:eastAsia="等线"/>
                <w:color w:val="auto"/>
                <w:shd w:val="clear" w:color="auto" w:fill="auto"/>
              </w:rPr>
            </w:pPr>
            <w:r>
              <w:rPr>
                <w:rFonts w:eastAsia="等线"/>
                <w:color w:val="auto"/>
                <w:shd w:val="clear" w:color="auto" w:fill="auto"/>
              </w:rPr>
              <w:t>0.001</w:t>
            </w:r>
          </w:p>
        </w:tc>
        <w:tc>
          <w:tcPr>
            <w:tcW w:w="1250" w:type="pct"/>
            <w:tcBorders>
              <w:tl2br w:val="nil"/>
              <w:tr2bl w:val="nil"/>
            </w:tcBorders>
            <w:shd w:val="clear" w:color="auto" w:fill="auto"/>
            <w:vAlign w:val="center"/>
          </w:tcPr>
          <w:p w14:paraId="29B5C71E">
            <w:pPr>
              <w:pStyle w:val="714"/>
              <w:rPr>
                <w:rFonts w:eastAsia="等线"/>
                <w:color w:val="auto"/>
                <w:shd w:val="clear" w:color="auto" w:fill="auto"/>
              </w:rPr>
            </w:pPr>
            <w:r>
              <w:rPr>
                <w:rFonts w:eastAsia="等线"/>
                <w:color w:val="auto"/>
                <w:shd w:val="clear" w:color="auto" w:fill="auto"/>
              </w:rPr>
              <w:t>0.004</w:t>
            </w:r>
          </w:p>
        </w:tc>
        <w:tc>
          <w:tcPr>
            <w:tcW w:w="1250" w:type="pct"/>
            <w:tcBorders>
              <w:tl2br w:val="nil"/>
              <w:tr2bl w:val="nil"/>
            </w:tcBorders>
            <w:shd w:val="clear" w:color="auto" w:fill="auto"/>
            <w:vAlign w:val="center"/>
          </w:tcPr>
          <w:p w14:paraId="48551CC7">
            <w:pPr>
              <w:pStyle w:val="714"/>
              <w:rPr>
                <w:rFonts w:eastAsia="等线"/>
                <w:color w:val="auto"/>
                <w:shd w:val="clear" w:color="auto" w:fill="auto"/>
              </w:rPr>
            </w:pPr>
            <w:r>
              <w:rPr>
                <w:rFonts w:eastAsia="等线"/>
                <w:color w:val="auto"/>
                <w:shd w:val="clear" w:color="auto" w:fill="auto"/>
              </w:rPr>
              <w:t>0.004</w:t>
            </w:r>
          </w:p>
        </w:tc>
      </w:tr>
      <w:tr w14:paraId="449989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4AC71736">
            <w:pPr>
              <w:pStyle w:val="714"/>
              <w:rPr>
                <w:rFonts w:eastAsia="等线"/>
                <w:color w:val="auto"/>
                <w:shd w:val="clear" w:color="auto" w:fill="auto"/>
              </w:rPr>
            </w:pPr>
            <w:r>
              <w:rPr>
                <w:rFonts w:eastAsia="等线"/>
                <w:color w:val="auto"/>
                <w:shd w:val="clear" w:color="auto" w:fill="auto"/>
              </w:rPr>
              <w:t xml:space="preserve">8100 </w:t>
            </w:r>
          </w:p>
        </w:tc>
        <w:tc>
          <w:tcPr>
            <w:tcW w:w="1249" w:type="pct"/>
            <w:tcBorders>
              <w:tl2br w:val="nil"/>
              <w:tr2bl w:val="nil"/>
            </w:tcBorders>
            <w:shd w:val="clear" w:color="auto" w:fill="auto"/>
            <w:vAlign w:val="center"/>
          </w:tcPr>
          <w:p w14:paraId="53BD416F">
            <w:pPr>
              <w:pStyle w:val="714"/>
              <w:rPr>
                <w:rFonts w:eastAsia="等线"/>
                <w:color w:val="auto"/>
                <w:shd w:val="clear" w:color="auto" w:fill="auto"/>
              </w:rPr>
            </w:pPr>
            <w:r>
              <w:rPr>
                <w:rFonts w:eastAsia="等线"/>
                <w:color w:val="auto"/>
                <w:shd w:val="clear" w:color="auto" w:fill="auto"/>
              </w:rPr>
              <w:t>0.001</w:t>
            </w:r>
          </w:p>
        </w:tc>
        <w:tc>
          <w:tcPr>
            <w:tcW w:w="1250" w:type="pct"/>
            <w:tcBorders>
              <w:tl2br w:val="nil"/>
              <w:tr2bl w:val="nil"/>
            </w:tcBorders>
            <w:shd w:val="clear" w:color="auto" w:fill="auto"/>
            <w:vAlign w:val="center"/>
          </w:tcPr>
          <w:p w14:paraId="2CF90EFF">
            <w:pPr>
              <w:pStyle w:val="714"/>
              <w:rPr>
                <w:rFonts w:eastAsia="等线"/>
                <w:color w:val="auto"/>
                <w:shd w:val="clear" w:color="auto" w:fill="auto"/>
              </w:rPr>
            </w:pPr>
            <w:r>
              <w:rPr>
                <w:rFonts w:eastAsia="等线"/>
                <w:color w:val="auto"/>
                <w:shd w:val="clear" w:color="auto" w:fill="auto"/>
              </w:rPr>
              <w:t>0.002</w:t>
            </w:r>
          </w:p>
        </w:tc>
        <w:tc>
          <w:tcPr>
            <w:tcW w:w="1250" w:type="pct"/>
            <w:tcBorders>
              <w:tl2br w:val="nil"/>
              <w:tr2bl w:val="nil"/>
            </w:tcBorders>
            <w:shd w:val="clear" w:color="auto" w:fill="auto"/>
            <w:vAlign w:val="center"/>
          </w:tcPr>
          <w:p w14:paraId="3BBB4E93">
            <w:pPr>
              <w:pStyle w:val="714"/>
              <w:rPr>
                <w:rFonts w:eastAsia="等线"/>
                <w:color w:val="auto"/>
                <w:shd w:val="clear" w:color="auto" w:fill="auto"/>
              </w:rPr>
            </w:pPr>
            <w:r>
              <w:rPr>
                <w:rFonts w:eastAsia="等线"/>
                <w:color w:val="auto"/>
                <w:shd w:val="clear" w:color="auto" w:fill="auto"/>
              </w:rPr>
              <w:t>0.002</w:t>
            </w:r>
          </w:p>
        </w:tc>
      </w:tr>
      <w:tr w14:paraId="0ABCBE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46CE1A23">
            <w:pPr>
              <w:pStyle w:val="714"/>
              <w:rPr>
                <w:rFonts w:eastAsia="等线"/>
                <w:color w:val="auto"/>
                <w:shd w:val="clear" w:color="auto" w:fill="auto"/>
              </w:rPr>
            </w:pPr>
            <w:r>
              <w:rPr>
                <w:rFonts w:eastAsia="等线"/>
                <w:color w:val="auto"/>
                <w:shd w:val="clear" w:color="auto" w:fill="auto"/>
              </w:rPr>
              <w:t xml:space="preserve">9100 </w:t>
            </w:r>
          </w:p>
        </w:tc>
        <w:tc>
          <w:tcPr>
            <w:tcW w:w="1249" w:type="pct"/>
            <w:tcBorders>
              <w:tl2br w:val="nil"/>
              <w:tr2bl w:val="nil"/>
            </w:tcBorders>
            <w:shd w:val="clear" w:color="auto" w:fill="auto"/>
            <w:vAlign w:val="center"/>
          </w:tcPr>
          <w:p w14:paraId="49D04536">
            <w:pPr>
              <w:pStyle w:val="714"/>
              <w:rPr>
                <w:rFonts w:eastAsia="等线"/>
                <w:color w:val="auto"/>
                <w:shd w:val="clear" w:color="auto" w:fill="auto"/>
              </w:rPr>
            </w:pPr>
            <w:r>
              <w:rPr>
                <w:rFonts w:eastAsia="等线"/>
                <w:color w:val="auto"/>
                <w:shd w:val="clear" w:color="auto" w:fill="auto"/>
              </w:rPr>
              <w:t>0.000</w:t>
            </w:r>
          </w:p>
        </w:tc>
        <w:tc>
          <w:tcPr>
            <w:tcW w:w="1250" w:type="pct"/>
            <w:tcBorders>
              <w:tl2br w:val="nil"/>
              <w:tr2bl w:val="nil"/>
            </w:tcBorders>
            <w:shd w:val="clear" w:color="auto" w:fill="auto"/>
            <w:vAlign w:val="center"/>
          </w:tcPr>
          <w:p w14:paraId="2F16A705">
            <w:pPr>
              <w:pStyle w:val="714"/>
              <w:rPr>
                <w:rFonts w:eastAsia="等线"/>
                <w:color w:val="auto"/>
                <w:shd w:val="clear" w:color="auto" w:fill="auto"/>
              </w:rPr>
            </w:pPr>
            <w:r>
              <w:rPr>
                <w:rFonts w:eastAsia="等线"/>
                <w:color w:val="auto"/>
                <w:shd w:val="clear" w:color="auto" w:fill="auto"/>
              </w:rPr>
              <w:t>0.001</w:t>
            </w:r>
          </w:p>
        </w:tc>
        <w:tc>
          <w:tcPr>
            <w:tcW w:w="1250" w:type="pct"/>
            <w:tcBorders>
              <w:tl2br w:val="nil"/>
              <w:tr2bl w:val="nil"/>
            </w:tcBorders>
            <w:shd w:val="clear" w:color="auto" w:fill="auto"/>
            <w:vAlign w:val="center"/>
          </w:tcPr>
          <w:p w14:paraId="7F64AAF4">
            <w:pPr>
              <w:pStyle w:val="714"/>
              <w:rPr>
                <w:rFonts w:eastAsia="等线"/>
                <w:color w:val="auto"/>
                <w:shd w:val="clear" w:color="auto" w:fill="auto"/>
              </w:rPr>
            </w:pPr>
            <w:r>
              <w:rPr>
                <w:rFonts w:eastAsia="等线"/>
                <w:color w:val="auto"/>
                <w:shd w:val="clear" w:color="auto" w:fill="auto"/>
              </w:rPr>
              <w:t>0.001</w:t>
            </w:r>
          </w:p>
        </w:tc>
      </w:tr>
      <w:tr w14:paraId="2A5ECA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18660F96">
            <w:pPr>
              <w:pStyle w:val="714"/>
              <w:rPr>
                <w:rFonts w:eastAsia="等线"/>
                <w:color w:val="auto"/>
                <w:shd w:val="clear" w:color="auto" w:fill="auto"/>
              </w:rPr>
            </w:pPr>
            <w:r>
              <w:rPr>
                <w:rFonts w:eastAsia="等线"/>
                <w:color w:val="auto"/>
                <w:shd w:val="clear" w:color="auto" w:fill="auto"/>
              </w:rPr>
              <w:t xml:space="preserve">10100 </w:t>
            </w:r>
          </w:p>
        </w:tc>
        <w:tc>
          <w:tcPr>
            <w:tcW w:w="1249" w:type="pct"/>
            <w:tcBorders>
              <w:tl2br w:val="nil"/>
              <w:tr2bl w:val="nil"/>
            </w:tcBorders>
            <w:shd w:val="clear" w:color="auto" w:fill="auto"/>
            <w:vAlign w:val="center"/>
          </w:tcPr>
          <w:p w14:paraId="2C040737">
            <w:pPr>
              <w:pStyle w:val="714"/>
              <w:rPr>
                <w:rFonts w:eastAsia="等线"/>
                <w:color w:val="auto"/>
                <w:shd w:val="clear" w:color="auto" w:fill="auto"/>
              </w:rPr>
            </w:pPr>
            <w:r>
              <w:rPr>
                <w:rFonts w:eastAsia="等线"/>
                <w:color w:val="auto"/>
                <w:shd w:val="clear" w:color="auto" w:fill="auto"/>
              </w:rPr>
              <w:t>0.000</w:t>
            </w:r>
          </w:p>
        </w:tc>
        <w:tc>
          <w:tcPr>
            <w:tcW w:w="1250" w:type="pct"/>
            <w:tcBorders>
              <w:tl2br w:val="nil"/>
              <w:tr2bl w:val="nil"/>
            </w:tcBorders>
            <w:shd w:val="clear" w:color="auto" w:fill="auto"/>
            <w:vAlign w:val="center"/>
          </w:tcPr>
          <w:p w14:paraId="26502063">
            <w:pPr>
              <w:pStyle w:val="714"/>
              <w:rPr>
                <w:rFonts w:eastAsia="等线"/>
                <w:color w:val="auto"/>
                <w:shd w:val="clear" w:color="auto" w:fill="auto"/>
              </w:rPr>
            </w:pPr>
            <w:r>
              <w:rPr>
                <w:rFonts w:eastAsia="等线"/>
                <w:color w:val="auto"/>
                <w:shd w:val="clear" w:color="auto" w:fill="auto"/>
              </w:rPr>
              <w:t>0.000</w:t>
            </w:r>
          </w:p>
        </w:tc>
        <w:tc>
          <w:tcPr>
            <w:tcW w:w="1250" w:type="pct"/>
            <w:tcBorders>
              <w:tl2br w:val="nil"/>
              <w:tr2bl w:val="nil"/>
            </w:tcBorders>
            <w:shd w:val="clear" w:color="auto" w:fill="auto"/>
            <w:vAlign w:val="center"/>
          </w:tcPr>
          <w:p w14:paraId="45513694">
            <w:pPr>
              <w:pStyle w:val="714"/>
              <w:rPr>
                <w:rFonts w:eastAsia="等线"/>
                <w:color w:val="auto"/>
                <w:shd w:val="clear" w:color="auto" w:fill="auto"/>
              </w:rPr>
            </w:pPr>
            <w:r>
              <w:rPr>
                <w:rFonts w:eastAsia="等线"/>
                <w:color w:val="auto"/>
                <w:shd w:val="clear" w:color="auto" w:fill="auto"/>
              </w:rPr>
              <w:t>0.000</w:t>
            </w:r>
          </w:p>
        </w:tc>
      </w:tr>
      <w:tr w14:paraId="6D9EE4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08A599FD">
            <w:pPr>
              <w:pStyle w:val="714"/>
              <w:rPr>
                <w:rFonts w:eastAsia="等线"/>
                <w:color w:val="auto"/>
                <w:shd w:val="clear" w:color="auto" w:fill="auto"/>
              </w:rPr>
            </w:pPr>
            <w:r>
              <w:rPr>
                <w:rFonts w:eastAsia="等线"/>
                <w:color w:val="auto"/>
                <w:shd w:val="clear" w:color="auto" w:fill="auto"/>
              </w:rPr>
              <w:t xml:space="preserve">10950 </w:t>
            </w:r>
          </w:p>
        </w:tc>
        <w:tc>
          <w:tcPr>
            <w:tcW w:w="1249" w:type="pct"/>
            <w:tcBorders>
              <w:tl2br w:val="nil"/>
              <w:tr2bl w:val="nil"/>
            </w:tcBorders>
            <w:shd w:val="clear" w:color="auto" w:fill="auto"/>
            <w:vAlign w:val="center"/>
          </w:tcPr>
          <w:p w14:paraId="415EA325">
            <w:pPr>
              <w:pStyle w:val="714"/>
              <w:rPr>
                <w:rFonts w:eastAsia="等线"/>
                <w:color w:val="auto"/>
                <w:shd w:val="clear" w:color="auto" w:fill="auto"/>
              </w:rPr>
            </w:pPr>
            <w:r>
              <w:rPr>
                <w:rFonts w:eastAsia="等线"/>
                <w:color w:val="auto"/>
                <w:shd w:val="clear" w:color="auto" w:fill="auto"/>
              </w:rPr>
              <w:t>0.000</w:t>
            </w:r>
          </w:p>
        </w:tc>
        <w:tc>
          <w:tcPr>
            <w:tcW w:w="1250" w:type="pct"/>
            <w:tcBorders>
              <w:tl2br w:val="nil"/>
              <w:tr2bl w:val="nil"/>
            </w:tcBorders>
            <w:shd w:val="clear" w:color="auto" w:fill="auto"/>
            <w:vAlign w:val="center"/>
          </w:tcPr>
          <w:p w14:paraId="682CF512">
            <w:pPr>
              <w:pStyle w:val="714"/>
              <w:rPr>
                <w:rFonts w:eastAsia="等线"/>
                <w:color w:val="auto"/>
                <w:shd w:val="clear" w:color="auto" w:fill="auto"/>
              </w:rPr>
            </w:pPr>
            <w:r>
              <w:rPr>
                <w:rFonts w:eastAsia="等线"/>
                <w:color w:val="auto"/>
                <w:shd w:val="clear" w:color="auto" w:fill="auto"/>
              </w:rPr>
              <w:t>0.000</w:t>
            </w:r>
          </w:p>
        </w:tc>
        <w:tc>
          <w:tcPr>
            <w:tcW w:w="1250" w:type="pct"/>
            <w:tcBorders>
              <w:tl2br w:val="nil"/>
              <w:tr2bl w:val="nil"/>
            </w:tcBorders>
            <w:shd w:val="clear" w:color="auto" w:fill="auto"/>
            <w:vAlign w:val="center"/>
          </w:tcPr>
          <w:p w14:paraId="496D1FD1">
            <w:pPr>
              <w:pStyle w:val="714"/>
              <w:rPr>
                <w:rFonts w:eastAsia="等线"/>
                <w:color w:val="auto"/>
                <w:shd w:val="clear" w:color="auto" w:fill="auto"/>
              </w:rPr>
            </w:pPr>
            <w:r>
              <w:rPr>
                <w:rFonts w:eastAsia="等线"/>
                <w:color w:val="auto"/>
                <w:shd w:val="clear" w:color="auto" w:fill="auto"/>
              </w:rPr>
              <w:t>0.000</w:t>
            </w:r>
          </w:p>
        </w:tc>
      </w:tr>
    </w:tbl>
    <w:p w14:paraId="3AD50732">
      <w:pPr>
        <w:pStyle w:val="19"/>
        <w:keepNext w:val="0"/>
        <w:keepLines w:val="0"/>
        <w:pageBreakBefore w:val="0"/>
        <w:widowControl w:val="0"/>
        <w:numPr>
          <w:ilvl w:val="0"/>
          <w:numId w:val="31"/>
        </w:numPr>
        <w:kinsoku/>
        <w:wordWrap/>
        <w:overflowPunct/>
        <w:topLinePunct w:val="0"/>
        <w:autoSpaceDE/>
        <w:autoSpaceDN/>
        <w:bidi w:val="0"/>
        <w:adjustRightInd/>
        <w:snapToGrid/>
        <w:spacing w:before="157" w:beforeLines="50"/>
        <w:ind w:left="1440" w:leftChars="0" w:firstLine="0" w:firstLineChars="0"/>
        <w:textAlignment w:val="auto"/>
        <w:rPr>
          <w:rFonts w:cs="Times New Roman"/>
          <w:color w:val="auto"/>
        </w:rPr>
      </w:pPr>
      <w:r>
        <w:rPr>
          <w:rFonts w:hint="eastAsia" w:cs="Times New Roman"/>
          <w:color w:val="auto"/>
        </w:rPr>
        <w:t>甲醛</w:t>
      </w:r>
      <w:r>
        <w:rPr>
          <w:rFonts w:cs="Times New Roman"/>
          <w:color w:val="auto"/>
        </w:rPr>
        <w:t>沿地下水径流方向贡献值随时间变化（单位：mg/L）</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35"/>
        <w:gridCol w:w="2235"/>
        <w:gridCol w:w="2238"/>
        <w:gridCol w:w="2238"/>
      </w:tblGrid>
      <w:tr w14:paraId="4E86BE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2A51C8B7">
            <w:pPr>
              <w:pStyle w:val="714"/>
              <w:rPr>
                <w:b/>
                <w:bCs/>
                <w:color w:val="auto"/>
              </w:rPr>
            </w:pPr>
            <w:r>
              <w:rPr>
                <w:rFonts w:hint="eastAsia"/>
                <w:b/>
                <w:bCs/>
                <w:color w:val="auto"/>
              </w:rPr>
              <w:t>时间（d）</w:t>
            </w:r>
          </w:p>
        </w:tc>
        <w:tc>
          <w:tcPr>
            <w:tcW w:w="1249" w:type="pct"/>
            <w:tcBorders>
              <w:tl2br w:val="nil"/>
              <w:tr2bl w:val="nil"/>
            </w:tcBorders>
            <w:shd w:val="clear" w:color="auto" w:fill="auto"/>
            <w:vAlign w:val="center"/>
          </w:tcPr>
          <w:p w14:paraId="51DBE0A0">
            <w:pPr>
              <w:pStyle w:val="714"/>
              <w:rPr>
                <w:b/>
                <w:bCs/>
                <w:color w:val="auto"/>
              </w:rPr>
            </w:pPr>
            <w:r>
              <w:rPr>
                <w:rFonts w:hint="eastAsia"/>
                <w:b/>
                <w:bCs/>
                <w:color w:val="auto"/>
              </w:rPr>
              <w:t>厂区泄漏点</w:t>
            </w:r>
          </w:p>
        </w:tc>
        <w:tc>
          <w:tcPr>
            <w:tcW w:w="1250" w:type="pct"/>
            <w:tcBorders>
              <w:tl2br w:val="nil"/>
              <w:tr2bl w:val="nil"/>
            </w:tcBorders>
            <w:shd w:val="clear" w:color="auto" w:fill="auto"/>
            <w:vAlign w:val="center"/>
          </w:tcPr>
          <w:p w14:paraId="361CDDA4">
            <w:pPr>
              <w:pStyle w:val="714"/>
              <w:rPr>
                <w:b/>
                <w:bCs/>
                <w:color w:val="auto"/>
              </w:rPr>
            </w:pPr>
            <w:r>
              <w:rPr>
                <w:rFonts w:hint="eastAsia"/>
                <w:b/>
                <w:bCs/>
                <w:color w:val="auto"/>
              </w:rPr>
              <w:t>厂区边界</w:t>
            </w:r>
          </w:p>
        </w:tc>
        <w:tc>
          <w:tcPr>
            <w:tcW w:w="1250" w:type="pct"/>
            <w:tcBorders>
              <w:tl2br w:val="nil"/>
              <w:tr2bl w:val="nil"/>
            </w:tcBorders>
            <w:shd w:val="clear" w:color="auto" w:fill="auto"/>
            <w:vAlign w:val="center"/>
          </w:tcPr>
          <w:p w14:paraId="6E0672AA">
            <w:pPr>
              <w:pStyle w:val="714"/>
              <w:rPr>
                <w:b/>
                <w:bCs/>
                <w:color w:val="auto"/>
              </w:rPr>
            </w:pPr>
            <w:r>
              <w:rPr>
                <w:rFonts w:hint="eastAsia"/>
                <w:b/>
                <w:bCs/>
                <w:color w:val="auto"/>
              </w:rPr>
              <w:t>厂区下游河边</w:t>
            </w:r>
          </w:p>
        </w:tc>
      </w:tr>
      <w:tr w14:paraId="777116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7CFEA024">
            <w:pPr>
              <w:pStyle w:val="714"/>
              <w:rPr>
                <w:color w:val="auto"/>
              </w:rPr>
            </w:pPr>
            <w:r>
              <w:rPr>
                <w:rFonts w:hint="eastAsia"/>
                <w:color w:val="auto"/>
              </w:rPr>
              <w:t xml:space="preserve">37 </w:t>
            </w:r>
          </w:p>
        </w:tc>
        <w:tc>
          <w:tcPr>
            <w:tcW w:w="1249" w:type="pct"/>
            <w:tcBorders>
              <w:tl2br w:val="nil"/>
              <w:tr2bl w:val="nil"/>
            </w:tcBorders>
            <w:shd w:val="clear" w:color="auto" w:fill="auto"/>
            <w:vAlign w:val="center"/>
          </w:tcPr>
          <w:p w14:paraId="5BE1C2B2">
            <w:pPr>
              <w:pStyle w:val="714"/>
              <w:rPr>
                <w:color w:val="auto"/>
              </w:rPr>
            </w:pPr>
            <w:r>
              <w:rPr>
                <w:rFonts w:hint="eastAsia"/>
                <w:color w:val="auto"/>
              </w:rPr>
              <w:t>0.347</w:t>
            </w:r>
          </w:p>
        </w:tc>
        <w:tc>
          <w:tcPr>
            <w:tcW w:w="1250" w:type="pct"/>
            <w:tcBorders>
              <w:tl2br w:val="nil"/>
              <w:tr2bl w:val="nil"/>
            </w:tcBorders>
            <w:shd w:val="clear" w:color="auto" w:fill="auto"/>
            <w:vAlign w:val="center"/>
          </w:tcPr>
          <w:p w14:paraId="128206DB">
            <w:pPr>
              <w:pStyle w:val="714"/>
              <w:rPr>
                <w:color w:val="auto"/>
              </w:rPr>
            </w:pPr>
            <w:r>
              <w:rPr>
                <w:rFonts w:hint="eastAsia"/>
                <w:color w:val="auto"/>
              </w:rPr>
              <w:t>0.000</w:t>
            </w:r>
          </w:p>
        </w:tc>
        <w:tc>
          <w:tcPr>
            <w:tcW w:w="1250" w:type="pct"/>
            <w:tcBorders>
              <w:tl2br w:val="nil"/>
              <w:tr2bl w:val="nil"/>
            </w:tcBorders>
            <w:shd w:val="clear" w:color="auto" w:fill="auto"/>
            <w:vAlign w:val="center"/>
          </w:tcPr>
          <w:p w14:paraId="4131CC48">
            <w:pPr>
              <w:pStyle w:val="714"/>
              <w:rPr>
                <w:color w:val="auto"/>
              </w:rPr>
            </w:pPr>
            <w:r>
              <w:rPr>
                <w:rFonts w:hint="eastAsia"/>
                <w:color w:val="auto"/>
              </w:rPr>
              <w:t>0.000</w:t>
            </w:r>
          </w:p>
        </w:tc>
      </w:tr>
      <w:tr w14:paraId="7D7767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2642FEDB">
            <w:pPr>
              <w:pStyle w:val="714"/>
              <w:rPr>
                <w:color w:val="auto"/>
              </w:rPr>
            </w:pPr>
            <w:r>
              <w:rPr>
                <w:rFonts w:hint="eastAsia"/>
                <w:color w:val="auto"/>
              </w:rPr>
              <w:t xml:space="preserve">79 </w:t>
            </w:r>
          </w:p>
        </w:tc>
        <w:tc>
          <w:tcPr>
            <w:tcW w:w="1249" w:type="pct"/>
            <w:tcBorders>
              <w:tl2br w:val="nil"/>
              <w:tr2bl w:val="nil"/>
            </w:tcBorders>
            <w:shd w:val="clear" w:color="auto" w:fill="auto"/>
            <w:vAlign w:val="center"/>
          </w:tcPr>
          <w:p w14:paraId="1B8E6017">
            <w:pPr>
              <w:pStyle w:val="714"/>
              <w:rPr>
                <w:color w:val="auto"/>
              </w:rPr>
            </w:pPr>
            <w:r>
              <w:rPr>
                <w:rFonts w:hint="eastAsia"/>
                <w:color w:val="auto"/>
              </w:rPr>
              <w:t>0.690</w:t>
            </w:r>
          </w:p>
        </w:tc>
        <w:tc>
          <w:tcPr>
            <w:tcW w:w="1250" w:type="pct"/>
            <w:tcBorders>
              <w:tl2br w:val="nil"/>
              <w:tr2bl w:val="nil"/>
            </w:tcBorders>
            <w:shd w:val="clear" w:color="auto" w:fill="auto"/>
            <w:vAlign w:val="center"/>
          </w:tcPr>
          <w:p w14:paraId="1A3AF3AB">
            <w:pPr>
              <w:pStyle w:val="714"/>
              <w:rPr>
                <w:color w:val="auto"/>
              </w:rPr>
            </w:pPr>
            <w:r>
              <w:rPr>
                <w:rFonts w:hint="eastAsia"/>
                <w:color w:val="auto"/>
              </w:rPr>
              <w:t>0.051</w:t>
            </w:r>
          </w:p>
        </w:tc>
        <w:tc>
          <w:tcPr>
            <w:tcW w:w="1250" w:type="pct"/>
            <w:tcBorders>
              <w:tl2br w:val="nil"/>
              <w:tr2bl w:val="nil"/>
            </w:tcBorders>
            <w:shd w:val="clear" w:color="auto" w:fill="auto"/>
            <w:vAlign w:val="center"/>
          </w:tcPr>
          <w:p w14:paraId="1296A67A">
            <w:pPr>
              <w:pStyle w:val="714"/>
              <w:rPr>
                <w:color w:val="auto"/>
              </w:rPr>
            </w:pPr>
            <w:r>
              <w:rPr>
                <w:rFonts w:hint="eastAsia"/>
                <w:color w:val="auto"/>
              </w:rPr>
              <w:t>0.000</w:t>
            </w:r>
          </w:p>
        </w:tc>
      </w:tr>
      <w:tr w14:paraId="3A3083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176C05A7">
            <w:pPr>
              <w:pStyle w:val="714"/>
              <w:rPr>
                <w:color w:val="auto"/>
              </w:rPr>
            </w:pPr>
            <w:r>
              <w:rPr>
                <w:rFonts w:hint="eastAsia"/>
                <w:color w:val="auto"/>
              </w:rPr>
              <w:t xml:space="preserve">90 </w:t>
            </w:r>
          </w:p>
        </w:tc>
        <w:tc>
          <w:tcPr>
            <w:tcW w:w="1249" w:type="pct"/>
            <w:tcBorders>
              <w:tl2br w:val="nil"/>
              <w:tr2bl w:val="nil"/>
            </w:tcBorders>
            <w:shd w:val="clear" w:color="auto" w:fill="auto"/>
            <w:vAlign w:val="center"/>
          </w:tcPr>
          <w:p w14:paraId="21399710">
            <w:pPr>
              <w:pStyle w:val="714"/>
              <w:rPr>
                <w:color w:val="auto"/>
              </w:rPr>
            </w:pPr>
            <w:r>
              <w:rPr>
                <w:rFonts w:hint="eastAsia"/>
                <w:color w:val="auto"/>
              </w:rPr>
              <w:t>0.781</w:t>
            </w:r>
          </w:p>
        </w:tc>
        <w:tc>
          <w:tcPr>
            <w:tcW w:w="1250" w:type="pct"/>
            <w:tcBorders>
              <w:tl2br w:val="nil"/>
              <w:tr2bl w:val="nil"/>
            </w:tcBorders>
            <w:shd w:val="clear" w:color="auto" w:fill="auto"/>
            <w:vAlign w:val="center"/>
          </w:tcPr>
          <w:p w14:paraId="7AFBE00A">
            <w:pPr>
              <w:pStyle w:val="714"/>
              <w:rPr>
                <w:color w:val="auto"/>
              </w:rPr>
            </w:pPr>
            <w:r>
              <w:rPr>
                <w:rFonts w:hint="eastAsia"/>
                <w:color w:val="auto"/>
              </w:rPr>
              <w:t>0.068</w:t>
            </w:r>
          </w:p>
        </w:tc>
        <w:tc>
          <w:tcPr>
            <w:tcW w:w="1250" w:type="pct"/>
            <w:tcBorders>
              <w:tl2br w:val="nil"/>
              <w:tr2bl w:val="nil"/>
            </w:tcBorders>
            <w:shd w:val="clear" w:color="auto" w:fill="auto"/>
            <w:vAlign w:val="center"/>
          </w:tcPr>
          <w:p w14:paraId="5BFD3940">
            <w:pPr>
              <w:pStyle w:val="714"/>
              <w:rPr>
                <w:color w:val="auto"/>
              </w:rPr>
            </w:pPr>
            <w:r>
              <w:rPr>
                <w:rFonts w:hint="eastAsia"/>
                <w:color w:val="auto"/>
              </w:rPr>
              <w:t>0.000</w:t>
            </w:r>
          </w:p>
        </w:tc>
      </w:tr>
      <w:tr w14:paraId="75F12A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6EE35598">
            <w:pPr>
              <w:pStyle w:val="714"/>
              <w:rPr>
                <w:color w:val="auto"/>
              </w:rPr>
            </w:pPr>
            <w:r>
              <w:rPr>
                <w:rFonts w:hint="eastAsia"/>
                <w:color w:val="auto"/>
              </w:rPr>
              <w:t xml:space="preserve">100 </w:t>
            </w:r>
          </w:p>
        </w:tc>
        <w:tc>
          <w:tcPr>
            <w:tcW w:w="1249" w:type="pct"/>
            <w:tcBorders>
              <w:tl2br w:val="nil"/>
              <w:tr2bl w:val="nil"/>
            </w:tcBorders>
            <w:shd w:val="clear" w:color="auto" w:fill="auto"/>
            <w:vAlign w:val="center"/>
          </w:tcPr>
          <w:p w14:paraId="46725CD2">
            <w:pPr>
              <w:pStyle w:val="714"/>
              <w:rPr>
                <w:color w:val="auto"/>
              </w:rPr>
            </w:pPr>
            <w:r>
              <w:rPr>
                <w:rFonts w:hint="eastAsia"/>
                <w:color w:val="auto"/>
              </w:rPr>
              <w:t>0.758</w:t>
            </w:r>
          </w:p>
        </w:tc>
        <w:tc>
          <w:tcPr>
            <w:tcW w:w="1250" w:type="pct"/>
            <w:tcBorders>
              <w:tl2br w:val="nil"/>
              <w:tr2bl w:val="nil"/>
            </w:tcBorders>
            <w:shd w:val="clear" w:color="auto" w:fill="auto"/>
            <w:vAlign w:val="center"/>
          </w:tcPr>
          <w:p w14:paraId="0CFB1DB7">
            <w:pPr>
              <w:pStyle w:val="714"/>
              <w:rPr>
                <w:color w:val="auto"/>
              </w:rPr>
            </w:pPr>
            <w:r>
              <w:rPr>
                <w:rFonts w:hint="eastAsia"/>
                <w:color w:val="auto"/>
              </w:rPr>
              <w:t>0.084</w:t>
            </w:r>
          </w:p>
        </w:tc>
        <w:tc>
          <w:tcPr>
            <w:tcW w:w="1250" w:type="pct"/>
            <w:tcBorders>
              <w:tl2br w:val="nil"/>
              <w:tr2bl w:val="nil"/>
            </w:tcBorders>
            <w:shd w:val="clear" w:color="auto" w:fill="auto"/>
            <w:vAlign w:val="center"/>
          </w:tcPr>
          <w:p w14:paraId="4B7756DD">
            <w:pPr>
              <w:pStyle w:val="714"/>
              <w:rPr>
                <w:color w:val="auto"/>
              </w:rPr>
            </w:pPr>
            <w:r>
              <w:rPr>
                <w:rFonts w:hint="eastAsia"/>
                <w:color w:val="auto"/>
              </w:rPr>
              <w:t>0.000</w:t>
            </w:r>
          </w:p>
        </w:tc>
      </w:tr>
      <w:tr w14:paraId="0F0C36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7DC8B7CC">
            <w:pPr>
              <w:pStyle w:val="714"/>
              <w:rPr>
                <w:color w:val="auto"/>
              </w:rPr>
            </w:pPr>
            <w:r>
              <w:rPr>
                <w:rFonts w:hint="eastAsia"/>
                <w:color w:val="auto"/>
              </w:rPr>
              <w:t xml:space="preserve">365 </w:t>
            </w:r>
          </w:p>
        </w:tc>
        <w:tc>
          <w:tcPr>
            <w:tcW w:w="1249" w:type="pct"/>
            <w:tcBorders>
              <w:tl2br w:val="nil"/>
              <w:tr2bl w:val="nil"/>
            </w:tcBorders>
            <w:shd w:val="clear" w:color="auto" w:fill="auto"/>
            <w:vAlign w:val="center"/>
          </w:tcPr>
          <w:p w14:paraId="45026309">
            <w:pPr>
              <w:pStyle w:val="714"/>
              <w:rPr>
                <w:color w:val="auto"/>
              </w:rPr>
            </w:pPr>
            <w:r>
              <w:rPr>
                <w:rFonts w:hint="eastAsia"/>
                <w:color w:val="auto"/>
              </w:rPr>
              <w:t>0.388</w:t>
            </w:r>
          </w:p>
        </w:tc>
        <w:tc>
          <w:tcPr>
            <w:tcW w:w="1250" w:type="pct"/>
            <w:tcBorders>
              <w:tl2br w:val="nil"/>
              <w:tr2bl w:val="nil"/>
            </w:tcBorders>
            <w:shd w:val="clear" w:color="auto" w:fill="auto"/>
            <w:vAlign w:val="center"/>
          </w:tcPr>
          <w:p w14:paraId="1B179862">
            <w:pPr>
              <w:pStyle w:val="714"/>
              <w:rPr>
                <w:color w:val="auto"/>
              </w:rPr>
            </w:pPr>
            <w:r>
              <w:rPr>
                <w:rFonts w:hint="eastAsia"/>
                <w:color w:val="auto"/>
              </w:rPr>
              <w:t>0.220</w:t>
            </w:r>
          </w:p>
        </w:tc>
        <w:tc>
          <w:tcPr>
            <w:tcW w:w="1250" w:type="pct"/>
            <w:tcBorders>
              <w:tl2br w:val="nil"/>
              <w:tr2bl w:val="nil"/>
            </w:tcBorders>
            <w:shd w:val="clear" w:color="auto" w:fill="auto"/>
            <w:vAlign w:val="center"/>
          </w:tcPr>
          <w:p w14:paraId="4BD3CB18">
            <w:pPr>
              <w:pStyle w:val="714"/>
              <w:rPr>
                <w:color w:val="auto"/>
              </w:rPr>
            </w:pPr>
            <w:r>
              <w:rPr>
                <w:rFonts w:hint="eastAsia"/>
                <w:color w:val="auto"/>
              </w:rPr>
              <w:t>0.001</w:t>
            </w:r>
          </w:p>
        </w:tc>
      </w:tr>
      <w:tr w14:paraId="1A9DE9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0DA35619">
            <w:pPr>
              <w:pStyle w:val="714"/>
              <w:rPr>
                <w:color w:val="auto"/>
              </w:rPr>
            </w:pPr>
            <w:r>
              <w:rPr>
                <w:rFonts w:hint="eastAsia"/>
                <w:color w:val="auto"/>
              </w:rPr>
              <w:t xml:space="preserve">730 </w:t>
            </w:r>
          </w:p>
        </w:tc>
        <w:tc>
          <w:tcPr>
            <w:tcW w:w="1249" w:type="pct"/>
            <w:tcBorders>
              <w:tl2br w:val="nil"/>
              <w:tr2bl w:val="nil"/>
            </w:tcBorders>
            <w:shd w:val="clear" w:color="auto" w:fill="auto"/>
            <w:vAlign w:val="center"/>
          </w:tcPr>
          <w:p w14:paraId="26BCBB04">
            <w:pPr>
              <w:pStyle w:val="714"/>
              <w:rPr>
                <w:color w:val="auto"/>
              </w:rPr>
            </w:pPr>
            <w:r>
              <w:rPr>
                <w:rFonts w:hint="eastAsia"/>
                <w:color w:val="auto"/>
              </w:rPr>
              <w:t>0.251</w:t>
            </w:r>
          </w:p>
        </w:tc>
        <w:tc>
          <w:tcPr>
            <w:tcW w:w="1250" w:type="pct"/>
            <w:tcBorders>
              <w:tl2br w:val="nil"/>
              <w:tr2bl w:val="nil"/>
            </w:tcBorders>
            <w:shd w:val="clear" w:color="auto" w:fill="auto"/>
            <w:vAlign w:val="center"/>
          </w:tcPr>
          <w:p w14:paraId="29483A53">
            <w:pPr>
              <w:pStyle w:val="714"/>
              <w:rPr>
                <w:color w:val="auto"/>
              </w:rPr>
            </w:pPr>
            <w:r>
              <w:rPr>
                <w:rFonts w:hint="eastAsia"/>
                <w:color w:val="auto"/>
              </w:rPr>
              <w:t>0.242</w:t>
            </w:r>
          </w:p>
        </w:tc>
        <w:tc>
          <w:tcPr>
            <w:tcW w:w="1250" w:type="pct"/>
            <w:tcBorders>
              <w:tl2br w:val="nil"/>
              <w:tr2bl w:val="nil"/>
            </w:tcBorders>
            <w:shd w:val="clear" w:color="auto" w:fill="auto"/>
            <w:vAlign w:val="center"/>
          </w:tcPr>
          <w:p w14:paraId="0AB3E3B2">
            <w:pPr>
              <w:pStyle w:val="714"/>
              <w:rPr>
                <w:color w:val="auto"/>
              </w:rPr>
            </w:pPr>
            <w:r>
              <w:rPr>
                <w:rFonts w:hint="eastAsia"/>
                <w:color w:val="auto"/>
              </w:rPr>
              <w:t>0.012</w:t>
            </w:r>
          </w:p>
        </w:tc>
      </w:tr>
      <w:tr w14:paraId="1BCAC8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13618CCB">
            <w:pPr>
              <w:pStyle w:val="714"/>
              <w:rPr>
                <w:color w:val="auto"/>
              </w:rPr>
            </w:pPr>
            <w:r>
              <w:rPr>
                <w:rFonts w:hint="eastAsia"/>
                <w:color w:val="auto"/>
              </w:rPr>
              <w:t xml:space="preserve">1000 </w:t>
            </w:r>
          </w:p>
        </w:tc>
        <w:tc>
          <w:tcPr>
            <w:tcW w:w="1249" w:type="pct"/>
            <w:tcBorders>
              <w:tl2br w:val="nil"/>
              <w:tr2bl w:val="nil"/>
            </w:tcBorders>
            <w:shd w:val="clear" w:color="auto" w:fill="auto"/>
            <w:vAlign w:val="center"/>
          </w:tcPr>
          <w:p w14:paraId="64194E99">
            <w:pPr>
              <w:pStyle w:val="714"/>
              <w:rPr>
                <w:color w:val="auto"/>
              </w:rPr>
            </w:pPr>
            <w:r>
              <w:rPr>
                <w:rFonts w:hint="eastAsia"/>
                <w:color w:val="auto"/>
              </w:rPr>
              <w:t>0.188</w:t>
            </w:r>
          </w:p>
        </w:tc>
        <w:tc>
          <w:tcPr>
            <w:tcW w:w="1250" w:type="pct"/>
            <w:tcBorders>
              <w:tl2br w:val="nil"/>
              <w:tr2bl w:val="nil"/>
            </w:tcBorders>
            <w:shd w:val="clear" w:color="auto" w:fill="auto"/>
            <w:vAlign w:val="center"/>
          </w:tcPr>
          <w:p w14:paraId="128E1522">
            <w:pPr>
              <w:pStyle w:val="714"/>
              <w:rPr>
                <w:color w:val="auto"/>
              </w:rPr>
            </w:pPr>
            <w:r>
              <w:rPr>
                <w:rFonts w:hint="eastAsia"/>
                <w:color w:val="auto"/>
              </w:rPr>
              <w:t>0.234</w:t>
            </w:r>
          </w:p>
        </w:tc>
        <w:tc>
          <w:tcPr>
            <w:tcW w:w="1250" w:type="pct"/>
            <w:tcBorders>
              <w:tl2br w:val="nil"/>
              <w:tr2bl w:val="nil"/>
            </w:tcBorders>
            <w:shd w:val="clear" w:color="auto" w:fill="auto"/>
            <w:vAlign w:val="center"/>
          </w:tcPr>
          <w:p w14:paraId="16F1913F">
            <w:pPr>
              <w:pStyle w:val="714"/>
              <w:rPr>
                <w:color w:val="auto"/>
              </w:rPr>
            </w:pPr>
            <w:r>
              <w:rPr>
                <w:rFonts w:hint="eastAsia"/>
                <w:color w:val="auto"/>
              </w:rPr>
              <w:t>0.023</w:t>
            </w:r>
          </w:p>
        </w:tc>
      </w:tr>
      <w:tr w14:paraId="39EDE4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7DCEB450">
            <w:pPr>
              <w:pStyle w:val="714"/>
              <w:rPr>
                <w:color w:val="auto"/>
              </w:rPr>
            </w:pPr>
            <w:r>
              <w:rPr>
                <w:rFonts w:hint="eastAsia"/>
                <w:color w:val="auto"/>
              </w:rPr>
              <w:t xml:space="preserve">1518 </w:t>
            </w:r>
          </w:p>
        </w:tc>
        <w:tc>
          <w:tcPr>
            <w:tcW w:w="1249" w:type="pct"/>
            <w:tcBorders>
              <w:tl2br w:val="nil"/>
              <w:tr2bl w:val="nil"/>
            </w:tcBorders>
            <w:shd w:val="clear" w:color="auto" w:fill="auto"/>
            <w:vAlign w:val="center"/>
          </w:tcPr>
          <w:p w14:paraId="33FBBBE3">
            <w:pPr>
              <w:pStyle w:val="714"/>
              <w:rPr>
                <w:color w:val="auto"/>
              </w:rPr>
            </w:pPr>
            <w:r>
              <w:rPr>
                <w:rFonts w:hint="eastAsia"/>
                <w:color w:val="auto"/>
              </w:rPr>
              <w:t>0.108</w:t>
            </w:r>
          </w:p>
        </w:tc>
        <w:tc>
          <w:tcPr>
            <w:tcW w:w="1250" w:type="pct"/>
            <w:tcBorders>
              <w:tl2br w:val="nil"/>
              <w:tr2bl w:val="nil"/>
            </w:tcBorders>
            <w:shd w:val="clear" w:color="auto" w:fill="auto"/>
            <w:vAlign w:val="center"/>
          </w:tcPr>
          <w:p w14:paraId="2C2E290B">
            <w:pPr>
              <w:pStyle w:val="714"/>
              <w:rPr>
                <w:color w:val="auto"/>
              </w:rPr>
            </w:pPr>
            <w:r>
              <w:rPr>
                <w:rFonts w:hint="eastAsia"/>
                <w:color w:val="auto"/>
              </w:rPr>
              <w:t>0.192</w:t>
            </w:r>
          </w:p>
        </w:tc>
        <w:tc>
          <w:tcPr>
            <w:tcW w:w="1250" w:type="pct"/>
            <w:tcBorders>
              <w:tl2br w:val="nil"/>
              <w:tr2bl w:val="nil"/>
            </w:tcBorders>
            <w:shd w:val="clear" w:color="auto" w:fill="auto"/>
            <w:vAlign w:val="center"/>
          </w:tcPr>
          <w:p w14:paraId="6850B5B4">
            <w:pPr>
              <w:pStyle w:val="714"/>
              <w:rPr>
                <w:color w:val="auto"/>
              </w:rPr>
            </w:pPr>
            <w:r>
              <w:rPr>
                <w:rFonts w:hint="eastAsia"/>
                <w:color w:val="auto"/>
              </w:rPr>
              <w:t>0.037</w:t>
            </w:r>
          </w:p>
        </w:tc>
      </w:tr>
      <w:tr w14:paraId="057AE0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1587E18A">
            <w:pPr>
              <w:pStyle w:val="714"/>
              <w:rPr>
                <w:color w:val="auto"/>
              </w:rPr>
            </w:pPr>
            <w:r>
              <w:rPr>
                <w:rFonts w:hint="eastAsia"/>
                <w:color w:val="auto"/>
              </w:rPr>
              <w:t xml:space="preserve">2000 </w:t>
            </w:r>
          </w:p>
        </w:tc>
        <w:tc>
          <w:tcPr>
            <w:tcW w:w="1249" w:type="pct"/>
            <w:tcBorders>
              <w:tl2br w:val="nil"/>
              <w:tr2bl w:val="nil"/>
            </w:tcBorders>
            <w:shd w:val="clear" w:color="auto" w:fill="auto"/>
            <w:vAlign w:val="center"/>
          </w:tcPr>
          <w:p w14:paraId="7AD0C3EB">
            <w:pPr>
              <w:pStyle w:val="714"/>
              <w:rPr>
                <w:color w:val="auto"/>
              </w:rPr>
            </w:pPr>
            <w:r>
              <w:rPr>
                <w:rFonts w:hint="eastAsia"/>
                <w:color w:val="auto"/>
              </w:rPr>
              <w:t>0.064</w:t>
            </w:r>
          </w:p>
        </w:tc>
        <w:tc>
          <w:tcPr>
            <w:tcW w:w="1250" w:type="pct"/>
            <w:tcBorders>
              <w:tl2br w:val="nil"/>
              <w:tr2bl w:val="nil"/>
            </w:tcBorders>
            <w:shd w:val="clear" w:color="auto" w:fill="auto"/>
            <w:vAlign w:val="center"/>
          </w:tcPr>
          <w:p w14:paraId="0393676F">
            <w:pPr>
              <w:pStyle w:val="714"/>
              <w:rPr>
                <w:color w:val="auto"/>
              </w:rPr>
            </w:pPr>
            <w:r>
              <w:rPr>
                <w:rFonts w:hint="eastAsia"/>
                <w:color w:val="auto"/>
              </w:rPr>
              <w:t>0.143</w:t>
            </w:r>
          </w:p>
        </w:tc>
        <w:tc>
          <w:tcPr>
            <w:tcW w:w="1250" w:type="pct"/>
            <w:tcBorders>
              <w:tl2br w:val="nil"/>
              <w:tr2bl w:val="nil"/>
            </w:tcBorders>
            <w:shd w:val="clear" w:color="auto" w:fill="auto"/>
            <w:vAlign w:val="center"/>
          </w:tcPr>
          <w:p w14:paraId="70EF0BE2">
            <w:pPr>
              <w:pStyle w:val="714"/>
              <w:rPr>
                <w:color w:val="auto"/>
              </w:rPr>
            </w:pPr>
            <w:r>
              <w:rPr>
                <w:rFonts w:hint="eastAsia"/>
                <w:color w:val="auto"/>
              </w:rPr>
              <w:t>0.041</w:t>
            </w:r>
          </w:p>
        </w:tc>
      </w:tr>
      <w:tr w14:paraId="75AA43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21355B04">
            <w:pPr>
              <w:pStyle w:val="714"/>
              <w:rPr>
                <w:color w:val="auto"/>
              </w:rPr>
            </w:pPr>
            <w:r>
              <w:rPr>
                <w:rFonts w:hint="eastAsia"/>
                <w:color w:val="auto"/>
              </w:rPr>
              <w:t xml:space="preserve">3000 </w:t>
            </w:r>
          </w:p>
        </w:tc>
        <w:tc>
          <w:tcPr>
            <w:tcW w:w="1249" w:type="pct"/>
            <w:tcBorders>
              <w:tl2br w:val="nil"/>
              <w:tr2bl w:val="nil"/>
            </w:tcBorders>
            <w:shd w:val="clear" w:color="auto" w:fill="auto"/>
            <w:vAlign w:val="center"/>
          </w:tcPr>
          <w:p w14:paraId="77730318">
            <w:pPr>
              <w:pStyle w:val="714"/>
              <w:rPr>
                <w:color w:val="auto"/>
              </w:rPr>
            </w:pPr>
            <w:r>
              <w:rPr>
                <w:rFonts w:hint="eastAsia"/>
                <w:color w:val="auto"/>
              </w:rPr>
              <w:t>0.022</w:t>
            </w:r>
          </w:p>
        </w:tc>
        <w:tc>
          <w:tcPr>
            <w:tcW w:w="1250" w:type="pct"/>
            <w:tcBorders>
              <w:tl2br w:val="nil"/>
              <w:tr2bl w:val="nil"/>
            </w:tcBorders>
            <w:shd w:val="clear" w:color="auto" w:fill="auto"/>
            <w:vAlign w:val="center"/>
          </w:tcPr>
          <w:p w14:paraId="64218123">
            <w:pPr>
              <w:pStyle w:val="714"/>
              <w:rPr>
                <w:color w:val="auto"/>
              </w:rPr>
            </w:pPr>
            <w:r>
              <w:rPr>
                <w:rFonts w:hint="eastAsia"/>
                <w:color w:val="auto"/>
              </w:rPr>
              <w:t>0.065</w:t>
            </w:r>
          </w:p>
        </w:tc>
        <w:tc>
          <w:tcPr>
            <w:tcW w:w="1250" w:type="pct"/>
            <w:tcBorders>
              <w:tl2br w:val="nil"/>
              <w:tr2bl w:val="nil"/>
            </w:tcBorders>
            <w:shd w:val="clear" w:color="auto" w:fill="auto"/>
            <w:vAlign w:val="center"/>
          </w:tcPr>
          <w:p w14:paraId="3A37D2F6">
            <w:pPr>
              <w:pStyle w:val="714"/>
              <w:rPr>
                <w:color w:val="auto"/>
              </w:rPr>
            </w:pPr>
            <w:r>
              <w:rPr>
                <w:rFonts w:hint="eastAsia"/>
                <w:color w:val="auto"/>
              </w:rPr>
              <w:t>0.030</w:t>
            </w:r>
          </w:p>
        </w:tc>
      </w:tr>
      <w:tr w14:paraId="1D1311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14B0704F">
            <w:pPr>
              <w:pStyle w:val="714"/>
              <w:rPr>
                <w:color w:val="auto"/>
              </w:rPr>
            </w:pPr>
            <w:r>
              <w:rPr>
                <w:rFonts w:hint="eastAsia"/>
                <w:color w:val="auto"/>
              </w:rPr>
              <w:t xml:space="preserve">3650 </w:t>
            </w:r>
          </w:p>
        </w:tc>
        <w:tc>
          <w:tcPr>
            <w:tcW w:w="1249" w:type="pct"/>
            <w:tcBorders>
              <w:tl2br w:val="nil"/>
              <w:tr2bl w:val="nil"/>
            </w:tcBorders>
            <w:shd w:val="clear" w:color="auto" w:fill="auto"/>
            <w:vAlign w:val="center"/>
          </w:tcPr>
          <w:p w14:paraId="4FAF6508">
            <w:pPr>
              <w:pStyle w:val="714"/>
              <w:rPr>
                <w:color w:val="auto"/>
              </w:rPr>
            </w:pPr>
            <w:r>
              <w:rPr>
                <w:rFonts w:hint="eastAsia"/>
                <w:color w:val="auto"/>
              </w:rPr>
              <w:t>0.011</w:t>
            </w:r>
          </w:p>
        </w:tc>
        <w:tc>
          <w:tcPr>
            <w:tcW w:w="1250" w:type="pct"/>
            <w:tcBorders>
              <w:tl2br w:val="nil"/>
              <w:tr2bl w:val="nil"/>
            </w:tcBorders>
            <w:shd w:val="clear" w:color="auto" w:fill="auto"/>
            <w:vAlign w:val="center"/>
          </w:tcPr>
          <w:p w14:paraId="5577C8EF">
            <w:pPr>
              <w:pStyle w:val="714"/>
              <w:rPr>
                <w:color w:val="auto"/>
              </w:rPr>
            </w:pPr>
            <w:r>
              <w:rPr>
                <w:rFonts w:hint="eastAsia"/>
                <w:color w:val="auto"/>
              </w:rPr>
              <w:t>0.036</w:t>
            </w:r>
          </w:p>
        </w:tc>
        <w:tc>
          <w:tcPr>
            <w:tcW w:w="1250" w:type="pct"/>
            <w:tcBorders>
              <w:tl2br w:val="nil"/>
              <w:tr2bl w:val="nil"/>
            </w:tcBorders>
            <w:shd w:val="clear" w:color="auto" w:fill="auto"/>
            <w:vAlign w:val="center"/>
          </w:tcPr>
          <w:p w14:paraId="47F5863E">
            <w:pPr>
              <w:pStyle w:val="714"/>
              <w:rPr>
                <w:color w:val="auto"/>
              </w:rPr>
            </w:pPr>
            <w:r>
              <w:rPr>
                <w:rFonts w:hint="eastAsia"/>
                <w:color w:val="auto"/>
              </w:rPr>
              <w:t>0.021</w:t>
            </w:r>
          </w:p>
        </w:tc>
      </w:tr>
      <w:tr w14:paraId="370BF7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224A8B7B">
            <w:pPr>
              <w:pStyle w:val="714"/>
              <w:rPr>
                <w:color w:val="auto"/>
              </w:rPr>
            </w:pPr>
            <w:r>
              <w:rPr>
                <w:rFonts w:hint="eastAsia"/>
                <w:color w:val="auto"/>
              </w:rPr>
              <w:t xml:space="preserve">4050 </w:t>
            </w:r>
          </w:p>
        </w:tc>
        <w:tc>
          <w:tcPr>
            <w:tcW w:w="1249" w:type="pct"/>
            <w:tcBorders>
              <w:tl2br w:val="nil"/>
              <w:tr2bl w:val="nil"/>
            </w:tcBorders>
            <w:shd w:val="clear" w:color="auto" w:fill="auto"/>
            <w:vAlign w:val="center"/>
          </w:tcPr>
          <w:p w14:paraId="60F70010">
            <w:pPr>
              <w:pStyle w:val="714"/>
              <w:rPr>
                <w:color w:val="auto"/>
              </w:rPr>
            </w:pPr>
            <w:r>
              <w:rPr>
                <w:rFonts w:hint="eastAsia"/>
                <w:color w:val="auto"/>
              </w:rPr>
              <w:t>0.007</w:t>
            </w:r>
          </w:p>
        </w:tc>
        <w:tc>
          <w:tcPr>
            <w:tcW w:w="1250" w:type="pct"/>
            <w:tcBorders>
              <w:tl2br w:val="nil"/>
              <w:tr2bl w:val="nil"/>
            </w:tcBorders>
            <w:shd w:val="clear" w:color="auto" w:fill="auto"/>
            <w:vAlign w:val="center"/>
          </w:tcPr>
          <w:p w14:paraId="32E92A30">
            <w:pPr>
              <w:pStyle w:val="714"/>
              <w:rPr>
                <w:color w:val="auto"/>
              </w:rPr>
            </w:pPr>
            <w:r>
              <w:rPr>
                <w:rFonts w:hint="eastAsia"/>
                <w:color w:val="auto"/>
              </w:rPr>
              <w:t>0.025</w:t>
            </w:r>
          </w:p>
        </w:tc>
        <w:tc>
          <w:tcPr>
            <w:tcW w:w="1250" w:type="pct"/>
            <w:tcBorders>
              <w:tl2br w:val="nil"/>
              <w:tr2bl w:val="nil"/>
            </w:tcBorders>
            <w:shd w:val="clear" w:color="auto" w:fill="auto"/>
            <w:vAlign w:val="center"/>
          </w:tcPr>
          <w:p w14:paraId="1E404BD2">
            <w:pPr>
              <w:pStyle w:val="714"/>
              <w:rPr>
                <w:color w:val="auto"/>
              </w:rPr>
            </w:pPr>
            <w:r>
              <w:rPr>
                <w:rFonts w:hint="eastAsia"/>
                <w:color w:val="auto"/>
              </w:rPr>
              <w:t>0.016</w:t>
            </w:r>
          </w:p>
        </w:tc>
      </w:tr>
      <w:tr w14:paraId="01C97B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05DE1A29">
            <w:pPr>
              <w:pStyle w:val="714"/>
              <w:rPr>
                <w:color w:val="auto"/>
              </w:rPr>
            </w:pPr>
            <w:r>
              <w:rPr>
                <w:rFonts w:hint="eastAsia"/>
                <w:color w:val="auto"/>
              </w:rPr>
              <w:t xml:space="preserve">5050 </w:t>
            </w:r>
          </w:p>
        </w:tc>
        <w:tc>
          <w:tcPr>
            <w:tcW w:w="1249" w:type="pct"/>
            <w:tcBorders>
              <w:tl2br w:val="nil"/>
              <w:tr2bl w:val="nil"/>
            </w:tcBorders>
            <w:shd w:val="clear" w:color="auto" w:fill="auto"/>
            <w:vAlign w:val="center"/>
          </w:tcPr>
          <w:p w14:paraId="680752A8">
            <w:pPr>
              <w:pStyle w:val="714"/>
              <w:rPr>
                <w:color w:val="auto"/>
              </w:rPr>
            </w:pPr>
            <w:r>
              <w:rPr>
                <w:rFonts w:hint="eastAsia"/>
                <w:color w:val="auto"/>
              </w:rPr>
              <w:t>0.003</w:t>
            </w:r>
          </w:p>
        </w:tc>
        <w:tc>
          <w:tcPr>
            <w:tcW w:w="1250" w:type="pct"/>
            <w:tcBorders>
              <w:tl2br w:val="nil"/>
              <w:tr2bl w:val="nil"/>
            </w:tcBorders>
            <w:shd w:val="clear" w:color="auto" w:fill="auto"/>
            <w:vAlign w:val="center"/>
          </w:tcPr>
          <w:p w14:paraId="1A3903CB">
            <w:pPr>
              <w:pStyle w:val="714"/>
              <w:rPr>
                <w:color w:val="auto"/>
              </w:rPr>
            </w:pPr>
            <w:r>
              <w:rPr>
                <w:rFonts w:hint="eastAsia"/>
                <w:color w:val="auto"/>
              </w:rPr>
              <w:t>0.010</w:t>
            </w:r>
          </w:p>
        </w:tc>
        <w:tc>
          <w:tcPr>
            <w:tcW w:w="1250" w:type="pct"/>
            <w:tcBorders>
              <w:tl2br w:val="nil"/>
              <w:tr2bl w:val="nil"/>
            </w:tcBorders>
            <w:shd w:val="clear" w:color="auto" w:fill="auto"/>
            <w:vAlign w:val="center"/>
          </w:tcPr>
          <w:p w14:paraId="20F9874B">
            <w:pPr>
              <w:pStyle w:val="714"/>
              <w:rPr>
                <w:color w:val="auto"/>
              </w:rPr>
            </w:pPr>
            <w:r>
              <w:rPr>
                <w:rFonts w:hint="eastAsia"/>
                <w:color w:val="auto"/>
              </w:rPr>
              <w:t>0.007</w:t>
            </w:r>
          </w:p>
        </w:tc>
      </w:tr>
      <w:tr w14:paraId="14F136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7A543A4E">
            <w:pPr>
              <w:pStyle w:val="714"/>
              <w:rPr>
                <w:color w:val="auto"/>
              </w:rPr>
            </w:pPr>
            <w:r>
              <w:rPr>
                <w:rFonts w:hint="eastAsia"/>
                <w:color w:val="auto"/>
              </w:rPr>
              <w:t xml:space="preserve">6050 </w:t>
            </w:r>
          </w:p>
        </w:tc>
        <w:tc>
          <w:tcPr>
            <w:tcW w:w="1249" w:type="pct"/>
            <w:tcBorders>
              <w:tl2br w:val="nil"/>
              <w:tr2bl w:val="nil"/>
            </w:tcBorders>
            <w:shd w:val="clear" w:color="auto" w:fill="auto"/>
            <w:vAlign w:val="center"/>
          </w:tcPr>
          <w:p w14:paraId="6EE8DFC0">
            <w:pPr>
              <w:pStyle w:val="714"/>
              <w:rPr>
                <w:color w:val="auto"/>
              </w:rPr>
            </w:pPr>
            <w:r>
              <w:rPr>
                <w:rFonts w:hint="eastAsia"/>
                <w:color w:val="auto"/>
              </w:rPr>
              <w:t>0.001</w:t>
            </w:r>
          </w:p>
        </w:tc>
        <w:tc>
          <w:tcPr>
            <w:tcW w:w="1250" w:type="pct"/>
            <w:tcBorders>
              <w:tl2br w:val="nil"/>
              <w:tr2bl w:val="nil"/>
            </w:tcBorders>
            <w:shd w:val="clear" w:color="auto" w:fill="auto"/>
            <w:vAlign w:val="center"/>
          </w:tcPr>
          <w:p w14:paraId="24337B59">
            <w:pPr>
              <w:pStyle w:val="714"/>
              <w:rPr>
                <w:color w:val="auto"/>
              </w:rPr>
            </w:pPr>
            <w:r>
              <w:rPr>
                <w:rFonts w:hint="eastAsia"/>
                <w:color w:val="auto"/>
              </w:rPr>
              <w:t>0.004</w:t>
            </w:r>
          </w:p>
        </w:tc>
        <w:tc>
          <w:tcPr>
            <w:tcW w:w="1250" w:type="pct"/>
            <w:tcBorders>
              <w:tl2br w:val="nil"/>
              <w:tr2bl w:val="nil"/>
            </w:tcBorders>
            <w:shd w:val="clear" w:color="auto" w:fill="auto"/>
            <w:vAlign w:val="center"/>
          </w:tcPr>
          <w:p w14:paraId="3F4D2756">
            <w:pPr>
              <w:pStyle w:val="714"/>
              <w:rPr>
                <w:color w:val="auto"/>
              </w:rPr>
            </w:pPr>
            <w:r>
              <w:rPr>
                <w:rFonts w:hint="eastAsia"/>
                <w:color w:val="auto"/>
              </w:rPr>
              <w:t>0.003</w:t>
            </w:r>
          </w:p>
        </w:tc>
      </w:tr>
      <w:tr w14:paraId="529066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050FD4BE">
            <w:pPr>
              <w:pStyle w:val="714"/>
              <w:rPr>
                <w:color w:val="auto"/>
              </w:rPr>
            </w:pPr>
            <w:r>
              <w:rPr>
                <w:rFonts w:hint="eastAsia"/>
                <w:color w:val="auto"/>
              </w:rPr>
              <w:t xml:space="preserve">7300 </w:t>
            </w:r>
          </w:p>
        </w:tc>
        <w:tc>
          <w:tcPr>
            <w:tcW w:w="1249" w:type="pct"/>
            <w:tcBorders>
              <w:tl2br w:val="nil"/>
              <w:tr2bl w:val="nil"/>
            </w:tcBorders>
            <w:shd w:val="clear" w:color="auto" w:fill="auto"/>
            <w:vAlign w:val="center"/>
          </w:tcPr>
          <w:p w14:paraId="36DBA577">
            <w:pPr>
              <w:pStyle w:val="714"/>
              <w:rPr>
                <w:color w:val="auto"/>
              </w:rPr>
            </w:pPr>
            <w:r>
              <w:rPr>
                <w:rFonts w:hint="eastAsia"/>
                <w:color w:val="auto"/>
              </w:rPr>
              <w:t>0.000</w:t>
            </w:r>
          </w:p>
        </w:tc>
        <w:tc>
          <w:tcPr>
            <w:tcW w:w="1250" w:type="pct"/>
            <w:tcBorders>
              <w:tl2br w:val="nil"/>
              <w:tr2bl w:val="nil"/>
            </w:tcBorders>
            <w:shd w:val="clear" w:color="auto" w:fill="auto"/>
            <w:vAlign w:val="center"/>
          </w:tcPr>
          <w:p w14:paraId="56589391">
            <w:pPr>
              <w:pStyle w:val="714"/>
              <w:rPr>
                <w:color w:val="auto"/>
              </w:rPr>
            </w:pPr>
            <w:r>
              <w:rPr>
                <w:rFonts w:hint="eastAsia"/>
                <w:color w:val="auto"/>
              </w:rPr>
              <w:t>0.001</w:t>
            </w:r>
          </w:p>
        </w:tc>
        <w:tc>
          <w:tcPr>
            <w:tcW w:w="1250" w:type="pct"/>
            <w:tcBorders>
              <w:tl2br w:val="nil"/>
              <w:tr2bl w:val="nil"/>
            </w:tcBorders>
            <w:shd w:val="clear" w:color="auto" w:fill="auto"/>
            <w:vAlign w:val="center"/>
          </w:tcPr>
          <w:p w14:paraId="6C4A0046">
            <w:pPr>
              <w:pStyle w:val="714"/>
              <w:rPr>
                <w:color w:val="auto"/>
              </w:rPr>
            </w:pPr>
            <w:r>
              <w:rPr>
                <w:rFonts w:hint="eastAsia"/>
                <w:color w:val="auto"/>
              </w:rPr>
              <w:t>0.001</w:t>
            </w:r>
          </w:p>
        </w:tc>
      </w:tr>
      <w:tr w14:paraId="403119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33128355">
            <w:pPr>
              <w:pStyle w:val="714"/>
              <w:rPr>
                <w:color w:val="auto"/>
              </w:rPr>
            </w:pPr>
            <w:r>
              <w:rPr>
                <w:rFonts w:hint="eastAsia"/>
                <w:color w:val="auto"/>
              </w:rPr>
              <w:t xml:space="preserve">8100 </w:t>
            </w:r>
          </w:p>
        </w:tc>
        <w:tc>
          <w:tcPr>
            <w:tcW w:w="1249" w:type="pct"/>
            <w:tcBorders>
              <w:tl2br w:val="nil"/>
              <w:tr2bl w:val="nil"/>
            </w:tcBorders>
            <w:shd w:val="clear" w:color="auto" w:fill="auto"/>
            <w:vAlign w:val="center"/>
          </w:tcPr>
          <w:p w14:paraId="072087AC">
            <w:pPr>
              <w:pStyle w:val="714"/>
              <w:rPr>
                <w:color w:val="auto"/>
              </w:rPr>
            </w:pPr>
            <w:r>
              <w:rPr>
                <w:rFonts w:hint="eastAsia"/>
                <w:color w:val="auto"/>
              </w:rPr>
              <w:t>0.000</w:t>
            </w:r>
          </w:p>
        </w:tc>
        <w:tc>
          <w:tcPr>
            <w:tcW w:w="1250" w:type="pct"/>
            <w:tcBorders>
              <w:tl2br w:val="nil"/>
              <w:tr2bl w:val="nil"/>
            </w:tcBorders>
            <w:shd w:val="clear" w:color="auto" w:fill="auto"/>
            <w:vAlign w:val="center"/>
          </w:tcPr>
          <w:p w14:paraId="302CAA75">
            <w:pPr>
              <w:pStyle w:val="714"/>
              <w:rPr>
                <w:color w:val="auto"/>
              </w:rPr>
            </w:pPr>
            <w:r>
              <w:rPr>
                <w:rFonts w:hint="eastAsia"/>
                <w:color w:val="auto"/>
              </w:rPr>
              <w:t>0.000</w:t>
            </w:r>
          </w:p>
        </w:tc>
        <w:tc>
          <w:tcPr>
            <w:tcW w:w="1250" w:type="pct"/>
            <w:tcBorders>
              <w:tl2br w:val="nil"/>
              <w:tr2bl w:val="nil"/>
            </w:tcBorders>
            <w:shd w:val="clear" w:color="auto" w:fill="auto"/>
            <w:vAlign w:val="center"/>
          </w:tcPr>
          <w:p w14:paraId="0A33E46D">
            <w:pPr>
              <w:pStyle w:val="714"/>
              <w:rPr>
                <w:color w:val="auto"/>
              </w:rPr>
            </w:pPr>
            <w:r>
              <w:rPr>
                <w:rFonts w:hint="eastAsia"/>
                <w:color w:val="auto"/>
              </w:rPr>
              <w:t>0.000</w:t>
            </w:r>
          </w:p>
        </w:tc>
      </w:tr>
      <w:tr w14:paraId="2254F2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08B520B7">
            <w:pPr>
              <w:pStyle w:val="714"/>
              <w:rPr>
                <w:color w:val="auto"/>
              </w:rPr>
            </w:pPr>
            <w:r>
              <w:rPr>
                <w:rFonts w:hint="eastAsia"/>
                <w:color w:val="auto"/>
              </w:rPr>
              <w:t xml:space="preserve">9100 </w:t>
            </w:r>
          </w:p>
        </w:tc>
        <w:tc>
          <w:tcPr>
            <w:tcW w:w="1249" w:type="pct"/>
            <w:tcBorders>
              <w:tl2br w:val="nil"/>
              <w:tr2bl w:val="nil"/>
            </w:tcBorders>
            <w:shd w:val="clear" w:color="auto" w:fill="auto"/>
            <w:vAlign w:val="center"/>
          </w:tcPr>
          <w:p w14:paraId="3070356F">
            <w:pPr>
              <w:pStyle w:val="714"/>
              <w:rPr>
                <w:color w:val="auto"/>
              </w:rPr>
            </w:pPr>
            <w:r>
              <w:rPr>
                <w:rFonts w:hint="eastAsia"/>
                <w:color w:val="auto"/>
              </w:rPr>
              <w:t>0.000</w:t>
            </w:r>
          </w:p>
        </w:tc>
        <w:tc>
          <w:tcPr>
            <w:tcW w:w="1250" w:type="pct"/>
            <w:tcBorders>
              <w:tl2br w:val="nil"/>
              <w:tr2bl w:val="nil"/>
            </w:tcBorders>
            <w:shd w:val="clear" w:color="auto" w:fill="auto"/>
            <w:vAlign w:val="center"/>
          </w:tcPr>
          <w:p w14:paraId="3E73CD44">
            <w:pPr>
              <w:pStyle w:val="714"/>
              <w:rPr>
                <w:color w:val="auto"/>
              </w:rPr>
            </w:pPr>
            <w:r>
              <w:rPr>
                <w:rFonts w:hint="eastAsia"/>
                <w:color w:val="auto"/>
              </w:rPr>
              <w:t>0.000</w:t>
            </w:r>
          </w:p>
        </w:tc>
        <w:tc>
          <w:tcPr>
            <w:tcW w:w="1250" w:type="pct"/>
            <w:tcBorders>
              <w:tl2br w:val="nil"/>
              <w:tr2bl w:val="nil"/>
            </w:tcBorders>
            <w:shd w:val="clear" w:color="auto" w:fill="auto"/>
            <w:vAlign w:val="center"/>
          </w:tcPr>
          <w:p w14:paraId="719F73C6">
            <w:pPr>
              <w:pStyle w:val="714"/>
              <w:rPr>
                <w:color w:val="auto"/>
              </w:rPr>
            </w:pPr>
            <w:r>
              <w:rPr>
                <w:rFonts w:hint="eastAsia"/>
                <w:color w:val="auto"/>
              </w:rPr>
              <w:t>0.000</w:t>
            </w:r>
          </w:p>
        </w:tc>
      </w:tr>
      <w:tr w14:paraId="48EAEE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1132F2DB">
            <w:pPr>
              <w:pStyle w:val="714"/>
              <w:rPr>
                <w:color w:val="auto"/>
              </w:rPr>
            </w:pPr>
            <w:r>
              <w:rPr>
                <w:rFonts w:hint="eastAsia"/>
                <w:color w:val="auto"/>
              </w:rPr>
              <w:t xml:space="preserve">10100 </w:t>
            </w:r>
          </w:p>
        </w:tc>
        <w:tc>
          <w:tcPr>
            <w:tcW w:w="1249" w:type="pct"/>
            <w:tcBorders>
              <w:tl2br w:val="nil"/>
              <w:tr2bl w:val="nil"/>
            </w:tcBorders>
            <w:shd w:val="clear" w:color="auto" w:fill="auto"/>
            <w:vAlign w:val="center"/>
          </w:tcPr>
          <w:p w14:paraId="10C6BF8D">
            <w:pPr>
              <w:pStyle w:val="714"/>
              <w:rPr>
                <w:color w:val="auto"/>
              </w:rPr>
            </w:pPr>
            <w:r>
              <w:rPr>
                <w:rFonts w:hint="eastAsia"/>
                <w:color w:val="auto"/>
              </w:rPr>
              <w:t>0.000</w:t>
            </w:r>
          </w:p>
        </w:tc>
        <w:tc>
          <w:tcPr>
            <w:tcW w:w="1250" w:type="pct"/>
            <w:tcBorders>
              <w:tl2br w:val="nil"/>
              <w:tr2bl w:val="nil"/>
            </w:tcBorders>
            <w:shd w:val="clear" w:color="auto" w:fill="auto"/>
            <w:vAlign w:val="center"/>
          </w:tcPr>
          <w:p w14:paraId="1CE368F5">
            <w:pPr>
              <w:pStyle w:val="714"/>
              <w:rPr>
                <w:color w:val="auto"/>
              </w:rPr>
            </w:pPr>
            <w:r>
              <w:rPr>
                <w:rFonts w:hint="eastAsia"/>
                <w:color w:val="auto"/>
              </w:rPr>
              <w:t>0.000</w:t>
            </w:r>
          </w:p>
        </w:tc>
        <w:tc>
          <w:tcPr>
            <w:tcW w:w="1250" w:type="pct"/>
            <w:tcBorders>
              <w:tl2br w:val="nil"/>
              <w:tr2bl w:val="nil"/>
            </w:tcBorders>
            <w:shd w:val="clear" w:color="auto" w:fill="auto"/>
            <w:vAlign w:val="center"/>
          </w:tcPr>
          <w:p w14:paraId="3EA7AC3E">
            <w:pPr>
              <w:pStyle w:val="714"/>
              <w:rPr>
                <w:color w:val="auto"/>
              </w:rPr>
            </w:pPr>
            <w:r>
              <w:rPr>
                <w:rFonts w:hint="eastAsia"/>
                <w:color w:val="auto"/>
              </w:rPr>
              <w:t>0.000</w:t>
            </w:r>
          </w:p>
        </w:tc>
      </w:tr>
      <w:tr w14:paraId="1E61F3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08753679">
            <w:pPr>
              <w:pStyle w:val="714"/>
              <w:rPr>
                <w:color w:val="auto"/>
              </w:rPr>
            </w:pPr>
            <w:r>
              <w:rPr>
                <w:rFonts w:hint="eastAsia"/>
                <w:color w:val="auto"/>
              </w:rPr>
              <w:t xml:space="preserve">10950 </w:t>
            </w:r>
          </w:p>
        </w:tc>
        <w:tc>
          <w:tcPr>
            <w:tcW w:w="1249" w:type="pct"/>
            <w:tcBorders>
              <w:tl2br w:val="nil"/>
              <w:tr2bl w:val="nil"/>
            </w:tcBorders>
            <w:shd w:val="clear" w:color="auto" w:fill="auto"/>
            <w:vAlign w:val="center"/>
          </w:tcPr>
          <w:p w14:paraId="58137E82">
            <w:pPr>
              <w:pStyle w:val="714"/>
              <w:rPr>
                <w:color w:val="auto"/>
              </w:rPr>
            </w:pPr>
            <w:r>
              <w:rPr>
                <w:rFonts w:hint="eastAsia"/>
                <w:color w:val="auto"/>
              </w:rPr>
              <w:t>0.000</w:t>
            </w:r>
          </w:p>
        </w:tc>
        <w:tc>
          <w:tcPr>
            <w:tcW w:w="1250" w:type="pct"/>
            <w:tcBorders>
              <w:tl2br w:val="nil"/>
              <w:tr2bl w:val="nil"/>
            </w:tcBorders>
            <w:shd w:val="clear" w:color="auto" w:fill="auto"/>
            <w:vAlign w:val="center"/>
          </w:tcPr>
          <w:p w14:paraId="3078AFF0">
            <w:pPr>
              <w:pStyle w:val="714"/>
              <w:rPr>
                <w:color w:val="auto"/>
              </w:rPr>
            </w:pPr>
            <w:r>
              <w:rPr>
                <w:rFonts w:hint="eastAsia"/>
                <w:color w:val="auto"/>
              </w:rPr>
              <w:t>0.000</w:t>
            </w:r>
          </w:p>
        </w:tc>
        <w:tc>
          <w:tcPr>
            <w:tcW w:w="1250" w:type="pct"/>
            <w:tcBorders>
              <w:tl2br w:val="nil"/>
              <w:tr2bl w:val="nil"/>
            </w:tcBorders>
            <w:shd w:val="clear" w:color="auto" w:fill="auto"/>
            <w:vAlign w:val="center"/>
          </w:tcPr>
          <w:p w14:paraId="243C83FF">
            <w:pPr>
              <w:pStyle w:val="714"/>
              <w:rPr>
                <w:color w:val="auto"/>
              </w:rPr>
            </w:pPr>
            <w:r>
              <w:rPr>
                <w:rFonts w:hint="eastAsia"/>
                <w:color w:val="auto"/>
              </w:rPr>
              <w:t>0.000</w:t>
            </w:r>
          </w:p>
        </w:tc>
      </w:tr>
    </w:tbl>
    <w:p w14:paraId="121D86CE">
      <w:pPr>
        <w:pStyle w:val="19"/>
        <w:keepNext w:val="0"/>
        <w:keepLines w:val="0"/>
        <w:pageBreakBefore w:val="0"/>
        <w:widowControl w:val="0"/>
        <w:numPr>
          <w:ilvl w:val="0"/>
          <w:numId w:val="31"/>
        </w:numPr>
        <w:kinsoku/>
        <w:wordWrap/>
        <w:overflowPunct/>
        <w:topLinePunct w:val="0"/>
        <w:autoSpaceDE/>
        <w:autoSpaceDN/>
        <w:bidi w:val="0"/>
        <w:adjustRightInd/>
        <w:snapToGrid/>
        <w:spacing w:before="157" w:beforeLines="50"/>
        <w:ind w:left="1440" w:leftChars="0" w:firstLine="0" w:firstLineChars="0"/>
        <w:textAlignment w:val="auto"/>
        <w:rPr>
          <w:rFonts w:cs="Times New Roman"/>
          <w:color w:val="auto"/>
        </w:rPr>
      </w:pPr>
      <w:r>
        <w:rPr>
          <w:rFonts w:hint="eastAsia" w:cs="Times New Roman"/>
          <w:color w:val="auto"/>
        </w:rPr>
        <w:t>石油类</w:t>
      </w:r>
      <w:r>
        <w:rPr>
          <w:rFonts w:cs="Times New Roman"/>
          <w:color w:val="auto"/>
        </w:rPr>
        <w:t>沿地下水径流方向贡献值随时间变化（单位：mg/L）</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35"/>
        <w:gridCol w:w="2235"/>
        <w:gridCol w:w="2238"/>
        <w:gridCol w:w="2238"/>
      </w:tblGrid>
      <w:tr w14:paraId="47FCFC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249" w:type="pct"/>
            <w:tcBorders>
              <w:tl2br w:val="nil"/>
              <w:tr2bl w:val="nil"/>
            </w:tcBorders>
            <w:shd w:val="clear" w:color="auto" w:fill="auto"/>
            <w:noWrap/>
            <w:vAlign w:val="center"/>
          </w:tcPr>
          <w:p w14:paraId="69591BB3">
            <w:pPr>
              <w:pStyle w:val="714"/>
              <w:rPr>
                <w:rFonts w:eastAsia="等线"/>
                <w:b/>
                <w:bCs/>
                <w:color w:val="auto"/>
                <w:shd w:val="clear" w:color="auto" w:fill="auto"/>
              </w:rPr>
            </w:pPr>
            <w:r>
              <w:rPr>
                <w:rFonts w:hint="eastAsia"/>
                <w:b/>
                <w:bCs/>
                <w:color w:val="auto"/>
                <w:shd w:val="clear" w:color="auto" w:fill="auto"/>
              </w:rPr>
              <w:t>时间（</w:t>
            </w:r>
            <w:r>
              <w:rPr>
                <w:rFonts w:eastAsia="等线"/>
                <w:b/>
                <w:bCs/>
                <w:color w:val="auto"/>
                <w:shd w:val="clear" w:color="auto" w:fill="auto"/>
              </w:rPr>
              <w:t>d</w:t>
            </w:r>
            <w:r>
              <w:rPr>
                <w:rFonts w:hint="eastAsia"/>
                <w:b/>
                <w:bCs/>
                <w:color w:val="auto"/>
                <w:shd w:val="clear" w:color="auto" w:fill="auto"/>
              </w:rPr>
              <w:t>）</w:t>
            </w:r>
          </w:p>
        </w:tc>
        <w:tc>
          <w:tcPr>
            <w:tcW w:w="1249" w:type="pct"/>
            <w:tcBorders>
              <w:tl2br w:val="nil"/>
              <w:tr2bl w:val="nil"/>
            </w:tcBorders>
            <w:shd w:val="clear" w:color="auto" w:fill="auto"/>
            <w:vAlign w:val="center"/>
          </w:tcPr>
          <w:p w14:paraId="3B45DE58">
            <w:pPr>
              <w:pStyle w:val="714"/>
              <w:rPr>
                <w:rFonts w:eastAsia="等线"/>
                <w:b/>
                <w:bCs/>
                <w:color w:val="auto"/>
                <w:shd w:val="clear" w:color="auto" w:fill="auto"/>
              </w:rPr>
            </w:pPr>
            <w:r>
              <w:rPr>
                <w:rFonts w:hint="eastAsia"/>
                <w:b/>
                <w:bCs/>
                <w:color w:val="auto"/>
                <w:shd w:val="clear" w:color="auto" w:fill="auto"/>
              </w:rPr>
              <w:t>厂区泄漏点</w:t>
            </w:r>
          </w:p>
        </w:tc>
        <w:tc>
          <w:tcPr>
            <w:tcW w:w="1250" w:type="pct"/>
            <w:tcBorders>
              <w:tl2br w:val="nil"/>
              <w:tr2bl w:val="nil"/>
            </w:tcBorders>
            <w:shd w:val="clear" w:color="auto" w:fill="auto"/>
            <w:vAlign w:val="center"/>
          </w:tcPr>
          <w:p w14:paraId="379D76C2">
            <w:pPr>
              <w:pStyle w:val="714"/>
              <w:rPr>
                <w:rFonts w:eastAsia="等线"/>
                <w:b/>
                <w:bCs/>
                <w:color w:val="auto"/>
                <w:shd w:val="clear" w:color="auto" w:fill="auto"/>
              </w:rPr>
            </w:pPr>
            <w:r>
              <w:rPr>
                <w:rFonts w:hint="eastAsia"/>
                <w:b/>
                <w:bCs/>
                <w:color w:val="auto"/>
                <w:shd w:val="clear" w:color="auto" w:fill="auto"/>
              </w:rPr>
              <w:t>厂区边界</w:t>
            </w:r>
          </w:p>
        </w:tc>
        <w:tc>
          <w:tcPr>
            <w:tcW w:w="1250" w:type="pct"/>
            <w:tcBorders>
              <w:tl2br w:val="nil"/>
              <w:tr2bl w:val="nil"/>
            </w:tcBorders>
            <w:shd w:val="clear" w:color="auto" w:fill="auto"/>
            <w:vAlign w:val="center"/>
          </w:tcPr>
          <w:p w14:paraId="0DA7F8A2">
            <w:pPr>
              <w:pStyle w:val="714"/>
              <w:rPr>
                <w:rFonts w:eastAsia="等线"/>
                <w:b/>
                <w:bCs/>
                <w:color w:val="auto"/>
                <w:shd w:val="clear" w:color="auto" w:fill="auto"/>
              </w:rPr>
            </w:pPr>
            <w:r>
              <w:rPr>
                <w:rFonts w:hint="eastAsia"/>
                <w:b/>
                <w:bCs/>
                <w:color w:val="auto"/>
                <w:shd w:val="clear" w:color="auto" w:fill="auto"/>
              </w:rPr>
              <w:t>厂区下游河边</w:t>
            </w:r>
          </w:p>
        </w:tc>
      </w:tr>
      <w:tr w14:paraId="305D9C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4BA906E7">
            <w:pPr>
              <w:pStyle w:val="714"/>
              <w:rPr>
                <w:rFonts w:eastAsia="等线"/>
                <w:color w:val="auto"/>
                <w:shd w:val="clear" w:color="auto" w:fill="auto"/>
              </w:rPr>
            </w:pPr>
            <w:r>
              <w:rPr>
                <w:rFonts w:eastAsia="等线"/>
                <w:color w:val="auto"/>
                <w:shd w:val="clear" w:color="auto" w:fill="auto"/>
              </w:rPr>
              <w:t xml:space="preserve">37 </w:t>
            </w:r>
          </w:p>
        </w:tc>
        <w:tc>
          <w:tcPr>
            <w:tcW w:w="1249" w:type="pct"/>
            <w:tcBorders>
              <w:tl2br w:val="nil"/>
              <w:tr2bl w:val="nil"/>
            </w:tcBorders>
            <w:shd w:val="clear" w:color="auto" w:fill="auto"/>
            <w:vAlign w:val="center"/>
          </w:tcPr>
          <w:p w14:paraId="39BB8241">
            <w:pPr>
              <w:pStyle w:val="714"/>
              <w:rPr>
                <w:rFonts w:eastAsia="等线"/>
                <w:color w:val="auto"/>
                <w:shd w:val="clear" w:color="auto" w:fill="auto"/>
              </w:rPr>
            </w:pPr>
            <w:r>
              <w:rPr>
                <w:rFonts w:eastAsia="等线"/>
                <w:color w:val="auto"/>
                <w:shd w:val="clear" w:color="auto" w:fill="auto"/>
              </w:rPr>
              <w:t>0.347</w:t>
            </w:r>
          </w:p>
        </w:tc>
        <w:tc>
          <w:tcPr>
            <w:tcW w:w="1250" w:type="pct"/>
            <w:tcBorders>
              <w:tl2br w:val="nil"/>
              <w:tr2bl w:val="nil"/>
            </w:tcBorders>
            <w:shd w:val="clear" w:color="auto" w:fill="auto"/>
            <w:vAlign w:val="center"/>
          </w:tcPr>
          <w:p w14:paraId="6C8BD67E">
            <w:pPr>
              <w:pStyle w:val="714"/>
              <w:rPr>
                <w:rFonts w:eastAsia="等线"/>
                <w:color w:val="auto"/>
                <w:shd w:val="clear" w:color="auto" w:fill="auto"/>
              </w:rPr>
            </w:pPr>
            <w:r>
              <w:rPr>
                <w:rFonts w:eastAsia="等线"/>
                <w:color w:val="auto"/>
                <w:shd w:val="clear" w:color="auto" w:fill="auto"/>
              </w:rPr>
              <w:t>0.000</w:t>
            </w:r>
          </w:p>
        </w:tc>
        <w:tc>
          <w:tcPr>
            <w:tcW w:w="1250" w:type="pct"/>
            <w:tcBorders>
              <w:tl2br w:val="nil"/>
              <w:tr2bl w:val="nil"/>
            </w:tcBorders>
            <w:shd w:val="clear" w:color="auto" w:fill="auto"/>
            <w:vAlign w:val="center"/>
          </w:tcPr>
          <w:p w14:paraId="544862F4">
            <w:pPr>
              <w:pStyle w:val="714"/>
              <w:rPr>
                <w:rFonts w:eastAsia="等线"/>
                <w:color w:val="auto"/>
                <w:shd w:val="clear" w:color="auto" w:fill="auto"/>
              </w:rPr>
            </w:pPr>
            <w:r>
              <w:rPr>
                <w:rFonts w:eastAsia="等线"/>
                <w:color w:val="auto"/>
                <w:shd w:val="clear" w:color="auto" w:fill="auto"/>
              </w:rPr>
              <w:t>0.000</w:t>
            </w:r>
          </w:p>
        </w:tc>
      </w:tr>
      <w:tr w14:paraId="0D3607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41209B43">
            <w:pPr>
              <w:pStyle w:val="714"/>
              <w:rPr>
                <w:rFonts w:eastAsia="等线"/>
                <w:color w:val="auto"/>
                <w:shd w:val="clear" w:color="auto" w:fill="auto"/>
              </w:rPr>
            </w:pPr>
            <w:r>
              <w:rPr>
                <w:rFonts w:eastAsia="等线"/>
                <w:color w:val="auto"/>
                <w:shd w:val="clear" w:color="auto" w:fill="auto"/>
              </w:rPr>
              <w:t xml:space="preserve">79 </w:t>
            </w:r>
          </w:p>
        </w:tc>
        <w:tc>
          <w:tcPr>
            <w:tcW w:w="1249" w:type="pct"/>
            <w:tcBorders>
              <w:tl2br w:val="nil"/>
              <w:tr2bl w:val="nil"/>
            </w:tcBorders>
            <w:shd w:val="clear" w:color="auto" w:fill="auto"/>
            <w:vAlign w:val="center"/>
          </w:tcPr>
          <w:p w14:paraId="3F3B74DB">
            <w:pPr>
              <w:pStyle w:val="714"/>
              <w:rPr>
                <w:rFonts w:eastAsia="等线"/>
                <w:color w:val="auto"/>
                <w:shd w:val="clear" w:color="auto" w:fill="auto"/>
              </w:rPr>
            </w:pPr>
            <w:r>
              <w:rPr>
                <w:rFonts w:eastAsia="等线"/>
                <w:color w:val="auto"/>
                <w:shd w:val="clear" w:color="auto" w:fill="auto"/>
              </w:rPr>
              <w:t>0.690</w:t>
            </w:r>
          </w:p>
        </w:tc>
        <w:tc>
          <w:tcPr>
            <w:tcW w:w="1250" w:type="pct"/>
            <w:tcBorders>
              <w:tl2br w:val="nil"/>
              <w:tr2bl w:val="nil"/>
            </w:tcBorders>
            <w:shd w:val="clear" w:color="auto" w:fill="auto"/>
            <w:vAlign w:val="center"/>
          </w:tcPr>
          <w:p w14:paraId="2262EEDE">
            <w:pPr>
              <w:pStyle w:val="714"/>
              <w:rPr>
                <w:rFonts w:eastAsia="等线"/>
                <w:color w:val="auto"/>
                <w:shd w:val="clear" w:color="auto" w:fill="auto"/>
              </w:rPr>
            </w:pPr>
            <w:r>
              <w:rPr>
                <w:rFonts w:eastAsia="等线"/>
                <w:color w:val="auto"/>
                <w:shd w:val="clear" w:color="auto" w:fill="auto"/>
              </w:rPr>
              <w:t>0.051</w:t>
            </w:r>
          </w:p>
        </w:tc>
        <w:tc>
          <w:tcPr>
            <w:tcW w:w="1250" w:type="pct"/>
            <w:tcBorders>
              <w:tl2br w:val="nil"/>
              <w:tr2bl w:val="nil"/>
            </w:tcBorders>
            <w:shd w:val="clear" w:color="auto" w:fill="auto"/>
            <w:vAlign w:val="center"/>
          </w:tcPr>
          <w:p w14:paraId="620094FC">
            <w:pPr>
              <w:pStyle w:val="714"/>
              <w:rPr>
                <w:rFonts w:eastAsia="等线"/>
                <w:color w:val="auto"/>
                <w:shd w:val="clear" w:color="auto" w:fill="auto"/>
              </w:rPr>
            </w:pPr>
            <w:r>
              <w:rPr>
                <w:rFonts w:eastAsia="等线"/>
                <w:color w:val="auto"/>
                <w:shd w:val="clear" w:color="auto" w:fill="auto"/>
              </w:rPr>
              <w:t>0.000</w:t>
            </w:r>
          </w:p>
        </w:tc>
      </w:tr>
      <w:tr w14:paraId="2FE478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08FD2CBF">
            <w:pPr>
              <w:pStyle w:val="714"/>
              <w:rPr>
                <w:rFonts w:eastAsia="等线"/>
                <w:color w:val="auto"/>
                <w:shd w:val="clear" w:color="auto" w:fill="auto"/>
              </w:rPr>
            </w:pPr>
            <w:r>
              <w:rPr>
                <w:rFonts w:eastAsia="等线"/>
                <w:color w:val="auto"/>
                <w:shd w:val="clear" w:color="auto" w:fill="auto"/>
              </w:rPr>
              <w:t xml:space="preserve">90 </w:t>
            </w:r>
          </w:p>
        </w:tc>
        <w:tc>
          <w:tcPr>
            <w:tcW w:w="1249" w:type="pct"/>
            <w:tcBorders>
              <w:tl2br w:val="nil"/>
              <w:tr2bl w:val="nil"/>
            </w:tcBorders>
            <w:shd w:val="clear" w:color="auto" w:fill="auto"/>
            <w:vAlign w:val="center"/>
          </w:tcPr>
          <w:p w14:paraId="78689117">
            <w:pPr>
              <w:pStyle w:val="714"/>
              <w:rPr>
                <w:rFonts w:eastAsia="等线"/>
                <w:color w:val="auto"/>
                <w:shd w:val="clear" w:color="auto" w:fill="auto"/>
              </w:rPr>
            </w:pPr>
            <w:r>
              <w:rPr>
                <w:rFonts w:eastAsia="等线"/>
                <w:color w:val="auto"/>
                <w:shd w:val="clear" w:color="auto" w:fill="auto"/>
              </w:rPr>
              <w:t>0.781</w:t>
            </w:r>
          </w:p>
        </w:tc>
        <w:tc>
          <w:tcPr>
            <w:tcW w:w="1250" w:type="pct"/>
            <w:tcBorders>
              <w:tl2br w:val="nil"/>
              <w:tr2bl w:val="nil"/>
            </w:tcBorders>
            <w:shd w:val="clear" w:color="auto" w:fill="auto"/>
            <w:vAlign w:val="center"/>
          </w:tcPr>
          <w:p w14:paraId="2F46246A">
            <w:pPr>
              <w:pStyle w:val="714"/>
              <w:rPr>
                <w:rFonts w:eastAsia="等线"/>
                <w:color w:val="auto"/>
                <w:shd w:val="clear" w:color="auto" w:fill="auto"/>
              </w:rPr>
            </w:pPr>
            <w:r>
              <w:rPr>
                <w:rFonts w:eastAsia="等线"/>
                <w:color w:val="auto"/>
                <w:shd w:val="clear" w:color="auto" w:fill="auto"/>
              </w:rPr>
              <w:t>0.068</w:t>
            </w:r>
          </w:p>
        </w:tc>
        <w:tc>
          <w:tcPr>
            <w:tcW w:w="1250" w:type="pct"/>
            <w:tcBorders>
              <w:tl2br w:val="nil"/>
              <w:tr2bl w:val="nil"/>
            </w:tcBorders>
            <w:shd w:val="clear" w:color="auto" w:fill="auto"/>
            <w:vAlign w:val="center"/>
          </w:tcPr>
          <w:p w14:paraId="55D40C82">
            <w:pPr>
              <w:pStyle w:val="714"/>
              <w:rPr>
                <w:rFonts w:eastAsia="等线"/>
                <w:color w:val="auto"/>
                <w:shd w:val="clear" w:color="auto" w:fill="auto"/>
              </w:rPr>
            </w:pPr>
            <w:r>
              <w:rPr>
                <w:rFonts w:eastAsia="等线"/>
                <w:color w:val="auto"/>
                <w:shd w:val="clear" w:color="auto" w:fill="auto"/>
              </w:rPr>
              <w:t>0.000</w:t>
            </w:r>
          </w:p>
        </w:tc>
      </w:tr>
      <w:tr w14:paraId="5ABC9A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542FEAFF">
            <w:pPr>
              <w:pStyle w:val="714"/>
              <w:rPr>
                <w:rFonts w:eastAsia="等线"/>
                <w:color w:val="auto"/>
                <w:shd w:val="clear" w:color="auto" w:fill="auto"/>
              </w:rPr>
            </w:pPr>
            <w:r>
              <w:rPr>
                <w:rFonts w:eastAsia="等线"/>
                <w:color w:val="auto"/>
                <w:shd w:val="clear" w:color="auto" w:fill="auto"/>
              </w:rPr>
              <w:t xml:space="preserve">100 </w:t>
            </w:r>
          </w:p>
        </w:tc>
        <w:tc>
          <w:tcPr>
            <w:tcW w:w="1249" w:type="pct"/>
            <w:tcBorders>
              <w:tl2br w:val="nil"/>
              <w:tr2bl w:val="nil"/>
            </w:tcBorders>
            <w:shd w:val="clear" w:color="auto" w:fill="auto"/>
            <w:vAlign w:val="center"/>
          </w:tcPr>
          <w:p w14:paraId="24BF2950">
            <w:pPr>
              <w:pStyle w:val="714"/>
              <w:rPr>
                <w:rFonts w:eastAsia="等线"/>
                <w:color w:val="auto"/>
                <w:shd w:val="clear" w:color="auto" w:fill="auto"/>
              </w:rPr>
            </w:pPr>
            <w:r>
              <w:rPr>
                <w:rFonts w:eastAsia="等线"/>
                <w:color w:val="auto"/>
                <w:shd w:val="clear" w:color="auto" w:fill="auto"/>
              </w:rPr>
              <w:t>0.758</w:t>
            </w:r>
          </w:p>
        </w:tc>
        <w:tc>
          <w:tcPr>
            <w:tcW w:w="1250" w:type="pct"/>
            <w:tcBorders>
              <w:tl2br w:val="nil"/>
              <w:tr2bl w:val="nil"/>
            </w:tcBorders>
            <w:shd w:val="clear" w:color="auto" w:fill="auto"/>
            <w:vAlign w:val="center"/>
          </w:tcPr>
          <w:p w14:paraId="6B1738B7">
            <w:pPr>
              <w:pStyle w:val="714"/>
              <w:rPr>
                <w:rFonts w:eastAsia="等线"/>
                <w:color w:val="auto"/>
                <w:shd w:val="clear" w:color="auto" w:fill="auto"/>
              </w:rPr>
            </w:pPr>
            <w:r>
              <w:rPr>
                <w:rFonts w:eastAsia="等线"/>
                <w:color w:val="auto"/>
                <w:shd w:val="clear" w:color="auto" w:fill="auto"/>
              </w:rPr>
              <w:t>0.084</w:t>
            </w:r>
          </w:p>
        </w:tc>
        <w:tc>
          <w:tcPr>
            <w:tcW w:w="1250" w:type="pct"/>
            <w:tcBorders>
              <w:tl2br w:val="nil"/>
              <w:tr2bl w:val="nil"/>
            </w:tcBorders>
            <w:shd w:val="clear" w:color="auto" w:fill="auto"/>
            <w:vAlign w:val="center"/>
          </w:tcPr>
          <w:p w14:paraId="3894796A">
            <w:pPr>
              <w:pStyle w:val="714"/>
              <w:rPr>
                <w:rFonts w:eastAsia="等线"/>
                <w:color w:val="auto"/>
                <w:shd w:val="clear" w:color="auto" w:fill="auto"/>
              </w:rPr>
            </w:pPr>
            <w:r>
              <w:rPr>
                <w:rFonts w:eastAsia="等线"/>
                <w:color w:val="auto"/>
                <w:shd w:val="clear" w:color="auto" w:fill="auto"/>
              </w:rPr>
              <w:t>0.000</w:t>
            </w:r>
          </w:p>
        </w:tc>
      </w:tr>
      <w:tr w14:paraId="0BE485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11C4D091">
            <w:pPr>
              <w:pStyle w:val="714"/>
              <w:rPr>
                <w:rFonts w:eastAsia="等线"/>
                <w:color w:val="auto"/>
                <w:shd w:val="clear" w:color="auto" w:fill="auto"/>
              </w:rPr>
            </w:pPr>
            <w:r>
              <w:rPr>
                <w:rFonts w:eastAsia="等线"/>
                <w:color w:val="auto"/>
                <w:shd w:val="clear" w:color="auto" w:fill="auto"/>
              </w:rPr>
              <w:t xml:space="preserve">365 </w:t>
            </w:r>
          </w:p>
        </w:tc>
        <w:tc>
          <w:tcPr>
            <w:tcW w:w="1249" w:type="pct"/>
            <w:tcBorders>
              <w:tl2br w:val="nil"/>
              <w:tr2bl w:val="nil"/>
            </w:tcBorders>
            <w:shd w:val="clear" w:color="auto" w:fill="auto"/>
            <w:vAlign w:val="center"/>
          </w:tcPr>
          <w:p w14:paraId="6F95F976">
            <w:pPr>
              <w:pStyle w:val="714"/>
              <w:rPr>
                <w:rFonts w:eastAsia="等线"/>
                <w:color w:val="auto"/>
                <w:shd w:val="clear" w:color="auto" w:fill="auto"/>
              </w:rPr>
            </w:pPr>
            <w:r>
              <w:rPr>
                <w:rFonts w:eastAsia="等线"/>
                <w:color w:val="auto"/>
                <w:shd w:val="clear" w:color="auto" w:fill="auto"/>
              </w:rPr>
              <w:t>0.388</w:t>
            </w:r>
          </w:p>
        </w:tc>
        <w:tc>
          <w:tcPr>
            <w:tcW w:w="1250" w:type="pct"/>
            <w:tcBorders>
              <w:tl2br w:val="nil"/>
              <w:tr2bl w:val="nil"/>
            </w:tcBorders>
            <w:shd w:val="clear" w:color="auto" w:fill="auto"/>
            <w:vAlign w:val="center"/>
          </w:tcPr>
          <w:p w14:paraId="5A111674">
            <w:pPr>
              <w:pStyle w:val="714"/>
              <w:rPr>
                <w:rFonts w:eastAsia="等线"/>
                <w:color w:val="auto"/>
                <w:shd w:val="clear" w:color="auto" w:fill="auto"/>
              </w:rPr>
            </w:pPr>
            <w:r>
              <w:rPr>
                <w:rFonts w:eastAsia="等线"/>
                <w:color w:val="auto"/>
                <w:shd w:val="clear" w:color="auto" w:fill="auto"/>
              </w:rPr>
              <w:t>0.220</w:t>
            </w:r>
          </w:p>
        </w:tc>
        <w:tc>
          <w:tcPr>
            <w:tcW w:w="1250" w:type="pct"/>
            <w:tcBorders>
              <w:tl2br w:val="nil"/>
              <w:tr2bl w:val="nil"/>
            </w:tcBorders>
            <w:shd w:val="clear" w:color="auto" w:fill="auto"/>
            <w:vAlign w:val="center"/>
          </w:tcPr>
          <w:p w14:paraId="30307781">
            <w:pPr>
              <w:pStyle w:val="714"/>
              <w:rPr>
                <w:rFonts w:eastAsia="等线"/>
                <w:color w:val="auto"/>
                <w:shd w:val="clear" w:color="auto" w:fill="auto"/>
              </w:rPr>
            </w:pPr>
            <w:r>
              <w:rPr>
                <w:rFonts w:eastAsia="等线"/>
                <w:color w:val="auto"/>
                <w:shd w:val="clear" w:color="auto" w:fill="auto"/>
              </w:rPr>
              <w:t>0.001</w:t>
            </w:r>
          </w:p>
        </w:tc>
      </w:tr>
      <w:tr w14:paraId="6F28DC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08E3190A">
            <w:pPr>
              <w:pStyle w:val="714"/>
              <w:rPr>
                <w:rFonts w:eastAsia="等线"/>
                <w:color w:val="auto"/>
                <w:shd w:val="clear" w:color="auto" w:fill="auto"/>
              </w:rPr>
            </w:pPr>
            <w:r>
              <w:rPr>
                <w:rFonts w:eastAsia="等线"/>
                <w:color w:val="auto"/>
                <w:shd w:val="clear" w:color="auto" w:fill="auto"/>
              </w:rPr>
              <w:t xml:space="preserve">730 </w:t>
            </w:r>
          </w:p>
        </w:tc>
        <w:tc>
          <w:tcPr>
            <w:tcW w:w="1249" w:type="pct"/>
            <w:tcBorders>
              <w:tl2br w:val="nil"/>
              <w:tr2bl w:val="nil"/>
            </w:tcBorders>
            <w:shd w:val="clear" w:color="auto" w:fill="auto"/>
            <w:vAlign w:val="center"/>
          </w:tcPr>
          <w:p w14:paraId="0325B5BB">
            <w:pPr>
              <w:pStyle w:val="714"/>
              <w:rPr>
                <w:rFonts w:eastAsia="等线"/>
                <w:color w:val="auto"/>
                <w:shd w:val="clear" w:color="auto" w:fill="auto"/>
              </w:rPr>
            </w:pPr>
            <w:r>
              <w:rPr>
                <w:rFonts w:eastAsia="等线"/>
                <w:color w:val="auto"/>
                <w:shd w:val="clear" w:color="auto" w:fill="auto"/>
              </w:rPr>
              <w:t>0.251</w:t>
            </w:r>
          </w:p>
        </w:tc>
        <w:tc>
          <w:tcPr>
            <w:tcW w:w="1250" w:type="pct"/>
            <w:tcBorders>
              <w:tl2br w:val="nil"/>
              <w:tr2bl w:val="nil"/>
            </w:tcBorders>
            <w:shd w:val="clear" w:color="auto" w:fill="auto"/>
            <w:vAlign w:val="center"/>
          </w:tcPr>
          <w:p w14:paraId="5AB4A3F0">
            <w:pPr>
              <w:pStyle w:val="714"/>
              <w:rPr>
                <w:rFonts w:eastAsia="等线"/>
                <w:color w:val="auto"/>
                <w:shd w:val="clear" w:color="auto" w:fill="auto"/>
              </w:rPr>
            </w:pPr>
            <w:r>
              <w:rPr>
                <w:rFonts w:eastAsia="等线"/>
                <w:color w:val="auto"/>
                <w:shd w:val="clear" w:color="auto" w:fill="auto"/>
              </w:rPr>
              <w:t>0.242</w:t>
            </w:r>
          </w:p>
        </w:tc>
        <w:tc>
          <w:tcPr>
            <w:tcW w:w="1250" w:type="pct"/>
            <w:tcBorders>
              <w:tl2br w:val="nil"/>
              <w:tr2bl w:val="nil"/>
            </w:tcBorders>
            <w:shd w:val="clear" w:color="auto" w:fill="auto"/>
            <w:vAlign w:val="center"/>
          </w:tcPr>
          <w:p w14:paraId="35C24ADD">
            <w:pPr>
              <w:pStyle w:val="714"/>
              <w:rPr>
                <w:rFonts w:eastAsia="等线"/>
                <w:color w:val="auto"/>
                <w:shd w:val="clear" w:color="auto" w:fill="auto"/>
              </w:rPr>
            </w:pPr>
            <w:r>
              <w:rPr>
                <w:rFonts w:eastAsia="等线"/>
                <w:color w:val="auto"/>
                <w:shd w:val="clear" w:color="auto" w:fill="auto"/>
              </w:rPr>
              <w:t>0.012</w:t>
            </w:r>
          </w:p>
        </w:tc>
      </w:tr>
      <w:tr w14:paraId="3DA565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05053FB1">
            <w:pPr>
              <w:pStyle w:val="714"/>
              <w:rPr>
                <w:rFonts w:eastAsia="等线"/>
                <w:color w:val="auto"/>
                <w:shd w:val="clear" w:color="auto" w:fill="auto"/>
              </w:rPr>
            </w:pPr>
            <w:r>
              <w:rPr>
                <w:rFonts w:eastAsia="等线"/>
                <w:color w:val="auto"/>
                <w:shd w:val="clear" w:color="auto" w:fill="auto"/>
              </w:rPr>
              <w:t xml:space="preserve">1000 </w:t>
            </w:r>
          </w:p>
        </w:tc>
        <w:tc>
          <w:tcPr>
            <w:tcW w:w="1249" w:type="pct"/>
            <w:tcBorders>
              <w:tl2br w:val="nil"/>
              <w:tr2bl w:val="nil"/>
            </w:tcBorders>
            <w:shd w:val="clear" w:color="auto" w:fill="auto"/>
            <w:vAlign w:val="center"/>
          </w:tcPr>
          <w:p w14:paraId="5228E96C">
            <w:pPr>
              <w:pStyle w:val="714"/>
              <w:rPr>
                <w:rFonts w:eastAsia="等线"/>
                <w:color w:val="auto"/>
                <w:shd w:val="clear" w:color="auto" w:fill="auto"/>
              </w:rPr>
            </w:pPr>
            <w:r>
              <w:rPr>
                <w:rFonts w:eastAsia="等线"/>
                <w:color w:val="auto"/>
                <w:shd w:val="clear" w:color="auto" w:fill="auto"/>
              </w:rPr>
              <w:t>0.188</w:t>
            </w:r>
          </w:p>
        </w:tc>
        <w:tc>
          <w:tcPr>
            <w:tcW w:w="1250" w:type="pct"/>
            <w:tcBorders>
              <w:tl2br w:val="nil"/>
              <w:tr2bl w:val="nil"/>
            </w:tcBorders>
            <w:shd w:val="clear" w:color="auto" w:fill="auto"/>
            <w:vAlign w:val="center"/>
          </w:tcPr>
          <w:p w14:paraId="41EE568C">
            <w:pPr>
              <w:pStyle w:val="714"/>
              <w:rPr>
                <w:rFonts w:eastAsia="等线"/>
                <w:color w:val="auto"/>
                <w:shd w:val="clear" w:color="auto" w:fill="auto"/>
              </w:rPr>
            </w:pPr>
            <w:r>
              <w:rPr>
                <w:rFonts w:eastAsia="等线"/>
                <w:color w:val="auto"/>
                <w:shd w:val="clear" w:color="auto" w:fill="auto"/>
              </w:rPr>
              <w:t>0.234</w:t>
            </w:r>
          </w:p>
        </w:tc>
        <w:tc>
          <w:tcPr>
            <w:tcW w:w="1250" w:type="pct"/>
            <w:tcBorders>
              <w:tl2br w:val="nil"/>
              <w:tr2bl w:val="nil"/>
            </w:tcBorders>
            <w:shd w:val="clear" w:color="auto" w:fill="auto"/>
            <w:vAlign w:val="center"/>
          </w:tcPr>
          <w:p w14:paraId="2E56F274">
            <w:pPr>
              <w:pStyle w:val="714"/>
              <w:rPr>
                <w:rFonts w:eastAsia="等线"/>
                <w:color w:val="auto"/>
                <w:shd w:val="clear" w:color="auto" w:fill="auto"/>
              </w:rPr>
            </w:pPr>
            <w:r>
              <w:rPr>
                <w:rFonts w:eastAsia="等线"/>
                <w:color w:val="auto"/>
                <w:shd w:val="clear" w:color="auto" w:fill="auto"/>
              </w:rPr>
              <w:t>0.023</w:t>
            </w:r>
          </w:p>
        </w:tc>
      </w:tr>
      <w:tr w14:paraId="6D1D17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1FA16123">
            <w:pPr>
              <w:pStyle w:val="714"/>
              <w:rPr>
                <w:rFonts w:eastAsia="等线"/>
                <w:color w:val="auto"/>
                <w:shd w:val="clear" w:color="auto" w:fill="auto"/>
              </w:rPr>
            </w:pPr>
            <w:r>
              <w:rPr>
                <w:rFonts w:eastAsia="等线"/>
                <w:color w:val="auto"/>
                <w:shd w:val="clear" w:color="auto" w:fill="auto"/>
              </w:rPr>
              <w:t xml:space="preserve">1518 </w:t>
            </w:r>
          </w:p>
        </w:tc>
        <w:tc>
          <w:tcPr>
            <w:tcW w:w="1249" w:type="pct"/>
            <w:tcBorders>
              <w:tl2br w:val="nil"/>
              <w:tr2bl w:val="nil"/>
            </w:tcBorders>
            <w:shd w:val="clear" w:color="auto" w:fill="auto"/>
            <w:vAlign w:val="center"/>
          </w:tcPr>
          <w:p w14:paraId="3E50A6BF">
            <w:pPr>
              <w:pStyle w:val="714"/>
              <w:rPr>
                <w:rFonts w:eastAsia="等线"/>
                <w:color w:val="auto"/>
                <w:shd w:val="clear" w:color="auto" w:fill="auto"/>
              </w:rPr>
            </w:pPr>
            <w:r>
              <w:rPr>
                <w:rFonts w:eastAsia="等线"/>
                <w:color w:val="auto"/>
                <w:shd w:val="clear" w:color="auto" w:fill="auto"/>
              </w:rPr>
              <w:t>0.108</w:t>
            </w:r>
          </w:p>
        </w:tc>
        <w:tc>
          <w:tcPr>
            <w:tcW w:w="1250" w:type="pct"/>
            <w:tcBorders>
              <w:tl2br w:val="nil"/>
              <w:tr2bl w:val="nil"/>
            </w:tcBorders>
            <w:shd w:val="clear" w:color="auto" w:fill="auto"/>
            <w:vAlign w:val="center"/>
          </w:tcPr>
          <w:p w14:paraId="0587D925">
            <w:pPr>
              <w:pStyle w:val="714"/>
              <w:rPr>
                <w:rFonts w:eastAsia="等线"/>
                <w:color w:val="auto"/>
                <w:shd w:val="clear" w:color="auto" w:fill="auto"/>
              </w:rPr>
            </w:pPr>
            <w:r>
              <w:rPr>
                <w:rFonts w:eastAsia="等线"/>
                <w:color w:val="auto"/>
                <w:shd w:val="clear" w:color="auto" w:fill="auto"/>
              </w:rPr>
              <w:t>0.192</w:t>
            </w:r>
          </w:p>
        </w:tc>
        <w:tc>
          <w:tcPr>
            <w:tcW w:w="1250" w:type="pct"/>
            <w:tcBorders>
              <w:tl2br w:val="nil"/>
              <w:tr2bl w:val="nil"/>
            </w:tcBorders>
            <w:shd w:val="clear" w:color="auto" w:fill="auto"/>
            <w:vAlign w:val="center"/>
          </w:tcPr>
          <w:p w14:paraId="3260645C">
            <w:pPr>
              <w:pStyle w:val="714"/>
              <w:rPr>
                <w:rFonts w:eastAsia="等线"/>
                <w:color w:val="auto"/>
                <w:shd w:val="clear" w:color="auto" w:fill="auto"/>
              </w:rPr>
            </w:pPr>
            <w:r>
              <w:rPr>
                <w:rFonts w:eastAsia="等线"/>
                <w:color w:val="auto"/>
                <w:shd w:val="clear" w:color="auto" w:fill="auto"/>
              </w:rPr>
              <w:t>0.037</w:t>
            </w:r>
          </w:p>
        </w:tc>
      </w:tr>
      <w:tr w14:paraId="0B7F42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24AB33E2">
            <w:pPr>
              <w:pStyle w:val="714"/>
              <w:rPr>
                <w:rFonts w:eastAsia="等线"/>
                <w:color w:val="auto"/>
                <w:shd w:val="clear" w:color="auto" w:fill="auto"/>
              </w:rPr>
            </w:pPr>
            <w:r>
              <w:rPr>
                <w:rFonts w:eastAsia="等线"/>
                <w:color w:val="auto"/>
                <w:shd w:val="clear" w:color="auto" w:fill="auto"/>
              </w:rPr>
              <w:t xml:space="preserve">2000 </w:t>
            </w:r>
          </w:p>
        </w:tc>
        <w:tc>
          <w:tcPr>
            <w:tcW w:w="1249" w:type="pct"/>
            <w:tcBorders>
              <w:tl2br w:val="nil"/>
              <w:tr2bl w:val="nil"/>
            </w:tcBorders>
            <w:shd w:val="clear" w:color="auto" w:fill="auto"/>
            <w:vAlign w:val="center"/>
          </w:tcPr>
          <w:p w14:paraId="46313448">
            <w:pPr>
              <w:pStyle w:val="714"/>
              <w:rPr>
                <w:rFonts w:eastAsia="等线"/>
                <w:color w:val="auto"/>
                <w:shd w:val="clear" w:color="auto" w:fill="auto"/>
              </w:rPr>
            </w:pPr>
            <w:r>
              <w:rPr>
                <w:rFonts w:eastAsia="等线"/>
                <w:color w:val="auto"/>
                <w:shd w:val="clear" w:color="auto" w:fill="auto"/>
              </w:rPr>
              <w:t>0.064</w:t>
            </w:r>
          </w:p>
        </w:tc>
        <w:tc>
          <w:tcPr>
            <w:tcW w:w="1250" w:type="pct"/>
            <w:tcBorders>
              <w:tl2br w:val="nil"/>
              <w:tr2bl w:val="nil"/>
            </w:tcBorders>
            <w:shd w:val="clear" w:color="auto" w:fill="auto"/>
            <w:vAlign w:val="center"/>
          </w:tcPr>
          <w:p w14:paraId="1A015F26">
            <w:pPr>
              <w:pStyle w:val="714"/>
              <w:rPr>
                <w:rFonts w:eastAsia="等线"/>
                <w:color w:val="auto"/>
                <w:shd w:val="clear" w:color="auto" w:fill="auto"/>
              </w:rPr>
            </w:pPr>
            <w:r>
              <w:rPr>
                <w:rFonts w:eastAsia="等线"/>
                <w:color w:val="auto"/>
                <w:shd w:val="clear" w:color="auto" w:fill="auto"/>
              </w:rPr>
              <w:t>0.143</w:t>
            </w:r>
          </w:p>
        </w:tc>
        <w:tc>
          <w:tcPr>
            <w:tcW w:w="1250" w:type="pct"/>
            <w:tcBorders>
              <w:tl2br w:val="nil"/>
              <w:tr2bl w:val="nil"/>
            </w:tcBorders>
            <w:shd w:val="clear" w:color="auto" w:fill="auto"/>
            <w:vAlign w:val="center"/>
          </w:tcPr>
          <w:p w14:paraId="69DB7471">
            <w:pPr>
              <w:pStyle w:val="714"/>
              <w:rPr>
                <w:rFonts w:eastAsia="等线"/>
                <w:color w:val="auto"/>
                <w:shd w:val="clear" w:color="auto" w:fill="auto"/>
              </w:rPr>
            </w:pPr>
            <w:r>
              <w:rPr>
                <w:rFonts w:eastAsia="等线"/>
                <w:color w:val="auto"/>
                <w:shd w:val="clear" w:color="auto" w:fill="auto"/>
              </w:rPr>
              <w:t>0.041</w:t>
            </w:r>
          </w:p>
        </w:tc>
      </w:tr>
      <w:tr w14:paraId="4CD33B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6D5CAC85">
            <w:pPr>
              <w:pStyle w:val="714"/>
              <w:rPr>
                <w:rFonts w:eastAsia="等线"/>
                <w:color w:val="auto"/>
                <w:shd w:val="clear" w:color="auto" w:fill="auto"/>
              </w:rPr>
            </w:pPr>
            <w:r>
              <w:rPr>
                <w:rFonts w:eastAsia="等线"/>
                <w:color w:val="auto"/>
                <w:shd w:val="clear" w:color="auto" w:fill="auto"/>
              </w:rPr>
              <w:t xml:space="preserve">3000 </w:t>
            </w:r>
          </w:p>
        </w:tc>
        <w:tc>
          <w:tcPr>
            <w:tcW w:w="1249" w:type="pct"/>
            <w:tcBorders>
              <w:tl2br w:val="nil"/>
              <w:tr2bl w:val="nil"/>
            </w:tcBorders>
            <w:shd w:val="clear" w:color="auto" w:fill="auto"/>
            <w:vAlign w:val="center"/>
          </w:tcPr>
          <w:p w14:paraId="72AA7A87">
            <w:pPr>
              <w:pStyle w:val="714"/>
              <w:rPr>
                <w:rFonts w:eastAsia="等线"/>
                <w:color w:val="auto"/>
                <w:shd w:val="clear" w:color="auto" w:fill="auto"/>
              </w:rPr>
            </w:pPr>
            <w:r>
              <w:rPr>
                <w:rFonts w:eastAsia="等线"/>
                <w:color w:val="auto"/>
                <w:shd w:val="clear" w:color="auto" w:fill="auto"/>
              </w:rPr>
              <w:t>0.022</w:t>
            </w:r>
          </w:p>
        </w:tc>
        <w:tc>
          <w:tcPr>
            <w:tcW w:w="1250" w:type="pct"/>
            <w:tcBorders>
              <w:tl2br w:val="nil"/>
              <w:tr2bl w:val="nil"/>
            </w:tcBorders>
            <w:shd w:val="clear" w:color="auto" w:fill="auto"/>
            <w:vAlign w:val="center"/>
          </w:tcPr>
          <w:p w14:paraId="4874244F">
            <w:pPr>
              <w:pStyle w:val="714"/>
              <w:rPr>
                <w:rFonts w:eastAsia="等线"/>
                <w:color w:val="auto"/>
                <w:shd w:val="clear" w:color="auto" w:fill="auto"/>
              </w:rPr>
            </w:pPr>
            <w:r>
              <w:rPr>
                <w:rFonts w:eastAsia="等线"/>
                <w:color w:val="auto"/>
                <w:shd w:val="clear" w:color="auto" w:fill="auto"/>
              </w:rPr>
              <w:t>0.065</w:t>
            </w:r>
          </w:p>
        </w:tc>
        <w:tc>
          <w:tcPr>
            <w:tcW w:w="1250" w:type="pct"/>
            <w:tcBorders>
              <w:tl2br w:val="nil"/>
              <w:tr2bl w:val="nil"/>
            </w:tcBorders>
            <w:shd w:val="clear" w:color="auto" w:fill="auto"/>
            <w:vAlign w:val="center"/>
          </w:tcPr>
          <w:p w14:paraId="5A7C48A6">
            <w:pPr>
              <w:pStyle w:val="714"/>
              <w:rPr>
                <w:rFonts w:eastAsia="等线"/>
                <w:color w:val="auto"/>
                <w:shd w:val="clear" w:color="auto" w:fill="auto"/>
              </w:rPr>
            </w:pPr>
            <w:r>
              <w:rPr>
                <w:rFonts w:eastAsia="等线"/>
                <w:color w:val="auto"/>
                <w:shd w:val="clear" w:color="auto" w:fill="auto"/>
              </w:rPr>
              <w:t>0.030</w:t>
            </w:r>
          </w:p>
        </w:tc>
      </w:tr>
      <w:tr w14:paraId="6F83D7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31C6D765">
            <w:pPr>
              <w:pStyle w:val="714"/>
              <w:rPr>
                <w:rFonts w:eastAsia="等线"/>
                <w:color w:val="auto"/>
                <w:shd w:val="clear" w:color="auto" w:fill="auto"/>
              </w:rPr>
            </w:pPr>
            <w:r>
              <w:rPr>
                <w:rFonts w:eastAsia="等线"/>
                <w:color w:val="auto"/>
                <w:shd w:val="clear" w:color="auto" w:fill="auto"/>
              </w:rPr>
              <w:t xml:space="preserve">3650 </w:t>
            </w:r>
          </w:p>
        </w:tc>
        <w:tc>
          <w:tcPr>
            <w:tcW w:w="1249" w:type="pct"/>
            <w:tcBorders>
              <w:tl2br w:val="nil"/>
              <w:tr2bl w:val="nil"/>
            </w:tcBorders>
            <w:shd w:val="clear" w:color="auto" w:fill="auto"/>
            <w:vAlign w:val="center"/>
          </w:tcPr>
          <w:p w14:paraId="7996DD18">
            <w:pPr>
              <w:pStyle w:val="714"/>
              <w:rPr>
                <w:rFonts w:eastAsia="等线"/>
                <w:color w:val="auto"/>
                <w:shd w:val="clear" w:color="auto" w:fill="auto"/>
              </w:rPr>
            </w:pPr>
            <w:r>
              <w:rPr>
                <w:rFonts w:eastAsia="等线"/>
                <w:color w:val="auto"/>
                <w:shd w:val="clear" w:color="auto" w:fill="auto"/>
              </w:rPr>
              <w:t>0.011</w:t>
            </w:r>
          </w:p>
        </w:tc>
        <w:tc>
          <w:tcPr>
            <w:tcW w:w="1250" w:type="pct"/>
            <w:tcBorders>
              <w:tl2br w:val="nil"/>
              <w:tr2bl w:val="nil"/>
            </w:tcBorders>
            <w:shd w:val="clear" w:color="auto" w:fill="auto"/>
            <w:vAlign w:val="center"/>
          </w:tcPr>
          <w:p w14:paraId="2C4B358B">
            <w:pPr>
              <w:pStyle w:val="714"/>
              <w:rPr>
                <w:rFonts w:eastAsia="等线"/>
                <w:color w:val="auto"/>
                <w:shd w:val="clear" w:color="auto" w:fill="auto"/>
              </w:rPr>
            </w:pPr>
            <w:r>
              <w:rPr>
                <w:rFonts w:eastAsia="等线"/>
                <w:color w:val="auto"/>
                <w:shd w:val="clear" w:color="auto" w:fill="auto"/>
              </w:rPr>
              <w:t>0.036</w:t>
            </w:r>
          </w:p>
        </w:tc>
        <w:tc>
          <w:tcPr>
            <w:tcW w:w="1250" w:type="pct"/>
            <w:tcBorders>
              <w:tl2br w:val="nil"/>
              <w:tr2bl w:val="nil"/>
            </w:tcBorders>
            <w:shd w:val="clear" w:color="auto" w:fill="auto"/>
            <w:vAlign w:val="center"/>
          </w:tcPr>
          <w:p w14:paraId="47D40705">
            <w:pPr>
              <w:pStyle w:val="714"/>
              <w:rPr>
                <w:rFonts w:eastAsia="等线"/>
                <w:color w:val="auto"/>
                <w:shd w:val="clear" w:color="auto" w:fill="auto"/>
              </w:rPr>
            </w:pPr>
            <w:r>
              <w:rPr>
                <w:rFonts w:eastAsia="等线"/>
                <w:color w:val="auto"/>
                <w:shd w:val="clear" w:color="auto" w:fill="auto"/>
              </w:rPr>
              <w:t>0.021</w:t>
            </w:r>
          </w:p>
        </w:tc>
      </w:tr>
      <w:tr w14:paraId="75E6C3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129CD256">
            <w:pPr>
              <w:pStyle w:val="714"/>
              <w:rPr>
                <w:rFonts w:eastAsia="等线"/>
                <w:color w:val="auto"/>
                <w:shd w:val="clear" w:color="auto" w:fill="auto"/>
              </w:rPr>
            </w:pPr>
            <w:r>
              <w:rPr>
                <w:rFonts w:eastAsia="等线"/>
                <w:color w:val="auto"/>
                <w:shd w:val="clear" w:color="auto" w:fill="auto"/>
              </w:rPr>
              <w:t xml:space="preserve">4050 </w:t>
            </w:r>
          </w:p>
        </w:tc>
        <w:tc>
          <w:tcPr>
            <w:tcW w:w="1249" w:type="pct"/>
            <w:tcBorders>
              <w:tl2br w:val="nil"/>
              <w:tr2bl w:val="nil"/>
            </w:tcBorders>
            <w:shd w:val="clear" w:color="auto" w:fill="auto"/>
            <w:vAlign w:val="center"/>
          </w:tcPr>
          <w:p w14:paraId="7A844AB0">
            <w:pPr>
              <w:pStyle w:val="714"/>
              <w:rPr>
                <w:rFonts w:eastAsia="等线"/>
                <w:color w:val="auto"/>
                <w:shd w:val="clear" w:color="auto" w:fill="auto"/>
              </w:rPr>
            </w:pPr>
            <w:r>
              <w:rPr>
                <w:rFonts w:eastAsia="等线"/>
                <w:color w:val="auto"/>
                <w:shd w:val="clear" w:color="auto" w:fill="auto"/>
              </w:rPr>
              <w:t>0.007</w:t>
            </w:r>
          </w:p>
        </w:tc>
        <w:tc>
          <w:tcPr>
            <w:tcW w:w="1250" w:type="pct"/>
            <w:tcBorders>
              <w:tl2br w:val="nil"/>
              <w:tr2bl w:val="nil"/>
            </w:tcBorders>
            <w:shd w:val="clear" w:color="auto" w:fill="auto"/>
            <w:vAlign w:val="center"/>
          </w:tcPr>
          <w:p w14:paraId="34D2EE81">
            <w:pPr>
              <w:pStyle w:val="714"/>
              <w:rPr>
                <w:rFonts w:eastAsia="等线"/>
                <w:color w:val="auto"/>
                <w:shd w:val="clear" w:color="auto" w:fill="auto"/>
              </w:rPr>
            </w:pPr>
            <w:r>
              <w:rPr>
                <w:rFonts w:eastAsia="等线"/>
                <w:color w:val="auto"/>
                <w:shd w:val="clear" w:color="auto" w:fill="auto"/>
              </w:rPr>
              <w:t>0.025</w:t>
            </w:r>
          </w:p>
        </w:tc>
        <w:tc>
          <w:tcPr>
            <w:tcW w:w="1250" w:type="pct"/>
            <w:tcBorders>
              <w:tl2br w:val="nil"/>
              <w:tr2bl w:val="nil"/>
            </w:tcBorders>
            <w:shd w:val="clear" w:color="auto" w:fill="auto"/>
            <w:vAlign w:val="center"/>
          </w:tcPr>
          <w:p w14:paraId="543A721D">
            <w:pPr>
              <w:pStyle w:val="714"/>
              <w:rPr>
                <w:rFonts w:eastAsia="等线"/>
                <w:color w:val="auto"/>
                <w:shd w:val="clear" w:color="auto" w:fill="auto"/>
              </w:rPr>
            </w:pPr>
            <w:r>
              <w:rPr>
                <w:rFonts w:eastAsia="等线"/>
                <w:color w:val="auto"/>
                <w:shd w:val="clear" w:color="auto" w:fill="auto"/>
              </w:rPr>
              <w:t>0.016</w:t>
            </w:r>
          </w:p>
        </w:tc>
      </w:tr>
      <w:tr w14:paraId="0AF7BD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327E0AD8">
            <w:pPr>
              <w:pStyle w:val="714"/>
              <w:rPr>
                <w:rFonts w:eastAsia="等线"/>
                <w:color w:val="auto"/>
                <w:shd w:val="clear" w:color="auto" w:fill="auto"/>
              </w:rPr>
            </w:pPr>
            <w:r>
              <w:rPr>
                <w:rFonts w:eastAsia="等线"/>
                <w:color w:val="auto"/>
                <w:shd w:val="clear" w:color="auto" w:fill="auto"/>
              </w:rPr>
              <w:t xml:space="preserve">5050 </w:t>
            </w:r>
          </w:p>
        </w:tc>
        <w:tc>
          <w:tcPr>
            <w:tcW w:w="1249" w:type="pct"/>
            <w:tcBorders>
              <w:tl2br w:val="nil"/>
              <w:tr2bl w:val="nil"/>
            </w:tcBorders>
            <w:shd w:val="clear" w:color="auto" w:fill="auto"/>
            <w:vAlign w:val="center"/>
          </w:tcPr>
          <w:p w14:paraId="111DA5F4">
            <w:pPr>
              <w:pStyle w:val="714"/>
              <w:rPr>
                <w:rFonts w:eastAsia="等线"/>
                <w:color w:val="auto"/>
                <w:shd w:val="clear" w:color="auto" w:fill="auto"/>
              </w:rPr>
            </w:pPr>
            <w:r>
              <w:rPr>
                <w:rFonts w:eastAsia="等线"/>
                <w:color w:val="auto"/>
                <w:shd w:val="clear" w:color="auto" w:fill="auto"/>
              </w:rPr>
              <w:t>0.003</w:t>
            </w:r>
          </w:p>
        </w:tc>
        <w:tc>
          <w:tcPr>
            <w:tcW w:w="1250" w:type="pct"/>
            <w:tcBorders>
              <w:tl2br w:val="nil"/>
              <w:tr2bl w:val="nil"/>
            </w:tcBorders>
            <w:shd w:val="clear" w:color="auto" w:fill="auto"/>
            <w:vAlign w:val="center"/>
          </w:tcPr>
          <w:p w14:paraId="72822522">
            <w:pPr>
              <w:pStyle w:val="714"/>
              <w:rPr>
                <w:rFonts w:eastAsia="等线"/>
                <w:color w:val="auto"/>
                <w:shd w:val="clear" w:color="auto" w:fill="auto"/>
              </w:rPr>
            </w:pPr>
            <w:r>
              <w:rPr>
                <w:rFonts w:eastAsia="等线"/>
                <w:color w:val="auto"/>
                <w:shd w:val="clear" w:color="auto" w:fill="auto"/>
              </w:rPr>
              <w:t>0.010</w:t>
            </w:r>
          </w:p>
        </w:tc>
        <w:tc>
          <w:tcPr>
            <w:tcW w:w="1250" w:type="pct"/>
            <w:tcBorders>
              <w:tl2br w:val="nil"/>
              <w:tr2bl w:val="nil"/>
            </w:tcBorders>
            <w:shd w:val="clear" w:color="auto" w:fill="auto"/>
            <w:vAlign w:val="center"/>
          </w:tcPr>
          <w:p w14:paraId="59B1DE1F">
            <w:pPr>
              <w:pStyle w:val="714"/>
              <w:rPr>
                <w:rFonts w:eastAsia="等线"/>
                <w:color w:val="auto"/>
                <w:shd w:val="clear" w:color="auto" w:fill="auto"/>
              </w:rPr>
            </w:pPr>
            <w:r>
              <w:rPr>
                <w:rFonts w:eastAsia="等线"/>
                <w:color w:val="auto"/>
                <w:shd w:val="clear" w:color="auto" w:fill="auto"/>
              </w:rPr>
              <w:t>0.007</w:t>
            </w:r>
          </w:p>
        </w:tc>
      </w:tr>
      <w:tr w14:paraId="556C1C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31416CA6">
            <w:pPr>
              <w:pStyle w:val="714"/>
              <w:rPr>
                <w:rFonts w:eastAsia="等线"/>
                <w:color w:val="auto"/>
                <w:shd w:val="clear" w:color="auto" w:fill="auto"/>
              </w:rPr>
            </w:pPr>
            <w:r>
              <w:rPr>
                <w:rFonts w:eastAsia="等线"/>
                <w:color w:val="auto"/>
                <w:shd w:val="clear" w:color="auto" w:fill="auto"/>
              </w:rPr>
              <w:t xml:space="preserve">6050 </w:t>
            </w:r>
          </w:p>
        </w:tc>
        <w:tc>
          <w:tcPr>
            <w:tcW w:w="1249" w:type="pct"/>
            <w:tcBorders>
              <w:tl2br w:val="nil"/>
              <w:tr2bl w:val="nil"/>
            </w:tcBorders>
            <w:shd w:val="clear" w:color="auto" w:fill="auto"/>
            <w:vAlign w:val="center"/>
          </w:tcPr>
          <w:p w14:paraId="71F5208A">
            <w:pPr>
              <w:pStyle w:val="714"/>
              <w:rPr>
                <w:rFonts w:eastAsia="等线"/>
                <w:color w:val="auto"/>
                <w:shd w:val="clear" w:color="auto" w:fill="auto"/>
              </w:rPr>
            </w:pPr>
            <w:r>
              <w:rPr>
                <w:rFonts w:eastAsia="等线"/>
                <w:color w:val="auto"/>
                <w:shd w:val="clear" w:color="auto" w:fill="auto"/>
              </w:rPr>
              <w:t>0.001</w:t>
            </w:r>
          </w:p>
        </w:tc>
        <w:tc>
          <w:tcPr>
            <w:tcW w:w="1250" w:type="pct"/>
            <w:tcBorders>
              <w:tl2br w:val="nil"/>
              <w:tr2bl w:val="nil"/>
            </w:tcBorders>
            <w:shd w:val="clear" w:color="auto" w:fill="auto"/>
            <w:vAlign w:val="center"/>
          </w:tcPr>
          <w:p w14:paraId="1916A0E5">
            <w:pPr>
              <w:pStyle w:val="714"/>
              <w:rPr>
                <w:rFonts w:eastAsia="等线"/>
                <w:color w:val="auto"/>
                <w:shd w:val="clear" w:color="auto" w:fill="auto"/>
              </w:rPr>
            </w:pPr>
            <w:r>
              <w:rPr>
                <w:rFonts w:eastAsia="等线"/>
                <w:color w:val="auto"/>
                <w:shd w:val="clear" w:color="auto" w:fill="auto"/>
              </w:rPr>
              <w:t>0.004</w:t>
            </w:r>
          </w:p>
        </w:tc>
        <w:tc>
          <w:tcPr>
            <w:tcW w:w="1250" w:type="pct"/>
            <w:tcBorders>
              <w:tl2br w:val="nil"/>
              <w:tr2bl w:val="nil"/>
            </w:tcBorders>
            <w:shd w:val="clear" w:color="auto" w:fill="auto"/>
            <w:vAlign w:val="center"/>
          </w:tcPr>
          <w:p w14:paraId="416231BF">
            <w:pPr>
              <w:pStyle w:val="714"/>
              <w:rPr>
                <w:rFonts w:eastAsia="等线"/>
                <w:color w:val="auto"/>
                <w:shd w:val="clear" w:color="auto" w:fill="auto"/>
              </w:rPr>
            </w:pPr>
            <w:r>
              <w:rPr>
                <w:rFonts w:eastAsia="等线"/>
                <w:color w:val="auto"/>
                <w:shd w:val="clear" w:color="auto" w:fill="auto"/>
              </w:rPr>
              <w:t>0.003</w:t>
            </w:r>
          </w:p>
        </w:tc>
      </w:tr>
      <w:tr w14:paraId="284FF7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15EFBD59">
            <w:pPr>
              <w:pStyle w:val="714"/>
              <w:rPr>
                <w:rFonts w:eastAsia="等线"/>
                <w:color w:val="auto"/>
                <w:shd w:val="clear" w:color="auto" w:fill="auto"/>
              </w:rPr>
            </w:pPr>
            <w:r>
              <w:rPr>
                <w:rFonts w:eastAsia="等线"/>
                <w:color w:val="auto"/>
                <w:shd w:val="clear" w:color="auto" w:fill="auto"/>
              </w:rPr>
              <w:t xml:space="preserve">7300 </w:t>
            </w:r>
          </w:p>
        </w:tc>
        <w:tc>
          <w:tcPr>
            <w:tcW w:w="1249" w:type="pct"/>
            <w:tcBorders>
              <w:tl2br w:val="nil"/>
              <w:tr2bl w:val="nil"/>
            </w:tcBorders>
            <w:shd w:val="clear" w:color="auto" w:fill="auto"/>
            <w:vAlign w:val="center"/>
          </w:tcPr>
          <w:p w14:paraId="4D60607C">
            <w:pPr>
              <w:pStyle w:val="714"/>
              <w:rPr>
                <w:rFonts w:eastAsia="等线"/>
                <w:color w:val="auto"/>
                <w:shd w:val="clear" w:color="auto" w:fill="auto"/>
              </w:rPr>
            </w:pPr>
            <w:r>
              <w:rPr>
                <w:rFonts w:eastAsia="等线"/>
                <w:color w:val="auto"/>
                <w:shd w:val="clear" w:color="auto" w:fill="auto"/>
              </w:rPr>
              <w:t>0.000</w:t>
            </w:r>
          </w:p>
        </w:tc>
        <w:tc>
          <w:tcPr>
            <w:tcW w:w="1250" w:type="pct"/>
            <w:tcBorders>
              <w:tl2br w:val="nil"/>
              <w:tr2bl w:val="nil"/>
            </w:tcBorders>
            <w:shd w:val="clear" w:color="auto" w:fill="auto"/>
            <w:vAlign w:val="center"/>
          </w:tcPr>
          <w:p w14:paraId="33E95D93">
            <w:pPr>
              <w:pStyle w:val="714"/>
              <w:rPr>
                <w:rFonts w:eastAsia="等线"/>
                <w:color w:val="auto"/>
                <w:shd w:val="clear" w:color="auto" w:fill="auto"/>
              </w:rPr>
            </w:pPr>
            <w:r>
              <w:rPr>
                <w:rFonts w:eastAsia="等线"/>
                <w:color w:val="auto"/>
                <w:shd w:val="clear" w:color="auto" w:fill="auto"/>
              </w:rPr>
              <w:t>0.001</w:t>
            </w:r>
          </w:p>
        </w:tc>
        <w:tc>
          <w:tcPr>
            <w:tcW w:w="1250" w:type="pct"/>
            <w:tcBorders>
              <w:tl2br w:val="nil"/>
              <w:tr2bl w:val="nil"/>
            </w:tcBorders>
            <w:shd w:val="clear" w:color="auto" w:fill="auto"/>
            <w:vAlign w:val="center"/>
          </w:tcPr>
          <w:p w14:paraId="02F5AF2B">
            <w:pPr>
              <w:pStyle w:val="714"/>
              <w:rPr>
                <w:rFonts w:eastAsia="等线"/>
                <w:color w:val="auto"/>
                <w:shd w:val="clear" w:color="auto" w:fill="auto"/>
              </w:rPr>
            </w:pPr>
            <w:r>
              <w:rPr>
                <w:rFonts w:eastAsia="等线"/>
                <w:color w:val="auto"/>
                <w:shd w:val="clear" w:color="auto" w:fill="auto"/>
              </w:rPr>
              <w:t>0.001</w:t>
            </w:r>
          </w:p>
        </w:tc>
      </w:tr>
      <w:tr w14:paraId="71A230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15D60D57">
            <w:pPr>
              <w:pStyle w:val="714"/>
              <w:rPr>
                <w:rFonts w:eastAsia="等线"/>
                <w:color w:val="auto"/>
                <w:shd w:val="clear" w:color="auto" w:fill="auto"/>
              </w:rPr>
            </w:pPr>
            <w:r>
              <w:rPr>
                <w:rFonts w:eastAsia="等线"/>
                <w:color w:val="auto"/>
                <w:shd w:val="clear" w:color="auto" w:fill="auto"/>
              </w:rPr>
              <w:t xml:space="preserve">8100 </w:t>
            </w:r>
          </w:p>
        </w:tc>
        <w:tc>
          <w:tcPr>
            <w:tcW w:w="1249" w:type="pct"/>
            <w:tcBorders>
              <w:tl2br w:val="nil"/>
              <w:tr2bl w:val="nil"/>
            </w:tcBorders>
            <w:shd w:val="clear" w:color="auto" w:fill="auto"/>
            <w:vAlign w:val="center"/>
          </w:tcPr>
          <w:p w14:paraId="26922621">
            <w:pPr>
              <w:pStyle w:val="714"/>
              <w:rPr>
                <w:rFonts w:eastAsia="等线"/>
                <w:color w:val="auto"/>
                <w:shd w:val="clear" w:color="auto" w:fill="auto"/>
              </w:rPr>
            </w:pPr>
            <w:r>
              <w:rPr>
                <w:rFonts w:eastAsia="等线"/>
                <w:color w:val="auto"/>
                <w:shd w:val="clear" w:color="auto" w:fill="auto"/>
              </w:rPr>
              <w:t>0.000</w:t>
            </w:r>
          </w:p>
        </w:tc>
        <w:tc>
          <w:tcPr>
            <w:tcW w:w="1250" w:type="pct"/>
            <w:tcBorders>
              <w:tl2br w:val="nil"/>
              <w:tr2bl w:val="nil"/>
            </w:tcBorders>
            <w:shd w:val="clear" w:color="auto" w:fill="auto"/>
            <w:vAlign w:val="center"/>
          </w:tcPr>
          <w:p w14:paraId="40609A31">
            <w:pPr>
              <w:pStyle w:val="714"/>
              <w:rPr>
                <w:rFonts w:eastAsia="等线"/>
                <w:color w:val="auto"/>
                <w:shd w:val="clear" w:color="auto" w:fill="auto"/>
              </w:rPr>
            </w:pPr>
            <w:r>
              <w:rPr>
                <w:rFonts w:eastAsia="等线"/>
                <w:color w:val="auto"/>
                <w:shd w:val="clear" w:color="auto" w:fill="auto"/>
              </w:rPr>
              <w:t>0.000</w:t>
            </w:r>
          </w:p>
        </w:tc>
        <w:tc>
          <w:tcPr>
            <w:tcW w:w="1250" w:type="pct"/>
            <w:tcBorders>
              <w:tl2br w:val="nil"/>
              <w:tr2bl w:val="nil"/>
            </w:tcBorders>
            <w:shd w:val="clear" w:color="auto" w:fill="auto"/>
            <w:vAlign w:val="center"/>
          </w:tcPr>
          <w:p w14:paraId="309422F5">
            <w:pPr>
              <w:pStyle w:val="714"/>
              <w:rPr>
                <w:rFonts w:eastAsia="等线"/>
                <w:color w:val="auto"/>
                <w:shd w:val="clear" w:color="auto" w:fill="auto"/>
              </w:rPr>
            </w:pPr>
            <w:r>
              <w:rPr>
                <w:rFonts w:eastAsia="等线"/>
                <w:color w:val="auto"/>
                <w:shd w:val="clear" w:color="auto" w:fill="auto"/>
              </w:rPr>
              <w:t>0.000</w:t>
            </w:r>
          </w:p>
        </w:tc>
      </w:tr>
      <w:tr w14:paraId="4DF8E2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29A9144D">
            <w:pPr>
              <w:pStyle w:val="714"/>
              <w:rPr>
                <w:rFonts w:eastAsia="等线"/>
                <w:color w:val="auto"/>
                <w:shd w:val="clear" w:color="auto" w:fill="auto"/>
              </w:rPr>
            </w:pPr>
            <w:r>
              <w:rPr>
                <w:rFonts w:eastAsia="等线"/>
                <w:color w:val="auto"/>
                <w:shd w:val="clear" w:color="auto" w:fill="auto"/>
              </w:rPr>
              <w:t xml:space="preserve">9100 </w:t>
            </w:r>
          </w:p>
        </w:tc>
        <w:tc>
          <w:tcPr>
            <w:tcW w:w="1249" w:type="pct"/>
            <w:tcBorders>
              <w:tl2br w:val="nil"/>
              <w:tr2bl w:val="nil"/>
            </w:tcBorders>
            <w:shd w:val="clear" w:color="auto" w:fill="auto"/>
            <w:vAlign w:val="center"/>
          </w:tcPr>
          <w:p w14:paraId="3815A06A">
            <w:pPr>
              <w:pStyle w:val="714"/>
              <w:rPr>
                <w:rFonts w:eastAsia="等线"/>
                <w:color w:val="auto"/>
                <w:shd w:val="clear" w:color="auto" w:fill="auto"/>
              </w:rPr>
            </w:pPr>
            <w:r>
              <w:rPr>
                <w:rFonts w:eastAsia="等线"/>
                <w:color w:val="auto"/>
                <w:shd w:val="clear" w:color="auto" w:fill="auto"/>
              </w:rPr>
              <w:t>0.000</w:t>
            </w:r>
          </w:p>
        </w:tc>
        <w:tc>
          <w:tcPr>
            <w:tcW w:w="1250" w:type="pct"/>
            <w:tcBorders>
              <w:tl2br w:val="nil"/>
              <w:tr2bl w:val="nil"/>
            </w:tcBorders>
            <w:shd w:val="clear" w:color="auto" w:fill="auto"/>
            <w:vAlign w:val="center"/>
          </w:tcPr>
          <w:p w14:paraId="24A034E1">
            <w:pPr>
              <w:pStyle w:val="714"/>
              <w:rPr>
                <w:rFonts w:eastAsia="等线"/>
                <w:color w:val="auto"/>
                <w:shd w:val="clear" w:color="auto" w:fill="auto"/>
              </w:rPr>
            </w:pPr>
            <w:r>
              <w:rPr>
                <w:rFonts w:eastAsia="等线"/>
                <w:color w:val="auto"/>
                <w:shd w:val="clear" w:color="auto" w:fill="auto"/>
              </w:rPr>
              <w:t>0.000</w:t>
            </w:r>
          </w:p>
        </w:tc>
        <w:tc>
          <w:tcPr>
            <w:tcW w:w="1250" w:type="pct"/>
            <w:tcBorders>
              <w:tl2br w:val="nil"/>
              <w:tr2bl w:val="nil"/>
            </w:tcBorders>
            <w:shd w:val="clear" w:color="auto" w:fill="auto"/>
            <w:vAlign w:val="center"/>
          </w:tcPr>
          <w:p w14:paraId="7DDE8789">
            <w:pPr>
              <w:pStyle w:val="714"/>
              <w:rPr>
                <w:rFonts w:eastAsia="等线"/>
                <w:color w:val="auto"/>
                <w:shd w:val="clear" w:color="auto" w:fill="auto"/>
              </w:rPr>
            </w:pPr>
            <w:r>
              <w:rPr>
                <w:rFonts w:eastAsia="等线"/>
                <w:color w:val="auto"/>
                <w:shd w:val="clear" w:color="auto" w:fill="auto"/>
              </w:rPr>
              <w:t>0.000</w:t>
            </w:r>
          </w:p>
        </w:tc>
      </w:tr>
      <w:tr w14:paraId="56F727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675B86F6">
            <w:pPr>
              <w:pStyle w:val="714"/>
              <w:rPr>
                <w:rFonts w:eastAsia="等线"/>
                <w:color w:val="auto"/>
                <w:shd w:val="clear" w:color="auto" w:fill="auto"/>
              </w:rPr>
            </w:pPr>
            <w:r>
              <w:rPr>
                <w:rFonts w:eastAsia="等线"/>
                <w:color w:val="auto"/>
                <w:shd w:val="clear" w:color="auto" w:fill="auto"/>
              </w:rPr>
              <w:t xml:space="preserve">10100 </w:t>
            </w:r>
          </w:p>
        </w:tc>
        <w:tc>
          <w:tcPr>
            <w:tcW w:w="1249" w:type="pct"/>
            <w:tcBorders>
              <w:tl2br w:val="nil"/>
              <w:tr2bl w:val="nil"/>
            </w:tcBorders>
            <w:shd w:val="clear" w:color="auto" w:fill="auto"/>
            <w:vAlign w:val="center"/>
          </w:tcPr>
          <w:p w14:paraId="4F3CBFAF">
            <w:pPr>
              <w:pStyle w:val="714"/>
              <w:rPr>
                <w:rFonts w:eastAsia="等线"/>
                <w:color w:val="auto"/>
                <w:shd w:val="clear" w:color="auto" w:fill="auto"/>
              </w:rPr>
            </w:pPr>
            <w:r>
              <w:rPr>
                <w:rFonts w:eastAsia="等线"/>
                <w:color w:val="auto"/>
                <w:shd w:val="clear" w:color="auto" w:fill="auto"/>
              </w:rPr>
              <w:t>0.000</w:t>
            </w:r>
          </w:p>
        </w:tc>
        <w:tc>
          <w:tcPr>
            <w:tcW w:w="1250" w:type="pct"/>
            <w:tcBorders>
              <w:tl2br w:val="nil"/>
              <w:tr2bl w:val="nil"/>
            </w:tcBorders>
            <w:shd w:val="clear" w:color="auto" w:fill="auto"/>
            <w:vAlign w:val="center"/>
          </w:tcPr>
          <w:p w14:paraId="624C96F2">
            <w:pPr>
              <w:pStyle w:val="714"/>
              <w:rPr>
                <w:rFonts w:eastAsia="等线"/>
                <w:color w:val="auto"/>
                <w:shd w:val="clear" w:color="auto" w:fill="auto"/>
              </w:rPr>
            </w:pPr>
            <w:r>
              <w:rPr>
                <w:rFonts w:eastAsia="等线"/>
                <w:color w:val="auto"/>
                <w:shd w:val="clear" w:color="auto" w:fill="auto"/>
              </w:rPr>
              <w:t>0.000</w:t>
            </w:r>
          </w:p>
        </w:tc>
        <w:tc>
          <w:tcPr>
            <w:tcW w:w="1250" w:type="pct"/>
            <w:tcBorders>
              <w:tl2br w:val="nil"/>
              <w:tr2bl w:val="nil"/>
            </w:tcBorders>
            <w:shd w:val="clear" w:color="auto" w:fill="auto"/>
            <w:vAlign w:val="center"/>
          </w:tcPr>
          <w:p w14:paraId="659C19B5">
            <w:pPr>
              <w:pStyle w:val="714"/>
              <w:rPr>
                <w:rFonts w:eastAsia="等线"/>
                <w:color w:val="auto"/>
                <w:shd w:val="clear" w:color="auto" w:fill="auto"/>
              </w:rPr>
            </w:pPr>
            <w:r>
              <w:rPr>
                <w:rFonts w:eastAsia="等线"/>
                <w:color w:val="auto"/>
                <w:shd w:val="clear" w:color="auto" w:fill="auto"/>
              </w:rPr>
              <w:t>0.000</w:t>
            </w:r>
          </w:p>
        </w:tc>
      </w:tr>
      <w:tr w14:paraId="4689A7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9" w:type="pct"/>
            <w:tcBorders>
              <w:tl2br w:val="nil"/>
              <w:tr2bl w:val="nil"/>
            </w:tcBorders>
            <w:shd w:val="clear" w:color="auto" w:fill="auto"/>
            <w:noWrap/>
            <w:vAlign w:val="center"/>
          </w:tcPr>
          <w:p w14:paraId="06879E9E">
            <w:pPr>
              <w:pStyle w:val="714"/>
              <w:rPr>
                <w:rFonts w:eastAsia="等线"/>
                <w:color w:val="auto"/>
                <w:shd w:val="clear" w:color="auto" w:fill="auto"/>
              </w:rPr>
            </w:pPr>
            <w:r>
              <w:rPr>
                <w:rFonts w:eastAsia="等线"/>
                <w:color w:val="auto"/>
                <w:shd w:val="clear" w:color="auto" w:fill="auto"/>
              </w:rPr>
              <w:t xml:space="preserve">10950 </w:t>
            </w:r>
          </w:p>
        </w:tc>
        <w:tc>
          <w:tcPr>
            <w:tcW w:w="1249" w:type="pct"/>
            <w:tcBorders>
              <w:tl2br w:val="nil"/>
              <w:tr2bl w:val="nil"/>
            </w:tcBorders>
            <w:shd w:val="clear" w:color="auto" w:fill="auto"/>
            <w:vAlign w:val="center"/>
          </w:tcPr>
          <w:p w14:paraId="4B33990E">
            <w:pPr>
              <w:pStyle w:val="714"/>
              <w:rPr>
                <w:rFonts w:eastAsia="等线"/>
                <w:color w:val="auto"/>
                <w:shd w:val="clear" w:color="auto" w:fill="auto"/>
              </w:rPr>
            </w:pPr>
            <w:r>
              <w:rPr>
                <w:rFonts w:eastAsia="等线"/>
                <w:color w:val="auto"/>
                <w:shd w:val="clear" w:color="auto" w:fill="auto"/>
              </w:rPr>
              <w:t>0.000</w:t>
            </w:r>
          </w:p>
        </w:tc>
        <w:tc>
          <w:tcPr>
            <w:tcW w:w="1250" w:type="pct"/>
            <w:tcBorders>
              <w:tl2br w:val="nil"/>
              <w:tr2bl w:val="nil"/>
            </w:tcBorders>
            <w:shd w:val="clear" w:color="auto" w:fill="auto"/>
            <w:vAlign w:val="center"/>
          </w:tcPr>
          <w:p w14:paraId="76365B5A">
            <w:pPr>
              <w:pStyle w:val="714"/>
              <w:rPr>
                <w:rFonts w:eastAsia="等线"/>
                <w:color w:val="auto"/>
                <w:shd w:val="clear" w:color="auto" w:fill="auto"/>
              </w:rPr>
            </w:pPr>
            <w:r>
              <w:rPr>
                <w:rFonts w:eastAsia="等线"/>
                <w:color w:val="auto"/>
                <w:shd w:val="clear" w:color="auto" w:fill="auto"/>
              </w:rPr>
              <w:t>0.000</w:t>
            </w:r>
          </w:p>
        </w:tc>
        <w:tc>
          <w:tcPr>
            <w:tcW w:w="1250" w:type="pct"/>
            <w:tcBorders>
              <w:tl2br w:val="nil"/>
              <w:tr2bl w:val="nil"/>
            </w:tcBorders>
            <w:shd w:val="clear" w:color="auto" w:fill="auto"/>
            <w:vAlign w:val="center"/>
          </w:tcPr>
          <w:p w14:paraId="748BEC62">
            <w:pPr>
              <w:pStyle w:val="714"/>
              <w:rPr>
                <w:rFonts w:eastAsia="等线"/>
                <w:color w:val="auto"/>
                <w:shd w:val="clear" w:color="auto" w:fill="auto"/>
              </w:rPr>
            </w:pPr>
            <w:r>
              <w:rPr>
                <w:rFonts w:eastAsia="等线"/>
                <w:color w:val="auto"/>
                <w:shd w:val="clear" w:color="auto" w:fill="auto"/>
              </w:rPr>
              <w:t>0.000</w:t>
            </w:r>
          </w:p>
        </w:tc>
      </w:tr>
    </w:tbl>
    <w:p w14:paraId="0ABEE16F">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ascii="Times New Roman" w:hAnsi="Times New Roman" w:cs="Times New Roman"/>
          <w:color w:val="auto"/>
          <w:vertAlign w:val="subscript"/>
        </w:rPr>
      </w:pPr>
      <w:r>
        <w:rPr>
          <w:rFonts w:hint="default" w:ascii="Times New Roman" w:hAnsi="Times New Roman" w:cs="Times New Roman"/>
          <w:color w:val="auto"/>
        </w:rPr>
        <w:t>非正常状况下，项目厂区污染物COD</w:t>
      </w:r>
      <w:r>
        <w:rPr>
          <w:rFonts w:hint="default" w:ascii="Times New Roman" w:hAnsi="Times New Roman" w:cs="Times New Roman"/>
          <w:color w:val="auto"/>
          <w:vertAlign w:val="subscript"/>
        </w:rPr>
        <w:t>Mn</w:t>
      </w:r>
      <w:r>
        <w:rPr>
          <w:rFonts w:hint="default" w:ascii="Times New Roman" w:hAnsi="Times New Roman" w:cs="Times New Roman"/>
          <w:color w:val="auto"/>
        </w:rPr>
        <w:t>、氨氮、总磷、甲醛及石油类在非正常状况发生后90d，泄漏点下方含水层中达到峰值91.75mg/L、39.32mg/L、3.145mg/L、0.070mg/L、0.781mg/L、0.781mg/L；厂区边界处，六种污染物在非正常状况发生后730d达到最大贡献值，分别为28.83mg/L、12.35mg/L、0.982mg/L、0.021 mg/L、0.242 mg/L、0.242mg/L；厂区南西下游约80m河边，六种污染物在非正常状况发生后2000d达到最大贡献值，分别为4.850 mg/L、2.077 mg/L、0.165 mg/L、0.004 mg/L、0.041 mg/L、0.041mg/L。</w:t>
      </w:r>
    </w:p>
    <w:p w14:paraId="37989067">
      <w:pPr>
        <w:pStyle w:val="19"/>
        <w:keepNext w:val="0"/>
        <w:keepLines w:val="0"/>
        <w:pageBreakBefore w:val="0"/>
        <w:widowControl w:val="0"/>
        <w:numPr>
          <w:ilvl w:val="0"/>
          <w:numId w:val="31"/>
        </w:numPr>
        <w:kinsoku/>
        <w:wordWrap/>
        <w:overflowPunct/>
        <w:topLinePunct w:val="0"/>
        <w:autoSpaceDE/>
        <w:autoSpaceDN/>
        <w:bidi w:val="0"/>
        <w:adjustRightInd/>
        <w:snapToGrid/>
        <w:ind w:left="1440" w:leftChars="0" w:firstLine="0" w:firstLineChars="0"/>
        <w:textAlignment w:val="auto"/>
        <w:rPr>
          <w:rFonts w:cs="Times New Roman"/>
          <w:color w:val="auto"/>
        </w:rPr>
      </w:pPr>
      <w:r>
        <w:rPr>
          <w:rFonts w:cs="Times New Roman"/>
          <w:color w:val="auto"/>
        </w:rPr>
        <w:t>非正常状况下项目评价区各污染物最大贡献值（单位：mg/L）</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47"/>
        <w:gridCol w:w="1099"/>
        <w:gridCol w:w="1099"/>
        <w:gridCol w:w="1099"/>
        <w:gridCol w:w="1100"/>
        <w:gridCol w:w="1100"/>
        <w:gridCol w:w="1102"/>
      </w:tblGrid>
      <w:tr w14:paraId="3E850A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1" w:type="pct"/>
            <w:tcBorders>
              <w:tl2br w:val="nil"/>
              <w:tr2bl w:val="nil"/>
            </w:tcBorders>
            <w:shd w:val="clear" w:color="auto" w:fill="auto"/>
            <w:vAlign w:val="center"/>
          </w:tcPr>
          <w:p w14:paraId="45913DDB">
            <w:pPr>
              <w:pStyle w:val="714"/>
              <w:rPr>
                <w:rFonts w:cs="Times New Roman"/>
                <w:b/>
                <w:bCs/>
                <w:color w:val="auto"/>
              </w:rPr>
            </w:pPr>
            <w:r>
              <w:rPr>
                <w:rFonts w:cs="Times New Roman"/>
                <w:b/>
                <w:bCs/>
                <w:color w:val="auto"/>
              </w:rPr>
              <w:t>污染物名称</w:t>
            </w:r>
          </w:p>
        </w:tc>
        <w:tc>
          <w:tcPr>
            <w:tcW w:w="614" w:type="pct"/>
            <w:tcBorders>
              <w:tl2br w:val="nil"/>
              <w:tr2bl w:val="nil"/>
            </w:tcBorders>
            <w:shd w:val="clear" w:color="auto" w:fill="auto"/>
            <w:vAlign w:val="center"/>
          </w:tcPr>
          <w:p w14:paraId="13970CFB">
            <w:pPr>
              <w:pStyle w:val="714"/>
              <w:rPr>
                <w:rFonts w:cs="Times New Roman"/>
                <w:b/>
                <w:bCs/>
                <w:color w:val="auto"/>
              </w:rPr>
            </w:pPr>
            <w:r>
              <w:rPr>
                <w:rFonts w:cs="Times New Roman"/>
                <w:b/>
                <w:bCs/>
                <w:color w:val="auto"/>
              </w:rPr>
              <w:t>COD</w:t>
            </w:r>
            <w:r>
              <w:rPr>
                <w:rFonts w:cs="Times New Roman"/>
                <w:b/>
                <w:bCs/>
                <w:color w:val="auto"/>
                <w:vertAlign w:val="subscript"/>
              </w:rPr>
              <w:t>Mn</w:t>
            </w:r>
          </w:p>
        </w:tc>
        <w:tc>
          <w:tcPr>
            <w:tcW w:w="614" w:type="pct"/>
            <w:tcBorders>
              <w:tl2br w:val="nil"/>
              <w:tr2bl w:val="nil"/>
            </w:tcBorders>
            <w:vAlign w:val="center"/>
          </w:tcPr>
          <w:p w14:paraId="0536E0AD">
            <w:pPr>
              <w:pStyle w:val="714"/>
              <w:rPr>
                <w:rFonts w:cs="Times New Roman"/>
                <w:b/>
                <w:bCs/>
                <w:color w:val="auto"/>
              </w:rPr>
            </w:pPr>
            <w:r>
              <w:rPr>
                <w:rFonts w:cs="Times New Roman"/>
                <w:b/>
                <w:bCs/>
                <w:color w:val="auto"/>
              </w:rPr>
              <w:t>氨氮</w:t>
            </w:r>
          </w:p>
        </w:tc>
        <w:tc>
          <w:tcPr>
            <w:tcW w:w="614" w:type="pct"/>
            <w:tcBorders>
              <w:tl2br w:val="nil"/>
              <w:tr2bl w:val="nil"/>
            </w:tcBorders>
            <w:vAlign w:val="center"/>
          </w:tcPr>
          <w:p w14:paraId="1EDB5B16">
            <w:pPr>
              <w:pStyle w:val="714"/>
              <w:rPr>
                <w:rFonts w:cs="Times New Roman"/>
                <w:b/>
                <w:bCs/>
                <w:color w:val="auto"/>
              </w:rPr>
            </w:pPr>
            <w:r>
              <w:rPr>
                <w:rFonts w:hint="eastAsia" w:cs="Times New Roman"/>
                <w:b/>
                <w:bCs/>
                <w:color w:val="auto"/>
              </w:rPr>
              <w:t>总磷</w:t>
            </w:r>
          </w:p>
        </w:tc>
        <w:tc>
          <w:tcPr>
            <w:tcW w:w="614" w:type="pct"/>
            <w:tcBorders>
              <w:tl2br w:val="nil"/>
              <w:tr2bl w:val="nil"/>
            </w:tcBorders>
            <w:vAlign w:val="center"/>
          </w:tcPr>
          <w:p w14:paraId="0B95C824">
            <w:pPr>
              <w:pStyle w:val="714"/>
              <w:rPr>
                <w:rFonts w:cs="Times New Roman"/>
                <w:b/>
                <w:bCs/>
                <w:color w:val="auto"/>
              </w:rPr>
            </w:pPr>
            <w:r>
              <w:rPr>
                <w:rFonts w:hint="eastAsia"/>
                <w:b/>
                <w:bCs/>
                <w:color w:val="auto"/>
              </w:rPr>
              <w:t>苯</w:t>
            </w:r>
          </w:p>
        </w:tc>
        <w:tc>
          <w:tcPr>
            <w:tcW w:w="614" w:type="pct"/>
            <w:tcBorders>
              <w:tl2br w:val="nil"/>
              <w:tr2bl w:val="nil"/>
            </w:tcBorders>
            <w:vAlign w:val="center"/>
          </w:tcPr>
          <w:p w14:paraId="58ADC9B5">
            <w:pPr>
              <w:pStyle w:val="714"/>
              <w:rPr>
                <w:rFonts w:cs="Times New Roman"/>
                <w:b/>
                <w:bCs/>
                <w:color w:val="auto"/>
              </w:rPr>
            </w:pPr>
            <w:r>
              <w:rPr>
                <w:rFonts w:hint="eastAsia"/>
                <w:b/>
                <w:bCs/>
                <w:color w:val="auto"/>
              </w:rPr>
              <w:t>甲醛</w:t>
            </w:r>
          </w:p>
        </w:tc>
        <w:tc>
          <w:tcPr>
            <w:tcW w:w="615" w:type="pct"/>
            <w:tcBorders>
              <w:tl2br w:val="nil"/>
              <w:tr2bl w:val="nil"/>
            </w:tcBorders>
            <w:vAlign w:val="center"/>
          </w:tcPr>
          <w:p w14:paraId="7A27EE59">
            <w:pPr>
              <w:pStyle w:val="714"/>
              <w:rPr>
                <w:rFonts w:cs="Times New Roman"/>
                <w:b/>
                <w:bCs/>
                <w:color w:val="auto"/>
              </w:rPr>
            </w:pPr>
            <w:r>
              <w:rPr>
                <w:rFonts w:hint="eastAsia"/>
                <w:b/>
                <w:bCs/>
                <w:color w:val="auto"/>
              </w:rPr>
              <w:t>石油类</w:t>
            </w:r>
          </w:p>
        </w:tc>
      </w:tr>
      <w:tr w14:paraId="795618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1" w:type="pct"/>
            <w:tcBorders>
              <w:tl2br w:val="nil"/>
              <w:tr2bl w:val="nil"/>
            </w:tcBorders>
            <w:shd w:val="clear" w:color="auto" w:fill="auto"/>
            <w:vAlign w:val="center"/>
          </w:tcPr>
          <w:p w14:paraId="763ACE3A">
            <w:pPr>
              <w:pStyle w:val="714"/>
              <w:rPr>
                <w:rFonts w:cs="Times New Roman"/>
                <w:color w:val="auto"/>
              </w:rPr>
            </w:pPr>
            <w:r>
              <w:rPr>
                <w:rFonts w:cs="Times New Roman"/>
                <w:color w:val="auto"/>
              </w:rPr>
              <w:t>评价区范围最大贡献值（mg/L）</w:t>
            </w:r>
          </w:p>
        </w:tc>
        <w:tc>
          <w:tcPr>
            <w:tcW w:w="614" w:type="pct"/>
            <w:tcBorders>
              <w:tl2br w:val="nil"/>
              <w:tr2bl w:val="nil"/>
            </w:tcBorders>
            <w:shd w:val="clear" w:color="auto" w:fill="auto"/>
            <w:vAlign w:val="center"/>
          </w:tcPr>
          <w:p w14:paraId="49F78B46">
            <w:pPr>
              <w:pStyle w:val="714"/>
              <w:rPr>
                <w:color w:val="auto"/>
              </w:rPr>
            </w:pPr>
            <w:r>
              <w:rPr>
                <w:color w:val="auto"/>
              </w:rPr>
              <w:t>91.75</w:t>
            </w:r>
          </w:p>
        </w:tc>
        <w:tc>
          <w:tcPr>
            <w:tcW w:w="614" w:type="pct"/>
            <w:tcBorders>
              <w:tl2br w:val="nil"/>
              <w:tr2bl w:val="nil"/>
            </w:tcBorders>
            <w:vAlign w:val="center"/>
          </w:tcPr>
          <w:p w14:paraId="238CA42F">
            <w:pPr>
              <w:pStyle w:val="714"/>
              <w:rPr>
                <w:color w:val="auto"/>
              </w:rPr>
            </w:pPr>
            <w:r>
              <w:rPr>
                <w:color w:val="auto"/>
              </w:rPr>
              <w:t>39.32</w:t>
            </w:r>
          </w:p>
        </w:tc>
        <w:tc>
          <w:tcPr>
            <w:tcW w:w="614" w:type="pct"/>
            <w:tcBorders>
              <w:tl2br w:val="nil"/>
              <w:tr2bl w:val="nil"/>
            </w:tcBorders>
            <w:vAlign w:val="center"/>
          </w:tcPr>
          <w:p w14:paraId="17BE452C">
            <w:pPr>
              <w:pStyle w:val="714"/>
              <w:rPr>
                <w:color w:val="auto"/>
              </w:rPr>
            </w:pPr>
            <w:r>
              <w:rPr>
                <w:color w:val="auto"/>
              </w:rPr>
              <w:t>3.145</w:t>
            </w:r>
          </w:p>
        </w:tc>
        <w:tc>
          <w:tcPr>
            <w:tcW w:w="614" w:type="pct"/>
            <w:tcBorders>
              <w:tl2br w:val="nil"/>
              <w:tr2bl w:val="nil"/>
            </w:tcBorders>
            <w:vAlign w:val="center"/>
          </w:tcPr>
          <w:p w14:paraId="34E86358">
            <w:pPr>
              <w:pStyle w:val="714"/>
              <w:rPr>
                <w:color w:val="auto"/>
              </w:rPr>
            </w:pPr>
            <w:r>
              <w:rPr>
                <w:color w:val="auto"/>
              </w:rPr>
              <w:t>0.070</w:t>
            </w:r>
          </w:p>
        </w:tc>
        <w:tc>
          <w:tcPr>
            <w:tcW w:w="614" w:type="pct"/>
            <w:tcBorders>
              <w:tl2br w:val="nil"/>
              <w:tr2bl w:val="nil"/>
            </w:tcBorders>
            <w:vAlign w:val="center"/>
          </w:tcPr>
          <w:p w14:paraId="6DD46742">
            <w:pPr>
              <w:pStyle w:val="714"/>
              <w:rPr>
                <w:color w:val="auto"/>
              </w:rPr>
            </w:pPr>
            <w:r>
              <w:rPr>
                <w:color w:val="auto"/>
              </w:rPr>
              <w:t>0.781</w:t>
            </w:r>
          </w:p>
        </w:tc>
        <w:tc>
          <w:tcPr>
            <w:tcW w:w="615" w:type="pct"/>
            <w:tcBorders>
              <w:tl2br w:val="nil"/>
              <w:tr2bl w:val="nil"/>
            </w:tcBorders>
            <w:vAlign w:val="center"/>
          </w:tcPr>
          <w:p w14:paraId="6D7D9E8C">
            <w:pPr>
              <w:pStyle w:val="714"/>
              <w:rPr>
                <w:color w:val="auto"/>
              </w:rPr>
            </w:pPr>
            <w:r>
              <w:rPr>
                <w:color w:val="auto"/>
              </w:rPr>
              <w:t>0.781</w:t>
            </w:r>
          </w:p>
        </w:tc>
      </w:tr>
      <w:tr w14:paraId="7B0320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1" w:type="pct"/>
            <w:tcBorders>
              <w:tl2br w:val="nil"/>
              <w:tr2bl w:val="nil"/>
            </w:tcBorders>
            <w:shd w:val="clear" w:color="auto" w:fill="auto"/>
            <w:vAlign w:val="center"/>
          </w:tcPr>
          <w:p w14:paraId="3B72CE45">
            <w:pPr>
              <w:pStyle w:val="714"/>
              <w:rPr>
                <w:rFonts w:cs="Times New Roman"/>
                <w:color w:val="auto"/>
              </w:rPr>
            </w:pPr>
            <w:r>
              <w:rPr>
                <w:rFonts w:cs="Times New Roman"/>
                <w:color w:val="auto"/>
              </w:rPr>
              <w:t>评价区边界最大贡献值（mg/L）</w:t>
            </w:r>
          </w:p>
        </w:tc>
        <w:tc>
          <w:tcPr>
            <w:tcW w:w="614" w:type="pct"/>
            <w:tcBorders>
              <w:tl2br w:val="nil"/>
              <w:tr2bl w:val="nil"/>
            </w:tcBorders>
            <w:shd w:val="clear" w:color="auto" w:fill="auto"/>
            <w:vAlign w:val="center"/>
          </w:tcPr>
          <w:p w14:paraId="17452F3D">
            <w:pPr>
              <w:pStyle w:val="714"/>
              <w:rPr>
                <w:color w:val="auto"/>
              </w:rPr>
            </w:pPr>
            <w:r>
              <w:rPr>
                <w:color w:val="auto"/>
              </w:rPr>
              <w:t>28.83</w:t>
            </w:r>
          </w:p>
        </w:tc>
        <w:tc>
          <w:tcPr>
            <w:tcW w:w="614" w:type="pct"/>
            <w:tcBorders>
              <w:tl2br w:val="nil"/>
              <w:tr2bl w:val="nil"/>
            </w:tcBorders>
            <w:vAlign w:val="center"/>
          </w:tcPr>
          <w:p w14:paraId="10C50315">
            <w:pPr>
              <w:pStyle w:val="714"/>
              <w:rPr>
                <w:color w:val="auto"/>
              </w:rPr>
            </w:pPr>
            <w:r>
              <w:rPr>
                <w:color w:val="auto"/>
              </w:rPr>
              <w:t>12.35</w:t>
            </w:r>
          </w:p>
        </w:tc>
        <w:tc>
          <w:tcPr>
            <w:tcW w:w="614" w:type="pct"/>
            <w:tcBorders>
              <w:tl2br w:val="nil"/>
              <w:tr2bl w:val="nil"/>
            </w:tcBorders>
            <w:vAlign w:val="center"/>
          </w:tcPr>
          <w:p w14:paraId="20FC3469">
            <w:pPr>
              <w:pStyle w:val="714"/>
              <w:rPr>
                <w:color w:val="auto"/>
              </w:rPr>
            </w:pPr>
            <w:r>
              <w:rPr>
                <w:color w:val="auto"/>
              </w:rPr>
              <w:t>0.982</w:t>
            </w:r>
          </w:p>
        </w:tc>
        <w:tc>
          <w:tcPr>
            <w:tcW w:w="614" w:type="pct"/>
            <w:tcBorders>
              <w:tl2br w:val="nil"/>
              <w:tr2bl w:val="nil"/>
            </w:tcBorders>
            <w:vAlign w:val="center"/>
          </w:tcPr>
          <w:p w14:paraId="3D5D1C8D">
            <w:pPr>
              <w:pStyle w:val="714"/>
              <w:rPr>
                <w:color w:val="auto"/>
              </w:rPr>
            </w:pPr>
            <w:r>
              <w:rPr>
                <w:color w:val="auto"/>
              </w:rPr>
              <w:t>0.021</w:t>
            </w:r>
          </w:p>
        </w:tc>
        <w:tc>
          <w:tcPr>
            <w:tcW w:w="614" w:type="pct"/>
            <w:tcBorders>
              <w:tl2br w:val="nil"/>
              <w:tr2bl w:val="nil"/>
            </w:tcBorders>
            <w:vAlign w:val="center"/>
          </w:tcPr>
          <w:p w14:paraId="234C78B6">
            <w:pPr>
              <w:pStyle w:val="714"/>
              <w:rPr>
                <w:color w:val="auto"/>
              </w:rPr>
            </w:pPr>
            <w:r>
              <w:rPr>
                <w:color w:val="auto"/>
              </w:rPr>
              <w:t>0.242</w:t>
            </w:r>
          </w:p>
        </w:tc>
        <w:tc>
          <w:tcPr>
            <w:tcW w:w="615" w:type="pct"/>
            <w:tcBorders>
              <w:tl2br w:val="nil"/>
              <w:tr2bl w:val="nil"/>
            </w:tcBorders>
            <w:vAlign w:val="center"/>
          </w:tcPr>
          <w:p w14:paraId="01313E58">
            <w:pPr>
              <w:pStyle w:val="714"/>
              <w:rPr>
                <w:color w:val="auto"/>
              </w:rPr>
            </w:pPr>
            <w:r>
              <w:rPr>
                <w:color w:val="auto"/>
              </w:rPr>
              <w:t>0.242</w:t>
            </w:r>
          </w:p>
        </w:tc>
      </w:tr>
      <w:tr w14:paraId="2E065B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1" w:type="pct"/>
            <w:tcBorders>
              <w:tl2br w:val="nil"/>
              <w:tr2bl w:val="nil"/>
            </w:tcBorders>
            <w:shd w:val="clear" w:color="auto" w:fill="auto"/>
            <w:vAlign w:val="center"/>
          </w:tcPr>
          <w:p w14:paraId="334BDCE8">
            <w:pPr>
              <w:pStyle w:val="714"/>
              <w:rPr>
                <w:rFonts w:cs="Times New Roman"/>
                <w:color w:val="auto"/>
              </w:rPr>
            </w:pPr>
            <w:r>
              <w:rPr>
                <w:rFonts w:cs="Times New Roman"/>
                <w:color w:val="auto"/>
              </w:rPr>
              <w:t>背景值（mg/L）</w:t>
            </w:r>
          </w:p>
        </w:tc>
        <w:tc>
          <w:tcPr>
            <w:tcW w:w="614" w:type="pct"/>
            <w:tcBorders>
              <w:tl2br w:val="nil"/>
              <w:tr2bl w:val="nil"/>
            </w:tcBorders>
            <w:shd w:val="clear" w:color="auto" w:fill="auto"/>
            <w:vAlign w:val="center"/>
          </w:tcPr>
          <w:p w14:paraId="6AB5557B">
            <w:pPr>
              <w:pStyle w:val="714"/>
              <w:rPr>
                <w:rFonts w:cs="Times New Roman"/>
                <w:color w:val="auto"/>
              </w:rPr>
            </w:pPr>
            <w:r>
              <w:rPr>
                <w:rFonts w:hint="eastAsia" w:cs="Times New Roman"/>
                <w:color w:val="auto"/>
              </w:rPr>
              <w:t>1.479</w:t>
            </w:r>
          </w:p>
        </w:tc>
        <w:tc>
          <w:tcPr>
            <w:tcW w:w="614" w:type="pct"/>
            <w:tcBorders>
              <w:tl2br w:val="nil"/>
              <w:tr2bl w:val="nil"/>
            </w:tcBorders>
            <w:vAlign w:val="center"/>
          </w:tcPr>
          <w:p w14:paraId="76E7D0FE">
            <w:pPr>
              <w:pStyle w:val="714"/>
              <w:rPr>
                <w:rFonts w:cs="Times New Roman"/>
                <w:color w:val="auto"/>
              </w:rPr>
            </w:pPr>
            <w:r>
              <w:rPr>
                <w:rFonts w:hint="eastAsia" w:cs="Times New Roman"/>
                <w:color w:val="auto"/>
              </w:rPr>
              <w:t>0.250</w:t>
            </w:r>
          </w:p>
        </w:tc>
        <w:tc>
          <w:tcPr>
            <w:tcW w:w="614" w:type="pct"/>
            <w:tcBorders>
              <w:tl2br w:val="nil"/>
              <w:tr2bl w:val="nil"/>
            </w:tcBorders>
            <w:vAlign w:val="center"/>
          </w:tcPr>
          <w:p w14:paraId="791DBDD7">
            <w:pPr>
              <w:pStyle w:val="714"/>
              <w:rPr>
                <w:rFonts w:cs="Times New Roman"/>
                <w:color w:val="auto"/>
              </w:rPr>
            </w:pPr>
            <w:r>
              <w:rPr>
                <w:rFonts w:hint="eastAsia" w:cs="Times New Roman"/>
                <w:color w:val="auto"/>
              </w:rPr>
              <w:t>0.000</w:t>
            </w:r>
          </w:p>
        </w:tc>
        <w:tc>
          <w:tcPr>
            <w:tcW w:w="614" w:type="pct"/>
            <w:tcBorders>
              <w:tl2br w:val="nil"/>
              <w:tr2bl w:val="nil"/>
            </w:tcBorders>
            <w:vAlign w:val="center"/>
          </w:tcPr>
          <w:p w14:paraId="275C649F">
            <w:pPr>
              <w:pStyle w:val="714"/>
              <w:rPr>
                <w:rFonts w:cs="Times New Roman"/>
                <w:color w:val="auto"/>
              </w:rPr>
            </w:pPr>
            <w:r>
              <w:rPr>
                <w:rFonts w:hint="eastAsia" w:cs="Times New Roman"/>
                <w:color w:val="auto"/>
              </w:rPr>
              <w:t>0.000</w:t>
            </w:r>
          </w:p>
        </w:tc>
        <w:tc>
          <w:tcPr>
            <w:tcW w:w="614" w:type="pct"/>
            <w:tcBorders>
              <w:tl2br w:val="nil"/>
              <w:tr2bl w:val="nil"/>
            </w:tcBorders>
            <w:vAlign w:val="center"/>
          </w:tcPr>
          <w:p w14:paraId="01F2759B">
            <w:pPr>
              <w:pStyle w:val="714"/>
              <w:rPr>
                <w:rFonts w:cs="Times New Roman"/>
                <w:color w:val="auto"/>
              </w:rPr>
            </w:pPr>
            <w:r>
              <w:rPr>
                <w:rFonts w:hint="eastAsia" w:cs="Times New Roman"/>
                <w:color w:val="auto"/>
              </w:rPr>
              <w:t>0.000</w:t>
            </w:r>
          </w:p>
        </w:tc>
        <w:tc>
          <w:tcPr>
            <w:tcW w:w="615" w:type="pct"/>
            <w:tcBorders>
              <w:tl2br w:val="nil"/>
              <w:tr2bl w:val="nil"/>
            </w:tcBorders>
            <w:vAlign w:val="center"/>
          </w:tcPr>
          <w:p w14:paraId="63762241">
            <w:pPr>
              <w:pStyle w:val="714"/>
              <w:rPr>
                <w:rFonts w:cs="Times New Roman"/>
                <w:color w:val="auto"/>
              </w:rPr>
            </w:pPr>
            <w:r>
              <w:rPr>
                <w:rFonts w:hint="eastAsia" w:cs="Times New Roman"/>
                <w:color w:val="auto"/>
              </w:rPr>
              <w:t>0.000</w:t>
            </w:r>
          </w:p>
        </w:tc>
      </w:tr>
      <w:tr w14:paraId="102A4F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1" w:type="pct"/>
            <w:tcBorders>
              <w:tl2br w:val="nil"/>
              <w:tr2bl w:val="nil"/>
            </w:tcBorders>
            <w:shd w:val="clear" w:color="auto" w:fill="auto"/>
            <w:vAlign w:val="center"/>
          </w:tcPr>
          <w:p w14:paraId="6117E7FA">
            <w:pPr>
              <w:pStyle w:val="714"/>
              <w:rPr>
                <w:rFonts w:cs="Times New Roman"/>
                <w:color w:val="auto"/>
              </w:rPr>
            </w:pPr>
            <w:r>
              <w:rPr>
                <w:rFonts w:cs="Times New Roman"/>
                <w:color w:val="auto"/>
              </w:rPr>
              <w:t>最低检出限（mg/L）</w:t>
            </w:r>
          </w:p>
        </w:tc>
        <w:tc>
          <w:tcPr>
            <w:tcW w:w="614" w:type="pct"/>
            <w:tcBorders>
              <w:tl2br w:val="nil"/>
              <w:tr2bl w:val="nil"/>
            </w:tcBorders>
            <w:shd w:val="clear" w:color="auto" w:fill="auto"/>
            <w:noWrap/>
            <w:vAlign w:val="center"/>
          </w:tcPr>
          <w:p w14:paraId="55000774">
            <w:pPr>
              <w:pStyle w:val="714"/>
              <w:rPr>
                <w:rFonts w:cs="Times New Roman"/>
                <w:color w:val="auto"/>
              </w:rPr>
            </w:pPr>
            <w:r>
              <w:rPr>
                <w:rFonts w:cs="Times New Roman"/>
                <w:color w:val="auto"/>
              </w:rPr>
              <w:t>0.</w:t>
            </w:r>
            <w:r>
              <w:rPr>
                <w:rFonts w:hint="eastAsia" w:cs="Times New Roman"/>
                <w:color w:val="auto"/>
              </w:rPr>
              <w:t>0</w:t>
            </w:r>
            <w:r>
              <w:rPr>
                <w:rFonts w:cs="Times New Roman"/>
                <w:color w:val="auto"/>
              </w:rPr>
              <w:t>50</w:t>
            </w:r>
          </w:p>
        </w:tc>
        <w:tc>
          <w:tcPr>
            <w:tcW w:w="614" w:type="pct"/>
            <w:tcBorders>
              <w:tl2br w:val="nil"/>
              <w:tr2bl w:val="nil"/>
            </w:tcBorders>
            <w:vAlign w:val="center"/>
          </w:tcPr>
          <w:p w14:paraId="359B72E4">
            <w:pPr>
              <w:pStyle w:val="714"/>
              <w:rPr>
                <w:rFonts w:cs="Times New Roman"/>
                <w:color w:val="auto"/>
              </w:rPr>
            </w:pPr>
            <w:r>
              <w:rPr>
                <w:rFonts w:cs="Times New Roman"/>
                <w:color w:val="auto"/>
              </w:rPr>
              <w:t>0.025</w:t>
            </w:r>
          </w:p>
        </w:tc>
        <w:tc>
          <w:tcPr>
            <w:tcW w:w="614" w:type="pct"/>
            <w:tcBorders>
              <w:tl2br w:val="nil"/>
              <w:tr2bl w:val="nil"/>
            </w:tcBorders>
            <w:vAlign w:val="center"/>
          </w:tcPr>
          <w:p w14:paraId="34FE0AB1">
            <w:pPr>
              <w:pStyle w:val="714"/>
              <w:rPr>
                <w:rFonts w:cs="Times New Roman"/>
                <w:color w:val="auto"/>
              </w:rPr>
            </w:pPr>
            <w:r>
              <w:rPr>
                <w:rFonts w:cs="Times New Roman"/>
                <w:color w:val="auto"/>
              </w:rPr>
              <w:t>0.01</w:t>
            </w:r>
          </w:p>
        </w:tc>
        <w:tc>
          <w:tcPr>
            <w:tcW w:w="614" w:type="pct"/>
            <w:tcBorders>
              <w:tl2br w:val="nil"/>
              <w:tr2bl w:val="nil"/>
            </w:tcBorders>
            <w:vAlign w:val="center"/>
          </w:tcPr>
          <w:p w14:paraId="5B1E1D2F">
            <w:pPr>
              <w:pStyle w:val="714"/>
              <w:rPr>
                <w:rFonts w:cs="Times New Roman"/>
                <w:color w:val="auto"/>
              </w:rPr>
            </w:pPr>
            <w:r>
              <w:rPr>
                <w:rFonts w:hint="eastAsia" w:cs="Times New Roman"/>
                <w:color w:val="auto"/>
              </w:rPr>
              <w:t>0.004</w:t>
            </w:r>
          </w:p>
        </w:tc>
        <w:tc>
          <w:tcPr>
            <w:tcW w:w="614" w:type="pct"/>
            <w:tcBorders>
              <w:tl2br w:val="nil"/>
              <w:tr2bl w:val="nil"/>
            </w:tcBorders>
            <w:vAlign w:val="center"/>
          </w:tcPr>
          <w:p w14:paraId="67EC4A02">
            <w:pPr>
              <w:pStyle w:val="714"/>
              <w:rPr>
                <w:rFonts w:cs="Times New Roman"/>
                <w:color w:val="auto"/>
              </w:rPr>
            </w:pPr>
            <w:r>
              <w:rPr>
                <w:rFonts w:hint="eastAsia" w:cs="Times New Roman"/>
                <w:color w:val="auto"/>
              </w:rPr>
              <w:t>0.02</w:t>
            </w:r>
          </w:p>
        </w:tc>
        <w:tc>
          <w:tcPr>
            <w:tcW w:w="615" w:type="pct"/>
            <w:tcBorders>
              <w:tl2br w:val="nil"/>
              <w:tr2bl w:val="nil"/>
            </w:tcBorders>
            <w:vAlign w:val="center"/>
          </w:tcPr>
          <w:p w14:paraId="064D5D76">
            <w:pPr>
              <w:pStyle w:val="714"/>
              <w:rPr>
                <w:rFonts w:cs="Times New Roman"/>
                <w:color w:val="auto"/>
              </w:rPr>
            </w:pPr>
            <w:r>
              <w:rPr>
                <w:rFonts w:hint="eastAsia" w:cs="Times New Roman"/>
                <w:color w:val="auto"/>
              </w:rPr>
              <w:t>0.01</w:t>
            </w:r>
          </w:p>
        </w:tc>
      </w:tr>
      <w:tr w14:paraId="2A3928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1" w:type="pct"/>
            <w:tcBorders>
              <w:tl2br w:val="nil"/>
              <w:tr2bl w:val="nil"/>
            </w:tcBorders>
            <w:shd w:val="clear" w:color="auto" w:fill="auto"/>
            <w:vAlign w:val="center"/>
          </w:tcPr>
          <w:p w14:paraId="482E1197">
            <w:pPr>
              <w:pStyle w:val="714"/>
              <w:rPr>
                <w:rFonts w:cs="Times New Roman"/>
                <w:color w:val="auto"/>
              </w:rPr>
            </w:pPr>
            <w:r>
              <w:rPr>
                <w:rFonts w:cs="Times New Roman"/>
                <w:color w:val="auto"/>
              </w:rPr>
              <w:t>标准值</w:t>
            </w:r>
          </w:p>
        </w:tc>
        <w:tc>
          <w:tcPr>
            <w:tcW w:w="614" w:type="pct"/>
            <w:tcBorders>
              <w:tl2br w:val="nil"/>
              <w:tr2bl w:val="nil"/>
            </w:tcBorders>
            <w:shd w:val="clear" w:color="auto" w:fill="auto"/>
            <w:noWrap/>
            <w:vAlign w:val="center"/>
          </w:tcPr>
          <w:p w14:paraId="25953740">
            <w:pPr>
              <w:pStyle w:val="714"/>
              <w:rPr>
                <w:rFonts w:cs="Times New Roman"/>
                <w:color w:val="auto"/>
              </w:rPr>
            </w:pPr>
            <w:r>
              <w:rPr>
                <w:rFonts w:cs="Times New Roman"/>
                <w:color w:val="auto"/>
              </w:rPr>
              <w:t>≤3.0</w:t>
            </w:r>
          </w:p>
        </w:tc>
        <w:tc>
          <w:tcPr>
            <w:tcW w:w="614" w:type="pct"/>
            <w:tcBorders>
              <w:tl2br w:val="nil"/>
              <w:tr2bl w:val="nil"/>
            </w:tcBorders>
            <w:vAlign w:val="center"/>
          </w:tcPr>
          <w:p w14:paraId="726CFCA7">
            <w:pPr>
              <w:pStyle w:val="714"/>
              <w:rPr>
                <w:rFonts w:cs="Times New Roman"/>
                <w:color w:val="auto"/>
              </w:rPr>
            </w:pPr>
            <w:r>
              <w:rPr>
                <w:rFonts w:cs="Times New Roman"/>
                <w:color w:val="auto"/>
              </w:rPr>
              <w:t>≤0.5</w:t>
            </w:r>
          </w:p>
        </w:tc>
        <w:tc>
          <w:tcPr>
            <w:tcW w:w="614" w:type="pct"/>
            <w:tcBorders>
              <w:tl2br w:val="nil"/>
              <w:tr2bl w:val="nil"/>
            </w:tcBorders>
            <w:vAlign w:val="center"/>
          </w:tcPr>
          <w:p w14:paraId="15AB17C8">
            <w:pPr>
              <w:pStyle w:val="714"/>
              <w:rPr>
                <w:rFonts w:cs="Times New Roman"/>
                <w:color w:val="auto"/>
              </w:rPr>
            </w:pPr>
            <w:r>
              <w:rPr>
                <w:rFonts w:cs="Times New Roman"/>
                <w:color w:val="auto"/>
              </w:rPr>
              <w:t>≤</w:t>
            </w:r>
            <w:r>
              <w:rPr>
                <w:rFonts w:hint="eastAsia" w:cs="Times New Roman"/>
                <w:color w:val="auto"/>
              </w:rPr>
              <w:t>0.2</w:t>
            </w:r>
            <w:r>
              <w:rPr>
                <w:rFonts w:cs="Times New Roman"/>
                <w:color w:val="auto"/>
              </w:rPr>
              <w:t>*</w:t>
            </w:r>
          </w:p>
        </w:tc>
        <w:tc>
          <w:tcPr>
            <w:tcW w:w="614" w:type="pct"/>
            <w:tcBorders>
              <w:tl2br w:val="nil"/>
              <w:tr2bl w:val="nil"/>
            </w:tcBorders>
            <w:vAlign w:val="center"/>
          </w:tcPr>
          <w:p w14:paraId="3A6274AE">
            <w:pPr>
              <w:pStyle w:val="714"/>
              <w:rPr>
                <w:rFonts w:cs="Times New Roman"/>
                <w:color w:val="auto"/>
              </w:rPr>
            </w:pPr>
            <w:r>
              <w:rPr>
                <w:rFonts w:cs="Times New Roman"/>
                <w:color w:val="auto"/>
              </w:rPr>
              <w:t>≤</w:t>
            </w:r>
            <w:r>
              <w:rPr>
                <w:rFonts w:hint="eastAsia" w:cs="Times New Roman"/>
                <w:color w:val="auto"/>
              </w:rPr>
              <w:t>0.01</w:t>
            </w:r>
          </w:p>
        </w:tc>
        <w:tc>
          <w:tcPr>
            <w:tcW w:w="614" w:type="pct"/>
            <w:tcBorders>
              <w:tl2br w:val="nil"/>
              <w:tr2bl w:val="nil"/>
            </w:tcBorders>
            <w:vAlign w:val="center"/>
          </w:tcPr>
          <w:p w14:paraId="729F6412">
            <w:pPr>
              <w:pStyle w:val="714"/>
              <w:rPr>
                <w:rFonts w:cs="Times New Roman"/>
                <w:color w:val="auto"/>
              </w:rPr>
            </w:pPr>
            <w:r>
              <w:rPr>
                <w:rFonts w:hint="eastAsia" w:cs="Times New Roman"/>
                <w:color w:val="auto"/>
              </w:rPr>
              <w:t>0.9</w:t>
            </w:r>
            <w:r>
              <w:rPr>
                <w:rFonts w:cs="Times New Roman"/>
                <w:color w:val="auto"/>
              </w:rPr>
              <w:t>**</w:t>
            </w:r>
          </w:p>
        </w:tc>
        <w:tc>
          <w:tcPr>
            <w:tcW w:w="615" w:type="pct"/>
            <w:tcBorders>
              <w:tl2br w:val="nil"/>
              <w:tr2bl w:val="nil"/>
            </w:tcBorders>
            <w:vAlign w:val="center"/>
          </w:tcPr>
          <w:p w14:paraId="75662FA0">
            <w:pPr>
              <w:pStyle w:val="714"/>
              <w:rPr>
                <w:rFonts w:cs="Times New Roman"/>
                <w:color w:val="auto"/>
              </w:rPr>
            </w:pPr>
            <w:r>
              <w:rPr>
                <w:rFonts w:cs="Times New Roman"/>
                <w:color w:val="auto"/>
              </w:rPr>
              <w:t>≤</w:t>
            </w:r>
            <w:r>
              <w:rPr>
                <w:rFonts w:hint="eastAsia" w:cs="Times New Roman"/>
                <w:color w:val="auto"/>
              </w:rPr>
              <w:t>0.05</w:t>
            </w:r>
            <w:r>
              <w:rPr>
                <w:rFonts w:cs="Times New Roman"/>
                <w:color w:val="auto"/>
              </w:rPr>
              <w:t>*</w:t>
            </w:r>
          </w:p>
        </w:tc>
      </w:tr>
    </w:tbl>
    <w:p w14:paraId="2D751C29">
      <w:pPr>
        <w:pStyle w:val="700"/>
        <w:rPr>
          <w:rFonts w:cs="Times New Roman"/>
          <w:b/>
          <w:bCs/>
          <w:color w:val="auto"/>
          <w:sz w:val="21"/>
          <w:szCs w:val="21"/>
        </w:rPr>
      </w:pPr>
      <w:r>
        <w:rPr>
          <w:rFonts w:cs="Times New Roman"/>
          <w:b/>
          <w:bCs/>
          <w:color w:val="auto"/>
          <w:sz w:val="21"/>
          <w:szCs w:val="21"/>
        </w:rPr>
        <w:t>注：“/”表示背景未</w:t>
      </w:r>
      <w:r>
        <w:rPr>
          <w:rFonts w:hint="eastAsia" w:cs="Times New Roman"/>
          <w:b/>
          <w:bCs/>
          <w:color w:val="auto"/>
          <w:sz w:val="21"/>
          <w:szCs w:val="21"/>
        </w:rPr>
        <w:t>检测，以零计</w:t>
      </w:r>
      <w:r>
        <w:rPr>
          <w:rFonts w:cs="Times New Roman"/>
          <w:b/>
          <w:bCs/>
          <w:color w:val="auto"/>
          <w:sz w:val="21"/>
          <w:szCs w:val="21"/>
        </w:rPr>
        <w:t>，“*”为参考GB3838-2002Ⅲ类标准</w:t>
      </w:r>
      <w:r>
        <w:rPr>
          <w:rFonts w:hint="eastAsia" w:cs="Times New Roman"/>
          <w:b/>
          <w:bCs/>
          <w:color w:val="auto"/>
          <w:sz w:val="21"/>
          <w:szCs w:val="21"/>
        </w:rPr>
        <w:t>，“**”为参考</w:t>
      </w:r>
      <w:r>
        <w:rPr>
          <w:rFonts w:cs="Times New Roman"/>
          <w:b/>
          <w:bCs/>
          <w:color w:val="auto"/>
          <w:sz w:val="21"/>
          <w:szCs w:val="21"/>
        </w:rPr>
        <w:t>GB3838-2002</w:t>
      </w:r>
      <w:r>
        <w:rPr>
          <w:rFonts w:hint="eastAsia" w:cs="Times New Roman"/>
          <w:b/>
          <w:bCs/>
          <w:color w:val="auto"/>
          <w:sz w:val="21"/>
          <w:szCs w:val="21"/>
        </w:rPr>
        <w:t>中集中式生活饮用地表水源特定项目标准限值</w:t>
      </w:r>
      <w:r>
        <w:rPr>
          <w:rFonts w:cs="Times New Roman"/>
          <w:b/>
          <w:bCs/>
          <w:color w:val="auto"/>
          <w:sz w:val="21"/>
          <w:szCs w:val="21"/>
        </w:rPr>
        <w:t>。</w:t>
      </w:r>
    </w:p>
    <w:p w14:paraId="7F45DDE8">
      <w:pPr>
        <w:bidi w:val="0"/>
        <w:rPr>
          <w:color w:val="auto"/>
        </w:rPr>
      </w:pPr>
      <w:r>
        <w:rPr>
          <w:color w:val="auto"/>
        </w:rPr>
        <w:t>本项目评价区执行《地下水质量标准》（GB/T1484</w:t>
      </w:r>
      <w:r>
        <w:rPr>
          <w:rFonts w:hint="eastAsia"/>
          <w:color w:val="auto"/>
          <w:lang w:val="en-US" w:eastAsia="zh-CN"/>
        </w:rPr>
        <w:t>8</w:t>
      </w:r>
      <w:r>
        <w:rPr>
          <w:color w:val="auto"/>
        </w:rPr>
        <w:t>-2017）中的Ⅲ类标准（CODMn≤3.0 mg/L，氨氮≤0.5mg/L），总磷</w:t>
      </w:r>
      <w:r>
        <w:rPr>
          <w:rFonts w:hint="eastAsia"/>
          <w:color w:val="auto"/>
        </w:rPr>
        <w:t>、甲醛及石油类</w:t>
      </w:r>
      <w:r>
        <w:rPr>
          <w:color w:val="auto"/>
        </w:rPr>
        <w:t>未列入《地下水质量标准》，本次</w:t>
      </w:r>
      <w:r>
        <w:rPr>
          <w:rFonts w:hint="eastAsia"/>
          <w:color w:val="auto"/>
        </w:rPr>
        <w:t>总磷和石油类</w:t>
      </w:r>
      <w:r>
        <w:rPr>
          <w:color w:val="auto"/>
        </w:rPr>
        <w:t>以《地表水环境质量标准》（GB3838-2002）Ⅲ类水体作为参考标准（</w:t>
      </w:r>
      <w:r>
        <w:rPr>
          <w:rFonts w:hint="eastAsia"/>
          <w:color w:val="auto"/>
        </w:rPr>
        <w:t>总磷</w:t>
      </w:r>
      <w:r>
        <w:rPr>
          <w:color w:val="auto"/>
        </w:rPr>
        <w:t>≤0.</w:t>
      </w:r>
      <w:r>
        <w:rPr>
          <w:rFonts w:hint="eastAsia"/>
          <w:color w:val="auto"/>
        </w:rPr>
        <w:t>2</w:t>
      </w:r>
      <w:r>
        <w:rPr>
          <w:color w:val="auto"/>
        </w:rPr>
        <w:t>mg/L</w:t>
      </w:r>
      <w:r>
        <w:rPr>
          <w:rFonts w:hint="eastAsia"/>
          <w:color w:val="auto"/>
        </w:rPr>
        <w:t>，石油类</w:t>
      </w:r>
      <w:r>
        <w:rPr>
          <w:color w:val="auto"/>
        </w:rPr>
        <w:t>≤0.</w:t>
      </w:r>
      <w:r>
        <w:rPr>
          <w:rFonts w:hint="eastAsia"/>
          <w:color w:val="auto"/>
        </w:rPr>
        <w:t>05</w:t>
      </w:r>
      <w:r>
        <w:rPr>
          <w:color w:val="auto"/>
        </w:rPr>
        <w:t>mg/L），</w:t>
      </w:r>
      <w:r>
        <w:rPr>
          <w:rFonts w:hint="eastAsia"/>
          <w:color w:val="auto"/>
        </w:rPr>
        <w:t>甲醛</w:t>
      </w:r>
      <w:r>
        <w:rPr>
          <w:color w:val="auto"/>
        </w:rPr>
        <w:t>以《地表水环境质量标准》（GB3838-2002）</w:t>
      </w:r>
      <w:r>
        <w:rPr>
          <w:rFonts w:hint="eastAsia"/>
          <w:color w:val="auto"/>
        </w:rPr>
        <w:t>集中式生活饮用地表水源特定项目标准限值（0.9</w:t>
      </w:r>
      <w:r>
        <w:rPr>
          <w:color w:val="auto"/>
        </w:rPr>
        <w:t xml:space="preserve"> mg/L</w:t>
      </w:r>
      <w:r>
        <w:rPr>
          <w:rFonts w:hint="eastAsia"/>
          <w:color w:val="auto"/>
        </w:rPr>
        <w:t>）为标准。</w:t>
      </w:r>
      <w:r>
        <w:rPr>
          <w:color w:val="auto"/>
        </w:rPr>
        <w:t>预测结果显示，CODMn预测值叠加背景值（</w:t>
      </w:r>
      <w:r>
        <w:rPr>
          <w:rFonts w:hint="eastAsia"/>
          <w:color w:val="auto"/>
        </w:rPr>
        <w:t>1.479</w:t>
      </w:r>
      <w:r>
        <w:rPr>
          <w:color w:val="auto"/>
        </w:rPr>
        <w:t>mg/L</w:t>
      </w:r>
      <w:r>
        <w:rPr>
          <w:rFonts w:hint="eastAsia"/>
          <w:color w:val="auto"/>
        </w:rPr>
        <w:t>）后，可能造成泄漏点至河边地下水环境中发生超标，超标时段集中于事故发生后0～4650d；氨氮</w:t>
      </w:r>
      <w:r>
        <w:rPr>
          <w:color w:val="auto"/>
        </w:rPr>
        <w:t>预测值叠加背景值（</w:t>
      </w:r>
      <w:r>
        <w:rPr>
          <w:rFonts w:hint="eastAsia"/>
          <w:color w:val="auto"/>
        </w:rPr>
        <w:t>0.250</w:t>
      </w:r>
      <w:r>
        <w:rPr>
          <w:color w:val="auto"/>
        </w:rPr>
        <w:t>mg/L</w:t>
      </w:r>
      <w:r>
        <w:rPr>
          <w:rFonts w:hint="eastAsia"/>
          <w:color w:val="auto"/>
        </w:rPr>
        <w:t>）后，可能造成泄漏点至河边地下水环境中发生超标，超标时段集中于事故发生后0～5650d；总磷可能造成泄漏点至下游约76m地下水环境中发生超标，超标时段集中于事故发生后0～3200d；甲醛不会地下水环境中发生超标；石油类可能造成泄漏点至下游河边地下水环境中发生超标，超标时段集中于事故发生后0～3200d。</w:t>
      </w:r>
    </w:p>
    <w:p w14:paraId="5CF89858">
      <w:pPr>
        <w:bidi w:val="0"/>
        <w:rPr>
          <w:color w:val="auto"/>
        </w:rPr>
      </w:pPr>
      <w:r>
        <w:rPr>
          <w:color w:val="auto"/>
        </w:rPr>
        <w:t>非正常运行状况下，各污染物下渗进入地下水系统后，将污染本项目区下伏含水层，因此应尽量避免非正常状况发生。</w:t>
      </w:r>
    </w:p>
    <w:bookmarkEnd w:id="241"/>
    <w:bookmarkEnd w:id="242"/>
    <w:p w14:paraId="22BA5858">
      <w:pPr>
        <w:pStyle w:val="10"/>
        <w:bidi w:val="0"/>
        <w:rPr>
          <w:color w:val="auto"/>
        </w:rPr>
      </w:pPr>
      <w:r>
        <w:rPr>
          <w:rFonts w:hint="eastAsia"/>
          <w:color w:val="auto"/>
          <w:lang w:val="en-US" w:eastAsia="zh-CN"/>
        </w:rPr>
        <w:t xml:space="preserve"> </w:t>
      </w:r>
      <w:r>
        <w:rPr>
          <w:color w:val="auto"/>
        </w:rPr>
        <w:t>项目工程对地下水环境影响分析</w:t>
      </w:r>
    </w:p>
    <w:p w14:paraId="74D75CDC">
      <w:pPr>
        <w:bidi w:val="0"/>
        <w:rPr>
          <w:color w:val="auto"/>
        </w:rPr>
      </w:pPr>
      <w:r>
        <w:rPr>
          <w:color w:val="auto"/>
        </w:rPr>
        <w:t>（1）项目工程对评价区地下水的影响分析</w:t>
      </w:r>
    </w:p>
    <w:p w14:paraId="01AE8E8B">
      <w:pPr>
        <w:bidi w:val="0"/>
        <w:rPr>
          <w:color w:val="auto"/>
        </w:rPr>
      </w:pPr>
      <w:r>
        <w:rPr>
          <w:color w:val="auto"/>
        </w:rPr>
        <w:t>根据工程分析，本项目重点考虑并预测分析的可能产污构筑物</w:t>
      </w:r>
      <w:r>
        <w:rPr>
          <w:rFonts w:hint="eastAsia"/>
          <w:color w:val="auto"/>
        </w:rPr>
        <w:t>为</w:t>
      </w:r>
      <w:r>
        <w:rPr>
          <w:color w:val="auto"/>
        </w:rPr>
        <w:t>环保工程废水处理站。</w:t>
      </w:r>
    </w:p>
    <w:p w14:paraId="12D83BD3">
      <w:pPr>
        <w:bidi w:val="0"/>
        <w:rPr>
          <w:color w:val="auto"/>
        </w:rPr>
      </w:pPr>
      <w:r>
        <w:rPr>
          <w:color w:val="auto"/>
        </w:rPr>
        <w:t>依据《环境影响评价技术导则</w:t>
      </w:r>
      <w:r>
        <w:rPr>
          <w:rFonts w:hint="eastAsia"/>
          <w:color w:val="auto"/>
          <w:lang w:val="en-US" w:eastAsia="zh-CN"/>
        </w:rPr>
        <w:t xml:space="preserve"> </w:t>
      </w:r>
      <w:r>
        <w:rPr>
          <w:color w:val="auto"/>
        </w:rPr>
        <w:t>地下水环境》（HJ610-2016）分区防渗要求，以上构筑物均采用重点防渗。在采取上述措施后，本项目正常运行状况对地下水环境影响较小。</w:t>
      </w:r>
    </w:p>
    <w:p w14:paraId="1B89DE8F">
      <w:pPr>
        <w:bidi w:val="0"/>
        <w:rPr>
          <w:color w:val="auto"/>
        </w:rPr>
      </w:pPr>
      <w:r>
        <w:rPr>
          <w:color w:val="auto"/>
        </w:rPr>
        <w:t>本项目评价区执行《地下水质量标准》（GB/T1484</w:t>
      </w:r>
      <w:r>
        <w:rPr>
          <w:rFonts w:hint="eastAsia"/>
          <w:color w:val="auto"/>
          <w:lang w:val="en-US" w:eastAsia="zh-CN"/>
        </w:rPr>
        <w:t>8</w:t>
      </w:r>
      <w:r>
        <w:rPr>
          <w:color w:val="auto"/>
        </w:rPr>
        <w:t>-2017）中的Ⅲ类标准（CODMn≤3.0 mg/L，氨氮≤0.5mg/L），总磷</w:t>
      </w:r>
      <w:r>
        <w:rPr>
          <w:rFonts w:hint="eastAsia"/>
          <w:color w:val="auto"/>
        </w:rPr>
        <w:t>、甲醛及石油类</w:t>
      </w:r>
      <w:r>
        <w:rPr>
          <w:color w:val="auto"/>
        </w:rPr>
        <w:t>未列入《地下水质量标准》，本次</w:t>
      </w:r>
      <w:r>
        <w:rPr>
          <w:rFonts w:hint="eastAsia"/>
          <w:color w:val="auto"/>
        </w:rPr>
        <w:t>总磷和石油类</w:t>
      </w:r>
      <w:r>
        <w:rPr>
          <w:color w:val="auto"/>
        </w:rPr>
        <w:t>以《地表水环境质量标准》（GB3838-2002）Ⅲ类水体作为参考标准（</w:t>
      </w:r>
      <w:r>
        <w:rPr>
          <w:rFonts w:hint="eastAsia"/>
          <w:color w:val="auto"/>
        </w:rPr>
        <w:t>总磷</w:t>
      </w:r>
      <w:r>
        <w:rPr>
          <w:color w:val="auto"/>
        </w:rPr>
        <w:t>≤0.</w:t>
      </w:r>
      <w:r>
        <w:rPr>
          <w:rFonts w:hint="eastAsia"/>
          <w:color w:val="auto"/>
        </w:rPr>
        <w:t>2</w:t>
      </w:r>
      <w:r>
        <w:rPr>
          <w:color w:val="auto"/>
        </w:rPr>
        <w:t>mg/L</w:t>
      </w:r>
      <w:r>
        <w:rPr>
          <w:rFonts w:hint="eastAsia"/>
          <w:color w:val="auto"/>
        </w:rPr>
        <w:t>，石油类</w:t>
      </w:r>
      <w:r>
        <w:rPr>
          <w:color w:val="auto"/>
        </w:rPr>
        <w:t>≤0.</w:t>
      </w:r>
      <w:r>
        <w:rPr>
          <w:rFonts w:hint="eastAsia"/>
          <w:color w:val="auto"/>
        </w:rPr>
        <w:t>05</w:t>
      </w:r>
      <w:r>
        <w:rPr>
          <w:color w:val="auto"/>
        </w:rPr>
        <w:t>mg/L），</w:t>
      </w:r>
      <w:r>
        <w:rPr>
          <w:rFonts w:hint="eastAsia"/>
          <w:color w:val="auto"/>
        </w:rPr>
        <w:t>甲醛</w:t>
      </w:r>
      <w:r>
        <w:rPr>
          <w:color w:val="auto"/>
        </w:rPr>
        <w:t>以《地表水环境质量标准》（GB3838-2002）</w:t>
      </w:r>
      <w:r>
        <w:rPr>
          <w:rFonts w:hint="eastAsia"/>
          <w:color w:val="auto"/>
        </w:rPr>
        <w:t>集中式生活饮用地表水源特定项目标准限值（0.9</w:t>
      </w:r>
      <w:r>
        <w:rPr>
          <w:color w:val="auto"/>
        </w:rPr>
        <w:t xml:space="preserve"> mg/L</w:t>
      </w:r>
      <w:r>
        <w:rPr>
          <w:rFonts w:hint="eastAsia"/>
          <w:color w:val="auto"/>
        </w:rPr>
        <w:t>）为标准。</w:t>
      </w:r>
      <w:r>
        <w:rPr>
          <w:color w:val="auto"/>
        </w:rPr>
        <w:t>预测结果显示，CODMn预测值叠加背景值（</w:t>
      </w:r>
      <w:r>
        <w:rPr>
          <w:rFonts w:hint="eastAsia"/>
          <w:color w:val="auto"/>
        </w:rPr>
        <w:t>1.479</w:t>
      </w:r>
      <w:r>
        <w:rPr>
          <w:color w:val="auto"/>
        </w:rPr>
        <w:t>mg/L</w:t>
      </w:r>
      <w:r>
        <w:rPr>
          <w:rFonts w:hint="eastAsia"/>
          <w:color w:val="auto"/>
        </w:rPr>
        <w:t>）后，可能造成泄漏点至河边地下水环境中发生超标，超标时段集中于事故发生后0～4650d；氨氮</w:t>
      </w:r>
      <w:r>
        <w:rPr>
          <w:color w:val="auto"/>
        </w:rPr>
        <w:t>预测值叠加背景值（</w:t>
      </w:r>
      <w:r>
        <w:rPr>
          <w:rFonts w:hint="eastAsia"/>
          <w:color w:val="auto"/>
        </w:rPr>
        <w:t>0.250</w:t>
      </w:r>
      <w:r>
        <w:rPr>
          <w:color w:val="auto"/>
        </w:rPr>
        <w:t>mg/L</w:t>
      </w:r>
      <w:r>
        <w:rPr>
          <w:rFonts w:hint="eastAsia"/>
          <w:color w:val="auto"/>
        </w:rPr>
        <w:t>）后，可能造成泄漏点至河边地下水环境中发生超标，超标时段集中于事故发生后0～5650d；总磷可能造成泄漏点至下游约76m地下水环境中发生超标，超标时段集中于事故发生后0～3200d；甲醛不会地下水环境中发生超标；石油类可能造成泄漏点至下游河边地下水环境中发生超标，超标时段集中于事故发生后0～3200d。</w:t>
      </w:r>
    </w:p>
    <w:p w14:paraId="5E376799">
      <w:pPr>
        <w:bidi w:val="0"/>
        <w:rPr>
          <w:color w:val="auto"/>
        </w:rPr>
      </w:pPr>
      <w:r>
        <w:rPr>
          <w:color w:val="auto"/>
        </w:rPr>
        <w:t>非正常运行状况发生后，项目区下伏含水层将受到污染，因此应尽量避免非正常状况发生。环评要求本项目运行过程中，严格按照环评要求对下游水质监测井进行监测，一旦发现水质异常，立刻采取有效措施（如采用水动力隔离技术）阻止污染羽的扩散迁移，将地下水控制在局部范围，避免对厂区下游地下水造成污染。</w:t>
      </w:r>
    </w:p>
    <w:p w14:paraId="7480455E">
      <w:pPr>
        <w:bidi w:val="0"/>
        <w:rPr>
          <w:color w:val="auto"/>
        </w:rPr>
      </w:pPr>
      <w:r>
        <w:rPr>
          <w:color w:val="auto"/>
        </w:rPr>
        <w:t>（2）项目工程对评价区居民饮用水影响分析</w:t>
      </w:r>
    </w:p>
    <w:p w14:paraId="4D11A486">
      <w:pPr>
        <w:bidi w:val="0"/>
        <w:rPr>
          <w:color w:val="auto"/>
        </w:rPr>
      </w:pPr>
      <w:r>
        <w:rPr>
          <w:color w:val="auto"/>
        </w:rPr>
        <w:t>本项目位于</w:t>
      </w:r>
      <w:r>
        <w:rPr>
          <w:rFonts w:hint="eastAsia"/>
          <w:color w:val="auto"/>
        </w:rPr>
        <w:t>巴中市巴州区曾口镇寿星村13</w:t>
      </w:r>
      <w:r>
        <w:rPr>
          <w:color w:val="auto"/>
        </w:rPr>
        <w:t>组</w:t>
      </w:r>
      <w:r>
        <w:rPr>
          <w:rFonts w:hint="eastAsia"/>
          <w:color w:val="auto"/>
        </w:rPr>
        <w:t>，根据现场调查，拟建污水处理厂周边待拆迁居民均以自打浅层水井作为生活饮用水源</w:t>
      </w:r>
      <w:r>
        <w:rPr>
          <w:color w:val="auto"/>
        </w:rPr>
        <w:t>，</w:t>
      </w:r>
      <w:r>
        <w:rPr>
          <w:rFonts w:hint="eastAsia"/>
          <w:color w:val="auto"/>
        </w:rPr>
        <w:t>1户居民或2户及以上居民用1口水井，水井深度一般小于2</w:t>
      </w:r>
      <w:r>
        <w:rPr>
          <w:color w:val="auto"/>
        </w:rPr>
        <w:t>0</w:t>
      </w:r>
      <w:r>
        <w:rPr>
          <w:rFonts w:hint="eastAsia"/>
          <w:color w:val="auto"/>
        </w:rPr>
        <w:t>m。因此本项目地下水环境保护目标为评价范围内的分散式饮用水水源，共16口井，主要分布在污水处理厂的上游（北侧）和侧上游（东北侧）。</w:t>
      </w:r>
    </w:p>
    <w:p w14:paraId="216A9CE7">
      <w:pPr>
        <w:bidi w:val="0"/>
        <w:rPr>
          <w:color w:val="auto"/>
        </w:rPr>
      </w:pPr>
      <w:r>
        <w:rPr>
          <w:rFonts w:hint="eastAsia"/>
          <w:color w:val="auto"/>
        </w:rPr>
        <w:t>本项目模拟预测结果显示，在非正常状况下，CODMn、氨氮、总磷、石油类等污染物受控于地下水流场向南西侧下游巴河方向迁移扩散。地下水扩散下游方向无居民分散水井分布，不会对北部、东北部的上游地下水分散居民饮用水井造成影响。</w:t>
      </w:r>
    </w:p>
    <w:p w14:paraId="2C16E650">
      <w:pPr>
        <w:pStyle w:val="5"/>
        <w:pageBreakBefore w:val="0"/>
        <w:wordWrap/>
        <w:bidi w:val="0"/>
        <w:adjustRightInd/>
        <w:snapToGrid/>
        <w:spacing w:before="48" w:after="48"/>
        <w:ind w:left="0"/>
        <w:rPr>
          <w:rFonts w:eastAsia="宋体"/>
          <w:color w:val="auto"/>
          <w:sz w:val="28"/>
          <w:szCs w:val="28"/>
        </w:rPr>
      </w:pPr>
      <w:r>
        <w:rPr>
          <w:rFonts w:hint="eastAsia" w:eastAsia="宋体"/>
          <w:color w:val="auto"/>
          <w:sz w:val="28"/>
          <w:szCs w:val="28"/>
        </w:rPr>
        <w:t xml:space="preserve"> </w:t>
      </w:r>
      <w:r>
        <w:rPr>
          <w:rFonts w:eastAsia="宋体"/>
          <w:color w:val="auto"/>
          <w:sz w:val="28"/>
          <w:szCs w:val="28"/>
        </w:rPr>
        <w:t>营运期土壤环境影响分析</w:t>
      </w:r>
    </w:p>
    <w:p w14:paraId="5ACCF210">
      <w:pPr>
        <w:pStyle w:val="10"/>
        <w:bidi w:val="0"/>
        <w:rPr>
          <w:rFonts w:hint="default"/>
          <w:color w:val="auto"/>
          <w:lang w:eastAsia="zh-CN"/>
        </w:rPr>
      </w:pPr>
      <w:bookmarkStart w:id="246" w:name="_Toc17263"/>
      <w:r>
        <w:rPr>
          <w:rFonts w:hint="eastAsia"/>
          <w:color w:val="auto"/>
          <w:lang w:val="en-US" w:eastAsia="zh-CN"/>
        </w:rPr>
        <w:t xml:space="preserve"> </w:t>
      </w:r>
      <w:r>
        <w:rPr>
          <w:rFonts w:hint="default"/>
          <w:color w:val="auto"/>
          <w:lang w:val="en-US" w:eastAsia="zh-CN"/>
        </w:rPr>
        <w:t>总论</w:t>
      </w:r>
      <w:bookmarkEnd w:id="246"/>
    </w:p>
    <w:p w14:paraId="549A4A13">
      <w:pPr>
        <w:bidi w:val="0"/>
        <w:rPr>
          <w:rFonts w:hint="default"/>
          <w:b/>
          <w:bCs/>
          <w:color w:val="auto"/>
          <w:lang w:val="en-US" w:eastAsia="zh-CN"/>
        </w:rPr>
      </w:pPr>
      <w:r>
        <w:rPr>
          <w:rFonts w:hint="eastAsia"/>
          <w:b/>
          <w:bCs/>
          <w:color w:val="auto"/>
          <w:lang w:val="en-US" w:eastAsia="zh-CN"/>
        </w:rPr>
        <w:t>1、</w:t>
      </w:r>
      <w:r>
        <w:rPr>
          <w:rFonts w:hint="default"/>
          <w:b/>
          <w:bCs/>
          <w:color w:val="auto"/>
          <w:lang w:val="en-US" w:eastAsia="zh-CN"/>
        </w:rPr>
        <w:t>评价目的</w:t>
      </w:r>
    </w:p>
    <w:p w14:paraId="05644921">
      <w:pPr>
        <w:bidi w:val="0"/>
        <w:rPr>
          <w:rFonts w:hint="default"/>
          <w:color w:val="auto"/>
          <w:lang w:val="en-US" w:eastAsia="zh-CN"/>
        </w:rPr>
      </w:pPr>
      <w:r>
        <w:rPr>
          <w:rFonts w:hint="eastAsia"/>
          <w:color w:val="auto"/>
          <w:lang w:val="en-US" w:eastAsia="zh-CN"/>
        </w:rPr>
        <w:t>（1）</w:t>
      </w:r>
      <w:r>
        <w:rPr>
          <w:rFonts w:hint="default"/>
          <w:color w:val="auto"/>
          <w:lang w:val="en-US" w:eastAsia="zh-CN"/>
        </w:rPr>
        <w:t>结合国家、地方土壤相关资料和实地调查，掌握拟建项目地区土壤类型及理化特性等，查明土壤环境现状与土壤利用现状；</w:t>
      </w:r>
    </w:p>
    <w:p w14:paraId="3809D3BF">
      <w:pPr>
        <w:bidi w:val="0"/>
        <w:rPr>
          <w:rFonts w:hint="default"/>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rFonts w:hint="default"/>
          <w:color w:val="auto"/>
        </w:rPr>
        <w:t>根据拟建项目工程分析及与土壤污染相关的地表水、地下水、大气等评价结果，分析并识别出可能进入土壤的污染物种类、数量、方式等，预测拟建项目可能对土壤环境产生的影响，评价其影响程度和范围及其可能导致的土壤环境变化趋势；</w:t>
      </w:r>
    </w:p>
    <w:p w14:paraId="2B7A7EDB">
      <w:pPr>
        <w:bidi w:val="0"/>
        <w:rPr>
          <w:rFonts w:hint="default"/>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rFonts w:hint="default"/>
          <w:color w:val="auto"/>
        </w:rPr>
        <w:t>针对项目建设可能产生的不利影响，提出合理、可行、操作性强的土壤环境影响防控措施，使工程建设带来的负面环境影响降至最低程度，达到项目建设和环境保护的协调发展；</w:t>
      </w:r>
    </w:p>
    <w:p w14:paraId="6594769E">
      <w:pPr>
        <w:bidi w:val="0"/>
        <w:rPr>
          <w:rFonts w:hint="default"/>
          <w:color w:val="auto"/>
          <w:lang w:val="en-US" w:eastAsia="zh-CN"/>
        </w:rPr>
      </w:pPr>
      <w:r>
        <w:rPr>
          <w:rFonts w:hint="eastAsia"/>
          <w:color w:val="auto"/>
          <w:lang w:eastAsia="zh-CN"/>
        </w:rPr>
        <w:t>（</w:t>
      </w:r>
      <w:r>
        <w:rPr>
          <w:rFonts w:hint="eastAsia"/>
          <w:color w:val="auto"/>
          <w:lang w:val="en-US" w:eastAsia="zh-CN"/>
        </w:rPr>
        <w:t>4</w:t>
      </w:r>
      <w:r>
        <w:rPr>
          <w:rFonts w:hint="eastAsia"/>
          <w:color w:val="auto"/>
          <w:lang w:eastAsia="zh-CN"/>
        </w:rPr>
        <w:t>）</w:t>
      </w:r>
      <w:r>
        <w:rPr>
          <w:rFonts w:hint="default"/>
          <w:color w:val="auto"/>
        </w:rPr>
        <w:t>从土壤环境保护角度论证项目建设的可行性，为工程建设决策和环境管理提供科学依据。</w:t>
      </w:r>
    </w:p>
    <w:p w14:paraId="24479FD6">
      <w:pPr>
        <w:bidi w:val="0"/>
        <w:rPr>
          <w:rFonts w:hint="default"/>
          <w:b/>
          <w:bCs/>
          <w:color w:val="auto"/>
        </w:rPr>
      </w:pPr>
      <w:r>
        <w:rPr>
          <w:rFonts w:hint="eastAsia"/>
          <w:b/>
          <w:bCs/>
          <w:color w:val="auto"/>
          <w:lang w:val="en-US" w:eastAsia="zh-CN"/>
        </w:rPr>
        <w:t>2、</w:t>
      </w:r>
      <w:r>
        <w:rPr>
          <w:rFonts w:hint="default"/>
          <w:b/>
          <w:bCs/>
          <w:color w:val="auto"/>
        </w:rPr>
        <w:t>评价内容与评价重点</w:t>
      </w:r>
    </w:p>
    <w:p w14:paraId="2BE5364D">
      <w:pPr>
        <w:bidi w:val="0"/>
        <w:rPr>
          <w:rFonts w:hint="default"/>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rFonts w:hint="default"/>
          <w:color w:val="auto"/>
        </w:rPr>
        <w:t>评价内容</w:t>
      </w:r>
    </w:p>
    <w:p w14:paraId="1FDADD2C">
      <w:pPr>
        <w:bidi w:val="0"/>
        <w:rPr>
          <w:rFonts w:hint="default"/>
          <w:color w:val="auto"/>
        </w:rPr>
      </w:pPr>
      <w:r>
        <w:rPr>
          <w:rFonts w:hint="default"/>
          <w:color w:val="auto"/>
        </w:rPr>
        <w:t>土壤环境的现状调查、监测与评价，以及建设项目对土壤环境可能造成的直接和间接危害的预测与评价，并针对其造成的影响和危害提出防控措施与对策。</w:t>
      </w:r>
    </w:p>
    <w:p w14:paraId="62986987">
      <w:pPr>
        <w:bidi w:val="0"/>
        <w:rPr>
          <w:rFonts w:hint="default"/>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rFonts w:hint="default"/>
          <w:color w:val="auto"/>
        </w:rPr>
        <w:t>评价重点</w:t>
      </w:r>
    </w:p>
    <w:p w14:paraId="7B3195F8">
      <w:pPr>
        <w:bidi w:val="0"/>
        <w:rPr>
          <w:rFonts w:hint="default"/>
          <w:color w:val="auto"/>
        </w:rPr>
      </w:pPr>
      <w:r>
        <w:rPr>
          <w:rFonts w:hint="default"/>
          <w:color w:val="auto"/>
        </w:rPr>
        <w:t>结合工程的特点及区域环境特征，确定本次评价工作重点为：建设项目土壤环境影响类型与影响途径识别、建设项目周边土壤环境现状调查、土壤环境影响预测及评价、土壤环境污染防治措施及建议。</w:t>
      </w:r>
    </w:p>
    <w:p w14:paraId="23328C5D">
      <w:pPr>
        <w:bidi w:val="0"/>
        <w:rPr>
          <w:rFonts w:hint="default"/>
          <w:b/>
          <w:bCs/>
          <w:color w:val="auto"/>
        </w:rPr>
      </w:pPr>
      <w:r>
        <w:rPr>
          <w:rFonts w:hint="eastAsia"/>
          <w:b/>
          <w:bCs/>
          <w:color w:val="auto"/>
          <w:lang w:val="en-US" w:eastAsia="zh-CN"/>
        </w:rPr>
        <w:t>3、</w:t>
      </w:r>
      <w:r>
        <w:rPr>
          <w:rFonts w:hint="default"/>
          <w:b/>
          <w:bCs/>
          <w:color w:val="auto"/>
        </w:rPr>
        <w:t>评价工作程序</w:t>
      </w:r>
    </w:p>
    <w:p w14:paraId="35D12E15">
      <w:pPr>
        <w:bidi w:val="0"/>
        <w:rPr>
          <w:rFonts w:hint="default"/>
          <w:color w:val="auto"/>
        </w:rPr>
      </w:pPr>
      <w:r>
        <w:rPr>
          <w:rFonts w:hint="default"/>
          <w:color w:val="auto"/>
        </w:rPr>
        <w:t>评价工作分为准备阶段、现状调查与评价阶段、预测分析与评价阶段和结论阶段。</w:t>
      </w:r>
    </w:p>
    <w:p w14:paraId="53365442">
      <w:pPr>
        <w:pStyle w:val="6"/>
        <w:ind w:left="0" w:leftChars="0" w:firstLine="0" w:firstLineChars="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rPr>
        <w:drawing>
          <wp:inline distT="0" distB="0" distL="114300" distR="114300">
            <wp:extent cx="5541010" cy="5859780"/>
            <wp:effectExtent l="0" t="0" r="2540" b="7620"/>
            <wp:docPr id="8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2"/>
                    <pic:cNvPicPr>
                      <a:picLocks noChangeAspect="1"/>
                    </pic:cNvPicPr>
                  </pic:nvPicPr>
                  <pic:blipFill>
                    <a:blip r:embed="rId133"/>
                    <a:stretch>
                      <a:fillRect/>
                    </a:stretch>
                  </pic:blipFill>
                  <pic:spPr>
                    <a:xfrm>
                      <a:off x="0" y="0"/>
                      <a:ext cx="5541010" cy="5859780"/>
                    </a:xfrm>
                    <a:prstGeom prst="rect">
                      <a:avLst/>
                    </a:prstGeom>
                    <a:noFill/>
                    <a:ln>
                      <a:noFill/>
                    </a:ln>
                  </pic:spPr>
                </pic:pic>
              </a:graphicData>
            </a:graphic>
          </wp:inline>
        </w:drawing>
      </w:r>
    </w:p>
    <w:p w14:paraId="48970D64">
      <w:pPr>
        <w:pStyle w:val="17"/>
        <w:bidi w:val="0"/>
        <w:rPr>
          <w:rFonts w:hint="default"/>
          <w:color w:val="auto"/>
        </w:rPr>
      </w:pPr>
      <w:r>
        <w:rPr>
          <w:rFonts w:hint="default"/>
          <w:color w:val="auto"/>
        </w:rPr>
        <w:t>图</w:t>
      </w:r>
      <w:r>
        <w:rPr>
          <w:rFonts w:hint="eastAsia"/>
          <w:color w:val="auto"/>
          <w:lang w:val="en-US" w:eastAsia="zh-CN"/>
        </w:rPr>
        <w:t>4.2</w:t>
      </w:r>
      <w:r>
        <w:rPr>
          <w:rFonts w:hint="default"/>
          <w:color w:val="auto"/>
          <w:lang w:val="en-US" w:eastAsia="zh-CN"/>
        </w:rPr>
        <w:t>-1</w:t>
      </w:r>
      <w:r>
        <w:rPr>
          <w:rFonts w:hint="eastAsia"/>
          <w:color w:val="auto"/>
          <w:lang w:val="en-US" w:eastAsia="zh-CN"/>
        </w:rPr>
        <w:t xml:space="preserve">3 </w:t>
      </w:r>
      <w:r>
        <w:rPr>
          <w:rFonts w:hint="default"/>
          <w:color w:val="auto"/>
        </w:rPr>
        <w:t>本项目土壤环境影响评价工作程序图</w:t>
      </w:r>
    </w:p>
    <w:p w14:paraId="661C5BEF">
      <w:pPr>
        <w:pStyle w:val="10"/>
        <w:bidi w:val="0"/>
        <w:rPr>
          <w:rFonts w:hint="default"/>
          <w:color w:val="auto"/>
          <w:lang w:val="en-US" w:eastAsia="zh-CN"/>
        </w:rPr>
      </w:pPr>
      <w:r>
        <w:rPr>
          <w:rFonts w:hint="eastAsia"/>
          <w:color w:val="auto"/>
          <w:lang w:val="en-US" w:eastAsia="zh-CN"/>
        </w:rPr>
        <w:t xml:space="preserve"> </w:t>
      </w:r>
      <w:r>
        <w:rPr>
          <w:rFonts w:hint="default"/>
          <w:color w:val="auto"/>
        </w:rPr>
        <w:t>土壤环境影响识别</w:t>
      </w:r>
      <w:r>
        <w:rPr>
          <w:rFonts w:hint="default"/>
          <w:color w:val="auto"/>
          <w:lang w:val="en-US" w:eastAsia="zh-CN"/>
        </w:rPr>
        <w:t>及评价等级</w:t>
      </w:r>
    </w:p>
    <w:p w14:paraId="70AA1271">
      <w:pPr>
        <w:adjustRightInd/>
        <w:snapToGrid/>
        <w:spacing w:after="0" w:line="360" w:lineRule="auto"/>
        <w:ind w:firstLine="482" w:firstLineChars="200"/>
        <w:jc w:val="both"/>
        <w:rPr>
          <w:rFonts w:hint="default" w:ascii="Times New Roman" w:hAnsi="Times New Roman" w:eastAsia="宋体" w:cs="Times New Roman"/>
          <w:b/>
          <w:bCs/>
          <w:snapToGrid w:val="0"/>
          <w:color w:val="auto"/>
          <w:sz w:val="24"/>
          <w:szCs w:val="24"/>
        </w:rPr>
      </w:pPr>
      <w:r>
        <w:rPr>
          <w:rFonts w:hint="eastAsia" w:ascii="Times New Roman" w:hAnsi="Times New Roman" w:eastAsia="宋体" w:cs="Times New Roman"/>
          <w:b/>
          <w:bCs/>
          <w:snapToGrid w:val="0"/>
          <w:color w:val="auto"/>
          <w:sz w:val="24"/>
          <w:szCs w:val="24"/>
          <w:lang w:val="en-US" w:eastAsia="zh-CN"/>
        </w:rPr>
        <w:t>1、</w:t>
      </w:r>
      <w:r>
        <w:rPr>
          <w:rFonts w:hint="default" w:ascii="Times New Roman" w:hAnsi="Times New Roman" w:eastAsia="宋体" w:cs="Times New Roman"/>
          <w:b/>
          <w:bCs/>
          <w:snapToGrid w:val="0"/>
          <w:color w:val="auto"/>
          <w:sz w:val="24"/>
          <w:szCs w:val="24"/>
        </w:rPr>
        <w:t>土壤环境影响评价类别</w:t>
      </w:r>
    </w:p>
    <w:p w14:paraId="45722089">
      <w:pPr>
        <w:bidi w:val="0"/>
        <w:rPr>
          <w:rFonts w:hint="default"/>
          <w:color w:val="auto"/>
          <w:lang w:val="en-US" w:eastAsia="zh-CN"/>
        </w:rPr>
      </w:pPr>
      <w:r>
        <w:rPr>
          <w:rFonts w:hint="default"/>
          <w:color w:val="auto"/>
        </w:rPr>
        <w:t>项目</w:t>
      </w:r>
      <w:r>
        <w:rPr>
          <w:rFonts w:hint="eastAsia"/>
          <w:color w:val="auto"/>
          <w:lang w:val="en-US" w:eastAsia="zh-CN"/>
        </w:rPr>
        <w:t>为工业污水处理厂</w:t>
      </w:r>
      <w:r>
        <w:rPr>
          <w:rFonts w:hint="default"/>
          <w:color w:val="auto"/>
        </w:rPr>
        <w:t>，属于《环境影响评价技术导则 土壤环境（试行）》（HJ964-2018）附录A中</w:t>
      </w:r>
      <w:r>
        <w:rPr>
          <w:rFonts w:hint="eastAsia"/>
          <w:color w:val="auto"/>
          <w:lang w:eastAsia="zh-CN"/>
        </w:rPr>
        <w:t>“电力热力燃气及水生产和供应业”</w:t>
      </w:r>
      <w:r>
        <w:rPr>
          <w:rFonts w:hint="default"/>
          <w:color w:val="auto"/>
        </w:rPr>
        <w:t>中的“</w:t>
      </w:r>
      <w:r>
        <w:rPr>
          <w:rFonts w:hint="eastAsia"/>
          <w:color w:val="auto"/>
          <w:lang w:val="en-US" w:eastAsia="zh-CN"/>
        </w:rPr>
        <w:t>工业废水处理</w:t>
      </w:r>
      <w:r>
        <w:rPr>
          <w:rFonts w:hint="default"/>
          <w:color w:val="auto"/>
        </w:rPr>
        <w:t>”。</w:t>
      </w:r>
      <w:r>
        <w:rPr>
          <w:rFonts w:hint="default"/>
          <w:color w:val="auto"/>
          <w:lang w:val="en-US" w:eastAsia="zh-CN"/>
        </w:rPr>
        <w:t>根据项目建设内容及其对土壤环境可能产生的影像，判定本项目土壤影像类型为“污染影响型”。</w:t>
      </w:r>
    </w:p>
    <w:p w14:paraId="1942FEFD">
      <w:pPr>
        <w:adjustRightInd/>
        <w:snapToGrid/>
        <w:spacing w:after="0" w:line="360" w:lineRule="auto"/>
        <w:ind w:firstLine="482" w:firstLineChars="200"/>
        <w:jc w:val="both"/>
        <w:rPr>
          <w:rFonts w:hint="default" w:ascii="Times New Roman" w:hAnsi="Times New Roman" w:eastAsia="宋体" w:cs="Times New Roman"/>
          <w:b/>
          <w:bCs/>
          <w:snapToGrid w:val="0"/>
          <w:color w:val="auto"/>
          <w:sz w:val="24"/>
          <w:szCs w:val="24"/>
          <w:lang w:val="en-US" w:eastAsia="zh-CN"/>
        </w:rPr>
      </w:pPr>
      <w:r>
        <w:rPr>
          <w:rFonts w:hint="eastAsia" w:ascii="Times New Roman" w:hAnsi="Times New Roman" w:eastAsia="宋体" w:cs="Times New Roman"/>
          <w:b/>
          <w:bCs/>
          <w:snapToGrid w:val="0"/>
          <w:color w:val="auto"/>
          <w:sz w:val="24"/>
          <w:szCs w:val="24"/>
          <w:lang w:val="en-US" w:eastAsia="zh-CN"/>
        </w:rPr>
        <w:t>2、</w:t>
      </w:r>
      <w:r>
        <w:rPr>
          <w:rFonts w:hint="default" w:ascii="Times New Roman" w:hAnsi="Times New Roman" w:eastAsia="宋体" w:cs="Times New Roman"/>
          <w:b/>
          <w:bCs/>
          <w:snapToGrid w:val="0"/>
          <w:color w:val="auto"/>
          <w:sz w:val="24"/>
          <w:szCs w:val="24"/>
          <w:lang w:val="en-US" w:eastAsia="zh-CN"/>
        </w:rPr>
        <w:t>评价等级</w:t>
      </w:r>
    </w:p>
    <w:p w14:paraId="3DDB9945">
      <w:pPr>
        <w:bidi w:val="0"/>
        <w:rPr>
          <w:rFonts w:hint="default"/>
          <w:color w:val="auto"/>
        </w:rPr>
      </w:pPr>
      <w:r>
        <w:rPr>
          <w:rFonts w:hint="default"/>
          <w:color w:val="auto"/>
        </w:rPr>
        <w:t>根据行业特征、工业特点或规模大小等将建设项目类别分为I 类、II 类、III类、IV 类，分类详见《环境影响评价技术导则</w:t>
      </w:r>
      <w:r>
        <w:rPr>
          <w:rFonts w:hint="eastAsia"/>
          <w:color w:val="auto"/>
          <w:lang w:val="en-US" w:eastAsia="zh-CN"/>
        </w:rPr>
        <w:t xml:space="preserve"> </w:t>
      </w:r>
      <w:r>
        <w:rPr>
          <w:rFonts w:hint="default"/>
          <w:color w:val="auto"/>
        </w:rPr>
        <w:t>土壤环境》（HJ964-2018）附录A（以下简称附录A）。其中I 类、II 类及III 类建设项目的土壤环境影响评价应执行导则要求，IV 类建设项目可不开展土壤环境影响评价；自身为敏感目标的建设项目，可根据需要仅对土壤环境现状进行调查</w:t>
      </w:r>
      <w:r>
        <w:rPr>
          <w:rFonts w:hint="default"/>
          <w:color w:val="auto"/>
          <w:lang w:eastAsia="zh-CN"/>
        </w:rPr>
        <w:t>。</w:t>
      </w:r>
    </w:p>
    <w:p w14:paraId="24FC9239">
      <w:pPr>
        <w:adjustRightInd/>
        <w:snapToGrid/>
        <w:spacing w:after="0" w:line="360" w:lineRule="auto"/>
        <w:ind w:firstLine="482" w:firstLineChars="200"/>
        <w:jc w:val="both"/>
        <w:rPr>
          <w:rFonts w:hint="default" w:ascii="Times New Roman" w:hAnsi="Times New Roman" w:eastAsia="宋体" w:cs="Times New Roman"/>
          <w:b/>
          <w:bCs/>
          <w:snapToGrid w:val="0"/>
          <w:color w:val="auto"/>
          <w:sz w:val="24"/>
          <w:szCs w:val="24"/>
        </w:rPr>
      </w:pPr>
      <w:r>
        <w:rPr>
          <w:rFonts w:hint="default" w:ascii="Times New Roman" w:hAnsi="Times New Roman" w:eastAsia="宋体" w:cs="Times New Roman"/>
          <w:b/>
          <w:bCs/>
          <w:snapToGrid w:val="0"/>
          <w:color w:val="auto"/>
          <w:sz w:val="24"/>
          <w:szCs w:val="24"/>
          <w:lang w:val="en-US" w:eastAsia="zh-CN"/>
        </w:rPr>
        <w:t>①项目类别</w:t>
      </w:r>
    </w:p>
    <w:p w14:paraId="17310E34">
      <w:pPr>
        <w:adjustRightInd/>
        <w:snapToGrid/>
        <w:spacing w:after="0" w:line="360" w:lineRule="auto"/>
        <w:ind w:firstLine="480" w:firstLineChars="200"/>
        <w:jc w:val="both"/>
        <w:rPr>
          <w:rFonts w:hint="default" w:ascii="Times New Roman" w:hAnsi="Times New Roman" w:eastAsia="宋体" w:cs="Times New Roman"/>
          <w:snapToGrid w:val="0"/>
          <w:color w:val="auto"/>
          <w:sz w:val="24"/>
          <w:szCs w:val="24"/>
        </w:rPr>
      </w:pPr>
      <w:r>
        <w:rPr>
          <w:rFonts w:hint="default"/>
          <w:color w:val="auto"/>
        </w:rPr>
        <w:t>项目</w:t>
      </w:r>
      <w:r>
        <w:rPr>
          <w:rFonts w:hint="eastAsia"/>
          <w:color w:val="auto"/>
          <w:lang w:val="en-US" w:eastAsia="zh-CN"/>
        </w:rPr>
        <w:t>为工业污水处理厂</w:t>
      </w:r>
      <w:r>
        <w:rPr>
          <w:rFonts w:hint="default"/>
          <w:color w:val="auto"/>
        </w:rPr>
        <w:t>，属于《环境影响评价技术导则 土壤环境（试行）》（HJ964-2018）附录A中</w:t>
      </w:r>
      <w:r>
        <w:rPr>
          <w:rFonts w:hint="eastAsia"/>
          <w:color w:val="auto"/>
          <w:lang w:eastAsia="zh-CN"/>
        </w:rPr>
        <w:t>“电力热力燃气及水生产和供应业”</w:t>
      </w:r>
      <w:r>
        <w:rPr>
          <w:rFonts w:hint="default"/>
          <w:color w:val="auto"/>
        </w:rPr>
        <w:t>中的“</w:t>
      </w:r>
      <w:r>
        <w:rPr>
          <w:rFonts w:hint="eastAsia"/>
          <w:color w:val="auto"/>
          <w:lang w:val="en-US" w:eastAsia="zh-CN"/>
        </w:rPr>
        <w:t>工业废水处理</w:t>
      </w:r>
      <w:r>
        <w:rPr>
          <w:rFonts w:hint="default"/>
          <w:color w:val="auto"/>
        </w:rPr>
        <w:t>”</w:t>
      </w:r>
      <w:r>
        <w:rPr>
          <w:rFonts w:hint="default" w:ascii="Times New Roman" w:hAnsi="Times New Roman" w:eastAsia="宋体" w:cs="Times New Roman"/>
          <w:snapToGrid w:val="0"/>
          <w:color w:val="auto"/>
          <w:sz w:val="24"/>
          <w:szCs w:val="24"/>
        </w:rPr>
        <w:t>。因此，本项目土壤环境影响评价类别为</w:t>
      </w:r>
      <w:r>
        <w:rPr>
          <w:rFonts w:hint="default" w:ascii="Times New Roman" w:hAnsi="Times New Roman" w:eastAsia="宋体" w:cs="Times New Roman"/>
          <w:b/>
          <w:bCs/>
          <w:snapToGrid w:val="0"/>
          <w:color w:val="auto"/>
          <w:sz w:val="24"/>
          <w:szCs w:val="24"/>
        </w:rPr>
        <w:t>Ⅱ类</w:t>
      </w:r>
      <w:r>
        <w:rPr>
          <w:rFonts w:hint="default" w:ascii="Times New Roman" w:hAnsi="Times New Roman" w:eastAsia="宋体" w:cs="Times New Roman"/>
          <w:snapToGrid w:val="0"/>
          <w:color w:val="auto"/>
          <w:sz w:val="24"/>
          <w:szCs w:val="24"/>
        </w:rPr>
        <w:t>。</w:t>
      </w:r>
    </w:p>
    <w:p w14:paraId="2B8FEE64">
      <w:pPr>
        <w:adjustRightInd/>
        <w:snapToGrid/>
        <w:spacing w:after="0" w:line="360" w:lineRule="auto"/>
        <w:ind w:firstLine="482" w:firstLineChars="200"/>
        <w:jc w:val="both"/>
        <w:rPr>
          <w:rFonts w:hint="default" w:ascii="Times New Roman" w:hAnsi="Times New Roman" w:eastAsia="宋体" w:cs="Times New Roman"/>
          <w:b/>
          <w:bCs/>
          <w:snapToGrid w:val="0"/>
          <w:color w:val="auto"/>
          <w:sz w:val="24"/>
          <w:szCs w:val="24"/>
          <w:lang w:val="en-US" w:eastAsia="zh-CN"/>
        </w:rPr>
      </w:pPr>
      <w:r>
        <w:rPr>
          <w:rFonts w:hint="default" w:ascii="Times New Roman" w:hAnsi="Times New Roman" w:eastAsia="宋体" w:cs="Times New Roman"/>
          <w:b/>
          <w:bCs/>
          <w:snapToGrid w:val="0"/>
          <w:color w:val="auto"/>
          <w:sz w:val="24"/>
          <w:szCs w:val="24"/>
          <w:lang w:val="en-US" w:eastAsia="zh-CN"/>
        </w:rPr>
        <w:t>②项目占地规模</w:t>
      </w:r>
    </w:p>
    <w:p w14:paraId="7D960F3B">
      <w:pPr>
        <w:adjustRightInd/>
        <w:snapToGrid/>
        <w:spacing w:after="0" w:line="360" w:lineRule="auto"/>
        <w:ind w:firstLine="480" w:firstLineChars="200"/>
        <w:jc w:val="both"/>
        <w:rPr>
          <w:rFonts w:hint="default" w:ascii="Times New Roman" w:hAnsi="Times New Roman" w:eastAsia="宋体" w:cs="Times New Roman"/>
          <w:snapToGrid w:val="0"/>
          <w:color w:val="auto"/>
          <w:sz w:val="24"/>
          <w:szCs w:val="24"/>
          <w:lang w:eastAsia="zh-CN"/>
        </w:rPr>
      </w:pPr>
      <w:r>
        <w:rPr>
          <w:rFonts w:hint="default" w:ascii="Times New Roman" w:hAnsi="Times New Roman" w:eastAsia="宋体" w:cs="Times New Roman"/>
          <w:snapToGrid w:val="0"/>
          <w:color w:val="auto"/>
          <w:sz w:val="24"/>
          <w:szCs w:val="24"/>
          <w:lang w:val="en-US" w:eastAsia="zh-CN"/>
        </w:rPr>
        <w:t>本</w:t>
      </w:r>
      <w:r>
        <w:rPr>
          <w:rFonts w:hint="default" w:ascii="Times New Roman" w:hAnsi="Times New Roman" w:eastAsia="宋体" w:cs="Times New Roman"/>
          <w:snapToGrid w:val="0"/>
          <w:color w:val="auto"/>
          <w:sz w:val="24"/>
          <w:szCs w:val="24"/>
        </w:rPr>
        <w:t>项目占地面积约22806.44m</w:t>
      </w:r>
      <w:r>
        <w:rPr>
          <w:rFonts w:hint="default" w:ascii="Times New Roman" w:hAnsi="Times New Roman" w:eastAsia="宋体" w:cs="Times New Roman"/>
          <w:snapToGrid w:val="0"/>
          <w:color w:val="auto"/>
          <w:sz w:val="24"/>
          <w:szCs w:val="24"/>
          <w:vertAlign w:val="superscript"/>
        </w:rPr>
        <w:t>2</w:t>
      </w:r>
      <w:r>
        <w:rPr>
          <w:rFonts w:hint="default" w:ascii="Times New Roman" w:hAnsi="Times New Roman" w:eastAsia="宋体" w:cs="Times New Roman"/>
          <w:snapToGrid w:val="0"/>
          <w:color w:val="auto"/>
          <w:sz w:val="24"/>
          <w:szCs w:val="24"/>
        </w:rPr>
        <w:t>（</w:t>
      </w:r>
      <w:r>
        <w:rPr>
          <w:rFonts w:hint="eastAsia" w:ascii="Times New Roman" w:hAnsi="Times New Roman" w:eastAsia="宋体" w:cs="Times New Roman"/>
          <w:snapToGrid w:val="0"/>
          <w:color w:val="auto"/>
          <w:sz w:val="24"/>
          <w:szCs w:val="24"/>
          <w:lang w:val="en-US" w:eastAsia="zh-CN"/>
        </w:rPr>
        <w:t>0.228</w:t>
      </w:r>
      <w:r>
        <w:rPr>
          <w:rFonts w:hint="default" w:ascii="Times New Roman" w:hAnsi="Times New Roman" w:eastAsia="宋体" w:cs="Times New Roman"/>
          <w:snapToGrid w:val="0"/>
          <w:color w:val="auto"/>
          <w:sz w:val="24"/>
          <w:szCs w:val="24"/>
        </w:rPr>
        <w:t>hm</w:t>
      </w:r>
      <w:r>
        <w:rPr>
          <w:rFonts w:hint="default" w:ascii="Times New Roman" w:hAnsi="Times New Roman" w:eastAsia="宋体" w:cs="Times New Roman"/>
          <w:snapToGrid w:val="0"/>
          <w:color w:val="auto"/>
          <w:sz w:val="24"/>
          <w:szCs w:val="24"/>
          <w:vertAlign w:val="superscript"/>
        </w:rPr>
        <w:t>2</w:t>
      </w:r>
      <w:r>
        <w:rPr>
          <w:rFonts w:hint="default" w:ascii="Times New Roman" w:hAnsi="Times New Roman" w:eastAsia="宋体" w:cs="Times New Roman"/>
          <w:snapToGrid w:val="0"/>
          <w:color w:val="auto"/>
          <w:sz w:val="24"/>
          <w:szCs w:val="24"/>
        </w:rPr>
        <w:t>），</w:t>
      </w:r>
      <w:r>
        <w:rPr>
          <w:rFonts w:hint="default" w:ascii="Times New Roman" w:hAnsi="Times New Roman" w:eastAsia="宋体" w:cs="Times New Roman"/>
          <w:snapToGrid w:val="0"/>
          <w:color w:val="auto"/>
          <w:sz w:val="24"/>
          <w:szCs w:val="24"/>
          <w:lang w:val="en-US" w:eastAsia="zh-CN"/>
        </w:rPr>
        <w:t>占地类型</w:t>
      </w:r>
      <w:r>
        <w:rPr>
          <w:rFonts w:hint="default" w:ascii="Times New Roman" w:hAnsi="Times New Roman" w:eastAsia="宋体" w:cs="Times New Roman"/>
          <w:snapToGrid w:val="0"/>
          <w:color w:val="auto"/>
          <w:sz w:val="24"/>
          <w:szCs w:val="24"/>
        </w:rPr>
        <w:t>属于</w:t>
      </w:r>
      <w:r>
        <w:rPr>
          <w:rFonts w:hint="eastAsia" w:ascii="Times New Roman" w:hAnsi="Times New Roman" w:eastAsia="宋体" w:cs="Times New Roman"/>
          <w:b/>
          <w:bCs/>
          <w:snapToGrid w:val="0"/>
          <w:color w:val="auto"/>
          <w:sz w:val="24"/>
          <w:szCs w:val="24"/>
          <w:lang w:val="en-US" w:eastAsia="zh-CN"/>
        </w:rPr>
        <w:t>小型</w:t>
      </w:r>
      <w:r>
        <w:rPr>
          <w:rFonts w:hint="default" w:ascii="Times New Roman" w:hAnsi="Times New Roman" w:eastAsia="宋体" w:cs="Times New Roman"/>
          <w:b/>
          <w:bCs/>
          <w:snapToGrid w:val="0"/>
          <w:color w:val="auto"/>
          <w:sz w:val="24"/>
          <w:szCs w:val="24"/>
        </w:rPr>
        <w:t>规模</w:t>
      </w:r>
      <w:r>
        <w:rPr>
          <w:rFonts w:hint="default" w:ascii="Times New Roman" w:hAnsi="Times New Roman" w:eastAsia="宋体" w:cs="Times New Roman"/>
          <w:snapToGrid w:val="0"/>
          <w:color w:val="auto"/>
          <w:sz w:val="24"/>
          <w:szCs w:val="24"/>
          <w:lang w:eastAsia="zh-CN"/>
        </w:rPr>
        <w:t>（</w:t>
      </w:r>
      <w:r>
        <w:rPr>
          <w:rFonts w:hint="eastAsia" w:ascii="Times New Roman" w:hAnsi="Times New Roman" w:eastAsia="宋体" w:cs="Times New Roman"/>
          <w:snapToGrid w:val="0"/>
          <w:color w:val="auto"/>
          <w:sz w:val="24"/>
          <w:szCs w:val="24"/>
          <w:lang w:val="en-US" w:eastAsia="zh-CN"/>
        </w:rPr>
        <w:t>≤</w:t>
      </w:r>
      <w:r>
        <w:rPr>
          <w:rFonts w:hint="default" w:ascii="Times New Roman" w:hAnsi="Times New Roman" w:eastAsia="宋体" w:cs="Times New Roman"/>
          <w:snapToGrid w:val="0"/>
          <w:color w:val="auto"/>
          <w:sz w:val="24"/>
          <w:szCs w:val="24"/>
          <w:lang w:val="en-US" w:eastAsia="zh-CN"/>
        </w:rPr>
        <w:t>5hm</w:t>
      </w:r>
      <w:r>
        <w:rPr>
          <w:rFonts w:hint="default" w:ascii="Times New Roman" w:hAnsi="Times New Roman" w:eastAsia="宋体" w:cs="Times New Roman"/>
          <w:snapToGrid w:val="0"/>
          <w:color w:val="auto"/>
          <w:sz w:val="24"/>
          <w:szCs w:val="24"/>
          <w:vertAlign w:val="superscript"/>
          <w:lang w:val="en-US" w:eastAsia="zh-CN"/>
        </w:rPr>
        <w:t>2</w:t>
      </w:r>
      <w:r>
        <w:rPr>
          <w:rFonts w:hint="default" w:ascii="Times New Roman" w:hAnsi="Times New Roman" w:eastAsia="宋体" w:cs="Times New Roman"/>
          <w:snapToGrid w:val="0"/>
          <w:color w:val="auto"/>
          <w:sz w:val="24"/>
          <w:szCs w:val="24"/>
          <w:lang w:eastAsia="zh-CN"/>
        </w:rPr>
        <w:t>）。</w:t>
      </w:r>
    </w:p>
    <w:p w14:paraId="4A30D361">
      <w:pPr>
        <w:adjustRightInd/>
        <w:snapToGrid/>
        <w:spacing w:after="0" w:line="360" w:lineRule="auto"/>
        <w:ind w:firstLine="482" w:firstLineChars="200"/>
        <w:jc w:val="both"/>
        <w:rPr>
          <w:rFonts w:hint="default" w:ascii="Times New Roman" w:hAnsi="Times New Roman" w:eastAsia="宋体" w:cs="Times New Roman"/>
          <w:b/>
          <w:bCs/>
          <w:snapToGrid w:val="0"/>
          <w:color w:val="auto"/>
          <w:sz w:val="24"/>
          <w:szCs w:val="24"/>
          <w:lang w:val="en-US" w:eastAsia="zh-CN"/>
        </w:rPr>
      </w:pPr>
      <w:r>
        <w:rPr>
          <w:rFonts w:hint="default" w:ascii="Times New Roman" w:hAnsi="Times New Roman" w:eastAsia="宋体" w:cs="Times New Roman"/>
          <w:b/>
          <w:bCs/>
          <w:snapToGrid w:val="0"/>
          <w:color w:val="auto"/>
          <w:sz w:val="24"/>
          <w:szCs w:val="24"/>
          <w:lang w:val="en-US" w:eastAsia="zh-CN"/>
        </w:rPr>
        <w:t>③项目所在地周边土壤环境敏感程度</w:t>
      </w:r>
    </w:p>
    <w:p w14:paraId="5291D202">
      <w:pPr>
        <w:adjustRightInd/>
        <w:snapToGrid/>
        <w:spacing w:after="0" w:line="360" w:lineRule="auto"/>
        <w:ind w:firstLine="480" w:firstLineChars="200"/>
        <w:jc w:val="both"/>
        <w:rPr>
          <w:rFonts w:hint="default" w:ascii="Times New Roman" w:hAnsi="Times New Roman" w:eastAsia="宋体" w:cs="Times New Roman"/>
          <w:snapToGrid w:val="0"/>
          <w:color w:val="auto"/>
          <w:sz w:val="24"/>
          <w:szCs w:val="24"/>
          <w:lang w:eastAsia="zh-CN"/>
        </w:rPr>
      </w:pPr>
      <w:r>
        <w:rPr>
          <w:rFonts w:hint="default" w:ascii="Times New Roman" w:hAnsi="Times New Roman" w:eastAsia="宋体" w:cs="Times New Roman"/>
          <w:color w:val="auto"/>
          <w:sz w:val="24"/>
          <w:szCs w:val="24"/>
        </w:rPr>
        <w:t>建设项目所在地周边的土壤环境敏感程度可分为敏感、较敏感、不敏感</w:t>
      </w:r>
      <w:r>
        <w:rPr>
          <w:rFonts w:hint="default" w:ascii="Times New Roman" w:hAnsi="Times New Roman" w:eastAsia="宋体" w:cs="Times New Roman"/>
          <w:color w:val="auto"/>
          <w:sz w:val="24"/>
          <w:szCs w:val="24"/>
          <w:lang w:eastAsia="zh-CN"/>
        </w:rPr>
        <w:t>。</w:t>
      </w:r>
    </w:p>
    <w:p w14:paraId="2970894C">
      <w:pPr>
        <w:adjustRightInd/>
        <w:snapToGrid/>
        <w:spacing w:after="0" w:line="360" w:lineRule="auto"/>
        <w:ind w:firstLine="480" w:firstLineChars="200"/>
        <w:jc w:val="both"/>
        <w:rPr>
          <w:rFonts w:hint="default" w:ascii="Times New Roman" w:hAnsi="Times New Roman" w:eastAsia="宋体" w:cs="Times New Roman"/>
          <w:snapToGrid w:val="0"/>
          <w:color w:val="auto"/>
          <w:sz w:val="24"/>
          <w:szCs w:val="24"/>
        </w:rPr>
      </w:pPr>
      <w:r>
        <w:rPr>
          <w:rFonts w:hint="default" w:ascii="Times New Roman" w:hAnsi="Times New Roman" w:eastAsia="宋体" w:cs="Times New Roman"/>
          <w:snapToGrid w:val="0"/>
          <w:color w:val="auto"/>
          <w:sz w:val="24"/>
          <w:szCs w:val="24"/>
        </w:rPr>
        <w:t>项目所在地属于</w:t>
      </w:r>
      <w:r>
        <w:rPr>
          <w:rFonts w:hint="eastAsia" w:ascii="Times New Roman" w:hAnsi="Times New Roman" w:eastAsia="宋体" w:cs="Times New Roman"/>
          <w:color w:val="auto"/>
          <w:sz w:val="24"/>
          <w:szCs w:val="24"/>
          <w:lang w:val="en-US" w:eastAsia="zh-CN"/>
        </w:rPr>
        <w:t>四川省巴中市巴州区曾口镇寿星村13组</w:t>
      </w:r>
      <w:r>
        <w:rPr>
          <w:rFonts w:hint="default" w:ascii="Times New Roman" w:hAnsi="Times New Roman" w:eastAsia="宋体" w:cs="Times New Roman"/>
          <w:snapToGrid w:val="0"/>
          <w:color w:val="auto"/>
          <w:sz w:val="24"/>
          <w:szCs w:val="24"/>
        </w:rPr>
        <w:t>，</w:t>
      </w:r>
      <w:r>
        <w:rPr>
          <w:rFonts w:hint="default" w:ascii="Times New Roman" w:hAnsi="Times New Roman" w:eastAsia="宋体" w:cs="Times New Roman"/>
          <w:snapToGrid w:val="0"/>
          <w:color w:val="auto"/>
          <w:sz w:val="24"/>
          <w:szCs w:val="24"/>
          <w:lang w:eastAsia="zh-CN"/>
        </w:rPr>
        <w:t>项目周边存在</w:t>
      </w:r>
      <w:r>
        <w:rPr>
          <w:rFonts w:hint="eastAsia" w:ascii="Times New Roman" w:hAnsi="Times New Roman" w:eastAsia="宋体" w:cs="Times New Roman"/>
          <w:snapToGrid w:val="0"/>
          <w:color w:val="auto"/>
          <w:sz w:val="24"/>
          <w:szCs w:val="24"/>
          <w:lang w:val="en-US" w:eastAsia="zh-CN"/>
        </w:rPr>
        <w:t>居民区和耕地</w:t>
      </w:r>
      <w:r>
        <w:rPr>
          <w:rFonts w:hint="default" w:ascii="Times New Roman" w:hAnsi="Times New Roman" w:eastAsia="宋体" w:cs="Times New Roman"/>
          <w:snapToGrid w:val="0"/>
          <w:color w:val="auto"/>
          <w:sz w:val="24"/>
          <w:szCs w:val="24"/>
          <w:lang w:eastAsia="zh-CN"/>
        </w:rPr>
        <w:t>，故</w:t>
      </w:r>
      <w:r>
        <w:rPr>
          <w:rFonts w:hint="default" w:ascii="Times New Roman" w:hAnsi="Times New Roman" w:eastAsia="宋体" w:cs="Times New Roman"/>
          <w:snapToGrid w:val="0"/>
          <w:color w:val="auto"/>
          <w:sz w:val="24"/>
          <w:szCs w:val="24"/>
        </w:rPr>
        <w:t>土壤敏感程度</w:t>
      </w:r>
      <w:r>
        <w:rPr>
          <w:rFonts w:hint="default" w:ascii="Times New Roman" w:hAnsi="Times New Roman" w:eastAsia="宋体" w:cs="Times New Roman"/>
          <w:snapToGrid w:val="0"/>
          <w:color w:val="auto"/>
          <w:sz w:val="24"/>
          <w:szCs w:val="24"/>
          <w:lang w:val="en-US" w:eastAsia="zh-CN"/>
        </w:rPr>
        <w:t>判定</w:t>
      </w:r>
      <w:r>
        <w:rPr>
          <w:rFonts w:hint="default" w:ascii="Times New Roman" w:hAnsi="Times New Roman" w:eastAsia="宋体" w:cs="Times New Roman"/>
          <w:snapToGrid w:val="0"/>
          <w:color w:val="auto"/>
          <w:sz w:val="24"/>
          <w:szCs w:val="24"/>
        </w:rPr>
        <w:t>为</w:t>
      </w:r>
      <w:r>
        <w:rPr>
          <w:rFonts w:hint="default" w:ascii="Times New Roman" w:hAnsi="Times New Roman" w:eastAsia="宋体" w:cs="Times New Roman"/>
          <w:b/>
          <w:bCs/>
          <w:snapToGrid w:val="0"/>
          <w:color w:val="auto"/>
          <w:sz w:val="24"/>
          <w:szCs w:val="24"/>
        </w:rPr>
        <w:t>敏感</w:t>
      </w:r>
      <w:r>
        <w:rPr>
          <w:rFonts w:hint="default" w:ascii="Times New Roman" w:hAnsi="Times New Roman" w:eastAsia="宋体" w:cs="Times New Roman"/>
          <w:snapToGrid w:val="0"/>
          <w:color w:val="auto"/>
          <w:sz w:val="24"/>
          <w:szCs w:val="24"/>
        </w:rPr>
        <w:t>。</w:t>
      </w:r>
    </w:p>
    <w:p w14:paraId="6B15BE63">
      <w:pPr>
        <w:adjustRightInd/>
        <w:snapToGrid/>
        <w:spacing w:after="0" w:line="360" w:lineRule="auto"/>
        <w:jc w:val="both"/>
        <w:textAlignment w:val="center"/>
        <w:rPr>
          <w:rFonts w:hint="default" w:ascii="Times New Roman" w:hAnsi="Times New Roman" w:eastAsia="宋体" w:cs="Times New Roman"/>
          <w:b/>
          <w:bCs w:val="0"/>
          <w:color w:val="auto"/>
          <w:sz w:val="24"/>
          <w:szCs w:val="24"/>
          <w:lang w:val="en-US" w:eastAsia="zh-CN"/>
        </w:rPr>
      </w:pPr>
      <w:r>
        <w:rPr>
          <w:rFonts w:hint="default" w:ascii="Times New Roman" w:hAnsi="Times New Roman" w:eastAsia="宋体" w:cs="Times New Roman"/>
          <w:b/>
          <w:bCs w:val="0"/>
          <w:color w:val="auto"/>
          <w:sz w:val="24"/>
          <w:szCs w:val="24"/>
          <w:lang w:val="en-US" w:eastAsia="zh-CN"/>
        </w:rPr>
        <w:t>④评价等级</w:t>
      </w:r>
    </w:p>
    <w:p w14:paraId="6DE33879">
      <w:pPr>
        <w:spacing w:beforeLines="0" w:afterLines="0" w:line="360" w:lineRule="auto"/>
        <w:ind w:firstLine="480" w:firstLineChars="200"/>
        <w:jc w:val="left"/>
        <w:rPr>
          <w:rFonts w:hint="default" w:ascii="Times New Roman" w:hAnsi="Times New Roman" w:eastAsia="宋体" w:cs="Times New Roman"/>
          <w:b/>
          <w:color w:val="auto"/>
          <w:sz w:val="24"/>
          <w:szCs w:val="24"/>
        </w:rPr>
      </w:pPr>
      <w:r>
        <w:rPr>
          <w:rFonts w:hint="default" w:ascii="Times New Roman" w:hAnsi="Times New Roman" w:eastAsia="宋体" w:cs="Times New Roman"/>
          <w:color w:val="auto"/>
          <w:sz w:val="24"/>
          <w:szCs w:val="24"/>
        </w:rPr>
        <w:t>根据上述识别结果，本项目为污染影响型建设项目，</w:t>
      </w:r>
      <w:r>
        <w:rPr>
          <w:rFonts w:hint="default" w:ascii="Times New Roman" w:hAnsi="Times New Roman" w:eastAsia="宋体" w:cs="Times New Roman"/>
          <w:b/>
          <w:bCs/>
          <w:color w:val="auto"/>
          <w:sz w:val="24"/>
          <w:szCs w:val="24"/>
        </w:rPr>
        <w:t>属Ⅱ类项目</w:t>
      </w:r>
      <w:r>
        <w:rPr>
          <w:rFonts w:hint="default" w:ascii="Times New Roman" w:hAnsi="Times New Roman" w:eastAsia="宋体" w:cs="Times New Roman"/>
          <w:color w:val="auto"/>
          <w:sz w:val="24"/>
          <w:szCs w:val="24"/>
        </w:rPr>
        <w:t>。占地规模属</w:t>
      </w:r>
      <w:r>
        <w:rPr>
          <w:rFonts w:hint="eastAsia" w:ascii="Times New Roman" w:hAnsi="Times New Roman" w:eastAsia="宋体" w:cs="Times New Roman"/>
          <w:color w:val="auto"/>
          <w:sz w:val="24"/>
          <w:szCs w:val="24"/>
          <w:lang w:val="en-US" w:eastAsia="zh-CN"/>
        </w:rPr>
        <w:t>小</w:t>
      </w:r>
      <w:r>
        <w:rPr>
          <w:rFonts w:hint="default" w:ascii="Times New Roman" w:hAnsi="Times New Roman" w:eastAsia="宋体" w:cs="Times New Roman"/>
          <w:color w:val="auto"/>
          <w:sz w:val="24"/>
          <w:szCs w:val="24"/>
        </w:rPr>
        <w:t>型，土壤环境敏感程度为敏感，综合判定评价等级为</w:t>
      </w:r>
      <w:r>
        <w:rPr>
          <w:rFonts w:hint="default"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二</w:t>
      </w:r>
      <w:r>
        <w:rPr>
          <w:rFonts w:hint="default" w:ascii="Times New Roman" w:hAnsi="Times New Roman" w:eastAsia="宋体" w:cs="Times New Roman"/>
          <w:color w:val="auto"/>
          <w:sz w:val="24"/>
          <w:szCs w:val="24"/>
        </w:rPr>
        <w:t>级</w:t>
      </w:r>
      <w:r>
        <w:rPr>
          <w:rFonts w:hint="default" w:ascii="Times New Roman" w:hAnsi="Times New Roman" w:eastAsia="宋体" w:cs="Times New Roman"/>
          <w:color w:val="auto"/>
          <w:sz w:val="24"/>
          <w:szCs w:val="24"/>
          <w:lang w:eastAsia="zh-CN"/>
        </w:rPr>
        <w:t>”。</w:t>
      </w:r>
    </w:p>
    <w:p w14:paraId="242A9FC1">
      <w:pPr>
        <w:pStyle w:val="19"/>
        <w:keepNext w:val="0"/>
        <w:keepLines w:val="0"/>
        <w:pageBreakBefore w:val="0"/>
        <w:widowControl w:val="0"/>
        <w:numPr>
          <w:ilvl w:val="0"/>
          <w:numId w:val="31"/>
        </w:numPr>
        <w:kinsoku/>
        <w:wordWrap/>
        <w:overflowPunct/>
        <w:topLinePunct w:val="0"/>
        <w:autoSpaceDE/>
        <w:autoSpaceDN/>
        <w:bidi w:val="0"/>
        <w:adjustRightInd/>
        <w:snapToGrid/>
        <w:ind w:left="0" w:leftChars="0" w:firstLine="0" w:firstLineChars="0"/>
        <w:textAlignment w:val="auto"/>
        <w:rPr>
          <w:rFonts w:hint="default"/>
          <w:color w:val="auto"/>
        </w:rPr>
      </w:pPr>
      <w:r>
        <w:rPr>
          <w:rFonts w:hint="default"/>
          <w:color w:val="auto"/>
        </w:rPr>
        <w:t>污染影响型评价工作等级划分表</w:t>
      </w:r>
    </w:p>
    <w:tbl>
      <w:tblPr>
        <w:tblStyle w:val="52"/>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3" w:type="dxa"/>
          <w:bottom w:w="0" w:type="dxa"/>
          <w:right w:w="23" w:type="dxa"/>
        </w:tblCellMar>
      </w:tblPr>
      <w:tblGrid>
        <w:gridCol w:w="1596"/>
        <w:gridCol w:w="846"/>
        <w:gridCol w:w="846"/>
        <w:gridCol w:w="799"/>
        <w:gridCol w:w="715"/>
        <w:gridCol w:w="792"/>
        <w:gridCol w:w="783"/>
        <w:gridCol w:w="901"/>
        <w:gridCol w:w="792"/>
        <w:gridCol w:w="704"/>
      </w:tblGrid>
      <w:tr w14:paraId="476946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909" w:type="pct"/>
            <w:vMerge w:val="restart"/>
            <w:noWrap w:val="0"/>
            <w:vAlign w:val="center"/>
          </w:tcPr>
          <w:p w14:paraId="01A79C8E">
            <w:pPr>
              <w:pStyle w:val="16"/>
              <w:bidi w:val="0"/>
              <w:rPr>
                <w:rFonts w:hint="default"/>
                <w:b/>
                <w:bCs/>
                <w:color w:val="auto"/>
              </w:rPr>
            </w:pPr>
            <w:r>
              <w:rPr>
                <w:rFonts w:hint="default"/>
                <w:b/>
                <w:bCs/>
                <w:color w:val="auto"/>
              </w:rPr>
              <w:t>占地规模/评价等级/敏感程度</w:t>
            </w:r>
          </w:p>
        </w:tc>
        <w:tc>
          <w:tcPr>
            <w:tcW w:w="1419" w:type="pct"/>
            <w:gridSpan w:val="3"/>
            <w:noWrap w:val="0"/>
            <w:vAlign w:val="center"/>
          </w:tcPr>
          <w:p w14:paraId="669A11B9">
            <w:pPr>
              <w:pStyle w:val="16"/>
              <w:bidi w:val="0"/>
              <w:rPr>
                <w:rFonts w:hint="default"/>
                <w:b/>
                <w:bCs/>
                <w:color w:val="auto"/>
              </w:rPr>
            </w:pPr>
            <w:r>
              <w:rPr>
                <w:rFonts w:hint="default"/>
                <w:b/>
                <w:bCs/>
                <w:color w:val="auto"/>
              </w:rPr>
              <w:t>Ⅰ类</w:t>
            </w:r>
          </w:p>
        </w:tc>
        <w:tc>
          <w:tcPr>
            <w:tcW w:w="1304" w:type="pct"/>
            <w:gridSpan w:val="3"/>
            <w:noWrap w:val="0"/>
            <w:vAlign w:val="center"/>
          </w:tcPr>
          <w:p w14:paraId="6F8BD5CE">
            <w:pPr>
              <w:pStyle w:val="16"/>
              <w:bidi w:val="0"/>
              <w:rPr>
                <w:rFonts w:hint="default"/>
                <w:b/>
                <w:bCs/>
                <w:color w:val="auto"/>
              </w:rPr>
            </w:pPr>
            <w:r>
              <w:rPr>
                <w:rFonts w:hint="default"/>
                <w:b/>
                <w:bCs/>
                <w:color w:val="auto"/>
              </w:rPr>
              <w:t>Ⅱ类</w:t>
            </w:r>
          </w:p>
        </w:tc>
        <w:tc>
          <w:tcPr>
            <w:tcW w:w="1365" w:type="pct"/>
            <w:gridSpan w:val="3"/>
            <w:noWrap w:val="0"/>
            <w:vAlign w:val="center"/>
          </w:tcPr>
          <w:p w14:paraId="11756890">
            <w:pPr>
              <w:pStyle w:val="16"/>
              <w:bidi w:val="0"/>
              <w:rPr>
                <w:rFonts w:hint="default"/>
                <w:b/>
                <w:bCs/>
                <w:color w:val="auto"/>
              </w:rPr>
            </w:pPr>
            <w:r>
              <w:rPr>
                <w:rFonts w:hint="default"/>
                <w:b/>
                <w:bCs/>
                <w:color w:val="auto"/>
              </w:rPr>
              <w:t>Ⅲ类</w:t>
            </w:r>
          </w:p>
        </w:tc>
      </w:tr>
      <w:tr w14:paraId="57B366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909" w:type="pct"/>
            <w:vMerge w:val="continue"/>
            <w:noWrap w:val="0"/>
            <w:vAlign w:val="center"/>
          </w:tcPr>
          <w:p w14:paraId="433F3384">
            <w:pPr>
              <w:pStyle w:val="16"/>
              <w:bidi w:val="0"/>
              <w:rPr>
                <w:rFonts w:hint="default"/>
                <w:b/>
                <w:bCs/>
                <w:color w:val="auto"/>
              </w:rPr>
            </w:pPr>
          </w:p>
        </w:tc>
        <w:tc>
          <w:tcPr>
            <w:tcW w:w="482" w:type="pct"/>
            <w:noWrap w:val="0"/>
            <w:vAlign w:val="center"/>
          </w:tcPr>
          <w:p w14:paraId="4A9F7BEF">
            <w:pPr>
              <w:pStyle w:val="16"/>
              <w:bidi w:val="0"/>
              <w:rPr>
                <w:rFonts w:hint="default"/>
                <w:b/>
                <w:bCs/>
                <w:color w:val="auto"/>
              </w:rPr>
            </w:pPr>
            <w:r>
              <w:rPr>
                <w:rFonts w:hint="default"/>
                <w:b/>
                <w:bCs/>
                <w:color w:val="auto"/>
              </w:rPr>
              <w:t>大</w:t>
            </w:r>
          </w:p>
        </w:tc>
        <w:tc>
          <w:tcPr>
            <w:tcW w:w="482" w:type="pct"/>
            <w:noWrap w:val="0"/>
            <w:vAlign w:val="center"/>
          </w:tcPr>
          <w:p w14:paraId="7C468B13">
            <w:pPr>
              <w:pStyle w:val="16"/>
              <w:bidi w:val="0"/>
              <w:rPr>
                <w:rFonts w:hint="default"/>
                <w:b/>
                <w:bCs/>
                <w:color w:val="auto"/>
              </w:rPr>
            </w:pPr>
            <w:r>
              <w:rPr>
                <w:rFonts w:hint="default"/>
                <w:b/>
                <w:bCs/>
                <w:color w:val="auto"/>
              </w:rPr>
              <w:t>中</w:t>
            </w:r>
          </w:p>
        </w:tc>
        <w:tc>
          <w:tcPr>
            <w:tcW w:w="455" w:type="pct"/>
            <w:noWrap w:val="0"/>
            <w:vAlign w:val="center"/>
          </w:tcPr>
          <w:p w14:paraId="7296A97F">
            <w:pPr>
              <w:pStyle w:val="16"/>
              <w:bidi w:val="0"/>
              <w:rPr>
                <w:rFonts w:hint="default"/>
                <w:b/>
                <w:bCs/>
                <w:color w:val="auto"/>
              </w:rPr>
            </w:pPr>
            <w:r>
              <w:rPr>
                <w:rFonts w:hint="default"/>
                <w:b/>
                <w:bCs/>
                <w:color w:val="auto"/>
              </w:rPr>
              <w:t>小</w:t>
            </w:r>
          </w:p>
        </w:tc>
        <w:tc>
          <w:tcPr>
            <w:tcW w:w="407" w:type="pct"/>
            <w:noWrap w:val="0"/>
            <w:vAlign w:val="center"/>
          </w:tcPr>
          <w:p w14:paraId="74EE0E79">
            <w:pPr>
              <w:pStyle w:val="16"/>
              <w:bidi w:val="0"/>
              <w:rPr>
                <w:rFonts w:hint="default"/>
                <w:b/>
                <w:bCs/>
                <w:color w:val="auto"/>
              </w:rPr>
            </w:pPr>
            <w:r>
              <w:rPr>
                <w:rFonts w:hint="default"/>
                <w:b/>
                <w:bCs/>
                <w:color w:val="auto"/>
              </w:rPr>
              <w:t>大</w:t>
            </w:r>
          </w:p>
        </w:tc>
        <w:tc>
          <w:tcPr>
            <w:tcW w:w="451" w:type="pct"/>
            <w:noWrap w:val="0"/>
            <w:vAlign w:val="center"/>
          </w:tcPr>
          <w:p w14:paraId="5B0E822C">
            <w:pPr>
              <w:pStyle w:val="16"/>
              <w:bidi w:val="0"/>
              <w:rPr>
                <w:rFonts w:hint="default"/>
                <w:b/>
                <w:bCs/>
                <w:color w:val="auto"/>
              </w:rPr>
            </w:pPr>
            <w:r>
              <w:rPr>
                <w:rFonts w:hint="default"/>
                <w:b/>
                <w:bCs/>
                <w:color w:val="auto"/>
              </w:rPr>
              <w:t>中</w:t>
            </w:r>
          </w:p>
        </w:tc>
        <w:tc>
          <w:tcPr>
            <w:tcW w:w="444" w:type="pct"/>
            <w:noWrap w:val="0"/>
            <w:vAlign w:val="center"/>
          </w:tcPr>
          <w:p w14:paraId="3C032454">
            <w:pPr>
              <w:pStyle w:val="16"/>
              <w:bidi w:val="0"/>
              <w:rPr>
                <w:rFonts w:hint="default"/>
                <w:b/>
                <w:bCs/>
                <w:color w:val="auto"/>
              </w:rPr>
            </w:pPr>
            <w:r>
              <w:rPr>
                <w:rFonts w:hint="default"/>
                <w:b/>
                <w:bCs/>
                <w:color w:val="auto"/>
              </w:rPr>
              <w:t>小</w:t>
            </w:r>
          </w:p>
        </w:tc>
        <w:tc>
          <w:tcPr>
            <w:tcW w:w="513" w:type="pct"/>
            <w:noWrap w:val="0"/>
            <w:vAlign w:val="center"/>
          </w:tcPr>
          <w:p w14:paraId="021D0A00">
            <w:pPr>
              <w:pStyle w:val="16"/>
              <w:bidi w:val="0"/>
              <w:rPr>
                <w:rFonts w:hint="default"/>
                <w:b/>
                <w:bCs/>
                <w:color w:val="auto"/>
              </w:rPr>
            </w:pPr>
            <w:r>
              <w:rPr>
                <w:rFonts w:hint="default"/>
                <w:b/>
                <w:bCs/>
                <w:color w:val="auto"/>
              </w:rPr>
              <w:t>大</w:t>
            </w:r>
          </w:p>
        </w:tc>
        <w:tc>
          <w:tcPr>
            <w:tcW w:w="451" w:type="pct"/>
            <w:noWrap w:val="0"/>
            <w:vAlign w:val="center"/>
          </w:tcPr>
          <w:p w14:paraId="0819F606">
            <w:pPr>
              <w:pStyle w:val="16"/>
              <w:bidi w:val="0"/>
              <w:rPr>
                <w:rFonts w:hint="default"/>
                <w:b/>
                <w:bCs/>
                <w:color w:val="auto"/>
              </w:rPr>
            </w:pPr>
            <w:r>
              <w:rPr>
                <w:rFonts w:hint="default"/>
                <w:b/>
                <w:bCs/>
                <w:color w:val="auto"/>
              </w:rPr>
              <w:t>中</w:t>
            </w:r>
          </w:p>
        </w:tc>
        <w:tc>
          <w:tcPr>
            <w:tcW w:w="400" w:type="pct"/>
            <w:noWrap w:val="0"/>
            <w:vAlign w:val="center"/>
          </w:tcPr>
          <w:p w14:paraId="16B483C5">
            <w:pPr>
              <w:pStyle w:val="16"/>
              <w:bidi w:val="0"/>
              <w:rPr>
                <w:rFonts w:hint="default"/>
                <w:b/>
                <w:bCs/>
                <w:color w:val="auto"/>
              </w:rPr>
            </w:pPr>
            <w:r>
              <w:rPr>
                <w:rFonts w:hint="default"/>
                <w:b/>
                <w:bCs/>
                <w:color w:val="auto"/>
              </w:rPr>
              <w:t>小</w:t>
            </w:r>
          </w:p>
        </w:tc>
      </w:tr>
      <w:tr w14:paraId="5FFD4E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909" w:type="pct"/>
            <w:noWrap w:val="0"/>
            <w:vAlign w:val="center"/>
          </w:tcPr>
          <w:p w14:paraId="4D6C34F0">
            <w:pPr>
              <w:pStyle w:val="16"/>
              <w:bidi w:val="0"/>
              <w:rPr>
                <w:rFonts w:hint="default"/>
                <w:color w:val="auto"/>
              </w:rPr>
            </w:pPr>
            <w:r>
              <w:rPr>
                <w:rFonts w:hint="default"/>
                <w:color w:val="auto"/>
              </w:rPr>
              <w:t>敏感</w:t>
            </w:r>
          </w:p>
        </w:tc>
        <w:tc>
          <w:tcPr>
            <w:tcW w:w="482" w:type="pct"/>
            <w:noWrap w:val="0"/>
            <w:vAlign w:val="center"/>
          </w:tcPr>
          <w:p w14:paraId="5ACFFD04">
            <w:pPr>
              <w:pStyle w:val="16"/>
              <w:bidi w:val="0"/>
              <w:rPr>
                <w:rFonts w:hint="default"/>
                <w:color w:val="auto"/>
              </w:rPr>
            </w:pPr>
            <w:r>
              <w:rPr>
                <w:rFonts w:hint="default"/>
                <w:color w:val="auto"/>
              </w:rPr>
              <w:t>一级</w:t>
            </w:r>
          </w:p>
        </w:tc>
        <w:tc>
          <w:tcPr>
            <w:tcW w:w="482" w:type="pct"/>
            <w:noWrap w:val="0"/>
            <w:vAlign w:val="center"/>
          </w:tcPr>
          <w:p w14:paraId="6F3005B1">
            <w:pPr>
              <w:pStyle w:val="16"/>
              <w:bidi w:val="0"/>
              <w:rPr>
                <w:rFonts w:hint="default"/>
                <w:color w:val="auto"/>
              </w:rPr>
            </w:pPr>
            <w:r>
              <w:rPr>
                <w:rFonts w:hint="default"/>
                <w:color w:val="auto"/>
              </w:rPr>
              <w:t>一级</w:t>
            </w:r>
          </w:p>
        </w:tc>
        <w:tc>
          <w:tcPr>
            <w:tcW w:w="455" w:type="pct"/>
            <w:noWrap w:val="0"/>
            <w:vAlign w:val="center"/>
          </w:tcPr>
          <w:p w14:paraId="72D357ED">
            <w:pPr>
              <w:pStyle w:val="16"/>
              <w:bidi w:val="0"/>
              <w:rPr>
                <w:rFonts w:hint="default"/>
                <w:color w:val="auto"/>
              </w:rPr>
            </w:pPr>
            <w:r>
              <w:rPr>
                <w:rFonts w:hint="default"/>
                <w:color w:val="auto"/>
              </w:rPr>
              <w:t>一级</w:t>
            </w:r>
          </w:p>
        </w:tc>
        <w:tc>
          <w:tcPr>
            <w:tcW w:w="407" w:type="pct"/>
            <w:noWrap w:val="0"/>
            <w:vAlign w:val="center"/>
          </w:tcPr>
          <w:p w14:paraId="7F22716B">
            <w:pPr>
              <w:pStyle w:val="16"/>
              <w:bidi w:val="0"/>
              <w:rPr>
                <w:rFonts w:hint="default"/>
                <w:color w:val="auto"/>
              </w:rPr>
            </w:pPr>
            <w:r>
              <w:rPr>
                <w:rFonts w:hint="default"/>
                <w:color w:val="auto"/>
              </w:rPr>
              <w:t>二级</w:t>
            </w:r>
          </w:p>
        </w:tc>
        <w:tc>
          <w:tcPr>
            <w:tcW w:w="451" w:type="pct"/>
            <w:noWrap w:val="0"/>
            <w:vAlign w:val="center"/>
          </w:tcPr>
          <w:p w14:paraId="022987E8">
            <w:pPr>
              <w:pStyle w:val="16"/>
              <w:bidi w:val="0"/>
              <w:rPr>
                <w:rFonts w:hint="default"/>
                <w:color w:val="auto"/>
              </w:rPr>
            </w:pPr>
            <w:r>
              <w:rPr>
                <w:rFonts w:hint="default"/>
                <w:color w:val="auto"/>
              </w:rPr>
              <w:t>二级</w:t>
            </w:r>
          </w:p>
        </w:tc>
        <w:tc>
          <w:tcPr>
            <w:tcW w:w="444" w:type="pct"/>
            <w:noWrap w:val="0"/>
            <w:vAlign w:val="center"/>
          </w:tcPr>
          <w:p w14:paraId="3D24E42D">
            <w:pPr>
              <w:pStyle w:val="16"/>
              <w:bidi w:val="0"/>
              <w:rPr>
                <w:rFonts w:hint="default"/>
                <w:color w:val="auto"/>
              </w:rPr>
            </w:pPr>
            <w:r>
              <w:rPr>
                <w:rFonts w:hint="default"/>
                <w:b/>
                <w:bCs/>
                <w:color w:val="auto"/>
                <w:shd w:val="clear" w:color="FFFFFF" w:fill="D9D9D9"/>
              </w:rPr>
              <w:t>二级</w:t>
            </w:r>
          </w:p>
        </w:tc>
        <w:tc>
          <w:tcPr>
            <w:tcW w:w="513" w:type="pct"/>
            <w:noWrap w:val="0"/>
            <w:vAlign w:val="center"/>
          </w:tcPr>
          <w:p w14:paraId="0229063C">
            <w:pPr>
              <w:pStyle w:val="16"/>
              <w:bidi w:val="0"/>
              <w:rPr>
                <w:rFonts w:hint="default"/>
                <w:color w:val="auto"/>
              </w:rPr>
            </w:pPr>
            <w:r>
              <w:rPr>
                <w:rFonts w:hint="default"/>
                <w:color w:val="auto"/>
              </w:rPr>
              <w:t>三级</w:t>
            </w:r>
          </w:p>
        </w:tc>
        <w:tc>
          <w:tcPr>
            <w:tcW w:w="451" w:type="pct"/>
            <w:noWrap w:val="0"/>
            <w:vAlign w:val="center"/>
          </w:tcPr>
          <w:p w14:paraId="545BFD63">
            <w:pPr>
              <w:pStyle w:val="16"/>
              <w:bidi w:val="0"/>
              <w:rPr>
                <w:rFonts w:hint="default"/>
                <w:color w:val="auto"/>
              </w:rPr>
            </w:pPr>
            <w:r>
              <w:rPr>
                <w:rFonts w:hint="default"/>
                <w:color w:val="auto"/>
              </w:rPr>
              <w:t>三级</w:t>
            </w:r>
          </w:p>
        </w:tc>
        <w:tc>
          <w:tcPr>
            <w:tcW w:w="400" w:type="pct"/>
            <w:noWrap w:val="0"/>
            <w:vAlign w:val="center"/>
          </w:tcPr>
          <w:p w14:paraId="512F26CD">
            <w:pPr>
              <w:pStyle w:val="16"/>
              <w:bidi w:val="0"/>
              <w:rPr>
                <w:rFonts w:hint="default"/>
                <w:color w:val="auto"/>
              </w:rPr>
            </w:pPr>
            <w:r>
              <w:rPr>
                <w:rFonts w:hint="default"/>
                <w:color w:val="auto"/>
              </w:rPr>
              <w:t>三级</w:t>
            </w:r>
          </w:p>
        </w:tc>
      </w:tr>
      <w:tr w14:paraId="6B25E2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909" w:type="pct"/>
            <w:noWrap w:val="0"/>
            <w:vAlign w:val="center"/>
          </w:tcPr>
          <w:p w14:paraId="2934BC01">
            <w:pPr>
              <w:pStyle w:val="16"/>
              <w:bidi w:val="0"/>
              <w:rPr>
                <w:rFonts w:hint="default"/>
                <w:color w:val="auto"/>
              </w:rPr>
            </w:pPr>
            <w:r>
              <w:rPr>
                <w:rFonts w:hint="default"/>
                <w:color w:val="auto"/>
              </w:rPr>
              <w:t>较敏感</w:t>
            </w:r>
          </w:p>
        </w:tc>
        <w:tc>
          <w:tcPr>
            <w:tcW w:w="482" w:type="pct"/>
            <w:noWrap w:val="0"/>
            <w:vAlign w:val="center"/>
          </w:tcPr>
          <w:p w14:paraId="4FC2B0AE">
            <w:pPr>
              <w:pStyle w:val="16"/>
              <w:bidi w:val="0"/>
              <w:rPr>
                <w:rFonts w:hint="default"/>
                <w:color w:val="auto"/>
              </w:rPr>
            </w:pPr>
            <w:r>
              <w:rPr>
                <w:rFonts w:hint="default"/>
                <w:color w:val="auto"/>
              </w:rPr>
              <w:t>一级</w:t>
            </w:r>
          </w:p>
        </w:tc>
        <w:tc>
          <w:tcPr>
            <w:tcW w:w="482" w:type="pct"/>
            <w:noWrap w:val="0"/>
            <w:vAlign w:val="center"/>
          </w:tcPr>
          <w:p w14:paraId="23747351">
            <w:pPr>
              <w:pStyle w:val="16"/>
              <w:bidi w:val="0"/>
              <w:rPr>
                <w:rFonts w:hint="default"/>
                <w:color w:val="auto"/>
              </w:rPr>
            </w:pPr>
            <w:r>
              <w:rPr>
                <w:rFonts w:hint="default"/>
                <w:color w:val="auto"/>
              </w:rPr>
              <w:t>一级</w:t>
            </w:r>
          </w:p>
        </w:tc>
        <w:tc>
          <w:tcPr>
            <w:tcW w:w="455" w:type="pct"/>
            <w:noWrap w:val="0"/>
            <w:vAlign w:val="center"/>
          </w:tcPr>
          <w:p w14:paraId="58FA03FD">
            <w:pPr>
              <w:pStyle w:val="16"/>
              <w:bidi w:val="0"/>
              <w:rPr>
                <w:rFonts w:hint="default"/>
                <w:color w:val="auto"/>
              </w:rPr>
            </w:pPr>
            <w:r>
              <w:rPr>
                <w:rFonts w:hint="default"/>
                <w:color w:val="auto"/>
              </w:rPr>
              <w:t>二级</w:t>
            </w:r>
          </w:p>
        </w:tc>
        <w:tc>
          <w:tcPr>
            <w:tcW w:w="407" w:type="pct"/>
            <w:noWrap w:val="0"/>
            <w:vAlign w:val="center"/>
          </w:tcPr>
          <w:p w14:paraId="3B351E2C">
            <w:pPr>
              <w:pStyle w:val="16"/>
              <w:bidi w:val="0"/>
              <w:rPr>
                <w:rFonts w:hint="default"/>
                <w:color w:val="auto"/>
              </w:rPr>
            </w:pPr>
            <w:r>
              <w:rPr>
                <w:rFonts w:hint="default"/>
                <w:color w:val="auto"/>
              </w:rPr>
              <w:t>二级</w:t>
            </w:r>
          </w:p>
        </w:tc>
        <w:tc>
          <w:tcPr>
            <w:tcW w:w="451" w:type="pct"/>
            <w:noWrap w:val="0"/>
            <w:vAlign w:val="center"/>
          </w:tcPr>
          <w:p w14:paraId="4CE77299">
            <w:pPr>
              <w:pStyle w:val="16"/>
              <w:bidi w:val="0"/>
              <w:rPr>
                <w:rFonts w:hint="default"/>
                <w:color w:val="auto"/>
              </w:rPr>
            </w:pPr>
            <w:r>
              <w:rPr>
                <w:rFonts w:hint="default"/>
                <w:color w:val="auto"/>
              </w:rPr>
              <w:t>二级</w:t>
            </w:r>
          </w:p>
        </w:tc>
        <w:tc>
          <w:tcPr>
            <w:tcW w:w="444" w:type="pct"/>
            <w:noWrap w:val="0"/>
            <w:vAlign w:val="center"/>
          </w:tcPr>
          <w:p w14:paraId="1FC171B6">
            <w:pPr>
              <w:pStyle w:val="16"/>
              <w:bidi w:val="0"/>
              <w:rPr>
                <w:rFonts w:hint="default"/>
                <w:color w:val="auto"/>
              </w:rPr>
            </w:pPr>
            <w:r>
              <w:rPr>
                <w:rFonts w:hint="default"/>
                <w:color w:val="auto"/>
              </w:rPr>
              <w:t>三级</w:t>
            </w:r>
          </w:p>
        </w:tc>
        <w:tc>
          <w:tcPr>
            <w:tcW w:w="513" w:type="pct"/>
            <w:noWrap w:val="0"/>
            <w:vAlign w:val="center"/>
          </w:tcPr>
          <w:p w14:paraId="79C3D591">
            <w:pPr>
              <w:pStyle w:val="16"/>
              <w:bidi w:val="0"/>
              <w:rPr>
                <w:rFonts w:hint="default"/>
                <w:color w:val="auto"/>
              </w:rPr>
            </w:pPr>
            <w:r>
              <w:rPr>
                <w:rFonts w:hint="default"/>
                <w:color w:val="auto"/>
              </w:rPr>
              <w:t>三级</w:t>
            </w:r>
          </w:p>
        </w:tc>
        <w:tc>
          <w:tcPr>
            <w:tcW w:w="451" w:type="pct"/>
            <w:noWrap w:val="0"/>
            <w:vAlign w:val="center"/>
          </w:tcPr>
          <w:p w14:paraId="356B4D6D">
            <w:pPr>
              <w:pStyle w:val="16"/>
              <w:bidi w:val="0"/>
              <w:rPr>
                <w:rFonts w:hint="default"/>
                <w:color w:val="auto"/>
              </w:rPr>
            </w:pPr>
            <w:r>
              <w:rPr>
                <w:rFonts w:hint="default"/>
                <w:color w:val="auto"/>
              </w:rPr>
              <w:t>三级</w:t>
            </w:r>
          </w:p>
        </w:tc>
        <w:tc>
          <w:tcPr>
            <w:tcW w:w="400" w:type="pct"/>
            <w:noWrap w:val="0"/>
            <w:vAlign w:val="center"/>
          </w:tcPr>
          <w:p w14:paraId="565598EF">
            <w:pPr>
              <w:pStyle w:val="16"/>
              <w:bidi w:val="0"/>
              <w:rPr>
                <w:rFonts w:hint="default"/>
                <w:color w:val="auto"/>
              </w:rPr>
            </w:pPr>
            <w:r>
              <w:rPr>
                <w:rFonts w:hint="default"/>
                <w:color w:val="auto"/>
              </w:rPr>
              <w:t>/</w:t>
            </w:r>
          </w:p>
        </w:tc>
      </w:tr>
      <w:tr w14:paraId="758889C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909" w:type="pct"/>
            <w:noWrap w:val="0"/>
            <w:vAlign w:val="center"/>
          </w:tcPr>
          <w:p w14:paraId="6AAED598">
            <w:pPr>
              <w:pStyle w:val="16"/>
              <w:bidi w:val="0"/>
              <w:rPr>
                <w:rFonts w:hint="default"/>
                <w:color w:val="auto"/>
              </w:rPr>
            </w:pPr>
            <w:r>
              <w:rPr>
                <w:rFonts w:hint="default"/>
                <w:color w:val="auto"/>
              </w:rPr>
              <w:t>不敏感</w:t>
            </w:r>
          </w:p>
        </w:tc>
        <w:tc>
          <w:tcPr>
            <w:tcW w:w="482" w:type="pct"/>
            <w:noWrap w:val="0"/>
            <w:vAlign w:val="center"/>
          </w:tcPr>
          <w:p w14:paraId="3FE18ED7">
            <w:pPr>
              <w:pStyle w:val="16"/>
              <w:bidi w:val="0"/>
              <w:rPr>
                <w:rFonts w:hint="default"/>
                <w:color w:val="auto"/>
              </w:rPr>
            </w:pPr>
            <w:r>
              <w:rPr>
                <w:rFonts w:hint="default"/>
                <w:color w:val="auto"/>
              </w:rPr>
              <w:t>一级</w:t>
            </w:r>
          </w:p>
        </w:tc>
        <w:tc>
          <w:tcPr>
            <w:tcW w:w="482" w:type="pct"/>
            <w:noWrap w:val="0"/>
            <w:vAlign w:val="center"/>
          </w:tcPr>
          <w:p w14:paraId="7B28132D">
            <w:pPr>
              <w:pStyle w:val="16"/>
              <w:bidi w:val="0"/>
              <w:rPr>
                <w:rFonts w:hint="default"/>
                <w:color w:val="auto"/>
              </w:rPr>
            </w:pPr>
            <w:r>
              <w:rPr>
                <w:rFonts w:hint="default"/>
                <w:color w:val="auto"/>
              </w:rPr>
              <w:t>二级</w:t>
            </w:r>
          </w:p>
        </w:tc>
        <w:tc>
          <w:tcPr>
            <w:tcW w:w="455" w:type="pct"/>
            <w:noWrap w:val="0"/>
            <w:vAlign w:val="center"/>
          </w:tcPr>
          <w:p w14:paraId="02D1708B">
            <w:pPr>
              <w:pStyle w:val="16"/>
              <w:bidi w:val="0"/>
              <w:rPr>
                <w:rFonts w:hint="default"/>
                <w:color w:val="auto"/>
              </w:rPr>
            </w:pPr>
            <w:r>
              <w:rPr>
                <w:rFonts w:hint="default"/>
                <w:color w:val="auto"/>
              </w:rPr>
              <w:t>二级</w:t>
            </w:r>
          </w:p>
        </w:tc>
        <w:tc>
          <w:tcPr>
            <w:tcW w:w="407" w:type="pct"/>
            <w:noWrap w:val="0"/>
            <w:vAlign w:val="center"/>
          </w:tcPr>
          <w:p w14:paraId="3B5AA390">
            <w:pPr>
              <w:pStyle w:val="16"/>
              <w:bidi w:val="0"/>
              <w:rPr>
                <w:rFonts w:hint="default"/>
                <w:color w:val="auto"/>
              </w:rPr>
            </w:pPr>
            <w:r>
              <w:rPr>
                <w:rFonts w:hint="default"/>
                <w:color w:val="auto"/>
              </w:rPr>
              <w:t>二级</w:t>
            </w:r>
          </w:p>
        </w:tc>
        <w:tc>
          <w:tcPr>
            <w:tcW w:w="451" w:type="pct"/>
            <w:noWrap w:val="0"/>
            <w:vAlign w:val="center"/>
          </w:tcPr>
          <w:p w14:paraId="493FDA57">
            <w:pPr>
              <w:pStyle w:val="16"/>
              <w:bidi w:val="0"/>
              <w:rPr>
                <w:rFonts w:hint="default"/>
                <w:color w:val="auto"/>
              </w:rPr>
            </w:pPr>
            <w:r>
              <w:rPr>
                <w:rFonts w:hint="default"/>
                <w:color w:val="auto"/>
              </w:rPr>
              <w:t>三级</w:t>
            </w:r>
          </w:p>
        </w:tc>
        <w:tc>
          <w:tcPr>
            <w:tcW w:w="444" w:type="pct"/>
            <w:noWrap w:val="0"/>
            <w:vAlign w:val="center"/>
          </w:tcPr>
          <w:p w14:paraId="46F0D812">
            <w:pPr>
              <w:pStyle w:val="16"/>
              <w:bidi w:val="0"/>
              <w:rPr>
                <w:rFonts w:hint="default"/>
                <w:color w:val="auto"/>
              </w:rPr>
            </w:pPr>
            <w:r>
              <w:rPr>
                <w:rFonts w:hint="default"/>
                <w:color w:val="auto"/>
              </w:rPr>
              <w:t>三级</w:t>
            </w:r>
          </w:p>
        </w:tc>
        <w:tc>
          <w:tcPr>
            <w:tcW w:w="513" w:type="pct"/>
            <w:noWrap w:val="0"/>
            <w:vAlign w:val="center"/>
          </w:tcPr>
          <w:p w14:paraId="2422290B">
            <w:pPr>
              <w:pStyle w:val="16"/>
              <w:bidi w:val="0"/>
              <w:rPr>
                <w:rFonts w:hint="default"/>
                <w:color w:val="auto"/>
              </w:rPr>
            </w:pPr>
            <w:r>
              <w:rPr>
                <w:rFonts w:hint="default"/>
                <w:color w:val="auto"/>
              </w:rPr>
              <w:t>三级</w:t>
            </w:r>
          </w:p>
        </w:tc>
        <w:tc>
          <w:tcPr>
            <w:tcW w:w="451" w:type="pct"/>
            <w:noWrap w:val="0"/>
            <w:vAlign w:val="center"/>
          </w:tcPr>
          <w:p w14:paraId="7B2548AD">
            <w:pPr>
              <w:pStyle w:val="16"/>
              <w:bidi w:val="0"/>
              <w:rPr>
                <w:rFonts w:hint="default"/>
                <w:color w:val="auto"/>
              </w:rPr>
            </w:pPr>
            <w:r>
              <w:rPr>
                <w:rFonts w:hint="default"/>
                <w:color w:val="auto"/>
              </w:rPr>
              <w:t>/</w:t>
            </w:r>
          </w:p>
        </w:tc>
        <w:tc>
          <w:tcPr>
            <w:tcW w:w="400" w:type="pct"/>
            <w:noWrap w:val="0"/>
            <w:vAlign w:val="center"/>
          </w:tcPr>
          <w:p w14:paraId="04CEC111">
            <w:pPr>
              <w:pStyle w:val="16"/>
              <w:bidi w:val="0"/>
              <w:rPr>
                <w:rFonts w:hint="default"/>
                <w:color w:val="auto"/>
              </w:rPr>
            </w:pPr>
            <w:r>
              <w:rPr>
                <w:rFonts w:hint="default"/>
                <w:color w:val="auto"/>
              </w:rPr>
              <w:t>/</w:t>
            </w:r>
          </w:p>
        </w:tc>
      </w:tr>
    </w:tbl>
    <w:p w14:paraId="1830C7A3">
      <w:pPr>
        <w:pStyle w:val="10"/>
        <w:keepNext/>
        <w:keepLines/>
        <w:pageBreakBefore w:val="0"/>
        <w:widowControl w:val="0"/>
        <w:kinsoku/>
        <w:wordWrap/>
        <w:overflowPunct/>
        <w:topLinePunct w:val="0"/>
        <w:autoSpaceDE/>
        <w:autoSpaceDN/>
        <w:bidi w:val="0"/>
        <w:adjustRightInd/>
        <w:snapToGrid/>
        <w:spacing w:before="157" w:beforeLines="50"/>
        <w:textAlignment w:val="auto"/>
        <w:rPr>
          <w:color w:val="auto"/>
        </w:rPr>
      </w:pPr>
      <w:r>
        <w:rPr>
          <w:rFonts w:hint="eastAsia"/>
          <w:color w:val="auto"/>
          <w:lang w:val="en-US" w:eastAsia="zh-CN"/>
        </w:rPr>
        <w:t xml:space="preserve"> </w:t>
      </w:r>
      <w:r>
        <w:rPr>
          <w:rFonts w:hint="eastAsia"/>
          <w:color w:val="auto"/>
        </w:rPr>
        <w:t>土壤环境影响识别</w:t>
      </w:r>
    </w:p>
    <w:p w14:paraId="3F308455">
      <w:pPr>
        <w:pStyle w:val="6"/>
        <w:pageBreakBefore w:val="0"/>
        <w:wordWrap/>
        <w:bidi w:val="0"/>
        <w:adjustRightInd/>
        <w:snapToGrid/>
        <w:ind w:firstLine="480"/>
        <w:rPr>
          <w:color w:val="auto"/>
        </w:rPr>
      </w:pPr>
      <w:r>
        <w:rPr>
          <w:rFonts w:hint="eastAsia"/>
          <w:color w:val="auto"/>
        </w:rPr>
        <w:t>根据项目工程特点，本项目施工期、营运期环境识别主要针对排放的大气污染物、水污染物对土壤的产生的影响，根据本项目产物特点，本项目大气污染物主要包括氨、硫化氢，因此不考虑大气沉降，本项目污水处理厂没采用不同程度的硬化和防渗处理，可能造成土壤污染的主要环节为项目废水防渗措施破损</w:t>
      </w:r>
      <w:r>
        <w:rPr>
          <w:rFonts w:hint="eastAsia"/>
          <w:color w:val="auto"/>
          <w:lang w:eastAsia="zh-CN"/>
        </w:rPr>
        <w:t>造成</w:t>
      </w:r>
      <w:r>
        <w:rPr>
          <w:rFonts w:hint="eastAsia"/>
          <w:color w:val="auto"/>
        </w:rPr>
        <w:t>污水垂直入渗。</w:t>
      </w:r>
      <w:r>
        <w:rPr>
          <w:color w:val="auto"/>
        </w:rPr>
        <w:t>本项目对土壤的影响类型和途径见下表。</w:t>
      </w:r>
    </w:p>
    <w:p w14:paraId="6854D6EC">
      <w:pPr>
        <w:pStyle w:val="19"/>
        <w:keepNext w:val="0"/>
        <w:keepLines w:val="0"/>
        <w:pageBreakBefore w:val="0"/>
        <w:widowControl w:val="0"/>
        <w:numPr>
          <w:ilvl w:val="0"/>
          <w:numId w:val="31"/>
        </w:numPr>
        <w:kinsoku/>
        <w:wordWrap/>
        <w:overflowPunct/>
        <w:topLinePunct w:val="0"/>
        <w:autoSpaceDE/>
        <w:autoSpaceDN/>
        <w:bidi w:val="0"/>
        <w:adjustRightInd/>
        <w:snapToGrid/>
        <w:ind w:left="0" w:leftChars="0" w:firstLine="0" w:firstLineChars="0"/>
        <w:textAlignment w:val="auto"/>
        <w:rPr>
          <w:color w:val="auto"/>
        </w:rPr>
      </w:pPr>
      <w:r>
        <w:rPr>
          <w:color w:val="auto"/>
        </w:rPr>
        <w:t>本项目土壤影响类型与途径表</w:t>
      </w:r>
    </w:p>
    <w:tbl>
      <w:tblPr>
        <w:tblStyle w:val="52"/>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236"/>
        <w:gridCol w:w="2236"/>
        <w:gridCol w:w="2237"/>
        <w:gridCol w:w="2237"/>
      </w:tblGrid>
      <w:tr w14:paraId="4597ED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36" w:type="dxa"/>
            <w:vMerge w:val="restart"/>
            <w:tcBorders>
              <w:tl2br w:val="nil"/>
              <w:tr2bl w:val="nil"/>
            </w:tcBorders>
            <w:noWrap w:val="0"/>
            <w:vAlign w:val="center"/>
          </w:tcPr>
          <w:p w14:paraId="4B355778">
            <w:pPr>
              <w:pStyle w:val="16"/>
              <w:bidi w:val="0"/>
              <w:rPr>
                <w:b/>
                <w:bCs/>
                <w:color w:val="auto"/>
              </w:rPr>
            </w:pPr>
            <w:r>
              <w:rPr>
                <w:b/>
                <w:bCs/>
                <w:color w:val="auto"/>
              </w:rPr>
              <w:t>不同时期</w:t>
            </w:r>
          </w:p>
        </w:tc>
        <w:tc>
          <w:tcPr>
            <w:tcW w:w="6710" w:type="dxa"/>
            <w:gridSpan w:val="3"/>
            <w:tcBorders>
              <w:tl2br w:val="nil"/>
              <w:tr2bl w:val="nil"/>
            </w:tcBorders>
            <w:noWrap w:val="0"/>
            <w:vAlign w:val="center"/>
          </w:tcPr>
          <w:p w14:paraId="13A8BE84">
            <w:pPr>
              <w:pStyle w:val="16"/>
              <w:bidi w:val="0"/>
              <w:rPr>
                <w:b/>
                <w:bCs/>
                <w:color w:val="auto"/>
              </w:rPr>
            </w:pPr>
            <w:r>
              <w:rPr>
                <w:b/>
                <w:bCs/>
                <w:color w:val="auto"/>
              </w:rPr>
              <w:t>污染影响型</w:t>
            </w:r>
          </w:p>
        </w:tc>
      </w:tr>
      <w:tr w14:paraId="4D4BC8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36" w:type="dxa"/>
            <w:vMerge w:val="continue"/>
            <w:tcBorders>
              <w:tl2br w:val="nil"/>
              <w:tr2bl w:val="nil"/>
            </w:tcBorders>
            <w:noWrap w:val="0"/>
            <w:vAlign w:val="center"/>
          </w:tcPr>
          <w:p w14:paraId="3D9BB6F4">
            <w:pPr>
              <w:pStyle w:val="16"/>
              <w:bidi w:val="0"/>
              <w:rPr>
                <w:b/>
                <w:bCs/>
                <w:color w:val="auto"/>
              </w:rPr>
            </w:pPr>
          </w:p>
        </w:tc>
        <w:tc>
          <w:tcPr>
            <w:tcW w:w="2236" w:type="dxa"/>
            <w:tcBorders>
              <w:tl2br w:val="nil"/>
              <w:tr2bl w:val="nil"/>
            </w:tcBorders>
            <w:noWrap w:val="0"/>
            <w:vAlign w:val="center"/>
          </w:tcPr>
          <w:p w14:paraId="584DB9C3">
            <w:pPr>
              <w:pStyle w:val="16"/>
              <w:bidi w:val="0"/>
              <w:rPr>
                <w:b/>
                <w:bCs/>
                <w:color w:val="auto"/>
              </w:rPr>
            </w:pPr>
            <w:r>
              <w:rPr>
                <w:b/>
                <w:bCs/>
                <w:color w:val="auto"/>
              </w:rPr>
              <w:t>大气沉降</w:t>
            </w:r>
          </w:p>
        </w:tc>
        <w:tc>
          <w:tcPr>
            <w:tcW w:w="2237" w:type="dxa"/>
            <w:tcBorders>
              <w:tl2br w:val="nil"/>
              <w:tr2bl w:val="nil"/>
            </w:tcBorders>
            <w:noWrap w:val="0"/>
            <w:vAlign w:val="center"/>
          </w:tcPr>
          <w:p w14:paraId="2515DA23">
            <w:pPr>
              <w:pStyle w:val="16"/>
              <w:bidi w:val="0"/>
              <w:rPr>
                <w:b/>
                <w:bCs/>
                <w:color w:val="auto"/>
              </w:rPr>
            </w:pPr>
            <w:r>
              <w:rPr>
                <w:b/>
                <w:bCs/>
                <w:color w:val="auto"/>
              </w:rPr>
              <w:t>地面漫流</w:t>
            </w:r>
          </w:p>
        </w:tc>
        <w:tc>
          <w:tcPr>
            <w:tcW w:w="2237" w:type="dxa"/>
            <w:tcBorders>
              <w:tl2br w:val="nil"/>
              <w:tr2bl w:val="nil"/>
            </w:tcBorders>
            <w:noWrap w:val="0"/>
            <w:vAlign w:val="center"/>
          </w:tcPr>
          <w:p w14:paraId="20CF4828">
            <w:pPr>
              <w:pStyle w:val="16"/>
              <w:bidi w:val="0"/>
              <w:rPr>
                <w:b/>
                <w:bCs/>
                <w:color w:val="auto"/>
              </w:rPr>
            </w:pPr>
            <w:r>
              <w:rPr>
                <w:b/>
                <w:bCs/>
                <w:color w:val="auto"/>
              </w:rPr>
              <w:t>垂直渗入</w:t>
            </w:r>
          </w:p>
        </w:tc>
      </w:tr>
      <w:tr w14:paraId="158C98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36" w:type="dxa"/>
            <w:tcBorders>
              <w:tl2br w:val="nil"/>
              <w:tr2bl w:val="nil"/>
            </w:tcBorders>
            <w:noWrap w:val="0"/>
            <w:vAlign w:val="center"/>
          </w:tcPr>
          <w:p w14:paraId="466C91F9">
            <w:pPr>
              <w:pStyle w:val="16"/>
              <w:bidi w:val="0"/>
              <w:rPr>
                <w:color w:val="auto"/>
              </w:rPr>
            </w:pPr>
            <w:r>
              <w:rPr>
                <w:color w:val="auto"/>
              </w:rPr>
              <w:t>建设期</w:t>
            </w:r>
          </w:p>
        </w:tc>
        <w:tc>
          <w:tcPr>
            <w:tcW w:w="2236" w:type="dxa"/>
            <w:tcBorders>
              <w:tl2br w:val="nil"/>
              <w:tr2bl w:val="nil"/>
            </w:tcBorders>
            <w:noWrap w:val="0"/>
            <w:vAlign w:val="center"/>
          </w:tcPr>
          <w:p w14:paraId="545203BF">
            <w:pPr>
              <w:pStyle w:val="16"/>
              <w:bidi w:val="0"/>
              <w:rPr>
                <w:color w:val="auto"/>
              </w:rPr>
            </w:pPr>
            <w:r>
              <w:rPr>
                <w:color w:val="auto"/>
              </w:rPr>
              <w:t>/</w:t>
            </w:r>
          </w:p>
        </w:tc>
        <w:tc>
          <w:tcPr>
            <w:tcW w:w="2237" w:type="dxa"/>
            <w:tcBorders>
              <w:tl2br w:val="nil"/>
              <w:tr2bl w:val="nil"/>
            </w:tcBorders>
            <w:noWrap w:val="0"/>
            <w:vAlign w:val="center"/>
          </w:tcPr>
          <w:p w14:paraId="05191E8D">
            <w:pPr>
              <w:pStyle w:val="16"/>
              <w:bidi w:val="0"/>
              <w:rPr>
                <w:color w:val="auto"/>
              </w:rPr>
            </w:pPr>
            <w:r>
              <w:rPr>
                <w:color w:val="auto"/>
              </w:rPr>
              <w:t>√</w:t>
            </w:r>
          </w:p>
        </w:tc>
        <w:tc>
          <w:tcPr>
            <w:tcW w:w="2237" w:type="dxa"/>
            <w:tcBorders>
              <w:tl2br w:val="nil"/>
              <w:tr2bl w:val="nil"/>
            </w:tcBorders>
            <w:noWrap w:val="0"/>
            <w:vAlign w:val="center"/>
          </w:tcPr>
          <w:p w14:paraId="3C424A7E">
            <w:pPr>
              <w:pStyle w:val="16"/>
              <w:bidi w:val="0"/>
              <w:rPr>
                <w:color w:val="auto"/>
              </w:rPr>
            </w:pPr>
            <w:r>
              <w:rPr>
                <w:color w:val="auto"/>
              </w:rPr>
              <w:t>√</w:t>
            </w:r>
          </w:p>
        </w:tc>
      </w:tr>
      <w:tr w14:paraId="63FD0B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36" w:type="dxa"/>
            <w:tcBorders>
              <w:tl2br w:val="nil"/>
              <w:tr2bl w:val="nil"/>
            </w:tcBorders>
            <w:noWrap w:val="0"/>
            <w:vAlign w:val="center"/>
          </w:tcPr>
          <w:p w14:paraId="23AF0FDB">
            <w:pPr>
              <w:pStyle w:val="16"/>
              <w:bidi w:val="0"/>
              <w:rPr>
                <w:color w:val="auto"/>
              </w:rPr>
            </w:pPr>
            <w:r>
              <w:rPr>
                <w:color w:val="auto"/>
              </w:rPr>
              <w:t>营运期</w:t>
            </w:r>
          </w:p>
        </w:tc>
        <w:tc>
          <w:tcPr>
            <w:tcW w:w="2236" w:type="dxa"/>
            <w:tcBorders>
              <w:tl2br w:val="nil"/>
              <w:tr2bl w:val="nil"/>
            </w:tcBorders>
            <w:noWrap w:val="0"/>
            <w:vAlign w:val="center"/>
          </w:tcPr>
          <w:p w14:paraId="781D58B9">
            <w:pPr>
              <w:pStyle w:val="16"/>
              <w:bidi w:val="0"/>
              <w:rPr>
                <w:color w:val="auto"/>
              </w:rPr>
            </w:pPr>
            <w:r>
              <w:rPr>
                <w:color w:val="auto"/>
              </w:rPr>
              <w:t>√</w:t>
            </w:r>
          </w:p>
        </w:tc>
        <w:tc>
          <w:tcPr>
            <w:tcW w:w="2237" w:type="dxa"/>
            <w:tcBorders>
              <w:tl2br w:val="nil"/>
              <w:tr2bl w:val="nil"/>
            </w:tcBorders>
            <w:noWrap w:val="0"/>
            <w:vAlign w:val="center"/>
          </w:tcPr>
          <w:p w14:paraId="75176E2C">
            <w:pPr>
              <w:pStyle w:val="16"/>
              <w:bidi w:val="0"/>
              <w:rPr>
                <w:color w:val="auto"/>
              </w:rPr>
            </w:pPr>
            <w:r>
              <w:rPr>
                <w:color w:val="auto"/>
              </w:rPr>
              <w:t>√</w:t>
            </w:r>
          </w:p>
        </w:tc>
        <w:tc>
          <w:tcPr>
            <w:tcW w:w="2237" w:type="dxa"/>
            <w:tcBorders>
              <w:tl2br w:val="nil"/>
              <w:tr2bl w:val="nil"/>
            </w:tcBorders>
            <w:noWrap w:val="0"/>
            <w:vAlign w:val="center"/>
          </w:tcPr>
          <w:p w14:paraId="071B45A5">
            <w:pPr>
              <w:pStyle w:val="16"/>
              <w:bidi w:val="0"/>
              <w:rPr>
                <w:color w:val="auto"/>
              </w:rPr>
            </w:pPr>
            <w:r>
              <w:rPr>
                <w:color w:val="auto"/>
              </w:rPr>
              <w:t>√</w:t>
            </w:r>
          </w:p>
        </w:tc>
      </w:tr>
      <w:tr w14:paraId="0FF59F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236" w:type="dxa"/>
            <w:tcBorders>
              <w:tl2br w:val="nil"/>
              <w:tr2bl w:val="nil"/>
            </w:tcBorders>
            <w:noWrap w:val="0"/>
            <w:vAlign w:val="center"/>
          </w:tcPr>
          <w:p w14:paraId="735C6661">
            <w:pPr>
              <w:pStyle w:val="16"/>
              <w:bidi w:val="0"/>
              <w:rPr>
                <w:color w:val="auto"/>
              </w:rPr>
            </w:pPr>
            <w:r>
              <w:rPr>
                <w:color w:val="auto"/>
              </w:rPr>
              <w:t>服务期满后</w:t>
            </w:r>
          </w:p>
        </w:tc>
        <w:tc>
          <w:tcPr>
            <w:tcW w:w="2236" w:type="dxa"/>
            <w:tcBorders>
              <w:tl2br w:val="nil"/>
              <w:tr2bl w:val="nil"/>
            </w:tcBorders>
            <w:noWrap w:val="0"/>
            <w:vAlign w:val="center"/>
          </w:tcPr>
          <w:p w14:paraId="35763E35">
            <w:pPr>
              <w:pStyle w:val="16"/>
              <w:bidi w:val="0"/>
              <w:rPr>
                <w:color w:val="auto"/>
              </w:rPr>
            </w:pPr>
            <w:r>
              <w:rPr>
                <w:color w:val="auto"/>
              </w:rPr>
              <w:t>/</w:t>
            </w:r>
          </w:p>
        </w:tc>
        <w:tc>
          <w:tcPr>
            <w:tcW w:w="2237" w:type="dxa"/>
            <w:tcBorders>
              <w:tl2br w:val="nil"/>
              <w:tr2bl w:val="nil"/>
            </w:tcBorders>
            <w:noWrap w:val="0"/>
            <w:vAlign w:val="center"/>
          </w:tcPr>
          <w:p w14:paraId="36E79A2A">
            <w:pPr>
              <w:pStyle w:val="16"/>
              <w:bidi w:val="0"/>
              <w:rPr>
                <w:color w:val="auto"/>
              </w:rPr>
            </w:pPr>
            <w:r>
              <w:rPr>
                <w:color w:val="auto"/>
              </w:rPr>
              <w:t>/</w:t>
            </w:r>
          </w:p>
        </w:tc>
        <w:tc>
          <w:tcPr>
            <w:tcW w:w="2237" w:type="dxa"/>
            <w:tcBorders>
              <w:tl2br w:val="nil"/>
              <w:tr2bl w:val="nil"/>
            </w:tcBorders>
            <w:noWrap w:val="0"/>
            <w:vAlign w:val="center"/>
          </w:tcPr>
          <w:p w14:paraId="4D4F5B97">
            <w:pPr>
              <w:pStyle w:val="16"/>
              <w:bidi w:val="0"/>
              <w:rPr>
                <w:color w:val="auto"/>
              </w:rPr>
            </w:pPr>
            <w:r>
              <w:rPr>
                <w:color w:val="auto"/>
              </w:rPr>
              <w:t>/</w:t>
            </w:r>
          </w:p>
        </w:tc>
      </w:tr>
    </w:tbl>
    <w:p w14:paraId="291D355E">
      <w:pPr>
        <w:keepNext w:val="0"/>
        <w:keepLines w:val="0"/>
        <w:pageBreakBefore w:val="0"/>
        <w:widowControl w:val="0"/>
        <w:kinsoku/>
        <w:wordWrap/>
        <w:overflowPunct/>
        <w:topLinePunct w:val="0"/>
        <w:autoSpaceDE/>
        <w:autoSpaceDN/>
        <w:bidi w:val="0"/>
        <w:adjustRightInd/>
        <w:snapToGrid/>
        <w:spacing w:before="157" w:beforeLines="50"/>
        <w:textAlignment w:val="auto"/>
        <w:rPr>
          <w:color w:val="auto"/>
        </w:rPr>
      </w:pPr>
      <w:r>
        <w:rPr>
          <w:color w:val="auto"/>
        </w:rPr>
        <w:t>项目土壤环境影响源及影响因子识别见下表。</w:t>
      </w:r>
    </w:p>
    <w:p w14:paraId="3431AEC4">
      <w:pPr>
        <w:pStyle w:val="19"/>
        <w:numPr>
          <w:ilvl w:val="0"/>
          <w:numId w:val="31"/>
        </w:numPr>
        <w:bidi w:val="0"/>
        <w:ind w:left="1440" w:leftChars="0" w:firstLine="0" w:firstLineChars="0"/>
        <w:rPr>
          <w:color w:val="auto"/>
        </w:rPr>
      </w:pPr>
      <w:r>
        <w:rPr>
          <w:color w:val="auto"/>
        </w:rPr>
        <w:t>本项目土壤环境影响源及影响因子识别表</w:t>
      </w:r>
    </w:p>
    <w:tbl>
      <w:tblPr>
        <w:tblStyle w:val="52"/>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526"/>
        <w:gridCol w:w="1811"/>
        <w:gridCol w:w="1093"/>
        <w:gridCol w:w="1639"/>
        <w:gridCol w:w="1093"/>
        <w:gridCol w:w="784"/>
      </w:tblGrid>
      <w:tr w14:paraId="71DE250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526" w:type="dxa"/>
            <w:tcBorders>
              <w:tl2br w:val="nil"/>
              <w:tr2bl w:val="nil"/>
            </w:tcBorders>
            <w:noWrap w:val="0"/>
            <w:vAlign w:val="center"/>
          </w:tcPr>
          <w:p w14:paraId="3ABBA590">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污染源</w:t>
            </w:r>
          </w:p>
        </w:tc>
        <w:tc>
          <w:tcPr>
            <w:tcW w:w="1811" w:type="dxa"/>
            <w:tcBorders>
              <w:tl2br w:val="nil"/>
              <w:tr2bl w:val="nil"/>
            </w:tcBorders>
            <w:noWrap w:val="0"/>
            <w:vAlign w:val="center"/>
          </w:tcPr>
          <w:p w14:paraId="55B43399">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工艺流程/节点</w:t>
            </w:r>
          </w:p>
        </w:tc>
        <w:tc>
          <w:tcPr>
            <w:tcW w:w="1093" w:type="dxa"/>
            <w:tcBorders>
              <w:tl2br w:val="nil"/>
              <w:tr2bl w:val="nil"/>
            </w:tcBorders>
            <w:noWrap w:val="0"/>
            <w:vAlign w:val="center"/>
          </w:tcPr>
          <w:p w14:paraId="55261B96">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污染途径</w:t>
            </w:r>
          </w:p>
        </w:tc>
        <w:tc>
          <w:tcPr>
            <w:tcW w:w="1639" w:type="dxa"/>
            <w:tcBorders>
              <w:tl2br w:val="nil"/>
              <w:tr2bl w:val="nil"/>
            </w:tcBorders>
            <w:noWrap w:val="0"/>
            <w:vAlign w:val="center"/>
          </w:tcPr>
          <w:p w14:paraId="213F404A">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全部污染指标</w:t>
            </w:r>
            <w:r>
              <w:rPr>
                <w:b/>
                <w:bCs w:val="0"/>
                <w:color w:val="auto"/>
                <w:sz w:val="21"/>
                <w:szCs w:val="21"/>
                <w:vertAlign w:val="superscript"/>
              </w:rPr>
              <w:t>a</w:t>
            </w:r>
          </w:p>
        </w:tc>
        <w:tc>
          <w:tcPr>
            <w:tcW w:w="1093" w:type="dxa"/>
            <w:tcBorders>
              <w:tl2br w:val="nil"/>
              <w:tr2bl w:val="nil"/>
            </w:tcBorders>
            <w:noWrap w:val="0"/>
            <w:vAlign w:val="center"/>
          </w:tcPr>
          <w:p w14:paraId="6AFA56D6">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特征因子</w:t>
            </w:r>
          </w:p>
        </w:tc>
        <w:tc>
          <w:tcPr>
            <w:tcW w:w="784" w:type="dxa"/>
            <w:tcBorders>
              <w:tl2br w:val="nil"/>
              <w:tr2bl w:val="nil"/>
            </w:tcBorders>
            <w:noWrap w:val="0"/>
            <w:vAlign w:val="center"/>
          </w:tcPr>
          <w:p w14:paraId="3F01D65C">
            <w:pPr>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备注</w:t>
            </w:r>
            <w:r>
              <w:rPr>
                <w:b/>
                <w:bCs w:val="0"/>
                <w:color w:val="auto"/>
                <w:sz w:val="21"/>
                <w:szCs w:val="21"/>
                <w:vertAlign w:val="superscript"/>
              </w:rPr>
              <w:t>b</w:t>
            </w:r>
          </w:p>
        </w:tc>
      </w:tr>
      <w:tr w14:paraId="6D58FA4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526" w:type="dxa"/>
            <w:tcBorders>
              <w:tl2br w:val="nil"/>
              <w:tr2bl w:val="nil"/>
            </w:tcBorders>
            <w:noWrap w:val="0"/>
            <w:vAlign w:val="center"/>
          </w:tcPr>
          <w:p w14:paraId="2C7CC6BD">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lang w:val="en-US" w:eastAsia="zh-CN"/>
              </w:rPr>
              <w:t>污水处理单元</w:t>
            </w:r>
            <w:r>
              <w:rPr>
                <w:color w:val="auto"/>
                <w:sz w:val="21"/>
                <w:szCs w:val="21"/>
              </w:rPr>
              <w:t>、生物除臭</w:t>
            </w:r>
          </w:p>
        </w:tc>
        <w:tc>
          <w:tcPr>
            <w:tcW w:w="1811" w:type="dxa"/>
            <w:tcBorders>
              <w:tl2br w:val="nil"/>
              <w:tr2bl w:val="nil"/>
            </w:tcBorders>
            <w:noWrap w:val="0"/>
            <w:vAlign w:val="center"/>
          </w:tcPr>
          <w:p w14:paraId="05541BCE">
            <w:pPr>
              <w:pageBreakBefore w:val="0"/>
              <w:wordWrap/>
              <w:bidi w:val="0"/>
              <w:adjustRightInd/>
              <w:snapToGrid/>
              <w:spacing w:line="240" w:lineRule="auto"/>
              <w:ind w:firstLine="0" w:firstLineChars="0"/>
              <w:jc w:val="center"/>
              <w:rPr>
                <w:color w:val="auto"/>
                <w:sz w:val="21"/>
                <w:szCs w:val="21"/>
              </w:rPr>
            </w:pPr>
            <w:r>
              <w:rPr>
                <w:color w:val="auto"/>
                <w:sz w:val="21"/>
                <w:szCs w:val="21"/>
              </w:rPr>
              <w:t>污水前处理、生化处理、污泥部分以及恶臭处理</w:t>
            </w:r>
          </w:p>
        </w:tc>
        <w:tc>
          <w:tcPr>
            <w:tcW w:w="1093" w:type="dxa"/>
            <w:tcBorders>
              <w:tl2br w:val="nil"/>
              <w:tr2bl w:val="nil"/>
            </w:tcBorders>
            <w:noWrap w:val="0"/>
            <w:vAlign w:val="center"/>
          </w:tcPr>
          <w:p w14:paraId="1F5BB7D8">
            <w:pPr>
              <w:pageBreakBefore w:val="0"/>
              <w:wordWrap/>
              <w:bidi w:val="0"/>
              <w:adjustRightInd/>
              <w:snapToGrid/>
              <w:spacing w:line="240" w:lineRule="auto"/>
              <w:ind w:firstLine="0" w:firstLineChars="0"/>
              <w:jc w:val="center"/>
              <w:rPr>
                <w:color w:val="auto"/>
                <w:sz w:val="21"/>
                <w:szCs w:val="21"/>
              </w:rPr>
            </w:pPr>
            <w:r>
              <w:rPr>
                <w:color w:val="auto"/>
                <w:sz w:val="21"/>
                <w:szCs w:val="21"/>
              </w:rPr>
              <w:t>大气沉降</w:t>
            </w:r>
          </w:p>
        </w:tc>
        <w:tc>
          <w:tcPr>
            <w:tcW w:w="1639" w:type="dxa"/>
            <w:tcBorders>
              <w:tl2br w:val="nil"/>
              <w:tr2bl w:val="nil"/>
            </w:tcBorders>
            <w:noWrap w:val="0"/>
            <w:vAlign w:val="center"/>
          </w:tcPr>
          <w:p w14:paraId="3A03CC15">
            <w:pPr>
              <w:pageBreakBefore w:val="0"/>
              <w:wordWrap/>
              <w:bidi w:val="0"/>
              <w:adjustRightInd/>
              <w:snapToGrid/>
              <w:spacing w:line="240" w:lineRule="auto"/>
              <w:ind w:firstLine="0" w:firstLineChars="0"/>
              <w:jc w:val="center"/>
              <w:rPr>
                <w:color w:val="auto"/>
                <w:sz w:val="21"/>
                <w:szCs w:val="21"/>
              </w:rPr>
            </w:pPr>
            <w:r>
              <w:rPr>
                <w:color w:val="auto"/>
                <w:sz w:val="21"/>
                <w:szCs w:val="21"/>
              </w:rPr>
              <w:t>NH</w:t>
            </w:r>
            <w:r>
              <w:rPr>
                <w:color w:val="auto"/>
                <w:sz w:val="21"/>
                <w:szCs w:val="21"/>
                <w:vertAlign w:val="subscript"/>
              </w:rPr>
              <w:t>3</w:t>
            </w:r>
            <w:r>
              <w:rPr>
                <w:color w:val="auto"/>
                <w:sz w:val="21"/>
                <w:szCs w:val="21"/>
              </w:rPr>
              <w:t>、H</w:t>
            </w:r>
            <w:r>
              <w:rPr>
                <w:color w:val="auto"/>
                <w:sz w:val="21"/>
                <w:szCs w:val="21"/>
                <w:vertAlign w:val="subscript"/>
              </w:rPr>
              <w:t>2</w:t>
            </w:r>
            <w:r>
              <w:rPr>
                <w:color w:val="auto"/>
                <w:sz w:val="21"/>
                <w:szCs w:val="21"/>
              </w:rPr>
              <w:t>S</w:t>
            </w:r>
          </w:p>
        </w:tc>
        <w:tc>
          <w:tcPr>
            <w:tcW w:w="1093" w:type="dxa"/>
            <w:tcBorders>
              <w:tl2br w:val="nil"/>
              <w:tr2bl w:val="nil"/>
            </w:tcBorders>
            <w:noWrap w:val="0"/>
            <w:vAlign w:val="center"/>
          </w:tcPr>
          <w:p w14:paraId="57C752E6">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784" w:type="dxa"/>
            <w:tcBorders>
              <w:tl2br w:val="nil"/>
              <w:tr2bl w:val="nil"/>
            </w:tcBorders>
            <w:noWrap w:val="0"/>
            <w:vAlign w:val="center"/>
          </w:tcPr>
          <w:p w14:paraId="3BB61D09">
            <w:pPr>
              <w:pageBreakBefore w:val="0"/>
              <w:wordWrap/>
              <w:bidi w:val="0"/>
              <w:adjustRightInd/>
              <w:snapToGrid/>
              <w:spacing w:line="240" w:lineRule="auto"/>
              <w:ind w:firstLine="0" w:firstLineChars="0"/>
              <w:jc w:val="center"/>
              <w:rPr>
                <w:color w:val="auto"/>
                <w:sz w:val="21"/>
                <w:szCs w:val="21"/>
              </w:rPr>
            </w:pPr>
            <w:r>
              <w:rPr>
                <w:color w:val="auto"/>
                <w:sz w:val="21"/>
                <w:szCs w:val="21"/>
              </w:rPr>
              <w:t>连续</w:t>
            </w:r>
          </w:p>
        </w:tc>
      </w:tr>
      <w:tr w14:paraId="087C8D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526" w:type="dxa"/>
            <w:tcBorders>
              <w:tl2br w:val="nil"/>
              <w:tr2bl w:val="nil"/>
            </w:tcBorders>
            <w:noWrap w:val="0"/>
            <w:vAlign w:val="center"/>
          </w:tcPr>
          <w:p w14:paraId="20129D92">
            <w:pPr>
              <w:pageBreakBefore w:val="0"/>
              <w:wordWrap/>
              <w:bidi w:val="0"/>
              <w:adjustRightInd/>
              <w:snapToGrid/>
              <w:spacing w:line="240" w:lineRule="auto"/>
              <w:ind w:firstLine="0" w:firstLineChars="0"/>
              <w:jc w:val="center"/>
              <w:rPr>
                <w:rFonts w:hint="eastAsia" w:eastAsia="宋体"/>
                <w:color w:val="auto"/>
                <w:sz w:val="21"/>
                <w:szCs w:val="21"/>
                <w:lang w:val="en-US" w:eastAsia="zh-CN"/>
              </w:rPr>
            </w:pPr>
            <w:r>
              <w:rPr>
                <w:rFonts w:hint="eastAsia"/>
                <w:color w:val="auto"/>
                <w:sz w:val="21"/>
                <w:szCs w:val="21"/>
                <w:lang w:val="en-US" w:eastAsia="zh-CN"/>
              </w:rPr>
              <w:t>污水处理单元</w:t>
            </w:r>
            <w:r>
              <w:rPr>
                <w:color w:val="auto"/>
                <w:sz w:val="21"/>
                <w:szCs w:val="21"/>
              </w:rPr>
              <w:t>、脱水间、生物除臭、加药间、危废暂存间、污水输送管道</w:t>
            </w:r>
            <w:r>
              <w:rPr>
                <w:rFonts w:hint="eastAsia"/>
                <w:color w:val="auto"/>
                <w:sz w:val="21"/>
                <w:szCs w:val="21"/>
                <w:lang w:val="en-US" w:eastAsia="zh-CN"/>
              </w:rPr>
              <w:t>等</w:t>
            </w:r>
          </w:p>
        </w:tc>
        <w:tc>
          <w:tcPr>
            <w:tcW w:w="1811" w:type="dxa"/>
            <w:tcBorders>
              <w:tl2br w:val="nil"/>
              <w:tr2bl w:val="nil"/>
            </w:tcBorders>
            <w:noWrap w:val="0"/>
            <w:vAlign w:val="center"/>
          </w:tcPr>
          <w:p w14:paraId="37BBC149">
            <w:pPr>
              <w:pageBreakBefore w:val="0"/>
              <w:wordWrap/>
              <w:bidi w:val="0"/>
              <w:adjustRightInd/>
              <w:snapToGrid/>
              <w:spacing w:line="240" w:lineRule="auto"/>
              <w:ind w:firstLine="0" w:firstLineChars="0"/>
              <w:jc w:val="center"/>
              <w:rPr>
                <w:color w:val="auto"/>
                <w:sz w:val="21"/>
                <w:szCs w:val="21"/>
              </w:rPr>
            </w:pPr>
            <w:r>
              <w:rPr>
                <w:color w:val="auto"/>
                <w:sz w:val="21"/>
                <w:szCs w:val="21"/>
              </w:rPr>
              <w:t>污水处理全过程</w:t>
            </w:r>
          </w:p>
        </w:tc>
        <w:tc>
          <w:tcPr>
            <w:tcW w:w="1093" w:type="dxa"/>
            <w:tcBorders>
              <w:tl2br w:val="nil"/>
              <w:tr2bl w:val="nil"/>
            </w:tcBorders>
            <w:noWrap w:val="0"/>
            <w:vAlign w:val="center"/>
          </w:tcPr>
          <w:p w14:paraId="6934E876">
            <w:pPr>
              <w:pageBreakBefore w:val="0"/>
              <w:wordWrap/>
              <w:bidi w:val="0"/>
              <w:adjustRightInd/>
              <w:snapToGrid/>
              <w:spacing w:line="240" w:lineRule="auto"/>
              <w:ind w:firstLine="0" w:firstLineChars="0"/>
              <w:jc w:val="center"/>
              <w:rPr>
                <w:color w:val="auto"/>
                <w:sz w:val="21"/>
                <w:szCs w:val="21"/>
              </w:rPr>
            </w:pPr>
            <w:r>
              <w:rPr>
                <w:color w:val="auto"/>
                <w:sz w:val="21"/>
                <w:szCs w:val="21"/>
              </w:rPr>
              <w:t>垂直渗入</w:t>
            </w:r>
          </w:p>
        </w:tc>
        <w:tc>
          <w:tcPr>
            <w:tcW w:w="1639" w:type="dxa"/>
            <w:tcBorders>
              <w:tl2br w:val="nil"/>
              <w:tr2bl w:val="nil"/>
            </w:tcBorders>
            <w:noWrap w:val="0"/>
            <w:vAlign w:val="center"/>
          </w:tcPr>
          <w:p w14:paraId="41B7B816">
            <w:pPr>
              <w:pageBreakBefore w:val="0"/>
              <w:pBdr>
                <w:top w:val="none" w:color="auto" w:sz="0" w:space="1"/>
                <w:left w:val="none" w:color="auto" w:sz="0" w:space="4"/>
                <w:bottom w:val="none" w:color="auto" w:sz="0" w:space="1"/>
                <w:right w:val="none" w:color="auto" w:sz="0" w:space="4"/>
              </w:pBdr>
              <w:wordWrap/>
              <w:bidi w:val="0"/>
              <w:adjustRightInd/>
              <w:snapToGrid/>
              <w:spacing w:line="240" w:lineRule="auto"/>
              <w:ind w:firstLine="0" w:firstLineChars="0"/>
              <w:jc w:val="center"/>
              <w:rPr>
                <w:color w:val="auto"/>
                <w:sz w:val="21"/>
                <w:szCs w:val="21"/>
              </w:rPr>
            </w:pPr>
            <w:r>
              <w:rPr>
                <w:color w:val="auto"/>
                <w:sz w:val="21"/>
                <w:szCs w:val="21"/>
              </w:rPr>
              <w:t>COD、BOD、氨氮、总氮、总磷、SS</w:t>
            </w:r>
          </w:p>
        </w:tc>
        <w:tc>
          <w:tcPr>
            <w:tcW w:w="1093" w:type="dxa"/>
            <w:tcBorders>
              <w:tl2br w:val="nil"/>
              <w:tr2bl w:val="nil"/>
            </w:tcBorders>
            <w:noWrap w:val="0"/>
            <w:vAlign w:val="center"/>
          </w:tcPr>
          <w:p w14:paraId="2E1BAFFC">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石油类、甲醛</w:t>
            </w:r>
          </w:p>
        </w:tc>
        <w:tc>
          <w:tcPr>
            <w:tcW w:w="784" w:type="dxa"/>
            <w:tcBorders>
              <w:tl2br w:val="nil"/>
              <w:tr2bl w:val="nil"/>
            </w:tcBorders>
            <w:noWrap w:val="0"/>
            <w:vAlign w:val="center"/>
          </w:tcPr>
          <w:p w14:paraId="25191562">
            <w:pPr>
              <w:pageBreakBefore w:val="0"/>
              <w:wordWrap/>
              <w:bidi w:val="0"/>
              <w:adjustRightInd/>
              <w:snapToGrid/>
              <w:spacing w:line="240" w:lineRule="auto"/>
              <w:ind w:firstLine="0" w:firstLineChars="0"/>
              <w:jc w:val="center"/>
              <w:rPr>
                <w:color w:val="auto"/>
                <w:sz w:val="21"/>
                <w:szCs w:val="21"/>
              </w:rPr>
            </w:pPr>
            <w:r>
              <w:rPr>
                <w:color w:val="auto"/>
                <w:sz w:val="21"/>
                <w:szCs w:val="21"/>
              </w:rPr>
              <w:t>事故</w:t>
            </w:r>
          </w:p>
        </w:tc>
      </w:tr>
      <w:tr w14:paraId="3C88D7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946" w:type="dxa"/>
            <w:gridSpan w:val="6"/>
            <w:tcBorders>
              <w:tl2br w:val="nil"/>
              <w:tr2bl w:val="nil"/>
            </w:tcBorders>
            <w:noWrap w:val="0"/>
            <w:vAlign w:val="center"/>
          </w:tcPr>
          <w:p w14:paraId="4F6E51F8">
            <w:pPr>
              <w:pageBreakBefore w:val="0"/>
              <w:wordWrap/>
              <w:bidi w:val="0"/>
              <w:adjustRightInd/>
              <w:snapToGrid/>
              <w:spacing w:line="240" w:lineRule="auto"/>
              <w:ind w:firstLine="0" w:firstLineChars="0"/>
              <w:rPr>
                <w:color w:val="auto"/>
                <w:sz w:val="21"/>
                <w:szCs w:val="21"/>
              </w:rPr>
            </w:pPr>
            <w:r>
              <w:rPr>
                <w:color w:val="auto"/>
                <w:sz w:val="21"/>
                <w:szCs w:val="21"/>
              </w:rPr>
              <w:t>注：a根据工程分析结果填写</w:t>
            </w:r>
          </w:p>
          <w:p w14:paraId="3B6F5302">
            <w:pPr>
              <w:pageBreakBefore w:val="0"/>
              <w:wordWrap/>
              <w:bidi w:val="0"/>
              <w:adjustRightInd/>
              <w:snapToGrid/>
              <w:spacing w:line="240" w:lineRule="auto"/>
              <w:ind w:firstLine="0" w:firstLineChars="0"/>
              <w:rPr>
                <w:color w:val="auto"/>
                <w:sz w:val="21"/>
                <w:szCs w:val="21"/>
              </w:rPr>
            </w:pPr>
            <w:r>
              <w:rPr>
                <w:color w:val="auto"/>
                <w:sz w:val="21"/>
                <w:szCs w:val="21"/>
              </w:rPr>
              <w:t>b应描述污染源特征，如连续、间断、正常、事故等；设计大气沉降途径的，应识别建设项目周边的土壤环境敏感目标。</w:t>
            </w:r>
          </w:p>
        </w:tc>
      </w:tr>
    </w:tbl>
    <w:p w14:paraId="27D6DB3B">
      <w:pPr>
        <w:pStyle w:val="10"/>
        <w:keepNext/>
        <w:keepLines/>
        <w:pageBreakBefore w:val="0"/>
        <w:widowControl w:val="0"/>
        <w:kinsoku/>
        <w:wordWrap/>
        <w:overflowPunct/>
        <w:topLinePunct w:val="0"/>
        <w:autoSpaceDE/>
        <w:autoSpaceDN/>
        <w:bidi w:val="0"/>
        <w:adjustRightInd/>
        <w:snapToGrid/>
        <w:spacing w:before="157" w:beforeLines="50"/>
        <w:textAlignment w:val="auto"/>
        <w:rPr>
          <w:color w:val="auto"/>
        </w:rPr>
      </w:pPr>
      <w:r>
        <w:rPr>
          <w:rFonts w:hint="eastAsia"/>
          <w:color w:val="auto"/>
          <w:lang w:val="en-US" w:eastAsia="zh-CN"/>
        </w:rPr>
        <w:t xml:space="preserve"> </w:t>
      </w:r>
      <w:r>
        <w:rPr>
          <w:color w:val="auto"/>
        </w:rPr>
        <w:t>评价范围</w:t>
      </w:r>
    </w:p>
    <w:p w14:paraId="3F9FC27D">
      <w:pPr>
        <w:pStyle w:val="6"/>
        <w:pageBreakBefore w:val="0"/>
        <w:wordWrap/>
        <w:bidi w:val="0"/>
        <w:adjustRightInd/>
        <w:snapToGrid/>
        <w:ind w:firstLine="480"/>
        <w:rPr>
          <w:color w:val="auto"/>
        </w:rPr>
      </w:pPr>
      <w:r>
        <w:rPr>
          <w:color w:val="auto"/>
        </w:rPr>
        <w:t>本项目为工业污水处理工程，</w:t>
      </w:r>
      <w:r>
        <w:rPr>
          <w:rFonts w:hint="eastAsia"/>
          <w:color w:val="auto"/>
          <w:lang w:val="en-US" w:eastAsia="zh-CN"/>
        </w:rPr>
        <w:t>根据</w:t>
      </w:r>
      <w:r>
        <w:rPr>
          <w:color w:val="auto"/>
        </w:rPr>
        <w:t>《环境影响评价技术导则 土壤环境（试行）》（HJ964-2018）</w:t>
      </w:r>
      <w:r>
        <w:rPr>
          <w:rFonts w:hint="eastAsia"/>
          <w:color w:val="auto"/>
          <w:lang w:eastAsia="zh-CN"/>
        </w:rPr>
        <w:t>，</w:t>
      </w:r>
      <w:r>
        <w:rPr>
          <w:color w:val="auto"/>
        </w:rPr>
        <w:t>本项目土壤环境评价等级为</w:t>
      </w:r>
      <w:r>
        <w:rPr>
          <w:rFonts w:hint="eastAsia"/>
          <w:color w:val="auto"/>
          <w:lang w:val="en-US" w:eastAsia="zh-CN"/>
        </w:rPr>
        <w:t>二</w:t>
      </w:r>
      <w:r>
        <w:rPr>
          <w:color w:val="auto"/>
        </w:rPr>
        <w:t>级。项目属污染影响型，土壤评价范围为项目所在地及周边</w:t>
      </w:r>
      <w:r>
        <w:rPr>
          <w:rFonts w:hint="eastAsia"/>
          <w:color w:val="auto"/>
          <w:lang w:val="en-US" w:eastAsia="zh-CN"/>
        </w:rPr>
        <w:t>20</w:t>
      </w:r>
      <w:r>
        <w:rPr>
          <w:color w:val="auto"/>
        </w:rPr>
        <w:t>0m范围。</w:t>
      </w:r>
    </w:p>
    <w:p w14:paraId="0BA7D2EC">
      <w:pPr>
        <w:pStyle w:val="10"/>
        <w:bidi w:val="0"/>
        <w:rPr>
          <w:rFonts w:hint="default"/>
          <w:color w:val="auto"/>
        </w:rPr>
      </w:pPr>
      <w:r>
        <w:rPr>
          <w:rFonts w:hint="eastAsia"/>
          <w:color w:val="auto"/>
          <w:lang w:val="en-US" w:eastAsia="zh-CN"/>
        </w:rPr>
        <w:t xml:space="preserve"> </w:t>
      </w:r>
      <w:r>
        <w:rPr>
          <w:rFonts w:hint="default"/>
          <w:color w:val="auto"/>
          <w:lang w:val="en-US" w:eastAsia="zh-CN"/>
        </w:rPr>
        <w:t>区域</w:t>
      </w:r>
      <w:r>
        <w:rPr>
          <w:rFonts w:hint="default"/>
          <w:color w:val="auto"/>
        </w:rPr>
        <w:t>土壤</w:t>
      </w:r>
      <w:r>
        <w:rPr>
          <w:rFonts w:hint="default"/>
          <w:color w:val="auto"/>
          <w:lang w:val="en-US" w:eastAsia="zh-CN"/>
        </w:rPr>
        <w:t>环境</w:t>
      </w:r>
      <w:r>
        <w:rPr>
          <w:rFonts w:hint="default"/>
          <w:color w:val="auto"/>
        </w:rPr>
        <w:t>现状调查</w:t>
      </w:r>
    </w:p>
    <w:p w14:paraId="5175D259">
      <w:pPr>
        <w:bidi w:val="0"/>
        <w:rPr>
          <w:rFonts w:hint="default" w:eastAsia="宋体"/>
          <w:b/>
          <w:bCs/>
          <w:color w:val="auto"/>
          <w:lang w:val="en-US" w:eastAsia="zh-CN"/>
        </w:rPr>
      </w:pPr>
      <w:r>
        <w:rPr>
          <w:rFonts w:hint="eastAsia"/>
          <w:b/>
          <w:bCs/>
          <w:color w:val="auto"/>
          <w:lang w:val="en-US" w:eastAsia="zh-CN"/>
        </w:rPr>
        <w:t>1、地形地貌</w:t>
      </w:r>
    </w:p>
    <w:p w14:paraId="6039E51B">
      <w:pPr>
        <w:pageBreakBefore w:val="0"/>
        <w:wordWrap/>
        <w:bidi w:val="0"/>
        <w:adjustRightInd/>
        <w:snapToGrid/>
        <w:ind w:firstLine="480"/>
        <w:jc w:val="left"/>
        <w:rPr>
          <w:rFonts w:hint="eastAsia"/>
          <w:color w:val="auto"/>
          <w:lang w:eastAsia="zh-CN"/>
        </w:rPr>
      </w:pPr>
      <w:r>
        <w:rPr>
          <w:rFonts w:hint="eastAsia"/>
          <w:color w:val="auto"/>
          <w:lang w:eastAsia="zh-CN"/>
        </w:rPr>
        <w:t>巴中境属盆地低山区，地势北高南低。除溪河地势较低、山峰地势较高处，大部分海拔在400米～800米之间。主要地貌类型有平坝、台地、低丘、高丘、低山、低中山、山原等。平坝主要分布在巴河、恩阳河、双桥河沿岸。台地除北部低中山区少见外，其余地区均有出现，较多的是东部的水宁寺镇等；低丘主要分布在巴河、恩阳河一带；高丘主要分布在区境的西南部，巴河、恩阳河两岸与平坝和低丘相邻地段；低山全区各地均有分布；低中山分布在区境北部与通江、南江交界的白庙、梓橦、寺岭、枣林等乡镇的全部或部分区域，海拔在1000米～1400米之间，相对高差650米～1090米；山原分布于区境低山、低中山的山顶、山脊及山坡上。</w:t>
      </w:r>
    </w:p>
    <w:p w14:paraId="399D628D">
      <w:pPr>
        <w:pageBreakBefore w:val="0"/>
        <w:wordWrap/>
        <w:bidi w:val="0"/>
        <w:adjustRightInd/>
        <w:snapToGrid/>
        <w:ind w:firstLine="480"/>
        <w:rPr>
          <w:color w:val="auto"/>
        </w:rPr>
      </w:pPr>
      <w:r>
        <w:rPr>
          <w:color w:val="auto"/>
        </w:rPr>
        <w:t>本项目</w:t>
      </w:r>
      <w:r>
        <w:rPr>
          <w:rFonts w:hint="eastAsia"/>
          <w:color w:val="auto"/>
        </w:rPr>
        <w:t>拟建污水处理厂场地地势北侧、西侧高，东侧、南侧较低，呈阶状分布，阶坎约1-3m。现状条件下</w:t>
      </w:r>
      <w:r>
        <w:rPr>
          <w:rFonts w:hint="eastAsia"/>
          <w:color w:val="auto"/>
          <w:lang w:eastAsia="zh-CN"/>
        </w:rPr>
        <w:t>主要作为</w:t>
      </w:r>
      <w:r>
        <w:rPr>
          <w:rFonts w:hint="eastAsia"/>
          <w:color w:val="auto"/>
        </w:rPr>
        <w:t>耕植地，分布有居民房屋，地表的植物未清理，场地未开挖平整</w:t>
      </w:r>
      <w:r>
        <w:rPr>
          <w:color w:val="auto"/>
        </w:rPr>
        <w:t>。</w:t>
      </w:r>
    </w:p>
    <w:p w14:paraId="0C0E81DD">
      <w:pPr>
        <w:pageBreakBefore w:val="0"/>
        <w:wordWrap/>
        <w:bidi w:val="0"/>
        <w:adjustRightInd/>
        <w:snapToGrid/>
        <w:ind w:firstLine="480"/>
        <w:rPr>
          <w:b/>
          <w:bCs/>
          <w:color w:val="auto"/>
        </w:rPr>
      </w:pPr>
      <w:r>
        <w:rPr>
          <w:rFonts w:hint="eastAsia"/>
          <w:b/>
          <w:bCs/>
          <w:color w:val="auto"/>
          <w:lang w:val="en-US" w:eastAsia="zh-CN"/>
        </w:rPr>
        <w:t>2、</w:t>
      </w:r>
      <w:r>
        <w:rPr>
          <w:rFonts w:hint="eastAsia"/>
          <w:b/>
          <w:bCs/>
          <w:color w:val="auto"/>
        </w:rPr>
        <w:t>土壤类型及理化特性</w:t>
      </w:r>
    </w:p>
    <w:p w14:paraId="04F3575A">
      <w:pPr>
        <w:bidi w:val="0"/>
        <w:rPr>
          <w:color w:val="auto"/>
        </w:rPr>
      </w:pPr>
      <w:r>
        <w:rPr>
          <w:rFonts w:hint="eastAsia"/>
          <w:color w:val="auto"/>
        </w:rPr>
        <w:t>根据国家土壤信息服务平台中中国1公里发生分类土壤图，查询项目所在地土壤类型分布，本项目评价范围内土壤类型为水稻土，属于人为土类。根据现场调查，本项目区域土壤理化性质如下表所示。</w:t>
      </w:r>
    </w:p>
    <w:p w14:paraId="124C693C">
      <w:pPr>
        <w:pStyle w:val="19"/>
        <w:keepNext w:val="0"/>
        <w:keepLines w:val="0"/>
        <w:pageBreakBefore w:val="0"/>
        <w:widowControl w:val="0"/>
        <w:numPr>
          <w:ilvl w:val="0"/>
          <w:numId w:val="31"/>
        </w:numPr>
        <w:kinsoku/>
        <w:wordWrap/>
        <w:overflowPunct/>
        <w:topLinePunct w:val="0"/>
        <w:autoSpaceDE/>
        <w:autoSpaceDN/>
        <w:bidi w:val="0"/>
        <w:adjustRightInd/>
        <w:snapToGrid/>
        <w:ind w:left="0" w:leftChars="0" w:firstLine="0" w:firstLineChars="0"/>
        <w:textAlignment w:val="auto"/>
        <w:rPr>
          <w:rFonts w:ascii="Times New Roman" w:hAnsi="Times New Roman"/>
          <w:b/>
          <w:bCs/>
          <w:color w:val="auto"/>
        </w:rPr>
      </w:pPr>
      <w:r>
        <w:rPr>
          <w:rFonts w:hint="eastAsia" w:ascii="Times New Roman" w:hAnsi="Times New Roman"/>
          <w:b/>
          <w:bCs/>
          <w:color w:val="auto"/>
        </w:rPr>
        <w:t>土壤理化性质特性调查</w:t>
      </w:r>
    </w:p>
    <w:tbl>
      <w:tblPr>
        <w:tblStyle w:val="5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96"/>
        <w:gridCol w:w="763"/>
        <w:gridCol w:w="621"/>
        <w:gridCol w:w="655"/>
        <w:gridCol w:w="657"/>
        <w:gridCol w:w="573"/>
        <w:gridCol w:w="655"/>
        <w:gridCol w:w="658"/>
        <w:gridCol w:w="573"/>
        <w:gridCol w:w="655"/>
        <w:gridCol w:w="662"/>
        <w:gridCol w:w="621"/>
        <w:gridCol w:w="621"/>
        <w:gridCol w:w="620"/>
      </w:tblGrid>
      <w:tr w14:paraId="4F0A70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63" w:type="pct"/>
            <w:gridSpan w:val="2"/>
            <w:tcBorders>
              <w:tl2br w:val="nil"/>
              <w:tr2bl w:val="nil"/>
            </w:tcBorders>
            <w:noWrap w:val="0"/>
            <w:tcMar>
              <w:top w:w="57" w:type="dxa"/>
              <w:left w:w="0" w:type="dxa"/>
              <w:bottom w:w="57" w:type="dxa"/>
              <w:right w:w="0" w:type="dxa"/>
            </w:tcMar>
            <w:vAlign w:val="center"/>
          </w:tcPr>
          <w:p w14:paraId="1364E9B8">
            <w:pPr>
              <w:pStyle w:val="16"/>
              <w:bidi w:val="0"/>
              <w:jc w:val="right"/>
              <w:rPr>
                <w:rFonts w:hint="default"/>
                <w:b/>
                <w:bCs/>
                <w:color w:val="auto"/>
                <w:lang w:val="en-US" w:eastAsia="zh-CN"/>
              </w:rPr>
            </w:pPr>
            <w:r>
              <w:rPr>
                <w:rFonts w:hint="default"/>
                <w:b/>
                <w:bCs/>
                <w:color w:val="auto"/>
                <w:lang w:val="en-US" w:eastAsia="zh-CN"/>
              </w:rPr>
              <w:t>检测点位</w:t>
            </w:r>
          </w:p>
          <w:p w14:paraId="386DB615">
            <w:pPr>
              <w:pStyle w:val="16"/>
              <w:bidi w:val="0"/>
              <w:rPr>
                <w:rFonts w:hint="default"/>
                <w:b/>
                <w:bCs/>
                <w:color w:val="auto"/>
              </w:rPr>
            </w:pPr>
            <w:r>
              <w:rPr>
                <w:rFonts w:hint="default"/>
                <w:b/>
                <w:bCs/>
                <w:color w:val="auto"/>
              </w:rPr>
              <w:t>检测项目</w:t>
            </w:r>
          </w:p>
        </w:tc>
        <w:tc>
          <w:tcPr>
            <w:tcW w:w="1107" w:type="pct"/>
            <w:gridSpan w:val="3"/>
            <w:tcBorders>
              <w:tl2br w:val="nil"/>
              <w:tr2bl w:val="nil"/>
            </w:tcBorders>
            <w:noWrap w:val="0"/>
            <w:tcMar>
              <w:top w:w="57" w:type="dxa"/>
              <w:left w:w="0" w:type="dxa"/>
              <w:bottom w:w="57" w:type="dxa"/>
              <w:right w:w="0" w:type="dxa"/>
            </w:tcMar>
            <w:vAlign w:val="center"/>
          </w:tcPr>
          <w:p w14:paraId="5A2E97D3">
            <w:pPr>
              <w:pStyle w:val="16"/>
              <w:bidi w:val="0"/>
              <w:rPr>
                <w:rFonts w:hint="default"/>
                <w:b/>
                <w:bCs/>
                <w:color w:val="auto"/>
                <w:lang w:val="en-US" w:eastAsia="zh-CN"/>
              </w:rPr>
            </w:pPr>
            <w:r>
              <w:rPr>
                <w:rFonts w:hint="eastAsia"/>
                <w:b/>
                <w:bCs/>
                <w:color w:val="auto"/>
                <w:lang w:val="en-US" w:eastAsia="zh-CN"/>
              </w:rPr>
              <w:t>1#</w:t>
            </w:r>
          </w:p>
        </w:tc>
        <w:tc>
          <w:tcPr>
            <w:tcW w:w="1080" w:type="pct"/>
            <w:gridSpan w:val="3"/>
            <w:tcBorders>
              <w:tl2br w:val="nil"/>
              <w:tr2bl w:val="nil"/>
            </w:tcBorders>
            <w:noWrap w:val="0"/>
            <w:tcMar>
              <w:top w:w="57" w:type="dxa"/>
              <w:left w:w="0" w:type="dxa"/>
              <w:bottom w:w="57" w:type="dxa"/>
              <w:right w:w="0" w:type="dxa"/>
            </w:tcMar>
            <w:vAlign w:val="center"/>
          </w:tcPr>
          <w:p w14:paraId="05097D87">
            <w:pPr>
              <w:pStyle w:val="16"/>
              <w:bidi w:val="0"/>
              <w:rPr>
                <w:rFonts w:hint="default"/>
                <w:b/>
                <w:bCs/>
                <w:color w:val="auto"/>
                <w:lang w:val="en-US" w:eastAsia="zh-CN"/>
              </w:rPr>
            </w:pPr>
            <w:r>
              <w:rPr>
                <w:rFonts w:hint="eastAsia"/>
                <w:b/>
                <w:bCs/>
                <w:color w:val="auto"/>
                <w:lang w:val="en-US" w:eastAsia="zh-CN"/>
              </w:rPr>
              <w:t>2#</w:t>
            </w:r>
          </w:p>
        </w:tc>
        <w:tc>
          <w:tcPr>
            <w:tcW w:w="1082" w:type="pct"/>
            <w:gridSpan w:val="3"/>
            <w:tcBorders>
              <w:tl2br w:val="nil"/>
              <w:tr2bl w:val="nil"/>
            </w:tcBorders>
            <w:noWrap w:val="0"/>
            <w:tcMar>
              <w:top w:w="57" w:type="dxa"/>
              <w:left w:w="0" w:type="dxa"/>
              <w:bottom w:w="57" w:type="dxa"/>
              <w:right w:w="0" w:type="dxa"/>
            </w:tcMar>
            <w:vAlign w:val="center"/>
          </w:tcPr>
          <w:p w14:paraId="72136E4C">
            <w:pPr>
              <w:pStyle w:val="16"/>
              <w:bidi w:val="0"/>
              <w:rPr>
                <w:rFonts w:hint="eastAsia"/>
                <w:b/>
                <w:bCs/>
                <w:color w:val="auto"/>
                <w:lang w:val="en-US" w:eastAsia="zh-CN"/>
              </w:rPr>
            </w:pPr>
            <w:r>
              <w:rPr>
                <w:rFonts w:hint="eastAsia"/>
                <w:b/>
                <w:bCs/>
                <w:color w:val="auto"/>
                <w:lang w:val="en-US" w:eastAsia="zh-CN"/>
              </w:rPr>
              <w:t>3#</w:t>
            </w:r>
          </w:p>
        </w:tc>
        <w:tc>
          <w:tcPr>
            <w:tcW w:w="355" w:type="pct"/>
            <w:tcBorders>
              <w:tl2br w:val="nil"/>
              <w:tr2bl w:val="nil"/>
            </w:tcBorders>
            <w:noWrap w:val="0"/>
            <w:tcMar>
              <w:top w:w="57" w:type="dxa"/>
              <w:left w:w="0" w:type="dxa"/>
              <w:bottom w:w="57" w:type="dxa"/>
              <w:right w:w="0" w:type="dxa"/>
            </w:tcMar>
            <w:vAlign w:val="center"/>
          </w:tcPr>
          <w:p w14:paraId="271B5646">
            <w:pPr>
              <w:pStyle w:val="16"/>
              <w:bidi w:val="0"/>
              <w:rPr>
                <w:rFonts w:hint="eastAsia"/>
                <w:b/>
                <w:bCs/>
                <w:color w:val="auto"/>
                <w:lang w:val="en-US" w:eastAsia="zh-CN"/>
              </w:rPr>
            </w:pPr>
            <w:r>
              <w:rPr>
                <w:rFonts w:hint="eastAsia"/>
                <w:b/>
                <w:bCs/>
                <w:color w:val="auto"/>
                <w:lang w:val="en-US" w:eastAsia="zh-CN"/>
              </w:rPr>
              <w:t>4</w:t>
            </w:r>
            <w:r>
              <w:rPr>
                <w:rFonts w:hint="default"/>
                <w:b/>
                <w:bCs/>
                <w:color w:val="auto"/>
                <w:lang w:val="en-US" w:eastAsia="zh-CN"/>
              </w:rPr>
              <w:t>#</w:t>
            </w:r>
          </w:p>
        </w:tc>
        <w:tc>
          <w:tcPr>
            <w:tcW w:w="355" w:type="pct"/>
            <w:tcBorders>
              <w:tl2br w:val="nil"/>
              <w:tr2bl w:val="nil"/>
            </w:tcBorders>
            <w:noWrap w:val="0"/>
            <w:tcMar>
              <w:top w:w="57" w:type="dxa"/>
              <w:left w:w="0" w:type="dxa"/>
              <w:bottom w:w="57" w:type="dxa"/>
              <w:right w:w="0" w:type="dxa"/>
            </w:tcMar>
            <w:vAlign w:val="center"/>
          </w:tcPr>
          <w:p w14:paraId="234EEC12">
            <w:pPr>
              <w:pStyle w:val="16"/>
              <w:bidi w:val="0"/>
              <w:rPr>
                <w:rFonts w:hint="eastAsia"/>
                <w:b/>
                <w:bCs/>
                <w:color w:val="auto"/>
                <w:lang w:val="en-US" w:eastAsia="zh-CN"/>
              </w:rPr>
            </w:pPr>
            <w:r>
              <w:rPr>
                <w:rFonts w:hint="eastAsia"/>
                <w:b/>
                <w:bCs/>
                <w:color w:val="auto"/>
                <w:lang w:val="en-US" w:eastAsia="zh-CN"/>
              </w:rPr>
              <w:t>5</w:t>
            </w:r>
            <w:r>
              <w:rPr>
                <w:rFonts w:hint="default"/>
                <w:b/>
                <w:bCs/>
                <w:color w:val="auto"/>
                <w:lang w:val="en-US" w:eastAsia="zh-CN"/>
              </w:rPr>
              <w:t>#</w:t>
            </w:r>
          </w:p>
        </w:tc>
        <w:tc>
          <w:tcPr>
            <w:tcW w:w="355" w:type="pct"/>
            <w:tcBorders>
              <w:tl2br w:val="nil"/>
              <w:tr2bl w:val="nil"/>
            </w:tcBorders>
            <w:noWrap w:val="0"/>
            <w:tcMar>
              <w:top w:w="57" w:type="dxa"/>
              <w:left w:w="0" w:type="dxa"/>
              <w:bottom w:w="57" w:type="dxa"/>
              <w:right w:w="0" w:type="dxa"/>
            </w:tcMar>
            <w:vAlign w:val="center"/>
          </w:tcPr>
          <w:p w14:paraId="03746FC7">
            <w:pPr>
              <w:pStyle w:val="16"/>
              <w:bidi w:val="0"/>
              <w:rPr>
                <w:rFonts w:hint="eastAsia"/>
                <w:b/>
                <w:bCs/>
                <w:color w:val="auto"/>
                <w:lang w:val="en-US" w:eastAsia="zh-CN"/>
              </w:rPr>
            </w:pPr>
            <w:r>
              <w:rPr>
                <w:rFonts w:hint="eastAsia"/>
                <w:b/>
                <w:bCs/>
                <w:color w:val="auto"/>
                <w:lang w:val="en-US" w:eastAsia="zh-CN"/>
              </w:rPr>
              <w:t>6</w:t>
            </w:r>
            <w:r>
              <w:rPr>
                <w:rFonts w:hint="default"/>
                <w:b/>
                <w:bCs/>
                <w:color w:val="auto"/>
                <w:lang w:val="en-US" w:eastAsia="zh-CN"/>
              </w:rPr>
              <w:t>#</w:t>
            </w:r>
          </w:p>
        </w:tc>
      </w:tr>
      <w:tr w14:paraId="735D56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63" w:type="pct"/>
            <w:gridSpan w:val="2"/>
            <w:tcBorders>
              <w:tl2br w:val="nil"/>
              <w:tr2bl w:val="nil"/>
            </w:tcBorders>
            <w:noWrap w:val="0"/>
            <w:tcMar>
              <w:top w:w="57" w:type="dxa"/>
              <w:left w:w="0" w:type="dxa"/>
              <w:bottom w:w="57" w:type="dxa"/>
              <w:right w:w="0" w:type="dxa"/>
            </w:tcMar>
            <w:vAlign w:val="center"/>
          </w:tcPr>
          <w:p w14:paraId="4921809E">
            <w:pPr>
              <w:pStyle w:val="16"/>
              <w:bidi w:val="0"/>
              <w:rPr>
                <w:rFonts w:hint="default"/>
                <w:color w:val="auto"/>
                <w:lang w:val="en-US" w:eastAsia="zh-CN"/>
              </w:rPr>
            </w:pPr>
            <w:r>
              <w:rPr>
                <w:rFonts w:hint="default"/>
                <w:color w:val="auto"/>
                <w:lang w:val="en-US" w:eastAsia="zh-CN"/>
              </w:rPr>
              <w:t>取样深度</w:t>
            </w:r>
          </w:p>
        </w:tc>
        <w:tc>
          <w:tcPr>
            <w:tcW w:w="355" w:type="pct"/>
            <w:tcBorders>
              <w:tl2br w:val="nil"/>
              <w:tr2bl w:val="nil"/>
            </w:tcBorders>
            <w:noWrap w:val="0"/>
            <w:tcMar>
              <w:top w:w="57" w:type="dxa"/>
              <w:left w:w="0" w:type="dxa"/>
              <w:bottom w:w="57" w:type="dxa"/>
              <w:right w:w="0" w:type="dxa"/>
            </w:tcMar>
            <w:vAlign w:val="center"/>
          </w:tcPr>
          <w:p w14:paraId="06F1EFE3">
            <w:pPr>
              <w:pStyle w:val="16"/>
              <w:bidi w:val="0"/>
              <w:rPr>
                <w:rFonts w:hint="eastAsia"/>
                <w:color w:val="auto"/>
                <w:lang w:val="en-US" w:eastAsia="zh-CN"/>
              </w:rPr>
            </w:pPr>
            <w:r>
              <w:rPr>
                <w:rFonts w:hint="eastAsia"/>
                <w:color w:val="auto"/>
                <w:lang w:val="en-US" w:eastAsia="zh-CN"/>
              </w:rPr>
              <w:t>0~0.5m</w:t>
            </w:r>
          </w:p>
        </w:tc>
        <w:tc>
          <w:tcPr>
            <w:tcW w:w="375" w:type="pct"/>
            <w:tcBorders>
              <w:tl2br w:val="nil"/>
              <w:tr2bl w:val="nil"/>
            </w:tcBorders>
            <w:noWrap w:val="0"/>
            <w:tcMar>
              <w:top w:w="57" w:type="dxa"/>
              <w:left w:w="0" w:type="dxa"/>
              <w:bottom w:w="57" w:type="dxa"/>
              <w:right w:w="0" w:type="dxa"/>
            </w:tcMar>
            <w:vAlign w:val="center"/>
          </w:tcPr>
          <w:p w14:paraId="6A3430B2">
            <w:pPr>
              <w:pStyle w:val="16"/>
              <w:bidi w:val="0"/>
              <w:rPr>
                <w:rFonts w:hint="eastAsia"/>
                <w:color w:val="auto"/>
                <w:lang w:val="en-US" w:eastAsia="zh-CN"/>
              </w:rPr>
            </w:pPr>
            <w:r>
              <w:rPr>
                <w:rFonts w:hint="eastAsia"/>
                <w:color w:val="auto"/>
                <w:lang w:val="en-US" w:eastAsia="zh-CN"/>
              </w:rPr>
              <w:t>0.5～1.5m</w:t>
            </w:r>
          </w:p>
        </w:tc>
        <w:tc>
          <w:tcPr>
            <w:tcW w:w="376" w:type="pct"/>
            <w:tcBorders>
              <w:tl2br w:val="nil"/>
              <w:tr2bl w:val="nil"/>
            </w:tcBorders>
            <w:noWrap w:val="0"/>
            <w:tcMar>
              <w:top w:w="57" w:type="dxa"/>
              <w:left w:w="0" w:type="dxa"/>
              <w:bottom w:w="57" w:type="dxa"/>
              <w:right w:w="0" w:type="dxa"/>
            </w:tcMar>
            <w:vAlign w:val="center"/>
          </w:tcPr>
          <w:p w14:paraId="13380611">
            <w:pPr>
              <w:pStyle w:val="16"/>
              <w:bidi w:val="0"/>
              <w:rPr>
                <w:rFonts w:hint="eastAsia"/>
                <w:color w:val="auto"/>
                <w:lang w:val="en-US" w:eastAsia="zh-CN"/>
              </w:rPr>
            </w:pPr>
            <w:r>
              <w:rPr>
                <w:rFonts w:hint="eastAsia"/>
                <w:color w:val="auto"/>
                <w:lang w:val="en-US" w:eastAsia="zh-CN"/>
              </w:rPr>
              <w:t>1.5～3.0m</w:t>
            </w:r>
          </w:p>
        </w:tc>
        <w:tc>
          <w:tcPr>
            <w:tcW w:w="328" w:type="pct"/>
            <w:tcBorders>
              <w:tl2br w:val="nil"/>
              <w:tr2bl w:val="nil"/>
            </w:tcBorders>
            <w:noWrap w:val="0"/>
            <w:tcMar>
              <w:top w:w="57" w:type="dxa"/>
              <w:left w:w="0" w:type="dxa"/>
              <w:bottom w:w="57" w:type="dxa"/>
              <w:right w:w="0" w:type="dxa"/>
            </w:tcMar>
            <w:vAlign w:val="center"/>
          </w:tcPr>
          <w:p w14:paraId="486D8B71">
            <w:pPr>
              <w:pStyle w:val="16"/>
              <w:bidi w:val="0"/>
              <w:ind w:left="0" w:leftChars="0" w:firstLine="0" w:firstLineChars="0"/>
              <w:rPr>
                <w:rFonts w:hint="eastAsia"/>
                <w:color w:val="auto"/>
                <w:lang w:val="en-US" w:eastAsia="zh-CN"/>
              </w:rPr>
            </w:pPr>
            <w:r>
              <w:rPr>
                <w:rFonts w:hint="eastAsia"/>
                <w:color w:val="auto"/>
                <w:lang w:val="en-US" w:eastAsia="zh-CN"/>
              </w:rPr>
              <w:t>0~0.5m</w:t>
            </w:r>
          </w:p>
        </w:tc>
        <w:tc>
          <w:tcPr>
            <w:tcW w:w="375" w:type="pct"/>
            <w:tcBorders>
              <w:tl2br w:val="nil"/>
              <w:tr2bl w:val="nil"/>
            </w:tcBorders>
            <w:noWrap w:val="0"/>
            <w:tcMar>
              <w:top w:w="57" w:type="dxa"/>
              <w:left w:w="0" w:type="dxa"/>
              <w:bottom w:w="57" w:type="dxa"/>
              <w:right w:w="0" w:type="dxa"/>
            </w:tcMar>
            <w:vAlign w:val="center"/>
          </w:tcPr>
          <w:p w14:paraId="5D7325BF">
            <w:pPr>
              <w:pStyle w:val="16"/>
              <w:bidi w:val="0"/>
              <w:ind w:left="0" w:leftChars="0" w:firstLine="0" w:firstLineChars="0"/>
              <w:rPr>
                <w:rFonts w:hint="eastAsia"/>
                <w:color w:val="auto"/>
                <w:lang w:val="en-US" w:eastAsia="zh-CN"/>
              </w:rPr>
            </w:pPr>
            <w:r>
              <w:rPr>
                <w:rFonts w:hint="eastAsia"/>
                <w:color w:val="auto"/>
                <w:lang w:val="en-US" w:eastAsia="zh-CN"/>
              </w:rPr>
              <w:t>0.5～1.5m</w:t>
            </w:r>
          </w:p>
        </w:tc>
        <w:tc>
          <w:tcPr>
            <w:tcW w:w="376" w:type="pct"/>
            <w:tcBorders>
              <w:tl2br w:val="nil"/>
              <w:tr2bl w:val="nil"/>
            </w:tcBorders>
            <w:noWrap w:val="0"/>
            <w:tcMar>
              <w:top w:w="57" w:type="dxa"/>
              <w:left w:w="0" w:type="dxa"/>
              <w:bottom w:w="57" w:type="dxa"/>
              <w:right w:w="0" w:type="dxa"/>
            </w:tcMar>
            <w:vAlign w:val="center"/>
          </w:tcPr>
          <w:p w14:paraId="099C31FA">
            <w:pPr>
              <w:pStyle w:val="16"/>
              <w:bidi w:val="0"/>
              <w:ind w:left="0" w:leftChars="0" w:firstLine="0" w:firstLineChars="0"/>
              <w:rPr>
                <w:rFonts w:hint="eastAsia"/>
                <w:color w:val="auto"/>
                <w:lang w:val="en-US" w:eastAsia="zh-CN"/>
              </w:rPr>
            </w:pPr>
            <w:r>
              <w:rPr>
                <w:rFonts w:hint="eastAsia"/>
                <w:color w:val="auto"/>
                <w:lang w:val="en-US" w:eastAsia="zh-CN"/>
              </w:rPr>
              <w:t>1.5～3.0m</w:t>
            </w:r>
          </w:p>
        </w:tc>
        <w:tc>
          <w:tcPr>
            <w:tcW w:w="328" w:type="pct"/>
            <w:tcBorders>
              <w:tl2br w:val="nil"/>
              <w:tr2bl w:val="nil"/>
            </w:tcBorders>
            <w:noWrap w:val="0"/>
            <w:tcMar>
              <w:top w:w="57" w:type="dxa"/>
              <w:left w:w="0" w:type="dxa"/>
              <w:bottom w:w="57" w:type="dxa"/>
              <w:right w:w="0" w:type="dxa"/>
            </w:tcMar>
            <w:vAlign w:val="center"/>
          </w:tcPr>
          <w:p w14:paraId="48050820">
            <w:pPr>
              <w:pStyle w:val="16"/>
              <w:bidi w:val="0"/>
              <w:ind w:left="0" w:leftChars="0" w:firstLine="0" w:firstLineChars="0"/>
              <w:rPr>
                <w:rFonts w:hint="eastAsia"/>
                <w:color w:val="auto"/>
                <w:lang w:val="en-US" w:eastAsia="zh-CN"/>
              </w:rPr>
            </w:pPr>
            <w:r>
              <w:rPr>
                <w:rFonts w:hint="eastAsia"/>
                <w:color w:val="auto"/>
                <w:lang w:val="en-US" w:eastAsia="zh-CN"/>
              </w:rPr>
              <w:t>0~0.5m</w:t>
            </w:r>
          </w:p>
        </w:tc>
        <w:tc>
          <w:tcPr>
            <w:tcW w:w="375" w:type="pct"/>
            <w:tcBorders>
              <w:tl2br w:val="nil"/>
              <w:tr2bl w:val="nil"/>
            </w:tcBorders>
            <w:noWrap w:val="0"/>
            <w:tcMar>
              <w:top w:w="57" w:type="dxa"/>
              <w:left w:w="0" w:type="dxa"/>
              <w:bottom w:w="57" w:type="dxa"/>
              <w:right w:w="0" w:type="dxa"/>
            </w:tcMar>
            <w:vAlign w:val="center"/>
          </w:tcPr>
          <w:p w14:paraId="4DEDEBA7">
            <w:pPr>
              <w:pStyle w:val="16"/>
              <w:bidi w:val="0"/>
              <w:ind w:left="0" w:leftChars="0" w:firstLine="0" w:firstLineChars="0"/>
              <w:rPr>
                <w:rFonts w:hint="eastAsia"/>
                <w:color w:val="auto"/>
                <w:lang w:val="en-US" w:eastAsia="zh-CN"/>
              </w:rPr>
            </w:pPr>
            <w:r>
              <w:rPr>
                <w:rFonts w:hint="eastAsia"/>
                <w:color w:val="auto"/>
                <w:lang w:val="en-US" w:eastAsia="zh-CN"/>
              </w:rPr>
              <w:t>0.5～1.5m</w:t>
            </w:r>
          </w:p>
        </w:tc>
        <w:tc>
          <w:tcPr>
            <w:tcW w:w="379" w:type="pct"/>
            <w:tcBorders>
              <w:tl2br w:val="nil"/>
              <w:tr2bl w:val="nil"/>
            </w:tcBorders>
            <w:noWrap w:val="0"/>
            <w:tcMar>
              <w:top w:w="57" w:type="dxa"/>
              <w:left w:w="0" w:type="dxa"/>
              <w:bottom w:w="57" w:type="dxa"/>
              <w:right w:w="0" w:type="dxa"/>
            </w:tcMar>
            <w:vAlign w:val="center"/>
          </w:tcPr>
          <w:p w14:paraId="5A5142BC">
            <w:pPr>
              <w:pStyle w:val="16"/>
              <w:bidi w:val="0"/>
              <w:ind w:left="0" w:leftChars="0" w:firstLine="0" w:firstLineChars="0"/>
              <w:rPr>
                <w:rFonts w:hint="eastAsia"/>
                <w:color w:val="auto"/>
                <w:lang w:val="en-US" w:eastAsia="zh-CN"/>
              </w:rPr>
            </w:pPr>
            <w:r>
              <w:rPr>
                <w:rFonts w:hint="eastAsia"/>
                <w:color w:val="auto"/>
                <w:lang w:val="en-US" w:eastAsia="zh-CN"/>
              </w:rPr>
              <w:t>1.5～3.0m</w:t>
            </w:r>
          </w:p>
        </w:tc>
        <w:tc>
          <w:tcPr>
            <w:tcW w:w="1066" w:type="pct"/>
            <w:gridSpan w:val="3"/>
            <w:tcBorders>
              <w:tl2br w:val="nil"/>
              <w:tr2bl w:val="nil"/>
            </w:tcBorders>
            <w:noWrap w:val="0"/>
            <w:tcMar>
              <w:top w:w="57" w:type="dxa"/>
              <w:left w:w="0" w:type="dxa"/>
              <w:bottom w:w="57" w:type="dxa"/>
              <w:right w:w="0" w:type="dxa"/>
            </w:tcMar>
            <w:vAlign w:val="center"/>
          </w:tcPr>
          <w:p w14:paraId="3753FF7F">
            <w:pPr>
              <w:pStyle w:val="16"/>
              <w:bidi w:val="0"/>
              <w:rPr>
                <w:rFonts w:hint="eastAsia"/>
                <w:color w:val="auto"/>
                <w:lang w:val="en-US" w:eastAsia="zh-CN"/>
              </w:rPr>
            </w:pPr>
            <w:r>
              <w:rPr>
                <w:rFonts w:hint="eastAsia"/>
                <w:color w:val="auto"/>
                <w:lang w:val="en-US" w:eastAsia="zh-CN"/>
              </w:rPr>
              <w:t>0~0.2m</w:t>
            </w:r>
          </w:p>
        </w:tc>
      </w:tr>
      <w:tr w14:paraId="2C20EB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63" w:type="pct"/>
            <w:gridSpan w:val="2"/>
            <w:tcBorders>
              <w:tl2br w:val="nil"/>
              <w:tr2bl w:val="nil"/>
            </w:tcBorders>
            <w:noWrap w:val="0"/>
            <w:tcMar>
              <w:top w:w="57" w:type="dxa"/>
              <w:left w:w="0" w:type="dxa"/>
              <w:bottom w:w="57" w:type="dxa"/>
              <w:right w:w="0" w:type="dxa"/>
            </w:tcMar>
            <w:vAlign w:val="center"/>
          </w:tcPr>
          <w:p w14:paraId="4B89EE43">
            <w:pPr>
              <w:pStyle w:val="16"/>
              <w:bidi w:val="0"/>
              <w:rPr>
                <w:rFonts w:hint="default"/>
                <w:color w:val="auto"/>
                <w:lang w:val="en-US" w:eastAsia="zh-CN"/>
              </w:rPr>
            </w:pPr>
            <w:r>
              <w:rPr>
                <w:rFonts w:hint="eastAsia"/>
                <w:color w:val="auto"/>
                <w:lang w:val="en-US" w:eastAsia="zh-CN"/>
              </w:rPr>
              <w:t>采样日期</w:t>
            </w:r>
          </w:p>
        </w:tc>
        <w:tc>
          <w:tcPr>
            <w:tcW w:w="3625" w:type="pct"/>
            <w:gridSpan w:val="10"/>
            <w:tcBorders>
              <w:tl2br w:val="nil"/>
              <w:tr2bl w:val="nil"/>
            </w:tcBorders>
            <w:noWrap w:val="0"/>
            <w:tcMar>
              <w:top w:w="57" w:type="dxa"/>
              <w:left w:w="0" w:type="dxa"/>
              <w:bottom w:w="57" w:type="dxa"/>
              <w:right w:w="0" w:type="dxa"/>
            </w:tcMar>
            <w:vAlign w:val="center"/>
          </w:tcPr>
          <w:p w14:paraId="2FF04524">
            <w:pPr>
              <w:pStyle w:val="16"/>
              <w:bidi w:val="0"/>
              <w:rPr>
                <w:rFonts w:hint="default"/>
                <w:color w:val="auto"/>
                <w:lang w:val="en-US" w:eastAsia="zh-CN"/>
              </w:rPr>
            </w:pPr>
            <w:r>
              <w:rPr>
                <w:rFonts w:hint="eastAsia"/>
                <w:color w:val="auto"/>
                <w:lang w:val="en-US" w:eastAsia="zh-CN"/>
              </w:rPr>
              <w:t>2024.07.20</w:t>
            </w:r>
          </w:p>
        </w:tc>
        <w:tc>
          <w:tcPr>
            <w:tcW w:w="710" w:type="pct"/>
            <w:gridSpan w:val="2"/>
            <w:tcBorders>
              <w:tl2br w:val="nil"/>
              <w:tr2bl w:val="nil"/>
            </w:tcBorders>
            <w:noWrap w:val="0"/>
            <w:tcMar>
              <w:top w:w="57" w:type="dxa"/>
              <w:left w:w="0" w:type="dxa"/>
              <w:bottom w:w="57" w:type="dxa"/>
              <w:right w:w="0" w:type="dxa"/>
            </w:tcMar>
            <w:vAlign w:val="center"/>
          </w:tcPr>
          <w:p w14:paraId="5D5240EC">
            <w:pPr>
              <w:pStyle w:val="16"/>
              <w:bidi w:val="0"/>
              <w:rPr>
                <w:rFonts w:hint="default"/>
                <w:color w:val="auto"/>
                <w:lang w:val="en-US" w:eastAsia="zh-CN"/>
              </w:rPr>
            </w:pPr>
            <w:r>
              <w:rPr>
                <w:rFonts w:hint="eastAsia"/>
                <w:color w:val="auto"/>
                <w:lang w:val="en-US" w:eastAsia="zh-CN"/>
              </w:rPr>
              <w:t>2024.07.19</w:t>
            </w:r>
          </w:p>
        </w:tc>
      </w:tr>
      <w:tr w14:paraId="65D4F7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26" w:type="pct"/>
            <w:vMerge w:val="restart"/>
            <w:tcBorders>
              <w:tl2br w:val="nil"/>
              <w:tr2bl w:val="nil"/>
            </w:tcBorders>
            <w:noWrap w:val="0"/>
            <w:tcMar>
              <w:top w:w="57" w:type="dxa"/>
              <w:left w:w="0" w:type="dxa"/>
              <w:bottom w:w="57" w:type="dxa"/>
              <w:right w:w="0" w:type="dxa"/>
            </w:tcMar>
            <w:vAlign w:val="center"/>
          </w:tcPr>
          <w:p w14:paraId="59E450F7">
            <w:pPr>
              <w:pStyle w:val="16"/>
              <w:bidi w:val="0"/>
              <w:rPr>
                <w:rFonts w:hint="default"/>
                <w:color w:val="auto"/>
                <w:lang w:val="en-US" w:eastAsia="zh-CN"/>
              </w:rPr>
            </w:pPr>
            <w:r>
              <w:rPr>
                <w:rFonts w:hint="default"/>
                <w:color w:val="auto"/>
                <w:lang w:val="en-US" w:eastAsia="zh-CN"/>
              </w:rPr>
              <w:t>现场</w:t>
            </w:r>
          </w:p>
          <w:p w14:paraId="0D1CD5FF">
            <w:pPr>
              <w:pStyle w:val="16"/>
              <w:bidi w:val="0"/>
              <w:rPr>
                <w:rFonts w:hint="default"/>
                <w:color w:val="auto"/>
              </w:rPr>
            </w:pPr>
            <w:r>
              <w:rPr>
                <w:rFonts w:hint="default"/>
                <w:color w:val="auto"/>
                <w:lang w:val="en-US" w:eastAsia="zh-CN"/>
              </w:rPr>
              <w:t>记录</w:t>
            </w:r>
          </w:p>
        </w:tc>
        <w:tc>
          <w:tcPr>
            <w:tcW w:w="436" w:type="pct"/>
            <w:tcBorders>
              <w:tl2br w:val="nil"/>
              <w:tr2bl w:val="nil"/>
            </w:tcBorders>
            <w:noWrap w:val="0"/>
            <w:tcMar>
              <w:top w:w="57" w:type="dxa"/>
              <w:left w:w="0" w:type="dxa"/>
              <w:bottom w:w="57" w:type="dxa"/>
              <w:right w:w="0" w:type="dxa"/>
            </w:tcMar>
            <w:vAlign w:val="center"/>
          </w:tcPr>
          <w:p w14:paraId="343481A2">
            <w:pPr>
              <w:pStyle w:val="16"/>
              <w:bidi w:val="0"/>
              <w:rPr>
                <w:rFonts w:hint="default"/>
                <w:color w:val="auto"/>
                <w:sz w:val="18"/>
                <w:szCs w:val="18"/>
              </w:rPr>
            </w:pPr>
            <w:r>
              <w:rPr>
                <w:rFonts w:hint="default"/>
                <w:color w:val="auto"/>
                <w:sz w:val="18"/>
                <w:szCs w:val="18"/>
                <w:lang w:val="en-US" w:eastAsia="zh-CN"/>
              </w:rPr>
              <w:t>颜色</w:t>
            </w:r>
          </w:p>
        </w:tc>
        <w:tc>
          <w:tcPr>
            <w:tcW w:w="355" w:type="pct"/>
            <w:tcBorders>
              <w:tl2br w:val="nil"/>
              <w:tr2bl w:val="nil"/>
            </w:tcBorders>
            <w:noWrap w:val="0"/>
            <w:tcMar>
              <w:top w:w="57" w:type="dxa"/>
              <w:left w:w="0" w:type="dxa"/>
              <w:bottom w:w="57" w:type="dxa"/>
              <w:right w:w="0" w:type="dxa"/>
            </w:tcMar>
            <w:vAlign w:val="center"/>
          </w:tcPr>
          <w:p w14:paraId="2F532E6E">
            <w:pPr>
              <w:pStyle w:val="16"/>
              <w:bidi w:val="0"/>
              <w:jc w:val="center"/>
              <w:rPr>
                <w:rFonts w:hint="eastAsia"/>
                <w:color w:val="auto"/>
                <w:sz w:val="18"/>
                <w:szCs w:val="18"/>
                <w:lang w:val="en-US" w:eastAsia="zh-CN"/>
              </w:rPr>
            </w:pPr>
            <w:r>
              <w:rPr>
                <w:rFonts w:hint="eastAsia"/>
                <w:color w:val="auto"/>
                <w:sz w:val="18"/>
                <w:szCs w:val="18"/>
                <w:lang w:val="en-US" w:eastAsia="zh-CN"/>
              </w:rPr>
              <w:t>棕</w:t>
            </w:r>
          </w:p>
        </w:tc>
        <w:tc>
          <w:tcPr>
            <w:tcW w:w="375" w:type="pct"/>
            <w:tcBorders>
              <w:tl2br w:val="nil"/>
              <w:tr2bl w:val="nil"/>
            </w:tcBorders>
            <w:noWrap w:val="0"/>
            <w:tcMar>
              <w:top w:w="57" w:type="dxa"/>
              <w:left w:w="0" w:type="dxa"/>
              <w:bottom w:w="57" w:type="dxa"/>
              <w:right w:w="0" w:type="dxa"/>
            </w:tcMar>
            <w:vAlign w:val="center"/>
          </w:tcPr>
          <w:p w14:paraId="1E0DE904">
            <w:pPr>
              <w:pStyle w:val="16"/>
              <w:bidi w:val="0"/>
              <w:jc w:val="center"/>
              <w:rPr>
                <w:rFonts w:hint="eastAsia"/>
                <w:color w:val="auto"/>
                <w:sz w:val="18"/>
                <w:szCs w:val="18"/>
                <w:lang w:val="en-US" w:eastAsia="zh-CN"/>
              </w:rPr>
            </w:pPr>
            <w:r>
              <w:rPr>
                <w:rFonts w:hint="eastAsia"/>
                <w:color w:val="auto"/>
                <w:sz w:val="18"/>
                <w:szCs w:val="18"/>
                <w:lang w:val="en-US" w:eastAsia="zh-CN"/>
              </w:rPr>
              <w:t>棕</w:t>
            </w:r>
          </w:p>
        </w:tc>
        <w:tc>
          <w:tcPr>
            <w:tcW w:w="376" w:type="pct"/>
            <w:tcBorders>
              <w:tl2br w:val="nil"/>
              <w:tr2bl w:val="nil"/>
            </w:tcBorders>
            <w:noWrap w:val="0"/>
            <w:tcMar>
              <w:top w:w="57" w:type="dxa"/>
              <w:left w:w="0" w:type="dxa"/>
              <w:bottom w:w="57" w:type="dxa"/>
              <w:right w:w="0" w:type="dxa"/>
            </w:tcMar>
            <w:vAlign w:val="center"/>
          </w:tcPr>
          <w:p w14:paraId="7E7F9A05">
            <w:pPr>
              <w:pStyle w:val="16"/>
              <w:bidi w:val="0"/>
              <w:jc w:val="center"/>
              <w:rPr>
                <w:rFonts w:hint="eastAsia"/>
                <w:color w:val="auto"/>
                <w:sz w:val="18"/>
                <w:szCs w:val="18"/>
                <w:lang w:val="en-US" w:eastAsia="zh-CN"/>
              </w:rPr>
            </w:pPr>
            <w:r>
              <w:rPr>
                <w:rFonts w:hint="eastAsia"/>
                <w:color w:val="auto"/>
                <w:sz w:val="18"/>
                <w:szCs w:val="18"/>
                <w:lang w:val="en-US" w:eastAsia="zh-CN"/>
              </w:rPr>
              <w:t>黄棕</w:t>
            </w:r>
          </w:p>
        </w:tc>
        <w:tc>
          <w:tcPr>
            <w:tcW w:w="328" w:type="pct"/>
            <w:tcBorders>
              <w:tl2br w:val="nil"/>
              <w:tr2bl w:val="nil"/>
            </w:tcBorders>
            <w:noWrap w:val="0"/>
            <w:tcMar>
              <w:top w:w="57" w:type="dxa"/>
              <w:left w:w="0" w:type="dxa"/>
              <w:bottom w:w="57" w:type="dxa"/>
              <w:right w:w="0" w:type="dxa"/>
            </w:tcMar>
            <w:vAlign w:val="center"/>
          </w:tcPr>
          <w:p w14:paraId="2442E4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红棕</w:t>
            </w:r>
          </w:p>
        </w:tc>
        <w:tc>
          <w:tcPr>
            <w:tcW w:w="375" w:type="pct"/>
            <w:tcBorders>
              <w:tl2br w:val="nil"/>
              <w:tr2bl w:val="nil"/>
            </w:tcBorders>
            <w:noWrap w:val="0"/>
            <w:tcMar>
              <w:top w:w="57" w:type="dxa"/>
              <w:left w:w="0" w:type="dxa"/>
              <w:bottom w:w="57" w:type="dxa"/>
              <w:right w:w="0" w:type="dxa"/>
            </w:tcMar>
            <w:vAlign w:val="center"/>
          </w:tcPr>
          <w:p w14:paraId="65139D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暗棕</w:t>
            </w:r>
          </w:p>
        </w:tc>
        <w:tc>
          <w:tcPr>
            <w:tcW w:w="376" w:type="pct"/>
            <w:tcBorders>
              <w:tl2br w:val="nil"/>
              <w:tr2bl w:val="nil"/>
            </w:tcBorders>
            <w:noWrap w:val="0"/>
            <w:tcMar>
              <w:top w:w="57" w:type="dxa"/>
              <w:left w:w="0" w:type="dxa"/>
              <w:bottom w:w="57" w:type="dxa"/>
              <w:right w:w="0" w:type="dxa"/>
            </w:tcMar>
            <w:vAlign w:val="center"/>
          </w:tcPr>
          <w:p w14:paraId="5E3F54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暗灰</w:t>
            </w:r>
          </w:p>
        </w:tc>
        <w:tc>
          <w:tcPr>
            <w:tcW w:w="328" w:type="pct"/>
            <w:tcBorders>
              <w:tl2br w:val="nil"/>
              <w:tr2bl w:val="nil"/>
            </w:tcBorders>
            <w:noWrap w:val="0"/>
            <w:tcMar>
              <w:top w:w="57" w:type="dxa"/>
              <w:left w:w="0" w:type="dxa"/>
              <w:bottom w:w="57" w:type="dxa"/>
              <w:right w:w="0" w:type="dxa"/>
            </w:tcMar>
            <w:vAlign w:val="center"/>
          </w:tcPr>
          <w:p w14:paraId="16B5F9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黄棕</w:t>
            </w:r>
          </w:p>
        </w:tc>
        <w:tc>
          <w:tcPr>
            <w:tcW w:w="375" w:type="pct"/>
            <w:tcBorders>
              <w:tl2br w:val="nil"/>
              <w:tr2bl w:val="nil"/>
            </w:tcBorders>
            <w:noWrap w:val="0"/>
            <w:tcMar>
              <w:top w:w="57" w:type="dxa"/>
              <w:left w:w="0" w:type="dxa"/>
              <w:bottom w:w="57" w:type="dxa"/>
              <w:right w:w="0" w:type="dxa"/>
            </w:tcMar>
            <w:vAlign w:val="center"/>
          </w:tcPr>
          <w:p w14:paraId="15AA27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红棕</w:t>
            </w:r>
          </w:p>
        </w:tc>
        <w:tc>
          <w:tcPr>
            <w:tcW w:w="379" w:type="pct"/>
            <w:tcBorders>
              <w:tl2br w:val="nil"/>
              <w:tr2bl w:val="nil"/>
            </w:tcBorders>
            <w:noWrap w:val="0"/>
            <w:tcMar>
              <w:top w:w="57" w:type="dxa"/>
              <w:left w:w="0" w:type="dxa"/>
              <w:bottom w:w="57" w:type="dxa"/>
              <w:right w:w="0" w:type="dxa"/>
            </w:tcMar>
            <w:vAlign w:val="center"/>
          </w:tcPr>
          <w:p w14:paraId="68F0FA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黄棕</w:t>
            </w:r>
          </w:p>
        </w:tc>
        <w:tc>
          <w:tcPr>
            <w:tcW w:w="355" w:type="pct"/>
            <w:tcBorders>
              <w:tl2br w:val="nil"/>
              <w:tr2bl w:val="nil"/>
            </w:tcBorders>
            <w:noWrap w:val="0"/>
            <w:tcMar>
              <w:top w:w="57" w:type="dxa"/>
              <w:left w:w="0" w:type="dxa"/>
              <w:bottom w:w="57" w:type="dxa"/>
              <w:right w:w="0" w:type="dxa"/>
            </w:tcMar>
            <w:vAlign w:val="center"/>
          </w:tcPr>
          <w:p w14:paraId="107199AA">
            <w:pPr>
              <w:pStyle w:val="16"/>
              <w:bidi w:val="0"/>
              <w:jc w:val="center"/>
              <w:rPr>
                <w:rFonts w:hint="default"/>
                <w:color w:val="auto"/>
                <w:sz w:val="18"/>
                <w:szCs w:val="18"/>
                <w:lang w:val="en-US" w:eastAsia="zh-CN"/>
              </w:rPr>
            </w:pPr>
            <w:r>
              <w:rPr>
                <w:rFonts w:hint="eastAsia"/>
                <w:color w:val="auto"/>
                <w:sz w:val="18"/>
                <w:szCs w:val="18"/>
                <w:lang w:val="en-US" w:eastAsia="zh-CN"/>
              </w:rPr>
              <w:t>棕</w:t>
            </w:r>
          </w:p>
        </w:tc>
        <w:tc>
          <w:tcPr>
            <w:tcW w:w="355" w:type="pct"/>
            <w:tcBorders>
              <w:tl2br w:val="nil"/>
              <w:tr2bl w:val="nil"/>
            </w:tcBorders>
            <w:noWrap w:val="0"/>
            <w:tcMar>
              <w:top w:w="57" w:type="dxa"/>
              <w:left w:w="0" w:type="dxa"/>
              <w:bottom w:w="57" w:type="dxa"/>
              <w:right w:w="0" w:type="dxa"/>
            </w:tcMar>
            <w:vAlign w:val="center"/>
          </w:tcPr>
          <w:p w14:paraId="1B2340E5">
            <w:pPr>
              <w:pStyle w:val="16"/>
              <w:bidi w:val="0"/>
              <w:jc w:val="center"/>
              <w:rPr>
                <w:rFonts w:hint="default"/>
                <w:color w:val="auto"/>
                <w:sz w:val="18"/>
                <w:szCs w:val="18"/>
                <w:lang w:val="en-US" w:eastAsia="zh-CN"/>
              </w:rPr>
            </w:pPr>
            <w:r>
              <w:rPr>
                <w:rFonts w:hint="eastAsia"/>
                <w:color w:val="auto"/>
                <w:sz w:val="18"/>
                <w:szCs w:val="18"/>
                <w:lang w:val="en-US" w:eastAsia="zh-CN"/>
              </w:rPr>
              <w:t>黄棕</w:t>
            </w:r>
          </w:p>
        </w:tc>
        <w:tc>
          <w:tcPr>
            <w:tcW w:w="355" w:type="pct"/>
            <w:tcBorders>
              <w:tl2br w:val="nil"/>
              <w:tr2bl w:val="nil"/>
            </w:tcBorders>
            <w:noWrap w:val="0"/>
            <w:tcMar>
              <w:top w:w="57" w:type="dxa"/>
              <w:left w:w="0" w:type="dxa"/>
              <w:bottom w:w="57" w:type="dxa"/>
              <w:right w:w="0" w:type="dxa"/>
            </w:tcMar>
            <w:vAlign w:val="center"/>
          </w:tcPr>
          <w:p w14:paraId="24711336">
            <w:pPr>
              <w:pStyle w:val="16"/>
              <w:bidi w:val="0"/>
              <w:jc w:val="center"/>
              <w:rPr>
                <w:rFonts w:hint="default"/>
                <w:color w:val="auto"/>
                <w:sz w:val="18"/>
                <w:szCs w:val="18"/>
                <w:lang w:val="en-US" w:eastAsia="zh-CN"/>
              </w:rPr>
            </w:pPr>
            <w:r>
              <w:rPr>
                <w:rFonts w:hint="eastAsia"/>
                <w:color w:val="auto"/>
                <w:sz w:val="18"/>
                <w:szCs w:val="18"/>
                <w:lang w:val="en-US" w:eastAsia="zh-CN"/>
              </w:rPr>
              <w:t>棕</w:t>
            </w:r>
          </w:p>
        </w:tc>
      </w:tr>
      <w:tr w14:paraId="740FEA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26" w:type="pct"/>
            <w:vMerge w:val="continue"/>
            <w:tcBorders>
              <w:tl2br w:val="nil"/>
              <w:tr2bl w:val="nil"/>
            </w:tcBorders>
            <w:noWrap w:val="0"/>
            <w:tcMar>
              <w:top w:w="57" w:type="dxa"/>
              <w:left w:w="0" w:type="dxa"/>
              <w:bottom w:w="57" w:type="dxa"/>
              <w:right w:w="0" w:type="dxa"/>
            </w:tcMar>
            <w:vAlign w:val="center"/>
          </w:tcPr>
          <w:p w14:paraId="4C1E71DC">
            <w:pPr>
              <w:pStyle w:val="16"/>
              <w:bidi w:val="0"/>
              <w:rPr>
                <w:rFonts w:hint="default"/>
                <w:color w:val="auto"/>
              </w:rPr>
            </w:pPr>
          </w:p>
        </w:tc>
        <w:tc>
          <w:tcPr>
            <w:tcW w:w="436" w:type="pct"/>
            <w:tcBorders>
              <w:tl2br w:val="nil"/>
              <w:tr2bl w:val="nil"/>
            </w:tcBorders>
            <w:noWrap w:val="0"/>
            <w:tcMar>
              <w:top w:w="57" w:type="dxa"/>
              <w:left w:w="0" w:type="dxa"/>
              <w:bottom w:w="57" w:type="dxa"/>
              <w:right w:w="0" w:type="dxa"/>
            </w:tcMar>
            <w:vAlign w:val="center"/>
          </w:tcPr>
          <w:p w14:paraId="3A092C76">
            <w:pPr>
              <w:pStyle w:val="16"/>
              <w:bidi w:val="0"/>
              <w:rPr>
                <w:rFonts w:hint="default"/>
                <w:color w:val="auto"/>
                <w:sz w:val="18"/>
                <w:szCs w:val="18"/>
              </w:rPr>
            </w:pPr>
            <w:r>
              <w:rPr>
                <w:rFonts w:hint="default"/>
                <w:color w:val="auto"/>
                <w:sz w:val="18"/>
                <w:szCs w:val="18"/>
                <w:lang w:val="en-US" w:eastAsia="zh-CN"/>
              </w:rPr>
              <w:t>结构</w:t>
            </w:r>
          </w:p>
        </w:tc>
        <w:tc>
          <w:tcPr>
            <w:tcW w:w="355" w:type="pct"/>
            <w:tcBorders>
              <w:tl2br w:val="nil"/>
              <w:tr2bl w:val="nil"/>
            </w:tcBorders>
            <w:noWrap w:val="0"/>
            <w:tcMar>
              <w:top w:w="57" w:type="dxa"/>
              <w:left w:w="0" w:type="dxa"/>
              <w:bottom w:w="57" w:type="dxa"/>
              <w:right w:w="0" w:type="dxa"/>
            </w:tcMar>
            <w:vAlign w:val="center"/>
          </w:tcPr>
          <w:p w14:paraId="35704118">
            <w:pPr>
              <w:pStyle w:val="16"/>
              <w:bidi w:val="0"/>
              <w:jc w:val="center"/>
              <w:rPr>
                <w:rFonts w:hint="eastAsia"/>
                <w:color w:val="auto"/>
                <w:sz w:val="18"/>
                <w:szCs w:val="18"/>
                <w:lang w:val="en-US" w:eastAsia="zh-CN"/>
              </w:rPr>
            </w:pPr>
            <w:r>
              <w:rPr>
                <w:rFonts w:hint="eastAsia"/>
                <w:color w:val="auto"/>
                <w:sz w:val="18"/>
                <w:szCs w:val="18"/>
                <w:lang w:val="en-US" w:eastAsia="zh-CN"/>
              </w:rPr>
              <w:t>单粒</w:t>
            </w:r>
          </w:p>
        </w:tc>
        <w:tc>
          <w:tcPr>
            <w:tcW w:w="375" w:type="pct"/>
            <w:tcBorders>
              <w:tl2br w:val="nil"/>
              <w:tr2bl w:val="nil"/>
            </w:tcBorders>
            <w:noWrap w:val="0"/>
            <w:tcMar>
              <w:top w:w="57" w:type="dxa"/>
              <w:left w:w="0" w:type="dxa"/>
              <w:bottom w:w="57" w:type="dxa"/>
              <w:right w:w="0" w:type="dxa"/>
            </w:tcMar>
            <w:vAlign w:val="center"/>
          </w:tcPr>
          <w:p w14:paraId="6B4508A7">
            <w:pPr>
              <w:pStyle w:val="16"/>
              <w:bidi w:val="0"/>
              <w:jc w:val="center"/>
              <w:rPr>
                <w:rFonts w:hint="eastAsia"/>
                <w:color w:val="auto"/>
                <w:sz w:val="18"/>
                <w:szCs w:val="18"/>
                <w:lang w:val="en-US" w:eastAsia="zh-CN"/>
              </w:rPr>
            </w:pPr>
            <w:r>
              <w:rPr>
                <w:rFonts w:hint="eastAsia"/>
                <w:color w:val="auto"/>
                <w:sz w:val="18"/>
                <w:szCs w:val="18"/>
                <w:lang w:val="en-US" w:eastAsia="zh-CN"/>
              </w:rPr>
              <w:t>单粒</w:t>
            </w:r>
          </w:p>
        </w:tc>
        <w:tc>
          <w:tcPr>
            <w:tcW w:w="376" w:type="pct"/>
            <w:tcBorders>
              <w:tl2br w:val="nil"/>
              <w:tr2bl w:val="nil"/>
            </w:tcBorders>
            <w:noWrap w:val="0"/>
            <w:tcMar>
              <w:top w:w="57" w:type="dxa"/>
              <w:left w:w="0" w:type="dxa"/>
              <w:bottom w:w="57" w:type="dxa"/>
              <w:right w:w="0" w:type="dxa"/>
            </w:tcMar>
            <w:vAlign w:val="center"/>
          </w:tcPr>
          <w:p w14:paraId="7C303744">
            <w:pPr>
              <w:pStyle w:val="16"/>
              <w:bidi w:val="0"/>
              <w:jc w:val="center"/>
              <w:rPr>
                <w:rFonts w:hint="eastAsia"/>
                <w:color w:val="auto"/>
                <w:sz w:val="18"/>
                <w:szCs w:val="18"/>
                <w:lang w:val="en-US" w:eastAsia="zh-CN"/>
              </w:rPr>
            </w:pPr>
            <w:r>
              <w:rPr>
                <w:rFonts w:hint="eastAsia"/>
                <w:color w:val="auto"/>
                <w:sz w:val="18"/>
                <w:szCs w:val="18"/>
                <w:lang w:val="en-US" w:eastAsia="zh-CN"/>
              </w:rPr>
              <w:t>粒状</w:t>
            </w:r>
          </w:p>
        </w:tc>
        <w:tc>
          <w:tcPr>
            <w:tcW w:w="328" w:type="pct"/>
            <w:tcBorders>
              <w:tl2br w:val="nil"/>
              <w:tr2bl w:val="nil"/>
            </w:tcBorders>
            <w:noWrap w:val="0"/>
            <w:tcMar>
              <w:top w:w="57" w:type="dxa"/>
              <w:left w:w="0" w:type="dxa"/>
              <w:bottom w:w="57" w:type="dxa"/>
              <w:right w:w="0" w:type="dxa"/>
            </w:tcMar>
            <w:vAlign w:val="center"/>
          </w:tcPr>
          <w:p w14:paraId="078B90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片状</w:t>
            </w:r>
          </w:p>
        </w:tc>
        <w:tc>
          <w:tcPr>
            <w:tcW w:w="375" w:type="pct"/>
            <w:tcBorders>
              <w:tl2br w:val="nil"/>
              <w:tr2bl w:val="nil"/>
            </w:tcBorders>
            <w:noWrap w:val="0"/>
            <w:tcMar>
              <w:top w:w="57" w:type="dxa"/>
              <w:left w:w="0" w:type="dxa"/>
              <w:bottom w:w="57" w:type="dxa"/>
              <w:right w:w="0" w:type="dxa"/>
            </w:tcMar>
            <w:vAlign w:val="center"/>
          </w:tcPr>
          <w:p w14:paraId="487A09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片状</w:t>
            </w:r>
          </w:p>
        </w:tc>
        <w:tc>
          <w:tcPr>
            <w:tcW w:w="376" w:type="pct"/>
            <w:tcBorders>
              <w:tl2br w:val="nil"/>
              <w:tr2bl w:val="nil"/>
            </w:tcBorders>
            <w:noWrap w:val="0"/>
            <w:tcMar>
              <w:top w:w="57" w:type="dxa"/>
              <w:left w:w="0" w:type="dxa"/>
              <w:bottom w:w="57" w:type="dxa"/>
              <w:right w:w="0" w:type="dxa"/>
            </w:tcMar>
            <w:vAlign w:val="center"/>
          </w:tcPr>
          <w:p w14:paraId="7A0533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片状</w:t>
            </w:r>
          </w:p>
        </w:tc>
        <w:tc>
          <w:tcPr>
            <w:tcW w:w="328" w:type="pct"/>
            <w:tcBorders>
              <w:tl2br w:val="nil"/>
              <w:tr2bl w:val="nil"/>
            </w:tcBorders>
            <w:noWrap w:val="0"/>
            <w:tcMar>
              <w:top w:w="57" w:type="dxa"/>
              <w:left w:w="0" w:type="dxa"/>
              <w:bottom w:w="57" w:type="dxa"/>
              <w:right w:w="0" w:type="dxa"/>
            </w:tcMar>
            <w:vAlign w:val="center"/>
          </w:tcPr>
          <w:p w14:paraId="3069F4A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粒状</w:t>
            </w:r>
          </w:p>
        </w:tc>
        <w:tc>
          <w:tcPr>
            <w:tcW w:w="375" w:type="pct"/>
            <w:tcBorders>
              <w:tl2br w:val="nil"/>
              <w:tr2bl w:val="nil"/>
            </w:tcBorders>
            <w:noWrap w:val="0"/>
            <w:tcMar>
              <w:top w:w="57" w:type="dxa"/>
              <w:left w:w="0" w:type="dxa"/>
              <w:bottom w:w="57" w:type="dxa"/>
              <w:right w:w="0" w:type="dxa"/>
            </w:tcMar>
            <w:vAlign w:val="center"/>
          </w:tcPr>
          <w:p w14:paraId="3771F8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片状</w:t>
            </w:r>
          </w:p>
        </w:tc>
        <w:tc>
          <w:tcPr>
            <w:tcW w:w="379" w:type="pct"/>
            <w:tcBorders>
              <w:tl2br w:val="nil"/>
              <w:tr2bl w:val="nil"/>
            </w:tcBorders>
            <w:noWrap w:val="0"/>
            <w:tcMar>
              <w:top w:w="57" w:type="dxa"/>
              <w:left w:w="0" w:type="dxa"/>
              <w:bottom w:w="57" w:type="dxa"/>
              <w:right w:w="0" w:type="dxa"/>
            </w:tcMar>
            <w:vAlign w:val="center"/>
          </w:tcPr>
          <w:p w14:paraId="77548F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片状</w:t>
            </w:r>
          </w:p>
        </w:tc>
        <w:tc>
          <w:tcPr>
            <w:tcW w:w="355" w:type="pct"/>
            <w:tcBorders>
              <w:tl2br w:val="nil"/>
              <w:tr2bl w:val="nil"/>
            </w:tcBorders>
            <w:noWrap w:val="0"/>
            <w:tcMar>
              <w:top w:w="57" w:type="dxa"/>
              <w:left w:w="0" w:type="dxa"/>
              <w:bottom w:w="57" w:type="dxa"/>
              <w:right w:w="0" w:type="dxa"/>
            </w:tcMar>
            <w:vAlign w:val="center"/>
          </w:tcPr>
          <w:p w14:paraId="0C5EDE87">
            <w:pPr>
              <w:pStyle w:val="16"/>
              <w:bidi w:val="0"/>
              <w:jc w:val="center"/>
              <w:rPr>
                <w:rFonts w:hint="default"/>
                <w:color w:val="auto"/>
                <w:sz w:val="18"/>
                <w:szCs w:val="18"/>
                <w:lang w:val="en-US" w:eastAsia="zh-CN"/>
              </w:rPr>
            </w:pPr>
            <w:r>
              <w:rPr>
                <w:rFonts w:hint="eastAsia"/>
                <w:color w:val="auto"/>
                <w:sz w:val="18"/>
                <w:szCs w:val="18"/>
                <w:lang w:val="en-US" w:eastAsia="zh-CN"/>
              </w:rPr>
              <w:t>片状</w:t>
            </w:r>
          </w:p>
        </w:tc>
        <w:tc>
          <w:tcPr>
            <w:tcW w:w="355" w:type="pct"/>
            <w:tcBorders>
              <w:tl2br w:val="nil"/>
              <w:tr2bl w:val="nil"/>
            </w:tcBorders>
            <w:noWrap w:val="0"/>
            <w:tcMar>
              <w:top w:w="57" w:type="dxa"/>
              <w:left w:w="0" w:type="dxa"/>
              <w:bottom w:w="57" w:type="dxa"/>
              <w:right w:w="0" w:type="dxa"/>
            </w:tcMar>
            <w:vAlign w:val="center"/>
          </w:tcPr>
          <w:p w14:paraId="08B8AFC4">
            <w:pPr>
              <w:pStyle w:val="16"/>
              <w:bidi w:val="0"/>
              <w:jc w:val="center"/>
              <w:rPr>
                <w:rFonts w:hint="default"/>
                <w:color w:val="auto"/>
                <w:sz w:val="18"/>
                <w:szCs w:val="18"/>
                <w:lang w:val="en-US" w:eastAsia="zh-CN"/>
              </w:rPr>
            </w:pPr>
            <w:r>
              <w:rPr>
                <w:rFonts w:hint="eastAsia"/>
                <w:color w:val="auto"/>
                <w:sz w:val="18"/>
                <w:szCs w:val="18"/>
                <w:lang w:val="en-US" w:eastAsia="zh-CN"/>
              </w:rPr>
              <w:t>大块状</w:t>
            </w:r>
          </w:p>
        </w:tc>
        <w:tc>
          <w:tcPr>
            <w:tcW w:w="355" w:type="pct"/>
            <w:tcBorders>
              <w:tl2br w:val="nil"/>
              <w:tr2bl w:val="nil"/>
            </w:tcBorders>
            <w:noWrap w:val="0"/>
            <w:tcMar>
              <w:top w:w="57" w:type="dxa"/>
              <w:left w:w="0" w:type="dxa"/>
              <w:bottom w:w="57" w:type="dxa"/>
              <w:right w:w="0" w:type="dxa"/>
            </w:tcMar>
            <w:vAlign w:val="center"/>
          </w:tcPr>
          <w:p w14:paraId="14CE61FD">
            <w:pPr>
              <w:pStyle w:val="16"/>
              <w:bidi w:val="0"/>
              <w:jc w:val="center"/>
              <w:rPr>
                <w:rFonts w:hint="default"/>
                <w:color w:val="auto"/>
                <w:sz w:val="18"/>
                <w:szCs w:val="18"/>
                <w:lang w:val="en-US" w:eastAsia="zh-CN"/>
              </w:rPr>
            </w:pPr>
            <w:r>
              <w:rPr>
                <w:rFonts w:hint="eastAsia"/>
                <w:color w:val="auto"/>
                <w:sz w:val="18"/>
                <w:szCs w:val="18"/>
                <w:lang w:val="en-US" w:eastAsia="zh-CN"/>
              </w:rPr>
              <w:t>粒状</w:t>
            </w:r>
          </w:p>
        </w:tc>
      </w:tr>
      <w:tr w14:paraId="4CCCBA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26" w:type="pct"/>
            <w:vMerge w:val="continue"/>
            <w:tcBorders>
              <w:tl2br w:val="nil"/>
              <w:tr2bl w:val="nil"/>
            </w:tcBorders>
            <w:noWrap w:val="0"/>
            <w:tcMar>
              <w:top w:w="57" w:type="dxa"/>
              <w:left w:w="0" w:type="dxa"/>
              <w:bottom w:w="57" w:type="dxa"/>
              <w:right w:w="0" w:type="dxa"/>
            </w:tcMar>
            <w:vAlign w:val="center"/>
          </w:tcPr>
          <w:p w14:paraId="61F4CCAC">
            <w:pPr>
              <w:pStyle w:val="16"/>
              <w:bidi w:val="0"/>
              <w:rPr>
                <w:rFonts w:hint="default"/>
                <w:color w:val="auto"/>
                <w:lang w:eastAsia="zh-CN"/>
              </w:rPr>
            </w:pPr>
            <w:r>
              <w:rPr>
                <w:rFonts w:hint="default"/>
                <w:color w:val="auto"/>
                <w:lang w:eastAsia="zh-CN"/>
              </w:rPr>
              <w:t xml:space="preserve"> </w:t>
            </w:r>
          </w:p>
        </w:tc>
        <w:tc>
          <w:tcPr>
            <w:tcW w:w="436" w:type="pct"/>
            <w:tcBorders>
              <w:tl2br w:val="nil"/>
              <w:tr2bl w:val="nil"/>
            </w:tcBorders>
            <w:noWrap w:val="0"/>
            <w:tcMar>
              <w:top w:w="57" w:type="dxa"/>
              <w:left w:w="0" w:type="dxa"/>
              <w:bottom w:w="57" w:type="dxa"/>
              <w:right w:w="0" w:type="dxa"/>
            </w:tcMar>
            <w:vAlign w:val="center"/>
          </w:tcPr>
          <w:p w14:paraId="2BF394FE">
            <w:pPr>
              <w:pStyle w:val="16"/>
              <w:bidi w:val="0"/>
              <w:rPr>
                <w:rFonts w:hint="default"/>
                <w:color w:val="auto"/>
                <w:sz w:val="18"/>
                <w:szCs w:val="18"/>
              </w:rPr>
            </w:pPr>
            <w:r>
              <w:rPr>
                <w:rFonts w:hint="default"/>
                <w:color w:val="auto"/>
                <w:sz w:val="18"/>
                <w:szCs w:val="18"/>
                <w:lang w:val="en-US" w:eastAsia="zh-CN"/>
              </w:rPr>
              <w:t>质地</w:t>
            </w:r>
          </w:p>
        </w:tc>
        <w:tc>
          <w:tcPr>
            <w:tcW w:w="355" w:type="pct"/>
            <w:tcBorders>
              <w:tl2br w:val="nil"/>
              <w:tr2bl w:val="nil"/>
            </w:tcBorders>
            <w:noWrap w:val="0"/>
            <w:tcMar>
              <w:top w:w="57" w:type="dxa"/>
              <w:left w:w="0" w:type="dxa"/>
              <w:bottom w:w="57" w:type="dxa"/>
              <w:right w:w="0" w:type="dxa"/>
            </w:tcMar>
            <w:vAlign w:val="center"/>
          </w:tcPr>
          <w:p w14:paraId="73B45C7D">
            <w:pPr>
              <w:pStyle w:val="16"/>
              <w:bidi w:val="0"/>
              <w:jc w:val="center"/>
              <w:rPr>
                <w:rFonts w:hint="eastAsia"/>
                <w:color w:val="auto"/>
                <w:sz w:val="18"/>
                <w:szCs w:val="18"/>
                <w:lang w:val="en-US" w:eastAsia="zh-CN"/>
              </w:rPr>
            </w:pPr>
            <w:r>
              <w:rPr>
                <w:rFonts w:hint="eastAsia"/>
                <w:color w:val="auto"/>
                <w:sz w:val="18"/>
                <w:szCs w:val="18"/>
                <w:lang w:val="en-US" w:eastAsia="zh-CN"/>
              </w:rPr>
              <w:t>轻壤土</w:t>
            </w:r>
          </w:p>
        </w:tc>
        <w:tc>
          <w:tcPr>
            <w:tcW w:w="375" w:type="pct"/>
            <w:tcBorders>
              <w:tl2br w:val="nil"/>
              <w:tr2bl w:val="nil"/>
            </w:tcBorders>
            <w:noWrap w:val="0"/>
            <w:tcMar>
              <w:top w:w="57" w:type="dxa"/>
              <w:left w:w="0" w:type="dxa"/>
              <w:bottom w:w="57" w:type="dxa"/>
              <w:right w:w="0" w:type="dxa"/>
            </w:tcMar>
            <w:vAlign w:val="center"/>
          </w:tcPr>
          <w:p w14:paraId="516884C5">
            <w:pPr>
              <w:pStyle w:val="16"/>
              <w:bidi w:val="0"/>
              <w:jc w:val="center"/>
              <w:rPr>
                <w:rFonts w:hint="eastAsia"/>
                <w:color w:val="auto"/>
                <w:sz w:val="18"/>
                <w:szCs w:val="18"/>
                <w:lang w:val="en-US" w:eastAsia="zh-CN"/>
              </w:rPr>
            </w:pPr>
            <w:r>
              <w:rPr>
                <w:rFonts w:hint="eastAsia"/>
                <w:color w:val="auto"/>
                <w:sz w:val="18"/>
                <w:szCs w:val="18"/>
                <w:lang w:val="en-US" w:eastAsia="zh-CN"/>
              </w:rPr>
              <w:t>轻壤土</w:t>
            </w:r>
          </w:p>
        </w:tc>
        <w:tc>
          <w:tcPr>
            <w:tcW w:w="376" w:type="pct"/>
            <w:tcBorders>
              <w:tl2br w:val="nil"/>
              <w:tr2bl w:val="nil"/>
            </w:tcBorders>
            <w:noWrap w:val="0"/>
            <w:tcMar>
              <w:top w:w="57" w:type="dxa"/>
              <w:left w:w="0" w:type="dxa"/>
              <w:bottom w:w="57" w:type="dxa"/>
              <w:right w:w="0" w:type="dxa"/>
            </w:tcMar>
            <w:vAlign w:val="center"/>
          </w:tcPr>
          <w:p w14:paraId="59C97BCA">
            <w:pPr>
              <w:pStyle w:val="16"/>
              <w:bidi w:val="0"/>
              <w:jc w:val="center"/>
              <w:rPr>
                <w:rFonts w:hint="eastAsia"/>
                <w:color w:val="auto"/>
                <w:sz w:val="18"/>
                <w:szCs w:val="18"/>
                <w:lang w:val="en-US" w:eastAsia="zh-CN"/>
              </w:rPr>
            </w:pPr>
            <w:r>
              <w:rPr>
                <w:rFonts w:hint="eastAsia"/>
                <w:color w:val="auto"/>
                <w:sz w:val="18"/>
                <w:szCs w:val="18"/>
                <w:lang w:val="en-US" w:eastAsia="zh-CN"/>
              </w:rPr>
              <w:t>砂壤土</w:t>
            </w:r>
          </w:p>
        </w:tc>
        <w:tc>
          <w:tcPr>
            <w:tcW w:w="328" w:type="pct"/>
            <w:tcBorders>
              <w:tl2br w:val="nil"/>
              <w:tr2bl w:val="nil"/>
            </w:tcBorders>
            <w:noWrap w:val="0"/>
            <w:tcMar>
              <w:top w:w="57" w:type="dxa"/>
              <w:left w:w="0" w:type="dxa"/>
              <w:bottom w:w="57" w:type="dxa"/>
              <w:right w:w="0" w:type="dxa"/>
            </w:tcMar>
            <w:vAlign w:val="center"/>
          </w:tcPr>
          <w:p w14:paraId="6D24EB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2"/>
                <w:sz w:val="18"/>
                <w:szCs w:val="18"/>
                <w:lang w:val="en-US" w:eastAsia="zh-CN" w:bidi="ar-SA"/>
              </w:rPr>
              <w:t>砂壤土</w:t>
            </w:r>
          </w:p>
        </w:tc>
        <w:tc>
          <w:tcPr>
            <w:tcW w:w="375" w:type="pct"/>
            <w:tcBorders>
              <w:tl2br w:val="nil"/>
              <w:tr2bl w:val="nil"/>
            </w:tcBorders>
            <w:noWrap w:val="0"/>
            <w:tcMar>
              <w:top w:w="57" w:type="dxa"/>
              <w:left w:w="0" w:type="dxa"/>
              <w:bottom w:w="57" w:type="dxa"/>
              <w:right w:w="0" w:type="dxa"/>
            </w:tcMar>
            <w:vAlign w:val="center"/>
          </w:tcPr>
          <w:p w14:paraId="393A81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2"/>
                <w:sz w:val="18"/>
                <w:szCs w:val="18"/>
                <w:lang w:val="en-US" w:eastAsia="zh-CN" w:bidi="ar-SA"/>
              </w:rPr>
              <w:t>砂壤土</w:t>
            </w:r>
          </w:p>
        </w:tc>
        <w:tc>
          <w:tcPr>
            <w:tcW w:w="376" w:type="pct"/>
            <w:tcBorders>
              <w:tl2br w:val="nil"/>
              <w:tr2bl w:val="nil"/>
            </w:tcBorders>
            <w:noWrap w:val="0"/>
            <w:tcMar>
              <w:top w:w="57" w:type="dxa"/>
              <w:left w:w="0" w:type="dxa"/>
              <w:bottom w:w="57" w:type="dxa"/>
              <w:right w:w="0" w:type="dxa"/>
            </w:tcMar>
            <w:vAlign w:val="center"/>
          </w:tcPr>
          <w:p w14:paraId="659513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2"/>
                <w:sz w:val="18"/>
                <w:szCs w:val="18"/>
                <w:lang w:val="en-US" w:eastAsia="zh-CN" w:bidi="ar-SA"/>
              </w:rPr>
              <w:t>砂壤土</w:t>
            </w:r>
          </w:p>
        </w:tc>
        <w:tc>
          <w:tcPr>
            <w:tcW w:w="328" w:type="pct"/>
            <w:tcBorders>
              <w:tl2br w:val="nil"/>
              <w:tr2bl w:val="nil"/>
            </w:tcBorders>
            <w:noWrap w:val="0"/>
            <w:tcMar>
              <w:top w:w="57" w:type="dxa"/>
              <w:left w:w="0" w:type="dxa"/>
              <w:bottom w:w="57" w:type="dxa"/>
              <w:right w:w="0" w:type="dxa"/>
            </w:tcMar>
            <w:vAlign w:val="center"/>
          </w:tcPr>
          <w:p w14:paraId="352497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2"/>
                <w:sz w:val="18"/>
                <w:szCs w:val="18"/>
                <w:lang w:val="en-US" w:eastAsia="zh-CN" w:bidi="ar-SA"/>
              </w:rPr>
              <w:t>轻壤土</w:t>
            </w:r>
          </w:p>
        </w:tc>
        <w:tc>
          <w:tcPr>
            <w:tcW w:w="375" w:type="pct"/>
            <w:tcBorders>
              <w:tl2br w:val="nil"/>
              <w:tr2bl w:val="nil"/>
            </w:tcBorders>
            <w:noWrap w:val="0"/>
            <w:tcMar>
              <w:top w:w="57" w:type="dxa"/>
              <w:left w:w="0" w:type="dxa"/>
              <w:bottom w:w="57" w:type="dxa"/>
              <w:right w:w="0" w:type="dxa"/>
            </w:tcMar>
            <w:vAlign w:val="center"/>
          </w:tcPr>
          <w:p w14:paraId="230C9D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2"/>
                <w:sz w:val="18"/>
                <w:szCs w:val="18"/>
                <w:lang w:val="en-US" w:eastAsia="zh-CN" w:bidi="ar-SA"/>
              </w:rPr>
              <w:t>砂壤土</w:t>
            </w:r>
          </w:p>
        </w:tc>
        <w:tc>
          <w:tcPr>
            <w:tcW w:w="379" w:type="pct"/>
            <w:tcBorders>
              <w:tl2br w:val="nil"/>
              <w:tr2bl w:val="nil"/>
            </w:tcBorders>
            <w:noWrap w:val="0"/>
            <w:tcMar>
              <w:top w:w="57" w:type="dxa"/>
              <w:left w:w="0" w:type="dxa"/>
              <w:bottom w:w="57" w:type="dxa"/>
              <w:right w:w="0" w:type="dxa"/>
            </w:tcMar>
            <w:vAlign w:val="center"/>
          </w:tcPr>
          <w:p w14:paraId="782BC3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2"/>
                <w:sz w:val="18"/>
                <w:szCs w:val="18"/>
                <w:lang w:val="en-US" w:eastAsia="zh-CN" w:bidi="ar-SA"/>
              </w:rPr>
              <w:t>砂壤土</w:t>
            </w:r>
          </w:p>
        </w:tc>
        <w:tc>
          <w:tcPr>
            <w:tcW w:w="355" w:type="pct"/>
            <w:tcBorders>
              <w:tl2br w:val="nil"/>
              <w:tr2bl w:val="nil"/>
            </w:tcBorders>
            <w:noWrap w:val="0"/>
            <w:tcMar>
              <w:top w:w="57" w:type="dxa"/>
              <w:left w:w="0" w:type="dxa"/>
              <w:bottom w:w="57" w:type="dxa"/>
              <w:right w:w="0" w:type="dxa"/>
            </w:tcMar>
            <w:vAlign w:val="center"/>
          </w:tcPr>
          <w:p w14:paraId="7E5B3E52">
            <w:pPr>
              <w:pStyle w:val="16"/>
              <w:bidi w:val="0"/>
              <w:jc w:val="center"/>
              <w:rPr>
                <w:rFonts w:hint="default"/>
                <w:color w:val="auto"/>
                <w:sz w:val="18"/>
                <w:szCs w:val="18"/>
                <w:lang w:val="en-US" w:eastAsia="zh-CN"/>
              </w:rPr>
            </w:pPr>
            <w:r>
              <w:rPr>
                <w:rFonts w:hint="eastAsia"/>
                <w:color w:val="auto"/>
                <w:sz w:val="18"/>
                <w:szCs w:val="18"/>
                <w:lang w:val="en-US" w:eastAsia="zh-CN"/>
              </w:rPr>
              <w:t>轻壤土</w:t>
            </w:r>
          </w:p>
        </w:tc>
        <w:tc>
          <w:tcPr>
            <w:tcW w:w="355" w:type="pct"/>
            <w:tcBorders>
              <w:tl2br w:val="nil"/>
              <w:tr2bl w:val="nil"/>
            </w:tcBorders>
            <w:noWrap w:val="0"/>
            <w:tcMar>
              <w:top w:w="57" w:type="dxa"/>
              <w:left w:w="0" w:type="dxa"/>
              <w:bottom w:w="57" w:type="dxa"/>
              <w:right w:w="0" w:type="dxa"/>
            </w:tcMar>
            <w:vAlign w:val="center"/>
          </w:tcPr>
          <w:p w14:paraId="32235B1F">
            <w:pPr>
              <w:pStyle w:val="16"/>
              <w:bidi w:val="0"/>
              <w:jc w:val="center"/>
              <w:rPr>
                <w:rFonts w:hint="default"/>
                <w:color w:val="auto"/>
                <w:sz w:val="18"/>
                <w:szCs w:val="18"/>
                <w:lang w:val="en-US" w:eastAsia="zh-CN"/>
              </w:rPr>
            </w:pPr>
            <w:r>
              <w:rPr>
                <w:rFonts w:hint="eastAsia"/>
                <w:color w:val="auto"/>
                <w:sz w:val="18"/>
                <w:szCs w:val="18"/>
                <w:lang w:val="en-US" w:eastAsia="zh-CN"/>
              </w:rPr>
              <w:t>轻壤土</w:t>
            </w:r>
          </w:p>
        </w:tc>
        <w:tc>
          <w:tcPr>
            <w:tcW w:w="355" w:type="pct"/>
            <w:tcBorders>
              <w:tl2br w:val="nil"/>
              <w:tr2bl w:val="nil"/>
            </w:tcBorders>
            <w:noWrap w:val="0"/>
            <w:tcMar>
              <w:top w:w="57" w:type="dxa"/>
              <w:left w:w="0" w:type="dxa"/>
              <w:bottom w:w="57" w:type="dxa"/>
              <w:right w:w="0" w:type="dxa"/>
            </w:tcMar>
            <w:vAlign w:val="center"/>
          </w:tcPr>
          <w:p w14:paraId="70273674">
            <w:pPr>
              <w:pStyle w:val="16"/>
              <w:bidi w:val="0"/>
              <w:jc w:val="center"/>
              <w:rPr>
                <w:rFonts w:hint="eastAsia"/>
                <w:color w:val="auto"/>
                <w:sz w:val="18"/>
                <w:szCs w:val="18"/>
                <w:lang w:val="en-US" w:eastAsia="zh-CN"/>
              </w:rPr>
            </w:pPr>
            <w:r>
              <w:rPr>
                <w:rFonts w:hint="eastAsia"/>
                <w:color w:val="auto"/>
                <w:sz w:val="18"/>
                <w:szCs w:val="18"/>
                <w:lang w:val="en-US" w:eastAsia="zh-CN"/>
              </w:rPr>
              <w:t>轻壤土</w:t>
            </w:r>
          </w:p>
        </w:tc>
      </w:tr>
      <w:tr w14:paraId="141AB4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26" w:type="pct"/>
            <w:vMerge w:val="continue"/>
            <w:tcBorders>
              <w:tl2br w:val="nil"/>
              <w:tr2bl w:val="nil"/>
            </w:tcBorders>
            <w:noWrap w:val="0"/>
            <w:tcMar>
              <w:top w:w="57" w:type="dxa"/>
              <w:left w:w="0" w:type="dxa"/>
              <w:bottom w:w="57" w:type="dxa"/>
              <w:right w:w="0" w:type="dxa"/>
            </w:tcMar>
            <w:vAlign w:val="center"/>
          </w:tcPr>
          <w:p w14:paraId="56CB1918">
            <w:pPr>
              <w:pStyle w:val="16"/>
              <w:bidi w:val="0"/>
              <w:rPr>
                <w:rFonts w:hint="default"/>
                <w:color w:val="auto"/>
              </w:rPr>
            </w:pPr>
          </w:p>
        </w:tc>
        <w:tc>
          <w:tcPr>
            <w:tcW w:w="436" w:type="pct"/>
            <w:tcBorders>
              <w:tl2br w:val="nil"/>
              <w:tr2bl w:val="nil"/>
            </w:tcBorders>
            <w:noWrap w:val="0"/>
            <w:tcMar>
              <w:top w:w="57" w:type="dxa"/>
              <w:left w:w="0" w:type="dxa"/>
              <w:bottom w:w="57" w:type="dxa"/>
              <w:right w:w="0" w:type="dxa"/>
            </w:tcMar>
            <w:vAlign w:val="center"/>
          </w:tcPr>
          <w:p w14:paraId="6D5909D5">
            <w:pPr>
              <w:pStyle w:val="16"/>
              <w:bidi w:val="0"/>
              <w:rPr>
                <w:rFonts w:hint="default"/>
                <w:color w:val="auto"/>
                <w:sz w:val="18"/>
                <w:szCs w:val="18"/>
              </w:rPr>
            </w:pPr>
            <w:r>
              <w:rPr>
                <w:rFonts w:hint="default"/>
                <w:color w:val="auto"/>
                <w:sz w:val="18"/>
                <w:szCs w:val="18"/>
                <w:lang w:val="en-US" w:eastAsia="zh-CN"/>
              </w:rPr>
              <w:t>砂砾含量</w:t>
            </w:r>
            <w:r>
              <w:rPr>
                <w:rFonts w:hint="eastAsia"/>
                <w:color w:val="auto"/>
                <w:sz w:val="18"/>
                <w:szCs w:val="18"/>
                <w:lang w:val="en-US" w:eastAsia="zh-CN"/>
              </w:rPr>
              <w:t>（%）</w:t>
            </w:r>
          </w:p>
        </w:tc>
        <w:tc>
          <w:tcPr>
            <w:tcW w:w="355" w:type="pct"/>
            <w:tcBorders>
              <w:tl2br w:val="nil"/>
              <w:tr2bl w:val="nil"/>
            </w:tcBorders>
            <w:noWrap w:val="0"/>
            <w:tcMar>
              <w:top w:w="57" w:type="dxa"/>
              <w:left w:w="0" w:type="dxa"/>
              <w:bottom w:w="57" w:type="dxa"/>
              <w:right w:w="0" w:type="dxa"/>
            </w:tcMar>
            <w:vAlign w:val="center"/>
          </w:tcPr>
          <w:p w14:paraId="3333BB5E">
            <w:pPr>
              <w:pStyle w:val="16"/>
              <w:bidi w:val="0"/>
              <w:jc w:val="center"/>
              <w:rPr>
                <w:rFonts w:hint="eastAsia"/>
                <w:color w:val="auto"/>
                <w:sz w:val="18"/>
                <w:szCs w:val="18"/>
                <w:lang w:val="en-US" w:eastAsia="zh-CN"/>
              </w:rPr>
            </w:pPr>
            <w:r>
              <w:rPr>
                <w:rFonts w:hint="eastAsia"/>
                <w:color w:val="auto"/>
                <w:sz w:val="18"/>
                <w:szCs w:val="18"/>
                <w:lang w:val="en-US" w:eastAsia="zh-CN"/>
              </w:rPr>
              <w:t>13</w:t>
            </w:r>
          </w:p>
        </w:tc>
        <w:tc>
          <w:tcPr>
            <w:tcW w:w="375" w:type="pct"/>
            <w:tcBorders>
              <w:tl2br w:val="nil"/>
              <w:tr2bl w:val="nil"/>
            </w:tcBorders>
            <w:noWrap w:val="0"/>
            <w:tcMar>
              <w:top w:w="57" w:type="dxa"/>
              <w:left w:w="0" w:type="dxa"/>
              <w:bottom w:w="57" w:type="dxa"/>
              <w:right w:w="0" w:type="dxa"/>
            </w:tcMar>
            <w:vAlign w:val="center"/>
          </w:tcPr>
          <w:p w14:paraId="6083406A">
            <w:pPr>
              <w:pStyle w:val="16"/>
              <w:bidi w:val="0"/>
              <w:jc w:val="center"/>
              <w:rPr>
                <w:rFonts w:hint="eastAsia"/>
                <w:color w:val="auto"/>
                <w:sz w:val="18"/>
                <w:szCs w:val="18"/>
                <w:lang w:val="en-US" w:eastAsia="zh-CN"/>
              </w:rPr>
            </w:pPr>
            <w:r>
              <w:rPr>
                <w:rFonts w:hint="eastAsia"/>
                <w:color w:val="auto"/>
                <w:sz w:val="18"/>
                <w:szCs w:val="18"/>
                <w:lang w:val="en-US" w:eastAsia="zh-CN"/>
              </w:rPr>
              <w:t>12</w:t>
            </w:r>
          </w:p>
        </w:tc>
        <w:tc>
          <w:tcPr>
            <w:tcW w:w="376" w:type="pct"/>
            <w:tcBorders>
              <w:tl2br w:val="nil"/>
              <w:tr2bl w:val="nil"/>
            </w:tcBorders>
            <w:noWrap w:val="0"/>
            <w:tcMar>
              <w:top w:w="57" w:type="dxa"/>
              <w:left w:w="0" w:type="dxa"/>
              <w:bottom w:w="57" w:type="dxa"/>
              <w:right w:w="0" w:type="dxa"/>
            </w:tcMar>
            <w:vAlign w:val="center"/>
          </w:tcPr>
          <w:p w14:paraId="3EBF7E2F">
            <w:pPr>
              <w:pStyle w:val="16"/>
              <w:bidi w:val="0"/>
              <w:jc w:val="center"/>
              <w:rPr>
                <w:rFonts w:hint="eastAsia"/>
                <w:color w:val="auto"/>
                <w:sz w:val="18"/>
                <w:szCs w:val="18"/>
                <w:lang w:val="en-US" w:eastAsia="zh-CN"/>
              </w:rPr>
            </w:pPr>
            <w:r>
              <w:rPr>
                <w:rFonts w:hint="eastAsia"/>
                <w:color w:val="auto"/>
                <w:sz w:val="18"/>
                <w:szCs w:val="18"/>
                <w:lang w:val="en-US" w:eastAsia="zh-CN"/>
              </w:rPr>
              <w:t>14</w:t>
            </w:r>
          </w:p>
        </w:tc>
        <w:tc>
          <w:tcPr>
            <w:tcW w:w="328" w:type="pct"/>
            <w:tcBorders>
              <w:tl2br w:val="nil"/>
              <w:tr2bl w:val="nil"/>
            </w:tcBorders>
            <w:noWrap w:val="0"/>
            <w:tcMar>
              <w:top w:w="57" w:type="dxa"/>
              <w:left w:w="0" w:type="dxa"/>
              <w:bottom w:w="57" w:type="dxa"/>
              <w:right w:w="0" w:type="dxa"/>
            </w:tcMar>
            <w:vAlign w:val="center"/>
          </w:tcPr>
          <w:p w14:paraId="663FE0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2"/>
                <w:sz w:val="18"/>
                <w:szCs w:val="18"/>
                <w:lang w:val="en-US" w:eastAsia="zh-CN" w:bidi="ar-SA"/>
              </w:rPr>
              <w:t>14</w:t>
            </w:r>
          </w:p>
        </w:tc>
        <w:tc>
          <w:tcPr>
            <w:tcW w:w="375" w:type="pct"/>
            <w:tcBorders>
              <w:tl2br w:val="nil"/>
              <w:tr2bl w:val="nil"/>
            </w:tcBorders>
            <w:noWrap w:val="0"/>
            <w:tcMar>
              <w:top w:w="57" w:type="dxa"/>
              <w:left w:w="0" w:type="dxa"/>
              <w:bottom w:w="57" w:type="dxa"/>
              <w:right w:w="0" w:type="dxa"/>
            </w:tcMar>
            <w:vAlign w:val="center"/>
          </w:tcPr>
          <w:p w14:paraId="2D68DFC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2"/>
                <w:sz w:val="18"/>
                <w:szCs w:val="18"/>
                <w:lang w:val="en-US" w:eastAsia="zh-CN" w:bidi="ar-SA"/>
              </w:rPr>
              <w:t>13</w:t>
            </w:r>
          </w:p>
        </w:tc>
        <w:tc>
          <w:tcPr>
            <w:tcW w:w="376" w:type="pct"/>
            <w:tcBorders>
              <w:tl2br w:val="nil"/>
              <w:tr2bl w:val="nil"/>
            </w:tcBorders>
            <w:noWrap w:val="0"/>
            <w:tcMar>
              <w:top w:w="57" w:type="dxa"/>
              <w:left w:w="0" w:type="dxa"/>
              <w:bottom w:w="57" w:type="dxa"/>
              <w:right w:w="0" w:type="dxa"/>
            </w:tcMar>
            <w:vAlign w:val="center"/>
          </w:tcPr>
          <w:p w14:paraId="02B837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2"/>
                <w:sz w:val="18"/>
                <w:szCs w:val="18"/>
                <w:lang w:val="en-US" w:eastAsia="zh-CN" w:bidi="ar-SA"/>
              </w:rPr>
              <w:t>15</w:t>
            </w:r>
          </w:p>
        </w:tc>
        <w:tc>
          <w:tcPr>
            <w:tcW w:w="328" w:type="pct"/>
            <w:tcBorders>
              <w:tl2br w:val="nil"/>
              <w:tr2bl w:val="nil"/>
            </w:tcBorders>
            <w:noWrap w:val="0"/>
            <w:tcMar>
              <w:top w:w="57" w:type="dxa"/>
              <w:left w:w="0" w:type="dxa"/>
              <w:bottom w:w="57" w:type="dxa"/>
              <w:right w:w="0" w:type="dxa"/>
            </w:tcMar>
            <w:vAlign w:val="center"/>
          </w:tcPr>
          <w:p w14:paraId="5FF570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2"/>
                <w:sz w:val="18"/>
                <w:szCs w:val="18"/>
                <w:lang w:val="en-US" w:eastAsia="zh-CN" w:bidi="ar-SA"/>
              </w:rPr>
              <w:t>15</w:t>
            </w:r>
          </w:p>
        </w:tc>
        <w:tc>
          <w:tcPr>
            <w:tcW w:w="375" w:type="pct"/>
            <w:tcBorders>
              <w:tl2br w:val="nil"/>
              <w:tr2bl w:val="nil"/>
            </w:tcBorders>
            <w:noWrap w:val="0"/>
            <w:tcMar>
              <w:top w:w="57" w:type="dxa"/>
              <w:left w:w="0" w:type="dxa"/>
              <w:bottom w:w="57" w:type="dxa"/>
              <w:right w:w="0" w:type="dxa"/>
            </w:tcMar>
            <w:vAlign w:val="center"/>
          </w:tcPr>
          <w:p w14:paraId="2F7551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2"/>
                <w:sz w:val="18"/>
                <w:szCs w:val="18"/>
                <w:lang w:val="en-US" w:eastAsia="zh-CN" w:bidi="ar-SA"/>
              </w:rPr>
              <w:t>15</w:t>
            </w:r>
          </w:p>
        </w:tc>
        <w:tc>
          <w:tcPr>
            <w:tcW w:w="379" w:type="pct"/>
            <w:tcBorders>
              <w:tl2br w:val="nil"/>
              <w:tr2bl w:val="nil"/>
            </w:tcBorders>
            <w:noWrap w:val="0"/>
            <w:tcMar>
              <w:top w:w="57" w:type="dxa"/>
              <w:left w:w="0" w:type="dxa"/>
              <w:bottom w:w="57" w:type="dxa"/>
              <w:right w:w="0" w:type="dxa"/>
            </w:tcMar>
            <w:vAlign w:val="center"/>
          </w:tcPr>
          <w:p w14:paraId="74D3F0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2"/>
                <w:sz w:val="18"/>
                <w:szCs w:val="18"/>
                <w:lang w:val="en-US" w:eastAsia="zh-CN" w:bidi="ar-SA"/>
              </w:rPr>
              <w:t>17</w:t>
            </w:r>
          </w:p>
        </w:tc>
        <w:tc>
          <w:tcPr>
            <w:tcW w:w="355" w:type="pct"/>
            <w:tcBorders>
              <w:tl2br w:val="nil"/>
              <w:tr2bl w:val="nil"/>
            </w:tcBorders>
            <w:noWrap w:val="0"/>
            <w:tcMar>
              <w:top w:w="57" w:type="dxa"/>
              <w:left w:w="0" w:type="dxa"/>
              <w:bottom w:w="57" w:type="dxa"/>
              <w:right w:w="0" w:type="dxa"/>
            </w:tcMar>
            <w:vAlign w:val="center"/>
          </w:tcPr>
          <w:p w14:paraId="509F23AD">
            <w:pPr>
              <w:pStyle w:val="16"/>
              <w:bidi w:val="0"/>
              <w:jc w:val="center"/>
              <w:rPr>
                <w:rFonts w:hint="default"/>
                <w:color w:val="auto"/>
                <w:sz w:val="18"/>
                <w:szCs w:val="18"/>
                <w:lang w:val="en-US" w:eastAsia="zh-CN"/>
              </w:rPr>
            </w:pPr>
            <w:r>
              <w:rPr>
                <w:rFonts w:hint="eastAsia"/>
                <w:color w:val="auto"/>
                <w:sz w:val="18"/>
                <w:szCs w:val="18"/>
                <w:lang w:val="en-US" w:eastAsia="zh-CN"/>
              </w:rPr>
              <w:t>13</w:t>
            </w:r>
          </w:p>
        </w:tc>
        <w:tc>
          <w:tcPr>
            <w:tcW w:w="355" w:type="pct"/>
            <w:tcBorders>
              <w:tl2br w:val="nil"/>
              <w:tr2bl w:val="nil"/>
            </w:tcBorders>
            <w:noWrap w:val="0"/>
            <w:tcMar>
              <w:top w:w="57" w:type="dxa"/>
              <w:left w:w="0" w:type="dxa"/>
              <w:bottom w:w="57" w:type="dxa"/>
              <w:right w:w="0" w:type="dxa"/>
            </w:tcMar>
            <w:vAlign w:val="center"/>
          </w:tcPr>
          <w:p w14:paraId="05B7F371">
            <w:pPr>
              <w:pStyle w:val="16"/>
              <w:bidi w:val="0"/>
              <w:jc w:val="center"/>
              <w:rPr>
                <w:rFonts w:hint="default"/>
                <w:color w:val="auto"/>
                <w:sz w:val="18"/>
                <w:szCs w:val="18"/>
                <w:lang w:val="en-US" w:eastAsia="zh-CN"/>
              </w:rPr>
            </w:pPr>
            <w:r>
              <w:rPr>
                <w:rFonts w:hint="eastAsia"/>
                <w:color w:val="auto"/>
                <w:sz w:val="18"/>
                <w:szCs w:val="18"/>
                <w:lang w:val="en-US" w:eastAsia="zh-CN"/>
              </w:rPr>
              <w:t>10</w:t>
            </w:r>
          </w:p>
        </w:tc>
        <w:tc>
          <w:tcPr>
            <w:tcW w:w="355" w:type="pct"/>
            <w:tcBorders>
              <w:tl2br w:val="nil"/>
              <w:tr2bl w:val="nil"/>
            </w:tcBorders>
            <w:noWrap w:val="0"/>
            <w:tcMar>
              <w:top w:w="57" w:type="dxa"/>
              <w:left w:w="0" w:type="dxa"/>
              <w:bottom w:w="57" w:type="dxa"/>
              <w:right w:w="0" w:type="dxa"/>
            </w:tcMar>
            <w:vAlign w:val="center"/>
          </w:tcPr>
          <w:p w14:paraId="6F5006FC">
            <w:pPr>
              <w:pStyle w:val="16"/>
              <w:bidi w:val="0"/>
              <w:jc w:val="center"/>
              <w:rPr>
                <w:rFonts w:hint="default"/>
                <w:color w:val="auto"/>
                <w:sz w:val="18"/>
                <w:szCs w:val="18"/>
                <w:lang w:val="en-US" w:eastAsia="zh-CN"/>
              </w:rPr>
            </w:pPr>
            <w:r>
              <w:rPr>
                <w:rFonts w:hint="eastAsia"/>
                <w:color w:val="auto"/>
                <w:sz w:val="18"/>
                <w:szCs w:val="18"/>
                <w:lang w:val="en-US" w:eastAsia="zh-CN"/>
              </w:rPr>
              <w:t>12</w:t>
            </w:r>
          </w:p>
        </w:tc>
      </w:tr>
      <w:tr w14:paraId="6208CC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26" w:type="pct"/>
            <w:vMerge w:val="continue"/>
            <w:tcBorders>
              <w:tl2br w:val="nil"/>
              <w:tr2bl w:val="nil"/>
            </w:tcBorders>
            <w:noWrap w:val="0"/>
            <w:tcMar>
              <w:top w:w="57" w:type="dxa"/>
              <w:left w:w="0" w:type="dxa"/>
              <w:bottom w:w="57" w:type="dxa"/>
              <w:right w:w="0" w:type="dxa"/>
            </w:tcMar>
            <w:vAlign w:val="center"/>
          </w:tcPr>
          <w:p w14:paraId="7966A5B4">
            <w:pPr>
              <w:pStyle w:val="16"/>
              <w:bidi w:val="0"/>
              <w:rPr>
                <w:rFonts w:hint="default"/>
                <w:color w:val="auto"/>
              </w:rPr>
            </w:pPr>
          </w:p>
        </w:tc>
        <w:tc>
          <w:tcPr>
            <w:tcW w:w="436" w:type="pct"/>
            <w:tcBorders>
              <w:tl2br w:val="nil"/>
              <w:tr2bl w:val="nil"/>
            </w:tcBorders>
            <w:noWrap w:val="0"/>
            <w:tcMar>
              <w:top w:w="57" w:type="dxa"/>
              <w:left w:w="0" w:type="dxa"/>
              <w:bottom w:w="57" w:type="dxa"/>
              <w:right w:w="0" w:type="dxa"/>
            </w:tcMar>
            <w:vAlign w:val="center"/>
          </w:tcPr>
          <w:p w14:paraId="64359086">
            <w:pPr>
              <w:pStyle w:val="16"/>
              <w:bidi w:val="0"/>
              <w:rPr>
                <w:rFonts w:hint="default"/>
                <w:color w:val="auto"/>
                <w:sz w:val="18"/>
                <w:szCs w:val="18"/>
                <w:lang w:val="en-US" w:eastAsia="zh-CN"/>
              </w:rPr>
            </w:pPr>
            <w:r>
              <w:rPr>
                <w:rFonts w:hint="default"/>
                <w:color w:val="auto"/>
                <w:sz w:val="18"/>
                <w:szCs w:val="18"/>
                <w:lang w:val="en-US" w:eastAsia="zh-CN"/>
              </w:rPr>
              <w:t>氧化还原电位（mV）</w:t>
            </w:r>
          </w:p>
        </w:tc>
        <w:tc>
          <w:tcPr>
            <w:tcW w:w="355" w:type="pct"/>
            <w:tcBorders>
              <w:tl2br w:val="nil"/>
              <w:tr2bl w:val="nil"/>
            </w:tcBorders>
            <w:noWrap w:val="0"/>
            <w:tcMar>
              <w:top w:w="57" w:type="dxa"/>
              <w:left w:w="0" w:type="dxa"/>
              <w:bottom w:w="57" w:type="dxa"/>
              <w:right w:w="0" w:type="dxa"/>
            </w:tcMar>
            <w:vAlign w:val="center"/>
          </w:tcPr>
          <w:p w14:paraId="5315B06C">
            <w:pPr>
              <w:pStyle w:val="16"/>
              <w:bidi w:val="0"/>
              <w:jc w:val="center"/>
              <w:rPr>
                <w:rFonts w:hint="eastAsia"/>
                <w:color w:val="auto"/>
                <w:sz w:val="18"/>
                <w:szCs w:val="18"/>
                <w:lang w:val="en-US" w:eastAsia="zh-CN"/>
              </w:rPr>
            </w:pPr>
            <w:r>
              <w:rPr>
                <w:rFonts w:hint="eastAsia"/>
                <w:color w:val="auto"/>
                <w:sz w:val="18"/>
                <w:szCs w:val="18"/>
                <w:lang w:val="en-US" w:eastAsia="zh-CN"/>
              </w:rPr>
              <w:t>261</w:t>
            </w:r>
          </w:p>
        </w:tc>
        <w:tc>
          <w:tcPr>
            <w:tcW w:w="375" w:type="pct"/>
            <w:tcBorders>
              <w:tl2br w:val="nil"/>
              <w:tr2bl w:val="nil"/>
            </w:tcBorders>
            <w:noWrap w:val="0"/>
            <w:tcMar>
              <w:top w:w="57" w:type="dxa"/>
              <w:left w:w="0" w:type="dxa"/>
              <w:bottom w:w="57" w:type="dxa"/>
              <w:right w:w="0" w:type="dxa"/>
            </w:tcMar>
            <w:vAlign w:val="center"/>
          </w:tcPr>
          <w:p w14:paraId="4E0ECE4A">
            <w:pPr>
              <w:pStyle w:val="16"/>
              <w:bidi w:val="0"/>
              <w:jc w:val="center"/>
              <w:rPr>
                <w:rFonts w:hint="eastAsia"/>
                <w:color w:val="auto"/>
                <w:sz w:val="18"/>
                <w:szCs w:val="18"/>
                <w:lang w:val="en-US" w:eastAsia="zh-CN"/>
              </w:rPr>
            </w:pPr>
            <w:r>
              <w:rPr>
                <w:rFonts w:hint="eastAsia"/>
                <w:color w:val="auto"/>
                <w:sz w:val="18"/>
                <w:szCs w:val="18"/>
                <w:lang w:val="en-US" w:eastAsia="zh-CN"/>
              </w:rPr>
              <w:t>260</w:t>
            </w:r>
          </w:p>
        </w:tc>
        <w:tc>
          <w:tcPr>
            <w:tcW w:w="376" w:type="pct"/>
            <w:tcBorders>
              <w:tl2br w:val="nil"/>
              <w:tr2bl w:val="nil"/>
            </w:tcBorders>
            <w:noWrap w:val="0"/>
            <w:tcMar>
              <w:top w:w="57" w:type="dxa"/>
              <w:left w:w="0" w:type="dxa"/>
              <w:bottom w:w="57" w:type="dxa"/>
              <w:right w:w="0" w:type="dxa"/>
            </w:tcMar>
            <w:vAlign w:val="center"/>
          </w:tcPr>
          <w:p w14:paraId="3EDB823B">
            <w:pPr>
              <w:pStyle w:val="16"/>
              <w:bidi w:val="0"/>
              <w:jc w:val="center"/>
              <w:rPr>
                <w:rFonts w:hint="eastAsia"/>
                <w:color w:val="auto"/>
                <w:sz w:val="18"/>
                <w:szCs w:val="18"/>
                <w:lang w:val="en-US" w:eastAsia="zh-CN"/>
              </w:rPr>
            </w:pPr>
            <w:r>
              <w:rPr>
                <w:rFonts w:hint="eastAsia"/>
                <w:color w:val="auto"/>
                <w:sz w:val="18"/>
                <w:szCs w:val="18"/>
                <w:lang w:val="en-US" w:eastAsia="zh-CN"/>
              </w:rPr>
              <w:t>231</w:t>
            </w:r>
          </w:p>
        </w:tc>
        <w:tc>
          <w:tcPr>
            <w:tcW w:w="328" w:type="pct"/>
            <w:tcBorders>
              <w:tl2br w:val="nil"/>
              <w:tr2bl w:val="nil"/>
            </w:tcBorders>
            <w:noWrap w:val="0"/>
            <w:tcMar>
              <w:top w:w="57" w:type="dxa"/>
              <w:left w:w="0" w:type="dxa"/>
              <w:bottom w:w="57" w:type="dxa"/>
              <w:right w:w="0" w:type="dxa"/>
            </w:tcMar>
            <w:vAlign w:val="center"/>
          </w:tcPr>
          <w:p w14:paraId="34018280">
            <w:pPr>
              <w:keepNext w:val="0"/>
              <w:keepLines w:val="0"/>
              <w:widowControl/>
              <w:suppressLineNumbers w:val="0"/>
              <w:spacing w:line="240" w:lineRule="auto"/>
              <w:ind w:left="0" w:leftChars="0"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
              </w:rPr>
              <w:t>271</w:t>
            </w:r>
          </w:p>
        </w:tc>
        <w:tc>
          <w:tcPr>
            <w:tcW w:w="375" w:type="pct"/>
            <w:tcBorders>
              <w:tl2br w:val="nil"/>
              <w:tr2bl w:val="nil"/>
            </w:tcBorders>
            <w:noWrap w:val="0"/>
            <w:tcMar>
              <w:top w:w="57" w:type="dxa"/>
              <w:left w:w="0" w:type="dxa"/>
              <w:bottom w:w="57" w:type="dxa"/>
              <w:right w:w="0" w:type="dxa"/>
            </w:tcMar>
            <w:vAlign w:val="center"/>
          </w:tcPr>
          <w:p w14:paraId="6F28B2E9">
            <w:pPr>
              <w:keepNext w:val="0"/>
              <w:keepLines w:val="0"/>
              <w:widowControl/>
              <w:suppressLineNumbers w:val="0"/>
              <w:spacing w:line="240" w:lineRule="auto"/>
              <w:ind w:left="0" w:leftChars="0"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
              </w:rPr>
              <w:t>280</w:t>
            </w:r>
          </w:p>
        </w:tc>
        <w:tc>
          <w:tcPr>
            <w:tcW w:w="376" w:type="pct"/>
            <w:tcBorders>
              <w:tl2br w:val="nil"/>
              <w:tr2bl w:val="nil"/>
            </w:tcBorders>
            <w:noWrap w:val="0"/>
            <w:tcMar>
              <w:top w:w="57" w:type="dxa"/>
              <w:left w:w="0" w:type="dxa"/>
              <w:bottom w:w="57" w:type="dxa"/>
              <w:right w:w="0" w:type="dxa"/>
            </w:tcMar>
            <w:vAlign w:val="center"/>
          </w:tcPr>
          <w:p w14:paraId="70A73C4F">
            <w:pPr>
              <w:keepNext w:val="0"/>
              <w:keepLines w:val="0"/>
              <w:widowControl/>
              <w:suppressLineNumbers w:val="0"/>
              <w:spacing w:line="240" w:lineRule="auto"/>
              <w:ind w:left="0" w:leftChars="0"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
              </w:rPr>
              <w:t>252</w:t>
            </w:r>
          </w:p>
        </w:tc>
        <w:tc>
          <w:tcPr>
            <w:tcW w:w="328" w:type="pct"/>
            <w:tcBorders>
              <w:tl2br w:val="nil"/>
              <w:tr2bl w:val="nil"/>
            </w:tcBorders>
            <w:noWrap w:val="0"/>
            <w:tcMar>
              <w:top w:w="57" w:type="dxa"/>
              <w:left w:w="0" w:type="dxa"/>
              <w:bottom w:w="57" w:type="dxa"/>
              <w:right w:w="0" w:type="dxa"/>
            </w:tcMar>
            <w:vAlign w:val="center"/>
          </w:tcPr>
          <w:p w14:paraId="29C6587A">
            <w:pPr>
              <w:keepNext w:val="0"/>
              <w:keepLines w:val="0"/>
              <w:widowControl/>
              <w:suppressLineNumbers w:val="0"/>
              <w:spacing w:line="240" w:lineRule="auto"/>
              <w:ind w:left="0" w:leftChars="0"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
              </w:rPr>
              <w:t>282</w:t>
            </w:r>
          </w:p>
        </w:tc>
        <w:tc>
          <w:tcPr>
            <w:tcW w:w="375" w:type="pct"/>
            <w:tcBorders>
              <w:tl2br w:val="nil"/>
              <w:tr2bl w:val="nil"/>
            </w:tcBorders>
            <w:noWrap w:val="0"/>
            <w:tcMar>
              <w:top w:w="57" w:type="dxa"/>
              <w:left w:w="0" w:type="dxa"/>
              <w:bottom w:w="57" w:type="dxa"/>
              <w:right w:w="0" w:type="dxa"/>
            </w:tcMar>
            <w:vAlign w:val="center"/>
          </w:tcPr>
          <w:p w14:paraId="284CED30">
            <w:pPr>
              <w:keepNext w:val="0"/>
              <w:keepLines w:val="0"/>
              <w:widowControl/>
              <w:suppressLineNumbers w:val="0"/>
              <w:spacing w:line="240" w:lineRule="auto"/>
              <w:ind w:left="0" w:leftChars="0"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
              </w:rPr>
              <w:t>272</w:t>
            </w:r>
          </w:p>
        </w:tc>
        <w:tc>
          <w:tcPr>
            <w:tcW w:w="379" w:type="pct"/>
            <w:tcBorders>
              <w:tl2br w:val="nil"/>
              <w:tr2bl w:val="nil"/>
            </w:tcBorders>
            <w:noWrap w:val="0"/>
            <w:tcMar>
              <w:top w:w="57" w:type="dxa"/>
              <w:left w:w="0" w:type="dxa"/>
              <w:bottom w:w="57" w:type="dxa"/>
              <w:right w:w="0" w:type="dxa"/>
            </w:tcMar>
            <w:vAlign w:val="center"/>
          </w:tcPr>
          <w:p w14:paraId="7902E061">
            <w:pPr>
              <w:keepNext w:val="0"/>
              <w:keepLines w:val="0"/>
              <w:widowControl/>
              <w:suppressLineNumbers w:val="0"/>
              <w:spacing w:line="240" w:lineRule="auto"/>
              <w:ind w:left="0" w:leftChars="0"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
              </w:rPr>
              <w:t>261</w:t>
            </w:r>
          </w:p>
        </w:tc>
        <w:tc>
          <w:tcPr>
            <w:tcW w:w="355" w:type="pct"/>
            <w:tcBorders>
              <w:tl2br w:val="nil"/>
              <w:tr2bl w:val="nil"/>
            </w:tcBorders>
            <w:noWrap w:val="0"/>
            <w:tcMar>
              <w:top w:w="57" w:type="dxa"/>
              <w:left w:w="0" w:type="dxa"/>
              <w:bottom w:w="57" w:type="dxa"/>
              <w:right w:w="0" w:type="dxa"/>
            </w:tcMar>
            <w:vAlign w:val="center"/>
          </w:tcPr>
          <w:p w14:paraId="3BFD8CD1">
            <w:pPr>
              <w:pStyle w:val="16"/>
              <w:bidi w:val="0"/>
              <w:jc w:val="center"/>
              <w:rPr>
                <w:rFonts w:hint="default"/>
                <w:color w:val="auto"/>
                <w:sz w:val="18"/>
                <w:szCs w:val="18"/>
                <w:lang w:val="en-US" w:eastAsia="zh-CN"/>
              </w:rPr>
            </w:pPr>
            <w:r>
              <w:rPr>
                <w:rFonts w:hint="eastAsia"/>
                <w:color w:val="auto"/>
                <w:sz w:val="18"/>
                <w:szCs w:val="18"/>
                <w:lang w:val="en-US" w:eastAsia="zh-CN"/>
              </w:rPr>
              <w:t>281</w:t>
            </w:r>
          </w:p>
        </w:tc>
        <w:tc>
          <w:tcPr>
            <w:tcW w:w="355" w:type="pct"/>
            <w:tcBorders>
              <w:tl2br w:val="nil"/>
              <w:tr2bl w:val="nil"/>
            </w:tcBorders>
            <w:noWrap w:val="0"/>
            <w:tcMar>
              <w:top w:w="57" w:type="dxa"/>
              <w:left w:w="0" w:type="dxa"/>
              <w:bottom w:w="57" w:type="dxa"/>
              <w:right w:w="0" w:type="dxa"/>
            </w:tcMar>
            <w:vAlign w:val="center"/>
          </w:tcPr>
          <w:p w14:paraId="68645AA7">
            <w:pPr>
              <w:pStyle w:val="16"/>
              <w:bidi w:val="0"/>
              <w:jc w:val="center"/>
              <w:rPr>
                <w:rFonts w:hint="default"/>
                <w:color w:val="auto"/>
                <w:sz w:val="18"/>
                <w:szCs w:val="18"/>
                <w:lang w:val="en-US" w:eastAsia="zh-CN"/>
              </w:rPr>
            </w:pPr>
            <w:r>
              <w:rPr>
                <w:rFonts w:hint="eastAsia"/>
                <w:color w:val="auto"/>
                <w:sz w:val="18"/>
                <w:szCs w:val="18"/>
                <w:lang w:val="en-US" w:eastAsia="zh-CN"/>
              </w:rPr>
              <w:t>240</w:t>
            </w:r>
          </w:p>
        </w:tc>
        <w:tc>
          <w:tcPr>
            <w:tcW w:w="355" w:type="pct"/>
            <w:tcBorders>
              <w:tl2br w:val="nil"/>
              <w:tr2bl w:val="nil"/>
            </w:tcBorders>
            <w:noWrap w:val="0"/>
            <w:tcMar>
              <w:top w:w="57" w:type="dxa"/>
              <w:left w:w="0" w:type="dxa"/>
              <w:bottom w:w="57" w:type="dxa"/>
              <w:right w:w="0" w:type="dxa"/>
            </w:tcMar>
            <w:vAlign w:val="center"/>
          </w:tcPr>
          <w:p w14:paraId="0A110D21">
            <w:pPr>
              <w:pStyle w:val="16"/>
              <w:bidi w:val="0"/>
              <w:jc w:val="center"/>
              <w:rPr>
                <w:rFonts w:hint="default"/>
                <w:color w:val="auto"/>
                <w:sz w:val="18"/>
                <w:szCs w:val="18"/>
                <w:lang w:val="en-US" w:eastAsia="zh-CN"/>
              </w:rPr>
            </w:pPr>
            <w:r>
              <w:rPr>
                <w:rFonts w:hint="eastAsia"/>
                <w:color w:val="auto"/>
                <w:sz w:val="18"/>
                <w:szCs w:val="18"/>
                <w:lang w:val="en-US" w:eastAsia="zh-CN"/>
              </w:rPr>
              <w:t>240</w:t>
            </w:r>
          </w:p>
        </w:tc>
      </w:tr>
      <w:tr w14:paraId="70FC56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26" w:type="pct"/>
            <w:vMerge w:val="continue"/>
            <w:tcBorders>
              <w:tl2br w:val="nil"/>
              <w:tr2bl w:val="nil"/>
            </w:tcBorders>
            <w:noWrap w:val="0"/>
            <w:tcMar>
              <w:top w:w="57" w:type="dxa"/>
              <w:left w:w="0" w:type="dxa"/>
              <w:bottom w:w="57" w:type="dxa"/>
              <w:right w:w="0" w:type="dxa"/>
            </w:tcMar>
            <w:vAlign w:val="center"/>
          </w:tcPr>
          <w:p w14:paraId="5E2F2904">
            <w:pPr>
              <w:pStyle w:val="16"/>
              <w:bidi w:val="0"/>
              <w:rPr>
                <w:rFonts w:hint="default"/>
                <w:color w:val="auto"/>
              </w:rPr>
            </w:pPr>
          </w:p>
        </w:tc>
        <w:tc>
          <w:tcPr>
            <w:tcW w:w="436" w:type="pct"/>
            <w:tcBorders>
              <w:tl2br w:val="nil"/>
              <w:tr2bl w:val="nil"/>
            </w:tcBorders>
            <w:noWrap w:val="0"/>
            <w:tcMar>
              <w:top w:w="57" w:type="dxa"/>
              <w:left w:w="0" w:type="dxa"/>
              <w:bottom w:w="57" w:type="dxa"/>
              <w:right w:w="0" w:type="dxa"/>
            </w:tcMar>
            <w:vAlign w:val="center"/>
          </w:tcPr>
          <w:p w14:paraId="25A07BE2">
            <w:pPr>
              <w:pStyle w:val="16"/>
              <w:bidi w:val="0"/>
              <w:rPr>
                <w:rFonts w:hint="default"/>
                <w:color w:val="auto"/>
                <w:sz w:val="18"/>
                <w:szCs w:val="18"/>
              </w:rPr>
            </w:pPr>
            <w:r>
              <w:rPr>
                <w:rFonts w:hint="default"/>
                <w:color w:val="auto"/>
                <w:sz w:val="18"/>
                <w:szCs w:val="18"/>
                <w:lang w:val="en-US" w:eastAsia="zh-CN"/>
              </w:rPr>
              <w:t>其他异物</w:t>
            </w:r>
          </w:p>
        </w:tc>
        <w:tc>
          <w:tcPr>
            <w:tcW w:w="355" w:type="pct"/>
            <w:tcBorders>
              <w:tl2br w:val="nil"/>
              <w:tr2bl w:val="nil"/>
            </w:tcBorders>
            <w:noWrap w:val="0"/>
            <w:tcMar>
              <w:top w:w="57" w:type="dxa"/>
              <w:left w:w="0" w:type="dxa"/>
              <w:bottom w:w="57" w:type="dxa"/>
              <w:right w:w="0" w:type="dxa"/>
            </w:tcMar>
            <w:vAlign w:val="center"/>
          </w:tcPr>
          <w:p w14:paraId="3DBE7B2B">
            <w:pPr>
              <w:pStyle w:val="16"/>
              <w:bidi w:val="0"/>
              <w:jc w:val="center"/>
              <w:rPr>
                <w:rFonts w:hint="eastAsia"/>
                <w:color w:val="auto"/>
                <w:sz w:val="18"/>
                <w:szCs w:val="18"/>
                <w:lang w:val="en-US" w:eastAsia="zh-CN"/>
              </w:rPr>
            </w:pPr>
            <w:r>
              <w:rPr>
                <w:rFonts w:hint="eastAsia"/>
                <w:color w:val="auto"/>
                <w:sz w:val="18"/>
                <w:szCs w:val="18"/>
                <w:lang w:val="en-US" w:eastAsia="zh-CN"/>
              </w:rPr>
              <w:t>无根系</w:t>
            </w:r>
          </w:p>
        </w:tc>
        <w:tc>
          <w:tcPr>
            <w:tcW w:w="375" w:type="pct"/>
            <w:tcBorders>
              <w:tl2br w:val="nil"/>
              <w:tr2bl w:val="nil"/>
            </w:tcBorders>
            <w:noWrap w:val="0"/>
            <w:tcMar>
              <w:top w:w="57" w:type="dxa"/>
              <w:left w:w="0" w:type="dxa"/>
              <w:bottom w:w="57" w:type="dxa"/>
              <w:right w:w="0" w:type="dxa"/>
            </w:tcMar>
            <w:vAlign w:val="center"/>
          </w:tcPr>
          <w:p w14:paraId="7041D4A8">
            <w:pPr>
              <w:pStyle w:val="16"/>
              <w:bidi w:val="0"/>
              <w:jc w:val="center"/>
              <w:rPr>
                <w:rFonts w:hint="eastAsia"/>
                <w:color w:val="auto"/>
                <w:sz w:val="18"/>
                <w:szCs w:val="18"/>
                <w:lang w:val="en-US" w:eastAsia="zh-CN"/>
              </w:rPr>
            </w:pPr>
            <w:r>
              <w:rPr>
                <w:rFonts w:hint="eastAsia"/>
                <w:color w:val="auto"/>
                <w:sz w:val="18"/>
                <w:szCs w:val="18"/>
                <w:lang w:val="en-US" w:eastAsia="zh-CN"/>
              </w:rPr>
              <w:t>无根系</w:t>
            </w:r>
          </w:p>
        </w:tc>
        <w:tc>
          <w:tcPr>
            <w:tcW w:w="376" w:type="pct"/>
            <w:tcBorders>
              <w:tl2br w:val="nil"/>
              <w:tr2bl w:val="nil"/>
            </w:tcBorders>
            <w:noWrap w:val="0"/>
            <w:tcMar>
              <w:top w:w="57" w:type="dxa"/>
              <w:left w:w="0" w:type="dxa"/>
              <w:bottom w:w="57" w:type="dxa"/>
              <w:right w:w="0" w:type="dxa"/>
            </w:tcMar>
            <w:vAlign w:val="center"/>
          </w:tcPr>
          <w:p w14:paraId="67B8DD04">
            <w:pPr>
              <w:pStyle w:val="16"/>
              <w:bidi w:val="0"/>
              <w:jc w:val="center"/>
              <w:rPr>
                <w:rFonts w:hint="eastAsia"/>
                <w:color w:val="auto"/>
                <w:sz w:val="18"/>
                <w:szCs w:val="18"/>
                <w:lang w:val="en-US" w:eastAsia="zh-CN"/>
              </w:rPr>
            </w:pPr>
            <w:r>
              <w:rPr>
                <w:rFonts w:hint="eastAsia"/>
                <w:color w:val="auto"/>
                <w:sz w:val="18"/>
                <w:szCs w:val="18"/>
                <w:lang w:val="en-US" w:eastAsia="zh-CN"/>
              </w:rPr>
              <w:t>无根系</w:t>
            </w:r>
          </w:p>
        </w:tc>
        <w:tc>
          <w:tcPr>
            <w:tcW w:w="328" w:type="pct"/>
            <w:tcBorders>
              <w:tl2br w:val="nil"/>
              <w:tr2bl w:val="nil"/>
            </w:tcBorders>
            <w:noWrap w:val="0"/>
            <w:tcMar>
              <w:top w:w="57" w:type="dxa"/>
              <w:left w:w="0" w:type="dxa"/>
              <w:bottom w:w="57" w:type="dxa"/>
              <w:right w:w="0" w:type="dxa"/>
            </w:tcMar>
            <w:vAlign w:val="center"/>
          </w:tcPr>
          <w:p w14:paraId="477E86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少量</w:t>
            </w:r>
          </w:p>
        </w:tc>
        <w:tc>
          <w:tcPr>
            <w:tcW w:w="375" w:type="pct"/>
            <w:tcBorders>
              <w:tl2br w:val="nil"/>
              <w:tr2bl w:val="nil"/>
            </w:tcBorders>
            <w:noWrap w:val="0"/>
            <w:tcMar>
              <w:top w:w="57" w:type="dxa"/>
              <w:left w:w="0" w:type="dxa"/>
              <w:bottom w:w="57" w:type="dxa"/>
              <w:right w:w="0" w:type="dxa"/>
            </w:tcMar>
            <w:vAlign w:val="center"/>
          </w:tcPr>
          <w:p w14:paraId="46DF7C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无根系</w:t>
            </w:r>
          </w:p>
        </w:tc>
        <w:tc>
          <w:tcPr>
            <w:tcW w:w="376" w:type="pct"/>
            <w:tcBorders>
              <w:tl2br w:val="nil"/>
              <w:tr2bl w:val="nil"/>
            </w:tcBorders>
            <w:noWrap w:val="0"/>
            <w:tcMar>
              <w:top w:w="57" w:type="dxa"/>
              <w:left w:w="0" w:type="dxa"/>
              <w:bottom w:w="57" w:type="dxa"/>
              <w:right w:w="0" w:type="dxa"/>
            </w:tcMar>
            <w:vAlign w:val="center"/>
          </w:tcPr>
          <w:p w14:paraId="3BF25E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无根系</w:t>
            </w:r>
          </w:p>
        </w:tc>
        <w:tc>
          <w:tcPr>
            <w:tcW w:w="328" w:type="pct"/>
            <w:tcBorders>
              <w:tl2br w:val="nil"/>
              <w:tr2bl w:val="nil"/>
            </w:tcBorders>
            <w:noWrap w:val="0"/>
            <w:tcMar>
              <w:top w:w="57" w:type="dxa"/>
              <w:left w:w="0" w:type="dxa"/>
              <w:bottom w:w="57" w:type="dxa"/>
              <w:right w:w="0" w:type="dxa"/>
            </w:tcMar>
            <w:vAlign w:val="center"/>
          </w:tcPr>
          <w:p w14:paraId="44C3D7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少量</w:t>
            </w:r>
          </w:p>
        </w:tc>
        <w:tc>
          <w:tcPr>
            <w:tcW w:w="375" w:type="pct"/>
            <w:tcBorders>
              <w:tl2br w:val="nil"/>
              <w:tr2bl w:val="nil"/>
            </w:tcBorders>
            <w:noWrap w:val="0"/>
            <w:tcMar>
              <w:top w:w="57" w:type="dxa"/>
              <w:left w:w="0" w:type="dxa"/>
              <w:bottom w:w="57" w:type="dxa"/>
              <w:right w:w="0" w:type="dxa"/>
            </w:tcMar>
            <w:vAlign w:val="center"/>
          </w:tcPr>
          <w:p w14:paraId="2D8CAD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无根系</w:t>
            </w:r>
          </w:p>
        </w:tc>
        <w:tc>
          <w:tcPr>
            <w:tcW w:w="379" w:type="pct"/>
            <w:tcBorders>
              <w:tl2br w:val="nil"/>
              <w:tr2bl w:val="nil"/>
            </w:tcBorders>
            <w:noWrap w:val="0"/>
            <w:tcMar>
              <w:top w:w="57" w:type="dxa"/>
              <w:left w:w="0" w:type="dxa"/>
              <w:bottom w:w="57" w:type="dxa"/>
              <w:right w:w="0" w:type="dxa"/>
            </w:tcMar>
            <w:vAlign w:val="center"/>
          </w:tcPr>
          <w:p w14:paraId="1C8D16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无根系</w:t>
            </w:r>
          </w:p>
        </w:tc>
        <w:tc>
          <w:tcPr>
            <w:tcW w:w="355" w:type="pct"/>
            <w:tcBorders>
              <w:tl2br w:val="nil"/>
              <w:tr2bl w:val="nil"/>
            </w:tcBorders>
            <w:noWrap w:val="0"/>
            <w:tcMar>
              <w:top w:w="57" w:type="dxa"/>
              <w:left w:w="0" w:type="dxa"/>
              <w:bottom w:w="57" w:type="dxa"/>
              <w:right w:w="0" w:type="dxa"/>
            </w:tcMar>
            <w:vAlign w:val="center"/>
          </w:tcPr>
          <w:p w14:paraId="759847AB">
            <w:pPr>
              <w:pStyle w:val="16"/>
              <w:bidi w:val="0"/>
              <w:jc w:val="center"/>
              <w:rPr>
                <w:rFonts w:hint="default"/>
                <w:color w:val="auto"/>
                <w:sz w:val="18"/>
                <w:szCs w:val="18"/>
                <w:lang w:val="en-US" w:eastAsia="zh-CN"/>
              </w:rPr>
            </w:pPr>
            <w:r>
              <w:rPr>
                <w:rFonts w:hint="eastAsia"/>
                <w:color w:val="auto"/>
                <w:sz w:val="18"/>
                <w:szCs w:val="18"/>
                <w:lang w:val="en-US" w:eastAsia="zh-CN"/>
              </w:rPr>
              <w:t>多量</w:t>
            </w:r>
          </w:p>
        </w:tc>
        <w:tc>
          <w:tcPr>
            <w:tcW w:w="355" w:type="pct"/>
            <w:tcBorders>
              <w:tl2br w:val="nil"/>
              <w:tr2bl w:val="nil"/>
            </w:tcBorders>
            <w:noWrap w:val="0"/>
            <w:tcMar>
              <w:top w:w="57" w:type="dxa"/>
              <w:left w:w="0" w:type="dxa"/>
              <w:bottom w:w="57" w:type="dxa"/>
              <w:right w:w="0" w:type="dxa"/>
            </w:tcMar>
            <w:vAlign w:val="center"/>
          </w:tcPr>
          <w:p w14:paraId="09C3734D">
            <w:pPr>
              <w:pStyle w:val="16"/>
              <w:bidi w:val="0"/>
              <w:jc w:val="center"/>
              <w:rPr>
                <w:rFonts w:hint="eastAsia"/>
                <w:color w:val="auto"/>
                <w:sz w:val="18"/>
                <w:szCs w:val="18"/>
                <w:lang w:val="en-US" w:eastAsia="zh-CN"/>
              </w:rPr>
            </w:pPr>
            <w:r>
              <w:rPr>
                <w:rFonts w:hint="eastAsia"/>
                <w:color w:val="auto"/>
                <w:sz w:val="18"/>
                <w:szCs w:val="18"/>
                <w:lang w:val="en-US" w:eastAsia="zh-CN"/>
              </w:rPr>
              <w:t>多量</w:t>
            </w:r>
          </w:p>
        </w:tc>
        <w:tc>
          <w:tcPr>
            <w:tcW w:w="355" w:type="pct"/>
            <w:tcBorders>
              <w:tl2br w:val="nil"/>
              <w:tr2bl w:val="nil"/>
            </w:tcBorders>
            <w:noWrap w:val="0"/>
            <w:tcMar>
              <w:top w:w="57" w:type="dxa"/>
              <w:left w:w="0" w:type="dxa"/>
              <w:bottom w:w="57" w:type="dxa"/>
              <w:right w:w="0" w:type="dxa"/>
            </w:tcMar>
            <w:vAlign w:val="center"/>
          </w:tcPr>
          <w:p w14:paraId="6236D1D8">
            <w:pPr>
              <w:pStyle w:val="16"/>
              <w:bidi w:val="0"/>
              <w:jc w:val="center"/>
              <w:rPr>
                <w:rFonts w:hint="eastAsia"/>
                <w:color w:val="auto"/>
                <w:sz w:val="18"/>
                <w:szCs w:val="18"/>
                <w:lang w:val="en-US" w:eastAsia="zh-CN"/>
              </w:rPr>
            </w:pPr>
            <w:r>
              <w:rPr>
                <w:rFonts w:hint="eastAsia"/>
                <w:color w:val="auto"/>
                <w:sz w:val="18"/>
                <w:szCs w:val="18"/>
                <w:lang w:val="en-US" w:eastAsia="zh-CN"/>
              </w:rPr>
              <w:t>多量</w:t>
            </w:r>
          </w:p>
        </w:tc>
      </w:tr>
      <w:tr w14:paraId="1FE66F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26" w:type="pct"/>
            <w:vMerge w:val="restart"/>
            <w:tcBorders>
              <w:tl2br w:val="nil"/>
              <w:tr2bl w:val="nil"/>
            </w:tcBorders>
            <w:noWrap w:val="0"/>
            <w:tcMar>
              <w:top w:w="57" w:type="dxa"/>
              <w:left w:w="0" w:type="dxa"/>
              <w:bottom w:w="57" w:type="dxa"/>
              <w:right w:w="0" w:type="dxa"/>
            </w:tcMar>
            <w:vAlign w:val="center"/>
          </w:tcPr>
          <w:p w14:paraId="5E85D061">
            <w:pPr>
              <w:pStyle w:val="16"/>
              <w:bidi w:val="0"/>
              <w:rPr>
                <w:rFonts w:hint="default"/>
                <w:color w:val="auto"/>
                <w:lang w:val="en-US" w:eastAsia="zh-CN"/>
              </w:rPr>
            </w:pPr>
            <w:r>
              <w:rPr>
                <w:rFonts w:hint="default"/>
                <w:color w:val="auto"/>
                <w:lang w:val="en-US" w:eastAsia="zh-CN"/>
              </w:rPr>
              <w:t>实验室测定</w:t>
            </w:r>
          </w:p>
        </w:tc>
        <w:tc>
          <w:tcPr>
            <w:tcW w:w="436" w:type="pct"/>
            <w:tcBorders>
              <w:tl2br w:val="nil"/>
              <w:tr2bl w:val="nil"/>
            </w:tcBorders>
            <w:noWrap w:val="0"/>
            <w:tcMar>
              <w:top w:w="57" w:type="dxa"/>
              <w:left w:w="0" w:type="dxa"/>
              <w:bottom w:w="57" w:type="dxa"/>
              <w:right w:w="0" w:type="dxa"/>
            </w:tcMar>
            <w:vAlign w:val="center"/>
          </w:tcPr>
          <w:p w14:paraId="4B1F5591">
            <w:pPr>
              <w:pStyle w:val="16"/>
              <w:bidi w:val="0"/>
              <w:rPr>
                <w:rFonts w:hint="default"/>
                <w:color w:val="auto"/>
                <w:sz w:val="18"/>
                <w:szCs w:val="18"/>
              </w:rPr>
            </w:pPr>
            <w:r>
              <w:rPr>
                <w:rFonts w:hint="default"/>
                <w:color w:val="auto"/>
                <w:sz w:val="18"/>
                <w:szCs w:val="18"/>
                <w:lang w:val="en-US" w:eastAsia="zh-CN"/>
              </w:rPr>
              <w:t>pH（无量纲）</w:t>
            </w:r>
          </w:p>
        </w:tc>
        <w:tc>
          <w:tcPr>
            <w:tcW w:w="355" w:type="pct"/>
            <w:tcBorders>
              <w:tl2br w:val="nil"/>
              <w:tr2bl w:val="nil"/>
            </w:tcBorders>
            <w:noWrap w:val="0"/>
            <w:tcMar>
              <w:top w:w="57" w:type="dxa"/>
              <w:left w:w="0" w:type="dxa"/>
              <w:bottom w:w="57" w:type="dxa"/>
              <w:right w:w="0" w:type="dxa"/>
            </w:tcMar>
            <w:vAlign w:val="center"/>
          </w:tcPr>
          <w:p w14:paraId="666A5FED">
            <w:pPr>
              <w:pStyle w:val="16"/>
              <w:bidi w:val="0"/>
              <w:jc w:val="center"/>
              <w:rPr>
                <w:rFonts w:hint="eastAsia"/>
                <w:color w:val="auto"/>
                <w:sz w:val="18"/>
                <w:szCs w:val="18"/>
                <w:lang w:val="en-US" w:eastAsia="zh-CN"/>
              </w:rPr>
            </w:pPr>
            <w:r>
              <w:rPr>
                <w:rFonts w:hint="eastAsia"/>
                <w:color w:val="auto"/>
                <w:sz w:val="18"/>
                <w:szCs w:val="18"/>
                <w:lang w:val="en-US" w:eastAsia="zh-CN"/>
              </w:rPr>
              <w:t>7.34</w:t>
            </w:r>
          </w:p>
        </w:tc>
        <w:tc>
          <w:tcPr>
            <w:tcW w:w="375" w:type="pct"/>
            <w:tcBorders>
              <w:tl2br w:val="nil"/>
              <w:tr2bl w:val="nil"/>
            </w:tcBorders>
            <w:noWrap w:val="0"/>
            <w:tcMar>
              <w:top w:w="57" w:type="dxa"/>
              <w:left w:w="0" w:type="dxa"/>
              <w:bottom w:w="57" w:type="dxa"/>
              <w:right w:w="0" w:type="dxa"/>
            </w:tcMar>
            <w:vAlign w:val="center"/>
          </w:tcPr>
          <w:p w14:paraId="34998439">
            <w:pPr>
              <w:pStyle w:val="16"/>
              <w:bidi w:val="0"/>
              <w:jc w:val="center"/>
              <w:rPr>
                <w:rFonts w:hint="eastAsia"/>
                <w:color w:val="auto"/>
                <w:sz w:val="18"/>
                <w:szCs w:val="18"/>
                <w:lang w:val="en-US" w:eastAsia="zh-CN"/>
              </w:rPr>
            </w:pPr>
            <w:r>
              <w:rPr>
                <w:rFonts w:hint="eastAsia"/>
                <w:color w:val="auto"/>
                <w:sz w:val="18"/>
                <w:szCs w:val="18"/>
                <w:lang w:val="en-US" w:eastAsia="zh-CN"/>
              </w:rPr>
              <w:t>7.29</w:t>
            </w:r>
          </w:p>
        </w:tc>
        <w:tc>
          <w:tcPr>
            <w:tcW w:w="376" w:type="pct"/>
            <w:tcBorders>
              <w:tl2br w:val="nil"/>
              <w:tr2bl w:val="nil"/>
            </w:tcBorders>
            <w:noWrap w:val="0"/>
            <w:tcMar>
              <w:top w:w="57" w:type="dxa"/>
              <w:left w:w="0" w:type="dxa"/>
              <w:bottom w:w="57" w:type="dxa"/>
              <w:right w:w="0" w:type="dxa"/>
            </w:tcMar>
            <w:vAlign w:val="center"/>
          </w:tcPr>
          <w:p w14:paraId="32FADAED">
            <w:pPr>
              <w:pStyle w:val="16"/>
              <w:bidi w:val="0"/>
              <w:jc w:val="center"/>
              <w:rPr>
                <w:rFonts w:hint="eastAsia"/>
                <w:color w:val="auto"/>
                <w:sz w:val="18"/>
                <w:szCs w:val="18"/>
                <w:lang w:val="en-US" w:eastAsia="zh-CN"/>
              </w:rPr>
            </w:pPr>
            <w:r>
              <w:rPr>
                <w:rFonts w:hint="eastAsia"/>
                <w:color w:val="auto"/>
                <w:sz w:val="18"/>
                <w:szCs w:val="18"/>
                <w:lang w:val="en-US" w:eastAsia="zh-CN"/>
              </w:rPr>
              <w:t>7.75</w:t>
            </w:r>
          </w:p>
        </w:tc>
        <w:tc>
          <w:tcPr>
            <w:tcW w:w="328" w:type="pct"/>
            <w:tcBorders>
              <w:tl2br w:val="nil"/>
              <w:tr2bl w:val="nil"/>
            </w:tcBorders>
            <w:noWrap w:val="0"/>
            <w:tcMar>
              <w:top w:w="57" w:type="dxa"/>
              <w:left w:w="0" w:type="dxa"/>
              <w:bottom w:w="57" w:type="dxa"/>
              <w:right w:w="0" w:type="dxa"/>
            </w:tcMar>
            <w:vAlign w:val="center"/>
          </w:tcPr>
          <w:p w14:paraId="3B90B100">
            <w:pPr>
              <w:ind w:left="0" w:leftChars="0" w:firstLine="0" w:firstLineChars="0"/>
              <w:jc w:val="center"/>
              <w:rPr>
                <w:rFonts w:hint="eastAsia"/>
                <w:color w:val="auto"/>
                <w:sz w:val="18"/>
                <w:szCs w:val="18"/>
                <w:lang w:val="en-US" w:eastAsia="zh-CN"/>
              </w:rPr>
            </w:pPr>
            <w:r>
              <w:rPr>
                <w:rFonts w:hint="eastAsia" w:ascii="Times New Roman" w:hAnsi="Times New Roman" w:eastAsia="宋体" w:cs="Times New Roman"/>
                <w:color w:val="auto"/>
                <w:sz w:val="18"/>
                <w:szCs w:val="18"/>
                <w:highlight w:val="none"/>
                <w:lang w:val="en-US" w:eastAsia="zh-CN"/>
              </w:rPr>
              <w:t>7.49</w:t>
            </w:r>
          </w:p>
        </w:tc>
        <w:tc>
          <w:tcPr>
            <w:tcW w:w="375" w:type="pct"/>
            <w:tcBorders>
              <w:tl2br w:val="nil"/>
              <w:tr2bl w:val="nil"/>
            </w:tcBorders>
            <w:noWrap w:val="0"/>
            <w:tcMar>
              <w:top w:w="57" w:type="dxa"/>
              <w:left w:w="0" w:type="dxa"/>
              <w:bottom w:w="57" w:type="dxa"/>
              <w:right w:w="0" w:type="dxa"/>
            </w:tcMar>
            <w:vAlign w:val="center"/>
          </w:tcPr>
          <w:p w14:paraId="72C354BC">
            <w:pPr>
              <w:ind w:left="0" w:leftChars="0" w:firstLine="0" w:firstLineChars="0"/>
              <w:jc w:val="center"/>
              <w:rPr>
                <w:rFonts w:hint="eastAsia"/>
                <w:color w:val="auto"/>
                <w:sz w:val="18"/>
                <w:szCs w:val="18"/>
                <w:lang w:val="en-US" w:eastAsia="zh-CN"/>
              </w:rPr>
            </w:pPr>
            <w:r>
              <w:rPr>
                <w:rFonts w:hint="eastAsia" w:ascii="Times New Roman" w:hAnsi="Times New Roman" w:eastAsia="宋体" w:cs="Times New Roman"/>
                <w:color w:val="auto"/>
                <w:sz w:val="18"/>
                <w:szCs w:val="18"/>
                <w:highlight w:val="none"/>
                <w:lang w:val="en-US" w:eastAsia="zh-CN"/>
              </w:rPr>
              <w:t>7.86</w:t>
            </w:r>
          </w:p>
        </w:tc>
        <w:tc>
          <w:tcPr>
            <w:tcW w:w="376" w:type="pct"/>
            <w:tcBorders>
              <w:tl2br w:val="nil"/>
              <w:tr2bl w:val="nil"/>
            </w:tcBorders>
            <w:noWrap w:val="0"/>
            <w:tcMar>
              <w:top w:w="57" w:type="dxa"/>
              <w:left w:w="0" w:type="dxa"/>
              <w:bottom w:w="57" w:type="dxa"/>
              <w:right w:w="0" w:type="dxa"/>
            </w:tcMar>
            <w:vAlign w:val="center"/>
          </w:tcPr>
          <w:p w14:paraId="5F0DADF3">
            <w:pPr>
              <w:ind w:left="0" w:leftChars="0" w:firstLine="0" w:firstLineChars="0"/>
              <w:jc w:val="center"/>
              <w:rPr>
                <w:rFonts w:hint="eastAsia"/>
                <w:color w:val="auto"/>
                <w:sz w:val="18"/>
                <w:szCs w:val="18"/>
                <w:lang w:val="en-US" w:eastAsia="zh-CN"/>
              </w:rPr>
            </w:pPr>
            <w:r>
              <w:rPr>
                <w:rFonts w:hint="eastAsia" w:ascii="Times New Roman" w:hAnsi="Times New Roman" w:eastAsia="宋体" w:cs="Times New Roman"/>
                <w:color w:val="auto"/>
                <w:sz w:val="18"/>
                <w:szCs w:val="18"/>
                <w:highlight w:val="none"/>
                <w:lang w:val="en-US" w:eastAsia="zh-CN"/>
              </w:rPr>
              <w:t>7.11</w:t>
            </w:r>
          </w:p>
        </w:tc>
        <w:tc>
          <w:tcPr>
            <w:tcW w:w="328" w:type="pct"/>
            <w:tcBorders>
              <w:tl2br w:val="nil"/>
              <w:tr2bl w:val="nil"/>
            </w:tcBorders>
            <w:noWrap w:val="0"/>
            <w:tcMar>
              <w:top w:w="57" w:type="dxa"/>
              <w:left w:w="0" w:type="dxa"/>
              <w:bottom w:w="57" w:type="dxa"/>
              <w:right w:w="0" w:type="dxa"/>
            </w:tcMar>
            <w:vAlign w:val="center"/>
          </w:tcPr>
          <w:p w14:paraId="300263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7.47</w:t>
            </w:r>
          </w:p>
        </w:tc>
        <w:tc>
          <w:tcPr>
            <w:tcW w:w="375" w:type="pct"/>
            <w:tcBorders>
              <w:tl2br w:val="nil"/>
              <w:tr2bl w:val="nil"/>
            </w:tcBorders>
            <w:noWrap w:val="0"/>
            <w:tcMar>
              <w:top w:w="57" w:type="dxa"/>
              <w:left w:w="0" w:type="dxa"/>
              <w:bottom w:w="57" w:type="dxa"/>
              <w:right w:w="0" w:type="dxa"/>
            </w:tcMar>
            <w:vAlign w:val="center"/>
          </w:tcPr>
          <w:p w14:paraId="27DCBA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7.72</w:t>
            </w:r>
          </w:p>
        </w:tc>
        <w:tc>
          <w:tcPr>
            <w:tcW w:w="379" w:type="pct"/>
            <w:tcBorders>
              <w:tl2br w:val="nil"/>
              <w:tr2bl w:val="nil"/>
            </w:tcBorders>
            <w:noWrap w:val="0"/>
            <w:tcMar>
              <w:top w:w="57" w:type="dxa"/>
              <w:left w:w="0" w:type="dxa"/>
              <w:bottom w:w="57" w:type="dxa"/>
              <w:right w:w="0" w:type="dxa"/>
            </w:tcMar>
            <w:vAlign w:val="center"/>
          </w:tcPr>
          <w:p w14:paraId="67B43A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SA"/>
              </w:rPr>
              <w:t>7.37</w:t>
            </w:r>
          </w:p>
        </w:tc>
        <w:tc>
          <w:tcPr>
            <w:tcW w:w="355" w:type="pct"/>
            <w:tcBorders>
              <w:tl2br w:val="nil"/>
              <w:tr2bl w:val="nil"/>
            </w:tcBorders>
            <w:noWrap w:val="0"/>
            <w:tcMar>
              <w:top w:w="57" w:type="dxa"/>
              <w:left w:w="0" w:type="dxa"/>
              <w:bottom w:w="57" w:type="dxa"/>
              <w:right w:w="0" w:type="dxa"/>
            </w:tcMar>
            <w:vAlign w:val="center"/>
          </w:tcPr>
          <w:p w14:paraId="1E162916">
            <w:pPr>
              <w:pStyle w:val="16"/>
              <w:bidi w:val="0"/>
              <w:jc w:val="center"/>
              <w:rPr>
                <w:rFonts w:hint="default"/>
                <w:color w:val="auto"/>
                <w:sz w:val="18"/>
                <w:szCs w:val="18"/>
                <w:lang w:val="en-US" w:eastAsia="zh-CN"/>
              </w:rPr>
            </w:pPr>
            <w:r>
              <w:rPr>
                <w:rFonts w:hint="eastAsia"/>
                <w:color w:val="auto"/>
                <w:sz w:val="18"/>
                <w:szCs w:val="18"/>
                <w:lang w:val="en-US" w:eastAsia="zh-CN"/>
              </w:rPr>
              <w:t>7.44</w:t>
            </w:r>
          </w:p>
        </w:tc>
        <w:tc>
          <w:tcPr>
            <w:tcW w:w="355" w:type="pct"/>
            <w:tcBorders>
              <w:tl2br w:val="nil"/>
              <w:tr2bl w:val="nil"/>
            </w:tcBorders>
            <w:noWrap w:val="0"/>
            <w:tcMar>
              <w:top w:w="57" w:type="dxa"/>
              <w:left w:w="0" w:type="dxa"/>
              <w:bottom w:w="57" w:type="dxa"/>
              <w:right w:w="0" w:type="dxa"/>
            </w:tcMar>
            <w:vAlign w:val="center"/>
          </w:tcPr>
          <w:p w14:paraId="3A77575B">
            <w:pPr>
              <w:pStyle w:val="16"/>
              <w:bidi w:val="0"/>
              <w:jc w:val="center"/>
              <w:rPr>
                <w:rFonts w:hint="default"/>
                <w:color w:val="auto"/>
                <w:sz w:val="18"/>
                <w:szCs w:val="18"/>
                <w:lang w:val="en-US" w:eastAsia="zh-CN"/>
              </w:rPr>
            </w:pPr>
            <w:r>
              <w:rPr>
                <w:rFonts w:hint="eastAsia"/>
                <w:color w:val="auto"/>
                <w:sz w:val="18"/>
                <w:szCs w:val="18"/>
                <w:lang w:val="en-US" w:eastAsia="zh-CN"/>
              </w:rPr>
              <w:t>7.50</w:t>
            </w:r>
          </w:p>
        </w:tc>
        <w:tc>
          <w:tcPr>
            <w:tcW w:w="355" w:type="pct"/>
            <w:tcBorders>
              <w:tl2br w:val="nil"/>
              <w:tr2bl w:val="nil"/>
            </w:tcBorders>
            <w:noWrap w:val="0"/>
            <w:tcMar>
              <w:top w:w="57" w:type="dxa"/>
              <w:left w:w="0" w:type="dxa"/>
              <w:bottom w:w="57" w:type="dxa"/>
              <w:right w:w="0" w:type="dxa"/>
            </w:tcMar>
            <w:vAlign w:val="center"/>
          </w:tcPr>
          <w:p w14:paraId="5C60DEE5">
            <w:pPr>
              <w:pStyle w:val="16"/>
              <w:bidi w:val="0"/>
              <w:jc w:val="center"/>
              <w:rPr>
                <w:rFonts w:hint="default"/>
                <w:color w:val="auto"/>
                <w:sz w:val="18"/>
                <w:szCs w:val="18"/>
                <w:lang w:val="en-US" w:eastAsia="zh-CN"/>
              </w:rPr>
            </w:pPr>
            <w:r>
              <w:rPr>
                <w:rFonts w:hint="eastAsia"/>
                <w:color w:val="auto"/>
                <w:sz w:val="18"/>
                <w:szCs w:val="18"/>
                <w:lang w:val="en-US" w:eastAsia="zh-CN"/>
              </w:rPr>
              <w:t>7.69</w:t>
            </w:r>
          </w:p>
        </w:tc>
      </w:tr>
      <w:tr w14:paraId="323C51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26" w:type="pct"/>
            <w:vMerge w:val="continue"/>
            <w:tcBorders>
              <w:tl2br w:val="nil"/>
              <w:tr2bl w:val="nil"/>
            </w:tcBorders>
            <w:noWrap w:val="0"/>
            <w:tcMar>
              <w:top w:w="57" w:type="dxa"/>
              <w:left w:w="0" w:type="dxa"/>
              <w:bottom w:w="57" w:type="dxa"/>
              <w:right w:w="0" w:type="dxa"/>
            </w:tcMar>
            <w:vAlign w:val="center"/>
          </w:tcPr>
          <w:p w14:paraId="0804B519">
            <w:pPr>
              <w:pStyle w:val="16"/>
              <w:bidi w:val="0"/>
              <w:rPr>
                <w:rFonts w:hint="default"/>
                <w:color w:val="auto"/>
                <w:lang w:val="en-US" w:eastAsia="zh-CN"/>
              </w:rPr>
            </w:pPr>
          </w:p>
        </w:tc>
        <w:tc>
          <w:tcPr>
            <w:tcW w:w="436" w:type="pct"/>
            <w:tcBorders>
              <w:tl2br w:val="nil"/>
              <w:tr2bl w:val="nil"/>
            </w:tcBorders>
            <w:noWrap w:val="0"/>
            <w:tcMar>
              <w:top w:w="57" w:type="dxa"/>
              <w:left w:w="0" w:type="dxa"/>
              <w:bottom w:w="57" w:type="dxa"/>
              <w:right w:w="0" w:type="dxa"/>
            </w:tcMar>
            <w:vAlign w:val="center"/>
          </w:tcPr>
          <w:p w14:paraId="5921D4D5">
            <w:pPr>
              <w:pStyle w:val="16"/>
              <w:bidi w:val="0"/>
              <w:rPr>
                <w:rFonts w:hint="default"/>
                <w:color w:val="auto"/>
                <w:sz w:val="18"/>
                <w:szCs w:val="18"/>
                <w:lang w:val="en-US" w:eastAsia="zh-CN"/>
              </w:rPr>
            </w:pPr>
            <w:r>
              <w:rPr>
                <w:rFonts w:hint="default"/>
                <w:color w:val="auto"/>
                <w:sz w:val="18"/>
                <w:szCs w:val="18"/>
                <w:lang w:val="en-US" w:eastAsia="zh-CN"/>
              </w:rPr>
              <w:t>阳离子交换量（cmol+/kg）</w:t>
            </w:r>
          </w:p>
        </w:tc>
        <w:tc>
          <w:tcPr>
            <w:tcW w:w="355" w:type="pct"/>
            <w:tcBorders>
              <w:tl2br w:val="nil"/>
              <w:tr2bl w:val="nil"/>
            </w:tcBorders>
            <w:noWrap w:val="0"/>
            <w:tcMar>
              <w:top w:w="57" w:type="dxa"/>
              <w:left w:w="0" w:type="dxa"/>
              <w:bottom w:w="57" w:type="dxa"/>
              <w:right w:w="0" w:type="dxa"/>
            </w:tcMar>
            <w:vAlign w:val="center"/>
          </w:tcPr>
          <w:p w14:paraId="7C23A201">
            <w:pPr>
              <w:pStyle w:val="16"/>
              <w:bidi w:val="0"/>
              <w:jc w:val="center"/>
              <w:rPr>
                <w:rFonts w:hint="eastAsia"/>
                <w:color w:val="auto"/>
                <w:sz w:val="18"/>
                <w:szCs w:val="18"/>
                <w:lang w:val="en-US" w:eastAsia="zh-CN"/>
              </w:rPr>
            </w:pPr>
            <w:r>
              <w:rPr>
                <w:rFonts w:hint="eastAsia"/>
                <w:color w:val="auto"/>
                <w:sz w:val="18"/>
                <w:szCs w:val="18"/>
                <w:lang w:val="en-US" w:eastAsia="zh-CN"/>
              </w:rPr>
              <w:t>11.7</w:t>
            </w:r>
          </w:p>
        </w:tc>
        <w:tc>
          <w:tcPr>
            <w:tcW w:w="375" w:type="pct"/>
            <w:tcBorders>
              <w:tl2br w:val="nil"/>
              <w:tr2bl w:val="nil"/>
            </w:tcBorders>
            <w:noWrap w:val="0"/>
            <w:tcMar>
              <w:top w:w="57" w:type="dxa"/>
              <w:left w:w="0" w:type="dxa"/>
              <w:bottom w:w="57" w:type="dxa"/>
              <w:right w:w="0" w:type="dxa"/>
            </w:tcMar>
            <w:vAlign w:val="center"/>
          </w:tcPr>
          <w:p w14:paraId="5DF2A2F2">
            <w:pPr>
              <w:pStyle w:val="16"/>
              <w:bidi w:val="0"/>
              <w:jc w:val="center"/>
              <w:rPr>
                <w:rFonts w:hint="eastAsia"/>
                <w:color w:val="auto"/>
                <w:sz w:val="18"/>
                <w:szCs w:val="18"/>
                <w:lang w:val="en-US" w:eastAsia="zh-CN"/>
              </w:rPr>
            </w:pPr>
            <w:r>
              <w:rPr>
                <w:rFonts w:hint="eastAsia"/>
                <w:color w:val="auto"/>
                <w:sz w:val="18"/>
                <w:szCs w:val="18"/>
                <w:lang w:val="en-US" w:eastAsia="zh-CN"/>
              </w:rPr>
              <w:t>10.7</w:t>
            </w:r>
          </w:p>
        </w:tc>
        <w:tc>
          <w:tcPr>
            <w:tcW w:w="376" w:type="pct"/>
            <w:tcBorders>
              <w:tl2br w:val="nil"/>
              <w:tr2bl w:val="nil"/>
            </w:tcBorders>
            <w:noWrap w:val="0"/>
            <w:tcMar>
              <w:top w:w="57" w:type="dxa"/>
              <w:left w:w="0" w:type="dxa"/>
              <w:bottom w:w="57" w:type="dxa"/>
              <w:right w:w="0" w:type="dxa"/>
            </w:tcMar>
            <w:vAlign w:val="center"/>
          </w:tcPr>
          <w:p w14:paraId="57DAE8DB">
            <w:pPr>
              <w:pStyle w:val="16"/>
              <w:bidi w:val="0"/>
              <w:jc w:val="center"/>
              <w:rPr>
                <w:rFonts w:hint="eastAsia"/>
                <w:color w:val="auto"/>
                <w:sz w:val="18"/>
                <w:szCs w:val="18"/>
                <w:lang w:val="en-US" w:eastAsia="zh-CN"/>
              </w:rPr>
            </w:pPr>
            <w:r>
              <w:rPr>
                <w:rFonts w:hint="eastAsia"/>
                <w:color w:val="auto"/>
                <w:sz w:val="18"/>
                <w:szCs w:val="18"/>
                <w:lang w:val="en-US" w:eastAsia="zh-CN"/>
              </w:rPr>
              <w:t>9.8</w:t>
            </w:r>
          </w:p>
        </w:tc>
        <w:tc>
          <w:tcPr>
            <w:tcW w:w="328" w:type="pct"/>
            <w:tcBorders>
              <w:tl2br w:val="nil"/>
              <w:tr2bl w:val="nil"/>
            </w:tcBorders>
            <w:noWrap w:val="0"/>
            <w:tcMar>
              <w:top w:w="57" w:type="dxa"/>
              <w:left w:w="0" w:type="dxa"/>
              <w:bottom w:w="57" w:type="dxa"/>
              <w:right w:w="0" w:type="dxa"/>
            </w:tcMar>
            <w:vAlign w:val="center"/>
          </w:tcPr>
          <w:p w14:paraId="2035FB3C">
            <w:pPr>
              <w:keepNext w:val="0"/>
              <w:keepLines w:val="0"/>
              <w:widowControl/>
              <w:suppressLineNumbers w:val="0"/>
              <w:spacing w:line="240" w:lineRule="auto"/>
              <w:ind w:left="0" w:leftChars="0"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i w:val="0"/>
                <w:color w:val="auto"/>
                <w:kern w:val="0"/>
                <w:sz w:val="18"/>
                <w:szCs w:val="18"/>
                <w:u w:val="none"/>
                <w:lang w:val="en-US" w:eastAsia="zh-CN" w:bidi="ar"/>
              </w:rPr>
              <w:t>13.4</w:t>
            </w:r>
          </w:p>
        </w:tc>
        <w:tc>
          <w:tcPr>
            <w:tcW w:w="375" w:type="pct"/>
            <w:tcBorders>
              <w:tl2br w:val="nil"/>
              <w:tr2bl w:val="nil"/>
            </w:tcBorders>
            <w:noWrap w:val="0"/>
            <w:tcMar>
              <w:top w:w="57" w:type="dxa"/>
              <w:left w:w="0" w:type="dxa"/>
              <w:bottom w:w="57" w:type="dxa"/>
              <w:right w:w="0" w:type="dxa"/>
            </w:tcMar>
            <w:vAlign w:val="center"/>
          </w:tcPr>
          <w:p w14:paraId="569A901E">
            <w:pPr>
              <w:keepNext w:val="0"/>
              <w:keepLines w:val="0"/>
              <w:widowControl/>
              <w:suppressLineNumbers w:val="0"/>
              <w:spacing w:line="240" w:lineRule="auto"/>
              <w:ind w:left="0" w:leftChars="0"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i w:val="0"/>
                <w:color w:val="auto"/>
                <w:kern w:val="0"/>
                <w:sz w:val="18"/>
                <w:szCs w:val="18"/>
                <w:u w:val="none"/>
                <w:lang w:val="en-US" w:eastAsia="zh-CN" w:bidi="ar"/>
              </w:rPr>
              <w:t>12.3</w:t>
            </w:r>
          </w:p>
        </w:tc>
        <w:tc>
          <w:tcPr>
            <w:tcW w:w="376" w:type="pct"/>
            <w:tcBorders>
              <w:tl2br w:val="nil"/>
              <w:tr2bl w:val="nil"/>
            </w:tcBorders>
            <w:noWrap w:val="0"/>
            <w:tcMar>
              <w:top w:w="57" w:type="dxa"/>
              <w:left w:w="0" w:type="dxa"/>
              <w:bottom w:w="57" w:type="dxa"/>
              <w:right w:w="0" w:type="dxa"/>
            </w:tcMar>
            <w:vAlign w:val="center"/>
          </w:tcPr>
          <w:p w14:paraId="1E324C94">
            <w:pPr>
              <w:keepNext w:val="0"/>
              <w:keepLines w:val="0"/>
              <w:widowControl/>
              <w:suppressLineNumbers w:val="0"/>
              <w:spacing w:line="240" w:lineRule="auto"/>
              <w:ind w:left="0" w:leftChars="0"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i w:val="0"/>
                <w:color w:val="auto"/>
                <w:kern w:val="0"/>
                <w:sz w:val="18"/>
                <w:szCs w:val="18"/>
                <w:u w:val="none"/>
                <w:lang w:val="en-US" w:eastAsia="zh-CN" w:bidi="ar"/>
              </w:rPr>
              <w:t>10.9</w:t>
            </w:r>
          </w:p>
        </w:tc>
        <w:tc>
          <w:tcPr>
            <w:tcW w:w="328" w:type="pct"/>
            <w:tcBorders>
              <w:tl2br w:val="nil"/>
              <w:tr2bl w:val="nil"/>
            </w:tcBorders>
            <w:noWrap w:val="0"/>
            <w:tcMar>
              <w:top w:w="57" w:type="dxa"/>
              <w:left w:w="0" w:type="dxa"/>
              <w:bottom w:w="57" w:type="dxa"/>
              <w:right w:w="0" w:type="dxa"/>
            </w:tcMar>
            <w:vAlign w:val="center"/>
          </w:tcPr>
          <w:p w14:paraId="37F7E3DC">
            <w:pPr>
              <w:keepNext w:val="0"/>
              <w:keepLines w:val="0"/>
              <w:widowControl/>
              <w:suppressLineNumbers w:val="0"/>
              <w:spacing w:line="240" w:lineRule="auto"/>
              <w:ind w:left="0" w:leftChars="0"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i w:val="0"/>
                <w:color w:val="auto"/>
                <w:kern w:val="0"/>
                <w:sz w:val="18"/>
                <w:szCs w:val="18"/>
                <w:u w:val="none"/>
                <w:lang w:val="en-US" w:eastAsia="zh-CN" w:bidi="ar"/>
              </w:rPr>
              <w:t>12.1</w:t>
            </w:r>
          </w:p>
        </w:tc>
        <w:tc>
          <w:tcPr>
            <w:tcW w:w="375" w:type="pct"/>
            <w:tcBorders>
              <w:tl2br w:val="nil"/>
              <w:tr2bl w:val="nil"/>
            </w:tcBorders>
            <w:noWrap w:val="0"/>
            <w:tcMar>
              <w:top w:w="57" w:type="dxa"/>
              <w:left w:w="0" w:type="dxa"/>
              <w:bottom w:w="57" w:type="dxa"/>
              <w:right w:w="0" w:type="dxa"/>
            </w:tcMar>
            <w:vAlign w:val="center"/>
          </w:tcPr>
          <w:p w14:paraId="1CB8AE9A">
            <w:pPr>
              <w:keepNext w:val="0"/>
              <w:keepLines w:val="0"/>
              <w:widowControl/>
              <w:suppressLineNumbers w:val="0"/>
              <w:spacing w:line="240" w:lineRule="auto"/>
              <w:ind w:left="0" w:leftChars="0"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i w:val="0"/>
                <w:color w:val="auto"/>
                <w:kern w:val="0"/>
                <w:sz w:val="18"/>
                <w:szCs w:val="18"/>
                <w:u w:val="none"/>
                <w:lang w:val="en-US" w:eastAsia="zh-CN" w:bidi="ar"/>
              </w:rPr>
              <w:t>9.9</w:t>
            </w:r>
          </w:p>
        </w:tc>
        <w:tc>
          <w:tcPr>
            <w:tcW w:w="379" w:type="pct"/>
            <w:tcBorders>
              <w:tl2br w:val="nil"/>
              <w:tr2bl w:val="nil"/>
            </w:tcBorders>
            <w:noWrap w:val="0"/>
            <w:tcMar>
              <w:top w:w="57" w:type="dxa"/>
              <w:left w:w="0" w:type="dxa"/>
              <w:bottom w:w="57" w:type="dxa"/>
              <w:right w:w="0" w:type="dxa"/>
            </w:tcMar>
            <w:vAlign w:val="center"/>
          </w:tcPr>
          <w:p w14:paraId="042765AA">
            <w:pPr>
              <w:keepNext w:val="0"/>
              <w:keepLines w:val="0"/>
              <w:widowControl/>
              <w:suppressLineNumbers w:val="0"/>
              <w:spacing w:line="240" w:lineRule="auto"/>
              <w:ind w:left="0" w:leftChars="0"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i w:val="0"/>
                <w:color w:val="auto"/>
                <w:kern w:val="0"/>
                <w:sz w:val="18"/>
                <w:szCs w:val="18"/>
                <w:u w:val="none"/>
                <w:lang w:val="en-US" w:eastAsia="zh-CN" w:bidi="ar"/>
              </w:rPr>
              <w:t>7.9</w:t>
            </w:r>
          </w:p>
        </w:tc>
        <w:tc>
          <w:tcPr>
            <w:tcW w:w="355" w:type="pct"/>
            <w:tcBorders>
              <w:tl2br w:val="nil"/>
              <w:tr2bl w:val="nil"/>
            </w:tcBorders>
            <w:noWrap w:val="0"/>
            <w:tcMar>
              <w:top w:w="57" w:type="dxa"/>
              <w:left w:w="0" w:type="dxa"/>
              <w:bottom w:w="57" w:type="dxa"/>
              <w:right w:w="0" w:type="dxa"/>
            </w:tcMar>
            <w:vAlign w:val="center"/>
          </w:tcPr>
          <w:p w14:paraId="0C48797B">
            <w:pPr>
              <w:pStyle w:val="16"/>
              <w:bidi w:val="0"/>
              <w:jc w:val="center"/>
              <w:rPr>
                <w:rFonts w:hint="default"/>
                <w:color w:val="auto"/>
                <w:sz w:val="18"/>
                <w:szCs w:val="18"/>
                <w:lang w:val="en-US" w:eastAsia="zh-CN"/>
              </w:rPr>
            </w:pPr>
            <w:r>
              <w:rPr>
                <w:rFonts w:hint="eastAsia"/>
                <w:color w:val="auto"/>
                <w:sz w:val="18"/>
                <w:szCs w:val="18"/>
                <w:lang w:val="en-US" w:eastAsia="zh-CN"/>
              </w:rPr>
              <w:t>9.6</w:t>
            </w:r>
          </w:p>
        </w:tc>
        <w:tc>
          <w:tcPr>
            <w:tcW w:w="355" w:type="pct"/>
            <w:tcBorders>
              <w:tl2br w:val="nil"/>
              <w:tr2bl w:val="nil"/>
            </w:tcBorders>
            <w:noWrap w:val="0"/>
            <w:tcMar>
              <w:top w:w="57" w:type="dxa"/>
              <w:left w:w="0" w:type="dxa"/>
              <w:bottom w:w="57" w:type="dxa"/>
              <w:right w:w="0" w:type="dxa"/>
            </w:tcMar>
            <w:vAlign w:val="center"/>
          </w:tcPr>
          <w:p w14:paraId="4CEFD055">
            <w:pPr>
              <w:pStyle w:val="16"/>
              <w:bidi w:val="0"/>
              <w:jc w:val="center"/>
              <w:rPr>
                <w:rFonts w:hint="default"/>
                <w:color w:val="auto"/>
                <w:sz w:val="18"/>
                <w:szCs w:val="18"/>
                <w:lang w:val="en-US" w:eastAsia="zh-CN"/>
              </w:rPr>
            </w:pPr>
            <w:r>
              <w:rPr>
                <w:rFonts w:hint="eastAsia"/>
                <w:color w:val="auto"/>
                <w:sz w:val="18"/>
                <w:szCs w:val="18"/>
                <w:lang w:val="en-US" w:eastAsia="zh-CN"/>
              </w:rPr>
              <w:t>13.4</w:t>
            </w:r>
          </w:p>
        </w:tc>
        <w:tc>
          <w:tcPr>
            <w:tcW w:w="355" w:type="pct"/>
            <w:tcBorders>
              <w:tl2br w:val="nil"/>
              <w:tr2bl w:val="nil"/>
            </w:tcBorders>
            <w:noWrap w:val="0"/>
            <w:tcMar>
              <w:top w:w="57" w:type="dxa"/>
              <w:left w:w="0" w:type="dxa"/>
              <w:bottom w:w="57" w:type="dxa"/>
              <w:right w:w="0" w:type="dxa"/>
            </w:tcMar>
            <w:vAlign w:val="center"/>
          </w:tcPr>
          <w:p w14:paraId="3A990717">
            <w:pPr>
              <w:pStyle w:val="16"/>
              <w:bidi w:val="0"/>
              <w:jc w:val="center"/>
              <w:rPr>
                <w:rFonts w:hint="default"/>
                <w:color w:val="auto"/>
                <w:sz w:val="18"/>
                <w:szCs w:val="18"/>
                <w:lang w:val="en-US" w:eastAsia="zh-CN"/>
              </w:rPr>
            </w:pPr>
            <w:r>
              <w:rPr>
                <w:rFonts w:hint="eastAsia"/>
                <w:color w:val="auto"/>
                <w:sz w:val="18"/>
                <w:szCs w:val="18"/>
                <w:lang w:val="en-US" w:eastAsia="zh-CN"/>
              </w:rPr>
              <w:t>8.2</w:t>
            </w:r>
          </w:p>
        </w:tc>
      </w:tr>
      <w:tr w14:paraId="5394D3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26" w:type="pct"/>
            <w:vMerge w:val="continue"/>
            <w:tcBorders>
              <w:tl2br w:val="nil"/>
              <w:tr2bl w:val="nil"/>
            </w:tcBorders>
            <w:noWrap w:val="0"/>
            <w:tcMar>
              <w:top w:w="57" w:type="dxa"/>
              <w:left w:w="0" w:type="dxa"/>
              <w:bottom w:w="57" w:type="dxa"/>
              <w:right w:w="0" w:type="dxa"/>
            </w:tcMar>
            <w:vAlign w:val="center"/>
          </w:tcPr>
          <w:p w14:paraId="0788309B">
            <w:pPr>
              <w:pStyle w:val="16"/>
              <w:bidi w:val="0"/>
              <w:rPr>
                <w:rFonts w:hint="default"/>
                <w:color w:val="auto"/>
                <w:lang w:val="en-US" w:eastAsia="zh-CN"/>
              </w:rPr>
            </w:pPr>
          </w:p>
        </w:tc>
        <w:tc>
          <w:tcPr>
            <w:tcW w:w="436" w:type="pct"/>
            <w:tcBorders>
              <w:tl2br w:val="nil"/>
              <w:tr2bl w:val="nil"/>
            </w:tcBorders>
            <w:noWrap w:val="0"/>
            <w:tcMar>
              <w:top w:w="57" w:type="dxa"/>
              <w:left w:w="0" w:type="dxa"/>
              <w:bottom w:w="57" w:type="dxa"/>
              <w:right w:w="0" w:type="dxa"/>
            </w:tcMar>
            <w:vAlign w:val="center"/>
          </w:tcPr>
          <w:p w14:paraId="20668114">
            <w:pPr>
              <w:pStyle w:val="16"/>
              <w:bidi w:val="0"/>
              <w:rPr>
                <w:rFonts w:hint="default"/>
                <w:color w:val="auto"/>
                <w:sz w:val="18"/>
                <w:szCs w:val="18"/>
                <w:lang w:val="en-US" w:eastAsia="zh-CN"/>
              </w:rPr>
            </w:pPr>
            <w:r>
              <w:rPr>
                <w:rFonts w:hint="default"/>
                <w:color w:val="auto"/>
                <w:sz w:val="18"/>
                <w:szCs w:val="18"/>
                <w:lang w:val="en-US" w:eastAsia="zh-CN"/>
              </w:rPr>
              <w:t>饱和导水率</w:t>
            </w:r>
            <w:r>
              <w:rPr>
                <w:rFonts w:hint="eastAsia"/>
                <w:color w:val="auto"/>
                <w:sz w:val="18"/>
                <w:szCs w:val="18"/>
                <w:lang w:val="en-US" w:eastAsia="zh-CN"/>
              </w:rPr>
              <w:t>（</w:t>
            </w:r>
            <w:r>
              <w:rPr>
                <w:rFonts w:hint="default"/>
                <w:color w:val="auto"/>
                <w:sz w:val="18"/>
                <w:szCs w:val="18"/>
                <w:lang w:val="en-US" w:eastAsia="zh-CN"/>
              </w:rPr>
              <w:t>cm/s</w:t>
            </w:r>
            <w:r>
              <w:rPr>
                <w:rFonts w:hint="eastAsia"/>
                <w:color w:val="auto"/>
                <w:sz w:val="18"/>
                <w:szCs w:val="18"/>
                <w:lang w:val="en-US" w:eastAsia="zh-CN"/>
              </w:rPr>
              <w:t>)</w:t>
            </w:r>
          </w:p>
        </w:tc>
        <w:tc>
          <w:tcPr>
            <w:tcW w:w="355" w:type="pct"/>
            <w:tcBorders>
              <w:tl2br w:val="nil"/>
              <w:tr2bl w:val="nil"/>
            </w:tcBorders>
            <w:noWrap w:val="0"/>
            <w:tcMar>
              <w:top w:w="57" w:type="dxa"/>
              <w:left w:w="0" w:type="dxa"/>
              <w:bottom w:w="57" w:type="dxa"/>
              <w:right w:w="0" w:type="dxa"/>
            </w:tcMar>
            <w:vAlign w:val="center"/>
          </w:tcPr>
          <w:p w14:paraId="59441D1C">
            <w:pPr>
              <w:pStyle w:val="16"/>
              <w:bidi w:val="0"/>
              <w:jc w:val="center"/>
              <w:rPr>
                <w:rFonts w:hint="eastAsia"/>
                <w:color w:val="auto"/>
                <w:sz w:val="18"/>
                <w:szCs w:val="18"/>
                <w:lang w:val="en-US" w:eastAsia="zh-CN"/>
              </w:rPr>
            </w:pPr>
            <w:r>
              <w:rPr>
                <w:rFonts w:hint="eastAsia"/>
                <w:color w:val="auto"/>
                <w:sz w:val="18"/>
                <w:szCs w:val="18"/>
                <w:lang w:val="en-US" w:eastAsia="zh-CN"/>
              </w:rPr>
              <w:t>5.5</w:t>
            </w:r>
            <w:r>
              <w:rPr>
                <w:rFonts w:hint="default"/>
                <w:color w:val="auto"/>
                <w:sz w:val="18"/>
                <w:szCs w:val="18"/>
                <w:lang w:val="en-US" w:eastAsia="zh-CN"/>
              </w:rPr>
              <w:t>×</w:t>
            </w:r>
            <w:r>
              <w:rPr>
                <w:rFonts w:hint="eastAsia"/>
                <w:color w:val="auto"/>
                <w:sz w:val="18"/>
                <w:szCs w:val="18"/>
                <w:lang w:val="en-US" w:eastAsia="zh-CN"/>
              </w:rPr>
              <w:t>10</w:t>
            </w:r>
            <w:r>
              <w:rPr>
                <w:rFonts w:hint="eastAsia"/>
                <w:color w:val="auto"/>
                <w:sz w:val="18"/>
                <w:szCs w:val="18"/>
                <w:vertAlign w:val="superscript"/>
                <w:lang w:val="en-US" w:eastAsia="zh-CN"/>
              </w:rPr>
              <w:t>-4</w:t>
            </w:r>
          </w:p>
        </w:tc>
        <w:tc>
          <w:tcPr>
            <w:tcW w:w="375" w:type="pct"/>
            <w:tcBorders>
              <w:tl2br w:val="nil"/>
              <w:tr2bl w:val="nil"/>
            </w:tcBorders>
            <w:noWrap w:val="0"/>
            <w:tcMar>
              <w:top w:w="57" w:type="dxa"/>
              <w:left w:w="0" w:type="dxa"/>
              <w:bottom w:w="57" w:type="dxa"/>
              <w:right w:w="0" w:type="dxa"/>
            </w:tcMar>
            <w:vAlign w:val="center"/>
          </w:tcPr>
          <w:p w14:paraId="0D62BBCB">
            <w:pPr>
              <w:pStyle w:val="16"/>
              <w:bidi w:val="0"/>
              <w:jc w:val="center"/>
              <w:rPr>
                <w:rFonts w:hint="eastAsia"/>
                <w:color w:val="auto"/>
                <w:sz w:val="18"/>
                <w:szCs w:val="18"/>
                <w:lang w:val="en-US" w:eastAsia="zh-CN"/>
              </w:rPr>
            </w:pPr>
            <w:r>
              <w:rPr>
                <w:rFonts w:hint="eastAsia"/>
                <w:color w:val="auto"/>
                <w:sz w:val="18"/>
                <w:szCs w:val="18"/>
                <w:lang w:val="en-US" w:eastAsia="zh-CN"/>
              </w:rPr>
              <w:t>5.7</w:t>
            </w:r>
            <w:r>
              <w:rPr>
                <w:rFonts w:hint="default"/>
                <w:color w:val="auto"/>
                <w:sz w:val="18"/>
                <w:szCs w:val="18"/>
                <w:lang w:val="en-US" w:eastAsia="zh-CN"/>
              </w:rPr>
              <w:t>×</w:t>
            </w:r>
            <w:r>
              <w:rPr>
                <w:rFonts w:hint="eastAsia"/>
                <w:color w:val="auto"/>
                <w:sz w:val="18"/>
                <w:szCs w:val="18"/>
                <w:lang w:val="en-US" w:eastAsia="zh-CN"/>
              </w:rPr>
              <w:t>10</w:t>
            </w:r>
            <w:r>
              <w:rPr>
                <w:rFonts w:hint="eastAsia"/>
                <w:color w:val="auto"/>
                <w:sz w:val="18"/>
                <w:szCs w:val="18"/>
                <w:vertAlign w:val="superscript"/>
                <w:lang w:val="en-US" w:eastAsia="zh-CN"/>
              </w:rPr>
              <w:t>-4</w:t>
            </w:r>
          </w:p>
        </w:tc>
        <w:tc>
          <w:tcPr>
            <w:tcW w:w="376" w:type="pct"/>
            <w:tcBorders>
              <w:tl2br w:val="nil"/>
              <w:tr2bl w:val="nil"/>
            </w:tcBorders>
            <w:noWrap w:val="0"/>
            <w:tcMar>
              <w:top w:w="57" w:type="dxa"/>
              <w:left w:w="0" w:type="dxa"/>
              <w:bottom w:w="57" w:type="dxa"/>
              <w:right w:w="0" w:type="dxa"/>
            </w:tcMar>
            <w:vAlign w:val="center"/>
          </w:tcPr>
          <w:p w14:paraId="72219894">
            <w:pPr>
              <w:pStyle w:val="16"/>
              <w:bidi w:val="0"/>
              <w:jc w:val="center"/>
              <w:rPr>
                <w:rFonts w:hint="eastAsia"/>
                <w:color w:val="auto"/>
                <w:sz w:val="18"/>
                <w:szCs w:val="18"/>
                <w:lang w:val="en-US" w:eastAsia="zh-CN"/>
              </w:rPr>
            </w:pPr>
            <w:r>
              <w:rPr>
                <w:rFonts w:hint="eastAsia"/>
                <w:color w:val="auto"/>
                <w:sz w:val="18"/>
                <w:szCs w:val="18"/>
                <w:lang w:val="en-US" w:eastAsia="zh-CN"/>
              </w:rPr>
              <w:t>5.7</w:t>
            </w:r>
            <w:r>
              <w:rPr>
                <w:rFonts w:hint="default"/>
                <w:color w:val="auto"/>
                <w:sz w:val="18"/>
                <w:szCs w:val="18"/>
                <w:lang w:val="en-US" w:eastAsia="zh-CN"/>
              </w:rPr>
              <w:t>×</w:t>
            </w:r>
            <w:r>
              <w:rPr>
                <w:rFonts w:hint="eastAsia"/>
                <w:color w:val="auto"/>
                <w:sz w:val="18"/>
                <w:szCs w:val="18"/>
                <w:lang w:val="en-US" w:eastAsia="zh-CN"/>
              </w:rPr>
              <w:t>10</w:t>
            </w:r>
            <w:r>
              <w:rPr>
                <w:rFonts w:hint="eastAsia"/>
                <w:color w:val="auto"/>
                <w:sz w:val="18"/>
                <w:szCs w:val="18"/>
                <w:vertAlign w:val="superscript"/>
                <w:lang w:val="en-US" w:eastAsia="zh-CN"/>
              </w:rPr>
              <w:t>-4</w:t>
            </w:r>
          </w:p>
        </w:tc>
        <w:tc>
          <w:tcPr>
            <w:tcW w:w="328" w:type="pct"/>
            <w:tcBorders>
              <w:tl2br w:val="nil"/>
              <w:tr2bl w:val="nil"/>
            </w:tcBorders>
            <w:noWrap w:val="0"/>
            <w:tcMar>
              <w:top w:w="57" w:type="dxa"/>
              <w:left w:w="0" w:type="dxa"/>
              <w:bottom w:w="57" w:type="dxa"/>
              <w:right w:w="0" w:type="dxa"/>
            </w:tcMar>
            <w:vAlign w:val="center"/>
          </w:tcPr>
          <w:p w14:paraId="28AB1262">
            <w:pPr>
              <w:keepNext w:val="0"/>
              <w:keepLines w:val="0"/>
              <w:widowControl/>
              <w:suppressLineNumbers w:val="0"/>
              <w:spacing w:line="240" w:lineRule="auto"/>
              <w:ind w:left="0" w:leftChars="0"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
              </w:rPr>
              <w:t>8.0</w:t>
            </w:r>
            <w:r>
              <w:rPr>
                <w:rFonts w:hint="default" w:ascii="Times New Roman" w:hAnsi="Times New Roman" w:eastAsia="宋体" w:cs="Times New Roman"/>
                <w:color w:val="auto"/>
                <w:kern w:val="0"/>
                <w:sz w:val="18"/>
                <w:szCs w:val="18"/>
                <w:lang w:val="en-US" w:eastAsia="zh-CN" w:bidi="ar"/>
              </w:rPr>
              <w:t>×</w:t>
            </w:r>
            <w:r>
              <w:rPr>
                <w:rFonts w:hint="eastAsia" w:ascii="Times New Roman" w:hAnsi="Times New Roman" w:eastAsia="宋体" w:cs="Times New Roman"/>
                <w:color w:val="auto"/>
                <w:kern w:val="0"/>
                <w:sz w:val="18"/>
                <w:szCs w:val="18"/>
                <w:lang w:val="en-US" w:eastAsia="zh-CN" w:bidi="ar"/>
              </w:rPr>
              <w:t>10</w:t>
            </w:r>
            <w:r>
              <w:rPr>
                <w:rFonts w:hint="eastAsia" w:ascii="Times New Roman" w:hAnsi="Times New Roman" w:eastAsia="宋体" w:cs="Times New Roman"/>
                <w:color w:val="auto"/>
                <w:kern w:val="0"/>
                <w:sz w:val="18"/>
                <w:szCs w:val="18"/>
                <w:vertAlign w:val="superscript"/>
                <w:lang w:val="en-US" w:eastAsia="zh-CN" w:bidi="ar"/>
              </w:rPr>
              <w:t>-4</w:t>
            </w:r>
          </w:p>
        </w:tc>
        <w:tc>
          <w:tcPr>
            <w:tcW w:w="375" w:type="pct"/>
            <w:tcBorders>
              <w:tl2br w:val="nil"/>
              <w:tr2bl w:val="nil"/>
            </w:tcBorders>
            <w:noWrap w:val="0"/>
            <w:tcMar>
              <w:top w:w="57" w:type="dxa"/>
              <w:left w:w="0" w:type="dxa"/>
              <w:bottom w:w="57" w:type="dxa"/>
              <w:right w:w="0" w:type="dxa"/>
            </w:tcMar>
            <w:vAlign w:val="center"/>
          </w:tcPr>
          <w:p w14:paraId="75FCBA22">
            <w:pPr>
              <w:keepNext w:val="0"/>
              <w:keepLines w:val="0"/>
              <w:widowControl/>
              <w:suppressLineNumbers w:val="0"/>
              <w:spacing w:line="240" w:lineRule="auto"/>
              <w:ind w:left="0" w:leftChars="0"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
              </w:rPr>
              <w:t>5.7</w:t>
            </w:r>
            <w:r>
              <w:rPr>
                <w:rFonts w:hint="default" w:ascii="Times New Roman" w:hAnsi="Times New Roman" w:eastAsia="宋体" w:cs="Times New Roman"/>
                <w:color w:val="auto"/>
                <w:kern w:val="0"/>
                <w:sz w:val="18"/>
                <w:szCs w:val="18"/>
                <w:lang w:val="en-US" w:eastAsia="zh-CN" w:bidi="ar"/>
              </w:rPr>
              <w:t>×</w:t>
            </w:r>
            <w:r>
              <w:rPr>
                <w:rFonts w:hint="eastAsia" w:ascii="Times New Roman" w:hAnsi="Times New Roman" w:eastAsia="宋体" w:cs="Times New Roman"/>
                <w:color w:val="auto"/>
                <w:kern w:val="0"/>
                <w:sz w:val="18"/>
                <w:szCs w:val="18"/>
                <w:lang w:val="en-US" w:eastAsia="zh-CN" w:bidi="ar"/>
              </w:rPr>
              <w:t>10</w:t>
            </w:r>
            <w:r>
              <w:rPr>
                <w:rFonts w:hint="eastAsia" w:ascii="Times New Roman" w:hAnsi="Times New Roman" w:eastAsia="宋体" w:cs="Times New Roman"/>
                <w:color w:val="auto"/>
                <w:kern w:val="0"/>
                <w:sz w:val="18"/>
                <w:szCs w:val="18"/>
                <w:vertAlign w:val="superscript"/>
                <w:lang w:val="en-US" w:eastAsia="zh-CN" w:bidi="ar"/>
              </w:rPr>
              <w:t>-4</w:t>
            </w:r>
          </w:p>
        </w:tc>
        <w:tc>
          <w:tcPr>
            <w:tcW w:w="376" w:type="pct"/>
            <w:tcBorders>
              <w:tl2br w:val="nil"/>
              <w:tr2bl w:val="nil"/>
            </w:tcBorders>
            <w:noWrap w:val="0"/>
            <w:tcMar>
              <w:top w:w="57" w:type="dxa"/>
              <w:left w:w="0" w:type="dxa"/>
              <w:bottom w:w="57" w:type="dxa"/>
              <w:right w:w="0" w:type="dxa"/>
            </w:tcMar>
            <w:vAlign w:val="center"/>
          </w:tcPr>
          <w:p w14:paraId="68C73D0D">
            <w:pPr>
              <w:keepNext w:val="0"/>
              <w:keepLines w:val="0"/>
              <w:widowControl/>
              <w:suppressLineNumbers w:val="0"/>
              <w:spacing w:line="240" w:lineRule="auto"/>
              <w:ind w:left="0" w:leftChars="0"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
              </w:rPr>
              <w:t>5.2</w:t>
            </w:r>
            <w:r>
              <w:rPr>
                <w:rFonts w:hint="default" w:ascii="Times New Roman" w:hAnsi="Times New Roman" w:eastAsia="宋体" w:cs="Times New Roman"/>
                <w:color w:val="auto"/>
                <w:kern w:val="0"/>
                <w:sz w:val="18"/>
                <w:szCs w:val="18"/>
                <w:lang w:val="en-US" w:eastAsia="zh-CN" w:bidi="ar"/>
              </w:rPr>
              <w:t>×</w:t>
            </w:r>
            <w:r>
              <w:rPr>
                <w:rFonts w:hint="eastAsia" w:ascii="Times New Roman" w:hAnsi="Times New Roman" w:eastAsia="宋体" w:cs="Times New Roman"/>
                <w:color w:val="auto"/>
                <w:kern w:val="0"/>
                <w:sz w:val="18"/>
                <w:szCs w:val="18"/>
                <w:lang w:val="en-US" w:eastAsia="zh-CN" w:bidi="ar"/>
              </w:rPr>
              <w:t>10</w:t>
            </w:r>
            <w:r>
              <w:rPr>
                <w:rFonts w:hint="eastAsia" w:ascii="Times New Roman" w:hAnsi="Times New Roman" w:eastAsia="宋体" w:cs="Times New Roman"/>
                <w:color w:val="auto"/>
                <w:kern w:val="0"/>
                <w:sz w:val="18"/>
                <w:szCs w:val="18"/>
                <w:vertAlign w:val="superscript"/>
                <w:lang w:val="en-US" w:eastAsia="zh-CN" w:bidi="ar"/>
              </w:rPr>
              <w:t>-4</w:t>
            </w:r>
          </w:p>
        </w:tc>
        <w:tc>
          <w:tcPr>
            <w:tcW w:w="328" w:type="pct"/>
            <w:tcBorders>
              <w:tl2br w:val="nil"/>
              <w:tr2bl w:val="nil"/>
            </w:tcBorders>
            <w:noWrap w:val="0"/>
            <w:tcMar>
              <w:top w:w="57" w:type="dxa"/>
              <w:left w:w="0" w:type="dxa"/>
              <w:bottom w:w="57" w:type="dxa"/>
              <w:right w:w="0" w:type="dxa"/>
            </w:tcMar>
            <w:vAlign w:val="center"/>
          </w:tcPr>
          <w:p w14:paraId="0395AA7E">
            <w:pPr>
              <w:keepNext w:val="0"/>
              <w:keepLines w:val="0"/>
              <w:widowControl/>
              <w:suppressLineNumbers w:val="0"/>
              <w:spacing w:line="240" w:lineRule="auto"/>
              <w:ind w:left="0" w:leftChars="0"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
              </w:rPr>
              <w:t>5.2</w:t>
            </w:r>
            <w:r>
              <w:rPr>
                <w:rFonts w:hint="default" w:ascii="Times New Roman" w:hAnsi="Times New Roman" w:eastAsia="宋体" w:cs="Times New Roman"/>
                <w:color w:val="auto"/>
                <w:kern w:val="0"/>
                <w:sz w:val="18"/>
                <w:szCs w:val="18"/>
                <w:lang w:val="en-US" w:eastAsia="zh-CN" w:bidi="ar"/>
              </w:rPr>
              <w:t>×</w:t>
            </w:r>
            <w:r>
              <w:rPr>
                <w:rFonts w:hint="eastAsia" w:ascii="Times New Roman" w:hAnsi="Times New Roman" w:eastAsia="宋体" w:cs="Times New Roman"/>
                <w:color w:val="auto"/>
                <w:kern w:val="0"/>
                <w:sz w:val="18"/>
                <w:szCs w:val="18"/>
                <w:lang w:val="en-US" w:eastAsia="zh-CN" w:bidi="ar"/>
              </w:rPr>
              <w:t>10</w:t>
            </w:r>
            <w:r>
              <w:rPr>
                <w:rFonts w:hint="eastAsia" w:ascii="Times New Roman" w:hAnsi="Times New Roman" w:eastAsia="宋体" w:cs="Times New Roman"/>
                <w:color w:val="auto"/>
                <w:kern w:val="0"/>
                <w:sz w:val="18"/>
                <w:szCs w:val="18"/>
                <w:vertAlign w:val="superscript"/>
                <w:lang w:val="en-US" w:eastAsia="zh-CN" w:bidi="ar"/>
              </w:rPr>
              <w:t>-4</w:t>
            </w:r>
          </w:p>
        </w:tc>
        <w:tc>
          <w:tcPr>
            <w:tcW w:w="375" w:type="pct"/>
            <w:tcBorders>
              <w:tl2br w:val="nil"/>
              <w:tr2bl w:val="nil"/>
            </w:tcBorders>
            <w:noWrap w:val="0"/>
            <w:tcMar>
              <w:top w:w="57" w:type="dxa"/>
              <w:left w:w="0" w:type="dxa"/>
              <w:bottom w:w="57" w:type="dxa"/>
              <w:right w:w="0" w:type="dxa"/>
            </w:tcMar>
            <w:vAlign w:val="center"/>
          </w:tcPr>
          <w:p w14:paraId="2A28508C">
            <w:pPr>
              <w:keepNext w:val="0"/>
              <w:keepLines w:val="0"/>
              <w:widowControl/>
              <w:suppressLineNumbers w:val="0"/>
              <w:spacing w:line="240" w:lineRule="auto"/>
              <w:ind w:left="0" w:leftChars="0"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
              </w:rPr>
              <w:t>5.8</w:t>
            </w:r>
            <w:r>
              <w:rPr>
                <w:rFonts w:hint="default" w:ascii="Times New Roman" w:hAnsi="Times New Roman" w:eastAsia="宋体" w:cs="Times New Roman"/>
                <w:color w:val="auto"/>
                <w:kern w:val="0"/>
                <w:sz w:val="18"/>
                <w:szCs w:val="18"/>
                <w:lang w:val="en-US" w:eastAsia="zh-CN" w:bidi="ar"/>
              </w:rPr>
              <w:t>×</w:t>
            </w:r>
            <w:r>
              <w:rPr>
                <w:rFonts w:hint="eastAsia" w:ascii="Times New Roman" w:hAnsi="Times New Roman" w:eastAsia="宋体" w:cs="Times New Roman"/>
                <w:color w:val="auto"/>
                <w:kern w:val="0"/>
                <w:sz w:val="18"/>
                <w:szCs w:val="18"/>
                <w:lang w:val="en-US" w:eastAsia="zh-CN" w:bidi="ar"/>
              </w:rPr>
              <w:t>10</w:t>
            </w:r>
            <w:r>
              <w:rPr>
                <w:rFonts w:hint="eastAsia" w:ascii="Times New Roman" w:hAnsi="Times New Roman" w:eastAsia="宋体" w:cs="Times New Roman"/>
                <w:color w:val="auto"/>
                <w:kern w:val="0"/>
                <w:sz w:val="18"/>
                <w:szCs w:val="18"/>
                <w:vertAlign w:val="superscript"/>
                <w:lang w:val="en-US" w:eastAsia="zh-CN" w:bidi="ar"/>
              </w:rPr>
              <w:t>-4</w:t>
            </w:r>
          </w:p>
        </w:tc>
        <w:tc>
          <w:tcPr>
            <w:tcW w:w="379" w:type="pct"/>
            <w:tcBorders>
              <w:tl2br w:val="nil"/>
              <w:tr2bl w:val="nil"/>
            </w:tcBorders>
            <w:noWrap w:val="0"/>
            <w:tcMar>
              <w:top w:w="57" w:type="dxa"/>
              <w:left w:w="0" w:type="dxa"/>
              <w:bottom w:w="57" w:type="dxa"/>
              <w:right w:w="0" w:type="dxa"/>
            </w:tcMar>
            <w:vAlign w:val="center"/>
          </w:tcPr>
          <w:p w14:paraId="670FC038">
            <w:pPr>
              <w:keepNext w:val="0"/>
              <w:keepLines w:val="0"/>
              <w:widowControl/>
              <w:suppressLineNumbers w:val="0"/>
              <w:spacing w:line="240" w:lineRule="auto"/>
              <w:ind w:left="0" w:leftChars="0"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color w:val="auto"/>
                <w:kern w:val="0"/>
                <w:sz w:val="18"/>
                <w:szCs w:val="18"/>
                <w:lang w:val="en-US" w:eastAsia="zh-CN" w:bidi="ar"/>
              </w:rPr>
              <w:t>5.3</w:t>
            </w:r>
            <w:r>
              <w:rPr>
                <w:rFonts w:hint="default" w:ascii="Times New Roman" w:hAnsi="Times New Roman" w:eastAsia="宋体" w:cs="Times New Roman"/>
                <w:color w:val="auto"/>
                <w:kern w:val="0"/>
                <w:sz w:val="18"/>
                <w:szCs w:val="18"/>
                <w:lang w:val="en-US" w:eastAsia="zh-CN" w:bidi="ar"/>
              </w:rPr>
              <w:t>×</w:t>
            </w:r>
            <w:r>
              <w:rPr>
                <w:rFonts w:hint="eastAsia" w:ascii="Times New Roman" w:hAnsi="Times New Roman" w:eastAsia="宋体" w:cs="Times New Roman"/>
                <w:color w:val="auto"/>
                <w:kern w:val="0"/>
                <w:sz w:val="18"/>
                <w:szCs w:val="18"/>
                <w:lang w:val="en-US" w:eastAsia="zh-CN" w:bidi="ar"/>
              </w:rPr>
              <w:t>10</w:t>
            </w:r>
            <w:r>
              <w:rPr>
                <w:rFonts w:hint="eastAsia" w:ascii="Times New Roman" w:hAnsi="Times New Roman" w:eastAsia="宋体" w:cs="Times New Roman"/>
                <w:color w:val="auto"/>
                <w:kern w:val="0"/>
                <w:sz w:val="18"/>
                <w:szCs w:val="18"/>
                <w:vertAlign w:val="superscript"/>
                <w:lang w:val="en-US" w:eastAsia="zh-CN" w:bidi="ar"/>
              </w:rPr>
              <w:t>-4</w:t>
            </w:r>
          </w:p>
        </w:tc>
        <w:tc>
          <w:tcPr>
            <w:tcW w:w="355" w:type="pct"/>
            <w:tcBorders>
              <w:tl2br w:val="nil"/>
              <w:tr2bl w:val="nil"/>
            </w:tcBorders>
            <w:noWrap w:val="0"/>
            <w:tcMar>
              <w:top w:w="57" w:type="dxa"/>
              <w:left w:w="0" w:type="dxa"/>
              <w:bottom w:w="57" w:type="dxa"/>
              <w:right w:w="0" w:type="dxa"/>
            </w:tcMar>
            <w:vAlign w:val="center"/>
          </w:tcPr>
          <w:p w14:paraId="75BA983C">
            <w:pPr>
              <w:pStyle w:val="16"/>
              <w:bidi w:val="0"/>
              <w:jc w:val="center"/>
              <w:rPr>
                <w:rFonts w:hint="default"/>
                <w:color w:val="auto"/>
                <w:sz w:val="18"/>
                <w:szCs w:val="18"/>
                <w:lang w:val="en-US" w:eastAsia="zh-CN"/>
              </w:rPr>
            </w:pPr>
            <w:r>
              <w:rPr>
                <w:rFonts w:hint="eastAsia"/>
                <w:color w:val="auto"/>
                <w:sz w:val="18"/>
                <w:szCs w:val="18"/>
                <w:lang w:val="en-US" w:eastAsia="zh-CN"/>
              </w:rPr>
              <w:t>7.5</w:t>
            </w:r>
            <w:r>
              <w:rPr>
                <w:rFonts w:hint="default"/>
                <w:color w:val="auto"/>
                <w:sz w:val="18"/>
                <w:szCs w:val="18"/>
                <w:lang w:val="en-US" w:eastAsia="zh-CN"/>
              </w:rPr>
              <w:t>×</w:t>
            </w:r>
            <w:r>
              <w:rPr>
                <w:rFonts w:hint="eastAsia"/>
                <w:color w:val="auto"/>
                <w:sz w:val="18"/>
                <w:szCs w:val="18"/>
                <w:lang w:val="en-US" w:eastAsia="zh-CN"/>
              </w:rPr>
              <w:t>10</w:t>
            </w:r>
            <w:r>
              <w:rPr>
                <w:rFonts w:hint="eastAsia"/>
                <w:color w:val="auto"/>
                <w:sz w:val="18"/>
                <w:szCs w:val="18"/>
                <w:vertAlign w:val="superscript"/>
                <w:lang w:val="en-US" w:eastAsia="zh-CN"/>
              </w:rPr>
              <w:t>-4</w:t>
            </w:r>
          </w:p>
        </w:tc>
        <w:tc>
          <w:tcPr>
            <w:tcW w:w="355" w:type="pct"/>
            <w:tcBorders>
              <w:tl2br w:val="nil"/>
              <w:tr2bl w:val="nil"/>
            </w:tcBorders>
            <w:noWrap w:val="0"/>
            <w:tcMar>
              <w:top w:w="57" w:type="dxa"/>
              <w:left w:w="0" w:type="dxa"/>
              <w:bottom w:w="57" w:type="dxa"/>
              <w:right w:w="0" w:type="dxa"/>
            </w:tcMar>
            <w:vAlign w:val="center"/>
          </w:tcPr>
          <w:p w14:paraId="4DD1471A">
            <w:pPr>
              <w:pStyle w:val="16"/>
              <w:bidi w:val="0"/>
              <w:jc w:val="center"/>
              <w:rPr>
                <w:rFonts w:hint="default"/>
                <w:color w:val="auto"/>
                <w:sz w:val="18"/>
                <w:szCs w:val="18"/>
                <w:lang w:val="en-US" w:eastAsia="zh-CN"/>
              </w:rPr>
            </w:pPr>
            <w:r>
              <w:rPr>
                <w:rFonts w:hint="eastAsia"/>
                <w:color w:val="auto"/>
                <w:sz w:val="18"/>
                <w:szCs w:val="18"/>
                <w:lang w:val="en-US" w:eastAsia="zh-CN"/>
              </w:rPr>
              <w:t>3.3</w:t>
            </w:r>
            <w:r>
              <w:rPr>
                <w:rFonts w:hint="default"/>
                <w:color w:val="auto"/>
                <w:sz w:val="18"/>
                <w:szCs w:val="18"/>
                <w:lang w:val="en-US" w:eastAsia="zh-CN"/>
              </w:rPr>
              <w:t>×</w:t>
            </w:r>
            <w:r>
              <w:rPr>
                <w:rFonts w:hint="eastAsia"/>
                <w:color w:val="auto"/>
                <w:sz w:val="18"/>
                <w:szCs w:val="18"/>
                <w:lang w:val="en-US" w:eastAsia="zh-CN"/>
              </w:rPr>
              <w:t>10</w:t>
            </w:r>
            <w:r>
              <w:rPr>
                <w:rFonts w:hint="eastAsia"/>
                <w:color w:val="auto"/>
                <w:sz w:val="18"/>
                <w:szCs w:val="18"/>
                <w:vertAlign w:val="superscript"/>
                <w:lang w:val="en-US" w:eastAsia="zh-CN"/>
              </w:rPr>
              <w:t>-4</w:t>
            </w:r>
          </w:p>
        </w:tc>
        <w:tc>
          <w:tcPr>
            <w:tcW w:w="355" w:type="pct"/>
            <w:tcBorders>
              <w:tl2br w:val="nil"/>
              <w:tr2bl w:val="nil"/>
            </w:tcBorders>
            <w:noWrap w:val="0"/>
            <w:tcMar>
              <w:top w:w="57" w:type="dxa"/>
              <w:left w:w="0" w:type="dxa"/>
              <w:bottom w:w="57" w:type="dxa"/>
              <w:right w:w="0" w:type="dxa"/>
            </w:tcMar>
            <w:vAlign w:val="center"/>
          </w:tcPr>
          <w:p w14:paraId="3CC48DAE">
            <w:pPr>
              <w:pStyle w:val="16"/>
              <w:bidi w:val="0"/>
              <w:jc w:val="center"/>
              <w:rPr>
                <w:rFonts w:hint="default"/>
                <w:color w:val="auto"/>
                <w:sz w:val="18"/>
                <w:szCs w:val="18"/>
                <w:lang w:val="en-US" w:eastAsia="zh-CN"/>
              </w:rPr>
            </w:pPr>
            <w:r>
              <w:rPr>
                <w:rFonts w:hint="eastAsia"/>
                <w:color w:val="auto"/>
                <w:sz w:val="18"/>
                <w:szCs w:val="18"/>
                <w:lang w:val="en-US" w:eastAsia="zh-CN"/>
              </w:rPr>
              <w:t>5.8</w:t>
            </w:r>
            <w:r>
              <w:rPr>
                <w:rFonts w:hint="default"/>
                <w:color w:val="auto"/>
                <w:sz w:val="18"/>
                <w:szCs w:val="18"/>
                <w:lang w:val="en-US" w:eastAsia="zh-CN"/>
              </w:rPr>
              <w:t>×</w:t>
            </w:r>
            <w:r>
              <w:rPr>
                <w:rFonts w:hint="eastAsia"/>
                <w:color w:val="auto"/>
                <w:sz w:val="18"/>
                <w:szCs w:val="18"/>
                <w:lang w:val="en-US" w:eastAsia="zh-CN"/>
              </w:rPr>
              <w:t>10</w:t>
            </w:r>
            <w:r>
              <w:rPr>
                <w:rFonts w:hint="eastAsia"/>
                <w:color w:val="auto"/>
                <w:sz w:val="18"/>
                <w:szCs w:val="18"/>
                <w:vertAlign w:val="superscript"/>
                <w:lang w:val="en-US" w:eastAsia="zh-CN"/>
              </w:rPr>
              <w:t>-4</w:t>
            </w:r>
          </w:p>
        </w:tc>
      </w:tr>
      <w:tr w14:paraId="202397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26" w:type="pct"/>
            <w:vMerge w:val="continue"/>
            <w:tcBorders>
              <w:tl2br w:val="nil"/>
              <w:tr2bl w:val="nil"/>
            </w:tcBorders>
            <w:noWrap w:val="0"/>
            <w:tcMar>
              <w:top w:w="57" w:type="dxa"/>
              <w:left w:w="0" w:type="dxa"/>
              <w:bottom w:w="57" w:type="dxa"/>
              <w:right w:w="0" w:type="dxa"/>
            </w:tcMar>
            <w:vAlign w:val="center"/>
          </w:tcPr>
          <w:p w14:paraId="6E7785FD">
            <w:pPr>
              <w:pStyle w:val="16"/>
              <w:bidi w:val="0"/>
              <w:rPr>
                <w:rFonts w:hint="default"/>
                <w:color w:val="auto"/>
              </w:rPr>
            </w:pPr>
          </w:p>
        </w:tc>
        <w:tc>
          <w:tcPr>
            <w:tcW w:w="436" w:type="pct"/>
            <w:tcBorders>
              <w:tl2br w:val="nil"/>
              <w:tr2bl w:val="nil"/>
            </w:tcBorders>
            <w:noWrap w:val="0"/>
            <w:tcMar>
              <w:top w:w="57" w:type="dxa"/>
              <w:left w:w="0" w:type="dxa"/>
              <w:bottom w:w="57" w:type="dxa"/>
              <w:right w:w="0" w:type="dxa"/>
            </w:tcMar>
            <w:vAlign w:val="center"/>
          </w:tcPr>
          <w:p w14:paraId="177064EA">
            <w:pPr>
              <w:pStyle w:val="16"/>
              <w:bidi w:val="0"/>
              <w:rPr>
                <w:rFonts w:hint="default"/>
                <w:color w:val="auto"/>
                <w:sz w:val="18"/>
                <w:szCs w:val="18"/>
                <w:lang w:val="en-US"/>
              </w:rPr>
            </w:pPr>
            <w:r>
              <w:rPr>
                <w:rFonts w:hint="default"/>
                <w:color w:val="auto"/>
                <w:sz w:val="18"/>
                <w:szCs w:val="18"/>
                <w:lang w:val="en-US" w:eastAsia="zh-CN"/>
              </w:rPr>
              <w:t>土壤容</w:t>
            </w:r>
            <w:r>
              <w:rPr>
                <w:rFonts w:hint="eastAsia"/>
                <w:color w:val="auto"/>
                <w:sz w:val="18"/>
                <w:szCs w:val="18"/>
                <w:lang w:val="en-US" w:eastAsia="zh-CN"/>
              </w:rPr>
              <w:t>重</w:t>
            </w:r>
            <w:r>
              <w:rPr>
                <w:rFonts w:hint="default"/>
                <w:color w:val="auto"/>
                <w:sz w:val="18"/>
                <w:szCs w:val="18"/>
                <w:lang w:val="en-US" w:eastAsia="zh-CN"/>
              </w:rPr>
              <w:t>（g/</w:t>
            </w:r>
            <w:r>
              <w:rPr>
                <w:rFonts w:hint="eastAsia"/>
                <w:color w:val="auto"/>
                <w:sz w:val="18"/>
                <w:szCs w:val="18"/>
                <w:lang w:val="en-US" w:eastAsia="zh-CN"/>
              </w:rPr>
              <w:t>cm³</w:t>
            </w:r>
            <w:r>
              <w:rPr>
                <w:rFonts w:hint="default"/>
                <w:color w:val="auto"/>
                <w:sz w:val="18"/>
                <w:szCs w:val="18"/>
                <w:lang w:val="en-US" w:eastAsia="zh-CN"/>
              </w:rPr>
              <w:t>）</w:t>
            </w:r>
          </w:p>
        </w:tc>
        <w:tc>
          <w:tcPr>
            <w:tcW w:w="355" w:type="pct"/>
            <w:tcBorders>
              <w:tl2br w:val="nil"/>
              <w:tr2bl w:val="nil"/>
            </w:tcBorders>
            <w:noWrap w:val="0"/>
            <w:tcMar>
              <w:top w:w="57" w:type="dxa"/>
              <w:left w:w="0" w:type="dxa"/>
              <w:bottom w:w="57" w:type="dxa"/>
              <w:right w:w="0" w:type="dxa"/>
            </w:tcMar>
            <w:vAlign w:val="center"/>
          </w:tcPr>
          <w:p w14:paraId="3C93CDED">
            <w:pPr>
              <w:pStyle w:val="16"/>
              <w:bidi w:val="0"/>
              <w:jc w:val="center"/>
              <w:rPr>
                <w:rFonts w:hint="eastAsia"/>
                <w:color w:val="auto"/>
                <w:sz w:val="18"/>
                <w:szCs w:val="18"/>
                <w:lang w:val="en-US" w:eastAsia="zh-CN"/>
              </w:rPr>
            </w:pPr>
            <w:r>
              <w:rPr>
                <w:rFonts w:hint="eastAsia"/>
                <w:color w:val="auto"/>
                <w:sz w:val="18"/>
                <w:szCs w:val="18"/>
                <w:lang w:val="en-US" w:eastAsia="zh-CN"/>
              </w:rPr>
              <w:t>1.34</w:t>
            </w:r>
          </w:p>
        </w:tc>
        <w:tc>
          <w:tcPr>
            <w:tcW w:w="375" w:type="pct"/>
            <w:tcBorders>
              <w:tl2br w:val="nil"/>
              <w:tr2bl w:val="nil"/>
            </w:tcBorders>
            <w:noWrap w:val="0"/>
            <w:tcMar>
              <w:top w:w="57" w:type="dxa"/>
              <w:left w:w="0" w:type="dxa"/>
              <w:bottom w:w="57" w:type="dxa"/>
              <w:right w:w="0" w:type="dxa"/>
            </w:tcMar>
            <w:vAlign w:val="center"/>
          </w:tcPr>
          <w:p w14:paraId="3BCFBC75">
            <w:pPr>
              <w:pStyle w:val="16"/>
              <w:bidi w:val="0"/>
              <w:jc w:val="center"/>
              <w:rPr>
                <w:rFonts w:hint="eastAsia"/>
                <w:color w:val="auto"/>
                <w:sz w:val="18"/>
                <w:szCs w:val="18"/>
                <w:lang w:val="en-US" w:eastAsia="zh-CN"/>
              </w:rPr>
            </w:pPr>
            <w:r>
              <w:rPr>
                <w:rFonts w:hint="eastAsia"/>
                <w:color w:val="auto"/>
                <w:sz w:val="18"/>
                <w:szCs w:val="18"/>
                <w:lang w:val="en-US" w:eastAsia="zh-CN"/>
              </w:rPr>
              <w:t>1.42</w:t>
            </w:r>
          </w:p>
        </w:tc>
        <w:tc>
          <w:tcPr>
            <w:tcW w:w="376" w:type="pct"/>
            <w:tcBorders>
              <w:tl2br w:val="nil"/>
              <w:tr2bl w:val="nil"/>
            </w:tcBorders>
            <w:noWrap w:val="0"/>
            <w:tcMar>
              <w:top w:w="57" w:type="dxa"/>
              <w:left w:w="0" w:type="dxa"/>
              <w:bottom w:w="57" w:type="dxa"/>
              <w:right w:w="0" w:type="dxa"/>
            </w:tcMar>
            <w:vAlign w:val="center"/>
          </w:tcPr>
          <w:p w14:paraId="2A9E21E2">
            <w:pPr>
              <w:pStyle w:val="16"/>
              <w:bidi w:val="0"/>
              <w:jc w:val="center"/>
              <w:rPr>
                <w:rFonts w:hint="eastAsia"/>
                <w:color w:val="auto"/>
                <w:sz w:val="18"/>
                <w:szCs w:val="18"/>
                <w:lang w:val="en-US" w:eastAsia="zh-CN"/>
              </w:rPr>
            </w:pPr>
            <w:r>
              <w:rPr>
                <w:rFonts w:hint="eastAsia"/>
                <w:color w:val="auto"/>
                <w:sz w:val="18"/>
                <w:szCs w:val="18"/>
                <w:lang w:val="en-US" w:eastAsia="zh-CN"/>
              </w:rPr>
              <w:t>1.43</w:t>
            </w:r>
          </w:p>
        </w:tc>
        <w:tc>
          <w:tcPr>
            <w:tcW w:w="328" w:type="pct"/>
            <w:tcBorders>
              <w:tl2br w:val="nil"/>
              <w:tr2bl w:val="nil"/>
            </w:tcBorders>
            <w:noWrap w:val="0"/>
            <w:tcMar>
              <w:top w:w="57" w:type="dxa"/>
              <w:left w:w="0" w:type="dxa"/>
              <w:bottom w:w="57" w:type="dxa"/>
              <w:right w:w="0" w:type="dxa"/>
            </w:tcMar>
            <w:vAlign w:val="center"/>
          </w:tcPr>
          <w:p w14:paraId="4F42A6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i w:val="0"/>
                <w:color w:val="auto"/>
                <w:kern w:val="0"/>
                <w:sz w:val="18"/>
                <w:szCs w:val="18"/>
                <w:u w:val="none"/>
                <w:lang w:val="en-US" w:eastAsia="zh-CN" w:bidi="ar"/>
              </w:rPr>
              <w:t>1.33</w:t>
            </w:r>
          </w:p>
        </w:tc>
        <w:tc>
          <w:tcPr>
            <w:tcW w:w="375" w:type="pct"/>
            <w:tcBorders>
              <w:tl2br w:val="nil"/>
              <w:tr2bl w:val="nil"/>
            </w:tcBorders>
            <w:noWrap w:val="0"/>
            <w:tcMar>
              <w:top w:w="57" w:type="dxa"/>
              <w:left w:w="0" w:type="dxa"/>
              <w:bottom w:w="57" w:type="dxa"/>
              <w:right w:w="0" w:type="dxa"/>
            </w:tcMar>
            <w:vAlign w:val="center"/>
          </w:tcPr>
          <w:p w14:paraId="6A87E8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i w:val="0"/>
                <w:color w:val="auto"/>
                <w:kern w:val="0"/>
                <w:sz w:val="18"/>
                <w:szCs w:val="18"/>
                <w:u w:val="none"/>
                <w:lang w:val="en-US" w:eastAsia="zh-CN" w:bidi="ar"/>
              </w:rPr>
              <w:t>1.36</w:t>
            </w:r>
          </w:p>
        </w:tc>
        <w:tc>
          <w:tcPr>
            <w:tcW w:w="376" w:type="pct"/>
            <w:tcBorders>
              <w:tl2br w:val="nil"/>
              <w:tr2bl w:val="nil"/>
            </w:tcBorders>
            <w:noWrap w:val="0"/>
            <w:tcMar>
              <w:top w:w="57" w:type="dxa"/>
              <w:left w:w="0" w:type="dxa"/>
              <w:bottom w:w="57" w:type="dxa"/>
              <w:right w:w="0" w:type="dxa"/>
            </w:tcMar>
            <w:vAlign w:val="center"/>
          </w:tcPr>
          <w:p w14:paraId="262486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i w:val="0"/>
                <w:color w:val="auto"/>
                <w:kern w:val="0"/>
                <w:sz w:val="18"/>
                <w:szCs w:val="18"/>
                <w:u w:val="none"/>
                <w:lang w:val="en-US" w:eastAsia="zh-CN" w:bidi="ar"/>
              </w:rPr>
              <w:t>1.29</w:t>
            </w:r>
          </w:p>
        </w:tc>
        <w:tc>
          <w:tcPr>
            <w:tcW w:w="328" w:type="pct"/>
            <w:tcBorders>
              <w:tl2br w:val="nil"/>
              <w:tr2bl w:val="nil"/>
            </w:tcBorders>
            <w:noWrap w:val="0"/>
            <w:tcMar>
              <w:top w:w="57" w:type="dxa"/>
              <w:left w:w="0" w:type="dxa"/>
              <w:bottom w:w="57" w:type="dxa"/>
              <w:right w:w="0" w:type="dxa"/>
            </w:tcMar>
            <w:vAlign w:val="center"/>
          </w:tcPr>
          <w:p w14:paraId="293278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i w:val="0"/>
                <w:color w:val="auto"/>
                <w:kern w:val="0"/>
                <w:sz w:val="18"/>
                <w:szCs w:val="18"/>
                <w:u w:val="none"/>
                <w:lang w:val="en-US" w:eastAsia="zh-CN" w:bidi="ar"/>
              </w:rPr>
              <w:t>1.42</w:t>
            </w:r>
          </w:p>
        </w:tc>
        <w:tc>
          <w:tcPr>
            <w:tcW w:w="375" w:type="pct"/>
            <w:tcBorders>
              <w:tl2br w:val="nil"/>
              <w:tr2bl w:val="nil"/>
            </w:tcBorders>
            <w:noWrap w:val="0"/>
            <w:tcMar>
              <w:top w:w="57" w:type="dxa"/>
              <w:left w:w="0" w:type="dxa"/>
              <w:bottom w:w="57" w:type="dxa"/>
              <w:right w:w="0" w:type="dxa"/>
            </w:tcMar>
            <w:vAlign w:val="center"/>
          </w:tcPr>
          <w:p w14:paraId="7C2766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i w:val="0"/>
                <w:color w:val="auto"/>
                <w:kern w:val="0"/>
                <w:sz w:val="18"/>
                <w:szCs w:val="18"/>
                <w:u w:val="none"/>
                <w:lang w:val="en-US" w:eastAsia="zh-CN" w:bidi="ar"/>
              </w:rPr>
              <w:t>1.34</w:t>
            </w:r>
          </w:p>
        </w:tc>
        <w:tc>
          <w:tcPr>
            <w:tcW w:w="379" w:type="pct"/>
            <w:tcBorders>
              <w:tl2br w:val="nil"/>
              <w:tr2bl w:val="nil"/>
            </w:tcBorders>
            <w:noWrap w:val="0"/>
            <w:tcMar>
              <w:top w:w="57" w:type="dxa"/>
              <w:left w:w="0" w:type="dxa"/>
              <w:bottom w:w="57" w:type="dxa"/>
              <w:right w:w="0" w:type="dxa"/>
            </w:tcMar>
            <w:vAlign w:val="center"/>
          </w:tcPr>
          <w:p w14:paraId="2429E2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olor w:val="auto"/>
                <w:sz w:val="18"/>
                <w:szCs w:val="18"/>
                <w:lang w:val="en-US" w:eastAsia="zh-CN"/>
              </w:rPr>
            </w:pPr>
            <w:r>
              <w:rPr>
                <w:rFonts w:hint="eastAsia" w:ascii="Times New Roman" w:hAnsi="Times New Roman" w:eastAsia="宋体" w:cs="Times New Roman"/>
                <w:i w:val="0"/>
                <w:color w:val="auto"/>
                <w:kern w:val="0"/>
                <w:sz w:val="18"/>
                <w:szCs w:val="18"/>
                <w:u w:val="none"/>
                <w:lang w:val="en-US" w:eastAsia="zh-CN" w:bidi="ar"/>
              </w:rPr>
              <w:t>1.30</w:t>
            </w:r>
          </w:p>
        </w:tc>
        <w:tc>
          <w:tcPr>
            <w:tcW w:w="355" w:type="pct"/>
            <w:tcBorders>
              <w:tl2br w:val="nil"/>
              <w:tr2bl w:val="nil"/>
            </w:tcBorders>
            <w:noWrap w:val="0"/>
            <w:tcMar>
              <w:top w:w="57" w:type="dxa"/>
              <w:left w:w="0" w:type="dxa"/>
              <w:bottom w:w="57" w:type="dxa"/>
              <w:right w:w="0" w:type="dxa"/>
            </w:tcMar>
            <w:vAlign w:val="center"/>
          </w:tcPr>
          <w:p w14:paraId="2DAD534D">
            <w:pPr>
              <w:pStyle w:val="16"/>
              <w:bidi w:val="0"/>
              <w:jc w:val="center"/>
              <w:rPr>
                <w:rFonts w:hint="default"/>
                <w:color w:val="auto"/>
                <w:sz w:val="18"/>
                <w:szCs w:val="18"/>
                <w:lang w:val="en-US" w:eastAsia="zh-CN"/>
              </w:rPr>
            </w:pPr>
            <w:r>
              <w:rPr>
                <w:rFonts w:hint="eastAsia"/>
                <w:color w:val="auto"/>
                <w:sz w:val="18"/>
                <w:szCs w:val="18"/>
                <w:lang w:val="en-US" w:eastAsia="zh-CN"/>
              </w:rPr>
              <w:t>1.38</w:t>
            </w:r>
          </w:p>
        </w:tc>
        <w:tc>
          <w:tcPr>
            <w:tcW w:w="355" w:type="pct"/>
            <w:tcBorders>
              <w:tl2br w:val="nil"/>
              <w:tr2bl w:val="nil"/>
            </w:tcBorders>
            <w:noWrap w:val="0"/>
            <w:tcMar>
              <w:top w:w="57" w:type="dxa"/>
              <w:left w:w="0" w:type="dxa"/>
              <w:bottom w:w="57" w:type="dxa"/>
              <w:right w:w="0" w:type="dxa"/>
            </w:tcMar>
            <w:vAlign w:val="center"/>
          </w:tcPr>
          <w:p w14:paraId="205F5742">
            <w:pPr>
              <w:pStyle w:val="16"/>
              <w:bidi w:val="0"/>
              <w:jc w:val="center"/>
              <w:rPr>
                <w:rFonts w:hint="default"/>
                <w:color w:val="auto"/>
                <w:sz w:val="18"/>
                <w:szCs w:val="18"/>
                <w:lang w:val="en-US" w:eastAsia="zh-CN"/>
              </w:rPr>
            </w:pPr>
            <w:r>
              <w:rPr>
                <w:rFonts w:hint="eastAsia"/>
                <w:color w:val="auto"/>
                <w:sz w:val="18"/>
                <w:szCs w:val="18"/>
                <w:lang w:val="en-US" w:eastAsia="zh-CN"/>
              </w:rPr>
              <w:t>1.43</w:t>
            </w:r>
          </w:p>
        </w:tc>
        <w:tc>
          <w:tcPr>
            <w:tcW w:w="355" w:type="pct"/>
            <w:tcBorders>
              <w:tl2br w:val="nil"/>
              <w:tr2bl w:val="nil"/>
            </w:tcBorders>
            <w:noWrap w:val="0"/>
            <w:tcMar>
              <w:top w:w="57" w:type="dxa"/>
              <w:left w:w="0" w:type="dxa"/>
              <w:bottom w:w="57" w:type="dxa"/>
              <w:right w:w="0" w:type="dxa"/>
            </w:tcMar>
            <w:vAlign w:val="center"/>
          </w:tcPr>
          <w:p w14:paraId="3DC2E391">
            <w:pPr>
              <w:pStyle w:val="16"/>
              <w:bidi w:val="0"/>
              <w:jc w:val="center"/>
              <w:rPr>
                <w:rFonts w:hint="default"/>
                <w:color w:val="auto"/>
                <w:sz w:val="18"/>
                <w:szCs w:val="18"/>
                <w:lang w:val="en-US" w:eastAsia="zh-CN"/>
              </w:rPr>
            </w:pPr>
            <w:r>
              <w:rPr>
                <w:rFonts w:hint="eastAsia"/>
                <w:color w:val="auto"/>
                <w:sz w:val="18"/>
                <w:szCs w:val="18"/>
                <w:lang w:val="en-US" w:eastAsia="zh-CN"/>
              </w:rPr>
              <w:t>1.41</w:t>
            </w:r>
          </w:p>
        </w:tc>
      </w:tr>
      <w:tr w14:paraId="7DE86F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26" w:type="pct"/>
            <w:vMerge w:val="continue"/>
            <w:tcBorders>
              <w:tl2br w:val="nil"/>
              <w:tr2bl w:val="nil"/>
            </w:tcBorders>
            <w:noWrap w:val="0"/>
            <w:tcMar>
              <w:top w:w="57" w:type="dxa"/>
              <w:left w:w="0" w:type="dxa"/>
              <w:bottom w:w="57" w:type="dxa"/>
              <w:right w:w="0" w:type="dxa"/>
            </w:tcMar>
            <w:vAlign w:val="center"/>
          </w:tcPr>
          <w:p w14:paraId="3123FA2E">
            <w:pPr>
              <w:pStyle w:val="16"/>
              <w:bidi w:val="0"/>
              <w:rPr>
                <w:rFonts w:hint="default"/>
                <w:color w:val="auto"/>
              </w:rPr>
            </w:pPr>
          </w:p>
        </w:tc>
        <w:tc>
          <w:tcPr>
            <w:tcW w:w="436" w:type="pct"/>
            <w:tcBorders>
              <w:tl2br w:val="nil"/>
              <w:tr2bl w:val="nil"/>
            </w:tcBorders>
            <w:noWrap w:val="0"/>
            <w:tcMar>
              <w:top w:w="57" w:type="dxa"/>
              <w:left w:w="0" w:type="dxa"/>
              <w:bottom w:w="57" w:type="dxa"/>
              <w:right w:w="0" w:type="dxa"/>
            </w:tcMar>
            <w:vAlign w:val="center"/>
          </w:tcPr>
          <w:p w14:paraId="71F81962">
            <w:pPr>
              <w:pStyle w:val="16"/>
              <w:bidi w:val="0"/>
              <w:rPr>
                <w:rFonts w:hint="default"/>
                <w:color w:val="auto"/>
                <w:sz w:val="18"/>
                <w:szCs w:val="18"/>
                <w:lang w:val="en-US" w:eastAsia="zh-CN"/>
              </w:rPr>
            </w:pPr>
            <w:r>
              <w:rPr>
                <w:rFonts w:hint="default"/>
                <w:color w:val="auto"/>
                <w:sz w:val="18"/>
                <w:szCs w:val="18"/>
                <w:lang w:val="en-US" w:eastAsia="zh-CN"/>
              </w:rPr>
              <w:t>孔隙度（%）</w:t>
            </w:r>
          </w:p>
        </w:tc>
        <w:tc>
          <w:tcPr>
            <w:tcW w:w="355" w:type="pct"/>
            <w:tcBorders>
              <w:tl2br w:val="nil"/>
              <w:tr2bl w:val="nil"/>
            </w:tcBorders>
            <w:noWrap w:val="0"/>
            <w:tcMar>
              <w:top w:w="57" w:type="dxa"/>
              <w:left w:w="0" w:type="dxa"/>
              <w:bottom w:w="57" w:type="dxa"/>
              <w:right w:w="0" w:type="dxa"/>
            </w:tcMar>
            <w:vAlign w:val="center"/>
          </w:tcPr>
          <w:p w14:paraId="08A0F1BD">
            <w:pPr>
              <w:pStyle w:val="16"/>
              <w:bidi w:val="0"/>
              <w:jc w:val="center"/>
              <w:rPr>
                <w:rFonts w:hint="eastAsia"/>
                <w:color w:val="auto"/>
                <w:sz w:val="18"/>
                <w:szCs w:val="18"/>
                <w:lang w:val="en-US" w:eastAsia="zh-CN"/>
              </w:rPr>
            </w:pPr>
            <w:r>
              <w:rPr>
                <w:rFonts w:hint="eastAsia"/>
                <w:color w:val="auto"/>
                <w:sz w:val="18"/>
                <w:szCs w:val="18"/>
                <w:lang w:val="en-US" w:eastAsia="zh-CN"/>
              </w:rPr>
              <w:t>49.5</w:t>
            </w:r>
          </w:p>
        </w:tc>
        <w:tc>
          <w:tcPr>
            <w:tcW w:w="375" w:type="pct"/>
            <w:tcBorders>
              <w:tl2br w:val="nil"/>
              <w:tr2bl w:val="nil"/>
            </w:tcBorders>
            <w:noWrap w:val="0"/>
            <w:tcMar>
              <w:top w:w="57" w:type="dxa"/>
              <w:left w:w="0" w:type="dxa"/>
              <w:bottom w:w="57" w:type="dxa"/>
              <w:right w:w="0" w:type="dxa"/>
            </w:tcMar>
            <w:vAlign w:val="center"/>
          </w:tcPr>
          <w:p w14:paraId="4C645B51">
            <w:pPr>
              <w:pStyle w:val="16"/>
              <w:bidi w:val="0"/>
              <w:jc w:val="center"/>
              <w:rPr>
                <w:rFonts w:hint="eastAsia"/>
                <w:color w:val="auto"/>
                <w:sz w:val="18"/>
                <w:szCs w:val="18"/>
                <w:lang w:val="en-US" w:eastAsia="zh-CN"/>
              </w:rPr>
            </w:pPr>
            <w:r>
              <w:rPr>
                <w:rFonts w:hint="eastAsia"/>
                <w:color w:val="auto"/>
                <w:sz w:val="18"/>
                <w:szCs w:val="18"/>
                <w:lang w:val="en-US" w:eastAsia="zh-CN"/>
              </w:rPr>
              <w:t>47.5</w:t>
            </w:r>
          </w:p>
        </w:tc>
        <w:tc>
          <w:tcPr>
            <w:tcW w:w="376" w:type="pct"/>
            <w:tcBorders>
              <w:tl2br w:val="nil"/>
              <w:tr2bl w:val="nil"/>
            </w:tcBorders>
            <w:noWrap w:val="0"/>
            <w:tcMar>
              <w:top w:w="57" w:type="dxa"/>
              <w:left w:w="0" w:type="dxa"/>
              <w:bottom w:w="57" w:type="dxa"/>
              <w:right w:w="0" w:type="dxa"/>
            </w:tcMar>
            <w:vAlign w:val="center"/>
          </w:tcPr>
          <w:p w14:paraId="70198F6D">
            <w:pPr>
              <w:pStyle w:val="16"/>
              <w:bidi w:val="0"/>
              <w:jc w:val="center"/>
              <w:rPr>
                <w:rFonts w:hint="eastAsia"/>
                <w:color w:val="auto"/>
                <w:sz w:val="18"/>
                <w:szCs w:val="18"/>
                <w:lang w:val="en-US" w:eastAsia="zh-CN"/>
              </w:rPr>
            </w:pPr>
            <w:r>
              <w:rPr>
                <w:rFonts w:hint="eastAsia"/>
                <w:color w:val="auto"/>
                <w:sz w:val="18"/>
                <w:szCs w:val="18"/>
                <w:lang w:val="en-US" w:eastAsia="zh-CN"/>
              </w:rPr>
              <w:t>47.1</w:t>
            </w:r>
          </w:p>
        </w:tc>
        <w:tc>
          <w:tcPr>
            <w:tcW w:w="328" w:type="pct"/>
            <w:tcBorders>
              <w:tl2br w:val="nil"/>
              <w:tr2bl w:val="nil"/>
            </w:tcBorders>
            <w:noWrap w:val="0"/>
            <w:tcMar>
              <w:top w:w="57" w:type="dxa"/>
              <w:left w:w="0" w:type="dxa"/>
              <w:bottom w:w="57" w:type="dxa"/>
              <w:right w:w="0" w:type="dxa"/>
            </w:tcMar>
            <w:vAlign w:val="center"/>
          </w:tcPr>
          <w:p w14:paraId="1CE976F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color w:val="auto"/>
                <w:sz w:val="18"/>
                <w:szCs w:val="18"/>
                <w:lang w:val="en-US" w:eastAsia="zh-CN"/>
              </w:rPr>
            </w:pPr>
            <w:r>
              <w:rPr>
                <w:rFonts w:hint="eastAsia" w:ascii="Times New Roman" w:hAnsi="Times New Roman" w:eastAsia="宋体" w:cs="Times New Roman"/>
                <w:i w:val="0"/>
                <w:color w:val="auto"/>
                <w:kern w:val="0"/>
                <w:sz w:val="18"/>
                <w:szCs w:val="18"/>
                <w:u w:val="none"/>
                <w:lang w:val="en-US" w:eastAsia="zh-CN" w:bidi="ar"/>
              </w:rPr>
              <w:t>49.2</w:t>
            </w:r>
          </w:p>
        </w:tc>
        <w:tc>
          <w:tcPr>
            <w:tcW w:w="375" w:type="pct"/>
            <w:tcBorders>
              <w:tl2br w:val="nil"/>
              <w:tr2bl w:val="nil"/>
            </w:tcBorders>
            <w:noWrap w:val="0"/>
            <w:tcMar>
              <w:top w:w="57" w:type="dxa"/>
              <w:left w:w="0" w:type="dxa"/>
              <w:bottom w:w="57" w:type="dxa"/>
              <w:right w:w="0" w:type="dxa"/>
            </w:tcMar>
            <w:vAlign w:val="center"/>
          </w:tcPr>
          <w:p w14:paraId="12DD89B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color w:val="auto"/>
                <w:sz w:val="18"/>
                <w:szCs w:val="18"/>
                <w:lang w:val="en-US" w:eastAsia="zh-CN"/>
              </w:rPr>
            </w:pPr>
            <w:r>
              <w:rPr>
                <w:rFonts w:hint="eastAsia" w:ascii="Times New Roman" w:hAnsi="Times New Roman" w:eastAsia="宋体" w:cs="Times New Roman"/>
                <w:i w:val="0"/>
                <w:color w:val="auto"/>
                <w:kern w:val="0"/>
                <w:sz w:val="18"/>
                <w:szCs w:val="18"/>
                <w:u w:val="none"/>
                <w:lang w:val="en-US" w:eastAsia="zh-CN" w:bidi="ar"/>
              </w:rPr>
              <w:t>48.3</w:t>
            </w:r>
          </w:p>
        </w:tc>
        <w:tc>
          <w:tcPr>
            <w:tcW w:w="376" w:type="pct"/>
            <w:tcBorders>
              <w:tl2br w:val="nil"/>
              <w:tr2bl w:val="nil"/>
            </w:tcBorders>
            <w:noWrap w:val="0"/>
            <w:tcMar>
              <w:top w:w="57" w:type="dxa"/>
              <w:left w:w="0" w:type="dxa"/>
              <w:bottom w:w="57" w:type="dxa"/>
              <w:right w:w="0" w:type="dxa"/>
            </w:tcMar>
            <w:vAlign w:val="center"/>
          </w:tcPr>
          <w:p w14:paraId="1C3BC9D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color w:val="auto"/>
                <w:sz w:val="18"/>
                <w:szCs w:val="18"/>
                <w:lang w:val="en-US" w:eastAsia="zh-CN"/>
              </w:rPr>
            </w:pPr>
            <w:r>
              <w:rPr>
                <w:rFonts w:hint="eastAsia" w:ascii="Times New Roman" w:hAnsi="Times New Roman" w:eastAsia="宋体" w:cs="Times New Roman"/>
                <w:i w:val="0"/>
                <w:color w:val="auto"/>
                <w:kern w:val="0"/>
                <w:sz w:val="18"/>
                <w:szCs w:val="18"/>
                <w:u w:val="none"/>
                <w:lang w:val="en-US" w:eastAsia="zh-CN" w:bidi="ar"/>
              </w:rPr>
              <w:t>49.0</w:t>
            </w:r>
          </w:p>
        </w:tc>
        <w:tc>
          <w:tcPr>
            <w:tcW w:w="328" w:type="pct"/>
            <w:tcBorders>
              <w:tl2br w:val="nil"/>
              <w:tr2bl w:val="nil"/>
            </w:tcBorders>
            <w:noWrap w:val="0"/>
            <w:tcMar>
              <w:top w:w="57" w:type="dxa"/>
              <w:left w:w="0" w:type="dxa"/>
              <w:bottom w:w="57" w:type="dxa"/>
              <w:right w:w="0" w:type="dxa"/>
            </w:tcMar>
            <w:vAlign w:val="center"/>
          </w:tcPr>
          <w:p w14:paraId="6738BB3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color w:val="auto"/>
                <w:sz w:val="18"/>
                <w:szCs w:val="18"/>
                <w:lang w:val="en-US" w:eastAsia="zh-CN"/>
              </w:rPr>
            </w:pPr>
            <w:r>
              <w:rPr>
                <w:rFonts w:hint="eastAsia" w:ascii="Times New Roman" w:hAnsi="Times New Roman" w:eastAsia="宋体" w:cs="Times New Roman"/>
                <w:i w:val="0"/>
                <w:color w:val="auto"/>
                <w:kern w:val="0"/>
                <w:sz w:val="18"/>
                <w:szCs w:val="18"/>
                <w:u w:val="none"/>
                <w:lang w:val="en-US" w:eastAsia="zh-CN" w:bidi="ar"/>
              </w:rPr>
              <w:t>46.2</w:t>
            </w:r>
          </w:p>
        </w:tc>
        <w:tc>
          <w:tcPr>
            <w:tcW w:w="375" w:type="pct"/>
            <w:tcBorders>
              <w:tl2br w:val="nil"/>
              <w:tr2bl w:val="nil"/>
            </w:tcBorders>
            <w:noWrap w:val="0"/>
            <w:tcMar>
              <w:top w:w="57" w:type="dxa"/>
              <w:left w:w="0" w:type="dxa"/>
              <w:bottom w:w="57" w:type="dxa"/>
              <w:right w:w="0" w:type="dxa"/>
            </w:tcMar>
            <w:vAlign w:val="center"/>
          </w:tcPr>
          <w:p w14:paraId="1428099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color w:val="auto"/>
                <w:sz w:val="18"/>
                <w:szCs w:val="18"/>
                <w:lang w:val="en-US" w:eastAsia="zh-CN"/>
              </w:rPr>
            </w:pPr>
            <w:r>
              <w:rPr>
                <w:rFonts w:hint="eastAsia" w:ascii="Times New Roman" w:hAnsi="Times New Roman" w:eastAsia="宋体" w:cs="Times New Roman"/>
                <w:i w:val="0"/>
                <w:color w:val="auto"/>
                <w:kern w:val="0"/>
                <w:sz w:val="18"/>
                <w:szCs w:val="18"/>
                <w:u w:val="none"/>
                <w:lang w:val="en-US" w:eastAsia="zh-CN" w:bidi="ar"/>
              </w:rPr>
              <w:t>50.6</w:t>
            </w:r>
          </w:p>
        </w:tc>
        <w:tc>
          <w:tcPr>
            <w:tcW w:w="379" w:type="pct"/>
            <w:tcBorders>
              <w:tl2br w:val="nil"/>
              <w:tr2bl w:val="nil"/>
            </w:tcBorders>
            <w:noWrap w:val="0"/>
            <w:tcMar>
              <w:top w:w="57" w:type="dxa"/>
              <w:left w:w="0" w:type="dxa"/>
              <w:bottom w:w="57" w:type="dxa"/>
              <w:right w:w="0" w:type="dxa"/>
            </w:tcMar>
            <w:vAlign w:val="center"/>
          </w:tcPr>
          <w:p w14:paraId="14D872C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color w:val="auto"/>
                <w:sz w:val="18"/>
                <w:szCs w:val="18"/>
                <w:lang w:val="en-US" w:eastAsia="zh-CN"/>
              </w:rPr>
            </w:pPr>
            <w:r>
              <w:rPr>
                <w:rFonts w:hint="eastAsia" w:ascii="Times New Roman" w:hAnsi="Times New Roman" w:eastAsia="宋体" w:cs="Times New Roman"/>
                <w:i w:val="0"/>
                <w:color w:val="auto"/>
                <w:kern w:val="0"/>
                <w:sz w:val="18"/>
                <w:szCs w:val="18"/>
                <w:u w:val="none"/>
                <w:lang w:val="en-US" w:eastAsia="zh-CN" w:bidi="ar"/>
              </w:rPr>
              <w:t>50.6</w:t>
            </w:r>
          </w:p>
        </w:tc>
        <w:tc>
          <w:tcPr>
            <w:tcW w:w="355" w:type="pct"/>
            <w:tcBorders>
              <w:tl2br w:val="nil"/>
              <w:tr2bl w:val="nil"/>
            </w:tcBorders>
            <w:noWrap w:val="0"/>
            <w:tcMar>
              <w:top w:w="57" w:type="dxa"/>
              <w:left w:w="0" w:type="dxa"/>
              <w:bottom w:w="57" w:type="dxa"/>
              <w:right w:w="0" w:type="dxa"/>
            </w:tcMar>
            <w:vAlign w:val="center"/>
          </w:tcPr>
          <w:p w14:paraId="09D80041">
            <w:pPr>
              <w:pStyle w:val="16"/>
              <w:bidi w:val="0"/>
              <w:jc w:val="center"/>
              <w:rPr>
                <w:rFonts w:hint="default"/>
                <w:color w:val="auto"/>
                <w:sz w:val="18"/>
                <w:szCs w:val="18"/>
                <w:lang w:val="en-US" w:eastAsia="zh-CN"/>
              </w:rPr>
            </w:pPr>
            <w:r>
              <w:rPr>
                <w:rFonts w:hint="eastAsia"/>
                <w:color w:val="auto"/>
                <w:sz w:val="18"/>
                <w:szCs w:val="18"/>
                <w:lang w:val="en-US" w:eastAsia="zh-CN"/>
              </w:rPr>
              <w:t>49.1</w:t>
            </w:r>
          </w:p>
        </w:tc>
        <w:tc>
          <w:tcPr>
            <w:tcW w:w="355" w:type="pct"/>
            <w:tcBorders>
              <w:tl2br w:val="nil"/>
              <w:tr2bl w:val="nil"/>
            </w:tcBorders>
            <w:noWrap w:val="0"/>
            <w:tcMar>
              <w:top w:w="57" w:type="dxa"/>
              <w:left w:w="0" w:type="dxa"/>
              <w:bottom w:w="57" w:type="dxa"/>
              <w:right w:w="0" w:type="dxa"/>
            </w:tcMar>
            <w:vAlign w:val="center"/>
          </w:tcPr>
          <w:p w14:paraId="075D7C13">
            <w:pPr>
              <w:pStyle w:val="16"/>
              <w:bidi w:val="0"/>
              <w:jc w:val="center"/>
              <w:rPr>
                <w:rFonts w:hint="default"/>
                <w:color w:val="auto"/>
                <w:sz w:val="18"/>
                <w:szCs w:val="18"/>
                <w:lang w:val="en-US" w:eastAsia="zh-CN"/>
              </w:rPr>
            </w:pPr>
            <w:r>
              <w:rPr>
                <w:rFonts w:hint="eastAsia"/>
                <w:color w:val="auto"/>
                <w:sz w:val="18"/>
                <w:szCs w:val="18"/>
                <w:lang w:val="en-US" w:eastAsia="zh-CN"/>
              </w:rPr>
              <w:t>45.4</w:t>
            </w:r>
          </w:p>
        </w:tc>
        <w:tc>
          <w:tcPr>
            <w:tcW w:w="355" w:type="pct"/>
            <w:tcBorders>
              <w:tl2br w:val="nil"/>
              <w:tr2bl w:val="nil"/>
            </w:tcBorders>
            <w:noWrap w:val="0"/>
            <w:tcMar>
              <w:top w:w="57" w:type="dxa"/>
              <w:left w:w="0" w:type="dxa"/>
              <w:bottom w:w="57" w:type="dxa"/>
              <w:right w:w="0" w:type="dxa"/>
            </w:tcMar>
            <w:vAlign w:val="center"/>
          </w:tcPr>
          <w:p w14:paraId="245446B1">
            <w:pPr>
              <w:pStyle w:val="16"/>
              <w:bidi w:val="0"/>
              <w:jc w:val="center"/>
              <w:rPr>
                <w:rFonts w:hint="default"/>
                <w:color w:val="auto"/>
                <w:sz w:val="18"/>
                <w:szCs w:val="18"/>
                <w:lang w:val="en-US" w:eastAsia="zh-CN"/>
              </w:rPr>
            </w:pPr>
            <w:r>
              <w:rPr>
                <w:rFonts w:hint="eastAsia"/>
                <w:color w:val="auto"/>
                <w:sz w:val="18"/>
                <w:szCs w:val="18"/>
                <w:lang w:val="en-US" w:eastAsia="zh-CN"/>
              </w:rPr>
              <w:t>48.3</w:t>
            </w:r>
          </w:p>
        </w:tc>
      </w:tr>
    </w:tbl>
    <w:p w14:paraId="704FA109">
      <w:pPr>
        <w:keepNext w:val="0"/>
        <w:keepLines w:val="0"/>
        <w:pageBreakBefore w:val="0"/>
        <w:widowControl w:val="0"/>
        <w:kinsoku/>
        <w:wordWrap/>
        <w:overflowPunct/>
        <w:topLinePunct w:val="0"/>
        <w:autoSpaceDE/>
        <w:autoSpaceDN/>
        <w:bidi w:val="0"/>
        <w:adjustRightInd/>
        <w:snapToGrid/>
        <w:spacing w:before="157" w:beforeLines="50"/>
        <w:textAlignment w:val="auto"/>
        <w:rPr>
          <w:b/>
          <w:bCs/>
          <w:color w:val="auto"/>
        </w:rPr>
      </w:pPr>
      <w:r>
        <w:rPr>
          <w:rFonts w:hint="eastAsia"/>
          <w:b/>
          <w:bCs/>
          <w:color w:val="auto"/>
          <w:lang w:val="en-US" w:eastAsia="zh-CN"/>
        </w:rPr>
        <w:t>3、</w:t>
      </w:r>
      <w:r>
        <w:rPr>
          <w:rFonts w:hint="eastAsia"/>
          <w:b/>
          <w:bCs/>
          <w:color w:val="auto"/>
        </w:rPr>
        <w:t>土壤环境质量现状调查</w:t>
      </w:r>
    </w:p>
    <w:p w14:paraId="2DF3D07E">
      <w:pPr>
        <w:spacing w:line="360" w:lineRule="auto"/>
        <w:ind w:firstLine="480" w:firstLineChars="200"/>
        <w:rPr>
          <w:rFonts w:ascii="Times New Roman" w:hAnsi="Times New Roman"/>
          <w:color w:val="auto"/>
          <w:sz w:val="24"/>
          <w:szCs w:val="24"/>
        </w:rPr>
      </w:pPr>
      <w:r>
        <w:rPr>
          <w:rFonts w:hint="eastAsia" w:ascii="Times New Roman"/>
          <w:color w:val="auto"/>
          <w:sz w:val="24"/>
          <w:szCs w:val="24"/>
        </w:rPr>
        <w:t>本项目对项目占地范围内以及周边土壤进行环境质量检测，根据监测结果分析，本项目用地范围内监测点位各</w:t>
      </w:r>
      <w:r>
        <w:rPr>
          <w:rFonts w:ascii="Times New Roman" w:hAnsi="Times New Roman"/>
          <w:color w:val="auto"/>
          <w:sz w:val="24"/>
          <w:szCs w:val="24"/>
        </w:rPr>
        <w:t>监测因子</w:t>
      </w:r>
      <w:r>
        <w:rPr>
          <w:rFonts w:hint="eastAsia" w:ascii="Times New Roman" w:hAnsi="Times New Roman"/>
          <w:color w:val="auto"/>
          <w:sz w:val="24"/>
          <w:szCs w:val="24"/>
        </w:rPr>
        <w:t>均满足</w:t>
      </w:r>
      <w:r>
        <w:rPr>
          <w:rFonts w:hint="eastAsia" w:ascii="Times New Roman" w:hAnsi="Times New Roman"/>
          <w:color w:val="auto"/>
          <w:sz w:val="24"/>
        </w:rPr>
        <w:t>《土壤环境质量 建设用地土壤污染风险管控标准（试行）》</w:t>
      </w:r>
      <w:r>
        <w:rPr>
          <w:rFonts w:ascii="Times New Roman" w:hAnsi="Times New Roman"/>
          <w:color w:val="auto"/>
          <w:sz w:val="24"/>
        </w:rPr>
        <w:t>（GB36600-2018）2类用地筛选值标准，</w:t>
      </w:r>
      <w:r>
        <w:rPr>
          <w:rFonts w:hint="eastAsia" w:ascii="Times New Roman" w:hAnsi="Times New Roman"/>
          <w:color w:val="auto"/>
          <w:sz w:val="24"/>
        </w:rPr>
        <w:t>项目用地范围外监测点位各监测因子均满足</w:t>
      </w:r>
      <w:r>
        <w:rPr>
          <w:rFonts w:ascii="Times New Roman" w:hAnsi="Times New Roman"/>
          <w:color w:val="auto"/>
          <w:sz w:val="24"/>
          <w:szCs w:val="24"/>
        </w:rPr>
        <w:t>《土壤环境质量 农用地土壤污染风险管控标准（试行）》（GB15618-2018）风险筛选值标准限值</w:t>
      </w:r>
      <w:r>
        <w:rPr>
          <w:rFonts w:hint="eastAsia" w:ascii="Times New Roman" w:hAnsi="Times New Roman"/>
          <w:color w:val="auto"/>
          <w:sz w:val="24"/>
          <w:szCs w:val="24"/>
        </w:rPr>
        <w:t>。</w:t>
      </w:r>
      <w:r>
        <w:rPr>
          <w:rFonts w:hint="eastAsia" w:ascii="Times New Roman" w:hAnsi="Times New Roman"/>
          <w:color w:val="auto"/>
          <w:sz w:val="24"/>
        </w:rPr>
        <w:t>说明本项目区域土壤环境质量较好，本项目建成运行未对土壤造成污染。</w:t>
      </w:r>
    </w:p>
    <w:p w14:paraId="711C1560">
      <w:pPr>
        <w:bidi w:val="0"/>
        <w:rPr>
          <w:b/>
          <w:bCs/>
          <w:color w:val="auto"/>
        </w:rPr>
      </w:pPr>
      <w:r>
        <w:rPr>
          <w:rFonts w:hint="eastAsia"/>
          <w:b/>
          <w:bCs/>
          <w:color w:val="auto"/>
          <w:lang w:val="en-US" w:eastAsia="zh-CN"/>
        </w:rPr>
        <w:t>4、</w:t>
      </w:r>
      <w:r>
        <w:rPr>
          <w:b/>
          <w:bCs/>
          <w:color w:val="auto"/>
        </w:rPr>
        <w:t>土壤现状调查</w:t>
      </w:r>
    </w:p>
    <w:p w14:paraId="66C74978">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土地利用现状及规划</w:t>
      </w:r>
    </w:p>
    <w:p w14:paraId="5AFDDD1A">
      <w:pPr>
        <w:pageBreakBefore w:val="0"/>
        <w:wordWrap/>
        <w:bidi w:val="0"/>
        <w:adjustRightInd/>
        <w:snapToGrid/>
        <w:ind w:firstLine="480"/>
        <w:rPr>
          <w:color w:val="auto"/>
        </w:rPr>
      </w:pPr>
      <w:r>
        <w:rPr>
          <w:color w:val="auto"/>
        </w:rPr>
        <w:t>本项目位于</w:t>
      </w:r>
      <w:r>
        <w:rPr>
          <w:rFonts w:hint="eastAsia"/>
          <w:color w:val="auto"/>
          <w:lang w:eastAsia="zh-CN"/>
        </w:rPr>
        <w:t>巴中市巴州区</w:t>
      </w:r>
      <w:r>
        <w:rPr>
          <w:color w:val="auto"/>
        </w:rPr>
        <w:t>内，根据现场调查，项目周边为</w:t>
      </w:r>
      <w:r>
        <w:rPr>
          <w:rFonts w:hint="eastAsia"/>
          <w:color w:val="auto"/>
          <w:lang w:val="en-US" w:eastAsia="zh-CN"/>
        </w:rPr>
        <w:t>耕地和林地</w:t>
      </w:r>
      <w:r>
        <w:rPr>
          <w:color w:val="auto"/>
        </w:rPr>
        <w:t>。本项目用地性质为</w:t>
      </w:r>
      <w:r>
        <w:rPr>
          <w:rFonts w:hint="eastAsia"/>
          <w:color w:val="auto"/>
        </w:rPr>
        <w:t>环境设施用地</w:t>
      </w:r>
      <w:r>
        <w:rPr>
          <w:color w:val="auto"/>
        </w:rPr>
        <w:t>。</w:t>
      </w:r>
    </w:p>
    <w:p w14:paraId="3E0CB75C">
      <w:pPr>
        <w:pStyle w:val="307"/>
        <w:pageBreakBefore w:val="0"/>
        <w:wordWrap/>
        <w:bidi w:val="0"/>
        <w:adjustRightInd/>
        <w:snapToGrid/>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土壤理化性质调查</w:t>
      </w:r>
    </w:p>
    <w:p w14:paraId="73606078">
      <w:pPr>
        <w:pStyle w:val="6"/>
        <w:pageBreakBefore w:val="0"/>
        <w:wordWrap/>
        <w:bidi w:val="0"/>
        <w:adjustRightInd/>
        <w:snapToGrid/>
        <w:ind w:firstLine="480"/>
        <w:rPr>
          <w:color w:val="auto"/>
        </w:rPr>
      </w:pPr>
      <w:r>
        <w:rPr>
          <w:color w:val="auto"/>
        </w:rPr>
        <w:t>根据监测，项目区域土壤环境质量满足《土壤环境质量 建设用地土壤污染风险管控标准</w:t>
      </w:r>
      <w:r>
        <w:rPr>
          <w:rFonts w:hint="eastAsia"/>
          <w:color w:val="auto"/>
          <w:lang w:eastAsia="zh-CN"/>
        </w:rPr>
        <w:t>（</w:t>
      </w:r>
      <w:r>
        <w:rPr>
          <w:rFonts w:hint="eastAsia"/>
          <w:color w:val="auto"/>
          <w:lang w:val="en-US" w:eastAsia="zh-CN"/>
        </w:rPr>
        <w:t>试行</w:t>
      </w:r>
      <w:r>
        <w:rPr>
          <w:rFonts w:hint="eastAsia"/>
          <w:color w:val="auto"/>
          <w:lang w:eastAsia="zh-CN"/>
        </w:rPr>
        <w:t>）</w:t>
      </w:r>
      <w:r>
        <w:rPr>
          <w:color w:val="auto"/>
        </w:rPr>
        <w:t>》（GB36600-2018）二类用地筛选值标准要求。</w:t>
      </w:r>
    </w:p>
    <w:p w14:paraId="1E397DDB">
      <w:pPr>
        <w:pStyle w:val="10"/>
        <w:bidi w:val="0"/>
        <w:rPr>
          <w:color w:val="auto"/>
        </w:rPr>
      </w:pPr>
      <w:r>
        <w:rPr>
          <w:rFonts w:hint="eastAsia"/>
          <w:color w:val="auto"/>
          <w:lang w:val="en-US" w:eastAsia="zh-CN"/>
        </w:rPr>
        <w:t xml:space="preserve"> </w:t>
      </w:r>
      <w:r>
        <w:rPr>
          <w:rFonts w:hint="eastAsia"/>
          <w:color w:val="auto"/>
        </w:rPr>
        <w:t>土壤环境影响预测与评价</w:t>
      </w:r>
    </w:p>
    <w:p w14:paraId="0A608F4E">
      <w:pPr>
        <w:pStyle w:val="716"/>
        <w:rPr>
          <w:rFonts w:ascii="Times New Roman" w:hAnsi="宋体"/>
          <w:color w:val="auto"/>
          <w:szCs w:val="24"/>
        </w:rPr>
      </w:pPr>
      <w:r>
        <w:rPr>
          <w:rFonts w:hint="eastAsia" w:ascii="Times New Roman" w:hAnsi="宋体"/>
          <w:color w:val="auto"/>
          <w:szCs w:val="24"/>
        </w:rPr>
        <w:t>根据《环境影响评价技术导则 土壤环境（试行）》（HJ</w:t>
      </w:r>
      <w:r>
        <w:rPr>
          <w:rFonts w:ascii="Times New Roman" w:hAnsi="宋体"/>
          <w:color w:val="auto"/>
          <w:szCs w:val="24"/>
        </w:rPr>
        <w:t>964-2018</w:t>
      </w:r>
      <w:r>
        <w:rPr>
          <w:rFonts w:hint="eastAsia" w:ascii="Times New Roman" w:hAnsi="宋体"/>
          <w:color w:val="auto"/>
          <w:szCs w:val="24"/>
        </w:rPr>
        <w:t>）：土壤环境影响评价工作等级为一级、二级的，评价可采用类比分析。本项目采用类比分析。</w:t>
      </w:r>
      <w:r>
        <w:rPr>
          <w:rFonts w:ascii="Times New Roman" w:hAnsi="宋体"/>
          <w:color w:val="auto"/>
          <w:szCs w:val="24"/>
        </w:rPr>
        <w:t>根据土壤环境影响识别，本项目土壤污染源主要为污水处理站的垂直入渗。污染物的垂直入渗主要通过失效的防渗层，泄漏进入土壤环境，导致土壤环境的改变。</w:t>
      </w:r>
    </w:p>
    <w:p w14:paraId="17885709">
      <w:pPr>
        <w:spacing w:line="360" w:lineRule="auto"/>
        <w:ind w:firstLine="480" w:firstLineChars="200"/>
        <w:rPr>
          <w:rFonts w:ascii="Times New Roman" w:hAnsi="Times New Roman"/>
          <w:color w:val="auto"/>
          <w:sz w:val="24"/>
          <w:szCs w:val="24"/>
        </w:rPr>
      </w:pPr>
      <w:r>
        <w:rPr>
          <w:rFonts w:hint="eastAsia" w:ascii="Times New Roman" w:hAnsi="Times New Roman"/>
          <w:color w:val="auto"/>
          <w:sz w:val="24"/>
          <w:szCs w:val="24"/>
        </w:rPr>
        <w:t>本项目废水处理池体多采用</w:t>
      </w:r>
      <w:r>
        <w:rPr>
          <w:rFonts w:hint="eastAsia" w:ascii="Times New Roman" w:hAnsi="Times New Roman"/>
          <w:color w:val="auto"/>
          <w:sz w:val="24"/>
          <w:szCs w:val="24"/>
          <w:lang w:val="en-US" w:eastAsia="zh-CN"/>
        </w:rPr>
        <w:t>地下或</w:t>
      </w:r>
      <w:r>
        <w:rPr>
          <w:rFonts w:hint="eastAsia" w:ascii="Times New Roman" w:hAnsi="Times New Roman"/>
          <w:color w:val="auto"/>
          <w:sz w:val="24"/>
          <w:szCs w:val="24"/>
        </w:rPr>
        <w:t>半地下式</w:t>
      </w:r>
      <w:r>
        <w:rPr>
          <w:rFonts w:ascii="Times New Roman" w:hAnsi="Times New Roman"/>
          <w:color w:val="auto"/>
          <w:sz w:val="24"/>
          <w:szCs w:val="24"/>
        </w:rPr>
        <w:t>构筑物，在事故情况下，会造成污染物的泄漏，通过垂直入渗途径污染土壤。</w:t>
      </w:r>
      <w:r>
        <w:rPr>
          <w:rFonts w:hint="eastAsia" w:ascii="Times New Roman" w:hAnsi="Times New Roman"/>
          <w:color w:val="auto"/>
          <w:sz w:val="24"/>
          <w:szCs w:val="24"/>
        </w:rPr>
        <w:t>本项目</w:t>
      </w:r>
      <w:r>
        <w:rPr>
          <w:rFonts w:ascii="Times New Roman" w:hAnsi="Times New Roman"/>
          <w:color w:val="auto"/>
          <w:sz w:val="24"/>
          <w:szCs w:val="24"/>
        </w:rPr>
        <w:t>根据场地特性和项目特征，制定分区防渗</w:t>
      </w:r>
      <w:r>
        <w:rPr>
          <w:rFonts w:hint="eastAsia" w:ascii="Times New Roman" w:hAnsi="Times New Roman"/>
          <w:color w:val="auto"/>
          <w:sz w:val="24"/>
          <w:szCs w:val="24"/>
        </w:rPr>
        <w:t>措施，将项目区划分为重点防渗区、一般防渗区、简单防渗区，同时加强环保管理，定期检查污水池体结构。本项目</w:t>
      </w:r>
      <w:r>
        <w:rPr>
          <w:rFonts w:ascii="Times New Roman" w:hAnsi="Times New Roman"/>
          <w:color w:val="auto"/>
          <w:sz w:val="24"/>
          <w:szCs w:val="24"/>
        </w:rPr>
        <w:t>在全面落实分区防渗措施的情况下，污染物的垂直入渗对土壤</w:t>
      </w:r>
      <w:r>
        <w:rPr>
          <w:rFonts w:hint="eastAsia"/>
          <w:color w:val="auto"/>
          <w:sz w:val="24"/>
          <w:szCs w:val="24"/>
          <w:lang w:eastAsia="zh-CN"/>
        </w:rPr>
        <w:t>造成</w:t>
      </w:r>
      <w:r>
        <w:rPr>
          <w:rFonts w:hint="eastAsia" w:ascii="Times New Roman" w:hAnsi="Times New Roman"/>
          <w:color w:val="auto"/>
          <w:sz w:val="24"/>
          <w:szCs w:val="24"/>
        </w:rPr>
        <w:t>污染概率极小</w:t>
      </w:r>
      <w:r>
        <w:rPr>
          <w:rFonts w:ascii="Times New Roman" w:hAnsi="Times New Roman"/>
          <w:color w:val="auto"/>
          <w:sz w:val="24"/>
          <w:szCs w:val="24"/>
        </w:rPr>
        <w:t>。</w:t>
      </w:r>
    </w:p>
    <w:p w14:paraId="0D2812B1">
      <w:pPr>
        <w:pStyle w:val="10"/>
        <w:pageBreakBefore w:val="0"/>
        <w:wordWrap/>
        <w:bidi w:val="0"/>
        <w:adjustRightInd/>
        <w:snapToGrid/>
        <w:rPr>
          <w:color w:val="auto"/>
        </w:rPr>
      </w:pPr>
      <w:r>
        <w:rPr>
          <w:rFonts w:hint="eastAsia"/>
          <w:color w:val="auto"/>
          <w:lang w:val="en-US" w:eastAsia="zh-CN"/>
        </w:rPr>
        <w:t xml:space="preserve"> </w:t>
      </w:r>
      <w:r>
        <w:rPr>
          <w:color w:val="auto"/>
        </w:rPr>
        <w:t>土壤污染防治措施及影响分析</w:t>
      </w:r>
    </w:p>
    <w:p w14:paraId="13DD65AE">
      <w:pPr>
        <w:pageBreakBefore w:val="0"/>
        <w:wordWrap/>
        <w:bidi w:val="0"/>
        <w:adjustRightInd/>
        <w:snapToGrid/>
        <w:ind w:firstLine="482"/>
        <w:textAlignment w:val="center"/>
        <w:rPr>
          <w:b/>
          <w:color w:val="auto"/>
          <w:kern w:val="0"/>
          <w:szCs w:val="20"/>
        </w:rPr>
      </w:pPr>
      <w:r>
        <w:rPr>
          <w:b/>
          <w:color w:val="auto"/>
          <w:kern w:val="0"/>
          <w:szCs w:val="20"/>
        </w:rPr>
        <w:t>1、源头控制措施</w:t>
      </w:r>
    </w:p>
    <w:p w14:paraId="4FABF97F">
      <w:pPr>
        <w:pageBreakBefore w:val="0"/>
        <w:wordWrap/>
        <w:bidi w:val="0"/>
        <w:adjustRightInd/>
        <w:snapToGrid/>
        <w:ind w:firstLine="480"/>
        <w:textAlignment w:val="center"/>
        <w:rPr>
          <w:color w:val="auto"/>
          <w:kern w:val="0"/>
          <w:szCs w:val="20"/>
        </w:rPr>
      </w:pPr>
      <w:r>
        <w:rPr>
          <w:color w:val="auto"/>
          <w:kern w:val="0"/>
          <w:szCs w:val="20"/>
        </w:rPr>
        <w:t>从污水输送、处理、污染处理装置等全过程控制污水泄漏（含跑、冒、滴、漏），同时对有害物质可能泄漏到地面的区域采取防渗措施，阻止其进入土壤中，即从源头到末端全方位采取控制措施，防止项目的建设对土壤造成污染。</w:t>
      </w:r>
    </w:p>
    <w:p w14:paraId="1D5F5276">
      <w:pPr>
        <w:pageBreakBefore w:val="0"/>
        <w:wordWrap/>
        <w:bidi w:val="0"/>
        <w:adjustRightInd/>
        <w:snapToGrid/>
        <w:ind w:firstLine="480"/>
        <w:textAlignment w:val="center"/>
        <w:rPr>
          <w:color w:val="auto"/>
          <w:kern w:val="0"/>
          <w:szCs w:val="20"/>
        </w:rPr>
      </w:pPr>
      <w:r>
        <w:rPr>
          <w:color w:val="auto"/>
          <w:kern w:val="0"/>
          <w:szCs w:val="20"/>
        </w:rPr>
        <w:t>从生产过程入手，在工艺、管道、设备、给排水等方面尽可能地采取泄漏控制措施，从源头最大限度降低污染物质泄漏的可能性和泄漏量，使项目区污染物对土壤的影响降至最低，一旦出现泄漏等即可由区域内的各种配套措施进行收集、处置，同时经过硬化处理的地面有效阻止污染物的下渗。</w:t>
      </w:r>
    </w:p>
    <w:p w14:paraId="3B65BAA7">
      <w:pPr>
        <w:pageBreakBefore w:val="0"/>
        <w:wordWrap/>
        <w:bidi w:val="0"/>
        <w:adjustRightInd/>
        <w:snapToGrid/>
        <w:ind w:firstLine="482"/>
        <w:textAlignment w:val="center"/>
        <w:rPr>
          <w:b/>
          <w:color w:val="auto"/>
          <w:kern w:val="0"/>
          <w:szCs w:val="20"/>
        </w:rPr>
      </w:pPr>
      <w:r>
        <w:rPr>
          <w:b/>
          <w:color w:val="auto"/>
          <w:kern w:val="0"/>
          <w:szCs w:val="20"/>
        </w:rPr>
        <w:t>2、过程控制措施</w:t>
      </w:r>
    </w:p>
    <w:p w14:paraId="551F3FBD">
      <w:pPr>
        <w:pageBreakBefore w:val="0"/>
        <w:wordWrap/>
        <w:bidi w:val="0"/>
        <w:adjustRightInd/>
        <w:snapToGrid/>
        <w:ind w:firstLine="480"/>
        <w:textAlignment w:val="center"/>
        <w:rPr>
          <w:color w:val="auto"/>
          <w:kern w:val="0"/>
          <w:szCs w:val="20"/>
        </w:rPr>
      </w:pPr>
      <w:r>
        <w:rPr>
          <w:color w:val="auto"/>
          <w:kern w:val="0"/>
          <w:szCs w:val="20"/>
        </w:rPr>
        <w:t>从大气沉降、地面漫流、垂直入渗三个途径分别进行控制。</w:t>
      </w:r>
    </w:p>
    <w:p w14:paraId="2DD5170A">
      <w:pPr>
        <w:pageBreakBefore w:val="0"/>
        <w:wordWrap/>
        <w:bidi w:val="0"/>
        <w:adjustRightInd/>
        <w:snapToGrid/>
        <w:ind w:firstLine="480"/>
        <w:textAlignment w:val="center"/>
        <w:rPr>
          <w:color w:val="auto"/>
          <w:kern w:val="0"/>
          <w:szCs w:val="20"/>
        </w:rPr>
      </w:pPr>
      <w:r>
        <w:rPr>
          <w:color w:val="auto"/>
          <w:kern w:val="0"/>
          <w:szCs w:val="20"/>
        </w:rPr>
        <w:t>（1）大气沉降</w:t>
      </w:r>
    </w:p>
    <w:p w14:paraId="43E7D023">
      <w:pPr>
        <w:pageBreakBefore w:val="0"/>
        <w:wordWrap/>
        <w:bidi w:val="0"/>
        <w:adjustRightInd/>
        <w:snapToGrid/>
        <w:ind w:firstLine="480"/>
        <w:textAlignment w:val="center"/>
        <w:rPr>
          <w:color w:val="auto"/>
          <w:kern w:val="0"/>
          <w:szCs w:val="20"/>
        </w:rPr>
      </w:pPr>
      <w:r>
        <w:rPr>
          <w:color w:val="auto"/>
          <w:kern w:val="0"/>
          <w:szCs w:val="20"/>
        </w:rPr>
        <w:t>本项目针对各类废气污染物采取了对应的治理措施，确保污染物达标排放，具体措施如下：</w:t>
      </w:r>
    </w:p>
    <w:p w14:paraId="02CBB478">
      <w:pPr>
        <w:pageBreakBefore w:val="0"/>
        <w:wordWrap/>
        <w:bidi w:val="0"/>
        <w:adjustRightInd/>
        <w:snapToGrid/>
        <w:ind w:firstLine="480"/>
        <w:textAlignment w:val="center"/>
        <w:rPr>
          <w:color w:val="auto"/>
          <w:kern w:val="0"/>
          <w:szCs w:val="20"/>
        </w:rPr>
      </w:pPr>
      <w:r>
        <w:rPr>
          <w:color w:val="auto"/>
          <w:kern w:val="0"/>
          <w:szCs w:val="20"/>
        </w:rPr>
        <w:t>项目厂区内设置</w:t>
      </w:r>
      <w:r>
        <w:rPr>
          <w:rFonts w:hint="eastAsia"/>
          <w:color w:val="auto"/>
          <w:kern w:val="0"/>
          <w:szCs w:val="20"/>
          <w:lang w:val="en-US" w:eastAsia="zh-CN"/>
        </w:rPr>
        <w:t>1</w:t>
      </w:r>
      <w:r>
        <w:rPr>
          <w:color w:val="auto"/>
          <w:kern w:val="0"/>
          <w:szCs w:val="20"/>
        </w:rPr>
        <w:t>套生物滤池脱臭装置，同时配备完善的废气收集系统，例如密闭、加盖以及管网等，对项目污水处理过程中产生的恶臭污染物进行处理，处理后的尾气通过15m排气筒排放。经处理后，排气筒排放的NH</w:t>
      </w:r>
      <w:r>
        <w:rPr>
          <w:color w:val="auto"/>
          <w:kern w:val="0"/>
          <w:szCs w:val="20"/>
          <w:vertAlign w:val="subscript"/>
        </w:rPr>
        <w:t>3</w:t>
      </w:r>
      <w:r>
        <w:rPr>
          <w:color w:val="auto"/>
          <w:kern w:val="0"/>
          <w:szCs w:val="20"/>
        </w:rPr>
        <w:t>、H</w:t>
      </w:r>
      <w:r>
        <w:rPr>
          <w:color w:val="auto"/>
          <w:kern w:val="0"/>
          <w:szCs w:val="20"/>
          <w:vertAlign w:val="subscript"/>
        </w:rPr>
        <w:t>2</w:t>
      </w:r>
      <w:r>
        <w:rPr>
          <w:color w:val="auto"/>
          <w:kern w:val="0"/>
          <w:szCs w:val="20"/>
        </w:rPr>
        <w:t>S均能满足《恶臭污染物排放标准》（GB14554-93）标准限值。</w:t>
      </w:r>
    </w:p>
    <w:p w14:paraId="6A702651">
      <w:pPr>
        <w:pageBreakBefore w:val="0"/>
        <w:wordWrap/>
        <w:bidi w:val="0"/>
        <w:adjustRightInd/>
        <w:snapToGrid/>
        <w:ind w:firstLine="480"/>
        <w:textAlignment w:val="center"/>
        <w:rPr>
          <w:color w:val="auto"/>
          <w:kern w:val="0"/>
          <w:szCs w:val="20"/>
        </w:rPr>
      </w:pPr>
      <w:r>
        <w:rPr>
          <w:color w:val="auto"/>
          <w:kern w:val="0"/>
          <w:szCs w:val="20"/>
        </w:rPr>
        <w:t>（2）垂直入渗</w:t>
      </w:r>
    </w:p>
    <w:p w14:paraId="36D8EFBC">
      <w:pPr>
        <w:pageBreakBefore w:val="0"/>
        <w:wordWrap/>
        <w:bidi w:val="0"/>
        <w:adjustRightInd/>
        <w:snapToGrid/>
        <w:ind w:firstLine="480"/>
        <w:textAlignment w:val="center"/>
        <w:rPr>
          <w:color w:val="auto"/>
          <w:kern w:val="0"/>
          <w:szCs w:val="20"/>
        </w:rPr>
      </w:pPr>
      <w:r>
        <w:rPr>
          <w:color w:val="auto"/>
          <w:kern w:val="0"/>
          <w:szCs w:val="20"/>
        </w:rPr>
        <w:t>厂区分为重点污染防治区、一般污染防治区和非污染防治区。其中重点污染防治区包括调节池</w:t>
      </w:r>
      <w:r>
        <w:rPr>
          <w:rFonts w:hint="eastAsia"/>
          <w:color w:val="auto"/>
          <w:kern w:val="0"/>
          <w:szCs w:val="20"/>
          <w:lang w:val="en-US" w:eastAsia="zh-CN"/>
        </w:rPr>
        <w:t>-应急事故池</w:t>
      </w:r>
      <w:r>
        <w:rPr>
          <w:color w:val="auto"/>
          <w:kern w:val="0"/>
          <w:szCs w:val="20"/>
        </w:rPr>
        <w:t>、水解酸化池、</w:t>
      </w:r>
      <w:r>
        <w:rPr>
          <w:rFonts w:hint="eastAsia"/>
          <w:color w:val="auto"/>
          <w:kern w:val="0"/>
          <w:szCs w:val="20"/>
          <w:lang w:val="en-US" w:eastAsia="zh-CN"/>
        </w:rPr>
        <w:t>生化池、二沉池</w:t>
      </w:r>
      <w:r>
        <w:rPr>
          <w:color w:val="auto"/>
          <w:kern w:val="0"/>
          <w:szCs w:val="20"/>
        </w:rPr>
        <w:t>、</w:t>
      </w:r>
      <w:r>
        <w:rPr>
          <w:rFonts w:hint="eastAsia"/>
          <w:color w:val="auto"/>
          <w:kern w:val="0"/>
          <w:szCs w:val="20"/>
          <w:lang w:val="en-US" w:eastAsia="zh-CN"/>
        </w:rPr>
        <w:t>磁混凝</w:t>
      </w:r>
      <w:r>
        <w:rPr>
          <w:color w:val="auto"/>
          <w:kern w:val="0"/>
          <w:szCs w:val="20"/>
        </w:rPr>
        <w:t>沉淀池、</w:t>
      </w:r>
      <w:r>
        <w:rPr>
          <w:rFonts w:hint="eastAsia"/>
          <w:color w:val="auto"/>
          <w:kern w:val="0"/>
          <w:szCs w:val="20"/>
          <w:lang w:val="en-US" w:eastAsia="zh-CN"/>
        </w:rPr>
        <w:t>反硝化深床滤池、高级氧化深度处理、</w:t>
      </w:r>
      <w:r>
        <w:rPr>
          <w:rFonts w:hint="eastAsia"/>
          <w:color w:val="auto"/>
          <w:kern w:val="0"/>
          <w:szCs w:val="20"/>
          <w:lang w:eastAsia="zh-CN"/>
        </w:rPr>
        <w:t>污泥池</w:t>
      </w:r>
      <w:r>
        <w:rPr>
          <w:color w:val="auto"/>
          <w:kern w:val="0"/>
          <w:szCs w:val="20"/>
        </w:rPr>
        <w:t>、脱水间、生物除臭、加药间、危废暂存间、污水输送管道等。一般污染防治区指上述重点污染防治区以外的其它设备间、建筑物等，如污水提升泵房、鼓风机房、机修库房、进水流量计井、出水流量计井等。非污染防治区指除重点污染防治区和一般污染</w:t>
      </w:r>
      <w:r>
        <w:rPr>
          <w:rFonts w:hint="eastAsia"/>
          <w:color w:val="auto"/>
          <w:kern w:val="0"/>
          <w:szCs w:val="20"/>
        </w:rPr>
        <w:t>防治</w:t>
      </w:r>
      <w:r>
        <w:rPr>
          <w:color w:val="auto"/>
          <w:kern w:val="0"/>
          <w:szCs w:val="20"/>
        </w:rPr>
        <w:t>区以外的不会对地下水造成污染的区域。主要包括道路、广场、综合楼、大门、门卫室、在线监测房、配电房等。重点防治区地面采用水泥硬化和严格防渗、防腐和防爆措施，池子周围须设置具有强防渗性的围堰和集水沟。企业在管理方面严加管理，并严格落实相应的防渗措施可有效</w:t>
      </w:r>
      <w:r>
        <w:rPr>
          <w:rFonts w:hint="eastAsia"/>
          <w:color w:val="auto"/>
          <w:kern w:val="0"/>
          <w:szCs w:val="20"/>
          <w:lang w:eastAsia="zh-CN"/>
        </w:rPr>
        <w:t>防止</w:t>
      </w:r>
      <w:r>
        <w:rPr>
          <w:color w:val="auto"/>
          <w:kern w:val="0"/>
          <w:szCs w:val="20"/>
        </w:rPr>
        <w:t>污水处理过程中因污水泄漏造成对区域土壤环境的污染。</w:t>
      </w:r>
    </w:p>
    <w:p w14:paraId="30FE7655">
      <w:pPr>
        <w:pStyle w:val="6"/>
        <w:pageBreakBefore w:val="0"/>
        <w:wordWrap/>
        <w:bidi w:val="0"/>
        <w:adjustRightInd/>
        <w:snapToGrid/>
        <w:ind w:firstLine="480"/>
        <w:rPr>
          <w:color w:val="auto"/>
        </w:rPr>
      </w:pPr>
      <w:r>
        <w:rPr>
          <w:color w:val="auto"/>
        </w:rPr>
        <w:t>本项目为污水处理工程，在采取了上述措施以后，相关污染物不会对区域土壤环境质量产生影响。因此，在落实本次环评提出的各项废气治理措施、地下水污染防治措施的情况下，本项目的建设运行不会对区域土壤环境质量产生不良影响，项目的建设运行不会改变区域土壤环境质量功能。</w:t>
      </w:r>
    </w:p>
    <w:p w14:paraId="2C5F93EC">
      <w:pPr>
        <w:pStyle w:val="10"/>
        <w:pageBreakBefore w:val="0"/>
        <w:wordWrap/>
        <w:bidi w:val="0"/>
        <w:adjustRightInd/>
        <w:snapToGrid/>
        <w:rPr>
          <w:color w:val="auto"/>
        </w:rPr>
      </w:pPr>
      <w:r>
        <w:rPr>
          <w:rFonts w:hint="eastAsia"/>
          <w:color w:val="auto"/>
          <w:lang w:val="en-US" w:eastAsia="zh-CN"/>
        </w:rPr>
        <w:t xml:space="preserve"> </w:t>
      </w:r>
      <w:r>
        <w:rPr>
          <w:color w:val="auto"/>
        </w:rPr>
        <w:t>土壤影响评价结论</w:t>
      </w:r>
    </w:p>
    <w:p w14:paraId="2BE724C8">
      <w:pPr>
        <w:pStyle w:val="307"/>
        <w:pageBreakBefore w:val="0"/>
        <w:wordWrap/>
        <w:bidi w:val="0"/>
        <w:adjustRightInd/>
        <w:snapToGrid/>
        <w:rPr>
          <w:color w:val="auto"/>
        </w:rPr>
      </w:pPr>
      <w:r>
        <w:rPr>
          <w:color w:val="auto"/>
        </w:rPr>
        <w:t>因此，本项目针对各类污染物均采取了对应的污染治理措施，可确保污染物的达标排放及防止渗漏发生，可从源头上控制项目对区域土壤环境的污染源强，确保项目对区域土壤环境的影响处于可接受水平。因此，只要企业严格落实本报告提出的污染防治措施，项目对区域土壤环境影响是可接受的。</w:t>
      </w:r>
    </w:p>
    <w:p w14:paraId="0906B251">
      <w:pPr>
        <w:pStyle w:val="307"/>
        <w:pageBreakBefore w:val="0"/>
        <w:wordWrap/>
        <w:bidi w:val="0"/>
        <w:adjustRightInd/>
        <w:snapToGrid/>
        <w:rPr>
          <w:color w:val="auto"/>
        </w:rPr>
        <w:sectPr>
          <w:pgSz w:w="11906" w:h="16838"/>
          <w:pgMar w:top="1440" w:right="1588" w:bottom="1440" w:left="1588" w:header="794" w:footer="992" w:gutter="0"/>
          <w:pgBorders>
            <w:top w:val="none" w:sz="0" w:space="0"/>
            <w:left w:val="none" w:sz="0" w:space="0"/>
            <w:bottom w:val="none" w:sz="0" w:space="0"/>
            <w:right w:val="none" w:sz="0" w:space="0"/>
          </w:pgBorders>
          <w:pgNumType w:fmt="decimal"/>
          <w:cols w:space="720" w:num="1"/>
          <w:docGrid w:linePitch="312" w:charSpace="0"/>
        </w:sectPr>
      </w:pPr>
    </w:p>
    <w:p w14:paraId="4F9A5845">
      <w:pPr>
        <w:pStyle w:val="3"/>
        <w:bidi w:val="0"/>
        <w:rPr>
          <w:color w:val="auto"/>
        </w:rPr>
      </w:pPr>
      <w:bookmarkStart w:id="247" w:name="_Toc14567"/>
      <w:r>
        <w:rPr>
          <w:rFonts w:hint="eastAsia"/>
          <w:color w:val="auto"/>
        </w:rPr>
        <w:t xml:space="preserve"> </w:t>
      </w:r>
      <w:bookmarkStart w:id="248" w:name="_Toc17425"/>
      <w:r>
        <w:rPr>
          <w:color w:val="auto"/>
        </w:rPr>
        <w:t>环境风险</w:t>
      </w:r>
      <w:bookmarkEnd w:id="247"/>
      <w:r>
        <w:rPr>
          <w:rFonts w:hint="eastAsia"/>
          <w:color w:val="auto"/>
          <w:lang w:val="en-US" w:eastAsia="zh-CN"/>
        </w:rPr>
        <w:t>评价</w:t>
      </w:r>
      <w:bookmarkEnd w:id="248"/>
    </w:p>
    <w:bookmarkEnd w:id="176"/>
    <w:bookmarkEnd w:id="177"/>
    <w:p w14:paraId="45A23805">
      <w:pPr>
        <w:pStyle w:val="4"/>
        <w:bidi w:val="0"/>
        <w:rPr>
          <w:color w:val="auto"/>
        </w:rPr>
      </w:pPr>
      <w:bookmarkStart w:id="249" w:name="_Toc374627810"/>
      <w:bookmarkStart w:id="250" w:name="_Toc10368"/>
      <w:bookmarkStart w:id="251" w:name="_Toc505087365"/>
      <w:r>
        <w:rPr>
          <w:rFonts w:hint="eastAsia"/>
          <w:color w:val="auto"/>
        </w:rPr>
        <w:t xml:space="preserve"> </w:t>
      </w:r>
      <w:bookmarkStart w:id="252" w:name="_Toc24987"/>
      <w:r>
        <w:rPr>
          <w:color w:val="auto"/>
        </w:rPr>
        <w:t>环境风险评价的目的与重点</w:t>
      </w:r>
      <w:bookmarkEnd w:id="249"/>
      <w:bookmarkEnd w:id="250"/>
      <w:bookmarkEnd w:id="251"/>
      <w:bookmarkEnd w:id="252"/>
    </w:p>
    <w:p w14:paraId="3EB32B3D">
      <w:pPr>
        <w:bidi w:val="0"/>
        <w:rPr>
          <w:color w:val="auto"/>
        </w:rPr>
      </w:pPr>
      <w:r>
        <w:rPr>
          <w:color w:val="auto"/>
        </w:rPr>
        <w:t>环境风险评价的目的是分析和预测建设项目存在的潜在危险、有害因素，建设项目建设和运行</w:t>
      </w:r>
      <w:r>
        <w:rPr>
          <w:rFonts w:hint="eastAsia"/>
          <w:color w:val="auto"/>
          <w:lang w:eastAsia="zh-CN"/>
        </w:rPr>
        <w:t>期间</w:t>
      </w:r>
      <w:r>
        <w:rPr>
          <w:color w:val="auto"/>
        </w:rPr>
        <w:t>可能发生的突发性事件和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14:paraId="4BE17AE6">
      <w:pPr>
        <w:pStyle w:val="4"/>
        <w:bidi w:val="0"/>
        <w:rPr>
          <w:color w:val="auto"/>
        </w:rPr>
      </w:pPr>
      <w:r>
        <w:rPr>
          <w:rFonts w:hint="eastAsia"/>
          <w:color w:val="auto"/>
        </w:rPr>
        <w:t xml:space="preserve"> </w:t>
      </w:r>
      <w:bookmarkStart w:id="253" w:name="_Toc22394"/>
      <w:r>
        <w:rPr>
          <w:color w:val="auto"/>
        </w:rPr>
        <w:t>环境风险识别</w:t>
      </w:r>
      <w:bookmarkEnd w:id="253"/>
    </w:p>
    <w:p w14:paraId="08EBC6BF">
      <w:pPr>
        <w:bidi w:val="0"/>
        <w:rPr>
          <w:color w:val="auto"/>
        </w:rPr>
      </w:pPr>
      <w:r>
        <w:rPr>
          <w:color w:val="auto"/>
        </w:rPr>
        <w:t>根据《建设项目环境风险评价技术导则》（</w:t>
      </w:r>
      <w:r>
        <w:rPr>
          <w:rFonts w:hint="eastAsia"/>
          <w:color w:val="auto"/>
          <w:lang w:eastAsia="zh-CN"/>
        </w:rPr>
        <w:t>HJ169-2018</w:t>
      </w:r>
      <w:r>
        <w:rPr>
          <w:color w:val="auto"/>
        </w:rPr>
        <w:t>）的要求，风险识别范围主要包括生产设施风险识别和生产过程中涉及的物质风险识别。</w:t>
      </w:r>
    </w:p>
    <w:p w14:paraId="67DBE2D1">
      <w:pPr>
        <w:pStyle w:val="5"/>
        <w:bidi w:val="0"/>
        <w:rPr>
          <w:color w:val="auto"/>
        </w:rPr>
      </w:pPr>
      <w:r>
        <w:rPr>
          <w:rFonts w:hint="eastAsia"/>
          <w:color w:val="auto"/>
          <w:lang w:val="en-US" w:eastAsia="zh-CN"/>
        </w:rPr>
        <w:t xml:space="preserve"> </w:t>
      </w:r>
      <w:r>
        <w:rPr>
          <w:color w:val="auto"/>
        </w:rPr>
        <w:t>物质危险性识别</w:t>
      </w:r>
    </w:p>
    <w:p w14:paraId="284E6513">
      <w:pPr>
        <w:bidi w:val="0"/>
        <w:rPr>
          <w:color w:val="auto"/>
        </w:rPr>
      </w:pPr>
      <w:r>
        <w:rPr>
          <w:color w:val="auto"/>
        </w:rPr>
        <w:t>按照《建设项目环境风险评价技术导则》（HJ</w:t>
      </w:r>
      <w:r>
        <w:rPr>
          <w:rFonts w:hint="eastAsia"/>
          <w:color w:val="auto"/>
          <w:lang w:eastAsia="zh-CN"/>
        </w:rPr>
        <w:t>1</w:t>
      </w:r>
      <w:r>
        <w:rPr>
          <w:color w:val="auto"/>
        </w:rPr>
        <w:t>69-2018，以下简称</w:t>
      </w:r>
      <w:r>
        <w:rPr>
          <w:rFonts w:hint="eastAsia"/>
          <w:color w:val="auto"/>
          <w:lang w:eastAsia="zh-CN"/>
        </w:rPr>
        <w:t>“</w:t>
      </w:r>
      <w:r>
        <w:rPr>
          <w:color w:val="auto"/>
        </w:rPr>
        <w:t>导则</w:t>
      </w:r>
      <w:r>
        <w:rPr>
          <w:rFonts w:hint="eastAsia"/>
          <w:color w:val="auto"/>
          <w:lang w:eastAsia="zh-CN"/>
        </w:rPr>
        <w:t>”</w:t>
      </w:r>
      <w:r>
        <w:rPr>
          <w:color w:val="auto"/>
        </w:rPr>
        <w:t>）和《环境风险评价实用技术和方法》（以下简称</w:t>
      </w:r>
      <w:r>
        <w:rPr>
          <w:rFonts w:hint="eastAsia"/>
          <w:color w:val="auto"/>
          <w:lang w:eastAsia="zh-CN"/>
        </w:rPr>
        <w:t>“</w:t>
      </w:r>
      <w:r>
        <w:rPr>
          <w:color w:val="auto"/>
        </w:rPr>
        <w:t>方法</w:t>
      </w:r>
      <w:r>
        <w:rPr>
          <w:rFonts w:hint="eastAsia"/>
          <w:color w:val="auto"/>
          <w:lang w:eastAsia="zh-CN"/>
        </w:rPr>
        <w:t>”</w:t>
      </w:r>
      <w:r>
        <w:rPr>
          <w:color w:val="auto"/>
        </w:rPr>
        <w:t>）规定，风险评价首先要确定建设项目所用原辅材料的毒性、易燃易爆性等危险性级别。分级标准见</w:t>
      </w:r>
      <w:r>
        <w:rPr>
          <w:rFonts w:hint="eastAsia"/>
          <w:color w:val="auto"/>
          <w:lang w:val="en-US" w:eastAsia="zh-CN"/>
        </w:rPr>
        <w:t>下表</w:t>
      </w:r>
      <w:r>
        <w:rPr>
          <w:color w:val="auto"/>
        </w:rPr>
        <w:t>。</w:t>
      </w:r>
    </w:p>
    <w:p w14:paraId="38925C8F">
      <w:pPr>
        <w:pStyle w:val="19"/>
        <w:numPr>
          <w:ilvl w:val="0"/>
          <w:numId w:val="32"/>
        </w:numPr>
        <w:bidi w:val="0"/>
        <w:ind w:left="0" w:leftChars="0" w:firstLine="0" w:firstLineChars="0"/>
        <w:rPr>
          <w:color w:val="auto"/>
        </w:rPr>
      </w:pPr>
      <w:r>
        <w:rPr>
          <w:color w:val="auto"/>
        </w:rPr>
        <w:t>物质危险性标准</w:t>
      </w:r>
    </w:p>
    <w:tbl>
      <w:tblPr>
        <w:tblStyle w:val="52"/>
        <w:tblW w:w="897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33"/>
        <w:gridCol w:w="1513"/>
        <w:gridCol w:w="2337"/>
        <w:gridCol w:w="1631"/>
        <w:gridCol w:w="2861"/>
      </w:tblGrid>
      <w:tr w14:paraId="766C59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146" w:type="dxa"/>
            <w:gridSpan w:val="2"/>
            <w:tcBorders>
              <w:tl2br w:val="nil"/>
              <w:tr2bl w:val="nil"/>
            </w:tcBorders>
            <w:noWrap w:val="0"/>
            <w:vAlign w:val="center"/>
          </w:tcPr>
          <w:p w14:paraId="427C85D9">
            <w:pPr>
              <w:pStyle w:val="16"/>
              <w:bidi w:val="0"/>
              <w:rPr>
                <w:color w:val="auto"/>
              </w:rPr>
            </w:pPr>
            <w:r>
              <w:rPr>
                <w:color w:val="auto"/>
              </w:rPr>
              <w:t>类别</w:t>
            </w:r>
          </w:p>
        </w:tc>
        <w:tc>
          <w:tcPr>
            <w:tcW w:w="2337" w:type="dxa"/>
            <w:tcBorders>
              <w:tl2br w:val="nil"/>
              <w:tr2bl w:val="nil"/>
            </w:tcBorders>
            <w:noWrap w:val="0"/>
            <w:vAlign w:val="center"/>
          </w:tcPr>
          <w:p w14:paraId="174EE274">
            <w:pPr>
              <w:pStyle w:val="16"/>
              <w:bidi w:val="0"/>
              <w:rPr>
                <w:color w:val="auto"/>
              </w:rPr>
            </w:pPr>
            <w:r>
              <w:rPr>
                <w:color w:val="auto"/>
              </w:rPr>
              <w:t>LD50</w:t>
            </w:r>
            <w:r>
              <w:rPr>
                <w:rFonts w:hint="eastAsia"/>
                <w:color w:val="auto"/>
                <w:lang w:eastAsia="zh-CN"/>
              </w:rPr>
              <w:t>（</w:t>
            </w:r>
            <w:r>
              <w:rPr>
                <w:color w:val="auto"/>
              </w:rPr>
              <w:t>大鼠经口</w:t>
            </w:r>
            <w:r>
              <w:rPr>
                <w:rFonts w:hint="eastAsia"/>
                <w:color w:val="auto"/>
                <w:lang w:eastAsia="zh-CN"/>
              </w:rPr>
              <w:t>）</w:t>
            </w:r>
            <w:r>
              <w:rPr>
                <w:color w:val="auto"/>
              </w:rPr>
              <w:t>mg/kg</w:t>
            </w:r>
          </w:p>
        </w:tc>
        <w:tc>
          <w:tcPr>
            <w:tcW w:w="1631" w:type="dxa"/>
            <w:tcBorders>
              <w:tl2br w:val="nil"/>
              <w:tr2bl w:val="nil"/>
            </w:tcBorders>
            <w:noWrap w:val="0"/>
            <w:vAlign w:val="center"/>
          </w:tcPr>
          <w:p w14:paraId="108A5910">
            <w:pPr>
              <w:pStyle w:val="16"/>
              <w:bidi w:val="0"/>
              <w:rPr>
                <w:color w:val="auto"/>
              </w:rPr>
            </w:pPr>
            <w:r>
              <w:rPr>
                <w:color w:val="auto"/>
              </w:rPr>
              <w:t>LD50</w:t>
            </w:r>
            <w:r>
              <w:rPr>
                <w:rFonts w:hint="eastAsia"/>
                <w:color w:val="auto"/>
                <w:lang w:eastAsia="zh-CN"/>
              </w:rPr>
              <w:t>（</w:t>
            </w:r>
            <w:r>
              <w:rPr>
                <w:color w:val="auto"/>
              </w:rPr>
              <w:t>大鼠经皮</w:t>
            </w:r>
            <w:r>
              <w:rPr>
                <w:rFonts w:hint="eastAsia"/>
                <w:color w:val="auto"/>
                <w:lang w:eastAsia="zh-CN"/>
              </w:rPr>
              <w:t>）</w:t>
            </w:r>
            <w:r>
              <w:rPr>
                <w:color w:val="auto"/>
              </w:rPr>
              <w:t>mg/kg</w:t>
            </w:r>
          </w:p>
        </w:tc>
        <w:tc>
          <w:tcPr>
            <w:tcW w:w="2861" w:type="dxa"/>
            <w:tcBorders>
              <w:tl2br w:val="nil"/>
              <w:tr2bl w:val="nil"/>
            </w:tcBorders>
            <w:noWrap w:val="0"/>
            <w:vAlign w:val="center"/>
          </w:tcPr>
          <w:p w14:paraId="7F4B548B">
            <w:pPr>
              <w:pStyle w:val="16"/>
              <w:bidi w:val="0"/>
              <w:rPr>
                <w:rFonts w:hint="eastAsia"/>
                <w:color w:val="auto"/>
                <w:lang w:eastAsia="zh-CN"/>
              </w:rPr>
            </w:pPr>
            <w:r>
              <w:rPr>
                <w:color w:val="auto"/>
              </w:rPr>
              <w:t>LC50</w:t>
            </w:r>
            <w:r>
              <w:rPr>
                <w:rFonts w:hint="eastAsia"/>
                <w:color w:val="auto"/>
                <w:lang w:eastAsia="zh-CN"/>
              </w:rPr>
              <w:t>（</w:t>
            </w:r>
            <w:r>
              <w:rPr>
                <w:color w:val="auto"/>
              </w:rPr>
              <w:t>小鼠吸入</w:t>
            </w:r>
            <w:r>
              <w:rPr>
                <w:rFonts w:hint="eastAsia"/>
                <w:color w:val="auto"/>
                <w:lang w:eastAsia="zh-CN"/>
              </w:rPr>
              <w:t>，</w:t>
            </w:r>
            <w:r>
              <w:rPr>
                <w:color w:val="auto"/>
              </w:rPr>
              <w:t>4h</w:t>
            </w:r>
            <w:r>
              <w:rPr>
                <w:rFonts w:hint="eastAsia"/>
                <w:color w:val="auto"/>
                <w:lang w:eastAsia="zh-CN"/>
              </w:rPr>
              <w:t>）</w:t>
            </w:r>
            <w:r>
              <w:rPr>
                <w:color w:val="auto"/>
              </w:rPr>
              <w:t>mg/</w:t>
            </w:r>
            <w:r>
              <w:rPr>
                <w:rFonts w:hint="eastAsia"/>
                <w:color w:val="auto"/>
                <w:lang w:eastAsia="zh-CN"/>
              </w:rPr>
              <w:t>m³</w:t>
            </w:r>
          </w:p>
        </w:tc>
      </w:tr>
      <w:tr w14:paraId="57ABC4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33" w:type="dxa"/>
            <w:vMerge w:val="restart"/>
            <w:tcBorders>
              <w:tl2br w:val="nil"/>
              <w:tr2bl w:val="nil"/>
            </w:tcBorders>
            <w:noWrap w:val="0"/>
            <w:vAlign w:val="center"/>
          </w:tcPr>
          <w:p w14:paraId="6199342F">
            <w:pPr>
              <w:pStyle w:val="16"/>
              <w:bidi w:val="0"/>
              <w:rPr>
                <w:color w:val="auto"/>
              </w:rPr>
            </w:pPr>
            <w:r>
              <w:rPr>
                <w:color w:val="auto"/>
              </w:rPr>
              <w:t>有毒物质</w:t>
            </w:r>
          </w:p>
        </w:tc>
        <w:tc>
          <w:tcPr>
            <w:tcW w:w="1513" w:type="dxa"/>
            <w:tcBorders>
              <w:tl2br w:val="nil"/>
              <w:tr2bl w:val="nil"/>
            </w:tcBorders>
            <w:noWrap w:val="0"/>
            <w:vAlign w:val="center"/>
          </w:tcPr>
          <w:p w14:paraId="6ACD8E44">
            <w:pPr>
              <w:pStyle w:val="16"/>
              <w:bidi w:val="0"/>
              <w:rPr>
                <w:rFonts w:hint="eastAsia"/>
                <w:color w:val="auto"/>
                <w:lang w:eastAsia="zh-CN"/>
              </w:rPr>
            </w:pPr>
            <w:r>
              <w:rPr>
                <w:color w:val="auto"/>
              </w:rPr>
              <w:t>1</w:t>
            </w:r>
            <w:r>
              <w:rPr>
                <w:rFonts w:hint="eastAsia"/>
                <w:color w:val="auto"/>
                <w:lang w:eastAsia="zh-CN"/>
              </w:rPr>
              <w:t>（</w:t>
            </w:r>
            <w:r>
              <w:rPr>
                <w:color w:val="auto"/>
              </w:rPr>
              <w:t>剧毒物质</w:t>
            </w:r>
            <w:r>
              <w:rPr>
                <w:rFonts w:hint="eastAsia"/>
                <w:color w:val="auto"/>
                <w:lang w:eastAsia="zh-CN"/>
              </w:rPr>
              <w:t>）</w:t>
            </w:r>
          </w:p>
        </w:tc>
        <w:tc>
          <w:tcPr>
            <w:tcW w:w="2337" w:type="dxa"/>
            <w:tcBorders>
              <w:tl2br w:val="nil"/>
              <w:tr2bl w:val="nil"/>
            </w:tcBorders>
            <w:noWrap w:val="0"/>
            <w:vAlign w:val="center"/>
          </w:tcPr>
          <w:p w14:paraId="1A20CFFE">
            <w:pPr>
              <w:pStyle w:val="16"/>
              <w:bidi w:val="0"/>
              <w:rPr>
                <w:color w:val="auto"/>
              </w:rPr>
            </w:pPr>
            <w:r>
              <w:rPr>
                <w:color w:val="auto"/>
              </w:rPr>
              <w:t>&lt;5</w:t>
            </w:r>
          </w:p>
        </w:tc>
        <w:tc>
          <w:tcPr>
            <w:tcW w:w="1631" w:type="dxa"/>
            <w:tcBorders>
              <w:tl2br w:val="nil"/>
              <w:tr2bl w:val="nil"/>
            </w:tcBorders>
            <w:noWrap w:val="0"/>
            <w:vAlign w:val="center"/>
          </w:tcPr>
          <w:p w14:paraId="17FC5E90">
            <w:pPr>
              <w:pStyle w:val="16"/>
              <w:bidi w:val="0"/>
              <w:rPr>
                <w:color w:val="auto"/>
              </w:rPr>
            </w:pPr>
            <w:r>
              <w:rPr>
                <w:color w:val="auto"/>
              </w:rPr>
              <w:t>&lt;1</w:t>
            </w:r>
          </w:p>
        </w:tc>
        <w:tc>
          <w:tcPr>
            <w:tcW w:w="2861" w:type="dxa"/>
            <w:tcBorders>
              <w:tl2br w:val="nil"/>
              <w:tr2bl w:val="nil"/>
            </w:tcBorders>
            <w:noWrap w:val="0"/>
            <w:vAlign w:val="center"/>
          </w:tcPr>
          <w:p w14:paraId="25683D68">
            <w:pPr>
              <w:pStyle w:val="16"/>
              <w:bidi w:val="0"/>
              <w:rPr>
                <w:color w:val="auto"/>
              </w:rPr>
            </w:pPr>
            <w:r>
              <w:rPr>
                <w:color w:val="auto"/>
              </w:rPr>
              <w:t>&lt;10</w:t>
            </w:r>
          </w:p>
        </w:tc>
      </w:tr>
      <w:tr w14:paraId="6D6A02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33" w:type="dxa"/>
            <w:vMerge w:val="continue"/>
            <w:tcBorders>
              <w:tl2br w:val="nil"/>
              <w:tr2bl w:val="nil"/>
            </w:tcBorders>
            <w:noWrap w:val="0"/>
            <w:vAlign w:val="center"/>
          </w:tcPr>
          <w:p w14:paraId="109399B9">
            <w:pPr>
              <w:pStyle w:val="16"/>
              <w:bidi w:val="0"/>
              <w:rPr>
                <w:color w:val="auto"/>
              </w:rPr>
            </w:pPr>
          </w:p>
        </w:tc>
        <w:tc>
          <w:tcPr>
            <w:tcW w:w="1513" w:type="dxa"/>
            <w:tcBorders>
              <w:tl2br w:val="nil"/>
              <w:tr2bl w:val="nil"/>
            </w:tcBorders>
            <w:noWrap w:val="0"/>
            <w:vAlign w:val="center"/>
          </w:tcPr>
          <w:p w14:paraId="017CEB35">
            <w:pPr>
              <w:pStyle w:val="16"/>
              <w:bidi w:val="0"/>
              <w:rPr>
                <w:rFonts w:hint="eastAsia"/>
                <w:color w:val="auto"/>
                <w:lang w:eastAsia="zh-CN"/>
              </w:rPr>
            </w:pPr>
            <w:r>
              <w:rPr>
                <w:color w:val="auto"/>
              </w:rPr>
              <w:t>2</w:t>
            </w:r>
            <w:r>
              <w:rPr>
                <w:rFonts w:hint="eastAsia"/>
                <w:color w:val="auto"/>
                <w:lang w:eastAsia="zh-CN"/>
              </w:rPr>
              <w:t>（</w:t>
            </w:r>
            <w:r>
              <w:rPr>
                <w:color w:val="auto"/>
              </w:rPr>
              <w:t>剧毒物质</w:t>
            </w:r>
            <w:r>
              <w:rPr>
                <w:rFonts w:hint="eastAsia"/>
                <w:color w:val="auto"/>
                <w:lang w:eastAsia="zh-CN"/>
              </w:rPr>
              <w:t>）</w:t>
            </w:r>
          </w:p>
        </w:tc>
        <w:tc>
          <w:tcPr>
            <w:tcW w:w="2337" w:type="dxa"/>
            <w:tcBorders>
              <w:tl2br w:val="nil"/>
              <w:tr2bl w:val="nil"/>
            </w:tcBorders>
            <w:noWrap w:val="0"/>
            <w:vAlign w:val="center"/>
          </w:tcPr>
          <w:p w14:paraId="4F6A6DF5">
            <w:pPr>
              <w:pStyle w:val="16"/>
              <w:bidi w:val="0"/>
              <w:rPr>
                <w:color w:val="auto"/>
              </w:rPr>
            </w:pPr>
            <w:r>
              <w:rPr>
                <w:color w:val="auto"/>
              </w:rPr>
              <w:t>5&lt;LD50&lt;25</w:t>
            </w:r>
          </w:p>
        </w:tc>
        <w:tc>
          <w:tcPr>
            <w:tcW w:w="1631" w:type="dxa"/>
            <w:tcBorders>
              <w:tl2br w:val="nil"/>
              <w:tr2bl w:val="nil"/>
            </w:tcBorders>
            <w:noWrap w:val="0"/>
            <w:vAlign w:val="center"/>
          </w:tcPr>
          <w:p w14:paraId="57A35407">
            <w:pPr>
              <w:pStyle w:val="16"/>
              <w:bidi w:val="0"/>
              <w:rPr>
                <w:color w:val="auto"/>
              </w:rPr>
            </w:pPr>
            <w:r>
              <w:rPr>
                <w:color w:val="auto"/>
              </w:rPr>
              <w:t>10&lt;LD50&lt;50</w:t>
            </w:r>
          </w:p>
        </w:tc>
        <w:tc>
          <w:tcPr>
            <w:tcW w:w="2861" w:type="dxa"/>
            <w:tcBorders>
              <w:tl2br w:val="nil"/>
              <w:tr2bl w:val="nil"/>
            </w:tcBorders>
            <w:noWrap w:val="0"/>
            <w:vAlign w:val="center"/>
          </w:tcPr>
          <w:p w14:paraId="2291D260">
            <w:pPr>
              <w:pStyle w:val="16"/>
              <w:bidi w:val="0"/>
              <w:rPr>
                <w:color w:val="auto"/>
              </w:rPr>
            </w:pPr>
            <w:r>
              <w:rPr>
                <w:color w:val="auto"/>
              </w:rPr>
              <w:t>100&lt;LC50&lt;500</w:t>
            </w:r>
          </w:p>
        </w:tc>
      </w:tr>
      <w:tr w14:paraId="53CBAC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33" w:type="dxa"/>
            <w:vMerge w:val="continue"/>
            <w:tcBorders>
              <w:tl2br w:val="nil"/>
              <w:tr2bl w:val="nil"/>
            </w:tcBorders>
            <w:noWrap w:val="0"/>
            <w:vAlign w:val="center"/>
          </w:tcPr>
          <w:p w14:paraId="2871A67D">
            <w:pPr>
              <w:pStyle w:val="16"/>
              <w:bidi w:val="0"/>
              <w:rPr>
                <w:color w:val="auto"/>
              </w:rPr>
            </w:pPr>
          </w:p>
        </w:tc>
        <w:tc>
          <w:tcPr>
            <w:tcW w:w="1513" w:type="dxa"/>
            <w:tcBorders>
              <w:tl2br w:val="nil"/>
              <w:tr2bl w:val="nil"/>
            </w:tcBorders>
            <w:noWrap w:val="0"/>
            <w:vAlign w:val="center"/>
          </w:tcPr>
          <w:p w14:paraId="0A1D3A3C">
            <w:pPr>
              <w:pStyle w:val="16"/>
              <w:bidi w:val="0"/>
              <w:rPr>
                <w:rFonts w:hint="eastAsia"/>
                <w:color w:val="auto"/>
                <w:lang w:eastAsia="zh-CN"/>
              </w:rPr>
            </w:pPr>
            <w:r>
              <w:rPr>
                <w:color w:val="auto"/>
              </w:rPr>
              <w:t>3</w:t>
            </w:r>
            <w:r>
              <w:rPr>
                <w:rFonts w:hint="eastAsia"/>
                <w:color w:val="auto"/>
                <w:lang w:eastAsia="zh-CN"/>
              </w:rPr>
              <w:t>（</w:t>
            </w:r>
            <w:r>
              <w:rPr>
                <w:color w:val="auto"/>
              </w:rPr>
              <w:t>一般毒物</w:t>
            </w:r>
            <w:r>
              <w:rPr>
                <w:rFonts w:hint="eastAsia"/>
                <w:color w:val="auto"/>
                <w:lang w:eastAsia="zh-CN"/>
              </w:rPr>
              <w:t>）</w:t>
            </w:r>
          </w:p>
        </w:tc>
        <w:tc>
          <w:tcPr>
            <w:tcW w:w="2337" w:type="dxa"/>
            <w:tcBorders>
              <w:tl2br w:val="nil"/>
              <w:tr2bl w:val="nil"/>
            </w:tcBorders>
            <w:noWrap w:val="0"/>
            <w:vAlign w:val="center"/>
          </w:tcPr>
          <w:p w14:paraId="73755899">
            <w:pPr>
              <w:pStyle w:val="16"/>
              <w:bidi w:val="0"/>
              <w:rPr>
                <w:color w:val="auto"/>
              </w:rPr>
            </w:pPr>
            <w:r>
              <w:rPr>
                <w:color w:val="auto"/>
              </w:rPr>
              <w:t>25&lt;LD50&lt;200</w:t>
            </w:r>
          </w:p>
        </w:tc>
        <w:tc>
          <w:tcPr>
            <w:tcW w:w="1631" w:type="dxa"/>
            <w:tcBorders>
              <w:tl2br w:val="nil"/>
              <w:tr2bl w:val="nil"/>
            </w:tcBorders>
            <w:noWrap w:val="0"/>
            <w:vAlign w:val="center"/>
          </w:tcPr>
          <w:p w14:paraId="37EF6C83">
            <w:pPr>
              <w:pStyle w:val="16"/>
              <w:bidi w:val="0"/>
              <w:rPr>
                <w:color w:val="auto"/>
              </w:rPr>
            </w:pPr>
            <w:r>
              <w:rPr>
                <w:color w:val="auto"/>
              </w:rPr>
              <w:t>50&lt;LD50&lt;400</w:t>
            </w:r>
          </w:p>
        </w:tc>
        <w:tc>
          <w:tcPr>
            <w:tcW w:w="2861" w:type="dxa"/>
            <w:tcBorders>
              <w:tl2br w:val="nil"/>
              <w:tr2bl w:val="nil"/>
            </w:tcBorders>
            <w:noWrap w:val="0"/>
            <w:vAlign w:val="center"/>
          </w:tcPr>
          <w:p w14:paraId="375C7995">
            <w:pPr>
              <w:pStyle w:val="16"/>
              <w:bidi w:val="0"/>
              <w:rPr>
                <w:color w:val="auto"/>
              </w:rPr>
            </w:pPr>
            <w:r>
              <w:rPr>
                <w:color w:val="auto"/>
              </w:rPr>
              <w:t>500&lt;LC50&lt;2000</w:t>
            </w:r>
          </w:p>
        </w:tc>
      </w:tr>
      <w:tr w14:paraId="0F9017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33" w:type="dxa"/>
            <w:vMerge w:val="restart"/>
            <w:tcBorders>
              <w:tl2br w:val="nil"/>
              <w:tr2bl w:val="nil"/>
            </w:tcBorders>
            <w:noWrap w:val="0"/>
            <w:vAlign w:val="center"/>
          </w:tcPr>
          <w:p w14:paraId="70F20DA1">
            <w:pPr>
              <w:pStyle w:val="16"/>
              <w:bidi w:val="0"/>
              <w:rPr>
                <w:color w:val="auto"/>
              </w:rPr>
            </w:pPr>
            <w:r>
              <w:rPr>
                <w:color w:val="auto"/>
              </w:rPr>
              <w:t>易燃物质</w:t>
            </w:r>
          </w:p>
        </w:tc>
        <w:tc>
          <w:tcPr>
            <w:tcW w:w="1513" w:type="dxa"/>
            <w:tcBorders>
              <w:tl2br w:val="nil"/>
              <w:tr2bl w:val="nil"/>
            </w:tcBorders>
            <w:noWrap w:val="0"/>
            <w:vAlign w:val="center"/>
          </w:tcPr>
          <w:p w14:paraId="07F13C4C">
            <w:pPr>
              <w:pStyle w:val="16"/>
              <w:bidi w:val="0"/>
              <w:rPr>
                <w:rFonts w:hint="eastAsia"/>
                <w:color w:val="auto"/>
                <w:lang w:eastAsia="zh-CN"/>
              </w:rPr>
            </w:pPr>
            <w:r>
              <w:rPr>
                <w:color w:val="auto"/>
              </w:rPr>
              <w:t>1</w:t>
            </w:r>
            <w:r>
              <w:rPr>
                <w:rFonts w:hint="eastAsia"/>
                <w:color w:val="auto"/>
                <w:lang w:eastAsia="zh-CN"/>
              </w:rPr>
              <w:t>（</w:t>
            </w:r>
            <w:r>
              <w:rPr>
                <w:color w:val="auto"/>
              </w:rPr>
              <w:t>易燃物质</w:t>
            </w:r>
            <w:r>
              <w:rPr>
                <w:rFonts w:hint="eastAsia"/>
                <w:color w:val="auto"/>
                <w:lang w:eastAsia="zh-CN"/>
              </w:rPr>
              <w:t>）</w:t>
            </w:r>
          </w:p>
        </w:tc>
        <w:tc>
          <w:tcPr>
            <w:tcW w:w="6829" w:type="dxa"/>
            <w:gridSpan w:val="3"/>
            <w:tcBorders>
              <w:tl2br w:val="nil"/>
              <w:tr2bl w:val="nil"/>
            </w:tcBorders>
            <w:noWrap w:val="0"/>
            <w:vAlign w:val="center"/>
          </w:tcPr>
          <w:p w14:paraId="2C497F94">
            <w:pPr>
              <w:pStyle w:val="16"/>
              <w:bidi w:val="0"/>
              <w:rPr>
                <w:color w:val="auto"/>
              </w:rPr>
            </w:pPr>
            <w:r>
              <w:rPr>
                <w:color w:val="auto"/>
              </w:rPr>
              <w:t>可燃气体：在常压下以气态存在并与空气混合形成可燃混合物；其沸点</w:t>
            </w:r>
            <w:r>
              <w:rPr>
                <w:rFonts w:hint="eastAsia"/>
                <w:color w:val="auto"/>
                <w:lang w:eastAsia="zh-CN"/>
              </w:rPr>
              <w:t>（</w:t>
            </w:r>
            <w:r>
              <w:rPr>
                <w:color w:val="auto"/>
              </w:rPr>
              <w:t>常压下</w:t>
            </w:r>
            <w:r>
              <w:rPr>
                <w:rFonts w:hint="eastAsia"/>
                <w:color w:val="auto"/>
                <w:lang w:eastAsia="zh-CN"/>
              </w:rPr>
              <w:t>）</w:t>
            </w:r>
            <w:r>
              <w:rPr>
                <w:color w:val="auto"/>
              </w:rPr>
              <w:t>是20℃或以下的物质。</w:t>
            </w:r>
          </w:p>
        </w:tc>
      </w:tr>
      <w:tr w14:paraId="29FC69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33" w:type="dxa"/>
            <w:vMerge w:val="continue"/>
            <w:tcBorders>
              <w:tl2br w:val="nil"/>
              <w:tr2bl w:val="nil"/>
            </w:tcBorders>
            <w:noWrap w:val="0"/>
            <w:vAlign w:val="center"/>
          </w:tcPr>
          <w:p w14:paraId="4148F2E1">
            <w:pPr>
              <w:pStyle w:val="16"/>
              <w:bidi w:val="0"/>
              <w:rPr>
                <w:color w:val="auto"/>
              </w:rPr>
            </w:pPr>
          </w:p>
        </w:tc>
        <w:tc>
          <w:tcPr>
            <w:tcW w:w="1513" w:type="dxa"/>
            <w:tcBorders>
              <w:tl2br w:val="nil"/>
              <w:tr2bl w:val="nil"/>
            </w:tcBorders>
            <w:noWrap w:val="0"/>
            <w:vAlign w:val="center"/>
          </w:tcPr>
          <w:p w14:paraId="71640985">
            <w:pPr>
              <w:pStyle w:val="16"/>
              <w:bidi w:val="0"/>
              <w:rPr>
                <w:rFonts w:hint="eastAsia"/>
                <w:color w:val="auto"/>
                <w:lang w:eastAsia="zh-CN"/>
              </w:rPr>
            </w:pPr>
            <w:r>
              <w:rPr>
                <w:color w:val="auto"/>
              </w:rPr>
              <w:t>2</w:t>
            </w:r>
            <w:r>
              <w:rPr>
                <w:rFonts w:hint="eastAsia"/>
                <w:color w:val="auto"/>
                <w:lang w:eastAsia="zh-CN"/>
              </w:rPr>
              <w:t>（</w:t>
            </w:r>
            <w:r>
              <w:rPr>
                <w:color w:val="auto"/>
              </w:rPr>
              <w:t>易燃物质</w:t>
            </w:r>
            <w:r>
              <w:rPr>
                <w:rFonts w:hint="eastAsia"/>
                <w:color w:val="auto"/>
                <w:lang w:eastAsia="zh-CN"/>
              </w:rPr>
              <w:t>）</w:t>
            </w:r>
          </w:p>
        </w:tc>
        <w:tc>
          <w:tcPr>
            <w:tcW w:w="6829" w:type="dxa"/>
            <w:gridSpan w:val="3"/>
            <w:tcBorders>
              <w:tl2br w:val="nil"/>
              <w:tr2bl w:val="nil"/>
            </w:tcBorders>
            <w:noWrap w:val="0"/>
            <w:vAlign w:val="center"/>
          </w:tcPr>
          <w:p w14:paraId="260DFA51">
            <w:pPr>
              <w:pStyle w:val="16"/>
              <w:bidi w:val="0"/>
              <w:rPr>
                <w:color w:val="auto"/>
              </w:rPr>
            </w:pPr>
            <w:r>
              <w:rPr>
                <w:color w:val="auto"/>
              </w:rPr>
              <w:t>易燃液体：闪点低于21℃，沸点高于20℃的物质。</w:t>
            </w:r>
          </w:p>
        </w:tc>
      </w:tr>
      <w:tr w14:paraId="1599AB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33" w:type="dxa"/>
            <w:vMerge w:val="continue"/>
            <w:tcBorders>
              <w:tl2br w:val="nil"/>
              <w:tr2bl w:val="nil"/>
            </w:tcBorders>
            <w:noWrap w:val="0"/>
            <w:vAlign w:val="center"/>
          </w:tcPr>
          <w:p w14:paraId="24864509">
            <w:pPr>
              <w:pStyle w:val="16"/>
              <w:bidi w:val="0"/>
              <w:rPr>
                <w:color w:val="auto"/>
              </w:rPr>
            </w:pPr>
          </w:p>
        </w:tc>
        <w:tc>
          <w:tcPr>
            <w:tcW w:w="1513" w:type="dxa"/>
            <w:tcBorders>
              <w:tl2br w:val="nil"/>
              <w:tr2bl w:val="nil"/>
            </w:tcBorders>
            <w:noWrap w:val="0"/>
            <w:vAlign w:val="center"/>
          </w:tcPr>
          <w:p w14:paraId="55185CB3">
            <w:pPr>
              <w:pStyle w:val="16"/>
              <w:bidi w:val="0"/>
              <w:rPr>
                <w:rFonts w:hint="eastAsia"/>
                <w:color w:val="auto"/>
                <w:lang w:eastAsia="zh-CN"/>
              </w:rPr>
            </w:pPr>
            <w:r>
              <w:rPr>
                <w:color w:val="auto"/>
              </w:rPr>
              <w:t>3</w:t>
            </w:r>
            <w:r>
              <w:rPr>
                <w:rFonts w:hint="eastAsia"/>
                <w:color w:val="auto"/>
                <w:lang w:eastAsia="zh-CN"/>
              </w:rPr>
              <w:t>（</w:t>
            </w:r>
            <w:r>
              <w:rPr>
                <w:color w:val="auto"/>
              </w:rPr>
              <w:t>易燃物质</w:t>
            </w:r>
            <w:r>
              <w:rPr>
                <w:rFonts w:hint="eastAsia"/>
                <w:color w:val="auto"/>
                <w:lang w:eastAsia="zh-CN"/>
              </w:rPr>
              <w:t>）</w:t>
            </w:r>
          </w:p>
        </w:tc>
        <w:tc>
          <w:tcPr>
            <w:tcW w:w="6829" w:type="dxa"/>
            <w:gridSpan w:val="3"/>
            <w:tcBorders>
              <w:tl2br w:val="nil"/>
              <w:tr2bl w:val="nil"/>
            </w:tcBorders>
            <w:noWrap w:val="0"/>
            <w:vAlign w:val="center"/>
          </w:tcPr>
          <w:p w14:paraId="598A70F5">
            <w:pPr>
              <w:pStyle w:val="16"/>
              <w:bidi w:val="0"/>
              <w:rPr>
                <w:color w:val="auto"/>
              </w:rPr>
            </w:pPr>
            <w:r>
              <w:rPr>
                <w:color w:val="auto"/>
              </w:rPr>
              <w:t>可燃液体：闪点低于55℃，压力下保持液态，在实际操作条件下</w:t>
            </w:r>
            <w:r>
              <w:rPr>
                <w:rFonts w:hint="eastAsia"/>
                <w:color w:val="auto"/>
                <w:lang w:eastAsia="zh-CN"/>
              </w:rPr>
              <w:t>（</w:t>
            </w:r>
            <w:r>
              <w:rPr>
                <w:color w:val="auto"/>
              </w:rPr>
              <w:t>如高温高压</w:t>
            </w:r>
            <w:r>
              <w:rPr>
                <w:rFonts w:hint="eastAsia"/>
                <w:color w:val="auto"/>
                <w:lang w:eastAsia="zh-CN"/>
              </w:rPr>
              <w:t>）</w:t>
            </w:r>
            <w:r>
              <w:rPr>
                <w:color w:val="auto"/>
              </w:rPr>
              <w:t>可引起重大事故的物质。</w:t>
            </w:r>
          </w:p>
        </w:tc>
      </w:tr>
      <w:tr w14:paraId="7CC29A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146" w:type="dxa"/>
            <w:gridSpan w:val="2"/>
            <w:tcBorders>
              <w:tl2br w:val="nil"/>
              <w:tr2bl w:val="nil"/>
            </w:tcBorders>
            <w:noWrap w:val="0"/>
            <w:vAlign w:val="center"/>
          </w:tcPr>
          <w:p w14:paraId="30A85616">
            <w:pPr>
              <w:pStyle w:val="16"/>
              <w:bidi w:val="0"/>
              <w:rPr>
                <w:rFonts w:hint="eastAsia"/>
                <w:color w:val="auto"/>
                <w:lang w:eastAsia="zh-CN"/>
              </w:rPr>
            </w:pPr>
            <w:r>
              <w:rPr>
                <w:color w:val="auto"/>
              </w:rPr>
              <w:t>爆炸性物质</w:t>
            </w:r>
            <w:r>
              <w:rPr>
                <w:rFonts w:hint="eastAsia"/>
                <w:color w:val="auto"/>
                <w:lang w:eastAsia="zh-CN"/>
              </w:rPr>
              <w:t>（</w:t>
            </w:r>
            <w:r>
              <w:rPr>
                <w:color w:val="auto"/>
              </w:rPr>
              <w:t>易爆物质</w:t>
            </w:r>
            <w:r>
              <w:rPr>
                <w:rFonts w:hint="eastAsia"/>
                <w:color w:val="auto"/>
                <w:lang w:eastAsia="zh-CN"/>
              </w:rPr>
              <w:t>）</w:t>
            </w:r>
          </w:p>
        </w:tc>
        <w:tc>
          <w:tcPr>
            <w:tcW w:w="6829" w:type="dxa"/>
            <w:gridSpan w:val="3"/>
            <w:tcBorders>
              <w:tl2br w:val="nil"/>
              <w:tr2bl w:val="nil"/>
            </w:tcBorders>
            <w:noWrap w:val="0"/>
            <w:vAlign w:val="center"/>
          </w:tcPr>
          <w:p w14:paraId="1427B1E3">
            <w:pPr>
              <w:pStyle w:val="16"/>
              <w:bidi w:val="0"/>
              <w:rPr>
                <w:color w:val="auto"/>
              </w:rPr>
            </w:pPr>
            <w:r>
              <w:rPr>
                <w:color w:val="auto"/>
              </w:rPr>
              <w:t>在火焰影响下可以爆炸，或者对冲击、摩擦比硝基苯更为敏感的物质</w:t>
            </w:r>
          </w:p>
        </w:tc>
      </w:tr>
    </w:tbl>
    <w:p w14:paraId="14DA472A">
      <w:pPr>
        <w:pStyle w:val="19"/>
        <w:keepNext w:val="0"/>
        <w:keepLines w:val="0"/>
        <w:pageBreakBefore w:val="0"/>
        <w:widowControl w:val="0"/>
        <w:numPr>
          <w:ilvl w:val="0"/>
          <w:numId w:val="32"/>
        </w:numPr>
        <w:kinsoku/>
        <w:wordWrap/>
        <w:overflowPunct/>
        <w:topLinePunct w:val="0"/>
        <w:autoSpaceDE/>
        <w:autoSpaceDN/>
        <w:bidi w:val="0"/>
        <w:adjustRightInd/>
        <w:snapToGrid/>
        <w:spacing w:before="157" w:beforeLines="50"/>
        <w:ind w:left="0" w:leftChars="0" w:firstLine="0" w:firstLineChars="0"/>
        <w:textAlignment w:val="auto"/>
        <w:rPr>
          <w:color w:val="auto"/>
        </w:rPr>
      </w:pPr>
      <w:r>
        <w:rPr>
          <w:color w:val="auto"/>
        </w:rPr>
        <w:t>毒物危害程度分级</w:t>
      </w:r>
    </w:p>
    <w:tbl>
      <w:tblPr>
        <w:tblStyle w:val="5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81"/>
        <w:gridCol w:w="2110"/>
        <w:gridCol w:w="1508"/>
        <w:gridCol w:w="1580"/>
        <w:gridCol w:w="1545"/>
        <w:gridCol w:w="1560"/>
      </w:tblGrid>
      <w:tr w14:paraId="371D49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1475" w:type="pct"/>
            <w:gridSpan w:val="2"/>
            <w:vMerge w:val="restart"/>
            <w:tcBorders>
              <w:tl2br w:val="nil"/>
              <w:tr2bl w:val="nil"/>
            </w:tcBorders>
            <w:noWrap w:val="0"/>
            <w:vAlign w:val="center"/>
          </w:tcPr>
          <w:p w14:paraId="5D70CB89">
            <w:pPr>
              <w:pStyle w:val="426"/>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指标</w:t>
            </w:r>
          </w:p>
        </w:tc>
        <w:tc>
          <w:tcPr>
            <w:tcW w:w="3524" w:type="pct"/>
            <w:gridSpan w:val="4"/>
            <w:tcBorders>
              <w:tl2br w:val="nil"/>
              <w:tr2bl w:val="nil"/>
            </w:tcBorders>
            <w:noWrap w:val="0"/>
            <w:vAlign w:val="center"/>
          </w:tcPr>
          <w:p w14:paraId="31C5F771">
            <w:pPr>
              <w:pStyle w:val="426"/>
              <w:pageBreakBefore w:val="0"/>
              <w:wordWrap/>
              <w:bidi w:val="0"/>
              <w:adjustRightInd/>
              <w:snapToGrid/>
              <w:spacing w:line="240" w:lineRule="auto"/>
              <w:ind w:firstLine="0" w:firstLineChars="0"/>
              <w:jc w:val="center"/>
              <w:rPr>
                <w:b/>
                <w:bCs w:val="0"/>
                <w:color w:val="auto"/>
                <w:sz w:val="21"/>
                <w:szCs w:val="21"/>
              </w:rPr>
            </w:pPr>
            <w:r>
              <w:rPr>
                <w:b/>
                <w:bCs w:val="0"/>
                <w:color w:val="auto"/>
                <w:sz w:val="21"/>
                <w:szCs w:val="21"/>
              </w:rPr>
              <w:t>分级</w:t>
            </w:r>
          </w:p>
        </w:tc>
      </w:tr>
      <w:tr w14:paraId="230D77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1475" w:type="pct"/>
            <w:gridSpan w:val="2"/>
            <w:vMerge w:val="continue"/>
            <w:tcBorders>
              <w:tl2br w:val="nil"/>
              <w:tr2bl w:val="nil"/>
            </w:tcBorders>
            <w:noWrap w:val="0"/>
            <w:vAlign w:val="center"/>
          </w:tcPr>
          <w:p w14:paraId="20875FB7">
            <w:pPr>
              <w:pStyle w:val="426"/>
              <w:pageBreakBefore w:val="0"/>
              <w:wordWrap/>
              <w:bidi w:val="0"/>
              <w:adjustRightInd/>
              <w:snapToGrid/>
              <w:spacing w:line="240" w:lineRule="auto"/>
              <w:ind w:firstLine="0" w:firstLineChars="0"/>
              <w:jc w:val="center"/>
              <w:rPr>
                <w:b/>
                <w:bCs w:val="0"/>
                <w:color w:val="auto"/>
                <w:sz w:val="21"/>
                <w:szCs w:val="21"/>
              </w:rPr>
            </w:pPr>
          </w:p>
        </w:tc>
        <w:tc>
          <w:tcPr>
            <w:tcW w:w="858" w:type="pct"/>
            <w:tcBorders>
              <w:tl2br w:val="nil"/>
              <w:tr2bl w:val="nil"/>
            </w:tcBorders>
            <w:noWrap w:val="0"/>
            <w:vAlign w:val="center"/>
          </w:tcPr>
          <w:p w14:paraId="5F0533F9">
            <w:pPr>
              <w:pStyle w:val="426"/>
              <w:pageBreakBefore w:val="0"/>
              <w:wordWrap/>
              <w:bidi w:val="0"/>
              <w:adjustRightInd/>
              <w:snapToGrid/>
              <w:spacing w:line="240" w:lineRule="auto"/>
              <w:ind w:firstLine="0" w:firstLineChars="0"/>
              <w:jc w:val="center"/>
              <w:rPr>
                <w:rFonts w:hint="eastAsia" w:eastAsia="宋体"/>
                <w:b/>
                <w:bCs w:val="0"/>
                <w:color w:val="auto"/>
                <w:sz w:val="21"/>
                <w:szCs w:val="21"/>
                <w:lang w:eastAsia="zh-CN"/>
              </w:rPr>
            </w:pPr>
            <w:r>
              <w:rPr>
                <w:b/>
                <w:bCs w:val="0"/>
                <w:color w:val="auto"/>
                <w:sz w:val="21"/>
                <w:szCs w:val="21"/>
              </w:rPr>
              <w:t>I</w:t>
            </w:r>
            <w:r>
              <w:rPr>
                <w:rFonts w:hint="eastAsia"/>
                <w:b/>
                <w:bCs w:val="0"/>
                <w:color w:val="auto"/>
                <w:sz w:val="21"/>
                <w:szCs w:val="21"/>
                <w:lang w:eastAsia="zh-CN"/>
              </w:rPr>
              <w:t>（</w:t>
            </w:r>
            <w:r>
              <w:rPr>
                <w:b/>
                <w:bCs w:val="0"/>
                <w:color w:val="auto"/>
                <w:sz w:val="21"/>
                <w:szCs w:val="21"/>
              </w:rPr>
              <w:t>极度危害</w:t>
            </w:r>
            <w:r>
              <w:rPr>
                <w:rFonts w:hint="eastAsia"/>
                <w:b/>
                <w:bCs w:val="0"/>
                <w:color w:val="auto"/>
                <w:sz w:val="21"/>
                <w:szCs w:val="21"/>
                <w:lang w:eastAsia="zh-CN"/>
              </w:rPr>
              <w:t>）</w:t>
            </w:r>
          </w:p>
        </w:tc>
        <w:tc>
          <w:tcPr>
            <w:tcW w:w="899" w:type="pct"/>
            <w:tcBorders>
              <w:tl2br w:val="nil"/>
              <w:tr2bl w:val="nil"/>
            </w:tcBorders>
            <w:noWrap w:val="0"/>
            <w:vAlign w:val="center"/>
          </w:tcPr>
          <w:p w14:paraId="12DBD200">
            <w:pPr>
              <w:pStyle w:val="426"/>
              <w:pageBreakBefore w:val="0"/>
              <w:wordWrap/>
              <w:bidi w:val="0"/>
              <w:adjustRightInd/>
              <w:snapToGrid/>
              <w:spacing w:line="240" w:lineRule="auto"/>
              <w:ind w:firstLine="0" w:firstLineChars="0"/>
              <w:jc w:val="center"/>
              <w:rPr>
                <w:rFonts w:hint="eastAsia" w:eastAsia="宋体"/>
                <w:b/>
                <w:bCs w:val="0"/>
                <w:color w:val="auto"/>
                <w:sz w:val="21"/>
                <w:szCs w:val="21"/>
                <w:lang w:eastAsia="zh-CN"/>
              </w:rPr>
            </w:pPr>
            <w:r>
              <w:rPr>
                <w:b/>
                <w:bCs w:val="0"/>
                <w:color w:val="auto"/>
                <w:sz w:val="21"/>
                <w:szCs w:val="21"/>
              </w:rPr>
              <w:t>II</w:t>
            </w:r>
            <w:r>
              <w:rPr>
                <w:rFonts w:hint="eastAsia"/>
                <w:b/>
                <w:bCs w:val="0"/>
                <w:color w:val="auto"/>
                <w:sz w:val="21"/>
                <w:szCs w:val="21"/>
                <w:lang w:eastAsia="zh-CN"/>
              </w:rPr>
              <w:t>（</w:t>
            </w:r>
            <w:r>
              <w:rPr>
                <w:b/>
                <w:bCs w:val="0"/>
                <w:color w:val="auto"/>
                <w:sz w:val="21"/>
                <w:szCs w:val="21"/>
              </w:rPr>
              <w:t>高度危害</w:t>
            </w:r>
            <w:r>
              <w:rPr>
                <w:rFonts w:hint="eastAsia"/>
                <w:b/>
                <w:bCs w:val="0"/>
                <w:color w:val="auto"/>
                <w:sz w:val="21"/>
                <w:szCs w:val="21"/>
                <w:lang w:eastAsia="zh-CN"/>
              </w:rPr>
              <w:t>）</w:t>
            </w:r>
          </w:p>
        </w:tc>
        <w:tc>
          <w:tcPr>
            <w:tcW w:w="879" w:type="pct"/>
            <w:tcBorders>
              <w:tl2br w:val="nil"/>
              <w:tr2bl w:val="nil"/>
            </w:tcBorders>
            <w:noWrap w:val="0"/>
            <w:vAlign w:val="center"/>
          </w:tcPr>
          <w:p w14:paraId="0EF37FC4">
            <w:pPr>
              <w:pStyle w:val="426"/>
              <w:pageBreakBefore w:val="0"/>
              <w:wordWrap/>
              <w:bidi w:val="0"/>
              <w:adjustRightInd/>
              <w:snapToGrid/>
              <w:spacing w:line="240" w:lineRule="auto"/>
              <w:ind w:firstLine="0" w:firstLineChars="0"/>
              <w:jc w:val="center"/>
              <w:rPr>
                <w:rFonts w:hint="eastAsia" w:eastAsia="宋体"/>
                <w:b/>
                <w:bCs w:val="0"/>
                <w:color w:val="auto"/>
                <w:sz w:val="21"/>
                <w:szCs w:val="21"/>
                <w:lang w:eastAsia="zh-CN"/>
              </w:rPr>
            </w:pPr>
            <w:r>
              <w:rPr>
                <w:b/>
                <w:bCs w:val="0"/>
                <w:color w:val="auto"/>
                <w:sz w:val="21"/>
                <w:szCs w:val="21"/>
              </w:rPr>
              <w:t>III</w:t>
            </w:r>
            <w:r>
              <w:rPr>
                <w:rFonts w:hint="eastAsia"/>
                <w:b/>
                <w:bCs w:val="0"/>
                <w:color w:val="auto"/>
                <w:sz w:val="21"/>
                <w:szCs w:val="21"/>
                <w:lang w:eastAsia="zh-CN"/>
              </w:rPr>
              <w:t>（</w:t>
            </w:r>
            <w:r>
              <w:rPr>
                <w:b/>
                <w:bCs w:val="0"/>
                <w:color w:val="auto"/>
                <w:sz w:val="21"/>
                <w:szCs w:val="21"/>
              </w:rPr>
              <w:t>中度危害</w:t>
            </w:r>
            <w:r>
              <w:rPr>
                <w:rFonts w:hint="eastAsia"/>
                <w:b/>
                <w:bCs w:val="0"/>
                <w:color w:val="auto"/>
                <w:sz w:val="21"/>
                <w:szCs w:val="21"/>
                <w:lang w:eastAsia="zh-CN"/>
              </w:rPr>
              <w:t>）</w:t>
            </w:r>
          </w:p>
        </w:tc>
        <w:tc>
          <w:tcPr>
            <w:tcW w:w="887" w:type="pct"/>
            <w:tcBorders>
              <w:tl2br w:val="nil"/>
              <w:tr2bl w:val="nil"/>
            </w:tcBorders>
            <w:noWrap w:val="0"/>
            <w:vAlign w:val="center"/>
          </w:tcPr>
          <w:p w14:paraId="1B91EACE">
            <w:pPr>
              <w:pStyle w:val="426"/>
              <w:pageBreakBefore w:val="0"/>
              <w:wordWrap/>
              <w:bidi w:val="0"/>
              <w:adjustRightInd/>
              <w:snapToGrid/>
              <w:spacing w:line="240" w:lineRule="auto"/>
              <w:ind w:firstLine="0" w:firstLineChars="0"/>
              <w:jc w:val="center"/>
              <w:rPr>
                <w:rFonts w:hint="eastAsia" w:eastAsia="宋体"/>
                <w:b/>
                <w:bCs w:val="0"/>
                <w:color w:val="auto"/>
                <w:sz w:val="21"/>
                <w:szCs w:val="21"/>
                <w:lang w:eastAsia="zh-CN"/>
              </w:rPr>
            </w:pPr>
            <w:r>
              <w:rPr>
                <w:b/>
                <w:bCs w:val="0"/>
                <w:color w:val="auto"/>
                <w:sz w:val="21"/>
                <w:szCs w:val="21"/>
              </w:rPr>
              <w:t>IV</w:t>
            </w:r>
            <w:r>
              <w:rPr>
                <w:rFonts w:hint="eastAsia"/>
                <w:b/>
                <w:bCs w:val="0"/>
                <w:color w:val="auto"/>
                <w:sz w:val="21"/>
                <w:szCs w:val="21"/>
                <w:lang w:eastAsia="zh-CN"/>
              </w:rPr>
              <w:t>（</w:t>
            </w:r>
            <w:r>
              <w:rPr>
                <w:b/>
                <w:bCs w:val="0"/>
                <w:color w:val="auto"/>
                <w:sz w:val="21"/>
                <w:szCs w:val="21"/>
              </w:rPr>
              <w:t>轻度危害</w:t>
            </w:r>
            <w:r>
              <w:rPr>
                <w:rFonts w:hint="eastAsia"/>
                <w:b/>
                <w:bCs w:val="0"/>
                <w:color w:val="auto"/>
                <w:sz w:val="21"/>
                <w:szCs w:val="21"/>
                <w:lang w:eastAsia="zh-CN"/>
              </w:rPr>
              <w:t>）</w:t>
            </w:r>
          </w:p>
        </w:tc>
      </w:tr>
      <w:tr w14:paraId="7B6BE2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274" w:type="pct"/>
            <w:vMerge w:val="restart"/>
            <w:tcBorders>
              <w:tl2br w:val="nil"/>
              <w:tr2bl w:val="nil"/>
            </w:tcBorders>
            <w:noWrap w:val="0"/>
            <w:vAlign w:val="center"/>
          </w:tcPr>
          <w:p w14:paraId="5939AB26">
            <w:pPr>
              <w:pStyle w:val="426"/>
              <w:pageBreakBefore w:val="0"/>
              <w:wordWrap/>
              <w:bidi w:val="0"/>
              <w:adjustRightInd/>
              <w:snapToGrid/>
              <w:spacing w:line="240" w:lineRule="auto"/>
              <w:ind w:firstLine="0" w:firstLineChars="0"/>
              <w:jc w:val="center"/>
              <w:rPr>
                <w:color w:val="auto"/>
                <w:sz w:val="21"/>
                <w:szCs w:val="21"/>
              </w:rPr>
            </w:pPr>
            <w:r>
              <w:rPr>
                <w:color w:val="auto"/>
                <w:sz w:val="21"/>
                <w:szCs w:val="21"/>
              </w:rPr>
              <w:t>危害</w:t>
            </w:r>
          </w:p>
          <w:p w14:paraId="77298775">
            <w:pPr>
              <w:pStyle w:val="426"/>
              <w:pageBreakBefore w:val="0"/>
              <w:wordWrap/>
              <w:bidi w:val="0"/>
              <w:adjustRightInd/>
              <w:snapToGrid/>
              <w:spacing w:line="240" w:lineRule="auto"/>
              <w:ind w:firstLine="0" w:firstLineChars="0"/>
              <w:jc w:val="center"/>
              <w:rPr>
                <w:color w:val="auto"/>
                <w:sz w:val="21"/>
                <w:szCs w:val="21"/>
              </w:rPr>
            </w:pPr>
            <w:r>
              <w:rPr>
                <w:color w:val="auto"/>
                <w:sz w:val="21"/>
                <w:szCs w:val="21"/>
              </w:rPr>
              <w:t>中毒</w:t>
            </w:r>
          </w:p>
        </w:tc>
        <w:tc>
          <w:tcPr>
            <w:tcW w:w="1200" w:type="pct"/>
            <w:tcBorders>
              <w:tl2br w:val="nil"/>
              <w:tr2bl w:val="nil"/>
            </w:tcBorders>
            <w:noWrap w:val="0"/>
            <w:vAlign w:val="center"/>
          </w:tcPr>
          <w:p w14:paraId="6B4D73B9">
            <w:pPr>
              <w:pStyle w:val="426"/>
              <w:pageBreakBefore w:val="0"/>
              <w:wordWrap/>
              <w:bidi w:val="0"/>
              <w:adjustRightInd/>
              <w:snapToGrid/>
              <w:spacing w:line="240" w:lineRule="auto"/>
              <w:ind w:firstLine="0" w:firstLineChars="0"/>
              <w:jc w:val="center"/>
              <w:rPr>
                <w:rFonts w:hint="eastAsia" w:eastAsia="宋体"/>
                <w:color w:val="auto"/>
                <w:sz w:val="21"/>
                <w:szCs w:val="21"/>
                <w:lang w:eastAsia="zh-CN"/>
              </w:rPr>
            </w:pPr>
            <w:r>
              <w:rPr>
                <w:color w:val="auto"/>
                <w:sz w:val="21"/>
                <w:szCs w:val="21"/>
              </w:rPr>
              <w:t>吸入LC</w:t>
            </w:r>
            <w:r>
              <w:rPr>
                <w:color w:val="auto"/>
                <w:sz w:val="21"/>
                <w:szCs w:val="21"/>
                <w:vertAlign w:val="subscript"/>
              </w:rPr>
              <w:t>50</w:t>
            </w:r>
            <w:r>
              <w:rPr>
                <w:rFonts w:hint="eastAsia"/>
                <w:color w:val="auto"/>
                <w:sz w:val="21"/>
                <w:szCs w:val="21"/>
                <w:lang w:eastAsia="zh-CN"/>
              </w:rPr>
              <w:t>（</w:t>
            </w:r>
            <w:r>
              <w:rPr>
                <w:color w:val="auto"/>
                <w:sz w:val="21"/>
                <w:szCs w:val="21"/>
              </w:rPr>
              <w:t>mg/</w:t>
            </w:r>
            <w:r>
              <w:rPr>
                <w:rFonts w:hint="eastAsia"/>
                <w:color w:val="auto"/>
                <w:sz w:val="21"/>
                <w:szCs w:val="21"/>
                <w:lang w:eastAsia="zh-CN"/>
              </w:rPr>
              <w:t>m³）</w:t>
            </w:r>
          </w:p>
        </w:tc>
        <w:tc>
          <w:tcPr>
            <w:tcW w:w="858" w:type="pct"/>
            <w:tcBorders>
              <w:tl2br w:val="nil"/>
              <w:tr2bl w:val="nil"/>
            </w:tcBorders>
            <w:noWrap w:val="0"/>
            <w:vAlign w:val="center"/>
          </w:tcPr>
          <w:p w14:paraId="70135627">
            <w:pPr>
              <w:pStyle w:val="426"/>
              <w:pageBreakBefore w:val="0"/>
              <w:wordWrap/>
              <w:bidi w:val="0"/>
              <w:adjustRightInd/>
              <w:snapToGrid/>
              <w:spacing w:line="240" w:lineRule="auto"/>
              <w:ind w:firstLine="0" w:firstLineChars="0"/>
              <w:jc w:val="center"/>
              <w:rPr>
                <w:color w:val="auto"/>
                <w:sz w:val="21"/>
                <w:szCs w:val="21"/>
              </w:rPr>
            </w:pPr>
            <w:r>
              <w:rPr>
                <w:color w:val="auto"/>
                <w:sz w:val="21"/>
                <w:szCs w:val="21"/>
              </w:rPr>
              <w:t>&lt;200</w:t>
            </w:r>
          </w:p>
        </w:tc>
        <w:tc>
          <w:tcPr>
            <w:tcW w:w="899" w:type="pct"/>
            <w:tcBorders>
              <w:tl2br w:val="nil"/>
              <w:tr2bl w:val="nil"/>
            </w:tcBorders>
            <w:noWrap w:val="0"/>
            <w:vAlign w:val="center"/>
          </w:tcPr>
          <w:p w14:paraId="421E936C">
            <w:pPr>
              <w:pStyle w:val="426"/>
              <w:pageBreakBefore w:val="0"/>
              <w:wordWrap/>
              <w:bidi w:val="0"/>
              <w:adjustRightInd/>
              <w:snapToGrid/>
              <w:spacing w:line="240" w:lineRule="auto"/>
              <w:ind w:firstLine="0" w:firstLineChars="0"/>
              <w:jc w:val="center"/>
              <w:rPr>
                <w:color w:val="auto"/>
                <w:sz w:val="21"/>
                <w:szCs w:val="21"/>
              </w:rPr>
            </w:pPr>
            <w:r>
              <w:rPr>
                <w:color w:val="auto"/>
                <w:sz w:val="21"/>
                <w:szCs w:val="21"/>
              </w:rPr>
              <w:t>200—</w:t>
            </w:r>
          </w:p>
        </w:tc>
        <w:tc>
          <w:tcPr>
            <w:tcW w:w="879" w:type="pct"/>
            <w:tcBorders>
              <w:tl2br w:val="nil"/>
              <w:tr2bl w:val="nil"/>
            </w:tcBorders>
            <w:noWrap w:val="0"/>
            <w:vAlign w:val="center"/>
          </w:tcPr>
          <w:p w14:paraId="35D3E804">
            <w:pPr>
              <w:pStyle w:val="426"/>
              <w:pageBreakBefore w:val="0"/>
              <w:wordWrap/>
              <w:bidi w:val="0"/>
              <w:adjustRightInd/>
              <w:snapToGrid/>
              <w:spacing w:line="240" w:lineRule="auto"/>
              <w:ind w:firstLine="0" w:firstLineChars="0"/>
              <w:jc w:val="center"/>
              <w:rPr>
                <w:color w:val="auto"/>
                <w:sz w:val="21"/>
                <w:szCs w:val="21"/>
              </w:rPr>
            </w:pPr>
            <w:r>
              <w:rPr>
                <w:color w:val="auto"/>
                <w:sz w:val="21"/>
                <w:szCs w:val="21"/>
              </w:rPr>
              <w:t>2000—</w:t>
            </w:r>
          </w:p>
        </w:tc>
        <w:tc>
          <w:tcPr>
            <w:tcW w:w="887" w:type="pct"/>
            <w:tcBorders>
              <w:tl2br w:val="nil"/>
              <w:tr2bl w:val="nil"/>
            </w:tcBorders>
            <w:noWrap w:val="0"/>
            <w:vAlign w:val="center"/>
          </w:tcPr>
          <w:p w14:paraId="31FFA2D4">
            <w:pPr>
              <w:pStyle w:val="426"/>
              <w:pageBreakBefore w:val="0"/>
              <w:wordWrap/>
              <w:bidi w:val="0"/>
              <w:adjustRightInd/>
              <w:snapToGrid/>
              <w:spacing w:line="240" w:lineRule="auto"/>
              <w:ind w:firstLine="0" w:firstLineChars="0"/>
              <w:jc w:val="center"/>
              <w:rPr>
                <w:color w:val="auto"/>
                <w:sz w:val="21"/>
                <w:szCs w:val="21"/>
              </w:rPr>
            </w:pPr>
            <w:r>
              <w:rPr>
                <w:color w:val="auto"/>
                <w:sz w:val="21"/>
                <w:szCs w:val="21"/>
              </w:rPr>
              <w:t>&gt;20000</w:t>
            </w:r>
          </w:p>
        </w:tc>
      </w:tr>
      <w:tr w14:paraId="232349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274" w:type="pct"/>
            <w:vMerge w:val="continue"/>
            <w:tcBorders>
              <w:tl2br w:val="nil"/>
              <w:tr2bl w:val="nil"/>
            </w:tcBorders>
            <w:noWrap w:val="0"/>
            <w:vAlign w:val="center"/>
          </w:tcPr>
          <w:p w14:paraId="00819480">
            <w:pPr>
              <w:pStyle w:val="426"/>
              <w:pageBreakBefore w:val="0"/>
              <w:wordWrap/>
              <w:bidi w:val="0"/>
              <w:adjustRightInd/>
              <w:snapToGrid/>
              <w:spacing w:line="240" w:lineRule="auto"/>
              <w:ind w:firstLine="0" w:firstLineChars="0"/>
              <w:jc w:val="center"/>
              <w:rPr>
                <w:color w:val="auto"/>
                <w:sz w:val="21"/>
                <w:szCs w:val="21"/>
              </w:rPr>
            </w:pPr>
          </w:p>
        </w:tc>
        <w:tc>
          <w:tcPr>
            <w:tcW w:w="1200" w:type="pct"/>
            <w:tcBorders>
              <w:tl2br w:val="nil"/>
              <w:tr2bl w:val="nil"/>
            </w:tcBorders>
            <w:noWrap w:val="0"/>
            <w:vAlign w:val="center"/>
          </w:tcPr>
          <w:p w14:paraId="04AEBBED">
            <w:pPr>
              <w:pStyle w:val="426"/>
              <w:pageBreakBefore w:val="0"/>
              <w:wordWrap/>
              <w:bidi w:val="0"/>
              <w:adjustRightInd/>
              <w:snapToGrid/>
              <w:spacing w:line="240" w:lineRule="auto"/>
              <w:ind w:firstLine="0" w:firstLineChars="0"/>
              <w:jc w:val="center"/>
              <w:rPr>
                <w:rFonts w:hint="eastAsia" w:eastAsia="宋体"/>
                <w:color w:val="auto"/>
                <w:sz w:val="21"/>
                <w:szCs w:val="21"/>
                <w:lang w:eastAsia="zh-CN"/>
              </w:rPr>
            </w:pPr>
            <w:r>
              <w:rPr>
                <w:color w:val="auto"/>
                <w:sz w:val="21"/>
                <w:szCs w:val="21"/>
              </w:rPr>
              <w:t>经皮LD</w:t>
            </w:r>
            <w:r>
              <w:rPr>
                <w:color w:val="auto"/>
                <w:sz w:val="21"/>
                <w:szCs w:val="21"/>
                <w:vertAlign w:val="subscript"/>
              </w:rPr>
              <w:t>50</w:t>
            </w:r>
            <w:r>
              <w:rPr>
                <w:rFonts w:hint="eastAsia"/>
                <w:color w:val="auto"/>
                <w:sz w:val="21"/>
                <w:szCs w:val="21"/>
                <w:lang w:eastAsia="zh-CN"/>
              </w:rPr>
              <w:t>（</w:t>
            </w:r>
            <w:r>
              <w:rPr>
                <w:color w:val="auto"/>
                <w:sz w:val="21"/>
                <w:szCs w:val="21"/>
              </w:rPr>
              <w:t>mg/kg</w:t>
            </w:r>
            <w:r>
              <w:rPr>
                <w:rFonts w:hint="eastAsia"/>
                <w:color w:val="auto"/>
                <w:sz w:val="21"/>
                <w:szCs w:val="21"/>
                <w:lang w:eastAsia="zh-CN"/>
              </w:rPr>
              <w:t>）</w:t>
            </w:r>
          </w:p>
        </w:tc>
        <w:tc>
          <w:tcPr>
            <w:tcW w:w="858" w:type="pct"/>
            <w:tcBorders>
              <w:tl2br w:val="nil"/>
              <w:tr2bl w:val="nil"/>
            </w:tcBorders>
            <w:noWrap w:val="0"/>
            <w:vAlign w:val="center"/>
          </w:tcPr>
          <w:p w14:paraId="6D15D46A">
            <w:pPr>
              <w:pStyle w:val="426"/>
              <w:pageBreakBefore w:val="0"/>
              <w:wordWrap/>
              <w:bidi w:val="0"/>
              <w:adjustRightInd/>
              <w:snapToGrid/>
              <w:spacing w:line="240" w:lineRule="auto"/>
              <w:ind w:firstLine="0" w:firstLineChars="0"/>
              <w:jc w:val="center"/>
              <w:rPr>
                <w:color w:val="auto"/>
                <w:sz w:val="21"/>
                <w:szCs w:val="21"/>
              </w:rPr>
            </w:pPr>
            <w:r>
              <w:rPr>
                <w:color w:val="auto"/>
                <w:sz w:val="21"/>
                <w:szCs w:val="21"/>
              </w:rPr>
              <w:t>&lt;100</w:t>
            </w:r>
          </w:p>
        </w:tc>
        <w:tc>
          <w:tcPr>
            <w:tcW w:w="899" w:type="pct"/>
            <w:tcBorders>
              <w:tl2br w:val="nil"/>
              <w:tr2bl w:val="nil"/>
            </w:tcBorders>
            <w:noWrap w:val="0"/>
            <w:vAlign w:val="center"/>
          </w:tcPr>
          <w:p w14:paraId="01135275">
            <w:pPr>
              <w:pStyle w:val="426"/>
              <w:pageBreakBefore w:val="0"/>
              <w:wordWrap/>
              <w:bidi w:val="0"/>
              <w:adjustRightInd/>
              <w:snapToGrid/>
              <w:spacing w:line="240" w:lineRule="auto"/>
              <w:ind w:firstLine="0" w:firstLineChars="0"/>
              <w:jc w:val="center"/>
              <w:rPr>
                <w:color w:val="auto"/>
                <w:sz w:val="21"/>
                <w:szCs w:val="21"/>
              </w:rPr>
            </w:pPr>
            <w:r>
              <w:rPr>
                <w:color w:val="auto"/>
                <w:sz w:val="21"/>
                <w:szCs w:val="21"/>
              </w:rPr>
              <w:t>100—</w:t>
            </w:r>
          </w:p>
        </w:tc>
        <w:tc>
          <w:tcPr>
            <w:tcW w:w="879" w:type="pct"/>
            <w:tcBorders>
              <w:tl2br w:val="nil"/>
              <w:tr2bl w:val="nil"/>
            </w:tcBorders>
            <w:noWrap w:val="0"/>
            <w:vAlign w:val="center"/>
          </w:tcPr>
          <w:p w14:paraId="4D75B4CC">
            <w:pPr>
              <w:pStyle w:val="426"/>
              <w:pageBreakBefore w:val="0"/>
              <w:wordWrap/>
              <w:bidi w:val="0"/>
              <w:adjustRightInd/>
              <w:snapToGrid/>
              <w:spacing w:line="240" w:lineRule="auto"/>
              <w:ind w:firstLine="0" w:firstLineChars="0"/>
              <w:jc w:val="center"/>
              <w:rPr>
                <w:color w:val="auto"/>
                <w:sz w:val="21"/>
                <w:szCs w:val="21"/>
              </w:rPr>
            </w:pPr>
            <w:r>
              <w:rPr>
                <w:color w:val="auto"/>
                <w:sz w:val="21"/>
                <w:szCs w:val="21"/>
              </w:rPr>
              <w:t>500—</w:t>
            </w:r>
          </w:p>
        </w:tc>
        <w:tc>
          <w:tcPr>
            <w:tcW w:w="887" w:type="pct"/>
            <w:tcBorders>
              <w:tl2br w:val="nil"/>
              <w:tr2bl w:val="nil"/>
            </w:tcBorders>
            <w:noWrap w:val="0"/>
            <w:vAlign w:val="center"/>
          </w:tcPr>
          <w:p w14:paraId="735FBCB8">
            <w:pPr>
              <w:pStyle w:val="426"/>
              <w:pageBreakBefore w:val="0"/>
              <w:wordWrap/>
              <w:bidi w:val="0"/>
              <w:adjustRightInd/>
              <w:snapToGrid/>
              <w:spacing w:line="240" w:lineRule="auto"/>
              <w:ind w:firstLine="0" w:firstLineChars="0"/>
              <w:jc w:val="center"/>
              <w:rPr>
                <w:color w:val="auto"/>
                <w:sz w:val="21"/>
                <w:szCs w:val="21"/>
              </w:rPr>
            </w:pPr>
            <w:r>
              <w:rPr>
                <w:color w:val="auto"/>
                <w:sz w:val="21"/>
                <w:szCs w:val="21"/>
              </w:rPr>
              <w:t>&gt;2500</w:t>
            </w:r>
          </w:p>
        </w:tc>
      </w:tr>
      <w:tr w14:paraId="40A1F4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274" w:type="pct"/>
            <w:vMerge w:val="continue"/>
            <w:tcBorders>
              <w:tl2br w:val="nil"/>
              <w:tr2bl w:val="nil"/>
            </w:tcBorders>
            <w:noWrap w:val="0"/>
            <w:vAlign w:val="center"/>
          </w:tcPr>
          <w:p w14:paraId="2FCD8D75">
            <w:pPr>
              <w:pStyle w:val="426"/>
              <w:pageBreakBefore w:val="0"/>
              <w:wordWrap/>
              <w:bidi w:val="0"/>
              <w:adjustRightInd/>
              <w:snapToGrid/>
              <w:spacing w:line="240" w:lineRule="auto"/>
              <w:ind w:firstLine="0" w:firstLineChars="0"/>
              <w:jc w:val="center"/>
              <w:rPr>
                <w:color w:val="auto"/>
                <w:sz w:val="21"/>
                <w:szCs w:val="21"/>
              </w:rPr>
            </w:pPr>
          </w:p>
        </w:tc>
        <w:tc>
          <w:tcPr>
            <w:tcW w:w="1200" w:type="pct"/>
            <w:tcBorders>
              <w:tl2br w:val="nil"/>
              <w:tr2bl w:val="nil"/>
            </w:tcBorders>
            <w:noWrap w:val="0"/>
            <w:vAlign w:val="center"/>
          </w:tcPr>
          <w:p w14:paraId="24FC2187">
            <w:pPr>
              <w:pStyle w:val="426"/>
              <w:pageBreakBefore w:val="0"/>
              <w:wordWrap/>
              <w:bidi w:val="0"/>
              <w:adjustRightInd/>
              <w:snapToGrid/>
              <w:spacing w:line="240" w:lineRule="auto"/>
              <w:ind w:firstLine="0" w:firstLineChars="0"/>
              <w:jc w:val="center"/>
              <w:rPr>
                <w:rFonts w:hint="eastAsia" w:eastAsia="宋体"/>
                <w:color w:val="auto"/>
                <w:sz w:val="21"/>
                <w:szCs w:val="21"/>
                <w:lang w:eastAsia="zh-CN"/>
              </w:rPr>
            </w:pPr>
            <w:r>
              <w:rPr>
                <w:color w:val="auto"/>
                <w:sz w:val="21"/>
                <w:szCs w:val="21"/>
              </w:rPr>
              <w:t>经口LD</w:t>
            </w:r>
            <w:r>
              <w:rPr>
                <w:color w:val="auto"/>
                <w:sz w:val="21"/>
                <w:szCs w:val="21"/>
                <w:vertAlign w:val="subscript"/>
              </w:rPr>
              <w:t>50</w:t>
            </w:r>
            <w:r>
              <w:rPr>
                <w:rFonts w:hint="eastAsia"/>
                <w:color w:val="auto"/>
                <w:sz w:val="21"/>
                <w:szCs w:val="21"/>
                <w:lang w:eastAsia="zh-CN"/>
              </w:rPr>
              <w:t>（</w:t>
            </w:r>
            <w:r>
              <w:rPr>
                <w:color w:val="auto"/>
                <w:sz w:val="21"/>
                <w:szCs w:val="21"/>
              </w:rPr>
              <w:t>mg/kg</w:t>
            </w:r>
            <w:r>
              <w:rPr>
                <w:rFonts w:hint="eastAsia"/>
                <w:color w:val="auto"/>
                <w:sz w:val="21"/>
                <w:szCs w:val="21"/>
                <w:lang w:eastAsia="zh-CN"/>
              </w:rPr>
              <w:t>）</w:t>
            </w:r>
          </w:p>
        </w:tc>
        <w:tc>
          <w:tcPr>
            <w:tcW w:w="858" w:type="pct"/>
            <w:tcBorders>
              <w:tl2br w:val="nil"/>
              <w:tr2bl w:val="nil"/>
            </w:tcBorders>
            <w:noWrap w:val="0"/>
            <w:vAlign w:val="center"/>
          </w:tcPr>
          <w:p w14:paraId="37E59D32">
            <w:pPr>
              <w:pStyle w:val="426"/>
              <w:pageBreakBefore w:val="0"/>
              <w:wordWrap/>
              <w:bidi w:val="0"/>
              <w:adjustRightInd/>
              <w:snapToGrid/>
              <w:spacing w:line="240" w:lineRule="auto"/>
              <w:ind w:firstLine="0" w:firstLineChars="0"/>
              <w:jc w:val="center"/>
              <w:rPr>
                <w:color w:val="auto"/>
                <w:sz w:val="21"/>
                <w:szCs w:val="21"/>
              </w:rPr>
            </w:pPr>
            <w:r>
              <w:rPr>
                <w:color w:val="auto"/>
                <w:sz w:val="21"/>
                <w:szCs w:val="21"/>
              </w:rPr>
              <w:t>&lt;25</w:t>
            </w:r>
          </w:p>
        </w:tc>
        <w:tc>
          <w:tcPr>
            <w:tcW w:w="899" w:type="pct"/>
            <w:tcBorders>
              <w:tl2br w:val="nil"/>
              <w:tr2bl w:val="nil"/>
            </w:tcBorders>
            <w:noWrap w:val="0"/>
            <w:vAlign w:val="center"/>
          </w:tcPr>
          <w:p w14:paraId="4DC9A59E">
            <w:pPr>
              <w:pStyle w:val="426"/>
              <w:pageBreakBefore w:val="0"/>
              <w:wordWrap/>
              <w:bidi w:val="0"/>
              <w:adjustRightInd/>
              <w:snapToGrid/>
              <w:spacing w:line="240" w:lineRule="auto"/>
              <w:ind w:firstLine="0" w:firstLineChars="0"/>
              <w:jc w:val="center"/>
              <w:rPr>
                <w:color w:val="auto"/>
                <w:sz w:val="21"/>
                <w:szCs w:val="21"/>
              </w:rPr>
            </w:pPr>
            <w:r>
              <w:rPr>
                <w:color w:val="auto"/>
                <w:sz w:val="21"/>
                <w:szCs w:val="21"/>
              </w:rPr>
              <w:t>25—</w:t>
            </w:r>
          </w:p>
        </w:tc>
        <w:tc>
          <w:tcPr>
            <w:tcW w:w="879" w:type="pct"/>
            <w:tcBorders>
              <w:tl2br w:val="nil"/>
              <w:tr2bl w:val="nil"/>
            </w:tcBorders>
            <w:noWrap w:val="0"/>
            <w:vAlign w:val="center"/>
          </w:tcPr>
          <w:p w14:paraId="29DD4C50">
            <w:pPr>
              <w:pStyle w:val="426"/>
              <w:pageBreakBefore w:val="0"/>
              <w:wordWrap/>
              <w:bidi w:val="0"/>
              <w:adjustRightInd/>
              <w:snapToGrid/>
              <w:spacing w:line="240" w:lineRule="auto"/>
              <w:ind w:firstLine="0" w:firstLineChars="0"/>
              <w:jc w:val="center"/>
              <w:rPr>
                <w:color w:val="auto"/>
                <w:sz w:val="21"/>
                <w:szCs w:val="21"/>
              </w:rPr>
            </w:pPr>
            <w:r>
              <w:rPr>
                <w:color w:val="auto"/>
                <w:sz w:val="21"/>
                <w:szCs w:val="21"/>
              </w:rPr>
              <w:t>500—</w:t>
            </w:r>
          </w:p>
        </w:tc>
        <w:tc>
          <w:tcPr>
            <w:tcW w:w="887" w:type="pct"/>
            <w:tcBorders>
              <w:tl2br w:val="nil"/>
              <w:tr2bl w:val="nil"/>
            </w:tcBorders>
            <w:noWrap w:val="0"/>
            <w:vAlign w:val="center"/>
          </w:tcPr>
          <w:p w14:paraId="29A2F407">
            <w:pPr>
              <w:pStyle w:val="426"/>
              <w:pageBreakBefore w:val="0"/>
              <w:wordWrap/>
              <w:bidi w:val="0"/>
              <w:adjustRightInd/>
              <w:snapToGrid/>
              <w:spacing w:line="240" w:lineRule="auto"/>
              <w:ind w:firstLine="0" w:firstLineChars="0"/>
              <w:jc w:val="center"/>
              <w:rPr>
                <w:color w:val="auto"/>
                <w:sz w:val="21"/>
                <w:szCs w:val="21"/>
              </w:rPr>
            </w:pPr>
            <w:r>
              <w:rPr>
                <w:color w:val="auto"/>
                <w:sz w:val="21"/>
                <w:szCs w:val="21"/>
              </w:rPr>
              <w:t>&gt;5000</w:t>
            </w:r>
          </w:p>
        </w:tc>
      </w:tr>
      <w:tr w14:paraId="18FD32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1475" w:type="pct"/>
            <w:gridSpan w:val="2"/>
            <w:tcBorders>
              <w:tl2br w:val="nil"/>
              <w:tr2bl w:val="nil"/>
            </w:tcBorders>
            <w:noWrap w:val="0"/>
            <w:vAlign w:val="center"/>
          </w:tcPr>
          <w:p w14:paraId="17E67F15">
            <w:pPr>
              <w:pStyle w:val="426"/>
              <w:pageBreakBefore w:val="0"/>
              <w:wordWrap/>
              <w:bidi w:val="0"/>
              <w:adjustRightInd/>
              <w:snapToGrid/>
              <w:spacing w:line="240" w:lineRule="auto"/>
              <w:ind w:firstLine="0" w:firstLineChars="0"/>
              <w:jc w:val="center"/>
              <w:rPr>
                <w:color w:val="auto"/>
                <w:sz w:val="21"/>
                <w:szCs w:val="21"/>
              </w:rPr>
            </w:pPr>
            <w:r>
              <w:rPr>
                <w:color w:val="auto"/>
                <w:sz w:val="21"/>
                <w:szCs w:val="21"/>
              </w:rPr>
              <w:t>致癌性</w:t>
            </w:r>
          </w:p>
        </w:tc>
        <w:tc>
          <w:tcPr>
            <w:tcW w:w="858" w:type="pct"/>
            <w:tcBorders>
              <w:tl2br w:val="nil"/>
              <w:tr2bl w:val="nil"/>
            </w:tcBorders>
            <w:noWrap w:val="0"/>
            <w:vAlign w:val="center"/>
          </w:tcPr>
          <w:p w14:paraId="6D66117B">
            <w:pPr>
              <w:pStyle w:val="426"/>
              <w:pageBreakBefore w:val="0"/>
              <w:wordWrap/>
              <w:bidi w:val="0"/>
              <w:adjustRightInd/>
              <w:snapToGrid/>
              <w:spacing w:line="240" w:lineRule="auto"/>
              <w:ind w:firstLine="0" w:firstLineChars="0"/>
              <w:jc w:val="center"/>
              <w:rPr>
                <w:color w:val="auto"/>
                <w:sz w:val="21"/>
                <w:szCs w:val="21"/>
              </w:rPr>
            </w:pPr>
            <w:r>
              <w:rPr>
                <w:color w:val="auto"/>
                <w:sz w:val="21"/>
                <w:szCs w:val="21"/>
              </w:rPr>
              <w:t>人体致癌物</w:t>
            </w:r>
          </w:p>
        </w:tc>
        <w:tc>
          <w:tcPr>
            <w:tcW w:w="899" w:type="pct"/>
            <w:tcBorders>
              <w:tl2br w:val="nil"/>
              <w:tr2bl w:val="nil"/>
            </w:tcBorders>
            <w:noWrap w:val="0"/>
            <w:vAlign w:val="center"/>
          </w:tcPr>
          <w:p w14:paraId="50E34128">
            <w:pPr>
              <w:pStyle w:val="426"/>
              <w:pageBreakBefore w:val="0"/>
              <w:wordWrap/>
              <w:bidi w:val="0"/>
              <w:adjustRightInd/>
              <w:snapToGrid/>
              <w:spacing w:line="240" w:lineRule="auto"/>
              <w:ind w:firstLine="0" w:firstLineChars="0"/>
              <w:jc w:val="center"/>
              <w:rPr>
                <w:color w:val="auto"/>
                <w:sz w:val="21"/>
                <w:szCs w:val="21"/>
              </w:rPr>
            </w:pPr>
            <w:r>
              <w:rPr>
                <w:color w:val="auto"/>
                <w:sz w:val="21"/>
                <w:szCs w:val="21"/>
              </w:rPr>
              <w:t>可疑人体致癌</w:t>
            </w:r>
          </w:p>
        </w:tc>
        <w:tc>
          <w:tcPr>
            <w:tcW w:w="879" w:type="pct"/>
            <w:tcBorders>
              <w:tl2br w:val="nil"/>
              <w:tr2bl w:val="nil"/>
            </w:tcBorders>
            <w:noWrap w:val="0"/>
            <w:vAlign w:val="center"/>
          </w:tcPr>
          <w:p w14:paraId="6249D5BD">
            <w:pPr>
              <w:pStyle w:val="426"/>
              <w:pageBreakBefore w:val="0"/>
              <w:wordWrap/>
              <w:bidi w:val="0"/>
              <w:adjustRightInd/>
              <w:snapToGrid/>
              <w:spacing w:line="240" w:lineRule="auto"/>
              <w:ind w:firstLine="0" w:firstLineChars="0"/>
              <w:jc w:val="center"/>
              <w:rPr>
                <w:color w:val="auto"/>
                <w:sz w:val="21"/>
                <w:szCs w:val="21"/>
              </w:rPr>
            </w:pPr>
            <w:r>
              <w:rPr>
                <w:color w:val="auto"/>
                <w:sz w:val="21"/>
                <w:szCs w:val="21"/>
              </w:rPr>
              <w:t>实验动物致癌</w:t>
            </w:r>
          </w:p>
        </w:tc>
        <w:tc>
          <w:tcPr>
            <w:tcW w:w="887" w:type="pct"/>
            <w:tcBorders>
              <w:tl2br w:val="nil"/>
              <w:tr2bl w:val="nil"/>
            </w:tcBorders>
            <w:noWrap w:val="0"/>
            <w:vAlign w:val="center"/>
          </w:tcPr>
          <w:p w14:paraId="4C921AF0">
            <w:pPr>
              <w:pStyle w:val="426"/>
              <w:pageBreakBefore w:val="0"/>
              <w:wordWrap/>
              <w:bidi w:val="0"/>
              <w:adjustRightInd/>
              <w:snapToGrid/>
              <w:spacing w:line="240" w:lineRule="auto"/>
              <w:ind w:firstLine="0" w:firstLineChars="0"/>
              <w:jc w:val="center"/>
              <w:rPr>
                <w:color w:val="auto"/>
                <w:sz w:val="21"/>
                <w:szCs w:val="21"/>
              </w:rPr>
            </w:pPr>
            <w:r>
              <w:rPr>
                <w:color w:val="auto"/>
                <w:sz w:val="21"/>
                <w:szCs w:val="21"/>
              </w:rPr>
              <w:t>无致癌性</w:t>
            </w:r>
          </w:p>
        </w:tc>
      </w:tr>
    </w:tbl>
    <w:p w14:paraId="5B1102AA">
      <w:pPr>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color w:val="auto"/>
        </w:rPr>
      </w:pPr>
      <w:r>
        <w:rPr>
          <w:color w:val="auto"/>
        </w:rPr>
        <w:t>根据工程分析及调查，项目涉及</w:t>
      </w:r>
      <w:r>
        <w:rPr>
          <w:rFonts w:hint="eastAsia"/>
          <w:color w:val="auto"/>
        </w:rPr>
        <w:t>的危险化学品为次氯酸钠，其理化性质和危险特性如下：</w:t>
      </w:r>
    </w:p>
    <w:p w14:paraId="605622E1">
      <w:pPr>
        <w:pStyle w:val="19"/>
        <w:numPr>
          <w:ilvl w:val="0"/>
          <w:numId w:val="32"/>
        </w:numPr>
        <w:bidi w:val="0"/>
        <w:ind w:left="0" w:leftChars="0" w:firstLine="0" w:firstLineChars="0"/>
        <w:rPr>
          <w:rFonts w:hint="eastAsia"/>
          <w:color w:val="auto"/>
        </w:rPr>
      </w:pPr>
      <w:r>
        <w:rPr>
          <w:rFonts w:hint="eastAsia"/>
          <w:color w:val="auto"/>
        </w:rPr>
        <w:t>次氯酸钠理化性质</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381"/>
        <w:gridCol w:w="2852"/>
        <w:gridCol w:w="1238"/>
        <w:gridCol w:w="3368"/>
      </w:tblGrid>
      <w:tr w14:paraId="4C01B6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28025D5A">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中文名称</w:t>
            </w:r>
          </w:p>
        </w:tc>
        <w:tc>
          <w:tcPr>
            <w:tcW w:w="4218" w:type="pct"/>
            <w:gridSpan w:val="3"/>
            <w:tcBorders>
              <w:tl2br w:val="nil"/>
              <w:tr2bl w:val="nil"/>
            </w:tcBorders>
            <w:noWrap w:val="0"/>
            <w:vAlign w:val="center"/>
          </w:tcPr>
          <w:p w14:paraId="397CF2A9">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次氯酸钠溶液</w:t>
            </w:r>
          </w:p>
        </w:tc>
      </w:tr>
      <w:tr w14:paraId="0253C6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1532BB1A">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别名</w:t>
            </w:r>
          </w:p>
        </w:tc>
        <w:tc>
          <w:tcPr>
            <w:tcW w:w="4218" w:type="pct"/>
            <w:gridSpan w:val="3"/>
            <w:tcBorders>
              <w:tl2br w:val="nil"/>
              <w:tr2bl w:val="nil"/>
            </w:tcBorders>
            <w:noWrap w:val="0"/>
            <w:vAlign w:val="center"/>
          </w:tcPr>
          <w:p w14:paraId="6FFBE49F">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w:t>
            </w:r>
          </w:p>
        </w:tc>
      </w:tr>
      <w:tr w14:paraId="3BC0D5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51810DF9">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分子式</w:t>
            </w:r>
          </w:p>
        </w:tc>
        <w:tc>
          <w:tcPr>
            <w:tcW w:w="1613" w:type="pct"/>
            <w:tcBorders>
              <w:tl2br w:val="nil"/>
              <w:tr2bl w:val="nil"/>
            </w:tcBorders>
            <w:noWrap w:val="0"/>
            <w:vAlign w:val="center"/>
          </w:tcPr>
          <w:p w14:paraId="37CFDCD2">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NaClO</w:t>
            </w:r>
          </w:p>
        </w:tc>
        <w:tc>
          <w:tcPr>
            <w:tcW w:w="700" w:type="pct"/>
            <w:tcBorders>
              <w:tl2br w:val="nil"/>
              <w:tr2bl w:val="nil"/>
            </w:tcBorders>
            <w:noWrap w:val="0"/>
            <w:vAlign w:val="center"/>
          </w:tcPr>
          <w:p w14:paraId="344BE1F4">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外观与性状</w:t>
            </w:r>
          </w:p>
        </w:tc>
        <w:tc>
          <w:tcPr>
            <w:tcW w:w="1904" w:type="pct"/>
            <w:tcBorders>
              <w:tl2br w:val="nil"/>
              <w:tr2bl w:val="nil"/>
            </w:tcBorders>
            <w:noWrap w:val="0"/>
            <w:vAlign w:val="center"/>
          </w:tcPr>
          <w:p w14:paraId="607D2340">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微黄色溶液，有似氯气的气味</w:t>
            </w:r>
          </w:p>
        </w:tc>
      </w:tr>
      <w:tr w14:paraId="478BB1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011A871F">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分子量</w:t>
            </w:r>
          </w:p>
        </w:tc>
        <w:tc>
          <w:tcPr>
            <w:tcW w:w="1613" w:type="pct"/>
            <w:tcBorders>
              <w:tl2br w:val="nil"/>
              <w:tr2bl w:val="nil"/>
            </w:tcBorders>
            <w:noWrap w:val="0"/>
            <w:vAlign w:val="center"/>
          </w:tcPr>
          <w:p w14:paraId="41ABB5A3">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74.44</w:t>
            </w:r>
          </w:p>
        </w:tc>
        <w:tc>
          <w:tcPr>
            <w:tcW w:w="700" w:type="pct"/>
            <w:tcBorders>
              <w:tl2br w:val="nil"/>
              <w:tr2bl w:val="nil"/>
            </w:tcBorders>
            <w:noWrap w:val="0"/>
            <w:vAlign w:val="center"/>
          </w:tcPr>
          <w:p w14:paraId="7C22EE7F">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蒸汽压</w:t>
            </w:r>
          </w:p>
        </w:tc>
        <w:tc>
          <w:tcPr>
            <w:tcW w:w="1904" w:type="pct"/>
            <w:tcBorders>
              <w:tl2br w:val="nil"/>
              <w:tr2bl w:val="nil"/>
            </w:tcBorders>
            <w:noWrap w:val="0"/>
            <w:vAlign w:val="center"/>
          </w:tcPr>
          <w:p w14:paraId="0ED83140">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w:t>
            </w:r>
          </w:p>
        </w:tc>
      </w:tr>
      <w:tr w14:paraId="7B7227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3A3A39B8">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熔点</w:t>
            </w:r>
          </w:p>
        </w:tc>
        <w:tc>
          <w:tcPr>
            <w:tcW w:w="1613" w:type="pct"/>
            <w:tcBorders>
              <w:tl2br w:val="nil"/>
              <w:tr2bl w:val="nil"/>
            </w:tcBorders>
            <w:noWrap w:val="0"/>
            <w:vAlign w:val="center"/>
          </w:tcPr>
          <w:p w14:paraId="63FBC920">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-6</w:t>
            </w:r>
          </w:p>
        </w:tc>
        <w:tc>
          <w:tcPr>
            <w:tcW w:w="700" w:type="pct"/>
            <w:tcBorders>
              <w:tl2br w:val="nil"/>
              <w:tr2bl w:val="nil"/>
            </w:tcBorders>
            <w:noWrap w:val="0"/>
            <w:vAlign w:val="center"/>
          </w:tcPr>
          <w:p w14:paraId="3753F0D7">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溶解性</w:t>
            </w:r>
          </w:p>
        </w:tc>
        <w:tc>
          <w:tcPr>
            <w:tcW w:w="1904" w:type="pct"/>
            <w:tcBorders>
              <w:tl2br w:val="nil"/>
              <w:tr2bl w:val="nil"/>
            </w:tcBorders>
            <w:noWrap w:val="0"/>
            <w:vAlign w:val="center"/>
          </w:tcPr>
          <w:p w14:paraId="7EE40475">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溶于水</w:t>
            </w:r>
          </w:p>
        </w:tc>
      </w:tr>
      <w:tr w14:paraId="1E3DBD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124BEE59">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密度</w:t>
            </w:r>
          </w:p>
        </w:tc>
        <w:tc>
          <w:tcPr>
            <w:tcW w:w="1613" w:type="pct"/>
            <w:tcBorders>
              <w:tl2br w:val="nil"/>
              <w:tr2bl w:val="nil"/>
            </w:tcBorders>
            <w:noWrap w:val="0"/>
            <w:vAlign w:val="center"/>
          </w:tcPr>
          <w:p w14:paraId="730E7652">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相对密度（水=1）1.</w:t>
            </w:r>
            <w:r>
              <w:rPr>
                <w:rFonts w:hint="eastAsia" w:cs="宋体"/>
                <w:color w:val="auto"/>
                <w:kern w:val="0"/>
                <w:sz w:val="21"/>
                <w:szCs w:val="21"/>
                <w:lang w:eastAsia="zh-CN"/>
              </w:rPr>
              <w:t>1</w:t>
            </w:r>
          </w:p>
        </w:tc>
        <w:tc>
          <w:tcPr>
            <w:tcW w:w="700" w:type="pct"/>
            <w:tcBorders>
              <w:tl2br w:val="nil"/>
              <w:tr2bl w:val="nil"/>
            </w:tcBorders>
            <w:noWrap w:val="0"/>
            <w:vAlign w:val="center"/>
          </w:tcPr>
          <w:p w14:paraId="3CC9FCC9">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 xml:space="preserve">稳定性  </w:t>
            </w:r>
          </w:p>
        </w:tc>
        <w:tc>
          <w:tcPr>
            <w:tcW w:w="1904" w:type="pct"/>
            <w:tcBorders>
              <w:tl2br w:val="nil"/>
              <w:tr2bl w:val="nil"/>
            </w:tcBorders>
            <w:noWrap w:val="0"/>
            <w:vAlign w:val="center"/>
          </w:tcPr>
          <w:p w14:paraId="04D529C3">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ascii="Arial" w:hAnsi="Arial" w:cs="Arial"/>
                <w:color w:val="auto"/>
                <w:sz w:val="21"/>
                <w:szCs w:val="21"/>
                <w:shd w:val="clear" w:color="auto" w:fill="FFFFFF"/>
              </w:rPr>
              <w:t>不稳定，见光分解</w:t>
            </w:r>
          </w:p>
        </w:tc>
      </w:tr>
      <w:tr w14:paraId="69338C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0D634E5D">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危险标记</w:t>
            </w:r>
          </w:p>
        </w:tc>
        <w:tc>
          <w:tcPr>
            <w:tcW w:w="1613" w:type="pct"/>
            <w:tcBorders>
              <w:tl2br w:val="nil"/>
              <w:tr2bl w:val="nil"/>
            </w:tcBorders>
            <w:noWrap w:val="0"/>
            <w:vAlign w:val="center"/>
          </w:tcPr>
          <w:p w14:paraId="68FCF3B1">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 xml:space="preserve">其他腐蚀品 </w:t>
            </w:r>
          </w:p>
        </w:tc>
        <w:tc>
          <w:tcPr>
            <w:tcW w:w="700" w:type="pct"/>
            <w:tcBorders>
              <w:tl2br w:val="nil"/>
              <w:tr2bl w:val="nil"/>
            </w:tcBorders>
            <w:noWrap w:val="0"/>
            <w:vAlign w:val="center"/>
          </w:tcPr>
          <w:p w14:paraId="042B2A0C">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主要用途</w:t>
            </w:r>
          </w:p>
        </w:tc>
        <w:tc>
          <w:tcPr>
            <w:tcW w:w="1904" w:type="pct"/>
            <w:tcBorders>
              <w:tl2br w:val="nil"/>
              <w:tr2bl w:val="nil"/>
            </w:tcBorders>
            <w:noWrap w:val="0"/>
            <w:vAlign w:val="center"/>
          </w:tcPr>
          <w:p w14:paraId="5BDC778B">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用于水的净化，以及作消毒剂、纸浆漂白等，医药工业中用制氯胺等</w:t>
            </w:r>
          </w:p>
        </w:tc>
      </w:tr>
      <w:tr w14:paraId="7965B1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34A8A96E">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侵入途径</w:t>
            </w:r>
          </w:p>
        </w:tc>
        <w:tc>
          <w:tcPr>
            <w:tcW w:w="1613" w:type="pct"/>
            <w:tcBorders>
              <w:tl2br w:val="nil"/>
              <w:tr2bl w:val="nil"/>
            </w:tcBorders>
            <w:noWrap w:val="0"/>
            <w:vAlign w:val="center"/>
          </w:tcPr>
          <w:p w14:paraId="1A027BAE">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ascii="Arial" w:hAnsi="Arial" w:cs="Arial"/>
                <w:color w:val="auto"/>
                <w:sz w:val="21"/>
                <w:szCs w:val="21"/>
                <w:shd w:val="clear" w:color="auto" w:fill="FFFFFF"/>
              </w:rPr>
              <w:t>吸入、食入、皮肤接触吸收</w:t>
            </w:r>
          </w:p>
        </w:tc>
        <w:tc>
          <w:tcPr>
            <w:tcW w:w="700" w:type="pct"/>
            <w:vMerge w:val="restart"/>
            <w:tcBorders>
              <w:tl2br w:val="nil"/>
              <w:tr2bl w:val="nil"/>
            </w:tcBorders>
            <w:noWrap w:val="0"/>
            <w:vAlign w:val="center"/>
          </w:tcPr>
          <w:p w14:paraId="77A473F1">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健康危害</w:t>
            </w:r>
          </w:p>
        </w:tc>
        <w:tc>
          <w:tcPr>
            <w:tcW w:w="1904" w:type="pct"/>
            <w:vMerge w:val="restart"/>
            <w:tcBorders>
              <w:tl2br w:val="nil"/>
              <w:tr2bl w:val="nil"/>
            </w:tcBorders>
            <w:noWrap w:val="0"/>
            <w:vAlign w:val="center"/>
          </w:tcPr>
          <w:p w14:paraId="42C5E32C">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olor w:val="auto"/>
                <w:sz w:val="21"/>
                <w:szCs w:val="21"/>
              </w:rPr>
              <w:t>经常用手接触本品的工人，手掌大量出汗，指甲变薄，毛发脱落。本品有致敏作用。本品放出的游离氯有可能引起中毒。</w:t>
            </w:r>
          </w:p>
        </w:tc>
      </w:tr>
      <w:tr w14:paraId="1E653A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3F021753">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急性毒性</w:t>
            </w:r>
          </w:p>
        </w:tc>
        <w:tc>
          <w:tcPr>
            <w:tcW w:w="1613" w:type="pct"/>
            <w:tcBorders>
              <w:tl2br w:val="nil"/>
              <w:tr2bl w:val="nil"/>
            </w:tcBorders>
            <w:noWrap w:val="0"/>
            <w:vAlign w:val="center"/>
          </w:tcPr>
          <w:p w14:paraId="61CED538">
            <w:pPr>
              <w:pageBreakBefore w:val="0"/>
              <w:wordWrap/>
              <w:autoSpaceDE w:val="0"/>
              <w:autoSpaceDN w:val="0"/>
              <w:bidi w:val="0"/>
              <w:adjustRightInd/>
              <w:snapToGrid/>
              <w:spacing w:line="240" w:lineRule="auto"/>
              <w:ind w:firstLine="0" w:firstLineChars="0"/>
              <w:jc w:val="center"/>
              <w:rPr>
                <w:rFonts w:hint="eastAsia" w:eastAsia="宋体" w:cs="宋体"/>
                <w:color w:val="auto"/>
                <w:kern w:val="0"/>
                <w:sz w:val="21"/>
                <w:szCs w:val="21"/>
                <w:lang w:eastAsia="zh-CN"/>
              </w:rPr>
            </w:pPr>
            <w:r>
              <w:rPr>
                <w:rFonts w:hint="eastAsia" w:cs="宋体"/>
                <w:color w:val="auto"/>
                <w:kern w:val="0"/>
                <w:sz w:val="21"/>
                <w:szCs w:val="21"/>
              </w:rPr>
              <w:t>LD</w:t>
            </w:r>
            <w:r>
              <w:rPr>
                <w:rFonts w:hint="eastAsia" w:cs="宋体"/>
                <w:color w:val="auto"/>
                <w:kern w:val="0"/>
                <w:sz w:val="21"/>
                <w:szCs w:val="21"/>
                <w:vertAlign w:val="subscript"/>
              </w:rPr>
              <w:t>50</w:t>
            </w:r>
            <w:r>
              <w:rPr>
                <w:rFonts w:hint="eastAsia" w:cs="宋体"/>
                <w:color w:val="auto"/>
                <w:kern w:val="0"/>
                <w:sz w:val="21"/>
                <w:szCs w:val="21"/>
              </w:rPr>
              <w:t>：8500mg/kg</w:t>
            </w:r>
            <w:r>
              <w:rPr>
                <w:rFonts w:hint="eastAsia" w:cs="宋体"/>
                <w:color w:val="auto"/>
                <w:kern w:val="0"/>
                <w:sz w:val="21"/>
                <w:szCs w:val="21"/>
                <w:lang w:eastAsia="zh-CN"/>
              </w:rPr>
              <w:t>（</w:t>
            </w:r>
            <w:r>
              <w:rPr>
                <w:rFonts w:hint="eastAsia" w:cs="宋体"/>
                <w:color w:val="auto"/>
                <w:kern w:val="0"/>
                <w:sz w:val="21"/>
                <w:szCs w:val="21"/>
              </w:rPr>
              <w:t>小鼠经口</w:t>
            </w:r>
            <w:r>
              <w:rPr>
                <w:rFonts w:hint="eastAsia" w:cs="宋体"/>
                <w:color w:val="auto"/>
                <w:kern w:val="0"/>
                <w:sz w:val="21"/>
                <w:szCs w:val="21"/>
                <w:lang w:eastAsia="zh-CN"/>
              </w:rPr>
              <w:t>）</w:t>
            </w:r>
          </w:p>
          <w:p w14:paraId="2D076252">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LC</w:t>
            </w:r>
            <w:r>
              <w:rPr>
                <w:rFonts w:hint="eastAsia" w:cs="宋体"/>
                <w:color w:val="auto"/>
                <w:kern w:val="0"/>
                <w:sz w:val="21"/>
                <w:szCs w:val="21"/>
                <w:vertAlign w:val="subscript"/>
              </w:rPr>
              <w:t>50</w:t>
            </w:r>
            <w:r>
              <w:rPr>
                <w:rFonts w:hint="eastAsia" w:cs="宋体"/>
                <w:color w:val="auto"/>
                <w:kern w:val="0"/>
                <w:sz w:val="21"/>
                <w:szCs w:val="21"/>
              </w:rPr>
              <w:t>：无资料</w:t>
            </w:r>
          </w:p>
        </w:tc>
        <w:tc>
          <w:tcPr>
            <w:tcW w:w="700" w:type="pct"/>
            <w:vMerge w:val="continue"/>
            <w:tcBorders>
              <w:tl2br w:val="nil"/>
              <w:tr2bl w:val="nil"/>
            </w:tcBorders>
            <w:noWrap w:val="0"/>
            <w:vAlign w:val="center"/>
          </w:tcPr>
          <w:p w14:paraId="5E23228D">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p>
        </w:tc>
        <w:tc>
          <w:tcPr>
            <w:tcW w:w="1904" w:type="pct"/>
            <w:vMerge w:val="continue"/>
            <w:tcBorders>
              <w:tl2br w:val="nil"/>
              <w:tr2bl w:val="nil"/>
            </w:tcBorders>
            <w:noWrap w:val="0"/>
            <w:vAlign w:val="center"/>
          </w:tcPr>
          <w:p w14:paraId="19751119">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p>
        </w:tc>
      </w:tr>
      <w:tr w14:paraId="4D60CB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56459D31">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危险特性</w:t>
            </w:r>
          </w:p>
        </w:tc>
        <w:tc>
          <w:tcPr>
            <w:tcW w:w="4218" w:type="pct"/>
            <w:gridSpan w:val="3"/>
            <w:tcBorders>
              <w:tl2br w:val="nil"/>
              <w:tr2bl w:val="nil"/>
            </w:tcBorders>
            <w:noWrap w:val="0"/>
            <w:vAlign w:val="center"/>
          </w:tcPr>
          <w:p w14:paraId="65345C0B">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受高热分解产生有毒的腐蚀性烟气，具有腐蚀性</w:t>
            </w:r>
          </w:p>
        </w:tc>
      </w:tr>
      <w:tr w14:paraId="42B76D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268DD142">
            <w:pPr>
              <w:pageBreakBefore w:val="0"/>
              <w:wordWrap/>
              <w:autoSpaceDE w:val="0"/>
              <w:autoSpaceDN w:val="0"/>
              <w:bidi w:val="0"/>
              <w:adjustRightInd/>
              <w:snapToGrid/>
              <w:spacing w:line="240" w:lineRule="auto"/>
              <w:ind w:firstLine="0" w:firstLineChars="0"/>
              <w:jc w:val="center"/>
              <w:rPr>
                <w:rFonts w:hint="eastAsia" w:cs="宋体"/>
                <w:color w:val="auto"/>
                <w:kern w:val="0"/>
                <w:sz w:val="21"/>
                <w:szCs w:val="21"/>
              </w:rPr>
            </w:pPr>
            <w:r>
              <w:rPr>
                <w:rFonts w:hint="eastAsia" w:cs="宋体"/>
                <w:color w:val="auto"/>
                <w:kern w:val="0"/>
                <w:sz w:val="21"/>
                <w:szCs w:val="21"/>
              </w:rPr>
              <w:t>急救</w:t>
            </w:r>
          </w:p>
        </w:tc>
        <w:tc>
          <w:tcPr>
            <w:tcW w:w="4218" w:type="pct"/>
            <w:gridSpan w:val="3"/>
            <w:tcBorders>
              <w:tl2br w:val="nil"/>
              <w:tr2bl w:val="nil"/>
            </w:tcBorders>
            <w:noWrap w:val="0"/>
            <w:vAlign w:val="center"/>
          </w:tcPr>
          <w:p w14:paraId="3DAF81F9">
            <w:pPr>
              <w:pageBreakBefore w:val="0"/>
              <w:wordWrap/>
              <w:autoSpaceDE w:val="0"/>
              <w:autoSpaceDN w:val="0"/>
              <w:bidi w:val="0"/>
              <w:adjustRightInd/>
              <w:snapToGrid/>
              <w:spacing w:line="240" w:lineRule="auto"/>
              <w:ind w:firstLine="0" w:firstLineChars="0"/>
              <w:jc w:val="left"/>
              <w:rPr>
                <w:rFonts w:hint="eastAsia" w:cs="宋体"/>
                <w:color w:val="auto"/>
                <w:kern w:val="0"/>
                <w:sz w:val="21"/>
                <w:szCs w:val="21"/>
              </w:rPr>
            </w:pPr>
            <w:r>
              <w:rPr>
                <w:rFonts w:hint="eastAsia" w:cs="宋体"/>
                <w:color w:val="auto"/>
                <w:kern w:val="0"/>
                <w:sz w:val="21"/>
                <w:szCs w:val="21"/>
              </w:rPr>
              <w:t>吸入：如果吸入，请将患者移到新鲜空气处。</w:t>
            </w:r>
          </w:p>
          <w:p w14:paraId="2FBDFAD7">
            <w:pPr>
              <w:pageBreakBefore w:val="0"/>
              <w:wordWrap/>
              <w:autoSpaceDE w:val="0"/>
              <w:autoSpaceDN w:val="0"/>
              <w:bidi w:val="0"/>
              <w:adjustRightInd/>
              <w:snapToGrid/>
              <w:spacing w:line="240" w:lineRule="auto"/>
              <w:ind w:firstLine="0" w:firstLineChars="0"/>
              <w:jc w:val="left"/>
              <w:rPr>
                <w:rFonts w:hint="eastAsia" w:cs="宋体"/>
                <w:color w:val="auto"/>
                <w:kern w:val="0"/>
                <w:sz w:val="21"/>
                <w:szCs w:val="21"/>
              </w:rPr>
            </w:pPr>
            <w:r>
              <w:rPr>
                <w:rFonts w:hint="eastAsia" w:cs="宋体"/>
                <w:color w:val="auto"/>
                <w:kern w:val="0"/>
                <w:sz w:val="21"/>
                <w:szCs w:val="21"/>
              </w:rPr>
              <w:t>皮肤接触：脱去污染的衣着，用肥皂水和清水彻底冲洗皮肤。如有不适感，就医。</w:t>
            </w:r>
          </w:p>
          <w:p w14:paraId="43C4C4D8">
            <w:pPr>
              <w:pageBreakBefore w:val="0"/>
              <w:wordWrap/>
              <w:autoSpaceDE w:val="0"/>
              <w:autoSpaceDN w:val="0"/>
              <w:bidi w:val="0"/>
              <w:adjustRightInd/>
              <w:snapToGrid/>
              <w:spacing w:line="240" w:lineRule="auto"/>
              <w:ind w:firstLine="0" w:firstLineChars="0"/>
              <w:jc w:val="left"/>
              <w:rPr>
                <w:rFonts w:hint="eastAsia" w:cs="宋体"/>
                <w:color w:val="auto"/>
                <w:kern w:val="0"/>
                <w:sz w:val="21"/>
                <w:szCs w:val="21"/>
              </w:rPr>
            </w:pPr>
            <w:r>
              <w:rPr>
                <w:rFonts w:hint="eastAsia" w:cs="宋体"/>
                <w:color w:val="auto"/>
                <w:kern w:val="0"/>
                <w:sz w:val="21"/>
                <w:szCs w:val="21"/>
                <w:lang w:eastAsia="zh-CN"/>
              </w:rPr>
              <w:t>眼睛</w:t>
            </w:r>
            <w:r>
              <w:rPr>
                <w:rFonts w:hint="eastAsia" w:cs="宋体"/>
                <w:color w:val="auto"/>
                <w:kern w:val="0"/>
                <w:sz w:val="21"/>
                <w:szCs w:val="21"/>
              </w:rPr>
              <w:t>接触：分开眼睑，用流动清水或生理盐水冲洗。立即就医。</w:t>
            </w:r>
          </w:p>
          <w:p w14:paraId="2E535551">
            <w:pPr>
              <w:pageBreakBefore w:val="0"/>
              <w:wordWrap/>
              <w:autoSpaceDE w:val="0"/>
              <w:autoSpaceDN w:val="0"/>
              <w:bidi w:val="0"/>
              <w:adjustRightInd/>
              <w:snapToGrid/>
              <w:spacing w:line="240" w:lineRule="auto"/>
              <w:ind w:firstLine="0" w:firstLineChars="0"/>
              <w:jc w:val="left"/>
              <w:rPr>
                <w:rFonts w:hint="eastAsia" w:cs="宋体"/>
                <w:color w:val="auto"/>
                <w:kern w:val="0"/>
                <w:sz w:val="21"/>
                <w:szCs w:val="21"/>
              </w:rPr>
            </w:pPr>
            <w:r>
              <w:rPr>
                <w:rFonts w:hint="eastAsia" w:cs="宋体"/>
                <w:color w:val="auto"/>
                <w:kern w:val="0"/>
                <w:sz w:val="21"/>
                <w:szCs w:val="21"/>
              </w:rPr>
              <w:t>食入：漱口，禁止催吐。立即就医。</w:t>
            </w:r>
          </w:p>
        </w:tc>
      </w:tr>
      <w:tr w14:paraId="5655D9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766F01E0">
            <w:pPr>
              <w:pageBreakBefore w:val="0"/>
              <w:wordWrap/>
              <w:autoSpaceDE w:val="0"/>
              <w:autoSpaceDN w:val="0"/>
              <w:bidi w:val="0"/>
              <w:adjustRightInd/>
              <w:snapToGrid/>
              <w:spacing w:line="240" w:lineRule="auto"/>
              <w:ind w:firstLine="0" w:firstLineChars="0"/>
              <w:jc w:val="center"/>
              <w:rPr>
                <w:rFonts w:hint="eastAsia" w:cs="宋体"/>
                <w:color w:val="auto"/>
                <w:kern w:val="0"/>
                <w:sz w:val="21"/>
                <w:szCs w:val="21"/>
              </w:rPr>
            </w:pPr>
            <w:r>
              <w:rPr>
                <w:rFonts w:hint="eastAsia" w:cs="宋体"/>
                <w:color w:val="auto"/>
                <w:kern w:val="0"/>
                <w:sz w:val="21"/>
                <w:szCs w:val="21"/>
              </w:rPr>
              <w:t>防护</w:t>
            </w:r>
          </w:p>
        </w:tc>
        <w:tc>
          <w:tcPr>
            <w:tcW w:w="4218" w:type="pct"/>
            <w:gridSpan w:val="3"/>
            <w:tcBorders>
              <w:tl2br w:val="nil"/>
              <w:tr2bl w:val="nil"/>
            </w:tcBorders>
            <w:noWrap w:val="0"/>
            <w:vAlign w:val="center"/>
          </w:tcPr>
          <w:p w14:paraId="17E3E6D4">
            <w:pPr>
              <w:pageBreakBefore w:val="0"/>
              <w:wordWrap/>
              <w:autoSpaceDE w:val="0"/>
              <w:autoSpaceDN w:val="0"/>
              <w:bidi w:val="0"/>
              <w:adjustRightInd/>
              <w:snapToGrid/>
              <w:spacing w:line="240" w:lineRule="auto"/>
              <w:ind w:firstLine="0" w:firstLineChars="0"/>
              <w:jc w:val="left"/>
              <w:rPr>
                <w:rFonts w:hint="eastAsia" w:cs="宋体"/>
                <w:color w:val="auto"/>
                <w:kern w:val="0"/>
                <w:sz w:val="21"/>
                <w:szCs w:val="21"/>
              </w:rPr>
            </w:pPr>
            <w:r>
              <w:rPr>
                <w:rFonts w:hint="eastAsia" w:cs="宋体"/>
                <w:color w:val="auto"/>
                <w:kern w:val="0"/>
                <w:sz w:val="21"/>
                <w:szCs w:val="21"/>
              </w:rPr>
              <w:t>工程防护：生产过程密闭，全面通风。提供安全淋浴和洗眼设备。</w:t>
            </w:r>
          </w:p>
          <w:p w14:paraId="7807A0A3">
            <w:pPr>
              <w:pageBreakBefore w:val="0"/>
              <w:wordWrap/>
              <w:autoSpaceDE w:val="0"/>
              <w:autoSpaceDN w:val="0"/>
              <w:bidi w:val="0"/>
              <w:adjustRightInd/>
              <w:snapToGrid/>
              <w:spacing w:line="240" w:lineRule="auto"/>
              <w:ind w:firstLine="0" w:firstLineChars="0"/>
              <w:jc w:val="left"/>
              <w:rPr>
                <w:rFonts w:hint="eastAsia" w:cs="宋体"/>
                <w:color w:val="auto"/>
                <w:kern w:val="0"/>
                <w:sz w:val="21"/>
                <w:szCs w:val="21"/>
              </w:rPr>
            </w:pPr>
            <w:r>
              <w:rPr>
                <w:rFonts w:hint="eastAsia" w:cs="宋体"/>
                <w:color w:val="auto"/>
                <w:kern w:val="0"/>
                <w:sz w:val="21"/>
                <w:szCs w:val="21"/>
              </w:rPr>
              <w:t>个人防护：高浓度环境中，应该佩戴直接式防毒面具（半面罩）。戴化学安全防护眼镜。穿防腐工作服。戴橡胶手套。工作现场禁止吸烟、进食和饮水。工作完毕，淋浴更衣。注意个人清洁卫生。</w:t>
            </w:r>
          </w:p>
        </w:tc>
      </w:tr>
      <w:tr w14:paraId="2B6631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19700917">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泄漏应急处理</w:t>
            </w:r>
          </w:p>
        </w:tc>
        <w:tc>
          <w:tcPr>
            <w:tcW w:w="4218" w:type="pct"/>
            <w:gridSpan w:val="3"/>
            <w:tcBorders>
              <w:tl2br w:val="nil"/>
              <w:tr2bl w:val="nil"/>
            </w:tcBorders>
            <w:noWrap w:val="0"/>
            <w:vAlign w:val="center"/>
          </w:tcPr>
          <w:p w14:paraId="2EB491CE">
            <w:pPr>
              <w:pageBreakBefore w:val="0"/>
              <w:wordWrap/>
              <w:autoSpaceDE w:val="0"/>
              <w:autoSpaceDN w:val="0"/>
              <w:bidi w:val="0"/>
              <w:adjustRightInd/>
              <w:snapToGrid/>
              <w:spacing w:line="240" w:lineRule="auto"/>
              <w:ind w:firstLine="0" w:firstLineChars="0"/>
              <w:jc w:val="left"/>
              <w:rPr>
                <w:rFonts w:hint="eastAsia" w:cs="宋体"/>
                <w:color w:val="auto"/>
                <w:kern w:val="0"/>
                <w:sz w:val="21"/>
                <w:szCs w:val="21"/>
              </w:rPr>
            </w:pPr>
            <w:r>
              <w:rPr>
                <w:rFonts w:hint="eastAsia" w:cs="宋体"/>
                <w:color w:val="auto"/>
                <w:kern w:val="0"/>
                <w:sz w:val="21"/>
                <w:szCs w:val="21"/>
              </w:rPr>
              <w:t>小量泄漏：尽可能将泄漏液体收集在可密闭的容器中。用沙土、活性炭</w:t>
            </w:r>
            <w:r>
              <w:rPr>
                <w:rFonts w:hint="eastAsia" w:cs="宋体"/>
                <w:color w:val="auto"/>
                <w:kern w:val="0"/>
                <w:sz w:val="21"/>
                <w:szCs w:val="21"/>
                <w:lang w:eastAsia="zh-CN"/>
              </w:rPr>
              <w:t>或其他</w:t>
            </w:r>
            <w:r>
              <w:rPr>
                <w:rFonts w:hint="eastAsia" w:cs="宋体"/>
                <w:color w:val="auto"/>
                <w:kern w:val="0"/>
                <w:sz w:val="21"/>
                <w:szCs w:val="21"/>
              </w:rPr>
              <w:t>惰性材料吸收，并转移至安全场所。禁止冲入下水道。</w:t>
            </w:r>
          </w:p>
          <w:p w14:paraId="656B264F">
            <w:pPr>
              <w:pageBreakBefore w:val="0"/>
              <w:wordWrap/>
              <w:autoSpaceDE w:val="0"/>
              <w:autoSpaceDN w:val="0"/>
              <w:bidi w:val="0"/>
              <w:adjustRightInd/>
              <w:snapToGrid/>
              <w:spacing w:line="240" w:lineRule="auto"/>
              <w:ind w:firstLine="0" w:firstLineChars="0"/>
              <w:jc w:val="left"/>
              <w:rPr>
                <w:rFonts w:cs="宋体"/>
                <w:color w:val="auto"/>
                <w:kern w:val="0"/>
                <w:sz w:val="21"/>
                <w:szCs w:val="21"/>
              </w:rPr>
            </w:pPr>
            <w:r>
              <w:rPr>
                <w:rFonts w:hint="eastAsia" w:cs="宋体"/>
                <w:color w:val="auto"/>
                <w:kern w:val="0"/>
                <w:sz w:val="21"/>
                <w:szCs w:val="21"/>
              </w:rPr>
              <w:t>大量泄漏：构筑围堤或挖坑收容。封闭排水管道。用泡沫覆盖，抑制蒸发。用防爆泵转移至槽车或专用收集器内，回收或运至废物处理场所处置</w:t>
            </w:r>
          </w:p>
        </w:tc>
      </w:tr>
      <w:tr w14:paraId="37B6D3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81" w:type="pct"/>
            <w:tcBorders>
              <w:tl2br w:val="nil"/>
              <w:tr2bl w:val="nil"/>
            </w:tcBorders>
            <w:noWrap w:val="0"/>
            <w:vAlign w:val="center"/>
          </w:tcPr>
          <w:p w14:paraId="1BAE8004">
            <w:pPr>
              <w:pageBreakBefore w:val="0"/>
              <w:wordWrap/>
              <w:autoSpaceDE w:val="0"/>
              <w:autoSpaceDN w:val="0"/>
              <w:bidi w:val="0"/>
              <w:adjustRightInd/>
              <w:snapToGrid/>
              <w:spacing w:line="240" w:lineRule="auto"/>
              <w:ind w:firstLine="0" w:firstLineChars="0"/>
              <w:jc w:val="center"/>
              <w:rPr>
                <w:rFonts w:cs="宋体"/>
                <w:color w:val="auto"/>
                <w:kern w:val="0"/>
                <w:sz w:val="21"/>
                <w:szCs w:val="21"/>
              </w:rPr>
            </w:pPr>
            <w:r>
              <w:rPr>
                <w:rFonts w:hint="eastAsia" w:cs="宋体"/>
                <w:color w:val="auto"/>
                <w:kern w:val="0"/>
                <w:sz w:val="21"/>
                <w:szCs w:val="21"/>
              </w:rPr>
              <w:t>储运</w:t>
            </w:r>
          </w:p>
        </w:tc>
        <w:tc>
          <w:tcPr>
            <w:tcW w:w="4218" w:type="pct"/>
            <w:gridSpan w:val="3"/>
            <w:tcBorders>
              <w:tl2br w:val="nil"/>
              <w:tr2bl w:val="nil"/>
            </w:tcBorders>
            <w:noWrap w:val="0"/>
            <w:vAlign w:val="center"/>
          </w:tcPr>
          <w:p w14:paraId="3DBAC11D">
            <w:pPr>
              <w:pageBreakBefore w:val="0"/>
              <w:wordWrap/>
              <w:autoSpaceDE w:val="0"/>
              <w:autoSpaceDN w:val="0"/>
              <w:bidi w:val="0"/>
              <w:adjustRightInd/>
              <w:snapToGrid/>
              <w:spacing w:line="240" w:lineRule="auto"/>
              <w:ind w:firstLine="0" w:firstLineChars="0"/>
              <w:jc w:val="left"/>
              <w:rPr>
                <w:rFonts w:hint="eastAsia" w:cs="宋体"/>
                <w:color w:val="auto"/>
                <w:kern w:val="0"/>
                <w:sz w:val="21"/>
                <w:szCs w:val="21"/>
              </w:rPr>
            </w:pPr>
            <w:r>
              <w:rPr>
                <w:rFonts w:hint="eastAsia" w:cs="宋体"/>
                <w:color w:val="auto"/>
                <w:kern w:val="0"/>
                <w:sz w:val="21"/>
                <w:szCs w:val="21"/>
              </w:rPr>
              <w:t>包装标志：</w:t>
            </w:r>
            <w:r>
              <w:rPr>
                <w:rFonts w:hint="eastAsia" w:cs="宋体"/>
                <w:color w:val="auto"/>
                <w:kern w:val="0"/>
                <w:sz w:val="21"/>
                <w:szCs w:val="21"/>
                <w:lang w:val="en-US" w:eastAsia="zh-CN"/>
              </w:rPr>
              <w:t xml:space="preserve">  </w:t>
            </w:r>
            <w:r>
              <w:rPr>
                <w:rFonts w:hint="eastAsia" w:cs="宋体"/>
                <w:color w:val="auto"/>
                <w:kern w:val="0"/>
                <w:sz w:val="21"/>
                <w:szCs w:val="21"/>
              </w:rPr>
              <w:t>UN编号：</w:t>
            </w:r>
            <w:r>
              <w:rPr>
                <w:rFonts w:hint="eastAsia" w:cs="宋体"/>
                <w:color w:val="auto"/>
                <w:kern w:val="0"/>
                <w:sz w:val="21"/>
                <w:szCs w:val="21"/>
                <w:lang w:eastAsia="zh-CN"/>
              </w:rPr>
              <w:t>1</w:t>
            </w:r>
            <w:r>
              <w:rPr>
                <w:rFonts w:hint="eastAsia" w:cs="宋体"/>
                <w:color w:val="auto"/>
                <w:kern w:val="0"/>
                <w:sz w:val="21"/>
                <w:szCs w:val="21"/>
              </w:rPr>
              <w:t>79</w:t>
            </w:r>
            <w:r>
              <w:rPr>
                <w:rFonts w:hint="eastAsia" w:cs="宋体"/>
                <w:color w:val="auto"/>
                <w:kern w:val="0"/>
                <w:sz w:val="21"/>
                <w:szCs w:val="21"/>
                <w:lang w:eastAsia="zh-CN"/>
              </w:rPr>
              <w:t>1</w:t>
            </w:r>
            <w:r>
              <w:rPr>
                <w:rFonts w:hint="eastAsia" w:cs="宋体"/>
                <w:color w:val="auto"/>
                <w:kern w:val="0"/>
                <w:sz w:val="21"/>
                <w:szCs w:val="21"/>
              </w:rPr>
              <w:t xml:space="preserve">  包装分类：Ⅲ</w:t>
            </w:r>
          </w:p>
          <w:p w14:paraId="68A51C90">
            <w:pPr>
              <w:pageBreakBefore w:val="0"/>
              <w:wordWrap/>
              <w:autoSpaceDE w:val="0"/>
              <w:autoSpaceDN w:val="0"/>
              <w:bidi w:val="0"/>
              <w:adjustRightInd/>
              <w:snapToGrid/>
              <w:spacing w:line="240" w:lineRule="auto"/>
              <w:ind w:firstLine="0" w:firstLineChars="0"/>
              <w:jc w:val="left"/>
              <w:rPr>
                <w:rFonts w:cs="宋体"/>
                <w:color w:val="auto"/>
                <w:kern w:val="0"/>
                <w:sz w:val="21"/>
                <w:szCs w:val="21"/>
              </w:rPr>
            </w:pPr>
            <w:r>
              <w:rPr>
                <w:rFonts w:hint="eastAsia" w:cs="宋体"/>
                <w:color w:val="auto"/>
                <w:kern w:val="0"/>
                <w:sz w:val="21"/>
                <w:szCs w:val="21"/>
              </w:rPr>
              <w:t>储运条件：储存于阴凉、通风的库房。远离火种、热源。库温不宜超过30℃。应与碱类分开存放，切忌混储。储区应备有泄漏应急处理设备和合适的收容材料。起运时包装要完整，装载应稳妥。运输过程中要确保容器不泄漏、不倒塌、不坠落、不损坏。严禁与碱类、食用化学品等混装混运。运输时运输车辆应配备泄漏应急处理设备。运输途中应防</w:t>
            </w:r>
            <w:r>
              <w:rPr>
                <w:rFonts w:hint="eastAsia" w:cs="宋体"/>
                <w:color w:val="auto"/>
                <w:kern w:val="0"/>
                <w:sz w:val="21"/>
                <w:szCs w:val="21"/>
                <w:lang w:eastAsia="zh-CN"/>
              </w:rPr>
              <w:t>暴晒</w:t>
            </w:r>
            <w:r>
              <w:rPr>
                <w:rFonts w:hint="eastAsia" w:cs="宋体"/>
                <w:color w:val="auto"/>
                <w:kern w:val="0"/>
                <w:sz w:val="21"/>
                <w:szCs w:val="21"/>
              </w:rPr>
              <w:t>、雨淋，防高温。公路运输时要按规定路线行驶，勿在居民区和人口稠密区停留。</w:t>
            </w:r>
          </w:p>
        </w:tc>
      </w:tr>
    </w:tbl>
    <w:p w14:paraId="7115B634">
      <w:pPr>
        <w:pageBreakBefore w:val="0"/>
        <w:wordWrap/>
        <w:bidi w:val="0"/>
        <w:adjustRightInd/>
        <w:snapToGrid/>
        <w:spacing w:before="120" w:beforeLines="50"/>
        <w:ind w:firstLine="482"/>
        <w:rPr>
          <w:b/>
          <w:color w:val="auto"/>
        </w:rPr>
      </w:pPr>
      <w:r>
        <w:rPr>
          <w:b/>
          <w:color w:val="auto"/>
        </w:rPr>
        <w:t>（2）生产过程潜在风险识别</w:t>
      </w:r>
    </w:p>
    <w:p w14:paraId="2F146852">
      <w:pPr>
        <w:pageBreakBefore w:val="0"/>
        <w:wordWrap/>
        <w:bidi w:val="0"/>
        <w:adjustRightInd/>
        <w:snapToGrid/>
        <w:ind w:firstLine="482"/>
        <w:rPr>
          <w:b/>
          <w:color w:val="auto"/>
        </w:rPr>
      </w:pPr>
      <w:r>
        <w:rPr>
          <w:b/>
          <w:color w:val="auto"/>
        </w:rPr>
        <w:t>1、加药装置风险因素分析</w:t>
      </w:r>
    </w:p>
    <w:p w14:paraId="430D6DCA">
      <w:pPr>
        <w:pageBreakBefore w:val="0"/>
        <w:wordWrap/>
        <w:bidi w:val="0"/>
        <w:adjustRightInd/>
        <w:snapToGrid/>
        <w:ind w:firstLine="480"/>
        <w:rPr>
          <w:color w:val="auto"/>
        </w:rPr>
      </w:pPr>
      <w:r>
        <w:rPr>
          <w:color w:val="auto"/>
        </w:rPr>
        <w:t>项目使用危险化学品主要为</w:t>
      </w:r>
      <w:r>
        <w:rPr>
          <w:rFonts w:hint="eastAsia"/>
          <w:color w:val="auto"/>
        </w:rPr>
        <w:t>次氯酸钠</w:t>
      </w:r>
      <w:r>
        <w:rPr>
          <w:color w:val="auto"/>
        </w:rPr>
        <w:t>。</w:t>
      </w:r>
    </w:p>
    <w:p w14:paraId="5D503157">
      <w:pPr>
        <w:pageBreakBefore w:val="0"/>
        <w:wordWrap/>
        <w:bidi w:val="0"/>
        <w:adjustRightInd/>
        <w:snapToGrid/>
        <w:ind w:firstLine="480"/>
        <w:rPr>
          <w:color w:val="auto"/>
        </w:rPr>
      </w:pPr>
      <w:r>
        <w:rPr>
          <w:color w:val="auto"/>
          <w:kern w:val="0"/>
        </w:rPr>
        <w:t>本项目加药设备因操作失误、设备故障等原因，可能导致</w:t>
      </w:r>
      <w:r>
        <w:rPr>
          <w:rFonts w:hint="eastAsia"/>
          <w:color w:val="auto"/>
          <w:kern w:val="0"/>
        </w:rPr>
        <w:t>次氯酸钠</w:t>
      </w:r>
      <w:r>
        <w:rPr>
          <w:color w:val="auto"/>
          <w:kern w:val="0"/>
        </w:rPr>
        <w:t>等</w:t>
      </w:r>
      <w:r>
        <w:rPr>
          <w:rFonts w:hint="eastAsia"/>
          <w:color w:val="auto"/>
          <w:kern w:val="0"/>
          <w:lang w:eastAsia="zh-CN"/>
        </w:rPr>
        <w:t>化学品泄漏</w:t>
      </w:r>
      <w:r>
        <w:rPr>
          <w:color w:val="auto"/>
          <w:kern w:val="0"/>
        </w:rPr>
        <w:t>，形成危害</w:t>
      </w:r>
      <w:r>
        <w:rPr>
          <w:color w:val="auto"/>
        </w:rPr>
        <w:t>。</w:t>
      </w:r>
    </w:p>
    <w:p w14:paraId="7DEB534B">
      <w:pPr>
        <w:pageBreakBefore w:val="0"/>
        <w:wordWrap/>
        <w:bidi w:val="0"/>
        <w:adjustRightInd/>
        <w:snapToGrid/>
        <w:ind w:firstLine="482"/>
        <w:rPr>
          <w:b/>
          <w:color w:val="auto"/>
        </w:rPr>
      </w:pPr>
      <w:r>
        <w:rPr>
          <w:b/>
          <w:color w:val="auto"/>
        </w:rPr>
        <w:t>2、储存环节风险隐患分析</w:t>
      </w:r>
    </w:p>
    <w:p w14:paraId="0E83C3D5">
      <w:pPr>
        <w:pageBreakBefore w:val="0"/>
        <w:wordWrap/>
        <w:bidi w:val="0"/>
        <w:adjustRightInd/>
        <w:snapToGrid/>
        <w:ind w:firstLine="480"/>
        <w:rPr>
          <w:color w:val="auto"/>
        </w:rPr>
      </w:pPr>
      <w:r>
        <w:rPr>
          <w:color w:val="auto"/>
        </w:rPr>
        <w:t>由于本项目使用的</w:t>
      </w:r>
      <w:r>
        <w:rPr>
          <w:rFonts w:hint="eastAsia"/>
          <w:color w:val="auto"/>
          <w:kern w:val="0"/>
        </w:rPr>
        <w:t>次氯酸钠</w:t>
      </w:r>
      <w:r>
        <w:rPr>
          <w:color w:val="auto"/>
        </w:rPr>
        <w:t>外购原料</w:t>
      </w:r>
      <w:r>
        <w:rPr>
          <w:rFonts w:hint="eastAsia"/>
          <w:color w:val="auto"/>
          <w:lang w:val="en-US" w:eastAsia="zh-CN"/>
        </w:rPr>
        <w:t>成品</w:t>
      </w:r>
      <w:r>
        <w:rPr>
          <w:color w:val="auto"/>
        </w:rPr>
        <w:t>，</w:t>
      </w:r>
      <w:r>
        <w:rPr>
          <w:rFonts w:hint="eastAsia"/>
          <w:color w:val="auto"/>
          <w:lang w:val="en-US" w:eastAsia="zh-CN"/>
        </w:rPr>
        <w:t>次氯酸钠加药时</w:t>
      </w:r>
      <w:r>
        <w:rPr>
          <w:color w:val="auto"/>
        </w:rPr>
        <w:t>一旦容器发生破损则会导致物料泄漏，其中的</w:t>
      </w:r>
      <w:r>
        <w:rPr>
          <w:rFonts w:hint="eastAsia"/>
          <w:color w:val="auto"/>
          <w:kern w:val="0"/>
        </w:rPr>
        <w:t>次氯酸钠</w:t>
      </w:r>
      <w:r>
        <w:rPr>
          <w:color w:val="auto"/>
        </w:rPr>
        <w:t>也会引起中毒事件。</w:t>
      </w:r>
    </w:p>
    <w:p w14:paraId="4EB2ACE5">
      <w:pPr>
        <w:pageBreakBefore w:val="0"/>
        <w:wordWrap/>
        <w:bidi w:val="0"/>
        <w:adjustRightInd/>
        <w:snapToGrid/>
        <w:ind w:firstLine="482"/>
        <w:rPr>
          <w:b/>
          <w:color w:val="auto"/>
        </w:rPr>
      </w:pPr>
      <w:r>
        <w:rPr>
          <w:b/>
          <w:color w:val="auto"/>
        </w:rPr>
        <w:t>3、装卸作业分析隐患分析</w:t>
      </w:r>
    </w:p>
    <w:p w14:paraId="4CCB44E0">
      <w:pPr>
        <w:pageBreakBefore w:val="0"/>
        <w:wordWrap/>
        <w:bidi w:val="0"/>
        <w:adjustRightInd/>
        <w:snapToGrid/>
        <w:ind w:firstLine="480"/>
        <w:rPr>
          <w:color w:val="auto"/>
        </w:rPr>
      </w:pPr>
      <w:r>
        <w:rPr>
          <w:color w:val="auto"/>
        </w:rPr>
        <w:t>在危险化学品的装卸过程中，易出现因工作人员操作不当而致使危险化学品外泄。外泄的物质具有腐蚀性，也会引起中毒事故。</w:t>
      </w:r>
    </w:p>
    <w:p w14:paraId="57B23A14">
      <w:pPr>
        <w:pageBreakBefore w:val="0"/>
        <w:wordWrap/>
        <w:bidi w:val="0"/>
        <w:adjustRightInd/>
        <w:snapToGrid/>
        <w:ind w:firstLine="482"/>
        <w:rPr>
          <w:b/>
          <w:color w:val="auto"/>
        </w:rPr>
      </w:pPr>
      <w:r>
        <w:rPr>
          <w:b/>
          <w:color w:val="auto"/>
        </w:rPr>
        <w:t>4、运输环节风险隐患分析</w:t>
      </w:r>
    </w:p>
    <w:p w14:paraId="61F9EAA4">
      <w:pPr>
        <w:pageBreakBefore w:val="0"/>
        <w:wordWrap/>
        <w:bidi w:val="0"/>
        <w:adjustRightInd/>
        <w:snapToGrid/>
        <w:ind w:firstLine="480"/>
        <w:rPr>
          <w:color w:val="auto"/>
        </w:rPr>
      </w:pPr>
      <w:r>
        <w:rPr>
          <w:color w:val="auto"/>
        </w:rPr>
        <w:t>危险化学品在运输过程因发生</w:t>
      </w:r>
      <w:r>
        <w:rPr>
          <w:rFonts w:hint="eastAsia"/>
          <w:color w:val="auto"/>
          <w:lang w:eastAsia="zh-CN"/>
        </w:rPr>
        <w:t>翻车</w:t>
      </w:r>
      <w:r>
        <w:rPr>
          <w:color w:val="auto"/>
        </w:rPr>
        <w:t>、撞击等事故，存在造成危险化学品储运设施开裂和爆炸的危险，并由此而引发危险化学品的大量泄漏进入环境中，从而导致中毒事故。</w:t>
      </w:r>
    </w:p>
    <w:p w14:paraId="4FA22E8D">
      <w:pPr>
        <w:pageBreakBefore w:val="0"/>
        <w:wordWrap/>
        <w:bidi w:val="0"/>
        <w:adjustRightInd/>
        <w:snapToGrid/>
        <w:ind w:firstLine="482"/>
        <w:rPr>
          <w:b/>
          <w:bCs/>
          <w:color w:val="auto"/>
        </w:rPr>
      </w:pPr>
      <w:r>
        <w:rPr>
          <w:b/>
          <w:bCs/>
          <w:color w:val="auto"/>
        </w:rPr>
        <w:t>（3）其他因素</w:t>
      </w:r>
    </w:p>
    <w:p w14:paraId="79DEBB7D">
      <w:pPr>
        <w:pageBreakBefore w:val="0"/>
        <w:wordWrap/>
        <w:bidi w:val="0"/>
        <w:adjustRightInd/>
        <w:snapToGrid/>
        <w:ind w:firstLine="480"/>
        <w:rPr>
          <w:color w:val="auto"/>
        </w:rPr>
      </w:pPr>
      <w:r>
        <w:rPr>
          <w:color w:val="auto"/>
        </w:rPr>
        <w:t>可能引发事故风险的还有：①战争；②自然灾害；③人为破坏等。第一个因素为不可抗拒因素，后两个因素只要从设计和管理上加强防范还是可以避免和减缓影响的。</w:t>
      </w:r>
    </w:p>
    <w:p w14:paraId="1772131D">
      <w:pPr>
        <w:pageBreakBefore w:val="0"/>
        <w:wordWrap/>
        <w:bidi w:val="0"/>
        <w:adjustRightInd/>
        <w:snapToGrid/>
        <w:ind w:firstLine="482"/>
        <w:rPr>
          <w:b/>
          <w:bCs/>
          <w:color w:val="auto"/>
        </w:rPr>
      </w:pPr>
      <w:r>
        <w:rPr>
          <w:b/>
          <w:bCs/>
          <w:color w:val="auto"/>
        </w:rPr>
        <w:t>（4）风险识别结果</w:t>
      </w:r>
    </w:p>
    <w:p w14:paraId="5743C502">
      <w:pPr>
        <w:pageBreakBefore w:val="0"/>
        <w:wordWrap/>
        <w:bidi w:val="0"/>
        <w:adjustRightInd/>
        <w:snapToGrid/>
        <w:ind w:firstLine="480"/>
        <w:rPr>
          <w:color w:val="auto"/>
        </w:rPr>
      </w:pPr>
      <w:r>
        <w:rPr>
          <w:color w:val="auto"/>
        </w:rPr>
        <w:t>本项目的特点是工艺中使用</w:t>
      </w:r>
      <w:r>
        <w:rPr>
          <w:rFonts w:hint="eastAsia"/>
          <w:color w:val="auto"/>
          <w:kern w:val="0"/>
        </w:rPr>
        <w:t>次氯酸钠</w:t>
      </w:r>
      <w:r>
        <w:rPr>
          <w:color w:val="auto"/>
        </w:rPr>
        <w:t>，属</w:t>
      </w:r>
      <w:r>
        <w:rPr>
          <w:rFonts w:hint="eastAsia"/>
          <w:color w:val="auto"/>
        </w:rPr>
        <w:t>危险化学品</w:t>
      </w:r>
      <w:r>
        <w:rPr>
          <w:color w:val="auto"/>
        </w:rPr>
        <w:t>。该物质在运输、贮存、使用等方面存在不同程度的事故潜在危险因素。综合考虑物料数量、性状及危险特性，本项目风险事故隐患主要为：</w:t>
      </w:r>
      <w:r>
        <w:rPr>
          <w:rFonts w:hint="eastAsia"/>
          <w:color w:val="auto"/>
          <w:lang w:eastAsia="zh-CN"/>
        </w:rPr>
        <w:t>泄漏</w:t>
      </w:r>
      <w:r>
        <w:rPr>
          <w:color w:val="auto"/>
        </w:rPr>
        <w:t>直接进入周围水体导致的水环境污染。</w:t>
      </w:r>
    </w:p>
    <w:p w14:paraId="2726F711">
      <w:pPr>
        <w:pStyle w:val="4"/>
        <w:bidi w:val="0"/>
        <w:rPr>
          <w:color w:val="auto"/>
        </w:rPr>
      </w:pPr>
      <w:r>
        <w:rPr>
          <w:rFonts w:hint="eastAsia"/>
          <w:color w:val="auto"/>
        </w:rPr>
        <w:t xml:space="preserve"> </w:t>
      </w:r>
      <w:bookmarkStart w:id="254" w:name="_Toc6613"/>
      <w:r>
        <w:rPr>
          <w:color w:val="auto"/>
        </w:rPr>
        <w:t>评价依据</w:t>
      </w:r>
      <w:bookmarkEnd w:id="254"/>
    </w:p>
    <w:p w14:paraId="12E6B360">
      <w:pPr>
        <w:pStyle w:val="5"/>
        <w:bidi w:val="0"/>
        <w:rPr>
          <w:color w:val="auto"/>
        </w:rPr>
      </w:pPr>
      <w:bookmarkStart w:id="255" w:name="_Toc295324135"/>
      <w:r>
        <w:rPr>
          <w:rFonts w:hint="eastAsia"/>
          <w:color w:val="auto"/>
          <w:lang w:val="en-US" w:eastAsia="zh-CN"/>
        </w:rPr>
        <w:t xml:space="preserve"> </w:t>
      </w:r>
      <w:r>
        <w:rPr>
          <w:color w:val="auto"/>
        </w:rPr>
        <w:t>风险调查</w:t>
      </w:r>
    </w:p>
    <w:p w14:paraId="75E65EFB">
      <w:pPr>
        <w:bidi w:val="0"/>
        <w:rPr>
          <w:color w:val="auto"/>
        </w:rPr>
      </w:pPr>
      <w:r>
        <w:rPr>
          <w:color w:val="auto"/>
        </w:rPr>
        <w:t>本次事故风险评价主要考虑</w:t>
      </w:r>
      <w:r>
        <w:rPr>
          <w:rFonts w:hint="eastAsia"/>
          <w:color w:val="auto"/>
          <w:lang w:eastAsia="zh-CN"/>
        </w:rPr>
        <w:t>污水处理厂</w:t>
      </w:r>
      <w:r>
        <w:rPr>
          <w:color w:val="auto"/>
        </w:rPr>
        <w:t>因临近</w:t>
      </w:r>
      <w:r>
        <w:rPr>
          <w:rFonts w:hint="eastAsia"/>
          <w:color w:val="auto"/>
          <w:lang w:eastAsia="zh-CN"/>
        </w:rPr>
        <w:t>巴河</w:t>
      </w:r>
      <w:r>
        <w:rPr>
          <w:color w:val="auto"/>
        </w:rPr>
        <w:t>存在的选址风险以及在运行过程中自身原因产生的风险、园区内拟接入管网的企业因独立处理设施处理能力下降等使污水超标排放进入厂区内进行分析，评价存在的潜在危险、有害因素及其种类、可能性和程度，从中筛选出最大可信灾害事故及其源项，进行有代表性的事故后果计算，最终从保护环境的角度确定存在的环境风险，并提出防范措施和相应的防治对策，为园区完善规划、项目建设提供技术支撑，把风险降低至可接受水平，并为环境保护行政主管部门的风险决策提供依据。</w:t>
      </w:r>
    </w:p>
    <w:p w14:paraId="2D95C88B">
      <w:pPr>
        <w:bidi w:val="0"/>
        <w:rPr>
          <w:color w:val="auto"/>
        </w:rPr>
      </w:pPr>
      <w:r>
        <w:rPr>
          <w:color w:val="auto"/>
        </w:rPr>
        <w:t>本项目的环境风险是废水的事故排放、废气事故排放、加药间危险化学品的泄漏挥发、腐蚀风险事故、火灾及管线破裂、断裂、堵塞等。</w:t>
      </w:r>
    </w:p>
    <w:p w14:paraId="2FB65FAD">
      <w:pPr>
        <w:pStyle w:val="5"/>
        <w:bidi w:val="0"/>
        <w:rPr>
          <w:color w:val="auto"/>
        </w:rPr>
      </w:pPr>
      <w:bookmarkStart w:id="256" w:name="_Toc574"/>
      <w:r>
        <w:rPr>
          <w:rFonts w:hint="eastAsia"/>
          <w:color w:val="auto"/>
          <w:lang w:val="en-US" w:eastAsia="zh-CN"/>
        </w:rPr>
        <w:t xml:space="preserve"> </w:t>
      </w:r>
      <w:r>
        <w:rPr>
          <w:color w:val="auto"/>
        </w:rPr>
        <w:t>风险潜势初判及评价等级</w:t>
      </w:r>
    </w:p>
    <w:p w14:paraId="13EC132E">
      <w:pPr>
        <w:bidi w:val="0"/>
        <w:rPr>
          <w:color w:val="auto"/>
        </w:rPr>
      </w:pPr>
      <w:r>
        <w:rPr>
          <w:color w:val="auto"/>
        </w:rPr>
        <w:t>根据《建设项目环境风险评价技术导则》（HJ</w:t>
      </w:r>
      <w:r>
        <w:rPr>
          <w:rFonts w:hint="eastAsia"/>
          <w:color w:val="auto"/>
          <w:lang w:eastAsia="zh-CN"/>
        </w:rPr>
        <w:t>1</w:t>
      </w:r>
      <w:r>
        <w:rPr>
          <w:color w:val="auto"/>
        </w:rPr>
        <w:t>69-2018），评价工作等级划分见</w:t>
      </w:r>
      <w:r>
        <w:rPr>
          <w:rFonts w:hint="eastAsia"/>
          <w:color w:val="auto"/>
          <w:lang w:val="en-US" w:eastAsia="zh-CN"/>
        </w:rPr>
        <w:t>下表</w:t>
      </w:r>
      <w:r>
        <w:rPr>
          <w:color w:val="auto"/>
        </w:rPr>
        <w:t>。</w:t>
      </w:r>
    </w:p>
    <w:p w14:paraId="1C6D1D71">
      <w:pPr>
        <w:pStyle w:val="19"/>
        <w:numPr>
          <w:ilvl w:val="0"/>
          <w:numId w:val="33"/>
        </w:numPr>
        <w:bidi w:val="0"/>
        <w:ind w:left="0" w:leftChars="0" w:firstLine="0" w:firstLineChars="0"/>
        <w:rPr>
          <w:color w:val="auto"/>
        </w:rPr>
      </w:pPr>
      <w:r>
        <w:rPr>
          <w:color w:val="auto"/>
        </w:rPr>
        <w:t>评价工作等级划分</w:t>
      </w:r>
    </w:p>
    <w:tbl>
      <w:tblPr>
        <w:tblStyle w:val="5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43"/>
        <w:gridCol w:w="1775"/>
        <w:gridCol w:w="1775"/>
        <w:gridCol w:w="1775"/>
        <w:gridCol w:w="1776"/>
      </w:tblGrid>
      <w:tr w14:paraId="464BE0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0" w:type="pct"/>
            <w:tcBorders>
              <w:tl2br w:val="nil"/>
              <w:tr2bl w:val="nil"/>
            </w:tcBorders>
            <w:noWrap w:val="0"/>
            <w:vAlign w:val="center"/>
          </w:tcPr>
          <w:p w14:paraId="77F1233A">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环境风险潜势</w:t>
            </w:r>
          </w:p>
        </w:tc>
        <w:tc>
          <w:tcPr>
            <w:tcW w:w="992" w:type="pct"/>
            <w:tcBorders>
              <w:tl2br w:val="nil"/>
              <w:tr2bl w:val="nil"/>
            </w:tcBorders>
            <w:noWrap w:val="0"/>
            <w:vAlign w:val="center"/>
          </w:tcPr>
          <w:p w14:paraId="6ECC992F">
            <w:pPr>
              <w:pageBreakBefore w:val="0"/>
              <w:wordWrap/>
              <w:bidi w:val="0"/>
              <w:adjustRightInd/>
              <w:snapToGrid/>
              <w:spacing w:line="240" w:lineRule="auto"/>
              <w:ind w:firstLine="0" w:firstLineChars="0"/>
              <w:jc w:val="center"/>
              <w:rPr>
                <w:bCs/>
                <w:color w:val="auto"/>
                <w:sz w:val="21"/>
                <w:szCs w:val="21"/>
                <w:vertAlign w:val="superscript"/>
              </w:rPr>
            </w:pPr>
            <w:r>
              <w:rPr>
                <w:bCs/>
                <w:color w:val="auto"/>
                <w:sz w:val="21"/>
                <w:szCs w:val="21"/>
              </w:rPr>
              <w:t>IV、IV</w:t>
            </w:r>
            <w:r>
              <w:rPr>
                <w:bCs/>
                <w:color w:val="auto"/>
                <w:sz w:val="21"/>
                <w:szCs w:val="21"/>
                <w:vertAlign w:val="superscript"/>
              </w:rPr>
              <w:t>+</w:t>
            </w:r>
          </w:p>
        </w:tc>
        <w:tc>
          <w:tcPr>
            <w:tcW w:w="992" w:type="pct"/>
            <w:tcBorders>
              <w:tl2br w:val="nil"/>
              <w:tr2bl w:val="nil"/>
            </w:tcBorders>
            <w:noWrap w:val="0"/>
            <w:vAlign w:val="center"/>
          </w:tcPr>
          <w:p w14:paraId="71A098A0">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III</w:t>
            </w:r>
          </w:p>
        </w:tc>
        <w:tc>
          <w:tcPr>
            <w:tcW w:w="992" w:type="pct"/>
            <w:tcBorders>
              <w:tl2br w:val="nil"/>
              <w:tr2bl w:val="nil"/>
            </w:tcBorders>
            <w:noWrap w:val="0"/>
            <w:vAlign w:val="center"/>
          </w:tcPr>
          <w:p w14:paraId="1F59A874">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II</w:t>
            </w:r>
          </w:p>
        </w:tc>
        <w:tc>
          <w:tcPr>
            <w:tcW w:w="992" w:type="pct"/>
            <w:tcBorders>
              <w:tl2br w:val="nil"/>
              <w:tr2bl w:val="nil"/>
            </w:tcBorders>
            <w:noWrap w:val="0"/>
            <w:vAlign w:val="center"/>
          </w:tcPr>
          <w:p w14:paraId="4C164C3F">
            <w:pPr>
              <w:pageBreakBefore w:val="0"/>
              <w:wordWrap/>
              <w:bidi w:val="0"/>
              <w:adjustRightInd/>
              <w:snapToGrid/>
              <w:spacing w:line="240" w:lineRule="auto"/>
              <w:ind w:firstLine="0" w:firstLineChars="0"/>
              <w:jc w:val="center"/>
              <w:rPr>
                <w:bCs/>
                <w:color w:val="auto"/>
                <w:sz w:val="21"/>
                <w:szCs w:val="21"/>
              </w:rPr>
            </w:pPr>
            <w:r>
              <w:rPr>
                <w:bCs/>
                <w:color w:val="auto"/>
                <w:sz w:val="21"/>
                <w:szCs w:val="21"/>
              </w:rPr>
              <w:t>I</w:t>
            </w:r>
          </w:p>
        </w:tc>
      </w:tr>
      <w:tr w14:paraId="0AAFD2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0" w:type="pct"/>
            <w:tcBorders>
              <w:tl2br w:val="nil"/>
              <w:tr2bl w:val="nil"/>
            </w:tcBorders>
            <w:noWrap w:val="0"/>
            <w:vAlign w:val="center"/>
          </w:tcPr>
          <w:p w14:paraId="3670F7BB">
            <w:pPr>
              <w:pageBreakBefore w:val="0"/>
              <w:wordWrap/>
              <w:bidi w:val="0"/>
              <w:adjustRightInd/>
              <w:snapToGrid/>
              <w:spacing w:line="240" w:lineRule="auto"/>
              <w:ind w:firstLine="0" w:firstLineChars="0"/>
              <w:jc w:val="center"/>
              <w:rPr>
                <w:b/>
                <w:color w:val="auto"/>
                <w:sz w:val="21"/>
                <w:szCs w:val="21"/>
              </w:rPr>
            </w:pPr>
            <w:r>
              <w:rPr>
                <w:b/>
                <w:color w:val="auto"/>
                <w:sz w:val="21"/>
                <w:szCs w:val="21"/>
              </w:rPr>
              <w:t>评价工作等级</w:t>
            </w:r>
          </w:p>
        </w:tc>
        <w:tc>
          <w:tcPr>
            <w:tcW w:w="992" w:type="pct"/>
            <w:tcBorders>
              <w:tl2br w:val="nil"/>
              <w:tr2bl w:val="nil"/>
            </w:tcBorders>
            <w:noWrap w:val="0"/>
            <w:vAlign w:val="center"/>
          </w:tcPr>
          <w:p w14:paraId="6A0723CF">
            <w:pPr>
              <w:pageBreakBefore w:val="0"/>
              <w:wordWrap/>
              <w:bidi w:val="0"/>
              <w:adjustRightInd/>
              <w:snapToGrid/>
              <w:spacing w:line="240" w:lineRule="auto"/>
              <w:ind w:firstLine="0" w:firstLineChars="0"/>
              <w:jc w:val="center"/>
              <w:rPr>
                <w:color w:val="auto"/>
                <w:sz w:val="21"/>
                <w:szCs w:val="21"/>
              </w:rPr>
            </w:pPr>
            <w:r>
              <w:rPr>
                <w:color w:val="auto"/>
                <w:sz w:val="21"/>
                <w:szCs w:val="21"/>
              </w:rPr>
              <w:t>一</w:t>
            </w:r>
          </w:p>
        </w:tc>
        <w:tc>
          <w:tcPr>
            <w:tcW w:w="992" w:type="pct"/>
            <w:tcBorders>
              <w:tl2br w:val="nil"/>
              <w:tr2bl w:val="nil"/>
            </w:tcBorders>
            <w:noWrap w:val="0"/>
            <w:vAlign w:val="center"/>
          </w:tcPr>
          <w:p w14:paraId="655CA3DA">
            <w:pPr>
              <w:pageBreakBefore w:val="0"/>
              <w:widowControl/>
              <w:wordWrap/>
              <w:bidi w:val="0"/>
              <w:adjustRightInd/>
              <w:snapToGrid/>
              <w:spacing w:line="240" w:lineRule="auto"/>
              <w:ind w:firstLine="0" w:firstLineChars="0"/>
              <w:jc w:val="center"/>
              <w:rPr>
                <w:color w:val="auto"/>
                <w:sz w:val="21"/>
                <w:szCs w:val="21"/>
              </w:rPr>
            </w:pPr>
            <w:r>
              <w:rPr>
                <w:color w:val="auto"/>
                <w:sz w:val="21"/>
                <w:szCs w:val="21"/>
              </w:rPr>
              <w:t>二</w:t>
            </w:r>
          </w:p>
        </w:tc>
        <w:tc>
          <w:tcPr>
            <w:tcW w:w="992" w:type="pct"/>
            <w:tcBorders>
              <w:tl2br w:val="nil"/>
              <w:tr2bl w:val="nil"/>
            </w:tcBorders>
            <w:noWrap w:val="0"/>
            <w:vAlign w:val="center"/>
          </w:tcPr>
          <w:p w14:paraId="6B96109E">
            <w:pPr>
              <w:pageBreakBefore w:val="0"/>
              <w:widowControl/>
              <w:wordWrap/>
              <w:bidi w:val="0"/>
              <w:adjustRightInd/>
              <w:snapToGrid/>
              <w:spacing w:line="240" w:lineRule="auto"/>
              <w:ind w:firstLine="0" w:firstLineChars="0"/>
              <w:jc w:val="center"/>
              <w:rPr>
                <w:color w:val="auto"/>
                <w:kern w:val="0"/>
                <w:sz w:val="21"/>
                <w:szCs w:val="21"/>
              </w:rPr>
            </w:pPr>
            <w:r>
              <w:rPr>
                <w:color w:val="auto"/>
                <w:kern w:val="0"/>
                <w:sz w:val="21"/>
                <w:szCs w:val="21"/>
              </w:rPr>
              <w:t>三</w:t>
            </w:r>
          </w:p>
        </w:tc>
        <w:tc>
          <w:tcPr>
            <w:tcW w:w="992" w:type="pct"/>
            <w:tcBorders>
              <w:tl2br w:val="nil"/>
              <w:tr2bl w:val="nil"/>
            </w:tcBorders>
            <w:noWrap w:val="0"/>
            <w:vAlign w:val="center"/>
          </w:tcPr>
          <w:p w14:paraId="4F3EF9A3">
            <w:pPr>
              <w:pageBreakBefore w:val="0"/>
              <w:wordWrap/>
              <w:bidi w:val="0"/>
              <w:adjustRightInd/>
              <w:snapToGrid/>
              <w:spacing w:line="240" w:lineRule="auto"/>
              <w:ind w:firstLine="0" w:firstLineChars="0"/>
              <w:jc w:val="center"/>
              <w:rPr>
                <w:color w:val="auto"/>
                <w:sz w:val="21"/>
                <w:szCs w:val="21"/>
              </w:rPr>
            </w:pPr>
            <w:r>
              <w:rPr>
                <w:color w:val="auto"/>
                <w:sz w:val="21"/>
                <w:szCs w:val="21"/>
              </w:rPr>
              <w:t>简单分析</w:t>
            </w:r>
          </w:p>
        </w:tc>
      </w:tr>
    </w:tbl>
    <w:p w14:paraId="15E7FCEA">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ascii="Times New Roman" w:hAnsi="Times New Roman" w:cs="Times New Roman"/>
          <w:color w:val="auto"/>
        </w:rPr>
      </w:pPr>
      <w:r>
        <w:rPr>
          <w:rFonts w:hint="default" w:ascii="Times New Roman" w:hAnsi="Times New Roman" w:cs="Times New Roman"/>
          <w:color w:val="auto"/>
        </w:rPr>
        <w:t>建设项目环境风险潜势划分为Ⅰ、Ⅱ、Ⅲ、Ⅳ/Ⅳ级，根据项目涉及的物质和工艺系统的危险性及其所在地的环境敏感程度，结合事故情形下环境影响途径，对建设项目潜在环境危害程度进行概化分析，计算项目所涉及的每种危险物质在厂界内的最大存在总量与其在《建设项目环境风险评价技术导则》（HJ</w:t>
      </w:r>
      <w:r>
        <w:rPr>
          <w:rFonts w:hint="default" w:ascii="Times New Roman" w:hAnsi="Times New Roman" w:cs="Times New Roman"/>
          <w:color w:val="auto"/>
          <w:lang w:eastAsia="zh-CN"/>
        </w:rPr>
        <w:t>1</w:t>
      </w:r>
      <w:r>
        <w:rPr>
          <w:rFonts w:hint="default" w:ascii="Times New Roman" w:hAnsi="Times New Roman" w:cs="Times New Roman"/>
          <w:color w:val="auto"/>
        </w:rPr>
        <w:t>69-2018）附录B中对应临界量的比值Q。</w:t>
      </w:r>
    </w:p>
    <w:p w14:paraId="1CEE10F9">
      <w:pPr>
        <w:bidi w:val="0"/>
        <w:rPr>
          <w:color w:val="auto"/>
        </w:rPr>
      </w:pPr>
      <w:r>
        <w:rPr>
          <w:color w:val="auto"/>
        </w:rPr>
        <w:t>当只涉及一种危险物质时，计算该物质的总量与其临界量比值，即为Q；</w:t>
      </w:r>
    </w:p>
    <w:p w14:paraId="33A81367">
      <w:pPr>
        <w:bidi w:val="0"/>
        <w:rPr>
          <w:color w:val="auto"/>
        </w:rPr>
      </w:pPr>
      <w:r>
        <w:rPr>
          <w:color w:val="auto"/>
        </w:rPr>
        <w:t>当存在多种危险物质时，则按下式计算物质总量与其临界量比值（Q）：</w:t>
      </w:r>
    </w:p>
    <w:p w14:paraId="16F5E8E7">
      <w:pPr>
        <w:keepNext w:val="0"/>
        <w:keepLines w:val="0"/>
        <w:pageBreakBefore w:val="0"/>
        <w:widowControl w:val="0"/>
        <w:kinsoku/>
        <w:wordWrap/>
        <w:overflowPunct/>
        <w:topLinePunct w:val="0"/>
        <w:autoSpaceDE/>
        <w:autoSpaceDN/>
        <w:bidi w:val="0"/>
        <w:adjustRightInd/>
        <w:snapToGrid/>
        <w:spacing w:line="360" w:lineRule="auto"/>
        <w:ind w:firstLine="480"/>
        <w:jc w:val="center"/>
        <w:textAlignment w:val="auto"/>
        <w:rPr>
          <w:color w:val="auto"/>
        </w:rPr>
      </w:pPr>
      <w:r>
        <w:rPr>
          <w:color w:val="auto"/>
        </w:rPr>
        <w:t>Q=q</w:t>
      </w:r>
      <w:r>
        <w:rPr>
          <w:color w:val="auto"/>
          <w:vertAlign w:val="subscript"/>
        </w:rPr>
        <w:t>1</w:t>
      </w:r>
      <w:r>
        <w:rPr>
          <w:color w:val="auto"/>
        </w:rPr>
        <w:t>/Q</w:t>
      </w:r>
      <w:r>
        <w:rPr>
          <w:color w:val="auto"/>
          <w:vertAlign w:val="subscript"/>
        </w:rPr>
        <w:t>1</w:t>
      </w:r>
      <w:r>
        <w:rPr>
          <w:color w:val="auto"/>
        </w:rPr>
        <w:t>+q</w:t>
      </w:r>
      <w:r>
        <w:rPr>
          <w:color w:val="auto"/>
          <w:vertAlign w:val="subscript"/>
        </w:rPr>
        <w:t>2</w:t>
      </w:r>
      <w:r>
        <w:rPr>
          <w:color w:val="auto"/>
        </w:rPr>
        <w:t>/Q</w:t>
      </w:r>
      <w:r>
        <w:rPr>
          <w:color w:val="auto"/>
          <w:vertAlign w:val="subscript"/>
        </w:rPr>
        <w:t>2</w:t>
      </w:r>
      <w:r>
        <w:rPr>
          <w:color w:val="auto"/>
        </w:rPr>
        <w:t>+……+q</w:t>
      </w:r>
      <w:r>
        <w:rPr>
          <w:color w:val="auto"/>
          <w:vertAlign w:val="subscript"/>
        </w:rPr>
        <w:t>n</w:t>
      </w:r>
      <w:r>
        <w:rPr>
          <w:color w:val="auto"/>
        </w:rPr>
        <w:t>/Q</w:t>
      </w:r>
      <w:r>
        <w:rPr>
          <w:color w:val="auto"/>
          <w:vertAlign w:val="subscript"/>
        </w:rPr>
        <w:t>n</w:t>
      </w:r>
    </w:p>
    <w:p w14:paraId="098E2DE8">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rPr>
      </w:pPr>
      <w:r>
        <w:rPr>
          <w:color w:val="auto"/>
        </w:rPr>
        <w:t>式中：q</w:t>
      </w:r>
      <w:r>
        <w:rPr>
          <w:color w:val="auto"/>
          <w:vertAlign w:val="subscript"/>
        </w:rPr>
        <w:t>1</w:t>
      </w:r>
      <w:r>
        <w:rPr>
          <w:color w:val="auto"/>
        </w:rPr>
        <w:t>，q</w:t>
      </w:r>
      <w:r>
        <w:rPr>
          <w:color w:val="auto"/>
          <w:vertAlign w:val="subscript"/>
        </w:rPr>
        <w:t>2</w:t>
      </w:r>
      <w:r>
        <w:rPr>
          <w:color w:val="auto"/>
        </w:rPr>
        <w:t>，…，q</w:t>
      </w:r>
      <w:r>
        <w:rPr>
          <w:color w:val="auto"/>
          <w:vertAlign w:val="subscript"/>
        </w:rPr>
        <w:t>n</w:t>
      </w:r>
      <w:r>
        <w:rPr>
          <w:color w:val="auto"/>
        </w:rPr>
        <w:t>—每种危险物质的最大存在总量，t；</w:t>
      </w:r>
    </w:p>
    <w:p w14:paraId="740A1B7E">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rPr>
      </w:pPr>
      <w:r>
        <w:rPr>
          <w:color w:val="auto"/>
        </w:rPr>
        <w:t xml:space="preserve">     Q</w:t>
      </w:r>
      <w:r>
        <w:rPr>
          <w:color w:val="auto"/>
          <w:vertAlign w:val="subscript"/>
        </w:rPr>
        <w:t>1</w:t>
      </w:r>
      <w:r>
        <w:rPr>
          <w:color w:val="auto"/>
        </w:rPr>
        <w:t>，Q</w:t>
      </w:r>
      <w:r>
        <w:rPr>
          <w:color w:val="auto"/>
          <w:vertAlign w:val="subscript"/>
        </w:rPr>
        <w:t>2</w:t>
      </w:r>
      <w:r>
        <w:rPr>
          <w:color w:val="auto"/>
        </w:rPr>
        <w:t>，…，Q</w:t>
      </w:r>
      <w:r>
        <w:rPr>
          <w:color w:val="auto"/>
          <w:vertAlign w:val="subscript"/>
        </w:rPr>
        <w:t>n</w:t>
      </w:r>
      <w:r>
        <w:rPr>
          <w:color w:val="auto"/>
        </w:rPr>
        <w:t>—每种危险物质的临界量，t。</w:t>
      </w:r>
    </w:p>
    <w:p w14:paraId="75ECD183">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rPr>
      </w:pPr>
      <w:r>
        <w:rPr>
          <w:color w:val="auto"/>
        </w:rPr>
        <w:t xml:space="preserve">     当Q＜1时，该项目环境风险潜势为I。</w:t>
      </w:r>
    </w:p>
    <w:p w14:paraId="3E9C48C9">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color w:val="auto"/>
        </w:rPr>
      </w:pPr>
      <w:r>
        <w:rPr>
          <w:color w:val="auto"/>
        </w:rPr>
        <w:t xml:space="preserve">     当Q≥1时，将Q值划分为：（1）1≤Q＜10；（2）10≤Q＜100；（3）Q≥100。</w:t>
      </w:r>
    </w:p>
    <w:p w14:paraId="4FE1A311">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根据《建设项目环境风险评价技术导则》（</w:t>
      </w:r>
      <w:r>
        <w:rPr>
          <w:rFonts w:hint="eastAsia" w:cs="Times New Roman"/>
          <w:color w:val="auto"/>
          <w:sz w:val="24"/>
          <w:lang w:eastAsia="zh-CN"/>
        </w:rPr>
        <w:t>HJ169-2018</w:t>
      </w:r>
      <w:r>
        <w:rPr>
          <w:rFonts w:hint="default" w:ascii="Times New Roman" w:hAnsi="Times New Roman" w:cs="Times New Roman"/>
          <w:color w:val="auto"/>
          <w:sz w:val="24"/>
        </w:rPr>
        <w:t>）目录B，计算厂区最大存储量与临界量比值如下表所示。</w:t>
      </w:r>
    </w:p>
    <w:p w14:paraId="26115D53">
      <w:pPr>
        <w:pStyle w:val="19"/>
        <w:numPr>
          <w:ilvl w:val="0"/>
          <w:numId w:val="33"/>
        </w:numPr>
        <w:bidi w:val="0"/>
        <w:ind w:left="0" w:leftChars="0" w:firstLine="0" w:firstLineChars="0"/>
        <w:rPr>
          <w:rFonts w:hint="default"/>
          <w:color w:val="auto"/>
        </w:rPr>
      </w:pPr>
      <w:r>
        <w:rPr>
          <w:rFonts w:hint="default"/>
          <w:color w:val="auto"/>
          <w:lang w:val="en-US" w:eastAsia="zh-CN"/>
        </w:rPr>
        <w:t>本项目环境风险物质与临界量Q值确定表</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590"/>
        <w:gridCol w:w="1553"/>
        <w:gridCol w:w="1639"/>
        <w:gridCol w:w="1675"/>
        <w:gridCol w:w="1238"/>
        <w:gridCol w:w="2145"/>
      </w:tblGrid>
      <w:tr w14:paraId="0FB9FB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34" w:type="pct"/>
            <w:tcBorders>
              <w:top w:val="single" w:color="auto" w:sz="12" w:space="0"/>
            </w:tcBorders>
            <w:noWrap w:val="0"/>
            <w:vAlign w:val="center"/>
          </w:tcPr>
          <w:p w14:paraId="2DF35EF9">
            <w:pPr>
              <w:pStyle w:val="16"/>
              <w:bidi w:val="0"/>
              <w:rPr>
                <w:rFonts w:hint="default"/>
                <w:b/>
                <w:bCs/>
                <w:color w:val="auto"/>
              </w:rPr>
            </w:pPr>
            <w:r>
              <w:rPr>
                <w:rFonts w:hint="default"/>
                <w:b/>
                <w:bCs/>
                <w:color w:val="auto"/>
              </w:rPr>
              <w:t>序号</w:t>
            </w:r>
          </w:p>
        </w:tc>
        <w:tc>
          <w:tcPr>
            <w:tcW w:w="878" w:type="pct"/>
            <w:tcBorders>
              <w:top w:val="single" w:color="auto" w:sz="12" w:space="0"/>
            </w:tcBorders>
            <w:noWrap w:val="0"/>
            <w:vAlign w:val="center"/>
          </w:tcPr>
          <w:p w14:paraId="0986A584">
            <w:pPr>
              <w:pStyle w:val="16"/>
              <w:bidi w:val="0"/>
              <w:rPr>
                <w:rFonts w:hint="default"/>
                <w:b/>
                <w:bCs/>
                <w:color w:val="auto"/>
              </w:rPr>
            </w:pPr>
            <w:r>
              <w:rPr>
                <w:rFonts w:hint="default"/>
                <w:b/>
                <w:bCs/>
                <w:color w:val="auto"/>
              </w:rPr>
              <w:t>危险物质名称</w:t>
            </w:r>
          </w:p>
        </w:tc>
        <w:tc>
          <w:tcPr>
            <w:tcW w:w="927" w:type="pct"/>
            <w:tcBorders>
              <w:top w:val="single" w:color="auto" w:sz="12" w:space="0"/>
            </w:tcBorders>
            <w:noWrap w:val="0"/>
            <w:vAlign w:val="center"/>
          </w:tcPr>
          <w:p w14:paraId="796D6800">
            <w:pPr>
              <w:pStyle w:val="16"/>
              <w:bidi w:val="0"/>
              <w:rPr>
                <w:rFonts w:hint="default"/>
                <w:b/>
                <w:bCs/>
                <w:color w:val="auto"/>
                <w:lang w:val="en-US" w:eastAsia="zh-CN"/>
              </w:rPr>
            </w:pPr>
            <w:r>
              <w:rPr>
                <w:rFonts w:hint="eastAsia"/>
                <w:b/>
                <w:bCs/>
                <w:color w:val="auto"/>
                <w:lang w:val="en-US" w:eastAsia="zh-CN"/>
              </w:rPr>
              <w:t>用途</w:t>
            </w:r>
          </w:p>
        </w:tc>
        <w:tc>
          <w:tcPr>
            <w:tcW w:w="947" w:type="pct"/>
            <w:tcBorders>
              <w:top w:val="single" w:color="auto" w:sz="12" w:space="0"/>
            </w:tcBorders>
            <w:noWrap w:val="0"/>
            <w:vAlign w:val="center"/>
          </w:tcPr>
          <w:p w14:paraId="47647073">
            <w:pPr>
              <w:pStyle w:val="16"/>
              <w:bidi w:val="0"/>
              <w:rPr>
                <w:rFonts w:hint="default"/>
                <w:b/>
                <w:bCs/>
                <w:color w:val="auto"/>
              </w:rPr>
            </w:pPr>
            <w:r>
              <w:rPr>
                <w:rFonts w:hint="default"/>
                <w:b/>
                <w:bCs/>
                <w:color w:val="auto"/>
              </w:rPr>
              <w:t>最大存在总量t</w:t>
            </w:r>
          </w:p>
        </w:tc>
        <w:tc>
          <w:tcPr>
            <w:tcW w:w="698" w:type="pct"/>
            <w:tcBorders>
              <w:top w:val="single" w:color="auto" w:sz="12" w:space="0"/>
            </w:tcBorders>
            <w:noWrap w:val="0"/>
            <w:vAlign w:val="center"/>
          </w:tcPr>
          <w:p w14:paraId="34CE0CAD">
            <w:pPr>
              <w:pStyle w:val="16"/>
              <w:bidi w:val="0"/>
              <w:rPr>
                <w:rFonts w:hint="default"/>
                <w:b/>
                <w:bCs/>
                <w:color w:val="auto"/>
              </w:rPr>
            </w:pPr>
            <w:r>
              <w:rPr>
                <w:rFonts w:hint="default"/>
                <w:b/>
                <w:bCs/>
                <w:color w:val="auto"/>
              </w:rPr>
              <w:t>临界量t</w:t>
            </w:r>
          </w:p>
        </w:tc>
        <w:tc>
          <w:tcPr>
            <w:tcW w:w="1213" w:type="pct"/>
            <w:tcBorders>
              <w:top w:val="single" w:color="auto" w:sz="12" w:space="0"/>
            </w:tcBorders>
            <w:noWrap w:val="0"/>
            <w:vAlign w:val="center"/>
          </w:tcPr>
          <w:p w14:paraId="5F9E57E3">
            <w:pPr>
              <w:pStyle w:val="16"/>
              <w:bidi w:val="0"/>
              <w:rPr>
                <w:rFonts w:hint="default"/>
                <w:b/>
                <w:bCs/>
                <w:color w:val="auto"/>
              </w:rPr>
            </w:pPr>
            <w:r>
              <w:rPr>
                <w:rFonts w:hint="default"/>
                <w:b/>
                <w:bCs/>
                <w:color w:val="auto"/>
              </w:rPr>
              <w:t>该种危险物质Q值</w:t>
            </w:r>
          </w:p>
        </w:tc>
      </w:tr>
      <w:tr w14:paraId="4A4536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34" w:type="pct"/>
            <w:noWrap w:val="0"/>
            <w:vAlign w:val="center"/>
          </w:tcPr>
          <w:p w14:paraId="405B707D">
            <w:pPr>
              <w:pStyle w:val="16"/>
              <w:bidi w:val="0"/>
              <w:rPr>
                <w:rFonts w:hint="default"/>
                <w:color w:val="auto"/>
              </w:rPr>
            </w:pPr>
            <w:r>
              <w:rPr>
                <w:rFonts w:hint="default"/>
                <w:color w:val="auto"/>
              </w:rPr>
              <w:t>1</w:t>
            </w:r>
          </w:p>
        </w:tc>
        <w:tc>
          <w:tcPr>
            <w:tcW w:w="878" w:type="pct"/>
            <w:noWrap w:val="0"/>
            <w:vAlign w:val="center"/>
          </w:tcPr>
          <w:p w14:paraId="7A85DD22">
            <w:pPr>
              <w:pStyle w:val="16"/>
              <w:bidi w:val="0"/>
              <w:ind w:left="0" w:leftChars="0" w:firstLine="0" w:firstLineChars="0"/>
              <w:rPr>
                <w:rFonts w:hint="default"/>
                <w:color w:val="auto"/>
              </w:rPr>
            </w:pPr>
            <w:r>
              <w:rPr>
                <w:rFonts w:hint="eastAsia"/>
                <w:color w:val="auto"/>
                <w:lang w:val="en-US" w:eastAsia="zh-CN"/>
              </w:rPr>
              <w:t>次氯酸钠</w:t>
            </w:r>
          </w:p>
        </w:tc>
        <w:tc>
          <w:tcPr>
            <w:tcW w:w="927" w:type="pct"/>
            <w:noWrap w:val="0"/>
            <w:vAlign w:val="center"/>
          </w:tcPr>
          <w:p w14:paraId="4D34B8C8">
            <w:pPr>
              <w:pStyle w:val="16"/>
              <w:bidi w:val="0"/>
              <w:ind w:left="0" w:leftChars="0" w:firstLine="0" w:firstLineChars="0"/>
              <w:rPr>
                <w:rFonts w:hint="default"/>
                <w:color w:val="auto"/>
                <w:lang w:val="en-US" w:eastAsia="zh-CN"/>
              </w:rPr>
            </w:pPr>
            <w:r>
              <w:rPr>
                <w:rFonts w:hint="eastAsia"/>
                <w:color w:val="auto"/>
                <w:lang w:val="en-US" w:eastAsia="zh-CN"/>
              </w:rPr>
              <w:t>消毒</w:t>
            </w:r>
          </w:p>
        </w:tc>
        <w:tc>
          <w:tcPr>
            <w:tcW w:w="947" w:type="pct"/>
            <w:noWrap w:val="0"/>
            <w:vAlign w:val="center"/>
          </w:tcPr>
          <w:p w14:paraId="4F7D552A">
            <w:pPr>
              <w:pStyle w:val="16"/>
              <w:bidi w:val="0"/>
              <w:ind w:left="0" w:leftChars="0" w:firstLine="0" w:firstLineChars="0"/>
              <w:rPr>
                <w:rFonts w:hint="default"/>
                <w:color w:val="auto"/>
                <w:lang w:val="en-US"/>
              </w:rPr>
            </w:pPr>
            <w:r>
              <w:rPr>
                <w:rFonts w:hint="eastAsia"/>
                <w:color w:val="auto"/>
                <w:lang w:val="en-US" w:eastAsia="zh-CN"/>
              </w:rPr>
              <w:t>0.2</w:t>
            </w:r>
          </w:p>
        </w:tc>
        <w:tc>
          <w:tcPr>
            <w:tcW w:w="698" w:type="pct"/>
            <w:noWrap w:val="0"/>
            <w:vAlign w:val="center"/>
          </w:tcPr>
          <w:p w14:paraId="14A5BC78">
            <w:pPr>
              <w:pStyle w:val="16"/>
              <w:bidi w:val="0"/>
              <w:ind w:left="0" w:leftChars="0" w:firstLine="0" w:firstLineChars="0"/>
              <w:rPr>
                <w:rFonts w:hint="default"/>
                <w:color w:val="auto"/>
              </w:rPr>
            </w:pPr>
            <w:r>
              <w:rPr>
                <w:rFonts w:hint="eastAsia"/>
                <w:color w:val="auto"/>
                <w:lang w:val="en-US" w:eastAsia="zh-CN"/>
              </w:rPr>
              <w:t>5</w:t>
            </w:r>
          </w:p>
        </w:tc>
        <w:tc>
          <w:tcPr>
            <w:tcW w:w="1213" w:type="pct"/>
            <w:noWrap w:val="0"/>
            <w:vAlign w:val="center"/>
          </w:tcPr>
          <w:p w14:paraId="36AA21B1">
            <w:pPr>
              <w:pStyle w:val="16"/>
              <w:bidi w:val="0"/>
              <w:ind w:left="0" w:leftChars="0" w:firstLine="0" w:firstLineChars="0"/>
              <w:rPr>
                <w:rFonts w:hint="default"/>
                <w:color w:val="auto"/>
                <w:lang w:val="en-US"/>
              </w:rPr>
            </w:pPr>
            <w:r>
              <w:rPr>
                <w:rFonts w:hint="eastAsia"/>
                <w:color w:val="auto"/>
                <w:lang w:val="en-US" w:eastAsia="zh-CN"/>
              </w:rPr>
              <w:t>0.04</w:t>
            </w:r>
          </w:p>
        </w:tc>
      </w:tr>
      <w:tr w14:paraId="0CDEF7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786" w:type="pct"/>
            <w:gridSpan w:val="5"/>
            <w:noWrap w:val="0"/>
            <w:vAlign w:val="center"/>
          </w:tcPr>
          <w:p w14:paraId="50F98A48">
            <w:pPr>
              <w:pStyle w:val="16"/>
              <w:bidi w:val="0"/>
              <w:rPr>
                <w:rFonts w:hint="default"/>
                <w:color w:val="auto"/>
              </w:rPr>
            </w:pPr>
            <w:r>
              <w:rPr>
                <w:rFonts w:hint="default"/>
                <w:color w:val="auto"/>
              </w:rPr>
              <w:t>合计</w:t>
            </w:r>
          </w:p>
        </w:tc>
        <w:tc>
          <w:tcPr>
            <w:tcW w:w="1213" w:type="pct"/>
            <w:noWrap w:val="0"/>
            <w:vAlign w:val="center"/>
          </w:tcPr>
          <w:p w14:paraId="17D13F2D">
            <w:pPr>
              <w:pStyle w:val="16"/>
              <w:bidi w:val="0"/>
              <w:rPr>
                <w:rFonts w:hint="default"/>
                <w:color w:val="auto"/>
                <w:lang w:val="en-US" w:eastAsia="zh-CN"/>
              </w:rPr>
            </w:pPr>
            <w:r>
              <w:rPr>
                <w:rFonts w:hint="eastAsia"/>
                <w:color w:val="auto"/>
                <w:lang w:val="en-US" w:eastAsia="zh-CN"/>
              </w:rPr>
              <w:t>0.04</w:t>
            </w:r>
          </w:p>
        </w:tc>
      </w:tr>
    </w:tbl>
    <w:p w14:paraId="058DE3AD">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ascii="Times New Roman" w:hAnsi="Times New Roman" w:cs="Times New Roman"/>
          <w:color w:val="auto"/>
          <w:sz w:val="24"/>
        </w:rPr>
      </w:pPr>
      <w:r>
        <w:rPr>
          <w:rFonts w:hint="default" w:ascii="Times New Roman" w:hAnsi="Times New Roman" w:cs="Times New Roman"/>
          <w:color w:val="auto"/>
          <w:sz w:val="24"/>
        </w:rPr>
        <w:t>根据计算，本项目风险物质存储量与临界量</w:t>
      </w:r>
      <w:r>
        <w:rPr>
          <w:rFonts w:hint="default" w:ascii="Times New Roman" w:hAnsi="Times New Roman" w:cs="Times New Roman"/>
          <w:color w:val="auto"/>
          <w:sz w:val="24"/>
          <w:szCs w:val="24"/>
        </w:rPr>
        <w:t>比值Q=</w:t>
      </w:r>
      <w:r>
        <w:rPr>
          <w:rFonts w:hint="eastAsia" w:cs="Times New Roman"/>
          <w:color w:val="auto"/>
          <w:sz w:val="24"/>
          <w:szCs w:val="24"/>
          <w:lang w:val="en-US" w:eastAsia="zh-CN"/>
        </w:rPr>
        <w:t>0.04</w:t>
      </w:r>
      <w:r>
        <w:rPr>
          <w:rFonts w:hint="default" w:ascii="Times New Roman" w:hAnsi="Times New Roman" w:cs="Times New Roman"/>
          <w:color w:val="auto"/>
          <w:sz w:val="24"/>
          <w:szCs w:val="24"/>
        </w:rPr>
        <w:t>＜1，未</w:t>
      </w:r>
      <w:r>
        <w:rPr>
          <w:rFonts w:hint="default" w:ascii="Times New Roman" w:hAnsi="Times New Roman" w:cs="Times New Roman"/>
          <w:color w:val="auto"/>
          <w:sz w:val="24"/>
        </w:rPr>
        <w:t>超过临界量。因此，本项目环境风险潜势为Ⅰ级，评价等级为“简单分析”。</w:t>
      </w:r>
    </w:p>
    <w:p w14:paraId="3B9D5766">
      <w:pPr>
        <w:pStyle w:val="4"/>
        <w:bidi w:val="0"/>
        <w:rPr>
          <w:color w:val="auto"/>
        </w:rPr>
      </w:pPr>
      <w:r>
        <w:rPr>
          <w:rFonts w:hint="eastAsia"/>
          <w:color w:val="auto"/>
        </w:rPr>
        <w:t xml:space="preserve"> </w:t>
      </w:r>
      <w:bookmarkStart w:id="257" w:name="_Toc30860"/>
      <w:r>
        <w:rPr>
          <w:color w:val="auto"/>
        </w:rPr>
        <w:t>环境风险事故类型</w:t>
      </w:r>
      <w:bookmarkEnd w:id="257"/>
    </w:p>
    <w:p w14:paraId="2A273F6E">
      <w:pPr>
        <w:bidi w:val="0"/>
        <w:rPr>
          <w:color w:val="auto"/>
        </w:rPr>
      </w:pPr>
      <w:r>
        <w:rPr>
          <w:color w:val="auto"/>
        </w:rPr>
        <w:t>本项目存在的风险事故类型主要有：</w:t>
      </w:r>
    </w:p>
    <w:p w14:paraId="07CA16B2">
      <w:pPr>
        <w:pageBreakBefore w:val="0"/>
        <w:wordWrap/>
        <w:bidi w:val="0"/>
        <w:adjustRightInd/>
        <w:snapToGrid/>
        <w:ind w:firstLine="480"/>
        <w:rPr>
          <w:b/>
          <w:bCs/>
          <w:color w:val="auto"/>
        </w:rPr>
      </w:pPr>
      <w:r>
        <w:rPr>
          <w:b/>
          <w:bCs/>
          <w:color w:val="auto"/>
        </w:rPr>
        <w:t>1、进水污染事故</w:t>
      </w:r>
    </w:p>
    <w:p w14:paraId="21BB94C9">
      <w:pPr>
        <w:pageBreakBefore w:val="0"/>
        <w:wordWrap/>
        <w:bidi w:val="0"/>
        <w:adjustRightInd/>
        <w:snapToGrid/>
        <w:ind w:firstLine="480"/>
        <w:rPr>
          <w:color w:val="auto"/>
        </w:rPr>
      </w:pPr>
      <w:r>
        <w:rPr>
          <w:color w:val="auto"/>
        </w:rPr>
        <w:t>（1）进水污染事故</w:t>
      </w:r>
    </w:p>
    <w:p w14:paraId="59BE828A">
      <w:pPr>
        <w:pageBreakBefore w:val="0"/>
        <w:wordWrap/>
        <w:bidi w:val="0"/>
        <w:adjustRightInd/>
        <w:snapToGrid/>
        <w:ind w:firstLine="480"/>
        <w:rPr>
          <w:color w:val="auto"/>
        </w:rPr>
      </w:pPr>
      <w:r>
        <w:rPr>
          <w:color w:val="auto"/>
        </w:rPr>
        <w:t>工业企业生产的不连续性、生活污水</w:t>
      </w:r>
      <w:r>
        <w:rPr>
          <w:rFonts w:hint="eastAsia"/>
          <w:color w:val="auto"/>
          <w:lang w:eastAsia="zh-CN"/>
        </w:rPr>
        <w:t>出水水质</w:t>
      </w:r>
      <w:r>
        <w:rPr>
          <w:color w:val="auto"/>
        </w:rPr>
        <w:t>的不稳定、个别工业企业的生产设备或废水的预处理设施故障而发生污染事故等，都可能对污水处理厂的处理效率产生不利影响。</w:t>
      </w:r>
    </w:p>
    <w:p w14:paraId="7CD3E5A7">
      <w:pPr>
        <w:pageBreakBefore w:val="0"/>
        <w:wordWrap/>
        <w:bidi w:val="0"/>
        <w:adjustRightInd/>
        <w:snapToGrid/>
        <w:ind w:firstLine="480"/>
        <w:rPr>
          <w:color w:val="auto"/>
        </w:rPr>
      </w:pPr>
      <w:r>
        <w:rPr>
          <w:color w:val="auto"/>
        </w:rPr>
        <w:t>不连续性及</w:t>
      </w:r>
      <w:r>
        <w:rPr>
          <w:rFonts w:hint="eastAsia"/>
          <w:color w:val="auto"/>
          <w:lang w:eastAsia="zh-CN"/>
        </w:rPr>
        <w:t>出水水质</w:t>
      </w:r>
      <w:r>
        <w:rPr>
          <w:color w:val="auto"/>
        </w:rPr>
        <w:t>的不稳定属于普通的经常性问题，正常范围内的排水水质的不稳定并不会影响本污水处理厂整体进水水质，设计的处理工艺完全能够对付这样的不稳定，使尾水做到达标排放。</w:t>
      </w:r>
    </w:p>
    <w:p w14:paraId="756425F3">
      <w:pPr>
        <w:pageBreakBefore w:val="0"/>
        <w:wordWrap/>
        <w:bidi w:val="0"/>
        <w:adjustRightInd/>
        <w:snapToGrid/>
        <w:ind w:firstLine="480"/>
        <w:rPr>
          <w:color w:val="auto"/>
        </w:rPr>
      </w:pPr>
      <w:r>
        <w:rPr>
          <w:color w:val="auto"/>
        </w:rPr>
        <w:t>进水水质对本污水处理厂的威胁可能来自个别工业企业的生产设备或废水的预处理设施故障而发生的污染事故。虽然对这个企业来说，排放的污染物质可能成倍或成几十倍的增加，但对污水处理厂的进水来说，只要这些增加的物质不是重金属或有毒物质，大多数这类事故并不会对处理效率构成明显的影响。在极少数的情况下，发生事故的企业排放的废水量在污水处理厂进水中所占的分量较大，从而使处理效率下降，此时排放的尾水水质有超标的可能。</w:t>
      </w:r>
    </w:p>
    <w:p w14:paraId="0D8B5751">
      <w:pPr>
        <w:pageBreakBefore w:val="0"/>
        <w:wordWrap/>
        <w:bidi w:val="0"/>
        <w:adjustRightInd/>
        <w:snapToGrid/>
        <w:ind w:firstLine="480"/>
        <w:rPr>
          <w:color w:val="auto"/>
        </w:rPr>
      </w:pPr>
      <w:r>
        <w:rPr>
          <w:color w:val="auto"/>
        </w:rPr>
        <w:t>（2）设备故障事故及检修</w:t>
      </w:r>
    </w:p>
    <w:p w14:paraId="2F0062B4">
      <w:pPr>
        <w:pageBreakBefore w:val="0"/>
        <w:wordWrap/>
        <w:bidi w:val="0"/>
        <w:adjustRightInd/>
        <w:snapToGrid/>
        <w:ind w:firstLine="480"/>
        <w:rPr>
          <w:color w:val="auto"/>
        </w:rPr>
      </w:pPr>
      <w:r>
        <w:rPr>
          <w:color w:val="auto"/>
        </w:rPr>
        <w:t>本项目主要设备采用进口设备和国产优质设备。监测仪表和控制系统采用进口设备，自动监控水平较高。因此，本污水处理厂发生设备故障事故的可能性小。</w:t>
      </w:r>
    </w:p>
    <w:p w14:paraId="004D9E41">
      <w:pPr>
        <w:pageBreakBefore w:val="0"/>
        <w:wordWrap/>
        <w:bidi w:val="0"/>
        <w:adjustRightInd/>
        <w:snapToGrid/>
        <w:ind w:firstLine="480"/>
        <w:rPr>
          <w:b/>
          <w:bCs/>
          <w:color w:val="auto"/>
        </w:rPr>
      </w:pPr>
      <w:r>
        <w:rPr>
          <w:b/>
          <w:bCs/>
          <w:color w:val="auto"/>
        </w:rPr>
        <w:t>2、尾水事故排放</w:t>
      </w:r>
    </w:p>
    <w:p w14:paraId="412EE9D3">
      <w:pPr>
        <w:pageBreakBefore w:val="0"/>
        <w:wordWrap/>
        <w:bidi w:val="0"/>
        <w:adjustRightInd/>
        <w:snapToGrid/>
        <w:ind w:firstLine="480"/>
        <w:rPr>
          <w:color w:val="auto"/>
        </w:rPr>
      </w:pPr>
      <w:r>
        <w:rPr>
          <w:color w:val="auto"/>
        </w:rPr>
        <w:t>造成尾水事故排放的主要原因包括设备故障、污泥膨胀等。</w:t>
      </w:r>
    </w:p>
    <w:p w14:paraId="5D5203C3">
      <w:pPr>
        <w:pageBreakBefore w:val="0"/>
        <w:wordWrap/>
        <w:bidi w:val="0"/>
        <w:adjustRightInd/>
        <w:snapToGrid/>
        <w:ind w:firstLine="480"/>
        <w:rPr>
          <w:color w:val="auto"/>
        </w:rPr>
      </w:pPr>
      <w:r>
        <w:rPr>
          <w:color w:val="auto"/>
        </w:rPr>
        <w:t>污水处理厂一旦出现机械故障或停电，会直接影响污水处理厂的正常运行，尤其是遇到机械故障或长时间停电不运转将造成生化池中微生物大批死亡，而微生物培养需很长一段时间，这段时间污水只能从沉砂池后越过生化系统，直接排入</w:t>
      </w:r>
      <w:r>
        <w:rPr>
          <w:rFonts w:hint="eastAsia"/>
          <w:color w:val="auto"/>
          <w:lang w:eastAsia="zh-CN"/>
        </w:rPr>
        <w:t>巴河</w:t>
      </w:r>
      <w:r>
        <w:rPr>
          <w:color w:val="auto"/>
        </w:rPr>
        <w:t>，进而对</w:t>
      </w:r>
      <w:r>
        <w:rPr>
          <w:rFonts w:hint="eastAsia"/>
          <w:color w:val="auto"/>
          <w:lang w:eastAsia="zh-CN"/>
        </w:rPr>
        <w:t>巴河</w:t>
      </w:r>
      <w:r>
        <w:rPr>
          <w:color w:val="auto"/>
        </w:rPr>
        <w:t>水质造成污染。</w:t>
      </w:r>
    </w:p>
    <w:p w14:paraId="7CC4F6FF">
      <w:pPr>
        <w:pageBreakBefore w:val="0"/>
        <w:wordWrap/>
        <w:bidi w:val="0"/>
        <w:adjustRightInd/>
        <w:snapToGrid/>
        <w:ind w:firstLine="480"/>
        <w:rPr>
          <w:color w:val="auto"/>
        </w:rPr>
      </w:pPr>
      <w:r>
        <w:rPr>
          <w:color w:val="auto"/>
        </w:rPr>
        <w:t>正常的活性污泥沉降性能很好，含水率一般在99%左右，当活性污泥变质时，污泥就不易沉淀，含水率上升，体积膨胀，澄清液减少，这就是污泥膨胀。根据国内外活性污泥系统调查结果，无论是普通活性污泥系统，还是生物脱氮除磷系统都会</w:t>
      </w:r>
      <w:r>
        <w:rPr>
          <w:rFonts w:hint="eastAsia"/>
          <w:color w:val="auto"/>
          <w:lang w:eastAsia="zh-CN"/>
        </w:rPr>
        <w:t>发生</w:t>
      </w:r>
      <w:r>
        <w:rPr>
          <w:color w:val="auto"/>
        </w:rPr>
        <w:t>污泥膨胀，污泥膨胀是自活性污泥法问世以来在运行管理上一直困扰人们的难题之一。污泥膨胀一般是由丝状菌和真菌引起的，其中由丝状菌过量繁殖引起的污泥膨胀最为常见。目前已知的近30种丝状菌中，与污泥膨胀问题密切相关的有十几种。有的丝状菌引起的污泥膨胀发展迅速，2</w:t>
      </w:r>
      <w:r>
        <w:rPr>
          <w:rFonts w:hint="eastAsia"/>
          <w:color w:val="auto"/>
          <w:lang w:eastAsia="zh-CN"/>
        </w:rPr>
        <w:t>～</w:t>
      </w:r>
      <w:r>
        <w:rPr>
          <w:color w:val="auto"/>
        </w:rPr>
        <w:t>4d就可达到非常严重的结果，而且非常持久。当发生污泥膨胀时，会严重影响污水处理设施的处理效果，甚至完全失效时，尾水将严重超标排放。</w:t>
      </w:r>
    </w:p>
    <w:p w14:paraId="22620D6D">
      <w:pPr>
        <w:pageBreakBefore w:val="0"/>
        <w:wordWrap/>
        <w:bidi w:val="0"/>
        <w:adjustRightInd/>
        <w:snapToGrid/>
        <w:ind w:firstLine="480"/>
        <w:rPr>
          <w:b/>
          <w:bCs/>
          <w:color w:val="auto"/>
        </w:rPr>
      </w:pPr>
      <w:r>
        <w:rPr>
          <w:b/>
          <w:bCs/>
          <w:color w:val="auto"/>
        </w:rPr>
        <w:t>3、管道故障</w:t>
      </w:r>
    </w:p>
    <w:p w14:paraId="35EC366A">
      <w:pPr>
        <w:pageBreakBefore w:val="0"/>
        <w:wordWrap/>
        <w:bidi w:val="0"/>
        <w:adjustRightInd/>
        <w:snapToGrid/>
        <w:ind w:firstLine="480"/>
        <w:rPr>
          <w:color w:val="auto"/>
        </w:rPr>
      </w:pPr>
      <w:r>
        <w:rPr>
          <w:color w:val="auto"/>
        </w:rPr>
        <w:t>当管道发生堵塞或管壁由于受外部冲击压力或其他原因产生裂缝，会造成污水的渗漏，污染地表水、土壤及地下水。本工程敷设污水尾水排放管线时须做好相应的防渗措施。为减少管道故障所引起的环境风险影响，应有专门的管道工程养护管理队伍，对负责的管线进行日常的养护和管理，系统地检查管道的淤塞及损坏情况，有计划地安排管道的修理。养护工作人员必须熟悉管线情况、各项设备的安装部位和性能、用户接管的方位等，以便及时处理。同时要制定好管线故障时的应急处理方案。管道维修开挖的土方要合理堆放，有效围栏施工场地，尽量减少扬尘和施工噪声等。</w:t>
      </w:r>
    </w:p>
    <w:p w14:paraId="1EA2BA04">
      <w:pPr>
        <w:pStyle w:val="4"/>
        <w:bidi w:val="0"/>
        <w:rPr>
          <w:color w:val="auto"/>
        </w:rPr>
      </w:pPr>
      <w:r>
        <w:rPr>
          <w:rFonts w:hint="eastAsia"/>
          <w:color w:val="auto"/>
        </w:rPr>
        <w:t xml:space="preserve"> </w:t>
      </w:r>
      <w:bookmarkStart w:id="258" w:name="_Toc20463"/>
      <w:r>
        <w:rPr>
          <w:color w:val="auto"/>
        </w:rPr>
        <w:t>环境风险源项分析</w:t>
      </w:r>
      <w:bookmarkEnd w:id="258"/>
    </w:p>
    <w:p w14:paraId="0607AFB3">
      <w:pPr>
        <w:pageBreakBefore w:val="0"/>
        <w:wordWrap/>
        <w:autoSpaceDE w:val="0"/>
        <w:autoSpaceDN w:val="0"/>
        <w:bidi w:val="0"/>
        <w:adjustRightInd/>
        <w:snapToGrid/>
        <w:ind w:firstLine="480"/>
        <w:rPr>
          <w:color w:val="auto"/>
          <w:kern w:val="0"/>
        </w:rPr>
      </w:pPr>
      <w:r>
        <w:rPr>
          <w:color w:val="auto"/>
          <w:kern w:val="0"/>
        </w:rPr>
        <w:t>根据国内同类型污水处理装置事故案例资料类比调查分析，污水处理厂运行过程中存在的环境风险主要为污水处理系统故障或停运造成的污水事故性排放。本环评主要对项目废水事故性排放导致的环境影响进行分析、评价。</w:t>
      </w:r>
    </w:p>
    <w:p w14:paraId="1218CBA5">
      <w:pPr>
        <w:pageBreakBefore w:val="0"/>
        <w:wordWrap/>
        <w:autoSpaceDE w:val="0"/>
        <w:autoSpaceDN w:val="0"/>
        <w:bidi w:val="0"/>
        <w:adjustRightInd/>
        <w:snapToGrid/>
        <w:ind w:firstLine="480"/>
        <w:rPr>
          <w:b/>
          <w:bCs/>
          <w:color w:val="auto"/>
          <w:kern w:val="0"/>
        </w:rPr>
      </w:pPr>
      <w:r>
        <w:rPr>
          <w:b/>
          <w:bCs/>
          <w:color w:val="auto"/>
          <w:kern w:val="0"/>
        </w:rPr>
        <w:t>1、大气环境风险分析</w:t>
      </w:r>
    </w:p>
    <w:p w14:paraId="51BCE595">
      <w:pPr>
        <w:pageBreakBefore w:val="0"/>
        <w:wordWrap/>
        <w:autoSpaceDE w:val="0"/>
        <w:autoSpaceDN w:val="0"/>
        <w:bidi w:val="0"/>
        <w:adjustRightInd/>
        <w:snapToGrid/>
        <w:ind w:firstLine="480"/>
        <w:rPr>
          <w:color w:val="auto"/>
          <w:kern w:val="0"/>
        </w:rPr>
      </w:pPr>
      <w:r>
        <w:rPr>
          <w:color w:val="auto"/>
          <w:kern w:val="0"/>
        </w:rPr>
        <w:t>本项目厂区内贮存的危险化学品为</w:t>
      </w:r>
      <w:r>
        <w:rPr>
          <w:rFonts w:hint="eastAsia"/>
          <w:color w:val="auto"/>
          <w:kern w:val="0"/>
        </w:rPr>
        <w:t>次氯酸钠</w:t>
      </w:r>
      <w:r>
        <w:rPr>
          <w:color w:val="auto"/>
          <w:kern w:val="0"/>
        </w:rPr>
        <w:t>，不挥发。项目采用</w:t>
      </w:r>
      <w:r>
        <w:rPr>
          <w:rFonts w:hint="eastAsia"/>
          <w:color w:val="auto"/>
          <w:kern w:val="0"/>
        </w:rPr>
        <w:t>半</w:t>
      </w:r>
      <w:r>
        <w:rPr>
          <w:color w:val="auto"/>
          <w:kern w:val="0"/>
        </w:rPr>
        <w:t>地上式</w:t>
      </w:r>
      <w:r>
        <w:rPr>
          <w:rFonts w:hint="eastAsia"/>
          <w:color w:val="auto"/>
          <w:kern w:val="0"/>
          <w:lang w:eastAsia="zh-CN"/>
        </w:rPr>
        <w:t>污水处理厂</w:t>
      </w:r>
      <w:r>
        <w:rPr>
          <w:color w:val="auto"/>
          <w:kern w:val="0"/>
        </w:rPr>
        <w:t>型式，主要构建筑物均进行加盖，有效地防止了恶臭气体向周边扩散，故本项目环境风险事故对大气环境影响较小。</w:t>
      </w:r>
    </w:p>
    <w:p w14:paraId="7BCAE363">
      <w:pPr>
        <w:pageBreakBefore w:val="0"/>
        <w:wordWrap/>
        <w:autoSpaceDE w:val="0"/>
        <w:autoSpaceDN w:val="0"/>
        <w:bidi w:val="0"/>
        <w:adjustRightInd/>
        <w:snapToGrid/>
        <w:ind w:firstLine="480"/>
        <w:rPr>
          <w:b/>
          <w:bCs/>
          <w:color w:val="auto"/>
          <w:kern w:val="0"/>
        </w:rPr>
      </w:pPr>
      <w:r>
        <w:rPr>
          <w:b/>
          <w:bCs/>
          <w:color w:val="auto"/>
          <w:kern w:val="0"/>
        </w:rPr>
        <w:t>2、地表水环境风险分析</w:t>
      </w:r>
    </w:p>
    <w:p w14:paraId="4CE04A1F">
      <w:pPr>
        <w:pageBreakBefore w:val="0"/>
        <w:wordWrap/>
        <w:bidi w:val="0"/>
        <w:adjustRightInd/>
        <w:snapToGrid/>
        <w:ind w:firstLine="480"/>
        <w:rPr>
          <w:color w:val="auto"/>
        </w:rPr>
      </w:pPr>
      <w:r>
        <w:rPr>
          <w:color w:val="auto"/>
          <w:kern w:val="0"/>
        </w:rPr>
        <w:t>根据国内同类型污水处理装置事故案例资料类比调查分析，污水处理厂运行过程中存在的环境风险主要为污水处理系统故障或停运造成的污水事故性排放。污水处理厂正常运转、尾水达标排放的情况下，对</w:t>
      </w:r>
      <w:r>
        <w:rPr>
          <w:rFonts w:hint="eastAsia"/>
          <w:color w:val="auto"/>
          <w:kern w:val="0"/>
          <w:lang w:eastAsia="zh-CN"/>
        </w:rPr>
        <w:t>巴河</w:t>
      </w:r>
      <w:r>
        <w:rPr>
          <w:color w:val="auto"/>
          <w:kern w:val="0"/>
        </w:rPr>
        <w:t>水质不会造成污染性影响。但在非正常运转的条件（事故状态）下，由于污水集中于一处排放，将对集中排放口下游河段产生较大污染影响。环评要求：在任何情况下，</w:t>
      </w:r>
      <w:r>
        <w:rPr>
          <w:rFonts w:hint="eastAsia"/>
          <w:color w:val="auto"/>
          <w:kern w:val="0"/>
          <w:lang w:eastAsia="zh-CN"/>
        </w:rPr>
        <w:t>污水处理厂</w:t>
      </w:r>
      <w:r>
        <w:rPr>
          <w:color w:val="auto"/>
          <w:kern w:val="0"/>
        </w:rPr>
        <w:t>未经处理的废水不得直接排入地表水水体。一旦发生污水处理设施或供电系统故障等事故，</w:t>
      </w:r>
      <w:r>
        <w:rPr>
          <w:rFonts w:hint="eastAsia"/>
          <w:color w:val="auto"/>
          <w:kern w:val="0"/>
          <w:lang w:eastAsia="zh-CN"/>
        </w:rPr>
        <w:t>污水处理厂</w:t>
      </w:r>
      <w:r>
        <w:rPr>
          <w:color w:val="auto"/>
          <w:kern w:val="0"/>
        </w:rPr>
        <w:t>应将来水暂存于事故水池（容积为</w:t>
      </w:r>
      <w:r>
        <w:rPr>
          <w:rFonts w:hint="eastAsia"/>
          <w:color w:val="auto"/>
          <w:kern w:val="0"/>
          <w:lang w:val="en-US" w:eastAsia="zh-CN"/>
        </w:rPr>
        <w:t>3000</w:t>
      </w:r>
      <w:r>
        <w:rPr>
          <w:rFonts w:hint="eastAsia"/>
          <w:color w:val="auto"/>
          <w:kern w:val="0"/>
          <w:lang w:eastAsia="zh-CN"/>
        </w:rPr>
        <w:t>m³</w:t>
      </w:r>
      <w:r>
        <w:rPr>
          <w:color w:val="auto"/>
          <w:kern w:val="0"/>
        </w:rPr>
        <w:t>）中，可满足项目</w:t>
      </w:r>
      <w:r>
        <w:rPr>
          <w:rFonts w:hint="eastAsia"/>
          <w:color w:val="auto"/>
          <w:kern w:val="0"/>
          <w:lang w:val="en-US" w:eastAsia="zh-CN"/>
        </w:rPr>
        <w:t>24</w:t>
      </w:r>
      <w:r>
        <w:rPr>
          <w:color w:val="auto"/>
          <w:kern w:val="0"/>
        </w:rPr>
        <w:t>小时废水收纳</w:t>
      </w:r>
      <w:r>
        <w:rPr>
          <w:rFonts w:hint="eastAsia"/>
          <w:color w:val="auto"/>
          <w:kern w:val="0"/>
        </w:rPr>
        <w:t>（废水量</w:t>
      </w:r>
      <w:r>
        <w:rPr>
          <w:color w:val="auto"/>
          <w:kern w:val="0"/>
        </w:rPr>
        <w:t>为</w:t>
      </w:r>
      <w:r>
        <w:rPr>
          <w:rFonts w:hint="eastAsia"/>
          <w:color w:val="auto"/>
          <w:kern w:val="0"/>
          <w:lang w:val="en-US" w:eastAsia="zh-CN"/>
        </w:rPr>
        <w:t>3000</w:t>
      </w:r>
      <w:r>
        <w:rPr>
          <w:rFonts w:hint="eastAsia"/>
          <w:color w:val="auto"/>
          <w:kern w:val="0"/>
          <w:lang w:eastAsia="zh-CN"/>
        </w:rPr>
        <w:t>m³</w:t>
      </w:r>
      <w:r>
        <w:rPr>
          <w:rFonts w:hint="eastAsia"/>
          <w:color w:val="auto"/>
          <w:kern w:val="0"/>
        </w:rPr>
        <w:t>）</w:t>
      </w:r>
      <w:r>
        <w:rPr>
          <w:color w:val="auto"/>
          <w:kern w:val="0"/>
        </w:rPr>
        <w:t>；</w:t>
      </w:r>
      <w:r>
        <w:rPr>
          <w:rFonts w:hint="eastAsia"/>
          <w:color w:val="auto"/>
          <w:kern w:val="0"/>
        </w:rPr>
        <w:t>将事故情况汇报相关主管部门，要求园区内</w:t>
      </w:r>
      <w:r>
        <w:rPr>
          <w:color w:val="auto"/>
          <w:kern w:val="0"/>
        </w:rPr>
        <w:t>企业将处理后废水引至自身设置的事故水池，关闭出水阀门，待</w:t>
      </w:r>
      <w:r>
        <w:rPr>
          <w:color w:val="auto"/>
        </w:rPr>
        <w:t>园区</w:t>
      </w:r>
      <w:r>
        <w:rPr>
          <w:rFonts w:hint="eastAsia"/>
          <w:color w:val="auto"/>
          <w:lang w:eastAsia="zh-CN"/>
        </w:rPr>
        <w:t>污水处理厂</w:t>
      </w:r>
      <w:r>
        <w:rPr>
          <w:color w:val="auto"/>
        </w:rPr>
        <w:t>恢复正常时再外排废水。此外，污水处理厂设计应有相应措施，加强对污水处理设施的管理，杜绝事故性排放。</w:t>
      </w:r>
    </w:p>
    <w:p w14:paraId="6EC97C39">
      <w:pPr>
        <w:pageBreakBefore w:val="0"/>
        <w:wordWrap/>
        <w:bidi w:val="0"/>
        <w:adjustRightInd/>
        <w:snapToGrid/>
        <w:ind w:firstLine="480"/>
        <w:rPr>
          <w:b/>
          <w:bCs/>
          <w:color w:val="auto"/>
        </w:rPr>
      </w:pPr>
      <w:r>
        <w:rPr>
          <w:b/>
          <w:bCs/>
          <w:color w:val="auto"/>
        </w:rPr>
        <w:t>3、地下水环境风险分析</w:t>
      </w:r>
    </w:p>
    <w:p w14:paraId="3966A223">
      <w:pPr>
        <w:pageBreakBefore w:val="0"/>
        <w:wordWrap/>
        <w:bidi w:val="0"/>
        <w:adjustRightInd/>
        <w:snapToGrid/>
        <w:ind w:firstLine="480"/>
        <w:rPr>
          <w:color w:val="auto"/>
        </w:rPr>
      </w:pPr>
      <w:r>
        <w:rPr>
          <w:color w:val="auto"/>
        </w:rPr>
        <w:t xml:space="preserve">报告书第 </w:t>
      </w:r>
      <w:r>
        <w:rPr>
          <w:rFonts w:hint="eastAsia"/>
          <w:color w:val="auto"/>
        </w:rPr>
        <w:t>4.2</w:t>
      </w:r>
      <w:r>
        <w:rPr>
          <w:color w:val="auto"/>
        </w:rPr>
        <w:t>小节对项目因池底</w:t>
      </w:r>
      <w:r>
        <w:rPr>
          <w:rFonts w:hint="eastAsia"/>
          <w:color w:val="auto"/>
          <w:lang w:eastAsia="zh-CN"/>
        </w:rPr>
        <w:t>泄漏</w:t>
      </w:r>
      <w:r>
        <w:rPr>
          <w:color w:val="auto"/>
        </w:rPr>
        <w:t>情形下，污水通过裂缝逐渐渗漏到地下水含水层中，对地下水水质造成污染的非正常工况进行了影响预测。详见报告书</w:t>
      </w:r>
      <w:r>
        <w:rPr>
          <w:rFonts w:hint="eastAsia"/>
          <w:color w:val="auto"/>
          <w:lang w:eastAsia="zh-CN"/>
        </w:rPr>
        <w:t>“</w:t>
      </w:r>
      <w:r>
        <w:rPr>
          <w:rFonts w:hint="eastAsia"/>
          <w:color w:val="auto"/>
        </w:rPr>
        <w:t>4.2</w:t>
      </w:r>
      <w:r>
        <w:rPr>
          <w:color w:val="auto"/>
        </w:rPr>
        <w:t xml:space="preserve"> 小节</w:t>
      </w:r>
      <w:r>
        <w:rPr>
          <w:rFonts w:hint="eastAsia"/>
          <w:color w:val="auto"/>
          <w:lang w:eastAsia="zh-CN"/>
        </w:rPr>
        <w:t>”</w:t>
      </w:r>
      <w:r>
        <w:rPr>
          <w:color w:val="auto"/>
        </w:rPr>
        <w:t>。</w:t>
      </w:r>
    </w:p>
    <w:p w14:paraId="4CA95311">
      <w:pPr>
        <w:pageBreakBefore w:val="0"/>
        <w:wordWrap/>
        <w:bidi w:val="0"/>
        <w:adjustRightInd/>
        <w:snapToGrid/>
        <w:ind w:firstLine="480"/>
        <w:rPr>
          <w:color w:val="auto"/>
        </w:rPr>
      </w:pPr>
      <w:r>
        <w:rPr>
          <w:color w:val="auto"/>
        </w:rPr>
        <w:t>预测结果表明，本项目非正常状况下产生污染物渗漏，由于受厂区水文地质条件的限制，各类污染物渗漏后最不利条件下的最大污染范围</w:t>
      </w:r>
      <w:r>
        <w:rPr>
          <w:rFonts w:hint="eastAsia"/>
          <w:color w:val="auto"/>
          <w:lang w:val="en-US" w:eastAsia="zh-CN"/>
        </w:rPr>
        <w:t>77</w:t>
      </w:r>
      <w:r>
        <w:rPr>
          <w:color w:val="auto"/>
        </w:rPr>
        <w:t>m，对厂区厂界外围环境敏感点不会造成影响。</w:t>
      </w:r>
    </w:p>
    <w:p w14:paraId="47F4EF39">
      <w:pPr>
        <w:pageBreakBefore w:val="0"/>
        <w:wordWrap/>
        <w:bidi w:val="0"/>
        <w:adjustRightInd/>
        <w:snapToGrid/>
        <w:ind w:firstLine="480"/>
        <w:rPr>
          <w:color w:val="auto"/>
        </w:rPr>
      </w:pPr>
      <w:r>
        <w:rPr>
          <w:color w:val="auto"/>
        </w:rPr>
        <w:t>因此，项目在运行的过程中加强设备及工程构筑物的检查与维护，避免污染物泄漏后污染地下水水质。同时。建设单位应做好相应长期监测工作，确保下游散居农户饮用水安全，一旦发现水质受影响，应立即通知相关部</w:t>
      </w:r>
      <w:r>
        <w:rPr>
          <w:rFonts w:hint="eastAsia"/>
          <w:color w:val="auto"/>
          <w:lang w:val="en-US" w:eastAsia="zh-CN"/>
        </w:rPr>
        <w:t>门</w:t>
      </w:r>
      <w:r>
        <w:rPr>
          <w:color w:val="auto"/>
        </w:rPr>
        <w:t>为受影响散居农户提供安全且稳定的饮用水供给。</w:t>
      </w:r>
    </w:p>
    <w:p w14:paraId="0B4E6205">
      <w:pPr>
        <w:pageBreakBefore w:val="0"/>
        <w:wordWrap/>
        <w:bidi w:val="0"/>
        <w:adjustRightInd/>
        <w:snapToGrid/>
        <w:ind w:firstLine="480"/>
        <w:rPr>
          <w:color w:val="auto"/>
        </w:rPr>
      </w:pPr>
      <w:r>
        <w:rPr>
          <w:color w:val="auto"/>
        </w:rPr>
        <w:t>本工程污水处理厂污水处理区采用了防渗防腐措施，配备有进水和出水的自动在线监测系统，一旦发生水质异常或污水处理系统故障，</w:t>
      </w:r>
      <w:r>
        <w:rPr>
          <w:rFonts w:hint="eastAsia"/>
          <w:color w:val="auto"/>
          <w:lang w:eastAsia="zh-CN"/>
        </w:rPr>
        <w:t>污水处理厂</w:t>
      </w:r>
      <w:r>
        <w:rPr>
          <w:color w:val="auto"/>
        </w:rPr>
        <w:t>工作人员即启动突发环境事件应急预案，关闭出水阀，可有效的防止废水等对地下水及地表水的污染迁移。故本项目环境风险事故对地表水、地下水的影响较小。</w:t>
      </w:r>
    </w:p>
    <w:p w14:paraId="55CEC2D2">
      <w:pPr>
        <w:pStyle w:val="4"/>
        <w:bidi w:val="0"/>
        <w:rPr>
          <w:color w:val="auto"/>
        </w:rPr>
      </w:pPr>
      <w:r>
        <w:rPr>
          <w:rFonts w:hint="eastAsia"/>
          <w:color w:val="auto"/>
        </w:rPr>
        <w:t xml:space="preserve"> </w:t>
      </w:r>
      <w:bookmarkStart w:id="259" w:name="_Toc11681"/>
      <w:r>
        <w:rPr>
          <w:color w:val="auto"/>
        </w:rPr>
        <w:t>环境风险防范措施及应急要求</w:t>
      </w:r>
      <w:bookmarkEnd w:id="259"/>
    </w:p>
    <w:p w14:paraId="5556B53B">
      <w:pPr>
        <w:pStyle w:val="5"/>
        <w:bidi w:val="0"/>
        <w:rPr>
          <w:color w:val="auto"/>
        </w:rPr>
      </w:pPr>
      <w:r>
        <w:rPr>
          <w:rFonts w:hint="eastAsia"/>
          <w:color w:val="auto"/>
          <w:lang w:val="en-US" w:eastAsia="zh-CN"/>
        </w:rPr>
        <w:t xml:space="preserve"> </w:t>
      </w:r>
      <w:r>
        <w:rPr>
          <w:color w:val="auto"/>
        </w:rPr>
        <w:t>风险防范措施</w:t>
      </w:r>
    </w:p>
    <w:p w14:paraId="409DB935">
      <w:pPr>
        <w:pageBreakBefore w:val="0"/>
        <w:wordWrap/>
        <w:bidi w:val="0"/>
        <w:adjustRightInd/>
        <w:snapToGrid/>
        <w:ind w:firstLine="482"/>
        <w:rPr>
          <w:b/>
          <w:color w:val="auto"/>
        </w:rPr>
      </w:pPr>
      <w:r>
        <w:rPr>
          <w:rFonts w:hint="eastAsia"/>
          <w:b/>
          <w:color w:val="auto"/>
          <w:lang w:val="en-US" w:eastAsia="zh-CN"/>
        </w:rPr>
        <w:t>1、</w:t>
      </w:r>
      <w:r>
        <w:rPr>
          <w:b/>
          <w:color w:val="auto"/>
        </w:rPr>
        <w:t>总图布置和建筑安全防范措施</w:t>
      </w:r>
    </w:p>
    <w:p w14:paraId="0802654C">
      <w:pPr>
        <w:pageBreakBefore w:val="0"/>
        <w:wordWrap/>
        <w:bidi w:val="0"/>
        <w:adjustRightInd/>
        <w:snapToGrid/>
        <w:ind w:firstLine="480"/>
        <w:rPr>
          <w:color w:val="auto"/>
        </w:rPr>
      </w:pPr>
      <w:r>
        <w:rPr>
          <w:color w:val="auto"/>
        </w:rPr>
        <w:t>总图布置应符合《工业企业总平面设计规范》</w:t>
      </w:r>
      <w:r>
        <w:rPr>
          <w:rFonts w:hint="eastAsia"/>
          <w:color w:val="auto"/>
          <w:lang w:eastAsia="zh-CN"/>
        </w:rPr>
        <w:t>（GB50187-2012）</w:t>
      </w:r>
      <w:r>
        <w:rPr>
          <w:color w:val="auto"/>
        </w:rPr>
        <w:t>、</w:t>
      </w:r>
      <w:r>
        <w:rPr>
          <w:rFonts w:hint="eastAsia"/>
          <w:color w:val="auto"/>
        </w:rPr>
        <w:t>《建筑设计防火规范》（GB 50016-2014[2018年版]）</w:t>
      </w:r>
      <w:r>
        <w:rPr>
          <w:color w:val="auto"/>
        </w:rPr>
        <w:t>等有关规定，应满足生产工艺要求，保证工艺流程</w:t>
      </w:r>
      <w:r>
        <w:rPr>
          <w:rFonts w:hint="eastAsia"/>
          <w:color w:val="auto"/>
          <w:lang w:eastAsia="zh-CN"/>
        </w:rPr>
        <w:t>顺畅</w:t>
      </w:r>
      <w:r>
        <w:rPr>
          <w:color w:val="auto"/>
        </w:rPr>
        <w:t>，管线短捷，有利生产和便于管理，同时应满足安全、卫生、环保、消防等有关标准规范的要求。</w:t>
      </w:r>
    </w:p>
    <w:p w14:paraId="451FADC0">
      <w:pPr>
        <w:pageBreakBefore w:val="0"/>
        <w:wordWrap/>
        <w:bidi w:val="0"/>
        <w:adjustRightInd/>
        <w:snapToGrid/>
        <w:ind w:firstLine="480"/>
        <w:rPr>
          <w:color w:val="auto"/>
        </w:rPr>
      </w:pPr>
      <w:r>
        <w:rPr>
          <w:color w:val="auto"/>
        </w:rPr>
        <w:t>按功能进行相对集中布置，按照功能分区，合理布置工艺设备和通道宽度，物料存放区和必要的运输、操作、检修空间与安全通道。</w:t>
      </w:r>
    </w:p>
    <w:p w14:paraId="74DA375A">
      <w:pPr>
        <w:pageBreakBefore w:val="0"/>
        <w:wordWrap/>
        <w:bidi w:val="0"/>
        <w:adjustRightInd/>
        <w:snapToGrid/>
        <w:ind w:firstLine="482"/>
        <w:rPr>
          <w:b/>
          <w:color w:val="auto"/>
        </w:rPr>
      </w:pPr>
      <w:bookmarkStart w:id="260" w:name="OLE_LINK11"/>
      <w:r>
        <w:rPr>
          <w:rFonts w:hint="eastAsia"/>
          <w:b/>
          <w:color w:val="auto"/>
          <w:lang w:val="en-US" w:eastAsia="zh-CN"/>
        </w:rPr>
        <w:t>2、</w:t>
      </w:r>
      <w:r>
        <w:rPr>
          <w:b/>
          <w:color w:val="auto"/>
        </w:rPr>
        <w:t>工艺技术和设计安全防范措施</w:t>
      </w:r>
    </w:p>
    <w:p w14:paraId="5BB7F21C">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生产工艺安全卫生设计必须符合人-机工程的原则，生产过程中尽量采用新工艺、新技术、新设备，采用成熟可靠的工艺技术。</w:t>
      </w:r>
    </w:p>
    <w:p w14:paraId="0551AAB2">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采用常规自动化仪表控制系统，并设计必要的自动报警、自动连锁系统。</w:t>
      </w:r>
    </w:p>
    <w:p w14:paraId="2E293BF7">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color w:val="auto"/>
        </w:rPr>
        <w:t>压力容器的设计、制造、安装和检验，国家有关标准和规定。厂房内的设备、管道必须采取有效的密封措施，防止物料的跑、冒、滴、漏。各种仪表、仪器、监测记录装置等，必须选用合理，灵敏可靠，易于</w:t>
      </w:r>
      <w:r>
        <w:rPr>
          <w:rFonts w:hint="eastAsia"/>
          <w:color w:val="auto"/>
          <w:lang w:eastAsia="zh-CN"/>
        </w:rPr>
        <w:t>辨识</w:t>
      </w:r>
      <w:r>
        <w:rPr>
          <w:color w:val="auto"/>
        </w:rPr>
        <w:t>。</w:t>
      </w:r>
    </w:p>
    <w:p w14:paraId="6B666F42">
      <w:pPr>
        <w:pageBreakBefore w:val="0"/>
        <w:wordWrap/>
        <w:bidi w:val="0"/>
        <w:adjustRightInd/>
        <w:snapToGrid/>
        <w:ind w:firstLine="482"/>
        <w:rPr>
          <w:color w:val="auto"/>
        </w:rPr>
      </w:pPr>
      <w:r>
        <w:rPr>
          <w:rFonts w:hint="eastAsia"/>
          <w:b/>
          <w:bCs/>
          <w:color w:val="auto"/>
          <w:lang w:val="en-US" w:eastAsia="zh-CN"/>
        </w:rPr>
        <w:t>3、</w:t>
      </w:r>
      <w:r>
        <w:rPr>
          <w:b/>
          <w:bCs/>
          <w:color w:val="auto"/>
        </w:rPr>
        <w:t>自动控制设计安全防范措施</w:t>
      </w:r>
    </w:p>
    <w:p w14:paraId="72ECC2D2">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采用集散控制系统，实现生产过程的正常操作、开停车操作以及生产过程数据采集、信息处理和生产管理的集中控制。对重要的参数设计自动调节以及越限报警和联锁系统，对易发生火灾、爆炸事故的设备采取安全联锁装置。</w:t>
      </w:r>
    </w:p>
    <w:p w14:paraId="2CCF3F14">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项目设计采用双电源，可避免停电造成污水处理系统停运，确保安全生产。对停电会造成人员疏散困难，处理事故所必要的事故照明场所应设应急电源，以便于人员疏散和突然</w:t>
      </w:r>
      <w:r>
        <w:rPr>
          <w:rFonts w:hint="eastAsia"/>
          <w:color w:val="auto"/>
          <w:lang w:eastAsia="zh-CN"/>
        </w:rPr>
        <w:t>停电</w:t>
      </w:r>
      <w:r>
        <w:rPr>
          <w:color w:val="auto"/>
        </w:rPr>
        <w:t>的事故处理。凡应采用安全电压的场所，应采用安全电压，安全电压标准按</w:t>
      </w:r>
      <w:r>
        <w:rPr>
          <w:rFonts w:hint="eastAsia"/>
          <w:color w:val="auto"/>
        </w:rPr>
        <w:t>《特低电压（ELV）限值》（GB/T 3805-2008）</w:t>
      </w:r>
      <w:r>
        <w:rPr>
          <w:color w:val="auto"/>
        </w:rPr>
        <w:t>的规定执行。</w:t>
      </w:r>
    </w:p>
    <w:p w14:paraId="54C2E775">
      <w:pPr>
        <w:pageBreakBefore w:val="0"/>
        <w:wordWrap/>
        <w:bidi w:val="0"/>
        <w:adjustRightInd/>
        <w:snapToGrid/>
        <w:ind w:firstLine="482"/>
        <w:rPr>
          <w:color w:val="auto"/>
        </w:rPr>
      </w:pPr>
      <w:r>
        <w:rPr>
          <w:rFonts w:hint="eastAsia"/>
          <w:b/>
          <w:bCs/>
          <w:color w:val="auto"/>
          <w:lang w:val="en-US" w:eastAsia="zh-CN"/>
        </w:rPr>
        <w:t>4、</w:t>
      </w:r>
      <w:r>
        <w:rPr>
          <w:b/>
          <w:bCs/>
          <w:color w:val="auto"/>
        </w:rPr>
        <w:t>消防及火灾报警系统</w:t>
      </w:r>
    </w:p>
    <w:p w14:paraId="7828880A">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生产装置四周的消防给水管网上应按规定设置室外消火栓，其布置应符合《建筑设计防火规范》的有关规定，</w:t>
      </w:r>
      <w:r>
        <w:rPr>
          <w:rFonts w:hint="eastAsia"/>
          <w:color w:val="auto"/>
          <w:lang w:eastAsia="zh-CN"/>
        </w:rPr>
        <w:t>并按</w:t>
      </w:r>
      <w:r>
        <w:rPr>
          <w:color w:val="auto"/>
        </w:rPr>
        <w:t>规范配置各型灭火器，其配置数量、型号应满足《</w:t>
      </w:r>
      <w:r>
        <w:rPr>
          <w:rFonts w:hint="eastAsia"/>
          <w:color w:val="auto"/>
          <w:lang w:eastAsia="zh-CN"/>
        </w:rPr>
        <w:t>建筑</w:t>
      </w:r>
      <w:r>
        <w:rPr>
          <w:color w:val="auto"/>
        </w:rPr>
        <w:t>灭火器配置设计规范》</w:t>
      </w:r>
      <w:r>
        <w:rPr>
          <w:rFonts w:hint="eastAsia"/>
          <w:color w:val="auto"/>
          <w:lang w:eastAsia="zh-CN"/>
        </w:rPr>
        <w:t>（</w:t>
      </w:r>
      <w:r>
        <w:rPr>
          <w:rFonts w:hint="eastAsia"/>
          <w:color w:val="auto"/>
        </w:rPr>
        <w:t>GB50140-2005</w:t>
      </w:r>
      <w:r>
        <w:rPr>
          <w:rFonts w:hint="eastAsia"/>
          <w:color w:val="auto"/>
          <w:lang w:eastAsia="zh-CN"/>
        </w:rPr>
        <w:t>）</w:t>
      </w:r>
      <w:r>
        <w:rPr>
          <w:color w:val="auto"/>
        </w:rPr>
        <w:t>的要求。</w:t>
      </w:r>
    </w:p>
    <w:p w14:paraId="6164A661">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配备足够的消防设施，消防水泵采用双电源双泵，以便在事故情况下快速启动消防水系统。生产区配置消防栓、各种手提式、推车式的CO</w:t>
      </w:r>
      <w:r>
        <w:rPr>
          <w:color w:val="auto"/>
          <w:vertAlign w:val="subscript"/>
        </w:rPr>
        <w:t>2</w:t>
      </w:r>
      <w:r>
        <w:rPr>
          <w:color w:val="auto"/>
        </w:rPr>
        <w:t>、干粉、泡沫、沙等灭火器材，以扑救初起火灾。</w:t>
      </w:r>
    </w:p>
    <w:p w14:paraId="756E77AC">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color w:val="auto"/>
        </w:rPr>
        <w:t>生产装置按规范要求设置火灾报警系统。生产现场应设置防爆型手动报警按钮，控制室、变配电室应设置感温探测器和手动报警按钮。</w:t>
      </w:r>
    </w:p>
    <w:p w14:paraId="632D2F4C">
      <w:pPr>
        <w:pStyle w:val="7"/>
        <w:pageBreakBefore w:val="0"/>
        <w:wordWrap/>
        <w:bidi w:val="0"/>
        <w:adjustRightInd/>
        <w:snapToGrid/>
        <w:spacing w:after="0" w:line="360" w:lineRule="auto"/>
        <w:ind w:left="0" w:leftChars="0" w:firstLine="482"/>
        <w:rPr>
          <w:color w:val="auto"/>
          <w:sz w:val="24"/>
        </w:rPr>
      </w:pPr>
      <w:r>
        <w:rPr>
          <w:rFonts w:hint="eastAsia"/>
          <w:b/>
          <w:bCs/>
          <w:color w:val="auto"/>
          <w:sz w:val="24"/>
          <w:lang w:val="en-US" w:eastAsia="zh-CN"/>
        </w:rPr>
        <w:t>5、</w:t>
      </w:r>
      <w:r>
        <w:rPr>
          <w:b/>
          <w:bCs/>
          <w:color w:val="auto"/>
          <w:sz w:val="24"/>
        </w:rPr>
        <w:t>生产管理安全防范措施</w:t>
      </w:r>
    </w:p>
    <w:p w14:paraId="09BFFBC2">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污水处理系统设置为并联的双系统，确保处理系统连续、稳定运行；安装在线监测系统，加强出水水质监控。</w:t>
      </w:r>
    </w:p>
    <w:p w14:paraId="37184113">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建立完整的生产、环保和安全管理制度，明确岗位职责，定期培训职工，提高安全生产和管理能力。</w:t>
      </w:r>
    </w:p>
    <w:p w14:paraId="36C70447">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color w:val="auto"/>
        </w:rPr>
        <w:t>加强对污水处理设施的运行管理和维护，将事故消灭在萌芽状态。定期检测、维修，及时更换腐蚀受损加强对污水处理设施的管理，杜绝污泥膨胀造成事故性排放。</w:t>
      </w:r>
    </w:p>
    <w:p w14:paraId="07227E98">
      <w:pPr>
        <w:pStyle w:val="66"/>
        <w:pageBreakBefore w:val="0"/>
        <w:wordWrap/>
        <w:bidi w:val="0"/>
        <w:adjustRightInd/>
        <w:snapToGrid/>
        <w:spacing w:line="360" w:lineRule="auto"/>
        <w:ind w:firstLine="482" w:firstLineChars="200"/>
        <w:jc w:val="both"/>
        <w:rPr>
          <w:rFonts w:ascii="Times New Roman" w:eastAsia="宋体" w:cs="Times New Roman"/>
          <w:b/>
          <w:bCs/>
          <w:color w:val="auto"/>
        </w:rPr>
      </w:pPr>
      <w:r>
        <w:rPr>
          <w:rFonts w:hint="eastAsia" w:ascii="Times New Roman" w:eastAsia="宋体" w:cs="Times New Roman"/>
          <w:b/>
          <w:bCs/>
          <w:color w:val="auto"/>
          <w:lang w:val="en-US" w:eastAsia="zh-CN"/>
        </w:rPr>
        <w:t>6、</w:t>
      </w:r>
      <w:r>
        <w:rPr>
          <w:rFonts w:ascii="Times New Roman" w:eastAsia="宋体" w:cs="Times New Roman"/>
          <w:b/>
          <w:bCs/>
          <w:color w:val="auto"/>
        </w:rPr>
        <w:t>废水事故排放风险防范措施</w:t>
      </w:r>
    </w:p>
    <w:p w14:paraId="035DC2E4">
      <w:pPr>
        <w:pageBreakBefore w:val="0"/>
        <w:wordWrap/>
        <w:bidi w:val="0"/>
        <w:adjustRightInd/>
        <w:snapToGrid/>
        <w:ind w:firstLine="480"/>
        <w:rPr>
          <w:color w:val="auto"/>
        </w:rPr>
      </w:pPr>
      <w:r>
        <w:rPr>
          <w:color w:val="auto"/>
        </w:rPr>
        <w:t>污水处理厂的事故来源于设备故障、检修或由于工艺参数改变而使处理效果变差，其防治措施为：</w:t>
      </w:r>
    </w:p>
    <w:p w14:paraId="3F5F1740">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污水处理厂按照设计采用双路供电，水泵设计考虑备用，机械设备采用性能可靠优质产品。</w:t>
      </w:r>
    </w:p>
    <w:p w14:paraId="0332A0D2">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为使在事故状态下污水处理厂能够迅速恢复正常运行，应在主要水工建筑物的容积上留有相应的缓冲能力，并配有相应的设备（如回流泵、回流管道、阀门及仪表等）。</w:t>
      </w:r>
    </w:p>
    <w:p w14:paraId="6C5208E5">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color w:val="auto"/>
        </w:rPr>
        <w:t>选用优质设备，对污水处理厂各种机械电器、仪表等设备，必须选择质量优良、事故率低、便于维修的产品。关键设备应一备一用，易损部件要有备用件，在出现事故时能及时更换。</w:t>
      </w:r>
    </w:p>
    <w:p w14:paraId="52EA708B">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4</w:t>
      </w:r>
      <w:r>
        <w:rPr>
          <w:rFonts w:hint="eastAsia"/>
          <w:color w:val="auto"/>
          <w:lang w:eastAsia="zh-CN"/>
        </w:rPr>
        <w:t>）</w:t>
      </w:r>
      <w:r>
        <w:rPr>
          <w:color w:val="auto"/>
        </w:rPr>
        <w:t>加强事故苗头监控，定期巡检、调节、保养、维修。及时发现有可能引起事故的异常运行苗头，消除事故隐患。</w:t>
      </w:r>
    </w:p>
    <w:p w14:paraId="40323045">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5</w:t>
      </w:r>
      <w:r>
        <w:rPr>
          <w:rFonts w:hint="eastAsia"/>
          <w:color w:val="auto"/>
          <w:lang w:eastAsia="zh-CN"/>
        </w:rPr>
        <w:t>）</w:t>
      </w:r>
      <w:r>
        <w:rPr>
          <w:color w:val="auto"/>
        </w:rPr>
        <w:t>严格控制处理单元的水量、水质、停留时间、负荷强度等工艺参数，确保处理效果的稳定性。配备流量、水质自动分析监控仪器，定期取样监测。操作人员及时调整，使设备处于最佳工况。如发现异常现象，就需立即采取预防措施。</w:t>
      </w:r>
    </w:p>
    <w:p w14:paraId="38736A95">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6</w:t>
      </w:r>
      <w:r>
        <w:rPr>
          <w:rFonts w:hint="eastAsia"/>
          <w:color w:val="auto"/>
          <w:lang w:eastAsia="zh-CN"/>
        </w:rPr>
        <w:t>）</w:t>
      </w:r>
      <w:r>
        <w:rPr>
          <w:color w:val="auto"/>
        </w:rPr>
        <w:t>建立废水处理厂运行管理和操作责任制度；对管理和操作人员进行培训，建立技术考核档案，不合格者不得上岗；聘请有经验的专业技术人员负责厂内的技术管理工作。</w:t>
      </w:r>
    </w:p>
    <w:p w14:paraId="34E26F6A">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7</w:t>
      </w:r>
      <w:r>
        <w:rPr>
          <w:rFonts w:hint="eastAsia"/>
          <w:color w:val="auto"/>
          <w:lang w:eastAsia="zh-CN"/>
        </w:rPr>
        <w:t>）</w:t>
      </w:r>
      <w:r>
        <w:rPr>
          <w:color w:val="auto"/>
        </w:rPr>
        <w:t>加强运行管理和进出水的监测工作，未经处理达标的污水严禁外排。</w:t>
      </w:r>
    </w:p>
    <w:p w14:paraId="5A24CA77">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8</w:t>
      </w:r>
      <w:r>
        <w:rPr>
          <w:rFonts w:hint="eastAsia"/>
          <w:color w:val="auto"/>
          <w:lang w:eastAsia="zh-CN"/>
        </w:rPr>
        <w:t>）</w:t>
      </w:r>
      <w:r>
        <w:rPr>
          <w:color w:val="auto"/>
        </w:rPr>
        <w:t>加强工业污染源管理，建立和健全排放污染物许可证管理制度，严格按照国家排放标准和总量控制要求，控制并监督各工业企业的预处理与正常排污。</w:t>
      </w:r>
    </w:p>
    <w:p w14:paraId="4B5A31F3">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9</w:t>
      </w:r>
      <w:r>
        <w:rPr>
          <w:rFonts w:hint="eastAsia"/>
          <w:color w:val="auto"/>
          <w:lang w:eastAsia="zh-CN"/>
        </w:rPr>
        <w:t>）</w:t>
      </w:r>
      <w:r>
        <w:rPr>
          <w:color w:val="auto"/>
        </w:rPr>
        <w:t>对产生的污泥和栅渣做到及时、妥善处置。</w:t>
      </w:r>
    </w:p>
    <w:p w14:paraId="71894DC0">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10</w:t>
      </w:r>
      <w:r>
        <w:rPr>
          <w:rFonts w:hint="eastAsia"/>
          <w:color w:val="auto"/>
          <w:lang w:eastAsia="zh-CN"/>
        </w:rPr>
        <w:t>）</w:t>
      </w:r>
      <w:r>
        <w:rPr>
          <w:color w:val="auto"/>
        </w:rPr>
        <w:t>发生污水处理厂停运事故时，应在排放口附近水域悬挂标志示警，排水的单位大户应调整生产，减少污水排放，并启用工业园内各企业的事故排放池。</w:t>
      </w:r>
      <w:r>
        <w:rPr>
          <w:rFonts w:hint="eastAsia"/>
          <w:color w:val="auto"/>
          <w:lang w:eastAsia="zh-CN"/>
        </w:rPr>
        <w:t>值班人员</w:t>
      </w:r>
      <w:r>
        <w:rPr>
          <w:color w:val="auto"/>
        </w:rPr>
        <w:t>应迅速组织抢修，排除故障，恢复污水处理系统的正常运行。</w:t>
      </w:r>
    </w:p>
    <w:p w14:paraId="13AF305F">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11</w:t>
      </w:r>
      <w:r>
        <w:rPr>
          <w:rFonts w:hint="eastAsia"/>
          <w:color w:val="auto"/>
          <w:lang w:eastAsia="zh-CN"/>
        </w:rPr>
        <w:t>）</w:t>
      </w:r>
      <w:r>
        <w:rPr>
          <w:color w:val="auto"/>
        </w:rPr>
        <w:t>在进水口及尾水出水口设置电动堰门，安装COD、氨氮、TN、TP等在线监测仪表，当出水发现超标时，当尾水不达标时通过事故管回流至进水泵房，避免超标尾水排放。</w:t>
      </w:r>
    </w:p>
    <w:p w14:paraId="7FEB4EAD">
      <w:pPr>
        <w:pageBreakBefore w:val="0"/>
        <w:wordWrap/>
        <w:autoSpaceDE w:val="0"/>
        <w:autoSpaceDN w:val="0"/>
        <w:bidi w:val="0"/>
        <w:adjustRightInd/>
        <w:snapToGrid/>
        <w:ind w:firstLine="480"/>
        <w:rPr>
          <w:color w:val="auto"/>
          <w:kern w:val="0"/>
        </w:rPr>
      </w:pPr>
      <w:r>
        <w:rPr>
          <w:rFonts w:hint="eastAsia"/>
          <w:color w:val="auto"/>
          <w:kern w:val="0"/>
          <w:lang w:eastAsia="zh-CN"/>
        </w:rPr>
        <w:t>（</w:t>
      </w:r>
      <w:r>
        <w:rPr>
          <w:rFonts w:hint="eastAsia"/>
          <w:color w:val="auto"/>
          <w:kern w:val="0"/>
          <w:lang w:val="en-US" w:eastAsia="zh-CN"/>
        </w:rPr>
        <w:t>12</w:t>
      </w:r>
      <w:r>
        <w:rPr>
          <w:rFonts w:hint="eastAsia"/>
          <w:color w:val="auto"/>
          <w:kern w:val="0"/>
          <w:lang w:eastAsia="zh-CN"/>
        </w:rPr>
        <w:t>）</w:t>
      </w:r>
      <w:r>
        <w:rPr>
          <w:color w:val="auto"/>
          <w:kern w:val="0"/>
        </w:rPr>
        <w:t>事故废水应急处理系统</w:t>
      </w:r>
    </w:p>
    <w:p w14:paraId="7997225F">
      <w:pPr>
        <w:pageBreakBefore w:val="0"/>
        <w:wordWrap/>
        <w:autoSpaceDE w:val="0"/>
        <w:autoSpaceDN w:val="0"/>
        <w:bidi w:val="0"/>
        <w:adjustRightInd/>
        <w:snapToGrid/>
        <w:ind w:firstLine="480"/>
        <w:rPr>
          <w:color w:val="auto"/>
          <w:kern w:val="0"/>
        </w:rPr>
      </w:pPr>
      <w:r>
        <w:rPr>
          <w:color w:val="auto"/>
          <w:kern w:val="0"/>
        </w:rPr>
        <w:t>根据项目服务范围内的园区</w:t>
      </w:r>
      <w:r>
        <w:rPr>
          <w:rFonts w:hint="eastAsia"/>
          <w:color w:val="auto"/>
          <w:lang w:val="en-US" w:eastAsia="zh-CN"/>
        </w:rPr>
        <w:t>修编</w:t>
      </w:r>
      <w:r>
        <w:rPr>
          <w:rFonts w:hint="eastAsia"/>
          <w:color w:val="auto"/>
        </w:rPr>
        <w:t>规划环评</w:t>
      </w:r>
      <w:r>
        <w:rPr>
          <w:color w:val="auto"/>
          <w:kern w:val="0"/>
        </w:rPr>
        <w:t>要求，园区各企业必须单独修建足够容量的事故池，为了防止本项目工业污水处理厂由于设备故障、检修等原因而出现水污染物超标排放等事故性情况或者暂时出现处理尾水不能外排的情况。本次评价要求，项目一旦发生故障，立即切断污水外排口，同时建立与园区排水企业之间的企业将废水排入自建事故应急池和园区事故池，停止将废水送入污水处理厂；同时运行期间应与园区管委会以及园区内排水企业建立通畅的通讯通道，确保在事故发生后3h之内，要求企业暂停排水，</w:t>
      </w:r>
      <w:r>
        <w:rPr>
          <w:rFonts w:hint="eastAsia"/>
          <w:color w:val="auto"/>
          <w:kern w:val="0"/>
          <w:lang w:eastAsia="zh-CN"/>
        </w:rPr>
        <w:t>将</w:t>
      </w:r>
      <w:r>
        <w:rPr>
          <w:color w:val="auto"/>
          <w:kern w:val="0"/>
        </w:rPr>
        <w:t>废水暂存于各企业事故应急池中。根据以上要求，项目事故应急池容积应至少满足3小时的废水量，即V≥</w:t>
      </w:r>
      <w:r>
        <w:rPr>
          <w:rFonts w:hint="eastAsia"/>
          <w:color w:val="auto"/>
          <w:kern w:val="0"/>
          <w:lang w:val="en-US" w:eastAsia="zh-CN"/>
        </w:rPr>
        <w:t>3000</w:t>
      </w:r>
      <w:r>
        <w:rPr>
          <w:color w:val="auto"/>
          <w:kern w:val="0"/>
        </w:rPr>
        <w:t>/24×3=</w:t>
      </w:r>
      <w:r>
        <w:rPr>
          <w:rFonts w:hint="eastAsia"/>
          <w:color w:val="auto"/>
          <w:kern w:val="0"/>
          <w:lang w:val="en-US" w:eastAsia="zh-CN"/>
        </w:rPr>
        <w:t>375</w:t>
      </w:r>
      <w:r>
        <w:rPr>
          <w:rFonts w:hint="eastAsia"/>
          <w:color w:val="auto"/>
          <w:kern w:val="0"/>
          <w:lang w:eastAsia="zh-CN"/>
        </w:rPr>
        <w:t>m³</w:t>
      </w:r>
      <w:r>
        <w:rPr>
          <w:color w:val="auto"/>
          <w:kern w:val="0"/>
        </w:rPr>
        <w:t>。根据项目涉及设计资料，本项目拟设置</w:t>
      </w:r>
      <w:r>
        <w:rPr>
          <w:rFonts w:hint="eastAsia"/>
          <w:color w:val="auto"/>
          <w:kern w:val="0"/>
        </w:rPr>
        <w:t>事故池1座</w:t>
      </w:r>
      <w:r>
        <w:rPr>
          <w:color w:val="auto"/>
          <w:kern w:val="0"/>
        </w:rPr>
        <w:t>，其有效容积为</w:t>
      </w:r>
      <w:r>
        <w:rPr>
          <w:rFonts w:hint="eastAsia"/>
          <w:color w:val="auto"/>
          <w:kern w:val="0"/>
          <w:lang w:val="en-US" w:eastAsia="zh-CN"/>
        </w:rPr>
        <w:t>3000</w:t>
      </w:r>
      <w:r>
        <w:rPr>
          <w:rFonts w:hint="eastAsia"/>
          <w:color w:val="auto"/>
          <w:kern w:val="0"/>
          <w:lang w:eastAsia="zh-CN"/>
        </w:rPr>
        <w:t>m³</w:t>
      </w:r>
      <w:r>
        <w:rPr>
          <w:color w:val="auto"/>
          <w:kern w:val="0"/>
        </w:rPr>
        <w:t>，大于本项目事故废水量，因此</w:t>
      </w:r>
      <w:r>
        <w:rPr>
          <w:rFonts w:hint="eastAsia"/>
          <w:color w:val="auto"/>
          <w:kern w:val="0"/>
        </w:rPr>
        <w:t>事故池</w:t>
      </w:r>
      <w:r>
        <w:rPr>
          <w:color w:val="auto"/>
          <w:kern w:val="0"/>
        </w:rPr>
        <w:t>满足本项目事故状态下的污水暂存要求。</w:t>
      </w:r>
    </w:p>
    <w:p w14:paraId="2F4941A3">
      <w:pPr>
        <w:pageBreakBefore w:val="0"/>
        <w:wordWrap/>
        <w:autoSpaceDE w:val="0"/>
        <w:autoSpaceDN w:val="0"/>
        <w:bidi w:val="0"/>
        <w:adjustRightInd/>
        <w:snapToGrid/>
        <w:ind w:firstLine="480"/>
        <w:rPr>
          <w:color w:val="auto"/>
          <w:kern w:val="0"/>
        </w:rPr>
      </w:pPr>
      <w:r>
        <w:rPr>
          <w:color w:val="auto"/>
          <w:kern w:val="0"/>
        </w:rPr>
        <w:t>本项目事故状态下，通过启动项目事故池、切断污水外排口，启动园区及企业事故池；通过检修进度，估计事故源强，若本项目事故池、企业自建事故池同时启动仍不能满足要求，则通知排水企业暂停生产，待污水处理设施系统正常后方可继续</w:t>
      </w:r>
      <w:r>
        <w:rPr>
          <w:rFonts w:hint="eastAsia"/>
          <w:color w:val="auto"/>
          <w:kern w:val="0"/>
          <w:lang w:eastAsia="zh-CN"/>
        </w:rPr>
        <w:t>运营</w:t>
      </w:r>
      <w:r>
        <w:rPr>
          <w:color w:val="auto"/>
          <w:kern w:val="0"/>
        </w:rPr>
        <w:t>。</w:t>
      </w:r>
    </w:p>
    <w:p w14:paraId="5E53AFAE">
      <w:pPr>
        <w:pageBreakBefore w:val="0"/>
        <w:wordWrap/>
        <w:autoSpaceDE w:val="0"/>
        <w:autoSpaceDN w:val="0"/>
        <w:bidi w:val="0"/>
        <w:adjustRightInd/>
        <w:snapToGrid/>
        <w:ind w:firstLine="480"/>
        <w:rPr>
          <w:color w:val="auto"/>
          <w:kern w:val="0"/>
        </w:rPr>
      </w:pPr>
      <w:r>
        <w:rPr>
          <w:color w:val="auto"/>
          <w:kern w:val="0"/>
        </w:rPr>
        <w:t>污水处理厂与重要的污水排放企业之间，要有畅通的信息交流管道，建立企业的事故报告制度。加强监控和管理，安装污水在线监测设备实现动态监控，及时发现和处理问题，避免污水事故性排放。一旦排水进入污水处理厂的企业发生事故，应要求企业在第一时间向污水处理厂报告事故的类型，估计事故源强，并关闭出水阀，停止将水送入污水处理厂，并立即报告有关部门，组织环保、城建、工业等部门的事故应急小组，查清事故原因，分工负责，协调处理事故。</w:t>
      </w:r>
    </w:p>
    <w:p w14:paraId="339E22C5">
      <w:pPr>
        <w:pageBreakBefore w:val="0"/>
        <w:wordWrap/>
        <w:autoSpaceDE w:val="0"/>
        <w:autoSpaceDN w:val="0"/>
        <w:bidi w:val="0"/>
        <w:adjustRightInd/>
        <w:snapToGrid/>
        <w:ind w:firstLine="480"/>
        <w:rPr>
          <w:color w:val="auto"/>
          <w:kern w:val="0"/>
        </w:rPr>
      </w:pPr>
      <w:r>
        <w:rPr>
          <w:rFonts w:hint="eastAsia"/>
          <w:color w:val="auto"/>
          <w:kern w:val="0"/>
          <w:lang w:eastAsia="zh-CN"/>
        </w:rPr>
        <w:t>（</w:t>
      </w:r>
      <w:r>
        <w:rPr>
          <w:rFonts w:hint="eastAsia"/>
          <w:color w:val="auto"/>
          <w:kern w:val="0"/>
          <w:lang w:val="en-US" w:eastAsia="zh-CN"/>
        </w:rPr>
        <w:t>13</w:t>
      </w:r>
      <w:r>
        <w:rPr>
          <w:rFonts w:hint="eastAsia"/>
          <w:color w:val="auto"/>
          <w:kern w:val="0"/>
          <w:lang w:eastAsia="zh-CN"/>
        </w:rPr>
        <w:t>）</w:t>
      </w:r>
      <w:r>
        <w:rPr>
          <w:rFonts w:hint="eastAsia"/>
          <w:color w:val="auto"/>
          <w:kern w:val="0"/>
        </w:rPr>
        <w:t>污水</w:t>
      </w:r>
      <w:r>
        <w:rPr>
          <w:color w:val="auto"/>
          <w:kern w:val="0"/>
        </w:rPr>
        <w:t>处理厂维修管理制度</w:t>
      </w:r>
    </w:p>
    <w:p w14:paraId="61F31838">
      <w:pPr>
        <w:pageBreakBefore w:val="0"/>
        <w:wordWrap/>
        <w:autoSpaceDE w:val="0"/>
        <w:autoSpaceDN w:val="0"/>
        <w:bidi w:val="0"/>
        <w:adjustRightInd/>
        <w:snapToGrid/>
        <w:ind w:firstLine="480"/>
        <w:rPr>
          <w:rFonts w:hint="eastAsia"/>
          <w:color w:val="auto"/>
          <w:kern w:val="0"/>
        </w:rPr>
      </w:pPr>
      <w:r>
        <w:rPr>
          <w:rFonts w:hint="eastAsia"/>
          <w:color w:val="auto"/>
          <w:kern w:val="0"/>
        </w:rPr>
        <w:t>a</w:t>
      </w:r>
      <w:r>
        <w:rPr>
          <w:rFonts w:hint="eastAsia"/>
          <w:color w:val="auto"/>
          <w:kern w:val="0"/>
          <w:lang w:eastAsia="zh-CN"/>
        </w:rPr>
        <w:t>.</w:t>
      </w:r>
      <w:r>
        <w:rPr>
          <w:rFonts w:hint="eastAsia"/>
          <w:color w:val="auto"/>
          <w:kern w:val="0"/>
        </w:rPr>
        <w:t>设备的检修要坚持预防为主的方针，实行计划检修。主要设备每年至少进行一次设备状况普查，根据设备运行的实际技术状态和普查情况，由机修电工班组编制设备的年度大、中修检修计划，并报主管批准，不得任意更改。</w:t>
      </w:r>
    </w:p>
    <w:p w14:paraId="2C5EABFD">
      <w:pPr>
        <w:pageBreakBefore w:val="0"/>
        <w:wordWrap/>
        <w:autoSpaceDE w:val="0"/>
        <w:autoSpaceDN w:val="0"/>
        <w:bidi w:val="0"/>
        <w:adjustRightInd/>
        <w:snapToGrid/>
        <w:ind w:firstLine="480"/>
        <w:rPr>
          <w:rFonts w:hint="eastAsia"/>
          <w:color w:val="auto"/>
          <w:kern w:val="0"/>
        </w:rPr>
      </w:pPr>
      <w:r>
        <w:rPr>
          <w:rFonts w:hint="eastAsia"/>
          <w:color w:val="auto"/>
          <w:kern w:val="0"/>
        </w:rPr>
        <w:t>b</w:t>
      </w:r>
      <w:r>
        <w:rPr>
          <w:rFonts w:hint="eastAsia"/>
          <w:color w:val="auto"/>
          <w:kern w:val="0"/>
          <w:lang w:eastAsia="zh-CN"/>
        </w:rPr>
        <w:t>.</w:t>
      </w:r>
      <w:r>
        <w:rPr>
          <w:rFonts w:hint="eastAsia"/>
          <w:color w:val="auto"/>
          <w:kern w:val="0"/>
        </w:rPr>
        <w:t>月度检修计划要按年度检修计划进行，并制订出检修方案细则。</w:t>
      </w:r>
    </w:p>
    <w:p w14:paraId="650BA4C1">
      <w:pPr>
        <w:pageBreakBefore w:val="0"/>
        <w:wordWrap/>
        <w:autoSpaceDE w:val="0"/>
        <w:autoSpaceDN w:val="0"/>
        <w:bidi w:val="0"/>
        <w:adjustRightInd/>
        <w:snapToGrid/>
        <w:ind w:firstLine="480"/>
        <w:rPr>
          <w:rFonts w:hint="eastAsia"/>
          <w:color w:val="auto"/>
          <w:kern w:val="0"/>
        </w:rPr>
      </w:pPr>
      <w:r>
        <w:rPr>
          <w:rFonts w:hint="eastAsia"/>
          <w:color w:val="auto"/>
          <w:kern w:val="0"/>
        </w:rPr>
        <w:t>c</w:t>
      </w:r>
      <w:r>
        <w:rPr>
          <w:rFonts w:hint="eastAsia"/>
          <w:color w:val="auto"/>
          <w:kern w:val="0"/>
          <w:lang w:eastAsia="zh-CN"/>
        </w:rPr>
        <w:t>.</w:t>
      </w:r>
      <w:r>
        <w:rPr>
          <w:rFonts w:hint="eastAsia"/>
          <w:color w:val="auto"/>
          <w:kern w:val="0"/>
        </w:rPr>
        <w:t>主要设备要制定检修规程、检修技术标准并严格执行，以保证检修质量。</w:t>
      </w:r>
    </w:p>
    <w:p w14:paraId="685AFAA3">
      <w:pPr>
        <w:pageBreakBefore w:val="0"/>
        <w:wordWrap/>
        <w:autoSpaceDE w:val="0"/>
        <w:autoSpaceDN w:val="0"/>
        <w:bidi w:val="0"/>
        <w:adjustRightInd/>
        <w:snapToGrid/>
        <w:ind w:firstLine="480"/>
        <w:rPr>
          <w:rFonts w:hint="eastAsia"/>
          <w:color w:val="auto"/>
          <w:kern w:val="0"/>
        </w:rPr>
      </w:pPr>
      <w:r>
        <w:rPr>
          <w:rFonts w:hint="eastAsia"/>
          <w:color w:val="auto"/>
          <w:kern w:val="0"/>
        </w:rPr>
        <w:t>d</w:t>
      </w:r>
      <w:r>
        <w:rPr>
          <w:rFonts w:hint="eastAsia"/>
          <w:color w:val="auto"/>
          <w:kern w:val="0"/>
          <w:lang w:eastAsia="zh-CN"/>
        </w:rPr>
        <w:t>.</w:t>
      </w:r>
      <w:r>
        <w:rPr>
          <w:rFonts w:hint="eastAsia"/>
          <w:color w:val="auto"/>
          <w:kern w:val="0"/>
        </w:rPr>
        <w:t>设备大、中修计划</w:t>
      </w:r>
      <w:r>
        <w:rPr>
          <w:rFonts w:hint="eastAsia"/>
          <w:color w:val="auto"/>
          <w:kern w:val="0"/>
          <w:lang w:eastAsia="zh-CN"/>
        </w:rPr>
        <w:t>应</w:t>
      </w:r>
      <w:r>
        <w:rPr>
          <w:rFonts w:hint="eastAsia"/>
          <w:color w:val="auto"/>
          <w:kern w:val="0"/>
        </w:rPr>
        <w:t>在年初下达，在检查生产完成情况时，同时检查考核设备维修完成情况。</w:t>
      </w:r>
    </w:p>
    <w:p w14:paraId="6DBF3598">
      <w:pPr>
        <w:pageBreakBefore w:val="0"/>
        <w:wordWrap/>
        <w:autoSpaceDE w:val="0"/>
        <w:autoSpaceDN w:val="0"/>
        <w:bidi w:val="0"/>
        <w:adjustRightInd/>
        <w:snapToGrid/>
        <w:ind w:firstLine="480"/>
        <w:rPr>
          <w:rFonts w:hint="eastAsia"/>
          <w:color w:val="auto"/>
          <w:kern w:val="0"/>
        </w:rPr>
      </w:pPr>
      <w:r>
        <w:rPr>
          <w:rFonts w:hint="eastAsia"/>
          <w:color w:val="auto"/>
          <w:kern w:val="0"/>
        </w:rPr>
        <w:t>e</w:t>
      </w:r>
      <w:r>
        <w:rPr>
          <w:rFonts w:hint="eastAsia"/>
          <w:color w:val="auto"/>
          <w:kern w:val="0"/>
          <w:lang w:eastAsia="zh-CN"/>
        </w:rPr>
        <w:t>.</w:t>
      </w:r>
      <w:r>
        <w:rPr>
          <w:rFonts w:hint="eastAsia"/>
          <w:color w:val="auto"/>
          <w:kern w:val="0"/>
        </w:rPr>
        <w:t>检修后的设备要组织有关人员经验收合格后才能投入正常生产使用，所有记录要认真填写后归档。</w:t>
      </w:r>
    </w:p>
    <w:p w14:paraId="12EF6275">
      <w:pPr>
        <w:pageBreakBefore w:val="0"/>
        <w:wordWrap/>
        <w:autoSpaceDE w:val="0"/>
        <w:autoSpaceDN w:val="0"/>
        <w:bidi w:val="0"/>
        <w:adjustRightInd/>
        <w:snapToGrid/>
        <w:ind w:firstLine="480"/>
        <w:rPr>
          <w:color w:val="auto"/>
          <w:kern w:val="0"/>
        </w:rPr>
      </w:pPr>
      <w:r>
        <w:rPr>
          <w:color w:val="auto"/>
          <w:kern w:val="0"/>
        </w:rPr>
        <w:t>采取上述措施，可有效防止本项目非正常状况下废水直排</w:t>
      </w:r>
      <w:r>
        <w:rPr>
          <w:rFonts w:hint="eastAsia"/>
          <w:color w:val="auto"/>
          <w:kern w:val="0"/>
          <w:lang w:eastAsia="zh-CN"/>
        </w:rPr>
        <w:t>巴河</w:t>
      </w:r>
      <w:r>
        <w:rPr>
          <w:color w:val="auto"/>
          <w:kern w:val="0"/>
        </w:rPr>
        <w:t>。</w:t>
      </w:r>
    </w:p>
    <w:p w14:paraId="2DC386A0">
      <w:pPr>
        <w:pStyle w:val="66"/>
        <w:pageBreakBefore w:val="0"/>
        <w:wordWrap/>
        <w:bidi w:val="0"/>
        <w:adjustRightInd/>
        <w:snapToGrid/>
        <w:spacing w:line="360" w:lineRule="auto"/>
        <w:ind w:firstLine="482" w:firstLineChars="200"/>
        <w:jc w:val="both"/>
        <w:rPr>
          <w:rFonts w:ascii="Times New Roman" w:eastAsia="宋体" w:cs="Times New Roman"/>
          <w:b/>
          <w:bCs/>
          <w:color w:val="auto"/>
        </w:rPr>
      </w:pPr>
      <w:r>
        <w:rPr>
          <w:rFonts w:hint="eastAsia" w:ascii="Times New Roman" w:eastAsia="宋体" w:cs="Times New Roman"/>
          <w:b/>
          <w:bCs/>
          <w:color w:val="auto"/>
          <w:lang w:val="en-US" w:eastAsia="zh-CN"/>
        </w:rPr>
        <w:t>7、</w:t>
      </w:r>
      <w:r>
        <w:rPr>
          <w:rFonts w:ascii="Times New Roman" w:eastAsia="宋体" w:cs="Times New Roman"/>
          <w:b/>
          <w:bCs/>
          <w:color w:val="auto"/>
        </w:rPr>
        <w:t>进水水质波动事故风险防范措施</w:t>
      </w:r>
    </w:p>
    <w:p w14:paraId="45B8A161">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建设单位应针对可能发生的污染事故，建立合适的事故处理程序、机制和措施。一旦发生事故，则采取相应的措施，将事故对环境的影响控制在最小或较小范围内。</w:t>
      </w:r>
    </w:p>
    <w:p w14:paraId="3C9D436E">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人为因素往往是事故发生的主要原因，因此严格管理，做好人的工作是预防事故发生的重要环节。对于污水管网这类隐蔽工程，建设单位应加强施工期间的管理、检查，确保施工质量。建设单位应加强对职工的思想教育，以提高工作人员的责任心和工作主动性；加强沿线管道和检查井的日常检查，特别是加强沿线新建项目施工的检查，避免施工不慎导致污水管道破损。</w:t>
      </w:r>
    </w:p>
    <w:p w14:paraId="634FDC61">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color w:val="auto"/>
        </w:rPr>
        <w:t>一旦发生事故，及时向有关部门反映，采取有效处理措施，最大限度降低对周围环境及财产造成的危害。</w:t>
      </w:r>
    </w:p>
    <w:p w14:paraId="76BB687C">
      <w:pPr>
        <w:pStyle w:val="6"/>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4</w:t>
      </w:r>
      <w:r>
        <w:rPr>
          <w:rFonts w:hint="eastAsia"/>
          <w:color w:val="auto"/>
          <w:lang w:eastAsia="zh-CN"/>
        </w:rPr>
        <w:t>）</w:t>
      </w:r>
      <w:r>
        <w:rPr>
          <w:color w:val="auto"/>
        </w:rPr>
        <w:t>设置进、出水水质自动监测装置及报警装置，设置进厂、出厂污水截断装置，当事故发生后，立即截断污水来源和杜绝事故排放，及时发现不良水质进入污水处理厂。</w:t>
      </w:r>
    </w:p>
    <w:p w14:paraId="54BDB091">
      <w:pPr>
        <w:pageBreakBefore w:val="0"/>
        <w:wordWrap/>
        <w:bidi w:val="0"/>
        <w:adjustRightInd/>
        <w:snapToGrid/>
        <w:ind w:firstLine="480"/>
        <w:rPr>
          <w:color w:val="auto"/>
        </w:rPr>
      </w:pPr>
      <w:r>
        <w:rPr>
          <w:color w:val="auto"/>
        </w:rPr>
        <w:t>对进水口的废水量、pH、COD、氨氮、总氮、总磷、</w:t>
      </w:r>
      <w:r>
        <w:rPr>
          <w:rFonts w:hint="eastAsia"/>
          <w:color w:val="auto"/>
          <w:lang w:val="en-US" w:eastAsia="zh-CN"/>
        </w:rPr>
        <w:t>石油类、甲醛</w:t>
      </w:r>
      <w:r>
        <w:rPr>
          <w:color w:val="auto"/>
        </w:rPr>
        <w:t>进行在线监测，对总排口废水量、pH、COD、氨氮、总氮、总磷、</w:t>
      </w:r>
      <w:r>
        <w:rPr>
          <w:rFonts w:hint="eastAsia"/>
          <w:color w:val="auto"/>
          <w:lang w:val="en-US" w:eastAsia="zh-CN"/>
        </w:rPr>
        <w:t>石油类、甲醛</w:t>
      </w:r>
      <w:r>
        <w:rPr>
          <w:color w:val="auto"/>
        </w:rPr>
        <w:t>进行在线监测，一旦发现废水可生化性较低或总排口废水不达标立即报警，同时截断污水来源和杜绝事故排放。</w:t>
      </w:r>
    </w:p>
    <w:p w14:paraId="54F6E65D">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5</w:t>
      </w:r>
      <w:r>
        <w:rPr>
          <w:rFonts w:hint="eastAsia"/>
          <w:color w:val="auto"/>
          <w:lang w:eastAsia="zh-CN"/>
        </w:rPr>
        <w:t>）</w:t>
      </w:r>
      <w:r>
        <w:rPr>
          <w:color w:val="auto"/>
        </w:rPr>
        <w:t>污水处理厂应与纳污范围内废水排放工业企业签订排放协议，企业废水排放至污水管网前应达到本项目的</w:t>
      </w:r>
      <w:r>
        <w:rPr>
          <w:rFonts w:hint="eastAsia"/>
          <w:color w:val="auto"/>
          <w:lang w:val="en-US" w:eastAsia="zh-CN"/>
        </w:rPr>
        <w:t>进水水质</w:t>
      </w:r>
      <w:r>
        <w:rPr>
          <w:color w:val="auto"/>
        </w:rPr>
        <w:t>要求。污水处理厂与重要的污水排放企业之间，要有畅通的信息交流管道，建立企业的事故报告制度。一旦排水进入污水处理厂的企业发生事故，应要求企业在第一时间向污水处理厂报告事故的类型，估计事故源强，并关闭出水阀，停止将水送入污水处理厂。</w:t>
      </w:r>
    </w:p>
    <w:p w14:paraId="7E4C4849">
      <w:pPr>
        <w:pStyle w:val="6"/>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6</w:t>
      </w:r>
      <w:r>
        <w:rPr>
          <w:rFonts w:hint="eastAsia"/>
          <w:color w:val="auto"/>
          <w:lang w:eastAsia="zh-CN"/>
        </w:rPr>
        <w:t>）</w:t>
      </w:r>
      <w:r>
        <w:rPr>
          <w:color w:val="auto"/>
        </w:rPr>
        <w:t>泵站与污水处理厂应采用双电路供电，水泵设计应考虑备用，机械设备应采用性能可靠的优质产品。</w:t>
      </w:r>
    </w:p>
    <w:p w14:paraId="6BDD0C66">
      <w:pPr>
        <w:pStyle w:val="6"/>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7</w:t>
      </w:r>
      <w:r>
        <w:rPr>
          <w:rFonts w:hint="eastAsia"/>
          <w:color w:val="auto"/>
          <w:lang w:eastAsia="zh-CN"/>
        </w:rPr>
        <w:t>）</w:t>
      </w:r>
      <w:r>
        <w:rPr>
          <w:color w:val="auto"/>
        </w:rPr>
        <w:t>为使在事故状态下污水处理厂仪表等设备正常运转，必须选择质量优良、事故率低、便于维修的产品。关键设备应有备用，易损部件也要有备用，在事故出现时做到及时更换。</w:t>
      </w:r>
    </w:p>
    <w:p w14:paraId="15E5DFEE">
      <w:pPr>
        <w:pStyle w:val="6"/>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8</w:t>
      </w:r>
      <w:r>
        <w:rPr>
          <w:rFonts w:hint="eastAsia"/>
          <w:color w:val="auto"/>
          <w:lang w:eastAsia="zh-CN"/>
        </w:rPr>
        <w:t>）</w:t>
      </w:r>
      <w:r>
        <w:rPr>
          <w:color w:val="auto"/>
        </w:rPr>
        <w:t>加强事故苗头控制，做到定期巡检，调节、保养、维修，及时发现可能引起事故的异常运行苗头，消除事故隐患。</w:t>
      </w:r>
    </w:p>
    <w:p w14:paraId="1B41AA23">
      <w:pPr>
        <w:pStyle w:val="6"/>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9</w:t>
      </w:r>
      <w:r>
        <w:rPr>
          <w:rFonts w:hint="eastAsia"/>
          <w:color w:val="auto"/>
          <w:lang w:eastAsia="zh-CN"/>
        </w:rPr>
        <w:t>）</w:t>
      </w:r>
      <w:r>
        <w:rPr>
          <w:color w:val="auto"/>
        </w:rPr>
        <w:t>严格控制处理单元的水量、水质、停留时间、负荷强度等，确保处理效果的稳定性，定期采样监测，操作人员及时调整，使设备处于最佳工况，发现不正常现象，应立即采取预防措施。</w:t>
      </w:r>
    </w:p>
    <w:p w14:paraId="0880DCDF">
      <w:pPr>
        <w:pStyle w:val="6"/>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10</w:t>
      </w:r>
      <w:r>
        <w:rPr>
          <w:rFonts w:hint="eastAsia"/>
          <w:color w:val="auto"/>
          <w:lang w:eastAsia="zh-CN"/>
        </w:rPr>
        <w:t>）</w:t>
      </w:r>
      <w:r>
        <w:rPr>
          <w:color w:val="auto"/>
        </w:rPr>
        <w:t>加强污水处理厂人员操作技能的培训。</w:t>
      </w:r>
    </w:p>
    <w:p w14:paraId="3430781A">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11</w:t>
      </w:r>
      <w:r>
        <w:rPr>
          <w:rFonts w:hint="eastAsia"/>
          <w:color w:val="auto"/>
          <w:lang w:eastAsia="zh-CN"/>
        </w:rPr>
        <w:t>）</w:t>
      </w:r>
      <w:r>
        <w:rPr>
          <w:color w:val="auto"/>
        </w:rPr>
        <w:t>加强运行管理和进出水的监测工作，未经处理达标的污水严禁外排。</w:t>
      </w:r>
    </w:p>
    <w:p w14:paraId="39DA9F29">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12</w:t>
      </w:r>
      <w:r>
        <w:rPr>
          <w:rFonts w:hint="eastAsia"/>
          <w:color w:val="auto"/>
          <w:lang w:eastAsia="zh-CN"/>
        </w:rPr>
        <w:t>）</w:t>
      </w:r>
      <w:r>
        <w:rPr>
          <w:color w:val="auto"/>
        </w:rPr>
        <w:t>为了避免不符合进水水质的工业废水对污水处理厂造成冲击负荷，</w:t>
      </w:r>
      <w:r>
        <w:rPr>
          <w:rFonts w:hint="eastAsia"/>
          <w:color w:val="auto"/>
        </w:rPr>
        <w:t>前端设置事故池和调节池</w:t>
      </w:r>
      <w:r>
        <w:rPr>
          <w:color w:val="auto"/>
        </w:rPr>
        <w:t>，避免对生物处理造成冲击负荷，降低污水处理效率。</w:t>
      </w:r>
    </w:p>
    <w:p w14:paraId="1CE9493C">
      <w:pPr>
        <w:pageBreakBefore w:val="0"/>
        <w:wordWrap/>
        <w:bidi w:val="0"/>
        <w:adjustRightInd/>
        <w:snapToGrid/>
        <w:ind w:firstLine="482"/>
        <w:rPr>
          <w:color w:val="auto"/>
        </w:rPr>
      </w:pPr>
      <w:r>
        <w:rPr>
          <w:rFonts w:hint="eastAsia"/>
          <w:b/>
          <w:bCs/>
          <w:color w:val="auto"/>
          <w:lang w:val="en-US" w:eastAsia="zh-CN"/>
        </w:rPr>
        <w:t>8、</w:t>
      </w:r>
      <w:r>
        <w:rPr>
          <w:b/>
          <w:bCs/>
          <w:color w:val="auto"/>
        </w:rPr>
        <w:t>受洪水冲刷的工程预防措施</w:t>
      </w:r>
    </w:p>
    <w:p w14:paraId="4EEC17F0">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地震、气候变化等自然因素造成的事故不能避免，只能在事故发生后尽早发现及时补救；</w:t>
      </w:r>
      <w:r>
        <w:rPr>
          <w:rFonts w:hint="eastAsia"/>
          <w:color w:val="auto"/>
          <w:lang w:eastAsia="zh-CN"/>
        </w:rPr>
        <w:t>污水处理厂</w:t>
      </w:r>
      <w:r>
        <w:rPr>
          <w:color w:val="auto"/>
        </w:rPr>
        <w:t>厂区设计地面标高比</w:t>
      </w:r>
      <w:r>
        <w:rPr>
          <w:rFonts w:hint="eastAsia"/>
          <w:color w:val="auto"/>
          <w:lang w:eastAsia="zh-CN"/>
        </w:rPr>
        <w:t>巴河</w:t>
      </w:r>
      <w:r>
        <w:rPr>
          <w:color w:val="auto"/>
        </w:rPr>
        <w:t>100年一遇洪水位高</w:t>
      </w:r>
      <w:r>
        <w:rPr>
          <w:rFonts w:hint="eastAsia"/>
          <w:color w:val="auto"/>
          <w:lang w:val="en-US" w:eastAsia="zh-CN"/>
        </w:rPr>
        <w:t>3.7</w:t>
      </w:r>
      <w:r>
        <w:rPr>
          <w:color w:val="auto"/>
        </w:rPr>
        <w:t>m左右，大大降低洪涝对厂区造成的环境风险。为了避免暴雨季节雨水冲刷造成污水回水风险，建议在厂区周围修建排洪沟，以有效地避免洪水淹没的风险。工程建设过程中，应在尾水排放管加设闸门和废水事故性排放的措施，确保洪水期尾水安全排放。</w:t>
      </w:r>
    </w:p>
    <w:p w14:paraId="2EB7D7C6">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项目排口设置护坡，以保护河岸及固定排水管位置，避免洪水期排水口被洪水冲刷。</w:t>
      </w:r>
    </w:p>
    <w:p w14:paraId="6A7C0840">
      <w:pPr>
        <w:pageBreakBefore w:val="0"/>
        <w:wordWrap/>
        <w:bidi w:val="0"/>
        <w:adjustRightInd/>
        <w:snapToGrid/>
        <w:ind w:firstLine="48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color w:val="auto"/>
        </w:rPr>
        <w:t>污水管网发生堵塞、破裂和爆炸风险防范措施</w:t>
      </w:r>
    </w:p>
    <w:p w14:paraId="2F11AE6D">
      <w:pPr>
        <w:pageBreakBefore w:val="0"/>
        <w:wordWrap/>
        <w:autoSpaceDE w:val="0"/>
        <w:autoSpaceDN w:val="0"/>
        <w:bidi w:val="0"/>
        <w:adjustRightInd/>
        <w:snapToGrid/>
        <w:ind w:firstLine="480"/>
        <w:rPr>
          <w:color w:val="auto"/>
          <w:kern w:val="0"/>
        </w:rPr>
      </w:pPr>
      <w:r>
        <w:rPr>
          <w:color w:val="auto"/>
          <w:kern w:val="0"/>
        </w:rPr>
        <w:t>严格按照相关规范进行污水管道的设计，同时在运行期应加强管道的巡检、维护。加强管理，严禁随意向管道内倾倒固体废物和易燃易爆物质等。</w:t>
      </w:r>
    </w:p>
    <w:p w14:paraId="0204B3B5">
      <w:pPr>
        <w:pageBreakBefore w:val="0"/>
        <w:wordWrap/>
        <w:autoSpaceDE w:val="0"/>
        <w:autoSpaceDN w:val="0"/>
        <w:bidi w:val="0"/>
        <w:adjustRightInd/>
        <w:snapToGrid/>
        <w:ind w:firstLine="480"/>
        <w:rPr>
          <w:color w:val="auto"/>
          <w:kern w:val="0"/>
        </w:rPr>
      </w:pPr>
      <w:r>
        <w:rPr>
          <w:rFonts w:hint="eastAsia"/>
          <w:color w:val="auto"/>
          <w:kern w:val="0"/>
          <w:lang w:eastAsia="zh-CN"/>
        </w:rPr>
        <w:t>（</w:t>
      </w:r>
      <w:r>
        <w:rPr>
          <w:rFonts w:hint="eastAsia"/>
          <w:color w:val="auto"/>
          <w:kern w:val="0"/>
          <w:lang w:val="en-US" w:eastAsia="zh-CN"/>
        </w:rPr>
        <w:t>4</w:t>
      </w:r>
      <w:r>
        <w:rPr>
          <w:rFonts w:hint="eastAsia"/>
          <w:color w:val="auto"/>
          <w:kern w:val="0"/>
          <w:lang w:eastAsia="zh-CN"/>
        </w:rPr>
        <w:t>）</w:t>
      </w:r>
      <w:r>
        <w:rPr>
          <w:color w:val="auto"/>
          <w:kern w:val="0"/>
        </w:rPr>
        <w:t>池体破裂事故风险防范措施</w:t>
      </w:r>
    </w:p>
    <w:p w14:paraId="727BB179">
      <w:pPr>
        <w:pageBreakBefore w:val="0"/>
        <w:wordWrap/>
        <w:autoSpaceDE w:val="0"/>
        <w:autoSpaceDN w:val="0"/>
        <w:bidi w:val="0"/>
        <w:adjustRightInd/>
        <w:snapToGrid/>
        <w:ind w:firstLine="480"/>
        <w:rPr>
          <w:color w:val="auto"/>
          <w:kern w:val="0"/>
        </w:rPr>
      </w:pPr>
      <w:r>
        <w:rPr>
          <w:color w:val="auto"/>
          <w:kern w:val="0"/>
        </w:rPr>
        <w:t>项目在建设过程中，应严格按照本报告提出的地下水污染防治措施要求，对厂区进行防渗分区，并严格落实各区域的防渗措施。同时在运行过程中，加强日常检查工作，并对检查结果进行记录。</w:t>
      </w:r>
    </w:p>
    <w:p w14:paraId="1EB5124D">
      <w:pPr>
        <w:pageBreakBefore w:val="0"/>
        <w:wordWrap/>
        <w:bidi w:val="0"/>
        <w:adjustRightInd/>
        <w:snapToGrid/>
        <w:ind w:firstLine="480"/>
        <w:rPr>
          <w:color w:val="auto"/>
        </w:rPr>
      </w:pPr>
      <w:r>
        <w:rPr>
          <w:color w:val="auto"/>
          <w:kern w:val="0"/>
        </w:rPr>
        <w:t>本次评价要求在运行过程中应严格按照本报告提出的地下水环境监测计划，对项目区域的地下水环境质量进行定期监测，一旦发现水质超标，应及时查找原因并及时进行修复。</w:t>
      </w:r>
    </w:p>
    <w:bookmarkEnd w:id="260"/>
    <w:p w14:paraId="1DC8FF61">
      <w:pPr>
        <w:pStyle w:val="5"/>
        <w:bidi w:val="0"/>
        <w:rPr>
          <w:color w:val="auto"/>
        </w:rPr>
      </w:pPr>
      <w:r>
        <w:rPr>
          <w:rFonts w:hint="eastAsia"/>
          <w:color w:val="auto"/>
          <w:lang w:val="en-US" w:eastAsia="zh-CN"/>
        </w:rPr>
        <w:t xml:space="preserve"> </w:t>
      </w:r>
      <w:r>
        <w:rPr>
          <w:color w:val="auto"/>
        </w:rPr>
        <w:t>风险事故应急预案</w:t>
      </w:r>
    </w:p>
    <w:p w14:paraId="64B94CB5">
      <w:pPr>
        <w:pageBreakBefore w:val="0"/>
        <w:wordWrap/>
        <w:bidi w:val="0"/>
        <w:adjustRightInd/>
        <w:snapToGrid/>
        <w:ind w:firstLine="480"/>
        <w:rPr>
          <w:color w:val="auto"/>
        </w:rPr>
      </w:pPr>
      <w:r>
        <w:rPr>
          <w:color w:val="auto"/>
        </w:rPr>
        <w:t>污水处理厂运行前，建设单位应制定出详细的、内容详实、可操作性强的应急预案。并在实际生产运行当中，不断完善应急预案的内容。建设单位应按照以下要求进行应急处理：</w:t>
      </w:r>
    </w:p>
    <w:p w14:paraId="02AF1EBE">
      <w:pPr>
        <w:pageBreakBefore w:val="0"/>
        <w:wordWrap/>
        <w:bidi w:val="0"/>
        <w:adjustRightInd/>
        <w:snapToGrid/>
        <w:ind w:firstLine="480"/>
        <w:rPr>
          <w:b/>
          <w:bCs/>
          <w:color w:val="auto"/>
        </w:rPr>
      </w:pPr>
      <w:r>
        <w:rPr>
          <w:b/>
          <w:bCs/>
          <w:color w:val="auto"/>
        </w:rPr>
        <w:t>1、应急预案制定</w:t>
      </w:r>
    </w:p>
    <w:p w14:paraId="6CE1E575">
      <w:pPr>
        <w:bidi w:val="0"/>
        <w:rPr>
          <w:color w:val="auto"/>
        </w:rPr>
      </w:pPr>
      <w:r>
        <w:rPr>
          <w:color w:val="auto"/>
        </w:rPr>
        <w:t>①污水处理厂成立应急事故处理领导小组，由厂长任组长，副厂长任副组长，组员由各工段长组成，负责事故处理的指挥和调度工作。</w:t>
      </w:r>
    </w:p>
    <w:p w14:paraId="54D6180B">
      <w:pPr>
        <w:bidi w:val="0"/>
        <w:rPr>
          <w:color w:val="auto"/>
        </w:rPr>
      </w:pPr>
      <w:r>
        <w:rPr>
          <w:color w:val="auto"/>
        </w:rPr>
        <w:t>②成立事故应急队，由副厂长负责，技术、维修、操作岗位人员参加。</w:t>
      </w:r>
    </w:p>
    <w:p w14:paraId="5E4688D2">
      <w:pPr>
        <w:bidi w:val="0"/>
        <w:rPr>
          <w:color w:val="auto"/>
        </w:rPr>
      </w:pPr>
      <w:r>
        <w:rPr>
          <w:color w:val="auto"/>
        </w:rPr>
        <w:t>③给应急队配备应急器具及劳保用品，包括橡皮手套、工作服、眼镜、防毒面具、常用救护药品等。应急器具及劳保用品在指定地点存放。</w:t>
      </w:r>
    </w:p>
    <w:p w14:paraId="435A7A9F">
      <w:pPr>
        <w:bidi w:val="0"/>
        <w:rPr>
          <w:color w:val="auto"/>
        </w:rPr>
      </w:pPr>
      <w:r>
        <w:rPr>
          <w:color w:val="auto"/>
        </w:rPr>
        <w:t>④对应急队员每季度进行一次应急培训，使其具备处理事故的能力。如条件许可，每年进行一次应急处理演习，检验应急准备工作是否完善。</w:t>
      </w:r>
    </w:p>
    <w:p w14:paraId="7CDBF512">
      <w:pPr>
        <w:pageBreakBefore w:val="0"/>
        <w:wordWrap/>
        <w:bidi w:val="0"/>
        <w:adjustRightInd/>
        <w:snapToGrid/>
        <w:ind w:firstLine="480"/>
        <w:rPr>
          <w:color w:val="auto"/>
        </w:rPr>
      </w:pPr>
      <w:r>
        <w:rPr>
          <w:b/>
          <w:bCs/>
          <w:color w:val="auto"/>
        </w:rPr>
        <w:t>2、应急预案实施</w:t>
      </w:r>
    </w:p>
    <w:p w14:paraId="6C749FCB">
      <w:pPr>
        <w:bidi w:val="0"/>
        <w:rPr>
          <w:color w:val="auto"/>
        </w:rPr>
      </w:pPr>
      <w:r>
        <w:rPr>
          <w:color w:val="auto"/>
        </w:rPr>
        <w:t>①当事故或紧急情况发生后，事故的当事人或发现人在一分钟内向值班长和应急事故处理领导小组报告，并采取应急措施防止事故扩大。</w:t>
      </w:r>
    </w:p>
    <w:p w14:paraId="0118B6A8">
      <w:pPr>
        <w:bidi w:val="0"/>
        <w:rPr>
          <w:color w:val="auto"/>
        </w:rPr>
      </w:pPr>
      <w:r>
        <w:rPr>
          <w:color w:val="auto"/>
        </w:rPr>
        <w:t>②值班长接报告后通知本班应急队员，应急队员接到通知后，佩戴好劳保用品，携带应急器具，赶赴现场处理环境事故或紧急情况。</w:t>
      </w:r>
    </w:p>
    <w:p w14:paraId="5AA87315">
      <w:pPr>
        <w:bidi w:val="0"/>
        <w:rPr>
          <w:color w:val="auto"/>
        </w:rPr>
      </w:pPr>
      <w:r>
        <w:rPr>
          <w:color w:val="auto"/>
        </w:rPr>
        <w:t>③应急事故处理领导小组成员在5分钟内赶到现场，指挥和协助事故或紧急情况的处理。</w:t>
      </w:r>
    </w:p>
    <w:p w14:paraId="32EE4658">
      <w:pPr>
        <w:bidi w:val="0"/>
        <w:rPr>
          <w:color w:val="auto"/>
        </w:rPr>
      </w:pPr>
      <w:r>
        <w:rPr>
          <w:color w:val="auto"/>
        </w:rPr>
        <w:t>④力争保证各预处理设备设施正常运行，使进水中的SS和COD得到一定的削减。</w:t>
      </w:r>
    </w:p>
    <w:p w14:paraId="5C0C4408">
      <w:pPr>
        <w:bidi w:val="0"/>
        <w:rPr>
          <w:color w:val="auto"/>
        </w:rPr>
      </w:pPr>
      <w:r>
        <w:rPr>
          <w:color w:val="auto"/>
        </w:rPr>
        <w:t>⑤如一旦出现不可抗拒的外部原因，如双回路停电、突发性自然灾害等情况导致污水直接外排时，对厂内现有污水进行加漂白粉消毒处理。</w:t>
      </w:r>
    </w:p>
    <w:p w14:paraId="78815AF9">
      <w:pPr>
        <w:bidi w:val="0"/>
        <w:rPr>
          <w:color w:val="auto"/>
        </w:rPr>
      </w:pPr>
      <w:r>
        <w:rPr>
          <w:color w:val="auto"/>
        </w:rPr>
        <w:t>⑥在事故发生及处理期间，应在排放口附近水域悬挂标志示警，提醒各有关方面采取防范措施。</w:t>
      </w:r>
    </w:p>
    <w:p w14:paraId="65206D23">
      <w:pPr>
        <w:pageBreakBefore w:val="0"/>
        <w:wordWrap/>
        <w:bidi w:val="0"/>
        <w:adjustRightInd/>
        <w:snapToGrid/>
        <w:ind w:firstLine="480"/>
        <w:rPr>
          <w:b/>
          <w:bCs/>
          <w:color w:val="auto"/>
        </w:rPr>
      </w:pPr>
      <w:r>
        <w:rPr>
          <w:b/>
          <w:bCs/>
          <w:color w:val="auto"/>
        </w:rPr>
        <w:t>3、应急预案内容</w:t>
      </w:r>
    </w:p>
    <w:p w14:paraId="3ED79E08">
      <w:pPr>
        <w:pageBreakBefore w:val="0"/>
        <w:wordWrap/>
        <w:bidi w:val="0"/>
        <w:adjustRightInd/>
        <w:snapToGrid/>
        <w:ind w:firstLine="480"/>
        <w:rPr>
          <w:color w:val="auto"/>
        </w:rPr>
      </w:pPr>
      <w:r>
        <w:rPr>
          <w:color w:val="auto"/>
        </w:rPr>
        <w:t>结合项目实际情况，企业在编制应急预案时，应重点突出以下方面：</w:t>
      </w:r>
    </w:p>
    <w:p w14:paraId="66780DFA">
      <w:pPr>
        <w:pageBreakBefore w:val="0"/>
        <w:wordWrap/>
        <w:bidi w:val="0"/>
        <w:adjustRightInd/>
        <w:snapToGrid/>
        <w:ind w:firstLine="480"/>
        <w:rPr>
          <w:b/>
          <w:bCs/>
          <w:color w:val="auto"/>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b/>
          <w:bCs/>
          <w:color w:val="auto"/>
        </w:rPr>
        <w:t>地表水风险事故应急预案</w:t>
      </w:r>
    </w:p>
    <w:p w14:paraId="06F099BD">
      <w:pPr>
        <w:pageBreakBefore w:val="0"/>
        <w:wordWrap/>
        <w:bidi w:val="0"/>
        <w:adjustRightInd/>
        <w:snapToGrid/>
        <w:ind w:firstLine="480"/>
        <w:rPr>
          <w:color w:val="auto"/>
        </w:rPr>
      </w:pPr>
      <w:r>
        <w:rPr>
          <w:color w:val="auto"/>
        </w:rPr>
        <w:t>项目在运行过程中主要的地表水风险事故包括水质超标（进、出水水质超标）、洪水冲击甚至淹没等，制定具体的风险应急预案如下：</w:t>
      </w:r>
    </w:p>
    <w:p w14:paraId="30521350">
      <w:pPr>
        <w:pageBreakBefore w:val="0"/>
        <w:wordWrap/>
        <w:bidi w:val="0"/>
        <w:adjustRightInd/>
        <w:snapToGrid/>
        <w:ind w:firstLine="480"/>
        <w:rPr>
          <w:color w:val="auto"/>
        </w:rPr>
      </w:pPr>
      <w:r>
        <w:rPr>
          <w:color w:val="auto"/>
        </w:rPr>
        <w:t>预案一：进水水质超标</w:t>
      </w:r>
    </w:p>
    <w:p w14:paraId="5AC51D3F">
      <w:pPr>
        <w:pageBreakBefore w:val="0"/>
        <w:wordWrap/>
        <w:bidi w:val="0"/>
        <w:adjustRightInd/>
        <w:snapToGrid/>
        <w:ind w:firstLine="480"/>
        <w:rPr>
          <w:color w:val="auto"/>
        </w:rPr>
      </w:pPr>
      <w:r>
        <w:rPr>
          <w:color w:val="auto"/>
        </w:rPr>
        <w:t>若出现项目来水中某一项或数项指标出现小幅度超标但通过</w:t>
      </w:r>
      <w:r>
        <w:rPr>
          <w:rFonts w:hint="eastAsia"/>
          <w:color w:val="auto"/>
          <w:lang w:eastAsia="zh-CN"/>
        </w:rPr>
        <w:t>污水处理厂</w:t>
      </w:r>
      <w:r>
        <w:rPr>
          <w:color w:val="auto"/>
        </w:rPr>
        <w:t>自身运行调节，不会影响</w:t>
      </w:r>
      <w:r>
        <w:rPr>
          <w:rFonts w:hint="eastAsia"/>
          <w:color w:val="auto"/>
          <w:lang w:eastAsia="zh-CN"/>
        </w:rPr>
        <w:t>污水处理厂</w:t>
      </w:r>
      <w:r>
        <w:rPr>
          <w:color w:val="auto"/>
        </w:rPr>
        <w:t>正常运行且可确保出水达标的前提下，</w:t>
      </w:r>
      <w:r>
        <w:rPr>
          <w:rFonts w:hint="eastAsia"/>
          <w:color w:val="auto"/>
          <w:lang w:eastAsia="zh-CN"/>
        </w:rPr>
        <w:t>污水处理厂</w:t>
      </w:r>
      <w:r>
        <w:rPr>
          <w:color w:val="auto"/>
        </w:rPr>
        <w:t>可运行，但需强化各处理工段的加药量、控制参数等，同时需立即通知园区各来水企业自检，确保自身废水出水满足要求。</w:t>
      </w:r>
    </w:p>
    <w:p w14:paraId="7544B4B0">
      <w:pPr>
        <w:pageBreakBefore w:val="0"/>
        <w:wordWrap/>
        <w:bidi w:val="0"/>
        <w:adjustRightInd/>
        <w:snapToGrid/>
        <w:ind w:firstLine="480"/>
        <w:rPr>
          <w:color w:val="auto"/>
        </w:rPr>
      </w:pPr>
      <w:r>
        <w:rPr>
          <w:color w:val="auto"/>
        </w:rPr>
        <w:t>若出现来水超标严重且可能导致项目不能正常运行、出水超标的情景，立即切断项目进水阀门，将已进入的超标废水转入事故池，同时通知园区各企业关闭厂区废水排口，检查各自</w:t>
      </w:r>
      <w:r>
        <w:rPr>
          <w:rFonts w:hint="eastAsia"/>
          <w:color w:val="auto"/>
          <w:lang w:eastAsia="zh-CN"/>
        </w:rPr>
        <w:t>厂区</w:t>
      </w:r>
      <w:r>
        <w:rPr>
          <w:color w:val="auto"/>
        </w:rPr>
        <w:t>废水处理设施，将各自超标废水引入自身厂区事故池，待厂区废水站恢复正常、出水达标后方可重新开启废水排口、将废水引入项目废水站，在必要情况下各企业需采用停产等临时措施。</w:t>
      </w:r>
    </w:p>
    <w:p w14:paraId="7B88226D">
      <w:pPr>
        <w:pageBreakBefore w:val="0"/>
        <w:wordWrap/>
        <w:bidi w:val="0"/>
        <w:adjustRightInd/>
        <w:snapToGrid/>
        <w:ind w:firstLine="480"/>
        <w:rPr>
          <w:color w:val="auto"/>
        </w:rPr>
      </w:pPr>
      <w:r>
        <w:rPr>
          <w:color w:val="auto"/>
        </w:rPr>
        <w:t>预案二：出水水质超标</w:t>
      </w:r>
    </w:p>
    <w:p w14:paraId="1516C7B2">
      <w:pPr>
        <w:pageBreakBefore w:val="0"/>
        <w:wordWrap/>
        <w:bidi w:val="0"/>
        <w:adjustRightInd/>
        <w:snapToGrid/>
        <w:ind w:firstLine="480"/>
        <w:rPr>
          <w:color w:val="auto"/>
        </w:rPr>
      </w:pPr>
      <w:r>
        <w:rPr>
          <w:color w:val="auto"/>
        </w:rPr>
        <w:t>若出现污水处理厂出水超标，应立即报告公司应急指挥组，切断废水排放口阀门，停止各构筑物设备运行，将出水打回前端调节池，并将来水引入事故池暂存，及时检查并修复问题，重新启动运行，事故池暂存废水逐步打入调节池，进入后续处理工段。在发现出水超标时，应配合监测站立即对下游水质进行监测。当数据异常时，必须及时向上级主管部门汇报，以明确进一步的处理措施。</w:t>
      </w:r>
    </w:p>
    <w:p w14:paraId="288A363C">
      <w:pPr>
        <w:pageBreakBefore w:val="0"/>
        <w:wordWrap/>
        <w:bidi w:val="0"/>
        <w:adjustRightInd/>
        <w:snapToGrid/>
        <w:ind w:firstLine="480"/>
        <w:rPr>
          <w:color w:val="auto"/>
        </w:rPr>
      </w:pPr>
      <w:r>
        <w:rPr>
          <w:color w:val="auto"/>
        </w:rPr>
        <w:t>预案三：</w:t>
      </w:r>
      <w:r>
        <w:rPr>
          <w:rFonts w:hint="eastAsia"/>
          <w:color w:val="auto"/>
          <w:lang w:eastAsia="zh-CN"/>
        </w:rPr>
        <w:t>污水处理厂</w:t>
      </w:r>
      <w:r>
        <w:rPr>
          <w:color w:val="auto"/>
        </w:rPr>
        <w:t>机械设施或电力故障</w:t>
      </w:r>
    </w:p>
    <w:p w14:paraId="22DB4835">
      <w:pPr>
        <w:pageBreakBefore w:val="0"/>
        <w:wordWrap/>
        <w:bidi w:val="0"/>
        <w:adjustRightInd/>
        <w:snapToGrid/>
        <w:ind w:firstLine="480"/>
        <w:rPr>
          <w:color w:val="auto"/>
        </w:rPr>
      </w:pPr>
      <w:r>
        <w:rPr>
          <w:color w:val="auto"/>
        </w:rPr>
        <w:t>（1）当因机械设施或电力故障而造成污水处理厂不能正常运行时，污水可以暂时存放于事故水池中，此外将与园区各企业形成联动，各企业将处理后废水引至自身设置的事故水池，关闭出水阀门，待</w:t>
      </w:r>
      <w:r>
        <w:rPr>
          <w:rFonts w:hint="eastAsia"/>
          <w:color w:val="auto"/>
          <w:lang w:eastAsia="zh-CN"/>
        </w:rPr>
        <w:t>污水处理厂</w:t>
      </w:r>
      <w:r>
        <w:rPr>
          <w:color w:val="auto"/>
        </w:rPr>
        <w:t>恢复正常时再外排废水。故在此类事故发生时，项目只要及时抢修，并不会对环境造成影响。同时该事故发生的可能性相当小。此外，</w:t>
      </w:r>
      <w:r>
        <w:rPr>
          <w:rFonts w:hint="eastAsia"/>
          <w:color w:val="auto"/>
          <w:lang w:eastAsia="zh-CN"/>
        </w:rPr>
        <w:t>污水处理厂</w:t>
      </w:r>
      <w:r>
        <w:rPr>
          <w:color w:val="auto"/>
        </w:rPr>
        <w:t>应加强组织领导，建立水质安全事故应急处理领导小组。</w:t>
      </w:r>
    </w:p>
    <w:p w14:paraId="0272BAE0">
      <w:pPr>
        <w:pageBreakBefore w:val="0"/>
        <w:wordWrap/>
        <w:bidi w:val="0"/>
        <w:adjustRightInd/>
        <w:snapToGrid/>
        <w:ind w:firstLine="480"/>
        <w:rPr>
          <w:b/>
          <w:bCs/>
          <w:color w:val="auto"/>
        </w:rPr>
      </w:pPr>
      <w:r>
        <w:rPr>
          <w:b/>
          <w:bCs/>
          <w:color w:val="auto"/>
        </w:rPr>
        <w:t>（2）地下水环境风险应急预案</w:t>
      </w:r>
    </w:p>
    <w:p w14:paraId="69294F00">
      <w:pPr>
        <w:pageBreakBefore w:val="0"/>
        <w:wordWrap/>
        <w:bidi w:val="0"/>
        <w:adjustRightInd/>
        <w:snapToGrid/>
        <w:ind w:firstLine="480"/>
        <w:rPr>
          <w:rFonts w:hint="eastAsia" w:eastAsia="宋体"/>
          <w:color w:val="auto"/>
          <w:lang w:val="en-US" w:eastAsia="zh-CN"/>
        </w:rPr>
      </w:pPr>
      <w:r>
        <w:rPr>
          <w:color w:val="auto"/>
        </w:rPr>
        <w:t>项目地下水风险事故主要为废水泄漏导致地下水污染，制定的</w:t>
      </w:r>
      <w:r>
        <w:rPr>
          <w:rFonts w:hint="eastAsia"/>
          <w:color w:val="auto"/>
          <w:lang w:val="en-US" w:eastAsia="zh-CN"/>
        </w:rPr>
        <w:t>具体</w:t>
      </w:r>
      <w:r>
        <w:rPr>
          <w:color w:val="auto"/>
        </w:rPr>
        <w:t>应急响应预案如</w:t>
      </w:r>
      <w:r>
        <w:rPr>
          <w:rFonts w:hint="eastAsia"/>
          <w:color w:val="auto"/>
          <w:lang w:val="en-US" w:eastAsia="zh-CN"/>
        </w:rPr>
        <w:t>下：</w:t>
      </w:r>
    </w:p>
    <w:p w14:paraId="1DBBDDB2">
      <w:pPr>
        <w:pageBreakBefore w:val="0"/>
        <w:wordWrap/>
        <w:bidi w:val="0"/>
        <w:adjustRightInd/>
        <w:snapToGrid/>
        <w:ind w:firstLine="480"/>
        <w:rPr>
          <w:color w:val="auto"/>
        </w:rPr>
      </w:pPr>
      <w:r>
        <w:rPr>
          <w:color w:val="auto"/>
        </w:rPr>
        <w:t>1）地下水污染风险快速评估及决策</w:t>
      </w:r>
    </w:p>
    <w:p w14:paraId="1D1A031F">
      <w:pPr>
        <w:pageBreakBefore w:val="0"/>
        <w:wordWrap/>
        <w:bidi w:val="0"/>
        <w:adjustRightInd/>
        <w:snapToGrid/>
        <w:ind w:firstLine="480"/>
        <w:rPr>
          <w:color w:val="auto"/>
        </w:rPr>
      </w:pPr>
      <w:r>
        <w:rPr>
          <w:color w:val="auto"/>
        </w:rPr>
        <w:t>地下水污染风险快速评估方法与决策由连续的3个阶段组成：</w:t>
      </w:r>
    </w:p>
    <w:p w14:paraId="09ED94E4">
      <w:pPr>
        <w:pageBreakBefore w:val="0"/>
        <w:wordWrap/>
        <w:bidi w:val="0"/>
        <w:adjustRightInd/>
        <w:snapToGrid/>
        <w:ind w:firstLine="480"/>
        <w:rPr>
          <w:color w:val="auto"/>
        </w:rPr>
      </w:pPr>
      <w:r>
        <w:rPr>
          <w:color w:val="auto"/>
        </w:rPr>
        <w:t>第1阶段为事故与场地调查：主要任务为搜集事故与污染物信息及场地水文地质资料等一些基本信息；</w:t>
      </w:r>
    </w:p>
    <w:p w14:paraId="01F3E437">
      <w:pPr>
        <w:pageBreakBefore w:val="0"/>
        <w:wordWrap/>
        <w:bidi w:val="0"/>
        <w:adjustRightInd/>
        <w:snapToGrid/>
        <w:ind w:firstLine="480"/>
        <w:rPr>
          <w:color w:val="auto"/>
          <w:kern w:val="0"/>
        </w:rPr>
      </w:pPr>
      <w:r>
        <w:rPr>
          <w:color w:val="auto"/>
        </w:rPr>
        <w:t>第2阶段为计算和评价：采用简单的数学模型判断事故对地下水影响的紧迫程度，以及对下游敏感点的影响，以快速获取所需要的信息</w:t>
      </w:r>
      <w:r>
        <w:rPr>
          <w:color w:val="auto"/>
          <w:kern w:val="0"/>
        </w:rPr>
        <w:t>；</w:t>
      </w:r>
    </w:p>
    <w:p w14:paraId="73C939D6">
      <w:pPr>
        <w:pageBreakBefore w:val="0"/>
        <w:wordWrap/>
        <w:bidi w:val="0"/>
        <w:adjustRightInd/>
        <w:snapToGrid/>
        <w:ind w:firstLine="480"/>
        <w:rPr>
          <w:color w:val="auto"/>
        </w:rPr>
      </w:pPr>
      <w:r>
        <w:rPr>
          <w:color w:val="auto"/>
        </w:rPr>
        <w:t>第3阶段为分析与决策：综合分析前两阶段的结果制定场地应急控制措施。</w:t>
      </w:r>
    </w:p>
    <w:p w14:paraId="230D3502">
      <w:pPr>
        <w:pageBreakBefore w:val="0"/>
        <w:wordWrap/>
        <w:bidi w:val="0"/>
        <w:adjustRightInd/>
        <w:snapToGrid/>
        <w:ind w:firstLine="480"/>
        <w:rPr>
          <w:color w:val="auto"/>
        </w:rPr>
      </w:pPr>
      <w:r>
        <w:rPr>
          <w:color w:val="auto"/>
        </w:rPr>
        <w:t>2）风险</w:t>
      </w:r>
      <w:r>
        <w:rPr>
          <w:rFonts w:hint="eastAsia"/>
          <w:color w:val="auto"/>
          <w:lang w:eastAsia="zh-CN"/>
        </w:rPr>
        <w:t>事件</w:t>
      </w:r>
      <w:r>
        <w:rPr>
          <w:color w:val="auto"/>
        </w:rPr>
        <w:t>应急程序</w:t>
      </w:r>
    </w:p>
    <w:p w14:paraId="242B308E">
      <w:pPr>
        <w:pageBreakBefore w:val="0"/>
        <w:wordWrap/>
        <w:bidi w:val="0"/>
        <w:adjustRightInd/>
        <w:snapToGrid/>
        <w:ind w:firstLine="480"/>
        <w:rPr>
          <w:color w:val="auto"/>
        </w:rPr>
      </w:pPr>
      <w:r>
        <w:rPr>
          <w:color w:val="auto"/>
        </w:rPr>
        <w:t>无论预防工作如何周密，风险事故总是难以根本杜绝，因此，必须制定地下水风险事故应急响应预案，明确风险事故状态下应采取封闭、截流等措施，提出防止受污染的地下水扩散和对受污染的地下水进行治理的具体方案。</w:t>
      </w:r>
    </w:p>
    <w:p w14:paraId="16F96DD6">
      <w:pPr>
        <w:pageBreakBefore w:val="0"/>
        <w:wordWrap/>
        <w:bidi w:val="0"/>
        <w:adjustRightInd/>
        <w:snapToGrid/>
        <w:ind w:firstLine="480"/>
        <w:rPr>
          <w:color w:val="auto"/>
        </w:rPr>
      </w:pPr>
      <w:r>
        <w:rPr>
          <w:color w:val="auto"/>
        </w:rPr>
        <w:t>制定风险事故应急预案的目的是为了在发生风险事故时，能以最快的速度发挥最大的效能，有序地实施救援，尽快控制事态的发展，降低事故对地下水的污染。因此，建设单位应根据《中华人民共和国水污染防治法》编制相应的应急方案，并按照《关于印发&lt;企业突发环境事件风险评估指南（试行）&gt;的通知》</w:t>
      </w:r>
      <w:r>
        <w:rPr>
          <w:rFonts w:hint="eastAsia"/>
          <w:color w:val="auto"/>
          <w:lang w:eastAsia="zh-CN"/>
        </w:rPr>
        <w:t>（</w:t>
      </w:r>
      <w:r>
        <w:rPr>
          <w:color w:val="auto"/>
        </w:rPr>
        <w:t>环办[2014]34号</w:t>
      </w:r>
      <w:r>
        <w:rPr>
          <w:rFonts w:hint="eastAsia"/>
          <w:color w:val="auto"/>
          <w:lang w:eastAsia="zh-CN"/>
        </w:rPr>
        <w:t>）</w:t>
      </w:r>
      <w:r>
        <w:rPr>
          <w:color w:val="auto"/>
        </w:rPr>
        <w:t>，将地下水风险纳入建设单位环境风险事故评估中，防止对周围地下水环境造成污染。</w:t>
      </w:r>
    </w:p>
    <w:p w14:paraId="443F4D9A">
      <w:pPr>
        <w:pageBreakBefore w:val="0"/>
        <w:wordWrap/>
        <w:bidi w:val="0"/>
        <w:adjustRightInd/>
        <w:snapToGrid/>
        <w:ind w:firstLine="480"/>
        <w:rPr>
          <w:color w:val="auto"/>
        </w:rPr>
      </w:pPr>
      <w:r>
        <w:rPr>
          <w:color w:val="auto"/>
        </w:rPr>
        <w:t>建设单位须按照《</w:t>
      </w:r>
      <w:r>
        <w:rPr>
          <w:rFonts w:hint="eastAsia"/>
          <w:color w:val="auto"/>
        </w:rPr>
        <w:t>关于印发&lt;企业事业单位突发环境事件应急预案备案管理办法（试行）&gt;的通知</w:t>
      </w:r>
      <w:r>
        <w:rPr>
          <w:color w:val="auto"/>
        </w:rPr>
        <w:t>》</w:t>
      </w:r>
      <w:r>
        <w:rPr>
          <w:rFonts w:hint="eastAsia"/>
          <w:color w:val="auto"/>
        </w:rPr>
        <w:t>（环发[2015]4号）、《关于印发&lt;四川省突发环境事件应急预案备案行业名录（试行）的通知&gt;》（川环办函[2019]504号）</w:t>
      </w:r>
      <w:r>
        <w:rPr>
          <w:color w:val="auto"/>
        </w:rPr>
        <w:t>有关要求，结合项目实际情况，修订完善其环境污染事故应急与响应预案，本项目应急预案的主要内容见</w:t>
      </w:r>
      <w:r>
        <w:rPr>
          <w:rFonts w:hint="eastAsia"/>
          <w:color w:val="auto"/>
          <w:lang w:val="en-US" w:eastAsia="zh-CN"/>
        </w:rPr>
        <w:t>下表</w:t>
      </w:r>
      <w:r>
        <w:rPr>
          <w:color w:val="auto"/>
        </w:rPr>
        <w:t>。</w:t>
      </w:r>
    </w:p>
    <w:p w14:paraId="1F72A6B9">
      <w:pPr>
        <w:pStyle w:val="19"/>
        <w:numPr>
          <w:ilvl w:val="0"/>
          <w:numId w:val="34"/>
        </w:numPr>
        <w:bidi w:val="0"/>
        <w:ind w:left="0" w:leftChars="0" w:firstLine="0" w:firstLineChars="0"/>
        <w:rPr>
          <w:color w:val="auto"/>
        </w:rPr>
      </w:pPr>
      <w:r>
        <w:rPr>
          <w:rFonts w:hint="eastAsia"/>
          <w:color w:val="auto"/>
          <w:lang w:val="en-US" w:eastAsia="zh-CN"/>
        </w:rPr>
        <w:t>应急</w:t>
      </w:r>
      <w:r>
        <w:rPr>
          <w:color w:val="auto"/>
        </w:rPr>
        <w:t>预案内容</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638"/>
        <w:gridCol w:w="1211"/>
        <w:gridCol w:w="6990"/>
      </w:tblGrid>
      <w:tr w14:paraId="290BCF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4DD6A05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序号</w:t>
            </w:r>
          </w:p>
        </w:tc>
        <w:tc>
          <w:tcPr>
            <w:tcW w:w="685" w:type="pct"/>
            <w:tcBorders>
              <w:tl2br w:val="nil"/>
              <w:tr2bl w:val="nil"/>
            </w:tcBorders>
            <w:noWrap w:val="0"/>
            <w:vAlign w:val="center"/>
          </w:tcPr>
          <w:p w14:paraId="29D77C7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项目</w:t>
            </w:r>
          </w:p>
        </w:tc>
        <w:tc>
          <w:tcPr>
            <w:tcW w:w="3953" w:type="pct"/>
            <w:tcBorders>
              <w:tl2br w:val="nil"/>
              <w:tr2bl w:val="nil"/>
            </w:tcBorders>
            <w:noWrap w:val="0"/>
            <w:vAlign w:val="center"/>
          </w:tcPr>
          <w:p w14:paraId="56AB2B1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内容及要求</w:t>
            </w:r>
          </w:p>
        </w:tc>
      </w:tr>
      <w:tr w14:paraId="050C15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067D8BE7">
            <w:pPr>
              <w:pageBreakBefore w:val="0"/>
              <w:wordWrap/>
              <w:bidi w:val="0"/>
              <w:adjustRightInd/>
              <w:snapToGrid/>
              <w:spacing w:line="240" w:lineRule="auto"/>
              <w:ind w:firstLine="0" w:firstLineChars="0"/>
              <w:jc w:val="center"/>
              <w:rPr>
                <w:color w:val="auto"/>
                <w:sz w:val="21"/>
                <w:szCs w:val="21"/>
              </w:rPr>
            </w:pPr>
            <w:r>
              <w:rPr>
                <w:color w:val="auto"/>
                <w:sz w:val="21"/>
                <w:szCs w:val="21"/>
              </w:rPr>
              <w:t>1</w:t>
            </w:r>
          </w:p>
        </w:tc>
        <w:tc>
          <w:tcPr>
            <w:tcW w:w="685" w:type="pct"/>
            <w:tcBorders>
              <w:tl2br w:val="nil"/>
              <w:tr2bl w:val="nil"/>
            </w:tcBorders>
            <w:noWrap w:val="0"/>
            <w:vAlign w:val="center"/>
          </w:tcPr>
          <w:p w14:paraId="20815A23">
            <w:pPr>
              <w:pageBreakBefore w:val="0"/>
              <w:wordWrap/>
              <w:bidi w:val="0"/>
              <w:adjustRightInd/>
              <w:snapToGrid/>
              <w:spacing w:line="240" w:lineRule="auto"/>
              <w:ind w:firstLine="0" w:firstLineChars="0"/>
              <w:jc w:val="center"/>
              <w:rPr>
                <w:color w:val="auto"/>
                <w:sz w:val="21"/>
                <w:szCs w:val="21"/>
              </w:rPr>
            </w:pPr>
            <w:r>
              <w:rPr>
                <w:color w:val="auto"/>
                <w:sz w:val="21"/>
                <w:szCs w:val="21"/>
              </w:rPr>
              <w:t>应急计划区</w:t>
            </w:r>
          </w:p>
        </w:tc>
        <w:tc>
          <w:tcPr>
            <w:tcW w:w="3953" w:type="pct"/>
            <w:tcBorders>
              <w:tl2br w:val="nil"/>
              <w:tr2bl w:val="nil"/>
            </w:tcBorders>
            <w:noWrap w:val="0"/>
            <w:vAlign w:val="center"/>
          </w:tcPr>
          <w:p w14:paraId="1C263EA2">
            <w:pPr>
              <w:pageBreakBefore w:val="0"/>
              <w:wordWrap/>
              <w:bidi w:val="0"/>
              <w:adjustRightInd/>
              <w:snapToGrid/>
              <w:spacing w:line="240" w:lineRule="auto"/>
              <w:ind w:firstLine="0" w:firstLineChars="0"/>
              <w:jc w:val="left"/>
              <w:rPr>
                <w:color w:val="auto"/>
                <w:sz w:val="21"/>
                <w:szCs w:val="21"/>
              </w:rPr>
            </w:pPr>
            <w:r>
              <w:rPr>
                <w:color w:val="auto"/>
                <w:sz w:val="21"/>
                <w:szCs w:val="21"/>
              </w:rPr>
              <w:t>危险目标主要包括加药间、污泥脱水；环境保护目标主要为厂区内的员工及外的办公区、附近水体。</w:t>
            </w:r>
          </w:p>
        </w:tc>
      </w:tr>
      <w:tr w14:paraId="72B64B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51215A84">
            <w:pPr>
              <w:pageBreakBefore w:val="0"/>
              <w:wordWrap/>
              <w:bidi w:val="0"/>
              <w:adjustRightInd/>
              <w:snapToGrid/>
              <w:spacing w:line="240" w:lineRule="auto"/>
              <w:ind w:firstLine="0" w:firstLineChars="0"/>
              <w:jc w:val="center"/>
              <w:rPr>
                <w:color w:val="auto"/>
                <w:sz w:val="21"/>
                <w:szCs w:val="21"/>
              </w:rPr>
            </w:pPr>
            <w:r>
              <w:rPr>
                <w:color w:val="auto"/>
                <w:sz w:val="21"/>
                <w:szCs w:val="21"/>
              </w:rPr>
              <w:t>2</w:t>
            </w:r>
          </w:p>
        </w:tc>
        <w:tc>
          <w:tcPr>
            <w:tcW w:w="685" w:type="pct"/>
            <w:tcBorders>
              <w:tl2br w:val="nil"/>
              <w:tr2bl w:val="nil"/>
            </w:tcBorders>
            <w:noWrap w:val="0"/>
            <w:vAlign w:val="center"/>
          </w:tcPr>
          <w:p w14:paraId="7E89A037">
            <w:pPr>
              <w:pageBreakBefore w:val="0"/>
              <w:wordWrap/>
              <w:bidi w:val="0"/>
              <w:adjustRightInd/>
              <w:snapToGrid/>
              <w:spacing w:line="240" w:lineRule="auto"/>
              <w:ind w:firstLine="0" w:firstLineChars="0"/>
              <w:jc w:val="center"/>
              <w:rPr>
                <w:color w:val="auto"/>
                <w:sz w:val="21"/>
                <w:szCs w:val="21"/>
              </w:rPr>
            </w:pPr>
            <w:r>
              <w:rPr>
                <w:color w:val="auto"/>
                <w:sz w:val="21"/>
                <w:szCs w:val="21"/>
              </w:rPr>
              <w:t>应急组织机构、人员</w:t>
            </w:r>
          </w:p>
        </w:tc>
        <w:tc>
          <w:tcPr>
            <w:tcW w:w="3953" w:type="pct"/>
            <w:tcBorders>
              <w:tl2br w:val="nil"/>
              <w:tr2bl w:val="nil"/>
            </w:tcBorders>
            <w:noWrap w:val="0"/>
            <w:vAlign w:val="center"/>
          </w:tcPr>
          <w:p w14:paraId="0F837F13">
            <w:pPr>
              <w:pageBreakBefore w:val="0"/>
              <w:wordWrap/>
              <w:autoSpaceDE w:val="0"/>
              <w:autoSpaceDN w:val="0"/>
              <w:bidi w:val="0"/>
              <w:adjustRightInd/>
              <w:snapToGrid/>
              <w:spacing w:line="240" w:lineRule="auto"/>
              <w:ind w:firstLine="0" w:firstLineChars="0"/>
              <w:jc w:val="left"/>
              <w:rPr>
                <w:color w:val="auto"/>
                <w:kern w:val="0"/>
                <w:sz w:val="21"/>
                <w:szCs w:val="21"/>
              </w:rPr>
            </w:pPr>
            <w:r>
              <w:rPr>
                <w:color w:val="auto"/>
                <w:kern w:val="0"/>
                <w:sz w:val="21"/>
                <w:szCs w:val="21"/>
              </w:rPr>
              <w:t>项目应成立环境风险事故应急救援</w:t>
            </w:r>
            <w:r>
              <w:rPr>
                <w:rFonts w:hint="eastAsia"/>
                <w:color w:val="auto"/>
                <w:kern w:val="0"/>
                <w:sz w:val="21"/>
                <w:szCs w:val="21"/>
                <w:lang w:eastAsia="zh-CN"/>
              </w:rPr>
              <w:t>“</w:t>
            </w:r>
            <w:r>
              <w:rPr>
                <w:color w:val="auto"/>
                <w:kern w:val="0"/>
                <w:sz w:val="21"/>
                <w:szCs w:val="21"/>
              </w:rPr>
              <w:t>指挥领导小组</w:t>
            </w:r>
            <w:r>
              <w:rPr>
                <w:rFonts w:hint="eastAsia"/>
                <w:color w:val="auto"/>
                <w:kern w:val="0"/>
                <w:sz w:val="21"/>
                <w:szCs w:val="21"/>
                <w:lang w:eastAsia="zh-CN"/>
              </w:rPr>
              <w:t>”</w:t>
            </w:r>
            <w:r>
              <w:rPr>
                <w:color w:val="auto"/>
                <w:kern w:val="0"/>
                <w:sz w:val="21"/>
                <w:szCs w:val="21"/>
              </w:rPr>
              <w:t>，由总经理、副总经理及厂房工程（环保）、人力资源及行政（安全保卫）、财务、采购等部门经理组成。下设应急救援办公室，日常工作由人力资源及行政部（安全保卫）和厂房工程部（环保）共同管理。</w:t>
            </w:r>
          </w:p>
        </w:tc>
      </w:tr>
      <w:tr w14:paraId="3AF724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45E26CF4">
            <w:pPr>
              <w:pageBreakBefore w:val="0"/>
              <w:wordWrap/>
              <w:bidi w:val="0"/>
              <w:adjustRightInd/>
              <w:snapToGrid/>
              <w:spacing w:line="240" w:lineRule="auto"/>
              <w:ind w:firstLine="0" w:firstLineChars="0"/>
              <w:jc w:val="center"/>
              <w:rPr>
                <w:color w:val="auto"/>
                <w:sz w:val="21"/>
                <w:szCs w:val="21"/>
              </w:rPr>
            </w:pPr>
            <w:r>
              <w:rPr>
                <w:color w:val="auto"/>
                <w:sz w:val="21"/>
                <w:szCs w:val="21"/>
              </w:rPr>
              <w:t>3</w:t>
            </w:r>
          </w:p>
        </w:tc>
        <w:tc>
          <w:tcPr>
            <w:tcW w:w="685" w:type="pct"/>
            <w:tcBorders>
              <w:tl2br w:val="nil"/>
              <w:tr2bl w:val="nil"/>
            </w:tcBorders>
            <w:noWrap w:val="0"/>
            <w:vAlign w:val="center"/>
          </w:tcPr>
          <w:p w14:paraId="0DE832C2">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预案分级响应条件</w:t>
            </w:r>
          </w:p>
        </w:tc>
        <w:tc>
          <w:tcPr>
            <w:tcW w:w="3953" w:type="pct"/>
            <w:tcBorders>
              <w:tl2br w:val="nil"/>
              <w:tr2bl w:val="nil"/>
            </w:tcBorders>
            <w:noWrap w:val="0"/>
            <w:vAlign w:val="center"/>
          </w:tcPr>
          <w:p w14:paraId="77DDDCEE">
            <w:pPr>
              <w:pStyle w:val="66"/>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项目应急响应分三级响应：一级响应：项目内部响应；二级响应：与镇级共同响应；三级响应：与市级主管部门共同响应</w:t>
            </w:r>
          </w:p>
        </w:tc>
      </w:tr>
      <w:tr w14:paraId="4ABA76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69AAA36F">
            <w:pPr>
              <w:pageBreakBefore w:val="0"/>
              <w:wordWrap/>
              <w:bidi w:val="0"/>
              <w:adjustRightInd/>
              <w:snapToGrid/>
              <w:spacing w:line="240" w:lineRule="auto"/>
              <w:ind w:firstLine="0" w:firstLineChars="0"/>
              <w:jc w:val="center"/>
              <w:rPr>
                <w:color w:val="auto"/>
                <w:sz w:val="21"/>
                <w:szCs w:val="21"/>
              </w:rPr>
            </w:pPr>
            <w:r>
              <w:rPr>
                <w:color w:val="auto"/>
                <w:sz w:val="21"/>
                <w:szCs w:val="21"/>
              </w:rPr>
              <w:t>4</w:t>
            </w:r>
          </w:p>
        </w:tc>
        <w:tc>
          <w:tcPr>
            <w:tcW w:w="685" w:type="pct"/>
            <w:tcBorders>
              <w:tl2br w:val="nil"/>
              <w:tr2bl w:val="nil"/>
            </w:tcBorders>
            <w:noWrap w:val="0"/>
            <w:vAlign w:val="center"/>
          </w:tcPr>
          <w:p w14:paraId="1B3B6157">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应急救援保障</w:t>
            </w:r>
          </w:p>
        </w:tc>
        <w:tc>
          <w:tcPr>
            <w:tcW w:w="3953" w:type="pct"/>
            <w:tcBorders>
              <w:tl2br w:val="nil"/>
              <w:tr2bl w:val="nil"/>
            </w:tcBorders>
            <w:noWrap w:val="0"/>
            <w:vAlign w:val="center"/>
          </w:tcPr>
          <w:p w14:paraId="2361E7A4">
            <w:pPr>
              <w:pStyle w:val="66"/>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针对危险目标，事先将抢险抢修、个体防护、医疗救援、通讯联络等装备器材配备齐全。平时要专人维护、保管、检验，确保器材始终处于完好状态，保证能有效使用。</w:t>
            </w:r>
          </w:p>
        </w:tc>
      </w:tr>
      <w:tr w14:paraId="10E9C1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482301DB">
            <w:pPr>
              <w:pageBreakBefore w:val="0"/>
              <w:wordWrap/>
              <w:bidi w:val="0"/>
              <w:adjustRightInd/>
              <w:snapToGrid/>
              <w:spacing w:line="240" w:lineRule="auto"/>
              <w:ind w:firstLine="0" w:firstLineChars="0"/>
              <w:jc w:val="center"/>
              <w:rPr>
                <w:color w:val="auto"/>
                <w:sz w:val="21"/>
                <w:szCs w:val="21"/>
              </w:rPr>
            </w:pPr>
            <w:r>
              <w:rPr>
                <w:color w:val="auto"/>
                <w:sz w:val="21"/>
                <w:szCs w:val="21"/>
              </w:rPr>
              <w:t>5</w:t>
            </w:r>
          </w:p>
        </w:tc>
        <w:tc>
          <w:tcPr>
            <w:tcW w:w="685" w:type="pct"/>
            <w:tcBorders>
              <w:tl2br w:val="nil"/>
              <w:tr2bl w:val="nil"/>
            </w:tcBorders>
            <w:noWrap w:val="0"/>
            <w:vAlign w:val="center"/>
          </w:tcPr>
          <w:p w14:paraId="147172CE">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报警、通讯联络方式</w:t>
            </w:r>
          </w:p>
        </w:tc>
        <w:tc>
          <w:tcPr>
            <w:tcW w:w="3953" w:type="pct"/>
            <w:tcBorders>
              <w:tl2br w:val="nil"/>
              <w:tr2bl w:val="nil"/>
            </w:tcBorders>
            <w:noWrap w:val="0"/>
            <w:vAlign w:val="center"/>
          </w:tcPr>
          <w:p w14:paraId="48B27036">
            <w:pPr>
              <w:pStyle w:val="66"/>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根据公司突发环境污染事故</w:t>
            </w:r>
            <w:r>
              <w:rPr>
                <w:rFonts w:hint="eastAsia" w:ascii="Times New Roman" w:eastAsia="宋体" w:cs="Times New Roman"/>
                <w:color w:val="auto"/>
                <w:sz w:val="21"/>
                <w:szCs w:val="21"/>
                <w:lang w:eastAsia="zh-CN"/>
              </w:rPr>
              <w:t>“</w:t>
            </w:r>
            <w:r>
              <w:rPr>
                <w:rFonts w:ascii="Times New Roman" w:eastAsia="宋体" w:cs="Times New Roman"/>
                <w:color w:val="auto"/>
                <w:sz w:val="21"/>
                <w:szCs w:val="21"/>
              </w:rPr>
              <w:t>公司应急指挥中心</w:t>
            </w:r>
            <w:r>
              <w:rPr>
                <w:rFonts w:hint="eastAsia" w:ascii="Times New Roman" w:eastAsia="宋体" w:cs="Times New Roman"/>
                <w:color w:val="auto"/>
                <w:sz w:val="21"/>
                <w:szCs w:val="21"/>
                <w:lang w:eastAsia="zh-CN"/>
              </w:rPr>
              <w:t>”</w:t>
            </w:r>
            <w:r>
              <w:rPr>
                <w:rFonts w:ascii="Times New Roman" w:eastAsia="宋体" w:cs="Times New Roman"/>
                <w:color w:val="auto"/>
                <w:sz w:val="21"/>
                <w:szCs w:val="21"/>
              </w:rPr>
              <w:t>组成以及政府、社会各外部救援单位的主要联系电话，印发</w:t>
            </w:r>
            <w:r>
              <w:rPr>
                <w:rFonts w:hint="eastAsia" w:ascii="Times New Roman" w:eastAsia="宋体" w:cs="Times New Roman"/>
                <w:color w:val="auto"/>
                <w:sz w:val="21"/>
                <w:szCs w:val="21"/>
                <w:lang w:eastAsia="zh-CN"/>
              </w:rPr>
              <w:t>“</w:t>
            </w:r>
            <w:r>
              <w:rPr>
                <w:rFonts w:ascii="Times New Roman" w:eastAsia="宋体" w:cs="Times New Roman"/>
                <w:color w:val="auto"/>
                <w:sz w:val="21"/>
                <w:szCs w:val="21"/>
              </w:rPr>
              <w:t>突发事故应急通讯名录</w:t>
            </w:r>
            <w:r>
              <w:rPr>
                <w:rFonts w:hint="eastAsia" w:ascii="Times New Roman" w:eastAsia="宋体" w:cs="Times New Roman"/>
                <w:color w:val="auto"/>
                <w:sz w:val="21"/>
                <w:szCs w:val="21"/>
                <w:lang w:eastAsia="zh-CN"/>
              </w:rPr>
              <w:t>”</w:t>
            </w:r>
            <w:r>
              <w:rPr>
                <w:rFonts w:ascii="Times New Roman" w:eastAsia="宋体" w:cs="Times New Roman"/>
                <w:color w:val="auto"/>
                <w:sz w:val="21"/>
                <w:szCs w:val="21"/>
              </w:rPr>
              <w:t>并定期更新。</w:t>
            </w:r>
          </w:p>
        </w:tc>
      </w:tr>
      <w:tr w14:paraId="2AAD0F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1DA79D1B">
            <w:pPr>
              <w:pageBreakBefore w:val="0"/>
              <w:wordWrap/>
              <w:bidi w:val="0"/>
              <w:adjustRightInd/>
              <w:snapToGrid/>
              <w:spacing w:line="240" w:lineRule="auto"/>
              <w:ind w:firstLine="0" w:firstLineChars="0"/>
              <w:jc w:val="center"/>
              <w:rPr>
                <w:color w:val="auto"/>
                <w:sz w:val="21"/>
                <w:szCs w:val="21"/>
              </w:rPr>
            </w:pPr>
            <w:r>
              <w:rPr>
                <w:color w:val="auto"/>
                <w:sz w:val="21"/>
                <w:szCs w:val="21"/>
              </w:rPr>
              <w:t>6</w:t>
            </w:r>
          </w:p>
        </w:tc>
        <w:tc>
          <w:tcPr>
            <w:tcW w:w="685" w:type="pct"/>
            <w:tcBorders>
              <w:tl2br w:val="nil"/>
              <w:tr2bl w:val="nil"/>
            </w:tcBorders>
            <w:noWrap w:val="0"/>
            <w:vAlign w:val="center"/>
          </w:tcPr>
          <w:p w14:paraId="6AC77507">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突发事故应急措施及应急监测</w:t>
            </w:r>
          </w:p>
        </w:tc>
        <w:tc>
          <w:tcPr>
            <w:tcW w:w="3953" w:type="pct"/>
            <w:tcBorders>
              <w:tl2br w:val="nil"/>
              <w:tr2bl w:val="nil"/>
            </w:tcBorders>
            <w:noWrap w:val="0"/>
            <w:vAlign w:val="center"/>
          </w:tcPr>
          <w:p w14:paraId="47A61F3B">
            <w:pPr>
              <w:pStyle w:val="66"/>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针对本项目可能发生的突发事故，具体应急措施如下：化学品泄漏的应急措施：发生泄漏时，首先疏散无关人员，隔离泄漏污染区，同时切断火源及做好个人防护。泄漏物质进入事故池收集并清理。废水事故排放应急措施：立即启动应急池，未处理的废水进入应急池再根据其水质进行后处理。</w:t>
            </w:r>
          </w:p>
          <w:p w14:paraId="5B752695">
            <w:pPr>
              <w:pStyle w:val="66"/>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应急监测内容：（1）地表水应急监测：pH、COD、氨氮、BOD</w:t>
            </w:r>
            <w:r>
              <w:rPr>
                <w:rFonts w:ascii="Times New Roman" w:eastAsia="宋体" w:cs="Times New Roman"/>
                <w:color w:val="auto"/>
                <w:sz w:val="21"/>
                <w:szCs w:val="21"/>
                <w:vertAlign w:val="subscript"/>
              </w:rPr>
              <w:t>5</w:t>
            </w:r>
            <w:r>
              <w:rPr>
                <w:rFonts w:hint="eastAsia" w:ascii="Times New Roman" w:eastAsia="宋体" w:cs="Times New Roman"/>
                <w:color w:val="auto"/>
                <w:sz w:val="21"/>
                <w:szCs w:val="21"/>
              </w:rPr>
              <w:t>、</w:t>
            </w:r>
            <w:r>
              <w:rPr>
                <w:rFonts w:hint="eastAsia" w:ascii="Times New Roman" w:eastAsia="宋体" w:cs="Times New Roman"/>
                <w:color w:val="auto"/>
                <w:sz w:val="21"/>
                <w:szCs w:val="21"/>
                <w:lang w:val="en-US" w:eastAsia="zh-CN"/>
              </w:rPr>
              <w:t>石油类、甲醛</w:t>
            </w:r>
            <w:r>
              <w:rPr>
                <w:rFonts w:ascii="Times New Roman" w:eastAsia="宋体" w:cs="Times New Roman"/>
                <w:color w:val="auto"/>
                <w:sz w:val="21"/>
                <w:szCs w:val="21"/>
              </w:rPr>
              <w:t>。</w:t>
            </w:r>
          </w:p>
          <w:p w14:paraId="3384948D">
            <w:pPr>
              <w:pStyle w:val="66"/>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监测时间及频次：根据事故废水进入受纳水体决定监测时间。一般每小时取样一次。</w:t>
            </w:r>
          </w:p>
          <w:p w14:paraId="244C3C18">
            <w:pPr>
              <w:pStyle w:val="66"/>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监测断面布设：</w:t>
            </w:r>
            <w:r>
              <w:rPr>
                <w:rFonts w:hint="eastAsia" w:ascii="Times New Roman" w:eastAsia="宋体" w:cs="Times New Roman"/>
                <w:color w:val="auto"/>
                <w:sz w:val="21"/>
                <w:szCs w:val="21"/>
                <w:lang w:val="en-US" w:eastAsia="zh-CN"/>
              </w:rPr>
              <w:t>排口下游</w:t>
            </w:r>
            <w:r>
              <w:rPr>
                <w:rFonts w:ascii="Times New Roman" w:eastAsia="宋体" w:cs="Times New Roman"/>
                <w:color w:val="auto"/>
                <w:sz w:val="21"/>
                <w:szCs w:val="21"/>
              </w:rPr>
              <w:t>，根据事故情况调整断面设置。</w:t>
            </w:r>
          </w:p>
          <w:p w14:paraId="0409DA2A">
            <w:pPr>
              <w:pStyle w:val="66"/>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（2）地下水应急监测：以拟建厂区为中心共布设地下水水质跟踪监测3个（具体位置见地下水专题报告）</w:t>
            </w:r>
          </w:p>
          <w:p w14:paraId="0618F3F7">
            <w:pPr>
              <w:pStyle w:val="66"/>
              <w:pageBreakBefore w:val="0"/>
              <w:wordWrap/>
              <w:bidi w:val="0"/>
              <w:adjustRightInd/>
              <w:snapToGrid/>
              <w:rPr>
                <w:rFonts w:hint="default" w:eastAsia="宋体" w:cs="Times New Roman"/>
                <w:color w:val="auto"/>
                <w:sz w:val="18"/>
                <w:szCs w:val="18"/>
                <w:vertAlign w:val="superscript"/>
                <w:lang w:val="en-US" w:eastAsia="zh-CN"/>
              </w:rPr>
            </w:pPr>
            <w:r>
              <w:rPr>
                <w:rFonts w:ascii="Times New Roman" w:eastAsia="宋体" w:cs="Times New Roman"/>
                <w:color w:val="auto"/>
                <w:sz w:val="21"/>
                <w:szCs w:val="21"/>
              </w:rPr>
              <w:t>监测因子：</w:t>
            </w:r>
            <w:r>
              <w:rPr>
                <w:rFonts w:eastAsia="宋体" w:cs="Times New Roman"/>
                <w:color w:val="auto"/>
                <w:sz w:val="18"/>
                <w:szCs w:val="18"/>
              </w:rPr>
              <w:t>水位、</w:t>
            </w:r>
            <w:r>
              <w:rPr>
                <w:rFonts w:hint="default" w:ascii="Times New Roman" w:hAnsi="Times New Roman" w:eastAsia="宋体" w:cs="Times New Roman"/>
                <w:color w:val="auto"/>
                <w:sz w:val="18"/>
                <w:szCs w:val="18"/>
              </w:rPr>
              <w:t>pH、Cl</w:t>
            </w:r>
            <w:r>
              <w:rPr>
                <w:rFonts w:hint="default" w:ascii="Times New Roman" w:hAnsi="Times New Roman" w:eastAsia="宋体" w:cs="Times New Roman"/>
                <w:color w:val="auto"/>
                <w:sz w:val="18"/>
                <w:szCs w:val="18"/>
                <w:vertAlign w:val="superscript"/>
              </w:rPr>
              <w:t>-</w:t>
            </w:r>
            <w:r>
              <w:rPr>
                <w:rFonts w:hint="default" w:ascii="Times New Roman" w:hAnsi="Times New Roman" w:eastAsia="宋体" w:cs="Times New Roman"/>
                <w:color w:val="auto"/>
                <w:sz w:val="18"/>
                <w:szCs w:val="18"/>
              </w:rPr>
              <w:t>、SO</w:t>
            </w:r>
            <w:r>
              <w:rPr>
                <w:rFonts w:hint="default" w:ascii="Times New Roman" w:hAnsi="Times New Roman" w:eastAsia="宋体" w:cs="Times New Roman"/>
                <w:color w:val="auto"/>
                <w:sz w:val="18"/>
                <w:szCs w:val="18"/>
                <w:vertAlign w:val="subscript"/>
              </w:rPr>
              <w:t>4</w:t>
            </w:r>
            <w:r>
              <w:rPr>
                <w:rFonts w:hint="default" w:ascii="Times New Roman" w:hAnsi="Times New Roman" w:eastAsia="宋体" w:cs="Times New Roman"/>
                <w:color w:val="auto"/>
                <w:sz w:val="18"/>
                <w:szCs w:val="18"/>
                <w:vertAlign w:val="superscript"/>
              </w:rPr>
              <w:t>2-</w:t>
            </w:r>
            <w:r>
              <w:rPr>
                <w:rFonts w:hint="default" w:ascii="Times New Roman" w:hAnsi="Times New Roman" w:eastAsia="宋体" w:cs="Times New Roman"/>
                <w:color w:val="auto"/>
                <w:sz w:val="18"/>
                <w:szCs w:val="18"/>
              </w:rPr>
              <w:t>、HCO</w:t>
            </w:r>
            <w:r>
              <w:rPr>
                <w:rFonts w:hint="default" w:ascii="Times New Roman" w:hAnsi="Times New Roman" w:eastAsia="宋体" w:cs="Times New Roman"/>
                <w:color w:val="auto"/>
                <w:sz w:val="18"/>
                <w:szCs w:val="18"/>
                <w:vertAlign w:val="subscript"/>
              </w:rPr>
              <w:t>3</w:t>
            </w:r>
            <w:r>
              <w:rPr>
                <w:rFonts w:hint="default" w:ascii="Times New Roman" w:hAnsi="Times New Roman" w:eastAsia="宋体" w:cs="Times New Roman"/>
                <w:color w:val="auto"/>
                <w:sz w:val="18"/>
                <w:szCs w:val="18"/>
                <w:vertAlign w:val="superscript"/>
              </w:rPr>
              <w:t>-</w:t>
            </w:r>
            <w:r>
              <w:rPr>
                <w:rFonts w:hint="default" w:ascii="Times New Roman" w:hAnsi="Times New Roman" w:eastAsia="宋体" w:cs="Times New Roman"/>
                <w:color w:val="auto"/>
                <w:sz w:val="18"/>
                <w:szCs w:val="18"/>
              </w:rPr>
              <w:t>、Na</w:t>
            </w:r>
            <w:r>
              <w:rPr>
                <w:rFonts w:hint="default" w:ascii="Times New Roman" w:hAnsi="Times New Roman" w:eastAsia="宋体" w:cs="Times New Roman"/>
                <w:color w:val="auto"/>
                <w:sz w:val="18"/>
                <w:szCs w:val="18"/>
                <w:vertAlign w:val="superscript"/>
              </w:rPr>
              <w:t>+</w:t>
            </w:r>
            <w:r>
              <w:rPr>
                <w:rFonts w:hint="default" w:ascii="Times New Roman" w:hAnsi="Times New Roman" w:eastAsia="宋体" w:cs="Times New Roman"/>
                <w:color w:val="auto"/>
                <w:sz w:val="18"/>
                <w:szCs w:val="18"/>
              </w:rPr>
              <w:t>、K</w:t>
            </w:r>
            <w:r>
              <w:rPr>
                <w:rFonts w:hint="default" w:ascii="Times New Roman" w:hAnsi="Times New Roman" w:eastAsia="宋体" w:cs="Times New Roman"/>
                <w:color w:val="auto"/>
                <w:sz w:val="18"/>
                <w:szCs w:val="18"/>
                <w:vertAlign w:val="superscript"/>
              </w:rPr>
              <w:t>+</w:t>
            </w:r>
            <w:r>
              <w:rPr>
                <w:rFonts w:hint="default" w:ascii="Times New Roman" w:hAnsi="Times New Roman" w:eastAsia="宋体" w:cs="Times New Roman"/>
                <w:color w:val="auto"/>
                <w:sz w:val="18"/>
                <w:szCs w:val="18"/>
              </w:rPr>
              <w:t>、Ca</w:t>
            </w:r>
            <w:r>
              <w:rPr>
                <w:rFonts w:hint="default" w:ascii="Times New Roman" w:hAnsi="Times New Roman" w:eastAsia="宋体" w:cs="Times New Roman"/>
                <w:color w:val="auto"/>
                <w:sz w:val="18"/>
                <w:szCs w:val="18"/>
                <w:vertAlign w:val="superscript"/>
              </w:rPr>
              <w:t>2+</w:t>
            </w:r>
            <w:r>
              <w:rPr>
                <w:rFonts w:hint="default" w:ascii="Times New Roman" w:hAnsi="Times New Roman" w:eastAsia="宋体" w:cs="Times New Roman"/>
                <w:color w:val="auto"/>
                <w:sz w:val="18"/>
                <w:szCs w:val="18"/>
              </w:rPr>
              <w:t>、Mg</w:t>
            </w:r>
            <w:r>
              <w:rPr>
                <w:rFonts w:hint="default" w:ascii="Times New Roman" w:hAnsi="Times New Roman" w:eastAsia="宋体" w:cs="Times New Roman"/>
                <w:color w:val="auto"/>
                <w:sz w:val="18"/>
                <w:szCs w:val="18"/>
                <w:vertAlign w:val="superscript"/>
              </w:rPr>
              <w:t>2+</w:t>
            </w:r>
          </w:p>
          <w:p w14:paraId="70462A57">
            <w:pPr>
              <w:pStyle w:val="66"/>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监测时间及频次：按照事故持续时间决定监测时间，根据事故严重程度决定监测频次，一般情况下每半小时监测一次，直至事故结束恢复正常。</w:t>
            </w:r>
          </w:p>
        </w:tc>
      </w:tr>
      <w:tr w14:paraId="5E454F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5C2EB9FB">
            <w:pPr>
              <w:pageBreakBefore w:val="0"/>
              <w:wordWrap/>
              <w:bidi w:val="0"/>
              <w:adjustRightInd/>
              <w:snapToGrid/>
              <w:spacing w:line="240" w:lineRule="auto"/>
              <w:ind w:firstLine="0" w:firstLineChars="0"/>
              <w:jc w:val="center"/>
              <w:rPr>
                <w:color w:val="auto"/>
                <w:sz w:val="21"/>
                <w:szCs w:val="21"/>
              </w:rPr>
            </w:pPr>
            <w:r>
              <w:rPr>
                <w:color w:val="auto"/>
                <w:sz w:val="21"/>
                <w:szCs w:val="21"/>
              </w:rPr>
              <w:t>7</w:t>
            </w:r>
          </w:p>
        </w:tc>
        <w:tc>
          <w:tcPr>
            <w:tcW w:w="685" w:type="pct"/>
            <w:tcBorders>
              <w:tl2br w:val="nil"/>
              <w:tr2bl w:val="nil"/>
            </w:tcBorders>
            <w:noWrap w:val="0"/>
            <w:vAlign w:val="center"/>
          </w:tcPr>
          <w:p w14:paraId="3809A454">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事故应急救援关闭程序与恢复措施</w:t>
            </w:r>
          </w:p>
        </w:tc>
        <w:tc>
          <w:tcPr>
            <w:tcW w:w="3953" w:type="pct"/>
            <w:tcBorders>
              <w:tl2br w:val="nil"/>
              <w:tr2bl w:val="nil"/>
            </w:tcBorders>
            <w:noWrap w:val="0"/>
            <w:vAlign w:val="center"/>
          </w:tcPr>
          <w:p w14:paraId="36CA90C5">
            <w:pPr>
              <w:pStyle w:val="66"/>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应急终止的程序：</w:t>
            </w:r>
          </w:p>
          <w:p w14:paraId="634350D1">
            <w:pPr>
              <w:pStyle w:val="66"/>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①现场应急救援指挥中心确认终止时机。</w:t>
            </w:r>
          </w:p>
          <w:p w14:paraId="20030AD7">
            <w:pPr>
              <w:pStyle w:val="66"/>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②应急救援指挥中心向应急救援队伍下达终止命令。</w:t>
            </w:r>
          </w:p>
          <w:p w14:paraId="24EE2960">
            <w:pPr>
              <w:pStyle w:val="66"/>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③继续进行环境监测和评价工作，直至其他补救措施无需继续进行为止。</w:t>
            </w:r>
          </w:p>
          <w:p w14:paraId="6CB747F2">
            <w:pPr>
              <w:pStyle w:val="66"/>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恢复生产的条件：</w:t>
            </w:r>
          </w:p>
          <w:p w14:paraId="1C7EAA42">
            <w:pPr>
              <w:pStyle w:val="66"/>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①事故现场清理、洗刷、消毒完毕，不存在危险源；</w:t>
            </w:r>
          </w:p>
          <w:p w14:paraId="391B0111">
            <w:pPr>
              <w:pStyle w:val="66"/>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②防止事故再次发生的安全防范措施已落实到位，受伤人员得到治疗，情况基本稳定；</w:t>
            </w:r>
          </w:p>
          <w:p w14:paraId="60800E97">
            <w:pPr>
              <w:pageBreakBefore w:val="0"/>
              <w:wordWrap/>
              <w:bidi w:val="0"/>
              <w:adjustRightInd/>
              <w:snapToGrid/>
              <w:spacing w:line="240" w:lineRule="auto"/>
              <w:ind w:firstLine="0" w:firstLineChars="0"/>
              <w:jc w:val="left"/>
              <w:rPr>
                <w:color w:val="auto"/>
                <w:sz w:val="21"/>
                <w:szCs w:val="21"/>
              </w:rPr>
            </w:pPr>
            <w:r>
              <w:rPr>
                <w:color w:val="auto"/>
                <w:sz w:val="21"/>
                <w:szCs w:val="21"/>
              </w:rPr>
              <w:t>③设备设施检测符合生产要求，可恢复生产。</w:t>
            </w:r>
          </w:p>
        </w:tc>
      </w:tr>
      <w:tr w14:paraId="419B49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1573DB47">
            <w:pPr>
              <w:pageBreakBefore w:val="0"/>
              <w:wordWrap/>
              <w:bidi w:val="0"/>
              <w:adjustRightInd/>
              <w:snapToGrid/>
              <w:spacing w:line="240" w:lineRule="auto"/>
              <w:ind w:firstLine="0" w:firstLineChars="0"/>
              <w:jc w:val="center"/>
              <w:rPr>
                <w:color w:val="auto"/>
                <w:sz w:val="21"/>
                <w:szCs w:val="21"/>
              </w:rPr>
            </w:pPr>
            <w:r>
              <w:rPr>
                <w:color w:val="auto"/>
                <w:sz w:val="21"/>
                <w:szCs w:val="21"/>
              </w:rPr>
              <w:t>8</w:t>
            </w:r>
          </w:p>
        </w:tc>
        <w:tc>
          <w:tcPr>
            <w:tcW w:w="685" w:type="pct"/>
            <w:tcBorders>
              <w:tl2br w:val="nil"/>
              <w:tr2bl w:val="nil"/>
            </w:tcBorders>
            <w:noWrap w:val="0"/>
            <w:vAlign w:val="center"/>
          </w:tcPr>
          <w:p w14:paraId="32A636E0">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应急培训计划</w:t>
            </w:r>
          </w:p>
        </w:tc>
        <w:tc>
          <w:tcPr>
            <w:tcW w:w="3953" w:type="pct"/>
            <w:tcBorders>
              <w:tl2br w:val="nil"/>
              <w:tr2bl w:val="nil"/>
            </w:tcBorders>
            <w:noWrap w:val="0"/>
            <w:vAlign w:val="center"/>
          </w:tcPr>
          <w:p w14:paraId="0733F846">
            <w:pPr>
              <w:pStyle w:val="66"/>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根据公司的风险防范措施及事故应急计划，制定相应的培训计划，对公司应急小组成员及一般员工进行定期培训。对于环保管理人员和有关操作人员应建立</w:t>
            </w:r>
            <w:r>
              <w:rPr>
                <w:rFonts w:hint="eastAsia" w:ascii="Times New Roman" w:eastAsia="宋体" w:cs="Times New Roman"/>
                <w:color w:val="auto"/>
                <w:sz w:val="21"/>
                <w:szCs w:val="21"/>
                <w:lang w:eastAsia="zh-CN"/>
              </w:rPr>
              <w:t>“</w:t>
            </w:r>
            <w:r>
              <w:rPr>
                <w:rFonts w:ascii="Times New Roman" w:eastAsia="宋体" w:cs="Times New Roman"/>
                <w:color w:val="auto"/>
                <w:sz w:val="21"/>
                <w:szCs w:val="21"/>
              </w:rPr>
              <w:t>先培训、后上岗</w:t>
            </w:r>
            <w:r>
              <w:rPr>
                <w:rFonts w:hint="eastAsia" w:ascii="Times New Roman" w:eastAsia="宋体" w:cs="Times New Roman"/>
                <w:color w:val="auto"/>
                <w:sz w:val="21"/>
                <w:szCs w:val="21"/>
                <w:lang w:eastAsia="zh-CN"/>
              </w:rPr>
              <w:t>”“</w:t>
            </w:r>
            <w:r>
              <w:rPr>
                <w:rFonts w:ascii="Times New Roman" w:eastAsia="宋体" w:cs="Times New Roman"/>
                <w:color w:val="auto"/>
                <w:sz w:val="21"/>
                <w:szCs w:val="21"/>
              </w:rPr>
              <w:t>定期培训安全和环保法规、知识以及突发性事故应急处理技术</w:t>
            </w:r>
            <w:r>
              <w:rPr>
                <w:rFonts w:hint="eastAsia" w:ascii="Times New Roman" w:eastAsia="宋体" w:cs="Times New Roman"/>
                <w:color w:val="auto"/>
                <w:sz w:val="21"/>
                <w:szCs w:val="21"/>
                <w:lang w:eastAsia="zh-CN"/>
              </w:rPr>
              <w:t>”</w:t>
            </w:r>
            <w:r>
              <w:rPr>
                <w:rFonts w:ascii="Times New Roman" w:eastAsia="宋体" w:cs="Times New Roman"/>
                <w:color w:val="auto"/>
                <w:sz w:val="21"/>
                <w:szCs w:val="21"/>
              </w:rPr>
              <w:t>的制度。</w:t>
            </w:r>
          </w:p>
        </w:tc>
      </w:tr>
      <w:tr w14:paraId="4DFDCF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6975D687">
            <w:pPr>
              <w:pageBreakBefore w:val="0"/>
              <w:wordWrap/>
              <w:bidi w:val="0"/>
              <w:adjustRightInd/>
              <w:snapToGrid/>
              <w:spacing w:line="240" w:lineRule="auto"/>
              <w:ind w:firstLine="0" w:firstLineChars="0"/>
              <w:jc w:val="center"/>
              <w:rPr>
                <w:color w:val="auto"/>
                <w:sz w:val="21"/>
                <w:szCs w:val="21"/>
              </w:rPr>
            </w:pPr>
            <w:r>
              <w:rPr>
                <w:color w:val="auto"/>
                <w:sz w:val="21"/>
                <w:szCs w:val="21"/>
              </w:rPr>
              <w:t>9</w:t>
            </w:r>
          </w:p>
        </w:tc>
        <w:tc>
          <w:tcPr>
            <w:tcW w:w="685" w:type="pct"/>
            <w:tcBorders>
              <w:tl2br w:val="nil"/>
              <w:tr2bl w:val="nil"/>
            </w:tcBorders>
            <w:noWrap w:val="0"/>
            <w:vAlign w:val="center"/>
          </w:tcPr>
          <w:p w14:paraId="5FC07DC0">
            <w:pPr>
              <w:pStyle w:val="66"/>
              <w:pageBreakBefore w:val="0"/>
              <w:wordWrap/>
              <w:bidi w:val="0"/>
              <w:adjustRightInd/>
              <w:snapToGrid/>
              <w:jc w:val="center"/>
              <w:rPr>
                <w:rFonts w:ascii="Times New Roman" w:eastAsia="宋体" w:cs="Times New Roman"/>
                <w:color w:val="auto"/>
                <w:sz w:val="21"/>
                <w:szCs w:val="21"/>
              </w:rPr>
            </w:pPr>
            <w:r>
              <w:rPr>
                <w:rFonts w:ascii="Times New Roman" w:eastAsia="宋体" w:cs="Times New Roman"/>
                <w:color w:val="auto"/>
                <w:sz w:val="21"/>
                <w:szCs w:val="21"/>
              </w:rPr>
              <w:t>公众教育和信息</w:t>
            </w:r>
          </w:p>
        </w:tc>
        <w:tc>
          <w:tcPr>
            <w:tcW w:w="3953" w:type="pct"/>
            <w:tcBorders>
              <w:tl2br w:val="nil"/>
              <w:tr2bl w:val="nil"/>
            </w:tcBorders>
            <w:noWrap w:val="0"/>
            <w:vAlign w:val="center"/>
          </w:tcPr>
          <w:p w14:paraId="7B40FC91">
            <w:pPr>
              <w:pageBreakBefore w:val="0"/>
              <w:wordWrap/>
              <w:autoSpaceDE w:val="0"/>
              <w:autoSpaceDN w:val="0"/>
              <w:bidi w:val="0"/>
              <w:adjustRightInd/>
              <w:snapToGrid/>
              <w:spacing w:line="240" w:lineRule="auto"/>
              <w:ind w:firstLine="0" w:firstLineChars="0"/>
              <w:jc w:val="left"/>
              <w:rPr>
                <w:color w:val="auto"/>
                <w:kern w:val="0"/>
                <w:sz w:val="21"/>
                <w:szCs w:val="21"/>
              </w:rPr>
            </w:pPr>
            <w:r>
              <w:rPr>
                <w:color w:val="auto"/>
                <w:kern w:val="0"/>
                <w:sz w:val="21"/>
                <w:szCs w:val="21"/>
              </w:rPr>
              <w:t>利用企业对外宣传栏、周边村委会的公众宣传栏，以墙报、传单等形式对公司周边居民、工作人员进行危险化学品辨析、事故防范常识、应急处理措施等内容的宣传。向居民开设环境风险防范座谈会，邀请专业技术人员宣讲风险防范知识。</w:t>
            </w:r>
          </w:p>
        </w:tc>
      </w:tr>
      <w:tr w14:paraId="4C886B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1" w:type="pct"/>
            <w:tcBorders>
              <w:tl2br w:val="nil"/>
              <w:tr2bl w:val="nil"/>
            </w:tcBorders>
            <w:noWrap w:val="0"/>
            <w:vAlign w:val="center"/>
          </w:tcPr>
          <w:p w14:paraId="7647AAE0">
            <w:pPr>
              <w:pageBreakBefore w:val="0"/>
              <w:wordWrap/>
              <w:bidi w:val="0"/>
              <w:adjustRightInd/>
              <w:snapToGrid/>
              <w:spacing w:line="240" w:lineRule="auto"/>
              <w:ind w:firstLine="0" w:firstLineChars="0"/>
              <w:jc w:val="center"/>
              <w:rPr>
                <w:color w:val="auto"/>
                <w:sz w:val="21"/>
                <w:szCs w:val="21"/>
              </w:rPr>
            </w:pPr>
            <w:r>
              <w:rPr>
                <w:color w:val="auto"/>
                <w:sz w:val="21"/>
                <w:szCs w:val="21"/>
              </w:rPr>
              <w:t>10</w:t>
            </w:r>
          </w:p>
        </w:tc>
        <w:tc>
          <w:tcPr>
            <w:tcW w:w="685" w:type="pct"/>
            <w:tcBorders>
              <w:tl2br w:val="nil"/>
              <w:tr2bl w:val="nil"/>
            </w:tcBorders>
            <w:noWrap w:val="0"/>
            <w:vAlign w:val="center"/>
          </w:tcPr>
          <w:p w14:paraId="3D6BB51B">
            <w:pPr>
              <w:pageBreakBefore w:val="0"/>
              <w:wordWrap/>
              <w:bidi w:val="0"/>
              <w:adjustRightInd/>
              <w:snapToGrid/>
              <w:spacing w:line="240" w:lineRule="auto"/>
              <w:ind w:firstLine="0" w:firstLineChars="0"/>
              <w:jc w:val="center"/>
              <w:rPr>
                <w:color w:val="auto"/>
                <w:sz w:val="21"/>
                <w:szCs w:val="21"/>
              </w:rPr>
            </w:pPr>
            <w:r>
              <w:rPr>
                <w:color w:val="auto"/>
                <w:sz w:val="21"/>
                <w:szCs w:val="21"/>
              </w:rPr>
              <w:t>记录和报告</w:t>
            </w:r>
          </w:p>
        </w:tc>
        <w:tc>
          <w:tcPr>
            <w:tcW w:w="3953" w:type="pct"/>
            <w:tcBorders>
              <w:tl2br w:val="nil"/>
              <w:tr2bl w:val="nil"/>
            </w:tcBorders>
            <w:noWrap w:val="0"/>
            <w:vAlign w:val="center"/>
          </w:tcPr>
          <w:p w14:paraId="1EF38290">
            <w:pPr>
              <w:pageBreakBefore w:val="0"/>
              <w:wordWrap/>
              <w:autoSpaceDE w:val="0"/>
              <w:autoSpaceDN w:val="0"/>
              <w:bidi w:val="0"/>
              <w:adjustRightInd/>
              <w:snapToGrid/>
              <w:spacing w:line="240" w:lineRule="auto"/>
              <w:ind w:firstLine="0" w:firstLineChars="0"/>
              <w:jc w:val="left"/>
              <w:rPr>
                <w:color w:val="auto"/>
                <w:kern w:val="0"/>
                <w:sz w:val="21"/>
                <w:szCs w:val="21"/>
              </w:rPr>
            </w:pPr>
            <w:r>
              <w:rPr>
                <w:color w:val="auto"/>
                <w:kern w:val="0"/>
                <w:sz w:val="21"/>
                <w:szCs w:val="21"/>
              </w:rPr>
              <w:t>设置应急事故专门记录，建立档案和专门报告制度，设专门部门负责管理。</w:t>
            </w:r>
          </w:p>
        </w:tc>
      </w:tr>
    </w:tbl>
    <w:p w14:paraId="24109FE6">
      <w:pPr>
        <w:pStyle w:val="5"/>
        <w:keepNext/>
        <w:keepLines/>
        <w:pageBreakBefore w:val="0"/>
        <w:widowControl w:val="0"/>
        <w:kinsoku/>
        <w:wordWrap/>
        <w:overflowPunct/>
        <w:topLinePunct w:val="0"/>
        <w:autoSpaceDE/>
        <w:autoSpaceDN/>
        <w:bidi w:val="0"/>
        <w:adjustRightInd/>
        <w:snapToGrid/>
        <w:spacing w:before="219" w:beforeLines="70"/>
        <w:textAlignment w:val="auto"/>
        <w:rPr>
          <w:color w:val="auto"/>
        </w:rPr>
      </w:pPr>
      <w:r>
        <w:rPr>
          <w:rFonts w:hint="eastAsia"/>
          <w:color w:val="auto"/>
          <w:lang w:val="en-US" w:eastAsia="zh-CN"/>
        </w:rPr>
        <w:t xml:space="preserve"> </w:t>
      </w:r>
      <w:r>
        <w:rPr>
          <w:rFonts w:hint="eastAsia"/>
          <w:color w:val="auto"/>
        </w:rPr>
        <w:t>风险防范措施投资</w:t>
      </w:r>
    </w:p>
    <w:p w14:paraId="44F5C9AE">
      <w:pPr>
        <w:bidi w:val="0"/>
        <w:rPr>
          <w:color w:val="auto"/>
        </w:rPr>
      </w:pPr>
      <w:r>
        <w:rPr>
          <w:color w:val="auto"/>
        </w:rPr>
        <w:t>风险防范措施投资估算见</w:t>
      </w:r>
      <w:r>
        <w:rPr>
          <w:rFonts w:hint="eastAsia"/>
          <w:color w:val="auto"/>
          <w:lang w:val="en-US" w:eastAsia="zh-CN"/>
        </w:rPr>
        <w:t>下表</w:t>
      </w:r>
      <w:r>
        <w:rPr>
          <w:color w:val="auto"/>
        </w:rPr>
        <w:t>。</w:t>
      </w:r>
    </w:p>
    <w:p w14:paraId="1A793C8C">
      <w:pPr>
        <w:pStyle w:val="19"/>
        <w:numPr>
          <w:ilvl w:val="0"/>
          <w:numId w:val="34"/>
        </w:numPr>
        <w:bidi w:val="0"/>
        <w:ind w:left="0" w:leftChars="0" w:firstLine="0" w:firstLineChars="0"/>
        <w:rPr>
          <w:color w:val="auto"/>
        </w:rPr>
      </w:pPr>
      <w:r>
        <w:rPr>
          <w:color w:val="auto"/>
        </w:rPr>
        <w:t>风险防范措施投资估算表</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3"/>
        <w:gridCol w:w="5682"/>
        <w:gridCol w:w="1142"/>
        <w:gridCol w:w="1455"/>
      </w:tblGrid>
      <w:tr w14:paraId="6B3901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71" w:type="pct"/>
            <w:tcBorders>
              <w:tl2br w:val="nil"/>
              <w:tr2bl w:val="nil"/>
            </w:tcBorders>
            <w:noWrap w:val="0"/>
            <w:vAlign w:val="center"/>
          </w:tcPr>
          <w:p w14:paraId="04B04610">
            <w:pPr>
              <w:pageBreakBefore w:val="0"/>
              <w:wordWrap/>
              <w:bidi w:val="0"/>
              <w:adjustRightInd/>
              <w:snapToGrid/>
              <w:spacing w:line="240" w:lineRule="auto"/>
              <w:ind w:firstLine="0" w:firstLineChars="0"/>
              <w:jc w:val="center"/>
              <w:rPr>
                <w:b/>
                <w:bCs/>
                <w:snapToGrid w:val="0"/>
                <w:color w:val="auto"/>
                <w:kern w:val="0"/>
                <w:sz w:val="21"/>
                <w:szCs w:val="21"/>
              </w:rPr>
            </w:pPr>
            <w:r>
              <w:rPr>
                <w:b/>
                <w:bCs/>
                <w:snapToGrid w:val="0"/>
                <w:color w:val="auto"/>
                <w:kern w:val="0"/>
                <w:sz w:val="21"/>
                <w:szCs w:val="21"/>
              </w:rPr>
              <w:t>序号</w:t>
            </w:r>
          </w:p>
        </w:tc>
        <w:tc>
          <w:tcPr>
            <w:tcW w:w="3176" w:type="pct"/>
            <w:tcBorders>
              <w:tl2br w:val="nil"/>
              <w:tr2bl w:val="nil"/>
            </w:tcBorders>
            <w:noWrap w:val="0"/>
            <w:vAlign w:val="center"/>
          </w:tcPr>
          <w:p w14:paraId="0EAB44E0">
            <w:pPr>
              <w:pageBreakBefore w:val="0"/>
              <w:wordWrap/>
              <w:autoSpaceDE w:val="0"/>
              <w:autoSpaceDN w:val="0"/>
              <w:bidi w:val="0"/>
              <w:adjustRightInd/>
              <w:snapToGrid/>
              <w:spacing w:line="240" w:lineRule="auto"/>
              <w:ind w:firstLine="0" w:firstLineChars="0"/>
              <w:jc w:val="center"/>
              <w:rPr>
                <w:b/>
                <w:bCs/>
                <w:snapToGrid w:val="0"/>
                <w:color w:val="auto"/>
                <w:kern w:val="0"/>
                <w:sz w:val="21"/>
                <w:szCs w:val="21"/>
              </w:rPr>
            </w:pPr>
            <w:r>
              <w:rPr>
                <w:b/>
                <w:bCs/>
                <w:snapToGrid w:val="0"/>
                <w:color w:val="auto"/>
                <w:kern w:val="0"/>
                <w:sz w:val="21"/>
                <w:szCs w:val="21"/>
              </w:rPr>
              <w:t>拟采取的风险措施</w:t>
            </w:r>
          </w:p>
        </w:tc>
        <w:tc>
          <w:tcPr>
            <w:tcW w:w="638" w:type="pct"/>
            <w:tcBorders>
              <w:tl2br w:val="nil"/>
              <w:tr2bl w:val="nil"/>
            </w:tcBorders>
            <w:noWrap w:val="0"/>
            <w:vAlign w:val="center"/>
          </w:tcPr>
          <w:p w14:paraId="2E9EAFFC">
            <w:pPr>
              <w:pageBreakBefore w:val="0"/>
              <w:wordWrap/>
              <w:bidi w:val="0"/>
              <w:adjustRightInd/>
              <w:snapToGrid/>
              <w:spacing w:line="240" w:lineRule="auto"/>
              <w:ind w:firstLine="0" w:firstLineChars="0"/>
              <w:jc w:val="center"/>
              <w:rPr>
                <w:b/>
                <w:bCs/>
                <w:snapToGrid w:val="0"/>
                <w:color w:val="auto"/>
                <w:kern w:val="0"/>
                <w:sz w:val="21"/>
                <w:szCs w:val="21"/>
              </w:rPr>
            </w:pPr>
            <w:r>
              <w:rPr>
                <w:b/>
                <w:bCs/>
                <w:snapToGrid w:val="0"/>
                <w:color w:val="auto"/>
                <w:kern w:val="0"/>
                <w:sz w:val="21"/>
                <w:szCs w:val="21"/>
              </w:rPr>
              <w:t>估算投资</w:t>
            </w:r>
          </w:p>
          <w:p w14:paraId="50F594F6">
            <w:pPr>
              <w:pageBreakBefore w:val="0"/>
              <w:wordWrap/>
              <w:bidi w:val="0"/>
              <w:adjustRightInd/>
              <w:snapToGrid/>
              <w:spacing w:line="240" w:lineRule="auto"/>
              <w:ind w:firstLine="0" w:firstLineChars="0"/>
              <w:jc w:val="center"/>
              <w:rPr>
                <w:b/>
                <w:bCs/>
                <w:snapToGrid w:val="0"/>
                <w:color w:val="auto"/>
                <w:kern w:val="0"/>
                <w:sz w:val="21"/>
                <w:szCs w:val="21"/>
              </w:rPr>
            </w:pPr>
            <w:r>
              <w:rPr>
                <w:b/>
                <w:bCs/>
                <w:snapToGrid w:val="0"/>
                <w:color w:val="auto"/>
                <w:kern w:val="0"/>
                <w:sz w:val="21"/>
                <w:szCs w:val="21"/>
              </w:rPr>
              <w:t>（万元）</w:t>
            </w:r>
          </w:p>
        </w:tc>
        <w:tc>
          <w:tcPr>
            <w:tcW w:w="813" w:type="pct"/>
            <w:tcBorders>
              <w:tl2br w:val="nil"/>
              <w:tr2bl w:val="nil"/>
            </w:tcBorders>
            <w:noWrap w:val="0"/>
            <w:vAlign w:val="center"/>
          </w:tcPr>
          <w:p w14:paraId="5F6D71BC">
            <w:pPr>
              <w:pageBreakBefore w:val="0"/>
              <w:wordWrap/>
              <w:bidi w:val="0"/>
              <w:adjustRightInd/>
              <w:snapToGrid/>
              <w:spacing w:line="240" w:lineRule="auto"/>
              <w:ind w:firstLine="0" w:firstLineChars="0"/>
              <w:jc w:val="center"/>
              <w:rPr>
                <w:b/>
                <w:bCs/>
                <w:snapToGrid w:val="0"/>
                <w:color w:val="auto"/>
                <w:kern w:val="0"/>
                <w:sz w:val="21"/>
                <w:szCs w:val="21"/>
              </w:rPr>
            </w:pPr>
            <w:r>
              <w:rPr>
                <w:b/>
                <w:bCs/>
                <w:snapToGrid w:val="0"/>
                <w:color w:val="auto"/>
                <w:kern w:val="0"/>
                <w:sz w:val="21"/>
                <w:szCs w:val="21"/>
              </w:rPr>
              <w:t>备注</w:t>
            </w:r>
          </w:p>
        </w:tc>
      </w:tr>
      <w:tr w14:paraId="67C35D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71" w:type="pct"/>
            <w:tcBorders>
              <w:tl2br w:val="nil"/>
              <w:tr2bl w:val="nil"/>
            </w:tcBorders>
            <w:noWrap w:val="0"/>
            <w:vAlign w:val="center"/>
          </w:tcPr>
          <w:p w14:paraId="4BC34DA1">
            <w:pPr>
              <w:pageBreakBefore w:val="0"/>
              <w:wordWrap/>
              <w:bidi w:val="0"/>
              <w:adjustRightInd/>
              <w:snapToGrid/>
              <w:spacing w:line="240" w:lineRule="auto"/>
              <w:ind w:firstLine="0" w:firstLineChars="0"/>
              <w:jc w:val="center"/>
              <w:rPr>
                <w:snapToGrid w:val="0"/>
                <w:color w:val="auto"/>
                <w:kern w:val="0"/>
                <w:sz w:val="21"/>
                <w:szCs w:val="21"/>
              </w:rPr>
            </w:pPr>
            <w:r>
              <w:rPr>
                <w:snapToGrid w:val="0"/>
                <w:color w:val="auto"/>
                <w:kern w:val="0"/>
                <w:sz w:val="21"/>
                <w:szCs w:val="21"/>
              </w:rPr>
              <w:t>1</w:t>
            </w:r>
          </w:p>
        </w:tc>
        <w:tc>
          <w:tcPr>
            <w:tcW w:w="3176" w:type="pct"/>
            <w:tcBorders>
              <w:tl2br w:val="nil"/>
              <w:tr2bl w:val="nil"/>
            </w:tcBorders>
            <w:noWrap w:val="0"/>
            <w:vAlign w:val="center"/>
          </w:tcPr>
          <w:p w14:paraId="39808F34">
            <w:pPr>
              <w:pageBreakBefore w:val="0"/>
              <w:wordWrap/>
              <w:bidi w:val="0"/>
              <w:adjustRightInd/>
              <w:snapToGrid/>
              <w:spacing w:line="240" w:lineRule="auto"/>
              <w:ind w:firstLine="0" w:firstLineChars="0"/>
              <w:rPr>
                <w:color w:val="auto"/>
                <w:kern w:val="0"/>
                <w:sz w:val="21"/>
                <w:szCs w:val="21"/>
              </w:rPr>
            </w:pPr>
            <w:r>
              <w:rPr>
                <w:color w:val="auto"/>
                <w:kern w:val="0"/>
                <w:sz w:val="21"/>
                <w:szCs w:val="21"/>
              </w:rPr>
              <w:t>总图布置防范措施：总图布置应符合</w:t>
            </w:r>
            <w:r>
              <w:rPr>
                <w:rFonts w:hint="eastAsia"/>
                <w:color w:val="auto"/>
                <w:kern w:val="0"/>
                <w:sz w:val="21"/>
                <w:szCs w:val="21"/>
                <w:lang w:eastAsia="zh-CN"/>
              </w:rPr>
              <w:t>GB50187-2012</w:t>
            </w:r>
            <w:r>
              <w:rPr>
                <w:color w:val="auto"/>
                <w:kern w:val="0"/>
                <w:sz w:val="21"/>
                <w:szCs w:val="21"/>
              </w:rPr>
              <w:t>、GB50016-2006等有关规定，满足生产工艺要求，保证工艺流程顺畅，管线短捷，有利生产和便于管理，满足安全、卫生、环保、消防等要求</w:t>
            </w:r>
          </w:p>
        </w:tc>
        <w:tc>
          <w:tcPr>
            <w:tcW w:w="638" w:type="pct"/>
            <w:tcBorders>
              <w:tl2br w:val="nil"/>
              <w:tr2bl w:val="nil"/>
            </w:tcBorders>
            <w:noWrap w:val="0"/>
            <w:vAlign w:val="center"/>
          </w:tcPr>
          <w:p w14:paraId="52C9710B">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w:t>
            </w:r>
          </w:p>
        </w:tc>
        <w:tc>
          <w:tcPr>
            <w:tcW w:w="813" w:type="pct"/>
            <w:tcBorders>
              <w:tl2br w:val="nil"/>
              <w:tr2bl w:val="nil"/>
            </w:tcBorders>
            <w:noWrap w:val="0"/>
            <w:vAlign w:val="center"/>
          </w:tcPr>
          <w:p w14:paraId="72919666">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计入主体工程</w:t>
            </w:r>
          </w:p>
        </w:tc>
      </w:tr>
      <w:tr w14:paraId="112CF7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71" w:type="pct"/>
            <w:tcBorders>
              <w:tl2br w:val="nil"/>
              <w:tr2bl w:val="nil"/>
            </w:tcBorders>
            <w:noWrap w:val="0"/>
            <w:vAlign w:val="center"/>
          </w:tcPr>
          <w:p w14:paraId="7808769E">
            <w:pPr>
              <w:pageBreakBefore w:val="0"/>
              <w:wordWrap/>
              <w:bidi w:val="0"/>
              <w:adjustRightInd/>
              <w:snapToGrid/>
              <w:spacing w:line="240" w:lineRule="auto"/>
              <w:ind w:firstLine="0" w:firstLineChars="0"/>
              <w:jc w:val="center"/>
              <w:rPr>
                <w:snapToGrid w:val="0"/>
                <w:color w:val="auto"/>
                <w:kern w:val="0"/>
                <w:sz w:val="21"/>
                <w:szCs w:val="21"/>
              </w:rPr>
            </w:pPr>
            <w:r>
              <w:rPr>
                <w:snapToGrid w:val="0"/>
                <w:color w:val="auto"/>
                <w:kern w:val="0"/>
                <w:sz w:val="21"/>
                <w:szCs w:val="21"/>
              </w:rPr>
              <w:t>2</w:t>
            </w:r>
          </w:p>
        </w:tc>
        <w:tc>
          <w:tcPr>
            <w:tcW w:w="3176" w:type="pct"/>
            <w:tcBorders>
              <w:tl2br w:val="nil"/>
              <w:tr2bl w:val="nil"/>
            </w:tcBorders>
            <w:noWrap w:val="0"/>
            <w:vAlign w:val="center"/>
          </w:tcPr>
          <w:p w14:paraId="0730946B">
            <w:pPr>
              <w:pageBreakBefore w:val="0"/>
              <w:wordWrap/>
              <w:bidi w:val="0"/>
              <w:adjustRightInd/>
              <w:snapToGrid/>
              <w:spacing w:line="240" w:lineRule="auto"/>
              <w:ind w:firstLine="0" w:firstLineChars="0"/>
              <w:jc w:val="left"/>
              <w:rPr>
                <w:color w:val="auto"/>
                <w:kern w:val="0"/>
                <w:sz w:val="21"/>
                <w:szCs w:val="21"/>
              </w:rPr>
            </w:pPr>
            <w:r>
              <w:rPr>
                <w:color w:val="auto"/>
                <w:kern w:val="0"/>
                <w:sz w:val="21"/>
                <w:szCs w:val="21"/>
              </w:rPr>
              <w:t>工艺技术和设计安全防范措施、自动控制设计安全防范措施、消防及火灾报警系统、生产管理安全防范措施、对进水水质污染事故防范措施、受洪水冲刷的工程预防措施</w:t>
            </w:r>
          </w:p>
        </w:tc>
        <w:tc>
          <w:tcPr>
            <w:tcW w:w="638" w:type="pct"/>
            <w:tcBorders>
              <w:tl2br w:val="nil"/>
              <w:tr2bl w:val="nil"/>
            </w:tcBorders>
            <w:noWrap w:val="0"/>
            <w:vAlign w:val="center"/>
          </w:tcPr>
          <w:p w14:paraId="295716A9">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30</w:t>
            </w:r>
          </w:p>
        </w:tc>
        <w:tc>
          <w:tcPr>
            <w:tcW w:w="813" w:type="pct"/>
            <w:tcBorders>
              <w:tl2br w:val="nil"/>
              <w:tr2bl w:val="nil"/>
            </w:tcBorders>
            <w:noWrap w:val="0"/>
            <w:vAlign w:val="center"/>
          </w:tcPr>
          <w:p w14:paraId="4FC8FE5D">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计入主体工程</w:t>
            </w:r>
          </w:p>
        </w:tc>
      </w:tr>
      <w:tr w14:paraId="60A421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71" w:type="pct"/>
            <w:tcBorders>
              <w:tl2br w:val="nil"/>
              <w:tr2bl w:val="nil"/>
            </w:tcBorders>
            <w:noWrap w:val="0"/>
            <w:vAlign w:val="center"/>
          </w:tcPr>
          <w:p w14:paraId="0A974586">
            <w:pPr>
              <w:pageBreakBefore w:val="0"/>
              <w:wordWrap/>
              <w:bidi w:val="0"/>
              <w:adjustRightInd/>
              <w:snapToGrid/>
              <w:spacing w:line="240" w:lineRule="auto"/>
              <w:ind w:firstLine="0" w:firstLineChars="0"/>
              <w:jc w:val="center"/>
              <w:rPr>
                <w:snapToGrid w:val="0"/>
                <w:color w:val="auto"/>
                <w:kern w:val="0"/>
                <w:sz w:val="21"/>
                <w:szCs w:val="21"/>
              </w:rPr>
            </w:pPr>
            <w:r>
              <w:rPr>
                <w:snapToGrid w:val="0"/>
                <w:color w:val="auto"/>
                <w:kern w:val="0"/>
                <w:sz w:val="21"/>
                <w:szCs w:val="21"/>
              </w:rPr>
              <w:t>3</w:t>
            </w:r>
          </w:p>
        </w:tc>
        <w:tc>
          <w:tcPr>
            <w:tcW w:w="3176" w:type="pct"/>
            <w:tcBorders>
              <w:tl2br w:val="nil"/>
              <w:tr2bl w:val="nil"/>
            </w:tcBorders>
            <w:noWrap w:val="0"/>
            <w:vAlign w:val="center"/>
          </w:tcPr>
          <w:p w14:paraId="1865DE59">
            <w:pPr>
              <w:pageBreakBefore w:val="0"/>
              <w:wordWrap/>
              <w:bidi w:val="0"/>
              <w:adjustRightInd/>
              <w:snapToGrid/>
              <w:spacing w:line="240" w:lineRule="auto"/>
              <w:ind w:firstLine="0" w:firstLineChars="0"/>
              <w:jc w:val="left"/>
              <w:rPr>
                <w:color w:val="auto"/>
                <w:kern w:val="0"/>
                <w:sz w:val="21"/>
                <w:szCs w:val="21"/>
              </w:rPr>
            </w:pPr>
            <w:r>
              <w:rPr>
                <w:color w:val="auto"/>
                <w:sz w:val="21"/>
                <w:szCs w:val="21"/>
              </w:rPr>
              <w:t>制定应急预案，加强环境管理，区域、部门联动</w:t>
            </w:r>
          </w:p>
        </w:tc>
        <w:tc>
          <w:tcPr>
            <w:tcW w:w="638" w:type="pct"/>
            <w:tcBorders>
              <w:tl2br w:val="nil"/>
              <w:tr2bl w:val="nil"/>
            </w:tcBorders>
            <w:noWrap w:val="0"/>
            <w:vAlign w:val="center"/>
          </w:tcPr>
          <w:p w14:paraId="3AFCCF58">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10</w:t>
            </w:r>
          </w:p>
        </w:tc>
        <w:tc>
          <w:tcPr>
            <w:tcW w:w="813" w:type="pct"/>
            <w:tcBorders>
              <w:tl2br w:val="nil"/>
              <w:tr2bl w:val="nil"/>
            </w:tcBorders>
            <w:noWrap w:val="0"/>
            <w:vAlign w:val="center"/>
          </w:tcPr>
          <w:p w14:paraId="39BD860D">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w:t>
            </w:r>
          </w:p>
        </w:tc>
      </w:tr>
      <w:tr w14:paraId="3D9EBD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71" w:type="pct"/>
            <w:tcBorders>
              <w:tl2br w:val="nil"/>
              <w:tr2bl w:val="nil"/>
            </w:tcBorders>
            <w:noWrap w:val="0"/>
            <w:vAlign w:val="center"/>
          </w:tcPr>
          <w:p w14:paraId="4CEC762E">
            <w:pPr>
              <w:pageBreakBefore w:val="0"/>
              <w:wordWrap/>
              <w:bidi w:val="0"/>
              <w:adjustRightInd/>
              <w:snapToGrid/>
              <w:spacing w:line="240" w:lineRule="auto"/>
              <w:ind w:firstLine="0" w:firstLineChars="0"/>
              <w:jc w:val="center"/>
              <w:rPr>
                <w:snapToGrid w:val="0"/>
                <w:color w:val="auto"/>
                <w:kern w:val="0"/>
                <w:sz w:val="21"/>
                <w:szCs w:val="21"/>
              </w:rPr>
            </w:pPr>
            <w:r>
              <w:rPr>
                <w:snapToGrid w:val="0"/>
                <w:color w:val="auto"/>
                <w:kern w:val="0"/>
                <w:sz w:val="21"/>
                <w:szCs w:val="21"/>
              </w:rPr>
              <w:t>4</w:t>
            </w:r>
          </w:p>
        </w:tc>
        <w:tc>
          <w:tcPr>
            <w:tcW w:w="3176" w:type="pct"/>
            <w:tcBorders>
              <w:tl2br w:val="nil"/>
              <w:tr2bl w:val="nil"/>
            </w:tcBorders>
            <w:noWrap w:val="0"/>
            <w:vAlign w:val="center"/>
          </w:tcPr>
          <w:p w14:paraId="3C811149">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进、出水水质自动监测装置及报警装置，并制定污水处理厂环境风险应急预案，降低事故排污环境影响。</w:t>
            </w:r>
          </w:p>
        </w:tc>
        <w:tc>
          <w:tcPr>
            <w:tcW w:w="638" w:type="pct"/>
            <w:tcBorders>
              <w:tl2br w:val="nil"/>
              <w:tr2bl w:val="nil"/>
            </w:tcBorders>
            <w:noWrap w:val="0"/>
            <w:vAlign w:val="center"/>
          </w:tcPr>
          <w:p w14:paraId="606F1DBF">
            <w:pPr>
              <w:pageBreakBefore w:val="0"/>
              <w:wordWrap/>
              <w:bidi w:val="0"/>
              <w:adjustRightInd/>
              <w:snapToGrid/>
              <w:spacing w:line="240" w:lineRule="auto"/>
              <w:ind w:firstLine="0" w:firstLineChars="0"/>
              <w:jc w:val="center"/>
              <w:rPr>
                <w:color w:val="auto"/>
                <w:kern w:val="0"/>
                <w:sz w:val="21"/>
                <w:szCs w:val="21"/>
              </w:rPr>
            </w:pPr>
            <w:r>
              <w:rPr>
                <w:color w:val="auto"/>
                <w:kern w:val="0"/>
                <w:sz w:val="21"/>
                <w:szCs w:val="21"/>
              </w:rPr>
              <w:t>/</w:t>
            </w:r>
          </w:p>
        </w:tc>
        <w:tc>
          <w:tcPr>
            <w:tcW w:w="813" w:type="pct"/>
            <w:tcBorders>
              <w:tl2br w:val="nil"/>
              <w:tr2bl w:val="nil"/>
            </w:tcBorders>
            <w:noWrap w:val="0"/>
            <w:vAlign w:val="center"/>
          </w:tcPr>
          <w:p w14:paraId="31C61C52">
            <w:pPr>
              <w:pageBreakBefore w:val="0"/>
              <w:wordWrap/>
              <w:bidi w:val="0"/>
              <w:adjustRightInd/>
              <w:snapToGrid/>
              <w:spacing w:line="240" w:lineRule="auto"/>
              <w:ind w:firstLine="0" w:firstLineChars="0"/>
              <w:jc w:val="center"/>
              <w:rPr>
                <w:color w:val="auto"/>
                <w:kern w:val="0"/>
                <w:sz w:val="21"/>
                <w:szCs w:val="21"/>
              </w:rPr>
            </w:pPr>
            <w:r>
              <w:rPr>
                <w:color w:val="auto"/>
                <w:sz w:val="21"/>
                <w:szCs w:val="21"/>
              </w:rPr>
              <w:t>列入在线监测系统投资</w:t>
            </w:r>
          </w:p>
        </w:tc>
      </w:tr>
      <w:tr w14:paraId="555A57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1" w:type="pct"/>
            <w:tcBorders>
              <w:tl2br w:val="nil"/>
              <w:tr2bl w:val="nil"/>
            </w:tcBorders>
            <w:noWrap w:val="0"/>
            <w:tcMar>
              <w:left w:w="28" w:type="dxa"/>
              <w:right w:w="28" w:type="dxa"/>
            </w:tcMar>
            <w:vAlign w:val="center"/>
          </w:tcPr>
          <w:p w14:paraId="2CA93E3B">
            <w:pPr>
              <w:pageBreakBefore w:val="0"/>
              <w:wordWrap/>
              <w:bidi w:val="0"/>
              <w:adjustRightInd/>
              <w:snapToGrid/>
              <w:spacing w:line="240" w:lineRule="auto"/>
              <w:ind w:firstLine="0" w:firstLineChars="0"/>
              <w:jc w:val="center"/>
              <w:rPr>
                <w:snapToGrid w:val="0"/>
                <w:color w:val="auto"/>
                <w:kern w:val="0"/>
                <w:sz w:val="21"/>
                <w:szCs w:val="21"/>
              </w:rPr>
            </w:pPr>
            <w:r>
              <w:rPr>
                <w:snapToGrid w:val="0"/>
                <w:color w:val="auto"/>
                <w:kern w:val="0"/>
                <w:sz w:val="21"/>
                <w:szCs w:val="21"/>
              </w:rPr>
              <w:t>合计</w:t>
            </w:r>
          </w:p>
        </w:tc>
        <w:tc>
          <w:tcPr>
            <w:tcW w:w="3176" w:type="pct"/>
            <w:tcBorders>
              <w:tl2br w:val="nil"/>
              <w:tr2bl w:val="nil"/>
            </w:tcBorders>
            <w:noWrap w:val="0"/>
            <w:vAlign w:val="center"/>
          </w:tcPr>
          <w:p w14:paraId="1E65BE7D">
            <w:pPr>
              <w:pageBreakBefore w:val="0"/>
              <w:wordWrap/>
              <w:bidi w:val="0"/>
              <w:adjustRightInd/>
              <w:snapToGrid/>
              <w:spacing w:line="240" w:lineRule="auto"/>
              <w:ind w:firstLine="0" w:firstLineChars="0"/>
              <w:rPr>
                <w:snapToGrid w:val="0"/>
                <w:color w:val="auto"/>
                <w:kern w:val="0"/>
                <w:sz w:val="21"/>
                <w:szCs w:val="21"/>
              </w:rPr>
            </w:pPr>
          </w:p>
        </w:tc>
        <w:tc>
          <w:tcPr>
            <w:tcW w:w="638" w:type="pct"/>
            <w:tcBorders>
              <w:tl2br w:val="nil"/>
              <w:tr2bl w:val="nil"/>
            </w:tcBorders>
            <w:noWrap w:val="0"/>
            <w:vAlign w:val="center"/>
          </w:tcPr>
          <w:p w14:paraId="4AC8AC29">
            <w:pPr>
              <w:pageBreakBefore w:val="0"/>
              <w:wordWrap/>
              <w:bidi w:val="0"/>
              <w:adjustRightInd/>
              <w:snapToGrid/>
              <w:spacing w:line="240" w:lineRule="auto"/>
              <w:ind w:firstLine="0" w:firstLineChars="0"/>
              <w:jc w:val="center"/>
              <w:rPr>
                <w:snapToGrid w:val="0"/>
                <w:color w:val="auto"/>
                <w:kern w:val="0"/>
                <w:sz w:val="21"/>
                <w:szCs w:val="21"/>
              </w:rPr>
            </w:pPr>
            <w:r>
              <w:rPr>
                <w:snapToGrid w:val="0"/>
                <w:color w:val="auto"/>
                <w:kern w:val="0"/>
                <w:sz w:val="21"/>
                <w:szCs w:val="21"/>
              </w:rPr>
              <w:t>40</w:t>
            </w:r>
          </w:p>
        </w:tc>
        <w:tc>
          <w:tcPr>
            <w:tcW w:w="813" w:type="pct"/>
            <w:tcBorders>
              <w:tl2br w:val="nil"/>
              <w:tr2bl w:val="nil"/>
            </w:tcBorders>
            <w:noWrap w:val="0"/>
            <w:vAlign w:val="center"/>
          </w:tcPr>
          <w:p w14:paraId="1ABDFA80">
            <w:pPr>
              <w:pageBreakBefore w:val="0"/>
              <w:wordWrap/>
              <w:bidi w:val="0"/>
              <w:adjustRightInd/>
              <w:snapToGrid/>
              <w:spacing w:line="240" w:lineRule="auto"/>
              <w:ind w:firstLine="0" w:firstLineChars="0"/>
              <w:jc w:val="center"/>
              <w:rPr>
                <w:snapToGrid w:val="0"/>
                <w:color w:val="auto"/>
                <w:kern w:val="0"/>
                <w:sz w:val="21"/>
                <w:szCs w:val="21"/>
              </w:rPr>
            </w:pPr>
          </w:p>
        </w:tc>
      </w:tr>
      <w:bookmarkEnd w:id="255"/>
      <w:bookmarkEnd w:id="256"/>
    </w:tbl>
    <w:p w14:paraId="4549A1E7">
      <w:pPr>
        <w:pStyle w:val="4"/>
        <w:bidi w:val="0"/>
        <w:rPr>
          <w:color w:val="auto"/>
        </w:rPr>
      </w:pPr>
      <w:bookmarkStart w:id="261" w:name="_Toc505087372"/>
      <w:bookmarkStart w:id="262" w:name="_Toc3526"/>
      <w:r>
        <w:rPr>
          <w:rFonts w:hint="eastAsia"/>
          <w:color w:val="auto"/>
        </w:rPr>
        <w:t xml:space="preserve"> </w:t>
      </w:r>
      <w:bookmarkStart w:id="263" w:name="_Toc27374"/>
      <w:r>
        <w:rPr>
          <w:color w:val="auto"/>
        </w:rPr>
        <w:t>分析结论</w:t>
      </w:r>
      <w:bookmarkEnd w:id="263"/>
    </w:p>
    <w:p w14:paraId="24EA7410">
      <w:pPr>
        <w:bidi w:val="0"/>
        <w:rPr>
          <w:color w:val="auto"/>
        </w:rPr>
      </w:pPr>
      <w:r>
        <w:rPr>
          <w:color w:val="auto"/>
        </w:rPr>
        <w:t>根据风险识别和源项分析，本项目环境风险的最大可信事故为废水事故排放。建设单位应按照本报告书做好各项风险的预防和应急措施，并制定完善的风险事故应急预案。在项目严格落实环评提出各项措施和要求的前提下，本项目运营期的环境风险在可接受范围之内。</w:t>
      </w:r>
    </w:p>
    <w:p w14:paraId="782EA568">
      <w:pPr>
        <w:pageBreakBefore w:val="0"/>
        <w:wordWrap/>
        <w:bidi w:val="0"/>
        <w:adjustRightInd/>
        <w:snapToGrid/>
        <w:ind w:firstLine="480"/>
        <w:rPr>
          <w:color w:val="auto"/>
        </w:rPr>
      </w:pPr>
      <w:r>
        <w:rPr>
          <w:color w:val="auto"/>
        </w:rPr>
        <w:t>建设项目环境风险简单分析</w:t>
      </w:r>
      <w:r>
        <w:rPr>
          <w:rFonts w:hint="eastAsia"/>
          <w:color w:val="auto"/>
          <w:lang w:eastAsia="zh-CN"/>
        </w:rPr>
        <w:t>内容</w:t>
      </w:r>
      <w:r>
        <w:rPr>
          <w:color w:val="auto"/>
        </w:rPr>
        <w:t>见</w:t>
      </w:r>
      <w:r>
        <w:rPr>
          <w:rFonts w:hint="eastAsia"/>
          <w:color w:val="auto"/>
          <w:lang w:val="en-US" w:eastAsia="zh-CN"/>
        </w:rPr>
        <w:t>下表</w:t>
      </w:r>
      <w:r>
        <w:rPr>
          <w:color w:val="auto"/>
        </w:rPr>
        <w:t>。</w:t>
      </w:r>
    </w:p>
    <w:p w14:paraId="439442E1">
      <w:pPr>
        <w:pStyle w:val="19"/>
        <w:numPr>
          <w:ilvl w:val="0"/>
          <w:numId w:val="35"/>
        </w:numPr>
        <w:bidi w:val="0"/>
        <w:ind w:left="0" w:leftChars="0" w:firstLine="0" w:firstLineChars="0"/>
        <w:rPr>
          <w:color w:val="auto"/>
        </w:rPr>
      </w:pPr>
      <w:r>
        <w:rPr>
          <w:color w:val="auto"/>
        </w:rPr>
        <w:t>建设项目环境风险简单分析内容表</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56"/>
        <w:gridCol w:w="832"/>
        <w:gridCol w:w="497"/>
        <w:gridCol w:w="1334"/>
        <w:gridCol w:w="669"/>
        <w:gridCol w:w="662"/>
        <w:gridCol w:w="213"/>
        <w:gridCol w:w="792"/>
        <w:gridCol w:w="1686"/>
      </w:tblGrid>
      <w:tr w14:paraId="78366A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262" w:type="pct"/>
            <w:tcBorders>
              <w:tl2br w:val="nil"/>
              <w:tr2bl w:val="nil"/>
            </w:tcBorders>
            <w:noWrap w:val="0"/>
            <w:vAlign w:val="center"/>
          </w:tcPr>
          <w:p w14:paraId="146ADE59">
            <w:pPr>
              <w:pageBreakBefore w:val="0"/>
              <w:wordWrap/>
              <w:bidi w:val="0"/>
              <w:adjustRightInd/>
              <w:snapToGrid/>
              <w:spacing w:line="240" w:lineRule="auto"/>
              <w:ind w:firstLine="0" w:firstLineChars="0"/>
              <w:jc w:val="center"/>
              <w:rPr>
                <w:b/>
                <w:color w:val="auto"/>
                <w:sz w:val="21"/>
                <w:szCs w:val="21"/>
              </w:rPr>
            </w:pPr>
            <w:r>
              <w:rPr>
                <w:b/>
                <w:color w:val="auto"/>
                <w:sz w:val="21"/>
                <w:szCs w:val="21"/>
              </w:rPr>
              <w:t>建设项目名称</w:t>
            </w:r>
          </w:p>
        </w:tc>
        <w:tc>
          <w:tcPr>
            <w:tcW w:w="3737" w:type="pct"/>
            <w:gridSpan w:val="8"/>
            <w:tcBorders>
              <w:tl2br w:val="nil"/>
              <w:tr2bl w:val="nil"/>
            </w:tcBorders>
            <w:noWrap w:val="0"/>
            <w:vAlign w:val="center"/>
          </w:tcPr>
          <w:p w14:paraId="35E0EBF7">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巴中市巴州区曾口片区污水处理厂、环境监测站建设项目</w:t>
            </w:r>
          </w:p>
        </w:tc>
      </w:tr>
      <w:tr w14:paraId="3DA034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262" w:type="pct"/>
            <w:tcBorders>
              <w:tl2br w:val="nil"/>
              <w:tr2bl w:val="nil"/>
            </w:tcBorders>
            <w:noWrap w:val="0"/>
            <w:vAlign w:val="center"/>
          </w:tcPr>
          <w:p w14:paraId="5772791A">
            <w:pPr>
              <w:pageBreakBefore w:val="0"/>
              <w:wordWrap/>
              <w:bidi w:val="0"/>
              <w:adjustRightInd/>
              <w:snapToGrid/>
              <w:spacing w:line="240" w:lineRule="auto"/>
              <w:ind w:firstLine="0" w:firstLineChars="0"/>
              <w:jc w:val="center"/>
              <w:rPr>
                <w:b/>
                <w:color w:val="auto"/>
                <w:sz w:val="21"/>
                <w:szCs w:val="21"/>
              </w:rPr>
            </w:pPr>
            <w:r>
              <w:rPr>
                <w:b/>
                <w:color w:val="auto"/>
                <w:sz w:val="21"/>
                <w:szCs w:val="21"/>
              </w:rPr>
              <w:t>建设地点</w:t>
            </w:r>
          </w:p>
        </w:tc>
        <w:tc>
          <w:tcPr>
            <w:tcW w:w="743" w:type="pct"/>
            <w:gridSpan w:val="2"/>
            <w:tcBorders>
              <w:tl2br w:val="nil"/>
              <w:tr2bl w:val="nil"/>
            </w:tcBorders>
            <w:noWrap w:val="0"/>
            <w:vAlign w:val="center"/>
          </w:tcPr>
          <w:p w14:paraId="2D219BCF">
            <w:pPr>
              <w:pageBreakBefore w:val="0"/>
              <w:wordWrap/>
              <w:bidi w:val="0"/>
              <w:adjustRightInd/>
              <w:snapToGrid/>
              <w:spacing w:line="240" w:lineRule="auto"/>
              <w:ind w:firstLine="0" w:firstLineChars="0"/>
              <w:jc w:val="center"/>
              <w:rPr>
                <w:color w:val="auto"/>
                <w:sz w:val="21"/>
                <w:szCs w:val="21"/>
              </w:rPr>
            </w:pPr>
            <w:r>
              <w:rPr>
                <w:color w:val="auto"/>
                <w:sz w:val="21"/>
                <w:szCs w:val="21"/>
              </w:rPr>
              <w:t>（四川）省</w:t>
            </w:r>
          </w:p>
        </w:tc>
        <w:tc>
          <w:tcPr>
            <w:tcW w:w="746" w:type="pct"/>
            <w:tcBorders>
              <w:tl2br w:val="nil"/>
              <w:tr2bl w:val="nil"/>
            </w:tcBorders>
            <w:noWrap w:val="0"/>
            <w:vAlign w:val="center"/>
          </w:tcPr>
          <w:p w14:paraId="10C0351E">
            <w:pPr>
              <w:pageBreakBefore w:val="0"/>
              <w:wordWrap/>
              <w:bidi w:val="0"/>
              <w:adjustRightInd/>
              <w:snapToGrid/>
              <w:spacing w:line="240" w:lineRule="auto"/>
              <w:ind w:firstLine="0" w:firstLineChars="0"/>
              <w:jc w:val="center"/>
              <w:rPr>
                <w:color w:val="auto"/>
                <w:sz w:val="21"/>
                <w:szCs w:val="21"/>
              </w:rPr>
            </w:pPr>
            <w:r>
              <w:rPr>
                <w:color w:val="auto"/>
                <w:sz w:val="21"/>
                <w:szCs w:val="21"/>
              </w:rPr>
              <w:t>（</w:t>
            </w:r>
            <w:r>
              <w:rPr>
                <w:rFonts w:hint="eastAsia"/>
                <w:color w:val="auto"/>
                <w:sz w:val="21"/>
                <w:szCs w:val="21"/>
                <w:lang w:eastAsia="zh-CN"/>
              </w:rPr>
              <w:t>巴中</w:t>
            </w:r>
            <w:r>
              <w:rPr>
                <w:color w:val="auto"/>
                <w:sz w:val="21"/>
                <w:szCs w:val="21"/>
              </w:rPr>
              <w:t>）市</w:t>
            </w:r>
          </w:p>
        </w:tc>
        <w:tc>
          <w:tcPr>
            <w:tcW w:w="744" w:type="pct"/>
            <w:gridSpan w:val="2"/>
            <w:tcBorders>
              <w:tl2br w:val="nil"/>
              <w:tr2bl w:val="nil"/>
            </w:tcBorders>
            <w:noWrap w:val="0"/>
            <w:vAlign w:val="center"/>
          </w:tcPr>
          <w:p w14:paraId="6774ED3B">
            <w:pPr>
              <w:pageBreakBefore w:val="0"/>
              <w:wordWrap/>
              <w:bidi w:val="0"/>
              <w:adjustRightInd/>
              <w:snapToGrid/>
              <w:spacing w:line="240" w:lineRule="auto"/>
              <w:ind w:firstLine="0" w:firstLineChars="0"/>
              <w:jc w:val="center"/>
              <w:rPr>
                <w:color w:val="auto"/>
                <w:sz w:val="21"/>
                <w:szCs w:val="21"/>
              </w:rPr>
            </w:pPr>
            <w:r>
              <w:rPr>
                <w:color w:val="auto"/>
                <w:sz w:val="21"/>
                <w:szCs w:val="21"/>
              </w:rPr>
              <w:t>（</w:t>
            </w:r>
            <w:r>
              <w:rPr>
                <w:rFonts w:hint="eastAsia"/>
                <w:color w:val="auto"/>
                <w:sz w:val="21"/>
                <w:szCs w:val="21"/>
                <w:lang w:val="en-US" w:eastAsia="zh-CN"/>
              </w:rPr>
              <w:t>巴州</w:t>
            </w:r>
            <w:r>
              <w:rPr>
                <w:color w:val="auto"/>
                <w:sz w:val="21"/>
                <w:szCs w:val="21"/>
              </w:rPr>
              <w:t>）区</w:t>
            </w:r>
          </w:p>
        </w:tc>
        <w:tc>
          <w:tcPr>
            <w:tcW w:w="562" w:type="pct"/>
            <w:gridSpan w:val="2"/>
            <w:tcBorders>
              <w:tl2br w:val="nil"/>
              <w:tr2bl w:val="nil"/>
            </w:tcBorders>
            <w:noWrap w:val="0"/>
            <w:vAlign w:val="center"/>
          </w:tcPr>
          <w:p w14:paraId="6AE3EF49">
            <w:pPr>
              <w:pageBreakBefore w:val="0"/>
              <w:wordWrap/>
              <w:bidi w:val="0"/>
              <w:adjustRightInd/>
              <w:snapToGrid/>
              <w:spacing w:line="240" w:lineRule="auto"/>
              <w:ind w:firstLine="0" w:firstLineChars="0"/>
              <w:jc w:val="center"/>
              <w:rPr>
                <w:color w:val="auto"/>
                <w:sz w:val="21"/>
                <w:szCs w:val="21"/>
              </w:rPr>
            </w:pPr>
            <w:r>
              <w:rPr>
                <w:color w:val="auto"/>
                <w:sz w:val="21"/>
                <w:szCs w:val="21"/>
              </w:rPr>
              <w:t>（）县</w:t>
            </w:r>
          </w:p>
        </w:tc>
        <w:tc>
          <w:tcPr>
            <w:tcW w:w="941" w:type="pct"/>
            <w:tcBorders>
              <w:tl2br w:val="nil"/>
              <w:tr2bl w:val="nil"/>
            </w:tcBorders>
            <w:noWrap w:val="0"/>
            <w:vAlign w:val="center"/>
          </w:tcPr>
          <w:p w14:paraId="104EA712">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eastAsia="宋体"/>
                <w:color w:val="auto"/>
                <w:sz w:val="21"/>
                <w:szCs w:val="21"/>
                <w:lang w:eastAsia="zh-CN"/>
              </w:rPr>
              <w:t>曾口镇寿星村13组</w:t>
            </w:r>
          </w:p>
        </w:tc>
      </w:tr>
      <w:tr w14:paraId="49D380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262" w:type="pct"/>
            <w:tcBorders>
              <w:tl2br w:val="nil"/>
              <w:tr2bl w:val="nil"/>
            </w:tcBorders>
            <w:noWrap w:val="0"/>
            <w:vAlign w:val="center"/>
          </w:tcPr>
          <w:p w14:paraId="7040D9F5">
            <w:pPr>
              <w:pageBreakBefore w:val="0"/>
              <w:wordWrap/>
              <w:bidi w:val="0"/>
              <w:adjustRightInd/>
              <w:snapToGrid/>
              <w:spacing w:line="240" w:lineRule="auto"/>
              <w:ind w:firstLine="0" w:firstLineChars="0"/>
              <w:jc w:val="center"/>
              <w:rPr>
                <w:b/>
                <w:color w:val="auto"/>
                <w:sz w:val="21"/>
                <w:szCs w:val="21"/>
              </w:rPr>
            </w:pPr>
            <w:r>
              <w:rPr>
                <w:b/>
                <w:color w:val="auto"/>
                <w:sz w:val="21"/>
                <w:szCs w:val="21"/>
              </w:rPr>
              <w:t>地理坐标</w:t>
            </w:r>
          </w:p>
        </w:tc>
        <w:tc>
          <w:tcPr>
            <w:tcW w:w="465" w:type="pct"/>
            <w:tcBorders>
              <w:tl2br w:val="nil"/>
              <w:tr2bl w:val="nil"/>
            </w:tcBorders>
            <w:noWrap w:val="0"/>
            <w:vAlign w:val="center"/>
          </w:tcPr>
          <w:p w14:paraId="26269131">
            <w:pPr>
              <w:pageBreakBefore w:val="0"/>
              <w:wordWrap/>
              <w:bidi w:val="0"/>
              <w:adjustRightInd/>
              <w:snapToGrid/>
              <w:spacing w:line="240" w:lineRule="auto"/>
              <w:ind w:firstLine="0" w:firstLineChars="0"/>
              <w:jc w:val="center"/>
              <w:rPr>
                <w:color w:val="auto"/>
                <w:sz w:val="21"/>
                <w:szCs w:val="21"/>
              </w:rPr>
            </w:pPr>
            <w:r>
              <w:rPr>
                <w:color w:val="auto"/>
                <w:sz w:val="21"/>
                <w:szCs w:val="21"/>
              </w:rPr>
              <w:t>经度</w:t>
            </w:r>
          </w:p>
        </w:tc>
        <w:tc>
          <w:tcPr>
            <w:tcW w:w="1398" w:type="pct"/>
            <w:gridSpan w:val="3"/>
            <w:tcBorders>
              <w:tl2br w:val="nil"/>
              <w:tr2bl w:val="nil"/>
            </w:tcBorders>
            <w:noWrap w:val="0"/>
            <w:vAlign w:val="center"/>
          </w:tcPr>
          <w:p w14:paraId="51365BF4">
            <w:pPr>
              <w:pageBreakBefore w:val="0"/>
              <w:wordWrap/>
              <w:bidi w:val="0"/>
              <w:adjustRightInd/>
              <w:snapToGrid/>
              <w:spacing w:line="240" w:lineRule="auto"/>
              <w:ind w:firstLine="0" w:firstLineChars="0"/>
              <w:jc w:val="center"/>
              <w:rPr>
                <w:color w:val="auto"/>
                <w:sz w:val="21"/>
                <w:szCs w:val="21"/>
              </w:rPr>
            </w:pPr>
            <w:r>
              <w:rPr>
                <w:color w:val="auto"/>
                <w:sz w:val="21"/>
                <w:szCs w:val="21"/>
              </w:rPr>
              <w:t>东经10</w:t>
            </w:r>
            <w:r>
              <w:rPr>
                <w:rFonts w:hint="eastAsia"/>
                <w:color w:val="auto"/>
                <w:sz w:val="21"/>
                <w:szCs w:val="21"/>
                <w:lang w:val="en-US" w:eastAsia="zh-CN"/>
              </w:rPr>
              <w:t>6</w:t>
            </w:r>
            <w:r>
              <w:rPr>
                <w:color w:val="auto"/>
                <w:sz w:val="21"/>
                <w:szCs w:val="21"/>
              </w:rPr>
              <w:t>°</w:t>
            </w:r>
            <w:r>
              <w:rPr>
                <w:rFonts w:hint="eastAsia"/>
                <w:color w:val="auto"/>
                <w:sz w:val="21"/>
                <w:szCs w:val="21"/>
                <w:lang w:val="en-US" w:eastAsia="zh-CN"/>
              </w:rPr>
              <w:t>53</w:t>
            </w:r>
            <w:r>
              <w:rPr>
                <w:color w:val="auto"/>
                <w:sz w:val="21"/>
                <w:szCs w:val="21"/>
              </w:rPr>
              <w:t>'2</w:t>
            </w:r>
            <w:r>
              <w:rPr>
                <w:rFonts w:hint="eastAsia"/>
                <w:color w:val="auto"/>
                <w:sz w:val="21"/>
                <w:szCs w:val="21"/>
                <w:lang w:val="en-US" w:eastAsia="zh-CN"/>
              </w:rPr>
              <w:t>7.378</w:t>
            </w:r>
            <w:r>
              <w:rPr>
                <w:color w:val="auto"/>
                <w:sz w:val="21"/>
                <w:szCs w:val="21"/>
              </w:rPr>
              <w:t>"</w:t>
            </w:r>
          </w:p>
        </w:tc>
        <w:tc>
          <w:tcPr>
            <w:tcW w:w="489" w:type="pct"/>
            <w:gridSpan w:val="2"/>
            <w:tcBorders>
              <w:tl2br w:val="nil"/>
              <w:tr2bl w:val="nil"/>
            </w:tcBorders>
            <w:noWrap w:val="0"/>
            <w:vAlign w:val="center"/>
          </w:tcPr>
          <w:p w14:paraId="31A87C6A">
            <w:pPr>
              <w:pageBreakBefore w:val="0"/>
              <w:wordWrap/>
              <w:bidi w:val="0"/>
              <w:adjustRightInd/>
              <w:snapToGrid/>
              <w:spacing w:line="240" w:lineRule="auto"/>
              <w:ind w:firstLine="0" w:firstLineChars="0"/>
              <w:jc w:val="center"/>
              <w:rPr>
                <w:color w:val="auto"/>
                <w:sz w:val="21"/>
                <w:szCs w:val="21"/>
              </w:rPr>
            </w:pPr>
            <w:r>
              <w:rPr>
                <w:color w:val="auto"/>
                <w:sz w:val="21"/>
                <w:szCs w:val="21"/>
              </w:rPr>
              <w:t>纬度</w:t>
            </w:r>
          </w:p>
        </w:tc>
        <w:tc>
          <w:tcPr>
            <w:tcW w:w="1384" w:type="pct"/>
            <w:gridSpan w:val="2"/>
            <w:tcBorders>
              <w:tl2br w:val="nil"/>
              <w:tr2bl w:val="nil"/>
            </w:tcBorders>
            <w:noWrap w:val="0"/>
            <w:vAlign w:val="center"/>
          </w:tcPr>
          <w:p w14:paraId="515492F0">
            <w:pPr>
              <w:pageBreakBefore w:val="0"/>
              <w:wordWrap/>
              <w:bidi w:val="0"/>
              <w:adjustRightInd/>
              <w:snapToGrid/>
              <w:spacing w:line="240" w:lineRule="auto"/>
              <w:ind w:firstLine="0" w:firstLineChars="0"/>
              <w:jc w:val="center"/>
              <w:rPr>
                <w:color w:val="auto"/>
                <w:sz w:val="21"/>
                <w:szCs w:val="21"/>
              </w:rPr>
            </w:pPr>
            <w:r>
              <w:rPr>
                <w:color w:val="auto"/>
                <w:sz w:val="21"/>
                <w:szCs w:val="21"/>
              </w:rPr>
              <w:t>北纬3</w:t>
            </w:r>
            <w:r>
              <w:rPr>
                <w:rFonts w:hint="eastAsia"/>
                <w:color w:val="auto"/>
                <w:sz w:val="21"/>
                <w:szCs w:val="21"/>
                <w:lang w:val="en-US" w:eastAsia="zh-CN"/>
              </w:rPr>
              <w:t>1</w:t>
            </w:r>
            <w:r>
              <w:rPr>
                <w:color w:val="auto"/>
                <w:sz w:val="21"/>
                <w:szCs w:val="21"/>
              </w:rPr>
              <w:t>°4</w:t>
            </w:r>
            <w:r>
              <w:rPr>
                <w:rFonts w:hint="eastAsia"/>
                <w:color w:val="auto"/>
                <w:sz w:val="21"/>
                <w:szCs w:val="21"/>
                <w:lang w:val="en-US" w:eastAsia="zh-CN"/>
              </w:rPr>
              <w:t>5</w:t>
            </w:r>
            <w:r>
              <w:rPr>
                <w:color w:val="auto"/>
                <w:sz w:val="21"/>
                <w:szCs w:val="21"/>
              </w:rPr>
              <w:t>'</w:t>
            </w:r>
            <w:r>
              <w:rPr>
                <w:rFonts w:hint="eastAsia"/>
                <w:color w:val="auto"/>
                <w:sz w:val="21"/>
                <w:szCs w:val="21"/>
                <w:lang w:val="en-US" w:eastAsia="zh-CN"/>
              </w:rPr>
              <w:t>12.978</w:t>
            </w:r>
            <w:r>
              <w:rPr>
                <w:color w:val="auto"/>
                <w:sz w:val="21"/>
                <w:szCs w:val="21"/>
              </w:rPr>
              <w:t>"</w:t>
            </w:r>
          </w:p>
        </w:tc>
      </w:tr>
      <w:tr w14:paraId="5942BD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262" w:type="pct"/>
            <w:tcBorders>
              <w:tl2br w:val="nil"/>
              <w:tr2bl w:val="nil"/>
            </w:tcBorders>
            <w:noWrap w:val="0"/>
            <w:vAlign w:val="center"/>
          </w:tcPr>
          <w:p w14:paraId="3ABBA59D">
            <w:pPr>
              <w:pageBreakBefore w:val="0"/>
              <w:wordWrap/>
              <w:bidi w:val="0"/>
              <w:adjustRightInd/>
              <w:snapToGrid/>
              <w:spacing w:line="240" w:lineRule="auto"/>
              <w:ind w:firstLine="0" w:firstLineChars="0"/>
              <w:jc w:val="center"/>
              <w:rPr>
                <w:b/>
                <w:color w:val="auto"/>
                <w:sz w:val="21"/>
                <w:szCs w:val="21"/>
              </w:rPr>
            </w:pPr>
            <w:r>
              <w:rPr>
                <w:b/>
                <w:color w:val="auto"/>
                <w:sz w:val="21"/>
                <w:szCs w:val="21"/>
              </w:rPr>
              <w:t>主要危险物质及分布</w:t>
            </w:r>
          </w:p>
        </w:tc>
        <w:tc>
          <w:tcPr>
            <w:tcW w:w="3737" w:type="pct"/>
            <w:gridSpan w:val="8"/>
            <w:tcBorders>
              <w:tl2br w:val="nil"/>
              <w:tr2bl w:val="nil"/>
            </w:tcBorders>
            <w:noWrap w:val="0"/>
            <w:vAlign w:val="center"/>
          </w:tcPr>
          <w:p w14:paraId="7688F135">
            <w:pPr>
              <w:pageBreakBefore w:val="0"/>
              <w:wordWrap/>
              <w:bidi w:val="0"/>
              <w:adjustRightInd/>
              <w:snapToGrid/>
              <w:spacing w:line="240" w:lineRule="auto"/>
              <w:ind w:firstLine="0" w:firstLineChars="0"/>
              <w:jc w:val="center"/>
              <w:rPr>
                <w:color w:val="auto"/>
                <w:sz w:val="21"/>
                <w:szCs w:val="21"/>
              </w:rPr>
            </w:pPr>
            <w:r>
              <w:rPr>
                <w:rFonts w:hint="eastAsia" w:cs="宋体"/>
                <w:color w:val="auto"/>
                <w:kern w:val="0"/>
                <w:sz w:val="21"/>
                <w:szCs w:val="21"/>
              </w:rPr>
              <w:t>危险物质及储存位置：次氯酸钠（次氯酸钠投加间）</w:t>
            </w:r>
          </w:p>
        </w:tc>
      </w:tr>
      <w:tr w14:paraId="17B04D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262" w:type="pct"/>
            <w:tcBorders>
              <w:tl2br w:val="nil"/>
              <w:tr2bl w:val="nil"/>
            </w:tcBorders>
            <w:noWrap w:val="0"/>
            <w:vAlign w:val="center"/>
          </w:tcPr>
          <w:p w14:paraId="09B8B3BB">
            <w:pPr>
              <w:pageBreakBefore w:val="0"/>
              <w:wordWrap/>
              <w:bidi w:val="0"/>
              <w:adjustRightInd/>
              <w:snapToGrid/>
              <w:spacing w:line="240" w:lineRule="auto"/>
              <w:ind w:firstLine="0" w:firstLineChars="0"/>
              <w:jc w:val="center"/>
              <w:rPr>
                <w:b/>
                <w:color w:val="auto"/>
                <w:sz w:val="21"/>
                <w:szCs w:val="21"/>
              </w:rPr>
            </w:pPr>
            <w:r>
              <w:rPr>
                <w:b/>
                <w:color w:val="auto"/>
                <w:sz w:val="21"/>
                <w:szCs w:val="21"/>
              </w:rPr>
              <w:t>环境影响途径及危害后果（大气、地表水、地下水等）</w:t>
            </w:r>
          </w:p>
        </w:tc>
        <w:tc>
          <w:tcPr>
            <w:tcW w:w="3737" w:type="pct"/>
            <w:gridSpan w:val="8"/>
            <w:tcBorders>
              <w:tl2br w:val="nil"/>
              <w:tr2bl w:val="nil"/>
            </w:tcBorders>
            <w:noWrap w:val="0"/>
            <w:vAlign w:val="center"/>
          </w:tcPr>
          <w:p w14:paraId="13AD61E2">
            <w:pPr>
              <w:pStyle w:val="66"/>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废水事故排放、进水水质波动可能会导致区域地表水环境受到污染；池体、管道破裂可能会导致项目区域地下水环境受到影响；废气处理装置事故排放可能会导致恶臭污染物影响周边大气环境。</w:t>
            </w:r>
          </w:p>
        </w:tc>
      </w:tr>
      <w:tr w14:paraId="498419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262" w:type="pct"/>
            <w:tcBorders>
              <w:tl2br w:val="nil"/>
              <w:tr2bl w:val="nil"/>
            </w:tcBorders>
            <w:noWrap w:val="0"/>
            <w:vAlign w:val="center"/>
          </w:tcPr>
          <w:p w14:paraId="3224ACF7">
            <w:pPr>
              <w:pageBreakBefore w:val="0"/>
              <w:wordWrap/>
              <w:bidi w:val="0"/>
              <w:adjustRightInd/>
              <w:snapToGrid/>
              <w:spacing w:line="240" w:lineRule="auto"/>
              <w:ind w:firstLine="0" w:firstLineChars="0"/>
              <w:jc w:val="center"/>
              <w:rPr>
                <w:b/>
                <w:color w:val="auto"/>
                <w:sz w:val="21"/>
                <w:szCs w:val="21"/>
              </w:rPr>
            </w:pPr>
            <w:r>
              <w:rPr>
                <w:b/>
                <w:color w:val="auto"/>
                <w:sz w:val="21"/>
                <w:szCs w:val="21"/>
              </w:rPr>
              <w:t>风险防范措施要求</w:t>
            </w:r>
          </w:p>
        </w:tc>
        <w:tc>
          <w:tcPr>
            <w:tcW w:w="3737" w:type="pct"/>
            <w:gridSpan w:val="8"/>
            <w:tcBorders>
              <w:tl2br w:val="nil"/>
              <w:tr2bl w:val="nil"/>
            </w:tcBorders>
            <w:noWrap w:val="0"/>
            <w:vAlign w:val="center"/>
          </w:tcPr>
          <w:p w14:paraId="38A6860A">
            <w:pPr>
              <w:pStyle w:val="66"/>
              <w:pageBreakBefore w:val="0"/>
              <w:wordWrap/>
              <w:bidi w:val="0"/>
              <w:adjustRightInd/>
              <w:snapToGrid/>
              <w:rPr>
                <w:rFonts w:ascii="Times New Roman" w:eastAsia="宋体" w:cs="Times New Roman"/>
                <w:color w:val="auto"/>
                <w:sz w:val="21"/>
                <w:szCs w:val="21"/>
              </w:rPr>
            </w:pPr>
            <w:r>
              <w:rPr>
                <w:rFonts w:ascii="Times New Roman" w:eastAsia="宋体" w:cs="Times New Roman"/>
                <w:color w:val="auto"/>
                <w:sz w:val="21"/>
                <w:szCs w:val="21"/>
              </w:rPr>
              <w:t>分别从废水事故排放、进水水质波动事故、废气处理装置事故、污水管网事故、池体破裂事故等方面，对项目运行过程中提出了相应的环境风险防范措施，并对人员管理制度及突发事故应急预案作出了相应要求。具体见环境风险评价部分</w:t>
            </w:r>
            <w:r>
              <w:rPr>
                <w:rFonts w:hint="eastAsia" w:ascii="Times New Roman" w:eastAsia="宋体" w:cs="Times New Roman"/>
                <w:color w:val="auto"/>
                <w:sz w:val="21"/>
                <w:szCs w:val="21"/>
                <w:lang w:eastAsia="zh-CN"/>
              </w:rPr>
              <w:t>“</w:t>
            </w:r>
            <w:r>
              <w:rPr>
                <w:rFonts w:ascii="Times New Roman" w:eastAsia="宋体" w:cs="Times New Roman"/>
                <w:color w:val="auto"/>
                <w:sz w:val="21"/>
                <w:szCs w:val="21"/>
              </w:rPr>
              <w:t>6.5环境风险防范措施及应急要求</w:t>
            </w:r>
            <w:r>
              <w:rPr>
                <w:rFonts w:hint="eastAsia" w:ascii="Times New Roman" w:eastAsia="宋体" w:cs="Times New Roman"/>
                <w:color w:val="auto"/>
                <w:sz w:val="21"/>
                <w:szCs w:val="21"/>
                <w:lang w:eastAsia="zh-CN"/>
              </w:rPr>
              <w:t>”</w:t>
            </w:r>
            <w:r>
              <w:rPr>
                <w:rFonts w:ascii="Times New Roman" w:eastAsia="宋体" w:cs="Times New Roman"/>
                <w:color w:val="auto"/>
                <w:sz w:val="21"/>
                <w:szCs w:val="21"/>
              </w:rPr>
              <w:t>章节。</w:t>
            </w:r>
          </w:p>
        </w:tc>
      </w:tr>
      <w:tr w14:paraId="242076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000" w:type="pct"/>
            <w:gridSpan w:val="9"/>
            <w:tcBorders>
              <w:tl2br w:val="nil"/>
              <w:tr2bl w:val="nil"/>
            </w:tcBorders>
            <w:noWrap w:val="0"/>
            <w:vAlign w:val="center"/>
          </w:tcPr>
          <w:p w14:paraId="513BD0B5">
            <w:pPr>
              <w:pageBreakBefore w:val="0"/>
              <w:wordWrap/>
              <w:bidi w:val="0"/>
              <w:adjustRightInd/>
              <w:snapToGrid/>
              <w:spacing w:line="240" w:lineRule="auto"/>
              <w:ind w:firstLine="0" w:firstLineChars="0"/>
              <w:rPr>
                <w:b/>
                <w:color w:val="auto"/>
                <w:sz w:val="21"/>
                <w:szCs w:val="21"/>
              </w:rPr>
            </w:pPr>
            <w:r>
              <w:rPr>
                <w:b/>
                <w:color w:val="auto"/>
                <w:sz w:val="21"/>
                <w:szCs w:val="21"/>
              </w:rPr>
              <w:t>填表说明（列出项目相关信息及评价说明）：</w:t>
            </w:r>
          </w:p>
          <w:p w14:paraId="79C43F16">
            <w:pPr>
              <w:pageBreakBefore w:val="0"/>
              <w:wordWrap/>
              <w:bidi w:val="0"/>
              <w:adjustRightInd/>
              <w:snapToGrid/>
              <w:spacing w:line="240" w:lineRule="auto"/>
              <w:ind w:firstLine="0" w:firstLineChars="0"/>
              <w:rPr>
                <w:color w:val="auto"/>
                <w:sz w:val="21"/>
                <w:szCs w:val="21"/>
              </w:rPr>
            </w:pPr>
            <w:r>
              <w:rPr>
                <w:color w:val="auto"/>
                <w:sz w:val="21"/>
                <w:szCs w:val="21"/>
              </w:rPr>
              <w:t>项目所使用的各类原辅料中，不涉及危险物质，根据《建设项目环境风险评价技术导则》（HJ169-2018），本项目的环境风险潜势直接判断为Ⅰ，环境风险评价可开展简单分析。</w:t>
            </w:r>
          </w:p>
        </w:tc>
      </w:tr>
    </w:tbl>
    <w:p w14:paraId="6E3ACB53">
      <w:pPr>
        <w:pStyle w:val="3"/>
        <w:pageBreakBefore w:val="0"/>
        <w:wordWrap/>
        <w:bidi w:val="0"/>
        <w:adjustRightInd/>
        <w:snapToGrid/>
        <w:rPr>
          <w:rFonts w:eastAsia="宋体"/>
          <w:color w:val="auto"/>
        </w:rPr>
        <w:sectPr>
          <w:pgSz w:w="11906" w:h="16838"/>
          <w:pgMar w:top="1440" w:right="1588" w:bottom="1440" w:left="1588" w:header="794" w:footer="992" w:gutter="0"/>
          <w:pgBorders>
            <w:top w:val="none" w:sz="0" w:space="0"/>
            <w:left w:val="none" w:sz="0" w:space="0"/>
            <w:bottom w:val="none" w:sz="0" w:space="0"/>
            <w:right w:val="none" w:sz="0" w:space="0"/>
          </w:pgBorders>
          <w:pgNumType w:fmt="decimal"/>
          <w:cols w:space="720" w:num="1"/>
          <w:docGrid w:linePitch="312" w:charSpace="0"/>
        </w:sectPr>
      </w:pPr>
    </w:p>
    <w:p w14:paraId="2F830629">
      <w:pPr>
        <w:pStyle w:val="3"/>
        <w:pageBreakBefore w:val="0"/>
        <w:wordWrap/>
        <w:bidi w:val="0"/>
        <w:adjustRightInd/>
        <w:snapToGrid/>
        <w:rPr>
          <w:rFonts w:eastAsia="宋体"/>
          <w:color w:val="auto"/>
        </w:rPr>
      </w:pPr>
      <w:bookmarkStart w:id="264" w:name="_Toc31525"/>
      <w:r>
        <w:rPr>
          <w:rFonts w:eastAsia="宋体"/>
          <w:color w:val="auto"/>
        </w:rPr>
        <w:t>环境保护措施及其</w:t>
      </w:r>
      <w:r>
        <w:rPr>
          <w:rFonts w:hint="eastAsia" w:eastAsia="宋体"/>
          <w:color w:val="auto"/>
          <w:lang w:val="en-US" w:eastAsia="zh-CN"/>
        </w:rPr>
        <w:t>经济、技术</w:t>
      </w:r>
      <w:r>
        <w:rPr>
          <w:rFonts w:eastAsia="宋体"/>
          <w:color w:val="auto"/>
        </w:rPr>
        <w:t>论证</w:t>
      </w:r>
      <w:bookmarkEnd w:id="261"/>
      <w:bookmarkEnd w:id="262"/>
      <w:bookmarkEnd w:id="264"/>
    </w:p>
    <w:p w14:paraId="3BD59091">
      <w:pPr>
        <w:pStyle w:val="4"/>
        <w:pageBreakBefore w:val="0"/>
        <w:wordWrap/>
        <w:bidi w:val="0"/>
        <w:adjustRightInd/>
        <w:snapToGrid/>
        <w:rPr>
          <w:rFonts w:ascii="Times New Roman" w:hAnsi="Times New Roman" w:eastAsia="宋体"/>
          <w:color w:val="auto"/>
        </w:rPr>
      </w:pPr>
      <w:bookmarkStart w:id="265" w:name="_Toc505087373"/>
      <w:bookmarkStart w:id="266" w:name="_Toc374627815"/>
      <w:bookmarkStart w:id="267" w:name="_Toc362082756"/>
      <w:bookmarkStart w:id="268" w:name="_Toc1267"/>
      <w:bookmarkStart w:id="269" w:name="_Toc20414"/>
      <w:r>
        <w:rPr>
          <w:rFonts w:hint="eastAsia" w:ascii="Times New Roman" w:hAnsi="Times New Roman" w:eastAsia="宋体"/>
          <w:color w:val="auto"/>
        </w:rPr>
        <w:t xml:space="preserve"> </w:t>
      </w:r>
      <w:bookmarkStart w:id="270" w:name="_Toc3774"/>
      <w:r>
        <w:rPr>
          <w:rFonts w:ascii="Times New Roman" w:hAnsi="Times New Roman" w:eastAsia="宋体"/>
          <w:color w:val="auto"/>
        </w:rPr>
        <w:t>施工期环保措施及其可行性论证</w:t>
      </w:r>
      <w:bookmarkEnd w:id="265"/>
      <w:bookmarkEnd w:id="266"/>
      <w:bookmarkEnd w:id="267"/>
      <w:bookmarkEnd w:id="268"/>
      <w:bookmarkEnd w:id="269"/>
      <w:bookmarkEnd w:id="270"/>
    </w:p>
    <w:p w14:paraId="6DF644CF">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施工期环保措施</w:t>
      </w:r>
    </w:p>
    <w:p w14:paraId="04CB838D">
      <w:pPr>
        <w:pageBreakBefore w:val="0"/>
        <w:wordWrap/>
        <w:bidi w:val="0"/>
        <w:adjustRightInd/>
        <w:snapToGrid/>
        <w:ind w:firstLine="480"/>
        <w:rPr>
          <w:color w:val="auto"/>
        </w:rPr>
      </w:pPr>
      <w:r>
        <w:rPr>
          <w:color w:val="auto"/>
        </w:rPr>
        <w:t>施工期产生扬尘、噪声、建筑弃</w:t>
      </w:r>
      <w:r>
        <w:rPr>
          <w:rFonts w:hint="eastAsia"/>
          <w:color w:val="auto"/>
          <w:lang w:eastAsia="zh-CN"/>
        </w:rPr>
        <w:t>渣</w:t>
      </w:r>
      <w:r>
        <w:rPr>
          <w:color w:val="auto"/>
        </w:rPr>
        <w:t>及施工废水等，影响空气、声、地表水及生态环境。拟采用以下管理措施和工程措施。</w:t>
      </w:r>
    </w:p>
    <w:p w14:paraId="11EDB4F9">
      <w:pPr>
        <w:pageBreakBefore w:val="0"/>
        <w:wordWrap/>
        <w:bidi w:val="0"/>
        <w:adjustRightInd/>
        <w:snapToGrid/>
        <w:ind w:firstLine="480"/>
        <w:rPr>
          <w:color w:val="auto"/>
        </w:rPr>
      </w:pPr>
      <w:r>
        <w:rPr>
          <w:color w:val="auto"/>
        </w:rPr>
        <w:t>（1）管理措施</w:t>
      </w:r>
    </w:p>
    <w:p w14:paraId="5D1D54BF">
      <w:pPr>
        <w:pageBreakBefore w:val="0"/>
        <w:wordWrap/>
        <w:bidi w:val="0"/>
        <w:adjustRightInd/>
        <w:snapToGrid/>
        <w:ind w:firstLine="480"/>
        <w:rPr>
          <w:color w:val="auto"/>
        </w:rPr>
      </w:pPr>
      <w:r>
        <w:rPr>
          <w:color w:val="auto"/>
        </w:rPr>
        <w:t>工程施工过程中运输量和挖掘量较小，将施工期环保工作纳入合同管理，明确施工单位为有关环保工作责任方，业主单位为监督和管理方；并要求施工单位将环保措施的执行情况纳入生产管理体系中，建立相应的工作制度；同时加强对施工队伍的环保宣传工作。</w:t>
      </w:r>
    </w:p>
    <w:p w14:paraId="49AF29D8">
      <w:pPr>
        <w:pageBreakBefore w:val="0"/>
        <w:wordWrap/>
        <w:bidi w:val="0"/>
        <w:adjustRightInd/>
        <w:snapToGrid/>
        <w:ind w:firstLine="480"/>
        <w:rPr>
          <w:color w:val="auto"/>
        </w:rPr>
      </w:pPr>
      <w:r>
        <w:rPr>
          <w:color w:val="auto"/>
        </w:rPr>
        <w:t>（2）工程措施</w:t>
      </w:r>
    </w:p>
    <w:p w14:paraId="0E075CC4">
      <w:pPr>
        <w:pageBreakBefore w:val="0"/>
        <w:wordWrap/>
        <w:bidi w:val="0"/>
        <w:adjustRightInd/>
        <w:snapToGrid/>
        <w:ind w:firstLine="480"/>
        <w:rPr>
          <w:color w:val="auto"/>
        </w:rPr>
      </w:pPr>
      <w:r>
        <w:rPr>
          <w:color w:val="auto"/>
        </w:rPr>
        <w:t>1、扬尘防护：定期洒水降尘，主要产尘作业点装防尘网；及时清除路面尘土。</w:t>
      </w:r>
    </w:p>
    <w:p w14:paraId="4BB47C1E">
      <w:pPr>
        <w:pageBreakBefore w:val="0"/>
        <w:wordWrap/>
        <w:bidi w:val="0"/>
        <w:adjustRightInd/>
        <w:snapToGrid/>
        <w:ind w:firstLine="480"/>
        <w:rPr>
          <w:color w:val="auto"/>
        </w:rPr>
      </w:pPr>
      <w:r>
        <w:rPr>
          <w:color w:val="auto"/>
        </w:rPr>
        <w:t>2、噪声防治：使用低噪声设备等，作业点尽量远离厂界，必要时设置临时隔声墙。</w:t>
      </w:r>
    </w:p>
    <w:p w14:paraId="6E8080E0">
      <w:pPr>
        <w:pageBreakBefore w:val="0"/>
        <w:wordWrap/>
        <w:bidi w:val="0"/>
        <w:adjustRightInd/>
        <w:snapToGrid/>
        <w:ind w:firstLine="480"/>
        <w:rPr>
          <w:color w:val="auto"/>
        </w:rPr>
      </w:pPr>
      <w:r>
        <w:rPr>
          <w:color w:val="auto"/>
        </w:rPr>
        <w:t>3、建筑</w:t>
      </w:r>
      <w:r>
        <w:rPr>
          <w:rFonts w:hint="eastAsia"/>
          <w:color w:val="auto"/>
        </w:rPr>
        <w:t>弃渣</w:t>
      </w:r>
      <w:r>
        <w:rPr>
          <w:color w:val="auto"/>
        </w:rPr>
        <w:t>处置：</w:t>
      </w:r>
      <w:r>
        <w:rPr>
          <w:rFonts w:hint="eastAsia"/>
          <w:color w:val="auto"/>
        </w:rPr>
        <w:t>弃渣</w:t>
      </w:r>
      <w:r>
        <w:rPr>
          <w:color w:val="auto"/>
        </w:rPr>
        <w:t>按当地环卫部门要求及时清运至指定的</w:t>
      </w:r>
      <w:r>
        <w:rPr>
          <w:rFonts w:hint="eastAsia"/>
          <w:color w:val="auto"/>
        </w:rPr>
        <w:t>建渣</w:t>
      </w:r>
      <w:r>
        <w:rPr>
          <w:color w:val="auto"/>
        </w:rPr>
        <w:t>堆放场地；临时堆</w:t>
      </w:r>
      <w:r>
        <w:rPr>
          <w:rFonts w:hint="eastAsia"/>
          <w:color w:val="auto"/>
          <w:lang w:eastAsia="zh-CN"/>
        </w:rPr>
        <w:t>放</w:t>
      </w:r>
      <w:r>
        <w:rPr>
          <w:color w:val="auto"/>
        </w:rPr>
        <w:t>应避开沟渠，遮盖堆置。</w:t>
      </w:r>
    </w:p>
    <w:p w14:paraId="7C80064D">
      <w:pPr>
        <w:pageBreakBefore w:val="0"/>
        <w:wordWrap/>
        <w:bidi w:val="0"/>
        <w:adjustRightInd/>
        <w:snapToGrid/>
        <w:ind w:firstLine="480"/>
        <w:rPr>
          <w:color w:val="auto"/>
        </w:rPr>
      </w:pPr>
      <w:r>
        <w:rPr>
          <w:color w:val="auto"/>
        </w:rPr>
        <w:t>4、施工废水：在施工废水排放点建沉淀池，施工废水处理后回用。施工及安装人员生活污水经化粪池处理后，</w:t>
      </w:r>
      <w:r>
        <w:rPr>
          <w:rFonts w:hint="eastAsia"/>
          <w:color w:val="auto"/>
          <w:lang w:val="en-US" w:eastAsia="zh-CN"/>
        </w:rPr>
        <w:t>排入</w:t>
      </w:r>
      <w:r>
        <w:rPr>
          <w:rFonts w:hint="eastAsia"/>
          <w:color w:val="auto"/>
          <w:lang w:eastAsia="zh-CN"/>
        </w:rPr>
        <w:t>曾口镇污水处理厂</w:t>
      </w:r>
      <w:r>
        <w:rPr>
          <w:color w:val="auto"/>
        </w:rPr>
        <w:t>处理达标后排放。</w:t>
      </w:r>
    </w:p>
    <w:p w14:paraId="5EFBBDE2">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施工期环保措施论证</w:t>
      </w:r>
    </w:p>
    <w:p w14:paraId="06ADD98F">
      <w:pPr>
        <w:pageBreakBefore w:val="0"/>
        <w:wordWrap/>
        <w:bidi w:val="0"/>
        <w:adjustRightInd/>
        <w:snapToGrid/>
        <w:ind w:firstLine="480"/>
        <w:rPr>
          <w:color w:val="auto"/>
        </w:rPr>
      </w:pPr>
      <w:r>
        <w:rPr>
          <w:color w:val="auto"/>
        </w:rPr>
        <w:t>项目工程施工中对周围局部区域环境会产生一定的影响。由于施工期短，工程量小，施工期对环境影响较小。分析认为，通过施工管理措施的落实，可极大地约束和控制施工期的</w:t>
      </w:r>
      <w:r>
        <w:rPr>
          <w:rFonts w:hint="eastAsia"/>
          <w:color w:val="auto"/>
          <w:lang w:eastAsia="zh-CN"/>
        </w:rPr>
        <w:t>“</w:t>
      </w:r>
      <w:r>
        <w:rPr>
          <w:color w:val="auto"/>
        </w:rPr>
        <w:t>三废</w:t>
      </w:r>
      <w:r>
        <w:rPr>
          <w:rFonts w:hint="eastAsia"/>
          <w:color w:val="auto"/>
          <w:lang w:eastAsia="zh-CN"/>
        </w:rPr>
        <w:t>”</w:t>
      </w:r>
      <w:r>
        <w:rPr>
          <w:color w:val="auto"/>
        </w:rPr>
        <w:t>、噪声；同时通过实施相应的工程防范措施，可有效减缓工程施工扬尘、噪声、废水、弃碴的影响。施工期环保措施可行。</w:t>
      </w:r>
    </w:p>
    <w:p w14:paraId="10E86DC2">
      <w:pPr>
        <w:pStyle w:val="4"/>
        <w:pageBreakBefore w:val="0"/>
        <w:wordWrap/>
        <w:bidi w:val="0"/>
        <w:adjustRightInd/>
        <w:snapToGrid/>
        <w:rPr>
          <w:rFonts w:ascii="Times New Roman" w:hAnsi="Times New Roman" w:eastAsia="宋体"/>
          <w:color w:val="auto"/>
        </w:rPr>
      </w:pPr>
      <w:bookmarkStart w:id="271" w:name="_Toc1403"/>
      <w:r>
        <w:rPr>
          <w:rFonts w:hint="eastAsia" w:ascii="Times New Roman" w:hAnsi="Times New Roman" w:eastAsia="宋体"/>
          <w:color w:val="auto"/>
        </w:rPr>
        <w:t xml:space="preserve"> </w:t>
      </w:r>
      <w:bookmarkStart w:id="272" w:name="_Toc26770"/>
      <w:r>
        <w:rPr>
          <w:rFonts w:ascii="Times New Roman" w:hAnsi="Times New Roman" w:eastAsia="宋体"/>
          <w:color w:val="auto"/>
        </w:rPr>
        <w:t>营运期环保措施及可行性分析</w:t>
      </w:r>
      <w:bookmarkEnd w:id="271"/>
      <w:bookmarkEnd w:id="272"/>
    </w:p>
    <w:p w14:paraId="16419168">
      <w:pPr>
        <w:pStyle w:val="5"/>
        <w:pageBreakBefore w:val="0"/>
        <w:wordWrap/>
        <w:bidi w:val="0"/>
        <w:adjustRightInd/>
        <w:snapToGrid/>
        <w:spacing w:before="48" w:after="48"/>
        <w:ind w:left="0"/>
        <w:rPr>
          <w:rFonts w:eastAsia="宋体"/>
          <w:color w:val="auto"/>
        </w:rPr>
      </w:pPr>
      <w:bookmarkStart w:id="273" w:name="_Toc374627821"/>
      <w:bookmarkStart w:id="274" w:name="_Toc22012"/>
      <w:r>
        <w:rPr>
          <w:rFonts w:hint="eastAsia" w:eastAsia="宋体"/>
          <w:color w:val="auto"/>
        </w:rPr>
        <w:t xml:space="preserve"> </w:t>
      </w:r>
      <w:r>
        <w:rPr>
          <w:rFonts w:eastAsia="宋体"/>
          <w:color w:val="auto"/>
        </w:rPr>
        <w:t>废水治理措施及可行性</w:t>
      </w:r>
      <w:bookmarkEnd w:id="273"/>
      <w:bookmarkEnd w:id="274"/>
      <w:r>
        <w:rPr>
          <w:rFonts w:eastAsia="宋体"/>
          <w:color w:val="auto"/>
        </w:rPr>
        <w:t>分析</w:t>
      </w:r>
    </w:p>
    <w:p w14:paraId="5C43A847">
      <w:pPr>
        <w:pageBreakBefore w:val="0"/>
        <w:wordWrap/>
        <w:bidi w:val="0"/>
        <w:adjustRightInd/>
        <w:snapToGrid/>
        <w:ind w:firstLine="480"/>
        <w:rPr>
          <w:color w:val="auto"/>
        </w:rPr>
      </w:pPr>
      <w:bookmarkStart w:id="275" w:name="_Toc362082758"/>
      <w:bookmarkStart w:id="276" w:name="_Toc374627822"/>
      <w:r>
        <w:rPr>
          <w:color w:val="auto"/>
        </w:rPr>
        <w:t>1、污水处理厂进水水质管理</w:t>
      </w:r>
    </w:p>
    <w:p w14:paraId="06ADD412">
      <w:pPr>
        <w:pageBreakBefore w:val="0"/>
        <w:wordWrap/>
        <w:bidi w:val="0"/>
        <w:adjustRightInd/>
        <w:snapToGrid/>
        <w:ind w:firstLine="480"/>
        <w:rPr>
          <w:rFonts w:hint="default" w:eastAsia="宋体"/>
          <w:color w:val="auto"/>
          <w:lang w:val="en-US" w:eastAsia="zh-CN"/>
        </w:rPr>
      </w:pPr>
      <w:r>
        <w:rPr>
          <w:rFonts w:hint="eastAsia"/>
          <w:color w:val="auto"/>
          <w:lang w:val="en-US" w:eastAsia="zh-CN"/>
        </w:rPr>
        <w:t>由于四川巴中经济开发区-曾口区块目前处于未开发状态，暂时也无企业入驻。在无实测进水水质的情况下，结合规划产业和《污水综合排放标准》（GB8978-1996）三级标准、《石油化学工业污染物排放标准》（GB31571-2015）间接排放标准要求以及后续存在中水回用的需求，本污水处理厂对进水水质进行了限制。</w:t>
      </w:r>
    </w:p>
    <w:p w14:paraId="233AC38F">
      <w:pPr>
        <w:pageBreakBefore w:val="0"/>
        <w:wordWrap/>
        <w:bidi w:val="0"/>
        <w:adjustRightInd/>
        <w:snapToGrid/>
        <w:ind w:firstLine="480"/>
        <w:rPr>
          <w:color w:val="auto"/>
        </w:rPr>
      </w:pPr>
      <w:r>
        <w:rPr>
          <w:color w:val="auto"/>
        </w:rPr>
        <w:t>园区内废水必须经各企业单元自行处理，</w:t>
      </w:r>
      <w:r>
        <w:rPr>
          <w:rFonts w:hint="eastAsia"/>
          <w:color w:val="auto"/>
          <w:lang w:val="en-US" w:eastAsia="zh-CN"/>
        </w:rPr>
        <w:t>达到</w:t>
      </w:r>
      <w:r>
        <w:rPr>
          <w:color w:val="auto"/>
        </w:rPr>
        <w:t>污水处理厂接管要求后才能排入本项目污水处理厂。涉及含酸碱的污水必须进行综合处理后方能进入污水管网，不得向污水处理厂排放危险废物，含放射性废水不得排入服务区的污水管网系统。</w:t>
      </w:r>
    </w:p>
    <w:p w14:paraId="6C3FD41E">
      <w:pPr>
        <w:pageBreakBefore w:val="0"/>
        <w:wordWrap/>
        <w:bidi w:val="0"/>
        <w:adjustRightInd/>
        <w:snapToGrid/>
        <w:ind w:firstLine="480"/>
        <w:rPr>
          <w:color w:val="auto"/>
        </w:rPr>
      </w:pPr>
      <w:r>
        <w:rPr>
          <w:color w:val="auto"/>
        </w:rPr>
        <w:t>污水进水水质出现高于本</w:t>
      </w:r>
      <w:r>
        <w:rPr>
          <w:rFonts w:hint="eastAsia"/>
          <w:color w:val="auto"/>
          <w:lang w:eastAsia="zh-CN"/>
        </w:rPr>
        <w:t>污水处理厂</w:t>
      </w:r>
      <w:r>
        <w:rPr>
          <w:color w:val="auto"/>
        </w:rPr>
        <w:t>进水水质要求的情况时，业主单位应立即上报上级主管部门，配合当地环境行政主管部门，加强超标企业的排查，并限令超标企业进行整改；对于限期整改不到位的超标企业，给予关闭处理。同时启动应急预案，增加</w:t>
      </w:r>
      <w:r>
        <w:rPr>
          <w:rFonts w:hint="eastAsia"/>
          <w:color w:val="auto"/>
          <w:lang w:eastAsia="zh-CN"/>
        </w:rPr>
        <w:t>污水处理厂</w:t>
      </w:r>
      <w:r>
        <w:rPr>
          <w:color w:val="auto"/>
        </w:rPr>
        <w:t>出水水质监测频率。</w:t>
      </w:r>
    </w:p>
    <w:p w14:paraId="63F58035">
      <w:pPr>
        <w:pageBreakBefore w:val="0"/>
        <w:wordWrap/>
        <w:bidi w:val="0"/>
        <w:adjustRightInd/>
        <w:snapToGrid/>
        <w:ind w:firstLine="480"/>
        <w:rPr>
          <w:color w:val="auto"/>
        </w:rPr>
      </w:pPr>
      <w:r>
        <w:rPr>
          <w:color w:val="auto"/>
        </w:rPr>
        <w:t>2、</w:t>
      </w:r>
      <w:r>
        <w:rPr>
          <w:rFonts w:hint="eastAsia"/>
          <w:color w:val="auto"/>
          <w:lang w:eastAsia="zh-CN"/>
        </w:rPr>
        <w:t>污水处理厂</w:t>
      </w:r>
      <w:r>
        <w:rPr>
          <w:color w:val="auto"/>
        </w:rPr>
        <w:t>内部管理</w:t>
      </w:r>
    </w:p>
    <w:p w14:paraId="3F5BF66F">
      <w:pPr>
        <w:pageBreakBefore w:val="0"/>
        <w:wordWrap/>
        <w:bidi w:val="0"/>
        <w:adjustRightInd/>
        <w:snapToGrid/>
        <w:ind w:firstLine="480"/>
        <w:rPr>
          <w:color w:val="auto"/>
        </w:rPr>
      </w:pPr>
      <w:r>
        <w:rPr>
          <w:color w:val="auto"/>
        </w:rPr>
        <w:t>污水处理厂加强电源管理，确保双电源的正常使用。加强污水处理厂工艺参数的调整，在污水处理厂运行状态良好、出水水质稳定达标情况下，组织污水处理厂的设备检修，确保污水达标排放。加强污水管网的巡管检查工作，避免管道破裂等造成未处理污水外排。加强污水提升泵站设备管理，备用泵等必须完好，确保污水顺利提升。</w:t>
      </w:r>
    </w:p>
    <w:p w14:paraId="34888A50">
      <w:pPr>
        <w:pageBreakBefore w:val="0"/>
        <w:wordWrap/>
        <w:bidi w:val="0"/>
        <w:adjustRightInd/>
        <w:snapToGrid/>
        <w:ind w:firstLine="480"/>
        <w:rPr>
          <w:color w:val="auto"/>
        </w:rPr>
      </w:pPr>
      <w:r>
        <w:rPr>
          <w:color w:val="auto"/>
        </w:rPr>
        <w:t>污水处理厂采用雨污分流制，污水处理厂综合楼、食堂等生活污水纳入污水处理厂处理后排放。</w:t>
      </w:r>
    </w:p>
    <w:p w14:paraId="451845E1">
      <w:pPr>
        <w:pageBreakBefore w:val="0"/>
        <w:wordWrap/>
        <w:bidi w:val="0"/>
        <w:adjustRightInd/>
        <w:snapToGrid/>
        <w:ind w:firstLine="480"/>
        <w:rPr>
          <w:color w:val="auto"/>
        </w:rPr>
      </w:pPr>
      <w:r>
        <w:rPr>
          <w:color w:val="auto"/>
        </w:rPr>
        <w:t>3、污水处理厂处理工艺可行性分析</w:t>
      </w:r>
    </w:p>
    <w:p w14:paraId="00D28727">
      <w:pPr>
        <w:pageBreakBefore w:val="0"/>
        <w:wordWrap/>
        <w:bidi w:val="0"/>
        <w:adjustRightInd/>
        <w:snapToGrid/>
        <w:ind w:firstLine="480"/>
        <w:rPr>
          <w:color w:val="auto"/>
        </w:rPr>
      </w:pPr>
      <w:r>
        <w:rPr>
          <w:color w:val="auto"/>
        </w:rPr>
        <w:t>（1）废水处理工艺简述</w:t>
      </w:r>
    </w:p>
    <w:p w14:paraId="4A91D9BD">
      <w:pPr>
        <w:pageBreakBefore w:val="0"/>
        <w:wordWrap/>
        <w:bidi w:val="0"/>
        <w:adjustRightInd/>
        <w:snapToGrid/>
        <w:ind w:firstLine="480"/>
        <w:rPr>
          <w:color w:val="auto"/>
        </w:rPr>
      </w:pPr>
      <w:r>
        <w:rPr>
          <w:color w:val="auto"/>
        </w:rPr>
        <w:t>据项目设计，本项目废水处理主体工艺为</w:t>
      </w:r>
      <w:r>
        <w:rPr>
          <w:rFonts w:hint="eastAsia"/>
          <w:color w:val="auto"/>
          <w:lang w:eastAsia="zh-CN"/>
        </w:rPr>
        <w:t>“超细格栅+调节池+水解酸化池+生化池（EBIS）+二沉池+磁混凝沉淀池+深床反硝化+高级氧化深度处理+紫外线消毒”</w:t>
      </w:r>
      <w:r>
        <w:rPr>
          <w:color w:val="auto"/>
        </w:rPr>
        <w:t>，尾水经紫外消毒处理后，经排口达标排放。</w:t>
      </w:r>
    </w:p>
    <w:p w14:paraId="44848784">
      <w:pPr>
        <w:pageBreakBefore w:val="0"/>
        <w:widowControl/>
        <w:wordWrap/>
        <w:bidi w:val="0"/>
        <w:adjustRightInd/>
        <w:snapToGrid/>
        <w:ind w:firstLine="480"/>
        <w:rPr>
          <w:color w:val="auto"/>
        </w:rPr>
      </w:pPr>
      <w:r>
        <w:rPr>
          <w:rFonts w:hint="eastAsia"/>
          <w:color w:val="auto"/>
          <w:kern w:val="0"/>
          <w:lang w:val="en-US" w:eastAsia="zh-CN" w:bidi="ar"/>
        </w:rPr>
        <w:t>一级处理</w:t>
      </w:r>
      <w:r>
        <w:rPr>
          <w:color w:val="auto"/>
          <w:kern w:val="0"/>
          <w:lang w:bidi="ar"/>
        </w:rPr>
        <w:t>：</w:t>
      </w:r>
      <w:r>
        <w:rPr>
          <w:rFonts w:hint="eastAsia"/>
          <w:color w:val="auto"/>
          <w:kern w:val="0"/>
          <w:lang w:bidi="ar"/>
        </w:rPr>
        <w:t>一级处理段通常包括粗格栅、细格栅、沉砂池、初沉池和水解酸化池等，其中粗、细格栅和沉砂池是污水处理厂必备的工段。格栅用于截流大块的悬浮物。对后续处理构筑物及水泵具有保护作用。沉砂池的功能是从污水中分离出比重较大的颗粒，目前沉砂池去除悬浮物的效果良好，细砂粒（</w:t>
      </w:r>
      <w:r>
        <w:rPr>
          <w:rFonts w:hint="eastAsia"/>
          <w:color w:val="auto"/>
          <w:kern w:val="0"/>
          <w:lang w:eastAsia="zh-CN" w:bidi="ar"/>
        </w:rPr>
        <w:t>粒径为</w:t>
      </w:r>
      <w:r>
        <w:rPr>
          <w:rFonts w:hint="eastAsia"/>
          <w:color w:val="auto"/>
          <w:kern w:val="0"/>
          <w:lang w:bidi="ar"/>
        </w:rPr>
        <w:t>0.104mm）的去除率也高，可达73%，从而可不设初沉池。考虑到园区前期工业企业排水量的不稳定因素，导致进水水质和水量浮动较大，且前期园区进水水量规模不大，尚且达不到污水处理厂处理规模，因此需考虑设置调节池以调节进水水质和水量。同时园区周围已有和在建的工业企业较多，大量的工业污水排出会降低原水的可生化性，从远期考虑，建议增加提高原水可生化性的工艺技术。因此，本工程一级处理工艺采用</w:t>
      </w:r>
      <w:r>
        <w:rPr>
          <w:rFonts w:hint="eastAsia"/>
          <w:color w:val="auto"/>
          <w:kern w:val="0"/>
          <w:lang w:val="en-US" w:eastAsia="zh-CN" w:bidi="ar"/>
        </w:rPr>
        <w:t>超细</w:t>
      </w:r>
      <w:r>
        <w:rPr>
          <w:rFonts w:hint="eastAsia"/>
          <w:color w:val="auto"/>
          <w:kern w:val="0"/>
          <w:lang w:bidi="ar"/>
        </w:rPr>
        <w:t>格栅、调节池以及提高可生化性的工艺。</w:t>
      </w:r>
    </w:p>
    <w:p w14:paraId="219C1055">
      <w:pPr>
        <w:pageBreakBefore w:val="0"/>
        <w:widowControl/>
        <w:wordWrap/>
        <w:bidi w:val="0"/>
        <w:adjustRightInd/>
        <w:snapToGrid/>
        <w:ind w:firstLine="480"/>
        <w:rPr>
          <w:color w:val="auto"/>
          <w:kern w:val="0"/>
          <w:lang w:bidi="ar"/>
        </w:rPr>
      </w:pPr>
      <w:r>
        <w:rPr>
          <w:rFonts w:hint="eastAsia"/>
          <w:color w:val="auto"/>
          <w:kern w:val="0"/>
          <w:lang w:val="en-US" w:eastAsia="zh-CN" w:bidi="ar"/>
        </w:rPr>
        <w:t>生化</w:t>
      </w:r>
      <w:r>
        <w:rPr>
          <w:color w:val="auto"/>
          <w:kern w:val="0"/>
          <w:lang w:bidi="ar"/>
        </w:rPr>
        <w:t>池</w:t>
      </w:r>
      <w:r>
        <w:rPr>
          <w:rFonts w:hint="eastAsia"/>
          <w:color w:val="auto"/>
          <w:kern w:val="0"/>
          <w:lang w:eastAsia="zh-CN" w:bidi="ar"/>
        </w:rPr>
        <w:t>（</w:t>
      </w:r>
      <w:r>
        <w:rPr>
          <w:rFonts w:hint="eastAsia"/>
          <w:color w:val="auto"/>
          <w:kern w:val="0"/>
          <w:lang w:val="en-US" w:eastAsia="zh-CN" w:bidi="ar"/>
        </w:rPr>
        <w:t>EBIS工艺</w:t>
      </w:r>
      <w:r>
        <w:rPr>
          <w:rFonts w:hint="eastAsia"/>
          <w:color w:val="auto"/>
          <w:kern w:val="0"/>
          <w:lang w:eastAsia="zh-CN" w:bidi="ar"/>
        </w:rPr>
        <w:t>）</w:t>
      </w:r>
      <w:r>
        <w:rPr>
          <w:color w:val="auto"/>
          <w:kern w:val="0"/>
          <w:lang w:bidi="ar"/>
        </w:rPr>
        <w:t>：</w:t>
      </w:r>
    </w:p>
    <w:p w14:paraId="795F1918">
      <w:pPr>
        <w:pageBreakBefore w:val="0"/>
        <w:widowControl/>
        <w:wordWrap/>
        <w:bidi w:val="0"/>
        <w:adjustRightInd/>
        <w:snapToGrid/>
        <w:ind w:firstLine="480"/>
        <w:rPr>
          <w:color w:val="auto"/>
          <w:kern w:val="0"/>
          <w:lang w:bidi="ar"/>
        </w:rPr>
      </w:pPr>
      <w:r>
        <w:rPr>
          <w:rFonts w:hint="eastAsia"/>
          <w:color w:val="auto"/>
          <w:kern w:val="0"/>
          <w:lang w:bidi="ar"/>
        </w:rPr>
        <w:t>去除COD</w:t>
      </w:r>
      <w:r>
        <w:rPr>
          <w:rFonts w:hint="eastAsia"/>
          <w:color w:val="auto"/>
          <w:kern w:val="0"/>
          <w:lang w:val="en-US" w:eastAsia="zh-CN" w:bidi="ar"/>
        </w:rPr>
        <w:t>原理：</w:t>
      </w:r>
      <w:r>
        <w:rPr>
          <w:rFonts w:hint="eastAsia"/>
          <w:color w:val="auto"/>
          <w:kern w:val="0"/>
          <w:lang w:bidi="ar"/>
        </w:rPr>
        <w:t>EBIS工艺去除COD的理论基础和传统的好氧活性污泥反应的理论基础基本相同，都是微生物群体，利用水中的溶解氧，降解水中的有机物来提供自身能量并进行繁殖，从而使污水得到净化的过程。其反应动力学也符合莫诺模式，但工艺本身也对传统的好氧生物法进行了较大的改进。</w:t>
      </w:r>
    </w:p>
    <w:p w14:paraId="722DC32B">
      <w:pPr>
        <w:pageBreakBefore w:val="0"/>
        <w:widowControl/>
        <w:wordWrap/>
        <w:bidi w:val="0"/>
        <w:adjustRightInd/>
        <w:snapToGrid/>
        <w:ind w:firstLine="480"/>
        <w:rPr>
          <w:rFonts w:hint="default" w:eastAsia="宋体"/>
          <w:color w:val="auto"/>
          <w:kern w:val="0"/>
          <w:lang w:val="en-US" w:eastAsia="zh-CN" w:bidi="ar"/>
        </w:rPr>
      </w:pPr>
      <w:r>
        <w:rPr>
          <w:rFonts w:hint="eastAsia"/>
          <w:color w:val="auto"/>
          <w:kern w:val="0"/>
          <w:lang w:val="en-US" w:eastAsia="zh-CN" w:bidi="ar"/>
        </w:rPr>
        <w:t>脱氮原理：在EBIS曝气池前半段溶解氧都被微生物降解有机物所消耗，溶解氧浓度基本都处在0～0.05mg/L，在曝气池后半段，负荷降低，溶解氧开始有富余，溶解氧在0.5mg/L左右，这样的溶解氧浓度条件，给硝化反硝化的同时进行提供了一个最佳环境。</w:t>
      </w:r>
    </w:p>
    <w:p w14:paraId="3626F3E8">
      <w:pPr>
        <w:pageBreakBefore w:val="0"/>
        <w:widowControl/>
        <w:wordWrap/>
        <w:bidi w:val="0"/>
        <w:adjustRightInd/>
        <w:snapToGrid/>
        <w:ind w:firstLine="480"/>
        <w:rPr>
          <w:rFonts w:hint="default" w:eastAsia="宋体"/>
          <w:color w:val="auto"/>
          <w:kern w:val="0"/>
          <w:lang w:val="en-US" w:eastAsia="zh-CN" w:bidi="ar"/>
        </w:rPr>
      </w:pPr>
      <w:r>
        <w:rPr>
          <w:rFonts w:hint="eastAsia"/>
          <w:color w:val="auto"/>
          <w:kern w:val="0"/>
          <w:lang w:val="en-US" w:eastAsia="zh-CN" w:bidi="ar"/>
        </w:rPr>
        <w:t>除磷原理：EBIS工艺的生物除磷是靠污水中存在的一定量的某些细菌种群的生化作用来完成的。这些细菌包括不动杆菌属、假单胞菌属、气单胞菌属和棒杆菌属等，均属于异养性细菌，由于具有吸取磷的功能统称为聚磷菌，也称嗜磷菌。嗜磷菌交替地处于厌氧与好氧条件下，在厌氧条件下，聚磷菌体内的ATP进行水解，放出H</w:t>
      </w:r>
      <w:r>
        <w:rPr>
          <w:rFonts w:hint="eastAsia"/>
          <w:color w:val="auto"/>
          <w:kern w:val="0"/>
          <w:vertAlign w:val="subscript"/>
          <w:lang w:val="en-US" w:eastAsia="zh-CN" w:bidi="ar"/>
        </w:rPr>
        <w:t>3</w:t>
      </w:r>
      <w:r>
        <w:rPr>
          <w:rFonts w:hint="eastAsia"/>
          <w:color w:val="auto"/>
          <w:kern w:val="0"/>
          <w:lang w:val="en-US" w:eastAsia="zh-CN" w:bidi="ar"/>
        </w:rPr>
        <w:t>PO</w:t>
      </w:r>
      <w:r>
        <w:rPr>
          <w:rFonts w:hint="eastAsia"/>
          <w:color w:val="auto"/>
          <w:kern w:val="0"/>
          <w:vertAlign w:val="subscript"/>
          <w:lang w:val="en-US" w:eastAsia="zh-CN" w:bidi="ar"/>
        </w:rPr>
        <w:t>4</w:t>
      </w:r>
      <w:r>
        <w:rPr>
          <w:rFonts w:hint="eastAsia"/>
          <w:color w:val="auto"/>
          <w:kern w:val="0"/>
          <w:lang w:val="en-US" w:eastAsia="zh-CN" w:bidi="ar"/>
        </w:rPr>
        <w:t>和能量，吸收、粘附、吸附可溶性低分子量的可生化有机物（即碳源），作为好氧吸取磷的能量贮存在细胞内；好氧状态时，碳源有机物被细菌所氧化，提供能量使嗜磷菌的细胞迅速增长和繁殖，从外部环境中将H</w:t>
      </w:r>
      <w:r>
        <w:rPr>
          <w:rFonts w:hint="eastAsia"/>
          <w:color w:val="auto"/>
          <w:kern w:val="0"/>
          <w:vertAlign w:val="subscript"/>
          <w:lang w:val="en-US" w:eastAsia="zh-CN" w:bidi="ar"/>
        </w:rPr>
        <w:t>3</w:t>
      </w:r>
      <w:r>
        <w:rPr>
          <w:rFonts w:hint="eastAsia"/>
          <w:color w:val="auto"/>
          <w:kern w:val="0"/>
          <w:lang w:val="en-US" w:eastAsia="zh-CN" w:bidi="ar"/>
        </w:rPr>
        <w:t>PO</w:t>
      </w:r>
      <w:r>
        <w:rPr>
          <w:rFonts w:hint="eastAsia"/>
          <w:color w:val="auto"/>
          <w:kern w:val="0"/>
          <w:vertAlign w:val="subscript"/>
          <w:lang w:val="en-US" w:eastAsia="zh-CN" w:bidi="ar"/>
        </w:rPr>
        <w:t>4</w:t>
      </w:r>
      <w:r>
        <w:rPr>
          <w:rFonts w:hint="eastAsia"/>
          <w:color w:val="auto"/>
          <w:kern w:val="0"/>
          <w:lang w:val="en-US" w:eastAsia="zh-CN" w:bidi="ar"/>
        </w:rPr>
        <w:t>摄入体内，摄入的H</w:t>
      </w:r>
      <w:r>
        <w:rPr>
          <w:rFonts w:hint="eastAsia"/>
          <w:color w:val="auto"/>
          <w:kern w:val="0"/>
          <w:vertAlign w:val="subscript"/>
          <w:lang w:val="en-US" w:eastAsia="zh-CN" w:bidi="ar"/>
        </w:rPr>
        <w:t>3</w:t>
      </w:r>
      <w:r>
        <w:rPr>
          <w:rFonts w:hint="eastAsia"/>
          <w:color w:val="auto"/>
          <w:kern w:val="0"/>
          <w:lang w:val="en-US" w:eastAsia="zh-CN" w:bidi="ar"/>
        </w:rPr>
        <w:t>PO</w:t>
      </w:r>
      <w:r>
        <w:rPr>
          <w:rFonts w:hint="eastAsia"/>
          <w:color w:val="auto"/>
          <w:kern w:val="0"/>
          <w:vertAlign w:val="subscript"/>
          <w:lang w:val="en-US" w:eastAsia="zh-CN" w:bidi="ar"/>
        </w:rPr>
        <w:t>4</w:t>
      </w:r>
      <w:r>
        <w:rPr>
          <w:rFonts w:hint="eastAsia"/>
          <w:color w:val="auto"/>
          <w:kern w:val="0"/>
          <w:lang w:val="en-US" w:eastAsia="zh-CN" w:bidi="ar"/>
        </w:rPr>
        <w:t>部分用于合成ATP，另一部分则用于合成聚磷酸盐贮存在细胞内。嗜磷菌既释放又摄取磷的生理机能是靠其细胞所特有的酶来实现的，由于摄取的磷在数量上远远大于释放的磷量，在运行中将吸取了大量磷的细胞随污泥排掉，则达到生物除磷的目的。EBIS反应池中分别设置厌氧、好氧段，创造出一个好的厌氧—好氧—沉淀排放的循环过程，将污水中的磷随污泥排放。并且在厌氧和好氧状态下使活性污泥与污水充分混合，活性污泥始终处于悬浮状态，促使嗜磷菌的细胞与所要吸取的物质充分接触，以增加反应速度和加大吸取量。同时，曝气区良好的脱氮效果使得回流液中化合态氧（NO</w:t>
      </w:r>
      <w:r>
        <w:rPr>
          <w:rFonts w:hint="eastAsia"/>
          <w:color w:val="auto"/>
          <w:kern w:val="0"/>
          <w:vertAlign w:val="subscript"/>
          <w:lang w:val="en-US" w:eastAsia="zh-CN" w:bidi="ar"/>
        </w:rPr>
        <w:t>3</w:t>
      </w:r>
      <w:r>
        <w:rPr>
          <w:rFonts w:hint="eastAsia"/>
          <w:color w:val="auto"/>
          <w:kern w:val="0"/>
          <w:vertAlign w:val="superscript"/>
          <w:lang w:val="en-US" w:eastAsia="zh-CN" w:bidi="ar"/>
        </w:rPr>
        <w:t>-</w:t>
      </w:r>
      <w:r>
        <w:rPr>
          <w:rFonts w:hint="eastAsia"/>
          <w:color w:val="auto"/>
          <w:kern w:val="0"/>
          <w:lang w:val="en-US" w:eastAsia="zh-CN" w:bidi="ar"/>
        </w:rPr>
        <w:t>或NO</w:t>
      </w:r>
      <w:r>
        <w:rPr>
          <w:rFonts w:hint="eastAsia"/>
          <w:color w:val="auto"/>
          <w:kern w:val="0"/>
          <w:vertAlign w:val="subscript"/>
          <w:lang w:val="en-US" w:eastAsia="zh-CN" w:bidi="ar"/>
        </w:rPr>
        <w:t>2</w:t>
      </w:r>
      <w:r>
        <w:rPr>
          <w:rFonts w:hint="eastAsia"/>
          <w:color w:val="auto"/>
          <w:kern w:val="0"/>
          <w:vertAlign w:val="superscript"/>
          <w:lang w:val="en-US" w:eastAsia="zh-CN" w:bidi="ar"/>
        </w:rPr>
        <w:t>-</w:t>
      </w:r>
      <w:r>
        <w:rPr>
          <w:rFonts w:hint="eastAsia"/>
          <w:color w:val="auto"/>
          <w:kern w:val="0"/>
          <w:lang w:val="en-US" w:eastAsia="zh-CN" w:bidi="ar"/>
        </w:rPr>
        <w:t>）浓度很低，更促进磷的厌氧有效释放，进而大大提高好氧吸磷能力。</w:t>
      </w:r>
    </w:p>
    <w:p w14:paraId="2837ED9C">
      <w:pPr>
        <w:pageBreakBefore w:val="0"/>
        <w:widowControl/>
        <w:wordWrap/>
        <w:bidi w:val="0"/>
        <w:adjustRightInd/>
        <w:snapToGrid/>
        <w:ind w:firstLine="480"/>
        <w:rPr>
          <w:color w:val="auto"/>
        </w:rPr>
      </w:pPr>
      <w:r>
        <w:rPr>
          <w:color w:val="auto"/>
          <w:kern w:val="0"/>
          <w:lang w:bidi="ar"/>
        </w:rPr>
        <w:t>三级处理及深度处理：经生化处理后的污水进入</w:t>
      </w:r>
      <w:r>
        <w:rPr>
          <w:rFonts w:hint="eastAsia"/>
          <w:color w:val="auto"/>
          <w:kern w:val="0"/>
          <w:lang w:val="en-US" w:eastAsia="zh-CN" w:bidi="ar"/>
        </w:rPr>
        <w:t>磁混凝</w:t>
      </w:r>
      <w:r>
        <w:rPr>
          <w:color w:val="auto"/>
          <w:kern w:val="0"/>
          <w:lang w:bidi="ar"/>
        </w:rPr>
        <w:t>沉淀池、</w:t>
      </w:r>
      <w:r>
        <w:rPr>
          <w:rFonts w:hint="eastAsia"/>
          <w:color w:val="auto"/>
          <w:kern w:val="0"/>
          <w:lang w:eastAsia="zh-CN" w:bidi="ar"/>
        </w:rPr>
        <w:t>反硝化深床滤池</w:t>
      </w:r>
      <w:r>
        <w:rPr>
          <w:color w:val="auto"/>
          <w:kern w:val="0"/>
          <w:lang w:bidi="ar"/>
        </w:rPr>
        <w:t>进一步处理去除水中的SS、TP、TN，然后进入</w:t>
      </w:r>
      <w:r>
        <w:rPr>
          <w:rFonts w:hint="eastAsia"/>
          <w:color w:val="auto"/>
          <w:kern w:val="0"/>
          <w:lang w:val="en-US" w:eastAsia="zh-CN" w:bidi="ar"/>
        </w:rPr>
        <w:t>高级氧化深度处理</w:t>
      </w:r>
      <w:r>
        <w:rPr>
          <w:color w:val="auto"/>
          <w:kern w:val="0"/>
          <w:lang w:bidi="ar"/>
        </w:rPr>
        <w:t>进一步降低污水中难降解的COD、BOD、氨氮和总磷。</w:t>
      </w:r>
    </w:p>
    <w:p w14:paraId="1F655F73">
      <w:pPr>
        <w:pStyle w:val="331"/>
        <w:pageBreakBefore w:val="0"/>
        <w:wordWrap/>
        <w:bidi w:val="0"/>
        <w:adjustRightInd/>
        <w:snapToGrid/>
        <w:spacing w:line="360" w:lineRule="auto"/>
        <w:rPr>
          <w:color w:val="auto"/>
        </w:rPr>
      </w:pPr>
      <w:r>
        <w:rPr>
          <w:color w:val="auto"/>
        </w:rPr>
        <w:t>（2）废水处理技术可行性分析</w:t>
      </w:r>
    </w:p>
    <w:p w14:paraId="566BEA43">
      <w:pPr>
        <w:pageBreakBefore w:val="0"/>
        <w:widowControl/>
        <w:wordWrap/>
        <w:bidi w:val="0"/>
        <w:adjustRightInd/>
        <w:snapToGrid/>
        <w:ind w:firstLine="480"/>
        <w:rPr>
          <w:rFonts w:hint="default" w:eastAsia="宋体"/>
          <w:color w:val="auto"/>
          <w:kern w:val="0"/>
          <w:lang w:val="en-US" w:eastAsia="zh-CN" w:bidi="ar"/>
        </w:rPr>
      </w:pPr>
      <w:r>
        <w:rPr>
          <w:rFonts w:hint="eastAsia"/>
          <w:color w:val="auto"/>
          <w:kern w:val="0"/>
          <w:lang w:val="en-US" w:eastAsia="zh-CN" w:bidi="ar"/>
        </w:rPr>
        <w:t>1）</w:t>
      </w:r>
      <w:r>
        <w:rPr>
          <w:color w:val="auto"/>
          <w:kern w:val="0"/>
          <w:lang w:bidi="ar"/>
        </w:rPr>
        <w:t>《四川省岷江、沱江流域水污染物排放标准（征求意见稿）》</w:t>
      </w:r>
      <w:r>
        <w:rPr>
          <w:rFonts w:hint="eastAsia"/>
          <w:color w:val="auto"/>
          <w:kern w:val="0"/>
          <w:lang w:val="en-US" w:eastAsia="zh-CN" w:bidi="ar"/>
        </w:rPr>
        <w:t>编制说明中技术可行性</w:t>
      </w:r>
    </w:p>
    <w:p w14:paraId="088AFFC4">
      <w:pPr>
        <w:pageBreakBefore w:val="0"/>
        <w:widowControl/>
        <w:wordWrap/>
        <w:bidi w:val="0"/>
        <w:adjustRightInd/>
        <w:snapToGrid/>
        <w:ind w:firstLine="480"/>
        <w:rPr>
          <w:color w:val="auto"/>
        </w:rPr>
      </w:pPr>
      <w:r>
        <w:rPr>
          <w:color w:val="auto"/>
          <w:kern w:val="0"/>
          <w:lang w:bidi="ar"/>
        </w:rPr>
        <w:t>根据《四川省岷江、沱江流域水污染物排放标准（征求意见稿）》编制说明，提到对工业园区污水处理厂的工艺选择建议：</w:t>
      </w:r>
      <w:r>
        <w:rPr>
          <w:rFonts w:hint="eastAsia"/>
          <w:color w:val="auto"/>
          <w:kern w:val="0"/>
          <w:lang w:eastAsia="zh-CN" w:bidi="ar"/>
        </w:rPr>
        <w:t>“</w:t>
      </w:r>
      <w:r>
        <w:rPr>
          <w:color w:val="auto"/>
          <w:kern w:val="0"/>
          <w:lang w:bidi="ar"/>
        </w:rPr>
        <w:t>目前，对公共污水处理系统的升级改造，主要包括预处理技术、强化生物处理技术、深度处理技术和碳源高效利用技术。„„预处理技术，针对工业园区污水处理厂，需要强化预处理，如增添调节池或水解酸化池，或增添物化处理单元。强化生物处理技术，主要包括增加或强化现有二级生化单元的脱氮除磷效果，以及投加填料采用生物膜与活性污泥相结合的工艺。还可以通过优化运行管理方式，如增大曝气量、改善污泥活性等措施，提高COD和NH</w:t>
      </w:r>
      <w:r>
        <w:rPr>
          <w:color w:val="auto"/>
          <w:kern w:val="0"/>
          <w:vertAlign w:val="subscript"/>
          <w:lang w:bidi="ar"/>
        </w:rPr>
        <w:t>3</w:t>
      </w:r>
      <w:r>
        <w:rPr>
          <w:color w:val="auto"/>
          <w:kern w:val="0"/>
          <w:lang w:bidi="ar"/>
        </w:rPr>
        <w:t>-N处理效率。TN问题成为大部分二级生化污水处理厂最头痛的难题，对于流域内需要强化TN去除效果的污水处理厂，除了采用延长污泥泥龄、提高回流比、增加缺氧段停留时间等强化生物除磷脱氮系统对内部碳源的利用，在部分时段还应投加外部碳源强化总氮的去除效果。深度处理技术主要针对SS、TP不能稳定达标情况，可通过增添化学除磷单元，与生物除磷技术强化除磷效果。如设置混凝+沉淀+过滤或接触过滤（混合+过滤），同时提高TP和SS的去除效果</w:t>
      </w:r>
      <w:r>
        <w:rPr>
          <w:rFonts w:hint="eastAsia"/>
          <w:color w:val="auto"/>
          <w:kern w:val="0"/>
          <w:lang w:eastAsia="zh-CN" w:bidi="ar"/>
        </w:rPr>
        <w:t>”</w:t>
      </w:r>
      <w:r>
        <w:rPr>
          <w:color w:val="auto"/>
          <w:kern w:val="0"/>
          <w:lang w:bidi="ar"/>
        </w:rPr>
        <w:t>。</w:t>
      </w:r>
    </w:p>
    <w:p w14:paraId="19016C09">
      <w:pPr>
        <w:pageBreakBefore w:val="0"/>
        <w:widowControl/>
        <w:wordWrap/>
        <w:bidi w:val="0"/>
        <w:adjustRightInd/>
        <w:snapToGrid/>
        <w:ind w:firstLine="480"/>
        <w:rPr>
          <w:b/>
          <w:color w:val="auto"/>
          <w:kern w:val="0"/>
          <w:lang w:bidi="ar"/>
        </w:rPr>
      </w:pPr>
      <w:r>
        <w:rPr>
          <w:color w:val="auto"/>
          <w:kern w:val="0"/>
          <w:lang w:bidi="ar"/>
        </w:rPr>
        <w:t>针对本项目废水特点，本项目设置如下工艺确保其废水处理的有效性：</w:t>
      </w:r>
      <w:r>
        <w:rPr>
          <w:b/>
          <w:color w:val="auto"/>
          <w:kern w:val="0"/>
          <w:lang w:bidi="ar"/>
        </w:rPr>
        <w:t>①设置调节+水解酸化池，提高废水可生化性；②采用</w:t>
      </w:r>
      <w:r>
        <w:rPr>
          <w:rFonts w:hint="eastAsia"/>
          <w:b/>
          <w:color w:val="auto"/>
          <w:kern w:val="0"/>
          <w:lang w:val="en-US" w:eastAsia="zh-CN" w:bidi="ar"/>
        </w:rPr>
        <w:t>生化池（EBIS工艺）</w:t>
      </w:r>
      <w:r>
        <w:rPr>
          <w:b/>
          <w:color w:val="auto"/>
          <w:kern w:val="0"/>
          <w:lang w:bidi="ar"/>
        </w:rPr>
        <w:t>提高中的 COD</w:t>
      </w:r>
      <w:r>
        <w:rPr>
          <w:b/>
          <w:color w:val="auto"/>
          <w:kern w:val="0"/>
          <w:vertAlign w:val="subscript"/>
          <w:lang w:bidi="ar"/>
        </w:rPr>
        <w:t>Cr</w:t>
      </w:r>
      <w:r>
        <w:rPr>
          <w:b/>
          <w:color w:val="auto"/>
          <w:kern w:val="0"/>
          <w:lang w:bidi="ar"/>
        </w:rPr>
        <w:t>、氨氮、TP、TN、SS 的去除效果；③三级及深度处理单元进一步去除水中的COD、SS、TP、TN。</w:t>
      </w:r>
    </w:p>
    <w:p w14:paraId="18B59FD0">
      <w:pPr>
        <w:bidi w:val="0"/>
        <w:rPr>
          <w:rFonts w:hint="default" w:eastAsia="宋体"/>
          <w:color w:val="auto"/>
          <w:lang w:val="en-US" w:eastAsia="zh-CN"/>
        </w:rPr>
      </w:pPr>
      <w:r>
        <w:rPr>
          <w:rFonts w:hint="eastAsia"/>
          <w:color w:val="auto"/>
          <w:lang w:val="en-US" w:eastAsia="zh-CN"/>
        </w:rPr>
        <w:t>2）排污许可技术可行性分析</w:t>
      </w:r>
    </w:p>
    <w:p w14:paraId="367E4FE0">
      <w:pPr>
        <w:bidi w:val="0"/>
        <w:rPr>
          <w:rFonts w:hint="eastAsia"/>
          <w:color w:val="auto"/>
          <w:lang w:val="en-US" w:eastAsia="zh-CN"/>
        </w:rPr>
      </w:pPr>
      <w:r>
        <w:rPr>
          <w:rFonts w:hint="eastAsia"/>
          <w:color w:val="auto"/>
          <w:lang w:val="en-US" w:eastAsia="zh-CN"/>
        </w:rPr>
        <w:t>根据《排污许可证申请与核发技术规范 水处理（试行）》（HJ978-2018）中表4 污水处理可行技术参照表，本项目污水处理工艺可行技术分析如下表：</w:t>
      </w:r>
    </w:p>
    <w:p w14:paraId="4FF0AB9A">
      <w:pPr>
        <w:pStyle w:val="19"/>
        <w:numPr>
          <w:ilvl w:val="0"/>
          <w:numId w:val="36"/>
        </w:numPr>
        <w:bidi w:val="0"/>
        <w:ind w:left="0" w:leftChars="0" w:firstLine="0" w:firstLineChars="0"/>
        <w:rPr>
          <w:rFonts w:hint="default"/>
          <w:color w:val="auto"/>
          <w:lang w:val="en-US" w:eastAsia="zh-CN"/>
        </w:rPr>
      </w:pPr>
      <w:r>
        <w:rPr>
          <w:rFonts w:hint="eastAsia"/>
          <w:color w:val="auto"/>
          <w:lang w:val="en-US" w:eastAsia="zh-CN"/>
        </w:rPr>
        <w:t>污水处理可行技术分析</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256"/>
        <w:gridCol w:w="4304"/>
        <w:gridCol w:w="1956"/>
        <w:gridCol w:w="1265"/>
      </w:tblGrid>
      <w:tr w14:paraId="54B567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15" w:type="pct"/>
            <w:noWrap w:val="0"/>
            <w:vAlign w:val="center"/>
          </w:tcPr>
          <w:p w14:paraId="3AB71E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废水类别</w:t>
            </w:r>
          </w:p>
        </w:tc>
        <w:tc>
          <w:tcPr>
            <w:tcW w:w="2451" w:type="pct"/>
            <w:noWrap w:val="0"/>
            <w:vAlign w:val="center"/>
          </w:tcPr>
          <w:p w14:paraId="367CDB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可行技术</w:t>
            </w:r>
          </w:p>
        </w:tc>
        <w:tc>
          <w:tcPr>
            <w:tcW w:w="1114" w:type="pct"/>
            <w:noWrap w:val="0"/>
            <w:vAlign w:val="center"/>
          </w:tcPr>
          <w:p w14:paraId="37233F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本项目拟采取的措施</w:t>
            </w:r>
          </w:p>
        </w:tc>
        <w:tc>
          <w:tcPr>
            <w:tcW w:w="719" w:type="pct"/>
            <w:noWrap w:val="0"/>
            <w:vAlign w:val="center"/>
          </w:tcPr>
          <w:p w14:paraId="08C24F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是否为可行技术</w:t>
            </w:r>
          </w:p>
        </w:tc>
      </w:tr>
      <w:tr w14:paraId="30ED9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15" w:type="pct"/>
            <w:noWrap w:val="0"/>
            <w:vAlign w:val="center"/>
          </w:tcPr>
          <w:p w14:paraId="08B225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工业废水</w:t>
            </w:r>
          </w:p>
        </w:tc>
        <w:tc>
          <w:tcPr>
            <w:tcW w:w="2451" w:type="pct"/>
            <w:noWrap w:val="0"/>
            <w:vAlign w:val="center"/>
          </w:tcPr>
          <w:p w14:paraId="5C5DE3B6">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预处理</w:t>
            </w:r>
            <w:r>
              <w:rPr>
                <w:rFonts w:hint="eastAsia" w:ascii="Times New Roman" w:hAnsi="Times New Roman" w:eastAsia="宋体" w:cs="Times New Roman"/>
                <w:color w:val="auto"/>
                <w:sz w:val="21"/>
                <w:szCs w:val="21"/>
                <w:vertAlign w:val="superscript"/>
                <w:lang w:val="en-US" w:eastAsia="zh-CN"/>
              </w:rPr>
              <w:t>a</w:t>
            </w:r>
            <w:r>
              <w:rPr>
                <w:rFonts w:hint="eastAsia" w:ascii="Times New Roman" w:hAnsi="Times New Roman" w:eastAsia="宋体" w:cs="Times New Roman"/>
                <w:color w:val="auto"/>
                <w:sz w:val="21"/>
                <w:szCs w:val="21"/>
                <w:lang w:val="en-US" w:eastAsia="zh-CN"/>
              </w:rPr>
              <w:t>：沉淀、调节、气浮、水解酸化；</w:t>
            </w:r>
          </w:p>
          <w:p w14:paraId="5EEC3C4A">
            <w:pPr>
              <w:pStyle w:val="16"/>
              <w:bidi w:val="0"/>
              <w:jc w:val="left"/>
              <w:rPr>
                <w:rFonts w:hint="eastAsia"/>
                <w:color w:val="auto"/>
                <w:lang w:val="en-US" w:eastAsia="zh-CN"/>
              </w:rPr>
            </w:pPr>
            <w:r>
              <w:rPr>
                <w:rFonts w:hint="eastAsia"/>
                <w:color w:val="auto"/>
                <w:lang w:val="en-US" w:eastAsia="zh-CN"/>
              </w:rPr>
              <w:t>生化处理：好氧、缺氧好氧、厌氧缺氧好氧、序批式活性污泥、氧化沟、移动生物床反应器、膜生物反应器；</w:t>
            </w:r>
          </w:p>
          <w:p w14:paraId="3E77E524">
            <w:pPr>
              <w:pStyle w:val="16"/>
              <w:bidi w:val="0"/>
              <w:jc w:val="left"/>
              <w:rPr>
                <w:rFonts w:hint="default"/>
                <w:color w:val="auto"/>
                <w:lang w:val="en-US" w:eastAsia="zh-CN"/>
              </w:rPr>
            </w:pPr>
            <w:r>
              <w:rPr>
                <w:rFonts w:hint="eastAsia"/>
                <w:color w:val="auto"/>
                <w:lang w:val="en-US" w:eastAsia="zh-CN"/>
              </w:rPr>
              <w:t>深度处理：反硝化滤池、化学沉淀、过滤、高级氧化、曝气生物滤池、生物接触氧化、膜分离、离子交换。</w:t>
            </w:r>
          </w:p>
        </w:tc>
        <w:tc>
          <w:tcPr>
            <w:tcW w:w="1114" w:type="pct"/>
            <w:noWrap w:val="0"/>
            <w:vAlign w:val="center"/>
          </w:tcPr>
          <w:p w14:paraId="75B3ACEC">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cs="Times New Roman"/>
                <w:color w:val="auto"/>
                <w:sz w:val="21"/>
                <w:szCs w:val="21"/>
                <w:lang w:val="en-US" w:eastAsia="zh-CN"/>
              </w:rPr>
            </w:pPr>
            <w:r>
              <w:rPr>
                <w:rFonts w:hint="eastAsia" w:cs="Times New Roman"/>
                <w:color w:val="auto"/>
                <w:sz w:val="21"/>
                <w:szCs w:val="21"/>
                <w:lang w:val="en-US" w:eastAsia="zh-CN"/>
              </w:rPr>
              <w:t>预处理：水解酸化；</w:t>
            </w:r>
          </w:p>
          <w:p w14:paraId="46CE0E5B">
            <w:pPr>
              <w:pStyle w:val="16"/>
              <w:bidi w:val="0"/>
              <w:jc w:val="left"/>
              <w:rPr>
                <w:rFonts w:hint="eastAsia"/>
                <w:color w:val="auto"/>
                <w:lang w:val="en-US" w:eastAsia="zh-CN"/>
              </w:rPr>
            </w:pPr>
            <w:r>
              <w:rPr>
                <w:rFonts w:hint="eastAsia"/>
                <w:color w:val="auto"/>
                <w:lang w:val="en-US" w:eastAsia="zh-CN"/>
              </w:rPr>
              <w:t>生化处理：EBIS（缺氧好氧）；</w:t>
            </w:r>
          </w:p>
          <w:p w14:paraId="78D16311">
            <w:pPr>
              <w:pStyle w:val="16"/>
              <w:bidi w:val="0"/>
              <w:jc w:val="left"/>
              <w:rPr>
                <w:rFonts w:hint="default"/>
                <w:color w:val="auto"/>
                <w:lang w:val="en-US" w:eastAsia="zh-CN"/>
              </w:rPr>
            </w:pPr>
            <w:r>
              <w:rPr>
                <w:rFonts w:hint="eastAsia"/>
                <w:color w:val="auto"/>
                <w:lang w:val="en-US" w:eastAsia="zh-CN"/>
              </w:rPr>
              <w:t>深度处理：高级氧化</w:t>
            </w:r>
          </w:p>
        </w:tc>
        <w:tc>
          <w:tcPr>
            <w:tcW w:w="719" w:type="pct"/>
            <w:noWrap w:val="0"/>
            <w:vAlign w:val="center"/>
          </w:tcPr>
          <w:p w14:paraId="5046CF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是</w:t>
            </w:r>
          </w:p>
        </w:tc>
      </w:tr>
      <w:tr w14:paraId="65595F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000" w:type="pct"/>
            <w:gridSpan w:val="4"/>
            <w:noWrap w:val="0"/>
            <w:vAlign w:val="center"/>
          </w:tcPr>
          <w:p w14:paraId="7B8B8F24">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cs="Times New Roman"/>
                <w:color w:val="auto"/>
                <w:sz w:val="21"/>
                <w:szCs w:val="21"/>
                <w:lang w:val="en-US" w:eastAsia="zh-CN"/>
              </w:rPr>
            </w:pPr>
            <w:r>
              <w:rPr>
                <w:rFonts w:hint="eastAsia" w:cs="Times New Roman"/>
                <w:color w:val="auto"/>
                <w:sz w:val="21"/>
                <w:szCs w:val="21"/>
                <w:lang w:val="en-US" w:eastAsia="zh-CN"/>
              </w:rPr>
              <w:t>a工业废水间接排放时可以只有预处理段。</w:t>
            </w:r>
          </w:p>
        </w:tc>
      </w:tr>
    </w:tbl>
    <w:p w14:paraId="6A0F6CC3">
      <w:pPr>
        <w:keepNext w:val="0"/>
        <w:keepLines w:val="0"/>
        <w:pageBreakBefore w:val="0"/>
        <w:widowControl w:val="0"/>
        <w:kinsoku/>
        <w:wordWrap/>
        <w:overflowPunct/>
        <w:topLinePunct w:val="0"/>
        <w:autoSpaceDE/>
        <w:autoSpaceDN/>
        <w:bidi w:val="0"/>
        <w:adjustRightInd/>
        <w:snapToGrid/>
        <w:spacing w:before="157" w:beforeLines="50"/>
        <w:textAlignment w:val="auto"/>
        <w:rPr>
          <w:color w:val="auto"/>
        </w:rPr>
      </w:pPr>
      <w:r>
        <w:rPr>
          <w:rFonts w:hint="eastAsia"/>
          <w:color w:val="auto"/>
        </w:rPr>
        <w:t>由上表可知，本项目</w:t>
      </w:r>
      <w:r>
        <w:rPr>
          <w:rFonts w:hint="eastAsia"/>
          <w:color w:val="auto"/>
          <w:lang w:val="en-US" w:eastAsia="zh-CN"/>
        </w:rPr>
        <w:t>污水处理工艺采用“超细格栅+调节池+水解酸化池+生化池（EBIS）+二沉池+磁混凝沉淀池+深床反硝化+高级氧化深度处理+紫外线消毒”</w:t>
      </w:r>
      <w:r>
        <w:rPr>
          <w:rFonts w:hint="eastAsia"/>
          <w:color w:val="auto"/>
        </w:rPr>
        <w:t>，属于排污许可技术规范中规定的可行技术，经工程分析计算，</w:t>
      </w:r>
      <w:r>
        <w:rPr>
          <w:rFonts w:hint="eastAsia"/>
          <w:color w:val="auto"/>
          <w:lang w:val="en-US" w:eastAsia="zh-CN"/>
        </w:rPr>
        <w:t>废水</w:t>
      </w:r>
      <w:r>
        <w:rPr>
          <w:rFonts w:hint="eastAsia"/>
          <w:color w:val="auto"/>
        </w:rPr>
        <w:t>经处理后能够实现稳定达标排放，处理措施可行。</w:t>
      </w:r>
    </w:p>
    <w:p w14:paraId="20FAEE67">
      <w:pPr>
        <w:pStyle w:val="331"/>
        <w:pageBreakBefore w:val="0"/>
        <w:wordWrap/>
        <w:bidi w:val="0"/>
        <w:adjustRightInd/>
        <w:snapToGrid/>
        <w:spacing w:line="360" w:lineRule="auto"/>
        <w:rPr>
          <w:rFonts w:hint="default" w:eastAsia="宋体"/>
          <w:color w:val="auto"/>
          <w:lang w:val="en-US" w:eastAsia="zh-CN"/>
        </w:rPr>
      </w:pPr>
      <w:r>
        <w:rPr>
          <w:rFonts w:hint="eastAsia"/>
          <w:color w:val="auto"/>
          <w:lang w:val="en-US" w:eastAsia="zh-CN"/>
        </w:rPr>
        <w:t>3）工程案例</w:t>
      </w:r>
    </w:p>
    <w:p w14:paraId="3AC97B7C">
      <w:pPr>
        <w:widowControl/>
        <w:ind w:firstLine="480"/>
        <w:rPr>
          <w:rFonts w:hint="eastAsia"/>
          <w:color w:val="auto"/>
          <w:kern w:val="0"/>
          <w:lang w:bidi="ar"/>
        </w:rPr>
      </w:pPr>
      <w:r>
        <w:rPr>
          <w:rFonts w:hint="eastAsia"/>
          <w:color w:val="auto"/>
          <w:lang w:val="en-US" w:eastAsia="zh-CN"/>
        </w:rPr>
        <w:t>根据自贡市高新技术产业园区板仓工业集中区污水处理厂（一期）工程可知，</w:t>
      </w:r>
      <w:r>
        <w:rPr>
          <w:rFonts w:hint="eastAsia"/>
          <w:color w:val="auto"/>
          <w:kern w:val="0"/>
          <w:lang w:bidi="ar"/>
        </w:rPr>
        <w:t>该项目设计总规模</w:t>
      </w:r>
      <w:r>
        <w:rPr>
          <w:rFonts w:hint="eastAsia"/>
          <w:color w:val="auto"/>
          <w:kern w:val="0"/>
          <w:lang w:val="en-US" w:eastAsia="zh-CN" w:bidi="ar"/>
        </w:rPr>
        <w:t>20</w:t>
      </w:r>
      <w:r>
        <w:rPr>
          <w:rFonts w:hint="eastAsia"/>
          <w:color w:val="auto"/>
          <w:kern w:val="0"/>
          <w:lang w:bidi="ar"/>
        </w:rPr>
        <w:t>万m</w:t>
      </w:r>
      <w:r>
        <w:rPr>
          <w:rFonts w:hint="eastAsia"/>
          <w:color w:val="auto"/>
          <w:kern w:val="0"/>
          <w:vertAlign w:val="superscript"/>
          <w:lang w:bidi="ar"/>
        </w:rPr>
        <w:t>3</w:t>
      </w:r>
      <w:r>
        <w:rPr>
          <w:rFonts w:hint="eastAsia"/>
          <w:color w:val="auto"/>
          <w:kern w:val="0"/>
          <w:lang w:bidi="ar"/>
        </w:rPr>
        <w:t>/d，其中一期处理规模</w:t>
      </w:r>
      <w:r>
        <w:rPr>
          <w:rFonts w:hint="eastAsia"/>
          <w:color w:val="auto"/>
          <w:kern w:val="0"/>
          <w:lang w:val="en-US" w:eastAsia="zh-CN" w:bidi="ar"/>
        </w:rPr>
        <w:t>1.5</w:t>
      </w:r>
      <w:r>
        <w:rPr>
          <w:rFonts w:hint="eastAsia"/>
          <w:color w:val="auto"/>
          <w:kern w:val="0"/>
          <w:lang w:bidi="ar"/>
        </w:rPr>
        <w:t>万m</w:t>
      </w:r>
      <w:r>
        <w:rPr>
          <w:rFonts w:hint="eastAsia"/>
          <w:color w:val="auto"/>
          <w:kern w:val="0"/>
          <w:vertAlign w:val="superscript"/>
          <w:lang w:bidi="ar"/>
        </w:rPr>
        <w:t>3</w:t>
      </w:r>
      <w:r>
        <w:rPr>
          <w:rFonts w:hint="eastAsia"/>
          <w:color w:val="auto"/>
          <w:kern w:val="0"/>
          <w:lang w:bidi="ar"/>
        </w:rPr>
        <w:t>/d，其服务对象为</w:t>
      </w:r>
      <w:r>
        <w:rPr>
          <w:rFonts w:hint="eastAsia"/>
          <w:color w:val="auto"/>
          <w:kern w:val="0"/>
          <w:lang w:val="en-US" w:eastAsia="zh-CN" w:bidi="ar"/>
        </w:rPr>
        <w:t>板仓工业集中区（除一期A区约1.5km²区域）、科技创新区、配套服务区以及沙坪社区（包括安置房），</w:t>
      </w:r>
      <w:r>
        <w:rPr>
          <w:rFonts w:hint="eastAsia"/>
          <w:color w:val="auto"/>
          <w:kern w:val="0"/>
          <w:lang w:bidi="ar"/>
        </w:rPr>
        <w:t>项目采用“预处理+</w:t>
      </w:r>
      <w:r>
        <w:rPr>
          <w:rFonts w:hint="eastAsia"/>
          <w:color w:val="auto"/>
          <w:kern w:val="0"/>
          <w:lang w:val="en-US" w:eastAsia="zh-CN" w:bidi="ar"/>
        </w:rPr>
        <w:t>EBIS</w:t>
      </w:r>
      <w:r>
        <w:rPr>
          <w:rFonts w:hint="eastAsia"/>
          <w:color w:val="auto"/>
          <w:kern w:val="0"/>
          <w:lang w:bidi="ar"/>
        </w:rPr>
        <w:t>+</w:t>
      </w:r>
      <w:r>
        <w:rPr>
          <w:rFonts w:hint="eastAsia"/>
          <w:color w:val="auto"/>
          <w:kern w:val="0"/>
          <w:lang w:val="en-US" w:eastAsia="zh-CN" w:bidi="ar"/>
        </w:rPr>
        <w:t>二沉池+高效沉淀池+反硝化深床滤池</w:t>
      </w:r>
      <w:r>
        <w:rPr>
          <w:rFonts w:hint="eastAsia"/>
          <w:color w:val="auto"/>
          <w:kern w:val="0"/>
          <w:lang w:bidi="ar"/>
        </w:rPr>
        <w:t>”，出水水质能够达到《城镇污水处理厂污染物排放标准》（GB18918-2002）一级A标准。</w:t>
      </w:r>
      <w:r>
        <w:rPr>
          <w:color w:val="auto"/>
          <w:kern w:val="0"/>
          <w:lang w:bidi="ar"/>
        </w:rPr>
        <w:t>本项目采取的主体工艺与</w:t>
      </w:r>
      <w:r>
        <w:rPr>
          <w:rFonts w:hint="eastAsia"/>
          <w:color w:val="auto"/>
          <w:kern w:val="0"/>
          <w:lang w:bidi="ar"/>
        </w:rPr>
        <w:t>自贡市高新技术产业园区板仓工业集中区污水处理厂</w:t>
      </w:r>
      <w:r>
        <w:rPr>
          <w:color w:val="auto"/>
          <w:kern w:val="0"/>
          <w:lang w:bidi="ar"/>
        </w:rPr>
        <w:t>采用的主体工艺类似，并根据服务范围污水特点做出相应优化调整</w:t>
      </w:r>
      <w:r>
        <w:rPr>
          <w:rFonts w:hint="eastAsia"/>
          <w:color w:val="auto"/>
          <w:kern w:val="0"/>
          <w:lang w:bidi="ar"/>
        </w:rPr>
        <w:t>，采用</w:t>
      </w:r>
      <w:r>
        <w:rPr>
          <w:rFonts w:hint="eastAsia"/>
          <w:color w:val="auto"/>
          <w:kern w:val="0"/>
          <w:lang w:eastAsia="zh-CN" w:bidi="ar"/>
        </w:rPr>
        <w:t>“</w:t>
      </w:r>
      <w:r>
        <w:rPr>
          <w:rFonts w:hint="eastAsia"/>
          <w:color w:val="auto"/>
        </w:rPr>
        <w:t>超细格栅+调节池+水解酸化池+生化池（EBIS）+二沉池+磁混凝沉淀池+深床反硝化+高级氧化深度处理</w:t>
      </w:r>
      <w:r>
        <w:rPr>
          <w:rFonts w:hint="eastAsia"/>
          <w:color w:val="auto"/>
          <w:kern w:val="0"/>
          <w:lang w:eastAsia="zh-CN" w:bidi="ar"/>
        </w:rPr>
        <w:t>”</w:t>
      </w:r>
      <w:r>
        <w:rPr>
          <w:color w:val="auto"/>
        </w:rPr>
        <w:t>，</w:t>
      </w:r>
      <w:r>
        <w:rPr>
          <w:rFonts w:hint="eastAsia"/>
          <w:color w:val="auto"/>
          <w:kern w:val="0"/>
          <w:lang w:bidi="ar"/>
        </w:rPr>
        <w:t>出水水质能够达到《城镇污水处理厂污染物排放标准》（GB18918-2002）一级A标准。</w:t>
      </w:r>
    </w:p>
    <w:p w14:paraId="5B5C44C4">
      <w:pPr>
        <w:widowControl/>
        <w:ind w:firstLine="480"/>
        <w:rPr>
          <w:color w:val="auto"/>
        </w:rPr>
      </w:pPr>
      <w:r>
        <w:rPr>
          <w:color w:val="auto"/>
          <w:kern w:val="0"/>
          <w:lang w:bidi="ar"/>
        </w:rPr>
        <w:t>本项目采取的主体工艺与四川省内工业污水处理厂采用的主体工艺类似，并根据服务范围污水特点做出相应优化调整；且项目工艺总体上属于《四川省岷江、沱江流域水污染物排放标准》中推荐的处理技术，能够实现达标排放。因此，本项目工艺从技术角度总体可行。</w:t>
      </w:r>
    </w:p>
    <w:p w14:paraId="53666C06">
      <w:pPr>
        <w:pStyle w:val="331"/>
        <w:pageBreakBefore w:val="0"/>
        <w:wordWrap/>
        <w:bidi w:val="0"/>
        <w:adjustRightInd/>
        <w:snapToGrid/>
        <w:spacing w:line="360" w:lineRule="auto"/>
        <w:rPr>
          <w:color w:val="auto"/>
        </w:rPr>
      </w:pPr>
      <w:r>
        <w:rPr>
          <w:color w:val="auto"/>
        </w:rPr>
        <w:t>（3）废水处理经济可行性分析</w:t>
      </w:r>
    </w:p>
    <w:p w14:paraId="1F3CC319">
      <w:pPr>
        <w:pageBreakBefore w:val="0"/>
        <w:widowControl/>
        <w:wordWrap/>
        <w:bidi w:val="0"/>
        <w:adjustRightInd/>
        <w:snapToGrid/>
        <w:ind w:firstLine="480"/>
        <w:rPr>
          <w:color w:val="auto"/>
          <w:kern w:val="0"/>
          <w:lang w:bidi="ar"/>
        </w:rPr>
      </w:pPr>
      <w:r>
        <w:rPr>
          <w:color w:val="auto"/>
          <w:kern w:val="0"/>
          <w:lang w:bidi="ar"/>
        </w:rPr>
        <w:t>随着</w:t>
      </w:r>
      <w:r>
        <w:rPr>
          <w:rFonts w:hint="eastAsia"/>
          <w:color w:val="auto"/>
          <w:kern w:val="0"/>
          <w:lang w:eastAsia="zh-CN" w:bidi="ar"/>
        </w:rPr>
        <w:t>污水处理厂</w:t>
      </w:r>
      <w:r>
        <w:rPr>
          <w:color w:val="auto"/>
          <w:kern w:val="0"/>
          <w:lang w:bidi="ar"/>
        </w:rPr>
        <w:t>出水水质标准的提高，治理成本不断增加，根据项目《可研报告》给出的项目运营成本，营运期污水处理厂单位平均经营成本将达到3.23元/</w:t>
      </w:r>
      <w:r>
        <w:rPr>
          <w:rFonts w:hint="eastAsia"/>
          <w:color w:val="auto"/>
          <w:kern w:val="0"/>
          <w:lang w:eastAsia="zh-CN" w:bidi="ar"/>
        </w:rPr>
        <w:t>m³</w:t>
      </w:r>
      <w:r>
        <w:rPr>
          <w:color w:val="auto"/>
          <w:kern w:val="0"/>
          <w:lang w:bidi="ar"/>
        </w:rPr>
        <w:t>。但是，本项目的建成，可为纳污范围的企业降低污水处理成本，确保了区域经济的绿色发展。因此，本项目工艺从经济角度总体上可行。</w:t>
      </w:r>
    </w:p>
    <w:p w14:paraId="390D1A9D">
      <w:pPr>
        <w:pageBreakBefore w:val="0"/>
        <w:widowControl/>
        <w:wordWrap/>
        <w:bidi w:val="0"/>
        <w:adjustRightInd/>
        <w:snapToGrid/>
        <w:ind w:firstLine="482"/>
        <w:rPr>
          <w:color w:val="auto"/>
        </w:rPr>
      </w:pPr>
      <w:r>
        <w:rPr>
          <w:b/>
          <w:color w:val="auto"/>
          <w:kern w:val="0"/>
          <w:lang w:bidi="ar"/>
        </w:rPr>
        <w:t>综上所述，本项目废水处理措施从经济和技术上均可行。</w:t>
      </w:r>
    </w:p>
    <w:p w14:paraId="3A11746E">
      <w:pPr>
        <w:pStyle w:val="5"/>
        <w:pageBreakBefore w:val="0"/>
        <w:wordWrap/>
        <w:bidi w:val="0"/>
        <w:adjustRightInd/>
        <w:snapToGrid/>
        <w:spacing w:before="48" w:after="48"/>
        <w:ind w:left="0"/>
        <w:rPr>
          <w:rFonts w:eastAsia="宋体"/>
          <w:color w:val="auto"/>
        </w:rPr>
      </w:pPr>
      <w:bookmarkStart w:id="277" w:name="_Toc23738"/>
      <w:r>
        <w:rPr>
          <w:rFonts w:hint="eastAsia" w:eastAsia="宋体"/>
          <w:color w:val="auto"/>
        </w:rPr>
        <w:t xml:space="preserve"> </w:t>
      </w:r>
      <w:r>
        <w:rPr>
          <w:rFonts w:eastAsia="宋体"/>
          <w:color w:val="auto"/>
        </w:rPr>
        <w:t>废气治理措施及可行性</w:t>
      </w:r>
      <w:bookmarkEnd w:id="275"/>
      <w:bookmarkEnd w:id="276"/>
      <w:bookmarkEnd w:id="277"/>
      <w:r>
        <w:rPr>
          <w:rFonts w:eastAsia="宋体"/>
          <w:color w:val="auto"/>
        </w:rPr>
        <w:t>分析</w:t>
      </w:r>
    </w:p>
    <w:p w14:paraId="48F13D47">
      <w:pPr>
        <w:pageBreakBefore w:val="0"/>
        <w:wordWrap/>
        <w:autoSpaceDE w:val="0"/>
        <w:autoSpaceDN w:val="0"/>
        <w:bidi w:val="0"/>
        <w:adjustRightInd/>
        <w:snapToGrid/>
        <w:ind w:firstLine="480"/>
        <w:rPr>
          <w:color w:val="auto"/>
          <w:kern w:val="0"/>
        </w:rPr>
      </w:pPr>
      <w:bookmarkStart w:id="278" w:name="_Toc374627823"/>
      <w:bookmarkStart w:id="279" w:name="_Toc17358"/>
      <w:bookmarkStart w:id="280" w:name="_Toc362082759"/>
      <w:r>
        <w:rPr>
          <w:color w:val="auto"/>
          <w:kern w:val="0"/>
        </w:rPr>
        <w:t>1、废气措施</w:t>
      </w:r>
    </w:p>
    <w:p w14:paraId="4EE72DC1">
      <w:pPr>
        <w:pageBreakBefore w:val="0"/>
        <w:wordWrap/>
        <w:autoSpaceDE w:val="0"/>
        <w:autoSpaceDN w:val="0"/>
        <w:bidi w:val="0"/>
        <w:adjustRightInd/>
        <w:snapToGrid/>
        <w:ind w:firstLine="480"/>
        <w:rPr>
          <w:color w:val="auto"/>
          <w:kern w:val="0"/>
        </w:rPr>
      </w:pPr>
      <w:r>
        <w:rPr>
          <w:color w:val="auto"/>
          <w:kern w:val="0"/>
        </w:rPr>
        <w:t>（1）臭气</w:t>
      </w:r>
    </w:p>
    <w:p w14:paraId="3306F73C">
      <w:pPr>
        <w:pageBreakBefore w:val="0"/>
        <w:wordWrap/>
        <w:autoSpaceDE w:val="0"/>
        <w:autoSpaceDN w:val="0"/>
        <w:bidi w:val="0"/>
        <w:adjustRightInd/>
        <w:snapToGrid/>
        <w:ind w:firstLine="480"/>
        <w:rPr>
          <w:color w:val="auto"/>
          <w:kern w:val="0"/>
        </w:rPr>
      </w:pPr>
      <w:r>
        <w:rPr>
          <w:color w:val="auto"/>
          <w:kern w:val="0"/>
        </w:rPr>
        <w:t>①有组织</w:t>
      </w:r>
    </w:p>
    <w:p w14:paraId="47F4EE8C">
      <w:pPr>
        <w:pageBreakBefore w:val="0"/>
        <w:wordWrap/>
        <w:autoSpaceDE w:val="0"/>
        <w:autoSpaceDN w:val="0"/>
        <w:bidi w:val="0"/>
        <w:adjustRightInd/>
        <w:snapToGrid/>
        <w:ind w:firstLine="480"/>
        <w:rPr>
          <w:color w:val="auto"/>
          <w:kern w:val="0"/>
        </w:rPr>
      </w:pPr>
      <w:r>
        <w:rPr>
          <w:color w:val="auto"/>
          <w:kern w:val="0"/>
        </w:rPr>
        <w:t>按照相关标准及要求，本项目污水处理厂拟在预处理单元、生化处理单元以及污泥处理单元设置加盖、密闭措施，对主要臭气污染源通过废气收集系统一收集→生物除臭装置，尾气经15m排气筒达标排放。其中，预处理区尽可能采用全封闭的形式，以节省加盖的投资；主要产生恶臭的污水处理构筑物及</w:t>
      </w:r>
      <w:r>
        <w:rPr>
          <w:rFonts w:hint="eastAsia"/>
          <w:color w:val="auto"/>
          <w:kern w:val="0"/>
          <w:lang w:eastAsia="zh-CN"/>
        </w:rPr>
        <w:t>污泥池</w:t>
      </w:r>
      <w:r>
        <w:rPr>
          <w:color w:val="auto"/>
          <w:kern w:val="0"/>
        </w:rPr>
        <w:t>采用密封加盖并设置气体捕集口的形式防止臭气散逸并收集，污泥脱水间采用密闭结构，并设置风阀将废气引至废气输送系统，最终进入除臭装置。废气收集管路材质采用玻璃钢，所有风管采用节配形式配置。</w:t>
      </w:r>
    </w:p>
    <w:p w14:paraId="22F9317F">
      <w:pPr>
        <w:pageBreakBefore w:val="0"/>
        <w:wordWrap/>
        <w:autoSpaceDE w:val="0"/>
        <w:autoSpaceDN w:val="0"/>
        <w:bidi w:val="0"/>
        <w:adjustRightInd/>
        <w:snapToGrid/>
        <w:ind w:firstLine="480"/>
        <w:rPr>
          <w:color w:val="auto"/>
          <w:kern w:val="0"/>
        </w:rPr>
      </w:pPr>
      <w:r>
        <w:rPr>
          <w:color w:val="auto"/>
          <w:kern w:val="0"/>
        </w:rPr>
        <w:t>根据本项目总平布置及除臭区域分布，在场区</w:t>
      </w:r>
      <w:r>
        <w:rPr>
          <w:rFonts w:hint="eastAsia"/>
          <w:color w:val="auto"/>
          <w:kern w:val="0"/>
          <w:lang w:val="en-US" w:eastAsia="zh-CN"/>
        </w:rPr>
        <w:t>西</w:t>
      </w:r>
      <w:r>
        <w:rPr>
          <w:color w:val="auto"/>
          <w:kern w:val="0"/>
        </w:rPr>
        <w:t>侧</w:t>
      </w:r>
      <w:r>
        <w:rPr>
          <w:rFonts w:hint="eastAsia"/>
          <w:color w:val="auto"/>
          <w:kern w:val="0"/>
          <w:lang w:val="en-US" w:eastAsia="zh-CN"/>
        </w:rPr>
        <w:t>设置1</w:t>
      </w:r>
      <w:r>
        <w:rPr>
          <w:color w:val="auto"/>
          <w:kern w:val="0"/>
        </w:rPr>
        <w:t>套生物滤池除臭设备</w:t>
      </w:r>
      <w:r>
        <w:rPr>
          <w:rFonts w:hint="eastAsia"/>
          <w:color w:val="auto"/>
          <w:kern w:val="0"/>
          <w:lang w:val="en-US" w:eastAsia="zh-CN"/>
        </w:rPr>
        <w:t>+</w:t>
      </w:r>
      <w:r>
        <w:rPr>
          <w:color w:val="auto"/>
          <w:kern w:val="0"/>
        </w:rPr>
        <w:t>15m排气筒</w:t>
      </w:r>
      <w:r>
        <w:rPr>
          <w:rFonts w:hint="eastAsia"/>
          <w:color w:val="auto"/>
          <w:kern w:val="0"/>
          <w:lang w:eastAsia="zh-CN"/>
        </w:rPr>
        <w:t>，</w:t>
      </w:r>
      <w:r>
        <w:rPr>
          <w:color w:val="auto"/>
          <w:kern w:val="0"/>
        </w:rPr>
        <w:t>处理风量</w:t>
      </w:r>
      <w:r>
        <w:rPr>
          <w:rFonts w:hint="eastAsia"/>
          <w:color w:val="auto"/>
          <w:kern w:val="0"/>
          <w:lang w:val="en-US" w:eastAsia="zh-CN"/>
        </w:rPr>
        <w:t>20</w:t>
      </w:r>
      <w:r>
        <w:rPr>
          <w:color w:val="auto"/>
          <w:kern w:val="0"/>
        </w:rPr>
        <w:t>000</w:t>
      </w:r>
      <w:r>
        <w:rPr>
          <w:rFonts w:hint="eastAsia"/>
          <w:color w:val="auto"/>
          <w:kern w:val="0"/>
          <w:lang w:eastAsia="zh-CN"/>
        </w:rPr>
        <w:t>m³</w:t>
      </w:r>
      <w:r>
        <w:rPr>
          <w:color w:val="auto"/>
          <w:kern w:val="0"/>
        </w:rPr>
        <w:t>/h。</w:t>
      </w:r>
    </w:p>
    <w:p w14:paraId="4891C6FF">
      <w:pPr>
        <w:pageBreakBefore w:val="0"/>
        <w:wordWrap/>
        <w:autoSpaceDE w:val="0"/>
        <w:autoSpaceDN w:val="0"/>
        <w:bidi w:val="0"/>
        <w:adjustRightInd/>
        <w:snapToGrid/>
        <w:ind w:firstLine="480"/>
        <w:rPr>
          <w:color w:val="auto"/>
          <w:kern w:val="0"/>
        </w:rPr>
      </w:pPr>
      <w:r>
        <w:rPr>
          <w:color w:val="auto"/>
          <w:kern w:val="0"/>
        </w:rPr>
        <w:t>②无组织</w:t>
      </w:r>
    </w:p>
    <w:p w14:paraId="59C3729A">
      <w:pPr>
        <w:pageBreakBefore w:val="0"/>
        <w:wordWrap/>
        <w:autoSpaceDE w:val="0"/>
        <w:autoSpaceDN w:val="0"/>
        <w:bidi w:val="0"/>
        <w:adjustRightInd/>
        <w:snapToGrid/>
        <w:ind w:firstLine="480"/>
        <w:rPr>
          <w:color w:val="auto"/>
          <w:kern w:val="0"/>
        </w:rPr>
      </w:pPr>
      <w:r>
        <w:rPr>
          <w:rFonts w:hint="eastAsia"/>
          <w:color w:val="auto"/>
          <w:kern w:val="0"/>
        </w:rPr>
        <w:t>本项目分别以污水预处理区、生化处理区、污泥处理区等主要构筑物边界为起点划定</w:t>
      </w:r>
      <w:r>
        <w:rPr>
          <w:rFonts w:hint="eastAsia"/>
          <w:color w:val="auto"/>
          <w:kern w:val="0"/>
          <w:lang w:val="en-US" w:eastAsia="zh-CN"/>
        </w:rPr>
        <w:t>5</w:t>
      </w:r>
      <w:r>
        <w:rPr>
          <w:rFonts w:hint="eastAsia"/>
          <w:color w:val="auto"/>
          <w:kern w:val="0"/>
        </w:rPr>
        <w:t>0m包络线作卫生防护距离</w:t>
      </w:r>
      <w:r>
        <w:rPr>
          <w:color w:val="auto"/>
          <w:kern w:val="0"/>
        </w:rPr>
        <w:t>，该卫生防护距离内无敏感保护目标。且评价要求在此卫生防护距离范围内不得新建居民住房、商业、学校、医院等，以及其他对环境空气质量要求较高</w:t>
      </w:r>
      <w:r>
        <w:rPr>
          <w:rFonts w:hint="eastAsia"/>
          <w:color w:val="auto"/>
          <w:kern w:val="0"/>
          <w:lang w:eastAsia="zh-CN"/>
        </w:rPr>
        <w:t>的</w:t>
      </w:r>
      <w:r>
        <w:rPr>
          <w:color w:val="auto"/>
          <w:kern w:val="0"/>
        </w:rPr>
        <w:t>设施和建筑。</w:t>
      </w:r>
    </w:p>
    <w:p w14:paraId="37054B78">
      <w:pPr>
        <w:pageBreakBefore w:val="0"/>
        <w:wordWrap/>
        <w:autoSpaceDE w:val="0"/>
        <w:autoSpaceDN w:val="0"/>
        <w:bidi w:val="0"/>
        <w:adjustRightInd/>
        <w:snapToGrid/>
        <w:ind w:firstLine="480"/>
        <w:rPr>
          <w:color w:val="auto"/>
          <w:kern w:val="0"/>
        </w:rPr>
      </w:pPr>
      <w:r>
        <w:rPr>
          <w:color w:val="auto"/>
          <w:kern w:val="0"/>
        </w:rPr>
        <w:t>（2）食堂油烟</w:t>
      </w:r>
    </w:p>
    <w:p w14:paraId="3C569F83">
      <w:pPr>
        <w:pageBreakBefore w:val="0"/>
        <w:wordWrap/>
        <w:autoSpaceDE w:val="0"/>
        <w:autoSpaceDN w:val="0"/>
        <w:bidi w:val="0"/>
        <w:adjustRightInd/>
        <w:snapToGrid/>
        <w:ind w:firstLine="480"/>
        <w:rPr>
          <w:color w:val="auto"/>
          <w:kern w:val="0"/>
        </w:rPr>
      </w:pPr>
      <w:r>
        <w:rPr>
          <w:color w:val="auto"/>
          <w:kern w:val="0"/>
        </w:rPr>
        <w:t>项目食堂产生的油烟废气采用专用抽油烟机（油烟净化率</w:t>
      </w:r>
      <w:r>
        <w:rPr>
          <w:rFonts w:hint="eastAsia"/>
          <w:color w:val="auto"/>
          <w:kern w:val="0"/>
          <w:lang w:val="en-US" w:eastAsia="zh-CN"/>
        </w:rPr>
        <w:t>60</w:t>
      </w:r>
      <w:r>
        <w:rPr>
          <w:color w:val="auto"/>
          <w:kern w:val="0"/>
        </w:rPr>
        <w:t>%以上）处理，处理达标后通过专用烟道至屋顶高空排放。油烟废气经油烟净化装置处理后，其排放浓度须低于2.0mg/</w:t>
      </w:r>
      <w:r>
        <w:rPr>
          <w:rFonts w:hint="eastAsia"/>
          <w:color w:val="auto"/>
          <w:kern w:val="0"/>
          <w:lang w:eastAsia="zh-CN"/>
        </w:rPr>
        <w:t>m³</w:t>
      </w:r>
      <w:r>
        <w:rPr>
          <w:color w:val="auto"/>
          <w:kern w:val="0"/>
        </w:rPr>
        <w:t>，满足《饮食业油烟排放标准</w:t>
      </w:r>
      <w:r>
        <w:rPr>
          <w:rFonts w:hint="eastAsia"/>
          <w:color w:val="auto"/>
          <w:kern w:val="0"/>
          <w:lang w:eastAsia="zh-CN"/>
        </w:rPr>
        <w:t>（</w:t>
      </w:r>
      <w:r>
        <w:rPr>
          <w:rFonts w:hint="eastAsia"/>
          <w:color w:val="auto"/>
          <w:kern w:val="0"/>
          <w:lang w:val="en-US" w:eastAsia="zh-CN"/>
        </w:rPr>
        <w:t>试行</w:t>
      </w:r>
      <w:r>
        <w:rPr>
          <w:rFonts w:hint="eastAsia"/>
          <w:color w:val="auto"/>
          <w:kern w:val="0"/>
          <w:lang w:eastAsia="zh-CN"/>
        </w:rPr>
        <w:t>）</w:t>
      </w:r>
      <w:r>
        <w:rPr>
          <w:color w:val="auto"/>
          <w:kern w:val="0"/>
        </w:rPr>
        <w:t>》</w:t>
      </w:r>
      <w:r>
        <w:rPr>
          <w:rFonts w:hint="eastAsia"/>
          <w:color w:val="auto"/>
          <w:kern w:val="0"/>
          <w:lang w:eastAsia="zh-CN"/>
        </w:rPr>
        <w:t>（</w:t>
      </w:r>
      <w:r>
        <w:rPr>
          <w:color w:val="auto"/>
          <w:kern w:val="0"/>
        </w:rPr>
        <w:t>GB18483-2001</w:t>
      </w:r>
      <w:r>
        <w:rPr>
          <w:rFonts w:hint="eastAsia"/>
          <w:color w:val="auto"/>
          <w:kern w:val="0"/>
          <w:lang w:eastAsia="zh-CN"/>
        </w:rPr>
        <w:t>）</w:t>
      </w:r>
      <w:r>
        <w:rPr>
          <w:color w:val="auto"/>
          <w:kern w:val="0"/>
        </w:rPr>
        <w:t>要求。</w:t>
      </w:r>
    </w:p>
    <w:p w14:paraId="5EE0A2E9">
      <w:pPr>
        <w:pageBreakBefore w:val="0"/>
        <w:wordWrap/>
        <w:autoSpaceDE w:val="0"/>
        <w:autoSpaceDN w:val="0"/>
        <w:bidi w:val="0"/>
        <w:adjustRightInd/>
        <w:snapToGrid/>
        <w:ind w:firstLine="480"/>
        <w:rPr>
          <w:color w:val="auto"/>
          <w:kern w:val="0"/>
        </w:rPr>
      </w:pPr>
      <w:r>
        <w:rPr>
          <w:color w:val="auto"/>
          <w:kern w:val="0"/>
        </w:rPr>
        <w:t>2、工艺技术比选</w:t>
      </w:r>
    </w:p>
    <w:p w14:paraId="5D518810">
      <w:pPr>
        <w:pageBreakBefore w:val="0"/>
        <w:wordWrap/>
        <w:autoSpaceDE w:val="0"/>
        <w:autoSpaceDN w:val="0"/>
        <w:bidi w:val="0"/>
        <w:adjustRightInd/>
        <w:snapToGrid/>
        <w:ind w:firstLine="480"/>
        <w:rPr>
          <w:color w:val="auto"/>
          <w:kern w:val="0"/>
        </w:rPr>
      </w:pPr>
      <w:r>
        <w:rPr>
          <w:color w:val="auto"/>
          <w:kern w:val="0"/>
        </w:rPr>
        <w:t>目前</w:t>
      </w:r>
      <w:r>
        <w:rPr>
          <w:rFonts w:hint="eastAsia"/>
          <w:color w:val="auto"/>
          <w:kern w:val="0"/>
        </w:rPr>
        <w:t>常见的方法有水清洗和药液清洗法、活性炭吸附法、臭氧氧化法、土壤脱臭法、燃烧法、填充式微生物脱臭法等</w:t>
      </w:r>
      <w:r>
        <w:rPr>
          <w:color w:val="auto"/>
          <w:kern w:val="0"/>
        </w:rPr>
        <w:t>。</w:t>
      </w:r>
    </w:p>
    <w:p w14:paraId="7F761D90">
      <w:pPr>
        <w:pageBreakBefore w:val="0"/>
        <w:wordWrap/>
        <w:autoSpaceDE w:val="0"/>
        <w:autoSpaceDN w:val="0"/>
        <w:bidi w:val="0"/>
        <w:adjustRightInd/>
        <w:snapToGrid/>
        <w:ind w:firstLine="480"/>
        <w:rPr>
          <w:rFonts w:hint="eastAsia"/>
          <w:color w:val="auto"/>
          <w:kern w:val="0"/>
        </w:rPr>
      </w:pPr>
      <w:r>
        <w:rPr>
          <w:color w:val="auto"/>
          <w:kern w:val="0"/>
        </w:rPr>
        <w:t>（1）</w:t>
      </w:r>
      <w:r>
        <w:rPr>
          <w:rFonts w:hint="eastAsia"/>
          <w:color w:val="auto"/>
          <w:kern w:val="0"/>
        </w:rPr>
        <w:t>水清洗和药液清洗法</w:t>
      </w:r>
    </w:p>
    <w:p w14:paraId="2DD238E4">
      <w:pPr>
        <w:pageBreakBefore w:val="0"/>
        <w:wordWrap/>
        <w:autoSpaceDE w:val="0"/>
        <w:autoSpaceDN w:val="0"/>
        <w:bidi w:val="0"/>
        <w:adjustRightInd/>
        <w:snapToGrid/>
        <w:ind w:firstLine="480"/>
        <w:rPr>
          <w:color w:val="auto"/>
          <w:kern w:val="0"/>
        </w:rPr>
      </w:pPr>
      <w:r>
        <w:rPr>
          <w:rFonts w:hint="eastAsia"/>
          <w:color w:val="auto"/>
          <w:kern w:val="0"/>
        </w:rPr>
        <w:t>水清洗是利用臭气中的某些物质能溶于水的特性，使臭气中氨气、硫化氢气体和水接触、溶解，达到脱臭的目的。药液清洗是利用臭气中的某些物质和药液产生中和反应的特性，如利用呈碱性的苛性钠和次氯酸钠溶液，去除臭气中硫化氢等酸性物质，利用盐酸等酸性溶液，去除臭气中的氨气等碱性物质。与活性炭吸附法相比较，它必须配备较多的附属设施，如药液贮存装置、药液输送装置、排出装置等，运行管理较为复杂，与药液不反应的臭气较难去除，效率较低。</w:t>
      </w:r>
    </w:p>
    <w:p w14:paraId="38DA700A">
      <w:pPr>
        <w:pageBreakBefore w:val="0"/>
        <w:wordWrap/>
        <w:autoSpaceDE w:val="0"/>
        <w:autoSpaceDN w:val="0"/>
        <w:bidi w:val="0"/>
        <w:adjustRightInd/>
        <w:snapToGrid/>
        <w:ind w:firstLine="480"/>
        <w:rPr>
          <w:color w:val="auto"/>
          <w:kern w:val="0"/>
        </w:rPr>
      </w:pPr>
      <w:r>
        <w:rPr>
          <w:color w:val="auto"/>
          <w:kern w:val="0"/>
        </w:rPr>
        <w:t>（2）活性炭吸附除臭法</w:t>
      </w:r>
    </w:p>
    <w:p w14:paraId="480CC57A">
      <w:pPr>
        <w:pageBreakBefore w:val="0"/>
        <w:wordWrap/>
        <w:autoSpaceDE w:val="0"/>
        <w:autoSpaceDN w:val="0"/>
        <w:bidi w:val="0"/>
        <w:adjustRightInd/>
        <w:snapToGrid/>
        <w:ind w:firstLine="480"/>
        <w:rPr>
          <w:color w:val="auto"/>
          <w:kern w:val="0"/>
        </w:rPr>
      </w:pPr>
      <w:r>
        <w:rPr>
          <w:rFonts w:hint="eastAsia"/>
          <w:color w:val="auto"/>
          <w:kern w:val="0"/>
        </w:rPr>
        <w:t>活性炭吸附法是利用活性炭能吸附臭气中致臭物质的特点，达到脱臭目的。为了有效地脱臭，通常利用各种不同性质的活性炭，在吸附塔内设置吸附酸性物质的活性炭，吸附碱性物质的活性炭和吸附中性物质的活性炭，臭气和各种活性炭接触后，排出吸附塔。该法与水清洗和药液清洗法相比较，具有较高的效率，但活性炭有一饱和期限，超过这一期限，就必须更换活性炭。这种方法常用于低浓度臭气和脱臭的后处理。</w:t>
      </w:r>
    </w:p>
    <w:p w14:paraId="2AA2EE23">
      <w:pPr>
        <w:pageBreakBefore w:val="0"/>
        <w:wordWrap/>
        <w:autoSpaceDE w:val="0"/>
        <w:autoSpaceDN w:val="0"/>
        <w:bidi w:val="0"/>
        <w:adjustRightInd/>
        <w:snapToGrid/>
        <w:ind w:firstLine="480"/>
        <w:rPr>
          <w:rFonts w:hint="eastAsia"/>
          <w:color w:val="auto"/>
          <w:kern w:val="0"/>
        </w:rPr>
      </w:pPr>
      <w:r>
        <w:rPr>
          <w:color w:val="auto"/>
          <w:kern w:val="0"/>
        </w:rPr>
        <w:t>（3）</w:t>
      </w:r>
      <w:r>
        <w:rPr>
          <w:rFonts w:hint="eastAsia"/>
          <w:color w:val="auto"/>
          <w:kern w:val="0"/>
        </w:rPr>
        <w:t>臭氧氧化法</w:t>
      </w:r>
    </w:p>
    <w:p w14:paraId="0385B3EC">
      <w:pPr>
        <w:pageBreakBefore w:val="0"/>
        <w:wordWrap/>
        <w:autoSpaceDE w:val="0"/>
        <w:autoSpaceDN w:val="0"/>
        <w:bidi w:val="0"/>
        <w:adjustRightInd/>
        <w:snapToGrid/>
        <w:ind w:firstLine="480"/>
        <w:rPr>
          <w:color w:val="auto"/>
          <w:kern w:val="0"/>
        </w:rPr>
      </w:pPr>
      <w:r>
        <w:rPr>
          <w:rFonts w:hint="eastAsia"/>
          <w:color w:val="auto"/>
          <w:kern w:val="0"/>
        </w:rPr>
        <w:t>臭氧氧化法是利用臭氧强氧化剂，使臭气中的</w:t>
      </w:r>
      <w:r>
        <w:rPr>
          <w:rFonts w:hint="eastAsia"/>
          <w:color w:val="auto"/>
          <w:kern w:val="0"/>
          <w:lang w:eastAsia="zh-CN"/>
        </w:rPr>
        <w:t>化学成分</w:t>
      </w:r>
      <w:r>
        <w:rPr>
          <w:rFonts w:hint="eastAsia"/>
          <w:color w:val="auto"/>
          <w:kern w:val="0"/>
        </w:rPr>
        <w:t>氧化，达到脱臭的目的。臭氧氧化法有气相和液相之分，由于臭氧发生的化学反应较慢，一般先通过药液清洗法，去除大部分致臭物质，然后再进行臭氧氧化。</w:t>
      </w:r>
    </w:p>
    <w:p w14:paraId="5EDA7E26">
      <w:pPr>
        <w:bidi w:val="0"/>
        <w:rPr>
          <w:rFonts w:hint="eastAsia"/>
          <w:color w:val="auto"/>
        </w:rPr>
      </w:pPr>
      <w:r>
        <w:rPr>
          <w:color w:val="auto"/>
        </w:rPr>
        <w:t>（4）</w:t>
      </w:r>
      <w:r>
        <w:rPr>
          <w:rFonts w:hint="eastAsia"/>
          <w:color w:val="auto"/>
        </w:rPr>
        <w:t>土壤脱臭法</w:t>
      </w:r>
    </w:p>
    <w:p w14:paraId="57553574">
      <w:pPr>
        <w:bidi w:val="0"/>
        <w:rPr>
          <w:rFonts w:hint="eastAsia"/>
          <w:color w:val="auto"/>
        </w:rPr>
      </w:pPr>
      <w:r>
        <w:rPr>
          <w:rFonts w:hint="eastAsia"/>
          <w:color w:val="auto"/>
        </w:rPr>
        <w:t>土壤脱臭法是利用土壤中微生物分解臭气中的</w:t>
      </w:r>
      <w:r>
        <w:rPr>
          <w:rFonts w:hint="eastAsia"/>
          <w:color w:val="auto"/>
          <w:lang w:eastAsia="zh-CN"/>
        </w:rPr>
        <w:t>化学成分</w:t>
      </w:r>
      <w:r>
        <w:rPr>
          <w:rFonts w:hint="eastAsia"/>
          <w:color w:val="auto"/>
        </w:rPr>
        <w:t>，达到脱臭目的。属于生物脱臭法的范畴。与前几种方法相比较，不需要加药等附属设施，运行管理费用较低，但需有宽阔的场地，定时进行场地修整，设置</w:t>
      </w:r>
      <w:r>
        <w:rPr>
          <w:rFonts w:hint="eastAsia"/>
          <w:color w:val="auto"/>
          <w:lang w:eastAsia="zh-CN"/>
        </w:rPr>
        <w:t>洒水装置</w:t>
      </w:r>
      <w:r>
        <w:rPr>
          <w:rFonts w:hint="eastAsia"/>
          <w:color w:val="auto"/>
        </w:rPr>
        <w:t>，以保持较好的运行状态，并且处理效果不够稳定、总体效率较低。</w:t>
      </w:r>
    </w:p>
    <w:p w14:paraId="658BD15B">
      <w:pPr>
        <w:bidi w:val="0"/>
        <w:rPr>
          <w:rFonts w:hint="eastAsia"/>
          <w:color w:val="auto"/>
        </w:rPr>
      </w:pPr>
      <w:r>
        <w:rPr>
          <w:rFonts w:hint="eastAsia"/>
          <w:color w:val="auto"/>
        </w:rPr>
        <w:t>（5）生物过滤法</w:t>
      </w:r>
    </w:p>
    <w:p w14:paraId="1207BCC5">
      <w:pPr>
        <w:bidi w:val="0"/>
        <w:rPr>
          <w:color w:val="auto"/>
        </w:rPr>
      </w:pPr>
      <w:r>
        <w:rPr>
          <w:rFonts w:hint="eastAsia"/>
          <w:color w:val="auto"/>
        </w:rPr>
        <w:t>生物滤池法除臭工艺是一种安全可靠的处理方法，除臭效率大于90％，其原理是将臭气源散发的臭气经收集系统收集后集中送到生物滤池除臭装置进行处理，臭气通过湿润、多孔和充满活性微生物的滤层，利用微生物细胞对恶臭物质的吸附、吸收和降解功能，微生物的细胞个体小、表面积大、吸附性强、代谢类型多样的特点，将恶臭物质吸附后分解成CO</w:t>
      </w:r>
      <w:r>
        <w:rPr>
          <w:rFonts w:hint="eastAsia"/>
          <w:color w:val="auto"/>
          <w:vertAlign w:val="subscript"/>
        </w:rPr>
        <w:t>2</w:t>
      </w:r>
      <w:r>
        <w:rPr>
          <w:rFonts w:hint="eastAsia"/>
          <w:color w:val="auto"/>
        </w:rPr>
        <w:t>、H</w:t>
      </w:r>
      <w:r>
        <w:rPr>
          <w:rFonts w:hint="eastAsia"/>
          <w:color w:val="auto"/>
          <w:vertAlign w:val="subscript"/>
        </w:rPr>
        <w:t>2</w:t>
      </w:r>
      <w:r>
        <w:rPr>
          <w:rFonts w:hint="eastAsia"/>
          <w:color w:val="auto"/>
        </w:rPr>
        <w:t>O、H</w:t>
      </w:r>
      <w:r>
        <w:rPr>
          <w:rFonts w:hint="eastAsia"/>
          <w:color w:val="auto"/>
          <w:vertAlign w:val="subscript"/>
        </w:rPr>
        <w:t>2</w:t>
      </w:r>
      <w:r>
        <w:rPr>
          <w:rFonts w:hint="eastAsia"/>
          <w:color w:val="auto"/>
        </w:rPr>
        <w:t>SO</w:t>
      </w:r>
      <w:r>
        <w:rPr>
          <w:rFonts w:hint="eastAsia"/>
          <w:color w:val="auto"/>
          <w:vertAlign w:val="subscript"/>
        </w:rPr>
        <w:t>4</w:t>
      </w:r>
      <w:r>
        <w:rPr>
          <w:rFonts w:hint="eastAsia"/>
          <w:color w:val="auto"/>
        </w:rPr>
        <w:t>、HNO</w:t>
      </w:r>
      <w:r>
        <w:rPr>
          <w:rFonts w:hint="eastAsia"/>
          <w:color w:val="auto"/>
          <w:vertAlign w:val="subscript"/>
        </w:rPr>
        <w:t>3</w:t>
      </w:r>
      <w:r>
        <w:rPr>
          <w:rFonts w:hint="eastAsia"/>
          <w:color w:val="auto"/>
        </w:rPr>
        <w:t>等简单无机物。</w:t>
      </w:r>
    </w:p>
    <w:p w14:paraId="0A2621B0">
      <w:pPr>
        <w:bidi w:val="0"/>
        <w:rPr>
          <w:rFonts w:hint="eastAsia"/>
          <w:color w:val="auto"/>
        </w:rPr>
      </w:pPr>
      <w:r>
        <w:rPr>
          <w:rFonts w:hint="eastAsia"/>
          <w:color w:val="auto"/>
        </w:rPr>
        <w:t>（6）燃烧法</w:t>
      </w:r>
    </w:p>
    <w:p w14:paraId="3ACB1705">
      <w:pPr>
        <w:bidi w:val="0"/>
        <w:rPr>
          <w:color w:val="auto"/>
        </w:rPr>
      </w:pPr>
      <w:r>
        <w:rPr>
          <w:rFonts w:hint="eastAsia"/>
          <w:color w:val="auto"/>
        </w:rPr>
        <w:t>燃烧法有直接燃烧法和</w:t>
      </w:r>
      <w:r>
        <w:rPr>
          <w:rFonts w:hint="eastAsia"/>
          <w:color w:val="auto"/>
          <w:lang w:eastAsia="zh-CN"/>
        </w:rPr>
        <w:t>触媒</w:t>
      </w:r>
      <w:r>
        <w:rPr>
          <w:rFonts w:hint="eastAsia"/>
          <w:color w:val="auto"/>
        </w:rPr>
        <w:t>燃烧法。根据臭气的特点，当温度达到648℃，接触时间0.3s以上时，臭气会直接燃烧，达到脱臭的目的。在污水处理厂内，常利用污泥消化后产生的沼气，使一些强烈的臭气燃烧，但工程实例较少。</w:t>
      </w:r>
    </w:p>
    <w:p w14:paraId="53CA49F2">
      <w:pPr>
        <w:bidi w:val="0"/>
        <w:rPr>
          <w:color w:val="auto"/>
        </w:rPr>
      </w:pPr>
      <w:r>
        <w:rPr>
          <w:color w:val="auto"/>
        </w:rPr>
        <w:t>综上所述并考虑本项目用地局限性，各产臭源位置，拟采取生物滤池除臭法对本项目产生的恶臭气体进行处理。</w:t>
      </w:r>
    </w:p>
    <w:p w14:paraId="17B3FE46">
      <w:pPr>
        <w:pageBreakBefore w:val="0"/>
        <w:wordWrap/>
        <w:autoSpaceDE w:val="0"/>
        <w:autoSpaceDN w:val="0"/>
        <w:bidi w:val="0"/>
        <w:adjustRightInd/>
        <w:snapToGrid/>
        <w:ind w:firstLine="480"/>
        <w:rPr>
          <w:b/>
          <w:bCs/>
          <w:color w:val="auto"/>
          <w:kern w:val="0"/>
        </w:rPr>
      </w:pPr>
      <w:r>
        <w:rPr>
          <w:b/>
          <w:bCs/>
          <w:color w:val="auto"/>
          <w:kern w:val="0"/>
        </w:rPr>
        <w:t>3、工艺技术经济可行性分析</w:t>
      </w:r>
    </w:p>
    <w:p w14:paraId="114A2311">
      <w:pPr>
        <w:pageBreakBefore w:val="0"/>
        <w:wordWrap/>
        <w:autoSpaceDE w:val="0"/>
        <w:autoSpaceDN w:val="0"/>
        <w:bidi w:val="0"/>
        <w:adjustRightInd/>
        <w:snapToGrid/>
        <w:ind w:firstLine="480"/>
        <w:rPr>
          <w:color w:val="auto"/>
          <w:kern w:val="0"/>
        </w:rPr>
      </w:pPr>
      <w:r>
        <w:rPr>
          <w:color w:val="auto"/>
          <w:kern w:val="0"/>
        </w:rPr>
        <w:t>根据《环境工程技术手册-废水污染控制技术手册》（化学工业出版社）</w:t>
      </w:r>
      <w:r>
        <w:rPr>
          <w:rFonts w:hint="eastAsia"/>
          <w:color w:val="auto"/>
          <w:kern w:val="0"/>
          <w:lang w:eastAsia="zh-CN"/>
        </w:rPr>
        <w:t>“</w:t>
      </w:r>
      <w:r>
        <w:rPr>
          <w:color w:val="auto"/>
          <w:kern w:val="0"/>
        </w:rPr>
        <w:t>第十三章臭气处理</w:t>
      </w:r>
      <w:r>
        <w:rPr>
          <w:rFonts w:hint="eastAsia"/>
          <w:color w:val="auto"/>
          <w:kern w:val="0"/>
          <w:lang w:eastAsia="zh-CN"/>
        </w:rPr>
        <w:t>”</w:t>
      </w:r>
      <w:r>
        <w:rPr>
          <w:color w:val="auto"/>
          <w:kern w:val="0"/>
        </w:rPr>
        <w:t>的内容：生物过滤除臭法具有设备少，操作简单，不需要外加营养物，投资运行费用低，除臭效率高，对于醛、有机酸、硫化氢等污染物的去除率可达99%</w:t>
      </w:r>
      <w:r>
        <w:rPr>
          <w:rFonts w:hint="eastAsia"/>
          <w:color w:val="auto"/>
          <w:kern w:val="0"/>
          <w:lang w:eastAsia="zh-CN"/>
        </w:rPr>
        <w:t>，</w:t>
      </w:r>
      <w:r>
        <w:rPr>
          <w:color w:val="auto"/>
          <w:kern w:val="0"/>
        </w:rPr>
        <w:t>比较不同除臭工艺的投资费用可以看出，生物过滤除臭法是比较经济、适用、能够进行推广的方法。该手册中还提供了国内部分</w:t>
      </w:r>
      <w:r>
        <w:rPr>
          <w:rFonts w:hint="eastAsia"/>
          <w:color w:val="auto"/>
          <w:kern w:val="0"/>
          <w:lang w:eastAsia="zh-CN"/>
        </w:rPr>
        <w:t>污水处理厂</w:t>
      </w:r>
      <w:r>
        <w:rPr>
          <w:color w:val="auto"/>
          <w:kern w:val="0"/>
        </w:rPr>
        <w:t>除臭实例，如广州市大坦沙岛</w:t>
      </w:r>
      <w:r>
        <w:rPr>
          <w:rFonts w:hint="eastAsia"/>
          <w:color w:val="auto"/>
          <w:kern w:val="0"/>
          <w:lang w:eastAsia="zh-CN"/>
        </w:rPr>
        <w:t>污水处理厂</w:t>
      </w:r>
      <w:r>
        <w:rPr>
          <w:color w:val="auto"/>
          <w:kern w:val="0"/>
        </w:rPr>
        <w:t>、广州猎德污水处理厂、麦岛污水处理厂等，大部分采用生物法除臭技术，说明生物除臭法已经得到了广泛的运用，除臭效果明显。</w:t>
      </w:r>
    </w:p>
    <w:p w14:paraId="36CED005">
      <w:pPr>
        <w:pageBreakBefore w:val="0"/>
        <w:wordWrap/>
        <w:autoSpaceDE w:val="0"/>
        <w:autoSpaceDN w:val="0"/>
        <w:bidi w:val="0"/>
        <w:adjustRightInd/>
        <w:snapToGrid/>
        <w:ind w:firstLine="480"/>
        <w:rPr>
          <w:color w:val="auto"/>
          <w:kern w:val="0"/>
        </w:rPr>
      </w:pPr>
      <w:r>
        <w:rPr>
          <w:color w:val="auto"/>
          <w:kern w:val="0"/>
        </w:rPr>
        <w:t>本项目除臭系统设计如下：</w:t>
      </w:r>
    </w:p>
    <w:p w14:paraId="449AF4F8">
      <w:pPr>
        <w:pageBreakBefore w:val="0"/>
        <w:wordWrap/>
        <w:autoSpaceDE w:val="0"/>
        <w:autoSpaceDN w:val="0"/>
        <w:bidi w:val="0"/>
        <w:adjustRightInd/>
        <w:snapToGrid/>
        <w:ind w:firstLine="480"/>
        <w:rPr>
          <w:color w:val="auto"/>
          <w:kern w:val="0"/>
        </w:rPr>
      </w:pPr>
      <w:r>
        <w:rPr>
          <w:color w:val="auto"/>
          <w:kern w:val="0"/>
        </w:rPr>
        <w:t>封闭式加盖：预处理区（</w:t>
      </w:r>
      <w:r>
        <w:rPr>
          <w:rFonts w:hint="eastAsia"/>
          <w:color w:val="auto"/>
          <w:kern w:val="0"/>
          <w:lang w:val="en-US" w:eastAsia="zh-CN"/>
        </w:rPr>
        <w:t>超细格栅</w:t>
      </w:r>
      <w:r>
        <w:rPr>
          <w:color w:val="auto"/>
          <w:kern w:val="0"/>
        </w:rPr>
        <w:t>、</w:t>
      </w:r>
      <w:r>
        <w:rPr>
          <w:rFonts w:hint="eastAsia"/>
          <w:color w:val="auto"/>
          <w:kern w:val="0"/>
          <w:lang w:val="en-US" w:eastAsia="zh-CN"/>
        </w:rPr>
        <w:t>调节池、应急池、水解酸化池</w:t>
      </w:r>
      <w:r>
        <w:rPr>
          <w:color w:val="auto"/>
          <w:kern w:val="0"/>
        </w:rPr>
        <w:t>）、生化反应区（</w:t>
      </w:r>
      <w:r>
        <w:rPr>
          <w:rFonts w:hint="eastAsia"/>
          <w:color w:val="auto"/>
          <w:kern w:val="0"/>
          <w:lang w:val="en-US" w:eastAsia="zh-CN"/>
        </w:rPr>
        <w:t>生化池</w:t>
      </w:r>
      <w:r>
        <w:rPr>
          <w:color w:val="auto"/>
          <w:kern w:val="0"/>
        </w:rPr>
        <w:t>）</w:t>
      </w:r>
      <w:r>
        <w:rPr>
          <w:rFonts w:hint="eastAsia"/>
          <w:color w:val="auto"/>
          <w:kern w:val="0"/>
          <w:lang w:eastAsia="zh-CN"/>
        </w:rPr>
        <w:t>、</w:t>
      </w:r>
      <w:r>
        <w:rPr>
          <w:rFonts w:hint="eastAsia"/>
          <w:color w:val="auto"/>
          <w:kern w:val="0"/>
          <w:lang w:val="en-US" w:eastAsia="zh-CN"/>
        </w:rPr>
        <w:t>深度处理单元（反硝化深床滤池、磁混凝沉淀池和高级氧化深度处理池）</w:t>
      </w:r>
      <w:r>
        <w:rPr>
          <w:color w:val="auto"/>
          <w:kern w:val="0"/>
        </w:rPr>
        <w:t>和污泥区（</w:t>
      </w:r>
      <w:r>
        <w:rPr>
          <w:rFonts w:hint="eastAsia"/>
          <w:color w:val="auto"/>
          <w:kern w:val="0"/>
          <w:lang w:eastAsia="zh-CN"/>
        </w:rPr>
        <w:t>污泥池</w:t>
      </w:r>
      <w:r>
        <w:rPr>
          <w:rFonts w:hint="eastAsia"/>
          <w:color w:val="auto"/>
          <w:kern w:val="0"/>
        </w:rPr>
        <w:t>、脱水间等</w:t>
      </w:r>
      <w:r>
        <w:rPr>
          <w:color w:val="auto"/>
          <w:kern w:val="0"/>
        </w:rPr>
        <w:t>）均采用玻璃钢、钢板或钢筋混凝土池顶，污泥脱水车间的离心机不单独密封，但需对整个污泥脱水机和配套的污泥料仓上方设置管道进行负压抽风，然后通过管道将废气接入除臭设施。</w:t>
      </w:r>
    </w:p>
    <w:p w14:paraId="6E281A88">
      <w:pPr>
        <w:pageBreakBefore w:val="0"/>
        <w:wordWrap/>
        <w:autoSpaceDE w:val="0"/>
        <w:autoSpaceDN w:val="0"/>
        <w:bidi w:val="0"/>
        <w:adjustRightInd/>
        <w:snapToGrid/>
        <w:ind w:firstLine="480"/>
        <w:rPr>
          <w:color w:val="auto"/>
        </w:rPr>
      </w:pPr>
      <w:r>
        <w:rPr>
          <w:color w:val="auto"/>
          <w:kern w:val="0"/>
        </w:rPr>
        <w:t>臭气收集：将各封闭单元内的臭气通过输送管路进行收集，收集后的臭气送入末端生物滤池除臭系统。本次拟购置</w:t>
      </w:r>
      <w:r>
        <w:rPr>
          <w:rFonts w:hint="eastAsia"/>
          <w:color w:val="auto"/>
          <w:kern w:val="0"/>
          <w:lang w:val="en-US" w:eastAsia="zh-CN"/>
        </w:rPr>
        <w:t>1</w:t>
      </w:r>
      <w:r>
        <w:rPr>
          <w:color w:val="auto"/>
          <w:kern w:val="0"/>
        </w:rPr>
        <w:t>套生物除臭系统，其中：预处理单元和生化系统各设一套生物滤池除臭装置，排气筒内径为</w:t>
      </w:r>
      <w:r>
        <w:rPr>
          <w:rFonts w:hint="eastAsia"/>
          <w:color w:val="auto"/>
          <w:kern w:val="0"/>
          <w:lang w:val="en-US" w:eastAsia="zh-CN"/>
        </w:rPr>
        <w:t>1.0</w:t>
      </w:r>
      <w:r>
        <w:rPr>
          <w:color w:val="auto"/>
          <w:kern w:val="0"/>
        </w:rPr>
        <w:t>m，处理风量</w:t>
      </w:r>
      <w:r>
        <w:rPr>
          <w:rFonts w:hint="eastAsia"/>
          <w:color w:val="auto"/>
          <w:kern w:val="0"/>
          <w:lang w:val="en-US" w:eastAsia="zh-CN"/>
        </w:rPr>
        <w:t>20</w:t>
      </w:r>
      <w:r>
        <w:rPr>
          <w:color w:val="auto"/>
          <w:kern w:val="0"/>
        </w:rPr>
        <w:t>000</w:t>
      </w:r>
      <w:r>
        <w:rPr>
          <w:rFonts w:hint="eastAsia"/>
          <w:color w:val="auto"/>
          <w:kern w:val="0"/>
          <w:lang w:eastAsia="zh-CN"/>
        </w:rPr>
        <w:t>m³</w:t>
      </w:r>
      <w:r>
        <w:rPr>
          <w:color w:val="auto"/>
          <w:kern w:val="0"/>
        </w:rPr>
        <w:t>/h。设计换气次数至少为1次/h，采用该收集方式，污水处理单元的恶臭气体收集效率可以达到95%。</w:t>
      </w:r>
    </w:p>
    <w:p w14:paraId="2FF58D76">
      <w:pPr>
        <w:pageBreakBefore w:val="0"/>
        <w:wordWrap/>
        <w:bidi w:val="0"/>
        <w:adjustRightInd/>
        <w:snapToGrid/>
        <w:ind w:firstLine="482"/>
        <w:rPr>
          <w:b/>
          <w:color w:val="auto"/>
        </w:rPr>
      </w:pPr>
      <w:r>
        <w:rPr>
          <w:b/>
          <w:color w:val="auto"/>
        </w:rPr>
        <w:t>4、无组织恶臭污染防治对策</w:t>
      </w:r>
    </w:p>
    <w:p w14:paraId="6957F56D">
      <w:pPr>
        <w:pageBreakBefore w:val="0"/>
        <w:wordWrap/>
        <w:bidi w:val="0"/>
        <w:adjustRightInd/>
        <w:snapToGrid/>
        <w:ind w:firstLine="480"/>
        <w:rPr>
          <w:color w:val="auto"/>
        </w:rPr>
      </w:pPr>
      <w:r>
        <w:rPr>
          <w:color w:val="auto"/>
        </w:rPr>
        <w:t>①对构筑物采取密闭措施</w:t>
      </w:r>
    </w:p>
    <w:p w14:paraId="48CA13A9">
      <w:pPr>
        <w:pageBreakBefore w:val="0"/>
        <w:wordWrap/>
        <w:bidi w:val="0"/>
        <w:adjustRightInd/>
        <w:snapToGrid/>
        <w:ind w:firstLine="480"/>
        <w:rPr>
          <w:color w:val="auto"/>
        </w:rPr>
      </w:pPr>
      <w:r>
        <w:rPr>
          <w:color w:val="auto"/>
        </w:rPr>
        <w:t>项目污水处理厂各构筑物中，污泥脱水间为密闭结构，污泥贮池密闭，相比敞开式结构可大幅降低恶臭的排放量。</w:t>
      </w:r>
    </w:p>
    <w:p w14:paraId="74244621">
      <w:pPr>
        <w:pageBreakBefore w:val="0"/>
        <w:wordWrap/>
        <w:bidi w:val="0"/>
        <w:adjustRightInd/>
        <w:snapToGrid/>
        <w:ind w:firstLine="480"/>
        <w:rPr>
          <w:color w:val="auto"/>
        </w:rPr>
      </w:pPr>
      <w:r>
        <w:rPr>
          <w:color w:val="auto"/>
        </w:rPr>
        <w:t>②设置卫生防护距离</w:t>
      </w:r>
    </w:p>
    <w:p w14:paraId="0EDF7F76">
      <w:pPr>
        <w:pageBreakBefore w:val="0"/>
        <w:wordWrap/>
        <w:bidi w:val="0"/>
        <w:adjustRightInd/>
        <w:snapToGrid/>
        <w:ind w:firstLine="480"/>
        <w:rPr>
          <w:b/>
          <w:bCs/>
          <w:i/>
          <w:iCs/>
          <w:color w:val="auto"/>
          <w:spacing w:val="2"/>
          <w:sz w:val="22"/>
        </w:rPr>
      </w:pPr>
      <w:r>
        <w:rPr>
          <w:color w:val="auto"/>
        </w:rPr>
        <w:t>通过设置卫生防护距离，并要求该范围内不得建设居住、教育、医疗等相关设施，确保项目污水处理厂运行过程中产生的恶臭不对周围人居环境造成影响。</w:t>
      </w:r>
      <w:r>
        <w:rPr>
          <w:b/>
          <w:bCs/>
          <w:iCs/>
          <w:color w:val="auto"/>
          <w:spacing w:val="2"/>
        </w:rPr>
        <w:t>项目以</w:t>
      </w:r>
      <w:r>
        <w:rPr>
          <w:rFonts w:hint="eastAsia"/>
          <w:b/>
          <w:bCs/>
          <w:iCs/>
          <w:color w:val="auto"/>
          <w:spacing w:val="2"/>
        </w:rPr>
        <w:t>预处理</w:t>
      </w:r>
      <w:r>
        <w:rPr>
          <w:rFonts w:hint="eastAsia"/>
          <w:b/>
          <w:bCs/>
          <w:iCs/>
          <w:color w:val="auto"/>
          <w:spacing w:val="2"/>
          <w:lang w:val="en-US" w:eastAsia="zh-CN"/>
        </w:rPr>
        <w:t>单元</w:t>
      </w:r>
      <w:r>
        <w:rPr>
          <w:rFonts w:hint="eastAsia"/>
          <w:b/>
          <w:bCs/>
          <w:iCs/>
          <w:color w:val="auto"/>
          <w:spacing w:val="2"/>
        </w:rPr>
        <w:t>（超细格栅、调节池、应急池、水解酸化池）、生化反应区（生化池）、深度处理单元（反硝化深床滤池、磁混凝沉淀池和高级氧化深度处理池）和污泥区（污泥池、脱水间等）</w:t>
      </w:r>
      <w:r>
        <w:rPr>
          <w:b/>
          <w:bCs/>
          <w:iCs/>
          <w:color w:val="auto"/>
          <w:spacing w:val="2"/>
        </w:rPr>
        <w:t>构筑物边界向外，划定</w:t>
      </w:r>
      <w:r>
        <w:rPr>
          <w:rFonts w:hint="eastAsia"/>
          <w:b/>
          <w:bCs/>
          <w:iCs/>
          <w:color w:val="auto"/>
          <w:spacing w:val="2"/>
          <w:lang w:val="en-US" w:eastAsia="zh-CN"/>
        </w:rPr>
        <w:t>5</w:t>
      </w:r>
      <w:r>
        <w:rPr>
          <w:b/>
          <w:bCs/>
          <w:iCs/>
          <w:color w:val="auto"/>
          <w:spacing w:val="2"/>
        </w:rPr>
        <w:t>0m的卫生防护距离。</w:t>
      </w:r>
    </w:p>
    <w:p w14:paraId="5E8721E0">
      <w:pPr>
        <w:pageBreakBefore w:val="0"/>
        <w:wordWrap/>
        <w:bidi w:val="0"/>
        <w:adjustRightInd/>
        <w:snapToGrid/>
        <w:ind w:firstLine="480"/>
        <w:rPr>
          <w:color w:val="auto"/>
        </w:rPr>
      </w:pPr>
      <w:r>
        <w:rPr>
          <w:color w:val="auto"/>
          <w:szCs w:val="28"/>
        </w:rPr>
        <w:t>③</w:t>
      </w:r>
      <w:r>
        <w:rPr>
          <w:color w:val="auto"/>
        </w:rPr>
        <w:t>加强厂区及厂界绿化</w:t>
      </w:r>
    </w:p>
    <w:p w14:paraId="3DD7128E">
      <w:pPr>
        <w:pageBreakBefore w:val="0"/>
        <w:wordWrap/>
        <w:bidi w:val="0"/>
        <w:adjustRightInd/>
        <w:snapToGrid/>
        <w:ind w:firstLine="480"/>
        <w:rPr>
          <w:color w:val="auto"/>
        </w:rPr>
      </w:pPr>
      <w:r>
        <w:rPr>
          <w:color w:val="auto"/>
        </w:rPr>
        <w:t>绿色植物具有一定的吸收有害气体，减轻恶臭异味的作用，为达到此种目的，工程应保证绿化面积达30%以上。植物的选择也应考虑抗污力强，净化空气好的植物；此外，在厂区内应广种花草、果树，使厂区形成花园式布局。各季的果树花和花卉香味可以降低或减轻恶臭味在空气中的浓度（至少人的感觉会降低）而达到防护的目的。常见优势树种列入</w:t>
      </w:r>
      <w:r>
        <w:rPr>
          <w:rFonts w:hint="eastAsia"/>
          <w:color w:val="auto"/>
          <w:lang w:val="en-US" w:eastAsia="zh-CN"/>
        </w:rPr>
        <w:t>下</w:t>
      </w:r>
      <w:r>
        <w:rPr>
          <w:color w:val="auto"/>
        </w:rPr>
        <w:t>表中。</w:t>
      </w:r>
    </w:p>
    <w:p w14:paraId="646DD59D">
      <w:pPr>
        <w:pStyle w:val="19"/>
        <w:numPr>
          <w:ilvl w:val="0"/>
          <w:numId w:val="36"/>
        </w:numPr>
        <w:bidi w:val="0"/>
        <w:ind w:left="0" w:leftChars="0" w:firstLine="0" w:firstLineChars="0"/>
        <w:rPr>
          <w:color w:val="auto"/>
        </w:rPr>
      </w:pPr>
      <w:r>
        <w:rPr>
          <w:color w:val="auto"/>
        </w:rPr>
        <w:t>绿化树种的特性及保护环境功能</w:t>
      </w:r>
    </w:p>
    <w:tbl>
      <w:tblPr>
        <w:tblStyle w:val="52"/>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00"/>
        <w:gridCol w:w="3299"/>
        <w:gridCol w:w="4247"/>
      </w:tblGrid>
      <w:tr w14:paraId="607608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00" w:type="dxa"/>
            <w:tcBorders>
              <w:tl2br w:val="nil"/>
              <w:tr2bl w:val="nil"/>
            </w:tcBorders>
            <w:noWrap w:val="0"/>
            <w:vAlign w:val="center"/>
          </w:tcPr>
          <w:p w14:paraId="05393CF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种类</w:t>
            </w:r>
          </w:p>
        </w:tc>
        <w:tc>
          <w:tcPr>
            <w:tcW w:w="3299" w:type="dxa"/>
            <w:tcBorders>
              <w:tl2br w:val="nil"/>
              <w:tr2bl w:val="nil"/>
            </w:tcBorders>
            <w:noWrap w:val="0"/>
            <w:vAlign w:val="center"/>
          </w:tcPr>
          <w:p w14:paraId="478FF6F8">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特性</w:t>
            </w:r>
          </w:p>
        </w:tc>
        <w:tc>
          <w:tcPr>
            <w:tcW w:w="4247" w:type="dxa"/>
            <w:tcBorders>
              <w:tl2br w:val="nil"/>
              <w:tr2bl w:val="nil"/>
            </w:tcBorders>
            <w:noWrap w:val="0"/>
            <w:vAlign w:val="center"/>
          </w:tcPr>
          <w:p w14:paraId="0B0FE3F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保护环境功能</w:t>
            </w:r>
          </w:p>
        </w:tc>
      </w:tr>
      <w:tr w14:paraId="175AE3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00" w:type="dxa"/>
            <w:tcBorders>
              <w:tl2br w:val="nil"/>
              <w:tr2bl w:val="nil"/>
            </w:tcBorders>
            <w:noWrap w:val="0"/>
            <w:vAlign w:val="center"/>
          </w:tcPr>
          <w:p w14:paraId="7A4267E3">
            <w:pPr>
              <w:pageBreakBefore w:val="0"/>
              <w:wordWrap/>
              <w:bidi w:val="0"/>
              <w:adjustRightInd/>
              <w:snapToGrid/>
              <w:spacing w:line="240" w:lineRule="auto"/>
              <w:ind w:firstLine="0" w:firstLineChars="0"/>
              <w:jc w:val="center"/>
              <w:rPr>
                <w:color w:val="auto"/>
                <w:sz w:val="21"/>
                <w:szCs w:val="21"/>
              </w:rPr>
            </w:pPr>
            <w:r>
              <w:rPr>
                <w:color w:val="auto"/>
                <w:sz w:val="21"/>
                <w:szCs w:val="21"/>
              </w:rPr>
              <w:t>银杏</w:t>
            </w:r>
          </w:p>
        </w:tc>
        <w:tc>
          <w:tcPr>
            <w:tcW w:w="3299" w:type="dxa"/>
            <w:tcBorders>
              <w:tl2br w:val="nil"/>
              <w:tr2bl w:val="nil"/>
            </w:tcBorders>
            <w:noWrap w:val="0"/>
            <w:vAlign w:val="center"/>
          </w:tcPr>
          <w:p w14:paraId="6311A176">
            <w:pPr>
              <w:pageBreakBefore w:val="0"/>
              <w:wordWrap/>
              <w:bidi w:val="0"/>
              <w:adjustRightInd/>
              <w:snapToGrid/>
              <w:spacing w:line="240" w:lineRule="auto"/>
              <w:ind w:firstLine="0" w:firstLineChars="0"/>
              <w:jc w:val="center"/>
              <w:rPr>
                <w:color w:val="auto"/>
                <w:sz w:val="21"/>
                <w:szCs w:val="21"/>
              </w:rPr>
            </w:pPr>
            <w:r>
              <w:rPr>
                <w:color w:val="auto"/>
                <w:sz w:val="21"/>
                <w:szCs w:val="21"/>
              </w:rPr>
              <w:t>耐寒、适应性强</w:t>
            </w:r>
          </w:p>
        </w:tc>
        <w:tc>
          <w:tcPr>
            <w:tcW w:w="4247" w:type="dxa"/>
            <w:tcBorders>
              <w:tl2br w:val="nil"/>
              <w:tr2bl w:val="nil"/>
            </w:tcBorders>
            <w:noWrap w:val="0"/>
            <w:vAlign w:val="center"/>
          </w:tcPr>
          <w:p w14:paraId="05CF159C">
            <w:pPr>
              <w:pageBreakBefore w:val="0"/>
              <w:wordWrap/>
              <w:bidi w:val="0"/>
              <w:adjustRightInd/>
              <w:snapToGrid/>
              <w:spacing w:line="240" w:lineRule="auto"/>
              <w:ind w:firstLine="0" w:firstLineChars="0"/>
              <w:jc w:val="center"/>
              <w:rPr>
                <w:color w:val="auto"/>
                <w:sz w:val="21"/>
                <w:szCs w:val="21"/>
              </w:rPr>
            </w:pPr>
            <w:r>
              <w:rPr>
                <w:color w:val="auto"/>
                <w:sz w:val="21"/>
                <w:szCs w:val="21"/>
              </w:rPr>
              <w:t>吸收有害气体、杀菌</w:t>
            </w:r>
          </w:p>
        </w:tc>
      </w:tr>
      <w:tr w14:paraId="46B582C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00" w:type="dxa"/>
            <w:tcBorders>
              <w:tl2br w:val="nil"/>
              <w:tr2bl w:val="nil"/>
            </w:tcBorders>
            <w:noWrap w:val="0"/>
            <w:vAlign w:val="center"/>
          </w:tcPr>
          <w:p w14:paraId="6EA64906">
            <w:pPr>
              <w:pageBreakBefore w:val="0"/>
              <w:wordWrap/>
              <w:bidi w:val="0"/>
              <w:adjustRightInd/>
              <w:snapToGrid/>
              <w:spacing w:line="240" w:lineRule="auto"/>
              <w:ind w:firstLine="0" w:firstLineChars="0"/>
              <w:jc w:val="center"/>
              <w:rPr>
                <w:color w:val="auto"/>
                <w:sz w:val="21"/>
                <w:szCs w:val="21"/>
              </w:rPr>
            </w:pPr>
            <w:r>
              <w:rPr>
                <w:color w:val="auto"/>
                <w:sz w:val="21"/>
                <w:szCs w:val="21"/>
              </w:rPr>
              <w:t>刺槐</w:t>
            </w:r>
          </w:p>
        </w:tc>
        <w:tc>
          <w:tcPr>
            <w:tcW w:w="3299" w:type="dxa"/>
            <w:tcBorders>
              <w:tl2br w:val="nil"/>
              <w:tr2bl w:val="nil"/>
            </w:tcBorders>
            <w:noWrap w:val="0"/>
            <w:vAlign w:val="center"/>
          </w:tcPr>
          <w:p w14:paraId="45574647">
            <w:pPr>
              <w:pageBreakBefore w:val="0"/>
              <w:wordWrap/>
              <w:bidi w:val="0"/>
              <w:adjustRightInd/>
              <w:snapToGrid/>
              <w:spacing w:line="240" w:lineRule="auto"/>
              <w:ind w:firstLine="0" w:firstLineChars="0"/>
              <w:jc w:val="center"/>
              <w:rPr>
                <w:color w:val="auto"/>
                <w:sz w:val="21"/>
                <w:szCs w:val="21"/>
              </w:rPr>
            </w:pPr>
            <w:r>
              <w:rPr>
                <w:color w:val="auto"/>
                <w:sz w:val="21"/>
                <w:szCs w:val="21"/>
              </w:rPr>
              <w:t>耐塞、抗旱、怕水湿</w:t>
            </w:r>
          </w:p>
        </w:tc>
        <w:tc>
          <w:tcPr>
            <w:tcW w:w="4247" w:type="dxa"/>
            <w:tcBorders>
              <w:tl2br w:val="nil"/>
              <w:tr2bl w:val="nil"/>
            </w:tcBorders>
            <w:noWrap w:val="0"/>
            <w:vAlign w:val="center"/>
          </w:tcPr>
          <w:p w14:paraId="52EC66E6">
            <w:pPr>
              <w:pageBreakBefore w:val="0"/>
              <w:wordWrap/>
              <w:bidi w:val="0"/>
              <w:adjustRightInd/>
              <w:snapToGrid/>
              <w:spacing w:line="240" w:lineRule="auto"/>
              <w:ind w:firstLine="0" w:firstLineChars="0"/>
              <w:jc w:val="center"/>
              <w:rPr>
                <w:color w:val="auto"/>
                <w:sz w:val="21"/>
                <w:szCs w:val="21"/>
              </w:rPr>
            </w:pPr>
            <w:r>
              <w:rPr>
                <w:color w:val="auto"/>
                <w:sz w:val="21"/>
                <w:szCs w:val="21"/>
              </w:rPr>
              <w:t>抗污染，吸收有害气体</w:t>
            </w:r>
          </w:p>
        </w:tc>
      </w:tr>
      <w:tr w14:paraId="4DC03D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00" w:type="dxa"/>
            <w:tcBorders>
              <w:tl2br w:val="nil"/>
              <w:tr2bl w:val="nil"/>
            </w:tcBorders>
            <w:noWrap w:val="0"/>
            <w:vAlign w:val="center"/>
          </w:tcPr>
          <w:p w14:paraId="7AC449A1">
            <w:pPr>
              <w:pageBreakBefore w:val="0"/>
              <w:wordWrap/>
              <w:bidi w:val="0"/>
              <w:adjustRightInd/>
              <w:snapToGrid/>
              <w:spacing w:line="240" w:lineRule="auto"/>
              <w:ind w:firstLine="0" w:firstLineChars="0"/>
              <w:jc w:val="center"/>
              <w:rPr>
                <w:color w:val="auto"/>
                <w:sz w:val="21"/>
                <w:szCs w:val="21"/>
              </w:rPr>
            </w:pPr>
            <w:r>
              <w:rPr>
                <w:color w:val="auto"/>
                <w:sz w:val="21"/>
                <w:szCs w:val="21"/>
              </w:rPr>
              <w:t>泡桐</w:t>
            </w:r>
          </w:p>
        </w:tc>
        <w:tc>
          <w:tcPr>
            <w:tcW w:w="3299" w:type="dxa"/>
            <w:tcBorders>
              <w:tl2br w:val="nil"/>
              <w:tr2bl w:val="nil"/>
            </w:tcBorders>
            <w:noWrap w:val="0"/>
            <w:vAlign w:val="center"/>
          </w:tcPr>
          <w:p w14:paraId="644A59B8">
            <w:pPr>
              <w:pageBreakBefore w:val="0"/>
              <w:wordWrap/>
              <w:bidi w:val="0"/>
              <w:adjustRightInd/>
              <w:snapToGrid/>
              <w:spacing w:line="240" w:lineRule="auto"/>
              <w:ind w:firstLine="0" w:firstLineChars="0"/>
              <w:jc w:val="center"/>
              <w:rPr>
                <w:color w:val="auto"/>
                <w:sz w:val="21"/>
                <w:szCs w:val="21"/>
              </w:rPr>
            </w:pPr>
            <w:r>
              <w:rPr>
                <w:color w:val="auto"/>
                <w:sz w:val="21"/>
                <w:szCs w:val="21"/>
              </w:rPr>
              <w:t>耐旱、不耐水湿</w:t>
            </w:r>
          </w:p>
        </w:tc>
        <w:tc>
          <w:tcPr>
            <w:tcW w:w="4247" w:type="dxa"/>
            <w:tcBorders>
              <w:tl2br w:val="nil"/>
              <w:tr2bl w:val="nil"/>
            </w:tcBorders>
            <w:noWrap w:val="0"/>
            <w:vAlign w:val="center"/>
          </w:tcPr>
          <w:p w14:paraId="01BB6317">
            <w:pPr>
              <w:pageBreakBefore w:val="0"/>
              <w:wordWrap/>
              <w:bidi w:val="0"/>
              <w:adjustRightInd/>
              <w:snapToGrid/>
              <w:spacing w:line="240" w:lineRule="auto"/>
              <w:ind w:firstLine="0" w:firstLineChars="0"/>
              <w:jc w:val="center"/>
              <w:rPr>
                <w:color w:val="auto"/>
                <w:sz w:val="21"/>
                <w:szCs w:val="21"/>
              </w:rPr>
            </w:pPr>
            <w:r>
              <w:rPr>
                <w:color w:val="auto"/>
                <w:sz w:val="21"/>
                <w:szCs w:val="21"/>
              </w:rPr>
              <w:t>抗污染、吸收有害气体、防尘</w:t>
            </w:r>
          </w:p>
        </w:tc>
      </w:tr>
      <w:tr w14:paraId="43BED5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00" w:type="dxa"/>
            <w:tcBorders>
              <w:tl2br w:val="nil"/>
              <w:tr2bl w:val="nil"/>
            </w:tcBorders>
            <w:noWrap w:val="0"/>
            <w:vAlign w:val="center"/>
          </w:tcPr>
          <w:p w14:paraId="543C56E5">
            <w:pPr>
              <w:pageBreakBefore w:val="0"/>
              <w:wordWrap/>
              <w:bidi w:val="0"/>
              <w:adjustRightInd/>
              <w:snapToGrid/>
              <w:spacing w:line="240" w:lineRule="auto"/>
              <w:ind w:firstLine="0" w:firstLineChars="0"/>
              <w:jc w:val="center"/>
              <w:rPr>
                <w:color w:val="auto"/>
                <w:sz w:val="21"/>
                <w:szCs w:val="21"/>
              </w:rPr>
            </w:pPr>
            <w:r>
              <w:rPr>
                <w:color w:val="auto"/>
                <w:sz w:val="21"/>
                <w:szCs w:val="21"/>
              </w:rPr>
              <w:t>油松</w:t>
            </w:r>
          </w:p>
        </w:tc>
        <w:tc>
          <w:tcPr>
            <w:tcW w:w="3299" w:type="dxa"/>
            <w:tcBorders>
              <w:tl2br w:val="nil"/>
              <w:tr2bl w:val="nil"/>
            </w:tcBorders>
            <w:noWrap w:val="0"/>
            <w:vAlign w:val="center"/>
          </w:tcPr>
          <w:p w14:paraId="190CE608">
            <w:pPr>
              <w:pageBreakBefore w:val="0"/>
              <w:wordWrap/>
              <w:bidi w:val="0"/>
              <w:adjustRightInd/>
              <w:snapToGrid/>
              <w:spacing w:line="240" w:lineRule="auto"/>
              <w:ind w:firstLine="0" w:firstLineChars="0"/>
              <w:jc w:val="center"/>
              <w:rPr>
                <w:color w:val="auto"/>
                <w:sz w:val="21"/>
                <w:szCs w:val="21"/>
              </w:rPr>
            </w:pPr>
            <w:r>
              <w:rPr>
                <w:color w:val="auto"/>
                <w:sz w:val="21"/>
                <w:szCs w:val="21"/>
              </w:rPr>
              <w:t>耐寒、耐旱、常绿</w:t>
            </w:r>
          </w:p>
        </w:tc>
        <w:tc>
          <w:tcPr>
            <w:tcW w:w="4247" w:type="dxa"/>
            <w:tcBorders>
              <w:tl2br w:val="nil"/>
              <w:tr2bl w:val="nil"/>
            </w:tcBorders>
            <w:noWrap w:val="0"/>
            <w:vAlign w:val="center"/>
          </w:tcPr>
          <w:p w14:paraId="457F7351">
            <w:pPr>
              <w:pageBreakBefore w:val="0"/>
              <w:wordWrap/>
              <w:bidi w:val="0"/>
              <w:adjustRightInd/>
              <w:snapToGrid/>
              <w:spacing w:line="240" w:lineRule="auto"/>
              <w:ind w:firstLine="0" w:firstLineChars="0"/>
              <w:jc w:val="center"/>
              <w:rPr>
                <w:color w:val="auto"/>
                <w:sz w:val="21"/>
                <w:szCs w:val="21"/>
              </w:rPr>
            </w:pPr>
            <w:r>
              <w:rPr>
                <w:color w:val="auto"/>
                <w:sz w:val="21"/>
                <w:szCs w:val="21"/>
              </w:rPr>
              <w:t>防尘、防风</w:t>
            </w:r>
          </w:p>
        </w:tc>
      </w:tr>
      <w:tr w14:paraId="575596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00" w:type="dxa"/>
            <w:tcBorders>
              <w:tl2br w:val="nil"/>
              <w:tr2bl w:val="nil"/>
            </w:tcBorders>
            <w:noWrap w:val="0"/>
            <w:vAlign w:val="center"/>
          </w:tcPr>
          <w:p w14:paraId="6F63FCB9">
            <w:pPr>
              <w:pageBreakBefore w:val="0"/>
              <w:wordWrap/>
              <w:bidi w:val="0"/>
              <w:adjustRightInd/>
              <w:snapToGrid/>
              <w:spacing w:line="240" w:lineRule="auto"/>
              <w:ind w:firstLine="0" w:firstLineChars="0"/>
              <w:jc w:val="center"/>
              <w:rPr>
                <w:color w:val="auto"/>
                <w:sz w:val="21"/>
                <w:szCs w:val="21"/>
              </w:rPr>
            </w:pPr>
            <w:r>
              <w:rPr>
                <w:color w:val="auto"/>
                <w:sz w:val="21"/>
                <w:szCs w:val="21"/>
              </w:rPr>
              <w:t>槐树</w:t>
            </w:r>
          </w:p>
        </w:tc>
        <w:tc>
          <w:tcPr>
            <w:tcW w:w="3299" w:type="dxa"/>
            <w:tcBorders>
              <w:tl2br w:val="nil"/>
              <w:tr2bl w:val="nil"/>
            </w:tcBorders>
            <w:noWrap w:val="0"/>
            <w:vAlign w:val="center"/>
          </w:tcPr>
          <w:p w14:paraId="668E425E">
            <w:pPr>
              <w:pageBreakBefore w:val="0"/>
              <w:wordWrap/>
              <w:bidi w:val="0"/>
              <w:adjustRightInd/>
              <w:snapToGrid/>
              <w:spacing w:line="240" w:lineRule="auto"/>
              <w:ind w:firstLine="0" w:firstLineChars="0"/>
              <w:jc w:val="center"/>
              <w:rPr>
                <w:color w:val="auto"/>
                <w:sz w:val="21"/>
                <w:szCs w:val="21"/>
              </w:rPr>
            </w:pPr>
            <w:r>
              <w:rPr>
                <w:color w:val="auto"/>
                <w:sz w:val="21"/>
                <w:szCs w:val="21"/>
              </w:rPr>
              <w:t>喜干冷气候</w:t>
            </w:r>
          </w:p>
        </w:tc>
        <w:tc>
          <w:tcPr>
            <w:tcW w:w="4247" w:type="dxa"/>
            <w:tcBorders>
              <w:tl2br w:val="nil"/>
              <w:tr2bl w:val="nil"/>
            </w:tcBorders>
            <w:noWrap w:val="0"/>
            <w:vAlign w:val="center"/>
          </w:tcPr>
          <w:p w14:paraId="6E7643A0">
            <w:pPr>
              <w:pageBreakBefore w:val="0"/>
              <w:wordWrap/>
              <w:bidi w:val="0"/>
              <w:adjustRightInd/>
              <w:snapToGrid/>
              <w:spacing w:line="240" w:lineRule="auto"/>
              <w:ind w:firstLine="0" w:firstLineChars="0"/>
              <w:jc w:val="center"/>
              <w:rPr>
                <w:color w:val="auto"/>
                <w:sz w:val="21"/>
                <w:szCs w:val="21"/>
              </w:rPr>
            </w:pPr>
            <w:r>
              <w:rPr>
                <w:color w:val="auto"/>
                <w:sz w:val="21"/>
                <w:szCs w:val="21"/>
              </w:rPr>
              <w:t>抗污染、吸收有害气体</w:t>
            </w:r>
          </w:p>
        </w:tc>
      </w:tr>
      <w:tr w14:paraId="751682E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00" w:type="dxa"/>
            <w:tcBorders>
              <w:tl2br w:val="nil"/>
              <w:tr2bl w:val="nil"/>
            </w:tcBorders>
            <w:noWrap w:val="0"/>
            <w:vAlign w:val="center"/>
          </w:tcPr>
          <w:p w14:paraId="0D3DAFE3">
            <w:pPr>
              <w:pageBreakBefore w:val="0"/>
              <w:wordWrap/>
              <w:bidi w:val="0"/>
              <w:adjustRightInd/>
              <w:snapToGrid/>
              <w:spacing w:line="240" w:lineRule="auto"/>
              <w:ind w:firstLine="0" w:firstLineChars="0"/>
              <w:jc w:val="center"/>
              <w:rPr>
                <w:color w:val="auto"/>
                <w:sz w:val="21"/>
                <w:szCs w:val="21"/>
              </w:rPr>
            </w:pPr>
            <w:r>
              <w:rPr>
                <w:color w:val="auto"/>
                <w:sz w:val="21"/>
                <w:szCs w:val="21"/>
              </w:rPr>
              <w:t>旱柳</w:t>
            </w:r>
          </w:p>
        </w:tc>
        <w:tc>
          <w:tcPr>
            <w:tcW w:w="3299" w:type="dxa"/>
            <w:tcBorders>
              <w:tl2br w:val="nil"/>
              <w:tr2bl w:val="nil"/>
            </w:tcBorders>
            <w:noWrap w:val="0"/>
            <w:vAlign w:val="center"/>
          </w:tcPr>
          <w:p w14:paraId="6FB475DE">
            <w:pPr>
              <w:pageBreakBefore w:val="0"/>
              <w:wordWrap/>
              <w:bidi w:val="0"/>
              <w:adjustRightInd/>
              <w:snapToGrid/>
              <w:spacing w:line="240" w:lineRule="auto"/>
              <w:ind w:firstLine="0" w:firstLineChars="0"/>
              <w:jc w:val="center"/>
              <w:rPr>
                <w:color w:val="auto"/>
                <w:sz w:val="21"/>
                <w:szCs w:val="21"/>
              </w:rPr>
            </w:pPr>
            <w:r>
              <w:rPr>
                <w:color w:val="auto"/>
                <w:sz w:val="21"/>
                <w:szCs w:val="21"/>
              </w:rPr>
              <w:t>耐旱、耐水湿</w:t>
            </w:r>
          </w:p>
        </w:tc>
        <w:tc>
          <w:tcPr>
            <w:tcW w:w="4247" w:type="dxa"/>
            <w:tcBorders>
              <w:tl2br w:val="nil"/>
              <w:tr2bl w:val="nil"/>
            </w:tcBorders>
            <w:noWrap w:val="0"/>
            <w:vAlign w:val="center"/>
          </w:tcPr>
          <w:p w14:paraId="26B18FDC">
            <w:pPr>
              <w:pageBreakBefore w:val="0"/>
              <w:wordWrap/>
              <w:bidi w:val="0"/>
              <w:adjustRightInd/>
              <w:snapToGrid/>
              <w:spacing w:line="240" w:lineRule="auto"/>
              <w:ind w:firstLine="0" w:firstLineChars="0"/>
              <w:jc w:val="center"/>
              <w:rPr>
                <w:color w:val="auto"/>
                <w:sz w:val="21"/>
                <w:szCs w:val="21"/>
              </w:rPr>
            </w:pPr>
            <w:r>
              <w:rPr>
                <w:color w:val="auto"/>
                <w:sz w:val="21"/>
                <w:szCs w:val="21"/>
              </w:rPr>
              <w:t>吸收有害气体</w:t>
            </w:r>
          </w:p>
        </w:tc>
      </w:tr>
      <w:tr w14:paraId="589088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00" w:type="dxa"/>
            <w:tcBorders>
              <w:tl2br w:val="nil"/>
              <w:tr2bl w:val="nil"/>
            </w:tcBorders>
            <w:noWrap w:val="0"/>
            <w:vAlign w:val="center"/>
          </w:tcPr>
          <w:p w14:paraId="1C3867E7">
            <w:pPr>
              <w:pageBreakBefore w:val="0"/>
              <w:wordWrap/>
              <w:bidi w:val="0"/>
              <w:adjustRightInd/>
              <w:snapToGrid/>
              <w:spacing w:line="240" w:lineRule="auto"/>
              <w:ind w:firstLine="0" w:firstLineChars="0"/>
              <w:jc w:val="center"/>
              <w:rPr>
                <w:color w:val="auto"/>
                <w:sz w:val="21"/>
                <w:szCs w:val="21"/>
              </w:rPr>
            </w:pPr>
            <w:r>
              <w:rPr>
                <w:color w:val="auto"/>
                <w:sz w:val="21"/>
                <w:szCs w:val="21"/>
              </w:rPr>
              <w:t>垂柳</w:t>
            </w:r>
          </w:p>
        </w:tc>
        <w:tc>
          <w:tcPr>
            <w:tcW w:w="3299" w:type="dxa"/>
            <w:tcBorders>
              <w:tl2br w:val="nil"/>
              <w:tr2bl w:val="nil"/>
            </w:tcBorders>
            <w:noWrap w:val="0"/>
            <w:vAlign w:val="center"/>
          </w:tcPr>
          <w:p w14:paraId="18051B0D">
            <w:pPr>
              <w:pageBreakBefore w:val="0"/>
              <w:wordWrap/>
              <w:bidi w:val="0"/>
              <w:adjustRightInd/>
              <w:snapToGrid/>
              <w:spacing w:line="240" w:lineRule="auto"/>
              <w:ind w:firstLine="0" w:firstLineChars="0"/>
              <w:jc w:val="center"/>
              <w:rPr>
                <w:color w:val="auto"/>
                <w:sz w:val="21"/>
                <w:szCs w:val="21"/>
              </w:rPr>
            </w:pPr>
            <w:r>
              <w:rPr>
                <w:color w:val="auto"/>
                <w:sz w:val="21"/>
                <w:szCs w:val="21"/>
              </w:rPr>
              <w:t>耐水湿</w:t>
            </w:r>
          </w:p>
        </w:tc>
        <w:tc>
          <w:tcPr>
            <w:tcW w:w="4247" w:type="dxa"/>
            <w:tcBorders>
              <w:tl2br w:val="nil"/>
              <w:tr2bl w:val="nil"/>
            </w:tcBorders>
            <w:noWrap w:val="0"/>
            <w:vAlign w:val="center"/>
          </w:tcPr>
          <w:p w14:paraId="5BFE2624">
            <w:pPr>
              <w:pageBreakBefore w:val="0"/>
              <w:wordWrap/>
              <w:bidi w:val="0"/>
              <w:adjustRightInd/>
              <w:snapToGrid/>
              <w:spacing w:line="240" w:lineRule="auto"/>
              <w:ind w:firstLine="0" w:firstLineChars="0"/>
              <w:jc w:val="center"/>
              <w:rPr>
                <w:color w:val="auto"/>
                <w:sz w:val="21"/>
                <w:szCs w:val="21"/>
              </w:rPr>
            </w:pPr>
            <w:r>
              <w:rPr>
                <w:color w:val="auto"/>
                <w:sz w:val="21"/>
                <w:szCs w:val="21"/>
              </w:rPr>
              <w:t>吸收有害气体</w:t>
            </w:r>
          </w:p>
        </w:tc>
      </w:tr>
      <w:tr w14:paraId="380957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00" w:type="dxa"/>
            <w:tcBorders>
              <w:tl2br w:val="nil"/>
              <w:tr2bl w:val="nil"/>
            </w:tcBorders>
            <w:noWrap w:val="0"/>
            <w:vAlign w:val="center"/>
          </w:tcPr>
          <w:p w14:paraId="370E588F">
            <w:pPr>
              <w:pageBreakBefore w:val="0"/>
              <w:wordWrap/>
              <w:bidi w:val="0"/>
              <w:adjustRightInd/>
              <w:snapToGrid/>
              <w:spacing w:line="240" w:lineRule="auto"/>
              <w:ind w:firstLine="0" w:firstLineChars="0"/>
              <w:jc w:val="center"/>
              <w:rPr>
                <w:color w:val="auto"/>
                <w:sz w:val="21"/>
                <w:szCs w:val="21"/>
              </w:rPr>
            </w:pPr>
            <w:r>
              <w:rPr>
                <w:color w:val="auto"/>
                <w:sz w:val="21"/>
                <w:szCs w:val="21"/>
              </w:rPr>
              <w:t>加杨</w:t>
            </w:r>
          </w:p>
        </w:tc>
        <w:tc>
          <w:tcPr>
            <w:tcW w:w="3299" w:type="dxa"/>
            <w:tcBorders>
              <w:tl2br w:val="nil"/>
              <w:tr2bl w:val="nil"/>
            </w:tcBorders>
            <w:noWrap w:val="0"/>
            <w:vAlign w:val="center"/>
          </w:tcPr>
          <w:p w14:paraId="2C5A729F">
            <w:pPr>
              <w:pageBreakBefore w:val="0"/>
              <w:wordWrap/>
              <w:bidi w:val="0"/>
              <w:adjustRightInd/>
              <w:snapToGrid/>
              <w:spacing w:line="240" w:lineRule="auto"/>
              <w:ind w:firstLine="0" w:firstLineChars="0"/>
              <w:jc w:val="center"/>
              <w:rPr>
                <w:color w:val="auto"/>
                <w:sz w:val="21"/>
                <w:szCs w:val="21"/>
              </w:rPr>
            </w:pPr>
            <w:r>
              <w:rPr>
                <w:color w:val="auto"/>
                <w:sz w:val="21"/>
                <w:szCs w:val="21"/>
              </w:rPr>
              <w:t>耐涝</w:t>
            </w:r>
          </w:p>
        </w:tc>
        <w:tc>
          <w:tcPr>
            <w:tcW w:w="4247" w:type="dxa"/>
            <w:tcBorders>
              <w:tl2br w:val="nil"/>
              <w:tr2bl w:val="nil"/>
            </w:tcBorders>
            <w:noWrap w:val="0"/>
            <w:vAlign w:val="center"/>
          </w:tcPr>
          <w:p w14:paraId="7928541C">
            <w:pPr>
              <w:pageBreakBefore w:val="0"/>
              <w:wordWrap/>
              <w:bidi w:val="0"/>
              <w:adjustRightInd/>
              <w:snapToGrid/>
              <w:spacing w:line="240" w:lineRule="auto"/>
              <w:ind w:firstLine="0" w:firstLineChars="0"/>
              <w:jc w:val="center"/>
              <w:rPr>
                <w:color w:val="auto"/>
                <w:sz w:val="21"/>
                <w:szCs w:val="21"/>
              </w:rPr>
            </w:pPr>
            <w:r>
              <w:rPr>
                <w:color w:val="auto"/>
                <w:sz w:val="21"/>
                <w:szCs w:val="21"/>
              </w:rPr>
              <w:t>吸收有害气体、防风</w:t>
            </w:r>
          </w:p>
        </w:tc>
      </w:tr>
    </w:tbl>
    <w:p w14:paraId="67DBEEB5">
      <w:pPr>
        <w:pageBreakBefore w:val="0"/>
        <w:wordWrap/>
        <w:bidi w:val="0"/>
        <w:adjustRightInd/>
        <w:snapToGrid/>
        <w:spacing w:before="120" w:beforeLines="50"/>
        <w:ind w:firstLine="480"/>
        <w:rPr>
          <w:color w:val="auto"/>
        </w:rPr>
      </w:pPr>
      <w:r>
        <w:rPr>
          <w:color w:val="auto"/>
          <w:szCs w:val="28"/>
        </w:rPr>
        <w:t>④</w:t>
      </w:r>
      <w:r>
        <w:rPr>
          <w:color w:val="auto"/>
        </w:rPr>
        <w:t>污泥等固废及时清运</w:t>
      </w:r>
      <w:r>
        <w:rPr>
          <w:rFonts w:hint="eastAsia"/>
          <w:color w:val="auto"/>
        </w:rPr>
        <w:t>，</w:t>
      </w:r>
      <w:r>
        <w:rPr>
          <w:color w:val="auto"/>
        </w:rPr>
        <w:t>削减厂内恶臭源强度及数量。</w:t>
      </w:r>
    </w:p>
    <w:p w14:paraId="7EE30BD4">
      <w:pPr>
        <w:pageBreakBefore w:val="0"/>
        <w:wordWrap/>
        <w:bidi w:val="0"/>
        <w:adjustRightInd/>
        <w:snapToGrid/>
        <w:ind w:firstLine="480"/>
        <w:rPr>
          <w:color w:val="auto"/>
        </w:rPr>
      </w:pPr>
      <w:r>
        <w:rPr>
          <w:color w:val="auto"/>
          <w:szCs w:val="28"/>
        </w:rPr>
        <w:t>⑤</w:t>
      </w:r>
      <w:r>
        <w:rPr>
          <w:color w:val="auto"/>
        </w:rPr>
        <w:t>加强个人劳动卫生保护</w:t>
      </w:r>
    </w:p>
    <w:p w14:paraId="6DBB130D">
      <w:pPr>
        <w:pageBreakBefore w:val="0"/>
        <w:wordWrap/>
        <w:bidi w:val="0"/>
        <w:adjustRightInd/>
        <w:snapToGrid/>
        <w:ind w:firstLine="480"/>
        <w:rPr>
          <w:b/>
          <w:bCs/>
          <w:color w:val="auto"/>
        </w:rPr>
      </w:pPr>
      <w:r>
        <w:rPr>
          <w:color w:val="auto"/>
          <w:szCs w:val="28"/>
        </w:rPr>
        <w:t>⑥</w:t>
      </w:r>
      <w:r>
        <w:rPr>
          <w:color w:val="auto"/>
        </w:rPr>
        <w:t>重视</w:t>
      </w:r>
      <w:r>
        <w:rPr>
          <w:rFonts w:hint="eastAsia"/>
          <w:color w:val="auto"/>
          <w:lang w:eastAsia="zh-CN"/>
        </w:rPr>
        <w:t>做好</w:t>
      </w:r>
      <w:r>
        <w:rPr>
          <w:color w:val="auto"/>
        </w:rPr>
        <w:t>消毒杀菌、</w:t>
      </w:r>
      <w:r>
        <w:rPr>
          <w:color w:val="auto"/>
          <w:lang w:val="en-GB"/>
        </w:rPr>
        <w:t>灭蚊蝇等环境卫生</w:t>
      </w:r>
      <w:r>
        <w:rPr>
          <w:color w:val="auto"/>
        </w:rPr>
        <w:t>工作。</w:t>
      </w:r>
    </w:p>
    <w:p w14:paraId="21C10D02">
      <w:pPr>
        <w:pageBreakBefore w:val="0"/>
        <w:wordWrap/>
        <w:bidi w:val="0"/>
        <w:adjustRightInd/>
        <w:snapToGrid/>
        <w:ind w:firstLine="482"/>
        <w:rPr>
          <w:b/>
          <w:color w:val="auto"/>
        </w:rPr>
      </w:pPr>
      <w:r>
        <w:rPr>
          <w:b/>
          <w:color w:val="auto"/>
        </w:rPr>
        <w:t>5、卫生防护距离的划定及恶臭防治措施的有效性和可行性分析</w:t>
      </w:r>
    </w:p>
    <w:p w14:paraId="34970295">
      <w:pPr>
        <w:pageBreakBefore w:val="0"/>
        <w:wordWrap/>
        <w:bidi w:val="0"/>
        <w:adjustRightInd/>
        <w:snapToGrid/>
        <w:ind w:firstLine="480"/>
        <w:rPr>
          <w:color w:val="auto"/>
        </w:rPr>
      </w:pPr>
      <w:r>
        <w:rPr>
          <w:color w:val="auto"/>
        </w:rPr>
        <w:t>根据报告书第四章对项目卫生防护距离的计算，确定项目卫生防护距离为</w:t>
      </w:r>
      <w:r>
        <w:rPr>
          <w:bCs/>
          <w:iCs/>
          <w:color w:val="auto"/>
          <w:spacing w:val="2"/>
        </w:rPr>
        <w:t>项目以</w:t>
      </w:r>
      <w:r>
        <w:rPr>
          <w:rFonts w:hint="eastAsia"/>
          <w:bCs/>
          <w:iCs/>
          <w:color w:val="auto"/>
          <w:spacing w:val="2"/>
        </w:rPr>
        <w:t>预处理单元（超细格栅、调节池、应急池、水解酸化池）、生化反应区（生化池）、深度处理单元（反硝化深床滤池、磁混凝沉淀池和高级氧化深度处理池）和污泥区（污泥池、脱水间等）</w:t>
      </w:r>
      <w:r>
        <w:rPr>
          <w:bCs/>
          <w:iCs/>
          <w:color w:val="auto"/>
          <w:spacing w:val="2"/>
        </w:rPr>
        <w:t>等构筑物边界向外，划定</w:t>
      </w:r>
      <w:r>
        <w:rPr>
          <w:rFonts w:hint="eastAsia"/>
          <w:bCs/>
          <w:iCs/>
          <w:color w:val="auto"/>
          <w:spacing w:val="2"/>
          <w:lang w:val="en-US" w:eastAsia="zh-CN"/>
        </w:rPr>
        <w:t>50</w:t>
      </w:r>
      <w:r>
        <w:rPr>
          <w:bCs/>
          <w:iCs/>
          <w:color w:val="auto"/>
          <w:spacing w:val="2"/>
        </w:rPr>
        <w:t>m的卫生防护距离。</w:t>
      </w:r>
      <w:r>
        <w:rPr>
          <w:b/>
          <w:color w:val="auto"/>
          <w:szCs w:val="28"/>
        </w:rPr>
        <w:t>同时</w:t>
      </w:r>
      <w:r>
        <w:rPr>
          <w:rFonts w:hint="eastAsia"/>
          <w:b/>
          <w:color w:val="auto"/>
          <w:szCs w:val="28"/>
          <w:lang w:eastAsia="zh-CN"/>
        </w:rPr>
        <w:t>，根</w:t>
      </w:r>
      <w:r>
        <w:rPr>
          <w:b/>
          <w:color w:val="auto"/>
          <w:szCs w:val="28"/>
        </w:rPr>
        <w:t>据现场踏勘发现：本</w:t>
      </w:r>
      <w:r>
        <w:rPr>
          <w:b/>
          <w:color w:val="auto"/>
          <w:spacing w:val="2"/>
          <w:szCs w:val="28"/>
        </w:rPr>
        <w:t>项目</w:t>
      </w:r>
      <w:r>
        <w:rPr>
          <w:b/>
          <w:color w:val="auto"/>
          <w:szCs w:val="28"/>
        </w:rPr>
        <w:t>划定的卫生防护距离范围内无散居村民住户等环境敏感目标，不涉及环保搬迁。</w:t>
      </w:r>
    </w:p>
    <w:p w14:paraId="2CC5C9FA">
      <w:pPr>
        <w:pageBreakBefore w:val="0"/>
        <w:wordWrap/>
        <w:bidi w:val="0"/>
        <w:adjustRightInd/>
        <w:snapToGrid/>
        <w:ind w:firstLine="490"/>
        <w:rPr>
          <w:color w:val="auto"/>
          <w:szCs w:val="28"/>
        </w:rPr>
      </w:pPr>
      <w:r>
        <w:rPr>
          <w:b/>
          <w:color w:val="auto"/>
          <w:spacing w:val="2"/>
          <w:szCs w:val="28"/>
        </w:rPr>
        <w:t>环评要求：</w:t>
      </w:r>
      <w:r>
        <w:rPr>
          <w:color w:val="auto"/>
          <w:spacing w:val="2"/>
          <w:szCs w:val="28"/>
        </w:rPr>
        <w:t>在项目所设定的卫生防护距离内禁止修建医院、学校、集中居住区等环境敏感设施。同时还要求：①在污泥脱水间等室内部分，考虑采用机械通风的方式，减少臭气影响；②运输车辆密闭，避开运输高峰期，尽量减少臭气对运输线路附近大气环境的影响；③</w:t>
      </w:r>
      <w:r>
        <w:rPr>
          <w:color w:val="auto"/>
          <w:szCs w:val="28"/>
        </w:rPr>
        <w:t>采取必要的减臭措施，污泥处理设施应设在非完全敞开式的建筑内；</w:t>
      </w:r>
      <w:r>
        <w:rPr>
          <w:color w:val="auto"/>
          <w:spacing w:val="2"/>
          <w:szCs w:val="28"/>
        </w:rPr>
        <w:t>④</w:t>
      </w:r>
      <w:r>
        <w:rPr>
          <w:color w:val="auto"/>
          <w:szCs w:val="28"/>
        </w:rPr>
        <w:t>污水处理厂运行过程中要加强管理，控制污泥发酵。污泥脱水后要及时清运，定时清洗污泥脱水机；避免一切固体废弃物在厂内长时间堆放；⑤在各构筑物停产修理时，池底积泥会暴露出来散发臭气，</w:t>
      </w:r>
      <w:r>
        <w:rPr>
          <w:rFonts w:hint="eastAsia"/>
          <w:color w:val="auto"/>
          <w:szCs w:val="28"/>
          <w:lang w:eastAsia="zh-CN"/>
        </w:rPr>
        <w:t>采取</w:t>
      </w:r>
      <w:r>
        <w:rPr>
          <w:color w:val="auto"/>
          <w:szCs w:val="28"/>
        </w:rPr>
        <w:t>及时清除积泥的措施来防止臭气的影响；⑥项目厂区需设置绿化带。</w:t>
      </w:r>
    </w:p>
    <w:p w14:paraId="20DC852E">
      <w:pPr>
        <w:pageBreakBefore w:val="0"/>
        <w:wordWrap/>
        <w:bidi w:val="0"/>
        <w:adjustRightInd/>
        <w:snapToGrid/>
        <w:ind w:firstLine="480"/>
        <w:rPr>
          <w:color w:val="auto"/>
        </w:rPr>
      </w:pPr>
      <w:r>
        <w:rPr>
          <w:color w:val="auto"/>
          <w:szCs w:val="28"/>
        </w:rPr>
        <w:t>以上措施属目前污水处理厂恶臭处理的主要措施，在大、中、小型污水处理厂（站）均得到广泛应用，取得良好的效果。</w:t>
      </w:r>
    </w:p>
    <w:p w14:paraId="52E7ADEC">
      <w:pPr>
        <w:pageBreakBefore w:val="0"/>
        <w:wordWrap/>
        <w:bidi w:val="0"/>
        <w:adjustRightInd/>
        <w:snapToGrid/>
        <w:ind w:firstLine="480"/>
        <w:rPr>
          <w:color w:val="auto"/>
          <w:szCs w:val="28"/>
        </w:rPr>
      </w:pPr>
      <w:r>
        <w:rPr>
          <w:color w:val="auto"/>
          <w:szCs w:val="28"/>
        </w:rPr>
        <w:t>根据《城市污水处理工程项目建设标准》（建标[2001]77号文）要求：</w:t>
      </w:r>
      <w:r>
        <w:rPr>
          <w:rFonts w:hint="eastAsia"/>
          <w:color w:val="auto"/>
          <w:lang w:eastAsia="zh-CN"/>
        </w:rPr>
        <w:t>“</w:t>
      </w:r>
      <w:r>
        <w:rPr>
          <w:color w:val="auto"/>
        </w:rPr>
        <w:t>厂外居住区与产生臭气的生产设施的距离，不宜小于50</w:t>
      </w:r>
      <w:r>
        <w:rPr>
          <w:rFonts w:hint="eastAsia"/>
          <w:color w:val="auto"/>
          <w:lang w:eastAsia="zh-CN"/>
        </w:rPr>
        <w:t>～</w:t>
      </w:r>
      <w:r>
        <w:rPr>
          <w:color w:val="auto"/>
        </w:rPr>
        <w:t>100m</w:t>
      </w:r>
      <w:r>
        <w:rPr>
          <w:rFonts w:hint="eastAsia"/>
          <w:color w:val="auto"/>
          <w:lang w:eastAsia="zh-CN"/>
        </w:rPr>
        <w:t>”</w:t>
      </w:r>
      <w:r>
        <w:rPr>
          <w:color w:val="auto"/>
          <w:szCs w:val="28"/>
        </w:rPr>
        <w:t>。本环评设置卫生防护距离满足标准要求。</w:t>
      </w:r>
    </w:p>
    <w:p w14:paraId="478DFBC7">
      <w:pPr>
        <w:pageBreakBefore w:val="0"/>
        <w:wordWrap/>
        <w:bidi w:val="0"/>
        <w:adjustRightInd/>
        <w:snapToGrid/>
        <w:ind w:firstLine="482"/>
        <w:rPr>
          <w:b/>
          <w:color w:val="auto"/>
        </w:rPr>
      </w:pPr>
      <w:r>
        <w:rPr>
          <w:b/>
          <w:color w:val="auto"/>
        </w:rPr>
        <w:t>综上分析，</w:t>
      </w:r>
      <w:r>
        <w:rPr>
          <w:b/>
          <w:color w:val="auto"/>
          <w:szCs w:val="28"/>
        </w:rPr>
        <w:t>环评提出的恶臭防治措施具有较好的可行性和可靠性；项目通过对以上</w:t>
      </w:r>
      <w:r>
        <w:rPr>
          <w:b/>
          <w:color w:val="auto"/>
        </w:rPr>
        <w:t>措施的落实，可最大限度的减轻项目废气无组织排放对周围环境造成的影响，措施可行。</w:t>
      </w:r>
    </w:p>
    <w:p w14:paraId="13C4330D">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固废处置措施及可行性分析</w:t>
      </w:r>
    </w:p>
    <w:p w14:paraId="2E05BACE">
      <w:pPr>
        <w:pageBreakBefore w:val="0"/>
        <w:wordWrap/>
        <w:bidi w:val="0"/>
        <w:adjustRightInd/>
        <w:snapToGrid/>
        <w:ind w:firstLine="480"/>
        <w:rPr>
          <w:color w:val="auto"/>
        </w:rPr>
      </w:pPr>
      <w:bookmarkStart w:id="281" w:name="_Toc264624083"/>
      <w:r>
        <w:rPr>
          <w:color w:val="auto"/>
        </w:rPr>
        <w:t>本项目营运期间固体废物主要是污水处理厂产生的栅渣和砂，初沉池、二沉池、</w:t>
      </w:r>
      <w:r>
        <w:rPr>
          <w:rFonts w:hint="eastAsia"/>
          <w:color w:val="auto"/>
          <w:lang w:eastAsia="zh-CN"/>
        </w:rPr>
        <w:t>磁混凝沉淀池</w:t>
      </w:r>
      <w:r>
        <w:rPr>
          <w:color w:val="auto"/>
        </w:rPr>
        <w:t>的污泥，生物除臭系统废弃填料，维修产生的废矿物油，化验室废液，废包装材料和员工生活垃圾</w:t>
      </w:r>
      <w:r>
        <w:rPr>
          <w:rFonts w:hint="eastAsia"/>
          <w:color w:val="auto"/>
          <w:lang w:val="en-US" w:eastAsia="zh-CN"/>
        </w:rPr>
        <w:t>等</w:t>
      </w:r>
      <w:r>
        <w:rPr>
          <w:color w:val="auto"/>
        </w:rPr>
        <w:t>。</w:t>
      </w:r>
    </w:p>
    <w:p w14:paraId="212E9D32">
      <w:pPr>
        <w:pageBreakBefore w:val="0"/>
        <w:wordWrap/>
        <w:bidi w:val="0"/>
        <w:adjustRightInd/>
        <w:snapToGrid/>
        <w:ind w:firstLine="480"/>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rFonts w:hint="eastAsia"/>
          <w:b/>
          <w:bCs/>
          <w:color w:val="auto"/>
          <w:lang w:val="en-US" w:eastAsia="zh-CN"/>
        </w:rPr>
        <w:t>生活垃圾</w:t>
      </w:r>
    </w:p>
    <w:p w14:paraId="6CAC3451">
      <w:pPr>
        <w:pageBreakBefore w:val="0"/>
        <w:wordWrap/>
        <w:bidi w:val="0"/>
        <w:adjustRightInd/>
        <w:snapToGrid/>
        <w:ind w:firstLine="480"/>
        <w:rPr>
          <w:rFonts w:hint="eastAsia" w:eastAsia="宋体"/>
          <w:color w:val="auto"/>
          <w:lang w:val="en-US" w:eastAsia="zh-CN"/>
        </w:rPr>
      </w:pPr>
      <w:r>
        <w:rPr>
          <w:rFonts w:hint="eastAsia"/>
          <w:color w:val="auto"/>
        </w:rPr>
        <w:t>生活垃圾经分类收集后，由当地环卫部门统一收集后处置。</w:t>
      </w:r>
      <w:r>
        <w:rPr>
          <w:rFonts w:hint="eastAsia"/>
          <w:color w:val="auto"/>
          <w:lang w:val="en-US" w:eastAsia="zh-CN"/>
        </w:rPr>
        <w:t>餐厨垃圾采用塑料桶收集后定期交由有相应处理能力的单位清运处置。</w:t>
      </w:r>
    </w:p>
    <w:p w14:paraId="1BA06AB3">
      <w:pPr>
        <w:pageBreakBefore w:val="0"/>
        <w:wordWrap/>
        <w:bidi w:val="0"/>
        <w:adjustRightInd/>
        <w:snapToGrid/>
        <w:ind w:firstLine="480"/>
        <w:rPr>
          <w:b/>
          <w:bCs/>
          <w:color w:val="auto"/>
        </w:rPr>
      </w:pPr>
      <w:r>
        <w:rPr>
          <w:b/>
          <w:bCs/>
          <w:color w:val="auto"/>
        </w:rPr>
        <w:t>（</w:t>
      </w:r>
      <w:r>
        <w:rPr>
          <w:rFonts w:hint="eastAsia"/>
          <w:b/>
          <w:bCs/>
          <w:color w:val="auto"/>
          <w:lang w:val="en-US" w:eastAsia="zh-CN"/>
        </w:rPr>
        <w:t>2</w:t>
      </w:r>
      <w:r>
        <w:rPr>
          <w:b/>
          <w:bCs/>
          <w:color w:val="auto"/>
        </w:rPr>
        <w:t>）一般固废暂存</w:t>
      </w:r>
    </w:p>
    <w:p w14:paraId="3638E022">
      <w:pPr>
        <w:pageBreakBefore w:val="0"/>
        <w:wordWrap/>
        <w:bidi w:val="0"/>
        <w:adjustRightInd/>
        <w:snapToGrid/>
        <w:ind w:firstLine="480"/>
        <w:rPr>
          <w:color w:val="auto"/>
        </w:rPr>
      </w:pPr>
      <w:r>
        <w:rPr>
          <w:color w:val="auto"/>
        </w:rPr>
        <w:t>格栅拦截的栅渣脱水后，暂存于厂内的</w:t>
      </w:r>
      <w:r>
        <w:rPr>
          <w:rFonts w:hint="eastAsia"/>
          <w:color w:val="auto"/>
          <w:lang w:val="en-US" w:eastAsia="zh-CN"/>
        </w:rPr>
        <w:t>一般固废暂存区</w:t>
      </w:r>
      <w:r>
        <w:rPr>
          <w:rFonts w:hint="eastAsia"/>
          <w:color w:val="auto"/>
        </w:rPr>
        <w:t>中</w:t>
      </w:r>
      <w:r>
        <w:rPr>
          <w:color w:val="auto"/>
        </w:rPr>
        <w:t>，定期送往当地生活垃圾填埋场；生物除臭系统废弃填料经填料生产厂家统一回收；废包装材料外卖至废品回收站综合利用。</w:t>
      </w:r>
    </w:p>
    <w:p w14:paraId="17D7EF7A">
      <w:pPr>
        <w:pageBreakBefore w:val="0"/>
        <w:wordWrap/>
        <w:bidi w:val="0"/>
        <w:adjustRightInd/>
        <w:snapToGrid/>
        <w:ind w:firstLine="480"/>
        <w:rPr>
          <w:b/>
          <w:bCs/>
          <w:color w:val="auto"/>
        </w:rPr>
      </w:pPr>
      <w:r>
        <w:rPr>
          <w:b/>
          <w:bCs/>
          <w:color w:val="auto"/>
        </w:rPr>
        <w:t>（</w:t>
      </w:r>
      <w:r>
        <w:rPr>
          <w:rFonts w:hint="eastAsia"/>
          <w:b/>
          <w:bCs/>
          <w:color w:val="auto"/>
          <w:lang w:val="en-US" w:eastAsia="zh-CN"/>
        </w:rPr>
        <w:t>3</w:t>
      </w:r>
      <w:r>
        <w:rPr>
          <w:b/>
          <w:bCs/>
          <w:color w:val="auto"/>
        </w:rPr>
        <w:t>）危废暂存区</w:t>
      </w:r>
    </w:p>
    <w:p w14:paraId="50B7DAF8">
      <w:pPr>
        <w:pageBreakBefore w:val="0"/>
        <w:wordWrap/>
        <w:bidi w:val="0"/>
        <w:adjustRightInd/>
        <w:snapToGrid/>
        <w:ind w:firstLine="480"/>
        <w:rPr>
          <w:color w:val="auto"/>
        </w:rPr>
      </w:pPr>
      <w:r>
        <w:rPr>
          <w:rFonts w:hint="eastAsia"/>
          <w:color w:val="auto"/>
          <w:lang w:val="en-US" w:eastAsia="zh-CN"/>
        </w:rPr>
        <w:t>废机油和废机油桶、含有棉纱手套、化验废液、废化学试剂瓶和废紫外线灯管</w:t>
      </w:r>
      <w:r>
        <w:rPr>
          <w:color w:val="auto"/>
        </w:rPr>
        <w:t>属危废，分类收集后交由具有危废处理资质单位处置，拟在项目</w:t>
      </w:r>
      <w:r>
        <w:rPr>
          <w:rFonts w:hint="eastAsia"/>
          <w:color w:val="auto"/>
          <w:lang w:val="en-US" w:eastAsia="zh-CN"/>
        </w:rPr>
        <w:t>东</w:t>
      </w:r>
      <w:r>
        <w:rPr>
          <w:color w:val="auto"/>
        </w:rPr>
        <w:t>侧设置1处占地面积约</w:t>
      </w:r>
      <w:r>
        <w:rPr>
          <w:rFonts w:hint="eastAsia"/>
          <w:color w:val="auto"/>
          <w:lang w:val="en-US" w:eastAsia="zh-CN"/>
        </w:rPr>
        <w:t>100</w:t>
      </w:r>
      <w:r>
        <w:rPr>
          <w:rFonts w:hint="eastAsia"/>
          <w:color w:val="auto"/>
          <w:lang w:eastAsia="zh-CN"/>
        </w:rPr>
        <w:t>m²的</w:t>
      </w:r>
      <w:r>
        <w:rPr>
          <w:color w:val="auto"/>
        </w:rPr>
        <w:t>危险废物暂存间。危废暂存间按《危险废物贮存污染控制标准》（</w:t>
      </w:r>
      <w:r>
        <w:rPr>
          <w:rFonts w:hint="eastAsia"/>
          <w:color w:val="auto"/>
          <w:lang w:eastAsia="zh-CN"/>
        </w:rPr>
        <w:t>GB18597-2023</w:t>
      </w:r>
      <w:r>
        <w:rPr>
          <w:rFonts w:hint="eastAsia"/>
          <w:color w:val="auto"/>
        </w:rPr>
        <w:t>）</w:t>
      </w:r>
      <w:r>
        <w:rPr>
          <w:color w:val="auto"/>
        </w:rPr>
        <w:t>要求，设有防腐、防渗措施。</w:t>
      </w:r>
    </w:p>
    <w:p w14:paraId="720AD56F">
      <w:pPr>
        <w:pageBreakBefore w:val="0"/>
        <w:kinsoku/>
        <w:wordWrap/>
        <w:overflowPunct/>
        <w:autoSpaceDE w:val="0"/>
        <w:autoSpaceDN w:val="0"/>
        <w:bidi w:val="0"/>
        <w:adjustRightInd/>
        <w:snapToGrid/>
        <w:ind w:firstLine="480"/>
        <w:jc w:val="left"/>
        <w:rPr>
          <w:color w:val="auto"/>
        </w:rPr>
      </w:pPr>
      <w:r>
        <w:rPr>
          <w:color w:val="auto"/>
        </w:rPr>
        <w:t>①</w:t>
      </w:r>
      <w:r>
        <w:rPr>
          <w:color w:val="auto"/>
          <w:sz w:val="24"/>
        </w:rPr>
        <w:t>危险废物暂存</w:t>
      </w:r>
      <w:r>
        <w:rPr>
          <w:rFonts w:hint="eastAsia"/>
          <w:color w:val="auto"/>
          <w:sz w:val="24"/>
        </w:rPr>
        <w:t>间</w:t>
      </w:r>
      <w:r>
        <w:rPr>
          <w:color w:val="auto"/>
          <w:spacing w:val="-2"/>
          <w:sz w:val="24"/>
        </w:rPr>
        <w:t>应</w:t>
      </w:r>
      <w:r>
        <w:rPr>
          <w:rFonts w:hint="eastAsia"/>
          <w:color w:val="auto"/>
          <w:spacing w:val="-2"/>
          <w:sz w:val="24"/>
        </w:rPr>
        <w:t>做到防风、防晒、防雨、防漏、防渗、防腐和防止危险废物流失、扬散等措施。</w:t>
      </w:r>
    </w:p>
    <w:p w14:paraId="0CB1C74E">
      <w:pPr>
        <w:pageBreakBefore w:val="0"/>
        <w:kinsoku/>
        <w:wordWrap/>
        <w:overflowPunct/>
        <w:autoSpaceDE w:val="0"/>
        <w:autoSpaceDN w:val="0"/>
        <w:bidi w:val="0"/>
        <w:adjustRightInd/>
        <w:snapToGrid/>
        <w:ind w:firstLine="480"/>
        <w:jc w:val="left"/>
        <w:rPr>
          <w:color w:val="auto"/>
        </w:rPr>
      </w:pPr>
      <w:r>
        <w:rPr>
          <w:color w:val="auto"/>
        </w:rPr>
        <w:t>②</w:t>
      </w:r>
      <w:r>
        <w:rPr>
          <w:rFonts w:hint="eastAsia"/>
          <w:color w:val="auto"/>
          <w:sz w:val="24"/>
        </w:rPr>
        <w:t>贮存设施应根据危险废物的类别、数量、形态、物理化学性质和污染防治等要求设置必要的贮存分区，避免不相容的危险废物接触、混合</w:t>
      </w:r>
      <w:r>
        <w:rPr>
          <w:color w:val="auto"/>
          <w:sz w:val="24"/>
        </w:rPr>
        <w:t>。</w:t>
      </w:r>
    </w:p>
    <w:p w14:paraId="31CF37A1">
      <w:pPr>
        <w:pageBreakBefore w:val="0"/>
        <w:kinsoku/>
        <w:wordWrap/>
        <w:overflowPunct/>
        <w:autoSpaceDE w:val="0"/>
        <w:autoSpaceDN w:val="0"/>
        <w:bidi w:val="0"/>
        <w:adjustRightInd/>
        <w:snapToGrid/>
        <w:ind w:firstLine="480"/>
        <w:jc w:val="left"/>
        <w:rPr>
          <w:color w:val="auto"/>
        </w:rPr>
      </w:pPr>
      <w:r>
        <w:rPr>
          <w:color w:val="auto"/>
        </w:rPr>
        <w:t>③</w:t>
      </w:r>
      <w:r>
        <w:rPr>
          <w:rFonts w:hint="eastAsia"/>
          <w:color w:val="auto"/>
          <w:sz w:val="24"/>
        </w:rPr>
        <w:t>贮存设施或贮存分区内地面、墙面裙脚、堵截泄漏的围堰、接触危险废物的隔板和墙体等应采用坚固的材料建造，表面无裂缝。</w:t>
      </w:r>
    </w:p>
    <w:p w14:paraId="6B04DE4C">
      <w:pPr>
        <w:snapToGrid w:val="0"/>
        <w:spacing w:line="360" w:lineRule="auto"/>
        <w:ind w:firstLine="480" w:firstLineChars="200"/>
        <w:rPr>
          <w:color w:val="auto"/>
          <w:sz w:val="24"/>
        </w:rPr>
      </w:pPr>
      <w:r>
        <w:rPr>
          <w:color w:val="auto"/>
        </w:rPr>
        <w:t>④</w:t>
      </w:r>
      <w:r>
        <w:rPr>
          <w:rFonts w:hint="eastAsia"/>
          <w:color w:val="auto"/>
          <w:sz w:val="24"/>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color w:val="auto"/>
          <w:sz w:val="24"/>
          <w:vertAlign w:val="superscript"/>
        </w:rPr>
        <w:t>-7</w:t>
      </w:r>
      <w:r>
        <w:rPr>
          <w:rFonts w:hint="eastAsia"/>
          <w:color w:val="auto"/>
          <w:sz w:val="24"/>
        </w:rPr>
        <w:t>cm/s</w:t>
      </w:r>
      <w:r>
        <w:rPr>
          <w:rFonts w:hint="eastAsia"/>
          <w:color w:val="auto"/>
          <w:sz w:val="24"/>
          <w:lang w:eastAsia="zh-CN"/>
        </w:rPr>
        <w:t>）</w:t>
      </w:r>
      <w:r>
        <w:rPr>
          <w:rFonts w:hint="eastAsia"/>
          <w:color w:val="auto"/>
          <w:sz w:val="24"/>
        </w:rPr>
        <w:t>，或至少2mm厚高密度聚乙烯膜等人工防渗材料（渗透系数不大于10</w:t>
      </w:r>
      <w:r>
        <w:rPr>
          <w:rFonts w:hint="eastAsia"/>
          <w:color w:val="auto"/>
          <w:sz w:val="24"/>
          <w:vertAlign w:val="superscript"/>
        </w:rPr>
        <w:t>-10</w:t>
      </w:r>
      <w:r>
        <w:rPr>
          <w:rFonts w:hint="eastAsia"/>
          <w:color w:val="auto"/>
          <w:sz w:val="24"/>
        </w:rPr>
        <w:t>cm/s</w:t>
      </w:r>
      <w:r>
        <w:rPr>
          <w:rFonts w:hint="eastAsia"/>
          <w:color w:val="auto"/>
          <w:sz w:val="24"/>
          <w:lang w:eastAsia="zh-CN"/>
        </w:rPr>
        <w:t>）</w:t>
      </w:r>
      <w:r>
        <w:rPr>
          <w:rFonts w:hint="eastAsia"/>
          <w:color w:val="auto"/>
          <w:sz w:val="24"/>
        </w:rPr>
        <w:t>，或其他防渗性能等效的材料。</w:t>
      </w:r>
    </w:p>
    <w:p w14:paraId="270A899F">
      <w:pPr>
        <w:bidi w:val="0"/>
        <w:rPr>
          <w:rFonts w:hint="default"/>
          <w:color w:val="auto"/>
        </w:rPr>
      </w:pPr>
      <w:r>
        <w:rPr>
          <w:rFonts w:hint="default"/>
          <w:color w:val="auto"/>
        </w:rPr>
        <w:t>⑤</w:t>
      </w:r>
      <w:r>
        <w:rPr>
          <w:rFonts w:hint="eastAsia"/>
          <w:color w:val="auto"/>
          <w:sz w:val="24"/>
        </w:rPr>
        <w:t>贮存设施应采取技术和管理措施防止无关人员进入。</w:t>
      </w:r>
    </w:p>
    <w:p w14:paraId="605CE2C5">
      <w:pPr>
        <w:bidi w:val="0"/>
        <w:rPr>
          <w:rFonts w:hint="default"/>
          <w:color w:val="auto"/>
        </w:rPr>
      </w:pPr>
      <w:r>
        <w:rPr>
          <w:rFonts w:hint="default"/>
          <w:color w:val="auto"/>
        </w:rPr>
        <w:t>⑥</w:t>
      </w:r>
      <w:r>
        <w:rPr>
          <w:rFonts w:hint="eastAsia"/>
          <w:color w:val="auto"/>
          <w:sz w:val="24"/>
        </w:rPr>
        <w:t>不同贮存分区之间应采取隔离措施。隔离措施可根据危险废物</w:t>
      </w:r>
      <w:r>
        <w:rPr>
          <w:rFonts w:hint="eastAsia"/>
          <w:color w:val="auto"/>
          <w:sz w:val="24"/>
          <w:lang w:eastAsia="zh-CN"/>
        </w:rPr>
        <w:t>特点</w:t>
      </w:r>
      <w:r>
        <w:rPr>
          <w:rFonts w:hint="eastAsia"/>
          <w:color w:val="auto"/>
          <w:sz w:val="24"/>
        </w:rPr>
        <w:t>采用过道、隔板或隔墙等方式。</w:t>
      </w:r>
    </w:p>
    <w:p w14:paraId="6BDC8113">
      <w:pPr>
        <w:bidi w:val="0"/>
        <w:rPr>
          <w:rFonts w:hint="default"/>
          <w:color w:val="auto"/>
        </w:rPr>
      </w:pPr>
      <w:r>
        <w:rPr>
          <w:rFonts w:hint="default"/>
          <w:color w:val="auto"/>
        </w:rPr>
        <w:t>⑦</w:t>
      </w:r>
      <w:r>
        <w:rPr>
          <w:rFonts w:hint="eastAsia"/>
          <w:color w:val="auto"/>
          <w:sz w:val="24"/>
        </w:rPr>
        <w:t>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w:t>
      </w:r>
    </w:p>
    <w:p w14:paraId="1010C934">
      <w:pPr>
        <w:bidi w:val="0"/>
        <w:rPr>
          <w:rFonts w:hint="eastAsia"/>
          <w:color w:val="auto"/>
        </w:rPr>
      </w:pPr>
      <w:r>
        <w:rPr>
          <w:rFonts w:hint="eastAsia"/>
          <w:color w:val="auto"/>
        </w:rPr>
        <w:t>⑧</w:t>
      </w:r>
      <w:r>
        <w:rPr>
          <w:rFonts w:hint="eastAsia"/>
          <w:color w:val="auto"/>
          <w:sz w:val="24"/>
        </w:rPr>
        <w:t>贮存场可整体或分区设计液体导流和收集设施，收集设施容积应保证在最不利条件下可以容纳对应贮存区域产生的渗滤液、废水等液态物质。</w:t>
      </w:r>
    </w:p>
    <w:p w14:paraId="0A73DD64">
      <w:pPr>
        <w:bidi w:val="0"/>
        <w:rPr>
          <w:rFonts w:hint="eastAsia"/>
          <w:color w:val="auto"/>
        </w:rPr>
      </w:pPr>
      <w:r>
        <w:rPr>
          <w:rFonts w:hint="eastAsia"/>
          <w:color w:val="auto"/>
        </w:rPr>
        <w:t>⑨</w:t>
      </w:r>
      <w:r>
        <w:rPr>
          <w:color w:val="auto"/>
        </w:rPr>
        <w:t>应按</w:t>
      </w:r>
      <w:r>
        <w:rPr>
          <w:rFonts w:hint="eastAsia"/>
          <w:color w:val="auto"/>
        </w:rPr>
        <w:t>《危险废物识别标志设置技术规范》</w:t>
      </w:r>
      <w:r>
        <w:rPr>
          <w:color w:val="auto"/>
        </w:rPr>
        <w:t>（HJ1276-2022）要求设置警示标志及环境保护图形标志。</w:t>
      </w:r>
    </w:p>
    <w:p w14:paraId="4262FBC7">
      <w:pPr>
        <w:pageBreakBefore w:val="0"/>
        <w:kinsoku/>
        <w:wordWrap/>
        <w:overflowPunct/>
        <w:autoSpaceDE w:val="0"/>
        <w:autoSpaceDN w:val="0"/>
        <w:bidi w:val="0"/>
        <w:adjustRightInd/>
        <w:snapToGrid/>
        <w:ind w:firstLine="480"/>
        <w:jc w:val="left"/>
        <w:rPr>
          <w:color w:val="auto"/>
        </w:rPr>
      </w:pPr>
      <w:r>
        <w:rPr>
          <w:color w:val="auto"/>
        </w:rPr>
        <w:t>项目建设单位拟建的危险废物暂存间必须按照《危险废物贮存污染控制标准》（</w:t>
      </w:r>
      <w:r>
        <w:rPr>
          <w:rFonts w:hint="eastAsia"/>
          <w:color w:val="auto"/>
          <w:lang w:eastAsia="zh-CN"/>
        </w:rPr>
        <w:t>GB18597-2023</w:t>
      </w:r>
      <w:r>
        <w:rPr>
          <w:rFonts w:hint="eastAsia"/>
          <w:color w:val="auto"/>
        </w:rPr>
        <w:t>）</w:t>
      </w:r>
      <w:r>
        <w:rPr>
          <w:color w:val="auto"/>
        </w:rPr>
        <w:t>的要求执行。</w:t>
      </w:r>
    </w:p>
    <w:p w14:paraId="45BE4563">
      <w:pPr>
        <w:pageBreakBefore w:val="0"/>
        <w:kinsoku/>
        <w:wordWrap/>
        <w:overflowPunct/>
        <w:autoSpaceDE w:val="0"/>
        <w:autoSpaceDN w:val="0"/>
        <w:bidi w:val="0"/>
        <w:adjustRightInd/>
        <w:snapToGrid/>
        <w:ind w:firstLine="482"/>
        <w:jc w:val="left"/>
        <w:rPr>
          <w:b/>
          <w:bCs/>
          <w:color w:val="auto"/>
        </w:rPr>
      </w:pPr>
      <w:r>
        <w:rPr>
          <w:b/>
          <w:bCs/>
          <w:color w:val="auto"/>
        </w:rPr>
        <w:t>危险废物贮存容器：</w:t>
      </w:r>
    </w:p>
    <w:p w14:paraId="35919F3B">
      <w:pPr>
        <w:pageBreakBefore w:val="0"/>
        <w:kinsoku/>
        <w:wordWrap/>
        <w:overflowPunct/>
        <w:bidi w:val="0"/>
        <w:adjustRightInd/>
        <w:snapToGrid/>
        <w:ind w:firstLine="480"/>
        <w:rPr>
          <w:color w:val="auto"/>
        </w:rPr>
      </w:pPr>
      <w:r>
        <w:rPr>
          <w:rFonts w:hint="eastAsia"/>
          <w:color w:val="auto"/>
          <w:lang w:val="en-US" w:eastAsia="zh-CN"/>
        </w:rPr>
        <w:t>A</w:t>
      </w:r>
      <w:r>
        <w:rPr>
          <w:color w:val="auto"/>
        </w:rPr>
        <w:t>.应当使用符合标准的容器盛装危险废物。</w:t>
      </w:r>
    </w:p>
    <w:p w14:paraId="7F32D463">
      <w:pPr>
        <w:pageBreakBefore w:val="0"/>
        <w:kinsoku/>
        <w:wordWrap/>
        <w:overflowPunct/>
        <w:bidi w:val="0"/>
        <w:adjustRightInd/>
        <w:snapToGrid/>
        <w:ind w:firstLine="480"/>
        <w:rPr>
          <w:color w:val="auto"/>
        </w:rPr>
      </w:pPr>
      <w:r>
        <w:rPr>
          <w:rFonts w:hint="eastAsia"/>
          <w:color w:val="auto"/>
          <w:lang w:val="en-US" w:eastAsia="zh-CN"/>
        </w:rPr>
        <w:t>B</w:t>
      </w:r>
      <w:r>
        <w:rPr>
          <w:color w:val="auto"/>
        </w:rPr>
        <w:t>.装载危险废物的容器及材质要满足相应的强度要求。</w:t>
      </w:r>
    </w:p>
    <w:p w14:paraId="7183A1EA">
      <w:pPr>
        <w:pageBreakBefore w:val="0"/>
        <w:kinsoku/>
        <w:wordWrap/>
        <w:overflowPunct/>
        <w:bidi w:val="0"/>
        <w:adjustRightInd/>
        <w:snapToGrid/>
        <w:ind w:firstLine="480"/>
        <w:rPr>
          <w:color w:val="auto"/>
        </w:rPr>
      </w:pPr>
      <w:r>
        <w:rPr>
          <w:rFonts w:hint="eastAsia"/>
          <w:color w:val="auto"/>
          <w:lang w:val="en-US" w:eastAsia="zh-CN"/>
        </w:rPr>
        <w:t>C</w:t>
      </w:r>
      <w:r>
        <w:rPr>
          <w:color w:val="auto"/>
        </w:rPr>
        <w:t>.装载危险废物的容器必须完好无损。</w:t>
      </w:r>
    </w:p>
    <w:p w14:paraId="609BBC11">
      <w:pPr>
        <w:pageBreakBefore w:val="0"/>
        <w:kinsoku/>
        <w:wordWrap/>
        <w:overflowPunct/>
        <w:bidi w:val="0"/>
        <w:adjustRightInd/>
        <w:snapToGrid/>
        <w:ind w:firstLine="480"/>
        <w:rPr>
          <w:color w:val="auto"/>
        </w:rPr>
      </w:pPr>
      <w:r>
        <w:rPr>
          <w:rFonts w:hint="eastAsia"/>
          <w:color w:val="auto"/>
          <w:lang w:val="en-US" w:eastAsia="zh-CN"/>
        </w:rPr>
        <w:t>D</w:t>
      </w:r>
      <w:r>
        <w:rPr>
          <w:color w:val="auto"/>
        </w:rPr>
        <w:t>.盛装危险废物的容器材质和衬里要与危险废物相容（不相互反应</w:t>
      </w:r>
      <w:r>
        <w:rPr>
          <w:rFonts w:hint="eastAsia"/>
          <w:color w:val="auto"/>
        </w:rPr>
        <w:t>）</w:t>
      </w:r>
      <w:r>
        <w:rPr>
          <w:color w:val="auto"/>
        </w:rPr>
        <w:t>。</w:t>
      </w:r>
    </w:p>
    <w:p w14:paraId="0CB24109">
      <w:pPr>
        <w:pageBreakBefore w:val="0"/>
        <w:kinsoku/>
        <w:wordWrap/>
        <w:overflowPunct/>
        <w:bidi w:val="0"/>
        <w:adjustRightInd/>
        <w:snapToGrid/>
        <w:ind w:firstLine="480"/>
        <w:rPr>
          <w:color w:val="auto"/>
        </w:rPr>
      </w:pPr>
      <w:r>
        <w:rPr>
          <w:rFonts w:hint="eastAsia"/>
          <w:color w:val="auto"/>
          <w:lang w:val="en-US" w:eastAsia="zh-CN"/>
        </w:rPr>
        <w:t>E</w:t>
      </w:r>
      <w:r>
        <w:rPr>
          <w:color w:val="auto"/>
        </w:rPr>
        <w:t>.危险废物暂存间必须与医疗区、加工区和人员活动密集区隔开，方便危险废物装卸、装卸人员及运送车辆的出入；应有严密的封闭措施，设专人管理，避免非工作人员进出，以及防鼠、防蚊蝇、防蟑螂、防盗以及预防儿童接触等安全措施。</w:t>
      </w:r>
    </w:p>
    <w:p w14:paraId="034E3775">
      <w:pPr>
        <w:pageBreakBefore w:val="0"/>
        <w:kinsoku/>
        <w:wordWrap/>
        <w:overflowPunct/>
        <w:autoSpaceDE w:val="0"/>
        <w:autoSpaceDN w:val="0"/>
        <w:bidi w:val="0"/>
        <w:adjustRightInd/>
        <w:snapToGrid/>
        <w:ind w:firstLine="482"/>
        <w:jc w:val="left"/>
        <w:rPr>
          <w:b/>
          <w:bCs/>
          <w:color w:val="auto"/>
        </w:rPr>
      </w:pPr>
      <w:r>
        <w:rPr>
          <w:b/>
          <w:bCs/>
          <w:color w:val="auto"/>
        </w:rPr>
        <w:t>危险废物的交接：</w:t>
      </w:r>
    </w:p>
    <w:p w14:paraId="4AA4C4D1">
      <w:pPr>
        <w:pageBreakBefore w:val="0"/>
        <w:kinsoku/>
        <w:wordWrap/>
        <w:overflowPunct/>
        <w:bidi w:val="0"/>
        <w:adjustRightInd/>
        <w:snapToGrid/>
        <w:ind w:firstLine="480"/>
        <w:rPr>
          <w:color w:val="auto"/>
        </w:rPr>
      </w:pPr>
      <w:r>
        <w:rPr>
          <w:rFonts w:hint="eastAsia"/>
          <w:color w:val="auto"/>
          <w:lang w:val="en-US" w:eastAsia="zh-CN"/>
        </w:rPr>
        <w:t>A</w:t>
      </w:r>
      <w:r>
        <w:rPr>
          <w:color w:val="auto"/>
        </w:rPr>
        <w:t>.废物转运应当依照《中华人民共和国固体废物污染环境防治法》的规定，执行危险废物转移联单管理制度。应当对危险废物进行登记，登记内容应当包括危险废物的来源、种类、重量或者数量、交接时间、处置方法、最终去向以及经办人签名等项目。保存时间为</w:t>
      </w:r>
      <w:r>
        <w:rPr>
          <w:rFonts w:hint="eastAsia"/>
          <w:color w:val="auto"/>
          <w:lang w:val="en-US" w:eastAsia="zh-CN"/>
        </w:rPr>
        <w:t>5</w:t>
      </w:r>
      <w:r>
        <w:rPr>
          <w:color w:val="auto"/>
        </w:rPr>
        <w:t>年。</w:t>
      </w:r>
    </w:p>
    <w:p w14:paraId="17D7E769">
      <w:pPr>
        <w:pageBreakBefore w:val="0"/>
        <w:kinsoku/>
        <w:wordWrap/>
        <w:overflowPunct/>
        <w:bidi w:val="0"/>
        <w:adjustRightInd/>
        <w:snapToGrid/>
        <w:ind w:firstLine="480"/>
        <w:rPr>
          <w:color w:val="auto"/>
        </w:rPr>
      </w:pPr>
      <w:r>
        <w:rPr>
          <w:rFonts w:hint="eastAsia"/>
          <w:color w:val="auto"/>
          <w:lang w:val="en-US" w:eastAsia="zh-CN"/>
        </w:rPr>
        <w:t>B</w:t>
      </w:r>
      <w:r>
        <w:rPr>
          <w:color w:val="auto"/>
        </w:rPr>
        <w:t>.每车每次运送的危险废物采用《危险废物运送登记卡》管理，一车一卡，由危险废物管理人员交接时填写并签字。当危险废物运至处置单位时，处置厂接收人员确认该登记卡上填写的危险废物数量真实、准确后签收。</w:t>
      </w:r>
    </w:p>
    <w:p w14:paraId="5F3D723F">
      <w:pPr>
        <w:pageBreakBefore w:val="0"/>
        <w:kinsoku/>
        <w:wordWrap/>
        <w:overflowPunct/>
        <w:autoSpaceDE w:val="0"/>
        <w:autoSpaceDN w:val="0"/>
        <w:bidi w:val="0"/>
        <w:adjustRightInd/>
        <w:snapToGrid/>
        <w:ind w:firstLine="482"/>
        <w:jc w:val="left"/>
        <w:rPr>
          <w:rFonts w:hint="eastAsia"/>
          <w:b/>
          <w:bCs/>
          <w:color w:val="auto"/>
        </w:rPr>
      </w:pPr>
      <w:r>
        <w:rPr>
          <w:b/>
          <w:bCs/>
          <w:color w:val="auto"/>
        </w:rPr>
        <w:t>危险废物的运送</w:t>
      </w:r>
      <w:r>
        <w:rPr>
          <w:rFonts w:hint="eastAsia"/>
          <w:b/>
          <w:bCs/>
          <w:color w:val="auto"/>
        </w:rPr>
        <w:t>：</w:t>
      </w:r>
    </w:p>
    <w:p w14:paraId="31C10346">
      <w:pPr>
        <w:snapToGrid w:val="0"/>
        <w:spacing w:line="360" w:lineRule="auto"/>
        <w:ind w:left="34" w:firstLine="425"/>
        <w:rPr>
          <w:color w:val="auto"/>
          <w:sz w:val="24"/>
          <w:szCs w:val="21"/>
        </w:rPr>
      </w:pPr>
      <w:r>
        <w:rPr>
          <w:color w:val="auto"/>
          <w:sz w:val="24"/>
          <w:szCs w:val="21"/>
        </w:rPr>
        <w:t>危险废物由持有危险废物运输经营许可证的单位进行运输。运输过程中应做到</w:t>
      </w:r>
      <w:r>
        <w:rPr>
          <w:rFonts w:hint="eastAsia"/>
          <w:color w:val="auto"/>
          <w:sz w:val="24"/>
          <w:szCs w:val="21"/>
        </w:rPr>
        <w:t>以</w:t>
      </w:r>
      <w:r>
        <w:rPr>
          <w:color w:val="auto"/>
          <w:sz w:val="24"/>
          <w:szCs w:val="21"/>
        </w:rPr>
        <w:t>下要求：</w:t>
      </w:r>
    </w:p>
    <w:p w14:paraId="55C0C92E">
      <w:pPr>
        <w:bidi w:val="0"/>
        <w:rPr>
          <w:color w:val="auto"/>
        </w:rPr>
      </w:pPr>
      <w:r>
        <w:rPr>
          <w:rFonts w:hint="eastAsia"/>
          <w:color w:val="auto"/>
        </w:rPr>
        <w:t>A</w:t>
      </w:r>
      <w:r>
        <w:rPr>
          <w:rFonts w:hint="eastAsia"/>
          <w:color w:val="auto"/>
          <w:lang w:eastAsia="zh-CN"/>
        </w:rPr>
        <w:t>.</w:t>
      </w:r>
      <w:r>
        <w:rPr>
          <w:rFonts w:hint="eastAsia"/>
          <w:color w:val="auto"/>
        </w:rPr>
        <w:t>执行危险废物转移联单管理制度。对危险废物进行登记，登记内容应当包括危险废物的来源、种类、重量或者数量、交接时间、处置方法、最终去向以及经办人签名等项目。保存时间为5年。</w:t>
      </w:r>
    </w:p>
    <w:p w14:paraId="4E1016B8">
      <w:pPr>
        <w:bidi w:val="0"/>
        <w:rPr>
          <w:color w:val="auto"/>
        </w:rPr>
      </w:pPr>
      <w:r>
        <w:rPr>
          <w:rFonts w:hint="eastAsia"/>
          <w:color w:val="auto"/>
        </w:rPr>
        <w:t>B</w:t>
      </w:r>
      <w:r>
        <w:rPr>
          <w:rFonts w:hint="eastAsia"/>
          <w:color w:val="auto"/>
          <w:lang w:eastAsia="zh-CN"/>
        </w:rPr>
        <w:t>.</w:t>
      </w:r>
      <w:r>
        <w:rPr>
          <w:color w:val="auto"/>
        </w:rPr>
        <w:t>危险废物处置单位的运输人员必须掌握危险化学品运输的安全知识，了解所运载的危险物质的性质、危害特性、包装容器的使用特性和发生意外时的应急措施。运输车辆必须具有车辆危险货物运输许可证。</w:t>
      </w:r>
      <w:r>
        <w:rPr>
          <w:rFonts w:hint="eastAsia"/>
          <w:color w:val="auto"/>
        </w:rPr>
        <w:t>每车每次运送的危险废物采用《危险废物运送登记卡》管理，一车一卡，由危险废物管理人员交接时填写并签字。当危险废物运至处置单位时，处置厂接收人员确认该登记卡上填写的危险废物数量真实、准确后签收。</w:t>
      </w:r>
    </w:p>
    <w:p w14:paraId="1B5C5D2F">
      <w:pPr>
        <w:bidi w:val="0"/>
        <w:rPr>
          <w:color w:val="auto"/>
        </w:rPr>
      </w:pPr>
      <w:r>
        <w:rPr>
          <w:rFonts w:hint="eastAsia"/>
          <w:color w:val="auto"/>
        </w:rPr>
        <w:t>C</w:t>
      </w:r>
      <w:r>
        <w:rPr>
          <w:rFonts w:hint="eastAsia"/>
          <w:color w:val="auto"/>
          <w:lang w:eastAsia="zh-CN"/>
        </w:rPr>
        <w:t>.</w:t>
      </w:r>
      <w:r>
        <w:rPr>
          <w:color w:val="auto"/>
        </w:rPr>
        <w:t>处置单位在运输危险废物时必须配备押运人员，并随时处于押运人员的监管之下，不得超装、超载，严格按照所在城市规定的行车时间和行车路线行驶，不得进入危险化学品运输车辆禁止通行的区域。</w:t>
      </w:r>
    </w:p>
    <w:p w14:paraId="4C9B4105">
      <w:pPr>
        <w:bidi w:val="0"/>
        <w:rPr>
          <w:color w:val="auto"/>
        </w:rPr>
      </w:pPr>
      <w:r>
        <w:rPr>
          <w:rFonts w:hint="eastAsia"/>
          <w:color w:val="auto"/>
        </w:rPr>
        <w:t>D</w:t>
      </w:r>
      <w:r>
        <w:rPr>
          <w:rFonts w:hint="eastAsia"/>
          <w:color w:val="auto"/>
          <w:lang w:eastAsia="zh-CN"/>
        </w:rPr>
        <w:t>.</w:t>
      </w:r>
      <w:r>
        <w:rPr>
          <w:color w:val="auto"/>
        </w:rPr>
        <w:t>危险废物在运输途中若发生被盗、丢失、流散、泄漏等情况时，公司及押运人员必须立即向当地公安部门报告，并采取一切可能的警示措施。</w:t>
      </w:r>
    </w:p>
    <w:p w14:paraId="446D29C7">
      <w:pPr>
        <w:bidi w:val="0"/>
        <w:rPr>
          <w:color w:val="auto"/>
        </w:rPr>
      </w:pPr>
      <w:r>
        <w:rPr>
          <w:rFonts w:hint="eastAsia"/>
          <w:color w:val="auto"/>
        </w:rPr>
        <w:t>E</w:t>
      </w:r>
      <w:r>
        <w:rPr>
          <w:rFonts w:hint="eastAsia"/>
          <w:color w:val="auto"/>
          <w:lang w:eastAsia="zh-CN"/>
        </w:rPr>
        <w:t>.</w:t>
      </w:r>
      <w:r>
        <w:rPr>
          <w:color w:val="auto"/>
        </w:rPr>
        <w:t>一旦发生危险废物泄漏事故，企业和危废处置单位都应积极协助有关部门采取必要的安全措施，减少事故损失，防止事故蔓延、扩大；针对事故对人体、动植物、土壤、水源、空气造成的现实危害和可能产生的危害，应迅速采取封闭、隔离、洗消等措施，并对事故造成的危害进行监测、处置，直至符合国家环境保护标准。</w:t>
      </w:r>
    </w:p>
    <w:p w14:paraId="4E2BEF22">
      <w:pPr>
        <w:pageBreakBefore w:val="0"/>
        <w:wordWrap/>
        <w:bidi w:val="0"/>
        <w:adjustRightInd/>
        <w:snapToGrid/>
        <w:ind w:firstLine="480"/>
        <w:rPr>
          <w:b/>
          <w:bCs/>
          <w:color w:val="auto"/>
        </w:rPr>
      </w:pPr>
      <w:r>
        <w:rPr>
          <w:b/>
          <w:bCs/>
          <w:color w:val="auto"/>
        </w:rPr>
        <w:t>（</w:t>
      </w:r>
      <w:r>
        <w:rPr>
          <w:rFonts w:hint="eastAsia"/>
          <w:b/>
          <w:bCs/>
          <w:color w:val="auto"/>
          <w:lang w:val="en-US" w:eastAsia="zh-CN"/>
        </w:rPr>
        <w:t>4</w:t>
      </w:r>
      <w:r>
        <w:rPr>
          <w:b/>
          <w:bCs/>
          <w:color w:val="auto"/>
        </w:rPr>
        <w:t>）污泥</w:t>
      </w:r>
    </w:p>
    <w:p w14:paraId="2605AA23">
      <w:pPr>
        <w:pageBreakBefore w:val="0"/>
        <w:wordWrap/>
        <w:bidi w:val="0"/>
        <w:adjustRightInd/>
        <w:snapToGrid/>
        <w:ind w:firstLine="480"/>
        <w:rPr>
          <w:color w:val="auto"/>
        </w:rPr>
      </w:pPr>
      <w:r>
        <w:rPr>
          <w:color w:val="auto"/>
        </w:rPr>
        <w:t>剩余污泥存放于储泥池内，储泥池需作防腐、防渗处理；经脱水后的污泥暂存于泥饼仓中，泥柜出口设置电动刀闸阀，可直接排入密封翻斗车内进行运输。污水处理厂产生的污泥在搬运上车区域，设置专门的排水沟和地坪坡降，以便使清扫不干净的污泥再回到处理系统；污泥应及时外运</w:t>
      </w:r>
      <w:r>
        <w:rPr>
          <w:rFonts w:hint="eastAsia"/>
          <w:color w:val="auto"/>
        </w:rPr>
        <w:t>，降低环境影响</w:t>
      </w:r>
      <w:r>
        <w:rPr>
          <w:color w:val="auto"/>
        </w:rPr>
        <w:t>。</w:t>
      </w:r>
    </w:p>
    <w:p w14:paraId="578E0AB1">
      <w:pPr>
        <w:pageBreakBefore w:val="0"/>
        <w:wordWrap/>
        <w:bidi w:val="0"/>
        <w:adjustRightInd/>
        <w:snapToGrid/>
        <w:ind w:firstLine="480"/>
        <w:rPr>
          <w:color w:val="auto"/>
        </w:rPr>
      </w:pPr>
      <w:r>
        <w:rPr>
          <w:color w:val="auto"/>
        </w:rPr>
        <w:t>在污泥脱水机房</w:t>
      </w:r>
      <w:r>
        <w:rPr>
          <w:rFonts w:hint="eastAsia"/>
          <w:color w:val="auto"/>
        </w:rPr>
        <w:t>外</w:t>
      </w:r>
      <w:r>
        <w:rPr>
          <w:color w:val="auto"/>
        </w:rPr>
        <w:t>设置脱水污泥</w:t>
      </w:r>
      <w:r>
        <w:rPr>
          <w:rFonts w:hint="eastAsia"/>
          <w:color w:val="auto"/>
        </w:rPr>
        <w:t>料仓</w:t>
      </w:r>
      <w:r>
        <w:rPr>
          <w:color w:val="auto"/>
        </w:rPr>
        <w:t>，因目前不能确定是否属于危废，为最大程度减小对外环境的影响，建议按上述危废暂存区的贮存场所要求进行设置。</w:t>
      </w:r>
    </w:p>
    <w:p w14:paraId="3D60F9B5">
      <w:pPr>
        <w:pageBreakBefore w:val="0"/>
        <w:wordWrap/>
        <w:bidi w:val="0"/>
        <w:adjustRightInd/>
        <w:snapToGrid/>
        <w:ind w:firstLine="480"/>
        <w:rPr>
          <w:color w:val="auto"/>
        </w:rPr>
      </w:pPr>
      <w:r>
        <w:rPr>
          <w:color w:val="auto"/>
        </w:rPr>
        <w:t>①污泥处置可行性分析</w:t>
      </w:r>
    </w:p>
    <w:p w14:paraId="6D136ED5">
      <w:pPr>
        <w:pageBreakBefore w:val="0"/>
        <w:wordWrap/>
        <w:bidi w:val="0"/>
        <w:adjustRightInd/>
        <w:snapToGrid/>
        <w:ind w:firstLine="480"/>
        <w:rPr>
          <w:color w:val="auto"/>
        </w:rPr>
      </w:pPr>
      <w:r>
        <w:rPr>
          <w:color w:val="auto"/>
        </w:rPr>
        <w:t>根据现有调查可知，</w:t>
      </w:r>
      <w:r>
        <w:rPr>
          <w:rFonts w:hint="eastAsia"/>
          <w:color w:val="auto"/>
          <w:lang w:val="en-US" w:eastAsia="zh-CN"/>
        </w:rPr>
        <w:t>规划</w:t>
      </w:r>
      <w:r>
        <w:rPr>
          <w:color w:val="auto"/>
        </w:rPr>
        <w:t>企业中分布有可能排放重金属工业废水的企业。因此污泥中有可能含有重金属。含有较高重金属的污泥进行农用时，不仅增加作物体内的重金属含量，还引起土壤重金属污染，当存在降水时，污泥和土壤中一部分重金属进入地表径流和地下渗流并随水流迁移，进而对地下水造成二次污染。</w:t>
      </w:r>
    </w:p>
    <w:p w14:paraId="72D2E3F5">
      <w:pPr>
        <w:pageBreakBefore w:val="0"/>
        <w:wordWrap/>
        <w:bidi w:val="0"/>
        <w:adjustRightInd/>
        <w:snapToGrid/>
        <w:ind w:firstLine="480"/>
        <w:rPr>
          <w:rFonts w:hint="eastAsia" w:eastAsia="宋体"/>
          <w:color w:val="auto"/>
          <w:lang w:eastAsia="zh-CN"/>
        </w:rPr>
      </w:pPr>
      <w:r>
        <w:rPr>
          <w:color w:val="auto"/>
        </w:rPr>
        <w:t>根据《关于污（废）水处理设施产生污泥危险特性鉴别有关意见的函》（环境保护部，环函[2010]129号）：</w:t>
      </w:r>
      <w:r>
        <w:rPr>
          <w:rFonts w:hint="eastAsia"/>
          <w:color w:val="auto"/>
          <w:lang w:eastAsia="zh-CN"/>
        </w:rPr>
        <w:t>“</w:t>
      </w:r>
      <w:r>
        <w:rPr>
          <w:color w:val="auto"/>
        </w:rPr>
        <w:t>二、专门处理工业废水（或同时处理少量生活污水）的处理设施产生的污泥，可能具有危险特性，应按《国家危险废物名录》、国家环境保护标准《危险废物鉴别技术规范》（</w:t>
      </w:r>
      <w:r>
        <w:rPr>
          <w:rFonts w:hint="eastAsia"/>
          <w:color w:val="auto"/>
          <w:lang w:eastAsia="zh-CN"/>
        </w:rPr>
        <w:t>HJ298</w:t>
      </w:r>
      <w:r>
        <w:rPr>
          <w:rFonts w:hint="eastAsia"/>
          <w:color w:val="auto"/>
          <w:lang w:val="en-US" w:eastAsia="zh-CN"/>
        </w:rPr>
        <w:t>-</w:t>
      </w:r>
      <w:r>
        <w:rPr>
          <w:rFonts w:hint="eastAsia"/>
          <w:color w:val="auto"/>
          <w:lang w:eastAsia="zh-CN"/>
        </w:rPr>
        <w:t>2019</w:t>
      </w:r>
      <w:r>
        <w:rPr>
          <w:color w:val="auto"/>
        </w:rPr>
        <w:t>）和危险废物鉴别标准的规定，对污泥进行危险特性鉴别。</w:t>
      </w:r>
      <w:r>
        <w:rPr>
          <w:rFonts w:hint="eastAsia"/>
          <w:color w:val="auto"/>
          <w:lang w:eastAsia="zh-CN"/>
        </w:rPr>
        <w:t>”根据鉴定结果，确定最终处置方式。 若属危废→危废处置单位；若不属危废→外运至填埋场处置或制砖厂烧砖</w:t>
      </w:r>
    </w:p>
    <w:p w14:paraId="78877E8F">
      <w:pPr>
        <w:pageBreakBefore w:val="0"/>
        <w:wordWrap/>
        <w:bidi w:val="0"/>
        <w:adjustRightInd/>
        <w:snapToGrid/>
        <w:ind w:firstLine="480"/>
        <w:rPr>
          <w:color w:val="auto"/>
        </w:rPr>
      </w:pPr>
      <w:r>
        <w:rPr>
          <w:color w:val="auto"/>
        </w:rPr>
        <w:t>污泥运输过程中应采用密闭运输车辆运输，以进一步减少臭气散发，同时尽量避开学校、医院等环境敏感点的运输线路，以最大限度的减少污泥产生的臭气对运输道路沿线的居民、学校等环境敏感点的不利影响。</w:t>
      </w:r>
    </w:p>
    <w:p w14:paraId="795AABEA">
      <w:pPr>
        <w:pageBreakBefore w:val="0"/>
        <w:wordWrap/>
        <w:bidi w:val="0"/>
        <w:adjustRightInd/>
        <w:snapToGrid/>
        <w:ind w:firstLine="480"/>
        <w:rPr>
          <w:color w:val="auto"/>
        </w:rPr>
      </w:pPr>
      <w:r>
        <w:rPr>
          <w:color w:val="auto"/>
        </w:rPr>
        <w:t>格栅渣和生活垃圾由市政环卫部门统一收集后送垃圾填埋场进行最终的处理与处置；对外运处置的剩余污泥按照定期监测结果送相应资质单位进行处置定期分批次进行抽样检测，根据检测结果确定作出处置方式：若鉴定为危险废物，分类收集、暂存，交由有资质单位处置；若不属于危险废物（例如，I类一般固废），外运有相应资质单位处置。同时，环评要求：相应责任主体对污泥进行运输过程中应该加强管理，禁止沿途遗漏和抛洒，避免运输途中造成的二次污染，</w:t>
      </w:r>
      <w:r>
        <w:rPr>
          <w:bCs/>
          <w:color w:val="auto"/>
        </w:rPr>
        <w:t>措施可行。</w:t>
      </w:r>
    </w:p>
    <w:p w14:paraId="00F1825D">
      <w:pPr>
        <w:pageBreakBefore w:val="0"/>
        <w:wordWrap/>
        <w:bidi w:val="0"/>
        <w:adjustRightInd/>
        <w:snapToGrid/>
        <w:ind w:firstLine="480"/>
        <w:rPr>
          <w:color w:val="auto"/>
        </w:rPr>
      </w:pPr>
      <w:r>
        <w:rPr>
          <w:color w:val="auto"/>
        </w:rPr>
        <w:t>②其他相关要求</w:t>
      </w:r>
    </w:p>
    <w:p w14:paraId="6ADA9DCA">
      <w:pPr>
        <w:pageBreakBefore w:val="0"/>
        <w:wordWrap/>
        <w:bidi w:val="0"/>
        <w:adjustRightInd/>
        <w:snapToGrid/>
        <w:ind w:firstLine="482"/>
        <w:rPr>
          <w:color w:val="auto"/>
        </w:rPr>
      </w:pPr>
      <w:r>
        <w:rPr>
          <w:b/>
          <w:color w:val="auto"/>
        </w:rPr>
        <w:t>环评要求，</w:t>
      </w:r>
      <w:r>
        <w:rPr>
          <w:color w:val="auto"/>
        </w:rPr>
        <w:t>运输车辆密闭，污泥运输时要避开城市中心区，避开运输高峰期，尽量减小臭气对运输线路附近大气环境的影响；按照运输规定使用合格车辆、司机需有相应行车资格，严防震动、撞击、重压和倾倒，避免沿途抛洒污染环境。</w:t>
      </w:r>
    </w:p>
    <w:p w14:paraId="481E963C">
      <w:pPr>
        <w:pageBreakBefore w:val="0"/>
        <w:wordWrap/>
        <w:bidi w:val="0"/>
        <w:adjustRightInd/>
        <w:snapToGrid/>
        <w:ind w:firstLine="472"/>
        <w:rPr>
          <w:color w:val="auto"/>
        </w:rPr>
      </w:pPr>
      <w:r>
        <w:rPr>
          <w:bCs/>
          <w:color w:val="auto"/>
          <w:spacing w:val="-2"/>
        </w:rPr>
        <w:t>废水处置单元、污泥处置区等必须有按规范设计，防渗、防腐、防雨和防流失措施，固废必须分类堆放。</w:t>
      </w:r>
      <w:r>
        <w:rPr>
          <w:b/>
          <w:snapToGrid w:val="0"/>
          <w:color w:val="auto"/>
          <w:kern w:val="0"/>
        </w:rPr>
        <w:t>项目固废处置满足环保要求，处理措施可行。</w:t>
      </w:r>
    </w:p>
    <w:bookmarkEnd w:id="281"/>
    <w:p w14:paraId="1BF0D2B2">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噪声防治措施及可行性分析</w:t>
      </w:r>
    </w:p>
    <w:p w14:paraId="561FD23D">
      <w:pPr>
        <w:pageBreakBefore w:val="0"/>
        <w:wordWrap/>
        <w:bidi w:val="0"/>
        <w:adjustRightInd/>
        <w:snapToGrid/>
        <w:ind w:firstLine="480"/>
        <w:rPr>
          <w:color w:val="auto"/>
        </w:rPr>
      </w:pPr>
      <w:r>
        <w:rPr>
          <w:color w:val="auto"/>
        </w:rPr>
        <w:t>本工程的噪声源主要是厂区内各类水泵、鼓风机、格栅机及污泥脱水间等设备，声级一般在80</w:t>
      </w:r>
      <w:r>
        <w:rPr>
          <w:rFonts w:hint="eastAsia"/>
          <w:color w:val="auto"/>
          <w:lang w:eastAsia="zh-CN"/>
        </w:rPr>
        <w:t>~</w:t>
      </w:r>
      <w:r>
        <w:rPr>
          <w:color w:val="auto"/>
        </w:rPr>
        <w:t>95dB</w:t>
      </w:r>
      <w:r>
        <w:rPr>
          <w:rFonts w:hint="eastAsia"/>
          <w:color w:val="auto"/>
          <w:lang w:eastAsia="zh-CN"/>
        </w:rPr>
        <w:t>（</w:t>
      </w:r>
      <w:r>
        <w:rPr>
          <w:color w:val="auto"/>
        </w:rPr>
        <w:t>A</w:t>
      </w:r>
      <w:r>
        <w:rPr>
          <w:rFonts w:hint="eastAsia"/>
          <w:color w:val="auto"/>
          <w:lang w:eastAsia="zh-CN"/>
        </w:rPr>
        <w:t>）</w:t>
      </w:r>
      <w:r>
        <w:rPr>
          <w:color w:val="auto"/>
        </w:rPr>
        <w:t>之间。</w:t>
      </w:r>
    </w:p>
    <w:p w14:paraId="31729671">
      <w:pPr>
        <w:pageBreakBefore w:val="0"/>
        <w:wordWrap/>
        <w:bidi w:val="0"/>
        <w:adjustRightInd/>
        <w:snapToGrid/>
        <w:ind w:firstLine="480"/>
        <w:rPr>
          <w:color w:val="auto"/>
        </w:rPr>
      </w:pPr>
      <w:r>
        <w:rPr>
          <w:color w:val="auto"/>
        </w:rPr>
        <w:t>治理措施：从设备选型上，尽量选用低噪声设备；对产生气流噪声的设备，如在风机进出口加装消声器；对产生机械噪声的设备如泵机，可在设备与基础之间安装减振装置；在噪声</w:t>
      </w:r>
      <w:r>
        <w:rPr>
          <w:rFonts w:hint="eastAsia"/>
          <w:color w:val="auto"/>
          <w:lang w:eastAsia="zh-CN"/>
        </w:rPr>
        <w:t>传播</w:t>
      </w:r>
      <w:r>
        <w:rPr>
          <w:color w:val="auto"/>
        </w:rPr>
        <w:t>途径上采取措施加以控制，</w:t>
      </w:r>
      <w:r>
        <w:rPr>
          <w:rFonts w:hint="eastAsia"/>
          <w:color w:val="auto"/>
          <w:lang w:eastAsia="zh-CN"/>
        </w:rPr>
        <w:t>加强</w:t>
      </w:r>
      <w:r>
        <w:rPr>
          <w:color w:val="auto"/>
        </w:rPr>
        <w:t>噪声源车间的建筑围护结构均以封闭为主，尽可能少开窗和其他无设防的洞口；同时车间外及厂界处设置绿化带，利用建筑物和树木阻隔声音的</w:t>
      </w:r>
      <w:r>
        <w:rPr>
          <w:rFonts w:hint="eastAsia"/>
          <w:color w:val="auto"/>
          <w:lang w:eastAsia="zh-CN"/>
        </w:rPr>
        <w:t>传播</w:t>
      </w:r>
      <w:r>
        <w:rPr>
          <w:color w:val="auto"/>
        </w:rPr>
        <w:t>。</w:t>
      </w:r>
    </w:p>
    <w:p w14:paraId="4C3E1CA0">
      <w:pPr>
        <w:pageBreakBefore w:val="0"/>
        <w:widowControl/>
        <w:wordWrap/>
        <w:bidi w:val="0"/>
        <w:adjustRightInd/>
        <w:snapToGrid/>
        <w:ind w:firstLine="504"/>
        <w:jc w:val="left"/>
        <w:rPr>
          <w:color w:val="auto"/>
          <w:spacing w:val="4"/>
          <w:kern w:val="18"/>
        </w:rPr>
      </w:pPr>
      <w:r>
        <w:rPr>
          <w:color w:val="auto"/>
          <w:spacing w:val="6"/>
          <w:kern w:val="18"/>
        </w:rPr>
        <w:t>通过以上措施对主要声源采取隔声、消声的措施，可有效降低其噪声对周围环境的影响，厂界外昼夜间噪声值可满足《工业企业厂界环境噪声排放标准》</w:t>
      </w:r>
      <w:r>
        <w:rPr>
          <w:rFonts w:hint="eastAsia"/>
          <w:color w:val="auto"/>
          <w:spacing w:val="6"/>
          <w:kern w:val="18"/>
          <w:lang w:eastAsia="zh-CN"/>
        </w:rPr>
        <w:t>（</w:t>
      </w:r>
      <w:r>
        <w:rPr>
          <w:color w:val="auto"/>
          <w:spacing w:val="6"/>
          <w:kern w:val="18"/>
        </w:rPr>
        <w:t>GB12348-2008</w:t>
      </w:r>
      <w:r>
        <w:rPr>
          <w:rFonts w:hint="eastAsia"/>
          <w:color w:val="auto"/>
          <w:spacing w:val="6"/>
          <w:kern w:val="18"/>
          <w:lang w:eastAsia="zh-CN"/>
        </w:rPr>
        <w:t>）</w:t>
      </w:r>
      <w:r>
        <w:rPr>
          <w:color w:val="auto"/>
          <w:spacing w:val="6"/>
          <w:kern w:val="18"/>
        </w:rPr>
        <w:t>中</w:t>
      </w:r>
      <w:r>
        <w:rPr>
          <w:rFonts w:hint="eastAsia"/>
          <w:color w:val="auto"/>
          <w:spacing w:val="6"/>
          <w:kern w:val="18"/>
          <w:lang w:val="en-US" w:eastAsia="zh-CN"/>
        </w:rPr>
        <w:t>3</w:t>
      </w:r>
      <w:r>
        <w:rPr>
          <w:color w:val="auto"/>
          <w:spacing w:val="6"/>
          <w:kern w:val="18"/>
        </w:rPr>
        <w:t>类</w:t>
      </w:r>
      <w:r>
        <w:rPr>
          <w:rFonts w:hint="eastAsia"/>
          <w:color w:val="auto"/>
          <w:spacing w:val="6"/>
          <w:kern w:val="18"/>
          <w:lang w:eastAsia="zh-CN"/>
        </w:rPr>
        <w:t>（</w:t>
      </w:r>
      <w:r>
        <w:rPr>
          <w:rFonts w:hint="eastAsia"/>
          <w:color w:val="auto"/>
          <w:spacing w:val="6"/>
          <w:kern w:val="18"/>
          <w:lang w:val="en-US" w:eastAsia="zh-CN"/>
        </w:rPr>
        <w:t>临路侧4类</w:t>
      </w:r>
      <w:r>
        <w:rPr>
          <w:rFonts w:hint="eastAsia"/>
          <w:color w:val="auto"/>
          <w:spacing w:val="6"/>
          <w:kern w:val="18"/>
          <w:lang w:eastAsia="zh-CN"/>
        </w:rPr>
        <w:t>）</w:t>
      </w:r>
      <w:r>
        <w:rPr>
          <w:color w:val="auto"/>
          <w:spacing w:val="6"/>
          <w:kern w:val="18"/>
        </w:rPr>
        <w:t>标准的要求。</w:t>
      </w:r>
    </w:p>
    <w:p w14:paraId="40FB6A64">
      <w:pPr>
        <w:pageBreakBefore w:val="0"/>
        <w:tabs>
          <w:tab w:val="left" w:pos="1680"/>
        </w:tabs>
        <w:wordWrap/>
        <w:bidi w:val="0"/>
        <w:adjustRightInd/>
        <w:snapToGrid/>
        <w:ind w:firstLine="504"/>
        <w:jc w:val="left"/>
        <w:rPr>
          <w:color w:val="auto"/>
        </w:rPr>
      </w:pPr>
      <w:r>
        <w:rPr>
          <w:color w:val="auto"/>
          <w:spacing w:val="6"/>
          <w:kern w:val="18"/>
        </w:rPr>
        <w:t>采取以上措施，厂界噪声可达标，噪声防治措施可行。</w:t>
      </w:r>
    </w:p>
    <w:p w14:paraId="0F80A08F">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地下水污染防治措施及可行性分析</w:t>
      </w:r>
    </w:p>
    <w:p w14:paraId="178E232E">
      <w:pPr>
        <w:pStyle w:val="10"/>
        <w:bidi w:val="0"/>
        <w:rPr>
          <w:color w:val="auto"/>
        </w:rPr>
      </w:pPr>
      <w:r>
        <w:rPr>
          <w:color w:val="auto"/>
        </w:rPr>
        <w:t>分区防渗</w:t>
      </w:r>
    </w:p>
    <w:p w14:paraId="1BB5ED8E">
      <w:pPr>
        <w:ind w:firstLine="480"/>
        <w:rPr>
          <w:rFonts w:cs="Times New Roman"/>
          <w:color w:val="auto"/>
        </w:rPr>
      </w:pPr>
      <w:r>
        <w:rPr>
          <w:rFonts w:eastAsia="宋体" w:cs="Times New Roman"/>
          <w:color w:val="auto"/>
        </w:rPr>
        <w:t>为防止项目运行</w:t>
      </w:r>
      <w:r>
        <w:rPr>
          <w:rFonts w:hint="eastAsia" w:eastAsia="宋体" w:cs="Times New Roman"/>
          <w:color w:val="auto"/>
        </w:rPr>
        <w:t>中处理的</w:t>
      </w:r>
      <w:r>
        <w:rPr>
          <w:rFonts w:eastAsia="宋体" w:cs="Times New Roman"/>
          <w:color w:val="auto"/>
        </w:rPr>
        <w:t>废水下渗污染地下水，本项目厂区设置重点防渗区、一般防渗区和简单防渗区</w:t>
      </w:r>
      <w:r>
        <w:rPr>
          <w:rFonts w:hint="eastAsia" w:eastAsia="宋体" w:cs="Times New Roman"/>
          <w:color w:val="auto"/>
        </w:rPr>
        <w:t>。</w:t>
      </w:r>
    </w:p>
    <w:p w14:paraId="2C53A18B">
      <w:pPr>
        <w:ind w:firstLine="482"/>
        <w:rPr>
          <w:rFonts w:eastAsia="宋体" w:cs="Times New Roman"/>
          <w:b/>
          <w:bCs/>
          <w:snapToGrid w:val="0"/>
          <w:color w:val="auto"/>
          <w:szCs w:val="24"/>
        </w:rPr>
      </w:pPr>
      <w:r>
        <w:rPr>
          <w:rFonts w:eastAsia="宋体" w:cs="Times New Roman"/>
          <w:b/>
          <w:bCs/>
          <w:snapToGrid w:val="0"/>
          <w:color w:val="auto"/>
          <w:szCs w:val="24"/>
        </w:rPr>
        <w:t>1、重点防渗区</w:t>
      </w:r>
    </w:p>
    <w:p w14:paraId="12CC221B">
      <w:pPr>
        <w:ind w:firstLine="480"/>
        <w:rPr>
          <w:rFonts w:cs="Times New Roman"/>
          <w:color w:val="auto"/>
        </w:rPr>
      </w:pPr>
      <w:r>
        <w:rPr>
          <w:rFonts w:cs="Times New Roman"/>
          <w:color w:val="auto"/>
        </w:rPr>
        <w:t>（1）危废暂存间</w:t>
      </w:r>
      <w:r>
        <w:rPr>
          <w:rFonts w:hint="eastAsia" w:cs="Times New Roman"/>
          <w:color w:val="auto"/>
        </w:rPr>
        <w:t>和机修间</w:t>
      </w:r>
    </w:p>
    <w:p w14:paraId="008F31F6">
      <w:pPr>
        <w:ind w:firstLine="480"/>
        <w:rPr>
          <w:rFonts w:cs="Times New Roman"/>
          <w:color w:val="auto"/>
        </w:rPr>
      </w:pPr>
      <w:r>
        <w:rPr>
          <w:rFonts w:cs="Times New Roman"/>
          <w:color w:val="auto"/>
        </w:rPr>
        <w:t>由于</w:t>
      </w:r>
      <w:r>
        <w:rPr>
          <w:rFonts w:hint="eastAsia" w:cs="Times New Roman"/>
          <w:color w:val="auto"/>
        </w:rPr>
        <w:t>机修间和</w:t>
      </w:r>
      <w:r>
        <w:rPr>
          <w:rFonts w:cs="Times New Roman"/>
          <w:color w:val="auto"/>
        </w:rPr>
        <w:t>危废暂存间</w:t>
      </w:r>
      <w:r>
        <w:rPr>
          <w:rFonts w:hint="eastAsia" w:cs="Times New Roman"/>
          <w:color w:val="auto"/>
        </w:rPr>
        <w:t>为合建建筑</w:t>
      </w:r>
      <w:r>
        <w:rPr>
          <w:rFonts w:cs="Times New Roman"/>
          <w:color w:val="auto"/>
        </w:rPr>
        <w:t>，按照《危险废物贮存污染控制标准》（GB 18597-2023）对危废暂存间</w:t>
      </w:r>
      <w:r>
        <w:rPr>
          <w:rFonts w:hint="eastAsia" w:cs="Times New Roman"/>
          <w:color w:val="auto"/>
        </w:rPr>
        <w:t>和机修间厂房</w:t>
      </w:r>
      <w:r>
        <w:rPr>
          <w:rFonts w:cs="Times New Roman"/>
          <w:color w:val="auto"/>
        </w:rPr>
        <w:t>基础进行防渗处理，其防渗层的防渗性能不低于6.0m厚渗透系数为1.0×10</w:t>
      </w:r>
      <w:r>
        <w:rPr>
          <w:rFonts w:cs="Times New Roman"/>
          <w:color w:val="auto"/>
          <w:vertAlign w:val="superscript"/>
        </w:rPr>
        <w:t>-7</w:t>
      </w:r>
      <w:r>
        <w:rPr>
          <w:rFonts w:cs="Times New Roman"/>
          <w:color w:val="auto"/>
        </w:rPr>
        <w:t>cm/s的粘土层的防渗性能，或2mm厚高密度聚乙烯，或至少2mm厚的其他人工材料（渗透系数不大于1.0×10</w:t>
      </w:r>
      <w:r>
        <w:rPr>
          <w:rFonts w:cs="Times New Roman"/>
          <w:color w:val="auto"/>
          <w:vertAlign w:val="superscript"/>
        </w:rPr>
        <w:t>-10</w:t>
      </w:r>
      <w:r>
        <w:rPr>
          <w:rFonts w:cs="Times New Roman"/>
          <w:color w:val="auto"/>
        </w:rPr>
        <w:t>cm/s）。</w:t>
      </w:r>
    </w:p>
    <w:p w14:paraId="33955822">
      <w:pPr>
        <w:ind w:firstLine="480"/>
        <w:rPr>
          <w:rFonts w:cs="Times New Roman"/>
          <w:color w:val="auto"/>
        </w:rPr>
      </w:pPr>
      <w:r>
        <w:rPr>
          <w:rFonts w:cs="Times New Roman"/>
          <w:color w:val="auto"/>
        </w:rPr>
        <w:t>本报告建议采用刚性+柔性防渗措施，即采用P8等级混凝土+2mmHDPE膜防渗结构。</w:t>
      </w:r>
      <w:bookmarkStart w:id="282" w:name="_Hlk173878238"/>
      <w:r>
        <w:rPr>
          <w:rFonts w:cs="Times New Roman"/>
          <w:color w:val="auto"/>
        </w:rPr>
        <w:t>暂存间内设置与</w:t>
      </w:r>
      <w:r>
        <w:rPr>
          <w:rFonts w:hint="eastAsia" w:cs="Times New Roman"/>
          <w:color w:val="auto"/>
        </w:rPr>
        <w:t>最大液态废物容器容积或液态废物总储量1/10（二者取较大者）容积</w:t>
      </w:r>
      <w:r>
        <w:rPr>
          <w:rFonts w:cs="Times New Roman"/>
          <w:color w:val="auto"/>
        </w:rPr>
        <w:t>相当的围堰</w:t>
      </w:r>
      <w:bookmarkEnd w:id="282"/>
      <w:r>
        <w:rPr>
          <w:rFonts w:cs="Times New Roman"/>
          <w:color w:val="auto"/>
        </w:rPr>
        <w:t>，围堰采用以P8等级混凝土为主体的防渗结构。</w:t>
      </w:r>
      <w:r>
        <w:rPr>
          <w:rFonts w:cs="Times New Roman"/>
          <w:color w:val="auto"/>
          <w:kern w:val="0"/>
        </w:rPr>
        <w:t>建议地坪及裙角防渗结构</w:t>
      </w:r>
      <w:r>
        <w:rPr>
          <w:rFonts w:cs="Times New Roman"/>
          <w:color w:val="auto"/>
        </w:rPr>
        <w:t>由上至下依次为：水泥基渗透结晶型防渗涂层（≥0.8mm）、抗渗混凝土面层（厚度20cm，抗渗等级为P8）、600g/</w:t>
      </w:r>
      <w:r>
        <w:rPr>
          <w:rFonts w:hint="eastAsia" w:cs="Times New Roman"/>
          <w:color w:val="auto"/>
          <w:lang w:eastAsia="zh-CN"/>
        </w:rPr>
        <w:t>m²</w:t>
      </w:r>
      <w:r>
        <w:rPr>
          <w:rFonts w:cs="Times New Roman"/>
          <w:color w:val="auto"/>
        </w:rPr>
        <w:t>长丝无纺土工布、1.5mm厚HDPE防渗膜、600g/</w:t>
      </w:r>
      <w:r>
        <w:rPr>
          <w:rFonts w:hint="eastAsia" w:cs="Times New Roman"/>
          <w:color w:val="auto"/>
          <w:lang w:eastAsia="zh-CN"/>
        </w:rPr>
        <w:t>m²</w:t>
      </w:r>
      <w:r>
        <w:rPr>
          <w:rFonts w:cs="Times New Roman"/>
          <w:color w:val="auto"/>
        </w:rPr>
        <w:t>长丝无纺土工布、抗渗混凝土基层（厚度10cm，抗渗等级为P8）。围堰环墙采用强度C30，厚20cm抗渗钢筋混凝土（抗渗等级P8）进行防渗。</w:t>
      </w:r>
    </w:p>
    <w:p w14:paraId="62155A4B">
      <w:pPr>
        <w:snapToGrid w:val="0"/>
        <w:spacing w:before="163" w:beforeLines="50" w:line="240" w:lineRule="auto"/>
        <w:ind w:firstLine="0" w:firstLineChars="0"/>
        <w:jc w:val="center"/>
        <w:rPr>
          <w:rFonts w:cs="Times New Roman"/>
          <w:color w:val="auto"/>
        </w:rPr>
      </w:pPr>
      <w:r>
        <w:rPr>
          <w:rFonts w:cs="Times New Roman"/>
          <w:color w:val="auto"/>
        </w:rPr>
        <w:drawing>
          <wp:inline distT="0" distB="0" distL="0" distR="0">
            <wp:extent cx="3771900" cy="3214370"/>
            <wp:effectExtent l="0" t="0" r="0" b="5080"/>
            <wp:docPr id="1650636212" name="图片 1650636212" descr="C:\Users\luopeng0808\Desktop\防渗\重点防渗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636212" name="图片 1650636212" descr="C:\Users\luopeng0808\Desktop\防渗\重点防渗区1.jpg"/>
                    <pic:cNvPicPr>
                      <a:picLocks noChangeAspect="1" noChangeArrowheads="1"/>
                    </pic:cNvPicPr>
                  </pic:nvPicPr>
                  <pic:blipFill>
                    <a:blip r:embed="rId66" cstate="print">
                      <a:extLst>
                        <a:ext uri="{28A0092B-C50C-407E-A947-70E740481C1C}">
                          <a14:useLocalDpi xmlns:a14="http://schemas.microsoft.com/office/drawing/2010/main" val="0"/>
                        </a:ext>
                      </a:extLst>
                    </a:blip>
                    <a:srcRect l="7035" t="840" r="8965" b="2223"/>
                    <a:stretch>
                      <a:fillRect/>
                    </a:stretch>
                  </pic:blipFill>
                  <pic:spPr>
                    <a:xfrm>
                      <a:off x="0" y="0"/>
                      <a:ext cx="3812710" cy="3249470"/>
                    </a:xfrm>
                    <a:prstGeom prst="rect">
                      <a:avLst/>
                    </a:prstGeom>
                    <a:ln>
                      <a:noFill/>
                    </a:ln>
                  </pic:spPr>
                </pic:pic>
              </a:graphicData>
            </a:graphic>
          </wp:inline>
        </w:drawing>
      </w:r>
    </w:p>
    <w:p w14:paraId="34A769DD">
      <w:pPr>
        <w:snapToGrid w:val="0"/>
        <w:spacing w:before="163" w:beforeLines="50"/>
        <w:ind w:firstLine="422"/>
        <w:jc w:val="center"/>
        <w:rPr>
          <w:rFonts w:eastAsia="宋体" w:cs="Times New Roman"/>
          <w:b/>
          <w:color w:val="auto"/>
          <w:sz w:val="21"/>
        </w:rPr>
      </w:pPr>
      <w:r>
        <w:rPr>
          <w:rFonts w:eastAsia="宋体" w:cs="Times New Roman"/>
          <w:b/>
          <w:color w:val="auto"/>
          <w:sz w:val="21"/>
        </w:rPr>
        <w:t>图6.</w:t>
      </w:r>
      <w:r>
        <w:rPr>
          <w:rFonts w:hint="eastAsia" w:eastAsia="宋体" w:cs="Times New Roman"/>
          <w:b/>
          <w:color w:val="auto"/>
          <w:sz w:val="21"/>
          <w:lang w:val="en-US" w:eastAsia="zh-CN"/>
        </w:rPr>
        <w:t>2</w:t>
      </w:r>
      <w:r>
        <w:rPr>
          <w:rFonts w:eastAsia="宋体" w:cs="Times New Roman"/>
          <w:b/>
          <w:color w:val="auto"/>
          <w:sz w:val="21"/>
        </w:rPr>
        <w:t>-1 危险废物暂存间</w:t>
      </w:r>
      <w:r>
        <w:rPr>
          <w:rFonts w:hint="eastAsia" w:eastAsia="宋体" w:cs="Times New Roman"/>
          <w:b/>
          <w:color w:val="auto"/>
          <w:sz w:val="21"/>
        </w:rPr>
        <w:t>地面</w:t>
      </w:r>
      <w:r>
        <w:rPr>
          <w:rFonts w:eastAsia="宋体" w:cs="Times New Roman"/>
          <w:b/>
          <w:color w:val="auto"/>
          <w:sz w:val="21"/>
        </w:rPr>
        <w:t>防渗结构示意图</w:t>
      </w:r>
    </w:p>
    <w:p w14:paraId="43FCB8C3">
      <w:pPr>
        <w:pStyle w:val="714"/>
        <w:rPr>
          <w:rFonts w:cs="Times New Roman"/>
          <w:color w:val="auto"/>
          <w:kern w:val="0"/>
        </w:rPr>
      </w:pPr>
      <w:r>
        <w:rPr>
          <w:rFonts w:cs="Times New Roman"/>
          <w:color w:val="auto"/>
        </w:rPr>
        <w:drawing>
          <wp:inline distT="0" distB="0" distL="0" distR="0">
            <wp:extent cx="3694430" cy="3102610"/>
            <wp:effectExtent l="0" t="0" r="1270" b="2540"/>
            <wp:docPr id="2014028815" name="图片 2014028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028815" name="图片 2014028815"/>
                    <pic:cNvPicPr>
                      <a:picLocks noChangeAspect="1"/>
                    </pic:cNvPicPr>
                  </pic:nvPicPr>
                  <pic:blipFill>
                    <a:blip r:embed="rId67"/>
                    <a:stretch>
                      <a:fillRect/>
                    </a:stretch>
                  </pic:blipFill>
                  <pic:spPr>
                    <a:xfrm>
                      <a:off x="0" y="0"/>
                      <a:ext cx="3694430" cy="3102610"/>
                    </a:xfrm>
                    <a:prstGeom prst="rect">
                      <a:avLst/>
                    </a:prstGeom>
                    <a:ln>
                      <a:noFill/>
                    </a:ln>
                  </pic:spPr>
                </pic:pic>
              </a:graphicData>
            </a:graphic>
          </wp:inline>
        </w:drawing>
      </w:r>
    </w:p>
    <w:p w14:paraId="4167235E">
      <w:pPr>
        <w:ind w:firstLine="0" w:firstLineChars="0"/>
        <w:jc w:val="center"/>
        <w:rPr>
          <w:rFonts w:eastAsia="宋体" w:cs="Times New Roman"/>
          <w:snapToGrid w:val="0"/>
          <w:color w:val="auto"/>
          <w:szCs w:val="24"/>
        </w:rPr>
      </w:pPr>
      <w:r>
        <w:rPr>
          <w:rFonts w:eastAsia="宋体" w:cs="Times New Roman"/>
          <w:b/>
          <w:color w:val="auto"/>
          <w:sz w:val="21"/>
        </w:rPr>
        <w:t>图6.</w:t>
      </w:r>
      <w:r>
        <w:rPr>
          <w:rFonts w:hint="eastAsia" w:eastAsia="宋体" w:cs="Times New Roman"/>
          <w:b/>
          <w:color w:val="auto"/>
          <w:sz w:val="21"/>
          <w:lang w:val="en-US" w:eastAsia="zh-CN"/>
        </w:rPr>
        <w:t>2</w:t>
      </w:r>
      <w:r>
        <w:rPr>
          <w:rFonts w:eastAsia="宋体" w:cs="Times New Roman"/>
          <w:b/>
          <w:color w:val="auto"/>
          <w:sz w:val="21"/>
        </w:rPr>
        <w:t>-2  导流边沟</w:t>
      </w:r>
      <w:r>
        <w:rPr>
          <w:rFonts w:hint="eastAsia" w:eastAsia="宋体" w:cs="Times New Roman"/>
          <w:b/>
          <w:color w:val="auto"/>
          <w:sz w:val="21"/>
        </w:rPr>
        <w:t>及事故坑</w:t>
      </w:r>
      <w:r>
        <w:rPr>
          <w:rFonts w:eastAsia="宋体" w:cs="Times New Roman"/>
          <w:b/>
          <w:color w:val="auto"/>
          <w:sz w:val="21"/>
        </w:rPr>
        <w:t>刚性+柔性防渗示意图</w:t>
      </w:r>
    </w:p>
    <w:p w14:paraId="14473AAC">
      <w:pPr>
        <w:ind w:firstLine="480"/>
        <w:rPr>
          <w:rFonts w:cs="Times New Roman"/>
          <w:color w:val="auto"/>
        </w:rPr>
      </w:pPr>
      <w:r>
        <w:rPr>
          <w:rFonts w:eastAsia="宋体" w:cs="Times New Roman"/>
          <w:color w:val="auto"/>
        </w:rPr>
        <w:t>（</w:t>
      </w:r>
      <w:r>
        <w:rPr>
          <w:rFonts w:hint="eastAsia" w:eastAsia="宋体" w:cs="Times New Roman"/>
          <w:color w:val="auto"/>
        </w:rPr>
        <w:t>2</w:t>
      </w:r>
      <w:r>
        <w:rPr>
          <w:rFonts w:eastAsia="宋体" w:cs="Times New Roman"/>
          <w:color w:val="auto"/>
        </w:rPr>
        <w:t>）</w:t>
      </w:r>
      <w:r>
        <w:rPr>
          <w:rFonts w:hint="eastAsia" w:cs="Times New Roman"/>
          <w:color w:val="auto"/>
        </w:rPr>
        <w:t>超细格栅池、</w:t>
      </w:r>
      <w:r>
        <w:rPr>
          <w:rFonts w:hint="eastAsia" w:cs="Times New Roman"/>
          <w:color w:val="auto"/>
          <w:lang w:eastAsia="zh-CN"/>
        </w:rPr>
        <w:t>污水处理厂</w:t>
      </w:r>
      <w:r>
        <w:rPr>
          <w:rFonts w:hint="eastAsia" w:cs="Times New Roman"/>
          <w:color w:val="auto"/>
        </w:rPr>
        <w:t>调节池-事故应急池、水解酸化池、生化池、反硝化深床滤池、高级氧化深度处理系统、污泥脱水车间-磁混凝沉淀池、污泥池、紫外线消毒-出水计量渠、进出水在线监测间、园区应急事故池等所有池体超细格栅池、</w:t>
      </w:r>
      <w:r>
        <w:rPr>
          <w:rFonts w:hint="eastAsia" w:cs="Times New Roman"/>
          <w:color w:val="auto"/>
          <w:lang w:eastAsia="zh-CN"/>
        </w:rPr>
        <w:t>污水处理厂</w:t>
      </w:r>
      <w:r>
        <w:rPr>
          <w:rFonts w:hint="eastAsia" w:cs="Times New Roman"/>
          <w:color w:val="auto"/>
        </w:rPr>
        <w:t>调节池-事故应急池、水解酸化池、生化池、反硝化深床滤池、高级氧化深度处理系统、污泥脱水车间-磁混凝沉淀池、污泥池、紫外线消毒-出水计量渠、进出水在线监测间、园区应急事故池等所有池体</w:t>
      </w:r>
      <w:r>
        <w:rPr>
          <w:rFonts w:cs="Times New Roman"/>
          <w:color w:val="auto"/>
        </w:rPr>
        <w:t>两侧均需延伸1.0m范围地坪，池体及周边地坪均采用30cm厚P8等级混凝土刚性防渗结构，其防渗性能与厚度Mb≥6.0m，渗透系数K≤1×10</w:t>
      </w:r>
      <w:r>
        <w:rPr>
          <w:rFonts w:cs="Times New Roman"/>
          <w:color w:val="auto"/>
          <w:vertAlign w:val="superscript"/>
        </w:rPr>
        <w:t>-7</w:t>
      </w:r>
      <w:r>
        <w:rPr>
          <w:rFonts w:cs="Times New Roman"/>
          <w:color w:val="auto"/>
        </w:rPr>
        <w:t>cm/s粘土防渗层等效。具体防渗结构如下：水泥基渗透结晶型防渗涂层（≥1.0mm）、抗渗混凝土面层（厚度300mm，抗渗等级为P8）、原土压（夯）实。</w:t>
      </w:r>
    </w:p>
    <w:p w14:paraId="2FC2CCE8">
      <w:pPr>
        <w:widowControl/>
        <w:adjustRightInd w:val="0"/>
        <w:snapToGrid w:val="0"/>
        <w:ind w:firstLine="0" w:firstLineChars="0"/>
        <w:jc w:val="center"/>
        <w:rPr>
          <w:rFonts w:cs="Times New Roman"/>
          <w:color w:val="auto"/>
        </w:rPr>
      </w:pPr>
      <w:r>
        <w:rPr>
          <w:rFonts w:cs="Times New Roman"/>
          <w:color w:val="auto"/>
        </w:rPr>
        <w:drawing>
          <wp:inline distT="0" distB="0" distL="0" distR="0">
            <wp:extent cx="3967480" cy="2886075"/>
            <wp:effectExtent l="0" t="0" r="13970" b="9525"/>
            <wp:docPr id="1270274660" name="图片 1270274660" descr="C:\Users\luopeng0808\Desktop\防渗\重点防渗区（池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274660" name="图片 1270274660" descr="C:\Users\luopeng0808\Desktop\防渗\重点防渗区（池体）.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4029361" cy="2930900"/>
                    </a:xfrm>
                    <a:prstGeom prst="rect">
                      <a:avLst/>
                    </a:prstGeom>
                    <a:noFill/>
                    <a:ln>
                      <a:noFill/>
                    </a:ln>
                  </pic:spPr>
                </pic:pic>
              </a:graphicData>
            </a:graphic>
          </wp:inline>
        </w:drawing>
      </w:r>
    </w:p>
    <w:p w14:paraId="62C0ADC4">
      <w:pPr>
        <w:snapToGrid w:val="0"/>
        <w:ind w:firstLine="198" w:firstLineChars="94"/>
        <w:jc w:val="center"/>
        <w:rPr>
          <w:rFonts w:cs="Times New Roman"/>
          <w:color w:val="auto"/>
        </w:rPr>
      </w:pPr>
      <w:r>
        <w:rPr>
          <w:rFonts w:cs="Times New Roman"/>
          <w:b/>
          <w:bCs/>
          <w:color w:val="auto"/>
          <w:sz w:val="21"/>
          <w:szCs w:val="20"/>
        </w:rPr>
        <w:t>图6.</w:t>
      </w:r>
      <w:r>
        <w:rPr>
          <w:rFonts w:hint="eastAsia" w:cs="Times New Roman"/>
          <w:b/>
          <w:bCs/>
          <w:color w:val="auto"/>
          <w:sz w:val="21"/>
          <w:szCs w:val="20"/>
          <w:lang w:val="en-US" w:eastAsia="zh-CN"/>
        </w:rPr>
        <w:t>2</w:t>
      </w:r>
      <w:r>
        <w:rPr>
          <w:rFonts w:cs="Times New Roman"/>
          <w:b/>
          <w:bCs/>
          <w:color w:val="auto"/>
          <w:sz w:val="21"/>
          <w:szCs w:val="20"/>
        </w:rPr>
        <w:t>-</w:t>
      </w:r>
      <w:r>
        <w:rPr>
          <w:rFonts w:hint="eastAsia" w:cs="Times New Roman"/>
          <w:b/>
          <w:bCs/>
          <w:color w:val="auto"/>
          <w:sz w:val="21"/>
          <w:szCs w:val="20"/>
        </w:rPr>
        <w:t>3</w:t>
      </w:r>
      <w:r>
        <w:rPr>
          <w:rFonts w:cs="Times New Roman"/>
          <w:b/>
          <w:bCs/>
          <w:color w:val="auto"/>
          <w:sz w:val="21"/>
          <w:szCs w:val="20"/>
        </w:rPr>
        <w:t xml:space="preserve"> </w:t>
      </w:r>
      <w:r>
        <w:rPr>
          <w:rFonts w:cs="Times New Roman"/>
          <w:b/>
          <w:bCs/>
          <w:color w:val="auto"/>
          <w:sz w:val="21"/>
        </w:rPr>
        <w:t>废水处理站各</w:t>
      </w:r>
      <w:r>
        <w:rPr>
          <w:rFonts w:cs="Times New Roman"/>
          <w:b/>
          <w:bCs/>
          <w:color w:val="auto"/>
          <w:sz w:val="21"/>
          <w:szCs w:val="20"/>
        </w:rPr>
        <w:t>池体重点防渗结构示意图</w:t>
      </w:r>
    </w:p>
    <w:p w14:paraId="1CC1EC13">
      <w:pPr>
        <w:bidi w:val="0"/>
        <w:rPr>
          <w:rFonts w:hint="default" w:eastAsia="宋体"/>
          <w:color w:val="auto"/>
          <w:lang w:val="en-US" w:eastAsia="zh-CN"/>
        </w:rPr>
      </w:pPr>
      <w:r>
        <w:rPr>
          <w:rFonts w:hint="eastAsia"/>
          <w:color w:val="auto"/>
          <w:lang w:eastAsia="zh-CN"/>
        </w:rPr>
        <w:t>（</w:t>
      </w:r>
      <w:r>
        <w:rPr>
          <w:rFonts w:hint="eastAsia"/>
          <w:color w:val="auto"/>
          <w:lang w:val="en-US" w:eastAsia="zh-CN"/>
        </w:rPr>
        <w:t>3</w:t>
      </w:r>
      <w:r>
        <w:rPr>
          <w:rFonts w:hint="eastAsia"/>
          <w:color w:val="auto"/>
          <w:lang w:eastAsia="zh-CN"/>
        </w:rPr>
        <w:t>）</w:t>
      </w:r>
      <w:r>
        <w:rPr>
          <w:rFonts w:hint="eastAsia"/>
          <w:color w:val="auto"/>
          <w:lang w:val="en-US" w:eastAsia="zh-CN"/>
        </w:rPr>
        <w:t>尾水管道选用DN600的钢管，内外防腐，污水管道采用焊接，管道基础主要采用180度砂石基础，砂垫层砂粒径不大于10mm石子最大粒径不大于30mm。管道混凝土基础采用C20混凝土；各种检查井均采用C30防水混凝土，抗渗等级S6。</w:t>
      </w:r>
    </w:p>
    <w:p w14:paraId="4304608E">
      <w:pPr>
        <w:ind w:firstLine="482"/>
        <w:rPr>
          <w:rFonts w:eastAsia="宋体" w:cs="Times New Roman"/>
          <w:b/>
          <w:bCs/>
          <w:snapToGrid w:val="0"/>
          <w:color w:val="auto"/>
          <w:szCs w:val="24"/>
        </w:rPr>
      </w:pPr>
      <w:r>
        <w:rPr>
          <w:rFonts w:eastAsia="宋体" w:cs="Times New Roman"/>
          <w:b/>
          <w:bCs/>
          <w:snapToGrid w:val="0"/>
          <w:color w:val="auto"/>
          <w:szCs w:val="24"/>
        </w:rPr>
        <w:t>2、一般防渗区</w:t>
      </w:r>
    </w:p>
    <w:p w14:paraId="7B3EF817">
      <w:pPr>
        <w:widowControl/>
        <w:ind w:firstLine="480"/>
        <w:rPr>
          <w:rFonts w:cs="Times New Roman"/>
          <w:color w:val="auto"/>
        </w:rPr>
      </w:pPr>
      <w:r>
        <w:rPr>
          <w:rFonts w:hint="eastAsia" w:cs="Times New Roman"/>
          <w:color w:val="auto"/>
        </w:rPr>
        <w:t>回用水池及泵房、变配电室及鼓风机房、加药间、园区环境监测</w:t>
      </w:r>
      <w:r>
        <w:rPr>
          <w:rFonts w:hint="eastAsia" w:eastAsia="宋体" w:cs="Times New Roman"/>
          <w:color w:val="auto"/>
        </w:rPr>
        <w:t>站</w:t>
      </w:r>
      <w:r>
        <w:rPr>
          <w:rFonts w:eastAsia="宋体" w:cs="Times New Roman"/>
          <w:color w:val="auto"/>
        </w:rPr>
        <w:t>等依据</w:t>
      </w:r>
      <w:r>
        <w:rPr>
          <w:rFonts w:cs="Times New Roman"/>
          <w:color w:val="auto"/>
          <w:szCs w:val="24"/>
        </w:rPr>
        <w:t>《环境影响评价技术导则</w:t>
      </w:r>
      <w:r>
        <w:rPr>
          <w:rFonts w:hint="eastAsia" w:cs="Times New Roman"/>
          <w:color w:val="auto"/>
          <w:szCs w:val="24"/>
          <w:lang w:val="en-US" w:eastAsia="zh-CN"/>
        </w:rPr>
        <w:t xml:space="preserve"> </w:t>
      </w:r>
      <w:r>
        <w:rPr>
          <w:rFonts w:cs="Times New Roman"/>
          <w:color w:val="auto"/>
          <w:szCs w:val="24"/>
        </w:rPr>
        <w:t>地下水环境》（HJ610-2016），</w:t>
      </w:r>
      <w:r>
        <w:rPr>
          <w:rFonts w:cs="Times New Roman"/>
          <w:color w:val="auto"/>
        </w:rPr>
        <w:t>其防渗层的防渗性能不低于厚度Mb≥1.5m，渗透系数K≤1×10</w:t>
      </w:r>
      <w:r>
        <w:rPr>
          <w:rFonts w:cs="Times New Roman"/>
          <w:color w:val="auto"/>
          <w:vertAlign w:val="superscript"/>
        </w:rPr>
        <w:t>-7</w:t>
      </w:r>
      <w:r>
        <w:rPr>
          <w:rFonts w:cs="Times New Roman"/>
          <w:color w:val="auto"/>
        </w:rPr>
        <w:t>cm/s粘土防渗层防渗性能。本次环评建议采用厚度不低于20cm、抗渗等级为P6（渗透系数≤0.49×10</w:t>
      </w:r>
      <w:r>
        <w:rPr>
          <w:rFonts w:cs="Times New Roman"/>
          <w:color w:val="auto"/>
          <w:vertAlign w:val="superscript"/>
        </w:rPr>
        <w:t>-8</w:t>
      </w:r>
      <w:r>
        <w:rPr>
          <w:rFonts w:cs="Times New Roman"/>
          <w:color w:val="auto"/>
        </w:rPr>
        <w:t>cm/s）的混凝土防渗结构。</w:t>
      </w:r>
    </w:p>
    <w:p w14:paraId="648B37B1">
      <w:pPr>
        <w:ind w:firstLine="482"/>
        <w:rPr>
          <w:rFonts w:cs="Times New Roman"/>
          <w:b/>
          <w:bCs/>
          <w:color w:val="auto"/>
        </w:rPr>
      </w:pPr>
      <w:r>
        <w:rPr>
          <w:rFonts w:cs="Times New Roman"/>
          <w:b/>
          <w:bCs/>
          <w:color w:val="auto"/>
        </w:rPr>
        <w:t>3、简单防渗区</w:t>
      </w:r>
    </w:p>
    <w:p w14:paraId="4BDB38D1">
      <w:pPr>
        <w:ind w:firstLine="480"/>
        <w:rPr>
          <w:rFonts w:eastAsia="宋体" w:cs="Times New Roman"/>
          <w:color w:val="auto"/>
        </w:rPr>
      </w:pPr>
      <w:r>
        <w:rPr>
          <w:rFonts w:hint="eastAsia" w:cs="Times New Roman"/>
          <w:color w:val="auto"/>
        </w:rPr>
        <w:t>综合办公楼</w:t>
      </w:r>
      <w:r>
        <w:rPr>
          <w:rFonts w:cs="Times New Roman"/>
          <w:color w:val="auto"/>
        </w:rPr>
        <w:t>、</w:t>
      </w:r>
      <w:r>
        <w:rPr>
          <w:rFonts w:hint="eastAsia" w:cs="Times New Roman"/>
          <w:color w:val="auto"/>
        </w:rPr>
        <w:t>门卫室</w:t>
      </w:r>
      <w:r>
        <w:rPr>
          <w:rFonts w:cs="Times New Roman"/>
          <w:color w:val="auto"/>
        </w:rPr>
        <w:t>等无持</w:t>
      </w:r>
      <w:r>
        <w:rPr>
          <w:rFonts w:eastAsia="宋体" w:cs="Times New Roman"/>
          <w:color w:val="auto"/>
          <w:szCs w:val="24"/>
        </w:rPr>
        <w:t>续产生地下水污染物的水力条件或不产生地下水污染物，可采取</w:t>
      </w:r>
      <w:r>
        <w:rPr>
          <w:rFonts w:cs="Times New Roman"/>
          <w:color w:val="auto"/>
        </w:rPr>
        <w:t>简单</w:t>
      </w:r>
      <w:r>
        <w:rPr>
          <w:rFonts w:hint="eastAsia" w:cs="Times New Roman"/>
          <w:color w:val="auto"/>
        </w:rPr>
        <w:t>一般</w:t>
      </w:r>
      <w:r>
        <w:rPr>
          <w:rFonts w:cs="Times New Roman"/>
          <w:color w:val="auto"/>
        </w:rPr>
        <w:t>地面硬化</w:t>
      </w:r>
      <w:r>
        <w:rPr>
          <w:rFonts w:hint="eastAsia" w:cs="Times New Roman"/>
          <w:color w:val="auto"/>
        </w:rPr>
        <w:t>即可</w:t>
      </w:r>
      <w:r>
        <w:rPr>
          <w:rFonts w:cs="Times New Roman"/>
          <w:color w:val="auto"/>
        </w:rPr>
        <w:t>。</w:t>
      </w:r>
    </w:p>
    <w:p w14:paraId="3B756DB2">
      <w:pPr>
        <w:ind w:firstLine="456"/>
        <w:rPr>
          <w:rFonts w:eastAsia="宋体" w:cs="Times New Roman"/>
          <w:bCs/>
          <w:color w:val="auto"/>
          <w:spacing w:val="-6"/>
          <w:szCs w:val="28"/>
        </w:rPr>
      </w:pPr>
      <w:r>
        <w:rPr>
          <w:rFonts w:eastAsia="宋体" w:cs="Times New Roman"/>
          <w:bCs/>
          <w:color w:val="auto"/>
          <w:spacing w:val="-6"/>
          <w:szCs w:val="28"/>
        </w:rPr>
        <w:t>各防渗分区的防渗结构具体应由专业设计单位根据相关要求进行设计，但不应低于环评提出的防渗级别和要求。</w:t>
      </w:r>
    </w:p>
    <w:p w14:paraId="372DB43F">
      <w:pPr>
        <w:pStyle w:val="10"/>
        <w:bidi w:val="0"/>
        <w:rPr>
          <w:color w:val="auto"/>
        </w:rPr>
      </w:pPr>
      <w:r>
        <w:rPr>
          <w:color w:val="auto"/>
        </w:rPr>
        <w:t>其他相关措施</w:t>
      </w:r>
    </w:p>
    <w:p w14:paraId="01852012">
      <w:pPr>
        <w:snapToGrid w:val="0"/>
        <w:ind w:firstLine="480"/>
        <w:rPr>
          <w:rFonts w:cs="Times New Roman"/>
          <w:color w:val="auto"/>
        </w:rPr>
      </w:pPr>
      <w:r>
        <w:rPr>
          <w:rFonts w:cs="Times New Roman"/>
          <w:color w:val="auto"/>
        </w:rPr>
        <w:t>（1）根据本项目产污特征</w:t>
      </w:r>
      <w:r>
        <w:rPr>
          <w:rFonts w:hint="eastAsia" w:cs="Times New Roman"/>
          <w:color w:val="auto"/>
          <w:lang w:eastAsia="zh-CN"/>
        </w:rPr>
        <w:t>，</w:t>
      </w:r>
      <w:r>
        <w:rPr>
          <w:rFonts w:cs="Times New Roman"/>
          <w:color w:val="auto"/>
        </w:rPr>
        <w:t>环评要求本项目运行过程中布设3个地下水水质监测点对评价区地下水水质进行动态监测。</w:t>
      </w:r>
    </w:p>
    <w:p w14:paraId="7CF748E3">
      <w:pPr>
        <w:widowControl/>
        <w:adjustRightInd w:val="0"/>
        <w:snapToGrid w:val="0"/>
        <w:ind w:firstLine="480"/>
        <w:rPr>
          <w:rFonts w:cs="Times New Roman"/>
          <w:color w:val="auto"/>
          <w:kern w:val="0"/>
        </w:rPr>
      </w:pPr>
      <w:r>
        <w:rPr>
          <w:rFonts w:cs="Times New Roman"/>
          <w:color w:val="auto"/>
          <w:kern w:val="0"/>
        </w:rPr>
        <w:t>（2）项目运行过程中，严格按照环评要求对地下水水质监测井进行监测，一旦发现水质异常，立刻采取有效措施（如采用水动力隔离技术）阻止污染羽的扩散迁移，将地下水控制在局部范围，避免对项目厂区下游地下水造成污染。</w:t>
      </w:r>
    </w:p>
    <w:p w14:paraId="5243FB75">
      <w:pPr>
        <w:widowControl/>
        <w:adjustRightInd w:val="0"/>
        <w:snapToGrid w:val="0"/>
        <w:ind w:firstLine="480"/>
        <w:rPr>
          <w:rFonts w:cs="Times New Roman"/>
          <w:color w:val="auto"/>
          <w:kern w:val="0"/>
        </w:rPr>
      </w:pPr>
      <w:r>
        <w:rPr>
          <w:rFonts w:cs="Times New Roman"/>
          <w:color w:val="auto"/>
          <w:kern w:val="0"/>
        </w:rPr>
        <w:t>（3）加强污水处理站管路的检修，避免生产</w:t>
      </w:r>
      <w:r>
        <w:rPr>
          <w:rFonts w:hint="eastAsia" w:cs="Times New Roman"/>
          <w:color w:val="auto"/>
          <w:kern w:val="0"/>
        </w:rPr>
        <w:t>管线</w:t>
      </w:r>
      <w:r>
        <w:rPr>
          <w:rFonts w:cs="Times New Roman"/>
          <w:color w:val="auto"/>
          <w:kern w:val="0"/>
        </w:rPr>
        <w:t>中</w:t>
      </w:r>
      <w:r>
        <w:rPr>
          <w:rFonts w:hint="eastAsia" w:cs="Times New Roman"/>
          <w:color w:val="auto"/>
          <w:kern w:val="0"/>
        </w:rPr>
        <w:t>废水</w:t>
      </w:r>
      <w:r>
        <w:rPr>
          <w:rFonts w:cs="Times New Roman"/>
          <w:color w:val="auto"/>
          <w:kern w:val="0"/>
        </w:rPr>
        <w:t>的</w:t>
      </w:r>
      <w:r>
        <w:rPr>
          <w:rFonts w:hint="eastAsia" w:cs="Times New Roman"/>
          <w:color w:val="auto"/>
          <w:kern w:val="0"/>
        </w:rPr>
        <w:t>跑冒</w:t>
      </w:r>
      <w:r>
        <w:rPr>
          <w:rFonts w:cs="Times New Roman"/>
          <w:color w:val="auto"/>
          <w:kern w:val="0"/>
        </w:rPr>
        <w:t>滴漏。</w:t>
      </w:r>
    </w:p>
    <w:p w14:paraId="2FCA3032">
      <w:pPr>
        <w:widowControl/>
        <w:adjustRightInd w:val="0"/>
        <w:snapToGrid w:val="0"/>
        <w:ind w:firstLine="480"/>
        <w:rPr>
          <w:rFonts w:cs="Times New Roman"/>
          <w:color w:val="auto"/>
          <w:kern w:val="0"/>
        </w:rPr>
      </w:pPr>
      <w:r>
        <w:rPr>
          <w:rFonts w:cs="Times New Roman"/>
          <w:color w:val="auto"/>
          <w:kern w:val="0"/>
        </w:rPr>
        <w:t>（</w:t>
      </w:r>
      <w:r>
        <w:rPr>
          <w:rFonts w:hint="eastAsia" w:cs="Times New Roman"/>
          <w:color w:val="auto"/>
          <w:kern w:val="0"/>
        </w:rPr>
        <w:t>4</w:t>
      </w:r>
      <w:r>
        <w:rPr>
          <w:rFonts w:cs="Times New Roman"/>
          <w:color w:val="auto"/>
          <w:kern w:val="0"/>
        </w:rPr>
        <w:t>）避免雨污混排，实行“清污分流”。</w:t>
      </w:r>
    </w:p>
    <w:p w14:paraId="7730E242">
      <w:pPr>
        <w:pageBreakBefore w:val="0"/>
        <w:wordWrap/>
        <w:bidi w:val="0"/>
        <w:adjustRightInd/>
        <w:snapToGrid/>
        <w:ind w:firstLine="480"/>
        <w:rPr>
          <w:color w:val="auto"/>
        </w:rPr>
      </w:pPr>
      <w:r>
        <w:rPr>
          <w:color w:val="auto"/>
        </w:rPr>
        <w:t>综上，采取以上地下水防治措施能够有效保证本项目不会对地下水产生明显影响，措施有效、可行。</w:t>
      </w:r>
    </w:p>
    <w:p w14:paraId="299B937B">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环境风险防范措施及可行性</w:t>
      </w:r>
    </w:p>
    <w:p w14:paraId="36DB2C24">
      <w:pPr>
        <w:pageBreakBefore w:val="0"/>
        <w:wordWrap/>
        <w:bidi w:val="0"/>
        <w:adjustRightInd/>
        <w:snapToGrid/>
        <w:ind w:firstLine="480"/>
        <w:rPr>
          <w:color w:val="auto"/>
        </w:rPr>
      </w:pPr>
      <w:r>
        <w:rPr>
          <w:color w:val="auto"/>
        </w:rPr>
        <w:t>项目对于使用的危险化学物品，采取一系列技术和管理措施，控制其使用风险，项目次氯酸钠储存量</w:t>
      </w:r>
      <w:r>
        <w:rPr>
          <w:rFonts w:hint="eastAsia"/>
          <w:color w:val="auto"/>
          <w:lang w:eastAsia="zh-CN"/>
        </w:rPr>
        <w:t>较少</w:t>
      </w:r>
      <w:r>
        <w:rPr>
          <w:color w:val="auto"/>
        </w:rPr>
        <w:t>。项目发生风险的类型和几率都很小，通过加强管理、采取有效的防范措施，加强对全体员工防范事故风险能力的培训，制定事故应急预案等，可进一步降低风险发生的</w:t>
      </w:r>
      <w:r>
        <w:rPr>
          <w:rFonts w:hint="eastAsia"/>
          <w:color w:val="auto"/>
          <w:lang w:eastAsia="zh-CN"/>
        </w:rPr>
        <w:t>概率</w:t>
      </w:r>
      <w:r>
        <w:rPr>
          <w:color w:val="auto"/>
        </w:rPr>
        <w:t>和造成的影响。</w:t>
      </w:r>
    </w:p>
    <w:p w14:paraId="46ABA965">
      <w:pPr>
        <w:pageBreakBefore w:val="0"/>
        <w:wordWrap/>
        <w:bidi w:val="0"/>
        <w:adjustRightInd/>
        <w:snapToGrid/>
        <w:ind w:firstLine="480"/>
        <w:rPr>
          <w:color w:val="auto"/>
        </w:rPr>
      </w:pPr>
      <w:r>
        <w:rPr>
          <w:color w:val="auto"/>
        </w:rPr>
        <w:t>根据项目设计，项目</w:t>
      </w:r>
      <w:r>
        <w:rPr>
          <w:rFonts w:hint="eastAsia"/>
          <w:color w:val="auto"/>
        </w:rPr>
        <w:t>设置一座事故池</w:t>
      </w:r>
      <w:r>
        <w:rPr>
          <w:color w:val="auto"/>
        </w:rPr>
        <w:t>（容积</w:t>
      </w:r>
      <w:r>
        <w:rPr>
          <w:rFonts w:hint="eastAsia"/>
          <w:color w:val="auto"/>
          <w:lang w:val="en-US" w:eastAsia="zh-CN"/>
        </w:rPr>
        <w:t>3000</w:t>
      </w:r>
      <w:r>
        <w:rPr>
          <w:rFonts w:hint="eastAsia"/>
          <w:color w:val="auto"/>
          <w:lang w:eastAsia="zh-CN"/>
        </w:rPr>
        <w:t>m³</w:t>
      </w:r>
      <w:r>
        <w:rPr>
          <w:color w:val="auto"/>
        </w:rPr>
        <w:t>），确保事故状态下项目废水能导入应急池内暂存，避免未经处理的污水外排，对环境造成污染。</w:t>
      </w:r>
    </w:p>
    <w:p w14:paraId="702C79B8">
      <w:pPr>
        <w:pageBreakBefore w:val="0"/>
        <w:wordWrap/>
        <w:bidi w:val="0"/>
        <w:adjustRightInd/>
        <w:snapToGrid/>
        <w:ind w:firstLine="480"/>
        <w:rPr>
          <w:color w:val="auto"/>
        </w:rPr>
      </w:pPr>
      <w:r>
        <w:rPr>
          <w:color w:val="auto"/>
        </w:rPr>
        <w:t>综上，项目风险小，处于可接受水平，其</w:t>
      </w:r>
      <w:r>
        <w:rPr>
          <w:rFonts w:hint="eastAsia"/>
          <w:color w:val="auto"/>
          <w:lang w:eastAsia="zh-CN"/>
        </w:rPr>
        <w:t>风险</w:t>
      </w:r>
      <w:r>
        <w:rPr>
          <w:color w:val="auto"/>
        </w:rPr>
        <w:t>防范措施可靠，项目从环境风险防范角度分析可行。</w:t>
      </w:r>
    </w:p>
    <w:bookmarkEnd w:id="278"/>
    <w:bookmarkEnd w:id="279"/>
    <w:bookmarkEnd w:id="280"/>
    <w:p w14:paraId="7A5D5213">
      <w:pPr>
        <w:pStyle w:val="5"/>
        <w:pageBreakBefore w:val="0"/>
        <w:wordWrap/>
        <w:bidi w:val="0"/>
        <w:adjustRightInd/>
        <w:snapToGrid/>
        <w:spacing w:before="48" w:after="48"/>
        <w:ind w:left="0"/>
        <w:rPr>
          <w:rFonts w:eastAsia="宋体"/>
          <w:color w:val="auto"/>
        </w:rPr>
      </w:pPr>
      <w:bookmarkStart w:id="283" w:name="_Toc15208"/>
      <w:r>
        <w:rPr>
          <w:rFonts w:hint="eastAsia" w:eastAsia="宋体"/>
          <w:color w:val="auto"/>
        </w:rPr>
        <w:t xml:space="preserve"> </w:t>
      </w:r>
      <w:r>
        <w:rPr>
          <w:rFonts w:eastAsia="宋体"/>
          <w:color w:val="auto"/>
        </w:rPr>
        <w:t>环保措施汇总及环保投资</w:t>
      </w:r>
      <w:bookmarkEnd w:id="283"/>
    </w:p>
    <w:p w14:paraId="19DDA441">
      <w:pPr>
        <w:pageBreakBefore w:val="0"/>
        <w:wordWrap/>
        <w:bidi w:val="0"/>
        <w:adjustRightInd/>
        <w:snapToGrid/>
        <w:ind w:firstLine="480"/>
        <w:rPr>
          <w:color w:val="auto"/>
        </w:rPr>
      </w:pPr>
      <w:bookmarkStart w:id="284" w:name="_Toc374627826"/>
      <w:bookmarkStart w:id="285" w:name="_Toc1753"/>
      <w:r>
        <w:rPr>
          <w:color w:val="auto"/>
        </w:rPr>
        <w:t>本项目环保投资为</w:t>
      </w:r>
      <w:r>
        <w:rPr>
          <w:rFonts w:hint="eastAsia"/>
          <w:color w:val="auto"/>
          <w:lang w:val="en-US" w:eastAsia="zh-CN"/>
        </w:rPr>
        <w:t>500</w:t>
      </w:r>
      <w:r>
        <w:rPr>
          <w:color w:val="auto"/>
        </w:rPr>
        <w:t>万元，占总投资</w:t>
      </w:r>
      <w:r>
        <w:rPr>
          <w:rFonts w:hint="eastAsia"/>
          <w:color w:val="auto"/>
          <w:lang w:eastAsia="zh-CN"/>
        </w:rPr>
        <w:t>39000</w:t>
      </w:r>
      <w:r>
        <w:rPr>
          <w:color w:val="auto"/>
        </w:rPr>
        <w:t>万元的1.</w:t>
      </w:r>
      <w:r>
        <w:rPr>
          <w:rFonts w:hint="eastAsia"/>
          <w:color w:val="auto"/>
          <w:lang w:val="en-US" w:eastAsia="zh-CN"/>
        </w:rPr>
        <w:t>28</w:t>
      </w:r>
      <w:r>
        <w:rPr>
          <w:color w:val="auto"/>
        </w:rPr>
        <w:t>%，项目施工期、营运期环保投资分布见</w:t>
      </w:r>
      <w:r>
        <w:rPr>
          <w:rFonts w:hint="eastAsia"/>
          <w:color w:val="auto"/>
          <w:lang w:val="en-US" w:eastAsia="zh-CN"/>
        </w:rPr>
        <w:t>下表</w:t>
      </w:r>
      <w:r>
        <w:rPr>
          <w:color w:val="auto"/>
        </w:rPr>
        <w:t>。</w:t>
      </w:r>
    </w:p>
    <w:p w14:paraId="34C9C384">
      <w:pPr>
        <w:pStyle w:val="19"/>
        <w:numPr>
          <w:ilvl w:val="0"/>
          <w:numId w:val="36"/>
        </w:numPr>
        <w:bidi w:val="0"/>
        <w:ind w:left="0" w:leftChars="0" w:firstLine="0" w:firstLineChars="0"/>
        <w:rPr>
          <w:color w:val="auto"/>
        </w:rPr>
      </w:pPr>
      <w:r>
        <w:rPr>
          <w:color w:val="auto"/>
        </w:rPr>
        <w:t>环境保护措施及投资一览表</w:t>
      </w:r>
    </w:p>
    <w:tbl>
      <w:tblPr>
        <w:tblStyle w:val="52"/>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706"/>
        <w:gridCol w:w="1538"/>
        <w:gridCol w:w="5350"/>
        <w:gridCol w:w="1192"/>
      </w:tblGrid>
      <w:tr w14:paraId="6FABF6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tcBorders>
              <w:tl2br w:val="nil"/>
              <w:tr2bl w:val="nil"/>
            </w:tcBorders>
            <w:noWrap w:val="0"/>
            <w:vAlign w:val="center"/>
          </w:tcPr>
          <w:p w14:paraId="21BC07BE">
            <w:pPr>
              <w:pStyle w:val="349"/>
              <w:pageBreakBefore w:val="0"/>
              <w:wordWrap/>
              <w:bidi w:val="0"/>
              <w:adjustRightInd/>
              <w:snapToGrid/>
              <w:spacing w:line="280" w:lineRule="exact"/>
              <w:textAlignment w:val="baseline"/>
              <w:rPr>
                <w:rFonts w:eastAsia="宋体"/>
                <w:b/>
                <w:bCs w:val="0"/>
                <w:color w:val="auto"/>
                <w:kern w:val="0"/>
                <w:sz w:val="21"/>
                <w:szCs w:val="21"/>
              </w:rPr>
            </w:pPr>
            <w:r>
              <w:rPr>
                <w:rFonts w:eastAsia="宋体"/>
                <w:b/>
                <w:bCs w:val="0"/>
                <w:color w:val="auto"/>
                <w:kern w:val="0"/>
                <w:sz w:val="21"/>
                <w:szCs w:val="21"/>
              </w:rPr>
              <w:t>序号</w:t>
            </w:r>
          </w:p>
        </w:tc>
        <w:tc>
          <w:tcPr>
            <w:tcW w:w="1538" w:type="dxa"/>
            <w:tcBorders>
              <w:tl2br w:val="nil"/>
              <w:tr2bl w:val="nil"/>
            </w:tcBorders>
            <w:noWrap w:val="0"/>
            <w:vAlign w:val="center"/>
          </w:tcPr>
          <w:p w14:paraId="605017BE">
            <w:pPr>
              <w:pageBreakBefore w:val="0"/>
              <w:wordWrap/>
              <w:bidi w:val="0"/>
              <w:adjustRightInd/>
              <w:snapToGrid/>
              <w:spacing w:line="280" w:lineRule="exact"/>
              <w:ind w:firstLine="0" w:firstLineChars="0"/>
              <w:jc w:val="center"/>
              <w:rPr>
                <w:b/>
                <w:bCs w:val="0"/>
                <w:color w:val="auto"/>
                <w:sz w:val="21"/>
                <w:szCs w:val="21"/>
              </w:rPr>
            </w:pPr>
            <w:r>
              <w:rPr>
                <w:b/>
                <w:bCs w:val="0"/>
                <w:color w:val="auto"/>
                <w:sz w:val="21"/>
                <w:szCs w:val="21"/>
              </w:rPr>
              <w:t>项目</w:t>
            </w:r>
          </w:p>
        </w:tc>
        <w:tc>
          <w:tcPr>
            <w:tcW w:w="5350" w:type="dxa"/>
            <w:tcBorders>
              <w:tl2br w:val="nil"/>
              <w:tr2bl w:val="nil"/>
            </w:tcBorders>
            <w:noWrap w:val="0"/>
            <w:vAlign w:val="center"/>
          </w:tcPr>
          <w:p w14:paraId="2AFCC24F">
            <w:pPr>
              <w:pageBreakBefore w:val="0"/>
              <w:wordWrap/>
              <w:bidi w:val="0"/>
              <w:adjustRightInd/>
              <w:snapToGrid/>
              <w:spacing w:line="280" w:lineRule="exact"/>
              <w:ind w:firstLine="0" w:firstLineChars="0"/>
              <w:jc w:val="center"/>
              <w:rPr>
                <w:b/>
                <w:bCs w:val="0"/>
                <w:color w:val="auto"/>
                <w:sz w:val="21"/>
                <w:szCs w:val="21"/>
              </w:rPr>
            </w:pPr>
            <w:r>
              <w:rPr>
                <w:b/>
                <w:bCs w:val="0"/>
                <w:color w:val="auto"/>
                <w:sz w:val="21"/>
                <w:szCs w:val="21"/>
              </w:rPr>
              <w:t>内容</w:t>
            </w:r>
          </w:p>
        </w:tc>
        <w:tc>
          <w:tcPr>
            <w:tcW w:w="1192" w:type="dxa"/>
            <w:tcBorders>
              <w:tl2br w:val="nil"/>
              <w:tr2bl w:val="nil"/>
            </w:tcBorders>
            <w:noWrap w:val="0"/>
            <w:vAlign w:val="center"/>
          </w:tcPr>
          <w:p w14:paraId="0826D23D">
            <w:pPr>
              <w:pageBreakBefore w:val="0"/>
              <w:wordWrap/>
              <w:bidi w:val="0"/>
              <w:adjustRightInd/>
              <w:snapToGrid/>
              <w:spacing w:line="280" w:lineRule="exact"/>
              <w:ind w:firstLine="0" w:firstLineChars="0"/>
              <w:jc w:val="center"/>
              <w:rPr>
                <w:rFonts w:hint="eastAsia" w:eastAsia="宋体"/>
                <w:b/>
                <w:bCs w:val="0"/>
                <w:color w:val="auto"/>
                <w:sz w:val="21"/>
                <w:szCs w:val="21"/>
                <w:lang w:eastAsia="zh-CN"/>
              </w:rPr>
            </w:pPr>
            <w:r>
              <w:rPr>
                <w:b/>
                <w:bCs w:val="0"/>
                <w:color w:val="auto"/>
                <w:sz w:val="21"/>
                <w:szCs w:val="21"/>
              </w:rPr>
              <w:t>投资</w:t>
            </w:r>
            <w:r>
              <w:rPr>
                <w:rFonts w:hint="eastAsia"/>
                <w:b/>
                <w:bCs w:val="0"/>
                <w:color w:val="auto"/>
                <w:sz w:val="21"/>
                <w:szCs w:val="21"/>
                <w:lang w:eastAsia="zh-CN"/>
              </w:rPr>
              <w:t>（</w:t>
            </w:r>
            <w:r>
              <w:rPr>
                <w:b/>
                <w:bCs w:val="0"/>
                <w:color w:val="auto"/>
                <w:sz w:val="21"/>
                <w:szCs w:val="21"/>
              </w:rPr>
              <w:t>万元</w:t>
            </w:r>
            <w:r>
              <w:rPr>
                <w:rFonts w:hint="eastAsia"/>
                <w:b/>
                <w:bCs w:val="0"/>
                <w:color w:val="auto"/>
                <w:sz w:val="21"/>
                <w:szCs w:val="21"/>
                <w:lang w:eastAsia="zh-CN"/>
              </w:rPr>
              <w:t>）</w:t>
            </w:r>
          </w:p>
        </w:tc>
      </w:tr>
      <w:tr w14:paraId="3F405F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restart"/>
            <w:tcBorders>
              <w:tl2br w:val="nil"/>
              <w:tr2bl w:val="nil"/>
            </w:tcBorders>
            <w:noWrap w:val="0"/>
            <w:vAlign w:val="center"/>
          </w:tcPr>
          <w:p w14:paraId="0DB9F121">
            <w:pPr>
              <w:pageBreakBefore w:val="0"/>
              <w:wordWrap/>
              <w:bidi w:val="0"/>
              <w:adjustRightInd/>
              <w:snapToGrid/>
              <w:spacing w:line="280" w:lineRule="exact"/>
              <w:ind w:firstLine="0" w:firstLineChars="0"/>
              <w:jc w:val="center"/>
              <w:rPr>
                <w:color w:val="auto"/>
                <w:sz w:val="21"/>
                <w:szCs w:val="21"/>
              </w:rPr>
            </w:pPr>
            <w:r>
              <w:rPr>
                <w:color w:val="auto"/>
                <w:sz w:val="21"/>
                <w:szCs w:val="21"/>
              </w:rPr>
              <w:t>施工期</w:t>
            </w:r>
          </w:p>
        </w:tc>
        <w:tc>
          <w:tcPr>
            <w:tcW w:w="1538" w:type="dxa"/>
            <w:tcBorders>
              <w:tl2br w:val="nil"/>
              <w:tr2bl w:val="nil"/>
            </w:tcBorders>
            <w:noWrap w:val="0"/>
            <w:vAlign w:val="center"/>
          </w:tcPr>
          <w:p w14:paraId="5DD71A5B">
            <w:pPr>
              <w:pageBreakBefore w:val="0"/>
              <w:wordWrap/>
              <w:bidi w:val="0"/>
              <w:adjustRightInd/>
              <w:snapToGrid/>
              <w:spacing w:line="280" w:lineRule="exact"/>
              <w:ind w:firstLine="0" w:firstLineChars="0"/>
              <w:jc w:val="center"/>
              <w:rPr>
                <w:color w:val="auto"/>
                <w:sz w:val="21"/>
                <w:szCs w:val="21"/>
              </w:rPr>
            </w:pPr>
            <w:r>
              <w:rPr>
                <w:color w:val="auto"/>
                <w:sz w:val="21"/>
                <w:szCs w:val="21"/>
              </w:rPr>
              <w:t>施工期扬尘防治</w:t>
            </w:r>
          </w:p>
        </w:tc>
        <w:tc>
          <w:tcPr>
            <w:tcW w:w="5350" w:type="dxa"/>
            <w:tcBorders>
              <w:tl2br w:val="nil"/>
              <w:tr2bl w:val="nil"/>
            </w:tcBorders>
            <w:noWrap w:val="0"/>
            <w:vAlign w:val="center"/>
          </w:tcPr>
          <w:p w14:paraId="1B397430">
            <w:pPr>
              <w:pageBreakBefore w:val="0"/>
              <w:wordWrap/>
              <w:bidi w:val="0"/>
              <w:adjustRightInd/>
              <w:snapToGrid/>
              <w:spacing w:line="280" w:lineRule="exact"/>
              <w:ind w:firstLine="0" w:firstLineChars="0"/>
              <w:rPr>
                <w:color w:val="auto"/>
                <w:sz w:val="21"/>
                <w:szCs w:val="21"/>
              </w:rPr>
            </w:pPr>
            <w:r>
              <w:rPr>
                <w:color w:val="auto"/>
                <w:sz w:val="21"/>
                <w:szCs w:val="21"/>
              </w:rPr>
              <w:t>洒水工具、清扫工具等。</w:t>
            </w:r>
          </w:p>
        </w:tc>
        <w:tc>
          <w:tcPr>
            <w:tcW w:w="1192" w:type="dxa"/>
            <w:tcBorders>
              <w:tl2br w:val="nil"/>
              <w:tr2bl w:val="nil"/>
            </w:tcBorders>
            <w:noWrap w:val="0"/>
            <w:vAlign w:val="center"/>
          </w:tcPr>
          <w:p w14:paraId="73EA63FF">
            <w:pPr>
              <w:pageBreakBefore w:val="0"/>
              <w:wordWrap/>
              <w:bidi w:val="0"/>
              <w:adjustRightInd/>
              <w:snapToGrid/>
              <w:spacing w:line="28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10</w:t>
            </w:r>
          </w:p>
        </w:tc>
      </w:tr>
      <w:tr w14:paraId="69F34A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438A4DA2">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1EC794B2">
            <w:pPr>
              <w:pageBreakBefore w:val="0"/>
              <w:wordWrap/>
              <w:bidi w:val="0"/>
              <w:adjustRightInd/>
              <w:snapToGrid/>
              <w:spacing w:line="280" w:lineRule="exact"/>
              <w:ind w:firstLine="0" w:firstLineChars="0"/>
              <w:jc w:val="center"/>
              <w:rPr>
                <w:color w:val="auto"/>
                <w:sz w:val="21"/>
                <w:szCs w:val="21"/>
              </w:rPr>
            </w:pPr>
            <w:r>
              <w:rPr>
                <w:color w:val="auto"/>
                <w:sz w:val="21"/>
                <w:szCs w:val="21"/>
              </w:rPr>
              <w:t>施工期废水防治</w:t>
            </w:r>
          </w:p>
        </w:tc>
        <w:tc>
          <w:tcPr>
            <w:tcW w:w="5350" w:type="dxa"/>
            <w:tcBorders>
              <w:tl2br w:val="nil"/>
              <w:tr2bl w:val="nil"/>
            </w:tcBorders>
            <w:noWrap w:val="0"/>
            <w:vAlign w:val="center"/>
          </w:tcPr>
          <w:p w14:paraId="69D2712C">
            <w:pPr>
              <w:pageBreakBefore w:val="0"/>
              <w:wordWrap/>
              <w:bidi w:val="0"/>
              <w:adjustRightInd/>
              <w:snapToGrid/>
              <w:spacing w:line="280" w:lineRule="exact"/>
              <w:ind w:firstLine="0" w:firstLineChars="0"/>
              <w:rPr>
                <w:color w:val="auto"/>
                <w:sz w:val="21"/>
                <w:szCs w:val="21"/>
              </w:rPr>
            </w:pPr>
            <w:r>
              <w:rPr>
                <w:color w:val="auto"/>
                <w:sz w:val="21"/>
                <w:szCs w:val="21"/>
              </w:rPr>
              <w:t>施工废水沉淀、隔油设施；生活污水排入</w:t>
            </w:r>
            <w:r>
              <w:rPr>
                <w:rFonts w:hint="eastAsia"/>
                <w:color w:val="auto"/>
                <w:sz w:val="21"/>
                <w:szCs w:val="21"/>
                <w:lang w:val="en-US" w:eastAsia="zh-CN"/>
              </w:rPr>
              <w:t>曾口镇</w:t>
            </w:r>
            <w:r>
              <w:rPr>
                <w:color w:val="auto"/>
                <w:sz w:val="21"/>
                <w:szCs w:val="21"/>
              </w:rPr>
              <w:t>污水处理厂。</w:t>
            </w:r>
          </w:p>
        </w:tc>
        <w:tc>
          <w:tcPr>
            <w:tcW w:w="1192" w:type="dxa"/>
            <w:tcBorders>
              <w:tl2br w:val="nil"/>
              <w:tr2bl w:val="nil"/>
            </w:tcBorders>
            <w:noWrap w:val="0"/>
            <w:vAlign w:val="center"/>
          </w:tcPr>
          <w:p w14:paraId="6B62DEA9">
            <w:pPr>
              <w:pageBreakBefore w:val="0"/>
              <w:wordWrap/>
              <w:bidi w:val="0"/>
              <w:adjustRightInd/>
              <w:snapToGrid/>
              <w:spacing w:line="280" w:lineRule="exact"/>
              <w:ind w:firstLine="0" w:firstLineChars="0"/>
              <w:jc w:val="center"/>
              <w:rPr>
                <w:color w:val="auto"/>
                <w:sz w:val="21"/>
                <w:szCs w:val="21"/>
              </w:rPr>
            </w:pPr>
            <w:r>
              <w:rPr>
                <w:color w:val="auto"/>
                <w:sz w:val="21"/>
                <w:szCs w:val="21"/>
              </w:rPr>
              <w:t>10</w:t>
            </w:r>
          </w:p>
        </w:tc>
      </w:tr>
      <w:tr w14:paraId="16F2051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5445DE89">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1C683472">
            <w:pPr>
              <w:pageBreakBefore w:val="0"/>
              <w:wordWrap/>
              <w:bidi w:val="0"/>
              <w:adjustRightInd/>
              <w:snapToGrid/>
              <w:spacing w:line="28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施工期噪声</w:t>
            </w:r>
          </w:p>
        </w:tc>
        <w:tc>
          <w:tcPr>
            <w:tcW w:w="5350" w:type="dxa"/>
            <w:tcBorders>
              <w:tl2br w:val="nil"/>
              <w:tr2bl w:val="nil"/>
            </w:tcBorders>
            <w:noWrap w:val="0"/>
            <w:vAlign w:val="center"/>
          </w:tcPr>
          <w:p w14:paraId="1A82D2F3">
            <w:pPr>
              <w:pageBreakBefore w:val="0"/>
              <w:wordWrap/>
              <w:bidi w:val="0"/>
              <w:adjustRightInd/>
              <w:snapToGrid/>
              <w:spacing w:line="280" w:lineRule="exact"/>
              <w:ind w:firstLine="0" w:firstLineChars="0"/>
              <w:rPr>
                <w:color w:val="auto"/>
                <w:sz w:val="21"/>
                <w:szCs w:val="21"/>
              </w:rPr>
            </w:pPr>
            <w:r>
              <w:rPr>
                <w:rFonts w:hint="eastAsia"/>
                <w:color w:val="auto"/>
                <w:sz w:val="21"/>
                <w:szCs w:val="21"/>
              </w:rPr>
              <w:t>合理安排施工作业时间，施工机具合理布局</w:t>
            </w:r>
          </w:p>
        </w:tc>
        <w:tc>
          <w:tcPr>
            <w:tcW w:w="1192" w:type="dxa"/>
            <w:tcBorders>
              <w:tl2br w:val="nil"/>
              <w:tr2bl w:val="nil"/>
            </w:tcBorders>
            <w:noWrap w:val="0"/>
            <w:vAlign w:val="center"/>
          </w:tcPr>
          <w:p w14:paraId="229AF0A0">
            <w:pPr>
              <w:pageBreakBefore w:val="0"/>
              <w:wordWrap/>
              <w:bidi w:val="0"/>
              <w:adjustRightInd/>
              <w:snapToGrid/>
              <w:spacing w:line="280" w:lineRule="exact"/>
              <w:ind w:firstLine="0" w:firstLineChars="0"/>
              <w:jc w:val="center"/>
              <w:rPr>
                <w:rFonts w:hint="eastAsia" w:eastAsia="宋体"/>
                <w:color w:val="auto"/>
                <w:sz w:val="21"/>
                <w:szCs w:val="21"/>
                <w:lang w:val="en-US" w:eastAsia="zh-CN"/>
              </w:rPr>
            </w:pPr>
            <w:r>
              <w:rPr>
                <w:rFonts w:hint="eastAsia"/>
                <w:color w:val="auto"/>
                <w:sz w:val="21"/>
                <w:szCs w:val="21"/>
                <w:lang w:val="en-US" w:eastAsia="zh-CN"/>
              </w:rPr>
              <w:t>/</w:t>
            </w:r>
          </w:p>
        </w:tc>
      </w:tr>
      <w:tr w14:paraId="7F04868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059F60D9">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5F84AC7A">
            <w:pPr>
              <w:pageBreakBefore w:val="0"/>
              <w:wordWrap/>
              <w:bidi w:val="0"/>
              <w:adjustRightInd/>
              <w:snapToGrid/>
              <w:spacing w:line="280" w:lineRule="exact"/>
              <w:ind w:firstLine="0" w:firstLineChars="0"/>
              <w:jc w:val="center"/>
              <w:rPr>
                <w:rFonts w:hint="default"/>
                <w:color w:val="auto"/>
                <w:sz w:val="21"/>
                <w:szCs w:val="21"/>
                <w:lang w:val="en-US" w:eastAsia="zh-CN"/>
              </w:rPr>
            </w:pPr>
            <w:r>
              <w:rPr>
                <w:rFonts w:hint="eastAsia"/>
                <w:color w:val="auto"/>
                <w:sz w:val="21"/>
                <w:szCs w:val="21"/>
                <w:lang w:val="en-US" w:eastAsia="zh-CN"/>
              </w:rPr>
              <w:t>施工期固废</w:t>
            </w:r>
          </w:p>
        </w:tc>
        <w:tc>
          <w:tcPr>
            <w:tcW w:w="5350" w:type="dxa"/>
            <w:tcBorders>
              <w:tl2br w:val="nil"/>
              <w:tr2bl w:val="nil"/>
            </w:tcBorders>
            <w:noWrap w:val="0"/>
            <w:vAlign w:val="center"/>
          </w:tcPr>
          <w:p w14:paraId="60FC1A2C">
            <w:pPr>
              <w:pageBreakBefore w:val="0"/>
              <w:wordWrap/>
              <w:bidi w:val="0"/>
              <w:adjustRightInd/>
              <w:snapToGrid/>
              <w:spacing w:line="280" w:lineRule="exact"/>
              <w:ind w:firstLine="0" w:firstLineChars="0"/>
              <w:rPr>
                <w:rFonts w:hint="default" w:eastAsia="宋体"/>
                <w:color w:val="auto"/>
                <w:sz w:val="21"/>
                <w:szCs w:val="21"/>
                <w:lang w:val="en-US" w:eastAsia="zh-CN"/>
              </w:rPr>
            </w:pPr>
            <w:r>
              <w:rPr>
                <w:rFonts w:hint="eastAsia"/>
                <w:color w:val="auto"/>
                <w:sz w:val="21"/>
                <w:szCs w:val="21"/>
                <w:lang w:val="en-US" w:eastAsia="zh-CN"/>
              </w:rPr>
              <w:t>生活垃圾由市政环卫部门清运，建筑垃圾和废土石方运至政府指定地点。</w:t>
            </w:r>
          </w:p>
        </w:tc>
        <w:tc>
          <w:tcPr>
            <w:tcW w:w="1192" w:type="dxa"/>
            <w:tcBorders>
              <w:tl2br w:val="nil"/>
              <w:tr2bl w:val="nil"/>
            </w:tcBorders>
            <w:noWrap w:val="0"/>
            <w:vAlign w:val="center"/>
          </w:tcPr>
          <w:p w14:paraId="634CE86E">
            <w:pPr>
              <w:pageBreakBefore w:val="0"/>
              <w:wordWrap/>
              <w:bidi w:val="0"/>
              <w:adjustRightInd/>
              <w:snapToGrid/>
              <w:spacing w:line="280" w:lineRule="exact"/>
              <w:ind w:firstLine="0" w:firstLineChars="0"/>
              <w:jc w:val="center"/>
              <w:rPr>
                <w:rFonts w:hint="default"/>
                <w:color w:val="auto"/>
                <w:sz w:val="21"/>
                <w:szCs w:val="21"/>
                <w:lang w:val="en-US" w:eastAsia="zh-CN"/>
              </w:rPr>
            </w:pPr>
            <w:r>
              <w:rPr>
                <w:rFonts w:hint="eastAsia"/>
                <w:color w:val="auto"/>
                <w:sz w:val="21"/>
                <w:szCs w:val="21"/>
                <w:lang w:val="en-US" w:eastAsia="zh-CN"/>
              </w:rPr>
              <w:t>10</w:t>
            </w:r>
          </w:p>
        </w:tc>
      </w:tr>
      <w:tr w14:paraId="7564684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4A1F0AC7">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4FD03793">
            <w:pPr>
              <w:pageBreakBefore w:val="0"/>
              <w:wordWrap/>
              <w:bidi w:val="0"/>
              <w:adjustRightInd/>
              <w:snapToGrid/>
              <w:spacing w:line="280" w:lineRule="exact"/>
              <w:ind w:firstLine="0" w:firstLineChars="0"/>
              <w:jc w:val="center"/>
              <w:rPr>
                <w:color w:val="auto"/>
                <w:sz w:val="21"/>
                <w:szCs w:val="21"/>
              </w:rPr>
            </w:pPr>
            <w:r>
              <w:rPr>
                <w:color w:val="auto"/>
                <w:sz w:val="21"/>
                <w:szCs w:val="21"/>
              </w:rPr>
              <w:t>水土流失防治</w:t>
            </w:r>
          </w:p>
        </w:tc>
        <w:tc>
          <w:tcPr>
            <w:tcW w:w="5350" w:type="dxa"/>
            <w:tcBorders>
              <w:tl2br w:val="nil"/>
              <w:tr2bl w:val="nil"/>
            </w:tcBorders>
            <w:noWrap w:val="0"/>
            <w:vAlign w:val="center"/>
          </w:tcPr>
          <w:p w14:paraId="3FDA92BC">
            <w:pPr>
              <w:pageBreakBefore w:val="0"/>
              <w:wordWrap/>
              <w:bidi w:val="0"/>
              <w:adjustRightInd/>
              <w:snapToGrid/>
              <w:spacing w:line="280" w:lineRule="exact"/>
              <w:ind w:firstLine="0" w:firstLineChars="0"/>
              <w:rPr>
                <w:color w:val="auto"/>
                <w:sz w:val="21"/>
                <w:szCs w:val="21"/>
              </w:rPr>
            </w:pPr>
            <w:r>
              <w:rPr>
                <w:rFonts w:hint="eastAsia"/>
                <w:color w:val="auto"/>
                <w:sz w:val="21"/>
                <w:szCs w:val="21"/>
                <w:lang w:eastAsia="zh-CN"/>
              </w:rPr>
              <w:t>挖除</w:t>
            </w:r>
            <w:r>
              <w:rPr>
                <w:color w:val="auto"/>
                <w:sz w:val="21"/>
                <w:szCs w:val="21"/>
              </w:rPr>
              <w:t>土方土工布护栏等。</w:t>
            </w:r>
          </w:p>
        </w:tc>
        <w:tc>
          <w:tcPr>
            <w:tcW w:w="1192" w:type="dxa"/>
            <w:tcBorders>
              <w:tl2br w:val="nil"/>
              <w:tr2bl w:val="nil"/>
            </w:tcBorders>
            <w:noWrap w:val="0"/>
            <w:vAlign w:val="center"/>
          </w:tcPr>
          <w:p w14:paraId="1E95EBC8">
            <w:pPr>
              <w:pageBreakBefore w:val="0"/>
              <w:wordWrap/>
              <w:bidi w:val="0"/>
              <w:adjustRightInd/>
              <w:snapToGrid/>
              <w:spacing w:line="280" w:lineRule="exact"/>
              <w:ind w:firstLine="0" w:firstLineChars="0"/>
              <w:jc w:val="center"/>
              <w:rPr>
                <w:color w:val="auto"/>
                <w:sz w:val="21"/>
                <w:szCs w:val="21"/>
              </w:rPr>
            </w:pPr>
            <w:r>
              <w:rPr>
                <w:color w:val="auto"/>
                <w:sz w:val="21"/>
                <w:szCs w:val="21"/>
              </w:rPr>
              <w:t>20</w:t>
            </w:r>
          </w:p>
        </w:tc>
      </w:tr>
      <w:tr w14:paraId="579FE8C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546E475C">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5CBADB26">
            <w:pPr>
              <w:pageBreakBefore w:val="0"/>
              <w:wordWrap/>
              <w:bidi w:val="0"/>
              <w:adjustRightInd/>
              <w:snapToGrid/>
              <w:spacing w:line="280" w:lineRule="exact"/>
              <w:ind w:firstLine="0" w:firstLineChars="0"/>
              <w:jc w:val="center"/>
              <w:rPr>
                <w:color w:val="auto"/>
                <w:sz w:val="21"/>
                <w:szCs w:val="21"/>
              </w:rPr>
            </w:pPr>
            <w:r>
              <w:rPr>
                <w:color w:val="auto"/>
                <w:sz w:val="21"/>
                <w:szCs w:val="21"/>
              </w:rPr>
              <w:t>环境监测</w:t>
            </w:r>
          </w:p>
        </w:tc>
        <w:tc>
          <w:tcPr>
            <w:tcW w:w="5350" w:type="dxa"/>
            <w:tcBorders>
              <w:tl2br w:val="nil"/>
              <w:tr2bl w:val="nil"/>
            </w:tcBorders>
            <w:noWrap w:val="0"/>
            <w:vAlign w:val="center"/>
          </w:tcPr>
          <w:p w14:paraId="22341DD0">
            <w:pPr>
              <w:pageBreakBefore w:val="0"/>
              <w:wordWrap/>
              <w:bidi w:val="0"/>
              <w:adjustRightInd/>
              <w:snapToGrid/>
              <w:spacing w:line="280" w:lineRule="exact"/>
              <w:ind w:firstLine="0" w:firstLineChars="0"/>
              <w:rPr>
                <w:color w:val="auto"/>
                <w:kern w:val="0"/>
                <w:sz w:val="21"/>
                <w:szCs w:val="21"/>
              </w:rPr>
            </w:pPr>
            <w:r>
              <w:rPr>
                <w:color w:val="auto"/>
                <w:sz w:val="21"/>
                <w:szCs w:val="21"/>
              </w:rPr>
              <w:t>环境空气监测、地表水、地下水、水土流失、噪声监测。</w:t>
            </w:r>
          </w:p>
        </w:tc>
        <w:tc>
          <w:tcPr>
            <w:tcW w:w="1192" w:type="dxa"/>
            <w:tcBorders>
              <w:tl2br w:val="nil"/>
              <w:tr2bl w:val="nil"/>
            </w:tcBorders>
            <w:noWrap w:val="0"/>
            <w:vAlign w:val="center"/>
          </w:tcPr>
          <w:p w14:paraId="03AAF73A">
            <w:pPr>
              <w:pStyle w:val="667"/>
              <w:pageBreakBefore w:val="0"/>
              <w:wordWrap/>
              <w:bidi w:val="0"/>
              <w:adjustRightInd/>
              <w:snapToGrid/>
              <w:spacing w:before="0" w:line="280" w:lineRule="exact"/>
              <w:rPr>
                <w:color w:val="auto"/>
                <w:sz w:val="21"/>
                <w:szCs w:val="21"/>
              </w:rPr>
            </w:pPr>
            <w:r>
              <w:rPr>
                <w:color w:val="auto"/>
                <w:sz w:val="21"/>
                <w:szCs w:val="21"/>
              </w:rPr>
              <w:t>20</w:t>
            </w:r>
          </w:p>
        </w:tc>
      </w:tr>
      <w:tr w14:paraId="2CB04B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10D20002">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710636B6">
            <w:pPr>
              <w:pageBreakBefore w:val="0"/>
              <w:wordWrap/>
              <w:bidi w:val="0"/>
              <w:adjustRightInd/>
              <w:snapToGrid/>
              <w:spacing w:line="280" w:lineRule="exact"/>
              <w:ind w:firstLine="0" w:firstLineChars="0"/>
              <w:jc w:val="center"/>
              <w:rPr>
                <w:color w:val="auto"/>
                <w:sz w:val="21"/>
                <w:szCs w:val="21"/>
              </w:rPr>
            </w:pPr>
            <w:r>
              <w:rPr>
                <w:color w:val="auto"/>
                <w:sz w:val="21"/>
                <w:szCs w:val="21"/>
              </w:rPr>
              <w:t>环境监理</w:t>
            </w:r>
          </w:p>
        </w:tc>
        <w:tc>
          <w:tcPr>
            <w:tcW w:w="5350" w:type="dxa"/>
            <w:tcBorders>
              <w:tl2br w:val="nil"/>
              <w:tr2bl w:val="nil"/>
            </w:tcBorders>
            <w:noWrap w:val="0"/>
            <w:vAlign w:val="center"/>
          </w:tcPr>
          <w:p w14:paraId="5667DFC6">
            <w:pPr>
              <w:pageBreakBefore w:val="0"/>
              <w:wordWrap/>
              <w:bidi w:val="0"/>
              <w:adjustRightInd/>
              <w:snapToGrid/>
              <w:spacing w:line="280" w:lineRule="exact"/>
              <w:ind w:firstLine="0" w:firstLineChars="0"/>
              <w:rPr>
                <w:color w:val="auto"/>
                <w:kern w:val="0"/>
                <w:sz w:val="21"/>
                <w:szCs w:val="21"/>
              </w:rPr>
            </w:pPr>
            <w:r>
              <w:rPr>
                <w:color w:val="auto"/>
                <w:sz w:val="21"/>
                <w:szCs w:val="21"/>
              </w:rPr>
              <w:t>环境保护措施执行、落实情况。</w:t>
            </w:r>
          </w:p>
        </w:tc>
        <w:tc>
          <w:tcPr>
            <w:tcW w:w="1192" w:type="dxa"/>
            <w:tcBorders>
              <w:tl2br w:val="nil"/>
              <w:tr2bl w:val="nil"/>
            </w:tcBorders>
            <w:noWrap w:val="0"/>
            <w:vAlign w:val="center"/>
          </w:tcPr>
          <w:p w14:paraId="388BFA34">
            <w:pPr>
              <w:pageBreakBefore w:val="0"/>
              <w:wordWrap/>
              <w:bidi w:val="0"/>
              <w:adjustRightInd/>
              <w:snapToGrid/>
              <w:spacing w:line="280" w:lineRule="exact"/>
              <w:ind w:firstLine="0" w:firstLineChars="0"/>
              <w:jc w:val="center"/>
              <w:rPr>
                <w:color w:val="auto"/>
                <w:sz w:val="21"/>
                <w:szCs w:val="21"/>
              </w:rPr>
            </w:pPr>
            <w:r>
              <w:rPr>
                <w:color w:val="auto"/>
                <w:sz w:val="21"/>
                <w:szCs w:val="21"/>
              </w:rPr>
              <w:t>30</w:t>
            </w:r>
          </w:p>
        </w:tc>
      </w:tr>
      <w:tr w14:paraId="141123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restart"/>
            <w:tcBorders>
              <w:tl2br w:val="nil"/>
              <w:tr2bl w:val="nil"/>
            </w:tcBorders>
            <w:noWrap w:val="0"/>
            <w:vAlign w:val="center"/>
          </w:tcPr>
          <w:p w14:paraId="65C0E8AD">
            <w:pPr>
              <w:pageBreakBefore w:val="0"/>
              <w:wordWrap/>
              <w:bidi w:val="0"/>
              <w:adjustRightInd/>
              <w:snapToGrid/>
              <w:spacing w:line="280" w:lineRule="exact"/>
              <w:ind w:firstLine="0" w:firstLineChars="0"/>
              <w:jc w:val="center"/>
              <w:rPr>
                <w:color w:val="auto"/>
                <w:sz w:val="21"/>
                <w:szCs w:val="21"/>
              </w:rPr>
            </w:pPr>
            <w:r>
              <w:rPr>
                <w:color w:val="auto"/>
                <w:sz w:val="21"/>
                <w:szCs w:val="21"/>
              </w:rPr>
              <w:t>运行期</w:t>
            </w:r>
          </w:p>
        </w:tc>
        <w:tc>
          <w:tcPr>
            <w:tcW w:w="1538" w:type="dxa"/>
            <w:tcBorders>
              <w:tl2br w:val="nil"/>
              <w:tr2bl w:val="nil"/>
            </w:tcBorders>
            <w:noWrap w:val="0"/>
            <w:vAlign w:val="center"/>
          </w:tcPr>
          <w:p w14:paraId="4EBB1DFA">
            <w:pPr>
              <w:pageBreakBefore w:val="0"/>
              <w:wordWrap/>
              <w:bidi w:val="0"/>
              <w:adjustRightInd/>
              <w:snapToGrid/>
              <w:spacing w:line="280" w:lineRule="exact"/>
              <w:ind w:firstLine="0" w:firstLineChars="0"/>
              <w:jc w:val="center"/>
              <w:rPr>
                <w:color w:val="auto"/>
                <w:sz w:val="21"/>
                <w:szCs w:val="21"/>
              </w:rPr>
            </w:pPr>
            <w:r>
              <w:rPr>
                <w:color w:val="auto"/>
                <w:sz w:val="21"/>
                <w:szCs w:val="21"/>
              </w:rPr>
              <w:t>水污染治理措施</w:t>
            </w:r>
          </w:p>
        </w:tc>
        <w:tc>
          <w:tcPr>
            <w:tcW w:w="5350" w:type="dxa"/>
            <w:tcBorders>
              <w:tl2br w:val="nil"/>
              <w:tr2bl w:val="nil"/>
            </w:tcBorders>
            <w:noWrap w:val="0"/>
            <w:vAlign w:val="center"/>
          </w:tcPr>
          <w:p w14:paraId="2015AE92">
            <w:pPr>
              <w:pageBreakBefore w:val="0"/>
              <w:wordWrap/>
              <w:bidi w:val="0"/>
              <w:adjustRightInd/>
              <w:snapToGrid/>
              <w:spacing w:line="280" w:lineRule="exact"/>
              <w:ind w:firstLine="0" w:firstLineChars="0"/>
              <w:rPr>
                <w:color w:val="auto"/>
                <w:sz w:val="21"/>
                <w:szCs w:val="21"/>
              </w:rPr>
            </w:pPr>
            <w:r>
              <w:rPr>
                <w:color w:val="auto"/>
                <w:sz w:val="21"/>
                <w:szCs w:val="21"/>
              </w:rPr>
              <w:t>经分析，本项目纳污范围内各类污废水和厂区内部排污经收集、预处理，进入本项目拟建废水处理系统，集中处理。同时，预留深度处理设施用地，确保出水达标。</w:t>
            </w:r>
          </w:p>
        </w:tc>
        <w:tc>
          <w:tcPr>
            <w:tcW w:w="1192" w:type="dxa"/>
            <w:tcBorders>
              <w:tl2br w:val="nil"/>
              <w:tr2bl w:val="nil"/>
            </w:tcBorders>
            <w:noWrap w:val="0"/>
            <w:vAlign w:val="center"/>
          </w:tcPr>
          <w:p w14:paraId="1BAC2930">
            <w:pPr>
              <w:pageBreakBefore w:val="0"/>
              <w:wordWrap/>
              <w:bidi w:val="0"/>
              <w:adjustRightInd/>
              <w:snapToGrid/>
              <w:spacing w:line="280" w:lineRule="exact"/>
              <w:ind w:firstLine="0" w:firstLineChars="0"/>
              <w:jc w:val="center"/>
              <w:rPr>
                <w:color w:val="auto"/>
                <w:sz w:val="21"/>
                <w:szCs w:val="21"/>
              </w:rPr>
            </w:pPr>
            <w:r>
              <w:rPr>
                <w:color w:val="auto"/>
                <w:sz w:val="21"/>
                <w:szCs w:val="21"/>
              </w:rPr>
              <w:t>列入主体工程投资</w:t>
            </w:r>
          </w:p>
        </w:tc>
      </w:tr>
      <w:tr w14:paraId="3469FB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4D4F1EF1">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4F3A7695">
            <w:pPr>
              <w:pageBreakBefore w:val="0"/>
              <w:wordWrap/>
              <w:bidi w:val="0"/>
              <w:adjustRightInd/>
              <w:snapToGrid/>
              <w:spacing w:line="280" w:lineRule="exact"/>
              <w:ind w:firstLine="0" w:firstLineChars="0"/>
              <w:jc w:val="center"/>
              <w:rPr>
                <w:color w:val="auto"/>
                <w:sz w:val="21"/>
                <w:szCs w:val="21"/>
              </w:rPr>
            </w:pPr>
            <w:r>
              <w:rPr>
                <w:rFonts w:hint="eastAsia"/>
                <w:color w:val="auto"/>
                <w:sz w:val="21"/>
                <w:szCs w:val="21"/>
                <w:lang w:eastAsia="zh-CN"/>
              </w:rPr>
              <w:t>废气污染治理</w:t>
            </w:r>
          </w:p>
          <w:p w14:paraId="0CB16469">
            <w:pPr>
              <w:pageBreakBefore w:val="0"/>
              <w:wordWrap/>
              <w:bidi w:val="0"/>
              <w:adjustRightInd/>
              <w:snapToGrid/>
              <w:spacing w:line="280" w:lineRule="exact"/>
              <w:ind w:firstLine="0" w:firstLineChars="0"/>
              <w:jc w:val="center"/>
              <w:rPr>
                <w:rFonts w:ascii="Times New Roman" w:hAnsi="Times New Roman" w:eastAsia="宋体" w:cs="Times New Roman"/>
                <w:color w:val="auto"/>
                <w:kern w:val="2"/>
                <w:sz w:val="21"/>
                <w:szCs w:val="21"/>
                <w:lang w:val="en-US" w:eastAsia="zh-CN" w:bidi="ar-SA"/>
              </w:rPr>
            </w:pPr>
            <w:r>
              <w:rPr>
                <w:color w:val="auto"/>
                <w:sz w:val="21"/>
                <w:szCs w:val="21"/>
              </w:rPr>
              <w:t>理措施</w:t>
            </w:r>
          </w:p>
        </w:tc>
        <w:tc>
          <w:tcPr>
            <w:tcW w:w="5350" w:type="dxa"/>
            <w:tcBorders>
              <w:tl2br w:val="nil"/>
              <w:tr2bl w:val="nil"/>
            </w:tcBorders>
            <w:noWrap w:val="0"/>
            <w:vAlign w:val="center"/>
          </w:tcPr>
          <w:p w14:paraId="61958A71">
            <w:pPr>
              <w:pageBreakBefore w:val="0"/>
              <w:wordWrap/>
              <w:bidi w:val="0"/>
              <w:adjustRightInd/>
              <w:snapToGrid/>
              <w:spacing w:line="280" w:lineRule="exact"/>
              <w:ind w:firstLine="0" w:firstLineChars="0"/>
              <w:rPr>
                <w:rFonts w:ascii="Times New Roman" w:hAnsi="Times New Roman" w:eastAsia="宋体" w:cs="Times New Roman"/>
                <w:color w:val="auto"/>
                <w:kern w:val="2"/>
                <w:sz w:val="21"/>
                <w:szCs w:val="21"/>
                <w:lang w:val="en-US" w:eastAsia="zh-CN" w:bidi="ar-SA"/>
              </w:rPr>
            </w:pPr>
            <w:r>
              <w:rPr>
                <w:color w:val="auto"/>
                <w:sz w:val="21"/>
                <w:szCs w:val="21"/>
              </w:rPr>
              <w:t>新建</w:t>
            </w:r>
            <w:r>
              <w:rPr>
                <w:rFonts w:hint="eastAsia"/>
                <w:color w:val="auto"/>
                <w:sz w:val="21"/>
                <w:szCs w:val="21"/>
                <w:lang w:val="en-US" w:eastAsia="zh-CN"/>
              </w:rPr>
              <w:t>1</w:t>
            </w:r>
            <w:r>
              <w:rPr>
                <w:color w:val="auto"/>
                <w:sz w:val="21"/>
                <w:szCs w:val="21"/>
              </w:rPr>
              <w:t>套生物除臭系统，并对预处理单元、生化处理系统</w:t>
            </w:r>
            <w:r>
              <w:rPr>
                <w:rFonts w:hint="eastAsia"/>
                <w:color w:val="auto"/>
                <w:sz w:val="21"/>
                <w:szCs w:val="21"/>
                <w:lang w:eastAsia="zh-CN"/>
              </w:rPr>
              <w:t>、</w:t>
            </w:r>
            <w:r>
              <w:rPr>
                <w:rFonts w:hint="eastAsia"/>
                <w:color w:val="auto"/>
                <w:sz w:val="21"/>
                <w:szCs w:val="21"/>
                <w:lang w:val="en-US" w:eastAsia="zh-CN"/>
              </w:rPr>
              <w:t>深度处理单元</w:t>
            </w:r>
            <w:r>
              <w:rPr>
                <w:color w:val="auto"/>
                <w:sz w:val="21"/>
                <w:szCs w:val="21"/>
              </w:rPr>
              <w:t>以及污泥处理单元进行加盖、密封，用于恶臭气体的收集（收集率≥95%）、净化处理（去除率</w:t>
            </w:r>
            <w:r>
              <w:rPr>
                <w:rFonts w:hint="eastAsia"/>
                <w:color w:val="auto"/>
                <w:sz w:val="21"/>
                <w:szCs w:val="21"/>
                <w:lang w:val="en-US" w:eastAsia="zh-CN"/>
              </w:rPr>
              <w:t>氨≥80</w:t>
            </w:r>
            <w:r>
              <w:rPr>
                <w:color w:val="auto"/>
                <w:sz w:val="21"/>
                <w:szCs w:val="21"/>
              </w:rPr>
              <w:t>%</w:t>
            </w:r>
            <w:r>
              <w:rPr>
                <w:rFonts w:hint="eastAsia"/>
                <w:color w:val="auto"/>
                <w:sz w:val="21"/>
                <w:szCs w:val="21"/>
                <w:lang w:eastAsia="zh-CN"/>
              </w:rPr>
              <w:t>，</w:t>
            </w:r>
            <w:r>
              <w:rPr>
                <w:rFonts w:hint="eastAsia"/>
                <w:color w:val="auto"/>
                <w:sz w:val="21"/>
                <w:szCs w:val="21"/>
                <w:lang w:val="en-US" w:eastAsia="zh-CN"/>
              </w:rPr>
              <w:t>硫化氢≥95</w:t>
            </w:r>
            <w:r>
              <w:rPr>
                <w:color w:val="auto"/>
                <w:sz w:val="21"/>
                <w:szCs w:val="21"/>
              </w:rPr>
              <w:t>%），尾气经15m排气筒达标排放。同时，加强厂区室内通风，剩余污泥及时清运；本期工程</w:t>
            </w:r>
            <w:r>
              <w:rPr>
                <w:color w:val="auto"/>
                <w:spacing w:val="2"/>
                <w:sz w:val="21"/>
                <w:szCs w:val="21"/>
              </w:rPr>
              <w:t>以主要恶臭源（</w:t>
            </w:r>
            <w:r>
              <w:rPr>
                <w:color w:val="auto"/>
                <w:sz w:val="21"/>
                <w:szCs w:val="21"/>
              </w:rPr>
              <w:t>预处理单元、生化单元、</w:t>
            </w:r>
            <w:r>
              <w:rPr>
                <w:rFonts w:hint="eastAsia"/>
                <w:color w:val="auto"/>
                <w:sz w:val="21"/>
                <w:szCs w:val="21"/>
                <w:lang w:val="en-US" w:eastAsia="zh-CN"/>
              </w:rPr>
              <w:t>深度处理单元、</w:t>
            </w:r>
            <w:r>
              <w:rPr>
                <w:color w:val="auto"/>
                <w:sz w:val="21"/>
                <w:szCs w:val="21"/>
              </w:rPr>
              <w:t>污泥单元等构筑物</w:t>
            </w:r>
            <w:r>
              <w:rPr>
                <w:color w:val="auto"/>
                <w:spacing w:val="2"/>
                <w:sz w:val="21"/>
                <w:szCs w:val="21"/>
              </w:rPr>
              <w:t>）</w:t>
            </w:r>
            <w:r>
              <w:rPr>
                <w:color w:val="auto"/>
                <w:sz w:val="21"/>
                <w:szCs w:val="21"/>
              </w:rPr>
              <w:t>边界为起点向外划定</w:t>
            </w:r>
            <w:r>
              <w:rPr>
                <w:rFonts w:hint="eastAsia"/>
                <w:color w:val="auto"/>
                <w:sz w:val="21"/>
                <w:szCs w:val="21"/>
                <w:lang w:val="en-US" w:eastAsia="zh-CN"/>
              </w:rPr>
              <w:t>5</w:t>
            </w:r>
            <w:r>
              <w:rPr>
                <w:color w:val="auto"/>
                <w:sz w:val="21"/>
                <w:szCs w:val="21"/>
              </w:rPr>
              <w:t>0m的卫生防护距离。同时，针对食堂油烟设置高效油烟净化器，要求处理后的尾气上顶排放，从而降低其环境影响。</w:t>
            </w:r>
          </w:p>
        </w:tc>
        <w:tc>
          <w:tcPr>
            <w:tcW w:w="1192" w:type="dxa"/>
            <w:tcBorders>
              <w:tl2br w:val="nil"/>
              <w:tr2bl w:val="nil"/>
            </w:tcBorders>
            <w:noWrap w:val="0"/>
            <w:vAlign w:val="center"/>
          </w:tcPr>
          <w:p w14:paraId="3E7BD644">
            <w:pPr>
              <w:pageBreakBefore w:val="0"/>
              <w:wordWrap/>
              <w:bidi w:val="0"/>
              <w:adjustRightInd/>
              <w:snapToGrid/>
              <w:spacing w:line="280" w:lineRule="exact"/>
              <w:ind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200</w:t>
            </w:r>
          </w:p>
        </w:tc>
      </w:tr>
      <w:tr w14:paraId="207DAF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6455514D">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4B7F2C91">
            <w:pPr>
              <w:pageBreakBefore w:val="0"/>
              <w:wordWrap/>
              <w:bidi w:val="0"/>
              <w:adjustRightInd/>
              <w:snapToGrid/>
              <w:spacing w:line="280" w:lineRule="exact"/>
              <w:ind w:firstLine="0" w:firstLineChars="0"/>
              <w:jc w:val="center"/>
              <w:rPr>
                <w:color w:val="auto"/>
                <w:sz w:val="21"/>
                <w:szCs w:val="21"/>
              </w:rPr>
            </w:pPr>
            <w:r>
              <w:rPr>
                <w:color w:val="auto"/>
                <w:sz w:val="21"/>
                <w:szCs w:val="21"/>
              </w:rPr>
              <w:t>固体废弃物处理</w:t>
            </w:r>
          </w:p>
        </w:tc>
        <w:tc>
          <w:tcPr>
            <w:tcW w:w="5350" w:type="dxa"/>
            <w:tcBorders>
              <w:tl2br w:val="nil"/>
              <w:tr2bl w:val="nil"/>
            </w:tcBorders>
            <w:noWrap w:val="0"/>
            <w:vAlign w:val="center"/>
          </w:tcPr>
          <w:p w14:paraId="4412D6DB">
            <w:pPr>
              <w:pageBreakBefore w:val="0"/>
              <w:wordWrap/>
              <w:bidi w:val="0"/>
              <w:adjustRightInd/>
              <w:snapToGrid/>
              <w:spacing w:line="280" w:lineRule="exact"/>
              <w:ind w:firstLine="0" w:firstLineChars="0"/>
              <w:rPr>
                <w:rFonts w:hint="default" w:eastAsia="宋体"/>
                <w:color w:val="auto"/>
                <w:sz w:val="21"/>
                <w:szCs w:val="21"/>
                <w:lang w:val="en-US" w:eastAsia="zh-CN"/>
              </w:rPr>
            </w:pPr>
            <w:r>
              <w:rPr>
                <w:color w:val="auto"/>
                <w:sz w:val="21"/>
                <w:szCs w:val="21"/>
              </w:rPr>
              <w:t>格栅渣经收集、处理后送地方垃圾填埋场处置；生活垃圾，由市政环卫部门定期清运；污泥经分类收集、脱水处理后，并定期抽检，根据检测结果进行按质处理，同时加强堆棚防渗、防雨设置。</w:t>
            </w:r>
            <w:r>
              <w:rPr>
                <w:rFonts w:hint="eastAsia"/>
                <w:color w:val="auto"/>
                <w:sz w:val="21"/>
                <w:szCs w:val="21"/>
                <w:lang w:val="en-US" w:eastAsia="zh-CN"/>
              </w:rPr>
              <w:t>危险废物分类收集后暂存于危废暂存间，定期交有资质单位处置。</w:t>
            </w:r>
          </w:p>
        </w:tc>
        <w:tc>
          <w:tcPr>
            <w:tcW w:w="1192" w:type="dxa"/>
            <w:tcBorders>
              <w:tl2br w:val="nil"/>
              <w:tr2bl w:val="nil"/>
            </w:tcBorders>
            <w:noWrap w:val="0"/>
            <w:vAlign w:val="center"/>
          </w:tcPr>
          <w:p w14:paraId="48D2DF50">
            <w:pPr>
              <w:pageBreakBefore w:val="0"/>
              <w:wordWrap/>
              <w:bidi w:val="0"/>
              <w:adjustRightInd/>
              <w:snapToGrid/>
              <w:spacing w:line="280" w:lineRule="exact"/>
              <w:ind w:firstLine="0" w:firstLineChars="0"/>
              <w:jc w:val="center"/>
              <w:rPr>
                <w:color w:val="auto"/>
                <w:sz w:val="21"/>
                <w:szCs w:val="21"/>
              </w:rPr>
            </w:pPr>
            <w:r>
              <w:rPr>
                <w:color w:val="auto"/>
                <w:sz w:val="21"/>
                <w:szCs w:val="21"/>
              </w:rPr>
              <w:t>50</w:t>
            </w:r>
          </w:p>
        </w:tc>
      </w:tr>
      <w:tr w14:paraId="184108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0ED87550">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3D521D23">
            <w:pPr>
              <w:pageBreakBefore w:val="0"/>
              <w:wordWrap/>
              <w:bidi w:val="0"/>
              <w:adjustRightInd/>
              <w:snapToGrid/>
              <w:spacing w:line="280" w:lineRule="exact"/>
              <w:ind w:firstLine="0" w:firstLineChars="0"/>
              <w:jc w:val="center"/>
              <w:rPr>
                <w:color w:val="auto"/>
                <w:sz w:val="21"/>
                <w:szCs w:val="21"/>
              </w:rPr>
            </w:pPr>
            <w:r>
              <w:rPr>
                <w:color w:val="auto"/>
                <w:sz w:val="21"/>
                <w:szCs w:val="21"/>
              </w:rPr>
              <w:t>噪声治理</w:t>
            </w:r>
          </w:p>
        </w:tc>
        <w:tc>
          <w:tcPr>
            <w:tcW w:w="5350" w:type="dxa"/>
            <w:tcBorders>
              <w:tl2br w:val="nil"/>
              <w:tr2bl w:val="nil"/>
            </w:tcBorders>
            <w:noWrap w:val="0"/>
            <w:vAlign w:val="center"/>
          </w:tcPr>
          <w:p w14:paraId="1C1A4619">
            <w:pPr>
              <w:pageBreakBefore w:val="0"/>
              <w:wordWrap/>
              <w:bidi w:val="0"/>
              <w:adjustRightInd/>
              <w:snapToGrid/>
              <w:spacing w:line="280" w:lineRule="exact"/>
              <w:ind w:firstLine="0" w:firstLineChars="0"/>
              <w:rPr>
                <w:color w:val="auto"/>
                <w:sz w:val="21"/>
                <w:szCs w:val="21"/>
              </w:rPr>
            </w:pPr>
            <w:r>
              <w:rPr>
                <w:color w:val="auto"/>
                <w:sz w:val="21"/>
                <w:szCs w:val="21"/>
              </w:rPr>
              <w:t>采用隔声、消声、吸声、减震处理及建筑隔声</w:t>
            </w:r>
          </w:p>
        </w:tc>
        <w:tc>
          <w:tcPr>
            <w:tcW w:w="1192" w:type="dxa"/>
            <w:tcBorders>
              <w:tl2br w:val="nil"/>
              <w:tr2bl w:val="nil"/>
            </w:tcBorders>
            <w:noWrap w:val="0"/>
            <w:vAlign w:val="center"/>
          </w:tcPr>
          <w:p w14:paraId="3F4EF99D">
            <w:pPr>
              <w:pageBreakBefore w:val="0"/>
              <w:wordWrap/>
              <w:bidi w:val="0"/>
              <w:adjustRightInd/>
              <w:snapToGrid/>
              <w:spacing w:line="280" w:lineRule="exact"/>
              <w:ind w:firstLine="0" w:firstLineChars="0"/>
              <w:jc w:val="center"/>
              <w:rPr>
                <w:color w:val="auto"/>
                <w:sz w:val="21"/>
                <w:szCs w:val="21"/>
              </w:rPr>
            </w:pPr>
            <w:r>
              <w:rPr>
                <w:color w:val="auto"/>
                <w:sz w:val="21"/>
                <w:szCs w:val="21"/>
              </w:rPr>
              <w:t>20</w:t>
            </w:r>
          </w:p>
        </w:tc>
      </w:tr>
      <w:tr w14:paraId="2E42DE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6B12E9D4">
            <w:pPr>
              <w:pageBreakBefore w:val="0"/>
              <w:wordWrap/>
              <w:bidi w:val="0"/>
              <w:adjustRightInd/>
              <w:snapToGrid/>
              <w:spacing w:line="280" w:lineRule="exact"/>
              <w:ind w:firstLine="0" w:firstLineChars="0"/>
              <w:jc w:val="center"/>
              <w:rPr>
                <w:color w:val="auto"/>
                <w:sz w:val="21"/>
                <w:szCs w:val="21"/>
              </w:rPr>
            </w:pPr>
          </w:p>
        </w:tc>
        <w:tc>
          <w:tcPr>
            <w:tcW w:w="1538" w:type="dxa"/>
            <w:vMerge w:val="restart"/>
            <w:tcBorders>
              <w:tl2br w:val="nil"/>
              <w:tr2bl w:val="nil"/>
            </w:tcBorders>
            <w:noWrap w:val="0"/>
            <w:vAlign w:val="center"/>
          </w:tcPr>
          <w:p w14:paraId="5B90E830">
            <w:pPr>
              <w:pageBreakBefore w:val="0"/>
              <w:wordWrap/>
              <w:bidi w:val="0"/>
              <w:adjustRightInd/>
              <w:snapToGrid/>
              <w:spacing w:line="280" w:lineRule="exact"/>
              <w:ind w:firstLine="0" w:firstLineChars="0"/>
              <w:jc w:val="center"/>
              <w:rPr>
                <w:color w:val="auto"/>
                <w:sz w:val="21"/>
                <w:szCs w:val="21"/>
              </w:rPr>
            </w:pPr>
            <w:r>
              <w:rPr>
                <w:color w:val="auto"/>
                <w:sz w:val="21"/>
                <w:szCs w:val="21"/>
              </w:rPr>
              <w:t>风险防范</w:t>
            </w:r>
          </w:p>
        </w:tc>
        <w:tc>
          <w:tcPr>
            <w:tcW w:w="5350" w:type="dxa"/>
            <w:tcBorders>
              <w:tl2br w:val="nil"/>
              <w:tr2bl w:val="nil"/>
            </w:tcBorders>
            <w:noWrap w:val="0"/>
            <w:vAlign w:val="center"/>
          </w:tcPr>
          <w:p w14:paraId="326A8B41">
            <w:pPr>
              <w:pageBreakBefore w:val="0"/>
              <w:wordWrap/>
              <w:bidi w:val="0"/>
              <w:adjustRightInd/>
              <w:snapToGrid/>
              <w:spacing w:line="280" w:lineRule="exact"/>
              <w:ind w:firstLine="0" w:firstLineChars="0"/>
              <w:rPr>
                <w:color w:val="auto"/>
                <w:sz w:val="21"/>
                <w:szCs w:val="21"/>
              </w:rPr>
            </w:pPr>
            <w:r>
              <w:rPr>
                <w:color w:val="auto"/>
                <w:sz w:val="21"/>
                <w:szCs w:val="21"/>
              </w:rPr>
              <w:t>合理布置总图</w:t>
            </w:r>
            <w:r>
              <w:rPr>
                <w:rFonts w:hint="eastAsia"/>
                <w:color w:val="auto"/>
                <w:sz w:val="21"/>
                <w:szCs w:val="21"/>
                <w:lang w:eastAsia="zh-CN"/>
              </w:rPr>
              <w:t>：</w:t>
            </w:r>
            <w:r>
              <w:rPr>
                <w:color w:val="auto"/>
                <w:sz w:val="21"/>
                <w:szCs w:val="21"/>
              </w:rPr>
              <w:t>应符合</w:t>
            </w:r>
            <w:r>
              <w:rPr>
                <w:rFonts w:hint="eastAsia"/>
                <w:color w:val="auto"/>
                <w:sz w:val="21"/>
                <w:szCs w:val="21"/>
                <w:lang w:eastAsia="zh-CN"/>
              </w:rPr>
              <w:t>GB50187-2012</w:t>
            </w:r>
            <w:r>
              <w:rPr>
                <w:color w:val="auto"/>
                <w:sz w:val="21"/>
                <w:szCs w:val="21"/>
              </w:rPr>
              <w:t>、GB50016-2006等有关规定，满足生产工艺要求，保证工艺流程顺畅，管线短捷，有利生产和便于管理，满足安全、卫生、环保、消防等要求。</w:t>
            </w:r>
          </w:p>
        </w:tc>
        <w:tc>
          <w:tcPr>
            <w:tcW w:w="1192" w:type="dxa"/>
            <w:tcBorders>
              <w:tl2br w:val="nil"/>
              <w:tr2bl w:val="nil"/>
            </w:tcBorders>
            <w:noWrap w:val="0"/>
            <w:vAlign w:val="center"/>
          </w:tcPr>
          <w:p w14:paraId="6FC23045">
            <w:pPr>
              <w:pageBreakBefore w:val="0"/>
              <w:wordWrap/>
              <w:bidi w:val="0"/>
              <w:adjustRightInd/>
              <w:snapToGrid/>
              <w:spacing w:line="280" w:lineRule="exact"/>
              <w:ind w:firstLine="0" w:firstLineChars="0"/>
              <w:jc w:val="center"/>
              <w:rPr>
                <w:color w:val="auto"/>
                <w:sz w:val="21"/>
                <w:szCs w:val="21"/>
              </w:rPr>
            </w:pPr>
            <w:r>
              <w:rPr>
                <w:color w:val="auto"/>
                <w:sz w:val="21"/>
                <w:szCs w:val="21"/>
              </w:rPr>
              <w:t>计入主体工程</w:t>
            </w:r>
          </w:p>
        </w:tc>
      </w:tr>
      <w:tr w14:paraId="398A89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46BA3294">
            <w:pPr>
              <w:pageBreakBefore w:val="0"/>
              <w:wordWrap/>
              <w:bidi w:val="0"/>
              <w:adjustRightInd/>
              <w:snapToGrid/>
              <w:spacing w:line="280" w:lineRule="exact"/>
              <w:ind w:firstLine="0" w:firstLineChars="0"/>
              <w:jc w:val="center"/>
              <w:rPr>
                <w:color w:val="auto"/>
                <w:sz w:val="21"/>
                <w:szCs w:val="21"/>
              </w:rPr>
            </w:pPr>
          </w:p>
        </w:tc>
        <w:tc>
          <w:tcPr>
            <w:tcW w:w="1538" w:type="dxa"/>
            <w:vMerge w:val="continue"/>
            <w:tcBorders>
              <w:tl2br w:val="nil"/>
              <w:tr2bl w:val="nil"/>
            </w:tcBorders>
            <w:noWrap w:val="0"/>
            <w:vAlign w:val="center"/>
          </w:tcPr>
          <w:p w14:paraId="1B4A0731">
            <w:pPr>
              <w:pageBreakBefore w:val="0"/>
              <w:wordWrap/>
              <w:bidi w:val="0"/>
              <w:adjustRightInd/>
              <w:snapToGrid/>
              <w:spacing w:line="280" w:lineRule="exact"/>
              <w:ind w:firstLine="0" w:firstLineChars="0"/>
              <w:jc w:val="center"/>
              <w:rPr>
                <w:color w:val="auto"/>
                <w:sz w:val="21"/>
                <w:szCs w:val="21"/>
              </w:rPr>
            </w:pPr>
          </w:p>
        </w:tc>
        <w:tc>
          <w:tcPr>
            <w:tcW w:w="5350" w:type="dxa"/>
            <w:tcBorders>
              <w:tl2br w:val="nil"/>
              <w:tr2bl w:val="nil"/>
            </w:tcBorders>
            <w:noWrap w:val="0"/>
            <w:vAlign w:val="center"/>
          </w:tcPr>
          <w:p w14:paraId="40016E9D">
            <w:pPr>
              <w:pageBreakBefore w:val="0"/>
              <w:wordWrap/>
              <w:bidi w:val="0"/>
              <w:adjustRightInd/>
              <w:snapToGrid/>
              <w:spacing w:line="280" w:lineRule="exact"/>
              <w:ind w:firstLine="0" w:firstLineChars="0"/>
              <w:rPr>
                <w:color w:val="auto"/>
                <w:sz w:val="21"/>
                <w:szCs w:val="21"/>
              </w:rPr>
            </w:pPr>
            <w:r>
              <w:rPr>
                <w:color w:val="auto"/>
                <w:sz w:val="21"/>
                <w:szCs w:val="21"/>
              </w:rPr>
              <w:t>制定污水处理厂环境风险应急预案，加强环境管理，区域、部门联动，降低事故排污环境影响</w:t>
            </w:r>
          </w:p>
        </w:tc>
        <w:tc>
          <w:tcPr>
            <w:tcW w:w="1192" w:type="dxa"/>
            <w:tcBorders>
              <w:tl2br w:val="nil"/>
              <w:tr2bl w:val="nil"/>
            </w:tcBorders>
            <w:noWrap w:val="0"/>
            <w:vAlign w:val="center"/>
          </w:tcPr>
          <w:p w14:paraId="627D0136">
            <w:pPr>
              <w:pageBreakBefore w:val="0"/>
              <w:wordWrap/>
              <w:bidi w:val="0"/>
              <w:adjustRightInd/>
              <w:snapToGrid/>
              <w:spacing w:line="280" w:lineRule="exact"/>
              <w:ind w:firstLine="0" w:firstLineChars="0"/>
              <w:jc w:val="center"/>
              <w:rPr>
                <w:color w:val="auto"/>
                <w:sz w:val="21"/>
                <w:szCs w:val="21"/>
              </w:rPr>
            </w:pPr>
            <w:r>
              <w:rPr>
                <w:color w:val="auto"/>
                <w:sz w:val="21"/>
                <w:szCs w:val="21"/>
              </w:rPr>
              <w:t>10</w:t>
            </w:r>
          </w:p>
        </w:tc>
      </w:tr>
      <w:tr w14:paraId="75CA50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5E456E69">
            <w:pPr>
              <w:pageBreakBefore w:val="0"/>
              <w:wordWrap/>
              <w:bidi w:val="0"/>
              <w:adjustRightInd/>
              <w:snapToGrid/>
              <w:spacing w:line="280" w:lineRule="exact"/>
              <w:ind w:firstLine="0" w:firstLineChars="0"/>
              <w:jc w:val="center"/>
              <w:rPr>
                <w:color w:val="auto"/>
                <w:sz w:val="21"/>
                <w:szCs w:val="21"/>
              </w:rPr>
            </w:pPr>
          </w:p>
        </w:tc>
        <w:tc>
          <w:tcPr>
            <w:tcW w:w="1538" w:type="dxa"/>
            <w:vMerge w:val="continue"/>
            <w:tcBorders>
              <w:tl2br w:val="nil"/>
              <w:tr2bl w:val="nil"/>
            </w:tcBorders>
            <w:noWrap w:val="0"/>
            <w:vAlign w:val="center"/>
          </w:tcPr>
          <w:p w14:paraId="23FDA18A">
            <w:pPr>
              <w:pageBreakBefore w:val="0"/>
              <w:wordWrap/>
              <w:bidi w:val="0"/>
              <w:adjustRightInd/>
              <w:snapToGrid/>
              <w:spacing w:line="280" w:lineRule="exact"/>
              <w:ind w:firstLine="0" w:firstLineChars="0"/>
              <w:jc w:val="center"/>
              <w:rPr>
                <w:color w:val="auto"/>
                <w:sz w:val="21"/>
                <w:szCs w:val="21"/>
              </w:rPr>
            </w:pPr>
          </w:p>
        </w:tc>
        <w:tc>
          <w:tcPr>
            <w:tcW w:w="5350" w:type="dxa"/>
            <w:tcBorders>
              <w:tl2br w:val="nil"/>
              <w:tr2bl w:val="nil"/>
            </w:tcBorders>
            <w:noWrap w:val="0"/>
            <w:vAlign w:val="center"/>
          </w:tcPr>
          <w:p w14:paraId="2CE9B2DA">
            <w:pPr>
              <w:pageBreakBefore w:val="0"/>
              <w:wordWrap/>
              <w:bidi w:val="0"/>
              <w:adjustRightInd/>
              <w:snapToGrid/>
              <w:spacing w:line="280" w:lineRule="exact"/>
              <w:ind w:firstLine="0" w:firstLineChars="0"/>
              <w:rPr>
                <w:color w:val="auto"/>
                <w:sz w:val="21"/>
                <w:szCs w:val="21"/>
              </w:rPr>
            </w:pPr>
            <w:r>
              <w:rPr>
                <w:color w:val="auto"/>
                <w:sz w:val="21"/>
                <w:szCs w:val="21"/>
              </w:rPr>
              <w:t>工艺技术和设计安全防范措施、自动控制设计安全防范措施、消防及火灾报警系统、生产管理安全防范措施、对进水水质污染事故防范措施、受洪水冲刷的工程预防措施，例如：采用双电源、设置室外消火栓、各种灭火器材、设置火灾报警系统。</w:t>
            </w:r>
          </w:p>
        </w:tc>
        <w:tc>
          <w:tcPr>
            <w:tcW w:w="1192" w:type="dxa"/>
            <w:tcBorders>
              <w:tl2br w:val="nil"/>
              <w:tr2bl w:val="nil"/>
            </w:tcBorders>
            <w:noWrap w:val="0"/>
            <w:vAlign w:val="center"/>
          </w:tcPr>
          <w:p w14:paraId="17D9D99A">
            <w:pPr>
              <w:pageBreakBefore w:val="0"/>
              <w:wordWrap/>
              <w:bidi w:val="0"/>
              <w:adjustRightInd/>
              <w:snapToGrid/>
              <w:spacing w:line="280" w:lineRule="exact"/>
              <w:ind w:firstLine="0" w:firstLineChars="0"/>
              <w:jc w:val="center"/>
              <w:rPr>
                <w:color w:val="auto"/>
                <w:sz w:val="21"/>
                <w:szCs w:val="21"/>
              </w:rPr>
            </w:pPr>
            <w:r>
              <w:rPr>
                <w:color w:val="auto"/>
                <w:sz w:val="21"/>
                <w:szCs w:val="21"/>
              </w:rPr>
              <w:t>30</w:t>
            </w:r>
          </w:p>
        </w:tc>
      </w:tr>
      <w:tr w14:paraId="59652AE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055F9ED6">
            <w:pPr>
              <w:pageBreakBefore w:val="0"/>
              <w:wordWrap/>
              <w:bidi w:val="0"/>
              <w:adjustRightInd/>
              <w:snapToGrid/>
              <w:spacing w:line="280" w:lineRule="exact"/>
              <w:ind w:firstLine="0" w:firstLineChars="0"/>
              <w:jc w:val="center"/>
              <w:rPr>
                <w:color w:val="auto"/>
                <w:sz w:val="21"/>
                <w:szCs w:val="21"/>
              </w:rPr>
            </w:pPr>
          </w:p>
        </w:tc>
        <w:tc>
          <w:tcPr>
            <w:tcW w:w="1538" w:type="dxa"/>
            <w:vMerge w:val="continue"/>
            <w:tcBorders>
              <w:tl2br w:val="nil"/>
              <w:tr2bl w:val="nil"/>
            </w:tcBorders>
            <w:noWrap w:val="0"/>
            <w:vAlign w:val="center"/>
          </w:tcPr>
          <w:p w14:paraId="5D85619E">
            <w:pPr>
              <w:pageBreakBefore w:val="0"/>
              <w:wordWrap/>
              <w:bidi w:val="0"/>
              <w:adjustRightInd/>
              <w:snapToGrid/>
              <w:spacing w:line="280" w:lineRule="exact"/>
              <w:ind w:firstLine="0" w:firstLineChars="0"/>
              <w:jc w:val="center"/>
              <w:rPr>
                <w:color w:val="auto"/>
                <w:sz w:val="21"/>
                <w:szCs w:val="21"/>
              </w:rPr>
            </w:pPr>
          </w:p>
        </w:tc>
        <w:tc>
          <w:tcPr>
            <w:tcW w:w="5350" w:type="dxa"/>
            <w:tcBorders>
              <w:tl2br w:val="nil"/>
              <w:tr2bl w:val="nil"/>
            </w:tcBorders>
            <w:noWrap w:val="0"/>
            <w:vAlign w:val="center"/>
          </w:tcPr>
          <w:p w14:paraId="205D52A6">
            <w:pPr>
              <w:pageBreakBefore w:val="0"/>
              <w:wordWrap/>
              <w:bidi w:val="0"/>
              <w:adjustRightInd/>
              <w:snapToGrid/>
              <w:spacing w:line="280" w:lineRule="exact"/>
              <w:ind w:firstLine="0" w:firstLineChars="0"/>
              <w:rPr>
                <w:color w:val="auto"/>
                <w:sz w:val="21"/>
                <w:szCs w:val="21"/>
              </w:rPr>
            </w:pPr>
            <w:r>
              <w:rPr>
                <w:color w:val="auto"/>
                <w:sz w:val="21"/>
                <w:szCs w:val="21"/>
              </w:rPr>
              <w:t>进、出水水质自动监测装置及报警装置</w:t>
            </w:r>
          </w:p>
        </w:tc>
        <w:tc>
          <w:tcPr>
            <w:tcW w:w="1192" w:type="dxa"/>
            <w:tcBorders>
              <w:tl2br w:val="nil"/>
              <w:tr2bl w:val="nil"/>
            </w:tcBorders>
            <w:noWrap w:val="0"/>
            <w:vAlign w:val="center"/>
          </w:tcPr>
          <w:p w14:paraId="2FBD7199">
            <w:pPr>
              <w:pageBreakBefore w:val="0"/>
              <w:wordWrap/>
              <w:bidi w:val="0"/>
              <w:adjustRightInd/>
              <w:snapToGrid/>
              <w:spacing w:line="280" w:lineRule="exact"/>
              <w:ind w:firstLine="0" w:firstLineChars="0"/>
              <w:jc w:val="center"/>
              <w:rPr>
                <w:color w:val="auto"/>
                <w:sz w:val="21"/>
                <w:szCs w:val="21"/>
              </w:rPr>
            </w:pPr>
            <w:r>
              <w:rPr>
                <w:color w:val="auto"/>
                <w:sz w:val="21"/>
                <w:szCs w:val="21"/>
              </w:rPr>
              <w:t>列入在线监测系统、主体工程投资</w:t>
            </w:r>
          </w:p>
        </w:tc>
      </w:tr>
      <w:tr w14:paraId="1F76C5D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458FE890">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304B1B6F">
            <w:pPr>
              <w:pageBreakBefore w:val="0"/>
              <w:wordWrap/>
              <w:bidi w:val="0"/>
              <w:adjustRightInd/>
              <w:snapToGrid/>
              <w:spacing w:line="280" w:lineRule="exact"/>
              <w:ind w:firstLine="0" w:firstLineChars="0"/>
              <w:jc w:val="center"/>
              <w:rPr>
                <w:color w:val="auto"/>
                <w:sz w:val="21"/>
                <w:szCs w:val="21"/>
              </w:rPr>
            </w:pPr>
            <w:r>
              <w:rPr>
                <w:color w:val="auto"/>
                <w:sz w:val="21"/>
                <w:szCs w:val="21"/>
              </w:rPr>
              <w:t>厂区绿化</w:t>
            </w:r>
          </w:p>
        </w:tc>
        <w:tc>
          <w:tcPr>
            <w:tcW w:w="5350" w:type="dxa"/>
            <w:tcBorders>
              <w:tl2br w:val="nil"/>
              <w:tr2bl w:val="nil"/>
            </w:tcBorders>
            <w:noWrap w:val="0"/>
            <w:vAlign w:val="center"/>
          </w:tcPr>
          <w:p w14:paraId="750707A8">
            <w:pPr>
              <w:pageBreakBefore w:val="0"/>
              <w:wordWrap/>
              <w:bidi w:val="0"/>
              <w:adjustRightInd/>
              <w:snapToGrid/>
              <w:spacing w:line="280" w:lineRule="exact"/>
              <w:ind w:firstLine="0" w:firstLineChars="0"/>
              <w:rPr>
                <w:color w:val="auto"/>
                <w:sz w:val="21"/>
                <w:szCs w:val="21"/>
              </w:rPr>
            </w:pPr>
            <w:r>
              <w:rPr>
                <w:color w:val="auto"/>
                <w:sz w:val="21"/>
                <w:szCs w:val="21"/>
              </w:rPr>
              <w:t>设置绿化隔离带，以高大乔木和灌木相结合，绿化带宽度不应小于5m</w:t>
            </w:r>
          </w:p>
        </w:tc>
        <w:tc>
          <w:tcPr>
            <w:tcW w:w="1192" w:type="dxa"/>
            <w:tcBorders>
              <w:tl2br w:val="nil"/>
              <w:tr2bl w:val="nil"/>
            </w:tcBorders>
            <w:noWrap w:val="0"/>
            <w:vAlign w:val="center"/>
          </w:tcPr>
          <w:p w14:paraId="55FCE3ED">
            <w:pPr>
              <w:pageBreakBefore w:val="0"/>
              <w:wordWrap/>
              <w:bidi w:val="0"/>
              <w:adjustRightInd/>
              <w:snapToGrid/>
              <w:spacing w:line="280" w:lineRule="exact"/>
              <w:ind w:firstLine="0" w:firstLineChars="0"/>
              <w:jc w:val="center"/>
              <w:rPr>
                <w:color w:val="auto"/>
                <w:sz w:val="21"/>
                <w:szCs w:val="21"/>
              </w:rPr>
            </w:pPr>
            <w:r>
              <w:rPr>
                <w:color w:val="auto"/>
                <w:sz w:val="21"/>
                <w:szCs w:val="21"/>
              </w:rPr>
              <w:t>30</w:t>
            </w:r>
          </w:p>
        </w:tc>
      </w:tr>
      <w:tr w14:paraId="3B4757B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173CCEAC">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4441476B">
            <w:pPr>
              <w:pageBreakBefore w:val="0"/>
              <w:wordWrap/>
              <w:bidi w:val="0"/>
              <w:adjustRightInd/>
              <w:snapToGrid/>
              <w:spacing w:line="280" w:lineRule="exact"/>
              <w:ind w:firstLine="0" w:firstLineChars="0"/>
              <w:jc w:val="center"/>
              <w:rPr>
                <w:color w:val="auto"/>
                <w:sz w:val="21"/>
                <w:szCs w:val="21"/>
              </w:rPr>
            </w:pPr>
            <w:r>
              <w:rPr>
                <w:color w:val="auto"/>
                <w:sz w:val="21"/>
                <w:szCs w:val="21"/>
              </w:rPr>
              <w:t>生态恢复</w:t>
            </w:r>
          </w:p>
        </w:tc>
        <w:tc>
          <w:tcPr>
            <w:tcW w:w="5350" w:type="dxa"/>
            <w:tcBorders>
              <w:tl2br w:val="nil"/>
              <w:tr2bl w:val="nil"/>
            </w:tcBorders>
            <w:noWrap w:val="0"/>
            <w:vAlign w:val="center"/>
          </w:tcPr>
          <w:p w14:paraId="4AF84D83">
            <w:pPr>
              <w:pageBreakBefore w:val="0"/>
              <w:wordWrap/>
              <w:bidi w:val="0"/>
              <w:adjustRightInd/>
              <w:snapToGrid/>
              <w:spacing w:line="280" w:lineRule="exact"/>
              <w:ind w:firstLine="0" w:firstLineChars="0"/>
              <w:rPr>
                <w:color w:val="auto"/>
                <w:sz w:val="21"/>
                <w:szCs w:val="21"/>
              </w:rPr>
            </w:pPr>
            <w:r>
              <w:rPr>
                <w:color w:val="auto"/>
                <w:sz w:val="21"/>
                <w:szCs w:val="21"/>
              </w:rPr>
              <w:t>污水管网沿线生态恢复（覆土绿化）</w:t>
            </w:r>
          </w:p>
        </w:tc>
        <w:tc>
          <w:tcPr>
            <w:tcW w:w="1192" w:type="dxa"/>
            <w:tcBorders>
              <w:tl2br w:val="nil"/>
              <w:tr2bl w:val="nil"/>
            </w:tcBorders>
            <w:noWrap w:val="0"/>
            <w:vAlign w:val="center"/>
          </w:tcPr>
          <w:p w14:paraId="2BAE7CED">
            <w:pPr>
              <w:pageBreakBefore w:val="0"/>
              <w:wordWrap/>
              <w:bidi w:val="0"/>
              <w:adjustRightInd/>
              <w:snapToGrid/>
              <w:spacing w:line="280" w:lineRule="exact"/>
              <w:ind w:firstLine="0" w:firstLineChars="0"/>
              <w:jc w:val="center"/>
              <w:rPr>
                <w:color w:val="auto"/>
                <w:sz w:val="21"/>
                <w:szCs w:val="21"/>
              </w:rPr>
            </w:pPr>
            <w:r>
              <w:rPr>
                <w:color w:val="auto"/>
                <w:sz w:val="21"/>
                <w:szCs w:val="21"/>
              </w:rPr>
              <w:t>10</w:t>
            </w:r>
          </w:p>
        </w:tc>
      </w:tr>
      <w:tr w14:paraId="2311BD2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06" w:type="dxa"/>
            <w:vMerge w:val="continue"/>
            <w:tcBorders>
              <w:tl2br w:val="nil"/>
              <w:tr2bl w:val="nil"/>
            </w:tcBorders>
            <w:noWrap w:val="0"/>
            <w:vAlign w:val="center"/>
          </w:tcPr>
          <w:p w14:paraId="6785BE62">
            <w:pPr>
              <w:pageBreakBefore w:val="0"/>
              <w:wordWrap/>
              <w:bidi w:val="0"/>
              <w:adjustRightInd/>
              <w:snapToGrid/>
              <w:spacing w:line="280" w:lineRule="exact"/>
              <w:ind w:firstLine="0" w:firstLineChars="0"/>
              <w:jc w:val="center"/>
              <w:rPr>
                <w:color w:val="auto"/>
                <w:sz w:val="21"/>
                <w:szCs w:val="21"/>
              </w:rPr>
            </w:pPr>
          </w:p>
        </w:tc>
        <w:tc>
          <w:tcPr>
            <w:tcW w:w="1538" w:type="dxa"/>
            <w:tcBorders>
              <w:tl2br w:val="nil"/>
              <w:tr2bl w:val="nil"/>
            </w:tcBorders>
            <w:noWrap w:val="0"/>
            <w:vAlign w:val="center"/>
          </w:tcPr>
          <w:p w14:paraId="1C4286E0">
            <w:pPr>
              <w:pageBreakBefore w:val="0"/>
              <w:wordWrap/>
              <w:bidi w:val="0"/>
              <w:adjustRightInd/>
              <w:snapToGrid/>
              <w:spacing w:line="280" w:lineRule="exact"/>
              <w:ind w:firstLine="0" w:firstLineChars="0"/>
              <w:jc w:val="center"/>
              <w:rPr>
                <w:color w:val="auto"/>
                <w:sz w:val="21"/>
                <w:szCs w:val="21"/>
              </w:rPr>
            </w:pPr>
            <w:r>
              <w:rPr>
                <w:color w:val="auto"/>
                <w:sz w:val="21"/>
                <w:szCs w:val="21"/>
              </w:rPr>
              <w:t>环境管理</w:t>
            </w:r>
          </w:p>
        </w:tc>
        <w:tc>
          <w:tcPr>
            <w:tcW w:w="5350" w:type="dxa"/>
            <w:tcBorders>
              <w:tl2br w:val="nil"/>
              <w:tr2bl w:val="nil"/>
            </w:tcBorders>
            <w:noWrap w:val="0"/>
            <w:vAlign w:val="center"/>
          </w:tcPr>
          <w:p w14:paraId="3C6E4DCD">
            <w:pPr>
              <w:pageBreakBefore w:val="0"/>
              <w:wordWrap/>
              <w:bidi w:val="0"/>
              <w:adjustRightInd/>
              <w:snapToGrid/>
              <w:spacing w:line="280" w:lineRule="exact"/>
              <w:ind w:firstLine="0" w:firstLineChars="0"/>
              <w:rPr>
                <w:color w:val="auto"/>
                <w:sz w:val="21"/>
                <w:szCs w:val="21"/>
              </w:rPr>
            </w:pPr>
            <w:r>
              <w:rPr>
                <w:rFonts w:hint="eastAsia"/>
                <w:color w:val="auto"/>
                <w:sz w:val="21"/>
                <w:szCs w:val="21"/>
                <w:lang w:eastAsia="zh-CN"/>
              </w:rPr>
              <w:t>污水处理厂</w:t>
            </w:r>
            <w:r>
              <w:rPr>
                <w:color w:val="auto"/>
                <w:sz w:val="21"/>
                <w:szCs w:val="21"/>
              </w:rPr>
              <w:t>进出水在线监测系统（pH、COD、NH</w:t>
            </w:r>
            <w:r>
              <w:rPr>
                <w:color w:val="auto"/>
                <w:sz w:val="21"/>
                <w:szCs w:val="21"/>
                <w:vertAlign w:val="subscript"/>
              </w:rPr>
              <w:t>3</w:t>
            </w:r>
            <w:r>
              <w:rPr>
                <w:color w:val="auto"/>
                <w:sz w:val="21"/>
                <w:szCs w:val="21"/>
              </w:rPr>
              <w:t>-N、TN、TP、</w:t>
            </w:r>
            <w:r>
              <w:rPr>
                <w:rFonts w:hint="eastAsia"/>
                <w:color w:val="auto"/>
                <w:sz w:val="21"/>
                <w:szCs w:val="21"/>
                <w:lang w:val="en-US" w:eastAsia="zh-CN"/>
              </w:rPr>
              <w:t>石油类、甲醛</w:t>
            </w:r>
            <w:r>
              <w:rPr>
                <w:color w:val="auto"/>
                <w:sz w:val="21"/>
                <w:szCs w:val="21"/>
              </w:rPr>
              <w:t>等）</w:t>
            </w:r>
          </w:p>
        </w:tc>
        <w:tc>
          <w:tcPr>
            <w:tcW w:w="1192" w:type="dxa"/>
            <w:tcBorders>
              <w:tl2br w:val="nil"/>
              <w:tr2bl w:val="nil"/>
            </w:tcBorders>
            <w:noWrap w:val="0"/>
            <w:vAlign w:val="center"/>
          </w:tcPr>
          <w:p w14:paraId="511567A0">
            <w:pPr>
              <w:pageBreakBefore w:val="0"/>
              <w:wordWrap/>
              <w:bidi w:val="0"/>
              <w:adjustRightInd/>
              <w:snapToGrid/>
              <w:spacing w:line="280" w:lineRule="exact"/>
              <w:ind w:firstLine="0" w:firstLineChars="0"/>
              <w:jc w:val="center"/>
              <w:rPr>
                <w:color w:val="auto"/>
                <w:sz w:val="21"/>
                <w:szCs w:val="21"/>
              </w:rPr>
            </w:pPr>
            <w:r>
              <w:rPr>
                <w:color w:val="auto"/>
                <w:sz w:val="21"/>
                <w:szCs w:val="21"/>
              </w:rPr>
              <w:t>50</w:t>
            </w:r>
          </w:p>
        </w:tc>
      </w:tr>
      <w:tr w14:paraId="7A625A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7594" w:type="dxa"/>
            <w:gridSpan w:val="3"/>
            <w:tcBorders>
              <w:tl2br w:val="nil"/>
              <w:tr2bl w:val="nil"/>
            </w:tcBorders>
            <w:noWrap w:val="0"/>
            <w:vAlign w:val="center"/>
          </w:tcPr>
          <w:p w14:paraId="1171D7F4">
            <w:pPr>
              <w:pageBreakBefore w:val="0"/>
              <w:wordWrap/>
              <w:bidi w:val="0"/>
              <w:adjustRightInd/>
              <w:snapToGrid/>
              <w:spacing w:line="280" w:lineRule="exact"/>
              <w:ind w:firstLine="0" w:firstLineChars="0"/>
              <w:jc w:val="center"/>
              <w:rPr>
                <w:color w:val="auto"/>
                <w:sz w:val="21"/>
                <w:szCs w:val="21"/>
              </w:rPr>
            </w:pPr>
            <w:r>
              <w:rPr>
                <w:color w:val="auto"/>
                <w:sz w:val="21"/>
                <w:szCs w:val="21"/>
              </w:rPr>
              <w:t>合计</w:t>
            </w:r>
          </w:p>
        </w:tc>
        <w:tc>
          <w:tcPr>
            <w:tcW w:w="1192" w:type="dxa"/>
            <w:tcBorders>
              <w:tl2br w:val="nil"/>
              <w:tr2bl w:val="nil"/>
            </w:tcBorders>
            <w:noWrap w:val="0"/>
            <w:vAlign w:val="center"/>
          </w:tcPr>
          <w:p w14:paraId="5D16853F">
            <w:pPr>
              <w:pageBreakBefore w:val="0"/>
              <w:wordWrap/>
              <w:bidi w:val="0"/>
              <w:adjustRightInd/>
              <w:snapToGrid/>
              <w:spacing w:line="28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500</w:t>
            </w:r>
          </w:p>
        </w:tc>
      </w:tr>
    </w:tbl>
    <w:p w14:paraId="2FEFE2F3">
      <w:pPr>
        <w:pStyle w:val="4"/>
        <w:pageBreakBefore w:val="0"/>
        <w:wordWrap/>
        <w:bidi w:val="0"/>
        <w:adjustRightInd/>
        <w:snapToGrid/>
        <w:rPr>
          <w:rFonts w:ascii="Times New Roman" w:hAnsi="Times New Roman" w:eastAsia="宋体"/>
          <w:color w:val="auto"/>
        </w:rPr>
      </w:pPr>
      <w:bookmarkStart w:id="286" w:name="_Toc30213"/>
      <w:r>
        <w:rPr>
          <w:rFonts w:hint="eastAsia" w:ascii="Times New Roman" w:hAnsi="Times New Roman" w:eastAsia="宋体"/>
          <w:color w:val="auto"/>
        </w:rPr>
        <w:t xml:space="preserve"> </w:t>
      </w:r>
      <w:bookmarkStart w:id="287" w:name="_Toc28201"/>
      <w:r>
        <w:rPr>
          <w:rFonts w:ascii="Times New Roman" w:hAnsi="Times New Roman" w:eastAsia="宋体"/>
          <w:color w:val="auto"/>
        </w:rPr>
        <w:t>环保治理措施技术、经济评述结论</w:t>
      </w:r>
      <w:bookmarkEnd w:id="286"/>
      <w:bookmarkEnd w:id="287"/>
    </w:p>
    <w:p w14:paraId="4C0F1676">
      <w:pPr>
        <w:pageBreakBefore w:val="0"/>
        <w:wordWrap/>
        <w:bidi w:val="0"/>
        <w:adjustRightInd/>
        <w:snapToGrid/>
        <w:ind w:firstLine="480"/>
        <w:jc w:val="left"/>
        <w:rPr>
          <w:color w:val="auto"/>
        </w:rPr>
      </w:pPr>
      <w:r>
        <w:rPr>
          <w:color w:val="auto"/>
        </w:rPr>
        <w:t>在经过对建设单位提出的三废治理措施进行技术经济分析之后，建设单位提出的三废治理措施总体上是可行的。</w:t>
      </w:r>
    </w:p>
    <w:p w14:paraId="7ABADDC6">
      <w:pPr>
        <w:pageBreakBefore w:val="0"/>
        <w:wordWrap/>
        <w:bidi w:val="0"/>
        <w:adjustRightInd/>
        <w:snapToGrid/>
        <w:ind w:firstLine="480"/>
        <w:rPr>
          <w:color w:val="auto"/>
        </w:rPr>
      </w:pPr>
      <w:r>
        <w:rPr>
          <w:color w:val="auto"/>
        </w:rPr>
        <w:t>环保治理设施的总建设费用为</w:t>
      </w:r>
      <w:r>
        <w:rPr>
          <w:rFonts w:hint="eastAsia"/>
          <w:color w:val="auto"/>
          <w:lang w:eastAsia="zh-CN"/>
        </w:rPr>
        <w:t>500万元</w:t>
      </w:r>
      <w:r>
        <w:rPr>
          <w:color w:val="auto"/>
        </w:rPr>
        <w:t>人民币，占项目总投资的</w:t>
      </w:r>
      <w:r>
        <w:rPr>
          <w:rFonts w:hint="eastAsia"/>
          <w:color w:val="auto"/>
          <w:lang w:eastAsia="zh-CN"/>
        </w:rPr>
        <w:t>1.28%</w:t>
      </w:r>
      <w:r>
        <w:rPr>
          <w:color w:val="auto"/>
        </w:rPr>
        <w:t>，在经济上是可行的。</w:t>
      </w:r>
    </w:p>
    <w:p w14:paraId="7391E50D">
      <w:pPr>
        <w:pageBreakBefore w:val="0"/>
        <w:wordWrap/>
        <w:bidi w:val="0"/>
        <w:adjustRightInd/>
        <w:snapToGrid/>
        <w:ind w:firstLine="480"/>
        <w:rPr>
          <w:color w:val="auto"/>
        </w:rPr>
      </w:pPr>
      <w:r>
        <w:rPr>
          <w:color w:val="auto"/>
        </w:rPr>
        <w:t>总结前面各章节的分析结果，可以认为，本项目所采取的</w:t>
      </w:r>
      <w:r>
        <w:rPr>
          <w:rFonts w:hint="eastAsia"/>
          <w:color w:val="auto"/>
          <w:lang w:eastAsia="zh-CN"/>
        </w:rPr>
        <w:t>“</w:t>
      </w:r>
      <w:r>
        <w:rPr>
          <w:color w:val="auto"/>
        </w:rPr>
        <w:t>三废</w:t>
      </w:r>
      <w:r>
        <w:rPr>
          <w:rFonts w:hint="eastAsia"/>
          <w:color w:val="auto"/>
          <w:lang w:eastAsia="zh-CN"/>
        </w:rPr>
        <w:t>”</w:t>
      </w:r>
      <w:r>
        <w:rPr>
          <w:color w:val="auto"/>
        </w:rPr>
        <w:t>污染源治理措施，从同类型污水处理厂的长期运行效果看，其</w:t>
      </w:r>
      <w:r>
        <w:rPr>
          <w:rFonts w:hint="eastAsia"/>
          <w:color w:val="auto"/>
          <w:lang w:eastAsia="zh-CN"/>
        </w:rPr>
        <w:t>“</w:t>
      </w:r>
      <w:r>
        <w:rPr>
          <w:color w:val="auto"/>
        </w:rPr>
        <w:t>三废</w:t>
      </w:r>
      <w:r>
        <w:rPr>
          <w:rFonts w:hint="eastAsia"/>
          <w:color w:val="auto"/>
          <w:lang w:eastAsia="zh-CN"/>
        </w:rPr>
        <w:t>”</w:t>
      </w:r>
      <w:r>
        <w:rPr>
          <w:color w:val="auto"/>
        </w:rPr>
        <w:t>治理措施技术是先进的，治理效果是好的，操作管理和维护维修是方便的，运行费用低廉，所获得的环境效益和经济效益较好。只要建设单位在今后的生产运行中，强化环境保护管理工作，尤其是做好废水、废气和废渣治理设施的管理工作，本项目所采取的环境保护措施经济合理，它既能达到发展生产的目的，又能达到设计要求做到达标排放和保护好环境的目的。</w:t>
      </w:r>
    </w:p>
    <w:p w14:paraId="16736D09">
      <w:pPr>
        <w:pageBreakBefore w:val="0"/>
        <w:wordWrap/>
        <w:bidi w:val="0"/>
        <w:adjustRightInd/>
        <w:snapToGrid/>
        <w:spacing w:line="300" w:lineRule="auto"/>
        <w:ind w:firstLine="440"/>
        <w:jc w:val="left"/>
        <w:rPr>
          <w:color w:val="auto"/>
          <w:kern w:val="0"/>
          <w:sz w:val="22"/>
        </w:rPr>
      </w:pPr>
    </w:p>
    <w:p w14:paraId="2015E581">
      <w:pPr>
        <w:keepNext/>
        <w:keepLines/>
        <w:pageBreakBefore w:val="0"/>
        <w:wordWrap/>
        <w:bidi w:val="0"/>
        <w:adjustRightInd/>
        <w:snapToGrid/>
        <w:spacing w:before="340" w:after="240"/>
        <w:ind w:firstLine="880"/>
        <w:jc w:val="center"/>
        <w:outlineLvl w:val="0"/>
        <w:rPr>
          <w:bCs/>
          <w:color w:val="auto"/>
          <w:kern w:val="44"/>
          <w:sz w:val="44"/>
          <w:szCs w:val="44"/>
        </w:rPr>
        <w:sectPr>
          <w:pgSz w:w="11906" w:h="16838"/>
          <w:pgMar w:top="1440" w:right="1588" w:bottom="1440" w:left="1588" w:header="794" w:footer="992" w:gutter="0"/>
          <w:pgBorders>
            <w:top w:val="none" w:sz="0" w:space="0"/>
            <w:left w:val="none" w:sz="0" w:space="0"/>
            <w:bottom w:val="none" w:sz="0" w:space="0"/>
            <w:right w:val="none" w:sz="0" w:space="0"/>
          </w:pgBorders>
          <w:pgNumType w:fmt="decimal"/>
          <w:cols w:space="720" w:num="1"/>
          <w:docGrid w:linePitch="312" w:charSpace="0"/>
        </w:sectPr>
      </w:pPr>
    </w:p>
    <w:p w14:paraId="5686EB58">
      <w:pPr>
        <w:pStyle w:val="3"/>
        <w:pageBreakBefore w:val="0"/>
        <w:wordWrap/>
        <w:bidi w:val="0"/>
        <w:adjustRightInd/>
        <w:snapToGrid/>
        <w:rPr>
          <w:rFonts w:eastAsia="宋体"/>
          <w:color w:val="auto"/>
        </w:rPr>
      </w:pPr>
      <w:bookmarkStart w:id="288" w:name="_Toc26672"/>
      <w:bookmarkStart w:id="289" w:name="_Toc505087376"/>
      <w:r>
        <w:rPr>
          <w:rFonts w:hint="eastAsia" w:eastAsia="宋体"/>
          <w:color w:val="auto"/>
          <w:lang w:val="en-US" w:eastAsia="zh-CN"/>
        </w:rPr>
        <w:t xml:space="preserve"> </w:t>
      </w:r>
      <w:bookmarkStart w:id="290" w:name="_Toc29024"/>
      <w:r>
        <w:rPr>
          <w:rFonts w:eastAsia="宋体"/>
          <w:color w:val="auto"/>
        </w:rPr>
        <w:t>环境影响经济损益分析</w:t>
      </w:r>
      <w:bookmarkEnd w:id="284"/>
      <w:bookmarkEnd w:id="285"/>
      <w:bookmarkEnd w:id="288"/>
      <w:bookmarkEnd w:id="289"/>
      <w:bookmarkEnd w:id="290"/>
    </w:p>
    <w:p w14:paraId="4A2C3AB0">
      <w:pPr>
        <w:pageBreakBefore w:val="0"/>
        <w:wordWrap/>
        <w:bidi w:val="0"/>
        <w:adjustRightInd/>
        <w:snapToGrid/>
        <w:ind w:firstLine="480"/>
        <w:rPr>
          <w:color w:val="auto"/>
        </w:rPr>
      </w:pPr>
      <w:bookmarkStart w:id="291" w:name="_Toc505087377"/>
      <w:bookmarkStart w:id="292" w:name="_Toc235514137"/>
      <w:bookmarkStart w:id="293" w:name="_Toc374627836"/>
      <w:bookmarkStart w:id="294" w:name="_Toc6894"/>
      <w:bookmarkStart w:id="295" w:name="_Toc237332832"/>
      <w:bookmarkStart w:id="296" w:name="_Toc351714425"/>
      <w:r>
        <w:rPr>
          <w:rFonts w:hint="eastAsia"/>
          <w:color w:val="auto"/>
        </w:rPr>
        <w:t>环境影响经济损益分析</w:t>
      </w:r>
      <w:r>
        <w:rPr>
          <w:rFonts w:hint="eastAsia"/>
          <w:color w:val="auto"/>
          <w:lang w:eastAsia="zh-CN"/>
        </w:rPr>
        <w:t>即</w:t>
      </w:r>
      <w:r>
        <w:rPr>
          <w:rFonts w:hint="eastAsia"/>
          <w:color w:val="auto"/>
        </w:rPr>
        <w:t>针对项目的性质和当地的具体情况，确定环境影响因子，从而对项目环境影响范围内的环境影响总体作出经济评价。因此环境影响经济损益分析的重点，是对工程的主要环境影响因子作出投资费用和经济损益的评价。本项目为污水处理厂工程，属环境正效益项目</w:t>
      </w:r>
      <w:r>
        <w:rPr>
          <w:color w:val="auto"/>
        </w:rPr>
        <w:t>。</w:t>
      </w:r>
    </w:p>
    <w:bookmarkEnd w:id="291"/>
    <w:bookmarkEnd w:id="292"/>
    <w:bookmarkEnd w:id="293"/>
    <w:bookmarkEnd w:id="294"/>
    <w:bookmarkEnd w:id="295"/>
    <w:bookmarkEnd w:id="296"/>
    <w:p w14:paraId="05C686FF">
      <w:pPr>
        <w:pStyle w:val="4"/>
        <w:pageBreakBefore w:val="0"/>
        <w:wordWrap/>
        <w:bidi w:val="0"/>
        <w:adjustRightInd/>
        <w:snapToGrid/>
        <w:rPr>
          <w:rFonts w:ascii="Times New Roman" w:hAnsi="Times New Roman" w:eastAsia="宋体"/>
          <w:color w:val="auto"/>
        </w:rPr>
      </w:pPr>
      <w:bookmarkStart w:id="297" w:name="_Toc362082765"/>
      <w:bookmarkStart w:id="298" w:name="_Toc374627833"/>
      <w:bookmarkStart w:id="299" w:name="_Toc505087378"/>
      <w:bookmarkStart w:id="300" w:name="_Toc32749"/>
      <w:bookmarkStart w:id="301" w:name="_Toc20134"/>
      <w:bookmarkStart w:id="302" w:name="_Toc362082768"/>
      <w:bookmarkStart w:id="303" w:name="_Toc29119"/>
      <w:bookmarkStart w:id="304" w:name="_Toc374627840"/>
      <w:r>
        <w:rPr>
          <w:rFonts w:hint="eastAsia" w:ascii="Times New Roman" w:hAnsi="Times New Roman" w:eastAsia="宋体"/>
          <w:color w:val="auto"/>
        </w:rPr>
        <w:t xml:space="preserve"> </w:t>
      </w:r>
      <w:bookmarkStart w:id="305" w:name="_Toc1080"/>
      <w:r>
        <w:rPr>
          <w:rFonts w:ascii="Times New Roman" w:hAnsi="Times New Roman" w:eastAsia="宋体"/>
          <w:color w:val="auto"/>
        </w:rPr>
        <w:t>环境影响经济损益分析方法</w:t>
      </w:r>
      <w:bookmarkEnd w:id="297"/>
      <w:bookmarkEnd w:id="298"/>
      <w:bookmarkEnd w:id="299"/>
      <w:bookmarkEnd w:id="300"/>
      <w:bookmarkEnd w:id="301"/>
      <w:bookmarkEnd w:id="305"/>
    </w:p>
    <w:p w14:paraId="15ACDF0D">
      <w:pPr>
        <w:pageBreakBefore w:val="0"/>
        <w:wordWrap/>
        <w:bidi w:val="0"/>
        <w:adjustRightInd/>
        <w:snapToGrid/>
        <w:ind w:firstLine="480"/>
        <w:rPr>
          <w:color w:val="auto"/>
        </w:rPr>
      </w:pPr>
      <w:r>
        <w:rPr>
          <w:color w:val="auto"/>
        </w:rPr>
        <w:t>环境经济损益分析是建设项目环境影响评价的一个重要组成部分，它是综合评价判断建设项目的环保投资是否能够补偿或多大程度上补偿了由此可能造成的环境损失的重要依据。环境经济损益分析与工程经济分析不同，除了需计算用于治理、控制污染所需的投资和费用外，还要同时核算可能收到的环境经济效益、社会环境效益和环境污染损失，通过对建设项目环境的经济损益分析，综合反映项目开发建设的社会环境效益和环境经济效益。</w:t>
      </w:r>
    </w:p>
    <w:p w14:paraId="3A6EA302">
      <w:pPr>
        <w:pStyle w:val="4"/>
        <w:pageBreakBefore w:val="0"/>
        <w:wordWrap/>
        <w:bidi w:val="0"/>
        <w:adjustRightInd/>
        <w:snapToGrid/>
        <w:rPr>
          <w:rFonts w:ascii="Times New Roman" w:hAnsi="Times New Roman" w:eastAsia="宋体"/>
          <w:color w:val="auto"/>
        </w:rPr>
      </w:pPr>
      <w:bookmarkStart w:id="306" w:name="_Toc505087379"/>
      <w:bookmarkStart w:id="307" w:name="_Toc17865"/>
      <w:r>
        <w:rPr>
          <w:rFonts w:hint="eastAsia" w:ascii="Times New Roman" w:hAnsi="Times New Roman" w:eastAsia="宋体"/>
          <w:color w:val="auto"/>
        </w:rPr>
        <w:t xml:space="preserve"> </w:t>
      </w:r>
      <w:bookmarkStart w:id="308" w:name="_Toc11494"/>
      <w:r>
        <w:rPr>
          <w:rFonts w:ascii="Times New Roman" w:hAnsi="Times New Roman" w:eastAsia="宋体"/>
          <w:color w:val="auto"/>
        </w:rPr>
        <w:t>项目环境效益</w:t>
      </w:r>
      <w:bookmarkEnd w:id="302"/>
      <w:bookmarkEnd w:id="303"/>
      <w:bookmarkEnd w:id="304"/>
      <w:bookmarkEnd w:id="306"/>
      <w:bookmarkEnd w:id="307"/>
      <w:bookmarkEnd w:id="308"/>
    </w:p>
    <w:p w14:paraId="6F6AB11B">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社会效益</w:t>
      </w:r>
    </w:p>
    <w:p w14:paraId="4C17CD0E">
      <w:pPr>
        <w:pageBreakBefore w:val="0"/>
        <w:wordWrap/>
        <w:bidi w:val="0"/>
        <w:adjustRightInd/>
        <w:snapToGrid/>
        <w:ind w:firstLine="480"/>
        <w:rPr>
          <w:color w:val="auto"/>
        </w:rPr>
      </w:pPr>
      <w:r>
        <w:rPr>
          <w:color w:val="auto"/>
        </w:rPr>
        <w:t>污水处理厂的建设是城镇基础设施的一部分，以服务社会为主要目的，建成后将完善（郫都区、</w:t>
      </w:r>
      <w:r>
        <w:rPr>
          <w:rFonts w:hint="eastAsia"/>
          <w:color w:val="auto"/>
          <w:lang w:eastAsia="zh-CN"/>
        </w:rPr>
        <w:t>巴州区</w:t>
      </w:r>
      <w:r>
        <w:rPr>
          <w:color w:val="auto"/>
        </w:rPr>
        <w:t>）区域排水设施的建设，解决郫都区、</w:t>
      </w:r>
      <w:r>
        <w:rPr>
          <w:rFonts w:hint="eastAsia"/>
          <w:color w:val="auto"/>
          <w:lang w:eastAsia="zh-CN"/>
        </w:rPr>
        <w:t>巴州区</w:t>
      </w:r>
      <w:r>
        <w:rPr>
          <w:color w:val="auto"/>
        </w:rPr>
        <w:t>的水污染问题，将明显提高该地区的环境质量，改善投资环境，对外商更具吸引力，保证经济的可持续发展。做到经济建设、城乡建设、环境建设同步规划、同步实施、同步发展。同时有利于治理污染，改善水质，保护生态环境，促进居民身心健康。</w:t>
      </w:r>
    </w:p>
    <w:p w14:paraId="5037C964">
      <w:pPr>
        <w:pageBreakBefore w:val="0"/>
        <w:wordWrap/>
        <w:bidi w:val="0"/>
        <w:adjustRightInd/>
        <w:snapToGrid/>
        <w:ind w:firstLine="480"/>
        <w:rPr>
          <w:color w:val="auto"/>
        </w:rPr>
      </w:pPr>
      <w:r>
        <w:rPr>
          <w:color w:val="auto"/>
        </w:rPr>
        <w:t>建设单位（或运营单位）实行基层员工本地化，对缓解当地的就业压力，增加社会安定因素起到了积极作用。公司经济效益良好，在生产过程中产生的污染物能得到有效控制，不会对周围居民及社会环境造成不良影响。</w:t>
      </w:r>
    </w:p>
    <w:p w14:paraId="117CA181">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环境效益</w:t>
      </w:r>
    </w:p>
    <w:p w14:paraId="7DC774CF">
      <w:pPr>
        <w:pageBreakBefore w:val="0"/>
        <w:wordWrap/>
        <w:bidi w:val="0"/>
        <w:adjustRightInd/>
        <w:snapToGrid/>
        <w:ind w:firstLine="480"/>
        <w:rPr>
          <w:color w:val="auto"/>
          <w:kern w:val="0"/>
          <w:szCs w:val="21"/>
        </w:rPr>
      </w:pPr>
      <w:r>
        <w:rPr>
          <w:color w:val="auto"/>
        </w:rPr>
        <w:t>本项目建成后，废水处理规模为</w:t>
      </w:r>
      <w:r>
        <w:rPr>
          <w:rFonts w:hint="eastAsia"/>
          <w:color w:val="auto"/>
          <w:lang w:val="en-US" w:eastAsia="zh-CN"/>
        </w:rPr>
        <w:t>0.3</w:t>
      </w:r>
      <w:r>
        <w:rPr>
          <w:color w:val="auto"/>
        </w:rPr>
        <w:t>万t/a，</w:t>
      </w:r>
      <w:r>
        <w:rPr>
          <w:rFonts w:hint="eastAsia"/>
          <w:color w:val="auto"/>
        </w:rPr>
        <w:t>项目排水执行《城镇污水处理厂污染物排放标准》（GB18918-2002）一级A标准。</w:t>
      </w:r>
    </w:p>
    <w:p w14:paraId="2916350E">
      <w:pPr>
        <w:pStyle w:val="17"/>
        <w:pageBreakBefore w:val="0"/>
        <w:numPr>
          <w:ilvl w:val="0"/>
          <w:numId w:val="37"/>
        </w:numPr>
        <w:wordWrap/>
        <w:bidi w:val="0"/>
        <w:adjustRightInd/>
        <w:snapToGrid/>
        <w:ind w:left="0" w:leftChars="0" w:firstLine="0" w:firstLineChars="0"/>
        <w:rPr>
          <w:color w:val="auto"/>
        </w:rPr>
      </w:pPr>
      <w:r>
        <w:rPr>
          <w:color w:val="auto"/>
        </w:rPr>
        <w:t>项目建成前后污染物入河量及削减情况</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85"/>
        <w:gridCol w:w="870"/>
        <w:gridCol w:w="1125"/>
        <w:gridCol w:w="660"/>
        <w:gridCol w:w="750"/>
        <w:gridCol w:w="735"/>
        <w:gridCol w:w="660"/>
        <w:gridCol w:w="690"/>
        <w:gridCol w:w="660"/>
        <w:gridCol w:w="645"/>
        <w:gridCol w:w="705"/>
        <w:gridCol w:w="501"/>
      </w:tblGrid>
      <w:tr w14:paraId="240191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restart"/>
            <w:tcBorders>
              <w:tl2br w:val="nil"/>
              <w:tr2bl w:val="nil"/>
            </w:tcBorders>
            <w:noWrap w:val="0"/>
            <w:vAlign w:val="center"/>
          </w:tcPr>
          <w:p w14:paraId="029CDA76">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处理对象</w:t>
            </w:r>
          </w:p>
        </w:tc>
        <w:tc>
          <w:tcPr>
            <w:tcW w:w="1995" w:type="dxa"/>
            <w:gridSpan w:val="2"/>
            <w:vMerge w:val="restart"/>
            <w:tcBorders>
              <w:tl2br w:val="nil"/>
              <w:tr2bl w:val="nil"/>
            </w:tcBorders>
            <w:noWrap w:val="0"/>
            <w:vAlign w:val="center"/>
          </w:tcPr>
          <w:p w14:paraId="2B15F2E7">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水污染物</w:t>
            </w:r>
          </w:p>
        </w:tc>
        <w:tc>
          <w:tcPr>
            <w:tcW w:w="660" w:type="dxa"/>
            <w:vMerge w:val="restart"/>
            <w:tcBorders>
              <w:tl2br w:val="nil"/>
              <w:tr2bl w:val="nil"/>
            </w:tcBorders>
            <w:noWrap w:val="0"/>
            <w:vAlign w:val="center"/>
          </w:tcPr>
          <w:p w14:paraId="1A4B01A7">
            <w:pPr>
              <w:pageBreakBefore w:val="0"/>
              <w:wordWrap/>
              <w:bidi w:val="0"/>
              <w:adjustRightInd/>
              <w:snapToGrid/>
              <w:spacing w:line="240" w:lineRule="auto"/>
              <w:ind w:firstLine="0" w:firstLineChars="0"/>
              <w:jc w:val="center"/>
              <w:rPr>
                <w:rFonts w:hint="eastAsia" w:eastAsia="宋体"/>
                <w:b/>
                <w:bCs/>
                <w:color w:val="auto"/>
                <w:sz w:val="21"/>
                <w:szCs w:val="21"/>
                <w:lang w:eastAsia="zh-CN"/>
              </w:rPr>
            </w:pPr>
            <w:r>
              <w:rPr>
                <w:b/>
                <w:bCs/>
                <w:color w:val="auto"/>
                <w:sz w:val="21"/>
                <w:szCs w:val="21"/>
              </w:rPr>
              <w:t>水量</w:t>
            </w:r>
            <w:r>
              <w:rPr>
                <w:rFonts w:hint="eastAsia"/>
                <w:b/>
                <w:bCs/>
                <w:color w:val="auto"/>
                <w:sz w:val="21"/>
                <w:szCs w:val="21"/>
                <w:lang w:eastAsia="zh-CN"/>
              </w:rPr>
              <w:t>（m³</w:t>
            </w:r>
            <w:r>
              <w:rPr>
                <w:b/>
                <w:bCs/>
                <w:color w:val="auto"/>
                <w:sz w:val="21"/>
                <w:szCs w:val="21"/>
              </w:rPr>
              <w:t>/d</w:t>
            </w:r>
            <w:r>
              <w:rPr>
                <w:rFonts w:hint="eastAsia"/>
                <w:b/>
                <w:bCs/>
                <w:color w:val="auto"/>
                <w:sz w:val="21"/>
                <w:szCs w:val="21"/>
                <w:lang w:eastAsia="zh-CN"/>
              </w:rPr>
              <w:t>）</w:t>
            </w:r>
          </w:p>
        </w:tc>
        <w:tc>
          <w:tcPr>
            <w:tcW w:w="5346" w:type="dxa"/>
            <w:gridSpan w:val="8"/>
            <w:tcBorders>
              <w:tl2br w:val="nil"/>
              <w:tr2bl w:val="nil"/>
            </w:tcBorders>
            <w:noWrap w:val="0"/>
            <w:vAlign w:val="center"/>
          </w:tcPr>
          <w:p w14:paraId="3B0CA721">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主要污染物指标</w:t>
            </w:r>
          </w:p>
        </w:tc>
      </w:tr>
      <w:tr w14:paraId="0D605F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25FF3611">
            <w:pPr>
              <w:pageBreakBefore w:val="0"/>
              <w:wordWrap/>
              <w:bidi w:val="0"/>
              <w:adjustRightInd/>
              <w:snapToGrid/>
              <w:spacing w:line="240" w:lineRule="auto"/>
              <w:ind w:firstLine="0" w:firstLineChars="0"/>
              <w:jc w:val="center"/>
              <w:rPr>
                <w:b/>
                <w:bCs/>
                <w:color w:val="auto"/>
                <w:sz w:val="21"/>
                <w:szCs w:val="21"/>
              </w:rPr>
            </w:pPr>
          </w:p>
        </w:tc>
        <w:tc>
          <w:tcPr>
            <w:tcW w:w="1995" w:type="dxa"/>
            <w:gridSpan w:val="2"/>
            <w:vMerge w:val="continue"/>
            <w:tcBorders>
              <w:tl2br w:val="nil"/>
              <w:tr2bl w:val="nil"/>
            </w:tcBorders>
            <w:noWrap w:val="0"/>
            <w:vAlign w:val="center"/>
          </w:tcPr>
          <w:p w14:paraId="6E9EE073">
            <w:pPr>
              <w:pageBreakBefore w:val="0"/>
              <w:wordWrap/>
              <w:bidi w:val="0"/>
              <w:adjustRightInd/>
              <w:snapToGrid/>
              <w:spacing w:line="240" w:lineRule="auto"/>
              <w:ind w:firstLine="0" w:firstLineChars="0"/>
              <w:jc w:val="center"/>
              <w:rPr>
                <w:b/>
                <w:bCs/>
                <w:color w:val="auto"/>
                <w:sz w:val="21"/>
                <w:szCs w:val="21"/>
              </w:rPr>
            </w:pPr>
          </w:p>
        </w:tc>
        <w:tc>
          <w:tcPr>
            <w:tcW w:w="660" w:type="dxa"/>
            <w:vMerge w:val="continue"/>
            <w:tcBorders>
              <w:tl2br w:val="nil"/>
              <w:tr2bl w:val="nil"/>
            </w:tcBorders>
            <w:noWrap w:val="0"/>
            <w:vAlign w:val="center"/>
          </w:tcPr>
          <w:p w14:paraId="461A29E9">
            <w:pPr>
              <w:pageBreakBefore w:val="0"/>
              <w:wordWrap/>
              <w:bidi w:val="0"/>
              <w:adjustRightInd/>
              <w:snapToGrid/>
              <w:spacing w:line="240" w:lineRule="auto"/>
              <w:ind w:firstLine="0" w:firstLineChars="0"/>
              <w:jc w:val="center"/>
              <w:rPr>
                <w:b/>
                <w:bCs/>
                <w:color w:val="auto"/>
                <w:sz w:val="21"/>
                <w:szCs w:val="21"/>
              </w:rPr>
            </w:pPr>
          </w:p>
        </w:tc>
        <w:tc>
          <w:tcPr>
            <w:tcW w:w="750" w:type="dxa"/>
            <w:tcBorders>
              <w:tl2br w:val="nil"/>
              <w:tr2bl w:val="nil"/>
            </w:tcBorders>
            <w:noWrap w:val="0"/>
            <w:vAlign w:val="center"/>
          </w:tcPr>
          <w:p w14:paraId="1F29C31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COD</w:t>
            </w:r>
            <w:r>
              <w:rPr>
                <w:b/>
                <w:bCs/>
                <w:color w:val="auto"/>
                <w:sz w:val="21"/>
                <w:szCs w:val="21"/>
                <w:vertAlign w:val="subscript"/>
              </w:rPr>
              <w:t>Cr</w:t>
            </w:r>
          </w:p>
        </w:tc>
        <w:tc>
          <w:tcPr>
            <w:tcW w:w="735" w:type="dxa"/>
            <w:tcBorders>
              <w:tl2br w:val="nil"/>
              <w:tr2bl w:val="nil"/>
            </w:tcBorders>
            <w:noWrap w:val="0"/>
            <w:vAlign w:val="center"/>
          </w:tcPr>
          <w:p w14:paraId="205C110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BOD</w:t>
            </w:r>
            <w:r>
              <w:rPr>
                <w:b/>
                <w:bCs/>
                <w:color w:val="auto"/>
                <w:sz w:val="21"/>
                <w:szCs w:val="21"/>
                <w:vertAlign w:val="subscript"/>
              </w:rPr>
              <w:t>5</w:t>
            </w:r>
          </w:p>
        </w:tc>
        <w:tc>
          <w:tcPr>
            <w:tcW w:w="660" w:type="dxa"/>
            <w:tcBorders>
              <w:tl2br w:val="nil"/>
              <w:tr2bl w:val="nil"/>
            </w:tcBorders>
            <w:noWrap w:val="0"/>
            <w:vAlign w:val="center"/>
          </w:tcPr>
          <w:p w14:paraId="35E7C7BB">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SS</w:t>
            </w:r>
          </w:p>
        </w:tc>
        <w:tc>
          <w:tcPr>
            <w:tcW w:w="690" w:type="dxa"/>
            <w:tcBorders>
              <w:tl2br w:val="nil"/>
              <w:tr2bl w:val="nil"/>
            </w:tcBorders>
            <w:noWrap w:val="0"/>
            <w:vAlign w:val="center"/>
          </w:tcPr>
          <w:p w14:paraId="0024C27B">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NH</w:t>
            </w:r>
            <w:r>
              <w:rPr>
                <w:b/>
                <w:bCs/>
                <w:color w:val="auto"/>
                <w:sz w:val="21"/>
                <w:szCs w:val="21"/>
                <w:vertAlign w:val="subscript"/>
              </w:rPr>
              <w:t>3</w:t>
            </w:r>
            <w:r>
              <w:rPr>
                <w:b/>
                <w:bCs/>
                <w:color w:val="auto"/>
                <w:sz w:val="21"/>
                <w:szCs w:val="21"/>
              </w:rPr>
              <w:t>-N</w:t>
            </w:r>
          </w:p>
        </w:tc>
        <w:tc>
          <w:tcPr>
            <w:tcW w:w="660" w:type="dxa"/>
            <w:tcBorders>
              <w:tl2br w:val="nil"/>
              <w:tr2bl w:val="nil"/>
            </w:tcBorders>
            <w:noWrap w:val="0"/>
            <w:vAlign w:val="center"/>
          </w:tcPr>
          <w:p w14:paraId="73C94AE3">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TN</w:t>
            </w:r>
          </w:p>
        </w:tc>
        <w:tc>
          <w:tcPr>
            <w:tcW w:w="645" w:type="dxa"/>
            <w:tcBorders>
              <w:tl2br w:val="nil"/>
              <w:tr2bl w:val="nil"/>
            </w:tcBorders>
            <w:noWrap w:val="0"/>
            <w:vAlign w:val="center"/>
          </w:tcPr>
          <w:p w14:paraId="217F5C68">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TP</w:t>
            </w:r>
          </w:p>
        </w:tc>
        <w:tc>
          <w:tcPr>
            <w:tcW w:w="705" w:type="dxa"/>
            <w:tcBorders>
              <w:tl2br w:val="nil"/>
              <w:tr2bl w:val="nil"/>
            </w:tcBorders>
            <w:noWrap w:val="0"/>
            <w:vAlign w:val="center"/>
          </w:tcPr>
          <w:p w14:paraId="2BDF4FB6">
            <w:pPr>
              <w:pageBreakBefore w:val="0"/>
              <w:wordWrap/>
              <w:bidi w:val="0"/>
              <w:adjustRightInd/>
              <w:snapToGrid/>
              <w:spacing w:line="240" w:lineRule="auto"/>
              <w:ind w:firstLine="0" w:firstLineChars="0"/>
              <w:jc w:val="center"/>
              <w:rPr>
                <w:rFonts w:hint="eastAsia" w:eastAsia="宋体"/>
                <w:b/>
                <w:bCs/>
                <w:color w:val="auto"/>
                <w:sz w:val="21"/>
                <w:szCs w:val="21"/>
                <w:lang w:val="en-US" w:eastAsia="zh-CN"/>
              </w:rPr>
            </w:pPr>
            <w:r>
              <w:rPr>
                <w:rFonts w:hint="eastAsia"/>
                <w:b/>
                <w:bCs/>
                <w:color w:val="auto"/>
                <w:sz w:val="21"/>
                <w:szCs w:val="21"/>
                <w:lang w:val="en-US" w:eastAsia="zh-CN"/>
              </w:rPr>
              <w:t>石油类</w:t>
            </w:r>
          </w:p>
        </w:tc>
        <w:tc>
          <w:tcPr>
            <w:tcW w:w="501" w:type="dxa"/>
            <w:tcBorders>
              <w:tl2br w:val="nil"/>
              <w:tr2bl w:val="nil"/>
            </w:tcBorders>
            <w:noWrap w:val="0"/>
            <w:vAlign w:val="center"/>
          </w:tcPr>
          <w:p w14:paraId="089B94D9">
            <w:pPr>
              <w:pageBreakBefore w:val="0"/>
              <w:wordWrap/>
              <w:bidi w:val="0"/>
              <w:adjustRightInd/>
              <w:snapToGrid/>
              <w:spacing w:line="240" w:lineRule="auto"/>
              <w:ind w:firstLine="0" w:firstLineChars="0"/>
              <w:jc w:val="center"/>
              <w:rPr>
                <w:rFonts w:hint="eastAsia" w:eastAsia="宋体"/>
                <w:b/>
                <w:bCs/>
                <w:color w:val="auto"/>
                <w:sz w:val="21"/>
                <w:szCs w:val="21"/>
                <w:lang w:val="en-US" w:eastAsia="zh-CN"/>
              </w:rPr>
            </w:pPr>
            <w:r>
              <w:rPr>
                <w:rFonts w:hint="eastAsia"/>
                <w:b/>
                <w:bCs/>
                <w:color w:val="auto"/>
                <w:sz w:val="21"/>
                <w:szCs w:val="21"/>
                <w:lang w:val="en-US" w:eastAsia="zh-CN"/>
              </w:rPr>
              <w:t>甲醛</w:t>
            </w:r>
          </w:p>
        </w:tc>
      </w:tr>
      <w:tr w14:paraId="0FEFF2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restart"/>
            <w:tcBorders>
              <w:tl2br w:val="nil"/>
              <w:tr2bl w:val="nil"/>
            </w:tcBorders>
            <w:noWrap w:val="0"/>
            <w:vAlign w:val="center"/>
          </w:tcPr>
          <w:p w14:paraId="1D5D7076">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lang w:eastAsia="zh-CN"/>
              </w:rPr>
              <w:t>巴中市巴州区曾口片区污水处理厂</w:t>
            </w:r>
            <w:r>
              <w:rPr>
                <w:color w:val="auto"/>
                <w:sz w:val="21"/>
                <w:szCs w:val="21"/>
              </w:rPr>
              <w:t>纳污范围内排水单元</w:t>
            </w:r>
          </w:p>
        </w:tc>
        <w:tc>
          <w:tcPr>
            <w:tcW w:w="870" w:type="dxa"/>
            <w:vMerge w:val="restart"/>
            <w:tcBorders>
              <w:tl2br w:val="nil"/>
              <w:tr2bl w:val="nil"/>
            </w:tcBorders>
            <w:noWrap w:val="0"/>
            <w:vAlign w:val="center"/>
          </w:tcPr>
          <w:p w14:paraId="2A039057">
            <w:pPr>
              <w:pageBreakBefore w:val="0"/>
              <w:wordWrap/>
              <w:bidi w:val="0"/>
              <w:adjustRightInd/>
              <w:snapToGrid/>
              <w:spacing w:line="240" w:lineRule="auto"/>
              <w:ind w:firstLine="0" w:firstLineChars="0"/>
              <w:jc w:val="center"/>
              <w:rPr>
                <w:color w:val="auto"/>
                <w:sz w:val="21"/>
                <w:szCs w:val="21"/>
              </w:rPr>
            </w:pPr>
            <w:r>
              <w:rPr>
                <w:color w:val="auto"/>
                <w:sz w:val="21"/>
                <w:szCs w:val="21"/>
              </w:rPr>
              <w:t>处理前</w:t>
            </w:r>
          </w:p>
        </w:tc>
        <w:tc>
          <w:tcPr>
            <w:tcW w:w="1125" w:type="dxa"/>
            <w:tcBorders>
              <w:tl2br w:val="nil"/>
              <w:tr2bl w:val="nil"/>
            </w:tcBorders>
            <w:noWrap w:val="0"/>
            <w:vAlign w:val="center"/>
          </w:tcPr>
          <w:p w14:paraId="52BEC9AD">
            <w:pPr>
              <w:pageBreakBefore w:val="0"/>
              <w:wordWrap/>
              <w:bidi w:val="0"/>
              <w:adjustRightInd/>
              <w:snapToGrid/>
              <w:spacing w:line="240" w:lineRule="auto"/>
              <w:ind w:firstLine="0" w:firstLineChars="0"/>
              <w:jc w:val="center"/>
              <w:rPr>
                <w:color w:val="auto"/>
                <w:sz w:val="21"/>
                <w:szCs w:val="21"/>
              </w:rPr>
            </w:pPr>
            <w:r>
              <w:rPr>
                <w:color w:val="auto"/>
                <w:sz w:val="21"/>
                <w:szCs w:val="21"/>
              </w:rPr>
              <w:t>产生浓度mg/L</w:t>
            </w:r>
          </w:p>
        </w:tc>
        <w:tc>
          <w:tcPr>
            <w:tcW w:w="660" w:type="dxa"/>
            <w:vMerge w:val="restart"/>
            <w:tcBorders>
              <w:tl2br w:val="nil"/>
              <w:tr2bl w:val="nil"/>
            </w:tcBorders>
            <w:noWrap w:val="0"/>
            <w:vAlign w:val="center"/>
          </w:tcPr>
          <w:p w14:paraId="19C409E7">
            <w:pPr>
              <w:pageBreakBefore w:val="0"/>
              <w:wordWrap/>
              <w:bidi w:val="0"/>
              <w:adjustRightInd/>
              <w:snapToGrid/>
              <w:spacing w:line="240" w:lineRule="auto"/>
              <w:ind w:firstLine="0" w:firstLineChars="0"/>
              <w:jc w:val="center"/>
              <w:rPr>
                <w:rFonts w:hint="default"/>
                <w:color w:val="auto"/>
                <w:sz w:val="21"/>
                <w:szCs w:val="21"/>
                <w:lang w:val="en-US"/>
              </w:rPr>
            </w:pPr>
            <w:r>
              <w:rPr>
                <w:rFonts w:hint="eastAsia"/>
                <w:color w:val="auto"/>
                <w:sz w:val="21"/>
                <w:szCs w:val="21"/>
                <w:lang w:val="en-US" w:eastAsia="zh-CN"/>
              </w:rPr>
              <w:t>3000</w:t>
            </w:r>
          </w:p>
        </w:tc>
        <w:tc>
          <w:tcPr>
            <w:tcW w:w="750" w:type="dxa"/>
            <w:tcBorders>
              <w:tl2br w:val="nil"/>
              <w:tr2bl w:val="nil"/>
            </w:tcBorders>
            <w:noWrap w:val="0"/>
            <w:vAlign w:val="center"/>
          </w:tcPr>
          <w:p w14:paraId="3D38B50E">
            <w:pPr>
              <w:pStyle w:val="16"/>
              <w:bidi w:val="0"/>
              <w:rPr>
                <w:color w:val="auto"/>
              </w:rPr>
            </w:pPr>
            <w:r>
              <w:rPr>
                <w:rFonts w:hint="default"/>
                <w:color w:val="auto"/>
                <w:lang w:val="en-US" w:eastAsia="zh-CN"/>
              </w:rPr>
              <w:t>350</w:t>
            </w:r>
          </w:p>
        </w:tc>
        <w:tc>
          <w:tcPr>
            <w:tcW w:w="735" w:type="dxa"/>
            <w:tcBorders>
              <w:tl2br w:val="nil"/>
              <w:tr2bl w:val="nil"/>
            </w:tcBorders>
            <w:noWrap w:val="0"/>
            <w:vAlign w:val="center"/>
          </w:tcPr>
          <w:p w14:paraId="3ED08627">
            <w:pPr>
              <w:pStyle w:val="16"/>
              <w:bidi w:val="0"/>
              <w:rPr>
                <w:color w:val="auto"/>
              </w:rPr>
            </w:pPr>
            <w:r>
              <w:rPr>
                <w:rFonts w:hint="default"/>
                <w:color w:val="auto"/>
                <w:lang w:val="en-US" w:eastAsia="zh-CN"/>
              </w:rPr>
              <w:t>150</w:t>
            </w:r>
          </w:p>
        </w:tc>
        <w:tc>
          <w:tcPr>
            <w:tcW w:w="660" w:type="dxa"/>
            <w:tcBorders>
              <w:tl2br w:val="nil"/>
              <w:tr2bl w:val="nil"/>
            </w:tcBorders>
            <w:noWrap w:val="0"/>
            <w:vAlign w:val="center"/>
          </w:tcPr>
          <w:p w14:paraId="1EF44EDB">
            <w:pPr>
              <w:pStyle w:val="16"/>
              <w:bidi w:val="0"/>
              <w:rPr>
                <w:color w:val="auto"/>
              </w:rPr>
            </w:pPr>
            <w:r>
              <w:rPr>
                <w:rFonts w:hint="default"/>
                <w:color w:val="auto"/>
                <w:lang w:val="en-US" w:eastAsia="zh-CN"/>
              </w:rPr>
              <w:t>400</w:t>
            </w:r>
          </w:p>
        </w:tc>
        <w:tc>
          <w:tcPr>
            <w:tcW w:w="690" w:type="dxa"/>
            <w:tcBorders>
              <w:tl2br w:val="nil"/>
              <w:tr2bl w:val="nil"/>
            </w:tcBorders>
            <w:noWrap w:val="0"/>
            <w:vAlign w:val="center"/>
          </w:tcPr>
          <w:p w14:paraId="4BB6E505">
            <w:pPr>
              <w:pStyle w:val="16"/>
              <w:bidi w:val="0"/>
              <w:rPr>
                <w:color w:val="auto"/>
              </w:rPr>
            </w:pPr>
            <w:r>
              <w:rPr>
                <w:rFonts w:hint="default"/>
                <w:color w:val="auto"/>
                <w:lang w:val="en-US" w:eastAsia="zh-CN"/>
              </w:rPr>
              <w:t>50</w:t>
            </w:r>
          </w:p>
        </w:tc>
        <w:tc>
          <w:tcPr>
            <w:tcW w:w="660" w:type="dxa"/>
            <w:tcBorders>
              <w:tl2br w:val="nil"/>
              <w:tr2bl w:val="nil"/>
            </w:tcBorders>
            <w:noWrap w:val="0"/>
            <w:vAlign w:val="center"/>
          </w:tcPr>
          <w:p w14:paraId="21A8E48D">
            <w:pPr>
              <w:pStyle w:val="16"/>
              <w:bidi w:val="0"/>
              <w:rPr>
                <w:color w:val="auto"/>
              </w:rPr>
            </w:pPr>
            <w:r>
              <w:rPr>
                <w:rFonts w:hint="default"/>
                <w:color w:val="auto"/>
                <w:lang w:val="en-US" w:eastAsia="zh-CN"/>
              </w:rPr>
              <w:t>80</w:t>
            </w:r>
          </w:p>
        </w:tc>
        <w:tc>
          <w:tcPr>
            <w:tcW w:w="645" w:type="dxa"/>
            <w:tcBorders>
              <w:tl2br w:val="nil"/>
              <w:tr2bl w:val="nil"/>
            </w:tcBorders>
            <w:noWrap w:val="0"/>
            <w:vAlign w:val="center"/>
          </w:tcPr>
          <w:p w14:paraId="1C0D4E91">
            <w:pPr>
              <w:pStyle w:val="16"/>
              <w:bidi w:val="0"/>
              <w:rPr>
                <w:color w:val="auto"/>
              </w:rPr>
            </w:pPr>
            <w:r>
              <w:rPr>
                <w:rFonts w:hint="default"/>
                <w:color w:val="auto"/>
                <w:lang w:val="en-US" w:eastAsia="zh-CN"/>
              </w:rPr>
              <w:t>4</w:t>
            </w:r>
          </w:p>
        </w:tc>
        <w:tc>
          <w:tcPr>
            <w:tcW w:w="705" w:type="dxa"/>
            <w:tcBorders>
              <w:tl2br w:val="nil"/>
              <w:tr2bl w:val="nil"/>
            </w:tcBorders>
            <w:noWrap w:val="0"/>
            <w:vAlign w:val="center"/>
          </w:tcPr>
          <w:p w14:paraId="0358680E">
            <w:pPr>
              <w:pStyle w:val="16"/>
              <w:bidi w:val="0"/>
              <w:rPr>
                <w:rFonts w:hint="default"/>
                <w:color w:val="auto"/>
                <w:lang w:val="en-US" w:eastAsia="zh-CN"/>
              </w:rPr>
            </w:pPr>
            <w:r>
              <w:rPr>
                <w:rFonts w:hint="eastAsia"/>
                <w:color w:val="auto"/>
                <w:lang w:val="en-US" w:eastAsia="zh-CN"/>
              </w:rPr>
              <w:t>1</w:t>
            </w:r>
          </w:p>
        </w:tc>
        <w:tc>
          <w:tcPr>
            <w:tcW w:w="501" w:type="dxa"/>
            <w:tcBorders>
              <w:tl2br w:val="nil"/>
              <w:tr2bl w:val="nil"/>
            </w:tcBorders>
            <w:noWrap w:val="0"/>
            <w:vAlign w:val="center"/>
          </w:tcPr>
          <w:p w14:paraId="126503FE">
            <w:pPr>
              <w:pStyle w:val="16"/>
              <w:bidi w:val="0"/>
              <w:rPr>
                <w:rFonts w:hint="default"/>
                <w:color w:val="auto"/>
                <w:lang w:val="en-US" w:eastAsia="zh-CN"/>
              </w:rPr>
            </w:pPr>
            <w:r>
              <w:rPr>
                <w:rFonts w:hint="eastAsia"/>
                <w:color w:val="auto"/>
                <w:lang w:val="en-US" w:eastAsia="zh-CN"/>
              </w:rPr>
              <w:t>1</w:t>
            </w:r>
          </w:p>
        </w:tc>
      </w:tr>
      <w:tr w14:paraId="6993BC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523F02D8">
            <w:pPr>
              <w:pageBreakBefore w:val="0"/>
              <w:wordWrap/>
              <w:bidi w:val="0"/>
              <w:adjustRightInd/>
              <w:snapToGrid/>
              <w:spacing w:line="240" w:lineRule="auto"/>
              <w:ind w:firstLine="0" w:firstLineChars="0"/>
              <w:jc w:val="center"/>
              <w:rPr>
                <w:color w:val="auto"/>
                <w:sz w:val="21"/>
                <w:szCs w:val="21"/>
              </w:rPr>
            </w:pPr>
          </w:p>
        </w:tc>
        <w:tc>
          <w:tcPr>
            <w:tcW w:w="870" w:type="dxa"/>
            <w:vMerge w:val="continue"/>
            <w:tcBorders>
              <w:tl2br w:val="nil"/>
              <w:tr2bl w:val="nil"/>
            </w:tcBorders>
            <w:noWrap w:val="0"/>
            <w:vAlign w:val="center"/>
          </w:tcPr>
          <w:p w14:paraId="48D64B8B">
            <w:pPr>
              <w:pageBreakBefore w:val="0"/>
              <w:wordWrap/>
              <w:bidi w:val="0"/>
              <w:adjustRightInd/>
              <w:snapToGrid/>
              <w:spacing w:line="240" w:lineRule="auto"/>
              <w:ind w:firstLine="0" w:firstLineChars="0"/>
              <w:jc w:val="center"/>
              <w:rPr>
                <w:color w:val="auto"/>
                <w:sz w:val="21"/>
                <w:szCs w:val="21"/>
              </w:rPr>
            </w:pPr>
          </w:p>
        </w:tc>
        <w:tc>
          <w:tcPr>
            <w:tcW w:w="1125" w:type="dxa"/>
            <w:tcBorders>
              <w:tl2br w:val="nil"/>
              <w:tr2bl w:val="nil"/>
            </w:tcBorders>
            <w:noWrap w:val="0"/>
            <w:vAlign w:val="center"/>
          </w:tcPr>
          <w:p w14:paraId="196131A6">
            <w:pPr>
              <w:pageBreakBefore w:val="0"/>
              <w:wordWrap/>
              <w:bidi w:val="0"/>
              <w:adjustRightInd/>
              <w:snapToGrid/>
              <w:spacing w:line="240" w:lineRule="auto"/>
              <w:ind w:firstLine="0" w:firstLineChars="0"/>
              <w:jc w:val="center"/>
              <w:rPr>
                <w:color w:val="auto"/>
                <w:sz w:val="21"/>
                <w:szCs w:val="21"/>
              </w:rPr>
            </w:pPr>
            <w:r>
              <w:rPr>
                <w:color w:val="auto"/>
                <w:sz w:val="21"/>
                <w:szCs w:val="21"/>
              </w:rPr>
              <w:t>产生量t/a</w:t>
            </w:r>
          </w:p>
        </w:tc>
        <w:tc>
          <w:tcPr>
            <w:tcW w:w="660" w:type="dxa"/>
            <w:vMerge w:val="continue"/>
            <w:tcBorders>
              <w:tl2br w:val="nil"/>
              <w:tr2bl w:val="nil"/>
            </w:tcBorders>
            <w:noWrap w:val="0"/>
            <w:vAlign w:val="center"/>
          </w:tcPr>
          <w:p w14:paraId="404AA213">
            <w:pPr>
              <w:pageBreakBefore w:val="0"/>
              <w:wordWrap/>
              <w:bidi w:val="0"/>
              <w:adjustRightInd/>
              <w:snapToGrid/>
              <w:spacing w:line="240" w:lineRule="auto"/>
              <w:ind w:firstLine="0" w:firstLineChars="0"/>
              <w:jc w:val="center"/>
              <w:rPr>
                <w:color w:val="auto"/>
                <w:sz w:val="21"/>
                <w:szCs w:val="21"/>
              </w:rPr>
            </w:pPr>
          </w:p>
        </w:tc>
        <w:tc>
          <w:tcPr>
            <w:tcW w:w="750" w:type="dxa"/>
            <w:tcBorders>
              <w:tl2br w:val="nil"/>
              <w:tr2bl w:val="nil"/>
            </w:tcBorders>
            <w:noWrap w:val="0"/>
            <w:vAlign w:val="center"/>
          </w:tcPr>
          <w:p w14:paraId="349A3B0A">
            <w:pPr>
              <w:pStyle w:val="16"/>
              <w:bidi w:val="0"/>
              <w:rPr>
                <w:color w:val="auto"/>
              </w:rPr>
            </w:pPr>
            <w:r>
              <w:rPr>
                <w:rFonts w:hint="default"/>
                <w:color w:val="auto"/>
                <w:lang w:val="en-US" w:eastAsia="zh-CN"/>
              </w:rPr>
              <w:t>383.25</w:t>
            </w:r>
          </w:p>
        </w:tc>
        <w:tc>
          <w:tcPr>
            <w:tcW w:w="735" w:type="dxa"/>
            <w:tcBorders>
              <w:tl2br w:val="nil"/>
              <w:tr2bl w:val="nil"/>
            </w:tcBorders>
            <w:noWrap w:val="0"/>
            <w:vAlign w:val="center"/>
          </w:tcPr>
          <w:p w14:paraId="3F3FFB62">
            <w:pPr>
              <w:pStyle w:val="16"/>
              <w:bidi w:val="0"/>
              <w:rPr>
                <w:color w:val="auto"/>
              </w:rPr>
            </w:pPr>
            <w:r>
              <w:rPr>
                <w:rFonts w:hint="default"/>
                <w:color w:val="auto"/>
                <w:lang w:val="en-US" w:eastAsia="zh-CN"/>
              </w:rPr>
              <w:t>164.25</w:t>
            </w:r>
          </w:p>
        </w:tc>
        <w:tc>
          <w:tcPr>
            <w:tcW w:w="660" w:type="dxa"/>
            <w:tcBorders>
              <w:tl2br w:val="nil"/>
              <w:tr2bl w:val="nil"/>
            </w:tcBorders>
            <w:noWrap w:val="0"/>
            <w:vAlign w:val="center"/>
          </w:tcPr>
          <w:p w14:paraId="2A66E026">
            <w:pPr>
              <w:pStyle w:val="16"/>
              <w:bidi w:val="0"/>
              <w:rPr>
                <w:color w:val="auto"/>
              </w:rPr>
            </w:pPr>
            <w:r>
              <w:rPr>
                <w:rFonts w:hint="default"/>
                <w:color w:val="auto"/>
                <w:lang w:val="en-US" w:eastAsia="zh-CN"/>
              </w:rPr>
              <w:t>438</w:t>
            </w:r>
          </w:p>
        </w:tc>
        <w:tc>
          <w:tcPr>
            <w:tcW w:w="690" w:type="dxa"/>
            <w:tcBorders>
              <w:tl2br w:val="nil"/>
              <w:tr2bl w:val="nil"/>
            </w:tcBorders>
            <w:noWrap w:val="0"/>
            <w:vAlign w:val="center"/>
          </w:tcPr>
          <w:p w14:paraId="708DE216">
            <w:pPr>
              <w:pStyle w:val="16"/>
              <w:bidi w:val="0"/>
              <w:rPr>
                <w:color w:val="auto"/>
              </w:rPr>
            </w:pPr>
            <w:r>
              <w:rPr>
                <w:rFonts w:hint="default"/>
                <w:color w:val="auto"/>
                <w:lang w:val="en-US" w:eastAsia="zh-CN"/>
              </w:rPr>
              <w:t>54.75</w:t>
            </w:r>
          </w:p>
        </w:tc>
        <w:tc>
          <w:tcPr>
            <w:tcW w:w="660" w:type="dxa"/>
            <w:tcBorders>
              <w:tl2br w:val="nil"/>
              <w:tr2bl w:val="nil"/>
            </w:tcBorders>
            <w:noWrap w:val="0"/>
            <w:vAlign w:val="center"/>
          </w:tcPr>
          <w:p w14:paraId="485AE182">
            <w:pPr>
              <w:pStyle w:val="16"/>
              <w:bidi w:val="0"/>
              <w:rPr>
                <w:color w:val="auto"/>
              </w:rPr>
            </w:pPr>
            <w:r>
              <w:rPr>
                <w:rFonts w:hint="default"/>
                <w:color w:val="auto"/>
                <w:lang w:val="en-US" w:eastAsia="zh-CN"/>
              </w:rPr>
              <w:t>87.6</w:t>
            </w:r>
          </w:p>
        </w:tc>
        <w:tc>
          <w:tcPr>
            <w:tcW w:w="645" w:type="dxa"/>
            <w:tcBorders>
              <w:tl2br w:val="nil"/>
              <w:tr2bl w:val="nil"/>
            </w:tcBorders>
            <w:noWrap w:val="0"/>
            <w:vAlign w:val="center"/>
          </w:tcPr>
          <w:p w14:paraId="02EC76F9">
            <w:pPr>
              <w:pStyle w:val="16"/>
              <w:bidi w:val="0"/>
              <w:rPr>
                <w:color w:val="auto"/>
              </w:rPr>
            </w:pPr>
            <w:r>
              <w:rPr>
                <w:rFonts w:hint="default"/>
                <w:color w:val="auto"/>
                <w:lang w:val="en-US" w:eastAsia="zh-CN"/>
              </w:rPr>
              <w:t>4.38</w:t>
            </w:r>
          </w:p>
        </w:tc>
        <w:tc>
          <w:tcPr>
            <w:tcW w:w="705" w:type="dxa"/>
            <w:tcBorders>
              <w:tl2br w:val="nil"/>
              <w:tr2bl w:val="nil"/>
            </w:tcBorders>
            <w:noWrap w:val="0"/>
            <w:vAlign w:val="center"/>
          </w:tcPr>
          <w:p w14:paraId="6384258F">
            <w:pPr>
              <w:pStyle w:val="16"/>
              <w:bidi w:val="0"/>
              <w:rPr>
                <w:rFonts w:hint="default"/>
                <w:color w:val="auto"/>
                <w:lang w:val="en-US" w:eastAsia="zh-CN"/>
              </w:rPr>
            </w:pPr>
            <w:r>
              <w:rPr>
                <w:rFonts w:hint="eastAsia"/>
                <w:color w:val="auto"/>
                <w:lang w:val="en-US" w:eastAsia="zh-CN"/>
              </w:rPr>
              <w:t>1.095</w:t>
            </w:r>
          </w:p>
        </w:tc>
        <w:tc>
          <w:tcPr>
            <w:tcW w:w="501" w:type="dxa"/>
            <w:tcBorders>
              <w:tl2br w:val="nil"/>
              <w:tr2bl w:val="nil"/>
            </w:tcBorders>
            <w:noWrap w:val="0"/>
            <w:vAlign w:val="center"/>
          </w:tcPr>
          <w:p w14:paraId="62C29592">
            <w:pPr>
              <w:pStyle w:val="16"/>
              <w:bidi w:val="0"/>
              <w:rPr>
                <w:rFonts w:hint="default"/>
                <w:color w:val="auto"/>
                <w:lang w:val="en-US" w:eastAsia="zh-CN"/>
              </w:rPr>
            </w:pPr>
            <w:r>
              <w:rPr>
                <w:rFonts w:hint="eastAsia"/>
                <w:color w:val="auto"/>
                <w:lang w:val="en-US" w:eastAsia="zh-CN"/>
              </w:rPr>
              <w:t>1.095</w:t>
            </w:r>
          </w:p>
        </w:tc>
      </w:tr>
      <w:tr w14:paraId="33E0E0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79CE4E2B">
            <w:pPr>
              <w:pageBreakBefore w:val="0"/>
              <w:wordWrap/>
              <w:bidi w:val="0"/>
              <w:adjustRightInd/>
              <w:snapToGrid/>
              <w:spacing w:line="240" w:lineRule="auto"/>
              <w:ind w:firstLine="0" w:firstLineChars="0"/>
              <w:jc w:val="center"/>
              <w:rPr>
                <w:color w:val="auto"/>
                <w:sz w:val="21"/>
                <w:szCs w:val="21"/>
              </w:rPr>
            </w:pPr>
          </w:p>
        </w:tc>
        <w:tc>
          <w:tcPr>
            <w:tcW w:w="870" w:type="dxa"/>
            <w:vMerge w:val="restart"/>
            <w:tcBorders>
              <w:tl2br w:val="nil"/>
              <w:tr2bl w:val="nil"/>
            </w:tcBorders>
            <w:noWrap w:val="0"/>
            <w:vAlign w:val="center"/>
          </w:tcPr>
          <w:p w14:paraId="676A2AD0">
            <w:pPr>
              <w:pageBreakBefore w:val="0"/>
              <w:wordWrap/>
              <w:bidi w:val="0"/>
              <w:adjustRightInd/>
              <w:snapToGrid/>
              <w:spacing w:line="240" w:lineRule="auto"/>
              <w:ind w:firstLine="0" w:firstLineChars="0"/>
              <w:jc w:val="center"/>
              <w:rPr>
                <w:color w:val="auto"/>
                <w:sz w:val="21"/>
                <w:szCs w:val="21"/>
              </w:rPr>
            </w:pPr>
            <w:r>
              <w:rPr>
                <w:color w:val="auto"/>
                <w:sz w:val="21"/>
                <w:szCs w:val="21"/>
              </w:rPr>
              <w:t>处理后</w:t>
            </w:r>
          </w:p>
        </w:tc>
        <w:tc>
          <w:tcPr>
            <w:tcW w:w="1125" w:type="dxa"/>
            <w:tcBorders>
              <w:tl2br w:val="nil"/>
              <w:tr2bl w:val="nil"/>
            </w:tcBorders>
            <w:noWrap w:val="0"/>
            <w:vAlign w:val="center"/>
          </w:tcPr>
          <w:p w14:paraId="41A3876D">
            <w:pPr>
              <w:pageBreakBefore w:val="0"/>
              <w:wordWrap/>
              <w:bidi w:val="0"/>
              <w:adjustRightInd/>
              <w:snapToGrid/>
              <w:spacing w:line="240" w:lineRule="auto"/>
              <w:ind w:firstLine="0" w:firstLineChars="0"/>
              <w:jc w:val="center"/>
              <w:rPr>
                <w:color w:val="auto"/>
                <w:sz w:val="21"/>
                <w:szCs w:val="21"/>
              </w:rPr>
            </w:pPr>
            <w:r>
              <w:rPr>
                <w:color w:val="auto"/>
                <w:sz w:val="21"/>
                <w:szCs w:val="21"/>
              </w:rPr>
              <w:t>排放浓度mg/L</w:t>
            </w:r>
          </w:p>
        </w:tc>
        <w:tc>
          <w:tcPr>
            <w:tcW w:w="660" w:type="dxa"/>
            <w:vMerge w:val="restart"/>
            <w:tcBorders>
              <w:tl2br w:val="nil"/>
              <w:tr2bl w:val="nil"/>
            </w:tcBorders>
            <w:noWrap w:val="0"/>
            <w:vAlign w:val="center"/>
          </w:tcPr>
          <w:p w14:paraId="31B78456">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3000</w:t>
            </w:r>
          </w:p>
        </w:tc>
        <w:tc>
          <w:tcPr>
            <w:tcW w:w="750" w:type="dxa"/>
            <w:tcBorders>
              <w:tl2br w:val="nil"/>
              <w:tr2bl w:val="nil"/>
            </w:tcBorders>
            <w:noWrap w:val="0"/>
            <w:vAlign w:val="center"/>
          </w:tcPr>
          <w:p w14:paraId="74FCAE46">
            <w:pPr>
              <w:pStyle w:val="16"/>
              <w:bidi w:val="0"/>
              <w:rPr>
                <w:color w:val="auto"/>
              </w:rPr>
            </w:pPr>
            <w:r>
              <w:rPr>
                <w:rFonts w:hint="default"/>
                <w:color w:val="auto"/>
                <w:lang w:val="en-US" w:eastAsia="zh-CN"/>
              </w:rPr>
              <w:t>50</w:t>
            </w:r>
          </w:p>
        </w:tc>
        <w:tc>
          <w:tcPr>
            <w:tcW w:w="735" w:type="dxa"/>
            <w:tcBorders>
              <w:tl2br w:val="nil"/>
              <w:tr2bl w:val="nil"/>
            </w:tcBorders>
            <w:noWrap w:val="0"/>
            <w:vAlign w:val="center"/>
          </w:tcPr>
          <w:p w14:paraId="446358CF">
            <w:pPr>
              <w:pStyle w:val="16"/>
              <w:bidi w:val="0"/>
              <w:rPr>
                <w:color w:val="auto"/>
              </w:rPr>
            </w:pPr>
            <w:r>
              <w:rPr>
                <w:rFonts w:hint="default"/>
                <w:color w:val="auto"/>
                <w:lang w:val="en-US" w:eastAsia="zh-CN"/>
              </w:rPr>
              <w:t>10</w:t>
            </w:r>
          </w:p>
        </w:tc>
        <w:tc>
          <w:tcPr>
            <w:tcW w:w="660" w:type="dxa"/>
            <w:tcBorders>
              <w:tl2br w:val="nil"/>
              <w:tr2bl w:val="nil"/>
            </w:tcBorders>
            <w:noWrap w:val="0"/>
            <w:vAlign w:val="center"/>
          </w:tcPr>
          <w:p w14:paraId="04E2AAA1">
            <w:pPr>
              <w:pStyle w:val="16"/>
              <w:bidi w:val="0"/>
              <w:rPr>
                <w:color w:val="auto"/>
              </w:rPr>
            </w:pPr>
            <w:r>
              <w:rPr>
                <w:rFonts w:hint="default"/>
                <w:color w:val="auto"/>
                <w:lang w:val="en-US" w:eastAsia="zh-CN"/>
              </w:rPr>
              <w:t>10</w:t>
            </w:r>
          </w:p>
        </w:tc>
        <w:tc>
          <w:tcPr>
            <w:tcW w:w="690" w:type="dxa"/>
            <w:tcBorders>
              <w:tl2br w:val="nil"/>
              <w:tr2bl w:val="nil"/>
            </w:tcBorders>
            <w:noWrap w:val="0"/>
            <w:vAlign w:val="center"/>
          </w:tcPr>
          <w:p w14:paraId="306E308E">
            <w:pPr>
              <w:pStyle w:val="16"/>
              <w:bidi w:val="0"/>
              <w:rPr>
                <w:color w:val="auto"/>
              </w:rPr>
            </w:pPr>
            <w:r>
              <w:rPr>
                <w:rFonts w:hint="default"/>
                <w:color w:val="auto"/>
                <w:lang w:val="en-US" w:eastAsia="zh-CN"/>
              </w:rPr>
              <w:t>5</w:t>
            </w:r>
          </w:p>
        </w:tc>
        <w:tc>
          <w:tcPr>
            <w:tcW w:w="660" w:type="dxa"/>
            <w:tcBorders>
              <w:tl2br w:val="nil"/>
              <w:tr2bl w:val="nil"/>
            </w:tcBorders>
            <w:noWrap w:val="0"/>
            <w:vAlign w:val="center"/>
          </w:tcPr>
          <w:p w14:paraId="68F69335">
            <w:pPr>
              <w:pStyle w:val="16"/>
              <w:bidi w:val="0"/>
              <w:rPr>
                <w:color w:val="auto"/>
              </w:rPr>
            </w:pPr>
            <w:r>
              <w:rPr>
                <w:rFonts w:hint="default"/>
                <w:color w:val="auto"/>
                <w:lang w:val="en-US" w:eastAsia="zh-CN"/>
              </w:rPr>
              <w:t>15</w:t>
            </w:r>
          </w:p>
        </w:tc>
        <w:tc>
          <w:tcPr>
            <w:tcW w:w="645" w:type="dxa"/>
            <w:tcBorders>
              <w:tl2br w:val="nil"/>
              <w:tr2bl w:val="nil"/>
            </w:tcBorders>
            <w:noWrap w:val="0"/>
            <w:vAlign w:val="center"/>
          </w:tcPr>
          <w:p w14:paraId="73FBABC0">
            <w:pPr>
              <w:pStyle w:val="16"/>
              <w:bidi w:val="0"/>
              <w:rPr>
                <w:color w:val="auto"/>
              </w:rPr>
            </w:pPr>
            <w:r>
              <w:rPr>
                <w:rFonts w:hint="default"/>
                <w:color w:val="auto"/>
                <w:lang w:val="en-US" w:eastAsia="zh-CN"/>
              </w:rPr>
              <w:t>0.5</w:t>
            </w:r>
          </w:p>
        </w:tc>
        <w:tc>
          <w:tcPr>
            <w:tcW w:w="705" w:type="dxa"/>
            <w:tcBorders>
              <w:tl2br w:val="nil"/>
              <w:tr2bl w:val="nil"/>
            </w:tcBorders>
            <w:noWrap w:val="0"/>
            <w:vAlign w:val="center"/>
          </w:tcPr>
          <w:p w14:paraId="25AFF8B8">
            <w:pPr>
              <w:pStyle w:val="16"/>
              <w:bidi w:val="0"/>
              <w:rPr>
                <w:rFonts w:hint="default"/>
                <w:color w:val="auto"/>
                <w:lang w:val="en-US" w:eastAsia="zh-CN"/>
              </w:rPr>
            </w:pPr>
            <w:r>
              <w:rPr>
                <w:rFonts w:hint="eastAsia"/>
                <w:color w:val="auto"/>
                <w:lang w:val="en-US" w:eastAsia="zh-CN"/>
              </w:rPr>
              <w:t>1</w:t>
            </w:r>
          </w:p>
        </w:tc>
        <w:tc>
          <w:tcPr>
            <w:tcW w:w="501" w:type="dxa"/>
            <w:tcBorders>
              <w:tl2br w:val="nil"/>
              <w:tr2bl w:val="nil"/>
            </w:tcBorders>
            <w:noWrap w:val="0"/>
            <w:vAlign w:val="center"/>
          </w:tcPr>
          <w:p w14:paraId="7791F137">
            <w:pPr>
              <w:pStyle w:val="16"/>
              <w:bidi w:val="0"/>
              <w:rPr>
                <w:rFonts w:hint="default"/>
                <w:color w:val="auto"/>
                <w:lang w:val="en-US" w:eastAsia="zh-CN"/>
              </w:rPr>
            </w:pPr>
            <w:r>
              <w:rPr>
                <w:rFonts w:hint="eastAsia"/>
                <w:color w:val="auto"/>
                <w:lang w:val="en-US" w:eastAsia="zh-CN"/>
              </w:rPr>
              <w:t>1</w:t>
            </w:r>
          </w:p>
        </w:tc>
      </w:tr>
      <w:tr w14:paraId="0DB39B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76AA3014">
            <w:pPr>
              <w:pageBreakBefore w:val="0"/>
              <w:wordWrap/>
              <w:bidi w:val="0"/>
              <w:adjustRightInd/>
              <w:snapToGrid/>
              <w:spacing w:line="240" w:lineRule="auto"/>
              <w:ind w:firstLine="0" w:firstLineChars="0"/>
              <w:jc w:val="center"/>
              <w:rPr>
                <w:color w:val="auto"/>
                <w:sz w:val="21"/>
                <w:szCs w:val="21"/>
              </w:rPr>
            </w:pPr>
          </w:p>
        </w:tc>
        <w:tc>
          <w:tcPr>
            <w:tcW w:w="870" w:type="dxa"/>
            <w:vMerge w:val="continue"/>
            <w:tcBorders>
              <w:tl2br w:val="nil"/>
              <w:tr2bl w:val="nil"/>
            </w:tcBorders>
            <w:noWrap w:val="0"/>
            <w:vAlign w:val="center"/>
          </w:tcPr>
          <w:p w14:paraId="2BB26AE0">
            <w:pPr>
              <w:pageBreakBefore w:val="0"/>
              <w:wordWrap/>
              <w:bidi w:val="0"/>
              <w:adjustRightInd/>
              <w:snapToGrid/>
              <w:spacing w:line="240" w:lineRule="auto"/>
              <w:ind w:firstLine="0" w:firstLineChars="0"/>
              <w:jc w:val="center"/>
              <w:rPr>
                <w:color w:val="auto"/>
                <w:sz w:val="21"/>
                <w:szCs w:val="21"/>
              </w:rPr>
            </w:pPr>
          </w:p>
        </w:tc>
        <w:tc>
          <w:tcPr>
            <w:tcW w:w="1125" w:type="dxa"/>
            <w:tcBorders>
              <w:tl2br w:val="nil"/>
              <w:tr2bl w:val="nil"/>
            </w:tcBorders>
            <w:noWrap w:val="0"/>
            <w:vAlign w:val="center"/>
          </w:tcPr>
          <w:p w14:paraId="5C5B4CED">
            <w:pPr>
              <w:pageBreakBefore w:val="0"/>
              <w:wordWrap/>
              <w:bidi w:val="0"/>
              <w:adjustRightInd/>
              <w:snapToGrid/>
              <w:spacing w:line="240" w:lineRule="auto"/>
              <w:ind w:firstLine="0" w:firstLineChars="0"/>
              <w:jc w:val="center"/>
              <w:rPr>
                <w:color w:val="auto"/>
                <w:sz w:val="21"/>
                <w:szCs w:val="21"/>
              </w:rPr>
            </w:pPr>
            <w:r>
              <w:rPr>
                <w:color w:val="auto"/>
                <w:sz w:val="21"/>
                <w:szCs w:val="21"/>
              </w:rPr>
              <w:t>排放量t/a</w:t>
            </w:r>
          </w:p>
        </w:tc>
        <w:tc>
          <w:tcPr>
            <w:tcW w:w="660" w:type="dxa"/>
            <w:vMerge w:val="continue"/>
            <w:tcBorders>
              <w:tl2br w:val="nil"/>
              <w:tr2bl w:val="nil"/>
            </w:tcBorders>
            <w:noWrap w:val="0"/>
            <w:vAlign w:val="center"/>
          </w:tcPr>
          <w:p w14:paraId="59192BEB">
            <w:pPr>
              <w:pageBreakBefore w:val="0"/>
              <w:wordWrap/>
              <w:bidi w:val="0"/>
              <w:adjustRightInd/>
              <w:snapToGrid/>
              <w:spacing w:line="240" w:lineRule="auto"/>
              <w:ind w:firstLine="0" w:firstLineChars="0"/>
              <w:jc w:val="center"/>
              <w:rPr>
                <w:color w:val="auto"/>
                <w:sz w:val="21"/>
                <w:szCs w:val="21"/>
              </w:rPr>
            </w:pPr>
          </w:p>
        </w:tc>
        <w:tc>
          <w:tcPr>
            <w:tcW w:w="750" w:type="dxa"/>
            <w:tcBorders>
              <w:tl2br w:val="nil"/>
              <w:tr2bl w:val="nil"/>
            </w:tcBorders>
            <w:noWrap w:val="0"/>
            <w:vAlign w:val="center"/>
          </w:tcPr>
          <w:p w14:paraId="579A7235">
            <w:pPr>
              <w:pStyle w:val="16"/>
              <w:bidi w:val="0"/>
              <w:rPr>
                <w:color w:val="auto"/>
              </w:rPr>
            </w:pPr>
            <w:r>
              <w:rPr>
                <w:rFonts w:hint="default"/>
                <w:color w:val="auto"/>
                <w:lang w:val="en-US" w:eastAsia="zh-CN"/>
              </w:rPr>
              <w:t>54.75</w:t>
            </w:r>
          </w:p>
        </w:tc>
        <w:tc>
          <w:tcPr>
            <w:tcW w:w="735" w:type="dxa"/>
            <w:tcBorders>
              <w:tl2br w:val="nil"/>
              <w:tr2bl w:val="nil"/>
            </w:tcBorders>
            <w:noWrap w:val="0"/>
            <w:vAlign w:val="center"/>
          </w:tcPr>
          <w:p w14:paraId="4E4AADDD">
            <w:pPr>
              <w:pStyle w:val="16"/>
              <w:bidi w:val="0"/>
              <w:rPr>
                <w:color w:val="auto"/>
              </w:rPr>
            </w:pPr>
            <w:r>
              <w:rPr>
                <w:rFonts w:hint="default"/>
                <w:color w:val="auto"/>
                <w:lang w:val="en-US" w:eastAsia="zh-CN"/>
              </w:rPr>
              <w:t>10.95</w:t>
            </w:r>
          </w:p>
        </w:tc>
        <w:tc>
          <w:tcPr>
            <w:tcW w:w="660" w:type="dxa"/>
            <w:tcBorders>
              <w:tl2br w:val="nil"/>
              <w:tr2bl w:val="nil"/>
            </w:tcBorders>
            <w:noWrap w:val="0"/>
            <w:vAlign w:val="center"/>
          </w:tcPr>
          <w:p w14:paraId="5666FC39">
            <w:pPr>
              <w:pStyle w:val="16"/>
              <w:bidi w:val="0"/>
              <w:rPr>
                <w:color w:val="auto"/>
              </w:rPr>
            </w:pPr>
            <w:r>
              <w:rPr>
                <w:rFonts w:hint="default"/>
                <w:color w:val="auto"/>
                <w:lang w:val="en-US" w:eastAsia="zh-CN"/>
              </w:rPr>
              <w:t>10.95</w:t>
            </w:r>
          </w:p>
        </w:tc>
        <w:tc>
          <w:tcPr>
            <w:tcW w:w="690" w:type="dxa"/>
            <w:tcBorders>
              <w:tl2br w:val="nil"/>
              <w:tr2bl w:val="nil"/>
            </w:tcBorders>
            <w:noWrap w:val="0"/>
            <w:vAlign w:val="center"/>
          </w:tcPr>
          <w:p w14:paraId="444A5303">
            <w:pPr>
              <w:pStyle w:val="16"/>
              <w:bidi w:val="0"/>
              <w:rPr>
                <w:color w:val="auto"/>
              </w:rPr>
            </w:pPr>
            <w:r>
              <w:rPr>
                <w:rFonts w:hint="default"/>
                <w:color w:val="auto"/>
                <w:lang w:val="en-US" w:eastAsia="zh-CN"/>
              </w:rPr>
              <w:t>5.475</w:t>
            </w:r>
          </w:p>
        </w:tc>
        <w:tc>
          <w:tcPr>
            <w:tcW w:w="660" w:type="dxa"/>
            <w:tcBorders>
              <w:tl2br w:val="nil"/>
              <w:tr2bl w:val="nil"/>
            </w:tcBorders>
            <w:noWrap w:val="0"/>
            <w:vAlign w:val="center"/>
          </w:tcPr>
          <w:p w14:paraId="7AB463C5">
            <w:pPr>
              <w:pStyle w:val="16"/>
              <w:bidi w:val="0"/>
              <w:rPr>
                <w:color w:val="auto"/>
              </w:rPr>
            </w:pPr>
            <w:r>
              <w:rPr>
                <w:rFonts w:hint="default"/>
                <w:color w:val="auto"/>
                <w:lang w:val="en-US" w:eastAsia="zh-CN"/>
              </w:rPr>
              <w:t>16.425</w:t>
            </w:r>
          </w:p>
        </w:tc>
        <w:tc>
          <w:tcPr>
            <w:tcW w:w="645" w:type="dxa"/>
            <w:tcBorders>
              <w:tl2br w:val="nil"/>
              <w:tr2bl w:val="nil"/>
            </w:tcBorders>
            <w:noWrap w:val="0"/>
            <w:vAlign w:val="center"/>
          </w:tcPr>
          <w:p w14:paraId="34A6E448">
            <w:pPr>
              <w:pStyle w:val="16"/>
              <w:bidi w:val="0"/>
              <w:rPr>
                <w:color w:val="auto"/>
              </w:rPr>
            </w:pPr>
            <w:r>
              <w:rPr>
                <w:rFonts w:hint="default"/>
                <w:color w:val="auto"/>
                <w:lang w:val="en-US" w:eastAsia="zh-CN"/>
              </w:rPr>
              <w:t>0.5475</w:t>
            </w:r>
          </w:p>
        </w:tc>
        <w:tc>
          <w:tcPr>
            <w:tcW w:w="705" w:type="dxa"/>
            <w:tcBorders>
              <w:tl2br w:val="nil"/>
              <w:tr2bl w:val="nil"/>
            </w:tcBorders>
            <w:noWrap w:val="0"/>
            <w:vAlign w:val="center"/>
          </w:tcPr>
          <w:p w14:paraId="5DD3A2F3">
            <w:pPr>
              <w:pStyle w:val="16"/>
              <w:bidi w:val="0"/>
              <w:rPr>
                <w:rFonts w:hint="default"/>
                <w:color w:val="auto"/>
                <w:lang w:val="en-US" w:eastAsia="zh-CN"/>
              </w:rPr>
            </w:pPr>
            <w:r>
              <w:rPr>
                <w:rFonts w:hint="eastAsia"/>
                <w:color w:val="auto"/>
                <w:lang w:val="en-US" w:eastAsia="zh-CN"/>
              </w:rPr>
              <w:t>1.095</w:t>
            </w:r>
          </w:p>
        </w:tc>
        <w:tc>
          <w:tcPr>
            <w:tcW w:w="501" w:type="dxa"/>
            <w:tcBorders>
              <w:tl2br w:val="nil"/>
              <w:tr2bl w:val="nil"/>
            </w:tcBorders>
            <w:noWrap w:val="0"/>
            <w:vAlign w:val="center"/>
          </w:tcPr>
          <w:p w14:paraId="7F6FCB0B">
            <w:pPr>
              <w:pStyle w:val="16"/>
              <w:bidi w:val="0"/>
              <w:rPr>
                <w:rFonts w:hint="default"/>
                <w:color w:val="auto"/>
                <w:lang w:val="en-US" w:eastAsia="zh-CN"/>
              </w:rPr>
            </w:pPr>
            <w:r>
              <w:rPr>
                <w:rFonts w:hint="eastAsia"/>
                <w:color w:val="auto"/>
                <w:lang w:val="en-US" w:eastAsia="zh-CN"/>
              </w:rPr>
              <w:t>1.095</w:t>
            </w:r>
          </w:p>
        </w:tc>
      </w:tr>
      <w:tr w14:paraId="1A01BE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155CE9DD">
            <w:pPr>
              <w:pageBreakBefore w:val="0"/>
              <w:wordWrap/>
              <w:bidi w:val="0"/>
              <w:adjustRightInd/>
              <w:snapToGrid/>
              <w:spacing w:line="240" w:lineRule="auto"/>
              <w:ind w:firstLine="0" w:firstLineChars="0"/>
              <w:jc w:val="center"/>
              <w:rPr>
                <w:color w:val="auto"/>
                <w:sz w:val="21"/>
                <w:szCs w:val="21"/>
              </w:rPr>
            </w:pPr>
          </w:p>
        </w:tc>
        <w:tc>
          <w:tcPr>
            <w:tcW w:w="870" w:type="dxa"/>
            <w:vMerge w:val="restart"/>
            <w:tcBorders>
              <w:tl2br w:val="nil"/>
              <w:tr2bl w:val="nil"/>
            </w:tcBorders>
            <w:noWrap w:val="0"/>
            <w:vAlign w:val="center"/>
          </w:tcPr>
          <w:p w14:paraId="4D094307">
            <w:pPr>
              <w:pageBreakBefore w:val="0"/>
              <w:wordWrap/>
              <w:bidi w:val="0"/>
              <w:adjustRightInd/>
              <w:snapToGrid/>
              <w:spacing w:line="240" w:lineRule="auto"/>
              <w:ind w:firstLine="0" w:firstLineChars="0"/>
              <w:jc w:val="center"/>
              <w:rPr>
                <w:color w:val="auto"/>
                <w:sz w:val="21"/>
                <w:szCs w:val="21"/>
              </w:rPr>
            </w:pPr>
            <w:r>
              <w:rPr>
                <w:color w:val="auto"/>
                <w:sz w:val="21"/>
                <w:szCs w:val="21"/>
              </w:rPr>
              <w:t>削减量</w:t>
            </w:r>
          </w:p>
          <w:p w14:paraId="21A23AFB">
            <w:pPr>
              <w:pageBreakBefore w:val="0"/>
              <w:wordWrap/>
              <w:bidi w:val="0"/>
              <w:adjustRightInd/>
              <w:snapToGrid/>
              <w:spacing w:line="240" w:lineRule="auto"/>
              <w:ind w:firstLine="0" w:firstLineChars="0"/>
              <w:jc w:val="center"/>
              <w:rPr>
                <w:color w:val="auto"/>
                <w:sz w:val="21"/>
                <w:szCs w:val="21"/>
              </w:rPr>
            </w:pPr>
          </w:p>
        </w:tc>
        <w:tc>
          <w:tcPr>
            <w:tcW w:w="1125" w:type="dxa"/>
            <w:tcBorders>
              <w:tl2br w:val="nil"/>
              <w:tr2bl w:val="nil"/>
            </w:tcBorders>
            <w:noWrap w:val="0"/>
            <w:vAlign w:val="center"/>
          </w:tcPr>
          <w:p w14:paraId="395BCFF9">
            <w:pPr>
              <w:pageBreakBefore w:val="0"/>
              <w:wordWrap/>
              <w:bidi w:val="0"/>
              <w:adjustRightInd/>
              <w:snapToGrid/>
              <w:spacing w:line="240" w:lineRule="auto"/>
              <w:ind w:firstLine="0" w:firstLineChars="0"/>
              <w:jc w:val="center"/>
              <w:rPr>
                <w:color w:val="auto"/>
                <w:sz w:val="21"/>
                <w:szCs w:val="21"/>
              </w:rPr>
            </w:pPr>
            <w:r>
              <w:rPr>
                <w:color w:val="auto"/>
                <w:sz w:val="21"/>
                <w:szCs w:val="21"/>
              </w:rPr>
              <w:t>日削减t/d</w:t>
            </w:r>
          </w:p>
        </w:tc>
        <w:tc>
          <w:tcPr>
            <w:tcW w:w="660" w:type="dxa"/>
            <w:vMerge w:val="restart"/>
            <w:tcBorders>
              <w:tl2br w:val="nil"/>
              <w:tr2bl w:val="nil"/>
            </w:tcBorders>
            <w:noWrap w:val="0"/>
            <w:vAlign w:val="center"/>
          </w:tcPr>
          <w:p w14:paraId="20488684">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750" w:type="dxa"/>
            <w:tcBorders>
              <w:tl2br w:val="nil"/>
              <w:tr2bl w:val="nil"/>
            </w:tcBorders>
            <w:noWrap w:val="0"/>
            <w:vAlign w:val="center"/>
          </w:tcPr>
          <w:p w14:paraId="700BC555">
            <w:pPr>
              <w:pStyle w:val="16"/>
              <w:bidi w:val="0"/>
              <w:rPr>
                <w:color w:val="auto"/>
              </w:rPr>
            </w:pPr>
            <w:r>
              <w:rPr>
                <w:rFonts w:hint="default"/>
                <w:color w:val="auto"/>
                <w:lang w:val="en-US" w:eastAsia="zh-CN"/>
              </w:rPr>
              <w:t>0.9</w:t>
            </w:r>
          </w:p>
        </w:tc>
        <w:tc>
          <w:tcPr>
            <w:tcW w:w="735" w:type="dxa"/>
            <w:tcBorders>
              <w:tl2br w:val="nil"/>
              <w:tr2bl w:val="nil"/>
            </w:tcBorders>
            <w:noWrap w:val="0"/>
            <w:vAlign w:val="center"/>
          </w:tcPr>
          <w:p w14:paraId="3A8C0742">
            <w:pPr>
              <w:pStyle w:val="16"/>
              <w:bidi w:val="0"/>
              <w:rPr>
                <w:color w:val="auto"/>
              </w:rPr>
            </w:pPr>
            <w:r>
              <w:rPr>
                <w:rFonts w:hint="default"/>
                <w:color w:val="auto"/>
                <w:lang w:val="en-US" w:eastAsia="zh-CN"/>
              </w:rPr>
              <w:t>0.42</w:t>
            </w:r>
          </w:p>
        </w:tc>
        <w:tc>
          <w:tcPr>
            <w:tcW w:w="660" w:type="dxa"/>
            <w:tcBorders>
              <w:tl2br w:val="nil"/>
              <w:tr2bl w:val="nil"/>
            </w:tcBorders>
            <w:noWrap w:val="0"/>
            <w:vAlign w:val="center"/>
          </w:tcPr>
          <w:p w14:paraId="78BF1243">
            <w:pPr>
              <w:pStyle w:val="16"/>
              <w:bidi w:val="0"/>
              <w:rPr>
                <w:color w:val="auto"/>
              </w:rPr>
            </w:pPr>
            <w:r>
              <w:rPr>
                <w:rFonts w:hint="default"/>
                <w:color w:val="auto"/>
                <w:lang w:val="en-US" w:eastAsia="zh-CN"/>
              </w:rPr>
              <w:t>1.17</w:t>
            </w:r>
          </w:p>
        </w:tc>
        <w:tc>
          <w:tcPr>
            <w:tcW w:w="690" w:type="dxa"/>
            <w:tcBorders>
              <w:tl2br w:val="nil"/>
              <w:tr2bl w:val="nil"/>
            </w:tcBorders>
            <w:noWrap w:val="0"/>
            <w:vAlign w:val="center"/>
          </w:tcPr>
          <w:p w14:paraId="48EB4C62">
            <w:pPr>
              <w:pStyle w:val="16"/>
              <w:bidi w:val="0"/>
              <w:rPr>
                <w:color w:val="auto"/>
              </w:rPr>
            </w:pPr>
            <w:r>
              <w:rPr>
                <w:rFonts w:hint="default"/>
                <w:color w:val="auto"/>
                <w:lang w:val="en-US" w:eastAsia="zh-CN"/>
              </w:rPr>
              <w:t>0.135</w:t>
            </w:r>
          </w:p>
        </w:tc>
        <w:tc>
          <w:tcPr>
            <w:tcW w:w="660" w:type="dxa"/>
            <w:tcBorders>
              <w:tl2br w:val="nil"/>
              <w:tr2bl w:val="nil"/>
            </w:tcBorders>
            <w:noWrap w:val="0"/>
            <w:vAlign w:val="center"/>
          </w:tcPr>
          <w:p w14:paraId="345849B7">
            <w:pPr>
              <w:pStyle w:val="16"/>
              <w:bidi w:val="0"/>
              <w:rPr>
                <w:color w:val="auto"/>
              </w:rPr>
            </w:pPr>
            <w:r>
              <w:rPr>
                <w:rFonts w:hint="default"/>
                <w:color w:val="auto"/>
                <w:lang w:val="en-US" w:eastAsia="zh-CN"/>
              </w:rPr>
              <w:t>0.195</w:t>
            </w:r>
          </w:p>
        </w:tc>
        <w:tc>
          <w:tcPr>
            <w:tcW w:w="645" w:type="dxa"/>
            <w:tcBorders>
              <w:tl2br w:val="nil"/>
              <w:tr2bl w:val="nil"/>
            </w:tcBorders>
            <w:noWrap w:val="0"/>
            <w:vAlign w:val="center"/>
          </w:tcPr>
          <w:p w14:paraId="06D1C927">
            <w:pPr>
              <w:pStyle w:val="16"/>
              <w:bidi w:val="0"/>
              <w:rPr>
                <w:color w:val="auto"/>
              </w:rPr>
            </w:pPr>
            <w:r>
              <w:rPr>
                <w:rFonts w:hint="default"/>
                <w:color w:val="auto"/>
                <w:lang w:val="en-US" w:eastAsia="zh-CN"/>
              </w:rPr>
              <w:t>0.0105</w:t>
            </w:r>
          </w:p>
        </w:tc>
        <w:tc>
          <w:tcPr>
            <w:tcW w:w="705" w:type="dxa"/>
            <w:tcBorders>
              <w:tl2br w:val="nil"/>
              <w:tr2bl w:val="nil"/>
            </w:tcBorders>
            <w:noWrap w:val="0"/>
            <w:vAlign w:val="center"/>
          </w:tcPr>
          <w:p w14:paraId="49F154EE">
            <w:pPr>
              <w:pStyle w:val="16"/>
              <w:bidi w:val="0"/>
              <w:rPr>
                <w:rFonts w:hint="default"/>
                <w:color w:val="auto"/>
                <w:lang w:val="en-US" w:eastAsia="zh-CN"/>
              </w:rPr>
            </w:pPr>
            <w:r>
              <w:rPr>
                <w:rFonts w:hint="eastAsia"/>
                <w:color w:val="auto"/>
                <w:lang w:val="en-US" w:eastAsia="zh-CN"/>
              </w:rPr>
              <w:t>0</w:t>
            </w:r>
          </w:p>
        </w:tc>
        <w:tc>
          <w:tcPr>
            <w:tcW w:w="501" w:type="dxa"/>
            <w:tcBorders>
              <w:tl2br w:val="nil"/>
              <w:tr2bl w:val="nil"/>
            </w:tcBorders>
            <w:noWrap w:val="0"/>
            <w:vAlign w:val="center"/>
          </w:tcPr>
          <w:p w14:paraId="1A16BFF3">
            <w:pPr>
              <w:pStyle w:val="16"/>
              <w:bidi w:val="0"/>
              <w:rPr>
                <w:rFonts w:hint="default"/>
                <w:color w:val="auto"/>
                <w:lang w:val="en-US" w:eastAsia="zh-CN"/>
              </w:rPr>
            </w:pPr>
            <w:r>
              <w:rPr>
                <w:rFonts w:hint="eastAsia"/>
                <w:color w:val="auto"/>
                <w:lang w:val="en-US" w:eastAsia="zh-CN"/>
              </w:rPr>
              <w:t>0</w:t>
            </w:r>
          </w:p>
        </w:tc>
      </w:tr>
      <w:tr w14:paraId="3C13C5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4B6C07E3">
            <w:pPr>
              <w:pageBreakBefore w:val="0"/>
              <w:wordWrap/>
              <w:bidi w:val="0"/>
              <w:adjustRightInd/>
              <w:snapToGrid/>
              <w:spacing w:line="240" w:lineRule="auto"/>
              <w:ind w:firstLine="0" w:firstLineChars="0"/>
              <w:jc w:val="center"/>
              <w:rPr>
                <w:color w:val="auto"/>
                <w:sz w:val="21"/>
                <w:szCs w:val="21"/>
              </w:rPr>
            </w:pPr>
          </w:p>
        </w:tc>
        <w:tc>
          <w:tcPr>
            <w:tcW w:w="870" w:type="dxa"/>
            <w:vMerge w:val="continue"/>
            <w:tcBorders>
              <w:tl2br w:val="nil"/>
              <w:tr2bl w:val="nil"/>
            </w:tcBorders>
            <w:noWrap w:val="0"/>
            <w:vAlign w:val="center"/>
          </w:tcPr>
          <w:p w14:paraId="775E80A1">
            <w:pPr>
              <w:pageBreakBefore w:val="0"/>
              <w:wordWrap/>
              <w:bidi w:val="0"/>
              <w:adjustRightInd/>
              <w:snapToGrid/>
              <w:spacing w:line="240" w:lineRule="auto"/>
              <w:ind w:firstLine="0" w:firstLineChars="0"/>
              <w:jc w:val="center"/>
              <w:rPr>
                <w:color w:val="auto"/>
                <w:sz w:val="21"/>
                <w:szCs w:val="21"/>
              </w:rPr>
            </w:pPr>
          </w:p>
        </w:tc>
        <w:tc>
          <w:tcPr>
            <w:tcW w:w="1125" w:type="dxa"/>
            <w:tcBorders>
              <w:tl2br w:val="nil"/>
              <w:tr2bl w:val="nil"/>
            </w:tcBorders>
            <w:noWrap w:val="0"/>
            <w:vAlign w:val="center"/>
          </w:tcPr>
          <w:p w14:paraId="4982730B">
            <w:pPr>
              <w:pageBreakBefore w:val="0"/>
              <w:wordWrap/>
              <w:bidi w:val="0"/>
              <w:adjustRightInd/>
              <w:snapToGrid/>
              <w:spacing w:line="240" w:lineRule="auto"/>
              <w:ind w:firstLine="0" w:firstLineChars="0"/>
              <w:jc w:val="center"/>
              <w:rPr>
                <w:color w:val="auto"/>
                <w:sz w:val="21"/>
                <w:szCs w:val="21"/>
              </w:rPr>
            </w:pPr>
            <w:r>
              <w:rPr>
                <w:color w:val="auto"/>
                <w:sz w:val="21"/>
                <w:szCs w:val="21"/>
              </w:rPr>
              <w:t>年削减t/a</w:t>
            </w:r>
          </w:p>
        </w:tc>
        <w:tc>
          <w:tcPr>
            <w:tcW w:w="660" w:type="dxa"/>
            <w:vMerge w:val="continue"/>
            <w:tcBorders>
              <w:tl2br w:val="nil"/>
              <w:tr2bl w:val="nil"/>
            </w:tcBorders>
            <w:noWrap w:val="0"/>
            <w:vAlign w:val="center"/>
          </w:tcPr>
          <w:p w14:paraId="3AF33C80">
            <w:pPr>
              <w:pageBreakBefore w:val="0"/>
              <w:wordWrap/>
              <w:bidi w:val="0"/>
              <w:adjustRightInd/>
              <w:snapToGrid/>
              <w:spacing w:line="240" w:lineRule="auto"/>
              <w:ind w:firstLine="0" w:firstLineChars="0"/>
              <w:jc w:val="center"/>
              <w:rPr>
                <w:color w:val="auto"/>
                <w:sz w:val="21"/>
                <w:szCs w:val="21"/>
              </w:rPr>
            </w:pPr>
          </w:p>
        </w:tc>
        <w:tc>
          <w:tcPr>
            <w:tcW w:w="750" w:type="dxa"/>
            <w:tcBorders>
              <w:tl2br w:val="nil"/>
              <w:tr2bl w:val="nil"/>
            </w:tcBorders>
            <w:noWrap w:val="0"/>
            <w:vAlign w:val="center"/>
          </w:tcPr>
          <w:p w14:paraId="2A44AB94">
            <w:pPr>
              <w:pStyle w:val="16"/>
              <w:bidi w:val="0"/>
              <w:rPr>
                <w:color w:val="auto"/>
              </w:rPr>
            </w:pPr>
            <w:r>
              <w:rPr>
                <w:rFonts w:hint="default"/>
                <w:color w:val="auto"/>
                <w:lang w:val="en-US" w:eastAsia="zh-CN"/>
              </w:rPr>
              <w:t>328.5</w:t>
            </w:r>
          </w:p>
        </w:tc>
        <w:tc>
          <w:tcPr>
            <w:tcW w:w="735" w:type="dxa"/>
            <w:tcBorders>
              <w:tl2br w:val="nil"/>
              <w:tr2bl w:val="nil"/>
            </w:tcBorders>
            <w:noWrap w:val="0"/>
            <w:vAlign w:val="center"/>
          </w:tcPr>
          <w:p w14:paraId="6D3ABB21">
            <w:pPr>
              <w:pStyle w:val="16"/>
              <w:bidi w:val="0"/>
              <w:rPr>
                <w:color w:val="auto"/>
              </w:rPr>
            </w:pPr>
            <w:r>
              <w:rPr>
                <w:rFonts w:hint="default"/>
                <w:color w:val="auto"/>
                <w:lang w:val="en-US" w:eastAsia="zh-CN"/>
              </w:rPr>
              <w:t>153.3</w:t>
            </w:r>
          </w:p>
        </w:tc>
        <w:tc>
          <w:tcPr>
            <w:tcW w:w="660" w:type="dxa"/>
            <w:tcBorders>
              <w:tl2br w:val="nil"/>
              <w:tr2bl w:val="nil"/>
            </w:tcBorders>
            <w:noWrap w:val="0"/>
            <w:vAlign w:val="center"/>
          </w:tcPr>
          <w:p w14:paraId="719F031F">
            <w:pPr>
              <w:pStyle w:val="16"/>
              <w:bidi w:val="0"/>
              <w:rPr>
                <w:color w:val="auto"/>
              </w:rPr>
            </w:pPr>
            <w:r>
              <w:rPr>
                <w:rFonts w:hint="default"/>
                <w:color w:val="auto"/>
                <w:lang w:val="en-US" w:eastAsia="zh-CN"/>
              </w:rPr>
              <w:t>427.05</w:t>
            </w:r>
          </w:p>
        </w:tc>
        <w:tc>
          <w:tcPr>
            <w:tcW w:w="690" w:type="dxa"/>
            <w:tcBorders>
              <w:tl2br w:val="nil"/>
              <w:tr2bl w:val="nil"/>
            </w:tcBorders>
            <w:noWrap w:val="0"/>
            <w:vAlign w:val="center"/>
          </w:tcPr>
          <w:p w14:paraId="515E2730">
            <w:pPr>
              <w:pStyle w:val="16"/>
              <w:bidi w:val="0"/>
              <w:rPr>
                <w:color w:val="auto"/>
              </w:rPr>
            </w:pPr>
            <w:r>
              <w:rPr>
                <w:rFonts w:hint="default"/>
                <w:color w:val="auto"/>
                <w:lang w:val="en-US" w:eastAsia="zh-CN"/>
              </w:rPr>
              <w:t>49.275</w:t>
            </w:r>
          </w:p>
        </w:tc>
        <w:tc>
          <w:tcPr>
            <w:tcW w:w="660" w:type="dxa"/>
            <w:tcBorders>
              <w:tl2br w:val="nil"/>
              <w:tr2bl w:val="nil"/>
            </w:tcBorders>
            <w:noWrap w:val="0"/>
            <w:vAlign w:val="center"/>
          </w:tcPr>
          <w:p w14:paraId="3D05EF57">
            <w:pPr>
              <w:pStyle w:val="16"/>
              <w:bidi w:val="0"/>
              <w:rPr>
                <w:color w:val="auto"/>
              </w:rPr>
            </w:pPr>
            <w:r>
              <w:rPr>
                <w:rFonts w:hint="default"/>
                <w:color w:val="auto"/>
                <w:lang w:val="en-US" w:eastAsia="zh-CN"/>
              </w:rPr>
              <w:t>71.175</w:t>
            </w:r>
          </w:p>
        </w:tc>
        <w:tc>
          <w:tcPr>
            <w:tcW w:w="645" w:type="dxa"/>
            <w:tcBorders>
              <w:tl2br w:val="nil"/>
              <w:tr2bl w:val="nil"/>
            </w:tcBorders>
            <w:noWrap w:val="0"/>
            <w:vAlign w:val="center"/>
          </w:tcPr>
          <w:p w14:paraId="5AB8DBBE">
            <w:pPr>
              <w:pStyle w:val="16"/>
              <w:bidi w:val="0"/>
              <w:rPr>
                <w:color w:val="auto"/>
              </w:rPr>
            </w:pPr>
            <w:r>
              <w:rPr>
                <w:rFonts w:hint="default"/>
                <w:color w:val="auto"/>
                <w:lang w:val="en-US" w:eastAsia="zh-CN"/>
              </w:rPr>
              <w:t>3.8325</w:t>
            </w:r>
          </w:p>
        </w:tc>
        <w:tc>
          <w:tcPr>
            <w:tcW w:w="705" w:type="dxa"/>
            <w:tcBorders>
              <w:tl2br w:val="nil"/>
              <w:tr2bl w:val="nil"/>
            </w:tcBorders>
            <w:noWrap w:val="0"/>
            <w:vAlign w:val="center"/>
          </w:tcPr>
          <w:p w14:paraId="5CC73D20">
            <w:pPr>
              <w:pStyle w:val="16"/>
              <w:bidi w:val="0"/>
              <w:rPr>
                <w:rFonts w:hint="default"/>
                <w:color w:val="auto"/>
                <w:lang w:val="en-US" w:eastAsia="zh-CN"/>
              </w:rPr>
            </w:pPr>
            <w:r>
              <w:rPr>
                <w:rFonts w:hint="eastAsia"/>
                <w:color w:val="auto"/>
                <w:lang w:val="en-US" w:eastAsia="zh-CN"/>
              </w:rPr>
              <w:t>0</w:t>
            </w:r>
          </w:p>
        </w:tc>
        <w:tc>
          <w:tcPr>
            <w:tcW w:w="501" w:type="dxa"/>
            <w:tcBorders>
              <w:tl2br w:val="nil"/>
              <w:tr2bl w:val="nil"/>
            </w:tcBorders>
            <w:noWrap w:val="0"/>
            <w:vAlign w:val="center"/>
          </w:tcPr>
          <w:p w14:paraId="299ACFF9">
            <w:pPr>
              <w:pStyle w:val="16"/>
              <w:bidi w:val="0"/>
              <w:rPr>
                <w:rFonts w:hint="default"/>
                <w:color w:val="auto"/>
                <w:lang w:val="en-US" w:eastAsia="zh-CN"/>
              </w:rPr>
            </w:pPr>
            <w:r>
              <w:rPr>
                <w:rFonts w:hint="eastAsia"/>
                <w:color w:val="auto"/>
                <w:lang w:val="en-US" w:eastAsia="zh-CN"/>
              </w:rPr>
              <w:t>0</w:t>
            </w:r>
          </w:p>
        </w:tc>
      </w:tr>
      <w:tr w14:paraId="7AE013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0AA20A6E">
            <w:pPr>
              <w:pageBreakBefore w:val="0"/>
              <w:wordWrap/>
              <w:bidi w:val="0"/>
              <w:adjustRightInd/>
              <w:snapToGrid/>
              <w:spacing w:line="240" w:lineRule="auto"/>
              <w:ind w:firstLine="0" w:firstLineChars="0"/>
              <w:jc w:val="center"/>
              <w:rPr>
                <w:color w:val="auto"/>
                <w:sz w:val="21"/>
                <w:szCs w:val="21"/>
              </w:rPr>
            </w:pPr>
          </w:p>
        </w:tc>
        <w:tc>
          <w:tcPr>
            <w:tcW w:w="1995" w:type="dxa"/>
            <w:gridSpan w:val="2"/>
            <w:tcBorders>
              <w:tl2br w:val="nil"/>
              <w:tr2bl w:val="nil"/>
            </w:tcBorders>
            <w:noWrap w:val="0"/>
            <w:vAlign w:val="center"/>
          </w:tcPr>
          <w:p w14:paraId="7AF43507">
            <w:pPr>
              <w:pageBreakBefore w:val="0"/>
              <w:wordWrap/>
              <w:bidi w:val="0"/>
              <w:adjustRightInd/>
              <w:snapToGrid/>
              <w:spacing w:line="240" w:lineRule="auto"/>
              <w:ind w:firstLine="0" w:firstLineChars="0"/>
              <w:jc w:val="center"/>
              <w:rPr>
                <w:color w:val="auto"/>
                <w:sz w:val="21"/>
                <w:szCs w:val="21"/>
              </w:rPr>
            </w:pPr>
            <w:r>
              <w:rPr>
                <w:color w:val="auto"/>
                <w:sz w:val="21"/>
                <w:szCs w:val="21"/>
              </w:rPr>
              <w:t>削减率%</w:t>
            </w:r>
          </w:p>
        </w:tc>
        <w:tc>
          <w:tcPr>
            <w:tcW w:w="660" w:type="dxa"/>
            <w:tcBorders>
              <w:tl2br w:val="nil"/>
              <w:tr2bl w:val="nil"/>
            </w:tcBorders>
            <w:noWrap w:val="0"/>
            <w:vAlign w:val="center"/>
          </w:tcPr>
          <w:p w14:paraId="1CB25129">
            <w:pPr>
              <w:pageBreakBefore w:val="0"/>
              <w:wordWrap/>
              <w:bidi w:val="0"/>
              <w:adjustRightInd/>
              <w:snapToGrid/>
              <w:spacing w:line="240" w:lineRule="auto"/>
              <w:ind w:firstLine="0" w:firstLineChars="0"/>
              <w:jc w:val="center"/>
              <w:rPr>
                <w:color w:val="auto"/>
                <w:sz w:val="21"/>
                <w:szCs w:val="21"/>
              </w:rPr>
            </w:pPr>
            <w:r>
              <w:rPr>
                <w:color w:val="auto"/>
                <w:sz w:val="21"/>
                <w:szCs w:val="21"/>
              </w:rPr>
              <w:t>/</w:t>
            </w:r>
          </w:p>
        </w:tc>
        <w:tc>
          <w:tcPr>
            <w:tcW w:w="750" w:type="dxa"/>
            <w:tcBorders>
              <w:tl2br w:val="nil"/>
              <w:tr2bl w:val="nil"/>
            </w:tcBorders>
            <w:noWrap w:val="0"/>
            <w:vAlign w:val="center"/>
          </w:tcPr>
          <w:p w14:paraId="3B618709">
            <w:pPr>
              <w:pStyle w:val="16"/>
              <w:bidi w:val="0"/>
              <w:rPr>
                <w:color w:val="auto"/>
              </w:rPr>
            </w:pPr>
            <w:r>
              <w:rPr>
                <w:rFonts w:hint="default"/>
                <w:color w:val="auto"/>
                <w:lang w:val="en-US" w:eastAsia="zh-CN"/>
              </w:rPr>
              <w:t>85.7</w:t>
            </w:r>
          </w:p>
        </w:tc>
        <w:tc>
          <w:tcPr>
            <w:tcW w:w="735" w:type="dxa"/>
            <w:tcBorders>
              <w:tl2br w:val="nil"/>
              <w:tr2bl w:val="nil"/>
            </w:tcBorders>
            <w:noWrap w:val="0"/>
            <w:vAlign w:val="center"/>
          </w:tcPr>
          <w:p w14:paraId="79DBF4D4">
            <w:pPr>
              <w:pStyle w:val="16"/>
              <w:bidi w:val="0"/>
              <w:rPr>
                <w:color w:val="auto"/>
              </w:rPr>
            </w:pPr>
            <w:r>
              <w:rPr>
                <w:rFonts w:hint="default"/>
                <w:color w:val="auto"/>
                <w:lang w:val="en-US" w:eastAsia="zh-CN"/>
              </w:rPr>
              <w:t>93.3</w:t>
            </w:r>
          </w:p>
        </w:tc>
        <w:tc>
          <w:tcPr>
            <w:tcW w:w="660" w:type="dxa"/>
            <w:tcBorders>
              <w:tl2br w:val="nil"/>
              <w:tr2bl w:val="nil"/>
            </w:tcBorders>
            <w:noWrap w:val="0"/>
            <w:vAlign w:val="center"/>
          </w:tcPr>
          <w:p w14:paraId="0E6BFA34">
            <w:pPr>
              <w:pStyle w:val="16"/>
              <w:bidi w:val="0"/>
              <w:rPr>
                <w:color w:val="auto"/>
              </w:rPr>
            </w:pPr>
            <w:r>
              <w:rPr>
                <w:rFonts w:hint="default"/>
                <w:color w:val="auto"/>
                <w:lang w:val="en-US" w:eastAsia="zh-CN"/>
              </w:rPr>
              <w:t>97.5</w:t>
            </w:r>
          </w:p>
        </w:tc>
        <w:tc>
          <w:tcPr>
            <w:tcW w:w="690" w:type="dxa"/>
            <w:tcBorders>
              <w:tl2br w:val="nil"/>
              <w:tr2bl w:val="nil"/>
            </w:tcBorders>
            <w:noWrap w:val="0"/>
            <w:vAlign w:val="center"/>
          </w:tcPr>
          <w:p w14:paraId="4F44FC8A">
            <w:pPr>
              <w:pStyle w:val="16"/>
              <w:bidi w:val="0"/>
              <w:rPr>
                <w:color w:val="auto"/>
              </w:rPr>
            </w:pPr>
            <w:r>
              <w:rPr>
                <w:rFonts w:hint="default"/>
                <w:color w:val="auto"/>
                <w:lang w:val="en-US" w:eastAsia="zh-CN"/>
              </w:rPr>
              <w:t>90</w:t>
            </w:r>
          </w:p>
        </w:tc>
        <w:tc>
          <w:tcPr>
            <w:tcW w:w="660" w:type="dxa"/>
            <w:tcBorders>
              <w:tl2br w:val="nil"/>
              <w:tr2bl w:val="nil"/>
            </w:tcBorders>
            <w:noWrap w:val="0"/>
            <w:vAlign w:val="center"/>
          </w:tcPr>
          <w:p w14:paraId="73BAFB2F">
            <w:pPr>
              <w:pStyle w:val="16"/>
              <w:bidi w:val="0"/>
              <w:rPr>
                <w:color w:val="auto"/>
              </w:rPr>
            </w:pPr>
            <w:r>
              <w:rPr>
                <w:rFonts w:hint="default"/>
                <w:color w:val="auto"/>
                <w:lang w:val="en-US" w:eastAsia="zh-CN"/>
              </w:rPr>
              <w:t>81.25</w:t>
            </w:r>
          </w:p>
        </w:tc>
        <w:tc>
          <w:tcPr>
            <w:tcW w:w="645" w:type="dxa"/>
            <w:tcBorders>
              <w:tl2br w:val="nil"/>
              <w:tr2bl w:val="nil"/>
            </w:tcBorders>
            <w:noWrap w:val="0"/>
            <w:vAlign w:val="center"/>
          </w:tcPr>
          <w:p w14:paraId="015334A6">
            <w:pPr>
              <w:pStyle w:val="16"/>
              <w:bidi w:val="0"/>
              <w:rPr>
                <w:color w:val="auto"/>
              </w:rPr>
            </w:pPr>
            <w:r>
              <w:rPr>
                <w:rFonts w:hint="default"/>
                <w:color w:val="auto"/>
                <w:lang w:val="en-US" w:eastAsia="zh-CN"/>
              </w:rPr>
              <w:t>87.5</w:t>
            </w:r>
          </w:p>
        </w:tc>
        <w:tc>
          <w:tcPr>
            <w:tcW w:w="705" w:type="dxa"/>
            <w:tcBorders>
              <w:tl2br w:val="nil"/>
              <w:tr2bl w:val="nil"/>
            </w:tcBorders>
            <w:noWrap w:val="0"/>
            <w:vAlign w:val="center"/>
          </w:tcPr>
          <w:p w14:paraId="2FC6A3FC">
            <w:pPr>
              <w:pStyle w:val="16"/>
              <w:bidi w:val="0"/>
              <w:rPr>
                <w:rFonts w:hint="default"/>
                <w:color w:val="auto"/>
                <w:lang w:val="en-US" w:eastAsia="zh-CN"/>
              </w:rPr>
            </w:pPr>
            <w:r>
              <w:rPr>
                <w:rFonts w:hint="eastAsia"/>
                <w:color w:val="auto"/>
                <w:lang w:val="en-US" w:eastAsia="zh-CN"/>
              </w:rPr>
              <w:t>0</w:t>
            </w:r>
          </w:p>
        </w:tc>
        <w:tc>
          <w:tcPr>
            <w:tcW w:w="501" w:type="dxa"/>
            <w:tcBorders>
              <w:tl2br w:val="nil"/>
              <w:tr2bl w:val="nil"/>
            </w:tcBorders>
            <w:noWrap w:val="0"/>
            <w:vAlign w:val="center"/>
          </w:tcPr>
          <w:p w14:paraId="6806BC5F">
            <w:pPr>
              <w:pStyle w:val="16"/>
              <w:bidi w:val="0"/>
              <w:rPr>
                <w:rFonts w:hint="default"/>
                <w:color w:val="auto"/>
                <w:lang w:val="en-US" w:eastAsia="zh-CN"/>
              </w:rPr>
            </w:pPr>
            <w:r>
              <w:rPr>
                <w:rFonts w:hint="eastAsia"/>
                <w:color w:val="auto"/>
                <w:lang w:val="en-US" w:eastAsia="zh-CN"/>
              </w:rPr>
              <w:t>0</w:t>
            </w:r>
          </w:p>
        </w:tc>
      </w:tr>
      <w:tr w14:paraId="5961FE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5" w:type="dxa"/>
            <w:vMerge w:val="continue"/>
            <w:tcBorders>
              <w:tl2br w:val="nil"/>
              <w:tr2bl w:val="nil"/>
            </w:tcBorders>
            <w:noWrap w:val="0"/>
            <w:vAlign w:val="center"/>
          </w:tcPr>
          <w:p w14:paraId="4466D8FD">
            <w:pPr>
              <w:pageBreakBefore w:val="0"/>
              <w:wordWrap/>
              <w:bidi w:val="0"/>
              <w:adjustRightInd/>
              <w:snapToGrid/>
              <w:spacing w:line="240" w:lineRule="auto"/>
              <w:ind w:firstLine="0" w:firstLineChars="0"/>
              <w:jc w:val="center"/>
              <w:rPr>
                <w:color w:val="auto"/>
                <w:sz w:val="21"/>
                <w:szCs w:val="21"/>
              </w:rPr>
            </w:pPr>
          </w:p>
        </w:tc>
        <w:tc>
          <w:tcPr>
            <w:tcW w:w="2655" w:type="dxa"/>
            <w:gridSpan w:val="3"/>
            <w:tcBorders>
              <w:tl2br w:val="nil"/>
              <w:tr2bl w:val="nil"/>
            </w:tcBorders>
            <w:noWrap w:val="0"/>
            <w:vAlign w:val="center"/>
          </w:tcPr>
          <w:p w14:paraId="7F8BE948">
            <w:pPr>
              <w:pageBreakBefore w:val="0"/>
              <w:wordWrap/>
              <w:bidi w:val="0"/>
              <w:adjustRightInd/>
              <w:snapToGrid/>
              <w:spacing w:line="240" w:lineRule="auto"/>
              <w:ind w:firstLine="0" w:firstLineChars="0"/>
              <w:jc w:val="center"/>
              <w:rPr>
                <w:color w:val="auto"/>
                <w:sz w:val="21"/>
                <w:szCs w:val="21"/>
              </w:rPr>
            </w:pPr>
            <w:r>
              <w:rPr>
                <w:rFonts w:hint="eastAsia"/>
                <w:bCs/>
                <w:color w:val="auto"/>
                <w:sz w:val="21"/>
                <w:szCs w:val="21"/>
              </w:rPr>
              <w:t>（GB18918-2002）</w:t>
            </w:r>
          </w:p>
        </w:tc>
        <w:tc>
          <w:tcPr>
            <w:tcW w:w="750" w:type="dxa"/>
            <w:tcBorders>
              <w:tl2br w:val="nil"/>
              <w:tr2bl w:val="nil"/>
            </w:tcBorders>
            <w:noWrap w:val="0"/>
            <w:vAlign w:val="center"/>
          </w:tcPr>
          <w:p w14:paraId="2EB9F83B">
            <w:pPr>
              <w:pStyle w:val="16"/>
              <w:bidi w:val="0"/>
              <w:rPr>
                <w:color w:val="auto"/>
              </w:rPr>
            </w:pPr>
            <w:r>
              <w:rPr>
                <w:rFonts w:hint="default"/>
                <w:color w:val="auto"/>
                <w:lang w:val="en-US" w:eastAsia="zh-CN"/>
              </w:rPr>
              <w:t>50</w:t>
            </w:r>
          </w:p>
        </w:tc>
        <w:tc>
          <w:tcPr>
            <w:tcW w:w="735" w:type="dxa"/>
            <w:tcBorders>
              <w:tl2br w:val="nil"/>
              <w:tr2bl w:val="nil"/>
            </w:tcBorders>
            <w:noWrap w:val="0"/>
            <w:vAlign w:val="center"/>
          </w:tcPr>
          <w:p w14:paraId="3CA786B9">
            <w:pPr>
              <w:pStyle w:val="16"/>
              <w:bidi w:val="0"/>
              <w:rPr>
                <w:color w:val="auto"/>
              </w:rPr>
            </w:pPr>
            <w:r>
              <w:rPr>
                <w:rFonts w:hint="default"/>
                <w:color w:val="auto"/>
                <w:lang w:val="en-US" w:eastAsia="zh-CN"/>
              </w:rPr>
              <w:t>10</w:t>
            </w:r>
          </w:p>
        </w:tc>
        <w:tc>
          <w:tcPr>
            <w:tcW w:w="660" w:type="dxa"/>
            <w:tcBorders>
              <w:tl2br w:val="nil"/>
              <w:tr2bl w:val="nil"/>
            </w:tcBorders>
            <w:noWrap w:val="0"/>
            <w:vAlign w:val="center"/>
          </w:tcPr>
          <w:p w14:paraId="0986085C">
            <w:pPr>
              <w:pStyle w:val="16"/>
              <w:bidi w:val="0"/>
              <w:rPr>
                <w:color w:val="auto"/>
              </w:rPr>
            </w:pPr>
            <w:r>
              <w:rPr>
                <w:rFonts w:hint="default"/>
                <w:color w:val="auto"/>
                <w:lang w:val="en-US" w:eastAsia="zh-CN"/>
              </w:rPr>
              <w:t>10</w:t>
            </w:r>
          </w:p>
        </w:tc>
        <w:tc>
          <w:tcPr>
            <w:tcW w:w="690" w:type="dxa"/>
            <w:tcBorders>
              <w:tl2br w:val="nil"/>
              <w:tr2bl w:val="nil"/>
            </w:tcBorders>
            <w:noWrap w:val="0"/>
            <w:vAlign w:val="center"/>
          </w:tcPr>
          <w:p w14:paraId="289049ED">
            <w:pPr>
              <w:pStyle w:val="16"/>
              <w:bidi w:val="0"/>
              <w:rPr>
                <w:color w:val="auto"/>
              </w:rPr>
            </w:pPr>
            <w:r>
              <w:rPr>
                <w:rFonts w:hint="default"/>
                <w:color w:val="auto"/>
                <w:lang w:val="en-US" w:eastAsia="zh-CN"/>
              </w:rPr>
              <w:t>5</w:t>
            </w:r>
          </w:p>
        </w:tc>
        <w:tc>
          <w:tcPr>
            <w:tcW w:w="660" w:type="dxa"/>
            <w:tcBorders>
              <w:tl2br w:val="nil"/>
              <w:tr2bl w:val="nil"/>
            </w:tcBorders>
            <w:noWrap w:val="0"/>
            <w:vAlign w:val="center"/>
          </w:tcPr>
          <w:p w14:paraId="303F2F79">
            <w:pPr>
              <w:pStyle w:val="16"/>
              <w:bidi w:val="0"/>
              <w:rPr>
                <w:color w:val="auto"/>
              </w:rPr>
            </w:pPr>
            <w:r>
              <w:rPr>
                <w:rFonts w:hint="default"/>
                <w:color w:val="auto"/>
                <w:lang w:val="en-US" w:eastAsia="zh-CN"/>
              </w:rPr>
              <w:t>15</w:t>
            </w:r>
          </w:p>
        </w:tc>
        <w:tc>
          <w:tcPr>
            <w:tcW w:w="645" w:type="dxa"/>
            <w:tcBorders>
              <w:tl2br w:val="nil"/>
              <w:tr2bl w:val="nil"/>
            </w:tcBorders>
            <w:noWrap w:val="0"/>
            <w:vAlign w:val="center"/>
          </w:tcPr>
          <w:p w14:paraId="5D32E9A2">
            <w:pPr>
              <w:pStyle w:val="16"/>
              <w:bidi w:val="0"/>
              <w:rPr>
                <w:color w:val="auto"/>
              </w:rPr>
            </w:pPr>
            <w:r>
              <w:rPr>
                <w:rFonts w:hint="default"/>
                <w:color w:val="auto"/>
                <w:lang w:val="en-US" w:eastAsia="zh-CN"/>
              </w:rPr>
              <w:t>0.5</w:t>
            </w:r>
          </w:p>
        </w:tc>
        <w:tc>
          <w:tcPr>
            <w:tcW w:w="705" w:type="dxa"/>
            <w:tcBorders>
              <w:tl2br w:val="nil"/>
              <w:tr2bl w:val="nil"/>
            </w:tcBorders>
            <w:noWrap w:val="0"/>
            <w:vAlign w:val="center"/>
          </w:tcPr>
          <w:p w14:paraId="689510FF">
            <w:pPr>
              <w:pStyle w:val="16"/>
              <w:bidi w:val="0"/>
              <w:rPr>
                <w:rFonts w:hint="default"/>
                <w:color w:val="auto"/>
                <w:lang w:val="en-US" w:eastAsia="zh-CN"/>
              </w:rPr>
            </w:pPr>
            <w:r>
              <w:rPr>
                <w:rFonts w:hint="eastAsia"/>
                <w:color w:val="auto"/>
                <w:lang w:val="en-US" w:eastAsia="zh-CN"/>
              </w:rPr>
              <w:t>1.0</w:t>
            </w:r>
          </w:p>
        </w:tc>
        <w:tc>
          <w:tcPr>
            <w:tcW w:w="501" w:type="dxa"/>
            <w:tcBorders>
              <w:tl2br w:val="nil"/>
              <w:tr2bl w:val="nil"/>
            </w:tcBorders>
            <w:noWrap w:val="0"/>
            <w:vAlign w:val="center"/>
          </w:tcPr>
          <w:p w14:paraId="4705F7D0">
            <w:pPr>
              <w:pStyle w:val="16"/>
              <w:bidi w:val="0"/>
              <w:rPr>
                <w:rFonts w:hint="default"/>
                <w:color w:val="auto"/>
                <w:lang w:val="en-US" w:eastAsia="zh-CN"/>
              </w:rPr>
            </w:pPr>
            <w:r>
              <w:rPr>
                <w:rFonts w:hint="eastAsia"/>
                <w:color w:val="auto"/>
                <w:lang w:val="en-US" w:eastAsia="zh-CN"/>
              </w:rPr>
              <w:t>1.0</w:t>
            </w:r>
          </w:p>
        </w:tc>
      </w:tr>
      <w:tr w14:paraId="089A70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786" w:type="dxa"/>
            <w:gridSpan w:val="12"/>
            <w:tcBorders>
              <w:tl2br w:val="nil"/>
              <w:tr2bl w:val="nil"/>
            </w:tcBorders>
            <w:noWrap w:val="0"/>
            <w:vAlign w:val="center"/>
          </w:tcPr>
          <w:p w14:paraId="7D54DBD8">
            <w:pPr>
              <w:pageBreakBefore w:val="0"/>
              <w:wordWrap/>
              <w:bidi w:val="0"/>
              <w:adjustRightInd/>
              <w:snapToGrid/>
              <w:spacing w:line="240" w:lineRule="auto"/>
              <w:ind w:firstLine="0" w:firstLineChars="0"/>
              <w:jc w:val="left"/>
              <w:rPr>
                <w:color w:val="auto"/>
                <w:sz w:val="21"/>
                <w:szCs w:val="21"/>
              </w:rPr>
            </w:pPr>
            <w:r>
              <w:rPr>
                <w:color w:val="auto"/>
                <w:sz w:val="21"/>
                <w:szCs w:val="21"/>
              </w:rPr>
              <w:t>注：污水处理前排放量按设计进水水质核算，处理后排放量按</w:t>
            </w:r>
            <w:r>
              <w:rPr>
                <w:bCs/>
                <w:color w:val="auto"/>
                <w:sz w:val="21"/>
                <w:szCs w:val="21"/>
              </w:rPr>
              <w:t>《城镇污水处理厂污染物排放标准》（GB18918-2002）一级A标准要求</w:t>
            </w:r>
            <w:r>
              <w:rPr>
                <w:color w:val="auto"/>
                <w:sz w:val="21"/>
                <w:szCs w:val="21"/>
              </w:rPr>
              <w:t>。</w:t>
            </w:r>
          </w:p>
        </w:tc>
      </w:tr>
    </w:tbl>
    <w:p w14:paraId="5D393B1B">
      <w:pPr>
        <w:keepNext w:val="0"/>
        <w:keepLines w:val="0"/>
        <w:pageBreakBefore w:val="0"/>
        <w:widowControl w:val="0"/>
        <w:kinsoku/>
        <w:wordWrap/>
        <w:overflowPunct/>
        <w:topLinePunct w:val="0"/>
        <w:autoSpaceDE/>
        <w:autoSpaceDN/>
        <w:bidi w:val="0"/>
        <w:adjustRightInd/>
        <w:snapToGrid/>
        <w:spacing w:before="157" w:beforeLines="50"/>
        <w:textAlignment w:val="auto"/>
        <w:rPr>
          <w:color w:val="auto"/>
        </w:rPr>
      </w:pPr>
      <w:r>
        <w:rPr>
          <w:color w:val="auto"/>
        </w:rPr>
        <w:t>则主要水污染物削减</w:t>
      </w:r>
      <w:r>
        <w:rPr>
          <w:rFonts w:hint="eastAsia"/>
          <w:color w:val="auto"/>
        </w:rPr>
        <w:t>量</w:t>
      </w:r>
      <w:r>
        <w:rPr>
          <w:color w:val="auto"/>
        </w:rPr>
        <w:t>为COD</w:t>
      </w:r>
      <w:r>
        <w:rPr>
          <w:color w:val="auto"/>
          <w:vertAlign w:val="subscript"/>
        </w:rPr>
        <w:t>Cr</w:t>
      </w:r>
      <w:r>
        <w:rPr>
          <w:rFonts w:hint="eastAsia"/>
          <w:color w:val="auto"/>
          <w:lang w:val="en-US" w:eastAsia="zh-CN"/>
        </w:rPr>
        <w:t>328.5</w:t>
      </w:r>
      <w:r>
        <w:rPr>
          <w:color w:val="auto"/>
        </w:rPr>
        <w:t>t/a、</w:t>
      </w:r>
      <w:r>
        <w:rPr>
          <w:rFonts w:hint="eastAsia"/>
          <w:color w:val="auto"/>
          <w:lang w:val="en-US" w:eastAsia="zh-CN"/>
        </w:rPr>
        <w:t>49.275</w:t>
      </w:r>
      <w:r>
        <w:rPr>
          <w:color w:val="auto"/>
        </w:rPr>
        <w:t>t/a、总磷</w:t>
      </w:r>
      <w:r>
        <w:rPr>
          <w:rFonts w:hint="eastAsia"/>
          <w:color w:val="auto"/>
          <w:lang w:val="en-US" w:eastAsia="zh-CN"/>
        </w:rPr>
        <w:t>3.8325</w:t>
      </w:r>
      <w:r>
        <w:rPr>
          <w:color w:val="auto"/>
        </w:rPr>
        <w:t>t/a、总氮</w:t>
      </w:r>
      <w:r>
        <w:rPr>
          <w:rFonts w:hint="eastAsia"/>
          <w:color w:val="auto"/>
          <w:lang w:val="en-US" w:eastAsia="zh-CN"/>
        </w:rPr>
        <w:t>71.175</w:t>
      </w:r>
      <w:r>
        <w:rPr>
          <w:color w:val="auto"/>
        </w:rPr>
        <w:t>t/a。</w:t>
      </w:r>
    </w:p>
    <w:p w14:paraId="605F21C2">
      <w:pPr>
        <w:bidi w:val="0"/>
        <w:rPr>
          <w:color w:val="auto"/>
        </w:rPr>
      </w:pPr>
      <w:r>
        <w:rPr>
          <w:color w:val="auto"/>
        </w:rPr>
        <w:t>同时，拟建项目废水处理水污染物总量经地方环保部门协调解决，明确替代源，故本项目的建设不会增大</w:t>
      </w:r>
      <w:r>
        <w:rPr>
          <w:rFonts w:hint="eastAsia"/>
          <w:color w:val="auto"/>
          <w:lang w:eastAsia="zh-CN"/>
        </w:rPr>
        <w:t>巴河</w:t>
      </w:r>
      <w:r>
        <w:rPr>
          <w:color w:val="auto"/>
        </w:rPr>
        <w:t xml:space="preserve">水污染物负荷。 </w:t>
      </w:r>
    </w:p>
    <w:p w14:paraId="601F1A55">
      <w:pPr>
        <w:pageBreakBefore w:val="0"/>
        <w:wordWrap/>
        <w:bidi w:val="0"/>
        <w:adjustRightInd/>
        <w:snapToGrid/>
        <w:ind w:firstLine="482"/>
        <w:rPr>
          <w:bCs/>
          <w:color w:val="auto"/>
          <w:lang w:val="de-DE"/>
        </w:rPr>
      </w:pPr>
      <w:r>
        <w:rPr>
          <w:b/>
          <w:color w:val="auto"/>
        </w:rPr>
        <w:t>项目污水处理厂工程的实施，将</w:t>
      </w:r>
      <w:r>
        <w:rPr>
          <w:rFonts w:hint="eastAsia"/>
          <w:b/>
          <w:color w:val="auto"/>
          <w:lang w:val="en-US" w:eastAsia="zh-CN"/>
        </w:rPr>
        <w:t>满足四川巴中经济开发区-曾口区块污水处理要求</w:t>
      </w:r>
      <w:r>
        <w:rPr>
          <w:b/>
          <w:color w:val="auto"/>
        </w:rPr>
        <w:t>，</w:t>
      </w:r>
      <w:r>
        <w:rPr>
          <w:rFonts w:hint="eastAsia"/>
          <w:b/>
          <w:color w:val="auto"/>
          <w:lang w:val="en-US" w:eastAsia="zh-CN"/>
        </w:rPr>
        <w:t>园区</w:t>
      </w:r>
      <w:r>
        <w:rPr>
          <w:b/>
          <w:color w:val="auto"/>
        </w:rPr>
        <w:t>外排污染物浓度和排放量大幅度减少，对于改善</w:t>
      </w:r>
      <w:r>
        <w:rPr>
          <w:rFonts w:hint="eastAsia"/>
          <w:b/>
          <w:color w:val="auto"/>
          <w:lang w:eastAsia="zh-CN"/>
        </w:rPr>
        <w:t>巴河</w:t>
      </w:r>
      <w:r>
        <w:rPr>
          <w:b/>
          <w:color w:val="auto"/>
        </w:rPr>
        <w:t>水质具有明显的环境正效益，同时也可降低项目排污口下游水环境的污染风险。</w:t>
      </w:r>
    </w:p>
    <w:p w14:paraId="515BC45E">
      <w:pPr>
        <w:pStyle w:val="5"/>
        <w:pageBreakBefore w:val="0"/>
        <w:wordWrap/>
        <w:bidi w:val="0"/>
        <w:adjustRightInd/>
        <w:snapToGrid/>
        <w:spacing w:before="48" w:after="48"/>
        <w:ind w:left="0"/>
        <w:rPr>
          <w:rFonts w:eastAsia="宋体"/>
          <w:color w:val="auto"/>
        </w:rPr>
      </w:pPr>
      <w:bookmarkStart w:id="309" w:name="_Toc505087380"/>
      <w:r>
        <w:rPr>
          <w:rFonts w:hint="eastAsia" w:eastAsia="宋体"/>
          <w:color w:val="auto"/>
        </w:rPr>
        <w:t xml:space="preserve"> </w:t>
      </w:r>
      <w:r>
        <w:rPr>
          <w:rFonts w:eastAsia="宋体"/>
          <w:color w:val="auto"/>
        </w:rPr>
        <w:t>经济效益</w:t>
      </w:r>
    </w:p>
    <w:p w14:paraId="080A6B4B">
      <w:pPr>
        <w:pageBreakBefore w:val="0"/>
        <w:wordWrap/>
        <w:bidi w:val="0"/>
        <w:adjustRightInd/>
        <w:snapToGrid/>
        <w:ind w:firstLine="480"/>
        <w:rPr>
          <w:bCs/>
          <w:color w:val="auto"/>
        </w:rPr>
      </w:pPr>
      <w:r>
        <w:rPr>
          <w:bCs/>
          <w:color w:val="auto"/>
        </w:rPr>
        <w:t>1、工程的经济效益指标</w:t>
      </w:r>
    </w:p>
    <w:p w14:paraId="38B9260A">
      <w:pPr>
        <w:pageBreakBefore w:val="0"/>
        <w:wordWrap/>
        <w:bidi w:val="0"/>
        <w:adjustRightInd/>
        <w:snapToGrid/>
        <w:ind w:firstLine="480"/>
        <w:rPr>
          <w:color w:val="auto"/>
        </w:rPr>
      </w:pPr>
      <w:r>
        <w:rPr>
          <w:color w:val="auto"/>
        </w:rPr>
        <w:t>根据国家建设部关于《征收排水设施有偿使用费的暂行规定》中的有关条例，通过收取排污费，使本工程具有一定的经济效益。主要经济指标见</w:t>
      </w:r>
      <w:r>
        <w:rPr>
          <w:rFonts w:hint="eastAsia"/>
          <w:color w:val="auto"/>
          <w:lang w:val="en-US" w:eastAsia="zh-CN"/>
        </w:rPr>
        <w:t>下表</w:t>
      </w:r>
      <w:r>
        <w:rPr>
          <w:color w:val="auto"/>
        </w:rPr>
        <w:t>。</w:t>
      </w:r>
    </w:p>
    <w:p w14:paraId="26052372">
      <w:pPr>
        <w:pStyle w:val="17"/>
        <w:pageBreakBefore w:val="0"/>
        <w:numPr>
          <w:ilvl w:val="0"/>
          <w:numId w:val="37"/>
        </w:numPr>
        <w:wordWrap/>
        <w:bidi w:val="0"/>
        <w:adjustRightInd/>
        <w:snapToGrid/>
        <w:ind w:left="0" w:leftChars="0" w:firstLine="0" w:firstLineChars="0"/>
        <w:rPr>
          <w:color w:val="auto"/>
        </w:rPr>
      </w:pPr>
      <w:r>
        <w:rPr>
          <w:color w:val="auto"/>
        </w:rPr>
        <w:t>污水处理厂工程主要经济指标</w:t>
      </w:r>
    </w:p>
    <w:tbl>
      <w:tblPr>
        <w:tblStyle w:val="5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4"/>
        <w:gridCol w:w="4561"/>
        <w:gridCol w:w="1611"/>
        <w:gridCol w:w="1780"/>
      </w:tblGrid>
      <w:tr w14:paraId="529C9A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94" w:type="dxa"/>
            <w:tcBorders>
              <w:tl2br w:val="nil"/>
              <w:tr2bl w:val="nil"/>
            </w:tcBorders>
            <w:noWrap w:val="0"/>
            <w:vAlign w:val="center"/>
          </w:tcPr>
          <w:p w14:paraId="1E411173">
            <w:pPr>
              <w:pageBreakBefore w:val="0"/>
              <w:wordWrap/>
              <w:bidi w:val="0"/>
              <w:adjustRightInd/>
              <w:snapToGrid/>
              <w:spacing w:line="320" w:lineRule="exact"/>
              <w:ind w:firstLine="0" w:firstLineChars="0"/>
              <w:jc w:val="center"/>
              <w:rPr>
                <w:b/>
                <w:bCs w:val="0"/>
                <w:color w:val="auto"/>
                <w:sz w:val="21"/>
                <w:szCs w:val="21"/>
              </w:rPr>
            </w:pPr>
            <w:r>
              <w:rPr>
                <w:b/>
                <w:bCs w:val="0"/>
                <w:color w:val="auto"/>
                <w:sz w:val="21"/>
                <w:szCs w:val="21"/>
              </w:rPr>
              <w:t>序号</w:t>
            </w:r>
          </w:p>
        </w:tc>
        <w:tc>
          <w:tcPr>
            <w:tcW w:w="4561" w:type="dxa"/>
            <w:tcBorders>
              <w:tl2br w:val="nil"/>
              <w:tr2bl w:val="nil"/>
            </w:tcBorders>
            <w:noWrap w:val="0"/>
            <w:vAlign w:val="center"/>
          </w:tcPr>
          <w:p w14:paraId="2EE6BC7F">
            <w:pPr>
              <w:pageBreakBefore w:val="0"/>
              <w:wordWrap/>
              <w:bidi w:val="0"/>
              <w:adjustRightInd/>
              <w:snapToGrid/>
              <w:spacing w:line="320" w:lineRule="exact"/>
              <w:ind w:firstLine="0" w:firstLineChars="0"/>
              <w:jc w:val="center"/>
              <w:rPr>
                <w:b/>
                <w:bCs w:val="0"/>
                <w:color w:val="auto"/>
                <w:sz w:val="21"/>
                <w:szCs w:val="21"/>
              </w:rPr>
            </w:pPr>
            <w:r>
              <w:rPr>
                <w:b/>
                <w:bCs w:val="0"/>
                <w:color w:val="auto"/>
                <w:sz w:val="21"/>
                <w:szCs w:val="21"/>
              </w:rPr>
              <w:t>项目</w:t>
            </w:r>
          </w:p>
        </w:tc>
        <w:tc>
          <w:tcPr>
            <w:tcW w:w="1611" w:type="dxa"/>
            <w:tcBorders>
              <w:tl2br w:val="nil"/>
              <w:tr2bl w:val="nil"/>
            </w:tcBorders>
            <w:noWrap w:val="0"/>
            <w:vAlign w:val="center"/>
          </w:tcPr>
          <w:p w14:paraId="15C61277">
            <w:pPr>
              <w:pageBreakBefore w:val="0"/>
              <w:wordWrap/>
              <w:bidi w:val="0"/>
              <w:adjustRightInd/>
              <w:snapToGrid/>
              <w:spacing w:line="320" w:lineRule="exact"/>
              <w:ind w:firstLine="0" w:firstLineChars="0"/>
              <w:jc w:val="center"/>
              <w:rPr>
                <w:b/>
                <w:bCs w:val="0"/>
                <w:color w:val="auto"/>
                <w:sz w:val="21"/>
                <w:szCs w:val="21"/>
              </w:rPr>
            </w:pPr>
            <w:r>
              <w:rPr>
                <w:b/>
                <w:bCs w:val="0"/>
                <w:color w:val="auto"/>
                <w:sz w:val="21"/>
                <w:szCs w:val="21"/>
              </w:rPr>
              <w:t>单位</w:t>
            </w:r>
          </w:p>
        </w:tc>
        <w:tc>
          <w:tcPr>
            <w:tcW w:w="1780" w:type="dxa"/>
            <w:tcBorders>
              <w:tl2br w:val="nil"/>
              <w:tr2bl w:val="nil"/>
            </w:tcBorders>
            <w:noWrap w:val="0"/>
            <w:vAlign w:val="center"/>
          </w:tcPr>
          <w:p w14:paraId="00DAD451">
            <w:pPr>
              <w:pageBreakBefore w:val="0"/>
              <w:wordWrap/>
              <w:bidi w:val="0"/>
              <w:adjustRightInd/>
              <w:snapToGrid/>
              <w:spacing w:line="320" w:lineRule="exact"/>
              <w:ind w:firstLine="0" w:firstLineChars="0"/>
              <w:jc w:val="center"/>
              <w:rPr>
                <w:b/>
                <w:bCs w:val="0"/>
                <w:color w:val="auto"/>
                <w:sz w:val="21"/>
                <w:szCs w:val="21"/>
              </w:rPr>
            </w:pPr>
            <w:r>
              <w:rPr>
                <w:b/>
                <w:bCs w:val="0"/>
                <w:color w:val="auto"/>
                <w:sz w:val="21"/>
                <w:szCs w:val="21"/>
              </w:rPr>
              <w:t>指标</w:t>
            </w:r>
          </w:p>
        </w:tc>
      </w:tr>
      <w:tr w14:paraId="3DAC2F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4" w:type="dxa"/>
            <w:tcBorders>
              <w:tl2br w:val="nil"/>
              <w:tr2bl w:val="nil"/>
            </w:tcBorders>
            <w:noWrap w:val="0"/>
            <w:vAlign w:val="center"/>
          </w:tcPr>
          <w:p w14:paraId="4C6D358C">
            <w:pPr>
              <w:pageBreakBefore w:val="0"/>
              <w:wordWrap/>
              <w:bidi w:val="0"/>
              <w:adjustRightInd/>
              <w:snapToGrid/>
              <w:spacing w:line="320" w:lineRule="exact"/>
              <w:ind w:firstLine="0" w:firstLineChars="0"/>
              <w:jc w:val="center"/>
              <w:rPr>
                <w:color w:val="auto"/>
                <w:sz w:val="21"/>
                <w:szCs w:val="21"/>
              </w:rPr>
            </w:pPr>
            <w:r>
              <w:rPr>
                <w:color w:val="auto"/>
                <w:sz w:val="21"/>
                <w:szCs w:val="21"/>
              </w:rPr>
              <w:t>1</w:t>
            </w:r>
          </w:p>
        </w:tc>
        <w:tc>
          <w:tcPr>
            <w:tcW w:w="4561" w:type="dxa"/>
            <w:tcBorders>
              <w:tl2br w:val="nil"/>
              <w:tr2bl w:val="nil"/>
            </w:tcBorders>
            <w:noWrap w:val="0"/>
            <w:vAlign w:val="center"/>
          </w:tcPr>
          <w:p w14:paraId="561C1CEA">
            <w:pPr>
              <w:pageBreakBefore w:val="0"/>
              <w:wordWrap/>
              <w:bidi w:val="0"/>
              <w:adjustRightInd/>
              <w:snapToGrid/>
              <w:spacing w:line="320" w:lineRule="exact"/>
              <w:ind w:firstLine="0" w:firstLineChars="0"/>
              <w:jc w:val="center"/>
              <w:rPr>
                <w:color w:val="auto"/>
                <w:sz w:val="21"/>
                <w:szCs w:val="21"/>
              </w:rPr>
            </w:pPr>
            <w:r>
              <w:rPr>
                <w:color w:val="auto"/>
                <w:sz w:val="21"/>
                <w:szCs w:val="21"/>
              </w:rPr>
              <w:t>污水处理厂规模</w:t>
            </w:r>
          </w:p>
        </w:tc>
        <w:tc>
          <w:tcPr>
            <w:tcW w:w="1611" w:type="dxa"/>
            <w:tcBorders>
              <w:tl2br w:val="nil"/>
              <w:tr2bl w:val="nil"/>
            </w:tcBorders>
            <w:noWrap w:val="0"/>
            <w:vAlign w:val="center"/>
          </w:tcPr>
          <w:p w14:paraId="0D4341FC">
            <w:pPr>
              <w:pageBreakBefore w:val="0"/>
              <w:wordWrap/>
              <w:bidi w:val="0"/>
              <w:adjustRightInd/>
              <w:snapToGrid/>
              <w:spacing w:line="320" w:lineRule="exact"/>
              <w:ind w:firstLine="0" w:firstLineChars="0"/>
              <w:jc w:val="center"/>
              <w:rPr>
                <w:color w:val="auto"/>
                <w:sz w:val="21"/>
                <w:szCs w:val="21"/>
              </w:rPr>
            </w:pPr>
            <w:r>
              <w:rPr>
                <w:color w:val="auto"/>
                <w:sz w:val="21"/>
                <w:szCs w:val="21"/>
              </w:rPr>
              <w:t>万</w:t>
            </w:r>
            <w:r>
              <w:rPr>
                <w:rFonts w:hint="eastAsia"/>
                <w:color w:val="auto"/>
                <w:sz w:val="21"/>
                <w:szCs w:val="21"/>
                <w:lang w:eastAsia="zh-CN"/>
              </w:rPr>
              <w:t>m³</w:t>
            </w:r>
            <w:r>
              <w:rPr>
                <w:color w:val="auto"/>
                <w:sz w:val="21"/>
                <w:szCs w:val="21"/>
              </w:rPr>
              <w:t>/d</w:t>
            </w:r>
          </w:p>
        </w:tc>
        <w:tc>
          <w:tcPr>
            <w:tcW w:w="1780" w:type="dxa"/>
            <w:tcBorders>
              <w:tl2br w:val="nil"/>
              <w:tr2bl w:val="nil"/>
            </w:tcBorders>
            <w:noWrap w:val="0"/>
            <w:vAlign w:val="center"/>
          </w:tcPr>
          <w:p w14:paraId="31B5141F">
            <w:pPr>
              <w:pageBreakBefore w:val="0"/>
              <w:wordWrap/>
              <w:bidi w:val="0"/>
              <w:adjustRightInd/>
              <w:snapToGrid/>
              <w:spacing w:line="32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0.3</w:t>
            </w:r>
          </w:p>
        </w:tc>
      </w:tr>
      <w:tr w14:paraId="08C513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4" w:type="dxa"/>
            <w:tcBorders>
              <w:tl2br w:val="nil"/>
              <w:tr2bl w:val="nil"/>
            </w:tcBorders>
            <w:noWrap w:val="0"/>
            <w:vAlign w:val="center"/>
          </w:tcPr>
          <w:p w14:paraId="1378B975">
            <w:pPr>
              <w:pageBreakBefore w:val="0"/>
              <w:wordWrap/>
              <w:bidi w:val="0"/>
              <w:adjustRightInd/>
              <w:snapToGrid/>
              <w:spacing w:line="320" w:lineRule="exact"/>
              <w:ind w:firstLine="0" w:firstLineChars="0"/>
              <w:jc w:val="center"/>
              <w:rPr>
                <w:color w:val="auto"/>
                <w:sz w:val="21"/>
                <w:szCs w:val="21"/>
              </w:rPr>
            </w:pPr>
            <w:r>
              <w:rPr>
                <w:color w:val="auto"/>
                <w:sz w:val="21"/>
                <w:szCs w:val="21"/>
              </w:rPr>
              <w:t>2</w:t>
            </w:r>
          </w:p>
        </w:tc>
        <w:tc>
          <w:tcPr>
            <w:tcW w:w="4561" w:type="dxa"/>
            <w:tcBorders>
              <w:tl2br w:val="nil"/>
              <w:tr2bl w:val="nil"/>
            </w:tcBorders>
            <w:noWrap w:val="0"/>
            <w:vAlign w:val="center"/>
          </w:tcPr>
          <w:p w14:paraId="4E9D02E1">
            <w:pPr>
              <w:pageBreakBefore w:val="0"/>
              <w:wordWrap/>
              <w:bidi w:val="0"/>
              <w:adjustRightInd/>
              <w:snapToGrid/>
              <w:spacing w:line="320" w:lineRule="exact"/>
              <w:ind w:firstLine="0" w:firstLineChars="0"/>
              <w:jc w:val="center"/>
              <w:rPr>
                <w:color w:val="auto"/>
                <w:sz w:val="21"/>
                <w:szCs w:val="21"/>
              </w:rPr>
            </w:pPr>
            <w:r>
              <w:rPr>
                <w:color w:val="auto"/>
                <w:sz w:val="21"/>
                <w:szCs w:val="21"/>
              </w:rPr>
              <w:t>项目总投资</w:t>
            </w:r>
          </w:p>
        </w:tc>
        <w:tc>
          <w:tcPr>
            <w:tcW w:w="1611" w:type="dxa"/>
            <w:tcBorders>
              <w:tl2br w:val="nil"/>
              <w:tr2bl w:val="nil"/>
            </w:tcBorders>
            <w:noWrap w:val="0"/>
            <w:vAlign w:val="center"/>
          </w:tcPr>
          <w:p w14:paraId="795A1190">
            <w:pPr>
              <w:pageBreakBefore w:val="0"/>
              <w:wordWrap/>
              <w:bidi w:val="0"/>
              <w:adjustRightInd/>
              <w:snapToGrid/>
              <w:spacing w:line="320" w:lineRule="exact"/>
              <w:ind w:firstLine="0" w:firstLineChars="0"/>
              <w:jc w:val="center"/>
              <w:rPr>
                <w:color w:val="auto"/>
                <w:sz w:val="21"/>
                <w:szCs w:val="21"/>
              </w:rPr>
            </w:pPr>
            <w:r>
              <w:rPr>
                <w:color w:val="auto"/>
                <w:sz w:val="21"/>
                <w:szCs w:val="21"/>
              </w:rPr>
              <w:t>万元</w:t>
            </w:r>
          </w:p>
        </w:tc>
        <w:tc>
          <w:tcPr>
            <w:tcW w:w="1780" w:type="dxa"/>
            <w:tcBorders>
              <w:tl2br w:val="nil"/>
              <w:tr2bl w:val="nil"/>
            </w:tcBorders>
            <w:noWrap w:val="0"/>
            <w:vAlign w:val="center"/>
          </w:tcPr>
          <w:p w14:paraId="0F805D4E">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eastAsia="zh-CN"/>
              </w:rPr>
              <w:t>39000</w:t>
            </w:r>
          </w:p>
        </w:tc>
      </w:tr>
      <w:tr w14:paraId="308436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4" w:type="dxa"/>
            <w:tcBorders>
              <w:tl2br w:val="nil"/>
              <w:tr2bl w:val="nil"/>
            </w:tcBorders>
            <w:noWrap w:val="0"/>
            <w:vAlign w:val="center"/>
          </w:tcPr>
          <w:p w14:paraId="0C7E463A">
            <w:pPr>
              <w:pageBreakBefore w:val="0"/>
              <w:wordWrap/>
              <w:bidi w:val="0"/>
              <w:adjustRightInd/>
              <w:snapToGrid/>
              <w:spacing w:line="320" w:lineRule="exact"/>
              <w:ind w:firstLine="0" w:firstLineChars="0"/>
              <w:jc w:val="center"/>
              <w:rPr>
                <w:color w:val="auto"/>
                <w:sz w:val="21"/>
                <w:szCs w:val="21"/>
              </w:rPr>
            </w:pPr>
            <w:r>
              <w:rPr>
                <w:color w:val="auto"/>
                <w:sz w:val="21"/>
                <w:szCs w:val="21"/>
              </w:rPr>
              <w:t>3</w:t>
            </w:r>
          </w:p>
        </w:tc>
        <w:tc>
          <w:tcPr>
            <w:tcW w:w="4561" w:type="dxa"/>
            <w:tcBorders>
              <w:tl2br w:val="nil"/>
              <w:tr2bl w:val="nil"/>
            </w:tcBorders>
            <w:noWrap w:val="0"/>
            <w:vAlign w:val="center"/>
          </w:tcPr>
          <w:p w14:paraId="42C724C4">
            <w:pPr>
              <w:pageBreakBefore w:val="0"/>
              <w:wordWrap/>
              <w:bidi w:val="0"/>
              <w:adjustRightInd/>
              <w:snapToGrid/>
              <w:spacing w:line="320" w:lineRule="exact"/>
              <w:ind w:firstLine="0" w:firstLineChars="0"/>
              <w:jc w:val="center"/>
              <w:rPr>
                <w:color w:val="auto"/>
                <w:sz w:val="21"/>
                <w:szCs w:val="21"/>
              </w:rPr>
            </w:pPr>
            <w:r>
              <w:rPr>
                <w:color w:val="auto"/>
                <w:sz w:val="21"/>
                <w:szCs w:val="21"/>
              </w:rPr>
              <w:t>工程费用</w:t>
            </w:r>
          </w:p>
        </w:tc>
        <w:tc>
          <w:tcPr>
            <w:tcW w:w="1611" w:type="dxa"/>
            <w:tcBorders>
              <w:tl2br w:val="nil"/>
              <w:tr2bl w:val="nil"/>
            </w:tcBorders>
            <w:noWrap w:val="0"/>
            <w:vAlign w:val="center"/>
          </w:tcPr>
          <w:p w14:paraId="4F5292AC">
            <w:pPr>
              <w:pageBreakBefore w:val="0"/>
              <w:wordWrap/>
              <w:bidi w:val="0"/>
              <w:adjustRightInd/>
              <w:snapToGrid/>
              <w:spacing w:line="320" w:lineRule="exact"/>
              <w:ind w:firstLine="0" w:firstLineChars="0"/>
              <w:jc w:val="center"/>
              <w:rPr>
                <w:color w:val="auto"/>
                <w:sz w:val="21"/>
                <w:szCs w:val="21"/>
              </w:rPr>
            </w:pPr>
            <w:r>
              <w:rPr>
                <w:color w:val="auto"/>
                <w:sz w:val="21"/>
                <w:szCs w:val="21"/>
              </w:rPr>
              <w:t>万元</w:t>
            </w:r>
          </w:p>
        </w:tc>
        <w:tc>
          <w:tcPr>
            <w:tcW w:w="1780" w:type="dxa"/>
            <w:tcBorders>
              <w:tl2br w:val="nil"/>
              <w:tr2bl w:val="nil"/>
            </w:tcBorders>
            <w:noWrap w:val="0"/>
            <w:vAlign w:val="center"/>
          </w:tcPr>
          <w:p w14:paraId="11320ACD">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32843.19</w:t>
            </w:r>
          </w:p>
        </w:tc>
      </w:tr>
      <w:tr w14:paraId="1F7A1F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4" w:type="dxa"/>
            <w:tcBorders>
              <w:tl2br w:val="nil"/>
              <w:tr2bl w:val="nil"/>
            </w:tcBorders>
            <w:noWrap w:val="0"/>
            <w:vAlign w:val="center"/>
          </w:tcPr>
          <w:p w14:paraId="765A3790">
            <w:pPr>
              <w:pageBreakBefore w:val="0"/>
              <w:wordWrap/>
              <w:bidi w:val="0"/>
              <w:adjustRightInd/>
              <w:snapToGrid/>
              <w:spacing w:line="320" w:lineRule="exact"/>
              <w:ind w:firstLine="0" w:firstLineChars="0"/>
              <w:jc w:val="center"/>
              <w:rPr>
                <w:color w:val="auto"/>
                <w:sz w:val="21"/>
                <w:szCs w:val="21"/>
              </w:rPr>
            </w:pPr>
            <w:r>
              <w:rPr>
                <w:color w:val="auto"/>
                <w:sz w:val="21"/>
                <w:szCs w:val="21"/>
              </w:rPr>
              <w:t>4</w:t>
            </w:r>
          </w:p>
        </w:tc>
        <w:tc>
          <w:tcPr>
            <w:tcW w:w="4561" w:type="dxa"/>
            <w:tcBorders>
              <w:tl2br w:val="nil"/>
              <w:tr2bl w:val="nil"/>
            </w:tcBorders>
            <w:noWrap w:val="0"/>
            <w:vAlign w:val="center"/>
          </w:tcPr>
          <w:p w14:paraId="3487B0D2">
            <w:pPr>
              <w:pageBreakBefore w:val="0"/>
              <w:wordWrap/>
              <w:bidi w:val="0"/>
              <w:adjustRightInd/>
              <w:snapToGrid/>
              <w:spacing w:line="320" w:lineRule="exact"/>
              <w:ind w:firstLine="0" w:firstLineChars="0"/>
              <w:jc w:val="center"/>
              <w:rPr>
                <w:color w:val="auto"/>
                <w:sz w:val="21"/>
                <w:szCs w:val="21"/>
              </w:rPr>
            </w:pPr>
            <w:r>
              <w:rPr>
                <w:color w:val="auto"/>
                <w:sz w:val="21"/>
                <w:szCs w:val="21"/>
              </w:rPr>
              <w:t>建设期利息</w:t>
            </w:r>
          </w:p>
        </w:tc>
        <w:tc>
          <w:tcPr>
            <w:tcW w:w="1611" w:type="dxa"/>
            <w:tcBorders>
              <w:tl2br w:val="nil"/>
              <w:tr2bl w:val="nil"/>
            </w:tcBorders>
            <w:noWrap w:val="0"/>
            <w:vAlign w:val="center"/>
          </w:tcPr>
          <w:p w14:paraId="478BA433">
            <w:pPr>
              <w:pageBreakBefore w:val="0"/>
              <w:wordWrap/>
              <w:bidi w:val="0"/>
              <w:adjustRightInd/>
              <w:snapToGrid/>
              <w:spacing w:line="320" w:lineRule="exact"/>
              <w:ind w:firstLine="0" w:firstLineChars="0"/>
              <w:jc w:val="center"/>
              <w:rPr>
                <w:color w:val="auto"/>
                <w:sz w:val="21"/>
                <w:szCs w:val="21"/>
              </w:rPr>
            </w:pPr>
            <w:r>
              <w:rPr>
                <w:color w:val="auto"/>
                <w:sz w:val="21"/>
                <w:szCs w:val="21"/>
              </w:rPr>
              <w:t>万元</w:t>
            </w:r>
          </w:p>
        </w:tc>
        <w:tc>
          <w:tcPr>
            <w:tcW w:w="1780" w:type="dxa"/>
            <w:tcBorders>
              <w:tl2br w:val="nil"/>
              <w:tr2bl w:val="nil"/>
            </w:tcBorders>
            <w:noWrap w:val="0"/>
            <w:vAlign w:val="center"/>
          </w:tcPr>
          <w:p w14:paraId="0A2D8E77">
            <w:pPr>
              <w:pageBreakBefore w:val="0"/>
              <w:wordWrap/>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w:t>
            </w:r>
          </w:p>
        </w:tc>
      </w:tr>
      <w:tr w14:paraId="2D92B4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4" w:type="dxa"/>
            <w:tcBorders>
              <w:tl2br w:val="nil"/>
              <w:tr2bl w:val="nil"/>
            </w:tcBorders>
            <w:noWrap w:val="0"/>
            <w:vAlign w:val="center"/>
          </w:tcPr>
          <w:p w14:paraId="390CBB03">
            <w:pPr>
              <w:pageBreakBefore w:val="0"/>
              <w:wordWrap/>
              <w:bidi w:val="0"/>
              <w:adjustRightInd/>
              <w:snapToGrid/>
              <w:spacing w:line="320" w:lineRule="exact"/>
              <w:ind w:firstLine="0" w:firstLineChars="0"/>
              <w:jc w:val="center"/>
              <w:rPr>
                <w:color w:val="auto"/>
                <w:sz w:val="21"/>
                <w:szCs w:val="21"/>
              </w:rPr>
            </w:pPr>
            <w:r>
              <w:rPr>
                <w:color w:val="auto"/>
                <w:sz w:val="21"/>
                <w:szCs w:val="21"/>
              </w:rPr>
              <w:t>5</w:t>
            </w:r>
          </w:p>
        </w:tc>
        <w:tc>
          <w:tcPr>
            <w:tcW w:w="4561" w:type="dxa"/>
            <w:tcBorders>
              <w:tl2br w:val="nil"/>
              <w:tr2bl w:val="nil"/>
            </w:tcBorders>
            <w:noWrap w:val="0"/>
            <w:vAlign w:val="center"/>
          </w:tcPr>
          <w:p w14:paraId="5E066F3B">
            <w:pPr>
              <w:pageBreakBefore w:val="0"/>
              <w:wordWrap/>
              <w:bidi w:val="0"/>
              <w:adjustRightInd/>
              <w:snapToGrid/>
              <w:spacing w:line="320" w:lineRule="exact"/>
              <w:ind w:firstLine="0" w:firstLineChars="0"/>
              <w:jc w:val="center"/>
              <w:rPr>
                <w:color w:val="auto"/>
                <w:sz w:val="21"/>
                <w:szCs w:val="21"/>
              </w:rPr>
            </w:pPr>
            <w:r>
              <w:rPr>
                <w:color w:val="auto"/>
                <w:sz w:val="21"/>
                <w:szCs w:val="21"/>
              </w:rPr>
              <w:t>流动资金</w:t>
            </w:r>
          </w:p>
        </w:tc>
        <w:tc>
          <w:tcPr>
            <w:tcW w:w="1611" w:type="dxa"/>
            <w:tcBorders>
              <w:tl2br w:val="nil"/>
              <w:tr2bl w:val="nil"/>
            </w:tcBorders>
            <w:noWrap w:val="0"/>
            <w:vAlign w:val="center"/>
          </w:tcPr>
          <w:p w14:paraId="5AA5FE18">
            <w:pPr>
              <w:pageBreakBefore w:val="0"/>
              <w:wordWrap/>
              <w:bidi w:val="0"/>
              <w:adjustRightInd/>
              <w:snapToGrid/>
              <w:spacing w:line="320" w:lineRule="exact"/>
              <w:ind w:firstLine="0" w:firstLineChars="0"/>
              <w:jc w:val="center"/>
              <w:rPr>
                <w:color w:val="auto"/>
                <w:sz w:val="21"/>
                <w:szCs w:val="21"/>
              </w:rPr>
            </w:pPr>
            <w:r>
              <w:rPr>
                <w:color w:val="auto"/>
                <w:sz w:val="21"/>
                <w:szCs w:val="21"/>
              </w:rPr>
              <w:t>万元</w:t>
            </w:r>
          </w:p>
        </w:tc>
        <w:tc>
          <w:tcPr>
            <w:tcW w:w="1780" w:type="dxa"/>
            <w:tcBorders>
              <w:tl2br w:val="nil"/>
              <w:tr2bl w:val="nil"/>
            </w:tcBorders>
            <w:noWrap w:val="0"/>
            <w:vAlign w:val="center"/>
          </w:tcPr>
          <w:p w14:paraId="46F7E536">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color w:val="auto"/>
                <w:sz w:val="21"/>
                <w:szCs w:val="21"/>
                <w:lang w:val="en-US" w:eastAsia="zh-CN"/>
              </w:rPr>
              <w:t>/</w:t>
            </w:r>
          </w:p>
        </w:tc>
      </w:tr>
    </w:tbl>
    <w:p w14:paraId="1C28CFA5">
      <w:pPr>
        <w:pageBreakBefore w:val="0"/>
        <w:wordWrap/>
        <w:bidi w:val="0"/>
        <w:adjustRightInd/>
        <w:snapToGrid/>
        <w:spacing w:before="120" w:beforeLines="50"/>
        <w:ind w:firstLine="480"/>
        <w:rPr>
          <w:color w:val="auto"/>
        </w:rPr>
      </w:pPr>
      <w:r>
        <w:rPr>
          <w:color w:val="auto"/>
        </w:rPr>
        <w:t>2、间接</w:t>
      </w:r>
      <w:r>
        <w:rPr>
          <w:bCs/>
          <w:color w:val="auto"/>
        </w:rPr>
        <w:t>经济效益</w:t>
      </w:r>
    </w:p>
    <w:p w14:paraId="2C6E21A5">
      <w:pPr>
        <w:pageBreakBefore w:val="0"/>
        <w:wordWrap/>
        <w:bidi w:val="0"/>
        <w:adjustRightInd/>
        <w:snapToGrid/>
        <w:ind w:firstLine="480"/>
        <w:rPr>
          <w:color w:val="auto"/>
        </w:rPr>
      </w:pPr>
      <w:r>
        <w:rPr>
          <w:color w:val="auto"/>
        </w:rPr>
        <w:t>污水处理工程并无显著的直接经济效益，但其投资的间接经济效果较为重要，主要是通过减少污水污染，挽回造成的社会经济损失：</w:t>
      </w:r>
    </w:p>
    <w:p w14:paraId="6750D1CA">
      <w:pPr>
        <w:pageBreakBefore w:val="0"/>
        <w:wordWrap/>
        <w:bidi w:val="0"/>
        <w:adjustRightInd/>
        <w:snapToGrid/>
        <w:ind w:firstLine="480"/>
        <w:rPr>
          <w:color w:val="auto"/>
        </w:rPr>
      </w:pPr>
      <w:r>
        <w:rPr>
          <w:color w:val="auto"/>
        </w:rPr>
        <w:t>（1）工业企业方面</w:t>
      </w:r>
    </w:p>
    <w:p w14:paraId="53C7B8D9">
      <w:pPr>
        <w:pageBreakBefore w:val="0"/>
        <w:wordWrap/>
        <w:bidi w:val="0"/>
        <w:adjustRightInd/>
        <w:snapToGrid/>
        <w:ind w:firstLine="480"/>
        <w:rPr>
          <w:color w:val="auto"/>
        </w:rPr>
      </w:pPr>
      <w:r>
        <w:rPr>
          <w:color w:val="auto"/>
        </w:rPr>
        <w:t>可减少各工业企业分散进行污水处理所增加的投资运行管理费，减轻企业负担。</w:t>
      </w:r>
    </w:p>
    <w:p w14:paraId="761E1E1E">
      <w:pPr>
        <w:pageBreakBefore w:val="0"/>
        <w:wordWrap/>
        <w:bidi w:val="0"/>
        <w:adjustRightInd/>
        <w:snapToGrid/>
        <w:ind w:firstLine="480"/>
        <w:rPr>
          <w:color w:val="auto"/>
        </w:rPr>
      </w:pPr>
      <w:r>
        <w:rPr>
          <w:color w:val="auto"/>
        </w:rPr>
        <w:t xml:space="preserve">（2）城市供水方面 </w:t>
      </w:r>
    </w:p>
    <w:p w14:paraId="0CF26E41">
      <w:pPr>
        <w:pageBreakBefore w:val="0"/>
        <w:wordWrap/>
        <w:bidi w:val="0"/>
        <w:adjustRightInd/>
        <w:snapToGrid/>
        <w:ind w:firstLine="480"/>
        <w:rPr>
          <w:color w:val="auto"/>
        </w:rPr>
      </w:pPr>
      <w:r>
        <w:rPr>
          <w:color w:val="auto"/>
        </w:rPr>
        <w:t>水厂源水受到污染后，会增加给水处理的费用。</w:t>
      </w:r>
    </w:p>
    <w:p w14:paraId="6AEAC8D2">
      <w:pPr>
        <w:pageBreakBefore w:val="0"/>
        <w:wordWrap/>
        <w:bidi w:val="0"/>
        <w:adjustRightInd/>
        <w:snapToGrid/>
        <w:ind w:firstLine="480"/>
        <w:rPr>
          <w:color w:val="auto"/>
        </w:rPr>
      </w:pPr>
      <w:r>
        <w:rPr>
          <w:color w:val="auto"/>
        </w:rPr>
        <w:t xml:space="preserve">（3）农、牧、渔业方面 </w:t>
      </w:r>
    </w:p>
    <w:p w14:paraId="51113D3E">
      <w:pPr>
        <w:pageBreakBefore w:val="0"/>
        <w:wordWrap/>
        <w:bidi w:val="0"/>
        <w:adjustRightInd/>
        <w:snapToGrid/>
        <w:ind w:firstLine="480"/>
        <w:rPr>
          <w:color w:val="auto"/>
        </w:rPr>
      </w:pPr>
      <w:r>
        <w:rPr>
          <w:color w:val="auto"/>
        </w:rPr>
        <w:t>水污染可能造成粮食作物、畜产品、水产品的产量下降，造成经济损失。</w:t>
      </w:r>
    </w:p>
    <w:p w14:paraId="2F9F78A3">
      <w:pPr>
        <w:pageBreakBefore w:val="0"/>
        <w:wordWrap/>
        <w:bidi w:val="0"/>
        <w:adjustRightInd/>
        <w:snapToGrid/>
        <w:ind w:firstLine="480"/>
        <w:rPr>
          <w:color w:val="auto"/>
        </w:rPr>
      </w:pPr>
      <w:r>
        <w:rPr>
          <w:color w:val="auto"/>
        </w:rPr>
        <w:t xml:space="preserve">（4）人体健康方面 </w:t>
      </w:r>
    </w:p>
    <w:p w14:paraId="7F004E5A">
      <w:pPr>
        <w:pageBreakBefore w:val="0"/>
        <w:wordWrap/>
        <w:bidi w:val="0"/>
        <w:adjustRightInd/>
        <w:snapToGrid/>
        <w:ind w:firstLine="480"/>
        <w:rPr>
          <w:color w:val="auto"/>
        </w:rPr>
      </w:pPr>
      <w:r>
        <w:rPr>
          <w:color w:val="auto"/>
        </w:rPr>
        <w:t>水污染会造成人的发病率上升，医疗保健费用增加，劳动生产率下降等。</w:t>
      </w:r>
    </w:p>
    <w:p w14:paraId="3D2979B7">
      <w:pPr>
        <w:pStyle w:val="4"/>
        <w:pageBreakBefore w:val="0"/>
        <w:wordWrap/>
        <w:bidi w:val="0"/>
        <w:adjustRightInd/>
        <w:snapToGrid/>
        <w:rPr>
          <w:rFonts w:ascii="Times New Roman" w:hAnsi="Times New Roman" w:eastAsia="宋体"/>
          <w:color w:val="auto"/>
        </w:rPr>
      </w:pPr>
      <w:bookmarkStart w:id="310" w:name="_Toc4141"/>
      <w:r>
        <w:rPr>
          <w:rFonts w:hint="eastAsia" w:ascii="Times New Roman" w:hAnsi="Times New Roman" w:eastAsia="宋体"/>
          <w:color w:val="auto"/>
        </w:rPr>
        <w:t xml:space="preserve"> </w:t>
      </w:r>
      <w:bookmarkStart w:id="311" w:name="_Toc11049"/>
      <w:r>
        <w:rPr>
          <w:rFonts w:ascii="Times New Roman" w:hAnsi="Times New Roman" w:eastAsia="宋体"/>
          <w:color w:val="auto"/>
        </w:rPr>
        <w:t>环境经济损益分析</w:t>
      </w:r>
      <w:bookmarkEnd w:id="309"/>
      <w:bookmarkEnd w:id="310"/>
      <w:bookmarkEnd w:id="311"/>
    </w:p>
    <w:p w14:paraId="16C9AB23">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环保投资</w:t>
      </w:r>
    </w:p>
    <w:p w14:paraId="5FC20400">
      <w:pPr>
        <w:pageBreakBefore w:val="0"/>
        <w:wordWrap/>
        <w:bidi w:val="0"/>
        <w:adjustRightInd/>
        <w:snapToGrid/>
        <w:ind w:firstLine="480"/>
        <w:rPr>
          <w:color w:val="auto"/>
        </w:rPr>
      </w:pPr>
      <w:r>
        <w:rPr>
          <w:color w:val="auto"/>
        </w:rPr>
        <w:t>本项目总投资为</w:t>
      </w:r>
      <w:r>
        <w:rPr>
          <w:rFonts w:hint="eastAsia"/>
          <w:color w:val="auto"/>
          <w:lang w:eastAsia="zh-CN"/>
        </w:rPr>
        <w:t>39000</w:t>
      </w:r>
      <w:r>
        <w:rPr>
          <w:color w:val="auto"/>
        </w:rPr>
        <w:t>万元，工程的环保投资为</w:t>
      </w:r>
      <w:r>
        <w:rPr>
          <w:rFonts w:hint="eastAsia"/>
          <w:color w:val="auto"/>
          <w:u w:val="single"/>
          <w:lang w:eastAsia="zh-CN"/>
        </w:rPr>
        <w:t>500万元</w:t>
      </w:r>
      <w:r>
        <w:rPr>
          <w:color w:val="auto"/>
        </w:rPr>
        <w:t>，工程环保投资占项目总投资的</w:t>
      </w:r>
      <w:r>
        <w:rPr>
          <w:rFonts w:hint="eastAsia"/>
          <w:color w:val="auto"/>
          <w:u w:val="single"/>
          <w:lang w:eastAsia="zh-CN"/>
        </w:rPr>
        <w:t>1.28%</w:t>
      </w:r>
      <w:r>
        <w:rPr>
          <w:color w:val="auto"/>
        </w:rPr>
        <w:t>。该投资满足项目环保措施经费需求。</w:t>
      </w:r>
    </w:p>
    <w:p w14:paraId="4150C449">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项目建设带来的损失</w:t>
      </w:r>
    </w:p>
    <w:p w14:paraId="3ED7347D">
      <w:pPr>
        <w:pageBreakBefore w:val="0"/>
        <w:wordWrap/>
        <w:bidi w:val="0"/>
        <w:adjustRightInd/>
        <w:snapToGrid/>
        <w:ind w:firstLine="480"/>
        <w:rPr>
          <w:color w:val="auto"/>
        </w:rPr>
      </w:pPr>
      <w:r>
        <w:rPr>
          <w:color w:val="auto"/>
        </w:rPr>
        <w:t>营运期主要是废气、废水、固废及噪声等对环境造成影响，为消除这些影响，相应投入资金用于治理，另外，每年尚需投入一定费用作环保措施运行费用。</w:t>
      </w:r>
    </w:p>
    <w:p w14:paraId="2894FE20">
      <w:pPr>
        <w:pStyle w:val="4"/>
        <w:pageBreakBefore w:val="0"/>
        <w:wordWrap/>
        <w:bidi w:val="0"/>
        <w:adjustRightInd/>
        <w:snapToGrid/>
        <w:rPr>
          <w:rFonts w:ascii="Times New Roman" w:hAnsi="Times New Roman" w:eastAsia="宋体"/>
          <w:color w:val="auto"/>
        </w:rPr>
      </w:pPr>
      <w:bookmarkStart w:id="312" w:name="_Toc374627951"/>
      <w:bookmarkStart w:id="313" w:name="_Toc14982"/>
      <w:bookmarkStart w:id="314" w:name="_Toc152"/>
      <w:bookmarkStart w:id="315" w:name="_Toc505087381"/>
      <w:bookmarkStart w:id="316" w:name="_Toc18753"/>
      <w:r>
        <w:rPr>
          <w:rFonts w:hint="eastAsia" w:ascii="Times New Roman" w:hAnsi="Times New Roman" w:eastAsia="宋体"/>
          <w:color w:val="auto"/>
        </w:rPr>
        <w:t xml:space="preserve"> </w:t>
      </w:r>
      <w:bookmarkStart w:id="317" w:name="_Toc13225"/>
      <w:r>
        <w:rPr>
          <w:rFonts w:ascii="Times New Roman" w:hAnsi="Times New Roman" w:eastAsia="宋体"/>
          <w:color w:val="auto"/>
        </w:rPr>
        <w:t>环境经济损益分析结论</w:t>
      </w:r>
      <w:bookmarkEnd w:id="312"/>
      <w:bookmarkEnd w:id="313"/>
      <w:bookmarkEnd w:id="314"/>
      <w:bookmarkEnd w:id="315"/>
      <w:bookmarkEnd w:id="316"/>
      <w:bookmarkEnd w:id="317"/>
    </w:p>
    <w:p w14:paraId="2B36D58C">
      <w:pPr>
        <w:pageBreakBefore w:val="0"/>
        <w:widowControl/>
        <w:wordWrap/>
        <w:bidi w:val="0"/>
        <w:adjustRightInd/>
        <w:snapToGrid/>
        <w:ind w:firstLine="480"/>
        <w:jc w:val="left"/>
        <w:rPr>
          <w:color w:val="auto"/>
        </w:rPr>
      </w:pPr>
      <w:r>
        <w:rPr>
          <w:rFonts w:hint="eastAsia" w:ascii="宋体" w:hAnsi="宋体" w:cs="宋体"/>
          <w:color w:val="auto"/>
          <w:kern w:val="0"/>
          <w:lang w:bidi="ar"/>
        </w:rPr>
        <w:t>本项目的环保投资将创造出可观的经济效益，从社会经济角度看，本项目的建设是可行的。工程采取的环保措施能够取得很好的治理效果，能很好地保护周围环境，做到了以较少的环保投资取得较大的环境效益，其社会、环境、经济效益较为显著。</w:t>
      </w:r>
    </w:p>
    <w:p w14:paraId="6D4069CA">
      <w:pPr>
        <w:pageBreakBefore w:val="0"/>
        <w:wordWrap/>
        <w:bidi w:val="0"/>
        <w:adjustRightInd/>
        <w:snapToGrid/>
        <w:ind w:firstLine="480"/>
        <w:rPr>
          <w:color w:val="auto"/>
        </w:rPr>
        <w:sectPr>
          <w:footerReference r:id="rId25" w:type="default"/>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docGrid w:linePitch="312" w:charSpace="0"/>
        </w:sectPr>
      </w:pPr>
    </w:p>
    <w:p w14:paraId="08341586">
      <w:pPr>
        <w:pStyle w:val="3"/>
        <w:pageBreakBefore w:val="0"/>
        <w:wordWrap/>
        <w:bidi w:val="0"/>
        <w:adjustRightInd/>
        <w:snapToGrid/>
        <w:rPr>
          <w:rFonts w:eastAsia="宋体"/>
          <w:color w:val="auto"/>
        </w:rPr>
      </w:pPr>
      <w:bookmarkStart w:id="318" w:name="_Toc374627846"/>
      <w:bookmarkStart w:id="319" w:name="_Toc27831"/>
      <w:bookmarkStart w:id="320" w:name="_Toc18073"/>
      <w:bookmarkStart w:id="321" w:name="_Toc505087382"/>
      <w:bookmarkStart w:id="322" w:name="_Toc3008"/>
      <w:r>
        <w:rPr>
          <w:rFonts w:eastAsia="宋体"/>
          <w:color w:val="auto"/>
        </w:rPr>
        <w:t>环境管理与</w:t>
      </w:r>
      <w:bookmarkEnd w:id="318"/>
      <w:bookmarkEnd w:id="319"/>
      <w:r>
        <w:rPr>
          <w:rFonts w:eastAsia="宋体"/>
          <w:color w:val="auto"/>
        </w:rPr>
        <w:t>监测计划</w:t>
      </w:r>
      <w:bookmarkEnd w:id="320"/>
      <w:bookmarkEnd w:id="321"/>
      <w:bookmarkEnd w:id="322"/>
    </w:p>
    <w:p w14:paraId="7039F515">
      <w:pPr>
        <w:pStyle w:val="4"/>
        <w:pageBreakBefore w:val="0"/>
        <w:wordWrap/>
        <w:bidi w:val="0"/>
        <w:adjustRightInd/>
        <w:snapToGrid/>
        <w:rPr>
          <w:rFonts w:ascii="Times New Roman" w:hAnsi="Times New Roman" w:eastAsia="宋体"/>
          <w:color w:val="auto"/>
        </w:rPr>
      </w:pPr>
      <w:bookmarkStart w:id="323" w:name="_Toc18936"/>
      <w:r>
        <w:rPr>
          <w:rFonts w:hint="eastAsia" w:ascii="Times New Roman" w:hAnsi="Times New Roman" w:eastAsia="宋体"/>
          <w:color w:val="auto"/>
        </w:rPr>
        <w:t xml:space="preserve"> </w:t>
      </w:r>
      <w:bookmarkStart w:id="324" w:name="_Toc31845"/>
      <w:r>
        <w:rPr>
          <w:rFonts w:ascii="Times New Roman" w:hAnsi="Times New Roman" w:eastAsia="宋体"/>
          <w:color w:val="auto"/>
        </w:rPr>
        <w:t>环境管理的目的</w:t>
      </w:r>
      <w:bookmarkEnd w:id="323"/>
      <w:bookmarkEnd w:id="324"/>
    </w:p>
    <w:p w14:paraId="059DA6EA">
      <w:pPr>
        <w:pageBreakBefore w:val="0"/>
        <w:wordWrap/>
        <w:bidi w:val="0"/>
        <w:adjustRightInd/>
        <w:snapToGrid/>
        <w:ind w:firstLine="480"/>
        <w:rPr>
          <w:color w:val="auto"/>
          <w:szCs w:val="22"/>
        </w:rPr>
      </w:pPr>
      <w:r>
        <w:rPr>
          <w:color w:val="auto"/>
          <w:szCs w:val="22"/>
        </w:rPr>
        <w:t>环境管理的目的是对损坏环境质量的人为活动施加影响，以协调经济与环境的关系，既达到发展经济满足人类的需要，又不超出环境容量的限制。拟建工程对环境的影响主要来自施工期、运行期的各种作业活动及运行期的风险事故。无论是各种作业活动，还是事故事件，都将会给自然环境和人们的生产生活带来较大的影响，为最大限度地减轻施工作业及生产过程中对环境的影响，确保生产过程环境安全和高效生产，建立科学有效的环境管理体制，落实各项环保和安全措施显得尤为重要。通过建立环境管理体系，</w:t>
      </w:r>
      <w:r>
        <w:rPr>
          <w:rFonts w:hint="eastAsia"/>
          <w:color w:val="auto"/>
          <w:szCs w:val="22"/>
          <w:lang w:eastAsia="zh-CN"/>
        </w:rPr>
        <w:t>增强</w:t>
      </w:r>
      <w:r>
        <w:rPr>
          <w:color w:val="auto"/>
          <w:szCs w:val="22"/>
        </w:rPr>
        <w:t>员工环保意识、规范企业管理、推行清洁生产，实现污染预防，以实现环境效益、社会效益、经济效益的统一。</w:t>
      </w:r>
    </w:p>
    <w:p w14:paraId="62A8A3EB">
      <w:pPr>
        <w:pStyle w:val="4"/>
        <w:pageBreakBefore w:val="0"/>
        <w:wordWrap/>
        <w:bidi w:val="0"/>
        <w:adjustRightInd/>
        <w:snapToGrid/>
        <w:rPr>
          <w:rFonts w:ascii="Times New Roman" w:hAnsi="Times New Roman" w:eastAsia="宋体"/>
          <w:color w:val="auto"/>
        </w:rPr>
      </w:pPr>
      <w:bookmarkStart w:id="325" w:name="_Toc11846"/>
      <w:r>
        <w:rPr>
          <w:rFonts w:hint="eastAsia" w:ascii="Times New Roman" w:hAnsi="Times New Roman" w:eastAsia="宋体"/>
          <w:color w:val="auto"/>
        </w:rPr>
        <w:t xml:space="preserve"> </w:t>
      </w:r>
      <w:bookmarkStart w:id="326" w:name="_Toc5804"/>
      <w:r>
        <w:rPr>
          <w:rFonts w:ascii="Times New Roman" w:hAnsi="Times New Roman" w:eastAsia="宋体"/>
          <w:color w:val="auto"/>
        </w:rPr>
        <w:t>环境管理机构及职责</w:t>
      </w:r>
      <w:bookmarkEnd w:id="325"/>
      <w:bookmarkEnd w:id="326"/>
    </w:p>
    <w:p w14:paraId="6B514ADC">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环境管理机构</w:t>
      </w:r>
    </w:p>
    <w:p w14:paraId="5CCED713">
      <w:pPr>
        <w:pageBreakBefore w:val="0"/>
        <w:wordWrap/>
        <w:bidi w:val="0"/>
        <w:adjustRightInd/>
        <w:snapToGrid/>
        <w:ind w:firstLine="480"/>
        <w:rPr>
          <w:color w:val="auto"/>
          <w:szCs w:val="22"/>
        </w:rPr>
      </w:pPr>
      <w:r>
        <w:rPr>
          <w:color w:val="auto"/>
          <w:szCs w:val="22"/>
        </w:rPr>
        <w:t>环境管理机构分为企业外部环境管理机构和企业内部环境管理机构。企业外部环境管理机构指政府性环境管理机构，主要有四川省生态环境厅、</w:t>
      </w:r>
      <w:r>
        <w:rPr>
          <w:rFonts w:hint="eastAsia"/>
          <w:color w:val="auto"/>
          <w:szCs w:val="22"/>
          <w:lang w:eastAsia="zh-CN"/>
        </w:rPr>
        <w:t>巴中市</w:t>
      </w:r>
      <w:r>
        <w:rPr>
          <w:color w:val="auto"/>
          <w:szCs w:val="22"/>
        </w:rPr>
        <w:t>生态环境局、</w:t>
      </w:r>
      <w:r>
        <w:rPr>
          <w:rFonts w:hint="eastAsia"/>
          <w:color w:val="auto"/>
          <w:szCs w:val="22"/>
          <w:lang w:eastAsia="zh-CN"/>
        </w:rPr>
        <w:t>巴中巴州区</w:t>
      </w:r>
      <w:r>
        <w:rPr>
          <w:color w:val="auto"/>
          <w:szCs w:val="22"/>
        </w:rPr>
        <w:t>生态环境与城市管理局等；企业内部环境管理机构是指工程投资建设方所建立的环境保护专门机构。</w:t>
      </w:r>
    </w:p>
    <w:p w14:paraId="1D4E851F">
      <w:pPr>
        <w:pageBreakBefore w:val="0"/>
        <w:wordWrap/>
        <w:bidi w:val="0"/>
        <w:adjustRightInd/>
        <w:snapToGrid/>
        <w:ind w:firstLine="480"/>
        <w:rPr>
          <w:color w:val="auto"/>
          <w:szCs w:val="22"/>
        </w:rPr>
      </w:pPr>
      <w:r>
        <w:rPr>
          <w:color w:val="auto"/>
          <w:szCs w:val="22"/>
        </w:rPr>
        <w:t>企业内部环境管理机构作为企业管理体系中的一部分，应与之相协调统一。实行企业总经理领导下的</w:t>
      </w:r>
      <w:r>
        <w:rPr>
          <w:rFonts w:hint="eastAsia"/>
          <w:color w:val="auto"/>
          <w:szCs w:val="22"/>
          <w:lang w:eastAsia="zh-CN"/>
        </w:rPr>
        <w:t>“</w:t>
      </w:r>
      <w:r>
        <w:rPr>
          <w:color w:val="auto"/>
          <w:szCs w:val="22"/>
        </w:rPr>
        <w:t>一人主管，分工负责；职能部门，各负其责；落实基层，监督考核</w:t>
      </w:r>
      <w:r>
        <w:rPr>
          <w:rFonts w:hint="eastAsia"/>
          <w:color w:val="auto"/>
          <w:szCs w:val="22"/>
          <w:lang w:eastAsia="zh-CN"/>
        </w:rPr>
        <w:t>”</w:t>
      </w:r>
      <w:r>
        <w:rPr>
          <w:color w:val="auto"/>
          <w:szCs w:val="22"/>
        </w:rPr>
        <w:t>的原则，建立以企业领导为核心，安全环保部为基础的全员责任制的环境管理体系。使环境管理贯穿于企业管理的整个过程，并落实到企业的各个层次，分解到生产的各个环节，把企业管理与环境管理紧密地结合起来，不但要建立完善的企业管理体系和各种规章制度，也要建立完善的环境管理体系和各种规章制度，使企业的环境管理工作真正落到实处。</w:t>
      </w:r>
    </w:p>
    <w:p w14:paraId="4D40B8FA">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管理机构职责</w:t>
      </w:r>
    </w:p>
    <w:p w14:paraId="52991392">
      <w:pPr>
        <w:pageBreakBefore w:val="0"/>
        <w:wordWrap/>
        <w:bidi w:val="0"/>
        <w:adjustRightInd/>
        <w:snapToGrid/>
        <w:ind w:firstLine="480"/>
        <w:rPr>
          <w:color w:val="auto"/>
          <w:szCs w:val="22"/>
        </w:rPr>
      </w:pPr>
      <w:r>
        <w:rPr>
          <w:color w:val="auto"/>
          <w:szCs w:val="22"/>
        </w:rPr>
        <w:t>①建立健全的环境保护工作规章制度，明确环保责任制及其奖惩办法；</w:t>
      </w:r>
    </w:p>
    <w:p w14:paraId="3E77B031">
      <w:pPr>
        <w:pageBreakBefore w:val="0"/>
        <w:wordWrap/>
        <w:bidi w:val="0"/>
        <w:adjustRightInd/>
        <w:snapToGrid/>
        <w:ind w:firstLine="480"/>
        <w:rPr>
          <w:color w:val="auto"/>
          <w:szCs w:val="22"/>
        </w:rPr>
      </w:pPr>
      <w:r>
        <w:rPr>
          <w:color w:val="auto"/>
          <w:szCs w:val="22"/>
        </w:rPr>
        <w:t>②负责制定项目环境保护管理办法、环境保护规章制度、污染事故的</w:t>
      </w:r>
      <w:r>
        <w:rPr>
          <w:rFonts w:hint="eastAsia"/>
          <w:color w:val="auto"/>
          <w:szCs w:val="22"/>
          <w:lang w:eastAsia="zh-CN"/>
        </w:rPr>
        <w:t>防治</w:t>
      </w:r>
      <w:r>
        <w:rPr>
          <w:color w:val="auto"/>
          <w:szCs w:val="22"/>
        </w:rPr>
        <w:t>和应急措施以及生产安全条例，并监督检查这些制度和措施的执行情况；</w:t>
      </w:r>
    </w:p>
    <w:p w14:paraId="4C6304CE">
      <w:pPr>
        <w:pageBreakBefore w:val="0"/>
        <w:wordWrap/>
        <w:bidi w:val="0"/>
        <w:adjustRightInd/>
        <w:snapToGrid/>
        <w:ind w:firstLine="480"/>
        <w:rPr>
          <w:color w:val="auto"/>
          <w:szCs w:val="22"/>
        </w:rPr>
      </w:pPr>
      <w:r>
        <w:rPr>
          <w:color w:val="auto"/>
          <w:szCs w:val="22"/>
        </w:rPr>
        <w:t>③建立环保档案，包括环评报告、环保工程验收报告、污染源监测报告、环保设备及运行记录</w:t>
      </w:r>
      <w:r>
        <w:rPr>
          <w:rFonts w:hint="eastAsia"/>
          <w:color w:val="auto"/>
          <w:szCs w:val="22"/>
          <w:lang w:eastAsia="zh-CN"/>
        </w:rPr>
        <w:t>以及其他</w:t>
      </w:r>
      <w:r>
        <w:rPr>
          <w:color w:val="auto"/>
          <w:szCs w:val="22"/>
        </w:rPr>
        <w:t>环境统计资料；</w:t>
      </w:r>
    </w:p>
    <w:p w14:paraId="4FC0F4D6">
      <w:pPr>
        <w:pageBreakBefore w:val="0"/>
        <w:wordWrap/>
        <w:bidi w:val="0"/>
        <w:adjustRightInd/>
        <w:snapToGrid/>
        <w:ind w:firstLine="480"/>
        <w:rPr>
          <w:color w:val="auto"/>
          <w:szCs w:val="22"/>
        </w:rPr>
      </w:pPr>
      <w:r>
        <w:rPr>
          <w:color w:val="auto"/>
          <w:szCs w:val="22"/>
        </w:rPr>
        <w:t>④做好环境保护、安全生产宣传，以及相关技术培训等工作；</w:t>
      </w:r>
    </w:p>
    <w:p w14:paraId="020610D5">
      <w:pPr>
        <w:pageBreakBefore w:val="0"/>
        <w:wordWrap/>
        <w:bidi w:val="0"/>
        <w:adjustRightInd/>
        <w:snapToGrid/>
        <w:ind w:firstLine="480"/>
        <w:rPr>
          <w:color w:val="auto"/>
          <w:szCs w:val="22"/>
        </w:rPr>
      </w:pPr>
      <w:r>
        <w:rPr>
          <w:color w:val="auto"/>
          <w:szCs w:val="22"/>
        </w:rPr>
        <w:t xml:space="preserve">⑤协同上级环境管理部门检查本企业的环境保护工作、污染治理设施的运行情况。定期对厂内污染情况进行分析总结，为环保设施的更新改造提供可靠依据； </w:t>
      </w:r>
    </w:p>
    <w:p w14:paraId="2444CB7F">
      <w:pPr>
        <w:pageBreakBefore w:val="0"/>
        <w:wordWrap/>
        <w:bidi w:val="0"/>
        <w:adjustRightInd/>
        <w:snapToGrid/>
        <w:ind w:firstLine="480"/>
        <w:rPr>
          <w:color w:val="auto"/>
          <w:szCs w:val="22"/>
        </w:rPr>
      </w:pPr>
      <w:r>
        <w:rPr>
          <w:color w:val="auto"/>
          <w:szCs w:val="22"/>
        </w:rPr>
        <w:t>⑥组织宣传教育，与本单位的有关部门一起大力普及公司员工的环境法规及环境科学知识，</w:t>
      </w:r>
      <w:r>
        <w:rPr>
          <w:rFonts w:hint="eastAsia"/>
          <w:color w:val="auto"/>
          <w:szCs w:val="22"/>
          <w:lang w:eastAsia="zh-CN"/>
        </w:rPr>
        <w:t>增强</w:t>
      </w:r>
      <w:r>
        <w:rPr>
          <w:color w:val="auto"/>
          <w:szCs w:val="22"/>
        </w:rPr>
        <w:t xml:space="preserve">职工的环境保护意识； </w:t>
      </w:r>
    </w:p>
    <w:p w14:paraId="09B03C47">
      <w:pPr>
        <w:pageBreakBefore w:val="0"/>
        <w:wordWrap/>
        <w:bidi w:val="0"/>
        <w:adjustRightInd/>
        <w:snapToGrid/>
        <w:ind w:firstLine="480"/>
        <w:rPr>
          <w:color w:val="auto"/>
          <w:szCs w:val="22"/>
        </w:rPr>
      </w:pPr>
      <w:r>
        <w:rPr>
          <w:color w:val="auto"/>
          <w:szCs w:val="22"/>
        </w:rPr>
        <w:t>⑦建立全厂污染源、污染物治理、排放浓度及总量等数据库。编制企业污染源监测的月报表、年报表及环境管理质量报告。</w:t>
      </w:r>
    </w:p>
    <w:p w14:paraId="605B650F">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执行机构工作内容</w:t>
      </w:r>
    </w:p>
    <w:p w14:paraId="70B3A561">
      <w:pPr>
        <w:pageBreakBefore w:val="0"/>
        <w:wordWrap/>
        <w:bidi w:val="0"/>
        <w:adjustRightInd/>
        <w:snapToGrid/>
        <w:ind w:firstLine="480"/>
        <w:rPr>
          <w:color w:val="auto"/>
          <w:szCs w:val="22"/>
        </w:rPr>
      </w:pPr>
      <w:r>
        <w:rPr>
          <w:color w:val="auto"/>
          <w:szCs w:val="22"/>
        </w:rPr>
        <w:t>接受各级生态环境局的工作指导、管理和环保机构的监督；执行环保</w:t>
      </w:r>
      <w:r>
        <w:rPr>
          <w:rFonts w:hint="eastAsia"/>
          <w:color w:val="auto"/>
          <w:szCs w:val="22"/>
          <w:lang w:eastAsia="zh-CN"/>
        </w:rPr>
        <w:t>法律法规</w:t>
      </w:r>
      <w:r>
        <w:rPr>
          <w:color w:val="auto"/>
          <w:szCs w:val="22"/>
        </w:rPr>
        <w:t>，落实环境影响评价、设计与环保工作计划中的每一项环保措施；保证环保设施的正常运转，设立环保管理机构和监督机构、人员，对项目排污进行自我监测，建立污染源档案并定期报告当地生态环境部门；承担污染源复查和抽查费用。</w:t>
      </w:r>
    </w:p>
    <w:p w14:paraId="5761B967">
      <w:pPr>
        <w:pStyle w:val="4"/>
        <w:pageBreakBefore w:val="0"/>
        <w:wordWrap/>
        <w:bidi w:val="0"/>
        <w:adjustRightInd/>
        <w:snapToGrid/>
        <w:rPr>
          <w:rFonts w:ascii="Times New Roman" w:hAnsi="Times New Roman" w:eastAsia="宋体"/>
          <w:color w:val="auto"/>
        </w:rPr>
      </w:pPr>
      <w:bookmarkStart w:id="327" w:name="_Toc18064"/>
      <w:r>
        <w:rPr>
          <w:rFonts w:hint="eastAsia" w:ascii="Times New Roman" w:hAnsi="Times New Roman" w:eastAsia="宋体"/>
          <w:color w:val="auto"/>
        </w:rPr>
        <w:t xml:space="preserve"> </w:t>
      </w:r>
      <w:bookmarkStart w:id="328" w:name="_Toc15975"/>
      <w:r>
        <w:rPr>
          <w:rFonts w:ascii="Times New Roman" w:hAnsi="Times New Roman" w:eastAsia="宋体"/>
          <w:color w:val="auto"/>
        </w:rPr>
        <w:t>环境管理</w:t>
      </w:r>
      <w:bookmarkEnd w:id="327"/>
      <w:bookmarkEnd w:id="328"/>
    </w:p>
    <w:p w14:paraId="11D1006E">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环境管理总体规划</w:t>
      </w:r>
    </w:p>
    <w:p w14:paraId="192A5EBF">
      <w:pPr>
        <w:pageBreakBefore w:val="0"/>
        <w:wordWrap/>
        <w:bidi w:val="0"/>
        <w:adjustRightInd/>
        <w:snapToGrid/>
        <w:ind w:firstLine="480"/>
        <w:rPr>
          <w:color w:val="auto"/>
          <w:szCs w:val="22"/>
        </w:rPr>
      </w:pPr>
      <w:r>
        <w:rPr>
          <w:color w:val="auto"/>
          <w:szCs w:val="22"/>
        </w:rPr>
        <w:t>环境管理应该贯穿于建设项目从立项到运行的整个过程，并对建设项目的不同阶段制定相应的环保条例，规定不同阶段的环保内容，明确不同部门的工作职责，见</w:t>
      </w:r>
      <w:r>
        <w:rPr>
          <w:rFonts w:hint="eastAsia"/>
          <w:color w:val="auto"/>
          <w:szCs w:val="22"/>
          <w:lang w:val="en-US" w:eastAsia="zh-CN"/>
        </w:rPr>
        <w:t>下表</w:t>
      </w:r>
      <w:r>
        <w:rPr>
          <w:color w:val="auto"/>
          <w:szCs w:val="22"/>
        </w:rPr>
        <w:t>所示。</w:t>
      </w:r>
    </w:p>
    <w:p w14:paraId="55F8005A">
      <w:pPr>
        <w:pStyle w:val="19"/>
        <w:numPr>
          <w:ilvl w:val="0"/>
          <w:numId w:val="38"/>
        </w:numPr>
        <w:bidi w:val="0"/>
        <w:ind w:left="0" w:leftChars="0" w:firstLine="0" w:firstLineChars="0"/>
        <w:rPr>
          <w:color w:val="auto"/>
        </w:rPr>
      </w:pPr>
      <w:r>
        <w:rPr>
          <w:color w:val="auto"/>
        </w:rPr>
        <w:t>建设项目环境管理总体规划</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52"/>
        <w:gridCol w:w="7194"/>
      </w:tblGrid>
      <w:tr w14:paraId="782C11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79" w:type="pct"/>
            <w:vMerge w:val="restart"/>
            <w:tcBorders>
              <w:tl2br w:val="nil"/>
              <w:tr2bl w:val="nil"/>
            </w:tcBorders>
            <w:noWrap w:val="0"/>
            <w:vAlign w:val="center"/>
          </w:tcPr>
          <w:p w14:paraId="064CB716">
            <w:pPr>
              <w:pageBreakBefore w:val="0"/>
              <w:wordWrap/>
              <w:bidi w:val="0"/>
              <w:adjustRightInd/>
              <w:snapToGrid/>
              <w:spacing w:line="240" w:lineRule="auto"/>
              <w:ind w:firstLine="0" w:firstLineChars="0"/>
              <w:jc w:val="center"/>
              <w:rPr>
                <w:color w:val="auto"/>
                <w:sz w:val="21"/>
                <w:szCs w:val="21"/>
              </w:rPr>
            </w:pPr>
            <w:r>
              <w:rPr>
                <w:rFonts w:hint="eastAsia"/>
                <w:color w:val="auto"/>
                <w:sz w:val="21"/>
                <w:szCs w:val="21"/>
              </w:rPr>
              <w:t>建设、调试</w:t>
            </w:r>
            <w:r>
              <w:rPr>
                <w:color w:val="auto"/>
                <w:sz w:val="21"/>
                <w:szCs w:val="21"/>
              </w:rPr>
              <w:t>阶段</w:t>
            </w:r>
          </w:p>
        </w:tc>
        <w:tc>
          <w:tcPr>
            <w:tcW w:w="4020" w:type="pct"/>
            <w:tcBorders>
              <w:tl2br w:val="nil"/>
              <w:tr2bl w:val="nil"/>
            </w:tcBorders>
            <w:noWrap w:val="0"/>
            <w:vAlign w:val="center"/>
          </w:tcPr>
          <w:p w14:paraId="13963617">
            <w:pPr>
              <w:pageBreakBefore w:val="0"/>
              <w:wordWrap/>
              <w:bidi w:val="0"/>
              <w:adjustRightInd/>
              <w:snapToGrid/>
              <w:spacing w:line="240" w:lineRule="auto"/>
              <w:ind w:firstLine="0" w:firstLineChars="0"/>
              <w:jc w:val="center"/>
              <w:rPr>
                <w:color w:val="auto"/>
                <w:sz w:val="21"/>
                <w:szCs w:val="21"/>
              </w:rPr>
            </w:pPr>
            <w:r>
              <w:rPr>
                <w:color w:val="auto"/>
                <w:sz w:val="21"/>
                <w:szCs w:val="21"/>
              </w:rPr>
              <w:t>完善准备、最大限度</w:t>
            </w:r>
            <w:r>
              <w:rPr>
                <w:rFonts w:hint="eastAsia"/>
                <w:color w:val="auto"/>
                <w:sz w:val="21"/>
                <w:szCs w:val="21"/>
              </w:rPr>
              <w:t>减</w:t>
            </w:r>
            <w:r>
              <w:rPr>
                <w:color w:val="auto"/>
                <w:sz w:val="21"/>
                <w:szCs w:val="21"/>
              </w:rPr>
              <w:t>少事故发生</w:t>
            </w:r>
          </w:p>
        </w:tc>
      </w:tr>
      <w:tr w14:paraId="601801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79" w:type="pct"/>
            <w:vMerge w:val="continue"/>
            <w:tcBorders>
              <w:tl2br w:val="nil"/>
              <w:tr2bl w:val="nil"/>
            </w:tcBorders>
            <w:noWrap w:val="0"/>
            <w:vAlign w:val="center"/>
          </w:tcPr>
          <w:p w14:paraId="5A49B373">
            <w:pPr>
              <w:pageBreakBefore w:val="0"/>
              <w:widowControl/>
              <w:wordWrap/>
              <w:bidi w:val="0"/>
              <w:adjustRightInd/>
              <w:snapToGrid/>
              <w:spacing w:line="240" w:lineRule="auto"/>
              <w:ind w:firstLine="0" w:firstLineChars="0"/>
              <w:jc w:val="left"/>
              <w:rPr>
                <w:color w:val="auto"/>
                <w:sz w:val="21"/>
                <w:szCs w:val="21"/>
              </w:rPr>
            </w:pPr>
          </w:p>
        </w:tc>
        <w:tc>
          <w:tcPr>
            <w:tcW w:w="4020" w:type="pct"/>
            <w:tcBorders>
              <w:tl2br w:val="nil"/>
              <w:tr2bl w:val="nil"/>
            </w:tcBorders>
            <w:noWrap w:val="0"/>
            <w:vAlign w:val="center"/>
          </w:tcPr>
          <w:p w14:paraId="21F708C7">
            <w:pPr>
              <w:pageBreakBefore w:val="0"/>
              <w:wordWrap/>
              <w:bidi w:val="0"/>
              <w:adjustRightInd/>
              <w:snapToGrid/>
              <w:spacing w:line="240" w:lineRule="auto"/>
              <w:ind w:firstLine="0" w:firstLineChars="0"/>
              <w:jc w:val="center"/>
              <w:rPr>
                <w:color w:val="auto"/>
                <w:sz w:val="21"/>
                <w:szCs w:val="21"/>
              </w:rPr>
            </w:pPr>
            <w:r>
              <w:rPr>
                <w:color w:val="auto"/>
                <w:sz w:val="21"/>
                <w:szCs w:val="21"/>
              </w:rPr>
              <w:t>严格施工设计监理，保证工程质量；检查环保措施的执行；加强环保设备运行检查，力求达标；</w:t>
            </w:r>
            <w:r>
              <w:rPr>
                <w:rFonts w:hint="eastAsia"/>
                <w:color w:val="auto"/>
                <w:sz w:val="21"/>
                <w:szCs w:val="21"/>
              </w:rPr>
              <w:t>避免</w:t>
            </w:r>
            <w:r>
              <w:rPr>
                <w:color w:val="auto"/>
                <w:sz w:val="21"/>
                <w:szCs w:val="21"/>
              </w:rPr>
              <w:t>超标排污；</w:t>
            </w:r>
          </w:p>
        </w:tc>
      </w:tr>
      <w:tr w14:paraId="23A3B2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79" w:type="pct"/>
            <w:vMerge w:val="restart"/>
            <w:tcBorders>
              <w:tl2br w:val="nil"/>
              <w:tr2bl w:val="nil"/>
            </w:tcBorders>
            <w:noWrap w:val="0"/>
            <w:vAlign w:val="center"/>
          </w:tcPr>
          <w:p w14:paraId="5779FE6E">
            <w:pPr>
              <w:pageBreakBefore w:val="0"/>
              <w:wordWrap/>
              <w:bidi w:val="0"/>
              <w:adjustRightInd/>
              <w:snapToGrid/>
              <w:spacing w:line="240" w:lineRule="auto"/>
              <w:ind w:firstLine="0" w:firstLineChars="0"/>
              <w:jc w:val="center"/>
              <w:rPr>
                <w:color w:val="auto"/>
                <w:sz w:val="21"/>
                <w:szCs w:val="21"/>
              </w:rPr>
            </w:pPr>
            <w:r>
              <w:rPr>
                <w:color w:val="auto"/>
                <w:sz w:val="21"/>
                <w:szCs w:val="21"/>
              </w:rPr>
              <w:t>信息反馈和群众监督</w:t>
            </w:r>
          </w:p>
        </w:tc>
        <w:tc>
          <w:tcPr>
            <w:tcW w:w="4020" w:type="pct"/>
            <w:tcBorders>
              <w:tl2br w:val="nil"/>
              <w:tr2bl w:val="nil"/>
            </w:tcBorders>
            <w:noWrap w:val="0"/>
            <w:vAlign w:val="center"/>
          </w:tcPr>
          <w:p w14:paraId="5B186D33">
            <w:pPr>
              <w:pageBreakBefore w:val="0"/>
              <w:wordWrap/>
              <w:bidi w:val="0"/>
              <w:adjustRightInd/>
              <w:snapToGrid/>
              <w:spacing w:line="240" w:lineRule="auto"/>
              <w:ind w:firstLine="0" w:firstLineChars="0"/>
              <w:jc w:val="center"/>
              <w:rPr>
                <w:color w:val="auto"/>
                <w:sz w:val="21"/>
                <w:szCs w:val="21"/>
              </w:rPr>
            </w:pPr>
            <w:r>
              <w:rPr>
                <w:color w:val="auto"/>
                <w:sz w:val="21"/>
                <w:szCs w:val="21"/>
              </w:rPr>
              <w:t>反馈监督数据，加强群众监督，改进污染治理工作</w:t>
            </w:r>
          </w:p>
        </w:tc>
      </w:tr>
      <w:tr w14:paraId="3228BB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79" w:type="pct"/>
            <w:vMerge w:val="continue"/>
            <w:tcBorders>
              <w:tl2br w:val="nil"/>
              <w:tr2bl w:val="nil"/>
            </w:tcBorders>
            <w:noWrap w:val="0"/>
            <w:vAlign w:val="center"/>
          </w:tcPr>
          <w:p w14:paraId="703F14A2">
            <w:pPr>
              <w:pageBreakBefore w:val="0"/>
              <w:widowControl/>
              <w:wordWrap/>
              <w:bidi w:val="0"/>
              <w:adjustRightInd/>
              <w:snapToGrid/>
              <w:spacing w:line="240" w:lineRule="auto"/>
              <w:ind w:firstLine="0" w:firstLineChars="0"/>
              <w:jc w:val="left"/>
              <w:rPr>
                <w:color w:val="auto"/>
                <w:sz w:val="21"/>
                <w:szCs w:val="21"/>
              </w:rPr>
            </w:pPr>
          </w:p>
        </w:tc>
        <w:tc>
          <w:tcPr>
            <w:tcW w:w="4020" w:type="pct"/>
            <w:tcBorders>
              <w:tl2br w:val="nil"/>
              <w:tr2bl w:val="nil"/>
            </w:tcBorders>
            <w:noWrap w:val="0"/>
            <w:vAlign w:val="center"/>
          </w:tcPr>
          <w:p w14:paraId="18D3CB80">
            <w:pPr>
              <w:pageBreakBefore w:val="0"/>
              <w:wordWrap/>
              <w:bidi w:val="0"/>
              <w:adjustRightInd/>
              <w:snapToGrid/>
              <w:spacing w:line="240" w:lineRule="auto"/>
              <w:ind w:firstLine="0" w:firstLineChars="0"/>
              <w:jc w:val="center"/>
              <w:rPr>
                <w:color w:val="auto"/>
                <w:sz w:val="21"/>
                <w:szCs w:val="21"/>
              </w:rPr>
            </w:pPr>
            <w:r>
              <w:rPr>
                <w:color w:val="auto"/>
                <w:sz w:val="21"/>
                <w:szCs w:val="21"/>
              </w:rPr>
              <w:t>建立奖惩制度确保环保设施正常运转；整理监测数据，技术部据此研究并改进环保治理措施；收集附近居民意见并</w:t>
            </w:r>
            <w:r>
              <w:rPr>
                <w:rFonts w:hint="eastAsia"/>
                <w:color w:val="auto"/>
                <w:sz w:val="21"/>
                <w:szCs w:val="21"/>
                <w:lang w:eastAsia="zh-CN"/>
              </w:rPr>
              <w:t>选举</w:t>
            </w:r>
            <w:r>
              <w:rPr>
                <w:color w:val="auto"/>
                <w:sz w:val="21"/>
                <w:szCs w:val="21"/>
              </w:rPr>
              <w:t>代表作为监督员</w:t>
            </w:r>
          </w:p>
        </w:tc>
      </w:tr>
    </w:tbl>
    <w:p w14:paraId="007E6CEA">
      <w:pPr>
        <w:pStyle w:val="5"/>
        <w:pageBreakBefore w:val="0"/>
        <w:wordWrap/>
        <w:bidi w:val="0"/>
        <w:adjustRightInd/>
        <w:snapToGrid/>
        <w:spacing w:before="48" w:after="48"/>
        <w:rPr>
          <w:rFonts w:eastAsia="宋体"/>
          <w:color w:val="auto"/>
        </w:rPr>
        <w:sectPr>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docGrid w:linePitch="312" w:charSpace="0"/>
        </w:sectPr>
      </w:pPr>
    </w:p>
    <w:p w14:paraId="509CAA64">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环境管理指标体系</w:t>
      </w:r>
    </w:p>
    <w:p w14:paraId="5CF5957D">
      <w:pPr>
        <w:pageBreakBefore w:val="0"/>
        <w:wordWrap/>
        <w:bidi w:val="0"/>
        <w:adjustRightInd/>
        <w:snapToGrid/>
        <w:ind w:firstLine="480"/>
        <w:rPr>
          <w:color w:val="auto"/>
          <w:szCs w:val="22"/>
        </w:rPr>
      </w:pPr>
      <w:r>
        <w:rPr>
          <w:color w:val="auto"/>
          <w:szCs w:val="22"/>
        </w:rPr>
        <w:t>为了提高企业环境管理水平，优化环境治理方案，要求建立企业环境管理指标体系，通过指标体系的完成情况，调整环保工作重点，做到全面落实，逐步提高。企业环境管理指标体系见</w:t>
      </w:r>
      <w:r>
        <w:rPr>
          <w:rFonts w:hint="eastAsia"/>
          <w:color w:val="auto"/>
          <w:szCs w:val="22"/>
          <w:lang w:val="en-US" w:eastAsia="zh-CN"/>
        </w:rPr>
        <w:t>下图</w:t>
      </w:r>
      <w:r>
        <w:rPr>
          <w:color w:val="auto"/>
          <w:szCs w:val="22"/>
        </w:rPr>
        <w:t>所示。</w:t>
      </w:r>
    </w:p>
    <w:p w14:paraId="7EDA3937">
      <w:pPr>
        <w:pageBreakBefore w:val="0"/>
        <w:wordWrap/>
        <w:bidi w:val="0"/>
        <w:adjustRightInd/>
        <w:snapToGrid/>
        <w:jc w:val="left"/>
        <w:rPr>
          <w:color w:val="auto"/>
          <w:szCs w:val="22"/>
        </w:rPr>
      </w:pPr>
      <w:r>
        <w:rPr>
          <w:color w:val="auto"/>
          <w:sz w:val="21"/>
          <w:szCs w:val="22"/>
        </w:rPr>
        <mc:AlternateContent>
          <mc:Choice Requires="wpg">
            <w:drawing>
              <wp:anchor distT="0" distB="0" distL="114300" distR="114300" simplePos="0" relativeHeight="251663360" behindDoc="0" locked="0" layoutInCell="1" allowOverlap="1">
                <wp:simplePos x="0" y="0"/>
                <wp:positionH relativeFrom="column">
                  <wp:posOffset>33020</wp:posOffset>
                </wp:positionH>
                <wp:positionV relativeFrom="paragraph">
                  <wp:posOffset>76200</wp:posOffset>
                </wp:positionV>
                <wp:extent cx="5200015" cy="2579370"/>
                <wp:effectExtent l="0" t="0" r="0" b="0"/>
                <wp:wrapNone/>
                <wp:docPr id="50" name="组合 768"/>
                <wp:cNvGraphicFramePr/>
                <a:graphic xmlns:a="http://schemas.openxmlformats.org/drawingml/2006/main">
                  <a:graphicData uri="http://schemas.microsoft.com/office/word/2010/wordprocessingGroup">
                    <wpg:wgp>
                      <wpg:cNvGrpSpPr/>
                      <wpg:grpSpPr>
                        <a:xfrm>
                          <a:off x="0" y="0"/>
                          <a:ext cx="5200015" cy="2579370"/>
                          <a:chOff x="1753" y="11232"/>
                          <a:chExt cx="7992" cy="3832"/>
                        </a:xfrm>
                      </wpg:grpSpPr>
                      <wps:wsp>
                        <wps:cNvPr id="4" name="文本框 574"/>
                        <wps:cNvSpPr txBox="1"/>
                        <wps:spPr>
                          <a:xfrm>
                            <a:off x="4023" y="11232"/>
                            <a:ext cx="2971" cy="36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87CEF94">
                              <w:pPr>
                                <w:adjustRightInd/>
                                <w:spacing w:line="240" w:lineRule="atLeast"/>
                                <w:ind w:firstLine="0" w:firstLineChars="0"/>
                                <w:jc w:val="center"/>
                                <w:rPr>
                                  <w:sz w:val="21"/>
                                  <w:szCs w:val="22"/>
                                </w:rPr>
                              </w:pPr>
                              <w:r>
                                <w:rPr>
                                  <w:rFonts w:hint="eastAsia"/>
                                  <w:sz w:val="21"/>
                                  <w:szCs w:val="22"/>
                                </w:rPr>
                                <w:t>环境管理指标体系</w:t>
                              </w:r>
                            </w:p>
                          </w:txbxContent>
                        </wps:txbx>
                        <wps:bodyPr wrap="square" lIns="10800" tIns="10800" rIns="10800" bIns="10800" upright="1"/>
                      </wps:wsp>
                      <wps:wsp>
                        <wps:cNvPr id="5" name="文本框 580"/>
                        <wps:cNvSpPr txBox="1"/>
                        <wps:spPr>
                          <a:xfrm>
                            <a:off x="3515" y="11936"/>
                            <a:ext cx="1415" cy="36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513C320">
                              <w:pPr>
                                <w:adjustRightInd/>
                                <w:spacing w:line="240" w:lineRule="atLeast"/>
                                <w:ind w:firstLine="0" w:firstLineChars="0"/>
                                <w:jc w:val="center"/>
                                <w:rPr>
                                  <w:sz w:val="21"/>
                                  <w:szCs w:val="22"/>
                                </w:rPr>
                              </w:pPr>
                              <w:r>
                                <w:rPr>
                                  <w:rFonts w:hint="eastAsia"/>
                                  <w:sz w:val="21"/>
                                  <w:szCs w:val="22"/>
                                </w:rPr>
                                <w:t>直接指标</w:t>
                              </w:r>
                            </w:p>
                          </w:txbxContent>
                        </wps:txbx>
                        <wps:bodyPr wrap="square" lIns="10800" tIns="10800" rIns="10800" bIns="10800" upright="1"/>
                      </wps:wsp>
                      <wps:wsp>
                        <wps:cNvPr id="6" name="文本框 579"/>
                        <wps:cNvSpPr txBox="1"/>
                        <wps:spPr>
                          <a:xfrm>
                            <a:off x="6320" y="11936"/>
                            <a:ext cx="1594" cy="36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C8DB5F6">
                              <w:pPr>
                                <w:adjustRightInd/>
                                <w:spacing w:line="240" w:lineRule="atLeast"/>
                                <w:ind w:firstLine="0" w:firstLineChars="0"/>
                                <w:jc w:val="center"/>
                                <w:rPr>
                                  <w:sz w:val="21"/>
                                  <w:szCs w:val="22"/>
                                </w:rPr>
                              </w:pPr>
                              <w:r>
                                <w:rPr>
                                  <w:rFonts w:hint="eastAsia"/>
                                  <w:sz w:val="21"/>
                                  <w:szCs w:val="22"/>
                                </w:rPr>
                                <w:t>间接指标</w:t>
                              </w:r>
                            </w:p>
                          </w:txbxContent>
                        </wps:txbx>
                        <wps:bodyPr wrap="square" lIns="10800" tIns="10800" rIns="10800" bIns="10800" upright="1"/>
                      </wps:wsp>
                      <wpg:grpSp>
                        <wpg:cNvPr id="13" name="组合 589"/>
                        <wpg:cNvGrpSpPr/>
                        <wpg:grpSpPr>
                          <a:xfrm>
                            <a:off x="1753" y="12761"/>
                            <a:ext cx="7882" cy="363"/>
                            <a:chOff x="0" y="0"/>
                            <a:chExt cx="8595" cy="393"/>
                          </a:xfrm>
                        </wpg:grpSpPr>
                        <wps:wsp>
                          <wps:cNvPr id="7" name="文本框 590"/>
                          <wps:cNvSpPr txBox="1"/>
                          <wps:spPr>
                            <a:xfrm>
                              <a:off x="0" y="0"/>
                              <a:ext cx="1200" cy="39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EA1206D">
                                <w:pPr>
                                  <w:adjustRightInd/>
                                  <w:spacing w:line="180" w:lineRule="atLeast"/>
                                  <w:ind w:firstLine="0" w:firstLineChars="0"/>
                                  <w:rPr>
                                    <w:sz w:val="18"/>
                                    <w:szCs w:val="22"/>
                                  </w:rPr>
                                </w:pPr>
                                <w:r>
                                  <w:rPr>
                                    <w:rFonts w:hint="eastAsia"/>
                                    <w:sz w:val="18"/>
                                    <w:szCs w:val="22"/>
                                  </w:rPr>
                                  <w:t>监督管理</w:t>
                                </w:r>
                              </w:p>
                            </w:txbxContent>
                          </wps:txbx>
                          <wps:bodyPr wrap="square" lIns="91440" tIns="10800" rIns="91440" bIns="10800" upright="1"/>
                        </wps:wsp>
                        <wps:wsp>
                          <wps:cNvPr id="8" name="文本框 591"/>
                          <wps:cNvSpPr txBox="1"/>
                          <wps:spPr>
                            <a:xfrm>
                              <a:off x="1290" y="0"/>
                              <a:ext cx="1620" cy="39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B2FC964">
                                <w:pPr>
                                  <w:adjustRightInd/>
                                  <w:spacing w:line="180" w:lineRule="atLeast"/>
                                  <w:ind w:firstLine="0" w:firstLineChars="0"/>
                                  <w:rPr>
                                    <w:sz w:val="18"/>
                                    <w:szCs w:val="22"/>
                                  </w:rPr>
                                </w:pPr>
                                <w:r>
                                  <w:rPr>
                                    <w:rFonts w:hint="eastAsia"/>
                                    <w:sz w:val="18"/>
                                    <w:szCs w:val="22"/>
                                  </w:rPr>
                                  <w:t>环境质量指标</w:t>
                                </w:r>
                              </w:p>
                            </w:txbxContent>
                          </wps:txbx>
                          <wps:bodyPr wrap="square" lIns="91440" tIns="10800" rIns="91440" bIns="10800" upright="1"/>
                        </wps:wsp>
                        <wps:wsp>
                          <wps:cNvPr id="9" name="文本框 592"/>
                          <wps:cNvSpPr txBox="1"/>
                          <wps:spPr>
                            <a:xfrm>
                              <a:off x="3030" y="0"/>
                              <a:ext cx="1620" cy="39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7E4D715">
                                <w:pPr>
                                  <w:adjustRightInd/>
                                  <w:spacing w:line="180" w:lineRule="atLeast"/>
                                  <w:ind w:firstLine="0" w:firstLineChars="0"/>
                                  <w:rPr>
                                    <w:sz w:val="18"/>
                                    <w:szCs w:val="22"/>
                                  </w:rPr>
                                </w:pPr>
                                <w:r>
                                  <w:rPr>
                                    <w:rFonts w:hint="eastAsia"/>
                                    <w:sz w:val="18"/>
                                    <w:szCs w:val="22"/>
                                  </w:rPr>
                                  <w:t>总量控制指标</w:t>
                                </w:r>
                              </w:p>
                            </w:txbxContent>
                          </wps:txbx>
                          <wps:bodyPr wrap="square" lIns="91440" tIns="10800" rIns="91440" bIns="10800" upright="1"/>
                        </wps:wsp>
                        <wps:wsp>
                          <wps:cNvPr id="10" name="文本框 593"/>
                          <wps:cNvSpPr txBox="1"/>
                          <wps:spPr>
                            <a:xfrm>
                              <a:off x="4890" y="0"/>
                              <a:ext cx="1170" cy="39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9B4ED4E">
                                <w:pPr>
                                  <w:adjustRightInd/>
                                  <w:spacing w:line="180" w:lineRule="atLeast"/>
                                  <w:ind w:firstLine="0" w:firstLineChars="0"/>
                                  <w:rPr>
                                    <w:sz w:val="18"/>
                                    <w:szCs w:val="22"/>
                                  </w:rPr>
                                </w:pPr>
                                <w:r>
                                  <w:rPr>
                                    <w:rFonts w:hint="eastAsia"/>
                                    <w:sz w:val="18"/>
                                    <w:szCs w:val="22"/>
                                  </w:rPr>
                                  <w:t>经济指标</w:t>
                                </w:r>
                              </w:p>
                            </w:txbxContent>
                          </wps:txbx>
                          <wps:bodyPr wrap="square" lIns="91440" tIns="10800" rIns="91440" bIns="10800" upright="1"/>
                        </wps:wsp>
                        <wps:wsp>
                          <wps:cNvPr id="11" name="文本框 594"/>
                          <wps:cNvSpPr txBox="1"/>
                          <wps:spPr>
                            <a:xfrm>
                              <a:off x="6150" y="0"/>
                              <a:ext cx="1170" cy="39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BAD74F2">
                                <w:pPr>
                                  <w:adjustRightInd/>
                                  <w:spacing w:line="240" w:lineRule="atLeast"/>
                                  <w:ind w:firstLine="0" w:firstLineChars="0"/>
                                  <w:rPr>
                                    <w:sz w:val="18"/>
                                    <w:szCs w:val="22"/>
                                  </w:rPr>
                                </w:pPr>
                                <w:r>
                                  <w:rPr>
                                    <w:rFonts w:hint="eastAsia"/>
                                    <w:sz w:val="18"/>
                                    <w:szCs w:val="22"/>
                                  </w:rPr>
                                  <w:t>社会指标</w:t>
                                </w:r>
                              </w:p>
                            </w:txbxContent>
                          </wps:txbx>
                          <wps:bodyPr wrap="square" lIns="91440" tIns="10800" rIns="91440" bIns="10800" upright="1"/>
                        </wps:wsp>
                        <wps:wsp>
                          <wps:cNvPr id="12" name="文本框 595"/>
                          <wps:cNvSpPr txBox="1"/>
                          <wps:spPr>
                            <a:xfrm>
                              <a:off x="7440" y="0"/>
                              <a:ext cx="1155" cy="39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8052CF1">
                                <w:pPr>
                                  <w:adjustRightInd/>
                                  <w:spacing w:line="240" w:lineRule="atLeast"/>
                                  <w:ind w:firstLine="0" w:firstLineChars="0"/>
                                  <w:rPr>
                                    <w:sz w:val="18"/>
                                    <w:szCs w:val="22"/>
                                  </w:rPr>
                                </w:pPr>
                                <w:r>
                                  <w:rPr>
                                    <w:rFonts w:hint="eastAsia"/>
                                    <w:sz w:val="18"/>
                                    <w:szCs w:val="22"/>
                                  </w:rPr>
                                  <w:t>生态指标</w:t>
                                </w:r>
                              </w:p>
                            </w:txbxContent>
                          </wps:txbx>
                          <wps:bodyPr wrap="square" lIns="91440" tIns="10800" rIns="91440" bIns="10800" upright="1"/>
                        </wps:wsp>
                      </wpg:grpSp>
                      <wps:wsp>
                        <wps:cNvPr id="14" name="文本框 618"/>
                        <wps:cNvSpPr txBox="1"/>
                        <wps:spPr>
                          <a:xfrm>
                            <a:off x="1767" y="13581"/>
                            <a:ext cx="486" cy="98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FF34D5A">
                              <w:pPr>
                                <w:adjustRightInd/>
                                <w:spacing w:line="240" w:lineRule="atLeast"/>
                                <w:ind w:firstLine="0" w:firstLineChars="0"/>
                                <w:jc w:val="center"/>
                                <w:rPr>
                                  <w:sz w:val="18"/>
                                  <w:szCs w:val="22"/>
                                </w:rPr>
                              </w:pPr>
                              <w:r>
                                <w:rPr>
                                  <w:rFonts w:hint="eastAsia"/>
                                  <w:sz w:val="18"/>
                                  <w:szCs w:val="22"/>
                                </w:rPr>
                                <w:t>三同时指标</w:t>
                              </w:r>
                            </w:p>
                          </w:txbxContent>
                        </wps:txbx>
                        <wps:bodyPr wrap="square" lIns="10800" tIns="10800" rIns="10800" bIns="10800" upright="1"/>
                      </wps:wsp>
                      <wps:wsp>
                        <wps:cNvPr id="15" name="文本框 617"/>
                        <wps:cNvSpPr txBox="1"/>
                        <wps:spPr>
                          <a:xfrm>
                            <a:off x="2386" y="13581"/>
                            <a:ext cx="495" cy="98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09EA553">
                              <w:pPr>
                                <w:adjustRightInd/>
                                <w:spacing w:line="240" w:lineRule="atLeast"/>
                                <w:ind w:firstLine="0" w:firstLineChars="0"/>
                                <w:jc w:val="center"/>
                                <w:rPr>
                                  <w:sz w:val="18"/>
                                  <w:szCs w:val="22"/>
                                </w:rPr>
                              </w:pPr>
                              <w:r>
                                <w:rPr>
                                  <w:rFonts w:hint="eastAsia"/>
                                  <w:sz w:val="18"/>
                                  <w:szCs w:val="22"/>
                                </w:rPr>
                                <w:t>法规情况指标</w:t>
                              </w:r>
                            </w:p>
                          </w:txbxContent>
                        </wps:txbx>
                        <wps:bodyPr wrap="square" lIns="10800" tIns="10800" rIns="10800" bIns="10800" upright="1"/>
                      </wps:wsp>
                      <wps:wsp>
                        <wps:cNvPr id="16" name="文本框 616"/>
                        <wps:cNvSpPr txBox="1"/>
                        <wps:spPr>
                          <a:xfrm>
                            <a:off x="3266" y="13573"/>
                            <a:ext cx="495" cy="99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E1095E9">
                              <w:pPr>
                                <w:adjustRightInd/>
                                <w:spacing w:line="240" w:lineRule="atLeast"/>
                                <w:ind w:firstLine="0" w:firstLineChars="0"/>
                                <w:jc w:val="center"/>
                                <w:rPr>
                                  <w:sz w:val="18"/>
                                  <w:szCs w:val="22"/>
                                </w:rPr>
                              </w:pPr>
                              <w:r>
                                <w:rPr>
                                  <w:rFonts w:hint="eastAsia"/>
                                  <w:sz w:val="18"/>
                                  <w:szCs w:val="22"/>
                                </w:rPr>
                                <w:t>废气及环境空气指标</w:t>
                              </w:r>
                            </w:p>
                          </w:txbxContent>
                        </wps:txbx>
                        <wps:bodyPr wrap="square" lIns="10800" tIns="10800" rIns="10800" bIns="10800" upright="1"/>
                      </wps:wsp>
                      <wps:wsp>
                        <wps:cNvPr id="17" name="文本框 615"/>
                        <wps:cNvSpPr txBox="1"/>
                        <wps:spPr>
                          <a:xfrm>
                            <a:off x="4119" y="13587"/>
                            <a:ext cx="495" cy="97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8B982A1">
                              <w:pPr>
                                <w:adjustRightInd/>
                                <w:spacing w:line="240" w:lineRule="atLeast"/>
                                <w:ind w:firstLine="0" w:firstLineChars="0"/>
                                <w:jc w:val="center"/>
                                <w:rPr>
                                  <w:sz w:val="18"/>
                                  <w:szCs w:val="22"/>
                                </w:rPr>
                              </w:pPr>
                              <w:r>
                                <w:rPr>
                                  <w:rFonts w:hint="eastAsia"/>
                                  <w:sz w:val="18"/>
                                  <w:szCs w:val="22"/>
                                </w:rPr>
                                <w:t>废水及水环境指标</w:t>
                              </w:r>
                            </w:p>
                          </w:txbxContent>
                        </wps:txbx>
                        <wps:bodyPr wrap="square" lIns="10800" tIns="10800" rIns="10800" bIns="10800" upright="1"/>
                      </wps:wsp>
                      <wps:wsp>
                        <wps:cNvPr id="18" name="文本框 614"/>
                        <wps:cNvSpPr txBox="1"/>
                        <wps:spPr>
                          <a:xfrm>
                            <a:off x="4766" y="13584"/>
                            <a:ext cx="495" cy="97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2246E32">
                              <w:pPr>
                                <w:adjustRightInd/>
                                <w:spacing w:line="240" w:lineRule="atLeast"/>
                                <w:ind w:firstLine="0" w:firstLineChars="0"/>
                                <w:jc w:val="center"/>
                                <w:rPr>
                                  <w:sz w:val="18"/>
                                  <w:szCs w:val="22"/>
                                </w:rPr>
                              </w:pPr>
                              <w:r>
                                <w:rPr>
                                  <w:rFonts w:hint="eastAsia"/>
                                  <w:sz w:val="18"/>
                                  <w:szCs w:val="22"/>
                                </w:rPr>
                                <w:t>噪声指标</w:t>
                              </w:r>
                            </w:p>
                          </w:txbxContent>
                        </wps:txbx>
                        <wps:bodyPr wrap="square" lIns="10800" tIns="10800" rIns="10800" bIns="10800" upright="1"/>
                      </wps:wsp>
                      <wps:wsp>
                        <wps:cNvPr id="19" name="文本框 613"/>
                        <wps:cNvSpPr txBox="1"/>
                        <wps:spPr>
                          <a:xfrm>
                            <a:off x="5412" y="13584"/>
                            <a:ext cx="495" cy="97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5E6EA0B">
                              <w:pPr>
                                <w:adjustRightInd/>
                                <w:spacing w:line="240" w:lineRule="atLeast"/>
                                <w:ind w:firstLine="0" w:firstLineChars="0"/>
                                <w:jc w:val="center"/>
                                <w:rPr>
                                  <w:sz w:val="18"/>
                                  <w:szCs w:val="22"/>
                                </w:rPr>
                              </w:pPr>
                              <w:r>
                                <w:rPr>
                                  <w:rFonts w:hint="eastAsia"/>
                                  <w:sz w:val="18"/>
                                  <w:szCs w:val="22"/>
                                </w:rPr>
                                <w:t>固废指标</w:t>
                              </w:r>
                            </w:p>
                          </w:txbxContent>
                        </wps:txbx>
                        <wps:bodyPr wrap="square" lIns="10800" tIns="10800" rIns="10800" bIns="10800" upright="1"/>
                      </wps:wsp>
                      <wps:wsp>
                        <wps:cNvPr id="20" name="文本框 612"/>
                        <wps:cNvSpPr txBox="1"/>
                        <wps:spPr>
                          <a:xfrm>
                            <a:off x="6251" y="13589"/>
                            <a:ext cx="495" cy="97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0AECFA4">
                              <w:pPr>
                                <w:adjustRightInd/>
                                <w:spacing w:line="240" w:lineRule="atLeast"/>
                                <w:ind w:firstLine="0" w:firstLineChars="0"/>
                                <w:jc w:val="center"/>
                                <w:rPr>
                                  <w:sz w:val="18"/>
                                  <w:szCs w:val="22"/>
                                </w:rPr>
                              </w:pPr>
                              <w:r>
                                <w:rPr>
                                  <w:rFonts w:hint="eastAsia"/>
                                  <w:sz w:val="18"/>
                                  <w:szCs w:val="22"/>
                                </w:rPr>
                                <w:t>产值指标</w:t>
                              </w:r>
                            </w:p>
                          </w:txbxContent>
                        </wps:txbx>
                        <wps:bodyPr wrap="square" lIns="10800" tIns="10800" rIns="10800" bIns="10800" upright="1"/>
                      </wps:wsp>
                      <wps:wsp>
                        <wps:cNvPr id="21" name="文本框 611"/>
                        <wps:cNvSpPr txBox="1"/>
                        <wps:spPr>
                          <a:xfrm>
                            <a:off x="6828" y="13589"/>
                            <a:ext cx="496" cy="97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C17287E">
                              <w:pPr>
                                <w:adjustRightInd/>
                                <w:spacing w:line="240" w:lineRule="atLeast"/>
                                <w:ind w:firstLine="0" w:firstLineChars="0"/>
                                <w:jc w:val="center"/>
                                <w:rPr>
                                  <w:sz w:val="18"/>
                                  <w:szCs w:val="22"/>
                                </w:rPr>
                              </w:pPr>
                              <w:r>
                                <w:rPr>
                                  <w:rFonts w:hint="eastAsia"/>
                                  <w:sz w:val="18"/>
                                  <w:szCs w:val="22"/>
                                </w:rPr>
                                <w:t>资源指标</w:t>
                              </w:r>
                            </w:p>
                          </w:txbxContent>
                        </wps:txbx>
                        <wps:bodyPr wrap="square" lIns="10800" tIns="10800" rIns="10800" bIns="10800" upright="1"/>
                      </wps:wsp>
                      <wps:wsp>
                        <wps:cNvPr id="22" name="文本框 610"/>
                        <wps:cNvSpPr txBox="1"/>
                        <wps:spPr>
                          <a:xfrm>
                            <a:off x="8630" y="13574"/>
                            <a:ext cx="496" cy="97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E254A5E">
                              <w:pPr>
                                <w:adjustRightInd/>
                                <w:spacing w:line="240" w:lineRule="atLeast"/>
                                <w:ind w:firstLine="0" w:firstLineChars="0"/>
                                <w:jc w:val="center"/>
                                <w:rPr>
                                  <w:sz w:val="18"/>
                                  <w:szCs w:val="22"/>
                                </w:rPr>
                              </w:pPr>
                              <w:r>
                                <w:rPr>
                                  <w:rFonts w:hint="eastAsia"/>
                                  <w:sz w:val="18"/>
                                  <w:szCs w:val="22"/>
                                </w:rPr>
                                <w:t>自然指标</w:t>
                              </w:r>
                            </w:p>
                          </w:txbxContent>
                        </wps:txbx>
                        <wps:bodyPr wrap="square" lIns="10800" tIns="10800" rIns="10800" bIns="10800" upright="1"/>
                      </wps:wsp>
                      <wps:wsp>
                        <wps:cNvPr id="23" name="文本框 609"/>
                        <wps:cNvSpPr txBox="1"/>
                        <wps:spPr>
                          <a:xfrm>
                            <a:off x="9250" y="13566"/>
                            <a:ext cx="495" cy="97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3819957">
                              <w:pPr>
                                <w:adjustRightInd/>
                                <w:spacing w:line="240" w:lineRule="atLeast"/>
                                <w:ind w:firstLine="0" w:firstLineChars="0"/>
                                <w:jc w:val="center"/>
                                <w:rPr>
                                  <w:sz w:val="18"/>
                                  <w:szCs w:val="22"/>
                                </w:rPr>
                              </w:pPr>
                              <w:r>
                                <w:rPr>
                                  <w:rFonts w:hint="eastAsia"/>
                                  <w:sz w:val="18"/>
                                  <w:szCs w:val="22"/>
                                </w:rPr>
                                <w:t>景观指标</w:t>
                              </w:r>
                            </w:p>
                          </w:txbxContent>
                        </wps:txbx>
                        <wps:bodyPr wrap="square" lIns="10800" tIns="10800" rIns="10800" bIns="10800" upright="1"/>
                      </wps:wsp>
                      <wps:wsp>
                        <wps:cNvPr id="24" name="直线 576"/>
                        <wps:cNvCnPr/>
                        <wps:spPr>
                          <a:xfrm>
                            <a:off x="4504" y="11618"/>
                            <a:ext cx="1" cy="288"/>
                          </a:xfrm>
                          <a:prstGeom prst="line">
                            <a:avLst/>
                          </a:prstGeom>
                          <a:ln w="9525" cap="flat" cmpd="sng">
                            <a:solidFill>
                              <a:srgbClr val="000000"/>
                            </a:solidFill>
                            <a:prstDash val="solid"/>
                            <a:headEnd type="none" w="med" len="med"/>
                            <a:tailEnd type="none" w="med" len="med"/>
                          </a:ln>
                        </wps:spPr>
                        <wps:bodyPr upright="1"/>
                      </wps:wsp>
                      <wps:wsp>
                        <wps:cNvPr id="25" name="直线 575"/>
                        <wps:cNvCnPr/>
                        <wps:spPr>
                          <a:xfrm>
                            <a:off x="6485" y="11618"/>
                            <a:ext cx="1" cy="288"/>
                          </a:xfrm>
                          <a:prstGeom prst="line">
                            <a:avLst/>
                          </a:prstGeom>
                          <a:ln w="9525" cap="flat" cmpd="sng">
                            <a:solidFill>
                              <a:srgbClr val="000000"/>
                            </a:solidFill>
                            <a:prstDash val="solid"/>
                            <a:headEnd type="none" w="med" len="med"/>
                            <a:tailEnd type="none" w="med" len="med"/>
                          </a:ln>
                        </wps:spPr>
                        <wps:bodyPr upright="1"/>
                      </wps:wsp>
                      <wps:wsp>
                        <wps:cNvPr id="26" name="直线 588"/>
                        <wps:cNvCnPr/>
                        <wps:spPr>
                          <a:xfrm>
                            <a:off x="2193" y="12514"/>
                            <a:ext cx="3136" cy="1"/>
                          </a:xfrm>
                          <a:prstGeom prst="line">
                            <a:avLst/>
                          </a:prstGeom>
                          <a:ln w="9525" cap="flat" cmpd="sng">
                            <a:solidFill>
                              <a:srgbClr val="000000"/>
                            </a:solidFill>
                            <a:prstDash val="solid"/>
                            <a:headEnd type="none" w="med" len="med"/>
                            <a:tailEnd type="none" w="med" len="med"/>
                          </a:ln>
                        </wps:spPr>
                        <wps:bodyPr upright="1"/>
                      </wps:wsp>
                      <wps:wsp>
                        <wps:cNvPr id="27" name="直线 578"/>
                        <wps:cNvCnPr/>
                        <wps:spPr>
                          <a:xfrm>
                            <a:off x="4009" y="12298"/>
                            <a:ext cx="1" cy="230"/>
                          </a:xfrm>
                          <a:prstGeom prst="line">
                            <a:avLst/>
                          </a:prstGeom>
                          <a:ln w="9525" cap="flat" cmpd="sng">
                            <a:solidFill>
                              <a:srgbClr val="000000"/>
                            </a:solidFill>
                            <a:prstDash val="solid"/>
                            <a:headEnd type="none" w="med" len="med"/>
                            <a:tailEnd type="none" w="med" len="med"/>
                          </a:ln>
                        </wps:spPr>
                        <wps:bodyPr upright="1"/>
                      </wps:wsp>
                      <wps:wsp>
                        <wps:cNvPr id="28" name="直线 587"/>
                        <wps:cNvCnPr/>
                        <wps:spPr>
                          <a:xfrm>
                            <a:off x="2193" y="12533"/>
                            <a:ext cx="1" cy="231"/>
                          </a:xfrm>
                          <a:prstGeom prst="line">
                            <a:avLst/>
                          </a:prstGeom>
                          <a:ln w="9525" cap="flat" cmpd="sng">
                            <a:solidFill>
                              <a:srgbClr val="000000"/>
                            </a:solidFill>
                            <a:prstDash val="solid"/>
                            <a:headEnd type="none" w="med" len="med"/>
                            <a:tailEnd type="none" w="med" len="med"/>
                          </a:ln>
                        </wps:spPr>
                        <wps:bodyPr upright="1"/>
                      </wps:wsp>
                      <wps:wsp>
                        <wps:cNvPr id="29" name="直线 586"/>
                        <wps:cNvCnPr/>
                        <wps:spPr>
                          <a:xfrm>
                            <a:off x="3665" y="12514"/>
                            <a:ext cx="1" cy="230"/>
                          </a:xfrm>
                          <a:prstGeom prst="line">
                            <a:avLst/>
                          </a:prstGeom>
                          <a:ln w="9525" cap="flat" cmpd="sng">
                            <a:solidFill>
                              <a:srgbClr val="000000"/>
                            </a:solidFill>
                            <a:prstDash val="solid"/>
                            <a:headEnd type="none" w="med" len="med"/>
                            <a:tailEnd type="none" w="med" len="med"/>
                          </a:ln>
                        </wps:spPr>
                        <wps:bodyPr upright="1"/>
                      </wps:wsp>
                      <wps:wsp>
                        <wps:cNvPr id="30" name="直线 585"/>
                        <wps:cNvCnPr/>
                        <wps:spPr>
                          <a:xfrm>
                            <a:off x="5329" y="12514"/>
                            <a:ext cx="1" cy="230"/>
                          </a:xfrm>
                          <a:prstGeom prst="line">
                            <a:avLst/>
                          </a:prstGeom>
                          <a:ln w="9525" cap="flat" cmpd="sng">
                            <a:solidFill>
                              <a:srgbClr val="000000"/>
                            </a:solidFill>
                            <a:prstDash val="solid"/>
                            <a:headEnd type="none" w="med" len="med"/>
                            <a:tailEnd type="none" w="med" len="med"/>
                          </a:ln>
                        </wps:spPr>
                        <wps:bodyPr upright="1"/>
                      </wps:wsp>
                      <wps:wsp>
                        <wps:cNvPr id="31" name="直线 584"/>
                        <wps:cNvCnPr/>
                        <wps:spPr>
                          <a:xfrm>
                            <a:off x="6650" y="12514"/>
                            <a:ext cx="2476" cy="1"/>
                          </a:xfrm>
                          <a:prstGeom prst="line">
                            <a:avLst/>
                          </a:prstGeom>
                          <a:ln w="9525" cap="flat" cmpd="sng">
                            <a:solidFill>
                              <a:srgbClr val="000000"/>
                            </a:solidFill>
                            <a:prstDash val="solid"/>
                            <a:headEnd type="none" w="med" len="med"/>
                            <a:tailEnd type="none" w="med" len="med"/>
                          </a:ln>
                        </wps:spPr>
                        <wps:bodyPr upright="1"/>
                      </wps:wsp>
                      <wps:wsp>
                        <wps:cNvPr id="32" name="直线 577"/>
                        <wps:cNvCnPr/>
                        <wps:spPr>
                          <a:xfrm>
                            <a:off x="7338" y="12309"/>
                            <a:ext cx="1" cy="229"/>
                          </a:xfrm>
                          <a:prstGeom prst="line">
                            <a:avLst/>
                          </a:prstGeom>
                          <a:ln w="9525" cap="flat" cmpd="sng">
                            <a:solidFill>
                              <a:srgbClr val="000000"/>
                            </a:solidFill>
                            <a:prstDash val="solid"/>
                            <a:headEnd type="none" w="med" len="med"/>
                            <a:tailEnd type="none" w="med" len="med"/>
                          </a:ln>
                        </wps:spPr>
                        <wps:bodyPr upright="1"/>
                      </wps:wsp>
                      <wps:wsp>
                        <wps:cNvPr id="33" name="直线 583"/>
                        <wps:cNvCnPr/>
                        <wps:spPr>
                          <a:xfrm>
                            <a:off x="6650" y="12514"/>
                            <a:ext cx="1" cy="230"/>
                          </a:xfrm>
                          <a:prstGeom prst="line">
                            <a:avLst/>
                          </a:prstGeom>
                          <a:ln w="9525" cap="flat" cmpd="sng">
                            <a:solidFill>
                              <a:srgbClr val="000000"/>
                            </a:solidFill>
                            <a:prstDash val="solid"/>
                            <a:headEnd type="none" w="med" len="med"/>
                            <a:tailEnd type="none" w="med" len="med"/>
                          </a:ln>
                        </wps:spPr>
                        <wps:bodyPr upright="1"/>
                      </wps:wsp>
                      <wps:wsp>
                        <wps:cNvPr id="34" name="直线 582"/>
                        <wps:cNvCnPr/>
                        <wps:spPr>
                          <a:xfrm>
                            <a:off x="7929" y="12514"/>
                            <a:ext cx="1" cy="230"/>
                          </a:xfrm>
                          <a:prstGeom prst="line">
                            <a:avLst/>
                          </a:prstGeom>
                          <a:ln w="9525" cap="flat" cmpd="sng">
                            <a:solidFill>
                              <a:srgbClr val="000000"/>
                            </a:solidFill>
                            <a:prstDash val="solid"/>
                            <a:headEnd type="none" w="med" len="med"/>
                            <a:tailEnd type="none" w="med" len="med"/>
                          </a:ln>
                        </wps:spPr>
                        <wps:bodyPr upright="1"/>
                      </wps:wsp>
                      <wps:wsp>
                        <wps:cNvPr id="35" name="直线 581"/>
                        <wps:cNvCnPr/>
                        <wps:spPr>
                          <a:xfrm>
                            <a:off x="9126" y="12514"/>
                            <a:ext cx="1" cy="230"/>
                          </a:xfrm>
                          <a:prstGeom prst="line">
                            <a:avLst/>
                          </a:prstGeom>
                          <a:ln w="9525" cap="flat" cmpd="sng">
                            <a:solidFill>
                              <a:srgbClr val="000000"/>
                            </a:solidFill>
                            <a:prstDash val="solid"/>
                            <a:headEnd type="none" w="med" len="med"/>
                            <a:tailEnd type="none" w="med" len="med"/>
                          </a:ln>
                        </wps:spPr>
                        <wps:bodyPr upright="1"/>
                      </wps:wsp>
                      <wps:wsp>
                        <wps:cNvPr id="36" name="直线 603"/>
                        <wps:cNvCnPr/>
                        <wps:spPr>
                          <a:xfrm>
                            <a:off x="3679" y="13134"/>
                            <a:ext cx="1" cy="230"/>
                          </a:xfrm>
                          <a:prstGeom prst="line">
                            <a:avLst/>
                          </a:prstGeom>
                          <a:ln w="9525" cap="flat" cmpd="sng">
                            <a:solidFill>
                              <a:srgbClr val="000000"/>
                            </a:solidFill>
                            <a:prstDash val="solid"/>
                            <a:headEnd type="none" w="med" len="med"/>
                            <a:tailEnd type="none" w="med" len="med"/>
                          </a:ln>
                        </wps:spPr>
                        <wps:bodyPr upright="1"/>
                      </wps:wsp>
                      <wps:wsp>
                        <wps:cNvPr id="37" name="直线 602"/>
                        <wps:cNvCnPr/>
                        <wps:spPr>
                          <a:xfrm>
                            <a:off x="5329" y="13134"/>
                            <a:ext cx="1" cy="230"/>
                          </a:xfrm>
                          <a:prstGeom prst="line">
                            <a:avLst/>
                          </a:prstGeom>
                          <a:ln w="9525" cap="flat" cmpd="sng">
                            <a:solidFill>
                              <a:srgbClr val="000000"/>
                            </a:solidFill>
                            <a:prstDash val="solid"/>
                            <a:headEnd type="none" w="med" len="med"/>
                            <a:tailEnd type="none" w="med" len="med"/>
                          </a:ln>
                        </wps:spPr>
                        <wps:bodyPr upright="1"/>
                      </wps:wsp>
                      <wps:wsp>
                        <wps:cNvPr id="38" name="直线 608"/>
                        <wps:cNvCnPr/>
                        <wps:spPr>
                          <a:xfrm>
                            <a:off x="3513" y="13349"/>
                            <a:ext cx="2146" cy="1"/>
                          </a:xfrm>
                          <a:prstGeom prst="line">
                            <a:avLst/>
                          </a:prstGeom>
                          <a:ln w="9525" cap="flat" cmpd="sng">
                            <a:solidFill>
                              <a:srgbClr val="000000"/>
                            </a:solidFill>
                            <a:prstDash val="solid"/>
                            <a:headEnd type="none" w="med" len="med"/>
                            <a:tailEnd type="none" w="med" len="med"/>
                          </a:ln>
                        </wps:spPr>
                        <wps:bodyPr upright="1"/>
                      </wps:wsp>
                      <wps:wsp>
                        <wps:cNvPr id="39" name="直线 607"/>
                        <wps:cNvCnPr/>
                        <wps:spPr>
                          <a:xfrm>
                            <a:off x="5659" y="13368"/>
                            <a:ext cx="1" cy="231"/>
                          </a:xfrm>
                          <a:prstGeom prst="line">
                            <a:avLst/>
                          </a:prstGeom>
                          <a:ln w="9525" cap="flat" cmpd="sng">
                            <a:solidFill>
                              <a:srgbClr val="000000"/>
                            </a:solidFill>
                            <a:prstDash val="solid"/>
                            <a:headEnd type="none" w="med" len="med"/>
                            <a:tailEnd type="none" w="med" len="med"/>
                          </a:ln>
                        </wps:spPr>
                        <wps:bodyPr upright="1"/>
                      </wps:wsp>
                      <wps:wsp>
                        <wps:cNvPr id="40" name="直线 606"/>
                        <wps:cNvCnPr/>
                        <wps:spPr>
                          <a:xfrm>
                            <a:off x="3513" y="13355"/>
                            <a:ext cx="1" cy="230"/>
                          </a:xfrm>
                          <a:prstGeom prst="line">
                            <a:avLst/>
                          </a:prstGeom>
                          <a:ln w="9525" cap="flat" cmpd="sng">
                            <a:solidFill>
                              <a:srgbClr val="000000"/>
                            </a:solidFill>
                            <a:prstDash val="solid"/>
                            <a:headEnd type="none" w="med" len="med"/>
                            <a:tailEnd type="none" w="med" len="med"/>
                          </a:ln>
                        </wps:spPr>
                        <wps:bodyPr upright="1"/>
                      </wps:wsp>
                      <wps:wsp>
                        <wps:cNvPr id="41" name="直线 605"/>
                        <wps:cNvCnPr/>
                        <wps:spPr>
                          <a:xfrm>
                            <a:off x="5000" y="13349"/>
                            <a:ext cx="1" cy="230"/>
                          </a:xfrm>
                          <a:prstGeom prst="line">
                            <a:avLst/>
                          </a:prstGeom>
                          <a:ln w="9525" cap="flat" cmpd="sng">
                            <a:solidFill>
                              <a:srgbClr val="000000"/>
                            </a:solidFill>
                            <a:prstDash val="solid"/>
                            <a:headEnd type="none" w="med" len="med"/>
                            <a:tailEnd type="none" w="med" len="med"/>
                          </a:ln>
                        </wps:spPr>
                        <wps:bodyPr upright="1"/>
                      </wps:wsp>
                      <wps:wsp>
                        <wps:cNvPr id="42" name="直线 604"/>
                        <wps:cNvCnPr/>
                        <wps:spPr>
                          <a:xfrm>
                            <a:off x="4366" y="13349"/>
                            <a:ext cx="1" cy="230"/>
                          </a:xfrm>
                          <a:prstGeom prst="line">
                            <a:avLst/>
                          </a:prstGeom>
                          <a:ln w="9525" cap="flat" cmpd="sng">
                            <a:solidFill>
                              <a:srgbClr val="000000"/>
                            </a:solidFill>
                            <a:prstDash val="solid"/>
                            <a:headEnd type="none" w="med" len="med"/>
                            <a:tailEnd type="none" w="med" len="med"/>
                          </a:ln>
                        </wps:spPr>
                        <wps:bodyPr upright="1"/>
                      </wps:wsp>
                      <wps:wsp>
                        <wps:cNvPr id="43" name="直线 601"/>
                        <wps:cNvCnPr/>
                        <wps:spPr>
                          <a:xfrm>
                            <a:off x="6485" y="13114"/>
                            <a:ext cx="1" cy="500"/>
                          </a:xfrm>
                          <a:prstGeom prst="line">
                            <a:avLst/>
                          </a:prstGeom>
                          <a:ln w="9525" cap="flat" cmpd="sng">
                            <a:solidFill>
                              <a:srgbClr val="000000"/>
                            </a:solidFill>
                            <a:prstDash val="solid"/>
                            <a:headEnd type="none" w="med" len="med"/>
                            <a:tailEnd type="none" w="med" len="med"/>
                          </a:ln>
                        </wps:spPr>
                        <wps:bodyPr upright="1"/>
                      </wps:wsp>
                      <wps:wsp>
                        <wps:cNvPr id="44" name="直线 600"/>
                        <wps:cNvCnPr/>
                        <wps:spPr>
                          <a:xfrm>
                            <a:off x="7076" y="13131"/>
                            <a:ext cx="1" cy="501"/>
                          </a:xfrm>
                          <a:prstGeom prst="line">
                            <a:avLst/>
                          </a:prstGeom>
                          <a:ln w="9525" cap="flat" cmpd="sng">
                            <a:solidFill>
                              <a:srgbClr val="000000"/>
                            </a:solidFill>
                            <a:prstDash val="solid"/>
                            <a:headEnd type="none" w="med" len="med"/>
                            <a:tailEnd type="none" w="med" len="med"/>
                          </a:ln>
                        </wps:spPr>
                        <wps:bodyPr upright="1"/>
                      </wps:wsp>
                      <wps:wsp>
                        <wps:cNvPr id="45" name="直线 599"/>
                        <wps:cNvCnPr/>
                        <wps:spPr>
                          <a:xfrm>
                            <a:off x="8878" y="13111"/>
                            <a:ext cx="1" cy="500"/>
                          </a:xfrm>
                          <a:prstGeom prst="line">
                            <a:avLst/>
                          </a:prstGeom>
                          <a:ln w="9525" cap="flat" cmpd="sng">
                            <a:solidFill>
                              <a:srgbClr val="000000"/>
                            </a:solidFill>
                            <a:prstDash val="solid"/>
                            <a:headEnd type="none" w="med" len="med"/>
                            <a:tailEnd type="none" w="med" len="med"/>
                          </a:ln>
                        </wps:spPr>
                        <wps:bodyPr upright="1"/>
                      </wps:wsp>
                      <wps:wsp>
                        <wps:cNvPr id="46" name="直线 598"/>
                        <wps:cNvCnPr/>
                        <wps:spPr>
                          <a:xfrm>
                            <a:off x="9483" y="13104"/>
                            <a:ext cx="1" cy="499"/>
                          </a:xfrm>
                          <a:prstGeom prst="line">
                            <a:avLst/>
                          </a:prstGeom>
                          <a:ln w="9525" cap="flat" cmpd="sng">
                            <a:solidFill>
                              <a:srgbClr val="000000"/>
                            </a:solidFill>
                            <a:prstDash val="solid"/>
                            <a:headEnd type="none" w="med" len="med"/>
                            <a:tailEnd type="none" w="med" len="med"/>
                          </a:ln>
                        </wps:spPr>
                        <wps:bodyPr upright="1"/>
                      </wps:wsp>
                      <wps:wsp>
                        <wps:cNvPr id="47" name="直线 597"/>
                        <wps:cNvCnPr/>
                        <wps:spPr>
                          <a:xfrm>
                            <a:off x="2634" y="13117"/>
                            <a:ext cx="1" cy="501"/>
                          </a:xfrm>
                          <a:prstGeom prst="line">
                            <a:avLst/>
                          </a:prstGeom>
                          <a:ln w="9525" cap="flat" cmpd="sng">
                            <a:solidFill>
                              <a:srgbClr val="000000"/>
                            </a:solidFill>
                            <a:prstDash val="solid"/>
                            <a:headEnd type="none" w="med" len="med"/>
                            <a:tailEnd type="none" w="med" len="med"/>
                          </a:ln>
                        </wps:spPr>
                        <wps:bodyPr upright="1"/>
                      </wps:wsp>
                      <wps:wsp>
                        <wps:cNvPr id="48" name="直线 596"/>
                        <wps:cNvCnPr/>
                        <wps:spPr>
                          <a:xfrm>
                            <a:off x="2001" y="13111"/>
                            <a:ext cx="1" cy="500"/>
                          </a:xfrm>
                          <a:prstGeom prst="line">
                            <a:avLst/>
                          </a:prstGeom>
                          <a:ln w="9525" cap="flat" cmpd="sng">
                            <a:solidFill>
                              <a:srgbClr val="000000"/>
                            </a:solidFill>
                            <a:prstDash val="solid"/>
                            <a:headEnd type="none" w="med" len="med"/>
                            <a:tailEnd type="none" w="med" len="med"/>
                          </a:ln>
                        </wps:spPr>
                        <wps:bodyPr upright="1"/>
                      </wps:wsp>
                      <wps:wsp>
                        <wps:cNvPr id="49" name="文本框 619"/>
                        <wps:cNvSpPr txBox="1"/>
                        <wps:spPr>
                          <a:xfrm>
                            <a:off x="3585" y="14633"/>
                            <a:ext cx="5060" cy="431"/>
                          </a:xfrm>
                          <a:prstGeom prst="rect">
                            <a:avLst/>
                          </a:prstGeom>
                          <a:solidFill>
                            <a:srgbClr val="FFFFFF"/>
                          </a:solidFill>
                          <a:ln>
                            <a:noFill/>
                          </a:ln>
                        </wps:spPr>
                        <wps:txbx>
                          <w:txbxContent>
                            <w:p w14:paraId="643A5C91">
                              <w:pPr>
                                <w:adjustRightInd/>
                                <w:ind w:firstLine="0" w:firstLineChars="0"/>
                                <w:jc w:val="center"/>
                                <w:rPr>
                                  <w:b/>
                                  <w:sz w:val="21"/>
                                  <w:szCs w:val="21"/>
                                </w:rPr>
                              </w:pPr>
                              <w:r>
                                <w:rPr>
                                  <w:b/>
                                  <w:sz w:val="21"/>
                                  <w:szCs w:val="21"/>
                                </w:rPr>
                                <w:t>图</w:t>
                              </w:r>
                              <w:r>
                                <w:rPr>
                                  <w:rFonts w:hint="eastAsia"/>
                                  <w:b/>
                                  <w:sz w:val="21"/>
                                  <w:szCs w:val="21"/>
                                  <w:lang w:val="en-US" w:eastAsia="zh-CN"/>
                                </w:rPr>
                                <w:t>8</w:t>
                              </w:r>
                              <w:r>
                                <w:rPr>
                                  <w:rFonts w:hint="eastAsia"/>
                                  <w:b/>
                                  <w:sz w:val="21"/>
                                  <w:szCs w:val="21"/>
                                </w:rPr>
                                <w:t>.3</w:t>
                              </w:r>
                              <w:r>
                                <w:rPr>
                                  <w:b/>
                                  <w:sz w:val="21"/>
                                  <w:szCs w:val="21"/>
                                </w:rPr>
                                <w:t>-</w:t>
                              </w:r>
                              <w:r>
                                <w:rPr>
                                  <w:rFonts w:hint="eastAsia"/>
                                  <w:b/>
                                  <w:sz w:val="21"/>
                                  <w:szCs w:val="21"/>
                                  <w:lang w:eastAsia="zh-CN"/>
                                </w:rPr>
                                <w:t>1</w:t>
                              </w:r>
                              <w:r>
                                <w:rPr>
                                  <w:b/>
                                  <w:sz w:val="21"/>
                                  <w:szCs w:val="21"/>
                                </w:rPr>
                                <w:t xml:space="preserve"> </w:t>
                              </w:r>
                              <w:r>
                                <w:rPr>
                                  <w:rFonts w:hint="eastAsia"/>
                                  <w:b/>
                                  <w:sz w:val="21"/>
                                  <w:szCs w:val="21"/>
                                </w:rPr>
                                <w:t>企业</w:t>
                              </w:r>
                              <w:r>
                                <w:rPr>
                                  <w:b/>
                                  <w:sz w:val="21"/>
                                  <w:szCs w:val="21"/>
                                </w:rPr>
                                <w:t>环境管理指标体系分类结构</w:t>
                              </w:r>
                            </w:p>
                          </w:txbxContent>
                        </wps:txbx>
                        <wps:bodyPr wrap="square" lIns="10800" tIns="10800" rIns="10800" bIns="10800" upright="1"/>
                      </wps:wsp>
                    </wpg:wgp>
                  </a:graphicData>
                </a:graphic>
              </wp:anchor>
            </w:drawing>
          </mc:Choice>
          <mc:Fallback>
            <w:pict>
              <v:group id="组合 768" o:spid="_x0000_s1026" o:spt="203" style="position:absolute;left:0pt;margin-left:2.6pt;margin-top:6pt;height:203.1pt;width:409.45pt;z-index:251663360;mso-width-relative:page;mso-height-relative:page;" coordorigin="1753,11232" coordsize="7992,3832" o:gfxdata="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">
                <o:lock v:ext="edit" aspectratio="f"/>
                <v:shape id="文本框 574" o:spid="_x0000_s1026" o:spt="202" type="#_x0000_t202" style="position:absolute;left:4023;top:11232;height:364;width:2971;" fillcolor="#FFFFFF" filled="t" stroked="t" coordsize="21600,21600" o:gfxdata="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dgAj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3mm,0.3mm,0.3mm,0.3mm">
                    <w:txbxContent>
                      <w:p w14:paraId="087CEF94">
                        <w:pPr>
                          <w:adjustRightInd/>
                          <w:spacing w:line="240" w:lineRule="atLeast"/>
                          <w:ind w:firstLine="0" w:firstLineChars="0"/>
                          <w:jc w:val="center"/>
                          <w:rPr>
                            <w:sz w:val="21"/>
                            <w:szCs w:val="22"/>
                          </w:rPr>
                        </w:pPr>
                        <w:r>
                          <w:rPr>
                            <w:rFonts w:hint="eastAsia"/>
                            <w:sz w:val="21"/>
                            <w:szCs w:val="22"/>
                          </w:rPr>
                          <w:t>环境管理指标体系</w:t>
                        </w:r>
                      </w:p>
                    </w:txbxContent>
                  </v:textbox>
                </v:shape>
                <v:shape id="文本框 580" o:spid="_x0000_s1026" o:spt="202" type="#_x0000_t202" style="position:absolute;left:3515;top:11936;height:364;width:1415;" fillcolor="#FFFFFF" filled="t" stroked="t" coordsize="21600,21600" o:gfxdata="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g6pbi8AAAA&#10;2g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3mm,0.3mm,0.3mm,0.3mm">
                    <w:txbxContent>
                      <w:p w14:paraId="1513C320">
                        <w:pPr>
                          <w:adjustRightInd/>
                          <w:spacing w:line="240" w:lineRule="atLeast"/>
                          <w:ind w:firstLine="0" w:firstLineChars="0"/>
                          <w:jc w:val="center"/>
                          <w:rPr>
                            <w:sz w:val="21"/>
                            <w:szCs w:val="22"/>
                          </w:rPr>
                        </w:pPr>
                        <w:r>
                          <w:rPr>
                            <w:rFonts w:hint="eastAsia"/>
                            <w:sz w:val="21"/>
                            <w:szCs w:val="22"/>
                          </w:rPr>
                          <w:t>直接指标</w:t>
                        </w:r>
                      </w:p>
                    </w:txbxContent>
                  </v:textbox>
                </v:shape>
                <v:shape id="文本框 579" o:spid="_x0000_s1026" o:spt="202" type="#_x0000_t202" style="position:absolute;left:6320;top:11936;height:364;width:1594;" fillcolor="#FFFFFF" filled="t" stroked="t" coordsize="21600,21600" o:gfxdata="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joO8+8AAAA&#10;2g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3mm,0.3mm,0.3mm,0.3mm">
                    <w:txbxContent>
                      <w:p w14:paraId="7C8DB5F6">
                        <w:pPr>
                          <w:adjustRightInd/>
                          <w:spacing w:line="240" w:lineRule="atLeast"/>
                          <w:ind w:firstLine="0" w:firstLineChars="0"/>
                          <w:jc w:val="center"/>
                          <w:rPr>
                            <w:sz w:val="21"/>
                            <w:szCs w:val="22"/>
                          </w:rPr>
                        </w:pPr>
                        <w:r>
                          <w:rPr>
                            <w:rFonts w:hint="eastAsia"/>
                            <w:sz w:val="21"/>
                            <w:szCs w:val="22"/>
                          </w:rPr>
                          <w:t>间接指标</w:t>
                        </w:r>
                      </w:p>
                    </w:txbxContent>
                  </v:textbox>
                </v:shape>
                <v:group id="组合 589" o:spid="_x0000_s1026" o:spt="203" style="position:absolute;left:1753;top:12761;height:363;width:7882;" coordsize="8595,393" o:gfxdata="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ALcD2K7AAAA2wAAAA8AAAAAAAAAAQAgAAAAIgAAAGRycy9kb3ducmV2LnhtbFBL&#10;AQIUABQAAAAIAIdO4kAzLwWeOwAAADkAAAAVAAAAAAAAAAEAIAAAAAoBAABkcnMvZ3JvdXBzaGFw&#10;ZXhtbC54bWxQSwUGAAAAAAYABgBgAQAAxwMAAAAA&#10;">
                  <o:lock v:ext="edit" aspectratio="f"/>
                  <v:shape id="文本框 590" o:spid="_x0000_s1026" o:spt="202" type="#_x0000_t202" style="position:absolute;left:0;top:0;height:393;width:1200;" fillcolor="#FFFFFF" filled="t" stroked="t" coordsize="21600,21600" o:gfxdata="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tz7qe/&#10;AAAA2g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2.54mm,0.3mm,2.54mm,0.3mm">
                      <w:txbxContent>
                        <w:p w14:paraId="2EA1206D">
                          <w:pPr>
                            <w:adjustRightInd/>
                            <w:spacing w:line="180" w:lineRule="atLeast"/>
                            <w:ind w:firstLine="0" w:firstLineChars="0"/>
                            <w:rPr>
                              <w:sz w:val="18"/>
                              <w:szCs w:val="22"/>
                            </w:rPr>
                          </w:pPr>
                          <w:r>
                            <w:rPr>
                              <w:rFonts w:hint="eastAsia"/>
                              <w:sz w:val="18"/>
                              <w:szCs w:val="22"/>
                            </w:rPr>
                            <w:t>监督管理</w:t>
                          </w:r>
                        </w:p>
                      </w:txbxContent>
                    </v:textbox>
                  </v:shape>
                  <v:shape id="文本框 591" o:spid="_x0000_s1026" o:spt="202" type="#_x0000_t202" style="position:absolute;left:1290;top:0;height:393;width:1620;" fillcolor="#FFFFFF" filled="t" stroked="t" coordsize="21600,21600" o:gfxdata="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a7HrVugAAANo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inset="2.54mm,0.3mm,2.54mm,0.3mm">
                      <w:txbxContent>
                        <w:p w14:paraId="3B2FC964">
                          <w:pPr>
                            <w:adjustRightInd/>
                            <w:spacing w:line="180" w:lineRule="atLeast"/>
                            <w:ind w:firstLine="0" w:firstLineChars="0"/>
                            <w:rPr>
                              <w:sz w:val="18"/>
                              <w:szCs w:val="22"/>
                            </w:rPr>
                          </w:pPr>
                          <w:r>
                            <w:rPr>
                              <w:rFonts w:hint="eastAsia"/>
                              <w:sz w:val="18"/>
                              <w:szCs w:val="22"/>
                            </w:rPr>
                            <w:t>环境质量指标</w:t>
                          </w:r>
                        </w:p>
                      </w:txbxContent>
                    </v:textbox>
                  </v:shape>
                  <v:shape id="文本框 592" o:spid="_x0000_s1026" o:spt="202" type="#_x0000_t202" style="position:absolute;left:3030;top:0;height:393;width:1620;" fillcolor="#FFFFFF" filled="t" stroked="t" coordsize="21600,21600" o:gfxdata="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1oN9O&#10;wAAAANo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2.54mm,0.3mm,2.54mm,0.3mm">
                      <w:txbxContent>
                        <w:p w14:paraId="57E4D715">
                          <w:pPr>
                            <w:adjustRightInd/>
                            <w:spacing w:line="180" w:lineRule="atLeast"/>
                            <w:ind w:firstLine="0" w:firstLineChars="0"/>
                            <w:rPr>
                              <w:sz w:val="18"/>
                              <w:szCs w:val="22"/>
                            </w:rPr>
                          </w:pPr>
                          <w:r>
                            <w:rPr>
                              <w:rFonts w:hint="eastAsia"/>
                              <w:sz w:val="18"/>
                              <w:szCs w:val="22"/>
                            </w:rPr>
                            <w:t>总量控制指标</w:t>
                          </w:r>
                        </w:p>
                      </w:txbxContent>
                    </v:textbox>
                  </v:shape>
                  <v:shape id="文本框 593" o:spid="_x0000_s1026" o:spt="202" type="#_x0000_t202" style="position:absolute;left:4890;top:0;height:393;width:1170;" fillcolor="#FFFFFF" filled="t" stroked="t" coordsize="21600,21600" o:gfxdata="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9031j&#10;wAAAANs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2.54mm,0.3mm,2.54mm,0.3mm">
                      <w:txbxContent>
                        <w:p w14:paraId="39B4ED4E">
                          <w:pPr>
                            <w:adjustRightInd/>
                            <w:spacing w:line="180" w:lineRule="atLeast"/>
                            <w:ind w:firstLine="0" w:firstLineChars="0"/>
                            <w:rPr>
                              <w:sz w:val="18"/>
                              <w:szCs w:val="22"/>
                            </w:rPr>
                          </w:pPr>
                          <w:r>
                            <w:rPr>
                              <w:rFonts w:hint="eastAsia"/>
                              <w:sz w:val="18"/>
                              <w:szCs w:val="22"/>
                            </w:rPr>
                            <w:t>经济指标</w:t>
                          </w:r>
                        </w:p>
                      </w:txbxContent>
                    </v:textbox>
                  </v:shape>
                  <v:shape id="文本框 594" o:spid="_x0000_s1026" o:spt="202" type="#_x0000_t202" style="position:absolute;left:6150;top:0;height:393;width:1170;" fillcolor="#FFFFFF" filled="t" stroked="t" coordsize="21600,21600" o:gfxdata="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p/Y+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2.54mm,0.3mm,2.54mm,0.3mm">
                      <w:txbxContent>
                        <w:p w14:paraId="0BAD74F2">
                          <w:pPr>
                            <w:adjustRightInd/>
                            <w:spacing w:line="240" w:lineRule="atLeast"/>
                            <w:ind w:firstLine="0" w:firstLineChars="0"/>
                            <w:rPr>
                              <w:sz w:val="18"/>
                              <w:szCs w:val="22"/>
                            </w:rPr>
                          </w:pPr>
                          <w:r>
                            <w:rPr>
                              <w:rFonts w:hint="eastAsia"/>
                              <w:sz w:val="18"/>
                              <w:szCs w:val="22"/>
                            </w:rPr>
                            <w:t>社会指标</w:t>
                          </w:r>
                        </w:p>
                      </w:txbxContent>
                    </v:textbox>
                  </v:shape>
                  <v:shape id="文本框 595" o:spid="_x0000_s1026" o:spt="202" type="#_x0000_t202" style="position:absolute;left:7440;top:0;height:393;width:1155;" fillcolor="#FFFFFF" filled="t" stroked="t" coordsize="21600,21600" o:gfxdata="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TUaP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2.54mm,0.3mm,2.54mm,0.3mm">
                      <w:txbxContent>
                        <w:p w14:paraId="48052CF1">
                          <w:pPr>
                            <w:adjustRightInd/>
                            <w:spacing w:line="240" w:lineRule="atLeast"/>
                            <w:ind w:firstLine="0" w:firstLineChars="0"/>
                            <w:rPr>
                              <w:sz w:val="18"/>
                              <w:szCs w:val="22"/>
                            </w:rPr>
                          </w:pPr>
                          <w:r>
                            <w:rPr>
                              <w:rFonts w:hint="eastAsia"/>
                              <w:sz w:val="18"/>
                              <w:szCs w:val="22"/>
                            </w:rPr>
                            <w:t>生态指标</w:t>
                          </w:r>
                        </w:p>
                      </w:txbxContent>
                    </v:textbox>
                  </v:shape>
                </v:group>
                <v:shape id="文本框 618" o:spid="_x0000_s1026" o:spt="202" type="#_x0000_t202" style="position:absolute;left:1767;top:13581;height:982;width:486;" fillcolor="#FFFFFF" filled="t" stroked="t" coordsize="21600,21600" o:gfxdata="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KlOzm5AAAA2w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inset="0.3mm,0.3mm,0.3mm,0.3mm">
                    <w:txbxContent>
                      <w:p w14:paraId="4FF34D5A">
                        <w:pPr>
                          <w:adjustRightInd/>
                          <w:spacing w:line="240" w:lineRule="atLeast"/>
                          <w:ind w:firstLine="0" w:firstLineChars="0"/>
                          <w:jc w:val="center"/>
                          <w:rPr>
                            <w:sz w:val="18"/>
                            <w:szCs w:val="22"/>
                          </w:rPr>
                        </w:pPr>
                        <w:r>
                          <w:rPr>
                            <w:rFonts w:hint="eastAsia"/>
                            <w:sz w:val="18"/>
                            <w:szCs w:val="22"/>
                          </w:rPr>
                          <w:t>三同时指标</w:t>
                        </w:r>
                      </w:p>
                    </w:txbxContent>
                  </v:textbox>
                </v:shape>
                <v:shape id="文本框 617" o:spid="_x0000_s1026" o:spt="202" type="#_x0000_t202" style="position:absolute;left:2386;top:13581;height:982;width:495;" fillcolor="#FFFFFF" filled="t" stroked="t" coordsize="21600,21600" o:gfxdata="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emeor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3mm,0.3mm,0.3mm,0.3mm">
                    <w:txbxContent>
                      <w:p w14:paraId="209EA553">
                        <w:pPr>
                          <w:adjustRightInd/>
                          <w:spacing w:line="240" w:lineRule="atLeast"/>
                          <w:ind w:firstLine="0" w:firstLineChars="0"/>
                          <w:jc w:val="center"/>
                          <w:rPr>
                            <w:sz w:val="18"/>
                            <w:szCs w:val="22"/>
                          </w:rPr>
                        </w:pPr>
                        <w:r>
                          <w:rPr>
                            <w:rFonts w:hint="eastAsia"/>
                            <w:sz w:val="18"/>
                            <w:szCs w:val="22"/>
                          </w:rPr>
                          <w:t>法规情况指标</w:t>
                        </w:r>
                      </w:p>
                    </w:txbxContent>
                  </v:textbox>
                </v:shape>
                <v:shape id="文本框 616" o:spid="_x0000_s1026" o:spt="202" type="#_x0000_t202" style="position:absolute;left:3266;top:13573;height:990;width:495;" fillcolor="#FFFFFF" filled="t" stroked="t" coordsize="21600,21600" o:gfxdata="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TsA1b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3mm,0.3mm,0.3mm,0.3mm">
                    <w:txbxContent>
                      <w:p w14:paraId="4E1095E9">
                        <w:pPr>
                          <w:adjustRightInd/>
                          <w:spacing w:line="240" w:lineRule="atLeast"/>
                          <w:ind w:firstLine="0" w:firstLineChars="0"/>
                          <w:jc w:val="center"/>
                          <w:rPr>
                            <w:sz w:val="18"/>
                            <w:szCs w:val="22"/>
                          </w:rPr>
                        </w:pPr>
                        <w:r>
                          <w:rPr>
                            <w:rFonts w:hint="eastAsia"/>
                            <w:sz w:val="18"/>
                            <w:szCs w:val="22"/>
                          </w:rPr>
                          <w:t>废气及环境空气指标</w:t>
                        </w:r>
                      </w:p>
                    </w:txbxContent>
                  </v:textbox>
                </v:shape>
                <v:shape id="文本框 615" o:spid="_x0000_s1026" o:spt="202" type="#_x0000_t202" style="position:absolute;left:4119;top:13587;height:976;width:495;" fillcolor="#FFFFFF" filled="t" stroked="t" coordsize="21600,21600" o:gfxdata="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J3pU65AAAA2w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inset="0.3mm,0.3mm,0.3mm,0.3mm">
                    <w:txbxContent>
                      <w:p w14:paraId="68B982A1">
                        <w:pPr>
                          <w:adjustRightInd/>
                          <w:spacing w:line="240" w:lineRule="atLeast"/>
                          <w:ind w:firstLine="0" w:firstLineChars="0"/>
                          <w:jc w:val="center"/>
                          <w:rPr>
                            <w:sz w:val="18"/>
                            <w:szCs w:val="22"/>
                          </w:rPr>
                        </w:pPr>
                        <w:r>
                          <w:rPr>
                            <w:rFonts w:hint="eastAsia"/>
                            <w:sz w:val="18"/>
                            <w:szCs w:val="22"/>
                          </w:rPr>
                          <w:t>废水及水环境指标</w:t>
                        </w:r>
                      </w:p>
                    </w:txbxContent>
                  </v:textbox>
                </v:shape>
                <v:shape id="文本框 614" o:spid="_x0000_s1026" o:spt="202" type="#_x0000_t202" style="position:absolute;left:4766;top:13584;height:975;width:495;" fillcolor="#FFFFFF" filled="t" stroked="t" coordsize="21600,21600" o:gfxdata="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gxP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3mm,0.3mm,0.3mm,0.3mm">
                    <w:txbxContent>
                      <w:p w14:paraId="02246E32">
                        <w:pPr>
                          <w:adjustRightInd/>
                          <w:spacing w:line="240" w:lineRule="atLeast"/>
                          <w:ind w:firstLine="0" w:firstLineChars="0"/>
                          <w:jc w:val="center"/>
                          <w:rPr>
                            <w:sz w:val="18"/>
                            <w:szCs w:val="22"/>
                          </w:rPr>
                        </w:pPr>
                        <w:r>
                          <w:rPr>
                            <w:rFonts w:hint="eastAsia"/>
                            <w:sz w:val="18"/>
                            <w:szCs w:val="22"/>
                          </w:rPr>
                          <w:t>噪声指标</w:t>
                        </w:r>
                      </w:p>
                    </w:txbxContent>
                  </v:textbox>
                </v:shape>
                <v:shape id="文本框 613" o:spid="_x0000_s1026" o:spt="202" type="#_x0000_t202" style="position:absolute;left:5412;top:13584;height:975;width:495;" fillcolor="#FFFFFF" filled="t" stroked="t" coordsize="21600,21600" o:gfxdata="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KSUp7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3mm,0.3mm,0.3mm,0.3mm">
                    <w:txbxContent>
                      <w:p w14:paraId="25E6EA0B">
                        <w:pPr>
                          <w:adjustRightInd/>
                          <w:spacing w:line="240" w:lineRule="atLeast"/>
                          <w:ind w:firstLine="0" w:firstLineChars="0"/>
                          <w:jc w:val="center"/>
                          <w:rPr>
                            <w:sz w:val="18"/>
                            <w:szCs w:val="22"/>
                          </w:rPr>
                        </w:pPr>
                        <w:r>
                          <w:rPr>
                            <w:rFonts w:hint="eastAsia"/>
                            <w:sz w:val="18"/>
                            <w:szCs w:val="22"/>
                          </w:rPr>
                          <w:t>固废指标</w:t>
                        </w:r>
                      </w:p>
                    </w:txbxContent>
                  </v:textbox>
                </v:shape>
                <v:shape id="文本框 612" o:spid="_x0000_s1026" o:spt="202" type="#_x0000_t202" style="position:absolute;left:6251;top:13589;height:974;width:495;" fillcolor="#FFFFFF" filled="t" stroked="t" coordsize="21600,21600" o:gfxdata="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L3h7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3mm,0.3mm,0.3mm,0.3mm">
                    <w:txbxContent>
                      <w:p w14:paraId="10AECFA4">
                        <w:pPr>
                          <w:adjustRightInd/>
                          <w:spacing w:line="240" w:lineRule="atLeast"/>
                          <w:ind w:firstLine="0" w:firstLineChars="0"/>
                          <w:jc w:val="center"/>
                          <w:rPr>
                            <w:sz w:val="18"/>
                            <w:szCs w:val="22"/>
                          </w:rPr>
                        </w:pPr>
                        <w:r>
                          <w:rPr>
                            <w:rFonts w:hint="eastAsia"/>
                            <w:sz w:val="18"/>
                            <w:szCs w:val="22"/>
                          </w:rPr>
                          <w:t>产值指标</w:t>
                        </w:r>
                      </w:p>
                    </w:txbxContent>
                  </v:textbox>
                </v:shape>
                <v:shape id="文本框 611" o:spid="_x0000_s1026" o:spt="202" type="#_x0000_t202" style="position:absolute;left:6828;top:13589;height:974;width:496;" fillcolor="#FFFFFF" filled="t" stroked="t" coordsize="21600,21600" o:gfxdata="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L5SH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3mm,0.3mm,0.3mm,0.3mm">
                    <w:txbxContent>
                      <w:p w14:paraId="0C17287E">
                        <w:pPr>
                          <w:adjustRightInd/>
                          <w:spacing w:line="240" w:lineRule="atLeast"/>
                          <w:ind w:firstLine="0" w:firstLineChars="0"/>
                          <w:jc w:val="center"/>
                          <w:rPr>
                            <w:sz w:val="18"/>
                            <w:szCs w:val="22"/>
                          </w:rPr>
                        </w:pPr>
                        <w:r>
                          <w:rPr>
                            <w:rFonts w:hint="eastAsia"/>
                            <w:sz w:val="18"/>
                            <w:szCs w:val="22"/>
                          </w:rPr>
                          <w:t>资源指标</w:t>
                        </w:r>
                      </w:p>
                    </w:txbxContent>
                  </v:textbox>
                </v:shape>
                <v:shape id="文本框 610" o:spid="_x0000_s1026" o:spt="202" type="#_x0000_t202" style="position:absolute;left:8630;top:13574;height:974;width:496;" fillcolor="#FFFFFF" filled="t" stroked="t" coordsize="21600,21600" o:gfxdata="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GzMa7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3mm,0.3mm,0.3mm,0.3mm">
                    <w:txbxContent>
                      <w:p w14:paraId="6E254A5E">
                        <w:pPr>
                          <w:adjustRightInd/>
                          <w:spacing w:line="240" w:lineRule="atLeast"/>
                          <w:ind w:firstLine="0" w:firstLineChars="0"/>
                          <w:jc w:val="center"/>
                          <w:rPr>
                            <w:sz w:val="18"/>
                            <w:szCs w:val="22"/>
                          </w:rPr>
                        </w:pPr>
                        <w:r>
                          <w:rPr>
                            <w:rFonts w:hint="eastAsia"/>
                            <w:sz w:val="18"/>
                            <w:szCs w:val="22"/>
                          </w:rPr>
                          <w:t>自然指标</w:t>
                        </w:r>
                      </w:p>
                    </w:txbxContent>
                  </v:textbox>
                </v:shape>
                <v:shape id="文本框 609" o:spid="_x0000_s1026" o:spt="202" type="#_x0000_t202" style="position:absolute;left:9250;top:13566;height:975;width:495;" fillcolor="#FFFFFF" filled="t" stroked="t" coordsize="21600,21600" o:gfxdata="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IGnw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3mm,0.3mm,0.3mm,0.3mm">
                    <w:txbxContent>
                      <w:p w14:paraId="73819957">
                        <w:pPr>
                          <w:adjustRightInd/>
                          <w:spacing w:line="240" w:lineRule="atLeast"/>
                          <w:ind w:firstLine="0" w:firstLineChars="0"/>
                          <w:jc w:val="center"/>
                          <w:rPr>
                            <w:sz w:val="18"/>
                            <w:szCs w:val="22"/>
                          </w:rPr>
                        </w:pPr>
                        <w:r>
                          <w:rPr>
                            <w:rFonts w:hint="eastAsia"/>
                            <w:sz w:val="18"/>
                            <w:szCs w:val="22"/>
                          </w:rPr>
                          <w:t>景观指标</w:t>
                        </w:r>
                      </w:p>
                    </w:txbxContent>
                  </v:textbox>
                </v:shape>
                <v:line id="直线 576" o:spid="_x0000_s1026" o:spt="20" style="position:absolute;left:4504;top:11618;height:288;width:1;" filled="f" stroked="t" coordsize="21600,21600" o:gfxdata="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axwW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575" o:spid="_x0000_s1026" o:spt="20" style="position:absolute;left:6485;top:11618;height:288;width:1;" filled="f" stroked="t" coordsize="21600,21600" o:gfxdata="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J7mN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588" o:spid="_x0000_s1026" o:spt="20" style="position:absolute;left:2193;top:12514;height:1;width:3136;" filled="f" stroked="t" coordsize="21600,21600" o:gfxdata="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n1J/q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578" o:spid="_x0000_s1026" o:spt="20" style="position:absolute;left:4009;top:12298;height:230;width:1;" filled="f" stroked="t" coordsize="21600,21600" o:gfxdata="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uYJh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587" o:spid="_x0000_s1026" o:spt="20" style="position:absolute;left:2193;top:12533;height:231;width:1;" filled="f" stroked="t" coordsize="21600,21600" o:gfxdata="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XJhYTugAAANs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直线 586" o:spid="_x0000_s1026" o:spt="20" style="position:absolute;left:3665;top:12514;height:230;width:1;" filled="f" stroked="t" coordsize="21600,21600" o:gfxdata="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4arOI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585" o:spid="_x0000_s1026" o:spt="20" style="position:absolute;left:5329;top:12514;height:230;width:1;" filled="f" stroked="t" coordsize="21600,21600" o:gfxdata="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yJjMi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直线 584" o:spid="_x0000_s1026" o:spt="20" style="position:absolute;left:6650;top:12514;height:1;width:2476;" filled="f" stroked="t" coordsize="21600,21600" o:gfxdata="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8UpU7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577" o:spid="_x0000_s1026" o:spt="20" style="position:absolute;left:7338;top:12309;height:229;width:1;" filled="f" stroked="t" coordsize="21600,21600" o:gfxdata="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MXtyS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583" o:spid="_x0000_s1026" o:spt="20" style="position:absolute;left:6650;top:12514;height:230;width:1;" filled="f" stroked="t" coordsize="21600,21600" o:gfxdata="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xbEr+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582" o:spid="_x0000_s1026" o:spt="20" style="position:absolute;left:7929;top:12514;height:230;width:1;" filled="f" stroked="t" coordsize="21600,21600" o:gfxdata="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7KKy7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581" o:spid="_x0000_s1026" o:spt="20" style="position:absolute;left:9126;top:12514;height:230;width:1;" filled="f" stroked="t" coordsize="21600,21600" o:gfxdata="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P4vUL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603" o:spid="_x0000_s1026" o:spt="20" style="position:absolute;left:3679;top:13134;height:230;width:1;" filled="f" stroked="t" coordsize="21600,21600" o:gfxdata="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LLEn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602" o:spid="_x0000_s1026" o:spt="20" style="position:absolute;left:5329;top:13134;height:230;width:1;" filled="f" stroked="t" coordsize="21600,21600" o:gfxdata="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2AUvL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608" o:spid="_x0000_s1026" o:spt="20" style="position:absolute;left:3513;top:13349;height:1;width:2146;" filled="f" stroked="t" coordsize="21600,21600" o:gfxdata="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L/gM6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直线 607" o:spid="_x0000_s1026" o:spt="20" style="position:absolute;left:5659;top:13368;height:231;width:1;" filled="f" stroked="t" coordsize="21600,21600" o:gfxdata="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MlVb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606" o:spid="_x0000_s1026" o:spt="20" style="position:absolute;left:3513;top:13355;height:230;width:1;" filled="f" stroked="t" coordsize="21600,21600" o:gfxdata="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0j/+1ugAAANs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直线 605" o:spid="_x0000_s1026" o:spt="20" style="position:absolute;left:5000;top:13349;height:230;width:1;" filled="f" stroked="t" coordsize="21600,21600" o:gfxdata="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w1ou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604" o:spid="_x0000_s1026" o:spt="20" style="position:absolute;left:4366;top:13349;height:230;width:1;" filled="f" stroked="t" coordsize="21600,21600" o:gfxdata="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EcRZ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601" o:spid="_x0000_s1026" o:spt="20" style="position:absolute;left:6485;top:13114;height:500;width:1;" filled="f" stroked="t" coordsize="21600,21600" o:gfxdata="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F1hwr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600" o:spid="_x0000_s1026" o:spt="20" style="position:absolute;left:7076;top:13131;height:501;width:1;" filled="f" stroked="t" coordsize="21600,21600" o:gfxdata="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7T5tr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599" o:spid="_x0000_s1026" o:spt="20" style="position:absolute;left:8878;top:13111;height:500;width:1;" filled="f" stroked="t" coordsize="21600,21600" o:gfxdata="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T4XC2/&#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598" o:spid="_x0000_s1026" o:spt="20" style="position:absolute;left:9483;top:13104;height:499;width:1;" filled="f" stroked="t" coordsize="21600,21600" o:gfxdata="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Qqwlq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597" o:spid="_x0000_s1026" o:spt="20" style="position:absolute;left:2634;top:13117;height:501;width:1;" filled="f" stroked="t" coordsize="21600,21600" o:gfxdata="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tmZ8G/&#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596" o:spid="_x0000_s1026" o:spt="20" style="position:absolute;left:2001;top:13111;height:500;width:1;" filled="f" stroked="t" coordsize="21600,21600" o:gfxdata="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K+fOzugAAANsA&#10;AAAPAAAAAAAAAAEAIAAAACIAAABkcnMvZG93bnJldi54bWxQSwECFAAUAAAACACHTuJAMy8FnjsA&#10;AAA5AAAAEAAAAAAAAAABACAAAAAJAQAAZHJzL3NoYXBleG1sLnhtbFBLBQYAAAAABgAGAFsBAACz&#10;AwAAAAA=&#10;">
                  <v:fill on="f" focussize="0,0"/>
                  <v:stroke color="#000000" joinstyle="round"/>
                  <v:imagedata o:title=""/>
                  <o:lock v:ext="edit" aspectratio="f"/>
                </v:line>
                <v:shape id="文本框 619" o:spid="_x0000_s1026" o:spt="202" type="#_x0000_t202" style="position:absolute;left:3585;top:14633;height:431;width:5060;" fillcolor="#FFFFFF" filled="t" stroked="f" coordsize="21600,21600" o:gfxdata="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HGg5a8AAAA&#10;2wAAAA8AAAAAAAAAAQAgAAAAIgAAAGRycy9kb3ducmV2LnhtbFBLAQIUABQAAAAIAIdO4kAzLwWe&#10;OwAAADkAAAAQAAAAAAAAAAEAIAAAAAsBAABkcnMvc2hhcGV4bWwueG1sUEsFBgAAAAAGAAYAWwEA&#10;ALUDAAAAAA==&#10;">
                  <v:fill on="t" focussize="0,0"/>
                  <v:stroke on="f"/>
                  <v:imagedata o:title=""/>
                  <o:lock v:ext="edit" aspectratio="f"/>
                  <v:textbox inset="0.3mm,0.3mm,0.3mm,0.3mm">
                    <w:txbxContent>
                      <w:p w14:paraId="643A5C91">
                        <w:pPr>
                          <w:adjustRightInd/>
                          <w:ind w:firstLine="0" w:firstLineChars="0"/>
                          <w:jc w:val="center"/>
                          <w:rPr>
                            <w:b/>
                            <w:sz w:val="21"/>
                            <w:szCs w:val="21"/>
                          </w:rPr>
                        </w:pPr>
                        <w:r>
                          <w:rPr>
                            <w:b/>
                            <w:sz w:val="21"/>
                            <w:szCs w:val="21"/>
                          </w:rPr>
                          <w:t>图</w:t>
                        </w:r>
                        <w:r>
                          <w:rPr>
                            <w:rFonts w:hint="eastAsia"/>
                            <w:b/>
                            <w:sz w:val="21"/>
                            <w:szCs w:val="21"/>
                            <w:lang w:val="en-US" w:eastAsia="zh-CN"/>
                          </w:rPr>
                          <w:t>8</w:t>
                        </w:r>
                        <w:r>
                          <w:rPr>
                            <w:rFonts w:hint="eastAsia"/>
                            <w:b/>
                            <w:sz w:val="21"/>
                            <w:szCs w:val="21"/>
                          </w:rPr>
                          <w:t>.3</w:t>
                        </w:r>
                        <w:r>
                          <w:rPr>
                            <w:b/>
                            <w:sz w:val="21"/>
                            <w:szCs w:val="21"/>
                          </w:rPr>
                          <w:t>-</w:t>
                        </w:r>
                        <w:r>
                          <w:rPr>
                            <w:rFonts w:hint="eastAsia"/>
                            <w:b/>
                            <w:sz w:val="21"/>
                            <w:szCs w:val="21"/>
                            <w:lang w:eastAsia="zh-CN"/>
                          </w:rPr>
                          <w:t>1</w:t>
                        </w:r>
                        <w:r>
                          <w:rPr>
                            <w:b/>
                            <w:sz w:val="21"/>
                            <w:szCs w:val="21"/>
                          </w:rPr>
                          <w:t xml:space="preserve"> </w:t>
                        </w:r>
                        <w:r>
                          <w:rPr>
                            <w:rFonts w:hint="eastAsia"/>
                            <w:b/>
                            <w:sz w:val="21"/>
                            <w:szCs w:val="21"/>
                          </w:rPr>
                          <w:t>企业</w:t>
                        </w:r>
                        <w:r>
                          <w:rPr>
                            <w:b/>
                            <w:sz w:val="21"/>
                            <w:szCs w:val="21"/>
                          </w:rPr>
                          <w:t>环境管理指标体系分类结构</w:t>
                        </w:r>
                      </w:p>
                    </w:txbxContent>
                  </v:textbox>
                </v:shape>
              </v:group>
            </w:pict>
          </mc:Fallback>
        </mc:AlternateContent>
      </w:r>
    </w:p>
    <w:p w14:paraId="234C7F5D">
      <w:pPr>
        <w:pageBreakBefore w:val="0"/>
        <w:wordWrap/>
        <w:bidi w:val="0"/>
        <w:adjustRightInd/>
        <w:snapToGrid/>
        <w:jc w:val="left"/>
        <w:rPr>
          <w:color w:val="auto"/>
          <w:sz w:val="21"/>
          <w:szCs w:val="22"/>
        </w:rPr>
      </w:pPr>
    </w:p>
    <w:p w14:paraId="5B991165">
      <w:pPr>
        <w:pageBreakBefore w:val="0"/>
        <w:wordWrap/>
        <w:bidi w:val="0"/>
        <w:adjustRightInd/>
        <w:snapToGrid/>
        <w:jc w:val="left"/>
        <w:rPr>
          <w:color w:val="auto"/>
          <w:sz w:val="21"/>
          <w:szCs w:val="22"/>
        </w:rPr>
      </w:pPr>
    </w:p>
    <w:p w14:paraId="0B9A39CA">
      <w:pPr>
        <w:pageBreakBefore w:val="0"/>
        <w:wordWrap/>
        <w:bidi w:val="0"/>
        <w:adjustRightInd/>
        <w:snapToGrid/>
        <w:jc w:val="left"/>
        <w:rPr>
          <w:color w:val="auto"/>
          <w:sz w:val="21"/>
          <w:szCs w:val="22"/>
        </w:rPr>
      </w:pPr>
    </w:p>
    <w:p w14:paraId="6E2F6B0B">
      <w:pPr>
        <w:pageBreakBefore w:val="0"/>
        <w:wordWrap/>
        <w:bidi w:val="0"/>
        <w:adjustRightInd/>
        <w:snapToGrid/>
        <w:jc w:val="left"/>
        <w:rPr>
          <w:color w:val="auto"/>
          <w:sz w:val="21"/>
          <w:szCs w:val="22"/>
        </w:rPr>
      </w:pPr>
    </w:p>
    <w:p w14:paraId="4766F476">
      <w:pPr>
        <w:pageBreakBefore w:val="0"/>
        <w:wordWrap/>
        <w:bidi w:val="0"/>
        <w:adjustRightInd/>
        <w:snapToGrid/>
        <w:jc w:val="left"/>
        <w:rPr>
          <w:color w:val="auto"/>
          <w:sz w:val="21"/>
          <w:szCs w:val="22"/>
        </w:rPr>
      </w:pPr>
    </w:p>
    <w:p w14:paraId="570FE1EA">
      <w:pPr>
        <w:pageBreakBefore w:val="0"/>
        <w:wordWrap/>
        <w:bidi w:val="0"/>
        <w:adjustRightInd/>
        <w:snapToGrid/>
        <w:jc w:val="left"/>
        <w:rPr>
          <w:color w:val="auto"/>
          <w:sz w:val="21"/>
          <w:szCs w:val="22"/>
        </w:rPr>
      </w:pPr>
    </w:p>
    <w:p w14:paraId="247B73D3">
      <w:pPr>
        <w:pageBreakBefore w:val="0"/>
        <w:wordWrap/>
        <w:bidi w:val="0"/>
        <w:adjustRightInd/>
        <w:snapToGrid/>
        <w:ind w:firstLine="0" w:firstLineChars="0"/>
        <w:jc w:val="left"/>
        <w:rPr>
          <w:color w:val="auto"/>
          <w:sz w:val="21"/>
          <w:szCs w:val="22"/>
        </w:rPr>
      </w:pPr>
    </w:p>
    <w:p w14:paraId="5495A5CF">
      <w:pPr>
        <w:pageBreakBefore w:val="0"/>
        <w:wordWrap/>
        <w:bidi w:val="0"/>
        <w:adjustRightInd/>
        <w:snapToGrid/>
        <w:ind w:firstLine="0" w:firstLineChars="0"/>
        <w:jc w:val="left"/>
        <w:rPr>
          <w:color w:val="auto"/>
          <w:sz w:val="21"/>
          <w:szCs w:val="22"/>
        </w:rPr>
      </w:pPr>
    </w:p>
    <w:p w14:paraId="01891225">
      <w:pPr>
        <w:pageBreakBefore w:val="0"/>
        <w:wordWrap/>
        <w:bidi w:val="0"/>
        <w:adjustRightInd/>
        <w:snapToGrid/>
        <w:ind w:firstLine="480"/>
        <w:rPr>
          <w:color w:val="auto"/>
        </w:rPr>
      </w:pPr>
    </w:p>
    <w:p w14:paraId="0CF8EFD0">
      <w:pPr>
        <w:pageBreakBefore w:val="0"/>
        <w:wordWrap/>
        <w:bidi w:val="0"/>
        <w:adjustRightInd/>
        <w:snapToGrid/>
        <w:ind w:firstLine="480"/>
        <w:rPr>
          <w:color w:val="auto"/>
        </w:rPr>
      </w:pPr>
    </w:p>
    <w:p w14:paraId="6534D618">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环境管理计划</w:t>
      </w:r>
    </w:p>
    <w:p w14:paraId="065E3D11">
      <w:pPr>
        <w:bidi w:val="0"/>
        <w:rPr>
          <w:b/>
          <w:bCs/>
          <w:color w:val="auto"/>
        </w:rPr>
      </w:pPr>
      <w:r>
        <w:rPr>
          <w:b/>
          <w:bCs/>
          <w:color w:val="auto"/>
        </w:rPr>
        <w:t>1、建设前期环境管理计划</w:t>
      </w:r>
    </w:p>
    <w:p w14:paraId="2E9B13CE">
      <w:pPr>
        <w:bidi w:val="0"/>
        <w:rPr>
          <w:rFonts w:hint="eastAsia"/>
          <w:color w:val="auto"/>
        </w:rPr>
      </w:pPr>
      <w:r>
        <w:rPr>
          <w:rFonts w:hint="eastAsia"/>
          <w:color w:val="auto"/>
        </w:rPr>
        <w:t>根据</w:t>
      </w:r>
      <w:r>
        <w:rPr>
          <w:rFonts w:hint="eastAsia"/>
          <w:color w:val="auto"/>
          <w:lang w:eastAsia="zh-CN"/>
        </w:rPr>
        <w:t>生态环境部</w:t>
      </w:r>
      <w:r>
        <w:rPr>
          <w:rFonts w:hint="eastAsia"/>
          <w:color w:val="auto"/>
        </w:rPr>
        <w:t>和四川省生态环境厅的有关规定，本项目建设前期各个阶段环境保护工作采取如下方式：</w:t>
      </w:r>
    </w:p>
    <w:p w14:paraId="49F5ADDA">
      <w:pPr>
        <w:bidi w:val="0"/>
        <w:rPr>
          <w:rFonts w:hint="eastAsia"/>
          <w:color w:val="auto"/>
        </w:rPr>
      </w:pPr>
      <w:r>
        <w:rPr>
          <w:rFonts w:hint="eastAsia"/>
          <w:color w:val="auto"/>
        </w:rPr>
        <w:t>1）设计单位在成立项目设计组时，环境保护专业人员作为组成成员之一，参与项目各阶段环境保护工作和设计工作。</w:t>
      </w:r>
    </w:p>
    <w:p w14:paraId="25BA0392">
      <w:pPr>
        <w:bidi w:val="0"/>
        <w:rPr>
          <w:rFonts w:hint="eastAsia"/>
          <w:color w:val="auto"/>
        </w:rPr>
      </w:pPr>
      <w:r>
        <w:rPr>
          <w:rFonts w:hint="eastAsia"/>
          <w:color w:val="auto"/>
        </w:rPr>
        <w:t>2）可行性研究阶段，结合当地环境特征和地方环境部门的意见、要求，设专门章节进行环境影响简要分析。</w:t>
      </w:r>
    </w:p>
    <w:p w14:paraId="3D6A1FA9">
      <w:pPr>
        <w:bidi w:val="0"/>
        <w:rPr>
          <w:rFonts w:hint="eastAsia"/>
          <w:color w:val="auto"/>
        </w:rPr>
      </w:pPr>
      <w:r>
        <w:rPr>
          <w:rFonts w:hint="eastAsia"/>
          <w:color w:val="auto"/>
        </w:rPr>
        <w:t>3）建设单位委托相关的单位编制环境影响评价报告书。</w:t>
      </w:r>
    </w:p>
    <w:p w14:paraId="5ECE4717">
      <w:pPr>
        <w:bidi w:val="0"/>
        <w:rPr>
          <w:rFonts w:hint="eastAsia"/>
          <w:color w:val="auto"/>
        </w:rPr>
      </w:pPr>
      <w:r>
        <w:rPr>
          <w:rFonts w:hint="eastAsia"/>
          <w:color w:val="auto"/>
        </w:rPr>
        <w:t>4）初步设计和施工图设计阶段，编制环境保护篇章，依据环境影响报告书及其审查意见，落实各项环境保护措施设计，作为指导工程建设、执行“三同时”制度和环境管理的依据。</w:t>
      </w:r>
    </w:p>
    <w:p w14:paraId="5B8DCCFB">
      <w:pPr>
        <w:bidi w:val="0"/>
        <w:rPr>
          <w:color w:val="auto"/>
        </w:rPr>
      </w:pPr>
      <w:r>
        <w:rPr>
          <w:rFonts w:hint="eastAsia"/>
          <w:color w:val="auto"/>
        </w:rPr>
        <w:t>为保护项目所在区域的生态环境，在工程初步设计阶段，应针对土石方工程造成的裸露面做好水土保持工程设计。</w:t>
      </w:r>
    </w:p>
    <w:p w14:paraId="2A202F48">
      <w:pPr>
        <w:bidi w:val="0"/>
        <w:rPr>
          <w:b/>
          <w:bCs/>
          <w:color w:val="auto"/>
        </w:rPr>
      </w:pPr>
      <w:r>
        <w:rPr>
          <w:b/>
          <w:bCs/>
          <w:color w:val="auto"/>
        </w:rPr>
        <w:t>2、施工期环境管理</w:t>
      </w:r>
    </w:p>
    <w:p w14:paraId="0A2023A2">
      <w:pPr>
        <w:bidi w:val="0"/>
        <w:rPr>
          <w:color w:val="auto"/>
        </w:rPr>
      </w:pPr>
      <w:r>
        <w:rPr>
          <w:color w:val="auto"/>
        </w:rPr>
        <w:t>①建设单位与施工单位签定工程承包合同时，应包括有关工程施工期间环境保护条款，包括工程施工中生态环境保护（水土保持）、施工期间环境污染控制、污染物排放管理、施工人员环保教育及相关奖惩条款。</w:t>
      </w:r>
    </w:p>
    <w:p w14:paraId="456F2388">
      <w:pPr>
        <w:bidi w:val="0"/>
        <w:rPr>
          <w:color w:val="auto"/>
        </w:rPr>
      </w:pPr>
      <w:r>
        <w:rPr>
          <w:color w:val="auto"/>
        </w:rPr>
        <w:t>②施工单位应</w:t>
      </w:r>
      <w:r>
        <w:rPr>
          <w:rFonts w:hint="eastAsia"/>
          <w:color w:val="auto"/>
          <w:lang w:eastAsia="zh-CN"/>
        </w:rPr>
        <w:t>增强</w:t>
      </w:r>
      <w:r>
        <w:rPr>
          <w:color w:val="auto"/>
        </w:rPr>
        <w:t>环保意识，加强驻地和施工现场的环境管理，合理安排施工计划，切实做到组织计划严谨，文明施工；环保措施逐条落实到位，环保工程与主体工程同时施工、同时运行，环保工程费用专款专用，不偷工减料、延误工期。</w:t>
      </w:r>
    </w:p>
    <w:p w14:paraId="0B7384F7">
      <w:pPr>
        <w:bidi w:val="0"/>
        <w:rPr>
          <w:color w:val="auto"/>
        </w:rPr>
      </w:pPr>
      <w:r>
        <w:rPr>
          <w:color w:val="auto"/>
        </w:rPr>
        <w:t>③施工单位应特别注意工程施工中的水土保持，尽可能保护好土壤、植被、弃土弃渣须运至设计中指定的地点弃置，严禁随意堆置、侵占河道，防止对地表水环境产生影响。</w:t>
      </w:r>
    </w:p>
    <w:p w14:paraId="4A5DDB8F">
      <w:pPr>
        <w:bidi w:val="0"/>
        <w:rPr>
          <w:color w:val="auto"/>
        </w:rPr>
      </w:pPr>
      <w:r>
        <w:rPr>
          <w:color w:val="auto"/>
        </w:rPr>
        <w:t>④各施工现场、施工单位驻地</w:t>
      </w:r>
      <w:r>
        <w:rPr>
          <w:rFonts w:hint="eastAsia"/>
          <w:color w:val="auto"/>
          <w:lang w:eastAsia="zh-CN"/>
        </w:rPr>
        <w:t>及其他</w:t>
      </w:r>
      <w:r>
        <w:rPr>
          <w:color w:val="auto"/>
        </w:rPr>
        <w:t>施工临时设施，应加强环境管理，施工污水避免无组织散排，尽可能集中排放指定地点；扬尘大的工地应采取降尘措施，工程施工完毕后施工单位及时清理和恢复施工现场，妥善处理生活垃圾与施工弃渣，减少扬尘；施工现场应执行《建筑施工场界环境噪声排放标准》（GB12523-2011）中的有关规定和要求。</w:t>
      </w:r>
    </w:p>
    <w:p w14:paraId="6344A458">
      <w:pPr>
        <w:bidi w:val="0"/>
        <w:rPr>
          <w:color w:val="auto"/>
        </w:rPr>
      </w:pPr>
      <w:r>
        <w:rPr>
          <w:color w:val="auto"/>
        </w:rPr>
        <w:t>⑤认真落实各项补偿措施，做好工程各项环保设施的施工监理与验收，保证环保工程质量，真正做到环保工程</w:t>
      </w:r>
      <w:r>
        <w:rPr>
          <w:rFonts w:hint="eastAsia"/>
          <w:color w:val="auto"/>
          <w:lang w:eastAsia="zh-CN"/>
        </w:rPr>
        <w:t>“</w:t>
      </w:r>
      <w:r>
        <w:rPr>
          <w:color w:val="auto"/>
        </w:rPr>
        <w:t>三同时</w:t>
      </w:r>
      <w:r>
        <w:rPr>
          <w:rFonts w:hint="eastAsia"/>
          <w:color w:val="auto"/>
          <w:lang w:eastAsia="zh-CN"/>
        </w:rPr>
        <w:t>”</w:t>
      </w:r>
      <w:r>
        <w:rPr>
          <w:color w:val="auto"/>
        </w:rPr>
        <w:t>。</w:t>
      </w:r>
    </w:p>
    <w:p w14:paraId="5F533E17">
      <w:pPr>
        <w:pStyle w:val="19"/>
        <w:numPr>
          <w:ilvl w:val="0"/>
          <w:numId w:val="38"/>
        </w:numPr>
        <w:bidi w:val="0"/>
        <w:ind w:left="0" w:leftChars="0" w:firstLine="0" w:firstLineChars="0"/>
        <w:rPr>
          <w:color w:val="auto"/>
        </w:rPr>
      </w:pPr>
      <w:r>
        <w:rPr>
          <w:color w:val="auto"/>
        </w:rPr>
        <w:t>施工期环境监理内容</w:t>
      </w:r>
    </w:p>
    <w:tbl>
      <w:tblPr>
        <w:tblStyle w:val="706"/>
        <w:tblW w:w="8531"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85"/>
        <w:gridCol w:w="1130"/>
        <w:gridCol w:w="4568"/>
        <w:gridCol w:w="946"/>
        <w:gridCol w:w="1202"/>
      </w:tblGrid>
      <w:tr w14:paraId="00E328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85" w:type="dxa"/>
            <w:tcBorders>
              <w:tl2br w:val="nil"/>
              <w:tr2bl w:val="nil"/>
            </w:tcBorders>
            <w:vAlign w:val="center"/>
          </w:tcPr>
          <w:p w14:paraId="3952EF74">
            <w:pPr>
              <w:pStyle w:val="16"/>
              <w:bidi w:val="0"/>
              <w:spacing w:line="240" w:lineRule="auto"/>
              <w:rPr>
                <w:b/>
                <w:bCs/>
                <w:color w:val="auto"/>
              </w:rPr>
            </w:pPr>
            <w:r>
              <w:rPr>
                <w:b/>
                <w:bCs/>
                <w:color w:val="auto"/>
              </w:rPr>
              <w:t>序号</w:t>
            </w:r>
          </w:p>
        </w:tc>
        <w:tc>
          <w:tcPr>
            <w:tcW w:w="1130" w:type="dxa"/>
            <w:tcBorders>
              <w:tl2br w:val="nil"/>
              <w:tr2bl w:val="nil"/>
            </w:tcBorders>
            <w:vAlign w:val="center"/>
          </w:tcPr>
          <w:p w14:paraId="54DA8E0A">
            <w:pPr>
              <w:pStyle w:val="16"/>
              <w:bidi w:val="0"/>
              <w:spacing w:line="240" w:lineRule="auto"/>
              <w:rPr>
                <w:b/>
                <w:bCs/>
                <w:color w:val="auto"/>
              </w:rPr>
            </w:pPr>
            <w:r>
              <w:rPr>
                <w:b/>
                <w:bCs/>
                <w:color w:val="auto"/>
              </w:rPr>
              <w:t>监理项目</w:t>
            </w:r>
          </w:p>
        </w:tc>
        <w:tc>
          <w:tcPr>
            <w:tcW w:w="4568" w:type="dxa"/>
            <w:tcBorders>
              <w:tl2br w:val="nil"/>
              <w:tr2bl w:val="nil"/>
            </w:tcBorders>
            <w:vAlign w:val="center"/>
          </w:tcPr>
          <w:p w14:paraId="6BAB6D7F">
            <w:pPr>
              <w:pStyle w:val="16"/>
              <w:bidi w:val="0"/>
              <w:spacing w:line="240" w:lineRule="auto"/>
              <w:rPr>
                <w:b/>
                <w:bCs/>
                <w:color w:val="auto"/>
              </w:rPr>
            </w:pPr>
            <w:r>
              <w:rPr>
                <w:b/>
                <w:bCs/>
                <w:color w:val="auto"/>
              </w:rPr>
              <w:t>技术要求</w:t>
            </w:r>
          </w:p>
        </w:tc>
        <w:tc>
          <w:tcPr>
            <w:tcW w:w="946" w:type="dxa"/>
            <w:tcBorders>
              <w:tl2br w:val="nil"/>
              <w:tr2bl w:val="nil"/>
            </w:tcBorders>
            <w:vAlign w:val="center"/>
          </w:tcPr>
          <w:p w14:paraId="0228A280">
            <w:pPr>
              <w:pStyle w:val="16"/>
              <w:bidi w:val="0"/>
              <w:spacing w:line="240" w:lineRule="auto"/>
              <w:rPr>
                <w:b/>
                <w:bCs/>
                <w:color w:val="auto"/>
              </w:rPr>
            </w:pPr>
            <w:r>
              <w:rPr>
                <w:b/>
                <w:bCs/>
                <w:color w:val="auto"/>
              </w:rPr>
              <w:t>实施机构</w:t>
            </w:r>
          </w:p>
        </w:tc>
        <w:tc>
          <w:tcPr>
            <w:tcW w:w="1202" w:type="dxa"/>
            <w:tcBorders>
              <w:tl2br w:val="nil"/>
              <w:tr2bl w:val="nil"/>
            </w:tcBorders>
            <w:vAlign w:val="center"/>
          </w:tcPr>
          <w:p w14:paraId="76222942">
            <w:pPr>
              <w:pStyle w:val="16"/>
              <w:bidi w:val="0"/>
              <w:spacing w:line="240" w:lineRule="auto"/>
              <w:rPr>
                <w:b/>
                <w:bCs/>
                <w:color w:val="auto"/>
              </w:rPr>
            </w:pPr>
            <w:r>
              <w:rPr>
                <w:b/>
                <w:bCs/>
                <w:color w:val="auto"/>
              </w:rPr>
              <w:t>监控机构</w:t>
            </w:r>
          </w:p>
        </w:tc>
      </w:tr>
      <w:tr w14:paraId="4E1F5B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85" w:type="dxa"/>
            <w:tcBorders>
              <w:tl2br w:val="nil"/>
              <w:tr2bl w:val="nil"/>
            </w:tcBorders>
            <w:vAlign w:val="center"/>
          </w:tcPr>
          <w:p w14:paraId="26DCFE92">
            <w:pPr>
              <w:pStyle w:val="16"/>
              <w:bidi w:val="0"/>
              <w:spacing w:line="240" w:lineRule="auto"/>
              <w:rPr>
                <w:color w:val="auto"/>
              </w:rPr>
            </w:pPr>
            <w:r>
              <w:rPr>
                <w:color w:val="auto"/>
              </w:rPr>
              <w:t>1</w:t>
            </w:r>
          </w:p>
        </w:tc>
        <w:tc>
          <w:tcPr>
            <w:tcW w:w="1130" w:type="dxa"/>
            <w:tcBorders>
              <w:tl2br w:val="nil"/>
              <w:tr2bl w:val="nil"/>
            </w:tcBorders>
            <w:vAlign w:val="center"/>
          </w:tcPr>
          <w:p w14:paraId="745A1E0B">
            <w:pPr>
              <w:pStyle w:val="16"/>
              <w:bidi w:val="0"/>
              <w:spacing w:line="240" w:lineRule="auto"/>
              <w:rPr>
                <w:color w:val="auto"/>
              </w:rPr>
            </w:pPr>
            <w:r>
              <w:rPr>
                <w:color w:val="auto"/>
              </w:rPr>
              <w:t>生态保护</w:t>
            </w:r>
          </w:p>
          <w:p w14:paraId="4D74ADAF">
            <w:pPr>
              <w:pStyle w:val="16"/>
              <w:bidi w:val="0"/>
              <w:spacing w:line="240" w:lineRule="auto"/>
              <w:rPr>
                <w:color w:val="auto"/>
              </w:rPr>
            </w:pPr>
            <w:r>
              <w:rPr>
                <w:color w:val="auto"/>
              </w:rPr>
              <w:t>与防止水</w:t>
            </w:r>
          </w:p>
          <w:p w14:paraId="2CCC7DDF">
            <w:pPr>
              <w:pStyle w:val="16"/>
              <w:bidi w:val="0"/>
              <w:spacing w:line="240" w:lineRule="auto"/>
              <w:rPr>
                <w:color w:val="auto"/>
              </w:rPr>
            </w:pPr>
            <w:r>
              <w:rPr>
                <w:color w:val="auto"/>
              </w:rPr>
              <w:t>土流失</w:t>
            </w:r>
          </w:p>
        </w:tc>
        <w:tc>
          <w:tcPr>
            <w:tcW w:w="4568" w:type="dxa"/>
            <w:tcBorders>
              <w:tl2br w:val="nil"/>
              <w:tr2bl w:val="nil"/>
            </w:tcBorders>
            <w:vAlign w:val="center"/>
          </w:tcPr>
          <w:p w14:paraId="040FD886">
            <w:pPr>
              <w:pStyle w:val="16"/>
              <w:bidi w:val="0"/>
              <w:spacing w:line="240" w:lineRule="auto"/>
              <w:jc w:val="left"/>
              <w:rPr>
                <w:color w:val="auto"/>
              </w:rPr>
            </w:pPr>
            <w:r>
              <w:rPr>
                <w:rFonts w:hint="eastAsia"/>
                <w:color w:val="auto"/>
                <w:lang w:eastAsia="zh-CN"/>
              </w:rPr>
              <w:t>（</w:t>
            </w:r>
            <w:r>
              <w:rPr>
                <w:color w:val="auto"/>
              </w:rPr>
              <w:t>1</w:t>
            </w:r>
            <w:r>
              <w:rPr>
                <w:rFonts w:hint="eastAsia"/>
                <w:color w:val="auto"/>
                <w:lang w:eastAsia="zh-CN"/>
              </w:rPr>
              <w:t>）</w:t>
            </w:r>
            <w:r>
              <w:rPr>
                <w:color w:val="auto"/>
              </w:rPr>
              <w:t>对施工期临时占地，应将原有土地表层堆在一旁，待施工完毕，将这些熟土再推平，恢复到土地表层，以利于还耕或绿化</w:t>
            </w:r>
          </w:p>
          <w:p w14:paraId="2240BFD5">
            <w:pPr>
              <w:pStyle w:val="16"/>
              <w:bidi w:val="0"/>
              <w:spacing w:line="240" w:lineRule="auto"/>
              <w:jc w:val="left"/>
              <w:rPr>
                <w:color w:val="auto"/>
              </w:rPr>
            </w:pPr>
            <w:r>
              <w:rPr>
                <w:rFonts w:hint="eastAsia"/>
                <w:color w:val="auto"/>
                <w:lang w:eastAsia="zh-CN"/>
              </w:rPr>
              <w:t>（</w:t>
            </w:r>
            <w:r>
              <w:rPr>
                <w:color w:val="auto"/>
              </w:rPr>
              <w:t>2</w:t>
            </w:r>
            <w:r>
              <w:rPr>
                <w:rFonts w:hint="eastAsia"/>
                <w:color w:val="auto"/>
                <w:lang w:eastAsia="zh-CN"/>
              </w:rPr>
              <w:t>）</w:t>
            </w:r>
            <w:r>
              <w:rPr>
                <w:color w:val="auto"/>
              </w:rPr>
              <w:t>施工营地应尽量选择设置在非耕地上，以减少耕地损失</w:t>
            </w:r>
          </w:p>
          <w:p w14:paraId="19C4658E">
            <w:pPr>
              <w:pStyle w:val="16"/>
              <w:bidi w:val="0"/>
              <w:spacing w:line="240" w:lineRule="auto"/>
              <w:jc w:val="left"/>
              <w:rPr>
                <w:color w:val="auto"/>
              </w:rPr>
            </w:pPr>
            <w:r>
              <w:rPr>
                <w:rFonts w:hint="eastAsia"/>
                <w:color w:val="auto"/>
                <w:lang w:eastAsia="zh-CN"/>
              </w:rPr>
              <w:t>（</w:t>
            </w:r>
            <w:r>
              <w:rPr>
                <w:color w:val="auto"/>
              </w:rPr>
              <w:t>3</w:t>
            </w:r>
            <w:r>
              <w:rPr>
                <w:rFonts w:hint="eastAsia"/>
                <w:color w:val="auto"/>
                <w:lang w:eastAsia="zh-CN"/>
              </w:rPr>
              <w:t>）</w:t>
            </w:r>
            <w:r>
              <w:rPr>
                <w:color w:val="auto"/>
              </w:rPr>
              <w:t>在场区平整过程中做到边取土边平整，有计划取土，及时平整</w:t>
            </w:r>
          </w:p>
          <w:p w14:paraId="335636CE">
            <w:pPr>
              <w:pStyle w:val="16"/>
              <w:bidi w:val="0"/>
              <w:spacing w:line="240" w:lineRule="auto"/>
              <w:jc w:val="left"/>
              <w:rPr>
                <w:color w:val="auto"/>
              </w:rPr>
            </w:pPr>
            <w:r>
              <w:rPr>
                <w:rFonts w:hint="eastAsia"/>
                <w:color w:val="auto"/>
                <w:lang w:eastAsia="zh-CN"/>
              </w:rPr>
              <w:t>（</w:t>
            </w:r>
            <w:r>
              <w:rPr>
                <w:color w:val="auto"/>
              </w:rPr>
              <w:t>4</w:t>
            </w:r>
            <w:r>
              <w:rPr>
                <w:rFonts w:hint="eastAsia"/>
                <w:color w:val="auto"/>
                <w:lang w:eastAsia="zh-CN"/>
              </w:rPr>
              <w:t>）</w:t>
            </w:r>
            <w:r>
              <w:rPr>
                <w:color w:val="auto"/>
              </w:rPr>
              <w:t>在主体工程完成后及时对厂区进行绿化</w:t>
            </w:r>
          </w:p>
          <w:p w14:paraId="60EA3508">
            <w:pPr>
              <w:pStyle w:val="16"/>
              <w:bidi w:val="0"/>
              <w:spacing w:line="240" w:lineRule="auto"/>
              <w:jc w:val="left"/>
              <w:rPr>
                <w:color w:val="auto"/>
              </w:rPr>
            </w:pPr>
            <w:r>
              <w:rPr>
                <w:rFonts w:hint="eastAsia"/>
                <w:color w:val="auto"/>
                <w:lang w:eastAsia="zh-CN"/>
              </w:rPr>
              <w:t>（</w:t>
            </w:r>
            <w:r>
              <w:rPr>
                <w:color w:val="auto"/>
              </w:rPr>
              <w:t>5</w:t>
            </w:r>
            <w:r>
              <w:rPr>
                <w:rFonts w:hint="eastAsia"/>
                <w:color w:val="auto"/>
                <w:lang w:eastAsia="zh-CN"/>
              </w:rPr>
              <w:t>）</w:t>
            </w:r>
            <w:r>
              <w:rPr>
                <w:color w:val="auto"/>
              </w:rPr>
              <w:t>教育施工人员爱护附近农田，保护施工场地周围的生态环境</w:t>
            </w:r>
          </w:p>
        </w:tc>
        <w:tc>
          <w:tcPr>
            <w:tcW w:w="946" w:type="dxa"/>
            <w:tcBorders>
              <w:tl2br w:val="nil"/>
              <w:tr2bl w:val="nil"/>
            </w:tcBorders>
            <w:vAlign w:val="center"/>
          </w:tcPr>
          <w:p w14:paraId="24A60999">
            <w:pPr>
              <w:pStyle w:val="16"/>
              <w:bidi w:val="0"/>
              <w:spacing w:line="240" w:lineRule="auto"/>
              <w:rPr>
                <w:color w:val="auto"/>
              </w:rPr>
            </w:pPr>
            <w:r>
              <w:rPr>
                <w:color w:val="auto"/>
              </w:rPr>
              <w:t>施工方</w:t>
            </w:r>
          </w:p>
        </w:tc>
        <w:tc>
          <w:tcPr>
            <w:tcW w:w="1202" w:type="dxa"/>
            <w:tcBorders>
              <w:tl2br w:val="nil"/>
              <w:tr2bl w:val="nil"/>
            </w:tcBorders>
            <w:vAlign w:val="center"/>
          </w:tcPr>
          <w:p w14:paraId="600A94FB">
            <w:pPr>
              <w:pStyle w:val="16"/>
              <w:bidi w:val="0"/>
              <w:spacing w:line="240" w:lineRule="auto"/>
              <w:rPr>
                <w:color w:val="auto"/>
              </w:rPr>
            </w:pPr>
            <w:r>
              <w:rPr>
                <w:rFonts w:hint="eastAsia"/>
                <w:color w:val="auto"/>
                <w:lang w:val="en-US" w:eastAsia="zh-CN"/>
              </w:rPr>
              <w:t>巴中市生态</w:t>
            </w:r>
            <w:r>
              <w:rPr>
                <w:color w:val="auto"/>
              </w:rPr>
              <w:t>环境局</w:t>
            </w:r>
          </w:p>
        </w:tc>
      </w:tr>
      <w:tr w14:paraId="2D7D82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85" w:type="dxa"/>
            <w:tcBorders>
              <w:tl2br w:val="nil"/>
              <w:tr2bl w:val="nil"/>
            </w:tcBorders>
            <w:vAlign w:val="center"/>
          </w:tcPr>
          <w:p w14:paraId="6AC024CE">
            <w:pPr>
              <w:pStyle w:val="16"/>
              <w:bidi w:val="0"/>
              <w:spacing w:line="240" w:lineRule="auto"/>
              <w:rPr>
                <w:color w:val="auto"/>
              </w:rPr>
            </w:pPr>
            <w:r>
              <w:rPr>
                <w:color w:val="auto"/>
              </w:rPr>
              <w:t>2</w:t>
            </w:r>
          </w:p>
        </w:tc>
        <w:tc>
          <w:tcPr>
            <w:tcW w:w="1130" w:type="dxa"/>
            <w:tcBorders>
              <w:tl2br w:val="nil"/>
              <w:tr2bl w:val="nil"/>
            </w:tcBorders>
            <w:vAlign w:val="center"/>
          </w:tcPr>
          <w:p w14:paraId="69D9495C">
            <w:pPr>
              <w:pStyle w:val="16"/>
              <w:bidi w:val="0"/>
              <w:spacing w:line="240" w:lineRule="auto"/>
              <w:rPr>
                <w:color w:val="auto"/>
              </w:rPr>
            </w:pPr>
            <w:r>
              <w:rPr>
                <w:color w:val="auto"/>
              </w:rPr>
              <w:t>施工噪声</w:t>
            </w:r>
          </w:p>
        </w:tc>
        <w:tc>
          <w:tcPr>
            <w:tcW w:w="4568" w:type="dxa"/>
            <w:tcBorders>
              <w:tl2br w:val="nil"/>
              <w:tr2bl w:val="nil"/>
            </w:tcBorders>
            <w:vAlign w:val="center"/>
          </w:tcPr>
          <w:p w14:paraId="1CB22381">
            <w:pPr>
              <w:pStyle w:val="16"/>
              <w:bidi w:val="0"/>
              <w:spacing w:line="240" w:lineRule="auto"/>
              <w:jc w:val="left"/>
              <w:rPr>
                <w:color w:val="auto"/>
              </w:rPr>
            </w:pPr>
            <w:r>
              <w:rPr>
                <w:rFonts w:hint="eastAsia"/>
                <w:color w:val="auto"/>
                <w:lang w:eastAsia="zh-CN"/>
              </w:rPr>
              <w:t>（</w:t>
            </w:r>
            <w:r>
              <w:rPr>
                <w:color w:val="auto"/>
              </w:rPr>
              <w:t>1</w:t>
            </w:r>
            <w:r>
              <w:rPr>
                <w:rFonts w:hint="eastAsia"/>
                <w:color w:val="auto"/>
                <w:lang w:eastAsia="zh-CN"/>
              </w:rPr>
              <w:t>）</w:t>
            </w:r>
            <w:r>
              <w:rPr>
                <w:color w:val="auto"/>
              </w:rPr>
              <w:t>尽量</w:t>
            </w:r>
            <w:r>
              <w:rPr>
                <w:rFonts w:hint="eastAsia"/>
                <w:color w:val="auto"/>
                <w:lang w:eastAsia="zh-CN"/>
              </w:rPr>
              <w:t>采用</w:t>
            </w:r>
            <w:r>
              <w:rPr>
                <w:color w:val="auto"/>
              </w:rPr>
              <w:t>低噪声机械</w:t>
            </w:r>
          </w:p>
          <w:p w14:paraId="3E233F2A">
            <w:pPr>
              <w:pStyle w:val="16"/>
              <w:bidi w:val="0"/>
              <w:spacing w:line="240" w:lineRule="auto"/>
              <w:jc w:val="left"/>
              <w:rPr>
                <w:color w:val="auto"/>
              </w:rPr>
            </w:pPr>
            <w:r>
              <w:rPr>
                <w:rFonts w:hint="eastAsia"/>
                <w:color w:val="auto"/>
                <w:lang w:eastAsia="zh-CN"/>
              </w:rPr>
              <w:t>（</w:t>
            </w:r>
            <w:r>
              <w:rPr>
                <w:color w:val="auto"/>
              </w:rPr>
              <w:t>2</w:t>
            </w:r>
            <w:r>
              <w:rPr>
                <w:rFonts w:hint="eastAsia"/>
                <w:color w:val="auto"/>
                <w:lang w:eastAsia="zh-CN"/>
              </w:rPr>
              <w:t>）</w:t>
            </w:r>
            <w:r>
              <w:rPr>
                <w:color w:val="auto"/>
              </w:rPr>
              <w:t>强噪声机械夜间严禁施工</w:t>
            </w:r>
          </w:p>
        </w:tc>
        <w:tc>
          <w:tcPr>
            <w:tcW w:w="946" w:type="dxa"/>
            <w:tcBorders>
              <w:tl2br w:val="nil"/>
              <w:tr2bl w:val="nil"/>
            </w:tcBorders>
            <w:vAlign w:val="center"/>
          </w:tcPr>
          <w:p w14:paraId="5330B033">
            <w:pPr>
              <w:pStyle w:val="16"/>
              <w:bidi w:val="0"/>
              <w:spacing w:line="240" w:lineRule="auto"/>
              <w:rPr>
                <w:color w:val="auto"/>
              </w:rPr>
            </w:pPr>
            <w:r>
              <w:rPr>
                <w:color w:val="auto"/>
              </w:rPr>
              <w:t>同上</w:t>
            </w:r>
          </w:p>
        </w:tc>
        <w:tc>
          <w:tcPr>
            <w:tcW w:w="1202" w:type="dxa"/>
            <w:tcBorders>
              <w:tl2br w:val="nil"/>
              <w:tr2bl w:val="nil"/>
            </w:tcBorders>
            <w:vAlign w:val="center"/>
          </w:tcPr>
          <w:p w14:paraId="6EC35C44">
            <w:pPr>
              <w:pStyle w:val="16"/>
              <w:bidi w:val="0"/>
              <w:spacing w:line="240" w:lineRule="auto"/>
              <w:rPr>
                <w:color w:val="auto"/>
              </w:rPr>
            </w:pPr>
            <w:r>
              <w:rPr>
                <w:color w:val="auto"/>
              </w:rPr>
              <w:t>同上</w:t>
            </w:r>
          </w:p>
        </w:tc>
      </w:tr>
      <w:tr w14:paraId="429FCA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85" w:type="dxa"/>
            <w:tcBorders>
              <w:tl2br w:val="nil"/>
              <w:tr2bl w:val="nil"/>
            </w:tcBorders>
            <w:vAlign w:val="center"/>
          </w:tcPr>
          <w:p w14:paraId="16245E41">
            <w:pPr>
              <w:pStyle w:val="16"/>
              <w:bidi w:val="0"/>
              <w:spacing w:line="240" w:lineRule="auto"/>
              <w:rPr>
                <w:color w:val="auto"/>
              </w:rPr>
            </w:pPr>
            <w:r>
              <w:rPr>
                <w:color w:val="auto"/>
              </w:rPr>
              <w:t>3</w:t>
            </w:r>
          </w:p>
        </w:tc>
        <w:tc>
          <w:tcPr>
            <w:tcW w:w="1130" w:type="dxa"/>
            <w:tcBorders>
              <w:tl2br w:val="nil"/>
              <w:tr2bl w:val="nil"/>
            </w:tcBorders>
            <w:vAlign w:val="center"/>
          </w:tcPr>
          <w:p w14:paraId="6D524061">
            <w:pPr>
              <w:pStyle w:val="16"/>
              <w:bidi w:val="0"/>
              <w:spacing w:line="240" w:lineRule="auto"/>
              <w:rPr>
                <w:color w:val="auto"/>
              </w:rPr>
            </w:pPr>
            <w:r>
              <w:rPr>
                <w:color w:val="auto"/>
              </w:rPr>
              <w:t>环境空气污染</w:t>
            </w:r>
          </w:p>
        </w:tc>
        <w:tc>
          <w:tcPr>
            <w:tcW w:w="4568" w:type="dxa"/>
            <w:tcBorders>
              <w:tl2br w:val="nil"/>
              <w:tr2bl w:val="nil"/>
            </w:tcBorders>
            <w:vAlign w:val="center"/>
          </w:tcPr>
          <w:p w14:paraId="76700A7A">
            <w:pPr>
              <w:pStyle w:val="16"/>
              <w:bidi w:val="0"/>
              <w:spacing w:line="240" w:lineRule="auto"/>
              <w:jc w:val="left"/>
              <w:rPr>
                <w:color w:val="auto"/>
              </w:rPr>
            </w:pPr>
            <w:r>
              <w:rPr>
                <w:rFonts w:hint="eastAsia"/>
                <w:color w:val="auto"/>
                <w:lang w:eastAsia="zh-CN"/>
              </w:rPr>
              <w:t>（</w:t>
            </w:r>
            <w:r>
              <w:rPr>
                <w:color w:val="auto"/>
              </w:rPr>
              <w:t>1</w:t>
            </w:r>
            <w:r>
              <w:rPr>
                <w:rFonts w:hint="eastAsia"/>
                <w:color w:val="auto"/>
                <w:lang w:eastAsia="zh-CN"/>
              </w:rPr>
              <w:t>）</w:t>
            </w:r>
            <w:r>
              <w:rPr>
                <w:color w:val="auto"/>
              </w:rPr>
              <w:t>施工的贮料场周边200m范围内不得有集中的居住区、学校等</w:t>
            </w:r>
          </w:p>
          <w:p w14:paraId="144269ED">
            <w:pPr>
              <w:pStyle w:val="16"/>
              <w:bidi w:val="0"/>
              <w:spacing w:line="240" w:lineRule="auto"/>
              <w:jc w:val="left"/>
              <w:rPr>
                <w:color w:val="auto"/>
              </w:rPr>
            </w:pPr>
            <w:r>
              <w:rPr>
                <w:rFonts w:hint="eastAsia"/>
                <w:color w:val="auto"/>
                <w:lang w:eastAsia="zh-CN"/>
              </w:rPr>
              <w:t>（</w:t>
            </w:r>
            <w:r>
              <w:rPr>
                <w:color w:val="auto"/>
              </w:rPr>
              <w:t>2</w:t>
            </w:r>
            <w:r>
              <w:rPr>
                <w:rFonts w:hint="eastAsia"/>
                <w:color w:val="auto"/>
                <w:lang w:eastAsia="zh-CN"/>
              </w:rPr>
              <w:t>）</w:t>
            </w:r>
            <w:r>
              <w:rPr>
                <w:color w:val="auto"/>
              </w:rPr>
              <w:t>施工作业场地应采取定时洒水降尘措施</w:t>
            </w:r>
          </w:p>
          <w:p w14:paraId="5CC08820">
            <w:pPr>
              <w:pStyle w:val="16"/>
              <w:bidi w:val="0"/>
              <w:spacing w:line="240" w:lineRule="auto"/>
              <w:jc w:val="left"/>
              <w:rPr>
                <w:color w:val="auto"/>
              </w:rPr>
            </w:pPr>
            <w:r>
              <w:rPr>
                <w:rFonts w:hint="eastAsia"/>
                <w:color w:val="auto"/>
                <w:lang w:eastAsia="zh-CN"/>
              </w:rPr>
              <w:t>（</w:t>
            </w:r>
            <w:r>
              <w:rPr>
                <w:color w:val="auto"/>
              </w:rPr>
              <w:t>3</w:t>
            </w:r>
            <w:r>
              <w:rPr>
                <w:rFonts w:hint="eastAsia"/>
                <w:color w:val="auto"/>
                <w:lang w:eastAsia="zh-CN"/>
              </w:rPr>
              <w:t>）</w:t>
            </w:r>
            <w:r>
              <w:rPr>
                <w:color w:val="auto"/>
              </w:rPr>
              <w:t>料场和贮料场采用遮盖或洒水以防止扬尘污染，运送建筑材料的卡车加盖</w:t>
            </w:r>
            <w:r>
              <w:rPr>
                <w:rFonts w:hint="eastAsia"/>
                <w:color w:val="auto"/>
                <w:lang w:eastAsia="zh-CN"/>
              </w:rPr>
              <w:t>篷布</w:t>
            </w:r>
            <w:r>
              <w:rPr>
                <w:color w:val="auto"/>
              </w:rPr>
              <w:t>，以减少抛洒</w:t>
            </w:r>
          </w:p>
        </w:tc>
        <w:tc>
          <w:tcPr>
            <w:tcW w:w="946" w:type="dxa"/>
            <w:tcBorders>
              <w:tl2br w:val="nil"/>
              <w:tr2bl w:val="nil"/>
            </w:tcBorders>
            <w:vAlign w:val="center"/>
          </w:tcPr>
          <w:p w14:paraId="7B904F02">
            <w:pPr>
              <w:pStyle w:val="16"/>
              <w:bidi w:val="0"/>
              <w:spacing w:line="240" w:lineRule="auto"/>
              <w:rPr>
                <w:color w:val="auto"/>
              </w:rPr>
            </w:pPr>
            <w:r>
              <w:rPr>
                <w:color w:val="auto"/>
              </w:rPr>
              <w:t>同上</w:t>
            </w:r>
          </w:p>
        </w:tc>
        <w:tc>
          <w:tcPr>
            <w:tcW w:w="1202" w:type="dxa"/>
            <w:tcBorders>
              <w:tl2br w:val="nil"/>
              <w:tr2bl w:val="nil"/>
            </w:tcBorders>
            <w:vAlign w:val="center"/>
          </w:tcPr>
          <w:p w14:paraId="1525C203">
            <w:pPr>
              <w:pStyle w:val="16"/>
              <w:bidi w:val="0"/>
              <w:spacing w:line="240" w:lineRule="auto"/>
              <w:rPr>
                <w:color w:val="auto"/>
              </w:rPr>
            </w:pPr>
            <w:r>
              <w:rPr>
                <w:color w:val="auto"/>
              </w:rPr>
              <w:t>同上</w:t>
            </w:r>
          </w:p>
        </w:tc>
      </w:tr>
      <w:tr w14:paraId="08D138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85" w:type="dxa"/>
            <w:tcBorders>
              <w:tl2br w:val="nil"/>
              <w:tr2bl w:val="nil"/>
            </w:tcBorders>
            <w:vAlign w:val="center"/>
          </w:tcPr>
          <w:p w14:paraId="61DB27B7">
            <w:pPr>
              <w:pStyle w:val="16"/>
              <w:bidi w:val="0"/>
              <w:spacing w:line="240" w:lineRule="auto"/>
              <w:rPr>
                <w:color w:val="auto"/>
              </w:rPr>
            </w:pPr>
            <w:r>
              <w:rPr>
                <w:color w:val="auto"/>
              </w:rPr>
              <w:t>4</w:t>
            </w:r>
          </w:p>
        </w:tc>
        <w:tc>
          <w:tcPr>
            <w:tcW w:w="1130" w:type="dxa"/>
            <w:tcBorders>
              <w:tl2br w:val="nil"/>
              <w:tr2bl w:val="nil"/>
            </w:tcBorders>
            <w:vAlign w:val="center"/>
          </w:tcPr>
          <w:p w14:paraId="44FD2CAE">
            <w:pPr>
              <w:pStyle w:val="16"/>
              <w:bidi w:val="0"/>
              <w:spacing w:line="240" w:lineRule="auto"/>
              <w:rPr>
                <w:color w:val="auto"/>
              </w:rPr>
            </w:pPr>
            <w:r>
              <w:rPr>
                <w:color w:val="auto"/>
              </w:rPr>
              <w:t>地表水污染</w:t>
            </w:r>
          </w:p>
        </w:tc>
        <w:tc>
          <w:tcPr>
            <w:tcW w:w="4568" w:type="dxa"/>
            <w:tcBorders>
              <w:tl2br w:val="nil"/>
              <w:tr2bl w:val="nil"/>
            </w:tcBorders>
            <w:vAlign w:val="center"/>
          </w:tcPr>
          <w:p w14:paraId="1033E672">
            <w:pPr>
              <w:pStyle w:val="16"/>
              <w:bidi w:val="0"/>
              <w:spacing w:line="240" w:lineRule="auto"/>
              <w:jc w:val="left"/>
              <w:rPr>
                <w:color w:val="auto"/>
              </w:rPr>
            </w:pPr>
            <w:r>
              <w:rPr>
                <w:rFonts w:hint="eastAsia"/>
                <w:color w:val="auto"/>
                <w:lang w:eastAsia="zh-CN"/>
              </w:rPr>
              <w:t>（</w:t>
            </w:r>
            <w:r>
              <w:rPr>
                <w:color w:val="auto"/>
              </w:rPr>
              <w:t>1</w:t>
            </w:r>
            <w:r>
              <w:rPr>
                <w:rFonts w:hint="eastAsia"/>
                <w:color w:val="auto"/>
                <w:lang w:eastAsia="zh-CN"/>
              </w:rPr>
              <w:t>）</w:t>
            </w:r>
            <w:r>
              <w:rPr>
                <w:color w:val="auto"/>
              </w:rPr>
              <w:t>施工营地及施工管理区需设置隔油池及生活垃圾集中堆放场地，</w:t>
            </w:r>
            <w:r>
              <w:rPr>
                <w:rFonts w:hint="eastAsia"/>
                <w:color w:val="auto"/>
                <w:lang w:eastAsia="zh-CN"/>
              </w:rPr>
              <w:t>以便</w:t>
            </w:r>
            <w:r>
              <w:rPr>
                <w:color w:val="auto"/>
              </w:rPr>
              <w:t>生活污水、生活垃圾集中处理</w:t>
            </w:r>
          </w:p>
          <w:p w14:paraId="327C153E">
            <w:pPr>
              <w:pStyle w:val="16"/>
              <w:bidi w:val="0"/>
              <w:spacing w:line="240" w:lineRule="auto"/>
              <w:jc w:val="left"/>
              <w:rPr>
                <w:color w:val="auto"/>
              </w:rPr>
            </w:pPr>
            <w:r>
              <w:rPr>
                <w:rFonts w:hint="eastAsia"/>
                <w:color w:val="auto"/>
                <w:lang w:eastAsia="zh-CN"/>
              </w:rPr>
              <w:t>（</w:t>
            </w:r>
            <w:r>
              <w:rPr>
                <w:color w:val="auto"/>
              </w:rPr>
              <w:t>2</w:t>
            </w:r>
            <w:r>
              <w:rPr>
                <w:rFonts w:hint="eastAsia"/>
                <w:color w:val="auto"/>
                <w:lang w:eastAsia="zh-CN"/>
              </w:rPr>
              <w:t>）</w:t>
            </w:r>
            <w:r>
              <w:rPr>
                <w:color w:val="auto"/>
              </w:rPr>
              <w:t>加强施工人员环境意识教育，严禁将废油、施工垃圾抛入地表水体</w:t>
            </w:r>
          </w:p>
        </w:tc>
        <w:tc>
          <w:tcPr>
            <w:tcW w:w="946" w:type="dxa"/>
            <w:tcBorders>
              <w:tl2br w:val="nil"/>
              <w:tr2bl w:val="nil"/>
            </w:tcBorders>
            <w:vAlign w:val="center"/>
          </w:tcPr>
          <w:p w14:paraId="2172A16A">
            <w:pPr>
              <w:pStyle w:val="16"/>
              <w:bidi w:val="0"/>
              <w:spacing w:line="240" w:lineRule="auto"/>
              <w:rPr>
                <w:color w:val="auto"/>
              </w:rPr>
            </w:pPr>
            <w:r>
              <w:rPr>
                <w:color w:val="auto"/>
              </w:rPr>
              <w:t>同上</w:t>
            </w:r>
          </w:p>
        </w:tc>
        <w:tc>
          <w:tcPr>
            <w:tcW w:w="1202" w:type="dxa"/>
            <w:tcBorders>
              <w:tl2br w:val="nil"/>
              <w:tr2bl w:val="nil"/>
            </w:tcBorders>
            <w:vAlign w:val="center"/>
          </w:tcPr>
          <w:p w14:paraId="62BEE870">
            <w:pPr>
              <w:pStyle w:val="16"/>
              <w:bidi w:val="0"/>
              <w:spacing w:line="240" w:lineRule="auto"/>
              <w:rPr>
                <w:color w:val="auto"/>
              </w:rPr>
            </w:pPr>
            <w:r>
              <w:rPr>
                <w:color w:val="auto"/>
              </w:rPr>
              <w:t>同上</w:t>
            </w:r>
          </w:p>
        </w:tc>
      </w:tr>
    </w:tbl>
    <w:p w14:paraId="5E6DBE9E">
      <w:pPr>
        <w:bidi w:val="0"/>
        <w:rPr>
          <w:b/>
          <w:bCs/>
          <w:color w:val="auto"/>
        </w:rPr>
      </w:pPr>
      <w:r>
        <w:rPr>
          <w:b/>
          <w:bCs/>
          <w:color w:val="auto"/>
        </w:rPr>
        <w:t>3、营运期环境管理</w:t>
      </w:r>
    </w:p>
    <w:p w14:paraId="194DD022">
      <w:pPr>
        <w:bidi w:val="0"/>
        <w:rPr>
          <w:color w:val="auto"/>
        </w:rPr>
      </w:pPr>
      <w:r>
        <w:rPr>
          <w:color w:val="auto"/>
        </w:rPr>
        <w:t>（1）管理机构</w:t>
      </w:r>
    </w:p>
    <w:p w14:paraId="07F07FBA">
      <w:pPr>
        <w:bidi w:val="0"/>
        <w:rPr>
          <w:color w:val="auto"/>
        </w:rPr>
      </w:pPr>
      <w:r>
        <w:rPr>
          <w:color w:val="auto"/>
        </w:rPr>
        <w:t>由企业设置的环保部负责项目运行期的环境管理工作，与当地生态环境部门及其授权监测部门保持密切联系，直接监管企业污染物的排放情况，并对其实施总量控制；对超标排放及污染事故、纠纷进行处理。</w:t>
      </w:r>
    </w:p>
    <w:p w14:paraId="6BFC7A9F">
      <w:pPr>
        <w:bidi w:val="0"/>
        <w:rPr>
          <w:color w:val="auto"/>
        </w:rPr>
      </w:pPr>
      <w:r>
        <w:rPr>
          <w:color w:val="auto"/>
        </w:rPr>
        <w:t>（2）运行期环境职责</w:t>
      </w:r>
    </w:p>
    <w:p w14:paraId="7F481CC4">
      <w:pPr>
        <w:bidi w:val="0"/>
        <w:rPr>
          <w:color w:val="auto"/>
        </w:rPr>
      </w:pPr>
      <w:r>
        <w:rPr>
          <w:color w:val="auto"/>
        </w:rPr>
        <w:t>由分管环保的专人负责环保指标的落实，将环保指标逐级分解到班组和个人，负责环保设备的运转和维护，确保其正常运转和达标排放，充分发挥其作用；配合地方环保监测部门进行日常环境监测，记录并及时上报污染源及环保措施运行动态。</w:t>
      </w:r>
    </w:p>
    <w:p w14:paraId="2A553166">
      <w:pPr>
        <w:pStyle w:val="4"/>
        <w:pageBreakBefore w:val="0"/>
        <w:wordWrap/>
        <w:bidi w:val="0"/>
        <w:adjustRightInd/>
        <w:snapToGrid/>
        <w:rPr>
          <w:rFonts w:ascii="Times New Roman" w:hAnsi="Times New Roman" w:eastAsia="宋体"/>
          <w:color w:val="auto"/>
        </w:rPr>
      </w:pPr>
      <w:bookmarkStart w:id="329" w:name="_Toc12502"/>
      <w:bookmarkStart w:id="330" w:name="_Toc374627853"/>
      <w:bookmarkStart w:id="331" w:name="_Toc6457"/>
      <w:bookmarkStart w:id="332" w:name="_Toc174977184"/>
      <w:r>
        <w:rPr>
          <w:rFonts w:hint="eastAsia" w:ascii="Times New Roman" w:hAnsi="Times New Roman" w:eastAsia="宋体"/>
          <w:color w:val="auto"/>
        </w:rPr>
        <w:t xml:space="preserve"> </w:t>
      </w:r>
      <w:bookmarkStart w:id="333" w:name="_Toc29172"/>
      <w:r>
        <w:rPr>
          <w:rFonts w:ascii="Times New Roman" w:hAnsi="Times New Roman" w:eastAsia="宋体"/>
          <w:color w:val="auto"/>
        </w:rPr>
        <w:t>环境监测计划</w:t>
      </w:r>
      <w:bookmarkEnd w:id="329"/>
      <w:bookmarkEnd w:id="333"/>
    </w:p>
    <w:p w14:paraId="2BF6E768">
      <w:pPr>
        <w:pageBreakBefore w:val="0"/>
        <w:wordWrap/>
        <w:bidi w:val="0"/>
        <w:adjustRightInd/>
        <w:snapToGrid/>
        <w:ind w:firstLine="480"/>
        <w:rPr>
          <w:color w:val="auto"/>
        </w:rPr>
      </w:pPr>
      <w:r>
        <w:rPr>
          <w:color w:val="auto"/>
        </w:rPr>
        <w:t>环境监测是项目环境保护管理的</w:t>
      </w:r>
      <w:r>
        <w:rPr>
          <w:rFonts w:hint="eastAsia"/>
          <w:color w:val="auto"/>
          <w:lang w:eastAsia="zh-CN"/>
        </w:rPr>
        <w:t>“</w:t>
      </w:r>
      <w:r>
        <w:rPr>
          <w:color w:val="auto"/>
        </w:rPr>
        <w:t>眼睛</w:t>
      </w:r>
      <w:r>
        <w:rPr>
          <w:rFonts w:hint="eastAsia"/>
          <w:color w:val="auto"/>
          <w:lang w:eastAsia="zh-CN"/>
        </w:rPr>
        <w:t>”</w:t>
      </w:r>
      <w:r>
        <w:rPr>
          <w:color w:val="auto"/>
        </w:rPr>
        <w:t>，是基本的手段和信息基础，环境监测的特点是以样本的监测结果来推断总体环境质量，因此，必须把握好各个技术环节，包括确定环境监测的项目和范围，采样的位置和数量，采样的时间和方法，样品的分析和数据处理等及其质量保证工作。保证监测数据具有完整的质量特征，准确性、精密性、完整性、代表性和可比性。</w:t>
      </w:r>
    </w:p>
    <w:p w14:paraId="7A4CDF8F">
      <w:pPr>
        <w:pageBreakBefore w:val="0"/>
        <w:wordWrap/>
        <w:bidi w:val="0"/>
        <w:adjustRightInd/>
        <w:snapToGrid/>
        <w:ind w:firstLine="480"/>
        <w:rPr>
          <w:color w:val="auto"/>
          <w:szCs w:val="22"/>
        </w:rPr>
      </w:pPr>
      <w:r>
        <w:rPr>
          <w:color w:val="auto"/>
          <w:szCs w:val="22"/>
        </w:rPr>
        <w:t>建立健全技术资料档案管理制度，并逐步建立健全下列技术资料档案及系统图表：</w:t>
      </w:r>
    </w:p>
    <w:p w14:paraId="527C952C">
      <w:pPr>
        <w:pageBreakBefore w:val="0"/>
        <w:wordWrap/>
        <w:bidi w:val="0"/>
        <w:adjustRightInd/>
        <w:snapToGrid/>
        <w:ind w:firstLine="480"/>
        <w:rPr>
          <w:color w:val="auto"/>
          <w:szCs w:val="22"/>
        </w:rPr>
      </w:pPr>
      <w:r>
        <w:rPr>
          <w:color w:val="auto"/>
          <w:szCs w:val="22"/>
        </w:rPr>
        <w:t>1、地表水、地下水的水文资料；</w:t>
      </w:r>
    </w:p>
    <w:p w14:paraId="53FEC780">
      <w:pPr>
        <w:pageBreakBefore w:val="0"/>
        <w:wordWrap/>
        <w:bidi w:val="0"/>
        <w:adjustRightInd/>
        <w:snapToGrid/>
        <w:ind w:firstLine="480"/>
        <w:rPr>
          <w:color w:val="auto"/>
          <w:szCs w:val="22"/>
        </w:rPr>
      </w:pPr>
      <w:r>
        <w:rPr>
          <w:color w:val="auto"/>
          <w:szCs w:val="22"/>
        </w:rPr>
        <w:t>2、当地气象资料；</w:t>
      </w:r>
    </w:p>
    <w:p w14:paraId="13F1715E">
      <w:pPr>
        <w:pageBreakBefore w:val="0"/>
        <w:wordWrap/>
        <w:bidi w:val="0"/>
        <w:adjustRightInd/>
        <w:snapToGrid/>
        <w:ind w:firstLine="480"/>
        <w:rPr>
          <w:color w:val="auto"/>
          <w:szCs w:val="22"/>
        </w:rPr>
      </w:pPr>
      <w:r>
        <w:rPr>
          <w:color w:val="auto"/>
          <w:szCs w:val="22"/>
        </w:rPr>
        <w:t>3、污染防治设施及技术改进资料；</w:t>
      </w:r>
    </w:p>
    <w:p w14:paraId="0431E275">
      <w:pPr>
        <w:pageBreakBefore w:val="0"/>
        <w:wordWrap/>
        <w:bidi w:val="0"/>
        <w:adjustRightInd/>
        <w:snapToGrid/>
        <w:ind w:firstLine="480"/>
        <w:rPr>
          <w:color w:val="auto"/>
          <w:szCs w:val="22"/>
        </w:rPr>
      </w:pPr>
      <w:r>
        <w:rPr>
          <w:color w:val="auto"/>
          <w:szCs w:val="22"/>
        </w:rPr>
        <w:t>4、污染源调查等技术档案、环境监测及评价资料，污染指标考核资料；</w:t>
      </w:r>
    </w:p>
    <w:p w14:paraId="5283E497">
      <w:pPr>
        <w:pageBreakBefore w:val="0"/>
        <w:wordWrap/>
        <w:bidi w:val="0"/>
        <w:adjustRightInd/>
        <w:snapToGrid/>
        <w:ind w:firstLine="480"/>
        <w:rPr>
          <w:color w:val="auto"/>
          <w:szCs w:val="22"/>
        </w:rPr>
      </w:pPr>
      <w:r>
        <w:rPr>
          <w:color w:val="auto"/>
          <w:szCs w:val="22"/>
        </w:rPr>
        <w:t>5、监测仪器使用说明书及校验证书；</w:t>
      </w:r>
    </w:p>
    <w:p w14:paraId="35C133E8">
      <w:pPr>
        <w:pageBreakBefore w:val="0"/>
        <w:wordWrap/>
        <w:bidi w:val="0"/>
        <w:adjustRightInd/>
        <w:snapToGrid/>
        <w:ind w:firstLine="480"/>
        <w:rPr>
          <w:color w:val="auto"/>
          <w:szCs w:val="22"/>
        </w:rPr>
      </w:pPr>
      <w:r>
        <w:rPr>
          <w:color w:val="auto"/>
          <w:szCs w:val="22"/>
        </w:rPr>
        <w:t>6、污染事故的</w:t>
      </w:r>
      <w:r>
        <w:rPr>
          <w:rFonts w:hint="eastAsia"/>
          <w:color w:val="auto"/>
          <w:szCs w:val="22"/>
          <w:lang w:eastAsia="zh-CN"/>
        </w:rPr>
        <w:t>纪实</w:t>
      </w:r>
      <w:r>
        <w:rPr>
          <w:color w:val="auto"/>
          <w:szCs w:val="22"/>
        </w:rPr>
        <w:t>材料；</w:t>
      </w:r>
    </w:p>
    <w:p w14:paraId="53A19EA2">
      <w:pPr>
        <w:pageBreakBefore w:val="0"/>
        <w:wordWrap/>
        <w:bidi w:val="0"/>
        <w:adjustRightInd/>
        <w:snapToGrid/>
        <w:ind w:firstLine="480"/>
        <w:rPr>
          <w:color w:val="auto"/>
          <w:szCs w:val="22"/>
        </w:rPr>
      </w:pPr>
      <w:r>
        <w:rPr>
          <w:color w:val="auto"/>
          <w:szCs w:val="22"/>
        </w:rPr>
        <w:t>7、</w:t>
      </w:r>
      <w:r>
        <w:rPr>
          <w:rFonts w:hint="eastAsia"/>
          <w:color w:val="auto"/>
          <w:szCs w:val="22"/>
          <w:lang w:eastAsia="zh-CN"/>
        </w:rPr>
        <w:t>“</w:t>
      </w:r>
      <w:r>
        <w:rPr>
          <w:color w:val="auto"/>
          <w:szCs w:val="22"/>
        </w:rPr>
        <w:t>三废</w:t>
      </w:r>
      <w:r>
        <w:rPr>
          <w:rFonts w:hint="eastAsia"/>
          <w:color w:val="auto"/>
          <w:szCs w:val="22"/>
          <w:lang w:eastAsia="zh-CN"/>
        </w:rPr>
        <w:t>”</w:t>
      </w:r>
      <w:r>
        <w:rPr>
          <w:color w:val="auto"/>
          <w:szCs w:val="22"/>
        </w:rPr>
        <w:t>排放系统图；</w:t>
      </w:r>
    </w:p>
    <w:p w14:paraId="3013E998">
      <w:pPr>
        <w:pageBreakBefore w:val="0"/>
        <w:wordWrap/>
        <w:bidi w:val="0"/>
        <w:adjustRightInd/>
        <w:snapToGrid/>
        <w:ind w:firstLine="480"/>
        <w:rPr>
          <w:color w:val="auto"/>
          <w:szCs w:val="22"/>
        </w:rPr>
      </w:pPr>
      <w:r>
        <w:rPr>
          <w:color w:val="auto"/>
          <w:szCs w:val="22"/>
        </w:rPr>
        <w:t>8、</w:t>
      </w:r>
      <w:r>
        <w:rPr>
          <w:rFonts w:hint="eastAsia"/>
          <w:color w:val="auto"/>
          <w:szCs w:val="22"/>
          <w:lang w:eastAsia="zh-CN"/>
        </w:rPr>
        <w:t>“</w:t>
      </w:r>
      <w:r>
        <w:rPr>
          <w:color w:val="auto"/>
          <w:szCs w:val="22"/>
        </w:rPr>
        <w:t>三废</w:t>
      </w:r>
      <w:r>
        <w:rPr>
          <w:rFonts w:hint="eastAsia"/>
          <w:color w:val="auto"/>
          <w:szCs w:val="22"/>
          <w:lang w:eastAsia="zh-CN"/>
        </w:rPr>
        <w:t>”</w:t>
      </w:r>
      <w:r>
        <w:rPr>
          <w:color w:val="auto"/>
          <w:szCs w:val="22"/>
        </w:rPr>
        <w:t>排放采样监测点以及噪声监测点布置图；</w:t>
      </w:r>
    </w:p>
    <w:p w14:paraId="0D255CDD">
      <w:pPr>
        <w:pageBreakBefore w:val="0"/>
        <w:wordWrap/>
        <w:bidi w:val="0"/>
        <w:adjustRightInd/>
        <w:snapToGrid/>
        <w:ind w:firstLine="480"/>
        <w:rPr>
          <w:color w:val="auto"/>
          <w:szCs w:val="22"/>
        </w:rPr>
      </w:pPr>
      <w:r>
        <w:rPr>
          <w:color w:val="auto"/>
          <w:szCs w:val="22"/>
        </w:rPr>
        <w:t>9、污染物排放动态图表。</w:t>
      </w:r>
    </w:p>
    <w:p w14:paraId="713270F7">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监测建立技术资料档案保管制度</w:t>
      </w:r>
    </w:p>
    <w:p w14:paraId="11DD7041">
      <w:pPr>
        <w:pageBreakBefore w:val="0"/>
        <w:wordWrap/>
        <w:bidi w:val="0"/>
        <w:adjustRightInd/>
        <w:snapToGrid/>
        <w:ind w:firstLine="480"/>
        <w:rPr>
          <w:color w:val="auto"/>
          <w:szCs w:val="22"/>
        </w:rPr>
      </w:pPr>
      <w:r>
        <w:rPr>
          <w:color w:val="auto"/>
          <w:szCs w:val="22"/>
        </w:rPr>
        <w:t>为保证监测数据具有完整的质量特征，在制定监测计划时应遵循以下原则：</w:t>
      </w:r>
    </w:p>
    <w:p w14:paraId="4CA587F9">
      <w:pPr>
        <w:pageBreakBefore w:val="0"/>
        <w:wordWrap/>
        <w:bidi w:val="0"/>
        <w:adjustRightInd/>
        <w:snapToGrid/>
        <w:ind w:firstLine="480"/>
        <w:rPr>
          <w:color w:val="auto"/>
          <w:szCs w:val="22"/>
        </w:rPr>
      </w:pPr>
      <w:r>
        <w:rPr>
          <w:color w:val="auto"/>
          <w:szCs w:val="22"/>
        </w:rPr>
        <w:t>1、实用性和经济性，在确定监测技术路线和技术装备时，要做费用―效益分析，尽量做到符合实际需要；</w:t>
      </w:r>
    </w:p>
    <w:p w14:paraId="148902D1">
      <w:pPr>
        <w:pageBreakBefore w:val="0"/>
        <w:wordWrap/>
        <w:bidi w:val="0"/>
        <w:adjustRightInd/>
        <w:snapToGrid/>
        <w:ind w:firstLine="480"/>
        <w:rPr>
          <w:color w:val="auto"/>
          <w:szCs w:val="22"/>
        </w:rPr>
      </w:pPr>
      <w:r>
        <w:rPr>
          <w:color w:val="auto"/>
          <w:szCs w:val="22"/>
        </w:rPr>
        <w:t>2、遵循优先污染物优先监测的原则；</w:t>
      </w:r>
    </w:p>
    <w:p w14:paraId="23572C64">
      <w:pPr>
        <w:pageBreakBefore w:val="0"/>
        <w:wordWrap/>
        <w:bidi w:val="0"/>
        <w:adjustRightInd/>
        <w:snapToGrid/>
        <w:ind w:firstLine="480"/>
        <w:rPr>
          <w:color w:val="auto"/>
          <w:szCs w:val="22"/>
        </w:rPr>
      </w:pPr>
      <w:r>
        <w:rPr>
          <w:color w:val="auto"/>
          <w:szCs w:val="22"/>
        </w:rPr>
        <w:t>3、全面规划、合理布局，环境问题的复杂性决定了环境监测的多样性，要对监测布点、采样、分析测试及数据处理做出合理安排。</w:t>
      </w:r>
    </w:p>
    <w:p w14:paraId="302F183F">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排污口规范化设置</w:t>
      </w:r>
    </w:p>
    <w:p w14:paraId="37EAB87B">
      <w:pPr>
        <w:pageBreakBefore w:val="0"/>
        <w:wordWrap/>
        <w:bidi w:val="0"/>
        <w:adjustRightInd/>
        <w:snapToGrid/>
        <w:ind w:firstLine="480"/>
        <w:jc w:val="left"/>
        <w:rPr>
          <w:color w:val="auto"/>
          <w:szCs w:val="22"/>
        </w:rPr>
      </w:pPr>
      <w:r>
        <w:rPr>
          <w:color w:val="auto"/>
          <w:szCs w:val="22"/>
        </w:rPr>
        <w:t>排污口是企业排放污染物进入环境的通道，强化排污口的管理是实施污染物总量控制的基础工作之一，也是区域环境管理逐步实现污染物排放科学化、定量化的重要手段。</w:t>
      </w:r>
    </w:p>
    <w:p w14:paraId="52A7E368">
      <w:pPr>
        <w:pageBreakBefore w:val="0"/>
        <w:wordWrap/>
        <w:bidi w:val="0"/>
        <w:adjustRightInd/>
        <w:snapToGrid/>
        <w:ind w:firstLine="480"/>
        <w:jc w:val="left"/>
        <w:rPr>
          <w:color w:val="auto"/>
          <w:szCs w:val="22"/>
        </w:rPr>
      </w:pPr>
      <w:r>
        <w:rPr>
          <w:color w:val="auto"/>
          <w:szCs w:val="22"/>
        </w:rPr>
        <w:t>1、排污口规范化管理的基本原则</w:t>
      </w:r>
    </w:p>
    <w:p w14:paraId="6A70AE13">
      <w:pPr>
        <w:pageBreakBefore w:val="0"/>
        <w:wordWrap/>
        <w:bidi w:val="0"/>
        <w:adjustRightInd/>
        <w:snapToGrid/>
        <w:ind w:firstLine="480"/>
        <w:rPr>
          <w:color w:val="auto"/>
          <w:szCs w:val="22"/>
        </w:rPr>
      </w:pPr>
      <w:r>
        <w:rPr>
          <w:color w:val="auto"/>
          <w:szCs w:val="22"/>
        </w:rPr>
        <w:t>①向环境排放污染物的排污口必须规范化。</w:t>
      </w:r>
    </w:p>
    <w:p w14:paraId="0B259074">
      <w:pPr>
        <w:pageBreakBefore w:val="0"/>
        <w:wordWrap/>
        <w:bidi w:val="0"/>
        <w:adjustRightInd/>
        <w:snapToGrid/>
        <w:ind w:firstLine="480"/>
        <w:rPr>
          <w:color w:val="auto"/>
          <w:szCs w:val="22"/>
        </w:rPr>
      </w:pPr>
      <w:r>
        <w:rPr>
          <w:color w:val="auto"/>
          <w:szCs w:val="22"/>
        </w:rPr>
        <w:t>②考虑排放的污染物中COD、NH</w:t>
      </w:r>
      <w:r>
        <w:rPr>
          <w:color w:val="auto"/>
          <w:szCs w:val="22"/>
          <w:vertAlign w:val="subscript"/>
        </w:rPr>
        <w:t>3</w:t>
      </w:r>
      <w:r>
        <w:rPr>
          <w:color w:val="auto"/>
          <w:szCs w:val="22"/>
        </w:rPr>
        <w:t>-N、总</w:t>
      </w:r>
      <w:r>
        <w:rPr>
          <w:color w:val="auto"/>
          <w:sz w:val="24"/>
          <w:szCs w:val="24"/>
        </w:rPr>
        <w:t>磷、</w:t>
      </w:r>
      <w:r>
        <w:rPr>
          <w:rFonts w:hint="eastAsia"/>
          <w:color w:val="auto"/>
          <w:sz w:val="24"/>
          <w:szCs w:val="24"/>
          <w:lang w:val="en-US" w:eastAsia="zh-CN"/>
        </w:rPr>
        <w:t>石油类、甲醛</w:t>
      </w:r>
      <w:r>
        <w:rPr>
          <w:color w:val="auto"/>
          <w:szCs w:val="22"/>
        </w:rPr>
        <w:t>作为排放口管理重点。</w:t>
      </w:r>
    </w:p>
    <w:p w14:paraId="53B1C6A3">
      <w:pPr>
        <w:pageBreakBefore w:val="0"/>
        <w:wordWrap/>
        <w:bidi w:val="0"/>
        <w:adjustRightInd/>
        <w:snapToGrid/>
        <w:ind w:firstLine="480"/>
        <w:jc w:val="left"/>
        <w:rPr>
          <w:color w:val="auto"/>
          <w:szCs w:val="22"/>
        </w:rPr>
      </w:pPr>
      <w:r>
        <w:rPr>
          <w:color w:val="auto"/>
          <w:szCs w:val="22"/>
        </w:rPr>
        <w:t>③排污口应便于采样与计量监测，便于日常现场监督检查。</w:t>
      </w:r>
    </w:p>
    <w:p w14:paraId="1B006ADC">
      <w:pPr>
        <w:pageBreakBefore w:val="0"/>
        <w:wordWrap/>
        <w:bidi w:val="0"/>
        <w:adjustRightInd/>
        <w:snapToGrid/>
        <w:ind w:firstLine="480"/>
        <w:jc w:val="left"/>
        <w:rPr>
          <w:color w:val="auto"/>
          <w:szCs w:val="22"/>
        </w:rPr>
      </w:pPr>
      <w:r>
        <w:rPr>
          <w:color w:val="auto"/>
          <w:szCs w:val="22"/>
        </w:rPr>
        <w:t>2、排污口的技术要求</w:t>
      </w:r>
    </w:p>
    <w:p w14:paraId="303CA95E">
      <w:pPr>
        <w:pageBreakBefore w:val="0"/>
        <w:wordWrap/>
        <w:bidi w:val="0"/>
        <w:adjustRightInd/>
        <w:snapToGrid/>
        <w:ind w:firstLine="480"/>
        <w:rPr>
          <w:color w:val="auto"/>
          <w:szCs w:val="22"/>
        </w:rPr>
      </w:pPr>
      <w:r>
        <w:rPr>
          <w:color w:val="auto"/>
          <w:szCs w:val="22"/>
        </w:rPr>
        <w:t>①排污口的位置必须合理确定，按环监[1996]470号文件要求进行规范化管理。</w:t>
      </w:r>
    </w:p>
    <w:p w14:paraId="65B4E95A">
      <w:pPr>
        <w:pageBreakBefore w:val="0"/>
        <w:wordWrap/>
        <w:bidi w:val="0"/>
        <w:adjustRightInd/>
        <w:snapToGrid/>
        <w:ind w:firstLine="480"/>
        <w:rPr>
          <w:color w:val="auto"/>
          <w:szCs w:val="22"/>
        </w:rPr>
      </w:pPr>
      <w:r>
        <w:rPr>
          <w:color w:val="auto"/>
          <w:szCs w:val="22"/>
        </w:rPr>
        <w:t>②排放污染物的采样点设置应按《污染源监测技术规范》要求，设置：在污水处理厂总排口等处。</w:t>
      </w:r>
    </w:p>
    <w:p w14:paraId="590E94A6">
      <w:pPr>
        <w:pageBreakBefore w:val="0"/>
        <w:wordWrap/>
        <w:bidi w:val="0"/>
        <w:adjustRightInd/>
        <w:snapToGrid/>
        <w:ind w:firstLine="480"/>
        <w:rPr>
          <w:color w:val="auto"/>
          <w:szCs w:val="22"/>
        </w:rPr>
      </w:pPr>
      <w:r>
        <w:rPr>
          <w:color w:val="auto"/>
          <w:szCs w:val="22"/>
        </w:rPr>
        <w:t>③设置规范的污水测量流量流速的测流段。</w:t>
      </w:r>
    </w:p>
    <w:p w14:paraId="39DA4077">
      <w:pPr>
        <w:pageBreakBefore w:val="0"/>
        <w:wordWrap/>
        <w:bidi w:val="0"/>
        <w:adjustRightInd/>
        <w:snapToGrid/>
        <w:ind w:firstLine="480"/>
        <w:jc w:val="left"/>
        <w:rPr>
          <w:color w:val="auto"/>
          <w:szCs w:val="22"/>
        </w:rPr>
      </w:pPr>
      <w:r>
        <w:rPr>
          <w:color w:val="auto"/>
          <w:szCs w:val="22"/>
        </w:rPr>
        <w:t>3、排污口立标管理</w:t>
      </w:r>
    </w:p>
    <w:p w14:paraId="4B6BA3C4">
      <w:pPr>
        <w:pageBreakBefore w:val="0"/>
        <w:wordWrap/>
        <w:bidi w:val="0"/>
        <w:adjustRightInd/>
        <w:snapToGrid/>
        <w:ind w:firstLine="480"/>
        <w:rPr>
          <w:color w:val="auto"/>
          <w:szCs w:val="22"/>
        </w:rPr>
      </w:pPr>
      <w:r>
        <w:rPr>
          <w:color w:val="auto"/>
          <w:szCs w:val="22"/>
        </w:rPr>
        <w:t>①企业污染物排放口的标志，应按国家《环境保护图形标志排放口》（15562.1-1995）及《环境保护图形标志  固体废物贮存（处置）场》（15562.2-1995）的规定，设置国家环保总局统一制作的环境保护图形标志牌。</w:t>
      </w:r>
    </w:p>
    <w:p w14:paraId="6373BEF1">
      <w:pPr>
        <w:pageBreakBefore w:val="0"/>
        <w:wordWrap/>
        <w:bidi w:val="0"/>
        <w:adjustRightInd/>
        <w:snapToGrid/>
        <w:ind w:firstLine="480"/>
        <w:rPr>
          <w:color w:val="auto"/>
          <w:szCs w:val="22"/>
        </w:rPr>
      </w:pPr>
      <w:r>
        <w:rPr>
          <w:color w:val="auto"/>
          <w:szCs w:val="22"/>
        </w:rPr>
        <w:t>②污染物排放口的环保图形标志牌应设置在靠近采样点的醒目处，标志牌设置高度为其上缘距地面2m。</w:t>
      </w:r>
    </w:p>
    <w:p w14:paraId="3BD62463">
      <w:pPr>
        <w:pageBreakBefore w:val="0"/>
        <w:wordWrap/>
        <w:bidi w:val="0"/>
        <w:adjustRightInd/>
        <w:snapToGrid/>
        <w:ind w:firstLine="480"/>
        <w:jc w:val="left"/>
        <w:rPr>
          <w:color w:val="auto"/>
          <w:szCs w:val="22"/>
        </w:rPr>
      </w:pPr>
      <w:r>
        <w:rPr>
          <w:color w:val="auto"/>
          <w:szCs w:val="22"/>
        </w:rPr>
        <w:t>4、排污口建档管理</w:t>
      </w:r>
    </w:p>
    <w:p w14:paraId="5F5271A7">
      <w:pPr>
        <w:pageBreakBefore w:val="0"/>
        <w:wordWrap/>
        <w:bidi w:val="0"/>
        <w:adjustRightInd/>
        <w:snapToGrid/>
        <w:ind w:firstLine="480"/>
        <w:rPr>
          <w:color w:val="auto"/>
          <w:szCs w:val="22"/>
        </w:rPr>
      </w:pPr>
      <w:r>
        <w:rPr>
          <w:color w:val="auto"/>
          <w:szCs w:val="22"/>
        </w:rPr>
        <w:t>①要求使用国家环保部统一印刷的《中华人民共和国规范化排污口标志登记证》，并按要求填写有关内容。</w:t>
      </w:r>
    </w:p>
    <w:p w14:paraId="1004AB51">
      <w:pPr>
        <w:pageBreakBefore w:val="0"/>
        <w:wordWrap/>
        <w:bidi w:val="0"/>
        <w:adjustRightInd/>
        <w:snapToGrid/>
        <w:ind w:firstLine="480"/>
        <w:rPr>
          <w:color w:val="auto"/>
          <w:szCs w:val="22"/>
        </w:rPr>
      </w:pPr>
      <w:r>
        <w:rPr>
          <w:color w:val="auto"/>
          <w:szCs w:val="22"/>
        </w:rPr>
        <w:t>②根据排污口管理档案内容要求，项目建成后，应将主要污染物种类、数量、浓度、排放去向、达标情况及设施运行情况记录于档案。</w:t>
      </w:r>
    </w:p>
    <w:p w14:paraId="51DC98F3">
      <w:pPr>
        <w:pageBreakBefore w:val="0"/>
        <w:wordWrap/>
        <w:bidi w:val="0"/>
        <w:adjustRightInd/>
        <w:snapToGrid/>
        <w:ind w:firstLine="480"/>
        <w:jc w:val="left"/>
        <w:rPr>
          <w:color w:val="auto"/>
          <w:szCs w:val="22"/>
        </w:rPr>
      </w:pPr>
      <w:r>
        <w:rPr>
          <w:color w:val="auto"/>
          <w:szCs w:val="22"/>
        </w:rPr>
        <w:t>5、环境保护图形标志</w:t>
      </w:r>
    </w:p>
    <w:p w14:paraId="1EDD4709">
      <w:pPr>
        <w:pStyle w:val="23"/>
        <w:pageBreakBefore w:val="0"/>
        <w:wordWrap/>
        <w:bidi w:val="0"/>
        <w:adjustRightInd/>
        <w:snapToGrid/>
        <w:rPr>
          <w:color w:val="auto"/>
          <w:szCs w:val="22"/>
        </w:rPr>
      </w:pPr>
      <w:r>
        <w:rPr>
          <w:color w:val="auto"/>
          <w:szCs w:val="22"/>
        </w:rPr>
        <w:t>在企业的废水排放口、废气排放源、固体废物贮存处置场应设置环境保护图形标志，图形符号分为提示图形和警告图形符号两种，分别按《环境保护图形标志—排放口（源）》（GB15562.1-1995）和《环境保护图形标志</w:t>
      </w:r>
      <w:r>
        <w:rPr>
          <w:rFonts w:hint="eastAsia"/>
          <w:color w:val="auto"/>
          <w:szCs w:val="22"/>
          <w:lang w:val="en-US" w:eastAsia="zh-CN"/>
        </w:rPr>
        <w:t xml:space="preserve"> </w:t>
      </w:r>
      <w:r>
        <w:rPr>
          <w:color w:val="auto"/>
          <w:szCs w:val="22"/>
        </w:rPr>
        <w:t>固体废物贮存（处置）场》（GB15562.2-1995）执行，环境保护图形符号见下表。</w:t>
      </w:r>
    </w:p>
    <w:p w14:paraId="701C6EAF">
      <w:pPr>
        <w:pStyle w:val="19"/>
        <w:numPr>
          <w:ilvl w:val="0"/>
          <w:numId w:val="39"/>
        </w:numPr>
        <w:bidi w:val="0"/>
        <w:ind w:left="0" w:leftChars="0" w:firstLine="0" w:firstLineChars="0"/>
        <w:rPr>
          <w:color w:val="auto"/>
        </w:rPr>
      </w:pPr>
      <w:r>
        <w:rPr>
          <w:color w:val="auto"/>
        </w:rPr>
        <w:t>环境监测项目及监测频率</w:t>
      </w:r>
    </w:p>
    <w:tbl>
      <w:tblPr>
        <w:tblStyle w:val="5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8"/>
        <w:gridCol w:w="1476"/>
        <w:gridCol w:w="3760"/>
        <w:gridCol w:w="2372"/>
      </w:tblGrid>
      <w:tr w14:paraId="02C7F3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0EB69CE8">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序号</w:t>
            </w:r>
          </w:p>
        </w:tc>
        <w:tc>
          <w:tcPr>
            <w:tcW w:w="0" w:type="auto"/>
            <w:tcBorders>
              <w:tl2br w:val="nil"/>
              <w:tr2bl w:val="nil"/>
            </w:tcBorders>
            <w:noWrap w:val="0"/>
            <w:vAlign w:val="center"/>
          </w:tcPr>
          <w:p w14:paraId="316BEC57">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名称</w:t>
            </w:r>
          </w:p>
        </w:tc>
        <w:tc>
          <w:tcPr>
            <w:tcW w:w="3760" w:type="dxa"/>
            <w:tcBorders>
              <w:tl2br w:val="nil"/>
              <w:tr2bl w:val="nil"/>
            </w:tcBorders>
            <w:noWrap w:val="0"/>
            <w:vAlign w:val="center"/>
          </w:tcPr>
          <w:p w14:paraId="440C3EE3">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提示符号</w:t>
            </w:r>
          </w:p>
        </w:tc>
        <w:tc>
          <w:tcPr>
            <w:tcW w:w="2372" w:type="dxa"/>
            <w:tcBorders>
              <w:tl2br w:val="nil"/>
              <w:tr2bl w:val="nil"/>
            </w:tcBorders>
            <w:noWrap w:val="0"/>
            <w:vAlign w:val="center"/>
          </w:tcPr>
          <w:p w14:paraId="5867D8D2">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功能</w:t>
            </w:r>
          </w:p>
        </w:tc>
      </w:tr>
      <w:tr w14:paraId="6AB5DF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7C6200B2">
            <w:pPr>
              <w:pageBreakBefore w:val="0"/>
              <w:wordWrap/>
              <w:bidi w:val="0"/>
              <w:adjustRightInd/>
              <w:snapToGrid/>
              <w:spacing w:line="240" w:lineRule="auto"/>
              <w:ind w:firstLine="0" w:firstLineChars="0"/>
              <w:jc w:val="center"/>
              <w:rPr>
                <w:color w:val="auto"/>
                <w:sz w:val="21"/>
                <w:szCs w:val="21"/>
              </w:rPr>
            </w:pPr>
            <w:r>
              <w:rPr>
                <w:color w:val="auto"/>
                <w:sz w:val="21"/>
                <w:szCs w:val="22"/>
              </w:rPr>
              <w:t>1</w:t>
            </w:r>
          </w:p>
        </w:tc>
        <w:tc>
          <w:tcPr>
            <w:tcW w:w="0" w:type="auto"/>
            <w:tcBorders>
              <w:tl2br w:val="nil"/>
              <w:tr2bl w:val="nil"/>
            </w:tcBorders>
            <w:noWrap w:val="0"/>
            <w:vAlign w:val="center"/>
          </w:tcPr>
          <w:p w14:paraId="1C08DEFC">
            <w:pPr>
              <w:pageBreakBefore w:val="0"/>
              <w:wordWrap/>
              <w:bidi w:val="0"/>
              <w:adjustRightInd/>
              <w:snapToGrid/>
              <w:spacing w:line="240" w:lineRule="auto"/>
              <w:ind w:firstLine="0" w:firstLineChars="0"/>
              <w:jc w:val="center"/>
              <w:rPr>
                <w:color w:val="auto"/>
                <w:sz w:val="21"/>
                <w:szCs w:val="21"/>
              </w:rPr>
            </w:pPr>
            <w:r>
              <w:rPr>
                <w:color w:val="auto"/>
                <w:sz w:val="21"/>
                <w:szCs w:val="22"/>
              </w:rPr>
              <w:t>废水排放口</w:t>
            </w:r>
          </w:p>
        </w:tc>
        <w:tc>
          <w:tcPr>
            <w:tcW w:w="3760" w:type="dxa"/>
            <w:tcBorders>
              <w:tl2br w:val="nil"/>
              <w:tr2bl w:val="nil"/>
            </w:tcBorders>
            <w:noWrap w:val="0"/>
            <w:vAlign w:val="center"/>
          </w:tcPr>
          <w:p w14:paraId="22ECEFE7">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eastAsia="宋体"/>
                <w:color w:val="auto"/>
                <w:sz w:val="21"/>
                <w:szCs w:val="21"/>
                <w:lang w:eastAsia="zh-CN"/>
              </w:rPr>
              <w:drawing>
                <wp:inline distT="0" distB="0" distL="114300" distR="114300">
                  <wp:extent cx="2082165" cy="1315085"/>
                  <wp:effectExtent l="0" t="0" r="13335" b="18415"/>
                  <wp:docPr id="118" name="图片 118" descr="b88886e537015f5d0c567827712d29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b88886e537015f5d0c567827712d29af"/>
                          <pic:cNvPicPr>
                            <a:picLocks noChangeAspect="1"/>
                          </pic:cNvPicPr>
                        </pic:nvPicPr>
                        <pic:blipFill>
                          <a:blip r:embed="rId134"/>
                          <a:stretch>
                            <a:fillRect/>
                          </a:stretch>
                        </pic:blipFill>
                        <pic:spPr>
                          <a:xfrm>
                            <a:off x="0" y="0"/>
                            <a:ext cx="2082165" cy="1315085"/>
                          </a:xfrm>
                          <a:prstGeom prst="rect">
                            <a:avLst/>
                          </a:prstGeom>
                        </pic:spPr>
                      </pic:pic>
                    </a:graphicData>
                  </a:graphic>
                </wp:inline>
              </w:drawing>
            </w:r>
          </w:p>
        </w:tc>
        <w:tc>
          <w:tcPr>
            <w:tcW w:w="2372" w:type="dxa"/>
            <w:tcBorders>
              <w:tl2br w:val="nil"/>
              <w:tr2bl w:val="nil"/>
            </w:tcBorders>
            <w:noWrap w:val="0"/>
            <w:vAlign w:val="center"/>
          </w:tcPr>
          <w:p w14:paraId="4DA55C4F">
            <w:pPr>
              <w:pageBreakBefore w:val="0"/>
              <w:wordWrap/>
              <w:bidi w:val="0"/>
              <w:adjustRightInd/>
              <w:snapToGrid/>
              <w:spacing w:line="240" w:lineRule="auto"/>
              <w:ind w:firstLine="0" w:firstLineChars="0"/>
              <w:jc w:val="center"/>
              <w:rPr>
                <w:color w:val="auto"/>
                <w:sz w:val="21"/>
                <w:szCs w:val="21"/>
              </w:rPr>
            </w:pPr>
            <w:r>
              <w:rPr>
                <w:color w:val="auto"/>
                <w:sz w:val="21"/>
                <w:szCs w:val="22"/>
              </w:rPr>
              <w:t>表示废水向水体排放</w:t>
            </w:r>
          </w:p>
        </w:tc>
      </w:tr>
      <w:tr w14:paraId="3E89B2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1AFB64B5">
            <w:pPr>
              <w:pageBreakBefore w:val="0"/>
              <w:wordWrap/>
              <w:bidi w:val="0"/>
              <w:adjustRightInd/>
              <w:snapToGrid/>
              <w:spacing w:line="240" w:lineRule="auto"/>
              <w:ind w:firstLine="0" w:firstLineChars="0"/>
              <w:jc w:val="center"/>
              <w:rPr>
                <w:color w:val="auto"/>
                <w:sz w:val="21"/>
                <w:szCs w:val="21"/>
              </w:rPr>
            </w:pPr>
            <w:r>
              <w:rPr>
                <w:color w:val="auto"/>
                <w:sz w:val="21"/>
                <w:szCs w:val="22"/>
              </w:rPr>
              <w:t>2</w:t>
            </w:r>
          </w:p>
        </w:tc>
        <w:tc>
          <w:tcPr>
            <w:tcW w:w="0" w:type="auto"/>
            <w:tcBorders>
              <w:tl2br w:val="nil"/>
              <w:tr2bl w:val="nil"/>
            </w:tcBorders>
            <w:noWrap w:val="0"/>
            <w:vAlign w:val="center"/>
          </w:tcPr>
          <w:p w14:paraId="1B5A3A76">
            <w:pPr>
              <w:pageBreakBefore w:val="0"/>
              <w:wordWrap/>
              <w:bidi w:val="0"/>
              <w:adjustRightInd/>
              <w:snapToGrid/>
              <w:spacing w:line="240" w:lineRule="auto"/>
              <w:ind w:firstLine="0" w:firstLineChars="0"/>
              <w:jc w:val="center"/>
              <w:rPr>
                <w:color w:val="auto"/>
                <w:sz w:val="21"/>
                <w:szCs w:val="21"/>
              </w:rPr>
            </w:pPr>
            <w:r>
              <w:rPr>
                <w:color w:val="auto"/>
                <w:sz w:val="21"/>
                <w:szCs w:val="22"/>
              </w:rPr>
              <w:t>废气排放口</w:t>
            </w:r>
          </w:p>
        </w:tc>
        <w:tc>
          <w:tcPr>
            <w:tcW w:w="3760" w:type="dxa"/>
            <w:tcBorders>
              <w:tl2br w:val="nil"/>
              <w:tr2bl w:val="nil"/>
            </w:tcBorders>
            <w:noWrap w:val="0"/>
            <w:vAlign w:val="center"/>
          </w:tcPr>
          <w:p w14:paraId="1EC37CF2">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eastAsia="宋体"/>
                <w:color w:val="auto"/>
                <w:sz w:val="21"/>
                <w:szCs w:val="21"/>
                <w:lang w:eastAsia="zh-CN"/>
              </w:rPr>
              <w:drawing>
                <wp:inline distT="0" distB="0" distL="114300" distR="114300">
                  <wp:extent cx="2077085" cy="1313180"/>
                  <wp:effectExtent l="0" t="0" r="18415" b="1270"/>
                  <wp:docPr id="119" name="图片 119" descr="0305a873fb08a58195a9f7bc1f02d3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0305a873fb08a58195a9f7bc1f02d3e8"/>
                          <pic:cNvPicPr>
                            <a:picLocks noChangeAspect="1"/>
                          </pic:cNvPicPr>
                        </pic:nvPicPr>
                        <pic:blipFill>
                          <a:blip r:embed="rId135"/>
                          <a:stretch>
                            <a:fillRect/>
                          </a:stretch>
                        </pic:blipFill>
                        <pic:spPr>
                          <a:xfrm>
                            <a:off x="0" y="0"/>
                            <a:ext cx="2077085" cy="1313180"/>
                          </a:xfrm>
                          <a:prstGeom prst="rect">
                            <a:avLst/>
                          </a:prstGeom>
                        </pic:spPr>
                      </pic:pic>
                    </a:graphicData>
                  </a:graphic>
                </wp:inline>
              </w:drawing>
            </w:r>
          </w:p>
        </w:tc>
        <w:tc>
          <w:tcPr>
            <w:tcW w:w="2372" w:type="dxa"/>
            <w:tcBorders>
              <w:tl2br w:val="nil"/>
              <w:tr2bl w:val="nil"/>
            </w:tcBorders>
            <w:noWrap w:val="0"/>
            <w:vAlign w:val="center"/>
          </w:tcPr>
          <w:p w14:paraId="61A74B48">
            <w:pPr>
              <w:pageBreakBefore w:val="0"/>
              <w:wordWrap/>
              <w:bidi w:val="0"/>
              <w:adjustRightInd/>
              <w:snapToGrid/>
              <w:spacing w:line="240" w:lineRule="auto"/>
              <w:ind w:firstLine="0" w:firstLineChars="0"/>
              <w:jc w:val="center"/>
              <w:rPr>
                <w:color w:val="auto"/>
                <w:sz w:val="21"/>
                <w:szCs w:val="21"/>
              </w:rPr>
            </w:pPr>
            <w:r>
              <w:rPr>
                <w:color w:val="auto"/>
                <w:sz w:val="21"/>
                <w:szCs w:val="22"/>
              </w:rPr>
              <w:t>表示废气向大气环境排放</w:t>
            </w:r>
          </w:p>
        </w:tc>
      </w:tr>
      <w:tr w14:paraId="39912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2124DCE9">
            <w:pPr>
              <w:pageBreakBefore w:val="0"/>
              <w:wordWrap/>
              <w:bidi w:val="0"/>
              <w:adjustRightInd/>
              <w:snapToGrid/>
              <w:spacing w:line="240" w:lineRule="auto"/>
              <w:ind w:firstLine="0" w:firstLineChars="0"/>
              <w:jc w:val="center"/>
              <w:rPr>
                <w:color w:val="auto"/>
                <w:sz w:val="21"/>
                <w:szCs w:val="21"/>
              </w:rPr>
            </w:pPr>
            <w:r>
              <w:rPr>
                <w:color w:val="auto"/>
                <w:sz w:val="21"/>
                <w:szCs w:val="22"/>
              </w:rPr>
              <w:t>3</w:t>
            </w:r>
          </w:p>
        </w:tc>
        <w:tc>
          <w:tcPr>
            <w:tcW w:w="0" w:type="auto"/>
            <w:tcBorders>
              <w:tl2br w:val="nil"/>
              <w:tr2bl w:val="nil"/>
            </w:tcBorders>
            <w:noWrap w:val="0"/>
            <w:vAlign w:val="center"/>
          </w:tcPr>
          <w:p w14:paraId="5B7548F0">
            <w:pPr>
              <w:pageBreakBefore w:val="0"/>
              <w:wordWrap/>
              <w:bidi w:val="0"/>
              <w:adjustRightInd/>
              <w:snapToGrid/>
              <w:spacing w:line="240" w:lineRule="auto"/>
              <w:ind w:firstLine="0" w:firstLineChars="0"/>
              <w:jc w:val="center"/>
              <w:rPr>
                <w:color w:val="auto"/>
                <w:sz w:val="21"/>
                <w:szCs w:val="21"/>
              </w:rPr>
            </w:pPr>
            <w:r>
              <w:rPr>
                <w:color w:val="auto"/>
                <w:sz w:val="21"/>
                <w:szCs w:val="22"/>
              </w:rPr>
              <w:t>噪声排放源</w:t>
            </w:r>
          </w:p>
        </w:tc>
        <w:tc>
          <w:tcPr>
            <w:tcW w:w="3760" w:type="dxa"/>
            <w:tcBorders>
              <w:tl2br w:val="nil"/>
              <w:tr2bl w:val="nil"/>
            </w:tcBorders>
            <w:noWrap w:val="0"/>
            <w:vAlign w:val="center"/>
          </w:tcPr>
          <w:p w14:paraId="15051251">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eastAsia="宋体"/>
                <w:color w:val="auto"/>
                <w:sz w:val="21"/>
                <w:szCs w:val="21"/>
                <w:lang w:eastAsia="zh-CN"/>
              </w:rPr>
              <w:drawing>
                <wp:inline distT="0" distB="0" distL="114300" distR="114300">
                  <wp:extent cx="2124075" cy="1334135"/>
                  <wp:effectExtent l="0" t="0" r="9525" b="18415"/>
                  <wp:docPr id="120" name="图片 120" descr="692738f868a6928fabd602805c4adb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692738f868a6928fabd602805c4adbe9"/>
                          <pic:cNvPicPr>
                            <a:picLocks noChangeAspect="1"/>
                          </pic:cNvPicPr>
                        </pic:nvPicPr>
                        <pic:blipFill>
                          <a:blip r:embed="rId136"/>
                          <a:stretch>
                            <a:fillRect/>
                          </a:stretch>
                        </pic:blipFill>
                        <pic:spPr>
                          <a:xfrm>
                            <a:off x="0" y="0"/>
                            <a:ext cx="2124075" cy="1334135"/>
                          </a:xfrm>
                          <a:prstGeom prst="rect">
                            <a:avLst/>
                          </a:prstGeom>
                        </pic:spPr>
                      </pic:pic>
                    </a:graphicData>
                  </a:graphic>
                </wp:inline>
              </w:drawing>
            </w:r>
          </w:p>
        </w:tc>
        <w:tc>
          <w:tcPr>
            <w:tcW w:w="2372" w:type="dxa"/>
            <w:tcBorders>
              <w:tl2br w:val="nil"/>
              <w:tr2bl w:val="nil"/>
            </w:tcBorders>
            <w:noWrap w:val="0"/>
            <w:vAlign w:val="center"/>
          </w:tcPr>
          <w:p w14:paraId="6E36FB6E">
            <w:pPr>
              <w:pageBreakBefore w:val="0"/>
              <w:wordWrap/>
              <w:bidi w:val="0"/>
              <w:adjustRightInd/>
              <w:snapToGrid/>
              <w:spacing w:line="240" w:lineRule="auto"/>
              <w:ind w:firstLine="0" w:firstLineChars="0"/>
              <w:jc w:val="center"/>
              <w:rPr>
                <w:color w:val="auto"/>
                <w:sz w:val="21"/>
                <w:szCs w:val="21"/>
              </w:rPr>
            </w:pPr>
            <w:r>
              <w:rPr>
                <w:color w:val="auto"/>
                <w:sz w:val="21"/>
                <w:szCs w:val="22"/>
              </w:rPr>
              <w:t>表示噪声向外环境排放</w:t>
            </w:r>
          </w:p>
        </w:tc>
      </w:tr>
      <w:tr w14:paraId="4EE9B5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020D589A">
            <w:pPr>
              <w:pageBreakBefore w:val="0"/>
              <w:wordWrap/>
              <w:bidi w:val="0"/>
              <w:adjustRightInd/>
              <w:snapToGrid/>
              <w:spacing w:line="240" w:lineRule="auto"/>
              <w:ind w:firstLine="0" w:firstLineChars="0"/>
              <w:jc w:val="center"/>
              <w:rPr>
                <w:color w:val="auto"/>
                <w:sz w:val="21"/>
                <w:szCs w:val="21"/>
              </w:rPr>
            </w:pPr>
            <w:r>
              <w:rPr>
                <w:color w:val="auto"/>
                <w:sz w:val="21"/>
                <w:szCs w:val="22"/>
              </w:rPr>
              <w:t>4</w:t>
            </w:r>
          </w:p>
        </w:tc>
        <w:tc>
          <w:tcPr>
            <w:tcW w:w="0" w:type="auto"/>
            <w:tcBorders>
              <w:tl2br w:val="nil"/>
              <w:tr2bl w:val="nil"/>
            </w:tcBorders>
            <w:noWrap w:val="0"/>
            <w:vAlign w:val="center"/>
          </w:tcPr>
          <w:p w14:paraId="777F4522">
            <w:pPr>
              <w:pageBreakBefore w:val="0"/>
              <w:wordWrap/>
              <w:bidi w:val="0"/>
              <w:adjustRightInd/>
              <w:snapToGrid/>
              <w:spacing w:line="240" w:lineRule="auto"/>
              <w:ind w:firstLine="0" w:firstLineChars="0"/>
              <w:jc w:val="center"/>
              <w:rPr>
                <w:color w:val="auto"/>
                <w:sz w:val="21"/>
                <w:szCs w:val="21"/>
              </w:rPr>
            </w:pPr>
            <w:r>
              <w:rPr>
                <w:color w:val="auto"/>
                <w:sz w:val="21"/>
                <w:szCs w:val="22"/>
              </w:rPr>
              <w:t>一般固体废物</w:t>
            </w:r>
          </w:p>
        </w:tc>
        <w:tc>
          <w:tcPr>
            <w:tcW w:w="3760" w:type="dxa"/>
            <w:tcBorders>
              <w:tl2br w:val="nil"/>
              <w:tr2bl w:val="nil"/>
            </w:tcBorders>
            <w:noWrap w:val="0"/>
            <w:vAlign w:val="center"/>
          </w:tcPr>
          <w:p w14:paraId="3F94BDEF">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eastAsia="宋体"/>
                <w:color w:val="auto"/>
                <w:sz w:val="21"/>
                <w:szCs w:val="21"/>
                <w:lang w:eastAsia="zh-CN"/>
              </w:rPr>
              <w:drawing>
                <wp:inline distT="0" distB="0" distL="114300" distR="114300">
                  <wp:extent cx="2157730" cy="1353185"/>
                  <wp:effectExtent l="0" t="0" r="13970" b="18415"/>
                  <wp:docPr id="122" name="图片 122" descr="3cf08f82c6525e05ae30eee15eed42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3cf08f82c6525e05ae30eee15eed42cc"/>
                          <pic:cNvPicPr>
                            <a:picLocks noChangeAspect="1"/>
                          </pic:cNvPicPr>
                        </pic:nvPicPr>
                        <pic:blipFill>
                          <a:blip r:embed="rId137"/>
                          <a:stretch>
                            <a:fillRect/>
                          </a:stretch>
                        </pic:blipFill>
                        <pic:spPr>
                          <a:xfrm>
                            <a:off x="0" y="0"/>
                            <a:ext cx="2157730" cy="1353185"/>
                          </a:xfrm>
                          <a:prstGeom prst="rect">
                            <a:avLst/>
                          </a:prstGeom>
                        </pic:spPr>
                      </pic:pic>
                    </a:graphicData>
                  </a:graphic>
                </wp:inline>
              </w:drawing>
            </w:r>
          </w:p>
        </w:tc>
        <w:tc>
          <w:tcPr>
            <w:tcW w:w="2372" w:type="dxa"/>
            <w:tcBorders>
              <w:tl2br w:val="nil"/>
              <w:tr2bl w:val="nil"/>
            </w:tcBorders>
            <w:noWrap w:val="0"/>
            <w:vAlign w:val="center"/>
          </w:tcPr>
          <w:p w14:paraId="59900881">
            <w:pPr>
              <w:pageBreakBefore w:val="0"/>
              <w:wordWrap/>
              <w:bidi w:val="0"/>
              <w:adjustRightInd/>
              <w:snapToGrid/>
              <w:spacing w:line="240" w:lineRule="auto"/>
              <w:ind w:firstLine="0" w:firstLineChars="0"/>
              <w:jc w:val="center"/>
              <w:rPr>
                <w:color w:val="auto"/>
                <w:sz w:val="21"/>
                <w:szCs w:val="21"/>
              </w:rPr>
            </w:pPr>
            <w:r>
              <w:rPr>
                <w:color w:val="auto"/>
                <w:sz w:val="21"/>
                <w:szCs w:val="22"/>
              </w:rPr>
              <w:t>表示一般固体废物贮存、处置场</w:t>
            </w:r>
          </w:p>
        </w:tc>
      </w:tr>
      <w:tr w14:paraId="71A7C0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noWrap w:val="0"/>
            <w:vAlign w:val="center"/>
          </w:tcPr>
          <w:p w14:paraId="5957CEE5">
            <w:pPr>
              <w:pageBreakBefore w:val="0"/>
              <w:wordWrap/>
              <w:bidi w:val="0"/>
              <w:adjustRightInd/>
              <w:snapToGrid/>
              <w:spacing w:line="240" w:lineRule="auto"/>
              <w:ind w:firstLine="0" w:firstLineChars="0"/>
              <w:jc w:val="center"/>
              <w:rPr>
                <w:color w:val="auto"/>
                <w:sz w:val="21"/>
                <w:szCs w:val="21"/>
              </w:rPr>
            </w:pPr>
            <w:r>
              <w:rPr>
                <w:color w:val="auto"/>
                <w:sz w:val="21"/>
                <w:szCs w:val="22"/>
              </w:rPr>
              <w:t>5</w:t>
            </w:r>
          </w:p>
        </w:tc>
        <w:tc>
          <w:tcPr>
            <w:tcW w:w="0" w:type="auto"/>
            <w:tcBorders>
              <w:tl2br w:val="nil"/>
              <w:tr2bl w:val="nil"/>
            </w:tcBorders>
            <w:noWrap w:val="0"/>
            <w:vAlign w:val="center"/>
          </w:tcPr>
          <w:p w14:paraId="084D9A0D">
            <w:pPr>
              <w:pageBreakBefore w:val="0"/>
              <w:wordWrap/>
              <w:bidi w:val="0"/>
              <w:adjustRightInd/>
              <w:snapToGrid/>
              <w:spacing w:line="240" w:lineRule="auto"/>
              <w:ind w:firstLine="0" w:firstLineChars="0"/>
              <w:jc w:val="center"/>
              <w:rPr>
                <w:color w:val="auto"/>
                <w:sz w:val="21"/>
                <w:szCs w:val="21"/>
              </w:rPr>
            </w:pPr>
            <w:r>
              <w:rPr>
                <w:color w:val="auto"/>
                <w:sz w:val="21"/>
                <w:szCs w:val="22"/>
              </w:rPr>
              <w:t>危险废物</w:t>
            </w:r>
          </w:p>
        </w:tc>
        <w:tc>
          <w:tcPr>
            <w:tcW w:w="3760" w:type="dxa"/>
            <w:tcBorders>
              <w:tl2br w:val="nil"/>
              <w:tr2bl w:val="nil"/>
            </w:tcBorders>
            <w:noWrap w:val="0"/>
            <w:vAlign w:val="center"/>
          </w:tcPr>
          <w:p w14:paraId="7C8939BF">
            <w:pPr>
              <w:pageBreakBefore w:val="0"/>
              <w:wordWrap/>
              <w:bidi w:val="0"/>
              <w:adjustRightInd/>
              <w:snapToGrid/>
              <w:spacing w:line="240" w:lineRule="auto"/>
              <w:ind w:firstLine="0" w:firstLineChars="0"/>
              <w:jc w:val="center"/>
              <w:rPr>
                <w:rFonts w:hint="eastAsia" w:eastAsia="宋体"/>
                <w:color w:val="auto"/>
                <w:sz w:val="21"/>
                <w:szCs w:val="21"/>
                <w:lang w:eastAsia="zh-CN"/>
              </w:rPr>
            </w:pPr>
            <w:r>
              <w:rPr>
                <w:rFonts w:hint="eastAsia" w:eastAsia="宋体"/>
                <w:color w:val="auto"/>
                <w:sz w:val="21"/>
                <w:szCs w:val="21"/>
                <w:lang w:eastAsia="zh-CN"/>
              </w:rPr>
              <w:drawing>
                <wp:inline distT="0" distB="0" distL="114300" distR="114300">
                  <wp:extent cx="2204085" cy="1384935"/>
                  <wp:effectExtent l="0" t="0" r="5715" b="5715"/>
                  <wp:docPr id="123" name="图片 123" descr="191a4136d33283e514e54182be0a63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191a4136d33283e514e54182be0a631e"/>
                          <pic:cNvPicPr>
                            <a:picLocks noChangeAspect="1"/>
                          </pic:cNvPicPr>
                        </pic:nvPicPr>
                        <pic:blipFill>
                          <a:blip r:embed="rId138"/>
                          <a:stretch>
                            <a:fillRect/>
                          </a:stretch>
                        </pic:blipFill>
                        <pic:spPr>
                          <a:xfrm>
                            <a:off x="0" y="0"/>
                            <a:ext cx="2204085" cy="1384935"/>
                          </a:xfrm>
                          <a:prstGeom prst="rect">
                            <a:avLst/>
                          </a:prstGeom>
                        </pic:spPr>
                      </pic:pic>
                    </a:graphicData>
                  </a:graphic>
                </wp:inline>
              </w:drawing>
            </w:r>
          </w:p>
        </w:tc>
        <w:tc>
          <w:tcPr>
            <w:tcW w:w="2372" w:type="dxa"/>
            <w:tcBorders>
              <w:tl2br w:val="nil"/>
              <w:tr2bl w:val="nil"/>
            </w:tcBorders>
            <w:noWrap w:val="0"/>
            <w:vAlign w:val="center"/>
          </w:tcPr>
          <w:p w14:paraId="587CF7D5">
            <w:pPr>
              <w:pageBreakBefore w:val="0"/>
              <w:wordWrap/>
              <w:bidi w:val="0"/>
              <w:adjustRightInd/>
              <w:snapToGrid/>
              <w:spacing w:line="240" w:lineRule="auto"/>
              <w:ind w:firstLine="0" w:firstLineChars="0"/>
              <w:jc w:val="center"/>
              <w:rPr>
                <w:color w:val="auto"/>
                <w:sz w:val="21"/>
                <w:szCs w:val="21"/>
              </w:rPr>
            </w:pPr>
            <w:r>
              <w:rPr>
                <w:color w:val="auto"/>
                <w:sz w:val="21"/>
                <w:szCs w:val="22"/>
              </w:rPr>
              <w:t>表示危险废物贮存、处置场</w:t>
            </w:r>
          </w:p>
        </w:tc>
      </w:tr>
    </w:tbl>
    <w:p w14:paraId="3BBBA733">
      <w:pPr>
        <w:pStyle w:val="5"/>
        <w:bidi w:val="0"/>
        <w:rPr>
          <w:color w:val="auto"/>
        </w:rPr>
      </w:pPr>
      <w:r>
        <w:rPr>
          <w:rFonts w:hint="eastAsia"/>
          <w:color w:val="auto"/>
        </w:rPr>
        <w:t xml:space="preserve"> </w:t>
      </w:r>
      <w:r>
        <w:rPr>
          <w:color w:val="auto"/>
        </w:rPr>
        <w:t>环境监测计划</w:t>
      </w:r>
    </w:p>
    <w:p w14:paraId="25C62586">
      <w:pPr>
        <w:bidi w:val="0"/>
        <w:rPr>
          <w:b/>
          <w:bCs/>
          <w:color w:val="auto"/>
        </w:rPr>
      </w:pPr>
      <w:r>
        <w:rPr>
          <w:b/>
          <w:bCs/>
          <w:color w:val="auto"/>
        </w:rPr>
        <w:t>（一）施工期环境监测计划</w:t>
      </w:r>
    </w:p>
    <w:p w14:paraId="1F6B7039">
      <w:pPr>
        <w:bidi w:val="0"/>
        <w:rPr>
          <w:color w:val="auto"/>
        </w:rPr>
      </w:pPr>
      <w:r>
        <w:rPr>
          <w:color w:val="auto"/>
        </w:rPr>
        <w:t>（1）建设单位与施工单位签定工程承包合同时，应包括有关工程施工期间环境保护条款，包括工程施工中生态环境保护（水土保持）、施工期间环境污染控制、污染物排放管理、施工人员环保教育及相关奖惩条款。</w:t>
      </w:r>
    </w:p>
    <w:p w14:paraId="2AB3ABCE">
      <w:pPr>
        <w:bidi w:val="0"/>
        <w:rPr>
          <w:color w:val="auto"/>
        </w:rPr>
      </w:pPr>
      <w:r>
        <w:rPr>
          <w:color w:val="auto"/>
        </w:rPr>
        <w:t>（2）施工单位应</w:t>
      </w:r>
      <w:r>
        <w:rPr>
          <w:rFonts w:hint="eastAsia"/>
          <w:color w:val="auto"/>
          <w:lang w:eastAsia="zh-CN"/>
        </w:rPr>
        <w:t>增强</w:t>
      </w:r>
      <w:r>
        <w:rPr>
          <w:color w:val="auto"/>
        </w:rPr>
        <w:t>环保意识，加强驻地和施工现场的环境管理，合理安排施工计划，切实做到组织计划严谨，文明施工；环保措施逐条落实到位，环保工程与主体工程同时施工、同时运行，环保工程费用专款专用，不偷工减料、延误工期。</w:t>
      </w:r>
    </w:p>
    <w:p w14:paraId="3A0BD9B9">
      <w:pPr>
        <w:bidi w:val="0"/>
        <w:rPr>
          <w:color w:val="auto"/>
        </w:rPr>
      </w:pPr>
      <w:r>
        <w:rPr>
          <w:color w:val="auto"/>
        </w:rPr>
        <w:t>（3）施工单位应特别注意工程施工中的水土保持，尽可能保护好土壤、植被、弃土弃渣须运至设计中指定的地点弃置，严禁随意堆置、侵占河道，防止对地表水环境产生影响。</w:t>
      </w:r>
    </w:p>
    <w:p w14:paraId="64150047">
      <w:pPr>
        <w:bidi w:val="0"/>
        <w:rPr>
          <w:color w:val="auto"/>
        </w:rPr>
      </w:pPr>
      <w:r>
        <w:rPr>
          <w:color w:val="auto"/>
        </w:rPr>
        <w:t>（4）各施工现场、施工单位驻地</w:t>
      </w:r>
      <w:r>
        <w:rPr>
          <w:rFonts w:hint="eastAsia"/>
          <w:color w:val="auto"/>
          <w:lang w:eastAsia="zh-CN"/>
        </w:rPr>
        <w:t>及其他</w:t>
      </w:r>
      <w:r>
        <w:rPr>
          <w:color w:val="auto"/>
        </w:rPr>
        <w:t>施工临时设施，应加强环境管理，施工污水避免无组织散排，尽可能集中排放指定地点；扬尘大的工地应采取降尘措施，工程施工完毕后施工单位及时清理和恢复施工现场，妥善处理生活垃圾与施工弃渣，减少扬尘；施工现场应执行《建筑施工场界环境噪声排放标准》（GB12523-2011）中的有关规定和要求。</w:t>
      </w:r>
    </w:p>
    <w:p w14:paraId="37D11FBC">
      <w:pPr>
        <w:bidi w:val="0"/>
        <w:rPr>
          <w:color w:val="auto"/>
        </w:rPr>
      </w:pPr>
      <w:r>
        <w:rPr>
          <w:color w:val="auto"/>
        </w:rPr>
        <w:t>（5）认真落实各项补偿措施，做好工程各项环保设施的施工监理与验收，保证环保工程质量，真正做到环保工程</w:t>
      </w:r>
      <w:r>
        <w:rPr>
          <w:rFonts w:hint="eastAsia"/>
          <w:color w:val="auto"/>
          <w:lang w:eastAsia="zh-CN"/>
        </w:rPr>
        <w:t>“</w:t>
      </w:r>
      <w:r>
        <w:rPr>
          <w:color w:val="auto"/>
        </w:rPr>
        <w:t>三同时</w:t>
      </w:r>
      <w:r>
        <w:rPr>
          <w:rFonts w:hint="eastAsia"/>
          <w:color w:val="auto"/>
          <w:lang w:eastAsia="zh-CN"/>
        </w:rPr>
        <w:t>”</w:t>
      </w:r>
      <w:r>
        <w:rPr>
          <w:color w:val="auto"/>
        </w:rPr>
        <w:t>。</w:t>
      </w:r>
    </w:p>
    <w:p w14:paraId="49F6BA83">
      <w:pPr>
        <w:bidi w:val="0"/>
        <w:rPr>
          <w:b/>
          <w:bCs/>
          <w:color w:val="auto"/>
        </w:rPr>
      </w:pPr>
      <w:r>
        <w:rPr>
          <w:b/>
          <w:bCs/>
          <w:color w:val="auto"/>
        </w:rPr>
        <w:t>（二）运行期环境监测计划</w:t>
      </w:r>
    </w:p>
    <w:p w14:paraId="068763F8">
      <w:pPr>
        <w:bidi w:val="0"/>
        <w:rPr>
          <w:color w:val="auto"/>
        </w:rPr>
      </w:pPr>
      <w:r>
        <w:rPr>
          <w:color w:val="auto"/>
        </w:rPr>
        <w:t>项目污染源监督性监测工作由当地环保部门监测站进行。同时，根据《排污单位自行监测技术指南 水处理》（HJ1083-2020）中相关要求，并结合项目实际情况，监测建议内容为：</w:t>
      </w:r>
    </w:p>
    <w:p w14:paraId="499AD0EF">
      <w:pPr>
        <w:bidi w:val="0"/>
        <w:rPr>
          <w:color w:val="auto"/>
        </w:rPr>
      </w:pPr>
      <w:r>
        <w:rPr>
          <w:color w:val="auto"/>
        </w:rPr>
        <w:t>1、项目进出水水质监测</w:t>
      </w:r>
    </w:p>
    <w:p w14:paraId="42CA98ED">
      <w:pPr>
        <w:bidi w:val="0"/>
        <w:rPr>
          <w:color w:val="auto"/>
        </w:rPr>
      </w:pPr>
      <w:r>
        <w:rPr>
          <w:color w:val="auto"/>
        </w:rPr>
        <w:t>污水处理厂的废水监测为对污水进水、出水水质的日常监测。</w:t>
      </w:r>
    </w:p>
    <w:p w14:paraId="4C489516">
      <w:pPr>
        <w:bidi w:val="0"/>
        <w:rPr>
          <w:color w:val="auto"/>
        </w:rPr>
      </w:pPr>
      <w:r>
        <w:rPr>
          <w:color w:val="auto"/>
        </w:rPr>
        <w:t>①进水监测指标及最低监测频次</w:t>
      </w:r>
    </w:p>
    <w:p w14:paraId="063D51E7">
      <w:pPr>
        <w:pStyle w:val="19"/>
        <w:numPr>
          <w:ilvl w:val="0"/>
          <w:numId w:val="39"/>
        </w:numPr>
        <w:bidi w:val="0"/>
        <w:ind w:left="0" w:leftChars="0" w:firstLine="0" w:firstLineChars="0"/>
        <w:rPr>
          <w:color w:val="auto"/>
        </w:rPr>
      </w:pPr>
      <w:r>
        <w:rPr>
          <w:color w:val="auto"/>
        </w:rPr>
        <w:t>工业废水集中处理厂进水监测指标及最低监测频次</w:t>
      </w:r>
    </w:p>
    <w:tbl>
      <w:tblPr>
        <w:tblStyle w:val="5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03"/>
        <w:gridCol w:w="4353"/>
        <w:gridCol w:w="2188"/>
      </w:tblGrid>
      <w:tr w14:paraId="2387E5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3" w:type="pct"/>
            <w:tcBorders>
              <w:tl2br w:val="nil"/>
              <w:tr2bl w:val="nil"/>
            </w:tcBorders>
            <w:noWrap w:val="0"/>
            <w:vAlign w:val="center"/>
          </w:tcPr>
          <w:p w14:paraId="612AF38D">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监测点位</w:t>
            </w:r>
          </w:p>
        </w:tc>
        <w:tc>
          <w:tcPr>
            <w:tcW w:w="2433" w:type="pct"/>
            <w:tcBorders>
              <w:tl2br w:val="nil"/>
              <w:tr2bl w:val="nil"/>
            </w:tcBorders>
            <w:noWrap w:val="0"/>
            <w:vAlign w:val="center"/>
          </w:tcPr>
          <w:p w14:paraId="5C9A7DAD">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监测指标</w:t>
            </w:r>
          </w:p>
        </w:tc>
        <w:tc>
          <w:tcPr>
            <w:tcW w:w="1223" w:type="pct"/>
            <w:tcBorders>
              <w:tl2br w:val="nil"/>
              <w:tr2bl w:val="nil"/>
            </w:tcBorders>
            <w:noWrap w:val="0"/>
            <w:vAlign w:val="center"/>
          </w:tcPr>
          <w:p w14:paraId="280E5DA0">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监测频次</w:t>
            </w:r>
          </w:p>
        </w:tc>
      </w:tr>
      <w:tr w14:paraId="775813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3" w:type="pct"/>
            <w:vMerge w:val="restart"/>
            <w:tcBorders>
              <w:tl2br w:val="nil"/>
              <w:tr2bl w:val="nil"/>
            </w:tcBorders>
            <w:noWrap w:val="0"/>
            <w:vAlign w:val="center"/>
          </w:tcPr>
          <w:p w14:paraId="7DCD0791">
            <w:pPr>
              <w:pageBreakBefore w:val="0"/>
              <w:wordWrap/>
              <w:bidi w:val="0"/>
              <w:adjustRightInd/>
              <w:snapToGrid/>
              <w:spacing w:line="240" w:lineRule="auto"/>
              <w:ind w:firstLine="0" w:firstLineChars="0"/>
              <w:jc w:val="center"/>
              <w:rPr>
                <w:color w:val="auto"/>
                <w:sz w:val="21"/>
                <w:szCs w:val="22"/>
              </w:rPr>
            </w:pPr>
            <w:r>
              <w:rPr>
                <w:color w:val="auto"/>
                <w:sz w:val="21"/>
                <w:szCs w:val="22"/>
              </w:rPr>
              <w:t>进水总管</w:t>
            </w:r>
          </w:p>
        </w:tc>
        <w:tc>
          <w:tcPr>
            <w:tcW w:w="2433" w:type="pct"/>
            <w:tcBorders>
              <w:tl2br w:val="nil"/>
              <w:tr2bl w:val="nil"/>
            </w:tcBorders>
            <w:noWrap w:val="0"/>
            <w:vAlign w:val="center"/>
          </w:tcPr>
          <w:p w14:paraId="0B4D9DAE">
            <w:pPr>
              <w:pageBreakBefore w:val="0"/>
              <w:wordWrap/>
              <w:bidi w:val="0"/>
              <w:adjustRightInd/>
              <w:snapToGrid/>
              <w:spacing w:line="240" w:lineRule="auto"/>
              <w:ind w:firstLine="0" w:firstLineChars="0"/>
              <w:jc w:val="center"/>
              <w:rPr>
                <w:color w:val="auto"/>
                <w:sz w:val="21"/>
                <w:szCs w:val="22"/>
              </w:rPr>
            </w:pPr>
            <w:r>
              <w:rPr>
                <w:color w:val="auto"/>
                <w:sz w:val="21"/>
                <w:szCs w:val="22"/>
              </w:rPr>
              <w:t>流量、化学需氧量、氨氮</w:t>
            </w:r>
          </w:p>
        </w:tc>
        <w:tc>
          <w:tcPr>
            <w:tcW w:w="1223" w:type="pct"/>
            <w:tcBorders>
              <w:tl2br w:val="nil"/>
              <w:tr2bl w:val="nil"/>
            </w:tcBorders>
            <w:noWrap w:val="0"/>
            <w:vAlign w:val="center"/>
          </w:tcPr>
          <w:p w14:paraId="631CA072">
            <w:pPr>
              <w:pageBreakBefore w:val="0"/>
              <w:wordWrap/>
              <w:bidi w:val="0"/>
              <w:adjustRightInd/>
              <w:snapToGrid/>
              <w:spacing w:line="240" w:lineRule="auto"/>
              <w:ind w:firstLine="0" w:firstLineChars="0"/>
              <w:jc w:val="center"/>
              <w:rPr>
                <w:color w:val="auto"/>
                <w:sz w:val="21"/>
                <w:szCs w:val="22"/>
              </w:rPr>
            </w:pPr>
            <w:r>
              <w:rPr>
                <w:color w:val="auto"/>
                <w:sz w:val="21"/>
                <w:szCs w:val="22"/>
              </w:rPr>
              <w:t>自动监测</w:t>
            </w:r>
          </w:p>
        </w:tc>
      </w:tr>
      <w:tr w14:paraId="180324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3" w:type="pct"/>
            <w:vMerge w:val="continue"/>
            <w:tcBorders>
              <w:tl2br w:val="nil"/>
              <w:tr2bl w:val="nil"/>
            </w:tcBorders>
            <w:noWrap w:val="0"/>
            <w:vAlign w:val="center"/>
          </w:tcPr>
          <w:p w14:paraId="138DC3D3">
            <w:pPr>
              <w:pageBreakBefore w:val="0"/>
              <w:wordWrap/>
              <w:bidi w:val="0"/>
              <w:adjustRightInd/>
              <w:snapToGrid/>
              <w:spacing w:line="240" w:lineRule="auto"/>
              <w:ind w:firstLine="0" w:firstLineChars="0"/>
              <w:jc w:val="center"/>
              <w:rPr>
                <w:color w:val="auto"/>
                <w:sz w:val="21"/>
                <w:szCs w:val="22"/>
              </w:rPr>
            </w:pPr>
          </w:p>
        </w:tc>
        <w:tc>
          <w:tcPr>
            <w:tcW w:w="2433" w:type="pct"/>
            <w:tcBorders>
              <w:tl2br w:val="nil"/>
              <w:tr2bl w:val="nil"/>
            </w:tcBorders>
            <w:noWrap w:val="0"/>
            <w:vAlign w:val="center"/>
          </w:tcPr>
          <w:p w14:paraId="0A276283">
            <w:pPr>
              <w:pageBreakBefore w:val="0"/>
              <w:wordWrap/>
              <w:bidi w:val="0"/>
              <w:adjustRightInd/>
              <w:snapToGrid/>
              <w:spacing w:line="240" w:lineRule="auto"/>
              <w:ind w:firstLine="0" w:firstLineChars="0"/>
              <w:jc w:val="center"/>
              <w:rPr>
                <w:rFonts w:hint="default" w:eastAsia="宋体"/>
                <w:color w:val="auto"/>
                <w:sz w:val="21"/>
                <w:szCs w:val="22"/>
                <w:lang w:val="en-US" w:eastAsia="zh-CN"/>
              </w:rPr>
            </w:pPr>
            <w:r>
              <w:rPr>
                <w:color w:val="auto"/>
                <w:sz w:val="21"/>
                <w:szCs w:val="22"/>
              </w:rPr>
              <w:t>总磷、总氮</w:t>
            </w:r>
          </w:p>
        </w:tc>
        <w:tc>
          <w:tcPr>
            <w:tcW w:w="1223" w:type="pct"/>
            <w:tcBorders>
              <w:tl2br w:val="nil"/>
              <w:tr2bl w:val="nil"/>
            </w:tcBorders>
            <w:noWrap w:val="0"/>
            <w:vAlign w:val="center"/>
          </w:tcPr>
          <w:p w14:paraId="6801F842">
            <w:pPr>
              <w:pageBreakBefore w:val="0"/>
              <w:wordWrap/>
              <w:bidi w:val="0"/>
              <w:adjustRightInd/>
              <w:snapToGrid/>
              <w:spacing w:line="240" w:lineRule="auto"/>
              <w:ind w:firstLine="0" w:firstLineChars="0"/>
              <w:jc w:val="center"/>
              <w:rPr>
                <w:color w:val="auto"/>
                <w:sz w:val="21"/>
                <w:szCs w:val="22"/>
              </w:rPr>
            </w:pPr>
            <w:r>
              <w:rPr>
                <w:color w:val="auto"/>
                <w:sz w:val="21"/>
                <w:szCs w:val="22"/>
              </w:rPr>
              <w:t>日</w:t>
            </w:r>
          </w:p>
        </w:tc>
      </w:tr>
    </w:tbl>
    <w:p w14:paraId="44DFBE56">
      <w:pPr>
        <w:pStyle w:val="7"/>
        <w:pageBreakBefore w:val="0"/>
        <w:wordWrap/>
        <w:bidi w:val="0"/>
        <w:adjustRightInd/>
        <w:snapToGrid/>
        <w:spacing w:before="120" w:beforeLines="50" w:line="360" w:lineRule="auto"/>
        <w:ind w:left="0" w:leftChars="0" w:firstLine="480"/>
        <w:rPr>
          <w:color w:val="auto"/>
          <w:kern w:val="2"/>
          <w:sz w:val="24"/>
          <w:szCs w:val="22"/>
        </w:rPr>
      </w:pPr>
      <w:r>
        <w:rPr>
          <w:color w:val="auto"/>
          <w:kern w:val="2"/>
          <w:sz w:val="24"/>
          <w:szCs w:val="22"/>
        </w:rPr>
        <w:t>②出水监测指标及最低监测频次</w:t>
      </w:r>
    </w:p>
    <w:p w14:paraId="73DC8AE9">
      <w:pPr>
        <w:pStyle w:val="19"/>
        <w:numPr>
          <w:ilvl w:val="0"/>
          <w:numId w:val="39"/>
        </w:numPr>
        <w:bidi w:val="0"/>
        <w:ind w:left="0" w:leftChars="0" w:firstLine="0" w:firstLineChars="0"/>
        <w:rPr>
          <w:color w:val="auto"/>
        </w:rPr>
      </w:pPr>
      <w:r>
        <w:rPr>
          <w:color w:val="auto"/>
        </w:rPr>
        <w:t>工业废水集中处理厂废水排放监测指标及最低监测频次</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76"/>
        <w:gridCol w:w="3301"/>
        <w:gridCol w:w="2865"/>
      </w:tblGrid>
      <w:tr w14:paraId="1985F2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pct"/>
            <w:tcBorders>
              <w:tl2br w:val="nil"/>
              <w:tr2bl w:val="nil"/>
            </w:tcBorders>
            <w:noWrap w:val="0"/>
            <w:vAlign w:val="center"/>
          </w:tcPr>
          <w:p w14:paraId="0914BD07">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监测点位</w:t>
            </w:r>
          </w:p>
        </w:tc>
        <w:tc>
          <w:tcPr>
            <w:tcW w:w="1845" w:type="pct"/>
            <w:tcBorders>
              <w:tl2br w:val="nil"/>
              <w:tr2bl w:val="nil"/>
            </w:tcBorders>
            <w:noWrap w:val="0"/>
            <w:vAlign w:val="center"/>
          </w:tcPr>
          <w:p w14:paraId="72078479">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监测指标</w:t>
            </w:r>
          </w:p>
        </w:tc>
        <w:tc>
          <w:tcPr>
            <w:tcW w:w="1601" w:type="pct"/>
            <w:tcBorders>
              <w:tl2br w:val="nil"/>
              <w:tr2bl w:val="nil"/>
            </w:tcBorders>
            <w:noWrap w:val="0"/>
            <w:vAlign w:val="center"/>
          </w:tcPr>
          <w:p w14:paraId="3B1A5E80">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监测频次</w:t>
            </w:r>
          </w:p>
        </w:tc>
      </w:tr>
      <w:tr w14:paraId="41A127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pct"/>
            <w:vMerge w:val="restart"/>
            <w:tcBorders>
              <w:tl2br w:val="nil"/>
              <w:tr2bl w:val="nil"/>
            </w:tcBorders>
            <w:noWrap w:val="0"/>
            <w:vAlign w:val="center"/>
          </w:tcPr>
          <w:p w14:paraId="31AA861F">
            <w:pPr>
              <w:pageBreakBefore w:val="0"/>
              <w:wordWrap/>
              <w:bidi w:val="0"/>
              <w:adjustRightInd/>
              <w:snapToGrid/>
              <w:spacing w:line="240" w:lineRule="auto"/>
              <w:ind w:firstLine="0" w:firstLineChars="0"/>
              <w:jc w:val="center"/>
              <w:rPr>
                <w:color w:val="auto"/>
                <w:sz w:val="21"/>
                <w:szCs w:val="22"/>
              </w:rPr>
            </w:pPr>
            <w:r>
              <w:rPr>
                <w:color w:val="auto"/>
                <w:sz w:val="21"/>
                <w:szCs w:val="22"/>
              </w:rPr>
              <w:t>废水总排放口</w:t>
            </w:r>
          </w:p>
        </w:tc>
        <w:tc>
          <w:tcPr>
            <w:tcW w:w="1845" w:type="pct"/>
            <w:tcBorders>
              <w:tl2br w:val="nil"/>
              <w:tr2bl w:val="nil"/>
            </w:tcBorders>
            <w:noWrap w:val="0"/>
            <w:vAlign w:val="center"/>
          </w:tcPr>
          <w:p w14:paraId="06F92D7F">
            <w:pPr>
              <w:pageBreakBefore w:val="0"/>
              <w:wordWrap/>
              <w:bidi w:val="0"/>
              <w:adjustRightInd/>
              <w:snapToGrid/>
              <w:spacing w:line="240" w:lineRule="auto"/>
              <w:ind w:firstLine="0" w:firstLineChars="0"/>
              <w:jc w:val="center"/>
              <w:rPr>
                <w:rFonts w:hint="eastAsia" w:eastAsia="宋体"/>
                <w:color w:val="auto"/>
                <w:sz w:val="21"/>
                <w:szCs w:val="22"/>
                <w:lang w:eastAsia="zh-CN"/>
              </w:rPr>
            </w:pPr>
            <w:r>
              <w:rPr>
                <w:color w:val="auto"/>
                <w:sz w:val="21"/>
                <w:szCs w:val="22"/>
              </w:rPr>
              <w:t>流量、pH、水温、化学需氧量、氨氮、总磷、总氮</w:t>
            </w:r>
          </w:p>
        </w:tc>
        <w:tc>
          <w:tcPr>
            <w:tcW w:w="1601" w:type="pct"/>
            <w:tcBorders>
              <w:tl2br w:val="nil"/>
              <w:tr2bl w:val="nil"/>
            </w:tcBorders>
            <w:noWrap w:val="0"/>
            <w:vAlign w:val="center"/>
          </w:tcPr>
          <w:p w14:paraId="4DCD0AC8">
            <w:pPr>
              <w:pageBreakBefore w:val="0"/>
              <w:wordWrap/>
              <w:bidi w:val="0"/>
              <w:adjustRightInd/>
              <w:snapToGrid/>
              <w:spacing w:line="240" w:lineRule="auto"/>
              <w:ind w:firstLine="0" w:firstLineChars="0"/>
              <w:jc w:val="center"/>
              <w:rPr>
                <w:color w:val="auto"/>
                <w:sz w:val="21"/>
                <w:szCs w:val="22"/>
              </w:rPr>
            </w:pPr>
            <w:r>
              <w:rPr>
                <w:color w:val="auto"/>
                <w:sz w:val="21"/>
                <w:szCs w:val="22"/>
              </w:rPr>
              <w:t>自动监测</w:t>
            </w:r>
          </w:p>
        </w:tc>
      </w:tr>
      <w:tr w14:paraId="531FF2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pct"/>
            <w:vMerge w:val="continue"/>
            <w:tcBorders>
              <w:tl2br w:val="nil"/>
              <w:tr2bl w:val="nil"/>
            </w:tcBorders>
            <w:noWrap w:val="0"/>
            <w:vAlign w:val="center"/>
          </w:tcPr>
          <w:p w14:paraId="3A133E5B">
            <w:pPr>
              <w:pageBreakBefore w:val="0"/>
              <w:wordWrap/>
              <w:bidi w:val="0"/>
              <w:adjustRightInd/>
              <w:snapToGrid/>
              <w:spacing w:line="240" w:lineRule="auto"/>
              <w:ind w:firstLine="0" w:firstLineChars="0"/>
              <w:jc w:val="center"/>
              <w:rPr>
                <w:color w:val="auto"/>
                <w:sz w:val="21"/>
                <w:szCs w:val="22"/>
              </w:rPr>
            </w:pPr>
          </w:p>
        </w:tc>
        <w:tc>
          <w:tcPr>
            <w:tcW w:w="1845" w:type="pct"/>
            <w:tcBorders>
              <w:tl2br w:val="nil"/>
              <w:tr2bl w:val="nil"/>
            </w:tcBorders>
            <w:noWrap w:val="0"/>
            <w:vAlign w:val="center"/>
          </w:tcPr>
          <w:p w14:paraId="0D3DB806">
            <w:pPr>
              <w:pageBreakBefore w:val="0"/>
              <w:wordWrap/>
              <w:bidi w:val="0"/>
              <w:adjustRightInd/>
              <w:snapToGrid/>
              <w:spacing w:line="240" w:lineRule="auto"/>
              <w:ind w:firstLine="0" w:firstLineChars="0"/>
              <w:jc w:val="center"/>
              <w:rPr>
                <w:rFonts w:hint="eastAsia" w:eastAsia="宋体"/>
                <w:color w:val="auto"/>
                <w:sz w:val="21"/>
                <w:szCs w:val="22"/>
                <w:lang w:eastAsia="zh-CN"/>
              </w:rPr>
            </w:pPr>
            <w:r>
              <w:rPr>
                <w:color w:val="auto"/>
                <w:sz w:val="21"/>
                <w:szCs w:val="22"/>
              </w:rPr>
              <w:t>悬浮物、色度</w:t>
            </w:r>
          </w:p>
        </w:tc>
        <w:tc>
          <w:tcPr>
            <w:tcW w:w="1601" w:type="pct"/>
            <w:tcBorders>
              <w:tl2br w:val="nil"/>
              <w:tr2bl w:val="nil"/>
            </w:tcBorders>
            <w:noWrap w:val="0"/>
            <w:vAlign w:val="center"/>
          </w:tcPr>
          <w:p w14:paraId="72F3CCB0">
            <w:pPr>
              <w:pageBreakBefore w:val="0"/>
              <w:wordWrap/>
              <w:bidi w:val="0"/>
              <w:adjustRightInd/>
              <w:snapToGrid/>
              <w:spacing w:line="240" w:lineRule="auto"/>
              <w:ind w:firstLine="0" w:firstLineChars="0"/>
              <w:jc w:val="center"/>
              <w:rPr>
                <w:color w:val="auto"/>
                <w:sz w:val="21"/>
                <w:szCs w:val="22"/>
              </w:rPr>
            </w:pPr>
            <w:r>
              <w:rPr>
                <w:color w:val="auto"/>
                <w:sz w:val="21"/>
                <w:szCs w:val="22"/>
              </w:rPr>
              <w:t>日</w:t>
            </w:r>
          </w:p>
        </w:tc>
      </w:tr>
      <w:tr w14:paraId="6B80F9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pct"/>
            <w:vMerge w:val="continue"/>
            <w:tcBorders>
              <w:tl2br w:val="nil"/>
              <w:tr2bl w:val="nil"/>
            </w:tcBorders>
            <w:noWrap w:val="0"/>
            <w:vAlign w:val="center"/>
          </w:tcPr>
          <w:p w14:paraId="7995F71C">
            <w:pPr>
              <w:pageBreakBefore w:val="0"/>
              <w:wordWrap/>
              <w:bidi w:val="0"/>
              <w:adjustRightInd/>
              <w:snapToGrid/>
              <w:spacing w:line="240" w:lineRule="auto"/>
              <w:ind w:firstLine="0" w:firstLineChars="0"/>
              <w:jc w:val="center"/>
              <w:rPr>
                <w:color w:val="auto"/>
                <w:sz w:val="21"/>
                <w:szCs w:val="22"/>
              </w:rPr>
            </w:pPr>
          </w:p>
        </w:tc>
        <w:tc>
          <w:tcPr>
            <w:tcW w:w="1845" w:type="pct"/>
            <w:tcBorders>
              <w:tl2br w:val="nil"/>
              <w:tr2bl w:val="nil"/>
            </w:tcBorders>
            <w:noWrap w:val="0"/>
            <w:vAlign w:val="center"/>
          </w:tcPr>
          <w:p w14:paraId="755A531D">
            <w:pPr>
              <w:pageBreakBefore w:val="0"/>
              <w:wordWrap/>
              <w:bidi w:val="0"/>
              <w:adjustRightInd/>
              <w:snapToGrid/>
              <w:spacing w:line="240" w:lineRule="auto"/>
              <w:ind w:firstLine="0" w:firstLineChars="0"/>
              <w:jc w:val="center"/>
              <w:rPr>
                <w:color w:val="auto"/>
                <w:sz w:val="21"/>
                <w:szCs w:val="22"/>
              </w:rPr>
            </w:pPr>
            <w:r>
              <w:rPr>
                <w:color w:val="auto"/>
                <w:sz w:val="21"/>
                <w:szCs w:val="22"/>
              </w:rPr>
              <w:t>五日生化需氧量、石油类</w:t>
            </w:r>
          </w:p>
        </w:tc>
        <w:tc>
          <w:tcPr>
            <w:tcW w:w="1601" w:type="pct"/>
            <w:tcBorders>
              <w:tl2br w:val="nil"/>
              <w:tr2bl w:val="nil"/>
            </w:tcBorders>
            <w:noWrap w:val="0"/>
            <w:vAlign w:val="center"/>
          </w:tcPr>
          <w:p w14:paraId="1AE45104">
            <w:pPr>
              <w:pageBreakBefore w:val="0"/>
              <w:wordWrap/>
              <w:bidi w:val="0"/>
              <w:adjustRightInd/>
              <w:snapToGrid/>
              <w:spacing w:line="240" w:lineRule="auto"/>
              <w:ind w:firstLine="0" w:firstLineChars="0"/>
              <w:jc w:val="center"/>
              <w:rPr>
                <w:color w:val="auto"/>
                <w:sz w:val="21"/>
                <w:szCs w:val="22"/>
              </w:rPr>
            </w:pPr>
            <w:r>
              <w:rPr>
                <w:color w:val="auto"/>
                <w:sz w:val="21"/>
                <w:szCs w:val="22"/>
              </w:rPr>
              <w:t>月</w:t>
            </w:r>
          </w:p>
        </w:tc>
      </w:tr>
      <w:tr w14:paraId="5D1BC7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pct"/>
            <w:vMerge w:val="continue"/>
            <w:tcBorders>
              <w:tl2br w:val="nil"/>
              <w:tr2bl w:val="nil"/>
            </w:tcBorders>
            <w:noWrap w:val="0"/>
            <w:vAlign w:val="center"/>
          </w:tcPr>
          <w:p w14:paraId="7EC45E90">
            <w:pPr>
              <w:pageBreakBefore w:val="0"/>
              <w:wordWrap/>
              <w:bidi w:val="0"/>
              <w:adjustRightInd/>
              <w:snapToGrid/>
              <w:spacing w:line="240" w:lineRule="auto"/>
              <w:ind w:firstLine="0" w:firstLineChars="0"/>
              <w:jc w:val="center"/>
              <w:rPr>
                <w:color w:val="auto"/>
                <w:sz w:val="21"/>
                <w:szCs w:val="22"/>
              </w:rPr>
            </w:pPr>
          </w:p>
        </w:tc>
        <w:tc>
          <w:tcPr>
            <w:tcW w:w="1845" w:type="pct"/>
            <w:tcBorders>
              <w:tl2br w:val="nil"/>
              <w:tr2bl w:val="nil"/>
            </w:tcBorders>
            <w:noWrap w:val="0"/>
            <w:vAlign w:val="center"/>
          </w:tcPr>
          <w:p w14:paraId="54422751">
            <w:pPr>
              <w:pageBreakBefore w:val="0"/>
              <w:wordWrap/>
              <w:bidi w:val="0"/>
              <w:adjustRightInd/>
              <w:snapToGrid/>
              <w:spacing w:line="240" w:lineRule="auto"/>
              <w:ind w:firstLine="0" w:firstLineChars="0"/>
              <w:jc w:val="center"/>
              <w:rPr>
                <w:color w:val="auto"/>
                <w:sz w:val="21"/>
                <w:szCs w:val="22"/>
              </w:rPr>
            </w:pPr>
            <w:r>
              <w:rPr>
                <w:color w:val="auto"/>
                <w:sz w:val="21"/>
                <w:szCs w:val="22"/>
              </w:rPr>
              <w:t>总镉、总铬、总汞、总铅、总砷、六价铬</w:t>
            </w:r>
          </w:p>
        </w:tc>
        <w:tc>
          <w:tcPr>
            <w:tcW w:w="1601" w:type="pct"/>
            <w:tcBorders>
              <w:tl2br w:val="nil"/>
              <w:tr2bl w:val="nil"/>
            </w:tcBorders>
            <w:noWrap w:val="0"/>
            <w:vAlign w:val="center"/>
          </w:tcPr>
          <w:p w14:paraId="7A3ACCC3">
            <w:pPr>
              <w:pageBreakBefore w:val="0"/>
              <w:wordWrap/>
              <w:bidi w:val="0"/>
              <w:adjustRightInd/>
              <w:snapToGrid/>
              <w:spacing w:line="240" w:lineRule="auto"/>
              <w:ind w:firstLine="0" w:firstLineChars="0"/>
              <w:jc w:val="center"/>
              <w:rPr>
                <w:color w:val="auto"/>
                <w:sz w:val="21"/>
                <w:szCs w:val="22"/>
              </w:rPr>
            </w:pPr>
            <w:r>
              <w:rPr>
                <w:color w:val="auto"/>
                <w:sz w:val="21"/>
                <w:szCs w:val="22"/>
              </w:rPr>
              <w:t>月</w:t>
            </w:r>
          </w:p>
        </w:tc>
      </w:tr>
      <w:tr w14:paraId="1DE9D9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pct"/>
            <w:tcBorders>
              <w:tl2br w:val="nil"/>
              <w:tr2bl w:val="nil"/>
            </w:tcBorders>
            <w:noWrap w:val="0"/>
            <w:vAlign w:val="center"/>
          </w:tcPr>
          <w:p w14:paraId="03FB4423">
            <w:pPr>
              <w:pageBreakBefore w:val="0"/>
              <w:wordWrap/>
              <w:bidi w:val="0"/>
              <w:adjustRightInd/>
              <w:snapToGrid/>
              <w:spacing w:line="240" w:lineRule="auto"/>
              <w:ind w:firstLine="0" w:firstLineChars="0"/>
              <w:jc w:val="center"/>
              <w:rPr>
                <w:color w:val="auto"/>
                <w:sz w:val="21"/>
                <w:szCs w:val="22"/>
              </w:rPr>
            </w:pPr>
            <w:r>
              <w:rPr>
                <w:color w:val="auto"/>
                <w:sz w:val="21"/>
                <w:szCs w:val="22"/>
              </w:rPr>
              <w:t>雨水排放口</w:t>
            </w:r>
          </w:p>
        </w:tc>
        <w:tc>
          <w:tcPr>
            <w:tcW w:w="1845" w:type="pct"/>
            <w:tcBorders>
              <w:tl2br w:val="nil"/>
              <w:tr2bl w:val="nil"/>
            </w:tcBorders>
            <w:noWrap w:val="0"/>
            <w:vAlign w:val="center"/>
          </w:tcPr>
          <w:p w14:paraId="682F0BF2">
            <w:pPr>
              <w:pageBreakBefore w:val="0"/>
              <w:wordWrap/>
              <w:bidi w:val="0"/>
              <w:adjustRightInd/>
              <w:snapToGrid/>
              <w:spacing w:line="240" w:lineRule="auto"/>
              <w:ind w:firstLine="0" w:firstLineChars="0"/>
              <w:jc w:val="center"/>
              <w:rPr>
                <w:color w:val="auto"/>
                <w:sz w:val="21"/>
                <w:szCs w:val="22"/>
              </w:rPr>
            </w:pPr>
            <w:r>
              <w:rPr>
                <w:color w:val="auto"/>
                <w:sz w:val="21"/>
                <w:szCs w:val="22"/>
              </w:rPr>
              <w:t>pH、化学需氧量、氨氮、悬浮物</w:t>
            </w:r>
          </w:p>
        </w:tc>
        <w:tc>
          <w:tcPr>
            <w:tcW w:w="1601" w:type="pct"/>
            <w:tcBorders>
              <w:tl2br w:val="nil"/>
              <w:tr2bl w:val="nil"/>
            </w:tcBorders>
            <w:noWrap w:val="0"/>
            <w:vAlign w:val="center"/>
          </w:tcPr>
          <w:p w14:paraId="04B54D90">
            <w:pPr>
              <w:pageBreakBefore w:val="0"/>
              <w:wordWrap/>
              <w:bidi w:val="0"/>
              <w:adjustRightInd/>
              <w:snapToGrid/>
              <w:spacing w:line="240" w:lineRule="auto"/>
              <w:ind w:firstLine="0" w:firstLineChars="0"/>
              <w:jc w:val="center"/>
              <w:rPr>
                <w:color w:val="auto"/>
                <w:sz w:val="21"/>
                <w:szCs w:val="22"/>
              </w:rPr>
            </w:pPr>
            <w:r>
              <w:rPr>
                <w:color w:val="auto"/>
                <w:sz w:val="21"/>
                <w:szCs w:val="22"/>
              </w:rPr>
              <w:t>月</w:t>
            </w:r>
          </w:p>
        </w:tc>
      </w:tr>
    </w:tbl>
    <w:p w14:paraId="2E07318F">
      <w:pPr>
        <w:pageBreakBefore w:val="0"/>
        <w:wordWrap/>
        <w:bidi w:val="0"/>
        <w:adjustRightInd/>
        <w:snapToGrid/>
        <w:spacing w:before="120" w:beforeLines="50"/>
        <w:ind w:firstLine="480"/>
        <w:rPr>
          <w:color w:val="auto"/>
          <w:szCs w:val="22"/>
        </w:rPr>
      </w:pPr>
      <w:r>
        <w:rPr>
          <w:color w:val="auto"/>
          <w:szCs w:val="22"/>
        </w:rPr>
        <w:t>事故性废水污染物监测：对于废水事故性排放，应根据需要制定监测方案，及时监测。在污染事故监测时，对受影响的水域必须增加监测断面和监测项目，加密监测采样次数，做好连续监测工作，直至事故性排放消除，恢复正常排放的水质状况为止。</w:t>
      </w:r>
    </w:p>
    <w:p w14:paraId="393C20F9">
      <w:pPr>
        <w:bidi w:val="0"/>
        <w:rPr>
          <w:color w:val="auto"/>
        </w:rPr>
      </w:pPr>
      <w:r>
        <w:rPr>
          <w:color w:val="auto"/>
        </w:rPr>
        <w:t>2、废气排放监测</w:t>
      </w:r>
    </w:p>
    <w:p w14:paraId="04241C72">
      <w:pPr>
        <w:bidi w:val="0"/>
        <w:rPr>
          <w:color w:val="auto"/>
        </w:rPr>
      </w:pPr>
      <w:r>
        <w:rPr>
          <w:color w:val="auto"/>
        </w:rPr>
        <w:t>①有组织废气排放监测</w:t>
      </w:r>
    </w:p>
    <w:p w14:paraId="064BB089">
      <w:pPr>
        <w:pStyle w:val="19"/>
        <w:numPr>
          <w:ilvl w:val="0"/>
          <w:numId w:val="39"/>
        </w:numPr>
        <w:bidi w:val="0"/>
        <w:ind w:left="0" w:leftChars="0" w:firstLine="0" w:firstLineChars="0"/>
        <w:rPr>
          <w:color w:val="auto"/>
        </w:rPr>
      </w:pPr>
      <w:r>
        <w:rPr>
          <w:color w:val="auto"/>
        </w:rPr>
        <w:t>有组织废气排放监测指标及最低监测频次</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75"/>
        <w:gridCol w:w="3299"/>
        <w:gridCol w:w="2867"/>
      </w:tblGrid>
      <w:tr w14:paraId="5F5FF5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pct"/>
            <w:tcBorders>
              <w:tl2br w:val="nil"/>
              <w:tr2bl w:val="nil"/>
            </w:tcBorders>
            <w:noWrap w:val="0"/>
            <w:vAlign w:val="center"/>
          </w:tcPr>
          <w:p w14:paraId="2359632E">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监测点位</w:t>
            </w:r>
          </w:p>
        </w:tc>
        <w:tc>
          <w:tcPr>
            <w:tcW w:w="1845" w:type="pct"/>
            <w:tcBorders>
              <w:tl2br w:val="nil"/>
              <w:tr2bl w:val="nil"/>
            </w:tcBorders>
            <w:noWrap w:val="0"/>
            <w:vAlign w:val="center"/>
          </w:tcPr>
          <w:p w14:paraId="029E769A">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监测指标</w:t>
            </w:r>
          </w:p>
        </w:tc>
        <w:tc>
          <w:tcPr>
            <w:tcW w:w="1601" w:type="pct"/>
            <w:tcBorders>
              <w:tl2br w:val="nil"/>
              <w:tr2bl w:val="nil"/>
            </w:tcBorders>
            <w:noWrap w:val="0"/>
            <w:vAlign w:val="center"/>
          </w:tcPr>
          <w:p w14:paraId="3881F623">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监测频次</w:t>
            </w:r>
          </w:p>
        </w:tc>
      </w:tr>
      <w:tr w14:paraId="214731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2" w:type="pct"/>
            <w:tcBorders>
              <w:tl2br w:val="nil"/>
              <w:tr2bl w:val="nil"/>
            </w:tcBorders>
            <w:noWrap w:val="0"/>
            <w:vAlign w:val="center"/>
          </w:tcPr>
          <w:p w14:paraId="7234DA5F">
            <w:pPr>
              <w:pageBreakBefore w:val="0"/>
              <w:wordWrap/>
              <w:bidi w:val="0"/>
              <w:adjustRightInd/>
              <w:snapToGrid/>
              <w:spacing w:line="240" w:lineRule="auto"/>
              <w:ind w:firstLine="0" w:firstLineChars="0"/>
              <w:jc w:val="center"/>
              <w:rPr>
                <w:color w:val="auto"/>
                <w:sz w:val="21"/>
                <w:szCs w:val="22"/>
              </w:rPr>
            </w:pPr>
            <w:r>
              <w:rPr>
                <w:color w:val="auto"/>
                <w:sz w:val="21"/>
                <w:szCs w:val="22"/>
              </w:rPr>
              <w:t>除臭装置排气筒</w:t>
            </w:r>
          </w:p>
        </w:tc>
        <w:tc>
          <w:tcPr>
            <w:tcW w:w="1845" w:type="pct"/>
            <w:tcBorders>
              <w:tl2br w:val="nil"/>
              <w:tr2bl w:val="nil"/>
            </w:tcBorders>
            <w:noWrap w:val="0"/>
            <w:vAlign w:val="center"/>
          </w:tcPr>
          <w:p w14:paraId="1D1306A7">
            <w:pPr>
              <w:pageBreakBefore w:val="0"/>
              <w:wordWrap/>
              <w:bidi w:val="0"/>
              <w:adjustRightInd/>
              <w:snapToGrid/>
              <w:spacing w:line="240" w:lineRule="auto"/>
              <w:ind w:firstLine="0" w:firstLineChars="0"/>
              <w:jc w:val="center"/>
              <w:rPr>
                <w:color w:val="auto"/>
                <w:sz w:val="21"/>
                <w:szCs w:val="22"/>
              </w:rPr>
            </w:pPr>
            <w:r>
              <w:rPr>
                <w:color w:val="auto"/>
                <w:sz w:val="21"/>
                <w:szCs w:val="22"/>
              </w:rPr>
              <w:t>臭气浓度、硫化氢、氨</w:t>
            </w:r>
          </w:p>
        </w:tc>
        <w:tc>
          <w:tcPr>
            <w:tcW w:w="1601" w:type="pct"/>
            <w:tcBorders>
              <w:tl2br w:val="nil"/>
              <w:tr2bl w:val="nil"/>
            </w:tcBorders>
            <w:noWrap w:val="0"/>
            <w:vAlign w:val="center"/>
          </w:tcPr>
          <w:p w14:paraId="59E29032">
            <w:pPr>
              <w:pageBreakBefore w:val="0"/>
              <w:wordWrap/>
              <w:bidi w:val="0"/>
              <w:adjustRightInd/>
              <w:snapToGrid/>
              <w:spacing w:line="240" w:lineRule="auto"/>
              <w:ind w:firstLine="0" w:firstLineChars="0"/>
              <w:jc w:val="center"/>
              <w:rPr>
                <w:color w:val="auto"/>
                <w:sz w:val="21"/>
                <w:szCs w:val="22"/>
              </w:rPr>
            </w:pPr>
            <w:r>
              <w:rPr>
                <w:color w:val="auto"/>
                <w:sz w:val="21"/>
                <w:szCs w:val="22"/>
              </w:rPr>
              <w:t>半年</w:t>
            </w:r>
          </w:p>
        </w:tc>
      </w:tr>
      <w:tr w14:paraId="07AC76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tcBorders>
              <w:tl2br w:val="nil"/>
              <w:tr2bl w:val="nil"/>
            </w:tcBorders>
            <w:noWrap w:val="0"/>
            <w:vAlign w:val="center"/>
          </w:tcPr>
          <w:p w14:paraId="7FFDE253">
            <w:pPr>
              <w:pageBreakBefore w:val="0"/>
              <w:wordWrap/>
              <w:bidi w:val="0"/>
              <w:adjustRightInd/>
              <w:snapToGrid/>
              <w:spacing w:line="240" w:lineRule="auto"/>
              <w:ind w:firstLine="0" w:firstLineChars="0"/>
              <w:jc w:val="center"/>
              <w:rPr>
                <w:color w:val="auto"/>
                <w:sz w:val="21"/>
                <w:szCs w:val="22"/>
              </w:rPr>
            </w:pPr>
            <w:r>
              <w:rPr>
                <w:color w:val="auto"/>
                <w:sz w:val="21"/>
                <w:szCs w:val="22"/>
              </w:rPr>
              <w:t>备注：废气烟气参数和污染物浓度应同步监测。</w:t>
            </w:r>
          </w:p>
        </w:tc>
      </w:tr>
    </w:tbl>
    <w:p w14:paraId="757E82D5">
      <w:pPr>
        <w:pStyle w:val="7"/>
        <w:pageBreakBefore w:val="0"/>
        <w:wordWrap/>
        <w:bidi w:val="0"/>
        <w:adjustRightInd/>
        <w:snapToGrid/>
        <w:spacing w:before="120" w:beforeLines="50" w:after="0" w:line="360" w:lineRule="auto"/>
        <w:ind w:left="0" w:leftChars="0" w:firstLine="480"/>
        <w:rPr>
          <w:color w:val="auto"/>
          <w:sz w:val="24"/>
          <w:szCs w:val="22"/>
        </w:rPr>
      </w:pPr>
      <w:r>
        <w:rPr>
          <w:color w:val="auto"/>
          <w:sz w:val="24"/>
          <w:szCs w:val="22"/>
        </w:rPr>
        <w:t>②无组织废气排放监测</w:t>
      </w:r>
    </w:p>
    <w:p w14:paraId="5F547EFA">
      <w:pPr>
        <w:pStyle w:val="19"/>
        <w:numPr>
          <w:ilvl w:val="0"/>
          <w:numId w:val="39"/>
        </w:numPr>
        <w:bidi w:val="0"/>
        <w:ind w:left="0" w:leftChars="0" w:firstLine="0" w:firstLineChars="0"/>
        <w:rPr>
          <w:color w:val="auto"/>
        </w:rPr>
      </w:pPr>
      <w:r>
        <w:rPr>
          <w:color w:val="auto"/>
        </w:rPr>
        <w:t>无组织废气排放监测点位、监测指标及最低监测频次</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408"/>
        <w:gridCol w:w="2663"/>
        <w:gridCol w:w="2870"/>
      </w:tblGrid>
      <w:tr w14:paraId="16F4AD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6" w:type="pct"/>
            <w:tcBorders>
              <w:tl2br w:val="nil"/>
              <w:tr2bl w:val="nil"/>
            </w:tcBorders>
            <w:noWrap w:val="0"/>
            <w:vAlign w:val="center"/>
          </w:tcPr>
          <w:p w14:paraId="2B833579">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监测点位</w:t>
            </w:r>
          </w:p>
        </w:tc>
        <w:tc>
          <w:tcPr>
            <w:tcW w:w="1489" w:type="pct"/>
            <w:tcBorders>
              <w:tl2br w:val="nil"/>
              <w:tr2bl w:val="nil"/>
            </w:tcBorders>
            <w:noWrap w:val="0"/>
            <w:vAlign w:val="center"/>
          </w:tcPr>
          <w:p w14:paraId="78C7D8B8">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监测指标</w:t>
            </w:r>
          </w:p>
        </w:tc>
        <w:tc>
          <w:tcPr>
            <w:tcW w:w="1603" w:type="pct"/>
            <w:tcBorders>
              <w:tl2br w:val="nil"/>
              <w:tr2bl w:val="nil"/>
            </w:tcBorders>
            <w:noWrap w:val="0"/>
            <w:vAlign w:val="center"/>
          </w:tcPr>
          <w:p w14:paraId="3B3AE52F">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监测频次</w:t>
            </w:r>
          </w:p>
        </w:tc>
      </w:tr>
      <w:tr w14:paraId="450B2E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6" w:type="pct"/>
            <w:tcBorders>
              <w:tl2br w:val="nil"/>
              <w:tr2bl w:val="nil"/>
            </w:tcBorders>
            <w:noWrap w:val="0"/>
            <w:vAlign w:val="center"/>
          </w:tcPr>
          <w:p w14:paraId="1E7262C3">
            <w:pPr>
              <w:pageBreakBefore w:val="0"/>
              <w:wordWrap/>
              <w:bidi w:val="0"/>
              <w:adjustRightInd/>
              <w:snapToGrid/>
              <w:spacing w:line="240" w:lineRule="auto"/>
              <w:ind w:firstLine="0" w:firstLineChars="0"/>
              <w:jc w:val="center"/>
              <w:rPr>
                <w:color w:val="auto"/>
                <w:sz w:val="21"/>
                <w:szCs w:val="22"/>
              </w:rPr>
            </w:pPr>
            <w:r>
              <w:rPr>
                <w:color w:val="auto"/>
                <w:sz w:val="21"/>
                <w:szCs w:val="22"/>
              </w:rPr>
              <w:t>厂界或防护带边缘的浓度最高点</w:t>
            </w:r>
            <w:r>
              <w:rPr>
                <w:color w:val="auto"/>
                <w:sz w:val="21"/>
                <w:szCs w:val="22"/>
                <w:vertAlign w:val="superscript"/>
              </w:rPr>
              <w:t>a</w:t>
            </w:r>
          </w:p>
        </w:tc>
        <w:tc>
          <w:tcPr>
            <w:tcW w:w="1489" w:type="pct"/>
            <w:tcBorders>
              <w:tl2br w:val="nil"/>
              <w:tr2bl w:val="nil"/>
            </w:tcBorders>
            <w:noWrap w:val="0"/>
            <w:vAlign w:val="center"/>
          </w:tcPr>
          <w:p w14:paraId="7B1A7090">
            <w:pPr>
              <w:pageBreakBefore w:val="0"/>
              <w:wordWrap/>
              <w:bidi w:val="0"/>
              <w:adjustRightInd/>
              <w:snapToGrid/>
              <w:spacing w:line="240" w:lineRule="auto"/>
              <w:ind w:firstLine="0" w:firstLineChars="0"/>
              <w:jc w:val="center"/>
              <w:rPr>
                <w:color w:val="auto"/>
                <w:sz w:val="21"/>
                <w:szCs w:val="22"/>
              </w:rPr>
            </w:pPr>
            <w:r>
              <w:rPr>
                <w:color w:val="auto"/>
                <w:sz w:val="21"/>
                <w:szCs w:val="22"/>
              </w:rPr>
              <w:t>臭气浓度、硫化氢、氨</w:t>
            </w:r>
          </w:p>
        </w:tc>
        <w:tc>
          <w:tcPr>
            <w:tcW w:w="1603" w:type="pct"/>
            <w:tcBorders>
              <w:tl2br w:val="nil"/>
              <w:tr2bl w:val="nil"/>
            </w:tcBorders>
            <w:noWrap w:val="0"/>
            <w:vAlign w:val="center"/>
          </w:tcPr>
          <w:p w14:paraId="794B52C6">
            <w:pPr>
              <w:pageBreakBefore w:val="0"/>
              <w:wordWrap/>
              <w:bidi w:val="0"/>
              <w:adjustRightInd/>
              <w:snapToGrid/>
              <w:spacing w:line="240" w:lineRule="auto"/>
              <w:ind w:firstLine="0" w:firstLineChars="0"/>
              <w:jc w:val="center"/>
              <w:rPr>
                <w:color w:val="auto"/>
                <w:sz w:val="21"/>
                <w:szCs w:val="22"/>
              </w:rPr>
            </w:pPr>
            <w:r>
              <w:rPr>
                <w:color w:val="auto"/>
                <w:sz w:val="21"/>
                <w:szCs w:val="22"/>
              </w:rPr>
              <w:t>半年</w:t>
            </w:r>
          </w:p>
        </w:tc>
      </w:tr>
      <w:tr w14:paraId="33D4AA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6" w:type="pct"/>
            <w:tcBorders>
              <w:tl2br w:val="nil"/>
              <w:tr2bl w:val="nil"/>
            </w:tcBorders>
            <w:noWrap w:val="0"/>
            <w:vAlign w:val="center"/>
          </w:tcPr>
          <w:p w14:paraId="10028A89">
            <w:pPr>
              <w:pageBreakBefore w:val="0"/>
              <w:wordWrap/>
              <w:bidi w:val="0"/>
              <w:adjustRightInd/>
              <w:snapToGrid/>
              <w:spacing w:line="240" w:lineRule="auto"/>
              <w:ind w:firstLine="0" w:firstLineChars="0"/>
              <w:jc w:val="center"/>
              <w:rPr>
                <w:color w:val="auto"/>
                <w:sz w:val="21"/>
                <w:szCs w:val="22"/>
              </w:rPr>
            </w:pPr>
            <w:r>
              <w:rPr>
                <w:color w:val="auto"/>
                <w:sz w:val="21"/>
                <w:szCs w:val="22"/>
              </w:rPr>
              <w:t>厂区甲烷体积浓度最高处</w:t>
            </w:r>
            <w:r>
              <w:rPr>
                <w:color w:val="auto"/>
                <w:sz w:val="21"/>
                <w:szCs w:val="22"/>
                <w:vertAlign w:val="superscript"/>
              </w:rPr>
              <w:t>b</w:t>
            </w:r>
          </w:p>
        </w:tc>
        <w:tc>
          <w:tcPr>
            <w:tcW w:w="1489" w:type="pct"/>
            <w:tcBorders>
              <w:tl2br w:val="nil"/>
              <w:tr2bl w:val="nil"/>
            </w:tcBorders>
            <w:noWrap w:val="0"/>
            <w:vAlign w:val="center"/>
          </w:tcPr>
          <w:p w14:paraId="261ADA98">
            <w:pPr>
              <w:pageBreakBefore w:val="0"/>
              <w:wordWrap/>
              <w:bidi w:val="0"/>
              <w:adjustRightInd/>
              <w:snapToGrid/>
              <w:spacing w:line="240" w:lineRule="auto"/>
              <w:ind w:firstLine="0" w:firstLineChars="0"/>
              <w:jc w:val="center"/>
              <w:rPr>
                <w:color w:val="auto"/>
                <w:sz w:val="21"/>
                <w:szCs w:val="22"/>
              </w:rPr>
            </w:pPr>
            <w:r>
              <w:rPr>
                <w:color w:val="auto"/>
                <w:sz w:val="21"/>
                <w:szCs w:val="22"/>
              </w:rPr>
              <w:t>甲烷</w:t>
            </w:r>
            <w:r>
              <w:rPr>
                <w:color w:val="auto"/>
                <w:sz w:val="21"/>
                <w:szCs w:val="22"/>
                <w:vertAlign w:val="superscript"/>
              </w:rPr>
              <w:t>c</w:t>
            </w:r>
          </w:p>
        </w:tc>
        <w:tc>
          <w:tcPr>
            <w:tcW w:w="1603" w:type="pct"/>
            <w:tcBorders>
              <w:tl2br w:val="nil"/>
              <w:tr2bl w:val="nil"/>
            </w:tcBorders>
            <w:noWrap w:val="0"/>
            <w:vAlign w:val="center"/>
          </w:tcPr>
          <w:p w14:paraId="5DFF545C">
            <w:pPr>
              <w:pageBreakBefore w:val="0"/>
              <w:wordWrap/>
              <w:bidi w:val="0"/>
              <w:adjustRightInd/>
              <w:snapToGrid/>
              <w:spacing w:line="240" w:lineRule="auto"/>
              <w:ind w:firstLine="0" w:firstLineChars="0"/>
              <w:jc w:val="center"/>
              <w:rPr>
                <w:color w:val="auto"/>
                <w:sz w:val="21"/>
                <w:szCs w:val="22"/>
              </w:rPr>
            </w:pPr>
            <w:r>
              <w:rPr>
                <w:color w:val="auto"/>
                <w:sz w:val="21"/>
                <w:szCs w:val="22"/>
              </w:rPr>
              <w:t>年</w:t>
            </w:r>
          </w:p>
        </w:tc>
      </w:tr>
      <w:tr w14:paraId="166FD5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tcBorders>
              <w:tl2br w:val="nil"/>
              <w:tr2bl w:val="nil"/>
            </w:tcBorders>
            <w:noWrap w:val="0"/>
            <w:vAlign w:val="center"/>
          </w:tcPr>
          <w:p w14:paraId="3AD3FB02">
            <w:pPr>
              <w:pageBreakBefore w:val="0"/>
              <w:wordWrap/>
              <w:bidi w:val="0"/>
              <w:adjustRightInd/>
              <w:snapToGrid/>
              <w:spacing w:line="240" w:lineRule="auto"/>
              <w:ind w:firstLine="0" w:firstLineChars="0"/>
              <w:jc w:val="left"/>
              <w:rPr>
                <w:color w:val="auto"/>
                <w:sz w:val="21"/>
                <w:szCs w:val="22"/>
              </w:rPr>
            </w:pPr>
            <w:r>
              <w:rPr>
                <w:color w:val="auto"/>
                <w:sz w:val="21"/>
                <w:szCs w:val="22"/>
              </w:rPr>
              <w:t>备注：a防护带边缘的浓度最高点，通常位于靠近污泥脱水机房附近。</w:t>
            </w:r>
          </w:p>
          <w:p w14:paraId="690037F3">
            <w:pPr>
              <w:pageBreakBefore w:val="0"/>
              <w:wordWrap/>
              <w:bidi w:val="0"/>
              <w:adjustRightInd/>
              <w:snapToGrid/>
              <w:spacing w:line="240" w:lineRule="auto"/>
              <w:ind w:firstLine="0" w:firstLineChars="0"/>
              <w:jc w:val="left"/>
              <w:rPr>
                <w:color w:val="auto"/>
                <w:sz w:val="21"/>
                <w:szCs w:val="22"/>
              </w:rPr>
            </w:pPr>
            <w:r>
              <w:rPr>
                <w:rFonts w:hint="eastAsia"/>
                <w:color w:val="auto"/>
                <w:sz w:val="21"/>
                <w:szCs w:val="22"/>
                <w:lang w:val="en-US" w:eastAsia="zh-CN"/>
              </w:rPr>
              <w:t>b</w:t>
            </w:r>
            <w:r>
              <w:rPr>
                <w:color w:val="auto"/>
                <w:sz w:val="21"/>
                <w:szCs w:val="22"/>
              </w:rPr>
              <w:t>通常位于格栅、初沉池、污泥消化池、污泥浓缩池、污泥脱水机房等位置，选取浓度最高点设置监测点位。</w:t>
            </w:r>
          </w:p>
          <w:p w14:paraId="011A1E90">
            <w:pPr>
              <w:pageBreakBefore w:val="0"/>
              <w:wordWrap/>
              <w:bidi w:val="0"/>
              <w:adjustRightInd/>
              <w:snapToGrid/>
              <w:spacing w:line="240" w:lineRule="auto"/>
              <w:ind w:firstLine="0" w:firstLineChars="0"/>
              <w:jc w:val="left"/>
              <w:rPr>
                <w:color w:val="auto"/>
                <w:sz w:val="21"/>
                <w:szCs w:val="22"/>
              </w:rPr>
            </w:pPr>
            <w:r>
              <w:rPr>
                <w:rFonts w:hint="eastAsia"/>
                <w:color w:val="auto"/>
                <w:sz w:val="21"/>
                <w:szCs w:val="22"/>
                <w:lang w:val="en-US" w:eastAsia="zh-CN"/>
              </w:rPr>
              <w:t>c</w:t>
            </w:r>
            <w:r>
              <w:rPr>
                <w:color w:val="auto"/>
                <w:sz w:val="21"/>
                <w:szCs w:val="22"/>
              </w:rPr>
              <w:t>执行GB18918的排放单位执行。废气烟气参数和污染物浓度应同步监测。</w:t>
            </w:r>
          </w:p>
        </w:tc>
      </w:tr>
    </w:tbl>
    <w:p w14:paraId="5A25D647">
      <w:pPr>
        <w:keepNext w:val="0"/>
        <w:keepLines w:val="0"/>
        <w:pageBreakBefore w:val="0"/>
        <w:widowControl w:val="0"/>
        <w:kinsoku/>
        <w:wordWrap/>
        <w:overflowPunct/>
        <w:topLinePunct w:val="0"/>
        <w:autoSpaceDE/>
        <w:autoSpaceDN/>
        <w:bidi w:val="0"/>
        <w:adjustRightInd/>
        <w:snapToGrid/>
        <w:spacing w:before="120" w:beforeLines="50"/>
        <w:ind w:firstLine="480"/>
        <w:textAlignment w:val="auto"/>
        <w:rPr>
          <w:color w:val="auto"/>
          <w:szCs w:val="22"/>
        </w:rPr>
      </w:pPr>
      <w:r>
        <w:rPr>
          <w:color w:val="auto"/>
          <w:szCs w:val="22"/>
        </w:rPr>
        <w:t>3、厂界环境噪声监测</w:t>
      </w:r>
    </w:p>
    <w:p w14:paraId="35058C83">
      <w:pPr>
        <w:pStyle w:val="19"/>
        <w:numPr>
          <w:ilvl w:val="0"/>
          <w:numId w:val="39"/>
        </w:numPr>
        <w:bidi w:val="0"/>
        <w:ind w:left="0" w:leftChars="0" w:firstLine="0" w:firstLineChars="0"/>
        <w:rPr>
          <w:color w:val="auto"/>
        </w:rPr>
      </w:pPr>
      <w:r>
        <w:rPr>
          <w:color w:val="auto"/>
        </w:rPr>
        <w:t>厂界环境噪声监测指标及最低监测频次</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57"/>
        <w:gridCol w:w="2734"/>
        <w:gridCol w:w="3750"/>
      </w:tblGrid>
      <w:tr w14:paraId="7A1BB2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noWrap w:val="0"/>
            <w:vAlign w:val="center"/>
          </w:tcPr>
          <w:p w14:paraId="20CCFB34">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监测点位</w:t>
            </w:r>
          </w:p>
        </w:tc>
        <w:tc>
          <w:tcPr>
            <w:tcW w:w="1529" w:type="pct"/>
            <w:tcBorders>
              <w:tl2br w:val="nil"/>
              <w:tr2bl w:val="nil"/>
            </w:tcBorders>
            <w:noWrap w:val="0"/>
            <w:vAlign w:val="center"/>
          </w:tcPr>
          <w:p w14:paraId="21069D4C">
            <w:pPr>
              <w:pageBreakBefore w:val="0"/>
              <w:wordWrap/>
              <w:bidi w:val="0"/>
              <w:adjustRightInd/>
              <w:snapToGrid/>
              <w:spacing w:line="240" w:lineRule="auto"/>
              <w:ind w:firstLine="0" w:firstLineChars="0"/>
              <w:jc w:val="center"/>
              <w:rPr>
                <w:b/>
                <w:bCs/>
                <w:color w:val="auto"/>
                <w:sz w:val="21"/>
                <w:szCs w:val="21"/>
              </w:rPr>
            </w:pPr>
            <w:r>
              <w:rPr>
                <w:b/>
                <w:bCs/>
                <w:color w:val="auto"/>
                <w:sz w:val="21"/>
                <w:szCs w:val="21"/>
              </w:rPr>
              <w:t>监测指标</w:t>
            </w:r>
          </w:p>
        </w:tc>
        <w:tc>
          <w:tcPr>
            <w:tcW w:w="2095" w:type="pct"/>
            <w:tcBorders>
              <w:tl2br w:val="nil"/>
              <w:tr2bl w:val="nil"/>
            </w:tcBorders>
            <w:noWrap w:val="0"/>
            <w:vAlign w:val="center"/>
          </w:tcPr>
          <w:p w14:paraId="23F02EC6">
            <w:pPr>
              <w:pageBreakBefore w:val="0"/>
              <w:wordWrap/>
              <w:bidi w:val="0"/>
              <w:adjustRightInd/>
              <w:snapToGrid/>
              <w:spacing w:line="240" w:lineRule="auto"/>
              <w:ind w:firstLine="0" w:firstLineChars="0"/>
              <w:jc w:val="center"/>
              <w:rPr>
                <w:b/>
                <w:bCs/>
                <w:color w:val="auto"/>
                <w:sz w:val="21"/>
                <w:szCs w:val="21"/>
              </w:rPr>
            </w:pPr>
            <w:r>
              <w:rPr>
                <w:b/>
                <w:bCs/>
                <w:color w:val="auto"/>
                <w:sz w:val="21"/>
                <w:szCs w:val="22"/>
              </w:rPr>
              <w:t>监测频次</w:t>
            </w:r>
          </w:p>
        </w:tc>
      </w:tr>
      <w:tr w14:paraId="6406A2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noWrap w:val="0"/>
            <w:vAlign w:val="center"/>
          </w:tcPr>
          <w:p w14:paraId="5C3461A5">
            <w:pPr>
              <w:pageBreakBefore w:val="0"/>
              <w:wordWrap/>
              <w:bidi w:val="0"/>
              <w:adjustRightInd/>
              <w:snapToGrid/>
              <w:spacing w:line="240" w:lineRule="auto"/>
              <w:ind w:firstLine="0" w:firstLineChars="0"/>
              <w:jc w:val="center"/>
              <w:rPr>
                <w:color w:val="auto"/>
                <w:sz w:val="21"/>
                <w:szCs w:val="22"/>
              </w:rPr>
            </w:pPr>
            <w:r>
              <w:rPr>
                <w:color w:val="auto"/>
                <w:sz w:val="21"/>
                <w:szCs w:val="22"/>
              </w:rPr>
              <w:t>厂界四周</w:t>
            </w:r>
          </w:p>
        </w:tc>
        <w:tc>
          <w:tcPr>
            <w:tcW w:w="1529" w:type="pct"/>
            <w:tcBorders>
              <w:tl2br w:val="nil"/>
              <w:tr2bl w:val="nil"/>
            </w:tcBorders>
            <w:noWrap w:val="0"/>
            <w:vAlign w:val="center"/>
          </w:tcPr>
          <w:p w14:paraId="06CDC6BB">
            <w:pPr>
              <w:pageBreakBefore w:val="0"/>
              <w:wordWrap/>
              <w:bidi w:val="0"/>
              <w:adjustRightInd/>
              <w:snapToGrid/>
              <w:spacing w:line="240" w:lineRule="auto"/>
              <w:ind w:firstLine="0" w:firstLineChars="0"/>
              <w:jc w:val="center"/>
              <w:rPr>
                <w:color w:val="auto"/>
                <w:sz w:val="21"/>
                <w:szCs w:val="22"/>
              </w:rPr>
            </w:pPr>
            <w:r>
              <w:rPr>
                <w:color w:val="auto"/>
                <w:sz w:val="21"/>
                <w:szCs w:val="22"/>
              </w:rPr>
              <w:t>等效连续A声级</w:t>
            </w:r>
          </w:p>
        </w:tc>
        <w:tc>
          <w:tcPr>
            <w:tcW w:w="2095" w:type="pct"/>
            <w:tcBorders>
              <w:tl2br w:val="nil"/>
              <w:tr2bl w:val="nil"/>
            </w:tcBorders>
            <w:noWrap w:val="0"/>
            <w:vAlign w:val="center"/>
          </w:tcPr>
          <w:p w14:paraId="781C8C3D">
            <w:pPr>
              <w:pageBreakBefore w:val="0"/>
              <w:wordWrap/>
              <w:bidi w:val="0"/>
              <w:adjustRightInd/>
              <w:snapToGrid/>
              <w:spacing w:line="240" w:lineRule="auto"/>
              <w:ind w:firstLine="0" w:firstLineChars="0"/>
              <w:jc w:val="center"/>
              <w:rPr>
                <w:color w:val="auto"/>
                <w:sz w:val="21"/>
                <w:szCs w:val="22"/>
              </w:rPr>
            </w:pPr>
            <w:r>
              <w:rPr>
                <w:color w:val="auto"/>
                <w:sz w:val="21"/>
                <w:szCs w:val="22"/>
              </w:rPr>
              <w:t>昼夜各一次/季度</w:t>
            </w:r>
          </w:p>
        </w:tc>
      </w:tr>
      <w:tr w14:paraId="4EA237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tcBorders>
              <w:tl2br w:val="nil"/>
              <w:tr2bl w:val="nil"/>
            </w:tcBorders>
            <w:noWrap w:val="0"/>
            <w:vAlign w:val="center"/>
          </w:tcPr>
          <w:p w14:paraId="1414F0B1">
            <w:pPr>
              <w:pageBreakBefore w:val="0"/>
              <w:wordWrap/>
              <w:bidi w:val="0"/>
              <w:adjustRightInd/>
              <w:snapToGrid/>
              <w:spacing w:line="240" w:lineRule="auto"/>
              <w:ind w:firstLine="0" w:firstLineChars="0"/>
              <w:jc w:val="left"/>
              <w:rPr>
                <w:color w:val="auto"/>
                <w:sz w:val="21"/>
                <w:szCs w:val="22"/>
              </w:rPr>
            </w:pPr>
            <w:r>
              <w:rPr>
                <w:color w:val="auto"/>
                <w:sz w:val="21"/>
                <w:szCs w:val="22"/>
              </w:rPr>
              <w:t>备注：点位布设时应考虑曝气机、污泥回流泵、污泥脱水机、空压机、各类风机等噪声源在厂区内的分布情况。</w:t>
            </w:r>
          </w:p>
        </w:tc>
      </w:tr>
    </w:tbl>
    <w:p w14:paraId="54AC7B7E">
      <w:pPr>
        <w:keepNext w:val="0"/>
        <w:keepLines w:val="0"/>
        <w:pageBreakBefore w:val="0"/>
        <w:widowControl w:val="0"/>
        <w:kinsoku/>
        <w:wordWrap/>
        <w:overflowPunct/>
        <w:topLinePunct w:val="0"/>
        <w:autoSpaceDE/>
        <w:autoSpaceDN/>
        <w:bidi w:val="0"/>
        <w:adjustRightInd/>
        <w:snapToGrid/>
        <w:spacing w:before="120" w:beforeLines="50"/>
        <w:ind w:firstLine="480"/>
        <w:textAlignment w:val="auto"/>
        <w:rPr>
          <w:color w:val="auto"/>
          <w:szCs w:val="22"/>
        </w:rPr>
      </w:pPr>
      <w:r>
        <w:rPr>
          <w:color w:val="auto"/>
          <w:szCs w:val="22"/>
        </w:rPr>
        <w:t>4、环境质量监测</w:t>
      </w:r>
    </w:p>
    <w:p w14:paraId="56A39245">
      <w:pPr>
        <w:pageBreakBefore w:val="0"/>
        <w:wordWrap/>
        <w:bidi w:val="0"/>
        <w:adjustRightInd/>
        <w:snapToGrid/>
        <w:ind w:firstLine="480"/>
        <w:rPr>
          <w:color w:val="auto"/>
          <w:szCs w:val="22"/>
        </w:rPr>
      </w:pPr>
      <w:r>
        <w:rPr>
          <w:color w:val="auto"/>
          <w:szCs w:val="22"/>
        </w:rPr>
        <w:t>（1）地表水环境监测</w:t>
      </w:r>
    </w:p>
    <w:p w14:paraId="5D31BACE">
      <w:pPr>
        <w:pageBreakBefore w:val="0"/>
        <w:wordWrap/>
        <w:bidi w:val="0"/>
        <w:adjustRightInd/>
        <w:snapToGrid/>
        <w:ind w:firstLine="480"/>
        <w:rPr>
          <w:color w:val="auto"/>
          <w:szCs w:val="22"/>
        </w:rPr>
      </w:pPr>
      <w:r>
        <w:rPr>
          <w:color w:val="auto"/>
          <w:szCs w:val="22"/>
        </w:rPr>
        <w:t>监测断面：</w:t>
      </w:r>
      <w:r>
        <w:rPr>
          <w:rFonts w:hint="eastAsia"/>
          <w:color w:val="auto"/>
          <w:szCs w:val="22"/>
          <w:lang w:val="en-US" w:eastAsia="zh-CN"/>
        </w:rPr>
        <w:t>2</w:t>
      </w:r>
      <w:r>
        <w:rPr>
          <w:color w:val="auto"/>
          <w:szCs w:val="22"/>
        </w:rPr>
        <w:t>个，分别是污水处理厂排口上游500m处、排口下游2000m处。</w:t>
      </w:r>
    </w:p>
    <w:p w14:paraId="056CDEA9">
      <w:pPr>
        <w:pageBreakBefore w:val="0"/>
        <w:wordWrap/>
        <w:bidi w:val="0"/>
        <w:adjustRightInd/>
        <w:snapToGrid/>
        <w:ind w:firstLine="480"/>
        <w:rPr>
          <w:color w:val="auto"/>
          <w:szCs w:val="22"/>
        </w:rPr>
      </w:pPr>
      <w:r>
        <w:rPr>
          <w:color w:val="auto"/>
          <w:szCs w:val="22"/>
        </w:rPr>
        <w:t>监测指标：pH值、悬浮物、化学需氧量、五日生化需氧量、氨氮、总磷、总氮、石油类、溶解氧、氟化物、粪大肠菌群。</w:t>
      </w:r>
    </w:p>
    <w:p w14:paraId="2E255E5F">
      <w:pPr>
        <w:pageBreakBefore w:val="0"/>
        <w:wordWrap/>
        <w:bidi w:val="0"/>
        <w:adjustRightInd/>
        <w:snapToGrid/>
        <w:ind w:firstLine="480"/>
        <w:rPr>
          <w:color w:val="auto"/>
          <w:szCs w:val="22"/>
        </w:rPr>
      </w:pPr>
      <w:r>
        <w:rPr>
          <w:color w:val="auto"/>
          <w:szCs w:val="22"/>
        </w:rPr>
        <w:t>监测频率：每年</w:t>
      </w:r>
      <w:r>
        <w:rPr>
          <w:rFonts w:hint="eastAsia"/>
          <w:color w:val="auto"/>
          <w:szCs w:val="22"/>
          <w:lang w:val="en-US" w:eastAsia="zh-CN"/>
        </w:rPr>
        <w:t>枯水期</w:t>
      </w:r>
      <w:r>
        <w:rPr>
          <w:color w:val="auto"/>
          <w:szCs w:val="22"/>
        </w:rPr>
        <w:t>至少监测一次。</w:t>
      </w:r>
    </w:p>
    <w:p w14:paraId="3BB61F9F">
      <w:pPr>
        <w:pageBreakBefore w:val="0"/>
        <w:wordWrap/>
        <w:bidi w:val="0"/>
        <w:adjustRightInd/>
        <w:snapToGrid/>
        <w:ind w:firstLine="480"/>
        <w:rPr>
          <w:color w:val="auto"/>
          <w:szCs w:val="22"/>
        </w:rPr>
      </w:pPr>
      <w:r>
        <w:rPr>
          <w:color w:val="auto"/>
          <w:szCs w:val="22"/>
        </w:rPr>
        <w:t>（2）地下水环境监测</w:t>
      </w:r>
    </w:p>
    <w:p w14:paraId="51371E16">
      <w:pPr>
        <w:pageBreakBefore w:val="0"/>
        <w:wordWrap/>
        <w:bidi w:val="0"/>
        <w:adjustRightInd/>
        <w:snapToGrid/>
        <w:ind w:firstLine="480"/>
        <w:rPr>
          <w:color w:val="auto"/>
          <w:szCs w:val="22"/>
        </w:rPr>
      </w:pPr>
      <w:r>
        <w:rPr>
          <w:color w:val="auto"/>
          <w:szCs w:val="22"/>
        </w:rPr>
        <w:t>监测点位：3个监测井，分别为地下水水流方向上游、项目所在地和地下水水流方向下游。</w:t>
      </w:r>
    </w:p>
    <w:p w14:paraId="5D46100F">
      <w:pPr>
        <w:pageBreakBefore w:val="0"/>
        <w:wordWrap/>
        <w:bidi w:val="0"/>
        <w:adjustRightInd/>
        <w:snapToGrid/>
        <w:ind w:firstLine="480"/>
        <w:rPr>
          <w:color w:val="auto"/>
        </w:rPr>
      </w:pPr>
      <w:r>
        <w:rPr>
          <w:color w:val="auto"/>
          <w:szCs w:val="22"/>
        </w:rPr>
        <w:t>监测指标：</w:t>
      </w:r>
      <w:r>
        <w:rPr>
          <w:rFonts w:eastAsia="宋体" w:cs="Times New Roman"/>
          <w:color w:val="auto"/>
          <w:sz w:val="24"/>
          <w:szCs w:val="24"/>
        </w:rPr>
        <w:t>水位、pH、Cl</w:t>
      </w:r>
      <w:r>
        <w:rPr>
          <w:rFonts w:eastAsia="宋体" w:cs="Times New Roman"/>
          <w:color w:val="auto"/>
          <w:sz w:val="24"/>
          <w:szCs w:val="24"/>
          <w:vertAlign w:val="superscript"/>
        </w:rPr>
        <w:t>-</w:t>
      </w:r>
      <w:r>
        <w:rPr>
          <w:rFonts w:eastAsia="宋体" w:cs="Times New Roman"/>
          <w:color w:val="auto"/>
          <w:sz w:val="24"/>
          <w:szCs w:val="24"/>
        </w:rPr>
        <w:t>、SO</w:t>
      </w:r>
      <w:r>
        <w:rPr>
          <w:rFonts w:eastAsia="宋体" w:cs="Times New Roman"/>
          <w:color w:val="auto"/>
          <w:sz w:val="24"/>
          <w:szCs w:val="24"/>
          <w:vertAlign w:val="subscript"/>
        </w:rPr>
        <w:t>4</w:t>
      </w:r>
      <w:r>
        <w:rPr>
          <w:rFonts w:eastAsia="宋体" w:cs="Times New Roman"/>
          <w:color w:val="auto"/>
          <w:sz w:val="24"/>
          <w:szCs w:val="24"/>
          <w:vertAlign w:val="superscript"/>
        </w:rPr>
        <w:t>2-</w:t>
      </w:r>
      <w:r>
        <w:rPr>
          <w:rFonts w:eastAsia="宋体" w:cs="Times New Roman"/>
          <w:color w:val="auto"/>
          <w:sz w:val="24"/>
          <w:szCs w:val="24"/>
        </w:rPr>
        <w:t>、HCO</w:t>
      </w:r>
      <w:r>
        <w:rPr>
          <w:rFonts w:eastAsia="宋体" w:cs="Times New Roman"/>
          <w:color w:val="auto"/>
          <w:sz w:val="24"/>
          <w:szCs w:val="24"/>
          <w:vertAlign w:val="subscript"/>
        </w:rPr>
        <w:t>3</w:t>
      </w:r>
      <w:r>
        <w:rPr>
          <w:rFonts w:eastAsia="宋体" w:cs="Times New Roman"/>
          <w:color w:val="auto"/>
          <w:sz w:val="24"/>
          <w:szCs w:val="24"/>
          <w:vertAlign w:val="superscript"/>
        </w:rPr>
        <w:t>-</w:t>
      </w:r>
      <w:r>
        <w:rPr>
          <w:rFonts w:eastAsia="宋体" w:cs="Times New Roman"/>
          <w:color w:val="auto"/>
          <w:sz w:val="24"/>
          <w:szCs w:val="24"/>
        </w:rPr>
        <w:t>、Na</w:t>
      </w:r>
      <w:r>
        <w:rPr>
          <w:rFonts w:eastAsia="宋体" w:cs="Times New Roman"/>
          <w:color w:val="auto"/>
          <w:sz w:val="24"/>
          <w:szCs w:val="24"/>
          <w:vertAlign w:val="superscript"/>
        </w:rPr>
        <w:t>+</w:t>
      </w:r>
      <w:r>
        <w:rPr>
          <w:rFonts w:eastAsia="宋体" w:cs="Times New Roman"/>
          <w:color w:val="auto"/>
          <w:sz w:val="24"/>
          <w:szCs w:val="24"/>
        </w:rPr>
        <w:t>、K</w:t>
      </w:r>
      <w:r>
        <w:rPr>
          <w:rFonts w:eastAsia="宋体" w:cs="Times New Roman"/>
          <w:color w:val="auto"/>
          <w:sz w:val="24"/>
          <w:szCs w:val="24"/>
          <w:vertAlign w:val="superscript"/>
        </w:rPr>
        <w:t>+</w:t>
      </w:r>
      <w:r>
        <w:rPr>
          <w:rFonts w:eastAsia="宋体" w:cs="Times New Roman"/>
          <w:color w:val="auto"/>
          <w:sz w:val="24"/>
          <w:szCs w:val="24"/>
        </w:rPr>
        <w:t>、Ca</w:t>
      </w:r>
      <w:r>
        <w:rPr>
          <w:rFonts w:eastAsia="宋体" w:cs="Times New Roman"/>
          <w:color w:val="auto"/>
          <w:sz w:val="24"/>
          <w:szCs w:val="24"/>
          <w:vertAlign w:val="superscript"/>
        </w:rPr>
        <w:t>2+</w:t>
      </w:r>
      <w:r>
        <w:rPr>
          <w:rFonts w:eastAsia="宋体" w:cs="Times New Roman"/>
          <w:color w:val="auto"/>
          <w:sz w:val="24"/>
          <w:szCs w:val="24"/>
        </w:rPr>
        <w:t>、Mg</w:t>
      </w:r>
      <w:r>
        <w:rPr>
          <w:rFonts w:eastAsia="宋体" w:cs="Times New Roman"/>
          <w:color w:val="auto"/>
          <w:sz w:val="24"/>
          <w:szCs w:val="24"/>
          <w:vertAlign w:val="superscript"/>
        </w:rPr>
        <w:t>2+</w:t>
      </w:r>
    </w:p>
    <w:p w14:paraId="769F3D99">
      <w:pPr>
        <w:pageBreakBefore w:val="0"/>
        <w:wordWrap/>
        <w:bidi w:val="0"/>
        <w:adjustRightInd/>
        <w:snapToGrid/>
        <w:ind w:firstLine="480"/>
        <w:rPr>
          <w:color w:val="auto"/>
          <w:szCs w:val="22"/>
        </w:rPr>
      </w:pPr>
      <w:r>
        <w:rPr>
          <w:color w:val="auto"/>
          <w:szCs w:val="22"/>
        </w:rPr>
        <w:t>监测频率：</w:t>
      </w:r>
      <w:r>
        <w:rPr>
          <w:rFonts w:hint="eastAsia"/>
          <w:color w:val="auto"/>
          <w:szCs w:val="22"/>
        </w:rPr>
        <w:t>每年</w:t>
      </w:r>
      <w:r>
        <w:rPr>
          <w:color w:val="auto"/>
          <w:szCs w:val="22"/>
        </w:rPr>
        <w:t>进行</w:t>
      </w:r>
      <w:r>
        <w:rPr>
          <w:rFonts w:hint="eastAsia"/>
          <w:color w:val="auto"/>
          <w:szCs w:val="22"/>
        </w:rPr>
        <w:t>1</w:t>
      </w:r>
      <w:r>
        <w:rPr>
          <w:color w:val="auto"/>
          <w:szCs w:val="22"/>
        </w:rPr>
        <w:t>次监测。</w:t>
      </w:r>
    </w:p>
    <w:p w14:paraId="48F05C4B">
      <w:pPr>
        <w:pStyle w:val="19"/>
        <w:numPr>
          <w:ilvl w:val="0"/>
          <w:numId w:val="39"/>
        </w:numPr>
        <w:bidi w:val="0"/>
        <w:ind w:left="0" w:leftChars="0" w:firstLine="0" w:firstLineChars="0"/>
        <w:rPr>
          <w:color w:val="auto"/>
        </w:rPr>
      </w:pPr>
      <w:r>
        <w:rPr>
          <w:color w:val="auto"/>
        </w:rPr>
        <w:t>项目区地下水监测计划</w:t>
      </w:r>
    </w:p>
    <w:tbl>
      <w:tblPr>
        <w:tblStyle w:val="5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296"/>
        <w:gridCol w:w="383"/>
        <w:gridCol w:w="908"/>
        <w:gridCol w:w="1462"/>
        <w:gridCol w:w="1182"/>
        <w:gridCol w:w="1447"/>
        <w:gridCol w:w="865"/>
        <w:gridCol w:w="571"/>
        <w:gridCol w:w="978"/>
        <w:gridCol w:w="687"/>
      </w:tblGrid>
      <w:tr w14:paraId="672203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183" w:type="pct"/>
            <w:vMerge w:val="restart"/>
            <w:tcBorders>
              <w:tl2br w:val="nil"/>
              <w:tr2bl w:val="nil"/>
            </w:tcBorders>
            <w:vAlign w:val="center"/>
          </w:tcPr>
          <w:p w14:paraId="7D87CB04">
            <w:pPr>
              <w:pStyle w:val="16"/>
              <w:bidi w:val="0"/>
              <w:rPr>
                <w:b/>
                <w:bCs/>
                <w:color w:val="auto"/>
              </w:rPr>
            </w:pPr>
            <w:r>
              <w:rPr>
                <w:b/>
                <w:bCs/>
                <w:color w:val="auto"/>
              </w:rPr>
              <w:t>阶段</w:t>
            </w:r>
          </w:p>
        </w:tc>
        <w:tc>
          <w:tcPr>
            <w:tcW w:w="764" w:type="pct"/>
            <w:gridSpan w:val="2"/>
            <w:vMerge w:val="restart"/>
            <w:tcBorders>
              <w:tl2br w:val="nil"/>
              <w:tr2bl w:val="nil"/>
            </w:tcBorders>
            <w:vAlign w:val="center"/>
          </w:tcPr>
          <w:p w14:paraId="4366B9C7">
            <w:pPr>
              <w:pStyle w:val="16"/>
              <w:bidi w:val="0"/>
              <w:rPr>
                <w:b/>
                <w:bCs/>
                <w:color w:val="auto"/>
              </w:rPr>
            </w:pPr>
            <w:r>
              <w:rPr>
                <w:b/>
                <w:bCs/>
                <w:color w:val="auto"/>
              </w:rPr>
              <w:t>监测功能</w:t>
            </w:r>
          </w:p>
        </w:tc>
        <w:tc>
          <w:tcPr>
            <w:tcW w:w="847" w:type="pct"/>
            <w:vMerge w:val="restart"/>
            <w:tcBorders>
              <w:tl2br w:val="nil"/>
              <w:tr2bl w:val="nil"/>
            </w:tcBorders>
            <w:vAlign w:val="center"/>
          </w:tcPr>
          <w:p w14:paraId="06FB7F42">
            <w:pPr>
              <w:pStyle w:val="16"/>
              <w:bidi w:val="0"/>
              <w:rPr>
                <w:b/>
                <w:bCs/>
                <w:color w:val="auto"/>
              </w:rPr>
            </w:pPr>
            <w:r>
              <w:rPr>
                <w:b/>
                <w:bCs/>
                <w:color w:val="auto"/>
              </w:rPr>
              <w:t>监测点位</w:t>
            </w:r>
          </w:p>
        </w:tc>
        <w:tc>
          <w:tcPr>
            <w:tcW w:w="679" w:type="pct"/>
            <w:vMerge w:val="restart"/>
            <w:tcBorders>
              <w:tl2br w:val="nil"/>
              <w:tr2bl w:val="nil"/>
            </w:tcBorders>
            <w:vAlign w:val="center"/>
          </w:tcPr>
          <w:p w14:paraId="47F5BC71">
            <w:pPr>
              <w:pStyle w:val="16"/>
              <w:bidi w:val="0"/>
              <w:rPr>
                <w:b/>
                <w:bCs/>
                <w:color w:val="auto"/>
              </w:rPr>
            </w:pPr>
            <w:r>
              <w:rPr>
                <w:b/>
                <w:bCs/>
                <w:color w:val="auto"/>
              </w:rPr>
              <w:t>监测点坐标</w:t>
            </w:r>
          </w:p>
          <w:p w14:paraId="299671D2">
            <w:pPr>
              <w:pStyle w:val="16"/>
              <w:bidi w:val="0"/>
              <w:rPr>
                <w:b/>
                <w:bCs/>
                <w:color w:val="auto"/>
              </w:rPr>
            </w:pPr>
            <w:r>
              <w:rPr>
                <w:b/>
                <w:bCs/>
                <w:color w:val="auto"/>
              </w:rPr>
              <w:t>N（北纬）</w:t>
            </w:r>
          </w:p>
          <w:p w14:paraId="78C9C44D">
            <w:pPr>
              <w:pStyle w:val="16"/>
              <w:bidi w:val="0"/>
              <w:rPr>
                <w:b/>
                <w:bCs/>
                <w:color w:val="auto"/>
              </w:rPr>
            </w:pPr>
            <w:r>
              <w:rPr>
                <w:b/>
                <w:bCs/>
                <w:color w:val="auto"/>
              </w:rPr>
              <w:t>E（东经）</w:t>
            </w:r>
          </w:p>
        </w:tc>
        <w:tc>
          <w:tcPr>
            <w:tcW w:w="847" w:type="pct"/>
            <w:vMerge w:val="restart"/>
            <w:tcBorders>
              <w:tl2br w:val="nil"/>
              <w:tr2bl w:val="nil"/>
            </w:tcBorders>
            <w:vAlign w:val="center"/>
          </w:tcPr>
          <w:p w14:paraId="6052A5A0">
            <w:pPr>
              <w:pStyle w:val="16"/>
              <w:bidi w:val="0"/>
              <w:rPr>
                <w:b/>
                <w:bCs/>
                <w:color w:val="auto"/>
              </w:rPr>
            </w:pPr>
            <w:r>
              <w:rPr>
                <w:b/>
                <w:bCs/>
                <w:color w:val="auto"/>
              </w:rPr>
              <w:t>新建监测井要求</w:t>
            </w:r>
          </w:p>
        </w:tc>
        <w:tc>
          <w:tcPr>
            <w:tcW w:w="847" w:type="pct"/>
            <w:gridSpan w:val="2"/>
            <w:tcBorders>
              <w:tl2br w:val="nil"/>
              <w:tr2bl w:val="nil"/>
            </w:tcBorders>
            <w:vAlign w:val="center"/>
          </w:tcPr>
          <w:p w14:paraId="4D73F263">
            <w:pPr>
              <w:pStyle w:val="16"/>
              <w:bidi w:val="0"/>
              <w:rPr>
                <w:b/>
                <w:bCs/>
                <w:color w:val="auto"/>
              </w:rPr>
            </w:pPr>
            <w:r>
              <w:rPr>
                <w:b/>
                <w:bCs/>
                <w:color w:val="auto"/>
              </w:rPr>
              <w:t>基本因子</w:t>
            </w:r>
          </w:p>
        </w:tc>
        <w:tc>
          <w:tcPr>
            <w:tcW w:w="829" w:type="pct"/>
            <w:gridSpan w:val="2"/>
            <w:tcBorders>
              <w:tl2br w:val="nil"/>
              <w:tr2bl w:val="nil"/>
            </w:tcBorders>
            <w:vAlign w:val="center"/>
          </w:tcPr>
          <w:p w14:paraId="3D8D0546">
            <w:pPr>
              <w:pStyle w:val="16"/>
              <w:bidi w:val="0"/>
              <w:rPr>
                <w:b/>
                <w:bCs/>
                <w:color w:val="auto"/>
              </w:rPr>
            </w:pPr>
            <w:r>
              <w:rPr>
                <w:b/>
                <w:bCs/>
                <w:color w:val="auto"/>
              </w:rPr>
              <w:t>特征因子</w:t>
            </w:r>
          </w:p>
        </w:tc>
      </w:tr>
      <w:tr w14:paraId="649790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183" w:type="pct"/>
            <w:vMerge w:val="continue"/>
            <w:tcBorders>
              <w:tl2br w:val="nil"/>
              <w:tr2bl w:val="nil"/>
            </w:tcBorders>
            <w:vAlign w:val="center"/>
          </w:tcPr>
          <w:p w14:paraId="7814CF99">
            <w:pPr>
              <w:pStyle w:val="16"/>
              <w:bidi w:val="0"/>
              <w:rPr>
                <w:b/>
                <w:bCs/>
                <w:color w:val="auto"/>
              </w:rPr>
            </w:pPr>
          </w:p>
        </w:tc>
        <w:tc>
          <w:tcPr>
            <w:tcW w:w="764" w:type="pct"/>
            <w:gridSpan w:val="2"/>
            <w:vMerge w:val="continue"/>
            <w:tcBorders>
              <w:tl2br w:val="nil"/>
              <w:tr2bl w:val="nil"/>
            </w:tcBorders>
            <w:vAlign w:val="center"/>
          </w:tcPr>
          <w:p w14:paraId="7644CD6C">
            <w:pPr>
              <w:pStyle w:val="16"/>
              <w:bidi w:val="0"/>
              <w:rPr>
                <w:b/>
                <w:bCs/>
                <w:color w:val="auto"/>
              </w:rPr>
            </w:pPr>
          </w:p>
        </w:tc>
        <w:tc>
          <w:tcPr>
            <w:tcW w:w="847" w:type="pct"/>
            <w:vMerge w:val="continue"/>
            <w:tcBorders>
              <w:tl2br w:val="nil"/>
              <w:tr2bl w:val="nil"/>
            </w:tcBorders>
            <w:vAlign w:val="center"/>
          </w:tcPr>
          <w:p w14:paraId="26AE194E">
            <w:pPr>
              <w:pStyle w:val="16"/>
              <w:bidi w:val="0"/>
              <w:rPr>
                <w:b/>
                <w:bCs/>
                <w:color w:val="auto"/>
              </w:rPr>
            </w:pPr>
          </w:p>
        </w:tc>
        <w:tc>
          <w:tcPr>
            <w:tcW w:w="679" w:type="pct"/>
            <w:vMerge w:val="continue"/>
            <w:tcBorders>
              <w:tl2br w:val="nil"/>
              <w:tr2bl w:val="nil"/>
            </w:tcBorders>
            <w:vAlign w:val="center"/>
          </w:tcPr>
          <w:p w14:paraId="7EB0051B">
            <w:pPr>
              <w:pStyle w:val="16"/>
              <w:bidi w:val="0"/>
              <w:rPr>
                <w:b/>
                <w:bCs/>
                <w:color w:val="auto"/>
              </w:rPr>
            </w:pPr>
          </w:p>
        </w:tc>
        <w:tc>
          <w:tcPr>
            <w:tcW w:w="847" w:type="pct"/>
            <w:vMerge w:val="continue"/>
            <w:tcBorders>
              <w:tl2br w:val="nil"/>
              <w:tr2bl w:val="nil"/>
            </w:tcBorders>
            <w:vAlign w:val="center"/>
          </w:tcPr>
          <w:p w14:paraId="1FB17B27">
            <w:pPr>
              <w:pStyle w:val="16"/>
              <w:bidi w:val="0"/>
              <w:rPr>
                <w:b/>
                <w:bCs/>
                <w:color w:val="auto"/>
              </w:rPr>
            </w:pPr>
          </w:p>
        </w:tc>
        <w:tc>
          <w:tcPr>
            <w:tcW w:w="507" w:type="pct"/>
            <w:tcBorders>
              <w:tl2br w:val="nil"/>
              <w:tr2bl w:val="nil"/>
            </w:tcBorders>
            <w:vAlign w:val="center"/>
          </w:tcPr>
          <w:p w14:paraId="00C28B46">
            <w:pPr>
              <w:pStyle w:val="16"/>
              <w:bidi w:val="0"/>
              <w:rPr>
                <w:b/>
                <w:bCs/>
                <w:color w:val="auto"/>
              </w:rPr>
            </w:pPr>
            <w:r>
              <w:rPr>
                <w:b/>
                <w:bCs/>
                <w:color w:val="auto"/>
              </w:rPr>
              <w:t>监测</w:t>
            </w:r>
          </w:p>
          <w:p w14:paraId="37FEABE8">
            <w:pPr>
              <w:pStyle w:val="16"/>
              <w:bidi w:val="0"/>
              <w:rPr>
                <w:b/>
                <w:bCs/>
                <w:color w:val="auto"/>
              </w:rPr>
            </w:pPr>
            <w:r>
              <w:rPr>
                <w:b/>
                <w:bCs/>
                <w:color w:val="auto"/>
              </w:rPr>
              <w:t>项目</w:t>
            </w:r>
          </w:p>
        </w:tc>
        <w:tc>
          <w:tcPr>
            <w:tcW w:w="339" w:type="pct"/>
            <w:tcBorders>
              <w:tl2br w:val="nil"/>
              <w:tr2bl w:val="nil"/>
            </w:tcBorders>
            <w:vAlign w:val="center"/>
          </w:tcPr>
          <w:p w14:paraId="0892DA78">
            <w:pPr>
              <w:pStyle w:val="16"/>
              <w:bidi w:val="0"/>
              <w:rPr>
                <w:b/>
                <w:bCs/>
                <w:color w:val="auto"/>
              </w:rPr>
            </w:pPr>
            <w:r>
              <w:rPr>
                <w:b/>
                <w:bCs/>
                <w:color w:val="auto"/>
              </w:rPr>
              <w:t>监测</w:t>
            </w:r>
          </w:p>
          <w:p w14:paraId="60434B02">
            <w:pPr>
              <w:pStyle w:val="16"/>
              <w:bidi w:val="0"/>
              <w:rPr>
                <w:b/>
                <w:bCs/>
                <w:color w:val="auto"/>
              </w:rPr>
            </w:pPr>
            <w:r>
              <w:rPr>
                <w:b/>
                <w:bCs/>
                <w:color w:val="auto"/>
              </w:rPr>
              <w:t>频率</w:t>
            </w:r>
          </w:p>
        </w:tc>
        <w:tc>
          <w:tcPr>
            <w:tcW w:w="424" w:type="pct"/>
            <w:tcBorders>
              <w:tl2br w:val="nil"/>
              <w:tr2bl w:val="nil"/>
            </w:tcBorders>
            <w:vAlign w:val="center"/>
          </w:tcPr>
          <w:p w14:paraId="286C7758">
            <w:pPr>
              <w:pStyle w:val="16"/>
              <w:bidi w:val="0"/>
              <w:rPr>
                <w:b/>
                <w:bCs/>
                <w:color w:val="auto"/>
              </w:rPr>
            </w:pPr>
            <w:r>
              <w:rPr>
                <w:b/>
                <w:bCs/>
                <w:color w:val="auto"/>
              </w:rPr>
              <w:t>监测</w:t>
            </w:r>
          </w:p>
          <w:p w14:paraId="45B73446">
            <w:pPr>
              <w:pStyle w:val="16"/>
              <w:bidi w:val="0"/>
              <w:rPr>
                <w:b/>
                <w:bCs/>
                <w:color w:val="auto"/>
              </w:rPr>
            </w:pPr>
            <w:r>
              <w:rPr>
                <w:b/>
                <w:bCs/>
                <w:color w:val="auto"/>
              </w:rPr>
              <w:t>项目</w:t>
            </w:r>
          </w:p>
        </w:tc>
        <w:tc>
          <w:tcPr>
            <w:tcW w:w="404" w:type="pct"/>
            <w:tcBorders>
              <w:tl2br w:val="nil"/>
              <w:tr2bl w:val="nil"/>
            </w:tcBorders>
            <w:vAlign w:val="center"/>
          </w:tcPr>
          <w:p w14:paraId="49B6F6B0">
            <w:pPr>
              <w:pStyle w:val="16"/>
              <w:bidi w:val="0"/>
              <w:rPr>
                <w:b/>
                <w:bCs/>
                <w:color w:val="auto"/>
              </w:rPr>
            </w:pPr>
            <w:r>
              <w:rPr>
                <w:b/>
                <w:bCs/>
                <w:color w:val="auto"/>
              </w:rPr>
              <w:t>监测</w:t>
            </w:r>
          </w:p>
          <w:p w14:paraId="3CF455D9">
            <w:pPr>
              <w:pStyle w:val="16"/>
              <w:bidi w:val="0"/>
              <w:rPr>
                <w:b/>
                <w:bCs/>
                <w:color w:val="auto"/>
              </w:rPr>
            </w:pPr>
            <w:r>
              <w:rPr>
                <w:b/>
                <w:bCs/>
                <w:color w:val="auto"/>
              </w:rPr>
              <w:t>频率</w:t>
            </w:r>
          </w:p>
        </w:tc>
      </w:tr>
      <w:tr w14:paraId="3FB556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183" w:type="pct"/>
            <w:vMerge w:val="restart"/>
            <w:tcBorders>
              <w:tl2br w:val="nil"/>
              <w:tr2bl w:val="nil"/>
            </w:tcBorders>
            <w:vAlign w:val="center"/>
          </w:tcPr>
          <w:p w14:paraId="20620596">
            <w:pPr>
              <w:pStyle w:val="16"/>
              <w:bidi w:val="0"/>
              <w:rPr>
                <w:color w:val="auto"/>
              </w:rPr>
            </w:pPr>
            <w:r>
              <w:rPr>
                <w:color w:val="auto"/>
              </w:rPr>
              <w:t>运营期</w:t>
            </w:r>
          </w:p>
        </w:tc>
        <w:tc>
          <w:tcPr>
            <w:tcW w:w="232" w:type="pct"/>
            <w:tcBorders>
              <w:tl2br w:val="nil"/>
              <w:tr2bl w:val="nil"/>
            </w:tcBorders>
            <w:vAlign w:val="center"/>
          </w:tcPr>
          <w:p w14:paraId="0F782059">
            <w:pPr>
              <w:pStyle w:val="16"/>
              <w:bidi w:val="0"/>
              <w:rPr>
                <w:color w:val="auto"/>
              </w:rPr>
            </w:pPr>
            <w:r>
              <w:rPr>
                <w:color w:val="auto"/>
              </w:rPr>
              <w:t>JC1</w:t>
            </w:r>
          </w:p>
        </w:tc>
        <w:tc>
          <w:tcPr>
            <w:tcW w:w="532" w:type="pct"/>
            <w:tcBorders>
              <w:tl2br w:val="nil"/>
              <w:tr2bl w:val="nil"/>
            </w:tcBorders>
            <w:vAlign w:val="center"/>
          </w:tcPr>
          <w:p w14:paraId="0C44E2E4">
            <w:pPr>
              <w:pStyle w:val="16"/>
              <w:bidi w:val="0"/>
              <w:rPr>
                <w:color w:val="auto"/>
              </w:rPr>
            </w:pPr>
            <w:r>
              <w:rPr>
                <w:rFonts w:hint="eastAsia"/>
                <w:color w:val="auto"/>
              </w:rPr>
              <w:t>对照</w:t>
            </w:r>
            <w:r>
              <w:rPr>
                <w:color w:val="auto"/>
              </w:rPr>
              <w:t>监测井（依托）</w:t>
            </w:r>
          </w:p>
        </w:tc>
        <w:tc>
          <w:tcPr>
            <w:tcW w:w="847" w:type="pct"/>
            <w:tcBorders>
              <w:tl2br w:val="nil"/>
              <w:tr2bl w:val="nil"/>
            </w:tcBorders>
            <w:vAlign w:val="center"/>
          </w:tcPr>
          <w:p w14:paraId="0B6BC53F">
            <w:pPr>
              <w:pStyle w:val="16"/>
              <w:bidi w:val="0"/>
              <w:rPr>
                <w:color w:val="auto"/>
              </w:rPr>
            </w:pPr>
            <w:r>
              <w:rPr>
                <w:rFonts w:hint="eastAsia"/>
                <w:color w:val="auto"/>
                <w:lang w:eastAsia="zh-CN"/>
              </w:rPr>
              <w:t>污水处理厂</w:t>
            </w:r>
            <w:r>
              <w:rPr>
                <w:rFonts w:hint="eastAsia"/>
                <w:color w:val="auto"/>
              </w:rPr>
              <w:t>东北侧居民水井</w:t>
            </w:r>
          </w:p>
          <w:p w14:paraId="1B1FBBCD">
            <w:pPr>
              <w:pStyle w:val="16"/>
              <w:bidi w:val="0"/>
              <w:rPr>
                <w:color w:val="auto"/>
              </w:rPr>
            </w:pPr>
            <w:r>
              <w:rPr>
                <w:rFonts w:hint="eastAsia"/>
                <w:color w:val="auto"/>
              </w:rPr>
              <w:t>（7#现状监测井）</w:t>
            </w:r>
          </w:p>
        </w:tc>
        <w:tc>
          <w:tcPr>
            <w:tcW w:w="679" w:type="pct"/>
            <w:tcBorders>
              <w:tl2br w:val="nil"/>
              <w:tr2bl w:val="nil"/>
            </w:tcBorders>
            <w:vAlign w:val="center"/>
          </w:tcPr>
          <w:p w14:paraId="44C6794A">
            <w:pPr>
              <w:pStyle w:val="16"/>
              <w:bidi w:val="0"/>
              <w:rPr>
                <w:color w:val="auto"/>
              </w:rPr>
            </w:pPr>
            <w:r>
              <w:rPr>
                <w:color w:val="auto"/>
              </w:rPr>
              <w:t>N:31.7541</w:t>
            </w:r>
          </w:p>
          <w:p w14:paraId="10AFEFF4">
            <w:pPr>
              <w:pStyle w:val="16"/>
              <w:bidi w:val="0"/>
              <w:rPr>
                <w:color w:val="auto"/>
              </w:rPr>
            </w:pPr>
            <w:r>
              <w:rPr>
                <w:color w:val="auto"/>
              </w:rPr>
              <w:t>E:106.8933</w:t>
            </w:r>
          </w:p>
        </w:tc>
        <w:tc>
          <w:tcPr>
            <w:tcW w:w="847" w:type="pct"/>
            <w:tcBorders>
              <w:tl2br w:val="nil"/>
              <w:tr2bl w:val="nil"/>
            </w:tcBorders>
            <w:vAlign w:val="center"/>
          </w:tcPr>
          <w:p w14:paraId="17805080">
            <w:pPr>
              <w:pStyle w:val="16"/>
              <w:bidi w:val="0"/>
              <w:rPr>
                <w:color w:val="auto"/>
              </w:rPr>
            </w:pPr>
            <w:r>
              <w:rPr>
                <w:color w:val="auto"/>
              </w:rPr>
              <w:t>/</w:t>
            </w:r>
          </w:p>
        </w:tc>
        <w:tc>
          <w:tcPr>
            <w:tcW w:w="507" w:type="pct"/>
            <w:vMerge w:val="restart"/>
            <w:tcBorders>
              <w:tl2br w:val="nil"/>
              <w:tr2bl w:val="nil"/>
            </w:tcBorders>
            <w:vAlign w:val="center"/>
          </w:tcPr>
          <w:p w14:paraId="72FD4FE7">
            <w:pPr>
              <w:pStyle w:val="16"/>
              <w:bidi w:val="0"/>
              <w:rPr>
                <w:color w:val="auto"/>
              </w:rPr>
            </w:pPr>
            <w:r>
              <w:rPr>
                <w:color w:val="auto"/>
              </w:rPr>
              <w:t>水位、pH、Cl-、SO</w:t>
            </w:r>
            <w:r>
              <w:rPr>
                <w:color w:val="auto"/>
                <w:vertAlign w:val="subscript"/>
              </w:rPr>
              <w:t>4</w:t>
            </w:r>
            <w:r>
              <w:rPr>
                <w:color w:val="auto"/>
                <w:vertAlign w:val="superscript"/>
              </w:rPr>
              <w:t>2-</w:t>
            </w:r>
            <w:r>
              <w:rPr>
                <w:color w:val="auto"/>
              </w:rPr>
              <w:t>、HCO</w:t>
            </w:r>
            <w:r>
              <w:rPr>
                <w:color w:val="auto"/>
                <w:vertAlign w:val="subscript"/>
              </w:rPr>
              <w:t>3</w:t>
            </w:r>
            <w:r>
              <w:rPr>
                <w:color w:val="auto"/>
                <w:vertAlign w:val="superscript"/>
              </w:rPr>
              <w:t>-</w:t>
            </w:r>
            <w:r>
              <w:rPr>
                <w:color w:val="auto"/>
              </w:rPr>
              <w:t>、Na</w:t>
            </w:r>
            <w:r>
              <w:rPr>
                <w:color w:val="auto"/>
                <w:vertAlign w:val="superscript"/>
              </w:rPr>
              <w:t>+</w:t>
            </w:r>
            <w:r>
              <w:rPr>
                <w:color w:val="auto"/>
              </w:rPr>
              <w:t>、K</w:t>
            </w:r>
            <w:r>
              <w:rPr>
                <w:color w:val="auto"/>
                <w:vertAlign w:val="superscript"/>
              </w:rPr>
              <w:t>+</w:t>
            </w:r>
            <w:r>
              <w:rPr>
                <w:color w:val="auto"/>
              </w:rPr>
              <w:t>、Ca</w:t>
            </w:r>
            <w:r>
              <w:rPr>
                <w:color w:val="auto"/>
                <w:vertAlign w:val="superscript"/>
              </w:rPr>
              <w:t>2+</w:t>
            </w:r>
            <w:r>
              <w:rPr>
                <w:color w:val="auto"/>
              </w:rPr>
              <w:t>、Mg</w:t>
            </w:r>
            <w:r>
              <w:rPr>
                <w:color w:val="auto"/>
                <w:vertAlign w:val="superscript"/>
              </w:rPr>
              <w:t>2+</w:t>
            </w:r>
          </w:p>
        </w:tc>
        <w:tc>
          <w:tcPr>
            <w:tcW w:w="339" w:type="pct"/>
            <w:vMerge w:val="restart"/>
            <w:tcBorders>
              <w:tl2br w:val="nil"/>
              <w:tr2bl w:val="nil"/>
            </w:tcBorders>
            <w:vAlign w:val="center"/>
          </w:tcPr>
          <w:p w14:paraId="544E95BF">
            <w:pPr>
              <w:pStyle w:val="16"/>
              <w:bidi w:val="0"/>
              <w:rPr>
                <w:color w:val="auto"/>
              </w:rPr>
            </w:pPr>
            <w:r>
              <w:rPr>
                <w:color w:val="auto"/>
              </w:rPr>
              <w:t>每季度1次</w:t>
            </w:r>
          </w:p>
        </w:tc>
        <w:tc>
          <w:tcPr>
            <w:tcW w:w="424" w:type="pct"/>
            <w:vMerge w:val="restart"/>
            <w:tcBorders>
              <w:tl2br w:val="nil"/>
              <w:tr2bl w:val="nil"/>
            </w:tcBorders>
            <w:vAlign w:val="center"/>
          </w:tcPr>
          <w:p w14:paraId="0A9933FE">
            <w:pPr>
              <w:pStyle w:val="16"/>
              <w:bidi w:val="0"/>
              <w:rPr>
                <w:color w:val="auto"/>
              </w:rPr>
            </w:pPr>
            <w:r>
              <w:rPr>
                <w:color w:val="auto"/>
              </w:rPr>
              <w:t>pH、CODmn、</w:t>
            </w:r>
            <w:r>
              <w:rPr>
                <w:rFonts w:hint="eastAsia"/>
                <w:color w:val="auto"/>
              </w:rPr>
              <w:t>氨氮、总磷、氯化物、硫酸盐、甲醛、石油类等</w:t>
            </w:r>
          </w:p>
        </w:tc>
        <w:tc>
          <w:tcPr>
            <w:tcW w:w="404" w:type="pct"/>
            <w:tcBorders>
              <w:tl2br w:val="nil"/>
              <w:tr2bl w:val="nil"/>
            </w:tcBorders>
            <w:vAlign w:val="center"/>
          </w:tcPr>
          <w:p w14:paraId="2F65239F">
            <w:pPr>
              <w:pStyle w:val="16"/>
              <w:bidi w:val="0"/>
              <w:rPr>
                <w:color w:val="auto"/>
              </w:rPr>
            </w:pPr>
            <w:r>
              <w:rPr>
                <w:color w:val="auto"/>
              </w:rPr>
              <w:t>每年1次</w:t>
            </w:r>
          </w:p>
        </w:tc>
      </w:tr>
      <w:tr w14:paraId="18A4FC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183" w:type="pct"/>
            <w:vMerge w:val="continue"/>
            <w:tcBorders>
              <w:tl2br w:val="nil"/>
              <w:tr2bl w:val="nil"/>
            </w:tcBorders>
            <w:vAlign w:val="center"/>
          </w:tcPr>
          <w:p w14:paraId="2A831C8D">
            <w:pPr>
              <w:pStyle w:val="16"/>
              <w:bidi w:val="0"/>
              <w:rPr>
                <w:color w:val="auto"/>
              </w:rPr>
            </w:pPr>
          </w:p>
        </w:tc>
        <w:tc>
          <w:tcPr>
            <w:tcW w:w="232" w:type="pct"/>
            <w:tcBorders>
              <w:tl2br w:val="nil"/>
              <w:tr2bl w:val="nil"/>
            </w:tcBorders>
            <w:vAlign w:val="center"/>
          </w:tcPr>
          <w:p w14:paraId="76E53CC6">
            <w:pPr>
              <w:pStyle w:val="16"/>
              <w:bidi w:val="0"/>
              <w:rPr>
                <w:color w:val="auto"/>
              </w:rPr>
            </w:pPr>
            <w:r>
              <w:rPr>
                <w:color w:val="auto"/>
              </w:rPr>
              <w:t>JC2</w:t>
            </w:r>
          </w:p>
        </w:tc>
        <w:tc>
          <w:tcPr>
            <w:tcW w:w="532" w:type="pct"/>
            <w:tcBorders>
              <w:tl2br w:val="nil"/>
              <w:tr2bl w:val="nil"/>
            </w:tcBorders>
            <w:vAlign w:val="center"/>
          </w:tcPr>
          <w:p w14:paraId="52C855D8">
            <w:pPr>
              <w:pStyle w:val="16"/>
              <w:bidi w:val="0"/>
              <w:rPr>
                <w:color w:val="auto"/>
              </w:rPr>
            </w:pPr>
            <w:r>
              <w:rPr>
                <w:rFonts w:hint="eastAsia"/>
                <w:color w:val="auto"/>
              </w:rPr>
              <w:t>下游</w:t>
            </w:r>
            <w:r>
              <w:rPr>
                <w:color w:val="auto"/>
              </w:rPr>
              <w:t>污染监测井</w:t>
            </w:r>
          </w:p>
        </w:tc>
        <w:tc>
          <w:tcPr>
            <w:tcW w:w="847" w:type="pct"/>
            <w:tcBorders>
              <w:tl2br w:val="nil"/>
              <w:tr2bl w:val="nil"/>
            </w:tcBorders>
            <w:vAlign w:val="center"/>
          </w:tcPr>
          <w:p w14:paraId="56F38C33">
            <w:pPr>
              <w:pStyle w:val="16"/>
              <w:bidi w:val="0"/>
              <w:rPr>
                <w:color w:val="auto"/>
              </w:rPr>
            </w:pPr>
            <w:r>
              <w:rPr>
                <w:rFonts w:hint="eastAsia"/>
                <w:color w:val="auto"/>
                <w:lang w:eastAsia="zh-CN"/>
              </w:rPr>
              <w:t>污水处理厂</w:t>
            </w:r>
            <w:r>
              <w:rPr>
                <w:rFonts w:hint="eastAsia"/>
                <w:color w:val="auto"/>
              </w:rPr>
              <w:t>南侧</w:t>
            </w:r>
            <w:r>
              <w:rPr>
                <w:color w:val="auto"/>
              </w:rPr>
              <w:t>地下水下游边界</w:t>
            </w:r>
            <w:r>
              <w:rPr>
                <w:rFonts w:hint="eastAsia"/>
                <w:color w:val="auto"/>
              </w:rPr>
              <w:t>处</w:t>
            </w:r>
          </w:p>
        </w:tc>
        <w:tc>
          <w:tcPr>
            <w:tcW w:w="679" w:type="pct"/>
            <w:tcBorders>
              <w:tl2br w:val="nil"/>
              <w:tr2bl w:val="nil"/>
            </w:tcBorders>
            <w:vAlign w:val="center"/>
          </w:tcPr>
          <w:p w14:paraId="5008B026">
            <w:pPr>
              <w:pStyle w:val="16"/>
              <w:bidi w:val="0"/>
              <w:rPr>
                <w:color w:val="auto"/>
              </w:rPr>
            </w:pPr>
            <w:r>
              <w:rPr>
                <w:color w:val="auto"/>
              </w:rPr>
              <w:t>N 31.75268</w:t>
            </w:r>
            <w:r>
              <w:rPr>
                <w:rFonts w:hint="eastAsia"/>
                <w:color w:val="auto"/>
              </w:rPr>
              <w:t>8</w:t>
            </w:r>
          </w:p>
          <w:p w14:paraId="2B91593C">
            <w:pPr>
              <w:pStyle w:val="16"/>
              <w:bidi w:val="0"/>
              <w:rPr>
                <w:color w:val="auto"/>
              </w:rPr>
            </w:pPr>
            <w:r>
              <w:rPr>
                <w:color w:val="auto"/>
              </w:rPr>
              <w:t>E106.890740</w:t>
            </w:r>
          </w:p>
        </w:tc>
        <w:tc>
          <w:tcPr>
            <w:tcW w:w="847" w:type="pct"/>
            <w:vMerge w:val="restart"/>
            <w:tcBorders>
              <w:tl2br w:val="nil"/>
              <w:tr2bl w:val="nil"/>
            </w:tcBorders>
            <w:vAlign w:val="center"/>
          </w:tcPr>
          <w:p w14:paraId="34036630">
            <w:pPr>
              <w:pStyle w:val="16"/>
              <w:bidi w:val="0"/>
              <w:rPr>
                <w:color w:val="auto"/>
              </w:rPr>
            </w:pPr>
            <w:r>
              <w:rPr>
                <w:color w:val="auto"/>
              </w:rPr>
              <w:t>新增监测井要求采用孔径不小于130mm；终孔深度</w:t>
            </w:r>
            <w:r>
              <w:rPr>
                <w:rFonts w:hint="eastAsia"/>
                <w:color w:val="auto"/>
              </w:rPr>
              <w:t>2</w:t>
            </w:r>
            <w:r>
              <w:rPr>
                <w:color w:val="auto"/>
              </w:rPr>
              <w:t>0m；采用PVC管护壁填砾成井</w:t>
            </w:r>
            <w:r>
              <w:rPr>
                <w:rFonts w:hint="eastAsia"/>
                <w:color w:val="auto"/>
              </w:rPr>
              <w:t>。</w:t>
            </w:r>
          </w:p>
        </w:tc>
        <w:tc>
          <w:tcPr>
            <w:tcW w:w="507" w:type="pct"/>
            <w:vMerge w:val="continue"/>
            <w:tcBorders>
              <w:tl2br w:val="nil"/>
              <w:tr2bl w:val="nil"/>
            </w:tcBorders>
            <w:vAlign w:val="center"/>
          </w:tcPr>
          <w:p w14:paraId="1FFB5102">
            <w:pPr>
              <w:pStyle w:val="16"/>
              <w:bidi w:val="0"/>
              <w:rPr>
                <w:color w:val="auto"/>
              </w:rPr>
            </w:pPr>
          </w:p>
        </w:tc>
        <w:tc>
          <w:tcPr>
            <w:tcW w:w="339" w:type="pct"/>
            <w:vMerge w:val="continue"/>
            <w:tcBorders>
              <w:tl2br w:val="nil"/>
              <w:tr2bl w:val="nil"/>
            </w:tcBorders>
            <w:vAlign w:val="center"/>
          </w:tcPr>
          <w:p w14:paraId="3AFBB839">
            <w:pPr>
              <w:pStyle w:val="16"/>
              <w:bidi w:val="0"/>
              <w:rPr>
                <w:color w:val="auto"/>
              </w:rPr>
            </w:pPr>
          </w:p>
        </w:tc>
        <w:tc>
          <w:tcPr>
            <w:tcW w:w="424" w:type="pct"/>
            <w:vMerge w:val="continue"/>
            <w:tcBorders>
              <w:tl2br w:val="nil"/>
              <w:tr2bl w:val="nil"/>
            </w:tcBorders>
            <w:vAlign w:val="center"/>
          </w:tcPr>
          <w:p w14:paraId="29617A39">
            <w:pPr>
              <w:pStyle w:val="16"/>
              <w:bidi w:val="0"/>
              <w:rPr>
                <w:color w:val="auto"/>
              </w:rPr>
            </w:pPr>
          </w:p>
        </w:tc>
        <w:tc>
          <w:tcPr>
            <w:tcW w:w="404" w:type="pct"/>
            <w:vMerge w:val="restart"/>
            <w:tcBorders>
              <w:tl2br w:val="nil"/>
              <w:tr2bl w:val="nil"/>
            </w:tcBorders>
            <w:vAlign w:val="center"/>
          </w:tcPr>
          <w:p w14:paraId="079A38CB">
            <w:pPr>
              <w:pStyle w:val="16"/>
              <w:bidi w:val="0"/>
              <w:rPr>
                <w:color w:val="auto"/>
              </w:rPr>
            </w:pPr>
            <w:r>
              <w:rPr>
                <w:color w:val="auto"/>
              </w:rPr>
              <w:t>每</w:t>
            </w:r>
            <w:r>
              <w:rPr>
                <w:rFonts w:hint="eastAsia"/>
                <w:color w:val="auto"/>
              </w:rPr>
              <w:t>季度</w:t>
            </w:r>
            <w:r>
              <w:rPr>
                <w:color w:val="auto"/>
              </w:rPr>
              <w:t>1次，事故状态时，加密频次。</w:t>
            </w:r>
          </w:p>
        </w:tc>
      </w:tr>
      <w:tr w14:paraId="1AA834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183" w:type="pct"/>
            <w:vMerge w:val="continue"/>
            <w:tcBorders>
              <w:tl2br w:val="nil"/>
              <w:tr2bl w:val="nil"/>
            </w:tcBorders>
            <w:vAlign w:val="center"/>
          </w:tcPr>
          <w:p w14:paraId="77A9565A">
            <w:pPr>
              <w:pStyle w:val="16"/>
              <w:bidi w:val="0"/>
              <w:rPr>
                <w:color w:val="auto"/>
              </w:rPr>
            </w:pPr>
          </w:p>
        </w:tc>
        <w:tc>
          <w:tcPr>
            <w:tcW w:w="232" w:type="pct"/>
            <w:tcBorders>
              <w:tl2br w:val="nil"/>
              <w:tr2bl w:val="nil"/>
            </w:tcBorders>
            <w:vAlign w:val="center"/>
          </w:tcPr>
          <w:p w14:paraId="0A3FC6EB">
            <w:pPr>
              <w:pStyle w:val="16"/>
              <w:bidi w:val="0"/>
              <w:rPr>
                <w:color w:val="auto"/>
              </w:rPr>
            </w:pPr>
            <w:r>
              <w:rPr>
                <w:color w:val="auto"/>
              </w:rPr>
              <w:t>JC3</w:t>
            </w:r>
          </w:p>
        </w:tc>
        <w:tc>
          <w:tcPr>
            <w:tcW w:w="532" w:type="pct"/>
            <w:tcBorders>
              <w:tl2br w:val="nil"/>
              <w:tr2bl w:val="nil"/>
            </w:tcBorders>
            <w:vAlign w:val="center"/>
          </w:tcPr>
          <w:p w14:paraId="70CE1145">
            <w:pPr>
              <w:pStyle w:val="16"/>
              <w:bidi w:val="0"/>
              <w:rPr>
                <w:color w:val="auto"/>
              </w:rPr>
            </w:pPr>
            <w:r>
              <w:rPr>
                <w:rFonts w:hint="eastAsia"/>
                <w:color w:val="auto"/>
              </w:rPr>
              <w:t>重点源</w:t>
            </w:r>
            <w:r>
              <w:rPr>
                <w:color w:val="auto"/>
              </w:rPr>
              <w:t>污染监测井</w:t>
            </w:r>
          </w:p>
        </w:tc>
        <w:tc>
          <w:tcPr>
            <w:tcW w:w="847" w:type="pct"/>
            <w:tcBorders>
              <w:tl2br w:val="nil"/>
              <w:tr2bl w:val="nil"/>
            </w:tcBorders>
            <w:vAlign w:val="center"/>
          </w:tcPr>
          <w:p w14:paraId="3A4E9F7B">
            <w:pPr>
              <w:pStyle w:val="16"/>
              <w:bidi w:val="0"/>
              <w:rPr>
                <w:color w:val="auto"/>
              </w:rPr>
            </w:pPr>
            <w:r>
              <w:rPr>
                <w:rFonts w:hint="eastAsia"/>
                <w:color w:val="auto"/>
              </w:rPr>
              <w:t>调节池南侧</w:t>
            </w:r>
            <w:r>
              <w:rPr>
                <w:color w:val="auto"/>
              </w:rPr>
              <w:t>地下水下游边界</w:t>
            </w:r>
          </w:p>
        </w:tc>
        <w:tc>
          <w:tcPr>
            <w:tcW w:w="679" w:type="pct"/>
            <w:tcBorders>
              <w:tl2br w:val="nil"/>
              <w:tr2bl w:val="nil"/>
            </w:tcBorders>
            <w:vAlign w:val="center"/>
          </w:tcPr>
          <w:p w14:paraId="22103F9D">
            <w:pPr>
              <w:pStyle w:val="16"/>
              <w:bidi w:val="0"/>
              <w:rPr>
                <w:color w:val="auto"/>
              </w:rPr>
            </w:pPr>
            <w:r>
              <w:rPr>
                <w:color w:val="auto"/>
              </w:rPr>
              <w:t>N 31.753406</w:t>
            </w:r>
          </w:p>
          <w:p w14:paraId="544F7F4D">
            <w:pPr>
              <w:pStyle w:val="16"/>
              <w:bidi w:val="0"/>
              <w:rPr>
                <w:color w:val="auto"/>
              </w:rPr>
            </w:pPr>
            <w:r>
              <w:rPr>
                <w:color w:val="auto"/>
              </w:rPr>
              <w:t>E106.89046</w:t>
            </w:r>
            <w:r>
              <w:rPr>
                <w:rFonts w:hint="eastAsia"/>
                <w:color w:val="auto"/>
              </w:rPr>
              <w:t>2</w:t>
            </w:r>
          </w:p>
        </w:tc>
        <w:tc>
          <w:tcPr>
            <w:tcW w:w="847" w:type="pct"/>
            <w:vMerge w:val="continue"/>
            <w:tcBorders>
              <w:tl2br w:val="nil"/>
              <w:tr2bl w:val="nil"/>
            </w:tcBorders>
            <w:vAlign w:val="center"/>
          </w:tcPr>
          <w:p w14:paraId="008DE351">
            <w:pPr>
              <w:pStyle w:val="16"/>
              <w:bidi w:val="0"/>
              <w:rPr>
                <w:color w:val="auto"/>
              </w:rPr>
            </w:pPr>
          </w:p>
        </w:tc>
        <w:tc>
          <w:tcPr>
            <w:tcW w:w="507" w:type="pct"/>
            <w:vMerge w:val="continue"/>
            <w:tcBorders>
              <w:tl2br w:val="nil"/>
              <w:tr2bl w:val="nil"/>
            </w:tcBorders>
            <w:vAlign w:val="center"/>
          </w:tcPr>
          <w:p w14:paraId="74B2D056">
            <w:pPr>
              <w:pStyle w:val="16"/>
              <w:bidi w:val="0"/>
              <w:rPr>
                <w:color w:val="auto"/>
              </w:rPr>
            </w:pPr>
          </w:p>
        </w:tc>
        <w:tc>
          <w:tcPr>
            <w:tcW w:w="339" w:type="pct"/>
            <w:vMerge w:val="continue"/>
            <w:tcBorders>
              <w:tl2br w:val="nil"/>
              <w:tr2bl w:val="nil"/>
            </w:tcBorders>
            <w:vAlign w:val="center"/>
          </w:tcPr>
          <w:p w14:paraId="7B786C44">
            <w:pPr>
              <w:pStyle w:val="16"/>
              <w:bidi w:val="0"/>
              <w:rPr>
                <w:color w:val="auto"/>
              </w:rPr>
            </w:pPr>
          </w:p>
        </w:tc>
        <w:tc>
          <w:tcPr>
            <w:tcW w:w="424" w:type="pct"/>
            <w:vMerge w:val="continue"/>
            <w:tcBorders>
              <w:tl2br w:val="nil"/>
              <w:tr2bl w:val="nil"/>
            </w:tcBorders>
            <w:vAlign w:val="center"/>
          </w:tcPr>
          <w:p w14:paraId="7774541B">
            <w:pPr>
              <w:pStyle w:val="16"/>
              <w:bidi w:val="0"/>
              <w:rPr>
                <w:color w:val="auto"/>
              </w:rPr>
            </w:pPr>
          </w:p>
        </w:tc>
        <w:tc>
          <w:tcPr>
            <w:tcW w:w="404" w:type="pct"/>
            <w:vMerge w:val="continue"/>
            <w:tcBorders>
              <w:tl2br w:val="nil"/>
              <w:tr2bl w:val="nil"/>
            </w:tcBorders>
            <w:vAlign w:val="center"/>
          </w:tcPr>
          <w:p w14:paraId="2CD5DF0B">
            <w:pPr>
              <w:pStyle w:val="16"/>
              <w:bidi w:val="0"/>
              <w:rPr>
                <w:color w:val="auto"/>
              </w:rPr>
            </w:pPr>
          </w:p>
        </w:tc>
      </w:tr>
    </w:tbl>
    <w:p w14:paraId="5EC93DF3">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环保管理人员的培训计划</w:t>
      </w:r>
    </w:p>
    <w:p w14:paraId="78718647">
      <w:pPr>
        <w:pageBreakBefore w:val="0"/>
        <w:wordWrap/>
        <w:bidi w:val="0"/>
        <w:adjustRightInd/>
        <w:snapToGrid/>
        <w:ind w:firstLine="480"/>
        <w:jc w:val="left"/>
        <w:rPr>
          <w:color w:val="auto"/>
          <w:szCs w:val="22"/>
        </w:rPr>
      </w:pPr>
      <w:r>
        <w:rPr>
          <w:color w:val="auto"/>
          <w:szCs w:val="22"/>
        </w:rPr>
        <w:t>对从事环保工作的专职人员，进行上岗前和日常的专业培训，使其有一定的环境保护专业知识，要求其了解企业运行产生的废水、废气、噪声等污染的治理技术，确保废水、废气、噪声等污染物的达标排放和处理设备的正常运转。加强对从事环保工作的专职人员的环境保护</w:t>
      </w:r>
      <w:r>
        <w:rPr>
          <w:rFonts w:hint="eastAsia"/>
          <w:color w:val="auto"/>
          <w:szCs w:val="22"/>
          <w:lang w:eastAsia="zh-CN"/>
        </w:rPr>
        <w:t>法律法规</w:t>
      </w:r>
      <w:r>
        <w:rPr>
          <w:color w:val="auto"/>
          <w:szCs w:val="22"/>
        </w:rPr>
        <w:t>教育，提高工作责任感，杜绝人为因素造成的环保事故发生。</w:t>
      </w:r>
    </w:p>
    <w:p w14:paraId="1233B7CE">
      <w:pPr>
        <w:pStyle w:val="4"/>
        <w:pageBreakBefore w:val="0"/>
        <w:wordWrap/>
        <w:bidi w:val="0"/>
        <w:adjustRightInd/>
        <w:snapToGrid/>
        <w:rPr>
          <w:rFonts w:ascii="Times New Roman" w:hAnsi="Times New Roman" w:eastAsia="宋体"/>
          <w:color w:val="auto"/>
        </w:rPr>
      </w:pPr>
      <w:bookmarkStart w:id="334" w:name="_Toc1073"/>
      <w:bookmarkStart w:id="335" w:name="_Toc437548695"/>
      <w:bookmarkStart w:id="336" w:name="_Toc374627969"/>
      <w:bookmarkStart w:id="337" w:name="_Toc362082820"/>
      <w:bookmarkStart w:id="338" w:name="_Toc21693"/>
      <w:bookmarkStart w:id="339" w:name="_Toc505087385"/>
      <w:r>
        <w:rPr>
          <w:rFonts w:hint="eastAsia" w:ascii="Times New Roman" w:hAnsi="Times New Roman" w:eastAsia="宋体"/>
          <w:color w:val="auto"/>
        </w:rPr>
        <w:t xml:space="preserve"> </w:t>
      </w:r>
      <w:bookmarkStart w:id="340" w:name="_Toc27589"/>
      <w:r>
        <w:rPr>
          <w:rFonts w:ascii="Times New Roman" w:hAnsi="Times New Roman" w:eastAsia="宋体"/>
          <w:color w:val="auto"/>
        </w:rPr>
        <w:t>工程</w:t>
      </w:r>
      <w:r>
        <w:rPr>
          <w:rFonts w:hint="eastAsia" w:ascii="Times New Roman" w:hAnsi="Times New Roman" w:eastAsia="宋体"/>
          <w:color w:val="auto"/>
          <w:lang w:eastAsia="zh-CN"/>
        </w:rPr>
        <w:t>“</w:t>
      </w:r>
      <w:r>
        <w:rPr>
          <w:rFonts w:ascii="Times New Roman" w:hAnsi="Times New Roman" w:eastAsia="宋体"/>
          <w:color w:val="auto"/>
        </w:rPr>
        <w:t>三同时</w:t>
      </w:r>
      <w:r>
        <w:rPr>
          <w:rFonts w:hint="eastAsia" w:ascii="Times New Roman" w:hAnsi="Times New Roman" w:eastAsia="宋体"/>
          <w:color w:val="auto"/>
          <w:lang w:eastAsia="zh-CN"/>
        </w:rPr>
        <w:t>”</w:t>
      </w:r>
      <w:r>
        <w:rPr>
          <w:rFonts w:ascii="Times New Roman" w:hAnsi="Times New Roman" w:eastAsia="宋体"/>
          <w:color w:val="auto"/>
        </w:rPr>
        <w:t>验收一览表</w:t>
      </w:r>
      <w:bookmarkEnd w:id="334"/>
      <w:bookmarkEnd w:id="335"/>
      <w:bookmarkEnd w:id="336"/>
      <w:bookmarkEnd w:id="337"/>
      <w:bookmarkEnd w:id="338"/>
      <w:bookmarkEnd w:id="339"/>
      <w:bookmarkEnd w:id="340"/>
    </w:p>
    <w:p w14:paraId="73A3FF7B">
      <w:pPr>
        <w:bidi w:val="0"/>
        <w:rPr>
          <w:color w:val="auto"/>
        </w:rPr>
      </w:pPr>
      <w:r>
        <w:rPr>
          <w:color w:val="auto"/>
        </w:rPr>
        <w:t>建设项目投产试运行后，应进行</w:t>
      </w:r>
      <w:r>
        <w:rPr>
          <w:rFonts w:hint="eastAsia"/>
          <w:color w:val="auto"/>
          <w:lang w:eastAsia="zh-CN"/>
        </w:rPr>
        <w:t>“</w:t>
      </w:r>
      <w:r>
        <w:rPr>
          <w:color w:val="auto"/>
        </w:rPr>
        <w:t>三同时</w:t>
      </w:r>
      <w:r>
        <w:rPr>
          <w:rFonts w:hint="eastAsia"/>
          <w:color w:val="auto"/>
          <w:lang w:eastAsia="zh-CN"/>
        </w:rPr>
        <w:t>”</w:t>
      </w:r>
      <w:r>
        <w:rPr>
          <w:color w:val="auto"/>
        </w:rPr>
        <w:t>验收，</w:t>
      </w:r>
      <w:r>
        <w:rPr>
          <w:rFonts w:hint="eastAsia"/>
          <w:color w:val="auto"/>
          <w:lang w:eastAsia="zh-CN"/>
        </w:rPr>
        <w:t>“</w:t>
      </w:r>
      <w:r>
        <w:rPr>
          <w:color w:val="auto"/>
        </w:rPr>
        <w:t>三同时</w:t>
      </w:r>
      <w:r>
        <w:rPr>
          <w:rFonts w:hint="eastAsia"/>
          <w:color w:val="auto"/>
          <w:lang w:eastAsia="zh-CN"/>
        </w:rPr>
        <w:t>”</w:t>
      </w:r>
      <w:r>
        <w:rPr>
          <w:color w:val="auto"/>
        </w:rPr>
        <w:t>验收内容应严格按照建设项目的组成确定，包括监测内容和管理内容两部分，详见</w:t>
      </w:r>
      <w:r>
        <w:rPr>
          <w:rFonts w:hint="eastAsia"/>
          <w:color w:val="auto"/>
          <w:lang w:val="en-US" w:eastAsia="zh-CN"/>
        </w:rPr>
        <w:t>下表</w:t>
      </w:r>
      <w:r>
        <w:rPr>
          <w:color w:val="auto"/>
        </w:rPr>
        <w:t>。</w:t>
      </w:r>
    </w:p>
    <w:bookmarkEnd w:id="330"/>
    <w:bookmarkEnd w:id="331"/>
    <w:bookmarkEnd w:id="332"/>
    <w:p w14:paraId="07C8B127">
      <w:pPr>
        <w:pStyle w:val="19"/>
        <w:numPr>
          <w:ilvl w:val="0"/>
          <w:numId w:val="40"/>
        </w:numPr>
        <w:bidi w:val="0"/>
        <w:ind w:left="0" w:leftChars="0" w:firstLine="0" w:firstLineChars="0"/>
        <w:rPr>
          <w:color w:val="auto"/>
        </w:rPr>
      </w:pPr>
      <w:bookmarkStart w:id="341" w:name="_Toc3567"/>
      <w:bookmarkStart w:id="342" w:name="_Toc374627866"/>
      <w:r>
        <w:rPr>
          <w:rFonts w:hint="eastAsia"/>
          <w:color w:val="auto"/>
          <w:lang w:eastAsia="zh-CN"/>
        </w:rPr>
        <w:t>“</w:t>
      </w:r>
      <w:r>
        <w:rPr>
          <w:color w:val="auto"/>
        </w:rPr>
        <w:t>三同时</w:t>
      </w:r>
      <w:r>
        <w:rPr>
          <w:rFonts w:hint="eastAsia"/>
          <w:color w:val="auto"/>
          <w:lang w:eastAsia="zh-CN"/>
        </w:rPr>
        <w:t>”</w:t>
      </w:r>
      <w:r>
        <w:rPr>
          <w:color w:val="auto"/>
        </w:rPr>
        <w:t>验收项目一览表</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648"/>
        <w:gridCol w:w="579"/>
        <w:gridCol w:w="1492"/>
        <w:gridCol w:w="3587"/>
        <w:gridCol w:w="2538"/>
      </w:tblGrid>
      <w:tr w14:paraId="6DF9B5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tcBorders>
              <w:tl2br w:val="nil"/>
              <w:tr2bl w:val="nil"/>
            </w:tcBorders>
            <w:noWrap w:val="0"/>
            <w:tcMar>
              <w:left w:w="57" w:type="dxa"/>
              <w:right w:w="57" w:type="dxa"/>
            </w:tcMar>
            <w:vAlign w:val="center"/>
          </w:tcPr>
          <w:p w14:paraId="1101DC7A">
            <w:pPr>
              <w:pageBreakBefore w:val="0"/>
              <w:wordWrap/>
              <w:bidi w:val="0"/>
              <w:adjustRightInd/>
              <w:snapToGrid/>
              <w:spacing w:line="240" w:lineRule="auto"/>
              <w:ind w:firstLine="0" w:firstLineChars="0"/>
              <w:jc w:val="center"/>
              <w:textAlignment w:val="baseline"/>
              <w:rPr>
                <w:b/>
                <w:bCs/>
                <w:color w:val="auto"/>
                <w:kern w:val="0"/>
                <w:sz w:val="21"/>
                <w:szCs w:val="21"/>
              </w:rPr>
            </w:pPr>
            <w:r>
              <w:rPr>
                <w:b/>
                <w:bCs/>
                <w:color w:val="auto"/>
                <w:kern w:val="0"/>
                <w:sz w:val="21"/>
                <w:szCs w:val="21"/>
              </w:rPr>
              <w:t>环境</w:t>
            </w:r>
          </w:p>
          <w:p w14:paraId="11F6E5FB">
            <w:pPr>
              <w:pageBreakBefore w:val="0"/>
              <w:wordWrap/>
              <w:bidi w:val="0"/>
              <w:adjustRightInd/>
              <w:snapToGrid/>
              <w:spacing w:line="240" w:lineRule="auto"/>
              <w:ind w:firstLine="0" w:firstLineChars="0"/>
              <w:jc w:val="center"/>
              <w:textAlignment w:val="baseline"/>
              <w:rPr>
                <w:b/>
                <w:bCs/>
                <w:color w:val="auto"/>
                <w:kern w:val="0"/>
                <w:sz w:val="21"/>
                <w:szCs w:val="21"/>
              </w:rPr>
            </w:pPr>
            <w:r>
              <w:rPr>
                <w:b/>
                <w:bCs/>
                <w:color w:val="auto"/>
                <w:kern w:val="0"/>
                <w:sz w:val="21"/>
                <w:szCs w:val="21"/>
              </w:rPr>
              <w:t>类别</w:t>
            </w:r>
          </w:p>
        </w:tc>
        <w:tc>
          <w:tcPr>
            <w:tcW w:w="327" w:type="pct"/>
            <w:tcBorders>
              <w:tl2br w:val="nil"/>
              <w:tr2bl w:val="nil"/>
            </w:tcBorders>
            <w:noWrap w:val="0"/>
            <w:tcMar>
              <w:left w:w="57" w:type="dxa"/>
              <w:right w:w="57" w:type="dxa"/>
            </w:tcMar>
            <w:vAlign w:val="center"/>
          </w:tcPr>
          <w:p w14:paraId="51F0BA59">
            <w:pPr>
              <w:pageBreakBefore w:val="0"/>
              <w:wordWrap/>
              <w:bidi w:val="0"/>
              <w:adjustRightInd/>
              <w:snapToGrid/>
              <w:spacing w:line="240" w:lineRule="auto"/>
              <w:ind w:firstLine="0" w:firstLineChars="0"/>
              <w:jc w:val="center"/>
              <w:textAlignment w:val="baseline"/>
              <w:rPr>
                <w:b/>
                <w:bCs/>
                <w:color w:val="auto"/>
                <w:kern w:val="0"/>
                <w:sz w:val="21"/>
                <w:szCs w:val="21"/>
              </w:rPr>
            </w:pPr>
            <w:r>
              <w:rPr>
                <w:b/>
                <w:bCs/>
                <w:color w:val="auto"/>
                <w:kern w:val="0"/>
                <w:sz w:val="21"/>
                <w:szCs w:val="21"/>
              </w:rPr>
              <w:t>时期</w:t>
            </w:r>
          </w:p>
        </w:tc>
        <w:tc>
          <w:tcPr>
            <w:tcW w:w="843" w:type="pct"/>
            <w:tcBorders>
              <w:tl2br w:val="nil"/>
              <w:tr2bl w:val="nil"/>
            </w:tcBorders>
            <w:noWrap w:val="0"/>
            <w:tcMar>
              <w:left w:w="57" w:type="dxa"/>
              <w:right w:w="57" w:type="dxa"/>
            </w:tcMar>
            <w:vAlign w:val="center"/>
          </w:tcPr>
          <w:p w14:paraId="050525E4">
            <w:pPr>
              <w:pageBreakBefore w:val="0"/>
              <w:wordWrap/>
              <w:bidi w:val="0"/>
              <w:adjustRightInd/>
              <w:snapToGrid/>
              <w:spacing w:line="240" w:lineRule="auto"/>
              <w:ind w:firstLine="0" w:firstLineChars="0"/>
              <w:jc w:val="center"/>
              <w:textAlignment w:val="baseline"/>
              <w:rPr>
                <w:b/>
                <w:bCs/>
                <w:color w:val="auto"/>
                <w:kern w:val="0"/>
                <w:sz w:val="21"/>
                <w:szCs w:val="21"/>
              </w:rPr>
            </w:pPr>
            <w:r>
              <w:rPr>
                <w:b/>
                <w:bCs/>
                <w:color w:val="auto"/>
                <w:kern w:val="0"/>
                <w:sz w:val="21"/>
                <w:szCs w:val="21"/>
              </w:rPr>
              <w:t>污染源</w:t>
            </w:r>
          </w:p>
        </w:tc>
        <w:tc>
          <w:tcPr>
            <w:tcW w:w="2027" w:type="pct"/>
            <w:tcBorders>
              <w:tl2br w:val="nil"/>
              <w:tr2bl w:val="nil"/>
            </w:tcBorders>
            <w:noWrap w:val="0"/>
            <w:tcMar>
              <w:left w:w="57" w:type="dxa"/>
              <w:right w:w="57" w:type="dxa"/>
            </w:tcMar>
            <w:vAlign w:val="center"/>
          </w:tcPr>
          <w:p w14:paraId="2C5D8306">
            <w:pPr>
              <w:pageBreakBefore w:val="0"/>
              <w:wordWrap/>
              <w:bidi w:val="0"/>
              <w:adjustRightInd/>
              <w:snapToGrid/>
              <w:spacing w:line="240" w:lineRule="auto"/>
              <w:ind w:firstLine="0" w:firstLineChars="0"/>
              <w:jc w:val="center"/>
              <w:textAlignment w:val="baseline"/>
              <w:rPr>
                <w:b/>
                <w:bCs/>
                <w:color w:val="auto"/>
                <w:kern w:val="0"/>
                <w:sz w:val="21"/>
                <w:szCs w:val="21"/>
              </w:rPr>
            </w:pPr>
            <w:r>
              <w:rPr>
                <w:b/>
                <w:bCs/>
                <w:color w:val="auto"/>
                <w:kern w:val="0"/>
                <w:sz w:val="21"/>
                <w:szCs w:val="21"/>
              </w:rPr>
              <w:t>治理措施</w:t>
            </w:r>
          </w:p>
        </w:tc>
        <w:tc>
          <w:tcPr>
            <w:tcW w:w="1434" w:type="pct"/>
            <w:tcBorders>
              <w:tl2br w:val="nil"/>
              <w:tr2bl w:val="nil"/>
            </w:tcBorders>
            <w:noWrap w:val="0"/>
            <w:tcMar>
              <w:left w:w="57" w:type="dxa"/>
              <w:right w:w="57" w:type="dxa"/>
            </w:tcMar>
            <w:vAlign w:val="center"/>
          </w:tcPr>
          <w:p w14:paraId="70DA9439">
            <w:pPr>
              <w:pageBreakBefore w:val="0"/>
              <w:wordWrap/>
              <w:bidi w:val="0"/>
              <w:adjustRightInd/>
              <w:snapToGrid/>
              <w:spacing w:line="240" w:lineRule="auto"/>
              <w:ind w:firstLine="0" w:firstLineChars="0"/>
              <w:jc w:val="center"/>
              <w:textAlignment w:val="baseline"/>
              <w:rPr>
                <w:b/>
                <w:bCs/>
                <w:color w:val="auto"/>
                <w:kern w:val="0"/>
                <w:sz w:val="21"/>
                <w:szCs w:val="21"/>
              </w:rPr>
            </w:pPr>
            <w:r>
              <w:rPr>
                <w:b/>
                <w:bCs/>
                <w:color w:val="auto"/>
                <w:kern w:val="0"/>
                <w:sz w:val="21"/>
                <w:szCs w:val="21"/>
              </w:rPr>
              <w:t>验收要求</w:t>
            </w:r>
          </w:p>
        </w:tc>
      </w:tr>
      <w:tr w14:paraId="47A22C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restart"/>
            <w:tcBorders>
              <w:tl2br w:val="nil"/>
              <w:tr2bl w:val="nil"/>
            </w:tcBorders>
            <w:noWrap w:val="0"/>
            <w:tcMar>
              <w:left w:w="57" w:type="dxa"/>
              <w:right w:w="57" w:type="dxa"/>
            </w:tcMar>
            <w:vAlign w:val="center"/>
          </w:tcPr>
          <w:p w14:paraId="0AEE4A02">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地表水环境</w:t>
            </w:r>
          </w:p>
        </w:tc>
        <w:tc>
          <w:tcPr>
            <w:tcW w:w="327" w:type="pct"/>
            <w:vMerge w:val="restart"/>
            <w:tcBorders>
              <w:tl2br w:val="nil"/>
              <w:tr2bl w:val="nil"/>
            </w:tcBorders>
            <w:noWrap w:val="0"/>
            <w:tcMar>
              <w:left w:w="57" w:type="dxa"/>
              <w:right w:w="57" w:type="dxa"/>
            </w:tcMar>
            <w:vAlign w:val="center"/>
          </w:tcPr>
          <w:p w14:paraId="42B5316E">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施工期</w:t>
            </w:r>
          </w:p>
        </w:tc>
        <w:tc>
          <w:tcPr>
            <w:tcW w:w="843" w:type="pct"/>
            <w:tcBorders>
              <w:tl2br w:val="nil"/>
              <w:tr2bl w:val="nil"/>
            </w:tcBorders>
            <w:noWrap w:val="0"/>
            <w:tcMar>
              <w:left w:w="57" w:type="dxa"/>
              <w:right w:w="57" w:type="dxa"/>
            </w:tcMar>
            <w:vAlign w:val="center"/>
          </w:tcPr>
          <w:p w14:paraId="00DA9572">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施工废水</w:t>
            </w:r>
          </w:p>
        </w:tc>
        <w:tc>
          <w:tcPr>
            <w:tcW w:w="2027" w:type="pct"/>
            <w:tcBorders>
              <w:tl2br w:val="nil"/>
              <w:tr2bl w:val="nil"/>
            </w:tcBorders>
            <w:noWrap w:val="0"/>
            <w:tcMar>
              <w:left w:w="57" w:type="dxa"/>
              <w:right w:w="57" w:type="dxa"/>
            </w:tcMar>
            <w:vAlign w:val="center"/>
          </w:tcPr>
          <w:p w14:paraId="766DB4A2">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经沉淀池、隔油池处理后用于回用</w:t>
            </w:r>
          </w:p>
        </w:tc>
        <w:tc>
          <w:tcPr>
            <w:tcW w:w="1434" w:type="pct"/>
            <w:tcBorders>
              <w:tl2br w:val="nil"/>
              <w:tr2bl w:val="nil"/>
            </w:tcBorders>
            <w:noWrap w:val="0"/>
            <w:tcMar>
              <w:left w:w="57" w:type="dxa"/>
              <w:right w:w="57" w:type="dxa"/>
            </w:tcMar>
            <w:vAlign w:val="center"/>
          </w:tcPr>
          <w:p w14:paraId="2BBA2813">
            <w:pPr>
              <w:pageBreakBefore w:val="0"/>
              <w:wordWrap/>
              <w:bidi w:val="0"/>
              <w:adjustRightInd/>
              <w:snapToGrid/>
              <w:spacing w:line="240" w:lineRule="auto"/>
              <w:ind w:firstLine="0" w:firstLineChars="0"/>
              <w:jc w:val="center"/>
              <w:textAlignment w:val="baseline"/>
              <w:rPr>
                <w:color w:val="auto"/>
                <w:kern w:val="0"/>
                <w:sz w:val="21"/>
                <w:szCs w:val="21"/>
              </w:rPr>
            </w:pPr>
            <w:r>
              <w:rPr>
                <w:rFonts w:hint="eastAsia"/>
                <w:color w:val="auto"/>
                <w:kern w:val="0"/>
                <w:sz w:val="21"/>
                <w:szCs w:val="21"/>
                <w:lang w:eastAsia="zh-CN"/>
              </w:rPr>
              <w:t>“</w:t>
            </w:r>
            <w:r>
              <w:rPr>
                <w:color w:val="auto"/>
                <w:kern w:val="0"/>
                <w:sz w:val="21"/>
                <w:szCs w:val="21"/>
              </w:rPr>
              <w:t>零</w:t>
            </w:r>
            <w:r>
              <w:rPr>
                <w:rFonts w:hint="eastAsia"/>
                <w:color w:val="auto"/>
                <w:kern w:val="0"/>
                <w:sz w:val="21"/>
                <w:szCs w:val="21"/>
                <w:lang w:eastAsia="zh-CN"/>
              </w:rPr>
              <w:t>”</w:t>
            </w:r>
            <w:r>
              <w:rPr>
                <w:color w:val="auto"/>
                <w:kern w:val="0"/>
                <w:sz w:val="21"/>
                <w:szCs w:val="21"/>
              </w:rPr>
              <w:t>排放</w:t>
            </w:r>
          </w:p>
        </w:tc>
      </w:tr>
      <w:tr w14:paraId="72783D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6C794C39">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1D11706A">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69C417F8">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施工生活污水</w:t>
            </w:r>
          </w:p>
        </w:tc>
        <w:tc>
          <w:tcPr>
            <w:tcW w:w="2027" w:type="pct"/>
            <w:tcBorders>
              <w:tl2br w:val="nil"/>
              <w:tr2bl w:val="nil"/>
            </w:tcBorders>
            <w:noWrap w:val="0"/>
            <w:tcMar>
              <w:left w:w="57" w:type="dxa"/>
              <w:right w:w="57" w:type="dxa"/>
            </w:tcMar>
            <w:vAlign w:val="center"/>
          </w:tcPr>
          <w:p w14:paraId="38BEDDF2">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依托区域市政设施系统处理</w:t>
            </w:r>
          </w:p>
        </w:tc>
        <w:tc>
          <w:tcPr>
            <w:tcW w:w="1434" w:type="pct"/>
            <w:tcBorders>
              <w:tl2br w:val="nil"/>
              <w:tr2bl w:val="nil"/>
            </w:tcBorders>
            <w:noWrap w:val="0"/>
            <w:tcMar>
              <w:left w:w="57" w:type="dxa"/>
              <w:right w:w="57" w:type="dxa"/>
            </w:tcMar>
            <w:vAlign w:val="center"/>
          </w:tcPr>
          <w:p w14:paraId="4C5280FC">
            <w:pPr>
              <w:pageBreakBefore w:val="0"/>
              <w:wordWrap/>
              <w:bidi w:val="0"/>
              <w:adjustRightInd/>
              <w:snapToGrid/>
              <w:spacing w:line="240" w:lineRule="auto"/>
              <w:ind w:firstLine="0" w:firstLineChars="0"/>
              <w:jc w:val="center"/>
              <w:textAlignment w:val="baseline"/>
              <w:rPr>
                <w:color w:val="auto"/>
                <w:kern w:val="0"/>
                <w:sz w:val="21"/>
                <w:szCs w:val="21"/>
              </w:rPr>
            </w:pPr>
            <w:r>
              <w:rPr>
                <w:rFonts w:hint="eastAsia"/>
                <w:color w:val="auto"/>
                <w:kern w:val="0"/>
                <w:sz w:val="21"/>
                <w:szCs w:val="21"/>
                <w:lang w:eastAsia="zh-CN"/>
              </w:rPr>
              <w:t>“</w:t>
            </w:r>
            <w:r>
              <w:rPr>
                <w:color w:val="auto"/>
                <w:kern w:val="0"/>
                <w:sz w:val="21"/>
                <w:szCs w:val="21"/>
              </w:rPr>
              <w:t>零</w:t>
            </w:r>
            <w:r>
              <w:rPr>
                <w:rFonts w:hint="eastAsia"/>
                <w:color w:val="auto"/>
                <w:kern w:val="0"/>
                <w:sz w:val="21"/>
                <w:szCs w:val="21"/>
                <w:lang w:eastAsia="zh-CN"/>
              </w:rPr>
              <w:t>”</w:t>
            </w:r>
            <w:r>
              <w:rPr>
                <w:color w:val="auto"/>
                <w:kern w:val="0"/>
                <w:sz w:val="21"/>
                <w:szCs w:val="21"/>
              </w:rPr>
              <w:t>排放</w:t>
            </w:r>
          </w:p>
        </w:tc>
      </w:tr>
      <w:tr w14:paraId="13233D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3DDF9BE3">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tcBorders>
              <w:tl2br w:val="nil"/>
              <w:tr2bl w:val="nil"/>
            </w:tcBorders>
            <w:noWrap w:val="0"/>
            <w:tcMar>
              <w:left w:w="57" w:type="dxa"/>
              <w:right w:w="57" w:type="dxa"/>
            </w:tcMar>
            <w:vAlign w:val="center"/>
          </w:tcPr>
          <w:p w14:paraId="09738A84">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运营期</w:t>
            </w:r>
          </w:p>
        </w:tc>
        <w:tc>
          <w:tcPr>
            <w:tcW w:w="843" w:type="pct"/>
            <w:tcBorders>
              <w:tl2br w:val="nil"/>
              <w:tr2bl w:val="nil"/>
            </w:tcBorders>
            <w:noWrap w:val="0"/>
            <w:tcMar>
              <w:left w:w="57" w:type="dxa"/>
              <w:right w:w="57" w:type="dxa"/>
            </w:tcMar>
            <w:vAlign w:val="center"/>
          </w:tcPr>
          <w:p w14:paraId="312F4876">
            <w:pPr>
              <w:pageBreakBefore w:val="0"/>
              <w:wordWrap/>
              <w:bidi w:val="0"/>
              <w:adjustRightInd/>
              <w:snapToGrid/>
              <w:spacing w:line="240" w:lineRule="auto"/>
              <w:ind w:firstLine="0" w:firstLineChars="0"/>
              <w:jc w:val="center"/>
              <w:textAlignment w:val="baseline"/>
              <w:rPr>
                <w:bCs/>
                <w:color w:val="auto"/>
                <w:sz w:val="21"/>
                <w:szCs w:val="21"/>
              </w:rPr>
            </w:pPr>
            <w:r>
              <w:rPr>
                <w:bCs/>
                <w:color w:val="auto"/>
                <w:sz w:val="21"/>
                <w:szCs w:val="21"/>
              </w:rPr>
              <w:t>综合废水</w:t>
            </w:r>
          </w:p>
        </w:tc>
        <w:tc>
          <w:tcPr>
            <w:tcW w:w="2027" w:type="pct"/>
            <w:tcBorders>
              <w:tl2br w:val="nil"/>
              <w:tr2bl w:val="nil"/>
            </w:tcBorders>
            <w:noWrap w:val="0"/>
            <w:tcMar>
              <w:left w:w="57" w:type="dxa"/>
              <w:right w:w="57" w:type="dxa"/>
            </w:tcMar>
            <w:vAlign w:val="center"/>
          </w:tcPr>
          <w:p w14:paraId="35CBDE2A">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采用</w:t>
            </w:r>
            <w:r>
              <w:rPr>
                <w:rFonts w:hint="eastAsia"/>
                <w:color w:val="auto"/>
                <w:kern w:val="0"/>
                <w:sz w:val="21"/>
                <w:szCs w:val="21"/>
                <w:lang w:eastAsia="zh-CN"/>
              </w:rPr>
              <w:t>“超细格栅+调节池+水解酸化池+生化池+二沉池+磁混凝沉淀池+深床反硝化+高级氧化深度处理+紫外线消毒”</w:t>
            </w:r>
            <w:r>
              <w:rPr>
                <w:rFonts w:hint="eastAsia"/>
                <w:color w:val="auto"/>
                <w:kern w:val="0"/>
                <w:sz w:val="21"/>
                <w:szCs w:val="21"/>
              </w:rPr>
              <w:t>为主体的</w:t>
            </w:r>
            <w:r>
              <w:rPr>
                <w:color w:val="auto"/>
                <w:kern w:val="0"/>
                <w:sz w:val="21"/>
                <w:szCs w:val="21"/>
              </w:rPr>
              <w:t>工艺（处理能力为</w:t>
            </w:r>
            <w:r>
              <w:rPr>
                <w:rFonts w:hint="eastAsia"/>
                <w:color w:val="auto"/>
                <w:kern w:val="0"/>
                <w:sz w:val="21"/>
                <w:szCs w:val="21"/>
                <w:lang w:val="en-US" w:eastAsia="zh-CN"/>
              </w:rPr>
              <w:t>0.3</w:t>
            </w:r>
            <w:r>
              <w:rPr>
                <w:rFonts w:hint="eastAsia"/>
                <w:color w:val="auto"/>
                <w:kern w:val="0"/>
                <w:sz w:val="21"/>
                <w:szCs w:val="21"/>
                <w:lang w:eastAsia="zh-CN"/>
              </w:rPr>
              <w:t>万m³</w:t>
            </w:r>
            <w:r>
              <w:rPr>
                <w:color w:val="auto"/>
                <w:kern w:val="0"/>
                <w:sz w:val="21"/>
                <w:szCs w:val="21"/>
              </w:rPr>
              <w:t>/d）</w:t>
            </w:r>
          </w:p>
        </w:tc>
        <w:tc>
          <w:tcPr>
            <w:tcW w:w="1434" w:type="pct"/>
            <w:tcBorders>
              <w:tl2br w:val="nil"/>
              <w:tr2bl w:val="nil"/>
            </w:tcBorders>
            <w:noWrap w:val="0"/>
            <w:tcMar>
              <w:left w:w="57" w:type="dxa"/>
              <w:right w:w="57" w:type="dxa"/>
            </w:tcMar>
            <w:vAlign w:val="center"/>
          </w:tcPr>
          <w:p w14:paraId="292E28F9">
            <w:pPr>
              <w:pageBreakBefore w:val="0"/>
              <w:wordWrap/>
              <w:bidi w:val="0"/>
              <w:adjustRightInd/>
              <w:snapToGrid/>
              <w:spacing w:line="240" w:lineRule="auto"/>
              <w:ind w:firstLine="0" w:firstLineChars="0"/>
              <w:jc w:val="center"/>
              <w:textAlignment w:val="baseline"/>
              <w:rPr>
                <w:color w:val="auto"/>
                <w:kern w:val="0"/>
                <w:sz w:val="21"/>
                <w:szCs w:val="21"/>
              </w:rPr>
            </w:pPr>
            <w:r>
              <w:rPr>
                <w:rFonts w:hint="eastAsia"/>
                <w:color w:val="auto"/>
                <w:kern w:val="0"/>
                <w:sz w:val="21"/>
                <w:szCs w:val="21"/>
                <w:lang w:val="en-US" w:eastAsia="zh-CN"/>
              </w:rPr>
              <w:t>达到</w:t>
            </w:r>
            <w:r>
              <w:rPr>
                <w:rFonts w:hint="eastAsia"/>
                <w:color w:val="auto"/>
                <w:kern w:val="0"/>
                <w:sz w:val="21"/>
                <w:szCs w:val="21"/>
              </w:rPr>
              <w:t>《城镇污水处理厂污染物排放标准》（GB18918-2002）一级A标准</w:t>
            </w:r>
          </w:p>
        </w:tc>
      </w:tr>
      <w:tr w14:paraId="651172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tcBorders>
              <w:tl2br w:val="nil"/>
              <w:tr2bl w:val="nil"/>
            </w:tcBorders>
            <w:noWrap w:val="0"/>
            <w:tcMar>
              <w:left w:w="57" w:type="dxa"/>
              <w:right w:w="57" w:type="dxa"/>
            </w:tcMar>
            <w:vAlign w:val="center"/>
          </w:tcPr>
          <w:p w14:paraId="3124E79E">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地下水环境</w:t>
            </w:r>
          </w:p>
        </w:tc>
        <w:tc>
          <w:tcPr>
            <w:tcW w:w="327" w:type="pct"/>
            <w:tcBorders>
              <w:tl2br w:val="nil"/>
              <w:tr2bl w:val="nil"/>
            </w:tcBorders>
            <w:noWrap w:val="0"/>
            <w:tcMar>
              <w:left w:w="57" w:type="dxa"/>
              <w:right w:w="57" w:type="dxa"/>
            </w:tcMar>
            <w:vAlign w:val="center"/>
          </w:tcPr>
          <w:p w14:paraId="67DF5CF2">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营运期</w:t>
            </w:r>
          </w:p>
        </w:tc>
        <w:tc>
          <w:tcPr>
            <w:tcW w:w="843" w:type="pct"/>
            <w:tcBorders>
              <w:tl2br w:val="nil"/>
              <w:tr2bl w:val="nil"/>
            </w:tcBorders>
            <w:noWrap w:val="0"/>
            <w:tcMar>
              <w:left w:w="57" w:type="dxa"/>
              <w:right w:w="57" w:type="dxa"/>
            </w:tcMar>
            <w:vAlign w:val="center"/>
          </w:tcPr>
          <w:p w14:paraId="5A886D6B">
            <w:pPr>
              <w:pageBreakBefore w:val="0"/>
              <w:wordWrap/>
              <w:bidi w:val="0"/>
              <w:adjustRightInd/>
              <w:snapToGrid/>
              <w:spacing w:line="240" w:lineRule="auto"/>
              <w:ind w:firstLine="0" w:firstLineChars="0"/>
              <w:jc w:val="center"/>
              <w:textAlignment w:val="baseline"/>
              <w:rPr>
                <w:bCs/>
                <w:color w:val="auto"/>
                <w:sz w:val="21"/>
                <w:szCs w:val="21"/>
              </w:rPr>
            </w:pPr>
            <w:r>
              <w:rPr>
                <w:bCs/>
                <w:color w:val="auto"/>
                <w:sz w:val="21"/>
                <w:szCs w:val="21"/>
              </w:rPr>
              <w:t>分区防渗措施</w:t>
            </w:r>
          </w:p>
        </w:tc>
        <w:tc>
          <w:tcPr>
            <w:tcW w:w="2027" w:type="pct"/>
            <w:tcBorders>
              <w:tl2br w:val="nil"/>
              <w:tr2bl w:val="nil"/>
            </w:tcBorders>
            <w:noWrap w:val="0"/>
            <w:tcMar>
              <w:left w:w="57" w:type="dxa"/>
              <w:right w:w="57" w:type="dxa"/>
            </w:tcMar>
            <w:vAlign w:val="center"/>
          </w:tcPr>
          <w:p w14:paraId="18242B35">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重点防渗区</w:t>
            </w:r>
            <w:r>
              <w:rPr>
                <w:rFonts w:hint="eastAsia"/>
                <w:color w:val="auto"/>
                <w:sz w:val="21"/>
                <w:szCs w:val="21"/>
              </w:rPr>
              <w:t>建议采用刚性+柔性防渗措施，即采用P8等级混凝土+2mmHDPE膜防渗结构</w:t>
            </w:r>
            <w:r>
              <w:rPr>
                <w:rFonts w:hint="eastAsia"/>
                <w:color w:val="auto"/>
                <w:sz w:val="21"/>
                <w:szCs w:val="21"/>
                <w:lang w:eastAsia="zh-CN"/>
              </w:rPr>
              <w:t>，</w:t>
            </w:r>
            <w:r>
              <w:rPr>
                <w:color w:val="auto"/>
                <w:kern w:val="0"/>
                <w:position w:val="-2"/>
                <w:sz w:val="21"/>
                <w:szCs w:val="21"/>
              </w:rPr>
              <w:t>渗透系数</w:t>
            </w:r>
            <w:r>
              <w:rPr>
                <w:rFonts w:hint="eastAsia"/>
                <w:color w:val="auto"/>
                <w:kern w:val="0"/>
                <w:position w:val="-2"/>
                <w:sz w:val="21"/>
                <w:szCs w:val="21"/>
                <w:lang w:eastAsia="zh-CN"/>
              </w:rPr>
              <w:t>1</w:t>
            </w:r>
            <w:r>
              <w:rPr>
                <w:color w:val="auto"/>
                <w:kern w:val="0"/>
                <w:position w:val="-2"/>
                <w:sz w:val="21"/>
                <w:szCs w:val="21"/>
              </w:rPr>
              <w:t>0</w:t>
            </w:r>
            <w:r>
              <w:rPr>
                <w:color w:val="auto"/>
                <w:kern w:val="0"/>
                <w:position w:val="-2"/>
                <w:sz w:val="21"/>
                <w:szCs w:val="21"/>
                <w:vertAlign w:val="superscript"/>
              </w:rPr>
              <w:t>-7</w:t>
            </w:r>
            <w:r>
              <w:rPr>
                <w:color w:val="auto"/>
                <w:kern w:val="0"/>
                <w:position w:val="-2"/>
                <w:sz w:val="21"/>
                <w:szCs w:val="21"/>
              </w:rPr>
              <w:t>cm/s</w:t>
            </w:r>
            <w:r>
              <w:rPr>
                <w:color w:val="auto"/>
                <w:sz w:val="21"/>
                <w:szCs w:val="21"/>
              </w:rPr>
              <w:t>；一般防渗区采用抗渗等级为P6厚的混凝土，渗透系数10</w:t>
            </w:r>
            <w:r>
              <w:rPr>
                <w:color w:val="auto"/>
                <w:sz w:val="21"/>
                <w:szCs w:val="21"/>
                <w:vertAlign w:val="superscript"/>
              </w:rPr>
              <w:t>-7</w:t>
            </w:r>
            <w:r>
              <w:rPr>
                <w:color w:val="auto"/>
                <w:sz w:val="21"/>
                <w:szCs w:val="21"/>
              </w:rPr>
              <w:t>cm/s；简单防渗区采取非铺砌地坪或普通混凝土地坪，不设置防渗层</w:t>
            </w:r>
          </w:p>
        </w:tc>
        <w:tc>
          <w:tcPr>
            <w:tcW w:w="1434" w:type="pct"/>
            <w:tcBorders>
              <w:tl2br w:val="nil"/>
              <w:tr2bl w:val="nil"/>
            </w:tcBorders>
            <w:noWrap w:val="0"/>
            <w:tcMar>
              <w:left w:w="57" w:type="dxa"/>
              <w:right w:w="57" w:type="dxa"/>
            </w:tcMar>
            <w:vAlign w:val="center"/>
          </w:tcPr>
          <w:p w14:paraId="5383FF19">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满足要求</w:t>
            </w:r>
          </w:p>
        </w:tc>
      </w:tr>
      <w:tr w14:paraId="3E8967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restart"/>
            <w:tcBorders>
              <w:tl2br w:val="nil"/>
              <w:tr2bl w:val="nil"/>
            </w:tcBorders>
            <w:noWrap w:val="0"/>
            <w:tcMar>
              <w:left w:w="57" w:type="dxa"/>
              <w:right w:w="57" w:type="dxa"/>
            </w:tcMar>
            <w:vAlign w:val="center"/>
          </w:tcPr>
          <w:p w14:paraId="47D66EE4">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大气环境</w:t>
            </w:r>
          </w:p>
        </w:tc>
        <w:tc>
          <w:tcPr>
            <w:tcW w:w="327" w:type="pct"/>
            <w:tcBorders>
              <w:tl2br w:val="nil"/>
              <w:tr2bl w:val="nil"/>
            </w:tcBorders>
            <w:noWrap w:val="0"/>
            <w:tcMar>
              <w:left w:w="57" w:type="dxa"/>
              <w:right w:w="57" w:type="dxa"/>
            </w:tcMar>
            <w:vAlign w:val="center"/>
          </w:tcPr>
          <w:p w14:paraId="4BDC01E0">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施工期</w:t>
            </w:r>
          </w:p>
        </w:tc>
        <w:tc>
          <w:tcPr>
            <w:tcW w:w="843" w:type="pct"/>
            <w:tcBorders>
              <w:tl2br w:val="nil"/>
              <w:tr2bl w:val="nil"/>
            </w:tcBorders>
            <w:noWrap w:val="0"/>
            <w:tcMar>
              <w:left w:w="57" w:type="dxa"/>
              <w:right w:w="57" w:type="dxa"/>
            </w:tcMar>
            <w:vAlign w:val="center"/>
          </w:tcPr>
          <w:p w14:paraId="36E511C3">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施工扬尘</w:t>
            </w:r>
          </w:p>
        </w:tc>
        <w:tc>
          <w:tcPr>
            <w:tcW w:w="2027" w:type="pct"/>
            <w:tcBorders>
              <w:tl2br w:val="nil"/>
              <w:tr2bl w:val="nil"/>
            </w:tcBorders>
            <w:noWrap w:val="0"/>
            <w:tcMar>
              <w:left w:w="57" w:type="dxa"/>
              <w:right w:w="57" w:type="dxa"/>
            </w:tcMar>
            <w:vAlign w:val="center"/>
          </w:tcPr>
          <w:p w14:paraId="47C449C1">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施工作业面、施工道路、材料堆场、挖方临时堆场洒水防尘，采取覆盖堆料、润湿等措施</w:t>
            </w:r>
          </w:p>
        </w:tc>
        <w:tc>
          <w:tcPr>
            <w:tcW w:w="1434" w:type="pct"/>
            <w:tcBorders>
              <w:tl2br w:val="nil"/>
              <w:tr2bl w:val="nil"/>
            </w:tcBorders>
            <w:noWrap w:val="0"/>
            <w:tcMar>
              <w:left w:w="57" w:type="dxa"/>
              <w:right w:w="57" w:type="dxa"/>
            </w:tcMar>
            <w:vAlign w:val="center"/>
          </w:tcPr>
          <w:p w14:paraId="1970BED1">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达到《大气污染物综合排放标准》（GB1629-1996）表2中的二级标准要求</w:t>
            </w:r>
          </w:p>
        </w:tc>
      </w:tr>
      <w:tr w14:paraId="663E31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403F5B7F">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tcBorders>
              <w:tl2br w:val="nil"/>
              <w:tr2bl w:val="nil"/>
            </w:tcBorders>
            <w:noWrap w:val="0"/>
            <w:tcMar>
              <w:left w:w="57" w:type="dxa"/>
              <w:right w:w="57" w:type="dxa"/>
            </w:tcMar>
            <w:vAlign w:val="center"/>
          </w:tcPr>
          <w:p w14:paraId="3BD21F83">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运营期</w:t>
            </w:r>
          </w:p>
        </w:tc>
        <w:tc>
          <w:tcPr>
            <w:tcW w:w="843" w:type="pct"/>
            <w:tcBorders>
              <w:tl2br w:val="nil"/>
              <w:tr2bl w:val="nil"/>
            </w:tcBorders>
            <w:noWrap w:val="0"/>
            <w:tcMar>
              <w:left w:w="57" w:type="dxa"/>
              <w:right w:w="57" w:type="dxa"/>
            </w:tcMar>
            <w:vAlign w:val="center"/>
          </w:tcPr>
          <w:p w14:paraId="3A6CF6DF">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污水处理厂恶臭</w:t>
            </w:r>
          </w:p>
        </w:tc>
        <w:tc>
          <w:tcPr>
            <w:tcW w:w="2027" w:type="pct"/>
            <w:tcBorders>
              <w:tl2br w:val="nil"/>
              <w:tr2bl w:val="nil"/>
            </w:tcBorders>
            <w:noWrap w:val="0"/>
            <w:tcMar>
              <w:left w:w="57" w:type="dxa"/>
              <w:right w:w="57" w:type="dxa"/>
            </w:tcMar>
            <w:vAlign w:val="center"/>
          </w:tcPr>
          <w:p w14:paraId="4CC49C2C">
            <w:pPr>
              <w:pageBreakBefore w:val="0"/>
              <w:wordWrap/>
              <w:bidi w:val="0"/>
              <w:adjustRightInd/>
              <w:snapToGrid/>
              <w:spacing w:line="240" w:lineRule="auto"/>
              <w:ind w:firstLine="0" w:firstLineChars="0"/>
              <w:jc w:val="center"/>
              <w:textAlignment w:val="baseline"/>
              <w:rPr>
                <w:color w:val="auto"/>
                <w:kern w:val="0"/>
                <w:sz w:val="21"/>
                <w:szCs w:val="21"/>
              </w:rPr>
            </w:pPr>
            <w:r>
              <w:rPr>
                <w:bCs/>
                <w:color w:val="auto"/>
                <w:kern w:val="0"/>
                <w:sz w:val="21"/>
                <w:szCs w:val="21"/>
              </w:rPr>
              <w:t>采用密闭设置，共设置</w:t>
            </w:r>
            <w:r>
              <w:rPr>
                <w:rFonts w:hint="eastAsia"/>
                <w:bCs/>
                <w:color w:val="auto"/>
                <w:kern w:val="0"/>
                <w:sz w:val="21"/>
                <w:szCs w:val="21"/>
                <w:lang w:val="en-US" w:eastAsia="zh-CN"/>
              </w:rPr>
              <w:t>1</w:t>
            </w:r>
            <w:r>
              <w:rPr>
                <w:bCs/>
                <w:color w:val="auto"/>
                <w:kern w:val="0"/>
                <w:sz w:val="21"/>
                <w:szCs w:val="21"/>
              </w:rPr>
              <w:t>套除臭装置，</w:t>
            </w:r>
            <w:r>
              <w:rPr>
                <w:color w:val="auto"/>
                <w:sz w:val="21"/>
                <w:szCs w:val="21"/>
              </w:rPr>
              <w:t>（</w:t>
            </w:r>
            <w:r>
              <w:rPr>
                <w:rFonts w:hint="eastAsia"/>
                <w:color w:val="auto"/>
                <w:sz w:val="21"/>
                <w:szCs w:val="21"/>
                <w:lang w:val="en-US" w:eastAsia="zh-CN"/>
              </w:rPr>
              <w:t>NH</w:t>
            </w:r>
            <w:r>
              <w:rPr>
                <w:rFonts w:hint="eastAsia"/>
                <w:color w:val="auto"/>
                <w:sz w:val="21"/>
                <w:szCs w:val="21"/>
                <w:vertAlign w:val="subscript"/>
                <w:lang w:val="en-US" w:eastAsia="zh-CN"/>
              </w:rPr>
              <w:t>3</w:t>
            </w:r>
            <w:r>
              <w:rPr>
                <w:color w:val="auto"/>
                <w:sz w:val="21"/>
                <w:szCs w:val="21"/>
              </w:rPr>
              <w:t>净化效率≥</w:t>
            </w:r>
            <w:r>
              <w:rPr>
                <w:rFonts w:hint="eastAsia"/>
                <w:color w:val="auto"/>
                <w:sz w:val="21"/>
                <w:szCs w:val="21"/>
                <w:lang w:val="en-US" w:eastAsia="zh-CN"/>
              </w:rPr>
              <w:t>80</w:t>
            </w:r>
            <w:r>
              <w:rPr>
                <w:color w:val="auto"/>
                <w:sz w:val="21"/>
                <w:szCs w:val="21"/>
              </w:rPr>
              <w:t>%，</w:t>
            </w:r>
            <w:r>
              <w:rPr>
                <w:rFonts w:hint="eastAsia"/>
                <w:color w:val="auto"/>
                <w:sz w:val="21"/>
                <w:szCs w:val="21"/>
                <w:lang w:val="en-US" w:eastAsia="zh-CN"/>
              </w:rPr>
              <w:t>H</w:t>
            </w:r>
            <w:r>
              <w:rPr>
                <w:rFonts w:hint="eastAsia"/>
                <w:color w:val="auto"/>
                <w:sz w:val="21"/>
                <w:szCs w:val="21"/>
                <w:vertAlign w:val="subscript"/>
                <w:lang w:val="en-US" w:eastAsia="zh-CN"/>
              </w:rPr>
              <w:t>2</w:t>
            </w:r>
            <w:r>
              <w:rPr>
                <w:rFonts w:hint="eastAsia"/>
                <w:color w:val="auto"/>
                <w:sz w:val="21"/>
                <w:szCs w:val="21"/>
                <w:lang w:val="en-US" w:eastAsia="zh-CN"/>
              </w:rPr>
              <w:t>S</w:t>
            </w:r>
            <w:r>
              <w:rPr>
                <w:color w:val="auto"/>
                <w:sz w:val="21"/>
                <w:szCs w:val="21"/>
              </w:rPr>
              <w:t>净化效率≥</w:t>
            </w:r>
            <w:r>
              <w:rPr>
                <w:rFonts w:hint="eastAsia"/>
                <w:color w:val="auto"/>
                <w:sz w:val="21"/>
                <w:szCs w:val="21"/>
                <w:lang w:val="en-US" w:eastAsia="zh-CN"/>
              </w:rPr>
              <w:t>95</w:t>
            </w:r>
            <w:r>
              <w:rPr>
                <w:color w:val="auto"/>
                <w:sz w:val="21"/>
                <w:szCs w:val="21"/>
              </w:rPr>
              <w:t>%，风机风量</w:t>
            </w:r>
            <w:r>
              <w:rPr>
                <w:rFonts w:hint="eastAsia"/>
                <w:color w:val="auto"/>
                <w:sz w:val="21"/>
                <w:szCs w:val="21"/>
                <w:lang w:val="en-US" w:eastAsia="zh-CN"/>
              </w:rPr>
              <w:t>20</w:t>
            </w:r>
            <w:r>
              <w:rPr>
                <w:color w:val="auto"/>
                <w:sz w:val="21"/>
                <w:szCs w:val="21"/>
              </w:rPr>
              <w:t>000</w:t>
            </w:r>
            <w:r>
              <w:rPr>
                <w:rFonts w:hint="eastAsia"/>
                <w:color w:val="auto"/>
                <w:sz w:val="21"/>
                <w:szCs w:val="21"/>
                <w:lang w:eastAsia="zh-CN"/>
              </w:rPr>
              <w:t>m³</w:t>
            </w:r>
            <w:r>
              <w:rPr>
                <w:color w:val="auto"/>
                <w:sz w:val="21"/>
                <w:szCs w:val="21"/>
              </w:rPr>
              <w:t>/h），经1根15m排气筒排放</w:t>
            </w:r>
          </w:p>
        </w:tc>
        <w:tc>
          <w:tcPr>
            <w:tcW w:w="1434" w:type="pct"/>
            <w:tcBorders>
              <w:tl2br w:val="nil"/>
              <w:tr2bl w:val="nil"/>
            </w:tcBorders>
            <w:noWrap w:val="0"/>
            <w:tcMar>
              <w:left w:w="57" w:type="dxa"/>
              <w:right w:w="57" w:type="dxa"/>
            </w:tcMar>
            <w:vAlign w:val="center"/>
          </w:tcPr>
          <w:p w14:paraId="148DE8EC">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达到《恶臭污染物排放标准》（GB14554-1993）表</w:t>
            </w:r>
            <w:r>
              <w:rPr>
                <w:rFonts w:hint="eastAsia"/>
                <w:color w:val="auto"/>
                <w:kern w:val="0"/>
                <w:sz w:val="21"/>
                <w:szCs w:val="21"/>
                <w:lang w:eastAsia="zh-CN"/>
              </w:rPr>
              <w:t>1</w:t>
            </w:r>
            <w:r>
              <w:rPr>
                <w:color w:val="auto"/>
                <w:kern w:val="0"/>
                <w:sz w:val="21"/>
                <w:szCs w:val="21"/>
              </w:rPr>
              <w:t>、表2标准</w:t>
            </w:r>
          </w:p>
        </w:tc>
      </w:tr>
      <w:tr w14:paraId="144C6B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restart"/>
            <w:tcBorders>
              <w:tl2br w:val="nil"/>
              <w:tr2bl w:val="nil"/>
            </w:tcBorders>
            <w:noWrap w:val="0"/>
            <w:tcMar>
              <w:left w:w="57" w:type="dxa"/>
              <w:right w:w="57" w:type="dxa"/>
            </w:tcMar>
            <w:vAlign w:val="center"/>
          </w:tcPr>
          <w:p w14:paraId="37C490BA">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声环境</w:t>
            </w:r>
          </w:p>
        </w:tc>
        <w:tc>
          <w:tcPr>
            <w:tcW w:w="327" w:type="pct"/>
            <w:tcBorders>
              <w:tl2br w:val="nil"/>
              <w:tr2bl w:val="nil"/>
            </w:tcBorders>
            <w:noWrap w:val="0"/>
            <w:tcMar>
              <w:left w:w="57" w:type="dxa"/>
              <w:right w:w="57" w:type="dxa"/>
            </w:tcMar>
            <w:vAlign w:val="center"/>
          </w:tcPr>
          <w:p w14:paraId="215EF1AA">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施工期</w:t>
            </w:r>
          </w:p>
        </w:tc>
        <w:tc>
          <w:tcPr>
            <w:tcW w:w="843" w:type="pct"/>
            <w:tcBorders>
              <w:tl2br w:val="nil"/>
              <w:tr2bl w:val="nil"/>
            </w:tcBorders>
            <w:noWrap w:val="0"/>
            <w:tcMar>
              <w:left w:w="57" w:type="dxa"/>
              <w:right w:w="57" w:type="dxa"/>
            </w:tcMar>
            <w:vAlign w:val="center"/>
          </w:tcPr>
          <w:p w14:paraId="3763BC80">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施工期各种机械设备</w:t>
            </w:r>
          </w:p>
        </w:tc>
        <w:tc>
          <w:tcPr>
            <w:tcW w:w="2027" w:type="pct"/>
            <w:tcBorders>
              <w:tl2br w:val="nil"/>
              <w:tr2bl w:val="nil"/>
            </w:tcBorders>
            <w:noWrap w:val="0"/>
            <w:tcMar>
              <w:left w:w="57" w:type="dxa"/>
              <w:right w:w="57" w:type="dxa"/>
            </w:tcMar>
            <w:vAlign w:val="center"/>
          </w:tcPr>
          <w:p w14:paraId="651F22DC">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高噪设备隔声、隔振或消声降噪，优化施工总图布置等</w:t>
            </w:r>
          </w:p>
        </w:tc>
        <w:tc>
          <w:tcPr>
            <w:tcW w:w="1434" w:type="pct"/>
            <w:tcBorders>
              <w:tl2br w:val="nil"/>
              <w:tr2bl w:val="nil"/>
            </w:tcBorders>
            <w:noWrap w:val="0"/>
            <w:tcMar>
              <w:left w:w="57" w:type="dxa"/>
              <w:right w:w="57" w:type="dxa"/>
            </w:tcMar>
            <w:vAlign w:val="center"/>
          </w:tcPr>
          <w:p w14:paraId="62CF8E82">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达到《建筑施工场界环境噪声排放标准》</w:t>
            </w:r>
            <w:r>
              <w:rPr>
                <w:rFonts w:hint="eastAsia"/>
                <w:color w:val="auto"/>
                <w:kern w:val="0"/>
                <w:sz w:val="21"/>
                <w:szCs w:val="21"/>
                <w:lang w:eastAsia="zh-CN"/>
              </w:rPr>
              <w:t>（</w:t>
            </w:r>
            <w:r>
              <w:rPr>
                <w:bCs/>
                <w:color w:val="auto"/>
                <w:kern w:val="0"/>
                <w:sz w:val="21"/>
                <w:szCs w:val="21"/>
              </w:rPr>
              <w:t>GB</w:t>
            </w:r>
            <w:r>
              <w:rPr>
                <w:rFonts w:hint="eastAsia"/>
                <w:bCs/>
                <w:color w:val="auto"/>
                <w:kern w:val="0"/>
                <w:sz w:val="21"/>
                <w:szCs w:val="21"/>
                <w:lang w:eastAsia="zh-CN"/>
              </w:rPr>
              <w:t>1</w:t>
            </w:r>
            <w:r>
              <w:rPr>
                <w:bCs/>
                <w:color w:val="auto"/>
                <w:kern w:val="0"/>
                <w:sz w:val="21"/>
                <w:szCs w:val="21"/>
              </w:rPr>
              <w:t>2523-2011</w:t>
            </w:r>
            <w:r>
              <w:rPr>
                <w:rFonts w:hint="eastAsia"/>
                <w:color w:val="auto"/>
                <w:kern w:val="0"/>
                <w:sz w:val="21"/>
                <w:szCs w:val="21"/>
                <w:lang w:eastAsia="zh-CN"/>
              </w:rPr>
              <w:t>）</w:t>
            </w:r>
            <w:r>
              <w:rPr>
                <w:color w:val="auto"/>
                <w:kern w:val="0"/>
                <w:sz w:val="21"/>
                <w:szCs w:val="21"/>
              </w:rPr>
              <w:t>中的相关标准</w:t>
            </w:r>
          </w:p>
        </w:tc>
      </w:tr>
      <w:tr w14:paraId="4299DC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121BEFF1">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tcBorders>
              <w:tl2br w:val="nil"/>
              <w:tr2bl w:val="nil"/>
            </w:tcBorders>
            <w:noWrap w:val="0"/>
            <w:tcMar>
              <w:left w:w="57" w:type="dxa"/>
              <w:right w:w="57" w:type="dxa"/>
            </w:tcMar>
            <w:vAlign w:val="center"/>
          </w:tcPr>
          <w:p w14:paraId="5CB48C66">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运营期</w:t>
            </w:r>
          </w:p>
        </w:tc>
        <w:tc>
          <w:tcPr>
            <w:tcW w:w="843" w:type="pct"/>
            <w:tcBorders>
              <w:tl2br w:val="nil"/>
              <w:tr2bl w:val="nil"/>
            </w:tcBorders>
            <w:noWrap w:val="0"/>
            <w:tcMar>
              <w:left w:w="57" w:type="dxa"/>
              <w:right w:w="57" w:type="dxa"/>
            </w:tcMar>
            <w:vAlign w:val="center"/>
          </w:tcPr>
          <w:p w14:paraId="2EE547CB">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设备噪声</w:t>
            </w:r>
          </w:p>
        </w:tc>
        <w:tc>
          <w:tcPr>
            <w:tcW w:w="2027" w:type="pct"/>
            <w:tcBorders>
              <w:tl2br w:val="nil"/>
              <w:tr2bl w:val="nil"/>
            </w:tcBorders>
            <w:noWrap w:val="0"/>
            <w:tcMar>
              <w:left w:w="57" w:type="dxa"/>
              <w:right w:w="57" w:type="dxa"/>
            </w:tcMar>
            <w:vAlign w:val="center"/>
          </w:tcPr>
          <w:p w14:paraId="3EAB2328">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选用低噪声设备、隔声、消声、减振等措施</w:t>
            </w:r>
          </w:p>
        </w:tc>
        <w:tc>
          <w:tcPr>
            <w:tcW w:w="1434" w:type="pct"/>
            <w:tcBorders>
              <w:tl2br w:val="nil"/>
              <w:tr2bl w:val="nil"/>
            </w:tcBorders>
            <w:noWrap w:val="0"/>
            <w:tcMar>
              <w:left w:w="57" w:type="dxa"/>
              <w:right w:w="57" w:type="dxa"/>
            </w:tcMar>
            <w:vAlign w:val="center"/>
          </w:tcPr>
          <w:p w14:paraId="74B5EB8E">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达到《工业企业厂界环境噪声排放标准》（GB12348-2008）</w:t>
            </w:r>
            <w:r>
              <w:rPr>
                <w:rFonts w:hint="eastAsia"/>
                <w:color w:val="auto"/>
                <w:kern w:val="0"/>
                <w:sz w:val="21"/>
                <w:szCs w:val="21"/>
                <w:lang w:val="en-US" w:eastAsia="zh-CN"/>
              </w:rPr>
              <w:t>3</w:t>
            </w:r>
            <w:r>
              <w:rPr>
                <w:color w:val="auto"/>
                <w:kern w:val="0"/>
                <w:sz w:val="21"/>
                <w:szCs w:val="21"/>
              </w:rPr>
              <w:t>类</w:t>
            </w:r>
            <w:r>
              <w:rPr>
                <w:rFonts w:hint="eastAsia"/>
                <w:color w:val="auto"/>
                <w:kern w:val="0"/>
                <w:sz w:val="21"/>
                <w:szCs w:val="21"/>
                <w:lang w:eastAsia="zh-CN"/>
              </w:rPr>
              <w:t>（</w:t>
            </w:r>
            <w:r>
              <w:rPr>
                <w:rFonts w:hint="eastAsia"/>
                <w:color w:val="auto"/>
                <w:kern w:val="0"/>
                <w:sz w:val="21"/>
                <w:szCs w:val="21"/>
                <w:lang w:val="en-US" w:eastAsia="zh-CN"/>
              </w:rPr>
              <w:t>临路侧4类</w:t>
            </w:r>
            <w:r>
              <w:rPr>
                <w:rFonts w:hint="eastAsia"/>
                <w:color w:val="auto"/>
                <w:kern w:val="0"/>
                <w:sz w:val="21"/>
                <w:szCs w:val="21"/>
                <w:lang w:eastAsia="zh-CN"/>
              </w:rPr>
              <w:t>）</w:t>
            </w:r>
            <w:r>
              <w:rPr>
                <w:color w:val="auto"/>
                <w:kern w:val="0"/>
                <w:sz w:val="21"/>
                <w:szCs w:val="21"/>
              </w:rPr>
              <w:t>标准要求</w:t>
            </w:r>
          </w:p>
        </w:tc>
      </w:tr>
      <w:tr w14:paraId="287ADF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restart"/>
            <w:tcBorders>
              <w:tl2br w:val="nil"/>
              <w:tr2bl w:val="nil"/>
            </w:tcBorders>
            <w:noWrap w:val="0"/>
            <w:tcMar>
              <w:left w:w="57" w:type="dxa"/>
              <w:right w:w="57" w:type="dxa"/>
            </w:tcMar>
            <w:vAlign w:val="center"/>
          </w:tcPr>
          <w:p w14:paraId="536EF6FE">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固废</w:t>
            </w:r>
          </w:p>
        </w:tc>
        <w:tc>
          <w:tcPr>
            <w:tcW w:w="327" w:type="pct"/>
            <w:vMerge w:val="restart"/>
            <w:tcBorders>
              <w:tl2br w:val="nil"/>
              <w:tr2bl w:val="nil"/>
            </w:tcBorders>
            <w:noWrap w:val="0"/>
            <w:tcMar>
              <w:left w:w="57" w:type="dxa"/>
              <w:right w:w="57" w:type="dxa"/>
            </w:tcMar>
            <w:vAlign w:val="center"/>
          </w:tcPr>
          <w:p w14:paraId="76E28E29">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施工期</w:t>
            </w:r>
          </w:p>
        </w:tc>
        <w:tc>
          <w:tcPr>
            <w:tcW w:w="843" w:type="pct"/>
            <w:tcBorders>
              <w:tl2br w:val="nil"/>
              <w:tr2bl w:val="nil"/>
            </w:tcBorders>
            <w:noWrap w:val="0"/>
            <w:tcMar>
              <w:left w:w="57" w:type="dxa"/>
              <w:right w:w="57" w:type="dxa"/>
            </w:tcMar>
            <w:vAlign w:val="center"/>
          </w:tcPr>
          <w:p w14:paraId="3BE6E453">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建筑垃圾</w:t>
            </w:r>
          </w:p>
        </w:tc>
        <w:tc>
          <w:tcPr>
            <w:tcW w:w="2027" w:type="pct"/>
            <w:tcBorders>
              <w:tl2br w:val="nil"/>
              <w:tr2bl w:val="nil"/>
            </w:tcBorders>
            <w:noWrap w:val="0"/>
            <w:tcMar>
              <w:left w:w="57" w:type="dxa"/>
              <w:right w:w="57" w:type="dxa"/>
            </w:tcMar>
            <w:vAlign w:val="center"/>
          </w:tcPr>
          <w:p w14:paraId="43C482BD">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sz w:val="21"/>
                <w:szCs w:val="21"/>
              </w:rPr>
              <w:t>清运至指定的建筑废渣专用堆放场</w:t>
            </w:r>
          </w:p>
        </w:tc>
        <w:tc>
          <w:tcPr>
            <w:tcW w:w="1434" w:type="pct"/>
            <w:vMerge w:val="restart"/>
            <w:tcBorders>
              <w:tl2br w:val="nil"/>
              <w:tr2bl w:val="nil"/>
            </w:tcBorders>
            <w:noWrap w:val="0"/>
            <w:tcMar>
              <w:left w:w="57" w:type="dxa"/>
              <w:right w:w="57" w:type="dxa"/>
            </w:tcMar>
            <w:vAlign w:val="center"/>
          </w:tcPr>
          <w:p w14:paraId="6590520B">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满足要求</w:t>
            </w:r>
          </w:p>
        </w:tc>
      </w:tr>
      <w:tr w14:paraId="7C42CF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7D22846B">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5142725C">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7EC4F07B">
            <w:pPr>
              <w:pageBreakBefore w:val="0"/>
              <w:wordWrap/>
              <w:bidi w:val="0"/>
              <w:adjustRightInd/>
              <w:snapToGrid/>
              <w:spacing w:line="240" w:lineRule="auto"/>
              <w:ind w:firstLine="0" w:firstLineChars="0"/>
              <w:jc w:val="center"/>
              <w:rPr>
                <w:color w:val="auto"/>
                <w:sz w:val="21"/>
                <w:szCs w:val="21"/>
              </w:rPr>
            </w:pPr>
            <w:r>
              <w:rPr>
                <w:color w:val="auto"/>
                <w:sz w:val="21"/>
                <w:szCs w:val="21"/>
              </w:rPr>
              <w:t>生活垃圾</w:t>
            </w:r>
          </w:p>
        </w:tc>
        <w:tc>
          <w:tcPr>
            <w:tcW w:w="2027" w:type="pct"/>
            <w:tcBorders>
              <w:tl2br w:val="nil"/>
              <w:tr2bl w:val="nil"/>
            </w:tcBorders>
            <w:noWrap w:val="0"/>
            <w:tcMar>
              <w:left w:w="57" w:type="dxa"/>
              <w:right w:w="57" w:type="dxa"/>
            </w:tcMar>
            <w:vAlign w:val="center"/>
          </w:tcPr>
          <w:p w14:paraId="438E5C7B">
            <w:pPr>
              <w:pageBreakBefore w:val="0"/>
              <w:wordWrap/>
              <w:bidi w:val="0"/>
              <w:adjustRightInd/>
              <w:snapToGrid/>
              <w:spacing w:line="240" w:lineRule="auto"/>
              <w:ind w:firstLine="0" w:firstLineChars="0"/>
              <w:jc w:val="center"/>
              <w:rPr>
                <w:color w:val="auto"/>
                <w:sz w:val="21"/>
                <w:szCs w:val="21"/>
              </w:rPr>
            </w:pPr>
            <w:r>
              <w:rPr>
                <w:color w:val="auto"/>
                <w:sz w:val="21"/>
                <w:szCs w:val="21"/>
              </w:rPr>
              <w:t>环卫部门收集清运处理</w:t>
            </w:r>
          </w:p>
        </w:tc>
        <w:tc>
          <w:tcPr>
            <w:tcW w:w="1434" w:type="pct"/>
            <w:vMerge w:val="continue"/>
            <w:tcBorders>
              <w:tl2br w:val="nil"/>
              <w:tr2bl w:val="nil"/>
            </w:tcBorders>
            <w:noWrap w:val="0"/>
            <w:tcMar>
              <w:left w:w="57" w:type="dxa"/>
              <w:right w:w="57" w:type="dxa"/>
            </w:tcMar>
            <w:vAlign w:val="center"/>
          </w:tcPr>
          <w:p w14:paraId="1294B6FF">
            <w:pPr>
              <w:pageBreakBefore w:val="0"/>
              <w:wordWrap/>
              <w:bidi w:val="0"/>
              <w:adjustRightInd/>
              <w:snapToGrid/>
              <w:spacing w:line="240" w:lineRule="auto"/>
              <w:ind w:firstLine="0" w:firstLineChars="0"/>
              <w:jc w:val="center"/>
              <w:textAlignment w:val="baseline"/>
              <w:rPr>
                <w:color w:val="auto"/>
                <w:kern w:val="0"/>
                <w:sz w:val="21"/>
                <w:szCs w:val="21"/>
              </w:rPr>
            </w:pPr>
          </w:p>
        </w:tc>
      </w:tr>
      <w:tr w14:paraId="5DD70F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049ABBD3">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restart"/>
            <w:tcBorders>
              <w:tl2br w:val="nil"/>
              <w:tr2bl w:val="nil"/>
            </w:tcBorders>
            <w:noWrap w:val="0"/>
            <w:tcMar>
              <w:left w:w="57" w:type="dxa"/>
              <w:right w:w="57" w:type="dxa"/>
            </w:tcMar>
            <w:vAlign w:val="center"/>
          </w:tcPr>
          <w:p w14:paraId="7756206E">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运营期</w:t>
            </w:r>
          </w:p>
        </w:tc>
        <w:tc>
          <w:tcPr>
            <w:tcW w:w="843" w:type="pct"/>
            <w:tcBorders>
              <w:tl2br w:val="nil"/>
              <w:tr2bl w:val="nil"/>
            </w:tcBorders>
            <w:noWrap w:val="0"/>
            <w:tcMar>
              <w:left w:w="57" w:type="dxa"/>
              <w:right w:w="57" w:type="dxa"/>
            </w:tcMar>
            <w:vAlign w:val="center"/>
          </w:tcPr>
          <w:p w14:paraId="1975466E">
            <w:pPr>
              <w:pStyle w:val="498"/>
              <w:pageBreakBefore w:val="0"/>
              <w:wordWrap/>
              <w:bidi w:val="0"/>
              <w:adjustRightInd/>
              <w:snapToGrid/>
              <w:ind w:firstLine="0" w:firstLineChars="0"/>
              <w:jc w:val="center"/>
              <w:rPr>
                <w:color w:val="auto"/>
                <w:sz w:val="21"/>
                <w:szCs w:val="21"/>
              </w:rPr>
            </w:pPr>
            <w:r>
              <w:rPr>
                <w:color w:val="auto"/>
                <w:sz w:val="21"/>
                <w:szCs w:val="21"/>
              </w:rPr>
              <w:t>生活垃圾</w:t>
            </w:r>
          </w:p>
        </w:tc>
        <w:tc>
          <w:tcPr>
            <w:tcW w:w="2027" w:type="pct"/>
            <w:tcBorders>
              <w:tl2br w:val="nil"/>
              <w:tr2bl w:val="nil"/>
            </w:tcBorders>
            <w:noWrap w:val="0"/>
            <w:tcMar>
              <w:left w:w="57" w:type="dxa"/>
              <w:right w:w="57" w:type="dxa"/>
            </w:tcMar>
            <w:vAlign w:val="center"/>
          </w:tcPr>
          <w:p w14:paraId="4A93BEEC">
            <w:pPr>
              <w:pStyle w:val="498"/>
              <w:pageBreakBefore w:val="0"/>
              <w:wordWrap/>
              <w:bidi w:val="0"/>
              <w:adjustRightInd/>
              <w:snapToGrid/>
              <w:ind w:firstLine="0" w:firstLineChars="0"/>
              <w:jc w:val="center"/>
              <w:rPr>
                <w:color w:val="auto"/>
                <w:sz w:val="21"/>
                <w:szCs w:val="21"/>
              </w:rPr>
            </w:pPr>
            <w:r>
              <w:rPr>
                <w:color w:val="auto"/>
                <w:sz w:val="21"/>
                <w:szCs w:val="21"/>
              </w:rPr>
              <w:t>环卫清运</w:t>
            </w:r>
          </w:p>
        </w:tc>
        <w:tc>
          <w:tcPr>
            <w:tcW w:w="1434" w:type="pct"/>
            <w:vMerge w:val="continue"/>
            <w:tcBorders>
              <w:tl2br w:val="nil"/>
              <w:tr2bl w:val="nil"/>
            </w:tcBorders>
            <w:noWrap w:val="0"/>
            <w:tcMar>
              <w:left w:w="57" w:type="dxa"/>
              <w:right w:w="57" w:type="dxa"/>
            </w:tcMar>
            <w:vAlign w:val="center"/>
          </w:tcPr>
          <w:p w14:paraId="6F602FD4">
            <w:pPr>
              <w:pageBreakBefore w:val="0"/>
              <w:wordWrap/>
              <w:bidi w:val="0"/>
              <w:adjustRightInd/>
              <w:snapToGrid/>
              <w:spacing w:line="240" w:lineRule="auto"/>
              <w:ind w:firstLine="0" w:firstLineChars="0"/>
              <w:jc w:val="center"/>
              <w:textAlignment w:val="baseline"/>
              <w:rPr>
                <w:color w:val="auto"/>
                <w:kern w:val="0"/>
                <w:sz w:val="21"/>
                <w:szCs w:val="21"/>
              </w:rPr>
            </w:pPr>
          </w:p>
        </w:tc>
      </w:tr>
      <w:tr w14:paraId="02661A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26B67F73">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29B75694">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71AD73FA">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食堂餐厨垃圾</w:t>
            </w:r>
          </w:p>
        </w:tc>
        <w:tc>
          <w:tcPr>
            <w:tcW w:w="2027" w:type="pct"/>
            <w:tcBorders>
              <w:tl2br w:val="nil"/>
              <w:tr2bl w:val="nil"/>
            </w:tcBorders>
            <w:noWrap w:val="0"/>
            <w:tcMar>
              <w:left w:w="57" w:type="dxa"/>
              <w:right w:w="57" w:type="dxa"/>
            </w:tcMar>
            <w:vAlign w:val="center"/>
          </w:tcPr>
          <w:p w14:paraId="72E8B418">
            <w:pPr>
              <w:pStyle w:val="498"/>
              <w:pageBreakBefore w:val="0"/>
              <w:wordWrap/>
              <w:bidi w:val="0"/>
              <w:adjustRightInd/>
              <w:snapToGrid/>
              <w:ind w:firstLine="0" w:firstLineChars="0"/>
              <w:jc w:val="center"/>
              <w:rPr>
                <w:color w:val="auto"/>
                <w:sz w:val="21"/>
                <w:szCs w:val="21"/>
              </w:rPr>
            </w:pPr>
            <w:r>
              <w:rPr>
                <w:rFonts w:hint="eastAsia"/>
                <w:color w:val="auto"/>
                <w:sz w:val="21"/>
                <w:szCs w:val="21"/>
              </w:rPr>
              <w:t>有相应处理能力的单位清运处置</w:t>
            </w:r>
          </w:p>
        </w:tc>
        <w:tc>
          <w:tcPr>
            <w:tcW w:w="1434" w:type="pct"/>
            <w:vMerge w:val="continue"/>
            <w:tcBorders>
              <w:tl2br w:val="nil"/>
              <w:tr2bl w:val="nil"/>
            </w:tcBorders>
            <w:noWrap w:val="0"/>
            <w:tcMar>
              <w:left w:w="57" w:type="dxa"/>
              <w:right w:w="57" w:type="dxa"/>
            </w:tcMar>
            <w:vAlign w:val="center"/>
          </w:tcPr>
          <w:p w14:paraId="2A983C6C">
            <w:pPr>
              <w:pageBreakBefore w:val="0"/>
              <w:wordWrap/>
              <w:bidi w:val="0"/>
              <w:adjustRightInd/>
              <w:snapToGrid/>
              <w:spacing w:line="240" w:lineRule="auto"/>
              <w:ind w:firstLine="0" w:firstLineChars="0"/>
              <w:jc w:val="center"/>
              <w:textAlignment w:val="baseline"/>
              <w:rPr>
                <w:color w:val="auto"/>
                <w:kern w:val="0"/>
                <w:sz w:val="21"/>
                <w:szCs w:val="21"/>
              </w:rPr>
            </w:pPr>
          </w:p>
        </w:tc>
      </w:tr>
      <w:tr w14:paraId="6CE14B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1E9531F8">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075AF513">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513F820E">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废包装材料</w:t>
            </w:r>
          </w:p>
        </w:tc>
        <w:tc>
          <w:tcPr>
            <w:tcW w:w="2027" w:type="pct"/>
            <w:tcBorders>
              <w:tl2br w:val="nil"/>
              <w:tr2bl w:val="nil"/>
            </w:tcBorders>
            <w:noWrap w:val="0"/>
            <w:tcMar>
              <w:left w:w="57" w:type="dxa"/>
              <w:right w:w="57" w:type="dxa"/>
            </w:tcMar>
            <w:vAlign w:val="center"/>
          </w:tcPr>
          <w:p w14:paraId="61E2E98D">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外售废品回收站</w:t>
            </w:r>
          </w:p>
        </w:tc>
        <w:tc>
          <w:tcPr>
            <w:tcW w:w="1434" w:type="pct"/>
            <w:vMerge w:val="continue"/>
            <w:tcBorders>
              <w:tl2br w:val="nil"/>
              <w:tr2bl w:val="nil"/>
            </w:tcBorders>
            <w:noWrap w:val="0"/>
            <w:tcMar>
              <w:left w:w="57" w:type="dxa"/>
              <w:right w:w="57" w:type="dxa"/>
            </w:tcMar>
            <w:vAlign w:val="center"/>
          </w:tcPr>
          <w:p w14:paraId="78A1C611">
            <w:pPr>
              <w:pageBreakBefore w:val="0"/>
              <w:wordWrap/>
              <w:bidi w:val="0"/>
              <w:adjustRightInd/>
              <w:snapToGrid/>
              <w:spacing w:line="240" w:lineRule="auto"/>
              <w:ind w:firstLine="0" w:firstLineChars="0"/>
              <w:jc w:val="center"/>
              <w:textAlignment w:val="baseline"/>
              <w:rPr>
                <w:color w:val="auto"/>
                <w:kern w:val="0"/>
                <w:sz w:val="21"/>
                <w:szCs w:val="21"/>
              </w:rPr>
            </w:pPr>
          </w:p>
        </w:tc>
      </w:tr>
      <w:tr w14:paraId="363FF4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02A4C38A">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1A7698F1">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15903F41">
            <w:pPr>
              <w:pStyle w:val="498"/>
              <w:pageBreakBefore w:val="0"/>
              <w:wordWrap/>
              <w:bidi w:val="0"/>
              <w:adjustRightInd/>
              <w:snapToGrid/>
              <w:ind w:firstLine="0" w:firstLineChars="0"/>
              <w:jc w:val="center"/>
              <w:rPr>
                <w:color w:val="auto"/>
                <w:sz w:val="21"/>
                <w:szCs w:val="21"/>
              </w:rPr>
            </w:pPr>
            <w:r>
              <w:rPr>
                <w:color w:val="auto"/>
                <w:sz w:val="21"/>
                <w:szCs w:val="21"/>
              </w:rPr>
              <w:t>栅渣</w:t>
            </w:r>
          </w:p>
        </w:tc>
        <w:tc>
          <w:tcPr>
            <w:tcW w:w="2027" w:type="pct"/>
            <w:tcBorders>
              <w:tl2br w:val="nil"/>
              <w:tr2bl w:val="nil"/>
            </w:tcBorders>
            <w:noWrap w:val="0"/>
            <w:tcMar>
              <w:left w:w="57" w:type="dxa"/>
              <w:right w:w="57" w:type="dxa"/>
            </w:tcMar>
            <w:vAlign w:val="center"/>
          </w:tcPr>
          <w:p w14:paraId="403CAA6A">
            <w:pPr>
              <w:pStyle w:val="498"/>
              <w:pageBreakBefore w:val="0"/>
              <w:wordWrap/>
              <w:bidi w:val="0"/>
              <w:adjustRightInd/>
              <w:snapToGrid/>
              <w:ind w:firstLine="0" w:firstLineChars="0"/>
              <w:jc w:val="center"/>
              <w:rPr>
                <w:color w:val="auto"/>
                <w:sz w:val="21"/>
                <w:szCs w:val="21"/>
              </w:rPr>
            </w:pPr>
            <w:r>
              <w:rPr>
                <w:color w:val="auto"/>
                <w:sz w:val="21"/>
                <w:szCs w:val="21"/>
              </w:rPr>
              <w:t>环卫部门清运</w:t>
            </w:r>
          </w:p>
        </w:tc>
        <w:tc>
          <w:tcPr>
            <w:tcW w:w="1434" w:type="pct"/>
            <w:vMerge w:val="continue"/>
            <w:tcBorders>
              <w:tl2br w:val="nil"/>
              <w:tr2bl w:val="nil"/>
            </w:tcBorders>
            <w:noWrap w:val="0"/>
            <w:tcMar>
              <w:left w:w="57" w:type="dxa"/>
              <w:right w:w="57" w:type="dxa"/>
            </w:tcMar>
            <w:vAlign w:val="center"/>
          </w:tcPr>
          <w:p w14:paraId="0AD3A667">
            <w:pPr>
              <w:pageBreakBefore w:val="0"/>
              <w:wordWrap/>
              <w:bidi w:val="0"/>
              <w:adjustRightInd/>
              <w:snapToGrid/>
              <w:spacing w:line="240" w:lineRule="auto"/>
              <w:ind w:firstLine="0" w:firstLineChars="0"/>
              <w:jc w:val="center"/>
              <w:textAlignment w:val="baseline"/>
              <w:rPr>
                <w:color w:val="auto"/>
                <w:kern w:val="0"/>
                <w:sz w:val="21"/>
                <w:szCs w:val="21"/>
              </w:rPr>
            </w:pPr>
          </w:p>
        </w:tc>
      </w:tr>
      <w:tr w14:paraId="784AEF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02B850F6">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42A5E94B">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4A1B4B35">
            <w:pPr>
              <w:pStyle w:val="498"/>
              <w:pageBreakBefore w:val="0"/>
              <w:wordWrap/>
              <w:bidi w:val="0"/>
              <w:adjustRightInd/>
              <w:snapToGrid/>
              <w:ind w:firstLine="0" w:firstLineChars="0"/>
              <w:jc w:val="center"/>
              <w:rPr>
                <w:color w:val="auto"/>
                <w:sz w:val="21"/>
                <w:szCs w:val="21"/>
              </w:rPr>
            </w:pPr>
            <w:r>
              <w:rPr>
                <w:color w:val="auto"/>
                <w:sz w:val="21"/>
                <w:szCs w:val="21"/>
              </w:rPr>
              <w:t>污泥</w:t>
            </w:r>
          </w:p>
        </w:tc>
        <w:tc>
          <w:tcPr>
            <w:tcW w:w="2027" w:type="pct"/>
            <w:tcBorders>
              <w:tl2br w:val="nil"/>
              <w:tr2bl w:val="nil"/>
            </w:tcBorders>
            <w:noWrap w:val="0"/>
            <w:tcMar>
              <w:left w:w="57" w:type="dxa"/>
              <w:right w:w="57" w:type="dxa"/>
            </w:tcMar>
            <w:vAlign w:val="center"/>
          </w:tcPr>
          <w:p w14:paraId="00F1456C">
            <w:pPr>
              <w:pageBreakBefore w:val="0"/>
              <w:widowControl/>
              <w:wordWrap/>
              <w:bidi w:val="0"/>
              <w:adjustRightInd/>
              <w:snapToGrid/>
              <w:spacing w:line="240" w:lineRule="auto"/>
              <w:ind w:firstLine="0" w:firstLineChars="0"/>
              <w:jc w:val="left"/>
              <w:rPr>
                <w:rFonts w:hint="eastAsia"/>
                <w:color w:val="auto"/>
                <w:kern w:val="0"/>
                <w:sz w:val="21"/>
                <w:szCs w:val="21"/>
                <w:lang w:bidi="ar"/>
              </w:rPr>
            </w:pPr>
            <w:r>
              <w:rPr>
                <w:rFonts w:hint="eastAsia"/>
                <w:color w:val="auto"/>
                <w:kern w:val="0"/>
                <w:sz w:val="21"/>
                <w:szCs w:val="21"/>
                <w:lang w:bidi="ar"/>
              </w:rPr>
              <w:t xml:space="preserve">根据鉴定结果，确定最终处置方式。 </w:t>
            </w:r>
          </w:p>
          <w:p w14:paraId="60FCDEFE">
            <w:pPr>
              <w:pageBreakBefore w:val="0"/>
              <w:widowControl/>
              <w:wordWrap/>
              <w:bidi w:val="0"/>
              <w:adjustRightInd/>
              <w:snapToGrid/>
              <w:spacing w:line="240" w:lineRule="auto"/>
              <w:ind w:firstLine="0" w:firstLineChars="0"/>
              <w:jc w:val="left"/>
              <w:rPr>
                <w:rFonts w:hint="eastAsia"/>
                <w:color w:val="auto"/>
                <w:kern w:val="0"/>
                <w:sz w:val="21"/>
                <w:szCs w:val="21"/>
                <w:lang w:bidi="ar"/>
              </w:rPr>
            </w:pPr>
            <w:r>
              <w:rPr>
                <w:rFonts w:hint="eastAsia"/>
                <w:color w:val="auto"/>
                <w:kern w:val="0"/>
                <w:sz w:val="21"/>
                <w:szCs w:val="21"/>
                <w:lang w:bidi="ar"/>
              </w:rPr>
              <w:t>若属危废→危废处置单位；</w:t>
            </w:r>
          </w:p>
          <w:p w14:paraId="16FDB3BF">
            <w:pPr>
              <w:pageBreakBefore w:val="0"/>
              <w:widowControl/>
              <w:wordWrap/>
              <w:bidi w:val="0"/>
              <w:adjustRightInd/>
              <w:snapToGrid/>
              <w:spacing w:line="240" w:lineRule="auto"/>
              <w:ind w:firstLine="0" w:firstLineChars="0"/>
              <w:jc w:val="left"/>
              <w:rPr>
                <w:color w:val="auto"/>
                <w:sz w:val="21"/>
                <w:szCs w:val="21"/>
              </w:rPr>
            </w:pPr>
            <w:r>
              <w:rPr>
                <w:rFonts w:hint="eastAsia"/>
                <w:color w:val="auto"/>
                <w:kern w:val="0"/>
                <w:sz w:val="21"/>
                <w:szCs w:val="21"/>
                <w:lang w:bidi="ar"/>
              </w:rPr>
              <w:t>若不属危废→外运至填埋场处置或制砖厂烧砖</w:t>
            </w:r>
          </w:p>
        </w:tc>
        <w:tc>
          <w:tcPr>
            <w:tcW w:w="1434" w:type="pct"/>
            <w:vMerge w:val="continue"/>
            <w:tcBorders>
              <w:tl2br w:val="nil"/>
              <w:tr2bl w:val="nil"/>
            </w:tcBorders>
            <w:noWrap w:val="0"/>
            <w:tcMar>
              <w:left w:w="57" w:type="dxa"/>
              <w:right w:w="57" w:type="dxa"/>
            </w:tcMar>
            <w:vAlign w:val="center"/>
          </w:tcPr>
          <w:p w14:paraId="142D5F32">
            <w:pPr>
              <w:pageBreakBefore w:val="0"/>
              <w:wordWrap/>
              <w:bidi w:val="0"/>
              <w:adjustRightInd/>
              <w:snapToGrid/>
              <w:spacing w:line="240" w:lineRule="auto"/>
              <w:ind w:firstLine="0" w:firstLineChars="0"/>
              <w:jc w:val="center"/>
              <w:textAlignment w:val="baseline"/>
              <w:rPr>
                <w:color w:val="auto"/>
                <w:kern w:val="0"/>
                <w:sz w:val="21"/>
                <w:szCs w:val="21"/>
              </w:rPr>
            </w:pPr>
          </w:p>
        </w:tc>
      </w:tr>
      <w:tr w14:paraId="1DBD34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3FAAF064">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60547FB7">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175EAECF">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生物除臭系统废弃填料</w:t>
            </w:r>
          </w:p>
        </w:tc>
        <w:tc>
          <w:tcPr>
            <w:tcW w:w="2027" w:type="pct"/>
            <w:tcBorders>
              <w:tl2br w:val="nil"/>
              <w:tr2bl w:val="nil"/>
            </w:tcBorders>
            <w:noWrap w:val="0"/>
            <w:tcMar>
              <w:left w:w="57" w:type="dxa"/>
              <w:right w:w="57" w:type="dxa"/>
            </w:tcMar>
            <w:vAlign w:val="center"/>
          </w:tcPr>
          <w:p w14:paraId="5436A560">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厂家回收</w:t>
            </w:r>
          </w:p>
        </w:tc>
        <w:tc>
          <w:tcPr>
            <w:tcW w:w="1434" w:type="pct"/>
            <w:vMerge w:val="continue"/>
            <w:tcBorders>
              <w:tl2br w:val="nil"/>
              <w:tr2bl w:val="nil"/>
            </w:tcBorders>
            <w:noWrap w:val="0"/>
            <w:tcMar>
              <w:left w:w="57" w:type="dxa"/>
              <w:right w:w="57" w:type="dxa"/>
            </w:tcMar>
            <w:vAlign w:val="center"/>
          </w:tcPr>
          <w:p w14:paraId="1A17835E">
            <w:pPr>
              <w:pageBreakBefore w:val="0"/>
              <w:wordWrap/>
              <w:bidi w:val="0"/>
              <w:adjustRightInd/>
              <w:snapToGrid/>
              <w:spacing w:line="240" w:lineRule="auto"/>
              <w:ind w:firstLine="0" w:firstLineChars="0"/>
              <w:jc w:val="center"/>
              <w:textAlignment w:val="baseline"/>
              <w:rPr>
                <w:color w:val="auto"/>
                <w:kern w:val="0"/>
                <w:sz w:val="21"/>
                <w:szCs w:val="21"/>
              </w:rPr>
            </w:pPr>
          </w:p>
        </w:tc>
      </w:tr>
      <w:tr w14:paraId="7DF8E5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343F64BD">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4209A41F">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54105760">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废机油</w:t>
            </w:r>
          </w:p>
        </w:tc>
        <w:tc>
          <w:tcPr>
            <w:tcW w:w="2027" w:type="pct"/>
            <w:vMerge w:val="restart"/>
            <w:tcBorders>
              <w:tl2br w:val="nil"/>
              <w:tr2bl w:val="nil"/>
            </w:tcBorders>
            <w:noWrap w:val="0"/>
            <w:tcMar>
              <w:left w:w="57" w:type="dxa"/>
              <w:right w:w="57" w:type="dxa"/>
            </w:tcMar>
            <w:vAlign w:val="center"/>
          </w:tcPr>
          <w:p w14:paraId="186D08A7">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新建危废暂存间，做好防雨、防晒、防溢流、防渗措施，分类收集，定期交由有危废处理资质的单位处理</w:t>
            </w:r>
          </w:p>
        </w:tc>
        <w:tc>
          <w:tcPr>
            <w:tcW w:w="1434" w:type="pct"/>
            <w:vMerge w:val="continue"/>
            <w:tcBorders>
              <w:tl2br w:val="nil"/>
              <w:tr2bl w:val="nil"/>
            </w:tcBorders>
            <w:noWrap w:val="0"/>
            <w:tcMar>
              <w:left w:w="57" w:type="dxa"/>
              <w:right w:w="57" w:type="dxa"/>
            </w:tcMar>
            <w:vAlign w:val="center"/>
          </w:tcPr>
          <w:p w14:paraId="03810591">
            <w:pPr>
              <w:pageBreakBefore w:val="0"/>
              <w:wordWrap/>
              <w:bidi w:val="0"/>
              <w:adjustRightInd/>
              <w:snapToGrid/>
              <w:spacing w:line="240" w:lineRule="auto"/>
              <w:ind w:firstLine="0" w:firstLineChars="0"/>
              <w:jc w:val="center"/>
              <w:textAlignment w:val="baseline"/>
              <w:rPr>
                <w:color w:val="auto"/>
                <w:kern w:val="0"/>
                <w:sz w:val="21"/>
                <w:szCs w:val="21"/>
              </w:rPr>
            </w:pPr>
          </w:p>
        </w:tc>
      </w:tr>
      <w:tr w14:paraId="72C04F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4E388183">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21B352D8">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4C05023A">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废机油桶</w:t>
            </w:r>
          </w:p>
        </w:tc>
        <w:tc>
          <w:tcPr>
            <w:tcW w:w="2027" w:type="pct"/>
            <w:vMerge w:val="continue"/>
            <w:tcBorders>
              <w:tl2br w:val="nil"/>
              <w:tr2bl w:val="nil"/>
            </w:tcBorders>
            <w:noWrap w:val="0"/>
            <w:tcMar>
              <w:left w:w="57" w:type="dxa"/>
              <w:right w:w="57" w:type="dxa"/>
            </w:tcMar>
            <w:vAlign w:val="center"/>
          </w:tcPr>
          <w:p w14:paraId="167DB823">
            <w:pPr>
              <w:pageBreakBefore w:val="0"/>
              <w:wordWrap/>
              <w:bidi w:val="0"/>
              <w:adjustRightInd/>
              <w:snapToGrid/>
              <w:spacing w:line="240" w:lineRule="auto"/>
              <w:ind w:firstLine="0" w:firstLineChars="0"/>
              <w:jc w:val="center"/>
              <w:textAlignment w:val="baseline"/>
              <w:rPr>
                <w:color w:val="auto"/>
                <w:sz w:val="21"/>
                <w:szCs w:val="21"/>
              </w:rPr>
            </w:pPr>
          </w:p>
        </w:tc>
        <w:tc>
          <w:tcPr>
            <w:tcW w:w="1434" w:type="pct"/>
            <w:vMerge w:val="continue"/>
            <w:tcBorders>
              <w:tl2br w:val="nil"/>
              <w:tr2bl w:val="nil"/>
            </w:tcBorders>
            <w:noWrap w:val="0"/>
            <w:tcMar>
              <w:left w:w="57" w:type="dxa"/>
              <w:right w:w="57" w:type="dxa"/>
            </w:tcMar>
            <w:vAlign w:val="center"/>
          </w:tcPr>
          <w:p w14:paraId="734A82B0">
            <w:pPr>
              <w:pageBreakBefore w:val="0"/>
              <w:wordWrap/>
              <w:bidi w:val="0"/>
              <w:adjustRightInd/>
              <w:snapToGrid/>
              <w:spacing w:line="240" w:lineRule="auto"/>
              <w:ind w:firstLine="0" w:firstLineChars="0"/>
              <w:jc w:val="center"/>
              <w:textAlignment w:val="baseline"/>
              <w:rPr>
                <w:color w:val="auto"/>
                <w:kern w:val="0"/>
                <w:sz w:val="21"/>
                <w:szCs w:val="21"/>
              </w:rPr>
            </w:pPr>
          </w:p>
        </w:tc>
      </w:tr>
      <w:tr w14:paraId="2CB42F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788319A8">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34E8485E">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613E2C25">
            <w:pPr>
              <w:pStyle w:val="498"/>
              <w:pageBreakBefore w:val="0"/>
              <w:wordWrap/>
              <w:bidi w:val="0"/>
              <w:adjustRightInd/>
              <w:snapToGrid/>
              <w:ind w:firstLine="0" w:firstLineChars="0"/>
              <w:jc w:val="center"/>
              <w:rPr>
                <w:color w:val="auto"/>
                <w:sz w:val="21"/>
                <w:szCs w:val="21"/>
              </w:rPr>
            </w:pPr>
            <w:r>
              <w:rPr>
                <w:rFonts w:hint="eastAsia"/>
                <w:color w:val="auto"/>
                <w:sz w:val="21"/>
                <w:szCs w:val="21"/>
                <w:lang w:val="en-US" w:eastAsia="zh-CN"/>
              </w:rPr>
              <w:t>含油棉纱手套</w:t>
            </w:r>
          </w:p>
        </w:tc>
        <w:tc>
          <w:tcPr>
            <w:tcW w:w="2027" w:type="pct"/>
            <w:vMerge w:val="continue"/>
            <w:tcBorders>
              <w:tl2br w:val="nil"/>
              <w:tr2bl w:val="nil"/>
            </w:tcBorders>
            <w:noWrap w:val="0"/>
            <w:tcMar>
              <w:left w:w="57" w:type="dxa"/>
              <w:right w:w="57" w:type="dxa"/>
            </w:tcMar>
            <w:vAlign w:val="center"/>
          </w:tcPr>
          <w:p w14:paraId="275938FC">
            <w:pPr>
              <w:pageBreakBefore w:val="0"/>
              <w:wordWrap/>
              <w:bidi w:val="0"/>
              <w:adjustRightInd/>
              <w:snapToGrid/>
              <w:spacing w:line="240" w:lineRule="auto"/>
              <w:ind w:firstLine="0" w:firstLineChars="0"/>
              <w:jc w:val="center"/>
              <w:textAlignment w:val="baseline"/>
              <w:rPr>
                <w:color w:val="auto"/>
                <w:sz w:val="21"/>
                <w:szCs w:val="21"/>
              </w:rPr>
            </w:pPr>
          </w:p>
        </w:tc>
        <w:tc>
          <w:tcPr>
            <w:tcW w:w="1434" w:type="pct"/>
            <w:vMerge w:val="continue"/>
            <w:tcBorders>
              <w:tl2br w:val="nil"/>
              <w:tr2bl w:val="nil"/>
            </w:tcBorders>
            <w:noWrap w:val="0"/>
            <w:tcMar>
              <w:left w:w="57" w:type="dxa"/>
              <w:right w:w="57" w:type="dxa"/>
            </w:tcMar>
            <w:vAlign w:val="center"/>
          </w:tcPr>
          <w:p w14:paraId="31CF3B33">
            <w:pPr>
              <w:pageBreakBefore w:val="0"/>
              <w:wordWrap/>
              <w:bidi w:val="0"/>
              <w:adjustRightInd/>
              <w:snapToGrid/>
              <w:spacing w:line="240" w:lineRule="auto"/>
              <w:ind w:firstLine="0" w:firstLineChars="0"/>
              <w:jc w:val="center"/>
              <w:textAlignment w:val="baseline"/>
              <w:rPr>
                <w:color w:val="auto"/>
                <w:kern w:val="0"/>
                <w:sz w:val="21"/>
                <w:szCs w:val="21"/>
              </w:rPr>
            </w:pPr>
          </w:p>
        </w:tc>
      </w:tr>
      <w:tr w14:paraId="77ADF9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3AB8304E">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1ECD8793">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10EC2A01">
            <w:pPr>
              <w:pStyle w:val="498"/>
              <w:pageBreakBefore w:val="0"/>
              <w:wordWrap/>
              <w:bidi w:val="0"/>
              <w:adjustRightInd/>
              <w:snapToGrid/>
              <w:ind w:firstLine="0" w:firstLineChars="0"/>
              <w:jc w:val="center"/>
              <w:rPr>
                <w:color w:val="auto"/>
                <w:sz w:val="21"/>
                <w:szCs w:val="21"/>
              </w:rPr>
            </w:pPr>
            <w:r>
              <w:rPr>
                <w:color w:val="auto"/>
                <w:sz w:val="21"/>
                <w:szCs w:val="21"/>
              </w:rPr>
              <w:t>化验废液</w:t>
            </w:r>
          </w:p>
        </w:tc>
        <w:tc>
          <w:tcPr>
            <w:tcW w:w="2027" w:type="pct"/>
            <w:vMerge w:val="continue"/>
            <w:tcBorders>
              <w:tl2br w:val="nil"/>
              <w:tr2bl w:val="nil"/>
            </w:tcBorders>
            <w:noWrap w:val="0"/>
            <w:tcMar>
              <w:left w:w="57" w:type="dxa"/>
              <w:right w:w="57" w:type="dxa"/>
            </w:tcMar>
            <w:vAlign w:val="center"/>
          </w:tcPr>
          <w:p w14:paraId="766FAD86">
            <w:pPr>
              <w:pageBreakBefore w:val="0"/>
              <w:wordWrap/>
              <w:bidi w:val="0"/>
              <w:adjustRightInd/>
              <w:snapToGrid/>
              <w:spacing w:line="240" w:lineRule="auto"/>
              <w:ind w:firstLine="0" w:firstLineChars="0"/>
              <w:jc w:val="center"/>
              <w:textAlignment w:val="baseline"/>
              <w:rPr>
                <w:color w:val="auto"/>
                <w:sz w:val="21"/>
                <w:szCs w:val="21"/>
              </w:rPr>
            </w:pPr>
          </w:p>
        </w:tc>
        <w:tc>
          <w:tcPr>
            <w:tcW w:w="1434" w:type="pct"/>
            <w:vMerge w:val="continue"/>
            <w:tcBorders>
              <w:tl2br w:val="nil"/>
              <w:tr2bl w:val="nil"/>
            </w:tcBorders>
            <w:noWrap w:val="0"/>
            <w:tcMar>
              <w:left w:w="57" w:type="dxa"/>
              <w:right w:w="57" w:type="dxa"/>
            </w:tcMar>
            <w:vAlign w:val="center"/>
          </w:tcPr>
          <w:p w14:paraId="78006D85">
            <w:pPr>
              <w:pageBreakBefore w:val="0"/>
              <w:wordWrap/>
              <w:bidi w:val="0"/>
              <w:adjustRightInd/>
              <w:snapToGrid/>
              <w:spacing w:line="240" w:lineRule="auto"/>
              <w:ind w:firstLine="0" w:firstLineChars="0"/>
              <w:jc w:val="center"/>
              <w:textAlignment w:val="baseline"/>
              <w:rPr>
                <w:color w:val="auto"/>
                <w:kern w:val="0"/>
                <w:sz w:val="21"/>
                <w:szCs w:val="21"/>
              </w:rPr>
            </w:pPr>
          </w:p>
        </w:tc>
      </w:tr>
      <w:tr w14:paraId="31E940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3AE4410B">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2E1D3F02">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530D0473">
            <w:pPr>
              <w:pStyle w:val="498"/>
              <w:pageBreakBefore w:val="0"/>
              <w:wordWrap/>
              <w:bidi w:val="0"/>
              <w:adjustRightInd/>
              <w:snapToGrid/>
              <w:ind w:firstLine="0" w:firstLineChars="0"/>
              <w:jc w:val="center"/>
              <w:rPr>
                <w:rFonts w:hint="eastAsia"/>
                <w:color w:val="auto"/>
                <w:sz w:val="21"/>
                <w:szCs w:val="21"/>
                <w:lang w:val="en-US" w:eastAsia="zh-CN"/>
              </w:rPr>
            </w:pPr>
            <w:r>
              <w:rPr>
                <w:rFonts w:hint="eastAsia"/>
                <w:color w:val="auto"/>
                <w:sz w:val="21"/>
                <w:szCs w:val="21"/>
                <w:lang w:val="en-US" w:eastAsia="zh-CN"/>
              </w:rPr>
              <w:t>废化学试剂瓶</w:t>
            </w:r>
          </w:p>
        </w:tc>
        <w:tc>
          <w:tcPr>
            <w:tcW w:w="2027" w:type="pct"/>
            <w:vMerge w:val="continue"/>
            <w:tcBorders>
              <w:tl2br w:val="nil"/>
              <w:tr2bl w:val="nil"/>
            </w:tcBorders>
            <w:noWrap w:val="0"/>
            <w:tcMar>
              <w:left w:w="57" w:type="dxa"/>
              <w:right w:w="57" w:type="dxa"/>
            </w:tcMar>
            <w:vAlign w:val="center"/>
          </w:tcPr>
          <w:p w14:paraId="4986CE46">
            <w:pPr>
              <w:pageBreakBefore w:val="0"/>
              <w:wordWrap/>
              <w:bidi w:val="0"/>
              <w:adjustRightInd/>
              <w:snapToGrid/>
              <w:spacing w:line="240" w:lineRule="auto"/>
              <w:ind w:firstLine="0" w:firstLineChars="0"/>
              <w:jc w:val="center"/>
              <w:textAlignment w:val="baseline"/>
              <w:rPr>
                <w:color w:val="auto"/>
                <w:sz w:val="21"/>
                <w:szCs w:val="21"/>
              </w:rPr>
            </w:pPr>
          </w:p>
        </w:tc>
        <w:tc>
          <w:tcPr>
            <w:tcW w:w="1434" w:type="pct"/>
            <w:vMerge w:val="continue"/>
            <w:tcBorders>
              <w:tl2br w:val="nil"/>
              <w:tr2bl w:val="nil"/>
            </w:tcBorders>
            <w:noWrap w:val="0"/>
            <w:tcMar>
              <w:left w:w="57" w:type="dxa"/>
              <w:right w:w="57" w:type="dxa"/>
            </w:tcMar>
            <w:vAlign w:val="center"/>
          </w:tcPr>
          <w:p w14:paraId="4A7F52E3">
            <w:pPr>
              <w:pageBreakBefore w:val="0"/>
              <w:wordWrap/>
              <w:bidi w:val="0"/>
              <w:adjustRightInd/>
              <w:snapToGrid/>
              <w:spacing w:line="240" w:lineRule="auto"/>
              <w:ind w:firstLine="0" w:firstLineChars="0"/>
              <w:jc w:val="center"/>
              <w:textAlignment w:val="baseline"/>
              <w:rPr>
                <w:color w:val="auto"/>
                <w:kern w:val="0"/>
                <w:sz w:val="21"/>
                <w:szCs w:val="21"/>
              </w:rPr>
            </w:pPr>
          </w:p>
        </w:tc>
      </w:tr>
      <w:tr w14:paraId="3D59AF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vMerge w:val="continue"/>
            <w:tcBorders>
              <w:tl2br w:val="nil"/>
              <w:tr2bl w:val="nil"/>
            </w:tcBorders>
            <w:noWrap w:val="0"/>
            <w:tcMar>
              <w:left w:w="57" w:type="dxa"/>
              <w:right w:w="57" w:type="dxa"/>
            </w:tcMar>
            <w:vAlign w:val="center"/>
          </w:tcPr>
          <w:p w14:paraId="21DF40B6">
            <w:pPr>
              <w:pageBreakBefore w:val="0"/>
              <w:wordWrap/>
              <w:bidi w:val="0"/>
              <w:adjustRightInd/>
              <w:snapToGrid/>
              <w:spacing w:line="240" w:lineRule="auto"/>
              <w:ind w:firstLine="0" w:firstLineChars="0"/>
              <w:jc w:val="center"/>
              <w:textAlignment w:val="baseline"/>
              <w:rPr>
                <w:color w:val="auto"/>
                <w:kern w:val="0"/>
                <w:sz w:val="21"/>
                <w:szCs w:val="21"/>
              </w:rPr>
            </w:pPr>
          </w:p>
        </w:tc>
        <w:tc>
          <w:tcPr>
            <w:tcW w:w="327" w:type="pct"/>
            <w:vMerge w:val="continue"/>
            <w:tcBorders>
              <w:tl2br w:val="nil"/>
              <w:tr2bl w:val="nil"/>
            </w:tcBorders>
            <w:noWrap w:val="0"/>
            <w:tcMar>
              <w:left w:w="57" w:type="dxa"/>
              <w:right w:w="57" w:type="dxa"/>
            </w:tcMar>
            <w:vAlign w:val="center"/>
          </w:tcPr>
          <w:p w14:paraId="149EF472">
            <w:pPr>
              <w:pageBreakBefore w:val="0"/>
              <w:wordWrap/>
              <w:bidi w:val="0"/>
              <w:adjustRightInd/>
              <w:snapToGrid/>
              <w:spacing w:line="240" w:lineRule="auto"/>
              <w:ind w:firstLine="0" w:firstLineChars="0"/>
              <w:jc w:val="center"/>
              <w:textAlignment w:val="baseline"/>
              <w:rPr>
                <w:color w:val="auto"/>
                <w:kern w:val="0"/>
                <w:sz w:val="21"/>
                <w:szCs w:val="21"/>
              </w:rPr>
            </w:pPr>
          </w:p>
        </w:tc>
        <w:tc>
          <w:tcPr>
            <w:tcW w:w="843" w:type="pct"/>
            <w:tcBorders>
              <w:tl2br w:val="nil"/>
              <w:tr2bl w:val="nil"/>
            </w:tcBorders>
            <w:noWrap w:val="0"/>
            <w:tcMar>
              <w:left w:w="57" w:type="dxa"/>
              <w:right w:w="57" w:type="dxa"/>
            </w:tcMar>
            <w:vAlign w:val="center"/>
          </w:tcPr>
          <w:p w14:paraId="19620609">
            <w:pPr>
              <w:pStyle w:val="498"/>
              <w:pageBreakBefore w:val="0"/>
              <w:wordWrap/>
              <w:bidi w:val="0"/>
              <w:adjustRightInd/>
              <w:snapToGrid/>
              <w:ind w:firstLine="0" w:firstLineChars="0"/>
              <w:jc w:val="center"/>
              <w:rPr>
                <w:color w:val="auto"/>
                <w:sz w:val="21"/>
                <w:szCs w:val="21"/>
              </w:rPr>
            </w:pPr>
            <w:r>
              <w:rPr>
                <w:rFonts w:hint="eastAsia"/>
                <w:color w:val="auto"/>
                <w:sz w:val="21"/>
                <w:szCs w:val="21"/>
              </w:rPr>
              <w:t>废紫外线灯管</w:t>
            </w:r>
          </w:p>
        </w:tc>
        <w:tc>
          <w:tcPr>
            <w:tcW w:w="2027" w:type="pct"/>
            <w:vMerge w:val="continue"/>
            <w:tcBorders>
              <w:tl2br w:val="nil"/>
              <w:tr2bl w:val="nil"/>
            </w:tcBorders>
            <w:noWrap w:val="0"/>
            <w:tcMar>
              <w:left w:w="57" w:type="dxa"/>
              <w:right w:w="57" w:type="dxa"/>
            </w:tcMar>
            <w:vAlign w:val="center"/>
          </w:tcPr>
          <w:p w14:paraId="334FCDB6">
            <w:pPr>
              <w:pageBreakBefore w:val="0"/>
              <w:wordWrap/>
              <w:bidi w:val="0"/>
              <w:adjustRightInd/>
              <w:snapToGrid/>
              <w:spacing w:line="240" w:lineRule="auto"/>
              <w:ind w:firstLine="0" w:firstLineChars="0"/>
              <w:jc w:val="center"/>
              <w:textAlignment w:val="baseline"/>
              <w:rPr>
                <w:color w:val="auto"/>
                <w:sz w:val="21"/>
                <w:szCs w:val="21"/>
              </w:rPr>
            </w:pPr>
          </w:p>
        </w:tc>
        <w:tc>
          <w:tcPr>
            <w:tcW w:w="1434" w:type="pct"/>
            <w:vMerge w:val="continue"/>
            <w:tcBorders>
              <w:tl2br w:val="nil"/>
              <w:tr2bl w:val="nil"/>
            </w:tcBorders>
            <w:noWrap w:val="0"/>
            <w:tcMar>
              <w:left w:w="57" w:type="dxa"/>
              <w:right w:w="57" w:type="dxa"/>
            </w:tcMar>
            <w:vAlign w:val="center"/>
          </w:tcPr>
          <w:p w14:paraId="3D695CE2">
            <w:pPr>
              <w:pageBreakBefore w:val="0"/>
              <w:wordWrap/>
              <w:bidi w:val="0"/>
              <w:adjustRightInd/>
              <w:snapToGrid/>
              <w:spacing w:line="240" w:lineRule="auto"/>
              <w:ind w:firstLine="0" w:firstLineChars="0"/>
              <w:jc w:val="center"/>
              <w:textAlignment w:val="baseline"/>
              <w:rPr>
                <w:color w:val="auto"/>
                <w:kern w:val="0"/>
                <w:sz w:val="21"/>
                <w:szCs w:val="21"/>
              </w:rPr>
            </w:pPr>
          </w:p>
        </w:tc>
      </w:tr>
      <w:tr w14:paraId="5460AB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66" w:type="pct"/>
            <w:tcBorders>
              <w:tl2br w:val="nil"/>
              <w:tr2bl w:val="nil"/>
            </w:tcBorders>
            <w:noWrap w:val="0"/>
            <w:tcMar>
              <w:left w:w="57" w:type="dxa"/>
              <w:right w:w="57" w:type="dxa"/>
            </w:tcMar>
            <w:vAlign w:val="center"/>
          </w:tcPr>
          <w:p w14:paraId="4D6E5525">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环境风险</w:t>
            </w:r>
          </w:p>
        </w:tc>
        <w:tc>
          <w:tcPr>
            <w:tcW w:w="327" w:type="pct"/>
            <w:tcBorders>
              <w:tl2br w:val="nil"/>
              <w:tr2bl w:val="nil"/>
            </w:tcBorders>
            <w:noWrap w:val="0"/>
            <w:tcMar>
              <w:left w:w="57" w:type="dxa"/>
              <w:right w:w="57" w:type="dxa"/>
            </w:tcMar>
            <w:vAlign w:val="center"/>
          </w:tcPr>
          <w:p w14:paraId="498D2E38">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营运期</w:t>
            </w:r>
          </w:p>
        </w:tc>
        <w:tc>
          <w:tcPr>
            <w:tcW w:w="843" w:type="pct"/>
            <w:tcBorders>
              <w:tl2br w:val="nil"/>
              <w:tr2bl w:val="nil"/>
            </w:tcBorders>
            <w:noWrap w:val="0"/>
            <w:tcMar>
              <w:left w:w="57" w:type="dxa"/>
              <w:right w:w="57" w:type="dxa"/>
            </w:tcMar>
            <w:vAlign w:val="center"/>
          </w:tcPr>
          <w:p w14:paraId="555B8530">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应急措施</w:t>
            </w:r>
          </w:p>
        </w:tc>
        <w:tc>
          <w:tcPr>
            <w:tcW w:w="2027" w:type="pct"/>
            <w:tcBorders>
              <w:tl2br w:val="nil"/>
              <w:tr2bl w:val="nil"/>
            </w:tcBorders>
            <w:noWrap w:val="0"/>
            <w:tcMar>
              <w:left w:w="57" w:type="dxa"/>
              <w:right w:w="57" w:type="dxa"/>
            </w:tcMar>
            <w:vAlign w:val="center"/>
          </w:tcPr>
          <w:p w14:paraId="445E6C23">
            <w:pPr>
              <w:pageBreakBefore w:val="0"/>
              <w:wordWrap/>
              <w:bidi w:val="0"/>
              <w:adjustRightInd/>
              <w:snapToGrid/>
              <w:spacing w:line="240" w:lineRule="auto"/>
              <w:ind w:firstLine="0" w:firstLineChars="0"/>
              <w:jc w:val="center"/>
              <w:textAlignment w:val="baseline"/>
              <w:rPr>
                <w:color w:val="auto"/>
                <w:sz w:val="21"/>
                <w:szCs w:val="21"/>
              </w:rPr>
            </w:pPr>
            <w:r>
              <w:rPr>
                <w:color w:val="auto"/>
                <w:sz w:val="21"/>
                <w:szCs w:val="21"/>
              </w:rPr>
              <w:t>配置灭火器、消火栓等消防设施；制定应急预案，加强演练</w:t>
            </w:r>
          </w:p>
        </w:tc>
        <w:tc>
          <w:tcPr>
            <w:tcW w:w="1434" w:type="pct"/>
            <w:tcBorders>
              <w:tl2br w:val="nil"/>
              <w:tr2bl w:val="nil"/>
            </w:tcBorders>
            <w:noWrap w:val="0"/>
            <w:tcMar>
              <w:left w:w="57" w:type="dxa"/>
              <w:right w:w="57" w:type="dxa"/>
            </w:tcMar>
            <w:vAlign w:val="center"/>
          </w:tcPr>
          <w:p w14:paraId="0E93487B">
            <w:pPr>
              <w:pageBreakBefore w:val="0"/>
              <w:wordWrap/>
              <w:bidi w:val="0"/>
              <w:adjustRightInd/>
              <w:snapToGrid/>
              <w:spacing w:line="240" w:lineRule="auto"/>
              <w:ind w:firstLine="0" w:firstLineChars="0"/>
              <w:jc w:val="center"/>
              <w:textAlignment w:val="baseline"/>
              <w:rPr>
                <w:color w:val="auto"/>
                <w:kern w:val="0"/>
                <w:sz w:val="21"/>
                <w:szCs w:val="21"/>
              </w:rPr>
            </w:pPr>
            <w:r>
              <w:rPr>
                <w:color w:val="auto"/>
                <w:kern w:val="0"/>
                <w:sz w:val="21"/>
                <w:szCs w:val="21"/>
              </w:rPr>
              <w:t>满足要求</w:t>
            </w:r>
          </w:p>
        </w:tc>
      </w:tr>
    </w:tbl>
    <w:p w14:paraId="3B61F10A">
      <w:pPr>
        <w:pStyle w:val="144"/>
        <w:pageBreakBefore w:val="0"/>
        <w:wordWrap/>
        <w:bidi w:val="0"/>
        <w:adjustRightInd/>
        <w:snapToGrid/>
        <w:rPr>
          <w:color w:val="auto"/>
        </w:rPr>
        <w:sectPr>
          <w:headerReference r:id="rId26" w:type="default"/>
          <w:footerReference r:id="rId27" w:type="default"/>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docGrid w:linePitch="312" w:charSpace="0"/>
        </w:sectPr>
      </w:pPr>
    </w:p>
    <w:p w14:paraId="3BC3B8BA">
      <w:pPr>
        <w:pStyle w:val="3"/>
        <w:pageBreakBefore w:val="0"/>
        <w:wordWrap/>
        <w:bidi w:val="0"/>
        <w:adjustRightInd/>
        <w:snapToGrid/>
        <w:rPr>
          <w:rFonts w:eastAsia="宋体"/>
          <w:color w:val="auto"/>
        </w:rPr>
      </w:pPr>
      <w:bookmarkStart w:id="343" w:name="_Toc17114"/>
      <w:bookmarkStart w:id="344" w:name="_Toc7220"/>
      <w:bookmarkStart w:id="345" w:name="_Toc505087386"/>
      <w:r>
        <w:rPr>
          <w:rFonts w:eastAsia="宋体"/>
          <w:color w:val="auto"/>
        </w:rPr>
        <w:t>环境影响评价结论</w:t>
      </w:r>
      <w:bookmarkEnd w:id="341"/>
      <w:bookmarkEnd w:id="342"/>
      <w:bookmarkEnd w:id="343"/>
      <w:bookmarkEnd w:id="344"/>
      <w:bookmarkEnd w:id="345"/>
    </w:p>
    <w:p w14:paraId="0E04D924">
      <w:pPr>
        <w:pStyle w:val="4"/>
        <w:pageBreakBefore w:val="0"/>
        <w:wordWrap/>
        <w:bidi w:val="0"/>
        <w:adjustRightInd/>
        <w:snapToGrid/>
        <w:rPr>
          <w:rFonts w:ascii="Times New Roman" w:hAnsi="Times New Roman" w:eastAsia="宋体"/>
          <w:color w:val="auto"/>
        </w:rPr>
      </w:pPr>
      <w:bookmarkStart w:id="346" w:name="_Toc505087387"/>
      <w:bookmarkStart w:id="347" w:name="_Toc20983"/>
      <w:bookmarkStart w:id="348" w:name="_Toc374627870"/>
      <w:bookmarkStart w:id="349" w:name="_Toc30943"/>
      <w:bookmarkStart w:id="350" w:name="_Toc362082782"/>
      <w:r>
        <w:rPr>
          <w:rFonts w:hint="eastAsia" w:ascii="Times New Roman" w:hAnsi="Times New Roman" w:eastAsia="宋体"/>
          <w:color w:val="auto"/>
        </w:rPr>
        <w:t xml:space="preserve"> </w:t>
      </w:r>
      <w:bookmarkStart w:id="351" w:name="_Toc10799"/>
      <w:r>
        <w:rPr>
          <w:rFonts w:ascii="Times New Roman" w:hAnsi="Times New Roman" w:eastAsia="宋体"/>
          <w:color w:val="auto"/>
        </w:rPr>
        <w:t>结论</w:t>
      </w:r>
      <w:bookmarkEnd w:id="346"/>
      <w:bookmarkEnd w:id="347"/>
      <w:bookmarkEnd w:id="348"/>
      <w:bookmarkEnd w:id="349"/>
      <w:bookmarkEnd w:id="350"/>
      <w:bookmarkEnd w:id="351"/>
    </w:p>
    <w:p w14:paraId="15BAD757">
      <w:pPr>
        <w:pStyle w:val="5"/>
        <w:pageBreakBefore w:val="0"/>
        <w:wordWrap/>
        <w:bidi w:val="0"/>
        <w:adjustRightInd/>
        <w:snapToGrid/>
        <w:spacing w:before="48" w:after="48"/>
        <w:ind w:left="0"/>
        <w:rPr>
          <w:rFonts w:eastAsia="宋体"/>
          <w:color w:val="auto"/>
        </w:rPr>
      </w:pPr>
      <w:bookmarkStart w:id="352" w:name="_Toc8343"/>
      <w:bookmarkStart w:id="353" w:name="_Toc374627871"/>
      <w:r>
        <w:rPr>
          <w:rFonts w:hint="eastAsia" w:eastAsia="宋体"/>
          <w:color w:val="auto"/>
        </w:rPr>
        <w:t xml:space="preserve"> </w:t>
      </w:r>
      <w:r>
        <w:rPr>
          <w:rFonts w:eastAsia="宋体"/>
          <w:color w:val="auto"/>
        </w:rPr>
        <w:t>建设项目概况</w:t>
      </w:r>
    </w:p>
    <w:p w14:paraId="7F99609D">
      <w:pPr>
        <w:pageBreakBefore w:val="0"/>
        <w:widowControl/>
        <w:wordWrap/>
        <w:bidi w:val="0"/>
        <w:adjustRightInd/>
        <w:snapToGrid/>
        <w:ind w:firstLine="480"/>
        <w:rPr>
          <w:color w:val="auto"/>
          <w:kern w:val="0"/>
          <w:lang w:bidi="ar"/>
        </w:rPr>
      </w:pPr>
      <w:r>
        <w:rPr>
          <w:rFonts w:hint="eastAsia"/>
          <w:color w:val="auto"/>
          <w:lang w:eastAsia="zh-CN"/>
        </w:rPr>
        <w:t>巴中市巴州区曾口片区污水处理厂、环境监测站建设项目</w:t>
      </w:r>
      <w:r>
        <w:rPr>
          <w:rFonts w:hint="eastAsia"/>
          <w:color w:val="auto"/>
        </w:rPr>
        <w:t>位于</w:t>
      </w:r>
      <w:r>
        <w:rPr>
          <w:rFonts w:hint="eastAsia"/>
          <w:color w:val="auto"/>
          <w:lang w:eastAsia="zh-CN"/>
        </w:rPr>
        <w:t>巴中市巴州区曾口镇寿星村13组</w:t>
      </w:r>
      <w:r>
        <w:rPr>
          <w:rFonts w:hint="eastAsia"/>
          <w:color w:val="auto"/>
        </w:rPr>
        <w:t>，占地</w:t>
      </w:r>
      <w:r>
        <w:rPr>
          <w:rFonts w:hint="eastAsia"/>
          <w:color w:val="auto"/>
          <w:lang w:val="en-US" w:eastAsia="zh-CN"/>
        </w:rPr>
        <w:t>40490.09m²</w:t>
      </w:r>
      <w:r>
        <w:rPr>
          <w:rFonts w:hint="eastAsia"/>
          <w:color w:val="auto"/>
        </w:rPr>
        <w:t>，污水处理主体工艺为</w:t>
      </w:r>
      <w:r>
        <w:rPr>
          <w:rFonts w:hint="eastAsia"/>
          <w:color w:val="auto"/>
          <w:lang w:eastAsia="zh-CN"/>
        </w:rPr>
        <w:t>“超细格栅+调节池+水解酸化池+生化池（EBIS）+二沉池+磁混凝沉淀池+深床反硝化+高级氧化深度处理+紫外线消毒”</w:t>
      </w:r>
      <w:r>
        <w:rPr>
          <w:rFonts w:hint="eastAsia"/>
          <w:color w:val="auto"/>
        </w:rPr>
        <w:t>，处理规模为</w:t>
      </w:r>
      <w:r>
        <w:rPr>
          <w:rFonts w:hint="eastAsia"/>
          <w:color w:val="auto"/>
          <w:lang w:val="en-US" w:eastAsia="zh-CN"/>
        </w:rPr>
        <w:t>0.3</w:t>
      </w:r>
      <w:r>
        <w:rPr>
          <w:rFonts w:hint="eastAsia"/>
          <w:color w:val="auto"/>
          <w:lang w:eastAsia="zh-CN"/>
        </w:rPr>
        <w:t>万m³</w:t>
      </w:r>
      <w:r>
        <w:rPr>
          <w:rFonts w:hint="eastAsia"/>
          <w:color w:val="auto"/>
        </w:rPr>
        <w:t>/d（</w:t>
      </w:r>
      <w:r>
        <w:rPr>
          <w:rFonts w:hint="eastAsia"/>
          <w:color w:val="auto"/>
          <w:lang w:val="en-US" w:eastAsia="zh-CN"/>
        </w:rPr>
        <w:t>含尾水管道</w:t>
      </w:r>
      <w:r>
        <w:rPr>
          <w:rFonts w:hint="eastAsia"/>
          <w:color w:val="auto"/>
        </w:rPr>
        <w:t>），本项目出水执行《城镇污水处理厂污染物排放标准》（GB18918-2002）一级A标准。</w:t>
      </w:r>
    </w:p>
    <w:bookmarkEnd w:id="352"/>
    <w:bookmarkEnd w:id="353"/>
    <w:p w14:paraId="5B116D63">
      <w:pPr>
        <w:pStyle w:val="5"/>
        <w:pageBreakBefore w:val="0"/>
        <w:wordWrap/>
        <w:bidi w:val="0"/>
        <w:adjustRightInd/>
        <w:snapToGrid/>
        <w:spacing w:before="48" w:after="48"/>
        <w:ind w:left="0"/>
        <w:rPr>
          <w:rFonts w:eastAsia="宋体"/>
          <w:color w:val="auto"/>
        </w:rPr>
      </w:pPr>
      <w:bookmarkStart w:id="354" w:name="_Toc18760"/>
      <w:bookmarkStart w:id="355" w:name="_Toc374627872"/>
      <w:r>
        <w:rPr>
          <w:rFonts w:hint="eastAsia" w:eastAsia="宋体"/>
          <w:color w:val="auto"/>
        </w:rPr>
        <w:t xml:space="preserve"> </w:t>
      </w:r>
      <w:r>
        <w:rPr>
          <w:rFonts w:eastAsia="宋体"/>
          <w:color w:val="auto"/>
        </w:rPr>
        <w:t>环境质量现状结论</w:t>
      </w:r>
    </w:p>
    <w:p w14:paraId="20573F51">
      <w:pPr>
        <w:bidi w:val="0"/>
        <w:rPr>
          <w:color w:val="auto"/>
        </w:rPr>
      </w:pPr>
      <w:r>
        <w:rPr>
          <w:color w:val="auto"/>
        </w:rPr>
        <w:t>1、环境空气</w:t>
      </w:r>
    </w:p>
    <w:p w14:paraId="69560C24">
      <w:pPr>
        <w:bidi w:val="0"/>
        <w:rPr>
          <w:color w:val="auto"/>
        </w:rPr>
      </w:pPr>
      <w:r>
        <w:rPr>
          <w:color w:val="auto"/>
        </w:rPr>
        <w:t>根据《</w:t>
      </w:r>
      <w:r>
        <w:rPr>
          <w:rFonts w:hint="eastAsia"/>
          <w:color w:val="auto"/>
          <w:lang w:eastAsia="zh-CN"/>
        </w:rPr>
        <w:t>2023巴中市生态环境状况公报</w:t>
      </w:r>
      <w:r>
        <w:rPr>
          <w:color w:val="auto"/>
        </w:rPr>
        <w:t>》，</w:t>
      </w:r>
      <w:r>
        <w:rPr>
          <w:rFonts w:hint="eastAsia"/>
          <w:color w:val="auto"/>
        </w:rPr>
        <w:t>巴中市六项基本因子均满足《环境空气质量标准》（GB3095-2012）中的二级标准</w:t>
      </w:r>
      <w:r>
        <w:rPr>
          <w:color w:val="auto"/>
        </w:rPr>
        <w:t>，项目所在区域为达标区。同时对区域NH</w:t>
      </w:r>
      <w:r>
        <w:rPr>
          <w:color w:val="auto"/>
          <w:vertAlign w:val="subscript"/>
        </w:rPr>
        <w:t>3</w:t>
      </w:r>
      <w:r>
        <w:rPr>
          <w:color w:val="auto"/>
        </w:rPr>
        <w:t>、H</w:t>
      </w:r>
      <w:r>
        <w:rPr>
          <w:color w:val="auto"/>
          <w:vertAlign w:val="subscript"/>
        </w:rPr>
        <w:t>2</w:t>
      </w:r>
      <w:r>
        <w:rPr>
          <w:color w:val="auto"/>
        </w:rPr>
        <w:t>S进行了补充监测，均满足《环境影响评价技术导则 大气环境》（HJ2.2-2018）中附录D要求限值。</w:t>
      </w:r>
    </w:p>
    <w:p w14:paraId="05C1F551">
      <w:pPr>
        <w:bidi w:val="0"/>
        <w:rPr>
          <w:color w:val="auto"/>
        </w:rPr>
      </w:pPr>
      <w:r>
        <w:rPr>
          <w:color w:val="auto"/>
        </w:rPr>
        <w:t>2、地表水环境</w:t>
      </w:r>
    </w:p>
    <w:p w14:paraId="4DBD7235">
      <w:pPr>
        <w:bidi w:val="0"/>
        <w:rPr>
          <w:color w:val="auto"/>
        </w:rPr>
      </w:pPr>
      <w:r>
        <w:rPr>
          <w:color w:val="auto"/>
        </w:rPr>
        <w:t>根据现状监测，</w:t>
      </w:r>
      <w:r>
        <w:rPr>
          <w:rFonts w:hint="eastAsia"/>
          <w:color w:val="auto"/>
          <w:lang w:eastAsia="zh-CN"/>
        </w:rPr>
        <w:t>巴河</w:t>
      </w:r>
      <w:r>
        <w:rPr>
          <w:color w:val="auto"/>
        </w:rPr>
        <w:t>各水污染物指标均能达到</w:t>
      </w:r>
      <w:r>
        <w:rPr>
          <w:rFonts w:hint="eastAsia"/>
          <w:color w:val="auto"/>
          <w:lang w:eastAsia="zh-CN"/>
        </w:rPr>
        <w:t>《地表水环境质量标准》</w:t>
      </w:r>
      <w:r>
        <w:rPr>
          <w:color w:val="auto"/>
        </w:rPr>
        <w:t>（GB3838-2002）Ⅲ类水域标准限值要求，水环境质量现状较好。</w:t>
      </w:r>
    </w:p>
    <w:p w14:paraId="0DC8C87E">
      <w:pPr>
        <w:bidi w:val="0"/>
        <w:rPr>
          <w:color w:val="auto"/>
        </w:rPr>
      </w:pPr>
      <w:r>
        <w:rPr>
          <w:color w:val="auto"/>
        </w:rPr>
        <w:t>3、声环境</w:t>
      </w:r>
    </w:p>
    <w:p w14:paraId="16E205DA">
      <w:pPr>
        <w:bidi w:val="0"/>
        <w:rPr>
          <w:color w:val="auto"/>
        </w:rPr>
      </w:pPr>
      <w:r>
        <w:rPr>
          <w:color w:val="auto"/>
        </w:rPr>
        <w:t>根据现状监测，厂界周围各噪声监测点昼、夜间声学环境现状监测值均满足（GB3096-2008）中3类标准限值要求，区域声环境质量较好。</w:t>
      </w:r>
    </w:p>
    <w:p w14:paraId="109B00BA">
      <w:pPr>
        <w:bidi w:val="0"/>
        <w:rPr>
          <w:color w:val="auto"/>
        </w:rPr>
      </w:pPr>
      <w:r>
        <w:rPr>
          <w:color w:val="auto"/>
        </w:rPr>
        <w:t>4、地下水环境</w:t>
      </w:r>
    </w:p>
    <w:p w14:paraId="6F31F177">
      <w:pPr>
        <w:bidi w:val="0"/>
        <w:rPr>
          <w:color w:val="auto"/>
        </w:rPr>
      </w:pPr>
      <w:r>
        <w:rPr>
          <w:color w:val="auto"/>
        </w:rPr>
        <w:t>根据现状监测报告，区域地下水各监测指标均满足《地下水质量标准》（GB/T14848-2017）Ⅲ类水域标准，说明区域地下水环境质量良好。</w:t>
      </w:r>
    </w:p>
    <w:p w14:paraId="2B8BCB52">
      <w:pPr>
        <w:bidi w:val="0"/>
        <w:rPr>
          <w:color w:val="auto"/>
        </w:rPr>
      </w:pPr>
      <w:r>
        <w:rPr>
          <w:color w:val="auto"/>
        </w:rPr>
        <w:t>5、土壤环境</w:t>
      </w:r>
    </w:p>
    <w:p w14:paraId="1A55C125">
      <w:pPr>
        <w:bidi w:val="0"/>
        <w:rPr>
          <w:color w:val="auto"/>
        </w:rPr>
      </w:pPr>
      <w:r>
        <w:rPr>
          <w:color w:val="auto"/>
        </w:rPr>
        <w:t>根据现状监测报告，区域土壤各监测指标均满足《土壤环境质量 建设用地土壤污染风险管控标准（试行）》（GB36600-2018）中筛选值第二类用地限值要求，表明评价区域内土壤环境质量较好。</w:t>
      </w:r>
    </w:p>
    <w:bookmarkEnd w:id="354"/>
    <w:bookmarkEnd w:id="355"/>
    <w:p w14:paraId="76506371">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主要环境影响评价结论</w:t>
      </w:r>
    </w:p>
    <w:p w14:paraId="7240CAF9">
      <w:pPr>
        <w:pageBreakBefore w:val="0"/>
        <w:wordWrap/>
        <w:bidi w:val="0"/>
        <w:adjustRightInd/>
        <w:snapToGrid/>
        <w:ind w:firstLine="480"/>
        <w:rPr>
          <w:color w:val="auto"/>
        </w:rPr>
      </w:pPr>
      <w:bookmarkStart w:id="356" w:name="_Toc374627876"/>
      <w:bookmarkStart w:id="357" w:name="_Toc29115"/>
      <w:r>
        <w:rPr>
          <w:color w:val="auto"/>
        </w:rPr>
        <w:t>1、施工期环境影响评价结论</w:t>
      </w:r>
    </w:p>
    <w:p w14:paraId="52897723">
      <w:pPr>
        <w:pageBreakBefore w:val="0"/>
        <w:wordWrap/>
        <w:autoSpaceDE w:val="0"/>
        <w:autoSpaceDN w:val="0"/>
        <w:bidi w:val="0"/>
        <w:adjustRightInd/>
        <w:snapToGrid/>
        <w:ind w:firstLine="480"/>
        <w:jc w:val="left"/>
        <w:rPr>
          <w:color w:val="auto"/>
          <w:kern w:val="0"/>
        </w:rPr>
      </w:pPr>
      <w:r>
        <w:rPr>
          <w:color w:val="auto"/>
          <w:kern w:val="0"/>
        </w:rPr>
        <w:t>本项目施工期间废气、废水、固废及噪声等均有产生，施工弃方</w:t>
      </w:r>
      <w:r>
        <w:rPr>
          <w:rFonts w:hint="eastAsia"/>
          <w:color w:val="auto"/>
          <w:kern w:val="0"/>
          <w:lang w:eastAsia="zh-CN"/>
        </w:rPr>
        <w:t>运往指定</w:t>
      </w:r>
      <w:r>
        <w:rPr>
          <w:color w:val="auto"/>
          <w:kern w:val="0"/>
        </w:rPr>
        <w:t>堆场堆放。施工废气主要有施工过程产生的扬尘，采取湿法作业可得到有效控制；施工废水经沉淀处理后循环使用，施工人员生活污水依托区域已建管网，处理后排入市政污水管网，经</w:t>
      </w:r>
      <w:r>
        <w:rPr>
          <w:rFonts w:hint="eastAsia"/>
          <w:color w:val="auto"/>
          <w:kern w:val="0"/>
          <w:lang w:eastAsia="zh-CN"/>
        </w:rPr>
        <w:t>曾口镇污水处理厂</w:t>
      </w:r>
      <w:r>
        <w:rPr>
          <w:color w:val="auto"/>
          <w:kern w:val="0"/>
        </w:rPr>
        <w:t>处理达标后排放；施工过程产生的建筑垃圾具有回收利用价值，可回收利用，没有回收利用价值</w:t>
      </w:r>
      <w:r>
        <w:rPr>
          <w:color w:val="auto"/>
        </w:rPr>
        <w:t>由施工单位统一运往建筑垃圾堆放场进行处置；施工人员产生的生活垃圾集中收集后，定期交市政环卫部门清运处理，不会对环境造成影响</w:t>
      </w:r>
      <w:r>
        <w:rPr>
          <w:color w:val="auto"/>
          <w:kern w:val="0"/>
        </w:rPr>
        <w:t>；施工过程各类施工设备噪声会对周边环境产生影响，要求施工单位严格按照施工规范，文明施工，禁止夜间高噪声施工。项目施工期间对环境的影响是暂时的，随施工结束，影响消除。</w:t>
      </w:r>
    </w:p>
    <w:p w14:paraId="1413766B">
      <w:pPr>
        <w:pageBreakBefore w:val="0"/>
        <w:wordWrap/>
        <w:bidi w:val="0"/>
        <w:adjustRightInd/>
        <w:snapToGrid/>
        <w:ind w:firstLine="480"/>
        <w:rPr>
          <w:color w:val="auto"/>
        </w:rPr>
      </w:pPr>
      <w:r>
        <w:rPr>
          <w:color w:val="auto"/>
        </w:rPr>
        <w:t>2、营运期影响评价结论</w:t>
      </w:r>
    </w:p>
    <w:p w14:paraId="228107CD">
      <w:pPr>
        <w:pageBreakBefore w:val="0"/>
        <w:wordWrap/>
        <w:bidi w:val="0"/>
        <w:adjustRightInd/>
        <w:snapToGrid/>
        <w:ind w:firstLine="480"/>
        <w:rPr>
          <w:color w:val="auto"/>
        </w:rPr>
      </w:pPr>
      <w:r>
        <w:rPr>
          <w:color w:val="auto"/>
        </w:rPr>
        <w:t>（1）大气环境影响评价结论</w:t>
      </w:r>
    </w:p>
    <w:p w14:paraId="19E7F27E">
      <w:pPr>
        <w:pageBreakBefore w:val="0"/>
        <w:wordWrap/>
        <w:bidi w:val="0"/>
        <w:adjustRightInd/>
        <w:snapToGrid/>
        <w:ind w:firstLine="480"/>
        <w:rPr>
          <w:color w:val="auto"/>
        </w:rPr>
      </w:pPr>
      <w:r>
        <w:rPr>
          <w:color w:val="auto"/>
        </w:rPr>
        <w:t>本项目主要废气污染物为NH</w:t>
      </w:r>
      <w:r>
        <w:rPr>
          <w:color w:val="auto"/>
          <w:vertAlign w:val="subscript"/>
        </w:rPr>
        <w:t>3</w:t>
      </w:r>
      <w:r>
        <w:rPr>
          <w:color w:val="auto"/>
        </w:rPr>
        <w:t>、H</w:t>
      </w:r>
      <w:r>
        <w:rPr>
          <w:color w:val="auto"/>
          <w:vertAlign w:val="subscript"/>
        </w:rPr>
        <w:t>2</w:t>
      </w:r>
      <w:r>
        <w:rPr>
          <w:color w:val="auto"/>
        </w:rPr>
        <w:t>S，采取相应治理措施后均可实现达标排放，本项目废气排放不会对项目所在区域大气环境质量造成明显不利影响。</w:t>
      </w:r>
    </w:p>
    <w:p w14:paraId="2828CE0C">
      <w:pPr>
        <w:pageBreakBefore w:val="0"/>
        <w:wordWrap/>
        <w:bidi w:val="0"/>
        <w:adjustRightInd/>
        <w:snapToGrid/>
        <w:ind w:firstLine="480"/>
        <w:rPr>
          <w:color w:val="auto"/>
        </w:rPr>
      </w:pPr>
      <w:r>
        <w:rPr>
          <w:color w:val="auto"/>
        </w:rPr>
        <w:t>（2）地表水环境影响评价结论</w:t>
      </w:r>
    </w:p>
    <w:p w14:paraId="10598D2A">
      <w:pPr>
        <w:pageBreakBefore w:val="0"/>
        <w:widowControl/>
        <w:wordWrap/>
        <w:bidi w:val="0"/>
        <w:adjustRightInd/>
        <w:snapToGrid/>
        <w:ind w:firstLine="480"/>
        <w:rPr>
          <w:color w:val="auto"/>
        </w:rPr>
      </w:pPr>
      <w:r>
        <w:rPr>
          <w:color w:val="auto"/>
        </w:rPr>
        <w:t>项目营运期服务范围内的废水经项目处理后，</w:t>
      </w:r>
      <w:r>
        <w:rPr>
          <w:rFonts w:hint="eastAsia"/>
          <w:color w:val="auto"/>
        </w:rPr>
        <w:t>项目排水能够满足《城镇污水处理厂污染物排放标准》（GB18918-2002）一级A标准的限值要求。项目建设可有效避免企业废水直排进入</w:t>
      </w:r>
      <w:r>
        <w:rPr>
          <w:rFonts w:hint="eastAsia"/>
          <w:color w:val="auto"/>
          <w:lang w:eastAsia="zh-CN"/>
        </w:rPr>
        <w:t>巴河</w:t>
      </w:r>
      <w:r>
        <w:rPr>
          <w:rFonts w:hint="eastAsia"/>
          <w:color w:val="auto"/>
        </w:rPr>
        <w:t>，进而恶化流域水质。项目的建设具有环境正效益。</w:t>
      </w:r>
    </w:p>
    <w:p w14:paraId="29740234">
      <w:pPr>
        <w:pageBreakBefore w:val="0"/>
        <w:wordWrap/>
        <w:bidi w:val="0"/>
        <w:adjustRightInd/>
        <w:snapToGrid/>
        <w:ind w:firstLine="480"/>
        <w:rPr>
          <w:color w:val="auto"/>
        </w:rPr>
      </w:pPr>
      <w:r>
        <w:rPr>
          <w:color w:val="auto"/>
        </w:rPr>
        <w:t>（3）声学环境影响评价结论</w:t>
      </w:r>
    </w:p>
    <w:p w14:paraId="43D95E66">
      <w:pPr>
        <w:pageBreakBefore w:val="0"/>
        <w:wordWrap/>
        <w:bidi w:val="0"/>
        <w:adjustRightInd/>
        <w:snapToGrid/>
        <w:ind w:firstLine="480"/>
        <w:rPr>
          <w:color w:val="auto"/>
        </w:rPr>
      </w:pPr>
      <w:r>
        <w:rPr>
          <w:color w:val="auto"/>
        </w:rPr>
        <w:t>项目投入运营后，通过采取消声、减震和建筑隔声等降噪措施。经预测，项目厂界昼、夜间噪声贡献值满足《工业企业厂界环境噪声排放标准》</w:t>
      </w:r>
      <w:r>
        <w:rPr>
          <w:rFonts w:hint="eastAsia"/>
          <w:color w:val="auto"/>
          <w:lang w:eastAsia="zh-CN"/>
        </w:rPr>
        <w:t>（</w:t>
      </w:r>
      <w:r>
        <w:rPr>
          <w:color w:val="auto"/>
        </w:rPr>
        <w:t>GB12348-2008</w:t>
      </w:r>
      <w:r>
        <w:rPr>
          <w:rFonts w:hint="eastAsia"/>
          <w:color w:val="auto"/>
          <w:lang w:eastAsia="zh-CN"/>
        </w:rPr>
        <w:t>）</w:t>
      </w:r>
      <w:r>
        <w:rPr>
          <w:color w:val="auto"/>
        </w:rPr>
        <w:t>中</w:t>
      </w:r>
      <w:r>
        <w:rPr>
          <w:rFonts w:hint="eastAsia"/>
          <w:color w:val="auto"/>
          <w:lang w:val="en-US" w:eastAsia="zh-CN"/>
        </w:rPr>
        <w:t>3</w:t>
      </w:r>
      <w:r>
        <w:rPr>
          <w:color w:val="auto"/>
        </w:rPr>
        <w:t>类</w:t>
      </w:r>
      <w:r>
        <w:rPr>
          <w:rFonts w:hint="eastAsia"/>
          <w:color w:val="auto"/>
          <w:lang w:eastAsia="zh-CN"/>
        </w:rPr>
        <w:t>（</w:t>
      </w:r>
      <w:r>
        <w:rPr>
          <w:rFonts w:hint="eastAsia"/>
          <w:color w:val="auto"/>
          <w:lang w:val="en-US" w:eastAsia="zh-CN"/>
        </w:rPr>
        <w:t>临路侧4类</w:t>
      </w:r>
      <w:r>
        <w:rPr>
          <w:rFonts w:hint="eastAsia"/>
          <w:color w:val="auto"/>
          <w:lang w:eastAsia="zh-CN"/>
        </w:rPr>
        <w:t>）</w:t>
      </w:r>
      <w:r>
        <w:rPr>
          <w:color w:val="auto"/>
        </w:rPr>
        <w:t>标准限值要求。</w:t>
      </w:r>
    </w:p>
    <w:p w14:paraId="0D9FF6E3">
      <w:pPr>
        <w:pageBreakBefore w:val="0"/>
        <w:wordWrap/>
        <w:bidi w:val="0"/>
        <w:adjustRightInd/>
        <w:snapToGrid/>
        <w:ind w:firstLine="480"/>
        <w:rPr>
          <w:color w:val="auto"/>
        </w:rPr>
      </w:pPr>
      <w:r>
        <w:rPr>
          <w:color w:val="auto"/>
        </w:rPr>
        <w:t>因此，建设单位只要严格采取降噪、消音、隔声等降噪措施后，设备噪声可实现厂界达标排放，不会对</w:t>
      </w:r>
      <w:r>
        <w:rPr>
          <w:rFonts w:hint="eastAsia"/>
          <w:color w:val="auto"/>
          <w:lang w:eastAsia="zh-CN"/>
        </w:rPr>
        <w:t>厂</w:t>
      </w:r>
      <w:r>
        <w:rPr>
          <w:color w:val="auto"/>
        </w:rPr>
        <w:t>界及外环境造成明显影响。</w:t>
      </w:r>
    </w:p>
    <w:p w14:paraId="398A859E">
      <w:pPr>
        <w:pageBreakBefore w:val="0"/>
        <w:wordWrap/>
        <w:bidi w:val="0"/>
        <w:adjustRightInd/>
        <w:snapToGrid/>
        <w:ind w:firstLine="480"/>
        <w:rPr>
          <w:color w:val="auto"/>
        </w:rPr>
      </w:pPr>
      <w:r>
        <w:rPr>
          <w:color w:val="auto"/>
        </w:rPr>
        <w:t>（4）固体废物影响评价结论</w:t>
      </w:r>
    </w:p>
    <w:p w14:paraId="5E20DC2D">
      <w:pPr>
        <w:pageBreakBefore w:val="0"/>
        <w:wordWrap/>
        <w:bidi w:val="0"/>
        <w:adjustRightInd/>
        <w:snapToGrid/>
        <w:ind w:firstLine="480"/>
        <w:rPr>
          <w:color w:val="auto"/>
        </w:rPr>
      </w:pPr>
      <w:r>
        <w:rPr>
          <w:color w:val="auto"/>
        </w:rPr>
        <w:t>本项目各项固体废弃物处置措施可行，只要在工作中，将各项措施严格落到实处，就能将本项目固废对环境的影响降低到最低程度。</w:t>
      </w:r>
    </w:p>
    <w:p w14:paraId="789DC971">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环保措施及有效性、达标排放结论</w:t>
      </w:r>
    </w:p>
    <w:p w14:paraId="1B9E3EA7">
      <w:pPr>
        <w:pageBreakBefore w:val="0"/>
        <w:wordWrap/>
        <w:bidi w:val="0"/>
        <w:adjustRightInd/>
        <w:snapToGrid/>
        <w:ind w:firstLine="480"/>
        <w:rPr>
          <w:color w:val="auto"/>
        </w:rPr>
      </w:pPr>
      <w:bookmarkStart w:id="358" w:name="_Toc308892039"/>
      <w:r>
        <w:rPr>
          <w:color w:val="auto"/>
        </w:rPr>
        <w:t>1、废水治理措施及有效性、达标排放结论</w:t>
      </w:r>
    </w:p>
    <w:p w14:paraId="6E8B6FD5">
      <w:pPr>
        <w:pageBreakBefore w:val="0"/>
        <w:wordWrap/>
        <w:bidi w:val="0"/>
        <w:adjustRightInd/>
        <w:snapToGrid/>
        <w:ind w:firstLine="480"/>
        <w:rPr>
          <w:color w:val="auto"/>
        </w:rPr>
      </w:pPr>
      <w:r>
        <w:rPr>
          <w:color w:val="auto"/>
        </w:rPr>
        <w:t>根据工程分析，项目营运期综合废水采用</w:t>
      </w:r>
      <w:r>
        <w:rPr>
          <w:rFonts w:hint="eastAsia"/>
          <w:color w:val="auto"/>
          <w:lang w:eastAsia="zh-CN"/>
        </w:rPr>
        <w:t>“超细格栅+调节池++水解酸化池+生化池（EBIS）+二沉池+磁混凝沉淀池+深床反硝化+高级氧化深度处理+紫外线消毒”</w:t>
      </w:r>
      <w:r>
        <w:rPr>
          <w:color w:val="auto"/>
        </w:rPr>
        <w:t>工艺后，可满足废水达标排放要求。因此，废水处理措施有效、可行。</w:t>
      </w:r>
    </w:p>
    <w:p w14:paraId="1D3D235D">
      <w:pPr>
        <w:pageBreakBefore w:val="0"/>
        <w:wordWrap/>
        <w:bidi w:val="0"/>
        <w:adjustRightInd/>
        <w:snapToGrid/>
        <w:ind w:firstLine="480"/>
        <w:rPr>
          <w:color w:val="auto"/>
        </w:rPr>
      </w:pPr>
      <w:r>
        <w:rPr>
          <w:color w:val="auto"/>
        </w:rPr>
        <w:t>2、废气治理措施及有效性、达标排放结论</w:t>
      </w:r>
      <w:bookmarkEnd w:id="358"/>
    </w:p>
    <w:p w14:paraId="235BCD61">
      <w:pPr>
        <w:pageBreakBefore w:val="0"/>
        <w:wordWrap/>
        <w:bidi w:val="0"/>
        <w:adjustRightInd/>
        <w:snapToGrid/>
        <w:ind w:firstLine="480"/>
        <w:rPr>
          <w:color w:val="auto"/>
        </w:rPr>
      </w:pPr>
      <w:r>
        <w:rPr>
          <w:color w:val="auto"/>
        </w:rPr>
        <w:t>本项目采取的废气处理工艺成熟。项目营运期建设单位在严格按照环评提出的合理有效的废气污染防治措施后，可使废气实现达标排放。因此，废气治理措施有效、可行。</w:t>
      </w:r>
    </w:p>
    <w:p w14:paraId="47B77CE9">
      <w:pPr>
        <w:pageBreakBefore w:val="0"/>
        <w:wordWrap/>
        <w:bidi w:val="0"/>
        <w:adjustRightInd/>
        <w:snapToGrid/>
        <w:ind w:firstLine="480"/>
        <w:rPr>
          <w:color w:val="auto"/>
        </w:rPr>
      </w:pPr>
      <w:bookmarkStart w:id="359" w:name="_Toc308892040"/>
      <w:r>
        <w:rPr>
          <w:color w:val="auto"/>
        </w:rPr>
        <w:t>3、噪声治理措施及有效性、达标排放结论</w:t>
      </w:r>
      <w:bookmarkEnd w:id="359"/>
    </w:p>
    <w:p w14:paraId="3FBD85B6">
      <w:pPr>
        <w:pageBreakBefore w:val="0"/>
        <w:wordWrap/>
        <w:bidi w:val="0"/>
        <w:adjustRightInd/>
        <w:snapToGrid/>
        <w:ind w:firstLine="480"/>
        <w:rPr>
          <w:color w:val="auto"/>
        </w:rPr>
      </w:pPr>
      <w:r>
        <w:rPr>
          <w:color w:val="auto"/>
        </w:rPr>
        <w:t>项目采取的治理措施可以有效控制设备噪声污染。建设单位采取消声、隔声等降噪措施后，经预测分析，项目设备噪声不会对厂界及外环境造成明显影响，可做到噪声不扰民。因此，噪声治理措施有效、可行。</w:t>
      </w:r>
    </w:p>
    <w:p w14:paraId="31BA3880">
      <w:pPr>
        <w:pageBreakBefore w:val="0"/>
        <w:wordWrap/>
        <w:bidi w:val="0"/>
        <w:adjustRightInd/>
        <w:snapToGrid/>
        <w:ind w:firstLine="480"/>
        <w:rPr>
          <w:color w:val="auto"/>
        </w:rPr>
      </w:pPr>
      <w:bookmarkStart w:id="360" w:name="_Toc308892041"/>
      <w:r>
        <w:rPr>
          <w:color w:val="auto"/>
        </w:rPr>
        <w:t>4、固废处置措施及有效性、达标排放结论</w:t>
      </w:r>
      <w:bookmarkEnd w:id="360"/>
    </w:p>
    <w:p w14:paraId="63006091">
      <w:pPr>
        <w:pageBreakBefore w:val="0"/>
        <w:wordWrap/>
        <w:bidi w:val="0"/>
        <w:adjustRightInd/>
        <w:snapToGrid/>
        <w:ind w:firstLine="480"/>
        <w:rPr>
          <w:color w:val="auto"/>
        </w:rPr>
      </w:pPr>
      <w:r>
        <w:rPr>
          <w:color w:val="auto"/>
        </w:rPr>
        <w:t>本项目产生的固废通过分类收集，做到了减量化、资源化、无害化处理，其治理措施技术、经济可行。</w:t>
      </w:r>
    </w:p>
    <w:p w14:paraId="5B26E038">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环境</w:t>
      </w:r>
      <w:bookmarkEnd w:id="356"/>
      <w:bookmarkEnd w:id="357"/>
      <w:r>
        <w:rPr>
          <w:rFonts w:eastAsia="宋体"/>
          <w:color w:val="auto"/>
        </w:rPr>
        <w:t>影响经济损益分析</w:t>
      </w:r>
    </w:p>
    <w:p w14:paraId="3F4D04E2">
      <w:pPr>
        <w:pageBreakBefore w:val="0"/>
        <w:wordWrap/>
        <w:bidi w:val="0"/>
        <w:adjustRightInd/>
        <w:snapToGrid/>
        <w:ind w:firstLine="480"/>
        <w:rPr>
          <w:color w:val="auto"/>
          <w:lang w:val="de-DE"/>
        </w:rPr>
      </w:pPr>
      <w:bookmarkStart w:id="361" w:name="_Toc374627877"/>
      <w:bookmarkStart w:id="362" w:name="_Toc31214"/>
      <w:r>
        <w:rPr>
          <w:color w:val="auto"/>
        </w:rPr>
        <w:t>项目为污水处理工程，将改善区域现有</w:t>
      </w:r>
      <w:r>
        <w:rPr>
          <w:rFonts w:hint="eastAsia"/>
          <w:color w:val="auto"/>
          <w:lang w:eastAsia="zh-CN"/>
        </w:rPr>
        <w:t>污水</w:t>
      </w:r>
      <w:r>
        <w:rPr>
          <w:color w:val="auto"/>
        </w:rPr>
        <w:t>处理能力不足的困境，外排污染物浓度和排放量大幅度减少，对于改善</w:t>
      </w:r>
      <w:r>
        <w:rPr>
          <w:rFonts w:hint="eastAsia"/>
          <w:color w:val="auto"/>
          <w:lang w:eastAsia="zh-CN"/>
        </w:rPr>
        <w:t>巴河</w:t>
      </w:r>
      <w:r>
        <w:rPr>
          <w:color w:val="auto"/>
        </w:rPr>
        <w:t>水质具有明显的环境正效益，同时也可降低项目排污口下游水体敏感目标的环境风险。</w:t>
      </w:r>
    </w:p>
    <w:p w14:paraId="0C4E4E5A">
      <w:pPr>
        <w:pageBreakBefore w:val="0"/>
        <w:wordWrap/>
        <w:bidi w:val="0"/>
        <w:adjustRightInd/>
        <w:snapToGrid/>
        <w:ind w:firstLine="480"/>
        <w:rPr>
          <w:color w:val="auto"/>
        </w:rPr>
      </w:pPr>
      <w:r>
        <w:rPr>
          <w:color w:val="auto"/>
        </w:rPr>
        <w:t>从环境经济角度出发，本项目的建设可带来显著的社会效益和环境效益，环境保护投资效果较好，环保投资是合理的，本项目的建设是可行的。</w:t>
      </w:r>
    </w:p>
    <w:p w14:paraId="5F8E6D59">
      <w:pPr>
        <w:pageBreakBefore w:val="0"/>
        <w:wordWrap/>
        <w:bidi w:val="0"/>
        <w:adjustRightInd/>
        <w:snapToGrid/>
        <w:ind w:firstLine="480"/>
        <w:rPr>
          <w:color w:val="auto"/>
        </w:rPr>
      </w:pPr>
      <w:r>
        <w:rPr>
          <w:color w:val="auto"/>
        </w:rPr>
        <w:t>综上所述，该项目建设从环境、经济损益分析结果是可行的。</w:t>
      </w:r>
    </w:p>
    <w:bookmarkEnd w:id="361"/>
    <w:bookmarkEnd w:id="362"/>
    <w:p w14:paraId="3E2D17E9">
      <w:pPr>
        <w:pStyle w:val="5"/>
        <w:pageBreakBefore w:val="0"/>
        <w:wordWrap/>
        <w:bidi w:val="0"/>
        <w:adjustRightInd/>
        <w:snapToGrid/>
        <w:spacing w:before="48" w:after="48"/>
        <w:ind w:left="0"/>
        <w:rPr>
          <w:rFonts w:eastAsia="宋体"/>
          <w:color w:val="auto"/>
        </w:rPr>
      </w:pPr>
      <w:bookmarkStart w:id="363" w:name="_Toc29282"/>
      <w:bookmarkStart w:id="364" w:name="_Toc374627878"/>
      <w:bookmarkStart w:id="365" w:name="_Toc362082783"/>
      <w:r>
        <w:rPr>
          <w:rFonts w:hint="eastAsia" w:eastAsia="宋体"/>
          <w:color w:val="auto"/>
        </w:rPr>
        <w:t xml:space="preserve"> </w:t>
      </w:r>
      <w:r>
        <w:rPr>
          <w:rFonts w:eastAsia="宋体"/>
          <w:color w:val="auto"/>
        </w:rPr>
        <w:t>环境管理与监测计划</w:t>
      </w:r>
    </w:p>
    <w:p w14:paraId="13A2C5CF">
      <w:pPr>
        <w:pageBreakBefore w:val="0"/>
        <w:wordWrap/>
        <w:bidi w:val="0"/>
        <w:adjustRightInd/>
        <w:snapToGrid/>
        <w:ind w:firstLine="480"/>
        <w:rPr>
          <w:color w:val="auto"/>
        </w:rPr>
      </w:pPr>
      <w:bookmarkStart w:id="366" w:name="_Toc185132482"/>
      <w:bookmarkStart w:id="367" w:name="_Toc193099739"/>
      <w:bookmarkStart w:id="368" w:name="_Toc201378544"/>
      <w:r>
        <w:rPr>
          <w:color w:val="auto"/>
        </w:rPr>
        <w:t>为做好环境管理工作，厂区需建立完整的环境管理体系，将环境管理工作自上而下的贯穿到项目的运行管理中。并按照环评提出的监测计划要求委托有环境监测资质的单位开展环境监测工作。</w:t>
      </w:r>
      <w:bookmarkEnd w:id="366"/>
      <w:bookmarkEnd w:id="367"/>
      <w:bookmarkEnd w:id="368"/>
    </w:p>
    <w:p w14:paraId="269A32D3">
      <w:pPr>
        <w:pStyle w:val="5"/>
        <w:keepNext w:val="0"/>
        <w:keepLines w:val="0"/>
        <w:tabs>
          <w:tab w:val="clear" w:pos="420"/>
        </w:tabs>
        <w:spacing w:before="0" w:after="0"/>
        <w:rPr>
          <w:rFonts w:ascii="Times New Roman" w:hAnsi="Times New Roman" w:eastAsia="宋体"/>
          <w:color w:val="auto"/>
          <w:sz w:val="24"/>
          <w:szCs w:val="24"/>
        </w:rPr>
      </w:pPr>
      <w:r>
        <w:rPr>
          <w:rFonts w:hint="eastAsia" w:ascii="Times New Roman" w:hAnsi="Times New Roman" w:eastAsia="宋体"/>
          <w:color w:val="auto"/>
          <w:sz w:val="24"/>
          <w:szCs w:val="24"/>
          <w:lang w:val="en-US" w:eastAsia="zh-CN"/>
        </w:rPr>
        <w:t xml:space="preserve"> </w:t>
      </w:r>
      <w:r>
        <w:rPr>
          <w:rFonts w:hint="eastAsia" w:ascii="Times New Roman" w:hAnsi="Times New Roman" w:eastAsia="宋体"/>
          <w:color w:val="auto"/>
          <w:sz w:val="24"/>
          <w:szCs w:val="24"/>
        </w:rPr>
        <w:t>公众参与</w:t>
      </w:r>
    </w:p>
    <w:p w14:paraId="023F7171">
      <w:pPr>
        <w:bidi w:val="0"/>
        <w:rPr>
          <w:color w:val="auto"/>
        </w:rPr>
      </w:pPr>
      <w:r>
        <w:rPr>
          <w:rFonts w:hint="eastAsia"/>
          <w:color w:val="auto"/>
        </w:rPr>
        <w:t>根据《环境影响评价公众参与办法》（生态环境部令第4号）有关规定，建设单位委托环评后，于202</w:t>
      </w:r>
      <w:r>
        <w:rPr>
          <w:rFonts w:hint="eastAsia"/>
          <w:color w:val="auto"/>
          <w:lang w:val="en-US" w:eastAsia="zh-CN"/>
        </w:rPr>
        <w:t>4</w:t>
      </w:r>
      <w:r>
        <w:rPr>
          <w:rFonts w:hint="eastAsia"/>
          <w:color w:val="auto"/>
        </w:rPr>
        <w:t>年</w:t>
      </w:r>
      <w:r>
        <w:rPr>
          <w:rFonts w:hint="eastAsia"/>
          <w:color w:val="auto"/>
          <w:lang w:val="en-US" w:eastAsia="zh-CN"/>
        </w:rPr>
        <w:t>5</w:t>
      </w:r>
      <w:r>
        <w:rPr>
          <w:rFonts w:hint="eastAsia"/>
          <w:color w:val="auto"/>
        </w:rPr>
        <w:t>月</w:t>
      </w:r>
      <w:r>
        <w:rPr>
          <w:rFonts w:hint="eastAsia"/>
          <w:color w:val="auto"/>
          <w:lang w:val="en-US" w:eastAsia="zh-CN"/>
        </w:rPr>
        <w:t>29</w:t>
      </w:r>
      <w:r>
        <w:rPr>
          <w:rFonts w:hint="eastAsia"/>
          <w:color w:val="auto"/>
        </w:rPr>
        <w:t>日在</w:t>
      </w:r>
      <w:r>
        <w:rPr>
          <w:rFonts w:hint="eastAsia"/>
          <w:color w:val="auto"/>
          <w:lang w:val="en-US" w:eastAsia="zh-CN"/>
        </w:rPr>
        <w:t>巴中市巴州区人民政府网站</w:t>
      </w:r>
      <w:r>
        <w:rPr>
          <w:rFonts w:hint="eastAsia"/>
          <w:color w:val="auto"/>
        </w:rPr>
        <w:t>发布了第一次环境影响评价公示；于202</w:t>
      </w:r>
      <w:r>
        <w:rPr>
          <w:rFonts w:hint="eastAsia"/>
          <w:color w:val="auto"/>
          <w:lang w:val="en-US" w:eastAsia="zh-CN"/>
        </w:rPr>
        <w:t>4</w:t>
      </w:r>
      <w:r>
        <w:rPr>
          <w:rFonts w:hint="eastAsia"/>
          <w:color w:val="auto"/>
        </w:rPr>
        <w:t>年</w:t>
      </w:r>
      <w:r>
        <w:rPr>
          <w:rFonts w:hint="eastAsia"/>
          <w:color w:val="auto"/>
          <w:lang w:val="en-US" w:eastAsia="zh-CN"/>
        </w:rPr>
        <w:t>8</w:t>
      </w:r>
      <w:r>
        <w:rPr>
          <w:rFonts w:hint="eastAsia"/>
          <w:color w:val="auto"/>
        </w:rPr>
        <w:t>月1</w:t>
      </w:r>
      <w:r>
        <w:rPr>
          <w:rFonts w:hint="eastAsia"/>
          <w:color w:val="auto"/>
          <w:lang w:val="en-US" w:eastAsia="zh-CN"/>
        </w:rPr>
        <w:t>6</w:t>
      </w:r>
      <w:r>
        <w:rPr>
          <w:rFonts w:hint="eastAsia"/>
          <w:color w:val="auto"/>
        </w:rPr>
        <w:t>日</w:t>
      </w:r>
      <w:r>
        <w:rPr>
          <w:rFonts w:hint="eastAsia"/>
          <w:color w:val="auto"/>
          <w:lang w:eastAsia="zh-CN"/>
        </w:rPr>
        <w:t>～</w:t>
      </w:r>
      <w:r>
        <w:rPr>
          <w:rFonts w:hint="eastAsia"/>
          <w:color w:val="auto"/>
          <w:lang w:val="en-US" w:eastAsia="zh-CN"/>
        </w:rPr>
        <w:t>8</w:t>
      </w:r>
      <w:r>
        <w:rPr>
          <w:rFonts w:hint="eastAsia"/>
          <w:color w:val="auto"/>
        </w:rPr>
        <w:t>月</w:t>
      </w:r>
      <w:r>
        <w:rPr>
          <w:rFonts w:hint="eastAsia"/>
          <w:color w:val="auto"/>
          <w:lang w:val="en-US" w:eastAsia="zh-CN"/>
        </w:rPr>
        <w:t>29</w:t>
      </w:r>
      <w:r>
        <w:rPr>
          <w:rFonts w:hint="eastAsia"/>
          <w:color w:val="auto"/>
        </w:rPr>
        <w:t>日在</w:t>
      </w:r>
      <w:r>
        <w:rPr>
          <w:rFonts w:hint="eastAsia"/>
          <w:color w:val="auto"/>
          <w:lang w:val="en-US" w:eastAsia="zh-CN"/>
        </w:rPr>
        <w:t>巴中市巴州区人民政府网站</w:t>
      </w:r>
      <w:r>
        <w:rPr>
          <w:rFonts w:hint="eastAsia"/>
          <w:color w:val="auto"/>
        </w:rPr>
        <w:t>发布了第二次环境影响评价信息公示，即征求意见稿公示，在第二次网络公示期间，在项目区周边村社公告栏张贴公告的方式征求当地居民意见，同时分别于202</w:t>
      </w:r>
      <w:r>
        <w:rPr>
          <w:rFonts w:hint="eastAsia"/>
          <w:color w:val="auto"/>
          <w:lang w:val="en-US" w:eastAsia="zh-CN"/>
        </w:rPr>
        <w:t>4</w:t>
      </w:r>
      <w:r>
        <w:rPr>
          <w:rFonts w:hint="eastAsia"/>
          <w:color w:val="auto"/>
        </w:rPr>
        <w:t>年</w:t>
      </w:r>
      <w:r>
        <w:rPr>
          <w:rFonts w:hint="eastAsia"/>
          <w:color w:val="auto"/>
          <w:lang w:val="en-US" w:eastAsia="zh-CN"/>
        </w:rPr>
        <w:t>8</w:t>
      </w:r>
      <w:r>
        <w:rPr>
          <w:rFonts w:hint="eastAsia"/>
          <w:color w:val="auto"/>
        </w:rPr>
        <w:t>月</w:t>
      </w:r>
      <w:r>
        <w:rPr>
          <w:rFonts w:hint="eastAsia"/>
          <w:color w:val="auto"/>
          <w:lang w:val="en-US" w:eastAsia="zh-CN"/>
        </w:rPr>
        <w:t>27</w:t>
      </w:r>
      <w:r>
        <w:rPr>
          <w:rFonts w:hint="eastAsia"/>
          <w:color w:val="auto"/>
        </w:rPr>
        <w:t>日、</w:t>
      </w:r>
      <w:r>
        <w:rPr>
          <w:rFonts w:hint="eastAsia"/>
          <w:color w:val="auto"/>
          <w:lang w:val="en-US" w:eastAsia="zh-CN"/>
        </w:rPr>
        <w:t>8</w:t>
      </w:r>
      <w:r>
        <w:rPr>
          <w:rFonts w:hint="eastAsia"/>
          <w:color w:val="auto"/>
        </w:rPr>
        <w:t>月</w:t>
      </w:r>
      <w:r>
        <w:rPr>
          <w:rFonts w:hint="eastAsia"/>
          <w:color w:val="auto"/>
          <w:lang w:val="en-US" w:eastAsia="zh-CN"/>
        </w:rPr>
        <w:t>29</w:t>
      </w:r>
      <w:r>
        <w:rPr>
          <w:rFonts w:hint="eastAsia"/>
          <w:color w:val="auto"/>
        </w:rPr>
        <w:t>日在《</w:t>
      </w:r>
      <w:r>
        <w:rPr>
          <w:rFonts w:hint="eastAsia"/>
          <w:color w:val="auto"/>
          <w:lang w:val="en-US" w:eastAsia="zh-CN"/>
        </w:rPr>
        <w:t>巴州日报</w:t>
      </w:r>
      <w:r>
        <w:rPr>
          <w:rFonts w:hint="eastAsia"/>
          <w:color w:val="auto"/>
        </w:rPr>
        <w:t>》上登报公示项目信息。在公众参与的整个过程中，建设单位及环评单位未收到公众以电话、传真及信件的反馈信息。</w:t>
      </w:r>
    </w:p>
    <w:p w14:paraId="2A237869">
      <w:pPr>
        <w:pStyle w:val="5"/>
        <w:pageBreakBefore w:val="0"/>
        <w:wordWrap/>
        <w:bidi w:val="0"/>
        <w:adjustRightInd/>
        <w:snapToGrid/>
        <w:spacing w:before="48" w:after="48"/>
        <w:ind w:left="0"/>
        <w:rPr>
          <w:rFonts w:eastAsia="宋体"/>
          <w:color w:val="auto"/>
        </w:rPr>
      </w:pPr>
      <w:r>
        <w:rPr>
          <w:rFonts w:hint="eastAsia"/>
          <w:color w:val="auto"/>
          <w:lang w:val="en-US" w:eastAsia="zh-CN"/>
        </w:rPr>
        <w:t xml:space="preserve"> </w:t>
      </w:r>
      <w:r>
        <w:rPr>
          <w:rFonts w:eastAsia="宋体"/>
          <w:color w:val="auto"/>
        </w:rPr>
        <w:t>评价总结论</w:t>
      </w:r>
    </w:p>
    <w:p w14:paraId="2777F23B">
      <w:pPr>
        <w:pageBreakBefore w:val="0"/>
        <w:wordWrap/>
        <w:bidi w:val="0"/>
        <w:adjustRightInd/>
        <w:snapToGrid/>
        <w:ind w:firstLine="480"/>
        <w:rPr>
          <w:color w:val="auto"/>
          <w:szCs w:val="20"/>
        </w:rPr>
      </w:pPr>
      <w:r>
        <w:rPr>
          <w:color w:val="auto"/>
          <w:szCs w:val="20"/>
        </w:rPr>
        <w:t>本项目符合国家现行产业政策，选址符合当地规划要求，拟建场地周边无明显环境制约因素，拟采取的废气、污水、噪声、固废、地下水等污染防治措施技术可靠、经济可行。项目建成</w:t>
      </w:r>
      <w:r>
        <w:rPr>
          <w:rFonts w:hint="eastAsia"/>
          <w:color w:val="auto"/>
          <w:szCs w:val="20"/>
          <w:lang w:eastAsia="zh-CN"/>
        </w:rPr>
        <w:t>运营</w:t>
      </w:r>
      <w:r>
        <w:rPr>
          <w:color w:val="auto"/>
          <w:szCs w:val="20"/>
        </w:rPr>
        <w:t>后，将具有良好的经济、社会和环境效益。只要认真落实本报告书中提出的各项污染防治对策措施，严格执行</w:t>
      </w:r>
      <w:r>
        <w:rPr>
          <w:rFonts w:hint="eastAsia"/>
          <w:color w:val="auto"/>
          <w:szCs w:val="20"/>
          <w:lang w:eastAsia="zh-CN"/>
        </w:rPr>
        <w:t>“</w:t>
      </w:r>
      <w:r>
        <w:rPr>
          <w:color w:val="auto"/>
          <w:szCs w:val="20"/>
        </w:rPr>
        <w:t>三同时</w:t>
      </w:r>
      <w:r>
        <w:rPr>
          <w:rFonts w:hint="eastAsia"/>
          <w:color w:val="auto"/>
          <w:szCs w:val="20"/>
          <w:lang w:eastAsia="zh-CN"/>
        </w:rPr>
        <w:t>”</w:t>
      </w:r>
      <w:r>
        <w:rPr>
          <w:color w:val="auto"/>
          <w:szCs w:val="20"/>
        </w:rPr>
        <w:t>制度，保证环境保护措施的有效运行，确保污染物稳定达标排放，并严格按照环评要求进行环境风险防范，从环保角度而言，本项目选址在</w:t>
      </w:r>
      <w:r>
        <w:rPr>
          <w:rFonts w:hint="eastAsia"/>
          <w:color w:val="auto"/>
          <w:lang w:eastAsia="zh-CN"/>
        </w:rPr>
        <w:t>巴中巴州区四川巴中经济开发区</w:t>
      </w:r>
      <w:r>
        <w:rPr>
          <w:color w:val="auto"/>
        </w:rPr>
        <w:t>内</w:t>
      </w:r>
      <w:r>
        <w:rPr>
          <w:color w:val="auto"/>
          <w:szCs w:val="20"/>
        </w:rPr>
        <w:t>建设是可行的。</w:t>
      </w:r>
    </w:p>
    <w:bookmarkEnd w:id="363"/>
    <w:bookmarkEnd w:id="364"/>
    <w:bookmarkEnd w:id="365"/>
    <w:p w14:paraId="50DE3692">
      <w:pPr>
        <w:pStyle w:val="4"/>
        <w:pageBreakBefore w:val="0"/>
        <w:wordWrap/>
        <w:bidi w:val="0"/>
        <w:adjustRightInd/>
        <w:snapToGrid/>
        <w:rPr>
          <w:rFonts w:ascii="Times New Roman" w:hAnsi="Times New Roman" w:eastAsia="宋体"/>
          <w:color w:val="auto"/>
        </w:rPr>
      </w:pPr>
      <w:bookmarkStart w:id="369" w:name="_Toc505087388"/>
      <w:bookmarkStart w:id="370" w:name="_Toc23336"/>
      <w:r>
        <w:rPr>
          <w:rFonts w:hint="eastAsia" w:ascii="Times New Roman" w:hAnsi="Times New Roman" w:eastAsia="宋体"/>
          <w:color w:val="auto"/>
        </w:rPr>
        <w:t xml:space="preserve"> </w:t>
      </w:r>
      <w:bookmarkStart w:id="371" w:name="_Toc16352"/>
      <w:r>
        <w:rPr>
          <w:rFonts w:ascii="Times New Roman" w:hAnsi="Times New Roman" w:eastAsia="宋体"/>
          <w:color w:val="auto"/>
        </w:rPr>
        <w:t>要求及建议</w:t>
      </w:r>
      <w:bookmarkEnd w:id="369"/>
      <w:bookmarkEnd w:id="370"/>
      <w:bookmarkEnd w:id="371"/>
    </w:p>
    <w:p w14:paraId="1A928823">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要求</w:t>
      </w:r>
    </w:p>
    <w:p w14:paraId="51229D8D">
      <w:pPr>
        <w:pageBreakBefore w:val="0"/>
        <w:wordWrap/>
        <w:bidi w:val="0"/>
        <w:adjustRightInd/>
        <w:snapToGrid/>
        <w:ind w:firstLine="480"/>
        <w:rPr>
          <w:color w:val="auto"/>
          <w:szCs w:val="20"/>
        </w:rPr>
      </w:pPr>
      <w:r>
        <w:rPr>
          <w:color w:val="auto"/>
          <w:szCs w:val="20"/>
        </w:rPr>
        <w:t>1、配备专职环保管理人员，培训上岗，具备对突发事故的快速反应能力，对水处理措施进行常规管理和事故处置实施与监控。</w:t>
      </w:r>
    </w:p>
    <w:p w14:paraId="656E2650">
      <w:pPr>
        <w:pageBreakBefore w:val="0"/>
        <w:wordWrap/>
        <w:bidi w:val="0"/>
        <w:adjustRightInd/>
        <w:snapToGrid/>
        <w:ind w:firstLine="480"/>
        <w:rPr>
          <w:color w:val="auto"/>
          <w:szCs w:val="20"/>
        </w:rPr>
      </w:pPr>
      <w:r>
        <w:rPr>
          <w:rFonts w:hint="eastAsia"/>
          <w:color w:val="auto"/>
          <w:szCs w:val="20"/>
        </w:rPr>
        <w:t>2</w:t>
      </w:r>
      <w:r>
        <w:rPr>
          <w:color w:val="auto"/>
          <w:szCs w:val="20"/>
        </w:rPr>
        <w:t>、当污水处理设备发生事故停运时，应立即启动应急预案，与园区协调通知企业暂停生产及排水。同时，将污水立即引入事故池中暂存，并对污水处理厂进行紧急抢修。待其污水处理厂恢复正常工作后，将该部分临时储存的污水经污水处理厂处理达标后再外排进入</w:t>
      </w:r>
      <w:r>
        <w:rPr>
          <w:rFonts w:hint="eastAsia"/>
          <w:color w:val="auto"/>
          <w:szCs w:val="20"/>
          <w:lang w:eastAsia="zh-CN"/>
        </w:rPr>
        <w:t>巴河</w:t>
      </w:r>
      <w:r>
        <w:rPr>
          <w:color w:val="auto"/>
          <w:szCs w:val="20"/>
        </w:rPr>
        <w:t>。严禁项目污水未经有效处理就直接外排进入</w:t>
      </w:r>
      <w:r>
        <w:rPr>
          <w:rFonts w:hint="eastAsia"/>
          <w:color w:val="auto"/>
          <w:szCs w:val="20"/>
          <w:lang w:eastAsia="zh-CN"/>
        </w:rPr>
        <w:t>巴河</w:t>
      </w:r>
      <w:r>
        <w:rPr>
          <w:color w:val="auto"/>
          <w:szCs w:val="20"/>
        </w:rPr>
        <w:t>。</w:t>
      </w:r>
    </w:p>
    <w:p w14:paraId="099B29C5">
      <w:pPr>
        <w:pageBreakBefore w:val="0"/>
        <w:wordWrap/>
        <w:bidi w:val="0"/>
        <w:adjustRightInd/>
        <w:snapToGrid/>
        <w:ind w:firstLine="480"/>
        <w:rPr>
          <w:color w:val="auto"/>
          <w:szCs w:val="20"/>
        </w:rPr>
      </w:pPr>
      <w:r>
        <w:rPr>
          <w:rFonts w:hint="eastAsia"/>
          <w:color w:val="auto"/>
          <w:szCs w:val="20"/>
        </w:rPr>
        <w:t>3</w:t>
      </w:r>
      <w:r>
        <w:rPr>
          <w:color w:val="auto"/>
          <w:szCs w:val="20"/>
        </w:rPr>
        <w:t>、该项目危险废物在收集、贮存、转运、处置过程中一定要按照国家</w:t>
      </w:r>
      <w:r>
        <w:rPr>
          <w:rFonts w:hint="eastAsia"/>
          <w:color w:val="auto"/>
          <w:szCs w:val="20"/>
          <w:lang w:eastAsia="zh-CN"/>
        </w:rPr>
        <w:t>“</w:t>
      </w:r>
      <w:r>
        <w:rPr>
          <w:color w:val="auto"/>
          <w:szCs w:val="20"/>
        </w:rPr>
        <w:t>危险废物管理条例</w:t>
      </w:r>
      <w:r>
        <w:rPr>
          <w:rFonts w:hint="eastAsia"/>
          <w:color w:val="auto"/>
          <w:szCs w:val="20"/>
          <w:lang w:eastAsia="zh-CN"/>
        </w:rPr>
        <w:t>”</w:t>
      </w:r>
      <w:r>
        <w:rPr>
          <w:color w:val="auto"/>
          <w:szCs w:val="20"/>
        </w:rPr>
        <w:t>要求严格管理，严防二次污染。</w:t>
      </w:r>
    </w:p>
    <w:p w14:paraId="34712D5A">
      <w:pPr>
        <w:pageBreakBefore w:val="0"/>
        <w:wordWrap/>
        <w:bidi w:val="0"/>
        <w:adjustRightInd/>
        <w:snapToGrid/>
        <w:ind w:firstLine="480"/>
        <w:rPr>
          <w:color w:val="auto"/>
          <w:szCs w:val="20"/>
        </w:rPr>
      </w:pPr>
      <w:r>
        <w:rPr>
          <w:rFonts w:hint="eastAsia"/>
          <w:color w:val="auto"/>
          <w:szCs w:val="20"/>
        </w:rPr>
        <w:t>4</w:t>
      </w:r>
      <w:r>
        <w:rPr>
          <w:color w:val="auto"/>
          <w:szCs w:val="20"/>
        </w:rPr>
        <w:t>、保证足够的环保资金，落实本报告书中提出的废水、废气、废渣及噪声治理措施。加强管理，保证环保设施的运行效率。</w:t>
      </w:r>
    </w:p>
    <w:p w14:paraId="70767991">
      <w:pPr>
        <w:pageBreakBefore w:val="0"/>
        <w:wordWrap/>
        <w:bidi w:val="0"/>
        <w:adjustRightInd/>
        <w:snapToGrid/>
        <w:ind w:firstLine="480"/>
        <w:rPr>
          <w:color w:val="auto"/>
          <w:szCs w:val="20"/>
        </w:rPr>
      </w:pPr>
      <w:r>
        <w:rPr>
          <w:rFonts w:hint="eastAsia"/>
          <w:color w:val="auto"/>
          <w:szCs w:val="20"/>
        </w:rPr>
        <w:t>5</w:t>
      </w:r>
      <w:r>
        <w:rPr>
          <w:color w:val="auto"/>
          <w:szCs w:val="20"/>
        </w:rPr>
        <w:t>、项目不得随意增大危险化学品存储量或使用量，项目不得构成重大危险源；并且，项目应根据厂区实际情况以及消防、公安、环保等部门和</w:t>
      </w:r>
      <w:r>
        <w:rPr>
          <w:rFonts w:hint="eastAsia"/>
          <w:color w:val="auto"/>
          <w:szCs w:val="20"/>
          <w:lang w:eastAsia="zh-CN"/>
        </w:rPr>
        <w:t>国家其他</w:t>
      </w:r>
      <w:r>
        <w:rPr>
          <w:color w:val="auto"/>
          <w:szCs w:val="20"/>
        </w:rPr>
        <w:t>相关规定，进一步制订符合其自身实际情况和</w:t>
      </w:r>
      <w:r>
        <w:rPr>
          <w:rFonts w:hint="eastAsia"/>
          <w:color w:val="auto"/>
          <w:szCs w:val="20"/>
          <w:lang w:eastAsia="zh-CN"/>
        </w:rPr>
        <w:t>运营</w:t>
      </w:r>
      <w:r>
        <w:rPr>
          <w:color w:val="auto"/>
          <w:szCs w:val="20"/>
        </w:rPr>
        <w:t>需要的紧急事故应急预案和应急组织系统，以期在发生环境风险事故时，将各类环境风险影响控制在可接受范围内。</w:t>
      </w:r>
    </w:p>
    <w:p w14:paraId="55A5FD8C">
      <w:pPr>
        <w:pageBreakBefore w:val="0"/>
        <w:wordWrap/>
        <w:bidi w:val="0"/>
        <w:adjustRightInd/>
        <w:snapToGrid/>
        <w:ind w:firstLine="480"/>
        <w:rPr>
          <w:color w:val="auto"/>
          <w:szCs w:val="20"/>
        </w:rPr>
      </w:pPr>
      <w:r>
        <w:rPr>
          <w:rFonts w:hint="eastAsia"/>
          <w:color w:val="auto"/>
          <w:szCs w:val="20"/>
        </w:rPr>
        <w:t>6</w:t>
      </w:r>
      <w:r>
        <w:rPr>
          <w:color w:val="auto"/>
          <w:szCs w:val="20"/>
        </w:rPr>
        <w:t>、定期委托当地环境监测站或具有检测资质的第三方检测单位进行污染源监测，同时建立监测档案。</w:t>
      </w:r>
    </w:p>
    <w:p w14:paraId="7BF6BEDD">
      <w:pPr>
        <w:pageBreakBefore w:val="0"/>
        <w:wordWrap/>
        <w:bidi w:val="0"/>
        <w:adjustRightInd/>
        <w:snapToGrid/>
        <w:ind w:firstLine="480"/>
        <w:rPr>
          <w:color w:val="auto"/>
          <w:szCs w:val="20"/>
        </w:rPr>
      </w:pPr>
      <w:r>
        <w:rPr>
          <w:rFonts w:hint="eastAsia"/>
          <w:color w:val="auto"/>
          <w:szCs w:val="20"/>
        </w:rPr>
        <w:t>7</w:t>
      </w:r>
      <w:r>
        <w:rPr>
          <w:color w:val="auto"/>
          <w:szCs w:val="20"/>
        </w:rPr>
        <w:t>、认真贯彻执行国家和地方的各项环保法规和方针政策，建立一套完善的</w:t>
      </w:r>
      <w:r>
        <w:rPr>
          <w:rFonts w:hint="eastAsia"/>
          <w:color w:val="auto"/>
          <w:szCs w:val="20"/>
          <w:lang w:eastAsia="zh-CN"/>
        </w:rPr>
        <w:t>“</w:t>
      </w:r>
      <w:r>
        <w:rPr>
          <w:color w:val="auto"/>
          <w:szCs w:val="20"/>
        </w:rPr>
        <w:t>环境管理手册</w:t>
      </w:r>
      <w:r>
        <w:rPr>
          <w:rFonts w:hint="eastAsia"/>
          <w:color w:val="auto"/>
          <w:szCs w:val="20"/>
          <w:lang w:eastAsia="zh-CN"/>
        </w:rPr>
        <w:t>”</w:t>
      </w:r>
      <w:r>
        <w:rPr>
          <w:color w:val="auto"/>
          <w:szCs w:val="20"/>
        </w:rPr>
        <w:t>，落实环境管理规章制度，强化管理，确定专门的环境管理人员，落实专人负责环保处理设施的运行和维护，接受当地环保部门的监督和管理。在当地环保部门的指导下，定期对污染物进行监测，并建立污染物管理档案。</w:t>
      </w:r>
    </w:p>
    <w:p w14:paraId="0F5125E2">
      <w:pPr>
        <w:pStyle w:val="5"/>
        <w:pageBreakBefore w:val="0"/>
        <w:wordWrap/>
        <w:bidi w:val="0"/>
        <w:adjustRightInd/>
        <w:snapToGrid/>
        <w:spacing w:before="48" w:after="48"/>
        <w:ind w:left="0"/>
        <w:rPr>
          <w:rFonts w:eastAsia="宋体"/>
          <w:color w:val="auto"/>
        </w:rPr>
      </w:pPr>
      <w:r>
        <w:rPr>
          <w:rFonts w:hint="eastAsia" w:eastAsia="宋体"/>
          <w:color w:val="auto"/>
        </w:rPr>
        <w:t xml:space="preserve"> </w:t>
      </w:r>
      <w:r>
        <w:rPr>
          <w:rFonts w:eastAsia="宋体"/>
          <w:color w:val="auto"/>
        </w:rPr>
        <w:t>建议</w:t>
      </w:r>
    </w:p>
    <w:p w14:paraId="3A94B1EA">
      <w:pPr>
        <w:pageBreakBefore w:val="0"/>
        <w:wordWrap/>
        <w:bidi w:val="0"/>
        <w:adjustRightInd/>
        <w:snapToGrid/>
        <w:ind w:firstLine="480"/>
        <w:rPr>
          <w:color w:val="auto"/>
          <w:szCs w:val="20"/>
        </w:rPr>
      </w:pPr>
      <w:r>
        <w:rPr>
          <w:color w:val="auto"/>
          <w:szCs w:val="20"/>
        </w:rPr>
        <w:t>1、建立健全安全环境管理体系，加强</w:t>
      </w:r>
      <w:r>
        <w:rPr>
          <w:rFonts w:hint="eastAsia"/>
          <w:color w:val="auto"/>
          <w:szCs w:val="20"/>
          <w:lang w:eastAsia="zh-CN"/>
        </w:rPr>
        <w:t>“</w:t>
      </w:r>
      <w:r>
        <w:rPr>
          <w:color w:val="auto"/>
          <w:szCs w:val="20"/>
        </w:rPr>
        <w:t>三废</w:t>
      </w:r>
      <w:r>
        <w:rPr>
          <w:rFonts w:hint="eastAsia"/>
          <w:color w:val="auto"/>
          <w:szCs w:val="20"/>
          <w:lang w:eastAsia="zh-CN"/>
        </w:rPr>
        <w:t>”</w:t>
      </w:r>
      <w:r>
        <w:rPr>
          <w:color w:val="auto"/>
          <w:szCs w:val="20"/>
        </w:rPr>
        <w:t>排放监测和管理。</w:t>
      </w:r>
    </w:p>
    <w:p w14:paraId="454B61D4">
      <w:pPr>
        <w:pageBreakBefore w:val="0"/>
        <w:wordWrap/>
        <w:bidi w:val="0"/>
        <w:adjustRightInd/>
        <w:snapToGrid/>
        <w:ind w:firstLine="480"/>
        <w:rPr>
          <w:color w:val="auto"/>
          <w:szCs w:val="20"/>
        </w:rPr>
      </w:pPr>
      <w:r>
        <w:rPr>
          <w:rFonts w:hint="eastAsia"/>
          <w:color w:val="auto"/>
          <w:szCs w:val="20"/>
        </w:rPr>
        <w:t>2</w:t>
      </w:r>
      <w:r>
        <w:rPr>
          <w:color w:val="auto"/>
          <w:szCs w:val="20"/>
        </w:rPr>
        <w:t>、加强厂区环境绿化，既可降噪、吸附臭气，又可美化环境。</w:t>
      </w:r>
    </w:p>
    <w:sectPr>
      <w:headerReference r:id="rId28" w:type="default"/>
      <w:pgSz w:w="11906" w:h="16838"/>
      <w:pgMar w:top="1440" w:right="1588" w:bottom="1440" w:left="1588" w:header="851" w:footer="992" w:gutter="0"/>
      <w:pgBorders>
        <w:top w:val="none" w:sz="0" w:space="0"/>
        <w:left w:val="none" w:sz="0" w:space="0"/>
        <w:bottom w:val="none" w:sz="0" w:space="0"/>
        <w:right w:val="none" w:sz="0" w:space="0"/>
      </w:pgBorders>
      <w:pgNumType w:fmt="decimal"/>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C4E52A30-BD22-4E87-BBF6-1B5B7781C595}"/>
  </w:font>
  <w:font w:name="黑体">
    <w:panose1 w:val="02010609060101010101"/>
    <w:charset w:val="86"/>
    <w:family w:val="auto"/>
    <w:pitch w:val="default"/>
    <w:sig w:usb0="800002BF" w:usb1="38CF7CFA" w:usb2="00000016" w:usb3="00000000" w:csb0="00040001" w:csb1="00000000"/>
    <w:embedRegular r:id="rId2" w:fontKey="{8DEF3C68-2595-4D60-8D98-EC3A778C7F28}"/>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embedRegular r:id="rId3" w:fontKey="{1E79A685-DACA-4B34-8783-E1E230E1AE38}"/>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方正仿宋_GB2312">
    <w:panose1 w:val="02000000000000000000"/>
    <w:charset w:val="86"/>
    <w:family w:val="auto"/>
    <w:pitch w:val="default"/>
    <w:sig w:usb0="A00002BF" w:usb1="184F6CFA" w:usb2="00000012" w:usb3="00000000" w:csb0="00040001" w:csb1="00000000"/>
    <w:embedRegular r:id="rId4" w:fontKey="{C8C81E1D-0972-4A20-81CB-ACCABD49EC19}"/>
  </w:font>
  <w:font w:name="Arial Black">
    <w:panose1 w:val="020B0A04020102020204"/>
    <w:charset w:val="00"/>
    <w:family w:val="auto"/>
    <w:pitch w:val="default"/>
    <w:sig w:usb0="00000287" w:usb1="00000000" w:usb2="00000000" w:usb3="00000000" w:csb0="2000009F" w:csb1="DFD70000"/>
  </w:font>
  <w:font w:name="Cambria">
    <w:panose1 w:val="02040503050406030204"/>
    <w:charset w:val="00"/>
    <w:family w:val="roman"/>
    <w:pitch w:val="default"/>
    <w:sig w:usb0="E00002FF" w:usb1="400004FF" w:usb2="00000000" w:usb3="00000000" w:csb0="2000019F" w:csb1="00000000"/>
  </w:font>
  <w:font w:name="Verdana">
    <w:panose1 w:val="020B0604030504040204"/>
    <w:charset w:val="00"/>
    <w:family w:val="swiss"/>
    <w:pitch w:val="default"/>
    <w:sig w:usb0="A10006FF" w:usb1="4000205B" w:usb2="00000010" w:usb3="00000000" w:csb0="2000019F" w:csb1="00000000"/>
  </w:font>
  <w:font w:name="Dubai">
    <w:altName w:val="NumberOnly"/>
    <w:panose1 w:val="020B0503030403030204"/>
    <w:charset w:val="00"/>
    <w:family w:val="auto"/>
    <w:pitch w:val="default"/>
    <w:sig w:usb0="00000000" w:usb1="00000000" w:usb2="00000008" w:usb3="00000000" w:csb0="20000041" w:csb1="00000000"/>
  </w:font>
  <w:font w:name="文鼎粗钢笔行楷">
    <w:altName w:val="宋体"/>
    <w:panose1 w:val="03000800000000000000"/>
    <w:charset w:val="86"/>
    <w:family w:val="swiss"/>
    <w:pitch w:val="default"/>
    <w:sig w:usb0="00000000" w:usb1="00000000" w:usb2="00000012" w:usb3="00000000" w:csb0="00040001" w:csb1="00000000"/>
  </w:font>
  <w:font w:name="@宋体">
    <w:panose1 w:val="02010600030101010101"/>
    <w:charset w:val="86"/>
    <w:family w:val="auto"/>
    <w:pitch w:val="default"/>
    <w:sig w:usb0="00000003" w:usb1="288F0000" w:usb2="00000006" w:usb3="00000000" w:csb0="00040001" w:csb1="00000000"/>
  </w:font>
  <w:font w:name="Simplex">
    <w:altName w:val="Segoe Print"/>
    <w:panose1 w:val="00000400000000000000"/>
    <w:charset w:val="00"/>
    <w:family w:val="auto"/>
    <w:pitch w:val="default"/>
    <w:sig w:usb0="00000000" w:usb1="00000000" w:usb2="00000000" w:usb3="00000000" w:csb0="000001FF" w:csb1="00000000"/>
  </w:font>
  <w:font w:name="MS PGothic">
    <w:panose1 w:val="020B0600070205080204"/>
    <w:charset w:val="80"/>
    <w:family w:val="swiss"/>
    <w:pitch w:val="default"/>
    <w:sig w:usb0="E00002FF" w:usb1="6AC7FDFB" w:usb2="00000012" w:usb3="00000000" w:csb0="4002009F" w:csb1="DFD70000"/>
  </w:font>
  <w:font w:name="规范宋体超大字库">
    <w:altName w:val="宋体"/>
    <w:panose1 w:val="02010600010101010101"/>
    <w:charset w:val="86"/>
    <w:family w:val="auto"/>
    <w:pitch w:val="default"/>
    <w:sig w:usb0="00000000" w:usb1="00000000" w:usb2="00000012" w:usb3="00000000" w:csb0="00040001" w:csb1="00000000"/>
  </w:font>
  <w:font w:name="华文新魏">
    <w:altName w:val="宋体"/>
    <w:panose1 w:val="02010800040101010101"/>
    <w:charset w:val="86"/>
    <w:family w:val="auto"/>
    <w:pitch w:val="default"/>
    <w:sig w:usb0="00000000" w:usb1="00000000" w:usb2="00000000" w:usb3="00000000" w:csb0="00040000" w:csb1="00000000"/>
  </w:font>
  <w:font w:name="华文中宋">
    <w:altName w:val="宋体"/>
    <w:panose1 w:val="02010600040101010101"/>
    <w:charset w:val="86"/>
    <w:family w:val="auto"/>
    <w:pitch w:val="default"/>
    <w:sig w:usb0="00000000" w:usb1="00000000" w:usb2="00000000" w:usb3="00000000" w:csb0="0004009F" w:csb1="DFD70000"/>
  </w:font>
  <w:font w:name="仿宋">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embedRegular r:id="rId5" w:fontKey="{15BF23E0-04A7-44F0-B585-AC9AB0359BB7}"/>
  </w:font>
  <w:font w:name="微软雅黑">
    <w:panose1 w:val="020B0503020204020204"/>
    <w:charset w:val="86"/>
    <w:family w:val="auto"/>
    <w:pitch w:val="default"/>
    <w:sig w:usb0="80000287" w:usb1="280F3C52" w:usb2="00000016" w:usb3="00000000" w:csb0="0004001F" w:csb1="00000000"/>
    <w:embedRegular r:id="rId6" w:fontKey="{43A856DA-87B7-49C8-B1C5-B7B909DEBCAB}"/>
  </w:font>
  <w:font w:name="Segoe Print">
    <w:panose1 w:val="02000600000000000000"/>
    <w:charset w:val="00"/>
    <w:family w:val="auto"/>
    <w:pitch w:val="default"/>
    <w:sig w:usb0="0000028F" w:usb1="00000000" w:usb2="00000000" w:usb3="00000000" w:csb0="2000009F" w:csb1="47010000"/>
    <w:embedRegular r:id="rId7" w:fontKey="{8157BA72-24CD-43B6-95FB-B33B0B0B4E96}"/>
  </w:font>
  <w:font w:name="Cambria Math">
    <w:panose1 w:val="02040503050406030204"/>
    <w:charset w:val="00"/>
    <w:family w:val="auto"/>
    <w:pitch w:val="default"/>
    <w:sig w:usb0="E00002FF" w:usb1="420024FF" w:usb2="00000000" w:usb3="00000000" w:csb0="2000019F" w:csb1="00000000"/>
    <w:embedRegular r:id="rId8" w:fontKey="{05FA0D0D-F73F-4245-9D8B-C54AF11E3DFA}"/>
  </w:font>
  <w:font w:name="MS Gothic">
    <w:panose1 w:val="020B0609070205080204"/>
    <w:charset w:val="80"/>
    <w:family w:val="modern"/>
    <w:pitch w:val="default"/>
    <w:sig w:usb0="E00002FF" w:usb1="6AC7FDFB" w:usb2="00000012" w:usb3="00000000" w:csb0="4002009F" w:csb1="DFD70000"/>
    <w:embedRegular r:id="rId9" w:fontKey="{BE7622AB-1F00-4EB4-BDB7-2BE6759E9D04}"/>
  </w:font>
  <w:font w:name="Gulim">
    <w:panose1 w:val="020B0600000101010101"/>
    <w:charset w:val="81"/>
    <w:family w:val="auto"/>
    <w:pitch w:val="default"/>
    <w:sig w:usb0="B00002AF" w:usb1="69D77CFB" w:usb2="00000030" w:usb3="00000000" w:csb0="4008009F" w:csb1="DFD70000"/>
  </w:font>
  <w:font w:name="PMingLiU">
    <w:panose1 w:val="02020500000000000000"/>
    <w:charset w:val="88"/>
    <w:family w:val="auto"/>
    <w:pitch w:val="default"/>
    <w:sig w:usb0="A00002FF" w:usb1="28CFFCFA" w:usb2="00000016" w:usb3="00000000" w:csb0="00100001" w:csb1="00000000"/>
  </w:font>
  <w:font w:name="NumberOnly">
    <w:panose1 w:val="020B0500000000000000"/>
    <w:charset w:val="00"/>
    <w:family w:val="auto"/>
    <w:pitch w:val="default"/>
    <w:sig w:usb0="8000002F" w:usb1="10000048" w:usb2="00000000" w:usb3="00000000" w:csb0="00000111" w:csb1="4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AE8D13">
    <w:pPr>
      <w:pStyle w:val="36"/>
      <w:ind w:firstLine="360"/>
    </w:pPr>
    <w:r>
      <w:rPr>
        <w:sz w:val="18"/>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528261">
                          <w:pPr>
                            <w:pStyle w:val="3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L3o+8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wpMUyj4pfv3y4/&#10;fl1+fiU4g0C1C3PE7RwiY/PWNmib4TzgMPFuSq/TF4wI/JD3fJVXNJHwdGk2nc3GcHH4hg3ws8fr&#10;zof4TlhNkpFTj/q1srLTNsQudAhJ2YzdSKXaGipDapB4/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gvej7zICAABjBAAADgAAAAAAAAABACAAAAAfAQAAZHJzL2Uyb0RvYy54bWxQSwUG&#10;AAAAAAYABgBZAQAAwwUAAAAA&#10;">
              <v:fill on="f" focussize="0,0"/>
              <v:stroke on="f" weight="0.5pt"/>
              <v:imagedata o:title=""/>
              <o:lock v:ext="edit" aspectratio="f"/>
              <v:textbox inset="0mm,0mm,0mm,0mm" style="mso-fit-shape-to-text:t;">
                <w:txbxContent>
                  <w:p w14:paraId="4F528261">
                    <w:pPr>
                      <w:pStyle w:val="3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75650519"/>
      <w:docPartObj>
        <w:docPartGallery w:val="autotext"/>
      </w:docPartObj>
    </w:sdtPr>
    <w:sdtContent>
      <w:p w14:paraId="11D43CAE">
        <w:pPr>
          <w:pStyle w:val="36"/>
          <w:ind w:firstLine="360"/>
          <w:jc w:val="center"/>
        </w:pPr>
        <w:r>
          <w:fldChar w:fldCharType="begin"/>
        </w:r>
        <w:r>
          <w:instrText xml:space="preserve">PAGE   \* MERGEFORMAT</w:instrText>
        </w:r>
        <w:r>
          <w:fldChar w:fldCharType="separate"/>
        </w:r>
        <w:r>
          <w:rPr>
            <w:lang w:val="zh-CN"/>
          </w:rPr>
          <w:t>26</w:t>
        </w:r>
        <w: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C3B9A1">
    <w:pPr>
      <w:snapToGrid w:val="0"/>
      <w:ind w:firstLine="360"/>
      <w:jc w:val="center"/>
      <w:rPr>
        <w:kern w:val="0"/>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6" name="文本框 10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7454353">
                          <w:pPr>
                            <w:snapToGrid w:val="0"/>
                            <w:ind w:firstLine="360"/>
                            <w:jc w:val="center"/>
                          </w:pPr>
                          <w:r>
                            <w:rPr>
                              <w:kern w:val="0"/>
                              <w:sz w:val="18"/>
                              <w:szCs w:val="18"/>
                            </w:rPr>
                            <w:fldChar w:fldCharType="begin"/>
                          </w:r>
                          <w:r>
                            <w:rPr>
                              <w:kern w:val="0"/>
                              <w:sz w:val="18"/>
                              <w:szCs w:val="18"/>
                            </w:rPr>
                            <w:instrText xml:space="preserve">PAGE   \* MERGEFORMAT</w:instrText>
                          </w:r>
                          <w:r>
                            <w:rPr>
                              <w:kern w:val="0"/>
                              <w:sz w:val="18"/>
                              <w:szCs w:val="18"/>
                            </w:rPr>
                            <w:fldChar w:fldCharType="separate"/>
                          </w:r>
                          <w:r>
                            <w:rPr>
                              <w:kern w:val="0"/>
                              <w:sz w:val="18"/>
                              <w:szCs w:val="18"/>
                              <w:lang w:val="zh-CN"/>
                            </w:rPr>
                            <w:t>392</w:t>
                          </w:r>
                          <w:r>
                            <w:rPr>
                              <w:kern w:val="0"/>
                              <w:sz w:val="18"/>
                              <w:szCs w:val="18"/>
                            </w:rPr>
                            <w:fldChar w:fldCharType="end"/>
                          </w:r>
                        </w:p>
                      </w:txbxContent>
                    </wps:txbx>
                    <wps:bodyPr wrap="none" lIns="0" tIns="0" rIns="0" bIns="0" upright="0">
                      <a:spAutoFit/>
                    </wps:bodyPr>
                  </wps:wsp>
                </a:graphicData>
              </a:graphic>
            </wp:anchor>
          </w:drawing>
        </mc:Choice>
        <mc:Fallback>
          <w:pict>
            <v:shape id="文本框 1032"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BwiCDkzAEAAJ4DAAAOAAAAAAAAAAEAIAAAAB4BAABkcnMvZTJv&#10;RG9jLnhtbFBLBQYAAAAABgAGAFkBAABcBQAAAAA=&#10;">
              <v:fill on="f" focussize="0,0"/>
              <v:stroke on="f"/>
              <v:imagedata o:title=""/>
              <o:lock v:ext="edit" aspectratio="f"/>
              <v:textbox inset="0mm,0mm,0mm,0mm" style="mso-fit-shape-to-text:t;">
                <w:txbxContent>
                  <w:p w14:paraId="57454353">
                    <w:pPr>
                      <w:snapToGrid w:val="0"/>
                      <w:ind w:firstLine="360"/>
                      <w:jc w:val="center"/>
                    </w:pPr>
                    <w:r>
                      <w:rPr>
                        <w:kern w:val="0"/>
                        <w:sz w:val="18"/>
                        <w:szCs w:val="18"/>
                      </w:rPr>
                      <w:fldChar w:fldCharType="begin"/>
                    </w:r>
                    <w:r>
                      <w:rPr>
                        <w:kern w:val="0"/>
                        <w:sz w:val="18"/>
                        <w:szCs w:val="18"/>
                      </w:rPr>
                      <w:instrText xml:space="preserve">PAGE   \* MERGEFORMAT</w:instrText>
                    </w:r>
                    <w:r>
                      <w:rPr>
                        <w:kern w:val="0"/>
                        <w:sz w:val="18"/>
                        <w:szCs w:val="18"/>
                      </w:rPr>
                      <w:fldChar w:fldCharType="separate"/>
                    </w:r>
                    <w:r>
                      <w:rPr>
                        <w:kern w:val="0"/>
                        <w:sz w:val="18"/>
                        <w:szCs w:val="18"/>
                        <w:lang w:val="zh-CN"/>
                      </w:rPr>
                      <w:t>392</w:t>
                    </w:r>
                    <w:r>
                      <w:rPr>
                        <w:kern w:val="0"/>
                        <w:sz w:val="18"/>
                        <w:szCs w:val="18"/>
                      </w:rPr>
                      <w:fldChar w:fldCharType="end"/>
                    </w:r>
                  </w:p>
                </w:txbxContent>
              </v:textbox>
            </v:shape>
          </w:pict>
        </mc:Fallback>
      </mc:AlternateContent>
    </w:r>
  </w:p>
  <w:p w14:paraId="0C3DBA71">
    <w:pPr>
      <w:adjustRightInd/>
      <w:spacing w:line="10" w:lineRule="exact"/>
      <w:ind w:firstLine="0" w:firstLineChars="0"/>
      <w:rPr>
        <w:sz w:val="1"/>
        <w:szCs w:val="1"/>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77EC6A">
    <w:pPr>
      <w:pStyle w:val="36"/>
      <w:ind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57" name="文本框 10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8162762">
                          <w:pPr>
                            <w:pStyle w:val="36"/>
                            <w:ind w:firstLine="360"/>
                            <w:jc w:val="center"/>
                          </w:pPr>
                          <w:r>
                            <w:fldChar w:fldCharType="begin"/>
                          </w:r>
                          <w:r>
                            <w:instrText xml:space="preserve">PAGE   \* MERGEFORMAT</w:instrText>
                          </w:r>
                          <w:r>
                            <w:fldChar w:fldCharType="separate"/>
                          </w:r>
                          <w:r>
                            <w:rPr>
                              <w:lang w:val="zh-CN"/>
                            </w:rPr>
                            <w:t>394</w:t>
                          </w:r>
                          <w:r>
                            <w:fldChar w:fldCharType="end"/>
                          </w:r>
                        </w:p>
                      </w:txbxContent>
                    </wps:txbx>
                    <wps:bodyPr wrap="none" lIns="0" tIns="0" rIns="0" bIns="0" upright="0">
                      <a:spAutoFit/>
                    </wps:bodyPr>
                  </wps:wsp>
                </a:graphicData>
              </a:graphic>
            </wp:anchor>
          </w:drawing>
        </mc:Choice>
        <mc:Fallback>
          <w:pict>
            <v:shape id="文本框 1033"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OqXm5zwAAAAUBAAAPAAAAAAAAAAEAIAAAACIAAABkcnMvZG93bnJl&#10;di54bWxQSwECFAAUAAAACACHTuJAuoW7Us0BAACeAwAADgAAAAAAAAABACAAAAAeAQAAZHJzL2Uy&#10;b0RvYy54bWxQSwUGAAAAAAYABgBZAQAAXQUAAAAA&#10;">
              <v:fill on="f" focussize="0,0"/>
              <v:stroke on="f"/>
              <v:imagedata o:title=""/>
              <o:lock v:ext="edit" aspectratio="f"/>
              <v:textbox inset="0mm,0mm,0mm,0mm" style="mso-fit-shape-to-text:t;">
                <w:txbxContent>
                  <w:p w14:paraId="58162762">
                    <w:pPr>
                      <w:pStyle w:val="36"/>
                      <w:ind w:firstLine="360"/>
                      <w:jc w:val="center"/>
                    </w:pPr>
                    <w:r>
                      <w:fldChar w:fldCharType="begin"/>
                    </w:r>
                    <w:r>
                      <w:instrText xml:space="preserve">PAGE   \* MERGEFORMAT</w:instrText>
                    </w:r>
                    <w:r>
                      <w:fldChar w:fldCharType="separate"/>
                    </w:r>
                    <w:r>
                      <w:rPr>
                        <w:lang w:val="zh-CN"/>
                      </w:rPr>
                      <w:t>394</w:t>
                    </w:r>
                    <w:r>
                      <w:fldChar w:fldCharType="end"/>
                    </w:r>
                  </w:p>
                </w:txbxContent>
              </v:textbox>
            </v:shape>
          </w:pict>
        </mc:Fallback>
      </mc:AlternateContent>
    </w:r>
  </w:p>
  <w:p w14:paraId="7DFF5CD3">
    <w:pPr>
      <w:spacing w:line="10" w:lineRule="exact"/>
      <w:ind w:firstLine="20"/>
      <w:rPr>
        <w:sz w:val="1"/>
        <w:szCs w:val="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EFDE30">
    <w:pPr>
      <w:pStyle w:val="3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FDC709">
    <w:pPr>
      <w:pStyle w:val="36"/>
      <w:ind w:firstLine="360"/>
    </w:pPr>
    <w:r>
      <w:rPr>
        <w:sz w:val="18"/>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F51572">
                          <w:pPr>
                            <w:pStyle w:val="3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BfNAA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AXzQAMQIAAGMEAAAOAAAAAAAAAAEAIAAAAB8BAABkcnMvZTJvRG9jLnhtbFBLBQYA&#10;AAAABgAGAFkBAADCBQAAAAA=&#10;">
              <v:fill on="f" focussize="0,0"/>
              <v:stroke on="f" weight="0.5pt"/>
              <v:imagedata o:title=""/>
              <o:lock v:ext="edit" aspectratio="f"/>
              <v:textbox inset="0mm,0mm,0mm,0mm" style="mso-fit-shape-to-text:t;">
                <w:txbxContent>
                  <w:p w14:paraId="4AF51572">
                    <w:pPr>
                      <w:pStyle w:val="3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0E8D2E">
    <w:pPr>
      <w:pStyle w:val="36"/>
      <w:ind w:firstLine="440"/>
      <w:jc w:val="center"/>
    </w:pPr>
    <w:r>
      <w:rPr>
        <w:sz w:val="18"/>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5E6C53">
                          <w:pPr>
                            <w:pStyle w:val="36"/>
                            <w:ind w:firstLine="440"/>
                            <w:jc w:val="center"/>
                          </w:pPr>
                          <w:r>
                            <w:rPr>
                              <w:sz w:val="22"/>
                              <w:szCs w:val="22"/>
                            </w:rPr>
                            <w:fldChar w:fldCharType="begin"/>
                          </w:r>
                          <w:r>
                            <w:instrText xml:space="preserve">PAGE  \* ROMAN  \* MERGEFORMAT</w:instrText>
                          </w:r>
                          <w:r>
                            <w:rPr>
                              <w:sz w:val="22"/>
                              <w:szCs w:val="22"/>
                            </w:rPr>
                            <w:fldChar w:fldCharType="separate"/>
                          </w:r>
                          <w:r>
                            <w:rPr>
                              <w:color w:val="4472C4"/>
                              <w:sz w:val="28"/>
                              <w:szCs w:val="28"/>
                              <w:lang w:val="zh-CN"/>
                            </w:rPr>
                            <w:t>III</w:t>
                          </w:r>
                          <w:r>
                            <w:rPr>
                              <w:color w:val="4472C4"/>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0MQeM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NJYZpVPz04/vp&#10;58Pp1zeCMwjUuDBD3L1DZGzf2RZtM5wHHCbebeV1+oIRgR/yHi/yijYSni5NJ9NpDheHb9gAP3u8&#10;7nyI74XVJBkF9ahfJys7bELsQ4eQlM3YtVSqq6EypAGJ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0MQeMzAgAAYwQAAA4AAAAAAAAAAQAgAAAAHwEAAGRycy9lMm9Eb2MueG1sUEsF&#10;BgAAAAAGAAYAWQEAAMQFAAAAAA==&#10;">
              <v:fill on="f" focussize="0,0"/>
              <v:stroke on="f" weight="0.5pt"/>
              <v:imagedata o:title=""/>
              <o:lock v:ext="edit" aspectratio="f"/>
              <v:textbox inset="0mm,0mm,0mm,0mm" style="mso-fit-shape-to-text:t;">
                <w:txbxContent>
                  <w:p w14:paraId="1C5E6C53">
                    <w:pPr>
                      <w:pStyle w:val="36"/>
                      <w:ind w:firstLine="440"/>
                      <w:jc w:val="center"/>
                    </w:pPr>
                    <w:r>
                      <w:rPr>
                        <w:sz w:val="22"/>
                        <w:szCs w:val="22"/>
                      </w:rPr>
                      <w:fldChar w:fldCharType="begin"/>
                    </w:r>
                    <w:r>
                      <w:instrText xml:space="preserve">PAGE  \* ROMAN  \* MERGEFORMAT</w:instrText>
                    </w:r>
                    <w:r>
                      <w:rPr>
                        <w:sz w:val="22"/>
                        <w:szCs w:val="22"/>
                      </w:rPr>
                      <w:fldChar w:fldCharType="separate"/>
                    </w:r>
                    <w:r>
                      <w:rPr>
                        <w:color w:val="4472C4"/>
                        <w:sz w:val="28"/>
                        <w:szCs w:val="28"/>
                        <w:lang w:val="zh-CN"/>
                      </w:rPr>
                      <w:t>III</w:t>
                    </w:r>
                    <w:r>
                      <w:rPr>
                        <w:color w:val="4472C4"/>
                        <w:sz w:val="28"/>
                        <w:szCs w:val="28"/>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D9F217">
    <w:pPr>
      <w:pStyle w:val="36"/>
      <w:ind w:firstLine="360"/>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F0DB01">
                          <w:pPr>
                            <w:pStyle w:val="3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ZAnnc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2E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ZAnnczAgAAYwQAAA4AAAAAAAAAAQAgAAAAHwEAAGRycy9lMm9Eb2MueG1sUEsF&#10;BgAAAAAGAAYAWQEAAMQFAAAAAA==&#10;">
              <v:fill on="f" focussize="0,0"/>
              <v:stroke on="f" weight="0.5pt"/>
              <v:imagedata o:title=""/>
              <o:lock v:ext="edit" aspectratio="f"/>
              <v:textbox inset="0mm,0mm,0mm,0mm" style="mso-fit-shape-to-text:t;">
                <w:txbxContent>
                  <w:p w14:paraId="74F0DB01">
                    <w:pPr>
                      <w:pStyle w:val="3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4C2CF1">
    <w:pPr>
      <w:pStyle w:val="36"/>
      <w:ind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4" name="文本框 10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3941C24">
                          <w:pPr>
                            <w:pStyle w:val="36"/>
                            <w:ind w:firstLine="360"/>
                            <w:jc w:val="center"/>
                          </w:pPr>
                          <w:r>
                            <w:fldChar w:fldCharType="begin"/>
                          </w:r>
                          <w:r>
                            <w:instrText xml:space="preserve">PAGE   \* MERGEFORMAT</w:instrText>
                          </w:r>
                          <w:r>
                            <w:fldChar w:fldCharType="separate"/>
                          </w:r>
                          <w:r>
                            <w:rPr>
                              <w:lang w:val="zh-CN"/>
                            </w:rPr>
                            <w:t>149</w:t>
                          </w:r>
                          <w:r>
                            <w:fldChar w:fldCharType="end"/>
                          </w:r>
                        </w:p>
                      </w:txbxContent>
                    </wps:txbx>
                    <wps:bodyPr wrap="none" lIns="0" tIns="0" rIns="0" bIns="0" upright="0">
                      <a:spAutoFit/>
                    </wps:bodyPr>
                  </wps:wsp>
                </a:graphicData>
              </a:graphic>
            </wp:anchor>
          </w:drawing>
        </mc:Choice>
        <mc:Fallback>
          <w:pict>
            <v:shape id="文本框 1029"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H+bsuTLAQAAngMAAA4AAAAAAAAAAQAgAAAAHgEAAGRycy9lMm9E&#10;b2MueG1sUEsFBgAAAAAGAAYAWQEAAFsFAAAAAA==&#10;">
              <v:fill on="f" focussize="0,0"/>
              <v:stroke on="f"/>
              <v:imagedata o:title=""/>
              <o:lock v:ext="edit" aspectratio="f"/>
              <v:textbox inset="0mm,0mm,0mm,0mm" style="mso-fit-shape-to-text:t;">
                <w:txbxContent>
                  <w:p w14:paraId="53941C24">
                    <w:pPr>
                      <w:pStyle w:val="36"/>
                      <w:ind w:firstLine="360"/>
                      <w:jc w:val="center"/>
                    </w:pPr>
                    <w:r>
                      <w:fldChar w:fldCharType="begin"/>
                    </w:r>
                    <w:r>
                      <w:instrText xml:space="preserve">PAGE   \* MERGEFORMAT</w:instrText>
                    </w:r>
                    <w:r>
                      <w:fldChar w:fldCharType="separate"/>
                    </w:r>
                    <w:r>
                      <w:rPr>
                        <w:lang w:val="zh-CN"/>
                      </w:rPr>
                      <w:t>149</w:t>
                    </w:r>
                    <w:r>
                      <w:fldChar w:fldCharType="end"/>
                    </w:r>
                  </w:p>
                </w:txbxContent>
              </v:textbox>
            </v:shape>
          </w:pict>
        </mc:Fallback>
      </mc:AlternateContent>
    </w:r>
  </w:p>
  <w:p w14:paraId="6A6BBC01">
    <w:pPr>
      <w:pStyle w:val="36"/>
      <w:ind w:firstLine="422"/>
      <w:rPr>
        <w:rFonts w:eastAsia="方正仿宋_GB2312"/>
        <w:b/>
        <w:bCs/>
        <w:sz w:val="21"/>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357029">
    <w:pPr>
      <w:spacing w:line="174" w:lineRule="auto"/>
      <w:ind w:left="4560"/>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80C50F">
                          <w:pPr>
                            <w:pStyle w:val="36"/>
                          </w:pPr>
                          <w:r>
                            <w:fldChar w:fldCharType="begin"/>
                          </w:r>
                          <w:r>
                            <w:instrText xml:space="preserve"> PAGE  \* MERGEFORMAT </w:instrText>
                          </w:r>
                          <w:r>
                            <w:fldChar w:fldCharType="separate"/>
                          </w:r>
                          <w:r>
                            <w:t>79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ToCZg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M0V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ToCZgzAgAAYwQAAA4AAAAAAAAAAQAgAAAAHwEAAGRycy9lMm9Eb2MueG1sUEsF&#10;BgAAAAAGAAYAWQEAAMQFAAAAAA==&#10;">
              <v:fill on="f" focussize="0,0"/>
              <v:stroke on="f" weight="0.5pt"/>
              <v:imagedata o:title=""/>
              <o:lock v:ext="edit" aspectratio="f"/>
              <v:textbox inset="0mm,0mm,0mm,0mm" style="mso-fit-shape-to-text:t;">
                <w:txbxContent>
                  <w:p w14:paraId="7C80C50F">
                    <w:pPr>
                      <w:pStyle w:val="36"/>
                    </w:pPr>
                    <w:r>
                      <w:fldChar w:fldCharType="begin"/>
                    </w:r>
                    <w:r>
                      <w:instrText xml:space="preserve"> PAGE  \* MERGEFORMAT </w:instrText>
                    </w:r>
                    <w:r>
                      <w:fldChar w:fldCharType="separate"/>
                    </w:r>
                    <w:r>
                      <w:t>79</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8247D1">
    <w:pPr>
      <w:spacing w:line="174" w:lineRule="auto"/>
      <w:ind w:left="6920"/>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55200E">
                          <w:pPr>
                            <w:pStyle w:val="36"/>
                          </w:pPr>
                          <w:r>
                            <w:fldChar w:fldCharType="begin"/>
                          </w:r>
                          <w:r>
                            <w:instrText xml:space="preserve"> PAGE  \* MERGEFORMAT </w:instrText>
                          </w:r>
                          <w:r>
                            <w:fldChar w:fldCharType="separate"/>
                          </w:r>
                          <w:r>
                            <w:t>155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fHszAgAAYw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37yi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m7fHszAgAAYwQAAA4AAAAAAAAAAQAgAAAAHwEAAGRycy9lMm9Eb2MueG1sUEsF&#10;BgAAAAAGAAYAWQEAAMQFAAAAAA==&#10;">
              <v:fill on="f" focussize="0,0"/>
              <v:stroke on="f" weight="0.5pt"/>
              <v:imagedata o:title=""/>
              <o:lock v:ext="edit" aspectratio="f"/>
              <v:textbox inset="0mm,0mm,0mm,0mm" style="mso-fit-shape-to-text:t;">
                <w:txbxContent>
                  <w:p w14:paraId="7155200E">
                    <w:pPr>
                      <w:pStyle w:val="36"/>
                    </w:pPr>
                    <w:r>
                      <w:fldChar w:fldCharType="begin"/>
                    </w:r>
                    <w:r>
                      <w:instrText xml:space="preserve"> PAGE  \* MERGEFORMAT </w:instrText>
                    </w:r>
                    <w:r>
                      <w:fldChar w:fldCharType="separate"/>
                    </w:r>
                    <w:r>
                      <w:t>155</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8005F1">
    <w:pPr>
      <w:pStyle w:val="36"/>
      <w:ind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5" name="文本框 10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B1DAEF1">
                          <w:pPr>
                            <w:pStyle w:val="36"/>
                            <w:ind w:firstLine="360"/>
                            <w:jc w:val="center"/>
                          </w:pPr>
                          <w:r>
                            <w:fldChar w:fldCharType="begin"/>
                          </w:r>
                          <w:r>
                            <w:instrText xml:space="preserve">PAGE   \* MERGEFORMAT</w:instrText>
                          </w:r>
                          <w:r>
                            <w:fldChar w:fldCharType="separate"/>
                          </w:r>
                          <w:r>
                            <w:rPr>
                              <w:lang w:val="zh-CN"/>
                            </w:rPr>
                            <w:t>384</w:t>
                          </w:r>
                          <w:r>
                            <w:fldChar w:fldCharType="end"/>
                          </w:r>
                        </w:p>
                      </w:txbxContent>
                    </wps:txbx>
                    <wps:bodyPr wrap="none" lIns="0" tIns="0" rIns="0" bIns="0" upright="0">
                      <a:spAutoFit/>
                    </wps:bodyPr>
                  </wps:wsp>
                </a:graphicData>
              </a:graphic>
            </wp:anchor>
          </w:drawing>
        </mc:Choice>
        <mc:Fallback>
          <w:pict>
            <v:shape id="文本框 1031"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BvmPzkzAEAAJ4DAAAOAAAAAAAAAAEAIAAAAB4BAABkcnMvZTJv&#10;RG9jLnhtbFBLBQYAAAAABgAGAFkBAABcBQAAAAA=&#10;">
              <v:fill on="f" focussize="0,0"/>
              <v:stroke on="f"/>
              <v:imagedata o:title=""/>
              <o:lock v:ext="edit" aspectratio="f"/>
              <v:textbox inset="0mm,0mm,0mm,0mm" style="mso-fit-shape-to-text:t;">
                <w:txbxContent>
                  <w:p w14:paraId="6B1DAEF1">
                    <w:pPr>
                      <w:pStyle w:val="36"/>
                      <w:ind w:firstLine="360"/>
                      <w:jc w:val="center"/>
                    </w:pPr>
                    <w:r>
                      <w:fldChar w:fldCharType="begin"/>
                    </w:r>
                    <w:r>
                      <w:instrText xml:space="preserve">PAGE   \* MERGEFORMAT</w:instrText>
                    </w:r>
                    <w:r>
                      <w:fldChar w:fldCharType="separate"/>
                    </w:r>
                    <w:r>
                      <w:rPr>
                        <w:lang w:val="zh-CN"/>
                      </w:rPr>
                      <w:t>384</w:t>
                    </w:r>
                    <w:r>
                      <w:fldChar w:fldCharType="end"/>
                    </w:r>
                  </w:p>
                </w:txbxContent>
              </v:textbox>
            </v:shape>
          </w:pict>
        </mc:Fallback>
      </mc:AlternateContent>
    </w:r>
  </w:p>
  <w:p w14:paraId="6AAB9627">
    <w:pPr>
      <w:spacing w:line="10" w:lineRule="exact"/>
      <w:ind w:firstLine="20"/>
      <w:rPr>
        <w:sz w:val="1"/>
        <w:szCs w:val="1"/>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7B8723">
    <w:pPr>
      <w:pStyle w:val="37"/>
      <w:pBdr>
        <w:bottom w:val="none" w:color="auto" w:sz="0" w:space="1"/>
      </w:pBdr>
      <w:ind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83B7A6">
    <w:pPr>
      <w:ind w:left="480" w:firstLine="0" w:firstLineChars="0"/>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1630D6">
    <w:pPr>
      <w:spacing w:before="16" w:line="218" w:lineRule="auto"/>
      <w:ind w:left="687"/>
      <w:rPr>
        <w:rFonts w:ascii="宋体" w:hAnsi="宋体" w:eastAsia="宋体" w:cs="宋体"/>
        <w:sz w:val="18"/>
        <w:szCs w:val="18"/>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FD2525">
    <w:pPr>
      <w:pStyle w:val="37"/>
      <w:keepNext w:val="0"/>
      <w:keepLines w:val="0"/>
      <w:pageBreakBefore w:val="0"/>
      <w:widowControl w:val="0"/>
      <w:kinsoku/>
      <w:wordWrap/>
      <w:overflowPunct/>
      <w:topLinePunct w:val="0"/>
      <w:bidi w:val="0"/>
      <w:adjustRightInd/>
      <w:snapToGrid/>
      <w:spacing w:line="240" w:lineRule="auto"/>
      <w:ind w:firstLine="0" w:firstLineChars="0"/>
      <w:textAlignment w:val="auto"/>
    </w:pPr>
    <w:r>
      <w:rPr>
        <w:rFonts w:hint="eastAsia"/>
        <w:sz w:val="21"/>
        <w:szCs w:val="21"/>
        <w:lang w:eastAsia="zh-CN"/>
      </w:rPr>
      <w:t>巴中市巴州区曾口片区污水处理厂、环境监测站建设项目</w:t>
    </w:r>
    <w:r>
      <w:rPr>
        <w:rFonts w:hint="eastAsia"/>
        <w:sz w:val="21"/>
        <w:szCs w:val="21"/>
      </w:rPr>
      <w:t>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78E348">
    <w:pPr>
      <w:pStyle w:val="37"/>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56CEFE">
    <w:pPr>
      <w:pStyle w:val="37"/>
      <w:pBdr>
        <w:bottom w:val="none" w:color="auto" w:sz="0" w:space="0"/>
      </w:pBdr>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3963FB">
    <w:pPr>
      <w:pStyle w:val="37"/>
      <w:keepNext w:val="0"/>
      <w:keepLines w:val="0"/>
      <w:pageBreakBefore w:val="0"/>
      <w:widowControl w:val="0"/>
      <w:kinsoku/>
      <w:wordWrap/>
      <w:overflowPunct/>
      <w:topLinePunct w:val="0"/>
      <w:bidi w:val="0"/>
      <w:adjustRightInd/>
      <w:snapToGrid/>
      <w:spacing w:line="240" w:lineRule="auto"/>
      <w:ind w:firstLine="0" w:firstLineChars="0"/>
      <w:textAlignment w:val="auto"/>
    </w:pPr>
    <w:r>
      <w:rPr>
        <w:rFonts w:hint="eastAsia"/>
        <w:sz w:val="21"/>
        <w:szCs w:val="21"/>
        <w:lang w:eastAsia="zh-CN"/>
      </w:rPr>
      <w:t>巴中市巴州区曾口片区污水处理厂、环境监测站建设项目</w:t>
    </w:r>
    <w:r>
      <w:rPr>
        <w:rFonts w:hint="eastAsia"/>
        <w:sz w:val="21"/>
        <w:szCs w:val="21"/>
      </w:rPr>
      <w:t>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24BB3B">
    <w:pPr>
      <w:pStyle w:val="37"/>
      <w:spacing w:line="240" w:lineRule="auto"/>
    </w:pPr>
    <w:r>
      <w:rPr>
        <w:rFonts w:hint="eastAsia"/>
        <w:sz w:val="21"/>
        <w:szCs w:val="21"/>
        <w:lang w:eastAsia="zh-CN"/>
      </w:rPr>
      <w:t>巴中市巴州区曾口片区污水处理厂、环境监测站建设项目</w:t>
    </w:r>
    <w:r>
      <w:rPr>
        <w:rFonts w:hint="eastAsia"/>
        <w:sz w:val="21"/>
        <w:szCs w:val="21"/>
      </w:rPr>
      <w:t>环境影响报告书</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46EA6B">
    <w:pPr>
      <w:pStyle w:val="23"/>
      <w:spacing w:before="19" w:line="219" w:lineRule="auto"/>
      <w:ind w:left="4307"/>
    </w:pPr>
    <w:r>
      <mc:AlternateContent>
        <mc:Choice Requires="wps">
          <w:drawing>
            <wp:anchor distT="0" distB="0" distL="114300" distR="114300" simplePos="0" relativeHeight="251673600" behindDoc="0" locked="0" layoutInCell="0" allowOverlap="1">
              <wp:simplePos x="0" y="0"/>
              <wp:positionH relativeFrom="page">
                <wp:posOffset>882015</wp:posOffset>
              </wp:positionH>
              <wp:positionV relativeFrom="page">
                <wp:posOffset>726440</wp:posOffset>
              </wp:positionV>
              <wp:extent cx="8929370" cy="9525"/>
              <wp:effectExtent l="0" t="0" r="0" b="0"/>
              <wp:wrapNone/>
              <wp:docPr id="59" name="任意多边形 59"/>
              <wp:cNvGraphicFramePr/>
              <a:graphic xmlns:a="http://schemas.openxmlformats.org/drawingml/2006/main">
                <a:graphicData uri="http://schemas.microsoft.com/office/word/2010/wordprocessingShape">
                  <wps:wsp>
                    <wps:cNvSpPr/>
                    <wps:spPr>
                      <a:xfrm>
                        <a:off x="0" y="0"/>
                        <a:ext cx="8929370" cy="9525"/>
                      </a:xfrm>
                      <a:custGeom>
                        <a:avLst/>
                        <a:gdLst/>
                        <a:ahLst/>
                        <a:cxnLst/>
                        <a:pathLst>
                          <a:path w="14061" h="15">
                            <a:moveTo>
                              <a:pt x="0" y="14"/>
                            </a:moveTo>
                            <a:lnTo>
                              <a:pt x="14061" y="14"/>
                            </a:lnTo>
                            <a:lnTo>
                              <a:pt x="14061" y="0"/>
                            </a:lnTo>
                            <a:lnTo>
                              <a:pt x="0" y="0"/>
                            </a:lnTo>
                            <a:lnTo>
                              <a:pt x="0" y="14"/>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69.45pt;margin-top:57.2pt;height:0.75pt;width:703.1pt;mso-position-horizontal-relative:page;mso-position-vertical-relative:page;z-index:251673600;mso-width-relative:page;mso-height-relative:page;" fillcolor="#000000" filled="t" stroked="f" coordsize="14061,15" o:allowincell="f" o:gfxdata="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6zgKPNYAAAAMAQAADwAAAAAA&#10;AAABACAAAAAiAAAAZHJzL2Rvd25yZXYueG1sUEsBAhQAFAAAAAgAh07iQBhL5GUVAgAAgQQAAA4A&#10;AAAAAAAAAQAgAAAAJQEAAGRycy9lMm9Eb2MueG1sUEsFBgAAAAAGAAYAWQEAAKwFAAAAAA==&#10;" path="m0,14l14061,14,14061,0,0,0,0,14xe">
              <v:fill on="t" focussize="0,0"/>
              <v:stroke on="f"/>
              <v:imagedata o:title=""/>
              <o:lock v:ext="edit" aspectratio="f"/>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6A227B">
    <w:pPr>
      <w:pBdr>
        <w:bottom w:val="single" w:color="auto" w:sz="6" w:space="1"/>
      </w:pBdr>
      <w:snapToGrid w:val="0"/>
      <w:spacing w:line="240" w:lineRule="auto"/>
      <w:jc w:val="center"/>
      <w:rPr>
        <w:kern w:val="0"/>
        <w:sz w:val="18"/>
        <w:szCs w:val="18"/>
      </w:rPr>
    </w:pPr>
    <w:r>
      <w:rPr>
        <w:rFonts w:hint="eastAsia"/>
        <w:kern w:val="0"/>
        <w:sz w:val="21"/>
        <w:szCs w:val="21"/>
        <w:lang w:eastAsia="zh-CN"/>
      </w:rPr>
      <w:t>巴中市巴州区曾口片区污水处理厂、环境监测站建设项目</w:t>
    </w:r>
    <w:r>
      <w:rPr>
        <w:rFonts w:hint="eastAsia"/>
        <w:kern w:val="0"/>
        <w:sz w:val="21"/>
        <w:szCs w:val="21"/>
      </w:rPr>
      <w:t>环境影响报告书</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1B11B2">
    <w:pPr>
      <w:pStyle w:val="37"/>
      <w:pBdr>
        <w:bottom w:val="single" w:color="auto" w:sz="4" w:space="1"/>
      </w:pBdr>
      <w:spacing w:line="240" w:lineRule="auto"/>
    </w:pPr>
    <w:r>
      <w:rPr>
        <w:rFonts w:hint="eastAsia"/>
        <w:sz w:val="21"/>
        <w:szCs w:val="21"/>
        <w:lang w:eastAsia="zh-CN"/>
      </w:rPr>
      <w:t>巴中市巴州区曾口片区污水处理厂、环境监测站建设项目</w:t>
    </w:r>
    <w:r>
      <w:rPr>
        <w:rFonts w:hint="eastAsia"/>
        <w:sz w:val="21"/>
        <w:szCs w:val="21"/>
      </w:rPr>
      <w:t>环境影响报告书</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53FD1D">
    <w:pPr>
      <w:pStyle w:val="37"/>
      <w:spacing w:line="240" w:lineRule="auto"/>
    </w:pPr>
    <w:r>
      <w:rPr>
        <w:rFonts w:hint="eastAsia"/>
        <w:sz w:val="21"/>
        <w:szCs w:val="21"/>
        <w:lang w:eastAsia="zh-CN"/>
      </w:rPr>
      <w:t>巴中市巴州区曾口片区污水处理厂、环境监测站建设项目</w:t>
    </w:r>
    <w:r>
      <w:rPr>
        <w:rFonts w:hint="eastAsia"/>
        <w:sz w:val="21"/>
        <w:szCs w:val="21"/>
      </w:rPr>
      <w:t>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999CF1"/>
    <w:multiLevelType w:val="multilevel"/>
    <w:tmpl w:val="81999CF1"/>
    <w:lvl w:ilvl="0" w:tentative="0">
      <w:start w:val="1"/>
      <w:numFmt w:val="decimal"/>
      <w:lvlText w:val="表2.7-%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8B3CB287"/>
    <w:multiLevelType w:val="singleLevel"/>
    <w:tmpl w:val="8B3CB287"/>
    <w:lvl w:ilvl="0" w:tentative="0">
      <w:start w:val="3"/>
      <w:numFmt w:val="decimal"/>
      <w:suff w:val="nothing"/>
      <w:lvlText w:val="（%1）"/>
      <w:lvlJc w:val="left"/>
    </w:lvl>
  </w:abstractNum>
  <w:abstractNum w:abstractNumId="2">
    <w:nsid w:val="8F8549A5"/>
    <w:multiLevelType w:val="singleLevel"/>
    <w:tmpl w:val="8F8549A5"/>
    <w:lvl w:ilvl="0" w:tentative="0">
      <w:start w:val="2"/>
      <w:numFmt w:val="decimal"/>
      <w:suff w:val="nothing"/>
      <w:lvlText w:val="%1．"/>
      <w:lvlJc w:val="left"/>
    </w:lvl>
  </w:abstractNum>
  <w:abstractNum w:abstractNumId="3">
    <w:nsid w:val="8F85DABA"/>
    <w:multiLevelType w:val="multilevel"/>
    <w:tmpl w:val="8F85DABA"/>
    <w:lvl w:ilvl="0" w:tentative="0">
      <w:start w:val="1"/>
      <w:numFmt w:val="decimal"/>
      <w:lvlText w:val="表8.3-%1"/>
      <w:lvlJc w:val="center"/>
      <w:pPr>
        <w:tabs>
          <w:tab w:val="left" w:pos="0"/>
        </w:tabs>
        <w:ind w:left="0" w:leftChars="0" w:firstLine="0" w:firstLineChars="0"/>
      </w:pPr>
      <w:rPr>
        <w:rFonts w:hint="default" w:ascii="Times New Roman" w:hAnsi="Times New Roman" w:eastAsia="宋体"/>
        <w:b/>
        <w:i w:val="0"/>
        <w:sz w:val="21"/>
        <w:szCs w:val="21"/>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9C899FC3"/>
    <w:multiLevelType w:val="singleLevel"/>
    <w:tmpl w:val="9C899FC3"/>
    <w:lvl w:ilvl="0" w:tentative="0">
      <w:start w:val="1"/>
      <w:numFmt w:val="decimal"/>
      <w:suff w:val="nothing"/>
      <w:lvlText w:val="%1、"/>
      <w:lvlJc w:val="left"/>
    </w:lvl>
  </w:abstractNum>
  <w:abstractNum w:abstractNumId="5">
    <w:nsid w:val="9FCF9642"/>
    <w:multiLevelType w:val="multilevel"/>
    <w:tmpl w:val="9FCF9642"/>
    <w:lvl w:ilvl="0" w:tentative="0">
      <w:start w:val="1"/>
      <w:numFmt w:val="decimal"/>
      <w:lvlText w:val="表5.3-%1"/>
      <w:lvlJc w:val="center"/>
      <w:pPr>
        <w:tabs>
          <w:tab w:val="left" w:pos="0"/>
        </w:tabs>
        <w:ind w:left="0" w:leftChars="0" w:firstLine="0" w:firstLineChars="0"/>
      </w:pPr>
      <w:rPr>
        <w:rFonts w:hint="default" w:ascii="Times New Roman" w:hAnsi="Times New Roman" w:eastAsia="宋体"/>
        <w:b/>
        <w:i w:val="0"/>
        <w:sz w:val="21"/>
        <w:szCs w:val="21"/>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A0E49566"/>
    <w:multiLevelType w:val="singleLevel"/>
    <w:tmpl w:val="A0E49566"/>
    <w:lvl w:ilvl="0" w:tentative="0">
      <w:start w:val="2"/>
      <w:numFmt w:val="decimal"/>
      <w:suff w:val="nothing"/>
      <w:lvlText w:val="%1、"/>
      <w:lvlJc w:val="left"/>
    </w:lvl>
  </w:abstractNum>
  <w:abstractNum w:abstractNumId="7">
    <w:nsid w:val="A2394457"/>
    <w:multiLevelType w:val="multilevel"/>
    <w:tmpl w:val="A2394457"/>
    <w:lvl w:ilvl="0" w:tentative="0">
      <w:start w:val="1"/>
      <w:numFmt w:val="decimal"/>
      <w:lvlText w:val="表4.2-%1"/>
      <w:lvlJc w:val="center"/>
      <w:pPr>
        <w:tabs>
          <w:tab w:val="left" w:pos="0"/>
        </w:tabs>
        <w:ind w:left="1440" w:leftChars="0" w:firstLine="0" w:firstLineChars="0"/>
      </w:pPr>
      <w:rPr>
        <w:rFonts w:hint="default" w:ascii="Times New Roman" w:hAnsi="Times New Roman" w:eastAsia="宋体"/>
        <w:b/>
        <w:i w:val="0"/>
        <w:sz w:val="22"/>
        <w:szCs w:val="22"/>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AA09F9E5"/>
    <w:multiLevelType w:val="multilevel"/>
    <w:tmpl w:val="AA09F9E5"/>
    <w:lvl w:ilvl="0" w:tentative="0">
      <w:start w:val="1"/>
      <w:numFmt w:val="decimal"/>
      <w:pStyle w:val="3"/>
      <w:lvlText w:val="%1"/>
      <w:lvlJc w:val="left"/>
      <w:pPr>
        <w:ind w:left="425" w:hanging="425"/>
      </w:pPr>
      <w:rPr>
        <w:rFonts w:hint="default" w:ascii="Times New Roman" w:hAnsi="Times New Roman" w:eastAsia="宋体" w:cs="宋体"/>
        <w:b/>
        <w:i w:val="0"/>
        <w:sz w:val="36"/>
      </w:rPr>
    </w:lvl>
    <w:lvl w:ilvl="1" w:tentative="0">
      <w:start w:val="1"/>
      <w:numFmt w:val="decimal"/>
      <w:pStyle w:val="4"/>
      <w:lvlText w:val="%1.%2"/>
      <w:lvlJc w:val="left"/>
      <w:pPr>
        <w:ind w:left="0" w:firstLine="0"/>
      </w:pPr>
      <w:rPr>
        <w:rFonts w:hint="default" w:ascii="Times New Roman" w:hAnsi="Times New Roman" w:eastAsia="宋体" w:cs="宋体"/>
        <w:b/>
        <w:i w:val="0"/>
        <w:sz w:val="32"/>
      </w:rPr>
    </w:lvl>
    <w:lvl w:ilvl="2" w:tentative="0">
      <w:start w:val="1"/>
      <w:numFmt w:val="decimal"/>
      <w:pStyle w:val="5"/>
      <w:suff w:val="nothing"/>
      <w:lvlText w:val="%1.%2.%3"/>
      <w:lvlJc w:val="left"/>
      <w:pPr>
        <w:tabs>
          <w:tab w:val="left" w:pos="3255"/>
        </w:tabs>
        <w:ind w:left="2835" w:firstLine="0"/>
      </w:pPr>
      <w:rPr>
        <w:rFonts w:hint="default" w:ascii="Times New Roman" w:hAnsi="Times New Roman" w:eastAsia="宋体" w:cs="宋体"/>
        <w:b/>
        <w:i w:val="0"/>
        <w:sz w:val="28"/>
      </w:rPr>
    </w:lvl>
    <w:lvl w:ilvl="3" w:tentative="0">
      <w:start w:val="1"/>
      <w:numFmt w:val="decimal"/>
      <w:pStyle w:val="10"/>
      <w:lvlText w:val="%1.%2.%3.%4"/>
      <w:lvlJc w:val="left"/>
      <w:pPr>
        <w:tabs>
          <w:tab w:val="left" w:pos="420"/>
        </w:tabs>
        <w:ind w:left="0" w:firstLine="0"/>
      </w:pPr>
      <w:rPr>
        <w:rFonts w:hint="default" w:ascii="Times New Roman" w:hAnsi="Times New Roman" w:eastAsia="宋体" w:cs="宋体"/>
        <w:b/>
        <w:i w:val="0"/>
        <w:sz w:val="24"/>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9">
    <w:nsid w:val="ADECA7FE"/>
    <w:multiLevelType w:val="multilevel"/>
    <w:tmpl w:val="ADECA7FE"/>
    <w:lvl w:ilvl="0" w:tentative="0">
      <w:start w:val="1"/>
      <w:numFmt w:val="decimal"/>
      <w:lvlText w:val="表5.7-%1"/>
      <w:lvlJc w:val="center"/>
      <w:pPr>
        <w:tabs>
          <w:tab w:val="left" w:pos="0"/>
        </w:tabs>
        <w:ind w:left="0" w:leftChars="0" w:firstLine="0" w:firstLineChars="0"/>
      </w:pPr>
      <w:rPr>
        <w:rFonts w:hint="default" w:ascii="Times New Roman" w:hAnsi="Times New Roman" w:eastAsia="宋体"/>
        <w:b/>
        <w:i w:val="0"/>
        <w:sz w:val="21"/>
        <w:szCs w:val="21"/>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C3135FF9"/>
    <w:multiLevelType w:val="multilevel"/>
    <w:tmpl w:val="C3135FF9"/>
    <w:lvl w:ilvl="0" w:tentative="0">
      <w:start w:val="1"/>
      <w:numFmt w:val="decimal"/>
      <w:lvlText w:val="表1.7-%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CDD5A0EB"/>
    <w:multiLevelType w:val="singleLevel"/>
    <w:tmpl w:val="CDD5A0EB"/>
    <w:lvl w:ilvl="0" w:tentative="0">
      <w:start w:val="2"/>
      <w:numFmt w:val="decimal"/>
      <w:suff w:val="nothing"/>
      <w:lvlText w:val="（%1）"/>
      <w:lvlJc w:val="left"/>
    </w:lvl>
  </w:abstractNum>
  <w:abstractNum w:abstractNumId="12">
    <w:nsid w:val="D52EDDF4"/>
    <w:multiLevelType w:val="multilevel"/>
    <w:tmpl w:val="D52EDDF4"/>
    <w:lvl w:ilvl="0" w:tentative="0">
      <w:start w:val="1"/>
      <w:numFmt w:val="decimal"/>
      <w:lvlText w:val="表5.6-%1"/>
      <w:lvlJc w:val="center"/>
      <w:pPr>
        <w:tabs>
          <w:tab w:val="left" w:pos="0"/>
        </w:tabs>
        <w:ind w:left="0" w:leftChars="0" w:firstLine="0" w:firstLineChars="0"/>
      </w:pPr>
      <w:rPr>
        <w:rFonts w:hint="default" w:ascii="Times New Roman" w:hAnsi="Times New Roman" w:eastAsia="宋体"/>
        <w:b/>
        <w:i w:val="0"/>
        <w:sz w:val="21"/>
        <w:szCs w:val="21"/>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D7160928"/>
    <w:multiLevelType w:val="singleLevel"/>
    <w:tmpl w:val="D7160928"/>
    <w:lvl w:ilvl="0" w:tentative="0">
      <w:start w:val="1"/>
      <w:numFmt w:val="decimal"/>
      <w:lvlText w:val="%1)"/>
      <w:lvlJc w:val="left"/>
      <w:pPr>
        <w:tabs>
          <w:tab w:val="left" w:pos="312"/>
        </w:tabs>
      </w:pPr>
    </w:lvl>
  </w:abstractNum>
  <w:abstractNum w:abstractNumId="14">
    <w:nsid w:val="DBC61FCB"/>
    <w:multiLevelType w:val="singleLevel"/>
    <w:tmpl w:val="DBC61FCB"/>
    <w:lvl w:ilvl="0" w:tentative="0">
      <w:start w:val="1"/>
      <w:numFmt w:val="decimal"/>
      <w:suff w:val="nothing"/>
      <w:lvlText w:val="%1）"/>
      <w:lvlJc w:val="left"/>
    </w:lvl>
  </w:abstractNum>
  <w:abstractNum w:abstractNumId="15">
    <w:nsid w:val="DCF3F743"/>
    <w:multiLevelType w:val="singleLevel"/>
    <w:tmpl w:val="DCF3F743"/>
    <w:lvl w:ilvl="0" w:tentative="0">
      <w:start w:val="1"/>
      <w:numFmt w:val="decimal"/>
      <w:suff w:val="nothing"/>
      <w:lvlText w:val="（%1）"/>
      <w:lvlJc w:val="left"/>
    </w:lvl>
  </w:abstractNum>
  <w:abstractNum w:abstractNumId="16">
    <w:nsid w:val="DF7D041F"/>
    <w:multiLevelType w:val="singleLevel"/>
    <w:tmpl w:val="DF7D041F"/>
    <w:lvl w:ilvl="0" w:tentative="0">
      <w:start w:val="1"/>
      <w:numFmt w:val="decimal"/>
      <w:suff w:val="nothing"/>
      <w:lvlText w:val="%1、"/>
      <w:lvlJc w:val="left"/>
    </w:lvl>
  </w:abstractNum>
  <w:abstractNum w:abstractNumId="17">
    <w:nsid w:val="F7A6C602"/>
    <w:multiLevelType w:val="multilevel"/>
    <w:tmpl w:val="F7A6C602"/>
    <w:lvl w:ilvl="0" w:tentative="0">
      <w:start w:val="1"/>
      <w:numFmt w:val="decimal"/>
      <w:lvlText w:val="表2.1-%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F8ACE715"/>
    <w:multiLevelType w:val="multilevel"/>
    <w:tmpl w:val="F8ACE715"/>
    <w:lvl w:ilvl="0" w:tentative="0">
      <w:start w:val="1"/>
      <w:numFmt w:val="decimal"/>
      <w:lvlText w:val="表1.5-%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FCC81E1A"/>
    <w:multiLevelType w:val="multilevel"/>
    <w:tmpl w:val="FCC81E1A"/>
    <w:lvl w:ilvl="0" w:tentative="0">
      <w:start w:val="1"/>
      <w:numFmt w:val="decimal"/>
      <w:lvlText w:val="表3.2-%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03F8019F"/>
    <w:multiLevelType w:val="multilevel"/>
    <w:tmpl w:val="03F8019F"/>
    <w:lvl w:ilvl="0" w:tentative="0">
      <w:start w:val="1"/>
      <w:numFmt w:val="decimal"/>
      <w:lvlText w:val="表2.6-%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06FB7D3A"/>
    <w:multiLevelType w:val="singleLevel"/>
    <w:tmpl w:val="06FB7D3A"/>
    <w:lvl w:ilvl="0" w:tentative="0">
      <w:start w:val="1"/>
      <w:numFmt w:val="bullet"/>
      <w:pStyle w:val="32"/>
      <w:lvlText w:val=""/>
      <w:lvlJc w:val="left"/>
      <w:pPr>
        <w:tabs>
          <w:tab w:val="left" w:pos="2040"/>
        </w:tabs>
        <w:ind w:left="2040" w:hanging="360"/>
      </w:pPr>
      <w:rPr>
        <w:rFonts w:hint="default" w:ascii="Wingdings" w:hAnsi="Wingdings"/>
      </w:rPr>
    </w:lvl>
  </w:abstractNum>
  <w:abstractNum w:abstractNumId="22">
    <w:nsid w:val="0B474BB4"/>
    <w:multiLevelType w:val="multilevel"/>
    <w:tmpl w:val="0B474BB4"/>
    <w:lvl w:ilvl="0" w:tentative="0">
      <w:start w:val="1"/>
      <w:numFmt w:val="decimal"/>
      <w:lvlText w:val="表8.5-%1"/>
      <w:lvlJc w:val="center"/>
      <w:pPr>
        <w:tabs>
          <w:tab w:val="left" w:pos="0"/>
        </w:tabs>
        <w:ind w:left="0" w:leftChars="0" w:firstLine="0" w:firstLineChars="0"/>
      </w:pPr>
      <w:rPr>
        <w:rFonts w:hint="default" w:ascii="Times New Roman" w:hAnsi="Times New Roman" w:eastAsia="宋体"/>
        <w:b/>
        <w:i w:val="0"/>
        <w:sz w:val="21"/>
        <w:szCs w:val="21"/>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0F170D5E"/>
    <w:multiLevelType w:val="singleLevel"/>
    <w:tmpl w:val="0F170D5E"/>
    <w:lvl w:ilvl="0" w:tentative="0">
      <w:start w:val="1"/>
      <w:numFmt w:val="decimal"/>
      <w:suff w:val="nothing"/>
      <w:lvlText w:val="（%1）"/>
      <w:lvlJc w:val="left"/>
    </w:lvl>
  </w:abstractNum>
  <w:abstractNum w:abstractNumId="24">
    <w:nsid w:val="2007B009"/>
    <w:multiLevelType w:val="multilevel"/>
    <w:tmpl w:val="2007B009"/>
    <w:lvl w:ilvl="0" w:tentative="0">
      <w:start w:val="1"/>
      <w:numFmt w:val="decimal"/>
      <w:lvlText w:val="表6.2-%1"/>
      <w:lvlJc w:val="center"/>
      <w:pPr>
        <w:tabs>
          <w:tab w:val="left" w:pos="0"/>
        </w:tabs>
        <w:ind w:left="0" w:leftChars="0" w:firstLine="0" w:firstLineChars="0"/>
      </w:pPr>
      <w:rPr>
        <w:rFonts w:hint="default" w:ascii="Times New Roman" w:hAnsi="Times New Roman" w:eastAsia="宋体"/>
        <w:b/>
        <w:i w:val="0"/>
        <w:sz w:val="21"/>
        <w:szCs w:val="21"/>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5">
    <w:nsid w:val="253E73FB"/>
    <w:multiLevelType w:val="multilevel"/>
    <w:tmpl w:val="253E73FB"/>
    <w:lvl w:ilvl="0" w:tentative="0">
      <w:start w:val="1"/>
      <w:numFmt w:val="decimal"/>
      <w:lvlText w:val="%1"/>
      <w:lvlJc w:val="left"/>
      <w:pPr>
        <w:tabs>
          <w:tab w:val="left" w:pos="432"/>
        </w:tabs>
        <w:ind w:left="432" w:hanging="632"/>
      </w:pPr>
      <w:rPr>
        <w:rFonts w:hint="default" w:ascii="Times New Roman" w:hAnsi="Times New Roman" w:eastAsia="宋体"/>
        <w:b/>
        <w:i w:val="0"/>
        <w:spacing w:val="8"/>
        <w:w w:val="100"/>
        <w:sz w:val="32"/>
        <w:szCs w:val="32"/>
      </w:rPr>
    </w:lvl>
    <w:lvl w:ilvl="1" w:tentative="0">
      <w:start w:val="1"/>
      <w:numFmt w:val="decimal"/>
      <w:lvlText w:val="%1.%2"/>
      <w:lvlJc w:val="left"/>
      <w:pPr>
        <w:tabs>
          <w:tab w:val="left" w:pos="573"/>
        </w:tabs>
        <w:ind w:left="573" w:hanging="431"/>
      </w:pPr>
      <w:rPr>
        <w:rFonts w:hint="default" w:ascii="Times New Roman" w:hAnsi="Times New Roman" w:eastAsia="宋体"/>
        <w:b/>
        <w:i w:val="0"/>
        <w:sz w:val="24"/>
        <w:szCs w:val="24"/>
      </w:rPr>
    </w:lvl>
    <w:lvl w:ilvl="2" w:tentative="0">
      <w:start w:val="1"/>
      <w:numFmt w:val="decimal"/>
      <w:lvlText w:val="%1.%2.%3"/>
      <w:lvlJc w:val="left"/>
      <w:pPr>
        <w:tabs>
          <w:tab w:val="left" w:pos="833"/>
        </w:tabs>
        <w:ind w:left="833" w:hanging="833"/>
      </w:pPr>
      <w:rPr>
        <w:rFonts w:hint="default" w:ascii="Times New Roman" w:hAnsi="Times New Roman" w:eastAsia="宋体"/>
        <w:b/>
        <w:i w:val="0"/>
        <w:sz w:val="24"/>
        <w:szCs w:val="24"/>
      </w:rPr>
    </w:lvl>
    <w:lvl w:ilvl="3" w:tentative="0">
      <w:start w:val="1"/>
      <w:numFmt w:val="decimal"/>
      <w:pStyle w:val="659"/>
      <w:lvlText w:val="%1.%2.%3.%4"/>
      <w:lvlJc w:val="left"/>
      <w:pPr>
        <w:tabs>
          <w:tab w:val="left" w:pos="0"/>
        </w:tabs>
        <w:ind w:left="0" w:firstLine="0"/>
      </w:pPr>
      <w:rPr>
        <w:rFonts w:hint="default" w:ascii="Times New Roman" w:hAnsi="Times New Roman" w:eastAsia="宋体"/>
        <w:sz w:val="24"/>
        <w:szCs w:val="24"/>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26">
    <w:nsid w:val="27F5A922"/>
    <w:multiLevelType w:val="multilevel"/>
    <w:tmpl w:val="27F5A922"/>
    <w:lvl w:ilvl="0" w:tentative="0">
      <w:start w:val="1"/>
      <w:numFmt w:val="decimal"/>
      <w:pStyle w:val="19"/>
      <w:lvlText w:val="表2.5-%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
    <w:nsid w:val="299AD99A"/>
    <w:multiLevelType w:val="singleLevel"/>
    <w:tmpl w:val="299AD99A"/>
    <w:lvl w:ilvl="0" w:tentative="0">
      <w:start w:val="2"/>
      <w:numFmt w:val="decimal"/>
      <w:suff w:val="nothing"/>
      <w:lvlText w:val="（%1）"/>
      <w:lvlJc w:val="left"/>
    </w:lvl>
  </w:abstractNum>
  <w:abstractNum w:abstractNumId="28">
    <w:nsid w:val="34B668E3"/>
    <w:multiLevelType w:val="multilevel"/>
    <w:tmpl w:val="34B668E3"/>
    <w:lvl w:ilvl="0" w:tentative="0">
      <w:start w:val="1"/>
      <w:numFmt w:val="chineseCountingThousand"/>
      <w:lvlText w:val="%1、"/>
      <w:lvlJc w:val="left"/>
      <w:pPr>
        <w:tabs>
          <w:tab w:val="left" w:pos="425"/>
        </w:tabs>
        <w:ind w:left="0" w:firstLine="0"/>
      </w:pPr>
      <w:rPr>
        <w:rFonts w:hint="eastAsia"/>
      </w:rPr>
    </w:lvl>
    <w:lvl w:ilvl="1" w:tentative="0">
      <w:start w:val="1"/>
      <w:numFmt w:val="decimal"/>
      <w:pStyle w:val="336"/>
      <w:lvlText w:val="%2."/>
      <w:lvlJc w:val="left"/>
      <w:pPr>
        <w:tabs>
          <w:tab w:val="left" w:pos="1276"/>
        </w:tabs>
        <w:ind w:left="851" w:firstLine="0"/>
      </w:pPr>
      <w:rPr>
        <w:rFonts w:hint="eastAsia"/>
      </w:rPr>
    </w:lvl>
    <w:lvl w:ilvl="2" w:tentative="0">
      <w:start w:val="1"/>
      <w:numFmt w:val="decimal"/>
      <w:lvlText w:val="(%3)"/>
      <w:lvlJc w:val="left"/>
      <w:pPr>
        <w:tabs>
          <w:tab w:val="left" w:pos="2126"/>
        </w:tabs>
        <w:ind w:left="1701" w:firstLine="0"/>
      </w:pPr>
      <w:rPr>
        <w:rFonts w:hint="eastAsia"/>
      </w:rPr>
    </w:lvl>
    <w:lvl w:ilvl="3" w:tentative="0">
      <w:start w:val="1"/>
      <w:numFmt w:val="decimal"/>
      <w:lvlText w:val="%4)"/>
      <w:lvlJc w:val="left"/>
      <w:pPr>
        <w:tabs>
          <w:tab w:val="left" w:pos="2976"/>
        </w:tabs>
        <w:ind w:left="2551" w:firstLine="0"/>
      </w:pPr>
      <w:rPr>
        <w:rFonts w:hint="eastAsia"/>
      </w:rPr>
    </w:lvl>
    <w:lvl w:ilvl="4" w:tentative="0">
      <w:start w:val="1"/>
      <w:numFmt w:val="upperLetter"/>
      <w:lvlText w:val="%5."/>
      <w:lvlJc w:val="left"/>
      <w:pPr>
        <w:tabs>
          <w:tab w:val="left" w:pos="3827"/>
        </w:tabs>
        <w:ind w:left="3402" w:firstLine="0"/>
      </w:pPr>
      <w:rPr>
        <w:rFonts w:hint="eastAsia"/>
      </w:rPr>
    </w:lvl>
    <w:lvl w:ilvl="5" w:tentative="0">
      <w:start w:val="1"/>
      <w:numFmt w:val="lowerLetter"/>
      <w:lvlText w:val="(%6)"/>
      <w:lvlJc w:val="left"/>
      <w:pPr>
        <w:tabs>
          <w:tab w:val="left" w:pos="4677"/>
        </w:tabs>
        <w:ind w:left="4252" w:firstLine="0"/>
      </w:pPr>
      <w:rPr>
        <w:rFonts w:hint="eastAsia"/>
      </w:rPr>
    </w:lvl>
    <w:lvl w:ilvl="6" w:tentative="0">
      <w:start w:val="1"/>
      <w:numFmt w:val="lowerRoman"/>
      <w:lvlText w:val="(%7)"/>
      <w:lvlJc w:val="left"/>
      <w:pPr>
        <w:tabs>
          <w:tab w:val="left" w:pos="5528"/>
        </w:tabs>
        <w:ind w:left="5102" w:firstLine="0"/>
      </w:pPr>
      <w:rPr>
        <w:rFonts w:hint="eastAsia"/>
      </w:rPr>
    </w:lvl>
    <w:lvl w:ilvl="7" w:tentative="0">
      <w:start w:val="1"/>
      <w:numFmt w:val="lowerLetter"/>
      <w:lvlText w:val="(%8)"/>
      <w:lvlJc w:val="left"/>
      <w:pPr>
        <w:tabs>
          <w:tab w:val="left" w:pos="6378"/>
        </w:tabs>
        <w:ind w:left="5953" w:firstLine="0"/>
      </w:pPr>
      <w:rPr>
        <w:rFonts w:hint="eastAsia"/>
      </w:rPr>
    </w:lvl>
    <w:lvl w:ilvl="8" w:tentative="0">
      <w:start w:val="1"/>
      <w:numFmt w:val="lowerRoman"/>
      <w:lvlText w:val="(%9)"/>
      <w:lvlJc w:val="left"/>
      <w:pPr>
        <w:tabs>
          <w:tab w:val="left" w:pos="7228"/>
        </w:tabs>
        <w:ind w:left="6803" w:firstLine="0"/>
      </w:pPr>
      <w:rPr>
        <w:rFonts w:hint="eastAsia"/>
      </w:rPr>
    </w:lvl>
  </w:abstractNum>
  <w:abstractNum w:abstractNumId="29">
    <w:nsid w:val="3A6CECE3"/>
    <w:multiLevelType w:val="multilevel"/>
    <w:tmpl w:val="3A6CECE3"/>
    <w:lvl w:ilvl="0" w:tentative="0">
      <w:start w:val="1"/>
      <w:numFmt w:val="decimal"/>
      <w:lvlText w:val="表7.2-%1"/>
      <w:lvlJc w:val="center"/>
      <w:pPr>
        <w:tabs>
          <w:tab w:val="left" w:pos="0"/>
        </w:tabs>
        <w:ind w:left="0" w:leftChars="0" w:firstLine="0" w:firstLineChars="0"/>
      </w:pPr>
      <w:rPr>
        <w:rFonts w:hint="default" w:ascii="Times New Roman" w:hAnsi="Times New Roman" w:eastAsia="宋体"/>
        <w:b/>
        <w:i w:val="0"/>
        <w:sz w:val="21"/>
        <w:szCs w:val="21"/>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0">
    <w:nsid w:val="40915370"/>
    <w:multiLevelType w:val="multilevel"/>
    <w:tmpl w:val="40915370"/>
    <w:lvl w:ilvl="0" w:tentative="0">
      <w:start w:val="1"/>
      <w:numFmt w:val="decimal"/>
      <w:lvlText w:val="表2.2-%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1">
    <w:nsid w:val="55860BAE"/>
    <w:multiLevelType w:val="multilevel"/>
    <w:tmpl w:val="55860BAE"/>
    <w:lvl w:ilvl="0" w:tentative="0">
      <w:start w:val="1"/>
      <w:numFmt w:val="decimal"/>
      <w:lvlText w:val="表2.4-%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2">
    <w:nsid w:val="56CE0C12"/>
    <w:multiLevelType w:val="multilevel"/>
    <w:tmpl w:val="56CE0C12"/>
    <w:lvl w:ilvl="0" w:tentative="0">
      <w:start w:val="1"/>
      <w:numFmt w:val="decimal"/>
      <w:lvlText w:val="表8.6-%1"/>
      <w:lvlJc w:val="center"/>
      <w:pPr>
        <w:tabs>
          <w:tab w:val="left" w:pos="0"/>
        </w:tabs>
        <w:ind w:left="0" w:leftChars="0" w:firstLine="0" w:firstLineChars="0"/>
      </w:pPr>
      <w:rPr>
        <w:rFonts w:hint="default" w:ascii="Times New Roman" w:hAnsi="Times New Roman" w:eastAsia="宋体"/>
        <w:b/>
        <w:i w:val="0"/>
        <w:sz w:val="21"/>
        <w:szCs w:val="21"/>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3">
    <w:nsid w:val="587544C4"/>
    <w:multiLevelType w:val="multilevel"/>
    <w:tmpl w:val="587544C4"/>
    <w:lvl w:ilvl="0" w:tentative="0">
      <w:start w:val="1"/>
      <w:numFmt w:val="decimal"/>
      <w:lvlText w:val="表1.3-%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4">
    <w:nsid w:val="5FECE28A"/>
    <w:multiLevelType w:val="singleLevel"/>
    <w:tmpl w:val="5FECE28A"/>
    <w:lvl w:ilvl="0" w:tentative="0">
      <w:start w:val="1"/>
      <w:numFmt w:val="decimal"/>
      <w:suff w:val="nothing"/>
      <w:lvlText w:val="%1）"/>
      <w:lvlJc w:val="left"/>
    </w:lvl>
  </w:abstractNum>
  <w:abstractNum w:abstractNumId="35">
    <w:nsid w:val="60C843DA"/>
    <w:multiLevelType w:val="multilevel"/>
    <w:tmpl w:val="60C843DA"/>
    <w:lvl w:ilvl="0" w:tentative="0">
      <w:start w:val="1"/>
      <w:numFmt w:val="decimal"/>
      <w:lvlText w:val="表5.2-%1"/>
      <w:lvlJc w:val="center"/>
      <w:pPr>
        <w:tabs>
          <w:tab w:val="left" w:pos="0"/>
        </w:tabs>
        <w:ind w:left="0" w:leftChars="0" w:firstLine="0" w:firstLineChars="0"/>
      </w:pPr>
      <w:rPr>
        <w:rFonts w:hint="default" w:ascii="Times New Roman" w:hAnsi="Times New Roman" w:eastAsia="宋体"/>
        <w:b/>
        <w:i w:val="0"/>
        <w:sz w:val="21"/>
        <w:szCs w:val="21"/>
        <w:vertAlign w:val="baseline"/>
      </w:rPr>
    </w:lvl>
    <w:lvl w:ilvl="1" w:tentative="0">
      <w:start w:val="1"/>
      <w:numFmt w:val="lowerLetter"/>
      <w:lvlText w:val="%2)"/>
      <w:lvlJc w:val="left"/>
      <w:pPr>
        <w:ind w:left="840" w:hanging="42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6">
    <w:nsid w:val="6E29F177"/>
    <w:multiLevelType w:val="multilevel"/>
    <w:tmpl w:val="6E29F177"/>
    <w:lvl w:ilvl="0" w:tentative="0">
      <w:start w:val="1"/>
      <w:numFmt w:val="decimal"/>
      <w:lvlText w:val="表4.1-%1"/>
      <w:lvlJc w:val="center"/>
      <w:pPr>
        <w:tabs>
          <w:tab w:val="left" w:pos="0"/>
        </w:tabs>
        <w:ind w:left="420" w:hanging="42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7">
    <w:nsid w:val="78D47493"/>
    <w:multiLevelType w:val="multilevel"/>
    <w:tmpl w:val="78D47493"/>
    <w:lvl w:ilvl="0" w:tentative="0">
      <w:start w:val="1"/>
      <w:numFmt w:val="decimal"/>
      <w:lvlText w:val="表1.4-%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8">
    <w:nsid w:val="7FA08DDA"/>
    <w:multiLevelType w:val="multilevel"/>
    <w:tmpl w:val="7FA08DDA"/>
    <w:lvl w:ilvl="0" w:tentative="0">
      <w:start w:val="1"/>
      <w:numFmt w:val="decimal"/>
      <w:lvlText w:val="表1.2-%1"/>
      <w:lvlJc w:val="center"/>
      <w:pPr>
        <w:tabs>
          <w:tab w:val="left" w:pos="0"/>
        </w:tabs>
        <w:ind w:left="0" w:leftChars="0" w:firstLine="0" w:firstLineChars="0"/>
      </w:pPr>
      <w:rPr>
        <w:rFonts w:hint="default" w:ascii="Times New Roman" w:hAnsi="Times New Roman" w:eastAsia="宋体"/>
        <w:b/>
        <w:i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8"/>
  </w:num>
  <w:num w:numId="2">
    <w:abstractNumId w:val="26"/>
  </w:num>
  <w:num w:numId="3">
    <w:abstractNumId w:val="21"/>
  </w:num>
  <w:num w:numId="4">
    <w:abstractNumId w:val="28"/>
  </w:num>
  <w:num w:numId="5">
    <w:abstractNumId w:val="25"/>
  </w:num>
  <w:num w:numId="6">
    <w:abstractNumId w:val="1"/>
  </w:num>
  <w:num w:numId="7">
    <w:abstractNumId w:val="38"/>
  </w:num>
  <w:num w:numId="8">
    <w:abstractNumId w:val="11"/>
  </w:num>
  <w:num w:numId="9">
    <w:abstractNumId w:val="33"/>
  </w:num>
  <w:num w:numId="10">
    <w:abstractNumId w:val="4"/>
  </w:num>
  <w:num w:numId="11">
    <w:abstractNumId w:val="37"/>
  </w:num>
  <w:num w:numId="12">
    <w:abstractNumId w:val="2"/>
  </w:num>
  <w:num w:numId="13">
    <w:abstractNumId w:val="18"/>
  </w:num>
  <w:num w:numId="14">
    <w:abstractNumId w:val="10"/>
  </w:num>
  <w:num w:numId="15">
    <w:abstractNumId w:val="17"/>
  </w:num>
  <w:num w:numId="16">
    <w:abstractNumId w:val="30"/>
  </w:num>
  <w:num w:numId="17">
    <w:abstractNumId w:val="34"/>
  </w:num>
  <w:num w:numId="18">
    <w:abstractNumId w:val="13"/>
  </w:num>
  <w:num w:numId="19">
    <w:abstractNumId w:val="14"/>
  </w:num>
  <w:num w:numId="20">
    <w:abstractNumId w:val="6"/>
  </w:num>
  <w:num w:numId="21">
    <w:abstractNumId w:val="15"/>
  </w:num>
  <w:num w:numId="22">
    <w:abstractNumId w:val="31"/>
  </w:num>
  <w:num w:numId="23">
    <w:abstractNumId w:val="16"/>
  </w:num>
  <w:num w:numId="24">
    <w:abstractNumId w:val="27"/>
  </w:num>
  <w:num w:numId="2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6"/>
  </w:num>
  <w:num w:numId="30">
    <w:abstractNumId w:val="23"/>
  </w:num>
  <w:num w:numId="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35"/>
  </w:num>
  <w:num w:numId="34">
    <w:abstractNumId w:val="12"/>
  </w:num>
  <w:num w:numId="35">
    <w:abstractNumId w:val="9"/>
  </w:num>
  <w:num w:numId="36">
    <w:abstractNumId w:val="24"/>
  </w:num>
  <w:num w:numId="37">
    <w:abstractNumId w:val="29"/>
  </w:num>
  <w:num w:numId="38">
    <w:abstractNumId w:val="3"/>
  </w:num>
  <w:num w:numId="39">
    <w:abstractNumId w:val="22"/>
  </w:num>
  <w:num w:numId="4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TrueTypeFonts/>
  <w:saveSubsetFonts/>
  <w:bordersDoNotSurroundHeader w:val="0"/>
  <w:bordersDoNotSurroundFooter w:val="0"/>
  <w:documentProtection w:enforcement="0"/>
  <w:defaultTabStop w:val="420"/>
  <w:hyphenationZone w:val="360"/>
  <w:drawingGridHorizontalSpacing w:val="120"/>
  <w:drawingGridVerticalSpacing w:val="163"/>
  <w:displayHorizontalDrawingGridEvery w:val="1"/>
  <w:displayVerticalDrawingGridEvery w:val="1"/>
  <w:doNotShadeFormData w:val="1"/>
  <w:noPunctuationKerning w:val="1"/>
  <w:characterSpacingControl w:val="compressPunctuation"/>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ViN2FhOGFiYjY4OThmMjI3YmJhZjc2N2E0OWI3NGIifQ=="/>
  </w:docVars>
  <w:rsids>
    <w:rsidRoot w:val="00173ED7"/>
    <w:rsid w:val="00000081"/>
    <w:rsid w:val="000004A1"/>
    <w:rsid w:val="000006E2"/>
    <w:rsid w:val="0000236F"/>
    <w:rsid w:val="000023A2"/>
    <w:rsid w:val="000027D8"/>
    <w:rsid w:val="00002F4A"/>
    <w:rsid w:val="000032BF"/>
    <w:rsid w:val="00003973"/>
    <w:rsid w:val="00003CA2"/>
    <w:rsid w:val="00003DC8"/>
    <w:rsid w:val="000044F1"/>
    <w:rsid w:val="000061FA"/>
    <w:rsid w:val="00006295"/>
    <w:rsid w:val="00006D4D"/>
    <w:rsid w:val="000073C4"/>
    <w:rsid w:val="00007AFF"/>
    <w:rsid w:val="00007F79"/>
    <w:rsid w:val="00010661"/>
    <w:rsid w:val="000108C2"/>
    <w:rsid w:val="00010AF4"/>
    <w:rsid w:val="00010F08"/>
    <w:rsid w:val="0001175C"/>
    <w:rsid w:val="0001255A"/>
    <w:rsid w:val="00012EB6"/>
    <w:rsid w:val="0001359F"/>
    <w:rsid w:val="00013A67"/>
    <w:rsid w:val="00013EED"/>
    <w:rsid w:val="0001461E"/>
    <w:rsid w:val="00015910"/>
    <w:rsid w:val="00015954"/>
    <w:rsid w:val="000159E5"/>
    <w:rsid w:val="0001632A"/>
    <w:rsid w:val="000178A9"/>
    <w:rsid w:val="00017CD8"/>
    <w:rsid w:val="0002033F"/>
    <w:rsid w:val="00020834"/>
    <w:rsid w:val="00020CE1"/>
    <w:rsid w:val="00021146"/>
    <w:rsid w:val="00021C91"/>
    <w:rsid w:val="00021E80"/>
    <w:rsid w:val="00022079"/>
    <w:rsid w:val="000221C5"/>
    <w:rsid w:val="0002228F"/>
    <w:rsid w:val="000224FA"/>
    <w:rsid w:val="00022D8A"/>
    <w:rsid w:val="000231BE"/>
    <w:rsid w:val="0002345A"/>
    <w:rsid w:val="000235C4"/>
    <w:rsid w:val="0002446F"/>
    <w:rsid w:val="00024B80"/>
    <w:rsid w:val="00024E06"/>
    <w:rsid w:val="00025292"/>
    <w:rsid w:val="00025674"/>
    <w:rsid w:val="00025A5A"/>
    <w:rsid w:val="00025BB0"/>
    <w:rsid w:val="00025D7D"/>
    <w:rsid w:val="00026154"/>
    <w:rsid w:val="000264CE"/>
    <w:rsid w:val="000264EC"/>
    <w:rsid w:val="00026935"/>
    <w:rsid w:val="00027007"/>
    <w:rsid w:val="00027946"/>
    <w:rsid w:val="00030BAF"/>
    <w:rsid w:val="00030C42"/>
    <w:rsid w:val="00031076"/>
    <w:rsid w:val="00031400"/>
    <w:rsid w:val="00031E92"/>
    <w:rsid w:val="00031F2E"/>
    <w:rsid w:val="000325F2"/>
    <w:rsid w:val="00032852"/>
    <w:rsid w:val="00032A3D"/>
    <w:rsid w:val="00033586"/>
    <w:rsid w:val="000336F9"/>
    <w:rsid w:val="0003402F"/>
    <w:rsid w:val="000342D7"/>
    <w:rsid w:val="0003445D"/>
    <w:rsid w:val="000345B6"/>
    <w:rsid w:val="00034A94"/>
    <w:rsid w:val="000361FC"/>
    <w:rsid w:val="00036AEC"/>
    <w:rsid w:val="00036AED"/>
    <w:rsid w:val="00037901"/>
    <w:rsid w:val="00040083"/>
    <w:rsid w:val="000401C5"/>
    <w:rsid w:val="000405AF"/>
    <w:rsid w:val="00040F02"/>
    <w:rsid w:val="00041897"/>
    <w:rsid w:val="00041AF3"/>
    <w:rsid w:val="00042B52"/>
    <w:rsid w:val="00042E24"/>
    <w:rsid w:val="00042EAB"/>
    <w:rsid w:val="0004316D"/>
    <w:rsid w:val="00043243"/>
    <w:rsid w:val="0004375D"/>
    <w:rsid w:val="00043E93"/>
    <w:rsid w:val="0004484D"/>
    <w:rsid w:val="00044AF9"/>
    <w:rsid w:val="00044C94"/>
    <w:rsid w:val="000450D7"/>
    <w:rsid w:val="00045379"/>
    <w:rsid w:val="00045F01"/>
    <w:rsid w:val="0004742B"/>
    <w:rsid w:val="000478A2"/>
    <w:rsid w:val="00047CA4"/>
    <w:rsid w:val="000503C5"/>
    <w:rsid w:val="000505AD"/>
    <w:rsid w:val="00050DF5"/>
    <w:rsid w:val="000512A9"/>
    <w:rsid w:val="00051AAB"/>
    <w:rsid w:val="000521BC"/>
    <w:rsid w:val="0005231D"/>
    <w:rsid w:val="000524FB"/>
    <w:rsid w:val="00052849"/>
    <w:rsid w:val="000531A5"/>
    <w:rsid w:val="00053506"/>
    <w:rsid w:val="000537B6"/>
    <w:rsid w:val="0005520C"/>
    <w:rsid w:val="00055959"/>
    <w:rsid w:val="00055B7C"/>
    <w:rsid w:val="00055C59"/>
    <w:rsid w:val="000578A7"/>
    <w:rsid w:val="000616EC"/>
    <w:rsid w:val="000617ED"/>
    <w:rsid w:val="00061AC6"/>
    <w:rsid w:val="00062345"/>
    <w:rsid w:val="000624B0"/>
    <w:rsid w:val="0006275F"/>
    <w:rsid w:val="00063E04"/>
    <w:rsid w:val="00065CE6"/>
    <w:rsid w:val="00066C97"/>
    <w:rsid w:val="000677BA"/>
    <w:rsid w:val="00067D5A"/>
    <w:rsid w:val="00067EA4"/>
    <w:rsid w:val="000700F6"/>
    <w:rsid w:val="00070645"/>
    <w:rsid w:val="000716C9"/>
    <w:rsid w:val="0007189D"/>
    <w:rsid w:val="00072C80"/>
    <w:rsid w:val="00073385"/>
    <w:rsid w:val="00073793"/>
    <w:rsid w:val="00074170"/>
    <w:rsid w:val="000743EE"/>
    <w:rsid w:val="000748FB"/>
    <w:rsid w:val="00076295"/>
    <w:rsid w:val="000764D4"/>
    <w:rsid w:val="000765C8"/>
    <w:rsid w:val="00076782"/>
    <w:rsid w:val="000768F6"/>
    <w:rsid w:val="00077157"/>
    <w:rsid w:val="000777B0"/>
    <w:rsid w:val="00077DB5"/>
    <w:rsid w:val="00077FC9"/>
    <w:rsid w:val="0008013A"/>
    <w:rsid w:val="00080E56"/>
    <w:rsid w:val="000812DC"/>
    <w:rsid w:val="00081579"/>
    <w:rsid w:val="00081A7D"/>
    <w:rsid w:val="00081BA7"/>
    <w:rsid w:val="00081D66"/>
    <w:rsid w:val="000824CF"/>
    <w:rsid w:val="0008425B"/>
    <w:rsid w:val="0008431D"/>
    <w:rsid w:val="00084BF8"/>
    <w:rsid w:val="00084C82"/>
    <w:rsid w:val="00085517"/>
    <w:rsid w:val="00085B09"/>
    <w:rsid w:val="00085C2B"/>
    <w:rsid w:val="00086325"/>
    <w:rsid w:val="0008665E"/>
    <w:rsid w:val="00087B00"/>
    <w:rsid w:val="00087F56"/>
    <w:rsid w:val="0009167C"/>
    <w:rsid w:val="00092247"/>
    <w:rsid w:val="00092A6C"/>
    <w:rsid w:val="000939E8"/>
    <w:rsid w:val="00093D95"/>
    <w:rsid w:val="00094891"/>
    <w:rsid w:val="000968F0"/>
    <w:rsid w:val="00097275"/>
    <w:rsid w:val="00097EB2"/>
    <w:rsid w:val="000A09AA"/>
    <w:rsid w:val="000A1801"/>
    <w:rsid w:val="000A1BAE"/>
    <w:rsid w:val="000A1C3A"/>
    <w:rsid w:val="000A268B"/>
    <w:rsid w:val="000A328B"/>
    <w:rsid w:val="000A395F"/>
    <w:rsid w:val="000A62C5"/>
    <w:rsid w:val="000A659C"/>
    <w:rsid w:val="000A6869"/>
    <w:rsid w:val="000A6E23"/>
    <w:rsid w:val="000A7246"/>
    <w:rsid w:val="000A7B6E"/>
    <w:rsid w:val="000A7EF3"/>
    <w:rsid w:val="000B098E"/>
    <w:rsid w:val="000B12FB"/>
    <w:rsid w:val="000B14E1"/>
    <w:rsid w:val="000B14E2"/>
    <w:rsid w:val="000B1ED7"/>
    <w:rsid w:val="000B25F4"/>
    <w:rsid w:val="000B266C"/>
    <w:rsid w:val="000B3010"/>
    <w:rsid w:val="000B34E9"/>
    <w:rsid w:val="000B485A"/>
    <w:rsid w:val="000B52C5"/>
    <w:rsid w:val="000B7766"/>
    <w:rsid w:val="000B7901"/>
    <w:rsid w:val="000B7DC3"/>
    <w:rsid w:val="000C02C5"/>
    <w:rsid w:val="000C1837"/>
    <w:rsid w:val="000C18B7"/>
    <w:rsid w:val="000C1CB2"/>
    <w:rsid w:val="000C1F64"/>
    <w:rsid w:val="000C298B"/>
    <w:rsid w:val="000C2EC2"/>
    <w:rsid w:val="000C3970"/>
    <w:rsid w:val="000C4362"/>
    <w:rsid w:val="000C4767"/>
    <w:rsid w:val="000C49CD"/>
    <w:rsid w:val="000C4EBF"/>
    <w:rsid w:val="000C4F26"/>
    <w:rsid w:val="000C68AF"/>
    <w:rsid w:val="000C6D99"/>
    <w:rsid w:val="000C6E83"/>
    <w:rsid w:val="000C74AB"/>
    <w:rsid w:val="000C787E"/>
    <w:rsid w:val="000D00BE"/>
    <w:rsid w:val="000D0163"/>
    <w:rsid w:val="000D0929"/>
    <w:rsid w:val="000D2664"/>
    <w:rsid w:val="000D26D0"/>
    <w:rsid w:val="000D2DD0"/>
    <w:rsid w:val="000D2F44"/>
    <w:rsid w:val="000D32F6"/>
    <w:rsid w:val="000D3A49"/>
    <w:rsid w:val="000D42F6"/>
    <w:rsid w:val="000D44CF"/>
    <w:rsid w:val="000D4BF1"/>
    <w:rsid w:val="000D50F3"/>
    <w:rsid w:val="000D5A35"/>
    <w:rsid w:val="000D6D60"/>
    <w:rsid w:val="000D7A97"/>
    <w:rsid w:val="000D7C29"/>
    <w:rsid w:val="000E0789"/>
    <w:rsid w:val="000E1CE7"/>
    <w:rsid w:val="000E2148"/>
    <w:rsid w:val="000E263A"/>
    <w:rsid w:val="000E3E2F"/>
    <w:rsid w:val="000E43E1"/>
    <w:rsid w:val="000E45E4"/>
    <w:rsid w:val="000E46D6"/>
    <w:rsid w:val="000E506E"/>
    <w:rsid w:val="000E54A5"/>
    <w:rsid w:val="000E5627"/>
    <w:rsid w:val="000E5A3B"/>
    <w:rsid w:val="000E6D77"/>
    <w:rsid w:val="000E70EC"/>
    <w:rsid w:val="000E7315"/>
    <w:rsid w:val="000E744D"/>
    <w:rsid w:val="000E7F14"/>
    <w:rsid w:val="000F0038"/>
    <w:rsid w:val="000F0A14"/>
    <w:rsid w:val="000F0C7E"/>
    <w:rsid w:val="000F189A"/>
    <w:rsid w:val="000F1F91"/>
    <w:rsid w:val="000F3114"/>
    <w:rsid w:val="000F32E0"/>
    <w:rsid w:val="000F3480"/>
    <w:rsid w:val="000F3C26"/>
    <w:rsid w:val="000F446C"/>
    <w:rsid w:val="000F44EE"/>
    <w:rsid w:val="000F490A"/>
    <w:rsid w:val="000F4C02"/>
    <w:rsid w:val="000F5643"/>
    <w:rsid w:val="000F5BB8"/>
    <w:rsid w:val="000F78BB"/>
    <w:rsid w:val="000F792E"/>
    <w:rsid w:val="00100151"/>
    <w:rsid w:val="001004FF"/>
    <w:rsid w:val="00100944"/>
    <w:rsid w:val="00101395"/>
    <w:rsid w:val="00101B35"/>
    <w:rsid w:val="00101F70"/>
    <w:rsid w:val="00102253"/>
    <w:rsid w:val="0010257B"/>
    <w:rsid w:val="001027F2"/>
    <w:rsid w:val="001038D2"/>
    <w:rsid w:val="0010426E"/>
    <w:rsid w:val="00104941"/>
    <w:rsid w:val="00104CBF"/>
    <w:rsid w:val="00105C93"/>
    <w:rsid w:val="00106B27"/>
    <w:rsid w:val="00106BAA"/>
    <w:rsid w:val="00106BD5"/>
    <w:rsid w:val="00106D40"/>
    <w:rsid w:val="001076EF"/>
    <w:rsid w:val="001106E9"/>
    <w:rsid w:val="00111013"/>
    <w:rsid w:val="00111412"/>
    <w:rsid w:val="001117E6"/>
    <w:rsid w:val="001119BA"/>
    <w:rsid w:val="00112F9B"/>
    <w:rsid w:val="00112FDB"/>
    <w:rsid w:val="00113476"/>
    <w:rsid w:val="001137B1"/>
    <w:rsid w:val="00113D28"/>
    <w:rsid w:val="001144F4"/>
    <w:rsid w:val="00115080"/>
    <w:rsid w:val="001156AC"/>
    <w:rsid w:val="00115861"/>
    <w:rsid w:val="00115C46"/>
    <w:rsid w:val="00115CB5"/>
    <w:rsid w:val="00115E7C"/>
    <w:rsid w:val="001160E5"/>
    <w:rsid w:val="00116955"/>
    <w:rsid w:val="00117914"/>
    <w:rsid w:val="0012188B"/>
    <w:rsid w:val="00121F33"/>
    <w:rsid w:val="001220B4"/>
    <w:rsid w:val="00122129"/>
    <w:rsid w:val="001227D0"/>
    <w:rsid w:val="00123098"/>
    <w:rsid w:val="00123327"/>
    <w:rsid w:val="0012393B"/>
    <w:rsid w:val="00123AA6"/>
    <w:rsid w:val="00123D57"/>
    <w:rsid w:val="00124496"/>
    <w:rsid w:val="00124C53"/>
    <w:rsid w:val="00125DB2"/>
    <w:rsid w:val="00125DCD"/>
    <w:rsid w:val="00126476"/>
    <w:rsid w:val="00126C66"/>
    <w:rsid w:val="00126D20"/>
    <w:rsid w:val="00126F49"/>
    <w:rsid w:val="0012775D"/>
    <w:rsid w:val="00127775"/>
    <w:rsid w:val="001301D5"/>
    <w:rsid w:val="0013057B"/>
    <w:rsid w:val="00130B47"/>
    <w:rsid w:val="0013134C"/>
    <w:rsid w:val="001313DB"/>
    <w:rsid w:val="00131739"/>
    <w:rsid w:val="001317EF"/>
    <w:rsid w:val="00131BEC"/>
    <w:rsid w:val="00132416"/>
    <w:rsid w:val="00132EE2"/>
    <w:rsid w:val="00132F11"/>
    <w:rsid w:val="001337AE"/>
    <w:rsid w:val="0013516B"/>
    <w:rsid w:val="001352A8"/>
    <w:rsid w:val="0013620A"/>
    <w:rsid w:val="0013731E"/>
    <w:rsid w:val="00137D93"/>
    <w:rsid w:val="00140094"/>
    <w:rsid w:val="00140148"/>
    <w:rsid w:val="0014041C"/>
    <w:rsid w:val="00140884"/>
    <w:rsid w:val="0014241B"/>
    <w:rsid w:val="001426BA"/>
    <w:rsid w:val="00142C1D"/>
    <w:rsid w:val="001431A0"/>
    <w:rsid w:val="001432C1"/>
    <w:rsid w:val="001438B8"/>
    <w:rsid w:val="00143912"/>
    <w:rsid w:val="00143ABF"/>
    <w:rsid w:val="00143B86"/>
    <w:rsid w:val="00143BD7"/>
    <w:rsid w:val="0014403E"/>
    <w:rsid w:val="0014452D"/>
    <w:rsid w:val="001445B5"/>
    <w:rsid w:val="00144966"/>
    <w:rsid w:val="00144EBF"/>
    <w:rsid w:val="0014514E"/>
    <w:rsid w:val="00145558"/>
    <w:rsid w:val="00147273"/>
    <w:rsid w:val="00150164"/>
    <w:rsid w:val="00150EAD"/>
    <w:rsid w:val="00150EF6"/>
    <w:rsid w:val="00152153"/>
    <w:rsid w:val="00152AC2"/>
    <w:rsid w:val="00153DF1"/>
    <w:rsid w:val="00154148"/>
    <w:rsid w:val="0015431D"/>
    <w:rsid w:val="00154812"/>
    <w:rsid w:val="0015539C"/>
    <w:rsid w:val="00156BA3"/>
    <w:rsid w:val="00156EA4"/>
    <w:rsid w:val="001575D2"/>
    <w:rsid w:val="001577F0"/>
    <w:rsid w:val="00157819"/>
    <w:rsid w:val="00157CDA"/>
    <w:rsid w:val="001606DC"/>
    <w:rsid w:val="00160962"/>
    <w:rsid w:val="00160D6F"/>
    <w:rsid w:val="00161171"/>
    <w:rsid w:val="0016122D"/>
    <w:rsid w:val="00161527"/>
    <w:rsid w:val="00163BD5"/>
    <w:rsid w:val="0016481C"/>
    <w:rsid w:val="00164E27"/>
    <w:rsid w:val="00165550"/>
    <w:rsid w:val="0016576E"/>
    <w:rsid w:val="00166828"/>
    <w:rsid w:val="001671B5"/>
    <w:rsid w:val="00167732"/>
    <w:rsid w:val="00167A5C"/>
    <w:rsid w:val="001704A0"/>
    <w:rsid w:val="00170C45"/>
    <w:rsid w:val="00170F02"/>
    <w:rsid w:val="00171906"/>
    <w:rsid w:val="00172ADC"/>
    <w:rsid w:val="00172FA0"/>
    <w:rsid w:val="001736DE"/>
    <w:rsid w:val="00173ED7"/>
    <w:rsid w:val="00174053"/>
    <w:rsid w:val="00174490"/>
    <w:rsid w:val="001748C9"/>
    <w:rsid w:val="001754E2"/>
    <w:rsid w:val="001767AC"/>
    <w:rsid w:val="001803EA"/>
    <w:rsid w:val="00180DE5"/>
    <w:rsid w:val="00181454"/>
    <w:rsid w:val="00181E01"/>
    <w:rsid w:val="0018230B"/>
    <w:rsid w:val="00182AEC"/>
    <w:rsid w:val="00182F6F"/>
    <w:rsid w:val="00183E7B"/>
    <w:rsid w:val="00183EEB"/>
    <w:rsid w:val="00184BB8"/>
    <w:rsid w:val="00184FDC"/>
    <w:rsid w:val="0018513F"/>
    <w:rsid w:val="001857D2"/>
    <w:rsid w:val="001859E0"/>
    <w:rsid w:val="00185AD7"/>
    <w:rsid w:val="0018638D"/>
    <w:rsid w:val="00186725"/>
    <w:rsid w:val="001871B6"/>
    <w:rsid w:val="00187C7D"/>
    <w:rsid w:val="0019059E"/>
    <w:rsid w:val="00191A54"/>
    <w:rsid w:val="00191D90"/>
    <w:rsid w:val="00192135"/>
    <w:rsid w:val="0019227D"/>
    <w:rsid w:val="00192372"/>
    <w:rsid w:val="001923B4"/>
    <w:rsid w:val="001930CB"/>
    <w:rsid w:val="001933BB"/>
    <w:rsid w:val="001934FB"/>
    <w:rsid w:val="001937F7"/>
    <w:rsid w:val="001942AE"/>
    <w:rsid w:val="00195719"/>
    <w:rsid w:val="00195CF9"/>
    <w:rsid w:val="00196B65"/>
    <w:rsid w:val="00196B6E"/>
    <w:rsid w:val="00196D37"/>
    <w:rsid w:val="001970EC"/>
    <w:rsid w:val="0019780D"/>
    <w:rsid w:val="00197D07"/>
    <w:rsid w:val="001A0105"/>
    <w:rsid w:val="001A0DB9"/>
    <w:rsid w:val="001A129A"/>
    <w:rsid w:val="001A2A15"/>
    <w:rsid w:val="001A2B94"/>
    <w:rsid w:val="001A42C8"/>
    <w:rsid w:val="001A45BA"/>
    <w:rsid w:val="001A4C56"/>
    <w:rsid w:val="001A521A"/>
    <w:rsid w:val="001A5288"/>
    <w:rsid w:val="001A590E"/>
    <w:rsid w:val="001A5BCA"/>
    <w:rsid w:val="001A5D63"/>
    <w:rsid w:val="001A5F50"/>
    <w:rsid w:val="001A7070"/>
    <w:rsid w:val="001A7119"/>
    <w:rsid w:val="001A7798"/>
    <w:rsid w:val="001A7B4F"/>
    <w:rsid w:val="001B0E88"/>
    <w:rsid w:val="001B1E37"/>
    <w:rsid w:val="001B22C4"/>
    <w:rsid w:val="001B2E5D"/>
    <w:rsid w:val="001B2FBB"/>
    <w:rsid w:val="001B3C1E"/>
    <w:rsid w:val="001B3CEA"/>
    <w:rsid w:val="001B3E53"/>
    <w:rsid w:val="001B411D"/>
    <w:rsid w:val="001B4BBC"/>
    <w:rsid w:val="001B573B"/>
    <w:rsid w:val="001B5798"/>
    <w:rsid w:val="001B6C7F"/>
    <w:rsid w:val="001B71C7"/>
    <w:rsid w:val="001B7583"/>
    <w:rsid w:val="001B7E43"/>
    <w:rsid w:val="001C0185"/>
    <w:rsid w:val="001C07ED"/>
    <w:rsid w:val="001C0A23"/>
    <w:rsid w:val="001C1258"/>
    <w:rsid w:val="001C1E48"/>
    <w:rsid w:val="001C28C8"/>
    <w:rsid w:val="001C2C26"/>
    <w:rsid w:val="001C38E6"/>
    <w:rsid w:val="001C3D4B"/>
    <w:rsid w:val="001C4286"/>
    <w:rsid w:val="001C495E"/>
    <w:rsid w:val="001C5275"/>
    <w:rsid w:val="001C5E3D"/>
    <w:rsid w:val="001D041B"/>
    <w:rsid w:val="001D097C"/>
    <w:rsid w:val="001D174E"/>
    <w:rsid w:val="001D24D2"/>
    <w:rsid w:val="001D25B0"/>
    <w:rsid w:val="001D2ADF"/>
    <w:rsid w:val="001D2C52"/>
    <w:rsid w:val="001D3083"/>
    <w:rsid w:val="001D395F"/>
    <w:rsid w:val="001D3FB2"/>
    <w:rsid w:val="001D4997"/>
    <w:rsid w:val="001D5986"/>
    <w:rsid w:val="001D5AEC"/>
    <w:rsid w:val="001D685B"/>
    <w:rsid w:val="001E0BF4"/>
    <w:rsid w:val="001E13FC"/>
    <w:rsid w:val="001E22EE"/>
    <w:rsid w:val="001E306B"/>
    <w:rsid w:val="001E3E19"/>
    <w:rsid w:val="001E44F5"/>
    <w:rsid w:val="001E4BEB"/>
    <w:rsid w:val="001E4DA8"/>
    <w:rsid w:val="001E53C4"/>
    <w:rsid w:val="001E54E3"/>
    <w:rsid w:val="001E60F7"/>
    <w:rsid w:val="001E63A5"/>
    <w:rsid w:val="001E69C8"/>
    <w:rsid w:val="001E6CD7"/>
    <w:rsid w:val="001E742A"/>
    <w:rsid w:val="001E7DF7"/>
    <w:rsid w:val="001F1633"/>
    <w:rsid w:val="001F27FC"/>
    <w:rsid w:val="001F3024"/>
    <w:rsid w:val="001F3ADA"/>
    <w:rsid w:val="001F6140"/>
    <w:rsid w:val="001F62A6"/>
    <w:rsid w:val="001F78A0"/>
    <w:rsid w:val="00200937"/>
    <w:rsid w:val="00200E4F"/>
    <w:rsid w:val="002017B7"/>
    <w:rsid w:val="0020188C"/>
    <w:rsid w:val="0020289C"/>
    <w:rsid w:val="00202AC2"/>
    <w:rsid w:val="00202E33"/>
    <w:rsid w:val="00203EE3"/>
    <w:rsid w:val="002041DD"/>
    <w:rsid w:val="0020490D"/>
    <w:rsid w:val="00204921"/>
    <w:rsid w:val="00205081"/>
    <w:rsid w:val="002054CE"/>
    <w:rsid w:val="00205C95"/>
    <w:rsid w:val="002064FC"/>
    <w:rsid w:val="00206607"/>
    <w:rsid w:val="00206893"/>
    <w:rsid w:val="00206A49"/>
    <w:rsid w:val="00207578"/>
    <w:rsid w:val="00210330"/>
    <w:rsid w:val="002106BA"/>
    <w:rsid w:val="00210CD6"/>
    <w:rsid w:val="00211005"/>
    <w:rsid w:val="002111BC"/>
    <w:rsid w:val="002113DE"/>
    <w:rsid w:val="002127F7"/>
    <w:rsid w:val="00212810"/>
    <w:rsid w:val="00214274"/>
    <w:rsid w:val="002143EA"/>
    <w:rsid w:val="002148A3"/>
    <w:rsid w:val="00214A0F"/>
    <w:rsid w:val="00214EC6"/>
    <w:rsid w:val="00215B58"/>
    <w:rsid w:val="002160F0"/>
    <w:rsid w:val="00220D50"/>
    <w:rsid w:val="00221720"/>
    <w:rsid w:val="00221C32"/>
    <w:rsid w:val="0022238D"/>
    <w:rsid w:val="00222F86"/>
    <w:rsid w:val="0022312F"/>
    <w:rsid w:val="0022339D"/>
    <w:rsid w:val="002242F0"/>
    <w:rsid w:val="002248AD"/>
    <w:rsid w:val="00224B2A"/>
    <w:rsid w:val="00224B86"/>
    <w:rsid w:val="00224B91"/>
    <w:rsid w:val="00225889"/>
    <w:rsid w:val="0022729C"/>
    <w:rsid w:val="002273E1"/>
    <w:rsid w:val="00227B20"/>
    <w:rsid w:val="0023021B"/>
    <w:rsid w:val="00231411"/>
    <w:rsid w:val="00231596"/>
    <w:rsid w:val="00231F8E"/>
    <w:rsid w:val="0023234A"/>
    <w:rsid w:val="00232932"/>
    <w:rsid w:val="00232F2C"/>
    <w:rsid w:val="00233299"/>
    <w:rsid w:val="0023577E"/>
    <w:rsid w:val="00235A15"/>
    <w:rsid w:val="00236126"/>
    <w:rsid w:val="00236392"/>
    <w:rsid w:val="00236709"/>
    <w:rsid w:val="00236F24"/>
    <w:rsid w:val="00237193"/>
    <w:rsid w:val="0023726B"/>
    <w:rsid w:val="00237CE7"/>
    <w:rsid w:val="00237E80"/>
    <w:rsid w:val="00237EE5"/>
    <w:rsid w:val="00240C8A"/>
    <w:rsid w:val="00240CB2"/>
    <w:rsid w:val="00240E55"/>
    <w:rsid w:val="00241A72"/>
    <w:rsid w:val="00241CB9"/>
    <w:rsid w:val="00242837"/>
    <w:rsid w:val="00242EFD"/>
    <w:rsid w:val="00243BC4"/>
    <w:rsid w:val="00244734"/>
    <w:rsid w:val="002465EA"/>
    <w:rsid w:val="00247505"/>
    <w:rsid w:val="0024763D"/>
    <w:rsid w:val="002503CE"/>
    <w:rsid w:val="0025223C"/>
    <w:rsid w:val="00252508"/>
    <w:rsid w:val="002526AD"/>
    <w:rsid w:val="00252CF8"/>
    <w:rsid w:val="00252D94"/>
    <w:rsid w:val="00252F53"/>
    <w:rsid w:val="00254495"/>
    <w:rsid w:val="00254BC6"/>
    <w:rsid w:val="00255288"/>
    <w:rsid w:val="0025533D"/>
    <w:rsid w:val="0025546E"/>
    <w:rsid w:val="002556DC"/>
    <w:rsid w:val="002557D5"/>
    <w:rsid w:val="00255BFD"/>
    <w:rsid w:val="0025648E"/>
    <w:rsid w:val="0025672B"/>
    <w:rsid w:val="00256C22"/>
    <w:rsid w:val="00257744"/>
    <w:rsid w:val="00260B06"/>
    <w:rsid w:val="00260B64"/>
    <w:rsid w:val="0026152F"/>
    <w:rsid w:val="0026269C"/>
    <w:rsid w:val="002635E3"/>
    <w:rsid w:val="002650C6"/>
    <w:rsid w:val="00265336"/>
    <w:rsid w:val="00265C1C"/>
    <w:rsid w:val="002676BC"/>
    <w:rsid w:val="00267E80"/>
    <w:rsid w:val="00270155"/>
    <w:rsid w:val="0027096D"/>
    <w:rsid w:val="00271901"/>
    <w:rsid w:val="002723EF"/>
    <w:rsid w:val="00273509"/>
    <w:rsid w:val="002737B6"/>
    <w:rsid w:val="0027399A"/>
    <w:rsid w:val="00274219"/>
    <w:rsid w:val="002752C9"/>
    <w:rsid w:val="00275668"/>
    <w:rsid w:val="002758E0"/>
    <w:rsid w:val="00275D8B"/>
    <w:rsid w:val="00276FE8"/>
    <w:rsid w:val="00277546"/>
    <w:rsid w:val="00277854"/>
    <w:rsid w:val="0028182D"/>
    <w:rsid w:val="0028220A"/>
    <w:rsid w:val="00282C61"/>
    <w:rsid w:val="00282EED"/>
    <w:rsid w:val="002836D3"/>
    <w:rsid w:val="0028379A"/>
    <w:rsid w:val="00283CCC"/>
    <w:rsid w:val="00284D3D"/>
    <w:rsid w:val="00285A76"/>
    <w:rsid w:val="00285ACB"/>
    <w:rsid w:val="00285BAD"/>
    <w:rsid w:val="00286319"/>
    <w:rsid w:val="00287743"/>
    <w:rsid w:val="00290E83"/>
    <w:rsid w:val="00291530"/>
    <w:rsid w:val="0029457F"/>
    <w:rsid w:val="00294E52"/>
    <w:rsid w:val="00295692"/>
    <w:rsid w:val="00295FA0"/>
    <w:rsid w:val="002960F3"/>
    <w:rsid w:val="00296530"/>
    <w:rsid w:val="00297406"/>
    <w:rsid w:val="002A0627"/>
    <w:rsid w:val="002A0A91"/>
    <w:rsid w:val="002A0FA0"/>
    <w:rsid w:val="002A2795"/>
    <w:rsid w:val="002A420F"/>
    <w:rsid w:val="002A49A1"/>
    <w:rsid w:val="002A504B"/>
    <w:rsid w:val="002A57ED"/>
    <w:rsid w:val="002A5B4B"/>
    <w:rsid w:val="002A64AE"/>
    <w:rsid w:val="002A7045"/>
    <w:rsid w:val="002A7315"/>
    <w:rsid w:val="002A7EAB"/>
    <w:rsid w:val="002B0486"/>
    <w:rsid w:val="002B0B20"/>
    <w:rsid w:val="002B135E"/>
    <w:rsid w:val="002B14CC"/>
    <w:rsid w:val="002B18BE"/>
    <w:rsid w:val="002B25C4"/>
    <w:rsid w:val="002B2843"/>
    <w:rsid w:val="002B2949"/>
    <w:rsid w:val="002B3032"/>
    <w:rsid w:val="002B316D"/>
    <w:rsid w:val="002B339B"/>
    <w:rsid w:val="002B3897"/>
    <w:rsid w:val="002B39B2"/>
    <w:rsid w:val="002B4310"/>
    <w:rsid w:val="002B4486"/>
    <w:rsid w:val="002B46AD"/>
    <w:rsid w:val="002B4894"/>
    <w:rsid w:val="002B53C8"/>
    <w:rsid w:val="002B5589"/>
    <w:rsid w:val="002B7294"/>
    <w:rsid w:val="002B7399"/>
    <w:rsid w:val="002B7802"/>
    <w:rsid w:val="002B7AA4"/>
    <w:rsid w:val="002C0660"/>
    <w:rsid w:val="002C09F9"/>
    <w:rsid w:val="002C307A"/>
    <w:rsid w:val="002C37D2"/>
    <w:rsid w:val="002C390A"/>
    <w:rsid w:val="002C40B5"/>
    <w:rsid w:val="002C4F2F"/>
    <w:rsid w:val="002C5729"/>
    <w:rsid w:val="002C630B"/>
    <w:rsid w:val="002C65B0"/>
    <w:rsid w:val="002C6BA4"/>
    <w:rsid w:val="002C6EDA"/>
    <w:rsid w:val="002C709B"/>
    <w:rsid w:val="002C746C"/>
    <w:rsid w:val="002C75EA"/>
    <w:rsid w:val="002C7CFA"/>
    <w:rsid w:val="002D07E9"/>
    <w:rsid w:val="002D1350"/>
    <w:rsid w:val="002D3238"/>
    <w:rsid w:val="002D3416"/>
    <w:rsid w:val="002D3B54"/>
    <w:rsid w:val="002D401A"/>
    <w:rsid w:val="002D4051"/>
    <w:rsid w:val="002D484D"/>
    <w:rsid w:val="002D48F6"/>
    <w:rsid w:val="002D506D"/>
    <w:rsid w:val="002D5C33"/>
    <w:rsid w:val="002D6D32"/>
    <w:rsid w:val="002D74FB"/>
    <w:rsid w:val="002D7F5C"/>
    <w:rsid w:val="002E0CB5"/>
    <w:rsid w:val="002E24B7"/>
    <w:rsid w:val="002E2DC0"/>
    <w:rsid w:val="002E317D"/>
    <w:rsid w:val="002E397C"/>
    <w:rsid w:val="002E3F29"/>
    <w:rsid w:val="002E4BE8"/>
    <w:rsid w:val="002E5964"/>
    <w:rsid w:val="002E5B8C"/>
    <w:rsid w:val="002E60B7"/>
    <w:rsid w:val="002E6298"/>
    <w:rsid w:val="002E6713"/>
    <w:rsid w:val="002E6B5A"/>
    <w:rsid w:val="002E6D82"/>
    <w:rsid w:val="002E6F73"/>
    <w:rsid w:val="002E787F"/>
    <w:rsid w:val="002E7BFD"/>
    <w:rsid w:val="002F00B9"/>
    <w:rsid w:val="002F038B"/>
    <w:rsid w:val="002F0532"/>
    <w:rsid w:val="002F061A"/>
    <w:rsid w:val="002F080E"/>
    <w:rsid w:val="002F0F57"/>
    <w:rsid w:val="002F125A"/>
    <w:rsid w:val="002F1540"/>
    <w:rsid w:val="002F1E1B"/>
    <w:rsid w:val="002F2481"/>
    <w:rsid w:val="002F2A42"/>
    <w:rsid w:val="002F30BD"/>
    <w:rsid w:val="002F3993"/>
    <w:rsid w:val="002F5769"/>
    <w:rsid w:val="002F5FF9"/>
    <w:rsid w:val="002F61A8"/>
    <w:rsid w:val="002F6413"/>
    <w:rsid w:val="002F6A34"/>
    <w:rsid w:val="002F76D2"/>
    <w:rsid w:val="002F787B"/>
    <w:rsid w:val="00300593"/>
    <w:rsid w:val="003008F9"/>
    <w:rsid w:val="00301439"/>
    <w:rsid w:val="003015A0"/>
    <w:rsid w:val="00301DE3"/>
    <w:rsid w:val="003022FE"/>
    <w:rsid w:val="00303AD7"/>
    <w:rsid w:val="0030482A"/>
    <w:rsid w:val="00304A1E"/>
    <w:rsid w:val="00304F88"/>
    <w:rsid w:val="00305269"/>
    <w:rsid w:val="00305278"/>
    <w:rsid w:val="00306057"/>
    <w:rsid w:val="003061EF"/>
    <w:rsid w:val="003062DF"/>
    <w:rsid w:val="003068A0"/>
    <w:rsid w:val="00306CA2"/>
    <w:rsid w:val="003073A2"/>
    <w:rsid w:val="00307E2D"/>
    <w:rsid w:val="00307FB4"/>
    <w:rsid w:val="003101CC"/>
    <w:rsid w:val="003103D2"/>
    <w:rsid w:val="003108B2"/>
    <w:rsid w:val="003110B5"/>
    <w:rsid w:val="0031175F"/>
    <w:rsid w:val="00311B98"/>
    <w:rsid w:val="00312425"/>
    <w:rsid w:val="0031244C"/>
    <w:rsid w:val="003131F5"/>
    <w:rsid w:val="00313380"/>
    <w:rsid w:val="00313ECF"/>
    <w:rsid w:val="003144F4"/>
    <w:rsid w:val="003145F3"/>
    <w:rsid w:val="00314694"/>
    <w:rsid w:val="00314976"/>
    <w:rsid w:val="00314A8E"/>
    <w:rsid w:val="00314C64"/>
    <w:rsid w:val="00314CB7"/>
    <w:rsid w:val="00315093"/>
    <w:rsid w:val="003150B0"/>
    <w:rsid w:val="003150FD"/>
    <w:rsid w:val="0031669A"/>
    <w:rsid w:val="0031731A"/>
    <w:rsid w:val="0031778E"/>
    <w:rsid w:val="00321183"/>
    <w:rsid w:val="00321AFB"/>
    <w:rsid w:val="003222C3"/>
    <w:rsid w:val="00322ED5"/>
    <w:rsid w:val="003232BC"/>
    <w:rsid w:val="00323C33"/>
    <w:rsid w:val="00324150"/>
    <w:rsid w:val="00324527"/>
    <w:rsid w:val="003245E6"/>
    <w:rsid w:val="00324623"/>
    <w:rsid w:val="003252F8"/>
    <w:rsid w:val="0032559D"/>
    <w:rsid w:val="00326050"/>
    <w:rsid w:val="0032724D"/>
    <w:rsid w:val="00327294"/>
    <w:rsid w:val="00327CF6"/>
    <w:rsid w:val="00327DA4"/>
    <w:rsid w:val="00330561"/>
    <w:rsid w:val="00330D9D"/>
    <w:rsid w:val="00330FD9"/>
    <w:rsid w:val="00331660"/>
    <w:rsid w:val="00331FCA"/>
    <w:rsid w:val="00333BBA"/>
    <w:rsid w:val="0033405E"/>
    <w:rsid w:val="0033410B"/>
    <w:rsid w:val="00334574"/>
    <w:rsid w:val="0033572D"/>
    <w:rsid w:val="00335A39"/>
    <w:rsid w:val="003368BB"/>
    <w:rsid w:val="00336B1B"/>
    <w:rsid w:val="003371D2"/>
    <w:rsid w:val="00337DB1"/>
    <w:rsid w:val="003410A4"/>
    <w:rsid w:val="003421FF"/>
    <w:rsid w:val="00342F8B"/>
    <w:rsid w:val="00343052"/>
    <w:rsid w:val="00343D0C"/>
    <w:rsid w:val="003441BE"/>
    <w:rsid w:val="00344288"/>
    <w:rsid w:val="00344318"/>
    <w:rsid w:val="00345267"/>
    <w:rsid w:val="003466F2"/>
    <w:rsid w:val="00346D41"/>
    <w:rsid w:val="00350227"/>
    <w:rsid w:val="003502AC"/>
    <w:rsid w:val="0035039C"/>
    <w:rsid w:val="0035047A"/>
    <w:rsid w:val="003505E4"/>
    <w:rsid w:val="003507CA"/>
    <w:rsid w:val="00350CB6"/>
    <w:rsid w:val="0035125B"/>
    <w:rsid w:val="0035169F"/>
    <w:rsid w:val="00351EFA"/>
    <w:rsid w:val="00352B1C"/>
    <w:rsid w:val="003537FF"/>
    <w:rsid w:val="00354CDA"/>
    <w:rsid w:val="003552D4"/>
    <w:rsid w:val="00355836"/>
    <w:rsid w:val="00356EB2"/>
    <w:rsid w:val="0035754C"/>
    <w:rsid w:val="00357809"/>
    <w:rsid w:val="003603D2"/>
    <w:rsid w:val="00360484"/>
    <w:rsid w:val="003613C4"/>
    <w:rsid w:val="00361880"/>
    <w:rsid w:val="00362C65"/>
    <w:rsid w:val="00363C83"/>
    <w:rsid w:val="00363EB8"/>
    <w:rsid w:val="00363FFC"/>
    <w:rsid w:val="0036425B"/>
    <w:rsid w:val="003645C4"/>
    <w:rsid w:val="00364E9A"/>
    <w:rsid w:val="00365BA7"/>
    <w:rsid w:val="00366198"/>
    <w:rsid w:val="0036699C"/>
    <w:rsid w:val="003676BF"/>
    <w:rsid w:val="003705BB"/>
    <w:rsid w:val="00370640"/>
    <w:rsid w:val="00370E4D"/>
    <w:rsid w:val="003714E3"/>
    <w:rsid w:val="003725AD"/>
    <w:rsid w:val="003727A2"/>
    <w:rsid w:val="003733F8"/>
    <w:rsid w:val="00373C29"/>
    <w:rsid w:val="0037443E"/>
    <w:rsid w:val="00375B69"/>
    <w:rsid w:val="003765D5"/>
    <w:rsid w:val="003766E3"/>
    <w:rsid w:val="003769AA"/>
    <w:rsid w:val="00376B00"/>
    <w:rsid w:val="00376CB4"/>
    <w:rsid w:val="00376DCB"/>
    <w:rsid w:val="00377310"/>
    <w:rsid w:val="003800EB"/>
    <w:rsid w:val="00380143"/>
    <w:rsid w:val="003809B9"/>
    <w:rsid w:val="003814FF"/>
    <w:rsid w:val="003815EE"/>
    <w:rsid w:val="00381D97"/>
    <w:rsid w:val="00382777"/>
    <w:rsid w:val="00382CEB"/>
    <w:rsid w:val="0038375F"/>
    <w:rsid w:val="003847A3"/>
    <w:rsid w:val="00385985"/>
    <w:rsid w:val="00385C10"/>
    <w:rsid w:val="00385D7B"/>
    <w:rsid w:val="003860F3"/>
    <w:rsid w:val="003864A3"/>
    <w:rsid w:val="00386B48"/>
    <w:rsid w:val="00386F55"/>
    <w:rsid w:val="00386FAC"/>
    <w:rsid w:val="00387558"/>
    <w:rsid w:val="003877C8"/>
    <w:rsid w:val="0039067E"/>
    <w:rsid w:val="0039073A"/>
    <w:rsid w:val="003913FA"/>
    <w:rsid w:val="003915FE"/>
    <w:rsid w:val="003917D6"/>
    <w:rsid w:val="003930EB"/>
    <w:rsid w:val="00393788"/>
    <w:rsid w:val="00393E21"/>
    <w:rsid w:val="00394007"/>
    <w:rsid w:val="0039459B"/>
    <w:rsid w:val="00394D1C"/>
    <w:rsid w:val="00395256"/>
    <w:rsid w:val="00395381"/>
    <w:rsid w:val="003958CB"/>
    <w:rsid w:val="003963AE"/>
    <w:rsid w:val="00396F4B"/>
    <w:rsid w:val="003970DF"/>
    <w:rsid w:val="00397BBF"/>
    <w:rsid w:val="003A0587"/>
    <w:rsid w:val="003A0914"/>
    <w:rsid w:val="003A1551"/>
    <w:rsid w:val="003A1BC6"/>
    <w:rsid w:val="003A1F63"/>
    <w:rsid w:val="003A205A"/>
    <w:rsid w:val="003A2150"/>
    <w:rsid w:val="003A21BA"/>
    <w:rsid w:val="003A24F5"/>
    <w:rsid w:val="003A298D"/>
    <w:rsid w:val="003A2D08"/>
    <w:rsid w:val="003A31E5"/>
    <w:rsid w:val="003A37D4"/>
    <w:rsid w:val="003A3A6A"/>
    <w:rsid w:val="003A3B0A"/>
    <w:rsid w:val="003A4C14"/>
    <w:rsid w:val="003A58EF"/>
    <w:rsid w:val="003A6079"/>
    <w:rsid w:val="003A6085"/>
    <w:rsid w:val="003A694D"/>
    <w:rsid w:val="003A6F5C"/>
    <w:rsid w:val="003A72CF"/>
    <w:rsid w:val="003B01C2"/>
    <w:rsid w:val="003B075F"/>
    <w:rsid w:val="003B10AB"/>
    <w:rsid w:val="003B136C"/>
    <w:rsid w:val="003B2963"/>
    <w:rsid w:val="003B3A4B"/>
    <w:rsid w:val="003B3E05"/>
    <w:rsid w:val="003B404A"/>
    <w:rsid w:val="003B41BC"/>
    <w:rsid w:val="003B4487"/>
    <w:rsid w:val="003B5331"/>
    <w:rsid w:val="003B54A8"/>
    <w:rsid w:val="003B59E2"/>
    <w:rsid w:val="003B5CF0"/>
    <w:rsid w:val="003B668C"/>
    <w:rsid w:val="003B7DE8"/>
    <w:rsid w:val="003C107C"/>
    <w:rsid w:val="003C1DB0"/>
    <w:rsid w:val="003C1DEB"/>
    <w:rsid w:val="003C2D06"/>
    <w:rsid w:val="003C413C"/>
    <w:rsid w:val="003C4BF0"/>
    <w:rsid w:val="003C69D3"/>
    <w:rsid w:val="003C704D"/>
    <w:rsid w:val="003C71FE"/>
    <w:rsid w:val="003C72AD"/>
    <w:rsid w:val="003C77CB"/>
    <w:rsid w:val="003C7CD4"/>
    <w:rsid w:val="003C7F54"/>
    <w:rsid w:val="003D0CA3"/>
    <w:rsid w:val="003D103C"/>
    <w:rsid w:val="003D13AF"/>
    <w:rsid w:val="003D18F9"/>
    <w:rsid w:val="003D19D2"/>
    <w:rsid w:val="003D21B2"/>
    <w:rsid w:val="003D2422"/>
    <w:rsid w:val="003D2E44"/>
    <w:rsid w:val="003D3D32"/>
    <w:rsid w:val="003D3F11"/>
    <w:rsid w:val="003D431A"/>
    <w:rsid w:val="003D4388"/>
    <w:rsid w:val="003D4FAE"/>
    <w:rsid w:val="003D56C4"/>
    <w:rsid w:val="003D5CDB"/>
    <w:rsid w:val="003D655B"/>
    <w:rsid w:val="003D7154"/>
    <w:rsid w:val="003D733A"/>
    <w:rsid w:val="003D7F20"/>
    <w:rsid w:val="003E0604"/>
    <w:rsid w:val="003E078D"/>
    <w:rsid w:val="003E20D1"/>
    <w:rsid w:val="003E2116"/>
    <w:rsid w:val="003E30A3"/>
    <w:rsid w:val="003E3359"/>
    <w:rsid w:val="003E3880"/>
    <w:rsid w:val="003E50D4"/>
    <w:rsid w:val="003E56DF"/>
    <w:rsid w:val="003E5B78"/>
    <w:rsid w:val="003E6AEB"/>
    <w:rsid w:val="003E6DFF"/>
    <w:rsid w:val="003E6F9C"/>
    <w:rsid w:val="003F05A6"/>
    <w:rsid w:val="003F3205"/>
    <w:rsid w:val="003F3A3B"/>
    <w:rsid w:val="003F3B32"/>
    <w:rsid w:val="003F4234"/>
    <w:rsid w:val="003F43FF"/>
    <w:rsid w:val="003F44F8"/>
    <w:rsid w:val="003F4540"/>
    <w:rsid w:val="003F45EE"/>
    <w:rsid w:val="003F47ED"/>
    <w:rsid w:val="003F5000"/>
    <w:rsid w:val="003F5348"/>
    <w:rsid w:val="003F57C8"/>
    <w:rsid w:val="003F5A45"/>
    <w:rsid w:val="003F650C"/>
    <w:rsid w:val="003F6EFC"/>
    <w:rsid w:val="00401061"/>
    <w:rsid w:val="00402619"/>
    <w:rsid w:val="00402ADB"/>
    <w:rsid w:val="004030E2"/>
    <w:rsid w:val="00403CFA"/>
    <w:rsid w:val="00404325"/>
    <w:rsid w:val="00404A95"/>
    <w:rsid w:val="00404B8A"/>
    <w:rsid w:val="00404D1E"/>
    <w:rsid w:val="004052B5"/>
    <w:rsid w:val="00405B94"/>
    <w:rsid w:val="00405CF6"/>
    <w:rsid w:val="00406D52"/>
    <w:rsid w:val="00407DC4"/>
    <w:rsid w:val="00407F21"/>
    <w:rsid w:val="00410EC1"/>
    <w:rsid w:val="0041145B"/>
    <w:rsid w:val="004115FD"/>
    <w:rsid w:val="00411DB5"/>
    <w:rsid w:val="00412571"/>
    <w:rsid w:val="0041369C"/>
    <w:rsid w:val="00413D07"/>
    <w:rsid w:val="00413F96"/>
    <w:rsid w:val="004150A9"/>
    <w:rsid w:val="00415B77"/>
    <w:rsid w:val="004169B5"/>
    <w:rsid w:val="00417AAA"/>
    <w:rsid w:val="0042004B"/>
    <w:rsid w:val="004202E1"/>
    <w:rsid w:val="004202EF"/>
    <w:rsid w:val="00421335"/>
    <w:rsid w:val="00422DF6"/>
    <w:rsid w:val="00422FB8"/>
    <w:rsid w:val="004231C7"/>
    <w:rsid w:val="00423628"/>
    <w:rsid w:val="00424840"/>
    <w:rsid w:val="00424BDB"/>
    <w:rsid w:val="00425C91"/>
    <w:rsid w:val="00425D16"/>
    <w:rsid w:val="00425F1A"/>
    <w:rsid w:val="00426753"/>
    <w:rsid w:val="00426A95"/>
    <w:rsid w:val="00426BCB"/>
    <w:rsid w:val="00426CA3"/>
    <w:rsid w:val="00427069"/>
    <w:rsid w:val="00427324"/>
    <w:rsid w:val="0042739D"/>
    <w:rsid w:val="00427405"/>
    <w:rsid w:val="00430A0A"/>
    <w:rsid w:val="0043295C"/>
    <w:rsid w:val="00433820"/>
    <w:rsid w:val="00433FC8"/>
    <w:rsid w:val="00434596"/>
    <w:rsid w:val="00435119"/>
    <w:rsid w:val="00436233"/>
    <w:rsid w:val="00436356"/>
    <w:rsid w:val="00436608"/>
    <w:rsid w:val="0043677F"/>
    <w:rsid w:val="00437047"/>
    <w:rsid w:val="004372F4"/>
    <w:rsid w:val="004401B0"/>
    <w:rsid w:val="0044054B"/>
    <w:rsid w:val="004407CD"/>
    <w:rsid w:val="00440DEB"/>
    <w:rsid w:val="0044137A"/>
    <w:rsid w:val="00442E5B"/>
    <w:rsid w:val="004439E1"/>
    <w:rsid w:val="00443C82"/>
    <w:rsid w:val="0044441C"/>
    <w:rsid w:val="00444B2F"/>
    <w:rsid w:val="00445A01"/>
    <w:rsid w:val="00446361"/>
    <w:rsid w:val="004470F5"/>
    <w:rsid w:val="00447E92"/>
    <w:rsid w:val="004500E5"/>
    <w:rsid w:val="004514D9"/>
    <w:rsid w:val="00451785"/>
    <w:rsid w:val="00452406"/>
    <w:rsid w:val="004544D8"/>
    <w:rsid w:val="004546D5"/>
    <w:rsid w:val="00454B1D"/>
    <w:rsid w:val="00454BBF"/>
    <w:rsid w:val="00455155"/>
    <w:rsid w:val="00455315"/>
    <w:rsid w:val="00455634"/>
    <w:rsid w:val="00456138"/>
    <w:rsid w:val="004571D6"/>
    <w:rsid w:val="00457630"/>
    <w:rsid w:val="00457D7F"/>
    <w:rsid w:val="004610E1"/>
    <w:rsid w:val="0046158E"/>
    <w:rsid w:val="00462158"/>
    <w:rsid w:val="004621BD"/>
    <w:rsid w:val="00462B47"/>
    <w:rsid w:val="00463FA0"/>
    <w:rsid w:val="0046498B"/>
    <w:rsid w:val="0046550D"/>
    <w:rsid w:val="00465E08"/>
    <w:rsid w:val="00465ECA"/>
    <w:rsid w:val="004664E3"/>
    <w:rsid w:val="00466871"/>
    <w:rsid w:val="00466DD1"/>
    <w:rsid w:val="00466EB2"/>
    <w:rsid w:val="004678EE"/>
    <w:rsid w:val="004701BC"/>
    <w:rsid w:val="004704EF"/>
    <w:rsid w:val="004705ED"/>
    <w:rsid w:val="004708BC"/>
    <w:rsid w:val="00470FF4"/>
    <w:rsid w:val="00471222"/>
    <w:rsid w:val="004719C7"/>
    <w:rsid w:val="00471E42"/>
    <w:rsid w:val="00472E6A"/>
    <w:rsid w:val="0047360E"/>
    <w:rsid w:val="00473FFB"/>
    <w:rsid w:val="004741B4"/>
    <w:rsid w:val="00474671"/>
    <w:rsid w:val="00474895"/>
    <w:rsid w:val="00475098"/>
    <w:rsid w:val="004752F1"/>
    <w:rsid w:val="00475796"/>
    <w:rsid w:val="0047586A"/>
    <w:rsid w:val="004761AC"/>
    <w:rsid w:val="004778C3"/>
    <w:rsid w:val="004800CA"/>
    <w:rsid w:val="0048014A"/>
    <w:rsid w:val="00480594"/>
    <w:rsid w:val="00480DF3"/>
    <w:rsid w:val="004813CA"/>
    <w:rsid w:val="004814CC"/>
    <w:rsid w:val="00481810"/>
    <w:rsid w:val="0048271E"/>
    <w:rsid w:val="004827B1"/>
    <w:rsid w:val="004827B3"/>
    <w:rsid w:val="00482E5F"/>
    <w:rsid w:val="004834E4"/>
    <w:rsid w:val="0048406F"/>
    <w:rsid w:val="00484382"/>
    <w:rsid w:val="004843A1"/>
    <w:rsid w:val="004849D5"/>
    <w:rsid w:val="00485FC6"/>
    <w:rsid w:val="004863AB"/>
    <w:rsid w:val="004868CC"/>
    <w:rsid w:val="00486D3D"/>
    <w:rsid w:val="00486F01"/>
    <w:rsid w:val="00486FFC"/>
    <w:rsid w:val="00487305"/>
    <w:rsid w:val="004875E8"/>
    <w:rsid w:val="00487819"/>
    <w:rsid w:val="00490451"/>
    <w:rsid w:val="00491440"/>
    <w:rsid w:val="00491774"/>
    <w:rsid w:val="00492489"/>
    <w:rsid w:val="004927D4"/>
    <w:rsid w:val="004933E9"/>
    <w:rsid w:val="0049443B"/>
    <w:rsid w:val="00494A85"/>
    <w:rsid w:val="00494FE6"/>
    <w:rsid w:val="00495B35"/>
    <w:rsid w:val="004968F0"/>
    <w:rsid w:val="0049695D"/>
    <w:rsid w:val="00496B99"/>
    <w:rsid w:val="004A0542"/>
    <w:rsid w:val="004A0B68"/>
    <w:rsid w:val="004A0EAB"/>
    <w:rsid w:val="004A0F26"/>
    <w:rsid w:val="004A167A"/>
    <w:rsid w:val="004A4157"/>
    <w:rsid w:val="004A448F"/>
    <w:rsid w:val="004A501A"/>
    <w:rsid w:val="004A50D8"/>
    <w:rsid w:val="004A5281"/>
    <w:rsid w:val="004A56CC"/>
    <w:rsid w:val="004A6237"/>
    <w:rsid w:val="004A6470"/>
    <w:rsid w:val="004A6832"/>
    <w:rsid w:val="004A6BB6"/>
    <w:rsid w:val="004A6F26"/>
    <w:rsid w:val="004A6F4F"/>
    <w:rsid w:val="004A7173"/>
    <w:rsid w:val="004A7AFE"/>
    <w:rsid w:val="004B0200"/>
    <w:rsid w:val="004B0E39"/>
    <w:rsid w:val="004B1454"/>
    <w:rsid w:val="004B15DD"/>
    <w:rsid w:val="004B170F"/>
    <w:rsid w:val="004B28F6"/>
    <w:rsid w:val="004B2A25"/>
    <w:rsid w:val="004B3C73"/>
    <w:rsid w:val="004B3F3E"/>
    <w:rsid w:val="004B4C6B"/>
    <w:rsid w:val="004B4D2C"/>
    <w:rsid w:val="004B4F0B"/>
    <w:rsid w:val="004B5BBD"/>
    <w:rsid w:val="004B60EF"/>
    <w:rsid w:val="004B62E6"/>
    <w:rsid w:val="004B65EA"/>
    <w:rsid w:val="004B678F"/>
    <w:rsid w:val="004B6B89"/>
    <w:rsid w:val="004B6F88"/>
    <w:rsid w:val="004B70BF"/>
    <w:rsid w:val="004B7169"/>
    <w:rsid w:val="004B7DB7"/>
    <w:rsid w:val="004C0055"/>
    <w:rsid w:val="004C0578"/>
    <w:rsid w:val="004C0968"/>
    <w:rsid w:val="004C0F55"/>
    <w:rsid w:val="004C21B8"/>
    <w:rsid w:val="004C22A2"/>
    <w:rsid w:val="004C23E8"/>
    <w:rsid w:val="004C2BE7"/>
    <w:rsid w:val="004C30F0"/>
    <w:rsid w:val="004C3254"/>
    <w:rsid w:val="004C3E2A"/>
    <w:rsid w:val="004C4310"/>
    <w:rsid w:val="004C49F4"/>
    <w:rsid w:val="004C62C7"/>
    <w:rsid w:val="004C6D49"/>
    <w:rsid w:val="004C7132"/>
    <w:rsid w:val="004C75DC"/>
    <w:rsid w:val="004C7D6B"/>
    <w:rsid w:val="004C7F9C"/>
    <w:rsid w:val="004D07CC"/>
    <w:rsid w:val="004D085D"/>
    <w:rsid w:val="004D122D"/>
    <w:rsid w:val="004D1A33"/>
    <w:rsid w:val="004D316A"/>
    <w:rsid w:val="004D31C0"/>
    <w:rsid w:val="004D3514"/>
    <w:rsid w:val="004D3605"/>
    <w:rsid w:val="004D3C6F"/>
    <w:rsid w:val="004D3D2B"/>
    <w:rsid w:val="004D3DFE"/>
    <w:rsid w:val="004D44D7"/>
    <w:rsid w:val="004D468B"/>
    <w:rsid w:val="004D50A0"/>
    <w:rsid w:val="004D6966"/>
    <w:rsid w:val="004D724D"/>
    <w:rsid w:val="004D7762"/>
    <w:rsid w:val="004E03E4"/>
    <w:rsid w:val="004E0CEF"/>
    <w:rsid w:val="004E11EC"/>
    <w:rsid w:val="004E1706"/>
    <w:rsid w:val="004E21A6"/>
    <w:rsid w:val="004E237B"/>
    <w:rsid w:val="004E2E6B"/>
    <w:rsid w:val="004E3413"/>
    <w:rsid w:val="004E3B9C"/>
    <w:rsid w:val="004E43CE"/>
    <w:rsid w:val="004E4D16"/>
    <w:rsid w:val="004E64BB"/>
    <w:rsid w:val="004E74F8"/>
    <w:rsid w:val="004F0472"/>
    <w:rsid w:val="004F0724"/>
    <w:rsid w:val="004F09A3"/>
    <w:rsid w:val="004F0AE3"/>
    <w:rsid w:val="004F0AF9"/>
    <w:rsid w:val="004F1AE8"/>
    <w:rsid w:val="004F24AF"/>
    <w:rsid w:val="004F25EC"/>
    <w:rsid w:val="004F3B57"/>
    <w:rsid w:val="004F3BB2"/>
    <w:rsid w:val="004F3FF8"/>
    <w:rsid w:val="004F4988"/>
    <w:rsid w:val="004F58B3"/>
    <w:rsid w:val="004F5B61"/>
    <w:rsid w:val="004F67E9"/>
    <w:rsid w:val="004F6872"/>
    <w:rsid w:val="004F6AB4"/>
    <w:rsid w:val="004F75CB"/>
    <w:rsid w:val="004F7993"/>
    <w:rsid w:val="004F7FB4"/>
    <w:rsid w:val="0050064A"/>
    <w:rsid w:val="00500915"/>
    <w:rsid w:val="0050101F"/>
    <w:rsid w:val="005010D4"/>
    <w:rsid w:val="00501806"/>
    <w:rsid w:val="0050237F"/>
    <w:rsid w:val="00503E74"/>
    <w:rsid w:val="00504951"/>
    <w:rsid w:val="0050506D"/>
    <w:rsid w:val="0050608E"/>
    <w:rsid w:val="0050775D"/>
    <w:rsid w:val="0051132C"/>
    <w:rsid w:val="00511477"/>
    <w:rsid w:val="00511EEA"/>
    <w:rsid w:val="00512003"/>
    <w:rsid w:val="0051207D"/>
    <w:rsid w:val="005121B0"/>
    <w:rsid w:val="005121FB"/>
    <w:rsid w:val="0051246E"/>
    <w:rsid w:val="005125CA"/>
    <w:rsid w:val="005127B4"/>
    <w:rsid w:val="0051288E"/>
    <w:rsid w:val="0051315B"/>
    <w:rsid w:val="00513AD2"/>
    <w:rsid w:val="0051439A"/>
    <w:rsid w:val="00514968"/>
    <w:rsid w:val="00514CCB"/>
    <w:rsid w:val="00514FB2"/>
    <w:rsid w:val="005164F4"/>
    <w:rsid w:val="005175A5"/>
    <w:rsid w:val="00520297"/>
    <w:rsid w:val="00521343"/>
    <w:rsid w:val="0052186B"/>
    <w:rsid w:val="005229E1"/>
    <w:rsid w:val="00523611"/>
    <w:rsid w:val="00524149"/>
    <w:rsid w:val="00524790"/>
    <w:rsid w:val="00524D46"/>
    <w:rsid w:val="00525020"/>
    <w:rsid w:val="0052543E"/>
    <w:rsid w:val="00525463"/>
    <w:rsid w:val="00525C72"/>
    <w:rsid w:val="00526A47"/>
    <w:rsid w:val="00527313"/>
    <w:rsid w:val="00527D7A"/>
    <w:rsid w:val="00527E89"/>
    <w:rsid w:val="00530848"/>
    <w:rsid w:val="00530CF3"/>
    <w:rsid w:val="00530F5F"/>
    <w:rsid w:val="00531149"/>
    <w:rsid w:val="005319CF"/>
    <w:rsid w:val="0053258F"/>
    <w:rsid w:val="005327CD"/>
    <w:rsid w:val="0053385F"/>
    <w:rsid w:val="00533A60"/>
    <w:rsid w:val="00533AB5"/>
    <w:rsid w:val="00533BC0"/>
    <w:rsid w:val="00535D11"/>
    <w:rsid w:val="0053683B"/>
    <w:rsid w:val="00536EED"/>
    <w:rsid w:val="00537F79"/>
    <w:rsid w:val="00540610"/>
    <w:rsid w:val="0054172C"/>
    <w:rsid w:val="00541B47"/>
    <w:rsid w:val="00541BC2"/>
    <w:rsid w:val="00542109"/>
    <w:rsid w:val="005425E0"/>
    <w:rsid w:val="0054327E"/>
    <w:rsid w:val="005432FD"/>
    <w:rsid w:val="005435A1"/>
    <w:rsid w:val="005435C2"/>
    <w:rsid w:val="0054394D"/>
    <w:rsid w:val="00543B6B"/>
    <w:rsid w:val="00543D6F"/>
    <w:rsid w:val="005455BF"/>
    <w:rsid w:val="005468AB"/>
    <w:rsid w:val="00546F70"/>
    <w:rsid w:val="0054740F"/>
    <w:rsid w:val="00547D42"/>
    <w:rsid w:val="00547FEF"/>
    <w:rsid w:val="00550314"/>
    <w:rsid w:val="00550A4A"/>
    <w:rsid w:val="00550A5C"/>
    <w:rsid w:val="00550E79"/>
    <w:rsid w:val="00552B1A"/>
    <w:rsid w:val="005532DB"/>
    <w:rsid w:val="0055341D"/>
    <w:rsid w:val="00553902"/>
    <w:rsid w:val="00553A57"/>
    <w:rsid w:val="005543B2"/>
    <w:rsid w:val="00554B99"/>
    <w:rsid w:val="005558C9"/>
    <w:rsid w:val="00557110"/>
    <w:rsid w:val="00557723"/>
    <w:rsid w:val="00557B28"/>
    <w:rsid w:val="005609C6"/>
    <w:rsid w:val="00560D7B"/>
    <w:rsid w:val="005611F7"/>
    <w:rsid w:val="00562990"/>
    <w:rsid w:val="00563205"/>
    <w:rsid w:val="00563279"/>
    <w:rsid w:val="00563975"/>
    <w:rsid w:val="00563ABF"/>
    <w:rsid w:val="005645CA"/>
    <w:rsid w:val="00564DD2"/>
    <w:rsid w:val="00565BC9"/>
    <w:rsid w:val="00566E90"/>
    <w:rsid w:val="005673BA"/>
    <w:rsid w:val="005676F8"/>
    <w:rsid w:val="00567A55"/>
    <w:rsid w:val="00567B7D"/>
    <w:rsid w:val="00570168"/>
    <w:rsid w:val="00570832"/>
    <w:rsid w:val="00571E27"/>
    <w:rsid w:val="00572317"/>
    <w:rsid w:val="0057235B"/>
    <w:rsid w:val="00572589"/>
    <w:rsid w:val="005727CD"/>
    <w:rsid w:val="00572D8B"/>
    <w:rsid w:val="00573572"/>
    <w:rsid w:val="0057438E"/>
    <w:rsid w:val="005746A3"/>
    <w:rsid w:val="00575FEE"/>
    <w:rsid w:val="00577ECA"/>
    <w:rsid w:val="00580015"/>
    <w:rsid w:val="005805A5"/>
    <w:rsid w:val="00581FFD"/>
    <w:rsid w:val="005825F7"/>
    <w:rsid w:val="00582C60"/>
    <w:rsid w:val="005839FD"/>
    <w:rsid w:val="005864A4"/>
    <w:rsid w:val="00586929"/>
    <w:rsid w:val="00587BF0"/>
    <w:rsid w:val="005900B8"/>
    <w:rsid w:val="00590996"/>
    <w:rsid w:val="00590A34"/>
    <w:rsid w:val="00591138"/>
    <w:rsid w:val="00591C3C"/>
    <w:rsid w:val="00591FAD"/>
    <w:rsid w:val="00592C42"/>
    <w:rsid w:val="005938AD"/>
    <w:rsid w:val="005948C4"/>
    <w:rsid w:val="00594A71"/>
    <w:rsid w:val="00594CEE"/>
    <w:rsid w:val="00594FA7"/>
    <w:rsid w:val="005956CB"/>
    <w:rsid w:val="0059591C"/>
    <w:rsid w:val="0059596F"/>
    <w:rsid w:val="00595B96"/>
    <w:rsid w:val="0059619E"/>
    <w:rsid w:val="00596290"/>
    <w:rsid w:val="00596342"/>
    <w:rsid w:val="00596FC7"/>
    <w:rsid w:val="005974C1"/>
    <w:rsid w:val="00597DBC"/>
    <w:rsid w:val="005A0075"/>
    <w:rsid w:val="005A01EA"/>
    <w:rsid w:val="005A0296"/>
    <w:rsid w:val="005A08F2"/>
    <w:rsid w:val="005A0CFB"/>
    <w:rsid w:val="005A1AEE"/>
    <w:rsid w:val="005A1AEF"/>
    <w:rsid w:val="005A234E"/>
    <w:rsid w:val="005A23EF"/>
    <w:rsid w:val="005A28B8"/>
    <w:rsid w:val="005A2D5F"/>
    <w:rsid w:val="005A2E26"/>
    <w:rsid w:val="005A3074"/>
    <w:rsid w:val="005A3E65"/>
    <w:rsid w:val="005A3FA1"/>
    <w:rsid w:val="005A4207"/>
    <w:rsid w:val="005A4E3E"/>
    <w:rsid w:val="005A56B3"/>
    <w:rsid w:val="005A5F6A"/>
    <w:rsid w:val="005A67CF"/>
    <w:rsid w:val="005A6A82"/>
    <w:rsid w:val="005A6D11"/>
    <w:rsid w:val="005A747C"/>
    <w:rsid w:val="005A751D"/>
    <w:rsid w:val="005A756F"/>
    <w:rsid w:val="005A767E"/>
    <w:rsid w:val="005A78D0"/>
    <w:rsid w:val="005A7BAE"/>
    <w:rsid w:val="005A7F9D"/>
    <w:rsid w:val="005B1096"/>
    <w:rsid w:val="005B16BF"/>
    <w:rsid w:val="005B1CC3"/>
    <w:rsid w:val="005B2422"/>
    <w:rsid w:val="005B251B"/>
    <w:rsid w:val="005B4244"/>
    <w:rsid w:val="005B4364"/>
    <w:rsid w:val="005B4EF4"/>
    <w:rsid w:val="005B526D"/>
    <w:rsid w:val="005B6322"/>
    <w:rsid w:val="005B70C8"/>
    <w:rsid w:val="005B776F"/>
    <w:rsid w:val="005B7919"/>
    <w:rsid w:val="005B7924"/>
    <w:rsid w:val="005B7E1C"/>
    <w:rsid w:val="005B7FCD"/>
    <w:rsid w:val="005C06F2"/>
    <w:rsid w:val="005C0ECE"/>
    <w:rsid w:val="005C1193"/>
    <w:rsid w:val="005C187F"/>
    <w:rsid w:val="005C3147"/>
    <w:rsid w:val="005C3DC2"/>
    <w:rsid w:val="005C4073"/>
    <w:rsid w:val="005C4ACB"/>
    <w:rsid w:val="005C4B33"/>
    <w:rsid w:val="005C57C5"/>
    <w:rsid w:val="005C5EB1"/>
    <w:rsid w:val="005C699E"/>
    <w:rsid w:val="005C6F0E"/>
    <w:rsid w:val="005C6FA7"/>
    <w:rsid w:val="005C7430"/>
    <w:rsid w:val="005C7BE9"/>
    <w:rsid w:val="005C7C54"/>
    <w:rsid w:val="005C7C84"/>
    <w:rsid w:val="005C7D6E"/>
    <w:rsid w:val="005D00B0"/>
    <w:rsid w:val="005D12A3"/>
    <w:rsid w:val="005D1750"/>
    <w:rsid w:val="005D2CE4"/>
    <w:rsid w:val="005D2F03"/>
    <w:rsid w:val="005D3143"/>
    <w:rsid w:val="005D3170"/>
    <w:rsid w:val="005D33F0"/>
    <w:rsid w:val="005D3B89"/>
    <w:rsid w:val="005D3BBB"/>
    <w:rsid w:val="005D41E9"/>
    <w:rsid w:val="005D42CE"/>
    <w:rsid w:val="005D47F4"/>
    <w:rsid w:val="005D5489"/>
    <w:rsid w:val="005D5883"/>
    <w:rsid w:val="005D5BC6"/>
    <w:rsid w:val="005D6298"/>
    <w:rsid w:val="005D633B"/>
    <w:rsid w:val="005E0572"/>
    <w:rsid w:val="005E18E3"/>
    <w:rsid w:val="005E244C"/>
    <w:rsid w:val="005E2990"/>
    <w:rsid w:val="005E302C"/>
    <w:rsid w:val="005E43F3"/>
    <w:rsid w:val="005E4456"/>
    <w:rsid w:val="005E47C1"/>
    <w:rsid w:val="005E49C8"/>
    <w:rsid w:val="005E4C8F"/>
    <w:rsid w:val="005E4CB7"/>
    <w:rsid w:val="005E58B6"/>
    <w:rsid w:val="005E59C0"/>
    <w:rsid w:val="005E5C8C"/>
    <w:rsid w:val="005E60A4"/>
    <w:rsid w:val="005E655C"/>
    <w:rsid w:val="005E69BF"/>
    <w:rsid w:val="005E7542"/>
    <w:rsid w:val="005E7F3E"/>
    <w:rsid w:val="005F00A7"/>
    <w:rsid w:val="005F1F16"/>
    <w:rsid w:val="005F24FF"/>
    <w:rsid w:val="005F3484"/>
    <w:rsid w:val="005F407C"/>
    <w:rsid w:val="005F502E"/>
    <w:rsid w:val="005F532F"/>
    <w:rsid w:val="005F5403"/>
    <w:rsid w:val="005F5832"/>
    <w:rsid w:val="005F5DB0"/>
    <w:rsid w:val="005F67D2"/>
    <w:rsid w:val="005F7162"/>
    <w:rsid w:val="005F73D1"/>
    <w:rsid w:val="005F7C6E"/>
    <w:rsid w:val="00600B6E"/>
    <w:rsid w:val="0060246E"/>
    <w:rsid w:val="00602721"/>
    <w:rsid w:val="006052F5"/>
    <w:rsid w:val="006061F7"/>
    <w:rsid w:val="00606CE7"/>
    <w:rsid w:val="00607EDB"/>
    <w:rsid w:val="006100B1"/>
    <w:rsid w:val="006107B0"/>
    <w:rsid w:val="00610D75"/>
    <w:rsid w:val="00611530"/>
    <w:rsid w:val="00612B18"/>
    <w:rsid w:val="006132CC"/>
    <w:rsid w:val="00613324"/>
    <w:rsid w:val="00613A3D"/>
    <w:rsid w:val="00613D24"/>
    <w:rsid w:val="0061417F"/>
    <w:rsid w:val="00614D4F"/>
    <w:rsid w:val="006151DB"/>
    <w:rsid w:val="00615770"/>
    <w:rsid w:val="00615C97"/>
    <w:rsid w:val="006173E6"/>
    <w:rsid w:val="00617974"/>
    <w:rsid w:val="00617CA1"/>
    <w:rsid w:val="00617E3C"/>
    <w:rsid w:val="00621402"/>
    <w:rsid w:val="00622340"/>
    <w:rsid w:val="0062240D"/>
    <w:rsid w:val="006228F5"/>
    <w:rsid w:val="00623257"/>
    <w:rsid w:val="0062373D"/>
    <w:rsid w:val="00623804"/>
    <w:rsid w:val="00623AB7"/>
    <w:rsid w:val="00623FCC"/>
    <w:rsid w:val="006248EA"/>
    <w:rsid w:val="00624E4A"/>
    <w:rsid w:val="00624F9B"/>
    <w:rsid w:val="006254AD"/>
    <w:rsid w:val="00625846"/>
    <w:rsid w:val="00626307"/>
    <w:rsid w:val="00626444"/>
    <w:rsid w:val="0063073F"/>
    <w:rsid w:val="0063083B"/>
    <w:rsid w:val="00631695"/>
    <w:rsid w:val="00631E94"/>
    <w:rsid w:val="00632AEB"/>
    <w:rsid w:val="00633C8A"/>
    <w:rsid w:val="00633EA6"/>
    <w:rsid w:val="0063436A"/>
    <w:rsid w:val="00634FEC"/>
    <w:rsid w:val="006354F6"/>
    <w:rsid w:val="00635B32"/>
    <w:rsid w:val="00635E08"/>
    <w:rsid w:val="00635EFA"/>
    <w:rsid w:val="00636D13"/>
    <w:rsid w:val="00637ED2"/>
    <w:rsid w:val="006402E4"/>
    <w:rsid w:val="0064189C"/>
    <w:rsid w:val="00642C56"/>
    <w:rsid w:val="00643092"/>
    <w:rsid w:val="00643222"/>
    <w:rsid w:val="00643AAA"/>
    <w:rsid w:val="006440C9"/>
    <w:rsid w:val="00644436"/>
    <w:rsid w:val="00644815"/>
    <w:rsid w:val="0064485B"/>
    <w:rsid w:val="00644A73"/>
    <w:rsid w:val="00645207"/>
    <w:rsid w:val="0064539F"/>
    <w:rsid w:val="006454A7"/>
    <w:rsid w:val="006454FC"/>
    <w:rsid w:val="00645994"/>
    <w:rsid w:val="00645A8B"/>
    <w:rsid w:val="00645D15"/>
    <w:rsid w:val="00646B3D"/>
    <w:rsid w:val="006501AE"/>
    <w:rsid w:val="006510C8"/>
    <w:rsid w:val="0065137F"/>
    <w:rsid w:val="00651649"/>
    <w:rsid w:val="0065187C"/>
    <w:rsid w:val="00651A18"/>
    <w:rsid w:val="00651DF6"/>
    <w:rsid w:val="00651F4E"/>
    <w:rsid w:val="0065200A"/>
    <w:rsid w:val="00653C70"/>
    <w:rsid w:val="00654A46"/>
    <w:rsid w:val="00654D23"/>
    <w:rsid w:val="00654ED0"/>
    <w:rsid w:val="006552B7"/>
    <w:rsid w:val="006553E1"/>
    <w:rsid w:val="006558BE"/>
    <w:rsid w:val="00655DBA"/>
    <w:rsid w:val="006566E9"/>
    <w:rsid w:val="00656EAD"/>
    <w:rsid w:val="006570A0"/>
    <w:rsid w:val="0065726C"/>
    <w:rsid w:val="006578D6"/>
    <w:rsid w:val="00660096"/>
    <w:rsid w:val="00660A7C"/>
    <w:rsid w:val="00661892"/>
    <w:rsid w:val="006618B6"/>
    <w:rsid w:val="00661C9D"/>
    <w:rsid w:val="006622CE"/>
    <w:rsid w:val="006631F2"/>
    <w:rsid w:val="006637EA"/>
    <w:rsid w:val="00663C51"/>
    <w:rsid w:val="00664B83"/>
    <w:rsid w:val="00665241"/>
    <w:rsid w:val="0066562D"/>
    <w:rsid w:val="006659E6"/>
    <w:rsid w:val="006660B9"/>
    <w:rsid w:val="006665FE"/>
    <w:rsid w:val="00666938"/>
    <w:rsid w:val="00666F99"/>
    <w:rsid w:val="00670340"/>
    <w:rsid w:val="006708DB"/>
    <w:rsid w:val="00670F55"/>
    <w:rsid w:val="00671603"/>
    <w:rsid w:val="006716E4"/>
    <w:rsid w:val="00671C70"/>
    <w:rsid w:val="00671EC0"/>
    <w:rsid w:val="006723E1"/>
    <w:rsid w:val="00672753"/>
    <w:rsid w:val="00672A8B"/>
    <w:rsid w:val="006737DD"/>
    <w:rsid w:val="006744A9"/>
    <w:rsid w:val="00674F33"/>
    <w:rsid w:val="00676022"/>
    <w:rsid w:val="00677237"/>
    <w:rsid w:val="006772A3"/>
    <w:rsid w:val="006800E0"/>
    <w:rsid w:val="006809FC"/>
    <w:rsid w:val="006817C4"/>
    <w:rsid w:val="00681E43"/>
    <w:rsid w:val="00681F9E"/>
    <w:rsid w:val="006821E0"/>
    <w:rsid w:val="00682AE8"/>
    <w:rsid w:val="00682F14"/>
    <w:rsid w:val="00682FC4"/>
    <w:rsid w:val="006830BB"/>
    <w:rsid w:val="006833D4"/>
    <w:rsid w:val="00683CEF"/>
    <w:rsid w:val="006840E4"/>
    <w:rsid w:val="0068599E"/>
    <w:rsid w:val="00685DC8"/>
    <w:rsid w:val="00686CC0"/>
    <w:rsid w:val="0068715C"/>
    <w:rsid w:val="006873FE"/>
    <w:rsid w:val="00687988"/>
    <w:rsid w:val="00687D83"/>
    <w:rsid w:val="00687E89"/>
    <w:rsid w:val="0069010E"/>
    <w:rsid w:val="00690BF5"/>
    <w:rsid w:val="006912DD"/>
    <w:rsid w:val="006915E0"/>
    <w:rsid w:val="006919A3"/>
    <w:rsid w:val="00692366"/>
    <w:rsid w:val="00692793"/>
    <w:rsid w:val="00692FAE"/>
    <w:rsid w:val="006939F6"/>
    <w:rsid w:val="00694650"/>
    <w:rsid w:val="0069510F"/>
    <w:rsid w:val="00695414"/>
    <w:rsid w:val="00695AFD"/>
    <w:rsid w:val="00696A58"/>
    <w:rsid w:val="00696F01"/>
    <w:rsid w:val="006A22B9"/>
    <w:rsid w:val="006A2378"/>
    <w:rsid w:val="006A2DC0"/>
    <w:rsid w:val="006A3963"/>
    <w:rsid w:val="006A3A47"/>
    <w:rsid w:val="006A3BD9"/>
    <w:rsid w:val="006A52B3"/>
    <w:rsid w:val="006A5B0B"/>
    <w:rsid w:val="006A6F4F"/>
    <w:rsid w:val="006A6F54"/>
    <w:rsid w:val="006A7EAA"/>
    <w:rsid w:val="006B0B70"/>
    <w:rsid w:val="006B1205"/>
    <w:rsid w:val="006B13DD"/>
    <w:rsid w:val="006B163B"/>
    <w:rsid w:val="006B16A1"/>
    <w:rsid w:val="006B20DB"/>
    <w:rsid w:val="006B2B8F"/>
    <w:rsid w:val="006B2E4F"/>
    <w:rsid w:val="006B329F"/>
    <w:rsid w:val="006B347C"/>
    <w:rsid w:val="006B3D1F"/>
    <w:rsid w:val="006B4418"/>
    <w:rsid w:val="006B4AA9"/>
    <w:rsid w:val="006B4CFA"/>
    <w:rsid w:val="006B56F0"/>
    <w:rsid w:val="006B622A"/>
    <w:rsid w:val="006B664C"/>
    <w:rsid w:val="006B6B13"/>
    <w:rsid w:val="006B7906"/>
    <w:rsid w:val="006B7A84"/>
    <w:rsid w:val="006B7CCE"/>
    <w:rsid w:val="006C0B27"/>
    <w:rsid w:val="006C0D7B"/>
    <w:rsid w:val="006C126A"/>
    <w:rsid w:val="006C2200"/>
    <w:rsid w:val="006C22DA"/>
    <w:rsid w:val="006C2E43"/>
    <w:rsid w:val="006C3569"/>
    <w:rsid w:val="006C375C"/>
    <w:rsid w:val="006C427B"/>
    <w:rsid w:val="006C4473"/>
    <w:rsid w:val="006C4BE1"/>
    <w:rsid w:val="006C5A43"/>
    <w:rsid w:val="006C6B17"/>
    <w:rsid w:val="006C6ED6"/>
    <w:rsid w:val="006C738A"/>
    <w:rsid w:val="006C74CC"/>
    <w:rsid w:val="006C7513"/>
    <w:rsid w:val="006D098A"/>
    <w:rsid w:val="006D0A79"/>
    <w:rsid w:val="006D0D03"/>
    <w:rsid w:val="006D0D12"/>
    <w:rsid w:val="006D1276"/>
    <w:rsid w:val="006D1970"/>
    <w:rsid w:val="006D222D"/>
    <w:rsid w:val="006D2552"/>
    <w:rsid w:val="006D2C11"/>
    <w:rsid w:val="006D34F6"/>
    <w:rsid w:val="006D358C"/>
    <w:rsid w:val="006D3BFE"/>
    <w:rsid w:val="006D40BD"/>
    <w:rsid w:val="006D40FA"/>
    <w:rsid w:val="006D4349"/>
    <w:rsid w:val="006D4437"/>
    <w:rsid w:val="006D47EA"/>
    <w:rsid w:val="006D52F4"/>
    <w:rsid w:val="006D55FB"/>
    <w:rsid w:val="006D5A15"/>
    <w:rsid w:val="006D5BB4"/>
    <w:rsid w:val="006D6B00"/>
    <w:rsid w:val="006D6E79"/>
    <w:rsid w:val="006D70C9"/>
    <w:rsid w:val="006D76DE"/>
    <w:rsid w:val="006E01C9"/>
    <w:rsid w:val="006E06DD"/>
    <w:rsid w:val="006E07A9"/>
    <w:rsid w:val="006E0AA9"/>
    <w:rsid w:val="006E0D0C"/>
    <w:rsid w:val="006E0D58"/>
    <w:rsid w:val="006E0E07"/>
    <w:rsid w:val="006E1AAC"/>
    <w:rsid w:val="006E25B8"/>
    <w:rsid w:val="006E28B5"/>
    <w:rsid w:val="006E2B13"/>
    <w:rsid w:val="006E3ADC"/>
    <w:rsid w:val="006E3B7B"/>
    <w:rsid w:val="006E435E"/>
    <w:rsid w:val="006E4747"/>
    <w:rsid w:val="006E48B3"/>
    <w:rsid w:val="006E574E"/>
    <w:rsid w:val="006E5789"/>
    <w:rsid w:val="006E5C16"/>
    <w:rsid w:val="006E6153"/>
    <w:rsid w:val="006E6923"/>
    <w:rsid w:val="006E6F86"/>
    <w:rsid w:val="006E799A"/>
    <w:rsid w:val="006F0126"/>
    <w:rsid w:val="006F0A4F"/>
    <w:rsid w:val="006F16C4"/>
    <w:rsid w:val="006F1CFC"/>
    <w:rsid w:val="006F1D09"/>
    <w:rsid w:val="006F1D13"/>
    <w:rsid w:val="006F3A56"/>
    <w:rsid w:val="006F3EAC"/>
    <w:rsid w:val="006F4105"/>
    <w:rsid w:val="006F4E98"/>
    <w:rsid w:val="006F5112"/>
    <w:rsid w:val="006F5E4D"/>
    <w:rsid w:val="006F65B4"/>
    <w:rsid w:val="006F7324"/>
    <w:rsid w:val="006F7563"/>
    <w:rsid w:val="006F7C0E"/>
    <w:rsid w:val="0070010C"/>
    <w:rsid w:val="00700B25"/>
    <w:rsid w:val="00700C67"/>
    <w:rsid w:val="00701B13"/>
    <w:rsid w:val="007028D6"/>
    <w:rsid w:val="00702D5A"/>
    <w:rsid w:val="007041FC"/>
    <w:rsid w:val="00704322"/>
    <w:rsid w:val="007044B2"/>
    <w:rsid w:val="00704E31"/>
    <w:rsid w:val="00705000"/>
    <w:rsid w:val="007053C0"/>
    <w:rsid w:val="0070545D"/>
    <w:rsid w:val="00705BC1"/>
    <w:rsid w:val="00705ED4"/>
    <w:rsid w:val="00705EF7"/>
    <w:rsid w:val="00705F00"/>
    <w:rsid w:val="0070628D"/>
    <w:rsid w:val="007067A5"/>
    <w:rsid w:val="007070B9"/>
    <w:rsid w:val="00707945"/>
    <w:rsid w:val="00707BDB"/>
    <w:rsid w:val="00707E5F"/>
    <w:rsid w:val="00710680"/>
    <w:rsid w:val="00712187"/>
    <w:rsid w:val="007124EA"/>
    <w:rsid w:val="00713345"/>
    <w:rsid w:val="0071364A"/>
    <w:rsid w:val="0071407D"/>
    <w:rsid w:val="0071428C"/>
    <w:rsid w:val="0071486B"/>
    <w:rsid w:val="00714925"/>
    <w:rsid w:val="00714D72"/>
    <w:rsid w:val="00715B87"/>
    <w:rsid w:val="00715D5E"/>
    <w:rsid w:val="00715EA6"/>
    <w:rsid w:val="00716E7B"/>
    <w:rsid w:val="00716E89"/>
    <w:rsid w:val="00717DC1"/>
    <w:rsid w:val="00720E05"/>
    <w:rsid w:val="00721499"/>
    <w:rsid w:val="007224C2"/>
    <w:rsid w:val="007237DF"/>
    <w:rsid w:val="00723B25"/>
    <w:rsid w:val="007242A6"/>
    <w:rsid w:val="007246FF"/>
    <w:rsid w:val="00725251"/>
    <w:rsid w:val="0072568B"/>
    <w:rsid w:val="00726113"/>
    <w:rsid w:val="0072663A"/>
    <w:rsid w:val="0072678B"/>
    <w:rsid w:val="007274F7"/>
    <w:rsid w:val="00727553"/>
    <w:rsid w:val="0072770D"/>
    <w:rsid w:val="007279DB"/>
    <w:rsid w:val="00730924"/>
    <w:rsid w:val="00730A78"/>
    <w:rsid w:val="00730C20"/>
    <w:rsid w:val="00730E14"/>
    <w:rsid w:val="00730EEA"/>
    <w:rsid w:val="0073115E"/>
    <w:rsid w:val="007311A4"/>
    <w:rsid w:val="0073185F"/>
    <w:rsid w:val="00731AC8"/>
    <w:rsid w:val="00732664"/>
    <w:rsid w:val="00732BC5"/>
    <w:rsid w:val="00733131"/>
    <w:rsid w:val="007365D5"/>
    <w:rsid w:val="007368C7"/>
    <w:rsid w:val="00737AFD"/>
    <w:rsid w:val="007416ED"/>
    <w:rsid w:val="00741A3D"/>
    <w:rsid w:val="00742474"/>
    <w:rsid w:val="007435D4"/>
    <w:rsid w:val="00743C5E"/>
    <w:rsid w:val="00745AAA"/>
    <w:rsid w:val="00745C0D"/>
    <w:rsid w:val="00746404"/>
    <w:rsid w:val="0074658B"/>
    <w:rsid w:val="00746BEF"/>
    <w:rsid w:val="007479E3"/>
    <w:rsid w:val="00750080"/>
    <w:rsid w:val="00750407"/>
    <w:rsid w:val="007504CA"/>
    <w:rsid w:val="007505B5"/>
    <w:rsid w:val="007507F0"/>
    <w:rsid w:val="00750B7D"/>
    <w:rsid w:val="00750D4D"/>
    <w:rsid w:val="0075100A"/>
    <w:rsid w:val="0075110B"/>
    <w:rsid w:val="007519EB"/>
    <w:rsid w:val="00752642"/>
    <w:rsid w:val="007529C8"/>
    <w:rsid w:val="00753258"/>
    <w:rsid w:val="00753C6F"/>
    <w:rsid w:val="00753FC5"/>
    <w:rsid w:val="00754BFD"/>
    <w:rsid w:val="00755803"/>
    <w:rsid w:val="00755C5B"/>
    <w:rsid w:val="0075610F"/>
    <w:rsid w:val="00756C28"/>
    <w:rsid w:val="00757686"/>
    <w:rsid w:val="007576B6"/>
    <w:rsid w:val="00757953"/>
    <w:rsid w:val="007604E3"/>
    <w:rsid w:val="007605C4"/>
    <w:rsid w:val="00760AC3"/>
    <w:rsid w:val="00761278"/>
    <w:rsid w:val="00761861"/>
    <w:rsid w:val="00761BCD"/>
    <w:rsid w:val="007626CA"/>
    <w:rsid w:val="007639E6"/>
    <w:rsid w:val="007644C4"/>
    <w:rsid w:val="007651CC"/>
    <w:rsid w:val="00766031"/>
    <w:rsid w:val="007660C3"/>
    <w:rsid w:val="00766A6B"/>
    <w:rsid w:val="00766A6F"/>
    <w:rsid w:val="00766C72"/>
    <w:rsid w:val="00770016"/>
    <w:rsid w:val="0077044A"/>
    <w:rsid w:val="0077087C"/>
    <w:rsid w:val="00770A33"/>
    <w:rsid w:val="00771FEB"/>
    <w:rsid w:val="007723B3"/>
    <w:rsid w:val="00773286"/>
    <w:rsid w:val="00773688"/>
    <w:rsid w:val="00773A53"/>
    <w:rsid w:val="00773DED"/>
    <w:rsid w:val="00773F50"/>
    <w:rsid w:val="007743DF"/>
    <w:rsid w:val="00774445"/>
    <w:rsid w:val="00774758"/>
    <w:rsid w:val="00774900"/>
    <w:rsid w:val="0077490D"/>
    <w:rsid w:val="00774A68"/>
    <w:rsid w:val="00774FCE"/>
    <w:rsid w:val="007754F3"/>
    <w:rsid w:val="00775A51"/>
    <w:rsid w:val="00776039"/>
    <w:rsid w:val="00776676"/>
    <w:rsid w:val="00776780"/>
    <w:rsid w:val="00776E3B"/>
    <w:rsid w:val="0077729D"/>
    <w:rsid w:val="007779C5"/>
    <w:rsid w:val="0078070A"/>
    <w:rsid w:val="00780DA7"/>
    <w:rsid w:val="00782089"/>
    <w:rsid w:val="00782139"/>
    <w:rsid w:val="00782233"/>
    <w:rsid w:val="00782C2A"/>
    <w:rsid w:val="00782FE9"/>
    <w:rsid w:val="00783A88"/>
    <w:rsid w:val="00783B99"/>
    <w:rsid w:val="00785C72"/>
    <w:rsid w:val="0078647E"/>
    <w:rsid w:val="00786F31"/>
    <w:rsid w:val="00787C29"/>
    <w:rsid w:val="00787D8C"/>
    <w:rsid w:val="00791509"/>
    <w:rsid w:val="00791D6E"/>
    <w:rsid w:val="00792832"/>
    <w:rsid w:val="007930EE"/>
    <w:rsid w:val="007937E9"/>
    <w:rsid w:val="00793803"/>
    <w:rsid w:val="0079536F"/>
    <w:rsid w:val="0079540E"/>
    <w:rsid w:val="00795C61"/>
    <w:rsid w:val="00795C9B"/>
    <w:rsid w:val="00795EB3"/>
    <w:rsid w:val="00796800"/>
    <w:rsid w:val="00796EC7"/>
    <w:rsid w:val="007A0330"/>
    <w:rsid w:val="007A05FB"/>
    <w:rsid w:val="007A0729"/>
    <w:rsid w:val="007A0737"/>
    <w:rsid w:val="007A07B3"/>
    <w:rsid w:val="007A2520"/>
    <w:rsid w:val="007A387C"/>
    <w:rsid w:val="007A3C7C"/>
    <w:rsid w:val="007A3CC0"/>
    <w:rsid w:val="007A3E0E"/>
    <w:rsid w:val="007A404E"/>
    <w:rsid w:val="007A494C"/>
    <w:rsid w:val="007A4A95"/>
    <w:rsid w:val="007A4DB4"/>
    <w:rsid w:val="007A545A"/>
    <w:rsid w:val="007A5992"/>
    <w:rsid w:val="007A6C38"/>
    <w:rsid w:val="007A71FC"/>
    <w:rsid w:val="007A7C74"/>
    <w:rsid w:val="007B017D"/>
    <w:rsid w:val="007B060D"/>
    <w:rsid w:val="007B119A"/>
    <w:rsid w:val="007B14E9"/>
    <w:rsid w:val="007B1C78"/>
    <w:rsid w:val="007B2019"/>
    <w:rsid w:val="007B292F"/>
    <w:rsid w:val="007B4245"/>
    <w:rsid w:val="007B487E"/>
    <w:rsid w:val="007B4A46"/>
    <w:rsid w:val="007B4B58"/>
    <w:rsid w:val="007B6A85"/>
    <w:rsid w:val="007B6BB1"/>
    <w:rsid w:val="007C13AF"/>
    <w:rsid w:val="007C18AD"/>
    <w:rsid w:val="007C22C0"/>
    <w:rsid w:val="007C28C7"/>
    <w:rsid w:val="007C2911"/>
    <w:rsid w:val="007C3B19"/>
    <w:rsid w:val="007C44D2"/>
    <w:rsid w:val="007C4A65"/>
    <w:rsid w:val="007C4C02"/>
    <w:rsid w:val="007C6689"/>
    <w:rsid w:val="007C7187"/>
    <w:rsid w:val="007C722C"/>
    <w:rsid w:val="007C7A39"/>
    <w:rsid w:val="007D010D"/>
    <w:rsid w:val="007D02F4"/>
    <w:rsid w:val="007D0737"/>
    <w:rsid w:val="007D076B"/>
    <w:rsid w:val="007D2307"/>
    <w:rsid w:val="007D270C"/>
    <w:rsid w:val="007D408D"/>
    <w:rsid w:val="007D50E7"/>
    <w:rsid w:val="007D5A7F"/>
    <w:rsid w:val="007D5B75"/>
    <w:rsid w:val="007D5CEC"/>
    <w:rsid w:val="007D67FE"/>
    <w:rsid w:val="007D6837"/>
    <w:rsid w:val="007E0099"/>
    <w:rsid w:val="007E0D94"/>
    <w:rsid w:val="007E2043"/>
    <w:rsid w:val="007E2081"/>
    <w:rsid w:val="007E25EF"/>
    <w:rsid w:val="007E2871"/>
    <w:rsid w:val="007E303C"/>
    <w:rsid w:val="007E3AE2"/>
    <w:rsid w:val="007E4489"/>
    <w:rsid w:val="007E465C"/>
    <w:rsid w:val="007E4986"/>
    <w:rsid w:val="007E5555"/>
    <w:rsid w:val="007E5700"/>
    <w:rsid w:val="007E5DBB"/>
    <w:rsid w:val="007E5DBC"/>
    <w:rsid w:val="007E5EA3"/>
    <w:rsid w:val="007E69AA"/>
    <w:rsid w:val="007E6A15"/>
    <w:rsid w:val="007E760A"/>
    <w:rsid w:val="007E7B7E"/>
    <w:rsid w:val="007F0753"/>
    <w:rsid w:val="007F11A5"/>
    <w:rsid w:val="007F1446"/>
    <w:rsid w:val="007F1E6E"/>
    <w:rsid w:val="007F2AD6"/>
    <w:rsid w:val="007F2D86"/>
    <w:rsid w:val="007F362F"/>
    <w:rsid w:val="007F38D6"/>
    <w:rsid w:val="007F3B9D"/>
    <w:rsid w:val="007F5553"/>
    <w:rsid w:val="007F55D6"/>
    <w:rsid w:val="007F5A75"/>
    <w:rsid w:val="007F5C83"/>
    <w:rsid w:val="007F5F49"/>
    <w:rsid w:val="007F6306"/>
    <w:rsid w:val="007F705B"/>
    <w:rsid w:val="0080039A"/>
    <w:rsid w:val="00800CAE"/>
    <w:rsid w:val="0080192C"/>
    <w:rsid w:val="00801CB3"/>
    <w:rsid w:val="00801D06"/>
    <w:rsid w:val="00801F6B"/>
    <w:rsid w:val="00802104"/>
    <w:rsid w:val="008021A4"/>
    <w:rsid w:val="00802CCE"/>
    <w:rsid w:val="00802D74"/>
    <w:rsid w:val="00802EC7"/>
    <w:rsid w:val="00803265"/>
    <w:rsid w:val="00804D36"/>
    <w:rsid w:val="00804E31"/>
    <w:rsid w:val="0080501D"/>
    <w:rsid w:val="0080664D"/>
    <w:rsid w:val="00806C14"/>
    <w:rsid w:val="008070C1"/>
    <w:rsid w:val="0081054D"/>
    <w:rsid w:val="00810759"/>
    <w:rsid w:val="008111A4"/>
    <w:rsid w:val="008111CD"/>
    <w:rsid w:val="008113F8"/>
    <w:rsid w:val="0081148E"/>
    <w:rsid w:val="0081149A"/>
    <w:rsid w:val="00811E54"/>
    <w:rsid w:val="00811E8B"/>
    <w:rsid w:val="008124CC"/>
    <w:rsid w:val="00813D0D"/>
    <w:rsid w:val="008141E4"/>
    <w:rsid w:val="008147B1"/>
    <w:rsid w:val="00814C7C"/>
    <w:rsid w:val="0081542F"/>
    <w:rsid w:val="00815DE6"/>
    <w:rsid w:val="00816930"/>
    <w:rsid w:val="0081791B"/>
    <w:rsid w:val="00817B9A"/>
    <w:rsid w:val="00817FC1"/>
    <w:rsid w:val="0082065A"/>
    <w:rsid w:val="00820BCD"/>
    <w:rsid w:val="00820C98"/>
    <w:rsid w:val="008212DA"/>
    <w:rsid w:val="00821869"/>
    <w:rsid w:val="00822005"/>
    <w:rsid w:val="00822438"/>
    <w:rsid w:val="008228AE"/>
    <w:rsid w:val="00822934"/>
    <w:rsid w:val="00822B79"/>
    <w:rsid w:val="00822E04"/>
    <w:rsid w:val="008231EF"/>
    <w:rsid w:val="00823EEB"/>
    <w:rsid w:val="00824251"/>
    <w:rsid w:val="008244FB"/>
    <w:rsid w:val="00825C42"/>
    <w:rsid w:val="00825CDA"/>
    <w:rsid w:val="00826154"/>
    <w:rsid w:val="008267D6"/>
    <w:rsid w:val="00826B23"/>
    <w:rsid w:val="00826B67"/>
    <w:rsid w:val="00827188"/>
    <w:rsid w:val="00832948"/>
    <w:rsid w:val="00832BBF"/>
    <w:rsid w:val="00832CF4"/>
    <w:rsid w:val="00832FE8"/>
    <w:rsid w:val="00833AE2"/>
    <w:rsid w:val="00834213"/>
    <w:rsid w:val="00834591"/>
    <w:rsid w:val="0083488F"/>
    <w:rsid w:val="00834E20"/>
    <w:rsid w:val="00835073"/>
    <w:rsid w:val="00835592"/>
    <w:rsid w:val="00835904"/>
    <w:rsid w:val="00835FBA"/>
    <w:rsid w:val="00836091"/>
    <w:rsid w:val="00836DB9"/>
    <w:rsid w:val="00837322"/>
    <w:rsid w:val="008376FA"/>
    <w:rsid w:val="008378C3"/>
    <w:rsid w:val="00840366"/>
    <w:rsid w:val="00841705"/>
    <w:rsid w:val="00842802"/>
    <w:rsid w:val="008430B1"/>
    <w:rsid w:val="008433BF"/>
    <w:rsid w:val="0084390B"/>
    <w:rsid w:val="0084394F"/>
    <w:rsid w:val="00843B2E"/>
    <w:rsid w:val="0084534C"/>
    <w:rsid w:val="00845466"/>
    <w:rsid w:val="008464ED"/>
    <w:rsid w:val="00846B9A"/>
    <w:rsid w:val="00847070"/>
    <w:rsid w:val="0084738E"/>
    <w:rsid w:val="00847992"/>
    <w:rsid w:val="008501B1"/>
    <w:rsid w:val="00850D50"/>
    <w:rsid w:val="00850DAC"/>
    <w:rsid w:val="008513DB"/>
    <w:rsid w:val="00852055"/>
    <w:rsid w:val="00852350"/>
    <w:rsid w:val="00852399"/>
    <w:rsid w:val="00852658"/>
    <w:rsid w:val="0085308A"/>
    <w:rsid w:val="0085350F"/>
    <w:rsid w:val="008539A7"/>
    <w:rsid w:val="00853B92"/>
    <w:rsid w:val="00854287"/>
    <w:rsid w:val="008554F2"/>
    <w:rsid w:val="00855501"/>
    <w:rsid w:val="0085555D"/>
    <w:rsid w:val="00855ABD"/>
    <w:rsid w:val="00855FA3"/>
    <w:rsid w:val="0085607D"/>
    <w:rsid w:val="00856860"/>
    <w:rsid w:val="00856B29"/>
    <w:rsid w:val="00856D63"/>
    <w:rsid w:val="008574ED"/>
    <w:rsid w:val="00861183"/>
    <w:rsid w:val="00861421"/>
    <w:rsid w:val="00861589"/>
    <w:rsid w:val="0086198D"/>
    <w:rsid w:val="00862763"/>
    <w:rsid w:val="008629B1"/>
    <w:rsid w:val="00862BFD"/>
    <w:rsid w:val="00862F5F"/>
    <w:rsid w:val="008635CB"/>
    <w:rsid w:val="008644EC"/>
    <w:rsid w:val="00864E44"/>
    <w:rsid w:val="0086509A"/>
    <w:rsid w:val="00865197"/>
    <w:rsid w:val="00866235"/>
    <w:rsid w:val="0086680C"/>
    <w:rsid w:val="00867187"/>
    <w:rsid w:val="008671E0"/>
    <w:rsid w:val="00867B12"/>
    <w:rsid w:val="00867C2E"/>
    <w:rsid w:val="00870404"/>
    <w:rsid w:val="00870AE9"/>
    <w:rsid w:val="00870F52"/>
    <w:rsid w:val="00871B68"/>
    <w:rsid w:val="00872954"/>
    <w:rsid w:val="00873607"/>
    <w:rsid w:val="00873796"/>
    <w:rsid w:val="00873B2D"/>
    <w:rsid w:val="00874A78"/>
    <w:rsid w:val="00874ADF"/>
    <w:rsid w:val="00874E46"/>
    <w:rsid w:val="0087596F"/>
    <w:rsid w:val="00876248"/>
    <w:rsid w:val="0087680F"/>
    <w:rsid w:val="008769EF"/>
    <w:rsid w:val="008776C9"/>
    <w:rsid w:val="00880BC0"/>
    <w:rsid w:val="00880CBA"/>
    <w:rsid w:val="00880D95"/>
    <w:rsid w:val="00881270"/>
    <w:rsid w:val="00881915"/>
    <w:rsid w:val="00881C35"/>
    <w:rsid w:val="008829D8"/>
    <w:rsid w:val="008836A6"/>
    <w:rsid w:val="00883A55"/>
    <w:rsid w:val="00883DBC"/>
    <w:rsid w:val="00883F08"/>
    <w:rsid w:val="008847B1"/>
    <w:rsid w:val="008847D6"/>
    <w:rsid w:val="00884DC3"/>
    <w:rsid w:val="00885B23"/>
    <w:rsid w:val="00886317"/>
    <w:rsid w:val="008868EF"/>
    <w:rsid w:val="008870C1"/>
    <w:rsid w:val="0088769C"/>
    <w:rsid w:val="00887874"/>
    <w:rsid w:val="00887D82"/>
    <w:rsid w:val="00890704"/>
    <w:rsid w:val="00890CD9"/>
    <w:rsid w:val="00891246"/>
    <w:rsid w:val="00891768"/>
    <w:rsid w:val="008921CA"/>
    <w:rsid w:val="008925D1"/>
    <w:rsid w:val="008925EB"/>
    <w:rsid w:val="0089314C"/>
    <w:rsid w:val="00893606"/>
    <w:rsid w:val="00894369"/>
    <w:rsid w:val="00894AD3"/>
    <w:rsid w:val="00895697"/>
    <w:rsid w:val="00895DAB"/>
    <w:rsid w:val="008960CC"/>
    <w:rsid w:val="0089661B"/>
    <w:rsid w:val="008970AB"/>
    <w:rsid w:val="0089713D"/>
    <w:rsid w:val="008973D9"/>
    <w:rsid w:val="008974F0"/>
    <w:rsid w:val="008A0986"/>
    <w:rsid w:val="008A0C69"/>
    <w:rsid w:val="008A0D6A"/>
    <w:rsid w:val="008A2E37"/>
    <w:rsid w:val="008A2FEA"/>
    <w:rsid w:val="008A30C6"/>
    <w:rsid w:val="008A3EE7"/>
    <w:rsid w:val="008A3F50"/>
    <w:rsid w:val="008A41EF"/>
    <w:rsid w:val="008A4780"/>
    <w:rsid w:val="008A4F23"/>
    <w:rsid w:val="008A5046"/>
    <w:rsid w:val="008A69D5"/>
    <w:rsid w:val="008A6F4D"/>
    <w:rsid w:val="008A7354"/>
    <w:rsid w:val="008A7874"/>
    <w:rsid w:val="008A78A6"/>
    <w:rsid w:val="008B0CA4"/>
    <w:rsid w:val="008B10AE"/>
    <w:rsid w:val="008B1693"/>
    <w:rsid w:val="008B1E76"/>
    <w:rsid w:val="008B2365"/>
    <w:rsid w:val="008B269D"/>
    <w:rsid w:val="008B3453"/>
    <w:rsid w:val="008B35D3"/>
    <w:rsid w:val="008B43E2"/>
    <w:rsid w:val="008B4522"/>
    <w:rsid w:val="008B4673"/>
    <w:rsid w:val="008B5563"/>
    <w:rsid w:val="008B796E"/>
    <w:rsid w:val="008B7F11"/>
    <w:rsid w:val="008C06A4"/>
    <w:rsid w:val="008C0B04"/>
    <w:rsid w:val="008C0D76"/>
    <w:rsid w:val="008C183E"/>
    <w:rsid w:val="008C1AF9"/>
    <w:rsid w:val="008C1E60"/>
    <w:rsid w:val="008C2329"/>
    <w:rsid w:val="008C3C82"/>
    <w:rsid w:val="008C4146"/>
    <w:rsid w:val="008C47CD"/>
    <w:rsid w:val="008C4811"/>
    <w:rsid w:val="008C555B"/>
    <w:rsid w:val="008C59F4"/>
    <w:rsid w:val="008C5C76"/>
    <w:rsid w:val="008C613F"/>
    <w:rsid w:val="008C69C8"/>
    <w:rsid w:val="008C6E41"/>
    <w:rsid w:val="008C7CE2"/>
    <w:rsid w:val="008D00F7"/>
    <w:rsid w:val="008D0DAE"/>
    <w:rsid w:val="008D1727"/>
    <w:rsid w:val="008D18AA"/>
    <w:rsid w:val="008D1F6C"/>
    <w:rsid w:val="008D3158"/>
    <w:rsid w:val="008D407E"/>
    <w:rsid w:val="008D40C7"/>
    <w:rsid w:val="008D4192"/>
    <w:rsid w:val="008D5624"/>
    <w:rsid w:val="008D6C80"/>
    <w:rsid w:val="008D7273"/>
    <w:rsid w:val="008D72F0"/>
    <w:rsid w:val="008D75B6"/>
    <w:rsid w:val="008D79C2"/>
    <w:rsid w:val="008E01AF"/>
    <w:rsid w:val="008E04DA"/>
    <w:rsid w:val="008E07BE"/>
    <w:rsid w:val="008E1244"/>
    <w:rsid w:val="008E2697"/>
    <w:rsid w:val="008E29A0"/>
    <w:rsid w:val="008E311D"/>
    <w:rsid w:val="008E3ED4"/>
    <w:rsid w:val="008E3F02"/>
    <w:rsid w:val="008E40EE"/>
    <w:rsid w:val="008E4C8D"/>
    <w:rsid w:val="008E549E"/>
    <w:rsid w:val="008E54C1"/>
    <w:rsid w:val="008E55C8"/>
    <w:rsid w:val="008E576E"/>
    <w:rsid w:val="008E6E2D"/>
    <w:rsid w:val="008E72C3"/>
    <w:rsid w:val="008E7389"/>
    <w:rsid w:val="008E73F5"/>
    <w:rsid w:val="008E7769"/>
    <w:rsid w:val="008E7B02"/>
    <w:rsid w:val="008F06C2"/>
    <w:rsid w:val="008F06D4"/>
    <w:rsid w:val="008F0A41"/>
    <w:rsid w:val="008F0D0A"/>
    <w:rsid w:val="008F1416"/>
    <w:rsid w:val="008F188D"/>
    <w:rsid w:val="008F1997"/>
    <w:rsid w:val="008F1B0C"/>
    <w:rsid w:val="008F39C0"/>
    <w:rsid w:val="008F4D25"/>
    <w:rsid w:val="008F52EA"/>
    <w:rsid w:val="008F5922"/>
    <w:rsid w:val="008F59F8"/>
    <w:rsid w:val="008F6209"/>
    <w:rsid w:val="008F6373"/>
    <w:rsid w:val="008F6EC4"/>
    <w:rsid w:val="00900074"/>
    <w:rsid w:val="009021A4"/>
    <w:rsid w:val="00902CD9"/>
    <w:rsid w:val="00902F27"/>
    <w:rsid w:val="00902F91"/>
    <w:rsid w:val="009032E9"/>
    <w:rsid w:val="00903807"/>
    <w:rsid w:val="00903974"/>
    <w:rsid w:val="0090444F"/>
    <w:rsid w:val="0090457F"/>
    <w:rsid w:val="00904ADA"/>
    <w:rsid w:val="0090583D"/>
    <w:rsid w:val="00905A86"/>
    <w:rsid w:val="00905C6C"/>
    <w:rsid w:val="00906004"/>
    <w:rsid w:val="00906032"/>
    <w:rsid w:val="00906683"/>
    <w:rsid w:val="009066BC"/>
    <w:rsid w:val="00906AA3"/>
    <w:rsid w:val="00906CC2"/>
    <w:rsid w:val="00906F02"/>
    <w:rsid w:val="00907A5F"/>
    <w:rsid w:val="00907A98"/>
    <w:rsid w:val="00907F93"/>
    <w:rsid w:val="009101F2"/>
    <w:rsid w:val="009105BB"/>
    <w:rsid w:val="00910BBF"/>
    <w:rsid w:val="0091146C"/>
    <w:rsid w:val="009122A8"/>
    <w:rsid w:val="00913059"/>
    <w:rsid w:val="00913BCA"/>
    <w:rsid w:val="009142C5"/>
    <w:rsid w:val="00914709"/>
    <w:rsid w:val="00914B9D"/>
    <w:rsid w:val="00914D76"/>
    <w:rsid w:val="00915874"/>
    <w:rsid w:val="00915D32"/>
    <w:rsid w:val="009160C3"/>
    <w:rsid w:val="00916464"/>
    <w:rsid w:val="00916DFD"/>
    <w:rsid w:val="009171A9"/>
    <w:rsid w:val="009171C2"/>
    <w:rsid w:val="0091726A"/>
    <w:rsid w:val="00920696"/>
    <w:rsid w:val="00920A67"/>
    <w:rsid w:val="00920C82"/>
    <w:rsid w:val="00923861"/>
    <w:rsid w:val="00923DB2"/>
    <w:rsid w:val="009241A4"/>
    <w:rsid w:val="00924729"/>
    <w:rsid w:val="00924A1F"/>
    <w:rsid w:val="009252FF"/>
    <w:rsid w:val="0092546F"/>
    <w:rsid w:val="0092644F"/>
    <w:rsid w:val="009278B4"/>
    <w:rsid w:val="00927A88"/>
    <w:rsid w:val="00930B39"/>
    <w:rsid w:val="00931283"/>
    <w:rsid w:val="0093174C"/>
    <w:rsid w:val="009347F9"/>
    <w:rsid w:val="00934AE3"/>
    <w:rsid w:val="009351B7"/>
    <w:rsid w:val="009357D5"/>
    <w:rsid w:val="00935AEA"/>
    <w:rsid w:val="00935B2A"/>
    <w:rsid w:val="00936271"/>
    <w:rsid w:val="0093698A"/>
    <w:rsid w:val="00936D8F"/>
    <w:rsid w:val="00936F2B"/>
    <w:rsid w:val="00936FA5"/>
    <w:rsid w:val="00936FFD"/>
    <w:rsid w:val="0093700E"/>
    <w:rsid w:val="0093793B"/>
    <w:rsid w:val="009402EF"/>
    <w:rsid w:val="0094115A"/>
    <w:rsid w:val="00941C12"/>
    <w:rsid w:val="009420E5"/>
    <w:rsid w:val="009429BB"/>
    <w:rsid w:val="00942D50"/>
    <w:rsid w:val="00943371"/>
    <w:rsid w:val="009447A1"/>
    <w:rsid w:val="009454F8"/>
    <w:rsid w:val="0094557A"/>
    <w:rsid w:val="00945EDB"/>
    <w:rsid w:val="00946252"/>
    <w:rsid w:val="009500F7"/>
    <w:rsid w:val="009512BF"/>
    <w:rsid w:val="009520CE"/>
    <w:rsid w:val="00952331"/>
    <w:rsid w:val="0095313E"/>
    <w:rsid w:val="009548EB"/>
    <w:rsid w:val="0095490C"/>
    <w:rsid w:val="00954E14"/>
    <w:rsid w:val="00954E39"/>
    <w:rsid w:val="009554B0"/>
    <w:rsid w:val="00955EDB"/>
    <w:rsid w:val="00956103"/>
    <w:rsid w:val="009568C8"/>
    <w:rsid w:val="00956CB6"/>
    <w:rsid w:val="009570A4"/>
    <w:rsid w:val="009571C2"/>
    <w:rsid w:val="00960591"/>
    <w:rsid w:val="00960F24"/>
    <w:rsid w:val="00960FFA"/>
    <w:rsid w:val="0096223A"/>
    <w:rsid w:val="0096255D"/>
    <w:rsid w:val="00963067"/>
    <w:rsid w:val="009632D8"/>
    <w:rsid w:val="00963D31"/>
    <w:rsid w:val="009642AA"/>
    <w:rsid w:val="00964DEE"/>
    <w:rsid w:val="00964F8F"/>
    <w:rsid w:val="009656BB"/>
    <w:rsid w:val="00965FF3"/>
    <w:rsid w:val="00967620"/>
    <w:rsid w:val="00967BE4"/>
    <w:rsid w:val="00967ED0"/>
    <w:rsid w:val="009703A1"/>
    <w:rsid w:val="00970951"/>
    <w:rsid w:val="00970F32"/>
    <w:rsid w:val="00970FBE"/>
    <w:rsid w:val="00972557"/>
    <w:rsid w:val="0097295F"/>
    <w:rsid w:val="00972985"/>
    <w:rsid w:val="00972DA9"/>
    <w:rsid w:val="009738AB"/>
    <w:rsid w:val="00973CD7"/>
    <w:rsid w:val="00973F57"/>
    <w:rsid w:val="009744D9"/>
    <w:rsid w:val="00975574"/>
    <w:rsid w:val="00976461"/>
    <w:rsid w:val="00976711"/>
    <w:rsid w:val="00976F9E"/>
    <w:rsid w:val="0097773E"/>
    <w:rsid w:val="00980F21"/>
    <w:rsid w:val="00981B0E"/>
    <w:rsid w:val="00981B83"/>
    <w:rsid w:val="00981BA4"/>
    <w:rsid w:val="009824F7"/>
    <w:rsid w:val="00983957"/>
    <w:rsid w:val="00984084"/>
    <w:rsid w:val="00984C5D"/>
    <w:rsid w:val="00984F18"/>
    <w:rsid w:val="0098534D"/>
    <w:rsid w:val="00985436"/>
    <w:rsid w:val="00985486"/>
    <w:rsid w:val="00985557"/>
    <w:rsid w:val="009855C0"/>
    <w:rsid w:val="00985716"/>
    <w:rsid w:val="00985832"/>
    <w:rsid w:val="00985AC2"/>
    <w:rsid w:val="00987304"/>
    <w:rsid w:val="00987546"/>
    <w:rsid w:val="009877FF"/>
    <w:rsid w:val="00987BA0"/>
    <w:rsid w:val="0099062E"/>
    <w:rsid w:val="00990C07"/>
    <w:rsid w:val="0099156F"/>
    <w:rsid w:val="0099175C"/>
    <w:rsid w:val="009926C2"/>
    <w:rsid w:val="00992F7B"/>
    <w:rsid w:val="00993324"/>
    <w:rsid w:val="00993406"/>
    <w:rsid w:val="0099419A"/>
    <w:rsid w:val="0099429B"/>
    <w:rsid w:val="00994A2E"/>
    <w:rsid w:val="00994A72"/>
    <w:rsid w:val="0099650A"/>
    <w:rsid w:val="00996AC5"/>
    <w:rsid w:val="00997769"/>
    <w:rsid w:val="009978F8"/>
    <w:rsid w:val="009A0338"/>
    <w:rsid w:val="009A1724"/>
    <w:rsid w:val="009A37F3"/>
    <w:rsid w:val="009A3EAD"/>
    <w:rsid w:val="009A47D1"/>
    <w:rsid w:val="009A4EF9"/>
    <w:rsid w:val="009A541C"/>
    <w:rsid w:val="009A5FB3"/>
    <w:rsid w:val="009A6C7A"/>
    <w:rsid w:val="009A7F42"/>
    <w:rsid w:val="009B0CFD"/>
    <w:rsid w:val="009B109F"/>
    <w:rsid w:val="009B1A4C"/>
    <w:rsid w:val="009B25AE"/>
    <w:rsid w:val="009B29D4"/>
    <w:rsid w:val="009B2B73"/>
    <w:rsid w:val="009B2B7E"/>
    <w:rsid w:val="009B2C62"/>
    <w:rsid w:val="009B38B6"/>
    <w:rsid w:val="009B4175"/>
    <w:rsid w:val="009B46D5"/>
    <w:rsid w:val="009B4FB4"/>
    <w:rsid w:val="009B5814"/>
    <w:rsid w:val="009B5F6F"/>
    <w:rsid w:val="009B6038"/>
    <w:rsid w:val="009B6565"/>
    <w:rsid w:val="009B6A76"/>
    <w:rsid w:val="009B6C6C"/>
    <w:rsid w:val="009B711B"/>
    <w:rsid w:val="009B7A64"/>
    <w:rsid w:val="009C0634"/>
    <w:rsid w:val="009C07A7"/>
    <w:rsid w:val="009C09D0"/>
    <w:rsid w:val="009C0A12"/>
    <w:rsid w:val="009C0DE5"/>
    <w:rsid w:val="009C1300"/>
    <w:rsid w:val="009C1494"/>
    <w:rsid w:val="009C1623"/>
    <w:rsid w:val="009C1FDF"/>
    <w:rsid w:val="009C2028"/>
    <w:rsid w:val="009C29D7"/>
    <w:rsid w:val="009C2AA8"/>
    <w:rsid w:val="009C337D"/>
    <w:rsid w:val="009C34C0"/>
    <w:rsid w:val="009C39B7"/>
    <w:rsid w:val="009C3AF5"/>
    <w:rsid w:val="009C430B"/>
    <w:rsid w:val="009C56BF"/>
    <w:rsid w:val="009C5F8A"/>
    <w:rsid w:val="009C660C"/>
    <w:rsid w:val="009C66C1"/>
    <w:rsid w:val="009C7188"/>
    <w:rsid w:val="009C734E"/>
    <w:rsid w:val="009C75E4"/>
    <w:rsid w:val="009C78D7"/>
    <w:rsid w:val="009C7C42"/>
    <w:rsid w:val="009D0A7D"/>
    <w:rsid w:val="009D1A21"/>
    <w:rsid w:val="009D1F44"/>
    <w:rsid w:val="009D2B1C"/>
    <w:rsid w:val="009D2F0A"/>
    <w:rsid w:val="009D34B7"/>
    <w:rsid w:val="009D3A52"/>
    <w:rsid w:val="009D3ADC"/>
    <w:rsid w:val="009D573A"/>
    <w:rsid w:val="009D6165"/>
    <w:rsid w:val="009D631C"/>
    <w:rsid w:val="009D6398"/>
    <w:rsid w:val="009D66F1"/>
    <w:rsid w:val="009D6732"/>
    <w:rsid w:val="009D7748"/>
    <w:rsid w:val="009D77C8"/>
    <w:rsid w:val="009D7CFB"/>
    <w:rsid w:val="009E113B"/>
    <w:rsid w:val="009E277E"/>
    <w:rsid w:val="009E2FB5"/>
    <w:rsid w:val="009E3521"/>
    <w:rsid w:val="009E3618"/>
    <w:rsid w:val="009E3D5E"/>
    <w:rsid w:val="009E432B"/>
    <w:rsid w:val="009E45ED"/>
    <w:rsid w:val="009E4CF4"/>
    <w:rsid w:val="009E4ED5"/>
    <w:rsid w:val="009E5955"/>
    <w:rsid w:val="009E6467"/>
    <w:rsid w:val="009E6A19"/>
    <w:rsid w:val="009E74ED"/>
    <w:rsid w:val="009E7F6F"/>
    <w:rsid w:val="009F0012"/>
    <w:rsid w:val="009F0558"/>
    <w:rsid w:val="009F0D25"/>
    <w:rsid w:val="009F1086"/>
    <w:rsid w:val="009F12C6"/>
    <w:rsid w:val="009F1AD9"/>
    <w:rsid w:val="009F27CF"/>
    <w:rsid w:val="009F27ED"/>
    <w:rsid w:val="009F37DE"/>
    <w:rsid w:val="009F494C"/>
    <w:rsid w:val="009F52E5"/>
    <w:rsid w:val="009F5F9D"/>
    <w:rsid w:val="009F5FB1"/>
    <w:rsid w:val="009F622B"/>
    <w:rsid w:val="009F68D5"/>
    <w:rsid w:val="009F6E95"/>
    <w:rsid w:val="009F7B28"/>
    <w:rsid w:val="009F7EDC"/>
    <w:rsid w:val="00A002F3"/>
    <w:rsid w:val="00A00737"/>
    <w:rsid w:val="00A019EF"/>
    <w:rsid w:val="00A01EA5"/>
    <w:rsid w:val="00A01EE8"/>
    <w:rsid w:val="00A0254F"/>
    <w:rsid w:val="00A02805"/>
    <w:rsid w:val="00A031CF"/>
    <w:rsid w:val="00A03A4D"/>
    <w:rsid w:val="00A03B5C"/>
    <w:rsid w:val="00A03F27"/>
    <w:rsid w:val="00A067A3"/>
    <w:rsid w:val="00A06D73"/>
    <w:rsid w:val="00A070B8"/>
    <w:rsid w:val="00A07215"/>
    <w:rsid w:val="00A07612"/>
    <w:rsid w:val="00A078B8"/>
    <w:rsid w:val="00A102BE"/>
    <w:rsid w:val="00A110A9"/>
    <w:rsid w:val="00A11192"/>
    <w:rsid w:val="00A11AFE"/>
    <w:rsid w:val="00A11BEB"/>
    <w:rsid w:val="00A11EF1"/>
    <w:rsid w:val="00A12103"/>
    <w:rsid w:val="00A122CC"/>
    <w:rsid w:val="00A124E1"/>
    <w:rsid w:val="00A1257F"/>
    <w:rsid w:val="00A13EEB"/>
    <w:rsid w:val="00A14A83"/>
    <w:rsid w:val="00A151BF"/>
    <w:rsid w:val="00A15750"/>
    <w:rsid w:val="00A16479"/>
    <w:rsid w:val="00A174EE"/>
    <w:rsid w:val="00A1763C"/>
    <w:rsid w:val="00A17994"/>
    <w:rsid w:val="00A20AFD"/>
    <w:rsid w:val="00A20FF7"/>
    <w:rsid w:val="00A21249"/>
    <w:rsid w:val="00A21AC4"/>
    <w:rsid w:val="00A2204E"/>
    <w:rsid w:val="00A22578"/>
    <w:rsid w:val="00A228FA"/>
    <w:rsid w:val="00A22BDA"/>
    <w:rsid w:val="00A232C8"/>
    <w:rsid w:val="00A23369"/>
    <w:rsid w:val="00A237A6"/>
    <w:rsid w:val="00A24475"/>
    <w:rsid w:val="00A24880"/>
    <w:rsid w:val="00A257E9"/>
    <w:rsid w:val="00A266C1"/>
    <w:rsid w:val="00A26AC7"/>
    <w:rsid w:val="00A26C2A"/>
    <w:rsid w:val="00A27445"/>
    <w:rsid w:val="00A27DAD"/>
    <w:rsid w:val="00A3048E"/>
    <w:rsid w:val="00A310AB"/>
    <w:rsid w:val="00A31657"/>
    <w:rsid w:val="00A3184C"/>
    <w:rsid w:val="00A31E16"/>
    <w:rsid w:val="00A32257"/>
    <w:rsid w:val="00A323C6"/>
    <w:rsid w:val="00A334F7"/>
    <w:rsid w:val="00A33845"/>
    <w:rsid w:val="00A338BC"/>
    <w:rsid w:val="00A34BEA"/>
    <w:rsid w:val="00A364B4"/>
    <w:rsid w:val="00A3747F"/>
    <w:rsid w:val="00A378FB"/>
    <w:rsid w:val="00A40344"/>
    <w:rsid w:val="00A40DE6"/>
    <w:rsid w:val="00A41472"/>
    <w:rsid w:val="00A418FD"/>
    <w:rsid w:val="00A423CE"/>
    <w:rsid w:val="00A42E1A"/>
    <w:rsid w:val="00A42EEA"/>
    <w:rsid w:val="00A43352"/>
    <w:rsid w:val="00A449D3"/>
    <w:rsid w:val="00A45590"/>
    <w:rsid w:val="00A45BF6"/>
    <w:rsid w:val="00A45C03"/>
    <w:rsid w:val="00A461BA"/>
    <w:rsid w:val="00A46597"/>
    <w:rsid w:val="00A46C3A"/>
    <w:rsid w:val="00A47187"/>
    <w:rsid w:val="00A47B0A"/>
    <w:rsid w:val="00A50990"/>
    <w:rsid w:val="00A50B42"/>
    <w:rsid w:val="00A50E6D"/>
    <w:rsid w:val="00A5206C"/>
    <w:rsid w:val="00A52118"/>
    <w:rsid w:val="00A527E6"/>
    <w:rsid w:val="00A53548"/>
    <w:rsid w:val="00A53670"/>
    <w:rsid w:val="00A5402B"/>
    <w:rsid w:val="00A54545"/>
    <w:rsid w:val="00A54BFE"/>
    <w:rsid w:val="00A55306"/>
    <w:rsid w:val="00A55349"/>
    <w:rsid w:val="00A55475"/>
    <w:rsid w:val="00A56B92"/>
    <w:rsid w:val="00A572C0"/>
    <w:rsid w:val="00A57E2A"/>
    <w:rsid w:val="00A601C3"/>
    <w:rsid w:val="00A60952"/>
    <w:rsid w:val="00A61704"/>
    <w:rsid w:val="00A61CEE"/>
    <w:rsid w:val="00A62427"/>
    <w:rsid w:val="00A63E01"/>
    <w:rsid w:val="00A6431B"/>
    <w:rsid w:val="00A64D4F"/>
    <w:rsid w:val="00A65206"/>
    <w:rsid w:val="00A65653"/>
    <w:rsid w:val="00A65714"/>
    <w:rsid w:val="00A65A26"/>
    <w:rsid w:val="00A65BA7"/>
    <w:rsid w:val="00A65D0B"/>
    <w:rsid w:val="00A65FA9"/>
    <w:rsid w:val="00A66582"/>
    <w:rsid w:val="00A668FF"/>
    <w:rsid w:val="00A66AFD"/>
    <w:rsid w:val="00A66FB2"/>
    <w:rsid w:val="00A67D01"/>
    <w:rsid w:val="00A67E14"/>
    <w:rsid w:val="00A67E18"/>
    <w:rsid w:val="00A67EAC"/>
    <w:rsid w:val="00A7037E"/>
    <w:rsid w:val="00A70C55"/>
    <w:rsid w:val="00A71334"/>
    <w:rsid w:val="00A717E6"/>
    <w:rsid w:val="00A71924"/>
    <w:rsid w:val="00A71BCC"/>
    <w:rsid w:val="00A722D5"/>
    <w:rsid w:val="00A72870"/>
    <w:rsid w:val="00A72FA3"/>
    <w:rsid w:val="00A73DAA"/>
    <w:rsid w:val="00A73DEF"/>
    <w:rsid w:val="00A7427E"/>
    <w:rsid w:val="00A7686B"/>
    <w:rsid w:val="00A76D00"/>
    <w:rsid w:val="00A77018"/>
    <w:rsid w:val="00A800A7"/>
    <w:rsid w:val="00A8082E"/>
    <w:rsid w:val="00A809D7"/>
    <w:rsid w:val="00A80FAD"/>
    <w:rsid w:val="00A8263A"/>
    <w:rsid w:val="00A837EE"/>
    <w:rsid w:val="00A838AD"/>
    <w:rsid w:val="00A840B0"/>
    <w:rsid w:val="00A84731"/>
    <w:rsid w:val="00A84764"/>
    <w:rsid w:val="00A84CCD"/>
    <w:rsid w:val="00A85623"/>
    <w:rsid w:val="00A8576B"/>
    <w:rsid w:val="00A859BC"/>
    <w:rsid w:val="00A859D7"/>
    <w:rsid w:val="00A859E6"/>
    <w:rsid w:val="00A865FB"/>
    <w:rsid w:val="00A8686C"/>
    <w:rsid w:val="00A873BF"/>
    <w:rsid w:val="00A90808"/>
    <w:rsid w:val="00A91ADF"/>
    <w:rsid w:val="00A92494"/>
    <w:rsid w:val="00A928CC"/>
    <w:rsid w:val="00A933F4"/>
    <w:rsid w:val="00A943DA"/>
    <w:rsid w:val="00A9445D"/>
    <w:rsid w:val="00A94934"/>
    <w:rsid w:val="00A94A0E"/>
    <w:rsid w:val="00A95100"/>
    <w:rsid w:val="00A9569E"/>
    <w:rsid w:val="00A963C8"/>
    <w:rsid w:val="00A9712A"/>
    <w:rsid w:val="00A972E1"/>
    <w:rsid w:val="00A9734F"/>
    <w:rsid w:val="00AA113D"/>
    <w:rsid w:val="00AA182A"/>
    <w:rsid w:val="00AA220A"/>
    <w:rsid w:val="00AA2830"/>
    <w:rsid w:val="00AA2D9F"/>
    <w:rsid w:val="00AA3380"/>
    <w:rsid w:val="00AA3BE9"/>
    <w:rsid w:val="00AA3C95"/>
    <w:rsid w:val="00AA49B7"/>
    <w:rsid w:val="00AA6249"/>
    <w:rsid w:val="00AA6291"/>
    <w:rsid w:val="00AA7C95"/>
    <w:rsid w:val="00AB068D"/>
    <w:rsid w:val="00AB0796"/>
    <w:rsid w:val="00AB1FD2"/>
    <w:rsid w:val="00AB26AA"/>
    <w:rsid w:val="00AB2F52"/>
    <w:rsid w:val="00AB31B5"/>
    <w:rsid w:val="00AB3228"/>
    <w:rsid w:val="00AB3A96"/>
    <w:rsid w:val="00AB3FC2"/>
    <w:rsid w:val="00AB44C6"/>
    <w:rsid w:val="00AB4BF7"/>
    <w:rsid w:val="00AB5BE5"/>
    <w:rsid w:val="00AB60B6"/>
    <w:rsid w:val="00AB7834"/>
    <w:rsid w:val="00AB7847"/>
    <w:rsid w:val="00AB7908"/>
    <w:rsid w:val="00AB7C06"/>
    <w:rsid w:val="00AB7E40"/>
    <w:rsid w:val="00AC0332"/>
    <w:rsid w:val="00AC1BE1"/>
    <w:rsid w:val="00AC2A31"/>
    <w:rsid w:val="00AC35D6"/>
    <w:rsid w:val="00AC3CDF"/>
    <w:rsid w:val="00AC3D8D"/>
    <w:rsid w:val="00AC3DA1"/>
    <w:rsid w:val="00AC3E74"/>
    <w:rsid w:val="00AC3F91"/>
    <w:rsid w:val="00AC60BC"/>
    <w:rsid w:val="00AC6206"/>
    <w:rsid w:val="00AC7251"/>
    <w:rsid w:val="00AD007D"/>
    <w:rsid w:val="00AD02DA"/>
    <w:rsid w:val="00AD0379"/>
    <w:rsid w:val="00AD0407"/>
    <w:rsid w:val="00AD0A77"/>
    <w:rsid w:val="00AD0E0F"/>
    <w:rsid w:val="00AD10AF"/>
    <w:rsid w:val="00AD1235"/>
    <w:rsid w:val="00AD1F9C"/>
    <w:rsid w:val="00AD2A12"/>
    <w:rsid w:val="00AD323E"/>
    <w:rsid w:val="00AD3803"/>
    <w:rsid w:val="00AD40E4"/>
    <w:rsid w:val="00AD40F2"/>
    <w:rsid w:val="00AD457A"/>
    <w:rsid w:val="00AD5660"/>
    <w:rsid w:val="00AD57A3"/>
    <w:rsid w:val="00AD5857"/>
    <w:rsid w:val="00AD5A7D"/>
    <w:rsid w:val="00AD6339"/>
    <w:rsid w:val="00AD6656"/>
    <w:rsid w:val="00AD776F"/>
    <w:rsid w:val="00AD7D12"/>
    <w:rsid w:val="00AE0569"/>
    <w:rsid w:val="00AE0624"/>
    <w:rsid w:val="00AE0918"/>
    <w:rsid w:val="00AE297C"/>
    <w:rsid w:val="00AE2A38"/>
    <w:rsid w:val="00AE2B25"/>
    <w:rsid w:val="00AE2CF8"/>
    <w:rsid w:val="00AE3488"/>
    <w:rsid w:val="00AE411C"/>
    <w:rsid w:val="00AE4578"/>
    <w:rsid w:val="00AE4A62"/>
    <w:rsid w:val="00AE4C68"/>
    <w:rsid w:val="00AE5169"/>
    <w:rsid w:val="00AE538C"/>
    <w:rsid w:val="00AE56BF"/>
    <w:rsid w:val="00AE5B87"/>
    <w:rsid w:val="00AE6320"/>
    <w:rsid w:val="00AE704D"/>
    <w:rsid w:val="00AE73F2"/>
    <w:rsid w:val="00AE74A4"/>
    <w:rsid w:val="00AE794F"/>
    <w:rsid w:val="00AE7D19"/>
    <w:rsid w:val="00AF090E"/>
    <w:rsid w:val="00AF2132"/>
    <w:rsid w:val="00AF2690"/>
    <w:rsid w:val="00AF2CAF"/>
    <w:rsid w:val="00AF3BF7"/>
    <w:rsid w:val="00AF4461"/>
    <w:rsid w:val="00AF4476"/>
    <w:rsid w:val="00AF5067"/>
    <w:rsid w:val="00AF6869"/>
    <w:rsid w:val="00AF6C69"/>
    <w:rsid w:val="00AF6F40"/>
    <w:rsid w:val="00AF772C"/>
    <w:rsid w:val="00AF7A96"/>
    <w:rsid w:val="00B00CCB"/>
    <w:rsid w:val="00B01BF5"/>
    <w:rsid w:val="00B0386F"/>
    <w:rsid w:val="00B03ED3"/>
    <w:rsid w:val="00B04726"/>
    <w:rsid w:val="00B04C0C"/>
    <w:rsid w:val="00B05747"/>
    <w:rsid w:val="00B05F59"/>
    <w:rsid w:val="00B062AF"/>
    <w:rsid w:val="00B06470"/>
    <w:rsid w:val="00B0717B"/>
    <w:rsid w:val="00B07EA3"/>
    <w:rsid w:val="00B10322"/>
    <w:rsid w:val="00B103BD"/>
    <w:rsid w:val="00B1068A"/>
    <w:rsid w:val="00B10984"/>
    <w:rsid w:val="00B10B1C"/>
    <w:rsid w:val="00B10CF4"/>
    <w:rsid w:val="00B11352"/>
    <w:rsid w:val="00B117FD"/>
    <w:rsid w:val="00B11CE4"/>
    <w:rsid w:val="00B11E2D"/>
    <w:rsid w:val="00B12157"/>
    <w:rsid w:val="00B1352B"/>
    <w:rsid w:val="00B1428F"/>
    <w:rsid w:val="00B1475B"/>
    <w:rsid w:val="00B14A53"/>
    <w:rsid w:val="00B1527D"/>
    <w:rsid w:val="00B153A4"/>
    <w:rsid w:val="00B16230"/>
    <w:rsid w:val="00B1656B"/>
    <w:rsid w:val="00B167E4"/>
    <w:rsid w:val="00B16CAF"/>
    <w:rsid w:val="00B16DAD"/>
    <w:rsid w:val="00B16F71"/>
    <w:rsid w:val="00B20C68"/>
    <w:rsid w:val="00B22325"/>
    <w:rsid w:val="00B2339B"/>
    <w:rsid w:val="00B23C84"/>
    <w:rsid w:val="00B242E2"/>
    <w:rsid w:val="00B24819"/>
    <w:rsid w:val="00B2494F"/>
    <w:rsid w:val="00B25093"/>
    <w:rsid w:val="00B25C97"/>
    <w:rsid w:val="00B25CB7"/>
    <w:rsid w:val="00B26202"/>
    <w:rsid w:val="00B26216"/>
    <w:rsid w:val="00B2658B"/>
    <w:rsid w:val="00B26F54"/>
    <w:rsid w:val="00B27012"/>
    <w:rsid w:val="00B27068"/>
    <w:rsid w:val="00B27336"/>
    <w:rsid w:val="00B2786F"/>
    <w:rsid w:val="00B300BD"/>
    <w:rsid w:val="00B3068F"/>
    <w:rsid w:val="00B30B49"/>
    <w:rsid w:val="00B32007"/>
    <w:rsid w:val="00B32206"/>
    <w:rsid w:val="00B32474"/>
    <w:rsid w:val="00B32641"/>
    <w:rsid w:val="00B3299C"/>
    <w:rsid w:val="00B3325F"/>
    <w:rsid w:val="00B340DE"/>
    <w:rsid w:val="00B34B50"/>
    <w:rsid w:val="00B34F99"/>
    <w:rsid w:val="00B35197"/>
    <w:rsid w:val="00B356B0"/>
    <w:rsid w:val="00B35E31"/>
    <w:rsid w:val="00B403B4"/>
    <w:rsid w:val="00B40B62"/>
    <w:rsid w:val="00B40D0B"/>
    <w:rsid w:val="00B41158"/>
    <w:rsid w:val="00B41349"/>
    <w:rsid w:val="00B4139A"/>
    <w:rsid w:val="00B41678"/>
    <w:rsid w:val="00B41C4D"/>
    <w:rsid w:val="00B4219E"/>
    <w:rsid w:val="00B4247C"/>
    <w:rsid w:val="00B42D4D"/>
    <w:rsid w:val="00B42EF8"/>
    <w:rsid w:val="00B431CE"/>
    <w:rsid w:val="00B4371C"/>
    <w:rsid w:val="00B43BE9"/>
    <w:rsid w:val="00B443FD"/>
    <w:rsid w:val="00B46BF2"/>
    <w:rsid w:val="00B471DD"/>
    <w:rsid w:val="00B4782B"/>
    <w:rsid w:val="00B50184"/>
    <w:rsid w:val="00B5020F"/>
    <w:rsid w:val="00B50705"/>
    <w:rsid w:val="00B5103E"/>
    <w:rsid w:val="00B51BD2"/>
    <w:rsid w:val="00B51E91"/>
    <w:rsid w:val="00B527E4"/>
    <w:rsid w:val="00B529D5"/>
    <w:rsid w:val="00B53103"/>
    <w:rsid w:val="00B53119"/>
    <w:rsid w:val="00B534C4"/>
    <w:rsid w:val="00B5378F"/>
    <w:rsid w:val="00B53952"/>
    <w:rsid w:val="00B549D3"/>
    <w:rsid w:val="00B54D0A"/>
    <w:rsid w:val="00B5512D"/>
    <w:rsid w:val="00B56D2D"/>
    <w:rsid w:val="00B57713"/>
    <w:rsid w:val="00B57A04"/>
    <w:rsid w:val="00B57F5A"/>
    <w:rsid w:val="00B60D0D"/>
    <w:rsid w:val="00B60EA6"/>
    <w:rsid w:val="00B61EEF"/>
    <w:rsid w:val="00B62426"/>
    <w:rsid w:val="00B6299F"/>
    <w:rsid w:val="00B638CA"/>
    <w:rsid w:val="00B639B0"/>
    <w:rsid w:val="00B64599"/>
    <w:rsid w:val="00B64B72"/>
    <w:rsid w:val="00B65EF3"/>
    <w:rsid w:val="00B66361"/>
    <w:rsid w:val="00B66438"/>
    <w:rsid w:val="00B665ED"/>
    <w:rsid w:val="00B6686C"/>
    <w:rsid w:val="00B6694D"/>
    <w:rsid w:val="00B66967"/>
    <w:rsid w:val="00B66EBA"/>
    <w:rsid w:val="00B67617"/>
    <w:rsid w:val="00B6788F"/>
    <w:rsid w:val="00B678CE"/>
    <w:rsid w:val="00B70B0E"/>
    <w:rsid w:val="00B71156"/>
    <w:rsid w:val="00B71B10"/>
    <w:rsid w:val="00B71B85"/>
    <w:rsid w:val="00B7221A"/>
    <w:rsid w:val="00B726F6"/>
    <w:rsid w:val="00B729AD"/>
    <w:rsid w:val="00B72E2D"/>
    <w:rsid w:val="00B73032"/>
    <w:rsid w:val="00B741BB"/>
    <w:rsid w:val="00B74420"/>
    <w:rsid w:val="00B74B7C"/>
    <w:rsid w:val="00B74C53"/>
    <w:rsid w:val="00B74FF0"/>
    <w:rsid w:val="00B7508F"/>
    <w:rsid w:val="00B75214"/>
    <w:rsid w:val="00B75B85"/>
    <w:rsid w:val="00B7627A"/>
    <w:rsid w:val="00B76C15"/>
    <w:rsid w:val="00B76D4E"/>
    <w:rsid w:val="00B771DD"/>
    <w:rsid w:val="00B77883"/>
    <w:rsid w:val="00B77B9A"/>
    <w:rsid w:val="00B80EAA"/>
    <w:rsid w:val="00B828B7"/>
    <w:rsid w:val="00B82A42"/>
    <w:rsid w:val="00B82C86"/>
    <w:rsid w:val="00B8335D"/>
    <w:rsid w:val="00B83779"/>
    <w:rsid w:val="00B83BCB"/>
    <w:rsid w:val="00B83F54"/>
    <w:rsid w:val="00B84AF0"/>
    <w:rsid w:val="00B84E4F"/>
    <w:rsid w:val="00B84F50"/>
    <w:rsid w:val="00B8501F"/>
    <w:rsid w:val="00B860DA"/>
    <w:rsid w:val="00B868E3"/>
    <w:rsid w:val="00B86C9B"/>
    <w:rsid w:val="00B878D2"/>
    <w:rsid w:val="00B87BD1"/>
    <w:rsid w:val="00B87EA7"/>
    <w:rsid w:val="00B90050"/>
    <w:rsid w:val="00B90058"/>
    <w:rsid w:val="00B90AD5"/>
    <w:rsid w:val="00B90BD0"/>
    <w:rsid w:val="00B917E2"/>
    <w:rsid w:val="00B93291"/>
    <w:rsid w:val="00B934F7"/>
    <w:rsid w:val="00B93EE7"/>
    <w:rsid w:val="00B94145"/>
    <w:rsid w:val="00B9460F"/>
    <w:rsid w:val="00B95228"/>
    <w:rsid w:val="00B95247"/>
    <w:rsid w:val="00B953FA"/>
    <w:rsid w:val="00B95794"/>
    <w:rsid w:val="00B958AA"/>
    <w:rsid w:val="00B95950"/>
    <w:rsid w:val="00B95A18"/>
    <w:rsid w:val="00B969C4"/>
    <w:rsid w:val="00B96BFD"/>
    <w:rsid w:val="00B96FAC"/>
    <w:rsid w:val="00B97564"/>
    <w:rsid w:val="00B97F86"/>
    <w:rsid w:val="00BA0BD2"/>
    <w:rsid w:val="00BA0E2B"/>
    <w:rsid w:val="00BA23FA"/>
    <w:rsid w:val="00BA26F6"/>
    <w:rsid w:val="00BA2D00"/>
    <w:rsid w:val="00BA33D5"/>
    <w:rsid w:val="00BA4ECC"/>
    <w:rsid w:val="00BA5C32"/>
    <w:rsid w:val="00BA5DC2"/>
    <w:rsid w:val="00BA6349"/>
    <w:rsid w:val="00BA6437"/>
    <w:rsid w:val="00BA66A1"/>
    <w:rsid w:val="00BA744D"/>
    <w:rsid w:val="00BB0390"/>
    <w:rsid w:val="00BB0999"/>
    <w:rsid w:val="00BB1899"/>
    <w:rsid w:val="00BB1EE6"/>
    <w:rsid w:val="00BB25DE"/>
    <w:rsid w:val="00BB296D"/>
    <w:rsid w:val="00BB2C45"/>
    <w:rsid w:val="00BB309D"/>
    <w:rsid w:val="00BB33D1"/>
    <w:rsid w:val="00BB3BC0"/>
    <w:rsid w:val="00BB4122"/>
    <w:rsid w:val="00BB41E5"/>
    <w:rsid w:val="00BB546D"/>
    <w:rsid w:val="00BB613F"/>
    <w:rsid w:val="00BB69B7"/>
    <w:rsid w:val="00BB7DDB"/>
    <w:rsid w:val="00BB7E33"/>
    <w:rsid w:val="00BC0453"/>
    <w:rsid w:val="00BC04A0"/>
    <w:rsid w:val="00BC06B2"/>
    <w:rsid w:val="00BC0922"/>
    <w:rsid w:val="00BC0CCE"/>
    <w:rsid w:val="00BC3067"/>
    <w:rsid w:val="00BC380C"/>
    <w:rsid w:val="00BC4949"/>
    <w:rsid w:val="00BC62E4"/>
    <w:rsid w:val="00BC62E8"/>
    <w:rsid w:val="00BC6665"/>
    <w:rsid w:val="00BC699E"/>
    <w:rsid w:val="00BC7055"/>
    <w:rsid w:val="00BD0B44"/>
    <w:rsid w:val="00BD2987"/>
    <w:rsid w:val="00BD3433"/>
    <w:rsid w:val="00BD3456"/>
    <w:rsid w:val="00BD371B"/>
    <w:rsid w:val="00BD3F88"/>
    <w:rsid w:val="00BD5706"/>
    <w:rsid w:val="00BD5838"/>
    <w:rsid w:val="00BD5EAA"/>
    <w:rsid w:val="00BD60B7"/>
    <w:rsid w:val="00BD62B2"/>
    <w:rsid w:val="00BD6D95"/>
    <w:rsid w:val="00BD74CB"/>
    <w:rsid w:val="00BD7832"/>
    <w:rsid w:val="00BD7904"/>
    <w:rsid w:val="00BD79A6"/>
    <w:rsid w:val="00BD79CB"/>
    <w:rsid w:val="00BE1237"/>
    <w:rsid w:val="00BE1427"/>
    <w:rsid w:val="00BE1A36"/>
    <w:rsid w:val="00BE1F55"/>
    <w:rsid w:val="00BE2B5B"/>
    <w:rsid w:val="00BE305F"/>
    <w:rsid w:val="00BE3199"/>
    <w:rsid w:val="00BE3BD6"/>
    <w:rsid w:val="00BE3F5D"/>
    <w:rsid w:val="00BE453A"/>
    <w:rsid w:val="00BE472B"/>
    <w:rsid w:val="00BE4773"/>
    <w:rsid w:val="00BE4E9F"/>
    <w:rsid w:val="00BE522D"/>
    <w:rsid w:val="00BE551E"/>
    <w:rsid w:val="00BE5B97"/>
    <w:rsid w:val="00BE5C7F"/>
    <w:rsid w:val="00BE5D33"/>
    <w:rsid w:val="00BE64E3"/>
    <w:rsid w:val="00BE6607"/>
    <w:rsid w:val="00BE683D"/>
    <w:rsid w:val="00BE76ED"/>
    <w:rsid w:val="00BE7A7E"/>
    <w:rsid w:val="00BE7EC9"/>
    <w:rsid w:val="00BF0048"/>
    <w:rsid w:val="00BF08F2"/>
    <w:rsid w:val="00BF0DE9"/>
    <w:rsid w:val="00BF1AE5"/>
    <w:rsid w:val="00BF1B1D"/>
    <w:rsid w:val="00BF1E34"/>
    <w:rsid w:val="00BF23BC"/>
    <w:rsid w:val="00BF2E09"/>
    <w:rsid w:val="00BF34C3"/>
    <w:rsid w:val="00BF36C2"/>
    <w:rsid w:val="00BF3A4F"/>
    <w:rsid w:val="00BF4407"/>
    <w:rsid w:val="00BF44BB"/>
    <w:rsid w:val="00BF5305"/>
    <w:rsid w:val="00BF555B"/>
    <w:rsid w:val="00BF6308"/>
    <w:rsid w:val="00BF631F"/>
    <w:rsid w:val="00BF65B6"/>
    <w:rsid w:val="00BF6735"/>
    <w:rsid w:val="00C00A4B"/>
    <w:rsid w:val="00C00D09"/>
    <w:rsid w:val="00C00EB2"/>
    <w:rsid w:val="00C018DB"/>
    <w:rsid w:val="00C02195"/>
    <w:rsid w:val="00C02E07"/>
    <w:rsid w:val="00C03259"/>
    <w:rsid w:val="00C03E52"/>
    <w:rsid w:val="00C04F5C"/>
    <w:rsid w:val="00C053C7"/>
    <w:rsid w:val="00C05EF3"/>
    <w:rsid w:val="00C05F53"/>
    <w:rsid w:val="00C06AFF"/>
    <w:rsid w:val="00C06C58"/>
    <w:rsid w:val="00C06F17"/>
    <w:rsid w:val="00C075A5"/>
    <w:rsid w:val="00C076F4"/>
    <w:rsid w:val="00C07775"/>
    <w:rsid w:val="00C10322"/>
    <w:rsid w:val="00C116BD"/>
    <w:rsid w:val="00C116F5"/>
    <w:rsid w:val="00C124D9"/>
    <w:rsid w:val="00C13263"/>
    <w:rsid w:val="00C138DC"/>
    <w:rsid w:val="00C14B8A"/>
    <w:rsid w:val="00C14EA8"/>
    <w:rsid w:val="00C1562F"/>
    <w:rsid w:val="00C16202"/>
    <w:rsid w:val="00C164DC"/>
    <w:rsid w:val="00C166C3"/>
    <w:rsid w:val="00C166FE"/>
    <w:rsid w:val="00C175A8"/>
    <w:rsid w:val="00C17B6B"/>
    <w:rsid w:val="00C21479"/>
    <w:rsid w:val="00C219A7"/>
    <w:rsid w:val="00C22374"/>
    <w:rsid w:val="00C2290F"/>
    <w:rsid w:val="00C22C3E"/>
    <w:rsid w:val="00C22FE7"/>
    <w:rsid w:val="00C2384F"/>
    <w:rsid w:val="00C23ED7"/>
    <w:rsid w:val="00C249D5"/>
    <w:rsid w:val="00C254D9"/>
    <w:rsid w:val="00C266CF"/>
    <w:rsid w:val="00C267E0"/>
    <w:rsid w:val="00C26A6D"/>
    <w:rsid w:val="00C26B3A"/>
    <w:rsid w:val="00C26DFA"/>
    <w:rsid w:val="00C26E25"/>
    <w:rsid w:val="00C27021"/>
    <w:rsid w:val="00C270FC"/>
    <w:rsid w:val="00C275D8"/>
    <w:rsid w:val="00C27B2C"/>
    <w:rsid w:val="00C302DD"/>
    <w:rsid w:val="00C3056A"/>
    <w:rsid w:val="00C3134A"/>
    <w:rsid w:val="00C31D85"/>
    <w:rsid w:val="00C34E50"/>
    <w:rsid w:val="00C34EA3"/>
    <w:rsid w:val="00C357DB"/>
    <w:rsid w:val="00C3615A"/>
    <w:rsid w:val="00C3647A"/>
    <w:rsid w:val="00C3697B"/>
    <w:rsid w:val="00C36E07"/>
    <w:rsid w:val="00C37079"/>
    <w:rsid w:val="00C37754"/>
    <w:rsid w:val="00C378E8"/>
    <w:rsid w:val="00C37C27"/>
    <w:rsid w:val="00C401BD"/>
    <w:rsid w:val="00C42851"/>
    <w:rsid w:val="00C4390F"/>
    <w:rsid w:val="00C457BA"/>
    <w:rsid w:val="00C45A23"/>
    <w:rsid w:val="00C46A81"/>
    <w:rsid w:val="00C47583"/>
    <w:rsid w:val="00C50376"/>
    <w:rsid w:val="00C509B8"/>
    <w:rsid w:val="00C50B8B"/>
    <w:rsid w:val="00C50DE7"/>
    <w:rsid w:val="00C50FAE"/>
    <w:rsid w:val="00C5174D"/>
    <w:rsid w:val="00C517EA"/>
    <w:rsid w:val="00C519F7"/>
    <w:rsid w:val="00C51A1C"/>
    <w:rsid w:val="00C51EB0"/>
    <w:rsid w:val="00C52154"/>
    <w:rsid w:val="00C5232C"/>
    <w:rsid w:val="00C526E8"/>
    <w:rsid w:val="00C52A8A"/>
    <w:rsid w:val="00C53122"/>
    <w:rsid w:val="00C534D7"/>
    <w:rsid w:val="00C53DE9"/>
    <w:rsid w:val="00C54C28"/>
    <w:rsid w:val="00C552F8"/>
    <w:rsid w:val="00C55B36"/>
    <w:rsid w:val="00C55E0E"/>
    <w:rsid w:val="00C570DD"/>
    <w:rsid w:val="00C57EBB"/>
    <w:rsid w:val="00C611FB"/>
    <w:rsid w:val="00C613A2"/>
    <w:rsid w:val="00C616E7"/>
    <w:rsid w:val="00C61D2A"/>
    <w:rsid w:val="00C62558"/>
    <w:rsid w:val="00C63421"/>
    <w:rsid w:val="00C6356D"/>
    <w:rsid w:val="00C63E22"/>
    <w:rsid w:val="00C647F3"/>
    <w:rsid w:val="00C64DC9"/>
    <w:rsid w:val="00C656DC"/>
    <w:rsid w:val="00C65AB7"/>
    <w:rsid w:val="00C65E2C"/>
    <w:rsid w:val="00C666F9"/>
    <w:rsid w:val="00C66E74"/>
    <w:rsid w:val="00C671A2"/>
    <w:rsid w:val="00C67655"/>
    <w:rsid w:val="00C67DFF"/>
    <w:rsid w:val="00C70A68"/>
    <w:rsid w:val="00C70C6E"/>
    <w:rsid w:val="00C7187B"/>
    <w:rsid w:val="00C71A42"/>
    <w:rsid w:val="00C72C09"/>
    <w:rsid w:val="00C72C4F"/>
    <w:rsid w:val="00C72CB9"/>
    <w:rsid w:val="00C74355"/>
    <w:rsid w:val="00C750D0"/>
    <w:rsid w:val="00C75679"/>
    <w:rsid w:val="00C75919"/>
    <w:rsid w:val="00C75DDE"/>
    <w:rsid w:val="00C75F0F"/>
    <w:rsid w:val="00C76674"/>
    <w:rsid w:val="00C76751"/>
    <w:rsid w:val="00C76FC5"/>
    <w:rsid w:val="00C775C1"/>
    <w:rsid w:val="00C77B75"/>
    <w:rsid w:val="00C77E2B"/>
    <w:rsid w:val="00C8033F"/>
    <w:rsid w:val="00C8054A"/>
    <w:rsid w:val="00C805EF"/>
    <w:rsid w:val="00C807A5"/>
    <w:rsid w:val="00C80F82"/>
    <w:rsid w:val="00C81840"/>
    <w:rsid w:val="00C81A4E"/>
    <w:rsid w:val="00C82B5D"/>
    <w:rsid w:val="00C82DE4"/>
    <w:rsid w:val="00C831F6"/>
    <w:rsid w:val="00C83383"/>
    <w:rsid w:val="00C834BE"/>
    <w:rsid w:val="00C838A9"/>
    <w:rsid w:val="00C838B4"/>
    <w:rsid w:val="00C84621"/>
    <w:rsid w:val="00C853FB"/>
    <w:rsid w:val="00C8615F"/>
    <w:rsid w:val="00C864FF"/>
    <w:rsid w:val="00C86914"/>
    <w:rsid w:val="00C86B83"/>
    <w:rsid w:val="00C879C1"/>
    <w:rsid w:val="00C87EC3"/>
    <w:rsid w:val="00C90072"/>
    <w:rsid w:val="00C90115"/>
    <w:rsid w:val="00C9112D"/>
    <w:rsid w:val="00C92554"/>
    <w:rsid w:val="00C9266E"/>
    <w:rsid w:val="00C9349A"/>
    <w:rsid w:val="00C9372D"/>
    <w:rsid w:val="00C9381F"/>
    <w:rsid w:val="00C93CDD"/>
    <w:rsid w:val="00C93D7C"/>
    <w:rsid w:val="00C94E99"/>
    <w:rsid w:val="00C957FB"/>
    <w:rsid w:val="00C95E78"/>
    <w:rsid w:val="00C96C8A"/>
    <w:rsid w:val="00C97A73"/>
    <w:rsid w:val="00CA01F8"/>
    <w:rsid w:val="00CA1447"/>
    <w:rsid w:val="00CA2653"/>
    <w:rsid w:val="00CA2F0B"/>
    <w:rsid w:val="00CA3631"/>
    <w:rsid w:val="00CA46D5"/>
    <w:rsid w:val="00CA48D7"/>
    <w:rsid w:val="00CA533D"/>
    <w:rsid w:val="00CA53FA"/>
    <w:rsid w:val="00CA587F"/>
    <w:rsid w:val="00CA6569"/>
    <w:rsid w:val="00CA673B"/>
    <w:rsid w:val="00CA7A80"/>
    <w:rsid w:val="00CA7F4E"/>
    <w:rsid w:val="00CB0646"/>
    <w:rsid w:val="00CB06EB"/>
    <w:rsid w:val="00CB0EBE"/>
    <w:rsid w:val="00CB1C39"/>
    <w:rsid w:val="00CB1EF5"/>
    <w:rsid w:val="00CB1F72"/>
    <w:rsid w:val="00CB2CDE"/>
    <w:rsid w:val="00CB2E5A"/>
    <w:rsid w:val="00CB3487"/>
    <w:rsid w:val="00CB3B34"/>
    <w:rsid w:val="00CB4555"/>
    <w:rsid w:val="00CB4726"/>
    <w:rsid w:val="00CB5869"/>
    <w:rsid w:val="00CB5E45"/>
    <w:rsid w:val="00CB6900"/>
    <w:rsid w:val="00CB6C20"/>
    <w:rsid w:val="00CC0442"/>
    <w:rsid w:val="00CC19CC"/>
    <w:rsid w:val="00CC1F8F"/>
    <w:rsid w:val="00CC215A"/>
    <w:rsid w:val="00CC2860"/>
    <w:rsid w:val="00CC2AC5"/>
    <w:rsid w:val="00CC2BE0"/>
    <w:rsid w:val="00CC3E60"/>
    <w:rsid w:val="00CC3E96"/>
    <w:rsid w:val="00CC3F16"/>
    <w:rsid w:val="00CC4C71"/>
    <w:rsid w:val="00CC4CA8"/>
    <w:rsid w:val="00CC54FF"/>
    <w:rsid w:val="00CC6290"/>
    <w:rsid w:val="00CC6DA0"/>
    <w:rsid w:val="00CC7208"/>
    <w:rsid w:val="00CD04E2"/>
    <w:rsid w:val="00CD1286"/>
    <w:rsid w:val="00CD13AB"/>
    <w:rsid w:val="00CD23C2"/>
    <w:rsid w:val="00CD2D55"/>
    <w:rsid w:val="00CD3536"/>
    <w:rsid w:val="00CD391C"/>
    <w:rsid w:val="00CD3F5C"/>
    <w:rsid w:val="00CD51B4"/>
    <w:rsid w:val="00CD598F"/>
    <w:rsid w:val="00CD63E5"/>
    <w:rsid w:val="00CD6523"/>
    <w:rsid w:val="00CD6BFF"/>
    <w:rsid w:val="00CD720D"/>
    <w:rsid w:val="00CE0510"/>
    <w:rsid w:val="00CE0513"/>
    <w:rsid w:val="00CE0CD5"/>
    <w:rsid w:val="00CE0DD1"/>
    <w:rsid w:val="00CE1367"/>
    <w:rsid w:val="00CE1738"/>
    <w:rsid w:val="00CE1B1A"/>
    <w:rsid w:val="00CE1EDE"/>
    <w:rsid w:val="00CE2570"/>
    <w:rsid w:val="00CE28F4"/>
    <w:rsid w:val="00CE2AF5"/>
    <w:rsid w:val="00CE2D97"/>
    <w:rsid w:val="00CE2DC8"/>
    <w:rsid w:val="00CE3259"/>
    <w:rsid w:val="00CE34F4"/>
    <w:rsid w:val="00CE358E"/>
    <w:rsid w:val="00CE3B46"/>
    <w:rsid w:val="00CE4749"/>
    <w:rsid w:val="00CE5E92"/>
    <w:rsid w:val="00CE6970"/>
    <w:rsid w:val="00CE7DF8"/>
    <w:rsid w:val="00CE7F84"/>
    <w:rsid w:val="00CF016B"/>
    <w:rsid w:val="00CF04B2"/>
    <w:rsid w:val="00CF07E1"/>
    <w:rsid w:val="00CF14CD"/>
    <w:rsid w:val="00CF21B4"/>
    <w:rsid w:val="00CF3EEF"/>
    <w:rsid w:val="00CF4D52"/>
    <w:rsid w:val="00CF4F9A"/>
    <w:rsid w:val="00CF5815"/>
    <w:rsid w:val="00CF5956"/>
    <w:rsid w:val="00CF5F00"/>
    <w:rsid w:val="00CF614D"/>
    <w:rsid w:val="00CF7917"/>
    <w:rsid w:val="00CF7F4E"/>
    <w:rsid w:val="00D00059"/>
    <w:rsid w:val="00D00593"/>
    <w:rsid w:val="00D0089A"/>
    <w:rsid w:val="00D00C25"/>
    <w:rsid w:val="00D0114C"/>
    <w:rsid w:val="00D01628"/>
    <w:rsid w:val="00D01884"/>
    <w:rsid w:val="00D01ED4"/>
    <w:rsid w:val="00D0370B"/>
    <w:rsid w:val="00D03751"/>
    <w:rsid w:val="00D03C4C"/>
    <w:rsid w:val="00D04436"/>
    <w:rsid w:val="00D047B1"/>
    <w:rsid w:val="00D057F1"/>
    <w:rsid w:val="00D058DA"/>
    <w:rsid w:val="00D0594B"/>
    <w:rsid w:val="00D05F8B"/>
    <w:rsid w:val="00D061C0"/>
    <w:rsid w:val="00D062F3"/>
    <w:rsid w:val="00D06688"/>
    <w:rsid w:val="00D067A3"/>
    <w:rsid w:val="00D06808"/>
    <w:rsid w:val="00D06907"/>
    <w:rsid w:val="00D06D42"/>
    <w:rsid w:val="00D0707B"/>
    <w:rsid w:val="00D07C3A"/>
    <w:rsid w:val="00D102A8"/>
    <w:rsid w:val="00D10ED7"/>
    <w:rsid w:val="00D11181"/>
    <w:rsid w:val="00D11592"/>
    <w:rsid w:val="00D11635"/>
    <w:rsid w:val="00D12720"/>
    <w:rsid w:val="00D1283D"/>
    <w:rsid w:val="00D12B04"/>
    <w:rsid w:val="00D14A3A"/>
    <w:rsid w:val="00D15097"/>
    <w:rsid w:val="00D15801"/>
    <w:rsid w:val="00D15819"/>
    <w:rsid w:val="00D158E6"/>
    <w:rsid w:val="00D16003"/>
    <w:rsid w:val="00D163E3"/>
    <w:rsid w:val="00D164DC"/>
    <w:rsid w:val="00D17967"/>
    <w:rsid w:val="00D17C98"/>
    <w:rsid w:val="00D20BF1"/>
    <w:rsid w:val="00D21CF3"/>
    <w:rsid w:val="00D22A6C"/>
    <w:rsid w:val="00D23ACC"/>
    <w:rsid w:val="00D2457A"/>
    <w:rsid w:val="00D24817"/>
    <w:rsid w:val="00D24F61"/>
    <w:rsid w:val="00D27417"/>
    <w:rsid w:val="00D27765"/>
    <w:rsid w:val="00D27A90"/>
    <w:rsid w:val="00D27CA5"/>
    <w:rsid w:val="00D303BA"/>
    <w:rsid w:val="00D3043C"/>
    <w:rsid w:val="00D3243F"/>
    <w:rsid w:val="00D32C8F"/>
    <w:rsid w:val="00D32D00"/>
    <w:rsid w:val="00D33713"/>
    <w:rsid w:val="00D33C9C"/>
    <w:rsid w:val="00D3441E"/>
    <w:rsid w:val="00D34447"/>
    <w:rsid w:val="00D34F84"/>
    <w:rsid w:val="00D36198"/>
    <w:rsid w:val="00D3659D"/>
    <w:rsid w:val="00D3712D"/>
    <w:rsid w:val="00D40031"/>
    <w:rsid w:val="00D404C0"/>
    <w:rsid w:val="00D4175E"/>
    <w:rsid w:val="00D41C28"/>
    <w:rsid w:val="00D41CF9"/>
    <w:rsid w:val="00D43902"/>
    <w:rsid w:val="00D43A2A"/>
    <w:rsid w:val="00D44DE1"/>
    <w:rsid w:val="00D4537D"/>
    <w:rsid w:val="00D45489"/>
    <w:rsid w:val="00D462DD"/>
    <w:rsid w:val="00D4658F"/>
    <w:rsid w:val="00D46F1B"/>
    <w:rsid w:val="00D47361"/>
    <w:rsid w:val="00D5092D"/>
    <w:rsid w:val="00D5223A"/>
    <w:rsid w:val="00D523BA"/>
    <w:rsid w:val="00D52D1C"/>
    <w:rsid w:val="00D53832"/>
    <w:rsid w:val="00D54983"/>
    <w:rsid w:val="00D54998"/>
    <w:rsid w:val="00D552AC"/>
    <w:rsid w:val="00D5631E"/>
    <w:rsid w:val="00D56472"/>
    <w:rsid w:val="00D56482"/>
    <w:rsid w:val="00D56C38"/>
    <w:rsid w:val="00D57601"/>
    <w:rsid w:val="00D57AB2"/>
    <w:rsid w:val="00D57C46"/>
    <w:rsid w:val="00D60ED0"/>
    <w:rsid w:val="00D62B29"/>
    <w:rsid w:val="00D62D44"/>
    <w:rsid w:val="00D62E10"/>
    <w:rsid w:val="00D63096"/>
    <w:rsid w:val="00D63138"/>
    <w:rsid w:val="00D63B2F"/>
    <w:rsid w:val="00D63DE0"/>
    <w:rsid w:val="00D64E49"/>
    <w:rsid w:val="00D652F2"/>
    <w:rsid w:val="00D654FD"/>
    <w:rsid w:val="00D66775"/>
    <w:rsid w:val="00D66F95"/>
    <w:rsid w:val="00D67CF3"/>
    <w:rsid w:val="00D7031D"/>
    <w:rsid w:val="00D704D6"/>
    <w:rsid w:val="00D70E39"/>
    <w:rsid w:val="00D70EEE"/>
    <w:rsid w:val="00D71831"/>
    <w:rsid w:val="00D71922"/>
    <w:rsid w:val="00D719BA"/>
    <w:rsid w:val="00D72D80"/>
    <w:rsid w:val="00D73051"/>
    <w:rsid w:val="00D7343A"/>
    <w:rsid w:val="00D7394D"/>
    <w:rsid w:val="00D74487"/>
    <w:rsid w:val="00D7466A"/>
    <w:rsid w:val="00D74E88"/>
    <w:rsid w:val="00D75711"/>
    <w:rsid w:val="00D76EE5"/>
    <w:rsid w:val="00D77F4E"/>
    <w:rsid w:val="00D80267"/>
    <w:rsid w:val="00D80464"/>
    <w:rsid w:val="00D80EAA"/>
    <w:rsid w:val="00D81B1E"/>
    <w:rsid w:val="00D82739"/>
    <w:rsid w:val="00D8464C"/>
    <w:rsid w:val="00D8488A"/>
    <w:rsid w:val="00D8488D"/>
    <w:rsid w:val="00D84C5F"/>
    <w:rsid w:val="00D853CE"/>
    <w:rsid w:val="00D858CD"/>
    <w:rsid w:val="00D85A1C"/>
    <w:rsid w:val="00D85E89"/>
    <w:rsid w:val="00D86CC6"/>
    <w:rsid w:val="00D87B3D"/>
    <w:rsid w:val="00D90B99"/>
    <w:rsid w:val="00D9134C"/>
    <w:rsid w:val="00D914AB"/>
    <w:rsid w:val="00D91953"/>
    <w:rsid w:val="00D91AC7"/>
    <w:rsid w:val="00D92CA5"/>
    <w:rsid w:val="00D93A06"/>
    <w:rsid w:val="00D93E57"/>
    <w:rsid w:val="00D94850"/>
    <w:rsid w:val="00D94CE7"/>
    <w:rsid w:val="00D95105"/>
    <w:rsid w:val="00D95212"/>
    <w:rsid w:val="00D95267"/>
    <w:rsid w:val="00D95488"/>
    <w:rsid w:val="00D9591E"/>
    <w:rsid w:val="00D959C8"/>
    <w:rsid w:val="00D97F6A"/>
    <w:rsid w:val="00DA09DF"/>
    <w:rsid w:val="00DA17A7"/>
    <w:rsid w:val="00DA2156"/>
    <w:rsid w:val="00DA2380"/>
    <w:rsid w:val="00DA36CD"/>
    <w:rsid w:val="00DA3A75"/>
    <w:rsid w:val="00DA4BFB"/>
    <w:rsid w:val="00DA4E4F"/>
    <w:rsid w:val="00DA5252"/>
    <w:rsid w:val="00DA57A8"/>
    <w:rsid w:val="00DA5A1E"/>
    <w:rsid w:val="00DA5F4A"/>
    <w:rsid w:val="00DA6956"/>
    <w:rsid w:val="00DA7EFF"/>
    <w:rsid w:val="00DB0523"/>
    <w:rsid w:val="00DB0F20"/>
    <w:rsid w:val="00DB10A6"/>
    <w:rsid w:val="00DB15DA"/>
    <w:rsid w:val="00DB15F3"/>
    <w:rsid w:val="00DB1CE5"/>
    <w:rsid w:val="00DB2B8F"/>
    <w:rsid w:val="00DB3162"/>
    <w:rsid w:val="00DB4235"/>
    <w:rsid w:val="00DB4A96"/>
    <w:rsid w:val="00DB5958"/>
    <w:rsid w:val="00DB5C33"/>
    <w:rsid w:val="00DB673C"/>
    <w:rsid w:val="00DC0053"/>
    <w:rsid w:val="00DC08E9"/>
    <w:rsid w:val="00DC1E7D"/>
    <w:rsid w:val="00DC1F8A"/>
    <w:rsid w:val="00DC21AC"/>
    <w:rsid w:val="00DC297A"/>
    <w:rsid w:val="00DC3910"/>
    <w:rsid w:val="00DC3A92"/>
    <w:rsid w:val="00DC3C19"/>
    <w:rsid w:val="00DC4E12"/>
    <w:rsid w:val="00DC624E"/>
    <w:rsid w:val="00DC6700"/>
    <w:rsid w:val="00DC6DDE"/>
    <w:rsid w:val="00DC7FB5"/>
    <w:rsid w:val="00DD088A"/>
    <w:rsid w:val="00DD0B12"/>
    <w:rsid w:val="00DD0ECA"/>
    <w:rsid w:val="00DD143F"/>
    <w:rsid w:val="00DD180D"/>
    <w:rsid w:val="00DD1CE4"/>
    <w:rsid w:val="00DD1D2F"/>
    <w:rsid w:val="00DD2317"/>
    <w:rsid w:val="00DD238F"/>
    <w:rsid w:val="00DD2419"/>
    <w:rsid w:val="00DD2A76"/>
    <w:rsid w:val="00DD35EF"/>
    <w:rsid w:val="00DD3C60"/>
    <w:rsid w:val="00DD3CD8"/>
    <w:rsid w:val="00DD5024"/>
    <w:rsid w:val="00DD50E7"/>
    <w:rsid w:val="00DD5422"/>
    <w:rsid w:val="00DD5C0A"/>
    <w:rsid w:val="00DD5F5B"/>
    <w:rsid w:val="00DE01A1"/>
    <w:rsid w:val="00DE10AF"/>
    <w:rsid w:val="00DE126F"/>
    <w:rsid w:val="00DE1894"/>
    <w:rsid w:val="00DE1958"/>
    <w:rsid w:val="00DE2954"/>
    <w:rsid w:val="00DE2DC3"/>
    <w:rsid w:val="00DE304D"/>
    <w:rsid w:val="00DE4097"/>
    <w:rsid w:val="00DE43FA"/>
    <w:rsid w:val="00DE4F6B"/>
    <w:rsid w:val="00DE502A"/>
    <w:rsid w:val="00DE5112"/>
    <w:rsid w:val="00DE5A51"/>
    <w:rsid w:val="00DE5FDC"/>
    <w:rsid w:val="00DE6429"/>
    <w:rsid w:val="00DE7A8D"/>
    <w:rsid w:val="00DE7A9F"/>
    <w:rsid w:val="00DE7DC4"/>
    <w:rsid w:val="00DF034E"/>
    <w:rsid w:val="00DF210A"/>
    <w:rsid w:val="00DF22F2"/>
    <w:rsid w:val="00DF2E44"/>
    <w:rsid w:val="00DF3EFD"/>
    <w:rsid w:val="00DF4082"/>
    <w:rsid w:val="00DF4E8B"/>
    <w:rsid w:val="00DF7C9B"/>
    <w:rsid w:val="00E001B1"/>
    <w:rsid w:val="00E00857"/>
    <w:rsid w:val="00E0157F"/>
    <w:rsid w:val="00E0190A"/>
    <w:rsid w:val="00E01AD6"/>
    <w:rsid w:val="00E022CB"/>
    <w:rsid w:val="00E028FC"/>
    <w:rsid w:val="00E02F90"/>
    <w:rsid w:val="00E03B18"/>
    <w:rsid w:val="00E03FFA"/>
    <w:rsid w:val="00E05165"/>
    <w:rsid w:val="00E07320"/>
    <w:rsid w:val="00E07409"/>
    <w:rsid w:val="00E1008E"/>
    <w:rsid w:val="00E103FD"/>
    <w:rsid w:val="00E106AC"/>
    <w:rsid w:val="00E11A01"/>
    <w:rsid w:val="00E12C1B"/>
    <w:rsid w:val="00E13868"/>
    <w:rsid w:val="00E14767"/>
    <w:rsid w:val="00E15EE7"/>
    <w:rsid w:val="00E166A7"/>
    <w:rsid w:val="00E166CF"/>
    <w:rsid w:val="00E16827"/>
    <w:rsid w:val="00E16EE1"/>
    <w:rsid w:val="00E17070"/>
    <w:rsid w:val="00E2056D"/>
    <w:rsid w:val="00E21607"/>
    <w:rsid w:val="00E22E00"/>
    <w:rsid w:val="00E23584"/>
    <w:rsid w:val="00E24357"/>
    <w:rsid w:val="00E24846"/>
    <w:rsid w:val="00E249DC"/>
    <w:rsid w:val="00E24B7A"/>
    <w:rsid w:val="00E24DB4"/>
    <w:rsid w:val="00E25020"/>
    <w:rsid w:val="00E25109"/>
    <w:rsid w:val="00E253E7"/>
    <w:rsid w:val="00E26799"/>
    <w:rsid w:val="00E267CA"/>
    <w:rsid w:val="00E2701B"/>
    <w:rsid w:val="00E272E1"/>
    <w:rsid w:val="00E279D6"/>
    <w:rsid w:val="00E27D3D"/>
    <w:rsid w:val="00E27D8F"/>
    <w:rsid w:val="00E30B56"/>
    <w:rsid w:val="00E30BD0"/>
    <w:rsid w:val="00E30E9B"/>
    <w:rsid w:val="00E310A8"/>
    <w:rsid w:val="00E31230"/>
    <w:rsid w:val="00E312E1"/>
    <w:rsid w:val="00E31415"/>
    <w:rsid w:val="00E3147B"/>
    <w:rsid w:val="00E317B5"/>
    <w:rsid w:val="00E318F9"/>
    <w:rsid w:val="00E31B7C"/>
    <w:rsid w:val="00E322E9"/>
    <w:rsid w:val="00E32587"/>
    <w:rsid w:val="00E32A7A"/>
    <w:rsid w:val="00E32BC2"/>
    <w:rsid w:val="00E3301B"/>
    <w:rsid w:val="00E34508"/>
    <w:rsid w:val="00E34D61"/>
    <w:rsid w:val="00E35B9A"/>
    <w:rsid w:val="00E36440"/>
    <w:rsid w:val="00E368A2"/>
    <w:rsid w:val="00E36AB3"/>
    <w:rsid w:val="00E36AE2"/>
    <w:rsid w:val="00E37842"/>
    <w:rsid w:val="00E3791A"/>
    <w:rsid w:val="00E37CFF"/>
    <w:rsid w:val="00E37D7F"/>
    <w:rsid w:val="00E403CC"/>
    <w:rsid w:val="00E40672"/>
    <w:rsid w:val="00E408CE"/>
    <w:rsid w:val="00E4126D"/>
    <w:rsid w:val="00E41C13"/>
    <w:rsid w:val="00E41C2C"/>
    <w:rsid w:val="00E42A6E"/>
    <w:rsid w:val="00E42E37"/>
    <w:rsid w:val="00E43505"/>
    <w:rsid w:val="00E437C6"/>
    <w:rsid w:val="00E43EEB"/>
    <w:rsid w:val="00E442BE"/>
    <w:rsid w:val="00E44D47"/>
    <w:rsid w:val="00E455C8"/>
    <w:rsid w:val="00E4718C"/>
    <w:rsid w:val="00E47AC9"/>
    <w:rsid w:val="00E47EDE"/>
    <w:rsid w:val="00E500A2"/>
    <w:rsid w:val="00E50428"/>
    <w:rsid w:val="00E50429"/>
    <w:rsid w:val="00E51035"/>
    <w:rsid w:val="00E51EC0"/>
    <w:rsid w:val="00E53483"/>
    <w:rsid w:val="00E53A6C"/>
    <w:rsid w:val="00E53AE9"/>
    <w:rsid w:val="00E53BA4"/>
    <w:rsid w:val="00E54047"/>
    <w:rsid w:val="00E54214"/>
    <w:rsid w:val="00E545F5"/>
    <w:rsid w:val="00E5488B"/>
    <w:rsid w:val="00E555C1"/>
    <w:rsid w:val="00E55886"/>
    <w:rsid w:val="00E55CFC"/>
    <w:rsid w:val="00E57726"/>
    <w:rsid w:val="00E57FD3"/>
    <w:rsid w:val="00E60AAD"/>
    <w:rsid w:val="00E60AEA"/>
    <w:rsid w:val="00E60E61"/>
    <w:rsid w:val="00E62C6A"/>
    <w:rsid w:val="00E62D32"/>
    <w:rsid w:val="00E63273"/>
    <w:rsid w:val="00E634C8"/>
    <w:rsid w:val="00E6427C"/>
    <w:rsid w:val="00E64B8F"/>
    <w:rsid w:val="00E65204"/>
    <w:rsid w:val="00E65208"/>
    <w:rsid w:val="00E6574F"/>
    <w:rsid w:val="00E66AC5"/>
    <w:rsid w:val="00E6718A"/>
    <w:rsid w:val="00E67199"/>
    <w:rsid w:val="00E72637"/>
    <w:rsid w:val="00E7284F"/>
    <w:rsid w:val="00E72FE6"/>
    <w:rsid w:val="00E7318A"/>
    <w:rsid w:val="00E73CA3"/>
    <w:rsid w:val="00E7447D"/>
    <w:rsid w:val="00E747A5"/>
    <w:rsid w:val="00E74967"/>
    <w:rsid w:val="00E768A2"/>
    <w:rsid w:val="00E772B1"/>
    <w:rsid w:val="00E776A3"/>
    <w:rsid w:val="00E77C52"/>
    <w:rsid w:val="00E77EDB"/>
    <w:rsid w:val="00E805F3"/>
    <w:rsid w:val="00E80C76"/>
    <w:rsid w:val="00E81722"/>
    <w:rsid w:val="00E81DF5"/>
    <w:rsid w:val="00E827DB"/>
    <w:rsid w:val="00E8456D"/>
    <w:rsid w:val="00E84707"/>
    <w:rsid w:val="00E849B6"/>
    <w:rsid w:val="00E84D3B"/>
    <w:rsid w:val="00E85CA8"/>
    <w:rsid w:val="00E85D7B"/>
    <w:rsid w:val="00E867FB"/>
    <w:rsid w:val="00E870DE"/>
    <w:rsid w:val="00E87F76"/>
    <w:rsid w:val="00E901FD"/>
    <w:rsid w:val="00E9142C"/>
    <w:rsid w:val="00E91A01"/>
    <w:rsid w:val="00E927CD"/>
    <w:rsid w:val="00E92D04"/>
    <w:rsid w:val="00E92EB0"/>
    <w:rsid w:val="00E932D1"/>
    <w:rsid w:val="00E935BB"/>
    <w:rsid w:val="00E946CE"/>
    <w:rsid w:val="00E94A9A"/>
    <w:rsid w:val="00E94B31"/>
    <w:rsid w:val="00E95341"/>
    <w:rsid w:val="00E95832"/>
    <w:rsid w:val="00E95956"/>
    <w:rsid w:val="00E95D80"/>
    <w:rsid w:val="00E9625E"/>
    <w:rsid w:val="00E963D2"/>
    <w:rsid w:val="00E9677B"/>
    <w:rsid w:val="00E9745E"/>
    <w:rsid w:val="00E97C89"/>
    <w:rsid w:val="00EA0106"/>
    <w:rsid w:val="00EA0530"/>
    <w:rsid w:val="00EA244D"/>
    <w:rsid w:val="00EA2A56"/>
    <w:rsid w:val="00EA38A4"/>
    <w:rsid w:val="00EA3F98"/>
    <w:rsid w:val="00EA45AB"/>
    <w:rsid w:val="00EA4892"/>
    <w:rsid w:val="00EA4E53"/>
    <w:rsid w:val="00EA5145"/>
    <w:rsid w:val="00EA5227"/>
    <w:rsid w:val="00EA646A"/>
    <w:rsid w:val="00EA69B4"/>
    <w:rsid w:val="00EA7CD5"/>
    <w:rsid w:val="00EB0B07"/>
    <w:rsid w:val="00EB0E97"/>
    <w:rsid w:val="00EB1587"/>
    <w:rsid w:val="00EB2277"/>
    <w:rsid w:val="00EB2D11"/>
    <w:rsid w:val="00EB3005"/>
    <w:rsid w:val="00EB498E"/>
    <w:rsid w:val="00EB5175"/>
    <w:rsid w:val="00EB520F"/>
    <w:rsid w:val="00EB59FF"/>
    <w:rsid w:val="00EB6EC6"/>
    <w:rsid w:val="00EC0A08"/>
    <w:rsid w:val="00EC2D2A"/>
    <w:rsid w:val="00EC3578"/>
    <w:rsid w:val="00EC3B07"/>
    <w:rsid w:val="00EC3C06"/>
    <w:rsid w:val="00EC3FBF"/>
    <w:rsid w:val="00EC4506"/>
    <w:rsid w:val="00EC4FCF"/>
    <w:rsid w:val="00EC53FD"/>
    <w:rsid w:val="00EC5613"/>
    <w:rsid w:val="00EC5B94"/>
    <w:rsid w:val="00EC5C11"/>
    <w:rsid w:val="00EC5C78"/>
    <w:rsid w:val="00EC63DF"/>
    <w:rsid w:val="00EC650D"/>
    <w:rsid w:val="00EC6778"/>
    <w:rsid w:val="00EC682D"/>
    <w:rsid w:val="00EC683C"/>
    <w:rsid w:val="00EC753F"/>
    <w:rsid w:val="00EC77EC"/>
    <w:rsid w:val="00EC7C1B"/>
    <w:rsid w:val="00ED03B3"/>
    <w:rsid w:val="00ED0408"/>
    <w:rsid w:val="00ED0A39"/>
    <w:rsid w:val="00ED0CC2"/>
    <w:rsid w:val="00ED12DC"/>
    <w:rsid w:val="00ED1308"/>
    <w:rsid w:val="00ED19A5"/>
    <w:rsid w:val="00ED1A2A"/>
    <w:rsid w:val="00ED1D9C"/>
    <w:rsid w:val="00ED1E17"/>
    <w:rsid w:val="00ED2258"/>
    <w:rsid w:val="00ED29A3"/>
    <w:rsid w:val="00ED29F7"/>
    <w:rsid w:val="00ED2D0A"/>
    <w:rsid w:val="00ED378D"/>
    <w:rsid w:val="00ED3CF1"/>
    <w:rsid w:val="00ED466E"/>
    <w:rsid w:val="00ED46C5"/>
    <w:rsid w:val="00ED49E7"/>
    <w:rsid w:val="00ED57D3"/>
    <w:rsid w:val="00ED5AD1"/>
    <w:rsid w:val="00ED6B2C"/>
    <w:rsid w:val="00ED6C4C"/>
    <w:rsid w:val="00EE070C"/>
    <w:rsid w:val="00EE08E1"/>
    <w:rsid w:val="00EE0C41"/>
    <w:rsid w:val="00EE185B"/>
    <w:rsid w:val="00EE1E95"/>
    <w:rsid w:val="00EE3E9E"/>
    <w:rsid w:val="00EE4618"/>
    <w:rsid w:val="00EE4C7E"/>
    <w:rsid w:val="00EE4E4A"/>
    <w:rsid w:val="00EE4E72"/>
    <w:rsid w:val="00EE5306"/>
    <w:rsid w:val="00EE5BB2"/>
    <w:rsid w:val="00EE5D4B"/>
    <w:rsid w:val="00EE6079"/>
    <w:rsid w:val="00EE64DF"/>
    <w:rsid w:val="00EE6BFD"/>
    <w:rsid w:val="00EE72C6"/>
    <w:rsid w:val="00EE7553"/>
    <w:rsid w:val="00EE7C1D"/>
    <w:rsid w:val="00EF0AEA"/>
    <w:rsid w:val="00EF1694"/>
    <w:rsid w:val="00EF20E0"/>
    <w:rsid w:val="00EF221E"/>
    <w:rsid w:val="00EF229E"/>
    <w:rsid w:val="00EF32BC"/>
    <w:rsid w:val="00EF4BD5"/>
    <w:rsid w:val="00EF5525"/>
    <w:rsid w:val="00EF5B44"/>
    <w:rsid w:val="00EF5F1D"/>
    <w:rsid w:val="00EF6279"/>
    <w:rsid w:val="00EF66B7"/>
    <w:rsid w:val="00EF6FC9"/>
    <w:rsid w:val="00EF7631"/>
    <w:rsid w:val="00EF79B6"/>
    <w:rsid w:val="00EF7B8B"/>
    <w:rsid w:val="00EF7FFB"/>
    <w:rsid w:val="00F01330"/>
    <w:rsid w:val="00F015AF"/>
    <w:rsid w:val="00F0171F"/>
    <w:rsid w:val="00F01904"/>
    <w:rsid w:val="00F01D44"/>
    <w:rsid w:val="00F01F67"/>
    <w:rsid w:val="00F025D5"/>
    <w:rsid w:val="00F02AA4"/>
    <w:rsid w:val="00F037AE"/>
    <w:rsid w:val="00F04F40"/>
    <w:rsid w:val="00F05347"/>
    <w:rsid w:val="00F059A8"/>
    <w:rsid w:val="00F079DD"/>
    <w:rsid w:val="00F07E21"/>
    <w:rsid w:val="00F100AA"/>
    <w:rsid w:val="00F103CD"/>
    <w:rsid w:val="00F11A19"/>
    <w:rsid w:val="00F12752"/>
    <w:rsid w:val="00F12AA5"/>
    <w:rsid w:val="00F1316F"/>
    <w:rsid w:val="00F1335C"/>
    <w:rsid w:val="00F137AC"/>
    <w:rsid w:val="00F13FDD"/>
    <w:rsid w:val="00F1443B"/>
    <w:rsid w:val="00F1551D"/>
    <w:rsid w:val="00F159BC"/>
    <w:rsid w:val="00F15A73"/>
    <w:rsid w:val="00F15F39"/>
    <w:rsid w:val="00F16231"/>
    <w:rsid w:val="00F16457"/>
    <w:rsid w:val="00F203B1"/>
    <w:rsid w:val="00F20571"/>
    <w:rsid w:val="00F20A1A"/>
    <w:rsid w:val="00F20B28"/>
    <w:rsid w:val="00F20C74"/>
    <w:rsid w:val="00F20FFB"/>
    <w:rsid w:val="00F2190F"/>
    <w:rsid w:val="00F21C61"/>
    <w:rsid w:val="00F22058"/>
    <w:rsid w:val="00F236E4"/>
    <w:rsid w:val="00F23D62"/>
    <w:rsid w:val="00F23FA8"/>
    <w:rsid w:val="00F24233"/>
    <w:rsid w:val="00F24C5F"/>
    <w:rsid w:val="00F24EA8"/>
    <w:rsid w:val="00F25968"/>
    <w:rsid w:val="00F25C28"/>
    <w:rsid w:val="00F2685D"/>
    <w:rsid w:val="00F306CE"/>
    <w:rsid w:val="00F308FA"/>
    <w:rsid w:val="00F30DD4"/>
    <w:rsid w:val="00F30E53"/>
    <w:rsid w:val="00F316E3"/>
    <w:rsid w:val="00F32154"/>
    <w:rsid w:val="00F3264C"/>
    <w:rsid w:val="00F326AB"/>
    <w:rsid w:val="00F32A25"/>
    <w:rsid w:val="00F32C7F"/>
    <w:rsid w:val="00F32F50"/>
    <w:rsid w:val="00F3353A"/>
    <w:rsid w:val="00F33C2F"/>
    <w:rsid w:val="00F33EB2"/>
    <w:rsid w:val="00F344D0"/>
    <w:rsid w:val="00F347AB"/>
    <w:rsid w:val="00F350CE"/>
    <w:rsid w:val="00F355CF"/>
    <w:rsid w:val="00F36C48"/>
    <w:rsid w:val="00F3738C"/>
    <w:rsid w:val="00F37E2E"/>
    <w:rsid w:val="00F37F9D"/>
    <w:rsid w:val="00F4062A"/>
    <w:rsid w:val="00F408F6"/>
    <w:rsid w:val="00F415FF"/>
    <w:rsid w:val="00F41663"/>
    <w:rsid w:val="00F420F8"/>
    <w:rsid w:val="00F425A4"/>
    <w:rsid w:val="00F436C5"/>
    <w:rsid w:val="00F43F43"/>
    <w:rsid w:val="00F44525"/>
    <w:rsid w:val="00F44F01"/>
    <w:rsid w:val="00F45A39"/>
    <w:rsid w:val="00F47176"/>
    <w:rsid w:val="00F47B35"/>
    <w:rsid w:val="00F47C2E"/>
    <w:rsid w:val="00F50517"/>
    <w:rsid w:val="00F509D9"/>
    <w:rsid w:val="00F50A39"/>
    <w:rsid w:val="00F50F5C"/>
    <w:rsid w:val="00F512BA"/>
    <w:rsid w:val="00F51BB4"/>
    <w:rsid w:val="00F528A9"/>
    <w:rsid w:val="00F540E2"/>
    <w:rsid w:val="00F55F6E"/>
    <w:rsid w:val="00F56B8B"/>
    <w:rsid w:val="00F56D3E"/>
    <w:rsid w:val="00F57846"/>
    <w:rsid w:val="00F57C61"/>
    <w:rsid w:val="00F57FE6"/>
    <w:rsid w:val="00F60005"/>
    <w:rsid w:val="00F601D0"/>
    <w:rsid w:val="00F60BD8"/>
    <w:rsid w:val="00F61F53"/>
    <w:rsid w:val="00F62172"/>
    <w:rsid w:val="00F62913"/>
    <w:rsid w:val="00F6311C"/>
    <w:rsid w:val="00F639CE"/>
    <w:rsid w:val="00F63A55"/>
    <w:rsid w:val="00F64D4C"/>
    <w:rsid w:val="00F66C05"/>
    <w:rsid w:val="00F7036D"/>
    <w:rsid w:val="00F703D7"/>
    <w:rsid w:val="00F70768"/>
    <w:rsid w:val="00F70C5F"/>
    <w:rsid w:val="00F70F7E"/>
    <w:rsid w:val="00F70FBB"/>
    <w:rsid w:val="00F710C5"/>
    <w:rsid w:val="00F72958"/>
    <w:rsid w:val="00F73D67"/>
    <w:rsid w:val="00F743C3"/>
    <w:rsid w:val="00F74884"/>
    <w:rsid w:val="00F74D61"/>
    <w:rsid w:val="00F7548C"/>
    <w:rsid w:val="00F76418"/>
    <w:rsid w:val="00F76486"/>
    <w:rsid w:val="00F76A5B"/>
    <w:rsid w:val="00F80147"/>
    <w:rsid w:val="00F80DA6"/>
    <w:rsid w:val="00F81094"/>
    <w:rsid w:val="00F81470"/>
    <w:rsid w:val="00F817A7"/>
    <w:rsid w:val="00F81900"/>
    <w:rsid w:val="00F81B09"/>
    <w:rsid w:val="00F827FB"/>
    <w:rsid w:val="00F831AB"/>
    <w:rsid w:val="00F83A59"/>
    <w:rsid w:val="00F83A6A"/>
    <w:rsid w:val="00F83C5D"/>
    <w:rsid w:val="00F841E9"/>
    <w:rsid w:val="00F84273"/>
    <w:rsid w:val="00F8486B"/>
    <w:rsid w:val="00F84C5D"/>
    <w:rsid w:val="00F850C4"/>
    <w:rsid w:val="00F856D7"/>
    <w:rsid w:val="00F8585C"/>
    <w:rsid w:val="00F85865"/>
    <w:rsid w:val="00F8631D"/>
    <w:rsid w:val="00F86372"/>
    <w:rsid w:val="00F8679F"/>
    <w:rsid w:val="00F871F9"/>
    <w:rsid w:val="00F8732E"/>
    <w:rsid w:val="00F87334"/>
    <w:rsid w:val="00F874C1"/>
    <w:rsid w:val="00F90683"/>
    <w:rsid w:val="00F9097D"/>
    <w:rsid w:val="00F90D70"/>
    <w:rsid w:val="00F91ACC"/>
    <w:rsid w:val="00F92466"/>
    <w:rsid w:val="00F924CA"/>
    <w:rsid w:val="00F92603"/>
    <w:rsid w:val="00F9285A"/>
    <w:rsid w:val="00F92AEE"/>
    <w:rsid w:val="00F92BCC"/>
    <w:rsid w:val="00F9343F"/>
    <w:rsid w:val="00F936E7"/>
    <w:rsid w:val="00F938C9"/>
    <w:rsid w:val="00F95380"/>
    <w:rsid w:val="00F95C84"/>
    <w:rsid w:val="00F96AA8"/>
    <w:rsid w:val="00F96F52"/>
    <w:rsid w:val="00FA0139"/>
    <w:rsid w:val="00FA03C2"/>
    <w:rsid w:val="00FA1798"/>
    <w:rsid w:val="00FA1D00"/>
    <w:rsid w:val="00FA2908"/>
    <w:rsid w:val="00FA2977"/>
    <w:rsid w:val="00FA2AD7"/>
    <w:rsid w:val="00FA2B9E"/>
    <w:rsid w:val="00FA2D88"/>
    <w:rsid w:val="00FA34DD"/>
    <w:rsid w:val="00FA40DB"/>
    <w:rsid w:val="00FA476C"/>
    <w:rsid w:val="00FA4F77"/>
    <w:rsid w:val="00FA51A2"/>
    <w:rsid w:val="00FA5B48"/>
    <w:rsid w:val="00FA6720"/>
    <w:rsid w:val="00FA6E23"/>
    <w:rsid w:val="00FA7121"/>
    <w:rsid w:val="00FA713A"/>
    <w:rsid w:val="00FA75D7"/>
    <w:rsid w:val="00FA7870"/>
    <w:rsid w:val="00FB00E1"/>
    <w:rsid w:val="00FB05C0"/>
    <w:rsid w:val="00FB14BA"/>
    <w:rsid w:val="00FB2717"/>
    <w:rsid w:val="00FB2777"/>
    <w:rsid w:val="00FB2A31"/>
    <w:rsid w:val="00FB2DA2"/>
    <w:rsid w:val="00FB4395"/>
    <w:rsid w:val="00FB58A7"/>
    <w:rsid w:val="00FB58D4"/>
    <w:rsid w:val="00FB5C9C"/>
    <w:rsid w:val="00FB5CF8"/>
    <w:rsid w:val="00FB6259"/>
    <w:rsid w:val="00FB7B77"/>
    <w:rsid w:val="00FB7E56"/>
    <w:rsid w:val="00FC0176"/>
    <w:rsid w:val="00FC0318"/>
    <w:rsid w:val="00FC058B"/>
    <w:rsid w:val="00FC0D73"/>
    <w:rsid w:val="00FC1A6B"/>
    <w:rsid w:val="00FC1CD1"/>
    <w:rsid w:val="00FC22BB"/>
    <w:rsid w:val="00FC38C4"/>
    <w:rsid w:val="00FC38CC"/>
    <w:rsid w:val="00FC3C58"/>
    <w:rsid w:val="00FC3CCA"/>
    <w:rsid w:val="00FC49F5"/>
    <w:rsid w:val="00FC5FD9"/>
    <w:rsid w:val="00FC675D"/>
    <w:rsid w:val="00FC7876"/>
    <w:rsid w:val="00FD004C"/>
    <w:rsid w:val="00FD02F7"/>
    <w:rsid w:val="00FD0834"/>
    <w:rsid w:val="00FD09A1"/>
    <w:rsid w:val="00FD0F73"/>
    <w:rsid w:val="00FD108C"/>
    <w:rsid w:val="00FD1213"/>
    <w:rsid w:val="00FD1E1A"/>
    <w:rsid w:val="00FD2112"/>
    <w:rsid w:val="00FD21CD"/>
    <w:rsid w:val="00FD2441"/>
    <w:rsid w:val="00FD2558"/>
    <w:rsid w:val="00FD3961"/>
    <w:rsid w:val="00FD3F58"/>
    <w:rsid w:val="00FD5428"/>
    <w:rsid w:val="00FD5B82"/>
    <w:rsid w:val="00FD5D71"/>
    <w:rsid w:val="00FD5DA0"/>
    <w:rsid w:val="00FD5DD6"/>
    <w:rsid w:val="00FD7590"/>
    <w:rsid w:val="00FD7C59"/>
    <w:rsid w:val="00FE0BA0"/>
    <w:rsid w:val="00FE11B9"/>
    <w:rsid w:val="00FE1623"/>
    <w:rsid w:val="00FE201E"/>
    <w:rsid w:val="00FE28F2"/>
    <w:rsid w:val="00FE3570"/>
    <w:rsid w:val="00FE4D15"/>
    <w:rsid w:val="00FE4DD6"/>
    <w:rsid w:val="00FE506B"/>
    <w:rsid w:val="00FE51DC"/>
    <w:rsid w:val="00FE5742"/>
    <w:rsid w:val="00FE59DC"/>
    <w:rsid w:val="00FE6014"/>
    <w:rsid w:val="00FE6B45"/>
    <w:rsid w:val="00FE6D92"/>
    <w:rsid w:val="00FE78E9"/>
    <w:rsid w:val="00FE7ACF"/>
    <w:rsid w:val="00FE7FC6"/>
    <w:rsid w:val="00FF0099"/>
    <w:rsid w:val="00FF030B"/>
    <w:rsid w:val="00FF05B2"/>
    <w:rsid w:val="00FF169F"/>
    <w:rsid w:val="00FF1E1E"/>
    <w:rsid w:val="00FF1EF3"/>
    <w:rsid w:val="00FF1FFF"/>
    <w:rsid w:val="00FF2006"/>
    <w:rsid w:val="00FF22BA"/>
    <w:rsid w:val="00FF28D8"/>
    <w:rsid w:val="00FF3932"/>
    <w:rsid w:val="00FF3FE5"/>
    <w:rsid w:val="00FF4A1D"/>
    <w:rsid w:val="00FF524E"/>
    <w:rsid w:val="00FF713E"/>
    <w:rsid w:val="00FF7B89"/>
    <w:rsid w:val="0110451A"/>
    <w:rsid w:val="011176EC"/>
    <w:rsid w:val="01140D0F"/>
    <w:rsid w:val="01294363"/>
    <w:rsid w:val="01323995"/>
    <w:rsid w:val="01393ECC"/>
    <w:rsid w:val="01415CD2"/>
    <w:rsid w:val="01464D0B"/>
    <w:rsid w:val="015B2567"/>
    <w:rsid w:val="015B5A28"/>
    <w:rsid w:val="01650D7E"/>
    <w:rsid w:val="01696FA9"/>
    <w:rsid w:val="017165B7"/>
    <w:rsid w:val="017E274F"/>
    <w:rsid w:val="01840D23"/>
    <w:rsid w:val="01893669"/>
    <w:rsid w:val="018C0765"/>
    <w:rsid w:val="018D0F17"/>
    <w:rsid w:val="0191060D"/>
    <w:rsid w:val="01970F55"/>
    <w:rsid w:val="019B792D"/>
    <w:rsid w:val="019F5DAE"/>
    <w:rsid w:val="019F5EE2"/>
    <w:rsid w:val="01A1605B"/>
    <w:rsid w:val="01A30484"/>
    <w:rsid w:val="01A66FAC"/>
    <w:rsid w:val="01B0653B"/>
    <w:rsid w:val="01B7120F"/>
    <w:rsid w:val="01B83889"/>
    <w:rsid w:val="01C0753F"/>
    <w:rsid w:val="01C53B2B"/>
    <w:rsid w:val="01C55CBC"/>
    <w:rsid w:val="01CC3898"/>
    <w:rsid w:val="01D16D00"/>
    <w:rsid w:val="01D322E5"/>
    <w:rsid w:val="01D5487A"/>
    <w:rsid w:val="01E6152D"/>
    <w:rsid w:val="01ED55B0"/>
    <w:rsid w:val="01F1255F"/>
    <w:rsid w:val="0200793B"/>
    <w:rsid w:val="020626AB"/>
    <w:rsid w:val="02087BC4"/>
    <w:rsid w:val="02112328"/>
    <w:rsid w:val="02114113"/>
    <w:rsid w:val="021A27AB"/>
    <w:rsid w:val="021E51CE"/>
    <w:rsid w:val="022E6EFC"/>
    <w:rsid w:val="023A1FA1"/>
    <w:rsid w:val="023F142D"/>
    <w:rsid w:val="02551A35"/>
    <w:rsid w:val="025F28B4"/>
    <w:rsid w:val="026305F6"/>
    <w:rsid w:val="02657257"/>
    <w:rsid w:val="026678D0"/>
    <w:rsid w:val="026C0C67"/>
    <w:rsid w:val="026C4FBF"/>
    <w:rsid w:val="026C4FD1"/>
    <w:rsid w:val="027F71A2"/>
    <w:rsid w:val="02862505"/>
    <w:rsid w:val="028A3AB1"/>
    <w:rsid w:val="028E1E2B"/>
    <w:rsid w:val="02AA13E5"/>
    <w:rsid w:val="02AB7CBA"/>
    <w:rsid w:val="02C82A28"/>
    <w:rsid w:val="02DD3073"/>
    <w:rsid w:val="02DE5ECF"/>
    <w:rsid w:val="02ED18ED"/>
    <w:rsid w:val="02EE03C8"/>
    <w:rsid w:val="02F374E4"/>
    <w:rsid w:val="02F72AEC"/>
    <w:rsid w:val="02FF4E80"/>
    <w:rsid w:val="03022BC6"/>
    <w:rsid w:val="03060F81"/>
    <w:rsid w:val="03084CFA"/>
    <w:rsid w:val="031756AA"/>
    <w:rsid w:val="0329798B"/>
    <w:rsid w:val="032B6D3E"/>
    <w:rsid w:val="03306F17"/>
    <w:rsid w:val="03465257"/>
    <w:rsid w:val="035148F2"/>
    <w:rsid w:val="03584049"/>
    <w:rsid w:val="035C13EF"/>
    <w:rsid w:val="035E2B6B"/>
    <w:rsid w:val="03747AF8"/>
    <w:rsid w:val="039577EB"/>
    <w:rsid w:val="03A1159F"/>
    <w:rsid w:val="03BF2BA2"/>
    <w:rsid w:val="03C249D5"/>
    <w:rsid w:val="03CB29FF"/>
    <w:rsid w:val="03D60954"/>
    <w:rsid w:val="03DB0660"/>
    <w:rsid w:val="03EE3544"/>
    <w:rsid w:val="03F70747"/>
    <w:rsid w:val="03FA52EB"/>
    <w:rsid w:val="03FB453F"/>
    <w:rsid w:val="04130446"/>
    <w:rsid w:val="04197B8D"/>
    <w:rsid w:val="041C3B0E"/>
    <w:rsid w:val="041F679F"/>
    <w:rsid w:val="04253689"/>
    <w:rsid w:val="042E54AD"/>
    <w:rsid w:val="044B6DCB"/>
    <w:rsid w:val="04546271"/>
    <w:rsid w:val="04565254"/>
    <w:rsid w:val="04575F38"/>
    <w:rsid w:val="045D2E23"/>
    <w:rsid w:val="04624C70"/>
    <w:rsid w:val="04677ABA"/>
    <w:rsid w:val="048819C4"/>
    <w:rsid w:val="048E04F6"/>
    <w:rsid w:val="049571A1"/>
    <w:rsid w:val="04B4654D"/>
    <w:rsid w:val="04D806FC"/>
    <w:rsid w:val="04EC5D82"/>
    <w:rsid w:val="04EE7F1F"/>
    <w:rsid w:val="050B48D0"/>
    <w:rsid w:val="05151950"/>
    <w:rsid w:val="05163953"/>
    <w:rsid w:val="051B0BD8"/>
    <w:rsid w:val="053E447D"/>
    <w:rsid w:val="054705A3"/>
    <w:rsid w:val="054A7465"/>
    <w:rsid w:val="054D071D"/>
    <w:rsid w:val="055514B7"/>
    <w:rsid w:val="055646E8"/>
    <w:rsid w:val="056F273B"/>
    <w:rsid w:val="0576033A"/>
    <w:rsid w:val="057D377D"/>
    <w:rsid w:val="05832D5D"/>
    <w:rsid w:val="05A32EFA"/>
    <w:rsid w:val="05A91830"/>
    <w:rsid w:val="05AA53DA"/>
    <w:rsid w:val="05AD5D09"/>
    <w:rsid w:val="05B13578"/>
    <w:rsid w:val="05B3330C"/>
    <w:rsid w:val="05B77FDE"/>
    <w:rsid w:val="05B9052D"/>
    <w:rsid w:val="05C30E47"/>
    <w:rsid w:val="05C96278"/>
    <w:rsid w:val="05CE3413"/>
    <w:rsid w:val="05CE5853"/>
    <w:rsid w:val="05D0030C"/>
    <w:rsid w:val="05DC0D29"/>
    <w:rsid w:val="05E57574"/>
    <w:rsid w:val="05EC00AC"/>
    <w:rsid w:val="05ED2AE2"/>
    <w:rsid w:val="05FA5E42"/>
    <w:rsid w:val="05FC4EA3"/>
    <w:rsid w:val="060043AE"/>
    <w:rsid w:val="06105D50"/>
    <w:rsid w:val="061943DE"/>
    <w:rsid w:val="061960BC"/>
    <w:rsid w:val="061C6C31"/>
    <w:rsid w:val="062740B7"/>
    <w:rsid w:val="062F3250"/>
    <w:rsid w:val="06303EAB"/>
    <w:rsid w:val="06305565"/>
    <w:rsid w:val="063137A7"/>
    <w:rsid w:val="064B6477"/>
    <w:rsid w:val="06545855"/>
    <w:rsid w:val="065674F3"/>
    <w:rsid w:val="06655F46"/>
    <w:rsid w:val="0684289B"/>
    <w:rsid w:val="0686479E"/>
    <w:rsid w:val="068808C1"/>
    <w:rsid w:val="069E5C46"/>
    <w:rsid w:val="06A51EF3"/>
    <w:rsid w:val="06B04DB5"/>
    <w:rsid w:val="06C118B6"/>
    <w:rsid w:val="06C249F8"/>
    <w:rsid w:val="06C4362D"/>
    <w:rsid w:val="06C453DB"/>
    <w:rsid w:val="06C60E7B"/>
    <w:rsid w:val="06C743CC"/>
    <w:rsid w:val="06CE4CE4"/>
    <w:rsid w:val="06E36D20"/>
    <w:rsid w:val="06E614A9"/>
    <w:rsid w:val="06F86B11"/>
    <w:rsid w:val="06FD6A9C"/>
    <w:rsid w:val="071E7895"/>
    <w:rsid w:val="07277371"/>
    <w:rsid w:val="073216DD"/>
    <w:rsid w:val="07351E35"/>
    <w:rsid w:val="07391DBB"/>
    <w:rsid w:val="073D07B2"/>
    <w:rsid w:val="07442078"/>
    <w:rsid w:val="074B07B5"/>
    <w:rsid w:val="07554508"/>
    <w:rsid w:val="07570BEC"/>
    <w:rsid w:val="075B5D40"/>
    <w:rsid w:val="076176A3"/>
    <w:rsid w:val="076646E5"/>
    <w:rsid w:val="07764EA6"/>
    <w:rsid w:val="077C5CB6"/>
    <w:rsid w:val="077C7A64"/>
    <w:rsid w:val="0786655F"/>
    <w:rsid w:val="078D167E"/>
    <w:rsid w:val="07A71166"/>
    <w:rsid w:val="07B83E73"/>
    <w:rsid w:val="07EE033A"/>
    <w:rsid w:val="07FD1AA5"/>
    <w:rsid w:val="08053EFD"/>
    <w:rsid w:val="08055667"/>
    <w:rsid w:val="08346591"/>
    <w:rsid w:val="0836554F"/>
    <w:rsid w:val="083A658E"/>
    <w:rsid w:val="0845254C"/>
    <w:rsid w:val="084F4F9E"/>
    <w:rsid w:val="0850267F"/>
    <w:rsid w:val="08513216"/>
    <w:rsid w:val="08556A64"/>
    <w:rsid w:val="08580887"/>
    <w:rsid w:val="08724F65"/>
    <w:rsid w:val="08792EC3"/>
    <w:rsid w:val="087C1E01"/>
    <w:rsid w:val="087D2FBC"/>
    <w:rsid w:val="08850B9A"/>
    <w:rsid w:val="08970701"/>
    <w:rsid w:val="089B216C"/>
    <w:rsid w:val="08AC6127"/>
    <w:rsid w:val="08B71BA9"/>
    <w:rsid w:val="08CF45C4"/>
    <w:rsid w:val="08D50FE1"/>
    <w:rsid w:val="08E01988"/>
    <w:rsid w:val="08E27CBD"/>
    <w:rsid w:val="08EF7874"/>
    <w:rsid w:val="08F11903"/>
    <w:rsid w:val="08F40A40"/>
    <w:rsid w:val="09120581"/>
    <w:rsid w:val="09242161"/>
    <w:rsid w:val="0937582A"/>
    <w:rsid w:val="09376242"/>
    <w:rsid w:val="093B1FEA"/>
    <w:rsid w:val="093C2558"/>
    <w:rsid w:val="093C6557"/>
    <w:rsid w:val="09414AC1"/>
    <w:rsid w:val="09433C67"/>
    <w:rsid w:val="094B3B92"/>
    <w:rsid w:val="09524F20"/>
    <w:rsid w:val="0953333F"/>
    <w:rsid w:val="095F2253"/>
    <w:rsid w:val="09691920"/>
    <w:rsid w:val="096D4E64"/>
    <w:rsid w:val="09772BD9"/>
    <w:rsid w:val="09775807"/>
    <w:rsid w:val="098209BD"/>
    <w:rsid w:val="09835760"/>
    <w:rsid w:val="098B3D73"/>
    <w:rsid w:val="09982F49"/>
    <w:rsid w:val="099A2423"/>
    <w:rsid w:val="09A137B2"/>
    <w:rsid w:val="09A92587"/>
    <w:rsid w:val="09AA7042"/>
    <w:rsid w:val="09B04A7F"/>
    <w:rsid w:val="09B07E99"/>
    <w:rsid w:val="09B27A4A"/>
    <w:rsid w:val="09B66248"/>
    <w:rsid w:val="09BF2187"/>
    <w:rsid w:val="09C22F8F"/>
    <w:rsid w:val="09C771CC"/>
    <w:rsid w:val="09C965B9"/>
    <w:rsid w:val="09CD0A4B"/>
    <w:rsid w:val="09D61438"/>
    <w:rsid w:val="09D8054E"/>
    <w:rsid w:val="09DC47EA"/>
    <w:rsid w:val="09E55D95"/>
    <w:rsid w:val="09EA22D5"/>
    <w:rsid w:val="09EB2C7F"/>
    <w:rsid w:val="09F7477E"/>
    <w:rsid w:val="09FA09BE"/>
    <w:rsid w:val="0A0D7099"/>
    <w:rsid w:val="0A1B7A08"/>
    <w:rsid w:val="0A1E3829"/>
    <w:rsid w:val="0A1F3DF0"/>
    <w:rsid w:val="0A291B69"/>
    <w:rsid w:val="0A36039E"/>
    <w:rsid w:val="0A38067D"/>
    <w:rsid w:val="0A3C329E"/>
    <w:rsid w:val="0A3E6EDA"/>
    <w:rsid w:val="0A4A6AD9"/>
    <w:rsid w:val="0A610DDC"/>
    <w:rsid w:val="0A6932D7"/>
    <w:rsid w:val="0A740EC6"/>
    <w:rsid w:val="0A75027B"/>
    <w:rsid w:val="0A774B18"/>
    <w:rsid w:val="0A796D34"/>
    <w:rsid w:val="0A8475F5"/>
    <w:rsid w:val="0A8531A7"/>
    <w:rsid w:val="0A8C6210"/>
    <w:rsid w:val="0AAA2BFC"/>
    <w:rsid w:val="0AAE1DFC"/>
    <w:rsid w:val="0ACB651F"/>
    <w:rsid w:val="0AD416CD"/>
    <w:rsid w:val="0AD92E29"/>
    <w:rsid w:val="0AEB30B8"/>
    <w:rsid w:val="0AF33A92"/>
    <w:rsid w:val="0AFC616A"/>
    <w:rsid w:val="0B095AB3"/>
    <w:rsid w:val="0B0F03B9"/>
    <w:rsid w:val="0B1316BA"/>
    <w:rsid w:val="0B1A381C"/>
    <w:rsid w:val="0B2A04B9"/>
    <w:rsid w:val="0B2B391F"/>
    <w:rsid w:val="0B343297"/>
    <w:rsid w:val="0B3C7C36"/>
    <w:rsid w:val="0B3D76F7"/>
    <w:rsid w:val="0B460A68"/>
    <w:rsid w:val="0B497A25"/>
    <w:rsid w:val="0B4E532A"/>
    <w:rsid w:val="0B50193C"/>
    <w:rsid w:val="0B543367"/>
    <w:rsid w:val="0B674587"/>
    <w:rsid w:val="0B715F83"/>
    <w:rsid w:val="0B770C6E"/>
    <w:rsid w:val="0B7A6FA6"/>
    <w:rsid w:val="0B815649"/>
    <w:rsid w:val="0B855629"/>
    <w:rsid w:val="0B9171B9"/>
    <w:rsid w:val="0BA37CB5"/>
    <w:rsid w:val="0BA61553"/>
    <w:rsid w:val="0BA73D42"/>
    <w:rsid w:val="0BAD1BD9"/>
    <w:rsid w:val="0BB579E9"/>
    <w:rsid w:val="0BB91287"/>
    <w:rsid w:val="0BCA265D"/>
    <w:rsid w:val="0BD61435"/>
    <w:rsid w:val="0BDF754C"/>
    <w:rsid w:val="0BEF3BDA"/>
    <w:rsid w:val="0BF07D4C"/>
    <w:rsid w:val="0BF23E37"/>
    <w:rsid w:val="0BFA364D"/>
    <w:rsid w:val="0BFC1173"/>
    <w:rsid w:val="0C000C64"/>
    <w:rsid w:val="0C02028D"/>
    <w:rsid w:val="0C084B34"/>
    <w:rsid w:val="0C0A65F6"/>
    <w:rsid w:val="0C161DD3"/>
    <w:rsid w:val="0C232BA4"/>
    <w:rsid w:val="0C264D31"/>
    <w:rsid w:val="0C396B92"/>
    <w:rsid w:val="0C410721"/>
    <w:rsid w:val="0C41225F"/>
    <w:rsid w:val="0C435B5C"/>
    <w:rsid w:val="0C4D5E73"/>
    <w:rsid w:val="0C5069E0"/>
    <w:rsid w:val="0C796FE7"/>
    <w:rsid w:val="0C7E7DDA"/>
    <w:rsid w:val="0C803B53"/>
    <w:rsid w:val="0C8A2DDA"/>
    <w:rsid w:val="0C992E66"/>
    <w:rsid w:val="0CB268A0"/>
    <w:rsid w:val="0CC630A4"/>
    <w:rsid w:val="0CDA25AE"/>
    <w:rsid w:val="0CE967E8"/>
    <w:rsid w:val="0CEF4436"/>
    <w:rsid w:val="0CEF72A3"/>
    <w:rsid w:val="0CF718B4"/>
    <w:rsid w:val="0CF96E6A"/>
    <w:rsid w:val="0D10137A"/>
    <w:rsid w:val="0D253568"/>
    <w:rsid w:val="0D254190"/>
    <w:rsid w:val="0D2941EA"/>
    <w:rsid w:val="0D306CF4"/>
    <w:rsid w:val="0D462D5E"/>
    <w:rsid w:val="0D474F66"/>
    <w:rsid w:val="0D482BB1"/>
    <w:rsid w:val="0D49663A"/>
    <w:rsid w:val="0D517059"/>
    <w:rsid w:val="0D5C636E"/>
    <w:rsid w:val="0D61600F"/>
    <w:rsid w:val="0D8301BA"/>
    <w:rsid w:val="0D86163D"/>
    <w:rsid w:val="0D891795"/>
    <w:rsid w:val="0D8C6E04"/>
    <w:rsid w:val="0D9A02C7"/>
    <w:rsid w:val="0DA60738"/>
    <w:rsid w:val="0DAB10A3"/>
    <w:rsid w:val="0DAC2143"/>
    <w:rsid w:val="0DBA45FA"/>
    <w:rsid w:val="0DCE6B40"/>
    <w:rsid w:val="0DD50CFB"/>
    <w:rsid w:val="0DDC4C8D"/>
    <w:rsid w:val="0DDC70E0"/>
    <w:rsid w:val="0DE018AD"/>
    <w:rsid w:val="0DEF71B1"/>
    <w:rsid w:val="0DF34163"/>
    <w:rsid w:val="0DFB11D0"/>
    <w:rsid w:val="0DFB165B"/>
    <w:rsid w:val="0DFE25EA"/>
    <w:rsid w:val="0DFE78E9"/>
    <w:rsid w:val="0E1704E7"/>
    <w:rsid w:val="0E181CA3"/>
    <w:rsid w:val="0E197DBB"/>
    <w:rsid w:val="0E263EA3"/>
    <w:rsid w:val="0E26741B"/>
    <w:rsid w:val="0E2A021A"/>
    <w:rsid w:val="0E332D41"/>
    <w:rsid w:val="0E361191"/>
    <w:rsid w:val="0E3F3599"/>
    <w:rsid w:val="0E40546E"/>
    <w:rsid w:val="0E4738FA"/>
    <w:rsid w:val="0E504E10"/>
    <w:rsid w:val="0E565000"/>
    <w:rsid w:val="0E5E4047"/>
    <w:rsid w:val="0E6954F6"/>
    <w:rsid w:val="0E720C17"/>
    <w:rsid w:val="0E7312E8"/>
    <w:rsid w:val="0E974791"/>
    <w:rsid w:val="0E97693A"/>
    <w:rsid w:val="0EA21814"/>
    <w:rsid w:val="0EA62DDA"/>
    <w:rsid w:val="0EAA7D9B"/>
    <w:rsid w:val="0EAC50D3"/>
    <w:rsid w:val="0EB421D9"/>
    <w:rsid w:val="0EB95F13"/>
    <w:rsid w:val="0EC86D86"/>
    <w:rsid w:val="0ED2688D"/>
    <w:rsid w:val="0ED31344"/>
    <w:rsid w:val="0ED463D8"/>
    <w:rsid w:val="0EDB31E4"/>
    <w:rsid w:val="0EE501B8"/>
    <w:rsid w:val="0EF13552"/>
    <w:rsid w:val="0EF92D65"/>
    <w:rsid w:val="0F0B2EEC"/>
    <w:rsid w:val="0F0F7410"/>
    <w:rsid w:val="0F1748FB"/>
    <w:rsid w:val="0F1B75AC"/>
    <w:rsid w:val="0F1D086C"/>
    <w:rsid w:val="0F24110D"/>
    <w:rsid w:val="0F295AC8"/>
    <w:rsid w:val="0F2B060B"/>
    <w:rsid w:val="0F2E3D3A"/>
    <w:rsid w:val="0F2F1860"/>
    <w:rsid w:val="0F314BEF"/>
    <w:rsid w:val="0F374C93"/>
    <w:rsid w:val="0F3B6457"/>
    <w:rsid w:val="0F420BE6"/>
    <w:rsid w:val="0F5C4890"/>
    <w:rsid w:val="0F64775C"/>
    <w:rsid w:val="0F6E311F"/>
    <w:rsid w:val="0F6F0E3D"/>
    <w:rsid w:val="0F763231"/>
    <w:rsid w:val="0F790E4C"/>
    <w:rsid w:val="0F8153D7"/>
    <w:rsid w:val="0F84395A"/>
    <w:rsid w:val="0F8611CB"/>
    <w:rsid w:val="0F8B2AE0"/>
    <w:rsid w:val="0F8E5CA3"/>
    <w:rsid w:val="0F92757E"/>
    <w:rsid w:val="0FA45D88"/>
    <w:rsid w:val="0FA4776F"/>
    <w:rsid w:val="0FA83AEC"/>
    <w:rsid w:val="0FB2599E"/>
    <w:rsid w:val="0FBE29A1"/>
    <w:rsid w:val="0FC622CE"/>
    <w:rsid w:val="0FCA42ED"/>
    <w:rsid w:val="0FCA516C"/>
    <w:rsid w:val="0FE24389"/>
    <w:rsid w:val="0FE73037"/>
    <w:rsid w:val="0FE93208"/>
    <w:rsid w:val="0FEA7E35"/>
    <w:rsid w:val="0FF70686"/>
    <w:rsid w:val="10031D39"/>
    <w:rsid w:val="10051A3A"/>
    <w:rsid w:val="100558C9"/>
    <w:rsid w:val="10066ABB"/>
    <w:rsid w:val="100A219C"/>
    <w:rsid w:val="10246863"/>
    <w:rsid w:val="10264659"/>
    <w:rsid w:val="1029377C"/>
    <w:rsid w:val="102E1B18"/>
    <w:rsid w:val="10335554"/>
    <w:rsid w:val="10404163"/>
    <w:rsid w:val="10572BDA"/>
    <w:rsid w:val="10664056"/>
    <w:rsid w:val="106F045E"/>
    <w:rsid w:val="107C156C"/>
    <w:rsid w:val="10803ABE"/>
    <w:rsid w:val="10816C46"/>
    <w:rsid w:val="108279E0"/>
    <w:rsid w:val="10A7652D"/>
    <w:rsid w:val="10AA5642"/>
    <w:rsid w:val="10AB31B6"/>
    <w:rsid w:val="10BB784F"/>
    <w:rsid w:val="10BE10ED"/>
    <w:rsid w:val="10C24950"/>
    <w:rsid w:val="10C62793"/>
    <w:rsid w:val="10C754C8"/>
    <w:rsid w:val="10C952A4"/>
    <w:rsid w:val="10D66437"/>
    <w:rsid w:val="10E15C78"/>
    <w:rsid w:val="10E424D5"/>
    <w:rsid w:val="10ED6ADA"/>
    <w:rsid w:val="10F3319D"/>
    <w:rsid w:val="10F60887"/>
    <w:rsid w:val="10F84C11"/>
    <w:rsid w:val="11062655"/>
    <w:rsid w:val="111451B1"/>
    <w:rsid w:val="1116598F"/>
    <w:rsid w:val="112371A2"/>
    <w:rsid w:val="112C24FB"/>
    <w:rsid w:val="11350189"/>
    <w:rsid w:val="11380B10"/>
    <w:rsid w:val="11380EA0"/>
    <w:rsid w:val="11383042"/>
    <w:rsid w:val="113A49B2"/>
    <w:rsid w:val="11597AD2"/>
    <w:rsid w:val="11643939"/>
    <w:rsid w:val="116E2920"/>
    <w:rsid w:val="11716160"/>
    <w:rsid w:val="117440EB"/>
    <w:rsid w:val="11804CFA"/>
    <w:rsid w:val="11910F3E"/>
    <w:rsid w:val="11A2081E"/>
    <w:rsid w:val="11BD13A5"/>
    <w:rsid w:val="11C664AC"/>
    <w:rsid w:val="11C91AF8"/>
    <w:rsid w:val="11DA5EF4"/>
    <w:rsid w:val="11E42E5B"/>
    <w:rsid w:val="11E4732B"/>
    <w:rsid w:val="11F20034"/>
    <w:rsid w:val="11F31B02"/>
    <w:rsid w:val="11F40315"/>
    <w:rsid w:val="12196676"/>
    <w:rsid w:val="121C341A"/>
    <w:rsid w:val="1226647F"/>
    <w:rsid w:val="122D3564"/>
    <w:rsid w:val="123012EA"/>
    <w:rsid w:val="1245034F"/>
    <w:rsid w:val="124D605F"/>
    <w:rsid w:val="124E7CB8"/>
    <w:rsid w:val="12502EC6"/>
    <w:rsid w:val="127568A9"/>
    <w:rsid w:val="1293358D"/>
    <w:rsid w:val="129939C8"/>
    <w:rsid w:val="129A110C"/>
    <w:rsid w:val="12A56CDC"/>
    <w:rsid w:val="12A816D5"/>
    <w:rsid w:val="12B62596"/>
    <w:rsid w:val="12B91F32"/>
    <w:rsid w:val="12C77C8A"/>
    <w:rsid w:val="12C86EE5"/>
    <w:rsid w:val="12D70244"/>
    <w:rsid w:val="12F45998"/>
    <w:rsid w:val="12F6691D"/>
    <w:rsid w:val="12FC5EFD"/>
    <w:rsid w:val="12FC6E20"/>
    <w:rsid w:val="12FE5532"/>
    <w:rsid w:val="13005353"/>
    <w:rsid w:val="130821E6"/>
    <w:rsid w:val="1329591A"/>
    <w:rsid w:val="1336171B"/>
    <w:rsid w:val="134A3E23"/>
    <w:rsid w:val="134C70EB"/>
    <w:rsid w:val="136046DE"/>
    <w:rsid w:val="13610BB2"/>
    <w:rsid w:val="13687A68"/>
    <w:rsid w:val="13720D8D"/>
    <w:rsid w:val="1372190E"/>
    <w:rsid w:val="13732B7C"/>
    <w:rsid w:val="13767A5D"/>
    <w:rsid w:val="1383530C"/>
    <w:rsid w:val="138A52B7"/>
    <w:rsid w:val="138F634F"/>
    <w:rsid w:val="13A02D2C"/>
    <w:rsid w:val="13A70E33"/>
    <w:rsid w:val="13AE2631"/>
    <w:rsid w:val="13BD1A31"/>
    <w:rsid w:val="13BE2DAF"/>
    <w:rsid w:val="13BF3E5D"/>
    <w:rsid w:val="13C0517C"/>
    <w:rsid w:val="13C75E95"/>
    <w:rsid w:val="13CB5FFB"/>
    <w:rsid w:val="13D4559F"/>
    <w:rsid w:val="13DB18D7"/>
    <w:rsid w:val="13EF5009"/>
    <w:rsid w:val="13F11F07"/>
    <w:rsid w:val="141419EA"/>
    <w:rsid w:val="14154F63"/>
    <w:rsid w:val="141A0205"/>
    <w:rsid w:val="14237BE5"/>
    <w:rsid w:val="142B0848"/>
    <w:rsid w:val="142B4CEC"/>
    <w:rsid w:val="143811B7"/>
    <w:rsid w:val="143D2250"/>
    <w:rsid w:val="144E60BD"/>
    <w:rsid w:val="14515DD5"/>
    <w:rsid w:val="145B55E2"/>
    <w:rsid w:val="1461203E"/>
    <w:rsid w:val="1461558E"/>
    <w:rsid w:val="146A66A5"/>
    <w:rsid w:val="14755593"/>
    <w:rsid w:val="14767D41"/>
    <w:rsid w:val="147F6DE6"/>
    <w:rsid w:val="14807700"/>
    <w:rsid w:val="14855670"/>
    <w:rsid w:val="14981B95"/>
    <w:rsid w:val="14A9516D"/>
    <w:rsid w:val="14A979BF"/>
    <w:rsid w:val="14AA5A9E"/>
    <w:rsid w:val="14AD3953"/>
    <w:rsid w:val="14EE60F2"/>
    <w:rsid w:val="14F92EBE"/>
    <w:rsid w:val="14FB2FD5"/>
    <w:rsid w:val="15023C9F"/>
    <w:rsid w:val="150502AC"/>
    <w:rsid w:val="1505553D"/>
    <w:rsid w:val="1509149A"/>
    <w:rsid w:val="150A4645"/>
    <w:rsid w:val="150C091F"/>
    <w:rsid w:val="152025D8"/>
    <w:rsid w:val="15267261"/>
    <w:rsid w:val="15304812"/>
    <w:rsid w:val="15307872"/>
    <w:rsid w:val="15323AE3"/>
    <w:rsid w:val="15332680"/>
    <w:rsid w:val="153B777B"/>
    <w:rsid w:val="153D54B7"/>
    <w:rsid w:val="15437E13"/>
    <w:rsid w:val="15461EF7"/>
    <w:rsid w:val="154F4A0A"/>
    <w:rsid w:val="155344FA"/>
    <w:rsid w:val="15715D33"/>
    <w:rsid w:val="15757273"/>
    <w:rsid w:val="15793835"/>
    <w:rsid w:val="157B2064"/>
    <w:rsid w:val="158D1021"/>
    <w:rsid w:val="1595314A"/>
    <w:rsid w:val="159A3ED7"/>
    <w:rsid w:val="15A24750"/>
    <w:rsid w:val="15A5083B"/>
    <w:rsid w:val="15B675B0"/>
    <w:rsid w:val="15BC1CA8"/>
    <w:rsid w:val="15DB004C"/>
    <w:rsid w:val="15E07713"/>
    <w:rsid w:val="15EF403E"/>
    <w:rsid w:val="15F13E3D"/>
    <w:rsid w:val="15FD705D"/>
    <w:rsid w:val="160473D1"/>
    <w:rsid w:val="16132A14"/>
    <w:rsid w:val="16174E60"/>
    <w:rsid w:val="16176B0C"/>
    <w:rsid w:val="16282F80"/>
    <w:rsid w:val="162C76C0"/>
    <w:rsid w:val="16315D35"/>
    <w:rsid w:val="163F6E10"/>
    <w:rsid w:val="164A65E1"/>
    <w:rsid w:val="16615306"/>
    <w:rsid w:val="166D25E4"/>
    <w:rsid w:val="167A1EDE"/>
    <w:rsid w:val="16827C78"/>
    <w:rsid w:val="168409CA"/>
    <w:rsid w:val="16901E4C"/>
    <w:rsid w:val="16995913"/>
    <w:rsid w:val="169B1FB5"/>
    <w:rsid w:val="16A53A7D"/>
    <w:rsid w:val="16A703C8"/>
    <w:rsid w:val="16B359EB"/>
    <w:rsid w:val="16B62EE0"/>
    <w:rsid w:val="16C84A74"/>
    <w:rsid w:val="16C97356"/>
    <w:rsid w:val="16DF2374"/>
    <w:rsid w:val="16EB72C3"/>
    <w:rsid w:val="16EE45E1"/>
    <w:rsid w:val="16F13FCB"/>
    <w:rsid w:val="16F44F42"/>
    <w:rsid w:val="16F5338F"/>
    <w:rsid w:val="17066E48"/>
    <w:rsid w:val="17102EF7"/>
    <w:rsid w:val="171750B3"/>
    <w:rsid w:val="17185066"/>
    <w:rsid w:val="171E2686"/>
    <w:rsid w:val="172F68A1"/>
    <w:rsid w:val="17354890"/>
    <w:rsid w:val="17377504"/>
    <w:rsid w:val="174321C2"/>
    <w:rsid w:val="174C1299"/>
    <w:rsid w:val="17551E34"/>
    <w:rsid w:val="175B58E8"/>
    <w:rsid w:val="175E0364"/>
    <w:rsid w:val="175F37DC"/>
    <w:rsid w:val="17681DB3"/>
    <w:rsid w:val="17683B61"/>
    <w:rsid w:val="17716EB9"/>
    <w:rsid w:val="179853E5"/>
    <w:rsid w:val="17996329"/>
    <w:rsid w:val="179F6914"/>
    <w:rsid w:val="17A67E3B"/>
    <w:rsid w:val="17AA13D1"/>
    <w:rsid w:val="17BC71D1"/>
    <w:rsid w:val="17CF488E"/>
    <w:rsid w:val="17DD3B90"/>
    <w:rsid w:val="17E01949"/>
    <w:rsid w:val="17E939BF"/>
    <w:rsid w:val="17EE462E"/>
    <w:rsid w:val="17F13B56"/>
    <w:rsid w:val="180C0917"/>
    <w:rsid w:val="18152563"/>
    <w:rsid w:val="18353621"/>
    <w:rsid w:val="183830CA"/>
    <w:rsid w:val="1846371D"/>
    <w:rsid w:val="18522C23"/>
    <w:rsid w:val="1862394E"/>
    <w:rsid w:val="187345EE"/>
    <w:rsid w:val="187B075B"/>
    <w:rsid w:val="1885001A"/>
    <w:rsid w:val="1885498D"/>
    <w:rsid w:val="1888270D"/>
    <w:rsid w:val="1896229A"/>
    <w:rsid w:val="18A32E5C"/>
    <w:rsid w:val="18B77C98"/>
    <w:rsid w:val="18C14BB1"/>
    <w:rsid w:val="18CA168D"/>
    <w:rsid w:val="18D55226"/>
    <w:rsid w:val="18DF6E59"/>
    <w:rsid w:val="18E92CB2"/>
    <w:rsid w:val="18EF593B"/>
    <w:rsid w:val="18F83D2D"/>
    <w:rsid w:val="1901538D"/>
    <w:rsid w:val="190E24E6"/>
    <w:rsid w:val="191B532F"/>
    <w:rsid w:val="19342526"/>
    <w:rsid w:val="1938458F"/>
    <w:rsid w:val="19396ADB"/>
    <w:rsid w:val="193D3602"/>
    <w:rsid w:val="194567BF"/>
    <w:rsid w:val="19491C73"/>
    <w:rsid w:val="194B0B18"/>
    <w:rsid w:val="194D300E"/>
    <w:rsid w:val="194F1153"/>
    <w:rsid w:val="195B3A6D"/>
    <w:rsid w:val="197728C3"/>
    <w:rsid w:val="1979423D"/>
    <w:rsid w:val="19852B75"/>
    <w:rsid w:val="198C68C3"/>
    <w:rsid w:val="19992E65"/>
    <w:rsid w:val="19A31984"/>
    <w:rsid w:val="19A3496B"/>
    <w:rsid w:val="19A410F8"/>
    <w:rsid w:val="19B861ED"/>
    <w:rsid w:val="19C42CE9"/>
    <w:rsid w:val="19CA465F"/>
    <w:rsid w:val="19CA69CB"/>
    <w:rsid w:val="19CE23A1"/>
    <w:rsid w:val="19DA1367"/>
    <w:rsid w:val="19DF40F0"/>
    <w:rsid w:val="19E6554B"/>
    <w:rsid w:val="19EB7513"/>
    <w:rsid w:val="19EC6CCB"/>
    <w:rsid w:val="19ED3CF0"/>
    <w:rsid w:val="19FD4A34"/>
    <w:rsid w:val="1A0147EF"/>
    <w:rsid w:val="1A052C1D"/>
    <w:rsid w:val="1A145A59"/>
    <w:rsid w:val="1A3505F7"/>
    <w:rsid w:val="1A384566"/>
    <w:rsid w:val="1A474EED"/>
    <w:rsid w:val="1A4A7DBD"/>
    <w:rsid w:val="1A5244F6"/>
    <w:rsid w:val="1A6525DA"/>
    <w:rsid w:val="1A6D3729"/>
    <w:rsid w:val="1A832632"/>
    <w:rsid w:val="1A860199"/>
    <w:rsid w:val="1A864A2A"/>
    <w:rsid w:val="1A8D54AB"/>
    <w:rsid w:val="1A967EB6"/>
    <w:rsid w:val="1AA04F46"/>
    <w:rsid w:val="1AA255DC"/>
    <w:rsid w:val="1AAA2DEB"/>
    <w:rsid w:val="1ABB4342"/>
    <w:rsid w:val="1AC21F08"/>
    <w:rsid w:val="1AC6751C"/>
    <w:rsid w:val="1AC741EA"/>
    <w:rsid w:val="1ACD4E09"/>
    <w:rsid w:val="1AD11A1D"/>
    <w:rsid w:val="1AD40E20"/>
    <w:rsid w:val="1ADF238C"/>
    <w:rsid w:val="1AE027CB"/>
    <w:rsid w:val="1AE03114"/>
    <w:rsid w:val="1AE14356"/>
    <w:rsid w:val="1AEE4EA9"/>
    <w:rsid w:val="1AFC235E"/>
    <w:rsid w:val="1B102545"/>
    <w:rsid w:val="1B116C46"/>
    <w:rsid w:val="1B132036"/>
    <w:rsid w:val="1B177D78"/>
    <w:rsid w:val="1B1A7868"/>
    <w:rsid w:val="1B2154BD"/>
    <w:rsid w:val="1B22257E"/>
    <w:rsid w:val="1B275827"/>
    <w:rsid w:val="1B3A5A6B"/>
    <w:rsid w:val="1B4740C2"/>
    <w:rsid w:val="1B4F09B7"/>
    <w:rsid w:val="1B677D16"/>
    <w:rsid w:val="1B716319"/>
    <w:rsid w:val="1B764AA3"/>
    <w:rsid w:val="1B7C3A89"/>
    <w:rsid w:val="1B8F3DB2"/>
    <w:rsid w:val="1B9E725C"/>
    <w:rsid w:val="1BA01B1B"/>
    <w:rsid w:val="1BB61A77"/>
    <w:rsid w:val="1BB964C9"/>
    <w:rsid w:val="1BBC302F"/>
    <w:rsid w:val="1BBC447B"/>
    <w:rsid w:val="1BD95885"/>
    <w:rsid w:val="1BDA108D"/>
    <w:rsid w:val="1BDA4026"/>
    <w:rsid w:val="1BDC6327"/>
    <w:rsid w:val="1BDF0AAE"/>
    <w:rsid w:val="1BF632EC"/>
    <w:rsid w:val="1C204A0A"/>
    <w:rsid w:val="1C206818"/>
    <w:rsid w:val="1C392423"/>
    <w:rsid w:val="1C4E669A"/>
    <w:rsid w:val="1C4F7503"/>
    <w:rsid w:val="1C623973"/>
    <w:rsid w:val="1C6413F5"/>
    <w:rsid w:val="1C694A85"/>
    <w:rsid w:val="1C832B05"/>
    <w:rsid w:val="1C844F99"/>
    <w:rsid w:val="1C847038"/>
    <w:rsid w:val="1C915908"/>
    <w:rsid w:val="1C9A06EB"/>
    <w:rsid w:val="1CAA0778"/>
    <w:rsid w:val="1CB45DC0"/>
    <w:rsid w:val="1CB773A1"/>
    <w:rsid w:val="1CBD0799"/>
    <w:rsid w:val="1CBE21A3"/>
    <w:rsid w:val="1CBF2475"/>
    <w:rsid w:val="1CC61AE6"/>
    <w:rsid w:val="1CD221A8"/>
    <w:rsid w:val="1CD72B28"/>
    <w:rsid w:val="1CDA671C"/>
    <w:rsid w:val="1CE5165F"/>
    <w:rsid w:val="1CE75528"/>
    <w:rsid w:val="1CE912A0"/>
    <w:rsid w:val="1CEB5B1F"/>
    <w:rsid w:val="1CFB2DA4"/>
    <w:rsid w:val="1D060802"/>
    <w:rsid w:val="1D075A1B"/>
    <w:rsid w:val="1D1B0A27"/>
    <w:rsid w:val="1D1F336F"/>
    <w:rsid w:val="1D28626C"/>
    <w:rsid w:val="1D3A5FA0"/>
    <w:rsid w:val="1D3A7D4E"/>
    <w:rsid w:val="1D3E773E"/>
    <w:rsid w:val="1D513F45"/>
    <w:rsid w:val="1D5744D2"/>
    <w:rsid w:val="1D5C5F16"/>
    <w:rsid w:val="1D5F5A06"/>
    <w:rsid w:val="1D837F37"/>
    <w:rsid w:val="1D8B2357"/>
    <w:rsid w:val="1D9778CB"/>
    <w:rsid w:val="1D990F18"/>
    <w:rsid w:val="1D9A61C2"/>
    <w:rsid w:val="1DA82F09"/>
    <w:rsid w:val="1DA85CE8"/>
    <w:rsid w:val="1DAE0412"/>
    <w:rsid w:val="1DAE5B5F"/>
    <w:rsid w:val="1DD12460"/>
    <w:rsid w:val="1DD56D74"/>
    <w:rsid w:val="1DD85808"/>
    <w:rsid w:val="1DDB32DF"/>
    <w:rsid w:val="1DDE692B"/>
    <w:rsid w:val="1DEA5357"/>
    <w:rsid w:val="1DFE6FCD"/>
    <w:rsid w:val="1E0F0394"/>
    <w:rsid w:val="1E123ECC"/>
    <w:rsid w:val="1E2B2D83"/>
    <w:rsid w:val="1E301175"/>
    <w:rsid w:val="1E377F98"/>
    <w:rsid w:val="1E4517A4"/>
    <w:rsid w:val="1E480C43"/>
    <w:rsid w:val="1E496E6B"/>
    <w:rsid w:val="1E4B54E9"/>
    <w:rsid w:val="1E546BED"/>
    <w:rsid w:val="1E5F5CBE"/>
    <w:rsid w:val="1E8259A5"/>
    <w:rsid w:val="1E854C78"/>
    <w:rsid w:val="1E89502A"/>
    <w:rsid w:val="1E907DDD"/>
    <w:rsid w:val="1E94203E"/>
    <w:rsid w:val="1E990C58"/>
    <w:rsid w:val="1EA12B5D"/>
    <w:rsid w:val="1EAC38F4"/>
    <w:rsid w:val="1EAE7AE7"/>
    <w:rsid w:val="1EB15F57"/>
    <w:rsid w:val="1EB45AA9"/>
    <w:rsid w:val="1ECC0E79"/>
    <w:rsid w:val="1ECF3287"/>
    <w:rsid w:val="1ED006EF"/>
    <w:rsid w:val="1ED55F80"/>
    <w:rsid w:val="1ED8781E"/>
    <w:rsid w:val="1EF5000E"/>
    <w:rsid w:val="1EF65EF6"/>
    <w:rsid w:val="1F05212A"/>
    <w:rsid w:val="1F141418"/>
    <w:rsid w:val="1F204D21"/>
    <w:rsid w:val="1F253C23"/>
    <w:rsid w:val="1F2D5FFE"/>
    <w:rsid w:val="1F3B2714"/>
    <w:rsid w:val="1F3E24A5"/>
    <w:rsid w:val="1F4153C3"/>
    <w:rsid w:val="1F4C6CC8"/>
    <w:rsid w:val="1F523FE8"/>
    <w:rsid w:val="1F574E9B"/>
    <w:rsid w:val="1F5B0159"/>
    <w:rsid w:val="1F661CF0"/>
    <w:rsid w:val="1F681A21"/>
    <w:rsid w:val="1F7E6617"/>
    <w:rsid w:val="1F841754"/>
    <w:rsid w:val="1F8F25D3"/>
    <w:rsid w:val="1FA140B4"/>
    <w:rsid w:val="1FAD01EA"/>
    <w:rsid w:val="1FB878D0"/>
    <w:rsid w:val="1FBD386B"/>
    <w:rsid w:val="1FCD4EA9"/>
    <w:rsid w:val="1FDA394A"/>
    <w:rsid w:val="1FE87F35"/>
    <w:rsid w:val="1FE92C9D"/>
    <w:rsid w:val="20014B53"/>
    <w:rsid w:val="20022529"/>
    <w:rsid w:val="20052895"/>
    <w:rsid w:val="20053838"/>
    <w:rsid w:val="200A700D"/>
    <w:rsid w:val="200B590A"/>
    <w:rsid w:val="202265E1"/>
    <w:rsid w:val="2023554A"/>
    <w:rsid w:val="20374F4C"/>
    <w:rsid w:val="20391196"/>
    <w:rsid w:val="2040730C"/>
    <w:rsid w:val="20461EEF"/>
    <w:rsid w:val="204D3B51"/>
    <w:rsid w:val="207258E4"/>
    <w:rsid w:val="20740980"/>
    <w:rsid w:val="207E7154"/>
    <w:rsid w:val="20930EAE"/>
    <w:rsid w:val="20955535"/>
    <w:rsid w:val="20982ACA"/>
    <w:rsid w:val="209854B7"/>
    <w:rsid w:val="20A369BD"/>
    <w:rsid w:val="20AE1EB2"/>
    <w:rsid w:val="20BA42D4"/>
    <w:rsid w:val="20BB2F53"/>
    <w:rsid w:val="20C067BC"/>
    <w:rsid w:val="20CC06EA"/>
    <w:rsid w:val="20CF1DCE"/>
    <w:rsid w:val="20D12777"/>
    <w:rsid w:val="20D3449A"/>
    <w:rsid w:val="20D34C23"/>
    <w:rsid w:val="20E42156"/>
    <w:rsid w:val="20FB5A46"/>
    <w:rsid w:val="20FC3C98"/>
    <w:rsid w:val="21150B02"/>
    <w:rsid w:val="211751C3"/>
    <w:rsid w:val="211E45C1"/>
    <w:rsid w:val="21254871"/>
    <w:rsid w:val="212915E8"/>
    <w:rsid w:val="21303795"/>
    <w:rsid w:val="21487917"/>
    <w:rsid w:val="21582A2A"/>
    <w:rsid w:val="215F7D83"/>
    <w:rsid w:val="216223C9"/>
    <w:rsid w:val="217146A8"/>
    <w:rsid w:val="217E28FF"/>
    <w:rsid w:val="21880119"/>
    <w:rsid w:val="218D04D4"/>
    <w:rsid w:val="218D2B42"/>
    <w:rsid w:val="21942EF2"/>
    <w:rsid w:val="21A31FDE"/>
    <w:rsid w:val="21B87493"/>
    <w:rsid w:val="21C60546"/>
    <w:rsid w:val="21CB755B"/>
    <w:rsid w:val="21CF3BA8"/>
    <w:rsid w:val="21D10C1B"/>
    <w:rsid w:val="21DA565B"/>
    <w:rsid w:val="21DD7B59"/>
    <w:rsid w:val="21F04E7F"/>
    <w:rsid w:val="21F135D0"/>
    <w:rsid w:val="21F86D1B"/>
    <w:rsid w:val="21F93C22"/>
    <w:rsid w:val="220265D9"/>
    <w:rsid w:val="220E77F0"/>
    <w:rsid w:val="2211329B"/>
    <w:rsid w:val="221269CA"/>
    <w:rsid w:val="221A44BB"/>
    <w:rsid w:val="221C7F93"/>
    <w:rsid w:val="221E19EC"/>
    <w:rsid w:val="221F571F"/>
    <w:rsid w:val="22323D6E"/>
    <w:rsid w:val="2237485C"/>
    <w:rsid w:val="22412F79"/>
    <w:rsid w:val="224376A4"/>
    <w:rsid w:val="22443B73"/>
    <w:rsid w:val="22466E83"/>
    <w:rsid w:val="22477A89"/>
    <w:rsid w:val="22596EC8"/>
    <w:rsid w:val="225C1876"/>
    <w:rsid w:val="226B6C64"/>
    <w:rsid w:val="227C4964"/>
    <w:rsid w:val="229B14A9"/>
    <w:rsid w:val="22A0365F"/>
    <w:rsid w:val="22A90824"/>
    <w:rsid w:val="22AB1288"/>
    <w:rsid w:val="22B1460E"/>
    <w:rsid w:val="22DB04DA"/>
    <w:rsid w:val="22DD3655"/>
    <w:rsid w:val="22E020CA"/>
    <w:rsid w:val="22E744D4"/>
    <w:rsid w:val="22F55A15"/>
    <w:rsid w:val="22F8048F"/>
    <w:rsid w:val="22FE4C52"/>
    <w:rsid w:val="230157F9"/>
    <w:rsid w:val="2304095B"/>
    <w:rsid w:val="231A1A83"/>
    <w:rsid w:val="23241284"/>
    <w:rsid w:val="23261004"/>
    <w:rsid w:val="23372F18"/>
    <w:rsid w:val="23492CF0"/>
    <w:rsid w:val="23503E27"/>
    <w:rsid w:val="23530B52"/>
    <w:rsid w:val="2358618D"/>
    <w:rsid w:val="236C488E"/>
    <w:rsid w:val="237006B3"/>
    <w:rsid w:val="2370592C"/>
    <w:rsid w:val="237176E7"/>
    <w:rsid w:val="23730446"/>
    <w:rsid w:val="23737B60"/>
    <w:rsid w:val="23972545"/>
    <w:rsid w:val="239C4275"/>
    <w:rsid w:val="23BE0A1D"/>
    <w:rsid w:val="23CC4F28"/>
    <w:rsid w:val="23CD36CA"/>
    <w:rsid w:val="23CF23CE"/>
    <w:rsid w:val="23DB55FA"/>
    <w:rsid w:val="23E60031"/>
    <w:rsid w:val="23F9105D"/>
    <w:rsid w:val="23FE1768"/>
    <w:rsid w:val="24004E02"/>
    <w:rsid w:val="24194B61"/>
    <w:rsid w:val="241A2687"/>
    <w:rsid w:val="24311EAA"/>
    <w:rsid w:val="24355C33"/>
    <w:rsid w:val="243D3399"/>
    <w:rsid w:val="24482D50"/>
    <w:rsid w:val="24551FE8"/>
    <w:rsid w:val="245D4EAF"/>
    <w:rsid w:val="2460185F"/>
    <w:rsid w:val="246D29E9"/>
    <w:rsid w:val="247104F9"/>
    <w:rsid w:val="24747FE9"/>
    <w:rsid w:val="248E0C9E"/>
    <w:rsid w:val="24A47080"/>
    <w:rsid w:val="24A65CC9"/>
    <w:rsid w:val="24AE6269"/>
    <w:rsid w:val="24B26C1A"/>
    <w:rsid w:val="24C70B2B"/>
    <w:rsid w:val="24C86BA3"/>
    <w:rsid w:val="24DC16EA"/>
    <w:rsid w:val="24E16169"/>
    <w:rsid w:val="24F904EE"/>
    <w:rsid w:val="24F90A4A"/>
    <w:rsid w:val="251142D2"/>
    <w:rsid w:val="251610E2"/>
    <w:rsid w:val="2518748B"/>
    <w:rsid w:val="25190E5C"/>
    <w:rsid w:val="25215F42"/>
    <w:rsid w:val="252C6137"/>
    <w:rsid w:val="25382268"/>
    <w:rsid w:val="2539415C"/>
    <w:rsid w:val="25442B94"/>
    <w:rsid w:val="254878D3"/>
    <w:rsid w:val="2549425C"/>
    <w:rsid w:val="254B78D9"/>
    <w:rsid w:val="25526F88"/>
    <w:rsid w:val="25534582"/>
    <w:rsid w:val="25565941"/>
    <w:rsid w:val="25657279"/>
    <w:rsid w:val="25665B84"/>
    <w:rsid w:val="25895411"/>
    <w:rsid w:val="2597434C"/>
    <w:rsid w:val="25A92EE7"/>
    <w:rsid w:val="25B318F4"/>
    <w:rsid w:val="25BA7ED1"/>
    <w:rsid w:val="25BC7168"/>
    <w:rsid w:val="25C43117"/>
    <w:rsid w:val="25D52757"/>
    <w:rsid w:val="25D83FDE"/>
    <w:rsid w:val="25DF5DAA"/>
    <w:rsid w:val="25F27417"/>
    <w:rsid w:val="25F807A6"/>
    <w:rsid w:val="25FA29D1"/>
    <w:rsid w:val="261D1FBA"/>
    <w:rsid w:val="2632244E"/>
    <w:rsid w:val="26354676"/>
    <w:rsid w:val="263A0DBE"/>
    <w:rsid w:val="265005E2"/>
    <w:rsid w:val="26536A8F"/>
    <w:rsid w:val="26562D72"/>
    <w:rsid w:val="26566A76"/>
    <w:rsid w:val="2666247C"/>
    <w:rsid w:val="26667E05"/>
    <w:rsid w:val="266853E5"/>
    <w:rsid w:val="26724A23"/>
    <w:rsid w:val="26760254"/>
    <w:rsid w:val="267778AA"/>
    <w:rsid w:val="267A410C"/>
    <w:rsid w:val="267B525B"/>
    <w:rsid w:val="267C12EF"/>
    <w:rsid w:val="267E51F8"/>
    <w:rsid w:val="269B23E5"/>
    <w:rsid w:val="269D3BA8"/>
    <w:rsid w:val="26A11572"/>
    <w:rsid w:val="26A4555B"/>
    <w:rsid w:val="26B02E2F"/>
    <w:rsid w:val="26B04E44"/>
    <w:rsid w:val="26B42A9A"/>
    <w:rsid w:val="26C0321D"/>
    <w:rsid w:val="26C708A4"/>
    <w:rsid w:val="26D01D5A"/>
    <w:rsid w:val="26D85EE3"/>
    <w:rsid w:val="26DC2FAC"/>
    <w:rsid w:val="26E50978"/>
    <w:rsid w:val="26F434D5"/>
    <w:rsid w:val="27142C2B"/>
    <w:rsid w:val="27211718"/>
    <w:rsid w:val="27227749"/>
    <w:rsid w:val="27294A71"/>
    <w:rsid w:val="272F6449"/>
    <w:rsid w:val="273B4BEA"/>
    <w:rsid w:val="27415C17"/>
    <w:rsid w:val="2748398E"/>
    <w:rsid w:val="2749432A"/>
    <w:rsid w:val="2758774E"/>
    <w:rsid w:val="27662FB4"/>
    <w:rsid w:val="276B60A8"/>
    <w:rsid w:val="27760CC4"/>
    <w:rsid w:val="277A7AFB"/>
    <w:rsid w:val="27884694"/>
    <w:rsid w:val="27894255"/>
    <w:rsid w:val="279A2EEF"/>
    <w:rsid w:val="27A110F5"/>
    <w:rsid w:val="27AC35F6"/>
    <w:rsid w:val="27AD2B37"/>
    <w:rsid w:val="27B8643F"/>
    <w:rsid w:val="27BC332C"/>
    <w:rsid w:val="27C10039"/>
    <w:rsid w:val="27C55840"/>
    <w:rsid w:val="27C64907"/>
    <w:rsid w:val="27CB6172"/>
    <w:rsid w:val="27D3302E"/>
    <w:rsid w:val="27D8088F"/>
    <w:rsid w:val="27DB6E05"/>
    <w:rsid w:val="27DD5EA5"/>
    <w:rsid w:val="27E94829"/>
    <w:rsid w:val="27EE1E60"/>
    <w:rsid w:val="27FC3FE7"/>
    <w:rsid w:val="280244E7"/>
    <w:rsid w:val="28177609"/>
    <w:rsid w:val="281E66E3"/>
    <w:rsid w:val="2835385F"/>
    <w:rsid w:val="28522F98"/>
    <w:rsid w:val="285C326E"/>
    <w:rsid w:val="286045A8"/>
    <w:rsid w:val="28606E1F"/>
    <w:rsid w:val="28620D29"/>
    <w:rsid w:val="286950AB"/>
    <w:rsid w:val="286C0546"/>
    <w:rsid w:val="28820E7D"/>
    <w:rsid w:val="288A70A3"/>
    <w:rsid w:val="28926C90"/>
    <w:rsid w:val="289F0F83"/>
    <w:rsid w:val="28AA6F33"/>
    <w:rsid w:val="28AA70EE"/>
    <w:rsid w:val="28AD6199"/>
    <w:rsid w:val="28BA7BCE"/>
    <w:rsid w:val="28BB2431"/>
    <w:rsid w:val="28BF4190"/>
    <w:rsid w:val="28BF4482"/>
    <w:rsid w:val="28C57065"/>
    <w:rsid w:val="28D252DE"/>
    <w:rsid w:val="28FC235B"/>
    <w:rsid w:val="29053906"/>
    <w:rsid w:val="290B4B3C"/>
    <w:rsid w:val="291B225F"/>
    <w:rsid w:val="2920429C"/>
    <w:rsid w:val="29243911"/>
    <w:rsid w:val="292516C6"/>
    <w:rsid w:val="29333D3E"/>
    <w:rsid w:val="29347D47"/>
    <w:rsid w:val="29350C9A"/>
    <w:rsid w:val="293B79D5"/>
    <w:rsid w:val="2943717A"/>
    <w:rsid w:val="2947617E"/>
    <w:rsid w:val="29477A7A"/>
    <w:rsid w:val="294E1CFC"/>
    <w:rsid w:val="29563878"/>
    <w:rsid w:val="29591D17"/>
    <w:rsid w:val="295D0737"/>
    <w:rsid w:val="295F6AE4"/>
    <w:rsid w:val="296F0C6C"/>
    <w:rsid w:val="29727529"/>
    <w:rsid w:val="297C1366"/>
    <w:rsid w:val="29847A5A"/>
    <w:rsid w:val="29A46C7B"/>
    <w:rsid w:val="29B37314"/>
    <w:rsid w:val="29B96230"/>
    <w:rsid w:val="29BA649E"/>
    <w:rsid w:val="29C05768"/>
    <w:rsid w:val="29C410CB"/>
    <w:rsid w:val="29D41C18"/>
    <w:rsid w:val="29DD3F3B"/>
    <w:rsid w:val="29EE7B3A"/>
    <w:rsid w:val="29FF65A7"/>
    <w:rsid w:val="2A057E10"/>
    <w:rsid w:val="2A07200A"/>
    <w:rsid w:val="2A1805DE"/>
    <w:rsid w:val="2A1C2CB5"/>
    <w:rsid w:val="2A2B2BD1"/>
    <w:rsid w:val="2A35072F"/>
    <w:rsid w:val="2A412F7E"/>
    <w:rsid w:val="2A443FBA"/>
    <w:rsid w:val="2A457B67"/>
    <w:rsid w:val="2A656996"/>
    <w:rsid w:val="2A681556"/>
    <w:rsid w:val="2A695D49"/>
    <w:rsid w:val="2A704DAF"/>
    <w:rsid w:val="2A757C04"/>
    <w:rsid w:val="2A7D799E"/>
    <w:rsid w:val="2A7F1775"/>
    <w:rsid w:val="2A8B5B78"/>
    <w:rsid w:val="2AAB4039"/>
    <w:rsid w:val="2AAB5DE7"/>
    <w:rsid w:val="2AAB68F3"/>
    <w:rsid w:val="2ABC6246"/>
    <w:rsid w:val="2ABF20FC"/>
    <w:rsid w:val="2AC1665A"/>
    <w:rsid w:val="2AD417E1"/>
    <w:rsid w:val="2ADB2B70"/>
    <w:rsid w:val="2ADC41F2"/>
    <w:rsid w:val="2ADF271A"/>
    <w:rsid w:val="2ADF3CE2"/>
    <w:rsid w:val="2AE8528D"/>
    <w:rsid w:val="2AEB5AB9"/>
    <w:rsid w:val="2AF95272"/>
    <w:rsid w:val="2AFF5DBF"/>
    <w:rsid w:val="2B0674C1"/>
    <w:rsid w:val="2B0755CD"/>
    <w:rsid w:val="2B0F208E"/>
    <w:rsid w:val="2B111D65"/>
    <w:rsid w:val="2B12230A"/>
    <w:rsid w:val="2B1843B0"/>
    <w:rsid w:val="2B275DB5"/>
    <w:rsid w:val="2B2924BB"/>
    <w:rsid w:val="2B3344AA"/>
    <w:rsid w:val="2B361B54"/>
    <w:rsid w:val="2B3A3708"/>
    <w:rsid w:val="2B3F3331"/>
    <w:rsid w:val="2B406E77"/>
    <w:rsid w:val="2B4104F9"/>
    <w:rsid w:val="2B451C69"/>
    <w:rsid w:val="2B48426E"/>
    <w:rsid w:val="2B487ADA"/>
    <w:rsid w:val="2B4C2D28"/>
    <w:rsid w:val="2B512E32"/>
    <w:rsid w:val="2B5244B4"/>
    <w:rsid w:val="2B5F129D"/>
    <w:rsid w:val="2B613493"/>
    <w:rsid w:val="2B8A1A07"/>
    <w:rsid w:val="2B8D4404"/>
    <w:rsid w:val="2BA3330B"/>
    <w:rsid w:val="2BAF1907"/>
    <w:rsid w:val="2BC56C16"/>
    <w:rsid w:val="2BC57499"/>
    <w:rsid w:val="2BE103FE"/>
    <w:rsid w:val="2BEC6A86"/>
    <w:rsid w:val="2BF462BA"/>
    <w:rsid w:val="2BF57C61"/>
    <w:rsid w:val="2C0A226B"/>
    <w:rsid w:val="2C0F6517"/>
    <w:rsid w:val="2C1005F7"/>
    <w:rsid w:val="2C14164B"/>
    <w:rsid w:val="2C1D06E6"/>
    <w:rsid w:val="2C2374BE"/>
    <w:rsid w:val="2C286950"/>
    <w:rsid w:val="2C394F84"/>
    <w:rsid w:val="2C45082A"/>
    <w:rsid w:val="2C4A5124"/>
    <w:rsid w:val="2C614DF9"/>
    <w:rsid w:val="2C7B59DB"/>
    <w:rsid w:val="2C8C0C8F"/>
    <w:rsid w:val="2C932FD6"/>
    <w:rsid w:val="2C956D4E"/>
    <w:rsid w:val="2CA03AA3"/>
    <w:rsid w:val="2CAB0FBB"/>
    <w:rsid w:val="2CAD2FB5"/>
    <w:rsid w:val="2CB5119F"/>
    <w:rsid w:val="2CC50B84"/>
    <w:rsid w:val="2CE4713F"/>
    <w:rsid w:val="2CE61358"/>
    <w:rsid w:val="2CEB299B"/>
    <w:rsid w:val="2D040005"/>
    <w:rsid w:val="2D0A5791"/>
    <w:rsid w:val="2D160052"/>
    <w:rsid w:val="2D1A0626"/>
    <w:rsid w:val="2D1A725A"/>
    <w:rsid w:val="2D1F6963"/>
    <w:rsid w:val="2D2554EB"/>
    <w:rsid w:val="2D26209C"/>
    <w:rsid w:val="2D32459D"/>
    <w:rsid w:val="2D340315"/>
    <w:rsid w:val="2D39372B"/>
    <w:rsid w:val="2D3C71CA"/>
    <w:rsid w:val="2D4527CF"/>
    <w:rsid w:val="2D5538DD"/>
    <w:rsid w:val="2D67693D"/>
    <w:rsid w:val="2D6C4C62"/>
    <w:rsid w:val="2D7C0659"/>
    <w:rsid w:val="2D807E3C"/>
    <w:rsid w:val="2D8F19EF"/>
    <w:rsid w:val="2D9161D5"/>
    <w:rsid w:val="2D930DE7"/>
    <w:rsid w:val="2D947006"/>
    <w:rsid w:val="2D99137C"/>
    <w:rsid w:val="2DA37E25"/>
    <w:rsid w:val="2DA90D03"/>
    <w:rsid w:val="2DBA7DCA"/>
    <w:rsid w:val="2DBB4593"/>
    <w:rsid w:val="2DC40A85"/>
    <w:rsid w:val="2DD34255"/>
    <w:rsid w:val="2DD37B2E"/>
    <w:rsid w:val="2DD56299"/>
    <w:rsid w:val="2DF729FB"/>
    <w:rsid w:val="2E0221C2"/>
    <w:rsid w:val="2E062C28"/>
    <w:rsid w:val="2E0947F8"/>
    <w:rsid w:val="2E1F0FC6"/>
    <w:rsid w:val="2E20690D"/>
    <w:rsid w:val="2E2E1DB8"/>
    <w:rsid w:val="2E304441"/>
    <w:rsid w:val="2E322A04"/>
    <w:rsid w:val="2E337C21"/>
    <w:rsid w:val="2E351172"/>
    <w:rsid w:val="2E361267"/>
    <w:rsid w:val="2E555DDF"/>
    <w:rsid w:val="2E5927C0"/>
    <w:rsid w:val="2E70537D"/>
    <w:rsid w:val="2E77681C"/>
    <w:rsid w:val="2E7B1C33"/>
    <w:rsid w:val="2E7D002E"/>
    <w:rsid w:val="2EA469BE"/>
    <w:rsid w:val="2EB0439F"/>
    <w:rsid w:val="2EBE7A66"/>
    <w:rsid w:val="2EC540AD"/>
    <w:rsid w:val="2ED02BE1"/>
    <w:rsid w:val="2EDC09EC"/>
    <w:rsid w:val="2EE43FBD"/>
    <w:rsid w:val="2EE61AE3"/>
    <w:rsid w:val="2EE67D35"/>
    <w:rsid w:val="2EEB63CF"/>
    <w:rsid w:val="2EF66AF4"/>
    <w:rsid w:val="2EFF6950"/>
    <w:rsid w:val="2F00660B"/>
    <w:rsid w:val="2F0C34E0"/>
    <w:rsid w:val="2F0C6E09"/>
    <w:rsid w:val="2F0F2DE8"/>
    <w:rsid w:val="2F1D595D"/>
    <w:rsid w:val="2F227844"/>
    <w:rsid w:val="2F261490"/>
    <w:rsid w:val="2F271A87"/>
    <w:rsid w:val="2F307E92"/>
    <w:rsid w:val="2F34284F"/>
    <w:rsid w:val="2F3E6094"/>
    <w:rsid w:val="2F4C0B9C"/>
    <w:rsid w:val="2F55792D"/>
    <w:rsid w:val="2F5838AD"/>
    <w:rsid w:val="2F655077"/>
    <w:rsid w:val="2F681C00"/>
    <w:rsid w:val="2F6E1E8D"/>
    <w:rsid w:val="2F710BF0"/>
    <w:rsid w:val="2F7E0CFF"/>
    <w:rsid w:val="2F8A4930"/>
    <w:rsid w:val="2F91706A"/>
    <w:rsid w:val="2F9331D6"/>
    <w:rsid w:val="2F9B563E"/>
    <w:rsid w:val="2FAD3FAF"/>
    <w:rsid w:val="2FAD44FE"/>
    <w:rsid w:val="2FB5707C"/>
    <w:rsid w:val="2FBA3380"/>
    <w:rsid w:val="2FC95408"/>
    <w:rsid w:val="2FCE1BD3"/>
    <w:rsid w:val="2FCE6717"/>
    <w:rsid w:val="2FD70FCA"/>
    <w:rsid w:val="2FDC6A42"/>
    <w:rsid w:val="2FDF60F5"/>
    <w:rsid w:val="2FE36390"/>
    <w:rsid w:val="2FE620BA"/>
    <w:rsid w:val="2FE71487"/>
    <w:rsid w:val="2FFD64DA"/>
    <w:rsid w:val="30080DAF"/>
    <w:rsid w:val="300D47A1"/>
    <w:rsid w:val="301270DA"/>
    <w:rsid w:val="301D6998"/>
    <w:rsid w:val="302F07C6"/>
    <w:rsid w:val="30334A05"/>
    <w:rsid w:val="30455FD9"/>
    <w:rsid w:val="3049421C"/>
    <w:rsid w:val="30591CB1"/>
    <w:rsid w:val="305A114A"/>
    <w:rsid w:val="305F7D9F"/>
    <w:rsid w:val="306058C5"/>
    <w:rsid w:val="30662EDC"/>
    <w:rsid w:val="306C426A"/>
    <w:rsid w:val="30790319"/>
    <w:rsid w:val="307A2FC3"/>
    <w:rsid w:val="307C0A59"/>
    <w:rsid w:val="307C24D8"/>
    <w:rsid w:val="308A6878"/>
    <w:rsid w:val="308D4BA5"/>
    <w:rsid w:val="30A47560"/>
    <w:rsid w:val="30A94F47"/>
    <w:rsid w:val="30B12FDC"/>
    <w:rsid w:val="30B60BC9"/>
    <w:rsid w:val="30BA2642"/>
    <w:rsid w:val="30BA6D84"/>
    <w:rsid w:val="30C65728"/>
    <w:rsid w:val="30CC30ED"/>
    <w:rsid w:val="30CC6AB7"/>
    <w:rsid w:val="30CC7D78"/>
    <w:rsid w:val="30CE0A81"/>
    <w:rsid w:val="30D81900"/>
    <w:rsid w:val="30F8209D"/>
    <w:rsid w:val="310676EA"/>
    <w:rsid w:val="310B3A83"/>
    <w:rsid w:val="31226852"/>
    <w:rsid w:val="31244B45"/>
    <w:rsid w:val="31274283"/>
    <w:rsid w:val="312F6FCA"/>
    <w:rsid w:val="313374B4"/>
    <w:rsid w:val="31434F33"/>
    <w:rsid w:val="31464C43"/>
    <w:rsid w:val="315C0741"/>
    <w:rsid w:val="315E3BB3"/>
    <w:rsid w:val="31684A32"/>
    <w:rsid w:val="316F30DC"/>
    <w:rsid w:val="31785E42"/>
    <w:rsid w:val="31796D37"/>
    <w:rsid w:val="31880C30"/>
    <w:rsid w:val="318E570D"/>
    <w:rsid w:val="3199108F"/>
    <w:rsid w:val="319C292D"/>
    <w:rsid w:val="31A37341"/>
    <w:rsid w:val="31A71E36"/>
    <w:rsid w:val="31AC796C"/>
    <w:rsid w:val="31B25CAD"/>
    <w:rsid w:val="31B449AE"/>
    <w:rsid w:val="31D3429A"/>
    <w:rsid w:val="31DD6EE8"/>
    <w:rsid w:val="31E427C4"/>
    <w:rsid w:val="31F006AE"/>
    <w:rsid w:val="31F06267"/>
    <w:rsid w:val="31F258B0"/>
    <w:rsid w:val="31F8718A"/>
    <w:rsid w:val="320350C8"/>
    <w:rsid w:val="32041760"/>
    <w:rsid w:val="320F75A3"/>
    <w:rsid w:val="321049E4"/>
    <w:rsid w:val="32267A64"/>
    <w:rsid w:val="322A3C7D"/>
    <w:rsid w:val="322D7C32"/>
    <w:rsid w:val="323A4620"/>
    <w:rsid w:val="323D64AF"/>
    <w:rsid w:val="323E58ED"/>
    <w:rsid w:val="326E7D53"/>
    <w:rsid w:val="3272726D"/>
    <w:rsid w:val="32764F2C"/>
    <w:rsid w:val="32807EBE"/>
    <w:rsid w:val="328A0AAC"/>
    <w:rsid w:val="328D608E"/>
    <w:rsid w:val="328E671A"/>
    <w:rsid w:val="32904175"/>
    <w:rsid w:val="329234F5"/>
    <w:rsid w:val="32963820"/>
    <w:rsid w:val="329A50BF"/>
    <w:rsid w:val="329B4993"/>
    <w:rsid w:val="329C50EF"/>
    <w:rsid w:val="32A26BBE"/>
    <w:rsid w:val="32BE3525"/>
    <w:rsid w:val="32C56BA0"/>
    <w:rsid w:val="32C837B5"/>
    <w:rsid w:val="32D16607"/>
    <w:rsid w:val="32D75F0F"/>
    <w:rsid w:val="32DA370D"/>
    <w:rsid w:val="32EB7D31"/>
    <w:rsid w:val="32ED5C55"/>
    <w:rsid w:val="32EF3524"/>
    <w:rsid w:val="32F72E33"/>
    <w:rsid w:val="32FD7A80"/>
    <w:rsid w:val="332130EA"/>
    <w:rsid w:val="3322589D"/>
    <w:rsid w:val="332525B0"/>
    <w:rsid w:val="33266952"/>
    <w:rsid w:val="33286E55"/>
    <w:rsid w:val="3330332D"/>
    <w:rsid w:val="33324D86"/>
    <w:rsid w:val="33325A3D"/>
    <w:rsid w:val="33346CC9"/>
    <w:rsid w:val="334123C9"/>
    <w:rsid w:val="33480AB9"/>
    <w:rsid w:val="3352162D"/>
    <w:rsid w:val="33557288"/>
    <w:rsid w:val="33882539"/>
    <w:rsid w:val="33961EE4"/>
    <w:rsid w:val="33A70AEE"/>
    <w:rsid w:val="33A96F3C"/>
    <w:rsid w:val="33B315F8"/>
    <w:rsid w:val="33BC72B7"/>
    <w:rsid w:val="33C36431"/>
    <w:rsid w:val="33C95001"/>
    <w:rsid w:val="33D35D48"/>
    <w:rsid w:val="33D53ED4"/>
    <w:rsid w:val="33DA14EB"/>
    <w:rsid w:val="33E83C08"/>
    <w:rsid w:val="33F47618"/>
    <w:rsid w:val="33FB4E5D"/>
    <w:rsid w:val="33FF48DB"/>
    <w:rsid w:val="34050F42"/>
    <w:rsid w:val="340C246E"/>
    <w:rsid w:val="3414476F"/>
    <w:rsid w:val="34205B4A"/>
    <w:rsid w:val="342568D0"/>
    <w:rsid w:val="34337579"/>
    <w:rsid w:val="34403A44"/>
    <w:rsid w:val="34677222"/>
    <w:rsid w:val="346A0514"/>
    <w:rsid w:val="346B12F0"/>
    <w:rsid w:val="347D30D1"/>
    <w:rsid w:val="348524E3"/>
    <w:rsid w:val="349452E2"/>
    <w:rsid w:val="349531AC"/>
    <w:rsid w:val="349F5519"/>
    <w:rsid w:val="34A56569"/>
    <w:rsid w:val="34D3208C"/>
    <w:rsid w:val="34DF5D43"/>
    <w:rsid w:val="34EC597A"/>
    <w:rsid w:val="34F605A6"/>
    <w:rsid w:val="34F678C3"/>
    <w:rsid w:val="34F767AB"/>
    <w:rsid w:val="34F860CC"/>
    <w:rsid w:val="34FB376E"/>
    <w:rsid w:val="34FD2EE6"/>
    <w:rsid w:val="35002EF3"/>
    <w:rsid w:val="351112A6"/>
    <w:rsid w:val="35127C1C"/>
    <w:rsid w:val="353547E3"/>
    <w:rsid w:val="355157DD"/>
    <w:rsid w:val="35517EB4"/>
    <w:rsid w:val="355C77E1"/>
    <w:rsid w:val="35614F5E"/>
    <w:rsid w:val="356D6ABA"/>
    <w:rsid w:val="358362DE"/>
    <w:rsid w:val="358E0337"/>
    <w:rsid w:val="359825D2"/>
    <w:rsid w:val="35A23214"/>
    <w:rsid w:val="35B13ADC"/>
    <w:rsid w:val="35B25093"/>
    <w:rsid w:val="35DF3C76"/>
    <w:rsid w:val="35ED19A9"/>
    <w:rsid w:val="35F928B8"/>
    <w:rsid w:val="35FA0010"/>
    <w:rsid w:val="35FA5E74"/>
    <w:rsid w:val="35FA7C22"/>
    <w:rsid w:val="35FE629D"/>
    <w:rsid w:val="35FE7713"/>
    <w:rsid w:val="36013967"/>
    <w:rsid w:val="360867E3"/>
    <w:rsid w:val="360A3E4F"/>
    <w:rsid w:val="360B5893"/>
    <w:rsid w:val="360D3DFA"/>
    <w:rsid w:val="361C5CE7"/>
    <w:rsid w:val="36280FDF"/>
    <w:rsid w:val="36286FF1"/>
    <w:rsid w:val="36393081"/>
    <w:rsid w:val="363D182F"/>
    <w:rsid w:val="364A6DFC"/>
    <w:rsid w:val="364F61C0"/>
    <w:rsid w:val="365325D5"/>
    <w:rsid w:val="36637EBD"/>
    <w:rsid w:val="366616ED"/>
    <w:rsid w:val="36667D16"/>
    <w:rsid w:val="3668314D"/>
    <w:rsid w:val="366852D6"/>
    <w:rsid w:val="366F7953"/>
    <w:rsid w:val="36715C87"/>
    <w:rsid w:val="36721EAF"/>
    <w:rsid w:val="367277E1"/>
    <w:rsid w:val="36767721"/>
    <w:rsid w:val="36846957"/>
    <w:rsid w:val="369322EA"/>
    <w:rsid w:val="36945D1B"/>
    <w:rsid w:val="369C59DB"/>
    <w:rsid w:val="36A06834"/>
    <w:rsid w:val="36B41819"/>
    <w:rsid w:val="36B56E1C"/>
    <w:rsid w:val="36B84EFE"/>
    <w:rsid w:val="36C35881"/>
    <w:rsid w:val="36C721FA"/>
    <w:rsid w:val="36CF3B56"/>
    <w:rsid w:val="36D54201"/>
    <w:rsid w:val="36D660FA"/>
    <w:rsid w:val="36E928EE"/>
    <w:rsid w:val="36EE4D00"/>
    <w:rsid w:val="36F05658"/>
    <w:rsid w:val="36F308D9"/>
    <w:rsid w:val="36F83B09"/>
    <w:rsid w:val="36FC2004"/>
    <w:rsid w:val="370152C2"/>
    <w:rsid w:val="371173C2"/>
    <w:rsid w:val="37144D14"/>
    <w:rsid w:val="37164509"/>
    <w:rsid w:val="371851E2"/>
    <w:rsid w:val="37214CFF"/>
    <w:rsid w:val="37242A08"/>
    <w:rsid w:val="372810EB"/>
    <w:rsid w:val="373F0F8B"/>
    <w:rsid w:val="37425179"/>
    <w:rsid w:val="37470034"/>
    <w:rsid w:val="374B729E"/>
    <w:rsid w:val="37500442"/>
    <w:rsid w:val="375D7B5B"/>
    <w:rsid w:val="37682226"/>
    <w:rsid w:val="376D3494"/>
    <w:rsid w:val="37705379"/>
    <w:rsid w:val="3771016C"/>
    <w:rsid w:val="377A3398"/>
    <w:rsid w:val="378955B8"/>
    <w:rsid w:val="378E4D4F"/>
    <w:rsid w:val="379222F8"/>
    <w:rsid w:val="37936B2C"/>
    <w:rsid w:val="379E24BF"/>
    <w:rsid w:val="37B25611"/>
    <w:rsid w:val="37B3452D"/>
    <w:rsid w:val="37B45D08"/>
    <w:rsid w:val="37B75977"/>
    <w:rsid w:val="37BB4944"/>
    <w:rsid w:val="37C30C14"/>
    <w:rsid w:val="37CF13FA"/>
    <w:rsid w:val="37D4609E"/>
    <w:rsid w:val="37E172EC"/>
    <w:rsid w:val="37E868CC"/>
    <w:rsid w:val="37EB3CC7"/>
    <w:rsid w:val="37EE502E"/>
    <w:rsid w:val="37F077BF"/>
    <w:rsid w:val="37F65674"/>
    <w:rsid w:val="37F94635"/>
    <w:rsid w:val="38062E76"/>
    <w:rsid w:val="381E75D8"/>
    <w:rsid w:val="381F40A1"/>
    <w:rsid w:val="38262F51"/>
    <w:rsid w:val="384377B7"/>
    <w:rsid w:val="38462157"/>
    <w:rsid w:val="38534F19"/>
    <w:rsid w:val="38541572"/>
    <w:rsid w:val="385E26EA"/>
    <w:rsid w:val="38680113"/>
    <w:rsid w:val="3869535B"/>
    <w:rsid w:val="38733523"/>
    <w:rsid w:val="38750690"/>
    <w:rsid w:val="38767A34"/>
    <w:rsid w:val="387B2E13"/>
    <w:rsid w:val="3895336B"/>
    <w:rsid w:val="38957B7A"/>
    <w:rsid w:val="38A50E89"/>
    <w:rsid w:val="38A74DA6"/>
    <w:rsid w:val="38AC2D0D"/>
    <w:rsid w:val="38BF4662"/>
    <w:rsid w:val="38C32995"/>
    <w:rsid w:val="38C805EE"/>
    <w:rsid w:val="38D01806"/>
    <w:rsid w:val="38DD5B77"/>
    <w:rsid w:val="38F26F04"/>
    <w:rsid w:val="38F52C52"/>
    <w:rsid w:val="38F87230"/>
    <w:rsid w:val="38FB262F"/>
    <w:rsid w:val="390473AF"/>
    <w:rsid w:val="39060B25"/>
    <w:rsid w:val="391701F7"/>
    <w:rsid w:val="391875E1"/>
    <w:rsid w:val="39221842"/>
    <w:rsid w:val="39326F05"/>
    <w:rsid w:val="39504729"/>
    <w:rsid w:val="395619C7"/>
    <w:rsid w:val="39581A26"/>
    <w:rsid w:val="395F1B47"/>
    <w:rsid w:val="39643D30"/>
    <w:rsid w:val="39671A73"/>
    <w:rsid w:val="396A2F24"/>
    <w:rsid w:val="39700E94"/>
    <w:rsid w:val="3972135E"/>
    <w:rsid w:val="39743AD8"/>
    <w:rsid w:val="397727CD"/>
    <w:rsid w:val="397A3554"/>
    <w:rsid w:val="398B750F"/>
    <w:rsid w:val="399F5BC4"/>
    <w:rsid w:val="39BE60C9"/>
    <w:rsid w:val="39E430C3"/>
    <w:rsid w:val="39EF340E"/>
    <w:rsid w:val="39F00BF2"/>
    <w:rsid w:val="3A00614F"/>
    <w:rsid w:val="3A094ACB"/>
    <w:rsid w:val="3A115E55"/>
    <w:rsid w:val="3A1415F6"/>
    <w:rsid w:val="3A1B10F1"/>
    <w:rsid w:val="3A213691"/>
    <w:rsid w:val="3A2630EE"/>
    <w:rsid w:val="3A2A31CC"/>
    <w:rsid w:val="3A3F634A"/>
    <w:rsid w:val="3A3F7873"/>
    <w:rsid w:val="3A405D74"/>
    <w:rsid w:val="3A464025"/>
    <w:rsid w:val="3A470F41"/>
    <w:rsid w:val="3A4F2618"/>
    <w:rsid w:val="3A582663"/>
    <w:rsid w:val="3A5A00DD"/>
    <w:rsid w:val="3A6D5AD7"/>
    <w:rsid w:val="3A6E7917"/>
    <w:rsid w:val="3A744569"/>
    <w:rsid w:val="3A79072A"/>
    <w:rsid w:val="3A992100"/>
    <w:rsid w:val="3AB22A15"/>
    <w:rsid w:val="3AC240CF"/>
    <w:rsid w:val="3AD76E94"/>
    <w:rsid w:val="3AE07990"/>
    <w:rsid w:val="3AE8373F"/>
    <w:rsid w:val="3AF767A5"/>
    <w:rsid w:val="3B084B8F"/>
    <w:rsid w:val="3B1C47BA"/>
    <w:rsid w:val="3B45433E"/>
    <w:rsid w:val="3B4B47A2"/>
    <w:rsid w:val="3B5267AE"/>
    <w:rsid w:val="3B5A7F75"/>
    <w:rsid w:val="3B5F4B10"/>
    <w:rsid w:val="3B6A5F40"/>
    <w:rsid w:val="3B844B5E"/>
    <w:rsid w:val="3BA170F1"/>
    <w:rsid w:val="3BD00135"/>
    <w:rsid w:val="3BDA7A57"/>
    <w:rsid w:val="3BEC4F78"/>
    <w:rsid w:val="3BF50CD7"/>
    <w:rsid w:val="3C0F06A5"/>
    <w:rsid w:val="3C153A08"/>
    <w:rsid w:val="3C1C672E"/>
    <w:rsid w:val="3C265C15"/>
    <w:rsid w:val="3C3245B8"/>
    <w:rsid w:val="3C3D6F3F"/>
    <w:rsid w:val="3C40117D"/>
    <w:rsid w:val="3C414D93"/>
    <w:rsid w:val="3C523DA5"/>
    <w:rsid w:val="3C616C4D"/>
    <w:rsid w:val="3C642C35"/>
    <w:rsid w:val="3C7050E2"/>
    <w:rsid w:val="3C714E73"/>
    <w:rsid w:val="3C7210B2"/>
    <w:rsid w:val="3C7E313B"/>
    <w:rsid w:val="3C850B8E"/>
    <w:rsid w:val="3C8A43F2"/>
    <w:rsid w:val="3C8C573F"/>
    <w:rsid w:val="3CA8487C"/>
    <w:rsid w:val="3CBC3660"/>
    <w:rsid w:val="3CC23D07"/>
    <w:rsid w:val="3CD97598"/>
    <w:rsid w:val="3CF719D1"/>
    <w:rsid w:val="3CFA1AFF"/>
    <w:rsid w:val="3D0D2931"/>
    <w:rsid w:val="3D0F528D"/>
    <w:rsid w:val="3D394439"/>
    <w:rsid w:val="3D4C5207"/>
    <w:rsid w:val="3D5B1C6A"/>
    <w:rsid w:val="3D5B369C"/>
    <w:rsid w:val="3D7164EB"/>
    <w:rsid w:val="3D837083"/>
    <w:rsid w:val="3D8D041F"/>
    <w:rsid w:val="3D9D1767"/>
    <w:rsid w:val="3DA474D0"/>
    <w:rsid w:val="3DA52B6A"/>
    <w:rsid w:val="3DB35286"/>
    <w:rsid w:val="3DB6629D"/>
    <w:rsid w:val="3DBD4030"/>
    <w:rsid w:val="3DBF1D25"/>
    <w:rsid w:val="3DC15BF5"/>
    <w:rsid w:val="3DC8302F"/>
    <w:rsid w:val="3DC91753"/>
    <w:rsid w:val="3DCB6002"/>
    <w:rsid w:val="3DD73210"/>
    <w:rsid w:val="3DE54A23"/>
    <w:rsid w:val="3DFE0BF8"/>
    <w:rsid w:val="3E03671E"/>
    <w:rsid w:val="3E1201FF"/>
    <w:rsid w:val="3E285C74"/>
    <w:rsid w:val="3E2A3F18"/>
    <w:rsid w:val="3E2B1CC9"/>
    <w:rsid w:val="3E320C4C"/>
    <w:rsid w:val="3E330175"/>
    <w:rsid w:val="3E37478D"/>
    <w:rsid w:val="3E450A3C"/>
    <w:rsid w:val="3E4E4FAF"/>
    <w:rsid w:val="3E570308"/>
    <w:rsid w:val="3E7013C9"/>
    <w:rsid w:val="3E78745D"/>
    <w:rsid w:val="3E7F6A62"/>
    <w:rsid w:val="3E8B6203"/>
    <w:rsid w:val="3E9F7F53"/>
    <w:rsid w:val="3EA84A08"/>
    <w:rsid w:val="3EAC283D"/>
    <w:rsid w:val="3EAE744C"/>
    <w:rsid w:val="3EBE0387"/>
    <w:rsid w:val="3EC0188F"/>
    <w:rsid w:val="3EC341BE"/>
    <w:rsid w:val="3ECF4342"/>
    <w:rsid w:val="3EE10124"/>
    <w:rsid w:val="3EEA69DC"/>
    <w:rsid w:val="3EEC33A9"/>
    <w:rsid w:val="3EEE088F"/>
    <w:rsid w:val="3EF30A36"/>
    <w:rsid w:val="3EFE4C27"/>
    <w:rsid w:val="3F040EA9"/>
    <w:rsid w:val="3F04766D"/>
    <w:rsid w:val="3F1C50AD"/>
    <w:rsid w:val="3F1E341D"/>
    <w:rsid w:val="3F3F22AF"/>
    <w:rsid w:val="3F553E3C"/>
    <w:rsid w:val="3F59594A"/>
    <w:rsid w:val="3F600C78"/>
    <w:rsid w:val="3F6811EA"/>
    <w:rsid w:val="3F687B7E"/>
    <w:rsid w:val="3F6F0600"/>
    <w:rsid w:val="3F757858"/>
    <w:rsid w:val="3F820783"/>
    <w:rsid w:val="3F87705E"/>
    <w:rsid w:val="3F880F89"/>
    <w:rsid w:val="3F8D2A91"/>
    <w:rsid w:val="3F977363"/>
    <w:rsid w:val="3FA550A3"/>
    <w:rsid w:val="3FA576C6"/>
    <w:rsid w:val="3FA70E1B"/>
    <w:rsid w:val="3FAB242B"/>
    <w:rsid w:val="3FB22D2E"/>
    <w:rsid w:val="3FB377C0"/>
    <w:rsid w:val="3FB66F3B"/>
    <w:rsid w:val="3FB83028"/>
    <w:rsid w:val="3FD124CF"/>
    <w:rsid w:val="3FDD483D"/>
    <w:rsid w:val="40152726"/>
    <w:rsid w:val="402D429A"/>
    <w:rsid w:val="403326AF"/>
    <w:rsid w:val="404F488B"/>
    <w:rsid w:val="40640ABA"/>
    <w:rsid w:val="406E7B8B"/>
    <w:rsid w:val="407836C0"/>
    <w:rsid w:val="4081056B"/>
    <w:rsid w:val="4086376B"/>
    <w:rsid w:val="40922480"/>
    <w:rsid w:val="40967024"/>
    <w:rsid w:val="40976B3B"/>
    <w:rsid w:val="40992DC9"/>
    <w:rsid w:val="409A44DC"/>
    <w:rsid w:val="40A95350"/>
    <w:rsid w:val="40AF3179"/>
    <w:rsid w:val="40B12D3C"/>
    <w:rsid w:val="40B30B18"/>
    <w:rsid w:val="40CA3013"/>
    <w:rsid w:val="40E63BC5"/>
    <w:rsid w:val="40FC00DE"/>
    <w:rsid w:val="41031A28"/>
    <w:rsid w:val="41200E85"/>
    <w:rsid w:val="41203C54"/>
    <w:rsid w:val="41274EDF"/>
    <w:rsid w:val="413B181B"/>
    <w:rsid w:val="414F04EC"/>
    <w:rsid w:val="415D2DB9"/>
    <w:rsid w:val="41611F09"/>
    <w:rsid w:val="416B4C00"/>
    <w:rsid w:val="417E5BAB"/>
    <w:rsid w:val="41875AA0"/>
    <w:rsid w:val="41962EF5"/>
    <w:rsid w:val="41963063"/>
    <w:rsid w:val="41A01FC6"/>
    <w:rsid w:val="41B0056A"/>
    <w:rsid w:val="41B873F1"/>
    <w:rsid w:val="41BF58B1"/>
    <w:rsid w:val="41D41CC8"/>
    <w:rsid w:val="41DA3A9C"/>
    <w:rsid w:val="41DF6DBD"/>
    <w:rsid w:val="41E74F39"/>
    <w:rsid w:val="41EE00FD"/>
    <w:rsid w:val="41F63994"/>
    <w:rsid w:val="420A743F"/>
    <w:rsid w:val="42133F79"/>
    <w:rsid w:val="4220244D"/>
    <w:rsid w:val="42206C63"/>
    <w:rsid w:val="4226054F"/>
    <w:rsid w:val="4230143F"/>
    <w:rsid w:val="42410707"/>
    <w:rsid w:val="424F5F7C"/>
    <w:rsid w:val="425713A4"/>
    <w:rsid w:val="425F1C1D"/>
    <w:rsid w:val="42603AD7"/>
    <w:rsid w:val="4260743E"/>
    <w:rsid w:val="42673AA9"/>
    <w:rsid w:val="426F0780"/>
    <w:rsid w:val="42761CB9"/>
    <w:rsid w:val="42766D96"/>
    <w:rsid w:val="427A17F8"/>
    <w:rsid w:val="427C1A83"/>
    <w:rsid w:val="427F7E2D"/>
    <w:rsid w:val="42800759"/>
    <w:rsid w:val="42816BC8"/>
    <w:rsid w:val="4286740D"/>
    <w:rsid w:val="428C5AEB"/>
    <w:rsid w:val="429140A6"/>
    <w:rsid w:val="429945ED"/>
    <w:rsid w:val="429A07C3"/>
    <w:rsid w:val="429C49A5"/>
    <w:rsid w:val="42A20B31"/>
    <w:rsid w:val="42A359F3"/>
    <w:rsid w:val="42B279CF"/>
    <w:rsid w:val="42C23F55"/>
    <w:rsid w:val="42D66B3E"/>
    <w:rsid w:val="42D83CF1"/>
    <w:rsid w:val="42E5365A"/>
    <w:rsid w:val="42E962AA"/>
    <w:rsid w:val="42ED3D38"/>
    <w:rsid w:val="42F221D8"/>
    <w:rsid w:val="43047D59"/>
    <w:rsid w:val="430635D8"/>
    <w:rsid w:val="4309114B"/>
    <w:rsid w:val="431A1E86"/>
    <w:rsid w:val="431F06D0"/>
    <w:rsid w:val="431F44E6"/>
    <w:rsid w:val="43231541"/>
    <w:rsid w:val="43267E6F"/>
    <w:rsid w:val="43292C01"/>
    <w:rsid w:val="432A4A19"/>
    <w:rsid w:val="433B01F8"/>
    <w:rsid w:val="433D6D2B"/>
    <w:rsid w:val="434F5A51"/>
    <w:rsid w:val="43557285"/>
    <w:rsid w:val="435A7F52"/>
    <w:rsid w:val="435C3CAD"/>
    <w:rsid w:val="43752EA3"/>
    <w:rsid w:val="437E1E93"/>
    <w:rsid w:val="438F6F2B"/>
    <w:rsid w:val="43921EAF"/>
    <w:rsid w:val="439E55F6"/>
    <w:rsid w:val="43AF4742"/>
    <w:rsid w:val="43B763D6"/>
    <w:rsid w:val="43B92D33"/>
    <w:rsid w:val="43BC29BB"/>
    <w:rsid w:val="43D1290A"/>
    <w:rsid w:val="43D33F21"/>
    <w:rsid w:val="43E72261"/>
    <w:rsid w:val="43E95AE5"/>
    <w:rsid w:val="43ED030E"/>
    <w:rsid w:val="43EF2D90"/>
    <w:rsid w:val="44115DA3"/>
    <w:rsid w:val="44136A7F"/>
    <w:rsid w:val="441B5933"/>
    <w:rsid w:val="44233CE1"/>
    <w:rsid w:val="44264E6F"/>
    <w:rsid w:val="442911A1"/>
    <w:rsid w:val="442A5B77"/>
    <w:rsid w:val="442B023F"/>
    <w:rsid w:val="442C0DCC"/>
    <w:rsid w:val="44485834"/>
    <w:rsid w:val="444E7AB7"/>
    <w:rsid w:val="446D5872"/>
    <w:rsid w:val="44783773"/>
    <w:rsid w:val="448B5125"/>
    <w:rsid w:val="449A6130"/>
    <w:rsid w:val="44A1052F"/>
    <w:rsid w:val="44AE67A8"/>
    <w:rsid w:val="44C15625"/>
    <w:rsid w:val="44C47D79"/>
    <w:rsid w:val="44CE5A6E"/>
    <w:rsid w:val="44D95897"/>
    <w:rsid w:val="44E53515"/>
    <w:rsid w:val="44F2122A"/>
    <w:rsid w:val="44FB02DA"/>
    <w:rsid w:val="45015A7E"/>
    <w:rsid w:val="450B4281"/>
    <w:rsid w:val="451231DA"/>
    <w:rsid w:val="45135A71"/>
    <w:rsid w:val="451D7EEF"/>
    <w:rsid w:val="451E0AF1"/>
    <w:rsid w:val="452457E1"/>
    <w:rsid w:val="45266544"/>
    <w:rsid w:val="453942C3"/>
    <w:rsid w:val="45592BB7"/>
    <w:rsid w:val="455C4456"/>
    <w:rsid w:val="4560101A"/>
    <w:rsid w:val="45723C79"/>
    <w:rsid w:val="457572C5"/>
    <w:rsid w:val="45761CF7"/>
    <w:rsid w:val="457828F6"/>
    <w:rsid w:val="45800144"/>
    <w:rsid w:val="458312F9"/>
    <w:rsid w:val="458319E2"/>
    <w:rsid w:val="45837C34"/>
    <w:rsid w:val="458A242A"/>
    <w:rsid w:val="458F65D9"/>
    <w:rsid w:val="4594599D"/>
    <w:rsid w:val="459A5F4C"/>
    <w:rsid w:val="459D5389"/>
    <w:rsid w:val="459D5D54"/>
    <w:rsid w:val="45A007E6"/>
    <w:rsid w:val="45A71166"/>
    <w:rsid w:val="45B51211"/>
    <w:rsid w:val="45B87758"/>
    <w:rsid w:val="45BD0E90"/>
    <w:rsid w:val="45BF2287"/>
    <w:rsid w:val="45BF3F52"/>
    <w:rsid w:val="45C02C36"/>
    <w:rsid w:val="45C77069"/>
    <w:rsid w:val="45CC63B8"/>
    <w:rsid w:val="45D07B8D"/>
    <w:rsid w:val="45D264C6"/>
    <w:rsid w:val="45E97C6D"/>
    <w:rsid w:val="45F60406"/>
    <w:rsid w:val="463E4B82"/>
    <w:rsid w:val="4652566B"/>
    <w:rsid w:val="46552541"/>
    <w:rsid w:val="4655317A"/>
    <w:rsid w:val="4662784A"/>
    <w:rsid w:val="467001B9"/>
    <w:rsid w:val="46810731"/>
    <w:rsid w:val="4697640E"/>
    <w:rsid w:val="46A97B1A"/>
    <w:rsid w:val="46AE787C"/>
    <w:rsid w:val="46C54731"/>
    <w:rsid w:val="46C77931"/>
    <w:rsid w:val="46CC1183"/>
    <w:rsid w:val="46CE4190"/>
    <w:rsid w:val="46D563EF"/>
    <w:rsid w:val="46E41D4C"/>
    <w:rsid w:val="46E636B7"/>
    <w:rsid w:val="46E92829"/>
    <w:rsid w:val="46F136F0"/>
    <w:rsid w:val="46FF676A"/>
    <w:rsid w:val="47033A10"/>
    <w:rsid w:val="47046B53"/>
    <w:rsid w:val="47086643"/>
    <w:rsid w:val="470D773D"/>
    <w:rsid w:val="470E7EC6"/>
    <w:rsid w:val="47156371"/>
    <w:rsid w:val="47194F77"/>
    <w:rsid w:val="471C3E9C"/>
    <w:rsid w:val="47380BB4"/>
    <w:rsid w:val="47393558"/>
    <w:rsid w:val="473962F1"/>
    <w:rsid w:val="47456C05"/>
    <w:rsid w:val="47460F19"/>
    <w:rsid w:val="474A0B8D"/>
    <w:rsid w:val="474D6D13"/>
    <w:rsid w:val="47505EDD"/>
    <w:rsid w:val="47620BC0"/>
    <w:rsid w:val="4763186D"/>
    <w:rsid w:val="47631ACB"/>
    <w:rsid w:val="47796DD8"/>
    <w:rsid w:val="477A3F4D"/>
    <w:rsid w:val="477A771B"/>
    <w:rsid w:val="477B7200"/>
    <w:rsid w:val="47887784"/>
    <w:rsid w:val="478A66AF"/>
    <w:rsid w:val="478B4B7E"/>
    <w:rsid w:val="47946129"/>
    <w:rsid w:val="47946B03"/>
    <w:rsid w:val="47961E2C"/>
    <w:rsid w:val="47A1403E"/>
    <w:rsid w:val="47A3636C"/>
    <w:rsid w:val="47A60B70"/>
    <w:rsid w:val="47B10A89"/>
    <w:rsid w:val="47B64A32"/>
    <w:rsid w:val="47B73BC5"/>
    <w:rsid w:val="47CB5A76"/>
    <w:rsid w:val="47D66E8E"/>
    <w:rsid w:val="47E4775A"/>
    <w:rsid w:val="47ED7073"/>
    <w:rsid w:val="47F70466"/>
    <w:rsid w:val="480131B8"/>
    <w:rsid w:val="48133CBE"/>
    <w:rsid w:val="48141F25"/>
    <w:rsid w:val="48151274"/>
    <w:rsid w:val="48345EAA"/>
    <w:rsid w:val="4839282C"/>
    <w:rsid w:val="4851608C"/>
    <w:rsid w:val="485803B1"/>
    <w:rsid w:val="485D29BF"/>
    <w:rsid w:val="485E2423"/>
    <w:rsid w:val="48676C90"/>
    <w:rsid w:val="486A14B6"/>
    <w:rsid w:val="487151EC"/>
    <w:rsid w:val="487517C3"/>
    <w:rsid w:val="4881060E"/>
    <w:rsid w:val="488315CD"/>
    <w:rsid w:val="488717E9"/>
    <w:rsid w:val="488B5E6F"/>
    <w:rsid w:val="488F069E"/>
    <w:rsid w:val="48912668"/>
    <w:rsid w:val="48973B5E"/>
    <w:rsid w:val="48BC744A"/>
    <w:rsid w:val="48CE0D2A"/>
    <w:rsid w:val="48D67E97"/>
    <w:rsid w:val="48DD0132"/>
    <w:rsid w:val="48E64FA8"/>
    <w:rsid w:val="48ED4076"/>
    <w:rsid w:val="48EF4B66"/>
    <w:rsid w:val="48FF5824"/>
    <w:rsid w:val="4901159C"/>
    <w:rsid w:val="4914434F"/>
    <w:rsid w:val="491A1005"/>
    <w:rsid w:val="4929464F"/>
    <w:rsid w:val="49301E81"/>
    <w:rsid w:val="49356826"/>
    <w:rsid w:val="49425522"/>
    <w:rsid w:val="494D766C"/>
    <w:rsid w:val="494F3CF5"/>
    <w:rsid w:val="496B1108"/>
    <w:rsid w:val="4971502C"/>
    <w:rsid w:val="4977185E"/>
    <w:rsid w:val="49776FAA"/>
    <w:rsid w:val="49796B1E"/>
    <w:rsid w:val="497F4BB2"/>
    <w:rsid w:val="497F6A07"/>
    <w:rsid w:val="49883A05"/>
    <w:rsid w:val="4989196F"/>
    <w:rsid w:val="498973DF"/>
    <w:rsid w:val="498D39FB"/>
    <w:rsid w:val="49A359AE"/>
    <w:rsid w:val="49C16CD8"/>
    <w:rsid w:val="49C40C88"/>
    <w:rsid w:val="49D67550"/>
    <w:rsid w:val="49DF3982"/>
    <w:rsid w:val="49E760C4"/>
    <w:rsid w:val="49EF48DD"/>
    <w:rsid w:val="49F4637B"/>
    <w:rsid w:val="49FD09BF"/>
    <w:rsid w:val="4A0F2E04"/>
    <w:rsid w:val="4A143551"/>
    <w:rsid w:val="4A1862D7"/>
    <w:rsid w:val="4A1E18DE"/>
    <w:rsid w:val="4A2119B0"/>
    <w:rsid w:val="4A2C554D"/>
    <w:rsid w:val="4A302379"/>
    <w:rsid w:val="4A3A15F3"/>
    <w:rsid w:val="4A4C6847"/>
    <w:rsid w:val="4A69389D"/>
    <w:rsid w:val="4A736580"/>
    <w:rsid w:val="4A8838B2"/>
    <w:rsid w:val="4A914926"/>
    <w:rsid w:val="4A9B6A47"/>
    <w:rsid w:val="4AA04DE4"/>
    <w:rsid w:val="4AA0645E"/>
    <w:rsid w:val="4ABF67DA"/>
    <w:rsid w:val="4AC76815"/>
    <w:rsid w:val="4ACA72FB"/>
    <w:rsid w:val="4AD31688"/>
    <w:rsid w:val="4AD74508"/>
    <w:rsid w:val="4ADE3F92"/>
    <w:rsid w:val="4AEC627C"/>
    <w:rsid w:val="4AED5BE5"/>
    <w:rsid w:val="4AEF07E9"/>
    <w:rsid w:val="4AF60EA8"/>
    <w:rsid w:val="4AFB557E"/>
    <w:rsid w:val="4AFC26D1"/>
    <w:rsid w:val="4B0B04B0"/>
    <w:rsid w:val="4B0C1690"/>
    <w:rsid w:val="4B0E4861"/>
    <w:rsid w:val="4B143996"/>
    <w:rsid w:val="4B1E410C"/>
    <w:rsid w:val="4B1E4DC7"/>
    <w:rsid w:val="4B296B88"/>
    <w:rsid w:val="4B316D42"/>
    <w:rsid w:val="4B3633D7"/>
    <w:rsid w:val="4B3C7DDD"/>
    <w:rsid w:val="4B603168"/>
    <w:rsid w:val="4B6339BF"/>
    <w:rsid w:val="4B7974AE"/>
    <w:rsid w:val="4B824BA3"/>
    <w:rsid w:val="4B83273C"/>
    <w:rsid w:val="4B88257C"/>
    <w:rsid w:val="4B8B15F1"/>
    <w:rsid w:val="4B8E6140"/>
    <w:rsid w:val="4BA214AA"/>
    <w:rsid w:val="4BA34333"/>
    <w:rsid w:val="4BAB03CB"/>
    <w:rsid w:val="4BAF1783"/>
    <w:rsid w:val="4BB07C55"/>
    <w:rsid w:val="4BBE21A4"/>
    <w:rsid w:val="4BD13A2B"/>
    <w:rsid w:val="4BDC1E4C"/>
    <w:rsid w:val="4BDD0CBE"/>
    <w:rsid w:val="4BE85B56"/>
    <w:rsid w:val="4BED1869"/>
    <w:rsid w:val="4BF01508"/>
    <w:rsid w:val="4BFE0421"/>
    <w:rsid w:val="4BFF496C"/>
    <w:rsid w:val="4C0118B3"/>
    <w:rsid w:val="4C0A69B9"/>
    <w:rsid w:val="4C196BFC"/>
    <w:rsid w:val="4C20442F"/>
    <w:rsid w:val="4C322964"/>
    <w:rsid w:val="4C3A29AB"/>
    <w:rsid w:val="4C3C2026"/>
    <w:rsid w:val="4C3D0156"/>
    <w:rsid w:val="4C41120B"/>
    <w:rsid w:val="4C545E87"/>
    <w:rsid w:val="4C5916EF"/>
    <w:rsid w:val="4C5F3864"/>
    <w:rsid w:val="4C6562E6"/>
    <w:rsid w:val="4C6F3738"/>
    <w:rsid w:val="4C7160D1"/>
    <w:rsid w:val="4C7174FA"/>
    <w:rsid w:val="4C724F31"/>
    <w:rsid w:val="4C7818BA"/>
    <w:rsid w:val="4C7B131F"/>
    <w:rsid w:val="4C983FC5"/>
    <w:rsid w:val="4CA8697D"/>
    <w:rsid w:val="4CAC449A"/>
    <w:rsid w:val="4CB132D9"/>
    <w:rsid w:val="4CB167D1"/>
    <w:rsid w:val="4CB67A9B"/>
    <w:rsid w:val="4CB872F7"/>
    <w:rsid w:val="4CC528E0"/>
    <w:rsid w:val="4CD82179"/>
    <w:rsid w:val="4CDD12A8"/>
    <w:rsid w:val="4CE05724"/>
    <w:rsid w:val="4CE51DF8"/>
    <w:rsid w:val="4CEF54B0"/>
    <w:rsid w:val="4CFB09F8"/>
    <w:rsid w:val="4D0A1E20"/>
    <w:rsid w:val="4D0A2F51"/>
    <w:rsid w:val="4D242E94"/>
    <w:rsid w:val="4D2766A9"/>
    <w:rsid w:val="4D2B3A58"/>
    <w:rsid w:val="4D2C2AA8"/>
    <w:rsid w:val="4D3A32CE"/>
    <w:rsid w:val="4D4D57C7"/>
    <w:rsid w:val="4D5942D2"/>
    <w:rsid w:val="4D63247C"/>
    <w:rsid w:val="4D692624"/>
    <w:rsid w:val="4D7334F5"/>
    <w:rsid w:val="4D7B21E4"/>
    <w:rsid w:val="4D891E52"/>
    <w:rsid w:val="4D8A7CF7"/>
    <w:rsid w:val="4D8B3F74"/>
    <w:rsid w:val="4D95405A"/>
    <w:rsid w:val="4D971F86"/>
    <w:rsid w:val="4DA370C6"/>
    <w:rsid w:val="4DA46549"/>
    <w:rsid w:val="4DB309A6"/>
    <w:rsid w:val="4DB56F33"/>
    <w:rsid w:val="4DB74F29"/>
    <w:rsid w:val="4DC23403"/>
    <w:rsid w:val="4DC869E6"/>
    <w:rsid w:val="4DCC29BB"/>
    <w:rsid w:val="4DDE0026"/>
    <w:rsid w:val="4DDE1EAC"/>
    <w:rsid w:val="4DE25361"/>
    <w:rsid w:val="4E0B6A19"/>
    <w:rsid w:val="4E0F02B7"/>
    <w:rsid w:val="4E141DBD"/>
    <w:rsid w:val="4E171B56"/>
    <w:rsid w:val="4E1C0507"/>
    <w:rsid w:val="4E231FB4"/>
    <w:rsid w:val="4E255D2C"/>
    <w:rsid w:val="4E2E2B54"/>
    <w:rsid w:val="4E3A2B72"/>
    <w:rsid w:val="4E4837C9"/>
    <w:rsid w:val="4E486C7C"/>
    <w:rsid w:val="4E656129"/>
    <w:rsid w:val="4E675BA9"/>
    <w:rsid w:val="4E710F72"/>
    <w:rsid w:val="4E8017B8"/>
    <w:rsid w:val="4E880069"/>
    <w:rsid w:val="4E8C4C3F"/>
    <w:rsid w:val="4E8F0EDA"/>
    <w:rsid w:val="4E9B055D"/>
    <w:rsid w:val="4E9E5ADF"/>
    <w:rsid w:val="4EA56E6D"/>
    <w:rsid w:val="4EC2262B"/>
    <w:rsid w:val="4EC77771"/>
    <w:rsid w:val="4ECD3CCE"/>
    <w:rsid w:val="4EE32473"/>
    <w:rsid w:val="4EEB001F"/>
    <w:rsid w:val="4EF73F52"/>
    <w:rsid w:val="4F2B51B5"/>
    <w:rsid w:val="4F2F09C1"/>
    <w:rsid w:val="4F3268AC"/>
    <w:rsid w:val="4F350BA0"/>
    <w:rsid w:val="4F393CE1"/>
    <w:rsid w:val="4F3A1A7F"/>
    <w:rsid w:val="4F4420B0"/>
    <w:rsid w:val="4F4B22BE"/>
    <w:rsid w:val="4F4F0A39"/>
    <w:rsid w:val="4F575F9B"/>
    <w:rsid w:val="4F6A49CF"/>
    <w:rsid w:val="4F8309A0"/>
    <w:rsid w:val="4F8434BB"/>
    <w:rsid w:val="4F8810DB"/>
    <w:rsid w:val="4F8D2468"/>
    <w:rsid w:val="4F9E4E88"/>
    <w:rsid w:val="4FA107F2"/>
    <w:rsid w:val="4FA17F26"/>
    <w:rsid w:val="4FA23A30"/>
    <w:rsid w:val="4FA42C81"/>
    <w:rsid w:val="4FAE6A0C"/>
    <w:rsid w:val="4FD30162"/>
    <w:rsid w:val="4FD317B8"/>
    <w:rsid w:val="4FDA3D66"/>
    <w:rsid w:val="4FDB3FDD"/>
    <w:rsid w:val="4FE02201"/>
    <w:rsid w:val="4FE330D2"/>
    <w:rsid w:val="4FE81397"/>
    <w:rsid w:val="4FF43081"/>
    <w:rsid w:val="4FFD4814"/>
    <w:rsid w:val="500A216D"/>
    <w:rsid w:val="500A3C27"/>
    <w:rsid w:val="500E27F0"/>
    <w:rsid w:val="5015774E"/>
    <w:rsid w:val="501E005E"/>
    <w:rsid w:val="50206261"/>
    <w:rsid w:val="502913D8"/>
    <w:rsid w:val="50332FF6"/>
    <w:rsid w:val="503353DC"/>
    <w:rsid w:val="50404215"/>
    <w:rsid w:val="504B4C44"/>
    <w:rsid w:val="506643DA"/>
    <w:rsid w:val="50683395"/>
    <w:rsid w:val="50751EBD"/>
    <w:rsid w:val="507E467D"/>
    <w:rsid w:val="5099655E"/>
    <w:rsid w:val="50A200B5"/>
    <w:rsid w:val="50C356AB"/>
    <w:rsid w:val="50CA399C"/>
    <w:rsid w:val="50E53551"/>
    <w:rsid w:val="50F20BF5"/>
    <w:rsid w:val="50F47C38"/>
    <w:rsid w:val="50F55C9E"/>
    <w:rsid w:val="51044717"/>
    <w:rsid w:val="510C6D30"/>
    <w:rsid w:val="51143E36"/>
    <w:rsid w:val="51145BE4"/>
    <w:rsid w:val="512A5408"/>
    <w:rsid w:val="51305CF4"/>
    <w:rsid w:val="51427AAF"/>
    <w:rsid w:val="51477D68"/>
    <w:rsid w:val="516A3CF7"/>
    <w:rsid w:val="516C3EC9"/>
    <w:rsid w:val="51705511"/>
    <w:rsid w:val="51745856"/>
    <w:rsid w:val="51976930"/>
    <w:rsid w:val="519C7F58"/>
    <w:rsid w:val="51A21442"/>
    <w:rsid w:val="51A92185"/>
    <w:rsid w:val="51B318A1"/>
    <w:rsid w:val="51B86EB8"/>
    <w:rsid w:val="51C575C9"/>
    <w:rsid w:val="51C718E2"/>
    <w:rsid w:val="51E03250"/>
    <w:rsid w:val="51E445C9"/>
    <w:rsid w:val="51EB2DE9"/>
    <w:rsid w:val="51EE1E62"/>
    <w:rsid w:val="51FA04DF"/>
    <w:rsid w:val="5207615A"/>
    <w:rsid w:val="521A4148"/>
    <w:rsid w:val="5224454D"/>
    <w:rsid w:val="522F68D9"/>
    <w:rsid w:val="52487919"/>
    <w:rsid w:val="524901E7"/>
    <w:rsid w:val="52526875"/>
    <w:rsid w:val="525C3CE7"/>
    <w:rsid w:val="525D70C2"/>
    <w:rsid w:val="525F64EC"/>
    <w:rsid w:val="526861E8"/>
    <w:rsid w:val="529214B7"/>
    <w:rsid w:val="52A93C69"/>
    <w:rsid w:val="52AB207C"/>
    <w:rsid w:val="52B5075F"/>
    <w:rsid w:val="52B70144"/>
    <w:rsid w:val="52C00AE8"/>
    <w:rsid w:val="52CF1DCC"/>
    <w:rsid w:val="52CF270B"/>
    <w:rsid w:val="52D14B3B"/>
    <w:rsid w:val="52D528B2"/>
    <w:rsid w:val="52D63993"/>
    <w:rsid w:val="52D95337"/>
    <w:rsid w:val="52DE6C30"/>
    <w:rsid w:val="52E11EA6"/>
    <w:rsid w:val="52EF6F71"/>
    <w:rsid w:val="52F22FC1"/>
    <w:rsid w:val="52F77D6C"/>
    <w:rsid w:val="5310218C"/>
    <w:rsid w:val="532778FC"/>
    <w:rsid w:val="53424C8B"/>
    <w:rsid w:val="53452617"/>
    <w:rsid w:val="53487DC7"/>
    <w:rsid w:val="534F3EED"/>
    <w:rsid w:val="53525E4C"/>
    <w:rsid w:val="535878E9"/>
    <w:rsid w:val="535A3F54"/>
    <w:rsid w:val="535B3DBD"/>
    <w:rsid w:val="536900BC"/>
    <w:rsid w:val="536B6D64"/>
    <w:rsid w:val="536D6EF8"/>
    <w:rsid w:val="53761B3F"/>
    <w:rsid w:val="537710A4"/>
    <w:rsid w:val="537D5A0D"/>
    <w:rsid w:val="53800563"/>
    <w:rsid w:val="53814015"/>
    <w:rsid w:val="538B0A0C"/>
    <w:rsid w:val="538C2B56"/>
    <w:rsid w:val="538F59F6"/>
    <w:rsid w:val="539354E6"/>
    <w:rsid w:val="539B19AE"/>
    <w:rsid w:val="53A77461"/>
    <w:rsid w:val="53B86E42"/>
    <w:rsid w:val="53BC1873"/>
    <w:rsid w:val="53BC2C8F"/>
    <w:rsid w:val="53EC2E48"/>
    <w:rsid w:val="53F00B8B"/>
    <w:rsid w:val="53FB308C"/>
    <w:rsid w:val="5400424A"/>
    <w:rsid w:val="540C135A"/>
    <w:rsid w:val="541228C9"/>
    <w:rsid w:val="54131EC1"/>
    <w:rsid w:val="541C54DC"/>
    <w:rsid w:val="541C5A99"/>
    <w:rsid w:val="542D0676"/>
    <w:rsid w:val="54322F51"/>
    <w:rsid w:val="54442C85"/>
    <w:rsid w:val="5445433A"/>
    <w:rsid w:val="54596730"/>
    <w:rsid w:val="54612DE1"/>
    <w:rsid w:val="5482715E"/>
    <w:rsid w:val="54827390"/>
    <w:rsid w:val="548378A9"/>
    <w:rsid w:val="54887A09"/>
    <w:rsid w:val="548B2661"/>
    <w:rsid w:val="54960EA4"/>
    <w:rsid w:val="54A51975"/>
    <w:rsid w:val="54A74402"/>
    <w:rsid w:val="54B5302D"/>
    <w:rsid w:val="54C150DF"/>
    <w:rsid w:val="54C34ECC"/>
    <w:rsid w:val="54CA318A"/>
    <w:rsid w:val="54D15BFA"/>
    <w:rsid w:val="550A17D8"/>
    <w:rsid w:val="550B3992"/>
    <w:rsid w:val="552A647C"/>
    <w:rsid w:val="552E750E"/>
    <w:rsid w:val="553B273A"/>
    <w:rsid w:val="55405526"/>
    <w:rsid w:val="5548232F"/>
    <w:rsid w:val="554E7F0C"/>
    <w:rsid w:val="55576452"/>
    <w:rsid w:val="555B311C"/>
    <w:rsid w:val="55603AEE"/>
    <w:rsid w:val="556E2F3D"/>
    <w:rsid w:val="55705593"/>
    <w:rsid w:val="558508DF"/>
    <w:rsid w:val="558D2E9B"/>
    <w:rsid w:val="558F7F2F"/>
    <w:rsid w:val="559500FC"/>
    <w:rsid w:val="55A31CC2"/>
    <w:rsid w:val="55A468C7"/>
    <w:rsid w:val="55A75A65"/>
    <w:rsid w:val="55B96B6E"/>
    <w:rsid w:val="55C24477"/>
    <w:rsid w:val="55CE642C"/>
    <w:rsid w:val="55D41B48"/>
    <w:rsid w:val="55D47136"/>
    <w:rsid w:val="55D61E30"/>
    <w:rsid w:val="55E15B38"/>
    <w:rsid w:val="55E46A6F"/>
    <w:rsid w:val="55E6568D"/>
    <w:rsid w:val="55E71702"/>
    <w:rsid w:val="55EF10B1"/>
    <w:rsid w:val="55F122B1"/>
    <w:rsid w:val="56044479"/>
    <w:rsid w:val="560B0A66"/>
    <w:rsid w:val="561072C2"/>
    <w:rsid w:val="562437FE"/>
    <w:rsid w:val="56314180"/>
    <w:rsid w:val="563E394A"/>
    <w:rsid w:val="56476006"/>
    <w:rsid w:val="564B02FA"/>
    <w:rsid w:val="564D4DA4"/>
    <w:rsid w:val="564F7C22"/>
    <w:rsid w:val="56526E69"/>
    <w:rsid w:val="56574EF1"/>
    <w:rsid w:val="56603D58"/>
    <w:rsid w:val="566B3934"/>
    <w:rsid w:val="56751D49"/>
    <w:rsid w:val="568714C1"/>
    <w:rsid w:val="568A6543"/>
    <w:rsid w:val="568C36B2"/>
    <w:rsid w:val="56995ED8"/>
    <w:rsid w:val="56A932C4"/>
    <w:rsid w:val="56AD6EAA"/>
    <w:rsid w:val="56AD748E"/>
    <w:rsid w:val="56AE0A32"/>
    <w:rsid w:val="56BD6527"/>
    <w:rsid w:val="56CB4F97"/>
    <w:rsid w:val="56EB0CFF"/>
    <w:rsid w:val="56F74297"/>
    <w:rsid w:val="56FA762A"/>
    <w:rsid w:val="56FC15AA"/>
    <w:rsid w:val="57054576"/>
    <w:rsid w:val="570C5CDB"/>
    <w:rsid w:val="571C41F5"/>
    <w:rsid w:val="57240C19"/>
    <w:rsid w:val="5733320D"/>
    <w:rsid w:val="573375E6"/>
    <w:rsid w:val="57345437"/>
    <w:rsid w:val="57376AD1"/>
    <w:rsid w:val="575161E9"/>
    <w:rsid w:val="575300D9"/>
    <w:rsid w:val="5759657D"/>
    <w:rsid w:val="575B6154"/>
    <w:rsid w:val="5761568B"/>
    <w:rsid w:val="57691473"/>
    <w:rsid w:val="5778511F"/>
    <w:rsid w:val="577E46FF"/>
    <w:rsid w:val="577F5178"/>
    <w:rsid w:val="578D600F"/>
    <w:rsid w:val="579369E1"/>
    <w:rsid w:val="579D021B"/>
    <w:rsid w:val="57A91FDD"/>
    <w:rsid w:val="57B050E7"/>
    <w:rsid w:val="57B974E6"/>
    <w:rsid w:val="57BB237D"/>
    <w:rsid w:val="57BE4AFC"/>
    <w:rsid w:val="57D85BBE"/>
    <w:rsid w:val="57DB3900"/>
    <w:rsid w:val="57DF5173"/>
    <w:rsid w:val="57E323DB"/>
    <w:rsid w:val="57E95591"/>
    <w:rsid w:val="57EE4E5E"/>
    <w:rsid w:val="57FB4ECD"/>
    <w:rsid w:val="57FF0C89"/>
    <w:rsid w:val="58106AD6"/>
    <w:rsid w:val="581262A2"/>
    <w:rsid w:val="581276C8"/>
    <w:rsid w:val="58167F16"/>
    <w:rsid w:val="5818731C"/>
    <w:rsid w:val="58351979"/>
    <w:rsid w:val="583848AE"/>
    <w:rsid w:val="58400E05"/>
    <w:rsid w:val="585316E8"/>
    <w:rsid w:val="585C7BC1"/>
    <w:rsid w:val="58651AA8"/>
    <w:rsid w:val="58694A68"/>
    <w:rsid w:val="586E02D0"/>
    <w:rsid w:val="58726012"/>
    <w:rsid w:val="587332E0"/>
    <w:rsid w:val="5898534D"/>
    <w:rsid w:val="589F02ED"/>
    <w:rsid w:val="58A11DF5"/>
    <w:rsid w:val="58C12AF6"/>
    <w:rsid w:val="58D6607C"/>
    <w:rsid w:val="58D8398E"/>
    <w:rsid w:val="58DC0587"/>
    <w:rsid w:val="58DF11CE"/>
    <w:rsid w:val="58E07719"/>
    <w:rsid w:val="58E6430A"/>
    <w:rsid w:val="58E7560E"/>
    <w:rsid w:val="58E853A2"/>
    <w:rsid w:val="58EF0693"/>
    <w:rsid w:val="58EF6CCB"/>
    <w:rsid w:val="59195694"/>
    <w:rsid w:val="592649FC"/>
    <w:rsid w:val="5926708E"/>
    <w:rsid w:val="592843F3"/>
    <w:rsid w:val="59314365"/>
    <w:rsid w:val="5934151A"/>
    <w:rsid w:val="593F3A1A"/>
    <w:rsid w:val="59456220"/>
    <w:rsid w:val="59464DA9"/>
    <w:rsid w:val="59490B94"/>
    <w:rsid w:val="594E2DC4"/>
    <w:rsid w:val="594E4033"/>
    <w:rsid w:val="594F7341"/>
    <w:rsid w:val="59551800"/>
    <w:rsid w:val="59554FEC"/>
    <w:rsid w:val="595636C0"/>
    <w:rsid w:val="595672EC"/>
    <w:rsid w:val="5976277D"/>
    <w:rsid w:val="597933D0"/>
    <w:rsid w:val="597C642D"/>
    <w:rsid w:val="597E09E7"/>
    <w:rsid w:val="59802E56"/>
    <w:rsid w:val="598109AB"/>
    <w:rsid w:val="59897B50"/>
    <w:rsid w:val="599146BF"/>
    <w:rsid w:val="59936689"/>
    <w:rsid w:val="599C7C2F"/>
    <w:rsid w:val="59A321FB"/>
    <w:rsid w:val="59A52BEB"/>
    <w:rsid w:val="59C85584"/>
    <w:rsid w:val="59D90E65"/>
    <w:rsid w:val="59EE791A"/>
    <w:rsid w:val="59F0154D"/>
    <w:rsid w:val="5A196BE1"/>
    <w:rsid w:val="5A1B7FE4"/>
    <w:rsid w:val="5A2154F8"/>
    <w:rsid w:val="5A3B0686"/>
    <w:rsid w:val="5A3D429E"/>
    <w:rsid w:val="5A47527D"/>
    <w:rsid w:val="5A513C20"/>
    <w:rsid w:val="5A53777D"/>
    <w:rsid w:val="5A5E7D06"/>
    <w:rsid w:val="5A5F7FC7"/>
    <w:rsid w:val="5A63457E"/>
    <w:rsid w:val="5A6637E0"/>
    <w:rsid w:val="5A72492F"/>
    <w:rsid w:val="5A7A2F5C"/>
    <w:rsid w:val="5A8206B8"/>
    <w:rsid w:val="5A9C7376"/>
    <w:rsid w:val="5AA5387B"/>
    <w:rsid w:val="5AB7430C"/>
    <w:rsid w:val="5ABC3472"/>
    <w:rsid w:val="5AC11AB8"/>
    <w:rsid w:val="5AC26EE1"/>
    <w:rsid w:val="5AC36AE1"/>
    <w:rsid w:val="5ACE5056"/>
    <w:rsid w:val="5AEB0738"/>
    <w:rsid w:val="5AF423C9"/>
    <w:rsid w:val="5AF42946"/>
    <w:rsid w:val="5AF77A24"/>
    <w:rsid w:val="5B116DC3"/>
    <w:rsid w:val="5B1433B1"/>
    <w:rsid w:val="5B182775"/>
    <w:rsid w:val="5B2015C1"/>
    <w:rsid w:val="5B2B6928"/>
    <w:rsid w:val="5B317178"/>
    <w:rsid w:val="5B32799F"/>
    <w:rsid w:val="5B3E3FDC"/>
    <w:rsid w:val="5B402650"/>
    <w:rsid w:val="5B4960AA"/>
    <w:rsid w:val="5B5419FF"/>
    <w:rsid w:val="5B550910"/>
    <w:rsid w:val="5B713CA4"/>
    <w:rsid w:val="5B7B7BAF"/>
    <w:rsid w:val="5B805F8F"/>
    <w:rsid w:val="5B953E06"/>
    <w:rsid w:val="5B995664"/>
    <w:rsid w:val="5BA74384"/>
    <w:rsid w:val="5BA95605"/>
    <w:rsid w:val="5BAB0007"/>
    <w:rsid w:val="5BB07B5B"/>
    <w:rsid w:val="5BBB1654"/>
    <w:rsid w:val="5BBB3D62"/>
    <w:rsid w:val="5BC671A5"/>
    <w:rsid w:val="5BC8419B"/>
    <w:rsid w:val="5BCC2B28"/>
    <w:rsid w:val="5BE12D6C"/>
    <w:rsid w:val="5BF92E16"/>
    <w:rsid w:val="5C0056E3"/>
    <w:rsid w:val="5C0C052C"/>
    <w:rsid w:val="5C1B3BFC"/>
    <w:rsid w:val="5C1D4D8B"/>
    <w:rsid w:val="5C1D7FD3"/>
    <w:rsid w:val="5C3B0A7A"/>
    <w:rsid w:val="5C3D2493"/>
    <w:rsid w:val="5C3E67A5"/>
    <w:rsid w:val="5C423F4D"/>
    <w:rsid w:val="5C4D5E95"/>
    <w:rsid w:val="5C4E1227"/>
    <w:rsid w:val="5C504241"/>
    <w:rsid w:val="5C5B7DB7"/>
    <w:rsid w:val="5C6519EA"/>
    <w:rsid w:val="5C6E470F"/>
    <w:rsid w:val="5C7625E9"/>
    <w:rsid w:val="5C842B5B"/>
    <w:rsid w:val="5C844566"/>
    <w:rsid w:val="5C86278A"/>
    <w:rsid w:val="5CA975B2"/>
    <w:rsid w:val="5CAF3AF1"/>
    <w:rsid w:val="5CBB2EC4"/>
    <w:rsid w:val="5CBC0C81"/>
    <w:rsid w:val="5CBC7A86"/>
    <w:rsid w:val="5CBD5382"/>
    <w:rsid w:val="5CC52489"/>
    <w:rsid w:val="5CC967C0"/>
    <w:rsid w:val="5CD34BA6"/>
    <w:rsid w:val="5CD735C1"/>
    <w:rsid w:val="5CE172C2"/>
    <w:rsid w:val="5CEE5E83"/>
    <w:rsid w:val="5CF54B1C"/>
    <w:rsid w:val="5CFC40FC"/>
    <w:rsid w:val="5CFF708F"/>
    <w:rsid w:val="5D041D1A"/>
    <w:rsid w:val="5D057FB8"/>
    <w:rsid w:val="5D19564C"/>
    <w:rsid w:val="5D1D024E"/>
    <w:rsid w:val="5D1D53F1"/>
    <w:rsid w:val="5D25376D"/>
    <w:rsid w:val="5D283143"/>
    <w:rsid w:val="5D313471"/>
    <w:rsid w:val="5D3C274B"/>
    <w:rsid w:val="5D403E43"/>
    <w:rsid w:val="5D4E0322"/>
    <w:rsid w:val="5D590DA9"/>
    <w:rsid w:val="5D5E249E"/>
    <w:rsid w:val="5D62608F"/>
    <w:rsid w:val="5D635F29"/>
    <w:rsid w:val="5D694C13"/>
    <w:rsid w:val="5D6B35DE"/>
    <w:rsid w:val="5D6F1FE6"/>
    <w:rsid w:val="5D7E0FB5"/>
    <w:rsid w:val="5D8365EA"/>
    <w:rsid w:val="5D8C3942"/>
    <w:rsid w:val="5D916224"/>
    <w:rsid w:val="5D926452"/>
    <w:rsid w:val="5D977EE5"/>
    <w:rsid w:val="5DA93CBF"/>
    <w:rsid w:val="5DB65C20"/>
    <w:rsid w:val="5DBC6CEE"/>
    <w:rsid w:val="5DC0337C"/>
    <w:rsid w:val="5DC5095C"/>
    <w:rsid w:val="5DD155AC"/>
    <w:rsid w:val="5DEA664B"/>
    <w:rsid w:val="5DF136A3"/>
    <w:rsid w:val="5DF46848"/>
    <w:rsid w:val="5DFE5C52"/>
    <w:rsid w:val="5E0058E4"/>
    <w:rsid w:val="5E09755D"/>
    <w:rsid w:val="5E20787C"/>
    <w:rsid w:val="5E2B6800"/>
    <w:rsid w:val="5E2D364B"/>
    <w:rsid w:val="5E2F30BA"/>
    <w:rsid w:val="5E313D62"/>
    <w:rsid w:val="5E483371"/>
    <w:rsid w:val="5E521E77"/>
    <w:rsid w:val="5E523F8B"/>
    <w:rsid w:val="5E583513"/>
    <w:rsid w:val="5E612F2B"/>
    <w:rsid w:val="5E6261E1"/>
    <w:rsid w:val="5E6D68D5"/>
    <w:rsid w:val="5E801EED"/>
    <w:rsid w:val="5E824AD5"/>
    <w:rsid w:val="5E8256FB"/>
    <w:rsid w:val="5E9C4CD6"/>
    <w:rsid w:val="5E9F1DA2"/>
    <w:rsid w:val="5EA33110"/>
    <w:rsid w:val="5EA8311C"/>
    <w:rsid w:val="5EAB4A36"/>
    <w:rsid w:val="5EAC2140"/>
    <w:rsid w:val="5EC13D7A"/>
    <w:rsid w:val="5ECA6728"/>
    <w:rsid w:val="5ECD0710"/>
    <w:rsid w:val="5ED77A42"/>
    <w:rsid w:val="5EED4A41"/>
    <w:rsid w:val="5EF23A4F"/>
    <w:rsid w:val="5F0B5F01"/>
    <w:rsid w:val="5F20072A"/>
    <w:rsid w:val="5F236201"/>
    <w:rsid w:val="5F240A6A"/>
    <w:rsid w:val="5F270FC0"/>
    <w:rsid w:val="5F2C4C16"/>
    <w:rsid w:val="5F4B3119"/>
    <w:rsid w:val="5F517FEB"/>
    <w:rsid w:val="5F555588"/>
    <w:rsid w:val="5F59429D"/>
    <w:rsid w:val="5F765A32"/>
    <w:rsid w:val="5F7C5248"/>
    <w:rsid w:val="5F8559C6"/>
    <w:rsid w:val="5F8642E3"/>
    <w:rsid w:val="5F8C3B8D"/>
    <w:rsid w:val="5F8E05F8"/>
    <w:rsid w:val="5F944AC0"/>
    <w:rsid w:val="5FB639EE"/>
    <w:rsid w:val="5FCB1432"/>
    <w:rsid w:val="5FCF5AF8"/>
    <w:rsid w:val="5FD841E1"/>
    <w:rsid w:val="5FDC4239"/>
    <w:rsid w:val="5FF4730D"/>
    <w:rsid w:val="5FFD6B08"/>
    <w:rsid w:val="600438BC"/>
    <w:rsid w:val="60156FFE"/>
    <w:rsid w:val="601A7CE2"/>
    <w:rsid w:val="60201557"/>
    <w:rsid w:val="60234096"/>
    <w:rsid w:val="60292071"/>
    <w:rsid w:val="60450AE2"/>
    <w:rsid w:val="604A3460"/>
    <w:rsid w:val="604F09E7"/>
    <w:rsid w:val="60535729"/>
    <w:rsid w:val="60540691"/>
    <w:rsid w:val="60570CCE"/>
    <w:rsid w:val="605C1481"/>
    <w:rsid w:val="605E53B0"/>
    <w:rsid w:val="6065020A"/>
    <w:rsid w:val="606A3A73"/>
    <w:rsid w:val="606A6786"/>
    <w:rsid w:val="60737337"/>
    <w:rsid w:val="60782714"/>
    <w:rsid w:val="607C6F92"/>
    <w:rsid w:val="60887607"/>
    <w:rsid w:val="609D0B7C"/>
    <w:rsid w:val="60A05A67"/>
    <w:rsid w:val="60A642AB"/>
    <w:rsid w:val="60B27DEC"/>
    <w:rsid w:val="60B371C8"/>
    <w:rsid w:val="60BC30D0"/>
    <w:rsid w:val="60C211B9"/>
    <w:rsid w:val="60D75000"/>
    <w:rsid w:val="60DD3B17"/>
    <w:rsid w:val="60F65BA3"/>
    <w:rsid w:val="60FF1849"/>
    <w:rsid w:val="61014755"/>
    <w:rsid w:val="610C0686"/>
    <w:rsid w:val="61123905"/>
    <w:rsid w:val="611E2436"/>
    <w:rsid w:val="612672D9"/>
    <w:rsid w:val="61397652"/>
    <w:rsid w:val="613C71BD"/>
    <w:rsid w:val="615A3AE7"/>
    <w:rsid w:val="61666FFB"/>
    <w:rsid w:val="616C11AA"/>
    <w:rsid w:val="616C7377"/>
    <w:rsid w:val="617020E1"/>
    <w:rsid w:val="61716A82"/>
    <w:rsid w:val="61751B5A"/>
    <w:rsid w:val="618741B1"/>
    <w:rsid w:val="618D744E"/>
    <w:rsid w:val="619C1FA6"/>
    <w:rsid w:val="619D5DC9"/>
    <w:rsid w:val="61A22D98"/>
    <w:rsid w:val="61A60EAC"/>
    <w:rsid w:val="61AD078B"/>
    <w:rsid w:val="61B139A7"/>
    <w:rsid w:val="61B2122D"/>
    <w:rsid w:val="61BA27D8"/>
    <w:rsid w:val="61CA1FEB"/>
    <w:rsid w:val="61CD50D5"/>
    <w:rsid w:val="61D02DC1"/>
    <w:rsid w:val="61D81948"/>
    <w:rsid w:val="61D92C5E"/>
    <w:rsid w:val="61EA4E6B"/>
    <w:rsid w:val="61EF4230"/>
    <w:rsid w:val="61F061FA"/>
    <w:rsid w:val="61F3157C"/>
    <w:rsid w:val="6200643D"/>
    <w:rsid w:val="62141802"/>
    <w:rsid w:val="621C66E6"/>
    <w:rsid w:val="6224230B"/>
    <w:rsid w:val="62283DAA"/>
    <w:rsid w:val="623F643D"/>
    <w:rsid w:val="62481B92"/>
    <w:rsid w:val="624D6607"/>
    <w:rsid w:val="625C5701"/>
    <w:rsid w:val="625C6B6F"/>
    <w:rsid w:val="62690D0A"/>
    <w:rsid w:val="62704C27"/>
    <w:rsid w:val="627666FF"/>
    <w:rsid w:val="6277014E"/>
    <w:rsid w:val="627907CB"/>
    <w:rsid w:val="627F1FB0"/>
    <w:rsid w:val="62882D54"/>
    <w:rsid w:val="629A4ECE"/>
    <w:rsid w:val="62A41D6A"/>
    <w:rsid w:val="62AD00E9"/>
    <w:rsid w:val="62B2525D"/>
    <w:rsid w:val="62BB2023"/>
    <w:rsid w:val="62C70D09"/>
    <w:rsid w:val="62CC27C3"/>
    <w:rsid w:val="62E22BC8"/>
    <w:rsid w:val="62EF1C55"/>
    <w:rsid w:val="62F137BB"/>
    <w:rsid w:val="62FD00EF"/>
    <w:rsid w:val="63051831"/>
    <w:rsid w:val="631942BA"/>
    <w:rsid w:val="631959E2"/>
    <w:rsid w:val="631B6984"/>
    <w:rsid w:val="63223121"/>
    <w:rsid w:val="632B4373"/>
    <w:rsid w:val="6344708E"/>
    <w:rsid w:val="63457E95"/>
    <w:rsid w:val="634C6E4A"/>
    <w:rsid w:val="634E1F39"/>
    <w:rsid w:val="63554566"/>
    <w:rsid w:val="63585997"/>
    <w:rsid w:val="635B2876"/>
    <w:rsid w:val="63626C83"/>
    <w:rsid w:val="63695E51"/>
    <w:rsid w:val="6377272F"/>
    <w:rsid w:val="6385264B"/>
    <w:rsid w:val="639C1280"/>
    <w:rsid w:val="63A76DAB"/>
    <w:rsid w:val="63AB2B03"/>
    <w:rsid w:val="63B647DE"/>
    <w:rsid w:val="63B8553A"/>
    <w:rsid w:val="63C76D08"/>
    <w:rsid w:val="63E35FAE"/>
    <w:rsid w:val="63EB08BB"/>
    <w:rsid w:val="63F91D33"/>
    <w:rsid w:val="63FD5B1F"/>
    <w:rsid w:val="64082575"/>
    <w:rsid w:val="641425A0"/>
    <w:rsid w:val="641C7453"/>
    <w:rsid w:val="642B52C7"/>
    <w:rsid w:val="64302436"/>
    <w:rsid w:val="64313321"/>
    <w:rsid w:val="643E0161"/>
    <w:rsid w:val="64425AC3"/>
    <w:rsid w:val="64454028"/>
    <w:rsid w:val="6456548C"/>
    <w:rsid w:val="646E1D30"/>
    <w:rsid w:val="647240CF"/>
    <w:rsid w:val="647811BC"/>
    <w:rsid w:val="64791A88"/>
    <w:rsid w:val="647E387F"/>
    <w:rsid w:val="647E58FA"/>
    <w:rsid w:val="648009B5"/>
    <w:rsid w:val="64871EC7"/>
    <w:rsid w:val="64915A72"/>
    <w:rsid w:val="64937219"/>
    <w:rsid w:val="64982B6D"/>
    <w:rsid w:val="649A1FF6"/>
    <w:rsid w:val="649A586E"/>
    <w:rsid w:val="64AB65E7"/>
    <w:rsid w:val="64AC17B9"/>
    <w:rsid w:val="64AE3639"/>
    <w:rsid w:val="64B133C7"/>
    <w:rsid w:val="64B15D0E"/>
    <w:rsid w:val="64C144D2"/>
    <w:rsid w:val="64C641BB"/>
    <w:rsid w:val="64D47CC7"/>
    <w:rsid w:val="64DE67DD"/>
    <w:rsid w:val="64E5191A"/>
    <w:rsid w:val="64EA6F30"/>
    <w:rsid w:val="64EE6A20"/>
    <w:rsid w:val="65170E82"/>
    <w:rsid w:val="65192256"/>
    <w:rsid w:val="65197EA5"/>
    <w:rsid w:val="652D02EF"/>
    <w:rsid w:val="6534269B"/>
    <w:rsid w:val="654077C8"/>
    <w:rsid w:val="65462148"/>
    <w:rsid w:val="657D1B52"/>
    <w:rsid w:val="658253BB"/>
    <w:rsid w:val="65840F3A"/>
    <w:rsid w:val="65864B9B"/>
    <w:rsid w:val="658B349F"/>
    <w:rsid w:val="6595496B"/>
    <w:rsid w:val="659C1F4E"/>
    <w:rsid w:val="65A45331"/>
    <w:rsid w:val="65A54EB0"/>
    <w:rsid w:val="65A74AD7"/>
    <w:rsid w:val="65A74E21"/>
    <w:rsid w:val="65D53D3B"/>
    <w:rsid w:val="65DC0F6F"/>
    <w:rsid w:val="65DC11B4"/>
    <w:rsid w:val="65E802CF"/>
    <w:rsid w:val="65E81215"/>
    <w:rsid w:val="65EA31A8"/>
    <w:rsid w:val="65EC3004"/>
    <w:rsid w:val="65ED4F2A"/>
    <w:rsid w:val="65F75C5F"/>
    <w:rsid w:val="65FA07D0"/>
    <w:rsid w:val="66125D96"/>
    <w:rsid w:val="661A454E"/>
    <w:rsid w:val="6632293D"/>
    <w:rsid w:val="66384F95"/>
    <w:rsid w:val="663A2BAA"/>
    <w:rsid w:val="663B45DC"/>
    <w:rsid w:val="663C7C5F"/>
    <w:rsid w:val="664322F6"/>
    <w:rsid w:val="66454D3B"/>
    <w:rsid w:val="66664CDC"/>
    <w:rsid w:val="6669503D"/>
    <w:rsid w:val="66762396"/>
    <w:rsid w:val="66770C72"/>
    <w:rsid w:val="66817D4F"/>
    <w:rsid w:val="66857D85"/>
    <w:rsid w:val="668A7D21"/>
    <w:rsid w:val="668B64F1"/>
    <w:rsid w:val="66902C8E"/>
    <w:rsid w:val="66936BAB"/>
    <w:rsid w:val="66963E6A"/>
    <w:rsid w:val="66981296"/>
    <w:rsid w:val="669A3E59"/>
    <w:rsid w:val="66A460BD"/>
    <w:rsid w:val="66B9305E"/>
    <w:rsid w:val="66BF6D0D"/>
    <w:rsid w:val="66C23466"/>
    <w:rsid w:val="66C37B57"/>
    <w:rsid w:val="66D103A8"/>
    <w:rsid w:val="66DD20EA"/>
    <w:rsid w:val="66EF6A80"/>
    <w:rsid w:val="66F35CB5"/>
    <w:rsid w:val="670E7F46"/>
    <w:rsid w:val="67242BCD"/>
    <w:rsid w:val="67355F85"/>
    <w:rsid w:val="673E5311"/>
    <w:rsid w:val="674041D7"/>
    <w:rsid w:val="674F625F"/>
    <w:rsid w:val="675454B6"/>
    <w:rsid w:val="675C363E"/>
    <w:rsid w:val="675E2E69"/>
    <w:rsid w:val="67657F9B"/>
    <w:rsid w:val="677D22DE"/>
    <w:rsid w:val="678A67A9"/>
    <w:rsid w:val="678C57FC"/>
    <w:rsid w:val="679B68B6"/>
    <w:rsid w:val="67BB5E12"/>
    <w:rsid w:val="67C717AB"/>
    <w:rsid w:val="67D825E1"/>
    <w:rsid w:val="67DD68CE"/>
    <w:rsid w:val="67E6412F"/>
    <w:rsid w:val="67EA74D9"/>
    <w:rsid w:val="67F24A7A"/>
    <w:rsid w:val="67F27091"/>
    <w:rsid w:val="67F707CF"/>
    <w:rsid w:val="67F744C2"/>
    <w:rsid w:val="6810651E"/>
    <w:rsid w:val="68133F3A"/>
    <w:rsid w:val="68146216"/>
    <w:rsid w:val="68154BC9"/>
    <w:rsid w:val="681744E0"/>
    <w:rsid w:val="681A3FD0"/>
    <w:rsid w:val="681D4BB1"/>
    <w:rsid w:val="681D761D"/>
    <w:rsid w:val="681E25A8"/>
    <w:rsid w:val="681E77D5"/>
    <w:rsid w:val="681F6C75"/>
    <w:rsid w:val="68210EBB"/>
    <w:rsid w:val="68217C88"/>
    <w:rsid w:val="682A68F7"/>
    <w:rsid w:val="683D4F26"/>
    <w:rsid w:val="684C37D3"/>
    <w:rsid w:val="68505B88"/>
    <w:rsid w:val="68541AF0"/>
    <w:rsid w:val="68576687"/>
    <w:rsid w:val="688445CD"/>
    <w:rsid w:val="688E37F4"/>
    <w:rsid w:val="68914293"/>
    <w:rsid w:val="68A4775B"/>
    <w:rsid w:val="68A815DC"/>
    <w:rsid w:val="68C331B9"/>
    <w:rsid w:val="68C7477B"/>
    <w:rsid w:val="68C857DA"/>
    <w:rsid w:val="68CC2F37"/>
    <w:rsid w:val="68D04724"/>
    <w:rsid w:val="68DB5223"/>
    <w:rsid w:val="68FF3F18"/>
    <w:rsid w:val="690467C7"/>
    <w:rsid w:val="690A5DF3"/>
    <w:rsid w:val="6918551D"/>
    <w:rsid w:val="691D53CE"/>
    <w:rsid w:val="691F10FF"/>
    <w:rsid w:val="692B3716"/>
    <w:rsid w:val="693447DA"/>
    <w:rsid w:val="6938436E"/>
    <w:rsid w:val="69430271"/>
    <w:rsid w:val="694A1939"/>
    <w:rsid w:val="69605A13"/>
    <w:rsid w:val="696448BC"/>
    <w:rsid w:val="69715E72"/>
    <w:rsid w:val="69A078C8"/>
    <w:rsid w:val="69A578CA"/>
    <w:rsid w:val="69B17B7A"/>
    <w:rsid w:val="69BF6BDD"/>
    <w:rsid w:val="69C04F28"/>
    <w:rsid w:val="69D00470"/>
    <w:rsid w:val="69EB1780"/>
    <w:rsid w:val="69EF4666"/>
    <w:rsid w:val="69F75EF3"/>
    <w:rsid w:val="69FA5F63"/>
    <w:rsid w:val="6A046E58"/>
    <w:rsid w:val="6A084618"/>
    <w:rsid w:val="6A1011E7"/>
    <w:rsid w:val="6A1707C7"/>
    <w:rsid w:val="6A1712B7"/>
    <w:rsid w:val="6A372C18"/>
    <w:rsid w:val="6A3B0FD5"/>
    <w:rsid w:val="6A5B401D"/>
    <w:rsid w:val="6A615DFE"/>
    <w:rsid w:val="6A774D31"/>
    <w:rsid w:val="6A793230"/>
    <w:rsid w:val="6A9D6977"/>
    <w:rsid w:val="6AA14919"/>
    <w:rsid w:val="6AB05E5A"/>
    <w:rsid w:val="6ABB5EE4"/>
    <w:rsid w:val="6AC975E8"/>
    <w:rsid w:val="6AD77CC0"/>
    <w:rsid w:val="6AE71237"/>
    <w:rsid w:val="6AEA011D"/>
    <w:rsid w:val="6AEB57B0"/>
    <w:rsid w:val="6AF02DC7"/>
    <w:rsid w:val="6AF16A35"/>
    <w:rsid w:val="6AF80050"/>
    <w:rsid w:val="6AFA462A"/>
    <w:rsid w:val="6B165E5E"/>
    <w:rsid w:val="6B2369DE"/>
    <w:rsid w:val="6B2C091C"/>
    <w:rsid w:val="6B2F7D93"/>
    <w:rsid w:val="6B33493A"/>
    <w:rsid w:val="6B3503B6"/>
    <w:rsid w:val="6B3762F7"/>
    <w:rsid w:val="6B540D8B"/>
    <w:rsid w:val="6B555D23"/>
    <w:rsid w:val="6B5C50EF"/>
    <w:rsid w:val="6B656D11"/>
    <w:rsid w:val="6B791082"/>
    <w:rsid w:val="6B7E2E37"/>
    <w:rsid w:val="6B8C6110"/>
    <w:rsid w:val="6B8F438D"/>
    <w:rsid w:val="6B916358"/>
    <w:rsid w:val="6B95409A"/>
    <w:rsid w:val="6BA03CCB"/>
    <w:rsid w:val="6BAE1373"/>
    <w:rsid w:val="6BAF06CC"/>
    <w:rsid w:val="6BB34520"/>
    <w:rsid w:val="6BB775E5"/>
    <w:rsid w:val="6BB838E4"/>
    <w:rsid w:val="6BBD5A68"/>
    <w:rsid w:val="6BC677DA"/>
    <w:rsid w:val="6BD51B4D"/>
    <w:rsid w:val="6BE741CA"/>
    <w:rsid w:val="6BEE48FE"/>
    <w:rsid w:val="6BFD671A"/>
    <w:rsid w:val="6C0873E9"/>
    <w:rsid w:val="6C0976AD"/>
    <w:rsid w:val="6C100529"/>
    <w:rsid w:val="6C105F40"/>
    <w:rsid w:val="6C203A93"/>
    <w:rsid w:val="6C3F4006"/>
    <w:rsid w:val="6C4926B6"/>
    <w:rsid w:val="6C562E2F"/>
    <w:rsid w:val="6C5D02E8"/>
    <w:rsid w:val="6C682BCF"/>
    <w:rsid w:val="6C6E3958"/>
    <w:rsid w:val="6C885F2E"/>
    <w:rsid w:val="6C88775B"/>
    <w:rsid w:val="6C9376B8"/>
    <w:rsid w:val="6C9E3C9F"/>
    <w:rsid w:val="6CA32D5A"/>
    <w:rsid w:val="6CAE52FE"/>
    <w:rsid w:val="6CB26586"/>
    <w:rsid w:val="6CBB12ED"/>
    <w:rsid w:val="6CCA7D73"/>
    <w:rsid w:val="6CCE5257"/>
    <w:rsid w:val="6CD679A4"/>
    <w:rsid w:val="6CD96208"/>
    <w:rsid w:val="6CDE63B2"/>
    <w:rsid w:val="6CDE7D32"/>
    <w:rsid w:val="6CEF4177"/>
    <w:rsid w:val="6CF31661"/>
    <w:rsid w:val="6CF4656F"/>
    <w:rsid w:val="6CF94CF7"/>
    <w:rsid w:val="6D0019E7"/>
    <w:rsid w:val="6D012663"/>
    <w:rsid w:val="6D1234C8"/>
    <w:rsid w:val="6D135E16"/>
    <w:rsid w:val="6D194857"/>
    <w:rsid w:val="6D2442D7"/>
    <w:rsid w:val="6D276982"/>
    <w:rsid w:val="6D2D20B0"/>
    <w:rsid w:val="6D3732D8"/>
    <w:rsid w:val="6D427D2E"/>
    <w:rsid w:val="6D4713C4"/>
    <w:rsid w:val="6D593F0D"/>
    <w:rsid w:val="6D5A614B"/>
    <w:rsid w:val="6D642BD8"/>
    <w:rsid w:val="6D7277CF"/>
    <w:rsid w:val="6D765EDC"/>
    <w:rsid w:val="6D7673CF"/>
    <w:rsid w:val="6D82059D"/>
    <w:rsid w:val="6D9D7236"/>
    <w:rsid w:val="6DA5066C"/>
    <w:rsid w:val="6DA85BDA"/>
    <w:rsid w:val="6DAD31F1"/>
    <w:rsid w:val="6DB031DC"/>
    <w:rsid w:val="6DB500F8"/>
    <w:rsid w:val="6DBC51E2"/>
    <w:rsid w:val="6DBD3FBA"/>
    <w:rsid w:val="6DCB3669"/>
    <w:rsid w:val="6DD750AE"/>
    <w:rsid w:val="6DDB7D5E"/>
    <w:rsid w:val="6DED20C4"/>
    <w:rsid w:val="6DF20A14"/>
    <w:rsid w:val="6DF36CBE"/>
    <w:rsid w:val="6E080427"/>
    <w:rsid w:val="6E0A10CF"/>
    <w:rsid w:val="6E0B30CF"/>
    <w:rsid w:val="6E1A0886"/>
    <w:rsid w:val="6E1C1B1A"/>
    <w:rsid w:val="6E1D3CF6"/>
    <w:rsid w:val="6E2E4332"/>
    <w:rsid w:val="6E3878FF"/>
    <w:rsid w:val="6E3C2D80"/>
    <w:rsid w:val="6E4753F3"/>
    <w:rsid w:val="6E6A7659"/>
    <w:rsid w:val="6E7535AA"/>
    <w:rsid w:val="6E7F7372"/>
    <w:rsid w:val="6E891568"/>
    <w:rsid w:val="6E8B4989"/>
    <w:rsid w:val="6E8B52E0"/>
    <w:rsid w:val="6EA14B04"/>
    <w:rsid w:val="6EAE7CF9"/>
    <w:rsid w:val="6EB20ABF"/>
    <w:rsid w:val="6EB9331C"/>
    <w:rsid w:val="6EBF60C0"/>
    <w:rsid w:val="6EC5144D"/>
    <w:rsid w:val="6EC66318"/>
    <w:rsid w:val="6ECB6F4F"/>
    <w:rsid w:val="6ED053E9"/>
    <w:rsid w:val="6EE25651"/>
    <w:rsid w:val="6EEA7AC9"/>
    <w:rsid w:val="6EED7E94"/>
    <w:rsid w:val="6EF84662"/>
    <w:rsid w:val="6EFF1142"/>
    <w:rsid w:val="6F040392"/>
    <w:rsid w:val="6F222B8B"/>
    <w:rsid w:val="6F234738"/>
    <w:rsid w:val="6F290EA9"/>
    <w:rsid w:val="6F39522B"/>
    <w:rsid w:val="6F461141"/>
    <w:rsid w:val="6F49158C"/>
    <w:rsid w:val="6F53427A"/>
    <w:rsid w:val="6F641E1D"/>
    <w:rsid w:val="6F655B31"/>
    <w:rsid w:val="6F667AFB"/>
    <w:rsid w:val="6F670E58"/>
    <w:rsid w:val="6F6B536A"/>
    <w:rsid w:val="6F716B33"/>
    <w:rsid w:val="6F7715DA"/>
    <w:rsid w:val="6F783350"/>
    <w:rsid w:val="6F7A7103"/>
    <w:rsid w:val="6F843DA5"/>
    <w:rsid w:val="6F8729E1"/>
    <w:rsid w:val="6F8C7562"/>
    <w:rsid w:val="6F8D5088"/>
    <w:rsid w:val="6F8F13F5"/>
    <w:rsid w:val="6F934B12"/>
    <w:rsid w:val="6F9C308F"/>
    <w:rsid w:val="6F9F05AF"/>
    <w:rsid w:val="6FA74AAE"/>
    <w:rsid w:val="6FAD3E56"/>
    <w:rsid w:val="6FBF44BC"/>
    <w:rsid w:val="6FCB00CC"/>
    <w:rsid w:val="6FE95E4F"/>
    <w:rsid w:val="6FF81B3C"/>
    <w:rsid w:val="6FFB6495"/>
    <w:rsid w:val="700628D3"/>
    <w:rsid w:val="700A492A"/>
    <w:rsid w:val="701B2694"/>
    <w:rsid w:val="70241CE7"/>
    <w:rsid w:val="70334BC6"/>
    <w:rsid w:val="7049708C"/>
    <w:rsid w:val="70511FF6"/>
    <w:rsid w:val="705878A5"/>
    <w:rsid w:val="70621B4F"/>
    <w:rsid w:val="70716758"/>
    <w:rsid w:val="708741CD"/>
    <w:rsid w:val="708C72A7"/>
    <w:rsid w:val="70955B3D"/>
    <w:rsid w:val="70B20624"/>
    <w:rsid w:val="70B37078"/>
    <w:rsid w:val="70BA5E27"/>
    <w:rsid w:val="70BC0C6D"/>
    <w:rsid w:val="70C1323B"/>
    <w:rsid w:val="70CD36C3"/>
    <w:rsid w:val="70D171F6"/>
    <w:rsid w:val="70E3436F"/>
    <w:rsid w:val="70E64A50"/>
    <w:rsid w:val="70E8597F"/>
    <w:rsid w:val="70F3716D"/>
    <w:rsid w:val="71136C54"/>
    <w:rsid w:val="7113715A"/>
    <w:rsid w:val="711374C5"/>
    <w:rsid w:val="71155335"/>
    <w:rsid w:val="7148395C"/>
    <w:rsid w:val="7150636D"/>
    <w:rsid w:val="71566079"/>
    <w:rsid w:val="715C2AFE"/>
    <w:rsid w:val="717A1AA8"/>
    <w:rsid w:val="718026AA"/>
    <w:rsid w:val="71856BA6"/>
    <w:rsid w:val="71924BD7"/>
    <w:rsid w:val="71936759"/>
    <w:rsid w:val="71971E26"/>
    <w:rsid w:val="71A14E1B"/>
    <w:rsid w:val="71A5264F"/>
    <w:rsid w:val="71B11C53"/>
    <w:rsid w:val="71B17DCF"/>
    <w:rsid w:val="71C237BF"/>
    <w:rsid w:val="71C86E7A"/>
    <w:rsid w:val="71CA611F"/>
    <w:rsid w:val="71D82A3B"/>
    <w:rsid w:val="71D870B3"/>
    <w:rsid w:val="71DD4DB3"/>
    <w:rsid w:val="71FD147E"/>
    <w:rsid w:val="71FE2F9F"/>
    <w:rsid w:val="72035E52"/>
    <w:rsid w:val="720A29C0"/>
    <w:rsid w:val="720D425E"/>
    <w:rsid w:val="72192C03"/>
    <w:rsid w:val="7248540C"/>
    <w:rsid w:val="724A3704"/>
    <w:rsid w:val="72506733"/>
    <w:rsid w:val="72522E7D"/>
    <w:rsid w:val="72542256"/>
    <w:rsid w:val="725C175E"/>
    <w:rsid w:val="72694632"/>
    <w:rsid w:val="7274502C"/>
    <w:rsid w:val="7284079C"/>
    <w:rsid w:val="72987F6C"/>
    <w:rsid w:val="7299516F"/>
    <w:rsid w:val="72A776B1"/>
    <w:rsid w:val="72A972F1"/>
    <w:rsid w:val="72AB0152"/>
    <w:rsid w:val="72AD0EB8"/>
    <w:rsid w:val="72B97FD0"/>
    <w:rsid w:val="72BF7BAD"/>
    <w:rsid w:val="72C40DC1"/>
    <w:rsid w:val="72CC5EC7"/>
    <w:rsid w:val="72D059B7"/>
    <w:rsid w:val="72D30A0B"/>
    <w:rsid w:val="72D336FA"/>
    <w:rsid w:val="72D364DA"/>
    <w:rsid w:val="72D86461"/>
    <w:rsid w:val="72D90C61"/>
    <w:rsid w:val="72DC5097"/>
    <w:rsid w:val="72E20C13"/>
    <w:rsid w:val="72E35B72"/>
    <w:rsid w:val="72E651DB"/>
    <w:rsid w:val="72F07E08"/>
    <w:rsid w:val="72F249DE"/>
    <w:rsid w:val="72F24ED7"/>
    <w:rsid w:val="72FA7564"/>
    <w:rsid w:val="72FD0BD4"/>
    <w:rsid w:val="73072FC2"/>
    <w:rsid w:val="730B4164"/>
    <w:rsid w:val="735B6AC9"/>
    <w:rsid w:val="735D6B82"/>
    <w:rsid w:val="73656534"/>
    <w:rsid w:val="736840A6"/>
    <w:rsid w:val="736A3516"/>
    <w:rsid w:val="736C4FAB"/>
    <w:rsid w:val="73830C7C"/>
    <w:rsid w:val="73AC388C"/>
    <w:rsid w:val="73AC6F46"/>
    <w:rsid w:val="73AF5ACB"/>
    <w:rsid w:val="73BB08D7"/>
    <w:rsid w:val="73CA2C41"/>
    <w:rsid w:val="73DD54A5"/>
    <w:rsid w:val="73EB6821"/>
    <w:rsid w:val="73EC1EDB"/>
    <w:rsid w:val="73F86161"/>
    <w:rsid w:val="74033B6B"/>
    <w:rsid w:val="740F7004"/>
    <w:rsid w:val="741929E4"/>
    <w:rsid w:val="741B0EB4"/>
    <w:rsid w:val="741C6C40"/>
    <w:rsid w:val="741D2694"/>
    <w:rsid w:val="74275AAB"/>
    <w:rsid w:val="742A4372"/>
    <w:rsid w:val="742F206A"/>
    <w:rsid w:val="742F36BA"/>
    <w:rsid w:val="74420753"/>
    <w:rsid w:val="744305CC"/>
    <w:rsid w:val="744A79EB"/>
    <w:rsid w:val="745F73C3"/>
    <w:rsid w:val="746277A5"/>
    <w:rsid w:val="74746671"/>
    <w:rsid w:val="747800B5"/>
    <w:rsid w:val="747B0A80"/>
    <w:rsid w:val="748E1870"/>
    <w:rsid w:val="74933140"/>
    <w:rsid w:val="749505E8"/>
    <w:rsid w:val="749942D2"/>
    <w:rsid w:val="749B472C"/>
    <w:rsid w:val="749C3B8D"/>
    <w:rsid w:val="749E7F2C"/>
    <w:rsid w:val="74A453B0"/>
    <w:rsid w:val="74C61917"/>
    <w:rsid w:val="74CB201F"/>
    <w:rsid w:val="74CE14DB"/>
    <w:rsid w:val="74D15A17"/>
    <w:rsid w:val="74D522D9"/>
    <w:rsid w:val="74D9420A"/>
    <w:rsid w:val="74D94E01"/>
    <w:rsid w:val="74E75836"/>
    <w:rsid w:val="74F77714"/>
    <w:rsid w:val="7502102A"/>
    <w:rsid w:val="750320E6"/>
    <w:rsid w:val="75097816"/>
    <w:rsid w:val="750E2E16"/>
    <w:rsid w:val="75134D67"/>
    <w:rsid w:val="751641C1"/>
    <w:rsid w:val="75263B0D"/>
    <w:rsid w:val="7526635E"/>
    <w:rsid w:val="752C579C"/>
    <w:rsid w:val="75325916"/>
    <w:rsid w:val="753F11E5"/>
    <w:rsid w:val="7540256A"/>
    <w:rsid w:val="75435B46"/>
    <w:rsid w:val="75461F61"/>
    <w:rsid w:val="754A3979"/>
    <w:rsid w:val="755328D0"/>
    <w:rsid w:val="7555462F"/>
    <w:rsid w:val="755723C0"/>
    <w:rsid w:val="75575F1C"/>
    <w:rsid w:val="755811E3"/>
    <w:rsid w:val="755A3740"/>
    <w:rsid w:val="755A61A9"/>
    <w:rsid w:val="75684CE7"/>
    <w:rsid w:val="758A1C93"/>
    <w:rsid w:val="758E52C5"/>
    <w:rsid w:val="75942E53"/>
    <w:rsid w:val="75972EA9"/>
    <w:rsid w:val="759B4351"/>
    <w:rsid w:val="75AD18F8"/>
    <w:rsid w:val="75DA556F"/>
    <w:rsid w:val="75DC56A5"/>
    <w:rsid w:val="75DE03EB"/>
    <w:rsid w:val="75E505C4"/>
    <w:rsid w:val="75FF2ED1"/>
    <w:rsid w:val="7615739D"/>
    <w:rsid w:val="76282DE2"/>
    <w:rsid w:val="762B1157"/>
    <w:rsid w:val="764457C2"/>
    <w:rsid w:val="76495307"/>
    <w:rsid w:val="766A5A4A"/>
    <w:rsid w:val="76787077"/>
    <w:rsid w:val="768E1316"/>
    <w:rsid w:val="7693260F"/>
    <w:rsid w:val="76944F4E"/>
    <w:rsid w:val="769C7CFE"/>
    <w:rsid w:val="769F171E"/>
    <w:rsid w:val="76B40FAA"/>
    <w:rsid w:val="76CB2031"/>
    <w:rsid w:val="76CD2B96"/>
    <w:rsid w:val="76CD5247"/>
    <w:rsid w:val="76D65566"/>
    <w:rsid w:val="76D74DC5"/>
    <w:rsid w:val="76E45ED5"/>
    <w:rsid w:val="76E539FB"/>
    <w:rsid w:val="76EE73F0"/>
    <w:rsid w:val="77040325"/>
    <w:rsid w:val="7715608F"/>
    <w:rsid w:val="773F5628"/>
    <w:rsid w:val="77443A25"/>
    <w:rsid w:val="77455E7B"/>
    <w:rsid w:val="774C593F"/>
    <w:rsid w:val="776209B5"/>
    <w:rsid w:val="776E370E"/>
    <w:rsid w:val="77703055"/>
    <w:rsid w:val="777A493F"/>
    <w:rsid w:val="777F4A4A"/>
    <w:rsid w:val="77841790"/>
    <w:rsid w:val="778D08A6"/>
    <w:rsid w:val="778F713D"/>
    <w:rsid w:val="779023A5"/>
    <w:rsid w:val="77A10290"/>
    <w:rsid w:val="77A72FF6"/>
    <w:rsid w:val="77AD5D84"/>
    <w:rsid w:val="77AD62C7"/>
    <w:rsid w:val="77B92EBE"/>
    <w:rsid w:val="77BD55F7"/>
    <w:rsid w:val="77BF249E"/>
    <w:rsid w:val="77C937AE"/>
    <w:rsid w:val="77DF015C"/>
    <w:rsid w:val="77E141C3"/>
    <w:rsid w:val="77E53829"/>
    <w:rsid w:val="78017B3B"/>
    <w:rsid w:val="7806082A"/>
    <w:rsid w:val="78090808"/>
    <w:rsid w:val="7812303A"/>
    <w:rsid w:val="78141B92"/>
    <w:rsid w:val="782B3690"/>
    <w:rsid w:val="782D2379"/>
    <w:rsid w:val="782F44E1"/>
    <w:rsid w:val="78330EC1"/>
    <w:rsid w:val="78393FFF"/>
    <w:rsid w:val="783E77B7"/>
    <w:rsid w:val="784C0F90"/>
    <w:rsid w:val="784F3822"/>
    <w:rsid w:val="785250C1"/>
    <w:rsid w:val="78572E2D"/>
    <w:rsid w:val="785D58DB"/>
    <w:rsid w:val="787119EB"/>
    <w:rsid w:val="78745037"/>
    <w:rsid w:val="78746CA6"/>
    <w:rsid w:val="787D3929"/>
    <w:rsid w:val="78835565"/>
    <w:rsid w:val="788A03B6"/>
    <w:rsid w:val="78952E49"/>
    <w:rsid w:val="789D7EBF"/>
    <w:rsid w:val="789E1FE1"/>
    <w:rsid w:val="789E3E62"/>
    <w:rsid w:val="78A91CDE"/>
    <w:rsid w:val="78BC583C"/>
    <w:rsid w:val="78C06A89"/>
    <w:rsid w:val="78C26BC4"/>
    <w:rsid w:val="78D0122A"/>
    <w:rsid w:val="78D9495F"/>
    <w:rsid w:val="78F12968"/>
    <w:rsid w:val="790B4127"/>
    <w:rsid w:val="790C258E"/>
    <w:rsid w:val="791345C3"/>
    <w:rsid w:val="79172B8D"/>
    <w:rsid w:val="791E4BD7"/>
    <w:rsid w:val="79213C3F"/>
    <w:rsid w:val="792D164B"/>
    <w:rsid w:val="7931480B"/>
    <w:rsid w:val="7936053E"/>
    <w:rsid w:val="795804B5"/>
    <w:rsid w:val="79601BE9"/>
    <w:rsid w:val="7963480A"/>
    <w:rsid w:val="796432FD"/>
    <w:rsid w:val="796F2815"/>
    <w:rsid w:val="79701CA2"/>
    <w:rsid w:val="79751067"/>
    <w:rsid w:val="797C2256"/>
    <w:rsid w:val="798B088A"/>
    <w:rsid w:val="79B5697B"/>
    <w:rsid w:val="79B95955"/>
    <w:rsid w:val="79BC0A44"/>
    <w:rsid w:val="79BD1091"/>
    <w:rsid w:val="79BD3506"/>
    <w:rsid w:val="79DF44CC"/>
    <w:rsid w:val="79F05646"/>
    <w:rsid w:val="79FE4490"/>
    <w:rsid w:val="7A057191"/>
    <w:rsid w:val="7A060B0F"/>
    <w:rsid w:val="7A127CD1"/>
    <w:rsid w:val="7A287E87"/>
    <w:rsid w:val="7A2A7107"/>
    <w:rsid w:val="7A2C385B"/>
    <w:rsid w:val="7A2E3228"/>
    <w:rsid w:val="7A3066BC"/>
    <w:rsid w:val="7A4647B1"/>
    <w:rsid w:val="7A4D3012"/>
    <w:rsid w:val="7A4F4C35"/>
    <w:rsid w:val="7A533D19"/>
    <w:rsid w:val="7A545774"/>
    <w:rsid w:val="7A5A5020"/>
    <w:rsid w:val="7A601D17"/>
    <w:rsid w:val="7A641708"/>
    <w:rsid w:val="7A68419E"/>
    <w:rsid w:val="7A756E44"/>
    <w:rsid w:val="7A8F43AA"/>
    <w:rsid w:val="7A97500D"/>
    <w:rsid w:val="7A982ED9"/>
    <w:rsid w:val="7A9E283F"/>
    <w:rsid w:val="7AAC4D33"/>
    <w:rsid w:val="7AAE7AED"/>
    <w:rsid w:val="7AB8743D"/>
    <w:rsid w:val="7AC34B39"/>
    <w:rsid w:val="7AC878BC"/>
    <w:rsid w:val="7ACA3634"/>
    <w:rsid w:val="7AD06949"/>
    <w:rsid w:val="7AD70BC9"/>
    <w:rsid w:val="7AD95625"/>
    <w:rsid w:val="7ADA3941"/>
    <w:rsid w:val="7AE239B5"/>
    <w:rsid w:val="7AE46D16"/>
    <w:rsid w:val="7AE47513"/>
    <w:rsid w:val="7AF06B7D"/>
    <w:rsid w:val="7AF34541"/>
    <w:rsid w:val="7AFD57B8"/>
    <w:rsid w:val="7AFE1C0F"/>
    <w:rsid w:val="7B05641A"/>
    <w:rsid w:val="7B1448AF"/>
    <w:rsid w:val="7B225FB6"/>
    <w:rsid w:val="7B244C9C"/>
    <w:rsid w:val="7B260901"/>
    <w:rsid w:val="7B3F3F08"/>
    <w:rsid w:val="7B473288"/>
    <w:rsid w:val="7B5B424C"/>
    <w:rsid w:val="7B70541E"/>
    <w:rsid w:val="7B79050C"/>
    <w:rsid w:val="7B892BA7"/>
    <w:rsid w:val="7B8C0F21"/>
    <w:rsid w:val="7B8F62E8"/>
    <w:rsid w:val="7BA45B57"/>
    <w:rsid w:val="7BAC2D3A"/>
    <w:rsid w:val="7BAC4AE8"/>
    <w:rsid w:val="7BBB4D2B"/>
    <w:rsid w:val="7BE40725"/>
    <w:rsid w:val="7BE435D7"/>
    <w:rsid w:val="7BE752CE"/>
    <w:rsid w:val="7BEE3352"/>
    <w:rsid w:val="7BF87D2D"/>
    <w:rsid w:val="7BFC7925"/>
    <w:rsid w:val="7C0861C2"/>
    <w:rsid w:val="7C0E7E7C"/>
    <w:rsid w:val="7C1032C9"/>
    <w:rsid w:val="7C251C3D"/>
    <w:rsid w:val="7C352D2F"/>
    <w:rsid w:val="7C5A5E6B"/>
    <w:rsid w:val="7C66738C"/>
    <w:rsid w:val="7C7B2E38"/>
    <w:rsid w:val="7C7D2E23"/>
    <w:rsid w:val="7C7E3A9C"/>
    <w:rsid w:val="7C885555"/>
    <w:rsid w:val="7C976B56"/>
    <w:rsid w:val="7CA12173"/>
    <w:rsid w:val="7CAF4890"/>
    <w:rsid w:val="7CBD7F4B"/>
    <w:rsid w:val="7CBE13EA"/>
    <w:rsid w:val="7CC31897"/>
    <w:rsid w:val="7CC94538"/>
    <w:rsid w:val="7CCD4DF3"/>
    <w:rsid w:val="7CD247FD"/>
    <w:rsid w:val="7CD3540E"/>
    <w:rsid w:val="7CEC1640"/>
    <w:rsid w:val="7CEE6B95"/>
    <w:rsid w:val="7CF334C9"/>
    <w:rsid w:val="7CFB5D27"/>
    <w:rsid w:val="7D01762C"/>
    <w:rsid w:val="7D060228"/>
    <w:rsid w:val="7D0940D7"/>
    <w:rsid w:val="7D0A7D18"/>
    <w:rsid w:val="7D1312C2"/>
    <w:rsid w:val="7D23245F"/>
    <w:rsid w:val="7D321B6F"/>
    <w:rsid w:val="7D381174"/>
    <w:rsid w:val="7D426B9D"/>
    <w:rsid w:val="7D4B74C7"/>
    <w:rsid w:val="7D4E1CF6"/>
    <w:rsid w:val="7D5B16A7"/>
    <w:rsid w:val="7D5D62C0"/>
    <w:rsid w:val="7D627B54"/>
    <w:rsid w:val="7D676FBC"/>
    <w:rsid w:val="7D6D0EB3"/>
    <w:rsid w:val="7D724185"/>
    <w:rsid w:val="7D7C6BD4"/>
    <w:rsid w:val="7D81560D"/>
    <w:rsid w:val="7D8A5C0D"/>
    <w:rsid w:val="7D8E0949"/>
    <w:rsid w:val="7D965A4F"/>
    <w:rsid w:val="7DA3220B"/>
    <w:rsid w:val="7DA404DA"/>
    <w:rsid w:val="7DA4350F"/>
    <w:rsid w:val="7DAF5691"/>
    <w:rsid w:val="7DC0417D"/>
    <w:rsid w:val="7DD30A52"/>
    <w:rsid w:val="7DDD542C"/>
    <w:rsid w:val="7DE17050"/>
    <w:rsid w:val="7DEF0CFB"/>
    <w:rsid w:val="7DF23F42"/>
    <w:rsid w:val="7DF32A48"/>
    <w:rsid w:val="7DF34C50"/>
    <w:rsid w:val="7DF5665B"/>
    <w:rsid w:val="7DF82266"/>
    <w:rsid w:val="7DFF4A38"/>
    <w:rsid w:val="7E082C3E"/>
    <w:rsid w:val="7E0964FC"/>
    <w:rsid w:val="7E0A29DC"/>
    <w:rsid w:val="7E197C8C"/>
    <w:rsid w:val="7E236328"/>
    <w:rsid w:val="7E28513C"/>
    <w:rsid w:val="7E292420"/>
    <w:rsid w:val="7E355FFA"/>
    <w:rsid w:val="7E396B79"/>
    <w:rsid w:val="7E3E236F"/>
    <w:rsid w:val="7E445D75"/>
    <w:rsid w:val="7E4A4325"/>
    <w:rsid w:val="7E4B2540"/>
    <w:rsid w:val="7E4E53EF"/>
    <w:rsid w:val="7E6A03DA"/>
    <w:rsid w:val="7E7A43FE"/>
    <w:rsid w:val="7E877EBC"/>
    <w:rsid w:val="7E9006F1"/>
    <w:rsid w:val="7E9870E9"/>
    <w:rsid w:val="7E9906DA"/>
    <w:rsid w:val="7E9C633B"/>
    <w:rsid w:val="7EA45F4A"/>
    <w:rsid w:val="7EC62364"/>
    <w:rsid w:val="7ECF746B"/>
    <w:rsid w:val="7ED22AB7"/>
    <w:rsid w:val="7ED30D6A"/>
    <w:rsid w:val="7EDC56E4"/>
    <w:rsid w:val="7EE406E0"/>
    <w:rsid w:val="7EEF5417"/>
    <w:rsid w:val="7EF361B3"/>
    <w:rsid w:val="7EF94618"/>
    <w:rsid w:val="7EFC5D86"/>
    <w:rsid w:val="7F05372E"/>
    <w:rsid w:val="7F092E6C"/>
    <w:rsid w:val="7F0C3DF4"/>
    <w:rsid w:val="7F1A5A86"/>
    <w:rsid w:val="7F205261"/>
    <w:rsid w:val="7F240FFB"/>
    <w:rsid w:val="7F291903"/>
    <w:rsid w:val="7F2F7F0A"/>
    <w:rsid w:val="7F344438"/>
    <w:rsid w:val="7F492D2C"/>
    <w:rsid w:val="7F4D0390"/>
    <w:rsid w:val="7F4D4F78"/>
    <w:rsid w:val="7F582D78"/>
    <w:rsid w:val="7F5F6DA1"/>
    <w:rsid w:val="7F5F7B1C"/>
    <w:rsid w:val="7F62306B"/>
    <w:rsid w:val="7F6A0F42"/>
    <w:rsid w:val="7F6E1AA8"/>
    <w:rsid w:val="7F765392"/>
    <w:rsid w:val="7F7F10E4"/>
    <w:rsid w:val="7F7F2C65"/>
    <w:rsid w:val="7F92054D"/>
    <w:rsid w:val="7F975080"/>
    <w:rsid w:val="7F983C52"/>
    <w:rsid w:val="7F9A1896"/>
    <w:rsid w:val="7F9A270D"/>
    <w:rsid w:val="7FA91E1D"/>
    <w:rsid w:val="7FB042D5"/>
    <w:rsid w:val="7FBA75D6"/>
    <w:rsid w:val="7FBF128D"/>
    <w:rsid w:val="7FD1625A"/>
    <w:rsid w:val="7FD97630"/>
    <w:rsid w:val="7FF151BF"/>
    <w:rsid w:val="7FF343B7"/>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name="footnote text"/>
    <w:lsdException w:qFormat="1" w:uiPriority="0" w:semiHidden="0" w:name="annotation text"/>
    <w:lsdException w:qFormat="1" w:unhideWhenUsed="0" w:uiPriority="99" w:semiHidden="0" w:name="header"/>
    <w:lsdException w:qFormat="1" w:unhideWhenUsed="0" w:uiPriority="0" w:semiHidden="0" w:name="footer"/>
    <w:lsdException w:qFormat="1" w:unhideWhenUsed="0" w:uiPriority="0" w:semiHidden="0" w:name="index heading"/>
    <w:lsdException w:qFormat="1" w:unhideWhenUsed="0" w:uiPriority="99" w:semiHidden="0" w:name="caption"/>
    <w:lsdException w:uiPriority="99" w:name="table of figures"/>
    <w:lsdException w:uiPriority="99" w:name="envelope address"/>
    <w:lsdException w:uiPriority="99" w:name="envelope return"/>
    <w:lsdException w:qFormat="1" w:unhideWhenUsed="0" w:uiPriority="0" w:name="footnote reference"/>
    <w:lsdException w:qFormat="1" w:unhideWhenUsed="0" w:uiPriority="0" w:semiHidden="0"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qFormat="1" w:unhideWhenUsed="0" w:uiPriority="0" w:semiHidden="0" w:name="List Bullet"/>
    <w:lsdException w:qFormat="1" w:unhideWhenUsed="0" w:uiPriority="0" w:semiHidden="0" w:name="List Number"/>
    <w:lsdException w:uiPriority="99" w:name="List 2"/>
    <w:lsdException w:uiPriority="99" w:name="List 3"/>
    <w:lsdException w:uiPriority="99" w:name="List 4"/>
    <w:lsdException w:uiPriority="99" w:name="List 5"/>
    <w:lsdException w:qFormat="1" w:unhideWhenUsed="0" w:uiPriority="0" w:semiHidden="0" w:name="List Bullet 2"/>
    <w:lsdException w:uiPriority="99" w:name="List Bullet 3"/>
    <w:lsdException w:uiPriority="99" w:name="List Bullet 4"/>
    <w:lsdException w:qFormat="1"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99"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nhideWhenUsed="0" w:uiPriority="0" w:semiHidden="0" w:name="annotation subject"/>
    <w:lsdException w:uiPriority="99" w:name="Table Simple 1"/>
    <w:lsdException w:uiPriority="99" w:name="Table Simple 2"/>
    <w:lsdException w:qFormat="1" w:unhideWhenUsed="0" w:uiPriority="0" w:semiHidden="0" w:name="Table Simple 3"/>
    <w:lsdException w:qFormat="1" w:unhideWhenUsed="0" w:uiPriority="0" w:semiHidden="0"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spacing w:line="360" w:lineRule="auto"/>
      <w:ind w:firstLine="420"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link w:val="68"/>
    <w:qFormat/>
    <w:uiPriority w:val="9"/>
    <w:pPr>
      <w:keepNext/>
      <w:keepLines/>
      <w:numPr>
        <w:ilvl w:val="0"/>
        <w:numId w:val="1"/>
      </w:numPr>
      <w:spacing w:before="460" w:after="330" w:line="360" w:lineRule="auto"/>
      <w:ind w:left="425" w:hanging="425" w:firstLineChars="0"/>
      <w:jc w:val="center"/>
      <w:outlineLvl w:val="0"/>
    </w:pPr>
    <w:rPr>
      <w:rFonts w:ascii="Times New Roman" w:hAnsi="Times New Roman" w:eastAsia="黑体"/>
      <w:b/>
      <w:bCs/>
      <w:kern w:val="44"/>
      <w:sz w:val="36"/>
      <w:szCs w:val="44"/>
    </w:rPr>
  </w:style>
  <w:style w:type="paragraph" w:styleId="4">
    <w:name w:val="heading 2"/>
    <w:basedOn w:val="1"/>
    <w:next w:val="1"/>
    <w:link w:val="69"/>
    <w:qFormat/>
    <w:uiPriority w:val="0"/>
    <w:pPr>
      <w:keepNext/>
      <w:keepLines/>
      <w:numPr>
        <w:ilvl w:val="1"/>
        <w:numId w:val="1"/>
      </w:numPr>
      <w:spacing w:before="180" w:after="180" w:line="360" w:lineRule="auto"/>
      <w:ind w:firstLine="0" w:firstLineChars="0"/>
      <w:outlineLvl w:val="1"/>
    </w:pPr>
    <w:rPr>
      <w:rFonts w:ascii="Times New Roman" w:hAnsi="Times New Roman" w:eastAsia="宋体"/>
      <w:b/>
      <w:bCs/>
      <w:kern w:val="0"/>
      <w:sz w:val="30"/>
      <w:szCs w:val="32"/>
    </w:rPr>
  </w:style>
  <w:style w:type="paragraph" w:styleId="5">
    <w:name w:val="heading 3"/>
    <w:basedOn w:val="1"/>
    <w:next w:val="6"/>
    <w:link w:val="70"/>
    <w:qFormat/>
    <w:uiPriority w:val="0"/>
    <w:pPr>
      <w:keepNext/>
      <w:keepLines/>
      <w:numPr>
        <w:ilvl w:val="2"/>
        <w:numId w:val="1"/>
      </w:numPr>
      <w:tabs>
        <w:tab w:val="left" w:pos="420"/>
      </w:tabs>
      <w:spacing w:before="20" w:beforeLines="33" w:after="20" w:afterLines="33"/>
      <w:ind w:left="0" w:firstLine="0" w:firstLineChars="0"/>
      <w:outlineLvl w:val="2"/>
    </w:pPr>
    <w:rPr>
      <w:rFonts w:ascii="Times New Roman" w:hAnsi="Times New Roman" w:eastAsia="宋体"/>
      <w:b/>
      <w:bCs/>
      <w:sz w:val="28"/>
      <w:szCs w:val="32"/>
    </w:rPr>
  </w:style>
  <w:style w:type="paragraph" w:styleId="10">
    <w:name w:val="heading 4"/>
    <w:basedOn w:val="1"/>
    <w:next w:val="1"/>
    <w:link w:val="71"/>
    <w:qFormat/>
    <w:uiPriority w:val="0"/>
    <w:pPr>
      <w:keepNext/>
      <w:keepLines/>
      <w:numPr>
        <w:ilvl w:val="3"/>
        <w:numId w:val="1"/>
      </w:numPr>
      <w:ind w:firstLine="480" w:firstLineChars="200"/>
      <w:outlineLvl w:val="3"/>
    </w:pPr>
    <w:rPr>
      <w:rFonts w:ascii="Times New Roman" w:hAnsi="Times New Roman" w:eastAsia="宋体"/>
      <w:b/>
      <w:bCs/>
      <w:kern w:val="0"/>
      <w:szCs w:val="28"/>
    </w:rPr>
  </w:style>
  <w:style w:type="paragraph" w:styleId="11">
    <w:name w:val="heading 5"/>
    <w:basedOn w:val="1"/>
    <w:next w:val="1"/>
    <w:link w:val="72"/>
    <w:qFormat/>
    <w:uiPriority w:val="0"/>
    <w:pPr>
      <w:keepNext/>
      <w:keepLines/>
      <w:tabs>
        <w:tab w:val="left" w:pos="240"/>
        <w:tab w:val="left" w:pos="480"/>
        <w:tab w:val="left" w:pos="720"/>
        <w:tab w:val="left" w:pos="1008"/>
      </w:tabs>
      <w:adjustRightInd w:val="0"/>
      <w:snapToGrid w:val="0"/>
      <w:spacing w:before="280" w:after="290" w:line="376" w:lineRule="atLeast"/>
      <w:ind w:left="1008" w:hanging="1008" w:firstLineChars="200"/>
      <w:jc w:val="left"/>
      <w:textAlignment w:val="baseline"/>
      <w:outlineLvl w:val="4"/>
    </w:pPr>
    <w:rPr>
      <w:rFonts w:ascii="Arial" w:hAnsi="Arial"/>
      <w:b/>
      <w:color w:val="FF0000"/>
      <w:kern w:val="0"/>
      <w:sz w:val="28"/>
      <w:szCs w:val="24"/>
    </w:rPr>
  </w:style>
  <w:style w:type="paragraph" w:styleId="12">
    <w:name w:val="heading 6"/>
    <w:basedOn w:val="1"/>
    <w:next w:val="1"/>
    <w:link w:val="73"/>
    <w:qFormat/>
    <w:uiPriority w:val="0"/>
    <w:pPr>
      <w:keepNext/>
      <w:keepLines/>
      <w:overflowPunct w:val="0"/>
      <w:topLinePunct/>
      <w:autoSpaceDE w:val="0"/>
      <w:autoSpaceDN w:val="0"/>
      <w:adjustRightInd w:val="0"/>
      <w:spacing w:before="240" w:after="64" w:line="320" w:lineRule="atLeast"/>
      <w:ind w:left="1134"/>
      <w:jc w:val="left"/>
      <w:textAlignment w:val="baseline"/>
      <w:outlineLvl w:val="5"/>
    </w:pPr>
    <w:rPr>
      <w:rFonts w:ascii="Arial" w:hAnsi="Arial" w:eastAsia="黑体"/>
      <w:b/>
      <w:spacing w:val="10"/>
      <w:kern w:val="0"/>
      <w:sz w:val="24"/>
      <w:szCs w:val="24"/>
    </w:rPr>
  </w:style>
  <w:style w:type="paragraph" w:styleId="13">
    <w:name w:val="heading 7"/>
    <w:basedOn w:val="1"/>
    <w:next w:val="1"/>
    <w:link w:val="74"/>
    <w:qFormat/>
    <w:uiPriority w:val="0"/>
    <w:pPr>
      <w:keepNext/>
      <w:keepLines/>
      <w:overflowPunct w:val="0"/>
      <w:topLinePunct/>
      <w:autoSpaceDE w:val="0"/>
      <w:autoSpaceDN w:val="0"/>
      <w:adjustRightInd w:val="0"/>
      <w:spacing w:before="240" w:after="64" w:line="320" w:lineRule="atLeast"/>
      <w:ind w:left="1134"/>
      <w:jc w:val="left"/>
      <w:textAlignment w:val="baseline"/>
      <w:outlineLvl w:val="6"/>
    </w:pPr>
    <w:rPr>
      <w:b/>
      <w:spacing w:val="10"/>
      <w:kern w:val="0"/>
      <w:sz w:val="24"/>
      <w:szCs w:val="24"/>
    </w:rPr>
  </w:style>
  <w:style w:type="paragraph" w:styleId="14">
    <w:name w:val="heading 8"/>
    <w:basedOn w:val="1"/>
    <w:next w:val="1"/>
    <w:link w:val="75"/>
    <w:qFormat/>
    <w:uiPriority w:val="0"/>
    <w:pPr>
      <w:keepNext/>
      <w:keepLines/>
      <w:overflowPunct w:val="0"/>
      <w:topLinePunct/>
      <w:autoSpaceDE w:val="0"/>
      <w:autoSpaceDN w:val="0"/>
      <w:adjustRightInd w:val="0"/>
      <w:spacing w:before="240" w:after="64" w:line="320" w:lineRule="atLeast"/>
      <w:ind w:left="1134"/>
      <w:jc w:val="left"/>
      <w:textAlignment w:val="baseline"/>
      <w:outlineLvl w:val="7"/>
    </w:pPr>
    <w:rPr>
      <w:rFonts w:ascii="Arial" w:hAnsi="Arial" w:eastAsia="黑体"/>
      <w:spacing w:val="10"/>
      <w:kern w:val="0"/>
      <w:sz w:val="24"/>
      <w:szCs w:val="24"/>
    </w:rPr>
  </w:style>
  <w:style w:type="paragraph" w:styleId="15">
    <w:name w:val="heading 9"/>
    <w:basedOn w:val="1"/>
    <w:next w:val="1"/>
    <w:link w:val="76"/>
    <w:qFormat/>
    <w:uiPriority w:val="0"/>
    <w:pPr>
      <w:keepNext/>
      <w:keepLines/>
      <w:overflowPunct w:val="0"/>
      <w:topLinePunct/>
      <w:autoSpaceDE w:val="0"/>
      <w:autoSpaceDN w:val="0"/>
      <w:adjustRightInd w:val="0"/>
      <w:spacing w:before="240" w:after="64" w:line="320" w:lineRule="atLeast"/>
      <w:ind w:left="1134"/>
      <w:jc w:val="left"/>
      <w:textAlignment w:val="baseline"/>
      <w:outlineLvl w:val="8"/>
    </w:pPr>
    <w:rPr>
      <w:rFonts w:ascii="Arial" w:hAnsi="Arial" w:eastAsia="黑体"/>
      <w:spacing w:val="10"/>
      <w:kern w:val="0"/>
      <w:sz w:val="24"/>
      <w:szCs w:val="24"/>
    </w:rPr>
  </w:style>
  <w:style w:type="character" w:default="1" w:styleId="58">
    <w:name w:val="Default Paragraph Font"/>
    <w:unhideWhenUsed/>
    <w:qFormat/>
    <w:uiPriority w:val="1"/>
  </w:style>
  <w:style w:type="table" w:default="1" w:styleId="52">
    <w:name w:val="Normal Table"/>
    <w:unhideWhenUsed/>
    <w:qFormat/>
    <w:uiPriority w:val="99"/>
    <w:tblPr>
      <w:tblCellMar>
        <w:top w:w="0" w:type="dxa"/>
        <w:left w:w="108" w:type="dxa"/>
        <w:bottom w:w="0" w:type="dxa"/>
        <w:right w:w="108" w:type="dxa"/>
      </w:tblCellMar>
    </w:tblPr>
  </w:style>
  <w:style w:type="paragraph" w:styleId="2">
    <w:name w:val="Salutation"/>
    <w:basedOn w:val="1"/>
    <w:next w:val="1"/>
    <w:qFormat/>
    <w:uiPriority w:val="0"/>
    <w:pPr>
      <w:adjustRightInd/>
      <w:snapToGrid/>
      <w:spacing w:after="0"/>
      <w:jc w:val="both"/>
    </w:pPr>
    <w:rPr>
      <w:rFonts w:ascii="Times New Roman" w:hAnsi="Times New Roman" w:eastAsia="宋体"/>
      <w:sz w:val="28"/>
      <w:szCs w:val="24"/>
    </w:rPr>
  </w:style>
  <w:style w:type="paragraph" w:customStyle="1" w:styleId="6">
    <w:name w:val="报告"/>
    <w:basedOn w:val="1"/>
    <w:next w:val="7"/>
    <w:link w:val="285"/>
    <w:qFormat/>
    <w:uiPriority w:val="0"/>
    <w:pPr>
      <w:autoSpaceDE w:val="0"/>
      <w:autoSpaceDN w:val="0"/>
      <w:adjustRightInd w:val="0"/>
      <w:spacing w:line="360" w:lineRule="auto"/>
      <w:ind w:firstLine="505"/>
      <w:jc w:val="left"/>
      <w:textAlignment w:val="baseline"/>
    </w:pPr>
    <w:rPr>
      <w:kern w:val="0"/>
      <w:sz w:val="24"/>
      <w:szCs w:val="20"/>
    </w:rPr>
  </w:style>
  <w:style w:type="paragraph" w:styleId="7">
    <w:name w:val="Body Text Indent 2"/>
    <w:basedOn w:val="1"/>
    <w:next w:val="8"/>
    <w:link w:val="88"/>
    <w:qFormat/>
    <w:uiPriority w:val="0"/>
    <w:pPr>
      <w:spacing w:after="120" w:line="480" w:lineRule="auto"/>
      <w:ind w:left="420" w:leftChars="200"/>
    </w:pPr>
    <w:rPr>
      <w:kern w:val="0"/>
      <w:sz w:val="20"/>
      <w:szCs w:val="24"/>
    </w:rPr>
  </w:style>
  <w:style w:type="paragraph" w:customStyle="1" w:styleId="8">
    <w:name w:val="简单回函地址"/>
    <w:basedOn w:val="1"/>
    <w:next w:val="9"/>
    <w:qFormat/>
    <w:uiPriority w:val="0"/>
    <w:pPr>
      <w:widowControl w:val="0"/>
      <w:adjustRightInd/>
      <w:snapToGrid/>
      <w:spacing w:after="0" w:line="360" w:lineRule="auto"/>
      <w:ind w:firstLine="200" w:firstLineChars="200"/>
      <w:jc w:val="both"/>
    </w:pPr>
    <w:rPr>
      <w:rFonts w:ascii="Times New Roman" w:hAnsi="Times New Roman" w:eastAsia="宋体"/>
      <w:kern w:val="2"/>
      <w:sz w:val="24"/>
      <w:szCs w:val="24"/>
    </w:rPr>
  </w:style>
  <w:style w:type="paragraph" w:customStyle="1" w:styleId="9">
    <w:name w:val="正文2"/>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styleId="16">
    <w:name w:val="toc 7"/>
    <w:basedOn w:val="1"/>
    <w:next w:val="1"/>
    <w:link w:val="709"/>
    <w:qFormat/>
    <w:uiPriority w:val="39"/>
    <w:pPr>
      <w:adjustRightInd/>
      <w:snapToGrid/>
      <w:spacing w:line="240" w:lineRule="auto"/>
      <w:ind w:left="0" w:leftChars="0" w:firstLine="0" w:firstLineChars="0"/>
      <w:jc w:val="center"/>
    </w:pPr>
    <w:rPr>
      <w:rFonts w:cs="Times New Roman"/>
      <w:sz w:val="21"/>
    </w:rPr>
  </w:style>
  <w:style w:type="paragraph" w:styleId="17">
    <w:name w:val="List Number"/>
    <w:basedOn w:val="1"/>
    <w:link w:val="77"/>
    <w:qFormat/>
    <w:uiPriority w:val="0"/>
    <w:pPr>
      <w:tabs>
        <w:tab w:val="left" w:pos="567"/>
      </w:tabs>
      <w:adjustRightInd/>
      <w:spacing w:line="360" w:lineRule="auto"/>
      <w:ind w:left="0" w:firstLine="0" w:firstLineChars="0"/>
      <w:jc w:val="center"/>
    </w:pPr>
    <w:rPr>
      <w:rFonts w:cs="Times New Roman"/>
      <w:b/>
      <w:sz w:val="21"/>
    </w:rPr>
  </w:style>
  <w:style w:type="paragraph" w:styleId="18">
    <w:name w:val="Normal Indent"/>
    <w:basedOn w:val="1"/>
    <w:link w:val="78"/>
    <w:qFormat/>
    <w:uiPriority w:val="0"/>
    <w:pPr>
      <w:ind w:firstLine="420"/>
    </w:pPr>
    <w:rPr>
      <w:kern w:val="0"/>
      <w:sz w:val="20"/>
      <w:szCs w:val="21"/>
    </w:rPr>
  </w:style>
  <w:style w:type="paragraph" w:styleId="19">
    <w:name w:val="caption"/>
    <w:basedOn w:val="1"/>
    <w:next w:val="1"/>
    <w:link w:val="79"/>
    <w:qFormat/>
    <w:uiPriority w:val="99"/>
    <w:pPr>
      <w:numPr>
        <w:ilvl w:val="0"/>
        <w:numId w:val="2"/>
      </w:numPr>
      <w:tabs>
        <w:tab w:val="left" w:pos="567"/>
      </w:tabs>
      <w:ind w:firstLine="0" w:firstLineChars="0"/>
      <w:jc w:val="center"/>
    </w:pPr>
    <w:rPr>
      <w:b/>
      <w:kern w:val="0"/>
      <w:sz w:val="21"/>
      <w:szCs w:val="20"/>
    </w:rPr>
  </w:style>
  <w:style w:type="paragraph" w:styleId="20">
    <w:name w:val="List Bullet"/>
    <w:basedOn w:val="1"/>
    <w:link w:val="80"/>
    <w:qFormat/>
    <w:uiPriority w:val="0"/>
    <w:pPr>
      <w:tabs>
        <w:tab w:val="left" w:pos="360"/>
      </w:tabs>
      <w:ind w:left="360" w:hanging="360" w:hangingChars="200"/>
    </w:pPr>
    <w:rPr>
      <w:rFonts w:ascii="Times New Roman" w:hAnsi="Times New Roman" w:eastAsia="宋体" w:cs="Times New Roman"/>
      <w:sz w:val="28"/>
      <w:szCs w:val="20"/>
    </w:rPr>
  </w:style>
  <w:style w:type="paragraph" w:styleId="21">
    <w:name w:val="Document Map"/>
    <w:basedOn w:val="1"/>
    <w:link w:val="81"/>
    <w:qFormat/>
    <w:uiPriority w:val="0"/>
    <w:pPr>
      <w:shd w:val="clear" w:color="auto" w:fill="000080"/>
    </w:pPr>
    <w:rPr>
      <w:kern w:val="0"/>
      <w:sz w:val="20"/>
      <w:szCs w:val="24"/>
    </w:rPr>
  </w:style>
  <w:style w:type="paragraph" w:styleId="22">
    <w:name w:val="annotation text"/>
    <w:basedOn w:val="1"/>
    <w:link w:val="82"/>
    <w:unhideWhenUsed/>
    <w:qFormat/>
    <w:uiPriority w:val="0"/>
    <w:pPr>
      <w:jc w:val="left"/>
    </w:pPr>
  </w:style>
  <w:style w:type="paragraph" w:styleId="23">
    <w:name w:val="Body Text"/>
    <w:basedOn w:val="1"/>
    <w:link w:val="83"/>
    <w:unhideWhenUsed/>
    <w:qFormat/>
    <w:uiPriority w:val="0"/>
    <w:pPr>
      <w:ind w:firstLine="480"/>
    </w:pPr>
    <w:rPr>
      <w:rFonts w:ascii="Times New Roman" w:hAnsi="Times New Roman"/>
    </w:rPr>
  </w:style>
  <w:style w:type="paragraph" w:styleId="24">
    <w:name w:val="Body Text Indent"/>
    <w:basedOn w:val="1"/>
    <w:next w:val="25"/>
    <w:link w:val="84"/>
    <w:unhideWhenUsed/>
    <w:qFormat/>
    <w:uiPriority w:val="0"/>
    <w:pPr>
      <w:spacing w:after="120"/>
      <w:ind w:left="420" w:leftChars="200"/>
    </w:pPr>
  </w:style>
  <w:style w:type="paragraph" w:styleId="25">
    <w:name w:val="index heading"/>
    <w:basedOn w:val="1"/>
    <w:next w:val="26"/>
    <w:qFormat/>
    <w:uiPriority w:val="0"/>
    <w:rPr>
      <w:rFonts w:ascii="Tahoma" w:hAnsi="Tahoma" w:eastAsia="方正仿宋_GB2312" w:cs="Tahoma"/>
      <w:szCs w:val="21"/>
    </w:rPr>
  </w:style>
  <w:style w:type="paragraph" w:styleId="26">
    <w:name w:val="index 1"/>
    <w:basedOn w:val="1"/>
    <w:next w:val="1"/>
    <w:qFormat/>
    <w:uiPriority w:val="0"/>
    <w:rPr>
      <w:sz w:val="28"/>
    </w:rPr>
  </w:style>
  <w:style w:type="paragraph" w:styleId="27">
    <w:name w:val="Block Text"/>
    <w:basedOn w:val="1"/>
    <w:next w:val="1"/>
    <w:qFormat/>
    <w:uiPriority w:val="0"/>
    <w:pPr>
      <w:spacing w:after="120" w:afterLines="0" w:afterAutospacing="0"/>
      <w:ind w:left="1440" w:leftChars="700" w:rightChars="700"/>
    </w:pPr>
  </w:style>
  <w:style w:type="paragraph" w:styleId="28">
    <w:name w:val="List Bullet 2"/>
    <w:basedOn w:val="1"/>
    <w:qFormat/>
    <w:uiPriority w:val="0"/>
    <w:pPr>
      <w:tabs>
        <w:tab w:val="left" w:pos="600"/>
        <w:tab w:val="center" w:pos="6360"/>
      </w:tabs>
      <w:adjustRightInd w:val="0"/>
      <w:ind w:left="600" w:hanging="360"/>
      <w:jc w:val="center"/>
      <w:textAlignment w:val="baseline"/>
    </w:pPr>
    <w:rPr>
      <w:rFonts w:ascii="Times New Roman" w:hAnsi="Times New Roman" w:eastAsia="宋体" w:cs="Times New Roman"/>
      <w:b/>
      <w:kern w:val="0"/>
      <w:sz w:val="20"/>
      <w:szCs w:val="20"/>
    </w:rPr>
  </w:style>
  <w:style w:type="paragraph" w:styleId="29">
    <w:name w:val="toc 5"/>
    <w:basedOn w:val="1"/>
    <w:next w:val="1"/>
    <w:qFormat/>
    <w:uiPriority w:val="39"/>
    <w:pPr>
      <w:ind w:left="1680" w:leftChars="800"/>
    </w:pPr>
    <w:rPr>
      <w:rFonts w:ascii="Times New Roman" w:hAnsi="Times New Roman" w:eastAsia="宋体" w:cs="Times New Roman"/>
      <w:szCs w:val="24"/>
    </w:rPr>
  </w:style>
  <w:style w:type="paragraph" w:styleId="30">
    <w:name w:val="toc 3"/>
    <w:basedOn w:val="1"/>
    <w:next w:val="1"/>
    <w:qFormat/>
    <w:uiPriority w:val="39"/>
    <w:pPr>
      <w:ind w:left="840" w:leftChars="400"/>
    </w:pPr>
    <w:rPr>
      <w:rFonts w:ascii="Times New Roman" w:hAnsi="Times New Roman" w:eastAsia="宋体" w:cs="Times New Roman"/>
      <w:szCs w:val="24"/>
    </w:rPr>
  </w:style>
  <w:style w:type="paragraph" w:styleId="31">
    <w:name w:val="Plain Text"/>
    <w:basedOn w:val="1"/>
    <w:link w:val="86"/>
    <w:qFormat/>
    <w:uiPriority w:val="99"/>
    <w:rPr>
      <w:rFonts w:ascii="宋体" w:hAnsi="Courier New"/>
      <w:kern w:val="0"/>
      <w:sz w:val="20"/>
      <w:szCs w:val="20"/>
    </w:rPr>
  </w:style>
  <w:style w:type="paragraph" w:styleId="32">
    <w:name w:val="List Bullet 5"/>
    <w:basedOn w:val="1"/>
    <w:semiHidden/>
    <w:unhideWhenUsed/>
    <w:qFormat/>
    <w:uiPriority w:val="99"/>
    <w:pPr>
      <w:numPr>
        <w:ilvl w:val="0"/>
        <w:numId w:val="3"/>
      </w:numPr>
    </w:pPr>
  </w:style>
  <w:style w:type="paragraph" w:styleId="33">
    <w:name w:val="toc 8"/>
    <w:basedOn w:val="1"/>
    <w:next w:val="1"/>
    <w:qFormat/>
    <w:uiPriority w:val="39"/>
    <w:pPr>
      <w:ind w:left="2940" w:leftChars="1400"/>
    </w:pPr>
    <w:rPr>
      <w:rFonts w:ascii="Times New Roman" w:hAnsi="Times New Roman" w:eastAsia="宋体" w:cs="Times New Roman"/>
      <w:szCs w:val="24"/>
    </w:rPr>
  </w:style>
  <w:style w:type="paragraph" w:styleId="34">
    <w:name w:val="Date"/>
    <w:basedOn w:val="1"/>
    <w:next w:val="1"/>
    <w:link w:val="87"/>
    <w:qFormat/>
    <w:uiPriority w:val="0"/>
    <w:pPr>
      <w:ind w:left="100" w:leftChars="2500"/>
    </w:pPr>
    <w:rPr>
      <w:kern w:val="0"/>
      <w:sz w:val="20"/>
      <w:szCs w:val="24"/>
    </w:rPr>
  </w:style>
  <w:style w:type="paragraph" w:styleId="35">
    <w:name w:val="Balloon Text"/>
    <w:basedOn w:val="1"/>
    <w:link w:val="89"/>
    <w:qFormat/>
    <w:uiPriority w:val="0"/>
    <w:rPr>
      <w:kern w:val="0"/>
      <w:sz w:val="18"/>
      <w:szCs w:val="18"/>
    </w:rPr>
  </w:style>
  <w:style w:type="paragraph" w:styleId="36">
    <w:name w:val="footer"/>
    <w:basedOn w:val="1"/>
    <w:link w:val="90"/>
    <w:qFormat/>
    <w:uiPriority w:val="0"/>
    <w:pPr>
      <w:tabs>
        <w:tab w:val="center" w:pos="4153"/>
        <w:tab w:val="right" w:pos="8306"/>
      </w:tabs>
      <w:snapToGrid w:val="0"/>
      <w:jc w:val="left"/>
    </w:pPr>
    <w:rPr>
      <w:kern w:val="0"/>
      <w:sz w:val="18"/>
      <w:szCs w:val="18"/>
    </w:rPr>
  </w:style>
  <w:style w:type="paragraph" w:styleId="37">
    <w:name w:val="header"/>
    <w:basedOn w:val="1"/>
    <w:next w:val="1"/>
    <w:link w:val="91"/>
    <w:qFormat/>
    <w:uiPriority w:val="99"/>
    <w:pPr>
      <w:pBdr>
        <w:bottom w:val="single" w:color="auto" w:sz="6" w:space="1"/>
      </w:pBdr>
      <w:tabs>
        <w:tab w:val="center" w:pos="4153"/>
        <w:tab w:val="right" w:pos="8306"/>
      </w:tabs>
      <w:snapToGrid w:val="0"/>
      <w:jc w:val="center"/>
    </w:pPr>
    <w:rPr>
      <w:kern w:val="0"/>
      <w:sz w:val="18"/>
      <w:szCs w:val="18"/>
    </w:rPr>
  </w:style>
  <w:style w:type="paragraph" w:styleId="38">
    <w:name w:val="toc 1"/>
    <w:basedOn w:val="1"/>
    <w:next w:val="1"/>
    <w:qFormat/>
    <w:uiPriority w:val="39"/>
    <w:rPr>
      <w:rFonts w:ascii="Times New Roman" w:hAnsi="Times New Roman" w:eastAsia="宋体" w:cs="Times New Roman"/>
      <w:szCs w:val="24"/>
    </w:rPr>
  </w:style>
  <w:style w:type="paragraph" w:styleId="39">
    <w:name w:val="toc 4"/>
    <w:basedOn w:val="1"/>
    <w:next w:val="1"/>
    <w:qFormat/>
    <w:uiPriority w:val="39"/>
    <w:pPr>
      <w:ind w:left="1260" w:leftChars="600"/>
    </w:pPr>
    <w:rPr>
      <w:rFonts w:ascii="Times New Roman" w:hAnsi="Times New Roman" w:eastAsia="宋体" w:cs="Times New Roman"/>
      <w:szCs w:val="24"/>
    </w:rPr>
  </w:style>
  <w:style w:type="paragraph" w:styleId="40">
    <w:name w:val="Subtitle"/>
    <w:basedOn w:val="10"/>
    <w:next w:val="1"/>
    <w:link w:val="92"/>
    <w:qFormat/>
    <w:uiPriority w:val="0"/>
    <w:pPr>
      <w:spacing w:before="240" w:after="60" w:line="360" w:lineRule="auto"/>
      <w:jc w:val="left"/>
    </w:pPr>
    <w:rPr>
      <w:rFonts w:eastAsia="方正仿宋_GB2312"/>
      <w:kern w:val="28"/>
      <w:szCs w:val="32"/>
    </w:rPr>
  </w:style>
  <w:style w:type="paragraph" w:styleId="41">
    <w:name w:val="List"/>
    <w:basedOn w:val="1"/>
    <w:qFormat/>
    <w:uiPriority w:val="0"/>
    <w:pPr>
      <w:ind w:left="200" w:hanging="200" w:hangingChars="200"/>
    </w:pPr>
    <w:rPr>
      <w:rFonts w:ascii="Times New Roman" w:hAnsi="Times New Roman" w:eastAsia="宋体" w:cs="Times New Roman"/>
      <w:szCs w:val="24"/>
    </w:rPr>
  </w:style>
  <w:style w:type="paragraph" w:styleId="42">
    <w:name w:val="footnote text"/>
    <w:basedOn w:val="1"/>
    <w:link w:val="93"/>
    <w:semiHidden/>
    <w:qFormat/>
    <w:uiPriority w:val="0"/>
    <w:pPr>
      <w:snapToGrid w:val="0"/>
      <w:jc w:val="left"/>
    </w:pPr>
    <w:rPr>
      <w:kern w:val="0"/>
      <w:sz w:val="18"/>
      <w:szCs w:val="18"/>
    </w:rPr>
  </w:style>
  <w:style w:type="paragraph" w:styleId="43">
    <w:name w:val="toc 6"/>
    <w:basedOn w:val="1"/>
    <w:next w:val="1"/>
    <w:qFormat/>
    <w:uiPriority w:val="39"/>
    <w:pPr>
      <w:ind w:left="2100" w:leftChars="1000"/>
    </w:pPr>
    <w:rPr>
      <w:rFonts w:ascii="Times New Roman" w:hAnsi="Times New Roman" w:eastAsia="宋体" w:cs="Times New Roman"/>
      <w:szCs w:val="24"/>
    </w:rPr>
  </w:style>
  <w:style w:type="paragraph" w:styleId="44">
    <w:name w:val="Body Text Indent 3"/>
    <w:basedOn w:val="1"/>
    <w:link w:val="94"/>
    <w:qFormat/>
    <w:uiPriority w:val="0"/>
    <w:pPr>
      <w:spacing w:after="120"/>
      <w:ind w:left="420" w:leftChars="200"/>
    </w:pPr>
    <w:rPr>
      <w:kern w:val="0"/>
      <w:sz w:val="16"/>
      <w:szCs w:val="16"/>
    </w:rPr>
  </w:style>
  <w:style w:type="paragraph" w:styleId="45">
    <w:name w:val="toc 2"/>
    <w:basedOn w:val="1"/>
    <w:next w:val="1"/>
    <w:qFormat/>
    <w:uiPriority w:val="39"/>
    <w:pPr>
      <w:ind w:left="420" w:leftChars="200"/>
    </w:pPr>
    <w:rPr>
      <w:rFonts w:ascii="Times New Roman" w:hAnsi="Times New Roman" w:eastAsia="宋体" w:cs="Times New Roman"/>
      <w:szCs w:val="24"/>
    </w:rPr>
  </w:style>
  <w:style w:type="paragraph" w:styleId="46">
    <w:name w:val="toc 9"/>
    <w:basedOn w:val="1"/>
    <w:next w:val="1"/>
    <w:qFormat/>
    <w:uiPriority w:val="39"/>
    <w:pPr>
      <w:ind w:left="3360" w:leftChars="1600"/>
    </w:pPr>
    <w:rPr>
      <w:rFonts w:ascii="Times New Roman" w:hAnsi="Times New Roman" w:eastAsia="宋体" w:cs="Times New Roman"/>
      <w:szCs w:val="24"/>
    </w:rPr>
  </w:style>
  <w:style w:type="paragraph" w:styleId="47">
    <w:name w:val="Body Text 2"/>
    <w:basedOn w:val="1"/>
    <w:link w:val="95"/>
    <w:qFormat/>
    <w:uiPriority w:val="0"/>
    <w:rPr>
      <w:sz w:val="24"/>
      <w:szCs w:val="20"/>
    </w:rPr>
  </w:style>
  <w:style w:type="paragraph" w:styleId="48">
    <w:name w:val="Normal (Web)"/>
    <w:basedOn w:val="1"/>
    <w:qFormat/>
    <w:uiPriority w:val="99"/>
    <w:rPr>
      <w:rFonts w:ascii="Times New Roman" w:hAnsi="Times New Roman" w:eastAsia="宋体" w:cs="Times New Roman"/>
      <w:sz w:val="24"/>
      <w:szCs w:val="24"/>
    </w:rPr>
  </w:style>
  <w:style w:type="paragraph" w:styleId="49">
    <w:name w:val="annotation subject"/>
    <w:basedOn w:val="22"/>
    <w:next w:val="22"/>
    <w:link w:val="96"/>
    <w:qFormat/>
    <w:uiPriority w:val="0"/>
    <w:rPr>
      <w:b/>
      <w:bCs/>
      <w:kern w:val="0"/>
      <w:sz w:val="20"/>
      <w:szCs w:val="24"/>
    </w:rPr>
  </w:style>
  <w:style w:type="paragraph" w:styleId="50">
    <w:name w:val="Body Text First Indent"/>
    <w:basedOn w:val="23"/>
    <w:link w:val="97"/>
    <w:qFormat/>
    <w:uiPriority w:val="0"/>
    <w:pPr>
      <w:ind w:firstLine="420" w:firstLineChars="100"/>
    </w:pPr>
    <w:rPr>
      <w:kern w:val="0"/>
      <w:sz w:val="20"/>
      <w:szCs w:val="24"/>
    </w:rPr>
  </w:style>
  <w:style w:type="paragraph" w:styleId="51">
    <w:name w:val="Body Text First Indent 2"/>
    <w:basedOn w:val="1"/>
    <w:next w:val="1"/>
    <w:link w:val="85"/>
    <w:qFormat/>
    <w:uiPriority w:val="0"/>
    <w:pPr>
      <w:tabs>
        <w:tab w:val="left" w:pos="0"/>
      </w:tabs>
      <w:ind w:left="0" w:leftChars="0"/>
    </w:pPr>
    <w:rPr>
      <w:kern w:val="0"/>
      <w:sz w:val="20"/>
      <w:szCs w:val="24"/>
    </w:rPr>
  </w:style>
  <w:style w:type="table" w:styleId="53">
    <w:name w:val="Table Grid"/>
    <w:basedOn w:val="52"/>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4">
    <w:name w:val="Table Theme"/>
    <w:basedOn w:val="52"/>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5">
    <w:name w:val="Table Elegant"/>
    <w:basedOn w:val="52"/>
    <w:qFormat/>
    <w:uiPriority w:val="0"/>
    <w:pPr>
      <w:widowControl w:val="0"/>
      <w:jc w:val="both"/>
    </w:pPr>
    <w:rPr>
      <w:rFonts w:ascii="Times New Roman" w:hAnsi="Times New Roman" w:eastAsia="宋体" w:cs="Times New Roman"/>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56">
    <w:name w:val="Table Classic 1"/>
    <w:basedOn w:val="52"/>
    <w:qFormat/>
    <w:uiPriority w:val="0"/>
    <w:pPr>
      <w:widowControl w:val="0"/>
      <w:jc w:val="both"/>
    </w:pPr>
    <w:rPr>
      <w:rFonts w:ascii="Times New Roman" w:hAnsi="Times New Roman" w:eastAsia="宋体" w:cs="Times New Roman"/>
      <w:kern w:val="0"/>
      <w:sz w:val="20"/>
      <w:szCs w:val="20"/>
    </w:rPr>
    <w:tblPr>
      <w:tblBorders>
        <w:top w:val="single" w:color="000000" w:sz="12" w:space="0"/>
        <w:bottom w:val="single" w:color="000000" w:sz="12" w:space="0"/>
      </w:tblBorders>
    </w:tblPr>
    <w:tcPr>
      <w:shd w:val="clear" w:color="auto" w:fill="auto"/>
    </w:tcPr>
    <w:tblStylePr w:type="firstRow">
      <w:rPr>
        <w:i/>
        <w:iCs/>
      </w:rPr>
      <w:tblPr/>
      <w:tcPr>
        <w:tcBorders>
          <w:top w:val="nil"/>
          <w:left w:val="single" w:color="000000" w:sz="6" w:space="0"/>
          <w:bottom w:val="nil"/>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57">
    <w:name w:val="Table Simple 3"/>
    <w:basedOn w:val="52"/>
    <w:qFormat/>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character" w:styleId="59">
    <w:name w:val="Strong"/>
    <w:qFormat/>
    <w:uiPriority w:val="0"/>
    <w:rPr>
      <w:b/>
      <w:bCs/>
    </w:rPr>
  </w:style>
  <w:style w:type="character" w:styleId="60">
    <w:name w:val="page number"/>
    <w:qFormat/>
    <w:uiPriority w:val="99"/>
  </w:style>
  <w:style w:type="character" w:styleId="61">
    <w:name w:val="FollowedHyperlink"/>
    <w:qFormat/>
    <w:uiPriority w:val="99"/>
    <w:rPr>
      <w:color w:val="800080"/>
      <w:u w:val="single"/>
    </w:rPr>
  </w:style>
  <w:style w:type="character" w:styleId="62">
    <w:name w:val="Emphasis"/>
    <w:qFormat/>
    <w:uiPriority w:val="20"/>
    <w:rPr>
      <w:color w:val="CC0033"/>
    </w:rPr>
  </w:style>
  <w:style w:type="character" w:styleId="63">
    <w:name w:val="Hyperlink"/>
    <w:qFormat/>
    <w:uiPriority w:val="99"/>
    <w:rPr>
      <w:color w:val="0000FF"/>
      <w:u w:val="single"/>
    </w:rPr>
  </w:style>
  <w:style w:type="character" w:styleId="64">
    <w:name w:val="annotation reference"/>
    <w:qFormat/>
    <w:uiPriority w:val="0"/>
    <w:rPr>
      <w:sz w:val="21"/>
      <w:szCs w:val="21"/>
    </w:rPr>
  </w:style>
  <w:style w:type="character" w:styleId="65">
    <w:name w:val="footnote reference"/>
    <w:semiHidden/>
    <w:qFormat/>
    <w:uiPriority w:val="0"/>
    <w:rPr>
      <w:vertAlign w:val="superscript"/>
    </w:rPr>
  </w:style>
  <w:style w:type="paragraph" w:customStyle="1" w:styleId="66">
    <w:name w:val="Default"/>
    <w:qFormat/>
    <w:uiPriority w:val="0"/>
    <w:pPr>
      <w:widowControl w:val="0"/>
      <w:autoSpaceDE w:val="0"/>
      <w:autoSpaceDN w:val="0"/>
      <w:adjustRightInd w:val="0"/>
    </w:pPr>
    <w:rPr>
      <w:rFonts w:ascii="Arial Black" w:hAnsi="Times New Roman" w:eastAsia="Arial Black" w:cs="Arial Black"/>
      <w:color w:val="000000"/>
      <w:sz w:val="24"/>
      <w:szCs w:val="24"/>
      <w:lang w:val="en-US" w:eastAsia="zh-CN" w:bidi="ar-SA"/>
    </w:rPr>
  </w:style>
  <w:style w:type="paragraph" w:customStyle="1" w:styleId="67">
    <w:name w:val="正本文字"/>
    <w:basedOn w:val="1"/>
    <w:qFormat/>
    <w:uiPriority w:val="0"/>
    <w:pPr>
      <w:snapToGrid w:val="0"/>
      <w:spacing w:before="0"/>
      <w:ind w:firstLine="200" w:firstLineChars="200"/>
      <w:textAlignment w:val="auto"/>
    </w:pPr>
    <w:rPr>
      <w:kern w:val="18"/>
      <w:lang w:val="zh-CN"/>
    </w:rPr>
  </w:style>
  <w:style w:type="character" w:customStyle="1" w:styleId="68">
    <w:name w:val="标题 1 Char"/>
    <w:link w:val="3"/>
    <w:qFormat/>
    <w:uiPriority w:val="9"/>
    <w:rPr>
      <w:rFonts w:ascii="Times New Roman" w:hAnsi="Times New Roman" w:eastAsia="黑体" w:cs="Times New Roman"/>
      <w:b/>
      <w:bCs/>
      <w:kern w:val="44"/>
      <w:sz w:val="36"/>
      <w:szCs w:val="44"/>
    </w:rPr>
  </w:style>
  <w:style w:type="character" w:customStyle="1" w:styleId="69">
    <w:name w:val="标题 2 Char"/>
    <w:link w:val="4"/>
    <w:qFormat/>
    <w:uiPriority w:val="0"/>
    <w:rPr>
      <w:rFonts w:ascii="Times New Roman" w:hAnsi="Times New Roman" w:eastAsia="宋体"/>
      <w:b/>
      <w:bCs/>
      <w:sz w:val="30"/>
      <w:szCs w:val="32"/>
    </w:rPr>
  </w:style>
  <w:style w:type="character" w:customStyle="1" w:styleId="70">
    <w:name w:val="标题 3 Char"/>
    <w:link w:val="5"/>
    <w:qFormat/>
    <w:uiPriority w:val="0"/>
    <w:rPr>
      <w:rFonts w:ascii="Times New Roman" w:hAnsi="Times New Roman" w:eastAsia="宋体"/>
      <w:b/>
      <w:bCs/>
      <w:kern w:val="2"/>
      <w:sz w:val="28"/>
      <w:szCs w:val="32"/>
    </w:rPr>
  </w:style>
  <w:style w:type="character" w:customStyle="1" w:styleId="71">
    <w:name w:val="标题 4 Char"/>
    <w:link w:val="10"/>
    <w:qFormat/>
    <w:uiPriority w:val="0"/>
    <w:rPr>
      <w:rFonts w:ascii="Times New Roman" w:hAnsi="Times New Roman" w:eastAsia="宋体"/>
      <w:b/>
      <w:bCs/>
      <w:sz w:val="24"/>
      <w:szCs w:val="28"/>
    </w:rPr>
  </w:style>
  <w:style w:type="character" w:customStyle="1" w:styleId="72">
    <w:name w:val="标题 5 Char"/>
    <w:link w:val="11"/>
    <w:qFormat/>
    <w:uiPriority w:val="0"/>
    <w:rPr>
      <w:rFonts w:ascii="Arial" w:hAnsi="Arial" w:eastAsia="宋体" w:cs="Times New Roman"/>
      <w:b/>
      <w:color w:val="FF0000"/>
      <w:sz w:val="28"/>
      <w:szCs w:val="24"/>
    </w:rPr>
  </w:style>
  <w:style w:type="character" w:customStyle="1" w:styleId="73">
    <w:name w:val="标题 6 Char"/>
    <w:link w:val="12"/>
    <w:qFormat/>
    <w:uiPriority w:val="0"/>
    <w:rPr>
      <w:rFonts w:ascii="Arial" w:hAnsi="Arial" w:eastAsia="黑体" w:cs="Times New Roman"/>
      <w:b/>
      <w:spacing w:val="10"/>
      <w:sz w:val="24"/>
      <w:szCs w:val="24"/>
    </w:rPr>
  </w:style>
  <w:style w:type="character" w:customStyle="1" w:styleId="74">
    <w:name w:val="标题 7 Char"/>
    <w:link w:val="13"/>
    <w:qFormat/>
    <w:uiPriority w:val="0"/>
    <w:rPr>
      <w:rFonts w:ascii="Times New Roman" w:hAnsi="Times New Roman" w:eastAsia="宋体" w:cs="Times New Roman"/>
      <w:b/>
      <w:spacing w:val="10"/>
      <w:sz w:val="24"/>
      <w:szCs w:val="24"/>
    </w:rPr>
  </w:style>
  <w:style w:type="character" w:customStyle="1" w:styleId="75">
    <w:name w:val="标题 8 Char"/>
    <w:link w:val="14"/>
    <w:qFormat/>
    <w:uiPriority w:val="0"/>
    <w:rPr>
      <w:rFonts w:ascii="Arial" w:hAnsi="Arial" w:eastAsia="黑体" w:cs="Times New Roman"/>
      <w:spacing w:val="10"/>
      <w:sz w:val="24"/>
      <w:szCs w:val="24"/>
    </w:rPr>
  </w:style>
  <w:style w:type="character" w:customStyle="1" w:styleId="76">
    <w:name w:val="标题 9 Char"/>
    <w:link w:val="15"/>
    <w:qFormat/>
    <w:uiPriority w:val="0"/>
    <w:rPr>
      <w:rFonts w:ascii="Arial" w:hAnsi="Arial" w:eastAsia="黑体" w:cs="Times New Roman"/>
      <w:spacing w:val="10"/>
      <w:sz w:val="24"/>
      <w:szCs w:val="24"/>
    </w:rPr>
  </w:style>
  <w:style w:type="character" w:customStyle="1" w:styleId="77">
    <w:name w:val="列表编号 Char"/>
    <w:link w:val="17"/>
    <w:qFormat/>
    <w:uiPriority w:val="0"/>
    <w:rPr>
      <w:rFonts w:ascii="Times New Roman" w:hAnsi="Times New Roman" w:eastAsia="宋体" w:cs="Times New Roman"/>
      <w:b/>
      <w:sz w:val="21"/>
    </w:rPr>
  </w:style>
  <w:style w:type="character" w:customStyle="1" w:styleId="78">
    <w:name w:val="正文缩进 Char"/>
    <w:link w:val="18"/>
    <w:qFormat/>
    <w:uiPriority w:val="0"/>
    <w:rPr>
      <w:rFonts w:cs="宋体"/>
      <w:szCs w:val="21"/>
    </w:rPr>
  </w:style>
  <w:style w:type="character" w:customStyle="1" w:styleId="79">
    <w:name w:val="题注 Char1"/>
    <w:link w:val="19"/>
    <w:qFormat/>
    <w:uiPriority w:val="0"/>
    <w:rPr>
      <w:rFonts w:ascii="Times New Roman" w:hAnsi="Times New Roman" w:eastAsia="宋体" w:cs="Times New Roman"/>
      <w:b/>
      <w:kern w:val="0"/>
      <w:sz w:val="21"/>
      <w:szCs w:val="20"/>
      <w:lang w:val="en-US" w:eastAsia="zh-CN" w:bidi="ar-SA"/>
    </w:rPr>
  </w:style>
  <w:style w:type="character" w:customStyle="1" w:styleId="80">
    <w:name w:val="列表项目符号 Char"/>
    <w:link w:val="20"/>
    <w:qFormat/>
    <w:uiPriority w:val="0"/>
    <w:rPr>
      <w:rFonts w:ascii="Times New Roman" w:hAnsi="Times New Roman" w:eastAsia="宋体" w:cs="Times New Roman"/>
      <w:sz w:val="28"/>
      <w:szCs w:val="20"/>
    </w:rPr>
  </w:style>
  <w:style w:type="character" w:customStyle="1" w:styleId="81">
    <w:name w:val="文档结构图 Char"/>
    <w:link w:val="21"/>
    <w:qFormat/>
    <w:uiPriority w:val="0"/>
    <w:rPr>
      <w:szCs w:val="24"/>
      <w:shd w:val="clear" w:color="auto" w:fill="000080"/>
    </w:rPr>
  </w:style>
  <w:style w:type="character" w:customStyle="1" w:styleId="82">
    <w:name w:val="批注文字 Char2"/>
    <w:link w:val="22"/>
    <w:semiHidden/>
    <w:qFormat/>
    <w:uiPriority w:val="0"/>
  </w:style>
  <w:style w:type="character" w:customStyle="1" w:styleId="83">
    <w:name w:val="正文文本 Char2"/>
    <w:link w:val="23"/>
    <w:semiHidden/>
    <w:qFormat/>
    <w:uiPriority w:val="0"/>
    <w:rPr>
      <w:rFonts w:ascii="Times New Roman" w:hAnsi="Times New Roman" w:eastAsia="宋体"/>
    </w:rPr>
  </w:style>
  <w:style w:type="character" w:customStyle="1" w:styleId="84">
    <w:name w:val="正文文本缩进 Char1"/>
    <w:link w:val="24"/>
    <w:qFormat/>
    <w:uiPriority w:val="0"/>
  </w:style>
  <w:style w:type="character" w:customStyle="1" w:styleId="85">
    <w:name w:val="正文首行缩进 2 Char"/>
    <w:link w:val="51"/>
    <w:qFormat/>
    <w:uiPriority w:val="0"/>
    <w:rPr>
      <w:szCs w:val="24"/>
    </w:rPr>
  </w:style>
  <w:style w:type="character" w:customStyle="1" w:styleId="86">
    <w:name w:val="纯文本 Char2"/>
    <w:link w:val="31"/>
    <w:qFormat/>
    <w:uiPriority w:val="0"/>
    <w:rPr>
      <w:rFonts w:ascii="宋体" w:hAnsi="Courier New" w:eastAsia="宋体" w:cs="Times New Roman"/>
      <w:szCs w:val="20"/>
    </w:rPr>
  </w:style>
  <w:style w:type="character" w:customStyle="1" w:styleId="87">
    <w:name w:val="日期 Char"/>
    <w:link w:val="34"/>
    <w:qFormat/>
    <w:uiPriority w:val="0"/>
    <w:rPr>
      <w:szCs w:val="24"/>
    </w:rPr>
  </w:style>
  <w:style w:type="character" w:customStyle="1" w:styleId="88">
    <w:name w:val="正文文本缩进 2 Char1"/>
    <w:link w:val="7"/>
    <w:qFormat/>
    <w:uiPriority w:val="0"/>
    <w:rPr>
      <w:rFonts w:ascii="Times New Roman" w:hAnsi="Times New Roman" w:eastAsia="宋体" w:cs="Times New Roman"/>
      <w:szCs w:val="24"/>
    </w:rPr>
  </w:style>
  <w:style w:type="character" w:customStyle="1" w:styleId="89">
    <w:name w:val="批注框文本 Char"/>
    <w:link w:val="35"/>
    <w:qFormat/>
    <w:uiPriority w:val="0"/>
    <w:rPr>
      <w:sz w:val="18"/>
      <w:szCs w:val="18"/>
    </w:rPr>
  </w:style>
  <w:style w:type="character" w:customStyle="1" w:styleId="90">
    <w:name w:val="页脚 Char"/>
    <w:link w:val="36"/>
    <w:qFormat/>
    <w:uiPriority w:val="99"/>
    <w:rPr>
      <w:sz w:val="18"/>
      <w:szCs w:val="18"/>
    </w:rPr>
  </w:style>
  <w:style w:type="character" w:customStyle="1" w:styleId="91">
    <w:name w:val="页眉 Char"/>
    <w:link w:val="37"/>
    <w:qFormat/>
    <w:uiPriority w:val="99"/>
    <w:rPr>
      <w:sz w:val="18"/>
      <w:szCs w:val="18"/>
    </w:rPr>
  </w:style>
  <w:style w:type="character" w:customStyle="1" w:styleId="92">
    <w:name w:val="副标题 Char"/>
    <w:link w:val="40"/>
    <w:qFormat/>
    <w:uiPriority w:val="0"/>
    <w:rPr>
      <w:rFonts w:ascii="Cambria" w:hAnsi="Cambria" w:eastAsia="方正仿宋_GB2312"/>
      <w:b/>
      <w:bCs/>
      <w:kern w:val="28"/>
      <w:sz w:val="24"/>
      <w:szCs w:val="32"/>
    </w:rPr>
  </w:style>
  <w:style w:type="character" w:customStyle="1" w:styleId="93">
    <w:name w:val="脚注文本 Char"/>
    <w:link w:val="42"/>
    <w:semiHidden/>
    <w:qFormat/>
    <w:uiPriority w:val="0"/>
    <w:rPr>
      <w:sz w:val="18"/>
      <w:szCs w:val="18"/>
    </w:rPr>
  </w:style>
  <w:style w:type="character" w:customStyle="1" w:styleId="94">
    <w:name w:val="正文文本缩进 3 Char1"/>
    <w:link w:val="44"/>
    <w:qFormat/>
    <w:uiPriority w:val="0"/>
    <w:rPr>
      <w:rFonts w:ascii="Times New Roman" w:hAnsi="Times New Roman" w:eastAsia="宋体" w:cs="Times New Roman"/>
      <w:sz w:val="16"/>
      <w:szCs w:val="16"/>
    </w:rPr>
  </w:style>
  <w:style w:type="character" w:customStyle="1" w:styleId="95">
    <w:name w:val="正文文本 2 Char2"/>
    <w:link w:val="47"/>
    <w:qFormat/>
    <w:uiPriority w:val="0"/>
    <w:rPr>
      <w:kern w:val="2"/>
      <w:sz w:val="24"/>
    </w:rPr>
  </w:style>
  <w:style w:type="character" w:customStyle="1" w:styleId="96">
    <w:name w:val="批注主题 Char"/>
    <w:link w:val="49"/>
    <w:qFormat/>
    <w:uiPriority w:val="0"/>
    <w:rPr>
      <w:b/>
      <w:bCs/>
      <w:szCs w:val="24"/>
    </w:rPr>
  </w:style>
  <w:style w:type="character" w:customStyle="1" w:styleId="97">
    <w:name w:val="正文首行缩进 Char2"/>
    <w:link w:val="50"/>
    <w:qFormat/>
    <w:uiPriority w:val="0"/>
    <w:rPr>
      <w:rFonts w:ascii="Times New Roman" w:hAnsi="Times New Roman" w:eastAsia="宋体" w:cs="Times New Roman"/>
      <w:szCs w:val="24"/>
    </w:rPr>
  </w:style>
  <w:style w:type="character" w:customStyle="1" w:styleId="98">
    <w:name w:val="批注框文本 Char1"/>
    <w:semiHidden/>
    <w:qFormat/>
    <w:uiPriority w:val="99"/>
    <w:rPr>
      <w:rFonts w:ascii="Times New Roman" w:hAnsi="Times New Roman" w:eastAsia="宋体" w:cs="Times New Roman"/>
      <w:sz w:val="18"/>
      <w:szCs w:val="18"/>
    </w:rPr>
  </w:style>
  <w:style w:type="character" w:customStyle="1" w:styleId="99">
    <w:name w:val="正文文本 3 Char"/>
    <w:link w:val="100"/>
    <w:qFormat/>
    <w:uiPriority w:val="0"/>
    <w:rPr>
      <w:sz w:val="16"/>
      <w:szCs w:val="16"/>
    </w:rPr>
  </w:style>
  <w:style w:type="paragraph" w:customStyle="1" w:styleId="100">
    <w:name w:val="正文文本 33"/>
    <w:basedOn w:val="1"/>
    <w:link w:val="99"/>
    <w:qFormat/>
    <w:uiPriority w:val="0"/>
    <w:pPr>
      <w:spacing w:after="120"/>
    </w:pPr>
    <w:rPr>
      <w:kern w:val="0"/>
      <w:sz w:val="16"/>
      <w:szCs w:val="16"/>
    </w:rPr>
  </w:style>
  <w:style w:type="character" w:customStyle="1" w:styleId="101">
    <w:name w:val="副标题 Char2"/>
    <w:qFormat/>
    <w:uiPriority w:val="0"/>
    <w:rPr>
      <w:rFonts w:ascii="Cambria" w:hAnsi="Cambria" w:eastAsia="宋体" w:cs="Times New Roman"/>
      <w:b/>
      <w:bCs/>
      <w:kern w:val="28"/>
      <w:sz w:val="32"/>
      <w:szCs w:val="32"/>
    </w:rPr>
  </w:style>
  <w:style w:type="character" w:customStyle="1" w:styleId="102">
    <w:name w:val="批注主题 Char Char"/>
    <w:link w:val="103"/>
    <w:qFormat/>
    <w:uiPriority w:val="0"/>
    <w:rPr>
      <w:b/>
      <w:bCs/>
      <w:szCs w:val="24"/>
    </w:rPr>
  </w:style>
  <w:style w:type="paragraph" w:customStyle="1" w:styleId="103">
    <w:name w:val="批注主题2"/>
    <w:basedOn w:val="22"/>
    <w:next w:val="22"/>
    <w:link w:val="102"/>
    <w:qFormat/>
    <w:uiPriority w:val="0"/>
    <w:rPr>
      <w:b/>
      <w:bCs/>
      <w:kern w:val="0"/>
      <w:sz w:val="20"/>
      <w:szCs w:val="24"/>
    </w:rPr>
  </w:style>
  <w:style w:type="character" w:customStyle="1" w:styleId="104">
    <w:name w:val="批注主题 Char2"/>
    <w:semiHidden/>
    <w:qFormat/>
    <w:uiPriority w:val="0"/>
    <w:rPr>
      <w:b/>
      <w:bCs/>
    </w:rPr>
  </w:style>
  <w:style w:type="character" w:customStyle="1" w:styleId="105">
    <w:name w:val="题注 Char"/>
    <w:qFormat/>
    <w:uiPriority w:val="99"/>
    <w:rPr>
      <w:rFonts w:eastAsia="宋体" w:cs="Arial"/>
      <w:b/>
      <w:kern w:val="2"/>
      <w:sz w:val="21"/>
      <w:lang w:val="en-US" w:eastAsia="zh-CN" w:bidi="ar-SA"/>
    </w:rPr>
  </w:style>
  <w:style w:type="character" w:customStyle="1" w:styleId="106">
    <w:name w:val="副标题 Char1"/>
    <w:qFormat/>
    <w:uiPriority w:val="11"/>
    <w:rPr>
      <w:rFonts w:ascii="Cambria" w:hAnsi="Cambria" w:eastAsia="宋体" w:cs="Times New Roman"/>
      <w:b/>
      <w:bCs/>
      <w:kern w:val="28"/>
      <w:sz w:val="32"/>
      <w:szCs w:val="32"/>
    </w:rPr>
  </w:style>
  <w:style w:type="character" w:customStyle="1" w:styleId="107">
    <w:name w:val="zw1"/>
    <w:qFormat/>
    <w:uiPriority w:val="0"/>
    <w:rPr>
      <w:rFonts w:hint="eastAsia" w:ascii="宋体" w:hAnsi="宋体" w:eastAsia="宋体"/>
      <w:sz w:val="22"/>
      <w:szCs w:val="22"/>
    </w:rPr>
  </w:style>
  <w:style w:type="character" w:customStyle="1" w:styleId="108">
    <w:name w:val="表名 Char Char"/>
    <w:link w:val="109"/>
    <w:qFormat/>
    <w:uiPriority w:val="0"/>
    <w:rPr>
      <w:rFonts w:ascii="Arial" w:hAnsi="Arial" w:eastAsia="黑体"/>
      <w:sz w:val="24"/>
    </w:rPr>
  </w:style>
  <w:style w:type="paragraph" w:customStyle="1" w:styleId="109">
    <w:name w:val="表名"/>
    <w:basedOn w:val="1"/>
    <w:link w:val="108"/>
    <w:qFormat/>
    <w:uiPriority w:val="0"/>
    <w:pPr>
      <w:overflowPunct w:val="0"/>
      <w:spacing w:before="120"/>
      <w:textAlignment w:val="baseline"/>
    </w:pPr>
    <w:rPr>
      <w:rFonts w:ascii="Arial" w:hAnsi="Arial" w:eastAsia="黑体"/>
      <w:kern w:val="0"/>
      <w:sz w:val="24"/>
      <w:szCs w:val="20"/>
    </w:rPr>
  </w:style>
  <w:style w:type="character" w:customStyle="1" w:styleId="110">
    <w:name w:val="页脚 Char1"/>
    <w:semiHidden/>
    <w:qFormat/>
    <w:uiPriority w:val="99"/>
    <w:rPr>
      <w:sz w:val="18"/>
      <w:szCs w:val="18"/>
    </w:rPr>
  </w:style>
  <w:style w:type="character" w:customStyle="1" w:styleId="111">
    <w:name w:val="正文(首行缩进) Char"/>
    <w:link w:val="112"/>
    <w:qFormat/>
    <w:uiPriority w:val="0"/>
    <w:rPr>
      <w:color w:val="000000"/>
      <w:sz w:val="24"/>
      <w:szCs w:val="24"/>
    </w:rPr>
  </w:style>
  <w:style w:type="paragraph" w:customStyle="1" w:styleId="112">
    <w:name w:val="正文(首行缩进)"/>
    <w:basedOn w:val="1"/>
    <w:link w:val="111"/>
    <w:qFormat/>
    <w:uiPriority w:val="0"/>
    <w:pPr>
      <w:adjustRightInd w:val="0"/>
      <w:snapToGrid w:val="0"/>
      <w:spacing w:line="360" w:lineRule="auto"/>
      <w:ind w:firstLine="480" w:firstLineChars="200"/>
    </w:pPr>
    <w:rPr>
      <w:color w:val="000000"/>
      <w:kern w:val="0"/>
      <w:sz w:val="24"/>
      <w:szCs w:val="24"/>
    </w:rPr>
  </w:style>
  <w:style w:type="character" w:customStyle="1" w:styleId="113">
    <w:name w:val="批注框文本 Char2"/>
    <w:semiHidden/>
    <w:qFormat/>
    <w:uiPriority w:val="0"/>
    <w:rPr>
      <w:sz w:val="18"/>
      <w:szCs w:val="18"/>
    </w:rPr>
  </w:style>
  <w:style w:type="character" w:customStyle="1" w:styleId="114">
    <w:name w:val="正文文本缩进 3 Char Char"/>
    <w:link w:val="115"/>
    <w:qFormat/>
    <w:uiPriority w:val="0"/>
    <w:rPr>
      <w:sz w:val="16"/>
      <w:szCs w:val="16"/>
    </w:rPr>
  </w:style>
  <w:style w:type="paragraph" w:customStyle="1" w:styleId="115">
    <w:name w:val="正文文本缩进 31"/>
    <w:basedOn w:val="1"/>
    <w:link w:val="114"/>
    <w:qFormat/>
    <w:uiPriority w:val="0"/>
    <w:pPr>
      <w:spacing w:after="120"/>
      <w:ind w:left="420" w:leftChars="200"/>
    </w:pPr>
    <w:rPr>
      <w:kern w:val="0"/>
      <w:sz w:val="16"/>
      <w:szCs w:val="16"/>
    </w:rPr>
  </w:style>
  <w:style w:type="character" w:customStyle="1" w:styleId="116">
    <w:name w:val="纯文本 Char"/>
    <w:link w:val="117"/>
    <w:qFormat/>
    <w:uiPriority w:val="99"/>
    <w:rPr>
      <w:rFonts w:ascii="宋体" w:hAnsi="Courier New"/>
    </w:rPr>
  </w:style>
  <w:style w:type="paragraph" w:customStyle="1" w:styleId="117">
    <w:name w:val="纯文本1"/>
    <w:basedOn w:val="1"/>
    <w:link w:val="116"/>
    <w:qFormat/>
    <w:uiPriority w:val="0"/>
    <w:rPr>
      <w:rFonts w:ascii="宋体" w:hAnsi="Courier New"/>
      <w:kern w:val="0"/>
      <w:sz w:val="20"/>
      <w:szCs w:val="20"/>
    </w:rPr>
  </w:style>
  <w:style w:type="character" w:customStyle="1" w:styleId="118">
    <w:name w:val="my Text Char"/>
    <w:link w:val="119"/>
    <w:qFormat/>
    <w:uiPriority w:val="0"/>
    <w:rPr>
      <w:rFonts w:ascii="宋体" w:hAnsi="宋体" w:cs="Times New Roman"/>
      <w:sz w:val="24"/>
      <w:szCs w:val="24"/>
    </w:rPr>
  </w:style>
  <w:style w:type="paragraph" w:customStyle="1" w:styleId="119">
    <w:name w:val="my Text"/>
    <w:basedOn w:val="1"/>
    <w:link w:val="118"/>
    <w:qFormat/>
    <w:uiPriority w:val="0"/>
    <w:pPr>
      <w:widowControl/>
      <w:spacing w:line="360" w:lineRule="auto"/>
      <w:ind w:firstLine="480" w:firstLineChars="200"/>
      <w:jc w:val="left"/>
    </w:pPr>
    <w:rPr>
      <w:rFonts w:ascii="宋体" w:hAnsi="宋体"/>
      <w:kern w:val="0"/>
      <w:sz w:val="24"/>
      <w:szCs w:val="24"/>
    </w:rPr>
  </w:style>
  <w:style w:type="character" w:customStyle="1" w:styleId="120">
    <w:name w:val="日期 Char Char"/>
    <w:link w:val="121"/>
    <w:qFormat/>
    <w:uiPriority w:val="0"/>
    <w:rPr>
      <w:szCs w:val="24"/>
    </w:rPr>
  </w:style>
  <w:style w:type="paragraph" w:customStyle="1" w:styleId="121">
    <w:name w:val="日期1"/>
    <w:basedOn w:val="1"/>
    <w:next w:val="1"/>
    <w:link w:val="120"/>
    <w:qFormat/>
    <w:uiPriority w:val="0"/>
    <w:pPr>
      <w:ind w:left="100" w:leftChars="2500"/>
    </w:pPr>
    <w:rPr>
      <w:kern w:val="0"/>
      <w:sz w:val="20"/>
      <w:szCs w:val="24"/>
    </w:rPr>
  </w:style>
  <w:style w:type="character" w:customStyle="1" w:styleId="122">
    <w:name w:val="正文首行缩进 2 Char1"/>
    <w:semiHidden/>
    <w:qFormat/>
    <w:uiPriority w:val="0"/>
  </w:style>
  <w:style w:type="character" w:customStyle="1" w:styleId="123">
    <w:name w:val="表格格式 Char Char"/>
    <w:link w:val="124"/>
    <w:qFormat/>
    <w:uiPriority w:val="0"/>
    <w:rPr>
      <w:sz w:val="18"/>
      <w:szCs w:val="18"/>
    </w:rPr>
  </w:style>
  <w:style w:type="paragraph" w:customStyle="1" w:styleId="124">
    <w:name w:val="表格格式"/>
    <w:basedOn w:val="1"/>
    <w:link w:val="123"/>
    <w:qFormat/>
    <w:uiPriority w:val="0"/>
    <w:pPr>
      <w:spacing w:line="320" w:lineRule="exact"/>
      <w:jc w:val="center"/>
    </w:pPr>
    <w:rPr>
      <w:kern w:val="0"/>
      <w:sz w:val="18"/>
      <w:szCs w:val="18"/>
    </w:rPr>
  </w:style>
  <w:style w:type="character" w:customStyle="1" w:styleId="125">
    <w:name w:val="表格文字 Char"/>
    <w:qFormat/>
    <w:uiPriority w:val="0"/>
    <w:rPr>
      <w:rFonts w:eastAsia="宋体"/>
      <w:kern w:val="2"/>
      <w:sz w:val="21"/>
      <w:szCs w:val="21"/>
      <w:lang w:eastAsia="zh-CN" w:bidi="ar-SA"/>
    </w:rPr>
  </w:style>
  <w:style w:type="character" w:customStyle="1" w:styleId="126">
    <w:name w:val="font51"/>
    <w:qFormat/>
    <w:uiPriority w:val="0"/>
    <w:rPr>
      <w:rFonts w:hint="default" w:ascii="Times New Roman" w:hAnsi="Times New Roman" w:cs="Times New Roman"/>
      <w:color w:val="000000"/>
      <w:sz w:val="21"/>
      <w:szCs w:val="21"/>
      <w:u w:val="none"/>
      <w:vertAlign w:val="superscript"/>
    </w:rPr>
  </w:style>
  <w:style w:type="character" w:customStyle="1" w:styleId="127">
    <w:name w:val="C1 Char"/>
    <w:link w:val="128"/>
    <w:qFormat/>
    <w:uiPriority w:val="0"/>
    <w:rPr>
      <w:rFonts w:hAnsi="宋体"/>
      <w:b/>
      <w:bCs/>
      <w:kern w:val="44"/>
      <w:sz w:val="28"/>
      <w:szCs w:val="28"/>
    </w:rPr>
  </w:style>
  <w:style w:type="paragraph" w:customStyle="1" w:styleId="128">
    <w:name w:val="C1"/>
    <w:basedOn w:val="3"/>
    <w:link w:val="127"/>
    <w:qFormat/>
    <w:uiPriority w:val="0"/>
    <w:pPr>
      <w:spacing w:before="0" w:after="0" w:line="360" w:lineRule="auto"/>
    </w:pPr>
    <w:rPr>
      <w:rFonts w:hAnsi="宋体"/>
      <w:sz w:val="28"/>
      <w:szCs w:val="28"/>
    </w:rPr>
  </w:style>
  <w:style w:type="character" w:customStyle="1" w:styleId="129">
    <w:name w:val="款下正文 Char"/>
    <w:link w:val="130"/>
    <w:qFormat/>
    <w:locked/>
    <w:uiPriority w:val="99"/>
    <w:rPr>
      <w:sz w:val="24"/>
      <w:szCs w:val="28"/>
    </w:rPr>
  </w:style>
  <w:style w:type="paragraph" w:customStyle="1" w:styleId="130">
    <w:name w:val="款下正文"/>
    <w:basedOn w:val="1"/>
    <w:link w:val="129"/>
    <w:qFormat/>
    <w:uiPriority w:val="99"/>
    <w:pPr>
      <w:spacing w:beforeLines="50" w:afterLines="50" w:line="480" w:lineRule="exact"/>
      <w:ind w:firstLine="480" w:firstLineChars="200"/>
    </w:pPr>
    <w:rPr>
      <w:kern w:val="0"/>
      <w:sz w:val="24"/>
      <w:szCs w:val="28"/>
    </w:rPr>
  </w:style>
  <w:style w:type="character" w:customStyle="1" w:styleId="131">
    <w:name w:val="font01"/>
    <w:qFormat/>
    <w:uiPriority w:val="0"/>
    <w:rPr>
      <w:rFonts w:hint="default" w:ascii="Times New Roman" w:hAnsi="Times New Roman" w:cs="Times New Roman"/>
      <w:color w:val="000000"/>
      <w:sz w:val="18"/>
      <w:szCs w:val="18"/>
      <w:u w:val="none"/>
    </w:rPr>
  </w:style>
  <w:style w:type="character" w:customStyle="1" w:styleId="132">
    <w:name w:val="题注 Char Char"/>
    <w:qFormat/>
    <w:uiPriority w:val="0"/>
    <w:rPr>
      <w:rFonts w:eastAsia="宋体" w:cs="Arial"/>
      <w:b/>
      <w:kern w:val="2"/>
      <w:sz w:val="21"/>
      <w:lang w:val="en-US" w:eastAsia="zh-CN" w:bidi="ar-SA"/>
    </w:rPr>
  </w:style>
  <w:style w:type="character" w:customStyle="1" w:styleId="133">
    <w:name w:val="说明正文 Char Char"/>
    <w:link w:val="134"/>
    <w:qFormat/>
    <w:uiPriority w:val="0"/>
    <w:rPr>
      <w:rFonts w:ascii="宋体"/>
      <w:sz w:val="24"/>
      <w:szCs w:val="24"/>
    </w:rPr>
  </w:style>
  <w:style w:type="paragraph" w:customStyle="1" w:styleId="134">
    <w:name w:val="说明正文"/>
    <w:basedOn w:val="1"/>
    <w:link w:val="133"/>
    <w:qFormat/>
    <w:uiPriority w:val="0"/>
    <w:pPr>
      <w:adjustRightInd w:val="0"/>
      <w:snapToGrid w:val="0"/>
      <w:spacing w:line="360" w:lineRule="auto"/>
      <w:ind w:firstLine="510"/>
      <w:jc w:val="left"/>
    </w:pPr>
    <w:rPr>
      <w:rFonts w:ascii="宋体"/>
      <w:kern w:val="0"/>
      <w:sz w:val="24"/>
      <w:szCs w:val="24"/>
    </w:rPr>
  </w:style>
  <w:style w:type="character" w:customStyle="1" w:styleId="135">
    <w:name w:val="正文文本 2 Char1"/>
    <w:semiHidden/>
    <w:qFormat/>
    <w:uiPriority w:val="99"/>
    <w:rPr>
      <w:kern w:val="2"/>
      <w:sz w:val="21"/>
      <w:szCs w:val="22"/>
    </w:rPr>
  </w:style>
  <w:style w:type="character" w:customStyle="1" w:styleId="136">
    <w:name w:val="4级 Char"/>
    <w:link w:val="137"/>
    <w:qFormat/>
    <w:uiPriority w:val="0"/>
    <w:rPr>
      <w:rFonts w:ascii="Times New Roman" w:hAnsi="Times New Roman" w:eastAsia="方正仿宋_GB2312"/>
      <w:b/>
      <w:kern w:val="2"/>
      <w:sz w:val="24"/>
      <w:szCs w:val="28"/>
      <w:lang w:val="zh-CN"/>
    </w:rPr>
  </w:style>
  <w:style w:type="paragraph" w:customStyle="1" w:styleId="137">
    <w:name w:val="4级"/>
    <w:basedOn w:val="1"/>
    <w:link w:val="136"/>
    <w:qFormat/>
    <w:uiPriority w:val="0"/>
    <w:pPr>
      <w:keepNext/>
      <w:keepLines/>
      <w:adjustRightInd w:val="0"/>
      <w:snapToGrid w:val="0"/>
      <w:spacing w:before="240" w:beforeLines="100" w:after="240" w:afterLines="100" w:line="324" w:lineRule="auto"/>
      <w:jc w:val="left"/>
      <w:outlineLvl w:val="3"/>
    </w:pPr>
    <w:rPr>
      <w:rFonts w:eastAsia="方正仿宋_GB2312"/>
      <w:b/>
      <w:sz w:val="24"/>
      <w:szCs w:val="28"/>
      <w:lang w:val="zh-CN"/>
    </w:rPr>
  </w:style>
  <w:style w:type="character" w:customStyle="1" w:styleId="138">
    <w:name w:val="样式 普通文字 + 加宽量  0.4 磅 Char Char Char"/>
    <w:link w:val="139"/>
    <w:qFormat/>
    <w:uiPriority w:val="0"/>
    <w:rPr>
      <w:rFonts w:ascii="宋体"/>
      <w:spacing w:val="8"/>
      <w:sz w:val="24"/>
    </w:rPr>
  </w:style>
  <w:style w:type="paragraph" w:customStyle="1" w:styleId="139">
    <w:name w:val="样式 普通文字 + 加宽量  0.4 磅"/>
    <w:basedOn w:val="117"/>
    <w:link w:val="138"/>
    <w:qFormat/>
    <w:uiPriority w:val="0"/>
    <w:pPr>
      <w:spacing w:line="480" w:lineRule="exact"/>
      <w:ind w:firstLine="480" w:firstLineChars="200"/>
    </w:pPr>
    <w:rPr>
      <w:rFonts w:hAnsi="Times New Roman"/>
      <w:spacing w:val="8"/>
      <w:sz w:val="24"/>
    </w:rPr>
  </w:style>
  <w:style w:type="character" w:customStyle="1" w:styleId="140">
    <w:name w:val="样式 普通文字 + 加宽量  0.4 磅 Char Char Char Char Char Char Char Char Char Char Char Char Char Char Char Char Char Char Char Char"/>
    <w:qFormat/>
    <w:uiPriority w:val="0"/>
    <w:rPr>
      <w:rFonts w:eastAsia="宋体"/>
      <w:spacing w:val="8"/>
      <w:kern w:val="2"/>
      <w:sz w:val="24"/>
      <w:lang w:val="en-US" w:eastAsia="zh-CN"/>
    </w:rPr>
  </w:style>
  <w:style w:type="character" w:customStyle="1" w:styleId="141">
    <w:name w:val="apple-style-span"/>
    <w:qFormat/>
    <w:uiPriority w:val="0"/>
  </w:style>
  <w:style w:type="character" w:customStyle="1" w:styleId="142">
    <w:name w:val="批注文字 Char1"/>
    <w:semiHidden/>
    <w:qFormat/>
    <w:uiPriority w:val="99"/>
    <w:rPr>
      <w:rFonts w:ascii="Times New Roman" w:hAnsi="Times New Roman" w:eastAsia="宋体" w:cs="Times New Roman"/>
      <w:szCs w:val="24"/>
    </w:rPr>
  </w:style>
  <w:style w:type="character" w:customStyle="1" w:styleId="143">
    <w:name w:val="0正文 Char"/>
    <w:link w:val="144"/>
    <w:qFormat/>
    <w:uiPriority w:val="0"/>
    <w:rPr>
      <w:rFonts w:cs="宋体"/>
      <w:sz w:val="24"/>
    </w:rPr>
  </w:style>
  <w:style w:type="paragraph" w:customStyle="1" w:styleId="144">
    <w:name w:val="0正文"/>
    <w:basedOn w:val="145"/>
    <w:link w:val="143"/>
    <w:qFormat/>
    <w:uiPriority w:val="0"/>
    <w:pPr>
      <w:spacing w:line="300" w:lineRule="auto"/>
      <w:ind w:firstLine="480" w:firstLineChars="200"/>
    </w:pPr>
    <w:rPr>
      <w:rFonts w:eastAsia="宋体"/>
      <w:sz w:val="24"/>
      <w:szCs w:val="20"/>
    </w:rPr>
  </w:style>
  <w:style w:type="paragraph" w:customStyle="1" w:styleId="145">
    <w:name w:val="正文文本缩进1"/>
    <w:basedOn w:val="1"/>
    <w:link w:val="146"/>
    <w:qFormat/>
    <w:uiPriority w:val="0"/>
    <w:pPr>
      <w:spacing w:line="560" w:lineRule="exact"/>
      <w:ind w:firstLine="538" w:firstLineChars="192"/>
    </w:pPr>
    <w:rPr>
      <w:rFonts w:eastAsia="方正仿宋_GB2312"/>
      <w:kern w:val="0"/>
      <w:sz w:val="28"/>
      <w:szCs w:val="24"/>
    </w:rPr>
  </w:style>
  <w:style w:type="character" w:customStyle="1" w:styleId="146">
    <w:name w:val="正文文本缩进 Char Char"/>
    <w:link w:val="145"/>
    <w:qFormat/>
    <w:uiPriority w:val="0"/>
    <w:rPr>
      <w:rFonts w:eastAsia="方正仿宋_GB2312"/>
      <w:sz w:val="28"/>
      <w:szCs w:val="24"/>
    </w:rPr>
  </w:style>
  <w:style w:type="character" w:customStyle="1" w:styleId="147">
    <w:name w:val="样式 文本样式 + Arial 段后: 0.5 行 Char"/>
    <w:link w:val="148"/>
    <w:qFormat/>
    <w:uiPriority w:val="0"/>
    <w:rPr>
      <w:rFonts w:ascii="Arial" w:hAnsi="Arial" w:cs="宋体"/>
      <w:sz w:val="28"/>
    </w:rPr>
  </w:style>
  <w:style w:type="paragraph" w:customStyle="1" w:styleId="148">
    <w:name w:val="样式 文本样式 + Arial 段后: 0.5 行"/>
    <w:basedOn w:val="1"/>
    <w:link w:val="147"/>
    <w:qFormat/>
    <w:uiPriority w:val="0"/>
    <w:pPr>
      <w:adjustRightInd w:val="0"/>
      <w:spacing w:after="144" w:afterLines="50" w:line="360" w:lineRule="auto"/>
      <w:ind w:firstLine="560" w:firstLineChars="200"/>
      <w:jc w:val="left"/>
      <w:textAlignment w:val="baseline"/>
    </w:pPr>
    <w:rPr>
      <w:rFonts w:ascii="Arial" w:hAnsi="Arial"/>
      <w:kern w:val="0"/>
      <w:sz w:val="28"/>
      <w:szCs w:val="20"/>
    </w:rPr>
  </w:style>
  <w:style w:type="character" w:customStyle="1" w:styleId="149">
    <w:name w:val="h11"/>
    <w:qFormat/>
    <w:uiPriority w:val="0"/>
    <w:rPr>
      <w:sz w:val="38"/>
      <w:szCs w:val="38"/>
    </w:rPr>
  </w:style>
  <w:style w:type="character" w:customStyle="1" w:styleId="150">
    <w:name w:val="报告文本 Char"/>
    <w:qFormat/>
    <w:uiPriority w:val="0"/>
    <w:rPr>
      <w:rFonts w:ascii="宋体" w:hAnsi="宋体" w:eastAsia="宋体" w:cs="宋体"/>
      <w:sz w:val="24"/>
      <w:szCs w:val="24"/>
      <w:lang w:val="en-US" w:eastAsia="zh-CN" w:bidi="ar-SA"/>
    </w:rPr>
  </w:style>
  <w:style w:type="character" w:customStyle="1" w:styleId="151">
    <w:name w:val="正文段落格式 Char"/>
    <w:link w:val="152"/>
    <w:qFormat/>
    <w:uiPriority w:val="0"/>
    <w:rPr>
      <w:szCs w:val="21"/>
    </w:rPr>
  </w:style>
  <w:style w:type="paragraph" w:customStyle="1" w:styleId="152">
    <w:name w:val="正文段落格式"/>
    <w:basedOn w:val="1"/>
    <w:link w:val="151"/>
    <w:qFormat/>
    <w:uiPriority w:val="0"/>
    <w:pPr>
      <w:spacing w:after="156" w:afterLines="50" w:line="336" w:lineRule="auto"/>
      <w:ind w:firstLine="420" w:firstLineChars="200"/>
    </w:pPr>
    <w:rPr>
      <w:kern w:val="0"/>
      <w:sz w:val="20"/>
      <w:szCs w:val="21"/>
    </w:rPr>
  </w:style>
  <w:style w:type="character" w:customStyle="1" w:styleId="153">
    <w:name w:val="HTML 预设格式 Char"/>
    <w:link w:val="154"/>
    <w:qFormat/>
    <w:uiPriority w:val="0"/>
    <w:rPr>
      <w:rFonts w:ascii="宋体" w:hAnsi="宋体"/>
      <w:sz w:val="24"/>
      <w:szCs w:val="24"/>
    </w:rPr>
  </w:style>
  <w:style w:type="paragraph" w:customStyle="1" w:styleId="154">
    <w:name w:val="HTML 预设格式1"/>
    <w:basedOn w:val="1"/>
    <w:link w:val="153"/>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szCs w:val="24"/>
    </w:rPr>
  </w:style>
  <w:style w:type="character" w:customStyle="1" w:styleId="155">
    <w:name w:val="C3 Char"/>
    <w:link w:val="156"/>
    <w:qFormat/>
    <w:uiPriority w:val="0"/>
    <w:rPr>
      <w:rFonts w:hAnsi="宋体"/>
      <w:bCs/>
      <w:kern w:val="44"/>
      <w:sz w:val="28"/>
      <w:szCs w:val="28"/>
    </w:rPr>
  </w:style>
  <w:style w:type="paragraph" w:customStyle="1" w:styleId="156">
    <w:name w:val="C3"/>
    <w:basedOn w:val="1"/>
    <w:link w:val="155"/>
    <w:qFormat/>
    <w:uiPriority w:val="0"/>
    <w:pPr>
      <w:keepNext/>
      <w:keepLines/>
      <w:tabs>
        <w:tab w:val="left" w:pos="567"/>
      </w:tabs>
      <w:adjustRightInd w:val="0"/>
      <w:spacing w:line="360" w:lineRule="auto"/>
      <w:ind w:left="567" w:hanging="567"/>
      <w:outlineLvl w:val="0"/>
    </w:pPr>
    <w:rPr>
      <w:rFonts w:hAnsi="宋体"/>
      <w:bCs/>
      <w:kern w:val="44"/>
      <w:sz w:val="28"/>
      <w:szCs w:val="28"/>
    </w:rPr>
  </w:style>
  <w:style w:type="character" w:customStyle="1" w:styleId="157">
    <w:name w:val="表格和图标题 Char"/>
    <w:qFormat/>
    <w:uiPriority w:val="0"/>
    <w:rPr>
      <w:rFonts w:eastAsia="黑体"/>
      <w:kern w:val="2"/>
      <w:sz w:val="21"/>
      <w:szCs w:val="22"/>
      <w:lang w:val="en-US" w:eastAsia="zh-CN" w:bidi="ar-SA"/>
    </w:rPr>
  </w:style>
  <w:style w:type="character" w:customStyle="1" w:styleId="158">
    <w:name w:val="正文文本缩进 2 Char"/>
    <w:qFormat/>
    <w:uiPriority w:val="0"/>
    <w:rPr>
      <w:rFonts w:ascii="方正仿宋_GB2312" w:hAnsi="宋体" w:eastAsia="方正仿宋_GB2312"/>
      <w:kern w:val="2"/>
      <w:sz w:val="28"/>
      <w:szCs w:val="28"/>
      <w:lang w:bidi="ar-SA"/>
    </w:rPr>
  </w:style>
  <w:style w:type="character" w:customStyle="1" w:styleId="159">
    <w:name w:val="文档结构图 Char1"/>
    <w:semiHidden/>
    <w:qFormat/>
    <w:uiPriority w:val="0"/>
    <w:rPr>
      <w:rFonts w:ascii="宋体" w:eastAsia="宋体"/>
      <w:sz w:val="18"/>
      <w:szCs w:val="18"/>
    </w:rPr>
  </w:style>
  <w:style w:type="character" w:customStyle="1" w:styleId="160">
    <w:name w:val="Char Char141"/>
    <w:qFormat/>
    <w:uiPriority w:val="0"/>
    <w:rPr>
      <w:b/>
      <w:bCs/>
      <w:kern w:val="2"/>
      <w:sz w:val="32"/>
      <w:szCs w:val="32"/>
    </w:rPr>
  </w:style>
  <w:style w:type="character" w:customStyle="1" w:styleId="161">
    <w:name w:val="注释 Char Char"/>
    <w:link w:val="162"/>
    <w:qFormat/>
    <w:uiPriority w:val="0"/>
    <w:rPr>
      <w:rFonts w:ascii="宋体" w:eastAsia="宋体"/>
    </w:rPr>
  </w:style>
  <w:style w:type="paragraph" w:customStyle="1" w:styleId="162">
    <w:name w:val="注释"/>
    <w:basedOn w:val="1"/>
    <w:link w:val="161"/>
    <w:qFormat/>
    <w:uiPriority w:val="0"/>
    <w:pPr>
      <w:spacing w:before="60" w:after="60" w:line="320" w:lineRule="exact"/>
      <w:ind w:left="400" w:leftChars="400"/>
    </w:pPr>
    <w:rPr>
      <w:rFonts w:ascii="宋体"/>
      <w:kern w:val="0"/>
      <w:sz w:val="20"/>
      <w:szCs w:val="20"/>
    </w:rPr>
  </w:style>
  <w:style w:type="character" w:customStyle="1" w:styleId="163">
    <w:name w:val="A正文 Char"/>
    <w:link w:val="164"/>
    <w:qFormat/>
    <w:uiPriority w:val="0"/>
    <w:rPr>
      <w:kern w:val="2"/>
      <w:sz w:val="24"/>
      <w:szCs w:val="24"/>
      <w:lang w:val="en-US" w:eastAsia="zh-CN" w:bidi="ar-SA"/>
    </w:rPr>
  </w:style>
  <w:style w:type="paragraph" w:customStyle="1" w:styleId="164">
    <w:name w:val="A正文"/>
    <w:link w:val="163"/>
    <w:qFormat/>
    <w:uiPriority w:val="0"/>
    <w:pPr>
      <w:widowControl w:val="0"/>
      <w:tabs>
        <w:tab w:val="left" w:pos="1210"/>
      </w:tabs>
      <w:autoSpaceDE w:val="0"/>
      <w:autoSpaceDN w:val="0"/>
      <w:adjustRightInd w:val="0"/>
      <w:spacing w:line="360" w:lineRule="auto"/>
      <w:ind w:left="372" w:leftChars="155" w:firstLine="480" w:firstLineChars="200"/>
    </w:pPr>
    <w:rPr>
      <w:rFonts w:ascii="Times New Roman" w:hAnsi="Times New Roman" w:eastAsia="宋体" w:cs="Times New Roman"/>
      <w:kern w:val="2"/>
      <w:sz w:val="24"/>
      <w:szCs w:val="24"/>
      <w:lang w:val="en-US" w:eastAsia="zh-CN" w:bidi="ar-SA"/>
    </w:rPr>
  </w:style>
  <w:style w:type="character" w:customStyle="1" w:styleId="165">
    <w:name w:val="样式53 Char Char"/>
    <w:link w:val="166"/>
    <w:qFormat/>
    <w:uiPriority w:val="0"/>
    <w:rPr>
      <w:rFonts w:ascii="黑体" w:hAnsi="宋体" w:eastAsia="黑体"/>
      <w:b/>
      <w:bCs/>
      <w:color w:val="000000"/>
      <w:szCs w:val="21"/>
    </w:rPr>
  </w:style>
  <w:style w:type="paragraph" w:customStyle="1" w:styleId="166">
    <w:name w:val="样式53"/>
    <w:basedOn w:val="1"/>
    <w:link w:val="165"/>
    <w:qFormat/>
    <w:uiPriority w:val="0"/>
    <w:pPr>
      <w:adjustRightInd w:val="0"/>
      <w:spacing w:before="214"/>
      <w:jc w:val="center"/>
      <w:textAlignment w:val="baseline"/>
    </w:pPr>
    <w:rPr>
      <w:rFonts w:ascii="黑体" w:hAnsi="宋体" w:eastAsia="黑体"/>
      <w:b/>
      <w:bCs/>
      <w:color w:val="000000"/>
      <w:kern w:val="0"/>
      <w:sz w:val="20"/>
      <w:szCs w:val="21"/>
    </w:rPr>
  </w:style>
  <w:style w:type="character" w:customStyle="1" w:styleId="167">
    <w:name w:val="正文缩进 Char1"/>
    <w:link w:val="168"/>
    <w:qFormat/>
    <w:uiPriority w:val="0"/>
    <w:rPr>
      <w:snapToGrid/>
      <w:sz w:val="28"/>
      <w:szCs w:val="24"/>
    </w:rPr>
  </w:style>
  <w:style w:type="paragraph" w:customStyle="1" w:styleId="168">
    <w:name w:val="正文缩进1"/>
    <w:basedOn w:val="1"/>
    <w:link w:val="167"/>
    <w:qFormat/>
    <w:uiPriority w:val="0"/>
    <w:pPr>
      <w:adjustRightInd w:val="0"/>
      <w:snapToGrid w:val="0"/>
      <w:spacing w:line="360" w:lineRule="auto"/>
      <w:ind w:firstLine="420" w:firstLineChars="200"/>
    </w:pPr>
    <w:rPr>
      <w:kern w:val="0"/>
      <w:sz w:val="28"/>
      <w:szCs w:val="24"/>
    </w:rPr>
  </w:style>
  <w:style w:type="character" w:customStyle="1" w:styleId="169">
    <w:name w:val="注释标题 Char"/>
    <w:link w:val="170"/>
    <w:qFormat/>
    <w:uiPriority w:val="0"/>
  </w:style>
  <w:style w:type="paragraph" w:customStyle="1" w:styleId="170">
    <w:name w:val="注释标题2"/>
    <w:basedOn w:val="1"/>
    <w:next w:val="1"/>
    <w:link w:val="169"/>
    <w:qFormat/>
    <w:uiPriority w:val="0"/>
    <w:pPr>
      <w:jc w:val="center"/>
    </w:pPr>
  </w:style>
  <w:style w:type="character" w:customStyle="1" w:styleId="171">
    <w:name w:val="页码1"/>
    <w:qFormat/>
    <w:uiPriority w:val="0"/>
  </w:style>
  <w:style w:type="character" w:customStyle="1" w:styleId="172">
    <w:name w:val="bsharetext"/>
    <w:qFormat/>
    <w:uiPriority w:val="0"/>
  </w:style>
  <w:style w:type="character" w:customStyle="1" w:styleId="173">
    <w:name w:val="even Char2"/>
    <w:qFormat/>
    <w:uiPriority w:val="0"/>
    <w:rPr>
      <w:rFonts w:eastAsia="宋体"/>
      <w:sz w:val="18"/>
      <w:szCs w:val="18"/>
      <w:lang w:val="en-US" w:eastAsia="zh-CN" w:bidi="ar-SA"/>
    </w:rPr>
  </w:style>
  <w:style w:type="character" w:customStyle="1" w:styleId="174">
    <w:name w:val="页码11"/>
    <w:qFormat/>
    <w:uiPriority w:val="0"/>
  </w:style>
  <w:style w:type="character" w:customStyle="1" w:styleId="175">
    <w:name w:val="页眉 Char1"/>
    <w:semiHidden/>
    <w:qFormat/>
    <w:uiPriority w:val="99"/>
    <w:rPr>
      <w:sz w:val="18"/>
      <w:szCs w:val="18"/>
    </w:rPr>
  </w:style>
  <w:style w:type="character" w:customStyle="1" w:styleId="176">
    <w:name w:val="正文文本 Char"/>
    <w:qFormat/>
    <w:uiPriority w:val="0"/>
    <w:rPr>
      <w:kern w:val="2"/>
      <w:sz w:val="21"/>
      <w:szCs w:val="24"/>
      <w:lang w:bidi="ar-SA"/>
    </w:rPr>
  </w:style>
  <w:style w:type="character" w:customStyle="1" w:styleId="177">
    <w:name w:val="王 正文 Char Char"/>
    <w:link w:val="178"/>
    <w:qFormat/>
    <w:uiPriority w:val="0"/>
    <w:rPr>
      <w:sz w:val="28"/>
      <w:szCs w:val="28"/>
    </w:rPr>
  </w:style>
  <w:style w:type="paragraph" w:customStyle="1" w:styleId="178">
    <w:name w:val="王 正文"/>
    <w:basedOn w:val="1"/>
    <w:link w:val="177"/>
    <w:qFormat/>
    <w:uiPriority w:val="0"/>
    <w:pPr>
      <w:adjustRightInd w:val="0"/>
      <w:ind w:firstLine="200" w:firstLineChars="200"/>
    </w:pPr>
    <w:rPr>
      <w:kern w:val="0"/>
      <w:sz w:val="28"/>
      <w:szCs w:val="28"/>
    </w:rPr>
  </w:style>
  <w:style w:type="character" w:customStyle="1" w:styleId="179">
    <w:name w:val="公式附注 Char Char"/>
    <w:link w:val="180"/>
    <w:qFormat/>
    <w:uiPriority w:val="0"/>
    <w:rPr>
      <w:rFonts w:eastAsia="Times New Roman"/>
      <w:kern w:val="2"/>
      <w:sz w:val="21"/>
      <w:szCs w:val="22"/>
      <w:lang w:val="en-US" w:eastAsia="zh-CN" w:bidi="ar-SA"/>
    </w:rPr>
  </w:style>
  <w:style w:type="paragraph" w:customStyle="1" w:styleId="180">
    <w:name w:val="公式附注"/>
    <w:next w:val="181"/>
    <w:link w:val="179"/>
    <w:qFormat/>
    <w:uiPriority w:val="0"/>
    <w:pPr>
      <w:ind w:left="50" w:leftChars="50" w:firstLine="200" w:firstLineChars="200"/>
    </w:pPr>
    <w:rPr>
      <w:rFonts w:ascii="Times New Roman" w:hAnsi="Times New Roman" w:eastAsia="Times New Roman" w:cs="Times New Roman"/>
      <w:kern w:val="2"/>
      <w:sz w:val="21"/>
      <w:szCs w:val="22"/>
      <w:lang w:val="en-US" w:eastAsia="zh-CN" w:bidi="ar-SA"/>
    </w:rPr>
  </w:style>
  <w:style w:type="paragraph" w:customStyle="1" w:styleId="181">
    <w:name w:val="报告文本"/>
    <w:basedOn w:val="1"/>
    <w:link w:val="182"/>
    <w:qFormat/>
    <w:uiPriority w:val="0"/>
    <w:pPr>
      <w:widowControl/>
      <w:spacing w:line="360" w:lineRule="auto"/>
      <w:ind w:firstLine="200" w:firstLineChars="200"/>
      <w:jc w:val="left"/>
    </w:pPr>
    <w:rPr>
      <w:rFonts w:ascii="宋体" w:hAnsi="宋体"/>
      <w:kern w:val="0"/>
      <w:sz w:val="24"/>
      <w:szCs w:val="24"/>
    </w:rPr>
  </w:style>
  <w:style w:type="character" w:customStyle="1" w:styleId="182">
    <w:name w:val="报告文本 Char Char"/>
    <w:link w:val="181"/>
    <w:qFormat/>
    <w:uiPriority w:val="0"/>
    <w:rPr>
      <w:rFonts w:ascii="宋体" w:hAnsi="宋体" w:eastAsia="宋体" w:cs="宋体"/>
      <w:sz w:val="24"/>
      <w:szCs w:val="24"/>
    </w:rPr>
  </w:style>
  <w:style w:type="character" w:customStyle="1" w:styleId="183">
    <w:name w:val="apple-converted-space"/>
    <w:qFormat/>
    <w:uiPriority w:val="0"/>
  </w:style>
  <w:style w:type="character" w:customStyle="1" w:styleId="184">
    <w:name w:val="文档结构图 Char Char"/>
    <w:link w:val="185"/>
    <w:qFormat/>
    <w:uiPriority w:val="0"/>
    <w:rPr>
      <w:rFonts w:ascii="宋体"/>
      <w:sz w:val="18"/>
      <w:szCs w:val="18"/>
    </w:rPr>
  </w:style>
  <w:style w:type="paragraph" w:customStyle="1" w:styleId="185">
    <w:name w:val="文档结构图3"/>
    <w:basedOn w:val="1"/>
    <w:link w:val="184"/>
    <w:qFormat/>
    <w:uiPriority w:val="0"/>
    <w:rPr>
      <w:rFonts w:ascii="宋体"/>
      <w:kern w:val="0"/>
      <w:sz w:val="18"/>
      <w:szCs w:val="18"/>
    </w:rPr>
  </w:style>
  <w:style w:type="character" w:customStyle="1" w:styleId="186">
    <w:name w:val="表附注 Char Char"/>
    <w:link w:val="187"/>
    <w:qFormat/>
    <w:uiPriority w:val="0"/>
    <w:rPr>
      <w:rFonts w:eastAsia="黑体"/>
      <w:kern w:val="2"/>
      <w:sz w:val="21"/>
      <w:szCs w:val="22"/>
      <w:lang w:val="en-US" w:eastAsia="zh-CN" w:bidi="ar-SA"/>
    </w:rPr>
  </w:style>
  <w:style w:type="paragraph" w:customStyle="1" w:styleId="187">
    <w:name w:val="表附注"/>
    <w:next w:val="181"/>
    <w:link w:val="186"/>
    <w:qFormat/>
    <w:uiPriority w:val="0"/>
    <w:rPr>
      <w:rFonts w:ascii="Times New Roman" w:hAnsi="Times New Roman" w:eastAsia="黑体" w:cs="Times New Roman"/>
      <w:kern w:val="2"/>
      <w:sz w:val="21"/>
      <w:szCs w:val="22"/>
      <w:lang w:val="en-US" w:eastAsia="zh-CN" w:bidi="ar-SA"/>
    </w:rPr>
  </w:style>
  <w:style w:type="character" w:customStyle="1" w:styleId="188">
    <w:name w:val="正文无缩进 Char"/>
    <w:qFormat/>
    <w:uiPriority w:val="0"/>
    <w:rPr>
      <w:rFonts w:eastAsia="宋体"/>
      <w:sz w:val="21"/>
      <w:lang w:val="en-US" w:eastAsia="zh-CN" w:bidi="ar-SA"/>
    </w:rPr>
  </w:style>
  <w:style w:type="character" w:customStyle="1" w:styleId="189">
    <w:name w:val="表格文字 Char Char"/>
    <w:link w:val="190"/>
    <w:qFormat/>
    <w:uiPriority w:val="0"/>
    <w:rPr>
      <w:rFonts w:eastAsia="宋体"/>
    </w:rPr>
  </w:style>
  <w:style w:type="paragraph" w:customStyle="1" w:styleId="190">
    <w:name w:val="表格文字"/>
    <w:basedOn w:val="1"/>
    <w:link w:val="189"/>
    <w:qFormat/>
    <w:uiPriority w:val="0"/>
    <w:pPr>
      <w:spacing w:line="320" w:lineRule="exact"/>
      <w:jc w:val="center"/>
    </w:pPr>
    <w:rPr>
      <w:kern w:val="0"/>
      <w:sz w:val="20"/>
      <w:szCs w:val="20"/>
    </w:rPr>
  </w:style>
  <w:style w:type="character" w:customStyle="1" w:styleId="191">
    <w:name w:val="15"/>
    <w:qFormat/>
    <w:uiPriority w:val="0"/>
    <w:rPr>
      <w:rFonts w:hint="default" w:ascii="Times New Roman" w:hAnsi="Times New Roman" w:cs="Times New Roman"/>
      <w:color w:val="0000FF"/>
      <w:u w:val="single"/>
    </w:rPr>
  </w:style>
  <w:style w:type="character" w:customStyle="1" w:styleId="192">
    <w:name w:val="报告正文 Char"/>
    <w:link w:val="193"/>
    <w:qFormat/>
    <w:uiPriority w:val="0"/>
    <w:rPr>
      <w:kern w:val="2"/>
      <w:sz w:val="24"/>
      <w:szCs w:val="24"/>
    </w:rPr>
  </w:style>
  <w:style w:type="paragraph" w:customStyle="1" w:styleId="193">
    <w:name w:val="报告正文"/>
    <w:basedOn w:val="6"/>
    <w:link w:val="192"/>
    <w:qFormat/>
    <w:uiPriority w:val="0"/>
    <w:pPr>
      <w:tabs>
        <w:tab w:val="left" w:pos="3060"/>
        <w:tab w:val="left" w:pos="4253"/>
      </w:tabs>
      <w:spacing w:line="360" w:lineRule="auto"/>
      <w:ind w:firstLine="480" w:firstLineChars="200"/>
    </w:pPr>
    <w:rPr>
      <w:rFonts w:ascii="Arial" w:hAnsi="Arial"/>
      <w:kern w:val="0"/>
      <w:sz w:val="24"/>
      <w:szCs w:val="20"/>
      <w:lang w:val="zh-CN"/>
    </w:rPr>
  </w:style>
  <w:style w:type="character" w:customStyle="1" w:styleId="194">
    <w:name w:val="april标题3 Char Char"/>
    <w:link w:val="195"/>
    <w:qFormat/>
    <w:uiPriority w:val="0"/>
    <w:rPr>
      <w:b/>
      <w:bCs/>
      <w:spacing w:val="6"/>
      <w:sz w:val="24"/>
      <w:szCs w:val="24"/>
    </w:rPr>
  </w:style>
  <w:style w:type="paragraph" w:customStyle="1" w:styleId="195">
    <w:name w:val="april标题3"/>
    <w:basedOn w:val="5"/>
    <w:link w:val="194"/>
    <w:qFormat/>
    <w:uiPriority w:val="0"/>
    <w:pPr>
      <w:spacing w:before="120" w:after="120" w:line="360" w:lineRule="auto"/>
    </w:pPr>
    <w:rPr>
      <w:spacing w:val="6"/>
      <w:sz w:val="24"/>
      <w:szCs w:val="24"/>
    </w:rPr>
  </w:style>
  <w:style w:type="character" w:customStyle="1" w:styleId="196">
    <w:name w:val="高庆平正文 Char"/>
    <w:qFormat/>
    <w:locked/>
    <w:uiPriority w:val="0"/>
    <w:rPr>
      <w:rFonts w:eastAsia="宋体"/>
      <w:sz w:val="24"/>
      <w:szCs w:val="24"/>
      <w:lang w:bidi="ar-SA"/>
    </w:rPr>
  </w:style>
  <w:style w:type="character" w:customStyle="1" w:styleId="197">
    <w:name w:val="日期 Char1"/>
    <w:semiHidden/>
    <w:qFormat/>
    <w:uiPriority w:val="0"/>
  </w:style>
  <w:style w:type="character" w:customStyle="1" w:styleId="198">
    <w:name w:val="高庆平正文 Char Char"/>
    <w:link w:val="199"/>
    <w:qFormat/>
    <w:locked/>
    <w:uiPriority w:val="0"/>
    <w:rPr>
      <w:rFonts w:eastAsia="宋体"/>
      <w:sz w:val="24"/>
      <w:szCs w:val="24"/>
    </w:rPr>
  </w:style>
  <w:style w:type="paragraph" w:customStyle="1" w:styleId="199">
    <w:name w:val="高庆平正文"/>
    <w:basedOn w:val="1"/>
    <w:link w:val="198"/>
    <w:qFormat/>
    <w:uiPriority w:val="0"/>
    <w:pPr>
      <w:ind w:firstLine="567"/>
    </w:pPr>
    <w:rPr>
      <w:kern w:val="0"/>
      <w:sz w:val="24"/>
      <w:szCs w:val="24"/>
    </w:rPr>
  </w:style>
  <w:style w:type="character" w:customStyle="1" w:styleId="200">
    <w:name w:val="font41"/>
    <w:qFormat/>
    <w:uiPriority w:val="0"/>
    <w:rPr>
      <w:rFonts w:hint="eastAsia" w:ascii="宋体" w:hAnsi="宋体" w:eastAsia="宋体" w:cs="宋体"/>
      <w:color w:val="000000"/>
      <w:sz w:val="21"/>
      <w:szCs w:val="21"/>
      <w:u w:val="none"/>
      <w:vertAlign w:val="subscript"/>
    </w:rPr>
  </w:style>
  <w:style w:type="character" w:customStyle="1" w:styleId="201">
    <w:name w:val="样式 首行缩进:  2 字符 Char1"/>
    <w:link w:val="202"/>
    <w:qFormat/>
    <w:uiPriority w:val="0"/>
    <w:rPr>
      <w:rFonts w:ascii="宋体" w:hAnsi="宋体" w:eastAsia="宋体"/>
      <w:sz w:val="28"/>
    </w:rPr>
  </w:style>
  <w:style w:type="paragraph" w:customStyle="1" w:styleId="202">
    <w:name w:val="样式 首行缩进:  2 字符"/>
    <w:basedOn w:val="1"/>
    <w:link w:val="201"/>
    <w:qFormat/>
    <w:uiPriority w:val="0"/>
    <w:pPr>
      <w:spacing w:after="120" w:line="480" w:lineRule="exact"/>
      <w:ind w:firstLine="200" w:firstLineChars="200"/>
    </w:pPr>
    <w:rPr>
      <w:rFonts w:ascii="宋体" w:hAnsi="宋体"/>
      <w:kern w:val="0"/>
      <w:sz w:val="28"/>
      <w:szCs w:val="20"/>
    </w:rPr>
  </w:style>
  <w:style w:type="character" w:customStyle="1" w:styleId="203">
    <w:name w:val="表头 Char Char"/>
    <w:link w:val="204"/>
    <w:qFormat/>
    <w:uiPriority w:val="0"/>
    <w:rPr>
      <w:rFonts w:eastAsia="方正仿宋_GB2312"/>
      <w:b/>
      <w:szCs w:val="24"/>
    </w:rPr>
  </w:style>
  <w:style w:type="paragraph" w:customStyle="1" w:styleId="204">
    <w:name w:val="表头"/>
    <w:basedOn w:val="1"/>
    <w:link w:val="203"/>
    <w:qFormat/>
    <w:uiPriority w:val="0"/>
    <w:pPr>
      <w:spacing w:line="360" w:lineRule="auto"/>
      <w:jc w:val="center"/>
    </w:pPr>
    <w:rPr>
      <w:rFonts w:eastAsia="方正仿宋_GB2312"/>
      <w:b/>
      <w:kern w:val="0"/>
      <w:sz w:val="20"/>
      <w:szCs w:val="24"/>
    </w:rPr>
  </w:style>
  <w:style w:type="character" w:customStyle="1" w:styleId="205">
    <w:name w:val="表格样式 Char Char"/>
    <w:link w:val="206"/>
    <w:qFormat/>
    <w:uiPriority w:val="0"/>
    <w:rPr>
      <w:bCs/>
      <w:snapToGrid/>
      <w:szCs w:val="21"/>
    </w:rPr>
  </w:style>
  <w:style w:type="paragraph" w:customStyle="1" w:styleId="206">
    <w:name w:val="表格样式"/>
    <w:basedOn w:val="1"/>
    <w:link w:val="205"/>
    <w:qFormat/>
    <w:uiPriority w:val="0"/>
    <w:pPr>
      <w:snapToGrid w:val="0"/>
      <w:spacing w:line="240" w:lineRule="atLeast"/>
      <w:jc w:val="center"/>
    </w:pPr>
    <w:rPr>
      <w:bCs/>
      <w:kern w:val="0"/>
      <w:sz w:val="20"/>
      <w:szCs w:val="21"/>
    </w:rPr>
  </w:style>
  <w:style w:type="character" w:customStyle="1" w:styleId="207">
    <w:name w:val="Char Char21"/>
    <w:qFormat/>
    <w:uiPriority w:val="0"/>
    <w:rPr>
      <w:kern w:val="2"/>
      <w:sz w:val="18"/>
      <w:szCs w:val="18"/>
      <w:lang w:bidi="ar-SA"/>
    </w:rPr>
  </w:style>
  <w:style w:type="character" w:customStyle="1" w:styleId="208">
    <w:name w:val="正文文本缩进 Char Char Char"/>
    <w:qFormat/>
    <w:uiPriority w:val="0"/>
    <w:rPr>
      <w:rFonts w:eastAsia="方正仿宋_GB2312"/>
      <w:kern w:val="2"/>
      <w:sz w:val="28"/>
      <w:szCs w:val="24"/>
      <w:lang w:bidi="ar-SA"/>
    </w:rPr>
  </w:style>
  <w:style w:type="character" w:customStyle="1" w:styleId="209">
    <w:name w:val="样式 普通文字 + 加宽量  0.4 磅 Char Char Char Char Char Char Char Char Char Char Char Char Char Char Char Char"/>
    <w:link w:val="210"/>
    <w:qFormat/>
    <w:uiPriority w:val="0"/>
    <w:rPr>
      <w:rFonts w:ascii="宋体"/>
      <w:spacing w:val="8"/>
      <w:sz w:val="24"/>
    </w:rPr>
  </w:style>
  <w:style w:type="paragraph" w:customStyle="1" w:styleId="210">
    <w:name w:val="样式 普通文字 + 加宽量  0.4 磅 Char Char Char Char Char Char Char Char Char Char Char Char Char Char"/>
    <w:basedOn w:val="117"/>
    <w:link w:val="209"/>
    <w:qFormat/>
    <w:uiPriority w:val="0"/>
    <w:pPr>
      <w:spacing w:line="480" w:lineRule="exact"/>
      <w:ind w:firstLine="480" w:firstLineChars="200"/>
    </w:pPr>
    <w:rPr>
      <w:rFonts w:hAnsi="Times New Roman"/>
      <w:spacing w:val="8"/>
      <w:sz w:val="24"/>
    </w:rPr>
  </w:style>
  <w:style w:type="character" w:customStyle="1" w:styleId="211">
    <w:name w:val="Char Char1"/>
    <w:qFormat/>
    <w:uiPriority w:val="0"/>
    <w:rPr>
      <w:rFonts w:ascii="Arial" w:hAnsi="Arial" w:eastAsia="宋体"/>
      <w:b/>
      <w:kern w:val="2"/>
      <w:sz w:val="24"/>
      <w:szCs w:val="24"/>
      <w:lang w:val="en-US" w:eastAsia="zh-CN"/>
    </w:rPr>
  </w:style>
  <w:style w:type="character" w:customStyle="1" w:styleId="212">
    <w:name w:val="msolistparagraph Char"/>
    <w:link w:val="213"/>
    <w:qFormat/>
    <w:uiPriority w:val="0"/>
    <w:rPr>
      <w:rFonts w:ascii="Arial" w:hAnsi="Arial" w:cs="Arial"/>
      <w:sz w:val="24"/>
      <w:szCs w:val="24"/>
    </w:rPr>
  </w:style>
  <w:style w:type="paragraph" w:customStyle="1" w:styleId="213">
    <w:name w:val="msolistparagraph"/>
    <w:basedOn w:val="1"/>
    <w:link w:val="212"/>
    <w:qFormat/>
    <w:uiPriority w:val="0"/>
    <w:pPr>
      <w:spacing w:line="360" w:lineRule="auto"/>
      <w:ind w:firstLine="420" w:firstLineChars="200"/>
    </w:pPr>
    <w:rPr>
      <w:rFonts w:ascii="Arial" w:hAnsi="Arial"/>
      <w:kern w:val="0"/>
      <w:sz w:val="24"/>
      <w:szCs w:val="24"/>
    </w:rPr>
  </w:style>
  <w:style w:type="character" w:customStyle="1" w:styleId="214">
    <w:name w:val="表文字 Char Char"/>
    <w:link w:val="215"/>
    <w:qFormat/>
    <w:uiPriority w:val="0"/>
    <w:rPr>
      <w:rFonts w:ascii="Arial" w:hAnsi="Arial"/>
      <w:kern w:val="2"/>
      <w:sz w:val="21"/>
      <w:szCs w:val="22"/>
      <w:lang w:val="en-US" w:eastAsia="zh-CN" w:bidi="ar-SA"/>
    </w:rPr>
  </w:style>
  <w:style w:type="paragraph" w:customStyle="1" w:styleId="215">
    <w:name w:val="表文字"/>
    <w:next w:val="1"/>
    <w:link w:val="214"/>
    <w:qFormat/>
    <w:uiPriority w:val="0"/>
    <w:pPr>
      <w:widowControl w:val="0"/>
      <w:adjustRightInd w:val="0"/>
      <w:snapToGrid w:val="0"/>
      <w:spacing w:line="360" w:lineRule="auto"/>
      <w:jc w:val="center"/>
    </w:pPr>
    <w:rPr>
      <w:rFonts w:ascii="Arial" w:hAnsi="Arial" w:eastAsia="宋体" w:cs="Times New Roman"/>
      <w:kern w:val="2"/>
      <w:sz w:val="21"/>
      <w:szCs w:val="22"/>
      <w:lang w:val="en-US" w:eastAsia="zh-CN" w:bidi="ar-SA"/>
    </w:rPr>
  </w:style>
  <w:style w:type="character" w:customStyle="1" w:styleId="216">
    <w:name w:val="Char Char3"/>
    <w:qFormat/>
    <w:uiPriority w:val="0"/>
    <w:rPr>
      <w:b/>
      <w:bCs/>
      <w:kern w:val="2"/>
      <w:sz w:val="21"/>
      <w:szCs w:val="24"/>
      <w:lang w:bidi="ar-SA"/>
    </w:rPr>
  </w:style>
  <w:style w:type="character" w:customStyle="1" w:styleId="217">
    <w:name w:val="表题 Char Char Char Char"/>
    <w:link w:val="218"/>
    <w:qFormat/>
    <w:uiPriority w:val="0"/>
    <w:rPr>
      <w:rFonts w:ascii="黑体" w:eastAsia="黑体"/>
      <w:bCs/>
      <w:sz w:val="24"/>
      <w:szCs w:val="24"/>
    </w:rPr>
  </w:style>
  <w:style w:type="paragraph" w:customStyle="1" w:styleId="218">
    <w:name w:val="表题 Char Char"/>
    <w:basedOn w:val="1"/>
    <w:link w:val="217"/>
    <w:qFormat/>
    <w:uiPriority w:val="0"/>
    <w:pPr>
      <w:spacing w:line="360" w:lineRule="auto"/>
      <w:jc w:val="center"/>
    </w:pPr>
    <w:rPr>
      <w:rFonts w:ascii="黑体" w:eastAsia="黑体"/>
      <w:bCs/>
      <w:kern w:val="0"/>
      <w:sz w:val="24"/>
      <w:szCs w:val="24"/>
    </w:rPr>
  </w:style>
  <w:style w:type="character" w:customStyle="1" w:styleId="219">
    <w:name w:val="节下下 Char"/>
    <w:link w:val="220"/>
    <w:qFormat/>
    <w:uiPriority w:val="0"/>
    <w:rPr>
      <w:rFonts w:ascii="Calibri" w:hAnsi="Calibri" w:eastAsia="黑体"/>
      <w:sz w:val="28"/>
      <w:szCs w:val="24"/>
    </w:rPr>
  </w:style>
  <w:style w:type="paragraph" w:customStyle="1" w:styleId="220">
    <w:name w:val="节下下"/>
    <w:basedOn w:val="1"/>
    <w:link w:val="219"/>
    <w:qFormat/>
    <w:uiPriority w:val="0"/>
    <w:pPr>
      <w:widowControl/>
      <w:spacing w:line="300" w:lineRule="auto"/>
      <w:jc w:val="left"/>
      <w:outlineLvl w:val="4"/>
    </w:pPr>
    <w:rPr>
      <w:rFonts w:ascii="Calibri" w:hAnsi="Calibri" w:eastAsia="黑体"/>
      <w:kern w:val="0"/>
      <w:sz w:val="28"/>
      <w:szCs w:val="24"/>
    </w:rPr>
  </w:style>
  <w:style w:type="character" w:customStyle="1" w:styleId="221">
    <w:name w:val="标准正文 Char"/>
    <w:qFormat/>
    <w:uiPriority w:val="0"/>
    <w:rPr>
      <w:rFonts w:ascii="宋体" w:hAnsi="宋体" w:eastAsia="宋体" w:cs="宋体"/>
      <w:b/>
      <w:bCs/>
      <w:kern w:val="44"/>
      <w:sz w:val="24"/>
      <w:szCs w:val="32"/>
      <w:lang w:val="en-US" w:eastAsia="zh-CN"/>
    </w:rPr>
  </w:style>
  <w:style w:type="character" w:customStyle="1" w:styleId="222">
    <w:name w:val="图 公式 Char Char"/>
    <w:link w:val="223"/>
    <w:qFormat/>
    <w:uiPriority w:val="0"/>
    <w:rPr>
      <w:rFonts w:eastAsia="Times New Roman"/>
      <w:kern w:val="2"/>
      <w:sz w:val="24"/>
      <w:szCs w:val="22"/>
      <w:lang w:val="en-US" w:eastAsia="zh-CN" w:bidi="ar-SA"/>
    </w:rPr>
  </w:style>
  <w:style w:type="paragraph" w:customStyle="1" w:styleId="223">
    <w:name w:val="图 公式"/>
    <w:next w:val="181"/>
    <w:link w:val="222"/>
    <w:qFormat/>
    <w:uiPriority w:val="0"/>
    <w:pPr>
      <w:jc w:val="center"/>
    </w:pPr>
    <w:rPr>
      <w:rFonts w:ascii="Times New Roman" w:hAnsi="Times New Roman" w:eastAsia="Times New Roman" w:cs="Times New Roman"/>
      <w:kern w:val="2"/>
      <w:sz w:val="24"/>
      <w:szCs w:val="22"/>
      <w:lang w:val="en-US" w:eastAsia="zh-CN" w:bidi="ar-SA"/>
    </w:rPr>
  </w:style>
  <w:style w:type="character" w:customStyle="1" w:styleId="224">
    <w:name w:val="11p1"/>
    <w:qFormat/>
    <w:uiPriority w:val="0"/>
    <w:rPr>
      <w:sz w:val="23"/>
      <w:szCs w:val="23"/>
    </w:rPr>
  </w:style>
  <w:style w:type="character" w:customStyle="1" w:styleId="225">
    <w:name w:val="正文四号 Char"/>
    <w:link w:val="226"/>
    <w:qFormat/>
    <w:uiPriority w:val="0"/>
    <w:rPr>
      <w:rFonts w:cs="宋体"/>
      <w:kern w:val="2"/>
      <w:sz w:val="28"/>
      <w:szCs w:val="28"/>
    </w:rPr>
  </w:style>
  <w:style w:type="paragraph" w:customStyle="1" w:styleId="226">
    <w:name w:val="正文四号"/>
    <w:basedOn w:val="1"/>
    <w:link w:val="225"/>
    <w:qFormat/>
    <w:uiPriority w:val="0"/>
    <w:pPr>
      <w:spacing w:line="360" w:lineRule="auto"/>
      <w:ind w:firstLine="200" w:firstLineChars="200"/>
    </w:pPr>
    <w:rPr>
      <w:sz w:val="28"/>
      <w:szCs w:val="28"/>
    </w:rPr>
  </w:style>
  <w:style w:type="character" w:customStyle="1" w:styleId="227">
    <w:name w:val="页码2"/>
    <w:qFormat/>
    <w:uiPriority w:val="0"/>
  </w:style>
  <w:style w:type="character" w:customStyle="1" w:styleId="228">
    <w:name w:val="正文文本 Char1"/>
    <w:semiHidden/>
    <w:qFormat/>
    <w:uiPriority w:val="99"/>
    <w:rPr>
      <w:rFonts w:ascii="Times New Roman" w:hAnsi="Times New Roman" w:eastAsia="宋体" w:cs="Times New Roman"/>
      <w:szCs w:val="24"/>
    </w:rPr>
  </w:style>
  <w:style w:type="character" w:customStyle="1" w:styleId="229">
    <w:name w:val="图标题 Char"/>
    <w:link w:val="230"/>
    <w:qFormat/>
    <w:locked/>
    <w:uiPriority w:val="0"/>
    <w:rPr>
      <w:rFonts w:ascii="黑体" w:eastAsia="黑体"/>
    </w:rPr>
  </w:style>
  <w:style w:type="paragraph" w:customStyle="1" w:styleId="230">
    <w:name w:val="图标题"/>
    <w:basedOn w:val="1"/>
    <w:link w:val="229"/>
    <w:qFormat/>
    <w:uiPriority w:val="0"/>
    <w:pPr>
      <w:tabs>
        <w:tab w:val="left" w:pos="1008"/>
      </w:tabs>
      <w:spacing w:before="124" w:beforeLines="40" w:after="156" w:afterLines="50" w:line="300" w:lineRule="auto"/>
      <w:ind w:left="1009" w:hanging="1009"/>
      <w:jc w:val="center"/>
    </w:pPr>
    <w:rPr>
      <w:rFonts w:ascii="黑体" w:eastAsia="黑体"/>
      <w:kern w:val="0"/>
      <w:sz w:val="20"/>
      <w:szCs w:val="20"/>
    </w:rPr>
  </w:style>
  <w:style w:type="character" w:customStyle="1" w:styleId="231">
    <w:name w:val="表图名称 Char Char"/>
    <w:link w:val="232"/>
    <w:qFormat/>
    <w:locked/>
    <w:uiPriority w:val="99"/>
    <w:rPr>
      <w:sz w:val="24"/>
      <w:szCs w:val="28"/>
    </w:rPr>
  </w:style>
  <w:style w:type="paragraph" w:customStyle="1" w:styleId="232">
    <w:name w:val="表图名称"/>
    <w:basedOn w:val="1"/>
    <w:link w:val="231"/>
    <w:qFormat/>
    <w:uiPriority w:val="99"/>
    <w:pPr>
      <w:spacing w:line="480" w:lineRule="exact"/>
      <w:jc w:val="center"/>
    </w:pPr>
    <w:rPr>
      <w:kern w:val="0"/>
      <w:sz w:val="24"/>
      <w:szCs w:val="28"/>
    </w:rPr>
  </w:style>
  <w:style w:type="character" w:customStyle="1" w:styleId="233">
    <w:name w:val="font31"/>
    <w:qFormat/>
    <w:uiPriority w:val="0"/>
    <w:rPr>
      <w:rFonts w:hint="default" w:ascii="Times New Roman" w:hAnsi="Times New Roman" w:cs="Times New Roman"/>
      <w:color w:val="000000"/>
      <w:sz w:val="21"/>
      <w:szCs w:val="21"/>
      <w:u w:val="none"/>
      <w:vertAlign w:val="subscript"/>
    </w:rPr>
  </w:style>
  <w:style w:type="character" w:customStyle="1" w:styleId="234">
    <w:name w:val="正文首行缩进 Char1"/>
    <w:qFormat/>
    <w:uiPriority w:val="0"/>
    <w:rPr>
      <w:kern w:val="2"/>
      <w:sz w:val="21"/>
      <w:szCs w:val="24"/>
      <w:lang w:bidi="ar-SA"/>
    </w:rPr>
  </w:style>
  <w:style w:type="character" w:customStyle="1" w:styleId="235">
    <w:name w:val="Char Char Char Char Char Char"/>
    <w:qFormat/>
    <w:uiPriority w:val="0"/>
    <w:rPr>
      <w:rFonts w:ascii="Arial" w:hAnsi="Arial" w:eastAsia="宋体"/>
      <w:sz w:val="24"/>
      <w:szCs w:val="24"/>
      <w:lang w:val="en-US" w:eastAsia="zh-CN"/>
    </w:rPr>
  </w:style>
  <w:style w:type="character" w:customStyle="1" w:styleId="236">
    <w:name w:val="图表题头 Char Char"/>
    <w:link w:val="237"/>
    <w:qFormat/>
    <w:uiPriority w:val="0"/>
    <w:rPr>
      <w:rFonts w:ascii="黑体" w:eastAsia="黑体"/>
      <w:szCs w:val="21"/>
    </w:rPr>
  </w:style>
  <w:style w:type="paragraph" w:customStyle="1" w:styleId="237">
    <w:name w:val="图表题头"/>
    <w:basedOn w:val="1"/>
    <w:link w:val="236"/>
    <w:qFormat/>
    <w:uiPriority w:val="0"/>
    <w:pPr>
      <w:snapToGrid w:val="0"/>
      <w:jc w:val="center"/>
    </w:pPr>
    <w:rPr>
      <w:rFonts w:ascii="黑体" w:eastAsia="黑体"/>
      <w:kern w:val="0"/>
      <w:sz w:val="20"/>
      <w:szCs w:val="21"/>
    </w:rPr>
  </w:style>
  <w:style w:type="character" w:customStyle="1" w:styleId="238">
    <w:name w:val="Char Char14"/>
    <w:qFormat/>
    <w:uiPriority w:val="0"/>
    <w:rPr>
      <w:b/>
      <w:bCs/>
      <w:kern w:val="2"/>
      <w:sz w:val="32"/>
      <w:szCs w:val="32"/>
    </w:rPr>
  </w:style>
  <w:style w:type="character" w:customStyle="1" w:styleId="239">
    <w:name w:val="批注引用3"/>
    <w:qFormat/>
    <w:uiPriority w:val="0"/>
    <w:rPr>
      <w:sz w:val="21"/>
      <w:szCs w:val="21"/>
    </w:rPr>
  </w:style>
  <w:style w:type="character" w:customStyle="1" w:styleId="240">
    <w:name w:val="标题 2 Char Char"/>
    <w:qFormat/>
    <w:uiPriority w:val="0"/>
    <w:rPr>
      <w:rFonts w:ascii="Arial" w:hAnsi="Arial" w:eastAsia="黑体"/>
      <w:b/>
      <w:bCs/>
      <w:kern w:val="2"/>
      <w:sz w:val="32"/>
      <w:szCs w:val="32"/>
      <w:lang w:val="en-US" w:eastAsia="zh-CN"/>
    </w:rPr>
  </w:style>
  <w:style w:type="character" w:customStyle="1" w:styleId="241">
    <w:name w:val="三级标题 Char Char"/>
    <w:link w:val="242"/>
    <w:qFormat/>
    <w:uiPriority w:val="0"/>
    <w:rPr>
      <w:b/>
      <w:sz w:val="24"/>
      <w:szCs w:val="24"/>
    </w:rPr>
  </w:style>
  <w:style w:type="paragraph" w:customStyle="1" w:styleId="242">
    <w:name w:val="三级标题"/>
    <w:basedOn w:val="1"/>
    <w:link w:val="241"/>
    <w:qFormat/>
    <w:uiPriority w:val="0"/>
    <w:pPr>
      <w:spacing w:before="100" w:beforeAutospacing="1" w:after="100" w:afterAutospacing="1" w:line="360" w:lineRule="auto"/>
      <w:jc w:val="left"/>
      <w:outlineLvl w:val="2"/>
    </w:pPr>
    <w:rPr>
      <w:b/>
      <w:kern w:val="0"/>
      <w:sz w:val="24"/>
      <w:szCs w:val="24"/>
    </w:rPr>
  </w:style>
  <w:style w:type="character" w:customStyle="1" w:styleId="243">
    <w:name w:val="批注文字 Char"/>
    <w:qFormat/>
    <w:uiPriority w:val="0"/>
    <w:rPr>
      <w:kern w:val="2"/>
      <w:sz w:val="21"/>
      <w:szCs w:val="24"/>
      <w:lang w:bidi="ar-SA"/>
    </w:rPr>
  </w:style>
  <w:style w:type="character" w:customStyle="1" w:styleId="244">
    <w:name w:val="表格第一行 Char Char"/>
    <w:link w:val="245"/>
    <w:qFormat/>
    <w:uiPriority w:val="0"/>
    <w:rPr>
      <w:rFonts w:eastAsia="宋体"/>
      <w:b/>
      <w:szCs w:val="21"/>
    </w:rPr>
  </w:style>
  <w:style w:type="paragraph" w:customStyle="1" w:styleId="245">
    <w:name w:val="表格第一行"/>
    <w:basedOn w:val="1"/>
    <w:link w:val="244"/>
    <w:qFormat/>
    <w:uiPriority w:val="0"/>
    <w:pPr>
      <w:widowControl/>
      <w:adjustRightInd w:val="0"/>
      <w:snapToGrid w:val="0"/>
      <w:spacing w:before="156" w:after="156"/>
      <w:jc w:val="center"/>
      <w:textAlignment w:val="baseline"/>
    </w:pPr>
    <w:rPr>
      <w:b/>
      <w:kern w:val="0"/>
      <w:sz w:val="20"/>
      <w:szCs w:val="21"/>
    </w:rPr>
  </w:style>
  <w:style w:type="character" w:customStyle="1" w:styleId="246">
    <w:name w:val="样式 普通文字 + 加宽量  0.4 磅 Char Char"/>
    <w:qFormat/>
    <w:uiPriority w:val="0"/>
    <w:rPr>
      <w:rFonts w:eastAsia="宋体"/>
      <w:spacing w:val="8"/>
      <w:kern w:val="2"/>
      <w:sz w:val="24"/>
      <w:lang w:val="en-US" w:eastAsia="zh-CN"/>
    </w:rPr>
  </w:style>
  <w:style w:type="character" w:customStyle="1" w:styleId="247">
    <w:name w:val="文本 Char Char"/>
    <w:link w:val="248"/>
    <w:qFormat/>
    <w:uiPriority w:val="0"/>
    <w:rPr>
      <w:kern w:val="2"/>
      <w:sz w:val="24"/>
    </w:rPr>
  </w:style>
  <w:style w:type="paragraph" w:customStyle="1" w:styleId="248">
    <w:name w:val="文本"/>
    <w:basedOn w:val="1"/>
    <w:next w:val="7"/>
    <w:link w:val="247"/>
    <w:qFormat/>
    <w:uiPriority w:val="0"/>
    <w:pPr>
      <w:spacing w:line="360" w:lineRule="auto"/>
      <w:ind w:firstLine="495"/>
    </w:pPr>
    <w:rPr>
      <w:sz w:val="24"/>
      <w:szCs w:val="20"/>
    </w:rPr>
  </w:style>
  <w:style w:type="character" w:customStyle="1" w:styleId="249">
    <w:name w:val="表头样式 Char Char"/>
    <w:link w:val="250"/>
    <w:qFormat/>
    <w:uiPriority w:val="0"/>
    <w:rPr>
      <w:rFonts w:eastAsia="黑体"/>
      <w:kern w:val="2"/>
      <w:sz w:val="24"/>
      <w:szCs w:val="24"/>
    </w:rPr>
  </w:style>
  <w:style w:type="paragraph" w:customStyle="1" w:styleId="250">
    <w:name w:val="表头样式"/>
    <w:basedOn w:val="1"/>
    <w:link w:val="249"/>
    <w:qFormat/>
    <w:uiPriority w:val="0"/>
    <w:pPr>
      <w:spacing w:before="100" w:beforeAutospacing="1" w:after="100" w:afterAutospacing="1" w:line="360" w:lineRule="exact"/>
      <w:jc w:val="center"/>
    </w:pPr>
    <w:rPr>
      <w:rFonts w:eastAsia="黑体"/>
      <w:sz w:val="24"/>
      <w:szCs w:val="24"/>
    </w:rPr>
  </w:style>
  <w:style w:type="character" w:customStyle="1" w:styleId="251">
    <w:name w:val="脚注文本 Char1"/>
    <w:semiHidden/>
    <w:qFormat/>
    <w:uiPriority w:val="0"/>
    <w:rPr>
      <w:sz w:val="18"/>
      <w:szCs w:val="18"/>
    </w:rPr>
  </w:style>
  <w:style w:type="character" w:customStyle="1" w:styleId="252">
    <w:name w:val="jj1"/>
    <w:qFormat/>
    <w:uiPriority w:val="0"/>
    <w:rPr>
      <w:sz w:val="20"/>
      <w:szCs w:val="20"/>
      <w:u w:val="none"/>
    </w:rPr>
  </w:style>
  <w:style w:type="character" w:customStyle="1" w:styleId="253">
    <w:name w:val="表格和图标题 Char Char"/>
    <w:link w:val="254"/>
    <w:qFormat/>
    <w:uiPriority w:val="0"/>
    <w:rPr>
      <w:rFonts w:eastAsia="黑体"/>
      <w:kern w:val="2"/>
      <w:sz w:val="21"/>
      <w:szCs w:val="22"/>
      <w:lang w:val="en-US" w:eastAsia="zh-CN" w:bidi="ar-SA"/>
    </w:rPr>
  </w:style>
  <w:style w:type="paragraph" w:customStyle="1" w:styleId="254">
    <w:name w:val="表格和图标题"/>
    <w:next w:val="181"/>
    <w:link w:val="253"/>
    <w:qFormat/>
    <w:uiPriority w:val="0"/>
    <w:pPr>
      <w:spacing w:line="360" w:lineRule="auto"/>
      <w:jc w:val="center"/>
    </w:pPr>
    <w:rPr>
      <w:rFonts w:ascii="Times New Roman" w:hAnsi="Times New Roman" w:eastAsia="黑体" w:cs="Times New Roman"/>
      <w:kern w:val="2"/>
      <w:sz w:val="21"/>
      <w:szCs w:val="22"/>
      <w:lang w:val="en-US" w:eastAsia="zh-CN" w:bidi="ar-SA"/>
    </w:rPr>
  </w:style>
  <w:style w:type="character" w:customStyle="1" w:styleId="255">
    <w:name w:val="正文文本缩进 3 Char"/>
    <w:qFormat/>
    <w:uiPriority w:val="0"/>
    <w:rPr>
      <w:kern w:val="2"/>
      <w:sz w:val="16"/>
      <w:szCs w:val="16"/>
      <w:lang w:bidi="ar-SA"/>
    </w:rPr>
  </w:style>
  <w:style w:type="character" w:customStyle="1" w:styleId="256">
    <w:name w:val="表号 Char Char Char Char"/>
    <w:qFormat/>
    <w:uiPriority w:val="0"/>
    <w:rPr>
      <w:rFonts w:ascii="Arial" w:hAnsi="Arial"/>
      <w:kern w:val="2"/>
      <w:sz w:val="21"/>
      <w:szCs w:val="24"/>
      <w:lang w:val="en-US" w:eastAsia="zh-CN" w:bidi="ar-SA"/>
    </w:rPr>
  </w:style>
  <w:style w:type="character" w:customStyle="1" w:styleId="257">
    <w:name w:val="节标题 1.1 Char"/>
    <w:qFormat/>
    <w:uiPriority w:val="0"/>
    <w:rPr>
      <w:rFonts w:ascii="Arial" w:hAnsi="Arial" w:eastAsia="黑体" w:cs="Times New Roman"/>
      <w:b/>
      <w:color w:val="000000"/>
      <w:sz w:val="28"/>
      <w:szCs w:val="20"/>
    </w:rPr>
  </w:style>
  <w:style w:type="character" w:customStyle="1" w:styleId="258">
    <w:name w:val="圖標題 字元"/>
    <w:link w:val="259"/>
    <w:qFormat/>
    <w:uiPriority w:val="0"/>
    <w:rPr>
      <w:rFonts w:ascii="Verdana" w:hAnsi="Verdana" w:eastAsia="Dubai"/>
      <w:sz w:val="26"/>
      <w:lang w:eastAsia="zh-TW"/>
    </w:rPr>
  </w:style>
  <w:style w:type="paragraph" w:customStyle="1" w:styleId="259">
    <w:name w:val="圖標題"/>
    <w:basedOn w:val="1"/>
    <w:link w:val="258"/>
    <w:qFormat/>
    <w:uiPriority w:val="0"/>
    <w:pPr>
      <w:adjustRightInd w:val="0"/>
      <w:snapToGrid w:val="0"/>
      <w:spacing w:before="60" w:after="60" w:line="360" w:lineRule="exact"/>
      <w:jc w:val="center"/>
      <w:textAlignment w:val="baseline"/>
    </w:pPr>
    <w:rPr>
      <w:rFonts w:ascii="Verdana" w:hAnsi="Verdana" w:eastAsia="Dubai"/>
      <w:kern w:val="0"/>
      <w:sz w:val="26"/>
      <w:szCs w:val="20"/>
      <w:lang w:eastAsia="zh-TW"/>
    </w:rPr>
  </w:style>
  <w:style w:type="character" w:customStyle="1" w:styleId="260">
    <w:name w:val="样式 正文文本缩进 2 + 黑色 行距: 固定值 12 磅 Char Char"/>
    <w:link w:val="261"/>
    <w:qFormat/>
    <w:uiPriority w:val="0"/>
    <w:rPr>
      <w:rFonts w:eastAsia="宋体" w:cs="宋体"/>
      <w:b/>
      <w:color w:val="3366FF"/>
      <w:szCs w:val="21"/>
    </w:rPr>
  </w:style>
  <w:style w:type="paragraph" w:customStyle="1" w:styleId="261">
    <w:name w:val="样式 正文文本缩进 2 + 黑色 行距: 固定值 12 磅"/>
    <w:basedOn w:val="7"/>
    <w:link w:val="260"/>
    <w:qFormat/>
    <w:uiPriority w:val="0"/>
    <w:pPr>
      <w:adjustRightInd w:val="0"/>
      <w:spacing w:after="0" w:line="240" w:lineRule="auto"/>
      <w:ind w:left="0" w:leftChars="0"/>
      <w:jc w:val="center"/>
      <w:textAlignment w:val="baseline"/>
    </w:pPr>
    <w:rPr>
      <w:b/>
      <w:color w:val="3366FF"/>
      <w:szCs w:val="21"/>
    </w:rPr>
  </w:style>
  <w:style w:type="character" w:customStyle="1" w:styleId="262">
    <w:name w:val="正文文本缩进 Char"/>
    <w:qFormat/>
    <w:uiPriority w:val="0"/>
    <w:rPr>
      <w:rFonts w:eastAsia="方正仿宋_GB2312"/>
      <w:kern w:val="2"/>
      <w:sz w:val="28"/>
      <w:szCs w:val="24"/>
      <w:lang w:bidi="ar-SA"/>
    </w:rPr>
  </w:style>
  <w:style w:type="character" w:customStyle="1" w:styleId="263">
    <w:name w:val="批注引用1"/>
    <w:qFormat/>
    <w:uiPriority w:val="0"/>
    <w:rPr>
      <w:sz w:val="21"/>
      <w:szCs w:val="21"/>
    </w:rPr>
  </w:style>
  <w:style w:type="character" w:customStyle="1" w:styleId="264">
    <w:name w:val="宗兴正文 Char Char"/>
    <w:link w:val="265"/>
    <w:qFormat/>
    <w:uiPriority w:val="0"/>
    <w:rPr>
      <w:rFonts w:eastAsia="宋体"/>
      <w:sz w:val="24"/>
      <w:szCs w:val="24"/>
    </w:rPr>
  </w:style>
  <w:style w:type="paragraph" w:customStyle="1" w:styleId="265">
    <w:name w:val="宗兴正文"/>
    <w:basedOn w:val="1"/>
    <w:link w:val="264"/>
    <w:qFormat/>
    <w:uiPriority w:val="0"/>
    <w:pPr>
      <w:spacing w:before="93" w:after="93" w:line="360" w:lineRule="auto"/>
      <w:ind w:firstLine="480" w:firstLineChars="200"/>
      <w:jc w:val="left"/>
    </w:pPr>
    <w:rPr>
      <w:kern w:val="0"/>
      <w:sz w:val="24"/>
      <w:szCs w:val="24"/>
    </w:rPr>
  </w:style>
  <w:style w:type="character" w:customStyle="1" w:styleId="266">
    <w:name w:val="网格表 1 浅色1"/>
    <w:qFormat/>
    <w:uiPriority w:val="33"/>
    <w:rPr>
      <w:rFonts w:ascii="黑体" w:eastAsia="黑体"/>
      <w:sz w:val="21"/>
      <w:szCs w:val="21"/>
    </w:rPr>
  </w:style>
  <w:style w:type="character" w:customStyle="1" w:styleId="267">
    <w:name w:val="正文文本 2 Char"/>
    <w:link w:val="268"/>
    <w:qFormat/>
    <w:uiPriority w:val="0"/>
    <w:rPr>
      <w:szCs w:val="24"/>
    </w:rPr>
  </w:style>
  <w:style w:type="paragraph" w:customStyle="1" w:styleId="268">
    <w:name w:val="正文文本 21"/>
    <w:basedOn w:val="1"/>
    <w:link w:val="267"/>
    <w:qFormat/>
    <w:uiPriority w:val="0"/>
    <w:pPr>
      <w:spacing w:after="120" w:line="480" w:lineRule="auto"/>
    </w:pPr>
    <w:rPr>
      <w:kern w:val="0"/>
      <w:sz w:val="20"/>
      <w:szCs w:val="24"/>
    </w:rPr>
  </w:style>
  <w:style w:type="character" w:customStyle="1" w:styleId="269">
    <w:name w:val="批注主题 Char1"/>
    <w:semiHidden/>
    <w:qFormat/>
    <w:uiPriority w:val="99"/>
    <w:rPr>
      <w:rFonts w:ascii="Times New Roman" w:hAnsi="Times New Roman" w:eastAsia="宋体" w:cs="Times New Roman"/>
      <w:b/>
      <w:bCs/>
      <w:szCs w:val="24"/>
    </w:rPr>
  </w:style>
  <w:style w:type="character" w:customStyle="1" w:styleId="270">
    <w:name w:val="文本文字 Char Char"/>
    <w:link w:val="271"/>
    <w:qFormat/>
    <w:uiPriority w:val="0"/>
    <w:rPr>
      <w:rFonts w:ascii="宋体" w:hAnsi="宋体"/>
      <w:sz w:val="28"/>
      <w:szCs w:val="24"/>
      <w:lang w:val="en-US" w:eastAsia="zh-CN"/>
    </w:rPr>
  </w:style>
  <w:style w:type="paragraph" w:customStyle="1" w:styleId="271">
    <w:name w:val="文本文字"/>
    <w:basedOn w:val="51"/>
    <w:link w:val="270"/>
    <w:qFormat/>
    <w:uiPriority w:val="0"/>
    <w:pPr>
      <w:tabs>
        <w:tab w:val="clear" w:pos="0"/>
      </w:tabs>
      <w:spacing w:after="0" w:line="360" w:lineRule="auto"/>
      <w:ind w:firstLine="560" w:firstLineChars="200"/>
      <w:jc w:val="left"/>
    </w:pPr>
    <w:rPr>
      <w:rFonts w:ascii="宋体" w:hAnsi="宋体"/>
      <w:sz w:val="28"/>
    </w:rPr>
  </w:style>
  <w:style w:type="character" w:customStyle="1" w:styleId="272">
    <w:name w:val="表名 Char1"/>
    <w:qFormat/>
    <w:uiPriority w:val="0"/>
    <w:rPr>
      <w:rFonts w:eastAsia="黑体"/>
      <w:bCs/>
      <w:sz w:val="24"/>
      <w:lang w:val="en-US" w:eastAsia="zh-CN" w:bidi="ar-SA"/>
    </w:rPr>
  </w:style>
  <w:style w:type="character" w:customStyle="1" w:styleId="273">
    <w:name w:val="批注引用2"/>
    <w:qFormat/>
    <w:uiPriority w:val="0"/>
    <w:rPr>
      <w:sz w:val="21"/>
      <w:szCs w:val="21"/>
    </w:rPr>
  </w:style>
  <w:style w:type="character" w:customStyle="1" w:styleId="274">
    <w:name w:val="纯文本 Char1"/>
    <w:qFormat/>
    <w:uiPriority w:val="0"/>
    <w:rPr>
      <w:rFonts w:ascii="宋体" w:hAnsi="Courier New" w:cs="Courier New"/>
      <w:kern w:val="2"/>
      <w:sz w:val="21"/>
      <w:szCs w:val="21"/>
    </w:rPr>
  </w:style>
  <w:style w:type="character" w:customStyle="1" w:styleId="275">
    <w:name w:val="my-table Char"/>
    <w:link w:val="276"/>
    <w:qFormat/>
    <w:uiPriority w:val="0"/>
    <w:rPr>
      <w:rFonts w:ascii="Calibri" w:hAnsi="Calibri"/>
      <w:sz w:val="24"/>
      <w:szCs w:val="21"/>
      <w:lang w:bidi="en-US"/>
    </w:rPr>
  </w:style>
  <w:style w:type="paragraph" w:customStyle="1" w:styleId="276">
    <w:name w:val="my-table"/>
    <w:basedOn w:val="1"/>
    <w:link w:val="275"/>
    <w:qFormat/>
    <w:uiPriority w:val="0"/>
    <w:pPr>
      <w:spacing w:line="360" w:lineRule="auto"/>
      <w:jc w:val="left"/>
    </w:pPr>
    <w:rPr>
      <w:rFonts w:ascii="Calibri" w:hAnsi="Calibri"/>
      <w:kern w:val="0"/>
      <w:sz w:val="24"/>
      <w:szCs w:val="21"/>
      <w:lang w:bidi="en-US"/>
    </w:rPr>
  </w:style>
  <w:style w:type="character" w:customStyle="1" w:styleId="277">
    <w:name w:val="普通文字 Char Char Char Char Char Char Char Char Char Char Char Char Char Char Char Char Char Char Char Char Char Char Char Char Char Char Char Char Char"/>
    <w:qFormat/>
    <w:uiPriority w:val="0"/>
    <w:rPr>
      <w:rFonts w:eastAsia="方正仿宋_GB2312"/>
      <w:kern w:val="2"/>
      <w:sz w:val="24"/>
      <w:lang w:val="en-US" w:eastAsia="zh-CN"/>
    </w:rPr>
  </w:style>
  <w:style w:type="character" w:customStyle="1" w:styleId="278">
    <w:name w:val="Char Char11"/>
    <w:qFormat/>
    <w:uiPriority w:val="0"/>
    <w:rPr>
      <w:rFonts w:ascii="Cambria" w:hAnsi="Cambria" w:eastAsia="黑体"/>
      <w:kern w:val="2"/>
    </w:rPr>
  </w:style>
  <w:style w:type="character" w:customStyle="1" w:styleId="279">
    <w:name w:val="报告正文 Char Char"/>
    <w:qFormat/>
    <w:uiPriority w:val="0"/>
    <w:rPr>
      <w:rFonts w:ascii="Arial" w:hAnsi="Arial" w:eastAsia="宋体" w:cs="宋体"/>
      <w:sz w:val="24"/>
      <w:lang w:val="zh-CN"/>
    </w:rPr>
  </w:style>
  <w:style w:type="character" w:customStyle="1" w:styleId="280">
    <w:name w:val="ftit1"/>
    <w:qFormat/>
    <w:uiPriority w:val="0"/>
    <w:rPr>
      <w:b/>
      <w:bCs/>
      <w:color w:val="000000"/>
      <w:sz w:val="28"/>
      <w:szCs w:val="28"/>
    </w:rPr>
  </w:style>
  <w:style w:type="character" w:customStyle="1" w:styleId="281">
    <w:name w:val="样式 正文首行缩进 2 Char Char"/>
    <w:link w:val="282"/>
    <w:qFormat/>
    <w:uiPriority w:val="0"/>
    <w:rPr>
      <w:rFonts w:ascii="宋体" w:cs="宋体"/>
      <w:color w:val="000000"/>
      <w:sz w:val="24"/>
      <w:szCs w:val="24"/>
    </w:rPr>
  </w:style>
  <w:style w:type="paragraph" w:customStyle="1" w:styleId="282">
    <w:name w:val="样式 正文首行缩进 2"/>
    <w:basedOn w:val="51"/>
    <w:link w:val="281"/>
    <w:qFormat/>
    <w:uiPriority w:val="0"/>
    <w:pPr>
      <w:tabs>
        <w:tab w:val="clear" w:pos="0"/>
      </w:tabs>
      <w:snapToGrid w:val="0"/>
      <w:spacing w:line="440" w:lineRule="exact"/>
      <w:ind w:firstLine="480"/>
    </w:pPr>
    <w:rPr>
      <w:rFonts w:ascii="宋体"/>
      <w:color w:val="000000"/>
      <w:sz w:val="24"/>
    </w:rPr>
  </w:style>
  <w:style w:type="character" w:customStyle="1" w:styleId="283">
    <w:name w:val="正文文档 Char"/>
    <w:link w:val="284"/>
    <w:qFormat/>
    <w:uiPriority w:val="0"/>
    <w:rPr>
      <w:sz w:val="24"/>
      <w:szCs w:val="24"/>
    </w:rPr>
  </w:style>
  <w:style w:type="paragraph" w:customStyle="1" w:styleId="284">
    <w:name w:val="正文文档"/>
    <w:basedOn w:val="1"/>
    <w:link w:val="283"/>
    <w:qFormat/>
    <w:uiPriority w:val="0"/>
    <w:pPr>
      <w:spacing w:line="480" w:lineRule="exact"/>
      <w:ind w:firstLine="200" w:firstLineChars="200"/>
    </w:pPr>
    <w:rPr>
      <w:kern w:val="0"/>
      <w:sz w:val="24"/>
      <w:szCs w:val="24"/>
    </w:rPr>
  </w:style>
  <w:style w:type="character" w:customStyle="1" w:styleId="285">
    <w:name w:val="报告 Char"/>
    <w:link w:val="6"/>
    <w:qFormat/>
    <w:uiPriority w:val="0"/>
    <w:rPr>
      <w:sz w:val="24"/>
    </w:rPr>
  </w:style>
  <w:style w:type="character" w:customStyle="1" w:styleId="286">
    <w:name w:val="正文文本缩进 2 Char Char"/>
    <w:link w:val="287"/>
    <w:qFormat/>
    <w:uiPriority w:val="0"/>
    <w:rPr>
      <w:rFonts w:ascii="方正仿宋_GB2312" w:hAnsi="宋体" w:eastAsia="方正仿宋_GB2312"/>
      <w:sz w:val="28"/>
      <w:szCs w:val="28"/>
    </w:rPr>
  </w:style>
  <w:style w:type="paragraph" w:customStyle="1" w:styleId="287">
    <w:name w:val="正文文本缩进 21"/>
    <w:basedOn w:val="1"/>
    <w:link w:val="286"/>
    <w:qFormat/>
    <w:uiPriority w:val="0"/>
    <w:pPr>
      <w:spacing w:line="560" w:lineRule="exact"/>
      <w:ind w:firstLine="560" w:firstLineChars="200"/>
    </w:pPr>
    <w:rPr>
      <w:rFonts w:ascii="方正仿宋_GB2312" w:hAnsi="宋体" w:eastAsia="方正仿宋_GB2312"/>
      <w:kern w:val="0"/>
      <w:sz w:val="28"/>
      <w:szCs w:val="28"/>
    </w:rPr>
  </w:style>
  <w:style w:type="character" w:customStyle="1" w:styleId="288">
    <w:name w:val="正文首行缩进 Char"/>
    <w:link w:val="289"/>
    <w:qFormat/>
    <w:uiPriority w:val="0"/>
    <w:rPr>
      <w:kern w:val="2"/>
      <w:sz w:val="21"/>
      <w:szCs w:val="24"/>
      <w:lang w:bidi="ar-SA"/>
    </w:rPr>
  </w:style>
  <w:style w:type="paragraph" w:customStyle="1" w:styleId="289">
    <w:name w:val="正文首行缩进2"/>
    <w:basedOn w:val="23"/>
    <w:link w:val="288"/>
    <w:qFormat/>
    <w:uiPriority w:val="0"/>
    <w:pPr>
      <w:ind w:firstLine="420" w:firstLineChars="100"/>
    </w:pPr>
    <w:rPr>
      <w:szCs w:val="24"/>
    </w:rPr>
  </w:style>
  <w:style w:type="character" w:customStyle="1" w:styleId="290">
    <w:name w:val="Char Char"/>
    <w:qFormat/>
    <w:uiPriority w:val="0"/>
    <w:rPr>
      <w:b/>
      <w:bCs/>
      <w:kern w:val="2"/>
      <w:sz w:val="21"/>
      <w:szCs w:val="24"/>
      <w:lang w:bidi="ar-SA"/>
    </w:rPr>
  </w:style>
  <w:style w:type="character" w:customStyle="1" w:styleId="291">
    <w:name w:val="标题 1 Char Char1 Char"/>
    <w:qFormat/>
    <w:uiPriority w:val="0"/>
    <w:rPr>
      <w:rFonts w:eastAsia="文鼎粗钢笔行楷"/>
      <w:b/>
      <w:bCs/>
      <w:kern w:val="44"/>
      <w:sz w:val="44"/>
      <w:szCs w:val="44"/>
      <w:lang w:val="en-US" w:eastAsia="zh-CN"/>
    </w:rPr>
  </w:style>
  <w:style w:type="character" w:customStyle="1" w:styleId="292">
    <w:name w:val="font21"/>
    <w:qFormat/>
    <w:uiPriority w:val="0"/>
    <w:rPr>
      <w:rFonts w:hint="default" w:ascii="Times New Roman" w:hAnsi="Times New Roman" w:cs="Times New Roman"/>
      <w:color w:val="000000"/>
      <w:sz w:val="21"/>
      <w:szCs w:val="21"/>
      <w:u w:val="none"/>
    </w:rPr>
  </w:style>
  <w:style w:type="character" w:customStyle="1" w:styleId="293">
    <w:name w:val="BG5 Char Char"/>
    <w:link w:val="294"/>
    <w:qFormat/>
    <w:uiPriority w:val="0"/>
    <w:rPr>
      <w:rFonts w:ascii="@宋体" w:eastAsia="方正仿宋_GB2312"/>
      <w:b/>
      <w:sz w:val="24"/>
    </w:rPr>
  </w:style>
  <w:style w:type="paragraph" w:customStyle="1" w:styleId="294">
    <w:name w:val="BG5"/>
    <w:basedOn w:val="1"/>
    <w:link w:val="293"/>
    <w:qFormat/>
    <w:uiPriority w:val="0"/>
    <w:pPr>
      <w:autoSpaceDE w:val="0"/>
      <w:autoSpaceDN w:val="0"/>
      <w:adjustRightInd w:val="0"/>
      <w:spacing w:line="360" w:lineRule="auto"/>
      <w:jc w:val="center"/>
      <w:textAlignment w:val="baseline"/>
    </w:pPr>
    <w:rPr>
      <w:rFonts w:ascii="@宋体" w:eastAsia="方正仿宋_GB2312"/>
      <w:b/>
      <w:kern w:val="0"/>
      <w:sz w:val="24"/>
      <w:szCs w:val="20"/>
    </w:rPr>
  </w:style>
  <w:style w:type="character" w:customStyle="1" w:styleId="295">
    <w:name w:val="题注 Char Char Char"/>
    <w:qFormat/>
    <w:uiPriority w:val="0"/>
    <w:rPr>
      <w:rFonts w:eastAsia="宋体" w:cs="Arial"/>
      <w:b/>
      <w:kern w:val="2"/>
      <w:sz w:val="21"/>
      <w:lang w:val="en-US" w:eastAsia="zh-CN" w:bidi="ar-SA"/>
    </w:rPr>
  </w:style>
  <w:style w:type="character" w:customStyle="1" w:styleId="296">
    <w:name w:val="EmailStyle1261"/>
    <w:qFormat/>
    <w:uiPriority w:val="0"/>
    <w:rPr>
      <w:rFonts w:ascii="Arial" w:hAnsi="Arial" w:eastAsia="宋体" w:cs="Arial"/>
      <w:color w:val="auto"/>
      <w:sz w:val="20"/>
    </w:rPr>
  </w:style>
  <w:style w:type="character" w:customStyle="1" w:styleId="297">
    <w:name w:val="样式53 Char"/>
    <w:qFormat/>
    <w:uiPriority w:val="0"/>
    <w:rPr>
      <w:rFonts w:ascii="黑体" w:hAnsi="宋体" w:eastAsia="黑体"/>
      <w:b/>
      <w:bCs/>
      <w:color w:val="000000"/>
      <w:sz w:val="21"/>
      <w:szCs w:val="21"/>
      <w:lang w:val="en-US" w:eastAsia="zh-CN" w:bidi="ar-SA"/>
    </w:rPr>
  </w:style>
  <w:style w:type="character" w:customStyle="1" w:styleId="298">
    <w:name w:val="xyb自建正文 Char1"/>
    <w:link w:val="299"/>
    <w:qFormat/>
    <w:locked/>
    <w:uiPriority w:val="0"/>
    <w:rPr>
      <w:sz w:val="24"/>
      <w:szCs w:val="24"/>
    </w:rPr>
  </w:style>
  <w:style w:type="paragraph" w:customStyle="1" w:styleId="299">
    <w:name w:val="xyb自建正文"/>
    <w:basedOn w:val="1"/>
    <w:link w:val="298"/>
    <w:qFormat/>
    <w:uiPriority w:val="0"/>
    <w:pPr>
      <w:spacing w:line="360" w:lineRule="auto"/>
      <w:ind w:firstLine="480" w:firstLineChars="200"/>
      <w:textAlignment w:val="baseline"/>
    </w:pPr>
    <w:rPr>
      <w:kern w:val="0"/>
      <w:sz w:val="24"/>
      <w:szCs w:val="24"/>
    </w:rPr>
  </w:style>
  <w:style w:type="character" w:customStyle="1" w:styleId="300">
    <w:name w:val="Char Char2"/>
    <w:qFormat/>
    <w:uiPriority w:val="0"/>
    <w:rPr>
      <w:kern w:val="2"/>
      <w:sz w:val="18"/>
      <w:szCs w:val="18"/>
      <w:lang w:bidi="ar-SA"/>
    </w:rPr>
  </w:style>
  <w:style w:type="character" w:customStyle="1" w:styleId="301">
    <w:name w:val="样式 正文文本缩进 2 + 黑色 行距: 固定值 12 磅 Char"/>
    <w:qFormat/>
    <w:uiPriority w:val="0"/>
    <w:rPr>
      <w:rFonts w:eastAsia="宋体" w:cs="宋体"/>
      <w:b/>
      <w:color w:val="3366FF"/>
      <w:sz w:val="21"/>
      <w:szCs w:val="21"/>
      <w:lang w:val="en-US" w:eastAsia="zh-CN" w:bidi="ar-SA"/>
    </w:rPr>
  </w:style>
  <w:style w:type="character" w:customStyle="1" w:styleId="302">
    <w:name w:val="样式4 Char"/>
    <w:link w:val="303"/>
    <w:qFormat/>
    <w:uiPriority w:val="0"/>
    <w:rPr>
      <w:rFonts w:eastAsia="宋体"/>
    </w:rPr>
  </w:style>
  <w:style w:type="paragraph" w:customStyle="1" w:styleId="303">
    <w:name w:val="样式4"/>
    <w:basedOn w:val="1"/>
    <w:link w:val="302"/>
    <w:qFormat/>
    <w:uiPriority w:val="0"/>
    <w:pPr>
      <w:jc w:val="center"/>
    </w:pPr>
    <w:rPr>
      <w:kern w:val="0"/>
      <w:sz w:val="20"/>
      <w:szCs w:val="20"/>
    </w:rPr>
  </w:style>
  <w:style w:type="paragraph" w:customStyle="1" w:styleId="304">
    <w:name w:val="xl10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305">
    <w:name w:val="xl123"/>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306">
    <w:name w:val="纪任山图表标题5"/>
    <w:basedOn w:val="1"/>
    <w:qFormat/>
    <w:uiPriority w:val="0"/>
    <w:pPr>
      <w:adjustRightInd w:val="0"/>
      <w:snapToGrid w:val="0"/>
      <w:spacing w:after="120" w:line="480" w:lineRule="exact"/>
      <w:jc w:val="center"/>
    </w:pPr>
    <w:rPr>
      <w:rFonts w:ascii="Times New Roman" w:hAnsi="Times New Roman" w:eastAsia="宋体" w:cs="Times New Roman"/>
      <w:b/>
      <w:color w:val="000000"/>
      <w:spacing w:val="6"/>
      <w:sz w:val="24"/>
      <w:szCs w:val="20"/>
    </w:rPr>
  </w:style>
  <w:style w:type="paragraph" w:customStyle="1" w:styleId="307">
    <w:name w:val="【正文】"/>
    <w:basedOn w:val="23"/>
    <w:qFormat/>
    <w:uiPriority w:val="0"/>
    <w:pPr>
      <w:adjustRightInd w:val="0"/>
      <w:snapToGrid w:val="0"/>
      <w:spacing w:before="0" w:line="360" w:lineRule="auto"/>
      <w:ind w:firstLine="480" w:firstLineChars="200"/>
      <w:jc w:val="both"/>
    </w:pPr>
    <w:rPr>
      <w:sz w:val="24"/>
      <w:szCs w:val="24"/>
    </w:rPr>
  </w:style>
  <w:style w:type="paragraph" w:customStyle="1" w:styleId="308">
    <w:name w:val="索引 12"/>
    <w:basedOn w:val="1"/>
    <w:next w:val="1"/>
    <w:qFormat/>
    <w:uiPriority w:val="0"/>
    <w:rPr>
      <w:rFonts w:ascii="Times New Roman" w:hAnsi="Times New Roman" w:eastAsia="宋体" w:cs="Times New Roman"/>
      <w:szCs w:val="24"/>
    </w:rPr>
  </w:style>
  <w:style w:type="paragraph" w:customStyle="1" w:styleId="309">
    <w:name w:val="xl139"/>
    <w:basedOn w:val="1"/>
    <w:qFormat/>
    <w:uiPriority w:val="0"/>
    <w:pPr>
      <w:widowControl/>
      <w:pBdr>
        <w:top w:val="single" w:color="auto" w:sz="4" w:space="0"/>
        <w:left w:val="single" w:color="auto" w:sz="4" w:space="0"/>
        <w:bottom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310">
    <w:name w:val="zzd图文"/>
    <w:basedOn w:val="311"/>
    <w:qFormat/>
    <w:uiPriority w:val="0"/>
    <w:pPr>
      <w:ind w:left="273" w:leftChars="130" w:firstLine="1680" w:firstLineChars="800"/>
    </w:pPr>
  </w:style>
  <w:style w:type="paragraph" w:customStyle="1" w:styleId="311">
    <w:name w:val="zzd正文"/>
    <w:basedOn w:val="1"/>
    <w:qFormat/>
    <w:uiPriority w:val="0"/>
    <w:pPr>
      <w:spacing w:before="156" w:beforeLines="50" w:after="156" w:afterLines="50" w:line="300" w:lineRule="auto"/>
      <w:ind w:left="737"/>
    </w:pPr>
    <w:rPr>
      <w:rFonts w:ascii="宋体" w:hAnsi="Times New Roman" w:eastAsia="宋体" w:cs="Times New Roman"/>
      <w:iCs/>
      <w:szCs w:val="24"/>
    </w:rPr>
  </w:style>
  <w:style w:type="paragraph" w:customStyle="1" w:styleId="312">
    <w:name w:val="xl8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13">
    <w:name w:val="图表目录11"/>
    <w:basedOn w:val="1"/>
    <w:next w:val="1"/>
    <w:qFormat/>
    <w:uiPriority w:val="0"/>
    <w:pPr>
      <w:spacing w:line="480" w:lineRule="exact"/>
      <w:ind w:left="200" w:leftChars="200" w:hanging="200" w:hangingChars="200"/>
    </w:pPr>
    <w:rPr>
      <w:rFonts w:ascii="Times New Roman" w:hAnsi="Times New Roman" w:eastAsia="宋体" w:cs="Times New Roman"/>
      <w:sz w:val="24"/>
      <w:szCs w:val="24"/>
    </w:rPr>
  </w:style>
  <w:style w:type="paragraph" w:customStyle="1" w:styleId="314">
    <w:name w:val="样式 标题 3一style3条(C+F3)Final－标题 3H3h3heading 3 + Indent: L..."/>
    <w:basedOn w:val="5"/>
    <w:qFormat/>
    <w:uiPriority w:val="0"/>
    <w:pPr>
      <w:keepNext w:val="0"/>
      <w:keepLines w:val="0"/>
      <w:widowControl/>
      <w:spacing w:before="0" w:after="0" w:line="500" w:lineRule="exact"/>
      <w:ind w:left="1301" w:hanging="1188"/>
    </w:pPr>
    <w:rPr>
      <w:rFonts w:eastAsia="黑体" w:cs="宋体"/>
      <w:b w:val="0"/>
      <w:bCs w:val="0"/>
      <w:sz w:val="24"/>
      <w:szCs w:val="20"/>
    </w:rPr>
  </w:style>
  <w:style w:type="paragraph" w:customStyle="1" w:styleId="315">
    <w:name w:val="p15"/>
    <w:basedOn w:val="1"/>
    <w:qFormat/>
    <w:uiPriority w:val="0"/>
    <w:pPr>
      <w:widowControl/>
      <w:spacing w:after="120" w:line="480" w:lineRule="atLeast"/>
      <w:ind w:firstLine="420"/>
    </w:pPr>
    <w:rPr>
      <w:rFonts w:ascii="Times New Roman" w:hAnsi="Times New Roman" w:eastAsia="宋体" w:cs="Times New Roman"/>
      <w:kern w:val="0"/>
      <w:sz w:val="28"/>
      <w:szCs w:val="28"/>
    </w:rPr>
  </w:style>
  <w:style w:type="paragraph" w:styleId="316">
    <w:name w:val="List Paragraph"/>
    <w:basedOn w:val="1"/>
    <w:qFormat/>
    <w:uiPriority w:val="0"/>
    <w:pPr>
      <w:ind w:firstLine="420" w:firstLineChars="200"/>
    </w:pPr>
    <w:rPr>
      <w:rFonts w:ascii="Calibri" w:hAnsi="Calibri" w:eastAsia="宋体" w:cs="Times New Roman"/>
    </w:rPr>
  </w:style>
  <w:style w:type="paragraph" w:customStyle="1" w:styleId="317">
    <w:name w:val="列表2"/>
    <w:basedOn w:val="1"/>
    <w:qFormat/>
    <w:uiPriority w:val="0"/>
    <w:pPr>
      <w:adjustRightInd w:val="0"/>
      <w:snapToGrid w:val="0"/>
      <w:spacing w:line="360" w:lineRule="auto"/>
      <w:jc w:val="center"/>
    </w:pPr>
    <w:rPr>
      <w:rFonts w:ascii="宋体" w:hAnsi="Times New Roman" w:eastAsia="宋体" w:cs="Times New Roman"/>
      <w:szCs w:val="20"/>
    </w:rPr>
  </w:style>
  <w:style w:type="paragraph" w:customStyle="1" w:styleId="318">
    <w:name w:val="xl109"/>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19">
    <w:name w:val="样式 正文文本缩进 + 居中1"/>
    <w:basedOn w:val="24"/>
    <w:qFormat/>
    <w:uiPriority w:val="0"/>
    <w:pPr>
      <w:ind w:left="0" w:leftChars="0"/>
      <w:jc w:val="center"/>
    </w:pPr>
    <w:rPr>
      <w:rFonts w:ascii="Times New Roman" w:hAnsi="Times New Roman" w:eastAsia="宋体" w:cs="宋体"/>
      <w:szCs w:val="20"/>
    </w:rPr>
  </w:style>
  <w:style w:type="paragraph" w:customStyle="1" w:styleId="320">
    <w:name w:val="样式 样式 首行缩进:  2 字符 段后: 0.5 行 + 宋体 首行缩进:  2 字符 段前: 7.8 磅 段后: 0...."/>
    <w:basedOn w:val="1"/>
    <w:qFormat/>
    <w:uiPriority w:val="0"/>
    <w:pPr>
      <w:spacing w:beforeLines="50" w:afterLines="50" w:line="360" w:lineRule="exact"/>
      <w:ind w:firstLine="200" w:firstLineChars="200"/>
    </w:pPr>
    <w:rPr>
      <w:rFonts w:ascii="宋体" w:hAnsi="宋体" w:eastAsia="宋体" w:cs="宋体"/>
      <w:sz w:val="24"/>
      <w:szCs w:val="20"/>
    </w:rPr>
  </w:style>
  <w:style w:type="paragraph" w:customStyle="1" w:styleId="321">
    <w:name w:val="样式 样式 小四 行距: 固定值 22 磅 + 首行缩进:  2 字符"/>
    <w:basedOn w:val="1"/>
    <w:qFormat/>
    <w:uiPriority w:val="0"/>
    <w:pPr>
      <w:spacing w:line="500" w:lineRule="exact"/>
      <w:ind w:firstLine="480" w:firstLineChars="200"/>
    </w:pPr>
    <w:rPr>
      <w:rFonts w:cs="宋体"/>
      <w:szCs w:val="20"/>
    </w:rPr>
  </w:style>
  <w:style w:type="paragraph" w:customStyle="1" w:styleId="322">
    <w:name w:val="Char11"/>
    <w:basedOn w:val="1"/>
    <w:qFormat/>
    <w:uiPriority w:val="0"/>
    <w:pPr>
      <w:spacing w:line="360" w:lineRule="auto"/>
      <w:ind w:firstLine="200" w:firstLineChars="200"/>
    </w:pPr>
    <w:rPr>
      <w:rFonts w:ascii="宋体" w:hAnsi="宋体" w:eastAsia="宋体" w:cs="宋体"/>
      <w:sz w:val="24"/>
      <w:szCs w:val="24"/>
    </w:rPr>
  </w:style>
  <w:style w:type="paragraph" w:customStyle="1" w:styleId="323">
    <w:name w:val="xl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24">
    <w:name w:val="+列表编号"/>
    <w:basedOn w:val="1"/>
    <w:qFormat/>
    <w:uiPriority w:val="0"/>
    <w:pPr>
      <w:tabs>
        <w:tab w:val="center" w:pos="4200"/>
        <w:tab w:val="right" w:pos="8400"/>
      </w:tabs>
      <w:adjustRightInd/>
      <w:spacing w:line="240" w:lineRule="auto"/>
      <w:jc w:val="center"/>
      <w:textAlignment w:val="auto"/>
    </w:pPr>
    <w:rPr>
      <w:b/>
      <w:kern w:val="2"/>
      <w:szCs w:val="28"/>
    </w:rPr>
  </w:style>
  <w:style w:type="paragraph" w:customStyle="1" w:styleId="325">
    <w:name w:val="P"/>
    <w:basedOn w:val="1"/>
    <w:qFormat/>
    <w:uiPriority w:val="0"/>
    <w:pPr>
      <w:adjustRightInd w:val="0"/>
      <w:spacing w:line="420" w:lineRule="atLeast"/>
      <w:ind w:firstLine="567"/>
      <w:textAlignment w:val="baseline"/>
    </w:pPr>
    <w:rPr>
      <w:rFonts w:ascii="宋体" w:hAnsi="Times New Roman" w:eastAsia="宋体" w:cs="Times New Roman"/>
      <w:spacing w:val="30"/>
      <w:kern w:val="0"/>
      <w:sz w:val="24"/>
      <w:szCs w:val="20"/>
    </w:rPr>
  </w:style>
  <w:style w:type="paragraph" w:customStyle="1" w:styleId="326">
    <w:name w:val="表格内字体"/>
    <w:basedOn w:val="1"/>
    <w:qFormat/>
    <w:uiPriority w:val="0"/>
    <w:pPr>
      <w:adjustRightInd w:val="0"/>
      <w:snapToGrid w:val="0"/>
      <w:jc w:val="center"/>
      <w:textAlignment w:val="baseline"/>
    </w:pPr>
    <w:rPr>
      <w:rFonts w:ascii="宋体" w:hAnsi="宋体" w:eastAsia="宋体" w:cs="Times New Roman"/>
      <w:kern w:val="0"/>
      <w:szCs w:val="24"/>
    </w:rPr>
  </w:style>
  <w:style w:type="paragraph" w:customStyle="1" w:styleId="327">
    <w:name w:val="xl154"/>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28">
    <w:name w:val="正文01"/>
    <w:basedOn w:val="1"/>
    <w:qFormat/>
    <w:uiPriority w:val="0"/>
    <w:pPr>
      <w:spacing w:before="60" w:line="480" w:lineRule="exact"/>
      <w:ind w:firstLine="539"/>
    </w:pPr>
    <w:rPr>
      <w:sz w:val="27"/>
      <w:szCs w:val="20"/>
    </w:rPr>
  </w:style>
  <w:style w:type="paragraph" w:customStyle="1" w:styleId="329">
    <w:name w:val="列表1"/>
    <w:basedOn w:val="1"/>
    <w:qFormat/>
    <w:uiPriority w:val="0"/>
    <w:pPr>
      <w:adjustRightInd w:val="0"/>
      <w:snapToGrid w:val="0"/>
      <w:spacing w:line="360" w:lineRule="auto"/>
      <w:jc w:val="center"/>
    </w:pPr>
    <w:rPr>
      <w:rFonts w:ascii="宋体" w:hAnsi="Times New Roman" w:eastAsia="宋体" w:cs="Times New Roman"/>
      <w:szCs w:val="20"/>
    </w:rPr>
  </w:style>
  <w:style w:type="paragraph" w:customStyle="1" w:styleId="330">
    <w:name w:val="xl153"/>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31">
    <w:name w:val="1我的"/>
    <w:qFormat/>
    <w:uiPriority w:val="0"/>
    <w:pPr>
      <w:widowControl w:val="0"/>
      <w:spacing w:line="560" w:lineRule="exact"/>
      <w:ind w:firstLine="480" w:firstLineChars="200"/>
      <w:jc w:val="both"/>
    </w:pPr>
    <w:rPr>
      <w:rFonts w:ascii="Times New Roman" w:hAnsi="Times New Roman" w:eastAsia="宋体" w:cs="Times New Roman"/>
      <w:kern w:val="2"/>
      <w:sz w:val="24"/>
      <w:szCs w:val="24"/>
      <w:lang w:val="en-US" w:eastAsia="zh-CN" w:bidi="ar-SA"/>
    </w:rPr>
  </w:style>
  <w:style w:type="paragraph" w:customStyle="1" w:styleId="332">
    <w:name w:val="xl57"/>
    <w:basedOn w:val="1"/>
    <w:qFormat/>
    <w:uiPriority w:val="0"/>
    <w:pPr>
      <w:widowControl/>
      <w:pBdr>
        <w:top w:val="single" w:color="auto" w:sz="4" w:space="0"/>
        <w:bottom w:val="single" w:color="auto" w:sz="4" w:space="0"/>
      </w:pBdr>
      <w:spacing w:before="100" w:beforeAutospacing="1" w:after="100" w:afterAutospacing="1"/>
      <w:jc w:val="center"/>
      <w:textAlignment w:val="center"/>
    </w:pPr>
    <w:rPr>
      <w:rFonts w:ascii="宋体" w:hAnsi="宋体" w:eastAsia="宋体" w:cs="Times New Roman"/>
      <w:kern w:val="0"/>
      <w:sz w:val="24"/>
      <w:szCs w:val="24"/>
    </w:rPr>
  </w:style>
  <w:style w:type="paragraph" w:customStyle="1" w:styleId="333">
    <w:name w:val="BBT"/>
    <w:basedOn w:val="1"/>
    <w:qFormat/>
    <w:uiPriority w:val="0"/>
    <w:pPr>
      <w:spacing w:before="109" w:beforeLines="35" w:after="109" w:afterLines="35" w:line="480" w:lineRule="exact"/>
      <w:jc w:val="center"/>
    </w:pPr>
    <w:rPr>
      <w:rFonts w:ascii="黑体" w:hAnsi="Times New Roman" w:eastAsia="黑体" w:cs="Times New Roman"/>
      <w:bCs/>
      <w:sz w:val="24"/>
      <w:szCs w:val="20"/>
    </w:rPr>
  </w:style>
  <w:style w:type="paragraph" w:customStyle="1" w:styleId="334">
    <w:name w:val="+a)"/>
    <w:basedOn w:val="1"/>
    <w:qFormat/>
    <w:uiPriority w:val="0"/>
    <w:pPr>
      <w:tabs>
        <w:tab w:val="left" w:pos="2520"/>
      </w:tabs>
      <w:spacing w:line="360" w:lineRule="auto"/>
      <w:ind w:left="2520" w:hanging="420"/>
    </w:pPr>
    <w:rPr>
      <w:rFonts w:ascii="Times New Roman" w:hAnsi="Times New Roman" w:eastAsia="宋体" w:cs="Times New Roman"/>
      <w:sz w:val="24"/>
      <w:szCs w:val="28"/>
    </w:rPr>
  </w:style>
  <w:style w:type="paragraph" w:customStyle="1" w:styleId="335">
    <w:name w:val="font5"/>
    <w:basedOn w:val="1"/>
    <w:qFormat/>
    <w:uiPriority w:val="0"/>
    <w:pPr>
      <w:widowControl/>
      <w:spacing w:before="100" w:beforeAutospacing="1" w:after="100" w:afterAutospacing="1"/>
      <w:jc w:val="left"/>
    </w:pPr>
    <w:rPr>
      <w:rFonts w:ascii="宋体" w:hAnsi="宋体" w:eastAsia="宋体" w:cs="宋体"/>
      <w:kern w:val="0"/>
      <w:sz w:val="18"/>
      <w:szCs w:val="18"/>
    </w:rPr>
  </w:style>
  <w:style w:type="paragraph" w:customStyle="1" w:styleId="336">
    <w:name w:val="+1."/>
    <w:basedOn w:val="337"/>
    <w:qFormat/>
    <w:uiPriority w:val="0"/>
    <w:pPr>
      <w:numPr>
        <w:ilvl w:val="1"/>
        <w:numId w:val="4"/>
      </w:numPr>
      <w:tabs>
        <w:tab w:val="left" w:pos="425"/>
      </w:tabs>
      <w:ind w:firstLineChars="0"/>
    </w:pPr>
  </w:style>
  <w:style w:type="paragraph" w:customStyle="1" w:styleId="337">
    <w:name w:val="+正文"/>
    <w:basedOn w:val="1"/>
    <w:link w:val="338"/>
    <w:qFormat/>
    <w:uiPriority w:val="0"/>
    <w:pPr>
      <w:spacing w:line="360" w:lineRule="auto"/>
      <w:ind w:firstLine="200" w:firstLineChars="200"/>
    </w:pPr>
    <w:rPr>
      <w:szCs w:val="28"/>
    </w:rPr>
  </w:style>
  <w:style w:type="character" w:customStyle="1" w:styleId="338">
    <w:name w:val="+正文 Char"/>
    <w:link w:val="337"/>
    <w:qFormat/>
    <w:locked/>
    <w:uiPriority w:val="0"/>
    <w:rPr>
      <w:kern w:val="2"/>
      <w:sz w:val="24"/>
      <w:szCs w:val="28"/>
    </w:rPr>
  </w:style>
  <w:style w:type="paragraph" w:customStyle="1" w:styleId="339">
    <w:name w:val="xl11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color w:val="000000"/>
      <w:kern w:val="0"/>
      <w:sz w:val="20"/>
      <w:szCs w:val="20"/>
    </w:rPr>
  </w:style>
  <w:style w:type="paragraph" w:customStyle="1" w:styleId="340">
    <w:name w:val="xl73"/>
    <w:basedOn w:val="1"/>
    <w:qFormat/>
    <w:uiPriority w:val="0"/>
    <w:pPr>
      <w:widowControl/>
      <w:spacing w:before="100" w:beforeAutospacing="1" w:after="100" w:afterAutospacing="1"/>
      <w:jc w:val="left"/>
      <w:textAlignment w:val="center"/>
    </w:pPr>
    <w:rPr>
      <w:rFonts w:ascii="宋体" w:hAnsi="宋体" w:eastAsia="宋体" w:cs="宋体"/>
      <w:kern w:val="0"/>
      <w:sz w:val="22"/>
    </w:rPr>
  </w:style>
  <w:style w:type="paragraph" w:customStyle="1" w:styleId="341">
    <w:name w:val="CM113"/>
    <w:basedOn w:val="66"/>
    <w:next w:val="66"/>
    <w:qFormat/>
    <w:uiPriority w:val="0"/>
    <w:pPr>
      <w:spacing w:after="62"/>
    </w:pPr>
    <w:rPr>
      <w:rFonts w:ascii="Simplex" w:hAnsi="Times New Roman" w:eastAsia="Simplex" w:cs="Simplex"/>
      <w:color w:val="auto"/>
    </w:rPr>
  </w:style>
  <w:style w:type="paragraph" w:customStyle="1" w:styleId="342">
    <w:name w:val="xl143"/>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343">
    <w:name w:val="xl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344">
    <w:name w:val="1"/>
    <w:basedOn w:val="1"/>
    <w:next w:val="168"/>
    <w:qFormat/>
    <w:uiPriority w:val="0"/>
    <w:rPr>
      <w:rFonts w:ascii="Times New Roman" w:hAnsi="Times New Roman" w:eastAsia="宋体" w:cs="Times New Roman"/>
      <w:sz w:val="28"/>
      <w:szCs w:val="20"/>
    </w:rPr>
  </w:style>
  <w:style w:type="paragraph" w:customStyle="1" w:styleId="345">
    <w:name w:val="表号"/>
    <w:qFormat/>
    <w:uiPriority w:val="0"/>
    <w:pPr>
      <w:adjustRightInd w:val="0"/>
      <w:snapToGrid w:val="0"/>
      <w:spacing w:line="480" w:lineRule="exact"/>
      <w:jc w:val="right"/>
    </w:pPr>
    <w:rPr>
      <w:rFonts w:ascii="Arial" w:hAnsi="Arial" w:eastAsia="宋体" w:cs="Times New Roman"/>
      <w:sz w:val="21"/>
      <w:lang w:val="en-US" w:eastAsia="zh-CN" w:bidi="ar-SA"/>
    </w:rPr>
  </w:style>
  <w:style w:type="paragraph" w:customStyle="1" w:styleId="346">
    <w:name w:val="xl12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347">
    <w:name w:val="图表目录1"/>
    <w:basedOn w:val="1"/>
    <w:next w:val="1"/>
    <w:qFormat/>
    <w:uiPriority w:val="0"/>
    <w:pPr>
      <w:spacing w:line="480" w:lineRule="exact"/>
      <w:ind w:left="200" w:leftChars="200" w:hanging="200" w:hangingChars="200"/>
    </w:pPr>
    <w:rPr>
      <w:rFonts w:ascii="Times New Roman" w:hAnsi="Times New Roman" w:eastAsia="宋体" w:cs="Times New Roman"/>
      <w:sz w:val="24"/>
      <w:szCs w:val="24"/>
    </w:rPr>
  </w:style>
  <w:style w:type="paragraph" w:customStyle="1" w:styleId="348">
    <w:name w:val="CM2"/>
    <w:basedOn w:val="1"/>
    <w:next w:val="1"/>
    <w:qFormat/>
    <w:uiPriority w:val="0"/>
    <w:pPr>
      <w:autoSpaceDE w:val="0"/>
      <w:autoSpaceDN w:val="0"/>
      <w:adjustRightInd w:val="0"/>
      <w:spacing w:line="316" w:lineRule="atLeast"/>
      <w:jc w:val="left"/>
    </w:pPr>
    <w:rPr>
      <w:rFonts w:ascii="宋体" w:hAnsi="Times New Roman" w:eastAsia="宋体" w:cs="Times New Roman"/>
      <w:kern w:val="0"/>
      <w:sz w:val="24"/>
      <w:szCs w:val="24"/>
    </w:rPr>
  </w:style>
  <w:style w:type="paragraph" w:customStyle="1" w:styleId="349">
    <w:name w:val="1表格头"/>
    <w:qFormat/>
    <w:uiPriority w:val="0"/>
    <w:pPr>
      <w:widowControl w:val="0"/>
      <w:snapToGrid w:val="0"/>
      <w:spacing w:line="160" w:lineRule="atLeast"/>
      <w:jc w:val="center"/>
    </w:pPr>
    <w:rPr>
      <w:rFonts w:ascii="Times New Roman" w:hAnsi="Times New Roman" w:eastAsia="方正仿宋_GB2312" w:cs="Times New Roman"/>
      <w:kern w:val="2"/>
      <w:sz w:val="24"/>
      <w:lang w:val="en-US" w:eastAsia="zh-CN" w:bidi="ar-SA"/>
    </w:rPr>
  </w:style>
  <w:style w:type="paragraph" w:customStyle="1" w:styleId="350">
    <w:name w:val="陈正文"/>
    <w:basedOn w:val="1"/>
    <w:next w:val="1"/>
    <w:qFormat/>
    <w:uiPriority w:val="0"/>
    <w:pPr>
      <w:adjustRightInd/>
      <w:spacing w:before="0"/>
      <w:ind w:firstLine="480" w:firstLineChars="200"/>
      <w:textAlignment w:val="auto"/>
    </w:pPr>
    <w:rPr>
      <w:rFonts w:hAnsi="宋体"/>
      <w:color w:val="000000"/>
      <w:szCs w:val="24"/>
    </w:rPr>
  </w:style>
  <w:style w:type="paragraph" w:customStyle="1" w:styleId="351">
    <w:name w:val="正文文本缩进 311"/>
    <w:basedOn w:val="1"/>
    <w:qFormat/>
    <w:uiPriority w:val="0"/>
    <w:pPr>
      <w:spacing w:after="120"/>
      <w:ind w:left="420" w:leftChars="200"/>
    </w:pPr>
    <w:rPr>
      <w:rFonts w:ascii="Times New Roman" w:hAnsi="Times New Roman" w:eastAsia="宋体" w:cs="Times New Roman"/>
      <w:sz w:val="16"/>
      <w:szCs w:val="16"/>
    </w:rPr>
  </w:style>
  <w:style w:type="paragraph" w:customStyle="1" w:styleId="352">
    <w:name w:val="1 Char Char Char Char Char Char Char Char Char Char Char Char Char Char Char Char Char Char1 Char Char Char Char"/>
    <w:basedOn w:val="1"/>
    <w:qFormat/>
    <w:uiPriority w:val="0"/>
    <w:rPr>
      <w:rFonts w:ascii="Tahoma" w:hAnsi="Tahoma" w:eastAsia="宋体" w:cs="Times New Roman"/>
      <w:sz w:val="24"/>
      <w:szCs w:val="20"/>
    </w:rPr>
  </w:style>
  <w:style w:type="paragraph" w:customStyle="1" w:styleId="353">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54">
    <w:name w:val="Char3"/>
    <w:basedOn w:val="1"/>
    <w:qFormat/>
    <w:uiPriority w:val="0"/>
    <w:rPr>
      <w:rFonts w:ascii="Times New Roman" w:hAnsi="Times New Roman" w:eastAsia="宋体" w:cs="Times New Roman"/>
      <w:szCs w:val="21"/>
    </w:rPr>
  </w:style>
  <w:style w:type="paragraph" w:customStyle="1" w:styleId="355">
    <w:name w:val="6表内文字 居中"/>
    <w:basedOn w:val="1"/>
    <w:qFormat/>
    <w:uiPriority w:val="0"/>
    <w:pPr>
      <w:adjustRightInd w:val="0"/>
      <w:spacing w:line="240" w:lineRule="atLeast"/>
      <w:jc w:val="center"/>
      <w:textAlignment w:val="baseline"/>
    </w:pPr>
    <w:rPr>
      <w:rFonts w:ascii="Times New Roman" w:hAnsi="Times New Roman" w:eastAsia="宋体" w:cs="Times New Roman"/>
      <w:snapToGrid/>
      <w:kern w:val="0"/>
      <w:szCs w:val="24"/>
    </w:rPr>
  </w:style>
  <w:style w:type="paragraph" w:customStyle="1" w:styleId="356">
    <w:name w:val="普通(网站)1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57">
    <w:name w:val="图表标题"/>
    <w:basedOn w:val="1"/>
    <w:next w:val="358"/>
    <w:qFormat/>
    <w:uiPriority w:val="0"/>
    <w:pPr>
      <w:adjustRightInd w:val="0"/>
      <w:snapToGrid w:val="0"/>
      <w:ind w:firstLine="562"/>
      <w:jc w:val="center"/>
    </w:pPr>
    <w:rPr>
      <w:b/>
      <w:bCs/>
      <w:snapToGrid w:val="0"/>
      <w:sz w:val="24"/>
    </w:rPr>
  </w:style>
  <w:style w:type="paragraph" w:customStyle="1" w:styleId="358">
    <w:name w:val="报告表格"/>
    <w:basedOn w:val="1"/>
    <w:qFormat/>
    <w:uiPriority w:val="0"/>
    <w:pPr>
      <w:autoSpaceDE w:val="0"/>
      <w:autoSpaceDN w:val="0"/>
      <w:adjustRightInd w:val="0"/>
      <w:spacing w:before="40" w:after="40"/>
      <w:jc w:val="center"/>
      <w:textAlignment w:val="bottom"/>
    </w:pPr>
    <w:rPr>
      <w:kern w:val="0"/>
      <w:szCs w:val="20"/>
    </w:rPr>
  </w:style>
  <w:style w:type="paragraph" w:customStyle="1" w:styleId="359">
    <w:name w:val="xl10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360">
    <w:name w:val="_Style 418"/>
    <w:basedOn w:val="1"/>
    <w:next w:val="1"/>
    <w:unhideWhenUsed/>
    <w:qFormat/>
    <w:uiPriority w:val="99"/>
    <w:rPr>
      <w:rFonts w:ascii="Times New Roman" w:hAnsi="Times New Roman" w:eastAsia="宋体" w:cs="Times New Roman"/>
      <w:szCs w:val="24"/>
    </w:rPr>
  </w:style>
  <w:style w:type="paragraph" w:customStyle="1" w:styleId="361">
    <w:name w:val="正文首行缩进2字符"/>
    <w:basedOn w:val="1"/>
    <w:qFormat/>
    <w:uiPriority w:val="0"/>
    <w:pPr>
      <w:spacing w:line="500" w:lineRule="exact"/>
      <w:ind w:firstLine="200" w:firstLineChars="200"/>
    </w:pPr>
    <w:rPr>
      <w:rFonts w:ascii="宋体" w:hAnsi="宋体" w:eastAsia="宋体" w:cs="宋体"/>
      <w:sz w:val="28"/>
      <w:szCs w:val="28"/>
    </w:rPr>
  </w:style>
  <w:style w:type="paragraph" w:customStyle="1" w:styleId="362">
    <w:name w:val="xl92"/>
    <w:basedOn w:val="1"/>
    <w:qFormat/>
    <w:uiPriority w:val="0"/>
    <w:pPr>
      <w:widowControl/>
      <w:pBdr>
        <w:top w:val="single" w:color="auto" w:sz="4" w:space="0"/>
        <w:bottom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63">
    <w:name w:val="Char2"/>
    <w:basedOn w:val="1"/>
    <w:next w:val="1"/>
    <w:qFormat/>
    <w:uiPriority w:val="0"/>
    <w:rPr>
      <w:rFonts w:ascii="Times New Roman" w:hAnsi="Times New Roman" w:eastAsia="宋体" w:cs="Times New Roman"/>
      <w:szCs w:val="24"/>
    </w:rPr>
  </w:style>
  <w:style w:type="paragraph" w:customStyle="1" w:styleId="364">
    <w:name w:val="font9"/>
    <w:basedOn w:val="1"/>
    <w:qFormat/>
    <w:uiPriority w:val="0"/>
    <w:pPr>
      <w:widowControl/>
      <w:spacing w:before="100" w:beforeAutospacing="1" w:after="100" w:afterAutospacing="1"/>
      <w:jc w:val="left"/>
    </w:pPr>
    <w:rPr>
      <w:rFonts w:ascii="宋体" w:hAnsi="宋体" w:eastAsia="宋体" w:cs="宋体"/>
      <w:kern w:val="0"/>
      <w:sz w:val="18"/>
      <w:szCs w:val="18"/>
    </w:rPr>
  </w:style>
  <w:style w:type="paragraph" w:customStyle="1" w:styleId="365">
    <w:name w:val="正文文本缩进2"/>
    <w:basedOn w:val="1"/>
    <w:qFormat/>
    <w:uiPriority w:val="0"/>
    <w:pPr>
      <w:spacing w:line="560" w:lineRule="exact"/>
      <w:ind w:firstLine="538" w:firstLineChars="192"/>
    </w:pPr>
    <w:rPr>
      <w:rFonts w:ascii="Times New Roman" w:hAnsi="Times New Roman" w:eastAsia="方正仿宋_GB2312" w:cs="Times New Roman"/>
      <w:sz w:val="28"/>
      <w:szCs w:val="24"/>
    </w:rPr>
  </w:style>
  <w:style w:type="paragraph" w:customStyle="1" w:styleId="366">
    <w:name w:val="xl15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367">
    <w:name w:val="BZW"/>
    <w:basedOn w:val="1"/>
    <w:next w:val="368"/>
    <w:qFormat/>
    <w:uiPriority w:val="0"/>
    <w:pPr>
      <w:adjustRightInd w:val="0"/>
      <w:spacing w:line="360" w:lineRule="exact"/>
      <w:jc w:val="left"/>
      <w:textAlignment w:val="baseline"/>
    </w:pPr>
    <w:rPr>
      <w:rFonts w:ascii="@宋体" w:hAnsi="Times New Roman" w:eastAsia="宋体" w:cs="Times New Roman"/>
      <w:kern w:val="0"/>
      <w:sz w:val="24"/>
      <w:szCs w:val="20"/>
    </w:rPr>
  </w:style>
  <w:style w:type="paragraph" w:customStyle="1" w:styleId="368">
    <w:name w:val="SZW"/>
    <w:basedOn w:val="1"/>
    <w:qFormat/>
    <w:uiPriority w:val="0"/>
    <w:pPr>
      <w:adjustRightInd w:val="0"/>
      <w:spacing w:line="360" w:lineRule="exact"/>
      <w:ind w:firstLine="425"/>
      <w:jc w:val="left"/>
      <w:textAlignment w:val="baseline"/>
    </w:pPr>
    <w:rPr>
      <w:rFonts w:ascii="@宋体" w:hAnsi="Times New Roman" w:eastAsia="宋体" w:cs="Times New Roman"/>
      <w:kern w:val="0"/>
      <w:sz w:val="24"/>
      <w:szCs w:val="20"/>
    </w:rPr>
  </w:style>
  <w:style w:type="paragraph" w:customStyle="1" w:styleId="369">
    <w:name w:val="表格内容"/>
    <w:basedOn w:val="1"/>
    <w:next w:val="3"/>
    <w:link w:val="370"/>
    <w:qFormat/>
    <w:uiPriority w:val="99"/>
    <w:pPr>
      <w:overflowPunct w:val="0"/>
      <w:adjustRightInd w:val="0"/>
      <w:spacing w:before="40" w:after="60" w:line="200" w:lineRule="atLeast"/>
      <w:textAlignment w:val="baseline"/>
    </w:pPr>
    <w:rPr>
      <w:rFonts w:ascii="Arial" w:hAnsi="Arial" w:eastAsia="方正仿宋_GB2312" w:cs="Times New Roman"/>
      <w:kern w:val="0"/>
      <w:sz w:val="24"/>
      <w:szCs w:val="20"/>
    </w:rPr>
  </w:style>
  <w:style w:type="character" w:customStyle="1" w:styleId="370">
    <w:name w:val="表格内容 Char"/>
    <w:link w:val="369"/>
    <w:qFormat/>
    <w:locked/>
    <w:uiPriority w:val="99"/>
    <w:rPr>
      <w:rFonts w:ascii="Arial" w:hAnsi="Arial" w:eastAsia="方正仿宋_GB2312"/>
      <w:sz w:val="24"/>
    </w:rPr>
  </w:style>
  <w:style w:type="paragraph" w:customStyle="1" w:styleId="371">
    <w:name w:val="CM88"/>
    <w:basedOn w:val="66"/>
    <w:next w:val="66"/>
    <w:qFormat/>
    <w:uiPriority w:val="99"/>
    <w:pPr>
      <w:spacing w:after="278"/>
    </w:pPr>
    <w:rPr>
      <w:rFonts w:cs="Times New Roman"/>
      <w:color w:val="auto"/>
    </w:rPr>
  </w:style>
  <w:style w:type="paragraph" w:customStyle="1" w:styleId="372">
    <w:name w:val="LBG5"/>
    <w:basedOn w:val="1"/>
    <w:qFormat/>
    <w:uiPriority w:val="0"/>
    <w:pPr>
      <w:autoSpaceDE w:val="0"/>
      <w:autoSpaceDN w:val="0"/>
      <w:adjustRightInd w:val="0"/>
      <w:spacing w:line="200" w:lineRule="exact"/>
      <w:jc w:val="left"/>
      <w:textAlignment w:val="baseline"/>
    </w:pPr>
    <w:rPr>
      <w:rFonts w:ascii="@宋体" w:hAnsi="Times New Roman" w:eastAsia="宋体" w:cs="Times New Roman"/>
      <w:kern w:val="0"/>
      <w:szCs w:val="20"/>
    </w:rPr>
  </w:style>
  <w:style w:type="paragraph" w:customStyle="1" w:styleId="373">
    <w:name w:val="正文缩进11"/>
    <w:basedOn w:val="1"/>
    <w:qFormat/>
    <w:uiPriority w:val="0"/>
    <w:pPr>
      <w:adjustRightInd w:val="0"/>
      <w:snapToGrid w:val="0"/>
      <w:spacing w:line="360" w:lineRule="auto"/>
      <w:ind w:firstLine="420" w:firstLineChars="200"/>
    </w:pPr>
    <w:rPr>
      <w:rFonts w:ascii="Times New Roman" w:hAnsi="Times New Roman" w:eastAsia="宋体" w:cs="Times New Roman"/>
      <w:snapToGrid/>
      <w:sz w:val="28"/>
      <w:szCs w:val="24"/>
    </w:rPr>
  </w:style>
  <w:style w:type="paragraph" w:customStyle="1" w:styleId="374">
    <w:name w:val="表 头"/>
    <w:basedOn w:val="1"/>
    <w:qFormat/>
    <w:uiPriority w:val="0"/>
    <w:pPr>
      <w:adjustRightInd w:val="0"/>
      <w:spacing w:before="120" w:after="120" w:line="360" w:lineRule="atLeast"/>
      <w:jc w:val="center"/>
    </w:pPr>
    <w:rPr>
      <w:rFonts w:ascii="Times New Roman" w:hAnsi="Times New Roman" w:eastAsia="黑体" w:cs="Times New Roman"/>
      <w:bCs/>
      <w:color w:val="000000"/>
      <w:kern w:val="0"/>
      <w:szCs w:val="21"/>
      <w:lang w:val="zh-CN"/>
    </w:rPr>
  </w:style>
  <w:style w:type="paragraph" w:customStyle="1" w:styleId="375">
    <w:name w:val="文本块3"/>
    <w:basedOn w:val="1"/>
    <w:qFormat/>
    <w:uiPriority w:val="0"/>
    <w:pPr>
      <w:spacing w:after="120"/>
      <w:ind w:left="1440" w:leftChars="700" w:right="1440" w:rightChars="700"/>
    </w:pPr>
    <w:rPr>
      <w:rFonts w:ascii="Times New Roman" w:hAnsi="Times New Roman" w:eastAsia="宋体" w:cs="Times New Roman"/>
      <w:szCs w:val="20"/>
    </w:rPr>
  </w:style>
  <w:style w:type="paragraph" w:customStyle="1" w:styleId="376">
    <w:name w:val="索引 22"/>
    <w:basedOn w:val="1"/>
    <w:next w:val="1"/>
    <w:qFormat/>
    <w:uiPriority w:val="0"/>
    <w:pPr>
      <w:autoSpaceDE w:val="0"/>
      <w:autoSpaceDN w:val="0"/>
      <w:adjustRightInd w:val="0"/>
      <w:ind w:left="200" w:leftChars="200"/>
      <w:jc w:val="left"/>
      <w:textAlignment w:val="baseline"/>
    </w:pPr>
    <w:rPr>
      <w:rFonts w:ascii="宋体" w:hAnsi="Times New Roman" w:eastAsia="宋体" w:cs="Times New Roman"/>
      <w:kern w:val="0"/>
      <w:sz w:val="34"/>
      <w:szCs w:val="20"/>
    </w:rPr>
  </w:style>
  <w:style w:type="paragraph" w:customStyle="1" w:styleId="377">
    <w:name w:val="xl1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color w:val="000000"/>
      <w:kern w:val="0"/>
      <w:sz w:val="20"/>
      <w:szCs w:val="20"/>
    </w:rPr>
  </w:style>
  <w:style w:type="paragraph" w:customStyle="1" w:styleId="378">
    <w:name w:val="图表文字"/>
    <w:next w:val="1"/>
    <w:qFormat/>
    <w:uiPriority w:val="0"/>
    <w:pPr>
      <w:jc w:val="center"/>
    </w:pPr>
    <w:rPr>
      <w:rFonts w:ascii="Times New Roman" w:hAnsi="Times New Roman" w:eastAsia="宋体" w:cs="Times New Roman"/>
      <w:kern w:val="2"/>
      <w:sz w:val="21"/>
      <w:szCs w:val="24"/>
      <w:lang w:val="en-US" w:eastAsia="zh-CN" w:bidi="ar-SA"/>
    </w:rPr>
  </w:style>
  <w:style w:type="paragraph" w:customStyle="1" w:styleId="379">
    <w:name w:val="xl72"/>
    <w:basedOn w:val="1"/>
    <w:qFormat/>
    <w:uiPriority w:val="0"/>
    <w:pPr>
      <w:widowControl/>
      <w:spacing w:before="100" w:beforeAutospacing="1" w:after="100" w:afterAutospacing="1"/>
      <w:jc w:val="center"/>
      <w:textAlignment w:val="center"/>
    </w:pPr>
    <w:rPr>
      <w:rFonts w:ascii="宋体" w:hAnsi="宋体" w:eastAsia="宋体" w:cs="宋体"/>
      <w:kern w:val="0"/>
      <w:sz w:val="22"/>
    </w:rPr>
  </w:style>
  <w:style w:type="paragraph" w:customStyle="1" w:styleId="380">
    <w:name w:val="xl1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color w:val="FF0000"/>
      <w:kern w:val="0"/>
      <w:sz w:val="20"/>
      <w:szCs w:val="20"/>
    </w:rPr>
  </w:style>
  <w:style w:type="paragraph" w:customStyle="1" w:styleId="381">
    <w:name w:val="xl10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382">
    <w:name w:val="xl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宋体" w:cs="Times New Roman"/>
      <w:kern w:val="0"/>
      <w:sz w:val="20"/>
      <w:szCs w:val="20"/>
    </w:rPr>
  </w:style>
  <w:style w:type="paragraph" w:customStyle="1" w:styleId="383">
    <w:name w:val="xl6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Cs w:val="21"/>
    </w:rPr>
  </w:style>
  <w:style w:type="paragraph" w:customStyle="1" w:styleId="384">
    <w:name w:val="7表后注"/>
    <w:basedOn w:val="1"/>
    <w:qFormat/>
    <w:uiPriority w:val="0"/>
    <w:pPr>
      <w:snapToGrid w:val="0"/>
    </w:pPr>
    <w:rPr>
      <w:rFonts w:ascii="Times New Roman" w:hAnsi="Times New Roman" w:eastAsia="宋体" w:cs="Times New Roman"/>
      <w:color w:val="000000"/>
      <w:szCs w:val="21"/>
    </w:rPr>
  </w:style>
  <w:style w:type="paragraph" w:customStyle="1" w:styleId="385">
    <w:name w:val="样式 正文文本缩进 + 居中"/>
    <w:basedOn w:val="24"/>
    <w:qFormat/>
    <w:uiPriority w:val="0"/>
    <w:pPr>
      <w:ind w:left="0" w:leftChars="0"/>
      <w:jc w:val="center"/>
    </w:pPr>
    <w:rPr>
      <w:rFonts w:ascii="Times New Roman" w:hAnsi="Times New Roman" w:eastAsia="宋体" w:cs="宋体"/>
      <w:szCs w:val="20"/>
    </w:rPr>
  </w:style>
  <w:style w:type="paragraph" w:customStyle="1" w:styleId="386">
    <w:name w:val="_Style 379"/>
    <w:basedOn w:val="3"/>
    <w:next w:val="1"/>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387">
    <w:name w:val="表格1"/>
    <w:basedOn w:val="1"/>
    <w:qFormat/>
    <w:uiPriority w:val="0"/>
    <w:pPr>
      <w:spacing w:line="320" w:lineRule="exact"/>
      <w:jc w:val="center"/>
    </w:pPr>
    <w:rPr>
      <w:rFonts w:ascii="Times New Roman" w:hAnsi="Times New Roman" w:eastAsia="宋体" w:cs="Times New Roman"/>
      <w:bCs/>
      <w:spacing w:val="6"/>
      <w:kern w:val="0"/>
      <w:szCs w:val="21"/>
    </w:rPr>
  </w:style>
  <w:style w:type="paragraph" w:customStyle="1" w:styleId="388">
    <w:name w:val="11标题 3"/>
    <w:basedOn w:val="5"/>
    <w:qFormat/>
    <w:uiPriority w:val="0"/>
    <w:rPr>
      <w:rFonts w:eastAsia="方正仿宋_GB2312"/>
      <w:sz w:val="28"/>
      <w:szCs w:val="28"/>
    </w:rPr>
  </w:style>
  <w:style w:type="paragraph" w:customStyle="1" w:styleId="389">
    <w:name w:val="正文文本缩进 32"/>
    <w:basedOn w:val="1"/>
    <w:qFormat/>
    <w:uiPriority w:val="0"/>
    <w:pPr>
      <w:spacing w:after="120"/>
      <w:ind w:left="420" w:leftChars="200"/>
    </w:pPr>
    <w:rPr>
      <w:rFonts w:ascii="Times New Roman" w:hAnsi="Times New Roman" w:eastAsia="宋体" w:cs="Times New Roman"/>
      <w:sz w:val="16"/>
      <w:szCs w:val="16"/>
    </w:rPr>
  </w:style>
  <w:style w:type="paragraph" w:customStyle="1" w:styleId="390">
    <w:name w:val="xl1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color w:val="000000"/>
      <w:kern w:val="0"/>
      <w:sz w:val="20"/>
      <w:szCs w:val="20"/>
    </w:rPr>
  </w:style>
  <w:style w:type="paragraph" w:customStyle="1" w:styleId="391">
    <w:name w:val="正文文本 211"/>
    <w:basedOn w:val="1"/>
    <w:qFormat/>
    <w:uiPriority w:val="0"/>
    <w:pPr>
      <w:spacing w:after="120" w:line="480" w:lineRule="auto"/>
    </w:pPr>
    <w:rPr>
      <w:rFonts w:ascii="Times New Roman" w:hAnsi="Times New Roman" w:eastAsia="宋体" w:cs="Times New Roman"/>
      <w:szCs w:val="24"/>
    </w:rPr>
  </w:style>
  <w:style w:type="paragraph" w:customStyle="1" w:styleId="392">
    <w:name w:val="样式 标题 4 + 三号 段前: 7.8 磅 段后: 7.8 磅"/>
    <w:basedOn w:val="10"/>
    <w:qFormat/>
    <w:uiPriority w:val="0"/>
    <w:pPr>
      <w:spacing w:before="156" w:after="156" w:line="377" w:lineRule="auto"/>
    </w:pPr>
    <w:rPr>
      <w:rFonts w:ascii="Times New Roman" w:hAnsi="Times New Roman" w:cs="宋体"/>
      <w:szCs w:val="20"/>
    </w:rPr>
  </w:style>
  <w:style w:type="paragraph" w:customStyle="1" w:styleId="393">
    <w:name w:val="xl7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394">
    <w:name w:val="CM21"/>
    <w:basedOn w:val="66"/>
    <w:next w:val="66"/>
    <w:qFormat/>
    <w:uiPriority w:val="0"/>
    <w:pPr>
      <w:spacing w:after="210"/>
    </w:pPr>
    <w:rPr>
      <w:rFonts w:ascii="黑体" w:hAnsi="Times New Roman" w:eastAsia="黑体" w:cs="Times New Roman"/>
      <w:color w:val="auto"/>
    </w:rPr>
  </w:style>
  <w:style w:type="paragraph" w:customStyle="1" w:styleId="395">
    <w:name w:val="报告表正文"/>
    <w:basedOn w:val="1"/>
    <w:qFormat/>
    <w:uiPriority w:val="0"/>
    <w:pPr>
      <w:adjustRightInd w:val="0"/>
      <w:spacing w:line="312" w:lineRule="auto"/>
      <w:ind w:left="113" w:right="113" w:firstLine="482"/>
      <w:jc w:val="left"/>
      <w:textAlignment w:val="baseline"/>
    </w:pPr>
    <w:rPr>
      <w:rFonts w:ascii="Times New Roman" w:hAnsi="Times New Roman" w:eastAsia="宋体" w:cs="Times New Roman"/>
      <w:kern w:val="0"/>
      <w:sz w:val="24"/>
      <w:szCs w:val="20"/>
    </w:rPr>
  </w:style>
  <w:style w:type="paragraph" w:customStyle="1" w:styleId="396">
    <w:name w:val="xl158"/>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97">
    <w:name w:val="xl9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398">
    <w:name w:val="表格，五宋"/>
    <w:qFormat/>
    <w:uiPriority w:val="0"/>
    <w:pPr>
      <w:adjustRightInd w:val="0"/>
      <w:snapToGrid w:val="0"/>
      <w:jc w:val="center"/>
    </w:pPr>
    <w:rPr>
      <w:rFonts w:ascii="Times New Roman" w:hAnsi="Times New Roman" w:eastAsia="宋体" w:cs="Times New Roman"/>
      <w:snapToGrid w:val="0"/>
      <w:sz w:val="24"/>
      <w:lang w:val="en-US" w:eastAsia="zh-CN" w:bidi="ar-SA"/>
    </w:rPr>
  </w:style>
  <w:style w:type="paragraph" w:customStyle="1" w:styleId="399">
    <w:name w:val="CM107"/>
    <w:basedOn w:val="66"/>
    <w:next w:val="66"/>
    <w:qFormat/>
    <w:uiPriority w:val="0"/>
    <w:pPr>
      <w:spacing w:after="127"/>
    </w:pPr>
    <w:rPr>
      <w:rFonts w:ascii="Simplex" w:hAnsi="Times New Roman" w:eastAsia="Simplex" w:cs="Simplex"/>
      <w:color w:val="auto"/>
    </w:rPr>
  </w:style>
  <w:style w:type="paragraph" w:customStyle="1" w:styleId="400">
    <w:name w:val="xl149"/>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401">
    <w:name w:val="CM64"/>
    <w:basedOn w:val="66"/>
    <w:next w:val="66"/>
    <w:qFormat/>
    <w:uiPriority w:val="0"/>
    <w:rPr>
      <w:color w:val="auto"/>
    </w:rPr>
  </w:style>
  <w:style w:type="paragraph" w:customStyle="1" w:styleId="402">
    <w:name w:val="标题 A"/>
    <w:basedOn w:val="1"/>
    <w:next w:val="1"/>
    <w:qFormat/>
    <w:uiPriority w:val="0"/>
    <w:pPr>
      <w:tabs>
        <w:tab w:val="left" w:pos="3437"/>
      </w:tabs>
      <w:spacing w:line="360" w:lineRule="auto"/>
      <w:ind w:left="3437" w:hanging="737"/>
    </w:pPr>
    <w:rPr>
      <w:rFonts w:ascii="Times New Roman" w:hAnsi="Times New Roman" w:eastAsia="宋体" w:cs="Times New Roman"/>
      <w:b/>
      <w:sz w:val="28"/>
      <w:szCs w:val="20"/>
    </w:rPr>
  </w:style>
  <w:style w:type="paragraph" w:customStyle="1" w:styleId="403">
    <w:name w:val="x.x(1)"/>
    <w:basedOn w:val="1"/>
    <w:qFormat/>
    <w:uiPriority w:val="0"/>
    <w:pPr>
      <w:widowControl/>
      <w:autoSpaceDE w:val="0"/>
      <w:autoSpaceDN w:val="0"/>
      <w:adjustRightInd w:val="0"/>
      <w:snapToGrid w:val="0"/>
      <w:spacing w:line="300" w:lineRule="auto"/>
      <w:ind w:left="1134" w:hanging="567"/>
    </w:pPr>
    <w:rPr>
      <w:rFonts w:ascii="Arial" w:hAnsi="Arial" w:eastAsia="MS PGothic" w:cs="Times New Roman"/>
      <w:snapToGrid/>
      <w:kern w:val="0"/>
      <w:sz w:val="22"/>
      <w:szCs w:val="20"/>
      <w:lang w:eastAsia="ja-JP"/>
    </w:rPr>
  </w:style>
  <w:style w:type="paragraph" w:customStyle="1" w:styleId="404">
    <w:name w:val="标题2"/>
    <w:basedOn w:val="1"/>
    <w:next w:val="1"/>
    <w:qFormat/>
    <w:uiPriority w:val="0"/>
    <w:pPr>
      <w:adjustRightInd w:val="0"/>
      <w:snapToGrid w:val="0"/>
      <w:spacing w:before="312" w:beforeLines="100" w:after="240" w:line="360" w:lineRule="auto"/>
    </w:pPr>
    <w:rPr>
      <w:rFonts w:ascii="Times New Roman" w:hAnsi="Times New Roman" w:eastAsia="黑体" w:cs="Times New Roman"/>
      <w:kern w:val="0"/>
      <w:sz w:val="24"/>
      <w:szCs w:val="20"/>
    </w:rPr>
  </w:style>
  <w:style w:type="paragraph" w:customStyle="1" w:styleId="405">
    <w:name w:val=".."/>
    <w:basedOn w:val="66"/>
    <w:next w:val="66"/>
    <w:qFormat/>
    <w:uiPriority w:val="0"/>
    <w:rPr>
      <w:rFonts w:ascii="Times New Roman" w:hAnsi="Times New Roman" w:eastAsia="宋体" w:cs="Times New Roman"/>
      <w:color w:val="auto"/>
    </w:rPr>
  </w:style>
  <w:style w:type="paragraph" w:customStyle="1" w:styleId="406">
    <w:name w:val="索引 111"/>
    <w:basedOn w:val="1"/>
    <w:next w:val="1"/>
    <w:qFormat/>
    <w:uiPriority w:val="0"/>
    <w:rPr>
      <w:rFonts w:ascii="Times New Roman" w:hAnsi="Times New Roman" w:eastAsia="宋体" w:cs="Times New Roman"/>
      <w:szCs w:val="24"/>
    </w:rPr>
  </w:style>
  <w:style w:type="paragraph" w:customStyle="1" w:styleId="407">
    <w:name w:val="xl94"/>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18"/>
      <w:szCs w:val="18"/>
    </w:rPr>
  </w:style>
  <w:style w:type="paragraph" w:customStyle="1" w:styleId="408">
    <w:name w:val="xl10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409">
    <w:name w:val="CM68"/>
    <w:basedOn w:val="1"/>
    <w:next w:val="1"/>
    <w:qFormat/>
    <w:uiPriority w:val="0"/>
    <w:pPr>
      <w:autoSpaceDE w:val="0"/>
      <w:autoSpaceDN w:val="0"/>
      <w:adjustRightInd w:val="0"/>
      <w:spacing w:line="468" w:lineRule="atLeast"/>
      <w:jc w:val="left"/>
    </w:pPr>
    <w:rPr>
      <w:rFonts w:ascii="Simplex" w:hAnsi="Times New Roman" w:eastAsia="Simplex" w:cs="Simplex"/>
      <w:kern w:val="0"/>
      <w:sz w:val="24"/>
      <w:szCs w:val="24"/>
    </w:rPr>
  </w:style>
  <w:style w:type="paragraph" w:customStyle="1" w:styleId="410">
    <w:name w:val="5表标题"/>
    <w:qFormat/>
    <w:uiPriority w:val="0"/>
    <w:pPr>
      <w:jc w:val="center"/>
    </w:pPr>
    <w:rPr>
      <w:rFonts w:ascii="Times New Roman" w:hAnsi="Times New Roman" w:eastAsia="宋体" w:cs="宋体"/>
      <w:b/>
      <w:bCs/>
      <w:kern w:val="2"/>
      <w:sz w:val="21"/>
      <w:lang w:val="en-US" w:eastAsia="zh-CN" w:bidi="ar-SA"/>
    </w:rPr>
  </w:style>
  <w:style w:type="paragraph" w:customStyle="1" w:styleId="411">
    <w:name w:val="ZW"/>
    <w:basedOn w:val="1"/>
    <w:qFormat/>
    <w:uiPriority w:val="0"/>
    <w:pPr>
      <w:autoSpaceDE w:val="0"/>
      <w:autoSpaceDN w:val="0"/>
      <w:adjustRightInd w:val="0"/>
      <w:ind w:firstLine="397"/>
      <w:textAlignment w:val="baseline"/>
    </w:pPr>
    <w:rPr>
      <w:rFonts w:ascii="@宋体" w:hAnsi="Times New Roman" w:eastAsia="宋体" w:cs="Times New Roman"/>
      <w:kern w:val="0"/>
      <w:sz w:val="13"/>
      <w:szCs w:val="20"/>
    </w:rPr>
  </w:style>
  <w:style w:type="paragraph" w:customStyle="1" w:styleId="412">
    <w:name w:val="图片"/>
    <w:basedOn w:val="1"/>
    <w:qFormat/>
    <w:uiPriority w:val="0"/>
    <w:pPr>
      <w:spacing w:line="440" w:lineRule="exact"/>
    </w:pPr>
    <w:rPr>
      <w:rFonts w:ascii="Times New Roman" w:hAnsi="Times New Roman" w:eastAsia="宋体" w:cs="Times New Roman"/>
      <w:sz w:val="24"/>
      <w:szCs w:val="24"/>
    </w:rPr>
  </w:style>
  <w:style w:type="paragraph" w:customStyle="1" w:styleId="413">
    <w:name w:val="报告书正文"/>
    <w:basedOn w:val="145"/>
    <w:qFormat/>
    <w:uiPriority w:val="0"/>
    <w:pPr>
      <w:spacing w:line="300" w:lineRule="auto"/>
      <w:ind w:firstLine="200" w:firstLineChars="200"/>
    </w:pPr>
    <w:rPr>
      <w:rFonts w:eastAsia="宋体"/>
      <w:sz w:val="24"/>
      <w:szCs w:val="20"/>
    </w:rPr>
  </w:style>
  <w:style w:type="paragraph" w:customStyle="1" w:styleId="414">
    <w:name w:val="正文1"/>
    <w:basedOn w:val="1"/>
    <w:qFormat/>
    <w:uiPriority w:val="0"/>
    <w:pPr>
      <w:snapToGrid w:val="0"/>
      <w:spacing w:line="500" w:lineRule="atLeast"/>
      <w:ind w:firstLine="539"/>
    </w:pPr>
    <w:rPr>
      <w:rFonts w:ascii="宋体" w:hAnsi="Times New Roman" w:eastAsia="宋体" w:cs="Times New Roman"/>
      <w:spacing w:val="14"/>
      <w:sz w:val="24"/>
      <w:szCs w:val="20"/>
    </w:rPr>
  </w:style>
  <w:style w:type="paragraph" w:customStyle="1" w:styleId="415">
    <w:name w:val="正文文本 32"/>
    <w:basedOn w:val="1"/>
    <w:qFormat/>
    <w:uiPriority w:val="0"/>
    <w:pPr>
      <w:spacing w:after="120"/>
    </w:pPr>
    <w:rPr>
      <w:rFonts w:ascii="Times New Roman" w:hAnsi="Times New Roman" w:eastAsia="宋体" w:cs="Times New Roman"/>
      <w:sz w:val="16"/>
      <w:szCs w:val="16"/>
    </w:rPr>
  </w:style>
  <w:style w:type="paragraph" w:customStyle="1" w:styleId="416">
    <w:name w:val="四级目录"/>
    <w:basedOn w:val="361"/>
    <w:qFormat/>
    <w:uiPriority w:val="0"/>
    <w:pPr>
      <w:ind w:left="200" w:leftChars="200"/>
    </w:pPr>
  </w:style>
  <w:style w:type="paragraph" w:customStyle="1" w:styleId="417">
    <w:name w:val="HTML 预设格式11"/>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eastAsia="宋体" w:cs="Times New Roman"/>
      <w:sz w:val="24"/>
      <w:szCs w:val="24"/>
    </w:rPr>
  </w:style>
  <w:style w:type="paragraph" w:customStyle="1" w:styleId="418">
    <w:name w:val="xl147"/>
    <w:basedOn w:val="1"/>
    <w:qFormat/>
    <w:uiPriority w:val="0"/>
    <w:pPr>
      <w:widowControl/>
      <w:pBdr>
        <w:top w:val="single" w:color="auto" w:sz="4" w:space="0"/>
        <w:bottom w:val="single" w:color="auto" w:sz="4" w:space="0"/>
      </w:pBdr>
      <w:spacing w:before="100" w:beforeAutospacing="1" w:after="100" w:afterAutospacing="1"/>
      <w:jc w:val="center"/>
      <w:textAlignment w:val="center"/>
    </w:pPr>
    <w:rPr>
      <w:rFonts w:ascii="宋体" w:hAnsi="宋体" w:eastAsia="宋体" w:cs="宋体"/>
      <w:b/>
      <w:bCs/>
      <w:kern w:val="0"/>
      <w:sz w:val="20"/>
      <w:szCs w:val="20"/>
    </w:rPr>
  </w:style>
  <w:style w:type="paragraph" w:customStyle="1" w:styleId="419">
    <w:name w:val="xl71"/>
    <w:basedOn w:val="1"/>
    <w:qFormat/>
    <w:uiPriority w:val="0"/>
    <w:pPr>
      <w:widowControl/>
      <w:spacing w:before="100" w:beforeAutospacing="1" w:after="100" w:afterAutospacing="1"/>
      <w:jc w:val="center"/>
      <w:textAlignment w:val="center"/>
    </w:pPr>
    <w:rPr>
      <w:rFonts w:ascii="宋体" w:hAnsi="宋体" w:eastAsia="宋体" w:cs="宋体"/>
      <w:kern w:val="0"/>
      <w:sz w:val="22"/>
    </w:rPr>
  </w:style>
  <w:style w:type="paragraph" w:customStyle="1" w:styleId="420">
    <w:name w:val="CM58"/>
    <w:basedOn w:val="1"/>
    <w:next w:val="1"/>
    <w:qFormat/>
    <w:uiPriority w:val="0"/>
    <w:pPr>
      <w:autoSpaceDE w:val="0"/>
      <w:autoSpaceDN w:val="0"/>
      <w:adjustRightInd w:val="0"/>
      <w:jc w:val="left"/>
    </w:pPr>
    <w:rPr>
      <w:rFonts w:ascii="Simplex" w:hAnsi="Times New Roman" w:eastAsia="Simplex" w:cs="Simplex"/>
      <w:kern w:val="0"/>
      <w:sz w:val="24"/>
      <w:szCs w:val="24"/>
    </w:rPr>
  </w:style>
  <w:style w:type="paragraph" w:customStyle="1" w:styleId="421">
    <w:name w:val="CM26"/>
    <w:basedOn w:val="66"/>
    <w:next w:val="66"/>
    <w:qFormat/>
    <w:uiPriority w:val="0"/>
    <w:pPr>
      <w:spacing w:line="468" w:lineRule="atLeast"/>
    </w:pPr>
    <w:rPr>
      <w:rFonts w:ascii="宋体" w:eastAsia="宋体" w:cs="Times New Roman"/>
      <w:color w:val="auto"/>
    </w:rPr>
  </w:style>
  <w:style w:type="paragraph" w:customStyle="1" w:styleId="422">
    <w:name w:val="表内文字"/>
    <w:basedOn w:val="1"/>
    <w:qFormat/>
    <w:uiPriority w:val="0"/>
    <w:pPr>
      <w:spacing w:line="360" w:lineRule="atLeast"/>
      <w:jc w:val="center"/>
    </w:pPr>
  </w:style>
  <w:style w:type="paragraph" w:customStyle="1" w:styleId="423">
    <w:name w:val="样式 列表 + 居中 首行缩进:  2 字符"/>
    <w:basedOn w:val="41"/>
    <w:qFormat/>
    <w:uiPriority w:val="0"/>
    <w:pPr>
      <w:snapToGrid w:val="0"/>
      <w:spacing w:line="440" w:lineRule="exact"/>
      <w:ind w:left="0" w:firstLine="0" w:firstLineChars="0"/>
      <w:jc w:val="left"/>
    </w:pPr>
    <w:rPr>
      <w:rFonts w:cs="宋体"/>
      <w:szCs w:val="20"/>
    </w:rPr>
  </w:style>
  <w:style w:type="paragraph" w:customStyle="1" w:styleId="424">
    <w:name w:val="xl110"/>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b/>
      <w:bCs/>
      <w:color w:val="000000"/>
      <w:kern w:val="0"/>
      <w:sz w:val="20"/>
      <w:szCs w:val="20"/>
    </w:rPr>
  </w:style>
  <w:style w:type="paragraph" w:customStyle="1" w:styleId="425">
    <w:name w:val="表标题"/>
    <w:basedOn w:val="17"/>
    <w:qFormat/>
    <w:uiPriority w:val="0"/>
    <w:pPr>
      <w:tabs>
        <w:tab w:val="left" w:pos="1152"/>
        <w:tab w:val="clear" w:pos="567"/>
      </w:tabs>
      <w:spacing w:before="124" w:beforeLines="40" w:after="249" w:afterLines="80" w:line="300" w:lineRule="auto"/>
      <w:ind w:left="1152" w:hanging="1152"/>
      <w:jc w:val="center"/>
    </w:pPr>
    <w:rPr>
      <w:rFonts w:ascii="宋体" w:hAnsi="规范宋体超大字库" w:eastAsia="华文新魏"/>
      <w:szCs w:val="28"/>
    </w:rPr>
  </w:style>
  <w:style w:type="paragraph" w:customStyle="1" w:styleId="426">
    <w:name w:val="表格正文"/>
    <w:basedOn w:val="1"/>
    <w:qFormat/>
    <w:uiPriority w:val="0"/>
    <w:pPr>
      <w:adjustRightInd w:val="0"/>
      <w:spacing w:line="0" w:lineRule="atLeast"/>
      <w:textAlignment w:val="baseline"/>
    </w:pPr>
    <w:rPr>
      <w:szCs w:val="20"/>
    </w:rPr>
  </w:style>
  <w:style w:type="paragraph" w:customStyle="1" w:styleId="427">
    <w:name w:val="表列"/>
    <w:next w:val="1"/>
    <w:qFormat/>
    <w:uiPriority w:val="0"/>
    <w:pPr>
      <w:widowControl w:val="0"/>
      <w:jc w:val="center"/>
    </w:pPr>
    <w:rPr>
      <w:rFonts w:ascii="Times New Roman" w:hAnsi="Times New Roman" w:eastAsia="黑体" w:cs="Times New Roman"/>
      <w:kern w:val="2"/>
      <w:sz w:val="21"/>
      <w:szCs w:val="21"/>
      <w:lang w:val="en-US" w:eastAsia="zh-CN" w:bidi="ar-SA"/>
    </w:rPr>
  </w:style>
  <w:style w:type="paragraph" w:customStyle="1" w:styleId="428">
    <w:name w:val="正文缩进2"/>
    <w:basedOn w:val="1"/>
    <w:qFormat/>
    <w:uiPriority w:val="0"/>
    <w:pPr>
      <w:adjustRightInd w:val="0"/>
      <w:snapToGrid w:val="0"/>
      <w:spacing w:line="360" w:lineRule="auto"/>
      <w:ind w:firstLine="420" w:firstLineChars="200"/>
    </w:pPr>
    <w:rPr>
      <w:rFonts w:ascii="Times New Roman" w:hAnsi="Times New Roman" w:eastAsia="宋体" w:cs="Times New Roman"/>
      <w:snapToGrid/>
      <w:sz w:val="28"/>
      <w:szCs w:val="24"/>
    </w:rPr>
  </w:style>
  <w:style w:type="paragraph" w:customStyle="1" w:styleId="429">
    <w:name w:val="表格文字图表文字居中"/>
    <w:basedOn w:val="1"/>
    <w:qFormat/>
    <w:uiPriority w:val="0"/>
    <w:pPr>
      <w:snapToGrid w:val="0"/>
      <w:jc w:val="center"/>
    </w:pPr>
    <w:rPr>
      <w:rFonts w:ascii="Times New Roman" w:hAnsi="Times New Roman" w:eastAsia="宋体" w:cs="宋体"/>
      <w:sz w:val="24"/>
      <w:szCs w:val="20"/>
    </w:rPr>
  </w:style>
  <w:style w:type="paragraph" w:customStyle="1" w:styleId="430">
    <w:name w:val="样式2"/>
    <w:basedOn w:val="1"/>
    <w:qFormat/>
    <w:uiPriority w:val="0"/>
    <w:pPr>
      <w:keepNext/>
      <w:keepLines/>
      <w:spacing w:before="260" w:after="260" w:line="360" w:lineRule="auto"/>
      <w:jc w:val="left"/>
      <w:outlineLvl w:val="1"/>
    </w:pPr>
    <w:rPr>
      <w:rFonts w:ascii="Times New Roman" w:hAnsi="Times New Roman" w:eastAsia="方正仿宋_GB2312" w:cs="Times New Roman"/>
      <w:b/>
      <w:bCs/>
      <w:sz w:val="28"/>
      <w:szCs w:val="28"/>
    </w:rPr>
  </w:style>
  <w:style w:type="paragraph" w:customStyle="1" w:styleId="431">
    <w:name w:val="HTML 预设格式2"/>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eastAsia="宋体" w:cs="Times New Roman"/>
      <w:sz w:val="24"/>
      <w:szCs w:val="24"/>
    </w:rPr>
  </w:style>
  <w:style w:type="paragraph" w:customStyle="1" w:styleId="432">
    <w:name w:val="xl47"/>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Times New Roman"/>
      <w:kern w:val="0"/>
      <w:sz w:val="24"/>
      <w:szCs w:val="24"/>
    </w:rPr>
  </w:style>
  <w:style w:type="paragraph" w:customStyle="1" w:styleId="433">
    <w:name w:val="样式 标题 1 + 华文中宋 两端对齐 左侧:  0 厘米"/>
    <w:basedOn w:val="3"/>
    <w:qFormat/>
    <w:uiPriority w:val="0"/>
    <w:pPr>
      <w:tabs>
        <w:tab w:val="left" w:pos="720"/>
      </w:tabs>
      <w:spacing w:line="240" w:lineRule="auto"/>
      <w:ind w:left="720" w:hanging="720"/>
    </w:pPr>
    <w:rPr>
      <w:rFonts w:ascii="华文中宋" w:hAnsi="华文中宋" w:eastAsia="华文中宋" w:cs="宋体"/>
    </w:rPr>
  </w:style>
  <w:style w:type="paragraph" w:customStyle="1" w:styleId="434">
    <w:name w:val="+列表1"/>
    <w:basedOn w:val="1"/>
    <w:qFormat/>
    <w:uiPriority w:val="0"/>
    <w:pPr>
      <w:jc w:val="center"/>
    </w:pPr>
    <w:rPr>
      <w:szCs w:val="24"/>
    </w:rPr>
  </w:style>
  <w:style w:type="paragraph" w:customStyle="1" w:styleId="435">
    <w:name w:val="xl10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436">
    <w:name w:val="april标题2"/>
    <w:basedOn w:val="4"/>
    <w:qFormat/>
    <w:uiPriority w:val="0"/>
    <w:pPr>
      <w:adjustRightInd w:val="0"/>
      <w:spacing w:before="240" w:after="0" w:line="360" w:lineRule="auto"/>
      <w:textAlignment w:val="baseline"/>
    </w:pPr>
    <w:rPr>
      <w:rFonts w:ascii="Times New Roman" w:hAnsi="Times New Roman" w:eastAsia="宋体"/>
      <w:bCs w:val="0"/>
      <w:spacing w:val="6"/>
      <w:kern w:val="0"/>
      <w:sz w:val="28"/>
      <w:szCs w:val="20"/>
    </w:rPr>
  </w:style>
  <w:style w:type="paragraph" w:customStyle="1" w:styleId="437">
    <w:name w:val="Table Paragraph"/>
    <w:basedOn w:val="1"/>
    <w:qFormat/>
    <w:uiPriority w:val="1"/>
    <w:pPr>
      <w:jc w:val="left"/>
    </w:pPr>
    <w:rPr>
      <w:kern w:val="0"/>
      <w:sz w:val="22"/>
      <w:lang w:eastAsia="en-US"/>
    </w:rPr>
  </w:style>
  <w:style w:type="paragraph" w:customStyle="1" w:styleId="438">
    <w:name w:val="普通(网站)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439">
    <w:name w:val="CM43"/>
    <w:basedOn w:val="66"/>
    <w:next w:val="66"/>
    <w:qFormat/>
    <w:uiPriority w:val="99"/>
    <w:pPr>
      <w:spacing w:line="500" w:lineRule="atLeast"/>
      <w:jc w:val="left"/>
      <w:textAlignment w:val="auto"/>
    </w:pPr>
    <w:rPr>
      <w:rFonts w:ascii="宋体" w:hAnsi="Calibri"/>
      <w:color w:val="auto"/>
    </w:rPr>
  </w:style>
  <w:style w:type="paragraph" w:customStyle="1" w:styleId="440">
    <w:name w:val="font10"/>
    <w:basedOn w:val="1"/>
    <w:qFormat/>
    <w:uiPriority w:val="0"/>
    <w:pPr>
      <w:widowControl/>
      <w:spacing w:before="100" w:beforeAutospacing="1" w:after="100" w:afterAutospacing="1"/>
      <w:jc w:val="left"/>
    </w:pPr>
    <w:rPr>
      <w:rFonts w:ascii="Tahoma" w:hAnsi="Tahoma" w:eastAsia="宋体" w:cs="Tahoma"/>
      <w:b/>
      <w:bCs/>
      <w:color w:val="000000"/>
      <w:kern w:val="0"/>
      <w:sz w:val="18"/>
      <w:szCs w:val="18"/>
    </w:rPr>
  </w:style>
  <w:style w:type="paragraph" w:customStyle="1" w:styleId="441">
    <w:name w:val="xl9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442">
    <w:name w:val="xl89"/>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443">
    <w:name w:val="批注主题21"/>
    <w:basedOn w:val="22"/>
    <w:next w:val="22"/>
    <w:qFormat/>
    <w:uiPriority w:val="0"/>
    <w:rPr>
      <w:rFonts w:ascii="Times New Roman" w:hAnsi="Times New Roman" w:eastAsia="宋体" w:cs="Times New Roman"/>
      <w:b/>
      <w:bCs/>
      <w:szCs w:val="24"/>
    </w:rPr>
  </w:style>
  <w:style w:type="paragraph" w:customStyle="1" w:styleId="444">
    <w:name w:val="论文正文"/>
    <w:basedOn w:val="18"/>
    <w:qFormat/>
    <w:uiPriority w:val="0"/>
    <w:pPr>
      <w:ind w:firstLine="480" w:firstLineChars="200"/>
    </w:pPr>
    <w:rPr>
      <w:rFonts w:ascii="宋体" w:hAnsi="宋体"/>
      <w:sz w:val="28"/>
      <w:szCs w:val="24"/>
      <w:lang w:val="en-US"/>
    </w:rPr>
  </w:style>
  <w:style w:type="paragraph" w:customStyle="1" w:styleId="445">
    <w:name w:val="xl80"/>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446">
    <w:name w:val="CM7"/>
    <w:basedOn w:val="66"/>
    <w:next w:val="66"/>
    <w:qFormat/>
    <w:uiPriority w:val="0"/>
    <w:pPr>
      <w:spacing w:line="280" w:lineRule="atLeast"/>
    </w:pPr>
    <w:rPr>
      <w:rFonts w:ascii="宋体" w:hAnsi="Times New Roman" w:eastAsia="宋体" w:cs="Times New Roman"/>
      <w:color w:val="auto"/>
    </w:rPr>
  </w:style>
  <w:style w:type="paragraph" w:customStyle="1" w:styleId="447">
    <w:name w:val="普通文字"/>
    <w:basedOn w:val="1"/>
    <w:qFormat/>
    <w:uiPriority w:val="0"/>
    <w:pPr>
      <w:widowControl/>
      <w:spacing w:line="351" w:lineRule="atLeast"/>
      <w:ind w:firstLine="419"/>
      <w:textAlignment w:val="baseline"/>
    </w:pPr>
    <w:rPr>
      <w:rFonts w:ascii="宋体" w:hAnsi="Times New Roman" w:eastAsia="宋体" w:cs="Times New Roman"/>
      <w:color w:val="000000"/>
      <w:kern w:val="0"/>
      <w:szCs w:val="20"/>
      <w:u w:val="none" w:color="000000"/>
    </w:rPr>
  </w:style>
  <w:style w:type="paragraph" w:customStyle="1" w:styleId="448">
    <w:name w:val="正文文本 22"/>
    <w:basedOn w:val="1"/>
    <w:qFormat/>
    <w:uiPriority w:val="0"/>
    <w:pPr>
      <w:spacing w:after="120" w:line="480" w:lineRule="auto"/>
    </w:pPr>
    <w:rPr>
      <w:rFonts w:ascii="Times New Roman" w:hAnsi="Times New Roman" w:eastAsia="宋体" w:cs="Times New Roman"/>
      <w:szCs w:val="24"/>
    </w:rPr>
  </w:style>
  <w:style w:type="paragraph" w:customStyle="1" w:styleId="449">
    <w:name w:val="图-标题"/>
    <w:next w:val="1"/>
    <w:qFormat/>
    <w:uiPriority w:val="0"/>
    <w:pPr>
      <w:jc w:val="center"/>
    </w:pPr>
    <w:rPr>
      <w:rFonts w:ascii="Times New Roman" w:hAnsi="Times New Roman" w:eastAsia="宋体" w:cs="Times New Roman"/>
      <w:b/>
      <w:bCs/>
      <w:kern w:val="2"/>
      <w:sz w:val="24"/>
      <w:szCs w:val="24"/>
      <w:lang w:val="en-US" w:eastAsia="zh-CN" w:bidi="en-US"/>
    </w:rPr>
  </w:style>
  <w:style w:type="paragraph" w:customStyle="1" w:styleId="450">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451">
    <w:name w:val="表头　嵌入图片"/>
    <w:basedOn w:val="1"/>
    <w:qFormat/>
    <w:uiPriority w:val="0"/>
    <w:pPr>
      <w:jc w:val="center"/>
    </w:pPr>
    <w:rPr>
      <w:rFonts w:ascii="Times New Roman" w:hAnsi="Times New Roman" w:eastAsia="宋体" w:cs="宋体"/>
      <w:sz w:val="24"/>
      <w:szCs w:val="24"/>
    </w:rPr>
  </w:style>
  <w:style w:type="paragraph" w:customStyle="1" w:styleId="452">
    <w:name w:val="xl148"/>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b/>
      <w:bCs/>
      <w:kern w:val="0"/>
      <w:sz w:val="20"/>
      <w:szCs w:val="20"/>
    </w:rPr>
  </w:style>
  <w:style w:type="paragraph" w:customStyle="1" w:styleId="453">
    <w:name w:val="CM70"/>
    <w:basedOn w:val="66"/>
    <w:next w:val="66"/>
    <w:qFormat/>
    <w:uiPriority w:val="0"/>
    <w:pPr>
      <w:spacing w:after="308"/>
    </w:pPr>
    <w:rPr>
      <w:rFonts w:ascii="宋体" w:eastAsia="宋体" w:cs="Times New Roman"/>
      <w:color w:val="auto"/>
    </w:rPr>
  </w:style>
  <w:style w:type="paragraph" w:customStyle="1" w:styleId="454">
    <w:name w:val="Char1 Char Char Char Char Char Char1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455">
    <w:name w:val="批注主题1"/>
    <w:basedOn w:val="22"/>
    <w:next w:val="22"/>
    <w:qFormat/>
    <w:uiPriority w:val="0"/>
    <w:rPr>
      <w:rFonts w:ascii="Times New Roman" w:hAnsi="Times New Roman" w:eastAsia="宋体" w:cs="Times New Roman"/>
      <w:b/>
      <w:bCs/>
      <w:szCs w:val="24"/>
    </w:rPr>
  </w:style>
  <w:style w:type="paragraph" w:customStyle="1" w:styleId="456">
    <w:name w:val="xl15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457">
    <w:name w:val="Char1"/>
    <w:basedOn w:val="1"/>
    <w:qFormat/>
    <w:uiPriority w:val="0"/>
    <w:pPr>
      <w:spacing w:line="360" w:lineRule="auto"/>
      <w:ind w:firstLine="200" w:firstLineChars="200"/>
    </w:pPr>
    <w:rPr>
      <w:rFonts w:ascii="宋体" w:hAnsi="宋体" w:eastAsia="宋体" w:cs="宋体"/>
      <w:sz w:val="24"/>
      <w:szCs w:val="24"/>
    </w:rPr>
  </w:style>
  <w:style w:type="paragraph" w:customStyle="1" w:styleId="458">
    <w:name w:val="xl12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459">
    <w:name w:val="样式 正文缩进正文（首行缩进两字） + 段后: 0.1 行"/>
    <w:basedOn w:val="168"/>
    <w:qFormat/>
    <w:uiPriority w:val="0"/>
    <w:pPr>
      <w:widowControl/>
      <w:adjustRightInd/>
      <w:snapToGrid/>
      <w:spacing w:after="31" w:afterLines="10" w:line="400" w:lineRule="exact"/>
      <w:ind w:firstLine="482" w:firstLineChars="0"/>
    </w:pPr>
    <w:rPr>
      <w:snapToGrid/>
      <w:sz w:val="24"/>
      <w:szCs w:val="20"/>
      <w:lang w:val="zh-CN"/>
    </w:rPr>
  </w:style>
  <w:style w:type="paragraph" w:customStyle="1" w:styleId="460">
    <w:name w:val="Char Char Char Char"/>
    <w:basedOn w:val="1"/>
    <w:qFormat/>
    <w:uiPriority w:val="0"/>
    <w:rPr>
      <w:rFonts w:ascii="Times New Roman" w:hAnsi="Times New Roman" w:eastAsia="宋体" w:cs="Times New Roman"/>
      <w:sz w:val="24"/>
      <w:szCs w:val="24"/>
    </w:rPr>
  </w:style>
  <w:style w:type="paragraph" w:customStyle="1" w:styleId="461">
    <w:name w:val="L填表内容"/>
    <w:basedOn w:val="1"/>
    <w:qFormat/>
    <w:uiPriority w:val="0"/>
    <w:pPr>
      <w:adjustRightInd w:val="0"/>
      <w:spacing w:line="240" w:lineRule="auto"/>
      <w:ind w:firstLine="0" w:firstLineChars="0"/>
      <w:jc w:val="center"/>
      <w:textAlignment w:val="baseline"/>
    </w:pPr>
    <w:rPr>
      <w:rFonts w:ascii="Times New Roman" w:hAnsi="Times New Roman" w:eastAsia="宋体"/>
      <w:kern w:val="0"/>
      <w:sz w:val="21"/>
      <w:szCs w:val="20"/>
    </w:rPr>
  </w:style>
  <w:style w:type="paragraph" w:customStyle="1" w:styleId="462">
    <w:name w:val="+(1)"/>
    <w:basedOn w:val="1"/>
    <w:qFormat/>
    <w:uiPriority w:val="0"/>
    <w:pPr>
      <w:tabs>
        <w:tab w:val="left" w:pos="1260"/>
      </w:tabs>
      <w:spacing w:line="360" w:lineRule="auto"/>
      <w:ind w:left="1260" w:hanging="420"/>
    </w:pPr>
    <w:rPr>
      <w:rFonts w:ascii="Times New Roman" w:hAnsi="Times New Roman" w:eastAsia="宋体" w:cs="Times New Roman"/>
      <w:sz w:val="24"/>
      <w:szCs w:val="28"/>
    </w:rPr>
  </w:style>
  <w:style w:type="paragraph" w:customStyle="1" w:styleId="463">
    <w:name w:val="BG5-"/>
    <w:basedOn w:val="1"/>
    <w:qFormat/>
    <w:uiPriority w:val="0"/>
    <w:pPr>
      <w:autoSpaceDE w:val="0"/>
      <w:autoSpaceDN w:val="0"/>
      <w:adjustRightInd w:val="0"/>
      <w:spacing w:line="180" w:lineRule="exact"/>
      <w:jc w:val="center"/>
      <w:textAlignment w:val="baseline"/>
    </w:pPr>
    <w:rPr>
      <w:rFonts w:ascii="@宋体" w:hAnsi="Times New Roman" w:eastAsia="宋体" w:cs="Times New Roman"/>
      <w:kern w:val="0"/>
      <w:sz w:val="18"/>
      <w:szCs w:val="20"/>
    </w:rPr>
  </w:style>
  <w:style w:type="paragraph" w:customStyle="1" w:styleId="464">
    <w:name w:val="xl11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color w:val="000000"/>
      <w:kern w:val="0"/>
      <w:sz w:val="20"/>
      <w:szCs w:val="20"/>
    </w:rPr>
  </w:style>
  <w:style w:type="paragraph" w:customStyle="1" w:styleId="465">
    <w:name w:val="正文文本缩进 211"/>
    <w:basedOn w:val="1"/>
    <w:qFormat/>
    <w:uiPriority w:val="0"/>
    <w:pPr>
      <w:spacing w:line="560" w:lineRule="exact"/>
      <w:ind w:firstLine="560" w:firstLineChars="200"/>
    </w:pPr>
    <w:rPr>
      <w:rFonts w:ascii="方正仿宋_GB2312" w:hAnsi="宋体" w:eastAsia="方正仿宋_GB2312" w:cs="Times New Roman"/>
      <w:sz w:val="28"/>
      <w:szCs w:val="28"/>
    </w:rPr>
  </w:style>
  <w:style w:type="paragraph" w:customStyle="1" w:styleId="466">
    <w:name w:val="日期11"/>
    <w:basedOn w:val="1"/>
    <w:next w:val="1"/>
    <w:qFormat/>
    <w:uiPriority w:val="0"/>
    <w:pPr>
      <w:autoSpaceDE w:val="0"/>
      <w:autoSpaceDN w:val="0"/>
      <w:adjustRightInd w:val="0"/>
      <w:textAlignment w:val="baseline"/>
    </w:pPr>
    <w:rPr>
      <w:rFonts w:ascii="Times New Roman" w:hAnsi="Times New Roman" w:eastAsia="宋体" w:cs="Times New Roman"/>
      <w:spacing w:val="5"/>
      <w:kern w:val="0"/>
      <w:sz w:val="24"/>
      <w:szCs w:val="20"/>
    </w:rPr>
  </w:style>
  <w:style w:type="paragraph" w:customStyle="1" w:styleId="467">
    <w:name w:val="xl12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color w:val="000000"/>
      <w:kern w:val="0"/>
      <w:sz w:val="20"/>
      <w:szCs w:val="20"/>
    </w:rPr>
  </w:style>
  <w:style w:type="paragraph" w:customStyle="1" w:styleId="468">
    <w:name w:val="Char Char Char Char Char Char Char Char Char Char"/>
    <w:qFormat/>
    <w:uiPriority w:val="0"/>
    <w:pPr>
      <w:spacing w:line="420" w:lineRule="exact"/>
      <w:ind w:firstLine="200" w:firstLineChars="200"/>
    </w:pPr>
    <w:rPr>
      <w:rFonts w:ascii="Times New Roman" w:hAnsi="Times New Roman" w:eastAsia="宋体" w:cs="宋体"/>
      <w:kern w:val="2"/>
      <w:sz w:val="24"/>
      <w:szCs w:val="24"/>
      <w:lang w:val="en-US" w:eastAsia="zh-CN" w:bidi="ar-SA"/>
    </w:rPr>
  </w:style>
  <w:style w:type="paragraph" w:customStyle="1" w:styleId="469">
    <w:name w:val="xl8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470">
    <w:name w:val="xl13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b/>
      <w:bCs/>
      <w:color w:val="000000"/>
      <w:kern w:val="0"/>
      <w:sz w:val="20"/>
      <w:szCs w:val="20"/>
    </w:rPr>
  </w:style>
  <w:style w:type="paragraph" w:customStyle="1" w:styleId="471">
    <w:name w:val="Char Char Char Char Char Char Char"/>
    <w:basedOn w:val="1"/>
    <w:qFormat/>
    <w:uiPriority w:val="0"/>
    <w:rPr>
      <w:rFonts w:ascii="Times New Roman" w:hAnsi="Times New Roman" w:eastAsia="宋体" w:cs="Times New Roman"/>
      <w:szCs w:val="24"/>
    </w:rPr>
  </w:style>
  <w:style w:type="paragraph" w:customStyle="1" w:styleId="472">
    <w:name w:val="CM102"/>
    <w:basedOn w:val="66"/>
    <w:next w:val="66"/>
    <w:qFormat/>
    <w:uiPriority w:val="0"/>
    <w:pPr>
      <w:spacing w:after="190"/>
    </w:pPr>
    <w:rPr>
      <w:rFonts w:ascii="Simplex" w:hAnsi="Times New Roman" w:eastAsia="Simplex" w:cs="Simplex"/>
      <w:color w:val="auto"/>
    </w:rPr>
  </w:style>
  <w:style w:type="paragraph" w:customStyle="1" w:styleId="473">
    <w:name w:val="索引 21"/>
    <w:basedOn w:val="1"/>
    <w:next w:val="1"/>
    <w:qFormat/>
    <w:uiPriority w:val="0"/>
    <w:pPr>
      <w:autoSpaceDE w:val="0"/>
      <w:autoSpaceDN w:val="0"/>
      <w:adjustRightInd w:val="0"/>
      <w:ind w:left="200" w:leftChars="200"/>
      <w:jc w:val="left"/>
      <w:textAlignment w:val="baseline"/>
    </w:pPr>
    <w:rPr>
      <w:rFonts w:ascii="宋体" w:hAnsi="Times New Roman" w:eastAsia="宋体" w:cs="Times New Roman"/>
      <w:kern w:val="0"/>
      <w:sz w:val="34"/>
      <w:szCs w:val="20"/>
    </w:rPr>
  </w:style>
  <w:style w:type="paragraph" w:customStyle="1" w:styleId="474">
    <w:name w:val="haydonli"/>
    <w:basedOn w:val="1"/>
    <w:qFormat/>
    <w:uiPriority w:val="0"/>
    <w:pPr>
      <w:snapToGrid w:val="0"/>
      <w:spacing w:line="360" w:lineRule="auto"/>
      <w:ind w:firstLine="200" w:firstLineChars="200"/>
    </w:pPr>
    <w:rPr>
      <w:rFonts w:ascii="Times New Roman" w:hAnsi="Times New Roman" w:eastAsia="宋体" w:cs="Times New Roman"/>
      <w:sz w:val="24"/>
      <w:szCs w:val="24"/>
    </w:rPr>
  </w:style>
  <w:style w:type="paragraph" w:customStyle="1" w:styleId="475">
    <w:name w:val="正文首行缩进 2 + Times New Roman"/>
    <w:basedOn w:val="1"/>
    <w:qFormat/>
    <w:uiPriority w:val="0"/>
    <w:pPr>
      <w:tabs>
        <w:tab w:val="left" w:pos="0"/>
        <w:tab w:val="left" w:pos="870"/>
        <w:tab w:val="left" w:pos="3150"/>
      </w:tabs>
      <w:autoSpaceDE w:val="0"/>
      <w:autoSpaceDN w:val="0"/>
      <w:spacing w:line="360" w:lineRule="auto"/>
      <w:ind w:firstLine="480" w:firstLineChars="200"/>
    </w:pPr>
    <w:rPr>
      <w:rFonts w:ascii="宋体" w:hAnsi="宋体"/>
      <w:kern w:val="0"/>
      <w:sz w:val="24"/>
    </w:rPr>
  </w:style>
  <w:style w:type="paragraph" w:customStyle="1" w:styleId="476">
    <w:name w:val="Char Char Char Char Char Char Char1"/>
    <w:basedOn w:val="1"/>
    <w:qFormat/>
    <w:uiPriority w:val="0"/>
    <w:rPr>
      <w:rFonts w:ascii="Times New Roman" w:hAnsi="Times New Roman" w:eastAsia="宋体" w:cs="Times New Roman"/>
      <w:szCs w:val="24"/>
    </w:rPr>
  </w:style>
  <w:style w:type="paragraph" w:customStyle="1" w:styleId="477">
    <w:name w:val="CM49"/>
    <w:basedOn w:val="66"/>
    <w:next w:val="66"/>
    <w:qFormat/>
    <w:uiPriority w:val="99"/>
    <w:pPr>
      <w:spacing w:line="588" w:lineRule="atLeast"/>
    </w:pPr>
    <w:rPr>
      <w:rFonts w:cs="Times New Roman"/>
      <w:color w:val="auto"/>
    </w:rPr>
  </w:style>
  <w:style w:type="paragraph" w:customStyle="1" w:styleId="478">
    <w:name w:val="xl100"/>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479">
    <w:name w:val="表格文字左对齐"/>
    <w:basedOn w:val="1"/>
    <w:next w:val="1"/>
    <w:qFormat/>
    <w:uiPriority w:val="0"/>
    <w:pPr>
      <w:jc w:val="left"/>
    </w:pPr>
    <w:rPr>
      <w:rFonts w:ascii="Times New Roman" w:hAnsi="Times New Roman" w:eastAsia="宋体" w:cs="宋体"/>
      <w:sz w:val="24"/>
      <w:szCs w:val="20"/>
    </w:rPr>
  </w:style>
  <w:style w:type="paragraph" w:customStyle="1" w:styleId="480">
    <w:name w:val="Li的表头"/>
    <w:basedOn w:val="1"/>
    <w:qFormat/>
    <w:uiPriority w:val="0"/>
    <w:pPr>
      <w:adjustRightInd/>
      <w:snapToGrid w:val="0"/>
      <w:spacing w:line="360" w:lineRule="auto"/>
      <w:jc w:val="center"/>
      <w:textAlignment w:val="auto"/>
    </w:pPr>
    <w:rPr>
      <w:rFonts w:hAnsi="宋体"/>
      <w:b/>
      <w:bCs/>
    </w:rPr>
  </w:style>
  <w:style w:type="paragraph" w:customStyle="1" w:styleId="481">
    <w:name w:val="样式2－表格"/>
    <w:basedOn w:val="1"/>
    <w:qFormat/>
    <w:uiPriority w:val="0"/>
    <w:pPr>
      <w:autoSpaceDE w:val="0"/>
      <w:autoSpaceDN w:val="0"/>
      <w:adjustRightInd w:val="0"/>
      <w:snapToGrid w:val="0"/>
      <w:spacing w:line="300" w:lineRule="auto"/>
      <w:textAlignment w:val="baseline"/>
    </w:pPr>
    <w:rPr>
      <w:rFonts w:ascii="Times New Roman" w:hAnsi="Times New Roman" w:eastAsia="宋体" w:cs="Times New Roman"/>
      <w:snapToGrid/>
      <w:color w:val="000000"/>
      <w:kern w:val="0"/>
      <w:szCs w:val="20"/>
    </w:rPr>
  </w:style>
  <w:style w:type="paragraph" w:customStyle="1" w:styleId="482">
    <w:name w:val="样式 四号 黑色 行距: 1.5 倍行距"/>
    <w:basedOn w:val="1"/>
    <w:qFormat/>
    <w:uiPriority w:val="0"/>
    <w:pPr>
      <w:spacing w:line="360" w:lineRule="auto"/>
    </w:pPr>
    <w:rPr>
      <w:rFonts w:ascii="Times New Roman" w:hAnsi="Times New Roman" w:eastAsia="方正仿宋_GB2312" w:cs="宋体"/>
      <w:color w:val="000000"/>
      <w:sz w:val="28"/>
      <w:szCs w:val="20"/>
    </w:rPr>
  </w:style>
  <w:style w:type="paragraph" w:customStyle="1" w:styleId="483">
    <w:name w:val="文档结构图2"/>
    <w:basedOn w:val="1"/>
    <w:qFormat/>
    <w:uiPriority w:val="0"/>
    <w:rPr>
      <w:rFonts w:ascii="宋体" w:hAnsi="Times New Roman" w:eastAsia="宋体" w:cs="Times New Roman"/>
      <w:sz w:val="18"/>
      <w:szCs w:val="18"/>
    </w:rPr>
  </w:style>
  <w:style w:type="paragraph" w:customStyle="1" w:styleId="484">
    <w:name w:val="默认段落字体 Para Char Char Char Char"/>
    <w:basedOn w:val="1"/>
    <w:qFormat/>
    <w:uiPriority w:val="0"/>
    <w:pPr>
      <w:spacing w:line="360" w:lineRule="auto"/>
      <w:ind w:firstLine="200" w:firstLineChars="200"/>
    </w:pPr>
    <w:rPr>
      <w:rFonts w:ascii="宋体" w:hAnsi="宋体" w:eastAsia="宋体" w:cs="宋体"/>
      <w:sz w:val="24"/>
      <w:szCs w:val="24"/>
    </w:rPr>
  </w:style>
  <w:style w:type="paragraph" w:customStyle="1" w:styleId="485">
    <w:name w:val="Char Char Char1 Char"/>
    <w:basedOn w:val="1"/>
    <w:qFormat/>
    <w:uiPriority w:val="0"/>
    <w:rPr>
      <w:rFonts w:ascii="Times New Roman" w:hAnsi="Times New Roman" w:eastAsia="宋体" w:cs="Times New Roman"/>
      <w:szCs w:val="24"/>
    </w:rPr>
  </w:style>
  <w:style w:type="paragraph" w:customStyle="1" w:styleId="486">
    <w:name w:val="样式 四号 黑色 行距: 1.5 倍行距 首行缩进:  2 字符"/>
    <w:basedOn w:val="1"/>
    <w:qFormat/>
    <w:uiPriority w:val="0"/>
    <w:pPr>
      <w:spacing w:line="360" w:lineRule="auto"/>
      <w:ind w:firstLine="560" w:firstLineChars="200"/>
    </w:pPr>
    <w:rPr>
      <w:rFonts w:ascii="Times New Roman" w:hAnsi="Times New Roman" w:eastAsia="方正仿宋_GB2312" w:cs="宋体"/>
      <w:color w:val="000000"/>
      <w:sz w:val="28"/>
      <w:szCs w:val="20"/>
    </w:rPr>
  </w:style>
  <w:style w:type="paragraph" w:customStyle="1" w:styleId="487">
    <w:name w:val="xl11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488">
    <w:name w:val="Char Char Char Char Char Char Char2"/>
    <w:basedOn w:val="1"/>
    <w:next w:val="1"/>
    <w:qFormat/>
    <w:uiPriority w:val="0"/>
    <w:rPr>
      <w:rFonts w:ascii="Times New Roman" w:hAnsi="Times New Roman" w:eastAsia="宋体" w:cs="Times New Roman"/>
      <w:szCs w:val="24"/>
    </w:rPr>
  </w:style>
  <w:style w:type="paragraph" w:customStyle="1" w:styleId="489">
    <w:name w:val="图表"/>
    <w:basedOn w:val="1"/>
    <w:next w:val="1"/>
    <w:qFormat/>
    <w:uiPriority w:val="0"/>
    <w:pPr>
      <w:spacing w:line="360" w:lineRule="auto"/>
      <w:jc w:val="center"/>
    </w:pPr>
    <w:rPr>
      <w:b/>
    </w:rPr>
  </w:style>
  <w:style w:type="paragraph" w:customStyle="1" w:styleId="490">
    <w:name w:val="xl34"/>
    <w:basedOn w:val="1"/>
    <w:qFormat/>
    <w:uiPriority w:val="0"/>
    <w:pPr>
      <w:widowControl/>
      <w:pBdr>
        <w:left w:val="single" w:color="auto" w:sz="4" w:space="0"/>
      </w:pBdr>
      <w:spacing w:before="100" w:beforeAutospacing="1" w:after="100" w:afterAutospacing="1"/>
      <w:jc w:val="center"/>
      <w:textAlignment w:val="center"/>
    </w:pPr>
    <w:rPr>
      <w:rFonts w:ascii="宋体" w:hAnsi="宋体" w:eastAsia="宋体" w:cs="Times New Roman"/>
      <w:kern w:val="0"/>
      <w:sz w:val="24"/>
      <w:szCs w:val="24"/>
    </w:rPr>
  </w:style>
  <w:style w:type="paragraph" w:customStyle="1" w:styleId="491">
    <w:name w:val="font7"/>
    <w:basedOn w:val="1"/>
    <w:qFormat/>
    <w:uiPriority w:val="0"/>
    <w:pPr>
      <w:widowControl/>
      <w:spacing w:before="100" w:beforeAutospacing="1" w:after="100" w:afterAutospacing="1"/>
      <w:jc w:val="left"/>
    </w:pPr>
    <w:rPr>
      <w:rFonts w:ascii="宋体" w:hAnsi="宋体" w:eastAsia="宋体" w:cs="宋体"/>
      <w:kern w:val="0"/>
      <w:sz w:val="20"/>
      <w:szCs w:val="20"/>
    </w:rPr>
  </w:style>
  <w:style w:type="paragraph" w:customStyle="1" w:styleId="492">
    <w:name w:val="xl132"/>
    <w:basedOn w:val="1"/>
    <w:qFormat/>
    <w:uiPriority w:val="0"/>
    <w:pPr>
      <w:widowControl/>
      <w:pBdr>
        <w:top w:val="single" w:color="auto" w:sz="4" w:space="0"/>
        <w:bottom w:val="single" w:color="auto" w:sz="4" w:space="0"/>
      </w:pBdr>
      <w:spacing w:before="100" w:beforeAutospacing="1" w:after="100" w:afterAutospacing="1"/>
      <w:jc w:val="left"/>
      <w:textAlignment w:val="center"/>
    </w:pPr>
    <w:rPr>
      <w:rFonts w:ascii="宋体" w:hAnsi="宋体" w:eastAsia="宋体" w:cs="宋体"/>
      <w:color w:val="000000"/>
      <w:kern w:val="0"/>
      <w:sz w:val="20"/>
      <w:szCs w:val="20"/>
    </w:rPr>
  </w:style>
  <w:style w:type="paragraph" w:customStyle="1" w:styleId="493">
    <w:name w:val="正文2000"/>
    <w:basedOn w:val="1"/>
    <w:qFormat/>
    <w:uiPriority w:val="0"/>
    <w:pPr>
      <w:tabs>
        <w:tab w:val="left" w:pos="170"/>
      </w:tabs>
      <w:adjustRightInd w:val="0"/>
      <w:spacing w:line="240" w:lineRule="exact"/>
      <w:ind w:firstLine="458" w:firstLineChars="218"/>
      <w:jc w:val="center"/>
    </w:pPr>
    <w:rPr>
      <w:rFonts w:ascii="宋体" w:hAnsi="宋体" w:eastAsia="宋体" w:cs="Times New Roman"/>
      <w:szCs w:val="21"/>
    </w:rPr>
  </w:style>
  <w:style w:type="paragraph" w:customStyle="1" w:styleId="494">
    <w:name w:val="Char2 Char Char Char Char Char Char Char Char Char Char Char Char"/>
    <w:basedOn w:val="1"/>
    <w:qFormat/>
    <w:uiPriority w:val="0"/>
    <w:pPr>
      <w:spacing w:line="560" w:lineRule="exact"/>
      <w:ind w:firstLine="200" w:firstLineChars="200"/>
    </w:pPr>
    <w:rPr>
      <w:rFonts w:ascii="宋体" w:hAnsi="宋体" w:eastAsia="宋体" w:cs="宋体"/>
      <w:sz w:val="28"/>
      <w:szCs w:val="28"/>
    </w:rPr>
  </w:style>
  <w:style w:type="paragraph" w:customStyle="1" w:styleId="495">
    <w:name w:val="样式 首行缩进:  2 字符1 Char"/>
    <w:basedOn w:val="1"/>
    <w:qFormat/>
    <w:uiPriority w:val="0"/>
    <w:pPr>
      <w:tabs>
        <w:tab w:val="left" w:pos="1094"/>
        <w:tab w:val="left" w:pos="1244"/>
      </w:tabs>
      <w:snapToGrid w:val="0"/>
      <w:spacing w:line="360" w:lineRule="auto"/>
      <w:ind w:firstLine="480" w:firstLineChars="200"/>
    </w:pPr>
    <w:rPr>
      <w:rFonts w:ascii="Times New Roman" w:hAnsi="Times New Roman" w:eastAsia="宋体" w:cs="Times New Roman"/>
      <w:snapToGrid/>
      <w:sz w:val="24"/>
      <w:szCs w:val="24"/>
    </w:rPr>
  </w:style>
  <w:style w:type="paragraph" w:customStyle="1" w:styleId="496">
    <w:name w:val="样式3"/>
    <w:basedOn w:val="1"/>
    <w:qFormat/>
    <w:uiPriority w:val="0"/>
    <w:pPr>
      <w:spacing w:line="480" w:lineRule="exact"/>
      <w:jc w:val="center"/>
    </w:pPr>
    <w:rPr>
      <w:rFonts w:ascii="Times New Roman" w:hAnsi="Times New Roman" w:eastAsia="方正仿宋_GB2312" w:cs="宋体"/>
      <w:b/>
      <w:szCs w:val="21"/>
    </w:rPr>
  </w:style>
  <w:style w:type="paragraph" w:customStyle="1" w:styleId="497">
    <w:name w:val="列出段落2"/>
    <w:basedOn w:val="1"/>
    <w:qFormat/>
    <w:uiPriority w:val="0"/>
    <w:pPr>
      <w:ind w:firstLine="420" w:firstLineChars="200"/>
    </w:pPr>
    <w:rPr>
      <w:rFonts w:ascii="Times New Roman" w:hAnsi="Times New Roman" w:eastAsia="宋体" w:cs="Times New Roman"/>
      <w:szCs w:val="24"/>
    </w:rPr>
  </w:style>
  <w:style w:type="paragraph" w:customStyle="1" w:styleId="498">
    <w:name w:val="表格"/>
    <w:basedOn w:val="499"/>
    <w:next w:val="1"/>
    <w:qFormat/>
    <w:uiPriority w:val="0"/>
    <w:pPr>
      <w:widowControl/>
      <w:adjustRightInd/>
      <w:snapToGrid/>
      <w:spacing w:line="240" w:lineRule="auto"/>
      <w:jc w:val="both"/>
    </w:pPr>
    <w:rPr>
      <w:rFonts w:ascii="Times New Roman"/>
    </w:rPr>
  </w:style>
  <w:style w:type="paragraph" w:customStyle="1" w:styleId="499">
    <w:name w:val="列表3"/>
    <w:basedOn w:val="1"/>
    <w:qFormat/>
    <w:uiPriority w:val="0"/>
    <w:pPr>
      <w:adjustRightInd w:val="0"/>
      <w:snapToGrid w:val="0"/>
      <w:spacing w:line="360" w:lineRule="auto"/>
      <w:jc w:val="center"/>
    </w:pPr>
    <w:rPr>
      <w:rFonts w:ascii="宋体" w:hAnsi="Times New Roman" w:eastAsia="宋体" w:cs="Times New Roman"/>
      <w:szCs w:val="20"/>
    </w:rPr>
  </w:style>
  <w:style w:type="paragraph" w:customStyle="1" w:styleId="500">
    <w:name w:val="表格题头"/>
    <w:basedOn w:val="1"/>
    <w:qFormat/>
    <w:uiPriority w:val="0"/>
    <w:pPr>
      <w:snapToGrid w:val="0"/>
      <w:ind w:firstLine="200" w:firstLineChars="200"/>
      <w:jc w:val="center"/>
    </w:pPr>
    <w:rPr>
      <w:rFonts w:ascii="黑体" w:hAnsi="Times New Roman" w:eastAsia="黑体" w:cs="Times New Roman"/>
      <w:kern w:val="0"/>
      <w:szCs w:val="21"/>
    </w:rPr>
  </w:style>
  <w:style w:type="paragraph" w:customStyle="1" w:styleId="501">
    <w:name w:val="样式 标题 6（1） Char（1） + 宋体 非加粗1"/>
    <w:basedOn w:val="12"/>
    <w:qFormat/>
    <w:uiPriority w:val="0"/>
    <w:pPr>
      <w:overflowPunct/>
      <w:topLinePunct w:val="0"/>
      <w:autoSpaceDE/>
      <w:autoSpaceDN/>
      <w:spacing w:before="0" w:after="0" w:line="500" w:lineRule="exact"/>
      <w:ind w:left="846" w:hanging="166"/>
      <w:jc w:val="both"/>
    </w:pPr>
    <w:rPr>
      <w:rFonts w:ascii="宋体" w:hAnsi="宋体" w:eastAsia="宋体"/>
      <w:b w:val="0"/>
      <w:spacing w:val="0"/>
      <w:kern w:val="0"/>
    </w:rPr>
  </w:style>
  <w:style w:type="paragraph" w:customStyle="1" w:styleId="502">
    <w:name w:val="xl10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503">
    <w:name w:val="BG6"/>
    <w:basedOn w:val="463"/>
    <w:qFormat/>
    <w:uiPriority w:val="0"/>
    <w:pPr>
      <w:spacing w:line="140" w:lineRule="exact"/>
    </w:pPr>
    <w:rPr>
      <w:sz w:val="15"/>
    </w:rPr>
  </w:style>
  <w:style w:type="paragraph" w:customStyle="1" w:styleId="504">
    <w:name w:val="xl142"/>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505">
    <w:name w:val="xl1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color w:val="000000"/>
      <w:kern w:val="0"/>
      <w:sz w:val="20"/>
      <w:szCs w:val="20"/>
    </w:rPr>
  </w:style>
  <w:style w:type="paragraph" w:customStyle="1" w:styleId="506">
    <w:name w:val="！正文"/>
    <w:basedOn w:val="1"/>
    <w:qFormat/>
    <w:uiPriority w:val="0"/>
    <w:pPr>
      <w:spacing w:line="360" w:lineRule="auto"/>
      <w:ind w:firstLine="480" w:firstLineChars="200"/>
      <w:jc w:val="both"/>
    </w:pPr>
    <w:rPr>
      <w:rFonts w:ascii="Arial" w:hAnsi="Arial" w:cs="宋体"/>
      <w:kern w:val="2"/>
      <w:szCs w:val="24"/>
    </w:rPr>
  </w:style>
  <w:style w:type="paragraph" w:customStyle="1" w:styleId="507">
    <w:name w:val="正文 New New New New New New New New New New New New New New New New New New New New New New New New New New New New New New New New New New New New New New New New New New New New New"/>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508">
    <w:name w:val="默认段落字体 Para Char Char Char Char Char Char Char Char Char Char Char Char Char"/>
    <w:basedOn w:val="1"/>
    <w:qFormat/>
    <w:uiPriority w:val="0"/>
    <w:rPr>
      <w:rFonts w:ascii="Times New Roman" w:hAnsi="Times New Roman" w:eastAsia="宋体" w:cs="Times New Roman"/>
      <w:szCs w:val="24"/>
    </w:rPr>
  </w:style>
  <w:style w:type="paragraph" w:customStyle="1" w:styleId="509">
    <w:name w:val="xl141"/>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510">
    <w:name w:val="表内容"/>
    <w:basedOn w:val="1"/>
    <w:qFormat/>
    <w:uiPriority w:val="0"/>
    <w:pPr>
      <w:adjustRightInd w:val="0"/>
      <w:snapToGrid w:val="0"/>
      <w:jc w:val="center"/>
    </w:pPr>
    <w:rPr>
      <w:rFonts w:ascii="Times New Roman" w:hAnsi="Times New Roman" w:eastAsia="宋体" w:cs="Times New Roman"/>
      <w:szCs w:val="24"/>
    </w:rPr>
  </w:style>
  <w:style w:type="paragraph" w:customStyle="1" w:styleId="511">
    <w:name w:val="font8"/>
    <w:basedOn w:val="1"/>
    <w:qFormat/>
    <w:uiPriority w:val="0"/>
    <w:pPr>
      <w:widowControl/>
      <w:spacing w:before="100" w:beforeAutospacing="1" w:after="100" w:afterAutospacing="1"/>
      <w:jc w:val="left"/>
    </w:pPr>
    <w:rPr>
      <w:rFonts w:ascii="Times New Roman" w:hAnsi="Times New Roman" w:eastAsia="宋体" w:cs="Times New Roman"/>
      <w:kern w:val="0"/>
      <w:sz w:val="22"/>
    </w:rPr>
  </w:style>
  <w:style w:type="paragraph" w:customStyle="1" w:styleId="512">
    <w:name w:val="1表格"/>
    <w:basedOn w:val="1"/>
    <w:qFormat/>
    <w:uiPriority w:val="0"/>
    <w:pPr>
      <w:snapToGrid w:val="0"/>
      <w:spacing w:line="160" w:lineRule="atLeast"/>
      <w:jc w:val="center"/>
    </w:pPr>
    <w:rPr>
      <w:rFonts w:eastAsia="方正仿宋_GB2312"/>
      <w:szCs w:val="20"/>
    </w:rPr>
  </w:style>
  <w:style w:type="paragraph" w:customStyle="1" w:styleId="513">
    <w:name w:val="CM78"/>
    <w:basedOn w:val="66"/>
    <w:next w:val="66"/>
    <w:qFormat/>
    <w:uiPriority w:val="0"/>
    <w:pPr>
      <w:spacing w:after="173"/>
    </w:pPr>
    <w:rPr>
      <w:rFonts w:ascii="宋体" w:eastAsia="宋体" w:cs="Times New Roman"/>
      <w:color w:val="auto"/>
    </w:rPr>
  </w:style>
  <w:style w:type="paragraph" w:customStyle="1" w:styleId="514">
    <w:name w:val="Char Char Char Char1"/>
    <w:basedOn w:val="1"/>
    <w:qFormat/>
    <w:uiPriority w:val="0"/>
    <w:rPr>
      <w:rFonts w:ascii="Times New Roman" w:hAnsi="Times New Roman" w:eastAsia="宋体" w:cs="Times New Roman"/>
      <w:szCs w:val="24"/>
    </w:rPr>
  </w:style>
  <w:style w:type="paragraph" w:customStyle="1" w:styleId="515">
    <w:name w:val="april标题1"/>
    <w:basedOn w:val="3"/>
    <w:qFormat/>
    <w:uiPriority w:val="0"/>
    <w:pPr>
      <w:adjustRightInd w:val="0"/>
      <w:spacing w:before="480" w:after="480" w:line="240" w:lineRule="auto"/>
      <w:ind w:left="-76" w:hanging="284"/>
      <w:jc w:val="center"/>
      <w:textAlignment w:val="baseline"/>
    </w:pPr>
    <w:rPr>
      <w:rFonts w:eastAsia="黑体"/>
      <w:b w:val="0"/>
      <w:spacing w:val="6"/>
      <w:sz w:val="32"/>
      <w:szCs w:val="20"/>
    </w:rPr>
  </w:style>
  <w:style w:type="paragraph" w:customStyle="1" w:styleId="516">
    <w:name w:val="注释标题1"/>
    <w:basedOn w:val="1"/>
    <w:next w:val="1"/>
    <w:qFormat/>
    <w:uiPriority w:val="0"/>
    <w:pPr>
      <w:jc w:val="center"/>
    </w:pPr>
    <w:rPr>
      <w:rFonts w:ascii="Times New Roman" w:hAnsi="Times New Roman" w:eastAsia="宋体" w:cs="Times New Roman"/>
      <w:szCs w:val="24"/>
    </w:rPr>
  </w:style>
  <w:style w:type="paragraph" w:customStyle="1" w:styleId="517">
    <w:name w:val="样式 普通文字 + 首行缩进:  2 字符"/>
    <w:basedOn w:val="117"/>
    <w:qFormat/>
    <w:uiPriority w:val="0"/>
    <w:pPr>
      <w:spacing w:line="480" w:lineRule="exact"/>
      <w:ind w:firstLine="512" w:firstLineChars="200"/>
    </w:pPr>
    <w:rPr>
      <w:rFonts w:ascii="Times New Roman" w:hAnsi="Times New Roman" w:cs="宋体"/>
      <w:sz w:val="24"/>
    </w:rPr>
  </w:style>
  <w:style w:type="paragraph" w:customStyle="1" w:styleId="518">
    <w:name w:val="CM18"/>
    <w:basedOn w:val="66"/>
    <w:next w:val="66"/>
    <w:qFormat/>
    <w:uiPriority w:val="0"/>
    <w:pPr>
      <w:spacing w:line="468" w:lineRule="atLeast"/>
    </w:pPr>
    <w:rPr>
      <w:rFonts w:ascii="Simplex" w:hAnsi="Times New Roman" w:eastAsia="Simplex" w:cs="Simplex"/>
      <w:color w:val="auto"/>
    </w:rPr>
  </w:style>
  <w:style w:type="paragraph" w:customStyle="1" w:styleId="519">
    <w:name w:val="样式 三号 加粗 段前: 7.8 磅 段后: 7.8 磅1"/>
    <w:basedOn w:val="1"/>
    <w:qFormat/>
    <w:uiPriority w:val="0"/>
    <w:pPr>
      <w:widowControl/>
      <w:spacing w:before="312" w:beforeLines="100" w:after="156" w:afterLines="50" w:line="360" w:lineRule="auto"/>
      <w:jc w:val="left"/>
      <w:outlineLvl w:val="1"/>
    </w:pPr>
    <w:rPr>
      <w:rFonts w:ascii="宋体" w:hAnsi="宋体" w:eastAsia="宋体" w:cs="宋体"/>
      <w:b/>
      <w:bCs/>
      <w:kern w:val="0"/>
      <w:sz w:val="32"/>
      <w:szCs w:val="20"/>
    </w:rPr>
  </w:style>
  <w:style w:type="paragraph" w:customStyle="1" w:styleId="520">
    <w:name w:val="xl27"/>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Times New Roman"/>
      <w:kern w:val="0"/>
      <w:sz w:val="24"/>
      <w:szCs w:val="24"/>
    </w:rPr>
  </w:style>
  <w:style w:type="paragraph" w:customStyle="1" w:styleId="521">
    <w:name w:val="xl25"/>
    <w:basedOn w:val="1"/>
    <w:qFormat/>
    <w:uiPriority w:val="0"/>
    <w:pPr>
      <w:widowControl/>
      <w:pBdr>
        <w:bottom w:val="single" w:color="auto" w:sz="4" w:space="0"/>
        <w:right w:val="single" w:color="auto" w:sz="4" w:space="0"/>
      </w:pBdr>
      <w:spacing w:before="100" w:beforeAutospacing="1" w:after="100" w:afterAutospacing="1"/>
      <w:jc w:val="center"/>
    </w:pPr>
    <w:rPr>
      <w:rFonts w:ascii="Arial" w:hAnsi="Arial" w:eastAsia="Arial Black" w:cs="Arial"/>
      <w:color w:val="000000"/>
      <w:kern w:val="0"/>
      <w:szCs w:val="21"/>
    </w:rPr>
  </w:style>
  <w:style w:type="paragraph" w:customStyle="1" w:styleId="522">
    <w:name w:val="xl23"/>
    <w:basedOn w:val="1"/>
    <w:qFormat/>
    <w:uiPriority w:val="0"/>
    <w:pPr>
      <w:widowControl/>
      <w:adjustRightInd w:val="0"/>
      <w:snapToGrid w:val="0"/>
      <w:spacing w:before="100" w:beforeAutospacing="1" w:after="100" w:afterAutospacing="1" w:line="360" w:lineRule="auto"/>
      <w:jc w:val="center"/>
      <w:textAlignment w:val="center"/>
    </w:pPr>
    <w:rPr>
      <w:rFonts w:ascii="宋体" w:hAnsi="宋体" w:eastAsia="宋体" w:cs="Times New Roman"/>
      <w:kern w:val="0"/>
      <w:sz w:val="24"/>
      <w:szCs w:val="24"/>
    </w:rPr>
  </w:style>
  <w:style w:type="paragraph" w:customStyle="1" w:styleId="523">
    <w:name w:val="xl1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524">
    <w:name w:val="王 正文 四宋"/>
    <w:basedOn w:val="1"/>
    <w:qFormat/>
    <w:uiPriority w:val="0"/>
    <w:pPr>
      <w:ind w:firstLine="560" w:firstLineChars="200"/>
    </w:pPr>
    <w:rPr>
      <w:rFonts w:ascii="Times New Roman" w:hAnsi="Times New Roman" w:eastAsia="宋体" w:cs="Times New Roman"/>
      <w:kern w:val="0"/>
      <w:sz w:val="28"/>
      <w:szCs w:val="28"/>
    </w:rPr>
  </w:style>
  <w:style w:type="paragraph" w:customStyle="1" w:styleId="525">
    <w:name w:val="zzd项目符号"/>
    <w:basedOn w:val="311"/>
    <w:qFormat/>
    <w:uiPriority w:val="0"/>
    <w:pPr>
      <w:tabs>
        <w:tab w:val="left" w:pos="436"/>
      </w:tabs>
      <w:ind w:left="16" w:firstLine="560"/>
    </w:pPr>
    <w:rPr>
      <w:rFonts w:hAnsi="宋体"/>
      <w:iCs w:val="0"/>
    </w:rPr>
  </w:style>
  <w:style w:type="paragraph" w:customStyle="1" w:styleId="526">
    <w:name w:val="注"/>
    <w:basedOn w:val="190"/>
    <w:qFormat/>
    <w:uiPriority w:val="0"/>
    <w:pPr>
      <w:spacing w:before="120" w:after="120" w:line="360" w:lineRule="auto"/>
      <w:ind w:firstLine="567"/>
      <w:jc w:val="left"/>
    </w:pPr>
    <w:rPr>
      <w:rFonts w:eastAsia="方正仿宋_GB2312"/>
      <w:sz w:val="24"/>
    </w:rPr>
  </w:style>
  <w:style w:type="paragraph" w:customStyle="1" w:styleId="527">
    <w:name w:val="列出段落11"/>
    <w:basedOn w:val="1"/>
    <w:qFormat/>
    <w:uiPriority w:val="0"/>
    <w:pPr>
      <w:ind w:firstLine="420" w:firstLineChars="200"/>
    </w:pPr>
    <w:rPr>
      <w:rFonts w:ascii="Times New Roman" w:hAnsi="Times New Roman" w:eastAsia="宋体" w:cs="Times New Roman"/>
      <w:szCs w:val="24"/>
    </w:rPr>
  </w:style>
  <w:style w:type="paragraph" w:customStyle="1" w:styleId="528">
    <w:name w:val="xl150"/>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529">
    <w:name w:val="xl1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b/>
      <w:bCs/>
      <w:color w:val="000000"/>
      <w:kern w:val="0"/>
      <w:sz w:val="20"/>
      <w:szCs w:val="20"/>
    </w:rPr>
  </w:style>
  <w:style w:type="paragraph" w:customStyle="1" w:styleId="530">
    <w:name w:val="CM6"/>
    <w:basedOn w:val="66"/>
    <w:next w:val="66"/>
    <w:qFormat/>
    <w:uiPriority w:val="0"/>
    <w:pPr>
      <w:spacing w:line="466" w:lineRule="atLeast"/>
    </w:pPr>
    <w:rPr>
      <w:rFonts w:ascii="宋体" w:eastAsia="宋体" w:cs="Times New Roman"/>
      <w:color w:val="auto"/>
    </w:rPr>
  </w:style>
  <w:style w:type="paragraph" w:customStyle="1" w:styleId="531">
    <w:name w:val="xl1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color w:val="FF0000"/>
      <w:kern w:val="0"/>
      <w:sz w:val="20"/>
      <w:szCs w:val="20"/>
    </w:rPr>
  </w:style>
  <w:style w:type="paragraph" w:customStyle="1" w:styleId="532">
    <w:name w:val="xl131"/>
    <w:basedOn w:val="1"/>
    <w:qFormat/>
    <w:uiPriority w:val="0"/>
    <w:pPr>
      <w:widowControl/>
      <w:pBdr>
        <w:top w:val="single" w:color="auto" w:sz="4" w:space="0"/>
        <w:bottom w:val="single" w:color="auto" w:sz="4" w:space="0"/>
      </w:pBdr>
      <w:spacing w:before="100" w:beforeAutospacing="1" w:after="100" w:afterAutospacing="1"/>
      <w:jc w:val="left"/>
      <w:textAlignment w:val="center"/>
    </w:pPr>
    <w:rPr>
      <w:rFonts w:ascii="宋体" w:hAnsi="宋体" w:eastAsia="宋体" w:cs="宋体"/>
      <w:color w:val="000000"/>
      <w:kern w:val="0"/>
      <w:sz w:val="20"/>
      <w:szCs w:val="20"/>
    </w:rPr>
  </w:style>
  <w:style w:type="paragraph" w:customStyle="1" w:styleId="533">
    <w:name w:val="表内5号居中"/>
    <w:qFormat/>
    <w:uiPriority w:val="0"/>
    <w:pPr>
      <w:adjustRightInd w:val="0"/>
      <w:snapToGrid w:val="0"/>
      <w:jc w:val="center"/>
    </w:pPr>
    <w:rPr>
      <w:rFonts w:ascii="Times New Roman" w:hAnsi="Times New Roman" w:eastAsia="宋体" w:cs="Times New Roman"/>
      <w:sz w:val="21"/>
      <w:lang w:val="en-US" w:eastAsia="zh-CN" w:bidi="ar-SA"/>
    </w:rPr>
  </w:style>
  <w:style w:type="paragraph" w:customStyle="1" w:styleId="534">
    <w:name w:val="Body Text Indent"/>
    <w:basedOn w:val="1"/>
    <w:qFormat/>
    <w:uiPriority w:val="0"/>
    <w:pPr>
      <w:ind w:firstLine="567"/>
    </w:pPr>
    <w:rPr>
      <w:rFonts w:eastAsia="宋体"/>
      <w:kern w:val="2"/>
      <w:sz w:val="28"/>
      <w:szCs w:val="30"/>
      <w:lang w:val="en-US" w:eastAsia="zh-CN"/>
    </w:rPr>
  </w:style>
  <w:style w:type="paragraph" w:customStyle="1" w:styleId="535">
    <w:name w:val="表内"/>
    <w:basedOn w:val="1"/>
    <w:qFormat/>
    <w:uiPriority w:val="0"/>
    <w:pPr>
      <w:spacing w:line="280" w:lineRule="exact"/>
      <w:jc w:val="center"/>
    </w:pPr>
    <w:rPr>
      <w:rFonts w:ascii="Times New Roman" w:hAnsi="Times New Roman" w:eastAsia="宋体" w:cs="Times New Roman"/>
      <w:sz w:val="24"/>
      <w:szCs w:val="24"/>
    </w:rPr>
  </w:style>
  <w:style w:type="paragraph" w:customStyle="1" w:styleId="536">
    <w:name w:val="Char Char Char Char Char Char1 Char Char1"/>
    <w:basedOn w:val="1"/>
    <w:qFormat/>
    <w:uiPriority w:val="0"/>
    <w:rPr>
      <w:rFonts w:ascii="方正仿宋_GB2312" w:hAnsi="Times New Roman" w:eastAsia="方正仿宋_GB2312" w:cs="Times New Roman"/>
      <w:b/>
      <w:sz w:val="32"/>
      <w:szCs w:val="32"/>
    </w:rPr>
  </w:style>
  <w:style w:type="paragraph" w:customStyle="1" w:styleId="537">
    <w:name w:val="xl117"/>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color w:val="000000"/>
      <w:kern w:val="0"/>
      <w:sz w:val="20"/>
      <w:szCs w:val="20"/>
    </w:rPr>
  </w:style>
  <w:style w:type="paragraph" w:customStyle="1" w:styleId="538">
    <w:name w:val="Char1 Char Char Char Char Char Char1 Char Char Char1"/>
    <w:basedOn w:val="1"/>
    <w:qFormat/>
    <w:uiPriority w:val="0"/>
    <w:pPr>
      <w:spacing w:line="360" w:lineRule="auto"/>
      <w:ind w:firstLine="200" w:firstLineChars="200"/>
    </w:pPr>
    <w:rPr>
      <w:rFonts w:ascii="宋体" w:hAnsi="宋体" w:eastAsia="宋体" w:cs="宋体"/>
      <w:sz w:val="24"/>
      <w:szCs w:val="24"/>
    </w:rPr>
  </w:style>
  <w:style w:type="paragraph" w:customStyle="1" w:styleId="539">
    <w:name w:val="Char Char Char"/>
    <w:basedOn w:val="1"/>
    <w:qFormat/>
    <w:uiPriority w:val="0"/>
    <w:pPr>
      <w:widowControl/>
      <w:spacing w:after="160" w:line="240" w:lineRule="exact"/>
      <w:jc w:val="left"/>
    </w:pPr>
    <w:rPr>
      <w:rFonts w:ascii="Verdana" w:hAnsi="Verdana" w:eastAsia="宋体" w:cs="Times New Roman"/>
      <w:kern w:val="0"/>
      <w:szCs w:val="20"/>
      <w:lang w:eastAsia="en-US"/>
    </w:rPr>
  </w:style>
  <w:style w:type="paragraph" w:customStyle="1" w:styleId="540">
    <w:name w:val="小标题"/>
    <w:basedOn w:val="311"/>
    <w:qFormat/>
    <w:uiPriority w:val="0"/>
    <w:pPr>
      <w:spacing w:before="249" w:beforeLines="80"/>
      <w:ind w:left="225" w:leftChars="107" w:firstLine="210" w:firstLineChars="100"/>
    </w:pPr>
    <w:rPr>
      <w:rFonts w:ascii="黑体" w:eastAsia="黑体"/>
      <w:iCs w:val="0"/>
      <w:snapToGrid/>
    </w:rPr>
  </w:style>
  <w:style w:type="paragraph" w:customStyle="1" w:styleId="541">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542">
    <w:name w:val="索引 11"/>
    <w:basedOn w:val="1"/>
    <w:next w:val="1"/>
    <w:qFormat/>
    <w:uiPriority w:val="0"/>
    <w:rPr>
      <w:rFonts w:ascii="Times New Roman" w:hAnsi="Times New Roman" w:eastAsia="宋体" w:cs="Times New Roman"/>
      <w:szCs w:val="24"/>
    </w:rPr>
  </w:style>
  <w:style w:type="paragraph" w:customStyle="1" w:styleId="543">
    <w:name w:val="CM54"/>
    <w:basedOn w:val="66"/>
    <w:next w:val="66"/>
    <w:qFormat/>
    <w:uiPriority w:val="0"/>
    <w:rPr>
      <w:rFonts w:ascii="Simplex" w:hAnsi="Times New Roman" w:eastAsia="Simplex" w:cs="Simplex"/>
      <w:color w:val="auto"/>
    </w:rPr>
  </w:style>
  <w:style w:type="paragraph" w:customStyle="1" w:styleId="544">
    <w:name w:val="CM112"/>
    <w:basedOn w:val="66"/>
    <w:next w:val="66"/>
    <w:qFormat/>
    <w:uiPriority w:val="0"/>
    <w:pPr>
      <w:spacing w:after="128"/>
    </w:pPr>
    <w:rPr>
      <w:rFonts w:ascii="Simplex" w:hAnsi="Times New Roman" w:eastAsia="Simplex" w:cs="Simplex"/>
      <w:color w:val="auto"/>
    </w:rPr>
  </w:style>
  <w:style w:type="paragraph" w:customStyle="1" w:styleId="545">
    <w:name w:val="表格内字体普安"/>
    <w:basedOn w:val="1"/>
    <w:qFormat/>
    <w:uiPriority w:val="0"/>
    <w:pPr>
      <w:snapToGrid w:val="0"/>
      <w:jc w:val="center"/>
    </w:pPr>
    <w:rPr>
      <w:rFonts w:ascii="Times New Roman" w:hAnsi="Times New Roman"/>
      <w:bCs/>
      <w:color w:val="000000"/>
      <w:szCs w:val="21"/>
    </w:rPr>
  </w:style>
  <w:style w:type="paragraph" w:customStyle="1" w:styleId="546">
    <w:name w:val="缩进文字"/>
    <w:basedOn w:val="1"/>
    <w:qFormat/>
    <w:uiPriority w:val="0"/>
    <w:pPr>
      <w:widowControl/>
      <w:spacing w:line="606" w:lineRule="atLeast"/>
      <w:ind w:firstLine="198"/>
      <w:jc w:val="left"/>
      <w:textAlignment w:val="baseline"/>
    </w:pPr>
    <w:rPr>
      <w:rFonts w:ascii="宋体" w:hAnsi="Times New Roman" w:eastAsia="宋体" w:cs="Times New Roman"/>
      <w:color w:val="000000"/>
      <w:kern w:val="0"/>
      <w:sz w:val="24"/>
      <w:szCs w:val="20"/>
      <w:u w:val="none" w:color="000000"/>
    </w:rPr>
  </w:style>
  <w:style w:type="paragraph" w:customStyle="1" w:styleId="547">
    <w:name w:val="xl1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b/>
      <w:bCs/>
      <w:kern w:val="0"/>
      <w:sz w:val="20"/>
      <w:szCs w:val="20"/>
    </w:rPr>
  </w:style>
  <w:style w:type="paragraph" w:customStyle="1" w:styleId="548">
    <w:name w:val="Char2 Char Char Char Char Char Char Char Char Char Char Char Char1"/>
    <w:basedOn w:val="1"/>
    <w:qFormat/>
    <w:uiPriority w:val="0"/>
    <w:pPr>
      <w:spacing w:line="560" w:lineRule="exact"/>
      <w:ind w:firstLine="200" w:firstLineChars="200"/>
    </w:pPr>
    <w:rPr>
      <w:rFonts w:ascii="宋体" w:hAnsi="宋体" w:eastAsia="宋体" w:cs="宋体"/>
      <w:sz w:val="28"/>
      <w:szCs w:val="28"/>
    </w:rPr>
  </w:style>
  <w:style w:type="paragraph" w:customStyle="1" w:styleId="549">
    <w:name w:val="xl95"/>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color w:val="000000"/>
      <w:kern w:val="0"/>
      <w:sz w:val="20"/>
      <w:szCs w:val="20"/>
    </w:rPr>
  </w:style>
  <w:style w:type="paragraph" w:customStyle="1" w:styleId="550">
    <w:name w:val="正文文本缩进11"/>
    <w:basedOn w:val="1"/>
    <w:qFormat/>
    <w:uiPriority w:val="0"/>
    <w:pPr>
      <w:spacing w:line="560" w:lineRule="exact"/>
      <w:ind w:firstLine="538" w:firstLineChars="192"/>
    </w:pPr>
    <w:rPr>
      <w:rFonts w:ascii="Times New Roman" w:hAnsi="Times New Roman" w:eastAsia="方正仿宋_GB2312" w:cs="Times New Roman"/>
      <w:sz w:val="28"/>
      <w:szCs w:val="24"/>
    </w:rPr>
  </w:style>
  <w:style w:type="paragraph" w:customStyle="1" w:styleId="551">
    <w:name w:val="样式 正文文本"/>
    <w:basedOn w:val="23"/>
    <w:qFormat/>
    <w:uiPriority w:val="0"/>
    <w:pPr>
      <w:adjustRightInd w:val="0"/>
      <w:snapToGrid w:val="0"/>
      <w:spacing w:after="0" w:line="360" w:lineRule="auto"/>
      <w:ind w:firstLine="200" w:firstLineChars="200"/>
    </w:pPr>
    <w:rPr>
      <w:rFonts w:ascii="Times New Roman" w:hAnsi="Times New Roman" w:eastAsia="方正仿宋_GB2312" w:cs="宋体"/>
      <w:sz w:val="24"/>
      <w:szCs w:val="20"/>
    </w:rPr>
  </w:style>
  <w:style w:type="paragraph" w:customStyle="1" w:styleId="552">
    <w:name w:val="日期3"/>
    <w:basedOn w:val="1"/>
    <w:next w:val="1"/>
    <w:qFormat/>
    <w:uiPriority w:val="0"/>
    <w:pPr>
      <w:ind w:left="100" w:leftChars="2500"/>
    </w:pPr>
    <w:rPr>
      <w:rFonts w:ascii="Times New Roman" w:hAnsi="Times New Roman" w:eastAsia="宋体" w:cs="Times New Roman"/>
      <w:szCs w:val="24"/>
    </w:rPr>
  </w:style>
  <w:style w:type="paragraph" w:customStyle="1" w:styleId="553">
    <w:name w:val="zzd表格"/>
    <w:qFormat/>
    <w:uiPriority w:val="0"/>
    <w:pPr>
      <w:spacing w:line="240" w:lineRule="atLeast"/>
      <w:jc w:val="center"/>
    </w:pPr>
    <w:rPr>
      <w:rFonts w:ascii="Times New Roman" w:hAnsi="Times New Roman" w:eastAsia="宋体" w:cs="Times New Roman"/>
      <w:sz w:val="18"/>
      <w:lang w:val="en-US" w:eastAsia="zh-CN" w:bidi="ar-SA"/>
    </w:rPr>
  </w:style>
  <w:style w:type="paragraph" w:customStyle="1" w:styleId="554">
    <w:name w:val="xl111"/>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555">
    <w:name w:val="xl10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b/>
      <w:bCs/>
      <w:kern w:val="0"/>
      <w:sz w:val="20"/>
      <w:szCs w:val="20"/>
    </w:rPr>
  </w:style>
  <w:style w:type="paragraph" w:customStyle="1" w:styleId="556">
    <w:name w:val="xl91"/>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557">
    <w:name w:val="表内格式"/>
    <w:basedOn w:val="1"/>
    <w:qFormat/>
    <w:uiPriority w:val="0"/>
    <w:pPr>
      <w:jc w:val="center"/>
    </w:pPr>
    <w:rPr>
      <w:sz w:val="18"/>
      <w:szCs w:val="20"/>
    </w:rPr>
  </w:style>
  <w:style w:type="paragraph" w:customStyle="1" w:styleId="558">
    <w:name w:val="CM47"/>
    <w:basedOn w:val="66"/>
    <w:next w:val="66"/>
    <w:qFormat/>
    <w:uiPriority w:val="99"/>
    <w:pPr>
      <w:spacing w:line="468" w:lineRule="atLeast"/>
    </w:pPr>
    <w:rPr>
      <w:rFonts w:cs="Times New Roman"/>
      <w:color w:val="auto"/>
    </w:rPr>
  </w:style>
  <w:style w:type="paragraph" w:customStyle="1" w:styleId="559">
    <w:name w:val="表格中文字"/>
    <w:basedOn w:val="1"/>
    <w:qFormat/>
    <w:uiPriority w:val="0"/>
    <w:pPr>
      <w:snapToGrid w:val="0"/>
      <w:spacing w:before="0" w:line="240" w:lineRule="auto"/>
      <w:ind w:firstLine="0"/>
      <w:jc w:val="center"/>
      <w:textAlignment w:val="auto"/>
    </w:pPr>
    <w:rPr>
      <w:kern w:val="18"/>
      <w:sz w:val="21"/>
      <w:szCs w:val="21"/>
      <w:lang w:val="zh-CN"/>
    </w:rPr>
  </w:style>
  <w:style w:type="paragraph" w:customStyle="1" w:styleId="560">
    <w:name w:val="正文段落"/>
    <w:basedOn w:val="1"/>
    <w:qFormat/>
    <w:uiPriority w:val="0"/>
    <w:pPr>
      <w:autoSpaceDE w:val="0"/>
      <w:autoSpaceDN w:val="0"/>
      <w:adjustRightInd w:val="0"/>
      <w:spacing w:line="480" w:lineRule="exact"/>
      <w:ind w:firstLine="200" w:firstLineChars="200"/>
      <w:textAlignment w:val="baseline"/>
    </w:pPr>
    <w:rPr>
      <w:rFonts w:ascii="@宋体" w:hAnsi="Times New Roman" w:eastAsia="方正仿宋_GB2312" w:cs="Times New Roman"/>
      <w:kern w:val="0"/>
      <w:sz w:val="24"/>
      <w:szCs w:val="20"/>
    </w:rPr>
  </w:style>
  <w:style w:type="paragraph" w:customStyle="1" w:styleId="561">
    <w:name w:val="xl93"/>
    <w:basedOn w:val="1"/>
    <w:qFormat/>
    <w:uiPriority w:val="0"/>
    <w:pPr>
      <w:widowControl/>
      <w:pBdr>
        <w:top w:val="single" w:color="auto" w:sz="4" w:space="0"/>
        <w:left w:val="single" w:color="auto" w:sz="4" w:space="0"/>
        <w:bottom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562">
    <w:name w:val="xl81"/>
    <w:basedOn w:val="1"/>
    <w:qFormat/>
    <w:uiPriority w:val="0"/>
    <w:pPr>
      <w:widowControl/>
      <w:spacing w:before="100" w:beforeAutospacing="1" w:after="100" w:afterAutospacing="1"/>
      <w:jc w:val="center"/>
      <w:textAlignment w:val="center"/>
    </w:pPr>
    <w:rPr>
      <w:rFonts w:ascii="宋体" w:hAnsi="宋体" w:eastAsia="宋体" w:cs="宋体"/>
      <w:kern w:val="0"/>
      <w:sz w:val="20"/>
      <w:szCs w:val="20"/>
    </w:rPr>
  </w:style>
  <w:style w:type="paragraph" w:customStyle="1" w:styleId="563">
    <w:name w:val="CM116"/>
    <w:basedOn w:val="66"/>
    <w:next w:val="66"/>
    <w:qFormat/>
    <w:uiPriority w:val="0"/>
    <w:pPr>
      <w:spacing w:after="763"/>
    </w:pPr>
    <w:rPr>
      <w:rFonts w:ascii="Simplex" w:hAnsi="Times New Roman" w:eastAsia="Simplex" w:cs="Simplex"/>
      <w:color w:val="auto"/>
    </w:rPr>
  </w:style>
  <w:style w:type="paragraph" w:customStyle="1" w:styleId="564">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565">
    <w:name w:val="brdrw15brsp20 tqctx4153t"/>
    <w:qFormat/>
    <w:uiPriority w:val="0"/>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paragraph" w:customStyle="1" w:styleId="566">
    <w:name w:val="样式 标题 2mystyle2style2节标题1题号标题 2 Char Char2 headlinehhead..."/>
    <w:basedOn w:val="4"/>
    <w:qFormat/>
    <w:uiPriority w:val="0"/>
    <w:pPr>
      <w:spacing w:before="120" w:after="120"/>
    </w:pPr>
    <w:rPr>
      <w:rFonts w:ascii="Times New Roman" w:hAnsi="Times New Roman" w:cs="宋体"/>
      <w:szCs w:val="20"/>
    </w:rPr>
  </w:style>
  <w:style w:type="paragraph" w:customStyle="1" w:styleId="567">
    <w:name w:val="xl11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568">
    <w:name w:val="xl9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b/>
      <w:bCs/>
      <w:kern w:val="0"/>
      <w:sz w:val="20"/>
      <w:szCs w:val="20"/>
    </w:rPr>
  </w:style>
  <w:style w:type="paragraph" w:customStyle="1" w:styleId="569">
    <w:name w:val="正文表标题"/>
    <w:next w:val="1"/>
    <w:qFormat/>
    <w:uiPriority w:val="0"/>
    <w:pPr>
      <w:tabs>
        <w:tab w:val="left" w:pos="1140"/>
      </w:tabs>
      <w:ind w:left="1140" w:hanging="420"/>
      <w:jc w:val="center"/>
    </w:pPr>
    <w:rPr>
      <w:rFonts w:ascii="黑体" w:hAnsi="Times New Roman" w:eastAsia="黑体" w:cs="黑体"/>
      <w:sz w:val="21"/>
      <w:szCs w:val="21"/>
      <w:lang w:val="en-US" w:eastAsia="zh-CN" w:bidi="ar-SA"/>
    </w:rPr>
  </w:style>
  <w:style w:type="paragraph" w:customStyle="1" w:styleId="570">
    <w:name w:val="xl11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color w:val="000000"/>
      <w:kern w:val="0"/>
      <w:sz w:val="20"/>
      <w:szCs w:val="20"/>
    </w:rPr>
  </w:style>
  <w:style w:type="paragraph" w:customStyle="1" w:styleId="571">
    <w:name w:val="xl1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color w:val="000000"/>
      <w:kern w:val="0"/>
      <w:sz w:val="20"/>
      <w:szCs w:val="20"/>
    </w:rPr>
  </w:style>
  <w:style w:type="paragraph" w:customStyle="1" w:styleId="572">
    <w:name w:val="标题3"/>
    <w:basedOn w:val="5"/>
    <w:qFormat/>
    <w:uiPriority w:val="0"/>
    <w:pPr>
      <w:spacing w:line="360" w:lineRule="auto"/>
      <w:jc w:val="left"/>
    </w:pPr>
    <w:rPr>
      <w:sz w:val="30"/>
      <w:szCs w:val="28"/>
    </w:rPr>
  </w:style>
  <w:style w:type="paragraph" w:customStyle="1" w:styleId="573">
    <w:name w:val="Body Text 22"/>
    <w:basedOn w:val="1"/>
    <w:qFormat/>
    <w:uiPriority w:val="0"/>
    <w:pPr>
      <w:adjustRightInd w:val="0"/>
      <w:spacing w:line="440" w:lineRule="atLeast"/>
      <w:ind w:firstLine="480"/>
      <w:textAlignment w:val="baseline"/>
    </w:pPr>
    <w:rPr>
      <w:rFonts w:eastAsia="方正仿宋_GB2312"/>
      <w:sz w:val="24"/>
      <w:szCs w:val="20"/>
    </w:rPr>
  </w:style>
  <w:style w:type="paragraph" w:customStyle="1" w:styleId="574">
    <w:name w:val="列出段落1"/>
    <w:basedOn w:val="1"/>
    <w:qFormat/>
    <w:uiPriority w:val="0"/>
    <w:pPr>
      <w:ind w:firstLine="420" w:firstLineChars="200"/>
    </w:pPr>
    <w:rPr>
      <w:rFonts w:ascii="Times New Roman" w:hAnsi="Times New Roman" w:eastAsia="宋体" w:cs="Times New Roman"/>
      <w:szCs w:val="24"/>
    </w:rPr>
  </w:style>
  <w:style w:type="paragraph" w:customStyle="1" w:styleId="575">
    <w:name w:val="xl11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576">
    <w:name w:val="font6"/>
    <w:basedOn w:val="1"/>
    <w:qFormat/>
    <w:uiPriority w:val="0"/>
    <w:pPr>
      <w:widowControl/>
      <w:spacing w:before="100" w:beforeAutospacing="1" w:after="100" w:afterAutospacing="1"/>
      <w:jc w:val="left"/>
    </w:pPr>
    <w:rPr>
      <w:rFonts w:hint="eastAsia" w:ascii="宋体" w:hAnsi="宋体" w:eastAsia="宋体" w:cs="Arial Black"/>
      <w:color w:val="000000"/>
      <w:kern w:val="0"/>
      <w:sz w:val="24"/>
      <w:szCs w:val="24"/>
    </w:rPr>
  </w:style>
  <w:style w:type="paragraph" w:customStyle="1" w:styleId="577">
    <w:name w:val="april正文"/>
    <w:basedOn w:val="1"/>
    <w:qFormat/>
    <w:uiPriority w:val="0"/>
    <w:pPr>
      <w:spacing w:line="300" w:lineRule="auto"/>
      <w:ind w:firstLine="504" w:firstLineChars="200"/>
    </w:pPr>
    <w:rPr>
      <w:rFonts w:ascii="Times New Roman" w:hAnsi="Times New Roman" w:eastAsia="宋体" w:cs="Times New Roman"/>
      <w:snapToGrid/>
      <w:spacing w:val="6"/>
      <w:kern w:val="0"/>
      <w:sz w:val="24"/>
      <w:szCs w:val="24"/>
    </w:rPr>
  </w:style>
  <w:style w:type="paragraph" w:customStyle="1" w:styleId="578">
    <w:name w:val="默认段落字体 Para Char"/>
    <w:basedOn w:val="1"/>
    <w:qFormat/>
    <w:uiPriority w:val="0"/>
    <w:pPr>
      <w:spacing w:line="360" w:lineRule="auto"/>
      <w:ind w:firstLine="200" w:firstLineChars="200"/>
    </w:pPr>
    <w:rPr>
      <w:rFonts w:ascii="宋体" w:hAnsi="宋体" w:eastAsia="宋体" w:cs="宋体"/>
      <w:sz w:val="24"/>
      <w:szCs w:val="24"/>
    </w:rPr>
  </w:style>
  <w:style w:type="paragraph" w:customStyle="1" w:styleId="579">
    <w:name w:val="CM100"/>
    <w:basedOn w:val="66"/>
    <w:next w:val="66"/>
    <w:qFormat/>
    <w:uiPriority w:val="0"/>
    <w:pPr>
      <w:spacing w:after="845"/>
    </w:pPr>
    <w:rPr>
      <w:rFonts w:ascii="Simplex" w:hAnsi="Times New Roman" w:eastAsia="Simplex" w:cs="Simplex"/>
      <w:color w:val="auto"/>
    </w:rPr>
  </w:style>
  <w:style w:type="paragraph" w:customStyle="1" w:styleId="580">
    <w:name w:val="纯文本2"/>
    <w:basedOn w:val="1"/>
    <w:qFormat/>
    <w:uiPriority w:val="0"/>
    <w:rPr>
      <w:rFonts w:ascii="宋体" w:hAnsi="Courier New" w:eastAsia="宋体" w:cs="Times New Roman"/>
      <w:szCs w:val="24"/>
    </w:rPr>
  </w:style>
  <w:style w:type="paragraph" w:customStyle="1" w:styleId="581">
    <w:name w:val="正文文本缩进 22"/>
    <w:basedOn w:val="1"/>
    <w:qFormat/>
    <w:uiPriority w:val="0"/>
    <w:pPr>
      <w:spacing w:line="560" w:lineRule="exact"/>
      <w:ind w:firstLine="560" w:firstLineChars="200"/>
    </w:pPr>
    <w:rPr>
      <w:rFonts w:ascii="方正仿宋_GB2312" w:hAnsi="宋体" w:eastAsia="方正仿宋_GB2312" w:cs="Times New Roman"/>
      <w:sz w:val="28"/>
      <w:szCs w:val="28"/>
    </w:rPr>
  </w:style>
  <w:style w:type="paragraph" w:customStyle="1" w:styleId="582">
    <w:name w:val="样式 标题 1 + 加粗"/>
    <w:basedOn w:val="3"/>
    <w:qFormat/>
    <w:uiPriority w:val="0"/>
    <w:pPr>
      <w:spacing w:before="120" w:after="120" w:line="500" w:lineRule="exact"/>
    </w:pPr>
    <w:rPr>
      <w:sz w:val="24"/>
    </w:rPr>
  </w:style>
  <w:style w:type="paragraph" w:customStyle="1" w:styleId="583">
    <w:name w:val="xl78"/>
    <w:basedOn w:val="1"/>
    <w:qFormat/>
    <w:uiPriority w:val="0"/>
    <w:pPr>
      <w:widowControl/>
      <w:spacing w:before="100" w:beforeAutospacing="1" w:after="100" w:afterAutospacing="1"/>
      <w:jc w:val="center"/>
      <w:textAlignment w:val="center"/>
    </w:pPr>
    <w:rPr>
      <w:rFonts w:ascii="宋体" w:hAnsi="宋体" w:eastAsia="宋体" w:cs="宋体"/>
      <w:kern w:val="0"/>
      <w:sz w:val="20"/>
      <w:szCs w:val="20"/>
    </w:rPr>
  </w:style>
  <w:style w:type="paragraph" w:customStyle="1" w:styleId="584">
    <w:name w:val="样式3wf"/>
    <w:basedOn w:val="1"/>
    <w:qFormat/>
    <w:uiPriority w:val="0"/>
    <w:pPr>
      <w:autoSpaceDE w:val="0"/>
      <w:autoSpaceDN w:val="0"/>
      <w:adjustRightInd w:val="0"/>
      <w:snapToGrid w:val="0"/>
      <w:textAlignment w:val="baseline"/>
    </w:pPr>
    <w:rPr>
      <w:rFonts w:ascii="Times New Roman" w:hAnsi="Times New Roman" w:eastAsia="宋体" w:cs="Times New Roman"/>
      <w:sz w:val="24"/>
      <w:szCs w:val="20"/>
    </w:rPr>
  </w:style>
  <w:style w:type="paragraph" w:customStyle="1" w:styleId="585">
    <w:name w:val="文档结构图1"/>
    <w:basedOn w:val="1"/>
    <w:qFormat/>
    <w:uiPriority w:val="0"/>
    <w:rPr>
      <w:rFonts w:ascii="宋体" w:hAnsi="Times New Roman" w:eastAsia="宋体" w:cs="Times New Roman"/>
      <w:sz w:val="18"/>
      <w:szCs w:val="18"/>
    </w:rPr>
  </w:style>
  <w:style w:type="paragraph" w:customStyle="1" w:styleId="586">
    <w:name w:val="正文(首行缩进2字）"/>
    <w:basedOn w:val="1"/>
    <w:qFormat/>
    <w:uiPriority w:val="0"/>
    <w:pPr>
      <w:spacing w:line="480" w:lineRule="exact"/>
      <w:ind w:firstLine="200" w:firstLineChars="200"/>
    </w:pPr>
    <w:rPr>
      <w:rFonts w:ascii="Arial" w:hAnsi="Arial" w:eastAsia="宋体" w:cs="Arial"/>
      <w:sz w:val="24"/>
      <w:szCs w:val="24"/>
    </w:rPr>
  </w:style>
  <w:style w:type="paragraph" w:customStyle="1" w:styleId="587">
    <w:name w:val="1.1.1"/>
    <w:next w:val="414"/>
    <w:qFormat/>
    <w:uiPriority w:val="0"/>
    <w:pPr>
      <w:spacing w:before="156" w:beforeLines="50" w:after="156" w:afterLines="50" w:line="300" w:lineRule="auto"/>
      <w:jc w:val="both"/>
    </w:pPr>
    <w:rPr>
      <w:rFonts w:ascii="宋体" w:hAnsi="Times New Roman" w:eastAsia="宋体" w:cs="Times New Roman"/>
      <w:b/>
      <w:spacing w:val="10"/>
      <w:sz w:val="24"/>
      <w:lang w:val="en-US" w:eastAsia="zh-CN" w:bidi="ar-SA"/>
    </w:rPr>
  </w:style>
  <w:style w:type="paragraph" w:customStyle="1" w:styleId="588">
    <w:name w:val="CM50"/>
    <w:basedOn w:val="66"/>
    <w:next w:val="66"/>
    <w:qFormat/>
    <w:uiPriority w:val="0"/>
    <w:pPr>
      <w:spacing w:line="440" w:lineRule="atLeast"/>
    </w:pPr>
    <w:rPr>
      <w:rFonts w:ascii="Simplex" w:hAnsi="Times New Roman" w:eastAsia="Simplex" w:cs="Simplex"/>
      <w:color w:val="auto"/>
    </w:rPr>
  </w:style>
  <w:style w:type="paragraph" w:customStyle="1" w:styleId="589">
    <w:name w:val="文本块1"/>
    <w:basedOn w:val="1"/>
    <w:qFormat/>
    <w:uiPriority w:val="0"/>
    <w:pPr>
      <w:spacing w:after="120"/>
      <w:ind w:left="1440" w:leftChars="700" w:right="1440" w:rightChars="700"/>
    </w:pPr>
    <w:rPr>
      <w:rFonts w:ascii="Times New Roman" w:hAnsi="Times New Roman" w:eastAsia="宋体" w:cs="Times New Roman"/>
      <w:szCs w:val="20"/>
    </w:rPr>
  </w:style>
  <w:style w:type="paragraph" w:customStyle="1" w:styleId="590">
    <w:name w:val="三章正文"/>
    <w:basedOn w:val="23"/>
    <w:qFormat/>
    <w:uiPriority w:val="0"/>
    <w:pPr>
      <w:spacing w:after="0" w:line="360" w:lineRule="auto"/>
      <w:ind w:firstLine="200" w:firstLineChars="200"/>
    </w:pPr>
    <w:rPr>
      <w:rFonts w:ascii="Times New Roman" w:hAnsi="Times New Roman" w:eastAsia="宋体" w:cs="Times New Roman"/>
      <w:sz w:val="24"/>
      <w:szCs w:val="20"/>
    </w:rPr>
  </w:style>
  <w:style w:type="paragraph" w:customStyle="1" w:styleId="591">
    <w:name w:val="tgt2"/>
    <w:basedOn w:val="1"/>
    <w:qFormat/>
    <w:uiPriority w:val="0"/>
    <w:pPr>
      <w:widowControl/>
      <w:spacing w:after="150" w:line="360" w:lineRule="auto"/>
      <w:jc w:val="left"/>
    </w:pPr>
    <w:rPr>
      <w:rFonts w:ascii="宋体" w:hAnsi="宋体" w:eastAsia="宋体" w:cs="宋体"/>
      <w:b/>
      <w:bCs/>
      <w:kern w:val="0"/>
      <w:sz w:val="36"/>
      <w:szCs w:val="36"/>
    </w:rPr>
  </w:style>
  <w:style w:type="paragraph" w:customStyle="1" w:styleId="592">
    <w:name w:val="图表目录2"/>
    <w:basedOn w:val="1"/>
    <w:next w:val="1"/>
    <w:qFormat/>
    <w:uiPriority w:val="0"/>
    <w:pPr>
      <w:spacing w:line="480" w:lineRule="exact"/>
      <w:ind w:left="200" w:leftChars="200" w:hanging="200" w:hangingChars="200"/>
    </w:pPr>
    <w:rPr>
      <w:rFonts w:ascii="Times New Roman" w:hAnsi="Times New Roman" w:eastAsia="宋体" w:cs="Times New Roman"/>
      <w:sz w:val="24"/>
      <w:szCs w:val="24"/>
    </w:rPr>
  </w:style>
  <w:style w:type="paragraph" w:customStyle="1" w:styleId="593">
    <w:name w:val="样式 标题3 + Times New Roman 黑色"/>
    <w:basedOn w:val="572"/>
    <w:qFormat/>
    <w:uiPriority w:val="0"/>
    <w:pPr>
      <w:widowControl/>
      <w:spacing w:before="80" w:after="0"/>
      <w:ind w:left="142"/>
    </w:pPr>
    <w:rPr>
      <w:rFonts w:eastAsia="黑体"/>
      <w:b w:val="0"/>
      <w:bCs w:val="0"/>
      <w:color w:val="000000"/>
      <w:sz w:val="24"/>
      <w:szCs w:val="20"/>
      <w:lang w:val="zh-CN"/>
    </w:rPr>
  </w:style>
  <w:style w:type="paragraph" w:customStyle="1" w:styleId="594">
    <w:name w:val="CM110"/>
    <w:basedOn w:val="66"/>
    <w:next w:val="66"/>
    <w:qFormat/>
    <w:uiPriority w:val="0"/>
    <w:pPr>
      <w:spacing w:after="313"/>
    </w:pPr>
    <w:rPr>
      <w:rFonts w:ascii="Simplex" w:hAnsi="Times New Roman" w:eastAsia="Simplex" w:cs="Simplex"/>
      <w:color w:val="auto"/>
    </w:rPr>
  </w:style>
  <w:style w:type="paragraph" w:customStyle="1" w:styleId="595">
    <w:name w:val="xl6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Black" w:hAnsi="Arial Black" w:eastAsia="Arial Black" w:cs="Arial Black"/>
      <w:color w:val="333333"/>
      <w:kern w:val="0"/>
      <w:sz w:val="20"/>
      <w:szCs w:val="20"/>
    </w:rPr>
  </w:style>
  <w:style w:type="paragraph" w:customStyle="1" w:styleId="596">
    <w:name w:val="新正文样式"/>
    <w:basedOn w:val="1"/>
    <w:qFormat/>
    <w:uiPriority w:val="0"/>
    <w:pPr>
      <w:tabs>
        <w:tab w:val="left" w:pos="567"/>
      </w:tabs>
      <w:spacing w:line="360" w:lineRule="auto"/>
      <w:ind w:firstLine="560" w:firstLineChars="200"/>
      <w:jc w:val="left"/>
    </w:pPr>
    <w:rPr>
      <w:rFonts w:ascii="Times New Roman" w:hAnsi="Times New Roman" w:eastAsia="华文中宋" w:cs="Times New Roman"/>
      <w:spacing w:val="20"/>
      <w:sz w:val="24"/>
      <w:szCs w:val="20"/>
    </w:rPr>
  </w:style>
  <w:style w:type="paragraph" w:customStyle="1" w:styleId="597">
    <w:name w:val="CM31"/>
    <w:basedOn w:val="66"/>
    <w:next w:val="66"/>
    <w:qFormat/>
    <w:uiPriority w:val="0"/>
    <w:pPr>
      <w:spacing w:line="468" w:lineRule="atLeast"/>
    </w:pPr>
    <w:rPr>
      <w:rFonts w:ascii="宋体" w:eastAsia="宋体" w:cs="Times New Roman"/>
      <w:color w:val="auto"/>
    </w:rPr>
  </w:style>
  <w:style w:type="paragraph" w:customStyle="1" w:styleId="598">
    <w:name w:val="xl83"/>
    <w:basedOn w:val="1"/>
    <w:qFormat/>
    <w:uiPriority w:val="0"/>
    <w:pPr>
      <w:widowControl/>
      <w:spacing w:before="100" w:beforeAutospacing="1" w:after="100" w:afterAutospacing="1"/>
      <w:jc w:val="left"/>
      <w:textAlignment w:val="center"/>
    </w:pPr>
    <w:rPr>
      <w:rFonts w:ascii="宋体" w:hAnsi="宋体" w:eastAsia="宋体" w:cs="宋体"/>
      <w:kern w:val="0"/>
      <w:sz w:val="20"/>
      <w:szCs w:val="20"/>
    </w:rPr>
  </w:style>
  <w:style w:type="paragraph" w:customStyle="1" w:styleId="599">
    <w:name w:val="xl126"/>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color w:val="FF0000"/>
      <w:kern w:val="0"/>
      <w:sz w:val="20"/>
      <w:szCs w:val="20"/>
    </w:rPr>
  </w:style>
  <w:style w:type="paragraph" w:customStyle="1" w:styleId="600">
    <w:name w:val="报告书正文 Char Char Char"/>
    <w:basedOn w:val="1"/>
    <w:qFormat/>
    <w:uiPriority w:val="0"/>
    <w:pPr>
      <w:spacing w:line="300" w:lineRule="auto"/>
      <w:ind w:firstLine="480" w:firstLineChars="200"/>
    </w:pPr>
    <w:rPr>
      <w:rFonts w:ascii="Times New Roman" w:hAnsi="Times New Roman" w:eastAsia="宋体" w:cs="Times New Roman"/>
      <w:sz w:val="24"/>
      <w:szCs w:val="24"/>
    </w:rPr>
  </w:style>
  <w:style w:type="paragraph" w:customStyle="1" w:styleId="601">
    <w:name w:val="xl146"/>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宋体" w:hAnsi="宋体" w:eastAsia="宋体" w:cs="宋体"/>
      <w:b/>
      <w:bCs/>
      <w:kern w:val="0"/>
      <w:sz w:val="20"/>
      <w:szCs w:val="20"/>
    </w:rPr>
  </w:style>
  <w:style w:type="paragraph" w:customStyle="1" w:styleId="602">
    <w:name w:val="xl1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603">
    <w:name w:val="bhq正文"/>
    <w:basedOn w:val="1"/>
    <w:qFormat/>
    <w:uiPriority w:val="0"/>
    <w:pPr>
      <w:adjustRightInd w:val="0"/>
      <w:snapToGrid w:val="0"/>
      <w:spacing w:line="432" w:lineRule="auto"/>
      <w:ind w:firstLine="567"/>
    </w:pPr>
    <w:rPr>
      <w:rFonts w:ascii="宋体" w:hAnsi="宋体"/>
      <w:sz w:val="28"/>
      <w:szCs w:val="20"/>
    </w:rPr>
  </w:style>
  <w:style w:type="paragraph" w:customStyle="1" w:styleId="604">
    <w:name w:val="样式 四号 加粗 段前: 6 磅 段后: 5 磅 行距: 固定值 23 磅"/>
    <w:basedOn w:val="10"/>
    <w:qFormat/>
    <w:uiPriority w:val="0"/>
    <w:pPr>
      <w:keepNext w:val="0"/>
      <w:keepLines w:val="0"/>
      <w:widowControl/>
      <w:spacing w:before="93" w:beforeLines="30" w:after="0" w:line="360" w:lineRule="auto"/>
      <w:jc w:val="left"/>
      <w:outlineLvl w:val="2"/>
    </w:pPr>
    <w:rPr>
      <w:rFonts w:ascii="Times New Roman" w:hAnsi="Times New Roman" w:cs="宋体"/>
      <w:bCs w:val="0"/>
      <w:kern w:val="28"/>
      <w:szCs w:val="20"/>
    </w:rPr>
  </w:style>
  <w:style w:type="paragraph" w:customStyle="1" w:styleId="605">
    <w:name w:val="xl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606">
    <w:name w:val="Char"/>
    <w:basedOn w:val="1"/>
    <w:next w:val="1"/>
    <w:qFormat/>
    <w:uiPriority w:val="0"/>
    <w:rPr>
      <w:rFonts w:ascii="Times New Roman" w:hAnsi="Times New Roman" w:eastAsia="宋体" w:cs="Times New Roman"/>
      <w:szCs w:val="24"/>
    </w:rPr>
  </w:style>
  <w:style w:type="paragraph" w:customStyle="1" w:styleId="607">
    <w:name w:val="Char Char Char Char Char Char1 Char Char"/>
    <w:basedOn w:val="1"/>
    <w:qFormat/>
    <w:uiPriority w:val="0"/>
    <w:rPr>
      <w:rFonts w:ascii="方正仿宋_GB2312" w:hAnsi="Times New Roman" w:eastAsia="方正仿宋_GB2312" w:cs="Times New Roman"/>
      <w:b/>
      <w:sz w:val="32"/>
      <w:szCs w:val="32"/>
    </w:rPr>
  </w:style>
  <w:style w:type="paragraph" w:customStyle="1" w:styleId="608">
    <w:name w:val="xl10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609">
    <w:name w:val="标题 31"/>
    <w:next w:val="168"/>
    <w:qFormat/>
    <w:uiPriority w:val="0"/>
    <w:pPr>
      <w:keepNext/>
      <w:keepLines/>
      <w:spacing w:before="200" w:after="200"/>
      <w:outlineLvl w:val="0"/>
    </w:pPr>
    <w:rPr>
      <w:rFonts w:ascii="Times New Roman" w:hAnsi="Times New Roman" w:eastAsia="宋体" w:cs="Times New Roman"/>
      <w:b/>
      <w:bCs/>
      <w:sz w:val="24"/>
      <w:szCs w:val="32"/>
      <w:lang w:val="zh-CN" w:eastAsia="zh-CN" w:bidi="ar-SA"/>
    </w:rPr>
  </w:style>
  <w:style w:type="paragraph" w:customStyle="1" w:styleId="610">
    <w:name w:val="纯文本11"/>
    <w:basedOn w:val="1"/>
    <w:qFormat/>
    <w:uiPriority w:val="0"/>
    <w:pPr>
      <w:adjustRightInd w:val="0"/>
      <w:jc w:val="left"/>
      <w:textAlignment w:val="baseline"/>
    </w:pPr>
    <w:rPr>
      <w:rFonts w:ascii="宋体" w:hAnsi="Times New Roman" w:eastAsia="宋体" w:cs="Times New Roman"/>
      <w:kern w:val="0"/>
      <w:sz w:val="24"/>
      <w:szCs w:val="20"/>
    </w:rPr>
  </w:style>
  <w:style w:type="paragraph" w:customStyle="1" w:styleId="611">
    <w:name w:val="xl144"/>
    <w:basedOn w:val="1"/>
    <w:qFormat/>
    <w:uiPriority w:val="0"/>
    <w:pPr>
      <w:widowControl/>
      <w:pBdr>
        <w:top w:val="single" w:color="auto" w:sz="4" w:space="0"/>
        <w:bottom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612">
    <w:name w:val="CM109"/>
    <w:basedOn w:val="66"/>
    <w:next w:val="66"/>
    <w:qFormat/>
    <w:uiPriority w:val="0"/>
    <w:pPr>
      <w:spacing w:after="490"/>
    </w:pPr>
    <w:rPr>
      <w:rFonts w:ascii="Simplex" w:hAnsi="Times New Roman" w:eastAsia="Simplex" w:cs="Simplex"/>
      <w:color w:val="auto"/>
    </w:rPr>
  </w:style>
  <w:style w:type="paragraph" w:customStyle="1" w:styleId="613">
    <w:name w:val="正文文本 31"/>
    <w:basedOn w:val="1"/>
    <w:qFormat/>
    <w:uiPriority w:val="0"/>
    <w:pPr>
      <w:spacing w:after="120"/>
    </w:pPr>
    <w:rPr>
      <w:rFonts w:ascii="Times New Roman" w:hAnsi="Times New Roman" w:eastAsia="宋体" w:cs="Times New Roman"/>
      <w:sz w:val="16"/>
      <w:szCs w:val="16"/>
    </w:rPr>
  </w:style>
  <w:style w:type="paragraph" w:customStyle="1" w:styleId="614">
    <w:name w:val="xl1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0"/>
      <w:szCs w:val="20"/>
    </w:rPr>
  </w:style>
  <w:style w:type="paragraph" w:customStyle="1" w:styleId="615">
    <w:name w:val="索引 221"/>
    <w:basedOn w:val="1"/>
    <w:next w:val="1"/>
    <w:qFormat/>
    <w:uiPriority w:val="0"/>
    <w:pPr>
      <w:autoSpaceDE w:val="0"/>
      <w:autoSpaceDN w:val="0"/>
      <w:adjustRightInd w:val="0"/>
      <w:ind w:left="200" w:leftChars="200"/>
      <w:jc w:val="left"/>
      <w:textAlignment w:val="baseline"/>
    </w:pPr>
    <w:rPr>
      <w:rFonts w:ascii="宋体" w:hAnsi="Times New Roman" w:eastAsia="宋体" w:cs="Times New Roman"/>
      <w:kern w:val="0"/>
      <w:sz w:val="34"/>
      <w:szCs w:val="20"/>
    </w:rPr>
  </w:style>
  <w:style w:type="paragraph" w:customStyle="1" w:styleId="616">
    <w:name w:val="注释标题21"/>
    <w:basedOn w:val="1"/>
    <w:next w:val="1"/>
    <w:qFormat/>
    <w:uiPriority w:val="0"/>
    <w:pPr>
      <w:jc w:val="center"/>
    </w:pPr>
    <w:rPr>
      <w:rFonts w:ascii="Times New Roman" w:hAnsi="Times New Roman" w:eastAsia="宋体" w:cs="Times New Roman"/>
      <w:szCs w:val="24"/>
    </w:rPr>
  </w:style>
  <w:style w:type="paragraph" w:customStyle="1" w:styleId="617">
    <w:name w:val="reader-word-layer"/>
    <w:basedOn w:val="1"/>
    <w:qFormat/>
    <w:uiPriority w:val="0"/>
    <w:pPr>
      <w:widowControl/>
      <w:spacing w:before="100" w:beforeAutospacing="1" w:after="100" w:afterAutospacing="1"/>
      <w:jc w:val="left"/>
    </w:pPr>
    <w:rPr>
      <w:rFonts w:ascii="宋体" w:hAnsi="宋体" w:cs="宋体"/>
      <w:kern w:val="0"/>
      <w:sz w:val="24"/>
    </w:rPr>
  </w:style>
  <w:style w:type="paragraph" w:customStyle="1" w:styleId="618">
    <w:name w:val="普通(网站)1"/>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619">
    <w:name w:val="reader-word-layer reader-word-s1-69"/>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620">
    <w:name w:val="xl13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color w:val="000000"/>
      <w:kern w:val="0"/>
      <w:sz w:val="20"/>
      <w:szCs w:val="20"/>
    </w:rPr>
  </w:style>
  <w:style w:type="paragraph" w:customStyle="1" w:styleId="621">
    <w:name w:val="xl14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622">
    <w:name w:val="表中文字"/>
    <w:qFormat/>
    <w:uiPriority w:val="0"/>
    <w:pPr>
      <w:widowControl w:val="0"/>
      <w:spacing w:line="280" w:lineRule="exact"/>
      <w:jc w:val="center"/>
    </w:pPr>
    <w:rPr>
      <w:rFonts w:ascii="Times New Roman" w:hAnsi="Times New Roman" w:eastAsia="宋体" w:cs="Times New Roman"/>
      <w:kern w:val="28"/>
      <w:sz w:val="21"/>
      <w:lang w:val="en-US" w:eastAsia="zh-CN" w:bidi="ar-SA"/>
    </w:rPr>
  </w:style>
  <w:style w:type="paragraph" w:customStyle="1" w:styleId="623">
    <w:name w:val="日期2"/>
    <w:basedOn w:val="1"/>
    <w:next w:val="1"/>
    <w:qFormat/>
    <w:uiPriority w:val="0"/>
    <w:pPr>
      <w:ind w:left="100" w:leftChars="2500"/>
    </w:pPr>
    <w:rPr>
      <w:rFonts w:ascii="Times New Roman" w:hAnsi="Times New Roman" w:eastAsia="宋体" w:cs="Times New Roman"/>
      <w:szCs w:val="24"/>
    </w:rPr>
  </w:style>
  <w:style w:type="paragraph" w:customStyle="1" w:styleId="624">
    <w:name w:val="样式"/>
    <w:basedOn w:val="1"/>
    <w:qFormat/>
    <w:uiPriority w:val="0"/>
    <w:rPr>
      <w:rFonts w:ascii="Times New Roman" w:hAnsi="Times New Roman" w:eastAsia="宋体" w:cs="Times New Roman"/>
      <w:szCs w:val="21"/>
    </w:rPr>
  </w:style>
  <w:style w:type="paragraph" w:customStyle="1" w:styleId="625">
    <w:name w:val="表内5号两端对齐"/>
    <w:qFormat/>
    <w:uiPriority w:val="0"/>
    <w:pPr>
      <w:adjustRightInd w:val="0"/>
      <w:snapToGrid w:val="0"/>
      <w:jc w:val="both"/>
    </w:pPr>
    <w:rPr>
      <w:rFonts w:ascii="Times New Roman" w:hAnsi="Times New Roman" w:eastAsia="宋体" w:cs="Times New Roman"/>
      <w:sz w:val="21"/>
      <w:lang w:val="en-US" w:eastAsia="zh-CN" w:bidi="ar-SA"/>
    </w:rPr>
  </w:style>
  <w:style w:type="paragraph" w:customStyle="1" w:styleId="626">
    <w:name w:val="表格、图片名"/>
    <w:basedOn w:val="1"/>
    <w:link w:val="627"/>
    <w:qFormat/>
    <w:uiPriority w:val="99"/>
    <w:pPr>
      <w:spacing w:line="360" w:lineRule="auto"/>
      <w:ind w:firstLine="480" w:firstLineChars="200"/>
      <w:jc w:val="center"/>
    </w:pPr>
    <w:rPr>
      <w:rFonts w:ascii="Times New Roman" w:hAnsi="Times New Roman" w:eastAsia="黑体"/>
      <w:kern w:val="0"/>
    </w:rPr>
  </w:style>
  <w:style w:type="character" w:customStyle="1" w:styleId="627">
    <w:name w:val="表格、图片名 Char"/>
    <w:link w:val="626"/>
    <w:qFormat/>
    <w:locked/>
    <w:uiPriority w:val="99"/>
    <w:rPr>
      <w:rFonts w:eastAsia="黑体"/>
      <w:sz w:val="24"/>
      <w:szCs w:val="24"/>
    </w:rPr>
  </w:style>
  <w:style w:type="paragraph" w:customStyle="1" w:styleId="628">
    <w:name w:val="CM14"/>
    <w:basedOn w:val="66"/>
    <w:next w:val="66"/>
    <w:qFormat/>
    <w:uiPriority w:val="0"/>
    <w:pPr>
      <w:spacing w:line="468" w:lineRule="atLeast"/>
    </w:pPr>
    <w:rPr>
      <w:rFonts w:ascii="宋体" w:eastAsia="宋体" w:cs="Times New Roman"/>
      <w:color w:val="auto"/>
    </w:rPr>
  </w:style>
  <w:style w:type="paragraph" w:customStyle="1" w:styleId="629">
    <w:name w:val="正文文本 24"/>
    <w:basedOn w:val="1"/>
    <w:qFormat/>
    <w:uiPriority w:val="0"/>
    <w:pPr>
      <w:spacing w:before="0" w:line="240" w:lineRule="atLeast"/>
      <w:ind w:firstLine="0"/>
      <w:jc w:val="center"/>
    </w:pPr>
    <w:rPr>
      <w:rFonts w:ascii="宋体"/>
      <w:kern w:val="0"/>
    </w:rPr>
  </w:style>
  <w:style w:type="paragraph" w:customStyle="1" w:styleId="630">
    <w:name w:val="xl156"/>
    <w:basedOn w:val="1"/>
    <w:qFormat/>
    <w:uiPriority w:val="0"/>
    <w:pPr>
      <w:widowControl/>
      <w:pBdr>
        <w:top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4"/>
      <w:szCs w:val="24"/>
    </w:rPr>
  </w:style>
  <w:style w:type="paragraph" w:customStyle="1" w:styleId="631">
    <w:name w:val="表头(A4)"/>
    <w:basedOn w:val="1"/>
    <w:next w:val="50"/>
    <w:qFormat/>
    <w:uiPriority w:val="0"/>
    <w:pPr>
      <w:tabs>
        <w:tab w:val="left" w:pos="547"/>
        <w:tab w:val="left" w:pos="1080"/>
        <w:tab w:val="center" w:pos="4320"/>
        <w:tab w:val="right" w:pos="8640"/>
      </w:tabs>
      <w:spacing w:line="480" w:lineRule="atLeast"/>
    </w:pPr>
    <w:rPr>
      <w:rFonts w:ascii="Times New Roman" w:hAnsi="Times New Roman" w:eastAsia="宋体" w:cs="Times New Roman"/>
      <w:b/>
      <w:sz w:val="24"/>
      <w:szCs w:val="28"/>
    </w:rPr>
  </w:style>
  <w:style w:type="paragraph" w:customStyle="1" w:styleId="632">
    <w:name w:val="表文"/>
    <w:basedOn w:val="1"/>
    <w:qFormat/>
    <w:uiPriority w:val="0"/>
    <w:pPr>
      <w:overflowPunct w:val="0"/>
      <w:jc w:val="center"/>
      <w:textAlignment w:val="baseline"/>
    </w:pPr>
    <w:rPr>
      <w:rFonts w:ascii="Times New Roman" w:hAnsi="Times New Roman" w:eastAsia="宋体" w:cs="Times New Roman"/>
      <w:szCs w:val="20"/>
    </w:rPr>
  </w:style>
  <w:style w:type="paragraph" w:customStyle="1" w:styleId="633">
    <w:name w:val="font11"/>
    <w:basedOn w:val="1"/>
    <w:qFormat/>
    <w:uiPriority w:val="0"/>
    <w:pPr>
      <w:widowControl/>
      <w:spacing w:before="100" w:beforeAutospacing="1" w:after="100" w:afterAutospacing="1"/>
      <w:jc w:val="left"/>
    </w:pPr>
    <w:rPr>
      <w:rFonts w:ascii="宋体" w:hAnsi="宋体" w:eastAsia="宋体" w:cs="宋体"/>
      <w:b/>
      <w:bCs/>
      <w:color w:val="000000"/>
      <w:kern w:val="0"/>
      <w:sz w:val="18"/>
      <w:szCs w:val="18"/>
    </w:rPr>
  </w:style>
  <w:style w:type="paragraph" w:customStyle="1" w:styleId="634">
    <w:name w:val="xl24"/>
    <w:basedOn w:val="1"/>
    <w:qFormat/>
    <w:uiPriority w:val="0"/>
    <w:pPr>
      <w:widowControl/>
      <w:pBdr>
        <w:bottom w:val="single" w:color="auto" w:sz="4" w:space="0"/>
        <w:right w:val="single" w:color="auto" w:sz="4" w:space="0"/>
      </w:pBdr>
      <w:spacing w:before="100" w:beforeAutospacing="1" w:after="100" w:afterAutospacing="1"/>
      <w:jc w:val="center"/>
      <w:textAlignment w:val="top"/>
    </w:pPr>
    <w:rPr>
      <w:rFonts w:ascii="Times New Roman" w:hAnsi="Times New Roman" w:eastAsia="宋体" w:cs="Times New Roman"/>
      <w:kern w:val="0"/>
      <w:szCs w:val="21"/>
    </w:rPr>
  </w:style>
  <w:style w:type="paragraph" w:customStyle="1" w:styleId="635">
    <w:name w:val="fcc正文"/>
    <w:basedOn w:val="1"/>
    <w:qFormat/>
    <w:uiPriority w:val="0"/>
    <w:pPr>
      <w:spacing w:line="360" w:lineRule="auto"/>
      <w:ind w:firstLine="200" w:firstLineChars="200"/>
    </w:pPr>
    <w:rPr>
      <w:sz w:val="24"/>
      <w:szCs w:val="20"/>
      <w:lang w:val="zh-CN"/>
    </w:rPr>
  </w:style>
  <w:style w:type="paragraph" w:customStyle="1" w:styleId="636">
    <w:name w:val="Char Char1 Char Char Char Char Char Char Char Char Char Char Char Char Char Char Char Char Char Char Char Char Char Char Char Char Char Char Char Char Char Char1 Char Char Char Char"/>
    <w:basedOn w:val="1"/>
    <w:qFormat/>
    <w:uiPriority w:val="0"/>
    <w:rPr>
      <w:rFonts w:ascii="Times New Roman" w:hAnsi="Times New Roman" w:eastAsia="宋体" w:cs="Times New Roman"/>
      <w:szCs w:val="24"/>
    </w:rPr>
  </w:style>
  <w:style w:type="paragraph" w:customStyle="1" w:styleId="637">
    <w:name w:val="正文首行缩进1"/>
    <w:basedOn w:val="23"/>
    <w:qFormat/>
    <w:uiPriority w:val="0"/>
    <w:pPr>
      <w:ind w:firstLine="420" w:firstLineChars="100"/>
    </w:pPr>
    <w:rPr>
      <w:rFonts w:ascii="Times New Roman" w:hAnsi="Times New Roman" w:eastAsia="宋体" w:cs="Times New Roman"/>
      <w:szCs w:val="24"/>
    </w:rPr>
  </w:style>
  <w:style w:type="paragraph" w:customStyle="1" w:styleId="638">
    <w:name w:val="xl99"/>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639">
    <w:name w:val="表格后正文"/>
    <w:basedOn w:val="596"/>
    <w:qFormat/>
    <w:uiPriority w:val="0"/>
    <w:pPr>
      <w:spacing w:before="200"/>
    </w:pPr>
  </w:style>
  <w:style w:type="paragraph" w:customStyle="1" w:styleId="640">
    <w:name w:val="p0"/>
    <w:basedOn w:val="1"/>
    <w:qFormat/>
    <w:uiPriority w:val="0"/>
    <w:pPr>
      <w:widowControl/>
      <w:spacing w:line="480" w:lineRule="atLeast"/>
      <w:ind w:firstLine="420"/>
    </w:pPr>
    <w:rPr>
      <w:rFonts w:ascii="Times New Roman" w:hAnsi="Times New Roman" w:eastAsia="宋体" w:cs="Times New Roman"/>
      <w:kern w:val="0"/>
      <w:sz w:val="28"/>
      <w:szCs w:val="28"/>
    </w:rPr>
  </w:style>
  <w:style w:type="paragraph" w:customStyle="1" w:styleId="641">
    <w:name w:val="xl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642">
    <w:name w:val="Char Char Char1 Char1"/>
    <w:basedOn w:val="1"/>
    <w:qFormat/>
    <w:uiPriority w:val="0"/>
    <w:rPr>
      <w:rFonts w:ascii="Times New Roman" w:hAnsi="Times New Roman" w:eastAsia="宋体" w:cs="Times New Roman"/>
      <w:szCs w:val="24"/>
    </w:rPr>
  </w:style>
  <w:style w:type="paragraph" w:customStyle="1" w:styleId="643">
    <w:name w:val="正文首行缩进21"/>
    <w:basedOn w:val="23"/>
    <w:qFormat/>
    <w:uiPriority w:val="0"/>
    <w:pPr>
      <w:ind w:firstLine="420" w:firstLineChars="100"/>
    </w:pPr>
    <w:rPr>
      <w:rFonts w:ascii="Times New Roman" w:hAnsi="Times New Roman" w:eastAsia="宋体" w:cs="Times New Roman"/>
      <w:szCs w:val="24"/>
    </w:rPr>
  </w:style>
  <w:style w:type="paragraph" w:customStyle="1" w:styleId="644">
    <w:name w:val="xl1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645">
    <w:name w:val="CM1"/>
    <w:basedOn w:val="66"/>
    <w:next w:val="66"/>
    <w:qFormat/>
    <w:uiPriority w:val="0"/>
    <w:rPr>
      <w:rFonts w:ascii="Simplex" w:hAnsi="Times New Roman" w:eastAsia="Simplex" w:cs="Simplex"/>
      <w:color w:val="auto"/>
    </w:rPr>
  </w:style>
  <w:style w:type="paragraph" w:customStyle="1" w:styleId="646">
    <w:name w:val="样式 图标题 + 段前: 0.4 行 段后: 0.8 行"/>
    <w:basedOn w:val="230"/>
    <w:qFormat/>
    <w:uiPriority w:val="0"/>
    <w:pPr>
      <w:tabs>
        <w:tab w:val="left" w:pos="436"/>
        <w:tab w:val="clear" w:pos="1008"/>
      </w:tabs>
      <w:spacing w:before="0" w:beforeLines="0" w:after="0" w:afterLines="0" w:line="240" w:lineRule="auto"/>
      <w:ind w:left="16" w:firstLine="560"/>
    </w:pPr>
    <w:rPr>
      <w:rFonts w:ascii="宋体" w:hAnsi="宋体" w:eastAsia="华文新魏"/>
      <w:bCs/>
      <w:kern w:val="0"/>
    </w:rPr>
  </w:style>
  <w:style w:type="paragraph" w:customStyle="1" w:styleId="647">
    <w:name w:val="报表内容"/>
    <w:qFormat/>
    <w:uiPriority w:val="1"/>
    <w:pPr>
      <w:widowControl w:val="0"/>
      <w:spacing w:line="260" w:lineRule="exact"/>
      <w:jc w:val="center"/>
    </w:pPr>
    <w:rPr>
      <w:rFonts w:ascii="Times New Roman" w:hAnsi="Times New Roman" w:eastAsia="宋体" w:cs="Times New Roman"/>
      <w:sz w:val="18"/>
      <w:lang w:val="en-US" w:eastAsia="zh-CN" w:bidi="ar-SA"/>
    </w:rPr>
  </w:style>
  <w:style w:type="paragraph" w:customStyle="1" w:styleId="648">
    <w:name w:val="海盘说明"/>
    <w:basedOn w:val="1"/>
    <w:qFormat/>
    <w:uiPriority w:val="0"/>
    <w:pPr>
      <w:adjustRightInd w:val="0"/>
      <w:spacing w:line="360" w:lineRule="exact"/>
      <w:ind w:firstLine="199" w:firstLineChars="199"/>
      <w:textAlignment w:val="baseline"/>
    </w:pPr>
    <w:rPr>
      <w:rFonts w:ascii="Times New Roman" w:hAnsi="Times New Roman" w:eastAsia="宋体" w:cs="Times New Roman"/>
      <w:b/>
      <w:kern w:val="0"/>
      <w:szCs w:val="20"/>
    </w:rPr>
  </w:style>
  <w:style w:type="paragraph" w:customStyle="1" w:styleId="649">
    <w:name w:val="CM108"/>
    <w:basedOn w:val="66"/>
    <w:next w:val="66"/>
    <w:qFormat/>
    <w:uiPriority w:val="0"/>
    <w:pPr>
      <w:spacing w:after="78"/>
    </w:pPr>
    <w:rPr>
      <w:rFonts w:ascii="Simplex" w:hAnsi="Times New Roman" w:eastAsia="Simplex" w:cs="Simplex"/>
      <w:color w:val="auto"/>
    </w:rPr>
  </w:style>
  <w:style w:type="paragraph" w:customStyle="1" w:styleId="650">
    <w:name w:val="xl32"/>
    <w:basedOn w:val="1"/>
    <w:qFormat/>
    <w:uiPriority w:val="0"/>
    <w:pPr>
      <w:widowControl/>
      <w:spacing w:before="100" w:beforeAutospacing="1" w:after="100" w:afterAutospacing="1"/>
      <w:jc w:val="center"/>
    </w:pPr>
    <w:rPr>
      <w:rFonts w:ascii="Arial Black" w:hAnsi="Arial Black" w:eastAsia="Arial Black" w:cs="Arial Black"/>
      <w:kern w:val="0"/>
      <w:sz w:val="20"/>
      <w:szCs w:val="20"/>
    </w:rPr>
  </w:style>
  <w:style w:type="paragraph" w:customStyle="1" w:styleId="651">
    <w:name w:val="普通文本"/>
    <w:basedOn w:val="1"/>
    <w:qFormat/>
    <w:uiPriority w:val="0"/>
    <w:pPr>
      <w:spacing w:line="480" w:lineRule="exact"/>
      <w:ind w:firstLine="200" w:firstLineChars="200"/>
    </w:pPr>
    <w:rPr>
      <w:rFonts w:ascii="Times New Roman" w:hAnsi="Times New Roman" w:eastAsia="方正仿宋_GB2312" w:cs="Times New Roman"/>
      <w:sz w:val="24"/>
      <w:szCs w:val="24"/>
    </w:rPr>
  </w:style>
  <w:style w:type="paragraph" w:customStyle="1" w:styleId="652">
    <w:name w:val="正文文本缩进3"/>
    <w:basedOn w:val="1"/>
    <w:qFormat/>
    <w:uiPriority w:val="0"/>
    <w:pPr>
      <w:spacing w:line="560" w:lineRule="exact"/>
      <w:ind w:firstLine="538" w:firstLineChars="192"/>
    </w:pPr>
    <w:rPr>
      <w:rFonts w:ascii="Times New Roman" w:hAnsi="Times New Roman" w:eastAsia="方正仿宋_GB2312" w:cs="Times New Roman"/>
      <w:sz w:val="28"/>
      <w:szCs w:val="24"/>
    </w:rPr>
  </w:style>
  <w:style w:type="paragraph" w:customStyle="1" w:styleId="653">
    <w:name w:val="样式 报告 + 首行缩进:  2 字符 段前: 3 磅 段后: 3 磅"/>
    <w:basedOn w:val="1"/>
    <w:qFormat/>
    <w:uiPriority w:val="0"/>
    <w:pPr>
      <w:overflowPunct w:val="0"/>
      <w:autoSpaceDE w:val="0"/>
      <w:autoSpaceDN w:val="0"/>
      <w:adjustRightInd w:val="0"/>
      <w:spacing w:before="60" w:after="60" w:line="400" w:lineRule="atLeast"/>
      <w:ind w:firstLine="480" w:firstLineChars="200"/>
      <w:jc w:val="left"/>
      <w:textAlignment w:val="baseline"/>
    </w:pPr>
    <w:rPr>
      <w:rFonts w:ascii="Times New Roman" w:hAnsi="Times New Roman" w:eastAsia="宋体" w:cs="宋体"/>
      <w:kern w:val="0"/>
      <w:sz w:val="24"/>
      <w:szCs w:val="24"/>
    </w:rPr>
  </w:style>
  <w:style w:type="paragraph" w:customStyle="1" w:styleId="654">
    <w:name w:val="xl40"/>
    <w:basedOn w:val="1"/>
    <w:qFormat/>
    <w:uiPriority w:val="0"/>
    <w:pPr>
      <w:widowControl/>
      <w:pBdr>
        <w:left w:val="single" w:color="auto" w:sz="4" w:space="0"/>
        <w:right w:val="single" w:color="auto" w:sz="4" w:space="0"/>
      </w:pBdr>
      <w:adjustRightInd w:val="0"/>
      <w:snapToGrid w:val="0"/>
      <w:spacing w:before="100" w:beforeAutospacing="1" w:after="100" w:afterAutospacing="1" w:line="360" w:lineRule="auto"/>
      <w:jc w:val="center"/>
    </w:pPr>
    <w:rPr>
      <w:rFonts w:ascii="宋体" w:hAnsi="宋体" w:eastAsia="宋体" w:cs="Times New Roman"/>
      <w:kern w:val="0"/>
      <w:sz w:val="24"/>
      <w:szCs w:val="24"/>
    </w:rPr>
  </w:style>
  <w:style w:type="paragraph" w:customStyle="1" w:styleId="655">
    <w:name w:val="xl140"/>
    <w:basedOn w:val="1"/>
    <w:qFormat/>
    <w:uiPriority w:val="0"/>
    <w:pPr>
      <w:widowControl/>
      <w:pBdr>
        <w:top w:val="single" w:color="auto" w:sz="4" w:space="0"/>
        <w:bottom w:val="single" w:color="auto" w:sz="4" w:space="0"/>
      </w:pBdr>
      <w:spacing w:before="100" w:beforeAutospacing="1" w:after="100" w:afterAutospacing="1"/>
      <w:jc w:val="right"/>
      <w:textAlignment w:val="center"/>
    </w:pPr>
    <w:rPr>
      <w:rFonts w:ascii="宋体" w:hAnsi="宋体" w:eastAsia="宋体" w:cs="宋体"/>
      <w:kern w:val="0"/>
      <w:sz w:val="20"/>
      <w:szCs w:val="20"/>
    </w:rPr>
  </w:style>
  <w:style w:type="paragraph" w:customStyle="1" w:styleId="656">
    <w:name w:val="xl74"/>
    <w:basedOn w:val="1"/>
    <w:qFormat/>
    <w:uiPriority w:val="0"/>
    <w:pPr>
      <w:widowControl/>
      <w:spacing w:before="100" w:beforeAutospacing="1" w:after="100" w:afterAutospacing="1"/>
      <w:jc w:val="left"/>
      <w:textAlignment w:val="center"/>
    </w:pPr>
    <w:rPr>
      <w:rFonts w:ascii="宋体" w:hAnsi="宋体" w:eastAsia="宋体" w:cs="宋体"/>
      <w:kern w:val="0"/>
      <w:sz w:val="20"/>
      <w:szCs w:val="20"/>
    </w:rPr>
  </w:style>
  <w:style w:type="paragraph" w:customStyle="1" w:styleId="657">
    <w:name w:val="正文(首行缩进2字)"/>
    <w:basedOn w:val="1"/>
    <w:next w:val="1"/>
    <w:qFormat/>
    <w:uiPriority w:val="0"/>
    <w:pPr>
      <w:adjustRightInd w:val="0"/>
      <w:spacing w:line="360" w:lineRule="auto"/>
      <w:ind w:firstLine="560" w:firstLineChars="200"/>
      <w:jc w:val="left"/>
      <w:textAlignment w:val="baseline"/>
    </w:pPr>
    <w:rPr>
      <w:rFonts w:ascii="Times New Roman" w:hAnsi="Times New Roman" w:eastAsia="宋体" w:cs="Times New Roman"/>
      <w:color w:val="000000"/>
      <w:kern w:val="0"/>
      <w:sz w:val="28"/>
      <w:szCs w:val="20"/>
    </w:rPr>
  </w:style>
  <w:style w:type="paragraph" w:customStyle="1" w:styleId="658">
    <w:name w:val="文本块2"/>
    <w:basedOn w:val="1"/>
    <w:qFormat/>
    <w:uiPriority w:val="0"/>
    <w:pPr>
      <w:spacing w:after="120"/>
      <w:ind w:left="1440" w:leftChars="700" w:right="1440" w:rightChars="700"/>
    </w:pPr>
    <w:rPr>
      <w:rFonts w:ascii="Times New Roman" w:hAnsi="Times New Roman" w:eastAsia="宋体" w:cs="Times New Roman"/>
      <w:szCs w:val="20"/>
    </w:rPr>
  </w:style>
  <w:style w:type="paragraph" w:customStyle="1" w:styleId="659">
    <w:name w:val="+标题4"/>
    <w:basedOn w:val="10"/>
    <w:qFormat/>
    <w:uiPriority w:val="0"/>
    <w:pPr>
      <w:numPr>
        <w:ilvl w:val="3"/>
        <w:numId w:val="5"/>
      </w:numPr>
      <w:tabs>
        <w:tab w:val="clear" w:pos="420"/>
      </w:tabs>
      <w:adjustRightInd/>
      <w:spacing w:before="120" w:after="120" w:line="360" w:lineRule="auto"/>
      <w:jc w:val="both"/>
      <w:textAlignment w:val="auto"/>
    </w:pPr>
    <w:rPr>
      <w:rFonts w:ascii="Times New Roman" w:hAnsi="Times New Roman" w:eastAsia="宋体"/>
      <w:kern w:val="2"/>
      <w:sz w:val="24"/>
    </w:rPr>
  </w:style>
  <w:style w:type="paragraph" w:customStyle="1" w:styleId="660">
    <w:name w:val="xl26"/>
    <w:basedOn w:val="1"/>
    <w:qFormat/>
    <w:uiPriority w:val="0"/>
    <w:pPr>
      <w:widowControl/>
      <w:pBdr>
        <w:bottom w:val="single" w:color="auto" w:sz="4" w:space="0"/>
        <w:right w:val="single" w:color="auto" w:sz="4" w:space="0"/>
      </w:pBdr>
      <w:spacing w:before="100" w:beforeAutospacing="1" w:after="100" w:afterAutospacing="1"/>
      <w:jc w:val="center"/>
      <w:textAlignment w:val="top"/>
    </w:pPr>
    <w:rPr>
      <w:rFonts w:ascii="宋体" w:hAnsi="宋体" w:eastAsia="宋体" w:cs="Times New Roman"/>
      <w:kern w:val="0"/>
      <w:szCs w:val="21"/>
    </w:rPr>
  </w:style>
  <w:style w:type="paragraph" w:customStyle="1" w:styleId="661">
    <w:name w:val="Char Char Char Char2"/>
    <w:basedOn w:val="1"/>
    <w:qFormat/>
    <w:uiPriority w:val="0"/>
    <w:rPr>
      <w:rFonts w:ascii="Times New Roman" w:hAnsi="Times New Roman" w:eastAsia="宋体" w:cs="Times New Roman"/>
      <w:sz w:val="24"/>
      <w:szCs w:val="24"/>
    </w:rPr>
  </w:style>
  <w:style w:type="paragraph" w:customStyle="1" w:styleId="662">
    <w:name w:val="BG4-"/>
    <w:basedOn w:val="294"/>
    <w:qFormat/>
    <w:uiPriority w:val="0"/>
    <w:pPr>
      <w:snapToGrid w:val="0"/>
      <w:spacing w:line="240" w:lineRule="exact"/>
    </w:pPr>
    <w:rPr>
      <w:rFonts w:ascii="宋体" w:hAnsi="宋体" w:eastAsia="宋体"/>
      <w:b w:val="0"/>
    </w:rPr>
  </w:style>
  <w:style w:type="paragraph" w:customStyle="1" w:styleId="663">
    <w:name w:val="样式 报告 Char + 加粗 居中 首行缩进:  0.85 厘米 段后: 3 磅 行距: 1.5 倍行距"/>
    <w:basedOn w:val="1"/>
    <w:qFormat/>
    <w:uiPriority w:val="0"/>
    <w:pPr>
      <w:overflowPunct w:val="0"/>
      <w:autoSpaceDE w:val="0"/>
      <w:autoSpaceDN w:val="0"/>
      <w:adjustRightInd w:val="0"/>
      <w:snapToGrid w:val="0"/>
      <w:jc w:val="center"/>
      <w:textAlignment w:val="baseline"/>
    </w:pPr>
    <w:rPr>
      <w:rFonts w:ascii="Times New Roman" w:hAnsi="Times New Roman" w:eastAsia="宋体" w:cs="Times New Roman"/>
      <w:bCs/>
      <w:kern w:val="0"/>
      <w:sz w:val="24"/>
      <w:szCs w:val="24"/>
    </w:rPr>
  </w:style>
  <w:style w:type="paragraph" w:customStyle="1" w:styleId="664">
    <w:name w:val="xl155"/>
    <w:basedOn w:val="1"/>
    <w:qFormat/>
    <w:uiPriority w:val="0"/>
    <w:pPr>
      <w:widowControl/>
      <w:pBdr>
        <w:top w:val="single" w:color="auto" w:sz="4" w:space="0"/>
        <w:left w:val="single" w:color="auto"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665">
    <w:name w:val="Char Char1 Char Char Char Char Char Char Char Char Char Char Char Char Char Char Char Char Char Char Char Char Char Char Char Char Char Char Char Char Char Char1 Char Char Char Char1"/>
    <w:basedOn w:val="1"/>
    <w:qFormat/>
    <w:uiPriority w:val="0"/>
    <w:rPr>
      <w:rFonts w:ascii="Times New Roman" w:hAnsi="Times New Roman" w:eastAsia="宋体" w:cs="Times New Roman"/>
      <w:szCs w:val="24"/>
    </w:rPr>
  </w:style>
  <w:style w:type="paragraph" w:customStyle="1" w:styleId="666">
    <w:name w:val="三级目录"/>
    <w:basedOn w:val="5"/>
    <w:qFormat/>
    <w:uiPriority w:val="0"/>
    <w:pPr>
      <w:spacing w:before="0" w:after="0" w:line="360" w:lineRule="auto"/>
      <w:ind w:firstLine="200" w:firstLineChars="200"/>
    </w:pPr>
    <w:rPr>
      <w:rFonts w:ascii="宋体" w:hAnsi="宋体" w:cs="宋体"/>
      <w:sz w:val="28"/>
      <w:szCs w:val="28"/>
    </w:rPr>
  </w:style>
  <w:style w:type="paragraph" w:customStyle="1" w:styleId="667">
    <w:name w:val="小表文居中"/>
    <w:qFormat/>
    <w:uiPriority w:val="0"/>
    <w:pPr>
      <w:widowControl w:val="0"/>
      <w:autoSpaceDE w:val="0"/>
      <w:autoSpaceDN w:val="0"/>
      <w:adjustRightInd w:val="0"/>
      <w:spacing w:before="20"/>
      <w:jc w:val="center"/>
      <w:textAlignment w:val="baseline"/>
    </w:pPr>
    <w:rPr>
      <w:rFonts w:ascii="Times New Roman" w:hAnsi="Times New Roman" w:eastAsia="宋体" w:cs="Times New Roman"/>
      <w:sz w:val="18"/>
      <w:lang w:val="en-US" w:eastAsia="zh-CN" w:bidi="ar-SA"/>
    </w:rPr>
  </w:style>
  <w:style w:type="table" w:customStyle="1" w:styleId="668">
    <w:name w:val="典雅型1"/>
    <w:basedOn w:val="52"/>
    <w:qFormat/>
    <w:uiPriority w:val="0"/>
    <w:pPr>
      <w:widowControl w:val="0"/>
      <w:jc w:val="both"/>
    </w:pPr>
    <w:rPr>
      <w:rFonts w:ascii="Times New Roman" w:hAnsi="Times New Roman" w:eastAsia="宋体" w:cs="Times New Roman"/>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669">
    <w:name w:val="简明型 33"/>
    <w:basedOn w:val="52"/>
    <w:qFormat/>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670">
    <w:name w:val="网格型9"/>
    <w:basedOn w:val="52"/>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71">
    <w:name w:val="古典型 11"/>
    <w:basedOn w:val="52"/>
    <w:qFormat/>
    <w:uiPriority w:val="0"/>
    <w:pPr>
      <w:widowControl w:val="0"/>
      <w:jc w:val="both"/>
    </w:pPr>
    <w:rPr>
      <w:rFonts w:ascii="Times New Roman" w:hAnsi="Times New Roman" w:eastAsia="宋体" w:cs="Times New Roman"/>
      <w:kern w:val="0"/>
      <w:sz w:val="20"/>
      <w:szCs w:val="20"/>
    </w:r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672">
    <w:name w:val="xu"/>
    <w:basedOn w:val="52"/>
    <w:qFormat/>
    <w:uiPriority w:val="0"/>
    <w:pPr>
      <w:snapToGrid w:val="0"/>
      <w:jc w:val="center"/>
    </w:pPr>
    <w:rPr>
      <w:rFonts w:ascii="Times New Roman" w:hAnsi="Times New Roman" w:eastAsia="宋体" w:cs="Times New Roman"/>
      <w:kern w:val="0"/>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vAlign w:val="center"/>
    </w:tcPr>
  </w:style>
  <w:style w:type="table" w:customStyle="1" w:styleId="673">
    <w:name w:val="网格型5"/>
    <w:basedOn w:val="52"/>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74">
    <w:name w:val="古典型 12"/>
    <w:basedOn w:val="52"/>
    <w:qFormat/>
    <w:uiPriority w:val="0"/>
    <w:pPr>
      <w:widowControl w:val="0"/>
      <w:jc w:val="both"/>
    </w:pPr>
    <w:rPr>
      <w:rFonts w:ascii="Times New Roman" w:hAnsi="Times New Roman" w:eastAsia="宋体" w:cs="Times New Roman"/>
      <w:kern w:val="0"/>
      <w:sz w:val="20"/>
      <w:szCs w:val="20"/>
    </w:r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675">
    <w:name w:val="网格型2"/>
    <w:basedOn w:val="52"/>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76">
    <w:name w:val="简明型 32"/>
    <w:basedOn w:val="52"/>
    <w:qFormat/>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677">
    <w:name w:val="网格型3"/>
    <w:basedOn w:val="52"/>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78">
    <w:name w:val="xu2"/>
    <w:basedOn w:val="52"/>
    <w:qFormat/>
    <w:uiPriority w:val="0"/>
    <w:pPr>
      <w:snapToGrid w:val="0"/>
      <w:jc w:val="center"/>
    </w:pPr>
    <w:rPr>
      <w:rFonts w:ascii="Times New Roman" w:hAnsi="Times New Roman" w:eastAsia="宋体" w:cs="Times New Roman"/>
      <w:kern w:val="0"/>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vAlign w:val="center"/>
    </w:tcPr>
  </w:style>
  <w:style w:type="table" w:customStyle="1" w:styleId="679">
    <w:name w:val="xu3"/>
    <w:basedOn w:val="52"/>
    <w:qFormat/>
    <w:uiPriority w:val="0"/>
    <w:pPr>
      <w:snapToGrid w:val="0"/>
      <w:jc w:val="center"/>
    </w:pPr>
    <w:rPr>
      <w:rFonts w:ascii="Times New Roman" w:hAnsi="Times New Roman" w:eastAsia="宋体" w:cs="Times New Roman"/>
      <w:kern w:val="0"/>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vAlign w:val="center"/>
    </w:tcPr>
  </w:style>
  <w:style w:type="table" w:customStyle="1" w:styleId="680">
    <w:name w:val="简明型 311"/>
    <w:basedOn w:val="52"/>
    <w:qFormat/>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681">
    <w:name w:val="网格型4"/>
    <w:basedOn w:val="52"/>
    <w:qFormat/>
    <w:uiPriority w:val="0"/>
    <w:pPr>
      <w:widowControl w:val="0"/>
      <w:jc w:val="both"/>
    </w:pPr>
    <w:rPr>
      <w:rFonts w:ascii="Calibri" w:hAnsi="Calibri"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82">
    <w:name w:val="表格主题1"/>
    <w:basedOn w:val="52"/>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83">
    <w:name w:val="smedi"/>
    <w:basedOn w:val="52"/>
    <w:qFormat/>
    <w:uiPriority w:val="0"/>
    <w:pPr>
      <w:spacing w:line="400" w:lineRule="exact"/>
    </w:pPr>
    <w:rPr>
      <w:sz w:val="21"/>
      <w:szCs w:val="24"/>
    </w:rPr>
    <w:tblPr>
      <w:jc w:val="center"/>
      <w:tblBorders>
        <w:top w:val="single" w:color="auto" w:sz="12" w:space="0"/>
        <w:bottom w:val="single" w:color="auto" w:sz="12" w:space="0"/>
        <w:insideH w:val="single" w:color="auto" w:sz="6" w:space="0"/>
        <w:insideV w:val="single" w:color="auto" w:sz="6" w:space="0"/>
      </w:tblBorders>
    </w:tblPr>
    <w:trPr>
      <w:jc w:val="center"/>
    </w:trPr>
    <w:tcPr>
      <w:vAlign w:val="center"/>
    </w:tcPr>
  </w:style>
  <w:style w:type="table" w:customStyle="1" w:styleId="684">
    <w:name w:val="网格型6"/>
    <w:basedOn w:val="52"/>
    <w:qFormat/>
    <w:uiPriority w:val="59"/>
    <w:rPr>
      <w:rFonts w:ascii="Calibri" w:hAnsi="Calibri"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85">
    <w:name w:val="网格型7"/>
    <w:basedOn w:val="52"/>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86">
    <w:name w:val="简明型 31"/>
    <w:basedOn w:val="52"/>
    <w:qFormat/>
    <w:uiPriority w:val="0"/>
    <w:pPr>
      <w:widowControl w:val="0"/>
      <w:jc w:val="both"/>
    </w:pPr>
    <w:rPr>
      <w:rFonts w:ascii="Times New Roman" w:hAnsi="Times New Roman" w:eastAsia="宋体" w:cs="Times New Roman"/>
      <w:kern w:val="0"/>
      <w:sz w:val="20"/>
      <w:szCs w:val="20"/>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cPr>
        <w:tcBorders>
          <w:top w:val="nil"/>
          <w:left w:val="nil"/>
          <w:bottom w:val="nil"/>
          <w:right w:val="nil"/>
          <w:insideH w:val="nil"/>
          <w:insideV w:val="nil"/>
          <w:tl2br w:val="nil"/>
          <w:tr2bl w:val="nil"/>
        </w:tcBorders>
        <w:shd w:val="solid" w:color="000000" w:fill="FFFFFF"/>
      </w:tcPr>
    </w:tblStylePr>
  </w:style>
  <w:style w:type="table" w:customStyle="1" w:styleId="687">
    <w:name w:val="典雅型11"/>
    <w:basedOn w:val="52"/>
    <w:qFormat/>
    <w:uiPriority w:val="0"/>
    <w:pPr>
      <w:widowControl w:val="0"/>
      <w:jc w:val="both"/>
    </w:pPr>
    <w:rPr>
      <w:rFonts w:ascii="Times New Roman" w:hAnsi="Times New Roman" w:eastAsia="宋体" w:cs="Times New Roman"/>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688">
    <w:name w:val="xu1"/>
    <w:basedOn w:val="52"/>
    <w:qFormat/>
    <w:uiPriority w:val="0"/>
    <w:pPr>
      <w:snapToGrid w:val="0"/>
      <w:jc w:val="center"/>
    </w:pPr>
    <w:rPr>
      <w:rFonts w:ascii="Times New Roman" w:hAnsi="Times New Roman" w:eastAsia="宋体" w:cs="Times New Roman"/>
      <w:kern w:val="0"/>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vAlign w:val="center"/>
    </w:tcPr>
  </w:style>
  <w:style w:type="table" w:customStyle="1" w:styleId="689">
    <w:name w:val="表格主题2"/>
    <w:basedOn w:val="52"/>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90">
    <w:name w:val="典雅型3"/>
    <w:basedOn w:val="52"/>
    <w:qFormat/>
    <w:uiPriority w:val="0"/>
    <w:pPr>
      <w:widowControl w:val="0"/>
      <w:jc w:val="both"/>
    </w:pPr>
    <w:rPr>
      <w:rFonts w:ascii="Times New Roman" w:hAnsi="Times New Roman" w:eastAsia="宋体" w:cs="Times New Roman"/>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691">
    <w:name w:val="表格主题3"/>
    <w:basedOn w:val="52"/>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92">
    <w:name w:val="网格型10"/>
    <w:basedOn w:val="52"/>
    <w:qFormat/>
    <w:uiPriority w:val="59"/>
    <w:pPr>
      <w:widowControl w:val="0"/>
      <w:jc w:val="both"/>
    </w:pPr>
    <w:rPr>
      <w:rFonts w:ascii="Calibri" w:hAnsi="Calibri"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93">
    <w:name w:val="网格型1"/>
    <w:basedOn w:val="52"/>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94">
    <w:name w:val="古典型 13"/>
    <w:basedOn w:val="52"/>
    <w:qFormat/>
    <w:uiPriority w:val="0"/>
    <w:pPr>
      <w:widowControl w:val="0"/>
      <w:jc w:val="both"/>
    </w:pPr>
    <w:rPr>
      <w:rFonts w:ascii="Times New Roman" w:hAnsi="Times New Roman" w:eastAsia="宋体" w:cs="Times New Roman"/>
      <w:kern w:val="0"/>
      <w:sz w:val="20"/>
      <w:szCs w:val="20"/>
    </w:r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695">
    <w:name w:val="古典型 111"/>
    <w:basedOn w:val="52"/>
    <w:qFormat/>
    <w:uiPriority w:val="0"/>
    <w:pPr>
      <w:widowControl w:val="0"/>
      <w:jc w:val="both"/>
    </w:pPr>
    <w:rPr>
      <w:rFonts w:ascii="Times New Roman" w:hAnsi="Times New Roman" w:eastAsia="宋体" w:cs="Times New Roman"/>
      <w:kern w:val="0"/>
      <w:sz w:val="20"/>
      <w:szCs w:val="20"/>
    </w:r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696">
    <w:name w:val="典雅型2"/>
    <w:basedOn w:val="52"/>
    <w:qFormat/>
    <w:uiPriority w:val="0"/>
    <w:pPr>
      <w:widowControl w:val="0"/>
      <w:jc w:val="both"/>
    </w:pPr>
    <w:rPr>
      <w:rFonts w:ascii="Times New Roman" w:hAnsi="Times New Roman" w:eastAsia="宋体" w:cs="Times New Roman"/>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697">
    <w:name w:val="网格型模版1"/>
    <w:basedOn w:val="52"/>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698">
    <w:name w:val="网格型8"/>
    <w:basedOn w:val="52"/>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99">
    <w:name w:val="+列表框"/>
    <w:basedOn w:val="52"/>
    <w:qFormat/>
    <w:uiPriority w:val="0"/>
    <w:pPr>
      <w:jc w:val="center"/>
    </w:pPr>
    <w:rPr>
      <w:rFonts w:ascii="Times New Roman" w:hAnsi="Times New Roman" w:eastAsia="宋体" w:cs="Times New Roman"/>
      <w:kern w:val="0"/>
      <w:sz w:val="20"/>
      <w:szCs w:val="20"/>
    </w:rPr>
    <w:tblPr>
      <w:tblBorders>
        <w:top w:val="single" w:color="auto" w:sz="8" w:space="0"/>
        <w:bottom w:val="single" w:color="auto" w:sz="8" w:space="0"/>
        <w:insideH w:val="single" w:color="auto" w:sz="4" w:space="0"/>
        <w:insideV w:val="single" w:color="auto" w:sz="4" w:space="0"/>
      </w:tblBorders>
      <w:tblCellMar>
        <w:top w:w="0" w:type="dxa"/>
        <w:left w:w="108" w:type="dxa"/>
        <w:bottom w:w="0" w:type="dxa"/>
        <w:right w:w="108" w:type="dxa"/>
      </w:tblCellMar>
    </w:tblPr>
    <w:trPr>
      <w:cantSplit/>
    </w:trPr>
    <w:tcPr>
      <w:vAlign w:val="center"/>
    </w:tcPr>
  </w:style>
  <w:style w:type="paragraph" w:styleId="700">
    <w:name w:val="No Spacing"/>
    <w:qFormat/>
    <w:uiPriority w:val="1"/>
    <w:pPr>
      <w:widowControl w:val="0"/>
      <w:adjustRightInd w:val="0"/>
      <w:snapToGri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table" w:customStyle="1" w:styleId="701">
    <w:name w:val="cmr"/>
    <w:basedOn w:val="52"/>
    <w:qFormat/>
    <w:uiPriority w:val="0"/>
    <w:pPr>
      <w:jc w:val="center"/>
    </w:pPr>
    <w:rPr>
      <w:rFonts w:ascii="Times New Roman" w:hAnsi="Times New Roman"/>
      <w:sz w:val="21"/>
    </w:rPr>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paragraph" w:customStyle="1" w:styleId="702">
    <w:name w:val="表格标题"/>
    <w:basedOn w:val="1"/>
    <w:qFormat/>
    <w:uiPriority w:val="0"/>
    <w:pPr>
      <w:spacing w:line="360" w:lineRule="auto"/>
      <w:jc w:val="center"/>
    </w:pPr>
    <w:rPr>
      <w:rFonts w:ascii="Times New Roman" w:hAnsi="Times New Roman"/>
      <w:szCs w:val="21"/>
    </w:rPr>
  </w:style>
  <w:style w:type="paragraph" w:customStyle="1" w:styleId="703">
    <w:name w:val="Normal_0"/>
    <w:qFormat/>
    <w:uiPriority w:val="0"/>
    <w:pPr>
      <w:widowControl w:val="0"/>
      <w:spacing w:line="360" w:lineRule="auto"/>
      <w:ind w:firstLine="200" w:firstLineChars="200"/>
      <w:jc w:val="both"/>
    </w:pPr>
    <w:rPr>
      <w:rFonts w:ascii="Times New Roman" w:hAnsi="Times New Roman" w:eastAsia="仿宋" w:cs="Times New Roman"/>
      <w:kern w:val="2"/>
      <w:sz w:val="28"/>
      <w:szCs w:val="21"/>
    </w:rPr>
  </w:style>
  <w:style w:type="paragraph" w:customStyle="1" w:styleId="704">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rPr>
  </w:style>
  <w:style w:type="table" w:customStyle="1" w:styleId="705">
    <w:name w:val="Table Grid_0"/>
    <w:basedOn w:val="52"/>
    <w:qFormat/>
    <w:uiPriority w:val="0"/>
    <w:rPr>
      <w:rFonts w:ascii="Times New Roman" w:hAnsi="Times New Roman" w:eastAsia="仿宋"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06">
    <w:name w:val="Table Normal"/>
    <w:unhideWhenUsed/>
    <w:qFormat/>
    <w:uiPriority w:val="0"/>
    <w:tblPr>
      <w:tblCellMar>
        <w:top w:w="0" w:type="dxa"/>
        <w:left w:w="0" w:type="dxa"/>
        <w:bottom w:w="0" w:type="dxa"/>
        <w:right w:w="0" w:type="dxa"/>
      </w:tblCellMar>
    </w:tblPr>
  </w:style>
  <w:style w:type="paragraph" w:customStyle="1" w:styleId="707">
    <w:name w:val="Table Text"/>
    <w:basedOn w:val="1"/>
    <w:semiHidden/>
    <w:qFormat/>
    <w:uiPriority w:val="0"/>
    <w:rPr>
      <w:rFonts w:ascii="Arial" w:hAnsi="Arial" w:eastAsia="Arial" w:cs="Arial"/>
      <w:sz w:val="23"/>
      <w:szCs w:val="23"/>
      <w:lang w:val="en-US" w:eastAsia="en-US" w:bidi="ar-SA"/>
    </w:rPr>
  </w:style>
  <w:style w:type="paragraph" w:customStyle="1" w:styleId="708">
    <w:name w:val="XW正文"/>
    <w:basedOn w:val="1"/>
    <w:qFormat/>
    <w:uiPriority w:val="0"/>
    <w:pPr>
      <w:spacing w:line="360" w:lineRule="auto"/>
      <w:ind w:firstLine="200" w:firstLineChars="200"/>
    </w:pPr>
    <w:rPr>
      <w:sz w:val="24"/>
    </w:rPr>
  </w:style>
  <w:style w:type="character" w:customStyle="1" w:styleId="709">
    <w:name w:val="目录 7 Char"/>
    <w:link w:val="16"/>
    <w:qFormat/>
    <w:uiPriority w:val="39"/>
    <w:rPr>
      <w:rFonts w:cs="Times New Roman"/>
      <w:sz w:val="21"/>
    </w:rPr>
  </w:style>
  <w:style w:type="paragraph" w:customStyle="1" w:styleId="710">
    <w:name w:val="正文样式"/>
    <w:basedOn w:val="1"/>
    <w:qFormat/>
    <w:uiPriority w:val="0"/>
    <w:pPr>
      <w:tabs>
        <w:tab w:val="left" w:pos="1440"/>
        <w:tab w:val="left" w:pos="4368"/>
      </w:tabs>
      <w:ind w:firstLine="493"/>
    </w:pPr>
    <w:rPr>
      <w:rFonts w:ascii="Times New Roman" w:hAnsi="Times New Roman" w:eastAsia="宋体" w:cs="Times New Roman"/>
      <w:color w:val="000000"/>
    </w:rPr>
  </w:style>
  <w:style w:type="paragraph" w:customStyle="1" w:styleId="711">
    <w:name w:val="报告书"/>
    <w:basedOn w:val="1"/>
    <w:qFormat/>
    <w:uiPriority w:val="0"/>
    <w:pPr>
      <w:autoSpaceDE w:val="0"/>
      <w:autoSpaceDN w:val="0"/>
      <w:adjustRightInd w:val="0"/>
      <w:spacing w:line="360" w:lineRule="auto"/>
      <w:ind w:firstLine="505"/>
      <w:jc w:val="left"/>
      <w:textAlignment w:val="bottom"/>
    </w:pPr>
    <w:rPr>
      <w:rFonts w:ascii="宋体"/>
      <w:kern w:val="0"/>
      <w:sz w:val="24"/>
      <w:szCs w:val="20"/>
    </w:rPr>
  </w:style>
  <w:style w:type="paragraph" w:customStyle="1" w:styleId="712">
    <w:name w:val="rpt_表项"/>
    <w:basedOn w:val="1"/>
    <w:qFormat/>
    <w:uiPriority w:val="0"/>
    <w:pPr>
      <w:spacing w:before="60" w:after="60"/>
      <w:jc w:val="center"/>
    </w:pPr>
    <w:rPr>
      <w:rFonts w:cs="宋体"/>
      <w:sz w:val="22"/>
      <w:szCs w:val="20"/>
    </w:rPr>
  </w:style>
  <w:style w:type="paragraph" w:customStyle="1" w:styleId="713">
    <w:name w:val="图表名称"/>
    <w:qFormat/>
    <w:uiPriority w:val="0"/>
    <w:pPr>
      <w:spacing w:line="360" w:lineRule="auto"/>
      <w:jc w:val="center"/>
    </w:pPr>
    <w:rPr>
      <w:rFonts w:ascii="Times New Roman" w:hAnsi="Times New Roman" w:eastAsiaTheme="minorEastAsia" w:cstheme="minorBidi"/>
      <w:b/>
      <w:kern w:val="2"/>
      <w:sz w:val="21"/>
      <w:szCs w:val="22"/>
      <w:lang w:val="en-US" w:eastAsia="zh-CN" w:bidi="ar-SA"/>
    </w:rPr>
  </w:style>
  <w:style w:type="paragraph" w:customStyle="1" w:styleId="714">
    <w:name w:val="图表内容"/>
    <w:qFormat/>
    <w:uiPriority w:val="0"/>
    <w:pPr>
      <w:jc w:val="center"/>
    </w:pPr>
    <w:rPr>
      <w:rFonts w:ascii="Times New Roman" w:hAnsi="Times New Roman" w:eastAsiaTheme="majorEastAsia" w:cstheme="minorBidi"/>
      <w:kern w:val="2"/>
      <w:sz w:val="21"/>
      <w:szCs w:val="22"/>
      <w:lang w:val="en-US" w:eastAsia="zh-CN" w:bidi="ar-SA"/>
    </w:rPr>
  </w:style>
  <w:style w:type="paragraph" w:customStyle="1" w:styleId="715">
    <w:name w:val="1文章"/>
    <w:basedOn w:val="1"/>
    <w:qFormat/>
    <w:uiPriority w:val="0"/>
    <w:pPr>
      <w:snapToGrid w:val="0"/>
      <w:spacing w:line="420" w:lineRule="auto"/>
      <w:ind w:firstLine="454"/>
      <w:outlineLvl w:val="4"/>
    </w:pPr>
    <w:rPr>
      <w:spacing w:val="4"/>
      <w:sz w:val="24"/>
    </w:rPr>
  </w:style>
  <w:style w:type="paragraph" w:customStyle="1" w:styleId="716">
    <w:name w:val="书正文"/>
    <w:basedOn w:val="1"/>
    <w:qFormat/>
    <w:uiPriority w:val="0"/>
    <w:pPr>
      <w:spacing w:line="360" w:lineRule="auto"/>
      <w:ind w:firstLine="480" w:firstLineChars="200"/>
    </w:pPr>
    <w:rPr>
      <w:rFonts w:ascii="等线" w:hAnsi="等线"/>
      <w:color w:val="0000FF"/>
      <w:sz w:val="24"/>
      <w:szCs w:val="22"/>
    </w:rPr>
  </w:style>
  <w:style w:type="paragraph" w:customStyle="1" w:styleId="717">
    <w:name w:val="小四+首行缩进"/>
    <w:basedOn w:val="1"/>
    <w:qFormat/>
    <w:uiPriority w:val="0"/>
    <w:pPr>
      <w:spacing w:line="360" w:lineRule="auto"/>
      <w:ind w:firstLine="482"/>
    </w:pPr>
    <w:rPr>
      <w:rFonts w:ascii="宋体" w:hAnsi="宋体"/>
      <w:kern w:val="0"/>
      <w:sz w:val="24"/>
      <w:szCs w:val="20"/>
      <w:lang w:val="zh-CN"/>
    </w:rPr>
  </w:style>
</w:styles>
</file>

<file path=word/_rels/document.xml.rels><?xml version="1.0" encoding="UTF-8" standalone="yes"?>
<Relationships xmlns="http://schemas.openxmlformats.org/package/2006/relationships"><Relationship Id="rId99" Type="http://schemas.openxmlformats.org/officeDocument/2006/relationships/image" Target="media/image55.png"/><Relationship Id="rId98" Type="http://schemas.openxmlformats.org/officeDocument/2006/relationships/image" Target="media/image54.png"/><Relationship Id="rId97" Type="http://schemas.openxmlformats.org/officeDocument/2006/relationships/image" Target="media/image53.png"/><Relationship Id="rId96" Type="http://schemas.openxmlformats.org/officeDocument/2006/relationships/image" Target="media/image52.png"/><Relationship Id="rId95" Type="http://schemas.openxmlformats.org/officeDocument/2006/relationships/image" Target="media/image51.wmf"/><Relationship Id="rId94" Type="http://schemas.openxmlformats.org/officeDocument/2006/relationships/oleObject" Target="embeddings/oleObject11.bin"/><Relationship Id="rId93" Type="http://schemas.openxmlformats.org/officeDocument/2006/relationships/image" Target="media/image50.wmf"/><Relationship Id="rId92" Type="http://schemas.openxmlformats.org/officeDocument/2006/relationships/oleObject" Target="embeddings/oleObject10.bin"/><Relationship Id="rId91" Type="http://schemas.openxmlformats.org/officeDocument/2006/relationships/image" Target="media/image49.wmf"/><Relationship Id="rId90" Type="http://schemas.openxmlformats.org/officeDocument/2006/relationships/oleObject" Target="embeddings/oleObject9.bin"/><Relationship Id="rId9" Type="http://schemas.openxmlformats.org/officeDocument/2006/relationships/footer" Target="footer2.xml"/><Relationship Id="rId89" Type="http://schemas.openxmlformats.org/officeDocument/2006/relationships/image" Target="media/image48.png"/><Relationship Id="rId88" Type="http://schemas.openxmlformats.org/officeDocument/2006/relationships/image" Target="media/image47.png"/><Relationship Id="rId87" Type="http://schemas.openxmlformats.org/officeDocument/2006/relationships/image" Target="media/image46.png"/><Relationship Id="rId86" Type="http://schemas.openxmlformats.org/officeDocument/2006/relationships/image" Target="media/image45.wmf"/><Relationship Id="rId85" Type="http://schemas.openxmlformats.org/officeDocument/2006/relationships/oleObject" Target="embeddings/oleObject8.bin"/><Relationship Id="rId84" Type="http://schemas.openxmlformats.org/officeDocument/2006/relationships/image" Target="media/image44.wmf"/><Relationship Id="rId83" Type="http://schemas.openxmlformats.org/officeDocument/2006/relationships/oleObject" Target="embeddings/oleObject7.bin"/><Relationship Id="rId82" Type="http://schemas.openxmlformats.org/officeDocument/2006/relationships/image" Target="media/image43.wmf"/><Relationship Id="rId81" Type="http://schemas.openxmlformats.org/officeDocument/2006/relationships/oleObject" Target="embeddings/oleObject6.bin"/><Relationship Id="rId80" Type="http://schemas.openxmlformats.org/officeDocument/2006/relationships/image" Target="media/image42.wmf"/><Relationship Id="rId8" Type="http://schemas.openxmlformats.org/officeDocument/2006/relationships/footer" Target="footer1.xml"/><Relationship Id="rId79" Type="http://schemas.openxmlformats.org/officeDocument/2006/relationships/image" Target="media/image41.wmf"/><Relationship Id="rId78" Type="http://schemas.openxmlformats.org/officeDocument/2006/relationships/image" Target="media/image40.wmf"/><Relationship Id="rId77" Type="http://schemas.openxmlformats.org/officeDocument/2006/relationships/image" Target="media/image39.wmf"/><Relationship Id="rId76" Type="http://schemas.openxmlformats.org/officeDocument/2006/relationships/image" Target="media/image38.wmf"/><Relationship Id="rId75" Type="http://schemas.openxmlformats.org/officeDocument/2006/relationships/image" Target="media/image37.wmf"/><Relationship Id="rId74" Type="http://schemas.openxmlformats.org/officeDocument/2006/relationships/chart" Target="charts/chart4.xml"/><Relationship Id="rId73" Type="http://schemas.openxmlformats.org/officeDocument/2006/relationships/chart" Target="charts/chart3.xml"/><Relationship Id="rId72" Type="http://schemas.openxmlformats.org/officeDocument/2006/relationships/chart" Target="charts/chart2.xml"/><Relationship Id="rId71" Type="http://schemas.openxmlformats.org/officeDocument/2006/relationships/chart" Target="charts/chart1.xml"/><Relationship Id="rId70" Type="http://schemas.openxmlformats.org/officeDocument/2006/relationships/image" Target="media/image36.png"/><Relationship Id="rId7" Type="http://schemas.openxmlformats.org/officeDocument/2006/relationships/header" Target="header3.xml"/><Relationship Id="rId69" Type="http://schemas.openxmlformats.org/officeDocument/2006/relationships/image" Target="media/image35.jpeg"/><Relationship Id="rId68" Type="http://schemas.openxmlformats.org/officeDocument/2006/relationships/image" Target="media/image34.jpeg"/><Relationship Id="rId67" Type="http://schemas.openxmlformats.org/officeDocument/2006/relationships/image" Target="media/image33.png"/><Relationship Id="rId66" Type="http://schemas.openxmlformats.org/officeDocument/2006/relationships/image" Target="media/image32.jpeg"/><Relationship Id="rId65" Type="http://schemas.openxmlformats.org/officeDocument/2006/relationships/image" Target="media/image31.wmf"/><Relationship Id="rId64" Type="http://schemas.openxmlformats.org/officeDocument/2006/relationships/oleObject" Target="embeddings/oleObject5.bin"/><Relationship Id="rId63" Type="http://schemas.openxmlformats.org/officeDocument/2006/relationships/image" Target="media/image30.emf"/><Relationship Id="rId62" Type="http://schemas.openxmlformats.org/officeDocument/2006/relationships/oleObject" Target="embeddings/oleObject4.bin"/><Relationship Id="rId61" Type="http://schemas.openxmlformats.org/officeDocument/2006/relationships/image" Target="media/image29.emf"/><Relationship Id="rId60" Type="http://schemas.openxmlformats.org/officeDocument/2006/relationships/oleObject" Target="embeddings/oleObject3.bin"/><Relationship Id="rId6" Type="http://schemas.openxmlformats.org/officeDocument/2006/relationships/header" Target="header2.xml"/><Relationship Id="rId59" Type="http://schemas.openxmlformats.org/officeDocument/2006/relationships/image" Target="media/image28.png"/><Relationship Id="rId58" Type="http://schemas.openxmlformats.org/officeDocument/2006/relationships/image" Target="media/image27.png"/><Relationship Id="rId57" Type="http://schemas.openxmlformats.org/officeDocument/2006/relationships/image" Target="media/image26.png"/><Relationship Id="rId56" Type="http://schemas.openxmlformats.org/officeDocument/2006/relationships/image" Target="media/image25.png"/><Relationship Id="rId55" Type="http://schemas.openxmlformats.org/officeDocument/2006/relationships/image" Target="media/image24.png"/><Relationship Id="rId54" Type="http://schemas.openxmlformats.org/officeDocument/2006/relationships/image" Target="media/image23.png"/><Relationship Id="rId53" Type="http://schemas.openxmlformats.org/officeDocument/2006/relationships/image" Target="media/image22.png"/><Relationship Id="rId52" Type="http://schemas.openxmlformats.org/officeDocument/2006/relationships/image" Target="media/image21.png"/><Relationship Id="rId51" Type="http://schemas.openxmlformats.org/officeDocument/2006/relationships/image" Target="media/image20.jpeg"/><Relationship Id="rId50" Type="http://schemas.openxmlformats.org/officeDocument/2006/relationships/image" Target="media/image19.png"/><Relationship Id="rId5" Type="http://schemas.openxmlformats.org/officeDocument/2006/relationships/header" Target="header1.xml"/><Relationship Id="rId49" Type="http://schemas.openxmlformats.org/officeDocument/2006/relationships/image" Target="media/image18.jpeg"/><Relationship Id="rId48" Type="http://schemas.openxmlformats.org/officeDocument/2006/relationships/image" Target="media/image17.wmf"/><Relationship Id="rId47" Type="http://schemas.openxmlformats.org/officeDocument/2006/relationships/oleObject" Target="embeddings/oleObject2.bin"/><Relationship Id="rId46" Type="http://schemas.openxmlformats.org/officeDocument/2006/relationships/image" Target="media/image16.wmf"/><Relationship Id="rId45" Type="http://schemas.openxmlformats.org/officeDocument/2006/relationships/oleObject" Target="embeddings/oleObject1.bin"/><Relationship Id="rId44" Type="http://schemas.openxmlformats.org/officeDocument/2006/relationships/image" Target="media/image15.png"/><Relationship Id="rId43" Type="http://schemas.openxmlformats.org/officeDocument/2006/relationships/image" Target="media/image14.png"/><Relationship Id="rId42" Type="http://schemas.openxmlformats.org/officeDocument/2006/relationships/image" Target="media/image13.png"/><Relationship Id="rId41" Type="http://schemas.openxmlformats.org/officeDocument/2006/relationships/image" Target="media/image12.png"/><Relationship Id="rId40" Type="http://schemas.openxmlformats.org/officeDocument/2006/relationships/image" Target="media/image11.png"/><Relationship Id="rId4" Type="http://schemas.openxmlformats.org/officeDocument/2006/relationships/endnotes" Target="endnotes.xml"/><Relationship Id="rId39" Type="http://schemas.openxmlformats.org/officeDocument/2006/relationships/image" Target="media/image10.png"/><Relationship Id="rId38" Type="http://schemas.openxmlformats.org/officeDocument/2006/relationships/image" Target="media/image9.png"/><Relationship Id="rId37" Type="http://schemas.openxmlformats.org/officeDocument/2006/relationships/image" Target="media/image8.png"/><Relationship Id="rId36" Type="http://schemas.openxmlformats.org/officeDocument/2006/relationships/image" Target="media/image7.png"/><Relationship Id="rId35" Type="http://schemas.openxmlformats.org/officeDocument/2006/relationships/image" Target="media/image6.png"/><Relationship Id="rId34" Type="http://schemas.openxmlformats.org/officeDocument/2006/relationships/image" Target="media/image5.jpeg"/><Relationship Id="rId33" Type="http://schemas.openxmlformats.org/officeDocument/2006/relationships/image" Target="media/image4.jpeg"/><Relationship Id="rId32" Type="http://schemas.openxmlformats.org/officeDocument/2006/relationships/image" Target="media/image3.png"/><Relationship Id="rId31" Type="http://schemas.openxmlformats.org/officeDocument/2006/relationships/image" Target="media/image2.png"/><Relationship Id="rId30" Type="http://schemas.openxmlformats.org/officeDocument/2006/relationships/image" Target="media/image1.png"/><Relationship Id="rId3" Type="http://schemas.openxmlformats.org/officeDocument/2006/relationships/footnotes" Target="footnotes.xml"/><Relationship Id="rId29" Type="http://schemas.openxmlformats.org/officeDocument/2006/relationships/theme" Target="theme/theme1.xml"/><Relationship Id="rId28" Type="http://schemas.openxmlformats.org/officeDocument/2006/relationships/header" Target="header12.xml"/><Relationship Id="rId27" Type="http://schemas.openxmlformats.org/officeDocument/2006/relationships/footer" Target="footer12.xml"/><Relationship Id="rId26" Type="http://schemas.openxmlformats.org/officeDocument/2006/relationships/header" Target="header11.xml"/><Relationship Id="rId25" Type="http://schemas.openxmlformats.org/officeDocument/2006/relationships/footer" Target="footer11.xml"/><Relationship Id="rId24" Type="http://schemas.openxmlformats.org/officeDocument/2006/relationships/footer" Target="footer10.xml"/><Relationship Id="rId23" Type="http://schemas.openxmlformats.org/officeDocument/2006/relationships/header" Target="header10.xml"/><Relationship Id="rId22" Type="http://schemas.openxmlformats.org/officeDocument/2006/relationships/footer" Target="footer9.xml"/><Relationship Id="rId21" Type="http://schemas.openxmlformats.org/officeDocument/2006/relationships/header" Target="header9.xml"/><Relationship Id="rId20" Type="http://schemas.openxmlformats.org/officeDocument/2006/relationships/header" Target="header8.xml"/><Relationship Id="rId2" Type="http://schemas.openxmlformats.org/officeDocument/2006/relationships/settings" Target="settings.xml"/><Relationship Id="rId19" Type="http://schemas.openxmlformats.org/officeDocument/2006/relationships/header" Target="header7.xml"/><Relationship Id="rId18" Type="http://schemas.openxmlformats.org/officeDocument/2006/relationships/footer" Target="footer8.xml"/><Relationship Id="rId17" Type="http://schemas.openxmlformats.org/officeDocument/2006/relationships/header" Target="header6.xml"/><Relationship Id="rId16" Type="http://schemas.openxmlformats.org/officeDocument/2006/relationships/footer" Target="footer7.xml"/><Relationship Id="rId15" Type="http://schemas.openxmlformats.org/officeDocument/2006/relationships/header" Target="header5.xml"/><Relationship Id="rId141" Type="http://schemas.openxmlformats.org/officeDocument/2006/relationships/fontTable" Target="fontTable.xml"/><Relationship Id="rId140" Type="http://schemas.openxmlformats.org/officeDocument/2006/relationships/numbering" Target="numbering.xml"/><Relationship Id="rId14" Type="http://schemas.openxmlformats.org/officeDocument/2006/relationships/footer" Target="footer6.xml"/><Relationship Id="rId139" Type="http://schemas.openxmlformats.org/officeDocument/2006/relationships/customXml" Target="../customXml/item1.xml"/><Relationship Id="rId138" Type="http://schemas.openxmlformats.org/officeDocument/2006/relationships/image" Target="media/image94.png"/><Relationship Id="rId137" Type="http://schemas.openxmlformats.org/officeDocument/2006/relationships/image" Target="media/image93.png"/><Relationship Id="rId136" Type="http://schemas.openxmlformats.org/officeDocument/2006/relationships/image" Target="media/image92.png"/><Relationship Id="rId135" Type="http://schemas.openxmlformats.org/officeDocument/2006/relationships/image" Target="media/image91.png"/><Relationship Id="rId134" Type="http://schemas.openxmlformats.org/officeDocument/2006/relationships/image" Target="media/image90.png"/><Relationship Id="rId133" Type="http://schemas.openxmlformats.org/officeDocument/2006/relationships/image" Target="media/image89.png"/><Relationship Id="rId132" Type="http://schemas.openxmlformats.org/officeDocument/2006/relationships/image" Target="media/image88.png"/><Relationship Id="rId131" Type="http://schemas.openxmlformats.org/officeDocument/2006/relationships/image" Target="media/image87.png"/><Relationship Id="rId130" Type="http://schemas.openxmlformats.org/officeDocument/2006/relationships/image" Target="media/image86.png"/><Relationship Id="rId13" Type="http://schemas.openxmlformats.org/officeDocument/2006/relationships/header" Target="header4.xml"/><Relationship Id="rId129" Type="http://schemas.openxmlformats.org/officeDocument/2006/relationships/image" Target="media/image85.png"/><Relationship Id="rId128" Type="http://schemas.openxmlformats.org/officeDocument/2006/relationships/image" Target="media/image84.png"/><Relationship Id="rId127" Type="http://schemas.openxmlformats.org/officeDocument/2006/relationships/image" Target="media/image83.png"/><Relationship Id="rId126" Type="http://schemas.openxmlformats.org/officeDocument/2006/relationships/image" Target="media/image82.png"/><Relationship Id="rId125" Type="http://schemas.openxmlformats.org/officeDocument/2006/relationships/image" Target="media/image81.png"/><Relationship Id="rId124" Type="http://schemas.openxmlformats.org/officeDocument/2006/relationships/image" Target="media/image80.png"/><Relationship Id="rId123" Type="http://schemas.openxmlformats.org/officeDocument/2006/relationships/image" Target="media/image79.png"/><Relationship Id="rId122" Type="http://schemas.openxmlformats.org/officeDocument/2006/relationships/image" Target="media/image78.png"/><Relationship Id="rId121" Type="http://schemas.openxmlformats.org/officeDocument/2006/relationships/image" Target="media/image77.png"/><Relationship Id="rId120" Type="http://schemas.openxmlformats.org/officeDocument/2006/relationships/image" Target="media/image76.png"/><Relationship Id="rId12" Type="http://schemas.openxmlformats.org/officeDocument/2006/relationships/footer" Target="footer5.xml"/><Relationship Id="rId119" Type="http://schemas.openxmlformats.org/officeDocument/2006/relationships/image" Target="media/image75.png"/><Relationship Id="rId118" Type="http://schemas.openxmlformats.org/officeDocument/2006/relationships/image" Target="media/image74.png"/><Relationship Id="rId117" Type="http://schemas.openxmlformats.org/officeDocument/2006/relationships/image" Target="media/image73.png"/><Relationship Id="rId116" Type="http://schemas.openxmlformats.org/officeDocument/2006/relationships/image" Target="media/image72.wmf"/><Relationship Id="rId115" Type="http://schemas.openxmlformats.org/officeDocument/2006/relationships/image" Target="media/image71.wmf"/><Relationship Id="rId114" Type="http://schemas.openxmlformats.org/officeDocument/2006/relationships/image" Target="media/image70.wmf"/><Relationship Id="rId113" Type="http://schemas.openxmlformats.org/officeDocument/2006/relationships/image" Target="media/image69.wmf"/><Relationship Id="rId112" Type="http://schemas.openxmlformats.org/officeDocument/2006/relationships/image" Target="media/image68.wmf"/><Relationship Id="rId111" Type="http://schemas.openxmlformats.org/officeDocument/2006/relationships/image" Target="media/image67.wmf"/><Relationship Id="rId110" Type="http://schemas.openxmlformats.org/officeDocument/2006/relationships/image" Target="media/image66.png"/><Relationship Id="rId11" Type="http://schemas.openxmlformats.org/officeDocument/2006/relationships/footer" Target="footer4.xml"/><Relationship Id="rId109" Type="http://schemas.openxmlformats.org/officeDocument/2006/relationships/image" Target="media/image65.png"/><Relationship Id="rId108" Type="http://schemas.openxmlformats.org/officeDocument/2006/relationships/image" Target="media/image64.png"/><Relationship Id="rId107" Type="http://schemas.openxmlformats.org/officeDocument/2006/relationships/image" Target="media/image63.wmf"/><Relationship Id="rId106" Type="http://schemas.openxmlformats.org/officeDocument/2006/relationships/image" Target="media/image62.jpeg"/><Relationship Id="rId105" Type="http://schemas.openxmlformats.org/officeDocument/2006/relationships/image" Target="media/image61.png"/><Relationship Id="rId104" Type="http://schemas.openxmlformats.org/officeDocument/2006/relationships/image" Target="media/image60.png"/><Relationship Id="rId103" Type="http://schemas.openxmlformats.org/officeDocument/2006/relationships/image" Target="media/image59.png"/><Relationship Id="rId102" Type="http://schemas.openxmlformats.org/officeDocument/2006/relationships/image" Target="media/image58.png"/><Relationship Id="rId101" Type="http://schemas.openxmlformats.org/officeDocument/2006/relationships/image" Target="media/image57.png"/><Relationship Id="rId100" Type="http://schemas.openxmlformats.org/officeDocument/2006/relationships/image" Target="media/image56.png"/><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charts/_rels/chart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D:\&#36719;&#20214;&#23433;&#35013;\WPS%20Office\249715684\WPS&#20113;&#30424;\&#24037;&#20316;&#31807;(21).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D:\&#36719;&#20214;&#23433;&#35013;\WPS%20Office\249715684\WPS&#20113;&#30424;\&#24037;&#20316;&#31807;(21).xlsx"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D:\&#36719;&#20214;&#23433;&#35013;\WPS%20Office\249715684\WPS&#20113;&#30424;\&#24037;&#20316;&#31807;(21).xlsx" TargetMode="External"/></Relationships>
</file>

<file path=word/charts/_rels/chart4.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D:\&#36719;&#20214;&#23433;&#35013;\WPS%20Office\249715684\WPS&#20113;&#30424;\&#24037;&#20316;&#318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en-US" altLang="zh-CN"/>
              <a:t>COD</a:t>
            </a:r>
            <a:endParaRPr lang="en-US" altLang="zh-CN"/>
          </a:p>
        </c:rich>
      </c:tx>
      <c:layout/>
      <c:overlay val="0"/>
      <c:spPr>
        <a:noFill/>
        <a:ln>
          <a:noFill/>
        </a:ln>
        <a:effectLst/>
      </c:spPr>
    </c:title>
    <c:autoTitleDeleted val="0"/>
    <c:plotArea>
      <c:layout>
        <c:manualLayout>
          <c:layoutTarget val="inner"/>
          <c:xMode val="edge"/>
          <c:yMode val="edge"/>
          <c:x val="0.124289473684211"/>
          <c:y val="0.226851851851852"/>
          <c:w val="0.700710526315789"/>
          <c:h val="0.618148148148148"/>
        </c:manualLayout>
      </c:layout>
      <c:lineChart>
        <c:grouping val="standard"/>
        <c:varyColors val="0"/>
        <c:ser>
          <c:idx val="0"/>
          <c:order val="0"/>
          <c:tx>
            <c:strRef>
              <c:f>'[工作簿(21).xlsx]Sheet1'!$C$19</c:f>
              <c:strCache>
                <c:ptCount val="1"/>
                <c:pt idx="0">
                  <c:v>Ⅱ类标准</c:v>
                </c:pt>
              </c:strCache>
            </c:strRef>
          </c:tx>
          <c:spPr>
            <a:ln w="19050" cap="rnd" cmpd="sng">
              <a:solidFill>
                <a:schemeClr val="accent1"/>
              </a:solidFill>
              <a:prstDash val="sysDash"/>
              <a:round/>
              <a:headEnd type="diamond"/>
              <a:tailEnd type="diamond"/>
            </a:ln>
            <a:effectLst/>
            <a:sp3d contourW="19050"/>
          </c:spPr>
          <c:marker>
            <c:symbol val="none"/>
          </c:marker>
          <c:dLbls>
            <c:delete val="1"/>
          </c:dLbls>
          <c:cat>
            <c:numRef>
              <c:f>'[工作簿(21).xlsx]Sheet1'!$D$18:$F$18</c:f>
              <c:numCache>
                <c:formatCode>General</c:formatCode>
                <c:ptCount val="3"/>
                <c:pt idx="0">
                  <c:v>2021</c:v>
                </c:pt>
                <c:pt idx="1">
                  <c:v>2022</c:v>
                </c:pt>
                <c:pt idx="2">
                  <c:v>2023</c:v>
                </c:pt>
              </c:numCache>
            </c:numRef>
          </c:cat>
          <c:val>
            <c:numRef>
              <c:f>'[工作簿(21).xlsx]Sheet1'!$D$19:$F$19</c:f>
              <c:numCache>
                <c:formatCode>General</c:formatCode>
                <c:ptCount val="3"/>
                <c:pt idx="0">
                  <c:v>15</c:v>
                </c:pt>
                <c:pt idx="1">
                  <c:v>15</c:v>
                </c:pt>
                <c:pt idx="2">
                  <c:v>15</c:v>
                </c:pt>
              </c:numCache>
            </c:numRef>
          </c:val>
          <c:smooth val="0"/>
        </c:ser>
        <c:ser>
          <c:idx val="1"/>
          <c:order val="1"/>
          <c:tx>
            <c:strRef>
              <c:f>'[工作簿(21).xlsx]Sheet1'!$C$20</c:f>
              <c:strCache>
                <c:ptCount val="1"/>
                <c:pt idx="0">
                  <c:v>Ⅲ类标准</c:v>
                </c:pt>
              </c:strCache>
            </c:strRef>
          </c:tx>
          <c:spPr>
            <a:ln w="19050" cap="rnd" cmpd="sng">
              <a:solidFill>
                <a:schemeClr val="accent2"/>
              </a:solidFill>
              <a:prstDash val="sysDot"/>
              <a:round/>
              <a:headEnd type="diamond"/>
              <a:tailEnd type="diamond"/>
            </a:ln>
            <a:effectLst/>
            <a:sp3d contourW="19050"/>
          </c:spPr>
          <c:marker>
            <c:symbol val="none"/>
          </c:marker>
          <c:dLbls>
            <c:delete val="1"/>
          </c:dLbls>
          <c:cat>
            <c:numRef>
              <c:f>'[工作簿(21).xlsx]Sheet1'!$D$18:$F$18</c:f>
              <c:numCache>
                <c:formatCode>General</c:formatCode>
                <c:ptCount val="3"/>
                <c:pt idx="0">
                  <c:v>2021</c:v>
                </c:pt>
                <c:pt idx="1">
                  <c:v>2022</c:v>
                </c:pt>
                <c:pt idx="2">
                  <c:v>2023</c:v>
                </c:pt>
              </c:numCache>
            </c:numRef>
          </c:cat>
          <c:val>
            <c:numRef>
              <c:f>'[工作簿(21).xlsx]Sheet1'!$D$20:$F$20</c:f>
              <c:numCache>
                <c:formatCode>General</c:formatCode>
                <c:ptCount val="3"/>
                <c:pt idx="0">
                  <c:v>20</c:v>
                </c:pt>
                <c:pt idx="1">
                  <c:v>20</c:v>
                </c:pt>
                <c:pt idx="2">
                  <c:v>20</c:v>
                </c:pt>
              </c:numCache>
            </c:numRef>
          </c:val>
          <c:smooth val="0"/>
        </c:ser>
        <c:ser>
          <c:idx val="2"/>
          <c:order val="2"/>
          <c:tx>
            <c:strRef>
              <c:f>'[工作簿(21).xlsx]Sheet1'!$C$21</c:f>
              <c:strCache>
                <c:ptCount val="1"/>
                <c:pt idx="0">
                  <c:v>手傍岩断面</c:v>
                </c:pt>
              </c:strCache>
            </c:strRef>
          </c:tx>
          <c:spPr>
            <a:ln w="19050" cap="rnd" cmpd="sng">
              <a:solidFill>
                <a:schemeClr val="accent3"/>
              </a:solidFill>
              <a:prstDash val="solid"/>
              <a:round/>
              <a:headEnd type="diamond"/>
              <a:tailEnd type="diamond"/>
            </a:ln>
            <a:effectLst/>
            <a:sp3d contourW="19050"/>
          </c:spPr>
          <c:marker>
            <c:symbol val="none"/>
          </c:marker>
          <c:dLbls>
            <c:delete val="1"/>
          </c:dLbls>
          <c:cat>
            <c:numRef>
              <c:f>'[工作簿(21).xlsx]Sheet1'!$D$18:$F$18</c:f>
              <c:numCache>
                <c:formatCode>General</c:formatCode>
                <c:ptCount val="3"/>
                <c:pt idx="0">
                  <c:v>2021</c:v>
                </c:pt>
                <c:pt idx="1">
                  <c:v>2022</c:v>
                </c:pt>
                <c:pt idx="2">
                  <c:v>2023</c:v>
                </c:pt>
              </c:numCache>
            </c:numRef>
          </c:cat>
          <c:val>
            <c:numRef>
              <c:f>'[工作簿(21).xlsx]Sheet1'!$D$21:$F$21</c:f>
              <c:numCache>
                <c:formatCode>General</c:formatCode>
                <c:ptCount val="3"/>
                <c:pt idx="0">
                  <c:v>10.875</c:v>
                </c:pt>
                <c:pt idx="1">
                  <c:v>9.125</c:v>
                </c:pt>
                <c:pt idx="2">
                  <c:v>11.76</c:v>
                </c:pt>
              </c:numCache>
            </c:numRef>
          </c:val>
          <c:smooth val="0"/>
        </c:ser>
        <c:ser>
          <c:idx val="3"/>
          <c:order val="3"/>
          <c:tx>
            <c:strRef>
              <c:f>'[工作簿(21).xlsx]Sheet1'!$C$22</c:f>
              <c:strCache>
                <c:ptCount val="1"/>
                <c:pt idx="0">
                  <c:v>金碑断面</c:v>
                </c:pt>
              </c:strCache>
            </c:strRef>
          </c:tx>
          <c:spPr>
            <a:ln w="19050" cap="rnd" cmpd="sng">
              <a:solidFill>
                <a:schemeClr val="accent4"/>
              </a:solidFill>
              <a:prstDash val="solid"/>
              <a:round/>
              <a:headEnd type="diamond"/>
              <a:tailEnd type="diamond"/>
            </a:ln>
            <a:effectLst/>
            <a:sp3d contourW="19050"/>
          </c:spPr>
          <c:marker>
            <c:symbol val="none"/>
          </c:marker>
          <c:dLbls>
            <c:delete val="1"/>
          </c:dLbls>
          <c:cat>
            <c:numRef>
              <c:f>'[工作簿(21).xlsx]Sheet1'!$D$18:$F$18</c:f>
              <c:numCache>
                <c:formatCode>General</c:formatCode>
                <c:ptCount val="3"/>
                <c:pt idx="0">
                  <c:v>2021</c:v>
                </c:pt>
                <c:pt idx="1">
                  <c:v>2022</c:v>
                </c:pt>
                <c:pt idx="2">
                  <c:v>2023</c:v>
                </c:pt>
              </c:numCache>
            </c:numRef>
          </c:cat>
          <c:val>
            <c:numRef>
              <c:f>'[工作簿(21).xlsx]Sheet1'!$D$22:$F$22</c:f>
              <c:numCache>
                <c:formatCode>General</c:formatCode>
                <c:ptCount val="3"/>
                <c:pt idx="0">
                  <c:v>10.375</c:v>
                </c:pt>
                <c:pt idx="1">
                  <c:v>13.3</c:v>
                </c:pt>
                <c:pt idx="2">
                  <c:v>9.75</c:v>
                </c:pt>
              </c:numCache>
            </c:numRef>
          </c:val>
          <c:smooth val="0"/>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0"/>
        <c:smooth val="0"/>
        <c:axId val="78162193"/>
        <c:axId val="215724284"/>
      </c:lineChart>
      <c:catAx>
        <c:axId val="78162193"/>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年份</a:t>
                </a:r>
              </a:p>
            </c:rich>
          </c:tx>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15724284"/>
        <c:crosses val="autoZero"/>
        <c:auto val="1"/>
        <c:lblAlgn val="ctr"/>
        <c:lblOffset val="100"/>
        <c:noMultiLvlLbl val="0"/>
      </c:catAx>
      <c:valAx>
        <c:axId val="215724284"/>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a:t>
                </a:r>
                <a:r>
                  <a:rPr lang="en-US" altLang="zh-CN"/>
                  <a:t>mg/L</a:t>
                </a:r>
                <a:endParaRPr lang="en-US" altLang="zh-CN"/>
              </a:p>
            </c:rich>
          </c:tx>
          <c:layout>
            <c:manualLayout>
              <c:xMode val="edge"/>
              <c:yMode val="edge"/>
              <c:x val="0.0334210526315789"/>
              <c:y val="0.16717592592592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8162193"/>
        <c:crosses val="autoZero"/>
        <c:crossBetween val="between"/>
      </c:valAx>
      <c:spPr>
        <a:noFill/>
        <a:ln>
          <a:noFill/>
        </a:ln>
        <a:effectLst/>
      </c:spPr>
    </c:plotArea>
    <c:legend>
      <c:legendPos val="r"/>
      <c:layout>
        <c:manualLayout>
          <c:xMode val="edge"/>
          <c:yMode val="edge"/>
          <c:x val="0.801710526315789"/>
          <c:y val="0.0152777777777778"/>
        </c:manualLayout>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en-US" altLang="zh-CN"/>
              <a:t>BOD</a:t>
            </a:r>
            <a:endParaRPr lang="en-US" altLang="zh-CN"/>
          </a:p>
        </c:rich>
      </c:tx>
      <c:layout/>
      <c:overlay val="0"/>
      <c:spPr>
        <a:noFill/>
        <a:ln>
          <a:noFill/>
        </a:ln>
        <a:effectLst/>
      </c:spPr>
    </c:title>
    <c:autoTitleDeleted val="0"/>
    <c:plotArea>
      <c:layout>
        <c:manualLayout>
          <c:layoutTarget val="inner"/>
          <c:xMode val="edge"/>
          <c:yMode val="edge"/>
          <c:x val="0.121726618705036"/>
          <c:y val="0.19677047289504"/>
          <c:w val="0.693708306082407"/>
          <c:h val="0.608396770472895"/>
        </c:manualLayout>
      </c:layout>
      <c:lineChart>
        <c:grouping val="standard"/>
        <c:varyColors val="0"/>
        <c:ser>
          <c:idx val="0"/>
          <c:order val="0"/>
          <c:tx>
            <c:strRef>
              <c:f>'[工作簿(21).xlsx]Sheet1'!$C$26</c:f>
              <c:strCache>
                <c:ptCount val="1"/>
                <c:pt idx="0">
                  <c:v>Ⅱ类标准</c:v>
                </c:pt>
              </c:strCache>
            </c:strRef>
          </c:tx>
          <c:spPr>
            <a:ln w="19050" cap="rnd" cmpd="sng">
              <a:solidFill>
                <a:schemeClr val="accent1"/>
              </a:solidFill>
              <a:prstDash val="sysDot"/>
              <a:round/>
              <a:headEnd type="diamond"/>
              <a:tailEnd type="diamond"/>
            </a:ln>
            <a:effectLst/>
            <a:sp3d contourW="19050"/>
          </c:spPr>
          <c:marker>
            <c:symbol val="none"/>
          </c:marker>
          <c:dLbls>
            <c:delete val="1"/>
          </c:dLbls>
          <c:cat>
            <c:numRef>
              <c:f>'[工作簿(21).xlsx]Sheet1'!$D$25:$F$25</c:f>
              <c:numCache>
                <c:formatCode>General</c:formatCode>
                <c:ptCount val="3"/>
                <c:pt idx="0">
                  <c:v>2021</c:v>
                </c:pt>
                <c:pt idx="1">
                  <c:v>2022</c:v>
                </c:pt>
                <c:pt idx="2">
                  <c:v>2023</c:v>
                </c:pt>
              </c:numCache>
            </c:numRef>
          </c:cat>
          <c:val>
            <c:numRef>
              <c:f>'[工作簿(21).xlsx]Sheet1'!$D$26:$F$26</c:f>
              <c:numCache>
                <c:formatCode>General</c:formatCode>
                <c:ptCount val="3"/>
                <c:pt idx="0">
                  <c:v>3</c:v>
                </c:pt>
                <c:pt idx="1">
                  <c:v>3</c:v>
                </c:pt>
                <c:pt idx="2">
                  <c:v>3</c:v>
                </c:pt>
              </c:numCache>
            </c:numRef>
          </c:val>
          <c:smooth val="0"/>
        </c:ser>
        <c:ser>
          <c:idx val="1"/>
          <c:order val="1"/>
          <c:tx>
            <c:strRef>
              <c:f>'[工作簿(21).xlsx]Sheet1'!$C$27</c:f>
              <c:strCache>
                <c:ptCount val="1"/>
                <c:pt idx="0">
                  <c:v>Ⅲ类标准</c:v>
                </c:pt>
              </c:strCache>
            </c:strRef>
          </c:tx>
          <c:spPr>
            <a:ln w="12700" cap="rnd" cmpd="sng">
              <a:solidFill>
                <a:schemeClr val="accent2"/>
              </a:solidFill>
              <a:prstDash val="sysDot"/>
              <a:round/>
              <a:headEnd type="diamond"/>
              <a:tailEnd type="diamond"/>
            </a:ln>
            <a:effectLst/>
            <a:sp3d contourW="12700"/>
          </c:spPr>
          <c:marker>
            <c:symbol val="none"/>
          </c:marker>
          <c:dLbls>
            <c:delete val="1"/>
          </c:dLbls>
          <c:cat>
            <c:numRef>
              <c:f>'[工作簿(21).xlsx]Sheet1'!$D$25:$F$25</c:f>
              <c:numCache>
                <c:formatCode>General</c:formatCode>
                <c:ptCount val="3"/>
                <c:pt idx="0">
                  <c:v>2021</c:v>
                </c:pt>
                <c:pt idx="1">
                  <c:v>2022</c:v>
                </c:pt>
                <c:pt idx="2">
                  <c:v>2023</c:v>
                </c:pt>
              </c:numCache>
            </c:numRef>
          </c:cat>
          <c:val>
            <c:numRef>
              <c:f>'[工作簿(21).xlsx]Sheet1'!$D$27:$F$27</c:f>
              <c:numCache>
                <c:formatCode>General</c:formatCode>
                <c:ptCount val="3"/>
                <c:pt idx="0">
                  <c:v>4</c:v>
                </c:pt>
                <c:pt idx="1">
                  <c:v>4</c:v>
                </c:pt>
                <c:pt idx="2">
                  <c:v>4</c:v>
                </c:pt>
              </c:numCache>
            </c:numRef>
          </c:val>
          <c:smooth val="0"/>
        </c:ser>
        <c:ser>
          <c:idx val="2"/>
          <c:order val="2"/>
          <c:tx>
            <c:strRef>
              <c:f>'[工作簿(21).xlsx]Sheet1'!$C$28</c:f>
              <c:strCache>
                <c:ptCount val="1"/>
                <c:pt idx="0">
                  <c:v>手傍岩断面</c:v>
                </c:pt>
              </c:strCache>
            </c:strRef>
          </c:tx>
          <c:spPr>
            <a:ln w="19050" cap="rnd" cmpd="sng">
              <a:solidFill>
                <a:schemeClr val="accent3"/>
              </a:solidFill>
              <a:prstDash val="solid"/>
              <a:round/>
              <a:headEnd type="diamond"/>
              <a:tailEnd type="diamond"/>
            </a:ln>
            <a:effectLst/>
            <a:sp3d contourW="19050"/>
          </c:spPr>
          <c:marker>
            <c:symbol val="none"/>
          </c:marker>
          <c:dLbls>
            <c:delete val="1"/>
          </c:dLbls>
          <c:cat>
            <c:numRef>
              <c:f>'[工作簿(21).xlsx]Sheet1'!$D$25:$F$25</c:f>
              <c:numCache>
                <c:formatCode>General</c:formatCode>
                <c:ptCount val="3"/>
                <c:pt idx="0">
                  <c:v>2021</c:v>
                </c:pt>
                <c:pt idx="1">
                  <c:v>2022</c:v>
                </c:pt>
                <c:pt idx="2">
                  <c:v>2023</c:v>
                </c:pt>
              </c:numCache>
            </c:numRef>
          </c:cat>
          <c:val>
            <c:numRef>
              <c:f>'[工作簿(21).xlsx]Sheet1'!$D$28:$F$28</c:f>
              <c:numCache>
                <c:formatCode>General</c:formatCode>
                <c:ptCount val="3"/>
                <c:pt idx="0">
                  <c:v>1.6</c:v>
                </c:pt>
                <c:pt idx="1">
                  <c:v>1.175</c:v>
                </c:pt>
                <c:pt idx="2">
                  <c:v>1.32</c:v>
                </c:pt>
              </c:numCache>
            </c:numRef>
          </c:val>
          <c:smooth val="0"/>
        </c:ser>
        <c:ser>
          <c:idx val="3"/>
          <c:order val="3"/>
          <c:tx>
            <c:strRef>
              <c:f>'[工作簿(21).xlsx]Sheet1'!$C$29</c:f>
              <c:strCache>
                <c:ptCount val="1"/>
                <c:pt idx="0">
                  <c:v>金碑断面</c:v>
                </c:pt>
              </c:strCache>
            </c:strRef>
          </c:tx>
          <c:spPr>
            <a:ln w="19050" cap="rnd" cmpd="sng">
              <a:solidFill>
                <a:schemeClr val="accent4"/>
              </a:solidFill>
              <a:prstDash val="solid"/>
              <a:round/>
              <a:headEnd type="diamond"/>
              <a:tailEnd type="diamond"/>
            </a:ln>
            <a:effectLst/>
            <a:sp3d contourW="19050"/>
          </c:spPr>
          <c:marker>
            <c:symbol val="none"/>
          </c:marker>
          <c:dLbls>
            <c:delete val="1"/>
          </c:dLbls>
          <c:cat>
            <c:numRef>
              <c:f>'[工作簿(21).xlsx]Sheet1'!$D$25:$F$25</c:f>
              <c:numCache>
                <c:formatCode>General</c:formatCode>
                <c:ptCount val="3"/>
                <c:pt idx="0">
                  <c:v>2021</c:v>
                </c:pt>
                <c:pt idx="1">
                  <c:v>2022</c:v>
                </c:pt>
                <c:pt idx="2">
                  <c:v>2023</c:v>
                </c:pt>
              </c:numCache>
            </c:numRef>
          </c:cat>
          <c:val>
            <c:numRef>
              <c:f>'[工作簿(21).xlsx]Sheet1'!$D$29:$F$29</c:f>
              <c:numCache>
                <c:formatCode>General</c:formatCode>
                <c:ptCount val="3"/>
                <c:pt idx="0">
                  <c:v>1.225</c:v>
                </c:pt>
                <c:pt idx="1">
                  <c:v>1.25</c:v>
                </c:pt>
                <c:pt idx="2">
                  <c:v>1.025</c:v>
                </c:pt>
              </c:numCache>
            </c:numRef>
          </c:val>
          <c:smooth val="0"/>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0"/>
        <c:smooth val="0"/>
        <c:axId val="687965745"/>
        <c:axId val="157346231"/>
      </c:lineChart>
      <c:catAx>
        <c:axId val="687965745"/>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年份</a:t>
                </a:r>
              </a:p>
            </c:rich>
          </c:tx>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57346231"/>
        <c:crosses val="autoZero"/>
        <c:auto val="1"/>
        <c:lblAlgn val="ctr"/>
        <c:lblOffset val="100"/>
        <c:noMultiLvlLbl val="0"/>
      </c:catAx>
      <c:valAx>
        <c:axId val="157346231"/>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浓度：mg/L</a:t>
                </a:r>
              </a:p>
            </c:rich>
          </c:tx>
          <c:layout>
            <c:manualLayout>
              <c:xMode val="edge"/>
              <c:yMode val="edge"/>
              <c:x val="0.0177901704254963"/>
              <c:y val="0.23370842945021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87965745"/>
        <c:crosses val="autoZero"/>
        <c:crossBetween val="between"/>
      </c:valAx>
      <c:spPr>
        <a:noFill/>
        <a:ln>
          <a:noFill/>
        </a:ln>
        <a:effectLst/>
      </c:spPr>
    </c:plotArea>
    <c:legend>
      <c:legendPos val="r"/>
      <c:layout>
        <c:manualLayout>
          <c:xMode val="edge"/>
          <c:yMode val="edge"/>
          <c:x val="0.799736842105263"/>
          <c:y val="0.05"/>
        </c:manualLayout>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t>氨氮</a:t>
            </a:r>
          </a:p>
        </c:rich>
      </c:tx>
      <c:layout>
        <c:manualLayout>
          <c:xMode val="edge"/>
          <c:yMode val="edge"/>
          <c:x val="0.412105263157895"/>
          <c:y val="0.0774410774410774"/>
        </c:manualLayout>
      </c:layout>
      <c:overlay val="0"/>
      <c:spPr>
        <a:noFill/>
        <a:ln>
          <a:noFill/>
        </a:ln>
        <a:effectLst/>
      </c:spPr>
    </c:title>
    <c:autoTitleDeleted val="0"/>
    <c:plotArea>
      <c:layout>
        <c:manualLayout>
          <c:layoutTarget val="inner"/>
          <c:xMode val="edge"/>
          <c:yMode val="edge"/>
          <c:x val="0.120342105263158"/>
          <c:y val="0.217732884399551"/>
          <c:w val="0.718473684210526"/>
          <c:h val="0.63645342312009"/>
        </c:manualLayout>
      </c:layout>
      <c:lineChart>
        <c:grouping val="standard"/>
        <c:varyColors val="0"/>
        <c:ser>
          <c:idx val="0"/>
          <c:order val="0"/>
          <c:tx>
            <c:strRef>
              <c:f>'[工作簿(21).xlsx]Sheet1'!$C$33</c:f>
              <c:strCache>
                <c:ptCount val="1"/>
                <c:pt idx="0">
                  <c:v>Ⅱ类标准</c:v>
                </c:pt>
              </c:strCache>
            </c:strRef>
          </c:tx>
          <c:spPr>
            <a:ln w="19050" cap="rnd" cmpd="sng">
              <a:solidFill>
                <a:schemeClr val="accent1"/>
              </a:solidFill>
              <a:prstDash val="sysDot"/>
              <a:round/>
              <a:headEnd type="diamond"/>
              <a:tailEnd type="diamond"/>
            </a:ln>
            <a:effectLst/>
            <a:sp3d contourW="19050"/>
          </c:spPr>
          <c:marker>
            <c:symbol val="none"/>
          </c:marker>
          <c:dLbls>
            <c:delete val="1"/>
          </c:dLbls>
          <c:cat>
            <c:numRef>
              <c:f>'[工作簿(21).xlsx]Sheet1'!$D$32:$F$32</c:f>
              <c:numCache>
                <c:formatCode>General</c:formatCode>
                <c:ptCount val="3"/>
                <c:pt idx="0">
                  <c:v>2021</c:v>
                </c:pt>
                <c:pt idx="1">
                  <c:v>2022</c:v>
                </c:pt>
                <c:pt idx="2">
                  <c:v>2023</c:v>
                </c:pt>
              </c:numCache>
            </c:numRef>
          </c:cat>
          <c:val>
            <c:numRef>
              <c:f>'[工作簿(21).xlsx]Sheet1'!$D$33:$F$33</c:f>
              <c:numCache>
                <c:formatCode>General</c:formatCode>
                <c:ptCount val="3"/>
                <c:pt idx="0">
                  <c:v>0.5</c:v>
                </c:pt>
                <c:pt idx="1">
                  <c:v>0.5</c:v>
                </c:pt>
                <c:pt idx="2">
                  <c:v>0.5</c:v>
                </c:pt>
              </c:numCache>
            </c:numRef>
          </c:val>
          <c:smooth val="0"/>
        </c:ser>
        <c:ser>
          <c:idx val="1"/>
          <c:order val="1"/>
          <c:tx>
            <c:strRef>
              <c:f>'[工作簿(21).xlsx]Sheet1'!$C$34</c:f>
              <c:strCache>
                <c:ptCount val="1"/>
                <c:pt idx="0">
                  <c:v>Ⅲ类标准</c:v>
                </c:pt>
              </c:strCache>
            </c:strRef>
          </c:tx>
          <c:spPr>
            <a:ln w="19050" cap="rnd" cmpd="sng">
              <a:solidFill>
                <a:schemeClr val="accent2"/>
              </a:solidFill>
              <a:prstDash val="sysDot"/>
              <a:round/>
              <a:headEnd type="diamond"/>
              <a:tailEnd type="diamond"/>
            </a:ln>
            <a:effectLst/>
            <a:sp3d contourW="19050"/>
          </c:spPr>
          <c:marker>
            <c:symbol val="none"/>
          </c:marker>
          <c:dLbls>
            <c:delete val="1"/>
          </c:dLbls>
          <c:cat>
            <c:numRef>
              <c:f>'[工作簿(21).xlsx]Sheet1'!$D$32:$F$32</c:f>
              <c:numCache>
                <c:formatCode>General</c:formatCode>
                <c:ptCount val="3"/>
                <c:pt idx="0">
                  <c:v>2021</c:v>
                </c:pt>
                <c:pt idx="1">
                  <c:v>2022</c:v>
                </c:pt>
                <c:pt idx="2">
                  <c:v>2023</c:v>
                </c:pt>
              </c:numCache>
            </c:numRef>
          </c:cat>
          <c:val>
            <c:numRef>
              <c:f>'[工作簿(21).xlsx]Sheet1'!$D$34:$F$34</c:f>
              <c:numCache>
                <c:formatCode>General</c:formatCode>
                <c:ptCount val="3"/>
                <c:pt idx="0">
                  <c:v>1</c:v>
                </c:pt>
                <c:pt idx="1">
                  <c:v>1</c:v>
                </c:pt>
                <c:pt idx="2">
                  <c:v>1</c:v>
                </c:pt>
              </c:numCache>
            </c:numRef>
          </c:val>
          <c:smooth val="0"/>
        </c:ser>
        <c:ser>
          <c:idx val="2"/>
          <c:order val="2"/>
          <c:tx>
            <c:strRef>
              <c:f>'[工作簿(21).xlsx]Sheet1'!$C$35</c:f>
              <c:strCache>
                <c:ptCount val="1"/>
                <c:pt idx="0">
                  <c:v>手傍岩断面</c:v>
                </c:pt>
              </c:strCache>
            </c:strRef>
          </c:tx>
          <c:spPr>
            <a:ln w="19050" cap="rnd" cmpd="sng">
              <a:solidFill>
                <a:schemeClr val="accent3"/>
              </a:solidFill>
              <a:prstDash val="solid"/>
              <a:round/>
              <a:headEnd type="diamond"/>
              <a:tailEnd type="diamond"/>
            </a:ln>
            <a:effectLst/>
            <a:sp3d contourW="19050"/>
          </c:spPr>
          <c:marker>
            <c:symbol val="none"/>
          </c:marker>
          <c:dLbls>
            <c:delete val="1"/>
          </c:dLbls>
          <c:cat>
            <c:numRef>
              <c:f>'[工作簿(21).xlsx]Sheet1'!$D$32:$F$32</c:f>
              <c:numCache>
                <c:formatCode>General</c:formatCode>
                <c:ptCount val="3"/>
                <c:pt idx="0">
                  <c:v>2021</c:v>
                </c:pt>
                <c:pt idx="1">
                  <c:v>2022</c:v>
                </c:pt>
                <c:pt idx="2">
                  <c:v>2023</c:v>
                </c:pt>
              </c:numCache>
            </c:numRef>
          </c:cat>
          <c:val>
            <c:numRef>
              <c:f>'[工作簿(21).xlsx]Sheet1'!$D$35:$F$35</c:f>
              <c:numCache>
                <c:formatCode>General</c:formatCode>
                <c:ptCount val="3"/>
                <c:pt idx="0">
                  <c:v>0.101</c:v>
                </c:pt>
                <c:pt idx="1">
                  <c:v>0.056</c:v>
                </c:pt>
                <c:pt idx="2">
                  <c:v>0.097</c:v>
                </c:pt>
              </c:numCache>
            </c:numRef>
          </c:val>
          <c:smooth val="0"/>
        </c:ser>
        <c:ser>
          <c:idx val="3"/>
          <c:order val="3"/>
          <c:tx>
            <c:strRef>
              <c:f>'[工作簿(21).xlsx]Sheet1'!$C$36</c:f>
              <c:strCache>
                <c:ptCount val="1"/>
                <c:pt idx="0">
                  <c:v>金碑断面</c:v>
                </c:pt>
              </c:strCache>
            </c:strRef>
          </c:tx>
          <c:spPr>
            <a:ln w="19050" cap="rnd" cmpd="sng">
              <a:solidFill>
                <a:schemeClr val="accent4"/>
              </a:solidFill>
              <a:prstDash val="solid"/>
              <a:round/>
              <a:headEnd type="diamond"/>
              <a:tailEnd type="diamond"/>
            </a:ln>
            <a:effectLst/>
            <a:sp3d contourW="19050"/>
          </c:spPr>
          <c:marker>
            <c:symbol val="none"/>
          </c:marker>
          <c:dLbls>
            <c:delete val="1"/>
          </c:dLbls>
          <c:cat>
            <c:numRef>
              <c:f>'[工作簿(21).xlsx]Sheet1'!$D$32:$F$32</c:f>
              <c:numCache>
                <c:formatCode>General</c:formatCode>
                <c:ptCount val="3"/>
                <c:pt idx="0">
                  <c:v>2021</c:v>
                </c:pt>
                <c:pt idx="1">
                  <c:v>2022</c:v>
                </c:pt>
                <c:pt idx="2">
                  <c:v>2023</c:v>
                </c:pt>
              </c:numCache>
            </c:numRef>
          </c:cat>
          <c:val>
            <c:numRef>
              <c:f>'[工作簿(21).xlsx]Sheet1'!$D$36:$F$36</c:f>
              <c:numCache>
                <c:formatCode>General</c:formatCode>
                <c:ptCount val="3"/>
                <c:pt idx="0">
                  <c:v>0.188</c:v>
                </c:pt>
                <c:pt idx="1">
                  <c:v>0.18</c:v>
                </c:pt>
                <c:pt idx="2">
                  <c:v>0.3</c:v>
                </c:pt>
              </c:numCache>
            </c:numRef>
          </c:val>
          <c:smooth val="0"/>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0"/>
        <c:smooth val="0"/>
        <c:axId val="333160290"/>
        <c:axId val="395170054"/>
      </c:lineChart>
      <c:catAx>
        <c:axId val="333160290"/>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rPr altLang="en-US"/>
                  <a:t>年份</a:t>
                </a:r>
                <a:endParaRPr lang="en-US" altLang="zh-CN"/>
              </a:p>
            </c:rich>
          </c:tx>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95170054"/>
        <c:crosses val="autoZero"/>
        <c:auto val="1"/>
        <c:lblAlgn val="ctr"/>
        <c:lblOffset val="100"/>
        <c:noMultiLvlLbl val="0"/>
      </c:catAx>
      <c:valAx>
        <c:axId val="395170054"/>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a:t>
                </a:r>
                <a:r>
                  <a:rPr lang="en-US" altLang="zh-CN"/>
                  <a:t>mg/L</a:t>
                </a:r>
                <a:endParaRPr lang="en-US" altLang="zh-CN"/>
              </a:p>
            </c:rich>
          </c:tx>
          <c:layout>
            <c:manualLayout>
              <c:xMode val="edge"/>
              <c:yMode val="edge"/>
              <c:x val="0.0196052631578947"/>
              <c:y val="0.18100869809203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33160290"/>
        <c:crosses val="autoZero"/>
        <c:crossBetween val="between"/>
      </c:valAx>
      <c:spPr>
        <a:noFill/>
        <a:ln>
          <a:noFill/>
        </a:ln>
        <a:effectLst/>
      </c:spPr>
    </c:plotArea>
    <c:legend>
      <c:legendPos val="r"/>
      <c:layout>
        <c:manualLayout>
          <c:xMode val="edge"/>
          <c:yMode val="edge"/>
          <c:x val="0.801710526315789"/>
          <c:y val="0.0291666666666667"/>
        </c:manualLayout>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en-US" altLang="zh-CN"/>
              <a:t>TP</a:t>
            </a:r>
            <a:endParaRPr lang="en-US" altLang="zh-CN"/>
          </a:p>
        </c:rich>
      </c:tx>
      <c:layout>
        <c:manualLayout>
          <c:xMode val="edge"/>
          <c:yMode val="edge"/>
          <c:x val="0.436184210526316"/>
          <c:y val="0.0451388888888889"/>
        </c:manualLayout>
      </c:layout>
      <c:overlay val="0"/>
      <c:spPr>
        <a:noFill/>
        <a:ln>
          <a:noFill/>
        </a:ln>
        <a:effectLst/>
      </c:spPr>
    </c:title>
    <c:autoTitleDeleted val="0"/>
    <c:plotArea>
      <c:layout>
        <c:manualLayout>
          <c:layoutTarget val="inner"/>
          <c:xMode val="edge"/>
          <c:yMode val="edge"/>
          <c:x val="0.125605263157895"/>
          <c:y val="0.238425925925926"/>
          <c:w val="0.661894736842105"/>
          <c:h val="0.628564814814815"/>
        </c:manualLayout>
      </c:layout>
      <c:lineChart>
        <c:grouping val="standard"/>
        <c:varyColors val="0"/>
        <c:ser>
          <c:idx val="0"/>
          <c:order val="0"/>
          <c:tx>
            <c:strRef>
              <c:f>'[工作簿(21).xlsx]Sheet1'!$C$40</c:f>
              <c:strCache>
                <c:ptCount val="1"/>
                <c:pt idx="0">
                  <c:v>Ⅱ类标准</c:v>
                </c:pt>
              </c:strCache>
            </c:strRef>
          </c:tx>
          <c:spPr>
            <a:ln w="19050" cap="rnd" cmpd="sng">
              <a:solidFill>
                <a:schemeClr val="accent1"/>
              </a:solidFill>
              <a:prstDash val="sysDot"/>
              <a:round/>
              <a:headEnd type="diamond"/>
              <a:tailEnd type="diamond"/>
            </a:ln>
            <a:effectLst/>
            <a:sp3d contourW="19050"/>
          </c:spPr>
          <c:marker>
            <c:symbol val="none"/>
          </c:marker>
          <c:dLbls>
            <c:delete val="1"/>
          </c:dLbls>
          <c:cat>
            <c:numRef>
              <c:f>'[工作簿(21).xlsx]Sheet1'!$D$39:$F$39</c:f>
              <c:numCache>
                <c:formatCode>General</c:formatCode>
                <c:ptCount val="3"/>
                <c:pt idx="0">
                  <c:v>2021</c:v>
                </c:pt>
                <c:pt idx="1">
                  <c:v>2022</c:v>
                </c:pt>
                <c:pt idx="2">
                  <c:v>2023</c:v>
                </c:pt>
              </c:numCache>
            </c:numRef>
          </c:cat>
          <c:val>
            <c:numRef>
              <c:f>'[工作簿(21).xlsx]Sheet1'!$D$40:$F$40</c:f>
              <c:numCache>
                <c:formatCode>General</c:formatCode>
                <c:ptCount val="3"/>
                <c:pt idx="0">
                  <c:v>0.1</c:v>
                </c:pt>
                <c:pt idx="1">
                  <c:v>0.1</c:v>
                </c:pt>
                <c:pt idx="2">
                  <c:v>0.1</c:v>
                </c:pt>
              </c:numCache>
            </c:numRef>
          </c:val>
          <c:smooth val="0"/>
        </c:ser>
        <c:ser>
          <c:idx val="1"/>
          <c:order val="1"/>
          <c:tx>
            <c:strRef>
              <c:f>'[工作簿(21).xlsx]Sheet1'!$C$41</c:f>
              <c:strCache>
                <c:ptCount val="1"/>
                <c:pt idx="0">
                  <c:v>Ⅲ类标准</c:v>
                </c:pt>
              </c:strCache>
            </c:strRef>
          </c:tx>
          <c:spPr>
            <a:ln w="19050" cap="rnd" cmpd="sng">
              <a:solidFill>
                <a:schemeClr val="accent2"/>
              </a:solidFill>
              <a:prstDash val="sysDot"/>
              <a:round/>
              <a:headEnd type="diamond"/>
              <a:tailEnd type="diamond"/>
            </a:ln>
            <a:effectLst/>
            <a:sp3d contourW="19050"/>
          </c:spPr>
          <c:marker>
            <c:symbol val="none"/>
          </c:marker>
          <c:dLbls>
            <c:delete val="1"/>
          </c:dLbls>
          <c:cat>
            <c:numRef>
              <c:f>'[工作簿(21).xlsx]Sheet1'!$D$39:$F$39</c:f>
              <c:numCache>
                <c:formatCode>General</c:formatCode>
                <c:ptCount val="3"/>
                <c:pt idx="0">
                  <c:v>2021</c:v>
                </c:pt>
                <c:pt idx="1">
                  <c:v>2022</c:v>
                </c:pt>
                <c:pt idx="2">
                  <c:v>2023</c:v>
                </c:pt>
              </c:numCache>
            </c:numRef>
          </c:cat>
          <c:val>
            <c:numRef>
              <c:f>'[工作簿(21).xlsx]Sheet1'!$D$41:$F$41</c:f>
              <c:numCache>
                <c:formatCode>General</c:formatCode>
                <c:ptCount val="3"/>
                <c:pt idx="0">
                  <c:v>0.2</c:v>
                </c:pt>
                <c:pt idx="1">
                  <c:v>0.2</c:v>
                </c:pt>
                <c:pt idx="2">
                  <c:v>0.2</c:v>
                </c:pt>
              </c:numCache>
            </c:numRef>
          </c:val>
          <c:smooth val="0"/>
        </c:ser>
        <c:ser>
          <c:idx val="2"/>
          <c:order val="2"/>
          <c:tx>
            <c:strRef>
              <c:f>'[工作簿(21).xlsx]Sheet1'!$C$42</c:f>
              <c:strCache>
                <c:ptCount val="1"/>
                <c:pt idx="0">
                  <c:v>手傍岩断面</c:v>
                </c:pt>
              </c:strCache>
            </c:strRef>
          </c:tx>
          <c:spPr>
            <a:ln w="19050" cap="rnd" cmpd="sng">
              <a:solidFill>
                <a:schemeClr val="accent3"/>
              </a:solidFill>
              <a:prstDash val="solid"/>
              <a:round/>
              <a:headEnd type="diamond"/>
              <a:tailEnd type="diamond"/>
            </a:ln>
            <a:effectLst/>
            <a:sp3d contourW="19050"/>
          </c:spPr>
          <c:marker>
            <c:symbol val="none"/>
          </c:marker>
          <c:dLbls>
            <c:delete val="1"/>
          </c:dLbls>
          <c:cat>
            <c:numRef>
              <c:f>'[工作簿(21).xlsx]Sheet1'!$D$39:$F$39</c:f>
              <c:numCache>
                <c:formatCode>General</c:formatCode>
                <c:ptCount val="3"/>
                <c:pt idx="0">
                  <c:v>2021</c:v>
                </c:pt>
                <c:pt idx="1">
                  <c:v>2022</c:v>
                </c:pt>
                <c:pt idx="2">
                  <c:v>2023</c:v>
                </c:pt>
              </c:numCache>
            </c:numRef>
          </c:cat>
          <c:val>
            <c:numRef>
              <c:f>'[工作簿(21).xlsx]Sheet1'!$D$42:$F$42</c:f>
              <c:numCache>
                <c:formatCode>General</c:formatCode>
                <c:ptCount val="3"/>
                <c:pt idx="0">
                  <c:v>0.05</c:v>
                </c:pt>
                <c:pt idx="1">
                  <c:v>0.046</c:v>
                </c:pt>
                <c:pt idx="2">
                  <c:v>0.057</c:v>
                </c:pt>
              </c:numCache>
            </c:numRef>
          </c:val>
          <c:smooth val="0"/>
        </c:ser>
        <c:ser>
          <c:idx val="3"/>
          <c:order val="3"/>
          <c:tx>
            <c:strRef>
              <c:f>'[工作簿(21).xlsx]Sheet1'!$C$43</c:f>
              <c:strCache>
                <c:ptCount val="1"/>
                <c:pt idx="0">
                  <c:v>金碑断面</c:v>
                </c:pt>
              </c:strCache>
            </c:strRef>
          </c:tx>
          <c:spPr>
            <a:ln w="19050" cap="rnd" cmpd="sng">
              <a:solidFill>
                <a:schemeClr val="accent4"/>
              </a:solidFill>
              <a:prstDash val="solid"/>
              <a:round/>
              <a:headEnd type="diamond"/>
              <a:tailEnd type="diamond"/>
            </a:ln>
            <a:effectLst/>
            <a:sp3d contourW="19050"/>
          </c:spPr>
          <c:marker>
            <c:symbol val="none"/>
          </c:marker>
          <c:dLbls>
            <c:delete val="1"/>
          </c:dLbls>
          <c:cat>
            <c:numRef>
              <c:f>'[工作簿(21).xlsx]Sheet1'!$D$39:$F$39</c:f>
              <c:numCache>
                <c:formatCode>General</c:formatCode>
                <c:ptCount val="3"/>
                <c:pt idx="0">
                  <c:v>2021</c:v>
                </c:pt>
                <c:pt idx="1">
                  <c:v>2022</c:v>
                </c:pt>
                <c:pt idx="2">
                  <c:v>2023</c:v>
                </c:pt>
              </c:numCache>
            </c:numRef>
          </c:cat>
          <c:val>
            <c:numRef>
              <c:f>'[工作簿(21).xlsx]Sheet1'!$D$43:$F$43</c:f>
              <c:numCache>
                <c:formatCode>General</c:formatCode>
                <c:ptCount val="3"/>
                <c:pt idx="0">
                  <c:v>0.054</c:v>
                </c:pt>
                <c:pt idx="1">
                  <c:v>0.074</c:v>
                </c:pt>
                <c:pt idx="2">
                  <c:v>0.05</c:v>
                </c:pt>
              </c:numCache>
            </c:numRef>
          </c:val>
          <c:smooth val="0"/>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0"/>
        <c:smooth val="0"/>
        <c:axId val="205909121"/>
        <c:axId val="819319994"/>
      </c:lineChart>
      <c:catAx>
        <c:axId val="205909121"/>
        <c:scaling>
          <c:orientation val="minMax"/>
        </c:scaling>
        <c:delete val="0"/>
        <c:axPos val="b"/>
        <c:title>
          <c:tx>
            <c:rich>
              <a:bodyPr rot="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年份</a:t>
                </a:r>
              </a:p>
            </c:rich>
          </c:tx>
          <c:layout>
            <c:manualLayout>
              <c:xMode val="edge"/>
              <c:yMode val="edge"/>
              <c:x val="0.815631578947368"/>
              <c:y val="0.865509259259259"/>
            </c:manualLayout>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819319994"/>
        <c:crosses val="autoZero"/>
        <c:auto val="1"/>
        <c:lblAlgn val="ctr"/>
        <c:lblOffset val="100"/>
        <c:noMultiLvlLbl val="0"/>
      </c:catAx>
      <c:valAx>
        <c:axId val="819319994"/>
        <c:scaling>
          <c:orientation val="minMax"/>
        </c:scaling>
        <c:delete val="0"/>
        <c:axPos val="l"/>
        <c:majorGridlines>
          <c:spPr>
            <a:ln w="9525" cap="flat" cmpd="sng" algn="ctr">
              <a:solidFill>
                <a:schemeClr val="lt1">
                  <a:lumMod val="90200"/>
                </a:schemeClr>
              </a:solidFill>
              <a:round/>
            </a:ln>
            <a:effectLst/>
          </c:spPr>
        </c:majorGridlines>
        <c:title>
          <c:tx>
            <c:rich>
              <a:bodyPr rot="-5400000" spcFirstLastPara="0" vertOverflow="ellipsis" vert="horz" wrap="square" anchor="ctr" anchorCtr="1"/>
              <a:lstStyle/>
              <a:p>
                <a:pPr defTabSz="914400">
                  <a:defRPr lang="zh-CN" sz="1000" b="0" i="0" u="none" strike="noStrike" kern="1200" baseline="0">
                    <a:solidFill>
                      <a:schemeClr val="tx1">
                        <a:lumMod val="65000"/>
                        <a:lumOff val="35000"/>
                      </a:schemeClr>
                    </a:solidFill>
                    <a:latin typeface="+mn-lt"/>
                    <a:ea typeface="+mn-ea"/>
                    <a:cs typeface="+mn-cs"/>
                  </a:defRPr>
                </a:pPr>
                <a:r>
                  <a:t>浓度：mg/L</a:t>
                </a:r>
              </a:p>
            </c:rich>
          </c:tx>
          <c:layout>
            <c:manualLayout>
              <c:xMode val="edge"/>
              <c:yMode val="edge"/>
              <c:x val="0.0188157894736842"/>
              <c:y val="0.20351851851851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05909121"/>
        <c:crosses val="autoZero"/>
        <c:crossBetween val="between"/>
      </c:valAx>
      <c:spPr>
        <a:noFill/>
        <a:ln>
          <a:noFill/>
        </a:ln>
        <a:effectLst/>
      </c:spPr>
    </c:plotArea>
    <c:legend>
      <c:legendPos val="r"/>
      <c:layout>
        <c:manualLayout>
          <c:xMode val="edge"/>
          <c:yMode val="edge"/>
          <c:x val="0.789868421052632"/>
          <c:y val="0.0291666666666667"/>
        </c:manualLayout>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28">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solidFill>
          <a:schemeClr val="phClr"/>
        </a:solidFill>
        <a:round/>
      </a:ln>
      <a:effectLst/>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028">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solidFill>
          <a:schemeClr val="phClr"/>
        </a:solidFill>
        <a:round/>
      </a:ln>
      <a:effectLst/>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028">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solidFill>
          <a:schemeClr val="phClr"/>
        </a:solidFill>
        <a:round/>
      </a:ln>
      <a:effectLst/>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10028">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solidFill>
          <a:schemeClr val="phClr"/>
        </a:solidFill>
        <a:round/>
      </a:ln>
      <a:effectLst/>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379</Pages>
  <Words>232341</Words>
  <Characters>270637</Characters>
  <Lines>2659</Lines>
  <Paragraphs>748</Paragraphs>
  <TotalTime>8</TotalTime>
  <ScaleCrop>false</ScaleCrop>
  <LinksUpToDate>false</LinksUpToDate>
  <CharactersWithSpaces>272358</CharactersWithSpaces>
  <Application>WPS Office_12.1.0.17857_F1E327BC-269C-435d-A152-05C5408002CA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2021-09-18T04:35:00Z</dcterms:created>
  <dc:creator>ZD</dc:creator>
  <cp:lastModifiedBy>人生若只如初见</cp:lastModifiedBy>
  <cp:lastPrinted>2021-09-18T04:39:00Z</cp:lastPrinted>
  <dcterms:modified xsi:type="dcterms:W3CDTF">2024-09-18T03:05:24Z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2052-12.1.0.17857</vt:lpwstr>
  </property>
  <property fmtid="{D5CDD505-2E9C-101B-9397-08002B2CF9AE}" pid="3" name="ICV">
    <vt:lpwstr>248D84939CBD4CB0B1021DB0D3F7EE5D_13</vt:lpwstr>
  </property>
</Properties>
</file>